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6"/>
        <w:ind w:left="117" w:right="0" w:firstLine="0"/>
        <w:jc w:val="left"/>
        <w:rPr>
          <w:sz w:val="28"/>
        </w:rPr>
      </w:pPr>
      <w:r>
        <w:rPr/>
        <w:pict>
          <v:group style="position:absolute;margin-left:0pt;margin-top:0pt;width:595.5pt;height:842.05pt;mso-position-horizontal-relative:page;mso-position-vertical-relative:page;z-index:-19591680" coordorigin="0,0" coordsize="11910,16841">
            <v:shape style="position:absolute;left:0;top:0;width:11910;height:16841" type="#_x0000_t75" stroked="false">
              <v:imagedata r:id="rId5" o:title=""/>
            </v:shape>
            <v:shape style="position:absolute;left:6687;top:8446;width:5222;height:8394" coordorigin="6688,8447" coordsize="5222,8394" path="m11910,8447l6688,16841,11910,16841,11910,8447xe" filled="true" fillcolor="#ffffff" stroked="false">
              <v:path arrowok="t"/>
              <v:fill type="solid"/>
            </v:shape>
            <v:shape style="position:absolute;left:8218;top:15252;width:3034;height:941" type="#_x0000_t75" stroked="false">
              <v:imagedata r:id="rId6" o:title=""/>
            </v:shape>
            <v:rect style="position:absolute;left:0;top:0;width:6;height:16836" filled="true" fillcolor="#005088" stroked="false">
              <v:fill type="solid"/>
            </v:rect>
            <v:shape style="position:absolute;left:797;top:2199;width:3871;height:718" type="#_x0000_t75" stroked="false">
              <v:imagedata r:id="rId7" o:title=""/>
            </v:shape>
            <v:shape style="position:absolute;left:4426;top:2199;width:654;height:718" type="#_x0000_t75" stroked="false">
              <v:imagedata r:id="rId8" o:title=""/>
            </v:shape>
            <v:shape style="position:absolute;left:4752;top:2199;width:2962;height:718" type="#_x0000_t75" stroked="false">
              <v:imagedata r:id="rId9" o:title=""/>
            </v:shape>
            <v:shape style="position:absolute;left:7486;top:2199;width:768;height:718" type="#_x0000_t75" stroked="false">
              <v:imagedata r:id="rId10" o:title=""/>
            </v:shape>
            <v:shape style="position:absolute;left:7870;top:2199;width:2976;height:718" type="#_x0000_t75" stroked="false">
              <v:imagedata r:id="rId11" o:title=""/>
            </v:shape>
            <v:shape style="position:absolute;left:10777;top:2199;width:701;height:718" type="#_x0000_t75" stroked="false">
              <v:imagedata r:id="rId12" o:title=""/>
            </v:shape>
            <v:shape style="position:absolute;left:797;top:2823;width:730;height:718" type="#_x0000_t75" stroked="false">
              <v:imagedata r:id="rId13" o:title=""/>
            </v:shape>
            <v:shape style="position:absolute;left:1162;top:2823;width:6566;height:718" type="#_x0000_t75" stroked="false">
              <v:imagedata r:id="rId14" o:title=""/>
            </v:shape>
            <v:shape style="position:absolute;left:7464;top:2823;width:735;height:718" type="#_x0000_t75" stroked="false">
              <v:imagedata r:id="rId15" o:title=""/>
            </v:shape>
            <v:shape style="position:absolute;left:7832;top:2823;width:2447;height:718" type="#_x0000_t75" stroked="false">
              <v:imagedata r:id="rId16" o:title=""/>
            </v:shape>
            <v:shape style="position:absolute;left:908;top:5388;width:1023;height:2124" type="#_x0000_t75" stroked="false">
              <v:imagedata r:id="rId17" o:title=""/>
            </v:shape>
            <w10:wrap type="none"/>
          </v:group>
        </w:pict>
      </w:r>
      <w:r>
        <w:rPr>
          <w:color w:val="FFFFFF"/>
          <w:sz w:val="28"/>
        </w:rPr>
        <w:t>OECD/G20 BASE EROSION AND PROFIT SHIFTING PROJECT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6"/>
        </w:rPr>
      </w:pPr>
    </w:p>
    <w:p>
      <w:pPr>
        <w:spacing w:before="90"/>
        <w:ind w:left="117" w:right="0" w:firstLine="0"/>
        <w:jc w:val="left"/>
        <w:rPr>
          <w:sz w:val="32"/>
        </w:rPr>
      </w:pPr>
      <w:r>
        <w:rPr>
          <w:color w:val="FFFFFF"/>
          <w:sz w:val="32"/>
        </w:rPr>
        <w:t>Inclusive Framework on BEPS</w:t>
      </w:r>
    </w:p>
    <w:p>
      <w:pPr>
        <w:spacing w:after="0"/>
        <w:jc w:val="left"/>
        <w:rPr>
          <w:sz w:val="32"/>
        </w:rPr>
        <w:sectPr>
          <w:type w:val="continuous"/>
          <w:pgSz w:w="11910" w:h="16850"/>
          <w:pgMar w:top="1240" w:bottom="280" w:left="680" w:right="1680"/>
        </w:sectPr>
      </w:pPr>
    </w:p>
    <w:p>
      <w:pPr>
        <w:pStyle w:val="BodyText"/>
      </w:pPr>
      <w:r>
        <w:rPr/>
        <w:pict>
          <v:group style="position:absolute;margin-left:60.400002pt;margin-top:38.549984pt;width:473.95pt;height:786pt;mso-position-horizontal-relative:page;mso-position-vertical-relative:page;z-index:-19590656" coordorigin="1208,771" coordsize="9479,15720">
            <v:rect style="position:absolute;left:1208;top:771;width:9479;height:15720" filled="true" fillcolor="#ffffff" stroked="false">
              <v:fill type="solid"/>
            </v:rect>
            <v:shape style="position:absolute;left:4655;top:15273;width:2584;height:618" type="#_x0000_t75" stroked="false">
              <v:imagedata r:id="rId18" o:title=""/>
            </v:shape>
            <w10:wrap type="none"/>
          </v:group>
        </w:pict>
      </w:r>
    </w:p>
    <w:p>
      <w:pPr>
        <w:pStyle w:val="BodyText"/>
      </w:pPr>
    </w:p>
    <w:p>
      <w:pPr>
        <w:pStyle w:val="BodyText"/>
      </w:pPr>
    </w:p>
    <w:p>
      <w:pPr>
        <w:pStyle w:val="BodyText"/>
        <w:spacing w:before="3"/>
        <w:rPr>
          <w:sz w:val="29"/>
        </w:rPr>
      </w:pPr>
    </w:p>
    <w:p>
      <w:pPr>
        <w:spacing w:before="99"/>
        <w:ind w:left="1386" w:right="1166" w:firstLine="0"/>
        <w:jc w:val="center"/>
        <w:rPr>
          <w:rFonts w:ascii="Arial Narrow"/>
          <w:sz w:val="32"/>
        </w:rPr>
      </w:pPr>
      <w:r>
        <w:rPr/>
        <w:pict>
          <v:shapetype id="_x0000_t202" o:spt="202" coordsize="21600,21600" path="m,l,21600r21600,l21600,xe">
            <v:stroke joinstyle="miter"/>
            <v:path gradientshapeok="t" o:connecttype="rect"/>
          </v:shapetype>
          <v:shape style="position:absolute;margin-left:65.183998pt;margin-top:-28.017096pt;width:465.1pt;height:696.8pt;mso-position-horizontal-relative:page;mso-position-vertical-relative:paragraph;z-index:-19591168" type="#_x0000_t202" filled="false" stroked="false">
            <v:textbox inset="0,0,0,0">
              <w:txbxContent>
                <w:p>
                  <w:pPr>
                    <w:spacing w:before="1"/>
                    <w:ind w:left="0" w:right="0" w:firstLine="0"/>
                    <w:jc w:val="right"/>
                    <w:rPr>
                      <w:b/>
                      <w:sz w:val="22"/>
                    </w:rPr>
                  </w:pPr>
                  <w:r>
                    <w:rPr>
                      <w:rFonts w:ascii="Symbol" w:hAnsi="Symbol"/>
                      <w:b/>
                      <w:sz w:val="22"/>
                    </w:rPr>
                    <w:t></w:t>
                  </w:r>
                  <w:r>
                    <w:rPr>
                      <w:rFonts w:ascii="Times New Roman" w:hAnsi="Times New Roman"/>
                      <w:b/>
                      <w:sz w:val="22"/>
                    </w:rPr>
                    <w:t> </w:t>
                  </w:r>
                  <w:r>
                    <w:rPr>
                      <w:b/>
                      <w:sz w:val="22"/>
                    </w:rPr>
                    <w:t>1</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28"/>
                    </w:rPr>
                  </w:pPr>
                </w:p>
                <w:p>
                  <w:pPr>
                    <w:spacing w:before="0"/>
                    <w:ind w:left="0" w:right="0" w:firstLine="0"/>
                    <w:jc w:val="left"/>
                    <w:rPr>
                      <w:sz w:val="16"/>
                    </w:rPr>
                  </w:pPr>
                  <w:r>
                    <w:rPr>
                      <w:sz w:val="16"/>
                    </w:rPr>
                    <w:t>TAX CHALLENGES ARISING FROM DIGITALISATION – REPORT ON PILLAR ONE BLUEPRINT © OECD 2020</w:t>
                  </w:r>
                </w:p>
              </w:txbxContent>
            </v:textbox>
            <w10:wrap type="none"/>
          </v:shape>
        </w:pict>
      </w:r>
      <w:r>
        <w:rPr>
          <w:rFonts w:ascii="Arial Narrow"/>
          <w:sz w:val="32"/>
        </w:rPr>
        <w:t>OECD/G20 Base Erosion and Profit Shifting Project</w:t>
      </w:r>
    </w:p>
    <w:p>
      <w:pPr>
        <w:pStyle w:val="BodyText"/>
        <w:rPr>
          <w:rFonts w:ascii="Arial Narrow"/>
          <w:sz w:val="36"/>
        </w:rPr>
      </w:pPr>
    </w:p>
    <w:p>
      <w:pPr>
        <w:pStyle w:val="BodyText"/>
        <w:rPr>
          <w:rFonts w:ascii="Arial Narrow"/>
          <w:sz w:val="36"/>
        </w:rPr>
      </w:pPr>
    </w:p>
    <w:p>
      <w:pPr>
        <w:pStyle w:val="BodyText"/>
        <w:rPr>
          <w:rFonts w:ascii="Arial Narrow"/>
          <w:sz w:val="36"/>
        </w:rPr>
      </w:pPr>
    </w:p>
    <w:p>
      <w:pPr>
        <w:pStyle w:val="BodyText"/>
        <w:rPr>
          <w:rFonts w:ascii="Arial Narrow"/>
          <w:sz w:val="36"/>
        </w:rPr>
      </w:pPr>
    </w:p>
    <w:p>
      <w:pPr>
        <w:pStyle w:val="BodyText"/>
        <w:rPr>
          <w:rFonts w:ascii="Arial Narrow"/>
          <w:sz w:val="36"/>
        </w:rPr>
      </w:pPr>
    </w:p>
    <w:p>
      <w:pPr>
        <w:pStyle w:val="BodyText"/>
        <w:rPr>
          <w:rFonts w:ascii="Arial Narrow"/>
          <w:sz w:val="36"/>
        </w:rPr>
      </w:pPr>
    </w:p>
    <w:p>
      <w:pPr>
        <w:pStyle w:val="BodyText"/>
        <w:spacing w:before="2"/>
        <w:rPr>
          <w:rFonts w:ascii="Arial Narrow"/>
          <w:sz w:val="49"/>
        </w:rPr>
      </w:pPr>
    </w:p>
    <w:p>
      <w:pPr>
        <w:spacing w:line="276" w:lineRule="auto" w:before="0"/>
        <w:ind w:left="1386" w:right="1156" w:firstLine="0"/>
        <w:jc w:val="center"/>
        <w:rPr>
          <w:rFonts w:ascii="Arial Narrow" w:hAnsi="Arial Narrow"/>
          <w:b/>
          <w:sz w:val="52"/>
        </w:rPr>
      </w:pPr>
      <w:r>
        <w:rPr>
          <w:rFonts w:ascii="Arial Narrow" w:hAnsi="Arial Narrow"/>
          <w:b/>
          <w:sz w:val="52"/>
        </w:rPr>
        <w:t>Tax Challenges Arising from Digitalisation – Report on Pillar One Blueprint</w:t>
      </w:r>
    </w:p>
    <w:p>
      <w:pPr>
        <w:pStyle w:val="BodyText"/>
        <w:spacing w:before="8"/>
        <w:rPr>
          <w:rFonts w:ascii="Arial Narrow"/>
          <w:b/>
          <w:sz w:val="69"/>
        </w:rPr>
      </w:pPr>
    </w:p>
    <w:p>
      <w:pPr>
        <w:spacing w:before="0"/>
        <w:ind w:left="1386" w:right="1162" w:firstLine="0"/>
        <w:jc w:val="center"/>
        <w:rPr>
          <w:rFonts w:ascii="Arial Narrow"/>
          <w:sz w:val="40"/>
        </w:rPr>
      </w:pPr>
      <w:r>
        <w:rPr>
          <w:rFonts w:ascii="Arial Narrow"/>
          <w:sz w:val="40"/>
        </w:rPr>
        <w:t>Inclusive Framework on BEPS</w:t>
      </w:r>
    </w:p>
    <w:p>
      <w:pPr>
        <w:spacing w:after="0"/>
        <w:jc w:val="center"/>
        <w:rPr>
          <w:rFonts w:ascii="Arial Narrow"/>
          <w:sz w:val="40"/>
        </w:rPr>
        <w:sectPr>
          <w:pgSz w:w="11910" w:h="16840"/>
          <w:pgMar w:top="760" w:bottom="0" w:left="580" w:right="820"/>
        </w:sectPr>
      </w:pPr>
    </w:p>
    <w:p>
      <w:pPr>
        <w:pStyle w:val="BodyText"/>
        <w:spacing w:before="6"/>
        <w:rPr>
          <w:rFonts w:ascii="Arial Narrow"/>
        </w:rPr>
      </w:pPr>
    </w:p>
    <w:p>
      <w:pPr>
        <w:pStyle w:val="BodyText"/>
        <w:spacing w:line="271" w:lineRule="auto" w:before="92"/>
        <w:ind w:left="723" w:right="489"/>
        <w:jc w:val="both"/>
      </w:pPr>
      <w:r>
        <w:rPr/>
        <w:t>This</w:t>
      </w:r>
      <w:r>
        <w:rPr>
          <w:spacing w:val="-5"/>
        </w:rPr>
        <w:t> </w:t>
      </w:r>
      <w:r>
        <w:rPr/>
        <w:t>document</w:t>
      </w:r>
      <w:r>
        <w:rPr>
          <w:spacing w:val="-6"/>
        </w:rPr>
        <w:t> </w:t>
      </w:r>
      <w:r>
        <w:rPr/>
        <w:t>and</w:t>
      </w:r>
      <w:r>
        <w:rPr>
          <w:spacing w:val="-7"/>
        </w:rPr>
        <w:t> </w:t>
      </w:r>
      <w:r>
        <w:rPr/>
        <w:t>any</w:t>
      </w:r>
      <w:r>
        <w:rPr>
          <w:spacing w:val="-9"/>
        </w:rPr>
        <w:t> </w:t>
      </w:r>
      <w:r>
        <w:rPr/>
        <w:t>map</w:t>
      </w:r>
      <w:r>
        <w:rPr>
          <w:spacing w:val="-7"/>
        </w:rPr>
        <w:t> </w:t>
      </w:r>
      <w:r>
        <w:rPr/>
        <w:t>included</w:t>
      </w:r>
      <w:r>
        <w:rPr>
          <w:spacing w:val="-6"/>
        </w:rPr>
        <w:t> </w:t>
      </w:r>
      <w:r>
        <w:rPr/>
        <w:t>herein</w:t>
      </w:r>
      <w:r>
        <w:rPr>
          <w:spacing w:val="-7"/>
        </w:rPr>
        <w:t> </w:t>
      </w:r>
      <w:r>
        <w:rPr/>
        <w:t>are</w:t>
      </w:r>
      <w:r>
        <w:rPr>
          <w:spacing w:val="-1"/>
        </w:rPr>
        <w:t> </w:t>
      </w:r>
      <w:r>
        <w:rPr/>
        <w:t>without</w:t>
      </w:r>
      <w:r>
        <w:rPr>
          <w:spacing w:val="-6"/>
        </w:rPr>
        <w:t> </w:t>
      </w:r>
      <w:r>
        <w:rPr/>
        <w:t>prejudice</w:t>
      </w:r>
      <w:r>
        <w:rPr>
          <w:spacing w:val="-7"/>
        </w:rPr>
        <w:t> </w:t>
      </w:r>
      <w:r>
        <w:rPr/>
        <w:t>to</w:t>
      </w:r>
      <w:r>
        <w:rPr>
          <w:spacing w:val="-7"/>
        </w:rPr>
        <w:t> </w:t>
      </w:r>
      <w:r>
        <w:rPr/>
        <w:t>the</w:t>
      </w:r>
      <w:r>
        <w:rPr>
          <w:spacing w:val="-6"/>
        </w:rPr>
        <w:t> </w:t>
      </w:r>
      <w:r>
        <w:rPr/>
        <w:t>status</w:t>
      </w:r>
      <w:r>
        <w:rPr>
          <w:spacing w:val="-3"/>
        </w:rPr>
        <w:t> </w:t>
      </w:r>
      <w:r>
        <w:rPr/>
        <w:t>of</w:t>
      </w:r>
      <w:r>
        <w:rPr>
          <w:spacing w:val="-5"/>
        </w:rPr>
        <w:t> </w:t>
      </w:r>
      <w:r>
        <w:rPr/>
        <w:t>or</w:t>
      </w:r>
      <w:r>
        <w:rPr>
          <w:spacing w:val="-6"/>
        </w:rPr>
        <w:t> </w:t>
      </w:r>
      <w:r>
        <w:rPr/>
        <w:t>sovereignty</w:t>
      </w:r>
      <w:r>
        <w:rPr>
          <w:spacing w:val="-6"/>
        </w:rPr>
        <w:t> </w:t>
      </w:r>
      <w:r>
        <w:rPr/>
        <w:t>over</w:t>
      </w:r>
      <w:r>
        <w:rPr>
          <w:spacing w:val="-6"/>
        </w:rPr>
        <w:t> </w:t>
      </w:r>
      <w:r>
        <w:rPr/>
        <w:t>any territory, to the delimitation of international frontiers and boundaries and to the name of any territory, city or</w:t>
      </w:r>
      <w:r>
        <w:rPr>
          <w:spacing w:val="-2"/>
        </w:rPr>
        <w:t> </w:t>
      </w:r>
      <w:r>
        <w:rPr/>
        <w:t>area.</w:t>
      </w:r>
    </w:p>
    <w:p>
      <w:pPr>
        <w:pStyle w:val="BodyText"/>
      </w:pPr>
    </w:p>
    <w:p>
      <w:pPr>
        <w:pStyle w:val="BodyText"/>
        <w:spacing w:before="7"/>
        <w:rPr>
          <w:sz w:val="17"/>
        </w:rPr>
      </w:pPr>
      <w:r>
        <w:rPr/>
        <w:pict>
          <v:rect style="position:absolute;margin-left:65.183998pt;margin-top:12.098843pt;width:464.950012pt;height:1.44pt;mso-position-horizontal-relative:page;mso-position-vertical-relative:paragraph;z-index:-15727104;mso-wrap-distance-left:0;mso-wrap-distance-right:0" filled="true" fillcolor="#4e81bd" stroked="false">
            <v:fill type="solid"/>
            <w10:wrap type="topAndBottom"/>
          </v:rect>
        </w:pict>
      </w:r>
    </w:p>
    <w:p>
      <w:pPr>
        <w:pStyle w:val="Heading8"/>
        <w:spacing w:before="119"/>
        <w:ind w:left="831"/>
        <w:jc w:val="both"/>
        <w:rPr>
          <w:rFonts w:ascii="Arial Narrow"/>
        </w:rPr>
      </w:pPr>
      <w:r>
        <w:rPr>
          <w:rFonts w:ascii="Arial Narrow"/>
        </w:rPr>
        <w:t>Please cite as</w:t>
      </w:r>
    </w:p>
    <w:p>
      <w:pPr>
        <w:spacing w:line="271" w:lineRule="auto" w:before="30"/>
        <w:ind w:left="831" w:right="826" w:firstLine="0"/>
        <w:jc w:val="left"/>
        <w:rPr>
          <w:rFonts w:ascii="Arial Narrow" w:hAnsi="Arial Narrow"/>
          <w:sz w:val="20"/>
        </w:rPr>
      </w:pPr>
      <w:r>
        <w:rPr/>
        <w:pict>
          <v:rect style="position:absolute;margin-left:64.463997pt;margin-top:32.230133pt;width:465.670013pt;height:.72pt;mso-position-horizontal-relative:page;mso-position-vertical-relative:paragraph;z-index:-15726592;mso-wrap-distance-left:0;mso-wrap-distance-right:0" filled="true" fillcolor="#4e81bd" stroked="false">
            <v:fill type="solid"/>
            <w10:wrap type="topAndBottom"/>
          </v:rect>
        </w:pict>
      </w:r>
      <w:r>
        <w:rPr>
          <w:rFonts w:ascii="Arial Narrow" w:hAnsi="Arial Narrow"/>
          <w:sz w:val="20"/>
        </w:rPr>
        <w:t>OECD (2020), </w:t>
      </w:r>
      <w:r>
        <w:rPr>
          <w:rFonts w:ascii="Arial Narrow" w:hAnsi="Arial Narrow"/>
          <w:i/>
          <w:sz w:val="20"/>
        </w:rPr>
        <w:t>Tax Challenges Arising from Digitalisation – Report on Pillar One Blueprint: Inclusive Framework on BEPS</w:t>
      </w:r>
      <w:r>
        <w:rPr>
          <w:rFonts w:ascii="Arial Narrow" w:hAnsi="Arial Narrow"/>
          <w:sz w:val="20"/>
        </w:rPr>
        <w:t>, OECD/G20 Base Erosion and Profit Shifting Project, OECD Publishing, Paris, </w:t>
      </w:r>
      <w:hyperlink r:id="rId23">
        <w:r>
          <w:rPr>
            <w:rFonts w:ascii="Arial Narrow" w:hAnsi="Arial Narrow"/>
            <w:color w:val="0000FF"/>
            <w:sz w:val="20"/>
            <w:u w:val="single" w:color="0000FF"/>
          </w:rPr>
          <w:t>https://doi.org/10.1787/beba0634-en</w:t>
        </w:r>
        <w:r>
          <w:rPr>
            <w:rFonts w:ascii="Arial Narrow" w:hAnsi="Arial Narrow"/>
            <w:sz w:val="20"/>
          </w:rPr>
          <w:t>.</w:t>
        </w:r>
      </w:hyperlink>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0"/>
        <w:rPr>
          <w:rFonts w:ascii="Arial Narrow"/>
          <w:sz w:val="17"/>
        </w:rPr>
      </w:pPr>
    </w:p>
    <w:p>
      <w:pPr>
        <w:pStyle w:val="BodyText"/>
        <w:spacing w:before="93"/>
        <w:ind w:left="723"/>
      </w:pPr>
      <w:r>
        <w:rPr/>
        <w:pict>
          <v:rect style="position:absolute;margin-left:65.183998pt;margin-top:22.189873pt;width:464.950012pt;height:1.44pt;mso-position-horizontal-relative:page;mso-position-vertical-relative:paragraph;z-index:-15726080;mso-wrap-distance-left:0;mso-wrap-distance-right:0" filled="true" fillcolor="#4e81bd" stroked="false">
            <v:fill type="solid"/>
            <w10:wrap type="topAndBottom"/>
          </v:rect>
        </w:pict>
      </w:r>
      <w:r>
        <w:rPr/>
        <w:t>© OECD 2020</w:t>
      </w:r>
    </w:p>
    <w:p>
      <w:pPr>
        <w:pStyle w:val="BodyText"/>
        <w:spacing w:line="271" w:lineRule="auto" w:before="119" w:after="97"/>
        <w:ind w:left="831" w:right="826"/>
        <w:rPr>
          <w:rFonts w:ascii="Arial Narrow"/>
        </w:rPr>
      </w:pPr>
      <w:r>
        <w:rPr>
          <w:rFonts w:ascii="Arial Narrow"/>
        </w:rPr>
        <w:t>The use of this work, whether digital or print, is governed by the Terms and Conditions to be found at </w:t>
      </w:r>
      <w:hyperlink r:id="rId24">
        <w:r>
          <w:rPr>
            <w:rFonts w:ascii="Arial Narrow"/>
            <w:color w:val="0000FF"/>
            <w:u w:val="single" w:color="0000FF"/>
          </w:rPr>
          <w:t>www.oecd.org/termsandconditions</w:t>
        </w:r>
        <w:r>
          <w:rPr>
            <w:rFonts w:ascii="Arial Narrow"/>
          </w:rPr>
          <w:t>.</w:t>
        </w:r>
      </w:hyperlink>
    </w:p>
    <w:p>
      <w:pPr>
        <w:pStyle w:val="BodyText"/>
        <w:spacing w:line="20" w:lineRule="exact"/>
        <w:ind w:left="709"/>
        <w:rPr>
          <w:rFonts w:ascii="Arial Narrow"/>
          <w:sz w:val="2"/>
        </w:rPr>
      </w:pPr>
      <w:r>
        <w:rPr>
          <w:rFonts w:ascii="Arial Narrow"/>
          <w:sz w:val="2"/>
        </w:rPr>
        <w:pict>
          <v:group style="width:465.7pt;height:.75pt;mso-position-horizontal-relative:char;mso-position-vertical-relative:line" coordorigin="0,0" coordsize="9314,15">
            <v:rect style="position:absolute;left:0;top:0;width:9314;height:15" filled="true" fillcolor="#4e81bd" stroked="false">
              <v:fill type="solid"/>
            </v:rect>
          </v:group>
        </w:pict>
      </w:r>
      <w:r>
        <w:rPr>
          <w:rFonts w:ascii="Arial Narrow"/>
          <w:sz w:val="2"/>
        </w:rPr>
      </w:r>
    </w:p>
    <w:p>
      <w:pPr>
        <w:spacing w:after="0" w:line="20" w:lineRule="exact"/>
        <w:rPr>
          <w:rFonts w:ascii="Arial Narrow"/>
          <w:sz w:val="2"/>
        </w:rPr>
        <w:sectPr>
          <w:headerReference w:type="even" r:id="rId19"/>
          <w:headerReference w:type="default" r:id="rId20"/>
          <w:footerReference w:type="even" r:id="rId21"/>
          <w:footerReference w:type="default" r:id="rId22"/>
          <w:pgSz w:w="11910" w:h="16840"/>
          <w:pgMar w:header="1244" w:footer="1638" w:top="1500" w:bottom="1820" w:left="580" w:right="820"/>
          <w:pgNumType w:start="2"/>
        </w:sectPr>
      </w:pPr>
    </w:p>
    <w:p>
      <w:pPr>
        <w:pStyle w:val="BodyText"/>
        <w:spacing w:before="3"/>
        <w:rPr>
          <w:rFonts w:ascii="Arial Narrow"/>
          <w:sz w:val="17"/>
        </w:rPr>
      </w:pPr>
    </w:p>
    <w:p>
      <w:pPr>
        <w:pStyle w:val="Heading1"/>
      </w:pPr>
      <w:bookmarkStart w:name="Foreword" w:id="1"/>
      <w:bookmarkEnd w:id="1"/>
      <w:r>
        <w:rPr>
          <w:b w:val="0"/>
        </w:rPr>
      </w:r>
      <w:bookmarkStart w:name="_bookmark0" w:id="2"/>
      <w:bookmarkEnd w:id="2"/>
      <w:r>
        <w:rPr>
          <w:b w:val="0"/>
        </w:rPr>
      </w:r>
      <w:r>
        <w:rPr>
          <w:color w:val="4E81BD"/>
        </w:rPr>
        <w:t>Foreword</w:t>
      </w:r>
    </w:p>
    <w:p>
      <w:pPr>
        <w:pStyle w:val="BodyText"/>
        <w:rPr>
          <w:rFonts w:ascii="Arial Narrow"/>
          <w:b/>
          <w:sz w:val="82"/>
        </w:rPr>
      </w:pPr>
    </w:p>
    <w:p>
      <w:pPr>
        <w:pStyle w:val="BodyText"/>
        <w:spacing w:before="1"/>
        <w:rPr>
          <w:rFonts w:ascii="Arial Narrow"/>
          <w:b/>
          <w:sz w:val="96"/>
        </w:rPr>
      </w:pPr>
    </w:p>
    <w:p>
      <w:pPr>
        <w:pStyle w:val="BodyText"/>
        <w:spacing w:line="271" w:lineRule="auto"/>
        <w:ind w:left="723" w:right="486"/>
        <w:jc w:val="both"/>
      </w:pPr>
      <w:r>
        <w:rPr/>
        <w:t>The integration of national economies and markets has increased substantially in recent years, putting a strain on the international tax rules, which were designed more than a century ago. Weaknesses in the current rules create opportunities for base erosion and profit shifting (BEPS), requiring bold moves by policy makers to restore confidence in the system and ensure that profits are taxed where economic activities take place and value is created.</w:t>
      </w:r>
    </w:p>
    <w:p>
      <w:pPr>
        <w:pStyle w:val="BodyText"/>
        <w:spacing w:line="271" w:lineRule="auto" w:before="122"/>
        <w:ind w:left="723" w:right="477"/>
        <w:jc w:val="both"/>
      </w:pPr>
      <w:r>
        <w:rPr/>
        <w:t>Following the release of the report Addressing Base Erosion and Profit Shifting in February 2013, OECD and G20 countries adopted a 15-point Action Plan to address BEPS in September 2013. The Action Plan identified 15 actions along three key pillars: introducing coherence in the domestic rules that </w:t>
      </w:r>
      <w:r>
        <w:rPr>
          <w:spacing w:val="2"/>
        </w:rPr>
        <w:t>affect </w:t>
      </w:r>
      <w:r>
        <w:rPr/>
        <w:t>cross- border</w:t>
      </w:r>
      <w:r>
        <w:rPr>
          <w:spacing w:val="-11"/>
        </w:rPr>
        <w:t> </w:t>
      </w:r>
      <w:r>
        <w:rPr/>
        <w:t>activities,</w:t>
      </w:r>
      <w:r>
        <w:rPr>
          <w:spacing w:val="-11"/>
        </w:rPr>
        <w:t> </w:t>
      </w:r>
      <w:r>
        <w:rPr/>
        <w:t>reinforcing</w:t>
      </w:r>
      <w:r>
        <w:rPr>
          <w:spacing w:val="-10"/>
        </w:rPr>
        <w:t> </w:t>
      </w:r>
      <w:r>
        <w:rPr/>
        <w:t>substance</w:t>
      </w:r>
      <w:r>
        <w:rPr>
          <w:spacing w:val="-11"/>
        </w:rPr>
        <w:t> </w:t>
      </w:r>
      <w:r>
        <w:rPr/>
        <w:t>requirements</w:t>
      </w:r>
      <w:r>
        <w:rPr>
          <w:spacing w:val="-11"/>
        </w:rPr>
        <w:t> </w:t>
      </w:r>
      <w:r>
        <w:rPr/>
        <w:t>in</w:t>
      </w:r>
      <w:r>
        <w:rPr>
          <w:spacing w:val="-11"/>
        </w:rPr>
        <w:t> </w:t>
      </w:r>
      <w:r>
        <w:rPr/>
        <w:t>the</w:t>
      </w:r>
      <w:r>
        <w:rPr>
          <w:spacing w:val="-11"/>
        </w:rPr>
        <w:t> </w:t>
      </w:r>
      <w:r>
        <w:rPr/>
        <w:t>existing</w:t>
      </w:r>
      <w:r>
        <w:rPr>
          <w:spacing w:val="-10"/>
        </w:rPr>
        <w:t> </w:t>
      </w:r>
      <w:r>
        <w:rPr/>
        <w:t>international</w:t>
      </w:r>
      <w:r>
        <w:rPr>
          <w:spacing w:val="-12"/>
        </w:rPr>
        <w:t> </w:t>
      </w:r>
      <w:r>
        <w:rPr/>
        <w:t>standards,</w:t>
      </w:r>
      <w:r>
        <w:rPr>
          <w:spacing w:val="-12"/>
        </w:rPr>
        <w:t> </w:t>
      </w:r>
      <w:r>
        <w:rPr/>
        <w:t>and</w:t>
      </w:r>
      <w:r>
        <w:rPr>
          <w:spacing w:val="-11"/>
        </w:rPr>
        <w:t> </w:t>
      </w:r>
      <w:r>
        <w:rPr/>
        <w:t>improving transparency as well as</w:t>
      </w:r>
      <w:r>
        <w:rPr>
          <w:spacing w:val="-5"/>
        </w:rPr>
        <w:t> </w:t>
      </w:r>
      <w:r>
        <w:rPr/>
        <w:t>certainty.</w:t>
      </w:r>
    </w:p>
    <w:p>
      <w:pPr>
        <w:pStyle w:val="BodyText"/>
        <w:spacing w:line="271" w:lineRule="auto" w:before="119"/>
        <w:ind w:left="723" w:right="486"/>
        <w:jc w:val="both"/>
      </w:pPr>
      <w:r>
        <w:rPr/>
        <w:t>After</w:t>
      </w:r>
      <w:r>
        <w:rPr>
          <w:spacing w:val="-7"/>
        </w:rPr>
        <w:t> </w:t>
      </w:r>
      <w:r>
        <w:rPr/>
        <w:t>two</w:t>
      </w:r>
      <w:r>
        <w:rPr>
          <w:spacing w:val="-3"/>
        </w:rPr>
        <w:t> </w:t>
      </w:r>
      <w:r>
        <w:rPr/>
        <w:t>years</w:t>
      </w:r>
      <w:r>
        <w:rPr>
          <w:spacing w:val="-5"/>
        </w:rPr>
        <w:t> </w:t>
      </w:r>
      <w:r>
        <w:rPr/>
        <w:t>of</w:t>
      </w:r>
      <w:r>
        <w:rPr>
          <w:spacing w:val="-6"/>
        </w:rPr>
        <w:t> </w:t>
      </w:r>
      <w:r>
        <w:rPr/>
        <w:t>work,</w:t>
      </w:r>
      <w:r>
        <w:rPr>
          <w:spacing w:val="-9"/>
        </w:rPr>
        <w:t> </w:t>
      </w:r>
      <w:r>
        <w:rPr/>
        <w:t>measures</w:t>
      </w:r>
      <w:r>
        <w:rPr>
          <w:spacing w:val="-5"/>
        </w:rPr>
        <w:t> </w:t>
      </w:r>
      <w:r>
        <w:rPr/>
        <w:t>in</w:t>
      </w:r>
      <w:r>
        <w:rPr>
          <w:spacing w:val="-8"/>
        </w:rPr>
        <w:t> </w:t>
      </w:r>
      <w:r>
        <w:rPr/>
        <w:t>response</w:t>
      </w:r>
      <w:r>
        <w:rPr>
          <w:spacing w:val="-7"/>
        </w:rPr>
        <w:t> </w:t>
      </w:r>
      <w:r>
        <w:rPr/>
        <w:t>to</w:t>
      </w:r>
      <w:r>
        <w:rPr>
          <w:spacing w:val="-7"/>
        </w:rPr>
        <w:t> </w:t>
      </w:r>
      <w:r>
        <w:rPr/>
        <w:t>the</w:t>
      </w:r>
      <w:r>
        <w:rPr>
          <w:spacing w:val="-8"/>
        </w:rPr>
        <w:t> </w:t>
      </w:r>
      <w:r>
        <w:rPr/>
        <w:t>15</w:t>
      </w:r>
      <w:r>
        <w:rPr>
          <w:spacing w:val="-7"/>
        </w:rPr>
        <w:t> </w:t>
      </w:r>
      <w:r>
        <w:rPr/>
        <w:t>actions</w:t>
      </w:r>
      <w:r>
        <w:rPr>
          <w:spacing w:val="-4"/>
        </w:rPr>
        <w:t> </w:t>
      </w:r>
      <w:r>
        <w:rPr/>
        <w:t>were</w:t>
      </w:r>
      <w:r>
        <w:rPr>
          <w:spacing w:val="-4"/>
        </w:rPr>
        <w:t> </w:t>
      </w:r>
      <w:r>
        <w:rPr/>
        <w:t>delivered</w:t>
      </w:r>
      <w:r>
        <w:rPr>
          <w:spacing w:val="-8"/>
        </w:rPr>
        <w:t> </w:t>
      </w:r>
      <w:r>
        <w:rPr/>
        <w:t>to</w:t>
      </w:r>
      <w:r>
        <w:rPr>
          <w:spacing w:val="-7"/>
        </w:rPr>
        <w:t> </w:t>
      </w:r>
      <w:r>
        <w:rPr/>
        <w:t>G20</w:t>
      </w:r>
      <w:r>
        <w:rPr>
          <w:spacing w:val="-7"/>
        </w:rPr>
        <w:t> </w:t>
      </w:r>
      <w:r>
        <w:rPr/>
        <w:t>Leaders</w:t>
      </w:r>
      <w:r>
        <w:rPr>
          <w:spacing w:val="-6"/>
        </w:rPr>
        <w:t> </w:t>
      </w:r>
      <w:r>
        <w:rPr/>
        <w:t>in</w:t>
      </w:r>
      <w:r>
        <w:rPr>
          <w:spacing w:val="-7"/>
        </w:rPr>
        <w:t> </w:t>
      </w:r>
      <w:r>
        <w:rPr/>
        <w:t>Antalya in November 2015. All the different outputs, including those delivered in an interim form in 2014, were consolidated into a comprehensive package. The BEPS package of measures represents the first substantial renovation of the international tax rules in almost a</w:t>
      </w:r>
      <w:r>
        <w:rPr>
          <w:spacing w:val="-8"/>
        </w:rPr>
        <w:t> </w:t>
      </w:r>
      <w:r>
        <w:rPr/>
        <w:t>century.</w:t>
      </w:r>
    </w:p>
    <w:p>
      <w:pPr>
        <w:pStyle w:val="BodyText"/>
        <w:spacing w:line="271" w:lineRule="auto" w:before="123"/>
        <w:ind w:left="723" w:right="485"/>
        <w:jc w:val="both"/>
      </w:pPr>
      <w:r>
        <w:rPr/>
        <w:t>Implementation is now well underway. The BEPS package was designed to be implemented via changes in domestic law and practices, and in tax treaties. With the negotiation of a multilateral instrument (MLI) having been finalised in 2016 to facilitate the implementation of the treaty related BEPS measures, over 90 jurisdictions are covered by the MLI. The entry into force of the MLI on 1 July 2018 has paved the way for</w:t>
      </w:r>
      <w:r>
        <w:rPr>
          <w:spacing w:val="-6"/>
        </w:rPr>
        <w:t> </w:t>
      </w:r>
      <w:r>
        <w:rPr/>
        <w:t>swift</w:t>
      </w:r>
      <w:r>
        <w:rPr>
          <w:spacing w:val="-6"/>
        </w:rPr>
        <w:t> </w:t>
      </w:r>
      <w:r>
        <w:rPr/>
        <w:t>implementation</w:t>
      </w:r>
      <w:r>
        <w:rPr>
          <w:spacing w:val="-6"/>
        </w:rPr>
        <w:t> </w:t>
      </w:r>
      <w:r>
        <w:rPr/>
        <w:t>of</w:t>
      </w:r>
      <w:r>
        <w:rPr>
          <w:spacing w:val="-5"/>
        </w:rPr>
        <w:t> </w:t>
      </w:r>
      <w:r>
        <w:rPr/>
        <w:t>the</w:t>
      </w:r>
      <w:r>
        <w:rPr>
          <w:spacing w:val="-6"/>
        </w:rPr>
        <w:t> </w:t>
      </w:r>
      <w:r>
        <w:rPr/>
        <w:t>treaty</w:t>
      </w:r>
      <w:r>
        <w:rPr>
          <w:spacing w:val="-7"/>
        </w:rPr>
        <w:t> </w:t>
      </w:r>
      <w:r>
        <w:rPr/>
        <w:t>related</w:t>
      </w:r>
      <w:r>
        <w:rPr>
          <w:spacing w:val="-7"/>
        </w:rPr>
        <w:t> </w:t>
      </w:r>
      <w:r>
        <w:rPr/>
        <w:t>measures.</w:t>
      </w:r>
      <w:r>
        <w:rPr>
          <w:spacing w:val="-5"/>
        </w:rPr>
        <w:t> </w:t>
      </w:r>
      <w:r>
        <w:rPr/>
        <w:t>OECD</w:t>
      </w:r>
      <w:r>
        <w:rPr>
          <w:spacing w:val="-4"/>
        </w:rPr>
        <w:t> </w:t>
      </w:r>
      <w:r>
        <w:rPr/>
        <w:t>and</w:t>
      </w:r>
      <w:r>
        <w:rPr>
          <w:spacing w:val="-6"/>
        </w:rPr>
        <w:t> </w:t>
      </w:r>
      <w:r>
        <w:rPr/>
        <w:t>G20</w:t>
      </w:r>
      <w:r>
        <w:rPr>
          <w:spacing w:val="-5"/>
        </w:rPr>
        <w:t> </w:t>
      </w:r>
      <w:r>
        <w:rPr/>
        <w:t>countries</w:t>
      </w:r>
      <w:r>
        <w:rPr>
          <w:spacing w:val="-3"/>
        </w:rPr>
        <w:t> </w:t>
      </w:r>
      <w:r>
        <w:rPr/>
        <w:t>also</w:t>
      </w:r>
      <w:r>
        <w:rPr>
          <w:spacing w:val="-3"/>
        </w:rPr>
        <w:t> </w:t>
      </w:r>
      <w:r>
        <w:rPr/>
        <w:t>agreed</w:t>
      </w:r>
      <w:r>
        <w:rPr>
          <w:spacing w:val="-7"/>
        </w:rPr>
        <w:t> </w:t>
      </w:r>
      <w:r>
        <w:rPr/>
        <w:t>to</w:t>
      </w:r>
      <w:r>
        <w:rPr>
          <w:spacing w:val="-7"/>
        </w:rPr>
        <w:t> </w:t>
      </w:r>
      <w:r>
        <w:rPr/>
        <w:t>continue to work together to ensure a consistent and co-ordinated implementation of the BEPS recommendations and to make the project more inclusive. Globalisation requires that global solutions and a global dialogue be established which go beyond OECD and G20</w:t>
      </w:r>
      <w:r>
        <w:rPr>
          <w:spacing w:val="-9"/>
        </w:rPr>
        <w:t> </w:t>
      </w:r>
      <w:r>
        <w:rPr/>
        <w:t>countries.</w:t>
      </w:r>
    </w:p>
    <w:p>
      <w:pPr>
        <w:pStyle w:val="BodyText"/>
        <w:spacing w:line="271" w:lineRule="auto" w:before="119"/>
        <w:ind w:left="723" w:right="488"/>
        <w:jc w:val="both"/>
      </w:pPr>
      <w:r>
        <w:rPr/>
        <w:t>As a result, the OECD established the OECD/G20 Inclusive Framework on BEPS (Inclusive Framework) in 2016, bringing together all interested and committed countries and jurisdictions on an equal footing in the</w:t>
      </w:r>
      <w:r>
        <w:rPr>
          <w:spacing w:val="-7"/>
        </w:rPr>
        <w:t> </w:t>
      </w:r>
      <w:r>
        <w:rPr/>
        <w:t>Committee</w:t>
      </w:r>
      <w:r>
        <w:rPr>
          <w:spacing w:val="-7"/>
        </w:rPr>
        <w:t> </w:t>
      </w:r>
      <w:r>
        <w:rPr/>
        <w:t>on</w:t>
      </w:r>
      <w:r>
        <w:rPr>
          <w:spacing w:val="-6"/>
        </w:rPr>
        <w:t> </w:t>
      </w:r>
      <w:r>
        <w:rPr/>
        <w:t>Fiscal</w:t>
      </w:r>
      <w:r>
        <w:rPr>
          <w:spacing w:val="-4"/>
        </w:rPr>
        <w:t> </w:t>
      </w:r>
      <w:r>
        <w:rPr/>
        <w:t>Affairs</w:t>
      </w:r>
      <w:r>
        <w:rPr>
          <w:spacing w:val="-5"/>
        </w:rPr>
        <w:t> </w:t>
      </w:r>
      <w:r>
        <w:rPr/>
        <w:t>and</w:t>
      </w:r>
      <w:r>
        <w:rPr>
          <w:spacing w:val="-4"/>
        </w:rPr>
        <w:t> </w:t>
      </w:r>
      <w:r>
        <w:rPr/>
        <w:t>all</w:t>
      </w:r>
      <w:r>
        <w:rPr>
          <w:spacing w:val="-7"/>
        </w:rPr>
        <w:t> </w:t>
      </w:r>
      <w:r>
        <w:rPr/>
        <w:t>its</w:t>
      </w:r>
      <w:r>
        <w:rPr>
          <w:spacing w:val="-5"/>
        </w:rPr>
        <w:t> </w:t>
      </w:r>
      <w:r>
        <w:rPr/>
        <w:t>subsidiary</w:t>
      </w:r>
      <w:r>
        <w:rPr>
          <w:spacing w:val="-9"/>
        </w:rPr>
        <w:t> </w:t>
      </w:r>
      <w:r>
        <w:rPr/>
        <w:t>bodies.</w:t>
      </w:r>
      <w:r>
        <w:rPr>
          <w:spacing w:val="-6"/>
        </w:rPr>
        <w:t> </w:t>
      </w:r>
      <w:r>
        <w:rPr/>
        <w:t>The</w:t>
      </w:r>
      <w:r>
        <w:rPr>
          <w:spacing w:val="-7"/>
        </w:rPr>
        <w:t> </w:t>
      </w:r>
      <w:r>
        <w:rPr/>
        <w:t>Inclusive</w:t>
      </w:r>
      <w:r>
        <w:rPr>
          <w:spacing w:val="-6"/>
        </w:rPr>
        <w:t> </w:t>
      </w:r>
      <w:r>
        <w:rPr/>
        <w:t>Framework,</w:t>
      </w:r>
      <w:r>
        <w:rPr>
          <w:spacing w:val="-6"/>
        </w:rPr>
        <w:t> </w:t>
      </w:r>
      <w:r>
        <w:rPr/>
        <w:t>which</w:t>
      </w:r>
      <w:r>
        <w:rPr>
          <w:spacing w:val="-7"/>
        </w:rPr>
        <w:t> </w:t>
      </w:r>
      <w:r>
        <w:rPr/>
        <w:t>already</w:t>
      </w:r>
      <w:r>
        <w:rPr>
          <w:spacing w:val="-7"/>
        </w:rPr>
        <w:t> </w:t>
      </w:r>
      <w:r>
        <w:rPr/>
        <w:t>has more than 135 members, is monitoring and peer reviewing the implementation of the BEPS minimum standards as well as completing the work on standard setting to address BEPS issues. In addition to its member jurisdictions, other international organisations and regional tax bodies are involved in the work of the</w:t>
      </w:r>
      <w:r>
        <w:rPr>
          <w:spacing w:val="-4"/>
        </w:rPr>
        <w:t> </w:t>
      </w:r>
      <w:r>
        <w:rPr/>
        <w:t>Inclusive</w:t>
      </w:r>
      <w:r>
        <w:rPr>
          <w:spacing w:val="-3"/>
        </w:rPr>
        <w:t> </w:t>
      </w:r>
      <w:r>
        <w:rPr/>
        <w:t>Framework,</w:t>
      </w:r>
      <w:r>
        <w:rPr>
          <w:spacing w:val="-4"/>
        </w:rPr>
        <w:t> </w:t>
      </w:r>
      <w:r>
        <w:rPr/>
        <w:t>which</w:t>
      </w:r>
      <w:r>
        <w:rPr>
          <w:spacing w:val="-3"/>
        </w:rPr>
        <w:t> </w:t>
      </w:r>
      <w:r>
        <w:rPr/>
        <w:t>also</w:t>
      </w:r>
      <w:r>
        <w:rPr>
          <w:spacing w:val="-4"/>
        </w:rPr>
        <w:t> </w:t>
      </w:r>
      <w:r>
        <w:rPr/>
        <w:t>consults</w:t>
      </w:r>
      <w:r>
        <w:rPr>
          <w:spacing w:val="-2"/>
        </w:rPr>
        <w:t> </w:t>
      </w:r>
      <w:r>
        <w:rPr/>
        <w:t>business</w:t>
      </w:r>
      <w:r>
        <w:rPr>
          <w:spacing w:val="-2"/>
        </w:rPr>
        <w:t> </w:t>
      </w:r>
      <w:r>
        <w:rPr/>
        <w:t>and</w:t>
      </w:r>
      <w:r>
        <w:rPr>
          <w:spacing w:val="-4"/>
        </w:rPr>
        <w:t> </w:t>
      </w:r>
      <w:r>
        <w:rPr/>
        <w:t>civil</w:t>
      </w:r>
      <w:r>
        <w:rPr>
          <w:spacing w:val="-4"/>
        </w:rPr>
        <w:t> </w:t>
      </w:r>
      <w:r>
        <w:rPr/>
        <w:t>society</w:t>
      </w:r>
      <w:r>
        <w:rPr>
          <w:spacing w:val="-6"/>
        </w:rPr>
        <w:t> </w:t>
      </w:r>
      <w:r>
        <w:rPr/>
        <w:t>on</w:t>
      </w:r>
      <w:r>
        <w:rPr>
          <w:spacing w:val="-4"/>
        </w:rPr>
        <w:t> </w:t>
      </w:r>
      <w:r>
        <w:rPr/>
        <w:t>its different</w:t>
      </w:r>
      <w:r>
        <w:rPr>
          <w:spacing w:val="-2"/>
        </w:rPr>
        <w:t> </w:t>
      </w:r>
      <w:r>
        <w:rPr/>
        <w:t>work</w:t>
      </w:r>
      <w:r>
        <w:rPr>
          <w:spacing w:val="1"/>
        </w:rPr>
        <w:t> </w:t>
      </w:r>
      <w:r>
        <w:rPr/>
        <w:t>streams.</w:t>
      </w:r>
    </w:p>
    <w:p>
      <w:pPr>
        <w:pStyle w:val="BodyText"/>
        <w:spacing w:line="271" w:lineRule="auto" w:before="123"/>
        <w:ind w:left="723" w:right="487"/>
        <w:jc w:val="both"/>
      </w:pPr>
      <w:r>
        <w:rPr/>
        <w:t>Addressing the tax challenges arising from the digitalisation of the economy has been a top priority of the BEPS Project and the Inclusive Framework since 2015 with the release of the BEPS Action 1 Report. At the</w:t>
      </w:r>
      <w:r>
        <w:rPr>
          <w:spacing w:val="-5"/>
        </w:rPr>
        <w:t> </w:t>
      </w:r>
      <w:r>
        <w:rPr/>
        <w:t>request</w:t>
      </w:r>
      <w:r>
        <w:rPr>
          <w:spacing w:val="-4"/>
        </w:rPr>
        <w:t> </w:t>
      </w:r>
      <w:r>
        <w:rPr/>
        <w:t>of</w:t>
      </w:r>
      <w:r>
        <w:rPr>
          <w:spacing w:val="-2"/>
        </w:rPr>
        <w:t> </w:t>
      </w:r>
      <w:r>
        <w:rPr/>
        <w:t>the</w:t>
      </w:r>
      <w:r>
        <w:rPr>
          <w:spacing w:val="-5"/>
        </w:rPr>
        <w:t> </w:t>
      </w:r>
      <w:r>
        <w:rPr/>
        <w:t>G20,</w:t>
      </w:r>
      <w:r>
        <w:rPr>
          <w:spacing w:val="-5"/>
        </w:rPr>
        <w:t> </w:t>
      </w:r>
      <w:r>
        <w:rPr/>
        <w:t>the</w:t>
      </w:r>
      <w:r>
        <w:rPr>
          <w:spacing w:val="-2"/>
        </w:rPr>
        <w:t> </w:t>
      </w:r>
      <w:r>
        <w:rPr/>
        <w:t>Inclusive</w:t>
      </w:r>
      <w:r>
        <w:rPr>
          <w:spacing w:val="-4"/>
        </w:rPr>
        <w:t> </w:t>
      </w:r>
      <w:r>
        <w:rPr/>
        <w:t>Framework</w:t>
      </w:r>
      <w:r>
        <w:rPr>
          <w:spacing w:val="-1"/>
        </w:rPr>
        <w:t> </w:t>
      </w:r>
      <w:r>
        <w:rPr/>
        <w:t>has</w:t>
      </w:r>
      <w:r>
        <w:rPr>
          <w:spacing w:val="-3"/>
        </w:rPr>
        <w:t> </w:t>
      </w:r>
      <w:r>
        <w:rPr/>
        <w:t>continued</w:t>
      </w:r>
      <w:r>
        <w:rPr>
          <w:spacing w:val="-4"/>
        </w:rPr>
        <w:t> </w:t>
      </w:r>
      <w:r>
        <w:rPr/>
        <w:t>to</w:t>
      </w:r>
      <w:r>
        <w:rPr>
          <w:spacing w:val="-3"/>
        </w:rPr>
        <w:t> </w:t>
      </w:r>
      <w:r>
        <w:rPr/>
        <w:t>work on</w:t>
      </w:r>
      <w:r>
        <w:rPr>
          <w:spacing w:val="-5"/>
        </w:rPr>
        <w:t> </w:t>
      </w:r>
      <w:r>
        <w:rPr/>
        <w:t>the</w:t>
      </w:r>
      <w:r>
        <w:rPr>
          <w:spacing w:val="-5"/>
        </w:rPr>
        <w:t> </w:t>
      </w:r>
      <w:r>
        <w:rPr/>
        <w:t>issue,</w:t>
      </w:r>
      <w:r>
        <w:rPr>
          <w:spacing w:val="-4"/>
        </w:rPr>
        <w:t> </w:t>
      </w:r>
      <w:r>
        <w:rPr/>
        <w:t>delivering</w:t>
      </w:r>
      <w:r>
        <w:rPr>
          <w:spacing w:val="-4"/>
        </w:rPr>
        <w:t> </w:t>
      </w:r>
      <w:r>
        <w:rPr/>
        <w:t>an</w:t>
      </w:r>
      <w:r>
        <w:rPr>
          <w:spacing w:val="-3"/>
        </w:rPr>
        <w:t> </w:t>
      </w:r>
      <w:r>
        <w:rPr/>
        <w:t>interim report</w:t>
      </w:r>
      <w:r>
        <w:rPr>
          <w:spacing w:val="-12"/>
        </w:rPr>
        <w:t> </w:t>
      </w:r>
      <w:r>
        <w:rPr/>
        <w:t>in</w:t>
      </w:r>
      <w:r>
        <w:rPr>
          <w:spacing w:val="-9"/>
        </w:rPr>
        <w:t> </w:t>
      </w:r>
      <w:r>
        <w:rPr/>
        <w:t>March</w:t>
      </w:r>
      <w:r>
        <w:rPr>
          <w:spacing w:val="-13"/>
        </w:rPr>
        <w:t> </w:t>
      </w:r>
      <w:r>
        <w:rPr/>
        <w:t>2018.</w:t>
      </w:r>
      <w:r>
        <w:rPr>
          <w:spacing w:val="-11"/>
        </w:rPr>
        <w:t> </w:t>
      </w:r>
      <w:r>
        <w:rPr/>
        <w:t>In</w:t>
      </w:r>
      <w:r>
        <w:rPr>
          <w:spacing w:val="-13"/>
        </w:rPr>
        <w:t> </w:t>
      </w:r>
      <w:r>
        <w:rPr/>
        <w:t>January</w:t>
      </w:r>
      <w:r>
        <w:rPr>
          <w:spacing w:val="-12"/>
        </w:rPr>
        <w:t> </w:t>
      </w:r>
      <w:r>
        <w:rPr/>
        <w:t>2019,</w:t>
      </w:r>
      <w:r>
        <w:rPr>
          <w:spacing w:val="-12"/>
        </w:rPr>
        <w:t> </w:t>
      </w:r>
      <w:r>
        <w:rPr/>
        <w:t>members</w:t>
      </w:r>
      <w:r>
        <w:rPr>
          <w:spacing w:val="-11"/>
        </w:rPr>
        <w:t> </w:t>
      </w:r>
      <w:r>
        <w:rPr/>
        <w:t>of</w:t>
      </w:r>
      <w:r>
        <w:rPr>
          <w:spacing w:val="-9"/>
        </w:rPr>
        <w:t> </w:t>
      </w:r>
      <w:r>
        <w:rPr/>
        <w:t>the</w:t>
      </w:r>
      <w:r>
        <w:rPr>
          <w:spacing w:val="-13"/>
        </w:rPr>
        <w:t> </w:t>
      </w:r>
      <w:r>
        <w:rPr/>
        <w:t>Inclusive</w:t>
      </w:r>
      <w:r>
        <w:rPr>
          <w:spacing w:val="-12"/>
        </w:rPr>
        <w:t> </w:t>
      </w:r>
      <w:r>
        <w:rPr/>
        <w:t>Framework</w:t>
      </w:r>
      <w:r>
        <w:rPr>
          <w:spacing w:val="-8"/>
        </w:rPr>
        <w:t> </w:t>
      </w:r>
      <w:r>
        <w:rPr/>
        <w:t>agreed</w:t>
      </w:r>
      <w:r>
        <w:rPr>
          <w:spacing w:val="-12"/>
        </w:rPr>
        <w:t> </w:t>
      </w:r>
      <w:r>
        <w:rPr/>
        <w:t>to</w:t>
      </w:r>
      <w:r>
        <w:rPr>
          <w:spacing w:val="-12"/>
        </w:rPr>
        <w:t> </w:t>
      </w:r>
      <w:r>
        <w:rPr/>
        <w:t>examine</w:t>
      </w:r>
      <w:r>
        <w:rPr>
          <w:spacing w:val="-13"/>
        </w:rPr>
        <w:t> </w:t>
      </w:r>
      <w:r>
        <w:rPr/>
        <w:t>proposals in two pillars, which could form the basis for a consensus solution to the tax challenges arising from digitalisation.</w:t>
      </w:r>
      <w:r>
        <w:rPr>
          <w:spacing w:val="-14"/>
        </w:rPr>
        <w:t> </w:t>
      </w:r>
      <w:r>
        <w:rPr/>
        <w:t>Pillar</w:t>
      </w:r>
      <w:r>
        <w:rPr>
          <w:spacing w:val="-12"/>
        </w:rPr>
        <w:t> </w:t>
      </w:r>
      <w:r>
        <w:rPr/>
        <w:t>One</w:t>
      </w:r>
      <w:r>
        <w:rPr>
          <w:spacing w:val="-13"/>
        </w:rPr>
        <w:t> </w:t>
      </w:r>
      <w:r>
        <w:rPr/>
        <w:t>is</w:t>
      </w:r>
      <w:r>
        <w:rPr>
          <w:spacing w:val="-11"/>
        </w:rPr>
        <w:t> </w:t>
      </w:r>
      <w:r>
        <w:rPr/>
        <w:t>focused</w:t>
      </w:r>
      <w:r>
        <w:rPr>
          <w:spacing w:val="-13"/>
        </w:rPr>
        <w:t> </w:t>
      </w:r>
      <w:r>
        <w:rPr/>
        <w:t>on</w:t>
      </w:r>
      <w:r>
        <w:rPr>
          <w:spacing w:val="-13"/>
        </w:rPr>
        <w:t> </w:t>
      </w:r>
      <w:r>
        <w:rPr/>
        <w:t>nexus</w:t>
      </w:r>
      <w:r>
        <w:rPr>
          <w:spacing w:val="-11"/>
        </w:rPr>
        <w:t> </w:t>
      </w:r>
      <w:r>
        <w:rPr/>
        <w:t>and</w:t>
      </w:r>
      <w:r>
        <w:rPr>
          <w:spacing w:val="-13"/>
        </w:rPr>
        <w:t> </w:t>
      </w:r>
      <w:r>
        <w:rPr/>
        <w:t>profit</w:t>
      </w:r>
      <w:r>
        <w:rPr>
          <w:spacing w:val="-10"/>
        </w:rPr>
        <w:t> </w:t>
      </w:r>
      <w:r>
        <w:rPr/>
        <w:t>allocation</w:t>
      </w:r>
      <w:r>
        <w:rPr>
          <w:spacing w:val="-11"/>
        </w:rPr>
        <w:t> </w:t>
      </w:r>
      <w:r>
        <w:rPr/>
        <w:t>whereas</w:t>
      </w:r>
      <w:r>
        <w:rPr>
          <w:spacing w:val="-11"/>
        </w:rPr>
        <w:t> </w:t>
      </w:r>
      <w:r>
        <w:rPr/>
        <w:t>Pillar</w:t>
      </w:r>
      <w:r>
        <w:rPr>
          <w:spacing w:val="-12"/>
        </w:rPr>
        <w:t> </w:t>
      </w:r>
      <w:r>
        <w:rPr/>
        <w:t>Two</w:t>
      </w:r>
      <w:r>
        <w:rPr>
          <w:spacing w:val="-12"/>
        </w:rPr>
        <w:t> </w:t>
      </w:r>
      <w:r>
        <w:rPr/>
        <w:t>is</w:t>
      </w:r>
      <w:r>
        <w:rPr>
          <w:spacing w:val="-11"/>
        </w:rPr>
        <w:t> </w:t>
      </w:r>
      <w:r>
        <w:rPr/>
        <w:t>focused</w:t>
      </w:r>
      <w:r>
        <w:rPr>
          <w:spacing w:val="-13"/>
        </w:rPr>
        <w:t> </w:t>
      </w:r>
      <w:r>
        <w:rPr/>
        <w:t>on</w:t>
      </w:r>
      <w:r>
        <w:rPr>
          <w:spacing w:val="-13"/>
        </w:rPr>
        <w:t> </w:t>
      </w:r>
      <w:r>
        <w:rPr/>
        <w:t>a</w:t>
      </w:r>
      <w:r>
        <w:rPr>
          <w:spacing w:val="-13"/>
        </w:rPr>
        <w:t> </w:t>
      </w:r>
      <w:r>
        <w:rPr/>
        <w:t>global minimum</w:t>
      </w:r>
      <w:r>
        <w:rPr>
          <w:spacing w:val="-5"/>
        </w:rPr>
        <w:t> </w:t>
      </w:r>
      <w:r>
        <w:rPr/>
        <w:t>tax</w:t>
      </w:r>
      <w:r>
        <w:rPr>
          <w:spacing w:val="-9"/>
        </w:rPr>
        <w:t> </w:t>
      </w:r>
      <w:r>
        <w:rPr/>
        <w:t>intended</w:t>
      </w:r>
      <w:r>
        <w:rPr>
          <w:spacing w:val="-7"/>
        </w:rPr>
        <w:t> </w:t>
      </w:r>
      <w:r>
        <w:rPr/>
        <w:t>to</w:t>
      </w:r>
      <w:r>
        <w:rPr>
          <w:spacing w:val="-8"/>
        </w:rPr>
        <w:t> </w:t>
      </w:r>
      <w:r>
        <w:rPr/>
        <w:t>address</w:t>
      </w:r>
      <w:r>
        <w:rPr>
          <w:spacing w:val="-8"/>
        </w:rPr>
        <w:t> </w:t>
      </w:r>
      <w:r>
        <w:rPr/>
        <w:t>remaining</w:t>
      </w:r>
      <w:r>
        <w:rPr>
          <w:spacing w:val="-8"/>
        </w:rPr>
        <w:t> </w:t>
      </w:r>
      <w:r>
        <w:rPr/>
        <w:t>BEPS</w:t>
      </w:r>
      <w:r>
        <w:rPr>
          <w:spacing w:val="-9"/>
        </w:rPr>
        <w:t> </w:t>
      </w:r>
      <w:r>
        <w:rPr/>
        <w:t>issues.</w:t>
      </w:r>
      <w:r>
        <w:rPr>
          <w:spacing w:val="-9"/>
        </w:rPr>
        <w:t> </w:t>
      </w:r>
      <w:r>
        <w:rPr/>
        <w:t>A</w:t>
      </w:r>
      <w:r>
        <w:rPr>
          <w:spacing w:val="-8"/>
        </w:rPr>
        <w:t> </w:t>
      </w:r>
      <w:r>
        <w:rPr/>
        <w:t>programme</w:t>
      </w:r>
      <w:r>
        <w:rPr>
          <w:spacing w:val="-9"/>
        </w:rPr>
        <w:t> </w:t>
      </w:r>
      <w:r>
        <w:rPr/>
        <w:t>of</w:t>
      </w:r>
      <w:r>
        <w:rPr>
          <w:spacing w:val="-8"/>
        </w:rPr>
        <w:t> </w:t>
      </w:r>
      <w:r>
        <w:rPr/>
        <w:t>work</w:t>
      </w:r>
      <w:r>
        <w:rPr>
          <w:spacing w:val="-6"/>
        </w:rPr>
        <w:t> </w:t>
      </w:r>
      <w:r>
        <w:rPr/>
        <w:t>to</w:t>
      </w:r>
      <w:r>
        <w:rPr>
          <w:spacing w:val="-9"/>
        </w:rPr>
        <w:t> </w:t>
      </w:r>
      <w:r>
        <w:rPr/>
        <w:t>be</w:t>
      </w:r>
      <w:r>
        <w:rPr>
          <w:spacing w:val="-9"/>
        </w:rPr>
        <w:t> </w:t>
      </w:r>
      <w:r>
        <w:rPr/>
        <w:t>conducted</w:t>
      </w:r>
      <w:r>
        <w:rPr>
          <w:spacing w:val="-10"/>
        </w:rPr>
        <w:t> </w:t>
      </w:r>
      <w:r>
        <w:rPr/>
        <w:t>on</w:t>
      </w:r>
      <w:r>
        <w:rPr>
          <w:spacing w:val="-7"/>
        </w:rPr>
        <w:t> </w:t>
      </w:r>
      <w:r>
        <w:rPr/>
        <w:t>Pillar One</w:t>
      </w:r>
      <w:r>
        <w:rPr>
          <w:spacing w:val="-4"/>
        </w:rPr>
        <w:t> </w:t>
      </w:r>
      <w:r>
        <w:rPr/>
        <w:t>and</w:t>
      </w:r>
      <w:r>
        <w:rPr>
          <w:spacing w:val="-1"/>
        </w:rPr>
        <w:t> </w:t>
      </w:r>
      <w:r>
        <w:rPr/>
        <w:t>Pillar</w:t>
      </w:r>
      <w:r>
        <w:rPr>
          <w:spacing w:val="-3"/>
        </w:rPr>
        <w:t> </w:t>
      </w:r>
      <w:r>
        <w:rPr/>
        <w:t>Two</w:t>
      </w:r>
      <w:r>
        <w:rPr>
          <w:spacing w:val="-1"/>
        </w:rPr>
        <w:t> </w:t>
      </w:r>
      <w:r>
        <w:rPr/>
        <w:t>was</w:t>
      </w:r>
      <w:r>
        <w:rPr>
          <w:spacing w:val="-2"/>
        </w:rPr>
        <w:t> </w:t>
      </w:r>
      <w:r>
        <w:rPr/>
        <w:t>adopted</w:t>
      </w:r>
      <w:r>
        <w:rPr>
          <w:spacing w:val="-2"/>
        </w:rPr>
        <w:t> </w:t>
      </w:r>
      <w:r>
        <w:rPr/>
        <w:t>in</w:t>
      </w:r>
      <w:r>
        <w:rPr>
          <w:spacing w:val="-3"/>
        </w:rPr>
        <w:t> </w:t>
      </w:r>
      <w:r>
        <w:rPr/>
        <w:t>May</w:t>
      </w:r>
      <w:r>
        <w:rPr>
          <w:spacing w:val="-4"/>
        </w:rPr>
        <w:t> </w:t>
      </w:r>
      <w:r>
        <w:rPr/>
        <w:t>2019</w:t>
      </w:r>
      <w:r>
        <w:rPr>
          <w:spacing w:val="-4"/>
        </w:rPr>
        <w:t> </w:t>
      </w:r>
      <w:r>
        <w:rPr/>
        <w:t>and</w:t>
      </w:r>
      <w:r>
        <w:rPr>
          <w:spacing w:val="-1"/>
        </w:rPr>
        <w:t> </w:t>
      </w:r>
      <w:r>
        <w:rPr/>
        <w:t>later</w:t>
      </w:r>
      <w:r>
        <w:rPr>
          <w:spacing w:val="-2"/>
        </w:rPr>
        <w:t> </w:t>
      </w:r>
      <w:r>
        <w:rPr/>
        <w:t>endorsed</w:t>
      </w:r>
      <w:r>
        <w:rPr>
          <w:spacing w:val="-1"/>
        </w:rPr>
        <w:t> </w:t>
      </w:r>
      <w:r>
        <w:rPr/>
        <w:t>by</w:t>
      </w:r>
      <w:r>
        <w:rPr>
          <w:spacing w:val="-6"/>
        </w:rPr>
        <w:t> </w:t>
      </w:r>
      <w:r>
        <w:rPr/>
        <w:t>the</w:t>
      </w:r>
      <w:r>
        <w:rPr>
          <w:spacing w:val="-2"/>
        </w:rPr>
        <w:t> </w:t>
      </w:r>
      <w:r>
        <w:rPr/>
        <w:t>G20</w:t>
      </w:r>
      <w:r>
        <w:rPr>
          <w:spacing w:val="-3"/>
        </w:rPr>
        <w:t> </w:t>
      </w:r>
      <w:r>
        <w:rPr/>
        <w:t>in</w:t>
      </w:r>
      <w:r>
        <w:rPr>
          <w:spacing w:val="-3"/>
        </w:rPr>
        <w:t> </w:t>
      </w:r>
      <w:r>
        <w:rPr/>
        <w:t>June</w:t>
      </w:r>
      <w:r>
        <w:rPr>
          <w:spacing w:val="-1"/>
        </w:rPr>
        <w:t> </w:t>
      </w:r>
      <w:r>
        <w:rPr/>
        <w:t>2019.</w:t>
      </w:r>
      <w:r>
        <w:rPr>
          <w:spacing w:val="-1"/>
        </w:rPr>
        <w:t> </w:t>
      </w:r>
      <w:r>
        <w:rPr/>
        <w:t>As</w:t>
      </w:r>
      <w:r>
        <w:rPr>
          <w:spacing w:val="-2"/>
        </w:rPr>
        <w:t> </w:t>
      </w:r>
      <w:r>
        <w:rPr/>
        <w:t>part of</w:t>
      </w:r>
      <w:r>
        <w:rPr>
          <w:spacing w:val="-1"/>
        </w:rPr>
        <w:t> </w:t>
      </w:r>
      <w:r>
        <w:rPr/>
        <w:t>the</w:t>
      </w:r>
    </w:p>
    <w:p>
      <w:pPr>
        <w:spacing w:after="0" w:line="271" w:lineRule="auto"/>
        <w:jc w:val="both"/>
        <w:sectPr>
          <w:pgSz w:w="11910" w:h="16840"/>
          <w:pgMar w:header="1244" w:footer="1638" w:top="1500" w:bottom="1820" w:left="580" w:right="820"/>
        </w:sectPr>
      </w:pPr>
    </w:p>
    <w:p>
      <w:pPr>
        <w:pStyle w:val="BodyText"/>
        <w:spacing w:before="5"/>
      </w:pPr>
    </w:p>
    <w:p>
      <w:pPr>
        <w:pStyle w:val="BodyText"/>
        <w:spacing w:line="271" w:lineRule="auto" w:before="93"/>
        <w:ind w:left="723" w:right="492"/>
        <w:jc w:val="both"/>
      </w:pPr>
      <w:r>
        <w:rPr/>
        <w:t>programme of work, the OECD Secretariat was mandated to carry out an economic analysis and impact assessment of the Pillar One and Pillar Two proposals. In July 2020, the G20 mandated the Inclusive Framework</w:t>
      </w:r>
      <w:r>
        <w:rPr>
          <w:spacing w:val="-5"/>
        </w:rPr>
        <w:t> </w:t>
      </w:r>
      <w:r>
        <w:rPr/>
        <w:t>to</w:t>
      </w:r>
      <w:r>
        <w:rPr>
          <w:spacing w:val="-9"/>
        </w:rPr>
        <w:t> </w:t>
      </w:r>
      <w:r>
        <w:rPr/>
        <w:t>produce</w:t>
      </w:r>
      <w:r>
        <w:rPr>
          <w:spacing w:val="-7"/>
        </w:rPr>
        <w:t> </w:t>
      </w:r>
      <w:r>
        <w:rPr/>
        <w:t>reports</w:t>
      </w:r>
      <w:r>
        <w:rPr>
          <w:spacing w:val="-7"/>
        </w:rPr>
        <w:t> </w:t>
      </w:r>
      <w:r>
        <w:rPr/>
        <w:t>on</w:t>
      </w:r>
      <w:r>
        <w:rPr>
          <w:spacing w:val="-9"/>
        </w:rPr>
        <w:t> </w:t>
      </w:r>
      <w:r>
        <w:rPr/>
        <w:t>the</w:t>
      </w:r>
      <w:r>
        <w:rPr>
          <w:spacing w:val="-7"/>
        </w:rPr>
        <w:t> </w:t>
      </w:r>
      <w:r>
        <w:rPr/>
        <w:t>Blueprints</w:t>
      </w:r>
      <w:r>
        <w:rPr>
          <w:spacing w:val="-6"/>
        </w:rPr>
        <w:t> </w:t>
      </w:r>
      <w:r>
        <w:rPr/>
        <w:t>of</w:t>
      </w:r>
      <w:r>
        <w:rPr>
          <w:spacing w:val="-6"/>
        </w:rPr>
        <w:t> </w:t>
      </w:r>
      <w:r>
        <w:rPr/>
        <w:t>Pillar</w:t>
      </w:r>
      <w:r>
        <w:rPr>
          <w:spacing w:val="-8"/>
        </w:rPr>
        <w:t> </w:t>
      </w:r>
      <w:r>
        <w:rPr/>
        <w:t>One</w:t>
      </w:r>
      <w:r>
        <w:rPr>
          <w:spacing w:val="-9"/>
        </w:rPr>
        <w:t> </w:t>
      </w:r>
      <w:r>
        <w:rPr/>
        <w:t>and</w:t>
      </w:r>
      <w:r>
        <w:rPr>
          <w:spacing w:val="-6"/>
        </w:rPr>
        <w:t> </w:t>
      </w:r>
      <w:r>
        <w:rPr/>
        <w:t>Pillar</w:t>
      </w:r>
      <w:r>
        <w:rPr>
          <w:spacing w:val="-8"/>
        </w:rPr>
        <w:t> </w:t>
      </w:r>
      <w:r>
        <w:rPr/>
        <w:t>Two</w:t>
      </w:r>
      <w:r>
        <w:rPr>
          <w:spacing w:val="-7"/>
        </w:rPr>
        <w:t> </w:t>
      </w:r>
      <w:r>
        <w:rPr/>
        <w:t>by</w:t>
      </w:r>
      <w:r>
        <w:rPr>
          <w:spacing w:val="-11"/>
        </w:rPr>
        <w:t> </w:t>
      </w:r>
      <w:r>
        <w:rPr/>
        <w:t>the</w:t>
      </w:r>
      <w:r>
        <w:rPr>
          <w:spacing w:val="-7"/>
        </w:rPr>
        <w:t> </w:t>
      </w:r>
      <w:r>
        <w:rPr/>
        <w:t>G20</w:t>
      </w:r>
      <w:r>
        <w:rPr>
          <w:spacing w:val="-9"/>
        </w:rPr>
        <w:t> </w:t>
      </w:r>
      <w:r>
        <w:rPr/>
        <w:t>Finance</w:t>
      </w:r>
      <w:r>
        <w:rPr>
          <w:spacing w:val="-6"/>
        </w:rPr>
        <w:t> </w:t>
      </w:r>
      <w:r>
        <w:rPr/>
        <w:t>Ministers meeting in October</w:t>
      </w:r>
      <w:r>
        <w:rPr>
          <w:spacing w:val="-2"/>
        </w:rPr>
        <w:t> </w:t>
      </w:r>
      <w:r>
        <w:rPr/>
        <w:t>2020.</w:t>
      </w:r>
    </w:p>
    <w:p>
      <w:pPr>
        <w:pStyle w:val="BodyText"/>
        <w:spacing w:line="271" w:lineRule="auto" w:before="120"/>
        <w:ind w:left="723" w:right="486"/>
        <w:jc w:val="both"/>
      </w:pPr>
      <w:r>
        <w:rPr/>
        <w:t>This report was approved by the Inclusive Framework on </w:t>
      </w:r>
      <w:r>
        <w:rPr>
          <w:spacing w:val="3"/>
        </w:rPr>
        <w:t>8-9 </w:t>
      </w:r>
      <w:r>
        <w:rPr/>
        <w:t>October 2020 and prepared for publication by the OECD</w:t>
      </w:r>
      <w:r>
        <w:rPr>
          <w:spacing w:val="-5"/>
        </w:rPr>
        <w:t> </w:t>
      </w:r>
      <w:r>
        <w:rPr/>
        <w:t>Secretariat.</w:t>
      </w:r>
    </w:p>
    <w:p>
      <w:pPr>
        <w:spacing w:after="0" w:line="271" w:lineRule="auto"/>
        <w:jc w:val="both"/>
        <w:sectPr>
          <w:pgSz w:w="11910" w:h="16840"/>
          <w:pgMar w:header="1244" w:footer="1638" w:top="1500" w:bottom="1820" w:left="580" w:right="820"/>
        </w:sectPr>
      </w:pPr>
    </w:p>
    <w:p>
      <w:pPr>
        <w:pStyle w:val="BodyText"/>
        <w:spacing w:before="5"/>
        <w:rPr>
          <w:sz w:val="17"/>
        </w:rPr>
      </w:pPr>
    </w:p>
    <w:p>
      <w:pPr>
        <w:pStyle w:val="Heading1"/>
      </w:pPr>
      <w:r>
        <w:rPr>
          <w:color w:val="4E81BD"/>
        </w:rPr>
        <w:t>Table of contents</w:t>
      </w:r>
    </w:p>
    <w:p>
      <w:pPr>
        <w:pStyle w:val="BodyText"/>
        <w:rPr>
          <w:rFonts w:ascii="Arial Narrow"/>
          <w:b/>
          <w:sz w:val="82"/>
        </w:rPr>
      </w:pPr>
    </w:p>
    <w:p>
      <w:pPr>
        <w:pStyle w:val="BodyText"/>
        <w:spacing w:before="1"/>
        <w:rPr>
          <w:rFonts w:ascii="Arial Narrow"/>
          <w:b/>
          <w:sz w:val="101"/>
        </w:rPr>
      </w:pPr>
    </w:p>
    <w:p>
      <w:pPr>
        <w:spacing w:after="0"/>
        <w:rPr>
          <w:rFonts w:ascii="Arial Narrow"/>
          <w:sz w:val="101"/>
        </w:rPr>
        <w:sectPr>
          <w:pgSz w:w="11910" w:h="16840"/>
          <w:pgMar w:header="1244" w:footer="1638" w:top="1500" w:bottom="2093" w:left="580" w:right="820"/>
        </w:sectPr>
      </w:pPr>
    </w:p>
    <w:sdt>
      <w:sdtPr>
        <w:docPartObj>
          <w:docPartGallery w:val="Table of Contents"/>
          <w:docPartUnique/>
        </w:docPartObj>
      </w:sdtPr>
      <w:sdtEndPr/>
      <w:sdtContent>
        <w:p>
          <w:pPr>
            <w:pStyle w:val="TOC1"/>
            <w:tabs>
              <w:tab w:pos="9797" w:val="right" w:leader="none"/>
            </w:tabs>
            <w:spacing w:before="0"/>
            <w:ind w:left="723" w:firstLine="0"/>
          </w:pPr>
          <w:hyperlink w:history="true" w:anchor="_bookmark0">
            <w:r>
              <w:rPr>
                <w:color w:val="4E81BD"/>
              </w:rPr>
              <w:t>Foreword</w:t>
              <w:tab/>
              <w:t>3</w:t>
            </w:r>
          </w:hyperlink>
        </w:p>
        <w:p>
          <w:pPr>
            <w:pStyle w:val="TOC1"/>
            <w:spacing w:line="311" w:lineRule="exact" w:before="220"/>
            <w:ind w:left="723" w:firstLine="0"/>
          </w:pPr>
          <w:hyperlink w:history="true" w:anchor="_bookmark1">
            <w:r>
              <w:rPr>
                <w:color w:val="4E81BD"/>
              </w:rPr>
              <w:t>Cover Statement by the OECD/G20 Inclusive Framework on BEPS on the Reports</w:t>
            </w:r>
          </w:hyperlink>
        </w:p>
        <w:p>
          <w:pPr>
            <w:pStyle w:val="TOC2"/>
            <w:tabs>
              <w:tab w:pos="9797" w:val="right" w:leader="none"/>
            </w:tabs>
          </w:pPr>
          <w:hyperlink w:history="true" w:anchor="_bookmark1">
            <w:r>
              <w:rPr>
                <w:color w:val="4E81BD"/>
              </w:rPr>
              <w:t>on the Blueprints of Pillar One and</w:t>
            </w:r>
            <w:r>
              <w:rPr>
                <w:color w:val="4E81BD"/>
                <w:spacing w:val="-4"/>
              </w:rPr>
              <w:t> </w:t>
            </w:r>
            <w:r>
              <w:rPr>
                <w:color w:val="4E81BD"/>
              </w:rPr>
              <w:t>Pillar Two</w:t>
              <w:tab/>
              <w:t>7</w:t>
            </w:r>
          </w:hyperlink>
        </w:p>
        <w:p>
          <w:pPr>
            <w:pStyle w:val="TOC1"/>
            <w:numPr>
              <w:ilvl w:val="0"/>
              <w:numId w:val="1"/>
            </w:numPr>
            <w:tabs>
              <w:tab w:pos="981" w:val="left" w:leader="none"/>
              <w:tab w:pos="9797" w:val="right" w:leader="none"/>
            </w:tabs>
            <w:spacing w:line="240" w:lineRule="auto" w:before="218" w:after="0"/>
            <w:ind w:left="980" w:right="0" w:hanging="258"/>
            <w:jc w:val="left"/>
          </w:pPr>
          <w:hyperlink w:history="true" w:anchor="_bookmark2">
            <w:r>
              <w:rPr>
                <w:color w:val="4E81BD"/>
              </w:rPr>
              <w:t>Executive</w:t>
            </w:r>
            <w:r>
              <w:rPr>
                <w:color w:val="4E81BD"/>
                <w:spacing w:val="-1"/>
              </w:rPr>
              <w:t> </w:t>
            </w:r>
            <w:r>
              <w:rPr>
                <w:color w:val="4E81BD"/>
              </w:rPr>
              <w:t>summary</w:t>
              <w:tab/>
              <w:t>10</w:t>
            </w:r>
          </w:hyperlink>
        </w:p>
        <w:p>
          <w:pPr>
            <w:pStyle w:val="TOC3"/>
            <w:numPr>
              <w:ilvl w:val="1"/>
              <w:numId w:val="1"/>
            </w:numPr>
            <w:tabs>
              <w:tab w:pos="1437" w:val="left" w:leader="none"/>
              <w:tab w:pos="9797" w:val="right" w:leader="none"/>
            </w:tabs>
            <w:spacing w:line="240" w:lineRule="auto" w:before="28" w:after="0"/>
            <w:ind w:left="1436" w:right="0" w:hanging="431"/>
            <w:jc w:val="left"/>
          </w:pPr>
          <w:hyperlink w:history="true" w:anchor="_bookmark3">
            <w:r>
              <w:rPr/>
              <w:t>Introduction</w:t>
              <w:tab/>
              <w:t>10</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4">
            <w:r>
              <w:rPr/>
              <w:t>Pillar One</w:t>
            </w:r>
            <w:r>
              <w:rPr>
                <w:spacing w:val="-2"/>
              </w:rPr>
              <w:t> </w:t>
            </w:r>
            <w:r>
              <w:rPr/>
              <w:t>Blueprint</w:t>
              <w:tab/>
              <w:t>11</w:t>
            </w:r>
          </w:hyperlink>
        </w:p>
        <w:p>
          <w:pPr>
            <w:pStyle w:val="TOC1"/>
            <w:numPr>
              <w:ilvl w:val="0"/>
              <w:numId w:val="1"/>
            </w:numPr>
            <w:tabs>
              <w:tab w:pos="981" w:val="left" w:leader="none"/>
              <w:tab w:pos="9797" w:val="right" w:leader="none"/>
            </w:tabs>
            <w:spacing w:line="240" w:lineRule="auto" w:before="217" w:after="0"/>
            <w:ind w:left="980" w:right="0" w:hanging="258"/>
            <w:jc w:val="left"/>
          </w:pPr>
          <w:hyperlink w:history="true" w:anchor="_bookmark6">
            <w:r>
              <w:rPr>
                <w:color w:val="4E81BD"/>
              </w:rPr>
              <w:t>Scope</w:t>
              <w:tab/>
              <w:t>19</w:t>
            </w:r>
          </w:hyperlink>
        </w:p>
        <w:p>
          <w:pPr>
            <w:pStyle w:val="TOC3"/>
            <w:numPr>
              <w:ilvl w:val="1"/>
              <w:numId w:val="1"/>
            </w:numPr>
            <w:tabs>
              <w:tab w:pos="1437" w:val="left" w:leader="none"/>
              <w:tab w:pos="9797" w:val="right" w:leader="none"/>
            </w:tabs>
            <w:spacing w:line="240" w:lineRule="auto" w:before="30" w:after="0"/>
            <w:ind w:left="1436" w:right="0" w:hanging="431"/>
            <w:jc w:val="left"/>
          </w:pPr>
          <w:hyperlink w:history="true" w:anchor="_bookmark7">
            <w:r>
              <w:rPr/>
              <w:t>Overview</w:t>
              <w:tab/>
              <w:t>19</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8">
            <w:r>
              <w:rPr/>
              <w:t>Activity</w:t>
            </w:r>
            <w:r>
              <w:rPr>
                <w:spacing w:val="-3"/>
              </w:rPr>
              <w:t> </w:t>
            </w:r>
            <w:r>
              <w:rPr/>
              <w:t>tests</w:t>
              <w:tab/>
              <w:t>22</w:t>
            </w:r>
          </w:hyperlink>
        </w:p>
        <w:p>
          <w:pPr>
            <w:pStyle w:val="TOC3"/>
            <w:numPr>
              <w:ilvl w:val="1"/>
              <w:numId w:val="1"/>
            </w:numPr>
            <w:tabs>
              <w:tab w:pos="1434" w:val="left" w:leader="none"/>
              <w:tab w:pos="9797" w:val="right" w:leader="none"/>
            </w:tabs>
            <w:spacing w:line="240" w:lineRule="auto" w:before="6" w:after="0"/>
            <w:ind w:left="1433" w:right="0" w:hanging="428"/>
            <w:jc w:val="left"/>
          </w:pPr>
          <w:hyperlink w:history="true" w:anchor="_bookmark9">
            <w:r>
              <w:rPr/>
              <w:t>Threshold</w:t>
            </w:r>
            <w:r>
              <w:rPr>
                <w:spacing w:val="-3"/>
              </w:rPr>
              <w:t> </w:t>
            </w:r>
            <w:r>
              <w:rPr/>
              <w:t>tests</w:t>
              <w:tab/>
              <w:t>61</w:t>
            </w:r>
          </w:hyperlink>
        </w:p>
        <w:p>
          <w:pPr>
            <w:pStyle w:val="TOC1"/>
            <w:numPr>
              <w:ilvl w:val="0"/>
              <w:numId w:val="1"/>
            </w:numPr>
            <w:tabs>
              <w:tab w:pos="981" w:val="left" w:leader="none"/>
              <w:tab w:pos="9797" w:val="right" w:leader="none"/>
            </w:tabs>
            <w:spacing w:line="240" w:lineRule="auto" w:before="219" w:after="0"/>
            <w:ind w:left="980" w:right="0" w:hanging="258"/>
            <w:jc w:val="left"/>
          </w:pPr>
          <w:hyperlink w:history="true" w:anchor="_bookmark12">
            <w:r>
              <w:rPr>
                <w:color w:val="4E81BD"/>
              </w:rPr>
              <w:t>Nexus</w:t>
              <w:tab/>
              <w:t>65</w:t>
            </w:r>
          </w:hyperlink>
        </w:p>
        <w:p>
          <w:pPr>
            <w:pStyle w:val="TOC3"/>
            <w:numPr>
              <w:ilvl w:val="1"/>
              <w:numId w:val="1"/>
            </w:numPr>
            <w:tabs>
              <w:tab w:pos="1437" w:val="left" w:leader="none"/>
              <w:tab w:pos="9797" w:val="right" w:leader="none"/>
            </w:tabs>
            <w:spacing w:line="240" w:lineRule="auto" w:before="28" w:after="0"/>
            <w:ind w:left="1436" w:right="0" w:hanging="431"/>
            <w:jc w:val="left"/>
          </w:pPr>
          <w:hyperlink w:history="true" w:anchor="_bookmark13">
            <w:r>
              <w:rPr/>
              <w:t>Overview</w:t>
              <w:tab/>
              <w:t>65</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14">
            <w:r>
              <w:rPr/>
              <w:t>Features and operation of the</w:t>
            </w:r>
            <w:r>
              <w:rPr>
                <w:spacing w:val="-2"/>
              </w:rPr>
              <w:t> </w:t>
            </w:r>
            <w:r>
              <w:rPr/>
              <w:t>nexus</w:t>
            </w:r>
            <w:r>
              <w:rPr>
                <w:spacing w:val="-2"/>
              </w:rPr>
              <w:t> </w:t>
            </w:r>
            <w:r>
              <w:rPr/>
              <w:t>rules</w:t>
              <w:tab/>
              <w:t>66</w:t>
            </w:r>
          </w:hyperlink>
        </w:p>
        <w:p>
          <w:pPr>
            <w:pStyle w:val="TOC3"/>
            <w:numPr>
              <w:ilvl w:val="1"/>
              <w:numId w:val="1"/>
            </w:numPr>
            <w:tabs>
              <w:tab w:pos="1437" w:val="left" w:leader="none"/>
              <w:tab w:pos="9797" w:val="right" w:leader="none"/>
            </w:tabs>
            <w:spacing w:line="240" w:lineRule="auto" w:before="9" w:after="0"/>
            <w:ind w:left="1436" w:right="0" w:hanging="431"/>
            <w:jc w:val="left"/>
          </w:pPr>
          <w:hyperlink w:history="true" w:anchor="_bookmark18">
            <w:r>
              <w:rPr/>
              <w:t>Next</w:t>
            </w:r>
            <w:r>
              <w:rPr>
                <w:spacing w:val="1"/>
              </w:rPr>
              <w:t> </w:t>
            </w:r>
            <w:r>
              <w:rPr/>
              <w:t>steps</w:t>
              <w:tab/>
              <w:t>70</w:t>
            </w:r>
          </w:hyperlink>
        </w:p>
        <w:p>
          <w:pPr>
            <w:pStyle w:val="TOC1"/>
            <w:numPr>
              <w:ilvl w:val="0"/>
              <w:numId w:val="1"/>
            </w:numPr>
            <w:tabs>
              <w:tab w:pos="981" w:val="left" w:leader="none"/>
              <w:tab w:pos="9797" w:val="right" w:leader="none"/>
            </w:tabs>
            <w:spacing w:line="240" w:lineRule="auto" w:before="216" w:after="0"/>
            <w:ind w:left="980" w:right="0" w:hanging="258"/>
            <w:jc w:val="left"/>
          </w:pPr>
          <w:hyperlink w:history="true" w:anchor="_bookmark19">
            <w:r>
              <w:rPr>
                <w:color w:val="4E81BD"/>
              </w:rPr>
              <w:t>Revenue</w:t>
            </w:r>
            <w:r>
              <w:rPr>
                <w:color w:val="4E81BD"/>
                <w:spacing w:val="-2"/>
              </w:rPr>
              <w:t> </w:t>
            </w:r>
            <w:r>
              <w:rPr>
                <w:color w:val="4E81BD"/>
              </w:rPr>
              <w:t>sourcing</w:t>
            </w:r>
            <w:r>
              <w:rPr>
                <w:color w:val="4E81BD"/>
                <w:spacing w:val="-1"/>
              </w:rPr>
              <w:t> </w:t>
            </w:r>
            <w:r>
              <w:rPr>
                <w:color w:val="4E81BD"/>
              </w:rPr>
              <w:t>rules</w:t>
              <w:tab/>
              <w:t>71</w:t>
            </w:r>
          </w:hyperlink>
        </w:p>
        <w:p>
          <w:pPr>
            <w:pStyle w:val="TOC3"/>
            <w:numPr>
              <w:ilvl w:val="1"/>
              <w:numId w:val="1"/>
            </w:numPr>
            <w:tabs>
              <w:tab w:pos="1437" w:val="left" w:leader="none"/>
              <w:tab w:pos="9797" w:val="right" w:leader="none"/>
            </w:tabs>
            <w:spacing w:line="240" w:lineRule="auto" w:before="28" w:after="0"/>
            <w:ind w:left="1436" w:right="0" w:hanging="431"/>
            <w:jc w:val="left"/>
          </w:pPr>
          <w:hyperlink w:history="true" w:anchor="_bookmark20">
            <w:r>
              <w:rPr/>
              <w:t>Overview</w:t>
              <w:tab/>
              <w:t>71</w:t>
            </w:r>
          </w:hyperlink>
        </w:p>
        <w:p>
          <w:pPr>
            <w:pStyle w:val="TOC3"/>
            <w:numPr>
              <w:ilvl w:val="1"/>
              <w:numId w:val="1"/>
            </w:numPr>
            <w:tabs>
              <w:tab w:pos="1437" w:val="left" w:leader="none"/>
              <w:tab w:pos="9797" w:val="right" w:leader="none"/>
            </w:tabs>
            <w:spacing w:line="240" w:lineRule="auto" w:before="9" w:after="0"/>
            <w:ind w:left="1436" w:right="0" w:hanging="431"/>
            <w:jc w:val="left"/>
          </w:pPr>
          <w:hyperlink w:history="true" w:anchor="_bookmark21">
            <w:r>
              <w:rPr/>
              <w:t>Revenue</w:t>
            </w:r>
            <w:r>
              <w:rPr>
                <w:spacing w:val="-1"/>
              </w:rPr>
              <w:t> </w:t>
            </w:r>
            <w:r>
              <w:rPr/>
              <w:t>sourcing rules</w:t>
              <w:tab/>
              <w:t>72</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22">
            <w:r>
              <w:rPr/>
              <w:t>Commentary on revenue</w:t>
            </w:r>
            <w:r>
              <w:rPr>
                <w:spacing w:val="-3"/>
              </w:rPr>
              <w:t> </w:t>
            </w:r>
            <w:r>
              <w:rPr/>
              <w:t>sourcing</w:t>
            </w:r>
            <w:r>
              <w:rPr>
                <w:spacing w:val="-1"/>
              </w:rPr>
              <w:t> </w:t>
            </w:r>
            <w:r>
              <w:rPr/>
              <w:t>rules</w:t>
              <w:tab/>
              <w:t>83</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23">
            <w:r>
              <w:rPr/>
              <w:t>Next</w:t>
            </w:r>
            <w:r>
              <w:rPr>
                <w:spacing w:val="1"/>
              </w:rPr>
              <w:t> </w:t>
            </w:r>
            <w:r>
              <w:rPr/>
              <w:t>steps</w:t>
              <w:tab/>
              <w:t>98</w:t>
            </w:r>
          </w:hyperlink>
        </w:p>
        <w:p>
          <w:pPr>
            <w:pStyle w:val="TOC1"/>
            <w:numPr>
              <w:ilvl w:val="0"/>
              <w:numId w:val="1"/>
            </w:numPr>
            <w:tabs>
              <w:tab w:pos="981" w:val="left" w:leader="none"/>
              <w:tab w:pos="9794" w:val="right" w:leader="none"/>
            </w:tabs>
            <w:spacing w:line="240" w:lineRule="auto" w:before="219" w:after="0"/>
            <w:ind w:left="980" w:right="0" w:hanging="258"/>
            <w:jc w:val="left"/>
          </w:pPr>
          <w:hyperlink w:history="true" w:anchor="_bookmark25">
            <w:r>
              <w:rPr>
                <w:color w:val="4E81BD"/>
              </w:rPr>
              <w:t>Tax</w:t>
            </w:r>
            <w:r>
              <w:rPr>
                <w:color w:val="4E81BD"/>
                <w:spacing w:val="-1"/>
              </w:rPr>
              <w:t> </w:t>
            </w:r>
            <w:r>
              <w:rPr>
                <w:color w:val="4E81BD"/>
              </w:rPr>
              <w:t>base determinations</w:t>
              <w:tab/>
              <w:t>100</w:t>
            </w:r>
          </w:hyperlink>
        </w:p>
        <w:p>
          <w:pPr>
            <w:pStyle w:val="TOC3"/>
            <w:numPr>
              <w:ilvl w:val="1"/>
              <w:numId w:val="1"/>
            </w:numPr>
            <w:tabs>
              <w:tab w:pos="1437" w:val="left" w:leader="none"/>
              <w:tab w:pos="9797" w:val="right" w:leader="none"/>
            </w:tabs>
            <w:spacing w:line="240" w:lineRule="auto" w:before="28" w:after="0"/>
            <w:ind w:left="1436" w:right="0" w:hanging="431"/>
            <w:jc w:val="left"/>
          </w:pPr>
          <w:hyperlink w:history="true" w:anchor="_bookmark26">
            <w:r>
              <w:rPr/>
              <w:t>Overview</w:t>
              <w:tab/>
              <w:t>100</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27">
            <w:r>
              <w:rPr/>
              <w:t>A PBT measure based on consolidated</w:t>
            </w:r>
            <w:r>
              <w:rPr>
                <w:spacing w:val="-7"/>
              </w:rPr>
              <w:t> </w:t>
            </w:r>
            <w:r>
              <w:rPr/>
              <w:t>financial</w:t>
            </w:r>
            <w:r>
              <w:rPr>
                <w:spacing w:val="-2"/>
              </w:rPr>
              <w:t> </w:t>
            </w:r>
            <w:r>
              <w:rPr/>
              <w:t>accounts</w:t>
              <w:tab/>
              <w:t>103</w:t>
            </w:r>
          </w:hyperlink>
        </w:p>
        <w:p>
          <w:pPr>
            <w:pStyle w:val="TOC3"/>
            <w:numPr>
              <w:ilvl w:val="1"/>
              <w:numId w:val="1"/>
            </w:numPr>
            <w:tabs>
              <w:tab w:pos="1434" w:val="left" w:leader="none"/>
              <w:tab w:pos="9797" w:val="right" w:leader="none"/>
            </w:tabs>
            <w:spacing w:line="240" w:lineRule="auto" w:before="9" w:after="0"/>
            <w:ind w:left="1433" w:right="0" w:hanging="428"/>
            <w:jc w:val="left"/>
          </w:pPr>
          <w:hyperlink w:history="true" w:anchor="_bookmark31">
            <w:r>
              <w:rPr/>
              <w:t>The</w:t>
            </w:r>
            <w:r>
              <w:rPr>
                <w:spacing w:val="-1"/>
              </w:rPr>
              <w:t> </w:t>
            </w:r>
            <w:r>
              <w:rPr/>
              <w:t>segmentation</w:t>
            </w:r>
            <w:r>
              <w:rPr>
                <w:spacing w:val="-2"/>
              </w:rPr>
              <w:t> </w:t>
            </w:r>
            <w:r>
              <w:rPr/>
              <w:t>framework</w:t>
              <w:tab/>
              <w:t>109</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34">
            <w:r>
              <w:rPr/>
              <w:t>Loss</w:t>
            </w:r>
            <w:r>
              <w:rPr>
                <w:spacing w:val="-3"/>
              </w:rPr>
              <w:t> </w:t>
            </w:r>
            <w:r>
              <w:rPr/>
              <w:t>carry-forward</w:t>
            </w:r>
            <w:r>
              <w:rPr>
                <w:spacing w:val="-2"/>
              </w:rPr>
              <w:t> </w:t>
            </w:r>
            <w:r>
              <w:rPr/>
              <w:t>rules</w:t>
              <w:tab/>
              <w:t>116</w:t>
            </w:r>
          </w:hyperlink>
        </w:p>
        <w:p>
          <w:pPr>
            <w:pStyle w:val="TOC1"/>
            <w:numPr>
              <w:ilvl w:val="0"/>
              <w:numId w:val="1"/>
            </w:numPr>
            <w:tabs>
              <w:tab w:pos="981" w:val="left" w:leader="none"/>
              <w:tab w:pos="9794" w:val="right" w:leader="none"/>
            </w:tabs>
            <w:spacing w:line="240" w:lineRule="auto" w:before="217" w:after="0"/>
            <w:ind w:left="980" w:right="0" w:hanging="258"/>
            <w:jc w:val="left"/>
          </w:pPr>
          <w:hyperlink w:history="true" w:anchor="_bookmark38">
            <w:r>
              <w:rPr>
                <w:color w:val="4E81BD"/>
              </w:rPr>
              <w:t>Profit</w:t>
            </w:r>
            <w:r>
              <w:rPr>
                <w:color w:val="4E81BD"/>
                <w:spacing w:val="-4"/>
              </w:rPr>
              <w:t> </w:t>
            </w:r>
            <w:r>
              <w:rPr>
                <w:color w:val="4E81BD"/>
              </w:rPr>
              <w:t>allocation</w:t>
              <w:tab/>
              <w:t>123</w:t>
            </w:r>
          </w:hyperlink>
        </w:p>
        <w:p>
          <w:pPr>
            <w:pStyle w:val="TOC3"/>
            <w:numPr>
              <w:ilvl w:val="1"/>
              <w:numId w:val="1"/>
            </w:numPr>
            <w:tabs>
              <w:tab w:pos="1437" w:val="left" w:leader="none"/>
              <w:tab w:pos="9797" w:val="right" w:leader="none"/>
            </w:tabs>
            <w:spacing w:line="240" w:lineRule="auto" w:before="30" w:after="0"/>
            <w:ind w:left="1436" w:right="0" w:hanging="431"/>
            <w:jc w:val="left"/>
          </w:pPr>
          <w:hyperlink w:history="true" w:anchor="_bookmark39">
            <w:r>
              <w:rPr/>
              <w:t>Overview</w:t>
              <w:tab/>
              <w:t>123</w:t>
            </w:r>
          </w:hyperlink>
        </w:p>
        <w:p>
          <w:pPr>
            <w:pStyle w:val="TOC3"/>
            <w:numPr>
              <w:ilvl w:val="1"/>
              <w:numId w:val="1"/>
            </w:numPr>
            <w:tabs>
              <w:tab w:pos="1434" w:val="left" w:leader="none"/>
              <w:tab w:pos="9797" w:val="right" w:leader="none"/>
            </w:tabs>
            <w:spacing w:line="240" w:lineRule="auto" w:before="6" w:after="0"/>
            <w:ind w:left="1433" w:right="0" w:hanging="428"/>
            <w:jc w:val="left"/>
          </w:pPr>
          <w:hyperlink w:history="true" w:anchor="_bookmark40">
            <w:r>
              <w:rPr/>
              <w:t>The formula to determine the quantum of</w:t>
            </w:r>
            <w:r>
              <w:rPr>
                <w:spacing w:val="-11"/>
              </w:rPr>
              <w:t> </w:t>
            </w:r>
            <w:r>
              <w:rPr/>
              <w:t>Amount</w:t>
            </w:r>
            <w:r>
              <w:rPr>
                <w:spacing w:val="1"/>
              </w:rPr>
              <w:t> </w:t>
            </w:r>
            <w:r>
              <w:rPr/>
              <w:t>A</w:t>
              <w:tab/>
              <w:t>126</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48">
            <w:r>
              <w:rPr/>
              <w:t>Potential</w:t>
            </w:r>
            <w:r>
              <w:rPr>
                <w:spacing w:val="-2"/>
              </w:rPr>
              <w:t> </w:t>
            </w:r>
            <w:r>
              <w:rPr/>
              <w:t>differentiation mechanisms</w:t>
              <w:tab/>
              <w:t>129</w:t>
            </w:r>
          </w:hyperlink>
        </w:p>
        <w:p>
          <w:pPr>
            <w:pStyle w:val="TOC3"/>
            <w:numPr>
              <w:ilvl w:val="1"/>
              <w:numId w:val="1"/>
            </w:numPr>
            <w:tabs>
              <w:tab w:pos="1434" w:val="left" w:leader="none"/>
              <w:tab w:pos="9797" w:val="right" w:leader="none"/>
            </w:tabs>
            <w:spacing w:line="240" w:lineRule="auto" w:before="9" w:after="0"/>
            <w:ind w:left="1433" w:right="0" w:hanging="428"/>
            <w:jc w:val="left"/>
          </w:pPr>
          <w:hyperlink w:history="true" w:anchor="_bookmark49">
            <w:r>
              <w:rPr/>
              <w:t>The issue of</w:t>
            </w:r>
            <w:r>
              <w:rPr>
                <w:spacing w:val="-1"/>
              </w:rPr>
              <w:t> </w:t>
            </w:r>
            <w:r>
              <w:rPr/>
              <w:t>double</w:t>
            </w:r>
            <w:r>
              <w:rPr>
                <w:spacing w:val="-2"/>
              </w:rPr>
              <w:t> </w:t>
            </w:r>
            <w:r>
              <w:rPr/>
              <w:t>counting</w:t>
              <w:tab/>
              <w:t>132</w:t>
            </w:r>
          </w:hyperlink>
        </w:p>
        <w:p>
          <w:pPr>
            <w:pStyle w:val="TOC3"/>
            <w:numPr>
              <w:ilvl w:val="1"/>
              <w:numId w:val="1"/>
            </w:numPr>
            <w:tabs>
              <w:tab w:pos="1437" w:val="left" w:leader="none"/>
              <w:tab w:pos="9797" w:val="right" w:leader="none"/>
            </w:tabs>
            <w:spacing w:line="240" w:lineRule="auto" w:before="6" w:after="20"/>
            <w:ind w:left="1436" w:right="0" w:hanging="431"/>
            <w:jc w:val="left"/>
          </w:pPr>
          <w:hyperlink w:history="true" w:anchor="_bookmark50">
            <w:r>
              <w:rPr/>
              <w:t>Next</w:t>
            </w:r>
            <w:r>
              <w:rPr>
                <w:spacing w:val="1"/>
              </w:rPr>
              <w:t> </w:t>
            </w:r>
            <w:r>
              <w:rPr/>
              <w:t>steps</w:t>
              <w:tab/>
              <w:t>137</w:t>
            </w:r>
          </w:hyperlink>
        </w:p>
        <w:p>
          <w:pPr>
            <w:pStyle w:val="TOC1"/>
            <w:numPr>
              <w:ilvl w:val="0"/>
              <w:numId w:val="1"/>
            </w:numPr>
            <w:tabs>
              <w:tab w:pos="981" w:val="left" w:leader="none"/>
              <w:tab w:pos="9794" w:val="right" w:leader="none"/>
            </w:tabs>
            <w:spacing w:line="240" w:lineRule="auto" w:before="275" w:after="0"/>
            <w:ind w:left="980" w:right="0" w:hanging="258"/>
            <w:jc w:val="left"/>
          </w:pPr>
          <w:hyperlink w:history="true" w:anchor="_bookmark51">
            <w:r>
              <w:rPr>
                <w:color w:val="4E81BD"/>
              </w:rPr>
              <w:t>Elimination of</w:t>
            </w:r>
            <w:r>
              <w:rPr>
                <w:color w:val="4E81BD"/>
                <w:spacing w:val="-2"/>
              </w:rPr>
              <w:t> </w:t>
            </w:r>
            <w:r>
              <w:rPr>
                <w:color w:val="4E81BD"/>
              </w:rPr>
              <w:t>double</w:t>
            </w:r>
            <w:r>
              <w:rPr>
                <w:color w:val="4E81BD"/>
                <w:spacing w:val="-2"/>
              </w:rPr>
              <w:t> </w:t>
            </w:r>
            <w:r>
              <w:rPr>
                <w:color w:val="4E81BD"/>
              </w:rPr>
              <w:t>taxation</w:t>
              <w:tab/>
              <w:t>139</w:t>
            </w:r>
          </w:hyperlink>
        </w:p>
        <w:p>
          <w:pPr>
            <w:pStyle w:val="TOC3"/>
            <w:numPr>
              <w:ilvl w:val="1"/>
              <w:numId w:val="1"/>
            </w:numPr>
            <w:tabs>
              <w:tab w:pos="1437" w:val="left" w:leader="none"/>
              <w:tab w:pos="9797" w:val="right" w:leader="none"/>
            </w:tabs>
            <w:spacing w:line="240" w:lineRule="auto" w:before="27" w:after="0"/>
            <w:ind w:left="1436" w:right="0" w:hanging="431"/>
            <w:jc w:val="left"/>
          </w:pPr>
          <w:hyperlink w:history="true" w:anchor="_bookmark52">
            <w:r>
              <w:rPr/>
              <w:t>Overview</w:t>
              <w:tab/>
              <w:t>139</w:t>
            </w:r>
          </w:hyperlink>
        </w:p>
        <w:p>
          <w:pPr>
            <w:pStyle w:val="TOC3"/>
            <w:numPr>
              <w:ilvl w:val="1"/>
              <w:numId w:val="1"/>
            </w:numPr>
            <w:tabs>
              <w:tab w:pos="1437" w:val="left" w:leader="none"/>
              <w:tab w:pos="9797" w:val="right" w:leader="none"/>
            </w:tabs>
            <w:spacing w:line="240" w:lineRule="auto" w:before="9" w:after="0"/>
            <w:ind w:left="1436" w:right="0" w:hanging="431"/>
            <w:jc w:val="left"/>
          </w:pPr>
          <w:hyperlink w:history="true" w:anchor="_bookmark53">
            <w:r>
              <w:rPr/>
              <w:t>Component 1: Identifying the</w:t>
            </w:r>
            <w:r>
              <w:rPr>
                <w:spacing w:val="-3"/>
              </w:rPr>
              <w:t> </w:t>
            </w:r>
            <w:r>
              <w:rPr/>
              <w:t>paying</w:t>
            </w:r>
            <w:r>
              <w:rPr>
                <w:spacing w:val="1"/>
              </w:rPr>
              <w:t> </w:t>
            </w:r>
            <w:r>
              <w:rPr/>
              <w:t>entities</w:t>
              <w:tab/>
              <w:t>142</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59">
            <w:r>
              <w:rPr/>
              <w:t>Component 2: Methods to eliminate</w:t>
            </w:r>
            <w:r>
              <w:rPr>
                <w:spacing w:val="-2"/>
              </w:rPr>
              <w:t> </w:t>
            </w:r>
            <w:r>
              <w:rPr/>
              <w:t>double</w:t>
            </w:r>
            <w:r>
              <w:rPr>
                <w:spacing w:val="3"/>
              </w:rPr>
              <w:t> </w:t>
            </w:r>
            <w:r>
              <w:rPr/>
              <w:t>taxation</w:t>
              <w:tab/>
              <w:t>154</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60">
            <w:r>
              <w:rPr/>
              <w:t>Application of the marketing and distribution profits</w:t>
            </w:r>
            <w:r>
              <w:rPr>
                <w:spacing w:val="-11"/>
              </w:rPr>
              <w:t> </w:t>
            </w:r>
            <w:r>
              <w:rPr/>
              <w:t>safe harbour</w:t>
              <w:tab/>
              <w:t>158</w:t>
            </w:r>
          </w:hyperlink>
        </w:p>
        <w:p>
          <w:pPr>
            <w:pStyle w:val="TOC3"/>
            <w:numPr>
              <w:ilvl w:val="1"/>
              <w:numId w:val="1"/>
            </w:numPr>
            <w:tabs>
              <w:tab w:pos="1437" w:val="left" w:leader="none"/>
              <w:tab w:pos="9797" w:val="right" w:leader="none"/>
            </w:tabs>
            <w:spacing w:line="240" w:lineRule="auto" w:before="9" w:after="0"/>
            <w:ind w:left="1436" w:right="0" w:hanging="431"/>
            <w:jc w:val="left"/>
          </w:pPr>
          <w:hyperlink w:history="true" w:anchor="_bookmark61">
            <w:r>
              <w:rPr/>
              <w:t>Next</w:t>
            </w:r>
            <w:r>
              <w:rPr>
                <w:spacing w:val="1"/>
              </w:rPr>
              <w:t> </w:t>
            </w:r>
            <w:r>
              <w:rPr/>
              <w:t>steps</w:t>
              <w:tab/>
              <w:t>159</w:t>
            </w:r>
          </w:hyperlink>
        </w:p>
        <w:p>
          <w:pPr>
            <w:pStyle w:val="TOC1"/>
            <w:numPr>
              <w:ilvl w:val="0"/>
              <w:numId w:val="1"/>
            </w:numPr>
            <w:tabs>
              <w:tab w:pos="981" w:val="left" w:leader="none"/>
              <w:tab w:pos="9794" w:val="right" w:leader="none"/>
            </w:tabs>
            <w:spacing w:line="240" w:lineRule="auto" w:before="217" w:after="0"/>
            <w:ind w:left="980" w:right="0" w:hanging="258"/>
            <w:jc w:val="left"/>
          </w:pPr>
          <w:hyperlink w:history="true" w:anchor="_bookmark62">
            <w:r>
              <w:rPr>
                <w:color w:val="4E81BD"/>
              </w:rPr>
              <w:t>Amount B</w:t>
              <w:tab/>
              <w:t>160</w:t>
            </w:r>
          </w:hyperlink>
        </w:p>
        <w:p>
          <w:pPr>
            <w:pStyle w:val="TOC3"/>
            <w:numPr>
              <w:ilvl w:val="1"/>
              <w:numId w:val="1"/>
            </w:numPr>
            <w:tabs>
              <w:tab w:pos="1437" w:val="left" w:leader="none"/>
              <w:tab w:pos="9797" w:val="right" w:leader="none"/>
            </w:tabs>
            <w:spacing w:line="240" w:lineRule="auto" w:before="27" w:after="0"/>
            <w:ind w:left="1436" w:right="0" w:hanging="431"/>
            <w:jc w:val="left"/>
          </w:pPr>
          <w:hyperlink w:history="true" w:anchor="_bookmark63">
            <w:r>
              <w:rPr/>
              <w:t>Overview</w:t>
              <w:tab/>
              <w:t>160</w:t>
            </w:r>
          </w:hyperlink>
        </w:p>
        <w:p>
          <w:pPr>
            <w:pStyle w:val="TOC3"/>
            <w:numPr>
              <w:ilvl w:val="1"/>
              <w:numId w:val="1"/>
            </w:numPr>
            <w:tabs>
              <w:tab w:pos="1437" w:val="left" w:leader="none"/>
              <w:tab w:pos="9797" w:val="right" w:leader="none"/>
            </w:tabs>
            <w:spacing w:line="240" w:lineRule="auto" w:before="9" w:after="0"/>
            <w:ind w:left="1436" w:right="0" w:hanging="431"/>
            <w:jc w:val="left"/>
          </w:pPr>
          <w:hyperlink w:history="true" w:anchor="_bookmark64">
            <w:r>
              <w:rPr/>
              <w:t>Key design features of</w:t>
            </w:r>
            <w:r>
              <w:rPr>
                <w:spacing w:val="-7"/>
              </w:rPr>
              <w:t> </w:t>
            </w:r>
            <w:r>
              <w:rPr/>
              <w:t>Amount</w:t>
            </w:r>
            <w:r>
              <w:rPr>
                <w:spacing w:val="-1"/>
              </w:rPr>
              <w:t> </w:t>
            </w:r>
            <w:r>
              <w:rPr/>
              <w:t>B</w:t>
              <w:tab/>
              <w:t>162</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65">
            <w:r>
              <w:rPr/>
              <w:t>Next</w:t>
            </w:r>
            <w:r>
              <w:rPr>
                <w:spacing w:val="1"/>
              </w:rPr>
              <w:t> </w:t>
            </w:r>
            <w:r>
              <w:rPr/>
              <w:t>steps</w:t>
              <w:tab/>
              <w:t>172</w:t>
            </w:r>
          </w:hyperlink>
        </w:p>
        <w:p>
          <w:pPr>
            <w:pStyle w:val="TOC1"/>
            <w:numPr>
              <w:ilvl w:val="0"/>
              <w:numId w:val="1"/>
            </w:numPr>
            <w:tabs>
              <w:tab w:pos="981" w:val="left" w:leader="none"/>
              <w:tab w:pos="9794" w:val="right" w:leader="none"/>
            </w:tabs>
            <w:spacing w:line="240" w:lineRule="auto" w:before="217" w:after="0"/>
            <w:ind w:left="980" w:right="0" w:hanging="258"/>
            <w:jc w:val="left"/>
          </w:pPr>
          <w:hyperlink w:history="true" w:anchor="_bookmark66">
            <w:r>
              <w:rPr>
                <w:color w:val="4E81BD"/>
              </w:rPr>
              <w:t>Tax</w:t>
            </w:r>
            <w:r>
              <w:rPr>
                <w:color w:val="4E81BD"/>
                <w:spacing w:val="-1"/>
              </w:rPr>
              <w:t> </w:t>
            </w:r>
            <w:r>
              <w:rPr>
                <w:color w:val="4E81BD"/>
              </w:rPr>
              <w:t>Certainty</w:t>
              <w:tab/>
              <w:t>174</w:t>
            </w:r>
          </w:hyperlink>
        </w:p>
        <w:p>
          <w:pPr>
            <w:pStyle w:val="TOC3"/>
            <w:numPr>
              <w:ilvl w:val="1"/>
              <w:numId w:val="1"/>
            </w:numPr>
            <w:tabs>
              <w:tab w:pos="1437" w:val="left" w:leader="none"/>
              <w:tab w:pos="9797" w:val="right" w:leader="none"/>
            </w:tabs>
            <w:spacing w:line="240" w:lineRule="auto" w:before="30" w:after="0"/>
            <w:ind w:left="1436" w:right="0" w:hanging="431"/>
            <w:jc w:val="left"/>
          </w:pPr>
          <w:hyperlink w:history="true" w:anchor="_bookmark67">
            <w:r>
              <w:rPr/>
              <w:t>Overview</w:t>
              <w:tab/>
              <w:t>174</w:t>
            </w:r>
          </w:hyperlink>
        </w:p>
        <w:p>
          <w:pPr>
            <w:pStyle w:val="TOC3"/>
            <w:numPr>
              <w:ilvl w:val="1"/>
              <w:numId w:val="1"/>
            </w:numPr>
            <w:tabs>
              <w:tab w:pos="1437" w:val="left" w:leader="none"/>
              <w:tab w:pos="9797" w:val="right" w:leader="none"/>
            </w:tabs>
            <w:spacing w:line="240" w:lineRule="auto" w:before="6" w:after="0"/>
            <w:ind w:left="1436" w:right="0" w:hanging="431"/>
            <w:jc w:val="left"/>
          </w:pPr>
          <w:hyperlink w:history="true" w:anchor="_bookmark68">
            <w:r>
              <w:rPr/>
              <w:t>A new framework for dispute prevention and resolution for</w:t>
            </w:r>
            <w:r>
              <w:rPr>
                <w:spacing w:val="-15"/>
              </w:rPr>
              <w:t> </w:t>
            </w:r>
            <w:r>
              <w:rPr/>
              <w:t>Amount</w:t>
            </w:r>
            <w:r>
              <w:rPr>
                <w:spacing w:val="-1"/>
              </w:rPr>
              <w:t> </w:t>
            </w:r>
            <w:r>
              <w:rPr/>
              <w:t>A</w:t>
              <w:tab/>
              <w:t>176</w:t>
            </w:r>
          </w:hyperlink>
        </w:p>
        <w:p>
          <w:pPr>
            <w:pStyle w:val="TOC3"/>
            <w:numPr>
              <w:ilvl w:val="1"/>
              <w:numId w:val="1"/>
            </w:numPr>
            <w:tabs>
              <w:tab w:pos="1437" w:val="left" w:leader="none"/>
              <w:tab w:pos="9797" w:val="right" w:leader="none"/>
            </w:tabs>
            <w:spacing w:line="240" w:lineRule="auto" w:before="7" w:after="0"/>
            <w:ind w:left="1436" w:right="0" w:hanging="431"/>
            <w:jc w:val="left"/>
          </w:pPr>
          <w:hyperlink w:history="true" w:anchor="_bookmark69">
            <w:r>
              <w:rPr/>
              <w:t>Dispute prevention and resolution beyond</w:t>
            </w:r>
            <w:r>
              <w:rPr>
                <w:spacing w:val="-5"/>
              </w:rPr>
              <w:t> </w:t>
            </w:r>
            <w:r>
              <w:rPr/>
              <w:t>Amount</w:t>
            </w:r>
            <w:r>
              <w:rPr>
                <w:spacing w:val="1"/>
              </w:rPr>
              <w:t> </w:t>
            </w:r>
            <w:r>
              <w:rPr/>
              <w:t>A</w:t>
              <w:tab/>
              <w:t>197</w:t>
            </w:r>
          </w:hyperlink>
        </w:p>
        <w:p>
          <w:pPr>
            <w:pStyle w:val="TOC3"/>
            <w:numPr>
              <w:ilvl w:val="1"/>
              <w:numId w:val="1"/>
            </w:numPr>
            <w:tabs>
              <w:tab w:pos="1437" w:val="left" w:leader="none"/>
              <w:tab w:pos="9797" w:val="right" w:leader="none"/>
            </w:tabs>
            <w:spacing w:line="240" w:lineRule="auto" w:before="8" w:after="0"/>
            <w:ind w:left="1436" w:right="0" w:hanging="431"/>
            <w:jc w:val="left"/>
          </w:pPr>
          <w:hyperlink w:history="true" w:anchor="_bookmark71">
            <w:r>
              <w:rPr/>
              <w:t>Next</w:t>
            </w:r>
            <w:r>
              <w:rPr>
                <w:spacing w:val="1"/>
              </w:rPr>
              <w:t> </w:t>
            </w:r>
            <w:r>
              <w:rPr/>
              <w:t>steps</w:t>
              <w:tab/>
              <w:t>204</w:t>
            </w:r>
          </w:hyperlink>
        </w:p>
        <w:p>
          <w:pPr>
            <w:pStyle w:val="TOC1"/>
            <w:numPr>
              <w:ilvl w:val="0"/>
              <w:numId w:val="1"/>
            </w:numPr>
            <w:tabs>
              <w:tab w:pos="1108" w:val="left" w:leader="none"/>
              <w:tab w:pos="9794" w:val="right" w:leader="none"/>
            </w:tabs>
            <w:spacing w:line="240" w:lineRule="auto" w:before="217" w:after="0"/>
            <w:ind w:left="1107" w:right="0" w:hanging="385"/>
            <w:jc w:val="left"/>
          </w:pPr>
          <w:hyperlink w:history="true" w:anchor="_bookmark72">
            <w:r>
              <w:rPr>
                <w:color w:val="4E81BD"/>
              </w:rPr>
              <w:t>Implementation</w:t>
            </w:r>
            <w:r>
              <w:rPr>
                <w:color w:val="4E81BD"/>
                <w:spacing w:val="-3"/>
              </w:rPr>
              <w:t> </w:t>
            </w:r>
            <w:r>
              <w:rPr>
                <w:color w:val="4E81BD"/>
              </w:rPr>
              <w:t>and</w:t>
            </w:r>
            <w:r>
              <w:rPr>
                <w:color w:val="4E81BD"/>
                <w:spacing w:val="-1"/>
              </w:rPr>
              <w:t> </w:t>
            </w:r>
            <w:r>
              <w:rPr>
                <w:color w:val="4E81BD"/>
              </w:rPr>
              <w:t>administration</w:t>
              <w:tab/>
              <w:t>205</w:t>
            </w:r>
          </w:hyperlink>
        </w:p>
        <w:p>
          <w:pPr>
            <w:pStyle w:val="TOC3"/>
            <w:numPr>
              <w:ilvl w:val="1"/>
              <w:numId w:val="1"/>
            </w:numPr>
            <w:tabs>
              <w:tab w:pos="1559" w:val="left" w:leader="none"/>
              <w:tab w:pos="9797" w:val="right" w:leader="none"/>
            </w:tabs>
            <w:spacing w:line="240" w:lineRule="auto" w:before="27" w:after="0"/>
            <w:ind w:left="1558" w:right="0" w:hanging="553"/>
            <w:jc w:val="left"/>
          </w:pPr>
          <w:hyperlink w:history="true" w:anchor="_bookmark73">
            <w:r>
              <w:rPr/>
              <w:t>Overview</w:t>
              <w:tab/>
              <w:t>205</w:t>
            </w:r>
          </w:hyperlink>
        </w:p>
        <w:p>
          <w:pPr>
            <w:pStyle w:val="TOC3"/>
            <w:numPr>
              <w:ilvl w:val="1"/>
              <w:numId w:val="1"/>
            </w:numPr>
            <w:tabs>
              <w:tab w:pos="1559" w:val="left" w:leader="none"/>
              <w:tab w:pos="9797" w:val="right" w:leader="none"/>
            </w:tabs>
            <w:spacing w:line="240" w:lineRule="auto" w:before="9" w:after="0"/>
            <w:ind w:left="1558" w:right="0" w:hanging="553"/>
            <w:jc w:val="left"/>
          </w:pPr>
          <w:hyperlink w:history="true" w:anchor="_bookmark74">
            <w:r>
              <w:rPr/>
              <w:t>Implementation</w:t>
              <w:tab/>
              <w:t>205</w:t>
            </w:r>
          </w:hyperlink>
        </w:p>
        <w:p>
          <w:pPr>
            <w:pStyle w:val="TOC3"/>
            <w:numPr>
              <w:ilvl w:val="1"/>
              <w:numId w:val="1"/>
            </w:numPr>
            <w:tabs>
              <w:tab w:pos="1559" w:val="left" w:leader="none"/>
              <w:tab w:pos="9797" w:val="right" w:leader="none"/>
            </w:tabs>
            <w:spacing w:line="240" w:lineRule="auto" w:before="6" w:after="0"/>
            <w:ind w:left="1558" w:right="0" w:hanging="553"/>
            <w:jc w:val="left"/>
          </w:pPr>
          <w:hyperlink w:history="true" w:anchor="_bookmark76">
            <w:r>
              <w:rPr/>
              <w:t>Removal of</w:t>
            </w:r>
            <w:r>
              <w:rPr>
                <w:spacing w:val="1"/>
              </w:rPr>
              <w:t> </w:t>
            </w:r>
            <w:r>
              <w:rPr/>
              <w:t>unilateral</w:t>
            </w:r>
            <w:r>
              <w:rPr>
                <w:spacing w:val="-1"/>
              </w:rPr>
              <w:t> </w:t>
            </w:r>
            <w:r>
              <w:rPr/>
              <w:t>measures</w:t>
              <w:tab/>
              <w:t>211</w:t>
            </w:r>
          </w:hyperlink>
        </w:p>
        <w:p>
          <w:pPr>
            <w:pStyle w:val="TOC3"/>
            <w:numPr>
              <w:ilvl w:val="1"/>
              <w:numId w:val="1"/>
            </w:numPr>
            <w:tabs>
              <w:tab w:pos="1559" w:val="left" w:leader="none"/>
              <w:tab w:pos="9797" w:val="right" w:leader="none"/>
            </w:tabs>
            <w:spacing w:line="240" w:lineRule="auto" w:before="6" w:after="0"/>
            <w:ind w:left="1558" w:right="0" w:hanging="553"/>
            <w:jc w:val="left"/>
          </w:pPr>
          <w:hyperlink w:history="true" w:anchor="_bookmark77">
            <w:r>
              <w:rPr/>
              <w:t>Next</w:t>
            </w:r>
            <w:r>
              <w:rPr>
                <w:spacing w:val="1"/>
              </w:rPr>
              <w:t> </w:t>
            </w:r>
            <w:r>
              <w:rPr/>
              <w:t>steps</w:t>
              <w:tab/>
              <w:t>211</w:t>
            </w:r>
          </w:hyperlink>
        </w:p>
        <w:p>
          <w:pPr>
            <w:pStyle w:val="TOC1"/>
            <w:tabs>
              <w:tab w:pos="9794" w:val="right" w:leader="none"/>
            </w:tabs>
            <w:spacing w:before="219"/>
            <w:ind w:left="723" w:firstLine="0"/>
          </w:pPr>
          <w:hyperlink w:history="true" w:anchor="_bookmark79">
            <w:r>
              <w:rPr>
                <w:color w:val="4E81BD"/>
              </w:rPr>
              <w:t>Annex A. Detailed Process Map of</w:t>
            </w:r>
            <w:r>
              <w:rPr>
                <w:color w:val="4E81BD"/>
                <w:spacing w:val="-4"/>
              </w:rPr>
              <w:t> </w:t>
            </w:r>
            <w:r>
              <w:rPr>
                <w:color w:val="4E81BD"/>
              </w:rPr>
              <w:t>Amount</w:t>
            </w:r>
            <w:r>
              <w:rPr>
                <w:color w:val="4E81BD"/>
                <w:spacing w:val="1"/>
              </w:rPr>
              <w:t> </w:t>
            </w:r>
            <w:r>
              <w:rPr>
                <w:color w:val="4E81BD"/>
              </w:rPr>
              <w:t>A</w:t>
              <w:tab/>
              <w:t>212</w:t>
            </w:r>
          </w:hyperlink>
        </w:p>
        <w:p>
          <w:pPr>
            <w:pStyle w:val="TOC1"/>
            <w:tabs>
              <w:tab w:pos="9794" w:val="right" w:leader="none"/>
            </w:tabs>
            <w:spacing w:before="220"/>
            <w:ind w:left="723" w:firstLine="0"/>
          </w:pPr>
          <w:hyperlink w:history="true" w:anchor="_bookmark80">
            <w:r>
              <w:rPr>
                <w:color w:val="4E81BD"/>
              </w:rPr>
              <w:t>Annex B. Approaches to implementing the Amount</w:t>
            </w:r>
            <w:r>
              <w:rPr>
                <w:color w:val="4E81BD"/>
                <w:spacing w:val="-3"/>
              </w:rPr>
              <w:t> </w:t>
            </w:r>
            <w:r>
              <w:rPr>
                <w:color w:val="4E81BD"/>
              </w:rPr>
              <w:t>A formula</w:t>
              <w:tab/>
              <w:t>221</w:t>
            </w:r>
          </w:hyperlink>
        </w:p>
        <w:p>
          <w:pPr>
            <w:pStyle w:val="TOC1"/>
            <w:tabs>
              <w:tab w:pos="9794" w:val="right" w:leader="none"/>
            </w:tabs>
            <w:spacing w:before="218"/>
            <w:ind w:left="723" w:firstLine="0"/>
          </w:pPr>
          <w:hyperlink w:history="true" w:anchor="_bookmark81">
            <w:r>
              <w:rPr>
                <w:color w:val="4E81BD"/>
              </w:rPr>
              <w:t>Annex</w:t>
            </w:r>
            <w:r>
              <w:rPr>
                <w:color w:val="4E81BD"/>
                <w:spacing w:val="-1"/>
              </w:rPr>
              <w:t> </w:t>
            </w:r>
            <w:r>
              <w:rPr>
                <w:color w:val="4E81BD"/>
              </w:rPr>
              <w:t>C. Examples</w:t>
              <w:tab/>
              <w:t>225</w:t>
            </w:r>
          </w:hyperlink>
        </w:p>
      </w:sdtContent>
    </w:sdt>
    <w:p>
      <w:pPr>
        <w:spacing w:after="0"/>
        <w:sectPr>
          <w:type w:val="continuous"/>
          <w:pgSz w:w="11910" w:h="16840"/>
          <w:pgMar w:top="1516" w:bottom="2093" w:left="580" w:right="820"/>
        </w:sectPr>
      </w:pPr>
    </w:p>
    <w:p>
      <w:pPr>
        <w:pStyle w:val="Heading1"/>
        <w:spacing w:line="244" w:lineRule="auto" w:before="297"/>
        <w:ind w:right="775"/>
      </w:pPr>
      <w:bookmarkStart w:name="Cover Statement by the OECD/G20 Inclusiv" w:id="3"/>
      <w:bookmarkEnd w:id="3"/>
      <w:r>
        <w:rPr>
          <w:b w:val="0"/>
        </w:rPr>
      </w:r>
      <w:bookmarkStart w:name="_bookmark1" w:id="4"/>
      <w:bookmarkEnd w:id="4"/>
      <w:r>
        <w:rPr>
          <w:b w:val="0"/>
        </w:rPr>
      </w:r>
      <w:r>
        <w:rPr>
          <w:color w:val="4E81BD"/>
        </w:rPr>
        <w:t>Cover Statement by the OECD/G20 Inclusive Framework on BEPS on the Reports on the Blueprints of Pillar One and Pillar Two</w:t>
      </w:r>
    </w:p>
    <w:p>
      <w:pPr>
        <w:pStyle w:val="BodyText"/>
        <w:rPr>
          <w:rFonts w:ascii="Arial Narrow"/>
          <w:b/>
          <w:sz w:val="82"/>
        </w:rPr>
      </w:pPr>
    </w:p>
    <w:p>
      <w:pPr>
        <w:pStyle w:val="BodyText"/>
        <w:spacing w:before="9"/>
        <w:rPr>
          <w:rFonts w:ascii="Arial Narrow"/>
          <w:b/>
          <w:sz w:val="93"/>
        </w:rPr>
      </w:pPr>
    </w:p>
    <w:p>
      <w:pPr>
        <w:pStyle w:val="BodyText"/>
        <w:spacing w:line="271" w:lineRule="auto"/>
        <w:ind w:left="723" w:right="483"/>
        <w:jc w:val="both"/>
      </w:pPr>
      <w:r>
        <w:rPr/>
        <w:t>Digital</w:t>
      </w:r>
      <w:r>
        <w:rPr>
          <w:spacing w:val="-14"/>
        </w:rPr>
        <w:t> </w:t>
      </w:r>
      <w:r>
        <w:rPr/>
        <w:t>transformation</w:t>
      </w:r>
      <w:r>
        <w:rPr>
          <w:spacing w:val="-14"/>
        </w:rPr>
        <w:t> </w:t>
      </w:r>
      <w:r>
        <w:rPr/>
        <w:t>spurs</w:t>
      </w:r>
      <w:r>
        <w:rPr>
          <w:spacing w:val="-13"/>
        </w:rPr>
        <w:t> </w:t>
      </w:r>
      <w:r>
        <w:rPr/>
        <w:t>innovation,</w:t>
      </w:r>
      <w:r>
        <w:rPr>
          <w:spacing w:val="-13"/>
        </w:rPr>
        <w:t> </w:t>
      </w:r>
      <w:r>
        <w:rPr/>
        <w:t>generates</w:t>
      </w:r>
      <w:r>
        <w:rPr>
          <w:spacing w:val="-12"/>
        </w:rPr>
        <w:t> </w:t>
      </w:r>
      <w:r>
        <w:rPr/>
        <w:t>efficiencies,</w:t>
      </w:r>
      <w:r>
        <w:rPr>
          <w:spacing w:val="-13"/>
        </w:rPr>
        <w:t> </w:t>
      </w:r>
      <w:r>
        <w:rPr/>
        <w:t>and</w:t>
      </w:r>
      <w:r>
        <w:rPr>
          <w:spacing w:val="-11"/>
        </w:rPr>
        <w:t> </w:t>
      </w:r>
      <w:r>
        <w:rPr/>
        <w:t>improves</w:t>
      </w:r>
      <w:r>
        <w:rPr>
          <w:spacing w:val="-13"/>
        </w:rPr>
        <w:t> </w:t>
      </w:r>
      <w:r>
        <w:rPr/>
        <w:t>services</w:t>
      </w:r>
      <w:r>
        <w:rPr>
          <w:spacing w:val="-12"/>
        </w:rPr>
        <w:t> </w:t>
      </w:r>
      <w:r>
        <w:rPr/>
        <w:t>while</w:t>
      </w:r>
      <w:r>
        <w:rPr>
          <w:spacing w:val="-14"/>
        </w:rPr>
        <w:t> </w:t>
      </w:r>
      <w:r>
        <w:rPr/>
        <w:t>boosting</w:t>
      </w:r>
      <w:r>
        <w:rPr>
          <w:spacing w:val="-14"/>
        </w:rPr>
        <w:t> </w:t>
      </w:r>
      <w:r>
        <w:rPr/>
        <w:t>more inclusive and sustainable growth and enhancing well-being. At the same time, the breadth and speed of this</w:t>
      </w:r>
      <w:r>
        <w:rPr>
          <w:spacing w:val="-12"/>
        </w:rPr>
        <w:t> </w:t>
      </w:r>
      <w:r>
        <w:rPr/>
        <w:t>change</w:t>
      </w:r>
      <w:r>
        <w:rPr>
          <w:spacing w:val="-12"/>
        </w:rPr>
        <w:t> </w:t>
      </w:r>
      <w:r>
        <w:rPr/>
        <w:t>introduces</w:t>
      </w:r>
      <w:r>
        <w:rPr>
          <w:spacing w:val="-11"/>
        </w:rPr>
        <w:t> </w:t>
      </w:r>
      <w:r>
        <w:rPr/>
        <w:t>challenges</w:t>
      </w:r>
      <w:r>
        <w:rPr>
          <w:spacing w:val="-10"/>
        </w:rPr>
        <w:t> </w:t>
      </w:r>
      <w:r>
        <w:rPr/>
        <w:t>in</w:t>
      </w:r>
      <w:r>
        <w:rPr>
          <w:spacing w:val="-10"/>
        </w:rPr>
        <w:t> </w:t>
      </w:r>
      <w:r>
        <w:rPr/>
        <w:t>many</w:t>
      </w:r>
      <w:r>
        <w:rPr>
          <w:spacing w:val="-16"/>
        </w:rPr>
        <w:t> </w:t>
      </w:r>
      <w:r>
        <w:rPr/>
        <w:t>policy</w:t>
      </w:r>
      <w:r>
        <w:rPr>
          <w:spacing w:val="-12"/>
        </w:rPr>
        <w:t> </w:t>
      </w:r>
      <w:r>
        <w:rPr/>
        <w:t>areas,</w:t>
      </w:r>
      <w:r>
        <w:rPr>
          <w:spacing w:val="-11"/>
        </w:rPr>
        <w:t> </w:t>
      </w:r>
      <w:r>
        <w:rPr/>
        <w:t>including</w:t>
      </w:r>
      <w:r>
        <w:rPr>
          <w:spacing w:val="-11"/>
        </w:rPr>
        <w:t> </w:t>
      </w:r>
      <w:r>
        <w:rPr/>
        <w:t>taxation.</w:t>
      </w:r>
      <w:r>
        <w:rPr>
          <w:spacing w:val="-12"/>
        </w:rPr>
        <w:t> </w:t>
      </w:r>
      <w:r>
        <w:rPr/>
        <w:t>Reforming</w:t>
      </w:r>
      <w:r>
        <w:rPr>
          <w:spacing w:val="-13"/>
        </w:rPr>
        <w:t> </w:t>
      </w:r>
      <w:r>
        <w:rPr/>
        <w:t>the</w:t>
      </w:r>
      <w:r>
        <w:rPr>
          <w:spacing w:val="-11"/>
        </w:rPr>
        <w:t> </w:t>
      </w:r>
      <w:r>
        <w:rPr/>
        <w:t>international</w:t>
      </w:r>
      <w:r>
        <w:rPr>
          <w:spacing w:val="-11"/>
        </w:rPr>
        <w:t> </w:t>
      </w:r>
      <w:r>
        <w:rPr/>
        <w:t>tax system</w:t>
      </w:r>
      <w:r>
        <w:rPr>
          <w:spacing w:val="-1"/>
        </w:rPr>
        <w:t> </w:t>
      </w:r>
      <w:r>
        <w:rPr/>
        <w:t>to</w:t>
      </w:r>
      <w:r>
        <w:rPr>
          <w:spacing w:val="-4"/>
        </w:rPr>
        <w:t> </w:t>
      </w:r>
      <w:r>
        <w:rPr/>
        <w:t>address</w:t>
      </w:r>
      <w:r>
        <w:rPr>
          <w:spacing w:val="-4"/>
        </w:rPr>
        <w:t> </w:t>
      </w:r>
      <w:r>
        <w:rPr/>
        <w:t>the</w:t>
      </w:r>
      <w:r>
        <w:rPr>
          <w:spacing w:val="-4"/>
        </w:rPr>
        <w:t> </w:t>
      </w:r>
      <w:r>
        <w:rPr/>
        <w:t>tax</w:t>
      </w:r>
      <w:r>
        <w:rPr>
          <w:spacing w:val="-3"/>
        </w:rPr>
        <w:t> </w:t>
      </w:r>
      <w:r>
        <w:rPr/>
        <w:t>challenges</w:t>
      </w:r>
      <w:r>
        <w:rPr>
          <w:spacing w:val="-3"/>
        </w:rPr>
        <w:t> </w:t>
      </w:r>
      <w:r>
        <w:rPr/>
        <w:t>arising</w:t>
      </w:r>
      <w:r>
        <w:rPr>
          <w:spacing w:val="-6"/>
        </w:rPr>
        <w:t> </w:t>
      </w:r>
      <w:r>
        <w:rPr/>
        <w:t>from</w:t>
      </w:r>
      <w:r>
        <w:rPr>
          <w:spacing w:val="1"/>
        </w:rPr>
        <w:t> </w:t>
      </w:r>
      <w:r>
        <w:rPr/>
        <w:t>the</w:t>
      </w:r>
      <w:r>
        <w:rPr>
          <w:spacing w:val="-4"/>
        </w:rPr>
        <w:t> </w:t>
      </w:r>
      <w:r>
        <w:rPr/>
        <w:t>digitalisation</w:t>
      </w:r>
      <w:r>
        <w:rPr>
          <w:spacing w:val="-6"/>
        </w:rPr>
        <w:t> </w:t>
      </w:r>
      <w:r>
        <w:rPr/>
        <w:t>of</w:t>
      </w:r>
      <w:r>
        <w:rPr>
          <w:spacing w:val="-2"/>
        </w:rPr>
        <w:t> </w:t>
      </w:r>
      <w:r>
        <w:rPr/>
        <w:t>the</w:t>
      </w:r>
      <w:r>
        <w:rPr>
          <w:spacing w:val="-4"/>
        </w:rPr>
        <w:t> </w:t>
      </w:r>
      <w:r>
        <w:rPr/>
        <w:t>economy,</w:t>
      </w:r>
      <w:r>
        <w:rPr>
          <w:spacing w:val="-5"/>
        </w:rPr>
        <w:t> </w:t>
      </w:r>
      <w:r>
        <w:rPr/>
        <w:t>restore</w:t>
      </w:r>
      <w:r>
        <w:rPr>
          <w:spacing w:val="-4"/>
        </w:rPr>
        <w:t> </w:t>
      </w:r>
      <w:r>
        <w:rPr/>
        <w:t>stability</w:t>
      </w:r>
      <w:r>
        <w:rPr>
          <w:spacing w:val="-8"/>
        </w:rPr>
        <w:t> </w:t>
      </w:r>
      <w:r>
        <w:rPr/>
        <w:t>to</w:t>
      </w:r>
      <w:r>
        <w:rPr>
          <w:spacing w:val="-4"/>
        </w:rPr>
        <w:t> </w:t>
      </w:r>
      <w:r>
        <w:rPr/>
        <w:t>the international</w:t>
      </w:r>
      <w:r>
        <w:rPr>
          <w:spacing w:val="-10"/>
        </w:rPr>
        <w:t> </w:t>
      </w:r>
      <w:r>
        <w:rPr/>
        <w:t>tax</w:t>
      </w:r>
      <w:r>
        <w:rPr>
          <w:spacing w:val="-8"/>
        </w:rPr>
        <w:t> </w:t>
      </w:r>
      <w:r>
        <w:rPr/>
        <w:t>framework</w:t>
      </w:r>
      <w:r>
        <w:rPr>
          <w:spacing w:val="-5"/>
        </w:rPr>
        <w:t> </w:t>
      </w:r>
      <w:r>
        <w:rPr/>
        <w:t>and</w:t>
      </w:r>
      <w:r>
        <w:rPr>
          <w:spacing w:val="-6"/>
        </w:rPr>
        <w:t> </w:t>
      </w:r>
      <w:r>
        <w:rPr/>
        <w:t>prevent</w:t>
      </w:r>
      <w:r>
        <w:rPr>
          <w:spacing w:val="-8"/>
        </w:rPr>
        <w:t> </w:t>
      </w:r>
      <w:r>
        <w:rPr/>
        <w:t>further</w:t>
      </w:r>
      <w:r>
        <w:rPr>
          <w:spacing w:val="-6"/>
        </w:rPr>
        <w:t> </w:t>
      </w:r>
      <w:r>
        <w:rPr/>
        <w:t>uncoordinated</w:t>
      </w:r>
      <w:r>
        <w:rPr>
          <w:spacing w:val="-7"/>
        </w:rPr>
        <w:t> </w:t>
      </w:r>
      <w:r>
        <w:rPr/>
        <w:t>unilateral</w:t>
      </w:r>
      <w:r>
        <w:rPr>
          <w:spacing w:val="-9"/>
        </w:rPr>
        <w:t> </w:t>
      </w:r>
      <w:r>
        <w:rPr/>
        <w:t>tax</w:t>
      </w:r>
      <w:r>
        <w:rPr>
          <w:spacing w:val="-8"/>
        </w:rPr>
        <w:t> </w:t>
      </w:r>
      <w:r>
        <w:rPr/>
        <w:t>measures</w:t>
      </w:r>
      <w:r>
        <w:rPr>
          <w:spacing w:val="-7"/>
        </w:rPr>
        <w:t> </w:t>
      </w:r>
      <w:r>
        <w:rPr/>
        <w:t>has</w:t>
      </w:r>
      <w:r>
        <w:rPr>
          <w:spacing w:val="-7"/>
        </w:rPr>
        <w:t> </w:t>
      </w:r>
      <w:r>
        <w:rPr/>
        <w:t>therefore</w:t>
      </w:r>
      <w:r>
        <w:rPr>
          <w:spacing w:val="-8"/>
        </w:rPr>
        <w:t> </w:t>
      </w:r>
      <w:r>
        <w:rPr/>
        <w:t>been a</w:t>
      </w:r>
      <w:r>
        <w:rPr>
          <w:spacing w:val="-12"/>
        </w:rPr>
        <w:t> </w:t>
      </w:r>
      <w:r>
        <w:rPr/>
        <w:t>priority</w:t>
      </w:r>
      <w:r>
        <w:rPr>
          <w:spacing w:val="-15"/>
        </w:rPr>
        <w:t> </w:t>
      </w:r>
      <w:r>
        <w:rPr/>
        <w:t>of</w:t>
      </w:r>
      <w:r>
        <w:rPr>
          <w:spacing w:val="-8"/>
        </w:rPr>
        <w:t> </w:t>
      </w:r>
      <w:r>
        <w:rPr/>
        <w:t>the</w:t>
      </w:r>
      <w:r>
        <w:rPr>
          <w:spacing w:val="-9"/>
        </w:rPr>
        <w:t> </w:t>
      </w:r>
      <w:r>
        <w:rPr/>
        <w:t>international</w:t>
      </w:r>
      <w:r>
        <w:rPr>
          <w:spacing w:val="-10"/>
        </w:rPr>
        <w:t> </w:t>
      </w:r>
      <w:r>
        <w:rPr/>
        <w:t>community</w:t>
      </w:r>
      <w:r>
        <w:rPr>
          <w:spacing w:val="-14"/>
        </w:rPr>
        <w:t> </w:t>
      </w:r>
      <w:r>
        <w:rPr/>
        <w:t>for</w:t>
      </w:r>
      <w:r>
        <w:rPr>
          <w:spacing w:val="-11"/>
        </w:rPr>
        <w:t> </w:t>
      </w:r>
      <w:r>
        <w:rPr/>
        <w:t>several</w:t>
      </w:r>
      <w:r>
        <w:rPr>
          <w:spacing w:val="-7"/>
        </w:rPr>
        <w:t> </w:t>
      </w:r>
      <w:r>
        <w:rPr/>
        <w:t>years,</w:t>
      </w:r>
      <w:r>
        <w:rPr>
          <w:spacing w:val="-11"/>
        </w:rPr>
        <w:t> </w:t>
      </w:r>
      <w:r>
        <w:rPr/>
        <w:t>with</w:t>
      </w:r>
      <w:r>
        <w:rPr>
          <w:spacing w:val="-9"/>
        </w:rPr>
        <w:t> </w:t>
      </w:r>
      <w:r>
        <w:rPr/>
        <w:t>commitments</w:t>
      </w:r>
      <w:r>
        <w:rPr>
          <w:spacing w:val="-9"/>
        </w:rPr>
        <w:t> </w:t>
      </w:r>
      <w:r>
        <w:rPr/>
        <w:t>to</w:t>
      </w:r>
      <w:r>
        <w:rPr>
          <w:spacing w:val="-12"/>
        </w:rPr>
        <w:t> </w:t>
      </w:r>
      <w:r>
        <w:rPr/>
        <w:t>deliver</w:t>
      </w:r>
      <w:r>
        <w:rPr>
          <w:spacing w:val="-11"/>
        </w:rPr>
        <w:t> </w:t>
      </w:r>
      <w:r>
        <w:rPr/>
        <w:t>a</w:t>
      </w:r>
      <w:r>
        <w:rPr>
          <w:spacing w:val="-9"/>
        </w:rPr>
        <w:t> </w:t>
      </w:r>
      <w:r>
        <w:rPr/>
        <w:t>consensus-based solution by the end of</w:t>
      </w:r>
      <w:r>
        <w:rPr>
          <w:spacing w:val="-2"/>
        </w:rPr>
        <w:t> </w:t>
      </w:r>
      <w:r>
        <w:rPr/>
        <w:t>2020.</w:t>
      </w:r>
    </w:p>
    <w:p>
      <w:pPr>
        <w:pStyle w:val="BodyText"/>
        <w:spacing w:line="271" w:lineRule="auto" w:before="121"/>
        <w:ind w:left="723" w:right="489"/>
        <w:jc w:val="both"/>
      </w:pPr>
      <w:r>
        <w:rPr/>
        <w:t>The</w:t>
      </w:r>
      <w:r>
        <w:rPr>
          <w:spacing w:val="-6"/>
        </w:rPr>
        <w:t> </w:t>
      </w:r>
      <w:r>
        <w:rPr/>
        <w:t>current</w:t>
      </w:r>
      <w:r>
        <w:rPr>
          <w:spacing w:val="-4"/>
        </w:rPr>
        <w:t> </w:t>
      </w:r>
      <w:r>
        <w:rPr/>
        <w:t>context</w:t>
      </w:r>
      <w:r>
        <w:rPr>
          <w:spacing w:val="-4"/>
        </w:rPr>
        <w:t> </w:t>
      </w:r>
      <w:r>
        <w:rPr/>
        <w:t>of</w:t>
      </w:r>
      <w:r>
        <w:rPr>
          <w:spacing w:val="-2"/>
        </w:rPr>
        <w:t> </w:t>
      </w:r>
      <w:r>
        <w:rPr/>
        <w:t>the</w:t>
      </w:r>
      <w:r>
        <w:rPr>
          <w:spacing w:val="-7"/>
        </w:rPr>
        <w:t> </w:t>
      </w:r>
      <w:r>
        <w:rPr/>
        <w:t>COVID-19</w:t>
      </w:r>
      <w:r>
        <w:rPr>
          <w:spacing w:val="-5"/>
        </w:rPr>
        <w:t> </w:t>
      </w:r>
      <w:r>
        <w:rPr/>
        <w:t>pandemic</w:t>
      </w:r>
      <w:r>
        <w:rPr>
          <w:spacing w:val="-5"/>
        </w:rPr>
        <w:t> </w:t>
      </w:r>
      <w:r>
        <w:rPr/>
        <w:t>makes</w:t>
      </w:r>
      <w:r>
        <w:rPr>
          <w:spacing w:val="-4"/>
        </w:rPr>
        <w:t> </w:t>
      </w:r>
      <w:r>
        <w:rPr/>
        <w:t>the</w:t>
      </w:r>
      <w:r>
        <w:rPr>
          <w:spacing w:val="-4"/>
        </w:rPr>
        <w:t> </w:t>
      </w:r>
      <w:r>
        <w:rPr/>
        <w:t>need</w:t>
      </w:r>
      <w:r>
        <w:rPr>
          <w:spacing w:val="-4"/>
        </w:rPr>
        <w:t> </w:t>
      </w:r>
      <w:r>
        <w:rPr/>
        <w:t>for</w:t>
      </w:r>
      <w:r>
        <w:rPr>
          <w:spacing w:val="-4"/>
        </w:rPr>
        <w:t> </w:t>
      </w:r>
      <w:r>
        <w:rPr/>
        <w:t>a</w:t>
      </w:r>
      <w:r>
        <w:rPr>
          <w:spacing w:val="-4"/>
        </w:rPr>
        <w:t> </w:t>
      </w:r>
      <w:r>
        <w:rPr/>
        <w:t>solution</w:t>
      </w:r>
      <w:r>
        <w:rPr>
          <w:spacing w:val="-5"/>
        </w:rPr>
        <w:t> </w:t>
      </w:r>
      <w:r>
        <w:rPr/>
        <w:t>even</w:t>
      </w:r>
      <w:r>
        <w:rPr>
          <w:spacing w:val="-6"/>
        </w:rPr>
        <w:t> </w:t>
      </w:r>
      <w:r>
        <w:rPr/>
        <w:t>more</w:t>
      </w:r>
      <w:r>
        <w:rPr>
          <w:spacing w:val="-4"/>
        </w:rPr>
        <w:t> </w:t>
      </w:r>
      <w:r>
        <w:rPr/>
        <w:t>compelling</w:t>
      </w:r>
      <w:r>
        <w:rPr>
          <w:spacing w:val="-5"/>
        </w:rPr>
        <w:t> </w:t>
      </w:r>
      <w:r>
        <w:rPr/>
        <w:t>than when it was first considered. Governments have responded through increased spending on healthcare and by providing unprecedented levels of financial support to both businesses and workers to cushion them from the economic blow of this crisis. However, the time will come when governments will need to focus on putting their finances back on a fair and sustainable</w:t>
      </w:r>
      <w:r>
        <w:rPr>
          <w:spacing w:val="-11"/>
        </w:rPr>
        <w:t> </w:t>
      </w:r>
      <w:r>
        <w:rPr/>
        <w:t>footing.</w:t>
      </w:r>
    </w:p>
    <w:p>
      <w:pPr>
        <w:pStyle w:val="BodyText"/>
        <w:spacing w:line="271" w:lineRule="auto" w:before="121"/>
        <w:ind w:left="723" w:right="478"/>
        <w:jc w:val="both"/>
      </w:pPr>
      <w:r>
        <w:rPr/>
        <w:t>A consensus-based solution comprised of two pillars (Pillar One focused on nexus and profit allocation whereas Pillar Two is focused on a global minimum tax intended to address remaining BEPS issues) can not</w:t>
      </w:r>
      <w:r>
        <w:rPr>
          <w:spacing w:val="-9"/>
        </w:rPr>
        <w:t> </w:t>
      </w:r>
      <w:r>
        <w:rPr/>
        <w:t>only</w:t>
      </w:r>
      <w:r>
        <w:rPr>
          <w:spacing w:val="-11"/>
        </w:rPr>
        <w:t> </w:t>
      </w:r>
      <w:r>
        <w:rPr/>
        <w:t>play</w:t>
      </w:r>
      <w:r>
        <w:rPr>
          <w:spacing w:val="-9"/>
        </w:rPr>
        <w:t> </w:t>
      </w:r>
      <w:r>
        <w:rPr/>
        <w:t>an</w:t>
      </w:r>
      <w:r>
        <w:rPr>
          <w:spacing w:val="-7"/>
        </w:rPr>
        <w:t> </w:t>
      </w:r>
      <w:r>
        <w:rPr/>
        <w:t>important</w:t>
      </w:r>
      <w:r>
        <w:rPr>
          <w:spacing w:val="-8"/>
        </w:rPr>
        <w:t> </w:t>
      </w:r>
      <w:r>
        <w:rPr/>
        <w:t>role</w:t>
      </w:r>
      <w:r>
        <w:rPr>
          <w:spacing w:val="-7"/>
        </w:rPr>
        <w:t> </w:t>
      </w:r>
      <w:r>
        <w:rPr/>
        <w:t>to</w:t>
      </w:r>
      <w:r>
        <w:rPr>
          <w:spacing w:val="-8"/>
        </w:rPr>
        <w:t> </w:t>
      </w:r>
      <w:r>
        <w:rPr/>
        <w:t>ensure</w:t>
      </w:r>
      <w:r>
        <w:rPr>
          <w:spacing w:val="-8"/>
        </w:rPr>
        <w:t> </w:t>
      </w:r>
      <w:r>
        <w:rPr/>
        <w:t>fairness</w:t>
      </w:r>
      <w:r>
        <w:rPr>
          <w:spacing w:val="-8"/>
        </w:rPr>
        <w:t> </w:t>
      </w:r>
      <w:r>
        <w:rPr/>
        <w:t>and</w:t>
      </w:r>
      <w:r>
        <w:rPr>
          <w:spacing w:val="-2"/>
        </w:rPr>
        <w:t> </w:t>
      </w:r>
      <w:r>
        <w:rPr/>
        <w:t>equity</w:t>
      </w:r>
      <w:r>
        <w:rPr>
          <w:spacing w:val="-9"/>
        </w:rPr>
        <w:t> </w:t>
      </w:r>
      <w:r>
        <w:rPr/>
        <w:t>in</w:t>
      </w:r>
      <w:r>
        <w:rPr>
          <w:spacing w:val="-6"/>
        </w:rPr>
        <w:t> </w:t>
      </w:r>
      <w:r>
        <w:rPr/>
        <w:t>our</w:t>
      </w:r>
      <w:r>
        <w:rPr>
          <w:spacing w:val="-8"/>
        </w:rPr>
        <w:t> </w:t>
      </w:r>
      <w:r>
        <w:rPr/>
        <w:t>tax</w:t>
      </w:r>
      <w:r>
        <w:rPr>
          <w:spacing w:val="-7"/>
        </w:rPr>
        <w:t> </w:t>
      </w:r>
      <w:r>
        <w:rPr/>
        <w:t>systems</w:t>
      </w:r>
      <w:r>
        <w:rPr>
          <w:spacing w:val="-8"/>
        </w:rPr>
        <w:t> </w:t>
      </w:r>
      <w:r>
        <w:rPr/>
        <w:t>and</w:t>
      </w:r>
      <w:r>
        <w:rPr>
          <w:spacing w:val="-8"/>
        </w:rPr>
        <w:t> </w:t>
      </w:r>
      <w:r>
        <w:rPr/>
        <w:t>fortify</w:t>
      </w:r>
      <w:r>
        <w:rPr>
          <w:spacing w:val="-14"/>
        </w:rPr>
        <w:t> </w:t>
      </w:r>
      <w:r>
        <w:rPr/>
        <w:t>the</w:t>
      </w:r>
      <w:r>
        <w:rPr>
          <w:spacing w:val="-7"/>
        </w:rPr>
        <w:t> </w:t>
      </w:r>
      <w:r>
        <w:rPr/>
        <w:t>international tax</w:t>
      </w:r>
      <w:r>
        <w:rPr>
          <w:spacing w:val="-8"/>
        </w:rPr>
        <w:t> </w:t>
      </w:r>
      <w:r>
        <w:rPr/>
        <w:t>framework</w:t>
      </w:r>
      <w:r>
        <w:rPr>
          <w:spacing w:val="-5"/>
        </w:rPr>
        <w:t> </w:t>
      </w:r>
      <w:r>
        <w:rPr/>
        <w:t>in</w:t>
      </w:r>
      <w:r>
        <w:rPr>
          <w:spacing w:val="-8"/>
        </w:rPr>
        <w:t> </w:t>
      </w:r>
      <w:r>
        <w:rPr/>
        <w:t>the</w:t>
      </w:r>
      <w:r>
        <w:rPr>
          <w:spacing w:val="-8"/>
        </w:rPr>
        <w:t> </w:t>
      </w:r>
      <w:r>
        <w:rPr/>
        <w:t>face</w:t>
      </w:r>
      <w:r>
        <w:rPr>
          <w:spacing w:val="-9"/>
        </w:rPr>
        <w:t> </w:t>
      </w:r>
      <w:r>
        <w:rPr/>
        <w:t>of</w:t>
      </w:r>
      <w:r>
        <w:rPr>
          <w:spacing w:val="-4"/>
        </w:rPr>
        <w:t> </w:t>
      </w:r>
      <w:r>
        <w:rPr/>
        <w:t>new</w:t>
      </w:r>
      <w:r>
        <w:rPr>
          <w:spacing w:val="-9"/>
        </w:rPr>
        <w:t> </w:t>
      </w:r>
      <w:r>
        <w:rPr/>
        <w:t>and</w:t>
      </w:r>
      <w:r>
        <w:rPr>
          <w:spacing w:val="-8"/>
        </w:rPr>
        <w:t> </w:t>
      </w:r>
      <w:r>
        <w:rPr/>
        <w:t>changing</w:t>
      </w:r>
      <w:r>
        <w:rPr>
          <w:spacing w:val="-7"/>
        </w:rPr>
        <w:t> </w:t>
      </w:r>
      <w:r>
        <w:rPr/>
        <w:t>business</w:t>
      </w:r>
      <w:r>
        <w:rPr>
          <w:spacing w:val="-9"/>
        </w:rPr>
        <w:t> </w:t>
      </w:r>
      <w:r>
        <w:rPr/>
        <w:t>models;</w:t>
      </w:r>
      <w:r>
        <w:rPr>
          <w:spacing w:val="-5"/>
        </w:rPr>
        <w:t> </w:t>
      </w:r>
      <w:r>
        <w:rPr/>
        <w:t>it</w:t>
      </w:r>
      <w:r>
        <w:rPr>
          <w:spacing w:val="-9"/>
        </w:rPr>
        <w:t> </w:t>
      </w:r>
      <w:r>
        <w:rPr/>
        <w:t>can</w:t>
      </w:r>
      <w:r>
        <w:rPr>
          <w:spacing w:val="-8"/>
        </w:rPr>
        <w:t> </w:t>
      </w:r>
      <w:r>
        <w:rPr/>
        <w:t>also</w:t>
      </w:r>
      <w:r>
        <w:rPr>
          <w:spacing w:val="-9"/>
        </w:rPr>
        <w:t> </w:t>
      </w:r>
      <w:r>
        <w:rPr/>
        <w:t>help</w:t>
      </w:r>
      <w:r>
        <w:rPr>
          <w:spacing w:val="-8"/>
        </w:rPr>
        <w:t> </w:t>
      </w:r>
      <w:r>
        <w:rPr/>
        <w:t>put</w:t>
      </w:r>
      <w:r>
        <w:rPr>
          <w:spacing w:val="-8"/>
        </w:rPr>
        <w:t> </w:t>
      </w:r>
      <w:r>
        <w:rPr/>
        <w:t>government</w:t>
      </w:r>
      <w:r>
        <w:rPr>
          <w:spacing w:val="-9"/>
        </w:rPr>
        <w:t> </w:t>
      </w:r>
      <w:r>
        <w:rPr/>
        <w:t>finances back on a sustainable footing. The public pressure on governments to ensure that large, internationally operating,</w:t>
      </w:r>
      <w:r>
        <w:rPr>
          <w:spacing w:val="-16"/>
        </w:rPr>
        <w:t> </w:t>
      </w:r>
      <w:r>
        <w:rPr/>
        <w:t>and</w:t>
      </w:r>
      <w:r>
        <w:rPr>
          <w:spacing w:val="-16"/>
        </w:rPr>
        <w:t> </w:t>
      </w:r>
      <w:r>
        <w:rPr/>
        <w:t>profitable</w:t>
      </w:r>
      <w:r>
        <w:rPr>
          <w:spacing w:val="-16"/>
        </w:rPr>
        <w:t> </w:t>
      </w:r>
      <w:r>
        <w:rPr/>
        <w:t>businesses</w:t>
      </w:r>
      <w:r>
        <w:rPr>
          <w:spacing w:val="-15"/>
        </w:rPr>
        <w:t> </w:t>
      </w:r>
      <w:r>
        <w:rPr/>
        <w:t>pay</w:t>
      </w:r>
      <w:r>
        <w:rPr>
          <w:spacing w:val="-18"/>
        </w:rPr>
        <w:t> </w:t>
      </w:r>
      <w:r>
        <w:rPr/>
        <w:t>their</w:t>
      </w:r>
      <w:r>
        <w:rPr>
          <w:spacing w:val="-15"/>
        </w:rPr>
        <w:t> </w:t>
      </w:r>
      <w:r>
        <w:rPr/>
        <w:t>fair</w:t>
      </w:r>
      <w:r>
        <w:rPr>
          <w:spacing w:val="-15"/>
        </w:rPr>
        <w:t> </w:t>
      </w:r>
      <w:r>
        <w:rPr/>
        <w:t>share</w:t>
      </w:r>
      <w:r>
        <w:rPr>
          <w:spacing w:val="-16"/>
        </w:rPr>
        <w:t> </w:t>
      </w:r>
      <w:r>
        <w:rPr/>
        <w:t>and</w:t>
      </w:r>
      <w:r>
        <w:rPr>
          <w:spacing w:val="-16"/>
        </w:rPr>
        <w:t> </w:t>
      </w:r>
      <w:r>
        <w:rPr/>
        <w:t>do</w:t>
      </w:r>
      <w:r>
        <w:rPr>
          <w:spacing w:val="-17"/>
        </w:rPr>
        <w:t> </w:t>
      </w:r>
      <w:r>
        <w:rPr/>
        <w:t>so</w:t>
      </w:r>
      <w:r>
        <w:rPr>
          <w:spacing w:val="-15"/>
        </w:rPr>
        <w:t> </w:t>
      </w:r>
      <w:r>
        <w:rPr/>
        <w:t>in</w:t>
      </w:r>
      <w:r>
        <w:rPr>
          <w:spacing w:val="-16"/>
        </w:rPr>
        <w:t> </w:t>
      </w:r>
      <w:r>
        <w:rPr/>
        <w:t>the</w:t>
      </w:r>
      <w:r>
        <w:rPr>
          <w:spacing w:val="-17"/>
        </w:rPr>
        <w:t> </w:t>
      </w:r>
      <w:r>
        <w:rPr/>
        <w:t>right</w:t>
      </w:r>
      <w:r>
        <w:rPr>
          <w:spacing w:val="-16"/>
        </w:rPr>
        <w:t> </w:t>
      </w:r>
      <w:r>
        <w:rPr/>
        <w:t>place</w:t>
      </w:r>
      <w:r>
        <w:rPr>
          <w:spacing w:val="-14"/>
        </w:rPr>
        <w:t> </w:t>
      </w:r>
      <w:r>
        <w:rPr/>
        <w:t>under</w:t>
      </w:r>
      <w:r>
        <w:rPr>
          <w:spacing w:val="-15"/>
        </w:rPr>
        <w:t> </w:t>
      </w:r>
      <w:r>
        <w:rPr/>
        <w:t>new</w:t>
      </w:r>
      <w:r>
        <w:rPr>
          <w:spacing w:val="-17"/>
        </w:rPr>
        <w:t> </w:t>
      </w:r>
      <w:r>
        <w:rPr/>
        <w:t>international tax rules has increased as a result of the current COVID-19 pandemic. At the same time, a consensus- based</w:t>
      </w:r>
      <w:r>
        <w:rPr>
          <w:spacing w:val="-17"/>
        </w:rPr>
        <w:t> </w:t>
      </w:r>
      <w:r>
        <w:rPr/>
        <w:t>solution</w:t>
      </w:r>
      <w:r>
        <w:rPr>
          <w:spacing w:val="-17"/>
        </w:rPr>
        <w:t> </w:t>
      </w:r>
      <w:r>
        <w:rPr/>
        <w:t>could</w:t>
      </w:r>
      <w:r>
        <w:rPr>
          <w:spacing w:val="-14"/>
        </w:rPr>
        <w:t> </w:t>
      </w:r>
      <w:r>
        <w:rPr/>
        <w:t>provide</w:t>
      </w:r>
      <w:r>
        <w:rPr>
          <w:spacing w:val="-16"/>
        </w:rPr>
        <w:t> </w:t>
      </w:r>
      <w:r>
        <w:rPr/>
        <w:t>businesses</w:t>
      </w:r>
      <w:r>
        <w:rPr>
          <w:spacing w:val="-13"/>
        </w:rPr>
        <w:t> </w:t>
      </w:r>
      <w:r>
        <w:rPr/>
        <w:t>with</w:t>
      </w:r>
      <w:r>
        <w:rPr>
          <w:spacing w:val="-16"/>
        </w:rPr>
        <w:t> </w:t>
      </w:r>
      <w:r>
        <w:rPr/>
        <w:t>much</w:t>
      </w:r>
      <w:r>
        <w:rPr>
          <w:spacing w:val="-16"/>
        </w:rPr>
        <w:t> </w:t>
      </w:r>
      <w:r>
        <w:rPr/>
        <w:t>needed</w:t>
      </w:r>
      <w:r>
        <w:rPr>
          <w:spacing w:val="-14"/>
        </w:rPr>
        <w:t> </w:t>
      </w:r>
      <w:r>
        <w:rPr/>
        <w:t>tax</w:t>
      </w:r>
      <w:r>
        <w:rPr>
          <w:spacing w:val="-15"/>
        </w:rPr>
        <w:t> </w:t>
      </w:r>
      <w:r>
        <w:rPr/>
        <w:t>certainty</w:t>
      </w:r>
      <w:r>
        <w:rPr>
          <w:spacing w:val="-17"/>
        </w:rPr>
        <w:t> </w:t>
      </w:r>
      <w:r>
        <w:rPr/>
        <w:t>in</w:t>
      </w:r>
      <w:r>
        <w:rPr>
          <w:spacing w:val="-15"/>
        </w:rPr>
        <w:t> </w:t>
      </w:r>
      <w:r>
        <w:rPr/>
        <w:t>order</w:t>
      </w:r>
      <w:r>
        <w:rPr>
          <w:spacing w:val="-15"/>
        </w:rPr>
        <w:t> </w:t>
      </w:r>
      <w:r>
        <w:rPr/>
        <w:t>to</w:t>
      </w:r>
      <w:r>
        <w:rPr>
          <w:spacing w:val="-16"/>
        </w:rPr>
        <w:t> </w:t>
      </w:r>
      <w:r>
        <w:rPr/>
        <w:t>aid</w:t>
      </w:r>
      <w:r>
        <w:rPr>
          <w:spacing w:val="-14"/>
        </w:rPr>
        <w:t> </w:t>
      </w:r>
      <w:r>
        <w:rPr/>
        <w:t>economic</w:t>
      </w:r>
      <w:r>
        <w:rPr>
          <w:spacing w:val="-15"/>
        </w:rPr>
        <w:t> </w:t>
      </w:r>
      <w:r>
        <w:rPr/>
        <w:t>recovery.</w:t>
      </w:r>
    </w:p>
    <w:p>
      <w:pPr>
        <w:pStyle w:val="BodyText"/>
        <w:spacing w:line="271" w:lineRule="auto" w:before="122"/>
        <w:ind w:left="723" w:right="481"/>
        <w:jc w:val="both"/>
      </w:pPr>
      <w:r>
        <w:rPr/>
        <w:t>Against</w:t>
      </w:r>
      <w:r>
        <w:rPr>
          <w:spacing w:val="-10"/>
        </w:rPr>
        <w:t> </w:t>
      </w:r>
      <w:r>
        <w:rPr/>
        <w:t>this</w:t>
      </w:r>
      <w:r>
        <w:rPr>
          <w:spacing w:val="-5"/>
        </w:rPr>
        <w:t> </w:t>
      </w:r>
      <w:r>
        <w:rPr/>
        <w:t>background,</w:t>
      </w:r>
      <w:r>
        <w:rPr>
          <w:spacing w:val="-7"/>
        </w:rPr>
        <w:t> </w:t>
      </w:r>
      <w:r>
        <w:rPr/>
        <w:t>despite</w:t>
      </w:r>
      <w:r>
        <w:rPr>
          <w:spacing w:val="-9"/>
        </w:rPr>
        <w:t> </w:t>
      </w:r>
      <w:r>
        <w:rPr/>
        <w:t>their</w:t>
      </w:r>
      <w:r>
        <w:rPr>
          <w:spacing w:val="-8"/>
        </w:rPr>
        <w:t> </w:t>
      </w:r>
      <w:r>
        <w:rPr/>
        <w:t>differences,</w:t>
      </w:r>
      <w:r>
        <w:rPr>
          <w:spacing w:val="-9"/>
        </w:rPr>
        <w:t> </w:t>
      </w:r>
      <w:r>
        <w:rPr/>
        <w:t>and</w:t>
      </w:r>
      <w:r>
        <w:rPr>
          <w:spacing w:val="-10"/>
        </w:rPr>
        <w:t> </w:t>
      </w:r>
      <w:r>
        <w:rPr/>
        <w:t>the</w:t>
      </w:r>
      <w:r>
        <w:rPr>
          <w:spacing w:val="-9"/>
        </w:rPr>
        <w:t> </w:t>
      </w:r>
      <w:r>
        <w:rPr/>
        <w:t>COVID-19</w:t>
      </w:r>
      <w:r>
        <w:rPr>
          <w:spacing w:val="-7"/>
        </w:rPr>
        <w:t> </w:t>
      </w:r>
      <w:r>
        <w:rPr/>
        <w:t>pandemic,</w:t>
      </w:r>
      <w:r>
        <w:rPr>
          <w:spacing w:val="-7"/>
        </w:rPr>
        <w:t> </w:t>
      </w:r>
      <w:r>
        <w:rPr/>
        <w:t>which</w:t>
      </w:r>
      <w:r>
        <w:rPr>
          <w:spacing w:val="-7"/>
        </w:rPr>
        <w:t> </w:t>
      </w:r>
      <w:r>
        <w:rPr/>
        <w:t>has</w:t>
      </w:r>
      <w:r>
        <w:rPr>
          <w:spacing w:val="-8"/>
        </w:rPr>
        <w:t> </w:t>
      </w:r>
      <w:r>
        <w:rPr/>
        <w:t>had</w:t>
      </w:r>
      <w:r>
        <w:rPr>
          <w:spacing w:val="-8"/>
        </w:rPr>
        <w:t> </w:t>
      </w:r>
      <w:r>
        <w:rPr/>
        <w:t>an</w:t>
      </w:r>
      <w:r>
        <w:rPr>
          <w:spacing w:val="-7"/>
        </w:rPr>
        <w:t> </w:t>
      </w:r>
      <w:r>
        <w:rPr/>
        <w:t>impact on the work, the members of the OECD/G20 Inclusive Framework on BEPS (Inclusive Framework) have made substantial progress towards building consensus. The Inclusive Framework is releasing today a package</w:t>
      </w:r>
      <w:r>
        <w:rPr>
          <w:spacing w:val="-13"/>
        </w:rPr>
        <w:t> </w:t>
      </w:r>
      <w:r>
        <w:rPr/>
        <w:t>consisting</w:t>
      </w:r>
      <w:r>
        <w:rPr>
          <w:spacing w:val="-13"/>
        </w:rPr>
        <w:t> </w:t>
      </w:r>
      <w:r>
        <w:rPr/>
        <w:t>of</w:t>
      </w:r>
      <w:r>
        <w:rPr>
          <w:spacing w:val="-10"/>
        </w:rPr>
        <w:t> </w:t>
      </w:r>
      <w:r>
        <w:rPr/>
        <w:t>the</w:t>
      </w:r>
      <w:r>
        <w:rPr>
          <w:spacing w:val="-10"/>
        </w:rPr>
        <w:t> </w:t>
      </w:r>
      <w:r>
        <w:rPr/>
        <w:t>Reports</w:t>
      </w:r>
      <w:r>
        <w:rPr>
          <w:spacing w:val="-11"/>
        </w:rPr>
        <w:t> </w:t>
      </w:r>
      <w:r>
        <w:rPr/>
        <w:t>on</w:t>
      </w:r>
      <w:r>
        <w:rPr>
          <w:spacing w:val="-10"/>
        </w:rPr>
        <w:t> </w:t>
      </w:r>
      <w:r>
        <w:rPr/>
        <w:t>the</w:t>
      </w:r>
      <w:r>
        <w:rPr>
          <w:spacing w:val="-10"/>
        </w:rPr>
        <w:t> </w:t>
      </w:r>
      <w:r>
        <w:rPr/>
        <w:t>Blueprints</w:t>
      </w:r>
      <w:r>
        <w:rPr>
          <w:spacing w:val="-11"/>
        </w:rPr>
        <w:t> </w:t>
      </w:r>
      <w:r>
        <w:rPr/>
        <w:t>of</w:t>
      </w:r>
      <w:r>
        <w:rPr>
          <w:spacing w:val="-8"/>
        </w:rPr>
        <w:t> </w:t>
      </w:r>
      <w:r>
        <w:rPr/>
        <w:t>Pillar</w:t>
      </w:r>
      <w:r>
        <w:rPr>
          <w:spacing w:val="-12"/>
        </w:rPr>
        <w:t> </w:t>
      </w:r>
      <w:r>
        <w:rPr/>
        <w:t>One</w:t>
      </w:r>
      <w:r>
        <w:rPr>
          <w:spacing w:val="-13"/>
        </w:rPr>
        <w:t> </w:t>
      </w:r>
      <w:r>
        <w:rPr/>
        <w:t>and</w:t>
      </w:r>
      <w:r>
        <w:rPr>
          <w:spacing w:val="-10"/>
        </w:rPr>
        <w:t> </w:t>
      </w:r>
      <w:r>
        <w:rPr/>
        <w:t>Pillar</w:t>
      </w:r>
      <w:r>
        <w:rPr>
          <w:spacing w:val="-12"/>
        </w:rPr>
        <w:t> </w:t>
      </w:r>
      <w:r>
        <w:rPr/>
        <w:t>Two,</w:t>
      </w:r>
      <w:r>
        <w:rPr>
          <w:spacing w:val="-10"/>
        </w:rPr>
        <w:t> </w:t>
      </w:r>
      <w:r>
        <w:rPr/>
        <w:t>which</w:t>
      </w:r>
      <w:r>
        <w:rPr>
          <w:spacing w:val="-13"/>
        </w:rPr>
        <w:t> </w:t>
      </w:r>
      <w:r>
        <w:rPr/>
        <w:t>reflects</w:t>
      </w:r>
      <w:r>
        <w:rPr>
          <w:spacing w:val="-11"/>
        </w:rPr>
        <w:t> </w:t>
      </w:r>
      <w:r>
        <w:rPr/>
        <w:t>convergent</w:t>
      </w:r>
    </w:p>
    <w:p>
      <w:pPr>
        <w:spacing w:after="0" w:line="271" w:lineRule="auto"/>
        <w:jc w:val="both"/>
        <w:sectPr>
          <w:pgSz w:w="11910" w:h="16840"/>
          <w:pgMar w:header="1244" w:footer="1638" w:top="1500" w:bottom="1820" w:left="580" w:right="820"/>
        </w:sectPr>
      </w:pPr>
    </w:p>
    <w:p>
      <w:pPr>
        <w:pStyle w:val="BodyText"/>
        <w:spacing w:before="5"/>
      </w:pPr>
    </w:p>
    <w:p>
      <w:pPr>
        <w:pStyle w:val="BodyText"/>
        <w:spacing w:line="271" w:lineRule="auto" w:before="93"/>
        <w:ind w:left="723" w:right="491"/>
        <w:jc w:val="both"/>
      </w:pPr>
      <w:r>
        <w:rPr/>
        <w:t>views</w:t>
      </w:r>
      <w:r>
        <w:rPr>
          <w:spacing w:val="-18"/>
        </w:rPr>
        <w:t> </w:t>
      </w:r>
      <w:r>
        <w:rPr/>
        <w:t>on</w:t>
      </w:r>
      <w:r>
        <w:rPr>
          <w:spacing w:val="-18"/>
        </w:rPr>
        <w:t> </w:t>
      </w:r>
      <w:r>
        <w:rPr/>
        <w:t>a</w:t>
      </w:r>
      <w:r>
        <w:rPr>
          <w:spacing w:val="-17"/>
        </w:rPr>
        <w:t> </w:t>
      </w:r>
      <w:r>
        <w:rPr/>
        <w:t>number</w:t>
      </w:r>
      <w:r>
        <w:rPr>
          <w:spacing w:val="-18"/>
        </w:rPr>
        <w:t> </w:t>
      </w:r>
      <w:r>
        <w:rPr/>
        <w:t>of</w:t>
      </w:r>
      <w:r>
        <w:rPr>
          <w:spacing w:val="-17"/>
        </w:rPr>
        <w:t> </w:t>
      </w:r>
      <w:r>
        <w:rPr/>
        <w:t>key</w:t>
      </w:r>
      <w:r>
        <w:rPr>
          <w:spacing w:val="-23"/>
        </w:rPr>
        <w:t> </w:t>
      </w:r>
      <w:r>
        <w:rPr/>
        <w:t>policy</w:t>
      </w:r>
      <w:r>
        <w:rPr>
          <w:spacing w:val="-22"/>
        </w:rPr>
        <w:t> </w:t>
      </w:r>
      <w:r>
        <w:rPr/>
        <w:t>features,</w:t>
      </w:r>
      <w:r>
        <w:rPr>
          <w:spacing w:val="-18"/>
        </w:rPr>
        <w:t> </w:t>
      </w:r>
      <w:r>
        <w:rPr/>
        <w:t>principles</w:t>
      </w:r>
      <w:r>
        <w:rPr>
          <w:spacing w:val="-15"/>
        </w:rPr>
        <w:t> </w:t>
      </w:r>
      <w:r>
        <w:rPr/>
        <w:t>and</w:t>
      </w:r>
      <w:r>
        <w:rPr>
          <w:spacing w:val="-19"/>
        </w:rPr>
        <w:t> </w:t>
      </w:r>
      <w:r>
        <w:rPr/>
        <w:t>parameters</w:t>
      </w:r>
      <w:r>
        <w:rPr>
          <w:spacing w:val="-17"/>
        </w:rPr>
        <w:t> </w:t>
      </w:r>
      <w:r>
        <w:rPr/>
        <w:t>of</w:t>
      </w:r>
      <w:r>
        <w:rPr>
          <w:spacing w:val="-17"/>
        </w:rPr>
        <w:t> </w:t>
      </w:r>
      <w:r>
        <w:rPr/>
        <w:t>both</w:t>
      </w:r>
      <w:r>
        <w:rPr>
          <w:spacing w:val="-16"/>
        </w:rPr>
        <w:t> </w:t>
      </w:r>
      <w:r>
        <w:rPr/>
        <w:t>Pillars,</w:t>
      </w:r>
      <w:r>
        <w:rPr>
          <w:spacing w:val="-17"/>
        </w:rPr>
        <w:t> </w:t>
      </w:r>
      <w:r>
        <w:rPr/>
        <w:t>and</w:t>
      </w:r>
      <w:r>
        <w:rPr>
          <w:spacing w:val="-16"/>
        </w:rPr>
        <w:t> </w:t>
      </w:r>
      <w:r>
        <w:rPr/>
        <w:t>identifies</w:t>
      </w:r>
      <w:r>
        <w:rPr>
          <w:spacing w:val="-18"/>
        </w:rPr>
        <w:t> </w:t>
      </w:r>
      <w:r>
        <w:rPr/>
        <w:t>remaining political and technical issues where differences of views remain to be bridged, and next</w:t>
      </w:r>
      <w:r>
        <w:rPr>
          <w:spacing w:val="-25"/>
        </w:rPr>
        <w:t> </w:t>
      </w:r>
      <w:r>
        <w:rPr/>
        <w:t>steps.</w:t>
      </w:r>
    </w:p>
    <w:p>
      <w:pPr>
        <w:pStyle w:val="BodyText"/>
        <w:spacing w:line="271" w:lineRule="auto" w:before="116"/>
        <w:ind w:left="723" w:right="481"/>
        <w:jc w:val="both"/>
      </w:pPr>
      <w:r>
        <w:rPr>
          <w:spacing w:val="3"/>
        </w:rPr>
        <w:t>We</w:t>
      </w:r>
      <w:r>
        <w:rPr>
          <w:spacing w:val="-16"/>
        </w:rPr>
        <w:t> </w:t>
      </w:r>
      <w:r>
        <w:rPr/>
        <w:t>approve</w:t>
      </w:r>
      <w:r>
        <w:rPr>
          <w:spacing w:val="-14"/>
        </w:rPr>
        <w:t> </w:t>
      </w:r>
      <w:r>
        <w:rPr/>
        <w:t>the</w:t>
      </w:r>
      <w:r>
        <w:rPr>
          <w:spacing w:val="-12"/>
        </w:rPr>
        <w:t> </w:t>
      </w:r>
      <w:r>
        <w:rPr>
          <w:i/>
        </w:rPr>
        <w:t>Report</w:t>
      </w:r>
      <w:r>
        <w:rPr>
          <w:i/>
          <w:spacing w:val="-4"/>
        </w:rPr>
        <w:t> </w:t>
      </w:r>
      <w:r>
        <w:rPr>
          <w:i/>
        </w:rPr>
        <w:t>on</w:t>
      </w:r>
      <w:r>
        <w:rPr>
          <w:i/>
          <w:spacing w:val="-7"/>
        </w:rPr>
        <w:t> </w:t>
      </w:r>
      <w:r>
        <w:rPr>
          <w:i/>
        </w:rPr>
        <w:t>the</w:t>
      </w:r>
      <w:r>
        <w:rPr>
          <w:i/>
          <w:spacing w:val="-7"/>
        </w:rPr>
        <w:t> </w:t>
      </w:r>
      <w:r>
        <w:rPr>
          <w:i/>
        </w:rPr>
        <w:t>Pillar</w:t>
      </w:r>
      <w:r>
        <w:rPr>
          <w:i/>
          <w:spacing w:val="-6"/>
        </w:rPr>
        <w:t> </w:t>
      </w:r>
      <w:r>
        <w:rPr>
          <w:i/>
        </w:rPr>
        <w:t>One</w:t>
      </w:r>
      <w:r>
        <w:rPr>
          <w:i/>
          <w:spacing w:val="-7"/>
        </w:rPr>
        <w:t> </w:t>
      </w:r>
      <w:r>
        <w:rPr>
          <w:i/>
        </w:rPr>
        <w:t>Blueprint</w:t>
      </w:r>
      <w:r>
        <w:rPr>
          <w:i/>
          <w:spacing w:val="-4"/>
        </w:rPr>
        <w:t> </w:t>
      </w:r>
      <w:r>
        <w:rPr/>
        <w:t>for</w:t>
      </w:r>
      <w:r>
        <w:rPr>
          <w:spacing w:val="-14"/>
        </w:rPr>
        <w:t> </w:t>
      </w:r>
      <w:r>
        <w:rPr/>
        <w:t>public</w:t>
      </w:r>
      <w:r>
        <w:rPr>
          <w:spacing w:val="-11"/>
        </w:rPr>
        <w:t> </w:t>
      </w:r>
      <w:r>
        <w:rPr/>
        <w:t>release.</w:t>
      </w:r>
      <w:r>
        <w:rPr>
          <w:spacing w:val="-11"/>
        </w:rPr>
        <w:t> </w:t>
      </w:r>
      <w:r>
        <w:rPr/>
        <w:t>It</w:t>
      </w:r>
      <w:r>
        <w:rPr>
          <w:spacing w:val="-11"/>
        </w:rPr>
        <w:t> </w:t>
      </w:r>
      <w:r>
        <w:rPr/>
        <w:t>is</w:t>
      </w:r>
      <w:r>
        <w:rPr>
          <w:spacing w:val="-10"/>
        </w:rPr>
        <w:t> </w:t>
      </w:r>
      <w:r>
        <w:rPr/>
        <w:t>designed</w:t>
      </w:r>
      <w:r>
        <w:rPr>
          <w:spacing w:val="-4"/>
        </w:rPr>
        <w:t> </w:t>
      </w:r>
      <w:r>
        <w:rPr/>
        <w:t>to</w:t>
      </w:r>
      <w:r>
        <w:rPr>
          <w:spacing w:val="-17"/>
        </w:rPr>
        <w:t> </w:t>
      </w:r>
      <w:r>
        <w:rPr/>
        <w:t>deliver</w:t>
      </w:r>
      <w:r>
        <w:rPr>
          <w:spacing w:val="-14"/>
        </w:rPr>
        <w:t> </w:t>
      </w:r>
      <w:r>
        <w:rPr/>
        <w:t>a</w:t>
      </w:r>
      <w:r>
        <w:rPr>
          <w:spacing w:val="-18"/>
        </w:rPr>
        <w:t> </w:t>
      </w:r>
      <w:r>
        <w:rPr/>
        <w:t>sustainable taxation</w:t>
      </w:r>
      <w:r>
        <w:rPr>
          <w:spacing w:val="-24"/>
        </w:rPr>
        <w:t> </w:t>
      </w:r>
      <w:r>
        <w:rPr/>
        <w:t>framework</w:t>
      </w:r>
      <w:r>
        <w:rPr>
          <w:spacing w:val="-18"/>
        </w:rPr>
        <w:t> </w:t>
      </w:r>
      <w:r>
        <w:rPr/>
        <w:t>reflective</w:t>
      </w:r>
      <w:r>
        <w:rPr>
          <w:spacing w:val="-21"/>
        </w:rPr>
        <w:t> </w:t>
      </w:r>
      <w:r>
        <w:rPr/>
        <w:t>of</w:t>
      </w:r>
      <w:r>
        <w:rPr>
          <w:spacing w:val="-18"/>
        </w:rPr>
        <w:t> </w:t>
      </w:r>
      <w:r>
        <w:rPr/>
        <w:t>today’s</w:t>
      </w:r>
      <w:r>
        <w:rPr>
          <w:spacing w:val="-20"/>
        </w:rPr>
        <w:t> </w:t>
      </w:r>
      <w:r>
        <w:rPr/>
        <w:t>digitalising</w:t>
      </w:r>
      <w:r>
        <w:rPr>
          <w:spacing w:val="-20"/>
        </w:rPr>
        <w:t> </w:t>
      </w:r>
      <w:r>
        <w:rPr/>
        <w:t>economy,</w:t>
      </w:r>
      <w:r>
        <w:rPr>
          <w:spacing w:val="-18"/>
        </w:rPr>
        <w:t> </w:t>
      </w:r>
      <w:r>
        <w:rPr/>
        <w:t>with</w:t>
      </w:r>
      <w:r>
        <w:rPr>
          <w:spacing w:val="-10"/>
        </w:rPr>
        <w:t> </w:t>
      </w:r>
      <w:r>
        <w:rPr/>
        <w:t>the</w:t>
      </w:r>
      <w:r>
        <w:rPr>
          <w:spacing w:val="-12"/>
        </w:rPr>
        <w:t> </w:t>
      </w:r>
      <w:r>
        <w:rPr/>
        <w:t>potential</w:t>
      </w:r>
      <w:r>
        <w:rPr>
          <w:spacing w:val="-11"/>
        </w:rPr>
        <w:t> </w:t>
      </w:r>
      <w:r>
        <w:rPr/>
        <w:t>to</w:t>
      </w:r>
      <w:r>
        <w:rPr>
          <w:spacing w:val="-11"/>
        </w:rPr>
        <w:t> </w:t>
      </w:r>
      <w:r>
        <w:rPr/>
        <w:t>achieve</w:t>
      </w:r>
      <w:r>
        <w:rPr>
          <w:spacing w:val="-10"/>
        </w:rPr>
        <w:t> </w:t>
      </w:r>
      <w:r>
        <w:rPr/>
        <w:t>a</w:t>
      </w:r>
      <w:r>
        <w:rPr>
          <w:spacing w:val="-10"/>
        </w:rPr>
        <w:t> </w:t>
      </w:r>
      <w:r>
        <w:rPr/>
        <w:t>fairer</w:t>
      </w:r>
      <w:r>
        <w:rPr>
          <w:spacing w:val="-13"/>
        </w:rPr>
        <w:t> </w:t>
      </w:r>
      <w:r>
        <w:rPr/>
        <w:t>and</w:t>
      </w:r>
      <w:r>
        <w:rPr>
          <w:spacing w:val="-11"/>
        </w:rPr>
        <w:t> </w:t>
      </w:r>
      <w:r>
        <w:rPr/>
        <w:t>more efficient</w:t>
      </w:r>
      <w:r>
        <w:rPr>
          <w:spacing w:val="-7"/>
        </w:rPr>
        <w:t> </w:t>
      </w:r>
      <w:r>
        <w:rPr/>
        <w:t>allocation</w:t>
      </w:r>
      <w:r>
        <w:rPr>
          <w:spacing w:val="-8"/>
        </w:rPr>
        <w:t> </w:t>
      </w:r>
      <w:r>
        <w:rPr/>
        <w:t>of</w:t>
      </w:r>
      <w:r>
        <w:rPr>
          <w:spacing w:val="-6"/>
        </w:rPr>
        <w:t> </w:t>
      </w:r>
      <w:r>
        <w:rPr/>
        <w:t>taxing</w:t>
      </w:r>
      <w:r>
        <w:rPr>
          <w:spacing w:val="-3"/>
        </w:rPr>
        <w:t> </w:t>
      </w:r>
      <w:r>
        <w:rPr/>
        <w:t>rights.</w:t>
      </w:r>
      <w:r>
        <w:rPr>
          <w:spacing w:val="-7"/>
        </w:rPr>
        <w:t> </w:t>
      </w:r>
      <w:r>
        <w:rPr/>
        <w:t>The</w:t>
      </w:r>
      <w:r>
        <w:rPr>
          <w:spacing w:val="-6"/>
        </w:rPr>
        <w:t> </w:t>
      </w:r>
      <w:r>
        <w:rPr/>
        <w:t>Blueprint</w:t>
      </w:r>
      <w:r>
        <w:rPr>
          <w:spacing w:val="-7"/>
        </w:rPr>
        <w:t> </w:t>
      </w:r>
      <w:r>
        <w:rPr/>
        <w:t>reflects</w:t>
      </w:r>
      <w:r>
        <w:rPr>
          <w:spacing w:val="-6"/>
        </w:rPr>
        <w:t> </w:t>
      </w:r>
      <w:r>
        <w:rPr/>
        <w:t>the</w:t>
      </w:r>
      <w:r>
        <w:rPr>
          <w:spacing w:val="-5"/>
        </w:rPr>
        <w:t> </w:t>
      </w:r>
      <w:r>
        <w:rPr/>
        <w:t>extensive</w:t>
      </w:r>
      <w:r>
        <w:rPr>
          <w:spacing w:val="-6"/>
        </w:rPr>
        <w:t> </w:t>
      </w:r>
      <w:r>
        <w:rPr/>
        <w:t>technical</w:t>
      </w:r>
      <w:r>
        <w:rPr>
          <w:spacing w:val="-6"/>
        </w:rPr>
        <w:t> </w:t>
      </w:r>
      <w:r>
        <w:rPr/>
        <w:t>work</w:t>
      </w:r>
      <w:r>
        <w:rPr>
          <w:spacing w:val="-3"/>
        </w:rPr>
        <w:t> </w:t>
      </w:r>
      <w:r>
        <w:rPr/>
        <w:t>that</w:t>
      </w:r>
      <w:r>
        <w:rPr>
          <w:spacing w:val="-7"/>
        </w:rPr>
        <w:t> </w:t>
      </w:r>
      <w:r>
        <w:rPr/>
        <w:t>has</w:t>
      </w:r>
      <w:r>
        <w:rPr>
          <w:spacing w:val="-4"/>
        </w:rPr>
        <w:t> </w:t>
      </w:r>
      <w:r>
        <w:rPr/>
        <w:t>been</w:t>
      </w:r>
      <w:r>
        <w:rPr>
          <w:spacing w:val="-7"/>
        </w:rPr>
        <w:t> </w:t>
      </w:r>
      <w:r>
        <w:rPr/>
        <w:t>done. Though no agreement has been reached, the Blueprint nevertheless provides a solid foundation for a future agreement that would adhere to the concept of net taxation of income, avoid double taxation and be as simple and administrable as possible. The Blueprint offers a solid basis for future agreement and reflects</w:t>
      </w:r>
      <w:r>
        <w:rPr>
          <w:spacing w:val="-1"/>
        </w:rPr>
        <w:t> </w:t>
      </w:r>
      <w:r>
        <w:rPr/>
        <w:t>that:</w:t>
      </w:r>
    </w:p>
    <w:p>
      <w:pPr>
        <w:pStyle w:val="ListParagraph"/>
        <w:numPr>
          <w:ilvl w:val="0"/>
          <w:numId w:val="2"/>
        </w:numPr>
        <w:tabs>
          <w:tab w:pos="1403" w:val="left" w:leader="none"/>
        </w:tabs>
        <w:spacing w:line="271" w:lineRule="auto" w:before="104" w:after="0"/>
        <w:ind w:left="1402" w:right="483" w:hanging="339"/>
        <w:jc w:val="both"/>
        <w:rPr>
          <w:sz w:val="20"/>
        </w:rPr>
      </w:pPr>
      <w:r>
        <w:rPr>
          <w:sz w:val="20"/>
        </w:rPr>
        <w:t>in</w:t>
      </w:r>
      <w:r>
        <w:rPr>
          <w:spacing w:val="-13"/>
          <w:sz w:val="20"/>
        </w:rPr>
        <w:t> </w:t>
      </w:r>
      <w:r>
        <w:rPr>
          <w:sz w:val="20"/>
        </w:rPr>
        <w:t>an</w:t>
      </w:r>
      <w:r>
        <w:rPr>
          <w:spacing w:val="-12"/>
          <w:sz w:val="20"/>
        </w:rPr>
        <w:t> </w:t>
      </w:r>
      <w:r>
        <w:rPr>
          <w:sz w:val="20"/>
        </w:rPr>
        <w:t>increasingly</w:t>
      </w:r>
      <w:r>
        <w:rPr>
          <w:spacing w:val="-16"/>
          <w:sz w:val="20"/>
        </w:rPr>
        <w:t> </w:t>
      </w:r>
      <w:r>
        <w:rPr>
          <w:sz w:val="20"/>
        </w:rPr>
        <w:t>digital</w:t>
      </w:r>
      <w:r>
        <w:rPr>
          <w:spacing w:val="-12"/>
          <w:sz w:val="20"/>
        </w:rPr>
        <w:t> </w:t>
      </w:r>
      <w:r>
        <w:rPr>
          <w:sz w:val="20"/>
        </w:rPr>
        <w:t>age,</w:t>
      </w:r>
      <w:r>
        <w:rPr>
          <w:spacing w:val="-9"/>
          <w:sz w:val="20"/>
        </w:rPr>
        <w:t> </w:t>
      </w:r>
      <w:r>
        <w:rPr>
          <w:sz w:val="20"/>
        </w:rPr>
        <w:t>in-scope</w:t>
      </w:r>
      <w:r>
        <w:rPr>
          <w:spacing w:val="-12"/>
          <w:sz w:val="20"/>
        </w:rPr>
        <w:t> </w:t>
      </w:r>
      <w:r>
        <w:rPr>
          <w:sz w:val="20"/>
        </w:rPr>
        <w:t>businesses</w:t>
      </w:r>
      <w:r>
        <w:rPr>
          <w:spacing w:val="-8"/>
          <w:sz w:val="20"/>
        </w:rPr>
        <w:t> </w:t>
      </w:r>
      <w:r>
        <w:rPr>
          <w:sz w:val="20"/>
        </w:rPr>
        <w:t>are</w:t>
      </w:r>
      <w:r>
        <w:rPr>
          <w:spacing w:val="-10"/>
          <w:sz w:val="20"/>
        </w:rPr>
        <w:t> </w:t>
      </w:r>
      <w:r>
        <w:rPr>
          <w:sz w:val="20"/>
        </w:rPr>
        <w:t>able</w:t>
      </w:r>
      <w:r>
        <w:rPr>
          <w:spacing w:val="-9"/>
          <w:sz w:val="20"/>
        </w:rPr>
        <w:t> </w:t>
      </w:r>
      <w:r>
        <w:rPr>
          <w:sz w:val="20"/>
        </w:rPr>
        <w:t>to</w:t>
      </w:r>
      <w:r>
        <w:rPr>
          <w:spacing w:val="-10"/>
          <w:sz w:val="20"/>
        </w:rPr>
        <w:t> generate</w:t>
      </w:r>
      <w:r>
        <w:rPr>
          <w:spacing w:val="-21"/>
          <w:sz w:val="20"/>
        </w:rPr>
        <w:t> </w:t>
      </w:r>
      <w:r>
        <w:rPr>
          <w:spacing w:val="-10"/>
          <w:sz w:val="20"/>
        </w:rPr>
        <w:t>profits</w:t>
      </w:r>
      <w:r>
        <w:rPr>
          <w:spacing w:val="-19"/>
          <w:sz w:val="20"/>
        </w:rPr>
        <w:t> </w:t>
      </w:r>
      <w:r>
        <w:rPr>
          <w:spacing w:val="-10"/>
          <w:sz w:val="20"/>
        </w:rPr>
        <w:t>through</w:t>
      </w:r>
      <w:r>
        <w:rPr>
          <w:spacing w:val="-23"/>
          <w:sz w:val="20"/>
        </w:rPr>
        <w:t> </w:t>
      </w:r>
      <w:r>
        <w:rPr>
          <w:sz w:val="20"/>
        </w:rPr>
        <w:t>participation in a significant/ active and sustained way in the economic life of a jurisdiction, beyond the mere conclusion of sales, with or without the benefit of local physical presence and this would be reflected in the design of nexus rules while being mindful of compliance</w:t>
      </w:r>
      <w:r>
        <w:rPr>
          <w:spacing w:val="-26"/>
          <w:sz w:val="20"/>
        </w:rPr>
        <w:t> </w:t>
      </w:r>
      <w:r>
        <w:rPr>
          <w:sz w:val="20"/>
        </w:rPr>
        <w:t>considerations;</w:t>
      </w:r>
    </w:p>
    <w:p>
      <w:pPr>
        <w:pStyle w:val="ListParagraph"/>
        <w:numPr>
          <w:ilvl w:val="0"/>
          <w:numId w:val="2"/>
        </w:numPr>
        <w:tabs>
          <w:tab w:pos="1403" w:val="left" w:leader="none"/>
        </w:tabs>
        <w:spacing w:line="266" w:lineRule="auto" w:before="44" w:after="0"/>
        <w:ind w:left="1402" w:right="494" w:hanging="339"/>
        <w:jc w:val="both"/>
        <w:rPr>
          <w:sz w:val="20"/>
        </w:rPr>
      </w:pPr>
      <w:r>
        <w:rPr>
          <w:sz w:val="20"/>
        </w:rPr>
        <w:t>the solution would follow the policy rationale set out above and allocate a portion of residual profit of in-scope businesses to market/user jurisdictions (“Amount</w:t>
      </w:r>
      <w:r>
        <w:rPr>
          <w:spacing w:val="-4"/>
          <w:sz w:val="20"/>
        </w:rPr>
        <w:t> </w:t>
      </w:r>
      <w:r>
        <w:rPr>
          <w:sz w:val="20"/>
        </w:rPr>
        <w:t>A”);</w:t>
      </w:r>
    </w:p>
    <w:p>
      <w:pPr>
        <w:pStyle w:val="ListParagraph"/>
        <w:numPr>
          <w:ilvl w:val="0"/>
          <w:numId w:val="2"/>
        </w:numPr>
        <w:tabs>
          <w:tab w:pos="1403" w:val="left" w:leader="none"/>
        </w:tabs>
        <w:spacing w:line="266" w:lineRule="auto" w:before="53" w:after="0"/>
        <w:ind w:left="1402" w:right="496" w:hanging="339"/>
        <w:jc w:val="both"/>
        <w:rPr>
          <w:sz w:val="20"/>
        </w:rPr>
      </w:pPr>
      <w:r>
        <w:rPr>
          <w:sz w:val="20"/>
        </w:rPr>
        <w:t>the solution would be targeted and build in thresholds so that it minimises compliance costs for taxpayers and keeps the administration of the new rules manageable for tax</w:t>
      </w:r>
      <w:r>
        <w:rPr>
          <w:spacing w:val="-31"/>
          <w:sz w:val="20"/>
        </w:rPr>
        <w:t> </w:t>
      </w:r>
      <w:r>
        <w:rPr>
          <w:sz w:val="20"/>
        </w:rPr>
        <w:t>administrations;</w:t>
      </w:r>
    </w:p>
    <w:p>
      <w:pPr>
        <w:pStyle w:val="ListParagraph"/>
        <w:numPr>
          <w:ilvl w:val="0"/>
          <w:numId w:val="2"/>
        </w:numPr>
        <w:tabs>
          <w:tab w:pos="1403" w:val="left" w:leader="none"/>
        </w:tabs>
        <w:spacing w:line="268" w:lineRule="auto" w:before="51" w:after="0"/>
        <w:ind w:left="1402" w:right="488" w:hanging="339"/>
        <w:jc w:val="both"/>
        <w:rPr>
          <w:sz w:val="20"/>
        </w:rPr>
      </w:pPr>
      <w:r>
        <w:rPr>
          <w:sz w:val="20"/>
        </w:rPr>
        <w:t>Amount A would be computed using consolidated financial accounts as the starting point, contain a limited number of book-to-tax adjustments and ensure that losses are appropriately taken into account;</w:t>
      </w:r>
    </w:p>
    <w:p>
      <w:pPr>
        <w:pStyle w:val="ListParagraph"/>
        <w:numPr>
          <w:ilvl w:val="0"/>
          <w:numId w:val="2"/>
        </w:numPr>
        <w:tabs>
          <w:tab w:pos="1403" w:val="left" w:leader="none"/>
        </w:tabs>
        <w:spacing w:line="268" w:lineRule="auto" w:before="51" w:after="0"/>
        <w:ind w:left="1402" w:right="488" w:hanging="339"/>
        <w:jc w:val="both"/>
        <w:rPr>
          <w:sz w:val="20"/>
        </w:rPr>
      </w:pPr>
      <w:r>
        <w:rPr>
          <w:sz w:val="20"/>
        </w:rPr>
        <w:t>in</w:t>
      </w:r>
      <w:r>
        <w:rPr>
          <w:spacing w:val="-10"/>
          <w:sz w:val="20"/>
        </w:rPr>
        <w:t> </w:t>
      </w:r>
      <w:r>
        <w:rPr>
          <w:sz w:val="20"/>
        </w:rPr>
        <w:t>determining</w:t>
      </w:r>
      <w:r>
        <w:rPr>
          <w:spacing w:val="-9"/>
          <w:sz w:val="20"/>
        </w:rPr>
        <w:t> </w:t>
      </w:r>
      <w:r>
        <w:rPr>
          <w:sz w:val="20"/>
        </w:rPr>
        <w:t>the</w:t>
      </w:r>
      <w:r>
        <w:rPr>
          <w:spacing w:val="-10"/>
          <w:sz w:val="20"/>
        </w:rPr>
        <w:t> </w:t>
      </w:r>
      <w:r>
        <w:rPr>
          <w:sz w:val="20"/>
        </w:rPr>
        <w:t>tax</w:t>
      </w:r>
      <w:r>
        <w:rPr>
          <w:spacing w:val="-8"/>
          <w:sz w:val="20"/>
        </w:rPr>
        <w:t> </w:t>
      </w:r>
      <w:r>
        <w:rPr>
          <w:sz w:val="20"/>
        </w:rPr>
        <w:t>base,</w:t>
      </w:r>
      <w:r>
        <w:rPr>
          <w:spacing w:val="-9"/>
          <w:sz w:val="20"/>
        </w:rPr>
        <w:t> </w:t>
      </w:r>
      <w:r>
        <w:rPr>
          <w:sz w:val="20"/>
        </w:rPr>
        <w:t>segmentation</w:t>
      </w:r>
      <w:r>
        <w:rPr>
          <w:spacing w:val="-9"/>
          <w:sz w:val="20"/>
        </w:rPr>
        <w:t> </w:t>
      </w:r>
      <w:r>
        <w:rPr>
          <w:sz w:val="20"/>
        </w:rPr>
        <w:t>would</w:t>
      </w:r>
      <w:r>
        <w:rPr>
          <w:spacing w:val="-9"/>
          <w:sz w:val="20"/>
        </w:rPr>
        <w:t> </w:t>
      </w:r>
      <w:r>
        <w:rPr>
          <w:sz w:val="20"/>
        </w:rPr>
        <w:t>be</w:t>
      </w:r>
      <w:r>
        <w:rPr>
          <w:spacing w:val="-10"/>
          <w:sz w:val="20"/>
        </w:rPr>
        <w:t> </w:t>
      </w:r>
      <w:r>
        <w:rPr>
          <w:sz w:val="20"/>
        </w:rPr>
        <w:t>required</w:t>
      </w:r>
      <w:r>
        <w:rPr>
          <w:spacing w:val="-11"/>
          <w:sz w:val="20"/>
        </w:rPr>
        <w:t> </w:t>
      </w:r>
      <w:r>
        <w:rPr>
          <w:sz w:val="20"/>
        </w:rPr>
        <w:t>to</w:t>
      </w:r>
      <w:r>
        <w:rPr>
          <w:spacing w:val="-9"/>
          <w:sz w:val="20"/>
        </w:rPr>
        <w:t> </w:t>
      </w:r>
      <w:r>
        <w:rPr>
          <w:sz w:val="20"/>
        </w:rPr>
        <w:t>appropriately</w:t>
      </w:r>
      <w:r>
        <w:rPr>
          <w:spacing w:val="-14"/>
          <w:sz w:val="20"/>
        </w:rPr>
        <w:t> </w:t>
      </w:r>
      <w:r>
        <w:rPr>
          <w:sz w:val="20"/>
        </w:rPr>
        <w:t>target</w:t>
      </w:r>
      <w:r>
        <w:rPr>
          <w:spacing w:val="-10"/>
          <w:sz w:val="20"/>
        </w:rPr>
        <w:t> </w:t>
      </w:r>
      <w:r>
        <w:rPr>
          <w:sz w:val="20"/>
        </w:rPr>
        <w:t>the</w:t>
      </w:r>
      <w:r>
        <w:rPr>
          <w:spacing w:val="-10"/>
          <w:sz w:val="20"/>
        </w:rPr>
        <w:t> </w:t>
      </w:r>
      <w:r>
        <w:rPr>
          <w:sz w:val="20"/>
        </w:rPr>
        <w:t>new</w:t>
      </w:r>
      <w:r>
        <w:rPr>
          <w:spacing w:val="-11"/>
          <w:sz w:val="20"/>
        </w:rPr>
        <w:t> </w:t>
      </w:r>
      <w:r>
        <w:rPr>
          <w:sz w:val="20"/>
        </w:rPr>
        <w:t>taxing right</w:t>
      </w:r>
      <w:r>
        <w:rPr>
          <w:spacing w:val="-7"/>
          <w:sz w:val="20"/>
        </w:rPr>
        <w:t> </w:t>
      </w:r>
      <w:r>
        <w:rPr>
          <w:sz w:val="20"/>
        </w:rPr>
        <w:t>in</w:t>
      </w:r>
      <w:r>
        <w:rPr>
          <w:spacing w:val="-10"/>
          <w:sz w:val="20"/>
        </w:rPr>
        <w:t> </w:t>
      </w:r>
      <w:r>
        <w:rPr>
          <w:sz w:val="20"/>
        </w:rPr>
        <w:t>certain</w:t>
      </w:r>
      <w:r>
        <w:rPr>
          <w:spacing w:val="-10"/>
          <w:sz w:val="20"/>
        </w:rPr>
        <w:t> </w:t>
      </w:r>
      <w:r>
        <w:rPr>
          <w:sz w:val="20"/>
        </w:rPr>
        <w:t>cases,</w:t>
      </w:r>
      <w:r>
        <w:rPr>
          <w:spacing w:val="-9"/>
          <w:sz w:val="20"/>
        </w:rPr>
        <w:t> </w:t>
      </w:r>
      <w:r>
        <w:rPr>
          <w:sz w:val="20"/>
        </w:rPr>
        <w:t>but</w:t>
      </w:r>
      <w:r>
        <w:rPr>
          <w:spacing w:val="-7"/>
          <w:sz w:val="20"/>
        </w:rPr>
        <w:t> </w:t>
      </w:r>
      <w:r>
        <w:rPr>
          <w:sz w:val="20"/>
        </w:rPr>
        <w:t>with</w:t>
      </w:r>
      <w:r>
        <w:rPr>
          <w:spacing w:val="-10"/>
          <w:sz w:val="20"/>
        </w:rPr>
        <w:t> </w:t>
      </w:r>
      <w:r>
        <w:rPr>
          <w:sz w:val="20"/>
        </w:rPr>
        <w:t>broad</w:t>
      </w:r>
      <w:r>
        <w:rPr>
          <w:spacing w:val="-9"/>
          <w:sz w:val="20"/>
        </w:rPr>
        <w:t> </w:t>
      </w:r>
      <w:r>
        <w:rPr>
          <w:sz w:val="20"/>
        </w:rPr>
        <w:t>safe-harbour</w:t>
      </w:r>
      <w:r>
        <w:rPr>
          <w:spacing w:val="-9"/>
          <w:sz w:val="20"/>
        </w:rPr>
        <w:t> </w:t>
      </w:r>
      <w:r>
        <w:rPr>
          <w:sz w:val="20"/>
        </w:rPr>
        <w:t>or</w:t>
      </w:r>
      <w:r>
        <w:rPr>
          <w:spacing w:val="-9"/>
          <w:sz w:val="20"/>
        </w:rPr>
        <w:t> </w:t>
      </w:r>
      <w:r>
        <w:rPr>
          <w:sz w:val="20"/>
        </w:rPr>
        <w:t>exemption</w:t>
      </w:r>
      <w:r>
        <w:rPr>
          <w:spacing w:val="-9"/>
          <w:sz w:val="20"/>
        </w:rPr>
        <w:t> </w:t>
      </w:r>
      <w:r>
        <w:rPr>
          <w:sz w:val="20"/>
        </w:rPr>
        <w:t>rules</w:t>
      </w:r>
      <w:r>
        <w:rPr>
          <w:spacing w:val="-9"/>
          <w:sz w:val="20"/>
        </w:rPr>
        <w:t> </w:t>
      </w:r>
      <w:r>
        <w:rPr>
          <w:sz w:val="20"/>
        </w:rPr>
        <w:t>from</w:t>
      </w:r>
      <w:r>
        <w:rPr>
          <w:spacing w:val="-8"/>
          <w:sz w:val="20"/>
        </w:rPr>
        <w:t> </w:t>
      </w:r>
      <w:r>
        <w:rPr>
          <w:sz w:val="20"/>
        </w:rPr>
        <w:t>segmentation</w:t>
      </w:r>
      <w:r>
        <w:rPr>
          <w:spacing w:val="-9"/>
          <w:sz w:val="20"/>
        </w:rPr>
        <w:t> </w:t>
      </w:r>
      <w:r>
        <w:rPr>
          <w:sz w:val="20"/>
        </w:rPr>
        <w:t>to</w:t>
      </w:r>
      <w:r>
        <w:rPr>
          <w:spacing w:val="-10"/>
          <w:sz w:val="20"/>
        </w:rPr>
        <w:t> </w:t>
      </w:r>
      <w:r>
        <w:rPr>
          <w:sz w:val="20"/>
        </w:rPr>
        <w:t>reduce complexity and minimise burdens for tax administrations and taxpayers</w:t>
      </w:r>
      <w:r>
        <w:rPr>
          <w:spacing w:val="-15"/>
          <w:sz w:val="20"/>
        </w:rPr>
        <w:t> </w:t>
      </w:r>
      <w:r>
        <w:rPr>
          <w:sz w:val="20"/>
        </w:rPr>
        <w:t>alike;</w:t>
      </w:r>
    </w:p>
    <w:p>
      <w:pPr>
        <w:pStyle w:val="ListParagraph"/>
        <w:numPr>
          <w:ilvl w:val="0"/>
          <w:numId w:val="2"/>
        </w:numPr>
        <w:tabs>
          <w:tab w:pos="1403" w:val="left" w:leader="none"/>
        </w:tabs>
        <w:spacing w:line="240" w:lineRule="auto" w:before="50" w:after="0"/>
        <w:ind w:left="1402" w:right="0" w:hanging="339"/>
        <w:jc w:val="both"/>
        <w:rPr>
          <w:sz w:val="20"/>
        </w:rPr>
      </w:pPr>
      <w:r>
        <w:rPr>
          <w:sz w:val="20"/>
        </w:rPr>
        <w:t>the solution would contain effective means to eliminate double taxation in a multilateral</w:t>
      </w:r>
      <w:r>
        <w:rPr>
          <w:spacing w:val="-29"/>
          <w:sz w:val="20"/>
        </w:rPr>
        <w:t> </w:t>
      </w:r>
      <w:r>
        <w:rPr>
          <w:sz w:val="20"/>
        </w:rPr>
        <w:t>setting;</w:t>
      </w:r>
    </w:p>
    <w:p>
      <w:pPr>
        <w:pStyle w:val="ListParagraph"/>
        <w:numPr>
          <w:ilvl w:val="0"/>
          <w:numId w:val="2"/>
        </w:numPr>
        <w:tabs>
          <w:tab w:pos="1403" w:val="left" w:leader="none"/>
        </w:tabs>
        <w:spacing w:line="271" w:lineRule="auto" w:before="77" w:after="0"/>
        <w:ind w:left="1402" w:right="483" w:hanging="339"/>
        <w:jc w:val="both"/>
        <w:rPr>
          <w:sz w:val="20"/>
        </w:rPr>
      </w:pPr>
      <w:r>
        <w:rPr>
          <w:sz w:val="20"/>
        </w:rPr>
        <w:t>the work on Amount B will be advanced, (a fixed rate of return on base-line marketing and distribution activities intended to approximate results determined under the arm’s length principle) recognising</w:t>
      </w:r>
      <w:r>
        <w:rPr>
          <w:spacing w:val="-6"/>
          <w:sz w:val="20"/>
        </w:rPr>
        <w:t> </w:t>
      </w:r>
      <w:r>
        <w:rPr>
          <w:sz w:val="20"/>
        </w:rPr>
        <w:t>its</w:t>
      </w:r>
      <w:r>
        <w:rPr>
          <w:spacing w:val="-5"/>
          <w:sz w:val="20"/>
        </w:rPr>
        <w:t> </w:t>
      </w:r>
      <w:r>
        <w:rPr>
          <w:sz w:val="20"/>
        </w:rPr>
        <w:t>potentially</w:t>
      </w:r>
      <w:r>
        <w:rPr>
          <w:spacing w:val="-11"/>
          <w:sz w:val="20"/>
        </w:rPr>
        <w:t> </w:t>
      </w:r>
      <w:r>
        <w:rPr>
          <w:sz w:val="20"/>
        </w:rPr>
        <w:t>significant</w:t>
      </w:r>
      <w:r>
        <w:rPr>
          <w:spacing w:val="-4"/>
          <w:sz w:val="20"/>
        </w:rPr>
        <w:t> </w:t>
      </w:r>
      <w:r>
        <w:rPr>
          <w:sz w:val="20"/>
        </w:rPr>
        <w:t>benefits</w:t>
      </w:r>
      <w:r>
        <w:rPr>
          <w:spacing w:val="-5"/>
          <w:sz w:val="20"/>
        </w:rPr>
        <w:t> </w:t>
      </w:r>
      <w:r>
        <w:rPr>
          <w:sz w:val="20"/>
        </w:rPr>
        <w:t>including</w:t>
      </w:r>
      <w:r>
        <w:rPr>
          <w:spacing w:val="-2"/>
          <w:sz w:val="20"/>
        </w:rPr>
        <w:t> </w:t>
      </w:r>
      <w:r>
        <w:rPr>
          <w:sz w:val="20"/>
        </w:rPr>
        <w:t>for</w:t>
      </w:r>
      <w:r>
        <w:rPr>
          <w:spacing w:val="-6"/>
          <w:sz w:val="20"/>
        </w:rPr>
        <w:t> </w:t>
      </w:r>
      <w:r>
        <w:rPr>
          <w:sz w:val="20"/>
        </w:rPr>
        <w:t>tax</w:t>
      </w:r>
      <w:r>
        <w:rPr>
          <w:spacing w:val="-5"/>
          <w:sz w:val="20"/>
        </w:rPr>
        <w:t> </w:t>
      </w:r>
      <w:r>
        <w:rPr>
          <w:sz w:val="20"/>
        </w:rPr>
        <w:t>administrations</w:t>
      </w:r>
      <w:r>
        <w:rPr>
          <w:spacing w:val="-5"/>
          <w:sz w:val="20"/>
        </w:rPr>
        <w:t> </w:t>
      </w:r>
      <w:r>
        <w:rPr>
          <w:sz w:val="20"/>
        </w:rPr>
        <w:t>with</w:t>
      </w:r>
      <w:r>
        <w:rPr>
          <w:spacing w:val="-4"/>
          <w:sz w:val="20"/>
        </w:rPr>
        <w:t> </w:t>
      </w:r>
      <w:r>
        <w:rPr>
          <w:sz w:val="20"/>
        </w:rPr>
        <w:t>limited</w:t>
      </w:r>
      <w:r>
        <w:rPr>
          <w:spacing w:val="-6"/>
          <w:sz w:val="20"/>
        </w:rPr>
        <w:t> </w:t>
      </w:r>
      <w:r>
        <w:rPr>
          <w:sz w:val="20"/>
        </w:rPr>
        <w:t>capacity as well as its</w:t>
      </w:r>
      <w:r>
        <w:rPr>
          <w:spacing w:val="-1"/>
          <w:sz w:val="20"/>
        </w:rPr>
        <w:t> </w:t>
      </w:r>
      <w:r>
        <w:rPr>
          <w:sz w:val="20"/>
        </w:rPr>
        <w:t>challenges;</w:t>
      </w:r>
    </w:p>
    <w:p>
      <w:pPr>
        <w:pStyle w:val="ListParagraph"/>
        <w:numPr>
          <w:ilvl w:val="0"/>
          <w:numId w:val="2"/>
        </w:numPr>
        <w:tabs>
          <w:tab w:pos="1403" w:val="left" w:leader="none"/>
        </w:tabs>
        <w:spacing w:line="271" w:lineRule="auto" w:before="43" w:after="0"/>
        <w:ind w:left="1402" w:right="483" w:hanging="339"/>
        <w:jc w:val="both"/>
        <w:rPr>
          <w:sz w:val="20"/>
        </w:rPr>
      </w:pPr>
      <w:r>
        <w:rPr>
          <w:sz w:val="20"/>
        </w:rPr>
        <w:t>the Pillar One solution would contain a new multilateral tax certainty process with respect to Amount A, recognising the importance of using simplified and co-ordinated administrative procedures with respect to the administration of Amount</w:t>
      </w:r>
      <w:r>
        <w:rPr>
          <w:spacing w:val="-4"/>
          <w:sz w:val="20"/>
        </w:rPr>
        <w:t> </w:t>
      </w:r>
      <w:r>
        <w:rPr>
          <w:sz w:val="20"/>
        </w:rPr>
        <w:t>A;</w:t>
      </w:r>
    </w:p>
    <w:p>
      <w:pPr>
        <w:pStyle w:val="ListParagraph"/>
        <w:numPr>
          <w:ilvl w:val="0"/>
          <w:numId w:val="2"/>
        </w:numPr>
        <w:tabs>
          <w:tab w:pos="1403" w:val="left" w:leader="none"/>
        </w:tabs>
        <w:spacing w:line="266" w:lineRule="auto" w:before="43" w:after="0"/>
        <w:ind w:left="1402" w:right="491" w:hanging="339"/>
        <w:jc w:val="both"/>
        <w:rPr>
          <w:sz w:val="20"/>
        </w:rPr>
      </w:pPr>
      <w:r>
        <w:rPr>
          <w:sz w:val="20"/>
        </w:rPr>
        <w:t>a new multilateral convention would be developed to implement the solution, recognising that it would offer the best and most efficient way of implementing Pillar</w:t>
      </w:r>
      <w:r>
        <w:rPr>
          <w:spacing w:val="-16"/>
          <w:sz w:val="20"/>
        </w:rPr>
        <w:t> </w:t>
      </w:r>
      <w:r>
        <w:rPr>
          <w:sz w:val="20"/>
        </w:rPr>
        <w:t>One.</w:t>
      </w:r>
    </w:p>
    <w:p>
      <w:pPr>
        <w:pStyle w:val="BodyText"/>
        <w:spacing w:line="271" w:lineRule="auto" w:before="135"/>
        <w:ind w:left="723" w:right="481"/>
        <w:jc w:val="both"/>
      </w:pPr>
      <w:r>
        <w:rPr>
          <w:spacing w:val="3"/>
        </w:rPr>
        <w:t>We</w:t>
      </w:r>
      <w:r>
        <w:rPr>
          <w:spacing w:val="-15"/>
        </w:rPr>
        <w:t> </w:t>
      </w:r>
      <w:r>
        <w:rPr/>
        <w:t>will</w:t>
      </w:r>
      <w:r>
        <w:rPr>
          <w:spacing w:val="-12"/>
        </w:rPr>
        <w:t> </w:t>
      </w:r>
      <w:r>
        <w:rPr/>
        <w:t>now</w:t>
      </w:r>
      <w:r>
        <w:rPr>
          <w:spacing w:val="-14"/>
        </w:rPr>
        <w:t> </w:t>
      </w:r>
      <w:r>
        <w:rPr/>
        <w:t>focus</w:t>
      </w:r>
      <w:r>
        <w:rPr>
          <w:spacing w:val="-10"/>
        </w:rPr>
        <w:t> </w:t>
      </w:r>
      <w:r>
        <w:rPr/>
        <w:t>on</w:t>
      </w:r>
      <w:r>
        <w:rPr>
          <w:spacing w:val="-13"/>
        </w:rPr>
        <w:t> </w:t>
      </w:r>
      <w:r>
        <w:rPr/>
        <w:t>resolving</w:t>
      </w:r>
      <w:r>
        <w:rPr>
          <w:spacing w:val="-12"/>
        </w:rPr>
        <w:t> </w:t>
      </w:r>
      <w:r>
        <w:rPr/>
        <w:t>the</w:t>
      </w:r>
      <w:r>
        <w:rPr>
          <w:spacing w:val="-13"/>
        </w:rPr>
        <w:t> </w:t>
      </w:r>
      <w:r>
        <w:rPr/>
        <w:t>remaining</w:t>
      </w:r>
      <w:r>
        <w:rPr>
          <w:spacing w:val="-12"/>
        </w:rPr>
        <w:t> </w:t>
      </w:r>
      <w:r>
        <w:rPr/>
        <w:t>political</w:t>
      </w:r>
      <w:r>
        <w:rPr>
          <w:spacing w:val="-12"/>
        </w:rPr>
        <w:t> </w:t>
      </w:r>
      <w:r>
        <w:rPr/>
        <w:t>and</w:t>
      </w:r>
      <w:r>
        <w:rPr>
          <w:spacing w:val="-13"/>
        </w:rPr>
        <w:t> </w:t>
      </w:r>
      <w:r>
        <w:rPr/>
        <w:t>technical</w:t>
      </w:r>
      <w:r>
        <w:rPr>
          <w:spacing w:val="-10"/>
        </w:rPr>
        <w:t> </w:t>
      </w:r>
      <w:r>
        <w:rPr/>
        <w:t>issues,</w:t>
      </w:r>
      <w:r>
        <w:rPr>
          <w:spacing w:val="-12"/>
        </w:rPr>
        <w:t> </w:t>
      </w:r>
      <w:r>
        <w:rPr/>
        <w:t>including</w:t>
      </w:r>
      <w:r>
        <w:rPr>
          <w:spacing w:val="-12"/>
        </w:rPr>
        <w:t> </w:t>
      </w:r>
      <w:r>
        <w:rPr/>
        <w:t>issues</w:t>
      </w:r>
      <w:r>
        <w:rPr>
          <w:spacing w:val="-11"/>
        </w:rPr>
        <w:t> </w:t>
      </w:r>
      <w:r>
        <w:rPr/>
        <w:t>around</w:t>
      </w:r>
      <w:r>
        <w:rPr>
          <w:spacing w:val="-12"/>
        </w:rPr>
        <w:t> </w:t>
      </w:r>
      <w:r>
        <w:rPr/>
        <w:t>scope, quantum, the choice between mandatory and safe harbour implementation, and aspects of the new tax certainty</w:t>
      </w:r>
      <w:r>
        <w:rPr>
          <w:spacing w:val="-12"/>
        </w:rPr>
        <w:t> </w:t>
      </w:r>
      <w:r>
        <w:rPr/>
        <w:t>procedures</w:t>
      </w:r>
      <w:r>
        <w:rPr>
          <w:spacing w:val="-7"/>
        </w:rPr>
        <w:t> </w:t>
      </w:r>
      <w:r>
        <w:rPr/>
        <w:t>with</w:t>
      </w:r>
      <w:r>
        <w:rPr>
          <w:spacing w:val="-8"/>
        </w:rPr>
        <w:t> </w:t>
      </w:r>
      <w:r>
        <w:rPr/>
        <w:t>respect</w:t>
      </w:r>
      <w:r>
        <w:rPr>
          <w:spacing w:val="-11"/>
        </w:rPr>
        <w:t> </w:t>
      </w:r>
      <w:r>
        <w:rPr/>
        <w:t>to</w:t>
      </w:r>
      <w:r>
        <w:rPr>
          <w:spacing w:val="-8"/>
        </w:rPr>
        <w:t> </w:t>
      </w:r>
      <w:r>
        <w:rPr/>
        <w:t>Amount</w:t>
      </w:r>
      <w:r>
        <w:rPr>
          <w:spacing w:val="-9"/>
        </w:rPr>
        <w:t> </w:t>
      </w:r>
      <w:r>
        <w:rPr/>
        <w:t>A,</w:t>
      </w:r>
      <w:r>
        <w:rPr>
          <w:spacing w:val="-9"/>
        </w:rPr>
        <w:t> </w:t>
      </w:r>
      <w:r>
        <w:rPr/>
        <w:t>and</w:t>
      </w:r>
      <w:r>
        <w:rPr>
          <w:spacing w:val="-11"/>
        </w:rPr>
        <w:t> </w:t>
      </w:r>
      <w:r>
        <w:rPr/>
        <w:t>the</w:t>
      </w:r>
      <w:r>
        <w:rPr>
          <w:spacing w:val="-7"/>
        </w:rPr>
        <w:t> </w:t>
      </w:r>
      <w:r>
        <w:rPr/>
        <w:t>scope</w:t>
      </w:r>
      <w:r>
        <w:rPr>
          <w:spacing w:val="-11"/>
        </w:rPr>
        <w:t> </w:t>
      </w:r>
      <w:r>
        <w:rPr/>
        <w:t>and</w:t>
      </w:r>
      <w:r>
        <w:rPr>
          <w:spacing w:val="-12"/>
        </w:rPr>
        <w:t> </w:t>
      </w:r>
      <w:r>
        <w:rPr/>
        <w:t>form</w:t>
      </w:r>
      <w:r>
        <w:rPr>
          <w:spacing w:val="-5"/>
        </w:rPr>
        <w:t> </w:t>
      </w:r>
      <w:r>
        <w:rPr/>
        <w:t>of</w:t>
      </w:r>
      <w:r>
        <w:rPr>
          <w:spacing w:val="-9"/>
        </w:rPr>
        <w:t> </w:t>
      </w:r>
      <w:r>
        <w:rPr/>
        <w:t>new</w:t>
      </w:r>
      <w:r>
        <w:rPr>
          <w:spacing w:val="-6"/>
        </w:rPr>
        <w:t> </w:t>
      </w:r>
      <w:r>
        <w:rPr/>
        <w:t>and</w:t>
      </w:r>
      <w:r>
        <w:rPr>
          <w:spacing w:val="-6"/>
        </w:rPr>
        <w:t> </w:t>
      </w:r>
      <w:r>
        <w:rPr/>
        <w:t>enhanced</w:t>
      </w:r>
      <w:r>
        <w:rPr>
          <w:spacing w:val="-10"/>
        </w:rPr>
        <w:t> </w:t>
      </w:r>
      <w:r>
        <w:rPr/>
        <w:t>tax</w:t>
      </w:r>
      <w:r>
        <w:rPr>
          <w:spacing w:val="-10"/>
        </w:rPr>
        <w:t> </w:t>
      </w:r>
      <w:r>
        <w:rPr/>
        <w:t>certainty procedures for issues beyond Amount</w:t>
      </w:r>
      <w:r>
        <w:rPr>
          <w:spacing w:val="-1"/>
        </w:rPr>
        <w:t> </w:t>
      </w:r>
      <w:r>
        <w:rPr/>
        <w:t>A.</w:t>
      </w:r>
    </w:p>
    <w:p>
      <w:pPr>
        <w:pStyle w:val="BodyText"/>
        <w:spacing w:line="271" w:lineRule="auto" w:before="117"/>
        <w:ind w:left="723" w:right="482"/>
        <w:jc w:val="both"/>
      </w:pPr>
      <w:r>
        <w:rPr>
          <w:spacing w:val="3"/>
        </w:rPr>
        <w:t>We </w:t>
      </w:r>
      <w:r>
        <w:rPr/>
        <w:t>also approve the </w:t>
      </w:r>
      <w:r>
        <w:rPr>
          <w:i/>
        </w:rPr>
        <w:t>Report on the Pillar Two Blueprint </w:t>
      </w:r>
      <w:r>
        <w:rPr/>
        <w:t>for public release. It provides a solid basis for a systemic solution that would address remaining base erosion and profit shifting (BEPS) challenges and sets out rules that would provide jurisdictions with a right to “tax back” where other jurisdictions have not exercised</w:t>
      </w:r>
      <w:r>
        <w:rPr>
          <w:spacing w:val="-10"/>
        </w:rPr>
        <w:t> </w:t>
      </w:r>
      <w:r>
        <w:rPr/>
        <w:t>their</w:t>
      </w:r>
      <w:r>
        <w:rPr>
          <w:spacing w:val="-9"/>
        </w:rPr>
        <w:t> </w:t>
      </w:r>
      <w:r>
        <w:rPr/>
        <w:t>primary</w:t>
      </w:r>
      <w:r>
        <w:rPr>
          <w:spacing w:val="-12"/>
        </w:rPr>
        <w:t> </w:t>
      </w:r>
      <w:r>
        <w:rPr/>
        <w:t>taxing</w:t>
      </w:r>
      <w:r>
        <w:rPr>
          <w:spacing w:val="-9"/>
        </w:rPr>
        <w:t> </w:t>
      </w:r>
      <w:r>
        <w:rPr/>
        <w:t>rights,</w:t>
      </w:r>
      <w:r>
        <w:rPr>
          <w:spacing w:val="-10"/>
        </w:rPr>
        <w:t> </w:t>
      </w:r>
      <w:r>
        <w:rPr/>
        <w:t>or</w:t>
      </w:r>
      <w:r>
        <w:rPr>
          <w:spacing w:val="-9"/>
        </w:rPr>
        <w:t> </w:t>
      </w:r>
      <w:r>
        <w:rPr/>
        <w:t>the</w:t>
      </w:r>
      <w:r>
        <w:rPr>
          <w:spacing w:val="-7"/>
        </w:rPr>
        <w:t> </w:t>
      </w:r>
      <w:r>
        <w:rPr/>
        <w:t>payment</w:t>
      </w:r>
      <w:r>
        <w:rPr>
          <w:spacing w:val="-7"/>
        </w:rPr>
        <w:t> </w:t>
      </w:r>
      <w:r>
        <w:rPr/>
        <w:t>is</w:t>
      </w:r>
      <w:r>
        <w:rPr>
          <w:spacing w:val="-8"/>
        </w:rPr>
        <w:t> </w:t>
      </w:r>
      <w:r>
        <w:rPr/>
        <w:t>otherwise</w:t>
      </w:r>
      <w:r>
        <w:rPr>
          <w:spacing w:val="-10"/>
        </w:rPr>
        <w:t> </w:t>
      </w:r>
      <w:r>
        <w:rPr/>
        <w:t>subject</w:t>
      </w:r>
      <w:r>
        <w:rPr>
          <w:spacing w:val="-10"/>
        </w:rPr>
        <w:t> </w:t>
      </w:r>
      <w:r>
        <w:rPr/>
        <w:t>to</w:t>
      </w:r>
      <w:r>
        <w:rPr>
          <w:spacing w:val="-7"/>
        </w:rPr>
        <w:t> </w:t>
      </w:r>
      <w:r>
        <w:rPr/>
        <w:t>low</w:t>
      </w:r>
      <w:r>
        <w:rPr>
          <w:spacing w:val="-9"/>
        </w:rPr>
        <w:t> </w:t>
      </w:r>
      <w:r>
        <w:rPr/>
        <w:t>levels</w:t>
      </w:r>
      <w:r>
        <w:rPr>
          <w:spacing w:val="-8"/>
        </w:rPr>
        <w:t> </w:t>
      </w:r>
      <w:r>
        <w:rPr/>
        <w:t>of</w:t>
      </w:r>
      <w:r>
        <w:rPr>
          <w:spacing w:val="-8"/>
        </w:rPr>
        <w:t> </w:t>
      </w:r>
      <w:r>
        <w:rPr/>
        <w:t>effective</w:t>
      </w:r>
      <w:r>
        <w:rPr>
          <w:spacing w:val="-10"/>
        </w:rPr>
        <w:t> </w:t>
      </w:r>
      <w:r>
        <w:rPr/>
        <w:t>taxation. These rules would ensure that all large internationally operating businesses pay at least a minimum level of tax. </w:t>
      </w:r>
      <w:r>
        <w:rPr>
          <w:spacing w:val="4"/>
        </w:rPr>
        <w:t>We </w:t>
      </w:r>
      <w:r>
        <w:rPr/>
        <w:t>acknowledge that jurisdictions are free to determine their own tax systems, including whether they have a corporate income tax and the level of their tax rates, but also consider the right of other jurisdictions to apply an internationally agreed Pillar Two regime where income is taxed below an</w:t>
      </w:r>
      <w:r>
        <w:rPr>
          <w:spacing w:val="15"/>
        </w:rPr>
        <w:t> </w:t>
      </w:r>
      <w:r>
        <w:rPr/>
        <w:t>agreed</w:t>
      </w:r>
    </w:p>
    <w:p>
      <w:pPr>
        <w:spacing w:after="0" w:line="271" w:lineRule="auto"/>
        <w:jc w:val="both"/>
        <w:sectPr>
          <w:pgSz w:w="11910" w:h="16840"/>
          <w:pgMar w:header="1244" w:footer="1638" w:top="1500" w:bottom="1820" w:left="580" w:right="820"/>
        </w:sectPr>
      </w:pPr>
    </w:p>
    <w:p>
      <w:pPr>
        <w:pStyle w:val="BodyText"/>
        <w:spacing w:before="5"/>
      </w:pPr>
    </w:p>
    <w:p>
      <w:pPr>
        <w:pStyle w:val="BodyText"/>
        <w:spacing w:line="271" w:lineRule="auto" w:before="93"/>
        <w:ind w:left="723" w:right="487"/>
        <w:jc w:val="both"/>
      </w:pPr>
      <w:r>
        <w:rPr/>
        <w:t>minimum rate. Though no agreement has been reached, the Blueprint provides a solid basis for future agreement on:</w:t>
      </w:r>
    </w:p>
    <w:p>
      <w:pPr>
        <w:pStyle w:val="ListParagraph"/>
        <w:numPr>
          <w:ilvl w:val="0"/>
          <w:numId w:val="2"/>
        </w:numPr>
        <w:tabs>
          <w:tab w:pos="1403" w:val="left" w:leader="none"/>
        </w:tabs>
        <w:spacing w:line="271" w:lineRule="auto" w:before="98" w:after="0"/>
        <w:ind w:left="1402" w:right="483" w:hanging="339"/>
        <w:jc w:val="both"/>
        <w:rPr>
          <w:sz w:val="20"/>
        </w:rPr>
      </w:pPr>
      <w:r>
        <w:rPr>
          <w:sz w:val="20"/>
        </w:rPr>
        <w:t>the Income Inclusion Rule (IIR), the Undertaxed Payments Rule (UTPR), the Subject to Tax Rule (STTR), the rule order, the calculation of the effective tax rate and the allocation of the top-up tax for the IIR and the UTPR, including the tax base, the definition of covered taxes, mechanisms to address volatility, and the substance carve-out;</w:t>
      </w:r>
    </w:p>
    <w:p>
      <w:pPr>
        <w:pStyle w:val="ListParagraph"/>
        <w:numPr>
          <w:ilvl w:val="0"/>
          <w:numId w:val="2"/>
        </w:numPr>
        <w:tabs>
          <w:tab w:pos="1403" w:val="left" w:leader="none"/>
        </w:tabs>
        <w:spacing w:line="271" w:lineRule="auto" w:before="45" w:after="0"/>
        <w:ind w:left="1402" w:right="485" w:hanging="339"/>
        <w:jc w:val="both"/>
        <w:rPr>
          <w:sz w:val="20"/>
        </w:rPr>
      </w:pPr>
      <w:r>
        <w:rPr>
          <w:sz w:val="20"/>
        </w:rPr>
        <w:t>the IIR and UTPR as a common approach, including an acceptance of the right of all members of the IF to implement them as part of an agreed Pillar Two regime. It would nevertheless be recognised</w:t>
      </w:r>
      <w:r>
        <w:rPr>
          <w:spacing w:val="-7"/>
          <w:sz w:val="20"/>
        </w:rPr>
        <w:t> </w:t>
      </w:r>
      <w:r>
        <w:rPr>
          <w:sz w:val="20"/>
        </w:rPr>
        <w:t>and</w:t>
      </w:r>
      <w:r>
        <w:rPr>
          <w:spacing w:val="-6"/>
          <w:sz w:val="20"/>
        </w:rPr>
        <w:t> </w:t>
      </w:r>
      <w:r>
        <w:rPr>
          <w:sz w:val="20"/>
        </w:rPr>
        <w:t>accepted</w:t>
      </w:r>
      <w:r>
        <w:rPr>
          <w:spacing w:val="-7"/>
          <w:sz w:val="20"/>
        </w:rPr>
        <w:t> </w:t>
      </w:r>
      <w:r>
        <w:rPr>
          <w:sz w:val="20"/>
        </w:rPr>
        <w:t>that</w:t>
      </w:r>
      <w:r>
        <w:rPr>
          <w:spacing w:val="-6"/>
          <w:sz w:val="20"/>
        </w:rPr>
        <w:t> </w:t>
      </w:r>
      <w:r>
        <w:rPr>
          <w:sz w:val="20"/>
        </w:rPr>
        <w:t>there</w:t>
      </w:r>
      <w:r>
        <w:rPr>
          <w:spacing w:val="-7"/>
          <w:sz w:val="20"/>
        </w:rPr>
        <w:t> </w:t>
      </w:r>
      <w:r>
        <w:rPr>
          <w:sz w:val="20"/>
        </w:rPr>
        <w:t>may</w:t>
      </w:r>
      <w:r>
        <w:rPr>
          <w:spacing w:val="-9"/>
          <w:sz w:val="20"/>
        </w:rPr>
        <w:t> </w:t>
      </w:r>
      <w:r>
        <w:rPr>
          <w:sz w:val="20"/>
        </w:rPr>
        <w:t>be</w:t>
      </w:r>
      <w:r>
        <w:rPr>
          <w:spacing w:val="-6"/>
          <w:sz w:val="20"/>
        </w:rPr>
        <w:t> </w:t>
      </w:r>
      <w:r>
        <w:rPr>
          <w:sz w:val="20"/>
        </w:rPr>
        <w:t>members</w:t>
      </w:r>
      <w:r>
        <w:rPr>
          <w:spacing w:val="-5"/>
          <w:sz w:val="20"/>
        </w:rPr>
        <w:t> </w:t>
      </w:r>
      <w:r>
        <w:rPr>
          <w:sz w:val="20"/>
        </w:rPr>
        <w:t>that</w:t>
      </w:r>
      <w:r>
        <w:rPr>
          <w:spacing w:val="-5"/>
          <w:sz w:val="20"/>
        </w:rPr>
        <w:t> </w:t>
      </w:r>
      <w:r>
        <w:rPr>
          <w:sz w:val="20"/>
        </w:rPr>
        <w:t>are</w:t>
      </w:r>
      <w:r>
        <w:rPr>
          <w:spacing w:val="-6"/>
          <w:sz w:val="20"/>
        </w:rPr>
        <w:t> </w:t>
      </w:r>
      <w:r>
        <w:rPr>
          <w:sz w:val="20"/>
        </w:rPr>
        <w:t>not</w:t>
      </w:r>
      <w:r>
        <w:rPr>
          <w:spacing w:val="-6"/>
          <w:sz w:val="20"/>
        </w:rPr>
        <w:t> </w:t>
      </w:r>
      <w:r>
        <w:rPr>
          <w:sz w:val="20"/>
        </w:rPr>
        <w:t>in</w:t>
      </w:r>
      <w:r>
        <w:rPr>
          <w:spacing w:val="-6"/>
          <w:sz w:val="20"/>
        </w:rPr>
        <w:t> </w:t>
      </w:r>
      <w:r>
        <w:rPr>
          <w:sz w:val="20"/>
        </w:rPr>
        <w:t>a</w:t>
      </w:r>
      <w:r>
        <w:rPr>
          <w:spacing w:val="-4"/>
          <w:sz w:val="20"/>
        </w:rPr>
        <w:t> </w:t>
      </w:r>
      <w:r>
        <w:rPr>
          <w:sz w:val="20"/>
        </w:rPr>
        <w:t>position</w:t>
      </w:r>
      <w:r>
        <w:rPr>
          <w:spacing w:val="-6"/>
          <w:sz w:val="20"/>
        </w:rPr>
        <w:t> </w:t>
      </w:r>
      <w:r>
        <w:rPr>
          <w:sz w:val="20"/>
        </w:rPr>
        <w:t>to</w:t>
      </w:r>
      <w:r>
        <w:rPr>
          <w:spacing w:val="-7"/>
          <w:sz w:val="20"/>
        </w:rPr>
        <w:t> </w:t>
      </w:r>
      <w:r>
        <w:rPr>
          <w:sz w:val="20"/>
        </w:rPr>
        <w:t>implement</w:t>
      </w:r>
      <w:r>
        <w:rPr>
          <w:spacing w:val="-5"/>
          <w:sz w:val="20"/>
        </w:rPr>
        <w:t> </w:t>
      </w:r>
      <w:r>
        <w:rPr>
          <w:sz w:val="20"/>
        </w:rPr>
        <w:t>these rules. However, all those implementing them would apply them consistently with the agreed Pillar Two vis-à-vis all other jurisdictions (including groups headquartered therein) that also join this consensus. Furthermore, given the importance that a large number of IF members, particularly developing countries, attach to an STTR, we recognise that an STTR would be an integral part of a consensus solution on Pillar</w:t>
      </w:r>
      <w:r>
        <w:rPr>
          <w:spacing w:val="-4"/>
          <w:sz w:val="20"/>
        </w:rPr>
        <w:t> </w:t>
      </w:r>
      <w:r>
        <w:rPr>
          <w:sz w:val="20"/>
        </w:rPr>
        <w:t>Two;</w:t>
      </w:r>
    </w:p>
    <w:p>
      <w:pPr>
        <w:pStyle w:val="ListParagraph"/>
        <w:numPr>
          <w:ilvl w:val="0"/>
          <w:numId w:val="2"/>
        </w:numPr>
        <w:tabs>
          <w:tab w:pos="1403" w:val="left" w:leader="none"/>
        </w:tabs>
        <w:spacing w:line="268" w:lineRule="auto" w:before="43" w:after="0"/>
        <w:ind w:left="1402" w:right="488" w:hanging="339"/>
        <w:jc w:val="both"/>
        <w:rPr>
          <w:sz w:val="20"/>
        </w:rPr>
      </w:pPr>
      <w:r>
        <w:rPr>
          <w:sz w:val="20"/>
        </w:rPr>
        <w:t>the basis on which the United States’ Global Intangible Low Taxed Income Regime (GILTI) would be</w:t>
      </w:r>
      <w:r>
        <w:rPr>
          <w:spacing w:val="-7"/>
          <w:sz w:val="20"/>
        </w:rPr>
        <w:t> </w:t>
      </w:r>
      <w:r>
        <w:rPr>
          <w:sz w:val="20"/>
        </w:rPr>
        <w:t>treated</w:t>
      </w:r>
      <w:r>
        <w:rPr>
          <w:spacing w:val="-7"/>
          <w:sz w:val="20"/>
        </w:rPr>
        <w:t> </w:t>
      </w:r>
      <w:r>
        <w:rPr>
          <w:sz w:val="20"/>
        </w:rPr>
        <w:t>as</w:t>
      </w:r>
      <w:r>
        <w:rPr>
          <w:spacing w:val="-6"/>
          <w:sz w:val="20"/>
        </w:rPr>
        <w:t> </w:t>
      </w:r>
      <w:r>
        <w:rPr>
          <w:sz w:val="20"/>
        </w:rPr>
        <w:t>a</w:t>
      </w:r>
      <w:r>
        <w:rPr>
          <w:spacing w:val="-7"/>
          <w:sz w:val="20"/>
        </w:rPr>
        <w:t> </w:t>
      </w:r>
      <w:r>
        <w:rPr>
          <w:sz w:val="20"/>
        </w:rPr>
        <w:t>Pillar</w:t>
      </w:r>
      <w:r>
        <w:rPr>
          <w:spacing w:val="-6"/>
          <w:sz w:val="20"/>
        </w:rPr>
        <w:t> </w:t>
      </w:r>
      <w:r>
        <w:rPr>
          <w:sz w:val="20"/>
        </w:rPr>
        <w:t>Two</w:t>
      </w:r>
      <w:r>
        <w:rPr>
          <w:spacing w:val="-7"/>
          <w:sz w:val="20"/>
        </w:rPr>
        <w:t> </w:t>
      </w:r>
      <w:r>
        <w:rPr>
          <w:sz w:val="20"/>
        </w:rPr>
        <w:t>compliant</w:t>
      </w:r>
      <w:r>
        <w:rPr>
          <w:spacing w:val="-6"/>
          <w:sz w:val="20"/>
        </w:rPr>
        <w:t> </w:t>
      </w:r>
      <w:r>
        <w:rPr>
          <w:sz w:val="20"/>
        </w:rPr>
        <w:t>income</w:t>
      </w:r>
      <w:r>
        <w:rPr>
          <w:spacing w:val="-7"/>
          <w:sz w:val="20"/>
        </w:rPr>
        <w:t> </w:t>
      </w:r>
      <w:r>
        <w:rPr>
          <w:sz w:val="20"/>
        </w:rPr>
        <w:t>inclusion</w:t>
      </w:r>
      <w:r>
        <w:rPr>
          <w:spacing w:val="-7"/>
          <w:sz w:val="20"/>
        </w:rPr>
        <w:t> </w:t>
      </w:r>
      <w:r>
        <w:rPr>
          <w:sz w:val="20"/>
        </w:rPr>
        <w:t>rule</w:t>
      </w:r>
      <w:r>
        <w:rPr>
          <w:spacing w:val="-7"/>
          <w:sz w:val="20"/>
        </w:rPr>
        <w:t> </w:t>
      </w:r>
      <w:r>
        <w:rPr>
          <w:sz w:val="20"/>
        </w:rPr>
        <w:t>as</w:t>
      </w:r>
      <w:r>
        <w:rPr>
          <w:spacing w:val="-6"/>
          <w:sz w:val="20"/>
        </w:rPr>
        <w:t> </w:t>
      </w:r>
      <w:r>
        <w:rPr>
          <w:sz w:val="20"/>
        </w:rPr>
        <w:t>set</w:t>
      </w:r>
      <w:r>
        <w:rPr>
          <w:spacing w:val="-6"/>
          <w:sz w:val="20"/>
        </w:rPr>
        <w:t> </w:t>
      </w:r>
      <w:r>
        <w:rPr>
          <w:sz w:val="20"/>
        </w:rPr>
        <w:t>out</w:t>
      </w:r>
      <w:r>
        <w:rPr>
          <w:spacing w:val="-6"/>
          <w:sz w:val="20"/>
        </w:rPr>
        <w:t> </w:t>
      </w:r>
      <w:r>
        <w:rPr>
          <w:sz w:val="20"/>
        </w:rPr>
        <w:t>in</w:t>
      </w:r>
      <w:r>
        <w:rPr>
          <w:spacing w:val="-7"/>
          <w:sz w:val="20"/>
        </w:rPr>
        <w:t> </w:t>
      </w:r>
      <w:r>
        <w:rPr>
          <w:sz w:val="20"/>
        </w:rPr>
        <w:t>the</w:t>
      </w:r>
      <w:r>
        <w:rPr>
          <w:spacing w:val="-7"/>
          <w:sz w:val="20"/>
        </w:rPr>
        <w:t> </w:t>
      </w:r>
      <w:r>
        <w:rPr>
          <w:sz w:val="20"/>
        </w:rPr>
        <w:t>Report</w:t>
      </w:r>
      <w:r>
        <w:rPr>
          <w:spacing w:val="-4"/>
          <w:sz w:val="20"/>
        </w:rPr>
        <w:t> </w:t>
      </w:r>
      <w:r>
        <w:rPr>
          <w:sz w:val="20"/>
        </w:rPr>
        <w:t>on</w:t>
      </w:r>
      <w:r>
        <w:rPr>
          <w:spacing w:val="-7"/>
          <w:sz w:val="20"/>
        </w:rPr>
        <w:t> </w:t>
      </w:r>
      <w:r>
        <w:rPr>
          <w:sz w:val="20"/>
        </w:rPr>
        <w:t>the</w:t>
      </w:r>
      <w:r>
        <w:rPr>
          <w:spacing w:val="-7"/>
          <w:sz w:val="20"/>
        </w:rPr>
        <w:t> </w:t>
      </w:r>
      <w:r>
        <w:rPr>
          <w:sz w:val="20"/>
        </w:rPr>
        <w:t>Blueprint on Pillar</w:t>
      </w:r>
      <w:r>
        <w:rPr>
          <w:spacing w:val="-4"/>
          <w:sz w:val="20"/>
        </w:rPr>
        <w:t> </w:t>
      </w:r>
      <w:r>
        <w:rPr>
          <w:sz w:val="20"/>
        </w:rPr>
        <w:t>Two;</w:t>
      </w:r>
    </w:p>
    <w:p>
      <w:pPr>
        <w:pStyle w:val="ListParagraph"/>
        <w:numPr>
          <w:ilvl w:val="0"/>
          <w:numId w:val="2"/>
        </w:numPr>
        <w:tabs>
          <w:tab w:pos="1403" w:val="left" w:leader="none"/>
        </w:tabs>
        <w:spacing w:line="268" w:lineRule="auto" w:before="50" w:after="0"/>
        <w:ind w:left="1402" w:right="492" w:hanging="339"/>
        <w:jc w:val="both"/>
        <w:rPr>
          <w:sz w:val="20"/>
        </w:rPr>
      </w:pPr>
      <w:r>
        <w:rPr>
          <w:sz w:val="20"/>
        </w:rPr>
        <w:t>the development of model legislation, standard documentation and guidance, designing a multilateral review process if necessary and exploring the use of a multilateral convention, which could include the key aspects of Pillar</w:t>
      </w:r>
      <w:r>
        <w:rPr>
          <w:spacing w:val="-9"/>
          <w:sz w:val="20"/>
        </w:rPr>
        <w:t> </w:t>
      </w:r>
      <w:r>
        <w:rPr>
          <w:spacing w:val="-8"/>
          <w:sz w:val="20"/>
        </w:rPr>
        <w:t>Two.</w:t>
      </w:r>
    </w:p>
    <w:p>
      <w:pPr>
        <w:pStyle w:val="BodyText"/>
        <w:spacing w:line="273" w:lineRule="auto" w:before="132"/>
        <w:ind w:left="723" w:right="483"/>
        <w:jc w:val="both"/>
      </w:pPr>
      <w:r>
        <w:rPr/>
        <w:t>We welcome stakeholder input into this process on both pillars, in particular on administration and simplification rules, which would help inform the further development of the consensus-based solution.</w:t>
      </w:r>
    </w:p>
    <w:p>
      <w:pPr>
        <w:pStyle w:val="BodyText"/>
        <w:spacing w:before="3"/>
        <w:rPr>
          <w:sz w:val="31"/>
        </w:rPr>
      </w:pPr>
    </w:p>
    <w:p>
      <w:pPr>
        <w:pStyle w:val="Heading4"/>
        <w:ind w:left="723"/>
        <w:jc w:val="both"/>
        <w:rPr>
          <w:rFonts w:ascii="Arial"/>
        </w:rPr>
      </w:pPr>
      <w:bookmarkStart w:name="Next steps" w:id="5"/>
      <w:bookmarkEnd w:id="5"/>
      <w:r>
        <w:rPr>
          <w:b w:val="0"/>
        </w:rPr>
      </w:r>
      <w:r>
        <w:rPr>
          <w:rFonts w:ascii="Arial"/>
          <w:color w:val="4E81BD"/>
        </w:rPr>
        <w:t>Next steps</w:t>
      </w:r>
    </w:p>
    <w:p>
      <w:pPr>
        <w:pStyle w:val="BodyText"/>
        <w:spacing w:before="4"/>
        <w:rPr>
          <w:b/>
          <w:sz w:val="24"/>
        </w:rPr>
      </w:pPr>
    </w:p>
    <w:p>
      <w:pPr>
        <w:pStyle w:val="BodyText"/>
        <w:spacing w:line="271" w:lineRule="auto"/>
        <w:ind w:left="723" w:right="481"/>
        <w:jc w:val="both"/>
      </w:pPr>
      <w:r>
        <w:rPr/>
        <w:t>We agree to swiftly address the remaining issues with a view to bringing the process to a successful conclusion by mid-2021 and to resolve technical issues, develop model draft legislation, guidelines, and international rules and processes as necessary to enable jurisdictions to implement a consensus based solution.</w:t>
      </w:r>
    </w:p>
    <w:p>
      <w:pPr>
        <w:spacing w:after="0" w:line="271" w:lineRule="auto"/>
        <w:jc w:val="both"/>
        <w:sectPr>
          <w:pgSz w:w="11910" w:h="16840"/>
          <w:pgMar w:header="1244" w:footer="1638" w:top="1500" w:bottom="1820" w:left="580" w:right="82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87584" filled="true" fillcolor="#ffffff" stroked="false">
            <v:fill type="solid"/>
            <w10:wrap type="none"/>
          </v:rect>
        </w:pict>
      </w:r>
      <w:r>
        <w:rPr/>
        <w:pict>
          <v:rect style="position:absolute;margin-left:70.823997pt;margin-top:69.335754pt;width:59.279999pt;height:5.76pt;mso-position-horizontal-relative:page;mso-position-vertical-relative:paragraph;z-index:15733248" filled="true" fillcolor="#4e81bd" stroked="false">
            <v:fill type="solid"/>
            <w10:wrap type="none"/>
          </v:rect>
        </w:pict>
      </w:r>
      <w:bookmarkStart w:name="1.  Executive summary" w:id="6"/>
      <w:bookmarkEnd w:id="6"/>
      <w:r>
        <w:rPr>
          <w:b w:val="0"/>
        </w:rPr>
      </w:r>
      <w:bookmarkStart w:name="_bookmark2" w:id="7"/>
      <w:bookmarkEnd w:id="7"/>
      <w:r>
        <w:rPr>
          <w:b w:val="0"/>
        </w:rPr>
      </w:r>
      <w:r>
        <w:rPr>
          <w:color w:val="4E81BD"/>
          <w:sz w:val="130"/>
        </w:rPr>
        <w:t>1.</w:t>
        <w:tab/>
      </w:r>
      <w:r>
        <w:rPr>
          <w:color w:val="4E81BD"/>
        </w:rPr>
        <w:t>Executive</w:t>
      </w:r>
      <w:r>
        <w:rPr>
          <w:color w:val="4E81BD"/>
          <w:spacing w:val="2"/>
        </w:rPr>
        <w:t> </w:t>
      </w:r>
      <w:r>
        <w:rPr>
          <w:color w:val="4E81BD"/>
        </w:rPr>
        <w:t>summary</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4"/>
        <w:numPr>
          <w:ilvl w:val="1"/>
          <w:numId w:val="3"/>
        </w:numPr>
        <w:tabs>
          <w:tab w:pos="1192" w:val="left" w:leader="none"/>
        </w:tabs>
        <w:spacing w:line="240" w:lineRule="auto" w:before="93" w:after="0"/>
        <w:ind w:left="1191" w:right="0" w:hanging="469"/>
        <w:jc w:val="both"/>
        <w:rPr>
          <w:rFonts w:ascii="Arial"/>
        </w:rPr>
      </w:pPr>
      <w:bookmarkStart w:name="1.1. Introduction" w:id="8"/>
      <w:bookmarkEnd w:id="8"/>
      <w:r>
        <w:rPr>
          <w:b w:val="0"/>
        </w:rPr>
      </w:r>
      <w:bookmarkStart w:name="_bookmark3" w:id="9"/>
      <w:bookmarkEnd w:id="9"/>
      <w:r>
        <w:rPr>
          <w:b w:val="0"/>
        </w:rPr>
      </w:r>
      <w:bookmarkStart w:name="_bookmark3" w:id="10"/>
      <w:bookmarkEnd w:id="10"/>
      <w:r>
        <w:rPr>
          <w:rFonts w:ascii="Arial"/>
          <w:color w:val="4E81BD"/>
        </w:rPr>
        <w:t>In</w:t>
      </w:r>
      <w:r>
        <w:rPr>
          <w:rFonts w:ascii="Arial"/>
          <w:color w:val="4E81BD"/>
        </w:rPr>
        <w:t>troduction</w:t>
      </w:r>
    </w:p>
    <w:p>
      <w:pPr>
        <w:pStyle w:val="BodyText"/>
        <w:spacing w:before="3"/>
        <w:rPr>
          <w:b/>
          <w:sz w:val="24"/>
        </w:rPr>
      </w:pPr>
    </w:p>
    <w:p>
      <w:pPr>
        <w:pStyle w:val="ListParagraph"/>
        <w:numPr>
          <w:ilvl w:val="0"/>
          <w:numId w:val="4"/>
        </w:numPr>
        <w:tabs>
          <w:tab w:pos="1444" w:val="left" w:leader="none"/>
        </w:tabs>
        <w:spacing w:line="271" w:lineRule="auto" w:before="1" w:after="0"/>
        <w:ind w:left="723" w:right="482" w:firstLine="0"/>
        <w:jc w:val="both"/>
        <w:rPr>
          <w:sz w:val="20"/>
        </w:rPr>
      </w:pPr>
      <w:r>
        <w:rPr>
          <w:sz w:val="20"/>
        </w:rPr>
        <w:t>Digital transformation spurs innovation, generates efficiencies, and improves services while boosting more inclusive and sustainable growth and enhancing well-being. At the same time, the breadth and speed of this change introduces challenges in many policy areas, including taxation. Reforming the international tax system to address the tax challenges arising from the digitalisation of the economy has therefore been a priority of the international community for several years, with commitments </w:t>
      </w:r>
      <w:r>
        <w:rPr>
          <w:spacing w:val="5"/>
          <w:sz w:val="20"/>
        </w:rPr>
        <w:t>to </w:t>
      </w:r>
      <w:r>
        <w:rPr>
          <w:sz w:val="20"/>
        </w:rPr>
        <w:t>deliver a consensus-based solution by the end of</w:t>
      </w:r>
      <w:r>
        <w:rPr>
          <w:spacing w:val="-5"/>
          <w:sz w:val="20"/>
        </w:rPr>
        <w:t> </w:t>
      </w:r>
      <w:r>
        <w:rPr>
          <w:sz w:val="20"/>
        </w:rPr>
        <w:t>2020.</w:t>
      </w:r>
    </w:p>
    <w:p>
      <w:pPr>
        <w:pStyle w:val="ListParagraph"/>
        <w:numPr>
          <w:ilvl w:val="0"/>
          <w:numId w:val="4"/>
        </w:numPr>
        <w:tabs>
          <w:tab w:pos="1444" w:val="left" w:leader="none"/>
        </w:tabs>
        <w:spacing w:line="268" w:lineRule="auto" w:before="121" w:after="0"/>
        <w:ind w:left="723" w:right="486" w:firstLine="0"/>
        <w:jc w:val="both"/>
        <w:rPr>
          <w:sz w:val="20"/>
        </w:rPr>
      </w:pPr>
      <w:r>
        <w:rPr>
          <w:sz w:val="20"/>
        </w:rPr>
        <w:t>These tax challenges were first identified as one of the main areas of focus of the OECD/G20 Base Erosion and Profit Shifting (BEPS) Project, leading to the 2015 BEPS Action 1 Report (the Action 1 Report).</w:t>
      </w:r>
      <w:r>
        <w:rPr>
          <w:sz w:val="20"/>
          <w:vertAlign w:val="superscript"/>
        </w:rPr>
        <w:t>1</w:t>
      </w:r>
      <w:r>
        <w:rPr>
          <w:sz w:val="20"/>
          <w:vertAlign w:val="baseline"/>
        </w:rPr>
        <w:t> The Action 1 Report found that the whole economy was digitalising and, as a result, it would be difficult, if not impossible, to ring-fence the digital economy. In March 2018, the Inclusive Framework, working through its Task Force on the Digital Economy (TFDE), issued </w:t>
      </w:r>
      <w:r>
        <w:rPr>
          <w:i/>
          <w:sz w:val="20"/>
          <w:vertAlign w:val="baseline"/>
        </w:rPr>
        <w:t>Tax Challenges Arising from </w:t>
      </w:r>
      <w:r>
        <w:rPr>
          <w:i/>
          <w:sz w:val="20"/>
          <w:vertAlign w:val="baseline"/>
        </w:rPr>
        <w:t>Digitalisation</w:t>
      </w:r>
      <w:r>
        <w:rPr>
          <w:i/>
          <w:spacing w:val="-2"/>
          <w:sz w:val="20"/>
          <w:vertAlign w:val="baseline"/>
        </w:rPr>
        <w:t> </w:t>
      </w:r>
      <w:r>
        <w:rPr>
          <w:i/>
          <w:sz w:val="20"/>
          <w:vertAlign w:val="baseline"/>
        </w:rPr>
        <w:t>–</w:t>
      </w:r>
      <w:r>
        <w:rPr>
          <w:i/>
          <w:spacing w:val="-4"/>
          <w:sz w:val="20"/>
          <w:vertAlign w:val="baseline"/>
        </w:rPr>
        <w:t> </w:t>
      </w:r>
      <w:r>
        <w:rPr>
          <w:i/>
          <w:sz w:val="20"/>
          <w:vertAlign w:val="baseline"/>
        </w:rPr>
        <w:t>Interim</w:t>
      </w:r>
      <w:r>
        <w:rPr>
          <w:i/>
          <w:spacing w:val="-4"/>
          <w:sz w:val="20"/>
          <w:vertAlign w:val="baseline"/>
        </w:rPr>
        <w:t> </w:t>
      </w:r>
      <w:r>
        <w:rPr>
          <w:i/>
          <w:sz w:val="20"/>
          <w:vertAlign w:val="baseline"/>
        </w:rPr>
        <w:t>Report</w:t>
      </w:r>
      <w:r>
        <w:rPr>
          <w:i/>
          <w:spacing w:val="-4"/>
          <w:sz w:val="20"/>
          <w:vertAlign w:val="baseline"/>
        </w:rPr>
        <w:t> </w:t>
      </w:r>
      <w:r>
        <w:rPr>
          <w:i/>
          <w:sz w:val="20"/>
          <w:vertAlign w:val="baseline"/>
        </w:rPr>
        <w:t>2018</w:t>
      </w:r>
      <w:r>
        <w:rPr>
          <w:i/>
          <w:spacing w:val="-2"/>
          <w:sz w:val="20"/>
          <w:vertAlign w:val="baseline"/>
        </w:rPr>
        <w:t> </w:t>
      </w:r>
      <w:r>
        <w:rPr>
          <w:sz w:val="20"/>
          <w:vertAlign w:val="baseline"/>
        </w:rPr>
        <w:t>(the</w:t>
      </w:r>
      <w:r>
        <w:rPr>
          <w:spacing w:val="-5"/>
          <w:sz w:val="20"/>
          <w:vertAlign w:val="baseline"/>
        </w:rPr>
        <w:t> </w:t>
      </w:r>
      <w:r>
        <w:rPr>
          <w:sz w:val="20"/>
          <w:vertAlign w:val="baseline"/>
        </w:rPr>
        <w:t>Interim Report)</w:t>
      </w:r>
      <w:r>
        <w:rPr>
          <w:sz w:val="20"/>
          <w:vertAlign w:val="superscript"/>
        </w:rPr>
        <w:t>2</w:t>
      </w:r>
      <w:r>
        <w:rPr>
          <w:spacing w:val="-4"/>
          <w:sz w:val="20"/>
          <w:vertAlign w:val="baseline"/>
        </w:rPr>
        <w:t> </w:t>
      </w:r>
      <w:r>
        <w:rPr>
          <w:sz w:val="20"/>
          <w:vertAlign w:val="baseline"/>
        </w:rPr>
        <w:t>which</w:t>
      </w:r>
      <w:r>
        <w:rPr>
          <w:spacing w:val="-4"/>
          <w:sz w:val="20"/>
          <w:vertAlign w:val="baseline"/>
        </w:rPr>
        <w:t> </w:t>
      </w:r>
      <w:r>
        <w:rPr>
          <w:sz w:val="20"/>
          <w:vertAlign w:val="baseline"/>
        </w:rPr>
        <w:t>recognised</w:t>
      </w:r>
      <w:r>
        <w:rPr>
          <w:spacing w:val="-5"/>
          <w:sz w:val="20"/>
          <w:vertAlign w:val="baseline"/>
        </w:rPr>
        <w:t> </w:t>
      </w:r>
      <w:r>
        <w:rPr>
          <w:sz w:val="20"/>
          <w:vertAlign w:val="baseline"/>
        </w:rPr>
        <w:t>the</w:t>
      </w:r>
      <w:r>
        <w:rPr>
          <w:spacing w:val="-3"/>
          <w:sz w:val="20"/>
          <w:vertAlign w:val="baseline"/>
        </w:rPr>
        <w:t> </w:t>
      </w:r>
      <w:r>
        <w:rPr>
          <w:sz w:val="20"/>
          <w:vertAlign w:val="baseline"/>
        </w:rPr>
        <w:t>need</w:t>
      </w:r>
      <w:r>
        <w:rPr>
          <w:spacing w:val="-5"/>
          <w:sz w:val="20"/>
          <w:vertAlign w:val="baseline"/>
        </w:rPr>
        <w:t> </w:t>
      </w:r>
      <w:r>
        <w:rPr>
          <w:sz w:val="20"/>
          <w:vertAlign w:val="baseline"/>
        </w:rPr>
        <w:t>for</w:t>
      </w:r>
      <w:r>
        <w:rPr>
          <w:spacing w:val="-4"/>
          <w:sz w:val="20"/>
          <w:vertAlign w:val="baseline"/>
        </w:rPr>
        <w:t> </w:t>
      </w:r>
      <w:r>
        <w:rPr>
          <w:sz w:val="20"/>
          <w:vertAlign w:val="baseline"/>
        </w:rPr>
        <w:t>a</w:t>
      </w:r>
      <w:r>
        <w:rPr>
          <w:spacing w:val="-4"/>
          <w:sz w:val="20"/>
          <w:vertAlign w:val="baseline"/>
        </w:rPr>
        <w:t> </w:t>
      </w:r>
      <w:r>
        <w:rPr>
          <w:sz w:val="20"/>
          <w:vertAlign w:val="baseline"/>
        </w:rPr>
        <w:t>global</w:t>
      </w:r>
      <w:r>
        <w:rPr>
          <w:spacing w:val="-5"/>
          <w:sz w:val="20"/>
          <w:vertAlign w:val="baseline"/>
        </w:rPr>
        <w:t> </w:t>
      </w:r>
      <w:r>
        <w:rPr>
          <w:sz w:val="20"/>
          <w:vertAlign w:val="baseline"/>
        </w:rPr>
        <w:t>solution.</w:t>
      </w:r>
    </w:p>
    <w:p>
      <w:pPr>
        <w:pStyle w:val="ListParagraph"/>
        <w:numPr>
          <w:ilvl w:val="0"/>
          <w:numId w:val="4"/>
        </w:numPr>
        <w:tabs>
          <w:tab w:pos="1444" w:val="left" w:leader="none"/>
        </w:tabs>
        <w:spacing w:line="271" w:lineRule="auto" w:before="134" w:after="0"/>
        <w:ind w:left="723" w:right="481" w:firstLine="0"/>
        <w:jc w:val="both"/>
        <w:rPr>
          <w:sz w:val="20"/>
        </w:rPr>
      </w:pPr>
      <w:r>
        <w:rPr>
          <w:sz w:val="20"/>
        </w:rPr>
        <w:t>Since</w:t>
      </w:r>
      <w:r>
        <w:rPr>
          <w:spacing w:val="-8"/>
          <w:sz w:val="20"/>
        </w:rPr>
        <w:t> </w:t>
      </w:r>
      <w:r>
        <w:rPr>
          <w:sz w:val="20"/>
        </w:rPr>
        <w:t>then,</w:t>
      </w:r>
      <w:r>
        <w:rPr>
          <w:spacing w:val="-7"/>
          <w:sz w:val="20"/>
        </w:rPr>
        <w:t> </w:t>
      </w:r>
      <w:r>
        <w:rPr>
          <w:sz w:val="20"/>
        </w:rPr>
        <w:t>the</w:t>
      </w:r>
      <w:r>
        <w:rPr>
          <w:spacing w:val="-7"/>
          <w:sz w:val="20"/>
        </w:rPr>
        <w:t> </w:t>
      </w:r>
      <w:r>
        <w:rPr>
          <w:sz w:val="20"/>
        </w:rPr>
        <w:t>137</w:t>
      </w:r>
      <w:r>
        <w:rPr>
          <w:spacing w:val="-8"/>
          <w:sz w:val="20"/>
        </w:rPr>
        <w:t> </w:t>
      </w:r>
      <w:r>
        <w:rPr>
          <w:sz w:val="20"/>
        </w:rPr>
        <w:t>members</w:t>
      </w:r>
      <w:r>
        <w:rPr>
          <w:spacing w:val="-5"/>
          <w:sz w:val="20"/>
        </w:rPr>
        <w:t> </w:t>
      </w:r>
      <w:r>
        <w:rPr>
          <w:sz w:val="20"/>
        </w:rPr>
        <w:t>of</w:t>
      </w:r>
      <w:r>
        <w:rPr>
          <w:spacing w:val="-3"/>
          <w:sz w:val="20"/>
        </w:rPr>
        <w:t> </w:t>
      </w:r>
      <w:r>
        <w:rPr>
          <w:sz w:val="20"/>
        </w:rPr>
        <w:t>the</w:t>
      </w:r>
      <w:r>
        <w:rPr>
          <w:spacing w:val="-8"/>
          <w:sz w:val="20"/>
        </w:rPr>
        <w:t> </w:t>
      </w:r>
      <w:r>
        <w:rPr>
          <w:sz w:val="20"/>
        </w:rPr>
        <w:t>Inclusive</w:t>
      </w:r>
      <w:r>
        <w:rPr>
          <w:spacing w:val="-7"/>
          <w:sz w:val="20"/>
        </w:rPr>
        <w:t> </w:t>
      </w:r>
      <w:r>
        <w:rPr>
          <w:sz w:val="20"/>
        </w:rPr>
        <w:t>Framework</w:t>
      </w:r>
      <w:r>
        <w:rPr>
          <w:spacing w:val="-4"/>
          <w:sz w:val="20"/>
        </w:rPr>
        <w:t> </w:t>
      </w:r>
      <w:r>
        <w:rPr>
          <w:sz w:val="20"/>
        </w:rPr>
        <w:t>have</w:t>
      </w:r>
      <w:r>
        <w:rPr>
          <w:spacing w:val="-5"/>
          <w:sz w:val="20"/>
        </w:rPr>
        <w:t> </w:t>
      </w:r>
      <w:r>
        <w:rPr>
          <w:sz w:val="20"/>
        </w:rPr>
        <w:t>worked</w:t>
      </w:r>
      <w:r>
        <w:rPr>
          <w:spacing w:val="-7"/>
          <w:sz w:val="20"/>
        </w:rPr>
        <w:t> </w:t>
      </w:r>
      <w:r>
        <w:rPr>
          <w:sz w:val="20"/>
        </w:rPr>
        <w:t>on</w:t>
      </w:r>
      <w:r>
        <w:rPr>
          <w:spacing w:val="-8"/>
          <w:sz w:val="20"/>
        </w:rPr>
        <w:t> </w:t>
      </w:r>
      <w:r>
        <w:rPr>
          <w:sz w:val="20"/>
        </w:rPr>
        <w:t>a</w:t>
      </w:r>
      <w:r>
        <w:rPr>
          <w:spacing w:val="-7"/>
          <w:sz w:val="20"/>
        </w:rPr>
        <w:t> </w:t>
      </w:r>
      <w:r>
        <w:rPr>
          <w:sz w:val="20"/>
        </w:rPr>
        <w:t>global</w:t>
      </w:r>
      <w:r>
        <w:rPr>
          <w:spacing w:val="-6"/>
          <w:sz w:val="20"/>
        </w:rPr>
        <w:t> </w:t>
      </w:r>
      <w:r>
        <w:rPr>
          <w:sz w:val="20"/>
        </w:rPr>
        <w:t>solution</w:t>
      </w:r>
      <w:r>
        <w:rPr>
          <w:spacing w:val="-6"/>
          <w:sz w:val="20"/>
        </w:rPr>
        <w:t> </w:t>
      </w:r>
      <w:r>
        <w:rPr>
          <w:sz w:val="20"/>
        </w:rPr>
        <w:t>based on a two pillar approach.</w:t>
      </w:r>
      <w:r>
        <w:rPr>
          <w:sz w:val="20"/>
          <w:vertAlign w:val="superscript"/>
        </w:rPr>
        <w:t>3</w:t>
      </w:r>
      <w:r>
        <w:rPr>
          <w:sz w:val="20"/>
          <w:vertAlign w:val="baseline"/>
        </w:rPr>
        <w:t> Pillar One is focused on new nexus and profit allocation rules to ensure that, in an increasingly digital age, the allocation of taxing rights with respect to business profits is no longer exclusively circumscribed by reference to physical presence. Globalisation and digitalisation have challenged fundamental features of the international income tax system, such as the traditional notions of permanent</w:t>
      </w:r>
      <w:r>
        <w:rPr>
          <w:spacing w:val="-6"/>
          <w:sz w:val="20"/>
          <w:vertAlign w:val="baseline"/>
        </w:rPr>
        <w:t> </w:t>
      </w:r>
      <w:r>
        <w:rPr>
          <w:sz w:val="20"/>
          <w:vertAlign w:val="baseline"/>
        </w:rPr>
        <w:t>establishment</w:t>
      </w:r>
      <w:r>
        <w:rPr>
          <w:spacing w:val="-6"/>
          <w:sz w:val="20"/>
          <w:vertAlign w:val="baseline"/>
        </w:rPr>
        <w:t> </w:t>
      </w:r>
      <w:r>
        <w:rPr>
          <w:sz w:val="20"/>
          <w:vertAlign w:val="baseline"/>
        </w:rPr>
        <w:t>and</w:t>
      </w:r>
      <w:r>
        <w:rPr>
          <w:spacing w:val="-7"/>
          <w:sz w:val="20"/>
          <w:vertAlign w:val="baseline"/>
        </w:rPr>
        <w:t> </w:t>
      </w:r>
      <w:r>
        <w:rPr>
          <w:sz w:val="20"/>
          <w:vertAlign w:val="baseline"/>
        </w:rPr>
        <w:t>the</w:t>
      </w:r>
      <w:r>
        <w:rPr>
          <w:spacing w:val="-7"/>
          <w:sz w:val="20"/>
          <w:vertAlign w:val="baseline"/>
        </w:rPr>
        <w:t> </w:t>
      </w:r>
      <w:r>
        <w:rPr>
          <w:sz w:val="20"/>
          <w:vertAlign w:val="baseline"/>
        </w:rPr>
        <w:t>arm’s</w:t>
      </w:r>
      <w:r>
        <w:rPr>
          <w:spacing w:val="-5"/>
          <w:sz w:val="20"/>
          <w:vertAlign w:val="baseline"/>
        </w:rPr>
        <w:t> </w:t>
      </w:r>
      <w:r>
        <w:rPr>
          <w:sz w:val="20"/>
          <w:vertAlign w:val="baseline"/>
        </w:rPr>
        <w:t>length</w:t>
      </w:r>
      <w:r>
        <w:rPr>
          <w:spacing w:val="-7"/>
          <w:sz w:val="20"/>
          <w:vertAlign w:val="baseline"/>
        </w:rPr>
        <w:t> </w:t>
      </w:r>
      <w:r>
        <w:rPr>
          <w:sz w:val="20"/>
          <w:vertAlign w:val="baseline"/>
        </w:rPr>
        <w:t>principle</w:t>
      </w:r>
      <w:r>
        <w:rPr>
          <w:spacing w:val="-7"/>
          <w:sz w:val="20"/>
          <w:vertAlign w:val="baseline"/>
        </w:rPr>
        <w:t> </w:t>
      </w:r>
      <w:r>
        <w:rPr>
          <w:sz w:val="20"/>
          <w:vertAlign w:val="baseline"/>
        </w:rPr>
        <w:t>(ALP),</w:t>
      </w:r>
      <w:r>
        <w:rPr>
          <w:spacing w:val="-6"/>
          <w:sz w:val="20"/>
          <w:vertAlign w:val="baseline"/>
        </w:rPr>
        <w:t> </w:t>
      </w:r>
      <w:r>
        <w:rPr>
          <w:sz w:val="20"/>
          <w:vertAlign w:val="baseline"/>
        </w:rPr>
        <w:t>and</w:t>
      </w:r>
      <w:r>
        <w:rPr>
          <w:spacing w:val="-7"/>
          <w:sz w:val="20"/>
          <w:vertAlign w:val="baseline"/>
        </w:rPr>
        <w:t> </w:t>
      </w:r>
      <w:r>
        <w:rPr>
          <w:sz w:val="20"/>
          <w:vertAlign w:val="baseline"/>
        </w:rPr>
        <w:t>brought</w:t>
      </w:r>
      <w:r>
        <w:rPr>
          <w:spacing w:val="-6"/>
          <w:sz w:val="20"/>
          <w:vertAlign w:val="baseline"/>
        </w:rPr>
        <w:t> </w:t>
      </w:r>
      <w:r>
        <w:rPr>
          <w:sz w:val="20"/>
          <w:vertAlign w:val="baseline"/>
        </w:rPr>
        <w:t>to</w:t>
      </w:r>
      <w:r>
        <w:rPr>
          <w:spacing w:val="-6"/>
          <w:sz w:val="20"/>
          <w:vertAlign w:val="baseline"/>
        </w:rPr>
        <w:t> </w:t>
      </w:r>
      <w:r>
        <w:rPr>
          <w:sz w:val="20"/>
          <w:vertAlign w:val="baseline"/>
        </w:rPr>
        <w:t>the</w:t>
      </w:r>
      <w:r>
        <w:rPr>
          <w:spacing w:val="-7"/>
          <w:sz w:val="20"/>
          <w:vertAlign w:val="baseline"/>
        </w:rPr>
        <w:t> </w:t>
      </w:r>
      <w:r>
        <w:rPr>
          <w:sz w:val="20"/>
          <w:vertAlign w:val="baseline"/>
        </w:rPr>
        <w:t>fore</w:t>
      </w:r>
      <w:r>
        <w:rPr>
          <w:spacing w:val="-6"/>
          <w:sz w:val="20"/>
          <w:vertAlign w:val="baseline"/>
        </w:rPr>
        <w:t> </w:t>
      </w:r>
      <w:r>
        <w:rPr>
          <w:sz w:val="20"/>
          <w:vertAlign w:val="baseline"/>
        </w:rPr>
        <w:t>the</w:t>
      </w:r>
      <w:r>
        <w:rPr>
          <w:spacing w:val="-7"/>
          <w:sz w:val="20"/>
          <w:vertAlign w:val="baseline"/>
        </w:rPr>
        <w:t> </w:t>
      </w:r>
      <w:r>
        <w:rPr>
          <w:sz w:val="20"/>
          <w:vertAlign w:val="baseline"/>
        </w:rPr>
        <w:t>need</w:t>
      </w:r>
      <w:r>
        <w:rPr>
          <w:spacing w:val="-7"/>
          <w:sz w:val="20"/>
          <w:vertAlign w:val="baseline"/>
        </w:rPr>
        <w:t> </w:t>
      </w:r>
      <w:r>
        <w:rPr>
          <w:sz w:val="20"/>
          <w:vertAlign w:val="baseline"/>
        </w:rPr>
        <w:t>for</w:t>
      </w:r>
      <w:r>
        <w:rPr>
          <w:spacing w:val="-4"/>
          <w:sz w:val="20"/>
          <w:vertAlign w:val="baseline"/>
        </w:rPr>
        <w:t> </w:t>
      </w:r>
      <w:r>
        <w:rPr>
          <w:sz w:val="20"/>
          <w:vertAlign w:val="baseline"/>
        </w:rPr>
        <w:t>higher levels of enhanced tax certainty through more extensive multilateral tax co-operation. These transformational developments have taken place against a background of increasing public attention on the taxation of highly digitalised global businesses, which has in turn reinforced the political pressure and imperative to address the issue.</w:t>
      </w:r>
    </w:p>
    <w:p>
      <w:pPr>
        <w:pStyle w:val="ListParagraph"/>
        <w:numPr>
          <w:ilvl w:val="0"/>
          <w:numId w:val="4"/>
        </w:numPr>
        <w:tabs>
          <w:tab w:pos="1444" w:val="left" w:leader="none"/>
        </w:tabs>
        <w:spacing w:line="271" w:lineRule="auto" w:before="121" w:after="0"/>
        <w:ind w:left="723" w:right="486" w:firstLine="0"/>
        <w:jc w:val="both"/>
        <w:rPr>
          <w:sz w:val="20"/>
        </w:rPr>
      </w:pPr>
      <w:r>
        <w:rPr>
          <w:sz w:val="20"/>
        </w:rPr>
        <w:t>Members of the Inclusive Framework agreed that any new rules should be based on net basis taxation,</w:t>
      </w:r>
      <w:r>
        <w:rPr>
          <w:spacing w:val="-9"/>
          <w:sz w:val="20"/>
        </w:rPr>
        <w:t> </w:t>
      </w:r>
      <w:r>
        <w:rPr>
          <w:sz w:val="20"/>
        </w:rPr>
        <w:t>should</w:t>
      </w:r>
      <w:r>
        <w:rPr>
          <w:spacing w:val="-5"/>
          <w:sz w:val="20"/>
        </w:rPr>
        <w:t> </w:t>
      </w:r>
      <w:r>
        <w:rPr>
          <w:sz w:val="20"/>
        </w:rPr>
        <w:t>avoid</w:t>
      </w:r>
      <w:r>
        <w:rPr>
          <w:spacing w:val="-9"/>
          <w:sz w:val="20"/>
        </w:rPr>
        <w:t> </w:t>
      </w:r>
      <w:r>
        <w:rPr>
          <w:sz w:val="20"/>
        </w:rPr>
        <w:t>double</w:t>
      </w:r>
      <w:r>
        <w:rPr>
          <w:spacing w:val="-8"/>
          <w:sz w:val="20"/>
        </w:rPr>
        <w:t> </w:t>
      </w:r>
      <w:r>
        <w:rPr>
          <w:sz w:val="20"/>
        </w:rPr>
        <w:t>taxation</w:t>
      </w:r>
      <w:r>
        <w:rPr>
          <w:spacing w:val="-4"/>
          <w:sz w:val="20"/>
        </w:rPr>
        <w:t> </w:t>
      </w:r>
      <w:r>
        <w:rPr>
          <w:sz w:val="20"/>
        </w:rPr>
        <w:t>and</w:t>
      </w:r>
      <w:r>
        <w:rPr>
          <w:spacing w:val="-9"/>
          <w:sz w:val="20"/>
        </w:rPr>
        <w:t> </w:t>
      </w:r>
      <w:r>
        <w:rPr>
          <w:sz w:val="20"/>
        </w:rPr>
        <w:t>should</w:t>
      </w:r>
      <w:r>
        <w:rPr>
          <w:spacing w:val="-8"/>
          <w:sz w:val="20"/>
        </w:rPr>
        <w:t> </w:t>
      </w:r>
      <w:r>
        <w:rPr>
          <w:sz w:val="20"/>
        </w:rPr>
        <w:t>be</w:t>
      </w:r>
      <w:r>
        <w:rPr>
          <w:spacing w:val="-8"/>
          <w:sz w:val="20"/>
        </w:rPr>
        <w:t> </w:t>
      </w:r>
      <w:r>
        <w:rPr>
          <w:sz w:val="20"/>
        </w:rPr>
        <w:t>as</w:t>
      </w:r>
      <w:r>
        <w:rPr>
          <w:spacing w:val="-8"/>
          <w:sz w:val="20"/>
        </w:rPr>
        <w:t> </w:t>
      </w:r>
      <w:r>
        <w:rPr>
          <w:sz w:val="20"/>
        </w:rPr>
        <w:t>simple</w:t>
      </w:r>
      <w:r>
        <w:rPr>
          <w:spacing w:val="-8"/>
          <w:sz w:val="20"/>
        </w:rPr>
        <w:t> </w:t>
      </w:r>
      <w:r>
        <w:rPr>
          <w:sz w:val="20"/>
        </w:rPr>
        <w:t>as</w:t>
      </w:r>
      <w:r>
        <w:rPr>
          <w:spacing w:val="-8"/>
          <w:sz w:val="20"/>
        </w:rPr>
        <w:t> </w:t>
      </w:r>
      <w:r>
        <w:rPr>
          <w:sz w:val="20"/>
        </w:rPr>
        <w:t>possible.</w:t>
      </w:r>
      <w:r>
        <w:rPr>
          <w:spacing w:val="-8"/>
          <w:sz w:val="20"/>
        </w:rPr>
        <w:t> </w:t>
      </w:r>
      <w:r>
        <w:rPr>
          <w:sz w:val="20"/>
        </w:rPr>
        <w:t>They</w:t>
      </w:r>
      <w:r>
        <w:rPr>
          <w:spacing w:val="-6"/>
          <w:sz w:val="20"/>
        </w:rPr>
        <w:t> </w:t>
      </w:r>
      <w:r>
        <w:rPr>
          <w:sz w:val="20"/>
        </w:rPr>
        <w:t>stressed</w:t>
      </w:r>
      <w:r>
        <w:rPr>
          <w:spacing w:val="-9"/>
          <w:sz w:val="20"/>
        </w:rPr>
        <w:t> </w:t>
      </w:r>
      <w:r>
        <w:rPr>
          <w:sz w:val="20"/>
        </w:rPr>
        <w:t>the</w:t>
      </w:r>
      <w:r>
        <w:rPr>
          <w:spacing w:val="-6"/>
          <w:sz w:val="20"/>
        </w:rPr>
        <w:t> </w:t>
      </w:r>
      <w:r>
        <w:rPr>
          <w:sz w:val="20"/>
        </w:rPr>
        <w:t>importance of tax certainty and the need for improved dispute prevention and dispute resolution tools. The members are</w:t>
      </w:r>
      <w:r>
        <w:rPr>
          <w:spacing w:val="-4"/>
          <w:sz w:val="20"/>
        </w:rPr>
        <w:t> </w:t>
      </w:r>
      <w:r>
        <w:rPr>
          <w:sz w:val="20"/>
        </w:rPr>
        <w:t>mindful</w:t>
      </w:r>
      <w:r>
        <w:rPr>
          <w:spacing w:val="-5"/>
          <w:sz w:val="20"/>
        </w:rPr>
        <w:t> </w:t>
      </w:r>
      <w:r>
        <w:rPr>
          <w:sz w:val="20"/>
        </w:rPr>
        <w:t>of</w:t>
      </w:r>
      <w:r>
        <w:rPr>
          <w:spacing w:val="-3"/>
          <w:sz w:val="20"/>
        </w:rPr>
        <w:t> </w:t>
      </w:r>
      <w:r>
        <w:rPr>
          <w:sz w:val="20"/>
        </w:rPr>
        <w:t>the</w:t>
      </w:r>
      <w:r>
        <w:rPr>
          <w:spacing w:val="-3"/>
          <w:sz w:val="20"/>
        </w:rPr>
        <w:t> </w:t>
      </w:r>
      <w:r>
        <w:rPr>
          <w:sz w:val="20"/>
        </w:rPr>
        <w:t>need</w:t>
      </w:r>
      <w:r>
        <w:rPr>
          <w:spacing w:val="-3"/>
          <w:sz w:val="20"/>
        </w:rPr>
        <w:t> </w:t>
      </w:r>
      <w:r>
        <w:rPr>
          <w:sz w:val="20"/>
        </w:rPr>
        <w:t>to</w:t>
      </w:r>
      <w:r>
        <w:rPr>
          <w:spacing w:val="-2"/>
          <w:sz w:val="20"/>
        </w:rPr>
        <w:t> </w:t>
      </w:r>
      <w:r>
        <w:rPr>
          <w:sz w:val="20"/>
        </w:rPr>
        <w:t>ensure</w:t>
      </w:r>
      <w:r>
        <w:rPr>
          <w:spacing w:val="-4"/>
          <w:sz w:val="20"/>
        </w:rPr>
        <w:t> </w:t>
      </w:r>
      <w:r>
        <w:rPr>
          <w:sz w:val="20"/>
        </w:rPr>
        <w:t>a</w:t>
      </w:r>
      <w:r>
        <w:rPr>
          <w:spacing w:val="-2"/>
          <w:sz w:val="20"/>
        </w:rPr>
        <w:t> </w:t>
      </w:r>
      <w:r>
        <w:rPr>
          <w:sz w:val="20"/>
        </w:rPr>
        <w:t>level</w:t>
      </w:r>
      <w:r>
        <w:rPr>
          <w:spacing w:val="-3"/>
          <w:sz w:val="20"/>
        </w:rPr>
        <w:t> </w:t>
      </w:r>
      <w:r>
        <w:rPr>
          <w:sz w:val="20"/>
        </w:rPr>
        <w:t>playing</w:t>
      </w:r>
      <w:r>
        <w:rPr>
          <w:spacing w:val="-4"/>
          <w:sz w:val="20"/>
        </w:rPr>
        <w:t> </w:t>
      </w:r>
      <w:r>
        <w:rPr>
          <w:sz w:val="20"/>
        </w:rPr>
        <w:t>field</w:t>
      </w:r>
      <w:r>
        <w:rPr>
          <w:spacing w:val="4"/>
          <w:sz w:val="20"/>
        </w:rPr>
        <w:t> </w:t>
      </w:r>
      <w:r>
        <w:rPr>
          <w:sz w:val="20"/>
        </w:rPr>
        <w:t>among</w:t>
      </w:r>
      <w:r>
        <w:rPr>
          <w:spacing w:val="-3"/>
          <w:sz w:val="20"/>
        </w:rPr>
        <w:t> </w:t>
      </w:r>
      <w:r>
        <w:rPr>
          <w:sz w:val="20"/>
        </w:rPr>
        <w:t>all</w:t>
      </w:r>
      <w:r>
        <w:rPr>
          <w:spacing w:val="-3"/>
          <w:sz w:val="20"/>
        </w:rPr>
        <w:t> </w:t>
      </w:r>
      <w:r>
        <w:rPr>
          <w:sz w:val="20"/>
        </w:rPr>
        <w:t>jurisdictions:</w:t>
      </w:r>
      <w:r>
        <w:rPr>
          <w:spacing w:val="-4"/>
          <w:sz w:val="20"/>
        </w:rPr>
        <w:t> </w:t>
      </w:r>
      <w:r>
        <w:rPr>
          <w:sz w:val="20"/>
        </w:rPr>
        <w:t>large</w:t>
      </w:r>
      <w:r>
        <w:rPr>
          <w:spacing w:val="-3"/>
          <w:sz w:val="20"/>
        </w:rPr>
        <w:t> </w:t>
      </w:r>
      <w:r>
        <w:rPr>
          <w:sz w:val="20"/>
        </w:rPr>
        <w:t>or</w:t>
      </w:r>
      <w:r>
        <w:rPr>
          <w:spacing w:val="-4"/>
          <w:sz w:val="20"/>
        </w:rPr>
        <w:t> </w:t>
      </w:r>
      <w:r>
        <w:rPr>
          <w:sz w:val="20"/>
        </w:rPr>
        <w:t>small,</w:t>
      </w:r>
      <w:r>
        <w:rPr>
          <w:spacing w:val="-2"/>
          <w:sz w:val="20"/>
        </w:rPr>
        <w:t> </w:t>
      </w:r>
      <w:r>
        <w:rPr>
          <w:sz w:val="20"/>
        </w:rPr>
        <w:t>developed</w:t>
      </w:r>
      <w:r>
        <w:rPr>
          <w:spacing w:val="-3"/>
          <w:sz w:val="20"/>
        </w:rPr>
        <w:t> </w:t>
      </w:r>
      <w:r>
        <w:rPr>
          <w:sz w:val="20"/>
        </w:rPr>
        <w:t>or</w:t>
      </w:r>
    </w:p>
    <w:p>
      <w:pPr>
        <w:pStyle w:val="BodyText"/>
        <w:spacing w:before="8"/>
        <w:rPr>
          <w:sz w:val="8"/>
        </w:rPr>
      </w:pPr>
      <w:r>
        <w:rPr/>
        <w:pict>
          <v:rect style="position:absolute;margin-left:65.183998pt;margin-top:6.991768pt;width:144.020004pt;height:.599980pt;mso-position-horizontal-relative:page;mso-position-vertical-relative:paragraph;z-index:-15725056;mso-wrap-distance-left:0;mso-wrap-distance-right:0" filled="true" fillcolor="#000000" stroked="false">
            <v:fill type="solid"/>
            <w10:wrap type="topAndBottom"/>
          </v:rect>
        </w:pict>
      </w:r>
    </w:p>
    <w:p>
      <w:pPr>
        <w:pStyle w:val="BodyText"/>
        <w:spacing w:before="3"/>
        <w:rPr>
          <w:sz w:val="16"/>
        </w:rPr>
      </w:pPr>
    </w:p>
    <w:p>
      <w:pPr>
        <w:pStyle w:val="ListParagraph"/>
        <w:numPr>
          <w:ilvl w:val="0"/>
          <w:numId w:val="5"/>
        </w:numPr>
        <w:tabs>
          <w:tab w:pos="866" w:val="left" w:leader="none"/>
        </w:tabs>
        <w:spacing w:line="278" w:lineRule="auto" w:before="94" w:after="0"/>
        <w:ind w:left="723" w:right="482" w:firstLine="0"/>
        <w:jc w:val="left"/>
        <w:rPr>
          <w:sz w:val="18"/>
        </w:rPr>
      </w:pPr>
      <w:r>
        <w:rPr>
          <w:sz w:val="18"/>
        </w:rPr>
        <w:t>OECD (2015), </w:t>
      </w:r>
      <w:r>
        <w:rPr>
          <w:i/>
          <w:sz w:val="18"/>
        </w:rPr>
        <w:t>Addressing the Tax Challenges of the Digital Economy</w:t>
      </w:r>
      <w:r>
        <w:rPr>
          <w:sz w:val="18"/>
        </w:rPr>
        <w:t>, Action 1 – 2015 Final Report, OECD/G20 Base Erosion and Profit Shifting Project, OECD Publishing,</w:t>
      </w:r>
      <w:r>
        <w:rPr>
          <w:spacing w:val="-3"/>
          <w:sz w:val="18"/>
        </w:rPr>
        <w:t> </w:t>
      </w:r>
      <w:r>
        <w:rPr>
          <w:sz w:val="18"/>
        </w:rPr>
        <w:t>Paris.</w:t>
      </w:r>
    </w:p>
    <w:p>
      <w:pPr>
        <w:pStyle w:val="ListParagraph"/>
        <w:numPr>
          <w:ilvl w:val="0"/>
          <w:numId w:val="5"/>
        </w:numPr>
        <w:tabs>
          <w:tab w:pos="871" w:val="left" w:leader="none"/>
        </w:tabs>
        <w:spacing w:line="278" w:lineRule="auto" w:before="77" w:after="0"/>
        <w:ind w:left="723" w:right="481" w:firstLine="0"/>
        <w:jc w:val="left"/>
        <w:rPr>
          <w:sz w:val="18"/>
        </w:rPr>
      </w:pPr>
      <w:r>
        <w:rPr>
          <w:sz w:val="18"/>
        </w:rPr>
        <w:t>OECD (2018), </w:t>
      </w:r>
      <w:r>
        <w:rPr>
          <w:i/>
          <w:sz w:val="18"/>
        </w:rPr>
        <w:t>Tax Challenges Arising from Digitalisation – Interim Report 2018</w:t>
      </w:r>
      <w:r>
        <w:rPr>
          <w:sz w:val="18"/>
        </w:rPr>
        <w:t>, Inclusive Framework on BEPS, OECD/G20 Base Erosion and Profit Shifting Project, OECD Publishing,</w:t>
      </w:r>
      <w:r>
        <w:rPr>
          <w:spacing w:val="-5"/>
          <w:sz w:val="18"/>
        </w:rPr>
        <w:t> </w:t>
      </w:r>
      <w:r>
        <w:rPr>
          <w:sz w:val="18"/>
        </w:rPr>
        <w:t>Paris.</w:t>
      </w:r>
    </w:p>
    <w:p>
      <w:pPr>
        <w:pStyle w:val="ListParagraph"/>
        <w:numPr>
          <w:ilvl w:val="0"/>
          <w:numId w:val="5"/>
        </w:numPr>
        <w:tabs>
          <w:tab w:pos="868" w:val="left" w:leader="none"/>
        </w:tabs>
        <w:spacing w:line="278" w:lineRule="auto" w:before="77" w:after="0"/>
        <w:ind w:left="723" w:right="483" w:firstLine="0"/>
        <w:jc w:val="left"/>
        <w:rPr>
          <w:sz w:val="18"/>
        </w:rPr>
      </w:pPr>
      <w:r>
        <w:rPr>
          <w:i/>
          <w:sz w:val="18"/>
        </w:rPr>
        <w:t>Addressing the Tax Challenges of the Digitalisation of the Economy – Policy Note</w:t>
      </w:r>
      <w:r>
        <w:rPr>
          <w:sz w:val="18"/>
        </w:rPr>
        <w:t>, as approved by the Inclusive Framework on BEPS on 23 January 2019, OECD</w:t>
      </w:r>
      <w:r>
        <w:rPr>
          <w:spacing w:val="-7"/>
          <w:sz w:val="18"/>
        </w:rPr>
        <w:t> </w:t>
      </w:r>
      <w:r>
        <w:rPr>
          <w:sz w:val="18"/>
        </w:rPr>
        <w:t>2019.</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developing.</w:t>
      </w:r>
      <w:r>
        <w:rPr>
          <w:spacing w:val="-15"/>
        </w:rPr>
        <w:t> </w:t>
      </w:r>
      <w:r>
        <w:rPr/>
        <w:t>Also</w:t>
      </w:r>
      <w:r>
        <w:rPr>
          <w:spacing w:val="-17"/>
        </w:rPr>
        <w:t> </w:t>
      </w:r>
      <w:r>
        <w:rPr/>
        <w:t>mindful</w:t>
      </w:r>
      <w:r>
        <w:rPr>
          <w:spacing w:val="-18"/>
        </w:rPr>
        <w:t> </w:t>
      </w:r>
      <w:r>
        <w:rPr/>
        <w:t>of</w:t>
      </w:r>
      <w:r>
        <w:rPr>
          <w:spacing w:val="-15"/>
        </w:rPr>
        <w:t> </w:t>
      </w:r>
      <w:r>
        <w:rPr/>
        <w:t>limiting</w:t>
      </w:r>
      <w:r>
        <w:rPr>
          <w:spacing w:val="-17"/>
        </w:rPr>
        <w:t> </w:t>
      </w:r>
      <w:r>
        <w:rPr/>
        <w:t>compliance</w:t>
      </w:r>
      <w:r>
        <w:rPr>
          <w:spacing w:val="-17"/>
        </w:rPr>
        <w:t> </w:t>
      </w:r>
      <w:r>
        <w:rPr/>
        <w:t>and</w:t>
      </w:r>
      <w:r>
        <w:rPr>
          <w:spacing w:val="-15"/>
        </w:rPr>
        <w:t> </w:t>
      </w:r>
      <w:r>
        <w:rPr/>
        <w:t>administrative</w:t>
      </w:r>
      <w:r>
        <w:rPr>
          <w:spacing w:val="-16"/>
        </w:rPr>
        <w:t> </w:t>
      </w:r>
      <w:r>
        <w:rPr/>
        <w:t>burdens,</w:t>
      </w:r>
      <w:r>
        <w:rPr>
          <w:spacing w:val="-13"/>
        </w:rPr>
        <w:t> </w:t>
      </w:r>
      <w:r>
        <w:rPr/>
        <w:t>Inclusive</w:t>
      </w:r>
      <w:r>
        <w:rPr>
          <w:spacing w:val="-17"/>
        </w:rPr>
        <w:t> </w:t>
      </w:r>
      <w:r>
        <w:rPr/>
        <w:t>Framework</w:t>
      </w:r>
      <w:r>
        <w:rPr>
          <w:spacing w:val="-14"/>
        </w:rPr>
        <w:t> </w:t>
      </w:r>
      <w:r>
        <w:rPr/>
        <w:t>members agreed to make any rules as simple as the tax policy context permits, including through the exploration of simplification</w:t>
      </w:r>
      <w:r>
        <w:rPr>
          <w:spacing w:val="-2"/>
        </w:rPr>
        <w:t> </w:t>
      </w:r>
      <w:r>
        <w:rPr/>
        <w:t>measures.</w:t>
      </w:r>
    </w:p>
    <w:p>
      <w:pPr>
        <w:pStyle w:val="ListParagraph"/>
        <w:numPr>
          <w:ilvl w:val="0"/>
          <w:numId w:val="4"/>
        </w:numPr>
        <w:tabs>
          <w:tab w:pos="1444" w:val="left" w:leader="none"/>
        </w:tabs>
        <w:spacing w:line="271" w:lineRule="auto" w:before="116" w:after="0"/>
        <w:ind w:left="723" w:right="481" w:firstLine="0"/>
        <w:jc w:val="both"/>
        <w:rPr>
          <w:sz w:val="20"/>
        </w:rPr>
      </w:pPr>
      <w:r>
        <w:rPr>
          <w:sz w:val="20"/>
        </w:rPr>
        <w:t>Following a proposal made by the Secretariat,</w:t>
      </w:r>
      <w:r>
        <w:rPr>
          <w:sz w:val="20"/>
          <w:vertAlign w:val="superscript"/>
        </w:rPr>
        <w:t>4</w:t>
      </w:r>
      <w:r>
        <w:rPr>
          <w:sz w:val="20"/>
          <w:vertAlign w:val="baseline"/>
        </w:rPr>
        <w:t> the Inclusive Framework agreed upon an outline of the architecture of a “Unified Approach” in January 2020 as the basis for the negotiation of the Pillar One solution (the “Outline”).</w:t>
      </w:r>
      <w:r>
        <w:rPr>
          <w:sz w:val="20"/>
          <w:vertAlign w:val="superscript"/>
        </w:rPr>
        <w:t>5</w:t>
      </w:r>
      <w:r>
        <w:rPr>
          <w:sz w:val="20"/>
          <w:vertAlign w:val="baseline"/>
        </w:rPr>
        <w:t> Since January, and in spite of the outbreak of COVID-19, all members have worked on the technical development of all the building blocks that make up Pillar One. This is a Report on the blueprint for Pillar One (the “Blueprint”). It describes, in detail, the main features of the building blocks of Pillar One and identifies the areas where political decision is needed. It shows that there has been significant progress towards a global agreement, and contains proposals to bridge remaining divergences. It recognises that further technical work will be required to finalise some aspects of Pillar One,</w:t>
      </w:r>
      <w:r>
        <w:rPr>
          <w:spacing w:val="-9"/>
          <w:sz w:val="20"/>
          <w:vertAlign w:val="baseline"/>
        </w:rPr>
        <w:t> </w:t>
      </w:r>
      <w:r>
        <w:rPr>
          <w:sz w:val="20"/>
          <w:vertAlign w:val="baseline"/>
        </w:rPr>
        <w:t>for</w:t>
      </w:r>
      <w:r>
        <w:rPr>
          <w:spacing w:val="-9"/>
          <w:sz w:val="20"/>
          <w:vertAlign w:val="baseline"/>
        </w:rPr>
        <w:t> </w:t>
      </w:r>
      <w:r>
        <w:rPr>
          <w:sz w:val="20"/>
          <w:vertAlign w:val="baseline"/>
        </w:rPr>
        <w:t>example</w:t>
      </w:r>
      <w:r>
        <w:rPr>
          <w:spacing w:val="-9"/>
          <w:sz w:val="20"/>
          <w:vertAlign w:val="baseline"/>
        </w:rPr>
        <w:t> </w:t>
      </w:r>
      <w:r>
        <w:rPr>
          <w:sz w:val="20"/>
          <w:vertAlign w:val="baseline"/>
        </w:rPr>
        <w:t>to</w:t>
      </w:r>
      <w:r>
        <w:rPr>
          <w:spacing w:val="-8"/>
          <w:sz w:val="20"/>
          <w:vertAlign w:val="baseline"/>
        </w:rPr>
        <w:t> </w:t>
      </w:r>
      <w:r>
        <w:rPr>
          <w:sz w:val="20"/>
          <w:vertAlign w:val="baseline"/>
        </w:rPr>
        <w:t>reduce</w:t>
      </w:r>
      <w:r>
        <w:rPr>
          <w:spacing w:val="-8"/>
          <w:sz w:val="20"/>
          <w:vertAlign w:val="baseline"/>
        </w:rPr>
        <w:t> </w:t>
      </w:r>
      <w:r>
        <w:rPr>
          <w:sz w:val="20"/>
          <w:vertAlign w:val="baseline"/>
        </w:rPr>
        <w:t>complexity,</w:t>
      </w:r>
      <w:r>
        <w:rPr>
          <w:spacing w:val="-6"/>
          <w:sz w:val="20"/>
          <w:vertAlign w:val="baseline"/>
        </w:rPr>
        <w:t> </w:t>
      </w:r>
      <w:r>
        <w:rPr>
          <w:sz w:val="20"/>
          <w:vertAlign w:val="baseline"/>
        </w:rPr>
        <w:t>improve</w:t>
      </w:r>
      <w:r>
        <w:rPr>
          <w:spacing w:val="-10"/>
          <w:sz w:val="20"/>
          <w:vertAlign w:val="baseline"/>
        </w:rPr>
        <w:t> </w:t>
      </w:r>
      <w:r>
        <w:rPr>
          <w:sz w:val="20"/>
          <w:vertAlign w:val="baseline"/>
        </w:rPr>
        <w:t>administrability,</w:t>
      </w:r>
      <w:r>
        <w:rPr>
          <w:spacing w:val="-8"/>
          <w:sz w:val="20"/>
          <w:vertAlign w:val="baseline"/>
        </w:rPr>
        <w:t> </w:t>
      </w:r>
      <w:r>
        <w:rPr>
          <w:sz w:val="20"/>
          <w:vertAlign w:val="baseline"/>
        </w:rPr>
        <w:t>and</w:t>
      </w:r>
      <w:r>
        <w:rPr>
          <w:spacing w:val="-9"/>
          <w:sz w:val="20"/>
          <w:vertAlign w:val="baseline"/>
        </w:rPr>
        <w:t> </w:t>
      </w:r>
      <w:r>
        <w:rPr>
          <w:sz w:val="20"/>
          <w:vertAlign w:val="baseline"/>
        </w:rPr>
        <w:t>meet</w:t>
      </w:r>
      <w:r>
        <w:rPr>
          <w:spacing w:val="-10"/>
          <w:sz w:val="20"/>
          <w:vertAlign w:val="baseline"/>
        </w:rPr>
        <w:t> </w:t>
      </w:r>
      <w:r>
        <w:rPr>
          <w:sz w:val="20"/>
          <w:vertAlign w:val="baseline"/>
        </w:rPr>
        <w:t>the</w:t>
      </w:r>
      <w:r>
        <w:rPr>
          <w:spacing w:val="-8"/>
          <w:sz w:val="20"/>
          <w:vertAlign w:val="baseline"/>
        </w:rPr>
        <w:t> </w:t>
      </w:r>
      <w:r>
        <w:rPr>
          <w:sz w:val="20"/>
          <w:vertAlign w:val="baseline"/>
        </w:rPr>
        <w:t>available</w:t>
      </w:r>
      <w:r>
        <w:rPr>
          <w:spacing w:val="-10"/>
          <w:sz w:val="20"/>
          <w:vertAlign w:val="baseline"/>
        </w:rPr>
        <w:t> </w:t>
      </w:r>
      <w:r>
        <w:rPr>
          <w:sz w:val="20"/>
          <w:vertAlign w:val="baseline"/>
        </w:rPr>
        <w:t>capacities</w:t>
      </w:r>
      <w:r>
        <w:rPr>
          <w:spacing w:val="-7"/>
          <w:sz w:val="20"/>
          <w:vertAlign w:val="baseline"/>
        </w:rPr>
        <w:t> </w:t>
      </w:r>
      <w:r>
        <w:rPr>
          <w:sz w:val="20"/>
          <w:vertAlign w:val="baseline"/>
        </w:rPr>
        <w:t>of</w:t>
      </w:r>
      <w:r>
        <w:rPr>
          <w:spacing w:val="-8"/>
          <w:sz w:val="20"/>
          <w:vertAlign w:val="baseline"/>
        </w:rPr>
        <w:t> </w:t>
      </w:r>
      <w:r>
        <w:rPr>
          <w:sz w:val="20"/>
          <w:vertAlign w:val="baseline"/>
        </w:rPr>
        <w:t>both developed and developing</w:t>
      </w:r>
      <w:r>
        <w:rPr>
          <w:spacing w:val="-3"/>
          <w:sz w:val="20"/>
          <w:vertAlign w:val="baseline"/>
        </w:rPr>
        <w:t> </w:t>
      </w:r>
      <w:r>
        <w:rPr>
          <w:sz w:val="20"/>
          <w:vertAlign w:val="baseline"/>
        </w:rPr>
        <w:t>economies.</w:t>
      </w:r>
    </w:p>
    <w:p>
      <w:pPr>
        <w:pStyle w:val="BodyText"/>
        <w:rPr>
          <w:sz w:val="22"/>
        </w:rPr>
      </w:pPr>
    </w:p>
    <w:p>
      <w:pPr>
        <w:pStyle w:val="Heading4"/>
        <w:numPr>
          <w:ilvl w:val="1"/>
          <w:numId w:val="3"/>
        </w:numPr>
        <w:tabs>
          <w:tab w:pos="1192" w:val="left" w:leader="none"/>
        </w:tabs>
        <w:spacing w:line="240" w:lineRule="auto" w:before="197" w:after="0"/>
        <w:ind w:left="1191" w:right="0" w:hanging="469"/>
        <w:jc w:val="both"/>
        <w:rPr>
          <w:rFonts w:ascii="Arial"/>
        </w:rPr>
      </w:pPr>
      <w:bookmarkStart w:name="1.2. Pillar One Blueprint" w:id="11"/>
      <w:bookmarkEnd w:id="11"/>
      <w:r>
        <w:rPr>
          <w:b w:val="0"/>
        </w:rPr>
      </w:r>
      <w:bookmarkStart w:name="_bookmark4" w:id="12"/>
      <w:bookmarkEnd w:id="12"/>
      <w:r>
        <w:rPr>
          <w:b w:val="0"/>
        </w:rPr>
      </w:r>
      <w:bookmarkStart w:name="_bookmark4" w:id="13"/>
      <w:bookmarkEnd w:id="13"/>
      <w:r>
        <w:rPr>
          <w:rFonts w:ascii="Arial"/>
          <w:color w:val="4E81BD"/>
        </w:rPr>
        <w:t>Pill</w:t>
      </w:r>
      <w:r>
        <w:rPr>
          <w:rFonts w:ascii="Arial"/>
          <w:color w:val="4E81BD"/>
        </w:rPr>
        <w:t>ar One</w:t>
      </w:r>
      <w:r>
        <w:rPr>
          <w:rFonts w:ascii="Arial"/>
          <w:color w:val="4E81BD"/>
          <w:spacing w:val="-4"/>
        </w:rPr>
        <w:t> </w:t>
      </w:r>
      <w:r>
        <w:rPr>
          <w:rFonts w:ascii="Arial"/>
          <w:color w:val="4E81BD"/>
        </w:rPr>
        <w:t>Blueprint</w:t>
      </w:r>
    </w:p>
    <w:p>
      <w:pPr>
        <w:pStyle w:val="BodyText"/>
        <w:spacing w:before="4"/>
        <w:rPr>
          <w:b/>
          <w:sz w:val="24"/>
        </w:rPr>
      </w:pPr>
    </w:p>
    <w:p>
      <w:pPr>
        <w:pStyle w:val="ListParagraph"/>
        <w:numPr>
          <w:ilvl w:val="0"/>
          <w:numId w:val="4"/>
        </w:numPr>
        <w:tabs>
          <w:tab w:pos="1444" w:val="left" w:leader="none"/>
        </w:tabs>
        <w:spacing w:line="271" w:lineRule="auto" w:before="0" w:after="0"/>
        <w:ind w:left="723" w:right="478" w:firstLine="0"/>
        <w:jc w:val="both"/>
        <w:rPr>
          <w:sz w:val="20"/>
        </w:rPr>
      </w:pPr>
      <w:r>
        <w:rPr>
          <w:sz w:val="20"/>
        </w:rPr>
        <w:t>Pillar One seeks to adapt the international income tax system to new business models through changes to the profit allocation and nexus rules applicable to business profits. Within this context, it expands the taxing rights of market jurisdictions (which, for some business models, are the jurisdictions where the users are located)</w:t>
      </w:r>
      <w:r>
        <w:rPr>
          <w:position w:val="6"/>
          <w:sz w:val="13"/>
        </w:rPr>
        <w:t>6 </w:t>
      </w:r>
      <w:r>
        <w:rPr>
          <w:sz w:val="20"/>
        </w:rPr>
        <w:t>where there is an active and sustained participation of a business in the economy of that jurisdiction through activities in, or remotely directed at, that jurisdiction.</w:t>
      </w:r>
      <w:r>
        <w:rPr>
          <w:sz w:val="20"/>
          <w:vertAlign w:val="superscript"/>
        </w:rPr>
        <w:t>7</w:t>
      </w:r>
      <w:r>
        <w:rPr>
          <w:sz w:val="20"/>
          <w:vertAlign w:val="baseline"/>
        </w:rPr>
        <w:t> It also aims to significantly</w:t>
      </w:r>
      <w:r>
        <w:rPr>
          <w:spacing w:val="-18"/>
          <w:sz w:val="20"/>
          <w:vertAlign w:val="baseline"/>
        </w:rPr>
        <w:t> </w:t>
      </w:r>
      <w:r>
        <w:rPr>
          <w:sz w:val="20"/>
          <w:vertAlign w:val="baseline"/>
        </w:rPr>
        <w:t>improve</w:t>
      </w:r>
      <w:r>
        <w:rPr>
          <w:spacing w:val="-17"/>
          <w:sz w:val="20"/>
          <w:vertAlign w:val="baseline"/>
        </w:rPr>
        <w:t> </w:t>
      </w:r>
      <w:r>
        <w:rPr>
          <w:sz w:val="20"/>
          <w:vertAlign w:val="baseline"/>
        </w:rPr>
        <w:t>tax</w:t>
      </w:r>
      <w:r>
        <w:rPr>
          <w:spacing w:val="-17"/>
          <w:sz w:val="20"/>
          <w:vertAlign w:val="baseline"/>
        </w:rPr>
        <w:t> </w:t>
      </w:r>
      <w:r>
        <w:rPr>
          <w:sz w:val="20"/>
          <w:vertAlign w:val="baseline"/>
        </w:rPr>
        <w:t>certainty</w:t>
      </w:r>
      <w:r>
        <w:rPr>
          <w:spacing w:val="-17"/>
          <w:sz w:val="20"/>
          <w:vertAlign w:val="baseline"/>
        </w:rPr>
        <w:t> </w:t>
      </w:r>
      <w:r>
        <w:rPr>
          <w:sz w:val="20"/>
          <w:vertAlign w:val="baseline"/>
        </w:rPr>
        <w:t>by</w:t>
      </w:r>
      <w:r>
        <w:rPr>
          <w:spacing w:val="-18"/>
          <w:sz w:val="20"/>
          <w:vertAlign w:val="baseline"/>
        </w:rPr>
        <w:t> </w:t>
      </w:r>
      <w:r>
        <w:rPr>
          <w:sz w:val="20"/>
          <w:vertAlign w:val="baseline"/>
        </w:rPr>
        <w:t>introducing</w:t>
      </w:r>
      <w:r>
        <w:rPr>
          <w:spacing w:val="-16"/>
          <w:sz w:val="20"/>
          <w:vertAlign w:val="baseline"/>
        </w:rPr>
        <w:t> </w:t>
      </w:r>
      <w:r>
        <w:rPr>
          <w:sz w:val="20"/>
          <w:vertAlign w:val="baseline"/>
        </w:rPr>
        <w:t>innovative</w:t>
      </w:r>
      <w:r>
        <w:rPr>
          <w:spacing w:val="-17"/>
          <w:sz w:val="20"/>
          <w:vertAlign w:val="baseline"/>
        </w:rPr>
        <w:t> </w:t>
      </w:r>
      <w:r>
        <w:rPr>
          <w:sz w:val="20"/>
          <w:vertAlign w:val="baseline"/>
        </w:rPr>
        <w:t>dispute</w:t>
      </w:r>
      <w:r>
        <w:rPr>
          <w:spacing w:val="-17"/>
          <w:sz w:val="20"/>
          <w:vertAlign w:val="baseline"/>
        </w:rPr>
        <w:t> </w:t>
      </w:r>
      <w:r>
        <w:rPr>
          <w:sz w:val="20"/>
          <w:vertAlign w:val="baseline"/>
        </w:rPr>
        <w:t>prevention</w:t>
      </w:r>
      <w:r>
        <w:rPr>
          <w:spacing w:val="-15"/>
          <w:sz w:val="20"/>
          <w:vertAlign w:val="baseline"/>
        </w:rPr>
        <w:t> </w:t>
      </w:r>
      <w:r>
        <w:rPr>
          <w:sz w:val="20"/>
          <w:vertAlign w:val="baseline"/>
        </w:rPr>
        <w:t>and</w:t>
      </w:r>
      <w:r>
        <w:rPr>
          <w:spacing w:val="-15"/>
          <w:sz w:val="20"/>
          <w:vertAlign w:val="baseline"/>
        </w:rPr>
        <w:t> </w:t>
      </w:r>
      <w:r>
        <w:rPr>
          <w:sz w:val="20"/>
          <w:vertAlign w:val="baseline"/>
        </w:rPr>
        <w:t>resolution</w:t>
      </w:r>
      <w:r>
        <w:rPr>
          <w:spacing w:val="-17"/>
          <w:sz w:val="20"/>
          <w:vertAlign w:val="baseline"/>
        </w:rPr>
        <w:t> </w:t>
      </w:r>
      <w:r>
        <w:rPr>
          <w:sz w:val="20"/>
          <w:vertAlign w:val="baseline"/>
        </w:rPr>
        <w:t>mechanisms. Pillar One seeks to balance the different objectives of Inclusive Framework members and result in the removal of relevant unilateral</w:t>
      </w:r>
      <w:r>
        <w:rPr>
          <w:spacing w:val="-6"/>
          <w:sz w:val="20"/>
          <w:vertAlign w:val="baseline"/>
        </w:rPr>
        <w:t> </w:t>
      </w:r>
      <w:r>
        <w:rPr>
          <w:sz w:val="20"/>
          <w:vertAlign w:val="baseline"/>
        </w:rPr>
        <w:t>measures.</w:t>
      </w:r>
    </w:p>
    <w:p>
      <w:pPr>
        <w:pStyle w:val="ListParagraph"/>
        <w:numPr>
          <w:ilvl w:val="0"/>
          <w:numId w:val="4"/>
        </w:numPr>
        <w:tabs>
          <w:tab w:pos="1444" w:val="left" w:leader="none"/>
        </w:tabs>
        <w:spacing w:line="271" w:lineRule="auto" w:before="120" w:after="0"/>
        <w:ind w:left="723" w:right="482" w:firstLine="0"/>
        <w:jc w:val="both"/>
        <w:rPr>
          <w:sz w:val="20"/>
        </w:rPr>
      </w:pPr>
      <w:r>
        <w:rPr>
          <w:sz w:val="20"/>
        </w:rPr>
        <w:t>Consistent</w:t>
      </w:r>
      <w:r>
        <w:rPr>
          <w:spacing w:val="-10"/>
          <w:sz w:val="20"/>
        </w:rPr>
        <w:t> </w:t>
      </w:r>
      <w:r>
        <w:rPr>
          <w:sz w:val="20"/>
        </w:rPr>
        <w:t>with</w:t>
      </w:r>
      <w:r>
        <w:rPr>
          <w:spacing w:val="-12"/>
          <w:sz w:val="20"/>
        </w:rPr>
        <w:t> </w:t>
      </w:r>
      <w:r>
        <w:rPr>
          <w:sz w:val="20"/>
        </w:rPr>
        <w:t>the</w:t>
      </w:r>
      <w:r>
        <w:rPr>
          <w:spacing w:val="-12"/>
          <w:sz w:val="20"/>
        </w:rPr>
        <w:t> </w:t>
      </w:r>
      <w:r>
        <w:rPr>
          <w:sz w:val="20"/>
        </w:rPr>
        <w:t>Outline,</w:t>
      </w:r>
      <w:r>
        <w:rPr>
          <w:spacing w:val="-9"/>
          <w:sz w:val="20"/>
        </w:rPr>
        <w:t> </w:t>
      </w:r>
      <w:r>
        <w:rPr>
          <w:sz w:val="20"/>
        </w:rPr>
        <w:t>the</w:t>
      </w:r>
      <w:r>
        <w:rPr>
          <w:spacing w:val="-12"/>
          <w:sz w:val="20"/>
        </w:rPr>
        <w:t> </w:t>
      </w:r>
      <w:r>
        <w:rPr>
          <w:sz w:val="20"/>
        </w:rPr>
        <w:t>key</w:t>
      </w:r>
      <w:r>
        <w:rPr>
          <w:spacing w:val="-15"/>
          <w:sz w:val="20"/>
        </w:rPr>
        <w:t> </w:t>
      </w:r>
      <w:r>
        <w:rPr>
          <w:sz w:val="20"/>
        </w:rPr>
        <w:t>elements</w:t>
      </w:r>
      <w:r>
        <w:rPr>
          <w:spacing w:val="-10"/>
          <w:sz w:val="20"/>
        </w:rPr>
        <w:t> </w:t>
      </w:r>
      <w:r>
        <w:rPr>
          <w:sz w:val="20"/>
        </w:rPr>
        <w:t>of</w:t>
      </w:r>
      <w:r>
        <w:rPr>
          <w:spacing w:val="-9"/>
          <w:sz w:val="20"/>
        </w:rPr>
        <w:t> </w:t>
      </w:r>
      <w:r>
        <w:rPr>
          <w:sz w:val="20"/>
        </w:rPr>
        <w:t>Pillar</w:t>
      </w:r>
      <w:r>
        <w:rPr>
          <w:spacing w:val="-11"/>
          <w:sz w:val="20"/>
        </w:rPr>
        <w:t> </w:t>
      </w:r>
      <w:r>
        <w:rPr>
          <w:sz w:val="20"/>
        </w:rPr>
        <w:t>One</w:t>
      </w:r>
      <w:r>
        <w:rPr>
          <w:spacing w:val="-12"/>
          <w:sz w:val="20"/>
        </w:rPr>
        <w:t> </w:t>
      </w:r>
      <w:r>
        <w:rPr>
          <w:sz w:val="20"/>
        </w:rPr>
        <w:t>can</w:t>
      </w:r>
      <w:r>
        <w:rPr>
          <w:spacing w:val="-12"/>
          <w:sz w:val="20"/>
        </w:rPr>
        <w:t> </w:t>
      </w:r>
      <w:r>
        <w:rPr>
          <w:sz w:val="20"/>
        </w:rPr>
        <w:t>be</w:t>
      </w:r>
      <w:r>
        <w:rPr>
          <w:spacing w:val="-12"/>
          <w:sz w:val="20"/>
        </w:rPr>
        <w:t> </w:t>
      </w:r>
      <w:r>
        <w:rPr>
          <w:sz w:val="20"/>
        </w:rPr>
        <w:t>grouped</w:t>
      </w:r>
      <w:r>
        <w:rPr>
          <w:spacing w:val="-10"/>
          <w:sz w:val="20"/>
        </w:rPr>
        <w:t> </w:t>
      </w:r>
      <w:r>
        <w:rPr>
          <w:sz w:val="20"/>
        </w:rPr>
        <w:t>into</w:t>
      </w:r>
      <w:r>
        <w:rPr>
          <w:spacing w:val="-12"/>
          <w:sz w:val="20"/>
        </w:rPr>
        <w:t> </w:t>
      </w:r>
      <w:r>
        <w:rPr>
          <w:sz w:val="20"/>
        </w:rPr>
        <w:t>three</w:t>
      </w:r>
      <w:r>
        <w:rPr>
          <w:spacing w:val="-12"/>
          <w:sz w:val="20"/>
        </w:rPr>
        <w:t> </w:t>
      </w:r>
      <w:r>
        <w:rPr>
          <w:sz w:val="20"/>
        </w:rPr>
        <w:t>components: a new taxing right for market jurisdictions over a share of residual profit calculated at an MNE </w:t>
      </w:r>
      <w:r>
        <w:rPr>
          <w:spacing w:val="2"/>
          <w:sz w:val="20"/>
        </w:rPr>
        <w:t>group </w:t>
      </w:r>
      <w:r>
        <w:rPr>
          <w:sz w:val="20"/>
        </w:rPr>
        <w:t>(or segment) level (Amount A); a fixed return for certain baseline marketing and distribution activities taking place physically in a market jurisdiction, in line with the ALP (Amount B); and processes to improve tax certainty through effective dispute prevention and resolution mechanisms. Eleven building blocks have been</w:t>
      </w:r>
      <w:r>
        <w:rPr>
          <w:spacing w:val="-3"/>
          <w:sz w:val="20"/>
        </w:rPr>
        <w:t> </w:t>
      </w:r>
      <w:r>
        <w:rPr>
          <w:sz w:val="20"/>
        </w:rPr>
        <w:t>identified</w:t>
      </w:r>
      <w:r>
        <w:rPr>
          <w:spacing w:val="-3"/>
          <w:sz w:val="20"/>
        </w:rPr>
        <w:t> </w:t>
      </w:r>
      <w:r>
        <w:rPr>
          <w:sz w:val="20"/>
        </w:rPr>
        <w:t>as</w:t>
      </w:r>
      <w:r>
        <w:rPr>
          <w:spacing w:val="-3"/>
          <w:sz w:val="20"/>
        </w:rPr>
        <w:t> </w:t>
      </w:r>
      <w:r>
        <w:rPr>
          <w:sz w:val="20"/>
        </w:rPr>
        <w:t>essential</w:t>
      </w:r>
      <w:r>
        <w:rPr>
          <w:spacing w:val="-2"/>
          <w:sz w:val="20"/>
        </w:rPr>
        <w:t> </w:t>
      </w:r>
      <w:r>
        <w:rPr>
          <w:sz w:val="20"/>
        </w:rPr>
        <w:t>to</w:t>
      </w:r>
      <w:r>
        <w:rPr>
          <w:spacing w:val="-4"/>
          <w:sz w:val="20"/>
        </w:rPr>
        <w:t> </w:t>
      </w:r>
      <w:r>
        <w:rPr>
          <w:sz w:val="20"/>
        </w:rPr>
        <w:t>the</w:t>
      </w:r>
      <w:r>
        <w:rPr>
          <w:spacing w:val="-4"/>
          <w:sz w:val="20"/>
        </w:rPr>
        <w:t> </w:t>
      </w:r>
      <w:r>
        <w:rPr>
          <w:sz w:val="20"/>
        </w:rPr>
        <w:t>construction</w:t>
      </w:r>
      <w:r>
        <w:rPr>
          <w:spacing w:val="-4"/>
          <w:sz w:val="20"/>
        </w:rPr>
        <w:t> </w:t>
      </w:r>
      <w:r>
        <w:rPr>
          <w:sz w:val="20"/>
        </w:rPr>
        <w:t>of Pillar</w:t>
      </w:r>
      <w:r>
        <w:rPr>
          <w:spacing w:val="-1"/>
          <w:sz w:val="20"/>
        </w:rPr>
        <w:t> </w:t>
      </w:r>
      <w:r>
        <w:rPr>
          <w:sz w:val="20"/>
        </w:rPr>
        <w:t>One,</w:t>
      </w:r>
      <w:r>
        <w:rPr>
          <w:spacing w:val="-5"/>
          <w:sz w:val="20"/>
        </w:rPr>
        <w:t> </w:t>
      </w:r>
      <w:r>
        <w:rPr>
          <w:sz w:val="20"/>
        </w:rPr>
        <w:t>and</w:t>
      </w:r>
      <w:r>
        <w:rPr>
          <w:spacing w:val="-5"/>
          <w:sz w:val="20"/>
        </w:rPr>
        <w:t> </w:t>
      </w:r>
      <w:r>
        <w:rPr>
          <w:sz w:val="20"/>
        </w:rPr>
        <w:t>constitute</w:t>
      </w:r>
      <w:r>
        <w:rPr>
          <w:spacing w:val="-4"/>
          <w:sz w:val="20"/>
        </w:rPr>
        <w:t> </w:t>
      </w:r>
      <w:r>
        <w:rPr>
          <w:sz w:val="20"/>
        </w:rPr>
        <w:t>the</w:t>
      </w:r>
      <w:r>
        <w:rPr>
          <w:spacing w:val="-5"/>
          <w:sz w:val="20"/>
        </w:rPr>
        <w:t> </w:t>
      </w:r>
      <w:r>
        <w:rPr>
          <w:sz w:val="20"/>
        </w:rPr>
        <w:t>bedrock</w:t>
      </w:r>
      <w:r>
        <w:rPr>
          <w:spacing w:val="-1"/>
          <w:sz w:val="20"/>
        </w:rPr>
        <w:t> </w:t>
      </w:r>
      <w:r>
        <w:rPr>
          <w:sz w:val="20"/>
        </w:rPr>
        <w:t>of</w:t>
      </w:r>
      <w:r>
        <w:rPr>
          <w:spacing w:val="-2"/>
          <w:sz w:val="20"/>
        </w:rPr>
        <w:t> </w:t>
      </w:r>
      <w:r>
        <w:rPr>
          <w:sz w:val="20"/>
        </w:rPr>
        <w:t>this Blueprint.</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1"/>
        </w:rPr>
      </w:pPr>
      <w:r>
        <w:rPr/>
        <w:pict>
          <v:rect style="position:absolute;margin-left:65.183998pt;margin-top:8.599209pt;width:144.020004pt;height:.60004pt;mso-position-horizontal-relative:page;mso-position-vertical-relative:paragraph;z-index:-1572352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849" w:val="left" w:leader="none"/>
        </w:tabs>
        <w:spacing w:line="278" w:lineRule="auto" w:before="94" w:after="0"/>
        <w:ind w:left="723" w:right="480" w:firstLine="0"/>
        <w:jc w:val="both"/>
        <w:rPr>
          <w:sz w:val="18"/>
        </w:rPr>
      </w:pPr>
      <w:r>
        <w:rPr>
          <w:sz w:val="18"/>
        </w:rPr>
        <w:t>Public</w:t>
      </w:r>
      <w:r>
        <w:rPr>
          <w:spacing w:val="-3"/>
          <w:sz w:val="18"/>
        </w:rPr>
        <w:t> </w:t>
      </w:r>
      <w:r>
        <w:rPr>
          <w:sz w:val="18"/>
        </w:rPr>
        <w:t>Consultation</w:t>
      </w:r>
      <w:r>
        <w:rPr>
          <w:spacing w:val="-4"/>
          <w:sz w:val="18"/>
        </w:rPr>
        <w:t> </w:t>
      </w:r>
      <w:r>
        <w:rPr>
          <w:sz w:val="18"/>
        </w:rPr>
        <w:t>Document,</w:t>
      </w:r>
      <w:r>
        <w:rPr>
          <w:spacing w:val="-2"/>
          <w:sz w:val="18"/>
        </w:rPr>
        <w:t> </w:t>
      </w:r>
      <w:r>
        <w:rPr>
          <w:i/>
          <w:sz w:val="18"/>
        </w:rPr>
        <w:t>Secretariat</w:t>
      </w:r>
      <w:r>
        <w:rPr>
          <w:i/>
          <w:spacing w:val="-3"/>
          <w:sz w:val="18"/>
        </w:rPr>
        <w:t> </w:t>
      </w:r>
      <w:r>
        <w:rPr>
          <w:i/>
          <w:sz w:val="18"/>
        </w:rPr>
        <w:t>Proposal</w:t>
      </w:r>
      <w:r>
        <w:rPr>
          <w:i/>
          <w:spacing w:val="-4"/>
          <w:sz w:val="18"/>
        </w:rPr>
        <w:t> </w:t>
      </w:r>
      <w:r>
        <w:rPr>
          <w:i/>
          <w:sz w:val="18"/>
        </w:rPr>
        <w:t>for</w:t>
      </w:r>
      <w:r>
        <w:rPr>
          <w:i/>
          <w:spacing w:val="-3"/>
          <w:sz w:val="18"/>
        </w:rPr>
        <w:t> </w:t>
      </w:r>
      <w:r>
        <w:rPr>
          <w:i/>
          <w:sz w:val="18"/>
        </w:rPr>
        <w:t>a</w:t>
      </w:r>
      <w:r>
        <w:rPr>
          <w:i/>
          <w:spacing w:val="-4"/>
          <w:sz w:val="18"/>
        </w:rPr>
        <w:t> </w:t>
      </w:r>
      <w:r>
        <w:rPr>
          <w:i/>
          <w:sz w:val="18"/>
        </w:rPr>
        <w:t>“Unified</w:t>
      </w:r>
      <w:r>
        <w:rPr>
          <w:i/>
          <w:spacing w:val="-4"/>
          <w:sz w:val="18"/>
        </w:rPr>
        <w:t> </w:t>
      </w:r>
      <w:r>
        <w:rPr>
          <w:i/>
          <w:sz w:val="18"/>
        </w:rPr>
        <w:t>Approach”</w:t>
      </w:r>
      <w:r>
        <w:rPr>
          <w:i/>
          <w:spacing w:val="-6"/>
          <w:sz w:val="18"/>
        </w:rPr>
        <w:t> </w:t>
      </w:r>
      <w:r>
        <w:rPr>
          <w:i/>
          <w:sz w:val="18"/>
        </w:rPr>
        <w:t>under</w:t>
      </w:r>
      <w:r>
        <w:rPr>
          <w:i/>
          <w:spacing w:val="-4"/>
          <w:sz w:val="18"/>
        </w:rPr>
        <w:t> </w:t>
      </w:r>
      <w:r>
        <w:rPr>
          <w:i/>
          <w:sz w:val="18"/>
        </w:rPr>
        <w:t>Pillar</w:t>
      </w:r>
      <w:r>
        <w:rPr>
          <w:i/>
          <w:spacing w:val="-4"/>
          <w:sz w:val="18"/>
        </w:rPr>
        <w:t> </w:t>
      </w:r>
      <w:r>
        <w:rPr>
          <w:i/>
          <w:sz w:val="18"/>
        </w:rPr>
        <w:t>One</w:t>
      </w:r>
      <w:r>
        <w:rPr>
          <w:sz w:val="18"/>
        </w:rPr>
        <w:t>,</w:t>
      </w:r>
      <w:r>
        <w:rPr>
          <w:spacing w:val="-3"/>
          <w:sz w:val="18"/>
        </w:rPr>
        <w:t> </w:t>
      </w:r>
      <w:r>
        <w:rPr>
          <w:sz w:val="18"/>
        </w:rPr>
        <w:t>9</w:t>
      </w:r>
      <w:r>
        <w:rPr>
          <w:spacing w:val="-4"/>
          <w:sz w:val="18"/>
        </w:rPr>
        <w:t> </w:t>
      </w:r>
      <w:r>
        <w:rPr>
          <w:sz w:val="18"/>
        </w:rPr>
        <w:t>October</w:t>
      </w:r>
      <w:r>
        <w:rPr>
          <w:spacing w:val="-4"/>
          <w:sz w:val="18"/>
        </w:rPr>
        <w:t> </w:t>
      </w:r>
      <w:r>
        <w:rPr>
          <w:sz w:val="18"/>
        </w:rPr>
        <w:t>2019</w:t>
      </w:r>
      <w:r>
        <w:rPr>
          <w:spacing w:val="-2"/>
          <w:sz w:val="18"/>
        </w:rPr>
        <w:t> </w:t>
      </w:r>
      <w:r>
        <w:rPr>
          <w:sz w:val="18"/>
        </w:rPr>
        <w:t>–</w:t>
      </w:r>
      <w:r>
        <w:rPr>
          <w:spacing w:val="-4"/>
          <w:sz w:val="18"/>
        </w:rPr>
        <w:t> </w:t>
      </w:r>
      <w:r>
        <w:rPr>
          <w:sz w:val="18"/>
        </w:rPr>
        <w:t>12 November 2019.</w:t>
      </w:r>
    </w:p>
    <w:p>
      <w:pPr>
        <w:pStyle w:val="ListParagraph"/>
        <w:numPr>
          <w:ilvl w:val="0"/>
          <w:numId w:val="5"/>
        </w:numPr>
        <w:tabs>
          <w:tab w:pos="854" w:val="left" w:leader="none"/>
        </w:tabs>
        <w:spacing w:line="278" w:lineRule="auto" w:before="78" w:after="0"/>
        <w:ind w:left="723" w:right="482" w:firstLine="0"/>
        <w:jc w:val="both"/>
        <w:rPr>
          <w:sz w:val="18"/>
        </w:rPr>
      </w:pPr>
      <w:r>
        <w:rPr>
          <w:sz w:val="18"/>
        </w:rPr>
        <w:t>OECD (2020), </w:t>
      </w:r>
      <w:r>
        <w:rPr>
          <w:i/>
          <w:sz w:val="18"/>
        </w:rPr>
        <w:t>Statement by the OECD/G20 Inclusive Framework on BEPS on the Two-Pillar Approach to Address </w:t>
      </w:r>
      <w:r>
        <w:rPr>
          <w:i/>
          <w:sz w:val="18"/>
        </w:rPr>
        <w:t>the Tax Challenges Arising from the Digitalisation of the Economy – January 2020</w:t>
      </w:r>
      <w:r>
        <w:rPr>
          <w:sz w:val="18"/>
        </w:rPr>
        <w:t>, OECD/G20 Inclusive Framework on BEPS, OECD,</w:t>
      </w:r>
      <w:r>
        <w:rPr>
          <w:spacing w:val="-1"/>
          <w:sz w:val="18"/>
        </w:rPr>
        <w:t> </w:t>
      </w:r>
      <w:r>
        <w:rPr>
          <w:sz w:val="18"/>
        </w:rPr>
        <w:t>Paris.</w:t>
      </w:r>
    </w:p>
    <w:p>
      <w:pPr>
        <w:pStyle w:val="ListParagraph"/>
        <w:numPr>
          <w:ilvl w:val="0"/>
          <w:numId w:val="5"/>
        </w:numPr>
        <w:tabs>
          <w:tab w:pos="851" w:val="left" w:leader="none"/>
        </w:tabs>
        <w:spacing w:line="278" w:lineRule="auto" w:before="77" w:after="0"/>
        <w:ind w:left="723" w:right="485" w:firstLine="0"/>
        <w:jc w:val="both"/>
        <w:rPr>
          <w:sz w:val="18"/>
        </w:rPr>
      </w:pPr>
      <w:r>
        <w:rPr>
          <w:sz w:val="18"/>
        </w:rPr>
        <w:t>For</w:t>
      </w:r>
      <w:r>
        <w:rPr>
          <w:spacing w:val="-3"/>
          <w:sz w:val="18"/>
        </w:rPr>
        <w:t> </w:t>
      </w:r>
      <w:r>
        <w:rPr>
          <w:sz w:val="18"/>
        </w:rPr>
        <w:t>the</w:t>
      </w:r>
      <w:r>
        <w:rPr>
          <w:spacing w:val="-2"/>
          <w:sz w:val="18"/>
        </w:rPr>
        <w:t> </w:t>
      </w:r>
      <w:r>
        <w:rPr>
          <w:sz w:val="18"/>
        </w:rPr>
        <w:t>purpose</w:t>
      </w:r>
      <w:r>
        <w:rPr>
          <w:spacing w:val="-5"/>
          <w:sz w:val="18"/>
        </w:rPr>
        <w:t> </w:t>
      </w:r>
      <w:r>
        <w:rPr>
          <w:sz w:val="18"/>
        </w:rPr>
        <w:t>of</w:t>
      </w:r>
      <w:r>
        <w:rPr>
          <w:spacing w:val="-2"/>
          <w:sz w:val="18"/>
        </w:rPr>
        <w:t> </w:t>
      </w:r>
      <w:r>
        <w:rPr>
          <w:sz w:val="18"/>
        </w:rPr>
        <w:t>this</w:t>
      </w:r>
      <w:r>
        <w:rPr>
          <w:spacing w:val="-4"/>
          <w:sz w:val="18"/>
        </w:rPr>
        <w:t> </w:t>
      </w:r>
      <w:r>
        <w:rPr>
          <w:sz w:val="18"/>
        </w:rPr>
        <w:t>paper,</w:t>
      </w:r>
      <w:r>
        <w:rPr>
          <w:spacing w:val="-4"/>
          <w:sz w:val="18"/>
        </w:rPr>
        <w:t> </w:t>
      </w:r>
      <w:r>
        <w:rPr>
          <w:sz w:val="18"/>
        </w:rPr>
        <w:t>user/market</w:t>
      </w:r>
      <w:r>
        <w:rPr>
          <w:spacing w:val="-4"/>
          <w:sz w:val="18"/>
        </w:rPr>
        <w:t> </w:t>
      </w:r>
      <w:r>
        <w:rPr>
          <w:sz w:val="18"/>
        </w:rPr>
        <w:t>jurisdictions</w:t>
      </w:r>
      <w:r>
        <w:rPr>
          <w:spacing w:val="-2"/>
          <w:sz w:val="18"/>
        </w:rPr>
        <w:t> </w:t>
      </w:r>
      <w:r>
        <w:rPr>
          <w:sz w:val="18"/>
        </w:rPr>
        <w:t>(henceforth</w:t>
      </w:r>
      <w:r>
        <w:rPr>
          <w:spacing w:val="-2"/>
          <w:sz w:val="18"/>
        </w:rPr>
        <w:t> </w:t>
      </w:r>
      <w:r>
        <w:rPr>
          <w:sz w:val="18"/>
        </w:rPr>
        <w:t>“market</w:t>
      </w:r>
      <w:r>
        <w:rPr>
          <w:spacing w:val="-3"/>
          <w:sz w:val="18"/>
        </w:rPr>
        <w:t> </w:t>
      </w:r>
      <w:r>
        <w:rPr>
          <w:sz w:val="18"/>
        </w:rPr>
        <w:t>jurisdictions”)</w:t>
      </w:r>
      <w:r>
        <w:rPr>
          <w:spacing w:val="-4"/>
          <w:sz w:val="18"/>
        </w:rPr>
        <w:t> </w:t>
      </w:r>
      <w:r>
        <w:rPr>
          <w:sz w:val="18"/>
        </w:rPr>
        <w:t>are</w:t>
      </w:r>
      <w:r>
        <w:rPr>
          <w:spacing w:val="-2"/>
          <w:sz w:val="18"/>
        </w:rPr>
        <w:t> </w:t>
      </w:r>
      <w:r>
        <w:rPr>
          <w:sz w:val="18"/>
        </w:rPr>
        <w:t>jurisdictions</w:t>
      </w:r>
      <w:r>
        <w:rPr>
          <w:spacing w:val="-2"/>
          <w:sz w:val="18"/>
        </w:rPr>
        <w:t> </w:t>
      </w:r>
      <w:r>
        <w:rPr>
          <w:sz w:val="18"/>
        </w:rPr>
        <w:t>where</w:t>
      </w:r>
      <w:r>
        <w:rPr>
          <w:spacing w:val="-4"/>
          <w:sz w:val="18"/>
        </w:rPr>
        <w:t> </w:t>
      </w:r>
      <w:r>
        <w:rPr>
          <w:sz w:val="18"/>
        </w:rPr>
        <w:t>an MNE</w:t>
      </w:r>
      <w:r>
        <w:rPr>
          <w:spacing w:val="-4"/>
          <w:sz w:val="18"/>
        </w:rPr>
        <w:t> </w:t>
      </w:r>
      <w:r>
        <w:rPr>
          <w:sz w:val="18"/>
        </w:rPr>
        <w:t>group</w:t>
      </w:r>
      <w:r>
        <w:rPr>
          <w:spacing w:val="-4"/>
          <w:sz w:val="18"/>
        </w:rPr>
        <w:t> </w:t>
      </w:r>
      <w:r>
        <w:rPr>
          <w:sz w:val="18"/>
        </w:rPr>
        <w:t>sells</w:t>
      </w:r>
      <w:r>
        <w:rPr>
          <w:spacing w:val="-3"/>
          <w:sz w:val="18"/>
        </w:rPr>
        <w:t> </w:t>
      </w:r>
      <w:r>
        <w:rPr>
          <w:sz w:val="18"/>
        </w:rPr>
        <w:t>its</w:t>
      </w:r>
      <w:r>
        <w:rPr>
          <w:spacing w:val="-3"/>
          <w:sz w:val="18"/>
        </w:rPr>
        <w:t> </w:t>
      </w:r>
      <w:r>
        <w:rPr>
          <w:sz w:val="18"/>
        </w:rPr>
        <w:t>products</w:t>
      </w:r>
      <w:r>
        <w:rPr>
          <w:spacing w:val="-3"/>
          <w:sz w:val="18"/>
        </w:rPr>
        <w:t> </w:t>
      </w:r>
      <w:r>
        <w:rPr>
          <w:sz w:val="18"/>
        </w:rPr>
        <w:t>or</w:t>
      </w:r>
      <w:r>
        <w:rPr>
          <w:spacing w:val="-2"/>
          <w:sz w:val="18"/>
        </w:rPr>
        <w:t> </w:t>
      </w:r>
      <w:r>
        <w:rPr>
          <w:sz w:val="18"/>
        </w:rPr>
        <w:t>services</w:t>
      </w:r>
      <w:r>
        <w:rPr>
          <w:spacing w:val="-4"/>
          <w:sz w:val="18"/>
        </w:rPr>
        <w:t> </w:t>
      </w:r>
      <w:r>
        <w:rPr>
          <w:sz w:val="18"/>
        </w:rPr>
        <w:t>or,</w:t>
      </w:r>
      <w:r>
        <w:rPr>
          <w:spacing w:val="-4"/>
          <w:sz w:val="18"/>
        </w:rPr>
        <w:t> </w:t>
      </w:r>
      <w:r>
        <w:rPr>
          <w:sz w:val="18"/>
        </w:rPr>
        <w:t>in</w:t>
      </w:r>
      <w:r>
        <w:rPr>
          <w:spacing w:val="-2"/>
          <w:sz w:val="18"/>
        </w:rPr>
        <w:t> </w:t>
      </w:r>
      <w:r>
        <w:rPr>
          <w:sz w:val="18"/>
        </w:rPr>
        <w:t>the</w:t>
      </w:r>
      <w:r>
        <w:rPr>
          <w:spacing w:val="-4"/>
          <w:sz w:val="18"/>
        </w:rPr>
        <w:t> </w:t>
      </w:r>
      <w:r>
        <w:rPr>
          <w:sz w:val="18"/>
        </w:rPr>
        <w:t>case</w:t>
      </w:r>
      <w:r>
        <w:rPr>
          <w:spacing w:val="-2"/>
          <w:sz w:val="18"/>
        </w:rPr>
        <w:t> </w:t>
      </w:r>
      <w:r>
        <w:rPr>
          <w:sz w:val="18"/>
        </w:rPr>
        <w:t>of</w:t>
      </w:r>
      <w:r>
        <w:rPr>
          <w:spacing w:val="-2"/>
          <w:sz w:val="18"/>
        </w:rPr>
        <w:t> </w:t>
      </w:r>
      <w:r>
        <w:rPr>
          <w:sz w:val="18"/>
        </w:rPr>
        <w:t>highly</w:t>
      </w:r>
      <w:r>
        <w:rPr>
          <w:spacing w:val="-4"/>
          <w:sz w:val="18"/>
        </w:rPr>
        <w:t> </w:t>
      </w:r>
      <w:r>
        <w:rPr>
          <w:sz w:val="18"/>
        </w:rPr>
        <w:t>digitalised</w:t>
      </w:r>
      <w:r>
        <w:rPr>
          <w:spacing w:val="-3"/>
          <w:sz w:val="18"/>
        </w:rPr>
        <w:t> </w:t>
      </w:r>
      <w:r>
        <w:rPr>
          <w:sz w:val="18"/>
        </w:rPr>
        <w:t>businesses,</w:t>
      </w:r>
      <w:r>
        <w:rPr>
          <w:spacing w:val="-4"/>
          <w:sz w:val="18"/>
        </w:rPr>
        <w:t> </w:t>
      </w:r>
      <w:r>
        <w:rPr>
          <w:sz w:val="18"/>
        </w:rPr>
        <w:t>provides</w:t>
      </w:r>
      <w:r>
        <w:rPr>
          <w:spacing w:val="-3"/>
          <w:sz w:val="18"/>
        </w:rPr>
        <w:t> </w:t>
      </w:r>
      <w:r>
        <w:rPr>
          <w:sz w:val="18"/>
        </w:rPr>
        <w:t>services</w:t>
      </w:r>
      <w:r>
        <w:rPr>
          <w:spacing w:val="-3"/>
          <w:sz w:val="18"/>
        </w:rPr>
        <w:t> </w:t>
      </w:r>
      <w:r>
        <w:rPr>
          <w:sz w:val="18"/>
        </w:rPr>
        <w:t>to</w:t>
      </w:r>
      <w:r>
        <w:rPr>
          <w:spacing w:val="-2"/>
          <w:sz w:val="18"/>
        </w:rPr>
        <w:t> </w:t>
      </w:r>
      <w:r>
        <w:rPr>
          <w:sz w:val="18"/>
        </w:rPr>
        <w:t>users</w:t>
      </w:r>
      <w:r>
        <w:rPr>
          <w:spacing w:val="-1"/>
          <w:sz w:val="18"/>
        </w:rPr>
        <w:t> </w:t>
      </w:r>
      <w:r>
        <w:rPr>
          <w:sz w:val="18"/>
        </w:rPr>
        <w:t>or solicits and collects data or content contributions from</w:t>
      </w:r>
      <w:r>
        <w:rPr>
          <w:spacing w:val="-6"/>
          <w:sz w:val="18"/>
        </w:rPr>
        <w:t> </w:t>
      </w:r>
      <w:r>
        <w:rPr>
          <w:sz w:val="18"/>
        </w:rPr>
        <w:t>them.</w:t>
      </w:r>
    </w:p>
    <w:p>
      <w:pPr>
        <w:pStyle w:val="ListParagraph"/>
        <w:numPr>
          <w:ilvl w:val="0"/>
          <w:numId w:val="5"/>
        </w:numPr>
        <w:tabs>
          <w:tab w:pos="849" w:val="left" w:leader="none"/>
        </w:tabs>
        <w:spacing w:line="278" w:lineRule="auto" w:before="77" w:after="0"/>
        <w:ind w:left="723" w:right="486" w:firstLine="0"/>
        <w:jc w:val="both"/>
        <w:rPr>
          <w:sz w:val="18"/>
        </w:rPr>
      </w:pPr>
      <w:r>
        <w:rPr>
          <w:sz w:val="18"/>
        </w:rPr>
        <w:t>Conversely,</w:t>
      </w:r>
      <w:r>
        <w:rPr>
          <w:spacing w:val="-6"/>
          <w:sz w:val="18"/>
        </w:rPr>
        <w:t> </w:t>
      </w:r>
      <w:r>
        <w:rPr>
          <w:sz w:val="18"/>
        </w:rPr>
        <w:t>to</w:t>
      </w:r>
      <w:r>
        <w:rPr>
          <w:spacing w:val="-6"/>
          <w:sz w:val="18"/>
        </w:rPr>
        <w:t> </w:t>
      </w:r>
      <w:r>
        <w:rPr>
          <w:sz w:val="18"/>
        </w:rPr>
        <w:t>ensure</w:t>
      </w:r>
      <w:r>
        <w:rPr>
          <w:spacing w:val="-7"/>
          <w:sz w:val="18"/>
        </w:rPr>
        <w:t> </w:t>
      </w:r>
      <w:r>
        <w:rPr>
          <w:sz w:val="18"/>
        </w:rPr>
        <w:t>elimination</w:t>
      </w:r>
      <w:r>
        <w:rPr>
          <w:spacing w:val="-7"/>
          <w:sz w:val="18"/>
        </w:rPr>
        <w:t> </w:t>
      </w:r>
      <w:r>
        <w:rPr>
          <w:sz w:val="18"/>
        </w:rPr>
        <w:t>of</w:t>
      </w:r>
      <w:r>
        <w:rPr>
          <w:spacing w:val="-6"/>
          <w:sz w:val="18"/>
        </w:rPr>
        <w:t> </w:t>
      </w:r>
      <w:r>
        <w:rPr>
          <w:sz w:val="18"/>
        </w:rPr>
        <w:t>double</w:t>
      </w:r>
      <w:r>
        <w:rPr>
          <w:spacing w:val="-5"/>
          <w:sz w:val="18"/>
        </w:rPr>
        <w:t> </w:t>
      </w:r>
      <w:r>
        <w:rPr>
          <w:sz w:val="18"/>
        </w:rPr>
        <w:t>taxation,</w:t>
      </w:r>
      <w:r>
        <w:rPr>
          <w:spacing w:val="-8"/>
          <w:sz w:val="18"/>
        </w:rPr>
        <w:t> </w:t>
      </w:r>
      <w:r>
        <w:rPr>
          <w:sz w:val="18"/>
        </w:rPr>
        <w:t>this</w:t>
      </w:r>
      <w:r>
        <w:rPr>
          <w:spacing w:val="-7"/>
          <w:sz w:val="18"/>
        </w:rPr>
        <w:t> </w:t>
      </w:r>
      <w:r>
        <w:rPr>
          <w:sz w:val="18"/>
        </w:rPr>
        <w:t>new</w:t>
      </w:r>
      <w:r>
        <w:rPr>
          <w:spacing w:val="-8"/>
          <w:sz w:val="18"/>
        </w:rPr>
        <w:t> </w:t>
      </w:r>
      <w:r>
        <w:rPr>
          <w:sz w:val="18"/>
        </w:rPr>
        <w:t>taxing</w:t>
      </w:r>
      <w:r>
        <w:rPr>
          <w:spacing w:val="-5"/>
          <w:sz w:val="18"/>
        </w:rPr>
        <w:t> </w:t>
      </w:r>
      <w:r>
        <w:rPr>
          <w:sz w:val="18"/>
        </w:rPr>
        <w:t>right</w:t>
      </w:r>
      <w:r>
        <w:rPr>
          <w:spacing w:val="-7"/>
          <w:sz w:val="18"/>
        </w:rPr>
        <w:t> </w:t>
      </w:r>
      <w:r>
        <w:rPr>
          <w:sz w:val="18"/>
        </w:rPr>
        <w:t>will</w:t>
      </w:r>
      <w:r>
        <w:rPr>
          <w:spacing w:val="-5"/>
          <w:sz w:val="18"/>
        </w:rPr>
        <w:t> </w:t>
      </w:r>
      <w:r>
        <w:rPr>
          <w:sz w:val="18"/>
        </w:rPr>
        <w:t>reduce</w:t>
      </w:r>
      <w:r>
        <w:rPr>
          <w:spacing w:val="-7"/>
          <w:sz w:val="18"/>
        </w:rPr>
        <w:t> </w:t>
      </w:r>
      <w:r>
        <w:rPr>
          <w:sz w:val="18"/>
        </w:rPr>
        <w:t>the</w:t>
      </w:r>
      <w:r>
        <w:rPr>
          <w:spacing w:val="-7"/>
          <w:sz w:val="18"/>
        </w:rPr>
        <w:t> </w:t>
      </w:r>
      <w:r>
        <w:rPr>
          <w:sz w:val="18"/>
        </w:rPr>
        <w:t>taxing</w:t>
      </w:r>
      <w:r>
        <w:rPr>
          <w:spacing w:val="-5"/>
          <w:sz w:val="18"/>
        </w:rPr>
        <w:t> </w:t>
      </w:r>
      <w:r>
        <w:rPr>
          <w:sz w:val="18"/>
        </w:rPr>
        <w:t>rights</w:t>
      </w:r>
      <w:r>
        <w:rPr>
          <w:spacing w:val="-7"/>
          <w:sz w:val="18"/>
        </w:rPr>
        <w:t> </w:t>
      </w:r>
      <w:r>
        <w:rPr>
          <w:sz w:val="18"/>
        </w:rPr>
        <w:t>of</w:t>
      </w:r>
      <w:r>
        <w:rPr>
          <w:spacing w:val="-8"/>
          <w:sz w:val="18"/>
        </w:rPr>
        <w:t> </w:t>
      </w:r>
      <w:r>
        <w:rPr>
          <w:sz w:val="18"/>
        </w:rPr>
        <w:t>jurisdictions where MNE entities entitled to residual profits under the existing profit allocation rules are</w:t>
      </w:r>
      <w:r>
        <w:rPr>
          <w:spacing w:val="-9"/>
          <w:sz w:val="18"/>
        </w:rPr>
        <w:t> </w:t>
      </w:r>
      <w:r>
        <w:rPr>
          <w:sz w:val="18"/>
        </w:rPr>
        <w:t>resident.</w:t>
      </w:r>
    </w:p>
    <w:p>
      <w:pPr>
        <w:spacing w:after="0" w:line="278" w:lineRule="auto"/>
        <w:jc w:val="both"/>
        <w:rPr>
          <w:sz w:val="18"/>
        </w:rPr>
        <w:sectPr>
          <w:pgSz w:w="11910" w:h="16840"/>
          <w:pgMar w:header="1244" w:footer="1638" w:top="1500" w:bottom="1820" w:left="580" w:right="820"/>
        </w:sectPr>
      </w:pPr>
    </w:p>
    <w:p>
      <w:pPr>
        <w:pStyle w:val="BodyText"/>
        <w:spacing w:before="5"/>
        <w:rPr>
          <w:sz w:val="17"/>
        </w:rPr>
      </w:pPr>
    </w:p>
    <w:p>
      <w:pPr>
        <w:pStyle w:val="Heading4"/>
        <w:spacing w:before="100"/>
        <w:ind w:left="723"/>
        <w:jc w:val="left"/>
      </w:pPr>
      <w:r>
        <w:rPr>
          <w:color w:val="4E81BD"/>
        </w:rPr>
        <w:t>Figure 1.1. Building Blocks of Pillar One</w:t>
      </w:r>
    </w:p>
    <w:p>
      <w:pPr>
        <w:pStyle w:val="BodyText"/>
        <w:spacing w:before="7"/>
        <w:rPr>
          <w:rFonts w:ascii="Arial Narrow"/>
          <w:b/>
          <w:sz w:val="12"/>
        </w:rPr>
      </w:pPr>
      <w:r>
        <w:rPr/>
        <w:pict>
          <v:group style="position:absolute;margin-left:65.654381pt;margin-top:9.274591pt;width:212.55pt;height:183.1pt;mso-position-horizontal-relative:page;mso-position-vertical-relative:paragraph;z-index:-15723008;mso-wrap-distance-left:0;mso-wrap-distance-right:0" coordorigin="1313,185" coordsize="4251,3662">
            <v:shape style="position:absolute;left:1313;top:185;width:4251;height:3662" type="#_x0000_t202" filled="true" fillcolor="#dce6f2" stroked="false">
              <v:textbox inset="0,0,0,0">
                <w:txbxContent>
                  <w:p>
                    <w:pPr>
                      <w:spacing w:before="161"/>
                      <w:ind w:left="1537" w:right="1537" w:firstLine="0"/>
                      <w:jc w:val="center"/>
                      <w:rPr>
                        <w:rFonts w:ascii="Calibri"/>
                        <w:b/>
                        <w:sz w:val="27"/>
                      </w:rPr>
                    </w:pPr>
                    <w:r>
                      <w:rPr>
                        <w:rFonts w:ascii="Calibri"/>
                        <w:b/>
                        <w:color w:val="006299"/>
                        <w:sz w:val="27"/>
                      </w:rPr>
                      <w:t>Amount A</w:t>
                    </w:r>
                  </w:p>
                </w:txbxContent>
              </v:textbox>
              <v:fill type="solid"/>
              <w10:wrap type="none"/>
            </v:shape>
            <v:shape style="position:absolute;left:3521;top:2887;width:1863;height:771" type="#_x0000_t202" filled="true" fillcolor="#006299" stroked="false">
              <v:textbox inset="0,0,0,0">
                <w:txbxContent>
                  <w:p>
                    <w:pPr>
                      <w:spacing w:line="218" w:lineRule="auto" w:before="135"/>
                      <w:ind w:left="213" w:right="151" w:firstLine="78"/>
                      <w:jc w:val="left"/>
                      <w:rPr>
                        <w:rFonts w:ascii="Calibri"/>
                        <w:sz w:val="22"/>
                      </w:rPr>
                    </w:pPr>
                    <w:r>
                      <w:rPr>
                        <w:rFonts w:ascii="Calibri"/>
                        <w:color w:val="FFFFFF"/>
                        <w:w w:val="105"/>
                        <w:sz w:val="22"/>
                      </w:rPr>
                      <w:t>Elimination of double taxation</w:t>
                    </w:r>
                  </w:p>
                </w:txbxContent>
              </v:textbox>
              <v:fill type="solid"/>
              <w10:wrap type="none"/>
            </v:shape>
            <v:shape style="position:absolute;left:1532;top:2887;width:1863;height:771" type="#_x0000_t202" filled="true" fillcolor="#006299" stroked="false">
              <v:textbox inset="0,0,0,0">
                <w:txbxContent>
                  <w:p>
                    <w:pPr>
                      <w:spacing w:line="240" w:lineRule="auto" w:before="8"/>
                      <w:rPr>
                        <w:rFonts w:ascii="Arial Narrow"/>
                        <w:b/>
                        <w:sz w:val="20"/>
                      </w:rPr>
                    </w:pPr>
                  </w:p>
                  <w:p>
                    <w:pPr>
                      <w:spacing w:before="1"/>
                      <w:ind w:left="203" w:right="0" w:firstLine="0"/>
                      <w:jc w:val="left"/>
                      <w:rPr>
                        <w:rFonts w:ascii="Calibri"/>
                        <w:sz w:val="22"/>
                      </w:rPr>
                    </w:pPr>
                    <w:r>
                      <w:rPr>
                        <w:rFonts w:ascii="Calibri"/>
                        <w:color w:val="FFFFFF"/>
                        <w:w w:val="105"/>
                        <w:sz w:val="22"/>
                      </w:rPr>
                      <w:t>Profit allocation</w:t>
                    </w:r>
                  </w:p>
                </w:txbxContent>
              </v:textbox>
              <v:fill type="solid"/>
              <w10:wrap type="none"/>
            </v:shape>
            <v:shape style="position:absolute;left:3544;top:1856;width:1863;height:768" type="#_x0000_t202" filled="true" fillcolor="#006299" stroked="false">
              <v:textbox inset="0,0,0,0">
                <w:txbxContent>
                  <w:p>
                    <w:pPr>
                      <w:spacing w:line="256" w:lineRule="exact" w:before="115"/>
                      <w:ind w:left="234" w:right="234" w:firstLine="0"/>
                      <w:jc w:val="center"/>
                      <w:rPr>
                        <w:rFonts w:ascii="Calibri"/>
                        <w:sz w:val="22"/>
                      </w:rPr>
                    </w:pPr>
                    <w:r>
                      <w:rPr>
                        <w:rFonts w:ascii="Calibri"/>
                        <w:color w:val="FFFFFF"/>
                        <w:w w:val="105"/>
                        <w:sz w:val="22"/>
                      </w:rPr>
                      <w:t>Tax base</w:t>
                    </w:r>
                  </w:p>
                  <w:p>
                    <w:pPr>
                      <w:spacing w:line="256" w:lineRule="exact" w:before="0"/>
                      <w:ind w:left="234" w:right="235" w:firstLine="0"/>
                      <w:jc w:val="center"/>
                      <w:rPr>
                        <w:rFonts w:ascii="Calibri"/>
                        <w:sz w:val="22"/>
                      </w:rPr>
                    </w:pPr>
                    <w:r>
                      <w:rPr>
                        <w:rFonts w:ascii="Calibri"/>
                        <w:color w:val="FFFFFF"/>
                        <w:w w:val="105"/>
                        <w:sz w:val="22"/>
                      </w:rPr>
                      <w:t>determination</w:t>
                    </w:r>
                  </w:p>
                </w:txbxContent>
              </v:textbox>
              <v:fill type="solid"/>
              <w10:wrap type="none"/>
            </v:shape>
            <v:shape style="position:absolute;left:1524;top:1849;width:1863;height:775" type="#_x0000_t202" filled="true" fillcolor="#006299" stroked="false">
              <v:textbox inset="0,0,0,0">
                <w:txbxContent>
                  <w:p>
                    <w:pPr>
                      <w:spacing w:line="240" w:lineRule="auto" w:before="11"/>
                      <w:rPr>
                        <w:rFonts w:ascii="Arial Narrow"/>
                        <w:b/>
                        <w:sz w:val="20"/>
                      </w:rPr>
                    </w:pPr>
                  </w:p>
                  <w:p>
                    <w:pPr>
                      <w:spacing w:before="0"/>
                      <w:ind w:left="119" w:right="0" w:firstLine="0"/>
                      <w:jc w:val="left"/>
                      <w:rPr>
                        <w:rFonts w:ascii="Calibri"/>
                        <w:sz w:val="22"/>
                      </w:rPr>
                    </w:pPr>
                    <w:r>
                      <w:rPr>
                        <w:rFonts w:ascii="Calibri"/>
                        <w:color w:val="FFFFFF"/>
                        <w:w w:val="105"/>
                        <w:sz w:val="22"/>
                      </w:rPr>
                      <w:t>Revenue sourcing</w:t>
                    </w:r>
                  </w:p>
                </w:txbxContent>
              </v:textbox>
              <v:fill type="solid"/>
              <w10:wrap type="none"/>
            </v:shape>
            <v:shape style="position:absolute;left:3533;top:861;width:1863;height:775" type="#_x0000_t202" filled="true" fillcolor="#006299" stroked="false">
              <v:textbox inset="0,0,0,0">
                <w:txbxContent>
                  <w:p>
                    <w:pPr>
                      <w:spacing w:line="240" w:lineRule="auto" w:before="10"/>
                      <w:rPr>
                        <w:rFonts w:ascii="Arial Narrow"/>
                        <w:b/>
                        <w:sz w:val="20"/>
                      </w:rPr>
                    </w:pPr>
                  </w:p>
                  <w:p>
                    <w:pPr>
                      <w:spacing w:before="0"/>
                      <w:ind w:left="234" w:right="234" w:firstLine="0"/>
                      <w:jc w:val="center"/>
                      <w:rPr>
                        <w:rFonts w:ascii="Calibri"/>
                        <w:sz w:val="22"/>
                      </w:rPr>
                    </w:pPr>
                    <w:r>
                      <w:rPr>
                        <w:rFonts w:ascii="Calibri"/>
                        <w:color w:val="FFFFFF"/>
                        <w:w w:val="105"/>
                        <w:sz w:val="22"/>
                      </w:rPr>
                      <w:t>Nexus</w:t>
                    </w:r>
                  </w:p>
                </w:txbxContent>
              </v:textbox>
              <v:fill type="solid"/>
              <w10:wrap type="none"/>
            </v:shape>
            <v:shape style="position:absolute;left:1502;top:858;width:1862;height:778" type="#_x0000_t202" filled="true" fillcolor="#006299" stroked="false">
              <v:textbox inset="0,0,0,0">
                <w:txbxContent>
                  <w:p>
                    <w:pPr>
                      <w:spacing w:line="240" w:lineRule="auto" w:before="0"/>
                      <w:rPr>
                        <w:rFonts w:ascii="Arial Narrow"/>
                        <w:b/>
                        <w:sz w:val="21"/>
                      </w:rPr>
                    </w:pPr>
                  </w:p>
                  <w:p>
                    <w:pPr>
                      <w:spacing w:before="0"/>
                      <w:ind w:left="630" w:right="630" w:firstLine="0"/>
                      <w:jc w:val="center"/>
                      <w:rPr>
                        <w:rFonts w:ascii="Calibri"/>
                        <w:sz w:val="22"/>
                      </w:rPr>
                    </w:pPr>
                    <w:r>
                      <w:rPr>
                        <w:rFonts w:ascii="Calibri"/>
                        <w:color w:val="FFFFFF"/>
                        <w:w w:val="105"/>
                        <w:sz w:val="22"/>
                      </w:rPr>
                      <w:t>Scope</w:t>
                    </w:r>
                  </w:p>
                </w:txbxContent>
              </v:textbox>
              <v:fill type="solid"/>
              <w10:wrap type="none"/>
            </v:shape>
            <w10:wrap type="topAndBottom"/>
          </v:group>
        </w:pict>
      </w:r>
      <w:r>
        <w:rPr/>
        <w:pict>
          <v:group style="position:absolute;margin-left:287.819794pt;margin-top:9.207009pt;width:107.45pt;height:183.1pt;mso-position-horizontal-relative:page;mso-position-vertical-relative:paragraph;z-index:-15722496;mso-wrap-distance-left:0;mso-wrap-distance-right:0" coordorigin="5756,184" coordsize="2149,3662">
            <v:shape style="position:absolute;left:5756;top:184;width:2149;height:3662" type="#_x0000_t202" filled="true" fillcolor="#dce6f2" stroked="false">
              <v:textbox inset="0,0,0,0">
                <w:txbxContent>
                  <w:p>
                    <w:pPr>
                      <w:spacing w:before="163"/>
                      <w:ind w:left="533" w:right="0" w:firstLine="0"/>
                      <w:jc w:val="left"/>
                      <w:rPr>
                        <w:rFonts w:ascii="Calibri"/>
                        <w:b/>
                        <w:sz w:val="27"/>
                      </w:rPr>
                    </w:pPr>
                    <w:r>
                      <w:rPr>
                        <w:rFonts w:ascii="Calibri"/>
                        <w:b/>
                        <w:color w:val="006299"/>
                        <w:sz w:val="27"/>
                      </w:rPr>
                      <w:t>Amount B</w:t>
                    </w:r>
                  </w:p>
                </w:txbxContent>
              </v:textbox>
              <v:fill type="solid"/>
              <w10:wrap type="none"/>
            </v:shape>
            <v:shape style="position:absolute;left:5971;top:2341;width:1836;height:1317" type="#_x0000_t202" filled="true" fillcolor="#006299" stroked="false">
              <v:textbox inset="0,0,0,0">
                <w:txbxContent>
                  <w:p>
                    <w:pPr>
                      <w:spacing w:line="240" w:lineRule="auto" w:before="0"/>
                      <w:rPr>
                        <w:rFonts w:ascii="Arial Narrow"/>
                        <w:b/>
                        <w:sz w:val="22"/>
                      </w:rPr>
                    </w:pPr>
                  </w:p>
                  <w:p>
                    <w:pPr>
                      <w:spacing w:line="240" w:lineRule="auto" w:before="6"/>
                      <w:rPr>
                        <w:rFonts w:ascii="Arial Narrow"/>
                        <w:b/>
                        <w:sz w:val="22"/>
                      </w:rPr>
                    </w:pPr>
                  </w:p>
                  <w:p>
                    <w:pPr>
                      <w:spacing w:before="0"/>
                      <w:ind w:left="482" w:right="0" w:firstLine="0"/>
                      <w:jc w:val="left"/>
                      <w:rPr>
                        <w:rFonts w:ascii="Calibri"/>
                        <w:sz w:val="22"/>
                      </w:rPr>
                    </w:pPr>
                    <w:r>
                      <w:rPr>
                        <w:rFonts w:ascii="Calibri"/>
                        <w:color w:val="FFFFFF"/>
                        <w:w w:val="105"/>
                        <w:sz w:val="22"/>
                      </w:rPr>
                      <w:t>Quantum</w:t>
                    </w:r>
                  </w:p>
                </w:txbxContent>
              </v:textbox>
              <v:fill type="solid"/>
              <w10:wrap type="none"/>
            </v:shape>
            <v:shape style="position:absolute;left:5971;top:858;width:1836;height:1329" type="#_x0000_t202" filled="true" fillcolor="#006299" stroked="false">
              <v:textbox inset="0,0,0,0">
                <w:txbxContent>
                  <w:p>
                    <w:pPr>
                      <w:spacing w:line="240" w:lineRule="auto" w:before="0"/>
                      <w:rPr>
                        <w:rFonts w:ascii="Arial Narrow"/>
                        <w:b/>
                        <w:sz w:val="22"/>
                      </w:rPr>
                    </w:pPr>
                  </w:p>
                  <w:p>
                    <w:pPr>
                      <w:spacing w:line="240" w:lineRule="auto" w:before="1"/>
                      <w:rPr>
                        <w:rFonts w:ascii="Arial Narrow"/>
                        <w:b/>
                        <w:sz w:val="23"/>
                      </w:rPr>
                    </w:pPr>
                  </w:p>
                  <w:p>
                    <w:pPr>
                      <w:spacing w:before="0"/>
                      <w:ind w:left="617" w:right="617" w:firstLine="0"/>
                      <w:jc w:val="center"/>
                      <w:rPr>
                        <w:rFonts w:ascii="Calibri"/>
                        <w:sz w:val="22"/>
                      </w:rPr>
                    </w:pPr>
                    <w:r>
                      <w:rPr>
                        <w:rFonts w:ascii="Calibri"/>
                        <w:color w:val="FFFFFF"/>
                        <w:w w:val="105"/>
                        <w:sz w:val="22"/>
                      </w:rPr>
                      <w:t>Scope</w:t>
                    </w:r>
                  </w:p>
                </w:txbxContent>
              </v:textbox>
              <v:fill type="solid"/>
              <w10:wrap type="none"/>
            </v:shape>
            <w10:wrap type="topAndBottom"/>
          </v:group>
        </w:pict>
      </w:r>
      <w:r>
        <w:rPr/>
        <w:pict>
          <v:group style="position:absolute;margin-left:407.032013pt;margin-top:9.274591pt;width:118.2pt;height:183.1pt;mso-position-horizontal-relative:page;mso-position-vertical-relative:paragraph;z-index:-15721984;mso-wrap-distance-left:0;mso-wrap-distance-right:0" coordorigin="8141,185" coordsize="2364,3662">
            <v:shape style="position:absolute;left:8140;top:185;width:2364;height:3662" type="#_x0000_t202" filled="true" fillcolor="#dce6f2" stroked="false">
              <v:textbox inset="0,0,0,0">
                <w:txbxContent>
                  <w:p>
                    <w:pPr>
                      <w:spacing w:before="161"/>
                      <w:ind w:left="451" w:right="0" w:firstLine="0"/>
                      <w:jc w:val="left"/>
                      <w:rPr>
                        <w:rFonts w:ascii="Calibri"/>
                        <w:b/>
                        <w:sz w:val="27"/>
                      </w:rPr>
                    </w:pPr>
                    <w:r>
                      <w:rPr>
                        <w:rFonts w:ascii="Calibri"/>
                        <w:b/>
                        <w:color w:val="006299"/>
                        <w:sz w:val="27"/>
                      </w:rPr>
                      <w:t>Tax Certainty</w:t>
                    </w:r>
                  </w:p>
                </w:txbxContent>
              </v:textbox>
              <v:fill type="solid"/>
              <w10:wrap type="none"/>
            </v:shape>
            <v:shape style="position:absolute;left:8277;top:2341;width:2091;height:1321" type="#_x0000_t202" filled="true" fillcolor="#006299" stroked="false">
              <v:textbox inset="0,0,0,0">
                <w:txbxContent>
                  <w:p>
                    <w:pPr>
                      <w:spacing w:line="240" w:lineRule="auto" w:before="1"/>
                      <w:rPr>
                        <w:rFonts w:ascii="Arial Narrow"/>
                        <w:b/>
                        <w:sz w:val="25"/>
                      </w:rPr>
                    </w:pPr>
                  </w:p>
                  <w:p>
                    <w:pPr>
                      <w:spacing w:line="218" w:lineRule="auto" w:before="1"/>
                      <w:ind w:left="168" w:right="164" w:firstLine="0"/>
                      <w:jc w:val="center"/>
                      <w:rPr>
                        <w:rFonts w:ascii="Calibri"/>
                        <w:sz w:val="22"/>
                      </w:rPr>
                    </w:pPr>
                    <w:r>
                      <w:rPr>
                        <w:rFonts w:ascii="Calibri"/>
                        <w:color w:val="FFFFFF"/>
                        <w:sz w:val="22"/>
                      </w:rPr>
                      <w:t>Dispute prevention </w:t>
                    </w:r>
                    <w:r>
                      <w:rPr>
                        <w:rFonts w:ascii="Calibri"/>
                        <w:color w:val="FFFFFF"/>
                        <w:w w:val="105"/>
                        <w:sz w:val="22"/>
                      </w:rPr>
                      <w:t>and resolution beyond Amount A</w:t>
                    </w:r>
                  </w:p>
                </w:txbxContent>
              </v:textbox>
              <v:fill type="solid"/>
              <w10:wrap type="none"/>
            </v:shape>
            <v:shape style="position:absolute;left:8277;top:858;width:2091;height:1329" type="#_x0000_t202" filled="true" fillcolor="#006299" stroked="false">
              <v:textbox inset="0,0,0,0">
                <w:txbxContent>
                  <w:p>
                    <w:pPr>
                      <w:spacing w:line="240" w:lineRule="auto" w:before="6"/>
                      <w:rPr>
                        <w:rFonts w:ascii="Arial Narrow"/>
                        <w:b/>
                        <w:sz w:val="25"/>
                      </w:rPr>
                    </w:pPr>
                  </w:p>
                  <w:p>
                    <w:pPr>
                      <w:spacing w:line="218" w:lineRule="auto" w:before="0"/>
                      <w:ind w:left="168" w:right="164" w:firstLine="0"/>
                      <w:jc w:val="center"/>
                      <w:rPr>
                        <w:rFonts w:ascii="Calibri"/>
                        <w:sz w:val="22"/>
                      </w:rPr>
                    </w:pPr>
                    <w:r>
                      <w:rPr>
                        <w:rFonts w:ascii="Calibri"/>
                        <w:color w:val="FFFFFF"/>
                        <w:sz w:val="22"/>
                      </w:rPr>
                      <w:t>Dispute prevention </w:t>
                    </w:r>
                    <w:r>
                      <w:rPr>
                        <w:rFonts w:ascii="Calibri"/>
                        <w:color w:val="FFFFFF"/>
                        <w:w w:val="105"/>
                        <w:sz w:val="22"/>
                      </w:rPr>
                      <w:t>and resolution for Amount A</w:t>
                    </w:r>
                  </w:p>
                </w:txbxContent>
              </v:textbox>
              <v:fill type="solid"/>
              <w10:wrap type="none"/>
            </v:shape>
            <w10:wrap type="topAndBottom"/>
          </v:group>
        </w:pict>
      </w:r>
      <w:r>
        <w:rPr/>
        <w:pict>
          <v:shape style="position:absolute;margin-left:65.688248pt;margin-top:200.304764pt;width:463.85pt;height:34.2pt;mso-position-horizontal-relative:page;mso-position-vertical-relative:paragraph;z-index:-15721472;mso-wrap-distance-left:0;mso-wrap-distance-right:0" type="#_x0000_t202" filled="true" fillcolor="#006299" stroked="false">
            <v:textbox inset="0,0,0,0">
              <w:txbxContent>
                <w:p>
                  <w:pPr>
                    <w:spacing w:before="195"/>
                    <w:ind w:left="2987" w:right="2986" w:firstLine="0"/>
                    <w:jc w:val="center"/>
                    <w:rPr>
                      <w:rFonts w:ascii="Calibri"/>
                      <w:b/>
                      <w:sz w:val="22"/>
                    </w:rPr>
                  </w:pPr>
                  <w:r>
                    <w:rPr>
                      <w:rFonts w:ascii="Calibri"/>
                      <w:b/>
                      <w:color w:val="FFFFFF"/>
                      <w:w w:val="105"/>
                      <w:sz w:val="22"/>
                    </w:rPr>
                    <w:t>Implementation &amp; Administration</w:t>
                  </w:r>
                </w:p>
              </w:txbxContent>
            </v:textbox>
            <v:fill type="solid"/>
            <w10:wrap type="topAndBottom"/>
          </v:shape>
        </w:pict>
      </w:r>
    </w:p>
    <w:p>
      <w:pPr>
        <w:pStyle w:val="BodyText"/>
        <w:spacing w:before="2"/>
        <w:rPr>
          <w:rFonts w:ascii="Arial Narrow"/>
          <w:b/>
          <w:sz w:val="9"/>
        </w:rPr>
      </w:pPr>
    </w:p>
    <w:p>
      <w:pPr>
        <w:pStyle w:val="BodyText"/>
        <w:spacing w:before="11"/>
        <w:rPr>
          <w:rFonts w:ascii="Arial Narrow"/>
          <w:b/>
          <w:sz w:val="23"/>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While the technical work on the Pillar One building blocks is very advanced, Inclusive Framework members recognise that there are a number of open issues on key features of the solution that can only be resolved through political decisions. To complete the package, political decisions are required on a number of issues including the</w:t>
      </w:r>
      <w:r>
        <w:rPr>
          <w:spacing w:val="2"/>
          <w:sz w:val="20"/>
        </w:rPr>
        <w:t> </w:t>
      </w:r>
      <w:r>
        <w:rPr>
          <w:sz w:val="20"/>
        </w:rPr>
        <w:t>following:</w:t>
      </w:r>
    </w:p>
    <w:p>
      <w:pPr>
        <w:pStyle w:val="ListParagraph"/>
        <w:numPr>
          <w:ilvl w:val="1"/>
          <w:numId w:val="4"/>
        </w:numPr>
        <w:tabs>
          <w:tab w:pos="1403" w:val="left" w:leader="none"/>
        </w:tabs>
        <w:spacing w:line="271" w:lineRule="auto" w:before="99" w:after="0"/>
        <w:ind w:left="1402" w:right="480" w:hanging="339"/>
        <w:jc w:val="both"/>
        <w:rPr>
          <w:sz w:val="20"/>
        </w:rPr>
      </w:pPr>
      <w:r>
        <w:rPr>
          <w:b/>
          <w:sz w:val="20"/>
        </w:rPr>
        <w:t>Scope</w:t>
      </w:r>
      <w:r>
        <w:rPr>
          <w:sz w:val="20"/>
        </w:rPr>
        <w:t>: With the Outline agreed in January 2020, the Inclusive Framework tried to bridge the gap between those members seeking to focus Pillar One on a narrower group of “digital” business models</w:t>
      </w:r>
      <w:r>
        <w:rPr>
          <w:spacing w:val="-5"/>
          <w:sz w:val="20"/>
        </w:rPr>
        <w:t> </w:t>
      </w:r>
      <w:r>
        <w:rPr>
          <w:sz w:val="20"/>
        </w:rPr>
        <w:t>and</w:t>
      </w:r>
      <w:r>
        <w:rPr>
          <w:spacing w:val="-7"/>
          <w:sz w:val="20"/>
        </w:rPr>
        <w:t> </w:t>
      </w:r>
      <w:r>
        <w:rPr>
          <w:sz w:val="20"/>
        </w:rPr>
        <w:t>those</w:t>
      </w:r>
      <w:r>
        <w:rPr>
          <w:spacing w:val="-7"/>
          <w:sz w:val="20"/>
        </w:rPr>
        <w:t> </w:t>
      </w:r>
      <w:r>
        <w:rPr>
          <w:sz w:val="20"/>
        </w:rPr>
        <w:t>insisting</w:t>
      </w:r>
      <w:r>
        <w:rPr>
          <w:spacing w:val="-5"/>
          <w:sz w:val="20"/>
        </w:rPr>
        <w:t> </w:t>
      </w:r>
      <w:r>
        <w:rPr>
          <w:sz w:val="20"/>
        </w:rPr>
        <w:t>that</w:t>
      </w:r>
      <w:r>
        <w:rPr>
          <w:spacing w:val="-6"/>
          <w:sz w:val="20"/>
        </w:rPr>
        <w:t> </w:t>
      </w:r>
      <w:r>
        <w:rPr>
          <w:sz w:val="20"/>
        </w:rPr>
        <w:t>a</w:t>
      </w:r>
      <w:r>
        <w:rPr>
          <w:spacing w:val="-5"/>
          <w:sz w:val="20"/>
        </w:rPr>
        <w:t> </w:t>
      </w:r>
      <w:r>
        <w:rPr>
          <w:sz w:val="20"/>
        </w:rPr>
        <w:t>solution</w:t>
      </w:r>
      <w:r>
        <w:rPr>
          <w:spacing w:val="-7"/>
          <w:sz w:val="20"/>
        </w:rPr>
        <w:t> </w:t>
      </w:r>
      <w:r>
        <w:rPr>
          <w:sz w:val="20"/>
        </w:rPr>
        <w:t>should</w:t>
      </w:r>
      <w:r>
        <w:rPr>
          <w:spacing w:val="-2"/>
          <w:sz w:val="20"/>
        </w:rPr>
        <w:t> </w:t>
      </w:r>
      <w:r>
        <w:rPr>
          <w:sz w:val="20"/>
        </w:rPr>
        <w:t>cover</w:t>
      </w:r>
      <w:r>
        <w:rPr>
          <w:spacing w:val="-5"/>
          <w:sz w:val="20"/>
        </w:rPr>
        <w:t> </w:t>
      </w:r>
      <w:r>
        <w:rPr>
          <w:sz w:val="20"/>
        </w:rPr>
        <w:t>a</w:t>
      </w:r>
      <w:r>
        <w:rPr>
          <w:spacing w:val="-4"/>
          <w:sz w:val="20"/>
        </w:rPr>
        <w:t> </w:t>
      </w:r>
      <w:r>
        <w:rPr>
          <w:sz w:val="20"/>
        </w:rPr>
        <w:t>wider</w:t>
      </w:r>
      <w:r>
        <w:rPr>
          <w:spacing w:val="-5"/>
          <w:sz w:val="20"/>
        </w:rPr>
        <w:t> </w:t>
      </w:r>
      <w:r>
        <w:rPr>
          <w:sz w:val="20"/>
        </w:rPr>
        <w:t>scope</w:t>
      </w:r>
      <w:r>
        <w:rPr>
          <w:spacing w:val="-3"/>
          <w:sz w:val="20"/>
        </w:rPr>
        <w:t> </w:t>
      </w:r>
      <w:r>
        <w:rPr>
          <w:sz w:val="20"/>
        </w:rPr>
        <w:t>of</w:t>
      </w:r>
      <w:r>
        <w:rPr>
          <w:spacing w:val="-5"/>
          <w:sz w:val="20"/>
        </w:rPr>
        <w:t> </w:t>
      </w:r>
      <w:r>
        <w:rPr>
          <w:sz w:val="20"/>
        </w:rPr>
        <w:t>activities.</w:t>
      </w:r>
      <w:r>
        <w:rPr>
          <w:spacing w:val="-4"/>
          <w:sz w:val="20"/>
        </w:rPr>
        <w:t> </w:t>
      </w:r>
      <w:r>
        <w:rPr>
          <w:sz w:val="20"/>
        </w:rPr>
        <w:t>As</w:t>
      </w:r>
      <w:r>
        <w:rPr>
          <w:spacing w:val="-5"/>
          <w:sz w:val="20"/>
        </w:rPr>
        <w:t> </w:t>
      </w:r>
      <w:r>
        <w:rPr>
          <w:sz w:val="20"/>
        </w:rPr>
        <w:t>a</w:t>
      </w:r>
      <w:r>
        <w:rPr>
          <w:spacing w:val="-7"/>
          <w:sz w:val="20"/>
        </w:rPr>
        <w:t> </w:t>
      </w:r>
      <w:r>
        <w:rPr>
          <w:sz w:val="20"/>
        </w:rPr>
        <w:t>result,</w:t>
      </w:r>
      <w:r>
        <w:rPr>
          <w:spacing w:val="-6"/>
          <w:sz w:val="20"/>
        </w:rPr>
        <w:t> </w:t>
      </w:r>
      <w:r>
        <w:rPr>
          <w:sz w:val="20"/>
        </w:rPr>
        <w:t>two categories of activities to be included in the scope of the new taxing right created by Pillar One were identified: Automated Digital Services (ADS) and Consumer Facing Businesses (CFB). As discussed below, considerable technical work has been done on how these categories could be defined, but to date political agreement has not been reached on the use of these categories, and the</w:t>
      </w:r>
      <w:r>
        <w:rPr>
          <w:spacing w:val="-7"/>
          <w:sz w:val="20"/>
        </w:rPr>
        <w:t> </w:t>
      </w:r>
      <w:r>
        <w:rPr>
          <w:sz w:val="20"/>
        </w:rPr>
        <w:t>scope</w:t>
      </w:r>
      <w:r>
        <w:rPr>
          <w:spacing w:val="-4"/>
          <w:sz w:val="20"/>
        </w:rPr>
        <w:t> </w:t>
      </w:r>
      <w:r>
        <w:rPr>
          <w:sz w:val="20"/>
        </w:rPr>
        <w:t>issue</w:t>
      </w:r>
      <w:r>
        <w:rPr>
          <w:spacing w:val="-5"/>
          <w:sz w:val="20"/>
        </w:rPr>
        <w:t> </w:t>
      </w:r>
      <w:r>
        <w:rPr>
          <w:sz w:val="20"/>
        </w:rPr>
        <w:t>is</w:t>
      </w:r>
      <w:r>
        <w:rPr>
          <w:spacing w:val="-5"/>
          <w:sz w:val="20"/>
        </w:rPr>
        <w:t> </w:t>
      </w:r>
      <w:r>
        <w:rPr>
          <w:sz w:val="20"/>
        </w:rPr>
        <w:t>not yet</w:t>
      </w:r>
      <w:r>
        <w:rPr>
          <w:spacing w:val="-4"/>
          <w:sz w:val="20"/>
        </w:rPr>
        <w:t> </w:t>
      </w:r>
      <w:r>
        <w:rPr>
          <w:sz w:val="20"/>
        </w:rPr>
        <w:t>solved.</w:t>
      </w:r>
      <w:r>
        <w:rPr>
          <w:spacing w:val="-4"/>
          <w:sz w:val="20"/>
        </w:rPr>
        <w:t> </w:t>
      </w:r>
      <w:r>
        <w:rPr>
          <w:sz w:val="20"/>
        </w:rPr>
        <w:t>In</w:t>
      </w:r>
      <w:r>
        <w:rPr>
          <w:spacing w:val="-4"/>
          <w:sz w:val="20"/>
        </w:rPr>
        <w:t> </w:t>
      </w:r>
      <w:r>
        <w:rPr>
          <w:sz w:val="20"/>
        </w:rPr>
        <w:t>order</w:t>
      </w:r>
      <w:r>
        <w:rPr>
          <w:spacing w:val="-6"/>
          <w:sz w:val="20"/>
        </w:rPr>
        <w:t> </w:t>
      </w:r>
      <w:r>
        <w:rPr>
          <w:sz w:val="20"/>
        </w:rPr>
        <w:t>to</w:t>
      </w:r>
      <w:r>
        <w:rPr>
          <w:spacing w:val="-4"/>
          <w:sz w:val="20"/>
        </w:rPr>
        <w:t> </w:t>
      </w:r>
      <w:r>
        <w:rPr>
          <w:sz w:val="20"/>
        </w:rPr>
        <w:t>deliver</w:t>
      </w:r>
      <w:r>
        <w:rPr>
          <w:spacing w:val="-5"/>
          <w:sz w:val="20"/>
        </w:rPr>
        <w:t> </w:t>
      </w:r>
      <w:r>
        <w:rPr>
          <w:sz w:val="20"/>
        </w:rPr>
        <w:t>a</w:t>
      </w:r>
      <w:r>
        <w:rPr>
          <w:spacing w:val="-2"/>
          <w:sz w:val="20"/>
        </w:rPr>
        <w:t> </w:t>
      </w:r>
      <w:r>
        <w:rPr>
          <w:sz w:val="20"/>
        </w:rPr>
        <w:t>solution</w:t>
      </w:r>
      <w:r>
        <w:rPr>
          <w:spacing w:val="-5"/>
          <w:sz w:val="20"/>
        </w:rPr>
        <w:t> </w:t>
      </w:r>
      <w:r>
        <w:rPr>
          <w:sz w:val="20"/>
        </w:rPr>
        <w:t>in</w:t>
      </w:r>
      <w:r>
        <w:rPr>
          <w:spacing w:val="-6"/>
          <w:sz w:val="20"/>
        </w:rPr>
        <w:t> </w:t>
      </w:r>
      <w:r>
        <w:rPr>
          <w:sz w:val="20"/>
        </w:rPr>
        <w:t>2020</w:t>
      </w:r>
      <w:r>
        <w:rPr>
          <w:spacing w:val="-5"/>
          <w:sz w:val="20"/>
        </w:rPr>
        <w:t> </w:t>
      </w:r>
      <w:r>
        <w:rPr>
          <w:sz w:val="20"/>
        </w:rPr>
        <w:t>in</w:t>
      </w:r>
      <w:r>
        <w:rPr>
          <w:spacing w:val="-4"/>
          <w:sz w:val="20"/>
        </w:rPr>
        <w:t> </w:t>
      </w:r>
      <w:r>
        <w:rPr>
          <w:sz w:val="20"/>
        </w:rPr>
        <w:t>accordance</w:t>
      </w:r>
      <w:r>
        <w:rPr>
          <w:spacing w:val="-4"/>
          <w:sz w:val="20"/>
        </w:rPr>
        <w:t> </w:t>
      </w:r>
      <w:r>
        <w:rPr>
          <w:sz w:val="20"/>
        </w:rPr>
        <w:t>with</w:t>
      </w:r>
      <w:r>
        <w:rPr>
          <w:spacing w:val="-4"/>
          <w:sz w:val="20"/>
        </w:rPr>
        <w:t> </w:t>
      </w:r>
      <w:r>
        <w:rPr>
          <w:sz w:val="20"/>
        </w:rPr>
        <w:t>the</w:t>
      </w:r>
      <w:r>
        <w:rPr>
          <w:spacing w:val="-5"/>
          <w:sz w:val="20"/>
        </w:rPr>
        <w:t> </w:t>
      </w:r>
      <w:r>
        <w:rPr>
          <w:sz w:val="20"/>
        </w:rPr>
        <w:t>G20 mandate,</w:t>
      </w:r>
      <w:r>
        <w:rPr>
          <w:spacing w:val="-8"/>
          <w:sz w:val="20"/>
        </w:rPr>
        <w:t> </w:t>
      </w:r>
      <w:r>
        <w:rPr>
          <w:sz w:val="20"/>
        </w:rPr>
        <w:t>some</w:t>
      </w:r>
      <w:r>
        <w:rPr>
          <w:spacing w:val="-9"/>
          <w:sz w:val="20"/>
        </w:rPr>
        <w:t> </w:t>
      </w:r>
      <w:r>
        <w:rPr>
          <w:sz w:val="20"/>
        </w:rPr>
        <w:t>members</w:t>
      </w:r>
      <w:r>
        <w:rPr>
          <w:spacing w:val="-5"/>
          <w:sz w:val="20"/>
        </w:rPr>
        <w:t> </w:t>
      </w:r>
      <w:r>
        <w:rPr>
          <w:sz w:val="20"/>
        </w:rPr>
        <w:t>have</w:t>
      </w:r>
      <w:r>
        <w:rPr>
          <w:spacing w:val="-4"/>
          <w:sz w:val="20"/>
        </w:rPr>
        <w:t> </w:t>
      </w:r>
      <w:r>
        <w:rPr>
          <w:sz w:val="20"/>
        </w:rPr>
        <w:t>advocated</w:t>
      </w:r>
      <w:r>
        <w:rPr>
          <w:spacing w:val="-8"/>
          <w:sz w:val="20"/>
        </w:rPr>
        <w:t> </w:t>
      </w:r>
      <w:r>
        <w:rPr>
          <w:sz w:val="20"/>
        </w:rPr>
        <w:t>for</w:t>
      </w:r>
      <w:r>
        <w:rPr>
          <w:spacing w:val="-6"/>
          <w:sz w:val="20"/>
        </w:rPr>
        <w:t> </w:t>
      </w:r>
      <w:r>
        <w:rPr>
          <w:sz w:val="20"/>
        </w:rPr>
        <w:t>a</w:t>
      </w:r>
      <w:r>
        <w:rPr>
          <w:spacing w:val="-7"/>
          <w:sz w:val="20"/>
        </w:rPr>
        <w:t> </w:t>
      </w:r>
      <w:r>
        <w:rPr>
          <w:sz w:val="20"/>
        </w:rPr>
        <w:t>phased</w:t>
      </w:r>
      <w:r>
        <w:rPr>
          <w:spacing w:val="-6"/>
          <w:sz w:val="20"/>
        </w:rPr>
        <w:t> </w:t>
      </w:r>
      <w:r>
        <w:rPr>
          <w:sz w:val="20"/>
        </w:rPr>
        <w:t>implementation</w:t>
      </w:r>
      <w:r>
        <w:rPr>
          <w:spacing w:val="-5"/>
          <w:sz w:val="20"/>
        </w:rPr>
        <w:t> </w:t>
      </w:r>
      <w:r>
        <w:rPr>
          <w:sz w:val="20"/>
        </w:rPr>
        <w:t>with</w:t>
      </w:r>
      <w:r>
        <w:rPr>
          <w:spacing w:val="-7"/>
          <w:sz w:val="20"/>
        </w:rPr>
        <w:t> </w:t>
      </w:r>
      <w:r>
        <w:rPr>
          <w:sz w:val="20"/>
        </w:rPr>
        <w:t>ADS</w:t>
      </w:r>
      <w:r>
        <w:rPr>
          <w:spacing w:val="-7"/>
          <w:sz w:val="20"/>
        </w:rPr>
        <w:t> </w:t>
      </w:r>
      <w:r>
        <w:rPr>
          <w:sz w:val="20"/>
        </w:rPr>
        <w:t>coming</w:t>
      </w:r>
      <w:r>
        <w:rPr>
          <w:spacing w:val="-7"/>
          <w:sz w:val="20"/>
        </w:rPr>
        <w:t> </w:t>
      </w:r>
      <w:r>
        <w:rPr>
          <w:sz w:val="20"/>
        </w:rPr>
        <w:t>first</w:t>
      </w:r>
      <w:r>
        <w:rPr>
          <w:spacing w:val="-7"/>
          <w:sz w:val="20"/>
        </w:rPr>
        <w:t> </w:t>
      </w:r>
      <w:r>
        <w:rPr>
          <w:sz w:val="20"/>
        </w:rPr>
        <w:t>and CFB</w:t>
      </w:r>
      <w:r>
        <w:rPr>
          <w:spacing w:val="-7"/>
          <w:sz w:val="20"/>
        </w:rPr>
        <w:t> </w:t>
      </w:r>
      <w:r>
        <w:rPr>
          <w:sz w:val="20"/>
        </w:rPr>
        <w:t>following</w:t>
      </w:r>
      <w:r>
        <w:rPr>
          <w:spacing w:val="-5"/>
          <w:sz w:val="20"/>
        </w:rPr>
        <w:t> </w:t>
      </w:r>
      <w:r>
        <w:rPr>
          <w:sz w:val="20"/>
        </w:rPr>
        <w:t>later.</w:t>
      </w:r>
      <w:r>
        <w:rPr>
          <w:spacing w:val="-5"/>
          <w:sz w:val="20"/>
        </w:rPr>
        <w:t> </w:t>
      </w:r>
      <w:r>
        <w:rPr>
          <w:sz w:val="20"/>
        </w:rPr>
        <w:t>One</w:t>
      </w:r>
      <w:r>
        <w:rPr>
          <w:spacing w:val="-6"/>
          <w:sz w:val="20"/>
        </w:rPr>
        <w:t> </w:t>
      </w:r>
      <w:r>
        <w:rPr>
          <w:sz w:val="20"/>
        </w:rPr>
        <w:t>member</w:t>
      </w:r>
      <w:r>
        <w:rPr>
          <w:spacing w:val="-6"/>
          <w:sz w:val="20"/>
        </w:rPr>
        <w:t> </w:t>
      </w:r>
      <w:r>
        <w:rPr>
          <w:sz w:val="20"/>
        </w:rPr>
        <w:t>proposed</w:t>
      </w:r>
      <w:r>
        <w:rPr>
          <w:spacing w:val="1"/>
          <w:sz w:val="20"/>
        </w:rPr>
        <w:t> </w:t>
      </w:r>
      <w:r>
        <w:rPr>
          <w:sz w:val="20"/>
        </w:rPr>
        <w:t>implementing</w:t>
      </w:r>
      <w:r>
        <w:rPr>
          <w:spacing w:val="-5"/>
          <w:sz w:val="20"/>
        </w:rPr>
        <w:t> </w:t>
      </w:r>
      <w:r>
        <w:rPr>
          <w:sz w:val="20"/>
        </w:rPr>
        <w:t>the</w:t>
      </w:r>
      <w:r>
        <w:rPr>
          <w:spacing w:val="-4"/>
          <w:sz w:val="20"/>
        </w:rPr>
        <w:t> </w:t>
      </w:r>
      <w:r>
        <w:rPr>
          <w:sz w:val="20"/>
        </w:rPr>
        <w:t>new</w:t>
      </w:r>
      <w:r>
        <w:rPr>
          <w:spacing w:val="-8"/>
          <w:sz w:val="20"/>
        </w:rPr>
        <w:t> </w:t>
      </w:r>
      <w:r>
        <w:rPr>
          <w:sz w:val="20"/>
        </w:rPr>
        <w:t>taxing</w:t>
      </w:r>
      <w:r>
        <w:rPr>
          <w:spacing w:val="-6"/>
          <w:sz w:val="20"/>
        </w:rPr>
        <w:t> </w:t>
      </w:r>
      <w:r>
        <w:rPr>
          <w:sz w:val="20"/>
        </w:rPr>
        <w:t>right</w:t>
      </w:r>
      <w:r>
        <w:rPr>
          <w:spacing w:val="-4"/>
          <w:sz w:val="20"/>
        </w:rPr>
        <w:t> </w:t>
      </w:r>
      <w:r>
        <w:rPr>
          <w:sz w:val="20"/>
        </w:rPr>
        <w:t>on a</w:t>
      </w:r>
      <w:r>
        <w:rPr>
          <w:spacing w:val="-7"/>
          <w:sz w:val="20"/>
        </w:rPr>
        <w:t> </w:t>
      </w:r>
      <w:r>
        <w:rPr>
          <w:sz w:val="20"/>
        </w:rPr>
        <w:t>“safe</w:t>
      </w:r>
      <w:r>
        <w:rPr>
          <w:spacing w:val="-6"/>
          <w:sz w:val="20"/>
        </w:rPr>
        <w:t> </w:t>
      </w:r>
      <w:r>
        <w:rPr>
          <w:sz w:val="20"/>
        </w:rPr>
        <w:t>harbour” basis, which would enable an MNE group to elect on a global basis to be subject to Pillar One.</w:t>
      </w:r>
      <w:r>
        <w:rPr>
          <w:sz w:val="20"/>
          <w:vertAlign w:val="superscript"/>
        </w:rPr>
        <w:t>8</w:t>
      </w:r>
      <w:r>
        <w:rPr>
          <w:sz w:val="20"/>
          <w:vertAlign w:val="baseline"/>
        </w:rPr>
        <w:t> The scope of Amount A remains to be settled</w:t>
      </w:r>
      <w:r>
        <w:rPr>
          <w:spacing w:val="-11"/>
          <w:sz w:val="20"/>
          <w:vertAlign w:val="baseline"/>
        </w:rPr>
        <w:t> </w:t>
      </w:r>
      <w:r>
        <w:rPr>
          <w:sz w:val="20"/>
          <w:vertAlign w:val="baseline"/>
        </w:rPr>
        <w:t>upon.</w:t>
      </w:r>
    </w:p>
    <w:p>
      <w:pPr>
        <w:pStyle w:val="ListParagraph"/>
        <w:numPr>
          <w:ilvl w:val="1"/>
          <w:numId w:val="4"/>
        </w:numPr>
        <w:tabs>
          <w:tab w:pos="1403" w:val="left" w:leader="none"/>
        </w:tabs>
        <w:spacing w:line="271" w:lineRule="auto" w:before="45" w:after="0"/>
        <w:ind w:left="1402" w:right="481" w:hanging="339"/>
        <w:jc w:val="both"/>
        <w:rPr>
          <w:sz w:val="20"/>
        </w:rPr>
      </w:pPr>
      <w:r>
        <w:rPr>
          <w:b/>
          <w:sz w:val="20"/>
        </w:rPr>
        <w:t>Amount of profit to be reallocated (the “Quantum”)</w:t>
      </w:r>
      <w:r>
        <w:rPr>
          <w:sz w:val="20"/>
        </w:rPr>
        <w:t>: Agreement on how much residual profit would be reallocated under the new taxing right, which depends on the determination of different threshold amounts and percentages for the purpose of scope, nexus and profit allocation (the formula),</w:t>
      </w:r>
      <w:r>
        <w:rPr>
          <w:sz w:val="20"/>
          <w:vertAlign w:val="superscript"/>
        </w:rPr>
        <w:t>9</w:t>
      </w:r>
      <w:r>
        <w:rPr>
          <w:spacing w:val="9"/>
          <w:sz w:val="20"/>
          <w:vertAlign w:val="baseline"/>
        </w:rPr>
        <w:t> </w:t>
      </w:r>
      <w:r>
        <w:rPr>
          <w:sz w:val="20"/>
          <w:vertAlign w:val="baseline"/>
        </w:rPr>
        <w:t>is</w:t>
      </w:r>
      <w:r>
        <w:rPr>
          <w:spacing w:val="11"/>
          <w:sz w:val="20"/>
          <w:vertAlign w:val="baseline"/>
        </w:rPr>
        <w:t> </w:t>
      </w:r>
      <w:r>
        <w:rPr>
          <w:sz w:val="20"/>
          <w:vertAlign w:val="baseline"/>
        </w:rPr>
        <w:t>conditioned</w:t>
      </w:r>
      <w:r>
        <w:rPr>
          <w:spacing w:val="15"/>
          <w:sz w:val="20"/>
          <w:vertAlign w:val="baseline"/>
        </w:rPr>
        <w:t> </w:t>
      </w:r>
      <w:r>
        <w:rPr>
          <w:sz w:val="20"/>
          <w:vertAlign w:val="baseline"/>
        </w:rPr>
        <w:t>on</w:t>
      </w:r>
      <w:r>
        <w:rPr>
          <w:spacing w:val="13"/>
          <w:sz w:val="20"/>
          <w:vertAlign w:val="baseline"/>
        </w:rPr>
        <w:t> </w:t>
      </w:r>
      <w:r>
        <w:rPr>
          <w:sz w:val="20"/>
          <w:vertAlign w:val="baseline"/>
        </w:rPr>
        <w:t>agreement</w:t>
      </w:r>
      <w:r>
        <w:rPr>
          <w:spacing w:val="10"/>
          <w:sz w:val="20"/>
          <w:vertAlign w:val="baseline"/>
        </w:rPr>
        <w:t> </w:t>
      </w:r>
      <w:r>
        <w:rPr>
          <w:sz w:val="20"/>
          <w:vertAlign w:val="baseline"/>
        </w:rPr>
        <w:t>on</w:t>
      </w:r>
      <w:r>
        <w:rPr>
          <w:spacing w:val="12"/>
          <w:sz w:val="20"/>
          <w:vertAlign w:val="baseline"/>
        </w:rPr>
        <w:t> </w:t>
      </w:r>
      <w:r>
        <w:rPr>
          <w:sz w:val="20"/>
          <w:vertAlign w:val="baseline"/>
        </w:rPr>
        <w:t>scope.</w:t>
      </w:r>
      <w:r>
        <w:rPr>
          <w:spacing w:val="10"/>
          <w:sz w:val="20"/>
          <w:vertAlign w:val="baseline"/>
        </w:rPr>
        <w:t> </w:t>
      </w:r>
      <w:r>
        <w:rPr>
          <w:sz w:val="20"/>
          <w:vertAlign w:val="baseline"/>
        </w:rPr>
        <w:t>However,</w:t>
      </w:r>
      <w:r>
        <w:rPr>
          <w:spacing w:val="12"/>
          <w:sz w:val="20"/>
          <w:vertAlign w:val="baseline"/>
        </w:rPr>
        <w:t> </w:t>
      </w:r>
      <w:r>
        <w:rPr>
          <w:sz w:val="20"/>
          <w:vertAlign w:val="baseline"/>
        </w:rPr>
        <w:t>much</w:t>
      </w:r>
      <w:r>
        <w:rPr>
          <w:spacing w:val="12"/>
          <w:sz w:val="20"/>
          <w:vertAlign w:val="baseline"/>
        </w:rPr>
        <w:t> </w:t>
      </w:r>
      <w:r>
        <w:rPr>
          <w:sz w:val="20"/>
          <w:vertAlign w:val="baseline"/>
        </w:rPr>
        <w:t>work</w:t>
      </w:r>
      <w:r>
        <w:rPr>
          <w:spacing w:val="14"/>
          <w:sz w:val="20"/>
          <w:vertAlign w:val="baseline"/>
        </w:rPr>
        <w:t> </w:t>
      </w:r>
      <w:r>
        <w:rPr>
          <w:sz w:val="20"/>
          <w:vertAlign w:val="baseline"/>
        </w:rPr>
        <w:t>has</w:t>
      </w:r>
      <w:r>
        <w:rPr>
          <w:spacing w:val="11"/>
          <w:sz w:val="20"/>
          <w:vertAlign w:val="baseline"/>
        </w:rPr>
        <w:t> </w:t>
      </w:r>
      <w:r>
        <w:rPr>
          <w:sz w:val="20"/>
          <w:vertAlign w:val="baseline"/>
        </w:rPr>
        <w:t>been</w:t>
      </w:r>
      <w:r>
        <w:rPr>
          <w:spacing w:val="12"/>
          <w:sz w:val="20"/>
          <w:vertAlign w:val="baseline"/>
        </w:rPr>
        <w:t> </w:t>
      </w:r>
      <w:r>
        <w:rPr>
          <w:sz w:val="20"/>
          <w:vertAlign w:val="baseline"/>
        </w:rPr>
        <w:t>completed</w:t>
      </w:r>
      <w:r>
        <w:rPr>
          <w:spacing w:val="12"/>
          <w:sz w:val="20"/>
          <w:vertAlign w:val="baseline"/>
        </w:rPr>
        <w:t> </w:t>
      </w:r>
      <w:r>
        <w:rPr>
          <w:sz w:val="20"/>
          <w:vertAlign w:val="baseline"/>
        </w:rPr>
        <w:t>on</w:t>
      </w:r>
    </w:p>
    <w:p>
      <w:pPr>
        <w:pStyle w:val="BodyText"/>
        <w:spacing w:before="9"/>
      </w:pPr>
      <w:r>
        <w:rPr/>
        <w:pict>
          <v:rect style="position:absolute;margin-left:65.183998pt;margin-top:13.904358pt;width:144.020004pt;height:.599980pt;mso-position-horizontal-relative:page;mso-position-vertical-relative:paragraph;z-index:-1572096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5"/>
        </w:numPr>
        <w:tabs>
          <w:tab w:pos="859" w:val="left" w:leader="none"/>
        </w:tabs>
        <w:spacing w:line="278" w:lineRule="auto" w:before="94" w:after="0"/>
        <w:ind w:left="723" w:right="488" w:firstLine="0"/>
        <w:jc w:val="both"/>
        <w:rPr>
          <w:sz w:val="18"/>
        </w:rPr>
      </w:pPr>
      <w:r>
        <w:rPr>
          <w:sz w:val="18"/>
        </w:rPr>
        <w:t>On 3 December 2019, the US Treasury Secretary, Steven Mnuchin sent OECD Secretary General Ángel Gurría a letter,</w:t>
      </w:r>
      <w:r>
        <w:rPr>
          <w:spacing w:val="-6"/>
          <w:sz w:val="18"/>
        </w:rPr>
        <w:t> </w:t>
      </w:r>
      <w:r>
        <w:rPr>
          <w:sz w:val="18"/>
        </w:rPr>
        <w:t>which,</w:t>
      </w:r>
      <w:r>
        <w:rPr>
          <w:spacing w:val="-4"/>
          <w:sz w:val="18"/>
        </w:rPr>
        <w:t> </w:t>
      </w:r>
      <w:r>
        <w:rPr>
          <w:sz w:val="18"/>
        </w:rPr>
        <w:t>while</w:t>
      </w:r>
      <w:r>
        <w:rPr>
          <w:spacing w:val="-6"/>
          <w:sz w:val="18"/>
        </w:rPr>
        <w:t> </w:t>
      </w:r>
      <w:r>
        <w:rPr>
          <w:sz w:val="18"/>
        </w:rPr>
        <w:t>reiterating</w:t>
      </w:r>
      <w:r>
        <w:rPr>
          <w:spacing w:val="-4"/>
          <w:sz w:val="18"/>
        </w:rPr>
        <w:t> </w:t>
      </w:r>
      <w:r>
        <w:rPr>
          <w:sz w:val="18"/>
        </w:rPr>
        <w:t>the</w:t>
      </w:r>
      <w:r>
        <w:rPr>
          <w:spacing w:val="-5"/>
          <w:sz w:val="18"/>
        </w:rPr>
        <w:t> </w:t>
      </w:r>
      <w:r>
        <w:rPr>
          <w:sz w:val="18"/>
        </w:rPr>
        <w:t>US</w:t>
      </w:r>
      <w:r>
        <w:rPr>
          <w:spacing w:val="-5"/>
          <w:sz w:val="18"/>
        </w:rPr>
        <w:t> </w:t>
      </w:r>
      <w:r>
        <w:rPr>
          <w:sz w:val="18"/>
        </w:rPr>
        <w:t>support</w:t>
      </w:r>
      <w:r>
        <w:rPr>
          <w:spacing w:val="-4"/>
          <w:sz w:val="18"/>
        </w:rPr>
        <w:t> </w:t>
      </w:r>
      <w:r>
        <w:rPr>
          <w:sz w:val="18"/>
        </w:rPr>
        <w:t>for</w:t>
      </w:r>
      <w:r>
        <w:rPr>
          <w:spacing w:val="-7"/>
          <w:sz w:val="18"/>
        </w:rPr>
        <w:t> </w:t>
      </w:r>
      <w:r>
        <w:rPr>
          <w:sz w:val="18"/>
        </w:rPr>
        <w:t>a</w:t>
      </w:r>
      <w:r>
        <w:rPr>
          <w:spacing w:val="-5"/>
          <w:sz w:val="18"/>
        </w:rPr>
        <w:t> </w:t>
      </w:r>
      <w:r>
        <w:rPr>
          <w:sz w:val="18"/>
        </w:rPr>
        <w:t>multilateral</w:t>
      </w:r>
      <w:r>
        <w:rPr>
          <w:spacing w:val="-5"/>
          <w:sz w:val="18"/>
        </w:rPr>
        <w:t> </w:t>
      </w:r>
      <w:r>
        <w:rPr>
          <w:sz w:val="18"/>
        </w:rPr>
        <w:t>solution,</w:t>
      </w:r>
      <w:r>
        <w:rPr>
          <w:spacing w:val="-6"/>
          <w:sz w:val="18"/>
        </w:rPr>
        <w:t> </w:t>
      </w:r>
      <w:r>
        <w:rPr>
          <w:sz w:val="18"/>
        </w:rPr>
        <w:t>proposed</w:t>
      </w:r>
      <w:r>
        <w:rPr>
          <w:spacing w:val="-4"/>
          <w:sz w:val="18"/>
        </w:rPr>
        <w:t> </w:t>
      </w:r>
      <w:r>
        <w:rPr>
          <w:sz w:val="18"/>
        </w:rPr>
        <w:t>that</w:t>
      </w:r>
      <w:r>
        <w:rPr>
          <w:spacing w:val="-5"/>
          <w:sz w:val="18"/>
        </w:rPr>
        <w:t> </w:t>
      </w:r>
      <w:r>
        <w:rPr>
          <w:sz w:val="18"/>
        </w:rPr>
        <w:t>Pillar</w:t>
      </w:r>
      <w:r>
        <w:rPr>
          <w:spacing w:val="-8"/>
          <w:sz w:val="18"/>
        </w:rPr>
        <w:t> </w:t>
      </w:r>
      <w:r>
        <w:rPr>
          <w:sz w:val="18"/>
        </w:rPr>
        <w:t>One</w:t>
      </w:r>
      <w:r>
        <w:rPr>
          <w:spacing w:val="-4"/>
          <w:sz w:val="18"/>
        </w:rPr>
        <w:t> </w:t>
      </w:r>
      <w:r>
        <w:rPr>
          <w:sz w:val="18"/>
        </w:rPr>
        <w:t>be</w:t>
      </w:r>
      <w:r>
        <w:rPr>
          <w:spacing w:val="-6"/>
          <w:sz w:val="18"/>
        </w:rPr>
        <w:t> </w:t>
      </w:r>
      <w:r>
        <w:rPr>
          <w:sz w:val="18"/>
        </w:rPr>
        <w:t>implemented</w:t>
      </w:r>
      <w:r>
        <w:rPr>
          <w:spacing w:val="-4"/>
          <w:sz w:val="18"/>
        </w:rPr>
        <w:t> </w:t>
      </w:r>
      <w:r>
        <w:rPr>
          <w:sz w:val="18"/>
        </w:rPr>
        <w:t>on</w:t>
      </w:r>
      <w:r>
        <w:rPr>
          <w:spacing w:val="-6"/>
          <w:sz w:val="18"/>
        </w:rPr>
        <w:t> </w:t>
      </w:r>
      <w:r>
        <w:rPr>
          <w:sz w:val="18"/>
        </w:rPr>
        <w:t>a ‘safe harbour’</w:t>
      </w:r>
      <w:r>
        <w:rPr>
          <w:spacing w:val="-1"/>
          <w:sz w:val="18"/>
        </w:rPr>
        <w:t> </w:t>
      </w:r>
      <w:r>
        <w:rPr>
          <w:sz w:val="18"/>
        </w:rPr>
        <w:t>basis.</w:t>
      </w:r>
    </w:p>
    <w:p>
      <w:pPr>
        <w:pStyle w:val="ListParagraph"/>
        <w:numPr>
          <w:ilvl w:val="0"/>
          <w:numId w:val="5"/>
        </w:numPr>
        <w:tabs>
          <w:tab w:pos="851" w:val="left" w:leader="none"/>
        </w:tabs>
        <w:spacing w:line="278" w:lineRule="auto" w:before="77" w:after="0"/>
        <w:ind w:left="723" w:right="482" w:firstLine="0"/>
        <w:jc w:val="both"/>
        <w:rPr>
          <w:sz w:val="18"/>
        </w:rPr>
      </w:pPr>
      <w:r>
        <w:rPr>
          <w:sz w:val="18"/>
        </w:rPr>
        <w:t>It</w:t>
      </w:r>
      <w:r>
        <w:rPr>
          <w:spacing w:val="-4"/>
          <w:sz w:val="18"/>
        </w:rPr>
        <w:t> </w:t>
      </w:r>
      <w:r>
        <w:rPr>
          <w:sz w:val="18"/>
        </w:rPr>
        <w:t>should</w:t>
      </w:r>
      <w:r>
        <w:rPr>
          <w:spacing w:val="-3"/>
          <w:sz w:val="18"/>
        </w:rPr>
        <w:t> </w:t>
      </w:r>
      <w:r>
        <w:rPr>
          <w:sz w:val="18"/>
        </w:rPr>
        <w:t>be</w:t>
      </w:r>
      <w:r>
        <w:rPr>
          <w:spacing w:val="-4"/>
          <w:sz w:val="18"/>
        </w:rPr>
        <w:t> </w:t>
      </w:r>
      <w:r>
        <w:rPr>
          <w:sz w:val="18"/>
        </w:rPr>
        <w:t>noted</w:t>
      </w:r>
      <w:r>
        <w:rPr>
          <w:spacing w:val="-3"/>
          <w:sz w:val="18"/>
        </w:rPr>
        <w:t> </w:t>
      </w:r>
      <w:r>
        <w:rPr>
          <w:sz w:val="18"/>
        </w:rPr>
        <w:t>that</w:t>
      </w:r>
      <w:r>
        <w:rPr>
          <w:spacing w:val="-3"/>
          <w:sz w:val="18"/>
        </w:rPr>
        <w:t> </w:t>
      </w:r>
      <w:r>
        <w:rPr>
          <w:sz w:val="18"/>
        </w:rPr>
        <w:t>other</w:t>
      </w:r>
      <w:r>
        <w:rPr>
          <w:spacing w:val="-5"/>
          <w:sz w:val="18"/>
        </w:rPr>
        <w:t> </w:t>
      </w:r>
      <w:r>
        <w:rPr>
          <w:sz w:val="18"/>
        </w:rPr>
        <w:t>features</w:t>
      </w:r>
      <w:r>
        <w:rPr>
          <w:spacing w:val="-2"/>
          <w:sz w:val="18"/>
        </w:rPr>
        <w:t> </w:t>
      </w:r>
      <w:r>
        <w:rPr>
          <w:sz w:val="18"/>
        </w:rPr>
        <w:t>of</w:t>
      </w:r>
      <w:r>
        <w:rPr>
          <w:spacing w:val="-3"/>
          <w:sz w:val="18"/>
        </w:rPr>
        <w:t> </w:t>
      </w:r>
      <w:r>
        <w:rPr>
          <w:sz w:val="18"/>
        </w:rPr>
        <w:t>Pillar</w:t>
      </w:r>
      <w:r>
        <w:rPr>
          <w:spacing w:val="-2"/>
          <w:sz w:val="18"/>
        </w:rPr>
        <w:t> </w:t>
      </w:r>
      <w:r>
        <w:rPr>
          <w:sz w:val="18"/>
        </w:rPr>
        <w:t>One</w:t>
      </w:r>
      <w:r>
        <w:rPr>
          <w:spacing w:val="-1"/>
          <w:sz w:val="18"/>
        </w:rPr>
        <w:t> </w:t>
      </w:r>
      <w:r>
        <w:rPr>
          <w:sz w:val="18"/>
        </w:rPr>
        <w:t>will</w:t>
      </w:r>
      <w:r>
        <w:rPr>
          <w:spacing w:val="-4"/>
          <w:sz w:val="18"/>
        </w:rPr>
        <w:t> </w:t>
      </w:r>
      <w:r>
        <w:rPr>
          <w:sz w:val="18"/>
        </w:rPr>
        <w:t>have</w:t>
      </w:r>
      <w:r>
        <w:rPr>
          <w:spacing w:val="-5"/>
          <w:sz w:val="18"/>
        </w:rPr>
        <w:t> </w:t>
      </w:r>
      <w:r>
        <w:rPr>
          <w:sz w:val="18"/>
        </w:rPr>
        <w:t>an</w:t>
      </w:r>
      <w:r>
        <w:rPr>
          <w:spacing w:val="-3"/>
          <w:sz w:val="18"/>
        </w:rPr>
        <w:t> </w:t>
      </w:r>
      <w:r>
        <w:rPr>
          <w:sz w:val="18"/>
        </w:rPr>
        <w:t>impact</w:t>
      </w:r>
      <w:r>
        <w:rPr>
          <w:spacing w:val="-4"/>
          <w:sz w:val="18"/>
        </w:rPr>
        <w:t> </w:t>
      </w:r>
      <w:r>
        <w:rPr>
          <w:sz w:val="18"/>
        </w:rPr>
        <w:t>on</w:t>
      </w:r>
      <w:r>
        <w:rPr>
          <w:spacing w:val="-1"/>
          <w:sz w:val="18"/>
        </w:rPr>
        <w:t> </w:t>
      </w:r>
      <w:r>
        <w:rPr>
          <w:sz w:val="18"/>
        </w:rPr>
        <w:t>quantum,</w:t>
      </w:r>
      <w:r>
        <w:rPr>
          <w:spacing w:val="-5"/>
          <w:sz w:val="18"/>
        </w:rPr>
        <w:t> </w:t>
      </w:r>
      <w:r>
        <w:rPr>
          <w:sz w:val="18"/>
        </w:rPr>
        <w:t>such</w:t>
      </w:r>
      <w:r>
        <w:rPr>
          <w:spacing w:val="-4"/>
          <w:sz w:val="18"/>
        </w:rPr>
        <w:t> </w:t>
      </w:r>
      <w:r>
        <w:rPr>
          <w:sz w:val="18"/>
        </w:rPr>
        <w:t>as the</w:t>
      </w:r>
      <w:r>
        <w:rPr>
          <w:spacing w:val="-3"/>
          <w:sz w:val="18"/>
        </w:rPr>
        <w:t> </w:t>
      </w:r>
      <w:r>
        <w:rPr>
          <w:sz w:val="18"/>
        </w:rPr>
        <w:t>question</w:t>
      </w:r>
      <w:r>
        <w:rPr>
          <w:spacing w:val="-4"/>
          <w:sz w:val="18"/>
        </w:rPr>
        <w:t> </w:t>
      </w:r>
      <w:r>
        <w:rPr>
          <w:sz w:val="18"/>
        </w:rPr>
        <w:t>of</w:t>
      </w:r>
      <w:r>
        <w:rPr>
          <w:spacing w:val="-3"/>
          <w:sz w:val="18"/>
        </w:rPr>
        <w:t> </w:t>
      </w:r>
      <w:r>
        <w:rPr>
          <w:sz w:val="18"/>
        </w:rPr>
        <w:t>whether the</w:t>
      </w:r>
      <w:r>
        <w:rPr>
          <w:spacing w:val="-5"/>
          <w:sz w:val="18"/>
        </w:rPr>
        <w:t> </w:t>
      </w:r>
      <w:r>
        <w:rPr>
          <w:sz w:val="18"/>
        </w:rPr>
        <w:t>Amount</w:t>
      </w:r>
      <w:r>
        <w:rPr>
          <w:spacing w:val="-4"/>
          <w:sz w:val="18"/>
        </w:rPr>
        <w:t> </w:t>
      </w:r>
      <w:r>
        <w:rPr>
          <w:sz w:val="18"/>
        </w:rPr>
        <w:t>A</w:t>
      </w:r>
      <w:r>
        <w:rPr>
          <w:spacing w:val="-4"/>
          <w:sz w:val="18"/>
        </w:rPr>
        <w:t> </w:t>
      </w:r>
      <w:r>
        <w:rPr>
          <w:sz w:val="18"/>
        </w:rPr>
        <w:t>loss</w:t>
      </w:r>
      <w:r>
        <w:rPr>
          <w:spacing w:val="-3"/>
          <w:sz w:val="18"/>
        </w:rPr>
        <w:t> </w:t>
      </w:r>
      <w:r>
        <w:rPr>
          <w:sz w:val="18"/>
        </w:rPr>
        <w:t>carry-forward</w:t>
      </w:r>
      <w:r>
        <w:rPr>
          <w:spacing w:val="-5"/>
          <w:sz w:val="18"/>
        </w:rPr>
        <w:t> </w:t>
      </w:r>
      <w:r>
        <w:rPr>
          <w:sz w:val="18"/>
        </w:rPr>
        <w:t>regime</w:t>
      </w:r>
      <w:r>
        <w:rPr>
          <w:spacing w:val="-6"/>
          <w:sz w:val="18"/>
        </w:rPr>
        <w:t> </w:t>
      </w:r>
      <w:r>
        <w:rPr>
          <w:sz w:val="18"/>
        </w:rPr>
        <w:t>is</w:t>
      </w:r>
      <w:r>
        <w:rPr>
          <w:spacing w:val="-4"/>
          <w:sz w:val="18"/>
        </w:rPr>
        <w:t> </w:t>
      </w:r>
      <w:r>
        <w:rPr>
          <w:sz w:val="18"/>
        </w:rPr>
        <w:t>extended</w:t>
      </w:r>
      <w:r>
        <w:rPr>
          <w:spacing w:val="-6"/>
          <w:sz w:val="18"/>
        </w:rPr>
        <w:t> </w:t>
      </w:r>
      <w:r>
        <w:rPr>
          <w:sz w:val="18"/>
        </w:rPr>
        <w:t>to</w:t>
      </w:r>
      <w:r>
        <w:rPr>
          <w:spacing w:val="-2"/>
          <w:sz w:val="18"/>
        </w:rPr>
        <w:t> </w:t>
      </w:r>
      <w:r>
        <w:rPr>
          <w:sz w:val="18"/>
        </w:rPr>
        <w:t>“profit</w:t>
      </w:r>
      <w:r>
        <w:rPr>
          <w:spacing w:val="-6"/>
          <w:sz w:val="18"/>
        </w:rPr>
        <w:t> </w:t>
      </w:r>
      <w:r>
        <w:rPr>
          <w:sz w:val="18"/>
        </w:rPr>
        <w:t>shortfalls”,</w:t>
      </w:r>
      <w:r>
        <w:rPr>
          <w:spacing w:val="-6"/>
          <w:sz w:val="18"/>
        </w:rPr>
        <w:t> </w:t>
      </w:r>
      <w:r>
        <w:rPr>
          <w:sz w:val="18"/>
        </w:rPr>
        <w:t>the</w:t>
      </w:r>
      <w:r>
        <w:rPr>
          <w:spacing w:val="-7"/>
          <w:sz w:val="18"/>
        </w:rPr>
        <w:t> </w:t>
      </w:r>
      <w:r>
        <w:rPr>
          <w:sz w:val="18"/>
        </w:rPr>
        <w:t>treatment</w:t>
      </w:r>
      <w:r>
        <w:rPr>
          <w:spacing w:val="-4"/>
          <w:sz w:val="18"/>
        </w:rPr>
        <w:t> </w:t>
      </w:r>
      <w:r>
        <w:rPr>
          <w:sz w:val="18"/>
        </w:rPr>
        <w:t>of</w:t>
      </w:r>
      <w:r>
        <w:rPr>
          <w:spacing w:val="-4"/>
          <w:sz w:val="18"/>
        </w:rPr>
        <w:t> </w:t>
      </w:r>
      <w:r>
        <w:rPr>
          <w:sz w:val="18"/>
        </w:rPr>
        <w:t>pre-regime</w:t>
      </w:r>
      <w:r>
        <w:rPr>
          <w:spacing w:val="-6"/>
          <w:sz w:val="18"/>
        </w:rPr>
        <w:t> </w:t>
      </w:r>
      <w:r>
        <w:rPr>
          <w:sz w:val="18"/>
        </w:rPr>
        <w:t>losses,</w:t>
      </w:r>
      <w:r>
        <w:rPr>
          <w:spacing w:val="-4"/>
          <w:sz w:val="18"/>
        </w:rPr>
        <w:t> </w:t>
      </w:r>
      <w:r>
        <w:rPr>
          <w:sz w:val="18"/>
        </w:rPr>
        <w:t>the</w:t>
      </w:r>
      <w:r>
        <w:rPr>
          <w:spacing w:val="-6"/>
          <w:sz w:val="18"/>
        </w:rPr>
        <w:t> </w:t>
      </w:r>
      <w:r>
        <w:rPr>
          <w:sz w:val="18"/>
        </w:rPr>
        <w:t>issue</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0"/>
        <w:jc w:val="both"/>
      </w:pPr>
      <w:r>
        <w:rPr/>
        <w:t>the impact of different threshholds and percentages of profit to be allocated so that a political decision could be taken quickly as part of an overall political agreement. Also, some Inclusive Framework members are of the view that, beyond residual profit, a portion of routine profit should also be allocated to market jurisdictions in the case of remote marketing and distribution activities facilitated by digitalisation. Other members proposed “differentiation mechanisms” in order to increase</w:t>
      </w:r>
      <w:r>
        <w:rPr>
          <w:spacing w:val="-5"/>
        </w:rPr>
        <w:t> </w:t>
      </w:r>
      <w:r>
        <w:rPr/>
        <w:t>the</w:t>
      </w:r>
      <w:r>
        <w:rPr>
          <w:spacing w:val="-6"/>
        </w:rPr>
        <w:t> </w:t>
      </w:r>
      <w:r>
        <w:rPr/>
        <w:t>quantum</w:t>
      </w:r>
      <w:r>
        <w:rPr>
          <w:spacing w:val="-3"/>
        </w:rPr>
        <w:t> </w:t>
      </w:r>
      <w:r>
        <w:rPr/>
        <w:t>of</w:t>
      </w:r>
      <w:r>
        <w:rPr>
          <w:spacing w:val="-6"/>
        </w:rPr>
        <w:t> </w:t>
      </w:r>
      <w:r>
        <w:rPr/>
        <w:t>profit</w:t>
      </w:r>
      <w:r>
        <w:rPr>
          <w:spacing w:val="-7"/>
        </w:rPr>
        <w:t> </w:t>
      </w:r>
      <w:r>
        <w:rPr/>
        <w:t>reallocated</w:t>
      </w:r>
      <w:r>
        <w:rPr>
          <w:spacing w:val="-6"/>
        </w:rPr>
        <w:t> </w:t>
      </w:r>
      <w:r>
        <w:rPr/>
        <w:t>to</w:t>
      </w:r>
      <w:r>
        <w:rPr>
          <w:spacing w:val="-6"/>
        </w:rPr>
        <w:t> </w:t>
      </w:r>
      <w:r>
        <w:rPr/>
        <w:t>market</w:t>
      </w:r>
      <w:r>
        <w:rPr>
          <w:spacing w:val="-8"/>
        </w:rPr>
        <w:t> </w:t>
      </w:r>
      <w:r>
        <w:rPr/>
        <w:t>jurisdictions</w:t>
      </w:r>
      <w:r>
        <w:rPr>
          <w:spacing w:val="-6"/>
        </w:rPr>
        <w:t> </w:t>
      </w:r>
      <w:r>
        <w:rPr/>
        <w:t>for</w:t>
      </w:r>
      <w:r>
        <w:rPr>
          <w:spacing w:val="-7"/>
        </w:rPr>
        <w:t> </w:t>
      </w:r>
      <w:r>
        <w:rPr/>
        <w:t>certain business</w:t>
      </w:r>
      <w:r>
        <w:rPr>
          <w:spacing w:val="-5"/>
        </w:rPr>
        <w:t> </w:t>
      </w:r>
      <w:r>
        <w:rPr/>
        <w:t>activities</w:t>
      </w:r>
      <w:r>
        <w:rPr>
          <w:spacing w:val="-4"/>
        </w:rPr>
        <w:t> </w:t>
      </w:r>
      <w:r>
        <w:rPr/>
        <w:t>(for example, ADS), or a scalable reallocation depending on the profitability of the business (profit escalator). These variations to the Amount A profit allocation rules proposed by some Inclusive Framework members have not been decided</w:t>
      </w:r>
      <w:r>
        <w:rPr>
          <w:spacing w:val="3"/>
        </w:rPr>
        <w:t> </w:t>
      </w:r>
      <w:r>
        <w:rPr/>
        <w:t>upon.</w:t>
      </w:r>
    </w:p>
    <w:p>
      <w:pPr>
        <w:pStyle w:val="ListParagraph"/>
        <w:numPr>
          <w:ilvl w:val="1"/>
          <w:numId w:val="5"/>
        </w:numPr>
        <w:tabs>
          <w:tab w:pos="1403" w:val="left" w:leader="none"/>
        </w:tabs>
        <w:spacing w:line="271" w:lineRule="auto" w:before="48" w:after="0"/>
        <w:ind w:left="1402" w:right="484" w:hanging="339"/>
        <w:jc w:val="both"/>
        <w:rPr>
          <w:sz w:val="20"/>
        </w:rPr>
      </w:pPr>
      <w:r>
        <w:rPr>
          <w:b/>
          <w:sz w:val="20"/>
        </w:rPr>
        <w:t>Extent of tax certainty</w:t>
      </w:r>
      <w:r>
        <w:rPr>
          <w:sz w:val="20"/>
        </w:rPr>
        <w:t>: While all members have agreed on the need for an innovative solution to deliver</w:t>
      </w:r>
      <w:r>
        <w:rPr>
          <w:spacing w:val="-9"/>
          <w:sz w:val="20"/>
        </w:rPr>
        <w:t> </w:t>
      </w:r>
      <w:r>
        <w:rPr>
          <w:sz w:val="20"/>
        </w:rPr>
        <w:t>early</w:t>
      </w:r>
      <w:r>
        <w:rPr>
          <w:spacing w:val="-11"/>
          <w:sz w:val="20"/>
        </w:rPr>
        <w:t> </w:t>
      </w:r>
      <w:r>
        <w:rPr>
          <w:sz w:val="20"/>
        </w:rPr>
        <w:t>certainty</w:t>
      </w:r>
      <w:r>
        <w:rPr>
          <w:spacing w:val="-11"/>
          <w:sz w:val="20"/>
        </w:rPr>
        <w:t> </w:t>
      </w:r>
      <w:r>
        <w:rPr>
          <w:sz w:val="20"/>
        </w:rPr>
        <w:t>and</w:t>
      </w:r>
      <w:r>
        <w:rPr>
          <w:spacing w:val="-6"/>
          <w:sz w:val="20"/>
        </w:rPr>
        <w:t> </w:t>
      </w:r>
      <w:r>
        <w:rPr>
          <w:sz w:val="20"/>
        </w:rPr>
        <w:t>effective</w:t>
      </w:r>
      <w:r>
        <w:rPr>
          <w:spacing w:val="-9"/>
          <w:sz w:val="20"/>
        </w:rPr>
        <w:t> </w:t>
      </w:r>
      <w:r>
        <w:rPr>
          <w:sz w:val="20"/>
        </w:rPr>
        <w:t>dispute</w:t>
      </w:r>
      <w:r>
        <w:rPr>
          <w:spacing w:val="-9"/>
          <w:sz w:val="20"/>
        </w:rPr>
        <w:t> </w:t>
      </w:r>
      <w:r>
        <w:rPr>
          <w:sz w:val="20"/>
        </w:rPr>
        <w:t>prevention</w:t>
      </w:r>
      <w:r>
        <w:rPr>
          <w:spacing w:val="-7"/>
          <w:sz w:val="20"/>
        </w:rPr>
        <w:t> </w:t>
      </w:r>
      <w:r>
        <w:rPr>
          <w:sz w:val="20"/>
        </w:rPr>
        <w:t>and</w:t>
      </w:r>
      <w:r>
        <w:rPr>
          <w:spacing w:val="-9"/>
          <w:sz w:val="20"/>
        </w:rPr>
        <w:t> </w:t>
      </w:r>
      <w:r>
        <w:rPr>
          <w:sz w:val="20"/>
        </w:rPr>
        <w:t>resolution</w:t>
      </w:r>
      <w:r>
        <w:rPr>
          <w:spacing w:val="-7"/>
          <w:sz w:val="20"/>
        </w:rPr>
        <w:t> </w:t>
      </w:r>
      <w:r>
        <w:rPr>
          <w:sz w:val="20"/>
        </w:rPr>
        <w:t>for</w:t>
      </w:r>
      <w:r>
        <w:rPr>
          <w:spacing w:val="-8"/>
          <w:sz w:val="20"/>
        </w:rPr>
        <w:t> </w:t>
      </w:r>
      <w:r>
        <w:rPr>
          <w:sz w:val="20"/>
        </w:rPr>
        <w:t>Amount</w:t>
      </w:r>
      <w:r>
        <w:rPr>
          <w:spacing w:val="-10"/>
          <w:sz w:val="20"/>
        </w:rPr>
        <w:t> </w:t>
      </w:r>
      <w:r>
        <w:rPr>
          <w:sz w:val="20"/>
        </w:rPr>
        <w:t>A,</w:t>
      </w:r>
      <w:r>
        <w:rPr>
          <w:spacing w:val="-10"/>
          <w:sz w:val="20"/>
        </w:rPr>
        <w:t> </w:t>
      </w:r>
      <w:r>
        <w:rPr>
          <w:sz w:val="20"/>
        </w:rPr>
        <w:t>there</w:t>
      </w:r>
      <w:r>
        <w:rPr>
          <w:spacing w:val="-9"/>
          <w:sz w:val="20"/>
        </w:rPr>
        <w:t> </w:t>
      </w:r>
      <w:r>
        <w:rPr>
          <w:sz w:val="20"/>
        </w:rPr>
        <w:t>continue to be differences of view on the scope of mandatory binding dispute resolution beyond Amount A. The</w:t>
      </w:r>
      <w:r>
        <w:rPr>
          <w:spacing w:val="-15"/>
          <w:sz w:val="20"/>
        </w:rPr>
        <w:t> </w:t>
      </w:r>
      <w:r>
        <w:rPr>
          <w:sz w:val="20"/>
        </w:rPr>
        <w:t>Blueprint</w:t>
      </w:r>
      <w:r>
        <w:rPr>
          <w:spacing w:val="-14"/>
          <w:sz w:val="20"/>
        </w:rPr>
        <w:t> </w:t>
      </w:r>
      <w:r>
        <w:rPr>
          <w:sz w:val="20"/>
        </w:rPr>
        <w:t>contains</w:t>
      </w:r>
      <w:r>
        <w:rPr>
          <w:spacing w:val="-13"/>
          <w:sz w:val="20"/>
        </w:rPr>
        <w:t> </w:t>
      </w:r>
      <w:r>
        <w:rPr>
          <w:sz w:val="20"/>
        </w:rPr>
        <w:t>proposals</w:t>
      </w:r>
      <w:r>
        <w:rPr>
          <w:spacing w:val="-12"/>
          <w:sz w:val="20"/>
        </w:rPr>
        <w:t> </w:t>
      </w:r>
      <w:r>
        <w:rPr>
          <w:sz w:val="20"/>
        </w:rPr>
        <w:t>to</w:t>
      </w:r>
      <w:r>
        <w:rPr>
          <w:spacing w:val="-13"/>
          <w:sz w:val="20"/>
        </w:rPr>
        <w:t> </w:t>
      </w:r>
      <w:r>
        <w:rPr>
          <w:sz w:val="20"/>
        </w:rPr>
        <w:t>bridge</w:t>
      </w:r>
      <w:r>
        <w:rPr>
          <w:spacing w:val="-14"/>
          <w:sz w:val="20"/>
        </w:rPr>
        <w:t> </w:t>
      </w:r>
      <w:r>
        <w:rPr>
          <w:sz w:val="20"/>
        </w:rPr>
        <w:t>these</w:t>
      </w:r>
      <w:r>
        <w:rPr>
          <w:spacing w:val="-12"/>
          <w:sz w:val="20"/>
        </w:rPr>
        <w:t> </w:t>
      </w:r>
      <w:r>
        <w:rPr>
          <w:sz w:val="20"/>
        </w:rPr>
        <w:t>divergent</w:t>
      </w:r>
      <w:r>
        <w:rPr>
          <w:spacing w:val="-11"/>
          <w:sz w:val="20"/>
        </w:rPr>
        <w:t> </w:t>
      </w:r>
      <w:r>
        <w:rPr>
          <w:sz w:val="20"/>
        </w:rPr>
        <w:t>views.</w:t>
      </w:r>
      <w:r>
        <w:rPr>
          <w:spacing w:val="-14"/>
          <w:sz w:val="20"/>
        </w:rPr>
        <w:t> </w:t>
      </w:r>
      <w:r>
        <w:rPr>
          <w:sz w:val="20"/>
        </w:rPr>
        <w:t>A</w:t>
      </w:r>
      <w:r>
        <w:rPr>
          <w:spacing w:val="-13"/>
          <w:sz w:val="20"/>
        </w:rPr>
        <w:t> </w:t>
      </w:r>
      <w:r>
        <w:rPr>
          <w:sz w:val="20"/>
        </w:rPr>
        <w:t>decision</w:t>
      </w:r>
      <w:r>
        <w:rPr>
          <w:spacing w:val="-12"/>
          <w:sz w:val="20"/>
        </w:rPr>
        <w:t> </w:t>
      </w:r>
      <w:r>
        <w:rPr>
          <w:sz w:val="20"/>
        </w:rPr>
        <w:t>on</w:t>
      </w:r>
      <w:r>
        <w:rPr>
          <w:spacing w:val="-12"/>
          <w:sz w:val="20"/>
        </w:rPr>
        <w:t> </w:t>
      </w:r>
      <w:r>
        <w:rPr>
          <w:sz w:val="20"/>
        </w:rPr>
        <w:t>this</w:t>
      </w:r>
      <w:r>
        <w:rPr>
          <w:spacing w:val="-12"/>
          <w:sz w:val="20"/>
        </w:rPr>
        <w:t> </w:t>
      </w:r>
      <w:r>
        <w:rPr>
          <w:sz w:val="20"/>
        </w:rPr>
        <w:t>issue</w:t>
      </w:r>
      <w:r>
        <w:rPr>
          <w:spacing w:val="-11"/>
          <w:sz w:val="20"/>
        </w:rPr>
        <w:t> </w:t>
      </w:r>
      <w:r>
        <w:rPr>
          <w:sz w:val="20"/>
        </w:rPr>
        <w:t>will</w:t>
      </w:r>
      <w:r>
        <w:rPr>
          <w:spacing w:val="-12"/>
          <w:sz w:val="20"/>
        </w:rPr>
        <w:t> </w:t>
      </w:r>
      <w:r>
        <w:rPr>
          <w:sz w:val="20"/>
        </w:rPr>
        <w:t>need to be part of a comprehensive agreement also covering the other two open political issues on quantum and</w:t>
      </w:r>
      <w:r>
        <w:rPr>
          <w:spacing w:val="1"/>
          <w:sz w:val="20"/>
        </w:rPr>
        <w:t> </w:t>
      </w:r>
      <w:r>
        <w:rPr>
          <w:sz w:val="20"/>
        </w:rPr>
        <w:t>scope.</w:t>
      </w:r>
    </w:p>
    <w:p>
      <w:pPr>
        <w:pStyle w:val="ListParagraph"/>
        <w:numPr>
          <w:ilvl w:val="1"/>
          <w:numId w:val="5"/>
        </w:numPr>
        <w:tabs>
          <w:tab w:pos="1403" w:val="left" w:leader="none"/>
        </w:tabs>
        <w:spacing w:line="271" w:lineRule="auto" w:before="44" w:after="0"/>
        <w:ind w:left="1402" w:right="485" w:hanging="339"/>
        <w:jc w:val="both"/>
        <w:rPr>
          <w:sz w:val="20"/>
        </w:rPr>
      </w:pPr>
      <w:r>
        <w:rPr>
          <w:b/>
          <w:sz w:val="20"/>
        </w:rPr>
        <w:t>Scope and application of Amount B</w:t>
      </w:r>
      <w:r>
        <w:rPr>
          <w:sz w:val="20"/>
        </w:rPr>
        <w:t>: While this Blueprint contains an outline of a solution that assumes that in-scope distributors are to be identified based on a narrow scope of baseline activities, there is interest by some members to explore the feasibility of broadening the scope of Amount B. Some Inclusive Framework members have expressed the need to further refine the design of Amount B such that the intended simplification benefits are achieved, and further consider that implementation through a pilot programme at first may allow for some evaluation of the</w:t>
      </w:r>
      <w:r>
        <w:rPr>
          <w:spacing w:val="-4"/>
          <w:sz w:val="20"/>
        </w:rPr>
        <w:t> </w:t>
      </w:r>
      <w:r>
        <w:rPr>
          <w:sz w:val="20"/>
        </w:rPr>
        <w:t>benefits</w:t>
      </w:r>
      <w:r>
        <w:rPr>
          <w:spacing w:val="-1"/>
          <w:sz w:val="20"/>
        </w:rPr>
        <w:t> </w:t>
      </w:r>
      <w:r>
        <w:rPr>
          <w:sz w:val="20"/>
        </w:rPr>
        <w:t>in</w:t>
      </w:r>
      <w:r>
        <w:rPr>
          <w:spacing w:val="-3"/>
          <w:sz w:val="20"/>
        </w:rPr>
        <w:t> </w:t>
      </w:r>
      <w:r>
        <w:rPr>
          <w:sz w:val="20"/>
        </w:rPr>
        <w:t>practice.</w:t>
      </w:r>
      <w:r>
        <w:rPr>
          <w:spacing w:val="-2"/>
          <w:sz w:val="20"/>
        </w:rPr>
        <w:t> </w:t>
      </w:r>
      <w:r>
        <w:rPr>
          <w:sz w:val="20"/>
        </w:rPr>
        <w:t>The</w:t>
      </w:r>
      <w:r>
        <w:rPr>
          <w:spacing w:val="-4"/>
          <w:sz w:val="20"/>
        </w:rPr>
        <w:t> </w:t>
      </w:r>
      <w:r>
        <w:rPr>
          <w:sz w:val="20"/>
        </w:rPr>
        <w:t>Inclusive</w:t>
      </w:r>
      <w:r>
        <w:rPr>
          <w:spacing w:val="-4"/>
          <w:sz w:val="20"/>
        </w:rPr>
        <w:t> </w:t>
      </w:r>
      <w:r>
        <w:rPr>
          <w:sz w:val="20"/>
        </w:rPr>
        <w:t>Framework</w:t>
      </w:r>
      <w:r>
        <w:rPr>
          <w:spacing w:val="1"/>
          <w:sz w:val="20"/>
        </w:rPr>
        <w:t> </w:t>
      </w:r>
      <w:r>
        <w:rPr>
          <w:sz w:val="20"/>
        </w:rPr>
        <w:t>will</w:t>
      </w:r>
      <w:r>
        <w:rPr>
          <w:spacing w:val="-5"/>
          <w:sz w:val="20"/>
        </w:rPr>
        <w:t> </w:t>
      </w:r>
      <w:r>
        <w:rPr>
          <w:sz w:val="20"/>
        </w:rPr>
        <w:t>therefore</w:t>
      </w:r>
      <w:r>
        <w:rPr>
          <w:spacing w:val="-3"/>
          <w:sz w:val="20"/>
        </w:rPr>
        <w:t> </w:t>
      </w:r>
      <w:r>
        <w:rPr>
          <w:sz w:val="20"/>
        </w:rPr>
        <w:t>need</w:t>
      </w:r>
      <w:r>
        <w:rPr>
          <w:spacing w:val="-5"/>
          <w:sz w:val="20"/>
        </w:rPr>
        <w:t> </w:t>
      </w:r>
      <w:r>
        <w:rPr>
          <w:sz w:val="20"/>
        </w:rPr>
        <w:t>to</w:t>
      </w:r>
      <w:r>
        <w:rPr>
          <w:spacing w:val="-3"/>
          <w:sz w:val="20"/>
        </w:rPr>
        <w:t> </w:t>
      </w:r>
      <w:r>
        <w:rPr>
          <w:sz w:val="20"/>
        </w:rPr>
        <w:t>decide</w:t>
      </w:r>
      <w:r>
        <w:rPr>
          <w:spacing w:val="-2"/>
          <w:sz w:val="20"/>
        </w:rPr>
        <w:t> </w:t>
      </w:r>
      <w:r>
        <w:rPr>
          <w:sz w:val="20"/>
        </w:rPr>
        <w:t>how</w:t>
      </w:r>
      <w:r>
        <w:rPr>
          <w:spacing w:val="-5"/>
          <w:sz w:val="20"/>
        </w:rPr>
        <w:t> </w:t>
      </w:r>
      <w:r>
        <w:rPr>
          <w:sz w:val="20"/>
        </w:rPr>
        <w:t>to</w:t>
      </w:r>
      <w:r>
        <w:rPr>
          <w:spacing w:val="-3"/>
          <w:sz w:val="20"/>
        </w:rPr>
        <w:t> </w:t>
      </w:r>
      <w:r>
        <w:rPr>
          <w:sz w:val="20"/>
        </w:rPr>
        <w:t>proceed.</w:t>
      </w:r>
    </w:p>
    <w:p>
      <w:pPr>
        <w:pStyle w:val="ListParagraph"/>
        <w:numPr>
          <w:ilvl w:val="0"/>
          <w:numId w:val="4"/>
        </w:numPr>
        <w:tabs>
          <w:tab w:pos="1444" w:val="left" w:leader="none"/>
        </w:tabs>
        <w:spacing w:line="240" w:lineRule="auto" w:before="124" w:after="0"/>
        <w:ind w:left="1443" w:right="0" w:hanging="721"/>
        <w:jc w:val="both"/>
        <w:rPr>
          <w:sz w:val="20"/>
        </w:rPr>
      </w:pPr>
      <w:r>
        <w:rPr>
          <w:sz w:val="20"/>
        </w:rPr>
        <w:t>Subject to these pending political issues, the Pillar One Blueprint is described</w:t>
      </w:r>
      <w:r>
        <w:rPr>
          <w:spacing w:val="-12"/>
          <w:sz w:val="20"/>
        </w:rPr>
        <w:t> </w:t>
      </w:r>
      <w:r>
        <w:rPr>
          <w:sz w:val="20"/>
        </w:rPr>
        <w:t>below.</w:t>
      </w:r>
    </w:p>
    <w:p>
      <w:pPr>
        <w:pStyle w:val="BodyText"/>
        <w:spacing w:before="11"/>
        <w:rPr>
          <w:sz w:val="25"/>
        </w:rPr>
      </w:pPr>
    </w:p>
    <w:p>
      <w:pPr>
        <w:pStyle w:val="Heading6"/>
        <w:numPr>
          <w:ilvl w:val="2"/>
          <w:numId w:val="3"/>
        </w:numPr>
        <w:tabs>
          <w:tab w:pos="2015" w:val="left" w:leader="none"/>
        </w:tabs>
        <w:spacing w:line="240" w:lineRule="auto" w:before="0" w:after="0"/>
        <w:ind w:left="2014" w:right="0" w:hanging="613"/>
        <w:jc w:val="left"/>
        <w:rPr>
          <w:i/>
        </w:rPr>
      </w:pPr>
      <w:bookmarkStart w:name="1.2.1. The new taxing right (Amount A)" w:id="14"/>
      <w:bookmarkEnd w:id="14"/>
      <w:r>
        <w:rPr>
          <w:b w:val="0"/>
          <w:i w:val="0"/>
        </w:rPr>
      </w:r>
      <w:bookmarkStart w:name="1.2.1. The new taxing right (Amount A)" w:id="15"/>
      <w:bookmarkEnd w:id="15"/>
      <w:r>
        <w:rPr>
          <w:i/>
        </w:rPr>
        <w:t>T</w:t>
      </w:r>
      <w:r>
        <w:rPr>
          <w:i/>
        </w:rPr>
        <w:t>he new taxing right (Amount</w:t>
      </w:r>
      <w:r>
        <w:rPr>
          <w:i/>
          <w:spacing w:val="-5"/>
        </w:rPr>
        <w:t> </w:t>
      </w:r>
      <w:r>
        <w:rPr>
          <w:i/>
        </w:rPr>
        <w:t>A)</w:t>
      </w:r>
    </w:p>
    <w:p>
      <w:pPr>
        <w:pStyle w:val="BodyText"/>
        <w:spacing w:before="1"/>
        <w:rPr>
          <w:b/>
          <w:i/>
          <w:sz w:val="19"/>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The new taxing right (Amount A) would be an overlay to the existing nexus and profit allocation rules. It would apply broadly and would not be limited to a small number of MNEs in a particular industry. However,</w:t>
      </w:r>
      <w:r>
        <w:rPr>
          <w:spacing w:val="-6"/>
          <w:sz w:val="20"/>
        </w:rPr>
        <w:t> </w:t>
      </w:r>
      <w:r>
        <w:rPr>
          <w:sz w:val="20"/>
        </w:rPr>
        <w:t>given</w:t>
      </w:r>
      <w:r>
        <w:rPr>
          <w:spacing w:val="-7"/>
          <w:sz w:val="20"/>
        </w:rPr>
        <w:t> </w:t>
      </w:r>
      <w:r>
        <w:rPr>
          <w:sz w:val="20"/>
        </w:rPr>
        <w:t>its</w:t>
      </w:r>
      <w:r>
        <w:rPr>
          <w:spacing w:val="-5"/>
          <w:sz w:val="20"/>
        </w:rPr>
        <w:t> </w:t>
      </w:r>
      <w:r>
        <w:rPr>
          <w:sz w:val="20"/>
        </w:rPr>
        <w:t>innovative</w:t>
      </w:r>
      <w:r>
        <w:rPr>
          <w:spacing w:val="-6"/>
          <w:sz w:val="20"/>
        </w:rPr>
        <w:t> </w:t>
      </w:r>
      <w:r>
        <w:rPr>
          <w:sz w:val="20"/>
        </w:rPr>
        <w:t>features,</w:t>
      </w:r>
      <w:r>
        <w:rPr>
          <w:spacing w:val="-6"/>
          <w:sz w:val="20"/>
        </w:rPr>
        <w:t> </w:t>
      </w:r>
      <w:r>
        <w:rPr>
          <w:sz w:val="20"/>
        </w:rPr>
        <w:t>Inclusive</w:t>
      </w:r>
      <w:r>
        <w:rPr>
          <w:spacing w:val="-7"/>
          <w:sz w:val="20"/>
        </w:rPr>
        <w:t> </w:t>
      </w:r>
      <w:r>
        <w:rPr>
          <w:sz w:val="20"/>
        </w:rPr>
        <w:t>Framework</w:t>
      </w:r>
      <w:r>
        <w:rPr>
          <w:spacing w:val="-3"/>
          <w:sz w:val="20"/>
        </w:rPr>
        <w:t> </w:t>
      </w:r>
      <w:r>
        <w:rPr>
          <w:sz w:val="20"/>
        </w:rPr>
        <w:t>members</w:t>
      </w:r>
      <w:r>
        <w:rPr>
          <w:spacing w:val="-4"/>
          <w:sz w:val="20"/>
        </w:rPr>
        <w:t> </w:t>
      </w:r>
      <w:r>
        <w:rPr>
          <w:sz w:val="20"/>
        </w:rPr>
        <w:t>are</w:t>
      </w:r>
      <w:r>
        <w:rPr>
          <w:spacing w:val="-9"/>
          <w:sz w:val="20"/>
        </w:rPr>
        <w:t> </w:t>
      </w:r>
      <w:r>
        <w:rPr>
          <w:sz w:val="20"/>
        </w:rPr>
        <w:t>mindful</w:t>
      </w:r>
      <w:r>
        <w:rPr>
          <w:spacing w:val="-7"/>
          <w:sz w:val="20"/>
        </w:rPr>
        <w:t> </w:t>
      </w:r>
      <w:r>
        <w:rPr>
          <w:sz w:val="20"/>
        </w:rPr>
        <w:t>of</w:t>
      </w:r>
      <w:r>
        <w:rPr>
          <w:spacing w:val="-5"/>
          <w:sz w:val="20"/>
        </w:rPr>
        <w:t> </w:t>
      </w:r>
      <w:r>
        <w:rPr>
          <w:sz w:val="20"/>
        </w:rPr>
        <w:t>the</w:t>
      </w:r>
      <w:r>
        <w:rPr>
          <w:spacing w:val="-8"/>
          <w:sz w:val="20"/>
        </w:rPr>
        <w:t> </w:t>
      </w:r>
      <w:r>
        <w:rPr>
          <w:sz w:val="20"/>
        </w:rPr>
        <w:t>need</w:t>
      </w:r>
      <w:r>
        <w:rPr>
          <w:spacing w:val="-7"/>
          <w:sz w:val="20"/>
        </w:rPr>
        <w:t> </w:t>
      </w:r>
      <w:r>
        <w:rPr>
          <w:sz w:val="20"/>
        </w:rPr>
        <w:t>to</w:t>
      </w:r>
      <w:r>
        <w:rPr>
          <w:spacing w:val="-7"/>
          <w:sz w:val="20"/>
        </w:rPr>
        <w:t> </w:t>
      </w:r>
      <w:r>
        <w:rPr>
          <w:sz w:val="20"/>
        </w:rPr>
        <w:t>keep</w:t>
      </w:r>
      <w:r>
        <w:rPr>
          <w:spacing w:val="-4"/>
          <w:sz w:val="20"/>
        </w:rPr>
        <w:t> </w:t>
      </w:r>
      <w:r>
        <w:rPr>
          <w:sz w:val="20"/>
        </w:rPr>
        <w:t>the number of MNEs affected at an administrable level and have agreed to consider thresholds and other features that help keep the approach targeted while minimising compliance costs and being mindful of capacity considerations for tax administrations. The key design features of the new taxing right would include:</w:t>
      </w:r>
    </w:p>
    <w:p>
      <w:pPr>
        <w:pStyle w:val="ListParagraph"/>
        <w:numPr>
          <w:ilvl w:val="1"/>
          <w:numId w:val="4"/>
        </w:numPr>
        <w:tabs>
          <w:tab w:pos="1403" w:val="left" w:leader="none"/>
        </w:tabs>
        <w:spacing w:line="271" w:lineRule="auto" w:before="100" w:after="0"/>
        <w:ind w:left="1402" w:right="481" w:hanging="339"/>
        <w:jc w:val="both"/>
        <w:rPr>
          <w:sz w:val="20"/>
        </w:rPr>
      </w:pPr>
      <w:r>
        <w:rPr>
          <w:sz w:val="20"/>
        </w:rPr>
        <w:t>A </w:t>
      </w:r>
      <w:r>
        <w:rPr>
          <w:b/>
          <w:sz w:val="20"/>
        </w:rPr>
        <w:t>revenue threshold </w:t>
      </w:r>
      <w:r>
        <w:rPr>
          <w:sz w:val="20"/>
        </w:rPr>
        <w:t>based on annual consolidated group revenue coupled with a </w:t>
      </w:r>
      <w:r>
        <w:rPr>
          <w:b/>
          <w:sz w:val="20"/>
        </w:rPr>
        <w:t>de minimis foreign</w:t>
      </w:r>
      <w:r>
        <w:rPr>
          <w:b/>
          <w:spacing w:val="-15"/>
          <w:sz w:val="20"/>
        </w:rPr>
        <w:t> </w:t>
      </w:r>
      <w:r>
        <w:rPr>
          <w:b/>
          <w:sz w:val="20"/>
        </w:rPr>
        <w:t>in-scope</w:t>
      </w:r>
      <w:r>
        <w:rPr>
          <w:b/>
          <w:spacing w:val="-16"/>
          <w:sz w:val="20"/>
        </w:rPr>
        <w:t> </w:t>
      </w:r>
      <w:r>
        <w:rPr>
          <w:b/>
          <w:sz w:val="20"/>
        </w:rPr>
        <w:t>revenue</w:t>
      </w:r>
      <w:r>
        <w:rPr>
          <w:b/>
          <w:spacing w:val="-11"/>
          <w:sz w:val="20"/>
        </w:rPr>
        <w:t> </w:t>
      </w:r>
      <w:r>
        <w:rPr>
          <w:sz w:val="20"/>
        </w:rPr>
        <w:t>carve-out.</w:t>
      </w:r>
      <w:r>
        <w:rPr>
          <w:spacing w:val="-17"/>
          <w:sz w:val="20"/>
        </w:rPr>
        <w:t> </w:t>
      </w:r>
      <w:r>
        <w:rPr>
          <w:sz w:val="20"/>
        </w:rPr>
        <w:t>These</w:t>
      </w:r>
      <w:r>
        <w:rPr>
          <w:spacing w:val="-15"/>
          <w:sz w:val="20"/>
        </w:rPr>
        <w:t> </w:t>
      </w:r>
      <w:r>
        <w:rPr>
          <w:sz w:val="20"/>
        </w:rPr>
        <w:t>thresholds</w:t>
      </w:r>
      <w:r>
        <w:rPr>
          <w:spacing w:val="-16"/>
          <w:sz w:val="20"/>
        </w:rPr>
        <w:t> </w:t>
      </w:r>
      <w:r>
        <w:rPr>
          <w:sz w:val="20"/>
        </w:rPr>
        <w:t>are</w:t>
      </w:r>
      <w:r>
        <w:rPr>
          <w:spacing w:val="-14"/>
          <w:sz w:val="20"/>
        </w:rPr>
        <w:t> </w:t>
      </w:r>
      <w:r>
        <w:rPr>
          <w:sz w:val="20"/>
        </w:rPr>
        <w:t>intended</w:t>
      </w:r>
      <w:r>
        <w:rPr>
          <w:spacing w:val="-15"/>
          <w:sz w:val="20"/>
        </w:rPr>
        <w:t> </w:t>
      </w:r>
      <w:r>
        <w:rPr>
          <w:sz w:val="20"/>
        </w:rPr>
        <w:t>to</w:t>
      </w:r>
      <w:r>
        <w:rPr>
          <w:spacing w:val="-15"/>
          <w:sz w:val="20"/>
        </w:rPr>
        <w:t> </w:t>
      </w:r>
      <w:r>
        <w:rPr>
          <w:sz w:val="20"/>
        </w:rPr>
        <w:t>minimise</w:t>
      </w:r>
      <w:r>
        <w:rPr>
          <w:spacing w:val="-17"/>
          <w:sz w:val="20"/>
        </w:rPr>
        <w:t> </w:t>
      </w:r>
      <w:r>
        <w:rPr>
          <w:sz w:val="20"/>
        </w:rPr>
        <w:t>compliance</w:t>
      </w:r>
      <w:r>
        <w:rPr>
          <w:spacing w:val="-15"/>
          <w:sz w:val="20"/>
        </w:rPr>
        <w:t> </w:t>
      </w:r>
      <w:r>
        <w:rPr>
          <w:sz w:val="20"/>
        </w:rPr>
        <w:t>costs and keep the administration of the new rules manageable for tax administrations. To avoid tax administrations being overwhelmed with the initial operation of the new taxing right, one option under consideration is to implement these thresholds on a phased approach. This could start with higher thresholds that could either be gradually reduced over a number of years or be applied for a longer period and then only start the reductions after a post-implementation review has been undertaken. A phased approach may help to make the new rules manageable for both tax administrations and businesses and will allow both to gain practical experience before expanding coverage</w:t>
      </w:r>
      <w:r>
        <w:rPr>
          <w:spacing w:val="7"/>
          <w:sz w:val="20"/>
        </w:rPr>
        <w:t> </w:t>
      </w:r>
      <w:r>
        <w:rPr>
          <w:sz w:val="20"/>
        </w:rPr>
        <w:t>to</w:t>
      </w:r>
      <w:r>
        <w:rPr>
          <w:spacing w:val="8"/>
          <w:sz w:val="20"/>
        </w:rPr>
        <w:t> </w:t>
      </w:r>
      <w:r>
        <w:rPr>
          <w:sz w:val="20"/>
        </w:rPr>
        <w:t>a</w:t>
      </w:r>
      <w:r>
        <w:rPr>
          <w:spacing w:val="8"/>
          <w:sz w:val="20"/>
        </w:rPr>
        <w:t> </w:t>
      </w:r>
      <w:r>
        <w:rPr>
          <w:sz w:val="20"/>
        </w:rPr>
        <w:t>wider</w:t>
      </w:r>
      <w:r>
        <w:rPr>
          <w:spacing w:val="6"/>
          <w:sz w:val="20"/>
        </w:rPr>
        <w:t> </w:t>
      </w:r>
      <w:r>
        <w:rPr>
          <w:sz w:val="20"/>
        </w:rPr>
        <w:t>set</w:t>
      </w:r>
      <w:r>
        <w:rPr>
          <w:spacing w:val="7"/>
          <w:sz w:val="20"/>
        </w:rPr>
        <w:t> </w:t>
      </w:r>
      <w:r>
        <w:rPr>
          <w:sz w:val="20"/>
        </w:rPr>
        <w:t>of</w:t>
      </w:r>
      <w:r>
        <w:rPr>
          <w:spacing w:val="9"/>
          <w:sz w:val="20"/>
        </w:rPr>
        <w:t> </w:t>
      </w:r>
      <w:r>
        <w:rPr>
          <w:sz w:val="20"/>
        </w:rPr>
        <w:t>MNEs.</w:t>
      </w:r>
      <w:r>
        <w:rPr>
          <w:spacing w:val="8"/>
          <w:sz w:val="20"/>
        </w:rPr>
        <w:t> </w:t>
      </w:r>
      <w:r>
        <w:rPr>
          <w:sz w:val="20"/>
        </w:rPr>
        <w:t>Other</w:t>
      </w:r>
      <w:r>
        <w:rPr>
          <w:spacing w:val="8"/>
          <w:sz w:val="20"/>
        </w:rPr>
        <w:t> </w:t>
      </w:r>
      <w:r>
        <w:rPr>
          <w:sz w:val="20"/>
        </w:rPr>
        <w:t>approaches</w:t>
      </w:r>
      <w:r>
        <w:rPr>
          <w:spacing w:val="11"/>
          <w:sz w:val="20"/>
        </w:rPr>
        <w:t> </w:t>
      </w:r>
      <w:r>
        <w:rPr>
          <w:sz w:val="20"/>
        </w:rPr>
        <w:t>that</w:t>
      </w:r>
      <w:r>
        <w:rPr>
          <w:spacing w:val="5"/>
          <w:sz w:val="20"/>
        </w:rPr>
        <w:t> </w:t>
      </w:r>
      <w:r>
        <w:rPr>
          <w:sz w:val="20"/>
        </w:rPr>
        <w:t>seek</w:t>
      </w:r>
      <w:r>
        <w:rPr>
          <w:spacing w:val="8"/>
          <w:sz w:val="20"/>
        </w:rPr>
        <w:t> </w:t>
      </w:r>
      <w:r>
        <w:rPr>
          <w:sz w:val="20"/>
        </w:rPr>
        <w:t>to</w:t>
      </w:r>
      <w:r>
        <w:rPr>
          <w:spacing w:val="5"/>
          <w:sz w:val="20"/>
        </w:rPr>
        <w:t> </w:t>
      </w:r>
      <w:r>
        <w:rPr>
          <w:sz w:val="20"/>
        </w:rPr>
        <w:t>achieve</w:t>
      </w:r>
      <w:r>
        <w:rPr>
          <w:spacing w:val="7"/>
          <w:sz w:val="20"/>
        </w:rPr>
        <w:t> </w:t>
      </w:r>
      <w:r>
        <w:rPr>
          <w:sz w:val="20"/>
        </w:rPr>
        <w:t>these</w:t>
      </w:r>
      <w:r>
        <w:rPr>
          <w:spacing w:val="8"/>
          <w:sz w:val="20"/>
        </w:rPr>
        <w:t> </w:t>
      </w:r>
      <w:r>
        <w:rPr>
          <w:sz w:val="20"/>
        </w:rPr>
        <w:t>objectives</w:t>
      </w:r>
      <w:r>
        <w:rPr>
          <w:spacing w:val="6"/>
          <w:sz w:val="20"/>
        </w:rPr>
        <w:t> </w:t>
      </w:r>
      <w:r>
        <w:rPr>
          <w:sz w:val="20"/>
        </w:rPr>
        <w:t>could</w:t>
      </w:r>
    </w:p>
    <w:p>
      <w:pPr>
        <w:pStyle w:val="BodyText"/>
        <w:spacing w:before="6"/>
        <w:rPr>
          <w:sz w:val="27"/>
        </w:rPr>
      </w:pPr>
      <w:r>
        <w:rPr/>
        <w:pict>
          <v:rect style="position:absolute;margin-left:65.183998pt;margin-top:17.773203pt;width:144.020004pt;height:.60004pt;mso-position-horizontal-relative:page;mso-position-vertical-relative:paragraph;z-index:-15720448;mso-wrap-distance-left:0;mso-wrap-distance-right:0" filled="true" fillcolor="#000000" stroked="false">
            <v:fill type="solid"/>
            <w10:wrap type="topAndBottom"/>
          </v:rect>
        </w:pict>
      </w:r>
    </w:p>
    <w:p>
      <w:pPr>
        <w:pStyle w:val="BodyText"/>
        <w:spacing w:before="1"/>
      </w:pPr>
    </w:p>
    <w:p>
      <w:pPr>
        <w:spacing w:line="278" w:lineRule="auto" w:before="94"/>
        <w:ind w:left="723" w:right="486" w:firstLine="0"/>
        <w:jc w:val="both"/>
        <w:rPr>
          <w:sz w:val="18"/>
        </w:rPr>
      </w:pPr>
      <w:r>
        <w:rPr>
          <w:sz w:val="18"/>
        </w:rPr>
        <w:t>of</w:t>
      </w:r>
      <w:r>
        <w:rPr>
          <w:spacing w:val="-7"/>
          <w:sz w:val="18"/>
        </w:rPr>
        <w:t> </w:t>
      </w:r>
      <w:r>
        <w:rPr>
          <w:sz w:val="18"/>
        </w:rPr>
        <w:t>double</w:t>
      </w:r>
      <w:r>
        <w:rPr>
          <w:spacing w:val="-9"/>
          <w:sz w:val="18"/>
        </w:rPr>
        <w:t> </w:t>
      </w:r>
      <w:r>
        <w:rPr>
          <w:sz w:val="18"/>
        </w:rPr>
        <w:t>counting</w:t>
      </w:r>
      <w:r>
        <w:rPr>
          <w:spacing w:val="-5"/>
          <w:sz w:val="18"/>
        </w:rPr>
        <w:t> </w:t>
      </w:r>
      <w:r>
        <w:rPr>
          <w:sz w:val="18"/>
        </w:rPr>
        <w:t>(and</w:t>
      </w:r>
      <w:r>
        <w:rPr>
          <w:spacing w:val="-6"/>
          <w:sz w:val="18"/>
        </w:rPr>
        <w:t> </w:t>
      </w:r>
      <w:r>
        <w:rPr>
          <w:sz w:val="18"/>
        </w:rPr>
        <w:t>possible</w:t>
      </w:r>
      <w:r>
        <w:rPr>
          <w:spacing w:val="-5"/>
          <w:sz w:val="18"/>
        </w:rPr>
        <w:t> </w:t>
      </w:r>
      <w:r>
        <w:rPr>
          <w:sz w:val="18"/>
        </w:rPr>
        <w:t>inclusion</w:t>
      </w:r>
      <w:r>
        <w:rPr>
          <w:spacing w:val="-6"/>
          <w:sz w:val="18"/>
        </w:rPr>
        <w:t> </w:t>
      </w:r>
      <w:r>
        <w:rPr>
          <w:sz w:val="18"/>
        </w:rPr>
        <w:t>of</w:t>
      </w:r>
      <w:r>
        <w:rPr>
          <w:spacing w:val="-8"/>
          <w:sz w:val="18"/>
        </w:rPr>
        <w:t> </w:t>
      </w:r>
      <w:r>
        <w:rPr>
          <w:sz w:val="18"/>
        </w:rPr>
        <w:t>a</w:t>
      </w:r>
      <w:r>
        <w:rPr>
          <w:spacing w:val="-6"/>
          <w:sz w:val="18"/>
        </w:rPr>
        <w:t> </w:t>
      </w:r>
      <w:r>
        <w:rPr>
          <w:sz w:val="18"/>
        </w:rPr>
        <w:t>marketing</w:t>
      </w:r>
      <w:r>
        <w:rPr>
          <w:spacing w:val="-9"/>
          <w:sz w:val="18"/>
        </w:rPr>
        <w:t> </w:t>
      </w:r>
      <w:r>
        <w:rPr>
          <w:sz w:val="18"/>
        </w:rPr>
        <w:t>and</w:t>
      </w:r>
      <w:r>
        <w:rPr>
          <w:spacing w:val="-8"/>
          <w:sz w:val="18"/>
        </w:rPr>
        <w:t> </w:t>
      </w:r>
      <w:r>
        <w:rPr>
          <w:sz w:val="18"/>
        </w:rPr>
        <w:t>distribution</w:t>
      </w:r>
      <w:r>
        <w:rPr>
          <w:spacing w:val="-9"/>
          <w:sz w:val="18"/>
        </w:rPr>
        <w:t> </w:t>
      </w:r>
      <w:r>
        <w:rPr>
          <w:sz w:val="18"/>
        </w:rPr>
        <w:t>safe</w:t>
      </w:r>
      <w:r>
        <w:rPr>
          <w:spacing w:val="-5"/>
          <w:sz w:val="18"/>
        </w:rPr>
        <w:t> </w:t>
      </w:r>
      <w:r>
        <w:rPr>
          <w:sz w:val="18"/>
        </w:rPr>
        <w:t>harbour),</w:t>
      </w:r>
      <w:r>
        <w:rPr>
          <w:spacing w:val="-9"/>
          <w:sz w:val="18"/>
        </w:rPr>
        <w:t> </w:t>
      </w:r>
      <w:r>
        <w:rPr>
          <w:sz w:val="18"/>
        </w:rPr>
        <w:t>the</w:t>
      </w:r>
      <w:r>
        <w:rPr>
          <w:spacing w:val="-8"/>
          <w:sz w:val="18"/>
        </w:rPr>
        <w:t> </w:t>
      </w:r>
      <w:r>
        <w:rPr>
          <w:sz w:val="18"/>
        </w:rPr>
        <w:t>process</w:t>
      </w:r>
      <w:r>
        <w:rPr>
          <w:spacing w:val="-8"/>
          <w:sz w:val="18"/>
        </w:rPr>
        <w:t> </w:t>
      </w:r>
      <w:r>
        <w:rPr>
          <w:sz w:val="18"/>
        </w:rPr>
        <w:t>for</w:t>
      </w:r>
      <w:r>
        <w:rPr>
          <w:spacing w:val="-6"/>
          <w:sz w:val="18"/>
        </w:rPr>
        <w:t> </w:t>
      </w:r>
      <w:r>
        <w:rPr>
          <w:sz w:val="18"/>
        </w:rPr>
        <w:t>identifying</w:t>
      </w:r>
      <w:r>
        <w:rPr>
          <w:spacing w:val="-6"/>
          <w:sz w:val="18"/>
        </w:rPr>
        <w:t> </w:t>
      </w:r>
      <w:r>
        <w:rPr>
          <w:sz w:val="18"/>
        </w:rPr>
        <w:t>the “paying entities” (to eliminate double taxation). All these features will be relevant in the discussion of the quantum of Amount A.</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3"/>
        <w:jc w:val="both"/>
      </w:pPr>
      <w:r>
        <w:rPr/>
        <w:t>also</w:t>
      </w:r>
      <w:r>
        <w:rPr>
          <w:spacing w:val="-7"/>
        </w:rPr>
        <w:t> </w:t>
      </w:r>
      <w:r>
        <w:rPr/>
        <w:t>be</w:t>
      </w:r>
      <w:r>
        <w:rPr>
          <w:spacing w:val="-7"/>
        </w:rPr>
        <w:t> </w:t>
      </w:r>
      <w:r>
        <w:rPr/>
        <w:t>explored,</w:t>
      </w:r>
      <w:r>
        <w:rPr>
          <w:spacing w:val="-6"/>
        </w:rPr>
        <w:t> </w:t>
      </w:r>
      <w:r>
        <w:rPr/>
        <w:t>including</w:t>
      </w:r>
      <w:r>
        <w:rPr>
          <w:spacing w:val="-5"/>
        </w:rPr>
        <w:t> </w:t>
      </w:r>
      <w:r>
        <w:rPr/>
        <w:t>the</w:t>
      </w:r>
      <w:r>
        <w:rPr>
          <w:spacing w:val="-7"/>
        </w:rPr>
        <w:t> </w:t>
      </w:r>
      <w:r>
        <w:rPr/>
        <w:t>option</w:t>
      </w:r>
      <w:r>
        <w:rPr>
          <w:spacing w:val="-7"/>
        </w:rPr>
        <w:t> </w:t>
      </w:r>
      <w:r>
        <w:rPr/>
        <w:t>of</w:t>
      </w:r>
      <w:r>
        <w:rPr>
          <w:spacing w:val="-5"/>
        </w:rPr>
        <w:t> </w:t>
      </w:r>
      <w:r>
        <w:rPr/>
        <w:t>a</w:t>
      </w:r>
      <w:r>
        <w:rPr>
          <w:spacing w:val="-7"/>
        </w:rPr>
        <w:t> </w:t>
      </w:r>
      <w:r>
        <w:rPr/>
        <w:t>threshold</w:t>
      </w:r>
      <w:r>
        <w:rPr>
          <w:spacing w:val="-7"/>
        </w:rPr>
        <w:t> </w:t>
      </w:r>
      <w:r>
        <w:rPr/>
        <w:t>based</w:t>
      </w:r>
      <w:r>
        <w:rPr>
          <w:spacing w:val="-8"/>
        </w:rPr>
        <w:t> </w:t>
      </w:r>
      <w:r>
        <w:rPr/>
        <w:t>on</w:t>
      </w:r>
      <w:r>
        <w:rPr>
          <w:spacing w:val="-7"/>
        </w:rPr>
        <w:t> </w:t>
      </w:r>
      <w:r>
        <w:rPr/>
        <w:t>in-scope</w:t>
      </w:r>
      <w:r>
        <w:rPr>
          <w:spacing w:val="-7"/>
        </w:rPr>
        <w:t> </w:t>
      </w:r>
      <w:r>
        <w:rPr/>
        <w:t>revenues.</w:t>
      </w:r>
      <w:r>
        <w:rPr>
          <w:spacing w:val="-4"/>
        </w:rPr>
        <w:t> </w:t>
      </w:r>
      <w:r>
        <w:rPr/>
        <w:t>No</w:t>
      </w:r>
      <w:r>
        <w:rPr>
          <w:spacing w:val="-7"/>
        </w:rPr>
        <w:t> </w:t>
      </w:r>
      <w:r>
        <w:rPr/>
        <w:t>decision</w:t>
      </w:r>
      <w:r>
        <w:rPr>
          <w:spacing w:val="-7"/>
        </w:rPr>
        <w:t> </w:t>
      </w:r>
      <w:r>
        <w:rPr/>
        <w:t>has yet been taken on the number of the revenue thresholds, the amount of these thresholds or the use of a phased</w:t>
      </w:r>
      <w:r>
        <w:rPr>
          <w:spacing w:val="-3"/>
        </w:rPr>
        <w:t> </w:t>
      </w:r>
      <w:r>
        <w:rPr/>
        <w:t>approach.</w:t>
      </w:r>
    </w:p>
    <w:p>
      <w:pPr>
        <w:pStyle w:val="ListParagraph"/>
        <w:numPr>
          <w:ilvl w:val="1"/>
          <w:numId w:val="4"/>
        </w:numPr>
        <w:tabs>
          <w:tab w:pos="1403" w:val="left" w:leader="none"/>
        </w:tabs>
        <w:spacing w:line="266" w:lineRule="auto" w:before="47" w:after="0"/>
        <w:ind w:left="1402" w:right="484" w:hanging="339"/>
        <w:jc w:val="both"/>
        <w:rPr>
          <w:sz w:val="20"/>
        </w:rPr>
      </w:pPr>
      <w:r>
        <w:rPr>
          <w:b/>
          <w:sz w:val="20"/>
        </w:rPr>
        <w:t>Scoping rules </w:t>
      </w:r>
      <w:r>
        <w:rPr>
          <w:sz w:val="20"/>
        </w:rPr>
        <w:t>covering ADS and more broadly CFB. This includes businesses that are able to have significant and sustained interactions with customers and users in a market</w:t>
      </w:r>
      <w:r>
        <w:rPr>
          <w:spacing w:val="-30"/>
          <w:sz w:val="20"/>
        </w:rPr>
        <w:t> </w:t>
      </w:r>
      <w:r>
        <w:rPr>
          <w:sz w:val="20"/>
        </w:rPr>
        <w:t>jurisdiction.</w:t>
      </w:r>
    </w:p>
    <w:p>
      <w:pPr>
        <w:pStyle w:val="ListParagraph"/>
        <w:numPr>
          <w:ilvl w:val="1"/>
          <w:numId w:val="4"/>
        </w:numPr>
        <w:tabs>
          <w:tab w:pos="1403" w:val="left" w:leader="none"/>
        </w:tabs>
        <w:spacing w:line="271" w:lineRule="auto" w:before="51" w:after="0"/>
        <w:ind w:left="1402" w:right="481" w:hanging="339"/>
        <w:jc w:val="both"/>
        <w:rPr>
          <w:sz w:val="20"/>
        </w:rPr>
      </w:pPr>
      <w:r>
        <w:rPr>
          <w:sz w:val="20"/>
        </w:rPr>
        <w:t>The use of a </w:t>
      </w:r>
      <w:r>
        <w:rPr>
          <w:b/>
          <w:sz w:val="20"/>
        </w:rPr>
        <w:t>new nexus rule </w:t>
      </w:r>
      <w:r>
        <w:rPr>
          <w:sz w:val="20"/>
        </w:rPr>
        <w:t>to identify market jurisdictions eligible to receive Amount A. The nexus rules balances the interests of smaller jurisdictions, in particular developing economies, in benefiting from the new taxing right with the need for low and proportionate compliance costs, where appropriate in light of the overall balance, while avoiding spill-over effects in other tax and non-tax</w:t>
      </w:r>
      <w:r>
        <w:rPr>
          <w:spacing w:val="-1"/>
          <w:sz w:val="20"/>
        </w:rPr>
        <w:t> </w:t>
      </w:r>
      <w:r>
        <w:rPr>
          <w:sz w:val="20"/>
        </w:rPr>
        <w:t>areas.</w:t>
      </w:r>
    </w:p>
    <w:p>
      <w:pPr>
        <w:pStyle w:val="ListParagraph"/>
        <w:numPr>
          <w:ilvl w:val="1"/>
          <w:numId w:val="4"/>
        </w:numPr>
        <w:tabs>
          <w:tab w:pos="1403" w:val="left" w:leader="none"/>
        </w:tabs>
        <w:spacing w:line="271" w:lineRule="auto" w:before="45" w:after="0"/>
        <w:ind w:left="1402" w:right="488" w:hanging="339"/>
        <w:jc w:val="both"/>
        <w:rPr>
          <w:sz w:val="20"/>
        </w:rPr>
      </w:pPr>
      <w:r>
        <w:rPr>
          <w:sz w:val="20"/>
        </w:rPr>
        <w:t>The nexus rules are supported by detailed </w:t>
      </w:r>
      <w:r>
        <w:rPr>
          <w:b/>
          <w:sz w:val="20"/>
        </w:rPr>
        <w:t>sourcing rules </w:t>
      </w:r>
      <w:r>
        <w:rPr>
          <w:sz w:val="20"/>
        </w:rPr>
        <w:t>that are reflective of the particularities of digital services and consumer-facing businesses and balance the need for accuracy with the ability</w:t>
      </w:r>
      <w:r>
        <w:rPr>
          <w:spacing w:val="-9"/>
          <w:sz w:val="20"/>
        </w:rPr>
        <w:t> </w:t>
      </w:r>
      <w:r>
        <w:rPr>
          <w:sz w:val="20"/>
        </w:rPr>
        <w:t>of</w:t>
      </w:r>
      <w:r>
        <w:rPr>
          <w:spacing w:val="-6"/>
          <w:sz w:val="20"/>
        </w:rPr>
        <w:t> </w:t>
      </w:r>
      <w:r>
        <w:rPr>
          <w:sz w:val="20"/>
        </w:rPr>
        <w:t>in-scope</w:t>
      </w:r>
      <w:r>
        <w:rPr>
          <w:spacing w:val="-6"/>
          <w:sz w:val="20"/>
        </w:rPr>
        <w:t> </w:t>
      </w:r>
      <w:r>
        <w:rPr>
          <w:sz w:val="20"/>
        </w:rPr>
        <w:t>MNEs</w:t>
      </w:r>
      <w:r>
        <w:rPr>
          <w:spacing w:val="-4"/>
          <w:sz w:val="20"/>
        </w:rPr>
        <w:t> </w:t>
      </w:r>
      <w:r>
        <w:rPr>
          <w:sz w:val="20"/>
        </w:rPr>
        <w:t>to</w:t>
      </w:r>
      <w:r>
        <w:rPr>
          <w:spacing w:val="-6"/>
          <w:sz w:val="20"/>
        </w:rPr>
        <w:t> </w:t>
      </w:r>
      <w:r>
        <w:rPr>
          <w:sz w:val="20"/>
        </w:rPr>
        <w:t>comply</w:t>
      </w:r>
      <w:r>
        <w:rPr>
          <w:spacing w:val="-6"/>
          <w:sz w:val="20"/>
        </w:rPr>
        <w:t> </w:t>
      </w:r>
      <w:r>
        <w:rPr>
          <w:sz w:val="20"/>
        </w:rPr>
        <w:t>and</w:t>
      </w:r>
      <w:r>
        <w:rPr>
          <w:spacing w:val="-8"/>
          <w:sz w:val="20"/>
        </w:rPr>
        <w:t> </w:t>
      </w:r>
      <w:r>
        <w:rPr>
          <w:sz w:val="20"/>
        </w:rPr>
        <w:t>the</w:t>
      </w:r>
      <w:r>
        <w:rPr>
          <w:spacing w:val="-7"/>
          <w:sz w:val="20"/>
        </w:rPr>
        <w:t> </w:t>
      </w:r>
      <w:r>
        <w:rPr>
          <w:sz w:val="20"/>
        </w:rPr>
        <w:t>cost</w:t>
      </w:r>
      <w:r>
        <w:rPr>
          <w:spacing w:val="-6"/>
          <w:sz w:val="20"/>
        </w:rPr>
        <w:t> </w:t>
      </w:r>
      <w:r>
        <w:rPr>
          <w:sz w:val="20"/>
        </w:rPr>
        <w:t>of</w:t>
      </w:r>
      <w:r>
        <w:rPr>
          <w:spacing w:val="-6"/>
          <w:sz w:val="20"/>
        </w:rPr>
        <w:t> </w:t>
      </w:r>
      <w:r>
        <w:rPr>
          <w:sz w:val="20"/>
        </w:rPr>
        <w:t>doing</w:t>
      </w:r>
      <w:r>
        <w:rPr>
          <w:spacing w:val="-7"/>
          <w:sz w:val="20"/>
        </w:rPr>
        <w:t> </w:t>
      </w:r>
      <w:r>
        <w:rPr>
          <w:sz w:val="20"/>
        </w:rPr>
        <w:t>so.</w:t>
      </w:r>
      <w:r>
        <w:rPr>
          <w:spacing w:val="-5"/>
          <w:sz w:val="20"/>
        </w:rPr>
        <w:t> </w:t>
      </w:r>
      <w:r>
        <w:rPr>
          <w:sz w:val="20"/>
        </w:rPr>
        <w:t>It</w:t>
      </w:r>
      <w:r>
        <w:rPr>
          <w:spacing w:val="-5"/>
          <w:sz w:val="20"/>
        </w:rPr>
        <w:t> </w:t>
      </w:r>
      <w:r>
        <w:rPr>
          <w:sz w:val="20"/>
        </w:rPr>
        <w:t>has</w:t>
      </w:r>
      <w:r>
        <w:rPr>
          <w:spacing w:val="-3"/>
          <w:sz w:val="20"/>
        </w:rPr>
        <w:t> </w:t>
      </w:r>
      <w:r>
        <w:rPr>
          <w:sz w:val="20"/>
        </w:rPr>
        <w:t>been</w:t>
      </w:r>
      <w:r>
        <w:rPr>
          <w:spacing w:val="-8"/>
          <w:sz w:val="20"/>
        </w:rPr>
        <w:t> </w:t>
      </w:r>
      <w:r>
        <w:rPr>
          <w:sz w:val="20"/>
        </w:rPr>
        <w:t>proposed</w:t>
      </w:r>
      <w:r>
        <w:rPr>
          <w:spacing w:val="-8"/>
          <w:sz w:val="20"/>
        </w:rPr>
        <w:t> </w:t>
      </w:r>
      <w:r>
        <w:rPr>
          <w:sz w:val="20"/>
        </w:rPr>
        <w:t>that</w:t>
      </w:r>
      <w:r>
        <w:rPr>
          <w:spacing w:val="-4"/>
          <w:sz w:val="20"/>
        </w:rPr>
        <w:t> </w:t>
      </w:r>
      <w:r>
        <w:rPr>
          <w:sz w:val="20"/>
        </w:rPr>
        <w:t>this</w:t>
      </w:r>
      <w:r>
        <w:rPr>
          <w:spacing w:val="-4"/>
          <w:sz w:val="20"/>
        </w:rPr>
        <w:t> </w:t>
      </w:r>
      <w:r>
        <w:rPr>
          <w:sz w:val="20"/>
        </w:rPr>
        <w:t>may</w:t>
      </w:r>
      <w:r>
        <w:rPr>
          <w:spacing w:val="-11"/>
          <w:sz w:val="20"/>
        </w:rPr>
        <w:t> </w:t>
      </w:r>
      <w:r>
        <w:rPr>
          <w:sz w:val="20"/>
        </w:rPr>
        <w:t>be achieved</w:t>
      </w:r>
      <w:r>
        <w:rPr>
          <w:spacing w:val="-12"/>
          <w:sz w:val="20"/>
        </w:rPr>
        <w:t> </w:t>
      </w:r>
      <w:r>
        <w:rPr>
          <w:sz w:val="20"/>
        </w:rPr>
        <w:t>through</w:t>
      </w:r>
      <w:r>
        <w:rPr>
          <w:spacing w:val="-12"/>
          <w:sz w:val="20"/>
        </w:rPr>
        <w:t> </w:t>
      </w:r>
      <w:r>
        <w:rPr>
          <w:sz w:val="20"/>
        </w:rPr>
        <w:t>due</w:t>
      </w:r>
      <w:r>
        <w:rPr>
          <w:spacing w:val="-10"/>
          <w:sz w:val="20"/>
        </w:rPr>
        <w:t> </w:t>
      </w:r>
      <w:r>
        <w:rPr>
          <w:sz w:val="20"/>
        </w:rPr>
        <w:t>diligence</w:t>
      </w:r>
      <w:r>
        <w:rPr>
          <w:spacing w:val="-12"/>
          <w:sz w:val="20"/>
        </w:rPr>
        <w:t> </w:t>
      </w:r>
      <w:r>
        <w:rPr>
          <w:sz w:val="20"/>
        </w:rPr>
        <w:t>rules</w:t>
      </w:r>
      <w:r>
        <w:rPr>
          <w:spacing w:val="-10"/>
          <w:sz w:val="20"/>
        </w:rPr>
        <w:t> </w:t>
      </w:r>
      <w:r>
        <w:rPr>
          <w:sz w:val="20"/>
        </w:rPr>
        <w:t>subject</w:t>
      </w:r>
      <w:r>
        <w:rPr>
          <w:spacing w:val="-10"/>
          <w:sz w:val="20"/>
        </w:rPr>
        <w:t> </w:t>
      </w:r>
      <w:r>
        <w:rPr>
          <w:sz w:val="20"/>
        </w:rPr>
        <w:t>to</w:t>
      </w:r>
      <w:r>
        <w:rPr>
          <w:spacing w:val="-9"/>
          <w:sz w:val="20"/>
        </w:rPr>
        <w:t> </w:t>
      </w:r>
      <w:r>
        <w:rPr>
          <w:sz w:val="20"/>
        </w:rPr>
        <w:t>a</w:t>
      </w:r>
      <w:r>
        <w:rPr>
          <w:spacing w:val="-12"/>
          <w:sz w:val="20"/>
        </w:rPr>
        <w:t> </w:t>
      </w:r>
      <w:r>
        <w:rPr>
          <w:sz w:val="20"/>
        </w:rPr>
        <w:t>clearly</w:t>
      </w:r>
      <w:r>
        <w:rPr>
          <w:spacing w:val="-11"/>
          <w:sz w:val="20"/>
        </w:rPr>
        <w:t> </w:t>
      </w:r>
      <w:r>
        <w:rPr>
          <w:sz w:val="20"/>
        </w:rPr>
        <w:t>defined</w:t>
      </w:r>
      <w:r>
        <w:rPr>
          <w:spacing w:val="-12"/>
          <w:sz w:val="20"/>
        </w:rPr>
        <w:t> </w:t>
      </w:r>
      <w:r>
        <w:rPr>
          <w:sz w:val="20"/>
        </w:rPr>
        <w:t>hierarchy,</w:t>
      </w:r>
      <w:r>
        <w:rPr>
          <w:spacing w:val="-10"/>
          <w:sz w:val="20"/>
        </w:rPr>
        <w:t> </w:t>
      </w:r>
      <w:r>
        <w:rPr>
          <w:sz w:val="20"/>
        </w:rPr>
        <w:t>likely</w:t>
      </w:r>
      <w:r>
        <w:rPr>
          <w:spacing w:val="-14"/>
          <w:sz w:val="20"/>
        </w:rPr>
        <w:t> </w:t>
      </w:r>
      <w:r>
        <w:rPr>
          <w:sz w:val="20"/>
        </w:rPr>
        <w:t>to</w:t>
      </w:r>
      <w:r>
        <w:rPr>
          <w:spacing w:val="-9"/>
          <w:sz w:val="20"/>
        </w:rPr>
        <w:t> </w:t>
      </w:r>
      <w:r>
        <w:rPr>
          <w:sz w:val="20"/>
        </w:rPr>
        <w:t>be</w:t>
      </w:r>
      <w:r>
        <w:rPr>
          <w:spacing w:val="-10"/>
          <w:sz w:val="20"/>
        </w:rPr>
        <w:t> </w:t>
      </w:r>
      <w:r>
        <w:rPr>
          <w:sz w:val="20"/>
        </w:rPr>
        <w:t>of</w:t>
      </w:r>
      <w:r>
        <w:rPr>
          <w:spacing w:val="-10"/>
          <w:sz w:val="20"/>
        </w:rPr>
        <w:t> </w:t>
      </w:r>
      <w:r>
        <w:rPr>
          <w:sz w:val="20"/>
        </w:rPr>
        <w:t>particular importance in connection with third party</w:t>
      </w:r>
      <w:r>
        <w:rPr>
          <w:spacing w:val="-7"/>
          <w:sz w:val="20"/>
        </w:rPr>
        <w:t> </w:t>
      </w:r>
      <w:r>
        <w:rPr>
          <w:sz w:val="20"/>
        </w:rPr>
        <w:t>distribution.</w:t>
      </w:r>
    </w:p>
    <w:p>
      <w:pPr>
        <w:pStyle w:val="ListParagraph"/>
        <w:numPr>
          <w:ilvl w:val="1"/>
          <w:numId w:val="4"/>
        </w:numPr>
        <w:tabs>
          <w:tab w:pos="1403" w:val="left" w:leader="none"/>
        </w:tabs>
        <w:spacing w:line="271" w:lineRule="auto" w:before="45" w:after="0"/>
        <w:ind w:left="1402" w:right="481" w:hanging="339"/>
        <w:jc w:val="both"/>
        <w:rPr>
          <w:sz w:val="20"/>
        </w:rPr>
      </w:pPr>
      <w:r>
        <w:rPr>
          <w:sz w:val="20"/>
        </w:rPr>
        <w:t>An administrable approach for </w:t>
      </w:r>
      <w:r>
        <w:rPr>
          <w:b/>
          <w:sz w:val="20"/>
        </w:rPr>
        <w:t>reallocating residual profit. </w:t>
      </w:r>
      <w:r>
        <w:rPr>
          <w:sz w:val="20"/>
        </w:rPr>
        <w:t>Eligible market jurisdictions will receive a portion of (X%) of residual profit (income exceeding an agreed level of profitability of (Y%)) using a formula. To strike a balance between simplicity and accuracy, the calculation of the relevant measure of profit will rely as much as possible on published consolidated financial accounts. Book-to-tax adjustments (similar to those required for Pillar Two) and segmentation will be limited to a minimum. In practice, most MNEs will compute their Amount A profit (the tax base) on</w:t>
      </w:r>
      <w:r>
        <w:rPr>
          <w:spacing w:val="-7"/>
          <w:sz w:val="20"/>
        </w:rPr>
        <w:t> </w:t>
      </w:r>
      <w:r>
        <w:rPr>
          <w:sz w:val="20"/>
        </w:rPr>
        <w:t>the</w:t>
      </w:r>
      <w:r>
        <w:rPr>
          <w:spacing w:val="-5"/>
          <w:sz w:val="20"/>
        </w:rPr>
        <w:t> </w:t>
      </w:r>
      <w:r>
        <w:rPr>
          <w:sz w:val="20"/>
        </w:rPr>
        <w:t>basis</w:t>
      </w:r>
      <w:r>
        <w:rPr>
          <w:spacing w:val="-4"/>
          <w:sz w:val="20"/>
        </w:rPr>
        <w:t> </w:t>
      </w:r>
      <w:r>
        <w:rPr>
          <w:sz w:val="20"/>
        </w:rPr>
        <w:t>of</w:t>
      </w:r>
      <w:r>
        <w:rPr>
          <w:spacing w:val="-5"/>
          <w:sz w:val="20"/>
        </w:rPr>
        <w:t> </w:t>
      </w:r>
      <w:r>
        <w:rPr>
          <w:sz w:val="20"/>
        </w:rPr>
        <w:t>their</w:t>
      </w:r>
      <w:r>
        <w:rPr>
          <w:spacing w:val="-6"/>
          <w:sz w:val="20"/>
        </w:rPr>
        <w:t> </w:t>
      </w:r>
      <w:r>
        <w:rPr>
          <w:sz w:val="20"/>
        </w:rPr>
        <w:t>consolidated</w:t>
      </w:r>
      <w:r>
        <w:rPr>
          <w:spacing w:val="-7"/>
          <w:sz w:val="20"/>
        </w:rPr>
        <w:t> </w:t>
      </w:r>
      <w:r>
        <w:rPr>
          <w:sz w:val="20"/>
        </w:rPr>
        <w:t>accounts</w:t>
      </w:r>
      <w:r>
        <w:rPr>
          <w:spacing w:val="-5"/>
          <w:sz w:val="20"/>
        </w:rPr>
        <w:t> </w:t>
      </w:r>
      <w:r>
        <w:rPr>
          <w:sz w:val="20"/>
        </w:rPr>
        <w:t>(including</w:t>
      </w:r>
      <w:r>
        <w:rPr>
          <w:spacing w:val="-6"/>
          <w:sz w:val="20"/>
        </w:rPr>
        <w:t> </w:t>
      </w:r>
      <w:r>
        <w:rPr>
          <w:sz w:val="20"/>
        </w:rPr>
        <w:t>groups</w:t>
      </w:r>
      <w:r>
        <w:rPr>
          <w:spacing w:val="-3"/>
          <w:sz w:val="20"/>
        </w:rPr>
        <w:t> </w:t>
      </w:r>
      <w:r>
        <w:rPr>
          <w:sz w:val="20"/>
        </w:rPr>
        <w:t>with</w:t>
      </w:r>
      <w:r>
        <w:rPr>
          <w:spacing w:val="-5"/>
          <w:sz w:val="20"/>
        </w:rPr>
        <w:t> </w:t>
      </w:r>
      <w:r>
        <w:rPr>
          <w:sz w:val="20"/>
        </w:rPr>
        <w:t>out-of-scope</w:t>
      </w:r>
      <w:r>
        <w:rPr>
          <w:spacing w:val="-7"/>
          <w:sz w:val="20"/>
        </w:rPr>
        <w:t> </w:t>
      </w:r>
      <w:r>
        <w:rPr>
          <w:sz w:val="20"/>
        </w:rPr>
        <w:t>activities),</w:t>
      </w:r>
      <w:r>
        <w:rPr>
          <w:spacing w:val="-4"/>
          <w:sz w:val="20"/>
        </w:rPr>
        <w:t> </w:t>
      </w:r>
      <w:r>
        <w:rPr>
          <w:sz w:val="20"/>
        </w:rPr>
        <w:t>but</w:t>
      </w:r>
      <w:r>
        <w:rPr>
          <w:spacing w:val="-5"/>
          <w:sz w:val="20"/>
        </w:rPr>
        <w:t> </w:t>
      </w:r>
      <w:r>
        <w:rPr>
          <w:sz w:val="20"/>
        </w:rPr>
        <w:t>only the</w:t>
      </w:r>
      <w:r>
        <w:rPr>
          <w:spacing w:val="-9"/>
          <w:sz w:val="20"/>
        </w:rPr>
        <w:t> </w:t>
      </w:r>
      <w:r>
        <w:rPr>
          <w:sz w:val="20"/>
        </w:rPr>
        <w:t>portion</w:t>
      </w:r>
      <w:r>
        <w:rPr>
          <w:spacing w:val="-9"/>
          <w:sz w:val="20"/>
        </w:rPr>
        <w:t> </w:t>
      </w:r>
      <w:r>
        <w:rPr>
          <w:sz w:val="20"/>
        </w:rPr>
        <w:t>of</w:t>
      </w:r>
      <w:r>
        <w:rPr>
          <w:spacing w:val="-6"/>
          <w:sz w:val="20"/>
        </w:rPr>
        <w:t> </w:t>
      </w:r>
      <w:r>
        <w:rPr>
          <w:sz w:val="20"/>
        </w:rPr>
        <w:t>that</w:t>
      </w:r>
      <w:r>
        <w:rPr>
          <w:spacing w:val="-6"/>
          <w:sz w:val="20"/>
        </w:rPr>
        <w:t> </w:t>
      </w:r>
      <w:r>
        <w:rPr>
          <w:sz w:val="20"/>
        </w:rPr>
        <w:t>group</w:t>
      </w:r>
      <w:r>
        <w:rPr>
          <w:spacing w:val="-8"/>
          <w:sz w:val="20"/>
        </w:rPr>
        <w:t> </w:t>
      </w:r>
      <w:r>
        <w:rPr>
          <w:sz w:val="20"/>
        </w:rPr>
        <w:t>profit</w:t>
      </w:r>
      <w:r>
        <w:rPr>
          <w:spacing w:val="-7"/>
          <w:sz w:val="20"/>
        </w:rPr>
        <w:t> </w:t>
      </w:r>
      <w:r>
        <w:rPr>
          <w:sz w:val="20"/>
        </w:rPr>
        <w:t>determined</w:t>
      </w:r>
      <w:r>
        <w:rPr>
          <w:spacing w:val="-9"/>
          <w:sz w:val="20"/>
        </w:rPr>
        <w:t> </w:t>
      </w:r>
      <w:r>
        <w:rPr>
          <w:sz w:val="20"/>
        </w:rPr>
        <w:t>by</w:t>
      </w:r>
      <w:r>
        <w:rPr>
          <w:spacing w:val="-11"/>
          <w:sz w:val="20"/>
        </w:rPr>
        <w:t> </w:t>
      </w:r>
      <w:r>
        <w:rPr>
          <w:sz w:val="20"/>
        </w:rPr>
        <w:t>a</w:t>
      </w:r>
      <w:r>
        <w:rPr>
          <w:spacing w:val="-9"/>
          <w:sz w:val="20"/>
        </w:rPr>
        <w:t> </w:t>
      </w:r>
      <w:r>
        <w:rPr>
          <w:sz w:val="20"/>
        </w:rPr>
        <w:t>formula</w:t>
      </w:r>
      <w:r>
        <w:rPr>
          <w:spacing w:val="-7"/>
          <w:sz w:val="20"/>
        </w:rPr>
        <w:t> </w:t>
      </w:r>
      <w:r>
        <w:rPr>
          <w:sz w:val="20"/>
        </w:rPr>
        <w:t>corresponding</w:t>
      </w:r>
      <w:r>
        <w:rPr>
          <w:spacing w:val="-9"/>
          <w:sz w:val="20"/>
        </w:rPr>
        <w:t> </w:t>
      </w:r>
      <w:r>
        <w:rPr>
          <w:sz w:val="20"/>
        </w:rPr>
        <w:t>to</w:t>
      </w:r>
      <w:r>
        <w:rPr>
          <w:spacing w:val="-8"/>
          <w:sz w:val="20"/>
        </w:rPr>
        <w:t> </w:t>
      </w:r>
      <w:r>
        <w:rPr>
          <w:sz w:val="20"/>
        </w:rPr>
        <w:t>in-scope</w:t>
      </w:r>
      <w:r>
        <w:rPr>
          <w:spacing w:val="-9"/>
          <w:sz w:val="20"/>
        </w:rPr>
        <w:t> </w:t>
      </w:r>
      <w:r>
        <w:rPr>
          <w:sz w:val="20"/>
        </w:rPr>
        <w:t>revenue</w:t>
      </w:r>
      <w:r>
        <w:rPr>
          <w:spacing w:val="-6"/>
          <w:sz w:val="20"/>
        </w:rPr>
        <w:t> </w:t>
      </w:r>
      <w:r>
        <w:rPr>
          <w:sz w:val="20"/>
        </w:rPr>
        <w:t>will</w:t>
      </w:r>
      <w:r>
        <w:rPr>
          <w:spacing w:val="-7"/>
          <w:sz w:val="20"/>
        </w:rPr>
        <w:t> </w:t>
      </w:r>
      <w:r>
        <w:rPr>
          <w:sz w:val="20"/>
        </w:rPr>
        <w:t>end up being allocated to market jurisdictions. Accuracy and ensuring a level playing field between different MNEs (e.g. in-scope business line with a significantly different profitability from other business</w:t>
      </w:r>
      <w:r>
        <w:rPr>
          <w:spacing w:val="-12"/>
          <w:sz w:val="20"/>
        </w:rPr>
        <w:t> </w:t>
      </w:r>
      <w:r>
        <w:rPr>
          <w:sz w:val="20"/>
        </w:rPr>
        <w:t>lines)</w:t>
      </w:r>
      <w:r>
        <w:rPr>
          <w:spacing w:val="-11"/>
          <w:sz w:val="20"/>
        </w:rPr>
        <w:t> </w:t>
      </w:r>
      <w:r>
        <w:rPr>
          <w:sz w:val="20"/>
        </w:rPr>
        <w:t>may</w:t>
      </w:r>
      <w:r>
        <w:rPr>
          <w:spacing w:val="-18"/>
          <w:sz w:val="20"/>
        </w:rPr>
        <w:t> </w:t>
      </w:r>
      <w:r>
        <w:rPr>
          <w:sz w:val="20"/>
        </w:rPr>
        <w:t>require</w:t>
      </w:r>
      <w:r>
        <w:rPr>
          <w:spacing w:val="-12"/>
          <w:sz w:val="20"/>
        </w:rPr>
        <w:t> </w:t>
      </w:r>
      <w:r>
        <w:rPr>
          <w:sz w:val="20"/>
        </w:rPr>
        <w:t>the</w:t>
      </w:r>
      <w:r>
        <w:rPr>
          <w:spacing w:val="-13"/>
          <w:sz w:val="20"/>
        </w:rPr>
        <w:t> </w:t>
      </w:r>
      <w:r>
        <w:rPr>
          <w:sz w:val="20"/>
        </w:rPr>
        <w:t>determination</w:t>
      </w:r>
      <w:r>
        <w:rPr>
          <w:spacing w:val="-12"/>
          <w:sz w:val="20"/>
        </w:rPr>
        <w:t> </w:t>
      </w:r>
      <w:r>
        <w:rPr>
          <w:sz w:val="20"/>
        </w:rPr>
        <w:t>of</w:t>
      </w:r>
      <w:r>
        <w:rPr>
          <w:spacing w:val="-9"/>
          <w:sz w:val="20"/>
        </w:rPr>
        <w:t> </w:t>
      </w:r>
      <w:r>
        <w:rPr>
          <w:sz w:val="20"/>
        </w:rPr>
        <w:t>the</w:t>
      </w:r>
      <w:r>
        <w:rPr>
          <w:spacing w:val="-13"/>
          <w:sz w:val="20"/>
        </w:rPr>
        <w:t> </w:t>
      </w:r>
      <w:r>
        <w:rPr>
          <w:sz w:val="20"/>
        </w:rPr>
        <w:t>relevant</w:t>
      </w:r>
      <w:r>
        <w:rPr>
          <w:spacing w:val="-14"/>
          <w:sz w:val="20"/>
        </w:rPr>
        <w:t> </w:t>
      </w:r>
      <w:r>
        <w:rPr>
          <w:sz w:val="20"/>
        </w:rPr>
        <w:t>measure</w:t>
      </w:r>
      <w:r>
        <w:rPr>
          <w:spacing w:val="-12"/>
          <w:sz w:val="20"/>
        </w:rPr>
        <w:t> </w:t>
      </w:r>
      <w:r>
        <w:rPr>
          <w:sz w:val="20"/>
        </w:rPr>
        <w:t>of</w:t>
      </w:r>
      <w:r>
        <w:rPr>
          <w:spacing w:val="-10"/>
          <w:sz w:val="20"/>
        </w:rPr>
        <w:t> </w:t>
      </w:r>
      <w:r>
        <w:rPr>
          <w:sz w:val="20"/>
        </w:rPr>
        <w:t>profit</w:t>
      </w:r>
      <w:r>
        <w:rPr>
          <w:spacing w:val="-13"/>
          <w:sz w:val="20"/>
        </w:rPr>
        <w:t> </w:t>
      </w:r>
      <w:r>
        <w:rPr>
          <w:sz w:val="20"/>
        </w:rPr>
        <w:t>on</w:t>
      </w:r>
      <w:r>
        <w:rPr>
          <w:spacing w:val="-12"/>
          <w:sz w:val="20"/>
        </w:rPr>
        <w:t> </w:t>
      </w:r>
      <w:r>
        <w:rPr>
          <w:sz w:val="20"/>
        </w:rPr>
        <w:t>a</w:t>
      </w:r>
      <w:r>
        <w:rPr>
          <w:spacing w:val="-12"/>
          <w:sz w:val="20"/>
        </w:rPr>
        <w:t> </w:t>
      </w:r>
      <w:r>
        <w:rPr>
          <w:sz w:val="20"/>
        </w:rPr>
        <w:t>segment</w:t>
      </w:r>
      <w:r>
        <w:rPr>
          <w:spacing w:val="-13"/>
          <w:sz w:val="20"/>
        </w:rPr>
        <w:t> </w:t>
      </w:r>
      <w:r>
        <w:rPr>
          <w:sz w:val="20"/>
        </w:rPr>
        <w:t>basis, but only in limited cases where the MNE will likely already prepare segmented accounts for financial reporting purposes. Further simplifications will be available for MNEs that compute a segmented tax base, such as the allocation of indirect costs through a revenue-based allocation key. In total, it is expected that only a small number of groups would be required to segment their tax base under Amount</w:t>
      </w:r>
      <w:r>
        <w:rPr>
          <w:spacing w:val="-3"/>
          <w:sz w:val="20"/>
        </w:rPr>
        <w:t> </w:t>
      </w:r>
      <w:r>
        <w:rPr>
          <w:sz w:val="20"/>
        </w:rPr>
        <w:t>A.</w:t>
      </w:r>
    </w:p>
    <w:p>
      <w:pPr>
        <w:pStyle w:val="ListParagraph"/>
        <w:numPr>
          <w:ilvl w:val="1"/>
          <w:numId w:val="4"/>
        </w:numPr>
        <w:tabs>
          <w:tab w:pos="1403" w:val="left" w:leader="none"/>
        </w:tabs>
        <w:spacing w:line="271" w:lineRule="auto" w:before="44" w:after="0"/>
        <w:ind w:left="1402" w:right="481" w:hanging="339"/>
        <w:jc w:val="both"/>
        <w:rPr>
          <w:sz w:val="20"/>
        </w:rPr>
      </w:pPr>
      <w:r>
        <w:rPr>
          <w:b/>
          <w:sz w:val="20"/>
        </w:rPr>
        <w:t>A loss carry-forward regime </w:t>
      </w:r>
      <w:r>
        <w:rPr>
          <w:sz w:val="20"/>
        </w:rPr>
        <w:t>to ensure that there is no Amount A allocation where the relevant business is not profitable over time. To ensure Amount A applies only to economic profit, consideration will be given to MNEs in scope being allowed to bring existing losses incurred prior to</w:t>
      </w:r>
      <w:r>
        <w:rPr>
          <w:spacing w:val="-9"/>
          <w:sz w:val="20"/>
        </w:rPr>
        <w:t> </w:t>
      </w:r>
      <w:r>
        <w:rPr>
          <w:sz w:val="20"/>
        </w:rPr>
        <w:t>the</w:t>
      </w:r>
      <w:r>
        <w:rPr>
          <w:spacing w:val="-9"/>
          <w:sz w:val="20"/>
        </w:rPr>
        <w:t> </w:t>
      </w:r>
      <w:r>
        <w:rPr>
          <w:sz w:val="20"/>
        </w:rPr>
        <w:t>introduction</w:t>
      </w:r>
      <w:r>
        <w:rPr>
          <w:spacing w:val="-8"/>
          <w:sz w:val="20"/>
        </w:rPr>
        <w:t> </w:t>
      </w:r>
      <w:r>
        <w:rPr>
          <w:sz w:val="20"/>
        </w:rPr>
        <w:t>of</w:t>
      </w:r>
      <w:r>
        <w:rPr>
          <w:spacing w:val="-7"/>
          <w:sz w:val="20"/>
        </w:rPr>
        <w:t> </w:t>
      </w:r>
      <w:r>
        <w:rPr>
          <w:sz w:val="20"/>
        </w:rPr>
        <w:t>Amount</w:t>
      </w:r>
      <w:r>
        <w:rPr>
          <w:spacing w:val="-8"/>
          <w:sz w:val="20"/>
        </w:rPr>
        <w:t> </w:t>
      </w:r>
      <w:r>
        <w:rPr>
          <w:sz w:val="20"/>
        </w:rPr>
        <w:t>A</w:t>
      </w:r>
      <w:r>
        <w:rPr>
          <w:spacing w:val="-7"/>
          <w:sz w:val="20"/>
        </w:rPr>
        <w:t> </w:t>
      </w:r>
      <w:r>
        <w:rPr>
          <w:sz w:val="20"/>
        </w:rPr>
        <w:t>into</w:t>
      </w:r>
      <w:r>
        <w:rPr>
          <w:spacing w:val="-8"/>
          <w:sz w:val="20"/>
        </w:rPr>
        <w:t> </w:t>
      </w:r>
      <w:r>
        <w:rPr>
          <w:sz w:val="20"/>
        </w:rPr>
        <w:t>this</w:t>
      </w:r>
      <w:r>
        <w:rPr>
          <w:spacing w:val="-7"/>
          <w:sz w:val="20"/>
        </w:rPr>
        <w:t> </w:t>
      </w:r>
      <w:r>
        <w:rPr>
          <w:sz w:val="20"/>
        </w:rPr>
        <w:t>loss</w:t>
      </w:r>
      <w:r>
        <w:rPr>
          <w:spacing w:val="-8"/>
          <w:sz w:val="20"/>
        </w:rPr>
        <w:t> </w:t>
      </w:r>
      <w:r>
        <w:rPr>
          <w:sz w:val="20"/>
        </w:rPr>
        <w:t>carry-forward</w:t>
      </w:r>
      <w:r>
        <w:rPr>
          <w:spacing w:val="-7"/>
          <w:sz w:val="20"/>
        </w:rPr>
        <w:t> </w:t>
      </w:r>
      <w:r>
        <w:rPr>
          <w:sz w:val="20"/>
        </w:rPr>
        <w:t>regime.</w:t>
      </w:r>
      <w:r>
        <w:rPr>
          <w:spacing w:val="-9"/>
          <w:sz w:val="20"/>
        </w:rPr>
        <w:t> </w:t>
      </w:r>
      <w:r>
        <w:rPr>
          <w:sz w:val="20"/>
        </w:rPr>
        <w:t>The</w:t>
      </w:r>
      <w:r>
        <w:rPr>
          <w:spacing w:val="-8"/>
          <w:sz w:val="20"/>
        </w:rPr>
        <w:t> </w:t>
      </w:r>
      <w:r>
        <w:rPr>
          <w:sz w:val="20"/>
        </w:rPr>
        <w:t>regime</w:t>
      </w:r>
      <w:r>
        <w:rPr>
          <w:spacing w:val="-8"/>
          <w:sz w:val="20"/>
        </w:rPr>
        <w:t> </w:t>
      </w:r>
      <w:r>
        <w:rPr>
          <w:sz w:val="20"/>
        </w:rPr>
        <w:t>will</w:t>
      </w:r>
      <w:r>
        <w:rPr>
          <w:spacing w:val="-9"/>
          <w:sz w:val="20"/>
        </w:rPr>
        <w:t> </w:t>
      </w:r>
      <w:r>
        <w:rPr>
          <w:sz w:val="20"/>
        </w:rPr>
        <w:t>rely</w:t>
      </w:r>
      <w:r>
        <w:rPr>
          <w:spacing w:val="-12"/>
          <w:sz w:val="20"/>
        </w:rPr>
        <w:t> </w:t>
      </w:r>
      <w:r>
        <w:rPr>
          <w:sz w:val="20"/>
        </w:rPr>
        <w:t>on</w:t>
      </w:r>
      <w:r>
        <w:rPr>
          <w:spacing w:val="-8"/>
          <w:sz w:val="20"/>
        </w:rPr>
        <w:t> </w:t>
      </w:r>
      <w:r>
        <w:rPr>
          <w:sz w:val="20"/>
        </w:rPr>
        <w:t>an</w:t>
      </w:r>
      <w:r>
        <w:rPr>
          <w:spacing w:val="-9"/>
          <w:sz w:val="20"/>
        </w:rPr>
        <w:t> </w:t>
      </w:r>
      <w:r>
        <w:rPr>
          <w:sz w:val="20"/>
        </w:rPr>
        <w:t>earn- out mechanism to enable offsetting past losses against future profit. Amount A losses will be preserved</w:t>
      </w:r>
      <w:r>
        <w:rPr>
          <w:spacing w:val="-10"/>
          <w:sz w:val="20"/>
        </w:rPr>
        <w:t> </w:t>
      </w:r>
      <w:r>
        <w:rPr>
          <w:sz w:val="20"/>
        </w:rPr>
        <w:t>and</w:t>
      </w:r>
      <w:r>
        <w:rPr>
          <w:spacing w:val="-9"/>
          <w:sz w:val="20"/>
        </w:rPr>
        <w:t> </w:t>
      </w:r>
      <w:r>
        <w:rPr>
          <w:sz w:val="20"/>
        </w:rPr>
        <w:t>carried</w:t>
      </w:r>
      <w:r>
        <w:rPr>
          <w:spacing w:val="-9"/>
          <w:sz w:val="20"/>
        </w:rPr>
        <w:t> </w:t>
      </w:r>
      <w:r>
        <w:rPr>
          <w:sz w:val="20"/>
        </w:rPr>
        <w:t>forward</w:t>
      </w:r>
      <w:r>
        <w:rPr>
          <w:spacing w:val="-6"/>
          <w:sz w:val="20"/>
        </w:rPr>
        <w:t> </w:t>
      </w:r>
      <w:r>
        <w:rPr>
          <w:sz w:val="20"/>
        </w:rPr>
        <w:t>in</w:t>
      </w:r>
      <w:r>
        <w:rPr>
          <w:spacing w:val="-10"/>
          <w:sz w:val="20"/>
        </w:rPr>
        <w:t> </w:t>
      </w:r>
      <w:r>
        <w:rPr>
          <w:sz w:val="20"/>
        </w:rPr>
        <w:t>a</w:t>
      </w:r>
      <w:r>
        <w:rPr>
          <w:spacing w:val="-9"/>
          <w:sz w:val="20"/>
        </w:rPr>
        <w:t> </w:t>
      </w:r>
      <w:r>
        <w:rPr>
          <w:sz w:val="20"/>
        </w:rPr>
        <w:t>single</w:t>
      </w:r>
      <w:r>
        <w:rPr>
          <w:spacing w:val="-9"/>
          <w:sz w:val="20"/>
        </w:rPr>
        <w:t> </w:t>
      </w:r>
      <w:r>
        <w:rPr>
          <w:sz w:val="20"/>
        </w:rPr>
        <w:t>account</w:t>
      </w:r>
      <w:r>
        <w:rPr>
          <w:spacing w:val="-7"/>
          <w:sz w:val="20"/>
        </w:rPr>
        <w:t> </w:t>
      </w:r>
      <w:r>
        <w:rPr>
          <w:sz w:val="20"/>
        </w:rPr>
        <w:t>at</w:t>
      </w:r>
      <w:r>
        <w:rPr>
          <w:spacing w:val="-10"/>
          <w:sz w:val="20"/>
        </w:rPr>
        <w:t> </w:t>
      </w:r>
      <w:r>
        <w:rPr>
          <w:sz w:val="20"/>
        </w:rPr>
        <w:t>the</w:t>
      </w:r>
      <w:r>
        <w:rPr>
          <w:spacing w:val="-9"/>
          <w:sz w:val="20"/>
        </w:rPr>
        <w:t> </w:t>
      </w:r>
      <w:r>
        <w:rPr>
          <w:sz w:val="20"/>
        </w:rPr>
        <w:t>level</w:t>
      </w:r>
      <w:r>
        <w:rPr>
          <w:spacing w:val="-10"/>
          <w:sz w:val="20"/>
        </w:rPr>
        <w:t> </w:t>
      </w:r>
      <w:r>
        <w:rPr>
          <w:sz w:val="20"/>
        </w:rPr>
        <w:t>of</w:t>
      </w:r>
      <w:r>
        <w:rPr>
          <w:spacing w:val="-7"/>
          <w:sz w:val="20"/>
        </w:rPr>
        <w:t> </w:t>
      </w:r>
      <w:r>
        <w:rPr>
          <w:sz w:val="20"/>
        </w:rPr>
        <w:t>the</w:t>
      </w:r>
      <w:r>
        <w:rPr>
          <w:spacing w:val="-9"/>
          <w:sz w:val="20"/>
        </w:rPr>
        <w:t> </w:t>
      </w:r>
      <w:r>
        <w:rPr>
          <w:sz w:val="20"/>
        </w:rPr>
        <w:t>group</w:t>
      </w:r>
      <w:r>
        <w:rPr>
          <w:spacing w:val="-10"/>
          <w:sz w:val="20"/>
        </w:rPr>
        <w:t> </w:t>
      </w:r>
      <w:r>
        <w:rPr>
          <w:sz w:val="20"/>
        </w:rPr>
        <w:t>(or</w:t>
      </w:r>
      <w:r>
        <w:rPr>
          <w:spacing w:val="-8"/>
          <w:sz w:val="20"/>
        </w:rPr>
        <w:t> </w:t>
      </w:r>
      <w:r>
        <w:rPr>
          <w:sz w:val="20"/>
        </w:rPr>
        <w:t>segment</w:t>
      </w:r>
      <w:r>
        <w:rPr>
          <w:spacing w:val="-9"/>
          <w:sz w:val="20"/>
        </w:rPr>
        <w:t> </w:t>
      </w:r>
      <w:r>
        <w:rPr>
          <w:sz w:val="20"/>
        </w:rPr>
        <w:t>level</w:t>
      </w:r>
      <w:r>
        <w:rPr>
          <w:spacing w:val="-7"/>
          <w:sz w:val="20"/>
        </w:rPr>
        <w:t> </w:t>
      </w:r>
      <w:r>
        <w:rPr>
          <w:sz w:val="20"/>
        </w:rPr>
        <w:t>where relevant), and not allocated to individual market</w:t>
      </w:r>
      <w:r>
        <w:rPr>
          <w:spacing w:val="-5"/>
          <w:sz w:val="20"/>
        </w:rPr>
        <w:t> </w:t>
      </w:r>
      <w:r>
        <w:rPr>
          <w:sz w:val="20"/>
        </w:rPr>
        <w:t>jurisdictions.</w:t>
      </w:r>
    </w:p>
    <w:p>
      <w:pPr>
        <w:pStyle w:val="ListParagraph"/>
        <w:numPr>
          <w:ilvl w:val="1"/>
          <w:numId w:val="4"/>
        </w:numPr>
        <w:tabs>
          <w:tab w:pos="1403" w:val="left" w:leader="none"/>
        </w:tabs>
        <w:spacing w:line="271" w:lineRule="auto" w:before="43" w:after="0"/>
        <w:ind w:left="1402" w:right="480" w:hanging="339"/>
        <w:jc w:val="both"/>
        <w:rPr>
          <w:sz w:val="20"/>
        </w:rPr>
      </w:pPr>
      <w:r>
        <w:rPr>
          <w:sz w:val="20"/>
        </w:rPr>
        <w:t>In addition to the proposed mechanism to eliminate double taxation, different options are being considered to adjust the allocation of Amount A to market jurisdictions where an MNE already leaves residual profits under the existing ALP-based profit allocation rules (so-called “double counting” issues), including </w:t>
      </w:r>
      <w:r>
        <w:rPr>
          <w:b/>
          <w:sz w:val="20"/>
        </w:rPr>
        <w:t>a marketing and distribution profits safe harbour</w:t>
      </w:r>
      <w:r>
        <w:rPr>
          <w:sz w:val="20"/>
        </w:rPr>
        <w:t>. This approach would conceptually consider the income taxes payable in the market jurisdiction under existing taxing rights and Amount A together, and adjust the quantum of Amount A taxable in a market jurisdiction, limiting it where the residual profit of the MNE is already allocated to that jurisdiction as</w:t>
      </w:r>
      <w:r>
        <w:rPr>
          <w:spacing w:val="-18"/>
          <w:sz w:val="20"/>
        </w:rPr>
        <w:t> </w:t>
      </w:r>
      <w:r>
        <w:rPr>
          <w:sz w:val="20"/>
        </w:rPr>
        <w:t>a</w:t>
      </w:r>
      <w:r>
        <w:rPr>
          <w:spacing w:val="-19"/>
          <w:sz w:val="20"/>
        </w:rPr>
        <w:t> </w:t>
      </w:r>
      <w:r>
        <w:rPr>
          <w:sz w:val="20"/>
        </w:rPr>
        <w:t>result</w:t>
      </w:r>
      <w:r>
        <w:rPr>
          <w:spacing w:val="-15"/>
          <w:sz w:val="20"/>
        </w:rPr>
        <w:t> </w:t>
      </w:r>
      <w:r>
        <w:rPr>
          <w:sz w:val="20"/>
        </w:rPr>
        <w:t>of</w:t>
      </w:r>
      <w:r>
        <w:rPr>
          <w:spacing w:val="-17"/>
          <w:sz w:val="20"/>
        </w:rPr>
        <w:t> </w:t>
      </w:r>
      <w:r>
        <w:rPr>
          <w:sz w:val="20"/>
        </w:rPr>
        <w:t>the</w:t>
      </w:r>
      <w:r>
        <w:rPr>
          <w:spacing w:val="-17"/>
          <w:sz w:val="20"/>
        </w:rPr>
        <w:t> </w:t>
      </w:r>
      <w:r>
        <w:rPr>
          <w:sz w:val="20"/>
        </w:rPr>
        <w:t>existing</w:t>
      </w:r>
      <w:r>
        <w:rPr>
          <w:spacing w:val="-16"/>
          <w:sz w:val="20"/>
        </w:rPr>
        <w:t> </w:t>
      </w:r>
      <w:r>
        <w:rPr>
          <w:sz w:val="20"/>
        </w:rPr>
        <w:t>profit</w:t>
      </w:r>
      <w:r>
        <w:rPr>
          <w:spacing w:val="-18"/>
          <w:sz w:val="20"/>
        </w:rPr>
        <w:t> </w:t>
      </w:r>
      <w:r>
        <w:rPr>
          <w:sz w:val="20"/>
        </w:rPr>
        <w:t>allocation</w:t>
      </w:r>
      <w:r>
        <w:rPr>
          <w:spacing w:val="-19"/>
          <w:sz w:val="20"/>
        </w:rPr>
        <w:t> </w:t>
      </w:r>
      <w:r>
        <w:rPr>
          <w:sz w:val="20"/>
        </w:rPr>
        <w:t>rules.</w:t>
      </w:r>
      <w:r>
        <w:rPr>
          <w:spacing w:val="-15"/>
          <w:sz w:val="20"/>
        </w:rPr>
        <w:t> </w:t>
      </w:r>
      <w:r>
        <w:rPr>
          <w:sz w:val="20"/>
        </w:rPr>
        <w:t>Under</w:t>
      </w:r>
      <w:r>
        <w:rPr>
          <w:spacing w:val="-17"/>
          <w:sz w:val="20"/>
        </w:rPr>
        <w:t> </w:t>
      </w:r>
      <w:r>
        <w:rPr>
          <w:sz w:val="20"/>
        </w:rPr>
        <w:t>the</w:t>
      </w:r>
      <w:r>
        <w:rPr>
          <w:spacing w:val="-19"/>
          <w:sz w:val="20"/>
        </w:rPr>
        <w:t> </w:t>
      </w:r>
      <w:r>
        <w:rPr>
          <w:sz w:val="20"/>
        </w:rPr>
        <w:t>safe</w:t>
      </w:r>
      <w:r>
        <w:rPr>
          <w:spacing w:val="-18"/>
          <w:sz w:val="20"/>
        </w:rPr>
        <w:t> </w:t>
      </w:r>
      <w:r>
        <w:rPr>
          <w:sz w:val="20"/>
        </w:rPr>
        <w:t>harbour,</w:t>
      </w:r>
      <w:r>
        <w:rPr>
          <w:spacing w:val="-16"/>
          <w:sz w:val="20"/>
        </w:rPr>
        <w:t> </w:t>
      </w:r>
      <w:r>
        <w:rPr>
          <w:sz w:val="20"/>
        </w:rPr>
        <w:t>groups</w:t>
      </w:r>
      <w:r>
        <w:rPr>
          <w:spacing w:val="-17"/>
          <w:sz w:val="20"/>
        </w:rPr>
        <w:t> </w:t>
      </w:r>
      <w:r>
        <w:rPr>
          <w:sz w:val="20"/>
        </w:rPr>
        <w:t>that</w:t>
      </w:r>
      <w:r>
        <w:rPr>
          <w:spacing w:val="-16"/>
          <w:sz w:val="20"/>
        </w:rPr>
        <w:t> </w:t>
      </w:r>
      <w:r>
        <w:rPr>
          <w:sz w:val="20"/>
        </w:rPr>
        <w:t>already</w:t>
      </w:r>
      <w:r>
        <w:rPr>
          <w:spacing w:val="-19"/>
          <w:sz w:val="20"/>
        </w:rPr>
        <w:t> </w:t>
      </w:r>
      <w:r>
        <w:rPr>
          <w:sz w:val="20"/>
        </w:rPr>
        <w:t>allocate profits to market jurisdiction in excess of the safe harbour return would in some instances not pay Amount</w:t>
      </w:r>
      <w:r>
        <w:rPr>
          <w:spacing w:val="-9"/>
          <w:sz w:val="20"/>
        </w:rPr>
        <w:t> </w:t>
      </w:r>
      <w:r>
        <w:rPr>
          <w:sz w:val="20"/>
        </w:rPr>
        <w:t>A</w:t>
      </w:r>
      <w:r>
        <w:rPr>
          <w:spacing w:val="-7"/>
          <w:sz w:val="20"/>
        </w:rPr>
        <w:t> </w:t>
      </w:r>
      <w:r>
        <w:rPr>
          <w:sz w:val="20"/>
        </w:rPr>
        <w:t>or</w:t>
      </w:r>
      <w:r>
        <w:rPr>
          <w:spacing w:val="-8"/>
          <w:sz w:val="20"/>
        </w:rPr>
        <w:t> </w:t>
      </w:r>
      <w:r>
        <w:rPr>
          <w:sz w:val="20"/>
        </w:rPr>
        <w:t>apply</w:t>
      </w:r>
      <w:r>
        <w:rPr>
          <w:spacing w:val="-9"/>
          <w:sz w:val="20"/>
        </w:rPr>
        <w:t> </w:t>
      </w:r>
      <w:r>
        <w:rPr>
          <w:sz w:val="20"/>
        </w:rPr>
        <w:t>the</w:t>
      </w:r>
      <w:r>
        <w:rPr>
          <w:spacing w:val="-7"/>
          <w:sz w:val="20"/>
        </w:rPr>
        <w:t> </w:t>
      </w:r>
      <w:r>
        <w:rPr>
          <w:sz w:val="20"/>
        </w:rPr>
        <w:t>mechanism</w:t>
      </w:r>
      <w:r>
        <w:rPr>
          <w:spacing w:val="-4"/>
          <w:sz w:val="20"/>
        </w:rPr>
        <w:t> </w:t>
      </w:r>
      <w:r>
        <w:rPr>
          <w:sz w:val="20"/>
        </w:rPr>
        <w:t>to</w:t>
      </w:r>
      <w:r>
        <w:rPr>
          <w:spacing w:val="-9"/>
          <w:sz w:val="20"/>
        </w:rPr>
        <w:t> </w:t>
      </w:r>
      <w:r>
        <w:rPr>
          <w:sz w:val="20"/>
        </w:rPr>
        <w:t>eliminate</w:t>
      </w:r>
      <w:r>
        <w:rPr>
          <w:spacing w:val="-6"/>
          <w:sz w:val="20"/>
        </w:rPr>
        <w:t> </w:t>
      </w:r>
      <w:r>
        <w:rPr>
          <w:sz w:val="20"/>
        </w:rPr>
        <w:t>double</w:t>
      </w:r>
      <w:r>
        <w:rPr>
          <w:spacing w:val="-7"/>
          <w:sz w:val="20"/>
        </w:rPr>
        <w:t> </w:t>
      </w:r>
      <w:r>
        <w:rPr>
          <w:sz w:val="20"/>
        </w:rPr>
        <w:t>taxation</w:t>
      </w:r>
      <w:r>
        <w:rPr>
          <w:spacing w:val="-2"/>
          <w:sz w:val="20"/>
        </w:rPr>
        <w:t> </w:t>
      </w:r>
      <w:r>
        <w:rPr>
          <w:sz w:val="20"/>
        </w:rPr>
        <w:t>and</w:t>
      </w:r>
      <w:r>
        <w:rPr>
          <w:spacing w:val="-7"/>
          <w:sz w:val="20"/>
        </w:rPr>
        <w:t> </w:t>
      </w:r>
      <w:r>
        <w:rPr>
          <w:sz w:val="20"/>
        </w:rPr>
        <w:t>thus</w:t>
      </w:r>
      <w:r>
        <w:rPr>
          <w:spacing w:val="-5"/>
          <w:sz w:val="20"/>
        </w:rPr>
        <w:t> </w:t>
      </w:r>
      <w:r>
        <w:rPr>
          <w:sz w:val="20"/>
        </w:rPr>
        <w:t>could</w:t>
      </w:r>
      <w:r>
        <w:rPr>
          <w:spacing w:val="-8"/>
          <w:sz w:val="20"/>
        </w:rPr>
        <w:t> </w:t>
      </w:r>
      <w:r>
        <w:rPr>
          <w:sz w:val="20"/>
        </w:rPr>
        <w:t>continue</w:t>
      </w:r>
      <w:r>
        <w:rPr>
          <w:spacing w:val="-8"/>
          <w:sz w:val="20"/>
        </w:rPr>
        <w:t> </w:t>
      </w:r>
      <w:r>
        <w:rPr>
          <w:sz w:val="20"/>
        </w:rPr>
        <w:t>to</w:t>
      </w:r>
      <w:r>
        <w:rPr>
          <w:spacing w:val="-9"/>
          <w:sz w:val="20"/>
        </w:rPr>
        <w:t> </w:t>
      </w:r>
      <w:r>
        <w:rPr>
          <w:sz w:val="20"/>
        </w:rPr>
        <w:t>allocate</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1"/>
        <w:jc w:val="both"/>
      </w:pPr>
      <w:r>
        <w:rPr/>
        <w:t>profits under the current rules. Other approaches considered to deal with double counting issues, next to the mechanism to eliminate double taxation, include the domestic business exemption.</w:t>
      </w:r>
    </w:p>
    <w:p>
      <w:pPr>
        <w:pStyle w:val="ListParagraph"/>
        <w:numPr>
          <w:ilvl w:val="1"/>
          <w:numId w:val="4"/>
        </w:numPr>
        <w:tabs>
          <w:tab w:pos="1403" w:val="left" w:leader="none"/>
        </w:tabs>
        <w:spacing w:line="271" w:lineRule="auto" w:before="45" w:after="0"/>
        <w:ind w:left="1402" w:right="480" w:hanging="339"/>
        <w:jc w:val="both"/>
        <w:rPr>
          <w:sz w:val="20"/>
        </w:rPr>
      </w:pPr>
      <w:r>
        <w:rPr>
          <w:sz w:val="20"/>
        </w:rPr>
        <w:t>The </w:t>
      </w:r>
      <w:r>
        <w:rPr>
          <w:b/>
          <w:sz w:val="20"/>
        </w:rPr>
        <w:t>mechanism to eliminate double taxation </w:t>
      </w:r>
      <w:r>
        <w:rPr>
          <w:sz w:val="20"/>
        </w:rPr>
        <w:t>will have two components: (i) identification of the paying entities; and (ii) the methods to eliminate double taxation. To identify the entity or entities that will bear the Amount A tax liability, the “paying entities”, a process with up to four steps is contemplated. First, a qualitative activities test to identify entities that earn residual profit using a positive and negative list of indicia (which will be applied based on existing transfer pricing documentation). A profitability test would then be applied to ensure these entities have the ability to</w:t>
      </w:r>
      <w:r>
        <w:rPr>
          <w:spacing w:val="-8"/>
          <w:sz w:val="20"/>
        </w:rPr>
        <w:t> </w:t>
      </w:r>
      <w:r>
        <w:rPr>
          <w:sz w:val="20"/>
        </w:rPr>
        <w:t>pay</w:t>
      </w:r>
      <w:r>
        <w:rPr>
          <w:spacing w:val="-8"/>
          <w:sz w:val="20"/>
        </w:rPr>
        <w:t> </w:t>
      </w:r>
      <w:r>
        <w:rPr>
          <w:sz w:val="20"/>
        </w:rPr>
        <w:t>Amount</w:t>
      </w:r>
      <w:r>
        <w:rPr>
          <w:spacing w:val="1"/>
          <w:sz w:val="20"/>
        </w:rPr>
        <w:t> </w:t>
      </w:r>
      <w:r>
        <w:rPr>
          <w:sz w:val="20"/>
        </w:rPr>
        <w:t>A.</w:t>
      </w:r>
      <w:r>
        <w:rPr>
          <w:spacing w:val="-5"/>
          <w:sz w:val="20"/>
        </w:rPr>
        <w:t> </w:t>
      </w:r>
      <w:r>
        <w:rPr>
          <w:sz w:val="20"/>
        </w:rPr>
        <w:t>As</w:t>
      </w:r>
      <w:r>
        <w:rPr>
          <w:spacing w:val="-6"/>
          <w:sz w:val="20"/>
        </w:rPr>
        <w:t> </w:t>
      </w:r>
      <w:r>
        <w:rPr>
          <w:sz w:val="20"/>
        </w:rPr>
        <w:t>a</w:t>
      </w:r>
      <w:r>
        <w:rPr>
          <w:spacing w:val="-5"/>
          <w:sz w:val="20"/>
        </w:rPr>
        <w:t> </w:t>
      </w:r>
      <w:r>
        <w:rPr>
          <w:sz w:val="20"/>
        </w:rPr>
        <w:t>priority</w:t>
      </w:r>
      <w:r>
        <w:rPr>
          <w:spacing w:val="-9"/>
          <w:sz w:val="20"/>
        </w:rPr>
        <w:t> </w:t>
      </w:r>
      <w:r>
        <w:rPr>
          <w:sz w:val="20"/>
        </w:rPr>
        <w:t>rule,</w:t>
      </w:r>
      <w:r>
        <w:rPr>
          <w:spacing w:val="-7"/>
          <w:sz w:val="20"/>
        </w:rPr>
        <w:t> </w:t>
      </w:r>
      <w:r>
        <w:rPr>
          <w:sz w:val="20"/>
        </w:rPr>
        <w:t>the</w:t>
      </w:r>
      <w:r>
        <w:rPr>
          <w:spacing w:val="-5"/>
          <w:sz w:val="20"/>
        </w:rPr>
        <w:t> </w:t>
      </w:r>
      <w:r>
        <w:rPr>
          <w:sz w:val="20"/>
        </w:rPr>
        <w:t>Amount</w:t>
      </w:r>
      <w:r>
        <w:rPr>
          <w:spacing w:val="-5"/>
          <w:sz w:val="20"/>
        </w:rPr>
        <w:t> </w:t>
      </w:r>
      <w:r>
        <w:rPr>
          <w:sz w:val="20"/>
        </w:rPr>
        <w:t>A</w:t>
      </w:r>
      <w:r>
        <w:rPr>
          <w:spacing w:val="-8"/>
          <w:sz w:val="20"/>
        </w:rPr>
        <w:t> </w:t>
      </w:r>
      <w:r>
        <w:rPr>
          <w:sz w:val="20"/>
        </w:rPr>
        <w:t>tax</w:t>
      </w:r>
      <w:r>
        <w:rPr>
          <w:spacing w:val="-6"/>
          <w:sz w:val="20"/>
        </w:rPr>
        <w:t> </w:t>
      </w:r>
      <w:r>
        <w:rPr>
          <w:sz w:val="20"/>
        </w:rPr>
        <w:t>liability</w:t>
      </w:r>
      <w:r>
        <w:rPr>
          <w:spacing w:val="-10"/>
          <w:sz w:val="20"/>
        </w:rPr>
        <w:t> </w:t>
      </w:r>
      <w:r>
        <w:rPr>
          <w:sz w:val="20"/>
        </w:rPr>
        <w:t>for</w:t>
      </w:r>
      <w:r>
        <w:rPr>
          <w:spacing w:val="-4"/>
          <w:sz w:val="20"/>
        </w:rPr>
        <w:t> </w:t>
      </w:r>
      <w:r>
        <w:rPr>
          <w:sz w:val="20"/>
        </w:rPr>
        <w:t>a</w:t>
      </w:r>
      <w:r>
        <w:rPr>
          <w:spacing w:val="-8"/>
          <w:sz w:val="20"/>
        </w:rPr>
        <w:t> </w:t>
      </w:r>
      <w:r>
        <w:rPr>
          <w:sz w:val="20"/>
        </w:rPr>
        <w:t>market</w:t>
      </w:r>
      <w:r>
        <w:rPr>
          <w:spacing w:val="-7"/>
          <w:sz w:val="20"/>
        </w:rPr>
        <w:t> </w:t>
      </w:r>
      <w:r>
        <w:rPr>
          <w:sz w:val="20"/>
        </w:rPr>
        <w:t>jurisdiction</w:t>
      </w:r>
      <w:r>
        <w:rPr>
          <w:spacing w:val="-5"/>
          <w:sz w:val="20"/>
        </w:rPr>
        <w:t> </w:t>
      </w:r>
      <w:r>
        <w:rPr>
          <w:sz w:val="20"/>
        </w:rPr>
        <w:t>would</w:t>
      </w:r>
      <w:r>
        <w:rPr>
          <w:spacing w:val="-7"/>
          <w:sz w:val="20"/>
        </w:rPr>
        <w:t> </w:t>
      </w:r>
      <w:r>
        <w:rPr>
          <w:sz w:val="20"/>
        </w:rPr>
        <w:t>first</w:t>
      </w:r>
      <w:r>
        <w:rPr>
          <w:spacing w:val="-8"/>
          <w:sz w:val="20"/>
        </w:rPr>
        <w:t> </w:t>
      </w:r>
      <w:r>
        <w:rPr>
          <w:sz w:val="20"/>
        </w:rPr>
        <w:t>be allocated to paying entities that are connected to a market jurisdiction. But, where the paying entities</w:t>
      </w:r>
      <w:r>
        <w:rPr>
          <w:spacing w:val="-8"/>
          <w:sz w:val="20"/>
        </w:rPr>
        <w:t> </w:t>
      </w:r>
      <w:r>
        <w:rPr>
          <w:sz w:val="20"/>
        </w:rPr>
        <w:t>connected</w:t>
      </w:r>
      <w:r>
        <w:rPr>
          <w:spacing w:val="-10"/>
          <w:sz w:val="20"/>
        </w:rPr>
        <w:t> </w:t>
      </w:r>
      <w:r>
        <w:rPr>
          <w:sz w:val="20"/>
        </w:rPr>
        <w:t>to</w:t>
      </w:r>
      <w:r>
        <w:rPr>
          <w:spacing w:val="-8"/>
          <w:sz w:val="20"/>
        </w:rPr>
        <w:t> </w:t>
      </w:r>
      <w:r>
        <w:rPr>
          <w:sz w:val="20"/>
        </w:rPr>
        <w:t>a</w:t>
      </w:r>
      <w:r>
        <w:rPr>
          <w:spacing w:val="-9"/>
          <w:sz w:val="20"/>
        </w:rPr>
        <w:t> </w:t>
      </w:r>
      <w:r>
        <w:rPr>
          <w:sz w:val="20"/>
        </w:rPr>
        <w:t>market</w:t>
      </w:r>
      <w:r>
        <w:rPr>
          <w:spacing w:val="-8"/>
          <w:sz w:val="20"/>
        </w:rPr>
        <w:t> </w:t>
      </w:r>
      <w:r>
        <w:rPr>
          <w:sz w:val="20"/>
        </w:rPr>
        <w:t>do</w:t>
      </w:r>
      <w:r>
        <w:rPr>
          <w:spacing w:val="-11"/>
          <w:sz w:val="20"/>
        </w:rPr>
        <w:t> </w:t>
      </w:r>
      <w:r>
        <w:rPr>
          <w:sz w:val="20"/>
        </w:rPr>
        <w:t>not</w:t>
      </w:r>
      <w:r>
        <w:rPr>
          <w:spacing w:val="-9"/>
          <w:sz w:val="20"/>
        </w:rPr>
        <w:t> </w:t>
      </w:r>
      <w:r>
        <w:rPr>
          <w:sz w:val="20"/>
        </w:rPr>
        <w:t>have</w:t>
      </w:r>
      <w:r>
        <w:rPr>
          <w:spacing w:val="-8"/>
          <w:sz w:val="20"/>
        </w:rPr>
        <w:t> </w:t>
      </w:r>
      <w:r>
        <w:rPr>
          <w:sz w:val="20"/>
        </w:rPr>
        <w:t>sufficient</w:t>
      </w:r>
      <w:r>
        <w:rPr>
          <w:spacing w:val="-9"/>
          <w:sz w:val="20"/>
        </w:rPr>
        <w:t> </w:t>
      </w:r>
      <w:r>
        <w:rPr>
          <w:sz w:val="20"/>
        </w:rPr>
        <w:t>profits</w:t>
      </w:r>
      <w:r>
        <w:rPr>
          <w:spacing w:val="-9"/>
          <w:sz w:val="20"/>
        </w:rPr>
        <w:t> </w:t>
      </w:r>
      <w:r>
        <w:rPr>
          <w:sz w:val="20"/>
        </w:rPr>
        <w:t>to</w:t>
      </w:r>
      <w:r>
        <w:rPr>
          <w:spacing w:val="-9"/>
          <w:sz w:val="20"/>
        </w:rPr>
        <w:t> </w:t>
      </w:r>
      <w:r>
        <w:rPr>
          <w:sz w:val="20"/>
        </w:rPr>
        <w:t>bear</w:t>
      </w:r>
      <w:r>
        <w:rPr>
          <w:spacing w:val="-10"/>
          <w:sz w:val="20"/>
        </w:rPr>
        <w:t> </w:t>
      </w:r>
      <w:r>
        <w:rPr>
          <w:sz w:val="20"/>
        </w:rPr>
        <w:t>the</w:t>
      </w:r>
      <w:r>
        <w:rPr>
          <w:spacing w:val="-12"/>
          <w:sz w:val="20"/>
        </w:rPr>
        <w:t> </w:t>
      </w:r>
      <w:r>
        <w:rPr>
          <w:sz w:val="20"/>
        </w:rPr>
        <w:t>full</w:t>
      </w:r>
      <w:r>
        <w:rPr>
          <w:spacing w:val="-9"/>
          <w:sz w:val="20"/>
        </w:rPr>
        <w:t> </w:t>
      </w:r>
      <w:r>
        <w:rPr>
          <w:sz w:val="20"/>
        </w:rPr>
        <w:t>liability,</w:t>
      </w:r>
      <w:r>
        <w:rPr>
          <w:spacing w:val="-9"/>
          <w:sz w:val="20"/>
        </w:rPr>
        <w:t> </w:t>
      </w:r>
      <w:r>
        <w:rPr>
          <w:sz w:val="20"/>
        </w:rPr>
        <w:t>any</w:t>
      </w:r>
      <w:r>
        <w:rPr>
          <w:spacing w:val="-11"/>
          <w:sz w:val="20"/>
        </w:rPr>
        <w:t> </w:t>
      </w:r>
      <w:r>
        <w:rPr>
          <w:sz w:val="20"/>
        </w:rPr>
        <w:t>outstanding liability could be apportioned between other paying entities (not connected to a market) on a pro- rata basis, or on other alternative “back-stop” bases that are being considered. Consideration will also be given as to whether and how this process could be simplified by eliminating the first (activities) and/or third (market connection priority) test and applying a more strictly quantitative and formulaic approach. Having identified the entity or entities that would bear an Amount A tax liability, a residence jurisdiction would then use the exemption or credit method to relieve double taxation.</w:t>
      </w:r>
    </w:p>
    <w:p>
      <w:pPr>
        <w:pStyle w:val="ListParagraph"/>
        <w:numPr>
          <w:ilvl w:val="1"/>
          <w:numId w:val="4"/>
        </w:numPr>
        <w:tabs>
          <w:tab w:pos="1403" w:val="left" w:leader="none"/>
        </w:tabs>
        <w:spacing w:line="268" w:lineRule="auto" w:before="48" w:after="0"/>
        <w:ind w:left="1402" w:right="481" w:hanging="339"/>
        <w:jc w:val="both"/>
        <w:rPr>
          <w:sz w:val="20"/>
        </w:rPr>
      </w:pPr>
      <w:r>
        <w:rPr>
          <w:sz w:val="20"/>
        </w:rPr>
        <w:t>Where an MNE is subject to the new taxing right, a </w:t>
      </w:r>
      <w:r>
        <w:rPr>
          <w:b/>
          <w:sz w:val="20"/>
        </w:rPr>
        <w:t>simplified administrative process </w:t>
      </w:r>
      <w:r>
        <w:rPr>
          <w:sz w:val="20"/>
        </w:rPr>
        <w:t>will be developed to minimise the complexity, burden and cost of filing and payment, which is aimed at benefitting tax administrations and taxpayers</w:t>
      </w:r>
      <w:r>
        <w:rPr>
          <w:spacing w:val="2"/>
          <w:sz w:val="20"/>
        </w:rPr>
        <w:t> </w:t>
      </w:r>
      <w:r>
        <w:rPr>
          <w:sz w:val="20"/>
        </w:rPr>
        <w:t>alike.</w:t>
      </w:r>
    </w:p>
    <w:p>
      <w:pPr>
        <w:pStyle w:val="ListParagraph"/>
        <w:numPr>
          <w:ilvl w:val="1"/>
          <w:numId w:val="4"/>
        </w:numPr>
        <w:tabs>
          <w:tab w:pos="1403" w:val="left" w:leader="none"/>
        </w:tabs>
        <w:spacing w:line="271" w:lineRule="auto" w:before="50" w:after="0"/>
        <w:ind w:left="1402" w:right="483" w:hanging="339"/>
        <w:jc w:val="both"/>
        <w:rPr>
          <w:sz w:val="20"/>
        </w:rPr>
      </w:pPr>
      <w:r>
        <w:rPr>
          <w:sz w:val="20"/>
        </w:rPr>
        <w:t>The </w:t>
      </w:r>
      <w:r>
        <w:rPr>
          <w:b/>
          <w:sz w:val="20"/>
        </w:rPr>
        <w:t>new Amount A taxing right would be implemented </w:t>
      </w:r>
      <w:r>
        <w:rPr>
          <w:sz w:val="20"/>
        </w:rPr>
        <w:t>through changes to domestic law, and by way of public international law instruments, in particular, a multilateral convention would be required. The domestic law and multilateral convention would be supplemented by guidance and other instruments where necessary.</w:t>
      </w:r>
    </w:p>
    <w:p>
      <w:pPr>
        <w:pStyle w:val="BodyText"/>
        <w:spacing w:before="8"/>
        <w:rPr>
          <w:sz w:val="23"/>
        </w:rPr>
      </w:pPr>
    </w:p>
    <w:p>
      <w:pPr>
        <w:pStyle w:val="Heading6"/>
        <w:numPr>
          <w:ilvl w:val="2"/>
          <w:numId w:val="3"/>
        </w:numPr>
        <w:tabs>
          <w:tab w:pos="2015" w:val="left" w:leader="none"/>
        </w:tabs>
        <w:spacing w:line="266" w:lineRule="auto" w:before="1" w:after="0"/>
        <w:ind w:left="1402" w:right="848" w:firstLine="0"/>
        <w:jc w:val="left"/>
      </w:pPr>
      <w:bookmarkStart w:name="1.2.2. The fixed return for defined base" w:id="16"/>
      <w:bookmarkEnd w:id="16"/>
      <w:r>
        <w:rPr>
          <w:b w:val="0"/>
          <w:i w:val="0"/>
        </w:rPr>
      </w:r>
      <w:bookmarkStart w:name="_bookmark5" w:id="17"/>
      <w:bookmarkEnd w:id="17"/>
      <w:r>
        <w:rPr>
          <w:b w:val="0"/>
          <w:i w:val="0"/>
        </w:rPr>
      </w:r>
      <w:bookmarkStart w:name="_bookmark5" w:id="18"/>
      <w:bookmarkEnd w:id="18"/>
      <w:r>
        <w:rPr>
          <w:i/>
        </w:rPr>
        <w:t>T</w:t>
      </w:r>
      <w:r>
        <w:rPr>
          <w:i/>
        </w:rPr>
        <w:t>he fixed return for defined baseline marketing and distribution activities </w:t>
      </w:r>
      <w:r>
        <w:rPr/>
        <w:t>(Amount</w:t>
      </w:r>
      <w:r>
        <w:rPr>
          <w:spacing w:val="-2"/>
        </w:rPr>
        <w:t> </w:t>
      </w:r>
      <w:r>
        <w:rPr/>
        <w:t>B)</w:t>
      </w:r>
    </w:p>
    <w:p>
      <w:pPr>
        <w:pStyle w:val="ListParagraph"/>
        <w:numPr>
          <w:ilvl w:val="0"/>
          <w:numId w:val="4"/>
        </w:numPr>
        <w:tabs>
          <w:tab w:pos="1444" w:val="left" w:leader="none"/>
        </w:tabs>
        <w:spacing w:line="271" w:lineRule="auto" w:before="189" w:after="0"/>
        <w:ind w:left="723" w:right="478" w:firstLine="0"/>
        <w:jc w:val="both"/>
        <w:rPr>
          <w:sz w:val="20"/>
        </w:rPr>
      </w:pPr>
      <w:r>
        <w:rPr>
          <w:sz w:val="20"/>
        </w:rPr>
        <w:t>The purpose of Amount B is two-fold. First, it is intended to simplify the administration of transfer pricing rules for tax administrations and lower compliance costs for taxpayers. Second, Amount B is intended</w:t>
      </w:r>
      <w:r>
        <w:rPr>
          <w:spacing w:val="-9"/>
          <w:sz w:val="20"/>
        </w:rPr>
        <w:t> </w:t>
      </w:r>
      <w:r>
        <w:rPr>
          <w:sz w:val="20"/>
        </w:rPr>
        <w:t>to</w:t>
      </w:r>
      <w:r>
        <w:rPr>
          <w:spacing w:val="-7"/>
          <w:sz w:val="20"/>
        </w:rPr>
        <w:t> </w:t>
      </w:r>
      <w:r>
        <w:rPr>
          <w:sz w:val="20"/>
        </w:rPr>
        <w:t>enhance</w:t>
      </w:r>
      <w:r>
        <w:rPr>
          <w:spacing w:val="-7"/>
          <w:sz w:val="20"/>
        </w:rPr>
        <w:t> </w:t>
      </w:r>
      <w:r>
        <w:rPr>
          <w:sz w:val="20"/>
        </w:rPr>
        <w:t>tax</w:t>
      </w:r>
      <w:r>
        <w:rPr>
          <w:spacing w:val="-8"/>
          <w:sz w:val="20"/>
        </w:rPr>
        <w:t> </w:t>
      </w:r>
      <w:r>
        <w:rPr>
          <w:sz w:val="20"/>
        </w:rPr>
        <w:t>certainty</w:t>
      </w:r>
      <w:r>
        <w:rPr>
          <w:spacing w:val="-10"/>
          <w:sz w:val="20"/>
        </w:rPr>
        <w:t> </w:t>
      </w:r>
      <w:r>
        <w:rPr>
          <w:sz w:val="20"/>
        </w:rPr>
        <w:t>and</w:t>
      </w:r>
      <w:r>
        <w:rPr>
          <w:spacing w:val="-9"/>
          <w:sz w:val="20"/>
        </w:rPr>
        <w:t> </w:t>
      </w:r>
      <w:r>
        <w:rPr>
          <w:sz w:val="20"/>
        </w:rPr>
        <w:t>reduce</w:t>
      </w:r>
      <w:r>
        <w:rPr>
          <w:spacing w:val="-7"/>
          <w:sz w:val="20"/>
        </w:rPr>
        <w:t> </w:t>
      </w:r>
      <w:r>
        <w:rPr>
          <w:sz w:val="20"/>
        </w:rPr>
        <w:t>controversy</w:t>
      </w:r>
      <w:r>
        <w:rPr>
          <w:spacing w:val="-11"/>
          <w:sz w:val="20"/>
        </w:rPr>
        <w:t> </w:t>
      </w:r>
      <w:r>
        <w:rPr>
          <w:sz w:val="20"/>
        </w:rPr>
        <w:t>between</w:t>
      </w:r>
      <w:r>
        <w:rPr>
          <w:spacing w:val="-7"/>
          <w:sz w:val="20"/>
        </w:rPr>
        <w:t> </w:t>
      </w:r>
      <w:r>
        <w:rPr>
          <w:sz w:val="20"/>
        </w:rPr>
        <w:t>tax</w:t>
      </w:r>
      <w:r>
        <w:rPr>
          <w:spacing w:val="-8"/>
          <w:sz w:val="20"/>
        </w:rPr>
        <w:t> </w:t>
      </w:r>
      <w:r>
        <w:rPr>
          <w:sz w:val="20"/>
        </w:rPr>
        <w:t>administrations</w:t>
      </w:r>
      <w:r>
        <w:rPr>
          <w:spacing w:val="-8"/>
          <w:sz w:val="20"/>
        </w:rPr>
        <w:t> </w:t>
      </w:r>
      <w:r>
        <w:rPr>
          <w:sz w:val="20"/>
        </w:rPr>
        <w:t>and</w:t>
      </w:r>
      <w:r>
        <w:rPr>
          <w:spacing w:val="-7"/>
          <w:sz w:val="20"/>
        </w:rPr>
        <w:t> </w:t>
      </w:r>
      <w:r>
        <w:rPr>
          <w:sz w:val="20"/>
        </w:rPr>
        <w:t>taxpayers.</w:t>
      </w:r>
      <w:r>
        <w:rPr>
          <w:spacing w:val="-9"/>
          <w:sz w:val="20"/>
        </w:rPr>
        <w:t> </w:t>
      </w:r>
      <w:r>
        <w:rPr>
          <w:sz w:val="20"/>
        </w:rPr>
        <w:t>For this</w:t>
      </w:r>
      <w:r>
        <w:rPr>
          <w:spacing w:val="-8"/>
          <w:sz w:val="20"/>
        </w:rPr>
        <w:t> </w:t>
      </w:r>
      <w:r>
        <w:rPr>
          <w:sz w:val="20"/>
        </w:rPr>
        <w:t>reason,</w:t>
      </w:r>
      <w:r>
        <w:rPr>
          <w:spacing w:val="-7"/>
          <w:sz w:val="20"/>
        </w:rPr>
        <w:t> </w:t>
      </w:r>
      <w:r>
        <w:rPr>
          <w:sz w:val="20"/>
        </w:rPr>
        <w:t>it</w:t>
      </w:r>
      <w:r>
        <w:rPr>
          <w:spacing w:val="-5"/>
          <w:sz w:val="20"/>
        </w:rPr>
        <w:t> </w:t>
      </w:r>
      <w:r>
        <w:rPr>
          <w:sz w:val="20"/>
        </w:rPr>
        <w:t>has</w:t>
      </w:r>
      <w:r>
        <w:rPr>
          <w:spacing w:val="-5"/>
          <w:sz w:val="20"/>
        </w:rPr>
        <w:t> </w:t>
      </w:r>
      <w:r>
        <w:rPr>
          <w:sz w:val="20"/>
        </w:rPr>
        <w:t>been</w:t>
      </w:r>
      <w:r>
        <w:rPr>
          <w:spacing w:val="-7"/>
          <w:sz w:val="20"/>
        </w:rPr>
        <w:t> </w:t>
      </w:r>
      <w:r>
        <w:rPr>
          <w:sz w:val="20"/>
        </w:rPr>
        <w:t>acknowledged</w:t>
      </w:r>
      <w:r>
        <w:rPr>
          <w:spacing w:val="-6"/>
          <w:sz w:val="20"/>
        </w:rPr>
        <w:t> </w:t>
      </w:r>
      <w:r>
        <w:rPr>
          <w:sz w:val="20"/>
        </w:rPr>
        <w:t>by</w:t>
      </w:r>
      <w:r>
        <w:rPr>
          <w:spacing w:val="-10"/>
          <w:sz w:val="20"/>
        </w:rPr>
        <w:t> </w:t>
      </w:r>
      <w:r>
        <w:rPr>
          <w:sz w:val="20"/>
        </w:rPr>
        <w:t>a</w:t>
      </w:r>
      <w:r>
        <w:rPr>
          <w:spacing w:val="-6"/>
          <w:sz w:val="20"/>
        </w:rPr>
        <w:t> </w:t>
      </w:r>
      <w:r>
        <w:rPr>
          <w:sz w:val="20"/>
        </w:rPr>
        <w:t>number</w:t>
      </w:r>
      <w:r>
        <w:rPr>
          <w:spacing w:val="-8"/>
          <w:sz w:val="20"/>
        </w:rPr>
        <w:t> </w:t>
      </w:r>
      <w:r>
        <w:rPr>
          <w:sz w:val="20"/>
        </w:rPr>
        <w:t>of</w:t>
      </w:r>
      <w:r>
        <w:rPr>
          <w:spacing w:val="-6"/>
          <w:sz w:val="20"/>
        </w:rPr>
        <w:t> </w:t>
      </w:r>
      <w:r>
        <w:rPr>
          <w:sz w:val="20"/>
        </w:rPr>
        <w:t>Inclusive</w:t>
      </w:r>
      <w:r>
        <w:rPr>
          <w:spacing w:val="-7"/>
          <w:sz w:val="20"/>
        </w:rPr>
        <w:t> </w:t>
      </w:r>
      <w:r>
        <w:rPr>
          <w:sz w:val="20"/>
        </w:rPr>
        <w:t>Framework</w:t>
      </w:r>
      <w:r>
        <w:rPr>
          <w:spacing w:val="-5"/>
          <w:sz w:val="20"/>
        </w:rPr>
        <w:t> </w:t>
      </w:r>
      <w:r>
        <w:rPr>
          <w:sz w:val="20"/>
        </w:rPr>
        <w:t>members</w:t>
      </w:r>
      <w:r>
        <w:rPr>
          <w:spacing w:val="-6"/>
          <w:sz w:val="20"/>
        </w:rPr>
        <w:t> </w:t>
      </w:r>
      <w:r>
        <w:rPr>
          <w:sz w:val="20"/>
        </w:rPr>
        <w:t>and</w:t>
      </w:r>
      <w:r>
        <w:rPr>
          <w:spacing w:val="4"/>
          <w:sz w:val="20"/>
        </w:rPr>
        <w:t> </w:t>
      </w:r>
      <w:r>
        <w:rPr>
          <w:sz w:val="20"/>
        </w:rPr>
        <w:t>MNEs</w:t>
      </w:r>
      <w:r>
        <w:rPr>
          <w:spacing w:val="-4"/>
          <w:sz w:val="20"/>
        </w:rPr>
        <w:t> </w:t>
      </w:r>
      <w:r>
        <w:rPr>
          <w:sz w:val="20"/>
        </w:rPr>
        <w:t>as</w:t>
      </w:r>
      <w:r>
        <w:rPr>
          <w:spacing w:val="-6"/>
          <w:sz w:val="20"/>
        </w:rPr>
        <w:t> </w:t>
      </w:r>
      <w:r>
        <w:rPr>
          <w:sz w:val="20"/>
        </w:rPr>
        <w:t>a</w:t>
      </w:r>
      <w:r>
        <w:rPr>
          <w:spacing w:val="-9"/>
          <w:sz w:val="20"/>
        </w:rPr>
        <w:t> </w:t>
      </w:r>
      <w:r>
        <w:rPr>
          <w:sz w:val="20"/>
        </w:rPr>
        <w:t>key deliverable of Pillar One on the presumption that the intended benefits may be</w:t>
      </w:r>
      <w:r>
        <w:rPr>
          <w:spacing w:val="-18"/>
          <w:sz w:val="20"/>
        </w:rPr>
        <w:t> </w:t>
      </w:r>
      <w:r>
        <w:rPr>
          <w:sz w:val="20"/>
        </w:rPr>
        <w:t>achieved.</w:t>
      </w:r>
    </w:p>
    <w:p>
      <w:pPr>
        <w:pStyle w:val="ListParagraph"/>
        <w:numPr>
          <w:ilvl w:val="0"/>
          <w:numId w:val="4"/>
        </w:numPr>
        <w:tabs>
          <w:tab w:pos="1444" w:val="left" w:leader="none"/>
        </w:tabs>
        <w:spacing w:line="271" w:lineRule="auto" w:before="121" w:after="0"/>
        <w:ind w:left="723" w:right="487" w:firstLine="0"/>
        <w:jc w:val="both"/>
        <w:rPr>
          <w:sz w:val="20"/>
        </w:rPr>
      </w:pPr>
      <w:r>
        <w:rPr>
          <w:sz w:val="20"/>
        </w:rPr>
        <w:t>Amount B will standardise the remuneration of related party distributors that perform “baseline marketing and distribution activities” in the market jurisdiction. The definition of baseline marketing and distribution</w:t>
      </w:r>
      <w:r>
        <w:rPr>
          <w:spacing w:val="-11"/>
          <w:sz w:val="20"/>
        </w:rPr>
        <w:t> </w:t>
      </w:r>
      <w:r>
        <w:rPr>
          <w:sz w:val="20"/>
        </w:rPr>
        <w:t>activities</w:t>
      </w:r>
      <w:r>
        <w:rPr>
          <w:spacing w:val="-9"/>
          <w:sz w:val="20"/>
        </w:rPr>
        <w:t> </w:t>
      </w:r>
      <w:r>
        <w:rPr>
          <w:sz w:val="20"/>
        </w:rPr>
        <w:t>covers</w:t>
      </w:r>
      <w:r>
        <w:rPr>
          <w:spacing w:val="-4"/>
          <w:sz w:val="20"/>
        </w:rPr>
        <w:t> </w:t>
      </w:r>
      <w:r>
        <w:rPr>
          <w:sz w:val="20"/>
        </w:rPr>
        <w:t>distributors</w:t>
      </w:r>
      <w:r>
        <w:rPr>
          <w:spacing w:val="-8"/>
          <w:sz w:val="20"/>
        </w:rPr>
        <w:t> </w:t>
      </w:r>
      <w:r>
        <w:rPr>
          <w:sz w:val="20"/>
        </w:rPr>
        <w:t>that</w:t>
      </w:r>
      <w:r>
        <w:rPr>
          <w:spacing w:val="-10"/>
          <w:sz w:val="20"/>
        </w:rPr>
        <w:t> </w:t>
      </w:r>
      <w:r>
        <w:rPr>
          <w:sz w:val="20"/>
        </w:rPr>
        <w:t>(i)</w:t>
      </w:r>
      <w:r>
        <w:rPr>
          <w:spacing w:val="-9"/>
          <w:sz w:val="20"/>
        </w:rPr>
        <w:t> </w:t>
      </w:r>
      <w:r>
        <w:rPr>
          <w:sz w:val="20"/>
        </w:rPr>
        <w:t>buy</w:t>
      </w:r>
      <w:r>
        <w:rPr>
          <w:spacing w:val="-13"/>
          <w:sz w:val="20"/>
        </w:rPr>
        <w:t> </w:t>
      </w:r>
      <w:r>
        <w:rPr>
          <w:sz w:val="20"/>
        </w:rPr>
        <w:t>from</w:t>
      </w:r>
      <w:r>
        <w:rPr>
          <w:spacing w:val="-8"/>
          <w:sz w:val="20"/>
        </w:rPr>
        <w:t> </w:t>
      </w:r>
      <w:r>
        <w:rPr>
          <w:sz w:val="20"/>
        </w:rPr>
        <w:t>related</w:t>
      </w:r>
      <w:r>
        <w:rPr>
          <w:spacing w:val="-10"/>
          <w:sz w:val="20"/>
        </w:rPr>
        <w:t> </w:t>
      </w:r>
      <w:r>
        <w:rPr>
          <w:sz w:val="20"/>
        </w:rPr>
        <w:t>parties</w:t>
      </w:r>
      <w:r>
        <w:rPr>
          <w:spacing w:val="-10"/>
          <w:sz w:val="20"/>
        </w:rPr>
        <w:t> </w:t>
      </w:r>
      <w:r>
        <w:rPr>
          <w:sz w:val="20"/>
        </w:rPr>
        <w:t>and</w:t>
      </w:r>
      <w:r>
        <w:rPr>
          <w:spacing w:val="-10"/>
          <w:sz w:val="20"/>
        </w:rPr>
        <w:t> </w:t>
      </w:r>
      <w:r>
        <w:rPr>
          <w:sz w:val="20"/>
        </w:rPr>
        <w:t>resell</w:t>
      </w:r>
      <w:r>
        <w:rPr>
          <w:spacing w:val="-8"/>
          <w:sz w:val="20"/>
        </w:rPr>
        <w:t> </w:t>
      </w:r>
      <w:r>
        <w:rPr>
          <w:sz w:val="20"/>
        </w:rPr>
        <w:t>to</w:t>
      </w:r>
      <w:r>
        <w:rPr>
          <w:spacing w:val="-10"/>
          <w:sz w:val="20"/>
        </w:rPr>
        <w:t> </w:t>
      </w:r>
      <w:r>
        <w:rPr>
          <w:sz w:val="20"/>
        </w:rPr>
        <w:t>unrelated</w:t>
      </w:r>
      <w:r>
        <w:rPr>
          <w:spacing w:val="-10"/>
          <w:sz w:val="20"/>
        </w:rPr>
        <w:t> </w:t>
      </w:r>
      <w:r>
        <w:rPr>
          <w:sz w:val="20"/>
        </w:rPr>
        <w:t>parties;</w:t>
      </w:r>
      <w:r>
        <w:rPr>
          <w:spacing w:val="-10"/>
          <w:sz w:val="20"/>
        </w:rPr>
        <w:t> </w:t>
      </w:r>
      <w:r>
        <w:rPr>
          <w:sz w:val="20"/>
        </w:rPr>
        <w:t>and</w:t>
      </w:r>
    </w:p>
    <w:p>
      <w:pPr>
        <w:pStyle w:val="BodyText"/>
        <w:spacing w:before="1"/>
        <w:ind w:left="723"/>
        <w:jc w:val="both"/>
      </w:pPr>
      <w:r>
        <w:rPr/>
        <w:t>(ii) have a routine distributor functionality profile.</w:t>
      </w:r>
    </w:p>
    <w:p>
      <w:pPr>
        <w:pStyle w:val="ListParagraph"/>
        <w:numPr>
          <w:ilvl w:val="0"/>
          <w:numId w:val="4"/>
        </w:numPr>
        <w:tabs>
          <w:tab w:pos="1444" w:val="left" w:leader="none"/>
        </w:tabs>
        <w:spacing w:line="271" w:lineRule="auto" w:before="149" w:after="0"/>
        <w:ind w:left="723" w:right="437" w:firstLine="0"/>
        <w:jc w:val="both"/>
        <w:rPr>
          <w:sz w:val="20"/>
        </w:rPr>
      </w:pPr>
      <w:r>
        <w:rPr>
          <w:sz w:val="20"/>
        </w:rPr>
        <w:t>Further, the activities in scope are first defined by a ‘positive list’ of typical functions performed, assets</w:t>
      </w:r>
      <w:r>
        <w:rPr>
          <w:spacing w:val="-3"/>
          <w:sz w:val="20"/>
        </w:rPr>
        <w:t> </w:t>
      </w:r>
      <w:r>
        <w:rPr>
          <w:sz w:val="20"/>
        </w:rPr>
        <w:t>owned</w:t>
      </w:r>
      <w:r>
        <w:rPr>
          <w:spacing w:val="-2"/>
          <w:sz w:val="20"/>
        </w:rPr>
        <w:t> </w:t>
      </w:r>
      <w:r>
        <w:rPr>
          <w:sz w:val="20"/>
        </w:rPr>
        <w:t>and</w:t>
      </w:r>
      <w:r>
        <w:rPr>
          <w:spacing w:val="-4"/>
          <w:sz w:val="20"/>
        </w:rPr>
        <w:t> </w:t>
      </w:r>
      <w:r>
        <w:rPr>
          <w:sz w:val="20"/>
        </w:rPr>
        <w:t>risks</w:t>
      </w:r>
      <w:r>
        <w:rPr>
          <w:spacing w:val="-3"/>
          <w:sz w:val="20"/>
        </w:rPr>
        <w:t> </w:t>
      </w:r>
      <w:r>
        <w:rPr>
          <w:sz w:val="20"/>
        </w:rPr>
        <w:t>assumed</w:t>
      </w:r>
      <w:r>
        <w:rPr>
          <w:spacing w:val="-5"/>
          <w:sz w:val="20"/>
        </w:rPr>
        <w:t> </w:t>
      </w:r>
      <w:r>
        <w:rPr>
          <w:sz w:val="20"/>
        </w:rPr>
        <w:t>at</w:t>
      </w:r>
      <w:r>
        <w:rPr>
          <w:spacing w:val="-5"/>
          <w:sz w:val="20"/>
        </w:rPr>
        <w:t> </w:t>
      </w:r>
      <w:r>
        <w:rPr>
          <w:sz w:val="20"/>
        </w:rPr>
        <w:t>arm’s</w:t>
      </w:r>
      <w:r>
        <w:rPr>
          <w:spacing w:val="-3"/>
          <w:sz w:val="20"/>
        </w:rPr>
        <w:t> </w:t>
      </w:r>
      <w:r>
        <w:rPr>
          <w:sz w:val="20"/>
        </w:rPr>
        <w:t>length</w:t>
      </w:r>
      <w:r>
        <w:rPr>
          <w:spacing w:val="-5"/>
          <w:sz w:val="20"/>
        </w:rPr>
        <w:t> </w:t>
      </w:r>
      <w:r>
        <w:rPr>
          <w:sz w:val="20"/>
        </w:rPr>
        <w:t>by</w:t>
      </w:r>
      <w:r>
        <w:rPr>
          <w:spacing w:val="-6"/>
          <w:sz w:val="20"/>
        </w:rPr>
        <w:t> </w:t>
      </w:r>
      <w:r>
        <w:rPr>
          <w:sz w:val="20"/>
        </w:rPr>
        <w:t>routine</w:t>
      </w:r>
      <w:r>
        <w:rPr>
          <w:spacing w:val="-4"/>
          <w:sz w:val="20"/>
        </w:rPr>
        <w:t> </w:t>
      </w:r>
      <w:r>
        <w:rPr>
          <w:sz w:val="20"/>
        </w:rPr>
        <w:t>distributors</w:t>
      </w:r>
      <w:r>
        <w:rPr>
          <w:spacing w:val="3"/>
          <w:sz w:val="20"/>
        </w:rPr>
        <w:t> </w:t>
      </w:r>
      <w:r>
        <w:rPr>
          <w:sz w:val="20"/>
        </w:rPr>
        <w:t>(based</w:t>
      </w:r>
      <w:r>
        <w:rPr>
          <w:spacing w:val="-2"/>
          <w:sz w:val="20"/>
        </w:rPr>
        <w:t> </w:t>
      </w:r>
      <w:r>
        <w:rPr>
          <w:sz w:val="20"/>
        </w:rPr>
        <w:t>on</w:t>
      </w:r>
      <w:r>
        <w:rPr>
          <w:spacing w:val="-2"/>
          <w:sz w:val="20"/>
        </w:rPr>
        <w:t> </w:t>
      </w:r>
      <w:r>
        <w:rPr>
          <w:sz w:val="20"/>
        </w:rPr>
        <w:t>a</w:t>
      </w:r>
      <w:r>
        <w:rPr>
          <w:spacing w:val="-5"/>
          <w:sz w:val="20"/>
        </w:rPr>
        <w:t> </w:t>
      </w:r>
      <w:r>
        <w:rPr>
          <w:sz w:val="20"/>
        </w:rPr>
        <w:t>narrow</w:t>
      </w:r>
      <w:r>
        <w:rPr>
          <w:spacing w:val="-6"/>
          <w:sz w:val="20"/>
        </w:rPr>
        <w:t> </w:t>
      </w:r>
      <w:r>
        <w:rPr>
          <w:sz w:val="20"/>
        </w:rPr>
        <w:t>scope,</w:t>
      </w:r>
      <w:r>
        <w:rPr>
          <w:spacing w:val="-5"/>
          <w:sz w:val="20"/>
        </w:rPr>
        <w:t> </w:t>
      </w:r>
      <w:r>
        <w:rPr>
          <w:sz w:val="20"/>
        </w:rPr>
        <w:t>akin</w:t>
      </w:r>
      <w:r>
        <w:rPr>
          <w:spacing w:val="-4"/>
          <w:sz w:val="20"/>
        </w:rPr>
        <w:t> </w:t>
      </w:r>
      <w:r>
        <w:rPr>
          <w:sz w:val="20"/>
        </w:rPr>
        <w:t>to limited</w:t>
      </w:r>
      <w:r>
        <w:rPr>
          <w:spacing w:val="-13"/>
          <w:sz w:val="20"/>
        </w:rPr>
        <w:t> </w:t>
      </w:r>
      <w:r>
        <w:rPr>
          <w:sz w:val="20"/>
        </w:rPr>
        <w:t>risk</w:t>
      </w:r>
      <w:r>
        <w:rPr>
          <w:spacing w:val="-8"/>
          <w:sz w:val="20"/>
        </w:rPr>
        <w:t> </w:t>
      </w:r>
      <w:r>
        <w:rPr>
          <w:sz w:val="20"/>
        </w:rPr>
        <w:t>distributors).</w:t>
      </w:r>
      <w:r>
        <w:rPr>
          <w:spacing w:val="-11"/>
          <w:sz w:val="20"/>
        </w:rPr>
        <w:t> </w:t>
      </w:r>
      <w:r>
        <w:rPr>
          <w:sz w:val="20"/>
        </w:rPr>
        <w:t>A</w:t>
      </w:r>
      <w:r>
        <w:rPr>
          <w:spacing w:val="-12"/>
          <w:sz w:val="20"/>
        </w:rPr>
        <w:t> </w:t>
      </w:r>
      <w:r>
        <w:rPr>
          <w:sz w:val="20"/>
        </w:rPr>
        <w:t>‘negative</w:t>
      </w:r>
      <w:r>
        <w:rPr>
          <w:spacing w:val="-12"/>
          <w:sz w:val="20"/>
        </w:rPr>
        <w:t> </w:t>
      </w:r>
      <w:r>
        <w:rPr>
          <w:sz w:val="20"/>
        </w:rPr>
        <w:t>list’</w:t>
      </w:r>
      <w:r>
        <w:rPr>
          <w:spacing w:val="-12"/>
          <w:sz w:val="20"/>
        </w:rPr>
        <w:t> </w:t>
      </w:r>
      <w:r>
        <w:rPr>
          <w:sz w:val="20"/>
        </w:rPr>
        <w:t>of</w:t>
      </w:r>
      <w:r>
        <w:rPr>
          <w:spacing w:val="-10"/>
          <w:sz w:val="20"/>
        </w:rPr>
        <w:t> </w:t>
      </w:r>
      <w:r>
        <w:rPr>
          <w:sz w:val="20"/>
        </w:rPr>
        <w:t>typical</w:t>
      </w:r>
      <w:r>
        <w:rPr>
          <w:spacing w:val="-12"/>
          <w:sz w:val="20"/>
        </w:rPr>
        <w:t> </w:t>
      </w:r>
      <w:r>
        <w:rPr>
          <w:sz w:val="20"/>
        </w:rPr>
        <w:t>functions</w:t>
      </w:r>
      <w:r>
        <w:rPr>
          <w:spacing w:val="-10"/>
          <w:sz w:val="20"/>
        </w:rPr>
        <w:t> </w:t>
      </w:r>
      <w:r>
        <w:rPr>
          <w:sz w:val="20"/>
        </w:rPr>
        <w:t>that</w:t>
      </w:r>
      <w:r>
        <w:rPr>
          <w:spacing w:val="-7"/>
          <w:sz w:val="20"/>
        </w:rPr>
        <w:t> </w:t>
      </w:r>
      <w:r>
        <w:rPr>
          <w:sz w:val="20"/>
        </w:rPr>
        <w:t>should</w:t>
      </w:r>
      <w:r>
        <w:rPr>
          <w:spacing w:val="-12"/>
          <w:sz w:val="20"/>
        </w:rPr>
        <w:t> </w:t>
      </w:r>
      <w:r>
        <w:rPr>
          <w:sz w:val="20"/>
        </w:rPr>
        <w:t>not</w:t>
      </w:r>
      <w:r>
        <w:rPr>
          <w:spacing w:val="-10"/>
          <w:sz w:val="20"/>
        </w:rPr>
        <w:t> </w:t>
      </w:r>
      <w:r>
        <w:rPr>
          <w:sz w:val="20"/>
        </w:rPr>
        <w:t>be</w:t>
      </w:r>
      <w:r>
        <w:rPr>
          <w:spacing w:val="-12"/>
          <w:sz w:val="20"/>
        </w:rPr>
        <w:t> </w:t>
      </w:r>
      <w:r>
        <w:rPr>
          <w:sz w:val="20"/>
        </w:rPr>
        <w:t>performed,</w:t>
      </w:r>
      <w:r>
        <w:rPr>
          <w:spacing w:val="-11"/>
          <w:sz w:val="20"/>
        </w:rPr>
        <w:t> </w:t>
      </w:r>
      <w:r>
        <w:rPr>
          <w:sz w:val="20"/>
        </w:rPr>
        <w:t>assets</w:t>
      </w:r>
      <w:r>
        <w:rPr>
          <w:spacing w:val="-11"/>
          <w:sz w:val="20"/>
        </w:rPr>
        <w:t> </w:t>
      </w:r>
      <w:r>
        <w:rPr>
          <w:sz w:val="20"/>
        </w:rPr>
        <w:t>not</w:t>
      </w:r>
      <w:r>
        <w:rPr>
          <w:spacing w:val="-11"/>
          <w:sz w:val="20"/>
        </w:rPr>
        <w:t> </w:t>
      </w:r>
      <w:r>
        <w:rPr>
          <w:sz w:val="20"/>
        </w:rPr>
        <w:t>owned and risks not assumed at arm’s length by routine distributors are also used to qualitatively measure the additional</w:t>
      </w:r>
      <w:r>
        <w:rPr>
          <w:spacing w:val="-19"/>
          <w:sz w:val="20"/>
        </w:rPr>
        <w:t> </w:t>
      </w:r>
      <w:r>
        <w:rPr>
          <w:sz w:val="20"/>
        </w:rPr>
        <w:t>factors</w:t>
      </w:r>
      <w:r>
        <w:rPr>
          <w:spacing w:val="-17"/>
          <w:sz w:val="20"/>
        </w:rPr>
        <w:t> </w:t>
      </w:r>
      <w:r>
        <w:rPr>
          <w:sz w:val="20"/>
        </w:rPr>
        <w:t>that</w:t>
      </w:r>
      <w:r>
        <w:rPr>
          <w:spacing w:val="-15"/>
          <w:sz w:val="20"/>
        </w:rPr>
        <w:t> </w:t>
      </w:r>
      <w:r>
        <w:rPr>
          <w:sz w:val="20"/>
        </w:rPr>
        <w:t>would</w:t>
      </w:r>
      <w:r>
        <w:rPr>
          <w:spacing w:val="-16"/>
          <w:sz w:val="20"/>
        </w:rPr>
        <w:t> </w:t>
      </w:r>
      <w:r>
        <w:rPr>
          <w:sz w:val="20"/>
        </w:rPr>
        <w:t>deem</w:t>
      </w:r>
      <w:r>
        <w:rPr>
          <w:spacing w:val="-14"/>
          <w:sz w:val="20"/>
        </w:rPr>
        <w:t> </w:t>
      </w:r>
      <w:r>
        <w:rPr>
          <w:sz w:val="20"/>
        </w:rPr>
        <w:t>a</w:t>
      </w:r>
      <w:r>
        <w:rPr>
          <w:spacing w:val="-19"/>
          <w:sz w:val="20"/>
        </w:rPr>
        <w:t> </w:t>
      </w:r>
      <w:r>
        <w:rPr>
          <w:sz w:val="20"/>
        </w:rPr>
        <w:t>distributor</w:t>
      </w:r>
      <w:r>
        <w:rPr>
          <w:spacing w:val="-15"/>
          <w:sz w:val="20"/>
        </w:rPr>
        <w:t> </w:t>
      </w:r>
      <w:r>
        <w:rPr>
          <w:sz w:val="20"/>
        </w:rPr>
        <w:t>as</w:t>
      </w:r>
      <w:r>
        <w:rPr>
          <w:spacing w:val="-15"/>
          <w:sz w:val="20"/>
        </w:rPr>
        <w:t> </w:t>
      </w:r>
      <w:r>
        <w:rPr>
          <w:sz w:val="20"/>
        </w:rPr>
        <w:t>being</w:t>
      </w:r>
      <w:r>
        <w:rPr>
          <w:spacing w:val="-14"/>
          <w:sz w:val="20"/>
        </w:rPr>
        <w:t> </w:t>
      </w:r>
      <w:r>
        <w:rPr>
          <w:sz w:val="20"/>
        </w:rPr>
        <w:t>outside</w:t>
      </w:r>
      <w:r>
        <w:rPr>
          <w:spacing w:val="-19"/>
          <w:sz w:val="20"/>
        </w:rPr>
        <w:t> </w:t>
      </w:r>
      <w:r>
        <w:rPr>
          <w:sz w:val="20"/>
        </w:rPr>
        <w:t>the</w:t>
      </w:r>
      <w:r>
        <w:rPr>
          <w:spacing w:val="-16"/>
          <w:sz w:val="20"/>
        </w:rPr>
        <w:t> </w:t>
      </w:r>
      <w:r>
        <w:rPr>
          <w:sz w:val="20"/>
        </w:rPr>
        <w:t>scope</w:t>
      </w:r>
      <w:r>
        <w:rPr>
          <w:spacing w:val="-16"/>
          <w:sz w:val="20"/>
        </w:rPr>
        <w:t> </w:t>
      </w:r>
      <w:r>
        <w:rPr>
          <w:sz w:val="20"/>
        </w:rPr>
        <w:t>of</w:t>
      </w:r>
      <w:r>
        <w:rPr>
          <w:spacing w:val="-15"/>
          <w:sz w:val="20"/>
        </w:rPr>
        <w:t> </w:t>
      </w:r>
      <w:r>
        <w:rPr>
          <w:sz w:val="20"/>
        </w:rPr>
        <w:t>Amount</w:t>
      </w:r>
      <w:r>
        <w:rPr>
          <w:spacing w:val="-17"/>
          <w:sz w:val="20"/>
        </w:rPr>
        <w:t> </w:t>
      </w:r>
      <w:r>
        <w:rPr>
          <w:sz w:val="20"/>
        </w:rPr>
        <w:t>B.</w:t>
      </w:r>
      <w:r>
        <w:rPr>
          <w:spacing w:val="-16"/>
          <w:sz w:val="20"/>
        </w:rPr>
        <w:t> </w:t>
      </w:r>
      <w:r>
        <w:rPr>
          <w:sz w:val="20"/>
        </w:rPr>
        <w:t>Certain</w:t>
      </w:r>
      <w:r>
        <w:rPr>
          <w:spacing w:val="-19"/>
          <w:sz w:val="20"/>
        </w:rPr>
        <w:t> </w:t>
      </w:r>
      <w:r>
        <w:rPr>
          <w:sz w:val="20"/>
        </w:rPr>
        <w:t>quantitative indicators are then used to further support the identification of in-scope</w:t>
      </w:r>
      <w:r>
        <w:rPr>
          <w:spacing w:val="-12"/>
          <w:sz w:val="20"/>
        </w:rPr>
        <w:t> </w:t>
      </w:r>
      <w:r>
        <w:rPr>
          <w:sz w:val="20"/>
        </w:rPr>
        <w:t>activities.</w:t>
      </w:r>
    </w:p>
    <w:p>
      <w:pPr>
        <w:pStyle w:val="ListParagraph"/>
        <w:numPr>
          <w:ilvl w:val="0"/>
          <w:numId w:val="4"/>
        </w:numPr>
        <w:tabs>
          <w:tab w:pos="1499" w:val="left" w:leader="none"/>
        </w:tabs>
        <w:spacing w:line="271" w:lineRule="auto" w:before="121" w:after="0"/>
        <w:ind w:left="723" w:right="483" w:firstLine="0"/>
        <w:jc w:val="both"/>
        <w:rPr>
          <w:sz w:val="20"/>
        </w:rPr>
      </w:pPr>
      <w:r>
        <w:rPr>
          <w:sz w:val="20"/>
        </w:rPr>
        <w:t>Amount B is intended to approximate results determined in accordance with the ALP, and therefore would be based on comparable company benchmarking analyses under the Transactional Net Margin Method (TNMM) with the quantum potentially varying by industry, as well as region, provided</w:t>
      </w:r>
      <w:r>
        <w:rPr>
          <w:spacing w:val="14"/>
          <w:sz w:val="20"/>
        </w:rPr>
        <w:t> </w:t>
      </w:r>
      <w:r>
        <w:rPr>
          <w:sz w:val="20"/>
        </w:rPr>
        <w:t>any</w:t>
      </w:r>
    </w:p>
    <w:p>
      <w:pPr>
        <w:spacing w:after="0" w:line="271" w:lineRule="auto"/>
        <w:jc w:val="both"/>
        <w:rPr>
          <w:sz w:val="20"/>
        </w:rPr>
        <w:sectPr>
          <w:pgSz w:w="11910" w:h="16840"/>
          <w:pgMar w:header="1244" w:footer="1638" w:top="1500" w:bottom="1820" w:left="580" w:right="820"/>
        </w:sectPr>
      </w:pPr>
    </w:p>
    <w:p>
      <w:pPr>
        <w:pStyle w:val="BodyText"/>
        <w:spacing w:before="10"/>
        <w:rPr>
          <w:sz w:val="17"/>
        </w:rPr>
      </w:pPr>
    </w:p>
    <w:p>
      <w:pPr>
        <w:pStyle w:val="BodyText"/>
        <w:spacing w:line="273" w:lineRule="auto" w:before="118"/>
        <w:ind w:left="723" w:right="483"/>
        <w:jc w:val="both"/>
      </w:pPr>
      <w:r>
        <w:rPr/>
        <w:t>such variation is supported by the relevant benchmarking analysis.</w:t>
      </w:r>
      <w:r>
        <w:rPr>
          <w:vertAlign w:val="superscript"/>
        </w:rPr>
        <w:t>10</w:t>
      </w:r>
      <w:r>
        <w:rPr>
          <w:vertAlign w:val="baseline"/>
        </w:rPr>
        <w:t> As a result Amount B could have a number of ranges of potentially appropriate fixed returns. Each fixed return provided to remunerate baseline marketing and distribution activities under Amount B is intended to deliver a result that approximates results determined in accordance with the ALP.</w:t>
      </w:r>
    </w:p>
    <w:p>
      <w:pPr>
        <w:pStyle w:val="ListParagraph"/>
        <w:numPr>
          <w:ilvl w:val="0"/>
          <w:numId w:val="4"/>
        </w:numPr>
        <w:tabs>
          <w:tab w:pos="1444" w:val="left" w:leader="none"/>
        </w:tabs>
        <w:spacing w:line="271" w:lineRule="auto" w:before="115" w:after="0"/>
        <w:ind w:left="723" w:right="481" w:firstLine="0"/>
        <w:jc w:val="both"/>
        <w:rPr>
          <w:sz w:val="20"/>
        </w:rPr>
      </w:pPr>
      <w:r>
        <w:rPr>
          <w:sz w:val="20"/>
        </w:rPr>
        <w:t>While some members view that Amount B may provide certain benefits, in terms of tax certainty and as a simplification of the ALP, there remain divergent views on the breadth of baseline activities that should</w:t>
      </w:r>
      <w:r>
        <w:rPr>
          <w:spacing w:val="-15"/>
          <w:sz w:val="20"/>
        </w:rPr>
        <w:t> </w:t>
      </w:r>
      <w:r>
        <w:rPr>
          <w:sz w:val="20"/>
        </w:rPr>
        <w:t>be</w:t>
      </w:r>
      <w:r>
        <w:rPr>
          <w:spacing w:val="-11"/>
          <w:sz w:val="20"/>
        </w:rPr>
        <w:t> </w:t>
      </w:r>
      <w:r>
        <w:rPr>
          <w:sz w:val="20"/>
        </w:rPr>
        <w:t>included</w:t>
      </w:r>
      <w:r>
        <w:rPr>
          <w:spacing w:val="-13"/>
          <w:sz w:val="20"/>
        </w:rPr>
        <w:t> </w:t>
      </w:r>
      <w:r>
        <w:rPr>
          <w:sz w:val="20"/>
        </w:rPr>
        <w:t>in</w:t>
      </w:r>
      <w:r>
        <w:rPr>
          <w:spacing w:val="-12"/>
          <w:sz w:val="20"/>
        </w:rPr>
        <w:t> </w:t>
      </w:r>
      <w:r>
        <w:rPr>
          <w:sz w:val="20"/>
        </w:rPr>
        <w:t>its</w:t>
      </w:r>
      <w:r>
        <w:rPr>
          <w:spacing w:val="-13"/>
          <w:sz w:val="20"/>
        </w:rPr>
        <w:t> </w:t>
      </w:r>
      <w:r>
        <w:rPr>
          <w:sz w:val="20"/>
        </w:rPr>
        <w:t>scope.</w:t>
      </w:r>
      <w:r>
        <w:rPr>
          <w:spacing w:val="-14"/>
          <w:sz w:val="20"/>
        </w:rPr>
        <w:t> </w:t>
      </w:r>
      <w:r>
        <w:rPr>
          <w:sz w:val="20"/>
        </w:rPr>
        <w:t>This</w:t>
      </w:r>
      <w:r>
        <w:rPr>
          <w:spacing w:val="-12"/>
          <w:sz w:val="20"/>
        </w:rPr>
        <w:t> </w:t>
      </w:r>
      <w:r>
        <w:rPr>
          <w:sz w:val="20"/>
        </w:rPr>
        <w:t>Blueprint</w:t>
      </w:r>
      <w:r>
        <w:rPr>
          <w:spacing w:val="-15"/>
          <w:sz w:val="20"/>
        </w:rPr>
        <w:t> </w:t>
      </w:r>
      <w:r>
        <w:rPr>
          <w:sz w:val="20"/>
        </w:rPr>
        <w:t>assumes</w:t>
      </w:r>
      <w:r>
        <w:rPr>
          <w:spacing w:val="-13"/>
          <w:sz w:val="20"/>
        </w:rPr>
        <w:t> </w:t>
      </w:r>
      <w:r>
        <w:rPr>
          <w:sz w:val="20"/>
        </w:rPr>
        <w:t>that</w:t>
      </w:r>
      <w:r>
        <w:rPr>
          <w:spacing w:val="-11"/>
          <w:sz w:val="20"/>
        </w:rPr>
        <w:t> </w:t>
      </w:r>
      <w:r>
        <w:rPr>
          <w:sz w:val="20"/>
        </w:rPr>
        <w:t>in-scope</w:t>
      </w:r>
      <w:r>
        <w:rPr>
          <w:spacing w:val="-13"/>
          <w:sz w:val="20"/>
        </w:rPr>
        <w:t> </w:t>
      </w:r>
      <w:r>
        <w:rPr>
          <w:sz w:val="20"/>
        </w:rPr>
        <w:t>distributors</w:t>
      </w:r>
      <w:r>
        <w:rPr>
          <w:spacing w:val="-12"/>
          <w:sz w:val="20"/>
        </w:rPr>
        <w:t> </w:t>
      </w:r>
      <w:r>
        <w:rPr>
          <w:sz w:val="20"/>
        </w:rPr>
        <w:t>are</w:t>
      </w:r>
      <w:r>
        <w:rPr>
          <w:spacing w:val="-14"/>
          <w:sz w:val="20"/>
        </w:rPr>
        <w:t> </w:t>
      </w:r>
      <w:r>
        <w:rPr>
          <w:sz w:val="20"/>
        </w:rPr>
        <w:t>to</w:t>
      </w:r>
      <w:r>
        <w:rPr>
          <w:spacing w:val="-12"/>
          <w:sz w:val="20"/>
        </w:rPr>
        <w:t> </w:t>
      </w:r>
      <w:r>
        <w:rPr>
          <w:sz w:val="20"/>
        </w:rPr>
        <w:t>be</w:t>
      </w:r>
      <w:r>
        <w:rPr>
          <w:spacing w:val="-12"/>
          <w:sz w:val="20"/>
        </w:rPr>
        <w:t> </w:t>
      </w:r>
      <w:r>
        <w:rPr>
          <w:sz w:val="20"/>
        </w:rPr>
        <w:t>identified</w:t>
      </w:r>
      <w:r>
        <w:rPr>
          <w:spacing w:val="-15"/>
          <w:sz w:val="20"/>
        </w:rPr>
        <w:t> </w:t>
      </w:r>
      <w:r>
        <w:rPr>
          <w:sz w:val="20"/>
        </w:rPr>
        <w:t>based on a narrow scope of baseline activities, which is a view shared by a group of Inclusive Framework members. However, there is another group of members, particularly developing countries, that consider the</w:t>
      </w:r>
      <w:r>
        <w:rPr>
          <w:spacing w:val="-7"/>
          <w:sz w:val="20"/>
        </w:rPr>
        <w:t> </w:t>
      </w:r>
      <w:r>
        <w:rPr>
          <w:sz w:val="20"/>
        </w:rPr>
        <w:t>rule</w:t>
      </w:r>
      <w:r>
        <w:rPr>
          <w:spacing w:val="-7"/>
          <w:sz w:val="20"/>
        </w:rPr>
        <w:t> </w:t>
      </w:r>
      <w:r>
        <w:rPr>
          <w:sz w:val="20"/>
        </w:rPr>
        <w:t>will</w:t>
      </w:r>
      <w:r>
        <w:rPr>
          <w:spacing w:val="-6"/>
          <w:sz w:val="20"/>
        </w:rPr>
        <w:t> </w:t>
      </w:r>
      <w:r>
        <w:rPr>
          <w:sz w:val="20"/>
        </w:rPr>
        <w:t>be</w:t>
      </w:r>
      <w:r>
        <w:rPr>
          <w:spacing w:val="-7"/>
          <w:sz w:val="20"/>
        </w:rPr>
        <w:t> </w:t>
      </w:r>
      <w:r>
        <w:rPr>
          <w:sz w:val="20"/>
        </w:rPr>
        <w:t>only</w:t>
      </w:r>
      <w:r>
        <w:rPr>
          <w:spacing w:val="-9"/>
          <w:sz w:val="20"/>
        </w:rPr>
        <w:t> </w:t>
      </w:r>
      <w:r>
        <w:rPr>
          <w:sz w:val="20"/>
        </w:rPr>
        <w:t>be</w:t>
      </w:r>
      <w:r>
        <w:rPr>
          <w:spacing w:val="-7"/>
          <w:sz w:val="20"/>
        </w:rPr>
        <w:t> </w:t>
      </w:r>
      <w:r>
        <w:rPr>
          <w:sz w:val="20"/>
        </w:rPr>
        <w:t>effective</w:t>
      </w:r>
      <w:r>
        <w:rPr>
          <w:spacing w:val="-6"/>
          <w:sz w:val="20"/>
        </w:rPr>
        <w:t> </w:t>
      </w:r>
      <w:r>
        <w:rPr>
          <w:sz w:val="20"/>
        </w:rPr>
        <w:t>in</w:t>
      </w:r>
      <w:r>
        <w:rPr>
          <w:spacing w:val="-7"/>
          <w:sz w:val="20"/>
        </w:rPr>
        <w:t> </w:t>
      </w:r>
      <w:r>
        <w:rPr>
          <w:sz w:val="20"/>
        </w:rPr>
        <w:t>its</w:t>
      </w:r>
      <w:r>
        <w:rPr>
          <w:spacing w:val="-5"/>
          <w:sz w:val="20"/>
        </w:rPr>
        <w:t> </w:t>
      </w:r>
      <w:r>
        <w:rPr>
          <w:sz w:val="20"/>
        </w:rPr>
        <w:t>policy</w:t>
      </w:r>
      <w:r>
        <w:rPr>
          <w:spacing w:val="-9"/>
          <w:sz w:val="20"/>
        </w:rPr>
        <w:t> </w:t>
      </w:r>
      <w:r>
        <w:rPr>
          <w:sz w:val="20"/>
        </w:rPr>
        <w:t>objective</w:t>
      </w:r>
      <w:r>
        <w:rPr>
          <w:spacing w:val="-7"/>
          <w:sz w:val="20"/>
        </w:rPr>
        <w:t> </w:t>
      </w:r>
      <w:r>
        <w:rPr>
          <w:sz w:val="20"/>
        </w:rPr>
        <w:t>if</w:t>
      </w:r>
      <w:r>
        <w:rPr>
          <w:spacing w:val="-3"/>
          <w:sz w:val="20"/>
        </w:rPr>
        <w:t> </w:t>
      </w:r>
      <w:r>
        <w:rPr>
          <w:sz w:val="20"/>
        </w:rPr>
        <w:t>it</w:t>
      </w:r>
      <w:r>
        <w:rPr>
          <w:spacing w:val="-6"/>
          <w:sz w:val="20"/>
        </w:rPr>
        <w:t> </w:t>
      </w:r>
      <w:r>
        <w:rPr>
          <w:sz w:val="20"/>
        </w:rPr>
        <w:t>is</w:t>
      </w:r>
      <w:r>
        <w:rPr>
          <w:spacing w:val="-5"/>
          <w:sz w:val="20"/>
        </w:rPr>
        <w:t> </w:t>
      </w:r>
      <w:r>
        <w:rPr>
          <w:sz w:val="20"/>
        </w:rPr>
        <w:t>broad</w:t>
      </w:r>
      <w:r>
        <w:rPr>
          <w:spacing w:val="-6"/>
          <w:sz w:val="20"/>
        </w:rPr>
        <w:t> </w:t>
      </w:r>
      <w:r>
        <w:rPr>
          <w:sz w:val="20"/>
        </w:rPr>
        <w:t>in</w:t>
      </w:r>
      <w:r>
        <w:rPr>
          <w:spacing w:val="-7"/>
          <w:sz w:val="20"/>
        </w:rPr>
        <w:t> </w:t>
      </w:r>
      <w:r>
        <w:rPr>
          <w:sz w:val="20"/>
        </w:rPr>
        <w:t>scope</w:t>
      </w:r>
      <w:r>
        <w:rPr>
          <w:spacing w:val="-3"/>
          <w:sz w:val="20"/>
        </w:rPr>
        <w:t> </w:t>
      </w:r>
      <w:r>
        <w:rPr>
          <w:sz w:val="20"/>
        </w:rPr>
        <w:t>and</w:t>
      </w:r>
      <w:r>
        <w:rPr>
          <w:spacing w:val="-5"/>
          <w:sz w:val="20"/>
        </w:rPr>
        <w:t> </w:t>
      </w:r>
      <w:r>
        <w:rPr>
          <w:sz w:val="20"/>
        </w:rPr>
        <w:t>wish</w:t>
      </w:r>
      <w:r>
        <w:rPr>
          <w:spacing w:val="-2"/>
          <w:sz w:val="20"/>
        </w:rPr>
        <w:t> </w:t>
      </w:r>
      <w:r>
        <w:rPr>
          <w:sz w:val="20"/>
        </w:rPr>
        <w:t>to</w:t>
      </w:r>
      <w:r>
        <w:rPr>
          <w:spacing w:val="-7"/>
          <w:sz w:val="20"/>
        </w:rPr>
        <w:t> </w:t>
      </w:r>
      <w:r>
        <w:rPr>
          <w:sz w:val="20"/>
        </w:rPr>
        <w:t>explore</w:t>
      </w:r>
      <w:r>
        <w:rPr>
          <w:spacing w:val="-5"/>
          <w:sz w:val="20"/>
        </w:rPr>
        <w:t> </w:t>
      </w:r>
      <w:r>
        <w:rPr>
          <w:sz w:val="20"/>
        </w:rPr>
        <w:t>broadening the scope of Amount B. There is also some interest in exploring the implementation of Amount B through an initial pilot programme, in order to measure how simplification benefits may be achieved. The precise definitions of regions, industries and the relevant activities and indicators is to be finalised through further technical</w:t>
      </w:r>
      <w:r>
        <w:rPr>
          <w:spacing w:val="-1"/>
          <w:sz w:val="20"/>
        </w:rPr>
        <w:t> </w:t>
      </w:r>
      <w:r>
        <w:rPr>
          <w:sz w:val="20"/>
        </w:rPr>
        <w:t>work.</w:t>
      </w:r>
    </w:p>
    <w:p>
      <w:pPr>
        <w:pStyle w:val="BodyText"/>
        <w:spacing w:before="6"/>
        <w:rPr>
          <w:sz w:val="23"/>
        </w:rPr>
      </w:pPr>
    </w:p>
    <w:p>
      <w:pPr>
        <w:pStyle w:val="Heading6"/>
        <w:numPr>
          <w:ilvl w:val="2"/>
          <w:numId w:val="3"/>
        </w:numPr>
        <w:tabs>
          <w:tab w:pos="2015" w:val="left" w:leader="none"/>
        </w:tabs>
        <w:spacing w:line="240" w:lineRule="auto" w:before="0" w:after="0"/>
        <w:ind w:left="2014" w:right="0" w:hanging="613"/>
        <w:jc w:val="left"/>
        <w:rPr>
          <w:i/>
        </w:rPr>
      </w:pPr>
      <w:bookmarkStart w:name="1.2.3. Improved tax certainty processes" w:id="19"/>
      <w:bookmarkEnd w:id="19"/>
      <w:r>
        <w:rPr>
          <w:b w:val="0"/>
          <w:i w:val="0"/>
        </w:rPr>
      </w:r>
      <w:bookmarkStart w:name="1.2.3. Improved tax certainty processes" w:id="20"/>
      <w:bookmarkEnd w:id="20"/>
      <w:r>
        <w:rPr>
          <w:i/>
        </w:rPr>
        <w:t>I</w:t>
      </w:r>
      <w:r>
        <w:rPr>
          <w:i/>
        </w:rPr>
        <w:t>mproved tax certainty</w:t>
      </w:r>
      <w:r>
        <w:rPr>
          <w:i/>
          <w:spacing w:val="-8"/>
        </w:rPr>
        <w:t> </w:t>
      </w:r>
      <w:r>
        <w:rPr>
          <w:i/>
        </w:rPr>
        <w:t>processes</w:t>
      </w:r>
    </w:p>
    <w:p>
      <w:pPr>
        <w:pStyle w:val="BodyText"/>
        <w:rPr>
          <w:b/>
          <w:i/>
          <w:sz w:val="19"/>
        </w:rPr>
      </w:pPr>
    </w:p>
    <w:p>
      <w:pPr>
        <w:pStyle w:val="ListParagraph"/>
        <w:numPr>
          <w:ilvl w:val="0"/>
          <w:numId w:val="4"/>
        </w:numPr>
        <w:tabs>
          <w:tab w:pos="1444" w:val="left" w:leader="none"/>
        </w:tabs>
        <w:spacing w:line="271" w:lineRule="auto" w:before="1" w:after="0"/>
        <w:ind w:left="723" w:right="483" w:firstLine="0"/>
        <w:jc w:val="both"/>
        <w:rPr>
          <w:sz w:val="20"/>
        </w:rPr>
      </w:pPr>
      <w:r>
        <w:rPr>
          <w:sz w:val="20"/>
        </w:rPr>
        <w:t>Tax certainty is a key component of Pillar One and is core to this Blueprint which provides for innovative dispute prevention and dispute resolution</w:t>
      </w:r>
      <w:r>
        <w:rPr>
          <w:spacing w:val="-7"/>
          <w:sz w:val="20"/>
        </w:rPr>
        <w:t> </w:t>
      </w:r>
      <w:r>
        <w:rPr>
          <w:sz w:val="20"/>
        </w:rPr>
        <w:t>mechanisms.</w:t>
      </w:r>
    </w:p>
    <w:p>
      <w:pPr>
        <w:pStyle w:val="BodyText"/>
        <w:spacing w:before="10"/>
        <w:rPr>
          <w:sz w:val="19"/>
        </w:rPr>
      </w:pPr>
    </w:p>
    <w:p>
      <w:pPr>
        <w:pStyle w:val="Heading7"/>
        <w:spacing w:before="1"/>
        <w:rPr>
          <w:i/>
        </w:rPr>
      </w:pPr>
      <w:bookmarkStart w:name="Dispute prevention" w:id="21"/>
      <w:bookmarkEnd w:id="21"/>
      <w:r>
        <w:rPr>
          <w:i w:val="0"/>
        </w:rPr>
      </w:r>
      <w:r>
        <w:rPr>
          <w:i/>
          <w:color w:val="616161"/>
        </w:rPr>
        <w:t>Dispute prevention</w:t>
      </w:r>
    </w:p>
    <w:p>
      <w:pPr>
        <w:pStyle w:val="BodyText"/>
        <w:spacing w:before="9"/>
        <w:rPr>
          <w:i/>
          <w:sz w:val="18"/>
        </w:rPr>
      </w:pPr>
    </w:p>
    <w:p>
      <w:pPr>
        <w:pStyle w:val="ListParagraph"/>
        <w:numPr>
          <w:ilvl w:val="0"/>
          <w:numId w:val="4"/>
        </w:numPr>
        <w:tabs>
          <w:tab w:pos="1444" w:val="left" w:leader="none"/>
        </w:tabs>
        <w:spacing w:line="271" w:lineRule="auto" w:before="1" w:after="0"/>
        <w:ind w:left="723" w:right="481" w:firstLine="0"/>
        <w:jc w:val="both"/>
        <w:rPr>
          <w:sz w:val="20"/>
        </w:rPr>
      </w:pPr>
      <w:r>
        <w:rPr>
          <w:sz w:val="20"/>
        </w:rPr>
        <w:t>The</w:t>
      </w:r>
      <w:r>
        <w:rPr>
          <w:spacing w:val="-11"/>
          <w:sz w:val="20"/>
        </w:rPr>
        <w:t> </w:t>
      </w:r>
      <w:r>
        <w:rPr>
          <w:sz w:val="20"/>
        </w:rPr>
        <w:t>new</w:t>
      </w:r>
      <w:r>
        <w:rPr>
          <w:spacing w:val="-12"/>
          <w:sz w:val="20"/>
        </w:rPr>
        <w:t> </w:t>
      </w:r>
      <w:r>
        <w:rPr>
          <w:sz w:val="20"/>
        </w:rPr>
        <w:t>taxing</w:t>
      </w:r>
      <w:r>
        <w:rPr>
          <w:spacing w:val="-11"/>
          <w:sz w:val="20"/>
        </w:rPr>
        <w:t> </w:t>
      </w:r>
      <w:r>
        <w:rPr>
          <w:sz w:val="20"/>
        </w:rPr>
        <w:t>right</w:t>
      </w:r>
      <w:r>
        <w:rPr>
          <w:spacing w:val="-8"/>
          <w:sz w:val="20"/>
        </w:rPr>
        <w:t> </w:t>
      </w:r>
      <w:r>
        <w:rPr>
          <w:sz w:val="20"/>
        </w:rPr>
        <w:t>will</w:t>
      </w:r>
      <w:r>
        <w:rPr>
          <w:spacing w:val="-11"/>
          <w:sz w:val="20"/>
        </w:rPr>
        <w:t> </w:t>
      </w:r>
      <w:r>
        <w:rPr>
          <w:sz w:val="20"/>
        </w:rPr>
        <w:t>be</w:t>
      </w:r>
      <w:r>
        <w:rPr>
          <w:spacing w:val="-9"/>
          <w:sz w:val="20"/>
        </w:rPr>
        <w:t> </w:t>
      </w:r>
      <w:r>
        <w:rPr>
          <w:sz w:val="20"/>
        </w:rPr>
        <w:t>determined</w:t>
      </w:r>
      <w:r>
        <w:rPr>
          <w:spacing w:val="-10"/>
          <w:sz w:val="20"/>
        </w:rPr>
        <w:t> </w:t>
      </w:r>
      <w:r>
        <w:rPr>
          <w:sz w:val="20"/>
        </w:rPr>
        <w:t>by</w:t>
      </w:r>
      <w:r>
        <w:rPr>
          <w:spacing w:val="-14"/>
          <w:sz w:val="20"/>
        </w:rPr>
        <w:t> </w:t>
      </w:r>
      <w:r>
        <w:rPr>
          <w:sz w:val="20"/>
        </w:rPr>
        <w:t>the</w:t>
      </w:r>
      <w:r>
        <w:rPr>
          <w:spacing w:val="-11"/>
          <w:sz w:val="20"/>
        </w:rPr>
        <w:t> </w:t>
      </w:r>
      <w:r>
        <w:rPr>
          <w:sz w:val="20"/>
        </w:rPr>
        <w:t>application</w:t>
      </w:r>
      <w:r>
        <w:rPr>
          <w:spacing w:val="-11"/>
          <w:sz w:val="20"/>
        </w:rPr>
        <w:t> </w:t>
      </w:r>
      <w:r>
        <w:rPr>
          <w:sz w:val="20"/>
        </w:rPr>
        <w:t>of</w:t>
      </w:r>
      <w:r>
        <w:rPr>
          <w:spacing w:val="-8"/>
          <w:sz w:val="20"/>
        </w:rPr>
        <w:t> </w:t>
      </w:r>
      <w:r>
        <w:rPr>
          <w:sz w:val="20"/>
        </w:rPr>
        <w:t>a</w:t>
      </w:r>
      <w:r>
        <w:rPr>
          <w:spacing w:val="-11"/>
          <w:sz w:val="20"/>
        </w:rPr>
        <w:t> </w:t>
      </w:r>
      <w:r>
        <w:rPr>
          <w:sz w:val="20"/>
        </w:rPr>
        <w:t>formula</w:t>
      </w:r>
      <w:r>
        <w:rPr>
          <w:spacing w:val="-11"/>
          <w:sz w:val="20"/>
        </w:rPr>
        <w:t> </w:t>
      </w:r>
      <w:r>
        <w:rPr>
          <w:sz w:val="20"/>
        </w:rPr>
        <w:t>to</w:t>
      </w:r>
      <w:r>
        <w:rPr>
          <w:spacing w:val="-11"/>
          <w:sz w:val="20"/>
        </w:rPr>
        <w:t> </w:t>
      </w:r>
      <w:r>
        <w:rPr>
          <w:sz w:val="20"/>
        </w:rPr>
        <w:t>a</w:t>
      </w:r>
      <w:r>
        <w:rPr>
          <w:spacing w:val="-11"/>
          <w:sz w:val="20"/>
        </w:rPr>
        <w:t> </w:t>
      </w:r>
      <w:r>
        <w:rPr>
          <w:sz w:val="20"/>
        </w:rPr>
        <w:t>newly</w:t>
      </w:r>
      <w:r>
        <w:rPr>
          <w:spacing w:val="-14"/>
          <w:sz w:val="20"/>
        </w:rPr>
        <w:t> </w:t>
      </w:r>
      <w:r>
        <w:rPr>
          <w:sz w:val="20"/>
        </w:rPr>
        <w:t>defined</w:t>
      </w:r>
      <w:r>
        <w:rPr>
          <w:spacing w:val="-11"/>
          <w:sz w:val="20"/>
        </w:rPr>
        <w:t> </w:t>
      </w:r>
      <w:r>
        <w:rPr>
          <w:sz w:val="20"/>
        </w:rPr>
        <w:t>tax</w:t>
      </w:r>
      <w:r>
        <w:rPr>
          <w:spacing w:val="-10"/>
          <w:sz w:val="20"/>
        </w:rPr>
        <w:t> </w:t>
      </w:r>
      <w:r>
        <w:rPr>
          <w:sz w:val="20"/>
        </w:rPr>
        <w:t>base, corresponding to a portion of the residual profit of large MNEs’ in-scope activities. The Blueprint embeds a mechanism to ensure that the application of the new taxing right to a particular MNE group is agreed among all interested jurisdictions. A panel mechanism would be put in place for tax administrations, working with the relevant MNEs, to agree on: (i) the tax base, in particular where there is business line segmentation; (ii) the result of the implementation of the formula, and (iii) any other feature of the new taxing right, including the paying entities and elimination of double taxation. It is also recognised that the resource implications of the multilateral process are significantly less than the resources that would be required by unilateral uncoordinated compliance</w:t>
      </w:r>
      <w:r>
        <w:rPr>
          <w:spacing w:val="-8"/>
          <w:sz w:val="20"/>
        </w:rPr>
        <w:t> </w:t>
      </w:r>
      <w:r>
        <w:rPr>
          <w:sz w:val="20"/>
        </w:rPr>
        <w:t>activities.</w:t>
      </w:r>
    </w:p>
    <w:p>
      <w:pPr>
        <w:pStyle w:val="ListParagraph"/>
        <w:numPr>
          <w:ilvl w:val="0"/>
          <w:numId w:val="4"/>
        </w:numPr>
        <w:tabs>
          <w:tab w:pos="1444" w:val="left" w:leader="none"/>
        </w:tabs>
        <w:spacing w:line="271" w:lineRule="auto" w:before="121" w:after="0"/>
        <w:ind w:left="723" w:right="482" w:firstLine="0"/>
        <w:jc w:val="both"/>
        <w:rPr>
          <w:sz w:val="20"/>
        </w:rPr>
      </w:pPr>
      <w:r>
        <w:rPr>
          <w:sz w:val="20"/>
        </w:rPr>
        <w:t>As described in section </w:t>
      </w:r>
      <w:hyperlink w:history="true" w:anchor="_bookmark5">
        <w:r>
          <w:rPr>
            <w:sz w:val="20"/>
          </w:rPr>
          <w:t>1.2.2,</w:t>
        </w:r>
      </w:hyperlink>
      <w:r>
        <w:rPr>
          <w:sz w:val="20"/>
        </w:rPr>
        <w:t> Amount B is intended to enhance tax certainty and reduce controversy between tax administration and taxpayers, particularly in jurisdictions where there are constraints</w:t>
      </w:r>
      <w:r>
        <w:rPr>
          <w:spacing w:val="-12"/>
          <w:sz w:val="20"/>
        </w:rPr>
        <w:t> </w:t>
      </w:r>
      <w:r>
        <w:rPr>
          <w:sz w:val="20"/>
        </w:rPr>
        <w:t>in</w:t>
      </w:r>
      <w:r>
        <w:rPr>
          <w:spacing w:val="-13"/>
          <w:sz w:val="20"/>
        </w:rPr>
        <w:t> </w:t>
      </w:r>
      <w:r>
        <w:rPr>
          <w:sz w:val="20"/>
        </w:rPr>
        <w:t>dealing</w:t>
      </w:r>
      <w:r>
        <w:rPr>
          <w:spacing w:val="-10"/>
          <w:sz w:val="20"/>
        </w:rPr>
        <w:t> </w:t>
      </w:r>
      <w:r>
        <w:rPr>
          <w:sz w:val="20"/>
        </w:rPr>
        <w:t>with</w:t>
      </w:r>
      <w:r>
        <w:rPr>
          <w:spacing w:val="-13"/>
          <w:sz w:val="20"/>
        </w:rPr>
        <w:t> </w:t>
      </w:r>
      <w:r>
        <w:rPr>
          <w:sz w:val="20"/>
        </w:rPr>
        <w:t>transfer</w:t>
      </w:r>
      <w:r>
        <w:rPr>
          <w:spacing w:val="-11"/>
          <w:sz w:val="20"/>
        </w:rPr>
        <w:t> </w:t>
      </w:r>
      <w:r>
        <w:rPr>
          <w:sz w:val="20"/>
        </w:rPr>
        <w:t>pricing</w:t>
      </w:r>
      <w:r>
        <w:rPr>
          <w:spacing w:val="-13"/>
          <w:sz w:val="20"/>
        </w:rPr>
        <w:t> </w:t>
      </w:r>
      <w:r>
        <w:rPr>
          <w:sz w:val="20"/>
        </w:rPr>
        <w:t>disputes.</w:t>
      </w:r>
      <w:r>
        <w:rPr>
          <w:spacing w:val="-12"/>
          <w:sz w:val="20"/>
        </w:rPr>
        <w:t> </w:t>
      </w:r>
      <w:r>
        <w:rPr>
          <w:sz w:val="20"/>
        </w:rPr>
        <w:t>It</w:t>
      </w:r>
      <w:r>
        <w:rPr>
          <w:spacing w:val="-12"/>
          <w:sz w:val="20"/>
        </w:rPr>
        <w:t> </w:t>
      </w:r>
      <w:r>
        <w:rPr>
          <w:sz w:val="20"/>
        </w:rPr>
        <w:t>does</w:t>
      </w:r>
      <w:r>
        <w:rPr>
          <w:spacing w:val="-11"/>
          <w:sz w:val="20"/>
        </w:rPr>
        <w:t> </w:t>
      </w:r>
      <w:r>
        <w:rPr>
          <w:sz w:val="20"/>
        </w:rPr>
        <w:t>so</w:t>
      </w:r>
      <w:r>
        <w:rPr>
          <w:spacing w:val="-7"/>
          <w:sz w:val="20"/>
        </w:rPr>
        <w:t> </w:t>
      </w:r>
      <w:r>
        <w:rPr>
          <w:sz w:val="20"/>
        </w:rPr>
        <w:t>by</w:t>
      </w:r>
      <w:r>
        <w:rPr>
          <w:spacing w:val="-15"/>
          <w:sz w:val="20"/>
        </w:rPr>
        <w:t> </w:t>
      </w:r>
      <w:r>
        <w:rPr>
          <w:sz w:val="20"/>
        </w:rPr>
        <w:t>standardising</w:t>
      </w:r>
      <w:r>
        <w:rPr>
          <w:spacing w:val="-13"/>
          <w:sz w:val="20"/>
        </w:rPr>
        <w:t> </w:t>
      </w:r>
      <w:r>
        <w:rPr>
          <w:sz w:val="20"/>
        </w:rPr>
        <w:t>the</w:t>
      </w:r>
      <w:r>
        <w:rPr>
          <w:spacing w:val="-10"/>
          <w:sz w:val="20"/>
        </w:rPr>
        <w:t> </w:t>
      </w:r>
      <w:r>
        <w:rPr>
          <w:sz w:val="20"/>
        </w:rPr>
        <w:t>remuneration</w:t>
      </w:r>
      <w:r>
        <w:rPr>
          <w:spacing w:val="-12"/>
          <w:sz w:val="20"/>
        </w:rPr>
        <w:t> </w:t>
      </w:r>
      <w:r>
        <w:rPr>
          <w:sz w:val="20"/>
        </w:rPr>
        <w:t>of</w:t>
      </w:r>
      <w:r>
        <w:rPr>
          <w:spacing w:val="-10"/>
          <w:sz w:val="20"/>
        </w:rPr>
        <w:t> </w:t>
      </w:r>
      <w:r>
        <w:rPr>
          <w:sz w:val="20"/>
        </w:rPr>
        <w:t>related party distributors that perform ‘baseline marketing and distribution</w:t>
      </w:r>
      <w:r>
        <w:rPr>
          <w:spacing w:val="-5"/>
          <w:sz w:val="20"/>
        </w:rPr>
        <w:t> </w:t>
      </w:r>
      <w:r>
        <w:rPr>
          <w:sz w:val="20"/>
        </w:rPr>
        <w:t>activities’.</w:t>
      </w:r>
    </w:p>
    <w:p>
      <w:pPr>
        <w:pStyle w:val="BodyText"/>
        <w:spacing w:before="1"/>
      </w:pPr>
    </w:p>
    <w:p>
      <w:pPr>
        <w:pStyle w:val="Heading7"/>
        <w:rPr>
          <w:i/>
        </w:rPr>
      </w:pPr>
      <w:bookmarkStart w:name="Dispute resolution" w:id="22"/>
      <w:bookmarkEnd w:id="22"/>
      <w:r>
        <w:rPr>
          <w:i w:val="0"/>
        </w:rPr>
      </w:r>
      <w:r>
        <w:rPr>
          <w:i/>
          <w:color w:val="616161"/>
        </w:rPr>
        <w:t>Dispute resolution</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0" w:firstLine="0"/>
        <w:jc w:val="both"/>
        <w:rPr>
          <w:sz w:val="20"/>
        </w:rPr>
      </w:pPr>
      <w:r>
        <w:rPr>
          <w:sz w:val="20"/>
        </w:rPr>
        <w:t>In addition to the innovative dispute prevention mechanisms, the Blueprint includes innovative dispute resolution mechanisms. Members of the Inclusive Framework agreed that, in the event a dispute related to Amount A might arise that is not dealt with by the Amount A dispute prevention process, appropriate mandatory binding dispute resolution mechanisms will be developed.</w:t>
      </w:r>
      <w:r>
        <w:rPr>
          <w:sz w:val="20"/>
          <w:vertAlign w:val="superscript"/>
        </w:rPr>
        <w:t>11</w:t>
      </w:r>
      <w:r>
        <w:rPr>
          <w:sz w:val="20"/>
          <w:vertAlign w:val="baseline"/>
        </w:rPr>
        <w:t> Members of the Inclusive Framework also agreed to explore mandatory binding timely dispute resolution mechanisms for disputes not related to the application of the new taxing right. These mechanisms should be respectful</w:t>
      </w:r>
      <w:r>
        <w:rPr>
          <w:spacing w:val="9"/>
          <w:sz w:val="20"/>
          <w:vertAlign w:val="baseline"/>
        </w:rPr>
        <w:t> </w:t>
      </w:r>
      <w:r>
        <w:rPr>
          <w:sz w:val="20"/>
          <w:vertAlign w:val="baseline"/>
        </w:rPr>
        <w:t>of</w:t>
      </w:r>
    </w:p>
    <w:p>
      <w:pPr>
        <w:pStyle w:val="BodyText"/>
        <w:spacing w:before="9"/>
        <w:rPr>
          <w:sz w:val="21"/>
        </w:rPr>
      </w:pPr>
      <w:r>
        <w:rPr/>
        <w:pict>
          <v:rect style="position:absolute;margin-left:65.183998pt;margin-top:14.487645pt;width:144.020004pt;height:.599980pt;mso-position-horizontal-relative:page;mso-position-vertical-relative:paragraph;z-index:-15719936;mso-wrap-distance-left:0;mso-wrap-distance-right:0" filled="true" fillcolor="#000000" stroked="false">
            <v:fill type="solid"/>
            <w10:wrap type="topAndBottom"/>
          </v:rect>
        </w:pict>
      </w:r>
    </w:p>
    <w:p>
      <w:pPr>
        <w:pStyle w:val="BodyText"/>
        <w:spacing w:before="3"/>
        <w:rPr>
          <w:sz w:val="17"/>
        </w:rPr>
      </w:pPr>
    </w:p>
    <w:p>
      <w:pPr>
        <w:pStyle w:val="ListParagraph"/>
        <w:numPr>
          <w:ilvl w:val="0"/>
          <w:numId w:val="5"/>
        </w:numPr>
        <w:tabs>
          <w:tab w:pos="945" w:val="left" w:leader="none"/>
        </w:tabs>
        <w:spacing w:line="309" w:lineRule="auto" w:before="94" w:after="0"/>
        <w:ind w:left="723" w:right="483" w:firstLine="0"/>
        <w:jc w:val="left"/>
        <w:rPr>
          <w:sz w:val="16"/>
        </w:rPr>
      </w:pPr>
      <w:r>
        <w:rPr>
          <w:sz w:val="16"/>
        </w:rPr>
        <w:t>Relevant industry categories could include: fast moving consumer goods (FMCG), motor vehicles, ICT, pharmaceuticals and general distribution.</w:t>
      </w:r>
    </w:p>
    <w:p>
      <w:pPr>
        <w:pStyle w:val="ListParagraph"/>
        <w:numPr>
          <w:ilvl w:val="0"/>
          <w:numId w:val="5"/>
        </w:numPr>
        <w:tabs>
          <w:tab w:pos="928" w:val="left" w:leader="none"/>
        </w:tabs>
        <w:spacing w:line="240" w:lineRule="auto" w:before="16" w:after="0"/>
        <w:ind w:left="927" w:right="0" w:hanging="205"/>
        <w:jc w:val="left"/>
        <w:rPr>
          <w:sz w:val="18"/>
        </w:rPr>
      </w:pPr>
      <w:r>
        <w:rPr>
          <w:sz w:val="18"/>
        </w:rPr>
        <w:t>This will require reaching consensus on such dispute resolution</w:t>
      </w:r>
      <w:r>
        <w:rPr>
          <w:spacing w:val="-8"/>
          <w:sz w:val="18"/>
        </w:rPr>
        <w:t> </w:t>
      </w:r>
      <w:r>
        <w:rPr>
          <w:sz w:val="18"/>
        </w:rPr>
        <w:t>mechanism.</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jurisdictions’ sovereignty, with consideration paid to the case of certain developing economies with no or low levels of mutual agreement procedure (MAP) cases. As indicated above, agreement on the scope of mandatory binding dispute resolution beyond Amount A is still pending.</w:t>
      </w:r>
    </w:p>
    <w:p>
      <w:pPr>
        <w:pStyle w:val="BodyText"/>
        <w:spacing w:before="5"/>
        <w:rPr>
          <w:sz w:val="23"/>
        </w:rPr>
      </w:pPr>
    </w:p>
    <w:p>
      <w:pPr>
        <w:pStyle w:val="Heading6"/>
        <w:numPr>
          <w:ilvl w:val="2"/>
          <w:numId w:val="3"/>
        </w:numPr>
        <w:tabs>
          <w:tab w:pos="2015" w:val="left" w:leader="none"/>
        </w:tabs>
        <w:spacing w:line="240" w:lineRule="auto" w:before="0" w:after="0"/>
        <w:ind w:left="2014" w:right="0" w:hanging="613"/>
        <w:jc w:val="left"/>
        <w:rPr>
          <w:i/>
        </w:rPr>
      </w:pPr>
      <w:bookmarkStart w:name="1.2.4. Process map" w:id="23"/>
      <w:bookmarkEnd w:id="23"/>
      <w:r>
        <w:rPr>
          <w:b w:val="0"/>
          <w:i w:val="0"/>
        </w:rPr>
      </w:r>
      <w:bookmarkStart w:name="1.2.4. Process map" w:id="24"/>
      <w:bookmarkEnd w:id="24"/>
      <w:r>
        <w:rPr>
          <w:i/>
        </w:rPr>
        <w:t>Proces</w:t>
      </w:r>
      <w:r>
        <w:rPr>
          <w:i/>
        </w:rPr>
        <w:t>s</w:t>
      </w:r>
      <w:r>
        <w:rPr>
          <w:i/>
          <w:spacing w:val="-1"/>
        </w:rPr>
        <w:t> </w:t>
      </w:r>
      <w:r>
        <w:rPr>
          <w:i/>
        </w:rPr>
        <w:t>map</w:t>
      </w:r>
    </w:p>
    <w:p>
      <w:pPr>
        <w:pStyle w:val="BodyText"/>
        <w:spacing w:before="10"/>
        <w:rPr>
          <w:b/>
          <w:i/>
          <w:sz w:val="18"/>
        </w:rPr>
      </w:pPr>
    </w:p>
    <w:p>
      <w:pPr>
        <w:pStyle w:val="ListParagraph"/>
        <w:numPr>
          <w:ilvl w:val="0"/>
          <w:numId w:val="4"/>
        </w:numPr>
        <w:tabs>
          <w:tab w:pos="1504" w:val="left" w:leader="none"/>
        </w:tabs>
        <w:spacing w:line="271" w:lineRule="auto" w:before="0" w:after="0"/>
        <w:ind w:left="723" w:right="483" w:firstLine="0"/>
        <w:jc w:val="both"/>
        <w:rPr>
          <w:sz w:val="20"/>
        </w:rPr>
      </w:pPr>
      <w:r>
        <w:rPr>
          <w:sz w:val="20"/>
        </w:rPr>
        <w:t>To illustrate how the Blueprint would apply in practice, the below contains an overview of the process map to apply its various elements (focusing on Amount A). More details on the different steps described in this process map are available in Annex</w:t>
      </w:r>
      <w:r>
        <w:rPr>
          <w:spacing w:val="6"/>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5"/>
        <w:rPr>
          <w:sz w:val="17"/>
        </w:rPr>
      </w:pPr>
      <w:r>
        <w:rPr/>
        <w:pict>
          <v:shape style="position:absolute;margin-left:68.320732pt;margin-top:290.750244pt;width:14.15pt;height:48.75pt;mso-position-horizontal-relative:page;mso-position-vertical-relative:page;z-index:15739392" type="#_x0000_t202" filled="false" stroked="false">
            <v:textbox inset="0,0,0,0" style="layout-flow:vertical;mso-layout-flow-alt:bottom-to-top">
              <w:txbxContent>
                <w:p>
                  <w:pPr>
                    <w:spacing w:before="19"/>
                    <w:ind w:left="20" w:right="0" w:firstLine="0"/>
                    <w:jc w:val="left"/>
                    <w:rPr>
                      <w:b/>
                      <w:sz w:val="21"/>
                    </w:rPr>
                  </w:pPr>
                  <w:r>
                    <w:rPr>
                      <w:b/>
                      <w:color w:val="949494"/>
                      <w:spacing w:val="-6"/>
                      <w:w w:val="105"/>
                      <w:sz w:val="21"/>
                    </w:rPr>
                    <w:t>Tax </w:t>
                  </w:r>
                  <w:r>
                    <w:rPr>
                      <w:b/>
                      <w:color w:val="949494"/>
                      <w:w w:val="105"/>
                      <w:sz w:val="21"/>
                    </w:rPr>
                    <w:t>Base</w:t>
                  </w:r>
                </w:p>
              </w:txbxContent>
            </v:textbox>
            <w10:wrap type="none"/>
          </v:shape>
        </w:pict>
      </w:r>
    </w:p>
    <w:p>
      <w:pPr>
        <w:pStyle w:val="Heading4"/>
        <w:spacing w:before="100"/>
        <w:ind w:left="723"/>
        <w:jc w:val="left"/>
      </w:pPr>
      <w:r>
        <w:rPr/>
        <w:pict>
          <v:group style="position:absolute;margin-left:65.601181pt;margin-top:28.415644pt;width:234.55pt;height:575.6pt;mso-position-horizontal-relative:page;mso-position-vertical-relative:paragraph;z-index:15737856" coordorigin="1312,568" coordsize="4691,11512">
            <v:shape style="position:absolute;left:3975;top:1283;width:109;height:149" type="#_x0000_t75" stroked="false">
              <v:imagedata r:id="rId25" o:title=""/>
            </v:shape>
            <v:shape style="position:absolute;left:2154;top:621;width:3834;height:919" coordorigin="2155,621" coordsize="3834,919" path="m5835,621l2308,621,2248,633,2200,666,2167,715,2155,774,2155,1386,2167,1446,2200,1494,2248,1527,2308,1539,5835,1539,5895,1527,5944,1494,5977,1446,5989,1386,5989,774,5977,715,5944,666,5895,633,5835,621xe" filled="true" fillcolor="#f6f6f6" stroked="false">
              <v:path arrowok="t"/>
              <v:fill type="solid"/>
            </v:shape>
            <v:shape style="position:absolute;left:2154;top:621;width:3834;height:919" coordorigin="2155,621" coordsize="3834,919" path="m2155,774l2167,715,2200,666,2248,633,2308,621,5835,621,5895,633,5944,666,5977,715,5989,774,5989,1386,5977,1446,5944,1494,5895,1527,5835,1539,2308,1539,2248,1527,2200,1494,2167,1446,2155,1386,2155,774xe" filled="false" stroked="true" strokeweight="1.404242pt" strokecolor="#949494">
              <v:path arrowok="t"/>
              <v:stroke dashstyle="solid"/>
            </v:shape>
            <v:shape style="position:absolute;left:3975;top:2246;width:109;height:149" type="#_x0000_t75" stroked="false">
              <v:imagedata r:id="rId25" o:title=""/>
            </v:shape>
            <v:shape style="position:absolute;left:2154;top:1789;width:3834;height:919" coordorigin="2155,1790" coordsize="3834,919" path="m5835,1790l2308,1790,2248,1802,2200,1835,2167,1883,2155,1943,2155,2555,2167,2614,2200,2663,2248,2696,2308,2708,5835,2708,5895,2696,5944,2663,5977,2614,5989,2555,5989,1943,5977,1883,5944,1835,5895,1802,5835,1790xe" filled="true" fillcolor="#f6f6f6" stroked="false">
              <v:path arrowok="t"/>
              <v:fill type="solid"/>
            </v:shape>
            <v:shape style="position:absolute;left:2154;top:1789;width:3834;height:919" coordorigin="2155,1790" coordsize="3834,919" path="m2155,1943l2167,1883,2200,1835,2248,1802,2308,1790,5835,1790,5895,1802,5944,1835,5977,1883,5989,1943,5989,2555,5977,2614,5944,2663,5895,2696,5835,2708,2308,2708,2248,2696,2200,2663,2167,2614,2155,2555,2155,1943xe" filled="false" stroked="true" strokeweight="1.404242pt" strokecolor="#949494">
              <v:path arrowok="t"/>
              <v:stroke dashstyle="solid"/>
            </v:shape>
            <v:rect style="position:absolute;left:1326;top:621;width:355;height:2048" filled="true" fillcolor="#f6f6f6" stroked="false">
              <v:fill type="solid"/>
            </v:rect>
            <v:shape style="position:absolute;left:1591;top:568;width:546;height:2228" type="#_x0000_t75" stroked="false">
              <v:imagedata r:id="rId26" o:title=""/>
            </v:shape>
            <v:shape style="position:absolute;left:1680;top:621;width:379;height:2048" coordorigin="1681,621" coordsize="379,2048" path="m2060,2669l1986,2667,1926,2660,1885,2650,1870,2638,1870,1677,1855,1664,1815,1654,1755,1648,1681,1645,1755,1643,1815,1636,1855,1626,1870,1614,1870,653,1885,640,1926,630,1986,624,2060,621e" filled="false" stroked="true" strokeweight="1.406277pt" strokecolor="#949494">
              <v:path arrowok="t"/>
              <v:stroke dashstyle="solid"/>
            </v:shape>
            <v:shape style="position:absolute;left:3947;top:1538;width:247;height:252" type="#_x0000_t75" stroked="false">
              <v:imagedata r:id="rId27" o:title=""/>
            </v:shape>
            <v:shape style="position:absolute;left:2154;top:2960;width:3834;height:919" coordorigin="2155,2961" coordsize="3834,919" path="m5835,2961l2308,2961,2248,2973,2200,3005,2167,3054,2155,3114,2155,3726,2167,3785,2200,3834,2248,3867,2308,3879,5835,3879,5895,3867,5944,3834,5977,3785,5989,3726,5989,3114,5977,3054,5944,3005,5895,2973,5835,2961xe" filled="true" fillcolor="#dce6f2" stroked="false">
              <v:path arrowok="t"/>
              <v:fill type="solid"/>
            </v:shape>
            <v:shape style="position:absolute;left:2154;top:2960;width:3834;height:919" coordorigin="2155,2961" coordsize="3834,919" path="m2155,3114l2167,3054,2200,3005,2248,2973,2308,2961,5835,2961,5895,2973,5944,3005,5977,3054,5989,3114,5989,3726,5977,3785,5944,3834,5895,3867,5835,3879,2308,3879,2248,3867,2200,3834,2167,3785,2155,3726,2155,3114xe" filled="false" stroked="true" strokeweight="1.404242pt" strokecolor="#949494">
              <v:path arrowok="t"/>
              <v:stroke dashstyle="solid"/>
            </v:shape>
            <v:shape style="position:absolute;left:2154;top:4129;width:3834;height:919" coordorigin="2155,4129" coordsize="3834,919" path="m5835,4129l2308,4129,2248,4141,2200,4174,2167,4223,2155,4282,2155,4894,2167,4954,2200,5003,2248,5035,2308,5047,5835,5047,5895,5035,5944,5003,5977,4954,5989,4894,5989,4282,5977,4223,5944,4174,5895,4141,5835,4129xe" filled="true" fillcolor="#dce6f2" stroked="false">
              <v:path arrowok="t"/>
              <v:fill type="solid"/>
            </v:shape>
            <v:shape style="position:absolute;left:2154;top:4129;width:3834;height:919" coordorigin="2155,4129" coordsize="3834,919" path="m2155,4282l2167,4223,2200,4174,2248,4141,2308,4129,5835,4129,5895,4141,5944,4174,5977,4223,5989,4282,5989,4894,5977,4954,5944,5003,5895,5035,5835,5047,2308,5047,2248,5035,2200,5003,2167,4954,2155,4894,2155,4282xe" filled="false" stroked="true" strokeweight="1.404242pt" strokecolor="#949494">
              <v:path arrowok="t"/>
              <v:stroke dashstyle="solid"/>
            </v:shape>
            <v:shape style="position:absolute;left:2154;top:5300;width:3834;height:919" coordorigin="2155,5300" coordsize="3834,919" path="m5835,5300l2308,5300,2248,5312,2200,5345,2167,5394,2155,5453,2155,6065,2167,6125,2200,6173,2248,6206,2308,6218,5835,6218,5895,6206,5944,6173,5977,6125,5989,6065,5989,5453,5977,5394,5944,5345,5895,5312,5835,5300xe" filled="true" fillcolor="#dce6f2" stroked="false">
              <v:path arrowok="t"/>
              <v:fill type="solid"/>
            </v:shape>
            <v:shape style="position:absolute;left:2154;top:5300;width:3834;height:919" coordorigin="2155,5300" coordsize="3834,919" path="m2155,5453l2167,5394,2200,5345,2248,5312,2308,5300,5835,5300,5895,5312,5944,5345,5977,5394,5989,5453,5989,6065,5977,6125,5944,6173,5895,6206,5835,6218,2308,6218,2248,6206,2200,6173,2167,6125,2155,6065,2155,5453xe" filled="false" stroked="true" strokeweight="1.404242pt" strokecolor="#949494">
              <v:path arrowok="t"/>
              <v:stroke dashstyle="solid"/>
            </v:shape>
            <v:rect style="position:absolute;left:1326;top:2954;width:357;height:3265" filled="true" fillcolor="#dce6f2" stroked="false">
              <v:fill type="solid"/>
            </v:rect>
            <v:rect style="position:absolute;left:1326;top:2954;width:357;height:3265" filled="false" stroked="true" strokeweight="1.406325pt" strokecolor="#949494">
              <v:stroke dashstyle="solid"/>
            </v:rect>
            <v:shape style="position:absolute;left:1591;top:2873;width:552;height:3472" type="#_x0000_t75" stroked="false">
              <v:imagedata r:id="rId28" o:title=""/>
            </v:shape>
            <v:shape style="position:absolute;left:1680;top:2926;width:388;height:3293" coordorigin="1681,2926" coordsize="388,3293" path="m2068,6218l1993,6216,1931,6209,1890,6199,1875,6186,1875,4604,1859,4592,1818,4582,1756,4575,1681,4572,1756,4570,1818,4563,1859,4553,1875,4540,1875,2958,1890,2946,1931,2936,1993,2929,2068,2926e" filled="false" stroked="true" strokeweight="1.406321pt" strokecolor="#949494">
              <v:path arrowok="t"/>
              <v:stroke dashstyle="solid"/>
            </v:shape>
            <v:shape style="position:absolute;left:3947;top:2706;width:247;height:252" type="#_x0000_t75" stroked="false">
              <v:imagedata r:id="rId27" o:title=""/>
            </v:shape>
            <v:shape style="position:absolute;left:3947;top:3877;width:247;height:252" type="#_x0000_t75" stroked="false">
              <v:imagedata r:id="rId27" o:title=""/>
            </v:shape>
            <v:shape style="position:absolute;left:3947;top:5046;width:247;height:252" type="#_x0000_t75" stroked="false">
              <v:imagedata r:id="rId29" o:title=""/>
            </v:shape>
            <v:shape style="position:absolute;left:3995;top:6796;width:109;height:149" type="#_x0000_t75" stroked="false">
              <v:imagedata r:id="rId30" o:title=""/>
            </v:shape>
            <v:shape style="position:absolute;left:2154;top:6468;width:3834;height:919" coordorigin="2155,6469" coordsize="3834,919" path="m5835,6469l2308,6469,2248,6481,2200,6514,2167,6562,2155,6622,2155,7234,2167,7293,2200,7342,2248,7375,2308,7387,5835,7387,5895,7375,5944,7342,5977,7293,5989,7234,5989,6622,5977,6562,5944,6514,5895,6481,5835,6469xe" filled="true" fillcolor="#ebf1de" stroked="false">
              <v:path arrowok="t"/>
              <v:fill type="solid"/>
            </v:shape>
            <v:shape style="position:absolute;left:2154;top:6468;width:3834;height:919" coordorigin="2155,6469" coordsize="3834,919" path="m2155,6622l2167,6562,2200,6514,2248,6481,2308,6469,5835,6469,5895,6481,5944,6514,5977,6562,5989,6622,5989,7234,5977,7293,5944,7342,5895,7375,5835,7387,2308,7387,2248,7375,2200,7342,2167,7293,2155,7234,2155,6622xe" filled="false" stroked="true" strokeweight="1.404242pt" strokecolor="#949494">
              <v:path arrowok="t"/>
              <v:stroke dashstyle="solid"/>
            </v:shape>
            <v:shape style="position:absolute;left:3947;top:6217;width:247;height:252" type="#_x0000_t75" stroked="false">
              <v:imagedata r:id="rId27" o:title=""/>
            </v:shape>
            <v:shape style="position:absolute;left:3922;top:7803;width:119;height:110" coordorigin="3922,7803" coordsize="119,110" path="m3990,7803l3922,7888,4040,7913,3990,7803xe" filled="true" fillcolor="#949494" stroked="false">
              <v:path arrowok="t"/>
              <v:fill type="solid"/>
            </v:shape>
            <v:shape style="position:absolute;left:2154;top:7639;width:3834;height:919" coordorigin="2155,7640" coordsize="3834,919" path="m5848,7640l2296,7640,2241,7651,2196,7681,2166,7726,2155,7780,2155,8417,2166,8472,2196,8517,2241,8547,2296,8558,5848,8558,5903,8547,5947,8517,5978,8472,5989,8417,5989,7780,5978,7726,5947,7681,5903,7651,5848,7640xe" filled="true" fillcolor="#f2dcdb" stroked="false">
              <v:path arrowok="t"/>
              <v:fill type="solid"/>
            </v:shape>
            <v:shape style="position:absolute;left:2154;top:7639;width:3834;height:919" coordorigin="2155,7640" coordsize="3834,919" path="m2155,7780l2166,7726,2196,7681,2241,7651,2296,7640,5848,7640,5903,7651,5947,7681,5978,7726,5989,7780,5989,8417,5978,8472,5947,8517,5903,8547,5848,8558,2296,8558,2241,8547,2196,8517,2166,8472,2155,8417,2155,7780xe" filled="false" stroked="true" strokeweight="1.404242pt" strokecolor="#949494">
              <v:path arrowok="t"/>
              <v:stroke dashstyle="solid"/>
            </v:shape>
            <v:shape style="position:absolute;left:3947;top:7385;width:247;height:252" type="#_x0000_t75" stroked="false">
              <v:imagedata r:id="rId29" o:title=""/>
            </v:shape>
            <v:shape style="position:absolute;left:2154;top:8808;width:3834;height:919" coordorigin="2155,8808" coordsize="3834,919" path="m5835,8808l2308,8808,2248,8820,2200,8853,2167,8902,2155,8961,2155,9573,2167,9633,2200,9682,2248,9714,2308,9726,5835,9726,5895,9714,5944,9682,5977,9633,5989,9573,5989,8961,5977,8902,5944,8853,5895,8820,5835,8808xe" filled="true" fillcolor="#dbeef4" stroked="false">
              <v:path arrowok="t"/>
              <v:fill type="solid"/>
            </v:shape>
            <v:shape style="position:absolute;left:2154;top:8808;width:3834;height:919" coordorigin="2155,8808" coordsize="3834,919" path="m2155,8961l2167,8902,2200,8853,2248,8820,2308,8808,5835,8808,5895,8820,5944,8853,5977,8902,5989,8961,5989,9573,5977,9633,5944,9682,5895,9714,5835,9726,2308,9726,2248,9714,2200,9682,2167,9633,2155,9573,2155,8961xe" filled="false" stroked="true" strokeweight="1.404242pt" strokecolor="#949494">
              <v:path arrowok="t"/>
              <v:stroke dashstyle="shortdash"/>
            </v:shape>
            <v:shape style="position:absolute;left:3947;top:8556;width:247;height:252" type="#_x0000_t75" stroked="false">
              <v:imagedata r:id="rId27" o:title=""/>
            </v:shape>
            <v:shape style="position:absolute;left:2154;top:9977;width:3834;height:921" coordorigin="2155,9977" coordsize="3834,921" path="m5835,9977l2308,9977,2249,9989,2200,10022,2167,10071,2155,10130,2155,10744,2167,10804,2200,10852,2249,10885,2308,10897,5835,10897,5895,10885,5944,10852,5977,10804,5989,10744,5989,10130,5977,10071,5944,10022,5895,9989,5835,9977xe" filled="true" fillcolor="#e6e0ec" stroked="false">
              <v:path arrowok="t"/>
              <v:fill type="solid"/>
            </v:shape>
            <v:shape style="position:absolute;left:2154;top:9977;width:3834;height:921" coordorigin="2155,9977" coordsize="3834,921" path="m2155,10130l2167,10071,2200,10022,2249,9989,2308,9977,5835,9977,5895,9989,5944,10022,5977,10071,5989,10130,5989,10744,5977,10804,5944,10852,5895,10885,5835,10897,2308,10897,2249,10885,2200,10852,2167,10804,2155,10744,2155,10130xe" filled="false" stroked="true" strokeweight="1.404242pt" strokecolor="#949494">
              <v:path arrowok="t"/>
              <v:stroke dashstyle="solid"/>
            </v:shape>
            <v:shape style="position:absolute;left:3947;top:9725;width:247;height:252" type="#_x0000_t75" stroked="false">
              <v:imagedata r:id="rId29" o:title=""/>
            </v:shape>
            <v:shape style="position:absolute;left:2154;top:11147;width:3834;height:919" coordorigin="2155,11148" coordsize="3834,919" path="m5835,11148l2308,11148,2248,11160,2200,11193,2167,11241,2155,11301,2155,11913,2167,11972,2200,12021,2248,12054,2308,12066,5835,12066,5895,12054,5944,12021,5977,11972,5989,11913,5989,11301,5977,11241,5944,11193,5895,11160,5835,11148xe" filled="true" fillcolor="#dbeef4" stroked="false">
              <v:path arrowok="t"/>
              <v:fill type="solid"/>
            </v:shape>
            <v:shape style="position:absolute;left:2154;top:11147;width:3834;height:919" coordorigin="2155,11148" coordsize="3834,919" path="m2155,11301l2167,11241,2200,11193,2248,11160,2308,11148,5835,11148,5895,11160,5944,11193,5977,11241,5989,11301,5989,11913,5977,11972,5944,12021,5895,12054,5835,12066,2308,12066,2248,12054,2200,12021,2167,11972,2155,11913,2155,11301xe" filled="false" stroked="true" strokeweight="1.404242pt" strokecolor="#949494">
              <v:path arrowok="t"/>
              <v:stroke dashstyle="solid"/>
            </v:shape>
            <v:shape style="position:absolute;left:3947;top:10896;width:247;height:252" type="#_x0000_t75" stroked="false">
              <v:imagedata r:id="rId31" o:title=""/>
            </v:shape>
            <v:shape style="position:absolute;left:2323;top:863;width:3510;height:440" type="#_x0000_t202" filled="false" stroked="false">
              <v:textbox inset="0,0,0,0">
                <w:txbxContent>
                  <w:p>
                    <w:pPr>
                      <w:spacing w:line="249" w:lineRule="auto" w:before="0"/>
                      <w:ind w:left="160" w:right="-5" w:hanging="161"/>
                      <w:jc w:val="left"/>
                      <w:rPr>
                        <w:sz w:val="19"/>
                      </w:rPr>
                    </w:pPr>
                    <w:r>
                      <w:rPr>
                        <w:b/>
                        <w:color w:val="949494"/>
                        <w:sz w:val="19"/>
                      </w:rPr>
                      <w:t>Step 1. </w:t>
                    </w:r>
                    <w:r>
                      <w:rPr>
                        <w:color w:val="949494"/>
                        <w:sz w:val="19"/>
                      </w:rPr>
                      <w:t>Apply global revenue test to MNE group consolidated financial accounts</w:t>
                    </w:r>
                  </w:p>
                </w:txbxContent>
              </v:textbox>
              <w10:wrap type="none"/>
            </v:shape>
            <v:shape style="position:absolute;left:2386;top:2033;width:3385;height:440" type="#_x0000_t202" filled="false" stroked="false">
              <v:textbox inset="0,0,0,0">
                <w:txbxContent>
                  <w:p>
                    <w:pPr>
                      <w:spacing w:line="249" w:lineRule="auto" w:before="0"/>
                      <w:ind w:left="774" w:right="8" w:hanging="775"/>
                      <w:jc w:val="left"/>
                      <w:rPr>
                        <w:sz w:val="19"/>
                      </w:rPr>
                    </w:pPr>
                    <w:r>
                      <w:rPr>
                        <w:b/>
                        <w:color w:val="949494"/>
                        <w:sz w:val="19"/>
                      </w:rPr>
                      <w:t>Step 2. </w:t>
                    </w:r>
                    <w:r>
                      <w:rPr>
                        <w:color w:val="949494"/>
                        <w:sz w:val="19"/>
                      </w:rPr>
                      <w:t>Apply de minimis foreign source in-scope revenue test</w:t>
                    </w:r>
                  </w:p>
                </w:txbxContent>
              </v:textbox>
              <w10:wrap type="none"/>
            </v:shape>
            <v:shape style="position:absolute;left:2418;top:3202;width:3320;height:441" type="#_x0000_t202" filled="false" stroked="false">
              <v:textbox inset="0,0,0,0">
                <w:txbxContent>
                  <w:p>
                    <w:pPr>
                      <w:spacing w:line="213" w:lineRule="exact" w:before="0"/>
                      <w:ind w:left="188" w:right="207" w:firstLine="0"/>
                      <w:jc w:val="center"/>
                      <w:rPr>
                        <w:sz w:val="19"/>
                      </w:rPr>
                    </w:pPr>
                    <w:r>
                      <w:rPr>
                        <w:b/>
                        <w:color w:val="949494"/>
                        <w:sz w:val="19"/>
                      </w:rPr>
                      <w:t>Step 3. </w:t>
                    </w:r>
                    <w:r>
                      <w:rPr>
                        <w:color w:val="949494"/>
                        <w:sz w:val="19"/>
                      </w:rPr>
                      <w:t>Use consolidated financial</w:t>
                    </w:r>
                  </w:p>
                  <w:p>
                    <w:pPr>
                      <w:spacing w:before="9"/>
                      <w:ind w:left="-1" w:right="18" w:firstLine="0"/>
                      <w:jc w:val="center"/>
                      <w:rPr>
                        <w:sz w:val="19"/>
                      </w:rPr>
                    </w:pPr>
                    <w:r>
                      <w:rPr>
                        <w:color w:val="949494"/>
                        <w:sz w:val="19"/>
                      </w:rPr>
                      <w:t>accounts to determine MNE group</w:t>
                    </w:r>
                    <w:r>
                      <w:rPr>
                        <w:color w:val="949494"/>
                        <w:spacing w:val="-27"/>
                        <w:sz w:val="19"/>
                      </w:rPr>
                      <w:t> </w:t>
                    </w:r>
                    <w:r>
                      <w:rPr>
                        <w:color w:val="949494"/>
                        <w:sz w:val="19"/>
                      </w:rPr>
                      <w:t>PBT</w:t>
                    </w:r>
                  </w:p>
                </w:txbxContent>
              </v:textbox>
              <w10:wrap type="none"/>
            </v:shape>
            <v:shape style="position:absolute;left:2388;top:4372;width:3383;height:440" type="#_x0000_t202" filled="false" stroked="false">
              <v:textbox inset="0,0,0,0">
                <w:txbxContent>
                  <w:p>
                    <w:pPr>
                      <w:spacing w:line="249" w:lineRule="auto" w:before="0"/>
                      <w:ind w:left="0" w:right="-7" w:firstLine="147"/>
                      <w:jc w:val="left"/>
                      <w:rPr>
                        <w:sz w:val="19"/>
                      </w:rPr>
                    </w:pPr>
                    <w:r>
                      <w:rPr>
                        <w:b/>
                        <w:color w:val="949494"/>
                        <w:sz w:val="19"/>
                      </w:rPr>
                      <w:t>Step 4. </w:t>
                    </w:r>
                    <w:r>
                      <w:rPr>
                        <w:color w:val="949494"/>
                        <w:sz w:val="19"/>
                      </w:rPr>
                      <w:t>Determine whether the MNE group has to segment the PBT measure</w:t>
                    </w:r>
                  </w:p>
                </w:txbxContent>
              </v:textbox>
              <w10:wrap type="none"/>
            </v:shape>
            <v:shape style="position:absolute;left:2829;top:5656;width:2497;height:213" type="#_x0000_t202" filled="false" stroked="false">
              <v:textbox inset="0,0,0,0">
                <w:txbxContent>
                  <w:p>
                    <w:pPr>
                      <w:spacing w:line="212" w:lineRule="exact" w:before="0"/>
                      <w:ind w:left="0" w:right="0" w:firstLine="0"/>
                      <w:jc w:val="left"/>
                      <w:rPr>
                        <w:sz w:val="19"/>
                      </w:rPr>
                    </w:pPr>
                    <w:r>
                      <w:rPr>
                        <w:b/>
                        <w:color w:val="949494"/>
                        <w:sz w:val="19"/>
                      </w:rPr>
                      <w:t>Step 5. </w:t>
                    </w:r>
                    <w:r>
                      <w:rPr>
                        <w:color w:val="949494"/>
                        <w:sz w:val="19"/>
                      </w:rPr>
                      <w:t>Accounting for losses</w:t>
                    </w:r>
                  </w:p>
                </w:txbxContent>
              </v:textbox>
              <w10:wrap type="none"/>
            </v:shape>
            <v:shape style="position:absolute;left:2282;top:6712;width:3593;height:440" type="#_x0000_t202" filled="false" stroked="false">
              <v:textbox inset="0,0,0,0">
                <w:txbxContent>
                  <w:p>
                    <w:pPr>
                      <w:spacing w:line="249" w:lineRule="auto" w:before="0"/>
                      <w:ind w:left="971" w:right="-7" w:hanging="972"/>
                      <w:jc w:val="left"/>
                      <w:rPr>
                        <w:sz w:val="19"/>
                      </w:rPr>
                    </w:pPr>
                    <w:r>
                      <w:rPr>
                        <w:b/>
                        <w:color w:val="949494"/>
                        <w:sz w:val="19"/>
                      </w:rPr>
                      <w:t>Step 6. </w:t>
                    </w:r>
                    <w:r>
                      <w:rPr>
                        <w:color w:val="949494"/>
                        <w:sz w:val="19"/>
                      </w:rPr>
                      <w:t>Apply nexus test to identify eligible market jurisdictions</w:t>
                    </w:r>
                  </w:p>
                </w:txbxContent>
              </v:textbox>
              <w10:wrap type="none"/>
            </v:shape>
            <v:shape style="position:absolute;left:2485;top:7882;width:3188;height:440" type="#_x0000_t202" filled="false" stroked="false">
              <v:textbox inset="0,0,0,0">
                <w:txbxContent>
                  <w:p>
                    <w:pPr>
                      <w:spacing w:line="249" w:lineRule="auto" w:before="0"/>
                      <w:ind w:left="0" w:right="-1" w:firstLine="38"/>
                      <w:jc w:val="left"/>
                      <w:rPr>
                        <w:sz w:val="19"/>
                      </w:rPr>
                    </w:pPr>
                    <w:r>
                      <w:rPr>
                        <w:b/>
                        <w:color w:val="949494"/>
                        <w:sz w:val="19"/>
                      </w:rPr>
                      <w:t>Step 7. </w:t>
                    </w:r>
                    <w:r>
                      <w:rPr>
                        <w:color w:val="949494"/>
                        <w:sz w:val="19"/>
                      </w:rPr>
                      <w:t>Allocate Amount A to eligible market jurisdictions through a formula</w:t>
                    </w:r>
                  </w:p>
                </w:txbxContent>
              </v:textbox>
              <w10:wrap type="none"/>
            </v:shape>
            <v:shape style="position:absolute;left:2345;top:8939;width:3469;height:667" type="#_x0000_t202" filled="false" stroked="false">
              <v:textbox inset="0,0,0,0">
                <w:txbxContent>
                  <w:p>
                    <w:pPr>
                      <w:spacing w:line="249" w:lineRule="auto" w:before="0"/>
                      <w:ind w:left="0" w:right="18" w:firstLine="0"/>
                      <w:jc w:val="center"/>
                      <w:rPr>
                        <w:sz w:val="19"/>
                      </w:rPr>
                    </w:pPr>
                    <w:r>
                      <w:rPr>
                        <w:b/>
                        <w:color w:val="949494"/>
                        <w:sz w:val="19"/>
                      </w:rPr>
                      <w:t>Step 8. </w:t>
                    </w:r>
                    <w:r>
                      <w:rPr>
                        <w:color w:val="949494"/>
                        <w:sz w:val="19"/>
                      </w:rPr>
                      <w:t>Potential marketing and distribution profits safe harbour for</w:t>
                    </w:r>
                    <w:r>
                      <w:rPr>
                        <w:color w:val="949494"/>
                        <w:spacing w:val="-30"/>
                        <w:sz w:val="19"/>
                      </w:rPr>
                      <w:t> </w:t>
                    </w:r>
                    <w:r>
                      <w:rPr>
                        <w:color w:val="949494"/>
                        <w:sz w:val="19"/>
                      </w:rPr>
                      <w:t>MNEs with taxable presence in the</w:t>
                    </w:r>
                    <w:r>
                      <w:rPr>
                        <w:color w:val="949494"/>
                        <w:spacing w:val="-16"/>
                        <w:sz w:val="19"/>
                      </w:rPr>
                      <w:t> </w:t>
                    </w:r>
                    <w:r>
                      <w:rPr>
                        <w:color w:val="949494"/>
                        <w:sz w:val="19"/>
                      </w:rPr>
                      <w:t>market</w:t>
                    </w:r>
                  </w:p>
                </w:txbxContent>
              </v:textbox>
              <w10:wrap type="none"/>
            </v:shape>
            <v:shape style="position:absolute;left:2308;top:10222;width:3540;height:440" type="#_x0000_t202" filled="false" stroked="false">
              <v:textbox inset="0,0,0,0">
                <w:txbxContent>
                  <w:p>
                    <w:pPr>
                      <w:spacing w:line="249" w:lineRule="auto" w:before="0"/>
                      <w:ind w:left="385" w:right="-7" w:hanging="386"/>
                      <w:jc w:val="left"/>
                      <w:rPr>
                        <w:sz w:val="19"/>
                      </w:rPr>
                    </w:pPr>
                    <w:r>
                      <w:rPr>
                        <w:b/>
                        <w:color w:val="949494"/>
                        <w:sz w:val="19"/>
                      </w:rPr>
                      <w:t>Step 9. </w:t>
                    </w:r>
                    <w:r>
                      <w:rPr>
                        <w:color w:val="949494"/>
                        <w:sz w:val="19"/>
                      </w:rPr>
                      <w:t>Elimination of double taxation and payment of Amount A tax liability</w:t>
                    </w:r>
                  </w:p>
                </w:txbxContent>
              </v:textbox>
              <w10:wrap type="none"/>
            </v:shape>
            <v:shape style="position:absolute;left:2368;top:11278;width:3420;height:667" type="#_x0000_t202" filled="false" stroked="false">
              <v:textbox inset="0,0,0,0">
                <w:txbxContent>
                  <w:p>
                    <w:pPr>
                      <w:spacing w:line="249" w:lineRule="auto" w:before="0"/>
                      <w:ind w:left="-1" w:right="18" w:firstLine="0"/>
                      <w:jc w:val="center"/>
                      <w:rPr>
                        <w:sz w:val="19"/>
                      </w:rPr>
                    </w:pPr>
                    <w:r>
                      <w:rPr>
                        <w:b/>
                        <w:color w:val="949494"/>
                        <w:sz w:val="19"/>
                      </w:rPr>
                      <w:t>Step 10. </w:t>
                    </w:r>
                    <w:r>
                      <w:rPr>
                        <w:color w:val="949494"/>
                        <w:sz w:val="19"/>
                      </w:rPr>
                      <w:t>Submission of</w:t>
                    </w:r>
                    <w:r>
                      <w:rPr>
                        <w:color w:val="949494"/>
                        <w:spacing w:val="-24"/>
                        <w:sz w:val="19"/>
                      </w:rPr>
                      <w:t> </w:t>
                    </w:r>
                    <w:r>
                      <w:rPr>
                        <w:color w:val="949494"/>
                        <w:sz w:val="19"/>
                      </w:rPr>
                      <w:t>self-assessment through common platform and early certainty</w:t>
                    </w:r>
                    <w:r>
                      <w:rPr>
                        <w:color w:val="949494"/>
                        <w:spacing w:val="-4"/>
                        <w:sz w:val="19"/>
                      </w:rPr>
                      <w:t> </w:t>
                    </w:r>
                    <w:r>
                      <w:rPr>
                        <w:color w:val="949494"/>
                        <w:sz w:val="19"/>
                      </w:rPr>
                      <w:t>process</w:t>
                    </w:r>
                  </w:p>
                </w:txbxContent>
              </v:textbox>
              <w10:wrap type="none"/>
            </v:shape>
            <w10:wrap type="none"/>
          </v:group>
        </w:pict>
      </w:r>
      <w:r>
        <w:rPr/>
        <w:pict>
          <v:shape style="position:absolute;margin-left:66.304344pt;margin-top:31.061861pt;width:17.75pt;height:102.4pt;mso-position-horizontal-relative:page;mso-position-vertical-relative:paragraph;z-index:15738368" type="#_x0000_t202" filled="false" stroked="true" strokeweight="1.406286pt" strokecolor="#949494">
            <v:textbox inset="0,0,0,0" style="layout-flow:vertical;mso-layout-flow-alt:bottom-to-top">
              <w:txbxContent>
                <w:p>
                  <w:pPr>
                    <w:spacing w:before="45"/>
                    <w:ind w:left="659" w:right="659" w:firstLine="0"/>
                    <w:jc w:val="center"/>
                    <w:rPr>
                      <w:b/>
                      <w:sz w:val="21"/>
                    </w:rPr>
                  </w:pPr>
                  <w:r>
                    <w:rPr>
                      <w:b/>
                      <w:color w:val="949494"/>
                      <w:w w:val="105"/>
                      <w:sz w:val="21"/>
                    </w:rPr>
                    <w:t>Scope</w:t>
                  </w:r>
                </w:p>
              </w:txbxContent>
            </v:textbox>
            <v:stroke dashstyle="solid"/>
            <w10:wrap type="none"/>
          </v:shape>
        </w:pict>
      </w:r>
      <w:r>
        <w:rPr/>
        <w:pict>
          <v:shape style="position:absolute;margin-left:308.895416pt;margin-top:28.304491pt;width:220.4pt;height:574.950pt;mso-position-horizontal-relative:page;mso-position-vertical-relative:paragraph;z-index:15738880" type="#_x0000_t202" filled="false" stroked="true" strokeweight=".648954pt" strokecolor="#949494">
            <v:textbox inset="0,0,0,0">
              <w:txbxContent>
                <w:p>
                  <w:pPr>
                    <w:numPr>
                      <w:ilvl w:val="0"/>
                      <w:numId w:val="6"/>
                    </w:numPr>
                    <w:tabs>
                      <w:tab w:pos="304" w:val="left" w:leader="none"/>
                    </w:tabs>
                    <w:spacing w:before="65"/>
                    <w:ind w:left="303" w:right="0" w:hanging="181"/>
                    <w:jc w:val="left"/>
                    <w:rPr>
                      <w:rFonts w:ascii="Arial Narrow"/>
                      <w:b/>
                      <w:sz w:val="20"/>
                    </w:rPr>
                  </w:pPr>
                  <w:r>
                    <w:rPr>
                      <w:rFonts w:ascii="Arial Narrow"/>
                      <w:b/>
                      <w:color w:val="949494"/>
                      <w:sz w:val="20"/>
                    </w:rPr>
                    <w:t>Global revenue</w:t>
                  </w:r>
                  <w:r>
                    <w:rPr>
                      <w:rFonts w:ascii="Arial Narrow"/>
                      <w:b/>
                      <w:color w:val="949494"/>
                      <w:spacing w:val="-10"/>
                      <w:sz w:val="20"/>
                    </w:rPr>
                    <w:t> </w:t>
                  </w:r>
                  <w:r>
                    <w:rPr>
                      <w:rFonts w:ascii="Arial Narrow"/>
                      <w:b/>
                      <w:color w:val="949494"/>
                      <w:sz w:val="20"/>
                    </w:rPr>
                    <w:t>test</w:t>
                  </w:r>
                </w:p>
                <w:p>
                  <w:pPr>
                    <w:pStyle w:val="BodyText"/>
                    <w:spacing w:line="249" w:lineRule="auto" w:before="8"/>
                    <w:ind w:left="123" w:right="121"/>
                    <w:rPr>
                      <w:rFonts w:ascii="Arial Narrow"/>
                    </w:rPr>
                  </w:pPr>
                  <w:r>
                    <w:rPr>
                      <w:rFonts w:ascii="Arial Narrow"/>
                      <w:color w:val="949494"/>
                    </w:rPr>
                    <w:t>Only MNE groups with revenue exceeding EUR [X] are potentially in scope of Amount A.</w:t>
                  </w:r>
                </w:p>
                <w:p>
                  <w:pPr>
                    <w:numPr>
                      <w:ilvl w:val="0"/>
                      <w:numId w:val="6"/>
                    </w:numPr>
                    <w:tabs>
                      <w:tab w:pos="304" w:val="left" w:leader="none"/>
                    </w:tabs>
                    <w:spacing w:line="249" w:lineRule="auto" w:before="106"/>
                    <w:ind w:left="123" w:right="189" w:firstLine="0"/>
                    <w:jc w:val="left"/>
                    <w:rPr>
                      <w:rFonts w:ascii="Arial Narrow"/>
                      <w:b/>
                      <w:sz w:val="20"/>
                    </w:rPr>
                  </w:pPr>
                  <w:r>
                    <w:rPr>
                      <w:rFonts w:ascii="Arial Narrow"/>
                      <w:b/>
                      <w:color w:val="949494"/>
                      <w:sz w:val="20"/>
                    </w:rPr>
                    <w:t>Apply</w:t>
                  </w:r>
                  <w:r>
                    <w:rPr>
                      <w:rFonts w:ascii="Arial Narrow"/>
                      <w:b/>
                      <w:color w:val="949494"/>
                      <w:spacing w:val="-10"/>
                      <w:sz w:val="20"/>
                    </w:rPr>
                    <w:t> </w:t>
                  </w:r>
                  <w:r>
                    <w:rPr>
                      <w:rFonts w:ascii="Arial Narrow"/>
                      <w:b/>
                      <w:color w:val="949494"/>
                      <w:sz w:val="20"/>
                    </w:rPr>
                    <w:t>de</w:t>
                  </w:r>
                  <w:r>
                    <w:rPr>
                      <w:rFonts w:ascii="Arial Narrow"/>
                      <w:b/>
                      <w:color w:val="949494"/>
                      <w:spacing w:val="-6"/>
                      <w:sz w:val="20"/>
                    </w:rPr>
                    <w:t> </w:t>
                  </w:r>
                  <w:r>
                    <w:rPr>
                      <w:rFonts w:ascii="Arial Narrow"/>
                      <w:b/>
                      <w:color w:val="949494"/>
                      <w:sz w:val="20"/>
                    </w:rPr>
                    <w:t>minimis</w:t>
                  </w:r>
                  <w:r>
                    <w:rPr>
                      <w:rFonts w:ascii="Arial Narrow"/>
                      <w:b/>
                      <w:color w:val="949494"/>
                      <w:spacing w:val="-11"/>
                      <w:sz w:val="20"/>
                    </w:rPr>
                    <w:t> </w:t>
                  </w:r>
                  <w:r>
                    <w:rPr>
                      <w:rFonts w:ascii="Arial Narrow"/>
                      <w:b/>
                      <w:color w:val="949494"/>
                      <w:sz w:val="20"/>
                    </w:rPr>
                    <w:t>foreign</w:t>
                  </w:r>
                  <w:r>
                    <w:rPr>
                      <w:rFonts w:ascii="Arial Narrow"/>
                      <w:b/>
                      <w:color w:val="949494"/>
                      <w:spacing w:val="-9"/>
                      <w:sz w:val="20"/>
                    </w:rPr>
                    <w:t> </w:t>
                  </w:r>
                  <w:r>
                    <w:rPr>
                      <w:rFonts w:ascii="Arial Narrow"/>
                      <w:b/>
                      <w:color w:val="949494"/>
                      <w:sz w:val="20"/>
                    </w:rPr>
                    <w:t>source</w:t>
                  </w:r>
                  <w:r>
                    <w:rPr>
                      <w:rFonts w:ascii="Arial Narrow"/>
                      <w:b/>
                      <w:color w:val="949494"/>
                      <w:spacing w:val="-9"/>
                      <w:sz w:val="20"/>
                    </w:rPr>
                    <w:t> </w:t>
                  </w:r>
                  <w:r>
                    <w:rPr>
                      <w:rFonts w:ascii="Arial Narrow"/>
                      <w:b/>
                      <w:color w:val="949494"/>
                      <w:sz w:val="20"/>
                    </w:rPr>
                    <w:t>in-scope</w:t>
                  </w:r>
                  <w:r>
                    <w:rPr>
                      <w:rFonts w:ascii="Arial Narrow"/>
                      <w:b/>
                      <w:color w:val="949494"/>
                      <w:spacing w:val="-11"/>
                      <w:sz w:val="20"/>
                    </w:rPr>
                    <w:t> </w:t>
                  </w:r>
                  <w:r>
                    <w:rPr>
                      <w:rFonts w:ascii="Arial Narrow"/>
                      <w:b/>
                      <w:color w:val="949494"/>
                      <w:sz w:val="20"/>
                    </w:rPr>
                    <w:t>revenue test</w:t>
                  </w:r>
                </w:p>
                <w:p>
                  <w:pPr>
                    <w:pStyle w:val="BodyText"/>
                    <w:spacing w:line="249" w:lineRule="auto"/>
                    <w:ind w:left="123" w:right="121"/>
                    <w:rPr>
                      <w:rFonts w:ascii="Arial Narrow"/>
                    </w:rPr>
                  </w:pPr>
                  <w:r>
                    <w:rPr>
                      <w:rFonts w:ascii="Arial Narrow"/>
                      <w:color w:val="949494"/>
                    </w:rPr>
                    <w:t>Only MNE groups with aggregated foreign source revenue from in-scope activities exceeding EUR [X] are taken into account for Amount A liability.</w:t>
                  </w:r>
                </w:p>
                <w:p>
                  <w:pPr>
                    <w:numPr>
                      <w:ilvl w:val="0"/>
                      <w:numId w:val="6"/>
                    </w:numPr>
                    <w:tabs>
                      <w:tab w:pos="304" w:val="left" w:leader="none"/>
                    </w:tabs>
                    <w:spacing w:line="249" w:lineRule="auto" w:before="103"/>
                    <w:ind w:left="123" w:right="261" w:firstLine="0"/>
                    <w:jc w:val="left"/>
                    <w:rPr>
                      <w:rFonts w:ascii="Arial Narrow"/>
                      <w:b/>
                      <w:sz w:val="20"/>
                    </w:rPr>
                  </w:pPr>
                  <w:r>
                    <w:rPr>
                      <w:rFonts w:ascii="Arial Narrow"/>
                      <w:b/>
                      <w:color w:val="949494"/>
                      <w:sz w:val="20"/>
                    </w:rPr>
                    <w:t>Use</w:t>
                  </w:r>
                  <w:r>
                    <w:rPr>
                      <w:rFonts w:ascii="Arial Narrow"/>
                      <w:b/>
                      <w:color w:val="949494"/>
                      <w:spacing w:val="-9"/>
                      <w:sz w:val="20"/>
                    </w:rPr>
                    <w:t> </w:t>
                  </w:r>
                  <w:r>
                    <w:rPr>
                      <w:rFonts w:ascii="Arial Narrow"/>
                      <w:b/>
                      <w:color w:val="949494"/>
                      <w:sz w:val="20"/>
                    </w:rPr>
                    <w:t>consolidated</w:t>
                  </w:r>
                  <w:r>
                    <w:rPr>
                      <w:rFonts w:ascii="Arial Narrow"/>
                      <w:b/>
                      <w:color w:val="949494"/>
                      <w:spacing w:val="-15"/>
                      <w:sz w:val="20"/>
                    </w:rPr>
                    <w:t> </w:t>
                  </w:r>
                  <w:r>
                    <w:rPr>
                      <w:rFonts w:ascii="Arial Narrow"/>
                      <w:b/>
                      <w:color w:val="949494"/>
                      <w:sz w:val="20"/>
                    </w:rPr>
                    <w:t>financial</w:t>
                  </w:r>
                  <w:r>
                    <w:rPr>
                      <w:rFonts w:ascii="Arial Narrow"/>
                      <w:b/>
                      <w:color w:val="949494"/>
                      <w:spacing w:val="-12"/>
                      <w:sz w:val="20"/>
                    </w:rPr>
                    <w:t> </w:t>
                  </w:r>
                  <w:r>
                    <w:rPr>
                      <w:rFonts w:ascii="Arial Narrow"/>
                      <w:b/>
                      <w:color w:val="949494"/>
                      <w:sz w:val="20"/>
                    </w:rPr>
                    <w:t>accounts</w:t>
                  </w:r>
                  <w:r>
                    <w:rPr>
                      <w:rFonts w:ascii="Arial Narrow"/>
                      <w:b/>
                      <w:color w:val="949494"/>
                      <w:spacing w:val="-13"/>
                      <w:sz w:val="20"/>
                    </w:rPr>
                    <w:t> </w:t>
                  </w:r>
                  <w:r>
                    <w:rPr>
                      <w:rFonts w:ascii="Arial Narrow"/>
                      <w:b/>
                      <w:color w:val="949494"/>
                      <w:sz w:val="20"/>
                    </w:rPr>
                    <w:t>to</w:t>
                  </w:r>
                  <w:r>
                    <w:rPr>
                      <w:rFonts w:ascii="Arial Narrow"/>
                      <w:b/>
                      <w:color w:val="949494"/>
                      <w:spacing w:val="-9"/>
                      <w:sz w:val="20"/>
                    </w:rPr>
                    <w:t> </w:t>
                  </w:r>
                  <w:r>
                    <w:rPr>
                      <w:rFonts w:ascii="Arial Narrow"/>
                      <w:b/>
                      <w:color w:val="949494"/>
                      <w:sz w:val="20"/>
                    </w:rPr>
                    <w:t>determine PBT</w:t>
                  </w:r>
                  <w:r>
                    <w:rPr>
                      <w:rFonts w:ascii="Arial Narrow"/>
                      <w:b/>
                      <w:color w:val="949494"/>
                      <w:spacing w:val="-2"/>
                      <w:sz w:val="20"/>
                    </w:rPr>
                    <w:t> </w:t>
                  </w:r>
                  <w:r>
                    <w:rPr>
                      <w:rFonts w:ascii="Arial Narrow"/>
                      <w:b/>
                      <w:color w:val="949494"/>
                      <w:sz w:val="20"/>
                    </w:rPr>
                    <w:t>measure</w:t>
                  </w:r>
                </w:p>
                <w:p>
                  <w:pPr>
                    <w:pStyle w:val="BodyText"/>
                    <w:spacing w:line="249" w:lineRule="auto"/>
                    <w:ind w:left="123" w:right="121"/>
                    <w:rPr>
                      <w:rFonts w:ascii="Arial Narrow"/>
                    </w:rPr>
                  </w:pPr>
                  <w:r>
                    <w:rPr>
                      <w:rFonts w:ascii="Arial Narrow"/>
                      <w:color w:val="949494"/>
                    </w:rPr>
                    <w:t>Identify eligible consolidated GAAPs and apply tax adjustments to compute MNE group standardised PBT.</w:t>
                  </w:r>
                </w:p>
                <w:p>
                  <w:pPr>
                    <w:numPr>
                      <w:ilvl w:val="0"/>
                      <w:numId w:val="6"/>
                    </w:numPr>
                    <w:tabs>
                      <w:tab w:pos="304" w:val="left" w:leader="none"/>
                    </w:tabs>
                    <w:spacing w:before="104"/>
                    <w:ind w:left="303" w:right="0" w:hanging="181"/>
                    <w:jc w:val="left"/>
                    <w:rPr>
                      <w:rFonts w:ascii="Arial Narrow"/>
                      <w:b/>
                      <w:sz w:val="20"/>
                    </w:rPr>
                  </w:pPr>
                  <w:r>
                    <w:rPr>
                      <w:rFonts w:ascii="Arial Narrow"/>
                      <w:b/>
                      <w:color w:val="949494"/>
                      <w:sz w:val="20"/>
                    </w:rPr>
                    <w:t>Segmentation of</w:t>
                  </w:r>
                  <w:r>
                    <w:rPr>
                      <w:rFonts w:ascii="Arial Narrow"/>
                      <w:b/>
                      <w:color w:val="949494"/>
                      <w:spacing w:val="-7"/>
                      <w:sz w:val="20"/>
                    </w:rPr>
                    <w:t> </w:t>
                  </w:r>
                  <w:r>
                    <w:rPr>
                      <w:rFonts w:ascii="Arial Narrow"/>
                      <w:b/>
                      <w:color w:val="949494"/>
                      <w:sz w:val="20"/>
                    </w:rPr>
                    <w:t>PBT</w:t>
                  </w:r>
                </w:p>
                <w:p>
                  <w:pPr>
                    <w:pStyle w:val="BodyText"/>
                    <w:spacing w:line="249" w:lineRule="auto" w:before="8"/>
                    <w:ind w:left="123" w:right="408"/>
                    <w:jc w:val="both"/>
                    <w:rPr>
                      <w:rFonts w:ascii="Arial Narrow"/>
                    </w:rPr>
                  </w:pPr>
                  <w:r>
                    <w:rPr>
                      <w:rFonts w:ascii="Arial Narrow"/>
                      <w:color w:val="949494"/>
                    </w:rPr>
                    <w:t>MNE</w:t>
                  </w:r>
                  <w:r>
                    <w:rPr>
                      <w:rFonts w:ascii="Arial Narrow"/>
                      <w:color w:val="949494"/>
                      <w:spacing w:val="-8"/>
                    </w:rPr>
                    <w:t> </w:t>
                  </w:r>
                  <w:r>
                    <w:rPr>
                      <w:rFonts w:ascii="Arial Narrow"/>
                      <w:color w:val="949494"/>
                    </w:rPr>
                    <w:t>groups</w:t>
                  </w:r>
                  <w:r>
                    <w:rPr>
                      <w:rFonts w:ascii="Arial Narrow"/>
                      <w:color w:val="949494"/>
                      <w:spacing w:val="-8"/>
                    </w:rPr>
                    <w:t> </w:t>
                  </w:r>
                  <w:r>
                    <w:rPr>
                      <w:rFonts w:ascii="Arial Narrow"/>
                      <w:color w:val="949494"/>
                    </w:rPr>
                    <w:t>will</w:t>
                  </w:r>
                  <w:r>
                    <w:rPr>
                      <w:rFonts w:ascii="Arial Narrow"/>
                      <w:color w:val="949494"/>
                      <w:spacing w:val="-6"/>
                    </w:rPr>
                    <w:t> </w:t>
                  </w:r>
                  <w:r>
                    <w:rPr>
                      <w:rFonts w:ascii="Arial Narrow"/>
                      <w:color w:val="949494"/>
                    </w:rPr>
                    <w:t>only</w:t>
                  </w:r>
                  <w:r>
                    <w:rPr>
                      <w:rFonts w:ascii="Arial Narrow"/>
                      <w:color w:val="949494"/>
                      <w:spacing w:val="-7"/>
                    </w:rPr>
                    <w:t> </w:t>
                  </w:r>
                  <w:r>
                    <w:rPr>
                      <w:rFonts w:ascii="Arial Narrow"/>
                      <w:color w:val="949494"/>
                    </w:rPr>
                    <w:t>be</w:t>
                  </w:r>
                  <w:r>
                    <w:rPr>
                      <w:rFonts w:ascii="Arial Narrow"/>
                      <w:color w:val="949494"/>
                      <w:spacing w:val="-7"/>
                    </w:rPr>
                    <w:t> </w:t>
                  </w:r>
                  <w:r>
                    <w:rPr>
                      <w:rFonts w:ascii="Arial Narrow"/>
                      <w:color w:val="949494"/>
                    </w:rPr>
                    <w:t>required</w:t>
                  </w:r>
                  <w:r>
                    <w:rPr>
                      <w:rFonts w:ascii="Arial Narrow"/>
                      <w:color w:val="949494"/>
                      <w:spacing w:val="-9"/>
                    </w:rPr>
                    <w:t> </w:t>
                  </w:r>
                  <w:r>
                    <w:rPr>
                      <w:rFonts w:ascii="Arial Narrow"/>
                      <w:color w:val="949494"/>
                    </w:rPr>
                    <w:t>to</w:t>
                  </w:r>
                  <w:r>
                    <w:rPr>
                      <w:rFonts w:ascii="Arial Narrow"/>
                      <w:color w:val="949494"/>
                      <w:spacing w:val="-7"/>
                    </w:rPr>
                    <w:t> </w:t>
                  </w:r>
                  <w:r>
                    <w:rPr>
                      <w:rFonts w:ascii="Arial Narrow"/>
                      <w:color w:val="949494"/>
                    </w:rPr>
                    <w:t>segment</w:t>
                  </w:r>
                  <w:r>
                    <w:rPr>
                      <w:rFonts w:ascii="Arial Narrow"/>
                      <w:color w:val="949494"/>
                      <w:spacing w:val="-8"/>
                    </w:rPr>
                    <w:t> </w:t>
                  </w:r>
                  <w:r>
                    <w:rPr>
                      <w:rFonts w:ascii="Arial Narrow"/>
                      <w:color w:val="949494"/>
                    </w:rPr>
                    <w:t>the</w:t>
                  </w:r>
                  <w:r>
                    <w:rPr>
                      <w:rFonts w:ascii="Arial Narrow"/>
                      <w:color w:val="949494"/>
                      <w:spacing w:val="-7"/>
                    </w:rPr>
                    <w:t> </w:t>
                  </w:r>
                  <w:r>
                    <w:rPr>
                      <w:rFonts w:ascii="Arial Narrow"/>
                      <w:color w:val="949494"/>
                    </w:rPr>
                    <w:t>PBT measure</w:t>
                  </w:r>
                  <w:r>
                    <w:rPr>
                      <w:rFonts w:ascii="Arial Narrow"/>
                      <w:color w:val="949494"/>
                      <w:spacing w:val="-11"/>
                    </w:rPr>
                    <w:t> </w:t>
                  </w:r>
                  <w:r>
                    <w:rPr>
                      <w:rFonts w:ascii="Arial Narrow"/>
                      <w:color w:val="949494"/>
                    </w:rPr>
                    <w:t>if</w:t>
                  </w:r>
                  <w:r>
                    <w:rPr>
                      <w:rFonts w:ascii="Arial Narrow"/>
                      <w:color w:val="949494"/>
                      <w:spacing w:val="-4"/>
                    </w:rPr>
                    <w:t> </w:t>
                  </w:r>
                  <w:r>
                    <w:rPr>
                      <w:rFonts w:ascii="Arial Narrow"/>
                      <w:color w:val="949494"/>
                    </w:rPr>
                    <w:t>they</w:t>
                  </w:r>
                  <w:r>
                    <w:rPr>
                      <w:rFonts w:ascii="Arial Narrow"/>
                      <w:color w:val="949494"/>
                      <w:spacing w:val="-8"/>
                    </w:rPr>
                    <w:t> </w:t>
                  </w:r>
                  <w:r>
                    <w:rPr>
                      <w:rFonts w:ascii="Arial Narrow"/>
                      <w:color w:val="949494"/>
                    </w:rPr>
                    <w:t>do</w:t>
                  </w:r>
                  <w:r>
                    <w:rPr>
                      <w:rFonts w:ascii="Arial Narrow"/>
                      <w:color w:val="949494"/>
                      <w:spacing w:val="-7"/>
                    </w:rPr>
                    <w:t> </w:t>
                  </w:r>
                  <w:r>
                    <w:rPr>
                      <w:rFonts w:ascii="Arial Narrow"/>
                      <w:color w:val="949494"/>
                    </w:rPr>
                    <w:t>not</w:t>
                  </w:r>
                  <w:r>
                    <w:rPr>
                      <w:rFonts w:ascii="Arial Narrow"/>
                      <w:color w:val="949494"/>
                      <w:spacing w:val="-7"/>
                    </w:rPr>
                    <w:t> </w:t>
                  </w:r>
                  <w:r>
                    <w:rPr>
                      <w:rFonts w:ascii="Arial Narrow"/>
                      <w:color w:val="949494"/>
                    </w:rPr>
                    <w:t>qualify</w:t>
                  </w:r>
                  <w:r>
                    <w:rPr>
                      <w:rFonts w:ascii="Arial Narrow"/>
                      <w:color w:val="949494"/>
                      <w:spacing w:val="-8"/>
                    </w:rPr>
                    <w:t> </w:t>
                  </w:r>
                  <w:r>
                    <w:rPr>
                      <w:rFonts w:ascii="Arial Narrow"/>
                      <w:color w:val="949494"/>
                    </w:rPr>
                    <w:t>for</w:t>
                  </w:r>
                  <w:r>
                    <w:rPr>
                      <w:rFonts w:ascii="Arial Narrow"/>
                      <w:color w:val="949494"/>
                      <w:spacing w:val="-7"/>
                    </w:rPr>
                    <w:t> </w:t>
                  </w:r>
                  <w:r>
                    <w:rPr>
                      <w:rFonts w:ascii="Arial Narrow"/>
                      <w:color w:val="949494"/>
                    </w:rPr>
                    <w:t>the</w:t>
                  </w:r>
                  <w:r>
                    <w:rPr>
                      <w:rFonts w:ascii="Arial Narrow"/>
                      <w:color w:val="949494"/>
                      <w:spacing w:val="-7"/>
                    </w:rPr>
                    <w:t> </w:t>
                  </w:r>
                  <w:r>
                    <w:rPr>
                      <w:rFonts w:ascii="Arial Narrow"/>
                      <w:color w:val="949494"/>
                    </w:rPr>
                    <w:t>exemption</w:t>
                  </w:r>
                  <w:r>
                    <w:rPr>
                      <w:rFonts w:ascii="Arial Narrow"/>
                      <w:color w:val="949494"/>
                      <w:spacing w:val="-10"/>
                    </w:rPr>
                    <w:t> </w:t>
                  </w:r>
                  <w:r>
                    <w:rPr>
                      <w:rFonts w:ascii="Arial Narrow"/>
                      <w:color w:val="949494"/>
                    </w:rPr>
                    <w:t>/</w:t>
                  </w:r>
                  <w:r>
                    <w:rPr>
                      <w:rFonts w:ascii="Arial Narrow"/>
                      <w:color w:val="949494"/>
                      <w:spacing w:val="-5"/>
                    </w:rPr>
                    <w:t> </w:t>
                  </w:r>
                  <w:r>
                    <w:rPr>
                      <w:rFonts w:ascii="Arial Narrow"/>
                      <w:color w:val="949494"/>
                    </w:rPr>
                    <w:t>safe harbour</w:t>
                  </w:r>
                  <w:r>
                    <w:rPr>
                      <w:rFonts w:ascii="Arial Narrow"/>
                      <w:color w:val="949494"/>
                      <w:spacing w:val="-8"/>
                    </w:rPr>
                    <w:t> </w:t>
                  </w:r>
                  <w:r>
                    <w:rPr>
                      <w:rFonts w:ascii="Arial Narrow"/>
                      <w:color w:val="949494"/>
                    </w:rPr>
                    <w:t>and</w:t>
                  </w:r>
                  <w:r>
                    <w:rPr>
                      <w:rFonts w:ascii="Arial Narrow"/>
                      <w:color w:val="949494"/>
                      <w:spacing w:val="-6"/>
                    </w:rPr>
                    <w:t> </w:t>
                  </w:r>
                  <w:r>
                    <w:rPr>
                      <w:rFonts w:ascii="Arial Narrow"/>
                      <w:color w:val="949494"/>
                    </w:rPr>
                    <w:t>display</w:t>
                  </w:r>
                  <w:r>
                    <w:rPr>
                      <w:rFonts w:ascii="Arial Narrow"/>
                      <w:color w:val="949494"/>
                      <w:spacing w:val="-9"/>
                    </w:rPr>
                    <w:t> </w:t>
                  </w:r>
                  <w:r>
                    <w:rPr>
                      <w:rFonts w:ascii="Arial Narrow"/>
                      <w:color w:val="949494"/>
                    </w:rPr>
                    <w:t>the</w:t>
                  </w:r>
                  <w:r>
                    <w:rPr>
                      <w:rFonts w:ascii="Arial Narrow"/>
                      <w:color w:val="949494"/>
                      <w:spacing w:val="-6"/>
                    </w:rPr>
                    <w:t> </w:t>
                  </w:r>
                  <w:r>
                    <w:rPr>
                      <w:rFonts w:ascii="Arial Narrow"/>
                      <w:color w:val="949494"/>
                    </w:rPr>
                    <w:t>segmentation</w:t>
                  </w:r>
                  <w:r>
                    <w:rPr>
                      <w:rFonts w:ascii="Arial Narrow"/>
                      <w:color w:val="949494"/>
                      <w:spacing w:val="-12"/>
                    </w:rPr>
                    <w:t> </w:t>
                  </w:r>
                  <w:r>
                    <w:rPr>
                      <w:rFonts w:ascii="Arial Narrow"/>
                      <w:color w:val="949494"/>
                    </w:rPr>
                    <w:t>hallmarks.</w:t>
                  </w:r>
                </w:p>
                <w:p>
                  <w:pPr>
                    <w:numPr>
                      <w:ilvl w:val="0"/>
                      <w:numId w:val="6"/>
                    </w:numPr>
                    <w:tabs>
                      <w:tab w:pos="304" w:val="left" w:leader="none"/>
                    </w:tabs>
                    <w:spacing w:before="105"/>
                    <w:ind w:left="303" w:right="0" w:hanging="181"/>
                    <w:jc w:val="both"/>
                    <w:rPr>
                      <w:rFonts w:ascii="Arial Narrow"/>
                      <w:b/>
                      <w:sz w:val="20"/>
                    </w:rPr>
                  </w:pPr>
                  <w:r>
                    <w:rPr>
                      <w:rFonts w:ascii="Arial Narrow"/>
                      <w:b/>
                      <w:color w:val="949494"/>
                      <w:sz w:val="20"/>
                    </w:rPr>
                    <w:t>Accounting for</w:t>
                  </w:r>
                  <w:r>
                    <w:rPr>
                      <w:rFonts w:ascii="Arial Narrow"/>
                      <w:b/>
                      <w:color w:val="949494"/>
                      <w:spacing w:val="-8"/>
                      <w:sz w:val="20"/>
                    </w:rPr>
                    <w:t> </w:t>
                  </w:r>
                  <w:r>
                    <w:rPr>
                      <w:rFonts w:ascii="Arial Narrow"/>
                      <w:b/>
                      <w:color w:val="949494"/>
                      <w:sz w:val="20"/>
                    </w:rPr>
                    <w:t>losses</w:t>
                  </w:r>
                </w:p>
                <w:p>
                  <w:pPr>
                    <w:pStyle w:val="BodyText"/>
                    <w:spacing w:line="249" w:lineRule="auto" w:before="8"/>
                    <w:ind w:left="123" w:right="475"/>
                    <w:rPr>
                      <w:rFonts w:ascii="Arial Narrow"/>
                    </w:rPr>
                  </w:pPr>
                  <w:r>
                    <w:rPr>
                      <w:rFonts w:ascii="Arial Narrow"/>
                      <w:color w:val="949494"/>
                    </w:rPr>
                    <w:t>If the group/segment has a loss, this is reported and carried-forward to offset again future profits. If the segment/group has a profit, available carry-forward losses can be offset.</w:t>
                  </w:r>
                </w:p>
                <w:p>
                  <w:pPr>
                    <w:numPr>
                      <w:ilvl w:val="0"/>
                      <w:numId w:val="6"/>
                    </w:numPr>
                    <w:tabs>
                      <w:tab w:pos="304" w:val="left" w:leader="none"/>
                    </w:tabs>
                    <w:spacing w:before="105"/>
                    <w:ind w:left="303" w:right="0" w:hanging="181"/>
                    <w:jc w:val="left"/>
                    <w:rPr>
                      <w:rFonts w:ascii="Arial Narrow"/>
                      <w:b/>
                      <w:sz w:val="20"/>
                    </w:rPr>
                  </w:pPr>
                  <w:r>
                    <w:rPr>
                      <w:rFonts w:ascii="Arial Narrow"/>
                      <w:b/>
                      <w:color w:val="949494"/>
                      <w:sz w:val="20"/>
                    </w:rPr>
                    <w:t>Nexus test in each market</w:t>
                  </w:r>
                  <w:r>
                    <w:rPr>
                      <w:rFonts w:ascii="Arial Narrow"/>
                      <w:b/>
                      <w:color w:val="949494"/>
                      <w:spacing w:val="-19"/>
                      <w:sz w:val="20"/>
                    </w:rPr>
                    <w:t> </w:t>
                  </w:r>
                  <w:r>
                    <w:rPr>
                      <w:rFonts w:ascii="Arial Narrow"/>
                      <w:b/>
                      <w:color w:val="949494"/>
                      <w:sz w:val="20"/>
                    </w:rPr>
                    <w:t>jurisdiction</w:t>
                  </w:r>
                </w:p>
                <w:p>
                  <w:pPr>
                    <w:pStyle w:val="BodyText"/>
                    <w:spacing w:line="249" w:lineRule="auto" w:before="8"/>
                    <w:ind w:left="123" w:right="121"/>
                    <w:rPr>
                      <w:rFonts w:ascii="Arial Narrow"/>
                    </w:rPr>
                  </w:pPr>
                  <w:r>
                    <w:rPr>
                      <w:rFonts w:ascii="Arial Narrow"/>
                      <w:color w:val="949494"/>
                    </w:rPr>
                    <w:t>Nexus test applied (market revenue threshold, and other factors for CFB) to determine the market jurisdictions eligible for Amount A.</w:t>
                  </w:r>
                </w:p>
                <w:p>
                  <w:pPr>
                    <w:pStyle w:val="BodyText"/>
                    <w:numPr>
                      <w:ilvl w:val="0"/>
                      <w:numId w:val="6"/>
                    </w:numPr>
                    <w:tabs>
                      <w:tab w:pos="304" w:val="left" w:leader="none"/>
                    </w:tabs>
                    <w:spacing w:line="249" w:lineRule="auto" w:before="105" w:after="0"/>
                    <w:ind w:left="123" w:right="167" w:firstLine="0"/>
                    <w:jc w:val="left"/>
                    <w:rPr>
                      <w:rFonts w:ascii="Arial Narrow"/>
                    </w:rPr>
                  </w:pPr>
                  <w:r>
                    <w:rPr>
                      <w:rFonts w:ascii="Arial Narrow"/>
                      <w:b/>
                      <w:color w:val="949494"/>
                    </w:rPr>
                    <w:t>Formulaic calculation and allocation of Amount A </w:t>
                  </w:r>
                  <w:r>
                    <w:rPr>
                      <w:rFonts w:ascii="Arial Narrow"/>
                      <w:color w:val="949494"/>
                    </w:rPr>
                    <w:t>The quantum of taxable Amount A results from a three- step formulaic calculation (i.e. profitability threshold, reallocation</w:t>
                  </w:r>
                  <w:r>
                    <w:rPr>
                      <w:rFonts w:ascii="Arial Narrow"/>
                      <w:color w:val="949494"/>
                      <w:spacing w:val="-15"/>
                    </w:rPr>
                    <w:t> </w:t>
                  </w:r>
                  <w:r>
                    <w:rPr>
                      <w:rFonts w:ascii="Arial Narrow"/>
                      <w:color w:val="949494"/>
                    </w:rPr>
                    <w:t>percentage</w:t>
                  </w:r>
                  <w:r>
                    <w:rPr>
                      <w:rFonts w:ascii="Arial Narrow"/>
                      <w:color w:val="949494"/>
                      <w:spacing w:val="-12"/>
                    </w:rPr>
                    <w:t> </w:t>
                  </w:r>
                  <w:r>
                    <w:rPr>
                      <w:rFonts w:ascii="Arial Narrow"/>
                      <w:color w:val="949494"/>
                    </w:rPr>
                    <w:t>and</w:t>
                  </w:r>
                  <w:r>
                    <w:rPr>
                      <w:rFonts w:ascii="Arial Narrow"/>
                      <w:color w:val="949494"/>
                      <w:spacing w:val="-9"/>
                    </w:rPr>
                    <w:t> </w:t>
                  </w:r>
                  <w:r>
                    <w:rPr>
                      <w:rFonts w:ascii="Arial Narrow"/>
                      <w:color w:val="949494"/>
                    </w:rPr>
                    <w:t>allocation</w:t>
                  </w:r>
                  <w:r>
                    <w:rPr>
                      <w:rFonts w:ascii="Arial Narrow"/>
                      <w:color w:val="949494"/>
                      <w:spacing w:val="-15"/>
                    </w:rPr>
                    <w:t> </w:t>
                  </w:r>
                  <w:r>
                    <w:rPr>
                      <w:rFonts w:ascii="Arial Narrow"/>
                      <w:color w:val="949494"/>
                    </w:rPr>
                    <w:t>key)</w:t>
                  </w:r>
                  <w:r>
                    <w:rPr>
                      <w:rFonts w:ascii="Arial Narrow"/>
                      <w:color w:val="949494"/>
                      <w:spacing w:val="-9"/>
                    </w:rPr>
                    <w:t> </w:t>
                  </w:r>
                  <w:r>
                    <w:rPr>
                      <w:rFonts w:ascii="Arial Narrow"/>
                      <w:color w:val="949494"/>
                    </w:rPr>
                    <w:t>applied</w:t>
                  </w:r>
                  <w:r>
                    <w:rPr>
                      <w:rFonts w:ascii="Arial Narrow"/>
                      <w:color w:val="949494"/>
                      <w:spacing w:val="-12"/>
                    </w:rPr>
                    <w:t> </w:t>
                  </w:r>
                  <w:r>
                    <w:rPr>
                      <w:rFonts w:ascii="Arial Narrow"/>
                      <w:color w:val="949494"/>
                    </w:rPr>
                    <w:t>to</w:t>
                  </w:r>
                  <w:r>
                    <w:rPr>
                      <w:rFonts w:ascii="Arial Narrow"/>
                      <w:color w:val="949494"/>
                      <w:spacing w:val="-8"/>
                    </w:rPr>
                    <w:t> </w:t>
                  </w:r>
                  <w:r>
                    <w:rPr>
                      <w:rFonts w:ascii="Arial Narrow"/>
                      <w:color w:val="949494"/>
                    </w:rPr>
                    <w:t>the group/segment tax base after step</w:t>
                  </w:r>
                  <w:r>
                    <w:rPr>
                      <w:rFonts w:ascii="Arial Narrow"/>
                      <w:color w:val="949494"/>
                      <w:spacing w:val="-24"/>
                    </w:rPr>
                    <w:t> </w:t>
                  </w:r>
                  <w:r>
                    <w:rPr>
                      <w:rFonts w:ascii="Arial Narrow"/>
                      <w:color w:val="949494"/>
                    </w:rPr>
                    <w:t>5.</w:t>
                  </w:r>
                </w:p>
                <w:p>
                  <w:pPr>
                    <w:numPr>
                      <w:ilvl w:val="0"/>
                      <w:numId w:val="6"/>
                    </w:numPr>
                    <w:tabs>
                      <w:tab w:pos="304" w:val="left" w:leader="none"/>
                    </w:tabs>
                    <w:spacing w:line="249" w:lineRule="auto" w:before="103"/>
                    <w:ind w:left="123" w:right="389" w:firstLine="0"/>
                    <w:jc w:val="left"/>
                    <w:rPr>
                      <w:rFonts w:ascii="Arial Narrow"/>
                      <w:b/>
                      <w:sz w:val="20"/>
                    </w:rPr>
                  </w:pPr>
                  <w:r>
                    <w:rPr>
                      <w:rFonts w:ascii="Arial Narrow"/>
                      <w:b/>
                      <w:color w:val="949494"/>
                      <w:sz w:val="20"/>
                    </w:rPr>
                    <w:t>Potential</w:t>
                  </w:r>
                  <w:r>
                    <w:rPr>
                      <w:rFonts w:ascii="Arial Narrow"/>
                      <w:b/>
                      <w:color w:val="949494"/>
                      <w:spacing w:val="-11"/>
                      <w:sz w:val="20"/>
                    </w:rPr>
                    <w:t> </w:t>
                  </w:r>
                  <w:r>
                    <w:rPr>
                      <w:rFonts w:ascii="Arial Narrow"/>
                      <w:b/>
                      <w:color w:val="949494"/>
                      <w:sz w:val="20"/>
                    </w:rPr>
                    <w:t>marketing</w:t>
                  </w:r>
                  <w:r>
                    <w:rPr>
                      <w:rFonts w:ascii="Arial Narrow"/>
                      <w:b/>
                      <w:color w:val="949494"/>
                      <w:spacing w:val="-11"/>
                      <w:sz w:val="20"/>
                    </w:rPr>
                    <w:t> </w:t>
                  </w:r>
                  <w:r>
                    <w:rPr>
                      <w:rFonts w:ascii="Arial Narrow"/>
                      <w:b/>
                      <w:color w:val="949494"/>
                      <w:sz w:val="20"/>
                    </w:rPr>
                    <w:t>and</w:t>
                  </w:r>
                  <w:r>
                    <w:rPr>
                      <w:rFonts w:ascii="Arial Narrow"/>
                      <w:b/>
                      <w:color w:val="949494"/>
                      <w:spacing w:val="-10"/>
                      <w:sz w:val="20"/>
                    </w:rPr>
                    <w:t> </w:t>
                  </w:r>
                  <w:r>
                    <w:rPr>
                      <w:rFonts w:ascii="Arial Narrow"/>
                      <w:b/>
                      <w:color w:val="949494"/>
                      <w:sz w:val="20"/>
                    </w:rPr>
                    <w:t>distribution</w:t>
                  </w:r>
                  <w:r>
                    <w:rPr>
                      <w:rFonts w:ascii="Arial Narrow"/>
                      <w:b/>
                      <w:color w:val="949494"/>
                      <w:spacing w:val="-10"/>
                      <w:sz w:val="20"/>
                    </w:rPr>
                    <w:t> </w:t>
                  </w:r>
                  <w:r>
                    <w:rPr>
                      <w:rFonts w:ascii="Arial Narrow"/>
                      <w:b/>
                      <w:color w:val="949494"/>
                      <w:sz w:val="20"/>
                    </w:rPr>
                    <w:t>profits</w:t>
                  </w:r>
                  <w:r>
                    <w:rPr>
                      <w:rFonts w:ascii="Arial Narrow"/>
                      <w:b/>
                      <w:color w:val="949494"/>
                      <w:spacing w:val="-10"/>
                      <w:sz w:val="20"/>
                    </w:rPr>
                    <w:t> </w:t>
                  </w:r>
                  <w:r>
                    <w:rPr>
                      <w:rFonts w:ascii="Arial Narrow"/>
                      <w:b/>
                      <w:color w:val="949494"/>
                      <w:sz w:val="20"/>
                    </w:rPr>
                    <w:t>safe harbour</w:t>
                  </w:r>
                </w:p>
                <w:p>
                  <w:pPr>
                    <w:pStyle w:val="BodyText"/>
                    <w:spacing w:line="249" w:lineRule="auto"/>
                    <w:ind w:left="123" w:right="121"/>
                    <w:rPr>
                      <w:rFonts w:ascii="Arial Narrow"/>
                    </w:rPr>
                  </w:pPr>
                  <w:r>
                    <w:rPr>
                      <w:rFonts w:ascii="Arial Narrow"/>
                      <w:color w:val="949494"/>
                    </w:rPr>
                    <w:t>For MNEs with taxable presence in eligible market jurisdiction, an option under consideration is to adjust the quantum of Amount A under step 7 to avoid any duplicative allocation of residual profit to that jurisdiction.</w:t>
                  </w:r>
                </w:p>
                <w:p>
                  <w:pPr>
                    <w:spacing w:line="249" w:lineRule="auto" w:before="102"/>
                    <w:ind w:left="123" w:right="138" w:firstLine="0"/>
                    <w:jc w:val="left"/>
                    <w:rPr>
                      <w:rFonts w:ascii="Arial Narrow"/>
                      <w:sz w:val="20"/>
                    </w:rPr>
                  </w:pPr>
                  <w:r>
                    <w:rPr>
                      <w:rFonts w:ascii="Arial Narrow"/>
                      <w:b/>
                      <w:color w:val="949494"/>
                      <w:sz w:val="20"/>
                    </w:rPr>
                    <w:t>9-10.</w:t>
                  </w:r>
                  <w:r>
                    <w:rPr>
                      <w:rFonts w:ascii="Arial Narrow"/>
                      <w:b/>
                      <w:color w:val="949494"/>
                      <w:spacing w:val="-10"/>
                      <w:sz w:val="20"/>
                    </w:rPr>
                    <w:t> </w:t>
                  </w:r>
                  <w:r>
                    <w:rPr>
                      <w:rFonts w:ascii="Arial Narrow"/>
                      <w:b/>
                      <w:color w:val="949494"/>
                      <w:sz w:val="20"/>
                    </w:rPr>
                    <w:t>Identification</w:t>
                  </w:r>
                  <w:r>
                    <w:rPr>
                      <w:rFonts w:ascii="Arial Narrow"/>
                      <w:b/>
                      <w:color w:val="949494"/>
                      <w:spacing w:val="-12"/>
                      <w:sz w:val="20"/>
                    </w:rPr>
                    <w:t> </w:t>
                  </w:r>
                  <w:r>
                    <w:rPr>
                      <w:rFonts w:ascii="Arial Narrow"/>
                      <w:b/>
                      <w:color w:val="949494"/>
                      <w:sz w:val="20"/>
                    </w:rPr>
                    <w:t>of</w:t>
                  </w:r>
                  <w:r>
                    <w:rPr>
                      <w:rFonts w:ascii="Arial Narrow"/>
                      <w:b/>
                      <w:color w:val="949494"/>
                      <w:spacing w:val="-8"/>
                      <w:sz w:val="20"/>
                    </w:rPr>
                    <w:t> </w:t>
                  </w:r>
                  <w:r>
                    <w:rPr>
                      <w:rFonts w:ascii="Arial Narrow"/>
                      <w:b/>
                      <w:color w:val="949494"/>
                      <w:sz w:val="20"/>
                    </w:rPr>
                    <w:t>relieving</w:t>
                  </w:r>
                  <w:r>
                    <w:rPr>
                      <w:rFonts w:ascii="Arial Narrow"/>
                      <w:b/>
                      <w:color w:val="949494"/>
                      <w:spacing w:val="-11"/>
                      <w:sz w:val="20"/>
                    </w:rPr>
                    <w:t> </w:t>
                  </w:r>
                  <w:r>
                    <w:rPr>
                      <w:rFonts w:ascii="Arial Narrow"/>
                      <w:b/>
                      <w:color w:val="949494"/>
                      <w:sz w:val="20"/>
                    </w:rPr>
                    <w:t>jurisdictions,</w:t>
                  </w:r>
                  <w:r>
                    <w:rPr>
                      <w:rFonts w:ascii="Arial Narrow"/>
                      <w:b/>
                      <w:color w:val="949494"/>
                      <w:spacing w:val="-11"/>
                      <w:sz w:val="20"/>
                    </w:rPr>
                    <w:t> </w:t>
                  </w:r>
                  <w:r>
                    <w:rPr>
                      <w:rFonts w:ascii="Arial Narrow"/>
                      <w:b/>
                      <w:color w:val="949494"/>
                      <w:sz w:val="20"/>
                    </w:rPr>
                    <w:t>payment of Amount A tax liability and early certainty process </w:t>
                  </w:r>
                  <w:r>
                    <w:rPr>
                      <w:rFonts w:ascii="Arial Narrow"/>
                      <w:color w:val="949494"/>
                      <w:sz w:val="20"/>
                    </w:rPr>
                    <w:t>If Amount A tax is due, identify the jurisdiction(s) within the MNE group required to relieve double taxation and the</w:t>
                  </w:r>
                  <w:r>
                    <w:rPr>
                      <w:rFonts w:ascii="Arial Narrow"/>
                      <w:color w:val="949494"/>
                      <w:spacing w:val="-8"/>
                      <w:sz w:val="20"/>
                    </w:rPr>
                    <w:t> </w:t>
                  </w:r>
                  <w:r>
                    <w:rPr>
                      <w:rFonts w:ascii="Arial Narrow"/>
                      <w:color w:val="949494"/>
                      <w:sz w:val="20"/>
                    </w:rPr>
                    <w:t>entities</w:t>
                  </w:r>
                  <w:r>
                    <w:rPr>
                      <w:rFonts w:ascii="Arial Narrow"/>
                      <w:color w:val="949494"/>
                      <w:spacing w:val="-10"/>
                      <w:sz w:val="20"/>
                    </w:rPr>
                    <w:t> </w:t>
                  </w:r>
                  <w:r>
                    <w:rPr>
                      <w:rFonts w:ascii="Arial Narrow"/>
                      <w:color w:val="949494"/>
                      <w:sz w:val="20"/>
                    </w:rPr>
                    <w:t>that</w:t>
                  </w:r>
                  <w:r>
                    <w:rPr>
                      <w:rFonts w:ascii="Arial Narrow"/>
                      <w:color w:val="949494"/>
                      <w:spacing w:val="-7"/>
                      <w:sz w:val="20"/>
                    </w:rPr>
                    <w:t> </w:t>
                  </w:r>
                  <w:r>
                    <w:rPr>
                      <w:rFonts w:ascii="Arial Narrow"/>
                      <w:color w:val="949494"/>
                      <w:sz w:val="20"/>
                    </w:rPr>
                    <w:t>have</w:t>
                  </w:r>
                  <w:r>
                    <w:rPr>
                      <w:rFonts w:ascii="Arial Narrow"/>
                      <w:color w:val="949494"/>
                      <w:spacing w:val="-9"/>
                      <w:sz w:val="20"/>
                    </w:rPr>
                    <w:t> </w:t>
                  </w:r>
                  <w:r>
                    <w:rPr>
                      <w:rFonts w:ascii="Arial Narrow"/>
                      <w:color w:val="949494"/>
                      <w:sz w:val="20"/>
                    </w:rPr>
                    <w:t>to</w:t>
                  </w:r>
                  <w:r>
                    <w:rPr>
                      <w:rFonts w:ascii="Arial Narrow"/>
                      <w:color w:val="949494"/>
                      <w:spacing w:val="-6"/>
                      <w:sz w:val="20"/>
                    </w:rPr>
                    <w:t> </w:t>
                  </w:r>
                  <w:r>
                    <w:rPr>
                      <w:rFonts w:ascii="Arial Narrow"/>
                      <w:color w:val="949494"/>
                      <w:sz w:val="20"/>
                    </w:rPr>
                    <w:t>pay</w:t>
                  </w:r>
                  <w:r>
                    <w:rPr>
                      <w:rFonts w:ascii="Arial Narrow"/>
                      <w:color w:val="949494"/>
                      <w:spacing w:val="-8"/>
                      <w:sz w:val="20"/>
                    </w:rPr>
                    <w:t> </w:t>
                  </w:r>
                  <w:r>
                    <w:rPr>
                      <w:rFonts w:ascii="Arial Narrow"/>
                      <w:color w:val="949494"/>
                      <w:sz w:val="20"/>
                    </w:rPr>
                    <w:t>Amount</w:t>
                  </w:r>
                  <w:r>
                    <w:rPr>
                      <w:rFonts w:ascii="Arial Narrow"/>
                      <w:color w:val="949494"/>
                      <w:spacing w:val="-7"/>
                      <w:sz w:val="20"/>
                    </w:rPr>
                    <w:t> </w:t>
                  </w:r>
                  <w:r>
                    <w:rPr>
                      <w:rFonts w:ascii="Arial Narrow"/>
                      <w:color w:val="949494"/>
                      <w:sz w:val="20"/>
                    </w:rPr>
                    <w:t>A</w:t>
                  </w:r>
                  <w:r>
                    <w:rPr>
                      <w:rFonts w:ascii="Arial Narrow"/>
                      <w:color w:val="949494"/>
                      <w:spacing w:val="-6"/>
                      <w:sz w:val="20"/>
                    </w:rPr>
                    <w:t> </w:t>
                  </w:r>
                  <w:r>
                    <w:rPr>
                      <w:rFonts w:ascii="Arial Narrow"/>
                      <w:color w:val="949494"/>
                      <w:sz w:val="20"/>
                    </w:rPr>
                    <w:t>tax</w:t>
                  </w:r>
                  <w:r>
                    <w:rPr>
                      <w:rFonts w:ascii="Arial Narrow"/>
                      <w:color w:val="949494"/>
                      <w:spacing w:val="-8"/>
                      <w:sz w:val="20"/>
                    </w:rPr>
                    <w:t> </w:t>
                  </w:r>
                  <w:r>
                    <w:rPr>
                      <w:rFonts w:ascii="Arial Narrow"/>
                      <w:color w:val="949494"/>
                      <w:sz w:val="20"/>
                    </w:rPr>
                    <w:t>liability</w:t>
                  </w:r>
                  <w:r>
                    <w:rPr>
                      <w:rFonts w:ascii="Arial Narrow"/>
                      <w:color w:val="949494"/>
                      <w:spacing w:val="-11"/>
                      <w:sz w:val="20"/>
                    </w:rPr>
                    <w:t> </w:t>
                  </w:r>
                  <w:r>
                    <w:rPr>
                      <w:rFonts w:ascii="Arial Narrow"/>
                      <w:color w:val="949494"/>
                      <w:sz w:val="20"/>
                    </w:rPr>
                    <w:t>through simplified administrative procedure together with a early certainty</w:t>
                  </w:r>
                  <w:r>
                    <w:rPr>
                      <w:rFonts w:ascii="Arial Narrow"/>
                      <w:color w:val="949494"/>
                      <w:spacing w:val="-8"/>
                      <w:sz w:val="20"/>
                    </w:rPr>
                    <w:t> </w:t>
                  </w:r>
                  <w:r>
                    <w:rPr>
                      <w:rFonts w:ascii="Arial Narrow"/>
                      <w:color w:val="949494"/>
                      <w:sz w:val="20"/>
                    </w:rPr>
                    <w:t>process.</w:t>
                  </w:r>
                </w:p>
              </w:txbxContent>
            </v:textbox>
            <v:stroke dashstyle="solid"/>
            <w10:wrap type="none"/>
          </v:shape>
        </w:pict>
      </w:r>
      <w:r>
        <w:rPr>
          <w:color w:val="4E81BD"/>
        </w:rPr>
        <w:t>Figure 1.2. Overview of the process map for Amount A</w:t>
      </w:r>
    </w:p>
    <w:p>
      <w:pPr>
        <w:spacing w:after="0"/>
        <w:jc w:val="left"/>
        <w:sectPr>
          <w:pgSz w:w="11910" w:h="16840"/>
          <w:pgMar w:header="1244" w:footer="1638" w:top="1500" w:bottom="1820" w:left="580" w:right="820"/>
        </w:sectPr>
      </w:pPr>
    </w:p>
    <w:p>
      <w:pPr>
        <w:pStyle w:val="BodyText"/>
        <w:spacing w:before="3"/>
        <w:rPr>
          <w:rFonts w:ascii="Arial Narrow"/>
          <w:b/>
          <w:sz w:val="24"/>
        </w:rPr>
      </w:pPr>
    </w:p>
    <w:p>
      <w:pPr>
        <w:tabs>
          <w:tab w:pos="2384" w:val="left" w:leader="none"/>
        </w:tabs>
        <w:spacing w:before="99"/>
        <w:ind w:left="836" w:right="0" w:firstLine="0"/>
        <w:jc w:val="left"/>
        <w:rPr>
          <w:rFonts w:ascii="Arial Narrow"/>
          <w:b/>
          <w:sz w:val="56"/>
        </w:rPr>
      </w:pPr>
      <w:r>
        <w:rPr/>
        <w:pict>
          <v:rect style="position:absolute;margin-left:64.463997pt;margin-top:1.055774pt;width:466.390015pt;height:6pt;mso-position-horizontal-relative:page;mso-position-vertical-relative:paragraph;z-index:-19580416" filled="true" fillcolor="#ffffff" stroked="false">
            <v:fill type="solid"/>
            <w10:wrap type="none"/>
          </v:rect>
        </w:pict>
      </w:r>
      <w:r>
        <w:rPr/>
        <w:pict>
          <v:rect style="position:absolute;margin-left:70.823997pt;margin-top:69.335754pt;width:59.279999pt;height:5.76pt;mso-position-horizontal-relative:page;mso-position-vertical-relative:paragraph;z-index:15740416" filled="true" fillcolor="#4e81bd" stroked="false">
            <v:fill type="solid"/>
            <w10:wrap type="none"/>
          </v:rect>
        </w:pict>
      </w:r>
      <w:bookmarkStart w:name="2.  Scope" w:id="25"/>
      <w:bookmarkEnd w:id="25"/>
      <w:r>
        <w:rPr/>
      </w:r>
      <w:bookmarkStart w:name="_bookmark6" w:id="26"/>
      <w:bookmarkEnd w:id="26"/>
      <w:r>
        <w:rPr/>
      </w:r>
      <w:r>
        <w:rPr>
          <w:rFonts w:ascii="Arial Narrow"/>
          <w:b/>
          <w:color w:val="4E81BD"/>
          <w:sz w:val="130"/>
        </w:rPr>
        <w:t>2.</w:t>
        <w:tab/>
      </w:r>
      <w:r>
        <w:rPr>
          <w:rFonts w:ascii="Arial Narrow"/>
          <w:b/>
          <w:color w:val="4E81BD"/>
          <w:sz w:val="56"/>
        </w:rPr>
        <w:t>Scope</w:t>
      </w:r>
    </w:p>
    <w:p>
      <w:pPr>
        <w:pStyle w:val="BodyText"/>
        <w:rPr>
          <w:rFonts w:ascii="Arial Narrow"/>
          <w:b/>
        </w:rPr>
      </w:pPr>
    </w:p>
    <w:p>
      <w:pPr>
        <w:pStyle w:val="BodyText"/>
        <w:rPr>
          <w:rFonts w:ascii="Arial Narrow"/>
          <w:b/>
        </w:rPr>
      </w:pPr>
    </w:p>
    <w:p>
      <w:pPr>
        <w:pStyle w:val="BodyText"/>
        <w:spacing w:before="1"/>
        <w:rPr>
          <w:rFonts w:ascii="Arial Narrow"/>
          <w:b/>
          <w:sz w:val="22"/>
        </w:rPr>
      </w:pPr>
    </w:p>
    <w:p>
      <w:pPr>
        <w:pStyle w:val="Heading4"/>
        <w:numPr>
          <w:ilvl w:val="1"/>
          <w:numId w:val="7"/>
        </w:numPr>
        <w:tabs>
          <w:tab w:pos="1192" w:val="left" w:leader="none"/>
        </w:tabs>
        <w:spacing w:line="240" w:lineRule="auto" w:before="92" w:after="0"/>
        <w:ind w:left="1191" w:right="0" w:hanging="469"/>
        <w:jc w:val="both"/>
        <w:rPr>
          <w:rFonts w:ascii="Arial"/>
        </w:rPr>
      </w:pPr>
      <w:bookmarkStart w:name="2.1. Overview" w:id="27"/>
      <w:bookmarkEnd w:id="27"/>
      <w:r>
        <w:rPr>
          <w:b w:val="0"/>
        </w:rPr>
      </w:r>
      <w:bookmarkStart w:name="_bookmark7" w:id="28"/>
      <w:bookmarkEnd w:id="28"/>
      <w:r>
        <w:rPr>
          <w:b w:val="0"/>
        </w:rPr>
      </w:r>
      <w:bookmarkStart w:name="_bookmark7" w:id="29"/>
      <w:bookmarkEnd w:id="29"/>
      <w:r>
        <w:rPr>
          <w:rFonts w:ascii="Arial"/>
          <w:color w:val="4E81BD"/>
        </w:rPr>
        <w:t>O</w:t>
      </w:r>
      <w:r>
        <w:rPr>
          <w:rFonts w:ascii="Arial"/>
          <w:color w:val="4E81BD"/>
        </w:rPr>
        <w:t>verview</w:t>
      </w:r>
    </w:p>
    <w:p>
      <w:pPr>
        <w:pStyle w:val="BodyText"/>
        <w:spacing w:before="4"/>
        <w:rPr>
          <w:b/>
          <w:sz w:val="24"/>
        </w:rPr>
      </w:pPr>
    </w:p>
    <w:p>
      <w:pPr>
        <w:pStyle w:val="ListParagraph"/>
        <w:numPr>
          <w:ilvl w:val="0"/>
          <w:numId w:val="4"/>
        </w:numPr>
        <w:tabs>
          <w:tab w:pos="1444" w:val="left" w:leader="none"/>
        </w:tabs>
        <w:spacing w:line="271" w:lineRule="auto" w:before="0" w:after="0"/>
        <w:ind w:left="723" w:right="483" w:firstLine="0"/>
        <w:jc w:val="both"/>
        <w:rPr>
          <w:sz w:val="20"/>
        </w:rPr>
      </w:pPr>
      <w:r>
        <w:rPr>
          <w:sz w:val="20"/>
        </w:rPr>
        <w:t>The new taxing right established through Amount A only applies to those MNE groups that fall within the defined scope of Amount A. The scope of Amount A is based on two elements: an activity test and a threshold</w:t>
      </w:r>
      <w:r>
        <w:rPr>
          <w:spacing w:val="-2"/>
          <w:sz w:val="20"/>
        </w:rPr>
        <w:t> </w:t>
      </w:r>
      <w:r>
        <w:rPr>
          <w:sz w:val="20"/>
        </w:rPr>
        <w:t>test.</w:t>
      </w:r>
    </w:p>
    <w:p>
      <w:pPr>
        <w:pStyle w:val="BodyText"/>
        <w:spacing w:before="1"/>
        <w:rPr>
          <w:sz w:val="25"/>
        </w:rPr>
      </w:pPr>
    </w:p>
    <w:p>
      <w:pPr>
        <w:pStyle w:val="Heading8"/>
        <w:spacing w:before="1"/>
        <w:ind w:left="1402"/>
      </w:pPr>
      <w:bookmarkStart w:name="In-scope activities" w:id="30"/>
      <w:bookmarkEnd w:id="30"/>
      <w:r>
        <w:rPr>
          <w:b w:val="0"/>
        </w:rPr>
      </w:r>
      <w:r>
        <w:rPr/>
        <w:t>In-scope activities</w:t>
      </w:r>
    </w:p>
    <w:p>
      <w:pPr>
        <w:pStyle w:val="BodyText"/>
        <w:spacing w:before="2"/>
        <w:rPr>
          <w:b/>
          <w:sz w:val="19"/>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The definition of the scope responds to the need to revisit taxing rules in response to a changed economy. The existing international tax rules generally attach a taxing right to profits deriving from a physical presence in a jurisdiction. However, given globalisation and the digitalisation of the economy, businesses can, with or without the benefit of local physical operations, participate in an active and sustained</w:t>
      </w:r>
      <w:r>
        <w:rPr>
          <w:spacing w:val="-7"/>
          <w:sz w:val="20"/>
        </w:rPr>
        <w:t> </w:t>
      </w:r>
      <w:r>
        <w:rPr>
          <w:sz w:val="20"/>
        </w:rPr>
        <w:t>manner</w:t>
      </w:r>
      <w:r>
        <w:rPr>
          <w:spacing w:val="-6"/>
          <w:sz w:val="20"/>
        </w:rPr>
        <w:t> </w:t>
      </w:r>
      <w:r>
        <w:rPr>
          <w:sz w:val="20"/>
        </w:rPr>
        <w:t>in</w:t>
      </w:r>
      <w:r>
        <w:rPr>
          <w:spacing w:val="-7"/>
          <w:sz w:val="20"/>
        </w:rPr>
        <w:t> </w:t>
      </w:r>
      <w:r>
        <w:rPr>
          <w:sz w:val="20"/>
        </w:rPr>
        <w:t>the</w:t>
      </w:r>
      <w:r>
        <w:rPr>
          <w:spacing w:val="-8"/>
          <w:sz w:val="20"/>
        </w:rPr>
        <w:t> </w:t>
      </w:r>
      <w:r>
        <w:rPr>
          <w:sz w:val="20"/>
        </w:rPr>
        <w:t>economic</w:t>
      </w:r>
      <w:r>
        <w:rPr>
          <w:spacing w:val="-5"/>
          <w:sz w:val="20"/>
        </w:rPr>
        <w:t> </w:t>
      </w:r>
      <w:r>
        <w:rPr>
          <w:sz w:val="20"/>
        </w:rPr>
        <w:t>life</w:t>
      </w:r>
      <w:r>
        <w:rPr>
          <w:spacing w:val="-7"/>
          <w:sz w:val="20"/>
        </w:rPr>
        <w:t> </w:t>
      </w:r>
      <w:r>
        <w:rPr>
          <w:sz w:val="20"/>
        </w:rPr>
        <w:t>of</w:t>
      </w:r>
      <w:r>
        <w:rPr>
          <w:spacing w:val="-6"/>
          <w:sz w:val="20"/>
        </w:rPr>
        <w:t> </w:t>
      </w:r>
      <w:r>
        <w:rPr>
          <w:sz w:val="20"/>
        </w:rPr>
        <w:t>a</w:t>
      </w:r>
      <w:r>
        <w:rPr>
          <w:spacing w:val="-6"/>
          <w:sz w:val="20"/>
        </w:rPr>
        <w:t> </w:t>
      </w:r>
      <w:r>
        <w:rPr>
          <w:sz w:val="20"/>
        </w:rPr>
        <w:t>market</w:t>
      </w:r>
      <w:r>
        <w:rPr>
          <w:spacing w:val="-6"/>
          <w:sz w:val="20"/>
        </w:rPr>
        <w:t> </w:t>
      </w:r>
      <w:r>
        <w:rPr>
          <w:sz w:val="20"/>
        </w:rPr>
        <w:t>jurisdiction,</w:t>
      </w:r>
      <w:r>
        <w:rPr>
          <w:spacing w:val="-7"/>
          <w:sz w:val="20"/>
        </w:rPr>
        <w:t> </w:t>
      </w:r>
      <w:r>
        <w:rPr>
          <w:sz w:val="20"/>
        </w:rPr>
        <w:t>through</w:t>
      </w:r>
      <w:r>
        <w:rPr>
          <w:spacing w:val="-7"/>
          <w:sz w:val="20"/>
        </w:rPr>
        <w:t> </w:t>
      </w:r>
      <w:r>
        <w:rPr>
          <w:sz w:val="20"/>
        </w:rPr>
        <w:t>engagement</w:t>
      </w:r>
      <w:r>
        <w:rPr>
          <w:spacing w:val="-7"/>
          <w:sz w:val="20"/>
        </w:rPr>
        <w:t> </w:t>
      </w:r>
      <w:r>
        <w:rPr>
          <w:sz w:val="20"/>
        </w:rPr>
        <w:t>extending</w:t>
      </w:r>
      <w:r>
        <w:rPr>
          <w:spacing w:val="-7"/>
          <w:sz w:val="20"/>
        </w:rPr>
        <w:t> </w:t>
      </w:r>
      <w:r>
        <w:rPr>
          <w:sz w:val="20"/>
        </w:rPr>
        <w:t>beyond</w:t>
      </w:r>
      <w:r>
        <w:rPr>
          <w:spacing w:val="-8"/>
          <w:sz w:val="20"/>
        </w:rPr>
        <w:t> </w:t>
      </w:r>
      <w:r>
        <w:rPr>
          <w:sz w:val="20"/>
        </w:rPr>
        <w:t>the mere</w:t>
      </w:r>
      <w:r>
        <w:rPr>
          <w:spacing w:val="-6"/>
          <w:sz w:val="20"/>
        </w:rPr>
        <w:t> </w:t>
      </w:r>
      <w:r>
        <w:rPr>
          <w:sz w:val="20"/>
        </w:rPr>
        <w:t>conclusion</w:t>
      </w:r>
      <w:r>
        <w:rPr>
          <w:spacing w:val="-4"/>
          <w:sz w:val="20"/>
        </w:rPr>
        <w:t> </w:t>
      </w:r>
      <w:r>
        <w:rPr>
          <w:sz w:val="20"/>
        </w:rPr>
        <w:t>of</w:t>
      </w:r>
      <w:r>
        <w:rPr>
          <w:spacing w:val="-5"/>
          <w:sz w:val="20"/>
        </w:rPr>
        <w:t> </w:t>
      </w:r>
      <w:r>
        <w:rPr>
          <w:sz w:val="20"/>
        </w:rPr>
        <w:t>sales,</w:t>
      </w:r>
      <w:r>
        <w:rPr>
          <w:spacing w:val="-3"/>
          <w:sz w:val="20"/>
        </w:rPr>
        <w:t> </w:t>
      </w:r>
      <w:r>
        <w:rPr>
          <w:sz w:val="20"/>
        </w:rPr>
        <w:t>in</w:t>
      </w:r>
      <w:r>
        <w:rPr>
          <w:spacing w:val="-6"/>
          <w:sz w:val="20"/>
        </w:rPr>
        <w:t> </w:t>
      </w:r>
      <w:r>
        <w:rPr>
          <w:sz w:val="20"/>
        </w:rPr>
        <w:t>order</w:t>
      </w:r>
      <w:r>
        <w:rPr>
          <w:spacing w:val="-6"/>
          <w:sz w:val="20"/>
        </w:rPr>
        <w:t> </w:t>
      </w:r>
      <w:r>
        <w:rPr>
          <w:sz w:val="20"/>
        </w:rPr>
        <w:t>to</w:t>
      </w:r>
      <w:r>
        <w:rPr>
          <w:spacing w:val="-4"/>
          <w:sz w:val="20"/>
        </w:rPr>
        <w:t> </w:t>
      </w:r>
      <w:r>
        <w:rPr>
          <w:sz w:val="20"/>
        </w:rPr>
        <w:t>increase</w:t>
      </w:r>
      <w:r>
        <w:rPr>
          <w:spacing w:val="-7"/>
          <w:sz w:val="20"/>
        </w:rPr>
        <w:t> </w:t>
      </w:r>
      <w:r>
        <w:rPr>
          <w:sz w:val="20"/>
        </w:rPr>
        <w:t>the</w:t>
      </w:r>
      <w:r>
        <w:rPr>
          <w:spacing w:val="-4"/>
          <w:sz w:val="20"/>
        </w:rPr>
        <w:t> </w:t>
      </w:r>
      <w:r>
        <w:rPr>
          <w:sz w:val="20"/>
        </w:rPr>
        <w:t>value</w:t>
      </w:r>
      <w:r>
        <w:rPr>
          <w:spacing w:val="-6"/>
          <w:sz w:val="20"/>
        </w:rPr>
        <w:t> </w:t>
      </w:r>
      <w:r>
        <w:rPr>
          <w:sz w:val="20"/>
        </w:rPr>
        <w:t>of</w:t>
      </w:r>
      <w:r>
        <w:rPr>
          <w:spacing w:val="-5"/>
          <w:sz w:val="20"/>
        </w:rPr>
        <w:t> </w:t>
      </w:r>
      <w:r>
        <w:rPr>
          <w:sz w:val="20"/>
        </w:rPr>
        <w:t>their</w:t>
      </w:r>
      <w:r>
        <w:rPr>
          <w:spacing w:val="4"/>
          <w:sz w:val="20"/>
        </w:rPr>
        <w:t> </w:t>
      </w:r>
      <w:r>
        <w:rPr>
          <w:sz w:val="20"/>
        </w:rPr>
        <w:t>products,</w:t>
      </w:r>
      <w:r>
        <w:rPr>
          <w:spacing w:val="-5"/>
          <w:sz w:val="20"/>
        </w:rPr>
        <w:t> </w:t>
      </w:r>
      <w:r>
        <w:rPr>
          <w:sz w:val="20"/>
        </w:rPr>
        <w:t>their</w:t>
      </w:r>
      <w:r>
        <w:rPr>
          <w:spacing w:val="-5"/>
          <w:sz w:val="20"/>
        </w:rPr>
        <w:t> </w:t>
      </w:r>
      <w:r>
        <w:rPr>
          <w:sz w:val="20"/>
        </w:rPr>
        <w:t>sales</w:t>
      </w:r>
      <w:r>
        <w:rPr>
          <w:spacing w:val="-6"/>
          <w:sz w:val="20"/>
        </w:rPr>
        <w:t> </w:t>
      </w:r>
      <w:r>
        <w:rPr>
          <w:sz w:val="20"/>
        </w:rPr>
        <w:t>and</w:t>
      </w:r>
      <w:r>
        <w:rPr>
          <w:spacing w:val="-6"/>
          <w:sz w:val="20"/>
        </w:rPr>
        <w:t> </w:t>
      </w:r>
      <w:r>
        <w:rPr>
          <w:sz w:val="20"/>
        </w:rPr>
        <w:t>thus</w:t>
      </w:r>
      <w:r>
        <w:rPr>
          <w:spacing w:val="-4"/>
          <w:sz w:val="20"/>
        </w:rPr>
        <w:t> </w:t>
      </w:r>
      <w:r>
        <w:rPr>
          <w:sz w:val="20"/>
        </w:rPr>
        <w:t>their</w:t>
      </w:r>
      <w:r>
        <w:rPr>
          <w:spacing w:val="-3"/>
          <w:sz w:val="20"/>
        </w:rPr>
        <w:t> </w:t>
      </w:r>
      <w:r>
        <w:rPr>
          <w:sz w:val="20"/>
        </w:rPr>
        <w:t>profits. Such participation is attributable to the nature of what is being supplied, how it is being supplied and the active interaction or engagement with market jurisdictions. This means that the allocation of taxing rights and taxable profits can no longer be exclusively circumscribed by reference to physical</w:t>
      </w:r>
      <w:r>
        <w:rPr>
          <w:spacing w:val="-38"/>
          <w:sz w:val="20"/>
        </w:rPr>
        <w:t> </w:t>
      </w:r>
      <w:r>
        <w:rPr>
          <w:sz w:val="20"/>
        </w:rPr>
        <w:t>presence.</w:t>
      </w:r>
    </w:p>
    <w:p>
      <w:pPr>
        <w:pStyle w:val="ListParagraph"/>
        <w:numPr>
          <w:ilvl w:val="0"/>
          <w:numId w:val="4"/>
        </w:numPr>
        <w:tabs>
          <w:tab w:pos="1444" w:val="left" w:leader="none"/>
        </w:tabs>
        <w:spacing w:line="271" w:lineRule="auto" w:before="122" w:after="0"/>
        <w:ind w:left="723" w:right="484" w:firstLine="0"/>
        <w:jc w:val="both"/>
        <w:rPr>
          <w:sz w:val="20"/>
        </w:rPr>
      </w:pPr>
      <w:r>
        <w:rPr>
          <w:sz w:val="20"/>
        </w:rPr>
        <w:t>As</w:t>
      </w:r>
      <w:r>
        <w:rPr>
          <w:spacing w:val="-3"/>
          <w:sz w:val="20"/>
        </w:rPr>
        <w:t> </w:t>
      </w:r>
      <w:r>
        <w:rPr>
          <w:sz w:val="20"/>
        </w:rPr>
        <w:t>such,</w:t>
      </w:r>
      <w:r>
        <w:rPr>
          <w:spacing w:val="-5"/>
          <w:sz w:val="20"/>
        </w:rPr>
        <w:t> </w:t>
      </w:r>
      <w:r>
        <w:rPr>
          <w:sz w:val="20"/>
        </w:rPr>
        <w:t>the</w:t>
      </w:r>
      <w:r>
        <w:rPr>
          <w:spacing w:val="-5"/>
          <w:sz w:val="20"/>
        </w:rPr>
        <w:t> </w:t>
      </w:r>
      <w:r>
        <w:rPr>
          <w:sz w:val="20"/>
        </w:rPr>
        <w:t>Outline</w:t>
      </w:r>
      <w:r>
        <w:rPr>
          <w:spacing w:val="-3"/>
          <w:sz w:val="20"/>
        </w:rPr>
        <w:t> </w:t>
      </w:r>
      <w:r>
        <w:rPr>
          <w:sz w:val="20"/>
        </w:rPr>
        <w:t>has</w:t>
      </w:r>
      <w:r>
        <w:rPr>
          <w:spacing w:val="-3"/>
          <w:sz w:val="20"/>
        </w:rPr>
        <w:t> </w:t>
      </w:r>
      <w:r>
        <w:rPr>
          <w:sz w:val="20"/>
        </w:rPr>
        <w:t>proposed</w:t>
      </w:r>
      <w:r>
        <w:rPr>
          <w:spacing w:val="-5"/>
          <w:sz w:val="20"/>
        </w:rPr>
        <w:t> </w:t>
      </w:r>
      <w:r>
        <w:rPr>
          <w:sz w:val="20"/>
        </w:rPr>
        <w:t>that</w:t>
      </w:r>
      <w:r>
        <w:rPr>
          <w:spacing w:val="-4"/>
          <w:sz w:val="20"/>
        </w:rPr>
        <w:t> </w:t>
      </w:r>
      <w:r>
        <w:rPr>
          <w:sz w:val="20"/>
        </w:rPr>
        <w:t>the</w:t>
      </w:r>
      <w:r>
        <w:rPr>
          <w:spacing w:val="-3"/>
          <w:sz w:val="20"/>
        </w:rPr>
        <w:t> </w:t>
      </w:r>
      <w:r>
        <w:rPr>
          <w:sz w:val="20"/>
        </w:rPr>
        <w:t>scope</w:t>
      </w:r>
      <w:r>
        <w:rPr>
          <w:spacing w:val="-4"/>
          <w:sz w:val="20"/>
        </w:rPr>
        <w:t> </w:t>
      </w:r>
      <w:r>
        <w:rPr>
          <w:sz w:val="20"/>
        </w:rPr>
        <w:t>for</w:t>
      </w:r>
      <w:r>
        <w:rPr>
          <w:spacing w:val="-4"/>
          <w:sz w:val="20"/>
        </w:rPr>
        <w:t> </w:t>
      </w:r>
      <w:r>
        <w:rPr>
          <w:sz w:val="20"/>
        </w:rPr>
        <w:t>the</w:t>
      </w:r>
      <w:r>
        <w:rPr>
          <w:spacing w:val="-4"/>
          <w:sz w:val="20"/>
        </w:rPr>
        <w:t> </w:t>
      </w:r>
      <w:r>
        <w:rPr>
          <w:sz w:val="20"/>
        </w:rPr>
        <w:t>application</w:t>
      </w:r>
      <w:r>
        <w:rPr>
          <w:spacing w:val="-4"/>
          <w:sz w:val="20"/>
        </w:rPr>
        <w:t> </w:t>
      </w:r>
      <w:r>
        <w:rPr>
          <w:sz w:val="20"/>
        </w:rPr>
        <w:t>of</w:t>
      </w:r>
      <w:r>
        <w:rPr>
          <w:spacing w:val="-2"/>
          <w:sz w:val="20"/>
        </w:rPr>
        <w:t> </w:t>
      </w:r>
      <w:r>
        <w:rPr>
          <w:sz w:val="20"/>
        </w:rPr>
        <w:t>Amount</w:t>
      </w:r>
      <w:r>
        <w:rPr>
          <w:spacing w:val="-5"/>
          <w:sz w:val="20"/>
        </w:rPr>
        <w:t> </w:t>
      </w:r>
      <w:r>
        <w:rPr>
          <w:sz w:val="20"/>
        </w:rPr>
        <w:t>A</w:t>
      </w:r>
      <w:r>
        <w:rPr>
          <w:spacing w:val="-4"/>
          <w:sz w:val="20"/>
        </w:rPr>
        <w:t> </w:t>
      </w:r>
      <w:r>
        <w:rPr>
          <w:sz w:val="20"/>
        </w:rPr>
        <w:t>be</w:t>
      </w:r>
      <w:r>
        <w:rPr>
          <w:spacing w:val="-4"/>
          <w:sz w:val="20"/>
        </w:rPr>
        <w:t> </w:t>
      </w:r>
      <w:r>
        <w:rPr>
          <w:sz w:val="20"/>
        </w:rPr>
        <w:t>based</w:t>
      </w:r>
      <w:r>
        <w:rPr>
          <w:spacing w:val="-4"/>
          <w:sz w:val="20"/>
        </w:rPr>
        <w:t> </w:t>
      </w:r>
      <w:r>
        <w:rPr>
          <w:sz w:val="20"/>
        </w:rPr>
        <w:t>on</w:t>
      </w:r>
      <w:r>
        <w:rPr>
          <w:spacing w:val="-4"/>
          <w:sz w:val="20"/>
        </w:rPr>
        <w:t> </w:t>
      </w:r>
      <w:r>
        <w:rPr>
          <w:sz w:val="20"/>
        </w:rPr>
        <w:t>an activity test. The definition of the in-scope activities reflects the types of activities where this policy challenge is most acute: ADS and CFB. Within each, the definitions are designed with sufficient breadth to accommodate new business models (and thus ensure a level playing field over time). Considerable technical work has been devoted to defining ADS and CFB activities. However, as noted in the executive summary,</w:t>
      </w:r>
      <w:r>
        <w:rPr>
          <w:spacing w:val="-14"/>
          <w:sz w:val="20"/>
        </w:rPr>
        <w:t> </w:t>
      </w:r>
      <w:r>
        <w:rPr>
          <w:sz w:val="20"/>
        </w:rPr>
        <w:t>scope</w:t>
      </w:r>
      <w:r>
        <w:rPr>
          <w:spacing w:val="-11"/>
          <w:sz w:val="20"/>
        </w:rPr>
        <w:t> </w:t>
      </w:r>
      <w:r>
        <w:rPr>
          <w:sz w:val="20"/>
        </w:rPr>
        <w:t>is</w:t>
      </w:r>
      <w:r>
        <w:rPr>
          <w:spacing w:val="-12"/>
          <w:sz w:val="20"/>
        </w:rPr>
        <w:t> </w:t>
      </w:r>
      <w:r>
        <w:rPr>
          <w:sz w:val="20"/>
        </w:rPr>
        <w:t>one</w:t>
      </w:r>
      <w:r>
        <w:rPr>
          <w:spacing w:val="-13"/>
          <w:sz w:val="20"/>
        </w:rPr>
        <w:t> </w:t>
      </w:r>
      <w:r>
        <w:rPr>
          <w:sz w:val="20"/>
        </w:rPr>
        <w:t>of</w:t>
      </w:r>
      <w:r>
        <w:rPr>
          <w:spacing w:val="-11"/>
          <w:sz w:val="20"/>
        </w:rPr>
        <w:t> </w:t>
      </w:r>
      <w:r>
        <w:rPr>
          <w:sz w:val="20"/>
        </w:rPr>
        <w:t>the</w:t>
      </w:r>
      <w:r>
        <w:rPr>
          <w:spacing w:val="-13"/>
          <w:sz w:val="20"/>
        </w:rPr>
        <w:t> </w:t>
      </w:r>
      <w:r>
        <w:rPr>
          <w:sz w:val="20"/>
        </w:rPr>
        <w:t>key</w:t>
      </w:r>
      <w:r>
        <w:rPr>
          <w:spacing w:val="-17"/>
          <w:sz w:val="20"/>
        </w:rPr>
        <w:t> </w:t>
      </w:r>
      <w:r>
        <w:rPr>
          <w:sz w:val="20"/>
        </w:rPr>
        <w:t>pending</w:t>
      </w:r>
      <w:r>
        <w:rPr>
          <w:spacing w:val="-13"/>
          <w:sz w:val="20"/>
        </w:rPr>
        <w:t> </w:t>
      </w:r>
      <w:r>
        <w:rPr>
          <w:sz w:val="20"/>
        </w:rPr>
        <w:t>political</w:t>
      </w:r>
      <w:r>
        <w:rPr>
          <w:spacing w:val="-11"/>
          <w:sz w:val="20"/>
        </w:rPr>
        <w:t> </w:t>
      </w:r>
      <w:r>
        <w:rPr>
          <w:sz w:val="20"/>
        </w:rPr>
        <w:t>issues</w:t>
      </w:r>
      <w:r>
        <w:rPr>
          <w:spacing w:val="-12"/>
          <w:sz w:val="20"/>
        </w:rPr>
        <w:t> </w:t>
      </w:r>
      <w:r>
        <w:rPr>
          <w:sz w:val="20"/>
        </w:rPr>
        <w:t>and</w:t>
      </w:r>
      <w:r>
        <w:rPr>
          <w:spacing w:val="-13"/>
          <w:sz w:val="20"/>
        </w:rPr>
        <w:t> </w:t>
      </w:r>
      <w:r>
        <w:rPr>
          <w:sz w:val="20"/>
        </w:rPr>
        <w:t>the</w:t>
      </w:r>
      <w:r>
        <w:rPr>
          <w:spacing w:val="-13"/>
          <w:sz w:val="20"/>
        </w:rPr>
        <w:t> </w:t>
      </w:r>
      <w:r>
        <w:rPr>
          <w:sz w:val="20"/>
        </w:rPr>
        <w:t>section</w:t>
      </w:r>
      <w:r>
        <w:rPr>
          <w:spacing w:val="-14"/>
          <w:sz w:val="20"/>
        </w:rPr>
        <w:t> </w:t>
      </w:r>
      <w:r>
        <w:rPr>
          <w:sz w:val="20"/>
        </w:rPr>
        <w:t>needs</w:t>
      </w:r>
      <w:r>
        <w:rPr>
          <w:spacing w:val="-12"/>
          <w:sz w:val="20"/>
        </w:rPr>
        <w:t> </w:t>
      </w:r>
      <w:r>
        <w:rPr>
          <w:sz w:val="20"/>
        </w:rPr>
        <w:t>to</w:t>
      </w:r>
      <w:r>
        <w:rPr>
          <w:spacing w:val="-13"/>
          <w:sz w:val="20"/>
        </w:rPr>
        <w:t> </w:t>
      </w:r>
      <w:r>
        <w:rPr>
          <w:sz w:val="20"/>
        </w:rPr>
        <w:t>read</w:t>
      </w:r>
      <w:r>
        <w:rPr>
          <w:spacing w:val="-12"/>
          <w:sz w:val="20"/>
        </w:rPr>
        <w:t> </w:t>
      </w:r>
      <w:r>
        <w:rPr>
          <w:sz w:val="20"/>
        </w:rPr>
        <w:t>within</w:t>
      </w:r>
      <w:r>
        <w:rPr>
          <w:spacing w:val="-11"/>
          <w:sz w:val="20"/>
        </w:rPr>
        <w:t> </w:t>
      </w:r>
      <w:r>
        <w:rPr>
          <w:sz w:val="20"/>
        </w:rPr>
        <w:t>this</w:t>
      </w:r>
      <w:r>
        <w:rPr>
          <w:spacing w:val="-11"/>
          <w:sz w:val="20"/>
        </w:rPr>
        <w:t> </w:t>
      </w:r>
      <w:r>
        <w:rPr>
          <w:sz w:val="20"/>
        </w:rPr>
        <w:t>context.</w:t>
      </w:r>
    </w:p>
    <w:p>
      <w:pPr>
        <w:pStyle w:val="BodyText"/>
        <w:spacing w:before="9"/>
        <w:rPr>
          <w:sz w:val="21"/>
        </w:rPr>
      </w:pPr>
    </w:p>
    <w:p>
      <w:pPr>
        <w:spacing w:before="0"/>
        <w:ind w:left="1402" w:right="0" w:firstLine="0"/>
        <w:jc w:val="left"/>
        <w:rPr>
          <w:b/>
          <w:sz w:val="20"/>
        </w:rPr>
      </w:pPr>
      <w:bookmarkStart w:name="Automated digital services" w:id="31"/>
      <w:bookmarkEnd w:id="31"/>
      <w:r>
        <w:rPr/>
      </w:r>
      <w:r>
        <w:rPr>
          <w:b/>
          <w:color w:val="616161"/>
          <w:sz w:val="20"/>
        </w:rPr>
        <w:t>Automated digital services</w:t>
      </w:r>
    </w:p>
    <w:p>
      <w:pPr>
        <w:pStyle w:val="BodyText"/>
        <w:spacing w:before="2"/>
        <w:rPr>
          <w:b/>
          <w:sz w:val="19"/>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The approach to defining ADS recognises that certain MNEs can generate revenue from the provision</w:t>
      </w:r>
      <w:r>
        <w:rPr>
          <w:spacing w:val="-10"/>
          <w:sz w:val="20"/>
        </w:rPr>
        <w:t> </w:t>
      </w:r>
      <w:r>
        <w:rPr>
          <w:sz w:val="20"/>
        </w:rPr>
        <w:t>of</w:t>
      </w:r>
      <w:r>
        <w:rPr>
          <w:spacing w:val="-9"/>
          <w:sz w:val="20"/>
        </w:rPr>
        <w:t> </w:t>
      </w:r>
      <w:r>
        <w:rPr>
          <w:sz w:val="20"/>
        </w:rPr>
        <w:t>ADS</w:t>
      </w:r>
      <w:r>
        <w:rPr>
          <w:spacing w:val="-12"/>
          <w:sz w:val="20"/>
        </w:rPr>
        <w:t> </w:t>
      </w:r>
      <w:r>
        <w:rPr>
          <w:sz w:val="20"/>
        </w:rPr>
        <w:t>(including</w:t>
      </w:r>
      <w:r>
        <w:rPr>
          <w:spacing w:val="-8"/>
          <w:sz w:val="20"/>
        </w:rPr>
        <w:t> </w:t>
      </w:r>
      <w:r>
        <w:rPr>
          <w:sz w:val="20"/>
        </w:rPr>
        <w:t>revenue</w:t>
      </w:r>
      <w:r>
        <w:rPr>
          <w:spacing w:val="-10"/>
          <w:sz w:val="20"/>
        </w:rPr>
        <w:t> </w:t>
      </w:r>
      <w:r>
        <w:rPr>
          <w:sz w:val="20"/>
        </w:rPr>
        <w:t>from</w:t>
      </w:r>
      <w:r>
        <w:rPr>
          <w:spacing w:val="-7"/>
          <w:sz w:val="20"/>
        </w:rPr>
        <w:t> </w:t>
      </w:r>
      <w:r>
        <w:rPr>
          <w:sz w:val="20"/>
        </w:rPr>
        <w:t>the</w:t>
      </w:r>
      <w:r>
        <w:rPr>
          <w:spacing w:val="-10"/>
          <w:sz w:val="20"/>
        </w:rPr>
        <w:t> </w:t>
      </w:r>
      <w:r>
        <w:rPr>
          <w:sz w:val="20"/>
        </w:rPr>
        <w:t>monetisation</w:t>
      </w:r>
      <w:r>
        <w:rPr>
          <w:spacing w:val="-11"/>
          <w:sz w:val="20"/>
        </w:rPr>
        <w:t> </w:t>
      </w:r>
      <w:r>
        <w:rPr>
          <w:sz w:val="20"/>
        </w:rPr>
        <w:t>of</w:t>
      </w:r>
      <w:r>
        <w:rPr>
          <w:spacing w:val="-9"/>
          <w:sz w:val="20"/>
        </w:rPr>
        <w:t> </w:t>
      </w:r>
      <w:r>
        <w:rPr>
          <w:sz w:val="20"/>
        </w:rPr>
        <w:t>data)</w:t>
      </w:r>
      <w:r>
        <w:rPr>
          <w:spacing w:val="-8"/>
          <w:sz w:val="20"/>
        </w:rPr>
        <w:t> </w:t>
      </w:r>
      <w:r>
        <w:rPr>
          <w:sz w:val="20"/>
        </w:rPr>
        <w:t>that</w:t>
      </w:r>
      <w:r>
        <w:rPr>
          <w:spacing w:val="-10"/>
          <w:sz w:val="20"/>
        </w:rPr>
        <w:t> </w:t>
      </w:r>
      <w:r>
        <w:rPr>
          <w:sz w:val="20"/>
        </w:rPr>
        <w:t>are</w:t>
      </w:r>
      <w:r>
        <w:rPr>
          <w:spacing w:val="-2"/>
          <w:sz w:val="20"/>
        </w:rPr>
        <w:t> </w:t>
      </w:r>
      <w:r>
        <w:rPr>
          <w:sz w:val="20"/>
        </w:rPr>
        <w:t>provided</w:t>
      </w:r>
      <w:r>
        <w:rPr>
          <w:spacing w:val="-13"/>
          <w:sz w:val="20"/>
        </w:rPr>
        <w:t> </w:t>
      </w:r>
      <w:r>
        <w:rPr>
          <w:sz w:val="20"/>
        </w:rPr>
        <w:t>on</w:t>
      </w:r>
      <w:r>
        <w:rPr>
          <w:spacing w:val="-9"/>
          <w:sz w:val="20"/>
        </w:rPr>
        <w:t> </w:t>
      </w:r>
      <w:r>
        <w:rPr>
          <w:sz w:val="20"/>
        </w:rPr>
        <w:t>an</w:t>
      </w:r>
      <w:r>
        <w:rPr>
          <w:spacing w:val="-8"/>
          <w:sz w:val="20"/>
        </w:rPr>
        <w:t> </w:t>
      </w:r>
      <w:r>
        <w:rPr>
          <w:sz w:val="20"/>
        </w:rPr>
        <w:t>automated</w:t>
      </w:r>
      <w:r>
        <w:rPr>
          <w:spacing w:val="-12"/>
          <w:sz w:val="20"/>
        </w:rPr>
        <w:t> </w:t>
      </w:r>
      <w:r>
        <w:rPr>
          <w:sz w:val="20"/>
        </w:rPr>
        <w:t>and standardised basis to a large and global customer or user base and can do so remotely to customers in markets with little or no local infrastructure. They often exploit powerful customer or user network effects and generate substantial value from interaction with users and customers. They often benefit from data and content contributions made by users and from the intensive monitoring of users’ activities and the exploitation of corresponding data. In some models, the customers may interact on an almost continuous basis with the supplier’s facilities and services. The ADS scope is not limited with respect to whether the services are provided to consumers, but goes beyond this, given that the possibilities for significant and sustained engagement in the market by ADS businesses is not dependent on the type of</w:t>
      </w:r>
      <w:r>
        <w:rPr>
          <w:spacing w:val="-25"/>
          <w:sz w:val="20"/>
        </w:rPr>
        <w:t> </w:t>
      </w:r>
      <w:r>
        <w:rPr>
          <w:sz w:val="20"/>
        </w:rPr>
        <w:t>customer.</w:t>
      </w:r>
    </w:p>
    <w:p>
      <w:pPr>
        <w:pStyle w:val="ListParagraph"/>
        <w:numPr>
          <w:ilvl w:val="0"/>
          <w:numId w:val="4"/>
        </w:numPr>
        <w:tabs>
          <w:tab w:pos="1444" w:val="left" w:leader="none"/>
        </w:tabs>
        <w:spacing w:line="271" w:lineRule="auto" w:before="121" w:after="0"/>
        <w:ind w:left="723" w:right="480" w:firstLine="0"/>
        <w:jc w:val="both"/>
        <w:rPr>
          <w:sz w:val="20"/>
        </w:rPr>
      </w:pPr>
      <w:r>
        <w:rPr>
          <w:sz w:val="20"/>
        </w:rPr>
        <w:t>The definition of ADS is comprised of a positive list of ADS activities; a negative list of non-ADS activities; and a general definition. Providing a positive list and a negative list provides certainty to MNEs and tax administrations in respect of existing business models; as well as flexibility for the future, as the lists</w:t>
      </w:r>
      <w:r>
        <w:rPr>
          <w:spacing w:val="6"/>
          <w:sz w:val="20"/>
        </w:rPr>
        <w:t> </w:t>
      </w:r>
      <w:r>
        <w:rPr>
          <w:sz w:val="20"/>
        </w:rPr>
        <w:t>can</w:t>
      </w:r>
      <w:r>
        <w:rPr>
          <w:spacing w:val="7"/>
          <w:sz w:val="20"/>
        </w:rPr>
        <w:t> </w:t>
      </w:r>
      <w:r>
        <w:rPr>
          <w:sz w:val="20"/>
        </w:rPr>
        <w:t>be</w:t>
      </w:r>
      <w:r>
        <w:rPr>
          <w:spacing w:val="7"/>
          <w:sz w:val="20"/>
        </w:rPr>
        <w:t> </w:t>
      </w:r>
      <w:r>
        <w:rPr>
          <w:sz w:val="20"/>
        </w:rPr>
        <w:t>updated</w:t>
      </w:r>
      <w:r>
        <w:rPr>
          <w:spacing w:val="5"/>
          <w:sz w:val="20"/>
        </w:rPr>
        <w:t> </w:t>
      </w:r>
      <w:r>
        <w:rPr>
          <w:sz w:val="20"/>
        </w:rPr>
        <w:t>from</w:t>
      </w:r>
      <w:r>
        <w:rPr>
          <w:spacing w:val="9"/>
          <w:sz w:val="20"/>
        </w:rPr>
        <w:t> </w:t>
      </w:r>
      <w:r>
        <w:rPr>
          <w:sz w:val="20"/>
        </w:rPr>
        <w:t>time</w:t>
      </w:r>
      <w:r>
        <w:rPr>
          <w:spacing w:val="5"/>
          <w:sz w:val="20"/>
        </w:rPr>
        <w:t> </w:t>
      </w:r>
      <w:r>
        <w:rPr>
          <w:sz w:val="20"/>
        </w:rPr>
        <w:t>to</w:t>
      </w:r>
      <w:r>
        <w:rPr>
          <w:spacing w:val="5"/>
          <w:sz w:val="20"/>
        </w:rPr>
        <w:t> </w:t>
      </w:r>
      <w:r>
        <w:rPr>
          <w:sz w:val="20"/>
        </w:rPr>
        <w:t>time</w:t>
      </w:r>
      <w:r>
        <w:rPr>
          <w:spacing w:val="5"/>
          <w:sz w:val="20"/>
        </w:rPr>
        <w:t> </w:t>
      </w:r>
      <w:r>
        <w:rPr>
          <w:sz w:val="20"/>
        </w:rPr>
        <w:t>as</w:t>
      </w:r>
      <w:r>
        <w:rPr>
          <w:spacing w:val="6"/>
          <w:sz w:val="20"/>
        </w:rPr>
        <w:t> </w:t>
      </w:r>
      <w:r>
        <w:rPr>
          <w:sz w:val="20"/>
        </w:rPr>
        <w:t>business</w:t>
      </w:r>
      <w:r>
        <w:rPr>
          <w:spacing w:val="6"/>
          <w:sz w:val="20"/>
        </w:rPr>
        <w:t> </w:t>
      </w:r>
      <w:r>
        <w:rPr>
          <w:sz w:val="20"/>
        </w:rPr>
        <w:t>models</w:t>
      </w:r>
      <w:r>
        <w:rPr>
          <w:spacing w:val="9"/>
          <w:sz w:val="20"/>
        </w:rPr>
        <w:t> </w:t>
      </w:r>
      <w:r>
        <w:rPr>
          <w:sz w:val="20"/>
        </w:rPr>
        <w:t>evolve.</w:t>
      </w:r>
      <w:r>
        <w:rPr>
          <w:spacing w:val="7"/>
          <w:sz w:val="20"/>
        </w:rPr>
        <w:t> </w:t>
      </w:r>
      <w:r>
        <w:rPr>
          <w:sz w:val="20"/>
        </w:rPr>
        <w:t>The</w:t>
      </w:r>
      <w:r>
        <w:rPr>
          <w:spacing w:val="5"/>
          <w:sz w:val="20"/>
        </w:rPr>
        <w:t> </w:t>
      </w:r>
      <w:r>
        <w:rPr>
          <w:sz w:val="20"/>
        </w:rPr>
        <w:t>general</w:t>
      </w:r>
      <w:r>
        <w:rPr>
          <w:spacing w:val="4"/>
          <w:sz w:val="20"/>
        </w:rPr>
        <w:t> </w:t>
      </w:r>
      <w:r>
        <w:rPr>
          <w:sz w:val="20"/>
        </w:rPr>
        <w:t>definition</w:t>
      </w:r>
      <w:r>
        <w:rPr>
          <w:spacing w:val="7"/>
          <w:sz w:val="20"/>
        </w:rPr>
        <w:t> </w:t>
      </w:r>
      <w:r>
        <w:rPr>
          <w:sz w:val="20"/>
        </w:rPr>
        <w:t>ensures</w:t>
      </w:r>
      <w:r>
        <w:rPr>
          <w:spacing w:val="9"/>
          <w:sz w:val="20"/>
        </w:rPr>
        <w:t> </w:t>
      </w:r>
      <w:r>
        <w:rPr>
          <w:sz w:val="20"/>
        </w:rPr>
        <w:t>that</w:t>
      </w:r>
      <w:r>
        <w:rPr>
          <w:spacing w:val="8"/>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rule</w:t>
      </w:r>
      <w:r>
        <w:rPr>
          <w:spacing w:val="-14"/>
        </w:rPr>
        <w:t> </w:t>
      </w:r>
      <w:r>
        <w:rPr/>
        <w:t>remains</w:t>
      </w:r>
      <w:r>
        <w:rPr>
          <w:spacing w:val="-14"/>
        </w:rPr>
        <w:t> </w:t>
      </w:r>
      <w:r>
        <w:rPr/>
        <w:t>in</w:t>
      </w:r>
      <w:r>
        <w:rPr>
          <w:spacing w:val="-15"/>
        </w:rPr>
        <w:t> </w:t>
      </w:r>
      <w:r>
        <w:rPr/>
        <w:t>place</w:t>
      </w:r>
      <w:r>
        <w:rPr>
          <w:spacing w:val="-13"/>
        </w:rPr>
        <w:t> </w:t>
      </w:r>
      <w:r>
        <w:rPr/>
        <w:t>to</w:t>
      </w:r>
      <w:r>
        <w:rPr>
          <w:spacing w:val="-15"/>
        </w:rPr>
        <w:t> </w:t>
      </w:r>
      <w:r>
        <w:rPr/>
        <w:t>address</w:t>
      </w:r>
      <w:r>
        <w:rPr>
          <w:spacing w:val="-14"/>
        </w:rPr>
        <w:t> </w:t>
      </w:r>
      <w:r>
        <w:rPr/>
        <w:t>rapidly</w:t>
      </w:r>
      <w:r>
        <w:rPr>
          <w:spacing w:val="-18"/>
        </w:rPr>
        <w:t> </w:t>
      </w:r>
      <w:r>
        <w:rPr/>
        <w:t>changing</w:t>
      </w:r>
      <w:r>
        <w:rPr>
          <w:spacing w:val="-13"/>
        </w:rPr>
        <w:t> </w:t>
      </w:r>
      <w:r>
        <w:rPr/>
        <w:t>business</w:t>
      </w:r>
      <w:r>
        <w:rPr>
          <w:spacing w:val="-14"/>
        </w:rPr>
        <w:t> </w:t>
      </w:r>
      <w:r>
        <w:rPr/>
        <w:t>models</w:t>
      </w:r>
      <w:r>
        <w:rPr>
          <w:spacing w:val="-14"/>
        </w:rPr>
        <w:t> </w:t>
      </w:r>
      <w:r>
        <w:rPr/>
        <w:t>not</w:t>
      </w:r>
      <w:r>
        <w:rPr>
          <w:spacing w:val="-13"/>
        </w:rPr>
        <w:t> </w:t>
      </w:r>
      <w:r>
        <w:rPr/>
        <w:t>otherwise</w:t>
      </w:r>
      <w:r>
        <w:rPr>
          <w:spacing w:val="-13"/>
        </w:rPr>
        <w:t> </w:t>
      </w:r>
      <w:r>
        <w:rPr/>
        <w:t>addressed</w:t>
      </w:r>
      <w:r>
        <w:rPr>
          <w:spacing w:val="-13"/>
        </w:rPr>
        <w:t> </w:t>
      </w:r>
      <w:r>
        <w:rPr/>
        <w:t>by</w:t>
      </w:r>
      <w:r>
        <w:rPr>
          <w:spacing w:val="-16"/>
        </w:rPr>
        <w:t> </w:t>
      </w:r>
      <w:r>
        <w:rPr/>
        <w:t>the</w:t>
      </w:r>
      <w:r>
        <w:rPr>
          <w:spacing w:val="-13"/>
        </w:rPr>
        <w:t> </w:t>
      </w:r>
      <w:r>
        <w:rPr/>
        <w:t>positive or negative list. In practice, businesses and tax administrations will apply the rules by going through the following</w:t>
      </w:r>
      <w:r>
        <w:rPr>
          <w:spacing w:val="-5"/>
        </w:rPr>
        <w:t> </w:t>
      </w:r>
      <w:r>
        <w:rPr/>
        <w:t>process.</w:t>
      </w:r>
      <w:r>
        <w:rPr>
          <w:spacing w:val="-6"/>
        </w:rPr>
        <w:t> </w:t>
      </w:r>
      <w:r>
        <w:rPr/>
        <w:t>First,</w:t>
      </w:r>
      <w:r>
        <w:rPr>
          <w:spacing w:val="-2"/>
        </w:rPr>
        <w:t> </w:t>
      </w:r>
      <w:r>
        <w:rPr/>
        <w:t>they</w:t>
      </w:r>
      <w:r>
        <w:rPr>
          <w:spacing w:val="-7"/>
        </w:rPr>
        <w:t> </w:t>
      </w:r>
      <w:r>
        <w:rPr/>
        <w:t>will</w:t>
      </w:r>
      <w:r>
        <w:rPr>
          <w:spacing w:val="-4"/>
        </w:rPr>
        <w:t> </w:t>
      </w:r>
      <w:r>
        <w:rPr/>
        <w:t>identify</w:t>
      </w:r>
      <w:r>
        <w:rPr>
          <w:spacing w:val="-7"/>
        </w:rPr>
        <w:t> </w:t>
      </w:r>
      <w:r>
        <w:rPr/>
        <w:t>whether</w:t>
      </w:r>
      <w:r>
        <w:rPr>
          <w:spacing w:val="-3"/>
        </w:rPr>
        <w:t> </w:t>
      </w:r>
      <w:r>
        <w:rPr/>
        <w:t>an</w:t>
      </w:r>
      <w:r>
        <w:rPr>
          <w:spacing w:val="-5"/>
        </w:rPr>
        <w:t> </w:t>
      </w:r>
      <w:r>
        <w:rPr/>
        <w:t>activity</w:t>
      </w:r>
      <w:r>
        <w:rPr>
          <w:spacing w:val="-7"/>
        </w:rPr>
        <w:t> </w:t>
      </w:r>
      <w:r>
        <w:rPr/>
        <w:t>is</w:t>
      </w:r>
      <w:r>
        <w:rPr>
          <w:spacing w:val="-4"/>
        </w:rPr>
        <w:t> </w:t>
      </w:r>
      <w:r>
        <w:rPr/>
        <w:t>on</w:t>
      </w:r>
      <w:r>
        <w:rPr>
          <w:spacing w:val="-5"/>
        </w:rPr>
        <w:t> </w:t>
      </w:r>
      <w:r>
        <w:rPr/>
        <w:t>the</w:t>
      </w:r>
      <w:r>
        <w:rPr>
          <w:spacing w:val="-2"/>
        </w:rPr>
        <w:t> </w:t>
      </w:r>
      <w:r>
        <w:rPr/>
        <w:t>positive</w:t>
      </w:r>
      <w:r>
        <w:rPr>
          <w:spacing w:val="-4"/>
        </w:rPr>
        <w:t> </w:t>
      </w:r>
      <w:r>
        <w:rPr/>
        <w:t>list</w:t>
      </w:r>
      <w:r>
        <w:rPr>
          <w:spacing w:val="-6"/>
        </w:rPr>
        <w:t> </w:t>
      </w:r>
      <w:r>
        <w:rPr/>
        <w:t>(i.e.</w:t>
      </w:r>
      <w:r>
        <w:rPr>
          <w:spacing w:val="-5"/>
        </w:rPr>
        <w:t> </w:t>
      </w:r>
      <w:r>
        <w:rPr/>
        <w:t>included);</w:t>
      </w:r>
      <w:r>
        <w:rPr>
          <w:spacing w:val="-4"/>
        </w:rPr>
        <w:t> </w:t>
      </w:r>
      <w:r>
        <w:rPr/>
        <w:t>if</w:t>
      </w:r>
      <w:r>
        <w:rPr>
          <w:spacing w:val="-4"/>
        </w:rPr>
        <w:t> </w:t>
      </w:r>
      <w:r>
        <w:rPr/>
        <w:t>it</w:t>
      </w:r>
      <w:r>
        <w:rPr>
          <w:spacing w:val="-4"/>
        </w:rPr>
        <w:t> </w:t>
      </w:r>
      <w:r>
        <w:rPr/>
        <w:t>is,</w:t>
      </w:r>
      <w:r>
        <w:rPr>
          <w:spacing w:val="-4"/>
        </w:rPr>
        <w:t> </w:t>
      </w:r>
      <w:r>
        <w:rPr/>
        <w:t>it</w:t>
      </w:r>
      <w:r>
        <w:rPr>
          <w:spacing w:val="-4"/>
        </w:rPr>
        <w:t> </w:t>
      </w:r>
      <w:r>
        <w:rPr/>
        <w:t>is an ADS business. Second, if the activity is not on the positive list, they will need to check whether it is on the negative list (i.e. excluded); if it is on the negative list, it is not an ADS business. Only if an activity is not</w:t>
      </w:r>
      <w:r>
        <w:rPr>
          <w:spacing w:val="-11"/>
        </w:rPr>
        <w:t> </w:t>
      </w:r>
      <w:r>
        <w:rPr/>
        <w:t>on</w:t>
      </w:r>
      <w:r>
        <w:rPr>
          <w:spacing w:val="-12"/>
        </w:rPr>
        <w:t> </w:t>
      </w:r>
      <w:r>
        <w:rPr/>
        <w:t>either</w:t>
      </w:r>
      <w:r>
        <w:rPr>
          <w:spacing w:val="-13"/>
        </w:rPr>
        <w:t> </w:t>
      </w:r>
      <w:r>
        <w:rPr/>
        <w:t>list</w:t>
      </w:r>
      <w:r>
        <w:rPr>
          <w:spacing w:val="-11"/>
        </w:rPr>
        <w:t> </w:t>
      </w:r>
      <w:r>
        <w:rPr/>
        <w:t>is</w:t>
      </w:r>
      <w:r>
        <w:rPr>
          <w:spacing w:val="-10"/>
        </w:rPr>
        <w:t> </w:t>
      </w:r>
      <w:r>
        <w:rPr/>
        <w:t>it</w:t>
      </w:r>
      <w:r>
        <w:rPr>
          <w:spacing w:val="-11"/>
        </w:rPr>
        <w:t> </w:t>
      </w:r>
      <w:r>
        <w:rPr/>
        <w:t>necessary</w:t>
      </w:r>
      <w:r>
        <w:rPr>
          <w:spacing w:val="-15"/>
        </w:rPr>
        <w:t> </w:t>
      </w:r>
      <w:r>
        <w:rPr/>
        <w:t>to</w:t>
      </w:r>
      <w:r>
        <w:rPr>
          <w:spacing w:val="-11"/>
        </w:rPr>
        <w:t> </w:t>
      </w:r>
      <w:r>
        <w:rPr/>
        <w:t>consider</w:t>
      </w:r>
      <w:r>
        <w:rPr>
          <w:spacing w:val="-11"/>
        </w:rPr>
        <w:t> </w:t>
      </w:r>
      <w:r>
        <w:rPr/>
        <w:t>whether</w:t>
      </w:r>
      <w:r>
        <w:rPr>
          <w:spacing w:val="-10"/>
        </w:rPr>
        <w:t> </w:t>
      </w:r>
      <w:r>
        <w:rPr/>
        <w:t>it</w:t>
      </w:r>
      <w:r>
        <w:rPr>
          <w:spacing w:val="-11"/>
        </w:rPr>
        <w:t> </w:t>
      </w:r>
      <w:r>
        <w:rPr/>
        <w:t>meets</w:t>
      </w:r>
      <w:r>
        <w:rPr>
          <w:spacing w:val="-13"/>
        </w:rPr>
        <w:t> </w:t>
      </w:r>
      <w:r>
        <w:rPr/>
        <w:t>the</w:t>
      </w:r>
      <w:r>
        <w:rPr>
          <w:spacing w:val="-12"/>
        </w:rPr>
        <w:t> </w:t>
      </w:r>
      <w:r>
        <w:rPr/>
        <w:t>conditions</w:t>
      </w:r>
      <w:r>
        <w:rPr>
          <w:spacing w:val="-10"/>
        </w:rPr>
        <w:t> </w:t>
      </w:r>
      <w:r>
        <w:rPr/>
        <w:t>in</w:t>
      </w:r>
      <w:r>
        <w:rPr>
          <w:spacing w:val="-12"/>
        </w:rPr>
        <w:t> </w:t>
      </w:r>
      <w:r>
        <w:rPr/>
        <w:t>the</w:t>
      </w:r>
      <w:r>
        <w:rPr>
          <w:spacing w:val="-9"/>
        </w:rPr>
        <w:t> </w:t>
      </w:r>
      <w:r>
        <w:rPr/>
        <w:t>general</w:t>
      </w:r>
      <w:r>
        <w:rPr>
          <w:spacing w:val="-12"/>
        </w:rPr>
        <w:t> </w:t>
      </w:r>
      <w:r>
        <w:rPr/>
        <w:t>definition.</w:t>
      </w:r>
      <w:r>
        <w:rPr>
          <w:spacing w:val="-14"/>
        </w:rPr>
        <w:t> </w:t>
      </w:r>
      <w:r>
        <w:rPr/>
        <w:t>Finally, all questions of scope are covered by the early tax certainty process discussed in Chapter </w:t>
      </w:r>
      <w:hyperlink w:history="true" w:anchor="_bookmark66">
        <w:r>
          <w:rPr/>
          <w:t>9. </w:t>
        </w:r>
      </w:hyperlink>
      <w:r>
        <w:rPr/>
        <w:t>(including cases where an MNE ceases to be in</w:t>
      </w:r>
      <w:r>
        <w:rPr>
          <w:spacing w:val="-8"/>
        </w:rPr>
        <w:t> </w:t>
      </w:r>
      <w:r>
        <w:rPr/>
        <w:t>scope).</w:t>
      </w:r>
    </w:p>
    <w:p>
      <w:pPr>
        <w:pStyle w:val="ListParagraph"/>
        <w:numPr>
          <w:ilvl w:val="0"/>
          <w:numId w:val="4"/>
        </w:numPr>
        <w:tabs>
          <w:tab w:pos="1444" w:val="left" w:leader="none"/>
        </w:tabs>
        <w:spacing w:line="273" w:lineRule="auto" w:before="119" w:after="0"/>
        <w:ind w:left="723" w:right="496" w:firstLine="0"/>
        <w:jc w:val="both"/>
        <w:rPr>
          <w:sz w:val="20"/>
        </w:rPr>
      </w:pPr>
      <w:r>
        <w:rPr>
          <w:sz w:val="20"/>
        </w:rPr>
        <w:t>The general definition of ADS (which also informs the positive and negative lists) is built on two elements:</w:t>
      </w:r>
    </w:p>
    <w:p>
      <w:pPr>
        <w:pStyle w:val="ListParagraph"/>
        <w:numPr>
          <w:ilvl w:val="1"/>
          <w:numId w:val="4"/>
        </w:numPr>
        <w:tabs>
          <w:tab w:pos="1403" w:val="left" w:leader="none"/>
        </w:tabs>
        <w:spacing w:line="266" w:lineRule="auto" w:before="96" w:after="0"/>
        <w:ind w:left="1402" w:right="485" w:hanging="339"/>
        <w:jc w:val="both"/>
        <w:rPr>
          <w:sz w:val="20"/>
        </w:rPr>
      </w:pPr>
      <w:r>
        <w:rPr>
          <w:sz w:val="20"/>
        </w:rPr>
        <w:t>automated, i.e. once the system is set up the provision of the service to a particular user requires minimal human involvement on the part of the service provider;</w:t>
      </w:r>
      <w:r>
        <w:rPr>
          <w:spacing w:val="-7"/>
          <w:sz w:val="20"/>
        </w:rPr>
        <w:t> </w:t>
      </w:r>
      <w:r>
        <w:rPr>
          <w:sz w:val="20"/>
        </w:rPr>
        <w:t>and</w:t>
      </w:r>
    </w:p>
    <w:p>
      <w:pPr>
        <w:pStyle w:val="ListParagraph"/>
        <w:numPr>
          <w:ilvl w:val="1"/>
          <w:numId w:val="4"/>
        </w:numPr>
        <w:tabs>
          <w:tab w:pos="1403" w:val="left" w:leader="none"/>
        </w:tabs>
        <w:spacing w:line="240" w:lineRule="auto" w:before="54" w:after="0"/>
        <w:ind w:left="1402" w:right="0" w:hanging="339"/>
        <w:jc w:val="both"/>
        <w:rPr>
          <w:sz w:val="20"/>
        </w:rPr>
      </w:pPr>
      <w:r>
        <w:rPr>
          <w:sz w:val="20"/>
        </w:rPr>
        <w:t>digital, i.e. provided over the Internet or an electronic</w:t>
      </w:r>
      <w:r>
        <w:rPr>
          <w:spacing w:val="-1"/>
          <w:sz w:val="20"/>
        </w:rPr>
        <w:t> </w:t>
      </w:r>
      <w:r>
        <w:rPr>
          <w:sz w:val="20"/>
        </w:rPr>
        <w:t>network.</w:t>
      </w:r>
    </w:p>
    <w:p>
      <w:pPr>
        <w:pStyle w:val="ListParagraph"/>
        <w:numPr>
          <w:ilvl w:val="0"/>
          <w:numId w:val="4"/>
        </w:numPr>
        <w:tabs>
          <w:tab w:pos="1444" w:val="left" w:leader="none"/>
        </w:tabs>
        <w:spacing w:line="271" w:lineRule="auto" w:before="155" w:after="0"/>
        <w:ind w:left="723" w:right="479" w:firstLine="0"/>
        <w:jc w:val="both"/>
        <w:rPr>
          <w:sz w:val="20"/>
        </w:rPr>
      </w:pPr>
      <w:r>
        <w:rPr>
          <w:sz w:val="20"/>
        </w:rPr>
        <w:t>The</w:t>
      </w:r>
      <w:r>
        <w:rPr>
          <w:spacing w:val="-7"/>
          <w:sz w:val="20"/>
        </w:rPr>
        <w:t> </w:t>
      </w:r>
      <w:r>
        <w:rPr>
          <w:sz w:val="20"/>
        </w:rPr>
        <w:t>first</w:t>
      </w:r>
      <w:r>
        <w:rPr>
          <w:spacing w:val="-5"/>
          <w:sz w:val="20"/>
        </w:rPr>
        <w:t> </w:t>
      </w:r>
      <w:r>
        <w:rPr>
          <w:sz w:val="20"/>
        </w:rPr>
        <w:t>part,</w:t>
      </w:r>
      <w:r>
        <w:rPr>
          <w:spacing w:val="-6"/>
          <w:sz w:val="20"/>
        </w:rPr>
        <w:t> </w:t>
      </w:r>
      <w:r>
        <w:rPr>
          <w:sz w:val="20"/>
        </w:rPr>
        <w:t>“automated,”</w:t>
      </w:r>
      <w:r>
        <w:rPr>
          <w:spacing w:val="-6"/>
          <w:sz w:val="20"/>
        </w:rPr>
        <w:t> </w:t>
      </w:r>
      <w:r>
        <w:rPr>
          <w:sz w:val="20"/>
        </w:rPr>
        <w:t>reflects</w:t>
      </w:r>
      <w:r>
        <w:rPr>
          <w:spacing w:val="-4"/>
          <w:sz w:val="20"/>
        </w:rPr>
        <w:t> </w:t>
      </w:r>
      <w:r>
        <w:rPr>
          <w:sz w:val="20"/>
        </w:rPr>
        <w:t>the</w:t>
      </w:r>
      <w:r>
        <w:rPr>
          <w:spacing w:val="-7"/>
          <w:sz w:val="20"/>
        </w:rPr>
        <w:t> </w:t>
      </w:r>
      <w:r>
        <w:rPr>
          <w:sz w:val="20"/>
        </w:rPr>
        <w:t>fact</w:t>
      </w:r>
      <w:r>
        <w:rPr>
          <w:spacing w:val="-5"/>
          <w:sz w:val="20"/>
        </w:rPr>
        <w:t> </w:t>
      </w:r>
      <w:r>
        <w:rPr>
          <w:sz w:val="20"/>
        </w:rPr>
        <w:t>that</w:t>
      </w:r>
      <w:r>
        <w:rPr>
          <w:spacing w:val="-5"/>
          <w:sz w:val="20"/>
        </w:rPr>
        <w:t> </w:t>
      </w:r>
      <w:r>
        <w:rPr>
          <w:sz w:val="20"/>
        </w:rPr>
        <w:t>that</w:t>
      </w:r>
      <w:r>
        <w:rPr>
          <w:spacing w:val="-6"/>
          <w:sz w:val="20"/>
        </w:rPr>
        <w:t> </w:t>
      </w:r>
      <w:r>
        <w:rPr>
          <w:sz w:val="20"/>
        </w:rPr>
        <w:t>the</w:t>
      </w:r>
      <w:r>
        <w:rPr>
          <w:spacing w:val="-4"/>
          <w:sz w:val="20"/>
        </w:rPr>
        <w:t> </w:t>
      </w:r>
      <w:r>
        <w:rPr>
          <w:sz w:val="20"/>
        </w:rPr>
        <w:t>user’s</w:t>
      </w:r>
      <w:r>
        <w:rPr>
          <w:spacing w:val="-5"/>
          <w:sz w:val="20"/>
        </w:rPr>
        <w:t> </w:t>
      </w:r>
      <w:r>
        <w:rPr>
          <w:sz w:val="20"/>
        </w:rPr>
        <w:t>ability</w:t>
      </w:r>
      <w:r>
        <w:rPr>
          <w:spacing w:val="-9"/>
          <w:sz w:val="20"/>
        </w:rPr>
        <w:t> </w:t>
      </w:r>
      <w:r>
        <w:rPr>
          <w:sz w:val="20"/>
        </w:rPr>
        <w:t>to</w:t>
      </w:r>
      <w:r>
        <w:rPr>
          <w:spacing w:val="-7"/>
          <w:sz w:val="20"/>
        </w:rPr>
        <w:t> </w:t>
      </w:r>
      <w:r>
        <w:rPr>
          <w:sz w:val="20"/>
        </w:rPr>
        <w:t>make</w:t>
      </w:r>
      <w:r>
        <w:rPr>
          <w:spacing w:val="-6"/>
          <w:sz w:val="20"/>
        </w:rPr>
        <w:t> </w:t>
      </w:r>
      <w:r>
        <w:rPr>
          <w:sz w:val="20"/>
        </w:rPr>
        <w:t>use</w:t>
      </w:r>
      <w:r>
        <w:rPr>
          <w:spacing w:val="-6"/>
          <w:sz w:val="20"/>
        </w:rPr>
        <w:t> </w:t>
      </w:r>
      <w:r>
        <w:rPr>
          <w:sz w:val="20"/>
        </w:rPr>
        <w:t>of</w:t>
      </w:r>
      <w:r>
        <w:rPr>
          <w:spacing w:val="-5"/>
          <w:sz w:val="20"/>
        </w:rPr>
        <w:t> </w:t>
      </w:r>
      <w:r>
        <w:rPr>
          <w:sz w:val="20"/>
        </w:rPr>
        <w:t>the</w:t>
      </w:r>
      <w:r>
        <w:rPr>
          <w:spacing w:val="-6"/>
          <w:sz w:val="20"/>
        </w:rPr>
        <w:t> </w:t>
      </w:r>
      <w:r>
        <w:rPr>
          <w:sz w:val="20"/>
        </w:rPr>
        <w:t>service</w:t>
      </w:r>
      <w:r>
        <w:rPr>
          <w:spacing w:val="-6"/>
          <w:sz w:val="20"/>
        </w:rPr>
        <w:t> </w:t>
      </w:r>
      <w:r>
        <w:rPr>
          <w:sz w:val="20"/>
        </w:rPr>
        <w:t>is possible because of the equipment and systems in place, which allow the user to obtain the service automatically, as opposed to requiring a bespoke interaction with the supplier to provide the service. In determining whether a service requires minimal human involvement the test only looks to the supplier of the service, without regard to any human involvement on the side of the user (e.g. where the user may input certain parameters into an automated system to obtain a customised result). The definition focuses on</w:t>
      </w:r>
      <w:r>
        <w:rPr>
          <w:spacing w:val="-17"/>
          <w:sz w:val="20"/>
        </w:rPr>
        <w:t> </w:t>
      </w:r>
      <w:r>
        <w:rPr>
          <w:sz w:val="20"/>
        </w:rPr>
        <w:t>the</w:t>
      </w:r>
      <w:r>
        <w:rPr>
          <w:spacing w:val="-15"/>
          <w:sz w:val="20"/>
        </w:rPr>
        <w:t> </w:t>
      </w:r>
      <w:r>
        <w:rPr>
          <w:sz w:val="20"/>
        </w:rPr>
        <w:t>provision</w:t>
      </w:r>
      <w:r>
        <w:rPr>
          <w:spacing w:val="-14"/>
          <w:sz w:val="20"/>
        </w:rPr>
        <w:t> </w:t>
      </w:r>
      <w:r>
        <w:rPr>
          <w:sz w:val="20"/>
        </w:rPr>
        <w:t>of</w:t>
      </w:r>
      <w:r>
        <w:rPr>
          <w:spacing w:val="-14"/>
          <w:sz w:val="20"/>
        </w:rPr>
        <w:t> </w:t>
      </w:r>
      <w:r>
        <w:rPr>
          <w:sz w:val="20"/>
        </w:rPr>
        <w:t>the</w:t>
      </w:r>
      <w:r>
        <w:rPr>
          <w:spacing w:val="-17"/>
          <w:sz w:val="20"/>
        </w:rPr>
        <w:t> </w:t>
      </w:r>
      <w:r>
        <w:rPr>
          <w:sz w:val="20"/>
        </w:rPr>
        <w:t>service</w:t>
      </w:r>
      <w:r>
        <w:rPr>
          <w:spacing w:val="-16"/>
          <w:sz w:val="20"/>
        </w:rPr>
        <w:t> </w:t>
      </w:r>
      <w:r>
        <w:rPr>
          <w:sz w:val="20"/>
        </w:rPr>
        <w:t>and</w:t>
      </w:r>
      <w:r>
        <w:rPr>
          <w:spacing w:val="-16"/>
          <w:sz w:val="20"/>
        </w:rPr>
        <w:t> </w:t>
      </w:r>
      <w:r>
        <w:rPr>
          <w:sz w:val="20"/>
        </w:rPr>
        <w:t>therefore</w:t>
      </w:r>
      <w:r>
        <w:rPr>
          <w:spacing w:val="-13"/>
          <w:sz w:val="20"/>
        </w:rPr>
        <w:t> </w:t>
      </w:r>
      <w:r>
        <w:rPr>
          <w:sz w:val="20"/>
        </w:rPr>
        <w:t>does</w:t>
      </w:r>
      <w:r>
        <w:rPr>
          <w:spacing w:val="-15"/>
          <w:sz w:val="20"/>
        </w:rPr>
        <w:t> </w:t>
      </w:r>
      <w:r>
        <w:rPr>
          <w:sz w:val="20"/>
        </w:rPr>
        <w:t>not</w:t>
      </w:r>
      <w:r>
        <w:rPr>
          <w:spacing w:val="-14"/>
          <w:sz w:val="20"/>
        </w:rPr>
        <w:t> </w:t>
      </w:r>
      <w:r>
        <w:rPr>
          <w:sz w:val="20"/>
        </w:rPr>
        <w:t>include</w:t>
      </w:r>
      <w:r>
        <w:rPr>
          <w:spacing w:val="-15"/>
          <w:sz w:val="20"/>
        </w:rPr>
        <w:t> </w:t>
      </w:r>
      <w:r>
        <w:rPr>
          <w:sz w:val="20"/>
        </w:rPr>
        <w:t>human</w:t>
      </w:r>
      <w:r>
        <w:rPr>
          <w:spacing w:val="-17"/>
          <w:sz w:val="20"/>
        </w:rPr>
        <w:t> </w:t>
      </w:r>
      <w:r>
        <w:rPr>
          <w:sz w:val="20"/>
        </w:rPr>
        <w:t>interventions</w:t>
      </w:r>
      <w:r>
        <w:rPr>
          <w:spacing w:val="-12"/>
          <w:sz w:val="20"/>
        </w:rPr>
        <w:t> </w:t>
      </w:r>
      <w:r>
        <w:rPr>
          <w:sz w:val="20"/>
        </w:rPr>
        <w:t>in</w:t>
      </w:r>
      <w:r>
        <w:rPr>
          <w:spacing w:val="-16"/>
          <w:sz w:val="20"/>
        </w:rPr>
        <w:t> </w:t>
      </w:r>
      <w:r>
        <w:rPr>
          <w:sz w:val="20"/>
        </w:rPr>
        <w:t>creating</w:t>
      </w:r>
      <w:r>
        <w:rPr>
          <w:spacing w:val="-14"/>
          <w:sz w:val="20"/>
        </w:rPr>
        <w:t> </w:t>
      </w:r>
      <w:r>
        <w:rPr>
          <w:sz w:val="20"/>
        </w:rPr>
        <w:t>or</w:t>
      </w:r>
      <w:r>
        <w:rPr>
          <w:spacing w:val="-13"/>
          <w:sz w:val="20"/>
        </w:rPr>
        <w:t> </w:t>
      </w:r>
      <w:r>
        <w:rPr>
          <w:sz w:val="20"/>
        </w:rPr>
        <w:t>supporting the</w:t>
      </w:r>
      <w:r>
        <w:rPr>
          <w:spacing w:val="-14"/>
          <w:sz w:val="20"/>
        </w:rPr>
        <w:t> </w:t>
      </w:r>
      <w:r>
        <w:rPr>
          <w:sz w:val="20"/>
        </w:rPr>
        <w:t>system,</w:t>
      </w:r>
      <w:r>
        <w:rPr>
          <w:spacing w:val="-14"/>
          <w:sz w:val="20"/>
        </w:rPr>
        <w:t> </w:t>
      </w:r>
      <w:r>
        <w:rPr>
          <w:sz w:val="20"/>
        </w:rPr>
        <w:t>such</w:t>
      </w:r>
      <w:r>
        <w:rPr>
          <w:spacing w:val="-14"/>
          <w:sz w:val="20"/>
        </w:rPr>
        <w:t> </w:t>
      </w:r>
      <w:r>
        <w:rPr>
          <w:sz w:val="20"/>
        </w:rPr>
        <w:t>as</w:t>
      </w:r>
      <w:r>
        <w:rPr>
          <w:spacing w:val="-13"/>
          <w:sz w:val="20"/>
        </w:rPr>
        <w:t> </w:t>
      </w:r>
      <w:r>
        <w:rPr>
          <w:sz w:val="20"/>
        </w:rPr>
        <w:t>setting</w:t>
      </w:r>
      <w:r>
        <w:rPr>
          <w:spacing w:val="-10"/>
          <w:sz w:val="20"/>
        </w:rPr>
        <w:t> </w:t>
      </w:r>
      <w:r>
        <w:rPr>
          <w:sz w:val="20"/>
        </w:rPr>
        <w:t>up</w:t>
      </w:r>
      <w:r>
        <w:rPr>
          <w:spacing w:val="-14"/>
          <w:sz w:val="20"/>
        </w:rPr>
        <w:t> </w:t>
      </w:r>
      <w:r>
        <w:rPr>
          <w:sz w:val="20"/>
        </w:rPr>
        <w:t>the</w:t>
      </w:r>
      <w:r>
        <w:rPr>
          <w:spacing w:val="-14"/>
          <w:sz w:val="20"/>
        </w:rPr>
        <w:t> </w:t>
      </w:r>
      <w:r>
        <w:rPr>
          <w:sz w:val="20"/>
        </w:rPr>
        <w:t>system</w:t>
      </w:r>
      <w:r>
        <w:rPr>
          <w:spacing w:val="-10"/>
          <w:sz w:val="20"/>
        </w:rPr>
        <w:t> </w:t>
      </w:r>
      <w:r>
        <w:rPr>
          <w:sz w:val="20"/>
        </w:rPr>
        <w:t>environment</w:t>
      </w:r>
      <w:r>
        <w:rPr>
          <w:spacing w:val="-11"/>
          <w:sz w:val="20"/>
        </w:rPr>
        <w:t> </w:t>
      </w:r>
      <w:r>
        <w:rPr>
          <w:sz w:val="20"/>
        </w:rPr>
        <w:t>needed</w:t>
      </w:r>
      <w:r>
        <w:rPr>
          <w:spacing w:val="-14"/>
          <w:sz w:val="20"/>
        </w:rPr>
        <w:t> </w:t>
      </w:r>
      <w:r>
        <w:rPr>
          <w:sz w:val="20"/>
        </w:rPr>
        <w:t>for</w:t>
      </w:r>
      <w:r>
        <w:rPr>
          <w:spacing w:val="-13"/>
          <w:sz w:val="20"/>
        </w:rPr>
        <w:t> </w:t>
      </w:r>
      <w:r>
        <w:rPr>
          <w:sz w:val="20"/>
        </w:rPr>
        <w:t>the</w:t>
      </w:r>
      <w:r>
        <w:rPr>
          <w:spacing w:val="-14"/>
          <w:sz w:val="20"/>
        </w:rPr>
        <w:t> </w:t>
      </w:r>
      <w:r>
        <w:rPr>
          <w:sz w:val="20"/>
        </w:rPr>
        <w:t>provision</w:t>
      </w:r>
      <w:r>
        <w:rPr>
          <w:spacing w:val="-12"/>
          <w:sz w:val="20"/>
        </w:rPr>
        <w:t> </w:t>
      </w:r>
      <w:r>
        <w:rPr>
          <w:sz w:val="20"/>
        </w:rPr>
        <w:t>of</w:t>
      </w:r>
      <w:r>
        <w:rPr>
          <w:spacing w:val="-12"/>
          <w:sz w:val="20"/>
        </w:rPr>
        <w:t> </w:t>
      </w:r>
      <w:r>
        <w:rPr>
          <w:sz w:val="20"/>
        </w:rPr>
        <w:t>the</w:t>
      </w:r>
      <w:r>
        <w:rPr>
          <w:spacing w:val="-8"/>
          <w:sz w:val="20"/>
        </w:rPr>
        <w:t> </w:t>
      </w:r>
      <w:r>
        <w:rPr>
          <w:sz w:val="20"/>
        </w:rPr>
        <w:t>service,</w:t>
      </w:r>
      <w:r>
        <w:rPr>
          <w:spacing w:val="-14"/>
          <w:sz w:val="20"/>
        </w:rPr>
        <w:t> </w:t>
      </w:r>
      <w:r>
        <w:rPr>
          <w:sz w:val="20"/>
        </w:rPr>
        <w:t>maintaining and updating the system environment, dealing with system errors, or making other generic, non-specific adjustments unrelated to individual user requests. Typically, such businesses have an ability to scale up and provide the same type of service to new users on an automated basis with minimal human involvement, with nil or minimal marginal</w:t>
      </w:r>
      <w:r>
        <w:rPr>
          <w:spacing w:val="-10"/>
          <w:sz w:val="20"/>
        </w:rPr>
        <w:t> </w:t>
      </w:r>
      <w:r>
        <w:rPr>
          <w:sz w:val="20"/>
        </w:rPr>
        <w:t>cost.</w:t>
      </w:r>
    </w:p>
    <w:p>
      <w:pPr>
        <w:pStyle w:val="ListParagraph"/>
        <w:numPr>
          <w:ilvl w:val="0"/>
          <w:numId w:val="4"/>
        </w:numPr>
        <w:tabs>
          <w:tab w:pos="1444" w:val="left" w:leader="none"/>
        </w:tabs>
        <w:spacing w:line="271" w:lineRule="auto" w:before="122" w:after="0"/>
        <w:ind w:left="723" w:right="482" w:firstLine="0"/>
        <w:jc w:val="both"/>
        <w:rPr>
          <w:sz w:val="20"/>
        </w:rPr>
      </w:pPr>
      <w:r>
        <w:rPr>
          <w:sz w:val="20"/>
        </w:rPr>
        <w:t>The second part, “digital,” distinguishes it from other service provision methods, such as the </w:t>
      </w:r>
      <w:r>
        <w:rPr>
          <w:spacing w:val="3"/>
          <w:sz w:val="20"/>
        </w:rPr>
        <w:t>on- </w:t>
      </w:r>
      <w:r>
        <w:rPr>
          <w:sz w:val="20"/>
        </w:rPr>
        <w:t>site physical performance of a</w:t>
      </w:r>
      <w:r>
        <w:rPr>
          <w:spacing w:val="-6"/>
          <w:sz w:val="20"/>
        </w:rPr>
        <w:t> </w:t>
      </w:r>
      <w:r>
        <w:rPr>
          <w:sz w:val="20"/>
        </w:rPr>
        <w:t>service.</w:t>
      </w:r>
    </w:p>
    <w:p>
      <w:pPr>
        <w:pStyle w:val="ListParagraph"/>
        <w:numPr>
          <w:ilvl w:val="0"/>
          <w:numId w:val="4"/>
        </w:numPr>
        <w:tabs>
          <w:tab w:pos="1444" w:val="left" w:leader="none"/>
        </w:tabs>
        <w:spacing w:line="271" w:lineRule="auto" w:before="121" w:after="0"/>
        <w:ind w:left="723" w:right="491" w:firstLine="0"/>
        <w:jc w:val="both"/>
        <w:rPr>
          <w:sz w:val="20"/>
        </w:rPr>
      </w:pPr>
      <w:r>
        <w:rPr>
          <w:sz w:val="20"/>
        </w:rPr>
        <w:t>The positive list includes online advertising services; sale or other alienation of user data; online search engines; social media platforms; online intermediation platforms; digital content services; online gaming; standardised online teaching services; and cloud computing</w:t>
      </w:r>
      <w:r>
        <w:rPr>
          <w:spacing w:val="-12"/>
          <w:sz w:val="20"/>
        </w:rPr>
        <w:t> </w:t>
      </w:r>
      <w:r>
        <w:rPr>
          <w:sz w:val="20"/>
        </w:rPr>
        <w:t>services.</w:t>
      </w:r>
    </w:p>
    <w:p>
      <w:pPr>
        <w:pStyle w:val="ListParagraph"/>
        <w:numPr>
          <w:ilvl w:val="0"/>
          <w:numId w:val="4"/>
        </w:numPr>
        <w:tabs>
          <w:tab w:pos="1444" w:val="left" w:leader="none"/>
        </w:tabs>
        <w:spacing w:line="271" w:lineRule="auto" w:before="120" w:after="0"/>
        <w:ind w:left="723" w:right="485" w:firstLine="0"/>
        <w:jc w:val="both"/>
        <w:rPr>
          <w:sz w:val="20"/>
        </w:rPr>
      </w:pPr>
      <w:r>
        <w:rPr>
          <w:sz w:val="20"/>
        </w:rPr>
        <w:t>The negative list of non-ADS activities includes customised professional services; customised online teaching services; online sale of goods and services other than ADS; revenue from the sale of a physical good irrespective of network connectivity (“Internet of things”); and services providing access to the Internet or another electronic</w:t>
      </w:r>
      <w:r>
        <w:rPr>
          <w:spacing w:val="-4"/>
          <w:sz w:val="20"/>
        </w:rPr>
        <w:t> </w:t>
      </w:r>
      <w:r>
        <w:rPr>
          <w:sz w:val="20"/>
        </w:rPr>
        <w:t>network.</w:t>
      </w:r>
    </w:p>
    <w:p>
      <w:pPr>
        <w:pStyle w:val="BodyText"/>
        <w:spacing w:before="3"/>
      </w:pPr>
    </w:p>
    <w:p>
      <w:pPr>
        <w:pStyle w:val="Heading8"/>
      </w:pPr>
      <w:bookmarkStart w:name="Consumer-facing businesses" w:id="32"/>
      <w:bookmarkEnd w:id="32"/>
      <w:r>
        <w:rPr>
          <w:b w:val="0"/>
        </w:rPr>
      </w:r>
      <w:r>
        <w:rPr/>
        <w:t>Consumer-facing businesses</w:t>
      </w:r>
    </w:p>
    <w:p>
      <w:pPr>
        <w:pStyle w:val="BodyText"/>
        <w:spacing w:before="9"/>
        <w:rPr>
          <w:b/>
          <w:sz w:val="18"/>
        </w:rPr>
      </w:pPr>
    </w:p>
    <w:p>
      <w:pPr>
        <w:pStyle w:val="ListParagraph"/>
        <w:numPr>
          <w:ilvl w:val="0"/>
          <w:numId w:val="4"/>
        </w:numPr>
        <w:tabs>
          <w:tab w:pos="1444" w:val="left" w:leader="none"/>
        </w:tabs>
        <w:spacing w:line="271" w:lineRule="auto" w:before="0" w:after="0"/>
        <w:ind w:left="723" w:right="480" w:firstLine="0"/>
        <w:jc w:val="both"/>
        <w:rPr>
          <w:sz w:val="20"/>
        </w:rPr>
      </w:pPr>
      <w:r>
        <w:rPr>
          <w:sz w:val="20"/>
        </w:rPr>
        <w:t>The inclusion of a broader group of CFB in the scope of Amount A recognises that the ability to participate in an active and sustained manner in the economic life of a market jurisdiction goes beyond businesses that provide ADS. Although this set of businesses includes traditional businesses that have been</w:t>
      </w:r>
      <w:r>
        <w:rPr>
          <w:spacing w:val="-14"/>
          <w:sz w:val="20"/>
        </w:rPr>
        <w:t> </w:t>
      </w:r>
      <w:r>
        <w:rPr>
          <w:sz w:val="20"/>
        </w:rPr>
        <w:t>disrupted</w:t>
      </w:r>
      <w:r>
        <w:rPr>
          <w:spacing w:val="-16"/>
          <w:sz w:val="20"/>
        </w:rPr>
        <w:t> </w:t>
      </w:r>
      <w:r>
        <w:rPr>
          <w:sz w:val="20"/>
        </w:rPr>
        <w:t>to</w:t>
      </w:r>
      <w:r>
        <w:rPr>
          <w:spacing w:val="-14"/>
          <w:sz w:val="20"/>
        </w:rPr>
        <w:t> </w:t>
      </w:r>
      <w:r>
        <w:rPr>
          <w:sz w:val="20"/>
        </w:rPr>
        <w:t>a</w:t>
      </w:r>
      <w:r>
        <w:rPr>
          <w:spacing w:val="-14"/>
          <w:sz w:val="20"/>
        </w:rPr>
        <w:t> </w:t>
      </w:r>
      <w:r>
        <w:rPr>
          <w:sz w:val="20"/>
        </w:rPr>
        <w:t>lesser</w:t>
      </w:r>
      <w:r>
        <w:rPr>
          <w:spacing w:val="-14"/>
          <w:sz w:val="20"/>
        </w:rPr>
        <w:t> </w:t>
      </w:r>
      <w:r>
        <w:rPr>
          <w:sz w:val="20"/>
        </w:rPr>
        <w:t>degree</w:t>
      </w:r>
      <w:r>
        <w:rPr>
          <w:spacing w:val="-14"/>
          <w:sz w:val="20"/>
        </w:rPr>
        <w:t> </w:t>
      </w:r>
      <w:r>
        <w:rPr>
          <w:sz w:val="20"/>
        </w:rPr>
        <w:t>by</w:t>
      </w:r>
      <w:r>
        <w:rPr>
          <w:spacing w:val="-19"/>
          <w:sz w:val="20"/>
        </w:rPr>
        <w:t> </w:t>
      </w:r>
      <w:r>
        <w:rPr>
          <w:sz w:val="20"/>
        </w:rPr>
        <w:t>digitalisation,</w:t>
      </w:r>
      <w:r>
        <w:rPr>
          <w:spacing w:val="-11"/>
          <w:sz w:val="20"/>
        </w:rPr>
        <w:t> </w:t>
      </w:r>
      <w:r>
        <w:rPr>
          <w:sz w:val="20"/>
        </w:rPr>
        <w:t>CFB</w:t>
      </w:r>
      <w:r>
        <w:rPr>
          <w:spacing w:val="-14"/>
          <w:sz w:val="20"/>
        </w:rPr>
        <w:t> </w:t>
      </w:r>
      <w:r>
        <w:rPr>
          <w:sz w:val="20"/>
        </w:rPr>
        <w:t>are</w:t>
      </w:r>
      <w:r>
        <w:rPr>
          <w:spacing w:val="-15"/>
          <w:sz w:val="20"/>
        </w:rPr>
        <w:t> </w:t>
      </w:r>
      <w:r>
        <w:rPr>
          <w:sz w:val="20"/>
        </w:rPr>
        <w:t>able</w:t>
      </w:r>
      <w:r>
        <w:rPr>
          <w:spacing w:val="-14"/>
          <w:sz w:val="20"/>
        </w:rPr>
        <w:t> </w:t>
      </w:r>
      <w:r>
        <w:rPr>
          <w:sz w:val="20"/>
        </w:rPr>
        <w:t>to</w:t>
      </w:r>
      <w:r>
        <w:rPr>
          <w:spacing w:val="-14"/>
          <w:sz w:val="20"/>
        </w:rPr>
        <w:t> </w:t>
      </w:r>
      <w:r>
        <w:rPr>
          <w:sz w:val="20"/>
        </w:rPr>
        <w:t>engage</w:t>
      </w:r>
      <w:r>
        <w:rPr>
          <w:spacing w:val="-14"/>
          <w:sz w:val="20"/>
        </w:rPr>
        <w:t> </w:t>
      </w:r>
      <w:r>
        <w:rPr>
          <w:sz w:val="20"/>
        </w:rPr>
        <w:t>with</w:t>
      </w:r>
      <w:r>
        <w:rPr>
          <w:spacing w:val="-14"/>
          <w:sz w:val="20"/>
        </w:rPr>
        <w:t> </w:t>
      </w:r>
      <w:r>
        <w:rPr>
          <w:sz w:val="20"/>
        </w:rPr>
        <w:t>consumers</w:t>
      </w:r>
      <w:r>
        <w:rPr>
          <w:spacing w:val="-13"/>
          <w:sz w:val="20"/>
        </w:rPr>
        <w:t> </w:t>
      </w:r>
      <w:r>
        <w:rPr>
          <w:sz w:val="20"/>
        </w:rPr>
        <w:t>in</w:t>
      </w:r>
      <w:r>
        <w:rPr>
          <w:spacing w:val="-16"/>
          <w:sz w:val="20"/>
        </w:rPr>
        <w:t> </w:t>
      </w:r>
      <w:r>
        <w:rPr>
          <w:sz w:val="20"/>
        </w:rPr>
        <w:t>a</w:t>
      </w:r>
      <w:r>
        <w:rPr>
          <w:spacing w:val="-16"/>
          <w:sz w:val="20"/>
        </w:rPr>
        <w:t> </w:t>
      </w:r>
      <w:r>
        <w:rPr>
          <w:sz w:val="20"/>
        </w:rPr>
        <w:t>meaningful way beyond having a local physical presence and can thereby substantially improve the value of their products and increase their sales. This significant and sustained engagement is able to take place and create value for consumer-facing MNEs because of the broader digitalisation of the economy, as technology facilitates more targeted marketing and branding, and the collection and exploitation of individual consumer data – all of which can be achieved with greater efficiency and remotely. Consumer relationships,</w:t>
      </w:r>
      <w:r>
        <w:rPr>
          <w:spacing w:val="9"/>
          <w:sz w:val="20"/>
        </w:rPr>
        <w:t> </w:t>
      </w:r>
      <w:r>
        <w:rPr>
          <w:sz w:val="20"/>
        </w:rPr>
        <w:t>interactions</w:t>
      </w:r>
      <w:r>
        <w:rPr>
          <w:spacing w:val="13"/>
          <w:sz w:val="20"/>
        </w:rPr>
        <w:t> </w:t>
      </w:r>
      <w:r>
        <w:rPr>
          <w:sz w:val="20"/>
        </w:rPr>
        <w:t>with</w:t>
      </w:r>
      <w:r>
        <w:rPr>
          <w:spacing w:val="10"/>
          <w:sz w:val="20"/>
        </w:rPr>
        <w:t> </w:t>
      </w:r>
      <w:r>
        <w:rPr>
          <w:sz w:val="20"/>
        </w:rPr>
        <w:t>users</w:t>
      </w:r>
      <w:r>
        <w:rPr>
          <w:spacing w:val="11"/>
          <w:sz w:val="20"/>
        </w:rPr>
        <w:t> </w:t>
      </w:r>
      <w:r>
        <w:rPr>
          <w:sz w:val="20"/>
        </w:rPr>
        <w:t>and</w:t>
      </w:r>
      <w:r>
        <w:rPr>
          <w:spacing w:val="10"/>
          <w:sz w:val="20"/>
        </w:rPr>
        <w:t> </w:t>
      </w:r>
      <w:r>
        <w:rPr>
          <w:sz w:val="20"/>
        </w:rPr>
        <w:t>consumers</w:t>
      </w:r>
      <w:r>
        <w:rPr>
          <w:spacing w:val="9"/>
          <w:sz w:val="20"/>
        </w:rPr>
        <w:t> </w:t>
      </w:r>
      <w:r>
        <w:rPr>
          <w:sz w:val="20"/>
        </w:rPr>
        <w:t>and</w:t>
      </w:r>
      <w:r>
        <w:rPr>
          <w:spacing w:val="12"/>
          <w:sz w:val="20"/>
        </w:rPr>
        <w:t> </w:t>
      </w:r>
      <w:r>
        <w:rPr>
          <w:sz w:val="20"/>
        </w:rPr>
        <w:t>wider</w:t>
      </w:r>
      <w:r>
        <w:rPr>
          <w:spacing w:val="8"/>
          <w:sz w:val="20"/>
        </w:rPr>
        <w:t> </w:t>
      </w:r>
      <w:r>
        <w:rPr>
          <w:sz w:val="20"/>
        </w:rPr>
        <w:t>consumer-facing</w:t>
      </w:r>
      <w:r>
        <w:rPr>
          <w:spacing w:val="10"/>
          <w:sz w:val="20"/>
        </w:rPr>
        <w:t> </w:t>
      </w:r>
      <w:r>
        <w:rPr>
          <w:sz w:val="20"/>
        </w:rPr>
        <w:t>intangibles</w:t>
      </w:r>
      <w:r>
        <w:rPr>
          <w:spacing w:val="13"/>
          <w:sz w:val="20"/>
        </w:rPr>
        <w:t> </w:t>
      </w:r>
      <w:r>
        <w:rPr>
          <w:sz w:val="20"/>
        </w:rPr>
        <w:t>drive</w:t>
      </w:r>
      <w:r>
        <w:rPr>
          <w:spacing w:val="13"/>
          <w:sz w:val="20"/>
        </w:rPr>
        <w:t> </w:t>
      </w:r>
      <w:r>
        <w:rPr>
          <w:sz w:val="20"/>
        </w:rPr>
        <w:t>value</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for these businesses. However, the current tax rules allow them to earn residual profits associated with such intangibles remotely and without a commensurate share assigned to the market jurisdiction.</w:t>
      </w:r>
    </w:p>
    <w:p>
      <w:pPr>
        <w:pStyle w:val="ListParagraph"/>
        <w:numPr>
          <w:ilvl w:val="0"/>
          <w:numId w:val="4"/>
        </w:numPr>
        <w:tabs>
          <w:tab w:pos="1444" w:val="left" w:leader="none"/>
        </w:tabs>
        <w:spacing w:line="271" w:lineRule="auto" w:before="119" w:after="0"/>
        <w:ind w:left="723" w:right="483" w:firstLine="0"/>
        <w:jc w:val="both"/>
        <w:rPr>
          <w:sz w:val="20"/>
        </w:rPr>
      </w:pPr>
      <w:r>
        <w:rPr>
          <w:sz w:val="20"/>
        </w:rPr>
        <w:t>The</w:t>
      </w:r>
      <w:r>
        <w:rPr>
          <w:spacing w:val="-7"/>
          <w:sz w:val="20"/>
        </w:rPr>
        <w:t> </w:t>
      </w:r>
      <w:r>
        <w:rPr>
          <w:sz w:val="20"/>
        </w:rPr>
        <w:t>inclusion</w:t>
      </w:r>
      <w:r>
        <w:rPr>
          <w:spacing w:val="-5"/>
          <w:sz w:val="20"/>
        </w:rPr>
        <w:t> </w:t>
      </w:r>
      <w:r>
        <w:rPr>
          <w:sz w:val="20"/>
        </w:rPr>
        <w:t>of</w:t>
      </w:r>
      <w:r>
        <w:rPr>
          <w:spacing w:val="-3"/>
          <w:sz w:val="20"/>
        </w:rPr>
        <w:t> </w:t>
      </w:r>
      <w:r>
        <w:rPr>
          <w:sz w:val="20"/>
        </w:rPr>
        <w:t>CFB</w:t>
      </w:r>
      <w:r>
        <w:rPr>
          <w:spacing w:val="-4"/>
          <w:sz w:val="20"/>
        </w:rPr>
        <w:t> </w:t>
      </w:r>
      <w:r>
        <w:rPr>
          <w:sz w:val="20"/>
        </w:rPr>
        <w:t>in</w:t>
      </w:r>
      <w:r>
        <w:rPr>
          <w:spacing w:val="-4"/>
          <w:sz w:val="20"/>
        </w:rPr>
        <w:t> </w:t>
      </w:r>
      <w:r>
        <w:rPr>
          <w:sz w:val="20"/>
        </w:rPr>
        <w:t>the</w:t>
      </w:r>
      <w:r>
        <w:rPr>
          <w:spacing w:val="-2"/>
          <w:sz w:val="20"/>
        </w:rPr>
        <w:t> </w:t>
      </w:r>
      <w:r>
        <w:rPr>
          <w:sz w:val="20"/>
        </w:rPr>
        <w:t>scope</w:t>
      </w:r>
      <w:r>
        <w:rPr>
          <w:spacing w:val="-7"/>
          <w:sz w:val="20"/>
        </w:rPr>
        <w:t> </w:t>
      </w:r>
      <w:r>
        <w:rPr>
          <w:sz w:val="20"/>
        </w:rPr>
        <w:t>of</w:t>
      </w:r>
      <w:r>
        <w:rPr>
          <w:spacing w:val="-5"/>
          <w:sz w:val="20"/>
        </w:rPr>
        <w:t> </w:t>
      </w:r>
      <w:r>
        <w:rPr>
          <w:sz w:val="20"/>
        </w:rPr>
        <w:t>Amount</w:t>
      </w:r>
      <w:r>
        <w:rPr>
          <w:spacing w:val="-5"/>
          <w:sz w:val="20"/>
        </w:rPr>
        <w:t> </w:t>
      </w:r>
      <w:r>
        <w:rPr>
          <w:sz w:val="20"/>
        </w:rPr>
        <w:t>A</w:t>
      </w:r>
      <w:r>
        <w:rPr>
          <w:spacing w:val="-5"/>
          <w:sz w:val="20"/>
        </w:rPr>
        <w:t> </w:t>
      </w:r>
      <w:r>
        <w:rPr>
          <w:sz w:val="20"/>
        </w:rPr>
        <w:t>not</w:t>
      </w:r>
      <w:r>
        <w:rPr>
          <w:spacing w:val="-5"/>
          <w:sz w:val="20"/>
        </w:rPr>
        <w:t> </w:t>
      </w:r>
      <w:r>
        <w:rPr>
          <w:sz w:val="20"/>
        </w:rPr>
        <w:t>only</w:t>
      </w:r>
      <w:r>
        <w:rPr>
          <w:spacing w:val="-7"/>
          <w:sz w:val="20"/>
        </w:rPr>
        <w:t> </w:t>
      </w:r>
      <w:r>
        <w:rPr>
          <w:sz w:val="20"/>
        </w:rPr>
        <w:t>reflects</w:t>
      </w:r>
      <w:r>
        <w:rPr>
          <w:spacing w:val="-5"/>
          <w:sz w:val="20"/>
        </w:rPr>
        <w:t> </w:t>
      </w:r>
      <w:r>
        <w:rPr>
          <w:sz w:val="20"/>
        </w:rPr>
        <w:t>this</w:t>
      </w:r>
      <w:r>
        <w:rPr>
          <w:spacing w:val="-5"/>
          <w:sz w:val="20"/>
        </w:rPr>
        <w:t> </w:t>
      </w:r>
      <w:r>
        <w:rPr>
          <w:sz w:val="20"/>
        </w:rPr>
        <w:t>principle,</w:t>
      </w:r>
      <w:r>
        <w:rPr>
          <w:spacing w:val="-5"/>
          <w:sz w:val="20"/>
        </w:rPr>
        <w:t> </w:t>
      </w:r>
      <w:r>
        <w:rPr>
          <w:sz w:val="20"/>
        </w:rPr>
        <w:t>but</w:t>
      </w:r>
      <w:r>
        <w:rPr>
          <w:spacing w:val="-5"/>
          <w:sz w:val="20"/>
        </w:rPr>
        <w:t> </w:t>
      </w:r>
      <w:r>
        <w:rPr>
          <w:sz w:val="20"/>
        </w:rPr>
        <w:t>also</w:t>
      </w:r>
      <w:r>
        <w:rPr>
          <w:spacing w:val="-6"/>
          <w:sz w:val="20"/>
        </w:rPr>
        <w:t> </w:t>
      </w:r>
      <w:r>
        <w:rPr>
          <w:sz w:val="20"/>
        </w:rPr>
        <w:t>recognises that in some cases, including both ADS and CFB can ensure consistent treatment of different business models that are sometimes combined. For example, certain online intermediation platforms provide both a marketplace for the sale of third parties’ goods to consumers (in scope as ADS) as well as their own inventory</w:t>
      </w:r>
      <w:r>
        <w:rPr>
          <w:spacing w:val="-10"/>
          <w:sz w:val="20"/>
        </w:rPr>
        <w:t> </w:t>
      </w:r>
      <w:r>
        <w:rPr>
          <w:sz w:val="20"/>
        </w:rPr>
        <w:t>of</w:t>
      </w:r>
      <w:r>
        <w:rPr>
          <w:spacing w:val="-7"/>
          <w:sz w:val="20"/>
        </w:rPr>
        <w:t> </w:t>
      </w:r>
      <w:r>
        <w:rPr>
          <w:sz w:val="20"/>
        </w:rPr>
        <w:t>similar</w:t>
      </w:r>
      <w:r>
        <w:rPr>
          <w:spacing w:val="-8"/>
          <w:sz w:val="20"/>
        </w:rPr>
        <w:t> </w:t>
      </w:r>
      <w:r>
        <w:rPr>
          <w:sz w:val="20"/>
        </w:rPr>
        <w:t>goods</w:t>
      </w:r>
      <w:r>
        <w:rPr>
          <w:spacing w:val="-6"/>
          <w:sz w:val="20"/>
        </w:rPr>
        <w:t> </w:t>
      </w:r>
      <w:r>
        <w:rPr>
          <w:sz w:val="20"/>
        </w:rPr>
        <w:t>(in</w:t>
      </w:r>
      <w:r>
        <w:rPr>
          <w:spacing w:val="-9"/>
          <w:sz w:val="20"/>
        </w:rPr>
        <w:t> </w:t>
      </w:r>
      <w:r>
        <w:rPr>
          <w:sz w:val="20"/>
        </w:rPr>
        <w:t>scope</w:t>
      </w:r>
      <w:r>
        <w:rPr>
          <w:spacing w:val="-9"/>
          <w:sz w:val="20"/>
        </w:rPr>
        <w:t> </w:t>
      </w:r>
      <w:r>
        <w:rPr>
          <w:sz w:val="20"/>
        </w:rPr>
        <w:t>as</w:t>
      </w:r>
      <w:r>
        <w:rPr>
          <w:spacing w:val="-7"/>
          <w:sz w:val="20"/>
        </w:rPr>
        <w:t> </w:t>
      </w:r>
      <w:r>
        <w:rPr>
          <w:sz w:val="20"/>
        </w:rPr>
        <w:t>CFB);</w:t>
      </w:r>
      <w:r>
        <w:rPr>
          <w:spacing w:val="-9"/>
          <w:sz w:val="20"/>
        </w:rPr>
        <w:t> </w:t>
      </w:r>
      <w:r>
        <w:rPr>
          <w:sz w:val="20"/>
        </w:rPr>
        <w:t>music,</w:t>
      </w:r>
      <w:r>
        <w:rPr>
          <w:spacing w:val="-9"/>
          <w:sz w:val="20"/>
        </w:rPr>
        <w:t> </w:t>
      </w:r>
      <w:r>
        <w:rPr>
          <w:sz w:val="20"/>
        </w:rPr>
        <w:t>films</w:t>
      </w:r>
      <w:r>
        <w:rPr>
          <w:spacing w:val="-8"/>
          <w:sz w:val="20"/>
        </w:rPr>
        <w:t> </w:t>
      </w:r>
      <w:r>
        <w:rPr>
          <w:sz w:val="20"/>
        </w:rPr>
        <w:t>and</w:t>
      </w:r>
      <w:r>
        <w:rPr>
          <w:spacing w:val="-9"/>
          <w:sz w:val="20"/>
        </w:rPr>
        <w:t> </w:t>
      </w:r>
      <w:r>
        <w:rPr>
          <w:sz w:val="20"/>
        </w:rPr>
        <w:t>certain</w:t>
      </w:r>
      <w:r>
        <w:rPr>
          <w:spacing w:val="-6"/>
          <w:sz w:val="20"/>
        </w:rPr>
        <w:t> </w:t>
      </w:r>
      <w:r>
        <w:rPr>
          <w:sz w:val="20"/>
        </w:rPr>
        <w:t>software</w:t>
      </w:r>
      <w:r>
        <w:rPr>
          <w:spacing w:val="-6"/>
          <w:sz w:val="20"/>
        </w:rPr>
        <w:t> </w:t>
      </w:r>
      <w:r>
        <w:rPr>
          <w:sz w:val="20"/>
        </w:rPr>
        <w:t>may</w:t>
      </w:r>
      <w:r>
        <w:rPr>
          <w:spacing w:val="-10"/>
          <w:sz w:val="20"/>
        </w:rPr>
        <w:t> </w:t>
      </w:r>
      <w:r>
        <w:rPr>
          <w:sz w:val="20"/>
        </w:rPr>
        <w:t>be</w:t>
      </w:r>
      <w:r>
        <w:rPr>
          <w:spacing w:val="-6"/>
          <w:sz w:val="20"/>
        </w:rPr>
        <w:t> </w:t>
      </w:r>
      <w:r>
        <w:rPr>
          <w:sz w:val="20"/>
        </w:rPr>
        <w:t>delivered</w:t>
      </w:r>
      <w:r>
        <w:rPr>
          <w:spacing w:val="-9"/>
          <w:sz w:val="20"/>
        </w:rPr>
        <w:t> </w:t>
      </w:r>
      <w:r>
        <w:rPr>
          <w:sz w:val="20"/>
        </w:rPr>
        <w:t>online</w:t>
      </w:r>
      <w:r>
        <w:rPr>
          <w:spacing w:val="-8"/>
          <w:sz w:val="20"/>
        </w:rPr>
        <w:t> </w:t>
      </w:r>
      <w:r>
        <w:rPr>
          <w:sz w:val="20"/>
        </w:rPr>
        <w:t>(in scope as ADS) and the same material delivered by the MNE on a physical medium (in scope as CFB); entertainment companies may directly make their content available online </w:t>
      </w:r>
      <w:r>
        <w:rPr>
          <w:spacing w:val="2"/>
          <w:sz w:val="20"/>
        </w:rPr>
        <w:t>(in </w:t>
      </w:r>
      <w:r>
        <w:rPr>
          <w:sz w:val="20"/>
        </w:rPr>
        <w:t>scope as ADS) as well as license the same material to others (in scope as CFB). For activities that may be both ADS and CFB, the ADS definition applies.</w:t>
      </w:r>
    </w:p>
    <w:p>
      <w:pPr>
        <w:pStyle w:val="ListParagraph"/>
        <w:numPr>
          <w:ilvl w:val="0"/>
          <w:numId w:val="4"/>
        </w:numPr>
        <w:tabs>
          <w:tab w:pos="1444" w:val="left" w:leader="none"/>
        </w:tabs>
        <w:spacing w:line="271" w:lineRule="auto" w:before="121" w:after="0"/>
        <w:ind w:left="723" w:right="485" w:firstLine="0"/>
        <w:jc w:val="both"/>
        <w:rPr>
          <w:sz w:val="20"/>
        </w:rPr>
      </w:pPr>
      <w:r>
        <w:rPr>
          <w:sz w:val="20"/>
        </w:rPr>
        <w:t>CFBs</w:t>
      </w:r>
      <w:r>
        <w:rPr>
          <w:spacing w:val="-8"/>
          <w:sz w:val="20"/>
        </w:rPr>
        <w:t> </w:t>
      </w:r>
      <w:r>
        <w:rPr>
          <w:sz w:val="20"/>
        </w:rPr>
        <w:t>are</w:t>
      </w:r>
      <w:r>
        <w:rPr>
          <w:spacing w:val="-9"/>
          <w:sz w:val="20"/>
        </w:rPr>
        <w:t> </w:t>
      </w:r>
      <w:r>
        <w:rPr>
          <w:sz w:val="20"/>
        </w:rPr>
        <w:t>defined</w:t>
      </w:r>
      <w:r>
        <w:rPr>
          <w:spacing w:val="-9"/>
          <w:sz w:val="20"/>
        </w:rPr>
        <w:t> </w:t>
      </w:r>
      <w:r>
        <w:rPr>
          <w:sz w:val="20"/>
        </w:rPr>
        <w:t>as</w:t>
      </w:r>
      <w:r>
        <w:rPr>
          <w:spacing w:val="-8"/>
          <w:sz w:val="20"/>
        </w:rPr>
        <w:t> </w:t>
      </w:r>
      <w:r>
        <w:rPr>
          <w:sz w:val="20"/>
        </w:rPr>
        <w:t>those</w:t>
      </w:r>
      <w:r>
        <w:rPr>
          <w:spacing w:val="-7"/>
          <w:sz w:val="20"/>
        </w:rPr>
        <w:t> </w:t>
      </w:r>
      <w:r>
        <w:rPr>
          <w:sz w:val="20"/>
        </w:rPr>
        <w:t>businesses</w:t>
      </w:r>
      <w:r>
        <w:rPr>
          <w:spacing w:val="-8"/>
          <w:sz w:val="20"/>
        </w:rPr>
        <w:t> </w:t>
      </w:r>
      <w:r>
        <w:rPr>
          <w:sz w:val="20"/>
        </w:rPr>
        <w:t>that</w:t>
      </w:r>
      <w:r>
        <w:rPr>
          <w:spacing w:val="-6"/>
          <w:sz w:val="20"/>
        </w:rPr>
        <w:t> </w:t>
      </w:r>
      <w:r>
        <w:rPr>
          <w:sz w:val="20"/>
        </w:rPr>
        <w:t>generate</w:t>
      </w:r>
      <w:r>
        <w:rPr>
          <w:spacing w:val="-9"/>
          <w:sz w:val="20"/>
        </w:rPr>
        <w:t> </w:t>
      </w:r>
      <w:r>
        <w:rPr>
          <w:sz w:val="20"/>
        </w:rPr>
        <w:t>revenue</w:t>
      </w:r>
      <w:r>
        <w:rPr>
          <w:spacing w:val="-10"/>
          <w:sz w:val="20"/>
        </w:rPr>
        <w:t> </w:t>
      </w:r>
      <w:r>
        <w:rPr>
          <w:sz w:val="20"/>
        </w:rPr>
        <w:t>from</w:t>
      </w:r>
      <w:r>
        <w:rPr>
          <w:spacing w:val="-5"/>
          <w:sz w:val="20"/>
        </w:rPr>
        <w:t> </w:t>
      </w:r>
      <w:r>
        <w:rPr>
          <w:sz w:val="20"/>
        </w:rPr>
        <w:t>the</w:t>
      </w:r>
      <w:r>
        <w:rPr>
          <w:spacing w:val="-9"/>
          <w:sz w:val="20"/>
        </w:rPr>
        <w:t> </w:t>
      </w:r>
      <w:r>
        <w:rPr>
          <w:sz w:val="20"/>
        </w:rPr>
        <w:t>sale</w:t>
      </w:r>
      <w:r>
        <w:rPr>
          <w:spacing w:val="-7"/>
          <w:sz w:val="20"/>
        </w:rPr>
        <w:t> </w:t>
      </w:r>
      <w:r>
        <w:rPr>
          <w:sz w:val="20"/>
        </w:rPr>
        <w:t>of</w:t>
      </w:r>
      <w:r>
        <w:rPr>
          <w:spacing w:val="-7"/>
          <w:sz w:val="20"/>
        </w:rPr>
        <w:t> </w:t>
      </w:r>
      <w:r>
        <w:rPr>
          <w:sz w:val="20"/>
        </w:rPr>
        <w:t>goods</w:t>
      </w:r>
      <w:r>
        <w:rPr>
          <w:spacing w:val="-8"/>
          <w:sz w:val="20"/>
        </w:rPr>
        <w:t> </w:t>
      </w:r>
      <w:r>
        <w:rPr>
          <w:sz w:val="20"/>
        </w:rPr>
        <w:t>and</w:t>
      </w:r>
      <w:r>
        <w:rPr>
          <w:spacing w:val="-9"/>
          <w:sz w:val="20"/>
        </w:rPr>
        <w:t> </w:t>
      </w:r>
      <w:r>
        <w:rPr>
          <w:sz w:val="20"/>
        </w:rPr>
        <w:t>services of</w:t>
      </w:r>
      <w:r>
        <w:rPr>
          <w:spacing w:val="-12"/>
          <w:sz w:val="20"/>
        </w:rPr>
        <w:t> </w:t>
      </w:r>
      <w:r>
        <w:rPr>
          <w:sz w:val="20"/>
        </w:rPr>
        <w:t>a</w:t>
      </w:r>
      <w:r>
        <w:rPr>
          <w:spacing w:val="-14"/>
          <w:sz w:val="20"/>
        </w:rPr>
        <w:t> </w:t>
      </w:r>
      <w:r>
        <w:rPr>
          <w:sz w:val="20"/>
        </w:rPr>
        <w:t>type</w:t>
      </w:r>
      <w:r>
        <w:rPr>
          <w:spacing w:val="-13"/>
          <w:sz w:val="20"/>
        </w:rPr>
        <w:t> </w:t>
      </w:r>
      <w:r>
        <w:rPr>
          <w:sz w:val="20"/>
        </w:rPr>
        <w:t>commonly</w:t>
      </w:r>
      <w:r>
        <w:rPr>
          <w:spacing w:val="-17"/>
          <w:sz w:val="20"/>
        </w:rPr>
        <w:t> </w:t>
      </w:r>
      <w:r>
        <w:rPr>
          <w:sz w:val="20"/>
        </w:rPr>
        <w:t>sold</w:t>
      </w:r>
      <w:r>
        <w:rPr>
          <w:spacing w:val="-13"/>
          <w:sz w:val="20"/>
        </w:rPr>
        <w:t> </w:t>
      </w:r>
      <w:r>
        <w:rPr>
          <w:sz w:val="20"/>
        </w:rPr>
        <w:t>to</w:t>
      </w:r>
      <w:r>
        <w:rPr>
          <w:spacing w:val="-12"/>
          <w:sz w:val="20"/>
        </w:rPr>
        <w:t> </w:t>
      </w:r>
      <w:r>
        <w:rPr>
          <w:sz w:val="20"/>
        </w:rPr>
        <w:t>consumers,</w:t>
      </w:r>
      <w:r>
        <w:rPr>
          <w:spacing w:val="-13"/>
          <w:sz w:val="20"/>
        </w:rPr>
        <w:t> </w:t>
      </w:r>
      <w:r>
        <w:rPr>
          <w:sz w:val="20"/>
        </w:rPr>
        <w:t>including</w:t>
      </w:r>
      <w:r>
        <w:rPr>
          <w:spacing w:val="-14"/>
          <w:sz w:val="20"/>
        </w:rPr>
        <w:t> </w:t>
      </w:r>
      <w:r>
        <w:rPr>
          <w:sz w:val="20"/>
        </w:rPr>
        <w:t>those</w:t>
      </w:r>
      <w:r>
        <w:rPr>
          <w:spacing w:val="-12"/>
          <w:sz w:val="20"/>
        </w:rPr>
        <w:t> </w:t>
      </w:r>
      <w:r>
        <w:rPr>
          <w:sz w:val="20"/>
        </w:rPr>
        <w:t>selling</w:t>
      </w:r>
      <w:r>
        <w:rPr>
          <w:spacing w:val="-11"/>
          <w:sz w:val="20"/>
        </w:rPr>
        <w:t> </w:t>
      </w:r>
      <w:r>
        <w:rPr>
          <w:sz w:val="20"/>
        </w:rPr>
        <w:t>indirectly</w:t>
      </w:r>
      <w:r>
        <w:rPr>
          <w:spacing w:val="-15"/>
          <w:sz w:val="20"/>
        </w:rPr>
        <w:t> </w:t>
      </w:r>
      <w:r>
        <w:rPr>
          <w:sz w:val="20"/>
        </w:rPr>
        <w:t>through</w:t>
      </w:r>
      <w:r>
        <w:rPr>
          <w:spacing w:val="-11"/>
          <w:sz w:val="20"/>
        </w:rPr>
        <w:t> </w:t>
      </w:r>
      <w:r>
        <w:rPr>
          <w:sz w:val="20"/>
        </w:rPr>
        <w:t>intermediaries</w:t>
      </w:r>
      <w:r>
        <w:rPr>
          <w:spacing w:val="-12"/>
          <w:sz w:val="20"/>
        </w:rPr>
        <w:t> </w:t>
      </w:r>
      <w:r>
        <w:rPr>
          <w:sz w:val="20"/>
        </w:rPr>
        <w:t>and</w:t>
      </w:r>
      <w:r>
        <w:rPr>
          <w:spacing w:val="-14"/>
          <w:sz w:val="20"/>
        </w:rPr>
        <w:t> </w:t>
      </w:r>
      <w:r>
        <w:rPr>
          <w:sz w:val="20"/>
        </w:rPr>
        <w:t>by</w:t>
      </w:r>
      <w:r>
        <w:rPr>
          <w:spacing w:val="-14"/>
          <w:sz w:val="20"/>
        </w:rPr>
        <w:t> </w:t>
      </w:r>
      <w:r>
        <w:rPr>
          <w:sz w:val="20"/>
        </w:rPr>
        <w:t>way of</w:t>
      </w:r>
      <w:r>
        <w:rPr>
          <w:spacing w:val="-2"/>
          <w:sz w:val="20"/>
        </w:rPr>
        <w:t> </w:t>
      </w:r>
      <w:r>
        <w:rPr>
          <w:sz w:val="20"/>
        </w:rPr>
        <w:t>franchising</w:t>
      </w:r>
      <w:r>
        <w:rPr>
          <w:spacing w:val="-4"/>
          <w:sz w:val="20"/>
        </w:rPr>
        <w:t> </w:t>
      </w:r>
      <w:r>
        <w:rPr>
          <w:sz w:val="20"/>
        </w:rPr>
        <w:t>and</w:t>
      </w:r>
      <w:r>
        <w:rPr>
          <w:spacing w:val="-3"/>
          <w:sz w:val="20"/>
        </w:rPr>
        <w:t> </w:t>
      </w:r>
      <w:r>
        <w:rPr>
          <w:sz w:val="20"/>
        </w:rPr>
        <w:t>licensing.</w:t>
      </w:r>
      <w:r>
        <w:rPr>
          <w:spacing w:val="-3"/>
          <w:sz w:val="20"/>
        </w:rPr>
        <w:t> </w:t>
      </w:r>
      <w:r>
        <w:rPr>
          <w:sz w:val="20"/>
        </w:rPr>
        <w:t>This</w:t>
      </w:r>
      <w:r>
        <w:rPr>
          <w:spacing w:val="-2"/>
          <w:sz w:val="20"/>
        </w:rPr>
        <w:t> </w:t>
      </w:r>
      <w:r>
        <w:rPr>
          <w:sz w:val="20"/>
        </w:rPr>
        <w:t>definition</w:t>
      </w:r>
      <w:r>
        <w:rPr>
          <w:spacing w:val="-4"/>
          <w:sz w:val="20"/>
        </w:rPr>
        <w:t> </w:t>
      </w:r>
      <w:r>
        <w:rPr>
          <w:sz w:val="20"/>
        </w:rPr>
        <w:t>can</w:t>
      </w:r>
      <w:r>
        <w:rPr>
          <w:spacing w:val="-2"/>
          <w:sz w:val="20"/>
        </w:rPr>
        <w:t> </w:t>
      </w:r>
      <w:r>
        <w:rPr>
          <w:sz w:val="20"/>
        </w:rPr>
        <w:t>be</w:t>
      </w:r>
      <w:r>
        <w:rPr>
          <w:spacing w:val="-5"/>
          <w:sz w:val="20"/>
        </w:rPr>
        <w:t> </w:t>
      </w:r>
      <w:r>
        <w:rPr>
          <w:sz w:val="20"/>
        </w:rPr>
        <w:t>further</w:t>
      </w:r>
      <w:r>
        <w:rPr>
          <w:spacing w:val="-3"/>
          <w:sz w:val="20"/>
        </w:rPr>
        <w:t> </w:t>
      </w:r>
      <w:r>
        <w:rPr>
          <w:sz w:val="20"/>
        </w:rPr>
        <w:t>broken</w:t>
      </w:r>
      <w:r>
        <w:rPr>
          <w:spacing w:val="-4"/>
          <w:sz w:val="20"/>
        </w:rPr>
        <w:t> </w:t>
      </w:r>
      <w:r>
        <w:rPr>
          <w:sz w:val="20"/>
        </w:rPr>
        <w:t>down</w:t>
      </w:r>
      <w:r>
        <w:rPr>
          <w:spacing w:val="-4"/>
          <w:sz w:val="20"/>
        </w:rPr>
        <w:t> </w:t>
      </w:r>
      <w:r>
        <w:rPr>
          <w:sz w:val="20"/>
        </w:rPr>
        <w:t>into</w:t>
      </w:r>
      <w:r>
        <w:rPr>
          <w:spacing w:val="-2"/>
          <w:sz w:val="20"/>
        </w:rPr>
        <w:t> </w:t>
      </w:r>
      <w:r>
        <w:rPr>
          <w:sz w:val="20"/>
        </w:rPr>
        <w:t>the</w:t>
      </w:r>
      <w:r>
        <w:rPr>
          <w:spacing w:val="-1"/>
          <w:sz w:val="20"/>
        </w:rPr>
        <w:t> </w:t>
      </w:r>
      <w:r>
        <w:rPr>
          <w:sz w:val="20"/>
        </w:rPr>
        <w:t>following</w:t>
      </w:r>
      <w:r>
        <w:rPr>
          <w:spacing w:val="-4"/>
          <w:sz w:val="20"/>
        </w:rPr>
        <w:t> </w:t>
      </w:r>
      <w:r>
        <w:rPr>
          <w:sz w:val="20"/>
        </w:rPr>
        <w:t>elements:</w:t>
      </w:r>
    </w:p>
    <w:p>
      <w:pPr>
        <w:pStyle w:val="ListParagraph"/>
        <w:numPr>
          <w:ilvl w:val="1"/>
          <w:numId w:val="4"/>
        </w:numPr>
        <w:tabs>
          <w:tab w:pos="1403" w:val="left" w:leader="none"/>
        </w:tabs>
        <w:spacing w:line="240" w:lineRule="auto" w:before="100" w:after="0"/>
        <w:ind w:left="1402" w:right="0" w:hanging="339"/>
        <w:jc w:val="both"/>
        <w:rPr>
          <w:sz w:val="20"/>
        </w:rPr>
      </w:pPr>
      <w:r>
        <w:rPr>
          <w:sz w:val="20"/>
        </w:rPr>
        <w:t>“Consumer”</w:t>
      </w:r>
      <w:r>
        <w:rPr>
          <w:spacing w:val="16"/>
          <w:sz w:val="20"/>
        </w:rPr>
        <w:t> </w:t>
      </w:r>
      <w:r>
        <w:rPr>
          <w:sz w:val="20"/>
        </w:rPr>
        <w:t>means</w:t>
      </w:r>
      <w:r>
        <w:rPr>
          <w:spacing w:val="18"/>
          <w:sz w:val="20"/>
        </w:rPr>
        <w:t> </w:t>
      </w:r>
      <w:r>
        <w:rPr>
          <w:sz w:val="20"/>
        </w:rPr>
        <w:t>an</w:t>
      </w:r>
      <w:r>
        <w:rPr>
          <w:spacing w:val="20"/>
          <w:sz w:val="20"/>
        </w:rPr>
        <w:t> </w:t>
      </w:r>
      <w:r>
        <w:rPr>
          <w:sz w:val="20"/>
        </w:rPr>
        <w:t>individual</w:t>
      </w:r>
      <w:r>
        <w:rPr>
          <w:spacing w:val="17"/>
          <w:sz w:val="20"/>
        </w:rPr>
        <w:t> </w:t>
      </w:r>
      <w:r>
        <w:rPr>
          <w:sz w:val="20"/>
        </w:rPr>
        <w:t>(whether</w:t>
      </w:r>
      <w:r>
        <w:rPr>
          <w:spacing w:val="19"/>
          <w:sz w:val="20"/>
        </w:rPr>
        <w:t> </w:t>
      </w:r>
      <w:r>
        <w:rPr>
          <w:sz w:val="20"/>
        </w:rPr>
        <w:t>or</w:t>
      </w:r>
      <w:r>
        <w:rPr>
          <w:spacing w:val="20"/>
          <w:sz w:val="20"/>
        </w:rPr>
        <w:t> </w:t>
      </w:r>
      <w:r>
        <w:rPr>
          <w:sz w:val="20"/>
        </w:rPr>
        <w:t>not</w:t>
      </w:r>
      <w:r>
        <w:rPr>
          <w:spacing w:val="20"/>
          <w:sz w:val="20"/>
        </w:rPr>
        <w:t> </w:t>
      </w:r>
      <w:r>
        <w:rPr>
          <w:sz w:val="20"/>
        </w:rPr>
        <w:t>the</w:t>
      </w:r>
      <w:r>
        <w:rPr>
          <w:spacing w:val="21"/>
          <w:sz w:val="20"/>
        </w:rPr>
        <w:t> </w:t>
      </w:r>
      <w:r>
        <w:rPr>
          <w:sz w:val="20"/>
        </w:rPr>
        <w:t>direct</w:t>
      </w:r>
      <w:r>
        <w:rPr>
          <w:spacing w:val="20"/>
          <w:sz w:val="20"/>
        </w:rPr>
        <w:t> </w:t>
      </w:r>
      <w:r>
        <w:rPr>
          <w:sz w:val="20"/>
        </w:rPr>
        <w:t>purchaser)</w:t>
      </w:r>
      <w:r>
        <w:rPr>
          <w:spacing w:val="21"/>
          <w:sz w:val="20"/>
        </w:rPr>
        <w:t> </w:t>
      </w:r>
      <w:r>
        <w:rPr>
          <w:sz w:val="20"/>
        </w:rPr>
        <w:t>who</w:t>
      </w:r>
      <w:r>
        <w:rPr>
          <w:spacing w:val="20"/>
          <w:sz w:val="20"/>
        </w:rPr>
        <w:t> </w:t>
      </w:r>
      <w:r>
        <w:rPr>
          <w:sz w:val="20"/>
        </w:rPr>
        <w:t>acquires</w:t>
      </w:r>
      <w:r>
        <w:rPr>
          <w:spacing w:val="18"/>
          <w:sz w:val="20"/>
        </w:rPr>
        <w:t> </w:t>
      </w:r>
      <w:r>
        <w:rPr>
          <w:sz w:val="20"/>
        </w:rPr>
        <w:t>a</w:t>
      </w:r>
      <w:r>
        <w:rPr>
          <w:spacing w:val="20"/>
          <w:sz w:val="20"/>
        </w:rPr>
        <w:t> </w:t>
      </w:r>
      <w:r>
        <w:rPr>
          <w:sz w:val="20"/>
        </w:rPr>
        <w:t>good</w:t>
      </w:r>
      <w:r>
        <w:rPr>
          <w:spacing w:val="19"/>
          <w:sz w:val="20"/>
        </w:rPr>
        <w:t> </w:t>
      </w:r>
      <w:r>
        <w:rPr>
          <w:sz w:val="20"/>
        </w:rPr>
        <w:t>or</w:t>
      </w:r>
    </w:p>
    <w:p>
      <w:pPr>
        <w:pStyle w:val="BodyText"/>
        <w:spacing w:before="30"/>
        <w:ind w:left="1402"/>
        <w:jc w:val="both"/>
      </w:pPr>
      <w:r>
        <w:rPr/>
        <w:t>service for personal purposes, rather than for commercial or professional purposes.</w:t>
      </w:r>
    </w:p>
    <w:p>
      <w:pPr>
        <w:pStyle w:val="ListParagraph"/>
        <w:numPr>
          <w:ilvl w:val="1"/>
          <w:numId w:val="4"/>
        </w:numPr>
        <w:tabs>
          <w:tab w:pos="1403" w:val="left" w:leader="none"/>
        </w:tabs>
        <w:spacing w:line="271" w:lineRule="auto" w:before="76" w:after="0"/>
        <w:ind w:left="1402" w:right="487" w:hanging="339"/>
        <w:jc w:val="both"/>
        <w:rPr>
          <w:sz w:val="20"/>
        </w:rPr>
      </w:pPr>
      <w:r>
        <w:rPr>
          <w:sz w:val="20"/>
        </w:rPr>
        <w:t>“A good or service is “of a type commonly” sold to consumers if the nature of the good or service is</w:t>
      </w:r>
      <w:r>
        <w:rPr>
          <w:spacing w:val="-17"/>
          <w:sz w:val="20"/>
        </w:rPr>
        <w:t> </w:t>
      </w:r>
      <w:r>
        <w:rPr>
          <w:sz w:val="20"/>
        </w:rPr>
        <w:t>such</w:t>
      </w:r>
      <w:r>
        <w:rPr>
          <w:spacing w:val="-19"/>
          <w:sz w:val="20"/>
        </w:rPr>
        <w:t> </w:t>
      </w:r>
      <w:r>
        <w:rPr>
          <w:sz w:val="20"/>
        </w:rPr>
        <w:t>that</w:t>
      </w:r>
      <w:r>
        <w:rPr>
          <w:spacing w:val="-16"/>
          <w:sz w:val="20"/>
        </w:rPr>
        <w:t> </w:t>
      </w:r>
      <w:r>
        <w:rPr>
          <w:sz w:val="20"/>
        </w:rPr>
        <w:t>it</w:t>
      </w:r>
      <w:r>
        <w:rPr>
          <w:spacing w:val="-15"/>
          <w:sz w:val="20"/>
        </w:rPr>
        <w:t> </w:t>
      </w:r>
      <w:r>
        <w:rPr>
          <w:sz w:val="20"/>
        </w:rPr>
        <w:t>is</w:t>
      </w:r>
      <w:r>
        <w:rPr>
          <w:spacing w:val="-15"/>
          <w:sz w:val="20"/>
        </w:rPr>
        <w:t> </w:t>
      </w:r>
      <w:r>
        <w:rPr>
          <w:sz w:val="20"/>
        </w:rPr>
        <w:t>designed</w:t>
      </w:r>
      <w:r>
        <w:rPr>
          <w:spacing w:val="-17"/>
          <w:sz w:val="20"/>
        </w:rPr>
        <w:t> </w:t>
      </w:r>
      <w:r>
        <w:rPr>
          <w:sz w:val="20"/>
        </w:rPr>
        <w:t>primarily</w:t>
      </w:r>
      <w:r>
        <w:rPr>
          <w:spacing w:val="-21"/>
          <w:sz w:val="20"/>
        </w:rPr>
        <w:t> </w:t>
      </w:r>
      <w:r>
        <w:rPr>
          <w:sz w:val="20"/>
        </w:rPr>
        <w:t>for</w:t>
      </w:r>
      <w:r>
        <w:rPr>
          <w:spacing w:val="-14"/>
          <w:sz w:val="20"/>
        </w:rPr>
        <w:t> </w:t>
      </w:r>
      <w:r>
        <w:rPr>
          <w:sz w:val="20"/>
        </w:rPr>
        <w:t>sale</w:t>
      </w:r>
      <w:r>
        <w:rPr>
          <w:spacing w:val="-16"/>
          <w:sz w:val="20"/>
        </w:rPr>
        <w:t> </w:t>
      </w:r>
      <w:r>
        <w:rPr>
          <w:sz w:val="20"/>
        </w:rPr>
        <w:t>to</w:t>
      </w:r>
      <w:r>
        <w:rPr>
          <w:spacing w:val="-16"/>
          <w:sz w:val="20"/>
        </w:rPr>
        <w:t> </w:t>
      </w:r>
      <w:r>
        <w:rPr>
          <w:sz w:val="20"/>
        </w:rPr>
        <w:t>consumers.</w:t>
      </w:r>
      <w:r>
        <w:rPr>
          <w:spacing w:val="-18"/>
          <w:sz w:val="20"/>
        </w:rPr>
        <w:t> </w:t>
      </w:r>
      <w:r>
        <w:rPr>
          <w:sz w:val="20"/>
        </w:rPr>
        <w:t>This</w:t>
      </w:r>
      <w:r>
        <w:rPr>
          <w:spacing w:val="-16"/>
          <w:sz w:val="20"/>
        </w:rPr>
        <w:t> </w:t>
      </w:r>
      <w:r>
        <w:rPr>
          <w:sz w:val="20"/>
        </w:rPr>
        <w:t>presupposes</w:t>
      </w:r>
      <w:r>
        <w:rPr>
          <w:spacing w:val="-18"/>
          <w:sz w:val="20"/>
        </w:rPr>
        <w:t> </w:t>
      </w:r>
      <w:r>
        <w:rPr>
          <w:sz w:val="20"/>
        </w:rPr>
        <w:t>that</w:t>
      </w:r>
      <w:r>
        <w:rPr>
          <w:spacing w:val="-16"/>
          <w:sz w:val="20"/>
        </w:rPr>
        <w:t> </w:t>
      </w:r>
      <w:r>
        <w:rPr>
          <w:sz w:val="20"/>
        </w:rPr>
        <w:t>the</w:t>
      </w:r>
      <w:r>
        <w:rPr>
          <w:spacing w:val="-16"/>
          <w:sz w:val="20"/>
        </w:rPr>
        <w:t> </w:t>
      </w:r>
      <w:r>
        <w:rPr>
          <w:sz w:val="20"/>
        </w:rPr>
        <w:t>good</w:t>
      </w:r>
      <w:r>
        <w:rPr>
          <w:spacing w:val="-16"/>
          <w:sz w:val="20"/>
        </w:rPr>
        <w:t> </w:t>
      </w:r>
      <w:r>
        <w:rPr>
          <w:sz w:val="20"/>
        </w:rPr>
        <w:t>or</w:t>
      </w:r>
      <w:r>
        <w:rPr>
          <w:spacing w:val="-15"/>
          <w:sz w:val="20"/>
        </w:rPr>
        <w:t> </w:t>
      </w:r>
      <w:r>
        <w:rPr>
          <w:sz w:val="20"/>
        </w:rPr>
        <w:t>service is made available in ways capable of being for personal consumption (such as in portions, in sufficiently finished or usable form, or at purchase points accessible by an individual, as opposed to bulk or raw material accessible to wholesale traders or other businesses only). To be designed primarily for sale to consumers means that the MNE developed the goods or services to be regularly, repeatedly, or ordinarily supplied to consumers (whether directly or indirectly), such as by engaging in consumer market research, marketing and promoting it to consumers, using consumer / user data, or providing consumer feedback or support services (irrespective of the location</w:t>
      </w:r>
      <w:r>
        <w:rPr>
          <w:spacing w:val="-5"/>
          <w:sz w:val="20"/>
        </w:rPr>
        <w:t> </w:t>
      </w:r>
      <w:r>
        <w:rPr>
          <w:sz w:val="20"/>
        </w:rPr>
        <w:t>in</w:t>
      </w:r>
      <w:r>
        <w:rPr>
          <w:spacing w:val="-3"/>
          <w:sz w:val="20"/>
        </w:rPr>
        <w:t> </w:t>
      </w:r>
      <w:r>
        <w:rPr>
          <w:sz w:val="20"/>
        </w:rPr>
        <w:t>which</w:t>
      </w:r>
      <w:r>
        <w:rPr>
          <w:spacing w:val="-5"/>
          <w:sz w:val="20"/>
        </w:rPr>
        <w:t> </w:t>
      </w:r>
      <w:r>
        <w:rPr>
          <w:sz w:val="20"/>
        </w:rPr>
        <w:t>such</w:t>
      </w:r>
      <w:r>
        <w:rPr>
          <w:spacing w:val="-5"/>
          <w:sz w:val="20"/>
        </w:rPr>
        <w:t> </w:t>
      </w:r>
      <w:r>
        <w:rPr>
          <w:sz w:val="20"/>
        </w:rPr>
        <w:t>activities</w:t>
      </w:r>
      <w:r>
        <w:rPr>
          <w:spacing w:val="-5"/>
          <w:sz w:val="20"/>
        </w:rPr>
        <w:t> </w:t>
      </w:r>
      <w:r>
        <w:rPr>
          <w:sz w:val="20"/>
        </w:rPr>
        <w:t>take</w:t>
      </w:r>
      <w:r>
        <w:rPr>
          <w:spacing w:val="-5"/>
          <w:sz w:val="20"/>
        </w:rPr>
        <w:t> </w:t>
      </w:r>
      <w:r>
        <w:rPr>
          <w:sz w:val="20"/>
        </w:rPr>
        <w:t>place).</w:t>
      </w:r>
      <w:r>
        <w:rPr>
          <w:spacing w:val="-5"/>
          <w:sz w:val="20"/>
        </w:rPr>
        <w:t> </w:t>
      </w:r>
      <w:r>
        <w:rPr>
          <w:sz w:val="20"/>
        </w:rPr>
        <w:t>Conversely,</w:t>
      </w:r>
      <w:r>
        <w:rPr>
          <w:spacing w:val="-5"/>
          <w:sz w:val="20"/>
        </w:rPr>
        <w:t> </w:t>
      </w:r>
      <w:r>
        <w:rPr>
          <w:sz w:val="20"/>
        </w:rPr>
        <w:t>an</w:t>
      </w:r>
      <w:r>
        <w:rPr>
          <w:spacing w:val="-6"/>
          <w:sz w:val="20"/>
        </w:rPr>
        <w:t> </w:t>
      </w:r>
      <w:r>
        <w:rPr>
          <w:sz w:val="20"/>
        </w:rPr>
        <w:t>unusual</w:t>
      </w:r>
      <w:r>
        <w:rPr>
          <w:spacing w:val="-6"/>
          <w:sz w:val="20"/>
        </w:rPr>
        <w:t> </w:t>
      </w:r>
      <w:r>
        <w:rPr>
          <w:sz w:val="20"/>
        </w:rPr>
        <w:t>or</w:t>
      </w:r>
      <w:r>
        <w:rPr>
          <w:spacing w:val="-5"/>
          <w:sz w:val="20"/>
        </w:rPr>
        <w:t> </w:t>
      </w:r>
      <w:r>
        <w:rPr>
          <w:sz w:val="20"/>
        </w:rPr>
        <w:t>infrequent</w:t>
      </w:r>
      <w:r>
        <w:rPr>
          <w:spacing w:val="-5"/>
          <w:sz w:val="20"/>
        </w:rPr>
        <w:t> </w:t>
      </w:r>
      <w:r>
        <w:rPr>
          <w:sz w:val="20"/>
        </w:rPr>
        <w:t>transaction</w:t>
      </w:r>
      <w:r>
        <w:rPr>
          <w:spacing w:val="-3"/>
          <w:sz w:val="20"/>
        </w:rPr>
        <w:t> </w:t>
      </w:r>
      <w:r>
        <w:rPr>
          <w:sz w:val="20"/>
        </w:rPr>
        <w:t>with a consumer does not affect the characterisation of the goods or</w:t>
      </w:r>
      <w:r>
        <w:rPr>
          <w:spacing w:val="-10"/>
          <w:sz w:val="20"/>
        </w:rPr>
        <w:t> </w:t>
      </w:r>
      <w:r>
        <w:rPr>
          <w:sz w:val="20"/>
        </w:rPr>
        <w:t>service.</w:t>
      </w:r>
    </w:p>
    <w:p>
      <w:pPr>
        <w:pStyle w:val="ListParagraph"/>
        <w:numPr>
          <w:ilvl w:val="1"/>
          <w:numId w:val="4"/>
        </w:numPr>
        <w:tabs>
          <w:tab w:pos="1403" w:val="left" w:leader="none"/>
        </w:tabs>
        <w:spacing w:line="271" w:lineRule="auto" w:before="45" w:after="0"/>
        <w:ind w:left="1402" w:right="479" w:hanging="339"/>
        <w:jc w:val="both"/>
        <w:rPr>
          <w:sz w:val="20"/>
        </w:rPr>
      </w:pPr>
      <w:r>
        <w:rPr>
          <w:sz w:val="20"/>
        </w:rPr>
        <w:t>“Sold</w:t>
      </w:r>
      <w:r>
        <w:rPr>
          <w:spacing w:val="-8"/>
          <w:sz w:val="20"/>
        </w:rPr>
        <w:t> </w:t>
      </w:r>
      <w:r>
        <w:rPr>
          <w:sz w:val="20"/>
        </w:rPr>
        <w:t>to”</w:t>
      </w:r>
      <w:r>
        <w:rPr>
          <w:spacing w:val="-6"/>
          <w:sz w:val="20"/>
        </w:rPr>
        <w:t> </w:t>
      </w:r>
      <w:r>
        <w:rPr>
          <w:sz w:val="20"/>
        </w:rPr>
        <w:t>includes</w:t>
      </w:r>
      <w:r>
        <w:rPr>
          <w:spacing w:val="-7"/>
          <w:sz w:val="20"/>
        </w:rPr>
        <w:t> </w:t>
      </w:r>
      <w:r>
        <w:rPr>
          <w:sz w:val="20"/>
        </w:rPr>
        <w:t>sale,</w:t>
      </w:r>
      <w:r>
        <w:rPr>
          <w:spacing w:val="-7"/>
          <w:sz w:val="20"/>
        </w:rPr>
        <w:t> </w:t>
      </w:r>
      <w:r>
        <w:rPr>
          <w:sz w:val="20"/>
        </w:rPr>
        <w:t>lease,</w:t>
      </w:r>
      <w:r>
        <w:rPr>
          <w:spacing w:val="-7"/>
          <w:sz w:val="20"/>
        </w:rPr>
        <w:t> </w:t>
      </w:r>
      <w:r>
        <w:rPr>
          <w:sz w:val="20"/>
        </w:rPr>
        <w:t>license,</w:t>
      </w:r>
      <w:r>
        <w:rPr>
          <w:spacing w:val="-7"/>
          <w:sz w:val="20"/>
        </w:rPr>
        <w:t> </w:t>
      </w:r>
      <w:r>
        <w:rPr>
          <w:sz w:val="20"/>
        </w:rPr>
        <w:t>rent</w:t>
      </w:r>
      <w:r>
        <w:rPr>
          <w:spacing w:val="-7"/>
          <w:sz w:val="20"/>
        </w:rPr>
        <w:t> </w:t>
      </w:r>
      <w:r>
        <w:rPr>
          <w:sz w:val="20"/>
        </w:rPr>
        <w:t>or</w:t>
      </w:r>
      <w:r>
        <w:rPr>
          <w:spacing w:val="-6"/>
          <w:sz w:val="20"/>
        </w:rPr>
        <w:t> </w:t>
      </w:r>
      <w:r>
        <w:rPr>
          <w:sz w:val="20"/>
        </w:rPr>
        <w:t>delivery,</w:t>
      </w:r>
      <w:r>
        <w:rPr>
          <w:spacing w:val="-5"/>
          <w:sz w:val="20"/>
        </w:rPr>
        <w:t> </w:t>
      </w:r>
      <w:r>
        <w:rPr>
          <w:sz w:val="20"/>
        </w:rPr>
        <w:t>whether</w:t>
      </w:r>
      <w:r>
        <w:rPr>
          <w:spacing w:val="-6"/>
          <w:sz w:val="20"/>
        </w:rPr>
        <w:t> </w:t>
      </w:r>
      <w:r>
        <w:rPr>
          <w:sz w:val="20"/>
        </w:rPr>
        <w:t>directly</w:t>
      </w:r>
      <w:r>
        <w:rPr>
          <w:spacing w:val="-10"/>
          <w:sz w:val="20"/>
        </w:rPr>
        <w:t> </w:t>
      </w:r>
      <w:r>
        <w:rPr>
          <w:sz w:val="20"/>
        </w:rPr>
        <w:t>or</w:t>
      </w:r>
      <w:r>
        <w:rPr>
          <w:spacing w:val="-7"/>
          <w:sz w:val="20"/>
        </w:rPr>
        <w:t> </w:t>
      </w:r>
      <w:r>
        <w:rPr>
          <w:sz w:val="20"/>
        </w:rPr>
        <w:t>indirectly</w:t>
      </w:r>
      <w:r>
        <w:rPr>
          <w:spacing w:val="-10"/>
          <w:sz w:val="20"/>
        </w:rPr>
        <w:t> </w:t>
      </w:r>
      <w:r>
        <w:rPr>
          <w:sz w:val="20"/>
        </w:rPr>
        <w:t>(e.g.</w:t>
      </w:r>
      <w:r>
        <w:rPr>
          <w:spacing w:val="-7"/>
          <w:sz w:val="20"/>
        </w:rPr>
        <w:t> </w:t>
      </w:r>
      <w:r>
        <w:rPr>
          <w:sz w:val="20"/>
        </w:rPr>
        <w:t>through</w:t>
      </w:r>
      <w:r>
        <w:rPr>
          <w:spacing w:val="-7"/>
          <w:sz w:val="20"/>
        </w:rPr>
        <w:t> </w:t>
      </w:r>
      <w:r>
        <w:rPr>
          <w:sz w:val="20"/>
        </w:rPr>
        <w:t>a broker, agent, intermediary or representative). This means that the product or service may still be a</w:t>
      </w:r>
      <w:r>
        <w:rPr>
          <w:spacing w:val="-11"/>
          <w:sz w:val="20"/>
        </w:rPr>
        <w:t> </w:t>
      </w:r>
      <w:r>
        <w:rPr>
          <w:sz w:val="20"/>
        </w:rPr>
        <w:t>consumer</w:t>
      </w:r>
      <w:r>
        <w:rPr>
          <w:spacing w:val="-10"/>
          <w:sz w:val="20"/>
        </w:rPr>
        <w:t> </w:t>
      </w:r>
      <w:r>
        <w:rPr>
          <w:sz w:val="20"/>
        </w:rPr>
        <w:t>good</w:t>
      </w:r>
      <w:r>
        <w:rPr>
          <w:spacing w:val="-9"/>
          <w:sz w:val="20"/>
        </w:rPr>
        <w:t> </w:t>
      </w:r>
      <w:r>
        <w:rPr>
          <w:sz w:val="20"/>
        </w:rPr>
        <w:t>or</w:t>
      </w:r>
      <w:r>
        <w:rPr>
          <w:spacing w:val="-10"/>
          <w:sz w:val="20"/>
        </w:rPr>
        <w:t> </w:t>
      </w:r>
      <w:r>
        <w:rPr>
          <w:sz w:val="20"/>
        </w:rPr>
        <w:t>service</w:t>
      </w:r>
      <w:r>
        <w:rPr>
          <w:spacing w:val="-8"/>
          <w:sz w:val="20"/>
        </w:rPr>
        <w:t> </w:t>
      </w:r>
      <w:r>
        <w:rPr>
          <w:sz w:val="20"/>
        </w:rPr>
        <w:t>even</w:t>
      </w:r>
      <w:r>
        <w:rPr>
          <w:spacing w:val="-6"/>
          <w:sz w:val="20"/>
        </w:rPr>
        <w:t> </w:t>
      </w:r>
      <w:r>
        <w:rPr>
          <w:sz w:val="20"/>
        </w:rPr>
        <w:t>if</w:t>
      </w:r>
      <w:r>
        <w:rPr>
          <w:spacing w:val="-8"/>
          <w:sz w:val="20"/>
        </w:rPr>
        <w:t> </w:t>
      </w:r>
      <w:r>
        <w:rPr>
          <w:sz w:val="20"/>
        </w:rPr>
        <w:t>the</w:t>
      </w:r>
      <w:r>
        <w:rPr>
          <w:spacing w:val="-9"/>
          <w:sz w:val="20"/>
        </w:rPr>
        <w:t> </w:t>
      </w:r>
      <w:r>
        <w:rPr>
          <w:sz w:val="20"/>
        </w:rPr>
        <w:t>contracting</w:t>
      </w:r>
      <w:r>
        <w:rPr>
          <w:spacing w:val="-9"/>
          <w:sz w:val="20"/>
        </w:rPr>
        <w:t> </w:t>
      </w:r>
      <w:r>
        <w:rPr>
          <w:sz w:val="20"/>
        </w:rPr>
        <w:t>party</w:t>
      </w:r>
      <w:r>
        <w:rPr>
          <w:spacing w:val="-11"/>
          <w:sz w:val="20"/>
        </w:rPr>
        <w:t> </w:t>
      </w:r>
      <w:r>
        <w:rPr>
          <w:sz w:val="20"/>
        </w:rPr>
        <w:t>to</w:t>
      </w:r>
      <w:r>
        <w:rPr>
          <w:spacing w:val="-8"/>
          <w:sz w:val="20"/>
        </w:rPr>
        <w:t> </w:t>
      </w:r>
      <w:r>
        <w:rPr>
          <w:sz w:val="20"/>
        </w:rPr>
        <w:t>the</w:t>
      </w:r>
      <w:r>
        <w:rPr>
          <w:spacing w:val="-9"/>
          <w:sz w:val="20"/>
        </w:rPr>
        <w:t> </w:t>
      </w:r>
      <w:r>
        <w:rPr>
          <w:sz w:val="20"/>
        </w:rPr>
        <w:t>sale</w:t>
      </w:r>
      <w:r>
        <w:rPr>
          <w:spacing w:val="-8"/>
          <w:sz w:val="20"/>
        </w:rPr>
        <w:t> </w:t>
      </w:r>
      <w:r>
        <w:rPr>
          <w:sz w:val="20"/>
        </w:rPr>
        <w:t>is</w:t>
      </w:r>
      <w:r>
        <w:rPr>
          <w:spacing w:val="-7"/>
          <w:sz w:val="20"/>
        </w:rPr>
        <w:t> </w:t>
      </w:r>
      <w:r>
        <w:rPr>
          <w:sz w:val="20"/>
        </w:rPr>
        <w:t>not</w:t>
      </w:r>
      <w:r>
        <w:rPr>
          <w:spacing w:val="-8"/>
          <w:sz w:val="20"/>
        </w:rPr>
        <w:t> </w:t>
      </w:r>
      <w:r>
        <w:rPr>
          <w:spacing w:val="2"/>
          <w:sz w:val="20"/>
        </w:rPr>
        <w:t>the</w:t>
      </w:r>
      <w:r>
        <w:rPr>
          <w:spacing w:val="-11"/>
          <w:sz w:val="20"/>
        </w:rPr>
        <w:t> </w:t>
      </w:r>
      <w:r>
        <w:rPr>
          <w:sz w:val="20"/>
        </w:rPr>
        <w:t>final</w:t>
      </w:r>
      <w:r>
        <w:rPr>
          <w:spacing w:val="-7"/>
          <w:sz w:val="20"/>
        </w:rPr>
        <w:t> </w:t>
      </w:r>
      <w:r>
        <w:rPr>
          <w:sz w:val="20"/>
        </w:rPr>
        <w:t>consumer</w:t>
      </w:r>
      <w:r>
        <w:rPr>
          <w:spacing w:val="-10"/>
          <w:sz w:val="20"/>
        </w:rPr>
        <w:t> </w:t>
      </w:r>
      <w:r>
        <w:rPr>
          <w:sz w:val="20"/>
        </w:rPr>
        <w:t>(such as a sale via a third party distributor, or where a franchisor has created a product but the sale is contracted by the franchisee). It also covers cases where the nature of the product is such that to be</w:t>
      </w:r>
      <w:r>
        <w:rPr>
          <w:spacing w:val="-17"/>
          <w:sz w:val="20"/>
        </w:rPr>
        <w:t> </w:t>
      </w:r>
      <w:r>
        <w:rPr>
          <w:sz w:val="20"/>
        </w:rPr>
        <w:t>exploited</w:t>
      </w:r>
      <w:r>
        <w:rPr>
          <w:spacing w:val="-14"/>
          <w:sz w:val="20"/>
        </w:rPr>
        <w:t> </w:t>
      </w:r>
      <w:r>
        <w:rPr>
          <w:sz w:val="20"/>
        </w:rPr>
        <w:t>it</w:t>
      </w:r>
      <w:r>
        <w:rPr>
          <w:spacing w:val="-15"/>
          <w:sz w:val="20"/>
        </w:rPr>
        <w:t> </w:t>
      </w:r>
      <w:r>
        <w:rPr>
          <w:sz w:val="20"/>
        </w:rPr>
        <w:t>is</w:t>
      </w:r>
      <w:r>
        <w:rPr>
          <w:spacing w:val="-15"/>
          <w:sz w:val="20"/>
        </w:rPr>
        <w:t> </w:t>
      </w:r>
      <w:r>
        <w:rPr>
          <w:sz w:val="20"/>
        </w:rPr>
        <w:t>licensed,</w:t>
      </w:r>
      <w:r>
        <w:rPr>
          <w:spacing w:val="-15"/>
          <w:sz w:val="20"/>
        </w:rPr>
        <w:t> </w:t>
      </w:r>
      <w:r>
        <w:rPr>
          <w:sz w:val="20"/>
        </w:rPr>
        <w:t>rather</w:t>
      </w:r>
      <w:r>
        <w:rPr>
          <w:spacing w:val="-15"/>
          <w:sz w:val="20"/>
        </w:rPr>
        <w:t> </w:t>
      </w:r>
      <w:r>
        <w:rPr>
          <w:sz w:val="20"/>
        </w:rPr>
        <w:t>than</w:t>
      </w:r>
      <w:r>
        <w:rPr>
          <w:spacing w:val="-15"/>
          <w:sz w:val="20"/>
        </w:rPr>
        <w:t> </w:t>
      </w:r>
      <w:r>
        <w:rPr>
          <w:sz w:val="20"/>
        </w:rPr>
        <w:t>sold</w:t>
      </w:r>
      <w:r>
        <w:rPr>
          <w:spacing w:val="-16"/>
          <w:sz w:val="20"/>
        </w:rPr>
        <w:t> </w:t>
      </w:r>
      <w:r>
        <w:rPr>
          <w:sz w:val="20"/>
        </w:rPr>
        <w:t>(e.g.</w:t>
      </w:r>
      <w:r>
        <w:rPr>
          <w:spacing w:val="-16"/>
          <w:sz w:val="20"/>
        </w:rPr>
        <w:t> </w:t>
      </w:r>
      <w:r>
        <w:rPr>
          <w:sz w:val="20"/>
        </w:rPr>
        <w:t>rights</w:t>
      </w:r>
      <w:r>
        <w:rPr>
          <w:spacing w:val="-15"/>
          <w:sz w:val="20"/>
        </w:rPr>
        <w:t> </w:t>
      </w:r>
      <w:r>
        <w:rPr>
          <w:sz w:val="20"/>
        </w:rPr>
        <w:t>to</w:t>
      </w:r>
      <w:r>
        <w:rPr>
          <w:spacing w:val="-14"/>
          <w:sz w:val="20"/>
        </w:rPr>
        <w:t> </w:t>
      </w:r>
      <w:r>
        <w:rPr>
          <w:sz w:val="20"/>
        </w:rPr>
        <w:t>music),</w:t>
      </w:r>
      <w:r>
        <w:rPr>
          <w:spacing w:val="-15"/>
          <w:sz w:val="20"/>
        </w:rPr>
        <w:t> </w:t>
      </w:r>
      <w:r>
        <w:rPr>
          <w:sz w:val="20"/>
        </w:rPr>
        <w:t>if</w:t>
      </w:r>
      <w:r>
        <w:rPr>
          <w:spacing w:val="-14"/>
          <w:sz w:val="20"/>
        </w:rPr>
        <w:t> </w:t>
      </w:r>
      <w:r>
        <w:rPr>
          <w:sz w:val="20"/>
        </w:rPr>
        <w:t>it</w:t>
      </w:r>
      <w:r>
        <w:rPr>
          <w:spacing w:val="-15"/>
          <w:sz w:val="20"/>
        </w:rPr>
        <w:t> </w:t>
      </w:r>
      <w:r>
        <w:rPr>
          <w:sz w:val="20"/>
        </w:rPr>
        <w:t>is</w:t>
      </w:r>
      <w:r>
        <w:rPr>
          <w:spacing w:val="-15"/>
          <w:sz w:val="20"/>
        </w:rPr>
        <w:t> </w:t>
      </w:r>
      <w:r>
        <w:rPr>
          <w:sz w:val="20"/>
        </w:rPr>
        <w:t>otherwise</w:t>
      </w:r>
      <w:r>
        <w:rPr>
          <w:spacing w:val="-12"/>
          <w:sz w:val="20"/>
        </w:rPr>
        <w:t> </w:t>
      </w:r>
      <w:r>
        <w:rPr>
          <w:sz w:val="20"/>
        </w:rPr>
        <w:t>of</w:t>
      </w:r>
      <w:r>
        <w:rPr>
          <w:spacing w:val="-13"/>
          <w:sz w:val="20"/>
        </w:rPr>
        <w:t> </w:t>
      </w:r>
      <w:r>
        <w:rPr>
          <w:sz w:val="20"/>
        </w:rPr>
        <w:t>a</w:t>
      </w:r>
      <w:r>
        <w:rPr>
          <w:spacing w:val="-14"/>
          <w:sz w:val="20"/>
        </w:rPr>
        <w:t> </w:t>
      </w:r>
      <w:r>
        <w:rPr>
          <w:sz w:val="20"/>
        </w:rPr>
        <w:t>type</w:t>
      </w:r>
      <w:r>
        <w:rPr>
          <w:spacing w:val="-16"/>
          <w:sz w:val="20"/>
        </w:rPr>
        <w:t> </w:t>
      </w:r>
      <w:r>
        <w:rPr>
          <w:sz w:val="20"/>
        </w:rPr>
        <w:t>commonly licensed to</w:t>
      </w:r>
      <w:r>
        <w:rPr>
          <w:spacing w:val="-1"/>
          <w:sz w:val="20"/>
        </w:rPr>
        <w:t> </w:t>
      </w:r>
      <w:r>
        <w:rPr>
          <w:sz w:val="20"/>
        </w:rPr>
        <w:t>consumers.</w:t>
      </w:r>
    </w:p>
    <w:p>
      <w:pPr>
        <w:pStyle w:val="ListParagraph"/>
        <w:numPr>
          <w:ilvl w:val="1"/>
          <w:numId w:val="4"/>
        </w:numPr>
        <w:tabs>
          <w:tab w:pos="1403" w:val="left" w:leader="none"/>
        </w:tabs>
        <w:spacing w:line="271" w:lineRule="auto" w:before="43" w:after="0"/>
        <w:ind w:left="1402" w:right="483" w:hanging="339"/>
        <w:jc w:val="both"/>
        <w:rPr>
          <w:sz w:val="20"/>
        </w:rPr>
      </w:pPr>
      <w:r>
        <w:rPr>
          <w:sz w:val="20"/>
        </w:rPr>
        <w:t>CFB</w:t>
      </w:r>
      <w:r>
        <w:rPr>
          <w:spacing w:val="-7"/>
          <w:sz w:val="20"/>
        </w:rPr>
        <w:t> </w:t>
      </w:r>
      <w:r>
        <w:rPr>
          <w:sz w:val="20"/>
        </w:rPr>
        <w:t>are</w:t>
      </w:r>
      <w:r>
        <w:rPr>
          <w:spacing w:val="-5"/>
          <w:sz w:val="20"/>
        </w:rPr>
        <w:t> </w:t>
      </w:r>
      <w:r>
        <w:rPr>
          <w:sz w:val="20"/>
        </w:rPr>
        <w:t>(i)</w:t>
      </w:r>
      <w:r>
        <w:rPr>
          <w:spacing w:val="-6"/>
          <w:sz w:val="20"/>
        </w:rPr>
        <w:t> </w:t>
      </w:r>
      <w:r>
        <w:rPr>
          <w:sz w:val="20"/>
        </w:rPr>
        <w:t>the</w:t>
      </w:r>
      <w:r>
        <w:rPr>
          <w:spacing w:val="-3"/>
          <w:sz w:val="20"/>
        </w:rPr>
        <w:t> </w:t>
      </w:r>
      <w:r>
        <w:rPr>
          <w:sz w:val="20"/>
        </w:rPr>
        <w:t>MNE</w:t>
      </w:r>
      <w:r>
        <w:rPr>
          <w:spacing w:val="-5"/>
          <w:sz w:val="20"/>
        </w:rPr>
        <w:t> </w:t>
      </w:r>
      <w:r>
        <w:rPr>
          <w:sz w:val="20"/>
        </w:rPr>
        <w:t>that</w:t>
      </w:r>
      <w:r>
        <w:rPr>
          <w:spacing w:val="-4"/>
          <w:sz w:val="20"/>
        </w:rPr>
        <w:t> </w:t>
      </w:r>
      <w:r>
        <w:rPr>
          <w:sz w:val="20"/>
        </w:rPr>
        <w:t>is</w:t>
      </w:r>
      <w:r>
        <w:rPr>
          <w:spacing w:val="-3"/>
          <w:sz w:val="20"/>
        </w:rPr>
        <w:t> </w:t>
      </w:r>
      <w:r>
        <w:rPr>
          <w:sz w:val="20"/>
        </w:rPr>
        <w:t>the</w:t>
      </w:r>
      <w:r>
        <w:rPr>
          <w:spacing w:val="-6"/>
          <w:sz w:val="20"/>
        </w:rPr>
        <w:t> </w:t>
      </w:r>
      <w:r>
        <w:rPr>
          <w:sz w:val="20"/>
        </w:rPr>
        <w:t>owner</w:t>
      </w:r>
      <w:r>
        <w:rPr>
          <w:spacing w:val="-6"/>
          <w:sz w:val="20"/>
        </w:rPr>
        <w:t> </w:t>
      </w:r>
      <w:r>
        <w:rPr>
          <w:sz w:val="20"/>
        </w:rPr>
        <w:t>of</w:t>
      </w:r>
      <w:r>
        <w:rPr>
          <w:spacing w:val="-4"/>
          <w:sz w:val="20"/>
        </w:rPr>
        <w:t> </w:t>
      </w:r>
      <w:r>
        <w:rPr>
          <w:sz w:val="20"/>
        </w:rPr>
        <w:t>the</w:t>
      </w:r>
      <w:r>
        <w:rPr>
          <w:spacing w:val="-7"/>
          <w:sz w:val="20"/>
        </w:rPr>
        <w:t> </w:t>
      </w:r>
      <w:r>
        <w:rPr>
          <w:sz w:val="20"/>
        </w:rPr>
        <w:t>consumer</w:t>
      </w:r>
      <w:r>
        <w:rPr>
          <w:spacing w:val="-7"/>
          <w:sz w:val="20"/>
        </w:rPr>
        <w:t> </w:t>
      </w:r>
      <w:r>
        <w:rPr>
          <w:sz w:val="20"/>
        </w:rPr>
        <w:t>product</w:t>
      </w:r>
      <w:r>
        <w:rPr>
          <w:spacing w:val="-6"/>
          <w:sz w:val="20"/>
        </w:rPr>
        <w:t> </w:t>
      </w:r>
      <w:r>
        <w:rPr>
          <w:sz w:val="20"/>
        </w:rPr>
        <w:t>/</w:t>
      </w:r>
      <w:r>
        <w:rPr>
          <w:spacing w:val="-5"/>
          <w:sz w:val="20"/>
        </w:rPr>
        <w:t> </w:t>
      </w:r>
      <w:r>
        <w:rPr>
          <w:sz w:val="20"/>
        </w:rPr>
        <w:t>service</w:t>
      </w:r>
      <w:r>
        <w:rPr>
          <w:spacing w:val="-4"/>
          <w:sz w:val="20"/>
        </w:rPr>
        <w:t> </w:t>
      </w:r>
      <w:r>
        <w:rPr>
          <w:sz w:val="20"/>
        </w:rPr>
        <w:t>and</w:t>
      </w:r>
      <w:r>
        <w:rPr>
          <w:spacing w:val="-4"/>
          <w:sz w:val="20"/>
        </w:rPr>
        <w:t> </w:t>
      </w:r>
      <w:r>
        <w:rPr>
          <w:sz w:val="20"/>
        </w:rPr>
        <w:t>holder</w:t>
      </w:r>
      <w:r>
        <w:rPr>
          <w:spacing w:val="-6"/>
          <w:sz w:val="20"/>
        </w:rPr>
        <w:t> </w:t>
      </w:r>
      <w:r>
        <w:rPr>
          <w:sz w:val="20"/>
        </w:rPr>
        <w:t>of</w:t>
      </w:r>
      <w:r>
        <w:rPr>
          <w:spacing w:val="-4"/>
          <w:sz w:val="20"/>
        </w:rPr>
        <w:t> </w:t>
      </w:r>
      <w:r>
        <w:rPr>
          <w:sz w:val="20"/>
        </w:rPr>
        <w:t>the</w:t>
      </w:r>
      <w:r>
        <w:rPr>
          <w:spacing w:val="-6"/>
          <w:sz w:val="20"/>
        </w:rPr>
        <w:t> </w:t>
      </w:r>
      <w:r>
        <w:rPr>
          <w:sz w:val="20"/>
        </w:rPr>
        <w:t>rights</w:t>
      </w:r>
      <w:r>
        <w:rPr>
          <w:spacing w:val="-5"/>
          <w:sz w:val="20"/>
        </w:rPr>
        <w:t> </w:t>
      </w:r>
      <w:r>
        <w:rPr>
          <w:sz w:val="20"/>
        </w:rPr>
        <w:t>to the connected intangible property (including franchisors and licensors), i.e. the MNE whose “face” is</w:t>
      </w:r>
      <w:r>
        <w:rPr>
          <w:spacing w:val="-8"/>
          <w:sz w:val="20"/>
        </w:rPr>
        <w:t> </w:t>
      </w:r>
      <w:r>
        <w:rPr>
          <w:sz w:val="20"/>
        </w:rPr>
        <w:t>apparent</w:t>
      </w:r>
      <w:r>
        <w:rPr>
          <w:spacing w:val="-9"/>
          <w:sz w:val="20"/>
        </w:rPr>
        <w:t> </w:t>
      </w:r>
      <w:r>
        <w:rPr>
          <w:sz w:val="20"/>
        </w:rPr>
        <w:t>to</w:t>
      </w:r>
      <w:r>
        <w:rPr>
          <w:spacing w:val="-9"/>
          <w:sz w:val="20"/>
        </w:rPr>
        <w:t> </w:t>
      </w:r>
      <w:r>
        <w:rPr>
          <w:sz w:val="20"/>
        </w:rPr>
        <w:t>the</w:t>
      </w:r>
      <w:r>
        <w:rPr>
          <w:spacing w:val="-8"/>
          <w:sz w:val="20"/>
        </w:rPr>
        <w:t> </w:t>
      </w:r>
      <w:r>
        <w:rPr>
          <w:sz w:val="20"/>
        </w:rPr>
        <w:t>consumer;</w:t>
      </w:r>
      <w:r>
        <w:rPr>
          <w:spacing w:val="-9"/>
          <w:sz w:val="20"/>
        </w:rPr>
        <w:t> </w:t>
      </w:r>
      <w:r>
        <w:rPr>
          <w:sz w:val="20"/>
        </w:rPr>
        <w:t>and</w:t>
      </w:r>
      <w:r>
        <w:rPr>
          <w:spacing w:val="-9"/>
          <w:sz w:val="20"/>
        </w:rPr>
        <w:t> </w:t>
      </w:r>
      <w:r>
        <w:rPr>
          <w:sz w:val="20"/>
        </w:rPr>
        <w:t>(ii)</w:t>
      </w:r>
      <w:r>
        <w:rPr>
          <w:spacing w:val="-7"/>
          <w:sz w:val="20"/>
        </w:rPr>
        <w:t> </w:t>
      </w:r>
      <w:r>
        <w:rPr>
          <w:sz w:val="20"/>
        </w:rPr>
        <w:t>the</w:t>
      </w:r>
      <w:r>
        <w:rPr>
          <w:spacing w:val="-9"/>
          <w:sz w:val="20"/>
        </w:rPr>
        <w:t> </w:t>
      </w:r>
      <w:r>
        <w:rPr>
          <w:sz w:val="20"/>
        </w:rPr>
        <w:t>MNE</w:t>
      </w:r>
      <w:r>
        <w:rPr>
          <w:spacing w:val="-9"/>
          <w:sz w:val="20"/>
        </w:rPr>
        <w:t> </w:t>
      </w:r>
      <w:r>
        <w:rPr>
          <w:sz w:val="20"/>
        </w:rPr>
        <w:t>that</w:t>
      </w:r>
      <w:r>
        <w:rPr>
          <w:spacing w:val="-6"/>
          <w:sz w:val="20"/>
        </w:rPr>
        <w:t> </w:t>
      </w:r>
      <w:r>
        <w:rPr>
          <w:sz w:val="20"/>
        </w:rPr>
        <w:t>is</w:t>
      </w:r>
      <w:r>
        <w:rPr>
          <w:spacing w:val="-7"/>
          <w:sz w:val="20"/>
        </w:rPr>
        <w:t> </w:t>
      </w:r>
      <w:r>
        <w:rPr>
          <w:sz w:val="20"/>
        </w:rPr>
        <w:t>the</w:t>
      </w:r>
      <w:r>
        <w:rPr>
          <w:spacing w:val="-9"/>
          <w:sz w:val="20"/>
        </w:rPr>
        <w:t> </w:t>
      </w:r>
      <w:r>
        <w:rPr>
          <w:sz w:val="20"/>
        </w:rPr>
        <w:t>“retailer”</w:t>
      </w:r>
      <w:r>
        <w:rPr>
          <w:spacing w:val="-7"/>
          <w:sz w:val="20"/>
        </w:rPr>
        <w:t> </w:t>
      </w:r>
      <w:r>
        <w:rPr>
          <w:sz w:val="20"/>
        </w:rPr>
        <w:t>or</w:t>
      </w:r>
      <w:r>
        <w:rPr>
          <w:spacing w:val="-7"/>
          <w:sz w:val="20"/>
        </w:rPr>
        <w:t> </w:t>
      </w:r>
      <w:r>
        <w:rPr>
          <w:sz w:val="20"/>
        </w:rPr>
        <w:t>other</w:t>
      </w:r>
      <w:r>
        <w:rPr>
          <w:spacing w:val="-8"/>
          <w:sz w:val="20"/>
        </w:rPr>
        <w:t> </w:t>
      </w:r>
      <w:r>
        <w:rPr>
          <w:sz w:val="20"/>
        </w:rPr>
        <w:t>contractual</w:t>
      </w:r>
      <w:r>
        <w:rPr>
          <w:spacing w:val="-10"/>
          <w:sz w:val="20"/>
        </w:rPr>
        <w:t> </w:t>
      </w:r>
      <w:r>
        <w:rPr>
          <w:sz w:val="20"/>
        </w:rPr>
        <w:t>counterparty of the consumer (if separate from the “owner”), as they have a direct relationship to the consumer (and including franchisees and licensees that sell the consumer product directly). It does not include other third party MNEs, such as manufacturers, wholesalers and distributors, which have no relationship with the customer – whether contractual or</w:t>
      </w:r>
      <w:r>
        <w:rPr>
          <w:spacing w:val="-8"/>
          <w:sz w:val="20"/>
        </w:rPr>
        <w:t> </w:t>
      </w:r>
      <w:r>
        <w:rPr>
          <w:sz w:val="20"/>
        </w:rPr>
        <w:t>otherwise.</w:t>
      </w:r>
    </w:p>
    <w:p>
      <w:pPr>
        <w:pStyle w:val="ListParagraph"/>
        <w:numPr>
          <w:ilvl w:val="0"/>
          <w:numId w:val="4"/>
        </w:numPr>
        <w:tabs>
          <w:tab w:pos="1444" w:val="left" w:leader="none"/>
        </w:tabs>
        <w:spacing w:line="271" w:lineRule="auto" w:before="125" w:after="0"/>
        <w:ind w:left="723" w:right="482" w:firstLine="0"/>
        <w:jc w:val="both"/>
        <w:rPr>
          <w:sz w:val="20"/>
        </w:rPr>
      </w:pPr>
      <w:r>
        <w:rPr>
          <w:sz w:val="20"/>
        </w:rPr>
        <w:t>Guidance has also been developed to clarify the possibilities for applying the definition to the pharmaceutical sector; to show how this concept applies to capture certain in-scope intermediaries, franchising and licensing; to provide guidance on certain products that could be characterised as both for consumers</w:t>
      </w:r>
      <w:r>
        <w:rPr>
          <w:spacing w:val="-13"/>
          <w:sz w:val="20"/>
        </w:rPr>
        <w:t> </w:t>
      </w:r>
      <w:r>
        <w:rPr>
          <w:sz w:val="20"/>
        </w:rPr>
        <w:t>and</w:t>
      </w:r>
      <w:r>
        <w:rPr>
          <w:spacing w:val="-14"/>
          <w:sz w:val="20"/>
        </w:rPr>
        <w:t> </w:t>
      </w:r>
      <w:r>
        <w:rPr>
          <w:sz w:val="20"/>
        </w:rPr>
        <w:t>businesses</w:t>
      </w:r>
      <w:r>
        <w:rPr>
          <w:spacing w:val="-13"/>
          <w:sz w:val="20"/>
        </w:rPr>
        <w:t> </w:t>
      </w:r>
      <w:r>
        <w:rPr>
          <w:sz w:val="20"/>
        </w:rPr>
        <w:t>(“dual</w:t>
      </w:r>
      <w:r>
        <w:rPr>
          <w:spacing w:val="-15"/>
          <w:sz w:val="20"/>
        </w:rPr>
        <w:t> </w:t>
      </w:r>
      <w:r>
        <w:rPr>
          <w:sz w:val="20"/>
        </w:rPr>
        <w:t>category”);</w:t>
      </w:r>
      <w:r>
        <w:rPr>
          <w:spacing w:val="-14"/>
          <w:sz w:val="20"/>
        </w:rPr>
        <w:t> </w:t>
      </w:r>
      <w:r>
        <w:rPr>
          <w:sz w:val="20"/>
        </w:rPr>
        <w:t>and</w:t>
      </w:r>
      <w:r>
        <w:rPr>
          <w:spacing w:val="-14"/>
          <w:sz w:val="20"/>
        </w:rPr>
        <w:t> </w:t>
      </w:r>
      <w:r>
        <w:rPr>
          <w:sz w:val="20"/>
        </w:rPr>
        <w:t>to</w:t>
      </w:r>
      <w:r>
        <w:rPr>
          <w:spacing w:val="-15"/>
          <w:sz w:val="20"/>
        </w:rPr>
        <w:t> </w:t>
      </w:r>
      <w:r>
        <w:rPr>
          <w:sz w:val="20"/>
        </w:rPr>
        <w:t>delineate</w:t>
      </w:r>
      <w:r>
        <w:rPr>
          <w:spacing w:val="-6"/>
          <w:sz w:val="20"/>
        </w:rPr>
        <w:t> </w:t>
      </w:r>
      <w:r>
        <w:rPr>
          <w:sz w:val="20"/>
        </w:rPr>
        <w:t>the</w:t>
      </w:r>
      <w:r>
        <w:rPr>
          <w:spacing w:val="-13"/>
          <w:sz w:val="20"/>
        </w:rPr>
        <w:t> </w:t>
      </w:r>
      <w:r>
        <w:rPr>
          <w:sz w:val="20"/>
        </w:rPr>
        <w:t>situations</w:t>
      </w:r>
      <w:r>
        <w:rPr>
          <w:spacing w:val="-12"/>
          <w:sz w:val="20"/>
        </w:rPr>
        <w:t> </w:t>
      </w:r>
      <w:r>
        <w:rPr>
          <w:sz w:val="20"/>
        </w:rPr>
        <w:t>in</w:t>
      </w:r>
      <w:r>
        <w:rPr>
          <w:spacing w:val="-12"/>
          <w:sz w:val="20"/>
        </w:rPr>
        <w:t> </w:t>
      </w:r>
      <w:r>
        <w:rPr>
          <w:sz w:val="20"/>
        </w:rPr>
        <w:t>which</w:t>
      </w:r>
      <w:r>
        <w:rPr>
          <w:spacing w:val="-14"/>
          <w:sz w:val="20"/>
        </w:rPr>
        <w:t> </w:t>
      </w:r>
      <w:r>
        <w:rPr>
          <w:sz w:val="20"/>
        </w:rPr>
        <w:t>a</w:t>
      </w:r>
      <w:r>
        <w:rPr>
          <w:spacing w:val="-14"/>
          <w:sz w:val="20"/>
        </w:rPr>
        <w:t> </w:t>
      </w:r>
      <w:r>
        <w:rPr>
          <w:sz w:val="20"/>
        </w:rPr>
        <w:t>component</w:t>
      </w:r>
      <w:r>
        <w:rPr>
          <w:spacing w:val="-15"/>
          <w:sz w:val="20"/>
        </w:rPr>
        <w:t> </w:t>
      </w:r>
      <w:r>
        <w:rPr>
          <w:sz w:val="20"/>
        </w:rPr>
        <w:t>product can be in scope. This guidance is set out in this chapter below under the “activity</w:t>
      </w:r>
      <w:r>
        <w:rPr>
          <w:spacing w:val="-26"/>
          <w:sz w:val="20"/>
        </w:rPr>
        <w:t> </w:t>
      </w:r>
      <w:r>
        <w:rPr>
          <w:sz w:val="20"/>
        </w:rPr>
        <w:t>tests.”</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Heading8"/>
        <w:spacing w:before="93"/>
      </w:pPr>
      <w:bookmarkStart w:name="Exclusions from scope" w:id="33"/>
      <w:bookmarkEnd w:id="33"/>
      <w:r>
        <w:rPr>
          <w:b w:val="0"/>
        </w:rPr>
      </w:r>
      <w:r>
        <w:rPr/>
        <w:t>Exclusions from scope</w:t>
      </w:r>
    </w:p>
    <w:p>
      <w:pPr>
        <w:pStyle w:val="BodyText"/>
        <w:spacing w:before="10"/>
        <w:rPr>
          <w:b/>
          <w:sz w:val="18"/>
        </w:rPr>
      </w:pPr>
    </w:p>
    <w:p>
      <w:pPr>
        <w:pStyle w:val="ListParagraph"/>
        <w:numPr>
          <w:ilvl w:val="0"/>
          <w:numId w:val="4"/>
        </w:numPr>
        <w:tabs>
          <w:tab w:pos="1444" w:val="left" w:leader="none"/>
        </w:tabs>
        <w:spacing w:line="271" w:lineRule="auto" w:before="0" w:after="0"/>
        <w:ind w:left="723" w:right="482" w:firstLine="0"/>
        <w:jc w:val="both"/>
        <w:rPr>
          <w:sz w:val="20"/>
        </w:rPr>
      </w:pPr>
      <w:r>
        <w:rPr>
          <w:sz w:val="20"/>
        </w:rPr>
        <w:t>As a consequence of articulating the in-scope activities and the policy rationale underpinning </w:t>
      </w:r>
      <w:r>
        <w:rPr>
          <w:spacing w:val="3"/>
          <w:sz w:val="20"/>
        </w:rPr>
        <w:t>the </w:t>
      </w:r>
      <w:r>
        <w:rPr>
          <w:sz w:val="20"/>
        </w:rPr>
        <w:t>approach,</w:t>
      </w:r>
      <w:r>
        <w:rPr>
          <w:spacing w:val="-9"/>
          <w:sz w:val="20"/>
        </w:rPr>
        <w:t> </w:t>
      </w:r>
      <w:r>
        <w:rPr>
          <w:sz w:val="20"/>
        </w:rPr>
        <w:t>this</w:t>
      </w:r>
      <w:r>
        <w:rPr>
          <w:spacing w:val="-7"/>
          <w:sz w:val="20"/>
        </w:rPr>
        <w:t> </w:t>
      </w:r>
      <w:r>
        <w:rPr>
          <w:sz w:val="20"/>
        </w:rPr>
        <w:t>chapter</w:t>
      </w:r>
      <w:r>
        <w:rPr>
          <w:spacing w:val="-7"/>
          <w:sz w:val="20"/>
        </w:rPr>
        <w:t> </w:t>
      </w:r>
      <w:r>
        <w:rPr>
          <w:sz w:val="20"/>
        </w:rPr>
        <w:t>also</w:t>
      </w:r>
      <w:r>
        <w:rPr>
          <w:spacing w:val="-7"/>
          <w:sz w:val="20"/>
        </w:rPr>
        <w:t> </w:t>
      </w:r>
      <w:r>
        <w:rPr>
          <w:sz w:val="20"/>
        </w:rPr>
        <w:t>identifies</w:t>
      </w:r>
      <w:r>
        <w:rPr>
          <w:spacing w:val="-7"/>
          <w:sz w:val="20"/>
        </w:rPr>
        <w:t> </w:t>
      </w:r>
      <w:r>
        <w:rPr>
          <w:sz w:val="20"/>
        </w:rPr>
        <w:t>certain</w:t>
      </w:r>
      <w:r>
        <w:rPr>
          <w:spacing w:val="-9"/>
          <w:sz w:val="20"/>
        </w:rPr>
        <w:t> </w:t>
      </w:r>
      <w:r>
        <w:rPr>
          <w:sz w:val="20"/>
        </w:rPr>
        <w:t>businesses</w:t>
      </w:r>
      <w:r>
        <w:rPr>
          <w:spacing w:val="-8"/>
          <w:sz w:val="20"/>
        </w:rPr>
        <w:t> </w:t>
      </w:r>
      <w:r>
        <w:rPr>
          <w:sz w:val="20"/>
        </w:rPr>
        <w:t>that</w:t>
      </w:r>
      <w:r>
        <w:rPr>
          <w:spacing w:val="-7"/>
          <w:sz w:val="20"/>
        </w:rPr>
        <w:t> </w:t>
      </w:r>
      <w:r>
        <w:rPr>
          <w:sz w:val="20"/>
        </w:rPr>
        <w:t>are</w:t>
      </w:r>
      <w:r>
        <w:rPr>
          <w:spacing w:val="-6"/>
          <w:sz w:val="20"/>
        </w:rPr>
        <w:t> </w:t>
      </w:r>
      <w:r>
        <w:rPr>
          <w:sz w:val="20"/>
        </w:rPr>
        <w:t>not</w:t>
      </w:r>
      <w:r>
        <w:rPr>
          <w:spacing w:val="-4"/>
          <w:sz w:val="20"/>
        </w:rPr>
        <w:t> </w:t>
      </w:r>
      <w:r>
        <w:rPr>
          <w:sz w:val="20"/>
        </w:rPr>
        <w:t>intended</w:t>
      </w:r>
      <w:r>
        <w:rPr>
          <w:spacing w:val="-8"/>
          <w:sz w:val="20"/>
        </w:rPr>
        <w:t> </w:t>
      </w:r>
      <w:r>
        <w:rPr>
          <w:sz w:val="20"/>
        </w:rPr>
        <w:t>to</w:t>
      </w:r>
      <w:r>
        <w:rPr>
          <w:spacing w:val="-7"/>
          <w:sz w:val="20"/>
        </w:rPr>
        <w:t> </w:t>
      </w:r>
      <w:r>
        <w:rPr>
          <w:sz w:val="20"/>
        </w:rPr>
        <w:t>be</w:t>
      </w:r>
      <w:r>
        <w:rPr>
          <w:spacing w:val="-3"/>
          <w:sz w:val="20"/>
        </w:rPr>
        <w:t> </w:t>
      </w:r>
      <w:r>
        <w:rPr>
          <w:sz w:val="20"/>
        </w:rPr>
        <w:t>in</w:t>
      </w:r>
      <w:r>
        <w:rPr>
          <w:spacing w:val="-8"/>
          <w:sz w:val="20"/>
        </w:rPr>
        <w:t> </w:t>
      </w:r>
      <w:r>
        <w:rPr>
          <w:sz w:val="20"/>
        </w:rPr>
        <w:t>scope</w:t>
      </w:r>
      <w:r>
        <w:rPr>
          <w:spacing w:val="-8"/>
          <w:sz w:val="20"/>
        </w:rPr>
        <w:t> </w:t>
      </w:r>
      <w:r>
        <w:rPr>
          <w:sz w:val="20"/>
        </w:rPr>
        <w:t>of</w:t>
      </w:r>
      <w:r>
        <w:rPr>
          <w:spacing w:val="-5"/>
          <w:sz w:val="20"/>
        </w:rPr>
        <w:t> </w:t>
      </w:r>
      <w:r>
        <w:rPr>
          <w:sz w:val="20"/>
        </w:rPr>
        <w:t>Amount</w:t>
      </w:r>
      <w:r>
        <w:rPr>
          <w:spacing w:val="-4"/>
          <w:sz w:val="20"/>
        </w:rPr>
        <w:t> </w:t>
      </w:r>
      <w:r>
        <w:rPr>
          <w:sz w:val="20"/>
        </w:rPr>
        <w:t>A. The exclusions from scope and scope clarifications provide certainty for those sectors where the policy challenges</w:t>
      </w:r>
      <w:r>
        <w:rPr>
          <w:spacing w:val="-15"/>
          <w:sz w:val="20"/>
        </w:rPr>
        <w:t> </w:t>
      </w:r>
      <w:r>
        <w:rPr>
          <w:sz w:val="20"/>
        </w:rPr>
        <w:t>of</w:t>
      </w:r>
      <w:r>
        <w:rPr>
          <w:spacing w:val="-14"/>
          <w:sz w:val="20"/>
        </w:rPr>
        <w:t> </w:t>
      </w:r>
      <w:r>
        <w:rPr>
          <w:sz w:val="20"/>
        </w:rPr>
        <w:t>the</w:t>
      </w:r>
      <w:r>
        <w:rPr>
          <w:spacing w:val="-17"/>
          <w:sz w:val="20"/>
        </w:rPr>
        <w:t> </w:t>
      </w:r>
      <w:r>
        <w:rPr>
          <w:sz w:val="20"/>
        </w:rPr>
        <w:t>digitalised</w:t>
      </w:r>
      <w:r>
        <w:rPr>
          <w:spacing w:val="-14"/>
          <w:sz w:val="20"/>
        </w:rPr>
        <w:t> </w:t>
      </w:r>
      <w:r>
        <w:rPr>
          <w:sz w:val="20"/>
        </w:rPr>
        <w:t>economy</w:t>
      </w:r>
      <w:r>
        <w:rPr>
          <w:spacing w:val="-18"/>
          <w:sz w:val="20"/>
        </w:rPr>
        <w:t> </w:t>
      </w:r>
      <w:r>
        <w:rPr>
          <w:sz w:val="20"/>
        </w:rPr>
        <w:t>do</w:t>
      </w:r>
      <w:r>
        <w:rPr>
          <w:spacing w:val="-17"/>
          <w:sz w:val="20"/>
        </w:rPr>
        <w:t> </w:t>
      </w:r>
      <w:r>
        <w:rPr>
          <w:sz w:val="20"/>
        </w:rPr>
        <w:t>not</w:t>
      </w:r>
      <w:r>
        <w:rPr>
          <w:spacing w:val="-15"/>
          <w:sz w:val="20"/>
        </w:rPr>
        <w:t> </w:t>
      </w:r>
      <w:r>
        <w:rPr>
          <w:sz w:val="20"/>
        </w:rPr>
        <w:t>present</w:t>
      </w:r>
      <w:r>
        <w:rPr>
          <w:spacing w:val="-16"/>
          <w:sz w:val="20"/>
        </w:rPr>
        <w:t> </w:t>
      </w:r>
      <w:r>
        <w:rPr>
          <w:sz w:val="20"/>
        </w:rPr>
        <w:t>themselves.</w:t>
      </w:r>
      <w:r>
        <w:rPr>
          <w:spacing w:val="-14"/>
          <w:sz w:val="20"/>
        </w:rPr>
        <w:t> </w:t>
      </w:r>
      <w:r>
        <w:rPr>
          <w:sz w:val="20"/>
        </w:rPr>
        <w:t>Sectors</w:t>
      </w:r>
      <w:r>
        <w:rPr>
          <w:spacing w:val="-14"/>
          <w:sz w:val="20"/>
        </w:rPr>
        <w:t> </w:t>
      </w:r>
      <w:r>
        <w:rPr>
          <w:sz w:val="20"/>
        </w:rPr>
        <w:t>not</w:t>
      </w:r>
      <w:r>
        <w:rPr>
          <w:spacing w:val="-15"/>
          <w:sz w:val="20"/>
        </w:rPr>
        <w:t> </w:t>
      </w:r>
      <w:r>
        <w:rPr>
          <w:sz w:val="20"/>
        </w:rPr>
        <w:t>in</w:t>
      </w:r>
      <w:r>
        <w:rPr>
          <w:spacing w:val="-16"/>
          <w:sz w:val="20"/>
        </w:rPr>
        <w:t> </w:t>
      </w:r>
      <w:r>
        <w:rPr>
          <w:sz w:val="20"/>
        </w:rPr>
        <w:t>scope</w:t>
      </w:r>
      <w:r>
        <w:rPr>
          <w:spacing w:val="-15"/>
          <w:sz w:val="20"/>
        </w:rPr>
        <w:t> </w:t>
      </w:r>
      <w:r>
        <w:rPr>
          <w:sz w:val="20"/>
        </w:rPr>
        <w:t>of</w:t>
      </w:r>
      <w:r>
        <w:rPr>
          <w:spacing w:val="-14"/>
          <w:sz w:val="20"/>
        </w:rPr>
        <w:t> </w:t>
      </w:r>
      <w:r>
        <w:rPr>
          <w:sz w:val="20"/>
        </w:rPr>
        <w:t>Amount</w:t>
      </w:r>
      <w:r>
        <w:rPr>
          <w:spacing w:val="-15"/>
          <w:sz w:val="20"/>
        </w:rPr>
        <w:t> </w:t>
      </w:r>
      <w:r>
        <w:rPr>
          <w:sz w:val="20"/>
        </w:rPr>
        <w:t>A</w:t>
      </w:r>
      <w:r>
        <w:rPr>
          <w:spacing w:val="-14"/>
          <w:sz w:val="20"/>
        </w:rPr>
        <w:t> </w:t>
      </w:r>
      <w:r>
        <w:rPr>
          <w:sz w:val="20"/>
        </w:rPr>
        <w:t>include certain natural resources; certain financial services; construction, sale and leasing of residential property; and international air and shipping</w:t>
      </w:r>
      <w:r>
        <w:rPr>
          <w:spacing w:val="1"/>
          <w:sz w:val="20"/>
        </w:rPr>
        <w:t> </w:t>
      </w:r>
      <w:r>
        <w:rPr>
          <w:sz w:val="20"/>
        </w:rPr>
        <w:t>business.</w:t>
      </w:r>
    </w:p>
    <w:p>
      <w:pPr>
        <w:pStyle w:val="BodyText"/>
        <w:spacing w:before="1"/>
      </w:pPr>
    </w:p>
    <w:p>
      <w:pPr>
        <w:spacing w:before="0"/>
        <w:ind w:left="1402" w:right="0" w:firstLine="0"/>
        <w:jc w:val="left"/>
        <w:rPr>
          <w:i/>
          <w:sz w:val="22"/>
        </w:rPr>
      </w:pPr>
      <w:bookmarkStart w:name="Thresholds" w:id="34"/>
      <w:bookmarkEnd w:id="34"/>
      <w:r>
        <w:rPr/>
      </w:r>
      <w:r>
        <w:rPr>
          <w:i/>
          <w:color w:val="616161"/>
          <w:sz w:val="22"/>
        </w:rPr>
        <w:t>Thresholds</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4" w:firstLine="0"/>
        <w:jc w:val="both"/>
        <w:rPr>
          <w:sz w:val="20"/>
        </w:rPr>
      </w:pPr>
      <w:r>
        <w:rPr>
          <w:sz w:val="20"/>
        </w:rPr>
        <w:t>The second element of defining the scope is the threshold test. An MNE can only be in scope of Amount</w:t>
      </w:r>
      <w:r>
        <w:rPr>
          <w:spacing w:val="-12"/>
          <w:sz w:val="20"/>
        </w:rPr>
        <w:t> </w:t>
      </w:r>
      <w:r>
        <w:rPr>
          <w:sz w:val="20"/>
        </w:rPr>
        <w:t>A</w:t>
      </w:r>
      <w:r>
        <w:rPr>
          <w:spacing w:val="-11"/>
          <w:sz w:val="20"/>
        </w:rPr>
        <w:t> </w:t>
      </w:r>
      <w:r>
        <w:rPr>
          <w:sz w:val="20"/>
        </w:rPr>
        <w:t>if</w:t>
      </w:r>
      <w:r>
        <w:rPr>
          <w:spacing w:val="-9"/>
          <w:sz w:val="20"/>
        </w:rPr>
        <w:t> </w:t>
      </w:r>
      <w:r>
        <w:rPr>
          <w:sz w:val="20"/>
        </w:rPr>
        <w:t>it</w:t>
      </w:r>
      <w:r>
        <w:rPr>
          <w:spacing w:val="-10"/>
          <w:sz w:val="20"/>
        </w:rPr>
        <w:t> </w:t>
      </w:r>
      <w:r>
        <w:rPr>
          <w:sz w:val="20"/>
        </w:rPr>
        <w:t>meets</w:t>
      </w:r>
      <w:r>
        <w:rPr>
          <w:spacing w:val="-9"/>
          <w:sz w:val="20"/>
        </w:rPr>
        <w:t> </w:t>
      </w:r>
      <w:r>
        <w:rPr>
          <w:sz w:val="20"/>
        </w:rPr>
        <w:t>the</w:t>
      </w:r>
      <w:r>
        <w:rPr>
          <w:spacing w:val="-8"/>
          <w:sz w:val="20"/>
        </w:rPr>
        <w:t> </w:t>
      </w:r>
      <w:r>
        <w:rPr>
          <w:sz w:val="20"/>
        </w:rPr>
        <w:t>activity</w:t>
      </w:r>
      <w:r>
        <w:rPr>
          <w:spacing w:val="-14"/>
          <w:sz w:val="20"/>
        </w:rPr>
        <w:t> </w:t>
      </w:r>
      <w:r>
        <w:rPr>
          <w:sz w:val="20"/>
        </w:rPr>
        <w:t>test</w:t>
      </w:r>
      <w:r>
        <w:rPr>
          <w:spacing w:val="-11"/>
          <w:sz w:val="20"/>
        </w:rPr>
        <w:t> </w:t>
      </w:r>
      <w:r>
        <w:rPr>
          <w:sz w:val="20"/>
        </w:rPr>
        <w:t>described</w:t>
      </w:r>
      <w:r>
        <w:rPr>
          <w:spacing w:val="-11"/>
          <w:sz w:val="20"/>
        </w:rPr>
        <w:t> </w:t>
      </w:r>
      <w:r>
        <w:rPr>
          <w:sz w:val="20"/>
        </w:rPr>
        <w:t>above</w:t>
      </w:r>
      <w:r>
        <w:rPr>
          <w:spacing w:val="-11"/>
          <w:sz w:val="20"/>
        </w:rPr>
        <w:t> </w:t>
      </w:r>
      <w:r>
        <w:rPr>
          <w:sz w:val="20"/>
        </w:rPr>
        <w:t>and</w:t>
      </w:r>
      <w:r>
        <w:rPr>
          <w:spacing w:val="-7"/>
          <w:sz w:val="20"/>
        </w:rPr>
        <w:t> </w:t>
      </w:r>
      <w:r>
        <w:rPr>
          <w:sz w:val="20"/>
        </w:rPr>
        <w:t>two</w:t>
      </w:r>
      <w:r>
        <w:rPr>
          <w:spacing w:val="-11"/>
          <w:sz w:val="20"/>
        </w:rPr>
        <w:t> </w:t>
      </w:r>
      <w:r>
        <w:rPr>
          <w:sz w:val="20"/>
        </w:rPr>
        <w:t>thresholds:</w:t>
      </w:r>
      <w:r>
        <w:rPr>
          <w:spacing w:val="-11"/>
          <w:sz w:val="20"/>
        </w:rPr>
        <w:t> </w:t>
      </w:r>
      <w:r>
        <w:rPr>
          <w:sz w:val="20"/>
        </w:rPr>
        <w:t>the</w:t>
      </w:r>
      <w:r>
        <w:rPr>
          <w:spacing w:val="-11"/>
          <w:sz w:val="20"/>
        </w:rPr>
        <w:t> </w:t>
      </w:r>
      <w:r>
        <w:rPr>
          <w:sz w:val="20"/>
        </w:rPr>
        <w:t>MNE’s</w:t>
      </w:r>
      <w:r>
        <w:rPr>
          <w:spacing w:val="-9"/>
          <w:sz w:val="20"/>
        </w:rPr>
        <w:t> </w:t>
      </w:r>
      <w:r>
        <w:rPr>
          <w:sz w:val="20"/>
        </w:rPr>
        <w:t>consolidated</w:t>
      </w:r>
      <w:r>
        <w:rPr>
          <w:spacing w:val="-12"/>
          <w:sz w:val="20"/>
        </w:rPr>
        <w:t> </w:t>
      </w:r>
      <w:r>
        <w:rPr>
          <w:sz w:val="20"/>
        </w:rPr>
        <w:t>revenue is above a certain threshold; and its in-scope revenue earned outside its domestic market is also above a certain threshold. This ensures that Amount A focusses on the largest MNEs that generate residual profit available for reallocation under Amount A, and that the compliance and administrative burden is proportionate to the expected tax benefits. This will also keep the number of MNEs affected at an administrable level for tax administrations (including the early tax certainty</w:t>
      </w:r>
      <w:r>
        <w:rPr>
          <w:spacing w:val="-22"/>
          <w:sz w:val="20"/>
        </w:rPr>
        <w:t> </w:t>
      </w:r>
      <w:r>
        <w:rPr>
          <w:sz w:val="20"/>
        </w:rPr>
        <w:t>process).</w:t>
      </w:r>
    </w:p>
    <w:p>
      <w:pPr>
        <w:pStyle w:val="ListParagraph"/>
        <w:numPr>
          <w:ilvl w:val="0"/>
          <w:numId w:val="4"/>
        </w:numPr>
        <w:tabs>
          <w:tab w:pos="1444" w:val="left" w:leader="none"/>
        </w:tabs>
        <w:spacing w:line="271" w:lineRule="auto" w:before="116" w:after="0"/>
        <w:ind w:left="723" w:right="480" w:firstLine="0"/>
        <w:jc w:val="both"/>
        <w:rPr>
          <w:sz w:val="20"/>
        </w:rPr>
      </w:pPr>
      <w:r>
        <w:rPr>
          <w:sz w:val="20"/>
        </w:rPr>
        <w:t>Having regard to the economic impact assessment,</w:t>
      </w:r>
      <w:r>
        <w:rPr>
          <w:sz w:val="20"/>
          <w:vertAlign w:val="superscript"/>
        </w:rPr>
        <w:t>12</w:t>
      </w:r>
      <w:r>
        <w:rPr>
          <w:sz w:val="20"/>
          <w:vertAlign w:val="baseline"/>
        </w:rPr>
        <w:t> setting a threshold below [EUR 750 million] would</w:t>
      </w:r>
      <w:r>
        <w:rPr>
          <w:spacing w:val="-8"/>
          <w:sz w:val="20"/>
          <w:vertAlign w:val="baseline"/>
        </w:rPr>
        <w:t> </w:t>
      </w:r>
      <w:r>
        <w:rPr>
          <w:sz w:val="20"/>
          <w:vertAlign w:val="baseline"/>
        </w:rPr>
        <w:t>lead</w:t>
      </w:r>
      <w:r>
        <w:rPr>
          <w:spacing w:val="-9"/>
          <w:sz w:val="20"/>
          <w:vertAlign w:val="baseline"/>
        </w:rPr>
        <w:t> </w:t>
      </w:r>
      <w:r>
        <w:rPr>
          <w:sz w:val="20"/>
          <w:vertAlign w:val="baseline"/>
        </w:rPr>
        <w:t>to</w:t>
      </w:r>
      <w:r>
        <w:rPr>
          <w:spacing w:val="-7"/>
          <w:sz w:val="20"/>
          <w:vertAlign w:val="baseline"/>
        </w:rPr>
        <w:t> </w:t>
      </w:r>
      <w:r>
        <w:rPr>
          <w:sz w:val="20"/>
          <w:vertAlign w:val="baseline"/>
        </w:rPr>
        <w:t>substantial</w:t>
      </w:r>
      <w:r>
        <w:rPr>
          <w:spacing w:val="-9"/>
          <w:sz w:val="20"/>
          <w:vertAlign w:val="baseline"/>
        </w:rPr>
        <w:t> </w:t>
      </w:r>
      <w:r>
        <w:rPr>
          <w:sz w:val="20"/>
          <w:vertAlign w:val="baseline"/>
        </w:rPr>
        <w:t>compliance</w:t>
      </w:r>
      <w:r>
        <w:rPr>
          <w:spacing w:val="-9"/>
          <w:sz w:val="20"/>
          <w:vertAlign w:val="baseline"/>
        </w:rPr>
        <w:t> </w:t>
      </w:r>
      <w:r>
        <w:rPr>
          <w:sz w:val="20"/>
          <w:vertAlign w:val="baseline"/>
        </w:rPr>
        <w:t>burdens</w:t>
      </w:r>
      <w:r>
        <w:rPr>
          <w:spacing w:val="-7"/>
          <w:sz w:val="20"/>
          <w:vertAlign w:val="baseline"/>
        </w:rPr>
        <w:t> </w:t>
      </w:r>
      <w:r>
        <w:rPr>
          <w:sz w:val="20"/>
          <w:vertAlign w:val="baseline"/>
        </w:rPr>
        <w:t>but</w:t>
      </w:r>
      <w:r>
        <w:rPr>
          <w:spacing w:val="-6"/>
          <w:sz w:val="20"/>
          <w:vertAlign w:val="baseline"/>
        </w:rPr>
        <w:t> </w:t>
      </w:r>
      <w:r>
        <w:rPr>
          <w:sz w:val="20"/>
          <w:vertAlign w:val="baseline"/>
        </w:rPr>
        <w:t>without</w:t>
      </w:r>
      <w:r>
        <w:rPr>
          <w:spacing w:val="-7"/>
          <w:sz w:val="20"/>
          <w:vertAlign w:val="baseline"/>
        </w:rPr>
        <w:t> </w:t>
      </w:r>
      <w:r>
        <w:rPr>
          <w:sz w:val="20"/>
          <w:vertAlign w:val="baseline"/>
        </w:rPr>
        <w:t>commensurate</w:t>
      </w:r>
      <w:r>
        <w:rPr>
          <w:spacing w:val="-8"/>
          <w:sz w:val="20"/>
          <w:vertAlign w:val="baseline"/>
        </w:rPr>
        <w:t> </w:t>
      </w:r>
      <w:r>
        <w:rPr>
          <w:sz w:val="20"/>
          <w:vertAlign w:val="baseline"/>
        </w:rPr>
        <w:t>benefits</w:t>
      </w:r>
      <w:r>
        <w:rPr>
          <w:spacing w:val="-8"/>
          <w:sz w:val="20"/>
          <w:vertAlign w:val="baseline"/>
        </w:rPr>
        <w:t> </w:t>
      </w:r>
      <w:r>
        <w:rPr>
          <w:sz w:val="20"/>
          <w:vertAlign w:val="baseline"/>
        </w:rPr>
        <w:t>in</w:t>
      </w:r>
      <w:r>
        <w:rPr>
          <w:spacing w:val="-10"/>
          <w:sz w:val="20"/>
          <w:vertAlign w:val="baseline"/>
        </w:rPr>
        <w:t> </w:t>
      </w:r>
      <w:r>
        <w:rPr>
          <w:sz w:val="20"/>
          <w:vertAlign w:val="baseline"/>
        </w:rPr>
        <w:t>terms</w:t>
      </w:r>
      <w:r>
        <w:rPr>
          <w:spacing w:val="-8"/>
          <w:sz w:val="20"/>
          <w:vertAlign w:val="baseline"/>
        </w:rPr>
        <w:t> </w:t>
      </w:r>
      <w:r>
        <w:rPr>
          <w:sz w:val="20"/>
          <w:vertAlign w:val="baseline"/>
        </w:rPr>
        <w:t>of</w:t>
      </w:r>
      <w:r>
        <w:rPr>
          <w:spacing w:val="-7"/>
          <w:sz w:val="20"/>
          <w:vertAlign w:val="baseline"/>
        </w:rPr>
        <w:t> </w:t>
      </w:r>
      <w:r>
        <w:rPr>
          <w:sz w:val="20"/>
          <w:vertAlign w:val="baseline"/>
        </w:rPr>
        <w:t>the</w:t>
      </w:r>
      <w:r>
        <w:rPr>
          <w:spacing w:val="-10"/>
          <w:sz w:val="20"/>
          <w:vertAlign w:val="baseline"/>
        </w:rPr>
        <w:t> </w:t>
      </w:r>
      <w:r>
        <w:rPr>
          <w:sz w:val="20"/>
          <w:vertAlign w:val="baseline"/>
        </w:rPr>
        <w:t>available reallocation</w:t>
      </w:r>
      <w:r>
        <w:rPr>
          <w:spacing w:val="-7"/>
          <w:sz w:val="20"/>
          <w:vertAlign w:val="baseline"/>
        </w:rPr>
        <w:t> </w:t>
      </w:r>
      <w:r>
        <w:rPr>
          <w:sz w:val="20"/>
          <w:vertAlign w:val="baseline"/>
        </w:rPr>
        <w:t>for</w:t>
      </w:r>
      <w:r>
        <w:rPr>
          <w:spacing w:val="-6"/>
          <w:sz w:val="20"/>
          <w:vertAlign w:val="baseline"/>
        </w:rPr>
        <w:t> </w:t>
      </w:r>
      <w:r>
        <w:rPr>
          <w:sz w:val="20"/>
          <w:vertAlign w:val="baseline"/>
        </w:rPr>
        <w:t>market</w:t>
      </w:r>
      <w:r>
        <w:rPr>
          <w:spacing w:val="-6"/>
          <w:sz w:val="20"/>
          <w:vertAlign w:val="baseline"/>
        </w:rPr>
        <w:t> </w:t>
      </w:r>
      <w:r>
        <w:rPr>
          <w:sz w:val="20"/>
          <w:vertAlign w:val="baseline"/>
        </w:rPr>
        <w:t>jurisdictions.</w:t>
      </w:r>
      <w:r>
        <w:rPr>
          <w:spacing w:val="-6"/>
          <w:sz w:val="20"/>
          <w:vertAlign w:val="baseline"/>
        </w:rPr>
        <w:t> </w:t>
      </w:r>
      <w:r>
        <w:rPr>
          <w:sz w:val="20"/>
          <w:vertAlign w:val="baseline"/>
        </w:rPr>
        <w:t>At</w:t>
      </w:r>
      <w:r>
        <w:rPr>
          <w:spacing w:val="-5"/>
          <w:sz w:val="20"/>
          <w:vertAlign w:val="baseline"/>
        </w:rPr>
        <w:t> </w:t>
      </w:r>
      <w:r>
        <w:rPr>
          <w:sz w:val="20"/>
          <w:vertAlign w:val="baseline"/>
        </w:rPr>
        <w:t>the</w:t>
      </w:r>
      <w:r>
        <w:rPr>
          <w:spacing w:val="-7"/>
          <w:sz w:val="20"/>
          <w:vertAlign w:val="baseline"/>
        </w:rPr>
        <w:t> </w:t>
      </w:r>
      <w:r>
        <w:rPr>
          <w:sz w:val="20"/>
          <w:vertAlign w:val="baseline"/>
        </w:rPr>
        <w:t>same</w:t>
      </w:r>
      <w:r>
        <w:rPr>
          <w:spacing w:val="-6"/>
          <w:sz w:val="20"/>
          <w:vertAlign w:val="baseline"/>
        </w:rPr>
        <w:t> </w:t>
      </w:r>
      <w:r>
        <w:rPr>
          <w:sz w:val="20"/>
          <w:vertAlign w:val="baseline"/>
        </w:rPr>
        <w:t>time,</w:t>
      </w:r>
      <w:r>
        <w:rPr>
          <w:spacing w:val="-9"/>
          <w:sz w:val="20"/>
          <w:vertAlign w:val="baseline"/>
        </w:rPr>
        <w:t> </w:t>
      </w:r>
      <w:r>
        <w:rPr>
          <w:sz w:val="20"/>
          <w:vertAlign w:val="baseline"/>
        </w:rPr>
        <w:t>even</w:t>
      </w:r>
      <w:r>
        <w:rPr>
          <w:spacing w:val="-6"/>
          <w:sz w:val="20"/>
          <w:vertAlign w:val="baseline"/>
        </w:rPr>
        <w:t> </w:t>
      </w:r>
      <w:r>
        <w:rPr>
          <w:sz w:val="20"/>
          <w:vertAlign w:val="baseline"/>
        </w:rPr>
        <w:t>at</w:t>
      </w:r>
      <w:r>
        <w:rPr>
          <w:spacing w:val="-5"/>
          <w:sz w:val="20"/>
          <w:vertAlign w:val="baseline"/>
        </w:rPr>
        <w:t> </w:t>
      </w:r>
      <w:r>
        <w:rPr>
          <w:sz w:val="20"/>
          <w:vertAlign w:val="baseline"/>
        </w:rPr>
        <w:t>that</w:t>
      </w:r>
      <w:r>
        <w:rPr>
          <w:spacing w:val="-3"/>
          <w:sz w:val="20"/>
          <w:vertAlign w:val="baseline"/>
        </w:rPr>
        <w:t> </w:t>
      </w:r>
      <w:r>
        <w:rPr>
          <w:sz w:val="20"/>
          <w:vertAlign w:val="baseline"/>
        </w:rPr>
        <w:t>threshold,</w:t>
      </w:r>
      <w:r>
        <w:rPr>
          <w:spacing w:val="-6"/>
          <w:sz w:val="20"/>
          <w:vertAlign w:val="baseline"/>
        </w:rPr>
        <w:t> </w:t>
      </w:r>
      <w:r>
        <w:rPr>
          <w:sz w:val="20"/>
          <w:vertAlign w:val="baseline"/>
        </w:rPr>
        <w:t>there</w:t>
      </w:r>
      <w:r>
        <w:rPr>
          <w:spacing w:val="-5"/>
          <w:sz w:val="20"/>
          <w:vertAlign w:val="baseline"/>
        </w:rPr>
        <w:t> </w:t>
      </w:r>
      <w:r>
        <w:rPr>
          <w:sz w:val="20"/>
          <w:vertAlign w:val="baseline"/>
        </w:rPr>
        <w:t>is</w:t>
      </w:r>
      <w:r>
        <w:rPr>
          <w:spacing w:val="-5"/>
          <w:sz w:val="20"/>
          <w:vertAlign w:val="baseline"/>
        </w:rPr>
        <w:t> </w:t>
      </w:r>
      <w:r>
        <w:rPr>
          <w:sz w:val="20"/>
          <w:vertAlign w:val="baseline"/>
        </w:rPr>
        <w:t>a</w:t>
      </w:r>
      <w:r>
        <w:rPr>
          <w:spacing w:val="-7"/>
          <w:sz w:val="20"/>
          <w:vertAlign w:val="baseline"/>
        </w:rPr>
        <w:t> </w:t>
      </w:r>
      <w:r>
        <w:rPr>
          <w:sz w:val="20"/>
          <w:vertAlign w:val="baseline"/>
        </w:rPr>
        <w:t>significant</w:t>
      </w:r>
      <w:r>
        <w:rPr>
          <w:spacing w:val="-5"/>
          <w:sz w:val="20"/>
          <w:vertAlign w:val="baseline"/>
        </w:rPr>
        <w:t> </w:t>
      </w:r>
      <w:r>
        <w:rPr>
          <w:sz w:val="20"/>
          <w:vertAlign w:val="baseline"/>
        </w:rPr>
        <w:t>number of MNEs that would be in scope, and consideration needs to be given to operating the new Amount A system, including the early certainty process, as efficiently as possible particularly in the initial years. As such, an option to operate the thresholds on a transition or phase in basis is being considered, whereby the two thresholds are initially set at a higher level and gradually reduced over</w:t>
      </w:r>
      <w:r>
        <w:rPr>
          <w:spacing w:val="-18"/>
          <w:sz w:val="20"/>
          <w:vertAlign w:val="baseline"/>
        </w:rPr>
        <w:t> </w:t>
      </w:r>
      <w:r>
        <w:rPr>
          <w:sz w:val="20"/>
          <w:vertAlign w:val="baseline"/>
        </w:rPr>
        <w:t>time.</w:t>
      </w:r>
    </w:p>
    <w:p>
      <w:pPr>
        <w:pStyle w:val="BodyText"/>
        <w:rPr>
          <w:sz w:val="22"/>
        </w:rPr>
      </w:pPr>
    </w:p>
    <w:p>
      <w:pPr>
        <w:pStyle w:val="Heading4"/>
        <w:numPr>
          <w:ilvl w:val="1"/>
          <w:numId w:val="7"/>
        </w:numPr>
        <w:tabs>
          <w:tab w:pos="1192" w:val="left" w:leader="none"/>
        </w:tabs>
        <w:spacing w:line="240" w:lineRule="auto" w:before="197" w:after="0"/>
        <w:ind w:left="1191" w:right="0" w:hanging="469"/>
        <w:jc w:val="both"/>
        <w:rPr>
          <w:rFonts w:ascii="Arial"/>
        </w:rPr>
      </w:pPr>
      <w:bookmarkStart w:name="2.2. Activity tests" w:id="35"/>
      <w:bookmarkEnd w:id="35"/>
      <w:r>
        <w:rPr>
          <w:b w:val="0"/>
        </w:rPr>
      </w:r>
      <w:bookmarkStart w:name="_bookmark8" w:id="36"/>
      <w:bookmarkEnd w:id="36"/>
      <w:r>
        <w:rPr>
          <w:b w:val="0"/>
        </w:rPr>
      </w:r>
      <w:bookmarkStart w:name="_bookmark8" w:id="37"/>
      <w:bookmarkEnd w:id="37"/>
      <w:r>
        <w:rPr>
          <w:rFonts w:ascii="Arial"/>
          <w:color w:val="4E81BD"/>
        </w:rPr>
        <w:t>A</w:t>
      </w:r>
      <w:r>
        <w:rPr>
          <w:rFonts w:ascii="Arial"/>
          <w:color w:val="4E81BD"/>
        </w:rPr>
        <w:t>ctivity</w:t>
      </w:r>
      <w:r>
        <w:rPr>
          <w:rFonts w:ascii="Arial"/>
          <w:color w:val="4E81BD"/>
          <w:spacing w:val="-5"/>
        </w:rPr>
        <w:t> </w:t>
      </w:r>
      <w:r>
        <w:rPr>
          <w:rFonts w:ascii="Arial"/>
          <w:color w:val="4E81BD"/>
        </w:rPr>
        <w:t>tests</w:t>
      </w:r>
    </w:p>
    <w:p>
      <w:pPr>
        <w:pStyle w:val="BodyText"/>
        <w:spacing w:before="4"/>
        <w:rPr>
          <w:b/>
          <w:sz w:val="24"/>
        </w:rPr>
      </w:pPr>
    </w:p>
    <w:p>
      <w:pPr>
        <w:pStyle w:val="ListParagraph"/>
        <w:numPr>
          <w:ilvl w:val="0"/>
          <w:numId w:val="4"/>
        </w:numPr>
        <w:tabs>
          <w:tab w:pos="1444" w:val="left" w:leader="none"/>
        </w:tabs>
        <w:spacing w:line="271" w:lineRule="auto" w:before="0" w:after="0"/>
        <w:ind w:left="723" w:right="482" w:firstLine="0"/>
        <w:jc w:val="both"/>
        <w:rPr>
          <w:sz w:val="20"/>
        </w:rPr>
      </w:pPr>
      <w:r>
        <w:rPr>
          <w:sz w:val="20"/>
        </w:rPr>
        <w:t>The activity tests proposed in the Outline align the scope of Amount A with its policy objective. They</w:t>
      </w:r>
      <w:r>
        <w:rPr>
          <w:spacing w:val="-17"/>
          <w:sz w:val="20"/>
        </w:rPr>
        <w:t> </w:t>
      </w:r>
      <w:r>
        <w:rPr>
          <w:sz w:val="20"/>
        </w:rPr>
        <w:t>are</w:t>
      </w:r>
      <w:r>
        <w:rPr>
          <w:spacing w:val="-12"/>
          <w:sz w:val="20"/>
        </w:rPr>
        <w:t> </w:t>
      </w:r>
      <w:r>
        <w:rPr>
          <w:sz w:val="20"/>
        </w:rPr>
        <w:t>designed</w:t>
      </w:r>
      <w:r>
        <w:rPr>
          <w:spacing w:val="-13"/>
          <w:sz w:val="20"/>
        </w:rPr>
        <w:t> </w:t>
      </w:r>
      <w:r>
        <w:rPr>
          <w:sz w:val="20"/>
        </w:rPr>
        <w:t>to</w:t>
      </w:r>
      <w:r>
        <w:rPr>
          <w:spacing w:val="-12"/>
          <w:sz w:val="20"/>
        </w:rPr>
        <w:t> </w:t>
      </w:r>
      <w:r>
        <w:rPr>
          <w:sz w:val="20"/>
        </w:rPr>
        <w:t>capture</w:t>
      </w:r>
      <w:r>
        <w:rPr>
          <w:spacing w:val="-13"/>
          <w:sz w:val="20"/>
        </w:rPr>
        <w:t> </w:t>
      </w:r>
      <w:r>
        <w:rPr>
          <w:sz w:val="20"/>
        </w:rPr>
        <w:t>those</w:t>
      </w:r>
      <w:r>
        <w:rPr>
          <w:spacing w:val="-14"/>
          <w:sz w:val="20"/>
        </w:rPr>
        <w:t> </w:t>
      </w:r>
      <w:r>
        <w:rPr>
          <w:sz w:val="20"/>
        </w:rPr>
        <w:t>MNEs</w:t>
      </w:r>
      <w:r>
        <w:rPr>
          <w:spacing w:val="-11"/>
          <w:sz w:val="20"/>
        </w:rPr>
        <w:t> </w:t>
      </w:r>
      <w:r>
        <w:rPr>
          <w:sz w:val="20"/>
        </w:rPr>
        <w:t>that</w:t>
      </w:r>
      <w:r>
        <w:rPr>
          <w:spacing w:val="-13"/>
          <w:sz w:val="20"/>
        </w:rPr>
        <w:t> </w:t>
      </w:r>
      <w:r>
        <w:rPr>
          <w:sz w:val="20"/>
        </w:rPr>
        <w:t>are</w:t>
      </w:r>
      <w:r>
        <w:rPr>
          <w:spacing w:val="-12"/>
          <w:sz w:val="20"/>
        </w:rPr>
        <w:t> </w:t>
      </w:r>
      <w:r>
        <w:rPr>
          <w:sz w:val="20"/>
        </w:rPr>
        <w:t>able</w:t>
      </w:r>
      <w:r>
        <w:rPr>
          <w:spacing w:val="-13"/>
          <w:sz w:val="20"/>
        </w:rPr>
        <w:t> </w:t>
      </w:r>
      <w:r>
        <w:rPr>
          <w:sz w:val="20"/>
        </w:rPr>
        <w:t>to</w:t>
      </w:r>
      <w:r>
        <w:rPr>
          <w:spacing w:val="-14"/>
          <w:sz w:val="20"/>
        </w:rPr>
        <w:t> </w:t>
      </w:r>
      <w:r>
        <w:rPr>
          <w:sz w:val="20"/>
        </w:rPr>
        <w:t>participate</w:t>
      </w:r>
      <w:r>
        <w:rPr>
          <w:spacing w:val="-13"/>
          <w:sz w:val="20"/>
        </w:rPr>
        <w:t> </w:t>
      </w:r>
      <w:r>
        <w:rPr>
          <w:sz w:val="20"/>
        </w:rPr>
        <w:t>in</w:t>
      </w:r>
      <w:r>
        <w:rPr>
          <w:spacing w:val="-9"/>
          <w:sz w:val="20"/>
        </w:rPr>
        <w:t> </w:t>
      </w:r>
      <w:r>
        <w:rPr>
          <w:sz w:val="20"/>
        </w:rPr>
        <w:t>a</w:t>
      </w:r>
      <w:r>
        <w:rPr>
          <w:spacing w:val="-13"/>
          <w:sz w:val="20"/>
        </w:rPr>
        <w:t> </w:t>
      </w:r>
      <w:r>
        <w:rPr>
          <w:sz w:val="20"/>
        </w:rPr>
        <w:t>sustained</w:t>
      </w:r>
      <w:r>
        <w:rPr>
          <w:spacing w:val="-13"/>
          <w:sz w:val="20"/>
        </w:rPr>
        <w:t> </w:t>
      </w:r>
      <w:r>
        <w:rPr>
          <w:sz w:val="20"/>
        </w:rPr>
        <w:t>and</w:t>
      </w:r>
      <w:r>
        <w:rPr>
          <w:spacing w:val="-13"/>
          <w:sz w:val="20"/>
        </w:rPr>
        <w:t> </w:t>
      </w:r>
      <w:r>
        <w:rPr>
          <w:sz w:val="20"/>
        </w:rPr>
        <w:t>significant</w:t>
      </w:r>
      <w:r>
        <w:rPr>
          <w:spacing w:val="-11"/>
          <w:sz w:val="20"/>
        </w:rPr>
        <w:t> </w:t>
      </w:r>
      <w:r>
        <w:rPr>
          <w:sz w:val="20"/>
        </w:rPr>
        <w:t>manner in the economic life of a market jurisdiction, without necessarily having a commensurate level of taxable presence</w:t>
      </w:r>
      <w:r>
        <w:rPr>
          <w:spacing w:val="-7"/>
          <w:sz w:val="20"/>
        </w:rPr>
        <w:t> </w:t>
      </w:r>
      <w:r>
        <w:rPr>
          <w:sz w:val="20"/>
        </w:rPr>
        <w:t>in</w:t>
      </w:r>
      <w:r>
        <w:rPr>
          <w:spacing w:val="-7"/>
          <w:sz w:val="20"/>
        </w:rPr>
        <w:t> </w:t>
      </w:r>
      <w:r>
        <w:rPr>
          <w:sz w:val="20"/>
        </w:rPr>
        <w:t>that</w:t>
      </w:r>
      <w:r>
        <w:rPr>
          <w:spacing w:val="-8"/>
          <w:sz w:val="20"/>
        </w:rPr>
        <w:t> </w:t>
      </w:r>
      <w:r>
        <w:rPr>
          <w:sz w:val="20"/>
        </w:rPr>
        <w:t>market</w:t>
      </w:r>
      <w:r>
        <w:rPr>
          <w:spacing w:val="-9"/>
          <w:sz w:val="20"/>
        </w:rPr>
        <w:t> </w:t>
      </w:r>
      <w:r>
        <w:rPr>
          <w:sz w:val="20"/>
        </w:rPr>
        <w:t>(as</w:t>
      </w:r>
      <w:r>
        <w:rPr>
          <w:spacing w:val="-10"/>
          <w:sz w:val="20"/>
        </w:rPr>
        <w:t> </w:t>
      </w:r>
      <w:r>
        <w:rPr>
          <w:sz w:val="20"/>
        </w:rPr>
        <w:t>based</w:t>
      </w:r>
      <w:r>
        <w:rPr>
          <w:spacing w:val="-8"/>
          <w:sz w:val="20"/>
        </w:rPr>
        <w:t> </w:t>
      </w:r>
      <w:r>
        <w:rPr>
          <w:sz w:val="20"/>
        </w:rPr>
        <w:t>on</w:t>
      </w:r>
      <w:r>
        <w:rPr>
          <w:spacing w:val="-7"/>
          <w:sz w:val="20"/>
        </w:rPr>
        <w:t> </w:t>
      </w:r>
      <w:r>
        <w:rPr>
          <w:sz w:val="20"/>
        </w:rPr>
        <w:t>existing</w:t>
      </w:r>
      <w:r>
        <w:rPr>
          <w:spacing w:val="-3"/>
          <w:sz w:val="20"/>
        </w:rPr>
        <w:t> </w:t>
      </w:r>
      <w:r>
        <w:rPr>
          <w:sz w:val="20"/>
        </w:rPr>
        <w:t>nexus</w:t>
      </w:r>
      <w:r>
        <w:rPr>
          <w:spacing w:val="-7"/>
          <w:sz w:val="20"/>
        </w:rPr>
        <w:t> </w:t>
      </w:r>
      <w:r>
        <w:rPr>
          <w:sz w:val="20"/>
        </w:rPr>
        <w:t>rules).</w:t>
      </w:r>
      <w:r>
        <w:rPr>
          <w:spacing w:val="-9"/>
          <w:sz w:val="20"/>
        </w:rPr>
        <w:t> </w:t>
      </w:r>
      <w:r>
        <w:rPr>
          <w:sz w:val="20"/>
        </w:rPr>
        <w:t>This</w:t>
      </w:r>
      <w:r>
        <w:rPr>
          <w:spacing w:val="-8"/>
          <w:sz w:val="20"/>
        </w:rPr>
        <w:t> </w:t>
      </w:r>
      <w:r>
        <w:rPr>
          <w:sz w:val="20"/>
        </w:rPr>
        <w:t>covers</w:t>
      </w:r>
      <w:r>
        <w:rPr>
          <w:spacing w:val="-6"/>
          <w:sz w:val="20"/>
        </w:rPr>
        <w:t> </w:t>
      </w:r>
      <w:r>
        <w:rPr>
          <w:sz w:val="20"/>
        </w:rPr>
        <w:t>MNEs</w:t>
      </w:r>
      <w:r>
        <w:rPr>
          <w:spacing w:val="-5"/>
          <w:sz w:val="20"/>
        </w:rPr>
        <w:t> </w:t>
      </w:r>
      <w:r>
        <w:rPr>
          <w:sz w:val="20"/>
        </w:rPr>
        <w:t>under</w:t>
      </w:r>
      <w:r>
        <w:rPr>
          <w:spacing w:val="-8"/>
          <w:sz w:val="20"/>
        </w:rPr>
        <w:t> </w:t>
      </w:r>
      <w:r>
        <w:rPr>
          <w:sz w:val="20"/>
        </w:rPr>
        <w:t>the</w:t>
      </w:r>
      <w:r>
        <w:rPr>
          <w:spacing w:val="-6"/>
          <w:sz w:val="20"/>
        </w:rPr>
        <w:t> </w:t>
      </w:r>
      <w:r>
        <w:rPr>
          <w:sz w:val="20"/>
        </w:rPr>
        <w:t>broad</w:t>
      </w:r>
      <w:r>
        <w:rPr>
          <w:spacing w:val="-7"/>
          <w:sz w:val="20"/>
        </w:rPr>
        <w:t> </w:t>
      </w:r>
      <w:r>
        <w:rPr>
          <w:sz w:val="20"/>
        </w:rPr>
        <w:t>categories of</w:t>
      </w:r>
      <w:r>
        <w:rPr>
          <w:spacing w:val="-9"/>
          <w:sz w:val="20"/>
        </w:rPr>
        <w:t> </w:t>
      </w:r>
      <w:r>
        <w:rPr>
          <w:sz w:val="20"/>
        </w:rPr>
        <w:t>ADS</w:t>
      </w:r>
      <w:r>
        <w:rPr>
          <w:spacing w:val="-8"/>
          <w:sz w:val="20"/>
        </w:rPr>
        <w:t> </w:t>
      </w:r>
      <w:r>
        <w:rPr>
          <w:sz w:val="20"/>
        </w:rPr>
        <w:t>and</w:t>
      </w:r>
      <w:r>
        <w:rPr>
          <w:spacing w:val="-9"/>
          <w:sz w:val="20"/>
        </w:rPr>
        <w:t> </w:t>
      </w:r>
      <w:r>
        <w:rPr>
          <w:sz w:val="20"/>
        </w:rPr>
        <w:t>CFB.</w:t>
      </w:r>
      <w:r>
        <w:rPr>
          <w:spacing w:val="-8"/>
          <w:sz w:val="20"/>
        </w:rPr>
        <w:t> </w:t>
      </w:r>
      <w:r>
        <w:rPr>
          <w:sz w:val="20"/>
        </w:rPr>
        <w:t>The</w:t>
      </w:r>
      <w:r>
        <w:rPr>
          <w:spacing w:val="-9"/>
          <w:sz w:val="20"/>
        </w:rPr>
        <w:t> </w:t>
      </w:r>
      <w:r>
        <w:rPr>
          <w:sz w:val="20"/>
        </w:rPr>
        <w:t>definitions</w:t>
      </w:r>
      <w:r>
        <w:rPr>
          <w:spacing w:val="-7"/>
          <w:sz w:val="20"/>
        </w:rPr>
        <w:t> </w:t>
      </w:r>
      <w:r>
        <w:rPr>
          <w:sz w:val="20"/>
        </w:rPr>
        <w:t>of</w:t>
      </w:r>
      <w:r>
        <w:rPr>
          <w:spacing w:val="-9"/>
          <w:sz w:val="20"/>
        </w:rPr>
        <w:t> </w:t>
      </w:r>
      <w:r>
        <w:rPr>
          <w:sz w:val="20"/>
        </w:rPr>
        <w:t>each</w:t>
      </w:r>
      <w:r>
        <w:rPr>
          <w:spacing w:val="-8"/>
          <w:sz w:val="20"/>
        </w:rPr>
        <w:t> </w:t>
      </w:r>
      <w:r>
        <w:rPr>
          <w:sz w:val="20"/>
        </w:rPr>
        <w:t>are</w:t>
      </w:r>
      <w:r>
        <w:rPr>
          <w:spacing w:val="-9"/>
          <w:sz w:val="20"/>
        </w:rPr>
        <w:t> </w:t>
      </w:r>
      <w:r>
        <w:rPr>
          <w:sz w:val="20"/>
        </w:rPr>
        <w:t>discussed</w:t>
      </w:r>
      <w:r>
        <w:rPr>
          <w:spacing w:val="-8"/>
          <w:sz w:val="20"/>
        </w:rPr>
        <w:t> </w:t>
      </w:r>
      <w:r>
        <w:rPr>
          <w:sz w:val="20"/>
        </w:rPr>
        <w:t>in</w:t>
      </w:r>
      <w:r>
        <w:rPr>
          <w:spacing w:val="-9"/>
          <w:sz w:val="20"/>
        </w:rPr>
        <w:t> </w:t>
      </w:r>
      <w:r>
        <w:rPr>
          <w:sz w:val="20"/>
        </w:rPr>
        <w:t>turn,</w:t>
      </w:r>
      <w:r>
        <w:rPr>
          <w:spacing w:val="-8"/>
          <w:sz w:val="20"/>
        </w:rPr>
        <w:t> </w:t>
      </w:r>
      <w:r>
        <w:rPr>
          <w:sz w:val="20"/>
        </w:rPr>
        <w:t>followed</w:t>
      </w:r>
      <w:r>
        <w:rPr>
          <w:spacing w:val="-11"/>
          <w:sz w:val="20"/>
        </w:rPr>
        <w:t> </w:t>
      </w:r>
      <w:r>
        <w:rPr>
          <w:sz w:val="20"/>
        </w:rPr>
        <w:t>by</w:t>
      </w:r>
      <w:r>
        <w:rPr>
          <w:spacing w:val="-12"/>
          <w:sz w:val="20"/>
        </w:rPr>
        <w:t> </w:t>
      </w:r>
      <w:r>
        <w:rPr>
          <w:sz w:val="20"/>
        </w:rPr>
        <w:t>a</w:t>
      </w:r>
      <w:r>
        <w:rPr>
          <w:spacing w:val="-8"/>
          <w:sz w:val="20"/>
        </w:rPr>
        <w:t> </w:t>
      </w:r>
      <w:r>
        <w:rPr>
          <w:sz w:val="20"/>
        </w:rPr>
        <w:t>discussion</w:t>
      </w:r>
      <w:r>
        <w:rPr>
          <w:spacing w:val="-9"/>
          <w:sz w:val="20"/>
        </w:rPr>
        <w:t> </w:t>
      </w:r>
      <w:r>
        <w:rPr>
          <w:sz w:val="20"/>
        </w:rPr>
        <w:t>of</w:t>
      </w:r>
      <w:r>
        <w:rPr>
          <w:spacing w:val="-8"/>
          <w:sz w:val="20"/>
        </w:rPr>
        <w:t> </w:t>
      </w:r>
      <w:r>
        <w:rPr>
          <w:sz w:val="20"/>
        </w:rPr>
        <w:t>the</w:t>
      </w:r>
      <w:r>
        <w:rPr>
          <w:spacing w:val="-10"/>
          <w:sz w:val="20"/>
        </w:rPr>
        <w:t> </w:t>
      </w:r>
      <w:r>
        <w:rPr>
          <w:sz w:val="20"/>
        </w:rPr>
        <w:t>sectors</w:t>
      </w:r>
      <w:r>
        <w:rPr>
          <w:spacing w:val="-9"/>
          <w:sz w:val="20"/>
        </w:rPr>
        <w:t> </w:t>
      </w:r>
      <w:r>
        <w:rPr>
          <w:sz w:val="20"/>
        </w:rPr>
        <w:t>that are excluded from the scope of Amount</w:t>
      </w:r>
      <w:r>
        <w:rPr>
          <w:spacing w:val="-4"/>
          <w:sz w:val="20"/>
        </w:rPr>
        <w:t> </w:t>
      </w:r>
      <w:r>
        <w:rPr>
          <w:sz w:val="20"/>
        </w:rPr>
        <w:t>A.</w:t>
      </w:r>
    </w:p>
    <w:p>
      <w:pPr>
        <w:pStyle w:val="BodyText"/>
        <w:spacing w:before="6"/>
        <w:rPr>
          <w:sz w:val="23"/>
        </w:rPr>
      </w:pPr>
    </w:p>
    <w:p>
      <w:pPr>
        <w:pStyle w:val="Heading6"/>
        <w:numPr>
          <w:ilvl w:val="2"/>
          <w:numId w:val="7"/>
        </w:numPr>
        <w:tabs>
          <w:tab w:pos="2015" w:val="left" w:leader="none"/>
        </w:tabs>
        <w:spacing w:line="240" w:lineRule="auto" w:before="0" w:after="0"/>
        <w:ind w:left="2014" w:right="0" w:hanging="613"/>
        <w:jc w:val="left"/>
        <w:rPr>
          <w:i/>
        </w:rPr>
      </w:pPr>
      <w:bookmarkStart w:name="2.2.1. Automated digital services" w:id="38"/>
      <w:bookmarkEnd w:id="38"/>
      <w:r>
        <w:rPr>
          <w:b w:val="0"/>
          <w:i w:val="0"/>
        </w:rPr>
      </w:r>
      <w:bookmarkStart w:name="2.2.1. Automated digital services" w:id="39"/>
      <w:bookmarkEnd w:id="39"/>
      <w:r>
        <w:rPr>
          <w:i/>
        </w:rPr>
        <w:t>A</w:t>
      </w:r>
      <w:r>
        <w:rPr>
          <w:i/>
        </w:rPr>
        <w:t>utomated digital</w:t>
      </w:r>
      <w:r>
        <w:rPr>
          <w:i/>
          <w:spacing w:val="-2"/>
        </w:rPr>
        <w:t> </w:t>
      </w:r>
      <w:r>
        <w:rPr>
          <w:i/>
        </w:rPr>
        <w:t>services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483" w:firstLine="0"/>
        <w:jc w:val="both"/>
        <w:rPr>
          <w:sz w:val="20"/>
        </w:rPr>
      </w:pPr>
      <w:r>
        <w:rPr>
          <w:sz w:val="20"/>
        </w:rPr>
        <w:t>The</w:t>
      </w:r>
      <w:r>
        <w:rPr>
          <w:spacing w:val="-10"/>
          <w:sz w:val="20"/>
        </w:rPr>
        <w:t> </w:t>
      </w:r>
      <w:r>
        <w:rPr>
          <w:sz w:val="20"/>
        </w:rPr>
        <w:t>proposed</w:t>
      </w:r>
      <w:r>
        <w:rPr>
          <w:spacing w:val="-7"/>
          <w:sz w:val="20"/>
        </w:rPr>
        <w:t> </w:t>
      </w:r>
      <w:r>
        <w:rPr>
          <w:sz w:val="20"/>
        </w:rPr>
        <w:t>definition</w:t>
      </w:r>
      <w:r>
        <w:rPr>
          <w:spacing w:val="-7"/>
          <w:sz w:val="20"/>
        </w:rPr>
        <w:t> </w:t>
      </w:r>
      <w:r>
        <w:rPr>
          <w:sz w:val="20"/>
        </w:rPr>
        <w:t>for</w:t>
      </w:r>
      <w:r>
        <w:rPr>
          <w:spacing w:val="-7"/>
          <w:sz w:val="20"/>
        </w:rPr>
        <w:t> </w:t>
      </w:r>
      <w:r>
        <w:rPr>
          <w:sz w:val="20"/>
        </w:rPr>
        <w:t>ADS</w:t>
      </w:r>
      <w:r>
        <w:rPr>
          <w:spacing w:val="-7"/>
          <w:sz w:val="20"/>
        </w:rPr>
        <w:t> </w:t>
      </w:r>
      <w:r>
        <w:rPr>
          <w:sz w:val="20"/>
        </w:rPr>
        <w:t>is</w:t>
      </w:r>
      <w:r>
        <w:rPr>
          <w:spacing w:val="-8"/>
          <w:sz w:val="20"/>
        </w:rPr>
        <w:t> </w:t>
      </w:r>
      <w:r>
        <w:rPr>
          <w:sz w:val="20"/>
        </w:rPr>
        <w:t>comprised</w:t>
      </w:r>
      <w:r>
        <w:rPr>
          <w:spacing w:val="-9"/>
          <w:sz w:val="20"/>
        </w:rPr>
        <w:t> </w:t>
      </w:r>
      <w:r>
        <w:rPr>
          <w:sz w:val="20"/>
        </w:rPr>
        <w:t>of</w:t>
      </w:r>
      <w:r>
        <w:rPr>
          <w:spacing w:val="-8"/>
          <w:sz w:val="20"/>
        </w:rPr>
        <w:t> </w:t>
      </w:r>
      <w:r>
        <w:rPr>
          <w:sz w:val="20"/>
        </w:rPr>
        <w:t>a</w:t>
      </w:r>
      <w:r>
        <w:rPr>
          <w:spacing w:val="-7"/>
          <w:sz w:val="20"/>
        </w:rPr>
        <w:t> </w:t>
      </w:r>
      <w:r>
        <w:rPr>
          <w:sz w:val="20"/>
        </w:rPr>
        <w:t>general</w:t>
      </w:r>
      <w:r>
        <w:rPr>
          <w:spacing w:val="-7"/>
          <w:sz w:val="20"/>
        </w:rPr>
        <w:t> </w:t>
      </w:r>
      <w:r>
        <w:rPr>
          <w:sz w:val="20"/>
        </w:rPr>
        <w:t>definition;</w:t>
      </w:r>
      <w:r>
        <w:rPr>
          <w:spacing w:val="-6"/>
          <w:sz w:val="20"/>
        </w:rPr>
        <w:t> </w:t>
      </w:r>
      <w:r>
        <w:rPr>
          <w:sz w:val="20"/>
        </w:rPr>
        <w:t>a</w:t>
      </w:r>
      <w:r>
        <w:rPr>
          <w:spacing w:val="-10"/>
          <w:sz w:val="20"/>
        </w:rPr>
        <w:t> </w:t>
      </w:r>
      <w:r>
        <w:rPr>
          <w:sz w:val="20"/>
        </w:rPr>
        <w:t>positive</w:t>
      </w:r>
      <w:r>
        <w:rPr>
          <w:spacing w:val="-9"/>
          <w:sz w:val="20"/>
        </w:rPr>
        <w:t> </w:t>
      </w:r>
      <w:r>
        <w:rPr>
          <w:sz w:val="20"/>
        </w:rPr>
        <w:t>list</w:t>
      </w:r>
      <w:r>
        <w:rPr>
          <w:spacing w:val="-7"/>
          <w:sz w:val="20"/>
        </w:rPr>
        <w:t> </w:t>
      </w:r>
      <w:r>
        <w:rPr>
          <w:sz w:val="20"/>
        </w:rPr>
        <w:t>of</w:t>
      </w:r>
      <w:r>
        <w:rPr>
          <w:spacing w:val="-7"/>
          <w:sz w:val="20"/>
        </w:rPr>
        <w:t> </w:t>
      </w:r>
      <w:r>
        <w:rPr>
          <w:sz w:val="20"/>
        </w:rPr>
        <w:t>services</w:t>
      </w:r>
      <w:r>
        <w:rPr>
          <w:spacing w:val="-9"/>
          <w:sz w:val="20"/>
        </w:rPr>
        <w:t> </w:t>
      </w:r>
      <w:r>
        <w:rPr>
          <w:sz w:val="20"/>
        </w:rPr>
        <w:t>that are in any event in scope of ADS business and a negative list of services that are not in scope of ADS business.</w:t>
      </w:r>
    </w:p>
    <w:p>
      <w:pPr>
        <w:pStyle w:val="ListParagraph"/>
        <w:numPr>
          <w:ilvl w:val="0"/>
          <w:numId w:val="4"/>
        </w:numPr>
        <w:tabs>
          <w:tab w:pos="1444" w:val="left" w:leader="none"/>
        </w:tabs>
        <w:spacing w:line="271" w:lineRule="auto" w:before="121" w:after="0"/>
        <w:ind w:left="723" w:right="482" w:firstLine="0"/>
        <w:jc w:val="both"/>
        <w:rPr>
          <w:sz w:val="20"/>
        </w:rPr>
      </w:pPr>
      <w:r>
        <w:rPr>
          <w:sz w:val="20"/>
        </w:rPr>
        <w:t>The general definition, supported by updatable lists, provides certainty combined with flexibility. The benefit of using a general definition supported by updateable lists is that it will be capable of accommodating rapid changes in technology that give rise to new types of ADS not otherwise contemplated by the positive or negative list, and allow the new Amount A rules to stand the test of time. As</w:t>
      </w:r>
      <w:r>
        <w:rPr>
          <w:spacing w:val="5"/>
          <w:sz w:val="20"/>
        </w:rPr>
        <w:t> </w:t>
      </w:r>
      <w:r>
        <w:rPr>
          <w:sz w:val="20"/>
        </w:rPr>
        <w:t>it</w:t>
      </w:r>
      <w:r>
        <w:rPr>
          <w:spacing w:val="7"/>
          <w:sz w:val="20"/>
        </w:rPr>
        <w:t> </w:t>
      </w:r>
      <w:r>
        <w:rPr>
          <w:sz w:val="20"/>
        </w:rPr>
        <w:t>would</w:t>
      </w:r>
      <w:r>
        <w:rPr>
          <w:spacing w:val="5"/>
          <w:sz w:val="20"/>
        </w:rPr>
        <w:t> </w:t>
      </w:r>
      <w:r>
        <w:rPr>
          <w:sz w:val="20"/>
        </w:rPr>
        <w:t>not</w:t>
      </w:r>
      <w:r>
        <w:rPr>
          <w:spacing w:val="8"/>
          <w:sz w:val="20"/>
        </w:rPr>
        <w:t> </w:t>
      </w:r>
      <w:r>
        <w:rPr>
          <w:sz w:val="20"/>
        </w:rPr>
        <w:t>be</w:t>
      </w:r>
      <w:r>
        <w:rPr>
          <w:spacing w:val="4"/>
          <w:sz w:val="20"/>
        </w:rPr>
        <w:t> </w:t>
      </w:r>
      <w:r>
        <w:rPr>
          <w:sz w:val="20"/>
        </w:rPr>
        <w:t>possible</w:t>
      </w:r>
      <w:r>
        <w:rPr>
          <w:spacing w:val="7"/>
          <w:sz w:val="20"/>
        </w:rPr>
        <w:t> </w:t>
      </w:r>
      <w:r>
        <w:rPr>
          <w:sz w:val="20"/>
        </w:rPr>
        <w:t>for</w:t>
      </w:r>
      <w:r>
        <w:rPr>
          <w:spacing w:val="5"/>
          <w:sz w:val="20"/>
        </w:rPr>
        <w:t> </w:t>
      </w:r>
      <w:r>
        <w:rPr>
          <w:sz w:val="20"/>
        </w:rPr>
        <w:t>legislators</w:t>
      </w:r>
      <w:r>
        <w:rPr>
          <w:spacing w:val="7"/>
          <w:sz w:val="20"/>
        </w:rPr>
        <w:t> </w:t>
      </w:r>
      <w:r>
        <w:rPr>
          <w:sz w:val="20"/>
        </w:rPr>
        <w:t>to</w:t>
      </w:r>
      <w:r>
        <w:rPr>
          <w:spacing w:val="4"/>
          <w:sz w:val="20"/>
        </w:rPr>
        <w:t> </w:t>
      </w:r>
      <w:r>
        <w:rPr>
          <w:sz w:val="20"/>
        </w:rPr>
        <w:t>continuously</w:t>
      </w:r>
      <w:r>
        <w:rPr>
          <w:spacing w:val="2"/>
          <w:sz w:val="20"/>
        </w:rPr>
        <w:t> </w:t>
      </w:r>
      <w:r>
        <w:rPr>
          <w:sz w:val="20"/>
        </w:rPr>
        <w:t>maintain</w:t>
      </w:r>
      <w:r>
        <w:rPr>
          <w:spacing w:val="5"/>
          <w:sz w:val="20"/>
        </w:rPr>
        <w:t> </w:t>
      </w:r>
      <w:r>
        <w:rPr>
          <w:sz w:val="20"/>
        </w:rPr>
        <w:t>exhaustive</w:t>
      </w:r>
      <w:r>
        <w:rPr>
          <w:spacing w:val="7"/>
          <w:sz w:val="20"/>
        </w:rPr>
        <w:t> </w:t>
      </w:r>
      <w:r>
        <w:rPr>
          <w:sz w:val="20"/>
        </w:rPr>
        <w:t>positive</w:t>
      </w:r>
      <w:r>
        <w:rPr>
          <w:spacing w:val="5"/>
          <w:sz w:val="20"/>
        </w:rPr>
        <w:t> </w:t>
      </w:r>
      <w:r>
        <w:rPr>
          <w:sz w:val="20"/>
        </w:rPr>
        <w:t>and</w:t>
      </w:r>
      <w:r>
        <w:rPr>
          <w:spacing w:val="4"/>
          <w:sz w:val="20"/>
        </w:rPr>
        <w:t> </w:t>
      </w:r>
      <w:r>
        <w:rPr>
          <w:sz w:val="20"/>
        </w:rPr>
        <w:t>negative</w:t>
      </w:r>
      <w:r>
        <w:rPr>
          <w:spacing w:val="5"/>
          <w:sz w:val="20"/>
        </w:rPr>
        <w:t> </w:t>
      </w:r>
      <w:r>
        <w:rPr>
          <w:sz w:val="20"/>
        </w:rPr>
        <w:t>lists</w:t>
      </w:r>
    </w:p>
    <w:p>
      <w:pPr>
        <w:pStyle w:val="BodyText"/>
        <w:spacing w:before="10"/>
        <w:rPr>
          <w:sz w:val="28"/>
        </w:rPr>
      </w:pPr>
      <w:r>
        <w:rPr/>
        <w:pict>
          <v:rect style="position:absolute;margin-left:65.183998pt;margin-top:18.573885pt;width:144.020004pt;height:.60004pt;mso-position-horizontal-relative:page;mso-position-vertical-relative:paragraph;z-index:-1571635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28" w:val="left" w:leader="none"/>
        </w:tabs>
        <w:spacing w:line="240" w:lineRule="auto" w:before="94" w:after="0"/>
        <w:ind w:left="927" w:right="0" w:hanging="205"/>
        <w:jc w:val="left"/>
        <w:rPr>
          <w:sz w:val="18"/>
        </w:rPr>
      </w:pPr>
      <w:r>
        <w:rPr>
          <w:sz w:val="18"/>
        </w:rPr>
        <w:t>see CTPA/CFA/WP2/NOE2(2020)10).</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that</w:t>
      </w:r>
      <w:r>
        <w:rPr>
          <w:spacing w:val="-11"/>
        </w:rPr>
        <w:t> </w:t>
      </w:r>
      <w:r>
        <w:rPr/>
        <w:t>keep</w:t>
      </w:r>
      <w:r>
        <w:rPr>
          <w:spacing w:val="-11"/>
        </w:rPr>
        <w:t> </w:t>
      </w:r>
      <w:r>
        <w:rPr/>
        <w:t>pace</w:t>
      </w:r>
      <w:r>
        <w:rPr>
          <w:spacing w:val="-9"/>
        </w:rPr>
        <w:t> </w:t>
      </w:r>
      <w:r>
        <w:rPr/>
        <w:t>with</w:t>
      </w:r>
      <w:r>
        <w:rPr>
          <w:spacing w:val="-11"/>
        </w:rPr>
        <w:t> </w:t>
      </w:r>
      <w:r>
        <w:rPr/>
        <w:t>these</w:t>
      </w:r>
      <w:r>
        <w:rPr>
          <w:spacing w:val="-9"/>
        </w:rPr>
        <w:t> </w:t>
      </w:r>
      <w:r>
        <w:rPr/>
        <w:t>developments,</w:t>
      </w:r>
      <w:r>
        <w:rPr>
          <w:spacing w:val="-11"/>
        </w:rPr>
        <w:t> </w:t>
      </w:r>
      <w:r>
        <w:rPr/>
        <w:t>the</w:t>
      </w:r>
      <w:r>
        <w:rPr>
          <w:spacing w:val="-11"/>
        </w:rPr>
        <w:t> </w:t>
      </w:r>
      <w:r>
        <w:rPr/>
        <w:t>general</w:t>
      </w:r>
      <w:r>
        <w:rPr>
          <w:spacing w:val="-11"/>
        </w:rPr>
        <w:t> </w:t>
      </w:r>
      <w:r>
        <w:rPr/>
        <w:t>definition</w:t>
      </w:r>
      <w:r>
        <w:rPr>
          <w:spacing w:val="-9"/>
        </w:rPr>
        <w:t> </w:t>
      </w:r>
      <w:r>
        <w:rPr/>
        <w:t>ensures</w:t>
      </w:r>
      <w:r>
        <w:rPr>
          <w:spacing w:val="-10"/>
        </w:rPr>
        <w:t> </w:t>
      </w:r>
      <w:r>
        <w:rPr/>
        <w:t>that</w:t>
      </w:r>
      <w:r>
        <w:rPr>
          <w:spacing w:val="-10"/>
        </w:rPr>
        <w:t> </w:t>
      </w:r>
      <w:r>
        <w:rPr/>
        <w:t>there</w:t>
      </w:r>
      <w:r>
        <w:rPr>
          <w:spacing w:val="-9"/>
        </w:rPr>
        <w:t> </w:t>
      </w:r>
      <w:r>
        <w:rPr/>
        <w:t>is</w:t>
      </w:r>
      <w:r>
        <w:rPr>
          <w:spacing w:val="-9"/>
        </w:rPr>
        <w:t> </w:t>
      </w:r>
      <w:r>
        <w:rPr/>
        <w:t>a</w:t>
      </w:r>
      <w:r>
        <w:rPr>
          <w:spacing w:val="-12"/>
        </w:rPr>
        <w:t> </w:t>
      </w:r>
      <w:r>
        <w:rPr/>
        <w:t>rule</w:t>
      </w:r>
      <w:r>
        <w:rPr>
          <w:spacing w:val="-8"/>
        </w:rPr>
        <w:t> </w:t>
      </w:r>
      <w:r>
        <w:rPr/>
        <w:t>in</w:t>
      </w:r>
      <w:r>
        <w:rPr>
          <w:spacing w:val="-9"/>
        </w:rPr>
        <w:t> </w:t>
      </w:r>
      <w:r>
        <w:rPr/>
        <w:t>place</w:t>
      </w:r>
      <w:r>
        <w:rPr>
          <w:spacing w:val="-9"/>
        </w:rPr>
        <w:t> </w:t>
      </w:r>
      <w:r>
        <w:rPr/>
        <w:t>to</w:t>
      </w:r>
      <w:r>
        <w:rPr>
          <w:spacing w:val="-8"/>
        </w:rPr>
        <w:t> </w:t>
      </w:r>
      <w:r>
        <w:rPr/>
        <w:t>bring in</w:t>
      </w:r>
      <w:r>
        <w:rPr>
          <w:spacing w:val="-17"/>
        </w:rPr>
        <w:t> </w:t>
      </w:r>
      <w:r>
        <w:rPr/>
        <w:t>scope</w:t>
      </w:r>
      <w:r>
        <w:rPr>
          <w:spacing w:val="-16"/>
        </w:rPr>
        <w:t> </w:t>
      </w:r>
      <w:r>
        <w:rPr/>
        <w:t>(or</w:t>
      </w:r>
      <w:r>
        <w:rPr>
          <w:spacing w:val="-16"/>
        </w:rPr>
        <w:t> </w:t>
      </w:r>
      <w:r>
        <w:rPr/>
        <w:t>exclude</w:t>
      </w:r>
      <w:r>
        <w:rPr>
          <w:spacing w:val="-16"/>
        </w:rPr>
        <w:t> </w:t>
      </w:r>
      <w:r>
        <w:rPr/>
        <w:t>from</w:t>
      </w:r>
      <w:r>
        <w:rPr>
          <w:spacing w:val="-13"/>
        </w:rPr>
        <w:t> </w:t>
      </w:r>
      <w:r>
        <w:rPr/>
        <w:t>scope)</w:t>
      </w:r>
      <w:r>
        <w:rPr>
          <w:spacing w:val="-16"/>
        </w:rPr>
        <w:t> </w:t>
      </w:r>
      <w:r>
        <w:rPr/>
        <w:t>business</w:t>
      </w:r>
      <w:r>
        <w:rPr>
          <w:spacing w:val="-15"/>
        </w:rPr>
        <w:t> </w:t>
      </w:r>
      <w:r>
        <w:rPr/>
        <w:t>models</w:t>
      </w:r>
      <w:r>
        <w:rPr>
          <w:spacing w:val="-16"/>
        </w:rPr>
        <w:t> </w:t>
      </w:r>
      <w:r>
        <w:rPr/>
        <w:t>that</w:t>
      </w:r>
      <w:r>
        <w:rPr>
          <w:spacing w:val="-16"/>
        </w:rPr>
        <w:t> </w:t>
      </w:r>
      <w:r>
        <w:rPr/>
        <w:t>are</w:t>
      </w:r>
      <w:r>
        <w:rPr>
          <w:spacing w:val="-16"/>
        </w:rPr>
        <w:t> </w:t>
      </w:r>
      <w:r>
        <w:rPr/>
        <w:t>not</w:t>
      </w:r>
      <w:r>
        <w:rPr>
          <w:spacing w:val="-17"/>
        </w:rPr>
        <w:t> </w:t>
      </w:r>
      <w:r>
        <w:rPr/>
        <w:t>otherwise</w:t>
      </w:r>
      <w:r>
        <w:rPr>
          <w:spacing w:val="-16"/>
        </w:rPr>
        <w:t> </w:t>
      </w:r>
      <w:r>
        <w:rPr/>
        <w:t>explicitly</w:t>
      </w:r>
      <w:r>
        <w:rPr>
          <w:spacing w:val="-19"/>
        </w:rPr>
        <w:t> </w:t>
      </w:r>
      <w:r>
        <w:rPr/>
        <w:t>contained</w:t>
      </w:r>
      <w:r>
        <w:rPr>
          <w:spacing w:val="-15"/>
        </w:rPr>
        <w:t> </w:t>
      </w:r>
      <w:r>
        <w:rPr/>
        <w:t>on</w:t>
      </w:r>
      <w:r>
        <w:rPr>
          <w:spacing w:val="-17"/>
        </w:rPr>
        <w:t> </w:t>
      </w:r>
      <w:r>
        <w:rPr/>
        <w:t>the</w:t>
      </w:r>
      <w:r>
        <w:rPr>
          <w:spacing w:val="-15"/>
        </w:rPr>
        <w:t> </w:t>
      </w:r>
      <w:r>
        <w:rPr/>
        <w:t>positive list or negative list, until a new or evolved business model can be included on the positive or negative list. The application of the general definition will be supported by an early certainty process, to ensure that MNEs and tax administrations have certainty and consistency in the application of the</w:t>
      </w:r>
      <w:r>
        <w:rPr>
          <w:spacing w:val="-26"/>
        </w:rPr>
        <w:t> </w:t>
      </w:r>
      <w:r>
        <w:rPr/>
        <w:t>scope.</w:t>
      </w:r>
    </w:p>
    <w:p>
      <w:pPr>
        <w:pStyle w:val="ListParagraph"/>
        <w:numPr>
          <w:ilvl w:val="0"/>
          <w:numId w:val="4"/>
        </w:numPr>
        <w:tabs>
          <w:tab w:pos="1444" w:val="left" w:leader="none"/>
        </w:tabs>
        <w:spacing w:line="271" w:lineRule="auto" w:before="119" w:after="0"/>
        <w:ind w:left="723" w:right="483" w:firstLine="0"/>
        <w:jc w:val="both"/>
        <w:rPr>
          <w:sz w:val="20"/>
        </w:rPr>
      </w:pPr>
      <w:r>
        <w:rPr>
          <w:sz w:val="20"/>
        </w:rPr>
        <w:t>The benefit of using the positive and negative lists is that it provides certainty and precision with respect to the business models that are currently known, and avoids the need for those businesses to apply the general test. As these lists are then updated as jurisdictions gain experience with the rules (including being informed by the early certainty process) and new business models evolve, those lists will also continue to provide certainty over</w:t>
      </w:r>
      <w:r>
        <w:rPr>
          <w:spacing w:val="-11"/>
          <w:sz w:val="20"/>
        </w:rPr>
        <w:t> </w:t>
      </w:r>
      <w:r>
        <w:rPr>
          <w:sz w:val="20"/>
        </w:rPr>
        <w:t>time.</w:t>
      </w:r>
    </w:p>
    <w:p>
      <w:pPr>
        <w:pStyle w:val="ListParagraph"/>
        <w:numPr>
          <w:ilvl w:val="0"/>
          <w:numId w:val="4"/>
        </w:numPr>
        <w:tabs>
          <w:tab w:pos="1444" w:val="left" w:leader="none"/>
        </w:tabs>
        <w:spacing w:line="271" w:lineRule="auto" w:before="121" w:after="0"/>
        <w:ind w:left="723" w:right="478" w:firstLine="0"/>
        <w:jc w:val="both"/>
        <w:rPr>
          <w:sz w:val="20"/>
        </w:rPr>
      </w:pPr>
      <w:r>
        <w:rPr>
          <w:sz w:val="20"/>
        </w:rPr>
        <w:t>In practice, businesses and tax administrations could generally apply the rules by going through the following process. First, identify whether an activity is on the positive list (i.e. included); if it is, it is an ADS</w:t>
      </w:r>
      <w:r>
        <w:rPr>
          <w:spacing w:val="-9"/>
          <w:sz w:val="20"/>
        </w:rPr>
        <w:t> </w:t>
      </w:r>
      <w:r>
        <w:rPr>
          <w:sz w:val="20"/>
        </w:rPr>
        <w:t>business.</w:t>
      </w:r>
      <w:r>
        <w:rPr>
          <w:spacing w:val="-9"/>
          <w:sz w:val="20"/>
        </w:rPr>
        <w:t> </w:t>
      </w:r>
      <w:r>
        <w:rPr>
          <w:sz w:val="20"/>
        </w:rPr>
        <w:t>Second,</w:t>
      </w:r>
      <w:r>
        <w:rPr>
          <w:spacing w:val="-9"/>
          <w:sz w:val="20"/>
        </w:rPr>
        <w:t> </w:t>
      </w:r>
      <w:r>
        <w:rPr>
          <w:sz w:val="20"/>
        </w:rPr>
        <w:t>if</w:t>
      </w:r>
      <w:r>
        <w:rPr>
          <w:spacing w:val="-6"/>
          <w:sz w:val="20"/>
        </w:rPr>
        <w:t> </w:t>
      </w:r>
      <w:r>
        <w:rPr>
          <w:sz w:val="20"/>
        </w:rPr>
        <w:t>the</w:t>
      </w:r>
      <w:r>
        <w:rPr>
          <w:spacing w:val="-9"/>
          <w:sz w:val="20"/>
        </w:rPr>
        <w:t> </w:t>
      </w:r>
      <w:r>
        <w:rPr>
          <w:sz w:val="20"/>
        </w:rPr>
        <w:t>activity</w:t>
      </w:r>
      <w:r>
        <w:rPr>
          <w:spacing w:val="-11"/>
          <w:sz w:val="20"/>
        </w:rPr>
        <w:t> </w:t>
      </w:r>
      <w:r>
        <w:rPr>
          <w:sz w:val="20"/>
        </w:rPr>
        <w:t>is</w:t>
      </w:r>
      <w:r>
        <w:rPr>
          <w:spacing w:val="-8"/>
          <w:sz w:val="20"/>
        </w:rPr>
        <w:t> </w:t>
      </w:r>
      <w:r>
        <w:rPr>
          <w:sz w:val="20"/>
        </w:rPr>
        <w:t>not</w:t>
      </w:r>
      <w:r>
        <w:rPr>
          <w:spacing w:val="-9"/>
          <w:sz w:val="20"/>
        </w:rPr>
        <w:t> </w:t>
      </w:r>
      <w:r>
        <w:rPr>
          <w:sz w:val="20"/>
        </w:rPr>
        <w:t>on</w:t>
      </w:r>
      <w:r>
        <w:rPr>
          <w:spacing w:val="-9"/>
          <w:sz w:val="20"/>
        </w:rPr>
        <w:t> </w:t>
      </w:r>
      <w:r>
        <w:rPr>
          <w:sz w:val="20"/>
        </w:rPr>
        <w:t>the</w:t>
      </w:r>
      <w:r>
        <w:rPr>
          <w:spacing w:val="-6"/>
          <w:sz w:val="20"/>
        </w:rPr>
        <w:t> </w:t>
      </w:r>
      <w:r>
        <w:rPr>
          <w:sz w:val="20"/>
        </w:rPr>
        <w:t>positive</w:t>
      </w:r>
      <w:r>
        <w:rPr>
          <w:spacing w:val="-8"/>
          <w:sz w:val="20"/>
        </w:rPr>
        <w:t> </w:t>
      </w:r>
      <w:r>
        <w:rPr>
          <w:sz w:val="20"/>
        </w:rPr>
        <w:t>list,</w:t>
      </w:r>
      <w:r>
        <w:rPr>
          <w:spacing w:val="-9"/>
          <w:sz w:val="20"/>
        </w:rPr>
        <w:t> </w:t>
      </w:r>
      <w:r>
        <w:rPr>
          <w:sz w:val="20"/>
        </w:rPr>
        <w:t>identify</w:t>
      </w:r>
      <w:r>
        <w:rPr>
          <w:spacing w:val="-11"/>
          <w:sz w:val="20"/>
        </w:rPr>
        <w:t> </w:t>
      </w:r>
      <w:r>
        <w:rPr>
          <w:sz w:val="20"/>
        </w:rPr>
        <w:t>whether</w:t>
      </w:r>
      <w:r>
        <w:rPr>
          <w:spacing w:val="-8"/>
          <w:sz w:val="20"/>
        </w:rPr>
        <w:t> </w:t>
      </w:r>
      <w:r>
        <w:rPr>
          <w:sz w:val="20"/>
        </w:rPr>
        <w:t>it</w:t>
      </w:r>
      <w:r>
        <w:rPr>
          <w:spacing w:val="-9"/>
          <w:sz w:val="20"/>
        </w:rPr>
        <w:t> </w:t>
      </w:r>
      <w:r>
        <w:rPr>
          <w:sz w:val="20"/>
        </w:rPr>
        <w:t>is</w:t>
      </w:r>
      <w:r>
        <w:rPr>
          <w:spacing w:val="-4"/>
          <w:sz w:val="20"/>
        </w:rPr>
        <w:t> </w:t>
      </w:r>
      <w:r>
        <w:rPr>
          <w:sz w:val="20"/>
        </w:rPr>
        <w:t>on</w:t>
      </w:r>
      <w:r>
        <w:rPr>
          <w:spacing w:val="-9"/>
          <w:sz w:val="20"/>
        </w:rPr>
        <w:t> </w:t>
      </w:r>
      <w:r>
        <w:rPr>
          <w:sz w:val="20"/>
        </w:rPr>
        <w:t>the</w:t>
      </w:r>
      <w:r>
        <w:rPr>
          <w:spacing w:val="-7"/>
          <w:sz w:val="20"/>
        </w:rPr>
        <w:t> </w:t>
      </w:r>
      <w:r>
        <w:rPr>
          <w:sz w:val="20"/>
        </w:rPr>
        <w:t>negative</w:t>
      </w:r>
      <w:r>
        <w:rPr>
          <w:spacing w:val="-8"/>
          <w:sz w:val="20"/>
        </w:rPr>
        <w:t> </w:t>
      </w:r>
      <w:r>
        <w:rPr>
          <w:sz w:val="20"/>
        </w:rPr>
        <w:t>list</w:t>
      </w:r>
      <w:r>
        <w:rPr>
          <w:spacing w:val="-7"/>
          <w:sz w:val="20"/>
        </w:rPr>
        <w:t> </w:t>
      </w:r>
      <w:r>
        <w:rPr>
          <w:sz w:val="20"/>
        </w:rPr>
        <w:t>(i.e. excluded);</w:t>
      </w:r>
      <w:r>
        <w:rPr>
          <w:spacing w:val="-9"/>
          <w:sz w:val="20"/>
        </w:rPr>
        <w:t> </w:t>
      </w:r>
      <w:r>
        <w:rPr>
          <w:sz w:val="20"/>
        </w:rPr>
        <w:t>if</w:t>
      </w:r>
      <w:r>
        <w:rPr>
          <w:spacing w:val="-6"/>
          <w:sz w:val="20"/>
        </w:rPr>
        <w:t> </w:t>
      </w:r>
      <w:r>
        <w:rPr>
          <w:sz w:val="20"/>
        </w:rPr>
        <w:t>it</w:t>
      </w:r>
      <w:r>
        <w:rPr>
          <w:spacing w:val="-8"/>
          <w:sz w:val="20"/>
        </w:rPr>
        <w:t> </w:t>
      </w:r>
      <w:r>
        <w:rPr>
          <w:sz w:val="20"/>
        </w:rPr>
        <w:t>is,</w:t>
      </w:r>
      <w:r>
        <w:rPr>
          <w:spacing w:val="-6"/>
          <w:sz w:val="20"/>
        </w:rPr>
        <w:t> </w:t>
      </w:r>
      <w:r>
        <w:rPr>
          <w:sz w:val="20"/>
        </w:rPr>
        <w:t>it</w:t>
      </w:r>
      <w:r>
        <w:rPr>
          <w:spacing w:val="-5"/>
          <w:sz w:val="20"/>
        </w:rPr>
        <w:t> </w:t>
      </w:r>
      <w:r>
        <w:rPr>
          <w:sz w:val="20"/>
        </w:rPr>
        <w:t>is</w:t>
      </w:r>
      <w:r>
        <w:rPr>
          <w:spacing w:val="-7"/>
          <w:sz w:val="20"/>
        </w:rPr>
        <w:t> </w:t>
      </w:r>
      <w:r>
        <w:rPr>
          <w:sz w:val="20"/>
        </w:rPr>
        <w:t>not</w:t>
      </w:r>
      <w:r>
        <w:rPr>
          <w:spacing w:val="-8"/>
          <w:sz w:val="20"/>
        </w:rPr>
        <w:t> </w:t>
      </w:r>
      <w:r>
        <w:rPr>
          <w:sz w:val="20"/>
        </w:rPr>
        <w:t>an</w:t>
      </w:r>
      <w:r>
        <w:rPr>
          <w:spacing w:val="-6"/>
          <w:sz w:val="20"/>
        </w:rPr>
        <w:t> </w:t>
      </w:r>
      <w:r>
        <w:rPr>
          <w:sz w:val="20"/>
        </w:rPr>
        <w:t>ADS</w:t>
      </w:r>
      <w:r>
        <w:rPr>
          <w:spacing w:val="-6"/>
          <w:sz w:val="20"/>
        </w:rPr>
        <w:t> </w:t>
      </w:r>
      <w:r>
        <w:rPr>
          <w:sz w:val="20"/>
        </w:rPr>
        <w:t>business.</w:t>
      </w:r>
      <w:r>
        <w:rPr>
          <w:spacing w:val="-8"/>
          <w:sz w:val="20"/>
        </w:rPr>
        <w:t> </w:t>
      </w:r>
      <w:r>
        <w:rPr>
          <w:sz w:val="20"/>
        </w:rPr>
        <w:t>Only</w:t>
      </w:r>
      <w:r>
        <w:rPr>
          <w:spacing w:val="-11"/>
          <w:sz w:val="20"/>
        </w:rPr>
        <w:t> </w:t>
      </w:r>
      <w:r>
        <w:rPr>
          <w:sz w:val="20"/>
        </w:rPr>
        <w:t>if</w:t>
      </w:r>
      <w:r>
        <w:rPr>
          <w:spacing w:val="-7"/>
          <w:sz w:val="20"/>
        </w:rPr>
        <w:t> </w:t>
      </w:r>
      <w:r>
        <w:rPr>
          <w:sz w:val="20"/>
        </w:rPr>
        <w:t>an</w:t>
      </w:r>
      <w:r>
        <w:rPr>
          <w:spacing w:val="-6"/>
          <w:sz w:val="20"/>
        </w:rPr>
        <w:t> </w:t>
      </w:r>
      <w:r>
        <w:rPr>
          <w:sz w:val="20"/>
        </w:rPr>
        <w:t>activity</w:t>
      </w:r>
      <w:r>
        <w:rPr>
          <w:spacing w:val="-9"/>
          <w:sz w:val="20"/>
        </w:rPr>
        <w:t> </w:t>
      </w:r>
      <w:r>
        <w:rPr>
          <w:sz w:val="20"/>
        </w:rPr>
        <w:t>is</w:t>
      </w:r>
      <w:r>
        <w:rPr>
          <w:spacing w:val="-7"/>
          <w:sz w:val="20"/>
        </w:rPr>
        <w:t> </w:t>
      </w:r>
      <w:r>
        <w:rPr>
          <w:sz w:val="20"/>
        </w:rPr>
        <w:t>not</w:t>
      </w:r>
      <w:r>
        <w:rPr>
          <w:spacing w:val="-6"/>
          <w:sz w:val="20"/>
        </w:rPr>
        <w:t> </w:t>
      </w:r>
      <w:r>
        <w:rPr>
          <w:sz w:val="20"/>
        </w:rPr>
        <w:t>on</w:t>
      </w:r>
      <w:r>
        <w:rPr>
          <w:spacing w:val="-6"/>
          <w:sz w:val="20"/>
        </w:rPr>
        <w:t> </w:t>
      </w:r>
      <w:r>
        <w:rPr>
          <w:sz w:val="20"/>
        </w:rPr>
        <w:t>either</w:t>
      </w:r>
      <w:r>
        <w:rPr>
          <w:spacing w:val="-8"/>
          <w:sz w:val="20"/>
        </w:rPr>
        <w:t> </w:t>
      </w:r>
      <w:r>
        <w:rPr>
          <w:sz w:val="20"/>
        </w:rPr>
        <w:t>list</w:t>
      </w:r>
      <w:r>
        <w:rPr>
          <w:spacing w:val="-8"/>
          <w:sz w:val="20"/>
        </w:rPr>
        <w:t> </w:t>
      </w:r>
      <w:r>
        <w:rPr>
          <w:sz w:val="20"/>
        </w:rPr>
        <w:t>is</w:t>
      </w:r>
      <w:r>
        <w:rPr>
          <w:spacing w:val="-7"/>
          <w:sz w:val="20"/>
        </w:rPr>
        <w:t> </w:t>
      </w:r>
      <w:r>
        <w:rPr>
          <w:sz w:val="20"/>
        </w:rPr>
        <w:t>it</w:t>
      </w:r>
      <w:r>
        <w:rPr>
          <w:spacing w:val="-8"/>
          <w:sz w:val="20"/>
        </w:rPr>
        <w:t> </w:t>
      </w:r>
      <w:r>
        <w:rPr>
          <w:sz w:val="20"/>
        </w:rPr>
        <w:t>necessary</w:t>
      </w:r>
      <w:r>
        <w:rPr>
          <w:spacing w:val="-12"/>
          <w:sz w:val="20"/>
        </w:rPr>
        <w:t> </w:t>
      </w:r>
      <w:r>
        <w:rPr>
          <w:sz w:val="20"/>
        </w:rPr>
        <w:t>to</w:t>
      </w:r>
      <w:r>
        <w:rPr>
          <w:spacing w:val="-8"/>
          <w:sz w:val="20"/>
        </w:rPr>
        <w:t> </w:t>
      </w:r>
      <w:r>
        <w:rPr>
          <w:sz w:val="20"/>
        </w:rPr>
        <w:t>consider whether,</w:t>
      </w:r>
      <w:r>
        <w:rPr>
          <w:spacing w:val="-6"/>
          <w:sz w:val="20"/>
        </w:rPr>
        <w:t> </w:t>
      </w:r>
      <w:r>
        <w:rPr>
          <w:sz w:val="20"/>
        </w:rPr>
        <w:t>on</w:t>
      </w:r>
      <w:r>
        <w:rPr>
          <w:spacing w:val="-6"/>
          <w:sz w:val="20"/>
        </w:rPr>
        <w:t> </w:t>
      </w:r>
      <w:r>
        <w:rPr>
          <w:sz w:val="20"/>
        </w:rPr>
        <w:t>first</w:t>
      </w:r>
      <w:r>
        <w:rPr>
          <w:spacing w:val="-5"/>
          <w:sz w:val="20"/>
        </w:rPr>
        <w:t> </w:t>
      </w:r>
      <w:r>
        <w:rPr>
          <w:sz w:val="20"/>
        </w:rPr>
        <w:t>principles,</w:t>
      </w:r>
      <w:r>
        <w:rPr>
          <w:spacing w:val="-3"/>
          <w:sz w:val="20"/>
        </w:rPr>
        <w:t> </w:t>
      </w:r>
      <w:r>
        <w:rPr>
          <w:sz w:val="20"/>
        </w:rPr>
        <w:t>it</w:t>
      </w:r>
      <w:r>
        <w:rPr>
          <w:spacing w:val="-6"/>
          <w:sz w:val="20"/>
        </w:rPr>
        <w:t> </w:t>
      </w:r>
      <w:r>
        <w:rPr>
          <w:sz w:val="20"/>
        </w:rPr>
        <w:t>meets</w:t>
      </w:r>
      <w:r>
        <w:rPr>
          <w:spacing w:val="-4"/>
          <w:sz w:val="20"/>
        </w:rPr>
        <w:t> </w:t>
      </w:r>
      <w:r>
        <w:rPr>
          <w:sz w:val="20"/>
        </w:rPr>
        <w:t>the</w:t>
      </w:r>
      <w:r>
        <w:rPr>
          <w:spacing w:val="-6"/>
          <w:sz w:val="20"/>
        </w:rPr>
        <w:t> </w:t>
      </w:r>
      <w:r>
        <w:rPr>
          <w:sz w:val="20"/>
        </w:rPr>
        <w:t>conditions</w:t>
      </w:r>
      <w:r>
        <w:rPr>
          <w:spacing w:val="-4"/>
          <w:sz w:val="20"/>
        </w:rPr>
        <w:t> </w:t>
      </w:r>
      <w:r>
        <w:rPr>
          <w:sz w:val="20"/>
        </w:rPr>
        <w:t>in</w:t>
      </w:r>
      <w:r>
        <w:rPr>
          <w:spacing w:val="-6"/>
          <w:sz w:val="20"/>
        </w:rPr>
        <w:t> </w:t>
      </w:r>
      <w:r>
        <w:rPr>
          <w:sz w:val="20"/>
        </w:rPr>
        <w:t>the</w:t>
      </w:r>
      <w:r>
        <w:rPr>
          <w:spacing w:val="-7"/>
          <w:sz w:val="20"/>
        </w:rPr>
        <w:t> </w:t>
      </w:r>
      <w:r>
        <w:rPr>
          <w:sz w:val="20"/>
        </w:rPr>
        <w:t>general</w:t>
      </w:r>
      <w:r>
        <w:rPr>
          <w:spacing w:val="-6"/>
          <w:sz w:val="20"/>
        </w:rPr>
        <w:t> </w:t>
      </w:r>
      <w:r>
        <w:rPr>
          <w:sz w:val="20"/>
        </w:rPr>
        <w:t>definition.</w:t>
      </w:r>
      <w:r>
        <w:rPr>
          <w:spacing w:val="-5"/>
          <w:sz w:val="20"/>
        </w:rPr>
        <w:t> </w:t>
      </w:r>
      <w:r>
        <w:rPr>
          <w:sz w:val="20"/>
        </w:rPr>
        <w:t>It</w:t>
      </w:r>
      <w:r>
        <w:rPr>
          <w:spacing w:val="-3"/>
          <w:sz w:val="20"/>
        </w:rPr>
        <w:t> </w:t>
      </w:r>
      <w:r>
        <w:rPr>
          <w:sz w:val="20"/>
        </w:rPr>
        <w:t>is</w:t>
      </w:r>
      <w:r>
        <w:rPr>
          <w:spacing w:val="-5"/>
          <w:sz w:val="20"/>
        </w:rPr>
        <w:t> </w:t>
      </w:r>
      <w:r>
        <w:rPr>
          <w:sz w:val="20"/>
        </w:rPr>
        <w:t>noted</w:t>
      </w:r>
      <w:r>
        <w:rPr>
          <w:spacing w:val="-6"/>
          <w:sz w:val="20"/>
        </w:rPr>
        <w:t> </w:t>
      </w:r>
      <w:r>
        <w:rPr>
          <w:sz w:val="20"/>
        </w:rPr>
        <w:t>that</w:t>
      </w:r>
      <w:r>
        <w:rPr>
          <w:spacing w:val="-4"/>
          <w:sz w:val="20"/>
        </w:rPr>
        <w:t> </w:t>
      </w:r>
      <w:r>
        <w:rPr>
          <w:sz w:val="20"/>
        </w:rPr>
        <w:t>if</w:t>
      </w:r>
      <w:r>
        <w:rPr>
          <w:spacing w:val="-3"/>
          <w:sz w:val="20"/>
        </w:rPr>
        <w:t> </w:t>
      </w:r>
      <w:r>
        <w:rPr>
          <w:sz w:val="20"/>
        </w:rPr>
        <w:t>an</w:t>
      </w:r>
      <w:r>
        <w:rPr>
          <w:spacing w:val="-5"/>
          <w:sz w:val="20"/>
        </w:rPr>
        <w:t> </w:t>
      </w:r>
      <w:r>
        <w:rPr>
          <w:sz w:val="20"/>
        </w:rPr>
        <w:t>MNE</w:t>
      </w:r>
      <w:r>
        <w:rPr>
          <w:spacing w:val="-4"/>
          <w:sz w:val="20"/>
        </w:rPr>
        <w:t> </w:t>
      </w:r>
      <w:r>
        <w:rPr>
          <w:sz w:val="20"/>
        </w:rPr>
        <w:t>does not</w:t>
      </w:r>
      <w:r>
        <w:rPr>
          <w:spacing w:val="-14"/>
          <w:sz w:val="20"/>
        </w:rPr>
        <w:t> </w:t>
      </w:r>
      <w:r>
        <w:rPr>
          <w:sz w:val="20"/>
        </w:rPr>
        <w:t>fall</w:t>
      </w:r>
      <w:r>
        <w:rPr>
          <w:spacing w:val="-11"/>
          <w:sz w:val="20"/>
        </w:rPr>
        <w:t> </w:t>
      </w:r>
      <w:r>
        <w:rPr>
          <w:sz w:val="20"/>
        </w:rPr>
        <w:t>within</w:t>
      </w:r>
      <w:r>
        <w:rPr>
          <w:spacing w:val="-13"/>
          <w:sz w:val="20"/>
        </w:rPr>
        <w:t> </w:t>
      </w:r>
      <w:r>
        <w:rPr>
          <w:sz w:val="20"/>
        </w:rPr>
        <w:t>the</w:t>
      </w:r>
      <w:r>
        <w:rPr>
          <w:spacing w:val="-14"/>
          <w:sz w:val="20"/>
        </w:rPr>
        <w:t> </w:t>
      </w:r>
      <w:r>
        <w:rPr>
          <w:sz w:val="20"/>
        </w:rPr>
        <w:t>definition</w:t>
      </w:r>
      <w:r>
        <w:rPr>
          <w:spacing w:val="-11"/>
          <w:sz w:val="20"/>
        </w:rPr>
        <w:t> </w:t>
      </w:r>
      <w:r>
        <w:rPr>
          <w:sz w:val="20"/>
        </w:rPr>
        <w:t>of</w:t>
      </w:r>
      <w:r>
        <w:rPr>
          <w:spacing w:val="-12"/>
          <w:sz w:val="20"/>
        </w:rPr>
        <w:t> </w:t>
      </w:r>
      <w:r>
        <w:rPr>
          <w:sz w:val="20"/>
        </w:rPr>
        <w:t>ADS</w:t>
      </w:r>
      <w:r>
        <w:rPr>
          <w:spacing w:val="-13"/>
          <w:sz w:val="20"/>
        </w:rPr>
        <w:t> </w:t>
      </w:r>
      <w:r>
        <w:rPr>
          <w:sz w:val="20"/>
        </w:rPr>
        <w:t>following</w:t>
      </w:r>
      <w:r>
        <w:rPr>
          <w:spacing w:val="-11"/>
          <w:sz w:val="20"/>
        </w:rPr>
        <w:t> </w:t>
      </w:r>
      <w:r>
        <w:rPr>
          <w:sz w:val="20"/>
        </w:rPr>
        <w:t>this</w:t>
      </w:r>
      <w:r>
        <w:rPr>
          <w:spacing w:val="-12"/>
          <w:sz w:val="20"/>
        </w:rPr>
        <w:t> </w:t>
      </w:r>
      <w:r>
        <w:rPr>
          <w:sz w:val="20"/>
        </w:rPr>
        <w:t>approach,</w:t>
      </w:r>
      <w:r>
        <w:rPr>
          <w:spacing w:val="-13"/>
          <w:sz w:val="20"/>
        </w:rPr>
        <w:t> </w:t>
      </w:r>
      <w:r>
        <w:rPr>
          <w:sz w:val="20"/>
        </w:rPr>
        <w:t>it</w:t>
      </w:r>
      <w:r>
        <w:rPr>
          <w:spacing w:val="-10"/>
          <w:sz w:val="20"/>
        </w:rPr>
        <w:t> </w:t>
      </w:r>
      <w:r>
        <w:rPr>
          <w:sz w:val="20"/>
        </w:rPr>
        <w:t>may</w:t>
      </w:r>
      <w:r>
        <w:rPr>
          <w:spacing w:val="-18"/>
          <w:sz w:val="20"/>
        </w:rPr>
        <w:t> </w:t>
      </w:r>
      <w:r>
        <w:rPr>
          <w:sz w:val="20"/>
        </w:rPr>
        <w:t>however</w:t>
      </w:r>
      <w:r>
        <w:rPr>
          <w:spacing w:val="-11"/>
          <w:sz w:val="20"/>
        </w:rPr>
        <w:t> </w:t>
      </w:r>
      <w:r>
        <w:rPr>
          <w:sz w:val="20"/>
        </w:rPr>
        <w:t>be</w:t>
      </w:r>
      <w:r>
        <w:rPr>
          <w:spacing w:val="-11"/>
          <w:sz w:val="20"/>
        </w:rPr>
        <w:t> </w:t>
      </w:r>
      <w:r>
        <w:rPr>
          <w:sz w:val="20"/>
        </w:rPr>
        <w:t>in</w:t>
      </w:r>
      <w:r>
        <w:rPr>
          <w:spacing w:val="-14"/>
          <w:sz w:val="20"/>
        </w:rPr>
        <w:t> </w:t>
      </w:r>
      <w:r>
        <w:rPr>
          <w:sz w:val="20"/>
        </w:rPr>
        <w:t>scope</w:t>
      </w:r>
      <w:r>
        <w:rPr>
          <w:spacing w:val="-13"/>
          <w:sz w:val="20"/>
        </w:rPr>
        <w:t> </w:t>
      </w:r>
      <w:r>
        <w:rPr>
          <w:sz w:val="20"/>
        </w:rPr>
        <w:t>as</w:t>
      </w:r>
      <w:r>
        <w:rPr>
          <w:spacing w:val="-12"/>
          <w:sz w:val="20"/>
        </w:rPr>
        <w:t> </w:t>
      </w:r>
      <w:r>
        <w:rPr>
          <w:sz w:val="20"/>
        </w:rPr>
        <w:t>consumer-facing business.</w:t>
      </w:r>
      <w:r>
        <w:rPr>
          <w:spacing w:val="-6"/>
          <w:sz w:val="20"/>
        </w:rPr>
        <w:t> </w:t>
      </w:r>
      <w:r>
        <w:rPr>
          <w:sz w:val="20"/>
        </w:rPr>
        <w:t>The</w:t>
      </w:r>
      <w:r>
        <w:rPr>
          <w:spacing w:val="-7"/>
          <w:sz w:val="20"/>
        </w:rPr>
        <w:t> </w:t>
      </w:r>
      <w:r>
        <w:rPr>
          <w:sz w:val="20"/>
        </w:rPr>
        <w:t>legal</w:t>
      </w:r>
      <w:r>
        <w:rPr>
          <w:spacing w:val="-5"/>
          <w:sz w:val="20"/>
        </w:rPr>
        <w:t> </w:t>
      </w:r>
      <w:r>
        <w:rPr>
          <w:sz w:val="20"/>
        </w:rPr>
        <w:t>implementation</w:t>
      </w:r>
      <w:r>
        <w:rPr>
          <w:spacing w:val="-7"/>
          <w:sz w:val="20"/>
        </w:rPr>
        <w:t> </w:t>
      </w:r>
      <w:r>
        <w:rPr>
          <w:sz w:val="20"/>
        </w:rPr>
        <w:t>of</w:t>
      </w:r>
      <w:r>
        <w:rPr>
          <w:spacing w:val="-5"/>
          <w:sz w:val="20"/>
        </w:rPr>
        <w:t> </w:t>
      </w:r>
      <w:r>
        <w:rPr>
          <w:sz w:val="20"/>
        </w:rPr>
        <w:t>the</w:t>
      </w:r>
      <w:r>
        <w:rPr>
          <w:spacing w:val="-7"/>
          <w:sz w:val="20"/>
        </w:rPr>
        <w:t> </w:t>
      </w:r>
      <w:r>
        <w:rPr>
          <w:sz w:val="20"/>
        </w:rPr>
        <w:t>positive</w:t>
      </w:r>
      <w:r>
        <w:rPr>
          <w:spacing w:val="-7"/>
          <w:sz w:val="20"/>
        </w:rPr>
        <w:t> </w:t>
      </w:r>
      <w:r>
        <w:rPr>
          <w:sz w:val="20"/>
        </w:rPr>
        <w:t>and</w:t>
      </w:r>
      <w:r>
        <w:rPr>
          <w:spacing w:val="-4"/>
          <w:sz w:val="20"/>
        </w:rPr>
        <w:t> </w:t>
      </w:r>
      <w:r>
        <w:rPr>
          <w:sz w:val="20"/>
        </w:rPr>
        <w:t>negative</w:t>
      </w:r>
      <w:r>
        <w:rPr>
          <w:spacing w:val="-7"/>
          <w:sz w:val="20"/>
        </w:rPr>
        <w:t> </w:t>
      </w:r>
      <w:r>
        <w:rPr>
          <w:sz w:val="20"/>
        </w:rPr>
        <w:t>lists</w:t>
      </w:r>
      <w:r>
        <w:rPr>
          <w:spacing w:val="-5"/>
          <w:sz w:val="20"/>
        </w:rPr>
        <w:t> </w:t>
      </w:r>
      <w:r>
        <w:rPr>
          <w:sz w:val="20"/>
        </w:rPr>
        <w:t>and</w:t>
      </w:r>
      <w:r>
        <w:rPr>
          <w:spacing w:val="-7"/>
          <w:sz w:val="20"/>
        </w:rPr>
        <w:t> </w:t>
      </w:r>
      <w:r>
        <w:rPr>
          <w:sz w:val="20"/>
        </w:rPr>
        <w:t>the</w:t>
      </w:r>
      <w:r>
        <w:rPr>
          <w:spacing w:val="-7"/>
          <w:sz w:val="20"/>
        </w:rPr>
        <w:t> </w:t>
      </w:r>
      <w:r>
        <w:rPr>
          <w:sz w:val="20"/>
        </w:rPr>
        <w:t>general</w:t>
      </w:r>
      <w:r>
        <w:rPr>
          <w:spacing w:val="-8"/>
          <w:sz w:val="20"/>
        </w:rPr>
        <w:t> </w:t>
      </w:r>
      <w:r>
        <w:rPr>
          <w:sz w:val="20"/>
        </w:rPr>
        <w:t>definition</w:t>
      </w:r>
      <w:r>
        <w:rPr>
          <w:spacing w:val="-7"/>
          <w:sz w:val="20"/>
        </w:rPr>
        <w:t> </w:t>
      </w:r>
      <w:r>
        <w:rPr>
          <w:sz w:val="20"/>
        </w:rPr>
        <w:t>(such</w:t>
      </w:r>
      <w:r>
        <w:rPr>
          <w:spacing w:val="-7"/>
          <w:sz w:val="20"/>
        </w:rPr>
        <w:t> </w:t>
      </w:r>
      <w:r>
        <w:rPr>
          <w:sz w:val="20"/>
        </w:rPr>
        <w:t>as</w:t>
      </w:r>
      <w:r>
        <w:rPr>
          <w:spacing w:val="-7"/>
          <w:sz w:val="20"/>
        </w:rPr>
        <w:t> </w:t>
      </w:r>
      <w:r>
        <w:rPr>
          <w:sz w:val="20"/>
        </w:rPr>
        <w:t>in a multilateral convention) remains under consideration, as well as more broadly the process and implementation of changes to the</w:t>
      </w:r>
      <w:r>
        <w:rPr>
          <w:spacing w:val="-1"/>
          <w:sz w:val="20"/>
        </w:rPr>
        <w:t> </w:t>
      </w:r>
      <w:r>
        <w:rPr>
          <w:sz w:val="20"/>
        </w:rPr>
        <w:t>lists.</w:t>
      </w:r>
    </w:p>
    <w:p>
      <w:pPr>
        <w:pStyle w:val="ListParagraph"/>
        <w:numPr>
          <w:ilvl w:val="0"/>
          <w:numId w:val="4"/>
        </w:numPr>
        <w:tabs>
          <w:tab w:pos="1403" w:val="left" w:leader="none"/>
        </w:tabs>
        <w:spacing w:line="271" w:lineRule="auto" w:before="122" w:after="0"/>
        <w:ind w:left="723" w:right="483" w:firstLine="0"/>
        <w:jc w:val="both"/>
        <w:rPr>
          <w:sz w:val="20"/>
        </w:rPr>
      </w:pPr>
      <w:r>
        <w:rPr/>
        <w:pict>
          <v:shape style="position:absolute;margin-left:65.423996pt;margin-top:88.919899pt;width:464.5pt;height:163.7pt;mso-position-horizontal-relative:page;mso-position-vertical-relative:paragraph;z-index:-15715840;mso-wrap-distance-left:0;mso-wrap-distance-right:0" type="#_x0000_t202" filled="true" fillcolor="#eeece1" stroked="true" strokeweight=".47998pt" strokecolor="#4e81bd">
            <v:textbox inset="0,0,0,0">
              <w:txbxContent>
                <w:p>
                  <w:pPr>
                    <w:pStyle w:val="BodyText"/>
                    <w:spacing w:before="4"/>
                    <w:rPr>
                      <w:sz w:val="31"/>
                    </w:rPr>
                  </w:pPr>
                </w:p>
                <w:p>
                  <w:pPr>
                    <w:spacing w:before="0"/>
                    <w:ind w:left="3061" w:right="3061" w:firstLine="0"/>
                    <w:jc w:val="center"/>
                    <w:rPr>
                      <w:rFonts w:ascii="Arial Narrow" w:hAnsi="Arial Narrow"/>
                      <w:b/>
                      <w:sz w:val="24"/>
                    </w:rPr>
                  </w:pPr>
                  <w:r>
                    <w:rPr>
                      <w:rFonts w:ascii="Arial Narrow" w:hAnsi="Arial Narrow"/>
                      <w:b/>
                      <w:color w:val="4E81BD"/>
                      <w:sz w:val="24"/>
                    </w:rPr>
                    <w:t>Box 2.1. ADS – General definition</w:t>
                  </w:r>
                </w:p>
                <w:p>
                  <w:pPr>
                    <w:pStyle w:val="BodyText"/>
                    <w:spacing w:before="209"/>
                    <w:ind w:left="139"/>
                  </w:pPr>
                  <w:r>
                    <w:rPr/>
                    <w:t>An ADS</w:t>
                  </w:r>
                  <w:r>
                    <w:rPr>
                      <w:vertAlign w:val="superscript"/>
                    </w:rPr>
                    <w:t>13</w:t>
                  </w:r>
                  <w:r>
                    <w:rPr>
                      <w:vertAlign w:val="baseline"/>
                    </w:rPr>
                    <w:t> is one where:</w:t>
                  </w:r>
                </w:p>
                <w:p>
                  <w:pPr>
                    <w:pStyle w:val="BodyText"/>
                    <w:numPr>
                      <w:ilvl w:val="0"/>
                      <w:numId w:val="8"/>
                    </w:numPr>
                    <w:tabs>
                      <w:tab w:pos="818" w:val="left" w:leader="none"/>
                      <w:tab w:pos="819" w:val="left" w:leader="none"/>
                    </w:tabs>
                    <w:spacing w:line="240" w:lineRule="auto" w:before="133" w:after="0"/>
                    <w:ind w:left="818" w:right="0" w:hanging="339"/>
                    <w:jc w:val="left"/>
                  </w:pPr>
                  <w:r>
                    <w:rPr/>
                    <w:t>The service is on the positive list;</w:t>
                  </w:r>
                  <w:r>
                    <w:rPr>
                      <w:spacing w:val="-5"/>
                    </w:rPr>
                    <w:t> </w:t>
                  </w:r>
                  <w:r>
                    <w:rPr/>
                    <w:t>or</w:t>
                  </w:r>
                </w:p>
                <w:p>
                  <w:pPr>
                    <w:pStyle w:val="BodyText"/>
                    <w:numPr>
                      <w:ilvl w:val="0"/>
                      <w:numId w:val="8"/>
                    </w:numPr>
                    <w:tabs>
                      <w:tab w:pos="818" w:val="left" w:leader="none"/>
                      <w:tab w:pos="819" w:val="left" w:leader="none"/>
                    </w:tabs>
                    <w:spacing w:line="240" w:lineRule="auto" w:before="77" w:after="0"/>
                    <w:ind w:left="818" w:right="0" w:hanging="339"/>
                    <w:jc w:val="left"/>
                  </w:pPr>
                  <w:r>
                    <w:rPr/>
                    <w:t>The service</w:t>
                  </w:r>
                  <w:r>
                    <w:rPr>
                      <w:spacing w:val="-4"/>
                    </w:rPr>
                    <w:t> </w:t>
                  </w:r>
                  <w:r>
                    <w:rPr/>
                    <w:t>is</w:t>
                  </w:r>
                </w:p>
                <w:p>
                  <w:pPr>
                    <w:pStyle w:val="BodyText"/>
                    <w:numPr>
                      <w:ilvl w:val="1"/>
                      <w:numId w:val="8"/>
                    </w:numPr>
                    <w:tabs>
                      <w:tab w:pos="1159" w:val="left" w:leader="none"/>
                      <w:tab w:pos="1160" w:val="left" w:leader="none"/>
                    </w:tabs>
                    <w:spacing w:line="223" w:lineRule="auto" w:before="78" w:after="0"/>
                    <w:ind w:left="1159" w:right="814" w:hanging="341"/>
                    <w:jc w:val="left"/>
                  </w:pPr>
                  <w:r>
                    <w:rPr/>
                    <w:t>automated</w:t>
                  </w:r>
                  <w:r>
                    <w:rPr>
                      <w:spacing w:val="-7"/>
                    </w:rPr>
                    <w:t> </w:t>
                  </w:r>
                  <w:r>
                    <w:rPr/>
                    <w:t>(i.e.</w:t>
                  </w:r>
                  <w:r>
                    <w:rPr>
                      <w:spacing w:val="-5"/>
                    </w:rPr>
                    <w:t> </w:t>
                  </w:r>
                  <w:r>
                    <w:rPr/>
                    <w:t>once</w:t>
                  </w:r>
                  <w:r>
                    <w:rPr>
                      <w:spacing w:val="-6"/>
                    </w:rPr>
                    <w:t> </w:t>
                  </w:r>
                  <w:r>
                    <w:rPr/>
                    <w:t>the</w:t>
                  </w:r>
                  <w:r>
                    <w:rPr>
                      <w:spacing w:val="-7"/>
                    </w:rPr>
                    <w:t> </w:t>
                  </w:r>
                  <w:r>
                    <w:rPr/>
                    <w:t>system</w:t>
                  </w:r>
                  <w:r>
                    <w:rPr>
                      <w:spacing w:val="-4"/>
                    </w:rPr>
                    <w:t> </w:t>
                  </w:r>
                  <w:r>
                    <w:rPr/>
                    <w:t>is</w:t>
                  </w:r>
                  <w:r>
                    <w:rPr>
                      <w:spacing w:val="-4"/>
                    </w:rPr>
                    <w:t> </w:t>
                  </w:r>
                  <w:r>
                    <w:rPr/>
                    <w:t>set</w:t>
                  </w:r>
                  <w:r>
                    <w:rPr>
                      <w:spacing w:val="-6"/>
                    </w:rPr>
                    <w:t> </w:t>
                  </w:r>
                  <w:r>
                    <w:rPr/>
                    <w:t>up</w:t>
                  </w:r>
                  <w:r>
                    <w:rPr>
                      <w:spacing w:val="-5"/>
                    </w:rPr>
                    <w:t> </w:t>
                  </w:r>
                  <w:r>
                    <w:rPr/>
                    <w:t>the</w:t>
                  </w:r>
                  <w:r>
                    <w:rPr>
                      <w:spacing w:val="-6"/>
                    </w:rPr>
                    <w:t> </w:t>
                  </w:r>
                  <w:r>
                    <w:rPr/>
                    <w:t>provision</w:t>
                  </w:r>
                  <w:r>
                    <w:rPr>
                      <w:spacing w:val="-4"/>
                    </w:rPr>
                    <w:t> </w:t>
                  </w:r>
                  <w:r>
                    <w:rPr/>
                    <w:t>of</w:t>
                  </w:r>
                  <w:r>
                    <w:rPr>
                      <w:spacing w:val="-5"/>
                    </w:rPr>
                    <w:t> </w:t>
                  </w:r>
                  <w:r>
                    <w:rPr/>
                    <w:t>the</w:t>
                  </w:r>
                  <w:r>
                    <w:rPr>
                      <w:spacing w:val="-6"/>
                    </w:rPr>
                    <w:t> </w:t>
                  </w:r>
                  <w:r>
                    <w:rPr/>
                    <w:t>service</w:t>
                  </w:r>
                  <w:r>
                    <w:rPr>
                      <w:spacing w:val="-4"/>
                    </w:rPr>
                    <w:t> </w:t>
                  </w:r>
                  <w:r>
                    <w:rPr/>
                    <w:t>to</w:t>
                  </w:r>
                  <w:r>
                    <w:rPr>
                      <w:spacing w:val="-4"/>
                    </w:rPr>
                    <w:t> </w:t>
                  </w:r>
                  <w:r>
                    <w:rPr/>
                    <w:t>a</w:t>
                  </w:r>
                  <w:r>
                    <w:rPr>
                      <w:spacing w:val="-6"/>
                    </w:rPr>
                    <w:t> </w:t>
                  </w:r>
                  <w:r>
                    <w:rPr/>
                    <w:t>particular user requires minimal human involvement on the part of the service provider);</w:t>
                  </w:r>
                  <w:r>
                    <w:rPr>
                      <w:spacing w:val="-38"/>
                    </w:rPr>
                    <w:t> </w:t>
                  </w:r>
                  <w:r>
                    <w:rPr>
                      <w:spacing w:val="2"/>
                    </w:rPr>
                    <w:t>and</w:t>
                  </w:r>
                </w:p>
                <w:p>
                  <w:pPr>
                    <w:pStyle w:val="BodyText"/>
                    <w:numPr>
                      <w:ilvl w:val="1"/>
                      <w:numId w:val="8"/>
                    </w:numPr>
                    <w:tabs>
                      <w:tab w:pos="1159" w:val="left" w:leader="none"/>
                      <w:tab w:pos="1160" w:val="left" w:leader="none"/>
                    </w:tabs>
                    <w:spacing w:line="240" w:lineRule="auto" w:before="123" w:after="0"/>
                    <w:ind w:left="1159" w:right="0" w:hanging="342"/>
                    <w:jc w:val="left"/>
                  </w:pPr>
                  <w:r>
                    <w:rPr/>
                    <w:t>digital (i.e. provided over the Internet or an electronic network);</w:t>
                  </w:r>
                  <w:r>
                    <w:rPr>
                      <w:spacing w:val="-8"/>
                    </w:rPr>
                    <w:t> </w:t>
                  </w:r>
                  <w:r>
                    <w:rPr/>
                    <w:t>and</w:t>
                  </w:r>
                </w:p>
                <w:p>
                  <w:pPr>
                    <w:pStyle w:val="BodyText"/>
                    <w:numPr>
                      <w:ilvl w:val="1"/>
                      <w:numId w:val="8"/>
                    </w:numPr>
                    <w:tabs>
                      <w:tab w:pos="1159" w:val="left" w:leader="none"/>
                      <w:tab w:pos="1160" w:val="left" w:leader="none"/>
                    </w:tabs>
                    <w:spacing w:line="240" w:lineRule="auto" w:before="100" w:after="0"/>
                    <w:ind w:left="1159" w:right="0" w:hanging="342"/>
                    <w:jc w:val="left"/>
                  </w:pPr>
                  <w:r>
                    <w:rPr/>
                    <w:t>it is not on the negative</w:t>
                  </w:r>
                  <w:r>
                    <w:rPr>
                      <w:spacing w:val="-2"/>
                    </w:rPr>
                    <w:t> </w:t>
                  </w:r>
                  <w:r>
                    <w:rPr/>
                    <w:t>list.</w:t>
                  </w:r>
                </w:p>
              </w:txbxContent>
            </v:textbox>
            <v:fill type="solid"/>
            <v:stroke dashstyle="solid"/>
            <w10:wrap type="topAndBottom"/>
          </v:shape>
        </w:pict>
      </w:r>
      <w:r>
        <w:rPr>
          <w:sz w:val="20"/>
        </w:rPr>
        <w:t>Although</w:t>
      </w:r>
      <w:r>
        <w:rPr>
          <w:spacing w:val="-12"/>
          <w:sz w:val="20"/>
        </w:rPr>
        <w:t> </w:t>
      </w:r>
      <w:r>
        <w:rPr>
          <w:sz w:val="20"/>
        </w:rPr>
        <w:t>the</w:t>
      </w:r>
      <w:r>
        <w:rPr>
          <w:spacing w:val="-12"/>
          <w:sz w:val="20"/>
        </w:rPr>
        <w:t> </w:t>
      </w:r>
      <w:r>
        <w:rPr>
          <w:sz w:val="20"/>
        </w:rPr>
        <w:t>general</w:t>
      </w:r>
      <w:r>
        <w:rPr>
          <w:spacing w:val="-12"/>
          <w:sz w:val="20"/>
        </w:rPr>
        <w:t> </w:t>
      </w:r>
      <w:r>
        <w:rPr>
          <w:sz w:val="20"/>
        </w:rPr>
        <w:t>definition</w:t>
      </w:r>
      <w:r>
        <w:rPr>
          <w:spacing w:val="-10"/>
          <w:sz w:val="20"/>
        </w:rPr>
        <w:t> </w:t>
      </w:r>
      <w:r>
        <w:rPr>
          <w:sz w:val="20"/>
        </w:rPr>
        <w:t>would</w:t>
      </w:r>
      <w:r>
        <w:rPr>
          <w:spacing w:val="-11"/>
          <w:sz w:val="20"/>
        </w:rPr>
        <w:t> </w:t>
      </w:r>
      <w:r>
        <w:rPr>
          <w:sz w:val="20"/>
        </w:rPr>
        <w:t>apply</w:t>
      </w:r>
      <w:r>
        <w:rPr>
          <w:spacing w:val="-15"/>
          <w:sz w:val="20"/>
        </w:rPr>
        <w:t> </w:t>
      </w:r>
      <w:r>
        <w:rPr>
          <w:sz w:val="20"/>
        </w:rPr>
        <w:t>only</w:t>
      </w:r>
      <w:r>
        <w:rPr>
          <w:spacing w:val="-15"/>
          <w:sz w:val="20"/>
        </w:rPr>
        <w:t> </w:t>
      </w:r>
      <w:r>
        <w:rPr>
          <w:sz w:val="20"/>
        </w:rPr>
        <w:t>in</w:t>
      </w:r>
      <w:r>
        <w:rPr>
          <w:spacing w:val="-12"/>
          <w:sz w:val="20"/>
        </w:rPr>
        <w:t> </w:t>
      </w:r>
      <w:r>
        <w:rPr>
          <w:sz w:val="20"/>
        </w:rPr>
        <w:t>residual</w:t>
      </w:r>
      <w:r>
        <w:rPr>
          <w:spacing w:val="-12"/>
          <w:sz w:val="20"/>
        </w:rPr>
        <w:t> </w:t>
      </w:r>
      <w:r>
        <w:rPr>
          <w:sz w:val="20"/>
        </w:rPr>
        <w:t>cases</w:t>
      </w:r>
      <w:r>
        <w:rPr>
          <w:spacing w:val="-13"/>
          <w:sz w:val="20"/>
        </w:rPr>
        <w:t> </w:t>
      </w:r>
      <w:r>
        <w:rPr>
          <w:sz w:val="20"/>
        </w:rPr>
        <w:t>of</w:t>
      </w:r>
      <w:r>
        <w:rPr>
          <w:spacing w:val="-12"/>
          <w:sz w:val="20"/>
        </w:rPr>
        <w:t> </w:t>
      </w:r>
      <w:r>
        <w:rPr>
          <w:sz w:val="20"/>
        </w:rPr>
        <w:t>activities</w:t>
      </w:r>
      <w:r>
        <w:rPr>
          <w:spacing w:val="-12"/>
          <w:sz w:val="20"/>
        </w:rPr>
        <w:t> </w:t>
      </w:r>
      <w:r>
        <w:rPr>
          <w:sz w:val="20"/>
        </w:rPr>
        <w:t>that</w:t>
      </w:r>
      <w:r>
        <w:rPr>
          <w:spacing w:val="-12"/>
          <w:sz w:val="20"/>
        </w:rPr>
        <w:t> </w:t>
      </w:r>
      <w:r>
        <w:rPr>
          <w:sz w:val="20"/>
        </w:rPr>
        <w:t>are</w:t>
      </w:r>
      <w:r>
        <w:rPr>
          <w:spacing w:val="-14"/>
          <w:sz w:val="20"/>
        </w:rPr>
        <w:t> </w:t>
      </w:r>
      <w:r>
        <w:rPr>
          <w:sz w:val="20"/>
        </w:rPr>
        <w:t>not</w:t>
      </w:r>
      <w:r>
        <w:rPr>
          <w:spacing w:val="-11"/>
          <w:sz w:val="20"/>
        </w:rPr>
        <w:t> </w:t>
      </w:r>
      <w:r>
        <w:rPr>
          <w:sz w:val="20"/>
        </w:rPr>
        <w:t>identified in either the positive or negative list, and therefore as a backstop to those lists, the principle itself has informed the creation of those lists. For this reason, this chapter first presents the general definition, and then</w:t>
      </w:r>
      <w:r>
        <w:rPr>
          <w:spacing w:val="-7"/>
          <w:sz w:val="20"/>
        </w:rPr>
        <w:t> </w:t>
      </w:r>
      <w:r>
        <w:rPr>
          <w:sz w:val="20"/>
        </w:rPr>
        <w:t>the</w:t>
      </w:r>
      <w:r>
        <w:rPr>
          <w:spacing w:val="-6"/>
          <w:sz w:val="20"/>
        </w:rPr>
        <w:t> </w:t>
      </w:r>
      <w:r>
        <w:rPr>
          <w:sz w:val="20"/>
        </w:rPr>
        <w:t>content</w:t>
      </w:r>
      <w:r>
        <w:rPr>
          <w:spacing w:val="-6"/>
          <w:sz w:val="20"/>
        </w:rPr>
        <w:t> </w:t>
      </w:r>
      <w:r>
        <w:rPr>
          <w:sz w:val="20"/>
        </w:rPr>
        <w:t>of</w:t>
      </w:r>
      <w:r>
        <w:rPr>
          <w:spacing w:val="-6"/>
          <w:sz w:val="20"/>
        </w:rPr>
        <w:t> </w:t>
      </w:r>
      <w:r>
        <w:rPr>
          <w:sz w:val="20"/>
        </w:rPr>
        <w:t>the</w:t>
      </w:r>
      <w:r>
        <w:rPr>
          <w:spacing w:val="-8"/>
          <w:sz w:val="20"/>
        </w:rPr>
        <w:t> </w:t>
      </w:r>
      <w:r>
        <w:rPr>
          <w:sz w:val="20"/>
        </w:rPr>
        <w:t>positive</w:t>
      </w:r>
      <w:r>
        <w:rPr>
          <w:spacing w:val="-8"/>
          <w:sz w:val="20"/>
        </w:rPr>
        <w:t> </w:t>
      </w:r>
      <w:r>
        <w:rPr>
          <w:sz w:val="20"/>
        </w:rPr>
        <w:t>and</w:t>
      </w:r>
      <w:r>
        <w:rPr>
          <w:spacing w:val="-6"/>
          <w:sz w:val="20"/>
        </w:rPr>
        <w:t> </w:t>
      </w:r>
      <w:r>
        <w:rPr>
          <w:sz w:val="20"/>
        </w:rPr>
        <w:t>negative</w:t>
      </w:r>
      <w:r>
        <w:rPr>
          <w:spacing w:val="-8"/>
          <w:sz w:val="20"/>
        </w:rPr>
        <w:t> </w:t>
      </w:r>
      <w:r>
        <w:rPr>
          <w:sz w:val="20"/>
        </w:rPr>
        <w:t>lists,</w:t>
      </w:r>
      <w:r>
        <w:rPr>
          <w:spacing w:val="-8"/>
          <w:sz w:val="20"/>
        </w:rPr>
        <w:t> </w:t>
      </w:r>
      <w:r>
        <w:rPr>
          <w:sz w:val="20"/>
        </w:rPr>
        <w:t>a</w:t>
      </w:r>
      <w:r>
        <w:rPr>
          <w:spacing w:val="-7"/>
          <w:sz w:val="20"/>
        </w:rPr>
        <w:t> </w:t>
      </w:r>
      <w:r>
        <w:rPr>
          <w:sz w:val="20"/>
        </w:rPr>
        <w:t>discussion</w:t>
      </w:r>
      <w:r>
        <w:rPr>
          <w:spacing w:val="-8"/>
          <w:sz w:val="20"/>
        </w:rPr>
        <w:t> </w:t>
      </w:r>
      <w:r>
        <w:rPr>
          <w:sz w:val="20"/>
        </w:rPr>
        <w:t>of</w:t>
      </w:r>
      <w:r>
        <w:rPr>
          <w:spacing w:val="-6"/>
          <w:sz w:val="20"/>
        </w:rPr>
        <w:t> </w:t>
      </w:r>
      <w:r>
        <w:rPr>
          <w:sz w:val="20"/>
        </w:rPr>
        <w:t>dual</w:t>
      </w:r>
      <w:r>
        <w:rPr>
          <w:spacing w:val="-6"/>
          <w:sz w:val="20"/>
        </w:rPr>
        <w:t> </w:t>
      </w:r>
      <w:r>
        <w:rPr>
          <w:sz w:val="20"/>
        </w:rPr>
        <w:t>category</w:t>
      </w:r>
      <w:r>
        <w:rPr>
          <w:spacing w:val="-11"/>
          <w:sz w:val="20"/>
        </w:rPr>
        <w:t> </w:t>
      </w:r>
      <w:r>
        <w:rPr>
          <w:sz w:val="20"/>
        </w:rPr>
        <w:t>/</w:t>
      </w:r>
      <w:r>
        <w:rPr>
          <w:spacing w:val="-6"/>
          <w:sz w:val="20"/>
        </w:rPr>
        <w:t> </w:t>
      </w:r>
      <w:r>
        <w:rPr>
          <w:sz w:val="20"/>
        </w:rPr>
        <w:t>bundled</w:t>
      </w:r>
      <w:r>
        <w:rPr>
          <w:spacing w:val="-6"/>
          <w:sz w:val="20"/>
        </w:rPr>
        <w:t> </w:t>
      </w:r>
      <w:r>
        <w:rPr>
          <w:sz w:val="20"/>
        </w:rPr>
        <w:t>ADS,</w:t>
      </w:r>
      <w:r>
        <w:rPr>
          <w:spacing w:val="-6"/>
          <w:sz w:val="20"/>
        </w:rPr>
        <w:t> </w:t>
      </w:r>
      <w:r>
        <w:rPr>
          <w:sz w:val="20"/>
        </w:rPr>
        <w:t>and</w:t>
      </w:r>
      <w:r>
        <w:rPr>
          <w:spacing w:val="-8"/>
          <w:sz w:val="20"/>
        </w:rPr>
        <w:t> </w:t>
      </w:r>
      <w:r>
        <w:rPr>
          <w:sz w:val="20"/>
        </w:rPr>
        <w:t>finally other definitions that apply for ADS. In each case, the rule appears in the first box, followed by the accompanying commentary in the second</w:t>
      </w:r>
      <w:r>
        <w:rPr>
          <w:spacing w:val="-9"/>
          <w:sz w:val="20"/>
        </w:rPr>
        <w:t> </w:t>
      </w:r>
      <w:r>
        <w:rPr>
          <w:sz w:val="20"/>
        </w:rPr>
        <w:t>box.</w:t>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3"/>
        </w:rPr>
      </w:pPr>
      <w:r>
        <w:rPr/>
        <w:pict>
          <v:rect style="position:absolute;margin-left:65.183998pt;margin-top:9.855858pt;width:144.020004pt;height:.599980pt;mso-position-horizontal-relative:page;mso-position-vertical-relative:paragraph;z-index:-15715328;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5"/>
        </w:numPr>
        <w:tabs>
          <w:tab w:pos="928" w:val="left" w:leader="none"/>
        </w:tabs>
        <w:spacing w:line="240" w:lineRule="auto" w:before="94" w:after="0"/>
        <w:ind w:left="927" w:right="0" w:hanging="205"/>
        <w:jc w:val="left"/>
        <w:rPr>
          <w:sz w:val="18"/>
        </w:rPr>
      </w:pPr>
      <w:r>
        <w:rPr>
          <w:sz w:val="18"/>
        </w:rPr>
        <w:t>The provision of services may need to be defined to provide further</w:t>
      </w:r>
      <w:r>
        <w:rPr>
          <w:spacing w:val="-9"/>
          <w:sz w:val="18"/>
        </w:rPr>
        <w:t> </w:t>
      </w:r>
      <w:r>
        <w:rPr>
          <w:sz w:val="18"/>
        </w:rPr>
        <w:t>clarity.</w:t>
      </w:r>
    </w:p>
    <w:p>
      <w:pPr>
        <w:spacing w:after="0" w:line="240" w:lineRule="auto"/>
        <w:jc w:val="left"/>
        <w:rPr>
          <w:sz w:val="18"/>
        </w:rPr>
        <w:sectPr>
          <w:pgSz w:w="11910" w:h="16840"/>
          <w:pgMar w:header="1244" w:footer="1638" w:top="1500" w:bottom="1820" w:left="580" w:right="820"/>
        </w:sectPr>
      </w:pPr>
    </w:p>
    <w:p>
      <w:pPr>
        <w:pStyle w:val="BodyText"/>
      </w:pPr>
    </w:p>
    <w:p>
      <w:pPr>
        <w:pStyle w:val="BodyText"/>
        <w:spacing w:before="7"/>
        <w:rPr>
          <w:sz w:val="29"/>
        </w:rPr>
      </w:pPr>
    </w:p>
    <w:p>
      <w:pPr>
        <w:pStyle w:val="Heading4"/>
        <w:spacing w:before="99"/>
        <w:ind w:left="1386" w:right="1144"/>
      </w:pPr>
      <w:r>
        <w:rPr/>
        <w:pict>
          <v:group style="position:absolute;margin-left:65.183998pt;margin-top:-13.565888pt;width:465pt;height:580.2pt;mso-position-horizontal-relative:page;mso-position-vertical-relative:paragraph;z-index:-19577344" coordorigin="1304,-271" coordsize="9300,11604">
            <v:rect style="position:absolute;left:1313;top:-262;width:9280;height:11584" filled="true" fillcolor="#eeece1" stroked="false">
              <v:fill type="solid"/>
            </v:rect>
            <v:shape style="position:absolute;left:1303;top:-272;width:9300;height:11604" coordorigin="1304,-271" coordsize="9300,11604" path="m1313,11322l1304,11322,1304,11332,1313,11332,1313,11322xm1313,-262l1304,-262,1304,11322,1313,11322,1313,-262xm1313,-271l1304,-271,1304,-262,1313,-262,1313,-271xm10593,11322l1313,11322,1313,11332,10593,11332,10593,11322xm10593,-271l1313,-271,1313,-262,10593,-262,10593,-271xm10603,11322l10593,11322,10593,11332,10603,11332,10603,11322xm10603,-262l10593,-262,10593,11322,10603,11322,10603,-262xm10603,-271l10593,-271,10593,-262,10603,-262,10603,-271xe" filled="true" fillcolor="#4e81bd" stroked="false">
              <v:path arrowok="t"/>
              <v:fill type="solid"/>
            </v:shape>
            <w10:wrap type="none"/>
          </v:group>
        </w:pict>
      </w:r>
      <w:r>
        <w:rPr>
          <w:color w:val="4E81BD"/>
        </w:rPr>
        <w:t>Box 2.2. ADS – Commentary</w:t>
      </w:r>
    </w:p>
    <w:p>
      <w:pPr>
        <w:pStyle w:val="BodyText"/>
        <w:spacing w:line="268" w:lineRule="auto" w:before="214"/>
        <w:ind w:left="872" w:right="637"/>
        <w:jc w:val="both"/>
      </w:pPr>
      <w:r>
        <w:rPr/>
        <w:t>The definition of ADS is structured around a general definition, combined with both a positive list, and a negative list. An activity on the positive list is an ADS business. An activity on the negative list is not an ADS business.</w:t>
      </w:r>
      <w:r>
        <w:rPr>
          <w:vertAlign w:val="superscript"/>
        </w:rPr>
        <w:t>14</w:t>
      </w:r>
    </w:p>
    <w:p>
      <w:pPr>
        <w:pStyle w:val="BodyText"/>
        <w:spacing w:line="271" w:lineRule="auto" w:before="127"/>
        <w:ind w:left="872" w:right="629"/>
        <w:jc w:val="both"/>
      </w:pPr>
      <w:r>
        <w:rPr/>
        <w:t>The first condition, being whether the service is automated, reflects the fact that that the user’s ability to</w:t>
      </w:r>
      <w:r>
        <w:rPr>
          <w:spacing w:val="-8"/>
        </w:rPr>
        <w:t> </w:t>
      </w:r>
      <w:r>
        <w:rPr/>
        <w:t>make</w:t>
      </w:r>
      <w:r>
        <w:rPr>
          <w:spacing w:val="-8"/>
        </w:rPr>
        <w:t> </w:t>
      </w:r>
      <w:r>
        <w:rPr/>
        <w:t>use</w:t>
      </w:r>
      <w:r>
        <w:rPr>
          <w:spacing w:val="-8"/>
        </w:rPr>
        <w:t> </w:t>
      </w:r>
      <w:r>
        <w:rPr/>
        <w:t>of</w:t>
      </w:r>
      <w:r>
        <w:rPr>
          <w:spacing w:val="-6"/>
        </w:rPr>
        <w:t> </w:t>
      </w:r>
      <w:r>
        <w:rPr/>
        <w:t>the</w:t>
      </w:r>
      <w:r>
        <w:rPr>
          <w:spacing w:val="-6"/>
        </w:rPr>
        <w:t> </w:t>
      </w:r>
      <w:r>
        <w:rPr/>
        <w:t>service</w:t>
      </w:r>
      <w:r>
        <w:rPr>
          <w:spacing w:val="-6"/>
        </w:rPr>
        <w:t> </w:t>
      </w:r>
      <w:r>
        <w:rPr/>
        <w:t>is</w:t>
      </w:r>
      <w:r>
        <w:rPr>
          <w:spacing w:val="-7"/>
        </w:rPr>
        <w:t> </w:t>
      </w:r>
      <w:r>
        <w:rPr/>
        <w:t>possible</w:t>
      </w:r>
      <w:r>
        <w:rPr>
          <w:spacing w:val="-6"/>
        </w:rPr>
        <w:t> </w:t>
      </w:r>
      <w:r>
        <w:rPr/>
        <w:t>because</w:t>
      </w:r>
      <w:r>
        <w:rPr>
          <w:spacing w:val="-6"/>
        </w:rPr>
        <w:t> </w:t>
      </w:r>
      <w:r>
        <w:rPr/>
        <w:t>of</w:t>
      </w:r>
      <w:r>
        <w:rPr>
          <w:spacing w:val="-5"/>
        </w:rPr>
        <w:t> </w:t>
      </w:r>
      <w:r>
        <w:rPr/>
        <w:t>the</w:t>
      </w:r>
      <w:r>
        <w:rPr>
          <w:spacing w:val="-6"/>
        </w:rPr>
        <w:t> </w:t>
      </w:r>
      <w:r>
        <w:rPr/>
        <w:t>equipment</w:t>
      </w:r>
      <w:r>
        <w:rPr>
          <w:spacing w:val="-8"/>
        </w:rPr>
        <w:t> </w:t>
      </w:r>
      <w:r>
        <w:rPr/>
        <w:t>and</w:t>
      </w:r>
      <w:r>
        <w:rPr>
          <w:spacing w:val="-6"/>
        </w:rPr>
        <w:t> </w:t>
      </w:r>
      <w:r>
        <w:rPr/>
        <w:t>systems</w:t>
      </w:r>
      <w:r>
        <w:rPr>
          <w:spacing w:val="-7"/>
        </w:rPr>
        <w:t> </w:t>
      </w:r>
      <w:r>
        <w:rPr/>
        <w:t>in</w:t>
      </w:r>
      <w:r>
        <w:rPr>
          <w:spacing w:val="-8"/>
        </w:rPr>
        <w:t> </w:t>
      </w:r>
      <w:r>
        <w:rPr/>
        <w:t>place,</w:t>
      </w:r>
      <w:r>
        <w:rPr>
          <w:spacing w:val="-6"/>
        </w:rPr>
        <w:t> </w:t>
      </w:r>
      <w:r>
        <w:rPr/>
        <w:t>which</w:t>
      </w:r>
      <w:r>
        <w:rPr>
          <w:spacing w:val="-6"/>
        </w:rPr>
        <w:t> </w:t>
      </w:r>
      <w:r>
        <w:rPr/>
        <w:t>allow</w:t>
      </w:r>
      <w:r>
        <w:rPr>
          <w:spacing w:val="-9"/>
        </w:rPr>
        <w:t> </w:t>
      </w:r>
      <w:r>
        <w:rPr/>
        <w:t>the user</w:t>
      </w:r>
      <w:r>
        <w:rPr>
          <w:spacing w:val="-12"/>
        </w:rPr>
        <w:t> </w:t>
      </w:r>
      <w:r>
        <w:rPr/>
        <w:t>to</w:t>
      </w:r>
      <w:r>
        <w:rPr>
          <w:spacing w:val="-12"/>
        </w:rPr>
        <w:t> </w:t>
      </w:r>
      <w:r>
        <w:rPr/>
        <w:t>obtain</w:t>
      </w:r>
      <w:r>
        <w:rPr>
          <w:spacing w:val="-12"/>
        </w:rPr>
        <w:t> </w:t>
      </w:r>
      <w:r>
        <w:rPr/>
        <w:t>the</w:t>
      </w:r>
      <w:r>
        <w:rPr>
          <w:spacing w:val="-12"/>
        </w:rPr>
        <w:t> </w:t>
      </w:r>
      <w:r>
        <w:rPr/>
        <w:t>service</w:t>
      </w:r>
      <w:r>
        <w:rPr>
          <w:spacing w:val="-12"/>
        </w:rPr>
        <w:t> </w:t>
      </w:r>
      <w:r>
        <w:rPr/>
        <w:t>automatically,</w:t>
      </w:r>
      <w:r>
        <w:rPr>
          <w:spacing w:val="-10"/>
        </w:rPr>
        <w:t> </w:t>
      </w:r>
      <w:r>
        <w:rPr/>
        <w:t>as</w:t>
      </w:r>
      <w:r>
        <w:rPr>
          <w:spacing w:val="-10"/>
        </w:rPr>
        <w:t> </w:t>
      </w:r>
      <w:r>
        <w:rPr/>
        <w:t>opposed</w:t>
      </w:r>
      <w:r>
        <w:rPr>
          <w:spacing w:val="-12"/>
        </w:rPr>
        <w:t> </w:t>
      </w:r>
      <w:r>
        <w:rPr/>
        <w:t>to</w:t>
      </w:r>
      <w:r>
        <w:rPr>
          <w:spacing w:val="-10"/>
        </w:rPr>
        <w:t> </w:t>
      </w:r>
      <w:r>
        <w:rPr/>
        <w:t>requiring</w:t>
      </w:r>
      <w:r>
        <w:rPr>
          <w:spacing w:val="-9"/>
        </w:rPr>
        <w:t> </w:t>
      </w:r>
      <w:r>
        <w:rPr/>
        <w:t>a</w:t>
      </w:r>
      <w:r>
        <w:rPr>
          <w:spacing w:val="-12"/>
        </w:rPr>
        <w:t> </w:t>
      </w:r>
      <w:r>
        <w:rPr/>
        <w:t>bespoke</w:t>
      </w:r>
      <w:r>
        <w:rPr>
          <w:spacing w:val="-12"/>
        </w:rPr>
        <w:t> </w:t>
      </w:r>
      <w:r>
        <w:rPr/>
        <w:t>interaction</w:t>
      </w:r>
      <w:r>
        <w:rPr>
          <w:spacing w:val="-10"/>
        </w:rPr>
        <w:t> </w:t>
      </w:r>
      <w:r>
        <w:rPr/>
        <w:t>with</w:t>
      </w:r>
      <w:r>
        <w:rPr>
          <w:spacing w:val="-9"/>
        </w:rPr>
        <w:t> </w:t>
      </w:r>
      <w:r>
        <w:rPr/>
        <w:t>the</w:t>
      </w:r>
      <w:r>
        <w:rPr>
          <w:spacing w:val="-12"/>
        </w:rPr>
        <w:t> </w:t>
      </w:r>
      <w:r>
        <w:rPr/>
        <w:t>supplier to provide the</w:t>
      </w:r>
      <w:r>
        <w:rPr>
          <w:spacing w:val="-6"/>
        </w:rPr>
        <w:t> </w:t>
      </w:r>
      <w:r>
        <w:rPr/>
        <w:t>service.</w:t>
      </w:r>
    </w:p>
    <w:p>
      <w:pPr>
        <w:pStyle w:val="BodyText"/>
        <w:spacing w:line="271" w:lineRule="auto" w:before="119"/>
        <w:ind w:left="872" w:right="629"/>
        <w:jc w:val="both"/>
      </w:pPr>
      <w:r>
        <w:rPr/>
        <w:t>In</w:t>
      </w:r>
      <w:r>
        <w:rPr>
          <w:spacing w:val="-16"/>
        </w:rPr>
        <w:t> </w:t>
      </w:r>
      <w:r>
        <w:rPr/>
        <w:t>determining</w:t>
      </w:r>
      <w:r>
        <w:rPr>
          <w:spacing w:val="-12"/>
        </w:rPr>
        <w:t> </w:t>
      </w:r>
      <w:r>
        <w:rPr/>
        <w:t>whether</w:t>
      </w:r>
      <w:r>
        <w:rPr>
          <w:spacing w:val="-15"/>
        </w:rPr>
        <w:t> </w:t>
      </w:r>
      <w:r>
        <w:rPr/>
        <w:t>a</w:t>
      </w:r>
      <w:r>
        <w:rPr>
          <w:spacing w:val="-14"/>
        </w:rPr>
        <w:t> </w:t>
      </w:r>
      <w:r>
        <w:rPr/>
        <w:t>service</w:t>
      </w:r>
      <w:r>
        <w:rPr>
          <w:spacing w:val="-15"/>
        </w:rPr>
        <w:t> </w:t>
      </w:r>
      <w:r>
        <w:rPr/>
        <w:t>requires</w:t>
      </w:r>
      <w:r>
        <w:rPr>
          <w:spacing w:val="-15"/>
        </w:rPr>
        <w:t> </w:t>
      </w:r>
      <w:r>
        <w:rPr/>
        <w:t>minimal</w:t>
      </w:r>
      <w:r>
        <w:rPr>
          <w:spacing w:val="-17"/>
        </w:rPr>
        <w:t> </w:t>
      </w:r>
      <w:r>
        <w:rPr/>
        <w:t>human</w:t>
      </w:r>
      <w:r>
        <w:rPr>
          <w:spacing w:val="-14"/>
        </w:rPr>
        <w:t> </w:t>
      </w:r>
      <w:r>
        <w:rPr/>
        <w:t>involvement</w:t>
      </w:r>
      <w:r>
        <w:rPr>
          <w:spacing w:val="-15"/>
        </w:rPr>
        <w:t> </w:t>
      </w:r>
      <w:r>
        <w:rPr/>
        <w:t>the</w:t>
      </w:r>
      <w:r>
        <w:rPr>
          <w:spacing w:val="-14"/>
        </w:rPr>
        <w:t> </w:t>
      </w:r>
      <w:r>
        <w:rPr/>
        <w:t>test</w:t>
      </w:r>
      <w:r>
        <w:rPr>
          <w:spacing w:val="-14"/>
        </w:rPr>
        <w:t> </w:t>
      </w:r>
      <w:r>
        <w:rPr/>
        <w:t>only</w:t>
      </w:r>
      <w:r>
        <w:rPr>
          <w:spacing w:val="-17"/>
        </w:rPr>
        <w:t> </w:t>
      </w:r>
      <w:r>
        <w:rPr/>
        <w:t>looks</w:t>
      </w:r>
      <w:r>
        <w:rPr>
          <w:spacing w:val="-14"/>
        </w:rPr>
        <w:t> </w:t>
      </w:r>
      <w:r>
        <w:rPr/>
        <w:t>to</w:t>
      </w:r>
      <w:r>
        <w:rPr>
          <w:spacing w:val="-16"/>
        </w:rPr>
        <w:t> </w:t>
      </w:r>
      <w:r>
        <w:rPr/>
        <w:t>the</w:t>
      </w:r>
      <w:r>
        <w:rPr>
          <w:spacing w:val="-14"/>
        </w:rPr>
        <w:t> </w:t>
      </w:r>
      <w:r>
        <w:rPr/>
        <w:t>supplier of the service, without regard to any human involvement on the side of the user (e.g. where the user may input certain parameters into an automated system to obtain a customised result). Furthermore, the</w:t>
      </w:r>
      <w:r>
        <w:rPr>
          <w:spacing w:val="-13"/>
        </w:rPr>
        <w:t> </w:t>
      </w:r>
      <w:r>
        <w:rPr/>
        <w:t>definition</w:t>
      </w:r>
      <w:r>
        <w:rPr>
          <w:spacing w:val="-14"/>
        </w:rPr>
        <w:t> </w:t>
      </w:r>
      <w:r>
        <w:rPr/>
        <w:t>focuses</w:t>
      </w:r>
      <w:r>
        <w:rPr>
          <w:spacing w:val="-13"/>
        </w:rPr>
        <w:t> </w:t>
      </w:r>
      <w:r>
        <w:rPr/>
        <w:t>on</w:t>
      </w:r>
      <w:r>
        <w:rPr>
          <w:spacing w:val="-14"/>
        </w:rPr>
        <w:t> </w:t>
      </w:r>
      <w:r>
        <w:rPr/>
        <w:t>the</w:t>
      </w:r>
      <w:r>
        <w:rPr>
          <w:spacing w:val="-13"/>
        </w:rPr>
        <w:t> </w:t>
      </w:r>
      <w:r>
        <w:rPr/>
        <w:t>provision</w:t>
      </w:r>
      <w:r>
        <w:rPr>
          <w:spacing w:val="-12"/>
        </w:rPr>
        <w:t> </w:t>
      </w:r>
      <w:r>
        <w:rPr/>
        <w:t>of</w:t>
      </w:r>
      <w:r>
        <w:rPr>
          <w:spacing w:val="-12"/>
        </w:rPr>
        <w:t> </w:t>
      </w:r>
      <w:r>
        <w:rPr/>
        <w:t>the</w:t>
      </w:r>
      <w:r>
        <w:rPr>
          <w:spacing w:val="-13"/>
        </w:rPr>
        <w:t> </w:t>
      </w:r>
      <w:r>
        <w:rPr/>
        <w:t>service</w:t>
      </w:r>
      <w:r>
        <w:rPr>
          <w:spacing w:val="-12"/>
        </w:rPr>
        <w:t> </w:t>
      </w:r>
      <w:r>
        <w:rPr/>
        <w:t>and</w:t>
      </w:r>
      <w:r>
        <w:rPr>
          <w:spacing w:val="-12"/>
        </w:rPr>
        <w:t> </w:t>
      </w:r>
      <w:r>
        <w:rPr/>
        <w:t>therefore</w:t>
      </w:r>
      <w:r>
        <w:rPr>
          <w:spacing w:val="-12"/>
        </w:rPr>
        <w:t> </w:t>
      </w:r>
      <w:r>
        <w:rPr/>
        <w:t>does</w:t>
      </w:r>
      <w:r>
        <w:rPr>
          <w:spacing w:val="-10"/>
        </w:rPr>
        <w:t> </w:t>
      </w:r>
      <w:r>
        <w:rPr/>
        <w:t>not</w:t>
      </w:r>
      <w:r>
        <w:rPr>
          <w:spacing w:val="-12"/>
        </w:rPr>
        <w:t> </w:t>
      </w:r>
      <w:r>
        <w:rPr/>
        <w:t>include</w:t>
      </w:r>
      <w:r>
        <w:rPr>
          <w:spacing w:val="-12"/>
        </w:rPr>
        <w:t> </w:t>
      </w:r>
      <w:r>
        <w:rPr/>
        <w:t>human</w:t>
      </w:r>
      <w:r>
        <w:rPr>
          <w:spacing w:val="-14"/>
        </w:rPr>
        <w:t> </w:t>
      </w:r>
      <w:r>
        <w:rPr/>
        <w:t>involvement in creating or supporting the system, such as setting up the system environment needed for the provision</w:t>
      </w:r>
      <w:r>
        <w:rPr>
          <w:spacing w:val="-10"/>
        </w:rPr>
        <w:t> </w:t>
      </w:r>
      <w:r>
        <w:rPr/>
        <w:t>of</w:t>
      </w:r>
      <w:r>
        <w:rPr>
          <w:spacing w:val="-8"/>
        </w:rPr>
        <w:t> </w:t>
      </w:r>
      <w:r>
        <w:rPr/>
        <w:t>the</w:t>
      </w:r>
      <w:r>
        <w:rPr>
          <w:spacing w:val="-10"/>
        </w:rPr>
        <w:t> </w:t>
      </w:r>
      <w:r>
        <w:rPr/>
        <w:t>service,</w:t>
      </w:r>
      <w:r>
        <w:rPr>
          <w:spacing w:val="-10"/>
        </w:rPr>
        <w:t> </w:t>
      </w:r>
      <w:r>
        <w:rPr/>
        <w:t>maintaining</w:t>
      </w:r>
      <w:r>
        <w:rPr>
          <w:spacing w:val="-8"/>
        </w:rPr>
        <w:t> </w:t>
      </w:r>
      <w:r>
        <w:rPr/>
        <w:t>and</w:t>
      </w:r>
      <w:r>
        <w:rPr>
          <w:spacing w:val="-8"/>
        </w:rPr>
        <w:t> </w:t>
      </w:r>
      <w:r>
        <w:rPr/>
        <w:t>updating</w:t>
      </w:r>
      <w:r>
        <w:rPr>
          <w:spacing w:val="-10"/>
        </w:rPr>
        <w:t> </w:t>
      </w:r>
      <w:r>
        <w:rPr/>
        <w:t>the</w:t>
      </w:r>
      <w:r>
        <w:rPr>
          <w:spacing w:val="-8"/>
        </w:rPr>
        <w:t> </w:t>
      </w:r>
      <w:r>
        <w:rPr/>
        <w:t>system</w:t>
      </w:r>
      <w:r>
        <w:rPr>
          <w:spacing w:val="-7"/>
        </w:rPr>
        <w:t> </w:t>
      </w:r>
      <w:r>
        <w:rPr/>
        <w:t>environment,</w:t>
      </w:r>
      <w:r>
        <w:rPr>
          <w:spacing w:val="-9"/>
        </w:rPr>
        <w:t> </w:t>
      </w:r>
      <w:r>
        <w:rPr/>
        <w:t>dealing</w:t>
      </w:r>
      <w:r>
        <w:rPr>
          <w:spacing w:val="-7"/>
        </w:rPr>
        <w:t> </w:t>
      </w:r>
      <w:r>
        <w:rPr/>
        <w:t>with</w:t>
      </w:r>
      <w:r>
        <w:rPr>
          <w:spacing w:val="-10"/>
        </w:rPr>
        <w:t> </w:t>
      </w:r>
      <w:r>
        <w:rPr/>
        <w:t>system</w:t>
      </w:r>
      <w:r>
        <w:rPr>
          <w:spacing w:val="-6"/>
        </w:rPr>
        <w:t> </w:t>
      </w:r>
      <w:r>
        <w:rPr/>
        <w:t>errors, or making other generic, non-specific adjustments unrelated to individual user requests. Finally, the threshold of minimal human involvement would not be crossed where the provision of the service to new users involves very limited human response to individual user requests / input at the service delivery point or where in individual cases involving particular, more complex problems, the programmes running the system direct the customer to a staff</w:t>
      </w:r>
      <w:r>
        <w:rPr>
          <w:spacing w:val="-13"/>
        </w:rPr>
        <w:t> </w:t>
      </w:r>
      <w:r>
        <w:rPr/>
        <w:t>member.</w:t>
      </w:r>
    </w:p>
    <w:p>
      <w:pPr>
        <w:pStyle w:val="BodyText"/>
        <w:spacing w:line="271" w:lineRule="auto" w:before="123"/>
        <w:ind w:left="872" w:right="624"/>
        <w:jc w:val="both"/>
      </w:pPr>
      <w:r>
        <w:rPr/>
        <w:t>A general feature of the concept of “automated” is whether there is an ability to scale up and provide the same type of service to new users with minimal human involvement. This feature aims to identify ADS businesses that benefit from significant economies of scale, rather than to suggest that there is no human involvement required in the business. For many ADS businesses, developing the system that delivers the offered service may require a large degree of upfront human involvement and capital inputs</w:t>
      </w:r>
      <w:r>
        <w:rPr>
          <w:spacing w:val="-12"/>
        </w:rPr>
        <w:t> </w:t>
      </w:r>
      <w:r>
        <w:rPr/>
        <w:t>(such</w:t>
      </w:r>
      <w:r>
        <w:rPr>
          <w:spacing w:val="-13"/>
        </w:rPr>
        <w:t> </w:t>
      </w:r>
      <w:r>
        <w:rPr/>
        <w:t>as</w:t>
      </w:r>
      <w:r>
        <w:rPr>
          <w:spacing w:val="-11"/>
        </w:rPr>
        <w:t> </w:t>
      </w:r>
      <w:r>
        <w:rPr/>
        <w:t>creating</w:t>
      </w:r>
      <w:r>
        <w:rPr>
          <w:spacing w:val="-10"/>
        </w:rPr>
        <w:t> </w:t>
      </w:r>
      <w:r>
        <w:rPr/>
        <w:t>algorithms</w:t>
      </w:r>
      <w:r>
        <w:rPr>
          <w:spacing w:val="-10"/>
        </w:rPr>
        <w:t> </w:t>
      </w:r>
      <w:r>
        <w:rPr/>
        <w:t>to</w:t>
      </w:r>
      <w:r>
        <w:rPr>
          <w:spacing w:val="-13"/>
        </w:rPr>
        <w:t> </w:t>
      </w:r>
      <w:r>
        <w:rPr/>
        <w:t>deliver</w:t>
      </w:r>
      <w:r>
        <w:rPr>
          <w:spacing w:val="-12"/>
        </w:rPr>
        <w:t> </w:t>
      </w:r>
      <w:r>
        <w:rPr/>
        <w:t>the</w:t>
      </w:r>
      <w:r>
        <w:rPr>
          <w:spacing w:val="-12"/>
        </w:rPr>
        <w:t> </w:t>
      </w:r>
      <w:r>
        <w:rPr/>
        <w:t>automated</w:t>
      </w:r>
      <w:r>
        <w:rPr>
          <w:spacing w:val="-13"/>
        </w:rPr>
        <w:t> </w:t>
      </w:r>
      <w:r>
        <w:rPr/>
        <w:t>service</w:t>
      </w:r>
      <w:r>
        <w:rPr>
          <w:spacing w:val="-10"/>
        </w:rPr>
        <w:t> </w:t>
      </w:r>
      <w:r>
        <w:rPr/>
        <w:t>including</w:t>
      </w:r>
      <w:r>
        <w:rPr>
          <w:spacing w:val="-11"/>
        </w:rPr>
        <w:t> </w:t>
      </w:r>
      <w:r>
        <w:rPr/>
        <w:t>such</w:t>
      </w:r>
      <w:r>
        <w:rPr>
          <w:spacing w:val="-10"/>
        </w:rPr>
        <w:t> </w:t>
      </w:r>
      <w:r>
        <w:rPr/>
        <w:t>features</w:t>
      </w:r>
      <w:r>
        <w:rPr>
          <w:spacing w:val="-10"/>
        </w:rPr>
        <w:t> </w:t>
      </w:r>
      <w:r>
        <w:rPr/>
        <w:t>as</w:t>
      </w:r>
      <w:r>
        <w:rPr>
          <w:spacing w:val="-11"/>
        </w:rPr>
        <w:t> </w:t>
      </w:r>
      <w:r>
        <w:rPr/>
        <w:t>tailoring the offering to the user’s preferences). It distinguishes ADS businesses by looking to whether the marginal cost in terms of additional human involvement of providing the same services to additional users is nil or almost nil. In other words, once the offered service of an ADS business is developed (such as the music catalogue or social media platform), then the business can provide that service to one user, or to one thousand users, on an automated basis with the same basic business processes and therefore benefit from scale without mass in the market jurisdiction; whereas </w:t>
      </w:r>
      <w:r>
        <w:rPr>
          <w:spacing w:val="3"/>
        </w:rPr>
        <w:t>many </w:t>
      </w:r>
      <w:r>
        <w:rPr/>
        <w:t>non-ADS businesses would have material per unit costs in connection with providing the services to new customers.</w:t>
      </w:r>
    </w:p>
    <w:p>
      <w:pPr>
        <w:pStyle w:val="BodyText"/>
        <w:spacing w:line="271" w:lineRule="auto" w:before="121"/>
        <w:ind w:left="872" w:right="632"/>
        <w:jc w:val="both"/>
      </w:pPr>
      <w:r>
        <w:rPr/>
        <w:t>With</w:t>
      </w:r>
      <w:r>
        <w:rPr>
          <w:spacing w:val="-15"/>
        </w:rPr>
        <w:t> </w:t>
      </w:r>
      <w:r>
        <w:rPr/>
        <w:t>respect</w:t>
      </w:r>
      <w:r>
        <w:rPr>
          <w:spacing w:val="-14"/>
        </w:rPr>
        <w:t> </w:t>
      </w:r>
      <w:r>
        <w:rPr/>
        <w:t>to</w:t>
      </w:r>
      <w:r>
        <w:rPr>
          <w:spacing w:val="-14"/>
        </w:rPr>
        <w:t> </w:t>
      </w:r>
      <w:r>
        <w:rPr/>
        <w:t>the</w:t>
      </w:r>
      <w:r>
        <w:rPr>
          <w:spacing w:val="-15"/>
        </w:rPr>
        <w:t> </w:t>
      </w:r>
      <w:r>
        <w:rPr/>
        <w:t>second</w:t>
      </w:r>
      <w:r>
        <w:rPr>
          <w:spacing w:val="-12"/>
        </w:rPr>
        <w:t> </w:t>
      </w:r>
      <w:r>
        <w:rPr/>
        <w:t>condition</w:t>
      </w:r>
      <w:r>
        <w:rPr>
          <w:spacing w:val="-14"/>
        </w:rPr>
        <w:t> </w:t>
      </w:r>
      <w:r>
        <w:rPr/>
        <w:t>of</w:t>
      </w:r>
      <w:r>
        <w:rPr>
          <w:spacing w:val="-13"/>
        </w:rPr>
        <w:t> </w:t>
      </w:r>
      <w:r>
        <w:rPr/>
        <w:t>the</w:t>
      </w:r>
      <w:r>
        <w:rPr>
          <w:spacing w:val="-14"/>
        </w:rPr>
        <w:t> </w:t>
      </w:r>
      <w:r>
        <w:rPr/>
        <w:t>general</w:t>
      </w:r>
      <w:r>
        <w:rPr>
          <w:spacing w:val="-14"/>
        </w:rPr>
        <w:t> </w:t>
      </w:r>
      <w:r>
        <w:rPr/>
        <w:t>definition</w:t>
      </w:r>
      <w:r>
        <w:rPr>
          <w:spacing w:val="-15"/>
        </w:rPr>
        <w:t> </w:t>
      </w:r>
      <w:r>
        <w:rPr/>
        <w:t>(i.e.</w:t>
      </w:r>
      <w:r>
        <w:rPr>
          <w:spacing w:val="-14"/>
        </w:rPr>
        <w:t> </w:t>
      </w:r>
      <w:r>
        <w:rPr/>
        <w:t>that</w:t>
      </w:r>
      <w:r>
        <w:rPr>
          <w:spacing w:val="-14"/>
        </w:rPr>
        <w:t> </w:t>
      </w:r>
      <w:r>
        <w:rPr/>
        <w:t>the</w:t>
      </w:r>
      <w:r>
        <w:rPr>
          <w:spacing w:val="-15"/>
        </w:rPr>
        <w:t> </w:t>
      </w:r>
      <w:r>
        <w:rPr/>
        <w:t>service</w:t>
      </w:r>
      <w:r>
        <w:rPr>
          <w:spacing w:val="-14"/>
        </w:rPr>
        <w:t> </w:t>
      </w:r>
      <w:r>
        <w:rPr/>
        <w:t>is</w:t>
      </w:r>
      <w:r>
        <w:rPr>
          <w:spacing w:val="-10"/>
        </w:rPr>
        <w:t> </w:t>
      </w:r>
      <w:r>
        <w:rPr/>
        <w:t>digital),</w:t>
      </w:r>
      <w:r>
        <w:rPr>
          <w:spacing w:val="-15"/>
        </w:rPr>
        <w:t> </w:t>
      </w:r>
      <w:r>
        <w:rPr/>
        <w:t>it</w:t>
      </w:r>
      <w:r>
        <w:rPr>
          <w:spacing w:val="-14"/>
        </w:rPr>
        <w:t> </w:t>
      </w:r>
      <w:r>
        <w:rPr/>
        <w:t>is</w:t>
      </w:r>
      <w:r>
        <w:rPr>
          <w:spacing w:val="-12"/>
        </w:rPr>
        <w:t> </w:t>
      </w:r>
      <w:r>
        <w:rPr/>
        <w:t>inherent in</w:t>
      </w:r>
      <w:r>
        <w:rPr>
          <w:spacing w:val="-14"/>
        </w:rPr>
        <w:t> </w:t>
      </w:r>
      <w:r>
        <w:rPr/>
        <w:t>the</w:t>
      </w:r>
      <w:r>
        <w:rPr>
          <w:spacing w:val="-12"/>
        </w:rPr>
        <w:t> </w:t>
      </w:r>
      <w:r>
        <w:rPr/>
        <w:t>nature</w:t>
      </w:r>
      <w:r>
        <w:rPr>
          <w:spacing w:val="-14"/>
        </w:rPr>
        <w:t> </w:t>
      </w:r>
      <w:r>
        <w:rPr/>
        <w:t>of</w:t>
      </w:r>
      <w:r>
        <w:rPr>
          <w:spacing w:val="-11"/>
        </w:rPr>
        <w:t> </w:t>
      </w:r>
      <w:r>
        <w:rPr/>
        <w:t>ADS</w:t>
      </w:r>
      <w:r>
        <w:rPr>
          <w:spacing w:val="-14"/>
        </w:rPr>
        <w:t> </w:t>
      </w:r>
      <w:r>
        <w:rPr/>
        <w:t>that</w:t>
      </w:r>
      <w:r>
        <w:rPr>
          <w:spacing w:val="-11"/>
        </w:rPr>
        <w:t> </w:t>
      </w:r>
      <w:r>
        <w:rPr/>
        <w:t>it</w:t>
      </w:r>
      <w:r>
        <w:rPr>
          <w:spacing w:val="-9"/>
        </w:rPr>
        <w:t> </w:t>
      </w:r>
      <w:r>
        <w:rPr/>
        <w:t>will</w:t>
      </w:r>
      <w:r>
        <w:rPr>
          <w:spacing w:val="-13"/>
        </w:rPr>
        <w:t> </w:t>
      </w:r>
      <w:r>
        <w:rPr/>
        <w:t>be</w:t>
      </w:r>
      <w:r>
        <w:rPr>
          <w:spacing w:val="-14"/>
        </w:rPr>
        <w:t> </w:t>
      </w:r>
      <w:r>
        <w:rPr/>
        <w:t>provided</w:t>
      </w:r>
      <w:r>
        <w:rPr>
          <w:spacing w:val="-14"/>
        </w:rPr>
        <w:t> </w:t>
      </w:r>
      <w:r>
        <w:rPr/>
        <w:t>over</w:t>
      </w:r>
      <w:r>
        <w:rPr>
          <w:spacing w:val="-10"/>
        </w:rPr>
        <w:t> </w:t>
      </w:r>
      <w:r>
        <w:rPr/>
        <w:t>the</w:t>
      </w:r>
      <w:r>
        <w:rPr>
          <w:spacing w:val="-12"/>
        </w:rPr>
        <w:t> </w:t>
      </w:r>
      <w:r>
        <w:rPr/>
        <w:t>Internet</w:t>
      </w:r>
      <w:r>
        <w:rPr>
          <w:spacing w:val="-12"/>
        </w:rPr>
        <w:t> </w:t>
      </w:r>
      <w:r>
        <w:rPr/>
        <w:t>or</w:t>
      </w:r>
      <w:r>
        <w:rPr>
          <w:spacing w:val="-13"/>
        </w:rPr>
        <w:t> </w:t>
      </w:r>
      <w:r>
        <w:rPr/>
        <w:t>an</w:t>
      </w:r>
      <w:r>
        <w:rPr>
          <w:spacing w:val="-11"/>
        </w:rPr>
        <w:t> </w:t>
      </w:r>
      <w:r>
        <w:rPr/>
        <w:t>electronic</w:t>
      </w:r>
      <w:r>
        <w:rPr>
          <w:spacing w:val="-12"/>
        </w:rPr>
        <w:t> </w:t>
      </w:r>
      <w:r>
        <w:rPr/>
        <w:t>network.</w:t>
      </w:r>
      <w:r>
        <w:rPr>
          <w:spacing w:val="-14"/>
        </w:rPr>
        <w:t> </w:t>
      </w:r>
      <w:r>
        <w:rPr/>
        <w:t>This</w:t>
      </w:r>
      <w:r>
        <w:rPr>
          <w:spacing w:val="-12"/>
        </w:rPr>
        <w:t> </w:t>
      </w:r>
      <w:r>
        <w:rPr/>
        <w:t>distinguishes it from other service provision methods, such as the on-site physical performance of a service. For example, an online intermediary platform website that provides the service of bringing users and hotel offerings together and allowing users to book a hotel online, derives revenue for providing that online intermediation service. It is in scope as ADS. This is different from the case of the hotel itself, which earns</w:t>
      </w:r>
      <w:r>
        <w:rPr>
          <w:spacing w:val="-10"/>
        </w:rPr>
        <w:t> </w:t>
      </w:r>
      <w:r>
        <w:rPr/>
        <w:t>revenue</w:t>
      </w:r>
      <w:r>
        <w:rPr>
          <w:spacing w:val="-10"/>
        </w:rPr>
        <w:t> </w:t>
      </w:r>
      <w:r>
        <w:rPr/>
        <w:t>for</w:t>
      </w:r>
      <w:r>
        <w:rPr>
          <w:spacing w:val="-9"/>
        </w:rPr>
        <w:t> </w:t>
      </w:r>
      <w:r>
        <w:rPr/>
        <w:t>providing</w:t>
      </w:r>
      <w:r>
        <w:rPr>
          <w:spacing w:val="-9"/>
        </w:rPr>
        <w:t> </w:t>
      </w:r>
      <w:r>
        <w:rPr/>
        <w:t>physical</w:t>
      </w:r>
      <w:r>
        <w:rPr>
          <w:spacing w:val="-11"/>
        </w:rPr>
        <w:t> </w:t>
      </w:r>
      <w:r>
        <w:rPr/>
        <w:t>accommodation,</w:t>
      </w:r>
      <w:r>
        <w:rPr>
          <w:spacing w:val="-10"/>
        </w:rPr>
        <w:t> </w:t>
      </w:r>
      <w:r>
        <w:rPr/>
        <w:t>which</w:t>
      </w:r>
      <w:r>
        <w:rPr>
          <w:spacing w:val="-9"/>
        </w:rPr>
        <w:t> </w:t>
      </w:r>
      <w:r>
        <w:rPr/>
        <w:t>is</w:t>
      </w:r>
      <w:r>
        <w:rPr>
          <w:spacing w:val="-10"/>
        </w:rPr>
        <w:t> </w:t>
      </w:r>
      <w:r>
        <w:rPr/>
        <w:t>not</w:t>
      </w:r>
      <w:r>
        <w:rPr>
          <w:spacing w:val="-10"/>
        </w:rPr>
        <w:t> </w:t>
      </w:r>
      <w:r>
        <w:rPr/>
        <w:t>provided</w:t>
      </w:r>
      <w:r>
        <w:rPr>
          <w:spacing w:val="-10"/>
        </w:rPr>
        <w:t> </w:t>
      </w:r>
      <w:r>
        <w:rPr/>
        <w:t>over</w:t>
      </w:r>
      <w:r>
        <w:rPr>
          <w:spacing w:val="-10"/>
        </w:rPr>
        <w:t> </w:t>
      </w:r>
      <w:r>
        <w:rPr/>
        <w:t>the</w:t>
      </w:r>
      <w:r>
        <w:rPr>
          <w:spacing w:val="-10"/>
        </w:rPr>
        <w:t> </w:t>
      </w:r>
      <w:r>
        <w:rPr/>
        <w:t>Internet.</w:t>
      </w:r>
      <w:r>
        <w:rPr>
          <w:spacing w:val="-9"/>
        </w:rPr>
        <w:t> </w:t>
      </w:r>
      <w:r>
        <w:rPr/>
        <w:t>Although</w:t>
      </w:r>
    </w:p>
    <w:p>
      <w:pPr>
        <w:pStyle w:val="BodyText"/>
      </w:pPr>
    </w:p>
    <w:p>
      <w:pPr>
        <w:pStyle w:val="BodyText"/>
        <w:spacing w:before="6"/>
        <w:rPr>
          <w:sz w:val="11"/>
        </w:rPr>
      </w:pPr>
      <w:r>
        <w:rPr/>
        <w:pict>
          <v:rect style="position:absolute;margin-left:65.183998pt;margin-top:8.596004pt;width:144.020004pt;height:.60004pt;mso-position-horizontal-relative:page;mso-position-vertical-relative:paragraph;z-index:-1571481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16" w:val="left" w:leader="none"/>
        </w:tabs>
        <w:spacing w:line="278" w:lineRule="auto" w:before="94" w:after="0"/>
        <w:ind w:left="723" w:right="480" w:firstLine="0"/>
        <w:jc w:val="both"/>
        <w:rPr>
          <w:sz w:val="18"/>
        </w:rPr>
      </w:pPr>
      <w:r>
        <w:rPr>
          <w:sz w:val="18"/>
        </w:rPr>
        <w:t>The</w:t>
      </w:r>
      <w:r>
        <w:rPr>
          <w:spacing w:val="-15"/>
          <w:sz w:val="18"/>
        </w:rPr>
        <w:t> </w:t>
      </w:r>
      <w:r>
        <w:rPr>
          <w:sz w:val="18"/>
        </w:rPr>
        <w:t>definition</w:t>
      </w:r>
      <w:r>
        <w:rPr>
          <w:spacing w:val="-14"/>
          <w:sz w:val="18"/>
        </w:rPr>
        <w:t> </w:t>
      </w:r>
      <w:r>
        <w:rPr>
          <w:sz w:val="18"/>
        </w:rPr>
        <w:t>of</w:t>
      </w:r>
      <w:r>
        <w:rPr>
          <w:spacing w:val="-14"/>
          <w:sz w:val="18"/>
        </w:rPr>
        <w:t> </w:t>
      </w:r>
      <w:r>
        <w:rPr>
          <w:sz w:val="18"/>
        </w:rPr>
        <w:t>ADS</w:t>
      </w:r>
      <w:r>
        <w:rPr>
          <w:spacing w:val="-15"/>
          <w:sz w:val="18"/>
        </w:rPr>
        <w:t> </w:t>
      </w:r>
      <w:r>
        <w:rPr>
          <w:sz w:val="18"/>
        </w:rPr>
        <w:t>draws</w:t>
      </w:r>
      <w:r>
        <w:rPr>
          <w:spacing w:val="-14"/>
          <w:sz w:val="18"/>
        </w:rPr>
        <w:t> </w:t>
      </w:r>
      <w:r>
        <w:rPr>
          <w:sz w:val="18"/>
        </w:rPr>
        <w:t>upon,</w:t>
      </w:r>
      <w:r>
        <w:rPr>
          <w:spacing w:val="-14"/>
          <w:sz w:val="18"/>
        </w:rPr>
        <w:t> </w:t>
      </w:r>
      <w:r>
        <w:rPr>
          <w:sz w:val="18"/>
        </w:rPr>
        <w:t>but</w:t>
      </w:r>
      <w:r>
        <w:rPr>
          <w:spacing w:val="-14"/>
          <w:sz w:val="18"/>
        </w:rPr>
        <w:t> </w:t>
      </w:r>
      <w:r>
        <w:rPr>
          <w:sz w:val="18"/>
        </w:rPr>
        <w:t>is</w:t>
      </w:r>
      <w:r>
        <w:rPr>
          <w:spacing w:val="-13"/>
          <w:sz w:val="18"/>
        </w:rPr>
        <w:t> </w:t>
      </w:r>
      <w:r>
        <w:rPr>
          <w:sz w:val="18"/>
        </w:rPr>
        <w:t>different</w:t>
      </w:r>
      <w:r>
        <w:rPr>
          <w:spacing w:val="-15"/>
          <w:sz w:val="18"/>
        </w:rPr>
        <w:t> </w:t>
      </w:r>
      <w:r>
        <w:rPr>
          <w:sz w:val="18"/>
        </w:rPr>
        <w:t>from,</w:t>
      </w:r>
      <w:r>
        <w:rPr>
          <w:spacing w:val="-16"/>
          <w:sz w:val="18"/>
        </w:rPr>
        <w:t> </w:t>
      </w:r>
      <w:r>
        <w:rPr>
          <w:sz w:val="18"/>
        </w:rPr>
        <w:t>concepts</w:t>
      </w:r>
      <w:r>
        <w:rPr>
          <w:spacing w:val="-15"/>
          <w:sz w:val="18"/>
        </w:rPr>
        <w:t> </w:t>
      </w:r>
      <w:r>
        <w:rPr>
          <w:sz w:val="18"/>
        </w:rPr>
        <w:t>contained</w:t>
      </w:r>
      <w:r>
        <w:rPr>
          <w:spacing w:val="-14"/>
          <w:sz w:val="18"/>
        </w:rPr>
        <w:t> </w:t>
      </w:r>
      <w:r>
        <w:rPr>
          <w:sz w:val="18"/>
        </w:rPr>
        <w:t>in</w:t>
      </w:r>
      <w:r>
        <w:rPr>
          <w:spacing w:val="-14"/>
          <w:sz w:val="18"/>
        </w:rPr>
        <w:t> </w:t>
      </w:r>
      <w:r>
        <w:rPr>
          <w:sz w:val="18"/>
        </w:rPr>
        <w:t>the</w:t>
      </w:r>
      <w:r>
        <w:rPr>
          <w:spacing w:val="-15"/>
          <w:sz w:val="18"/>
        </w:rPr>
        <w:t> </w:t>
      </w:r>
      <w:r>
        <w:rPr>
          <w:sz w:val="18"/>
        </w:rPr>
        <w:t>definition</w:t>
      </w:r>
      <w:r>
        <w:rPr>
          <w:spacing w:val="-17"/>
          <w:sz w:val="18"/>
        </w:rPr>
        <w:t> </w:t>
      </w:r>
      <w:r>
        <w:rPr>
          <w:sz w:val="18"/>
        </w:rPr>
        <w:t>of</w:t>
      </w:r>
      <w:r>
        <w:rPr>
          <w:spacing w:val="-15"/>
          <w:sz w:val="18"/>
        </w:rPr>
        <w:t> </w:t>
      </w:r>
      <w:r>
        <w:rPr>
          <w:sz w:val="18"/>
        </w:rPr>
        <w:t>“electronically</w:t>
      </w:r>
      <w:r>
        <w:rPr>
          <w:spacing w:val="-15"/>
          <w:sz w:val="18"/>
        </w:rPr>
        <w:t> </w:t>
      </w:r>
      <w:r>
        <w:rPr>
          <w:sz w:val="18"/>
        </w:rPr>
        <w:t>supplied services”</w:t>
      </w:r>
      <w:r>
        <w:rPr>
          <w:spacing w:val="-4"/>
          <w:sz w:val="18"/>
        </w:rPr>
        <w:t> </w:t>
      </w:r>
      <w:r>
        <w:rPr>
          <w:sz w:val="18"/>
        </w:rPr>
        <w:t>used</w:t>
      </w:r>
      <w:r>
        <w:rPr>
          <w:spacing w:val="-6"/>
          <w:sz w:val="18"/>
        </w:rPr>
        <w:t> </w:t>
      </w:r>
      <w:r>
        <w:rPr>
          <w:sz w:val="18"/>
        </w:rPr>
        <w:t>in</w:t>
      </w:r>
      <w:r>
        <w:rPr>
          <w:spacing w:val="-4"/>
          <w:sz w:val="18"/>
        </w:rPr>
        <w:t> </w:t>
      </w:r>
      <w:r>
        <w:rPr>
          <w:sz w:val="18"/>
        </w:rPr>
        <w:t>the</w:t>
      </w:r>
      <w:r>
        <w:rPr>
          <w:spacing w:val="-4"/>
          <w:sz w:val="18"/>
        </w:rPr>
        <w:t> </w:t>
      </w:r>
      <w:r>
        <w:rPr>
          <w:sz w:val="18"/>
        </w:rPr>
        <w:t>European</w:t>
      </w:r>
      <w:r>
        <w:rPr>
          <w:spacing w:val="-4"/>
          <w:sz w:val="18"/>
        </w:rPr>
        <w:t> </w:t>
      </w:r>
      <w:r>
        <w:rPr>
          <w:sz w:val="18"/>
        </w:rPr>
        <w:t>Union</w:t>
      </w:r>
      <w:r>
        <w:rPr>
          <w:spacing w:val="-4"/>
          <w:sz w:val="18"/>
        </w:rPr>
        <w:t> </w:t>
      </w:r>
      <w:r>
        <w:rPr>
          <w:sz w:val="18"/>
        </w:rPr>
        <w:t>VAT</w:t>
      </w:r>
      <w:r>
        <w:rPr>
          <w:spacing w:val="-7"/>
          <w:sz w:val="18"/>
        </w:rPr>
        <w:t> </w:t>
      </w:r>
      <w:r>
        <w:rPr>
          <w:sz w:val="18"/>
        </w:rPr>
        <w:t>law.</w:t>
      </w:r>
      <w:r>
        <w:rPr>
          <w:spacing w:val="-4"/>
          <w:sz w:val="18"/>
        </w:rPr>
        <w:t> </w:t>
      </w:r>
      <w:r>
        <w:rPr>
          <w:sz w:val="18"/>
        </w:rPr>
        <w:t>The</w:t>
      </w:r>
      <w:r>
        <w:rPr>
          <w:spacing w:val="-4"/>
          <w:sz w:val="18"/>
        </w:rPr>
        <w:t> </w:t>
      </w:r>
      <w:r>
        <w:rPr>
          <w:sz w:val="18"/>
        </w:rPr>
        <w:t>intention</w:t>
      </w:r>
      <w:r>
        <w:rPr>
          <w:spacing w:val="-4"/>
          <w:sz w:val="18"/>
        </w:rPr>
        <w:t> </w:t>
      </w:r>
      <w:r>
        <w:rPr>
          <w:sz w:val="18"/>
        </w:rPr>
        <w:t>is</w:t>
      </w:r>
      <w:r>
        <w:rPr>
          <w:spacing w:val="-3"/>
          <w:sz w:val="18"/>
        </w:rPr>
        <w:t> </w:t>
      </w:r>
      <w:r>
        <w:rPr>
          <w:sz w:val="18"/>
        </w:rPr>
        <w:t>to</w:t>
      </w:r>
      <w:r>
        <w:rPr>
          <w:spacing w:val="-4"/>
          <w:sz w:val="18"/>
        </w:rPr>
        <w:t> </w:t>
      </w:r>
      <w:r>
        <w:rPr>
          <w:sz w:val="18"/>
        </w:rPr>
        <w:t>avoid</w:t>
      </w:r>
      <w:r>
        <w:rPr>
          <w:spacing w:val="-6"/>
          <w:sz w:val="18"/>
        </w:rPr>
        <w:t> </w:t>
      </w:r>
      <w:r>
        <w:rPr>
          <w:sz w:val="18"/>
        </w:rPr>
        <w:t>conflation</w:t>
      </w:r>
      <w:r>
        <w:rPr>
          <w:spacing w:val="-6"/>
          <w:sz w:val="18"/>
        </w:rPr>
        <w:t> </w:t>
      </w:r>
      <w:r>
        <w:rPr>
          <w:sz w:val="18"/>
        </w:rPr>
        <w:t>between</w:t>
      </w:r>
      <w:r>
        <w:rPr>
          <w:spacing w:val="-3"/>
          <w:sz w:val="18"/>
        </w:rPr>
        <w:t> </w:t>
      </w:r>
      <w:r>
        <w:rPr>
          <w:sz w:val="18"/>
        </w:rPr>
        <w:t>both</w:t>
      </w:r>
      <w:r>
        <w:rPr>
          <w:spacing w:val="-6"/>
          <w:sz w:val="18"/>
        </w:rPr>
        <w:t> </w:t>
      </w:r>
      <w:r>
        <w:rPr>
          <w:sz w:val="18"/>
        </w:rPr>
        <w:t>concepts</w:t>
      </w:r>
      <w:r>
        <w:rPr>
          <w:spacing w:val="5"/>
          <w:sz w:val="18"/>
        </w:rPr>
        <w:t> </w:t>
      </w:r>
      <w:r>
        <w:rPr>
          <w:sz w:val="18"/>
        </w:rPr>
        <w:t>(and</w:t>
      </w:r>
      <w:r>
        <w:rPr>
          <w:spacing w:val="-4"/>
          <w:sz w:val="18"/>
        </w:rPr>
        <w:t> </w:t>
      </w:r>
      <w:r>
        <w:rPr>
          <w:sz w:val="18"/>
        </w:rPr>
        <w:t>avoid any difficult questions as to the relevance of the associated EU case law for the Inclusive</w:t>
      </w:r>
      <w:r>
        <w:rPr>
          <w:spacing w:val="-22"/>
          <w:sz w:val="18"/>
        </w:rPr>
        <w:t> </w:t>
      </w:r>
      <w:r>
        <w:rPr>
          <w:sz w:val="18"/>
        </w:rPr>
        <w:t>Framework).</w:t>
      </w:r>
    </w:p>
    <w:p>
      <w:pPr>
        <w:spacing w:after="0" w:line="278" w:lineRule="auto"/>
        <w:jc w:val="both"/>
        <w:rPr>
          <w:sz w:val="18"/>
        </w:rPr>
        <w:sectPr>
          <w:pgSz w:w="11910" w:h="16840"/>
          <w:pgMar w:header="1244" w:footer="1638" w:top="1500" w:bottom="1820" w:left="580" w:right="820"/>
        </w:sectPr>
      </w:pPr>
    </w:p>
    <w:p>
      <w:pPr>
        <w:pStyle w:val="BodyText"/>
        <w:rPr>
          <w:sz w:val="26"/>
        </w:rPr>
      </w:pPr>
    </w:p>
    <w:p>
      <w:pPr>
        <w:pStyle w:val="BodyText"/>
        <w:ind w:left="723"/>
      </w:pPr>
      <w:r>
        <w:rPr/>
        <w:pict>
          <v:shape style="width:464.5pt;height:123.6pt;mso-position-horizontal-relative:char;mso-position-vertical-relative:line" type="#_x0000_t202" filled="true" fillcolor="#eeece1" stroked="true" strokeweight=".47998pt" strokecolor="#4e81bd">
            <w10:anchorlock/>
            <v:textbox inset="0,0,0,0">
              <w:txbxContent>
                <w:p>
                  <w:pPr>
                    <w:pStyle w:val="BodyText"/>
                    <w:spacing w:line="271" w:lineRule="auto" w:before="28"/>
                    <w:ind w:left="139" w:right="138"/>
                    <w:jc w:val="both"/>
                  </w:pPr>
                  <w:r>
                    <w:rPr/>
                    <w:t>the hotel may have an online booking service on its website, it is not deriving revenue from providing that function as a service per se but from providing the accommodation (and the online booking is of no</w:t>
                  </w:r>
                  <w:r>
                    <w:rPr>
                      <w:spacing w:val="-5"/>
                    </w:rPr>
                    <w:t> </w:t>
                  </w:r>
                  <w:r>
                    <w:rPr/>
                    <w:t>use</w:t>
                  </w:r>
                  <w:r>
                    <w:rPr>
                      <w:spacing w:val="-2"/>
                    </w:rPr>
                    <w:t> </w:t>
                  </w:r>
                  <w:r>
                    <w:rPr/>
                    <w:t>without</w:t>
                  </w:r>
                  <w:r>
                    <w:rPr>
                      <w:spacing w:val="-5"/>
                    </w:rPr>
                    <w:t> </w:t>
                  </w:r>
                  <w:r>
                    <w:rPr/>
                    <w:t>the</w:t>
                  </w:r>
                  <w:r>
                    <w:rPr>
                      <w:spacing w:val="-4"/>
                    </w:rPr>
                    <w:t> </w:t>
                  </w:r>
                  <w:r>
                    <w:rPr/>
                    <w:t>main</w:t>
                  </w:r>
                  <w:r>
                    <w:rPr>
                      <w:spacing w:val="-4"/>
                    </w:rPr>
                    <w:t> </w:t>
                  </w:r>
                  <w:r>
                    <w:rPr/>
                    <w:t>activity</w:t>
                  </w:r>
                  <w:r>
                    <w:rPr>
                      <w:spacing w:val="-8"/>
                    </w:rPr>
                    <w:t> </w:t>
                  </w:r>
                  <w:r>
                    <w:rPr/>
                    <w:t>of</w:t>
                  </w:r>
                  <w:r>
                    <w:rPr>
                      <w:spacing w:val="-2"/>
                    </w:rPr>
                    <w:t> </w:t>
                  </w:r>
                  <w:r>
                    <w:rPr/>
                    <w:t>providing</w:t>
                  </w:r>
                  <w:r>
                    <w:rPr>
                      <w:spacing w:val="-5"/>
                    </w:rPr>
                    <w:t> </w:t>
                  </w:r>
                  <w:r>
                    <w:rPr/>
                    <w:t>that</w:t>
                  </w:r>
                  <w:r>
                    <w:rPr>
                      <w:spacing w:val="-5"/>
                    </w:rPr>
                    <w:t> </w:t>
                  </w:r>
                  <w:r>
                    <w:rPr/>
                    <w:t>accommodation).</w:t>
                  </w:r>
                  <w:r>
                    <w:rPr>
                      <w:spacing w:val="-4"/>
                    </w:rPr>
                    <w:t> </w:t>
                  </w:r>
                  <w:r>
                    <w:rPr/>
                    <w:t>It</w:t>
                  </w:r>
                  <w:r>
                    <w:rPr>
                      <w:spacing w:val="-2"/>
                    </w:rPr>
                    <w:t> </w:t>
                  </w:r>
                  <w:r>
                    <w:rPr/>
                    <w:t>is</w:t>
                  </w:r>
                  <w:r>
                    <w:rPr>
                      <w:spacing w:val="-3"/>
                    </w:rPr>
                    <w:t> </w:t>
                  </w:r>
                  <w:r>
                    <w:rPr/>
                    <w:t>not</w:t>
                  </w:r>
                  <w:r>
                    <w:rPr>
                      <w:spacing w:val="-2"/>
                    </w:rPr>
                    <w:t> </w:t>
                  </w:r>
                  <w:r>
                    <w:rPr/>
                    <w:t>in</w:t>
                  </w:r>
                  <w:r>
                    <w:rPr>
                      <w:spacing w:val="-2"/>
                    </w:rPr>
                    <w:t> </w:t>
                  </w:r>
                  <w:r>
                    <w:rPr/>
                    <w:t>scope</w:t>
                  </w:r>
                  <w:r>
                    <w:rPr>
                      <w:spacing w:val="-4"/>
                    </w:rPr>
                    <w:t> </w:t>
                  </w:r>
                  <w:r>
                    <w:rPr/>
                    <w:t>of</w:t>
                  </w:r>
                  <w:r>
                    <w:rPr>
                      <w:spacing w:val="-2"/>
                    </w:rPr>
                    <w:t> </w:t>
                  </w:r>
                  <w:r>
                    <w:rPr/>
                    <w:t>ADS</w:t>
                  </w:r>
                  <w:r>
                    <w:rPr>
                      <w:spacing w:val="-4"/>
                    </w:rPr>
                    <w:t> </w:t>
                  </w:r>
                  <w:r>
                    <w:rPr/>
                    <w:t>(but</w:t>
                  </w:r>
                  <w:r>
                    <w:rPr>
                      <w:spacing w:val="-2"/>
                    </w:rPr>
                    <w:t> </w:t>
                  </w:r>
                  <w:r>
                    <w:rPr/>
                    <w:t>would be in the scope of CFB). This condition does not distinguish between different Internet or electronic network transmission methods. It is also not affected by whether or not the service provider owns, leases or otherwise controls the transmission</w:t>
                  </w:r>
                  <w:r>
                    <w:rPr>
                      <w:spacing w:val="-5"/>
                    </w:rPr>
                    <w:t> </w:t>
                  </w:r>
                  <w:r>
                    <w:rPr/>
                    <w:t>equipment.</w:t>
                  </w:r>
                </w:p>
                <w:p>
                  <w:pPr>
                    <w:pStyle w:val="BodyText"/>
                    <w:spacing w:line="271" w:lineRule="auto" w:before="121"/>
                    <w:ind w:left="139" w:right="139"/>
                    <w:jc w:val="both"/>
                  </w:pPr>
                  <w:r>
                    <w:rPr/>
                    <w:t>The third condition is that the service is not on the negative list, noted above. This ensures that the negative list takes precedence over the general definition.</w:t>
                  </w:r>
                </w:p>
              </w:txbxContent>
            </v:textbox>
            <v:fill type="solid"/>
            <v:stroke dashstyle="solid"/>
          </v:shape>
        </w:pict>
      </w:r>
      <w:r>
        <w:rPr/>
      </w:r>
    </w:p>
    <w:p>
      <w:pPr>
        <w:pStyle w:val="BodyText"/>
      </w:pPr>
    </w:p>
    <w:p>
      <w:pPr>
        <w:pStyle w:val="BodyText"/>
        <w:spacing w:before="8"/>
        <w:rPr>
          <w:sz w:val="16"/>
        </w:rPr>
      </w:pPr>
    </w:p>
    <w:p>
      <w:pPr>
        <w:pStyle w:val="Heading7"/>
        <w:spacing w:before="94"/>
        <w:rPr>
          <w:i/>
        </w:rPr>
      </w:pPr>
      <w:bookmarkStart w:name="Positive list" w:id="40"/>
      <w:bookmarkEnd w:id="40"/>
      <w:r>
        <w:rPr>
          <w:i w:val="0"/>
        </w:rPr>
      </w:r>
      <w:r>
        <w:rPr>
          <w:i/>
          <w:color w:val="616161"/>
        </w:rPr>
        <w:t>Positive list</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2" w:firstLine="0"/>
        <w:jc w:val="both"/>
        <w:rPr>
          <w:sz w:val="20"/>
        </w:rPr>
      </w:pPr>
      <w:r>
        <w:rPr>
          <w:sz w:val="20"/>
        </w:rPr>
        <w:t>As noted above, the approach to defining ADS starts with the proposition that if an activity is on the positive list, it is an ADS (with no need to additionally apply the general definition). The positive list currently contains the following nine categories of</w:t>
      </w:r>
      <w:r>
        <w:rPr>
          <w:spacing w:val="-5"/>
          <w:sz w:val="20"/>
        </w:rPr>
        <w:t> </w:t>
      </w:r>
      <w:r>
        <w:rPr>
          <w:sz w:val="20"/>
        </w:rPr>
        <w:t>services.</w:t>
      </w:r>
    </w:p>
    <w:p>
      <w:pPr>
        <w:pStyle w:val="ListParagraph"/>
        <w:numPr>
          <w:ilvl w:val="1"/>
          <w:numId w:val="4"/>
        </w:numPr>
        <w:tabs>
          <w:tab w:pos="1402" w:val="left" w:leader="none"/>
          <w:tab w:pos="1403" w:val="left" w:leader="none"/>
        </w:tabs>
        <w:spacing w:line="240" w:lineRule="auto" w:before="100" w:after="0"/>
        <w:ind w:left="1402" w:right="0" w:hanging="339"/>
        <w:jc w:val="left"/>
        <w:rPr>
          <w:sz w:val="20"/>
        </w:rPr>
      </w:pPr>
      <w:r>
        <w:rPr>
          <w:sz w:val="20"/>
        </w:rPr>
        <w:t>Online advertising</w:t>
      </w:r>
      <w:r>
        <w:rPr>
          <w:spacing w:val="-5"/>
          <w:sz w:val="20"/>
        </w:rPr>
        <w:t> </w:t>
      </w:r>
      <w:r>
        <w:rPr>
          <w:sz w:val="20"/>
        </w:rPr>
        <w:t>services;</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Sale or other alienation of user</w:t>
      </w:r>
      <w:r>
        <w:rPr>
          <w:spacing w:val="4"/>
          <w:sz w:val="20"/>
        </w:rPr>
        <w:t> </w:t>
      </w:r>
      <w:r>
        <w:rPr>
          <w:sz w:val="20"/>
        </w:rPr>
        <w:t>data;</w:t>
      </w:r>
    </w:p>
    <w:p>
      <w:pPr>
        <w:pStyle w:val="ListParagraph"/>
        <w:numPr>
          <w:ilvl w:val="1"/>
          <w:numId w:val="4"/>
        </w:numPr>
        <w:tabs>
          <w:tab w:pos="1402" w:val="left" w:leader="none"/>
          <w:tab w:pos="1403" w:val="left" w:leader="none"/>
        </w:tabs>
        <w:spacing w:line="240" w:lineRule="auto" w:before="77" w:after="0"/>
        <w:ind w:left="1402" w:right="0" w:hanging="339"/>
        <w:jc w:val="left"/>
        <w:rPr>
          <w:sz w:val="20"/>
        </w:rPr>
      </w:pPr>
      <w:r>
        <w:rPr>
          <w:sz w:val="20"/>
        </w:rPr>
        <w:t>Online search</w:t>
      </w:r>
      <w:r>
        <w:rPr>
          <w:spacing w:val="-13"/>
          <w:sz w:val="20"/>
        </w:rPr>
        <w:t> </w:t>
      </w:r>
      <w:r>
        <w:rPr>
          <w:sz w:val="20"/>
        </w:rPr>
        <w:t>engines;</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Social media</w:t>
      </w:r>
      <w:r>
        <w:rPr>
          <w:spacing w:val="-9"/>
          <w:sz w:val="20"/>
        </w:rPr>
        <w:t> </w:t>
      </w:r>
      <w:r>
        <w:rPr>
          <w:sz w:val="20"/>
        </w:rPr>
        <w:t>platforms;</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Online intermediation</w:t>
      </w:r>
      <w:r>
        <w:rPr>
          <w:spacing w:val="-1"/>
          <w:sz w:val="20"/>
        </w:rPr>
        <w:t> </w:t>
      </w:r>
      <w:r>
        <w:rPr>
          <w:sz w:val="20"/>
        </w:rPr>
        <w:t>platforms;</w:t>
      </w:r>
    </w:p>
    <w:p>
      <w:pPr>
        <w:pStyle w:val="ListParagraph"/>
        <w:numPr>
          <w:ilvl w:val="1"/>
          <w:numId w:val="4"/>
        </w:numPr>
        <w:tabs>
          <w:tab w:pos="1402" w:val="left" w:leader="none"/>
          <w:tab w:pos="1403" w:val="left" w:leader="none"/>
        </w:tabs>
        <w:spacing w:line="240" w:lineRule="auto" w:before="77" w:after="0"/>
        <w:ind w:left="1402" w:right="0" w:hanging="339"/>
        <w:jc w:val="left"/>
        <w:rPr>
          <w:sz w:val="20"/>
        </w:rPr>
      </w:pPr>
      <w:r>
        <w:rPr>
          <w:sz w:val="20"/>
        </w:rPr>
        <w:t>Digital content</w:t>
      </w:r>
      <w:r>
        <w:rPr>
          <w:spacing w:val="-3"/>
          <w:sz w:val="20"/>
        </w:rPr>
        <w:t> </w:t>
      </w:r>
      <w:r>
        <w:rPr>
          <w:sz w:val="20"/>
        </w:rPr>
        <w:t>services;</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Online</w:t>
      </w:r>
      <w:r>
        <w:rPr>
          <w:spacing w:val="-3"/>
          <w:sz w:val="20"/>
        </w:rPr>
        <w:t> </w:t>
      </w:r>
      <w:r>
        <w:rPr>
          <w:sz w:val="20"/>
        </w:rPr>
        <w:t>gaming;</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Standardised online teaching services;</w:t>
      </w:r>
      <w:r>
        <w:rPr>
          <w:spacing w:val="-5"/>
          <w:sz w:val="20"/>
        </w:rPr>
        <w:t> </w:t>
      </w:r>
      <w:r>
        <w:rPr>
          <w:sz w:val="20"/>
        </w:rPr>
        <w:t>and</w:t>
      </w:r>
    </w:p>
    <w:p>
      <w:pPr>
        <w:pStyle w:val="ListParagraph"/>
        <w:numPr>
          <w:ilvl w:val="1"/>
          <w:numId w:val="4"/>
        </w:numPr>
        <w:tabs>
          <w:tab w:pos="1402" w:val="left" w:leader="none"/>
          <w:tab w:pos="1403" w:val="left" w:leader="none"/>
        </w:tabs>
        <w:spacing w:line="240" w:lineRule="auto" w:before="77" w:after="0"/>
        <w:ind w:left="1402" w:right="0" w:hanging="339"/>
        <w:jc w:val="left"/>
        <w:rPr>
          <w:sz w:val="20"/>
        </w:rPr>
      </w:pPr>
      <w:r>
        <w:rPr>
          <w:sz w:val="20"/>
        </w:rPr>
        <w:t>Cloud computing</w:t>
      </w:r>
      <w:r>
        <w:rPr>
          <w:spacing w:val="-1"/>
          <w:sz w:val="20"/>
        </w:rPr>
        <w:t> </w:t>
      </w:r>
      <w:r>
        <w:rPr>
          <w:sz w:val="20"/>
        </w:rPr>
        <w:t>services.</w:t>
      </w:r>
    </w:p>
    <w:p>
      <w:pPr>
        <w:pStyle w:val="ListParagraph"/>
        <w:numPr>
          <w:ilvl w:val="0"/>
          <w:numId w:val="4"/>
        </w:numPr>
        <w:tabs>
          <w:tab w:pos="1444" w:val="left" w:leader="none"/>
        </w:tabs>
        <w:spacing w:line="271" w:lineRule="auto" w:before="155" w:after="0"/>
        <w:ind w:left="723" w:right="486" w:firstLine="0"/>
        <w:jc w:val="both"/>
        <w:rPr>
          <w:sz w:val="20"/>
        </w:rPr>
      </w:pPr>
      <w:r>
        <w:rPr>
          <w:sz w:val="20"/>
        </w:rPr>
        <w:t>The</w:t>
      </w:r>
      <w:r>
        <w:rPr>
          <w:spacing w:val="-6"/>
          <w:sz w:val="20"/>
        </w:rPr>
        <w:t> </w:t>
      </w:r>
      <w:r>
        <w:rPr>
          <w:sz w:val="20"/>
        </w:rPr>
        <w:t>categories</w:t>
      </w:r>
      <w:r>
        <w:rPr>
          <w:spacing w:val="-2"/>
          <w:sz w:val="20"/>
        </w:rPr>
        <w:t> </w:t>
      </w:r>
      <w:r>
        <w:rPr>
          <w:sz w:val="20"/>
        </w:rPr>
        <w:t>are</w:t>
      </w:r>
      <w:r>
        <w:rPr>
          <w:spacing w:val="-4"/>
          <w:sz w:val="20"/>
        </w:rPr>
        <w:t> </w:t>
      </w:r>
      <w:r>
        <w:rPr>
          <w:sz w:val="20"/>
        </w:rPr>
        <w:t>not</w:t>
      </w:r>
      <w:r>
        <w:rPr>
          <w:spacing w:val="-5"/>
          <w:sz w:val="20"/>
        </w:rPr>
        <w:t> </w:t>
      </w:r>
      <w:r>
        <w:rPr>
          <w:sz w:val="20"/>
        </w:rPr>
        <w:t>mutually</w:t>
      </w:r>
      <w:r>
        <w:rPr>
          <w:spacing w:val="-5"/>
          <w:sz w:val="20"/>
        </w:rPr>
        <w:t> </w:t>
      </w:r>
      <w:r>
        <w:rPr>
          <w:sz w:val="20"/>
        </w:rPr>
        <w:t>exclusive</w:t>
      </w:r>
      <w:r>
        <w:rPr>
          <w:spacing w:val="1"/>
          <w:sz w:val="20"/>
        </w:rPr>
        <w:t> </w:t>
      </w:r>
      <w:r>
        <w:rPr>
          <w:sz w:val="20"/>
        </w:rPr>
        <w:t>and</w:t>
      </w:r>
      <w:r>
        <w:rPr>
          <w:spacing w:val="-4"/>
          <w:sz w:val="20"/>
        </w:rPr>
        <w:t> </w:t>
      </w:r>
      <w:r>
        <w:rPr>
          <w:sz w:val="20"/>
        </w:rPr>
        <w:t>may</w:t>
      </w:r>
      <w:r>
        <w:rPr>
          <w:spacing w:val="-8"/>
          <w:sz w:val="20"/>
        </w:rPr>
        <w:t> </w:t>
      </w:r>
      <w:r>
        <w:rPr>
          <w:sz w:val="20"/>
        </w:rPr>
        <w:t>overlap</w:t>
      </w:r>
      <w:r>
        <w:rPr>
          <w:spacing w:val="-3"/>
          <w:sz w:val="20"/>
        </w:rPr>
        <w:t> </w:t>
      </w:r>
      <w:r>
        <w:rPr>
          <w:sz w:val="20"/>
        </w:rPr>
        <w:t>(for</w:t>
      </w:r>
      <w:r>
        <w:rPr>
          <w:spacing w:val="-5"/>
          <w:sz w:val="20"/>
        </w:rPr>
        <w:t> </w:t>
      </w:r>
      <w:r>
        <w:rPr>
          <w:sz w:val="20"/>
        </w:rPr>
        <w:t>example,</w:t>
      </w:r>
      <w:r>
        <w:rPr>
          <w:spacing w:val="-5"/>
          <w:sz w:val="20"/>
        </w:rPr>
        <w:t> </w:t>
      </w:r>
      <w:r>
        <w:rPr>
          <w:sz w:val="20"/>
        </w:rPr>
        <w:t>a</w:t>
      </w:r>
      <w:r>
        <w:rPr>
          <w:spacing w:val="-5"/>
          <w:sz w:val="20"/>
        </w:rPr>
        <w:t> </w:t>
      </w:r>
      <w:r>
        <w:rPr>
          <w:sz w:val="20"/>
        </w:rPr>
        <w:t>digital</w:t>
      </w:r>
      <w:r>
        <w:rPr>
          <w:spacing w:val="-3"/>
          <w:sz w:val="20"/>
        </w:rPr>
        <w:t> </w:t>
      </w:r>
      <w:r>
        <w:rPr>
          <w:sz w:val="20"/>
        </w:rPr>
        <w:t>content</w:t>
      </w:r>
      <w:r>
        <w:rPr>
          <w:spacing w:val="-5"/>
          <w:sz w:val="20"/>
        </w:rPr>
        <w:t> </w:t>
      </w:r>
      <w:r>
        <w:rPr>
          <w:sz w:val="20"/>
        </w:rPr>
        <w:t>service could be funded in whole or in part by online advertising). Thus, an ADS business may be comprised of multiple ADS – some of which are directly revenue generating and others of which are not. As another example of such a two-sided business model, an online advertising service may obtain a higher price for its advertisements by targeting them based on data about viewer interests obtained by providing the viewers with “free” access to a search engine or social media platform. As discussed in the chapter on revenue sourcing, ADS will be categorised for revenue sourcing purposes according to the nature of the revenue source for the service. The definitions of each category, supported by a commentary to provide further guidance, are set out in turn</w:t>
      </w:r>
      <w:r>
        <w:rPr>
          <w:spacing w:val="-5"/>
          <w:sz w:val="20"/>
        </w:rPr>
        <w:t> </w:t>
      </w:r>
      <w:r>
        <w:rPr>
          <w:sz w:val="20"/>
        </w:rPr>
        <w:t>below.</w:t>
      </w:r>
    </w:p>
    <w:p>
      <w:pPr>
        <w:spacing w:after="0" w:line="271" w:lineRule="auto"/>
        <w:jc w:val="both"/>
        <w:rPr>
          <w:sz w:val="20"/>
        </w:rPr>
        <w:sectPr>
          <w:pgSz w:w="11910" w:h="16840"/>
          <w:pgMar w:header="1244" w:footer="1638" w:top="1500" w:bottom="1820" w:left="580" w:right="820"/>
        </w:sectPr>
      </w:pPr>
    </w:p>
    <w:p>
      <w:pPr>
        <w:pStyle w:val="BodyText"/>
        <w:rPr>
          <w:sz w:val="26"/>
        </w:rPr>
      </w:pPr>
    </w:p>
    <w:p>
      <w:pPr>
        <w:pStyle w:val="BodyText"/>
        <w:ind w:left="713"/>
      </w:pPr>
      <w:r>
        <w:rPr/>
        <w:pict>
          <v:shape style="width:465.6pt;height:132.6pt;mso-position-horizontal-relative:char;mso-position-vertical-relative:line" type="#_x0000_t202" filled="true" fillcolor="#eeece1" stroked="true" strokeweight=".48004pt" strokecolor="#4e81bd">
            <w10:anchorlock/>
            <v:textbox inset="0,0,0,0">
              <w:txbxContent>
                <w:p>
                  <w:pPr>
                    <w:pStyle w:val="BodyText"/>
                    <w:spacing w:before="4"/>
                    <w:rPr>
                      <w:sz w:val="31"/>
                    </w:rPr>
                  </w:pPr>
                </w:p>
                <w:p>
                  <w:pPr>
                    <w:spacing w:before="0"/>
                    <w:ind w:left="84" w:right="87" w:firstLine="0"/>
                    <w:jc w:val="center"/>
                    <w:rPr>
                      <w:rFonts w:ascii="Arial Narrow" w:hAnsi="Arial Narrow"/>
                      <w:b/>
                      <w:sz w:val="24"/>
                    </w:rPr>
                  </w:pPr>
                  <w:r>
                    <w:rPr>
                      <w:rFonts w:ascii="Arial Narrow" w:hAnsi="Arial Narrow"/>
                      <w:b/>
                      <w:color w:val="4E81BD"/>
                      <w:sz w:val="24"/>
                    </w:rPr>
                    <w:t>Box 2.3 Online advertising services – Definition</w:t>
                  </w:r>
                </w:p>
                <w:p>
                  <w:pPr>
                    <w:pStyle w:val="BodyText"/>
                    <w:spacing w:line="271" w:lineRule="auto" w:before="208"/>
                    <w:ind w:left="136" w:right="139"/>
                    <w:jc w:val="both"/>
                  </w:pPr>
                  <w:r>
                    <w:rPr/>
                    <w:t>This means online services aimed at placing advertisement on a digital interface,</w:t>
                  </w:r>
                  <w:r>
                    <w:rPr>
                      <w:vertAlign w:val="superscript"/>
                    </w:rPr>
                    <w:t>15</w:t>
                  </w:r>
                  <w:r>
                    <w:rPr>
                      <w:vertAlign w:val="baseline"/>
                    </w:rPr>
                    <w:t> including services for the purchase, storage and distribution of advertising messages, and for advertising monitoring and performance measurement. It includes related systems for attracting potential viewers of the advertisements and collecting content contributions from them and data regarding them, including via the provision of access to a digital interface, such as search engines, social media platforms or digital content services.</w:t>
                  </w:r>
                </w:p>
              </w:txbxContent>
            </v:textbox>
            <v:fill type="solid"/>
            <v:stroke dashstyle="solid"/>
          </v:shape>
        </w:pict>
      </w:r>
      <w:r>
        <w:rPr/>
      </w:r>
    </w:p>
    <w:p>
      <w:pPr>
        <w:pStyle w:val="BodyText"/>
      </w:pPr>
    </w:p>
    <w:p>
      <w:pPr>
        <w:pStyle w:val="BodyText"/>
        <w:rPr>
          <w:sz w:val="17"/>
        </w:rPr>
      </w:pPr>
      <w:r>
        <w:rPr/>
        <w:pict>
          <v:shape style="position:absolute;margin-left:64.944pt;margin-top:12.02105pt;width:465.6pt;height:158.7pt;mso-position-horizontal-relative:page;mso-position-vertical-relative:paragraph;z-index:-15712768;mso-wrap-distance-left:0;mso-wrap-distance-right:0" type="#_x0000_t202" filled="true" fillcolor="#eeece1" stroked="true" strokeweight=".48004pt" strokecolor="#4e81bd">
            <v:textbox inset="0,0,0,0">
              <w:txbxContent>
                <w:p>
                  <w:pPr>
                    <w:pStyle w:val="BodyText"/>
                    <w:spacing w:before="7"/>
                    <w:rPr>
                      <w:sz w:val="31"/>
                    </w:rPr>
                  </w:pPr>
                </w:p>
                <w:p>
                  <w:pPr>
                    <w:spacing w:before="0"/>
                    <w:ind w:left="84" w:right="86" w:firstLine="0"/>
                    <w:jc w:val="center"/>
                    <w:rPr>
                      <w:rFonts w:ascii="Arial Narrow" w:hAnsi="Arial Narrow"/>
                      <w:b/>
                      <w:sz w:val="24"/>
                    </w:rPr>
                  </w:pPr>
                  <w:r>
                    <w:rPr>
                      <w:rFonts w:ascii="Arial Narrow" w:hAnsi="Arial Narrow"/>
                      <w:b/>
                      <w:color w:val="4E81BD"/>
                      <w:sz w:val="24"/>
                    </w:rPr>
                    <w:t>Box 2.4. Online advertising services – Commentary</w:t>
                  </w:r>
                </w:p>
                <w:p>
                  <w:pPr>
                    <w:pStyle w:val="BodyText"/>
                    <w:spacing w:line="271" w:lineRule="auto" w:before="211"/>
                    <w:ind w:left="136" w:right="135"/>
                    <w:jc w:val="both"/>
                  </w:pPr>
                  <w:r>
                    <w:rPr/>
                    <w:t>This category is drafted to be broad and to cover automated online services throughout the online advertising</w:t>
                  </w:r>
                  <w:r>
                    <w:rPr>
                      <w:spacing w:val="-15"/>
                    </w:rPr>
                    <w:t> </w:t>
                  </w:r>
                  <w:r>
                    <w:rPr/>
                    <w:t>value</w:t>
                  </w:r>
                  <w:r>
                    <w:rPr>
                      <w:spacing w:val="-16"/>
                    </w:rPr>
                    <w:t> </w:t>
                  </w:r>
                  <w:r>
                    <w:rPr/>
                    <w:t>chain.</w:t>
                  </w:r>
                  <w:r>
                    <w:rPr>
                      <w:spacing w:val="-17"/>
                    </w:rPr>
                    <w:t> </w:t>
                  </w:r>
                  <w:r>
                    <w:rPr/>
                    <w:t>This</w:t>
                  </w:r>
                  <w:r>
                    <w:rPr>
                      <w:spacing w:val="-15"/>
                    </w:rPr>
                    <w:t> </w:t>
                  </w:r>
                  <w:r>
                    <w:rPr/>
                    <w:t>includes</w:t>
                  </w:r>
                  <w:r>
                    <w:rPr>
                      <w:spacing w:val="-14"/>
                    </w:rPr>
                    <w:t> </w:t>
                  </w:r>
                  <w:r>
                    <w:rPr/>
                    <w:t>direct</w:t>
                  </w:r>
                  <w:r>
                    <w:rPr>
                      <w:spacing w:val="-15"/>
                    </w:rPr>
                    <w:t> </w:t>
                  </w:r>
                  <w:r>
                    <w:rPr/>
                    <w:t>advertising</w:t>
                  </w:r>
                  <w:r>
                    <w:rPr>
                      <w:spacing w:val="-14"/>
                    </w:rPr>
                    <w:t> </w:t>
                  </w:r>
                  <w:r>
                    <w:rPr/>
                    <w:t>services,</w:t>
                  </w:r>
                  <w:r>
                    <w:rPr>
                      <w:spacing w:val="-15"/>
                    </w:rPr>
                    <w:t> </w:t>
                  </w:r>
                  <w:r>
                    <w:rPr/>
                    <w:t>such</w:t>
                  </w:r>
                  <w:r>
                    <w:rPr>
                      <w:spacing w:val="-14"/>
                    </w:rPr>
                    <w:t> </w:t>
                  </w:r>
                  <w:r>
                    <w:rPr/>
                    <w:t>as</w:t>
                  </w:r>
                  <w:r>
                    <w:rPr>
                      <w:spacing w:val="-14"/>
                    </w:rPr>
                    <w:t> </w:t>
                  </w:r>
                  <w:r>
                    <w:rPr/>
                    <w:t>where</w:t>
                  </w:r>
                  <w:r>
                    <w:rPr>
                      <w:spacing w:val="-16"/>
                    </w:rPr>
                    <w:t> </w:t>
                  </w:r>
                  <w:r>
                    <w:rPr/>
                    <w:t>social</w:t>
                  </w:r>
                  <w:r>
                    <w:rPr>
                      <w:spacing w:val="-16"/>
                    </w:rPr>
                    <w:t> </w:t>
                  </w:r>
                  <w:r>
                    <w:rPr/>
                    <w:t>media</w:t>
                  </w:r>
                  <w:r>
                    <w:rPr>
                      <w:spacing w:val="-16"/>
                    </w:rPr>
                    <w:t> </w:t>
                  </w:r>
                  <w:r>
                    <w:rPr/>
                    <w:t>platforms, online search engines, online intermediation platforms and digital content providers directly sell advertising</w:t>
                  </w:r>
                  <w:r>
                    <w:rPr>
                      <w:spacing w:val="-5"/>
                    </w:rPr>
                    <w:t> </w:t>
                  </w:r>
                  <w:r>
                    <w:rPr/>
                    <w:t>inventory</w:t>
                  </w:r>
                  <w:r>
                    <w:rPr>
                      <w:spacing w:val="-7"/>
                    </w:rPr>
                    <w:t> </w:t>
                  </w:r>
                  <w:r>
                    <w:rPr/>
                    <w:t>for</w:t>
                  </w:r>
                  <w:r>
                    <w:rPr>
                      <w:spacing w:val="-4"/>
                    </w:rPr>
                    <w:t> </w:t>
                  </w:r>
                  <w:r>
                    <w:rPr/>
                    <w:t>display</w:t>
                  </w:r>
                  <w:r>
                    <w:rPr>
                      <w:spacing w:val="-7"/>
                    </w:rPr>
                    <w:t> </w:t>
                  </w:r>
                  <w:r>
                    <w:rPr/>
                    <w:t>on</w:t>
                  </w:r>
                  <w:r>
                    <w:rPr>
                      <w:spacing w:val="-5"/>
                    </w:rPr>
                    <w:t> </w:t>
                  </w:r>
                  <w:r>
                    <w:rPr/>
                    <w:t>the</w:t>
                  </w:r>
                  <w:r>
                    <w:rPr>
                      <w:spacing w:val="-5"/>
                    </w:rPr>
                    <w:t> </w:t>
                  </w:r>
                  <w:r>
                    <w:rPr/>
                    <w:t>digital</w:t>
                  </w:r>
                  <w:r>
                    <w:rPr>
                      <w:spacing w:val="-5"/>
                    </w:rPr>
                    <w:t> </w:t>
                  </w:r>
                  <w:r>
                    <w:rPr/>
                    <w:t>interfaces</w:t>
                  </w:r>
                  <w:r>
                    <w:rPr>
                      <w:spacing w:val="-3"/>
                    </w:rPr>
                    <w:t> </w:t>
                  </w:r>
                  <w:r>
                    <w:rPr/>
                    <w:t>they</w:t>
                  </w:r>
                  <w:r>
                    <w:rPr>
                      <w:spacing w:val="-7"/>
                    </w:rPr>
                    <w:t> </w:t>
                  </w:r>
                  <w:r>
                    <w:rPr/>
                    <w:t>operate.</w:t>
                  </w:r>
                  <w:r>
                    <w:rPr>
                      <w:spacing w:val="-4"/>
                    </w:rPr>
                    <w:t> </w:t>
                  </w:r>
                  <w:r>
                    <w:rPr/>
                    <w:t>It</w:t>
                  </w:r>
                  <w:r>
                    <w:rPr>
                      <w:spacing w:val="-4"/>
                    </w:rPr>
                    <w:t> </w:t>
                  </w:r>
                  <w:r>
                    <w:rPr/>
                    <w:t>also</w:t>
                  </w:r>
                  <w:r>
                    <w:rPr>
                      <w:spacing w:val="-4"/>
                    </w:rPr>
                    <w:t> </w:t>
                  </w:r>
                  <w:r>
                    <w:rPr/>
                    <w:t>extends</w:t>
                  </w:r>
                  <w:r>
                    <w:rPr>
                      <w:spacing w:val="-3"/>
                    </w:rPr>
                    <w:t> </w:t>
                  </w:r>
                  <w:r>
                    <w:rPr/>
                    <w:t>to</w:t>
                  </w:r>
                  <w:r>
                    <w:rPr>
                      <w:spacing w:val="-4"/>
                    </w:rPr>
                    <w:t> </w:t>
                  </w:r>
                  <w:r>
                    <w:rPr/>
                    <w:t>the</w:t>
                  </w:r>
                  <w:r>
                    <w:rPr>
                      <w:spacing w:val="-5"/>
                    </w:rPr>
                    <w:t> </w:t>
                  </w:r>
                  <w:r>
                    <w:rPr/>
                    <w:t>automated systems and processes for the purchase and sale of advertising inventory (such as demand-side platforms, supply-side platforms, ad exchanges, ad verification services, etc.). Given the broad definition of “digital interface” it also includes online advertising displayed on an Internet-connected good (“Internet of things”) provided that there is such an identifiable advertising revenue</w:t>
                  </w:r>
                  <w:r>
                    <w:rPr>
                      <w:spacing w:val="-34"/>
                    </w:rPr>
                    <w:t> </w:t>
                  </w:r>
                  <w:r>
                    <w:rPr/>
                    <w:t>stream.</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0974pt;width:465.6pt;height:80.55pt;mso-position-horizontal-relative:page;mso-position-vertical-relative:paragraph;z-index:-15712256;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6" w:firstLine="0"/>
                    <w:jc w:val="center"/>
                    <w:rPr>
                      <w:rFonts w:ascii="Arial Narrow" w:hAnsi="Arial Narrow"/>
                      <w:b/>
                      <w:sz w:val="24"/>
                    </w:rPr>
                  </w:pPr>
                  <w:r>
                    <w:rPr>
                      <w:rFonts w:ascii="Arial Narrow" w:hAnsi="Arial Narrow"/>
                      <w:b/>
                      <w:color w:val="4E81BD"/>
                      <w:sz w:val="24"/>
                    </w:rPr>
                    <w:t>Box 2.5. Sale or other alienation of user data – Definition</w:t>
                  </w:r>
                </w:p>
                <w:p>
                  <w:pPr>
                    <w:pStyle w:val="BodyText"/>
                    <w:spacing w:line="273" w:lineRule="auto" w:before="206"/>
                    <w:ind w:left="136" w:right="63"/>
                  </w:pPr>
                  <w:r>
                    <w:rPr/>
                    <w:t>This means selling,</w:t>
                  </w:r>
                  <w:r>
                    <w:rPr>
                      <w:vertAlign w:val="superscript"/>
                    </w:rPr>
                    <w:t>16</w:t>
                  </w:r>
                  <w:r>
                    <w:rPr>
                      <w:vertAlign w:val="baseline"/>
                    </w:rPr>
                    <w:t> licensing or otherwise alienating to an unrelated third party customer user data generated by users of a digital interface.</w:t>
                  </w:r>
                  <w:r>
                    <w:rPr>
                      <w:vertAlign w:val="superscript"/>
                    </w:rPr>
                    <w:t>17</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1005pt;width:465.6pt;height:106.6pt;mso-position-horizontal-relative:page;mso-position-vertical-relative:paragraph;z-index:-15711744;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2.6. Sale or other alienation of user data – Commentary</w:t>
                  </w:r>
                </w:p>
                <w:p>
                  <w:pPr>
                    <w:pStyle w:val="BodyText"/>
                    <w:spacing w:line="271" w:lineRule="auto" w:before="213"/>
                    <w:ind w:left="136" w:right="63"/>
                  </w:pPr>
                  <w:r>
                    <w:rPr/>
                    <w:t>This category is drafted to capture business models that monetise user data generated on a digital interface by selling, licensing or otherwise alienating it to unrelated third parties.</w:t>
                  </w:r>
                </w:p>
                <w:p>
                  <w:pPr>
                    <w:pStyle w:val="BodyText"/>
                    <w:spacing w:line="273" w:lineRule="auto" w:before="119"/>
                    <w:ind w:left="136" w:right="63"/>
                  </w:pPr>
                  <w:r>
                    <w:rPr/>
                    <w:t>It</w:t>
                  </w:r>
                  <w:r>
                    <w:rPr>
                      <w:spacing w:val="-14"/>
                    </w:rPr>
                    <w:t> </w:t>
                  </w:r>
                  <w:r>
                    <w:rPr/>
                    <w:t>applies</w:t>
                  </w:r>
                  <w:r>
                    <w:rPr>
                      <w:spacing w:val="-13"/>
                    </w:rPr>
                    <w:t> </w:t>
                  </w:r>
                  <w:r>
                    <w:rPr/>
                    <w:t>to</w:t>
                  </w:r>
                  <w:r>
                    <w:rPr>
                      <w:spacing w:val="-14"/>
                    </w:rPr>
                    <w:t> </w:t>
                  </w:r>
                  <w:r>
                    <w:rPr/>
                    <w:t>data</w:t>
                  </w:r>
                  <w:r>
                    <w:rPr>
                      <w:spacing w:val="-14"/>
                    </w:rPr>
                    <w:t> </w:t>
                  </w:r>
                  <w:r>
                    <w:rPr/>
                    <w:t>generated</w:t>
                  </w:r>
                  <w:r>
                    <w:rPr>
                      <w:spacing w:val="-12"/>
                    </w:rPr>
                    <w:t> </w:t>
                  </w:r>
                  <w:r>
                    <w:rPr/>
                    <w:t>by</w:t>
                  </w:r>
                  <w:r>
                    <w:rPr>
                      <w:spacing w:val="-17"/>
                    </w:rPr>
                    <w:t> </w:t>
                  </w:r>
                  <w:r>
                    <w:rPr/>
                    <w:t>users</w:t>
                  </w:r>
                  <w:r>
                    <w:rPr>
                      <w:spacing w:val="-12"/>
                    </w:rPr>
                    <w:t> </w:t>
                  </w:r>
                  <w:r>
                    <w:rPr/>
                    <w:t>on</w:t>
                  </w:r>
                  <w:r>
                    <w:rPr>
                      <w:spacing w:val="-12"/>
                    </w:rPr>
                    <w:t> </w:t>
                  </w:r>
                  <w:r>
                    <w:rPr/>
                    <w:t>a</w:t>
                  </w:r>
                  <w:r>
                    <w:rPr>
                      <w:spacing w:val="-14"/>
                    </w:rPr>
                    <w:t> </w:t>
                  </w:r>
                  <w:r>
                    <w:rPr/>
                    <w:t>digital</w:t>
                  </w:r>
                  <w:r>
                    <w:rPr>
                      <w:spacing w:val="-13"/>
                    </w:rPr>
                    <w:t> </w:t>
                  </w:r>
                  <w:r>
                    <w:rPr/>
                    <w:t>interface.</w:t>
                  </w:r>
                  <w:r>
                    <w:rPr>
                      <w:spacing w:val="-14"/>
                    </w:rPr>
                    <w:t> </w:t>
                  </w:r>
                  <w:r>
                    <w:rPr/>
                    <w:t>The</w:t>
                  </w:r>
                  <w:r>
                    <w:rPr>
                      <w:spacing w:val="-14"/>
                    </w:rPr>
                    <w:t> </w:t>
                  </w:r>
                  <w:r>
                    <w:rPr/>
                    <w:t>definition</w:t>
                  </w:r>
                  <w:r>
                    <w:rPr>
                      <w:spacing w:val="-14"/>
                    </w:rPr>
                    <w:t> </w:t>
                  </w:r>
                  <w:r>
                    <w:rPr/>
                    <w:t>of</w:t>
                  </w:r>
                  <w:r>
                    <w:rPr>
                      <w:spacing w:val="-12"/>
                    </w:rPr>
                    <w:t> </w:t>
                  </w:r>
                  <w:r>
                    <w:rPr/>
                    <w:t>a</w:t>
                  </w:r>
                  <w:r>
                    <w:rPr>
                      <w:spacing w:val="-14"/>
                    </w:rPr>
                    <w:t> </w:t>
                  </w:r>
                  <w:r>
                    <w:rPr/>
                    <w:t>digital</w:t>
                  </w:r>
                  <w:r>
                    <w:rPr>
                      <w:spacing w:val="-12"/>
                    </w:rPr>
                    <w:t> </w:t>
                  </w:r>
                  <w:r>
                    <w:rPr/>
                    <w:t>interface</w:t>
                  </w:r>
                  <w:r>
                    <w:rPr>
                      <w:spacing w:val="-14"/>
                    </w:rPr>
                    <w:t> </w:t>
                  </w:r>
                  <w:r>
                    <w:rPr/>
                    <w:t>is</w:t>
                  </w:r>
                  <w:r>
                    <w:rPr>
                      <w:spacing w:val="-12"/>
                    </w:rPr>
                    <w:t> </w:t>
                  </w:r>
                  <w:r>
                    <w:rPr/>
                    <w:t>intended to</w:t>
                  </w:r>
                  <w:r>
                    <w:rPr>
                      <w:spacing w:val="23"/>
                    </w:rPr>
                    <w:t> </w:t>
                  </w:r>
                  <w:r>
                    <w:rPr/>
                    <w:t>be</w:t>
                  </w:r>
                  <w:r>
                    <w:rPr>
                      <w:spacing w:val="27"/>
                    </w:rPr>
                    <w:t> </w:t>
                  </w:r>
                  <w:r>
                    <w:rPr/>
                    <w:t>broad,</w:t>
                  </w:r>
                  <w:r>
                    <w:rPr>
                      <w:spacing w:val="26"/>
                    </w:rPr>
                    <w:t> </w:t>
                  </w:r>
                  <w:r>
                    <w:rPr/>
                    <w:t>and</w:t>
                  </w:r>
                  <w:r>
                    <w:rPr>
                      <w:spacing w:val="29"/>
                    </w:rPr>
                    <w:t> </w:t>
                  </w:r>
                  <w:r>
                    <w:rPr/>
                    <w:t>would</w:t>
                  </w:r>
                  <w:r>
                    <w:rPr>
                      <w:spacing w:val="26"/>
                    </w:rPr>
                    <w:t> </w:t>
                  </w:r>
                  <w:r>
                    <w:rPr/>
                    <w:t>cover</w:t>
                  </w:r>
                  <w:r>
                    <w:rPr>
                      <w:spacing w:val="27"/>
                    </w:rPr>
                    <w:t> </w:t>
                  </w:r>
                  <w:r>
                    <w:rPr/>
                    <w:t>Internet-connected</w:t>
                  </w:r>
                  <w:r>
                    <w:rPr>
                      <w:spacing w:val="29"/>
                    </w:rPr>
                    <w:t> </w:t>
                  </w:r>
                  <w:r>
                    <w:rPr/>
                    <w:t>interfaces</w:t>
                  </w:r>
                  <w:r>
                    <w:rPr>
                      <w:spacing w:val="25"/>
                    </w:rPr>
                    <w:t> </w:t>
                  </w:r>
                  <w:r>
                    <w:rPr/>
                    <w:t>embedded</w:t>
                  </w:r>
                  <w:r>
                    <w:rPr>
                      <w:spacing w:val="28"/>
                    </w:rPr>
                    <w:t> </w:t>
                  </w:r>
                  <w:r>
                    <w:rPr/>
                    <w:t>in</w:t>
                  </w:r>
                  <w:r>
                    <w:rPr>
                      <w:spacing w:val="27"/>
                    </w:rPr>
                    <w:t> </w:t>
                  </w:r>
                  <w:r>
                    <w:rPr/>
                    <w:t>a</w:t>
                  </w:r>
                  <w:r>
                    <w:rPr>
                      <w:spacing w:val="26"/>
                    </w:rPr>
                    <w:t> </w:t>
                  </w:r>
                  <w:r>
                    <w:rPr/>
                    <w:t>physical</w:t>
                  </w:r>
                  <w:r>
                    <w:rPr>
                      <w:spacing w:val="26"/>
                    </w:rPr>
                    <w:t> </w:t>
                  </w:r>
                  <w:r>
                    <w:rPr/>
                    <w:t>good</w:t>
                  </w:r>
                  <w:r>
                    <w:rPr>
                      <w:spacing w:val="24"/>
                    </w:rPr>
                    <w:t> </w:t>
                  </w:r>
                  <w:r>
                    <w:rPr/>
                    <w:t>(i.e.</w:t>
                  </w:r>
                  <w:r>
                    <w:rPr>
                      <w:spacing w:val="26"/>
                    </w:rPr>
                    <w:t> </w:t>
                  </w:r>
                  <w:r>
                    <w:rPr/>
                    <w:t>the</w:t>
                  </w:r>
                </w:p>
              </w:txbxContent>
            </v:textbox>
            <v:fill type="solid"/>
            <v:stroke dashstyle="solid"/>
            <w10:wrap type="topAndBottom"/>
          </v:shape>
        </w:pict>
      </w:r>
      <w:r>
        <w:rPr/>
        <w:pict>
          <v:rect style="position:absolute;margin-left:65.183998pt;margin-top:133.710953pt;width:144.020004pt;height:.60004pt;mso-position-horizontal-relative:page;mso-position-vertical-relative:paragraph;z-index:-15711232;mso-wrap-distance-left:0;mso-wrap-distance-right:0" filled="true" fillcolor="#000000" stroked="false">
            <v:fill type="solid"/>
            <w10:wrap type="topAndBottom"/>
          </v:rect>
        </w:pict>
      </w:r>
    </w:p>
    <w:p>
      <w:pPr>
        <w:pStyle w:val="BodyText"/>
        <w:spacing w:before="3"/>
        <w:rPr>
          <w:sz w:val="19"/>
        </w:rPr>
      </w:pPr>
    </w:p>
    <w:p>
      <w:pPr>
        <w:pStyle w:val="BodyText"/>
        <w:spacing w:before="5"/>
        <w:rPr>
          <w:sz w:val="16"/>
        </w:rPr>
      </w:pPr>
    </w:p>
    <w:p>
      <w:pPr>
        <w:pStyle w:val="ListParagraph"/>
        <w:numPr>
          <w:ilvl w:val="0"/>
          <w:numId w:val="5"/>
        </w:numPr>
        <w:tabs>
          <w:tab w:pos="928" w:val="left" w:leader="none"/>
        </w:tabs>
        <w:spacing w:line="240" w:lineRule="auto" w:before="94" w:after="0"/>
        <w:ind w:left="927" w:right="0" w:hanging="205"/>
        <w:jc w:val="left"/>
        <w:rPr>
          <w:sz w:val="18"/>
        </w:rPr>
      </w:pPr>
      <w:r>
        <w:rPr>
          <w:sz w:val="18"/>
        </w:rPr>
        <w:t>See general definitions below for definition of digital</w:t>
      </w:r>
      <w:r>
        <w:rPr>
          <w:spacing w:val="-10"/>
          <w:sz w:val="18"/>
        </w:rPr>
        <w:t> </w:t>
      </w:r>
      <w:r>
        <w:rPr>
          <w:sz w:val="18"/>
        </w:rPr>
        <w:t>interface.</w:t>
      </w:r>
    </w:p>
    <w:p>
      <w:pPr>
        <w:pStyle w:val="ListParagraph"/>
        <w:numPr>
          <w:ilvl w:val="0"/>
          <w:numId w:val="5"/>
        </w:numPr>
        <w:tabs>
          <w:tab w:pos="923" w:val="left" w:leader="none"/>
        </w:tabs>
        <w:spacing w:line="278" w:lineRule="auto" w:before="110" w:after="0"/>
        <w:ind w:left="723" w:right="486" w:firstLine="0"/>
        <w:jc w:val="left"/>
        <w:rPr>
          <w:sz w:val="18"/>
        </w:rPr>
      </w:pPr>
      <w:r>
        <w:rPr>
          <w:sz w:val="18"/>
        </w:rPr>
        <w:t>It</w:t>
      </w:r>
      <w:r>
        <w:rPr>
          <w:spacing w:val="-6"/>
          <w:sz w:val="18"/>
        </w:rPr>
        <w:t> </w:t>
      </w:r>
      <w:r>
        <w:rPr>
          <w:sz w:val="18"/>
        </w:rPr>
        <w:t>is</w:t>
      </w:r>
      <w:r>
        <w:rPr>
          <w:spacing w:val="-5"/>
          <w:sz w:val="18"/>
        </w:rPr>
        <w:t> </w:t>
      </w:r>
      <w:r>
        <w:rPr>
          <w:sz w:val="18"/>
        </w:rPr>
        <w:t>recognised</w:t>
      </w:r>
      <w:r>
        <w:rPr>
          <w:spacing w:val="-6"/>
          <w:sz w:val="18"/>
        </w:rPr>
        <w:t> </w:t>
      </w:r>
      <w:r>
        <w:rPr>
          <w:sz w:val="18"/>
        </w:rPr>
        <w:t>that</w:t>
      </w:r>
      <w:r>
        <w:rPr>
          <w:spacing w:val="-6"/>
          <w:sz w:val="18"/>
        </w:rPr>
        <w:t> </w:t>
      </w:r>
      <w:r>
        <w:rPr>
          <w:sz w:val="18"/>
        </w:rPr>
        <w:t>there</w:t>
      </w:r>
      <w:r>
        <w:rPr>
          <w:spacing w:val="-8"/>
          <w:sz w:val="18"/>
        </w:rPr>
        <w:t> </w:t>
      </w:r>
      <w:r>
        <w:rPr>
          <w:sz w:val="18"/>
        </w:rPr>
        <w:t>may</w:t>
      </w:r>
      <w:r>
        <w:rPr>
          <w:spacing w:val="-10"/>
          <w:sz w:val="18"/>
        </w:rPr>
        <w:t> </w:t>
      </w:r>
      <w:r>
        <w:rPr>
          <w:sz w:val="18"/>
        </w:rPr>
        <w:t>be</w:t>
      </w:r>
      <w:r>
        <w:rPr>
          <w:spacing w:val="-6"/>
          <w:sz w:val="18"/>
        </w:rPr>
        <w:t> </w:t>
      </w:r>
      <w:r>
        <w:rPr>
          <w:sz w:val="18"/>
        </w:rPr>
        <w:t>a</w:t>
      </w:r>
      <w:r>
        <w:rPr>
          <w:spacing w:val="-5"/>
          <w:sz w:val="18"/>
        </w:rPr>
        <w:t> </w:t>
      </w:r>
      <w:r>
        <w:rPr>
          <w:sz w:val="18"/>
        </w:rPr>
        <w:t>question</w:t>
      </w:r>
      <w:r>
        <w:rPr>
          <w:spacing w:val="-8"/>
          <w:sz w:val="18"/>
        </w:rPr>
        <w:t> </w:t>
      </w:r>
      <w:r>
        <w:rPr>
          <w:sz w:val="18"/>
        </w:rPr>
        <w:t>of</w:t>
      </w:r>
      <w:r>
        <w:rPr>
          <w:spacing w:val="-7"/>
          <w:sz w:val="18"/>
        </w:rPr>
        <w:t> </w:t>
      </w:r>
      <w:r>
        <w:rPr>
          <w:sz w:val="18"/>
        </w:rPr>
        <w:t>whether</w:t>
      </w:r>
      <w:r>
        <w:rPr>
          <w:spacing w:val="-6"/>
          <w:sz w:val="18"/>
        </w:rPr>
        <w:t> </w:t>
      </w:r>
      <w:r>
        <w:rPr>
          <w:sz w:val="18"/>
        </w:rPr>
        <w:t>the</w:t>
      </w:r>
      <w:r>
        <w:rPr>
          <w:spacing w:val="-6"/>
          <w:sz w:val="18"/>
        </w:rPr>
        <w:t> </w:t>
      </w:r>
      <w:r>
        <w:rPr>
          <w:sz w:val="18"/>
        </w:rPr>
        <w:t>sale</w:t>
      </w:r>
      <w:r>
        <w:rPr>
          <w:spacing w:val="-5"/>
          <w:sz w:val="18"/>
        </w:rPr>
        <w:t> </w:t>
      </w:r>
      <w:r>
        <w:rPr>
          <w:sz w:val="18"/>
        </w:rPr>
        <w:t>or</w:t>
      </w:r>
      <w:r>
        <w:rPr>
          <w:spacing w:val="-8"/>
          <w:sz w:val="18"/>
        </w:rPr>
        <w:t> </w:t>
      </w:r>
      <w:r>
        <w:rPr>
          <w:sz w:val="18"/>
        </w:rPr>
        <w:t>alienation</w:t>
      </w:r>
      <w:r>
        <w:rPr>
          <w:spacing w:val="-6"/>
          <w:sz w:val="18"/>
        </w:rPr>
        <w:t> </w:t>
      </w:r>
      <w:r>
        <w:rPr>
          <w:sz w:val="18"/>
        </w:rPr>
        <w:t>of</w:t>
      </w:r>
      <w:r>
        <w:rPr>
          <w:spacing w:val="-6"/>
          <w:sz w:val="18"/>
        </w:rPr>
        <w:t> </w:t>
      </w:r>
      <w:r>
        <w:rPr>
          <w:sz w:val="18"/>
        </w:rPr>
        <w:t>personal</w:t>
      </w:r>
      <w:r>
        <w:rPr>
          <w:spacing w:val="-5"/>
          <w:sz w:val="18"/>
        </w:rPr>
        <w:t> </w:t>
      </w:r>
      <w:r>
        <w:rPr>
          <w:sz w:val="18"/>
        </w:rPr>
        <w:t>data</w:t>
      </w:r>
      <w:r>
        <w:rPr>
          <w:spacing w:val="-6"/>
          <w:sz w:val="18"/>
        </w:rPr>
        <w:t> </w:t>
      </w:r>
      <w:r>
        <w:rPr>
          <w:sz w:val="18"/>
        </w:rPr>
        <w:t>is</w:t>
      </w:r>
      <w:r>
        <w:rPr>
          <w:spacing w:val="-7"/>
          <w:sz w:val="18"/>
        </w:rPr>
        <w:t> </w:t>
      </w:r>
      <w:r>
        <w:rPr>
          <w:sz w:val="18"/>
        </w:rPr>
        <w:t>a</w:t>
      </w:r>
      <w:r>
        <w:rPr>
          <w:spacing w:val="-5"/>
          <w:sz w:val="18"/>
        </w:rPr>
        <w:t> </w:t>
      </w:r>
      <w:r>
        <w:rPr>
          <w:sz w:val="18"/>
        </w:rPr>
        <w:t>type</w:t>
      </w:r>
      <w:r>
        <w:rPr>
          <w:spacing w:val="-6"/>
          <w:sz w:val="18"/>
        </w:rPr>
        <w:t> </w:t>
      </w:r>
      <w:r>
        <w:rPr>
          <w:sz w:val="18"/>
        </w:rPr>
        <w:t>of</w:t>
      </w:r>
      <w:r>
        <w:rPr>
          <w:spacing w:val="-6"/>
          <w:sz w:val="18"/>
        </w:rPr>
        <w:t> </w:t>
      </w:r>
      <w:r>
        <w:rPr>
          <w:sz w:val="18"/>
        </w:rPr>
        <w:t>“service,” or indeed whether it can really be</w:t>
      </w:r>
      <w:r>
        <w:rPr>
          <w:spacing w:val="-9"/>
          <w:sz w:val="18"/>
        </w:rPr>
        <w:t> </w:t>
      </w:r>
      <w:r>
        <w:rPr>
          <w:sz w:val="18"/>
        </w:rPr>
        <w:t>“sold.”</w:t>
      </w:r>
    </w:p>
    <w:p>
      <w:pPr>
        <w:pStyle w:val="ListParagraph"/>
        <w:numPr>
          <w:ilvl w:val="0"/>
          <w:numId w:val="5"/>
        </w:numPr>
        <w:tabs>
          <w:tab w:pos="928" w:val="left" w:leader="none"/>
        </w:tabs>
        <w:spacing w:line="240" w:lineRule="auto" w:before="77" w:after="0"/>
        <w:ind w:left="927" w:right="0" w:hanging="205"/>
        <w:jc w:val="left"/>
        <w:rPr>
          <w:sz w:val="18"/>
        </w:rPr>
      </w:pPr>
      <w:r>
        <w:rPr>
          <w:sz w:val="18"/>
        </w:rPr>
        <w:t>See general definitions below for definition of</w:t>
      </w:r>
      <w:r>
        <w:rPr>
          <w:spacing w:val="-7"/>
          <w:sz w:val="18"/>
        </w:rPr>
        <w:t> </w:t>
      </w:r>
      <w:r>
        <w:rPr>
          <w:sz w:val="18"/>
        </w:rPr>
        <w:t>“users.”</w:t>
      </w:r>
    </w:p>
    <w:p>
      <w:pPr>
        <w:spacing w:after="0" w:line="240" w:lineRule="auto"/>
        <w:jc w:val="left"/>
        <w:rPr>
          <w:sz w:val="18"/>
        </w:rPr>
        <w:sectPr>
          <w:pgSz w:w="11910" w:h="16840"/>
          <w:pgMar w:header="1244" w:footer="1638" w:top="1500" w:bottom="1820" w:left="580" w:right="820"/>
        </w:sectPr>
      </w:pPr>
    </w:p>
    <w:p>
      <w:pPr>
        <w:pStyle w:val="BodyText"/>
        <w:rPr>
          <w:sz w:val="26"/>
        </w:rPr>
      </w:pPr>
    </w:p>
    <w:p>
      <w:pPr>
        <w:pStyle w:val="BodyText"/>
        <w:ind w:left="713"/>
      </w:pPr>
      <w:r>
        <w:rPr/>
        <w:pict>
          <v:shape style="width:465.6pt;height:258.6500pt;mso-position-horizontal-relative:char;mso-position-vertical-relative:line" type="#_x0000_t202" filled="true" fillcolor="#eeece1" stroked="true" strokeweight=".48004pt" strokecolor="#4e81bd">
            <w10:anchorlock/>
            <v:textbox inset="0,0,0,0">
              <w:txbxContent>
                <w:p>
                  <w:pPr>
                    <w:pStyle w:val="BodyText"/>
                    <w:spacing w:before="28"/>
                    <w:ind w:left="136"/>
                    <w:jc w:val="both"/>
                  </w:pPr>
                  <w:r>
                    <w:rPr/>
                    <w:t>Internet of things) regardless of whether the sale of that good itself is within the scope of Amount A.</w:t>
                  </w:r>
                </w:p>
                <w:p>
                  <w:pPr>
                    <w:pStyle w:val="BodyText"/>
                    <w:spacing w:line="271" w:lineRule="auto" w:before="149"/>
                    <w:ind w:left="136" w:right="135"/>
                    <w:jc w:val="both"/>
                  </w:pPr>
                  <w:r>
                    <w:rPr/>
                    <w:t>“User data” includes information such as a user’s habits, spending, location, environment, usage of services, hobbies, or personal interests, including anonymised and aggregated data (including geolocation information and user traffic levels).</w:t>
                  </w:r>
                </w:p>
                <w:p>
                  <w:pPr>
                    <w:pStyle w:val="BodyText"/>
                    <w:spacing w:line="271" w:lineRule="auto" w:before="121"/>
                    <w:ind w:left="136" w:right="134"/>
                    <w:jc w:val="both"/>
                  </w:pPr>
                  <w:r>
                    <w:rPr/>
                    <w:t>Further consideration is being given to the extent to which user data would also include the provision of data such as industrial, scientific, statistical, or other data not linked to natural persons (such as businesses that acquire and disseminate information about investments and financial markets, or scientific</w:t>
                  </w:r>
                  <w:r>
                    <w:rPr>
                      <w:spacing w:val="-15"/>
                    </w:rPr>
                    <w:t> </w:t>
                  </w:r>
                  <w:r>
                    <w:rPr/>
                    <w:t>research).</w:t>
                  </w:r>
                  <w:r>
                    <w:rPr>
                      <w:spacing w:val="-15"/>
                    </w:rPr>
                    <w:t> </w:t>
                  </w:r>
                  <w:r>
                    <w:rPr/>
                    <w:t>As</w:t>
                  </w:r>
                  <w:r>
                    <w:rPr>
                      <w:spacing w:val="-13"/>
                    </w:rPr>
                    <w:t> </w:t>
                  </w:r>
                  <w:r>
                    <w:rPr/>
                    <w:t>the</w:t>
                  </w:r>
                  <w:r>
                    <w:rPr>
                      <w:spacing w:val="-13"/>
                    </w:rPr>
                    <w:t> </w:t>
                  </w:r>
                  <w:r>
                    <w:rPr/>
                    <w:t>definitions</w:t>
                  </w:r>
                  <w:r>
                    <w:rPr>
                      <w:spacing w:val="-15"/>
                    </w:rPr>
                    <w:t> </w:t>
                  </w:r>
                  <w:r>
                    <w:rPr/>
                    <w:t>of</w:t>
                  </w:r>
                  <w:r>
                    <w:rPr>
                      <w:spacing w:val="-15"/>
                    </w:rPr>
                    <w:t> </w:t>
                  </w:r>
                  <w:r>
                    <w:rPr/>
                    <w:t>ADS</w:t>
                  </w:r>
                  <w:r>
                    <w:rPr>
                      <w:spacing w:val="-15"/>
                    </w:rPr>
                    <w:t> </w:t>
                  </w:r>
                  <w:r>
                    <w:rPr/>
                    <w:t>are</w:t>
                  </w:r>
                  <w:r>
                    <w:rPr>
                      <w:spacing w:val="-13"/>
                    </w:rPr>
                    <w:t> </w:t>
                  </w:r>
                  <w:r>
                    <w:rPr/>
                    <w:t>not</w:t>
                  </w:r>
                  <w:r>
                    <w:rPr>
                      <w:spacing w:val="-15"/>
                    </w:rPr>
                    <w:t> </w:t>
                  </w:r>
                  <w:r>
                    <w:rPr/>
                    <w:t>mutually</w:t>
                  </w:r>
                  <w:r>
                    <w:rPr>
                      <w:spacing w:val="-17"/>
                    </w:rPr>
                    <w:t> </w:t>
                  </w:r>
                  <w:r>
                    <w:rPr/>
                    <w:t>exclusive,</w:t>
                  </w:r>
                  <w:r>
                    <w:rPr>
                      <w:spacing w:val="-11"/>
                    </w:rPr>
                    <w:t> </w:t>
                  </w:r>
                  <w:r>
                    <w:rPr/>
                    <w:t>such</w:t>
                  </w:r>
                  <w:r>
                    <w:rPr>
                      <w:spacing w:val="-14"/>
                    </w:rPr>
                    <w:t> </w:t>
                  </w:r>
                  <w:r>
                    <w:rPr/>
                    <w:t>businesses</w:t>
                  </w:r>
                  <w:r>
                    <w:rPr>
                      <w:spacing w:val="-14"/>
                    </w:rPr>
                    <w:t> </w:t>
                  </w:r>
                  <w:r>
                    <w:rPr/>
                    <w:t>could</w:t>
                  </w:r>
                  <w:r>
                    <w:rPr>
                      <w:spacing w:val="-14"/>
                    </w:rPr>
                    <w:t> </w:t>
                  </w:r>
                  <w:r>
                    <w:rPr/>
                    <w:t>already be</w:t>
                  </w:r>
                  <w:r>
                    <w:rPr>
                      <w:spacing w:val="-6"/>
                    </w:rPr>
                    <w:t> </w:t>
                  </w:r>
                  <w:r>
                    <w:rPr/>
                    <w:t>captured</w:t>
                  </w:r>
                  <w:r>
                    <w:rPr>
                      <w:spacing w:val="-4"/>
                    </w:rPr>
                    <w:t> </w:t>
                  </w:r>
                  <w:r>
                    <w:rPr/>
                    <w:t>under</w:t>
                  </w:r>
                  <w:r>
                    <w:rPr>
                      <w:spacing w:val="-3"/>
                    </w:rPr>
                    <w:t> </w:t>
                  </w:r>
                  <w:r>
                    <w:rPr/>
                    <w:t>digital</w:t>
                  </w:r>
                  <w:r>
                    <w:rPr>
                      <w:spacing w:val="-5"/>
                    </w:rPr>
                    <w:t> </w:t>
                  </w:r>
                  <w:r>
                    <w:rPr/>
                    <w:t>content</w:t>
                  </w:r>
                  <w:r>
                    <w:rPr>
                      <w:spacing w:val="-5"/>
                    </w:rPr>
                    <w:t> </w:t>
                  </w:r>
                  <w:r>
                    <w:rPr/>
                    <w:t>services,</w:t>
                  </w:r>
                  <w:r>
                    <w:rPr>
                      <w:spacing w:val="-2"/>
                    </w:rPr>
                    <w:t> </w:t>
                  </w:r>
                  <w:r>
                    <w:rPr/>
                    <w:t>where</w:t>
                  </w:r>
                  <w:r>
                    <w:rPr>
                      <w:spacing w:val="-4"/>
                    </w:rPr>
                    <w:t> </w:t>
                  </w:r>
                  <w:r>
                    <w:rPr/>
                    <w:t>they</w:t>
                  </w:r>
                  <w:r>
                    <w:rPr>
                      <w:spacing w:val="-5"/>
                    </w:rPr>
                    <w:t> </w:t>
                  </w:r>
                  <w:r>
                    <w:rPr/>
                    <w:t>provide</w:t>
                  </w:r>
                  <w:r>
                    <w:rPr>
                      <w:spacing w:val="-5"/>
                    </w:rPr>
                    <w:t> </w:t>
                  </w:r>
                  <w:r>
                    <w:rPr/>
                    <w:t>that</w:t>
                  </w:r>
                  <w:r>
                    <w:rPr>
                      <w:spacing w:val="-6"/>
                    </w:rPr>
                    <w:t> </w:t>
                  </w:r>
                  <w:r>
                    <w:rPr/>
                    <w:t>data</w:t>
                  </w:r>
                  <w:r>
                    <w:rPr>
                      <w:spacing w:val="-4"/>
                    </w:rPr>
                    <w:t> </w:t>
                  </w:r>
                  <w:r>
                    <w:rPr/>
                    <w:t>in</w:t>
                  </w:r>
                  <w:r>
                    <w:rPr>
                      <w:spacing w:val="-4"/>
                    </w:rPr>
                    <w:t> </w:t>
                  </w:r>
                  <w:r>
                    <w:rPr/>
                    <w:t>an</w:t>
                  </w:r>
                  <w:r>
                    <w:rPr>
                      <w:spacing w:val="-4"/>
                    </w:rPr>
                    <w:t> </w:t>
                  </w:r>
                  <w:r>
                    <w:rPr/>
                    <w:t>automated</w:t>
                  </w:r>
                  <w:r>
                    <w:rPr>
                      <w:spacing w:val="-4"/>
                    </w:rPr>
                    <w:t> </w:t>
                  </w:r>
                  <w:r>
                    <w:rPr/>
                    <w:t>way,</w:t>
                  </w:r>
                  <w:r>
                    <w:rPr>
                      <w:spacing w:val="-4"/>
                    </w:rPr>
                    <w:t> </w:t>
                  </w:r>
                  <w:r>
                    <w:rPr/>
                    <w:t>such</w:t>
                  </w:r>
                  <w:r>
                    <w:rPr>
                      <w:spacing w:val="-4"/>
                    </w:rPr>
                    <w:t> </w:t>
                  </w:r>
                  <w:r>
                    <w:rPr/>
                    <w:t>as an online database or online</w:t>
                  </w:r>
                  <w:r>
                    <w:rPr>
                      <w:spacing w:val="-5"/>
                    </w:rPr>
                    <w:t> </w:t>
                  </w:r>
                  <w:r>
                    <w:rPr/>
                    <w:t>library.</w:t>
                  </w:r>
                </w:p>
                <w:p>
                  <w:pPr>
                    <w:pStyle w:val="BodyText"/>
                    <w:spacing w:line="271" w:lineRule="auto" w:before="120"/>
                    <w:ind w:left="136" w:right="140"/>
                    <w:jc w:val="both"/>
                  </w:pPr>
                  <w:r>
                    <w:rPr/>
                    <w:t>The source of data may be collected as raw data by the MNE itself (e.g. the manufacturer/seller of a home</w:t>
                  </w:r>
                  <w:r>
                    <w:rPr>
                      <w:spacing w:val="-17"/>
                    </w:rPr>
                    <w:t> </w:t>
                  </w:r>
                  <w:r>
                    <w:rPr/>
                    <w:t>heating</w:t>
                  </w:r>
                  <w:r>
                    <w:rPr>
                      <w:spacing w:val="-17"/>
                    </w:rPr>
                    <w:t> </w:t>
                  </w:r>
                  <w:r>
                    <w:rPr/>
                    <w:t>system</w:t>
                  </w:r>
                  <w:r>
                    <w:rPr>
                      <w:spacing w:val="-13"/>
                    </w:rPr>
                    <w:t> </w:t>
                  </w:r>
                  <w:r>
                    <w:rPr/>
                    <w:t>collecting</w:t>
                  </w:r>
                  <w:r>
                    <w:rPr>
                      <w:spacing w:val="-15"/>
                    </w:rPr>
                    <w:t> </w:t>
                  </w:r>
                  <w:r>
                    <w:rPr/>
                    <w:t>data</w:t>
                  </w:r>
                  <w:r>
                    <w:rPr>
                      <w:spacing w:val="-15"/>
                    </w:rPr>
                    <w:t> </w:t>
                  </w:r>
                  <w:r>
                    <w:rPr/>
                    <w:t>about</w:t>
                  </w:r>
                  <w:r>
                    <w:rPr>
                      <w:spacing w:val="-17"/>
                    </w:rPr>
                    <w:t> </w:t>
                  </w:r>
                  <w:r>
                    <w:rPr/>
                    <w:t>energy</w:t>
                  </w:r>
                  <w:r>
                    <w:rPr>
                      <w:spacing w:val="-18"/>
                    </w:rPr>
                    <w:t> </w:t>
                  </w:r>
                  <w:r>
                    <w:rPr/>
                    <w:t>use,</w:t>
                  </w:r>
                  <w:r>
                    <w:rPr>
                      <w:spacing w:val="-15"/>
                    </w:rPr>
                    <w:t> </w:t>
                  </w:r>
                  <w:r>
                    <w:rPr/>
                    <w:t>or</w:t>
                  </w:r>
                  <w:r>
                    <w:rPr>
                      <w:spacing w:val="-16"/>
                    </w:rPr>
                    <w:t> </w:t>
                  </w:r>
                  <w:r>
                    <w:rPr/>
                    <w:t>a</w:t>
                  </w:r>
                  <w:r>
                    <w:rPr>
                      <w:spacing w:val="-17"/>
                    </w:rPr>
                    <w:t> </w:t>
                  </w:r>
                  <w:r>
                    <w:rPr/>
                    <w:t>social</w:t>
                  </w:r>
                  <w:r>
                    <w:rPr>
                      <w:spacing w:val="-17"/>
                    </w:rPr>
                    <w:t> </w:t>
                  </w:r>
                  <w:r>
                    <w:rPr/>
                    <w:t>media</w:t>
                  </w:r>
                  <w:r>
                    <w:rPr>
                      <w:spacing w:val="-17"/>
                    </w:rPr>
                    <w:t> </w:t>
                  </w:r>
                  <w:r>
                    <w:rPr/>
                    <w:t>company</w:t>
                  </w:r>
                  <w:r>
                    <w:rPr>
                      <w:spacing w:val="-18"/>
                    </w:rPr>
                    <w:t> </w:t>
                  </w:r>
                  <w:r>
                    <w:rPr/>
                    <w:t>collecting</w:t>
                  </w:r>
                  <w:r>
                    <w:rPr>
                      <w:spacing w:val="-15"/>
                    </w:rPr>
                    <w:t> </w:t>
                  </w:r>
                  <w:r>
                    <w:rPr/>
                    <w:t>data</w:t>
                  </w:r>
                  <w:r>
                    <w:rPr>
                      <w:spacing w:val="-15"/>
                    </w:rPr>
                    <w:t> </w:t>
                  </w:r>
                  <w:r>
                    <w:rPr/>
                    <w:t>about its users) or it may be acquired from another business. The source of </w:t>
                  </w:r>
                  <w:r>
                    <w:rPr>
                      <w:spacing w:val="4"/>
                    </w:rPr>
                    <w:t>the </w:t>
                  </w:r>
                  <w:r>
                    <w:rPr/>
                    <w:t>data would not be relevant for determining scope provided that it is generated by a user through a digital</w:t>
                  </w:r>
                  <w:r>
                    <w:rPr>
                      <w:spacing w:val="-26"/>
                    </w:rPr>
                    <w:t> </w:t>
                  </w:r>
                  <w:r>
                    <w:rPr/>
                    <w:t>interface.</w:t>
                  </w:r>
                </w:p>
                <w:p>
                  <w:pPr>
                    <w:pStyle w:val="BodyText"/>
                    <w:spacing w:line="271" w:lineRule="auto" w:before="123"/>
                    <w:ind w:left="136" w:right="144"/>
                    <w:jc w:val="both"/>
                  </w:pPr>
                  <w:r>
                    <w:rPr/>
                    <w:t>To</w:t>
                  </w:r>
                  <w:r>
                    <w:rPr>
                      <w:spacing w:val="-14"/>
                    </w:rPr>
                    <w:t> </w:t>
                  </w:r>
                  <w:r>
                    <w:rPr/>
                    <w:t>the</w:t>
                  </w:r>
                  <w:r>
                    <w:rPr>
                      <w:spacing w:val="-14"/>
                    </w:rPr>
                    <w:t> </w:t>
                  </w:r>
                  <w:r>
                    <w:rPr/>
                    <w:t>extent</w:t>
                  </w:r>
                  <w:r>
                    <w:rPr>
                      <w:spacing w:val="-13"/>
                    </w:rPr>
                    <w:t> </w:t>
                  </w:r>
                  <w:r>
                    <w:rPr/>
                    <w:t>that</w:t>
                  </w:r>
                  <w:r>
                    <w:rPr>
                      <w:spacing w:val="-14"/>
                    </w:rPr>
                    <w:t> </w:t>
                  </w:r>
                  <w:r>
                    <w:rPr/>
                    <w:t>the</w:t>
                  </w:r>
                  <w:r>
                    <w:rPr>
                      <w:spacing w:val="-13"/>
                    </w:rPr>
                    <w:t> </w:t>
                  </w:r>
                  <w:r>
                    <w:rPr/>
                    <w:t>data</w:t>
                  </w:r>
                  <w:r>
                    <w:rPr>
                      <w:spacing w:val="-12"/>
                    </w:rPr>
                    <w:t> </w:t>
                  </w:r>
                  <w:r>
                    <w:rPr/>
                    <w:t>is</w:t>
                  </w:r>
                  <w:r>
                    <w:rPr>
                      <w:spacing w:val="-11"/>
                    </w:rPr>
                    <w:t> </w:t>
                  </w:r>
                  <w:r>
                    <w:rPr/>
                    <w:t>provided</w:t>
                  </w:r>
                  <w:r>
                    <w:rPr>
                      <w:spacing w:val="-12"/>
                    </w:rPr>
                    <w:t> </w:t>
                  </w:r>
                  <w:r>
                    <w:rPr/>
                    <w:t>as</w:t>
                  </w:r>
                  <w:r>
                    <w:rPr>
                      <w:spacing w:val="-12"/>
                    </w:rPr>
                    <w:t> </w:t>
                  </w:r>
                  <w:r>
                    <w:rPr/>
                    <w:t>part</w:t>
                  </w:r>
                  <w:r>
                    <w:rPr>
                      <w:spacing w:val="-14"/>
                    </w:rPr>
                    <w:t> </w:t>
                  </w:r>
                  <w:r>
                    <w:rPr/>
                    <w:t>of</w:t>
                  </w:r>
                  <w:r>
                    <w:rPr>
                      <w:spacing w:val="-12"/>
                    </w:rPr>
                    <w:t> </w:t>
                  </w:r>
                  <w:r>
                    <w:rPr/>
                    <w:t>a</w:t>
                  </w:r>
                  <w:r>
                    <w:rPr>
                      <w:spacing w:val="-13"/>
                    </w:rPr>
                    <w:t> </w:t>
                  </w:r>
                  <w:r>
                    <w:rPr/>
                    <w:t>customised</w:t>
                  </w:r>
                  <w:r>
                    <w:rPr>
                      <w:spacing w:val="-14"/>
                    </w:rPr>
                    <w:t> </w:t>
                  </w:r>
                  <w:r>
                    <w:rPr/>
                    <w:t>service,</w:t>
                  </w:r>
                  <w:r>
                    <w:rPr>
                      <w:spacing w:val="-13"/>
                    </w:rPr>
                    <w:t> </w:t>
                  </w:r>
                  <w:r>
                    <w:rPr/>
                    <w:t>such</w:t>
                  </w:r>
                  <w:r>
                    <w:rPr>
                      <w:spacing w:val="-14"/>
                    </w:rPr>
                    <w:t> </w:t>
                  </w:r>
                  <w:r>
                    <w:rPr/>
                    <w:t>as</w:t>
                  </w:r>
                  <w:r>
                    <w:rPr>
                      <w:spacing w:val="-12"/>
                    </w:rPr>
                    <w:t> </w:t>
                  </w:r>
                  <w:r>
                    <w:rPr/>
                    <w:t>a</w:t>
                  </w:r>
                  <w:r>
                    <w:rPr>
                      <w:spacing w:val="-14"/>
                    </w:rPr>
                    <w:t> </w:t>
                  </w:r>
                  <w:r>
                    <w:rPr/>
                    <w:t>professional</w:t>
                  </w:r>
                  <w:r>
                    <w:rPr>
                      <w:spacing w:val="-14"/>
                    </w:rPr>
                    <w:t> </w:t>
                  </w:r>
                  <w:r>
                    <w:rPr/>
                    <w:t>marketing service, the guidance to be provided as set out below under dual category ADS and bundled services would</w:t>
                  </w:r>
                  <w:r>
                    <w:rPr>
                      <w:spacing w:val="-2"/>
                    </w:rPr>
                    <w:t> </w:t>
                  </w:r>
                  <w:r>
                    <w:rPr/>
                    <w:t>apply.</w:t>
                  </w:r>
                </w:p>
              </w:txbxContent>
            </v:textbox>
            <v:fill type="solid"/>
            <v:stroke dashstyle="solid"/>
          </v:shape>
        </w:pict>
      </w:r>
      <w:r>
        <w:rPr/>
      </w:r>
    </w:p>
    <w:p>
      <w:pPr>
        <w:pStyle w:val="BodyText"/>
      </w:pPr>
    </w:p>
    <w:p>
      <w:pPr>
        <w:pStyle w:val="BodyText"/>
        <w:spacing w:before="1"/>
        <w:rPr>
          <w:sz w:val="17"/>
        </w:rPr>
      </w:pPr>
      <w:r>
        <w:rPr/>
        <w:pict>
          <v:shape style="position:absolute;margin-left:64.944pt;margin-top:12.051034pt;width:465.6pt;height:80.7pt;mso-position-horizontal-relative:page;mso-position-vertical-relative:paragraph;z-index:-15710208;mso-wrap-distance-left:0;mso-wrap-distance-right:0" type="#_x0000_t202" filled="true" fillcolor="#eeece1" stroked="true" strokeweight=".48004pt" strokecolor="#4e81bd">
            <v:textbox inset="0,0,0,0">
              <w:txbxContent>
                <w:p>
                  <w:pPr>
                    <w:pStyle w:val="BodyText"/>
                    <w:spacing w:before="6"/>
                    <w:rPr>
                      <w:sz w:val="31"/>
                    </w:rPr>
                  </w:pPr>
                </w:p>
                <w:p>
                  <w:pPr>
                    <w:spacing w:before="0"/>
                    <w:ind w:left="84" w:right="84" w:firstLine="0"/>
                    <w:jc w:val="center"/>
                    <w:rPr>
                      <w:rFonts w:ascii="Arial Narrow" w:hAnsi="Arial Narrow"/>
                      <w:b/>
                      <w:sz w:val="24"/>
                    </w:rPr>
                  </w:pPr>
                  <w:r>
                    <w:rPr>
                      <w:rFonts w:ascii="Arial Narrow" w:hAnsi="Arial Narrow"/>
                      <w:b/>
                      <w:color w:val="4E81BD"/>
                      <w:sz w:val="24"/>
                    </w:rPr>
                    <w:t>Box 2.7. Online search engines – Definition</w:t>
                  </w:r>
                </w:p>
                <w:p>
                  <w:pPr>
                    <w:pStyle w:val="BodyText"/>
                    <w:spacing w:line="273" w:lineRule="auto" w:before="211"/>
                    <w:ind w:left="136" w:right="63"/>
                  </w:pPr>
                  <w:r>
                    <w:rPr/>
                    <w:t>This means making a digital interface available to users for the purpose of allowing them to search across the Internet for webpages or information hosted on digital interfaces.</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0974pt;width:465.6pt;height:222.65pt;mso-position-horizontal-relative:page;mso-position-vertical-relative:paragraph;z-index:-15709696;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2.8. Online search engines – Commentary</w:t>
                  </w:r>
                </w:p>
                <w:p>
                  <w:pPr>
                    <w:pStyle w:val="BodyText"/>
                    <w:spacing w:line="271" w:lineRule="auto" w:before="211"/>
                    <w:ind w:left="136" w:right="136"/>
                    <w:jc w:val="both"/>
                  </w:pPr>
                  <w:r>
                    <w:rPr/>
                    <w:t>Many online search engines are monetised through online advertising services and/or services transmitting</w:t>
                  </w:r>
                  <w:r>
                    <w:rPr>
                      <w:spacing w:val="-9"/>
                    </w:rPr>
                    <w:t> </w:t>
                  </w:r>
                  <w:r>
                    <w:rPr/>
                    <w:t>data</w:t>
                  </w:r>
                  <w:r>
                    <w:rPr>
                      <w:spacing w:val="-9"/>
                    </w:rPr>
                    <w:t> </w:t>
                  </w:r>
                  <w:r>
                    <w:rPr/>
                    <w:t>about</w:t>
                  </w:r>
                  <w:r>
                    <w:rPr>
                      <w:spacing w:val="-9"/>
                    </w:rPr>
                    <w:t> </w:t>
                  </w:r>
                  <w:r>
                    <w:rPr/>
                    <w:t>users.</w:t>
                  </w:r>
                  <w:r>
                    <w:rPr>
                      <w:spacing w:val="-8"/>
                    </w:rPr>
                    <w:t> </w:t>
                  </w:r>
                  <w:r>
                    <w:rPr/>
                    <w:t>To</w:t>
                  </w:r>
                  <w:r>
                    <w:rPr>
                      <w:spacing w:val="-8"/>
                    </w:rPr>
                    <w:t> </w:t>
                  </w:r>
                  <w:r>
                    <w:rPr/>
                    <w:t>the</w:t>
                  </w:r>
                  <w:r>
                    <w:rPr>
                      <w:spacing w:val="-9"/>
                    </w:rPr>
                    <w:t> </w:t>
                  </w:r>
                  <w:r>
                    <w:rPr/>
                    <w:t>extent</w:t>
                  </w:r>
                  <w:r>
                    <w:rPr>
                      <w:spacing w:val="-9"/>
                    </w:rPr>
                    <w:t> </w:t>
                  </w:r>
                  <w:r>
                    <w:rPr/>
                    <w:t>these</w:t>
                  </w:r>
                  <w:r>
                    <w:rPr>
                      <w:spacing w:val="-9"/>
                    </w:rPr>
                    <w:t> </w:t>
                  </w:r>
                  <w:r>
                    <w:rPr/>
                    <w:t>services</w:t>
                  </w:r>
                  <w:r>
                    <w:rPr>
                      <w:spacing w:val="-8"/>
                    </w:rPr>
                    <w:t> </w:t>
                  </w:r>
                  <w:r>
                    <w:rPr/>
                    <w:t>are</w:t>
                  </w:r>
                  <w:r>
                    <w:rPr>
                      <w:spacing w:val="-9"/>
                    </w:rPr>
                    <w:t> </w:t>
                  </w:r>
                  <w:r>
                    <w:rPr/>
                    <w:t>funded</w:t>
                  </w:r>
                  <w:r>
                    <w:rPr>
                      <w:spacing w:val="-8"/>
                    </w:rPr>
                    <w:t> </w:t>
                  </w:r>
                  <w:r>
                    <w:rPr/>
                    <w:t>via</w:t>
                  </w:r>
                  <w:r>
                    <w:rPr>
                      <w:spacing w:val="-9"/>
                    </w:rPr>
                    <w:t> </w:t>
                  </w:r>
                  <w:r>
                    <w:rPr/>
                    <w:t>online</w:t>
                  </w:r>
                  <w:r>
                    <w:rPr>
                      <w:spacing w:val="-9"/>
                    </w:rPr>
                    <w:t> </w:t>
                  </w:r>
                  <w:r>
                    <w:rPr/>
                    <w:t>advertising</w:t>
                  </w:r>
                  <w:r>
                    <w:rPr>
                      <w:spacing w:val="-9"/>
                    </w:rPr>
                    <w:t> </w:t>
                  </w:r>
                  <w:r>
                    <w:rPr/>
                    <w:t>or</w:t>
                  </w:r>
                  <w:r>
                    <w:rPr>
                      <w:spacing w:val="-8"/>
                    </w:rPr>
                    <w:t> </w:t>
                  </w:r>
                  <w:r>
                    <w:rPr/>
                    <w:t>the</w:t>
                  </w:r>
                  <w:r>
                    <w:rPr>
                      <w:spacing w:val="-8"/>
                    </w:rPr>
                    <w:t> </w:t>
                  </w:r>
                  <w:r>
                    <w:rPr/>
                    <w:t>sale of data, such revenue would be treated under those respective categories (including for revenue sourcing</w:t>
                  </w:r>
                  <w:r>
                    <w:rPr>
                      <w:spacing w:val="-1"/>
                    </w:rPr>
                    <w:t> </w:t>
                  </w:r>
                  <w:r>
                    <w:rPr/>
                    <w:t>purposes).</w:t>
                  </w:r>
                </w:p>
                <w:p>
                  <w:pPr>
                    <w:pStyle w:val="BodyText"/>
                    <w:spacing w:line="271" w:lineRule="auto" w:before="122"/>
                    <w:ind w:left="136" w:right="147"/>
                    <w:jc w:val="both"/>
                  </w:pPr>
                  <w:r>
                    <w:rPr/>
                    <w:t>This category would extend to instances where an online search engine charges users for access, for example under a subscription model, or where online search engine technologies are provided for incorporation into a third-party host website (e.g. a “search box”).</w:t>
                  </w:r>
                </w:p>
                <w:p>
                  <w:pPr>
                    <w:pStyle w:val="BodyText"/>
                    <w:spacing w:line="271" w:lineRule="auto" w:before="121"/>
                    <w:ind w:left="136" w:right="136"/>
                    <w:jc w:val="both"/>
                  </w:pPr>
                  <w:r>
                    <w:rPr/>
                    <w:t>This</w:t>
                  </w:r>
                  <w:r>
                    <w:rPr>
                      <w:spacing w:val="-16"/>
                    </w:rPr>
                    <w:t> </w:t>
                  </w:r>
                  <w:r>
                    <w:rPr/>
                    <w:t>category</w:t>
                  </w:r>
                  <w:r>
                    <w:rPr>
                      <w:spacing w:val="-17"/>
                    </w:rPr>
                    <w:t> </w:t>
                  </w:r>
                  <w:r>
                    <w:rPr/>
                    <w:t>would</w:t>
                  </w:r>
                  <w:r>
                    <w:rPr>
                      <w:spacing w:val="-14"/>
                    </w:rPr>
                    <w:t> </w:t>
                  </w:r>
                  <w:r>
                    <w:rPr/>
                    <w:t>not</w:t>
                  </w:r>
                  <w:r>
                    <w:rPr>
                      <w:spacing w:val="-15"/>
                    </w:rPr>
                    <w:t> </w:t>
                  </w:r>
                  <w:r>
                    <w:rPr/>
                    <w:t>include</w:t>
                  </w:r>
                  <w:r>
                    <w:rPr>
                      <w:spacing w:val="-15"/>
                    </w:rPr>
                    <w:t> </w:t>
                  </w:r>
                  <w:r>
                    <w:rPr/>
                    <w:t>services</w:t>
                  </w:r>
                  <w:r>
                    <w:rPr>
                      <w:spacing w:val="-14"/>
                    </w:rPr>
                    <w:t> </w:t>
                  </w:r>
                  <w:r>
                    <w:rPr/>
                    <w:t>such</w:t>
                  </w:r>
                  <w:r>
                    <w:rPr>
                      <w:spacing w:val="-16"/>
                    </w:rPr>
                    <w:t> </w:t>
                  </w:r>
                  <w:r>
                    <w:rPr/>
                    <w:t>as</w:t>
                  </w:r>
                  <w:r>
                    <w:rPr>
                      <w:spacing w:val="-14"/>
                    </w:rPr>
                    <w:t> </w:t>
                  </w:r>
                  <w:r>
                    <w:rPr/>
                    <w:t>online</w:t>
                  </w:r>
                  <w:r>
                    <w:rPr>
                      <w:spacing w:val="-15"/>
                    </w:rPr>
                    <w:t> </w:t>
                  </w:r>
                  <w:r>
                    <w:rPr/>
                    <w:t>databases</w:t>
                  </w:r>
                  <w:r>
                    <w:rPr>
                      <w:spacing w:val="-15"/>
                    </w:rPr>
                    <w:t> </w:t>
                  </w:r>
                  <w:r>
                    <w:rPr/>
                    <w:t>or</w:t>
                  </w:r>
                  <w:r>
                    <w:rPr>
                      <w:spacing w:val="-9"/>
                    </w:rPr>
                    <w:t> </w:t>
                  </w:r>
                  <w:r>
                    <w:rPr/>
                    <w:t>‘internal’</w:t>
                  </w:r>
                  <w:r>
                    <w:rPr>
                      <w:spacing w:val="-16"/>
                    </w:rPr>
                    <w:t> </w:t>
                  </w:r>
                  <w:r>
                    <w:rPr/>
                    <w:t>website</w:t>
                  </w:r>
                  <w:r>
                    <w:rPr>
                      <w:spacing w:val="-16"/>
                    </w:rPr>
                    <w:t> </w:t>
                  </w:r>
                  <w:r>
                    <w:rPr/>
                    <w:t>search</w:t>
                  </w:r>
                  <w:r>
                    <w:rPr>
                      <w:spacing w:val="-17"/>
                    </w:rPr>
                    <w:t> </w:t>
                  </w:r>
                  <w:r>
                    <w:rPr/>
                    <w:t>functions that</w:t>
                  </w:r>
                  <w:r>
                    <w:rPr>
                      <w:spacing w:val="-14"/>
                    </w:rPr>
                    <w:t> </w:t>
                  </w:r>
                  <w:r>
                    <w:rPr/>
                    <w:t>are</w:t>
                  </w:r>
                  <w:r>
                    <w:rPr>
                      <w:spacing w:val="-11"/>
                    </w:rPr>
                    <w:t> </w:t>
                  </w:r>
                  <w:r>
                    <w:rPr/>
                    <w:t>not</w:t>
                  </w:r>
                  <w:r>
                    <w:rPr>
                      <w:spacing w:val="-13"/>
                    </w:rPr>
                    <w:t> </w:t>
                  </w:r>
                  <w:r>
                    <w:rPr/>
                    <w:t>monetised,</w:t>
                  </w:r>
                  <w:r>
                    <w:rPr>
                      <w:spacing w:val="-11"/>
                    </w:rPr>
                    <w:t> </w:t>
                  </w:r>
                  <w:r>
                    <w:rPr/>
                    <w:t>where</w:t>
                  </w:r>
                  <w:r>
                    <w:rPr>
                      <w:spacing w:val="-13"/>
                    </w:rPr>
                    <w:t> </w:t>
                  </w:r>
                  <w:r>
                    <w:rPr/>
                    <w:t>the</w:t>
                  </w:r>
                  <w:r>
                    <w:rPr>
                      <w:spacing w:val="-13"/>
                    </w:rPr>
                    <w:t> </w:t>
                  </w:r>
                  <w:r>
                    <w:rPr/>
                    <w:t>search</w:t>
                  </w:r>
                  <w:r>
                    <w:rPr>
                      <w:spacing w:val="-14"/>
                    </w:rPr>
                    <w:t> </w:t>
                  </w:r>
                  <w:r>
                    <w:rPr/>
                    <w:t>results</w:t>
                  </w:r>
                  <w:r>
                    <w:rPr>
                      <w:spacing w:val="-12"/>
                    </w:rPr>
                    <w:t> </w:t>
                  </w:r>
                  <w:r>
                    <w:rPr/>
                    <w:t>are</w:t>
                  </w:r>
                  <w:r>
                    <w:rPr>
                      <w:spacing w:val="-11"/>
                    </w:rPr>
                    <w:t> </w:t>
                  </w:r>
                  <w:r>
                    <w:rPr/>
                    <w:t>limited</w:t>
                  </w:r>
                  <w:r>
                    <w:rPr>
                      <w:spacing w:val="-11"/>
                    </w:rPr>
                    <w:t> </w:t>
                  </w:r>
                  <w:r>
                    <w:rPr/>
                    <w:t>to</w:t>
                  </w:r>
                  <w:r>
                    <w:rPr>
                      <w:spacing w:val="-14"/>
                    </w:rPr>
                    <w:t> </w:t>
                  </w:r>
                  <w:r>
                    <w:rPr/>
                    <w:t>data</w:t>
                  </w:r>
                  <w:r>
                    <w:rPr>
                      <w:spacing w:val="-13"/>
                    </w:rPr>
                    <w:t> </w:t>
                  </w:r>
                  <w:r>
                    <w:rPr/>
                    <w:t>hosted</w:t>
                  </w:r>
                  <w:r>
                    <w:rPr>
                      <w:spacing w:val="-12"/>
                    </w:rPr>
                    <w:t> </w:t>
                  </w:r>
                  <w:r>
                    <w:rPr/>
                    <w:t>on</w:t>
                  </w:r>
                  <w:r>
                    <w:rPr>
                      <w:spacing w:val="-13"/>
                    </w:rPr>
                    <w:t> </w:t>
                  </w:r>
                  <w:r>
                    <w:rPr/>
                    <w:t>that</w:t>
                  </w:r>
                  <w:r>
                    <w:rPr>
                      <w:spacing w:val="-14"/>
                    </w:rPr>
                    <w:t> </w:t>
                  </w:r>
                  <w:r>
                    <w:rPr/>
                    <w:t>same</w:t>
                  </w:r>
                  <w:r>
                    <w:rPr>
                      <w:spacing w:val="-13"/>
                    </w:rPr>
                    <w:t> </w:t>
                  </w:r>
                  <w:r>
                    <w:rPr/>
                    <w:t>digital</w:t>
                  </w:r>
                  <w:r>
                    <w:rPr>
                      <w:spacing w:val="-14"/>
                    </w:rPr>
                    <w:t> </w:t>
                  </w:r>
                  <w:r>
                    <w:rPr/>
                    <w:t>interface (or related digital interfaces). However, if an online database or an ‘internal’ website search function service involves monetisation of services and it falls under the positive list or meets the general definition of ADS, it will be covered under</w:t>
                  </w:r>
                  <w:r>
                    <w:rPr>
                      <w:spacing w:val="5"/>
                    </w:rPr>
                    <w:t> </w:t>
                  </w:r>
                  <w:r>
                    <w:rPr/>
                    <w:t>ADS.</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80.650pt;mso-position-horizontal-relative:char;mso-position-vertical-relative:line" type="#_x0000_t202" filled="true" fillcolor="#eeece1" stroked="true" strokeweight=".48004pt" strokecolor="#4e81bd">
            <w10:anchorlock/>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2.9. Social media platforms – Definition</w:t>
                  </w:r>
                </w:p>
                <w:p>
                  <w:pPr>
                    <w:pStyle w:val="BodyText"/>
                    <w:spacing w:line="271" w:lineRule="auto" w:before="213"/>
                    <w:ind w:left="136" w:right="63"/>
                  </w:pPr>
                  <w:r>
                    <w:rPr/>
                    <w:t>This means making a platform available on a digital interface to facilitate the interaction between users or between users and user-generated content.</w:t>
                  </w:r>
                </w:p>
              </w:txbxContent>
            </v:textbox>
            <v:fill type="solid"/>
            <v:stroke dashstyle="solid"/>
          </v:shape>
        </w:pict>
      </w:r>
      <w:r>
        <w:rPr/>
      </w:r>
    </w:p>
    <w:p>
      <w:pPr>
        <w:pStyle w:val="BodyText"/>
      </w:pPr>
    </w:p>
    <w:p>
      <w:pPr>
        <w:pStyle w:val="BodyText"/>
        <w:spacing w:before="8"/>
        <w:rPr>
          <w:sz w:val="16"/>
        </w:rPr>
      </w:pPr>
      <w:r>
        <w:rPr/>
        <w:pict>
          <v:shape style="position:absolute;margin-left:64.944pt;margin-top:11.811033pt;width:465.6pt;height:235.75pt;mso-position-horizontal-relative:page;mso-position-vertical-relative:paragraph;z-index:-15708672;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6" w:firstLine="0"/>
                    <w:jc w:val="center"/>
                    <w:rPr>
                      <w:rFonts w:ascii="Arial Narrow" w:hAnsi="Arial Narrow"/>
                      <w:b/>
                      <w:sz w:val="24"/>
                    </w:rPr>
                  </w:pPr>
                  <w:r>
                    <w:rPr>
                      <w:rFonts w:ascii="Arial Narrow" w:hAnsi="Arial Narrow"/>
                      <w:b/>
                      <w:color w:val="4E81BD"/>
                      <w:sz w:val="24"/>
                    </w:rPr>
                    <w:t>Box 2.10. Social media platforms – Commentary</w:t>
                  </w:r>
                </w:p>
                <w:p>
                  <w:pPr>
                    <w:pStyle w:val="BodyText"/>
                    <w:spacing w:line="271" w:lineRule="auto" w:before="213"/>
                    <w:ind w:left="136" w:right="138"/>
                    <w:jc w:val="both"/>
                  </w:pPr>
                  <w:r>
                    <w:rPr/>
                    <w:t>This</w:t>
                  </w:r>
                  <w:r>
                    <w:rPr>
                      <w:spacing w:val="-10"/>
                    </w:rPr>
                    <w:t> </w:t>
                  </w:r>
                  <w:r>
                    <w:rPr/>
                    <w:t>category</w:t>
                  </w:r>
                  <w:r>
                    <w:rPr>
                      <w:spacing w:val="-11"/>
                    </w:rPr>
                    <w:t> </w:t>
                  </w:r>
                  <w:r>
                    <w:rPr/>
                    <w:t>would</w:t>
                  </w:r>
                  <w:r>
                    <w:rPr>
                      <w:spacing w:val="-8"/>
                    </w:rPr>
                    <w:t> </w:t>
                  </w:r>
                  <w:r>
                    <w:rPr/>
                    <w:t>include</w:t>
                  </w:r>
                  <w:r>
                    <w:rPr>
                      <w:spacing w:val="-9"/>
                    </w:rPr>
                    <w:t> </w:t>
                  </w:r>
                  <w:r>
                    <w:rPr/>
                    <w:t>a</w:t>
                  </w:r>
                  <w:r>
                    <w:rPr>
                      <w:spacing w:val="-11"/>
                    </w:rPr>
                    <w:t> </w:t>
                  </w:r>
                  <w:r>
                    <w:rPr/>
                    <w:t>range</w:t>
                  </w:r>
                  <w:r>
                    <w:rPr>
                      <w:spacing w:val="-12"/>
                    </w:rPr>
                    <w:t> </w:t>
                  </w:r>
                  <w:r>
                    <w:rPr/>
                    <w:t>of</w:t>
                  </w:r>
                  <w:r>
                    <w:rPr>
                      <w:spacing w:val="-9"/>
                    </w:rPr>
                    <w:t> </w:t>
                  </w:r>
                  <w:r>
                    <w:rPr/>
                    <w:t>activities</w:t>
                  </w:r>
                  <w:r>
                    <w:rPr>
                      <w:spacing w:val="-9"/>
                    </w:rPr>
                    <w:t> </w:t>
                  </w:r>
                  <w:r>
                    <w:rPr/>
                    <w:t>that</w:t>
                  </w:r>
                  <w:r>
                    <w:rPr>
                      <w:spacing w:val="-9"/>
                    </w:rPr>
                    <w:t> </w:t>
                  </w:r>
                  <w:r>
                    <w:rPr/>
                    <w:t>rely</w:t>
                  </w:r>
                  <w:r>
                    <w:rPr>
                      <w:spacing w:val="-11"/>
                    </w:rPr>
                    <w:t> </w:t>
                  </w:r>
                  <w:r>
                    <w:rPr/>
                    <w:t>on</w:t>
                  </w:r>
                  <w:r>
                    <w:rPr>
                      <w:spacing w:val="-9"/>
                    </w:rPr>
                    <w:t> </w:t>
                  </w:r>
                  <w:r>
                    <w:rPr/>
                    <w:t>an</w:t>
                  </w:r>
                  <w:r>
                    <w:rPr>
                      <w:spacing w:val="-10"/>
                    </w:rPr>
                    <w:t> </w:t>
                  </w:r>
                  <w:r>
                    <w:rPr/>
                    <w:t>active</w:t>
                  </w:r>
                  <w:r>
                    <w:rPr>
                      <w:spacing w:val="-8"/>
                    </w:rPr>
                    <w:t> </w:t>
                  </w:r>
                  <w:r>
                    <w:rPr/>
                    <w:t>and</w:t>
                  </w:r>
                  <w:r>
                    <w:rPr>
                      <w:spacing w:val="-9"/>
                    </w:rPr>
                    <w:t> </w:t>
                  </w:r>
                  <w:r>
                    <w:rPr/>
                    <w:t>engaged</w:t>
                  </w:r>
                  <w:r>
                    <w:rPr>
                      <w:spacing w:val="-10"/>
                    </w:rPr>
                    <w:t> </w:t>
                  </w:r>
                  <w:r>
                    <w:rPr/>
                    <w:t>user</w:t>
                  </w:r>
                  <w:r>
                    <w:rPr>
                      <w:spacing w:val="-7"/>
                    </w:rPr>
                    <w:t> </w:t>
                  </w:r>
                  <w:r>
                    <w:rPr/>
                    <w:t>base</w:t>
                  </w:r>
                  <w:r>
                    <w:rPr>
                      <w:spacing w:val="-9"/>
                    </w:rPr>
                    <w:t> </w:t>
                  </w:r>
                  <w:r>
                    <w:rPr/>
                    <w:t>to</w:t>
                  </w:r>
                  <w:r>
                    <w:rPr>
                      <w:spacing w:val="-12"/>
                    </w:rPr>
                    <w:t> </w:t>
                  </w:r>
                  <w:r>
                    <w:rPr/>
                    <w:t>create value, such as social and professional networking websites, micro-blogging platforms, video or image sharing</w:t>
                  </w:r>
                  <w:r>
                    <w:rPr>
                      <w:spacing w:val="-13"/>
                    </w:rPr>
                    <w:t> </w:t>
                  </w:r>
                  <w:r>
                    <w:rPr/>
                    <w:t>platforms,</w:t>
                  </w:r>
                  <w:r>
                    <w:rPr>
                      <w:spacing w:val="-15"/>
                    </w:rPr>
                    <w:t> </w:t>
                  </w:r>
                  <w:r>
                    <w:rPr/>
                    <w:t>online</w:t>
                  </w:r>
                  <w:r>
                    <w:rPr>
                      <w:spacing w:val="-15"/>
                    </w:rPr>
                    <w:t> </w:t>
                  </w:r>
                  <w:r>
                    <w:rPr/>
                    <w:t>dating</w:t>
                  </w:r>
                  <w:r>
                    <w:rPr>
                      <w:spacing w:val="-12"/>
                    </w:rPr>
                    <w:t> </w:t>
                  </w:r>
                  <w:r>
                    <w:rPr/>
                    <w:t>websites,</w:t>
                  </w:r>
                  <w:r>
                    <w:rPr>
                      <w:spacing w:val="-15"/>
                    </w:rPr>
                    <w:t> </w:t>
                  </w:r>
                  <w:r>
                    <w:rPr/>
                    <w:t>platforms</w:t>
                  </w:r>
                  <w:r>
                    <w:rPr>
                      <w:spacing w:val="-13"/>
                    </w:rPr>
                    <w:t> </w:t>
                  </w:r>
                  <w:r>
                    <w:rPr/>
                    <w:t>dedicated</w:t>
                  </w:r>
                  <w:r>
                    <w:rPr>
                      <w:spacing w:val="-13"/>
                    </w:rPr>
                    <w:t> </w:t>
                  </w:r>
                  <w:r>
                    <w:rPr/>
                    <w:t>to</w:t>
                  </w:r>
                  <w:r>
                    <w:rPr>
                      <w:spacing w:val="-14"/>
                    </w:rPr>
                    <w:t> </w:t>
                  </w:r>
                  <w:r>
                    <w:rPr/>
                    <w:t>sharing</w:t>
                  </w:r>
                  <w:r>
                    <w:rPr>
                      <w:spacing w:val="-13"/>
                    </w:rPr>
                    <w:t> </w:t>
                  </w:r>
                  <w:r>
                    <w:rPr/>
                    <w:t>user</w:t>
                  </w:r>
                  <w:r>
                    <w:rPr>
                      <w:spacing w:val="-14"/>
                    </w:rPr>
                    <w:t> </w:t>
                  </w:r>
                  <w:r>
                    <w:rPr/>
                    <w:t>reviews,</w:t>
                  </w:r>
                  <w:r>
                    <w:rPr>
                      <w:spacing w:val="-14"/>
                    </w:rPr>
                    <w:t> </w:t>
                  </w:r>
                  <w:r>
                    <w:rPr/>
                    <w:t>as</w:t>
                  </w:r>
                  <w:r>
                    <w:rPr>
                      <w:spacing w:val="-11"/>
                    </w:rPr>
                    <w:t> </w:t>
                  </w:r>
                  <w:r>
                    <w:rPr/>
                    <w:t>well</w:t>
                  </w:r>
                  <w:r>
                    <w:rPr>
                      <w:spacing w:val="-15"/>
                    </w:rPr>
                    <w:t> </w:t>
                  </w:r>
                  <w:r>
                    <w:rPr/>
                    <w:t>as</w:t>
                  </w:r>
                  <w:r>
                    <w:rPr>
                      <w:spacing w:val="-14"/>
                    </w:rPr>
                    <w:t> </w:t>
                  </w:r>
                  <w:r>
                    <w:rPr/>
                    <w:t>online call and messaging platforms, some of which could overlap with online intermediation</w:t>
                  </w:r>
                  <w:r>
                    <w:rPr>
                      <w:spacing w:val="-31"/>
                    </w:rPr>
                    <w:t> </w:t>
                  </w:r>
                  <w:r>
                    <w:rPr/>
                    <w:t>platforms.</w:t>
                  </w:r>
                </w:p>
                <w:p>
                  <w:pPr>
                    <w:pStyle w:val="BodyText"/>
                    <w:spacing w:line="271" w:lineRule="auto" w:before="120"/>
                    <w:ind w:left="136" w:right="137"/>
                    <w:jc w:val="both"/>
                  </w:pPr>
                  <w:r>
                    <w:rPr/>
                    <w:t>This</w:t>
                  </w:r>
                  <w:r>
                    <w:rPr>
                      <w:spacing w:val="-6"/>
                    </w:rPr>
                    <w:t> </w:t>
                  </w:r>
                  <w:r>
                    <w:rPr/>
                    <w:t>category</w:t>
                  </w:r>
                  <w:r>
                    <w:rPr>
                      <w:spacing w:val="-7"/>
                    </w:rPr>
                    <w:t> </w:t>
                  </w:r>
                  <w:r>
                    <w:rPr/>
                    <w:t>would</w:t>
                  </w:r>
                  <w:r>
                    <w:rPr>
                      <w:spacing w:val="-4"/>
                    </w:rPr>
                    <w:t> </w:t>
                  </w:r>
                  <w:r>
                    <w:rPr/>
                    <w:t>extend</w:t>
                  </w:r>
                  <w:r>
                    <w:rPr>
                      <w:spacing w:val="-5"/>
                    </w:rPr>
                    <w:t> </w:t>
                  </w:r>
                  <w:r>
                    <w:rPr/>
                    <w:t>to</w:t>
                  </w:r>
                  <w:r>
                    <w:rPr>
                      <w:spacing w:val="-8"/>
                    </w:rPr>
                    <w:t> </w:t>
                  </w:r>
                  <w:r>
                    <w:rPr/>
                    <w:t>instances</w:t>
                  </w:r>
                  <w:r>
                    <w:rPr>
                      <w:spacing w:val="-3"/>
                    </w:rPr>
                    <w:t> </w:t>
                  </w:r>
                  <w:r>
                    <w:rPr/>
                    <w:t>where</w:t>
                  </w:r>
                  <w:r>
                    <w:rPr>
                      <w:spacing w:val="-4"/>
                    </w:rPr>
                    <w:t> </w:t>
                  </w:r>
                  <w:r>
                    <w:rPr/>
                    <w:t>the</w:t>
                  </w:r>
                  <w:r>
                    <w:rPr>
                      <w:spacing w:val="-7"/>
                    </w:rPr>
                    <w:t> </w:t>
                  </w:r>
                  <w:r>
                    <w:rPr/>
                    <w:t>social</w:t>
                  </w:r>
                  <w:r>
                    <w:rPr>
                      <w:spacing w:val="-7"/>
                    </w:rPr>
                    <w:t> </w:t>
                  </w:r>
                  <w:r>
                    <w:rPr/>
                    <w:t>media</w:t>
                  </w:r>
                  <w:r>
                    <w:rPr>
                      <w:spacing w:val="-7"/>
                    </w:rPr>
                    <w:t> </w:t>
                  </w:r>
                  <w:r>
                    <w:rPr/>
                    <w:t>platform</w:t>
                  </w:r>
                  <w:r>
                    <w:rPr>
                      <w:spacing w:val="-2"/>
                    </w:rPr>
                    <w:t> </w:t>
                  </w:r>
                  <w:r>
                    <w:rPr/>
                    <w:t>charges</w:t>
                  </w:r>
                  <w:r>
                    <w:rPr>
                      <w:spacing w:val="-5"/>
                    </w:rPr>
                    <w:t> </w:t>
                  </w:r>
                  <w:r>
                    <w:rPr/>
                    <w:t>users</w:t>
                  </w:r>
                  <w:r>
                    <w:rPr>
                      <w:spacing w:val="-6"/>
                    </w:rPr>
                    <w:t> </w:t>
                  </w:r>
                  <w:r>
                    <w:rPr/>
                    <w:t>for</w:t>
                  </w:r>
                  <w:r>
                    <w:rPr>
                      <w:spacing w:val="-6"/>
                    </w:rPr>
                    <w:t> </w:t>
                  </w:r>
                  <w:r>
                    <w:rPr/>
                    <w:t>access,</w:t>
                  </w:r>
                  <w:r>
                    <w:rPr>
                      <w:spacing w:val="-9"/>
                    </w:rPr>
                    <w:t> </w:t>
                  </w:r>
                  <w:r>
                    <w:rPr/>
                    <w:t>for example under a subscription model. To the extent these services are funded via online advertising, the</w:t>
                  </w:r>
                  <w:r>
                    <w:rPr>
                      <w:spacing w:val="-7"/>
                    </w:rPr>
                    <w:t> </w:t>
                  </w:r>
                  <w:r>
                    <w:rPr/>
                    <w:t>sale</w:t>
                  </w:r>
                  <w:r>
                    <w:rPr>
                      <w:spacing w:val="-5"/>
                    </w:rPr>
                    <w:t> </w:t>
                  </w:r>
                  <w:r>
                    <w:rPr/>
                    <w:t>of</w:t>
                  </w:r>
                  <w:r>
                    <w:rPr>
                      <w:spacing w:val="-5"/>
                    </w:rPr>
                    <w:t> </w:t>
                  </w:r>
                  <w:r>
                    <w:rPr/>
                    <w:t>data,</w:t>
                  </w:r>
                  <w:r>
                    <w:rPr>
                      <w:spacing w:val="-4"/>
                    </w:rPr>
                    <w:t> </w:t>
                  </w:r>
                  <w:r>
                    <w:rPr/>
                    <w:t>or</w:t>
                  </w:r>
                  <w:r>
                    <w:rPr>
                      <w:spacing w:val="-6"/>
                    </w:rPr>
                    <w:t> </w:t>
                  </w:r>
                  <w:r>
                    <w:rPr/>
                    <w:t>subscription</w:t>
                  </w:r>
                  <w:r>
                    <w:rPr>
                      <w:spacing w:val="-5"/>
                    </w:rPr>
                    <w:t> </w:t>
                  </w:r>
                  <w:r>
                    <w:rPr/>
                    <w:t>models</w:t>
                  </w:r>
                  <w:r>
                    <w:rPr>
                      <w:spacing w:val="-5"/>
                    </w:rPr>
                    <w:t> </w:t>
                  </w:r>
                  <w:r>
                    <w:rPr/>
                    <w:t>(which</w:t>
                  </w:r>
                  <w:r>
                    <w:rPr>
                      <w:spacing w:val="-7"/>
                    </w:rPr>
                    <w:t> </w:t>
                  </w:r>
                  <w:r>
                    <w:rPr/>
                    <w:t>follows</w:t>
                  </w:r>
                  <w:r>
                    <w:rPr>
                      <w:spacing w:val="-3"/>
                    </w:rPr>
                    <w:t> </w:t>
                  </w:r>
                  <w:r>
                    <w:rPr/>
                    <w:t>the</w:t>
                  </w:r>
                  <w:r>
                    <w:rPr>
                      <w:spacing w:val="-5"/>
                    </w:rPr>
                    <w:t> </w:t>
                  </w:r>
                  <w:r>
                    <w:rPr/>
                    <w:t>business</w:t>
                  </w:r>
                  <w:r>
                    <w:rPr>
                      <w:spacing w:val="-5"/>
                    </w:rPr>
                    <w:t> </w:t>
                  </w:r>
                  <w:r>
                    <w:rPr/>
                    <w:t>model</w:t>
                  </w:r>
                  <w:r>
                    <w:rPr>
                      <w:spacing w:val="-8"/>
                    </w:rPr>
                    <w:t> </w:t>
                  </w:r>
                  <w:r>
                    <w:rPr/>
                    <w:t>for</w:t>
                  </w:r>
                  <w:r>
                    <w:rPr>
                      <w:spacing w:val="-6"/>
                    </w:rPr>
                    <w:t> </w:t>
                  </w:r>
                  <w:r>
                    <w:rPr/>
                    <w:t>digital</w:t>
                  </w:r>
                  <w:r>
                    <w:rPr>
                      <w:spacing w:val="-8"/>
                    </w:rPr>
                    <w:t> </w:t>
                  </w:r>
                  <w:r>
                    <w:rPr/>
                    <w:t>content</w:t>
                  </w:r>
                  <w:r>
                    <w:rPr>
                      <w:spacing w:val="-6"/>
                    </w:rPr>
                    <w:t> </w:t>
                  </w:r>
                  <w:r>
                    <w:rPr/>
                    <w:t>services), such revenue would be treated under those respective categories (including for revenue sourcing purposes).</w:t>
                  </w:r>
                </w:p>
                <w:p>
                  <w:pPr>
                    <w:pStyle w:val="BodyText"/>
                    <w:spacing w:line="271" w:lineRule="auto" w:before="122"/>
                    <w:ind w:left="136" w:right="145"/>
                    <w:jc w:val="both"/>
                  </w:pPr>
                  <w:r>
                    <w:rPr/>
                    <w:t>This category does not extend to instances where user interaction is merely incidental to the core purpose of the digital interface, for example where a company sells its own inventory online and the website allows users to post comments or reviews or where a website allows a user to engage in an online chat with a sales representative.</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60953pt;width:465.6pt;height:93.6pt;mso-position-horizontal-relative:page;mso-position-vertical-relative:paragraph;z-index:-15708160;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6" w:firstLine="0"/>
                    <w:jc w:val="center"/>
                    <w:rPr>
                      <w:rFonts w:ascii="Arial Narrow" w:hAnsi="Arial Narrow"/>
                      <w:b/>
                      <w:sz w:val="24"/>
                    </w:rPr>
                  </w:pPr>
                  <w:r>
                    <w:rPr>
                      <w:rFonts w:ascii="Arial Narrow" w:hAnsi="Arial Narrow"/>
                      <w:b/>
                      <w:color w:val="4E81BD"/>
                      <w:sz w:val="24"/>
                    </w:rPr>
                    <w:t>Box 2.11. Online intermediation platforms – Definition</w:t>
                  </w:r>
                </w:p>
                <w:p>
                  <w:pPr>
                    <w:pStyle w:val="BodyText"/>
                    <w:spacing w:line="271" w:lineRule="auto" w:before="213"/>
                    <w:ind w:left="136" w:right="137"/>
                    <w:jc w:val="both"/>
                  </w:pPr>
                  <w:r>
                    <w:rPr/>
                    <w:t>This means making a platform available on a digital interface to enable users to sell, lease, advertise, display or otherwise offer goods or services to other users. It does not include the online sale of goods and services of the platform’s own inventory.</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40979pt;width:465.6pt;height:164.7pt;mso-position-horizontal-relative:page;mso-position-vertical-relative:paragraph;z-index:-15707648;mso-wrap-distance-left:0;mso-wrap-distance-right:0" type="#_x0000_t202" filled="true" fillcolor="#eeece1" stroked="true" strokeweight=".48004pt" strokecolor="#4e81bd">
            <v:textbox inset="0,0,0,0">
              <w:txbxContent>
                <w:p>
                  <w:pPr>
                    <w:pStyle w:val="BodyText"/>
                    <w:spacing w:before="6"/>
                    <w:rPr>
                      <w:sz w:val="31"/>
                    </w:rPr>
                  </w:pPr>
                </w:p>
                <w:p>
                  <w:pPr>
                    <w:spacing w:before="0"/>
                    <w:ind w:left="84" w:right="88" w:firstLine="0"/>
                    <w:jc w:val="center"/>
                    <w:rPr>
                      <w:rFonts w:ascii="Arial Narrow" w:hAnsi="Arial Narrow"/>
                      <w:b/>
                      <w:sz w:val="24"/>
                    </w:rPr>
                  </w:pPr>
                  <w:r>
                    <w:rPr>
                      <w:rFonts w:ascii="Arial Narrow" w:hAnsi="Arial Narrow"/>
                      <w:b/>
                      <w:color w:val="4E81BD"/>
                      <w:sz w:val="24"/>
                    </w:rPr>
                    <w:t>Box 2.12. Online intermediation platforms – Commentary</w:t>
                  </w:r>
                </w:p>
                <w:p>
                  <w:pPr>
                    <w:pStyle w:val="BodyText"/>
                    <w:spacing w:line="271" w:lineRule="auto" w:before="212"/>
                    <w:ind w:left="136" w:right="142"/>
                    <w:jc w:val="both"/>
                  </w:pPr>
                  <w:r>
                    <w:rPr/>
                    <w:t>This category would apply where the service enables the interaction between third party users, irrespective of the nature of the interaction, the characteristics of the users involved, whether an underlying</w:t>
                  </w:r>
                  <w:r>
                    <w:rPr>
                      <w:spacing w:val="-13"/>
                    </w:rPr>
                    <w:t> </w:t>
                  </w:r>
                  <w:r>
                    <w:rPr/>
                    <w:t>transaction</w:t>
                  </w:r>
                  <w:r>
                    <w:rPr>
                      <w:spacing w:val="-10"/>
                    </w:rPr>
                    <w:t> </w:t>
                  </w:r>
                  <w:r>
                    <w:rPr/>
                    <w:t>is</w:t>
                  </w:r>
                  <w:r>
                    <w:rPr>
                      <w:spacing w:val="-10"/>
                    </w:rPr>
                    <w:t> </w:t>
                  </w:r>
                  <w:r>
                    <w:rPr/>
                    <w:t>itself</w:t>
                  </w:r>
                  <w:r>
                    <w:rPr>
                      <w:spacing w:val="-10"/>
                    </w:rPr>
                    <w:t> </w:t>
                  </w:r>
                  <w:r>
                    <w:rPr/>
                    <w:t>in</w:t>
                  </w:r>
                  <w:r>
                    <w:rPr>
                      <w:spacing w:val="-7"/>
                    </w:rPr>
                    <w:t> </w:t>
                  </w:r>
                  <w:r>
                    <w:rPr/>
                    <w:t>scope,</w:t>
                  </w:r>
                  <w:r>
                    <w:rPr>
                      <w:spacing w:val="-10"/>
                    </w:rPr>
                    <w:t> </w:t>
                  </w:r>
                  <w:r>
                    <w:rPr/>
                    <w:t>or</w:t>
                  </w:r>
                  <w:r>
                    <w:rPr>
                      <w:spacing w:val="-8"/>
                    </w:rPr>
                    <w:t> </w:t>
                  </w:r>
                  <w:r>
                    <w:rPr/>
                    <w:t>the</w:t>
                  </w:r>
                  <w:r>
                    <w:rPr>
                      <w:spacing w:val="-10"/>
                    </w:rPr>
                    <w:t> </w:t>
                  </w:r>
                  <w:r>
                    <w:rPr/>
                    <w:t>extent</w:t>
                  </w:r>
                  <w:r>
                    <w:rPr>
                      <w:spacing w:val="-10"/>
                    </w:rPr>
                    <w:t> </w:t>
                  </w:r>
                  <w:r>
                    <w:rPr/>
                    <w:t>of</w:t>
                  </w:r>
                  <w:r>
                    <w:rPr>
                      <w:spacing w:val="-10"/>
                    </w:rPr>
                    <w:t> </w:t>
                  </w:r>
                  <w:r>
                    <w:rPr/>
                    <w:t>the</w:t>
                  </w:r>
                  <w:r>
                    <w:rPr>
                      <w:spacing w:val="-10"/>
                    </w:rPr>
                    <w:t> </w:t>
                  </w:r>
                  <w:r>
                    <w:rPr/>
                    <w:t>service</w:t>
                  </w:r>
                  <w:r>
                    <w:rPr>
                      <w:spacing w:val="-10"/>
                    </w:rPr>
                    <w:t> </w:t>
                  </w:r>
                  <w:r>
                    <w:rPr/>
                    <w:t>provider’s</w:t>
                  </w:r>
                  <w:r>
                    <w:rPr>
                      <w:spacing w:val="-12"/>
                    </w:rPr>
                    <w:t> </w:t>
                  </w:r>
                  <w:r>
                    <w:rPr/>
                    <w:t>activities</w:t>
                  </w:r>
                  <w:r>
                    <w:rPr>
                      <w:spacing w:val="-9"/>
                    </w:rPr>
                    <w:t> </w:t>
                  </w:r>
                  <w:r>
                    <w:rPr/>
                    <w:t>in</w:t>
                  </w:r>
                  <w:r>
                    <w:rPr>
                      <w:spacing w:val="-9"/>
                    </w:rPr>
                    <w:t> </w:t>
                  </w:r>
                  <w:r>
                    <w:rPr/>
                    <w:t>facilitating</w:t>
                  </w:r>
                  <w:r>
                    <w:rPr>
                      <w:spacing w:val="-11"/>
                    </w:rPr>
                    <w:t> </w:t>
                  </w:r>
                  <w:r>
                    <w:rPr/>
                    <w:t>the interaction.</w:t>
                  </w:r>
                </w:p>
                <w:p>
                  <w:pPr>
                    <w:pStyle w:val="BodyText"/>
                    <w:spacing w:line="271" w:lineRule="auto" w:before="122"/>
                    <w:ind w:left="136" w:right="137"/>
                    <w:jc w:val="both"/>
                  </w:pPr>
                  <w:r>
                    <w:rPr/>
                    <w:t>This category would extend to instances where the online intermediation platform charges users for its online intermediation services, for example through commission, listing or subscription fees. To the extent</w:t>
                  </w:r>
                  <w:r>
                    <w:rPr>
                      <w:spacing w:val="-17"/>
                    </w:rPr>
                    <w:t> </w:t>
                  </w:r>
                  <w:r>
                    <w:rPr/>
                    <w:t>the</w:t>
                  </w:r>
                  <w:r>
                    <w:rPr>
                      <w:spacing w:val="-15"/>
                    </w:rPr>
                    <w:t> </w:t>
                  </w:r>
                  <w:r>
                    <w:rPr/>
                    <w:t>intermediation</w:t>
                  </w:r>
                  <w:r>
                    <w:rPr>
                      <w:spacing w:val="-16"/>
                    </w:rPr>
                    <w:t> </w:t>
                  </w:r>
                  <w:r>
                    <w:rPr/>
                    <w:t>service</w:t>
                  </w:r>
                  <w:r>
                    <w:rPr>
                      <w:spacing w:val="-15"/>
                    </w:rPr>
                    <w:t> </w:t>
                  </w:r>
                  <w:r>
                    <w:rPr/>
                    <w:t>is</w:t>
                  </w:r>
                  <w:r>
                    <w:rPr>
                      <w:spacing w:val="-15"/>
                    </w:rPr>
                    <w:t> </w:t>
                  </w:r>
                  <w:r>
                    <w:rPr/>
                    <w:t>funded</w:t>
                  </w:r>
                  <w:r>
                    <w:rPr>
                      <w:spacing w:val="-15"/>
                    </w:rPr>
                    <w:t> </w:t>
                  </w:r>
                  <w:r>
                    <w:rPr/>
                    <w:t>via</w:t>
                  </w:r>
                  <w:r>
                    <w:rPr>
                      <w:spacing w:val="-15"/>
                    </w:rPr>
                    <w:t> </w:t>
                  </w:r>
                  <w:r>
                    <w:rPr/>
                    <w:t>online</w:t>
                  </w:r>
                  <w:r>
                    <w:rPr>
                      <w:spacing w:val="-16"/>
                    </w:rPr>
                    <w:t> </w:t>
                  </w:r>
                  <w:r>
                    <w:rPr/>
                    <w:t>advertising</w:t>
                  </w:r>
                  <w:r>
                    <w:rPr>
                      <w:spacing w:val="-15"/>
                    </w:rPr>
                    <w:t> </w:t>
                  </w:r>
                  <w:r>
                    <w:rPr/>
                    <w:t>or</w:t>
                  </w:r>
                  <w:r>
                    <w:rPr>
                      <w:spacing w:val="-15"/>
                    </w:rPr>
                    <w:t> </w:t>
                  </w:r>
                  <w:r>
                    <w:rPr/>
                    <w:t>the</w:t>
                  </w:r>
                  <w:r>
                    <w:rPr>
                      <w:spacing w:val="-17"/>
                    </w:rPr>
                    <w:t> </w:t>
                  </w:r>
                  <w:r>
                    <w:rPr/>
                    <w:t>sale</w:t>
                  </w:r>
                  <w:r>
                    <w:rPr>
                      <w:spacing w:val="-16"/>
                    </w:rPr>
                    <w:t> </w:t>
                  </w:r>
                  <w:r>
                    <w:rPr/>
                    <w:t>of</w:t>
                  </w:r>
                  <w:r>
                    <w:rPr>
                      <w:spacing w:val="-15"/>
                    </w:rPr>
                    <w:t> </w:t>
                  </w:r>
                  <w:r>
                    <w:rPr/>
                    <w:t>data,</w:t>
                  </w:r>
                  <w:r>
                    <w:rPr>
                      <w:spacing w:val="-8"/>
                    </w:rPr>
                    <w:t> </w:t>
                  </w:r>
                  <w:r>
                    <w:rPr/>
                    <w:t>such</w:t>
                  </w:r>
                  <w:r>
                    <w:rPr>
                      <w:spacing w:val="-16"/>
                    </w:rPr>
                    <w:t> </w:t>
                  </w:r>
                  <w:r>
                    <w:rPr/>
                    <w:t>revenue</w:t>
                  </w:r>
                  <w:r>
                    <w:rPr>
                      <w:spacing w:val="-12"/>
                    </w:rPr>
                    <w:t> </w:t>
                  </w:r>
                  <w:r>
                    <w:rPr/>
                    <w:t>would be treated under those respective categories (including for revenue sourcing</w:t>
                  </w:r>
                  <w:r>
                    <w:rPr>
                      <w:spacing w:val="-20"/>
                    </w:rPr>
                    <w:t> </w:t>
                  </w:r>
                  <w:r>
                    <w:rPr/>
                    <w:t>purposes).</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253.6pt;mso-position-horizontal-relative:char;mso-position-vertical-relative:line" type="#_x0000_t202" filled="true" fillcolor="#eeece1" stroked="true" strokeweight=".48004pt" strokecolor="#4e81bd">
            <w10:anchorlock/>
            <v:textbox inset="0,0,0,0">
              <w:txbxContent>
                <w:p>
                  <w:pPr>
                    <w:pStyle w:val="BodyText"/>
                    <w:spacing w:line="271" w:lineRule="auto" w:before="28"/>
                    <w:ind w:left="136" w:right="136"/>
                    <w:jc w:val="both"/>
                  </w:pPr>
                  <w:r>
                    <w:rPr/>
                    <w:t>The definition would include intermediation services, and would not include the online sale of goods and services which form part of the platform’s own inventory (which may however be captured under CFB). This result would also be achieved through the requirement in the definition that there must be more than one user (i.e. the reference to “users” in the plural), read together with the definition of a “user”</w:t>
                  </w:r>
                  <w:r>
                    <w:rPr>
                      <w:spacing w:val="-10"/>
                    </w:rPr>
                    <w:t> </w:t>
                  </w:r>
                  <w:r>
                    <w:rPr/>
                    <w:t>which</w:t>
                  </w:r>
                  <w:r>
                    <w:rPr>
                      <w:spacing w:val="-11"/>
                    </w:rPr>
                    <w:t> </w:t>
                  </w:r>
                  <w:r>
                    <w:rPr/>
                    <w:t>specifically</w:t>
                  </w:r>
                  <w:r>
                    <w:rPr>
                      <w:spacing w:val="-12"/>
                    </w:rPr>
                    <w:t> </w:t>
                  </w:r>
                  <w:r>
                    <w:rPr/>
                    <w:t>excludes</w:t>
                  </w:r>
                  <w:r>
                    <w:rPr>
                      <w:spacing w:val="-9"/>
                    </w:rPr>
                    <w:t> </w:t>
                  </w:r>
                  <w:r>
                    <w:rPr/>
                    <w:t>the</w:t>
                  </w:r>
                  <w:r>
                    <w:rPr>
                      <w:spacing w:val="-12"/>
                    </w:rPr>
                    <w:t> </w:t>
                  </w:r>
                  <w:r>
                    <w:rPr/>
                    <w:t>provider</w:t>
                  </w:r>
                  <w:r>
                    <w:rPr>
                      <w:spacing w:val="-9"/>
                    </w:rPr>
                    <w:t> </w:t>
                  </w:r>
                  <w:r>
                    <w:rPr/>
                    <w:t>of</w:t>
                  </w:r>
                  <w:r>
                    <w:rPr>
                      <w:spacing w:val="-9"/>
                    </w:rPr>
                    <w:t> </w:t>
                  </w:r>
                  <w:r>
                    <w:rPr/>
                    <w:t>the</w:t>
                  </w:r>
                  <w:r>
                    <w:rPr>
                      <w:spacing w:val="-11"/>
                    </w:rPr>
                    <w:t> </w:t>
                  </w:r>
                  <w:r>
                    <w:rPr/>
                    <w:t>service</w:t>
                  </w:r>
                  <w:r>
                    <w:rPr>
                      <w:spacing w:val="-11"/>
                    </w:rPr>
                    <w:t> </w:t>
                  </w:r>
                  <w:r>
                    <w:rPr/>
                    <w:t>or</w:t>
                  </w:r>
                  <w:r>
                    <w:rPr>
                      <w:spacing w:val="-11"/>
                    </w:rPr>
                    <w:t> </w:t>
                  </w:r>
                  <w:r>
                    <w:rPr/>
                    <w:t>any</w:t>
                  </w:r>
                  <w:r>
                    <w:rPr>
                      <w:spacing w:val="-11"/>
                    </w:rPr>
                    <w:t> </w:t>
                  </w:r>
                  <w:r>
                    <w:rPr/>
                    <w:t>entity</w:t>
                  </w:r>
                  <w:r>
                    <w:rPr>
                      <w:spacing w:val="-12"/>
                    </w:rPr>
                    <w:t> </w:t>
                  </w:r>
                  <w:r>
                    <w:rPr/>
                    <w:t>in</w:t>
                  </w:r>
                  <w:r>
                    <w:rPr>
                      <w:spacing w:val="-11"/>
                    </w:rPr>
                    <w:t> </w:t>
                  </w:r>
                  <w:r>
                    <w:rPr/>
                    <w:t>the</w:t>
                  </w:r>
                  <w:r>
                    <w:rPr>
                      <w:spacing w:val="-11"/>
                    </w:rPr>
                    <w:t> </w:t>
                  </w:r>
                  <w:r>
                    <w:rPr/>
                    <w:t>same</w:t>
                  </w:r>
                  <w:r>
                    <w:rPr>
                      <w:spacing w:val="-12"/>
                    </w:rPr>
                    <w:t> </w:t>
                  </w:r>
                  <w:r>
                    <w:rPr/>
                    <w:t>group.</w:t>
                  </w:r>
                  <w:r>
                    <w:rPr>
                      <w:spacing w:val="-11"/>
                    </w:rPr>
                    <w:t> </w:t>
                  </w:r>
                  <w:r>
                    <w:rPr/>
                    <w:t>The</w:t>
                  </w:r>
                  <w:r>
                    <w:rPr>
                      <w:spacing w:val="-11"/>
                    </w:rPr>
                    <w:t> </w:t>
                  </w:r>
                  <w:r>
                    <w:rPr/>
                    <w:t>online sale of goods and services other than ADS (e.g. the direct sale to consumers by an MNE of its own inventory on its own website) is also confirmed as out-of-scope in the negative</w:t>
                  </w:r>
                  <w:r>
                    <w:rPr>
                      <w:spacing w:val="-16"/>
                    </w:rPr>
                    <w:t> </w:t>
                  </w:r>
                  <w:r>
                    <w:rPr/>
                    <w:t>list.</w:t>
                  </w:r>
                </w:p>
                <w:p>
                  <w:pPr>
                    <w:pStyle w:val="BodyText"/>
                    <w:spacing w:line="271" w:lineRule="auto" w:before="120"/>
                    <w:ind w:left="136" w:right="134"/>
                    <w:jc w:val="both"/>
                  </w:pPr>
                  <w:r>
                    <w:rPr/>
                    <w:t>However, there may be exceptional cases where an MNE does sell its own goods or services, while essentially performing an intermediation service and remaining insulated from inventory risk. As such, further consideration is being given to address instances where an online intermediation platform such as an online marketplace operates on a resell model, without incurring the ordinary commercial risks associated with the provision of the underlying product (such as where the business only takes flash- title</w:t>
                  </w:r>
                  <w:r>
                    <w:rPr>
                      <w:spacing w:val="-7"/>
                    </w:rPr>
                    <w:t> </w:t>
                  </w:r>
                  <w:r>
                    <w:rPr/>
                    <w:t>and</w:t>
                  </w:r>
                  <w:r>
                    <w:rPr>
                      <w:spacing w:val="-6"/>
                    </w:rPr>
                    <w:t> </w:t>
                  </w:r>
                  <w:r>
                    <w:rPr/>
                    <w:t>is</w:t>
                  </w:r>
                  <w:r>
                    <w:rPr>
                      <w:spacing w:val="-5"/>
                    </w:rPr>
                    <w:t> </w:t>
                  </w:r>
                  <w:r>
                    <w:rPr/>
                    <w:t>insulated</w:t>
                  </w:r>
                  <w:r>
                    <w:rPr>
                      <w:spacing w:val="-5"/>
                    </w:rPr>
                    <w:t> </w:t>
                  </w:r>
                  <w:r>
                    <w:rPr/>
                    <w:t>from</w:t>
                  </w:r>
                  <w:r>
                    <w:rPr>
                      <w:spacing w:val="-2"/>
                    </w:rPr>
                    <w:t> </w:t>
                  </w:r>
                  <w:r>
                    <w:rPr/>
                    <w:t>inventory</w:t>
                  </w:r>
                  <w:r>
                    <w:rPr>
                      <w:spacing w:val="-10"/>
                    </w:rPr>
                    <w:t> </w:t>
                  </w:r>
                  <w:r>
                    <w:rPr/>
                    <w:t>risk,</w:t>
                  </w:r>
                  <w:r>
                    <w:rPr>
                      <w:spacing w:val="-6"/>
                    </w:rPr>
                    <w:t> </w:t>
                  </w:r>
                  <w:r>
                    <w:rPr/>
                    <w:t>is</w:t>
                  </w:r>
                  <w:r>
                    <w:rPr>
                      <w:spacing w:val="-5"/>
                    </w:rPr>
                    <w:t> </w:t>
                  </w:r>
                  <w:r>
                    <w:rPr/>
                    <w:t>fully</w:t>
                  </w:r>
                  <w:r>
                    <w:rPr>
                      <w:spacing w:val="-7"/>
                    </w:rPr>
                    <w:t> </w:t>
                  </w:r>
                  <w:r>
                    <w:rPr/>
                    <w:t>indemnified</w:t>
                  </w:r>
                  <w:r>
                    <w:rPr>
                      <w:spacing w:val="-7"/>
                    </w:rPr>
                    <w:t> </w:t>
                  </w:r>
                  <w:r>
                    <w:rPr/>
                    <w:t>against</w:t>
                  </w:r>
                  <w:r>
                    <w:rPr>
                      <w:spacing w:val="-6"/>
                    </w:rPr>
                    <w:t> </w:t>
                  </w:r>
                  <w:r>
                    <w:rPr/>
                    <w:t>product</w:t>
                  </w:r>
                  <w:r>
                    <w:rPr>
                      <w:spacing w:val="-6"/>
                    </w:rPr>
                    <w:t> </w:t>
                  </w:r>
                  <w:r>
                    <w:rPr/>
                    <w:t>liability</w:t>
                  </w:r>
                  <w:r>
                    <w:rPr>
                      <w:spacing w:val="-7"/>
                    </w:rPr>
                    <w:t> </w:t>
                  </w:r>
                  <w:r>
                    <w:rPr/>
                    <w:t>risk</w:t>
                  </w:r>
                  <w:r>
                    <w:rPr>
                      <w:spacing w:val="-3"/>
                    </w:rPr>
                    <w:t> </w:t>
                  </w:r>
                  <w:r>
                    <w:rPr/>
                    <w:t>and</w:t>
                  </w:r>
                  <w:r>
                    <w:rPr>
                      <w:spacing w:val="-7"/>
                    </w:rPr>
                    <w:t> </w:t>
                  </w:r>
                  <w:r>
                    <w:rPr/>
                    <w:t>credit</w:t>
                  </w:r>
                  <w:r>
                    <w:rPr>
                      <w:spacing w:val="-6"/>
                    </w:rPr>
                    <w:t> </w:t>
                  </w:r>
                  <w:r>
                    <w:rPr>
                      <w:spacing w:val="2"/>
                    </w:rPr>
                    <w:t>risk). </w:t>
                  </w:r>
                  <w:r>
                    <w:rPr/>
                    <w:t>For example, after a user secures a reservation for a car rental service through an online platform, the platform</w:t>
                  </w:r>
                  <w:r>
                    <w:rPr>
                      <w:spacing w:val="-12"/>
                    </w:rPr>
                    <w:t> </w:t>
                  </w:r>
                  <w:r>
                    <w:rPr/>
                    <w:t>service</w:t>
                  </w:r>
                  <w:r>
                    <w:rPr>
                      <w:spacing w:val="-15"/>
                    </w:rPr>
                    <w:t> </w:t>
                  </w:r>
                  <w:r>
                    <w:rPr/>
                    <w:t>provider</w:t>
                  </w:r>
                  <w:r>
                    <w:rPr>
                      <w:spacing w:val="-14"/>
                    </w:rPr>
                    <w:t> </w:t>
                  </w:r>
                  <w:r>
                    <w:rPr/>
                    <w:t>may</w:t>
                  </w:r>
                  <w:r>
                    <w:rPr>
                      <w:spacing w:val="-17"/>
                    </w:rPr>
                    <w:t> </w:t>
                  </w:r>
                  <w:r>
                    <w:rPr/>
                    <w:t>purchase</w:t>
                  </w:r>
                  <w:r>
                    <w:rPr>
                      <w:spacing w:val="-14"/>
                    </w:rPr>
                    <w:t> </w:t>
                  </w:r>
                  <w:r>
                    <w:rPr/>
                    <w:t>the</w:t>
                  </w:r>
                  <w:r>
                    <w:rPr>
                      <w:spacing w:val="-16"/>
                    </w:rPr>
                    <w:t> </w:t>
                  </w:r>
                  <w:r>
                    <w:rPr/>
                    <w:t>car</w:t>
                  </w:r>
                  <w:r>
                    <w:rPr>
                      <w:spacing w:val="-16"/>
                    </w:rPr>
                    <w:t> </w:t>
                  </w:r>
                  <w:r>
                    <w:rPr/>
                    <w:t>rental</w:t>
                  </w:r>
                  <w:r>
                    <w:rPr>
                      <w:spacing w:val="-17"/>
                    </w:rPr>
                    <w:t> </w:t>
                  </w:r>
                  <w:r>
                    <w:rPr/>
                    <w:t>service</w:t>
                  </w:r>
                  <w:r>
                    <w:rPr>
                      <w:spacing w:val="-14"/>
                    </w:rPr>
                    <w:t> </w:t>
                  </w:r>
                  <w:r>
                    <w:rPr/>
                    <w:t>itself,</w:t>
                  </w:r>
                  <w:r>
                    <w:rPr>
                      <w:spacing w:val="-16"/>
                    </w:rPr>
                    <w:t> </w:t>
                  </w:r>
                  <w:r>
                    <w:rPr/>
                    <w:t>after</w:t>
                  </w:r>
                  <w:r>
                    <w:rPr>
                      <w:spacing w:val="-15"/>
                    </w:rPr>
                    <w:t> </w:t>
                  </w:r>
                  <w:r>
                    <w:rPr/>
                    <w:t>receiving</w:t>
                  </w:r>
                  <w:r>
                    <w:rPr>
                      <w:spacing w:val="-17"/>
                    </w:rPr>
                    <w:t> </w:t>
                  </w:r>
                  <w:r>
                    <w:rPr/>
                    <w:t>the</w:t>
                  </w:r>
                  <w:r>
                    <w:rPr>
                      <w:spacing w:val="-17"/>
                    </w:rPr>
                    <w:t> </w:t>
                  </w:r>
                  <w:r>
                    <w:rPr/>
                    <w:t>customer’s</w:t>
                  </w:r>
                  <w:r>
                    <w:rPr>
                      <w:spacing w:val="-15"/>
                    </w:rPr>
                    <w:t> </w:t>
                  </w:r>
                  <w:r>
                    <w:rPr/>
                    <w:t>order, before immediately reselling it to the customer. However, the platform service provider is not incurring any of the ordinary commercial risks associated with the provision of the underlying car rental service (e.g. inventory risk) and its service arguably remains, in essence, one of</w:t>
                  </w:r>
                  <w:r>
                    <w:rPr>
                      <w:spacing w:val="-26"/>
                    </w:rPr>
                    <w:t> </w:t>
                  </w:r>
                  <w:r>
                    <w:rPr/>
                    <w:t>intermediation.</w:t>
                  </w:r>
                </w:p>
              </w:txbxContent>
            </v:textbox>
            <v:fill type="solid"/>
            <v:stroke dashstyle="solid"/>
          </v:shape>
        </w:pict>
      </w:r>
      <w:r>
        <w:rPr/>
      </w:r>
    </w:p>
    <w:p>
      <w:pPr>
        <w:pStyle w:val="BodyText"/>
      </w:pPr>
    </w:p>
    <w:p>
      <w:pPr>
        <w:pStyle w:val="BodyText"/>
        <w:spacing w:before="8"/>
        <w:rPr>
          <w:sz w:val="17"/>
        </w:rPr>
      </w:pPr>
      <w:r>
        <w:rPr/>
        <w:pict>
          <v:shape style="position:absolute;margin-left:64.944pt;margin-top:12.381036pt;width:465.6pt;height:106.6pt;mso-position-horizontal-relative:page;mso-position-vertical-relative:paragraph;z-index:-15706624;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2.13. Digital content services – Definition</w:t>
                  </w:r>
                </w:p>
                <w:p>
                  <w:pPr>
                    <w:pStyle w:val="BodyText"/>
                    <w:spacing w:line="271" w:lineRule="auto" w:before="213"/>
                    <w:ind w:left="136" w:right="134"/>
                    <w:jc w:val="both"/>
                  </w:pPr>
                  <w:r>
                    <w:rPr/>
                    <w:t>This means the automated provision of content through digital means, whether by way of online streaming, accessing or downloading digital content (e.g. music, books, videos, texts, games, applications, computer programmes, software, online newspapers, online libraries and online databases), whether for access one time, for a limited period or in perpetuity.</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0974pt;width:465.6pt;height:229.6pt;mso-position-horizontal-relative:page;mso-position-vertical-relative:paragraph;z-index:-15706112;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2.14. Digital content services – Commentary</w:t>
                  </w:r>
                </w:p>
                <w:p>
                  <w:pPr>
                    <w:pStyle w:val="BodyText"/>
                    <w:spacing w:line="271" w:lineRule="auto" w:before="211"/>
                    <w:ind w:left="136" w:right="139"/>
                    <w:jc w:val="both"/>
                  </w:pPr>
                  <w:r>
                    <w:rPr/>
                    <w:t>This category is drafted to capture the different forms which digital content can take when acquired by a</w:t>
                  </w:r>
                  <w:r>
                    <w:rPr>
                      <w:spacing w:val="-14"/>
                    </w:rPr>
                    <w:t> </w:t>
                  </w:r>
                  <w:r>
                    <w:rPr/>
                    <w:t>user.</w:t>
                  </w:r>
                  <w:r>
                    <w:rPr>
                      <w:spacing w:val="-11"/>
                    </w:rPr>
                    <w:t> </w:t>
                  </w:r>
                  <w:r>
                    <w:rPr/>
                    <w:t>This</w:t>
                  </w:r>
                  <w:r>
                    <w:rPr>
                      <w:spacing w:val="-12"/>
                    </w:rPr>
                    <w:t> </w:t>
                  </w:r>
                  <w:r>
                    <w:rPr/>
                    <w:t>category</w:t>
                  </w:r>
                  <w:r>
                    <w:rPr>
                      <w:spacing w:val="-15"/>
                    </w:rPr>
                    <w:t> </w:t>
                  </w:r>
                  <w:r>
                    <w:rPr/>
                    <w:t>includes,</w:t>
                  </w:r>
                  <w:r>
                    <w:rPr>
                      <w:spacing w:val="-14"/>
                    </w:rPr>
                    <w:t> </w:t>
                  </w:r>
                  <w:r>
                    <w:rPr/>
                    <w:t>for</w:t>
                  </w:r>
                  <w:r>
                    <w:rPr>
                      <w:spacing w:val="-13"/>
                    </w:rPr>
                    <w:t> </w:t>
                  </w:r>
                  <w:r>
                    <w:rPr/>
                    <w:t>example,</w:t>
                  </w:r>
                  <w:r>
                    <w:rPr>
                      <w:spacing w:val="-14"/>
                    </w:rPr>
                    <w:t> </w:t>
                  </w:r>
                  <w:r>
                    <w:rPr/>
                    <w:t>music,</w:t>
                  </w:r>
                  <w:r>
                    <w:rPr>
                      <w:spacing w:val="-14"/>
                    </w:rPr>
                    <w:t> </w:t>
                  </w:r>
                  <w:r>
                    <w:rPr/>
                    <w:t>books,</w:t>
                  </w:r>
                  <w:r>
                    <w:rPr>
                      <w:spacing w:val="-13"/>
                    </w:rPr>
                    <w:t> </w:t>
                  </w:r>
                  <w:r>
                    <w:rPr/>
                    <w:t>videos,</w:t>
                  </w:r>
                  <w:r>
                    <w:rPr>
                      <w:spacing w:val="-11"/>
                    </w:rPr>
                    <w:t> </w:t>
                  </w:r>
                  <w:r>
                    <w:rPr/>
                    <w:t>texts,</w:t>
                  </w:r>
                  <w:r>
                    <w:rPr>
                      <w:spacing w:val="-11"/>
                    </w:rPr>
                    <w:t> </w:t>
                  </w:r>
                  <w:r>
                    <w:rPr/>
                    <w:t>games,</w:t>
                  </w:r>
                  <w:r>
                    <w:rPr>
                      <w:spacing w:val="-14"/>
                    </w:rPr>
                    <w:t> </w:t>
                  </w:r>
                  <w:r>
                    <w:rPr/>
                    <w:t>applications,</w:t>
                  </w:r>
                  <w:r>
                    <w:rPr>
                      <w:spacing w:val="-14"/>
                    </w:rPr>
                    <w:t> </w:t>
                  </w:r>
                  <w:r>
                    <w:rPr/>
                    <w:t>computer programmes,</w:t>
                  </w:r>
                  <w:r>
                    <w:rPr>
                      <w:spacing w:val="-16"/>
                    </w:rPr>
                    <w:t> </w:t>
                  </w:r>
                  <w:r>
                    <w:rPr/>
                    <w:t>software,</w:t>
                  </w:r>
                  <w:r>
                    <w:rPr>
                      <w:spacing w:val="-12"/>
                    </w:rPr>
                    <w:t> </w:t>
                  </w:r>
                  <w:r>
                    <w:rPr/>
                    <w:t>online</w:t>
                  </w:r>
                  <w:r>
                    <w:rPr>
                      <w:spacing w:val="-15"/>
                    </w:rPr>
                    <w:t> </w:t>
                  </w:r>
                  <w:r>
                    <w:rPr/>
                    <w:t>newspapers,</w:t>
                  </w:r>
                  <w:r>
                    <w:rPr>
                      <w:spacing w:val="-15"/>
                    </w:rPr>
                    <w:t> </w:t>
                  </w:r>
                  <w:r>
                    <w:rPr/>
                    <w:t>online</w:t>
                  </w:r>
                  <w:r>
                    <w:rPr>
                      <w:spacing w:val="-13"/>
                    </w:rPr>
                    <w:t> </w:t>
                  </w:r>
                  <w:r>
                    <w:rPr/>
                    <w:t>libraries</w:t>
                  </w:r>
                  <w:r>
                    <w:rPr>
                      <w:spacing w:val="-14"/>
                    </w:rPr>
                    <w:t> </w:t>
                  </w:r>
                  <w:r>
                    <w:rPr/>
                    <w:t>and</w:t>
                  </w:r>
                  <w:r>
                    <w:rPr>
                      <w:spacing w:val="-15"/>
                    </w:rPr>
                    <w:t> </w:t>
                  </w:r>
                  <w:r>
                    <w:rPr/>
                    <w:t>online</w:t>
                  </w:r>
                  <w:r>
                    <w:rPr>
                      <w:spacing w:val="-14"/>
                    </w:rPr>
                    <w:t> </w:t>
                  </w:r>
                  <w:r>
                    <w:rPr/>
                    <w:t>databases</w:t>
                  </w:r>
                  <w:r>
                    <w:rPr>
                      <w:spacing w:val="-14"/>
                    </w:rPr>
                    <w:t> </w:t>
                  </w:r>
                  <w:r>
                    <w:rPr/>
                    <w:t>(such</w:t>
                  </w:r>
                  <w:r>
                    <w:rPr>
                      <w:spacing w:val="-15"/>
                    </w:rPr>
                    <w:t> </w:t>
                  </w:r>
                  <w:r>
                    <w:rPr/>
                    <w:t>as</w:t>
                  </w:r>
                  <w:r>
                    <w:rPr>
                      <w:spacing w:val="-14"/>
                    </w:rPr>
                    <w:t> </w:t>
                  </w:r>
                  <w:r>
                    <w:rPr/>
                    <w:t>subscription- based statistical or academic online</w:t>
                  </w:r>
                  <w:r>
                    <w:rPr>
                      <w:spacing w:val="-5"/>
                    </w:rPr>
                    <w:t> </w:t>
                  </w:r>
                  <w:r>
                    <w:rPr/>
                    <w:t>databases).</w:t>
                  </w:r>
                </w:p>
                <w:p>
                  <w:pPr>
                    <w:pStyle w:val="BodyText"/>
                    <w:spacing w:line="271" w:lineRule="auto" w:before="122"/>
                    <w:ind w:left="136" w:right="147"/>
                    <w:jc w:val="both"/>
                  </w:pPr>
                  <w:r>
                    <w:rPr/>
                    <w:t>It does not include simply making a digital interface available to users. The purpose from a user’s perspective in a digital service transaction is the acquisition of the digital content, whether for access one time, for a limited period or in perpetuity.</w:t>
                  </w:r>
                </w:p>
                <w:p>
                  <w:pPr>
                    <w:pStyle w:val="BodyText"/>
                    <w:spacing w:line="271" w:lineRule="auto" w:before="121"/>
                    <w:ind w:left="136" w:right="140"/>
                    <w:jc w:val="both"/>
                  </w:pPr>
                  <w:r>
                    <w:rPr/>
                    <w:t>It includes streaming, accessing or downloading digital content. By way of background, the streaming and</w:t>
                  </w:r>
                  <w:r>
                    <w:rPr>
                      <w:spacing w:val="-14"/>
                    </w:rPr>
                    <w:t> </w:t>
                  </w:r>
                  <w:r>
                    <w:rPr/>
                    <w:t>downloading</w:t>
                  </w:r>
                  <w:r>
                    <w:rPr>
                      <w:spacing w:val="-16"/>
                    </w:rPr>
                    <w:t> </w:t>
                  </w:r>
                  <w:r>
                    <w:rPr/>
                    <w:t>consists</w:t>
                  </w:r>
                  <w:r>
                    <w:rPr>
                      <w:spacing w:val="-14"/>
                    </w:rPr>
                    <w:t> </w:t>
                  </w:r>
                  <w:r>
                    <w:rPr/>
                    <w:t>of</w:t>
                  </w:r>
                  <w:r>
                    <w:rPr>
                      <w:spacing w:val="-14"/>
                    </w:rPr>
                    <w:t> </w:t>
                  </w:r>
                  <w:r>
                    <w:rPr/>
                    <w:t>the</w:t>
                  </w:r>
                  <w:r>
                    <w:rPr>
                      <w:spacing w:val="-17"/>
                    </w:rPr>
                    <w:t> </w:t>
                  </w:r>
                  <w:r>
                    <w:rPr/>
                    <w:t>same</w:t>
                  </w:r>
                  <w:r>
                    <w:rPr>
                      <w:spacing w:val="-15"/>
                    </w:rPr>
                    <w:t> </w:t>
                  </w:r>
                  <w:r>
                    <w:rPr/>
                    <w:t>process</w:t>
                  </w:r>
                  <w:r>
                    <w:rPr>
                      <w:spacing w:val="-15"/>
                    </w:rPr>
                    <w:t> </w:t>
                  </w:r>
                  <w:r>
                    <w:rPr/>
                    <w:t>of</w:t>
                  </w:r>
                  <w:r>
                    <w:rPr>
                      <w:spacing w:val="-14"/>
                    </w:rPr>
                    <w:t> </w:t>
                  </w:r>
                  <w:r>
                    <w:rPr/>
                    <w:t>transmitting</w:t>
                  </w:r>
                  <w:r>
                    <w:rPr>
                      <w:spacing w:val="-16"/>
                    </w:rPr>
                    <w:t> </w:t>
                  </w:r>
                  <w:r>
                    <w:rPr/>
                    <w:t>data,</w:t>
                  </w:r>
                  <w:r>
                    <w:rPr>
                      <w:spacing w:val="-14"/>
                    </w:rPr>
                    <w:t> </w:t>
                  </w:r>
                  <w:r>
                    <w:rPr/>
                    <w:t>either</w:t>
                  </w:r>
                  <w:r>
                    <w:rPr>
                      <w:spacing w:val="-13"/>
                    </w:rPr>
                    <w:t> </w:t>
                  </w:r>
                  <w:r>
                    <w:rPr/>
                    <w:t>as</w:t>
                  </w:r>
                  <w:r>
                    <w:rPr>
                      <w:spacing w:val="-13"/>
                    </w:rPr>
                    <w:t> </w:t>
                  </w:r>
                  <w:r>
                    <w:rPr/>
                    <w:t>a</w:t>
                  </w:r>
                  <w:r>
                    <w:rPr>
                      <w:spacing w:val="-15"/>
                    </w:rPr>
                    <w:t> </w:t>
                  </w:r>
                  <w:r>
                    <w:rPr/>
                    <w:t>continuous</w:t>
                  </w:r>
                  <w:r>
                    <w:rPr>
                      <w:spacing w:val="-15"/>
                    </w:rPr>
                    <w:t> </w:t>
                  </w:r>
                  <w:r>
                    <w:rPr/>
                    <w:t>flow</w:t>
                  </w:r>
                  <w:r>
                    <w:rPr>
                      <w:spacing w:val="-15"/>
                    </w:rPr>
                    <w:t> </w:t>
                  </w:r>
                  <w:r>
                    <w:rPr/>
                    <w:t>(in</w:t>
                  </w:r>
                  <w:r>
                    <w:rPr>
                      <w:spacing w:val="-14"/>
                    </w:rPr>
                    <w:t> </w:t>
                  </w:r>
                  <w:r>
                    <w:rPr/>
                    <w:t>effect like a temporary download) or as a file saved to the user’s device available for later use. A number of streaming services allow both temporary streaming and downloading, but from the perspective of the ADS</w:t>
                  </w:r>
                  <w:r>
                    <w:rPr>
                      <w:spacing w:val="-5"/>
                    </w:rPr>
                    <w:t> </w:t>
                  </w:r>
                  <w:r>
                    <w:rPr/>
                    <w:t>provider,</w:t>
                  </w:r>
                  <w:r>
                    <w:rPr>
                      <w:spacing w:val="-3"/>
                    </w:rPr>
                    <w:t> </w:t>
                  </w:r>
                  <w:r>
                    <w:rPr/>
                    <w:t>the</w:t>
                  </w:r>
                  <w:r>
                    <w:rPr>
                      <w:spacing w:val="-6"/>
                    </w:rPr>
                    <w:t> </w:t>
                  </w:r>
                  <w:r>
                    <w:rPr/>
                    <w:t>process</w:t>
                  </w:r>
                  <w:r>
                    <w:rPr>
                      <w:spacing w:val="-5"/>
                    </w:rPr>
                    <w:t> </w:t>
                  </w:r>
                  <w:r>
                    <w:rPr/>
                    <w:t>is</w:t>
                  </w:r>
                  <w:r>
                    <w:rPr>
                      <w:spacing w:val="-4"/>
                    </w:rPr>
                    <w:t> </w:t>
                  </w:r>
                  <w:r>
                    <w:rPr/>
                    <w:t>essentially</w:t>
                  </w:r>
                  <w:r>
                    <w:rPr>
                      <w:spacing w:val="-6"/>
                    </w:rPr>
                    <w:t> </w:t>
                  </w:r>
                  <w:r>
                    <w:rPr/>
                    <w:t>the</w:t>
                  </w:r>
                  <w:r>
                    <w:rPr>
                      <w:spacing w:val="-6"/>
                    </w:rPr>
                    <w:t> </w:t>
                  </w:r>
                  <w:r>
                    <w:rPr/>
                    <w:t>same.</w:t>
                  </w:r>
                  <w:r>
                    <w:rPr>
                      <w:spacing w:val="-6"/>
                    </w:rPr>
                    <w:t> </w:t>
                  </w:r>
                  <w:r>
                    <w:rPr/>
                    <w:t>Therefore,</w:t>
                  </w:r>
                  <w:r>
                    <w:rPr>
                      <w:spacing w:val="-6"/>
                    </w:rPr>
                    <w:t> </w:t>
                  </w:r>
                  <w:r>
                    <w:rPr/>
                    <w:t>for</w:t>
                  </w:r>
                  <w:r>
                    <w:rPr>
                      <w:spacing w:val="2"/>
                    </w:rPr>
                    <w:t> </w:t>
                  </w:r>
                  <w:r>
                    <w:rPr/>
                    <w:t>the</w:t>
                  </w:r>
                  <w:r>
                    <w:rPr>
                      <w:spacing w:val="-5"/>
                    </w:rPr>
                    <w:t> </w:t>
                  </w:r>
                  <w:r>
                    <w:rPr/>
                    <w:t>purposes</w:t>
                  </w:r>
                  <w:r>
                    <w:rPr>
                      <w:spacing w:val="-5"/>
                    </w:rPr>
                    <w:t> </w:t>
                  </w:r>
                  <w:r>
                    <w:rPr/>
                    <w:t>of</w:t>
                  </w:r>
                  <w:r>
                    <w:rPr>
                      <w:spacing w:val="-4"/>
                    </w:rPr>
                    <w:t> </w:t>
                  </w:r>
                  <w:r>
                    <w:rPr/>
                    <w:t>the</w:t>
                  </w:r>
                  <w:r>
                    <w:rPr>
                      <w:spacing w:val="-6"/>
                    </w:rPr>
                    <w:t> </w:t>
                  </w:r>
                  <w:r>
                    <w:rPr/>
                    <w:t>scope</w:t>
                  </w:r>
                  <w:r>
                    <w:rPr>
                      <w:spacing w:val="-6"/>
                    </w:rPr>
                    <w:t> </w:t>
                  </w:r>
                  <w:r>
                    <w:rPr/>
                    <w:t>of</w:t>
                  </w:r>
                  <w:r>
                    <w:rPr>
                      <w:spacing w:val="-2"/>
                    </w:rPr>
                    <w:t> </w:t>
                  </w:r>
                  <w:r>
                    <w:rPr/>
                    <w:t>Amount A,</w:t>
                  </w:r>
                  <w:r>
                    <w:rPr>
                      <w:spacing w:val="-6"/>
                    </w:rPr>
                    <w:t> </w:t>
                  </w:r>
                  <w:r>
                    <w:rPr/>
                    <w:t>digital</w:t>
                  </w:r>
                  <w:r>
                    <w:rPr>
                      <w:spacing w:val="-6"/>
                    </w:rPr>
                    <w:t> </w:t>
                  </w:r>
                  <w:r>
                    <w:rPr/>
                    <w:t>content</w:t>
                  </w:r>
                  <w:r>
                    <w:rPr>
                      <w:spacing w:val="-6"/>
                    </w:rPr>
                    <w:t> </w:t>
                  </w:r>
                  <w:r>
                    <w:rPr/>
                    <w:t>streaming</w:t>
                  </w:r>
                  <w:r>
                    <w:rPr>
                      <w:spacing w:val="-4"/>
                    </w:rPr>
                    <w:t> </w:t>
                  </w:r>
                  <w:r>
                    <w:rPr/>
                    <w:t>should</w:t>
                  </w:r>
                  <w:r>
                    <w:rPr>
                      <w:spacing w:val="-5"/>
                    </w:rPr>
                    <w:t> </w:t>
                  </w:r>
                  <w:r>
                    <w:rPr/>
                    <w:t>include</w:t>
                  </w:r>
                  <w:r>
                    <w:rPr>
                      <w:spacing w:val="-5"/>
                    </w:rPr>
                    <w:t> </w:t>
                  </w:r>
                  <w:r>
                    <w:rPr/>
                    <w:t>accessing</w:t>
                  </w:r>
                  <w:r>
                    <w:rPr>
                      <w:spacing w:val="-4"/>
                    </w:rPr>
                    <w:t> </w:t>
                  </w:r>
                  <w:r>
                    <w:rPr/>
                    <w:t>and</w:t>
                  </w:r>
                  <w:r>
                    <w:rPr>
                      <w:spacing w:val="-7"/>
                    </w:rPr>
                    <w:t> </w:t>
                  </w:r>
                  <w:r>
                    <w:rPr/>
                    <w:t>downloading,</w:t>
                  </w:r>
                  <w:r>
                    <w:rPr>
                      <w:spacing w:val="-6"/>
                    </w:rPr>
                    <w:t> </w:t>
                  </w:r>
                  <w:r>
                    <w:rPr/>
                    <w:t>under</w:t>
                  </w:r>
                  <w:r>
                    <w:rPr>
                      <w:spacing w:val="-5"/>
                    </w:rPr>
                    <w:t> </w:t>
                  </w:r>
                  <w:r>
                    <w:rPr/>
                    <w:t>the</w:t>
                  </w:r>
                  <w:r>
                    <w:rPr>
                      <w:spacing w:val="-4"/>
                    </w:rPr>
                    <w:t> </w:t>
                  </w:r>
                  <w:r>
                    <w:rPr/>
                    <w:t>inclusive</w:t>
                  </w:r>
                  <w:r>
                    <w:rPr>
                      <w:spacing w:val="-6"/>
                    </w:rPr>
                    <w:t> </w:t>
                  </w:r>
                  <w:r>
                    <w:rPr/>
                    <w:t>heading</w:t>
                  </w:r>
                  <w:r>
                    <w:rPr>
                      <w:spacing w:val="-4"/>
                    </w:rPr>
                    <w:t> </w:t>
                  </w:r>
                  <w:r>
                    <w:rPr/>
                    <w:t>of</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spacing w:before="3"/>
        <w:rPr>
          <w:sz w:val="21"/>
        </w:rPr>
      </w:pPr>
    </w:p>
    <w:p>
      <w:pPr>
        <w:pStyle w:val="BodyText"/>
        <w:spacing w:line="271" w:lineRule="auto" w:before="93"/>
        <w:ind w:left="860" w:right="624"/>
        <w:jc w:val="both"/>
      </w:pPr>
      <w:r>
        <w:rPr/>
        <w:pict>
          <v:group style="position:absolute;margin-left:64.704002pt;margin-top:2.749895pt;width:466.05pt;height:422.1pt;mso-position-horizontal-relative:page;mso-position-vertical-relative:paragraph;z-index:-19567616" coordorigin="1294,55" coordsize="9321,8442">
            <v:rect style="position:absolute;left:1303;top:64;width:9302;height:8423" filled="true" fillcolor="#eeece1" stroked="false">
              <v:fill type="solid"/>
            </v:rect>
            <v:shape style="position:absolute;left:1294;top:55;width:9321;height:8442" coordorigin="1294,55" coordsize="9321,8442" path="m10605,55l1304,55,1304,55,1294,55,1294,65,1294,8487,1294,8497,1304,8497,1304,8497,10605,8497,10605,8487,1304,8487,1304,65,10605,65,10605,55xm10615,55l10605,55,10605,65,10605,8487,10605,8497,10615,8497,10615,8487,10615,65,10615,55xe" filled="true" fillcolor="#4e81bd" stroked="false">
              <v:path arrowok="t"/>
              <v:fill type="solid"/>
            </v:shape>
            <w10:wrap type="none"/>
          </v:group>
        </w:pict>
      </w:r>
      <w:r>
        <w:rPr/>
        <w:t>“digital content services.” Otherwise, distorted and administratively burdensome results would follow if streaming series were only included in scope to the extent that users were temporarily “streaming” rather than downloading the material.</w:t>
      </w:r>
    </w:p>
    <w:p>
      <w:pPr>
        <w:pStyle w:val="BodyText"/>
        <w:spacing w:line="271" w:lineRule="auto" w:before="120"/>
        <w:ind w:left="860" w:right="617"/>
        <w:jc w:val="both"/>
      </w:pPr>
      <w:r>
        <w:rPr/>
        <w:t>The</w:t>
      </w:r>
      <w:r>
        <w:rPr>
          <w:spacing w:val="-17"/>
        </w:rPr>
        <w:t> </w:t>
      </w:r>
      <w:r>
        <w:rPr/>
        <w:t>sale</w:t>
      </w:r>
      <w:r>
        <w:rPr>
          <w:spacing w:val="-14"/>
        </w:rPr>
        <w:t> </w:t>
      </w:r>
      <w:r>
        <w:rPr/>
        <w:t>of</w:t>
      </w:r>
      <w:r>
        <w:rPr>
          <w:spacing w:val="-14"/>
        </w:rPr>
        <w:t> </w:t>
      </w:r>
      <w:r>
        <w:rPr/>
        <w:t>software</w:t>
      </w:r>
      <w:r>
        <w:rPr>
          <w:spacing w:val="-12"/>
        </w:rPr>
        <w:t> </w:t>
      </w:r>
      <w:r>
        <w:rPr/>
        <w:t>was</w:t>
      </w:r>
      <w:r>
        <w:rPr>
          <w:spacing w:val="-13"/>
        </w:rPr>
        <w:t> </w:t>
      </w:r>
      <w:r>
        <w:rPr/>
        <w:t>enumerated</w:t>
      </w:r>
      <w:r>
        <w:rPr>
          <w:spacing w:val="-17"/>
        </w:rPr>
        <w:t> </w:t>
      </w:r>
      <w:r>
        <w:rPr/>
        <w:t>as</w:t>
      </w:r>
      <w:r>
        <w:rPr>
          <w:spacing w:val="-15"/>
        </w:rPr>
        <w:t> </w:t>
      </w:r>
      <w:r>
        <w:rPr/>
        <w:t>a</w:t>
      </w:r>
      <w:r>
        <w:rPr>
          <w:spacing w:val="-11"/>
        </w:rPr>
        <w:t> </w:t>
      </w:r>
      <w:r>
        <w:rPr/>
        <w:t>CFB</w:t>
      </w:r>
      <w:r>
        <w:rPr>
          <w:spacing w:val="-14"/>
        </w:rPr>
        <w:t> </w:t>
      </w:r>
      <w:r>
        <w:rPr/>
        <w:t>in</w:t>
      </w:r>
      <w:r>
        <w:rPr>
          <w:spacing w:val="-14"/>
        </w:rPr>
        <w:t> </w:t>
      </w:r>
      <w:r>
        <w:rPr/>
        <w:t>the</w:t>
      </w:r>
      <w:r>
        <w:rPr>
          <w:spacing w:val="-14"/>
        </w:rPr>
        <w:t> </w:t>
      </w:r>
      <w:r>
        <w:rPr/>
        <w:t>Outline.</w:t>
      </w:r>
      <w:r>
        <w:rPr>
          <w:spacing w:val="-14"/>
        </w:rPr>
        <w:t> </w:t>
      </w:r>
      <w:r>
        <w:rPr/>
        <w:t>However,</w:t>
      </w:r>
      <w:r>
        <w:rPr>
          <w:spacing w:val="-13"/>
        </w:rPr>
        <w:t> </w:t>
      </w:r>
      <w:r>
        <w:rPr/>
        <w:t>the</w:t>
      </w:r>
      <w:r>
        <w:rPr>
          <w:spacing w:val="-14"/>
        </w:rPr>
        <w:t> </w:t>
      </w:r>
      <w:r>
        <w:rPr/>
        <w:t>sale</w:t>
      </w:r>
      <w:r>
        <w:rPr>
          <w:spacing w:val="-16"/>
        </w:rPr>
        <w:t> </w:t>
      </w:r>
      <w:r>
        <w:rPr/>
        <w:t>of</w:t>
      </w:r>
      <w:r>
        <w:rPr>
          <w:spacing w:val="-12"/>
        </w:rPr>
        <w:t> </w:t>
      </w:r>
      <w:r>
        <w:rPr/>
        <w:t>software</w:t>
      </w:r>
      <w:r>
        <w:rPr>
          <w:spacing w:val="-10"/>
        </w:rPr>
        <w:t> </w:t>
      </w:r>
      <w:r>
        <w:rPr/>
        <w:t>also</w:t>
      </w:r>
      <w:r>
        <w:rPr>
          <w:spacing w:val="-14"/>
        </w:rPr>
        <w:t> </w:t>
      </w:r>
      <w:r>
        <w:rPr/>
        <w:t>meets the</w:t>
      </w:r>
      <w:r>
        <w:rPr>
          <w:spacing w:val="-18"/>
        </w:rPr>
        <w:t> </w:t>
      </w:r>
      <w:r>
        <w:rPr/>
        <w:t>general</w:t>
      </w:r>
      <w:r>
        <w:rPr>
          <w:spacing w:val="-15"/>
        </w:rPr>
        <w:t> </w:t>
      </w:r>
      <w:r>
        <w:rPr/>
        <w:t>definition</w:t>
      </w:r>
      <w:r>
        <w:rPr>
          <w:spacing w:val="-16"/>
        </w:rPr>
        <w:t> </w:t>
      </w:r>
      <w:r>
        <w:rPr/>
        <w:t>of</w:t>
      </w:r>
      <w:r>
        <w:rPr>
          <w:spacing w:val="-14"/>
        </w:rPr>
        <w:t> </w:t>
      </w:r>
      <w:r>
        <w:rPr/>
        <w:t>ADS</w:t>
      </w:r>
      <w:r>
        <w:rPr>
          <w:spacing w:val="-14"/>
        </w:rPr>
        <w:t> </w:t>
      </w:r>
      <w:r>
        <w:rPr/>
        <w:t>where</w:t>
      </w:r>
      <w:r>
        <w:rPr>
          <w:spacing w:val="-17"/>
        </w:rPr>
        <w:t> </w:t>
      </w:r>
      <w:r>
        <w:rPr/>
        <w:t>the</w:t>
      </w:r>
      <w:r>
        <w:rPr>
          <w:spacing w:val="-16"/>
        </w:rPr>
        <w:t> </w:t>
      </w:r>
      <w:r>
        <w:rPr/>
        <w:t>provision</w:t>
      </w:r>
      <w:r>
        <w:rPr>
          <w:spacing w:val="-14"/>
        </w:rPr>
        <w:t> </w:t>
      </w:r>
      <w:r>
        <w:rPr/>
        <w:t>of</w:t>
      </w:r>
      <w:r>
        <w:rPr>
          <w:spacing w:val="-14"/>
        </w:rPr>
        <w:t> </w:t>
      </w:r>
      <w:r>
        <w:rPr/>
        <w:t>that</w:t>
      </w:r>
      <w:r>
        <w:rPr>
          <w:spacing w:val="-16"/>
        </w:rPr>
        <w:t> </w:t>
      </w:r>
      <w:r>
        <w:rPr/>
        <w:t>software</w:t>
      </w:r>
      <w:r>
        <w:rPr>
          <w:spacing w:val="-14"/>
        </w:rPr>
        <w:t> </w:t>
      </w:r>
      <w:r>
        <w:rPr/>
        <w:t>is</w:t>
      </w:r>
      <w:r>
        <w:rPr>
          <w:spacing w:val="-15"/>
        </w:rPr>
        <w:t> </w:t>
      </w:r>
      <w:r>
        <w:rPr/>
        <w:t>automated</w:t>
      </w:r>
      <w:r>
        <w:rPr>
          <w:spacing w:val="-16"/>
        </w:rPr>
        <w:t> </w:t>
      </w:r>
      <w:r>
        <w:rPr/>
        <w:t>requiring</w:t>
      </w:r>
      <w:r>
        <w:rPr>
          <w:spacing w:val="-16"/>
        </w:rPr>
        <w:t> </w:t>
      </w:r>
      <w:r>
        <w:rPr/>
        <w:t>minimal</w:t>
      </w:r>
      <w:r>
        <w:rPr>
          <w:spacing w:val="-17"/>
        </w:rPr>
        <w:t> </w:t>
      </w:r>
      <w:r>
        <w:rPr/>
        <w:t>human involvement to make it available to users and the software is delivered over the Internet. As such, software that is accessed or downloaded over the Internet would therefore qualify as ADS under the “digital content services” category (or it may also qualify as ADS under the “cloud computing” category (“Software-as-a-service”).</w:t>
      </w:r>
    </w:p>
    <w:p>
      <w:pPr>
        <w:pStyle w:val="BodyText"/>
        <w:spacing w:line="271" w:lineRule="auto" w:before="121"/>
        <w:ind w:left="860" w:right="621"/>
        <w:jc w:val="both"/>
      </w:pPr>
      <w:r>
        <w:rPr/>
        <w:t>There</w:t>
      </w:r>
      <w:r>
        <w:rPr>
          <w:spacing w:val="-12"/>
        </w:rPr>
        <w:t> </w:t>
      </w:r>
      <w:r>
        <w:rPr/>
        <w:t>are</w:t>
      </w:r>
      <w:r>
        <w:rPr>
          <w:spacing w:val="-10"/>
        </w:rPr>
        <w:t> </w:t>
      </w:r>
      <w:r>
        <w:rPr/>
        <w:t>two</w:t>
      </w:r>
      <w:r>
        <w:rPr>
          <w:spacing w:val="-9"/>
        </w:rPr>
        <w:t> </w:t>
      </w:r>
      <w:r>
        <w:rPr/>
        <w:t>exceptions</w:t>
      </w:r>
      <w:r>
        <w:rPr>
          <w:spacing w:val="-8"/>
        </w:rPr>
        <w:t> </w:t>
      </w:r>
      <w:r>
        <w:rPr/>
        <w:t>to</w:t>
      </w:r>
      <w:r>
        <w:rPr>
          <w:spacing w:val="-8"/>
        </w:rPr>
        <w:t> </w:t>
      </w:r>
      <w:r>
        <w:rPr/>
        <w:t>this.</w:t>
      </w:r>
      <w:r>
        <w:rPr>
          <w:spacing w:val="-11"/>
        </w:rPr>
        <w:t> </w:t>
      </w:r>
      <w:r>
        <w:rPr/>
        <w:t>First,</w:t>
      </w:r>
      <w:r>
        <w:rPr>
          <w:spacing w:val="-8"/>
        </w:rPr>
        <w:t> </w:t>
      </w:r>
      <w:r>
        <w:rPr/>
        <w:t>to</w:t>
      </w:r>
      <w:r>
        <w:rPr>
          <w:spacing w:val="-9"/>
        </w:rPr>
        <w:t> </w:t>
      </w:r>
      <w:r>
        <w:rPr/>
        <w:t>the</w:t>
      </w:r>
      <w:r>
        <w:rPr>
          <w:spacing w:val="-12"/>
        </w:rPr>
        <w:t> </w:t>
      </w:r>
      <w:r>
        <w:rPr/>
        <w:t>extent</w:t>
      </w:r>
      <w:r>
        <w:rPr>
          <w:spacing w:val="-8"/>
        </w:rPr>
        <w:t> </w:t>
      </w:r>
      <w:r>
        <w:rPr/>
        <w:t>that</w:t>
      </w:r>
      <w:r>
        <w:rPr>
          <w:spacing w:val="-9"/>
        </w:rPr>
        <w:t> </w:t>
      </w:r>
      <w:r>
        <w:rPr/>
        <w:t>software</w:t>
      </w:r>
      <w:r>
        <w:rPr>
          <w:spacing w:val="-8"/>
        </w:rPr>
        <w:t> </w:t>
      </w:r>
      <w:r>
        <w:rPr/>
        <w:t>is</w:t>
      </w:r>
      <w:r>
        <w:rPr>
          <w:spacing w:val="-3"/>
        </w:rPr>
        <w:t> </w:t>
      </w:r>
      <w:r>
        <w:rPr/>
        <w:t>acquired</w:t>
      </w:r>
      <w:r>
        <w:rPr>
          <w:spacing w:val="-10"/>
        </w:rPr>
        <w:t> </w:t>
      </w:r>
      <w:r>
        <w:rPr/>
        <w:t>as</w:t>
      </w:r>
      <w:r>
        <w:rPr>
          <w:spacing w:val="-7"/>
        </w:rPr>
        <w:t> </w:t>
      </w:r>
      <w:r>
        <w:rPr/>
        <w:t>a</w:t>
      </w:r>
      <w:r>
        <w:rPr>
          <w:spacing w:val="-9"/>
        </w:rPr>
        <w:t> </w:t>
      </w:r>
      <w:r>
        <w:rPr/>
        <w:t>tangible</w:t>
      </w:r>
      <w:r>
        <w:rPr>
          <w:spacing w:val="-9"/>
        </w:rPr>
        <w:t> </w:t>
      </w:r>
      <w:r>
        <w:rPr/>
        <w:t>product</w:t>
      </w:r>
      <w:r>
        <w:rPr>
          <w:spacing w:val="-10"/>
        </w:rPr>
        <w:t> </w:t>
      </w:r>
      <w:r>
        <w:rPr/>
        <w:t>(e.g. a packaged product on a CD that does not require any connection to the Internet to access the software),</w:t>
      </w:r>
      <w:r>
        <w:rPr>
          <w:spacing w:val="-15"/>
        </w:rPr>
        <w:t> </w:t>
      </w:r>
      <w:r>
        <w:rPr/>
        <w:t>then</w:t>
      </w:r>
      <w:r>
        <w:rPr>
          <w:spacing w:val="-14"/>
        </w:rPr>
        <w:t> </w:t>
      </w:r>
      <w:r>
        <w:rPr/>
        <w:t>it</w:t>
      </w:r>
      <w:r>
        <w:rPr>
          <w:spacing w:val="-12"/>
        </w:rPr>
        <w:t> </w:t>
      </w:r>
      <w:r>
        <w:rPr/>
        <w:t>would</w:t>
      </w:r>
      <w:r>
        <w:rPr>
          <w:spacing w:val="-14"/>
        </w:rPr>
        <w:t> </w:t>
      </w:r>
      <w:r>
        <w:rPr/>
        <w:t>not</w:t>
      </w:r>
      <w:r>
        <w:rPr>
          <w:spacing w:val="-12"/>
        </w:rPr>
        <w:t> </w:t>
      </w:r>
      <w:r>
        <w:rPr/>
        <w:t>be</w:t>
      </w:r>
      <w:r>
        <w:rPr>
          <w:spacing w:val="-14"/>
        </w:rPr>
        <w:t> </w:t>
      </w:r>
      <w:r>
        <w:rPr/>
        <w:t>an</w:t>
      </w:r>
      <w:r>
        <w:rPr>
          <w:spacing w:val="-15"/>
        </w:rPr>
        <w:t> </w:t>
      </w:r>
      <w:r>
        <w:rPr/>
        <w:t>ADS</w:t>
      </w:r>
      <w:r>
        <w:rPr>
          <w:spacing w:val="-12"/>
        </w:rPr>
        <w:t> </w:t>
      </w:r>
      <w:r>
        <w:rPr/>
        <w:t>(although</w:t>
      </w:r>
      <w:r>
        <w:rPr>
          <w:spacing w:val="-12"/>
        </w:rPr>
        <w:t> </w:t>
      </w:r>
      <w:r>
        <w:rPr/>
        <w:t>it</w:t>
      </w:r>
      <w:r>
        <w:rPr>
          <w:spacing w:val="-14"/>
        </w:rPr>
        <w:t> </w:t>
      </w:r>
      <w:r>
        <w:rPr/>
        <w:t>could</w:t>
      </w:r>
      <w:r>
        <w:rPr>
          <w:spacing w:val="-15"/>
        </w:rPr>
        <w:t> </w:t>
      </w:r>
      <w:r>
        <w:rPr/>
        <w:t>be</w:t>
      </w:r>
      <w:r>
        <w:rPr>
          <w:spacing w:val="-14"/>
        </w:rPr>
        <w:t> </w:t>
      </w:r>
      <w:r>
        <w:rPr/>
        <w:t>included</w:t>
      </w:r>
      <w:r>
        <w:rPr>
          <w:spacing w:val="-14"/>
        </w:rPr>
        <w:t> </w:t>
      </w:r>
      <w:r>
        <w:rPr/>
        <w:t>as</w:t>
      </w:r>
      <w:r>
        <w:rPr>
          <w:spacing w:val="-14"/>
        </w:rPr>
        <w:t> </w:t>
      </w:r>
      <w:r>
        <w:rPr/>
        <w:t>a</w:t>
      </w:r>
      <w:r>
        <w:rPr>
          <w:spacing w:val="-12"/>
        </w:rPr>
        <w:t> </w:t>
      </w:r>
      <w:r>
        <w:rPr/>
        <w:t>CFB</w:t>
      </w:r>
      <w:r>
        <w:rPr>
          <w:spacing w:val="-15"/>
        </w:rPr>
        <w:t> </w:t>
      </w:r>
      <w:r>
        <w:rPr/>
        <w:t>alongside</w:t>
      </w:r>
      <w:r>
        <w:rPr>
          <w:spacing w:val="-13"/>
        </w:rPr>
        <w:t> </w:t>
      </w:r>
      <w:r>
        <w:rPr/>
        <w:t>other</w:t>
      </w:r>
      <w:r>
        <w:rPr>
          <w:spacing w:val="-14"/>
        </w:rPr>
        <w:t> </w:t>
      </w:r>
      <w:r>
        <w:rPr/>
        <w:t>physical, offline</w:t>
      </w:r>
      <w:r>
        <w:rPr>
          <w:spacing w:val="-14"/>
        </w:rPr>
        <w:t> </w:t>
      </w:r>
      <w:r>
        <w:rPr/>
        <w:t>items</w:t>
      </w:r>
      <w:r>
        <w:rPr>
          <w:spacing w:val="-12"/>
        </w:rPr>
        <w:t> </w:t>
      </w:r>
      <w:r>
        <w:rPr/>
        <w:t>such</w:t>
      </w:r>
      <w:r>
        <w:rPr>
          <w:spacing w:val="-13"/>
        </w:rPr>
        <w:t> </w:t>
      </w:r>
      <w:r>
        <w:rPr/>
        <w:t>as</w:t>
      </w:r>
      <w:r>
        <w:rPr>
          <w:spacing w:val="-15"/>
        </w:rPr>
        <w:t> </w:t>
      </w:r>
      <w:r>
        <w:rPr/>
        <w:t>music,</w:t>
      </w:r>
      <w:r>
        <w:rPr>
          <w:spacing w:val="-13"/>
        </w:rPr>
        <w:t> </w:t>
      </w:r>
      <w:r>
        <w:rPr/>
        <w:t>films,</w:t>
      </w:r>
      <w:r>
        <w:rPr>
          <w:spacing w:val="-14"/>
        </w:rPr>
        <w:t> </w:t>
      </w:r>
      <w:r>
        <w:rPr/>
        <w:t>books</w:t>
      </w:r>
      <w:r>
        <w:rPr>
          <w:spacing w:val="-11"/>
        </w:rPr>
        <w:t> </w:t>
      </w:r>
      <w:r>
        <w:rPr/>
        <w:t>or</w:t>
      </w:r>
      <w:r>
        <w:rPr>
          <w:spacing w:val="-13"/>
        </w:rPr>
        <w:t> </w:t>
      </w:r>
      <w:r>
        <w:rPr/>
        <w:t>computer</w:t>
      </w:r>
      <w:r>
        <w:rPr>
          <w:spacing w:val="-12"/>
        </w:rPr>
        <w:t> </w:t>
      </w:r>
      <w:r>
        <w:rPr/>
        <w:t>games</w:t>
      </w:r>
      <w:r>
        <w:rPr>
          <w:spacing w:val="-12"/>
        </w:rPr>
        <w:t> </w:t>
      </w:r>
      <w:r>
        <w:rPr/>
        <w:t>purchased</w:t>
      </w:r>
      <w:r>
        <w:rPr>
          <w:spacing w:val="-14"/>
        </w:rPr>
        <w:t> </w:t>
      </w:r>
      <w:r>
        <w:rPr/>
        <w:t>on</w:t>
      </w:r>
      <w:r>
        <w:rPr>
          <w:spacing w:val="-11"/>
        </w:rPr>
        <w:t> </w:t>
      </w:r>
      <w:r>
        <w:rPr/>
        <w:t>a</w:t>
      </w:r>
      <w:r>
        <w:rPr>
          <w:spacing w:val="-14"/>
        </w:rPr>
        <w:t> </w:t>
      </w:r>
      <w:r>
        <w:rPr/>
        <w:t>physical</w:t>
      </w:r>
      <w:r>
        <w:rPr>
          <w:spacing w:val="-14"/>
        </w:rPr>
        <w:t> </w:t>
      </w:r>
      <w:r>
        <w:rPr/>
        <w:t>medium.)</w:t>
      </w:r>
      <w:r>
        <w:rPr>
          <w:spacing w:val="-13"/>
        </w:rPr>
        <w:t> </w:t>
      </w:r>
      <w:r>
        <w:rPr/>
        <w:t>In</w:t>
      </w:r>
      <w:r>
        <w:rPr>
          <w:spacing w:val="-13"/>
        </w:rPr>
        <w:t> </w:t>
      </w:r>
      <w:r>
        <w:rPr/>
        <w:t>order not</w:t>
      </w:r>
      <w:r>
        <w:rPr>
          <w:spacing w:val="-9"/>
        </w:rPr>
        <w:t> </w:t>
      </w:r>
      <w:r>
        <w:rPr/>
        <w:t>to</w:t>
      </w:r>
      <w:r>
        <w:rPr>
          <w:spacing w:val="-9"/>
        </w:rPr>
        <w:t> </w:t>
      </w:r>
      <w:r>
        <w:rPr/>
        <w:t>create</w:t>
      </w:r>
      <w:r>
        <w:rPr>
          <w:spacing w:val="-8"/>
        </w:rPr>
        <w:t> </w:t>
      </w:r>
      <w:r>
        <w:rPr/>
        <w:t>distortions,</w:t>
      </w:r>
      <w:r>
        <w:rPr>
          <w:spacing w:val="-6"/>
        </w:rPr>
        <w:t> </w:t>
      </w:r>
      <w:r>
        <w:rPr/>
        <w:t>where</w:t>
      </w:r>
      <w:r>
        <w:rPr>
          <w:spacing w:val="-9"/>
        </w:rPr>
        <w:t> </w:t>
      </w:r>
      <w:r>
        <w:rPr/>
        <w:t>the</w:t>
      </w:r>
      <w:r>
        <w:rPr>
          <w:spacing w:val="-7"/>
        </w:rPr>
        <w:t> </w:t>
      </w:r>
      <w:r>
        <w:rPr/>
        <w:t>tangible</w:t>
      </w:r>
      <w:r>
        <w:rPr>
          <w:spacing w:val="-9"/>
        </w:rPr>
        <w:t> </w:t>
      </w:r>
      <w:r>
        <w:rPr/>
        <w:t>medium</w:t>
      </w:r>
      <w:r>
        <w:rPr>
          <w:spacing w:val="-4"/>
        </w:rPr>
        <w:t> </w:t>
      </w:r>
      <w:r>
        <w:rPr/>
        <w:t>has</w:t>
      </w:r>
      <w:r>
        <w:rPr>
          <w:spacing w:val="-8"/>
        </w:rPr>
        <w:t> </w:t>
      </w:r>
      <w:r>
        <w:rPr/>
        <w:t>no</w:t>
      </w:r>
      <w:r>
        <w:rPr>
          <w:spacing w:val="-9"/>
        </w:rPr>
        <w:t> </w:t>
      </w:r>
      <w:r>
        <w:rPr/>
        <w:t>other</w:t>
      </w:r>
      <w:r>
        <w:rPr>
          <w:spacing w:val="-8"/>
        </w:rPr>
        <w:t> </w:t>
      </w:r>
      <w:r>
        <w:rPr/>
        <w:t>purpose</w:t>
      </w:r>
      <w:r>
        <w:rPr>
          <w:spacing w:val="-9"/>
        </w:rPr>
        <w:t> </w:t>
      </w:r>
      <w:r>
        <w:rPr/>
        <w:t>than</w:t>
      </w:r>
      <w:r>
        <w:rPr>
          <w:spacing w:val="-7"/>
        </w:rPr>
        <w:t> </w:t>
      </w:r>
      <w:r>
        <w:rPr/>
        <w:t>to</w:t>
      </w:r>
      <w:r>
        <w:rPr>
          <w:spacing w:val="-7"/>
        </w:rPr>
        <w:t> </w:t>
      </w:r>
      <w:r>
        <w:rPr/>
        <w:t>provide</w:t>
      </w:r>
      <w:r>
        <w:rPr>
          <w:spacing w:val="-7"/>
        </w:rPr>
        <w:t> </w:t>
      </w:r>
      <w:r>
        <w:rPr/>
        <w:t>the</w:t>
      </w:r>
      <w:r>
        <w:rPr>
          <w:spacing w:val="-8"/>
        </w:rPr>
        <w:t> </w:t>
      </w:r>
      <w:r>
        <w:rPr/>
        <w:t>user</w:t>
      </w:r>
      <w:r>
        <w:rPr>
          <w:spacing w:val="-6"/>
        </w:rPr>
        <w:t> </w:t>
      </w:r>
      <w:r>
        <w:rPr/>
        <w:t>with information required to access the digital content via Internet or electronic network (such as a printed access code for downloading the material), then it would remain as</w:t>
      </w:r>
      <w:r>
        <w:rPr>
          <w:spacing w:val="-12"/>
        </w:rPr>
        <w:t> </w:t>
      </w:r>
      <w:r>
        <w:rPr/>
        <w:t>ADS.</w:t>
      </w:r>
    </w:p>
    <w:p>
      <w:pPr>
        <w:pStyle w:val="BodyText"/>
        <w:spacing w:line="271" w:lineRule="auto" w:before="121"/>
        <w:ind w:left="860" w:right="618"/>
        <w:jc w:val="both"/>
      </w:pPr>
      <w:r>
        <w:rPr/>
        <w:t>Second,</w:t>
      </w:r>
      <w:r>
        <w:rPr>
          <w:spacing w:val="-15"/>
        </w:rPr>
        <w:t> </w:t>
      </w:r>
      <w:r>
        <w:rPr/>
        <w:t>reflecting</w:t>
      </w:r>
      <w:r>
        <w:rPr>
          <w:spacing w:val="-12"/>
        </w:rPr>
        <w:t> </w:t>
      </w:r>
      <w:r>
        <w:rPr/>
        <w:t>the</w:t>
      </w:r>
      <w:r>
        <w:rPr>
          <w:spacing w:val="-13"/>
        </w:rPr>
        <w:t> </w:t>
      </w:r>
      <w:r>
        <w:rPr/>
        <w:t>discussion</w:t>
      </w:r>
      <w:r>
        <w:rPr>
          <w:spacing w:val="-14"/>
        </w:rPr>
        <w:t> </w:t>
      </w:r>
      <w:r>
        <w:rPr/>
        <w:t>above</w:t>
      </w:r>
      <w:r>
        <w:rPr>
          <w:spacing w:val="-13"/>
        </w:rPr>
        <w:t> </w:t>
      </w:r>
      <w:r>
        <w:rPr/>
        <w:t>and</w:t>
      </w:r>
      <w:r>
        <w:rPr>
          <w:spacing w:val="-14"/>
        </w:rPr>
        <w:t> </w:t>
      </w:r>
      <w:r>
        <w:rPr/>
        <w:t>the</w:t>
      </w:r>
      <w:r>
        <w:rPr>
          <w:spacing w:val="-12"/>
        </w:rPr>
        <w:t> </w:t>
      </w:r>
      <w:r>
        <w:rPr/>
        <w:t>“automated”</w:t>
      </w:r>
      <w:r>
        <w:rPr>
          <w:spacing w:val="-12"/>
        </w:rPr>
        <w:t> </w:t>
      </w:r>
      <w:r>
        <w:rPr/>
        <w:t>aspect</w:t>
      </w:r>
      <w:r>
        <w:rPr>
          <w:spacing w:val="-11"/>
        </w:rPr>
        <w:t> </w:t>
      </w:r>
      <w:r>
        <w:rPr/>
        <w:t>of</w:t>
      </w:r>
      <w:r>
        <w:rPr>
          <w:spacing w:val="-13"/>
        </w:rPr>
        <w:t> </w:t>
      </w:r>
      <w:r>
        <w:rPr/>
        <w:t>the</w:t>
      </w:r>
      <w:r>
        <w:rPr>
          <w:spacing w:val="-12"/>
        </w:rPr>
        <w:t> </w:t>
      </w:r>
      <w:r>
        <w:rPr/>
        <w:t>definition,</w:t>
      </w:r>
      <w:r>
        <w:rPr>
          <w:spacing w:val="-15"/>
        </w:rPr>
        <w:t> </w:t>
      </w:r>
      <w:r>
        <w:rPr/>
        <w:t>highly</w:t>
      </w:r>
      <w:r>
        <w:rPr>
          <w:spacing w:val="-17"/>
        </w:rPr>
        <w:t> </w:t>
      </w:r>
      <w:r>
        <w:rPr/>
        <w:t>customised software</w:t>
      </w:r>
      <w:r>
        <w:rPr>
          <w:spacing w:val="-7"/>
        </w:rPr>
        <w:t> </w:t>
      </w:r>
      <w:r>
        <w:rPr/>
        <w:t>that</w:t>
      </w:r>
      <w:r>
        <w:rPr>
          <w:spacing w:val="-4"/>
        </w:rPr>
        <w:t> </w:t>
      </w:r>
      <w:r>
        <w:rPr/>
        <w:t>has</w:t>
      </w:r>
      <w:r>
        <w:rPr>
          <w:spacing w:val="-6"/>
        </w:rPr>
        <w:t> </w:t>
      </w:r>
      <w:r>
        <w:rPr/>
        <w:t>been</w:t>
      </w:r>
      <w:r>
        <w:rPr>
          <w:spacing w:val="-4"/>
        </w:rPr>
        <w:t> </w:t>
      </w:r>
      <w:r>
        <w:rPr/>
        <w:t>designed</w:t>
      </w:r>
      <w:r>
        <w:rPr>
          <w:spacing w:val="-6"/>
        </w:rPr>
        <w:t> </w:t>
      </w:r>
      <w:r>
        <w:rPr/>
        <w:t>for</w:t>
      </w:r>
      <w:r>
        <w:rPr>
          <w:spacing w:val="-6"/>
        </w:rPr>
        <w:t> </w:t>
      </w:r>
      <w:r>
        <w:rPr/>
        <w:t>a</w:t>
      </w:r>
      <w:r>
        <w:rPr>
          <w:spacing w:val="-7"/>
        </w:rPr>
        <w:t> </w:t>
      </w:r>
      <w:r>
        <w:rPr/>
        <w:t>particular</w:t>
      </w:r>
      <w:r>
        <w:rPr>
          <w:spacing w:val="-4"/>
        </w:rPr>
        <w:t> </w:t>
      </w:r>
      <w:r>
        <w:rPr/>
        <w:t>businesses’</w:t>
      </w:r>
      <w:r>
        <w:rPr>
          <w:spacing w:val="-7"/>
        </w:rPr>
        <w:t> </w:t>
      </w:r>
      <w:r>
        <w:rPr/>
        <w:t>needs</w:t>
      </w:r>
      <w:r>
        <w:rPr>
          <w:spacing w:val="-6"/>
        </w:rPr>
        <w:t> </w:t>
      </w:r>
      <w:r>
        <w:rPr/>
        <w:t>(and</w:t>
      </w:r>
      <w:r>
        <w:rPr>
          <w:spacing w:val="-5"/>
        </w:rPr>
        <w:t> </w:t>
      </w:r>
      <w:r>
        <w:rPr/>
        <w:t>which</w:t>
      </w:r>
      <w:r>
        <w:rPr>
          <w:spacing w:val="-7"/>
        </w:rPr>
        <w:t> </w:t>
      </w:r>
      <w:r>
        <w:rPr/>
        <w:t>may</w:t>
      </w:r>
      <w:r>
        <w:rPr>
          <w:spacing w:val="-8"/>
        </w:rPr>
        <w:t> </w:t>
      </w:r>
      <w:r>
        <w:rPr/>
        <w:t>be</w:t>
      </w:r>
      <w:r>
        <w:rPr>
          <w:spacing w:val="-7"/>
        </w:rPr>
        <w:t> </w:t>
      </w:r>
      <w:r>
        <w:rPr/>
        <w:t>negotiated</w:t>
      </w:r>
      <w:r>
        <w:rPr>
          <w:spacing w:val="-6"/>
        </w:rPr>
        <w:t> </w:t>
      </w:r>
      <w:r>
        <w:rPr/>
        <w:t>with tailored pricing depending on the software package chosen and various elements incorporated) would not be included as ADS, even if the final product is made available online. This is because it would require significant human involvement, more akin to professional services, and would not reflect the same</w:t>
      </w:r>
      <w:r>
        <w:rPr>
          <w:spacing w:val="-12"/>
        </w:rPr>
        <w:t> </w:t>
      </w:r>
      <w:r>
        <w:rPr/>
        <w:t>idea</w:t>
      </w:r>
      <w:r>
        <w:rPr>
          <w:spacing w:val="-11"/>
        </w:rPr>
        <w:t> </w:t>
      </w:r>
      <w:r>
        <w:rPr/>
        <w:t>of</w:t>
      </w:r>
      <w:r>
        <w:rPr>
          <w:spacing w:val="-9"/>
        </w:rPr>
        <w:t> </w:t>
      </w:r>
      <w:r>
        <w:rPr/>
        <w:t>there</w:t>
      </w:r>
      <w:r>
        <w:rPr>
          <w:spacing w:val="-9"/>
        </w:rPr>
        <w:t> </w:t>
      </w:r>
      <w:r>
        <w:rPr/>
        <w:t>being</w:t>
      </w:r>
      <w:r>
        <w:rPr>
          <w:spacing w:val="-11"/>
        </w:rPr>
        <w:t> </w:t>
      </w:r>
      <w:r>
        <w:rPr/>
        <w:t>limited</w:t>
      </w:r>
      <w:r>
        <w:rPr>
          <w:spacing w:val="-11"/>
        </w:rPr>
        <w:t> </w:t>
      </w:r>
      <w:r>
        <w:rPr/>
        <w:t>additional</w:t>
      </w:r>
      <w:r>
        <w:rPr>
          <w:spacing w:val="-12"/>
        </w:rPr>
        <w:t> </w:t>
      </w:r>
      <w:r>
        <w:rPr/>
        <w:t>unit</w:t>
      </w:r>
      <w:r>
        <w:rPr>
          <w:spacing w:val="-8"/>
        </w:rPr>
        <w:t> </w:t>
      </w:r>
      <w:r>
        <w:rPr/>
        <w:t>costs</w:t>
      </w:r>
      <w:r>
        <w:rPr>
          <w:spacing w:val="-10"/>
        </w:rPr>
        <w:t> </w:t>
      </w:r>
      <w:r>
        <w:rPr/>
        <w:t>to</w:t>
      </w:r>
      <w:r>
        <w:rPr>
          <w:spacing w:val="-11"/>
        </w:rPr>
        <w:t> </w:t>
      </w:r>
      <w:r>
        <w:rPr/>
        <w:t>make</w:t>
      </w:r>
      <w:r>
        <w:rPr>
          <w:spacing w:val="-12"/>
        </w:rPr>
        <w:t> </w:t>
      </w:r>
      <w:r>
        <w:rPr/>
        <w:t>the</w:t>
      </w:r>
      <w:r>
        <w:rPr>
          <w:spacing w:val="-11"/>
        </w:rPr>
        <w:t> </w:t>
      </w:r>
      <w:r>
        <w:rPr/>
        <w:t>software</w:t>
      </w:r>
      <w:r>
        <w:rPr>
          <w:spacing w:val="-12"/>
        </w:rPr>
        <w:t> </w:t>
      </w:r>
      <w:r>
        <w:rPr/>
        <w:t>available</w:t>
      </w:r>
      <w:r>
        <w:rPr>
          <w:spacing w:val="-8"/>
        </w:rPr>
        <w:t> </w:t>
      </w:r>
      <w:r>
        <w:rPr/>
        <w:t>to</w:t>
      </w:r>
      <w:r>
        <w:rPr>
          <w:spacing w:val="-12"/>
        </w:rPr>
        <w:t> </w:t>
      </w:r>
      <w:r>
        <w:rPr/>
        <w:t>additional</w:t>
      </w:r>
      <w:r>
        <w:rPr>
          <w:spacing w:val="-11"/>
        </w:rPr>
        <w:t> </w:t>
      </w:r>
      <w:r>
        <w:rPr/>
        <w:t>users. This refers to customisation undertaken at the specific request of one customer, in response to its unique requirements. Where software has been designed with particular options or features, which a customer</w:t>
      </w:r>
      <w:r>
        <w:rPr>
          <w:spacing w:val="-14"/>
        </w:rPr>
        <w:t> </w:t>
      </w:r>
      <w:r>
        <w:rPr/>
        <w:t>can</w:t>
      </w:r>
      <w:r>
        <w:rPr>
          <w:spacing w:val="-12"/>
        </w:rPr>
        <w:t> </w:t>
      </w:r>
      <w:r>
        <w:rPr/>
        <w:t>choose</w:t>
      </w:r>
      <w:r>
        <w:rPr>
          <w:spacing w:val="-13"/>
        </w:rPr>
        <w:t> </w:t>
      </w:r>
      <w:r>
        <w:rPr/>
        <w:t>or</w:t>
      </w:r>
      <w:r>
        <w:rPr>
          <w:spacing w:val="-11"/>
        </w:rPr>
        <w:t> </w:t>
      </w:r>
      <w:r>
        <w:rPr/>
        <w:t>personalise</w:t>
      </w:r>
      <w:r>
        <w:rPr>
          <w:spacing w:val="-7"/>
        </w:rPr>
        <w:t> </w:t>
      </w:r>
      <w:r>
        <w:rPr/>
        <w:t>without</w:t>
      </w:r>
      <w:r>
        <w:rPr>
          <w:spacing w:val="-12"/>
        </w:rPr>
        <w:t> </w:t>
      </w:r>
      <w:r>
        <w:rPr/>
        <w:t>any</w:t>
      </w:r>
      <w:r>
        <w:rPr>
          <w:spacing w:val="-15"/>
        </w:rPr>
        <w:t> </w:t>
      </w:r>
      <w:r>
        <w:rPr/>
        <w:t>significant</w:t>
      </w:r>
      <w:r>
        <w:rPr>
          <w:spacing w:val="-12"/>
        </w:rPr>
        <w:t> </w:t>
      </w:r>
      <w:r>
        <w:rPr/>
        <w:t>human</w:t>
      </w:r>
      <w:r>
        <w:rPr>
          <w:spacing w:val="-12"/>
        </w:rPr>
        <w:t> </w:t>
      </w:r>
      <w:r>
        <w:rPr/>
        <w:t>involvement</w:t>
      </w:r>
      <w:r>
        <w:rPr>
          <w:spacing w:val="-9"/>
        </w:rPr>
        <w:t> </w:t>
      </w:r>
      <w:r>
        <w:rPr/>
        <w:t>on</w:t>
      </w:r>
      <w:r>
        <w:rPr>
          <w:spacing w:val="-13"/>
        </w:rPr>
        <w:t> </w:t>
      </w:r>
      <w:r>
        <w:rPr/>
        <w:t>behalf</w:t>
      </w:r>
      <w:r>
        <w:rPr>
          <w:spacing w:val="-9"/>
        </w:rPr>
        <w:t> </w:t>
      </w:r>
      <w:r>
        <w:rPr/>
        <w:t>of</w:t>
      </w:r>
      <w:r>
        <w:rPr>
          <w:spacing w:val="-10"/>
        </w:rPr>
        <w:t> </w:t>
      </w:r>
      <w:r>
        <w:rPr/>
        <w:t>the</w:t>
      </w:r>
      <w:r>
        <w:rPr>
          <w:spacing w:val="-13"/>
        </w:rPr>
        <w:t> </w:t>
      </w:r>
      <w:r>
        <w:rPr/>
        <w:t>service provider during the online purchase, such software would be in scope of ADS. Thus, the degree of customisation and the level of human involvement should be the primary factors to characterise the provision of software as ADS or otherwise. If the provision of the software was bundled, comprising standardised modules and customised modules, the guidance to be provided as set out below under dual category ADS and bundled services would</w:t>
      </w:r>
      <w:r>
        <w:rPr>
          <w:spacing w:val="-6"/>
        </w:rPr>
        <w:t> </w:t>
      </w:r>
      <w:r>
        <w:rPr/>
        <w:t>apply.</w:t>
      </w:r>
    </w:p>
    <w:p>
      <w:pPr>
        <w:pStyle w:val="BodyText"/>
      </w:pPr>
    </w:p>
    <w:p>
      <w:pPr>
        <w:pStyle w:val="BodyText"/>
      </w:pPr>
    </w:p>
    <w:p>
      <w:pPr>
        <w:pStyle w:val="BodyText"/>
        <w:spacing w:before="6"/>
        <w:rPr>
          <w:sz w:val="21"/>
        </w:rPr>
      </w:pPr>
      <w:r>
        <w:rPr/>
        <w:pict>
          <v:shape style="position:absolute;margin-left:64.944pt;margin-top:14.615259pt;width:465.6pt;height:80.650pt;mso-position-horizontal-relative:page;mso-position-vertical-relative:paragraph;z-index:-15705600;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2.15. Online gaming – Definition</w:t>
                  </w:r>
                </w:p>
                <w:p>
                  <w:pPr>
                    <w:pStyle w:val="BodyText"/>
                    <w:spacing w:line="271" w:lineRule="auto" w:before="213"/>
                    <w:ind w:left="136" w:right="63"/>
                  </w:pPr>
                  <w:r>
                    <w:rPr/>
                    <w:t>This means making a digital interface available for the purposes of allowing users to interact with one another in the same game environment.</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70947pt;width:465.6pt;height:74.650pt;mso-position-horizontal-relative:page;mso-position-vertical-relative:paragraph;z-index:-15705088;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2.16 Online gaming – Commentary</w:t>
                  </w:r>
                </w:p>
                <w:p>
                  <w:pPr>
                    <w:pStyle w:val="BodyText"/>
                    <w:spacing w:line="271" w:lineRule="auto" w:before="213"/>
                    <w:ind w:left="84" w:right="93"/>
                    <w:jc w:val="center"/>
                  </w:pPr>
                  <w:r>
                    <w:rPr/>
                    <w:t>This</w:t>
                  </w:r>
                  <w:r>
                    <w:rPr>
                      <w:spacing w:val="-3"/>
                    </w:rPr>
                    <w:t> </w:t>
                  </w:r>
                  <w:r>
                    <w:rPr/>
                    <w:t>category</w:t>
                  </w:r>
                  <w:r>
                    <w:rPr>
                      <w:spacing w:val="-3"/>
                    </w:rPr>
                    <w:t> </w:t>
                  </w:r>
                  <w:r>
                    <w:rPr/>
                    <w:t>would</w:t>
                  </w:r>
                  <w:r>
                    <w:rPr>
                      <w:spacing w:val="-3"/>
                    </w:rPr>
                    <w:t> </w:t>
                  </w:r>
                  <w:r>
                    <w:rPr/>
                    <w:t>apply</w:t>
                  </w:r>
                  <w:r>
                    <w:rPr>
                      <w:spacing w:val="-3"/>
                    </w:rPr>
                    <w:t> </w:t>
                  </w:r>
                  <w:r>
                    <w:rPr/>
                    <w:t>irrespective</w:t>
                  </w:r>
                  <w:r>
                    <w:rPr>
                      <w:spacing w:val="-4"/>
                    </w:rPr>
                    <w:t> </w:t>
                  </w:r>
                  <w:r>
                    <w:rPr/>
                    <w:t>of</w:t>
                  </w:r>
                  <w:r>
                    <w:rPr>
                      <w:spacing w:val="1"/>
                    </w:rPr>
                    <w:t> </w:t>
                  </w:r>
                  <w:r>
                    <w:rPr/>
                    <w:t>whether</w:t>
                  </w:r>
                  <w:r>
                    <w:rPr>
                      <w:spacing w:val="-3"/>
                    </w:rPr>
                    <w:t> </w:t>
                  </w:r>
                  <w:r>
                    <w:rPr/>
                    <w:t>the</w:t>
                  </w:r>
                  <w:r>
                    <w:rPr>
                      <w:spacing w:val="-1"/>
                    </w:rPr>
                    <w:t> </w:t>
                  </w:r>
                  <w:r>
                    <w:rPr/>
                    <w:t>access</w:t>
                  </w:r>
                  <w:r>
                    <w:rPr>
                      <w:spacing w:val="-3"/>
                    </w:rPr>
                    <w:t> </w:t>
                  </w:r>
                  <w:r>
                    <w:rPr/>
                    <w:t>to</w:t>
                  </w:r>
                  <w:r>
                    <w:rPr>
                      <w:spacing w:val="-3"/>
                    </w:rPr>
                    <w:t> </w:t>
                  </w:r>
                  <w:r>
                    <w:rPr/>
                    <w:t>the</w:t>
                  </w:r>
                  <w:r>
                    <w:rPr>
                      <w:spacing w:val="-1"/>
                    </w:rPr>
                    <w:t> </w:t>
                  </w:r>
                  <w:r>
                    <w:rPr/>
                    <w:t>game</w:t>
                  </w:r>
                  <w:r>
                    <w:rPr>
                      <w:spacing w:val="-3"/>
                    </w:rPr>
                    <w:t> </w:t>
                  </w:r>
                  <w:r>
                    <w:rPr/>
                    <w:t>is</w:t>
                  </w:r>
                  <w:r>
                    <w:rPr>
                      <w:spacing w:val="-3"/>
                    </w:rPr>
                    <w:t> </w:t>
                  </w:r>
                  <w:r>
                    <w:rPr/>
                    <w:t>by</w:t>
                  </w:r>
                  <w:r>
                    <w:rPr>
                      <w:spacing w:val="-4"/>
                    </w:rPr>
                    <w:t> </w:t>
                  </w:r>
                  <w:r>
                    <w:rPr/>
                    <w:t>way</w:t>
                  </w:r>
                  <w:r>
                    <w:rPr>
                      <w:spacing w:val="-4"/>
                    </w:rPr>
                    <w:t> </w:t>
                  </w:r>
                  <w:r>
                    <w:rPr/>
                    <w:t>of</w:t>
                  </w:r>
                  <w:r>
                    <w:rPr>
                      <w:spacing w:val="-1"/>
                    </w:rPr>
                    <w:t> </w:t>
                  </w:r>
                  <w:r>
                    <w:rPr/>
                    <w:t>fee</w:t>
                  </w:r>
                  <w:r>
                    <w:rPr>
                      <w:spacing w:val="-4"/>
                    </w:rPr>
                    <w:t> </w:t>
                  </w:r>
                  <w:r>
                    <w:rPr/>
                    <w:t>or</w:t>
                  </w:r>
                  <w:r>
                    <w:rPr>
                      <w:spacing w:val="-3"/>
                    </w:rPr>
                    <w:t> </w:t>
                  </w:r>
                  <w:r>
                    <w:rPr/>
                    <w:t>available for</w:t>
                  </w:r>
                  <w:r>
                    <w:rPr>
                      <w:spacing w:val="-15"/>
                    </w:rPr>
                    <w:t> </w:t>
                  </w:r>
                  <w:r>
                    <w:rPr/>
                    <w:t>free.</w:t>
                  </w:r>
                  <w:r>
                    <w:rPr>
                      <w:spacing w:val="-16"/>
                    </w:rPr>
                    <w:t> </w:t>
                  </w:r>
                  <w:r>
                    <w:rPr/>
                    <w:t>It</w:t>
                  </w:r>
                  <w:r>
                    <w:rPr>
                      <w:spacing w:val="-15"/>
                    </w:rPr>
                    <w:t> </w:t>
                  </w:r>
                  <w:r>
                    <w:rPr/>
                    <w:t>applies</w:t>
                  </w:r>
                  <w:r>
                    <w:rPr>
                      <w:spacing w:val="-15"/>
                    </w:rPr>
                    <w:t> </w:t>
                  </w:r>
                  <w:r>
                    <w:rPr/>
                    <w:t>to</w:t>
                  </w:r>
                  <w:r>
                    <w:rPr>
                      <w:spacing w:val="-14"/>
                    </w:rPr>
                    <w:t> </w:t>
                  </w:r>
                  <w:r>
                    <w:rPr/>
                    <w:t>all</w:t>
                  </w:r>
                  <w:r>
                    <w:rPr>
                      <w:spacing w:val="-16"/>
                    </w:rPr>
                    <w:t> </w:t>
                  </w:r>
                  <w:r>
                    <w:rPr/>
                    <w:t>multiplayer</w:t>
                  </w:r>
                  <w:r>
                    <w:rPr>
                      <w:spacing w:val="-13"/>
                    </w:rPr>
                    <w:t> </w:t>
                  </w:r>
                  <w:r>
                    <w:rPr/>
                    <w:t>gaming</w:t>
                  </w:r>
                  <w:r>
                    <w:rPr>
                      <w:spacing w:val="-13"/>
                    </w:rPr>
                    <w:t> </w:t>
                  </w:r>
                  <w:r>
                    <w:rPr/>
                    <w:t>enabled</w:t>
                  </w:r>
                  <w:r>
                    <w:rPr>
                      <w:spacing w:val="-14"/>
                    </w:rPr>
                    <w:t> </w:t>
                  </w:r>
                  <w:r>
                    <w:rPr/>
                    <w:t>by</w:t>
                  </w:r>
                  <w:r>
                    <w:rPr>
                      <w:spacing w:val="-17"/>
                    </w:rPr>
                    <w:t> </w:t>
                  </w:r>
                  <w:r>
                    <w:rPr/>
                    <w:t>the</w:t>
                  </w:r>
                  <w:r>
                    <w:rPr>
                      <w:spacing w:val="-16"/>
                    </w:rPr>
                    <w:t> </w:t>
                  </w:r>
                  <w:r>
                    <w:rPr/>
                    <w:t>Internet,</w:t>
                  </w:r>
                  <w:r>
                    <w:rPr>
                      <w:spacing w:val="-17"/>
                    </w:rPr>
                    <w:t> </w:t>
                  </w:r>
                  <w:r>
                    <w:rPr/>
                    <w:t>such</w:t>
                  </w:r>
                  <w:r>
                    <w:rPr>
                      <w:spacing w:val="-13"/>
                    </w:rPr>
                    <w:t> </w:t>
                  </w:r>
                  <w:r>
                    <w:rPr/>
                    <w:t>as</w:t>
                  </w:r>
                  <w:r>
                    <w:rPr>
                      <w:spacing w:val="-15"/>
                    </w:rPr>
                    <w:t> </w:t>
                  </w:r>
                  <w:r>
                    <w:rPr/>
                    <w:t>massively</w:t>
                  </w:r>
                  <w:r>
                    <w:rPr>
                      <w:spacing w:val="-18"/>
                    </w:rPr>
                    <w:t> </w:t>
                  </w:r>
                  <w:r>
                    <w:rPr/>
                    <w:t>multiplayer</w:t>
                  </w:r>
                  <w:r>
                    <w:rPr>
                      <w:spacing w:val="-13"/>
                    </w:rPr>
                    <w:t> </w:t>
                  </w:r>
                  <w:r>
                    <w:rPr/>
                    <w:t>online</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116.65pt;mso-position-horizontal-relative:char;mso-position-vertical-relative:line" type="#_x0000_t202" filled="true" fillcolor="#eeece1" stroked="true" strokeweight=".48004pt" strokecolor="#4e81bd">
            <w10:anchorlock/>
            <v:textbox inset="0,0,0,0">
              <w:txbxContent>
                <w:p>
                  <w:pPr>
                    <w:pStyle w:val="BodyText"/>
                    <w:spacing w:line="271" w:lineRule="auto" w:before="28"/>
                    <w:ind w:left="136" w:right="142"/>
                    <w:jc w:val="both"/>
                  </w:pPr>
                  <w:r>
                    <w:rPr/>
                    <w:t>(MMO) games, or other games that enable multiplayer functionalities, and regardless of the device or platform the game is accessed through.</w:t>
                  </w:r>
                </w:p>
                <w:p>
                  <w:pPr>
                    <w:pStyle w:val="BodyText"/>
                    <w:spacing w:line="271" w:lineRule="auto" w:before="121"/>
                    <w:ind w:left="136" w:right="135"/>
                    <w:jc w:val="both"/>
                  </w:pPr>
                  <w:r>
                    <w:rPr/>
                    <w:t>The provision of in-game purchases, or any other online purchases within the game would also be in scope under this category.</w:t>
                  </w:r>
                </w:p>
                <w:p>
                  <w:pPr>
                    <w:pStyle w:val="BodyText"/>
                    <w:spacing w:line="271" w:lineRule="auto" w:before="119"/>
                    <w:ind w:left="136" w:right="140"/>
                    <w:jc w:val="both"/>
                  </w:pPr>
                  <w:r>
                    <w:rPr/>
                    <w:t>This category would not generally include single-player games (which if streamed, accessed or downloaded over the Internet would be in scope of digital content services) or the purchase of a game sold on tangible media (as above for software, and which would be in scope of CFB).</w:t>
                  </w:r>
                </w:p>
              </w:txbxContent>
            </v:textbox>
            <v:fill type="solid"/>
            <v:stroke dashstyle="solid"/>
          </v:shape>
        </w:pict>
      </w:r>
      <w:r>
        <w:rPr/>
      </w:r>
    </w:p>
    <w:p>
      <w:pPr>
        <w:pStyle w:val="BodyText"/>
      </w:pPr>
    </w:p>
    <w:p>
      <w:pPr>
        <w:pStyle w:val="BodyText"/>
        <w:spacing w:before="8"/>
        <w:rPr>
          <w:sz w:val="16"/>
        </w:rPr>
      </w:pPr>
      <w:r>
        <w:rPr/>
        <w:pict>
          <v:shape style="position:absolute;margin-left:64.944pt;margin-top:11.811033pt;width:465.6pt;height:125.7pt;mso-position-horizontal-relative:page;mso-position-vertical-relative:paragraph;z-index:-15703552;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6" w:firstLine="0"/>
                    <w:jc w:val="center"/>
                    <w:rPr>
                      <w:rFonts w:ascii="Arial Narrow" w:hAnsi="Arial Narrow"/>
                      <w:b/>
                      <w:sz w:val="24"/>
                    </w:rPr>
                  </w:pPr>
                  <w:r>
                    <w:rPr>
                      <w:rFonts w:ascii="Arial Narrow" w:hAnsi="Arial Narrow"/>
                      <w:b/>
                      <w:color w:val="4E81BD"/>
                      <w:sz w:val="24"/>
                    </w:rPr>
                    <w:t>Box 2.17. Standardised online teaching services – Definition</w:t>
                  </w:r>
                </w:p>
                <w:p>
                  <w:pPr>
                    <w:pStyle w:val="BodyText"/>
                    <w:spacing w:before="214"/>
                    <w:ind w:left="84" w:right="94"/>
                    <w:jc w:val="center"/>
                  </w:pPr>
                  <w:r>
                    <w:rPr/>
                    <w:t>This means the provision of an online education programme provided to users, which does not require:</w:t>
                  </w:r>
                </w:p>
                <w:p>
                  <w:pPr>
                    <w:pStyle w:val="BodyText"/>
                    <w:numPr>
                      <w:ilvl w:val="0"/>
                      <w:numId w:val="9"/>
                    </w:numPr>
                    <w:tabs>
                      <w:tab w:pos="1838" w:val="left" w:leader="none"/>
                      <w:tab w:pos="1839" w:val="left" w:leader="none"/>
                    </w:tabs>
                    <w:spacing w:line="240" w:lineRule="auto" w:before="120" w:after="0"/>
                    <w:ind w:left="1838" w:right="0" w:hanging="570"/>
                    <w:jc w:val="left"/>
                  </w:pPr>
                  <w:r>
                    <w:rPr/>
                    <w:t>the live presence of an instructor;</w:t>
                  </w:r>
                  <w:r>
                    <w:rPr>
                      <w:spacing w:val="-1"/>
                    </w:rPr>
                    <w:t> </w:t>
                  </w:r>
                  <w:r>
                    <w:rPr/>
                    <w:t>or</w:t>
                  </w:r>
                </w:p>
                <w:p>
                  <w:pPr>
                    <w:pStyle w:val="BodyText"/>
                    <w:numPr>
                      <w:ilvl w:val="0"/>
                      <w:numId w:val="9"/>
                    </w:numPr>
                    <w:tabs>
                      <w:tab w:pos="1839" w:val="left" w:leader="none"/>
                    </w:tabs>
                    <w:spacing w:line="240" w:lineRule="auto" w:before="120" w:after="0"/>
                    <w:ind w:left="1838" w:right="816" w:hanging="569"/>
                    <w:jc w:val="both"/>
                  </w:pPr>
                  <w:r>
                    <w:rPr/>
                    <w:t>significant customisation on behalf of an instructor to a particular user or limited group of users, whether with respect to the curriculum, teaching materials, or feedback provided.</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40994pt;width:465.6pt;height:229.7pt;mso-position-horizontal-relative:page;mso-position-vertical-relative:paragraph;z-index:-15703040;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2.18. Standardised online teaching services – Commentary</w:t>
                  </w:r>
                </w:p>
                <w:p>
                  <w:pPr>
                    <w:pStyle w:val="BodyText"/>
                    <w:spacing w:line="271" w:lineRule="auto" w:before="213"/>
                    <w:ind w:left="136" w:right="137"/>
                    <w:jc w:val="both"/>
                  </w:pPr>
                  <w:r>
                    <w:rPr/>
                    <w:t>This</w:t>
                  </w:r>
                  <w:r>
                    <w:rPr>
                      <w:spacing w:val="-14"/>
                    </w:rPr>
                    <w:t> </w:t>
                  </w:r>
                  <w:r>
                    <w:rPr/>
                    <w:t>category</w:t>
                  </w:r>
                  <w:r>
                    <w:rPr>
                      <w:spacing w:val="-15"/>
                    </w:rPr>
                    <w:t> </w:t>
                  </w:r>
                  <w:r>
                    <w:rPr/>
                    <w:t>would</w:t>
                  </w:r>
                  <w:r>
                    <w:rPr>
                      <w:spacing w:val="-13"/>
                    </w:rPr>
                    <w:t> </w:t>
                  </w:r>
                  <w:r>
                    <w:rPr/>
                    <w:t>include</w:t>
                  </w:r>
                  <w:r>
                    <w:rPr>
                      <w:spacing w:val="-11"/>
                    </w:rPr>
                    <w:t> </w:t>
                  </w:r>
                  <w:r>
                    <w:rPr/>
                    <w:t>pre-packaged,</w:t>
                  </w:r>
                  <w:r>
                    <w:rPr>
                      <w:spacing w:val="-13"/>
                    </w:rPr>
                    <w:t> </w:t>
                  </w:r>
                  <w:r>
                    <w:rPr/>
                    <w:t>non-customised</w:t>
                  </w:r>
                  <w:r>
                    <w:rPr>
                      <w:spacing w:val="-13"/>
                    </w:rPr>
                    <w:t> </w:t>
                  </w:r>
                  <w:r>
                    <w:rPr/>
                    <w:t>education</w:t>
                  </w:r>
                  <w:r>
                    <w:rPr>
                      <w:spacing w:val="-16"/>
                    </w:rPr>
                    <w:t> </w:t>
                  </w:r>
                  <w:r>
                    <w:rPr/>
                    <w:t>products</w:t>
                  </w:r>
                  <w:r>
                    <w:rPr>
                      <w:spacing w:val="-14"/>
                    </w:rPr>
                    <w:t> </w:t>
                  </w:r>
                  <w:r>
                    <w:rPr/>
                    <w:t>such</w:t>
                  </w:r>
                  <w:r>
                    <w:rPr>
                      <w:spacing w:val="-15"/>
                    </w:rPr>
                    <w:t> </w:t>
                  </w:r>
                  <w:r>
                    <w:rPr/>
                    <w:t>as</w:t>
                  </w:r>
                  <w:r>
                    <w:rPr>
                      <w:spacing w:val="-14"/>
                    </w:rPr>
                    <w:t> </w:t>
                  </w:r>
                  <w:r>
                    <w:rPr/>
                    <w:t>a</w:t>
                  </w:r>
                  <w:r>
                    <w:rPr>
                      <w:spacing w:val="-14"/>
                    </w:rPr>
                    <w:t> </w:t>
                  </w:r>
                  <w:r>
                    <w:rPr/>
                    <w:t>pre-recorded series</w:t>
                  </w:r>
                  <w:r>
                    <w:rPr>
                      <w:spacing w:val="-12"/>
                    </w:rPr>
                    <w:t> </w:t>
                  </w:r>
                  <w:r>
                    <w:rPr/>
                    <w:t>of</w:t>
                  </w:r>
                  <w:r>
                    <w:rPr>
                      <w:spacing w:val="-12"/>
                    </w:rPr>
                    <w:t> </w:t>
                  </w:r>
                  <w:r>
                    <w:rPr/>
                    <w:t>lectures,</w:t>
                  </w:r>
                  <w:r>
                    <w:rPr>
                      <w:spacing w:val="-14"/>
                    </w:rPr>
                    <w:t> </w:t>
                  </w:r>
                  <w:r>
                    <w:rPr/>
                    <w:t>and</w:t>
                  </w:r>
                  <w:r>
                    <w:rPr>
                      <w:spacing w:val="-14"/>
                    </w:rPr>
                    <w:t> </w:t>
                  </w:r>
                  <w:r>
                    <w:rPr/>
                    <w:t>the</w:t>
                  </w:r>
                  <w:r>
                    <w:rPr>
                      <w:spacing w:val="-13"/>
                    </w:rPr>
                    <w:t> </w:t>
                  </w:r>
                  <w:r>
                    <w:rPr/>
                    <w:t>content</w:t>
                  </w:r>
                  <w:r>
                    <w:rPr>
                      <w:spacing w:val="-14"/>
                    </w:rPr>
                    <w:t> </w:t>
                  </w:r>
                  <w:r>
                    <w:rPr/>
                    <w:t>of</w:t>
                  </w:r>
                  <w:r>
                    <w:rPr>
                      <w:spacing w:val="-9"/>
                    </w:rPr>
                    <w:t> </w:t>
                  </w:r>
                  <w:r>
                    <w:rPr/>
                    <w:t>which</w:t>
                  </w:r>
                  <w:r>
                    <w:rPr>
                      <w:spacing w:val="-12"/>
                    </w:rPr>
                    <w:t> </w:t>
                  </w:r>
                  <w:r>
                    <w:rPr/>
                    <w:t>is</w:t>
                  </w:r>
                  <w:r>
                    <w:rPr>
                      <w:spacing w:val="-12"/>
                    </w:rPr>
                    <w:t> </w:t>
                  </w:r>
                  <w:r>
                    <w:rPr/>
                    <w:t>not</w:t>
                  </w:r>
                  <w:r>
                    <w:rPr>
                      <w:spacing w:val="-11"/>
                    </w:rPr>
                    <w:t> </w:t>
                  </w:r>
                  <w:r>
                    <w:rPr/>
                    <w:t>customised</w:t>
                  </w:r>
                  <w:r>
                    <w:rPr>
                      <w:spacing w:val="-14"/>
                    </w:rPr>
                    <w:t> </w:t>
                  </w:r>
                  <w:r>
                    <w:rPr/>
                    <w:t>to</w:t>
                  </w:r>
                  <w:r>
                    <w:rPr>
                      <w:spacing w:val="-13"/>
                    </w:rPr>
                    <w:t> </w:t>
                  </w:r>
                  <w:r>
                    <w:rPr/>
                    <w:t>each</w:t>
                  </w:r>
                  <w:r>
                    <w:rPr>
                      <w:spacing w:val="-12"/>
                    </w:rPr>
                    <w:t> </w:t>
                  </w:r>
                  <w:r>
                    <w:rPr/>
                    <w:t>individual</w:t>
                  </w:r>
                  <w:r>
                    <w:rPr>
                      <w:spacing w:val="-12"/>
                    </w:rPr>
                    <w:t> </w:t>
                  </w:r>
                  <w:r>
                    <w:rPr/>
                    <w:t>user</w:t>
                  </w:r>
                  <w:r>
                    <w:rPr>
                      <w:spacing w:val="-13"/>
                    </w:rPr>
                    <w:t> </w:t>
                  </w:r>
                  <w:r>
                    <w:rPr/>
                    <w:t>(e.g.</w:t>
                  </w:r>
                  <w:r>
                    <w:rPr>
                      <w:spacing w:val="-6"/>
                    </w:rPr>
                    <w:t> </w:t>
                  </w:r>
                  <w:r>
                    <w:rPr/>
                    <w:t>massive</w:t>
                  </w:r>
                  <w:r>
                    <w:rPr>
                      <w:spacing w:val="-12"/>
                    </w:rPr>
                    <w:t> </w:t>
                  </w:r>
                  <w:r>
                    <w:rPr/>
                    <w:t>open online</w:t>
                  </w:r>
                  <w:r>
                    <w:rPr>
                      <w:spacing w:val="-12"/>
                    </w:rPr>
                    <w:t> </w:t>
                  </w:r>
                  <w:r>
                    <w:rPr/>
                    <w:t>courses).</w:t>
                  </w:r>
                  <w:r>
                    <w:rPr>
                      <w:spacing w:val="-9"/>
                    </w:rPr>
                    <w:t> </w:t>
                  </w:r>
                  <w:r>
                    <w:rPr/>
                    <w:t>Although</w:t>
                  </w:r>
                  <w:r>
                    <w:rPr>
                      <w:spacing w:val="-11"/>
                    </w:rPr>
                    <w:t> </w:t>
                  </w:r>
                  <w:r>
                    <w:rPr/>
                    <w:t>these</w:t>
                  </w:r>
                  <w:r>
                    <w:rPr>
                      <w:spacing w:val="-11"/>
                    </w:rPr>
                    <w:t> </w:t>
                  </w:r>
                  <w:r>
                    <w:rPr/>
                    <w:t>services</w:t>
                  </w:r>
                  <w:r>
                    <w:rPr>
                      <w:spacing w:val="-9"/>
                    </w:rPr>
                    <w:t> </w:t>
                  </w:r>
                  <w:r>
                    <w:rPr/>
                    <w:t>may</w:t>
                  </w:r>
                  <w:r>
                    <w:rPr>
                      <w:spacing w:val="-16"/>
                    </w:rPr>
                    <w:t> </w:t>
                  </w:r>
                  <w:r>
                    <w:rPr/>
                    <w:t>allow</w:t>
                  </w:r>
                  <w:r>
                    <w:rPr>
                      <w:spacing w:val="-12"/>
                    </w:rPr>
                    <w:t> </w:t>
                  </w:r>
                  <w:r>
                    <w:rPr/>
                    <w:t>users</w:t>
                  </w:r>
                  <w:r>
                    <w:rPr>
                      <w:spacing w:val="-9"/>
                    </w:rPr>
                    <w:t> </w:t>
                  </w:r>
                  <w:r>
                    <w:rPr/>
                    <w:t>to</w:t>
                  </w:r>
                  <w:r>
                    <w:rPr>
                      <w:spacing w:val="-11"/>
                    </w:rPr>
                    <w:t> </w:t>
                  </w:r>
                  <w:r>
                    <w:rPr/>
                    <w:t>discuss</w:t>
                  </w:r>
                  <w:r>
                    <w:rPr>
                      <w:spacing w:val="-9"/>
                    </w:rPr>
                    <w:t> </w:t>
                  </w:r>
                  <w:r>
                    <w:rPr/>
                    <w:t>the</w:t>
                  </w:r>
                  <w:r>
                    <w:rPr>
                      <w:spacing w:val="-11"/>
                    </w:rPr>
                    <w:t> </w:t>
                  </w:r>
                  <w:r>
                    <w:rPr/>
                    <w:t>course</w:t>
                  </w:r>
                  <w:r>
                    <w:rPr>
                      <w:spacing w:val="-12"/>
                    </w:rPr>
                    <w:t> </w:t>
                  </w:r>
                  <w:r>
                    <w:rPr/>
                    <w:t>content</w:t>
                  </w:r>
                  <w:r>
                    <w:rPr>
                      <w:spacing w:val="-8"/>
                    </w:rPr>
                    <w:t> </w:t>
                  </w:r>
                  <w:r>
                    <w:rPr/>
                    <w:t>with</w:t>
                  </w:r>
                  <w:r>
                    <w:rPr>
                      <w:spacing w:val="-11"/>
                    </w:rPr>
                    <w:t> </w:t>
                  </w:r>
                  <w:r>
                    <w:rPr/>
                    <w:t>each</w:t>
                  </w:r>
                  <w:r>
                    <w:rPr>
                      <w:spacing w:val="-8"/>
                    </w:rPr>
                    <w:t> </w:t>
                  </w:r>
                  <w:r>
                    <w:rPr/>
                    <w:t>other on</w:t>
                  </w:r>
                  <w:r>
                    <w:rPr>
                      <w:spacing w:val="-8"/>
                    </w:rPr>
                    <w:t> </w:t>
                  </w:r>
                  <w:r>
                    <w:rPr/>
                    <w:t>discussion</w:t>
                  </w:r>
                  <w:r>
                    <w:rPr>
                      <w:spacing w:val="-7"/>
                    </w:rPr>
                    <w:t> </w:t>
                  </w:r>
                  <w:r>
                    <w:rPr/>
                    <w:t>forums</w:t>
                  </w:r>
                  <w:r>
                    <w:rPr>
                      <w:spacing w:val="-5"/>
                    </w:rPr>
                    <w:t> </w:t>
                  </w:r>
                  <w:r>
                    <w:rPr/>
                    <w:t>within</w:t>
                  </w:r>
                  <w:r>
                    <w:rPr>
                      <w:spacing w:val="-5"/>
                    </w:rPr>
                    <w:t> </w:t>
                  </w:r>
                  <w:r>
                    <w:rPr/>
                    <w:t>the</w:t>
                  </w:r>
                  <w:r>
                    <w:rPr>
                      <w:spacing w:val="-7"/>
                    </w:rPr>
                    <w:t> </w:t>
                  </w:r>
                  <w:r>
                    <w:rPr/>
                    <w:t>platform,</w:t>
                  </w:r>
                  <w:r>
                    <w:rPr>
                      <w:spacing w:val="-6"/>
                    </w:rPr>
                    <w:t> </w:t>
                  </w:r>
                  <w:r>
                    <w:rPr/>
                    <w:t>there</w:t>
                  </w:r>
                  <w:r>
                    <w:rPr>
                      <w:spacing w:val="-8"/>
                    </w:rPr>
                    <w:t> </w:t>
                  </w:r>
                  <w:r>
                    <w:rPr/>
                    <w:t>is</w:t>
                  </w:r>
                  <w:r>
                    <w:rPr>
                      <w:spacing w:val="-5"/>
                    </w:rPr>
                    <w:t> </w:t>
                  </w:r>
                  <w:r>
                    <w:rPr/>
                    <w:t>no</w:t>
                  </w:r>
                  <w:r>
                    <w:rPr>
                      <w:spacing w:val="-7"/>
                    </w:rPr>
                    <w:t> </w:t>
                  </w:r>
                  <w:r>
                    <w:rPr/>
                    <w:t>or</w:t>
                  </w:r>
                  <w:r>
                    <w:rPr>
                      <w:spacing w:val="-6"/>
                    </w:rPr>
                    <w:t> </w:t>
                  </w:r>
                  <w:r>
                    <w:rPr/>
                    <w:t>only</w:t>
                  </w:r>
                  <w:r>
                    <w:rPr>
                      <w:spacing w:val="-10"/>
                    </w:rPr>
                    <w:t> </w:t>
                  </w:r>
                  <w:r>
                    <w:rPr/>
                    <w:t>limited</w:t>
                  </w:r>
                  <w:r>
                    <w:rPr>
                      <w:spacing w:val="-7"/>
                    </w:rPr>
                    <w:t> </w:t>
                  </w:r>
                  <w:r>
                    <w:rPr/>
                    <w:t>interaction</w:t>
                  </w:r>
                  <w:r>
                    <w:rPr>
                      <w:spacing w:val="-5"/>
                    </w:rPr>
                    <w:t> </w:t>
                  </w:r>
                  <w:r>
                    <w:rPr/>
                    <w:t>with</w:t>
                  </w:r>
                  <w:r>
                    <w:rPr>
                      <w:spacing w:val="-5"/>
                    </w:rPr>
                    <w:t> </w:t>
                  </w:r>
                  <w:r>
                    <w:rPr/>
                    <w:t>instructors.</w:t>
                  </w:r>
                  <w:r>
                    <w:rPr>
                      <w:spacing w:val="-6"/>
                    </w:rPr>
                    <w:t> </w:t>
                  </w:r>
                  <w:r>
                    <w:rPr/>
                    <w:t>Another key</w:t>
                  </w:r>
                  <w:r>
                    <w:rPr>
                      <w:spacing w:val="-15"/>
                    </w:rPr>
                    <w:t> </w:t>
                  </w:r>
                  <w:r>
                    <w:rPr/>
                    <w:t>feature</w:t>
                  </w:r>
                  <w:r>
                    <w:rPr>
                      <w:spacing w:val="-9"/>
                    </w:rPr>
                    <w:t> </w:t>
                  </w:r>
                  <w:r>
                    <w:rPr/>
                    <w:t>of</w:t>
                  </w:r>
                  <w:r>
                    <w:rPr>
                      <w:spacing w:val="-8"/>
                    </w:rPr>
                    <w:t> </w:t>
                  </w:r>
                  <w:r>
                    <w:rPr/>
                    <w:t>standardised</w:t>
                  </w:r>
                  <w:r>
                    <w:rPr>
                      <w:spacing w:val="-7"/>
                    </w:rPr>
                    <w:t> </w:t>
                  </w:r>
                  <w:r>
                    <w:rPr/>
                    <w:t>teaching</w:t>
                  </w:r>
                  <w:r>
                    <w:rPr>
                      <w:spacing w:val="-9"/>
                    </w:rPr>
                    <w:t> </w:t>
                  </w:r>
                  <w:r>
                    <w:rPr/>
                    <w:t>services</w:t>
                  </w:r>
                  <w:r>
                    <w:rPr>
                      <w:spacing w:val="-9"/>
                    </w:rPr>
                    <w:t> </w:t>
                  </w:r>
                  <w:r>
                    <w:rPr/>
                    <w:t>is</w:t>
                  </w:r>
                  <w:r>
                    <w:rPr>
                      <w:spacing w:val="-8"/>
                    </w:rPr>
                    <w:t> </w:t>
                  </w:r>
                  <w:r>
                    <w:rPr/>
                    <w:t>that</w:t>
                  </w:r>
                  <w:r>
                    <w:rPr>
                      <w:spacing w:val="-9"/>
                    </w:rPr>
                    <w:t> </w:t>
                  </w:r>
                  <w:r>
                    <w:rPr/>
                    <w:t>coursework</w:t>
                  </w:r>
                  <w:r>
                    <w:rPr>
                      <w:spacing w:val="-5"/>
                    </w:rPr>
                    <w:t> </w:t>
                  </w:r>
                  <w:r>
                    <w:rPr/>
                    <w:t>completed</w:t>
                  </w:r>
                  <w:r>
                    <w:rPr>
                      <w:spacing w:val="-10"/>
                    </w:rPr>
                    <w:t> </w:t>
                  </w:r>
                  <w:r>
                    <w:rPr/>
                    <w:t>by</w:t>
                  </w:r>
                  <w:r>
                    <w:rPr>
                      <w:spacing w:val="-10"/>
                    </w:rPr>
                    <w:t> </w:t>
                  </w:r>
                  <w:r>
                    <w:rPr/>
                    <w:t>the</w:t>
                  </w:r>
                  <w:r>
                    <w:rPr>
                      <w:spacing w:val="-7"/>
                    </w:rPr>
                    <w:t> </w:t>
                  </w:r>
                  <w:r>
                    <w:rPr/>
                    <w:t>user</w:t>
                  </w:r>
                  <w:r>
                    <w:rPr>
                      <w:spacing w:val="-8"/>
                    </w:rPr>
                    <w:t> </w:t>
                  </w:r>
                  <w:r>
                    <w:rPr/>
                    <w:t>is</w:t>
                  </w:r>
                  <w:r>
                    <w:rPr>
                      <w:spacing w:val="-2"/>
                    </w:rPr>
                    <w:t> </w:t>
                  </w:r>
                  <w:r>
                    <w:rPr/>
                    <w:t>generally</w:t>
                  </w:r>
                  <w:r>
                    <w:rPr>
                      <w:spacing w:val="-9"/>
                    </w:rPr>
                    <w:t> </w:t>
                  </w:r>
                  <w:r>
                    <w:rPr/>
                    <w:t>not marked</w:t>
                  </w:r>
                  <w:r>
                    <w:rPr>
                      <w:spacing w:val="-9"/>
                    </w:rPr>
                    <w:t> </w:t>
                  </w:r>
                  <w:r>
                    <w:rPr/>
                    <w:t>by</w:t>
                  </w:r>
                  <w:r>
                    <w:rPr>
                      <w:spacing w:val="-15"/>
                    </w:rPr>
                    <w:t> </w:t>
                  </w:r>
                  <w:r>
                    <w:rPr/>
                    <w:t>the</w:t>
                  </w:r>
                  <w:r>
                    <w:rPr>
                      <w:spacing w:val="-7"/>
                    </w:rPr>
                    <w:t> </w:t>
                  </w:r>
                  <w:r>
                    <w:rPr/>
                    <w:t>instructors,</w:t>
                  </w:r>
                  <w:r>
                    <w:rPr>
                      <w:spacing w:val="-9"/>
                    </w:rPr>
                    <w:t> </w:t>
                  </w:r>
                  <w:r>
                    <w:rPr/>
                    <w:t>but</w:t>
                  </w:r>
                  <w:r>
                    <w:rPr>
                      <w:spacing w:val="-9"/>
                    </w:rPr>
                    <w:t> </w:t>
                  </w:r>
                  <w:r>
                    <w:rPr/>
                    <w:t>either</w:t>
                  </w:r>
                  <w:r>
                    <w:rPr>
                      <w:spacing w:val="-8"/>
                    </w:rPr>
                    <w:t> </w:t>
                  </w:r>
                  <w:r>
                    <w:rPr/>
                    <w:t>marked</w:t>
                  </w:r>
                  <w:r>
                    <w:rPr>
                      <w:spacing w:val="-8"/>
                    </w:rPr>
                    <w:t> </w:t>
                  </w:r>
                  <w:r>
                    <w:rPr/>
                    <w:t>automatically,</w:t>
                  </w:r>
                  <w:r>
                    <w:rPr>
                      <w:spacing w:val="-9"/>
                    </w:rPr>
                    <w:t> </w:t>
                  </w:r>
                  <w:r>
                    <w:rPr/>
                    <w:t>or</w:t>
                  </w:r>
                  <w:r>
                    <w:rPr>
                      <w:spacing w:val="-8"/>
                    </w:rPr>
                    <w:t> </w:t>
                  </w:r>
                  <w:r>
                    <w:rPr/>
                    <w:t>by</w:t>
                  </w:r>
                  <w:r>
                    <w:rPr>
                      <w:spacing w:val="-12"/>
                    </w:rPr>
                    <w:t> </w:t>
                  </w:r>
                  <w:r>
                    <w:rPr/>
                    <w:t>other</w:t>
                  </w:r>
                  <w:r>
                    <w:rPr>
                      <w:spacing w:val="-8"/>
                    </w:rPr>
                    <w:t> </w:t>
                  </w:r>
                  <w:r>
                    <w:rPr/>
                    <w:t>users.</w:t>
                  </w:r>
                  <w:r>
                    <w:rPr>
                      <w:spacing w:val="-6"/>
                    </w:rPr>
                    <w:t> </w:t>
                  </w:r>
                  <w:r>
                    <w:rPr/>
                    <w:t>Non-ADS</w:t>
                  </w:r>
                  <w:r>
                    <w:rPr>
                      <w:spacing w:val="-7"/>
                    </w:rPr>
                    <w:t> </w:t>
                  </w:r>
                  <w:r>
                    <w:rPr/>
                    <w:t>online</w:t>
                  </w:r>
                  <w:r>
                    <w:rPr>
                      <w:spacing w:val="-9"/>
                    </w:rPr>
                    <w:t> </w:t>
                  </w:r>
                  <w:r>
                    <w:rPr/>
                    <w:t>teaching services may be captured under consumer-facing</w:t>
                  </w:r>
                  <w:r>
                    <w:rPr>
                      <w:spacing w:val="-13"/>
                    </w:rPr>
                    <w:t> </w:t>
                  </w:r>
                  <w:r>
                    <w:rPr/>
                    <w:t>business.</w:t>
                  </w:r>
                </w:p>
                <w:p>
                  <w:pPr>
                    <w:pStyle w:val="BodyText"/>
                    <w:spacing w:line="271" w:lineRule="auto" w:before="120"/>
                    <w:ind w:left="136" w:right="137"/>
                    <w:jc w:val="both"/>
                  </w:pPr>
                  <w:r>
                    <w:rPr/>
                    <w:t>This</w:t>
                  </w:r>
                  <w:r>
                    <w:rPr>
                      <w:spacing w:val="-12"/>
                    </w:rPr>
                    <w:t> </w:t>
                  </w:r>
                  <w:r>
                    <w:rPr/>
                    <w:t>category</w:t>
                  </w:r>
                  <w:r>
                    <w:rPr>
                      <w:spacing w:val="-14"/>
                    </w:rPr>
                    <w:t> </w:t>
                  </w:r>
                  <w:r>
                    <w:rPr/>
                    <w:t>would</w:t>
                  </w:r>
                  <w:r>
                    <w:rPr>
                      <w:spacing w:val="-14"/>
                    </w:rPr>
                    <w:t> </w:t>
                  </w:r>
                  <w:r>
                    <w:rPr/>
                    <w:t>not</w:t>
                  </w:r>
                  <w:r>
                    <w:rPr>
                      <w:spacing w:val="-14"/>
                    </w:rPr>
                    <w:t> </w:t>
                  </w:r>
                  <w:r>
                    <w:rPr/>
                    <w:t>cover</w:t>
                  </w:r>
                  <w:r>
                    <w:rPr>
                      <w:spacing w:val="-13"/>
                    </w:rPr>
                    <w:t> </w:t>
                  </w:r>
                  <w:r>
                    <w:rPr/>
                    <w:t>online</w:t>
                  </w:r>
                  <w:r>
                    <w:rPr>
                      <w:spacing w:val="-14"/>
                    </w:rPr>
                    <w:t> </w:t>
                  </w:r>
                  <w:r>
                    <w:rPr/>
                    <w:t>education</w:t>
                  </w:r>
                  <w:r>
                    <w:rPr>
                      <w:spacing w:val="-12"/>
                    </w:rPr>
                    <w:t> </w:t>
                  </w:r>
                  <w:r>
                    <w:rPr/>
                    <w:t>products</w:t>
                  </w:r>
                  <w:r>
                    <w:rPr>
                      <w:spacing w:val="-12"/>
                    </w:rPr>
                    <w:t> </w:t>
                  </w:r>
                  <w:r>
                    <w:rPr/>
                    <w:t>that</w:t>
                  </w:r>
                  <w:r>
                    <w:rPr>
                      <w:spacing w:val="-14"/>
                    </w:rPr>
                    <w:t> </w:t>
                  </w:r>
                  <w:r>
                    <w:rPr/>
                    <w:t>are</w:t>
                  </w:r>
                  <w:r>
                    <w:rPr>
                      <w:spacing w:val="-13"/>
                    </w:rPr>
                    <w:t> </w:t>
                  </w:r>
                  <w:r>
                    <w:rPr/>
                    <w:t>customised</w:t>
                  </w:r>
                  <w:r>
                    <w:rPr>
                      <w:spacing w:val="-14"/>
                    </w:rPr>
                    <w:t> </w:t>
                  </w:r>
                  <w:r>
                    <w:rPr/>
                    <w:t>to</w:t>
                  </w:r>
                  <w:r>
                    <w:rPr>
                      <w:spacing w:val="-14"/>
                    </w:rPr>
                    <w:t> </w:t>
                  </w:r>
                  <w:r>
                    <w:rPr/>
                    <w:t>a</w:t>
                  </w:r>
                  <w:r>
                    <w:rPr>
                      <w:spacing w:val="-13"/>
                    </w:rPr>
                    <w:t> </w:t>
                  </w:r>
                  <w:r>
                    <w:rPr/>
                    <w:t>student,</w:t>
                  </w:r>
                  <w:r>
                    <w:rPr>
                      <w:spacing w:val="-14"/>
                    </w:rPr>
                    <w:t> </w:t>
                  </w:r>
                  <w:r>
                    <w:rPr/>
                    <w:t>or</w:t>
                  </w:r>
                  <w:r>
                    <w:rPr>
                      <w:spacing w:val="-13"/>
                    </w:rPr>
                    <w:t> </w:t>
                  </w:r>
                  <w:r>
                    <w:rPr/>
                    <w:t>to</w:t>
                  </w:r>
                  <w:r>
                    <w:rPr>
                      <w:spacing w:val="-14"/>
                    </w:rPr>
                    <w:t> </w:t>
                  </w:r>
                  <w:r>
                    <w:rPr/>
                    <w:t>a</w:t>
                  </w:r>
                  <w:r>
                    <w:rPr>
                      <w:spacing w:val="-14"/>
                    </w:rPr>
                    <w:t> </w:t>
                  </w:r>
                  <w:r>
                    <w:rPr/>
                    <w:t>limited group of students, which may incorporate certain ancillary elements that are automated (e.g. a pre- recorded</w:t>
                  </w:r>
                  <w:r>
                    <w:rPr>
                      <w:spacing w:val="-14"/>
                    </w:rPr>
                    <w:t> </w:t>
                  </w:r>
                  <w:r>
                    <w:rPr/>
                    <w:t>lecture</w:t>
                  </w:r>
                  <w:r>
                    <w:rPr>
                      <w:spacing w:val="-12"/>
                    </w:rPr>
                    <w:t> </w:t>
                  </w:r>
                  <w:r>
                    <w:rPr/>
                    <w:t>offered</w:t>
                  </w:r>
                  <w:r>
                    <w:rPr>
                      <w:spacing w:val="-12"/>
                    </w:rPr>
                    <w:t> </w:t>
                  </w:r>
                  <w:r>
                    <w:rPr/>
                    <w:t>as</w:t>
                  </w:r>
                  <w:r>
                    <w:rPr>
                      <w:spacing w:val="-11"/>
                    </w:rPr>
                    <w:t> </w:t>
                  </w:r>
                  <w:r>
                    <w:rPr/>
                    <w:t>part</w:t>
                  </w:r>
                  <w:r>
                    <w:rPr>
                      <w:spacing w:val="-12"/>
                    </w:rPr>
                    <w:t> </w:t>
                  </w:r>
                  <w:r>
                    <w:rPr/>
                    <w:t>of</w:t>
                  </w:r>
                  <w:r>
                    <w:rPr>
                      <w:spacing w:val="-11"/>
                    </w:rPr>
                    <w:t> </w:t>
                  </w:r>
                  <w:r>
                    <w:rPr/>
                    <w:t>a</w:t>
                  </w:r>
                  <w:r>
                    <w:rPr>
                      <w:spacing w:val="-13"/>
                    </w:rPr>
                    <w:t> </w:t>
                  </w:r>
                  <w:r>
                    <w:rPr/>
                    <w:t>customised</w:t>
                  </w:r>
                  <w:r>
                    <w:rPr>
                      <w:spacing w:val="-13"/>
                    </w:rPr>
                    <w:t> </w:t>
                  </w:r>
                  <w:r>
                    <w:rPr/>
                    <w:t>education</w:t>
                  </w:r>
                  <w:r>
                    <w:rPr>
                      <w:spacing w:val="-10"/>
                    </w:rPr>
                    <w:t> </w:t>
                  </w:r>
                  <w:r>
                    <w:rPr/>
                    <w:t>package;</w:t>
                  </w:r>
                  <w:r>
                    <w:rPr>
                      <w:spacing w:val="-13"/>
                    </w:rPr>
                    <w:t> </w:t>
                  </w:r>
                  <w:r>
                    <w:rPr/>
                    <w:t>automatically</w:t>
                  </w:r>
                  <w:r>
                    <w:rPr>
                      <w:spacing w:val="-13"/>
                    </w:rPr>
                    <w:t> </w:t>
                  </w:r>
                  <w:r>
                    <w:rPr/>
                    <w:t>graded</w:t>
                  </w:r>
                  <w:r>
                    <w:rPr>
                      <w:spacing w:val="-14"/>
                    </w:rPr>
                    <w:t> </w:t>
                  </w:r>
                  <w:r>
                    <w:rPr/>
                    <w:t>assignments accompanying a live-streamed lecture). Such services would also not meet the general definitions of ADS, and as such are included in the negative list under the category of customised online teaching services.</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70978pt;width:465.6pt;height:87.6pt;mso-position-horizontal-relative:page;mso-position-vertical-relative:paragraph;z-index:-15702528;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2.19. Cloud computing services – Definition</w:t>
                  </w:r>
                </w:p>
                <w:p>
                  <w:pPr>
                    <w:pStyle w:val="BodyText"/>
                    <w:spacing w:line="271" w:lineRule="auto" w:before="213"/>
                    <w:ind w:left="136" w:right="137"/>
                    <w:jc w:val="both"/>
                  </w:pPr>
                  <w:r>
                    <w:rPr/>
                    <w:t>This means the provision of network access to on-demand standardised information technology (IT) resources, including infrastructure as a service, platforms </w:t>
                  </w:r>
                  <w:r>
                    <w:rPr>
                      <w:spacing w:val="3"/>
                    </w:rPr>
                    <w:t>as </w:t>
                  </w:r>
                  <w:r>
                    <w:rPr/>
                    <w:t>a service, or software as a service (such as</w:t>
                  </w:r>
                  <w:r>
                    <w:rPr>
                      <w:spacing w:val="-18"/>
                    </w:rPr>
                    <w:t> </w:t>
                  </w:r>
                  <w:r>
                    <w:rPr/>
                    <w:t>computing</w:t>
                  </w:r>
                  <w:r>
                    <w:rPr>
                      <w:spacing w:val="-18"/>
                    </w:rPr>
                    <w:t> </w:t>
                  </w:r>
                  <w:r>
                    <w:rPr/>
                    <w:t>services,</w:t>
                  </w:r>
                  <w:r>
                    <w:rPr>
                      <w:spacing w:val="-19"/>
                    </w:rPr>
                    <w:t> </w:t>
                  </w:r>
                  <w:r>
                    <w:rPr/>
                    <w:t>storage</w:t>
                  </w:r>
                  <w:r>
                    <w:rPr>
                      <w:spacing w:val="-17"/>
                    </w:rPr>
                    <w:t> </w:t>
                  </w:r>
                  <w:r>
                    <w:rPr/>
                    <w:t>services,</w:t>
                  </w:r>
                  <w:r>
                    <w:rPr>
                      <w:spacing w:val="-19"/>
                    </w:rPr>
                    <w:t> </w:t>
                  </w:r>
                  <w:r>
                    <w:rPr/>
                    <w:t>database</w:t>
                  </w:r>
                  <w:r>
                    <w:rPr>
                      <w:spacing w:val="-17"/>
                    </w:rPr>
                    <w:t> </w:t>
                  </w:r>
                  <w:r>
                    <w:rPr/>
                    <w:t>services,</w:t>
                  </w:r>
                  <w:r>
                    <w:rPr>
                      <w:spacing w:val="-19"/>
                    </w:rPr>
                    <w:t> </w:t>
                  </w:r>
                  <w:r>
                    <w:rPr/>
                    <w:t>migration</w:t>
                  </w:r>
                  <w:r>
                    <w:rPr>
                      <w:spacing w:val="-20"/>
                    </w:rPr>
                    <w:t> </w:t>
                  </w:r>
                  <w:r>
                    <w:rPr/>
                    <w:t>services,</w:t>
                  </w:r>
                  <w:r>
                    <w:rPr>
                      <w:spacing w:val="-17"/>
                    </w:rPr>
                    <w:t> </w:t>
                  </w:r>
                  <w:r>
                    <w:rPr/>
                    <w:t>networking</w:t>
                  </w:r>
                  <w:r>
                    <w:rPr>
                      <w:spacing w:val="-20"/>
                    </w:rPr>
                    <w:t> </w:t>
                  </w:r>
                  <w:r>
                    <w:rPr/>
                    <w:t>and</w:t>
                  </w:r>
                  <w:r>
                    <w:rPr>
                      <w:spacing w:val="-19"/>
                    </w:rPr>
                    <w:t> </w:t>
                  </w:r>
                  <w:r>
                    <w:rPr/>
                    <w:t>content</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26.65pt;mso-position-horizontal-relative:char;mso-position-vertical-relative:line" type="#_x0000_t202" filled="true" fillcolor="#eeece1" stroked="true" strokeweight=".48004pt" strokecolor="#4e81bd">
            <w10:anchorlock/>
            <v:textbox inset="0,0,0,0">
              <w:txbxContent>
                <w:p>
                  <w:pPr>
                    <w:pStyle w:val="BodyText"/>
                    <w:spacing w:before="28"/>
                    <w:ind w:left="136"/>
                  </w:pPr>
                  <w:r>
                    <w:rPr/>
                    <w:t>delivery services, webhosting, and end-user applications and software).</w:t>
                  </w:r>
                </w:p>
              </w:txbxContent>
            </v:textbox>
            <v:fill type="solid"/>
            <v:stroke dashstyle="solid"/>
          </v:shape>
        </w:pict>
      </w:r>
      <w:r>
        <w:rPr/>
      </w:r>
    </w:p>
    <w:p>
      <w:pPr>
        <w:pStyle w:val="BodyText"/>
      </w:pPr>
    </w:p>
    <w:p>
      <w:pPr>
        <w:pStyle w:val="BodyText"/>
      </w:pPr>
    </w:p>
    <w:p>
      <w:pPr>
        <w:pStyle w:val="BodyText"/>
        <w:spacing w:before="7"/>
        <w:rPr>
          <w:sz w:val="23"/>
        </w:rPr>
      </w:pPr>
    </w:p>
    <w:p>
      <w:pPr>
        <w:pStyle w:val="Heading4"/>
        <w:spacing w:before="100"/>
        <w:ind w:left="1386" w:right="1149"/>
      </w:pPr>
      <w:r>
        <w:rPr/>
        <w:pict>
          <v:group style="position:absolute;margin-left:64.704002pt;margin-top:-13.515827pt;width:466.05pt;height:502.9pt;mso-position-horizontal-relative:page;mso-position-vertical-relative:paragraph;z-index:-19564032" coordorigin="1294,-270" coordsize="9321,10058">
            <v:rect style="position:absolute;left:1303;top:-261;width:9302;height:10039" filled="true" fillcolor="#eeece1" stroked="false">
              <v:fill type="solid"/>
            </v:rect>
            <v:shape style="position:absolute;left:1294;top:-271;width:9321;height:10058" coordorigin="1294,-270" coordsize="9321,10058" path="m10605,9778l1304,9778,1304,-261,1294,-261,1294,9778,1294,9787,1304,9787,1304,9787,10605,9787,10605,9778xm10605,-270l1304,-270,1304,-270,1294,-270,1294,-261,1304,-261,1304,-261,10605,-261,10605,-270xm10615,-261l10605,-261,10605,9778,10605,9787,10615,9787,10615,9778,10615,-261xm10615,-270l10605,-270,10605,-261,10615,-261,10615,-270xe" filled="true" fillcolor="#4e81bd" stroked="false">
              <v:path arrowok="t"/>
              <v:fill type="solid"/>
            </v:shape>
            <w10:wrap type="none"/>
          </v:group>
        </w:pict>
      </w:r>
      <w:r>
        <w:rPr>
          <w:color w:val="4E81BD"/>
        </w:rPr>
        <w:t>Box 2.20. Cloud computing services – Commentary</w:t>
      </w:r>
    </w:p>
    <w:p>
      <w:pPr>
        <w:pStyle w:val="BodyText"/>
        <w:spacing w:line="271" w:lineRule="auto" w:before="213"/>
        <w:ind w:left="860" w:right="622"/>
        <w:jc w:val="both"/>
      </w:pPr>
      <w:r>
        <w:rPr/>
        <w:t>The network access to on-demand standardised IT resources includes all types of standardised cloud computing services, including computing services, storage services, database services, migration services, networking and content delivery services, webhosting, and end-user applications and software.</w:t>
      </w:r>
    </w:p>
    <w:p>
      <w:pPr>
        <w:pStyle w:val="ListParagraph"/>
        <w:numPr>
          <w:ilvl w:val="1"/>
          <w:numId w:val="5"/>
        </w:numPr>
        <w:tabs>
          <w:tab w:pos="2222" w:val="left" w:leader="none"/>
        </w:tabs>
        <w:spacing w:line="240" w:lineRule="auto" w:before="89" w:after="0"/>
        <w:ind w:left="2221" w:right="1299" w:hanging="341"/>
        <w:jc w:val="both"/>
        <w:rPr>
          <w:sz w:val="20"/>
        </w:rPr>
      </w:pPr>
      <w:r>
        <w:rPr>
          <w:sz w:val="20"/>
        </w:rPr>
        <w:t>Computing services include virtual servers in the cloud, the ability to run and manage web apps using remote computing, the ability to run code on remote computers</w:t>
      </w:r>
      <w:r>
        <w:rPr>
          <w:spacing w:val="-4"/>
          <w:sz w:val="20"/>
        </w:rPr>
        <w:t> </w:t>
      </w:r>
      <w:r>
        <w:rPr>
          <w:sz w:val="20"/>
        </w:rPr>
        <w:t>in</w:t>
      </w:r>
      <w:r>
        <w:rPr>
          <w:spacing w:val="-3"/>
          <w:sz w:val="20"/>
        </w:rPr>
        <w:t> </w:t>
      </w:r>
      <w:r>
        <w:rPr>
          <w:sz w:val="20"/>
        </w:rPr>
        <w:t>response</w:t>
      </w:r>
      <w:r>
        <w:rPr>
          <w:spacing w:val="-3"/>
          <w:sz w:val="20"/>
        </w:rPr>
        <w:t> </w:t>
      </w:r>
      <w:r>
        <w:rPr>
          <w:sz w:val="20"/>
        </w:rPr>
        <w:t>to</w:t>
      </w:r>
      <w:r>
        <w:rPr>
          <w:spacing w:val="-3"/>
          <w:sz w:val="20"/>
        </w:rPr>
        <w:t> </w:t>
      </w:r>
      <w:r>
        <w:rPr>
          <w:sz w:val="20"/>
        </w:rPr>
        <w:t>events</w:t>
      </w:r>
      <w:r>
        <w:rPr>
          <w:spacing w:val="-4"/>
          <w:sz w:val="20"/>
        </w:rPr>
        <w:t> </w:t>
      </w:r>
      <w:r>
        <w:rPr>
          <w:sz w:val="20"/>
        </w:rPr>
        <w:t>and</w:t>
      </w:r>
      <w:r>
        <w:rPr>
          <w:spacing w:val="-3"/>
          <w:sz w:val="20"/>
        </w:rPr>
        <w:t> </w:t>
      </w:r>
      <w:r>
        <w:rPr>
          <w:sz w:val="20"/>
        </w:rPr>
        <w:t>the</w:t>
      </w:r>
      <w:r>
        <w:rPr>
          <w:spacing w:val="-3"/>
          <w:sz w:val="20"/>
        </w:rPr>
        <w:t> </w:t>
      </w:r>
      <w:r>
        <w:rPr>
          <w:sz w:val="20"/>
        </w:rPr>
        <w:t>ability</w:t>
      </w:r>
      <w:r>
        <w:rPr>
          <w:spacing w:val="-5"/>
          <w:sz w:val="20"/>
        </w:rPr>
        <w:t> </w:t>
      </w:r>
      <w:r>
        <w:rPr>
          <w:sz w:val="20"/>
        </w:rPr>
        <w:t>to</w:t>
      </w:r>
      <w:r>
        <w:rPr>
          <w:spacing w:val="-6"/>
          <w:sz w:val="20"/>
        </w:rPr>
        <w:t> </w:t>
      </w:r>
      <w:r>
        <w:rPr>
          <w:sz w:val="20"/>
        </w:rPr>
        <w:t>run</w:t>
      </w:r>
      <w:r>
        <w:rPr>
          <w:spacing w:val="-3"/>
          <w:sz w:val="20"/>
        </w:rPr>
        <w:t> </w:t>
      </w:r>
      <w:r>
        <w:rPr>
          <w:sz w:val="20"/>
        </w:rPr>
        <w:t>batch</w:t>
      </w:r>
      <w:r>
        <w:rPr>
          <w:spacing w:val="-6"/>
          <w:sz w:val="20"/>
        </w:rPr>
        <w:t> </w:t>
      </w:r>
      <w:r>
        <w:rPr>
          <w:sz w:val="20"/>
        </w:rPr>
        <w:t>code</w:t>
      </w:r>
      <w:r>
        <w:rPr>
          <w:spacing w:val="-3"/>
          <w:sz w:val="20"/>
        </w:rPr>
        <w:t> </w:t>
      </w:r>
      <w:r>
        <w:rPr>
          <w:sz w:val="20"/>
        </w:rPr>
        <w:t>jobs</w:t>
      </w:r>
      <w:r>
        <w:rPr>
          <w:spacing w:val="-4"/>
          <w:sz w:val="20"/>
        </w:rPr>
        <w:t> </w:t>
      </w:r>
      <w:r>
        <w:rPr>
          <w:sz w:val="20"/>
        </w:rPr>
        <w:t>at</w:t>
      </w:r>
      <w:r>
        <w:rPr>
          <w:spacing w:val="-4"/>
          <w:sz w:val="20"/>
        </w:rPr>
        <w:t> </w:t>
      </w:r>
      <w:r>
        <w:rPr>
          <w:sz w:val="20"/>
        </w:rPr>
        <w:t>scale;</w:t>
      </w:r>
    </w:p>
    <w:p>
      <w:pPr>
        <w:pStyle w:val="ListParagraph"/>
        <w:numPr>
          <w:ilvl w:val="1"/>
          <w:numId w:val="5"/>
        </w:numPr>
        <w:tabs>
          <w:tab w:pos="2222" w:val="left" w:leader="none"/>
        </w:tabs>
        <w:spacing w:line="240" w:lineRule="auto" w:before="119" w:after="0"/>
        <w:ind w:left="2221" w:right="0" w:hanging="342"/>
        <w:jc w:val="both"/>
        <w:rPr>
          <w:sz w:val="20"/>
        </w:rPr>
      </w:pPr>
      <w:r>
        <w:rPr>
          <w:sz w:val="20"/>
        </w:rPr>
        <w:t>Storage services include storage in the cloud and data</w:t>
      </w:r>
      <w:r>
        <w:rPr>
          <w:spacing w:val="-12"/>
          <w:sz w:val="20"/>
        </w:rPr>
        <w:t> </w:t>
      </w:r>
      <w:r>
        <w:rPr>
          <w:sz w:val="20"/>
        </w:rPr>
        <w:t>transport;</w:t>
      </w:r>
    </w:p>
    <w:p>
      <w:pPr>
        <w:pStyle w:val="ListParagraph"/>
        <w:numPr>
          <w:ilvl w:val="1"/>
          <w:numId w:val="5"/>
        </w:numPr>
        <w:tabs>
          <w:tab w:pos="2222" w:val="left" w:leader="none"/>
        </w:tabs>
        <w:spacing w:line="240" w:lineRule="auto" w:before="120" w:after="0"/>
        <w:ind w:left="2221" w:right="1303" w:hanging="341"/>
        <w:jc w:val="both"/>
        <w:rPr>
          <w:sz w:val="20"/>
        </w:rPr>
      </w:pPr>
      <w:r>
        <w:rPr>
          <w:sz w:val="20"/>
        </w:rPr>
        <w:t>Database services include data warehousing, database management and caching</w:t>
      </w:r>
      <w:r>
        <w:rPr>
          <w:spacing w:val="-3"/>
          <w:sz w:val="20"/>
        </w:rPr>
        <w:t> </w:t>
      </w:r>
      <w:r>
        <w:rPr>
          <w:sz w:val="20"/>
        </w:rPr>
        <w:t>systems;</w:t>
      </w:r>
    </w:p>
    <w:p>
      <w:pPr>
        <w:pStyle w:val="ListParagraph"/>
        <w:numPr>
          <w:ilvl w:val="1"/>
          <w:numId w:val="5"/>
        </w:numPr>
        <w:tabs>
          <w:tab w:pos="2222" w:val="left" w:leader="none"/>
        </w:tabs>
        <w:spacing w:line="240" w:lineRule="auto" w:before="118" w:after="0"/>
        <w:ind w:left="2221" w:right="0" w:hanging="342"/>
        <w:jc w:val="both"/>
        <w:rPr>
          <w:sz w:val="20"/>
        </w:rPr>
      </w:pPr>
      <w:r>
        <w:rPr>
          <w:sz w:val="20"/>
        </w:rPr>
        <w:t>Migration services include database migration and data</w:t>
      </w:r>
      <w:r>
        <w:rPr>
          <w:spacing w:val="-8"/>
          <w:sz w:val="20"/>
        </w:rPr>
        <w:t> </w:t>
      </w:r>
      <w:r>
        <w:rPr>
          <w:sz w:val="20"/>
        </w:rPr>
        <w:t>transport;</w:t>
      </w:r>
    </w:p>
    <w:p>
      <w:pPr>
        <w:pStyle w:val="ListParagraph"/>
        <w:numPr>
          <w:ilvl w:val="1"/>
          <w:numId w:val="5"/>
        </w:numPr>
        <w:tabs>
          <w:tab w:pos="2222" w:val="left" w:leader="none"/>
        </w:tabs>
        <w:spacing w:line="240" w:lineRule="auto" w:before="117" w:after="0"/>
        <w:ind w:left="2221" w:right="1299" w:hanging="341"/>
        <w:jc w:val="both"/>
        <w:rPr>
          <w:sz w:val="20"/>
        </w:rPr>
      </w:pPr>
      <w:r>
        <w:rPr>
          <w:sz w:val="20"/>
        </w:rPr>
        <w:t>Networking and content delivery services include access to a virtual private cloud (an isolated cloud that the customer can control) and use of a global content delivery network (whereby content such as videos are transferred to viewers at high transfer</w:t>
      </w:r>
      <w:r>
        <w:rPr>
          <w:spacing w:val="-3"/>
          <w:sz w:val="20"/>
        </w:rPr>
        <w:t> </w:t>
      </w:r>
      <w:r>
        <w:rPr>
          <w:sz w:val="20"/>
        </w:rPr>
        <w:t>speeds);</w:t>
      </w:r>
    </w:p>
    <w:p>
      <w:pPr>
        <w:pStyle w:val="ListParagraph"/>
        <w:numPr>
          <w:ilvl w:val="1"/>
          <w:numId w:val="5"/>
        </w:numPr>
        <w:tabs>
          <w:tab w:pos="2222" w:val="left" w:leader="none"/>
        </w:tabs>
        <w:spacing w:line="240" w:lineRule="auto" w:before="119" w:after="0"/>
        <w:ind w:left="2221" w:right="0" w:hanging="342"/>
        <w:jc w:val="both"/>
        <w:rPr>
          <w:sz w:val="20"/>
        </w:rPr>
      </w:pPr>
      <w:r>
        <w:rPr>
          <w:sz w:val="20"/>
        </w:rPr>
        <w:t>Web hosting services include website and webpage hosting;</w:t>
      </w:r>
      <w:r>
        <w:rPr>
          <w:spacing w:val="-5"/>
          <w:sz w:val="20"/>
        </w:rPr>
        <w:t> </w:t>
      </w:r>
      <w:r>
        <w:rPr>
          <w:sz w:val="20"/>
        </w:rPr>
        <w:t>and</w:t>
      </w:r>
    </w:p>
    <w:p>
      <w:pPr>
        <w:pStyle w:val="ListParagraph"/>
        <w:numPr>
          <w:ilvl w:val="1"/>
          <w:numId w:val="5"/>
        </w:numPr>
        <w:tabs>
          <w:tab w:pos="2222" w:val="left" w:leader="none"/>
        </w:tabs>
        <w:spacing w:line="240" w:lineRule="auto" w:before="120" w:after="0"/>
        <w:ind w:left="2221" w:right="1300" w:hanging="341"/>
        <w:jc w:val="both"/>
        <w:rPr>
          <w:sz w:val="20"/>
        </w:rPr>
      </w:pPr>
      <w:r>
        <w:rPr>
          <w:sz w:val="20"/>
        </w:rPr>
        <w:t>End-user applications and software services include systems permitting users to develop access or use software and</w:t>
      </w:r>
      <w:r>
        <w:rPr>
          <w:spacing w:val="-5"/>
          <w:sz w:val="20"/>
        </w:rPr>
        <w:t> </w:t>
      </w:r>
      <w:r>
        <w:rPr>
          <w:sz w:val="20"/>
        </w:rPr>
        <w:t>applications.</w:t>
      </w:r>
    </w:p>
    <w:p>
      <w:pPr>
        <w:pStyle w:val="BodyText"/>
        <w:spacing w:line="271" w:lineRule="auto" w:before="143"/>
        <w:ind w:left="860" w:right="618"/>
        <w:jc w:val="both"/>
      </w:pPr>
      <w:r>
        <w:rPr/>
        <w:t>Cloud computing services</w:t>
      </w:r>
      <w:r>
        <w:rPr>
          <w:vertAlign w:val="superscript"/>
        </w:rPr>
        <w:t>18</w:t>
      </w:r>
      <w:r>
        <w:rPr>
          <w:vertAlign w:val="baseline"/>
        </w:rPr>
        <w:t> are typically provided in a standardised and highly automated way. Standardised cloud computing services may be ‘assembled’ or configured together for a particular customer (whether by the service provider or by the customer on a self-serve basis). For example, a business may choose to obtain a certain combination of data storage, data security and web-hosting services from a cloud computing provider. Each such cloud computing service is standardised, irrespective of the particular combination of services chosen by the client. In other words, although a customer’s</w:t>
      </w:r>
      <w:r>
        <w:rPr>
          <w:spacing w:val="-7"/>
          <w:vertAlign w:val="baseline"/>
        </w:rPr>
        <w:t> </w:t>
      </w:r>
      <w:r>
        <w:rPr>
          <w:vertAlign w:val="baseline"/>
        </w:rPr>
        <w:t>activities</w:t>
      </w:r>
      <w:r>
        <w:rPr>
          <w:spacing w:val="-9"/>
          <w:vertAlign w:val="baseline"/>
        </w:rPr>
        <w:t> </w:t>
      </w:r>
      <w:r>
        <w:rPr>
          <w:vertAlign w:val="baseline"/>
        </w:rPr>
        <w:t>may</w:t>
      </w:r>
      <w:r>
        <w:rPr>
          <w:spacing w:val="-10"/>
          <w:vertAlign w:val="baseline"/>
        </w:rPr>
        <w:t> </w:t>
      </w:r>
      <w:r>
        <w:rPr>
          <w:vertAlign w:val="baseline"/>
        </w:rPr>
        <w:t>be</w:t>
      </w:r>
      <w:r>
        <w:rPr>
          <w:spacing w:val="-8"/>
          <w:vertAlign w:val="baseline"/>
        </w:rPr>
        <w:t> </w:t>
      </w:r>
      <w:r>
        <w:rPr>
          <w:vertAlign w:val="baseline"/>
        </w:rPr>
        <w:t>different</w:t>
      </w:r>
      <w:r>
        <w:rPr>
          <w:spacing w:val="-8"/>
          <w:vertAlign w:val="baseline"/>
        </w:rPr>
        <w:t> </w:t>
      </w:r>
      <w:r>
        <w:rPr>
          <w:vertAlign w:val="baseline"/>
        </w:rPr>
        <w:t>(e.g.</w:t>
      </w:r>
      <w:r>
        <w:rPr>
          <w:spacing w:val="-7"/>
          <w:vertAlign w:val="baseline"/>
        </w:rPr>
        <w:t> </w:t>
      </w:r>
      <w:r>
        <w:rPr>
          <w:vertAlign w:val="baseline"/>
        </w:rPr>
        <w:t>making</w:t>
      </w:r>
      <w:r>
        <w:rPr>
          <w:spacing w:val="-7"/>
          <w:vertAlign w:val="baseline"/>
        </w:rPr>
        <w:t> </w:t>
      </w:r>
      <w:r>
        <w:rPr>
          <w:vertAlign w:val="baseline"/>
        </w:rPr>
        <w:t>available</w:t>
      </w:r>
      <w:r>
        <w:rPr>
          <w:spacing w:val="-8"/>
          <w:vertAlign w:val="baseline"/>
        </w:rPr>
        <w:t> </w:t>
      </w:r>
      <w:r>
        <w:rPr>
          <w:vertAlign w:val="baseline"/>
        </w:rPr>
        <w:t>different</w:t>
      </w:r>
      <w:r>
        <w:rPr>
          <w:spacing w:val="-10"/>
          <w:vertAlign w:val="baseline"/>
        </w:rPr>
        <w:t> </w:t>
      </w:r>
      <w:r>
        <w:rPr>
          <w:vertAlign w:val="baseline"/>
        </w:rPr>
        <w:t>music</w:t>
      </w:r>
      <w:r>
        <w:rPr>
          <w:spacing w:val="-5"/>
          <w:vertAlign w:val="baseline"/>
        </w:rPr>
        <w:t> </w:t>
      </w:r>
      <w:r>
        <w:rPr>
          <w:vertAlign w:val="baseline"/>
        </w:rPr>
        <w:t>on</w:t>
      </w:r>
      <w:r>
        <w:rPr>
          <w:spacing w:val="-8"/>
          <w:vertAlign w:val="baseline"/>
        </w:rPr>
        <w:t> </w:t>
      </w:r>
      <w:r>
        <w:rPr>
          <w:vertAlign w:val="baseline"/>
        </w:rPr>
        <w:t>their</w:t>
      </w:r>
      <w:r>
        <w:rPr>
          <w:spacing w:val="-7"/>
          <w:vertAlign w:val="baseline"/>
        </w:rPr>
        <w:t> </w:t>
      </w:r>
      <w:r>
        <w:rPr>
          <w:vertAlign w:val="baseline"/>
        </w:rPr>
        <w:t>platform</w:t>
      </w:r>
      <w:r>
        <w:rPr>
          <w:spacing w:val="-5"/>
          <w:vertAlign w:val="baseline"/>
        </w:rPr>
        <w:t> </w:t>
      </w:r>
      <w:r>
        <w:rPr>
          <w:vertAlign w:val="baseline"/>
        </w:rPr>
        <w:t>or</w:t>
      </w:r>
      <w:r>
        <w:rPr>
          <w:spacing w:val="-7"/>
          <w:vertAlign w:val="baseline"/>
        </w:rPr>
        <w:t> </w:t>
      </w:r>
      <w:r>
        <w:rPr>
          <w:vertAlign w:val="baseline"/>
        </w:rPr>
        <w:t>hosting a</w:t>
      </w:r>
      <w:r>
        <w:rPr>
          <w:spacing w:val="-17"/>
          <w:vertAlign w:val="baseline"/>
        </w:rPr>
        <w:t> </w:t>
      </w:r>
      <w:r>
        <w:rPr>
          <w:vertAlign w:val="baseline"/>
        </w:rPr>
        <w:t>different</w:t>
      </w:r>
      <w:r>
        <w:rPr>
          <w:spacing w:val="-16"/>
          <w:vertAlign w:val="baseline"/>
        </w:rPr>
        <w:t> </w:t>
      </w:r>
      <w:r>
        <w:rPr>
          <w:vertAlign w:val="baseline"/>
        </w:rPr>
        <w:t>website),</w:t>
      </w:r>
      <w:r>
        <w:rPr>
          <w:spacing w:val="-16"/>
          <w:vertAlign w:val="baseline"/>
        </w:rPr>
        <w:t> </w:t>
      </w:r>
      <w:r>
        <w:rPr>
          <w:vertAlign w:val="baseline"/>
        </w:rPr>
        <w:t>from</w:t>
      </w:r>
      <w:r>
        <w:rPr>
          <w:spacing w:val="-12"/>
          <w:vertAlign w:val="baseline"/>
        </w:rPr>
        <w:t> </w:t>
      </w:r>
      <w:r>
        <w:rPr>
          <w:vertAlign w:val="baseline"/>
        </w:rPr>
        <w:t>a</w:t>
      </w:r>
      <w:r>
        <w:rPr>
          <w:spacing w:val="-19"/>
          <w:vertAlign w:val="baseline"/>
        </w:rPr>
        <w:t> </w:t>
      </w:r>
      <w:r>
        <w:rPr>
          <w:vertAlign w:val="baseline"/>
        </w:rPr>
        <w:t>cloud</w:t>
      </w:r>
      <w:r>
        <w:rPr>
          <w:spacing w:val="-17"/>
          <w:vertAlign w:val="baseline"/>
        </w:rPr>
        <w:t> </w:t>
      </w:r>
      <w:r>
        <w:rPr>
          <w:vertAlign w:val="baseline"/>
        </w:rPr>
        <w:t>computing</w:t>
      </w:r>
      <w:r>
        <w:rPr>
          <w:spacing w:val="-16"/>
          <w:vertAlign w:val="baseline"/>
        </w:rPr>
        <w:t> </w:t>
      </w:r>
      <w:r>
        <w:rPr>
          <w:vertAlign w:val="baseline"/>
        </w:rPr>
        <w:t>company’s</w:t>
      </w:r>
      <w:r>
        <w:rPr>
          <w:spacing w:val="-13"/>
          <w:vertAlign w:val="baseline"/>
        </w:rPr>
        <w:t> </w:t>
      </w:r>
      <w:r>
        <w:rPr>
          <w:vertAlign w:val="baseline"/>
        </w:rPr>
        <w:t>perspective</w:t>
      </w:r>
      <w:r>
        <w:rPr>
          <w:spacing w:val="-16"/>
          <w:vertAlign w:val="baseline"/>
        </w:rPr>
        <w:t> </w:t>
      </w:r>
      <w:r>
        <w:rPr>
          <w:vertAlign w:val="baseline"/>
        </w:rPr>
        <w:t>the</w:t>
      </w:r>
      <w:r>
        <w:rPr>
          <w:spacing w:val="-16"/>
          <w:vertAlign w:val="baseline"/>
        </w:rPr>
        <w:t> </w:t>
      </w:r>
      <w:r>
        <w:rPr>
          <w:vertAlign w:val="baseline"/>
        </w:rPr>
        <w:t>act</w:t>
      </w:r>
      <w:r>
        <w:rPr>
          <w:spacing w:val="-17"/>
          <w:vertAlign w:val="baseline"/>
        </w:rPr>
        <w:t> </w:t>
      </w:r>
      <w:r>
        <w:rPr>
          <w:vertAlign w:val="baseline"/>
        </w:rPr>
        <w:t>of</w:t>
      </w:r>
      <w:r>
        <w:rPr>
          <w:spacing w:val="-14"/>
          <w:vertAlign w:val="baseline"/>
        </w:rPr>
        <w:t> </w:t>
      </w:r>
      <w:r>
        <w:rPr>
          <w:vertAlign w:val="baseline"/>
        </w:rPr>
        <w:t>providing</w:t>
      </w:r>
      <w:r>
        <w:rPr>
          <w:spacing w:val="-17"/>
          <w:vertAlign w:val="baseline"/>
        </w:rPr>
        <w:t> </w:t>
      </w:r>
      <w:r>
        <w:rPr>
          <w:vertAlign w:val="baseline"/>
        </w:rPr>
        <w:t>the</w:t>
      </w:r>
      <w:r>
        <w:rPr>
          <w:spacing w:val="-17"/>
          <w:vertAlign w:val="baseline"/>
        </w:rPr>
        <w:t> </w:t>
      </w:r>
      <w:r>
        <w:rPr>
          <w:vertAlign w:val="baseline"/>
        </w:rPr>
        <w:t>data</w:t>
      </w:r>
      <w:r>
        <w:rPr>
          <w:spacing w:val="-17"/>
          <w:vertAlign w:val="baseline"/>
        </w:rPr>
        <w:t> </w:t>
      </w:r>
      <w:r>
        <w:rPr>
          <w:vertAlign w:val="baseline"/>
        </w:rPr>
        <w:t>storage or hosting the website in the cloud is essentially the</w:t>
      </w:r>
      <w:r>
        <w:rPr>
          <w:spacing w:val="-10"/>
          <w:vertAlign w:val="baseline"/>
        </w:rPr>
        <w:t> </w:t>
      </w:r>
      <w:r>
        <w:rPr>
          <w:vertAlign w:val="baseline"/>
        </w:rPr>
        <w:t>same.</w:t>
      </w:r>
    </w:p>
    <w:p>
      <w:pPr>
        <w:pStyle w:val="BodyText"/>
        <w:spacing w:line="271" w:lineRule="auto" w:before="126"/>
        <w:ind w:left="860" w:right="622"/>
        <w:jc w:val="both"/>
      </w:pPr>
      <w:r>
        <w:rPr/>
        <w:t>Some cloud computing services, however, involve a high degree of human involvement to customise the service to the needs of a particular client. For example, a hospital may hire a cloud computing service provider to develop a bespoke cloud-based IT system to manage its complex operations (e.g. software to track patient care and medical records, IT security solutions to respect the applicable legal requirements for patient confidentiality, etc.). Such services are closer to engineering and consulting</w:t>
      </w:r>
    </w:p>
    <w:p>
      <w:pPr>
        <w:pStyle w:val="BodyText"/>
      </w:pPr>
    </w:p>
    <w:p>
      <w:pPr>
        <w:pStyle w:val="BodyText"/>
        <w:spacing w:before="6"/>
        <w:rPr>
          <w:sz w:val="13"/>
        </w:rPr>
      </w:pPr>
      <w:r>
        <w:rPr/>
        <w:pict>
          <v:rect style="position:absolute;margin-left:65.183998pt;margin-top:9.769402pt;width:144.020004pt;height:.60004pt;mso-position-horizontal-relative:page;mso-position-vertical-relative:paragraph;z-index:-1570150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38" w:val="left" w:leader="none"/>
        </w:tabs>
        <w:spacing w:line="278" w:lineRule="auto" w:before="94" w:after="0"/>
        <w:ind w:left="723" w:right="487" w:firstLine="0"/>
        <w:jc w:val="both"/>
        <w:rPr>
          <w:sz w:val="18"/>
        </w:rPr>
      </w:pPr>
      <w:r>
        <w:rPr>
          <w:sz w:val="18"/>
        </w:rPr>
        <w:t>For the avoidance of doubt, the reference to cloud computing services refers to the MNE that provides the cloud services. Even though from a user perspective, accessing another type of ADS (such as digital content) could be (in an indirect sense) accessing a cloud service, for present purposes the question is about whether the revenue is generated</w:t>
      </w:r>
      <w:r>
        <w:rPr>
          <w:spacing w:val="-4"/>
          <w:sz w:val="18"/>
        </w:rPr>
        <w:t> </w:t>
      </w:r>
      <w:r>
        <w:rPr>
          <w:sz w:val="18"/>
        </w:rPr>
        <w:t>from</w:t>
      </w:r>
      <w:r>
        <w:rPr>
          <w:spacing w:val="-3"/>
          <w:sz w:val="18"/>
        </w:rPr>
        <w:t> </w:t>
      </w:r>
      <w:r>
        <w:rPr>
          <w:sz w:val="18"/>
        </w:rPr>
        <w:t>the</w:t>
      </w:r>
      <w:r>
        <w:rPr>
          <w:spacing w:val="-4"/>
          <w:sz w:val="18"/>
        </w:rPr>
        <w:t> </w:t>
      </w:r>
      <w:r>
        <w:rPr>
          <w:sz w:val="18"/>
        </w:rPr>
        <w:t>business</w:t>
      </w:r>
      <w:r>
        <w:rPr>
          <w:spacing w:val="-6"/>
          <w:sz w:val="18"/>
        </w:rPr>
        <w:t> </w:t>
      </w:r>
      <w:r>
        <w:rPr>
          <w:sz w:val="18"/>
        </w:rPr>
        <w:t>activity</w:t>
      </w:r>
      <w:r>
        <w:rPr>
          <w:spacing w:val="-5"/>
          <w:sz w:val="18"/>
        </w:rPr>
        <w:t> </w:t>
      </w:r>
      <w:r>
        <w:rPr>
          <w:sz w:val="18"/>
        </w:rPr>
        <w:t>of</w:t>
      </w:r>
      <w:r>
        <w:rPr>
          <w:spacing w:val="-4"/>
          <w:sz w:val="18"/>
        </w:rPr>
        <w:t> </w:t>
      </w:r>
      <w:r>
        <w:rPr>
          <w:sz w:val="18"/>
        </w:rPr>
        <w:t>providing</w:t>
      </w:r>
      <w:r>
        <w:rPr>
          <w:spacing w:val="-6"/>
          <w:sz w:val="18"/>
        </w:rPr>
        <w:t> </w:t>
      </w:r>
      <w:r>
        <w:rPr>
          <w:sz w:val="18"/>
        </w:rPr>
        <w:t>cloud</w:t>
      </w:r>
      <w:r>
        <w:rPr>
          <w:spacing w:val="-4"/>
          <w:sz w:val="18"/>
        </w:rPr>
        <w:t> </w:t>
      </w:r>
      <w:r>
        <w:rPr>
          <w:sz w:val="18"/>
        </w:rPr>
        <w:t>computing</w:t>
      </w:r>
      <w:r>
        <w:rPr>
          <w:spacing w:val="-5"/>
          <w:sz w:val="18"/>
        </w:rPr>
        <w:t> </w:t>
      </w:r>
      <w:r>
        <w:rPr>
          <w:sz w:val="18"/>
        </w:rPr>
        <w:t>services,</w:t>
      </w:r>
      <w:r>
        <w:rPr>
          <w:spacing w:val="-4"/>
          <w:sz w:val="18"/>
        </w:rPr>
        <w:t> </w:t>
      </w:r>
      <w:r>
        <w:rPr>
          <w:sz w:val="18"/>
        </w:rPr>
        <w:t>as</w:t>
      </w:r>
      <w:r>
        <w:rPr>
          <w:spacing w:val="-3"/>
          <w:sz w:val="18"/>
        </w:rPr>
        <w:t> </w:t>
      </w:r>
      <w:r>
        <w:rPr>
          <w:sz w:val="18"/>
        </w:rPr>
        <w:t>opposed</w:t>
      </w:r>
      <w:r>
        <w:rPr>
          <w:spacing w:val="-4"/>
          <w:sz w:val="18"/>
        </w:rPr>
        <w:t> </w:t>
      </w:r>
      <w:r>
        <w:rPr>
          <w:sz w:val="18"/>
        </w:rPr>
        <w:t>to</w:t>
      </w:r>
      <w:r>
        <w:rPr>
          <w:spacing w:val="-6"/>
          <w:sz w:val="18"/>
        </w:rPr>
        <w:t> </w:t>
      </w:r>
      <w:r>
        <w:rPr>
          <w:sz w:val="18"/>
        </w:rPr>
        <w:t>generating</w:t>
      </w:r>
      <w:r>
        <w:rPr>
          <w:spacing w:val="-4"/>
          <w:sz w:val="18"/>
        </w:rPr>
        <w:t> </w:t>
      </w:r>
      <w:r>
        <w:rPr>
          <w:sz w:val="18"/>
        </w:rPr>
        <w:t>revenue</w:t>
      </w:r>
      <w:r>
        <w:rPr>
          <w:spacing w:val="-4"/>
          <w:sz w:val="18"/>
        </w:rPr>
        <w:t> </w:t>
      </w:r>
      <w:r>
        <w:rPr>
          <w:sz w:val="18"/>
        </w:rPr>
        <w:t>from</w:t>
      </w:r>
      <w:r>
        <w:rPr>
          <w:spacing w:val="-3"/>
          <w:sz w:val="18"/>
        </w:rPr>
        <w:t> </w:t>
      </w:r>
      <w:r>
        <w:rPr>
          <w:sz w:val="18"/>
        </w:rPr>
        <w:t>a business activity which is in turn supported by a cloud computing</w:t>
      </w:r>
      <w:r>
        <w:rPr>
          <w:spacing w:val="-9"/>
          <w:sz w:val="18"/>
        </w:rPr>
        <w:t> </w:t>
      </w:r>
      <w:r>
        <w:rPr>
          <w:sz w:val="18"/>
        </w:rPr>
        <w:t>service.</w:t>
      </w:r>
    </w:p>
    <w:p>
      <w:pPr>
        <w:spacing w:after="0" w:line="278" w:lineRule="auto"/>
        <w:jc w:val="both"/>
        <w:rPr>
          <w:sz w:val="18"/>
        </w:rPr>
        <w:sectPr>
          <w:pgSz w:w="11910" w:h="16840"/>
          <w:pgMar w:header="1244" w:footer="1638" w:top="1500" w:bottom="1820" w:left="580" w:right="820"/>
        </w:sectPr>
      </w:pPr>
    </w:p>
    <w:p>
      <w:pPr>
        <w:pStyle w:val="BodyText"/>
        <w:rPr>
          <w:sz w:val="26"/>
        </w:rPr>
      </w:pPr>
    </w:p>
    <w:p>
      <w:pPr>
        <w:pStyle w:val="BodyText"/>
        <w:ind w:left="713"/>
      </w:pPr>
      <w:r>
        <w:rPr/>
        <w:pict>
          <v:shape style="width:465.6pt;height:207.65pt;mso-position-horizontal-relative:char;mso-position-vertical-relative:line" type="#_x0000_t202" filled="true" fillcolor="#eeece1" stroked="true" strokeweight=".48004pt" strokecolor="#4e81bd">
            <w10:anchorlock/>
            <v:textbox inset="0,0,0,0">
              <w:txbxContent>
                <w:p>
                  <w:pPr>
                    <w:pStyle w:val="BodyText"/>
                    <w:spacing w:before="28"/>
                    <w:ind w:left="136"/>
                    <w:jc w:val="both"/>
                  </w:pPr>
                  <w:r>
                    <w:rPr/>
                    <w:t>services, i.e. professional services, which are on the negative list.</w:t>
                  </w:r>
                </w:p>
                <w:p>
                  <w:pPr>
                    <w:pStyle w:val="BodyText"/>
                    <w:spacing w:line="271" w:lineRule="auto" w:before="149"/>
                    <w:ind w:left="136" w:right="138"/>
                    <w:jc w:val="both"/>
                  </w:pPr>
                  <w:r>
                    <w:rPr/>
                    <w:t>In order to ensure that the cloud computing services category on the positive list only captures those that reflect the principles of ADS, the proposed definition refers to ‘standardised’ cloud computing services. This way, a bespoke cloud solution involving a high degree of human involvement on behalf of the provider’s staff (e.g. engineers or consultants) to create a new computing solution (as opposed to configuring existing solutions) would not be included. To the extent that the human involvement relates only to the configuration of standardised cloud computing products, the integration of standardised</w:t>
                  </w:r>
                  <w:r>
                    <w:rPr>
                      <w:spacing w:val="-8"/>
                    </w:rPr>
                    <w:t> </w:t>
                  </w:r>
                  <w:r>
                    <w:rPr/>
                    <w:t>cloud</w:t>
                  </w:r>
                  <w:r>
                    <w:rPr>
                      <w:spacing w:val="-8"/>
                    </w:rPr>
                    <w:t> </w:t>
                  </w:r>
                  <w:r>
                    <w:rPr/>
                    <w:t>computing</w:t>
                  </w:r>
                  <w:r>
                    <w:rPr>
                      <w:spacing w:val="-8"/>
                    </w:rPr>
                    <w:t> </w:t>
                  </w:r>
                  <w:r>
                    <w:rPr/>
                    <w:t>products</w:t>
                  </w:r>
                  <w:r>
                    <w:rPr>
                      <w:spacing w:val="-6"/>
                    </w:rPr>
                    <w:t> </w:t>
                  </w:r>
                  <w:r>
                    <w:rPr/>
                    <w:t>into</w:t>
                  </w:r>
                  <w:r>
                    <w:rPr>
                      <w:spacing w:val="-8"/>
                    </w:rPr>
                    <w:t> </w:t>
                  </w:r>
                  <w:r>
                    <w:rPr/>
                    <w:t>a</w:t>
                  </w:r>
                  <w:r>
                    <w:rPr>
                      <w:spacing w:val="-9"/>
                    </w:rPr>
                    <w:t> </w:t>
                  </w:r>
                  <w:r>
                    <w:rPr/>
                    <w:t>customer’s</w:t>
                  </w:r>
                  <w:r>
                    <w:rPr>
                      <w:spacing w:val="-9"/>
                    </w:rPr>
                    <w:t> </w:t>
                  </w:r>
                  <w:r>
                    <w:rPr/>
                    <w:t>existing</w:t>
                  </w:r>
                  <w:r>
                    <w:rPr>
                      <w:spacing w:val="-8"/>
                    </w:rPr>
                    <w:t> </w:t>
                  </w:r>
                  <w:r>
                    <w:rPr/>
                    <w:t>IT</w:t>
                  </w:r>
                  <w:r>
                    <w:rPr>
                      <w:spacing w:val="-7"/>
                    </w:rPr>
                    <w:t> </w:t>
                  </w:r>
                  <w:r>
                    <w:rPr/>
                    <w:t>architecture,</w:t>
                  </w:r>
                  <w:r>
                    <w:rPr>
                      <w:spacing w:val="-7"/>
                    </w:rPr>
                    <w:t> </w:t>
                  </w:r>
                  <w:r>
                    <w:rPr/>
                    <w:t>or</w:t>
                  </w:r>
                  <w:r>
                    <w:rPr>
                      <w:spacing w:val="-9"/>
                    </w:rPr>
                    <w:t> </w:t>
                  </w:r>
                  <w:r>
                    <w:rPr/>
                    <w:t>ancillary</w:t>
                  </w:r>
                  <w:r>
                    <w:rPr>
                      <w:spacing w:val="-13"/>
                    </w:rPr>
                    <w:t> </w:t>
                  </w:r>
                  <w:r>
                    <w:rPr/>
                    <w:t>customer support, the human involvement will be considered ancillary to the cloud computing service, which would be covered by this</w:t>
                  </w:r>
                  <w:r>
                    <w:rPr>
                      <w:spacing w:val="-4"/>
                    </w:rPr>
                    <w:t> </w:t>
                  </w:r>
                  <w:r>
                    <w:rPr/>
                    <w:t>category.</w:t>
                  </w:r>
                </w:p>
                <w:p>
                  <w:pPr>
                    <w:pStyle w:val="BodyText"/>
                    <w:spacing w:line="271" w:lineRule="auto" w:before="121"/>
                    <w:ind w:left="136" w:right="142"/>
                    <w:jc w:val="both"/>
                  </w:pPr>
                  <w:r>
                    <w:rPr/>
                    <w:t>Where</w:t>
                  </w:r>
                  <w:r>
                    <w:rPr>
                      <w:spacing w:val="-7"/>
                    </w:rPr>
                    <w:t> </w:t>
                  </w:r>
                  <w:r>
                    <w:rPr/>
                    <w:t>a</w:t>
                  </w:r>
                  <w:r>
                    <w:rPr>
                      <w:spacing w:val="-8"/>
                    </w:rPr>
                    <w:t> </w:t>
                  </w:r>
                  <w:r>
                    <w:rPr/>
                    <w:t>cloud</w:t>
                  </w:r>
                  <w:r>
                    <w:rPr>
                      <w:spacing w:val="-5"/>
                    </w:rPr>
                    <w:t> </w:t>
                  </w:r>
                  <w:r>
                    <w:rPr/>
                    <w:t>computing</w:t>
                  </w:r>
                  <w:r>
                    <w:rPr>
                      <w:spacing w:val="-8"/>
                    </w:rPr>
                    <w:t> </w:t>
                  </w:r>
                  <w:r>
                    <w:rPr/>
                    <w:t>service</w:t>
                  </w:r>
                  <w:r>
                    <w:rPr>
                      <w:spacing w:val="-4"/>
                    </w:rPr>
                    <w:t> </w:t>
                  </w:r>
                  <w:r>
                    <w:rPr/>
                    <w:t>provider</w:t>
                  </w:r>
                  <w:r>
                    <w:rPr>
                      <w:spacing w:val="-7"/>
                    </w:rPr>
                    <w:t> </w:t>
                  </w:r>
                  <w:r>
                    <w:rPr/>
                    <w:t>is</w:t>
                  </w:r>
                  <w:r>
                    <w:rPr>
                      <w:spacing w:val="-4"/>
                    </w:rPr>
                    <w:t> </w:t>
                  </w:r>
                  <w:r>
                    <w:rPr/>
                    <w:t>in</w:t>
                  </w:r>
                  <w:r>
                    <w:rPr>
                      <w:spacing w:val="-7"/>
                    </w:rPr>
                    <w:t> </w:t>
                  </w:r>
                  <w:r>
                    <w:rPr/>
                    <w:t>the</w:t>
                  </w:r>
                  <w:r>
                    <w:rPr>
                      <w:spacing w:val="-6"/>
                    </w:rPr>
                    <w:t> </w:t>
                  </w:r>
                  <w:r>
                    <w:rPr/>
                    <w:t>business</w:t>
                  </w:r>
                  <w:r>
                    <w:rPr>
                      <w:spacing w:val="-5"/>
                    </w:rPr>
                    <w:t> </w:t>
                  </w:r>
                  <w:r>
                    <w:rPr/>
                    <w:t>of</w:t>
                  </w:r>
                  <w:r>
                    <w:rPr>
                      <w:spacing w:val="-6"/>
                    </w:rPr>
                    <w:t> </w:t>
                  </w:r>
                  <w:r>
                    <w:rPr/>
                    <w:t>providing</w:t>
                  </w:r>
                  <w:r>
                    <w:rPr>
                      <w:spacing w:val="-8"/>
                    </w:rPr>
                    <w:t> </w:t>
                  </w:r>
                  <w:r>
                    <w:rPr/>
                    <w:t>a</w:t>
                  </w:r>
                  <w:r>
                    <w:rPr>
                      <w:spacing w:val="-4"/>
                    </w:rPr>
                    <w:t> </w:t>
                  </w:r>
                  <w:r>
                    <w:rPr/>
                    <w:t>bundled</w:t>
                  </w:r>
                  <w:r>
                    <w:rPr>
                      <w:spacing w:val="-8"/>
                    </w:rPr>
                    <w:t> </w:t>
                  </w:r>
                  <w:r>
                    <w:rPr/>
                    <w:t>service</w:t>
                  </w:r>
                  <w:r>
                    <w:rPr>
                      <w:spacing w:val="-7"/>
                    </w:rPr>
                    <w:t> </w:t>
                  </w:r>
                  <w:r>
                    <w:rPr/>
                    <w:t>comprising both standardised and customised services (including where customised services are built upon standardised</w:t>
                  </w:r>
                  <w:r>
                    <w:rPr>
                      <w:spacing w:val="-13"/>
                    </w:rPr>
                    <w:t> </w:t>
                  </w:r>
                  <w:r>
                    <w:rPr/>
                    <w:t>modules),</w:t>
                  </w:r>
                  <w:r>
                    <w:rPr>
                      <w:spacing w:val="-11"/>
                    </w:rPr>
                    <w:t> </w:t>
                  </w:r>
                  <w:r>
                    <w:rPr/>
                    <w:t>the</w:t>
                  </w:r>
                  <w:r>
                    <w:rPr>
                      <w:spacing w:val="-10"/>
                    </w:rPr>
                    <w:t> </w:t>
                  </w:r>
                  <w:r>
                    <w:rPr/>
                    <w:t>guidance</w:t>
                  </w:r>
                  <w:r>
                    <w:rPr>
                      <w:spacing w:val="-12"/>
                    </w:rPr>
                    <w:t> </w:t>
                  </w:r>
                  <w:r>
                    <w:rPr/>
                    <w:t>to</w:t>
                  </w:r>
                  <w:r>
                    <w:rPr>
                      <w:spacing w:val="-13"/>
                    </w:rPr>
                    <w:t> </w:t>
                  </w:r>
                  <w:r>
                    <w:rPr/>
                    <w:t>be</w:t>
                  </w:r>
                  <w:r>
                    <w:rPr>
                      <w:spacing w:val="-12"/>
                    </w:rPr>
                    <w:t> </w:t>
                  </w:r>
                  <w:r>
                    <w:rPr/>
                    <w:t>developed</w:t>
                  </w:r>
                  <w:r>
                    <w:rPr>
                      <w:spacing w:val="-13"/>
                    </w:rPr>
                    <w:t> </w:t>
                  </w:r>
                  <w:r>
                    <w:rPr/>
                    <w:t>under</w:t>
                  </w:r>
                  <w:r>
                    <w:rPr>
                      <w:spacing w:val="-11"/>
                    </w:rPr>
                    <w:t> </w:t>
                  </w:r>
                  <w:r>
                    <w:rPr/>
                    <w:t>“dual</w:t>
                  </w:r>
                  <w:r>
                    <w:rPr>
                      <w:spacing w:val="-12"/>
                    </w:rPr>
                    <w:t> </w:t>
                  </w:r>
                  <w:r>
                    <w:rPr/>
                    <w:t>category</w:t>
                  </w:r>
                  <w:r>
                    <w:rPr>
                      <w:spacing w:val="-13"/>
                    </w:rPr>
                    <w:t> </w:t>
                  </w:r>
                  <w:r>
                    <w:rPr/>
                    <w:t>ADS</w:t>
                  </w:r>
                  <w:r>
                    <w:rPr>
                      <w:spacing w:val="-12"/>
                    </w:rPr>
                    <w:t> </w:t>
                  </w:r>
                  <w:r>
                    <w:rPr/>
                    <w:t>and</w:t>
                  </w:r>
                  <w:r>
                    <w:rPr>
                      <w:spacing w:val="-13"/>
                    </w:rPr>
                    <w:t> </w:t>
                  </w:r>
                  <w:r>
                    <w:rPr/>
                    <w:t>bundled</w:t>
                  </w:r>
                  <w:r>
                    <w:rPr>
                      <w:spacing w:val="-12"/>
                    </w:rPr>
                    <w:t> </w:t>
                  </w:r>
                  <w:r>
                    <w:rPr/>
                    <w:t>services” below would</w:t>
                  </w:r>
                  <w:r>
                    <w:rPr>
                      <w:spacing w:val="-3"/>
                    </w:rPr>
                    <w:t> </w:t>
                  </w:r>
                  <w:r>
                    <w:rPr/>
                    <w:t>apply.</w:t>
                  </w:r>
                </w:p>
              </w:txbxContent>
            </v:textbox>
            <v:fill type="solid"/>
            <v:stroke dashstyle="solid"/>
          </v:shape>
        </w:pict>
      </w:r>
      <w:r>
        <w:rPr/>
      </w:r>
    </w:p>
    <w:p>
      <w:pPr>
        <w:pStyle w:val="BodyText"/>
        <w:spacing w:before="6"/>
        <w:rPr>
          <w:sz w:val="11"/>
        </w:rPr>
      </w:pPr>
    </w:p>
    <w:p>
      <w:pPr>
        <w:pStyle w:val="Heading7"/>
        <w:spacing w:before="93"/>
        <w:rPr>
          <w:i/>
        </w:rPr>
      </w:pPr>
      <w:bookmarkStart w:name="Negative list" w:id="41"/>
      <w:bookmarkEnd w:id="41"/>
      <w:r>
        <w:rPr>
          <w:i w:val="0"/>
        </w:rPr>
      </w:r>
      <w:r>
        <w:rPr>
          <w:i/>
          <w:color w:val="616161"/>
        </w:rPr>
        <w:t>Negative list</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5" w:firstLine="0"/>
        <w:jc w:val="both"/>
        <w:rPr>
          <w:sz w:val="20"/>
        </w:rPr>
      </w:pPr>
      <w:r>
        <w:rPr>
          <w:sz w:val="20"/>
        </w:rPr>
        <w:t>If an activity is not on the positive list, the next step would be to determine if it is on the negative list. If so, it is not an ADS. The proposed negative list currently contains the following five categories of services:</w:t>
      </w:r>
    </w:p>
    <w:p>
      <w:pPr>
        <w:pStyle w:val="ListParagraph"/>
        <w:numPr>
          <w:ilvl w:val="1"/>
          <w:numId w:val="4"/>
        </w:numPr>
        <w:tabs>
          <w:tab w:pos="1402" w:val="left" w:leader="none"/>
          <w:tab w:pos="1403" w:val="left" w:leader="none"/>
        </w:tabs>
        <w:spacing w:line="240" w:lineRule="auto" w:before="100" w:after="0"/>
        <w:ind w:left="1402" w:right="0" w:hanging="339"/>
        <w:jc w:val="left"/>
        <w:rPr>
          <w:sz w:val="20"/>
        </w:rPr>
      </w:pPr>
      <w:r>
        <w:rPr>
          <w:sz w:val="20"/>
        </w:rPr>
        <w:t>Customised professional</w:t>
      </w:r>
      <w:r>
        <w:rPr>
          <w:spacing w:val="-5"/>
          <w:sz w:val="20"/>
        </w:rPr>
        <w:t> </w:t>
      </w:r>
      <w:r>
        <w:rPr>
          <w:sz w:val="20"/>
        </w:rPr>
        <w:t>services;</w:t>
      </w:r>
    </w:p>
    <w:p>
      <w:pPr>
        <w:pStyle w:val="ListParagraph"/>
        <w:numPr>
          <w:ilvl w:val="1"/>
          <w:numId w:val="4"/>
        </w:numPr>
        <w:tabs>
          <w:tab w:pos="1402" w:val="left" w:leader="none"/>
          <w:tab w:pos="1403" w:val="left" w:leader="none"/>
        </w:tabs>
        <w:spacing w:line="240" w:lineRule="auto" w:before="74" w:after="0"/>
        <w:ind w:left="1402" w:right="0" w:hanging="339"/>
        <w:jc w:val="left"/>
        <w:rPr>
          <w:sz w:val="20"/>
        </w:rPr>
      </w:pPr>
      <w:r>
        <w:rPr>
          <w:sz w:val="20"/>
        </w:rPr>
        <w:t>Customised online teaching</w:t>
      </w:r>
      <w:r>
        <w:rPr>
          <w:spacing w:val="-5"/>
          <w:sz w:val="20"/>
        </w:rPr>
        <w:t> </w:t>
      </w:r>
      <w:r>
        <w:rPr>
          <w:sz w:val="20"/>
        </w:rPr>
        <w:t>services;</w:t>
      </w:r>
    </w:p>
    <w:p>
      <w:pPr>
        <w:pStyle w:val="ListParagraph"/>
        <w:numPr>
          <w:ilvl w:val="1"/>
          <w:numId w:val="4"/>
        </w:numPr>
        <w:tabs>
          <w:tab w:pos="1402" w:val="left" w:leader="none"/>
          <w:tab w:pos="1403" w:val="left" w:leader="none"/>
        </w:tabs>
        <w:spacing w:line="240" w:lineRule="auto" w:before="75" w:after="0"/>
        <w:ind w:left="1402" w:right="0" w:hanging="339"/>
        <w:jc w:val="left"/>
        <w:rPr>
          <w:sz w:val="20"/>
        </w:rPr>
      </w:pPr>
      <w:r>
        <w:rPr>
          <w:sz w:val="20"/>
        </w:rPr>
        <w:t>Online sale of goods and services other than</w:t>
      </w:r>
      <w:r>
        <w:rPr>
          <w:spacing w:val="-5"/>
          <w:sz w:val="20"/>
        </w:rPr>
        <w:t> </w:t>
      </w:r>
      <w:r>
        <w:rPr>
          <w:sz w:val="20"/>
        </w:rPr>
        <w:t>ADS;</w:t>
      </w:r>
    </w:p>
    <w:p>
      <w:pPr>
        <w:pStyle w:val="ListParagraph"/>
        <w:numPr>
          <w:ilvl w:val="1"/>
          <w:numId w:val="4"/>
        </w:numPr>
        <w:tabs>
          <w:tab w:pos="1402" w:val="left" w:leader="none"/>
          <w:tab w:pos="1403" w:val="left" w:leader="none"/>
        </w:tabs>
        <w:spacing w:line="266" w:lineRule="auto" w:before="76" w:after="0"/>
        <w:ind w:left="1402" w:right="481" w:hanging="339"/>
        <w:jc w:val="left"/>
        <w:rPr>
          <w:sz w:val="20"/>
        </w:rPr>
      </w:pPr>
      <w:r>
        <w:rPr>
          <w:sz w:val="20"/>
        </w:rPr>
        <w:t>Revenue</w:t>
      </w:r>
      <w:r>
        <w:rPr>
          <w:spacing w:val="-15"/>
          <w:sz w:val="20"/>
        </w:rPr>
        <w:t> </w:t>
      </w:r>
      <w:r>
        <w:rPr>
          <w:sz w:val="20"/>
        </w:rPr>
        <w:t>from</w:t>
      </w:r>
      <w:r>
        <w:rPr>
          <w:spacing w:val="-9"/>
          <w:sz w:val="20"/>
        </w:rPr>
        <w:t> </w:t>
      </w:r>
      <w:r>
        <w:rPr>
          <w:sz w:val="20"/>
        </w:rPr>
        <w:t>the</w:t>
      </w:r>
      <w:r>
        <w:rPr>
          <w:spacing w:val="-14"/>
          <w:sz w:val="20"/>
        </w:rPr>
        <w:t> </w:t>
      </w:r>
      <w:r>
        <w:rPr>
          <w:sz w:val="20"/>
        </w:rPr>
        <w:t>sale</w:t>
      </w:r>
      <w:r>
        <w:rPr>
          <w:spacing w:val="-14"/>
          <w:sz w:val="20"/>
        </w:rPr>
        <w:t> </w:t>
      </w:r>
      <w:r>
        <w:rPr>
          <w:sz w:val="20"/>
        </w:rPr>
        <w:t>of</w:t>
      </w:r>
      <w:r>
        <w:rPr>
          <w:spacing w:val="-13"/>
          <w:sz w:val="20"/>
        </w:rPr>
        <w:t> </w:t>
      </w:r>
      <w:r>
        <w:rPr>
          <w:sz w:val="20"/>
        </w:rPr>
        <w:t>a</w:t>
      </w:r>
      <w:r>
        <w:rPr>
          <w:spacing w:val="-14"/>
          <w:sz w:val="20"/>
        </w:rPr>
        <w:t> </w:t>
      </w:r>
      <w:r>
        <w:rPr>
          <w:sz w:val="20"/>
        </w:rPr>
        <w:t>physical</w:t>
      </w:r>
      <w:r>
        <w:rPr>
          <w:spacing w:val="-15"/>
          <w:sz w:val="20"/>
        </w:rPr>
        <w:t> </w:t>
      </w:r>
      <w:r>
        <w:rPr>
          <w:sz w:val="20"/>
        </w:rPr>
        <w:t>good,</w:t>
      </w:r>
      <w:r>
        <w:rPr>
          <w:spacing w:val="-10"/>
          <w:sz w:val="20"/>
        </w:rPr>
        <w:t> </w:t>
      </w:r>
      <w:r>
        <w:rPr>
          <w:sz w:val="20"/>
        </w:rPr>
        <w:t>irrespective</w:t>
      </w:r>
      <w:r>
        <w:rPr>
          <w:spacing w:val="-13"/>
          <w:sz w:val="20"/>
        </w:rPr>
        <w:t> </w:t>
      </w:r>
      <w:r>
        <w:rPr>
          <w:sz w:val="20"/>
        </w:rPr>
        <w:t>of</w:t>
      </w:r>
      <w:r>
        <w:rPr>
          <w:spacing w:val="-12"/>
          <w:sz w:val="20"/>
        </w:rPr>
        <w:t> </w:t>
      </w:r>
      <w:r>
        <w:rPr>
          <w:sz w:val="20"/>
        </w:rPr>
        <w:t>network</w:t>
      </w:r>
      <w:r>
        <w:rPr>
          <w:spacing w:val="-9"/>
          <w:sz w:val="20"/>
        </w:rPr>
        <w:t> </w:t>
      </w:r>
      <w:r>
        <w:rPr>
          <w:sz w:val="20"/>
        </w:rPr>
        <w:t>connectivity</w:t>
      </w:r>
      <w:r>
        <w:rPr>
          <w:spacing w:val="-17"/>
          <w:sz w:val="20"/>
        </w:rPr>
        <w:t> </w:t>
      </w:r>
      <w:r>
        <w:rPr>
          <w:sz w:val="20"/>
        </w:rPr>
        <w:t>(“Internet</w:t>
      </w:r>
      <w:r>
        <w:rPr>
          <w:spacing w:val="-14"/>
          <w:sz w:val="20"/>
        </w:rPr>
        <w:t> </w:t>
      </w:r>
      <w:r>
        <w:rPr>
          <w:sz w:val="20"/>
        </w:rPr>
        <w:t>of</w:t>
      </w:r>
      <w:r>
        <w:rPr>
          <w:spacing w:val="-12"/>
          <w:sz w:val="20"/>
        </w:rPr>
        <w:t> </w:t>
      </w:r>
      <w:r>
        <w:rPr>
          <w:sz w:val="20"/>
        </w:rPr>
        <w:t>things”); and</w:t>
      </w:r>
    </w:p>
    <w:p>
      <w:pPr>
        <w:pStyle w:val="ListParagraph"/>
        <w:numPr>
          <w:ilvl w:val="1"/>
          <w:numId w:val="4"/>
        </w:numPr>
        <w:tabs>
          <w:tab w:pos="1402" w:val="left" w:leader="none"/>
          <w:tab w:pos="1403" w:val="left" w:leader="none"/>
        </w:tabs>
        <w:spacing w:line="240" w:lineRule="auto" w:before="52" w:after="0"/>
        <w:ind w:left="1402" w:right="0" w:hanging="339"/>
        <w:jc w:val="left"/>
        <w:rPr>
          <w:sz w:val="20"/>
        </w:rPr>
      </w:pPr>
      <w:r>
        <w:rPr>
          <w:sz w:val="20"/>
        </w:rPr>
        <w:t>Services providing access to the Internet or another electronic</w:t>
      </w:r>
      <w:r>
        <w:rPr>
          <w:spacing w:val="-6"/>
          <w:sz w:val="20"/>
        </w:rPr>
        <w:t> </w:t>
      </w:r>
      <w:r>
        <w:rPr>
          <w:sz w:val="20"/>
        </w:rPr>
        <w:t>network.</w:t>
      </w:r>
    </w:p>
    <w:p>
      <w:pPr>
        <w:pStyle w:val="ListParagraph"/>
        <w:numPr>
          <w:ilvl w:val="0"/>
          <w:numId w:val="4"/>
        </w:numPr>
        <w:tabs>
          <w:tab w:pos="1444" w:val="left" w:leader="none"/>
        </w:tabs>
        <w:spacing w:line="271" w:lineRule="auto" w:before="157" w:after="0"/>
        <w:ind w:left="723" w:right="492" w:firstLine="0"/>
        <w:jc w:val="both"/>
        <w:rPr>
          <w:sz w:val="20"/>
        </w:rPr>
      </w:pPr>
      <w:r>
        <w:rPr>
          <w:sz w:val="20"/>
        </w:rPr>
        <w:t>This section proposes definitions for the services that would be contained on the negative list, together with a</w:t>
      </w:r>
      <w:r>
        <w:rPr>
          <w:spacing w:val="1"/>
          <w:sz w:val="20"/>
        </w:rPr>
        <w:t> </w:t>
      </w:r>
      <w:r>
        <w:rPr>
          <w:sz w:val="20"/>
        </w:rPr>
        <w:t>Commentary.</w:t>
      </w:r>
    </w:p>
    <w:p>
      <w:pPr>
        <w:pStyle w:val="BodyText"/>
      </w:pPr>
    </w:p>
    <w:p>
      <w:pPr>
        <w:pStyle w:val="BodyText"/>
        <w:spacing w:before="7"/>
        <w:rPr>
          <w:sz w:val="17"/>
        </w:rPr>
      </w:pPr>
      <w:r>
        <w:rPr/>
        <w:pict>
          <v:shape style="position:absolute;margin-left:64.944pt;margin-top:12.342611pt;width:465.6pt;height:80.650pt;mso-position-horizontal-relative:page;mso-position-vertical-relative:paragraph;z-index:-15699968;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7" w:firstLine="0"/>
                    <w:jc w:val="center"/>
                    <w:rPr>
                      <w:rFonts w:ascii="Arial Narrow" w:hAnsi="Arial Narrow"/>
                      <w:b/>
                      <w:sz w:val="24"/>
                    </w:rPr>
                  </w:pPr>
                  <w:r>
                    <w:rPr>
                      <w:rFonts w:ascii="Arial Narrow" w:hAnsi="Arial Narrow"/>
                      <w:b/>
                      <w:color w:val="4E81BD"/>
                      <w:sz w:val="24"/>
                    </w:rPr>
                    <w:t>Box 2.21. Customised professional services – Definition</w:t>
                  </w:r>
                </w:p>
                <w:p>
                  <w:pPr>
                    <w:pStyle w:val="BodyText"/>
                    <w:spacing w:line="271" w:lineRule="auto" w:before="213"/>
                    <w:ind w:left="136" w:right="53"/>
                  </w:pPr>
                  <w:r>
                    <w:rPr/>
                    <w:t>This means customised professional services, whether provided individually or as a firm, such as legal, accounting, architectural, engineering and medical services.</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70947pt;width:465.6pt;height:100.6pt;mso-position-horizontal-relative:page;mso-position-vertical-relative:paragraph;z-index:-15699456;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2.22. Customised professional services – Commentary</w:t>
                  </w:r>
                </w:p>
                <w:p>
                  <w:pPr>
                    <w:pStyle w:val="BodyText"/>
                    <w:spacing w:line="271" w:lineRule="auto" w:before="213"/>
                    <w:ind w:left="136" w:right="138"/>
                    <w:jc w:val="both"/>
                  </w:pPr>
                  <w:r>
                    <w:rPr/>
                    <w:t>This category confirms that customised professional services are not within the general definition of ADS. Although such services may be delivered online (e.g. legal advice sent by email, an architect sending</w:t>
                  </w:r>
                  <w:r>
                    <w:rPr>
                      <w:spacing w:val="-8"/>
                    </w:rPr>
                    <w:t> </w:t>
                  </w:r>
                  <w:r>
                    <w:rPr/>
                    <w:t>drawings</w:t>
                  </w:r>
                  <w:r>
                    <w:rPr>
                      <w:spacing w:val="-7"/>
                    </w:rPr>
                    <w:t> </w:t>
                  </w:r>
                  <w:r>
                    <w:rPr/>
                    <w:t>in</w:t>
                  </w:r>
                  <w:r>
                    <w:rPr>
                      <w:spacing w:val="-8"/>
                    </w:rPr>
                    <w:t> </w:t>
                  </w:r>
                  <w:r>
                    <w:rPr/>
                    <w:t>PDF</w:t>
                  </w:r>
                  <w:r>
                    <w:rPr>
                      <w:spacing w:val="-7"/>
                    </w:rPr>
                    <w:t> </w:t>
                  </w:r>
                  <w:r>
                    <w:rPr/>
                    <w:t>format;</w:t>
                  </w:r>
                  <w:r>
                    <w:rPr>
                      <w:spacing w:val="-8"/>
                    </w:rPr>
                    <w:t> </w:t>
                  </w:r>
                  <w:r>
                    <w:rPr/>
                    <w:t>or</w:t>
                  </w:r>
                  <w:r>
                    <w:rPr>
                      <w:spacing w:val="-7"/>
                    </w:rPr>
                    <w:t> </w:t>
                  </w:r>
                  <w:r>
                    <w:rPr/>
                    <w:t>an</w:t>
                  </w:r>
                  <w:r>
                    <w:rPr>
                      <w:spacing w:val="-8"/>
                    </w:rPr>
                    <w:t> </w:t>
                  </w:r>
                  <w:r>
                    <w:rPr/>
                    <w:t>accountant</w:t>
                  </w:r>
                  <w:r>
                    <w:rPr>
                      <w:spacing w:val="-8"/>
                    </w:rPr>
                    <w:t> </w:t>
                  </w:r>
                  <w:r>
                    <w:rPr/>
                    <w:t>sending</w:t>
                  </w:r>
                  <w:r>
                    <w:rPr>
                      <w:spacing w:val="-8"/>
                    </w:rPr>
                    <w:t> </w:t>
                  </w:r>
                  <w:r>
                    <w:rPr/>
                    <w:t>calculations</w:t>
                  </w:r>
                  <w:r>
                    <w:rPr>
                      <w:spacing w:val="-6"/>
                    </w:rPr>
                    <w:t> </w:t>
                  </w:r>
                  <w:r>
                    <w:rPr/>
                    <w:t>in</w:t>
                  </w:r>
                  <w:r>
                    <w:rPr>
                      <w:spacing w:val="-5"/>
                    </w:rPr>
                    <w:t> </w:t>
                  </w:r>
                  <w:r>
                    <w:rPr/>
                    <w:t>a</w:t>
                  </w:r>
                  <w:r>
                    <w:rPr>
                      <w:spacing w:val="-8"/>
                    </w:rPr>
                    <w:t> </w:t>
                  </w:r>
                  <w:r>
                    <w:rPr/>
                    <w:t>spreadsheet),</w:t>
                  </w:r>
                  <w:r>
                    <w:rPr>
                      <w:spacing w:val="-7"/>
                    </w:rPr>
                    <w:t> </w:t>
                  </w:r>
                  <w:r>
                    <w:rPr/>
                    <w:t>they</w:t>
                  </w:r>
                  <w:r>
                    <w:rPr>
                      <w:spacing w:val="-11"/>
                    </w:rPr>
                    <w:t> </w:t>
                  </w:r>
                  <w:r>
                    <w:rPr/>
                    <w:t>require customisation</w:t>
                  </w:r>
                  <w:r>
                    <w:rPr>
                      <w:spacing w:val="35"/>
                    </w:rPr>
                    <w:t> </w:t>
                  </w:r>
                  <w:r>
                    <w:rPr/>
                    <w:t>to</w:t>
                  </w:r>
                  <w:r>
                    <w:rPr>
                      <w:spacing w:val="38"/>
                    </w:rPr>
                    <w:t> </w:t>
                  </w:r>
                  <w:r>
                    <w:rPr/>
                    <w:t>each</w:t>
                  </w:r>
                  <w:r>
                    <w:rPr>
                      <w:spacing w:val="36"/>
                    </w:rPr>
                    <w:t> </w:t>
                  </w:r>
                  <w:r>
                    <w:rPr/>
                    <w:t>client,</w:t>
                  </w:r>
                  <w:r>
                    <w:rPr>
                      <w:spacing w:val="35"/>
                    </w:rPr>
                    <w:t> </w:t>
                  </w:r>
                  <w:r>
                    <w:rPr/>
                    <w:t>through</w:t>
                  </w:r>
                  <w:r>
                    <w:rPr>
                      <w:spacing w:val="36"/>
                    </w:rPr>
                    <w:t> </w:t>
                  </w:r>
                  <w:r>
                    <w:rPr/>
                    <w:t>the</w:t>
                  </w:r>
                  <w:r>
                    <w:rPr>
                      <w:spacing w:val="38"/>
                    </w:rPr>
                    <w:t> </w:t>
                  </w:r>
                  <w:r>
                    <w:rPr/>
                    <w:t>tailored</w:t>
                  </w:r>
                  <w:r>
                    <w:rPr>
                      <w:spacing w:val="38"/>
                    </w:rPr>
                    <w:t> </w:t>
                  </w:r>
                  <w:r>
                    <w:rPr/>
                    <w:t>exercise</w:t>
                  </w:r>
                  <w:r>
                    <w:rPr>
                      <w:spacing w:val="37"/>
                    </w:rPr>
                    <w:t> </w:t>
                  </w:r>
                  <w:r>
                    <w:rPr/>
                    <w:t>of</w:t>
                  </w:r>
                  <w:r>
                    <w:rPr>
                      <w:spacing w:val="38"/>
                    </w:rPr>
                    <w:t> </w:t>
                  </w:r>
                  <w:r>
                    <w:rPr/>
                    <w:t>professional</w:t>
                  </w:r>
                  <w:r>
                    <w:rPr>
                      <w:spacing w:val="35"/>
                    </w:rPr>
                    <w:t> </w:t>
                  </w:r>
                  <w:r>
                    <w:rPr/>
                    <w:t>judgment</w:t>
                  </w:r>
                  <w:r>
                    <w:rPr>
                      <w:spacing w:val="36"/>
                    </w:rPr>
                    <w:t> </w:t>
                  </w:r>
                  <w:r>
                    <w:rPr/>
                    <w:t>and</w:t>
                  </w:r>
                  <w:r>
                    <w:rPr>
                      <w:spacing w:val="38"/>
                    </w:rPr>
                    <w:t> </w:t>
                  </w:r>
                  <w:r>
                    <w:rPr/>
                    <w:t>bespoke</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207.65pt;mso-position-horizontal-relative:char;mso-position-vertical-relative:line" type="#_x0000_t202" filled="true" fillcolor="#eeece1" stroked="true" strokeweight=".48004pt" strokecolor="#4e81bd">
            <w10:anchorlock/>
            <v:textbox inset="0,0,0,0">
              <w:txbxContent>
                <w:p>
                  <w:pPr>
                    <w:pStyle w:val="BodyText"/>
                    <w:spacing w:line="271" w:lineRule="auto" w:before="28"/>
                    <w:ind w:left="136" w:right="143"/>
                    <w:jc w:val="both"/>
                  </w:pPr>
                  <w:r>
                    <w:rPr/>
                    <w:t>interactions. These services are not automated and require more than minimal human involvement on behalf of the professional individual or firm. They would also not be scalable without additional human involvement.</w:t>
                  </w:r>
                </w:p>
                <w:p>
                  <w:pPr>
                    <w:pStyle w:val="BodyText"/>
                    <w:spacing w:line="271" w:lineRule="auto" w:before="120"/>
                    <w:ind w:left="136" w:right="136"/>
                    <w:jc w:val="both"/>
                  </w:pPr>
                  <w:r>
                    <w:rPr/>
                    <w:t>Where a professional service relies heavily on ADS, for example if a law firm relies on artificial intelligence software (AI) to conduct due diligence, or an architect’s firm to draw plans, revenue from the provision of the professional service itself will remain out-of-scope of ADS. This is because human involvement is required on behalf of the professional to use the AI and exercise professional judgment in</w:t>
                  </w:r>
                  <w:r>
                    <w:rPr>
                      <w:spacing w:val="-3"/>
                    </w:rPr>
                    <w:t> </w:t>
                  </w:r>
                  <w:r>
                    <w:rPr/>
                    <w:t>order</w:t>
                  </w:r>
                  <w:r>
                    <w:rPr>
                      <w:spacing w:val="-5"/>
                    </w:rPr>
                    <w:t> </w:t>
                  </w:r>
                  <w:r>
                    <w:rPr/>
                    <w:t>to</w:t>
                  </w:r>
                  <w:r>
                    <w:rPr>
                      <w:spacing w:val="-5"/>
                    </w:rPr>
                    <w:t> </w:t>
                  </w:r>
                  <w:r>
                    <w:rPr/>
                    <w:t>provide</w:t>
                  </w:r>
                  <w:r>
                    <w:rPr>
                      <w:spacing w:val="-4"/>
                    </w:rPr>
                    <w:t> </w:t>
                  </w:r>
                  <w:r>
                    <w:rPr/>
                    <w:t>the</w:t>
                  </w:r>
                  <w:r>
                    <w:rPr>
                      <w:spacing w:val="-5"/>
                    </w:rPr>
                    <w:t> </w:t>
                  </w:r>
                  <w:r>
                    <w:rPr/>
                    <w:t>final</w:t>
                  </w:r>
                  <w:r>
                    <w:rPr>
                      <w:spacing w:val="-4"/>
                    </w:rPr>
                    <w:t> </w:t>
                  </w:r>
                  <w:r>
                    <w:rPr/>
                    <w:t>service</w:t>
                  </w:r>
                  <w:r>
                    <w:rPr>
                      <w:spacing w:val="-2"/>
                    </w:rPr>
                    <w:t> </w:t>
                  </w:r>
                  <w:r>
                    <w:rPr/>
                    <w:t>product</w:t>
                  </w:r>
                  <w:r>
                    <w:rPr>
                      <w:spacing w:val="-5"/>
                    </w:rPr>
                    <w:t> </w:t>
                  </w:r>
                  <w:r>
                    <w:rPr/>
                    <w:t>to</w:t>
                  </w:r>
                  <w:r>
                    <w:rPr>
                      <w:spacing w:val="-3"/>
                    </w:rPr>
                    <w:t> </w:t>
                  </w:r>
                  <w:r>
                    <w:rPr/>
                    <w:t>the</w:t>
                  </w:r>
                  <w:r>
                    <w:rPr>
                      <w:spacing w:val="-4"/>
                    </w:rPr>
                    <w:t> </w:t>
                  </w:r>
                  <w:r>
                    <w:rPr/>
                    <w:t>client.</w:t>
                  </w:r>
                  <w:r>
                    <w:rPr>
                      <w:spacing w:val="-4"/>
                    </w:rPr>
                    <w:t> </w:t>
                  </w:r>
                  <w:r>
                    <w:rPr/>
                    <w:t>Payments</w:t>
                  </w:r>
                  <w:r>
                    <w:rPr>
                      <w:spacing w:val="-4"/>
                    </w:rPr>
                    <w:t> </w:t>
                  </w:r>
                  <w:r>
                    <w:rPr/>
                    <w:t>made</w:t>
                  </w:r>
                  <w:r>
                    <w:rPr>
                      <w:spacing w:val="-2"/>
                    </w:rPr>
                    <w:t> </w:t>
                  </w:r>
                  <w:r>
                    <w:rPr/>
                    <w:t>by</w:t>
                  </w:r>
                  <w:r>
                    <w:rPr>
                      <w:spacing w:val="-9"/>
                    </w:rPr>
                    <w:t> </w:t>
                  </w:r>
                  <w:r>
                    <w:rPr/>
                    <w:t>such</w:t>
                  </w:r>
                  <w:r>
                    <w:rPr>
                      <w:spacing w:val="-2"/>
                    </w:rPr>
                    <w:t> </w:t>
                  </w:r>
                  <w:r>
                    <w:rPr/>
                    <w:t>a</w:t>
                  </w:r>
                  <w:r>
                    <w:rPr>
                      <w:spacing w:val="-6"/>
                    </w:rPr>
                    <w:t> </w:t>
                  </w:r>
                  <w:r>
                    <w:rPr/>
                    <w:t>firm to</w:t>
                  </w:r>
                  <w:r>
                    <w:rPr>
                      <w:spacing w:val="-6"/>
                    </w:rPr>
                    <w:t> </w:t>
                  </w:r>
                  <w:r>
                    <w:rPr/>
                    <w:t>a</w:t>
                  </w:r>
                  <w:r>
                    <w:rPr>
                      <w:spacing w:val="-5"/>
                    </w:rPr>
                    <w:t> </w:t>
                  </w:r>
                  <w:r>
                    <w:rPr/>
                    <w:t>third-party AI provider, however, will generally be captured under ADS (as cloud computing or digital content services).</w:t>
                  </w:r>
                </w:p>
                <w:p>
                  <w:pPr>
                    <w:pStyle w:val="BodyText"/>
                    <w:spacing w:line="271" w:lineRule="auto" w:before="121"/>
                    <w:ind w:left="136" w:right="138"/>
                    <w:jc w:val="both"/>
                  </w:pPr>
                  <w:r>
                    <w:rPr/>
                    <w:t>By contrast, where a user directly accesses an automated service online that may be equivalent to a professional service (e.g. if a user self-serves legal advice on a dedicated platform) then such service would qualify as ADS to the extent that it meets a category on the positive list or the elements of the general definition.</w:t>
                  </w:r>
                </w:p>
              </w:txbxContent>
            </v:textbox>
            <v:fill type="solid"/>
            <v:stroke dashstyle="solid"/>
          </v:shape>
        </w:pict>
      </w:r>
      <w:r>
        <w:rPr/>
      </w:r>
    </w:p>
    <w:p>
      <w:pPr>
        <w:pStyle w:val="BodyText"/>
      </w:pPr>
    </w:p>
    <w:p>
      <w:pPr>
        <w:pStyle w:val="BodyText"/>
        <w:spacing w:before="1"/>
        <w:rPr>
          <w:sz w:val="17"/>
        </w:rPr>
      </w:pPr>
      <w:r>
        <w:rPr/>
        <w:pict>
          <v:shape style="position:absolute;margin-left:64.944pt;margin-top:12.051034pt;width:465.6pt;height:106.7pt;mso-position-horizontal-relative:page;mso-position-vertical-relative:paragraph;z-index:-15698432;mso-wrap-distance-left:0;mso-wrap-distance-right:0" type="#_x0000_t202" filled="true" fillcolor="#eeece1" stroked="true" strokeweight=".48004pt" strokecolor="#4e81bd">
            <v:textbox inset="0,0,0,0">
              <w:txbxContent>
                <w:p>
                  <w:pPr>
                    <w:pStyle w:val="BodyText"/>
                    <w:spacing w:before="6"/>
                    <w:rPr>
                      <w:sz w:val="31"/>
                    </w:rPr>
                  </w:pPr>
                </w:p>
                <w:p>
                  <w:pPr>
                    <w:spacing w:before="0"/>
                    <w:ind w:left="84" w:right="87" w:firstLine="0"/>
                    <w:jc w:val="center"/>
                    <w:rPr>
                      <w:rFonts w:ascii="Arial Narrow" w:hAnsi="Arial Narrow"/>
                      <w:b/>
                      <w:sz w:val="24"/>
                    </w:rPr>
                  </w:pPr>
                  <w:r>
                    <w:rPr>
                      <w:rFonts w:ascii="Arial Narrow" w:hAnsi="Arial Narrow"/>
                      <w:b/>
                      <w:color w:val="4E81BD"/>
                      <w:sz w:val="24"/>
                    </w:rPr>
                    <w:t>Box 2.23. Customised online teaching services – Definition</w:t>
                  </w:r>
                </w:p>
                <w:p>
                  <w:pPr>
                    <w:pStyle w:val="BodyText"/>
                    <w:spacing w:line="271" w:lineRule="auto" w:before="211"/>
                    <w:ind w:left="136" w:right="140"/>
                    <w:jc w:val="both"/>
                  </w:pPr>
                  <w:r>
                    <w:rPr/>
                    <w:t>This means live or recorded teaching services delivered online, where the teacher customises the service</w:t>
                  </w:r>
                  <w:r>
                    <w:rPr>
                      <w:spacing w:val="-7"/>
                    </w:rPr>
                    <w:t> </w:t>
                  </w:r>
                  <w:r>
                    <w:rPr/>
                    <w:t>(such</w:t>
                  </w:r>
                  <w:r>
                    <w:rPr>
                      <w:spacing w:val="-5"/>
                    </w:rPr>
                    <w:t> </w:t>
                  </w:r>
                  <w:r>
                    <w:rPr/>
                    <w:t>as</w:t>
                  </w:r>
                  <w:r>
                    <w:rPr>
                      <w:spacing w:val="-6"/>
                    </w:rPr>
                    <w:t> </w:t>
                  </w:r>
                  <w:r>
                    <w:rPr/>
                    <w:t>by</w:t>
                  </w:r>
                  <w:r>
                    <w:rPr>
                      <w:spacing w:val="-7"/>
                    </w:rPr>
                    <w:t> </w:t>
                  </w:r>
                  <w:r>
                    <w:rPr/>
                    <w:t>providing</w:t>
                  </w:r>
                  <w:r>
                    <w:rPr>
                      <w:spacing w:val="-5"/>
                    </w:rPr>
                    <w:t> </w:t>
                  </w:r>
                  <w:r>
                    <w:rPr/>
                    <w:t>individualised,</w:t>
                  </w:r>
                  <w:r>
                    <w:rPr>
                      <w:spacing w:val="-6"/>
                    </w:rPr>
                    <w:t> </w:t>
                  </w:r>
                  <w:r>
                    <w:rPr/>
                    <w:t>non-automated</w:t>
                  </w:r>
                  <w:r>
                    <w:rPr>
                      <w:spacing w:val="-7"/>
                    </w:rPr>
                    <w:t> </w:t>
                  </w:r>
                  <w:r>
                    <w:rPr/>
                    <w:t>feedback</w:t>
                  </w:r>
                  <w:r>
                    <w:rPr>
                      <w:spacing w:val="-3"/>
                    </w:rPr>
                    <w:t> </w:t>
                  </w:r>
                  <w:r>
                    <w:rPr/>
                    <w:t>and</w:t>
                  </w:r>
                  <w:r>
                    <w:rPr>
                      <w:spacing w:val="-7"/>
                    </w:rPr>
                    <w:t> </w:t>
                  </w:r>
                  <w:r>
                    <w:rPr/>
                    <w:t>support)</w:t>
                  </w:r>
                  <w:r>
                    <w:rPr>
                      <w:spacing w:val="-6"/>
                    </w:rPr>
                    <w:t> </w:t>
                  </w:r>
                  <w:r>
                    <w:rPr/>
                    <w:t>to</w:t>
                  </w:r>
                  <w:r>
                    <w:rPr>
                      <w:spacing w:val="-6"/>
                    </w:rPr>
                    <w:t> </w:t>
                  </w:r>
                  <w:r>
                    <w:rPr/>
                    <w:t>the</w:t>
                  </w:r>
                  <w:r>
                    <w:rPr>
                      <w:spacing w:val="-4"/>
                    </w:rPr>
                    <w:t> </w:t>
                  </w:r>
                  <w:r>
                    <w:rPr/>
                    <w:t>needs</w:t>
                  </w:r>
                  <w:r>
                    <w:rPr>
                      <w:spacing w:val="-6"/>
                    </w:rPr>
                    <w:t> </w:t>
                  </w:r>
                  <w:r>
                    <w:rPr/>
                    <w:t>of</w:t>
                  </w:r>
                  <w:r>
                    <w:rPr>
                      <w:spacing w:val="-5"/>
                    </w:rPr>
                    <w:t> </w:t>
                  </w:r>
                  <w:r>
                    <w:rPr/>
                    <w:t>the student or limited group of students and the Internet or electronic network is used as a tool simply for communication between the teacher and</w:t>
                  </w:r>
                  <w:r>
                    <w:rPr>
                      <w:spacing w:val="-4"/>
                    </w:rPr>
                    <w:t> </w:t>
                  </w:r>
                  <w:r>
                    <w:rPr/>
                    <w:t>student.</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60999pt;width:465.6pt;height:183.65pt;mso-position-horizontal-relative:page;mso-position-vertical-relative:paragraph;z-index:-15697920;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2.24. Customised online teaching services – Commentary</w:t>
                  </w:r>
                </w:p>
                <w:p>
                  <w:pPr>
                    <w:pStyle w:val="BodyText"/>
                    <w:spacing w:line="271" w:lineRule="auto" w:before="213"/>
                    <w:ind w:left="136" w:right="139"/>
                    <w:jc w:val="both"/>
                  </w:pPr>
                  <w:r>
                    <w:rPr/>
                    <w:t>This category confirms that customised teaching services delivered online would not be within the general definition of ADS where the Internet or electronic network is used as a tool simply for communication between the teacher and student.</w:t>
                  </w:r>
                </w:p>
                <w:p>
                  <w:pPr>
                    <w:pStyle w:val="BodyText"/>
                    <w:spacing w:line="271" w:lineRule="auto" w:before="120"/>
                    <w:ind w:left="136" w:right="136"/>
                    <w:jc w:val="both"/>
                  </w:pPr>
                  <w:r>
                    <w:rPr/>
                    <w:t>This includes online education packages that are significantly customised to a student, or to a limited group of students, even where certain ancillary elements of the product are automated (e.g. a </w:t>
                  </w:r>
                  <w:r>
                    <w:rPr>
                      <w:spacing w:val="2"/>
                    </w:rPr>
                    <w:t>pre- </w:t>
                  </w:r>
                  <w:r>
                    <w:rPr/>
                    <w:t>recorded</w:t>
                  </w:r>
                  <w:r>
                    <w:rPr>
                      <w:spacing w:val="-14"/>
                    </w:rPr>
                    <w:t> </w:t>
                  </w:r>
                  <w:r>
                    <w:rPr/>
                    <w:t>lecture</w:t>
                  </w:r>
                  <w:r>
                    <w:rPr>
                      <w:spacing w:val="-12"/>
                    </w:rPr>
                    <w:t> </w:t>
                  </w:r>
                  <w:r>
                    <w:rPr/>
                    <w:t>offered</w:t>
                  </w:r>
                  <w:r>
                    <w:rPr>
                      <w:spacing w:val="-12"/>
                    </w:rPr>
                    <w:t> </w:t>
                  </w:r>
                  <w:r>
                    <w:rPr/>
                    <w:t>as</w:t>
                  </w:r>
                  <w:r>
                    <w:rPr>
                      <w:spacing w:val="-11"/>
                    </w:rPr>
                    <w:t> </w:t>
                  </w:r>
                  <w:r>
                    <w:rPr/>
                    <w:t>part</w:t>
                  </w:r>
                  <w:r>
                    <w:rPr>
                      <w:spacing w:val="-12"/>
                    </w:rPr>
                    <w:t> </w:t>
                  </w:r>
                  <w:r>
                    <w:rPr/>
                    <w:t>of</w:t>
                  </w:r>
                  <w:r>
                    <w:rPr>
                      <w:spacing w:val="-11"/>
                    </w:rPr>
                    <w:t> </w:t>
                  </w:r>
                  <w:r>
                    <w:rPr/>
                    <w:t>a</w:t>
                  </w:r>
                  <w:r>
                    <w:rPr>
                      <w:spacing w:val="-13"/>
                    </w:rPr>
                    <w:t> </w:t>
                  </w:r>
                  <w:r>
                    <w:rPr/>
                    <w:t>customised</w:t>
                  </w:r>
                  <w:r>
                    <w:rPr>
                      <w:spacing w:val="-13"/>
                    </w:rPr>
                    <w:t> </w:t>
                  </w:r>
                  <w:r>
                    <w:rPr/>
                    <w:t>education</w:t>
                  </w:r>
                  <w:r>
                    <w:rPr>
                      <w:spacing w:val="-10"/>
                    </w:rPr>
                    <w:t> </w:t>
                  </w:r>
                  <w:r>
                    <w:rPr/>
                    <w:t>package;</w:t>
                  </w:r>
                  <w:r>
                    <w:rPr>
                      <w:spacing w:val="-13"/>
                    </w:rPr>
                    <w:t> </w:t>
                  </w:r>
                  <w:r>
                    <w:rPr/>
                    <w:t>automatically</w:t>
                  </w:r>
                  <w:r>
                    <w:rPr>
                      <w:spacing w:val="-13"/>
                    </w:rPr>
                    <w:t> </w:t>
                  </w:r>
                  <w:r>
                    <w:rPr/>
                    <w:t>graded</w:t>
                  </w:r>
                  <w:r>
                    <w:rPr>
                      <w:spacing w:val="-13"/>
                    </w:rPr>
                    <w:t> </w:t>
                  </w:r>
                  <w:r>
                    <w:rPr/>
                    <w:t>assignments accompanying a live-streamed, customised</w:t>
                  </w:r>
                  <w:r>
                    <w:rPr>
                      <w:spacing w:val="-3"/>
                    </w:rPr>
                    <w:t> </w:t>
                  </w:r>
                  <w:r>
                    <w:rPr/>
                    <w:t>lecture).</w:t>
                  </w:r>
                </w:p>
                <w:p>
                  <w:pPr>
                    <w:pStyle w:val="BodyText"/>
                    <w:spacing w:line="273" w:lineRule="auto" w:before="120"/>
                    <w:ind w:left="136" w:right="147"/>
                    <w:jc w:val="both"/>
                  </w:pPr>
                  <w:r>
                    <w:rPr/>
                    <w:t>However, standardised online teaching service with ancillary interaction with an instructor is contained in the positive list.</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0973pt;width:465.6pt;height:67.6pt;mso-position-horizontal-relative:page;mso-position-vertical-relative:paragraph;z-index:-15697408;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4" w:firstLine="0"/>
                    <w:jc w:val="center"/>
                    <w:rPr>
                      <w:rFonts w:ascii="Arial Narrow" w:hAnsi="Arial Narrow"/>
                      <w:b/>
                      <w:sz w:val="24"/>
                    </w:rPr>
                  </w:pPr>
                  <w:r>
                    <w:rPr>
                      <w:rFonts w:ascii="Arial Narrow" w:hAnsi="Arial Narrow"/>
                      <w:b/>
                      <w:color w:val="4E81BD"/>
                      <w:sz w:val="24"/>
                    </w:rPr>
                    <w:t>Box 2.25. Online sale of goods and services other than ADS – Definition</w:t>
                  </w:r>
                </w:p>
                <w:p>
                  <w:pPr>
                    <w:pStyle w:val="BodyText"/>
                    <w:spacing w:before="213"/>
                    <w:ind w:left="136"/>
                  </w:pPr>
                  <w:r>
                    <w:rPr/>
                    <w:t>This means the sale of a good or service completed through a digital interface where:</w:t>
                  </w:r>
                </w:p>
              </w:txbxContent>
            </v:textbox>
            <v:fill type="solid"/>
            <v:stroke dashstyle="solid"/>
            <w10:wrap type="topAndBottom"/>
          </v:shape>
        </w:pict>
      </w:r>
    </w:p>
    <w:p>
      <w:pPr>
        <w:spacing w:after="0"/>
        <w:rPr>
          <w:sz w:val="17"/>
        </w:rPr>
        <w:sectPr>
          <w:pgSz w:w="11910" w:h="16840"/>
          <w:pgMar w:header="1244" w:footer="1638" w:top="1500" w:bottom="1820" w:left="580" w:right="820"/>
        </w:sectPr>
      </w:pPr>
    </w:p>
    <w:p>
      <w:pPr>
        <w:pStyle w:val="BodyText"/>
        <w:rPr>
          <w:sz w:val="26"/>
        </w:rPr>
      </w:pPr>
    </w:p>
    <w:p>
      <w:pPr>
        <w:pStyle w:val="BodyText"/>
        <w:ind w:left="713"/>
      </w:pPr>
      <w:r>
        <w:rPr/>
        <w:pict>
          <v:shape style="width:465.6pt;height:55.6pt;mso-position-horizontal-relative:char;mso-position-vertical-relative:line" type="#_x0000_t202" filled="true" fillcolor="#eeece1" stroked="true" strokeweight=".48004pt" strokecolor="#4e81bd">
            <w10:anchorlock/>
            <v:textbox inset="0,0,0,0">
              <w:txbxContent>
                <w:p>
                  <w:pPr>
                    <w:pStyle w:val="BodyText"/>
                    <w:numPr>
                      <w:ilvl w:val="0"/>
                      <w:numId w:val="10"/>
                    </w:numPr>
                    <w:tabs>
                      <w:tab w:pos="815" w:val="left" w:leader="none"/>
                      <w:tab w:pos="816" w:val="left" w:leader="none"/>
                    </w:tabs>
                    <w:spacing w:line="240" w:lineRule="auto" w:before="7" w:after="0"/>
                    <w:ind w:left="815" w:right="0" w:hanging="339"/>
                    <w:jc w:val="left"/>
                  </w:pPr>
                  <w:r>
                    <w:rPr/>
                    <w:t>the digital interface is operated by the provider of the good or</w:t>
                  </w:r>
                  <w:r>
                    <w:rPr>
                      <w:spacing w:val="-17"/>
                    </w:rPr>
                    <w:t> </w:t>
                  </w:r>
                  <w:r>
                    <w:rPr/>
                    <w:t>service;</w:t>
                  </w:r>
                </w:p>
                <w:p>
                  <w:pPr>
                    <w:pStyle w:val="BodyText"/>
                    <w:numPr>
                      <w:ilvl w:val="0"/>
                      <w:numId w:val="10"/>
                    </w:numPr>
                    <w:tabs>
                      <w:tab w:pos="815" w:val="left" w:leader="none"/>
                      <w:tab w:pos="816" w:val="left" w:leader="none"/>
                    </w:tabs>
                    <w:spacing w:line="240" w:lineRule="auto" w:before="75" w:after="0"/>
                    <w:ind w:left="815" w:right="0" w:hanging="339"/>
                    <w:jc w:val="left"/>
                  </w:pPr>
                  <w:r>
                    <w:rPr/>
                    <w:t>the main substance of the transaction is the provision of the good or service;</w:t>
                  </w:r>
                  <w:r>
                    <w:rPr>
                      <w:spacing w:val="-17"/>
                    </w:rPr>
                    <w:t> </w:t>
                  </w:r>
                  <w:r>
                    <w:rPr/>
                    <w:t>and</w:t>
                  </w:r>
                </w:p>
                <w:p>
                  <w:pPr>
                    <w:pStyle w:val="BodyText"/>
                    <w:numPr>
                      <w:ilvl w:val="0"/>
                      <w:numId w:val="10"/>
                    </w:numPr>
                    <w:tabs>
                      <w:tab w:pos="815" w:val="left" w:leader="none"/>
                      <w:tab w:pos="816" w:val="left" w:leader="none"/>
                    </w:tabs>
                    <w:spacing w:line="240" w:lineRule="auto" w:before="76" w:after="0"/>
                    <w:ind w:left="815" w:right="0" w:hanging="339"/>
                    <w:jc w:val="left"/>
                  </w:pPr>
                  <w:r>
                    <w:rPr/>
                    <w:t>the good or service does not otherwise qualify as an</w:t>
                  </w:r>
                  <w:r>
                    <w:rPr>
                      <w:spacing w:val="-9"/>
                    </w:rPr>
                    <w:t> </w:t>
                  </w:r>
                  <w:r>
                    <w:rPr/>
                    <w:t>ADS.</w:t>
                  </w:r>
                </w:p>
              </w:txbxContent>
            </v:textbox>
            <v:fill type="solid"/>
            <v:stroke dashstyle="solid"/>
          </v:shape>
        </w:pict>
      </w:r>
      <w:r>
        <w:rPr/>
      </w:r>
    </w:p>
    <w:p>
      <w:pPr>
        <w:pStyle w:val="BodyText"/>
      </w:pPr>
    </w:p>
    <w:p>
      <w:pPr>
        <w:pStyle w:val="BodyText"/>
        <w:spacing w:before="7"/>
        <w:rPr>
          <w:sz w:val="17"/>
        </w:rPr>
      </w:pPr>
      <w:r>
        <w:rPr/>
        <w:pict>
          <v:shape style="position:absolute;margin-left:64.944pt;margin-top:12.351011pt;width:465.6pt;height:164.7pt;mso-position-horizontal-relative:page;mso-position-vertical-relative:paragraph;z-index:-15696384;mso-wrap-distance-left:0;mso-wrap-distance-right:0" type="#_x0000_t202" filled="true" fillcolor="#eeece1" stroked="true" strokeweight=".48004pt" strokecolor="#4e81bd">
            <v:textbox inset="0,0,0,0">
              <w:txbxContent>
                <w:p>
                  <w:pPr>
                    <w:pStyle w:val="BodyText"/>
                    <w:spacing w:before="4"/>
                    <w:rPr>
                      <w:sz w:val="31"/>
                    </w:rPr>
                  </w:pPr>
                </w:p>
                <w:p>
                  <w:pPr>
                    <w:spacing w:before="0"/>
                    <w:ind w:left="84" w:right="85" w:firstLine="0"/>
                    <w:jc w:val="center"/>
                    <w:rPr>
                      <w:rFonts w:ascii="Arial Narrow" w:hAnsi="Arial Narrow"/>
                      <w:b/>
                      <w:sz w:val="24"/>
                    </w:rPr>
                  </w:pPr>
                  <w:r>
                    <w:rPr>
                      <w:rFonts w:ascii="Arial Narrow" w:hAnsi="Arial Narrow"/>
                      <w:b/>
                      <w:color w:val="4E81BD"/>
                      <w:sz w:val="24"/>
                    </w:rPr>
                    <w:t>Box 2.26. Online sale of goods and services other than ADS – Commentary</w:t>
                  </w:r>
                </w:p>
                <w:p>
                  <w:pPr>
                    <w:pStyle w:val="BodyText"/>
                    <w:spacing w:line="271" w:lineRule="auto" w:before="213"/>
                    <w:ind w:left="136" w:right="138"/>
                    <w:jc w:val="both"/>
                  </w:pPr>
                  <w:r>
                    <w:rPr/>
                    <w:t>This category would apply to sellers that use a digital platform to sell their own non-digital goods and services</w:t>
                  </w:r>
                  <w:r>
                    <w:rPr>
                      <w:spacing w:val="-8"/>
                    </w:rPr>
                    <w:t> </w:t>
                  </w:r>
                  <w:r>
                    <w:rPr/>
                    <w:t>to</w:t>
                  </w:r>
                  <w:r>
                    <w:rPr>
                      <w:spacing w:val="-7"/>
                    </w:rPr>
                    <w:t> </w:t>
                  </w:r>
                  <w:r>
                    <w:rPr/>
                    <w:t>customers.</w:t>
                  </w:r>
                  <w:r>
                    <w:rPr>
                      <w:spacing w:val="-13"/>
                    </w:rPr>
                    <w:t> </w:t>
                  </w:r>
                  <w:r>
                    <w:rPr/>
                    <w:t>While</w:t>
                  </w:r>
                  <w:r>
                    <w:rPr>
                      <w:spacing w:val="-9"/>
                    </w:rPr>
                    <w:t> </w:t>
                  </w:r>
                  <w:r>
                    <w:rPr/>
                    <w:t>the</w:t>
                  </w:r>
                  <w:r>
                    <w:rPr>
                      <w:spacing w:val="-7"/>
                    </w:rPr>
                    <w:t> </w:t>
                  </w:r>
                  <w:r>
                    <w:rPr/>
                    <w:t>sale</w:t>
                  </w:r>
                  <w:r>
                    <w:rPr>
                      <w:spacing w:val="-9"/>
                    </w:rPr>
                    <w:t> </w:t>
                  </w:r>
                  <w:r>
                    <w:rPr/>
                    <w:t>can</w:t>
                  </w:r>
                  <w:r>
                    <w:rPr>
                      <w:spacing w:val="-6"/>
                    </w:rPr>
                    <w:t> </w:t>
                  </w:r>
                  <w:r>
                    <w:rPr/>
                    <w:t>be</w:t>
                  </w:r>
                  <w:r>
                    <w:rPr>
                      <w:spacing w:val="-7"/>
                    </w:rPr>
                    <w:t> </w:t>
                  </w:r>
                  <w:r>
                    <w:rPr/>
                    <w:t>transacted</w:t>
                  </w:r>
                  <w:r>
                    <w:rPr>
                      <w:spacing w:val="-9"/>
                    </w:rPr>
                    <w:t> </w:t>
                  </w:r>
                  <w:r>
                    <w:rPr/>
                    <w:t>over</w:t>
                  </w:r>
                  <w:r>
                    <w:rPr>
                      <w:spacing w:val="-8"/>
                    </w:rPr>
                    <w:t> </w:t>
                  </w:r>
                  <w:r>
                    <w:rPr/>
                    <w:t>the</w:t>
                  </w:r>
                  <w:r>
                    <w:rPr>
                      <w:spacing w:val="-8"/>
                    </w:rPr>
                    <w:t> </w:t>
                  </w:r>
                  <w:r>
                    <w:rPr/>
                    <w:t>Internet,</w:t>
                  </w:r>
                  <w:r>
                    <w:rPr>
                      <w:spacing w:val="-9"/>
                    </w:rPr>
                    <w:t> </w:t>
                  </w:r>
                  <w:r>
                    <w:rPr/>
                    <w:t>these</w:t>
                  </w:r>
                  <w:r>
                    <w:rPr>
                      <w:spacing w:val="-7"/>
                    </w:rPr>
                    <w:t> </w:t>
                  </w:r>
                  <w:r>
                    <w:rPr/>
                    <w:t>businesses</w:t>
                  </w:r>
                  <w:r>
                    <w:rPr>
                      <w:spacing w:val="-8"/>
                    </w:rPr>
                    <w:t> </w:t>
                  </w:r>
                  <w:r>
                    <w:rPr/>
                    <w:t>are</w:t>
                  </w:r>
                  <w:r>
                    <w:rPr>
                      <w:spacing w:val="-5"/>
                    </w:rPr>
                    <w:t> </w:t>
                  </w:r>
                  <w:r>
                    <w:rPr/>
                    <w:t>sellers of non-digital goods and non-digital services, rather than offering a digital service per se. Applying the general definition of ADS, the provision of the intended good / service (e.g. the use of the hotel) is not of a type that is automated but requires additional human interventions to make that service available to</w:t>
                  </w:r>
                  <w:r>
                    <w:rPr>
                      <w:spacing w:val="-12"/>
                    </w:rPr>
                    <w:t> </w:t>
                  </w:r>
                  <w:r>
                    <w:rPr/>
                    <w:t>additional</w:t>
                  </w:r>
                  <w:r>
                    <w:rPr>
                      <w:spacing w:val="-10"/>
                    </w:rPr>
                    <w:t> </w:t>
                  </w:r>
                  <w:r>
                    <w:rPr/>
                    <w:t>users.</w:t>
                  </w:r>
                  <w:r>
                    <w:rPr>
                      <w:spacing w:val="-10"/>
                    </w:rPr>
                    <w:t> </w:t>
                  </w:r>
                  <w:r>
                    <w:rPr/>
                    <w:t>As</w:t>
                  </w:r>
                  <w:r>
                    <w:rPr>
                      <w:spacing w:val="-10"/>
                    </w:rPr>
                    <w:t> </w:t>
                  </w:r>
                  <w:r>
                    <w:rPr/>
                    <w:t>such,</w:t>
                  </w:r>
                  <w:r>
                    <w:rPr>
                      <w:spacing w:val="-10"/>
                    </w:rPr>
                    <w:t> </w:t>
                  </w:r>
                  <w:r>
                    <w:rPr/>
                    <w:t>for</w:t>
                  </w:r>
                  <w:r>
                    <w:rPr>
                      <w:spacing w:val="-11"/>
                    </w:rPr>
                    <w:t> </w:t>
                  </w:r>
                  <w:r>
                    <w:rPr/>
                    <w:t>the</w:t>
                  </w:r>
                  <w:r>
                    <w:rPr>
                      <w:spacing w:val="-12"/>
                    </w:rPr>
                    <w:t> </w:t>
                  </w:r>
                  <w:r>
                    <w:rPr/>
                    <w:t>sake</w:t>
                  </w:r>
                  <w:r>
                    <w:rPr>
                      <w:spacing w:val="-12"/>
                    </w:rPr>
                    <w:t> </w:t>
                  </w:r>
                  <w:r>
                    <w:rPr/>
                    <w:t>of</w:t>
                  </w:r>
                  <w:r>
                    <w:rPr>
                      <w:spacing w:val="-9"/>
                    </w:rPr>
                    <w:t> </w:t>
                  </w:r>
                  <w:r>
                    <w:rPr/>
                    <w:t>clarity,</w:t>
                  </w:r>
                  <w:r>
                    <w:rPr>
                      <w:spacing w:val="-9"/>
                    </w:rPr>
                    <w:t> </w:t>
                  </w:r>
                  <w:r>
                    <w:rPr/>
                    <w:t>the</w:t>
                  </w:r>
                  <w:r>
                    <w:rPr>
                      <w:spacing w:val="-12"/>
                    </w:rPr>
                    <w:t> </w:t>
                  </w:r>
                  <w:r>
                    <w:rPr/>
                    <w:t>sale</w:t>
                  </w:r>
                  <w:r>
                    <w:rPr>
                      <w:spacing w:val="-9"/>
                    </w:rPr>
                    <w:t> </w:t>
                  </w:r>
                  <w:r>
                    <w:rPr/>
                    <w:t>of</w:t>
                  </w:r>
                  <w:r>
                    <w:rPr>
                      <w:spacing w:val="-9"/>
                    </w:rPr>
                    <w:t> </w:t>
                  </w:r>
                  <w:r>
                    <w:rPr/>
                    <w:t>an</w:t>
                  </w:r>
                  <w:r>
                    <w:rPr>
                      <w:spacing w:val="-12"/>
                    </w:rPr>
                    <w:t> </w:t>
                  </w:r>
                  <w:r>
                    <w:rPr/>
                    <w:t>MNE’s</w:t>
                  </w:r>
                  <w:r>
                    <w:rPr>
                      <w:spacing w:val="-10"/>
                    </w:rPr>
                    <w:t> </w:t>
                  </w:r>
                  <w:r>
                    <w:rPr/>
                    <w:t>own</w:t>
                  </w:r>
                  <w:r>
                    <w:rPr>
                      <w:spacing w:val="-9"/>
                    </w:rPr>
                    <w:t> </w:t>
                  </w:r>
                  <w:r>
                    <w:rPr/>
                    <w:t>goods</w:t>
                  </w:r>
                  <w:r>
                    <w:rPr>
                      <w:spacing w:val="-8"/>
                    </w:rPr>
                    <w:t> </w:t>
                  </w:r>
                  <w:r>
                    <w:rPr/>
                    <w:t>and</w:t>
                  </w:r>
                  <w:r>
                    <w:rPr>
                      <w:spacing w:val="-12"/>
                    </w:rPr>
                    <w:t> </w:t>
                  </w:r>
                  <w:r>
                    <w:rPr/>
                    <w:t>services</w:t>
                  </w:r>
                  <w:r>
                    <w:rPr>
                      <w:spacing w:val="-8"/>
                    </w:rPr>
                    <w:t> </w:t>
                  </w:r>
                  <w:r>
                    <w:rPr/>
                    <w:t>where the order / booking and processing is done electronically are included on the negative</w:t>
                  </w:r>
                  <w:r>
                    <w:rPr>
                      <w:spacing w:val="-21"/>
                    </w:rPr>
                    <w:t> </w:t>
                  </w:r>
                  <w:r>
                    <w:rPr/>
                    <w:t>list.</w:t>
                  </w:r>
                </w:p>
                <w:p>
                  <w:pPr>
                    <w:pStyle w:val="BodyText"/>
                    <w:spacing w:before="121"/>
                    <w:ind w:left="136"/>
                    <w:jc w:val="both"/>
                  </w:pPr>
                  <w:r>
                    <w:rPr/>
                    <w:t>See also above on the positive list for online intermediation services.</w:t>
                  </w:r>
                </w:p>
              </w:txbxContent>
            </v:textbox>
            <v:fill type="solid"/>
            <v:stroke dashstyle="solid"/>
            <w10:wrap type="topAndBottom"/>
          </v:shape>
        </w:pict>
      </w:r>
    </w:p>
    <w:p>
      <w:pPr>
        <w:pStyle w:val="BodyText"/>
      </w:pPr>
    </w:p>
    <w:p>
      <w:pPr>
        <w:pStyle w:val="BodyText"/>
        <w:spacing w:before="5"/>
        <w:rPr>
          <w:sz w:val="17"/>
        </w:rPr>
      </w:pPr>
      <w:r>
        <w:rPr/>
        <w:pict>
          <v:shape style="position:absolute;margin-left:64.944pt;margin-top:12.240979pt;width:465.6pt;height:107.7pt;mso-position-horizontal-relative:page;mso-position-vertical-relative:paragraph;z-index:-15695872;mso-wrap-distance-left:0;mso-wrap-distance-right:0" type="#_x0000_t202" filled="true" fillcolor="#eeece1" stroked="true" strokeweight=".48004pt" strokecolor="#4e81bd">
            <v:textbox inset="0,0,0,0">
              <w:txbxContent>
                <w:p>
                  <w:pPr>
                    <w:pStyle w:val="BodyText"/>
                    <w:spacing w:before="4"/>
                    <w:rPr>
                      <w:sz w:val="31"/>
                    </w:rPr>
                  </w:pPr>
                </w:p>
                <w:p>
                  <w:pPr>
                    <w:spacing w:line="244" w:lineRule="auto" w:before="0"/>
                    <w:ind w:left="3139" w:right="503" w:hanging="2629"/>
                    <w:jc w:val="left"/>
                    <w:rPr>
                      <w:rFonts w:ascii="Arial Narrow" w:hAnsi="Arial Narrow"/>
                      <w:b/>
                      <w:sz w:val="24"/>
                    </w:rPr>
                  </w:pPr>
                  <w:r>
                    <w:rPr>
                      <w:rFonts w:ascii="Arial Narrow" w:hAnsi="Arial Narrow"/>
                      <w:b/>
                      <w:color w:val="4E81BD"/>
                      <w:sz w:val="24"/>
                    </w:rPr>
                    <w:t>Box 227 Revenue from the sale of a physical goods, irrespective of network connectivity (‘Internet of things”) – Definition</w:t>
                  </w:r>
                </w:p>
                <w:p>
                  <w:pPr>
                    <w:pStyle w:val="BodyText"/>
                    <w:spacing w:line="271" w:lineRule="auto" w:before="205"/>
                    <w:ind w:left="136" w:right="142"/>
                    <w:jc w:val="both"/>
                  </w:pPr>
                  <w:r>
                    <w:rPr/>
                    <w:t>This would apply irrespective of the network connectivity of that physical good, provided that there is no separately identifiable ADS revenue stream attached to that physical good (either at the time of purchase or a later date).</w:t>
                  </w:r>
                </w:p>
              </w:txbxContent>
            </v:textbox>
            <v:fill type="solid"/>
            <v:stroke dashstyle="solid"/>
            <w10:wrap type="topAndBottom"/>
          </v:shape>
        </w:pict>
      </w:r>
    </w:p>
    <w:p>
      <w:pPr>
        <w:pStyle w:val="BodyText"/>
      </w:pPr>
    </w:p>
    <w:p>
      <w:pPr>
        <w:pStyle w:val="BodyText"/>
        <w:spacing w:before="7"/>
        <w:rPr>
          <w:sz w:val="16"/>
        </w:rPr>
      </w:pPr>
      <w:r>
        <w:rPr/>
        <w:pict>
          <v:shape style="position:absolute;margin-left:64.944pt;margin-top:11.760968pt;width:465.6pt;height:246.65pt;mso-position-horizontal-relative:page;mso-position-vertical-relative:paragraph;z-index:-15695360;mso-wrap-distance-left:0;mso-wrap-distance-right:0" type="#_x0000_t202" filled="true" fillcolor="#eeece1" stroked="true" strokeweight=".48004pt" strokecolor="#4e81bd">
            <v:textbox inset="0,0,0,0">
              <w:txbxContent>
                <w:p>
                  <w:pPr>
                    <w:pStyle w:val="BodyText"/>
                    <w:spacing w:before="4"/>
                    <w:rPr>
                      <w:sz w:val="31"/>
                    </w:rPr>
                  </w:pPr>
                </w:p>
                <w:p>
                  <w:pPr>
                    <w:spacing w:line="244" w:lineRule="auto" w:before="0"/>
                    <w:ind w:left="2990" w:right="557" w:hanging="2425"/>
                    <w:jc w:val="left"/>
                    <w:rPr>
                      <w:rFonts w:ascii="Arial Narrow" w:hAnsi="Arial Narrow"/>
                      <w:b/>
                      <w:sz w:val="24"/>
                    </w:rPr>
                  </w:pPr>
                  <w:r>
                    <w:rPr>
                      <w:rFonts w:ascii="Arial Narrow" w:hAnsi="Arial Narrow"/>
                      <w:b/>
                      <w:color w:val="4E81BD"/>
                      <w:sz w:val="24"/>
                    </w:rPr>
                    <w:t>Box 2.28 Revenue from the sale of physical goods, irrespective of network connectivity (‘Internet of things”) – Commentary</w:t>
                  </w:r>
                </w:p>
                <w:p>
                  <w:pPr>
                    <w:pStyle w:val="BodyText"/>
                    <w:spacing w:line="271" w:lineRule="auto" w:before="207"/>
                    <w:ind w:left="136" w:right="142"/>
                    <w:jc w:val="both"/>
                  </w:pPr>
                  <w:r>
                    <w:rPr/>
                    <w:t>Increasingly,</w:t>
                  </w:r>
                  <w:r>
                    <w:rPr>
                      <w:spacing w:val="-10"/>
                    </w:rPr>
                    <w:t> </w:t>
                  </w:r>
                  <w:r>
                    <w:rPr/>
                    <w:t>physical</w:t>
                  </w:r>
                  <w:r>
                    <w:rPr>
                      <w:spacing w:val="-12"/>
                    </w:rPr>
                    <w:t> </w:t>
                  </w:r>
                  <w:r>
                    <w:rPr/>
                    <w:t>goods</w:t>
                  </w:r>
                  <w:r>
                    <w:rPr>
                      <w:spacing w:val="-9"/>
                    </w:rPr>
                    <w:t> </w:t>
                  </w:r>
                  <w:r>
                    <w:rPr/>
                    <w:t>may</w:t>
                  </w:r>
                  <w:r>
                    <w:rPr>
                      <w:spacing w:val="-16"/>
                    </w:rPr>
                    <w:t> </w:t>
                  </w:r>
                  <w:r>
                    <w:rPr/>
                    <w:t>be</w:t>
                  </w:r>
                  <w:r>
                    <w:rPr>
                      <w:spacing w:val="-12"/>
                    </w:rPr>
                    <w:t> </w:t>
                  </w:r>
                  <w:r>
                    <w:rPr/>
                    <w:t>connected</w:t>
                  </w:r>
                  <w:r>
                    <w:rPr>
                      <w:spacing w:val="-8"/>
                    </w:rPr>
                    <w:t> </w:t>
                  </w:r>
                  <w:r>
                    <w:rPr/>
                    <w:t>to</w:t>
                  </w:r>
                  <w:r>
                    <w:rPr>
                      <w:spacing w:val="-12"/>
                    </w:rPr>
                    <w:t> </w:t>
                  </w:r>
                  <w:r>
                    <w:rPr/>
                    <w:t>the</w:t>
                  </w:r>
                  <w:r>
                    <w:rPr>
                      <w:spacing w:val="-11"/>
                    </w:rPr>
                    <w:t> </w:t>
                  </w:r>
                  <w:r>
                    <w:rPr/>
                    <w:t>Internet,</w:t>
                  </w:r>
                  <w:r>
                    <w:rPr>
                      <w:spacing w:val="-11"/>
                    </w:rPr>
                    <w:t> </w:t>
                  </w:r>
                  <w:r>
                    <w:rPr/>
                    <w:t>or</w:t>
                  </w:r>
                  <w:r>
                    <w:rPr>
                      <w:spacing w:val="-10"/>
                    </w:rPr>
                    <w:t> </w:t>
                  </w:r>
                  <w:r>
                    <w:rPr/>
                    <w:t>bundled</w:t>
                  </w:r>
                  <w:r>
                    <w:rPr>
                      <w:spacing w:val="-9"/>
                    </w:rPr>
                    <w:t> </w:t>
                  </w:r>
                  <w:r>
                    <w:rPr/>
                    <w:t>with</w:t>
                  </w:r>
                  <w:r>
                    <w:rPr>
                      <w:spacing w:val="-11"/>
                    </w:rPr>
                    <w:t> </w:t>
                  </w:r>
                  <w:r>
                    <w:rPr/>
                    <w:t>an</w:t>
                  </w:r>
                  <w:r>
                    <w:rPr>
                      <w:spacing w:val="-9"/>
                    </w:rPr>
                    <w:t> </w:t>
                  </w:r>
                  <w:r>
                    <w:rPr/>
                    <w:t>online</w:t>
                  </w:r>
                  <w:r>
                    <w:rPr>
                      <w:spacing w:val="-12"/>
                    </w:rPr>
                    <w:t> </w:t>
                  </w:r>
                  <w:r>
                    <w:rPr/>
                    <w:t>service.</w:t>
                  </w:r>
                  <w:r>
                    <w:rPr>
                      <w:spacing w:val="-10"/>
                    </w:rPr>
                    <w:t> </w:t>
                  </w:r>
                  <w:r>
                    <w:rPr/>
                    <w:t>There are broadly three categories for analysing that service, as</w:t>
                  </w:r>
                  <w:r>
                    <w:rPr>
                      <w:spacing w:val="-12"/>
                    </w:rPr>
                    <w:t> </w:t>
                  </w:r>
                  <w:r>
                    <w:rPr/>
                    <w:t>follows:</w:t>
                  </w:r>
                </w:p>
                <w:p>
                  <w:pPr>
                    <w:pStyle w:val="BodyText"/>
                    <w:spacing w:line="271" w:lineRule="auto" w:before="119"/>
                    <w:ind w:left="136" w:right="145"/>
                    <w:jc w:val="both"/>
                  </w:pPr>
                  <w:r>
                    <w:rPr/>
                    <w:t>First,</w:t>
                  </w:r>
                  <w:r>
                    <w:rPr>
                      <w:spacing w:val="-4"/>
                    </w:rPr>
                    <w:t> </w:t>
                  </w:r>
                  <w:r>
                    <w:rPr/>
                    <w:t>beyond</w:t>
                  </w:r>
                  <w:r>
                    <w:rPr>
                      <w:spacing w:val="-4"/>
                    </w:rPr>
                    <w:t> </w:t>
                  </w:r>
                  <w:r>
                    <w:rPr/>
                    <w:t>the</w:t>
                  </w:r>
                  <w:r>
                    <w:rPr>
                      <w:spacing w:val="-3"/>
                    </w:rPr>
                    <w:t> </w:t>
                  </w:r>
                  <w:r>
                    <w:rPr/>
                    <w:t>sale</w:t>
                  </w:r>
                  <w:r>
                    <w:rPr>
                      <w:spacing w:val="-4"/>
                    </w:rPr>
                    <w:t> </w:t>
                  </w:r>
                  <w:r>
                    <w:rPr/>
                    <w:t>of</w:t>
                  </w:r>
                  <w:r>
                    <w:rPr>
                      <w:spacing w:val="-1"/>
                    </w:rPr>
                    <w:t> </w:t>
                  </w:r>
                  <w:r>
                    <w:rPr/>
                    <w:t>the</w:t>
                  </w:r>
                  <w:r>
                    <w:rPr>
                      <w:spacing w:val="-4"/>
                    </w:rPr>
                    <w:t> </w:t>
                  </w:r>
                  <w:r>
                    <w:rPr/>
                    <w:t>physical</w:t>
                  </w:r>
                  <w:r>
                    <w:rPr>
                      <w:spacing w:val="-4"/>
                    </w:rPr>
                    <w:t> </w:t>
                  </w:r>
                  <w:r>
                    <w:rPr/>
                    <w:t>good,</w:t>
                  </w:r>
                  <w:r>
                    <w:rPr>
                      <w:spacing w:val="-4"/>
                    </w:rPr>
                    <w:t> </w:t>
                  </w:r>
                  <w:r>
                    <w:rPr/>
                    <w:t>such</w:t>
                  </w:r>
                  <w:r>
                    <w:rPr>
                      <w:spacing w:val="-2"/>
                    </w:rPr>
                    <w:t> </w:t>
                  </w:r>
                  <w:r>
                    <w:rPr/>
                    <w:t>goods</w:t>
                  </w:r>
                  <w:r>
                    <w:rPr>
                      <w:spacing w:val="-2"/>
                    </w:rPr>
                    <w:t> </w:t>
                  </w:r>
                  <w:r>
                    <w:rPr/>
                    <w:t>can</w:t>
                  </w:r>
                  <w:r>
                    <w:rPr>
                      <w:spacing w:val="-5"/>
                    </w:rPr>
                    <w:t> </w:t>
                  </w:r>
                  <w:r>
                    <w:rPr/>
                    <w:t>be</w:t>
                  </w:r>
                  <w:r>
                    <w:rPr>
                      <w:spacing w:val="-4"/>
                    </w:rPr>
                    <w:t> </w:t>
                  </w:r>
                  <w:r>
                    <w:rPr/>
                    <w:t>additionally</w:t>
                  </w:r>
                  <w:r>
                    <w:rPr>
                      <w:spacing w:val="-7"/>
                    </w:rPr>
                    <w:t> </w:t>
                  </w:r>
                  <w:r>
                    <w:rPr/>
                    <w:t>monetised</w:t>
                  </w:r>
                  <w:r>
                    <w:rPr>
                      <w:spacing w:val="-2"/>
                    </w:rPr>
                    <w:t> </w:t>
                  </w:r>
                  <w:r>
                    <w:rPr/>
                    <w:t>with</w:t>
                  </w:r>
                  <w:r>
                    <w:rPr>
                      <w:spacing w:val="-2"/>
                    </w:rPr>
                    <w:t> </w:t>
                  </w:r>
                  <w:r>
                    <w:rPr/>
                    <w:t>a</w:t>
                  </w:r>
                  <w:r>
                    <w:rPr>
                      <w:spacing w:val="-4"/>
                    </w:rPr>
                    <w:t> </w:t>
                  </w:r>
                  <w:r>
                    <w:rPr/>
                    <w:t>customer beyond the purchase of the physical good through different revenue streams (whether at the outset at the time of purchase or at a later date), and those revenue streams are captured by existing ADS categories on the positive list. Common examples</w:t>
                  </w:r>
                  <w:r>
                    <w:rPr>
                      <w:spacing w:val="-1"/>
                    </w:rPr>
                    <w:t> </w:t>
                  </w:r>
                  <w:r>
                    <w:rPr/>
                    <w:t>include:</w:t>
                  </w:r>
                </w:p>
                <w:p>
                  <w:pPr>
                    <w:pStyle w:val="BodyText"/>
                    <w:numPr>
                      <w:ilvl w:val="0"/>
                      <w:numId w:val="11"/>
                    </w:numPr>
                    <w:tabs>
                      <w:tab w:pos="816" w:val="left" w:leader="none"/>
                    </w:tabs>
                    <w:spacing w:line="271" w:lineRule="auto" w:before="102" w:after="0"/>
                    <w:ind w:left="815" w:right="139" w:hanging="339"/>
                    <w:jc w:val="both"/>
                  </w:pPr>
                  <w:r>
                    <w:rPr/>
                    <w:t>Sale or other alienation of user data. The monetisation of data collected from the connected object is ADS, where that meets the definition above. For example, if an automobile maker designs an Internet-connected car that collects location data and the company sells the data about</w:t>
                  </w:r>
                  <w:r>
                    <w:rPr>
                      <w:spacing w:val="-5"/>
                    </w:rPr>
                    <w:t> </w:t>
                  </w:r>
                  <w:r>
                    <w:rPr/>
                    <w:t>the</w:t>
                  </w:r>
                  <w:r>
                    <w:rPr>
                      <w:spacing w:val="-3"/>
                    </w:rPr>
                    <w:t> </w:t>
                  </w:r>
                  <w:r>
                    <w:rPr/>
                    <w:t>user’s</w:t>
                  </w:r>
                  <w:r>
                    <w:rPr>
                      <w:spacing w:val="-3"/>
                    </w:rPr>
                    <w:t> </w:t>
                  </w:r>
                  <w:r>
                    <w:rPr/>
                    <w:t>habits,</w:t>
                  </w:r>
                  <w:r>
                    <w:rPr>
                      <w:spacing w:val="-5"/>
                    </w:rPr>
                    <w:t> </w:t>
                  </w:r>
                  <w:r>
                    <w:rPr/>
                    <w:t>location</w:t>
                  </w:r>
                  <w:r>
                    <w:rPr>
                      <w:spacing w:val="-4"/>
                    </w:rPr>
                    <w:t> </w:t>
                  </w:r>
                  <w:r>
                    <w:rPr/>
                    <w:t>and</w:t>
                  </w:r>
                  <w:r>
                    <w:rPr>
                      <w:spacing w:val="-5"/>
                    </w:rPr>
                    <w:t> </w:t>
                  </w:r>
                  <w:r>
                    <w:rPr/>
                    <w:t>so</w:t>
                  </w:r>
                  <w:r>
                    <w:rPr>
                      <w:spacing w:val="-5"/>
                    </w:rPr>
                    <w:t> </w:t>
                  </w:r>
                  <w:r>
                    <w:rPr/>
                    <w:t>forth</w:t>
                  </w:r>
                  <w:r>
                    <w:rPr>
                      <w:spacing w:val="-4"/>
                    </w:rPr>
                    <w:t> </w:t>
                  </w:r>
                  <w:r>
                    <w:rPr/>
                    <w:t>to</w:t>
                  </w:r>
                  <w:r>
                    <w:rPr>
                      <w:spacing w:val="-5"/>
                    </w:rPr>
                    <w:t> </w:t>
                  </w:r>
                  <w:r>
                    <w:rPr/>
                    <w:t>third</w:t>
                  </w:r>
                  <w:r>
                    <w:rPr>
                      <w:spacing w:val="-2"/>
                    </w:rPr>
                    <w:t> </w:t>
                  </w:r>
                  <w:r>
                    <w:rPr/>
                    <w:t>parties</w:t>
                  </w:r>
                  <w:r>
                    <w:rPr>
                      <w:spacing w:val="-4"/>
                    </w:rPr>
                    <w:t> </w:t>
                  </w:r>
                  <w:r>
                    <w:rPr/>
                    <w:t>for</w:t>
                  </w:r>
                  <w:r>
                    <w:rPr>
                      <w:spacing w:val="-5"/>
                    </w:rPr>
                    <w:t> </w:t>
                  </w:r>
                  <w:r>
                    <w:rPr/>
                    <w:t>marketing</w:t>
                  </w:r>
                  <w:r>
                    <w:rPr>
                      <w:spacing w:val="-5"/>
                    </w:rPr>
                    <w:t> </w:t>
                  </w:r>
                  <w:r>
                    <w:rPr/>
                    <w:t>purposes,</w:t>
                  </w:r>
                  <w:r>
                    <w:rPr>
                      <w:spacing w:val="-5"/>
                    </w:rPr>
                    <w:t> </w:t>
                  </w:r>
                  <w:r>
                    <w:rPr/>
                    <w:t>this</w:t>
                  </w:r>
                  <w:r>
                    <w:rPr>
                      <w:spacing w:val="-1"/>
                    </w:rPr>
                    <w:t> </w:t>
                  </w:r>
                  <w:r>
                    <w:rPr/>
                    <w:t>would meet the definition above, including because the definition of digital interface above is sufficiently</w:t>
                  </w:r>
                  <w:r>
                    <w:rPr>
                      <w:spacing w:val="-8"/>
                    </w:rPr>
                    <w:t> </w:t>
                  </w:r>
                  <w:r>
                    <w:rPr/>
                    <w:t>broad</w:t>
                  </w:r>
                  <w:r>
                    <w:rPr>
                      <w:spacing w:val="-6"/>
                    </w:rPr>
                    <w:t> </w:t>
                  </w:r>
                  <w:r>
                    <w:rPr/>
                    <w:t>to</w:t>
                  </w:r>
                  <w:r>
                    <w:rPr>
                      <w:spacing w:val="-5"/>
                    </w:rPr>
                    <w:t> </w:t>
                  </w:r>
                  <w:r>
                    <w:rPr/>
                    <w:t>capture</w:t>
                  </w:r>
                  <w:r>
                    <w:rPr>
                      <w:spacing w:val="-3"/>
                    </w:rPr>
                    <w:t> </w:t>
                  </w:r>
                  <w:r>
                    <w:rPr/>
                    <w:t>the</w:t>
                  </w:r>
                  <w:r>
                    <w:rPr>
                      <w:spacing w:val="-5"/>
                    </w:rPr>
                    <w:t> </w:t>
                  </w:r>
                  <w:r>
                    <w:rPr/>
                    <w:t>monetisation</w:t>
                  </w:r>
                  <w:r>
                    <w:rPr>
                      <w:spacing w:val="-5"/>
                    </w:rPr>
                    <w:t> </w:t>
                  </w:r>
                  <w:r>
                    <w:rPr/>
                    <w:t>of</w:t>
                  </w:r>
                  <w:r>
                    <w:rPr>
                      <w:spacing w:val="-3"/>
                    </w:rPr>
                    <w:t> </w:t>
                  </w:r>
                  <w:r>
                    <w:rPr/>
                    <w:t>information</w:t>
                  </w:r>
                  <w:r>
                    <w:rPr>
                      <w:spacing w:val="-5"/>
                    </w:rPr>
                    <w:t> </w:t>
                  </w:r>
                  <w:r>
                    <w:rPr/>
                    <w:t>collected</w:t>
                  </w:r>
                  <w:r>
                    <w:rPr>
                      <w:spacing w:val="-5"/>
                    </w:rPr>
                    <w:t> </w:t>
                  </w:r>
                  <w:r>
                    <w:rPr/>
                    <w:t>from</w:t>
                  </w:r>
                  <w:r>
                    <w:rPr>
                      <w:spacing w:val="-4"/>
                    </w:rPr>
                    <w:t> </w:t>
                  </w:r>
                  <w:r>
                    <w:rPr/>
                    <w:t>an</w:t>
                  </w:r>
                  <w:r>
                    <w:rPr>
                      <w:spacing w:val="-3"/>
                    </w:rPr>
                    <w:t> </w:t>
                  </w:r>
                  <w:r>
                    <w:rPr/>
                    <w:t>Internet</w:t>
                  </w:r>
                  <w:r>
                    <w:rPr>
                      <w:spacing w:val="-5"/>
                    </w:rPr>
                    <w:t> </w:t>
                  </w:r>
                  <w:r>
                    <w:rPr/>
                    <w:t>of</w:t>
                  </w:r>
                  <w:r>
                    <w:rPr>
                      <w:spacing w:val="-3"/>
                    </w:rPr>
                    <w:t> </w:t>
                  </w:r>
                  <w:r>
                    <w:rPr/>
                    <w:t>things device.</w:t>
                  </w:r>
                </w:p>
              </w:txbxContent>
            </v:textbox>
            <v:fill type="solid"/>
            <v:stroke dashstyle="solid"/>
            <w10:wrap type="topAndBottom"/>
          </v:shape>
        </w:pict>
      </w:r>
    </w:p>
    <w:p>
      <w:pPr>
        <w:spacing w:after="0"/>
        <w:rPr>
          <w:sz w:val="16"/>
        </w:rPr>
        <w:sectPr>
          <w:pgSz w:w="11910" w:h="16840"/>
          <w:pgMar w:header="1244" w:footer="1638" w:top="1500" w:bottom="1820" w:left="580" w:right="820"/>
        </w:sectPr>
      </w:pPr>
    </w:p>
    <w:p>
      <w:pPr>
        <w:pStyle w:val="BodyText"/>
        <w:spacing w:before="11"/>
        <w:rPr>
          <w:sz w:val="18"/>
        </w:rPr>
      </w:pPr>
      <w:r>
        <w:rPr/>
        <w:pict>
          <v:group style="position:absolute;margin-left:64.704002pt;margin-top:90.739967pt;width:466.05pt;height:646.2pt;mso-position-horizontal-relative:page;mso-position-vertical-relative:page;z-index:-19557888" coordorigin="1294,1815" coordsize="9321,12924">
            <v:rect style="position:absolute;left:1303;top:1824;width:9302;height:12904" filled="true" fillcolor="#eeece1" stroked="false">
              <v:fill type="solid"/>
            </v:rect>
            <v:shape style="position:absolute;left:1294;top:1814;width:9321;height:12924" coordorigin="1294,1815" coordsize="9321,12924" path="m1304,1825l1294,1825,1294,14728,1304,14728,1304,1825xm10605,14728l1304,14728,1304,14728,1294,14728,1294,14738,1304,14738,1304,14738,10605,14738,10605,14728xm10605,1815l1304,1815,1304,1815,1294,1815,1294,1824,1304,1824,1304,1824,10605,1824,10605,1815xm10615,14728l10605,14728,10605,14738,10615,14738,10615,14728xm10615,1825l10605,1825,10605,14728,10615,14728,10615,1825xm10615,1815l10605,1815,10605,1824,10615,1824,10615,1815xe" filled="true" fillcolor="#4e81bd" stroked="false">
              <v:path arrowok="t"/>
              <v:fill type="solid"/>
            </v:shape>
            <w10:wrap type="none"/>
          </v:group>
        </w:pict>
      </w:r>
    </w:p>
    <w:p>
      <w:pPr>
        <w:pStyle w:val="ListParagraph"/>
        <w:numPr>
          <w:ilvl w:val="1"/>
          <w:numId w:val="4"/>
        </w:numPr>
        <w:tabs>
          <w:tab w:pos="1540" w:val="left" w:leader="none"/>
        </w:tabs>
        <w:spacing w:line="271" w:lineRule="auto" w:before="99" w:after="0"/>
        <w:ind w:left="1539" w:right="626" w:hanging="339"/>
        <w:jc w:val="both"/>
        <w:rPr>
          <w:sz w:val="20"/>
        </w:rPr>
      </w:pPr>
      <w:r>
        <w:rPr>
          <w:sz w:val="20"/>
        </w:rPr>
        <w:t>Online</w:t>
      </w:r>
      <w:r>
        <w:rPr>
          <w:spacing w:val="-13"/>
          <w:sz w:val="20"/>
        </w:rPr>
        <w:t> </w:t>
      </w:r>
      <w:r>
        <w:rPr>
          <w:sz w:val="20"/>
        </w:rPr>
        <w:t>advertising</w:t>
      </w:r>
      <w:r>
        <w:rPr>
          <w:spacing w:val="-12"/>
          <w:sz w:val="20"/>
        </w:rPr>
        <w:t> </w:t>
      </w:r>
      <w:r>
        <w:rPr>
          <w:sz w:val="20"/>
        </w:rPr>
        <w:t>services.</w:t>
      </w:r>
      <w:r>
        <w:rPr>
          <w:spacing w:val="-10"/>
          <w:sz w:val="20"/>
        </w:rPr>
        <w:t> </w:t>
      </w:r>
      <w:r>
        <w:rPr>
          <w:sz w:val="20"/>
        </w:rPr>
        <w:t>Online</w:t>
      </w:r>
      <w:r>
        <w:rPr>
          <w:spacing w:val="-12"/>
          <w:sz w:val="20"/>
        </w:rPr>
        <w:t> </w:t>
      </w:r>
      <w:r>
        <w:rPr>
          <w:sz w:val="20"/>
        </w:rPr>
        <w:t>advertising</w:t>
      </w:r>
      <w:r>
        <w:rPr>
          <w:spacing w:val="-13"/>
          <w:sz w:val="20"/>
        </w:rPr>
        <w:t> </w:t>
      </w:r>
      <w:r>
        <w:rPr>
          <w:sz w:val="20"/>
        </w:rPr>
        <w:t>revenue</w:t>
      </w:r>
      <w:r>
        <w:rPr>
          <w:spacing w:val="-10"/>
          <w:sz w:val="20"/>
        </w:rPr>
        <w:t> </w:t>
      </w:r>
      <w:r>
        <w:rPr>
          <w:sz w:val="20"/>
        </w:rPr>
        <w:t>relating</w:t>
      </w:r>
      <w:r>
        <w:rPr>
          <w:spacing w:val="-12"/>
          <w:sz w:val="20"/>
        </w:rPr>
        <w:t> </w:t>
      </w:r>
      <w:r>
        <w:rPr>
          <w:sz w:val="20"/>
        </w:rPr>
        <w:t>to</w:t>
      </w:r>
      <w:r>
        <w:rPr>
          <w:spacing w:val="-12"/>
          <w:sz w:val="20"/>
        </w:rPr>
        <w:t> </w:t>
      </w:r>
      <w:r>
        <w:rPr>
          <w:sz w:val="20"/>
        </w:rPr>
        <w:t>advertisements</w:t>
      </w:r>
      <w:r>
        <w:rPr>
          <w:spacing w:val="-12"/>
          <w:sz w:val="20"/>
        </w:rPr>
        <w:t> </w:t>
      </w:r>
      <w:r>
        <w:rPr>
          <w:sz w:val="20"/>
        </w:rPr>
        <w:t>displayed</w:t>
      </w:r>
      <w:r>
        <w:rPr>
          <w:spacing w:val="-12"/>
          <w:sz w:val="20"/>
        </w:rPr>
        <w:t> </w:t>
      </w:r>
      <w:r>
        <w:rPr>
          <w:sz w:val="20"/>
        </w:rPr>
        <w:t>on the connected object is ADS, captured under online advertising services (e.g. supermarket adverts displayed on an Internet-connected fridge’s interface). This is because the definition of online advertising refers to displaying an advert on a digital interface, which is defined in a sufficiently broad way to include Internet connected</w:t>
      </w:r>
      <w:r>
        <w:rPr>
          <w:spacing w:val="-8"/>
          <w:sz w:val="20"/>
        </w:rPr>
        <w:t> </w:t>
      </w:r>
      <w:r>
        <w:rPr>
          <w:sz w:val="20"/>
        </w:rPr>
        <w:t>devices.</w:t>
      </w:r>
    </w:p>
    <w:p>
      <w:pPr>
        <w:pStyle w:val="ListParagraph"/>
        <w:numPr>
          <w:ilvl w:val="1"/>
          <w:numId w:val="4"/>
        </w:numPr>
        <w:tabs>
          <w:tab w:pos="1540" w:val="left" w:leader="none"/>
        </w:tabs>
        <w:spacing w:line="271" w:lineRule="auto" w:before="44" w:after="0"/>
        <w:ind w:left="1539" w:right="618" w:hanging="339"/>
        <w:jc w:val="both"/>
        <w:rPr>
          <w:sz w:val="20"/>
        </w:rPr>
      </w:pPr>
      <w:r>
        <w:rPr>
          <w:sz w:val="20"/>
        </w:rPr>
        <w:t>Other ADS. The user of the connected object may pay for different types of ADS relating to, and/or</w:t>
      </w:r>
      <w:r>
        <w:rPr>
          <w:spacing w:val="-7"/>
          <w:sz w:val="20"/>
        </w:rPr>
        <w:t> </w:t>
      </w:r>
      <w:r>
        <w:rPr>
          <w:sz w:val="20"/>
        </w:rPr>
        <w:t>to</w:t>
      </w:r>
      <w:r>
        <w:rPr>
          <w:spacing w:val="-4"/>
          <w:sz w:val="20"/>
        </w:rPr>
        <w:t> </w:t>
      </w:r>
      <w:r>
        <w:rPr>
          <w:sz w:val="20"/>
        </w:rPr>
        <w:t>be</w:t>
      </w:r>
      <w:r>
        <w:rPr>
          <w:spacing w:val="-5"/>
          <w:sz w:val="20"/>
        </w:rPr>
        <w:t> </w:t>
      </w:r>
      <w:r>
        <w:rPr>
          <w:sz w:val="20"/>
        </w:rPr>
        <w:t>accessed</w:t>
      </w:r>
      <w:r>
        <w:rPr>
          <w:spacing w:val="-8"/>
          <w:sz w:val="20"/>
        </w:rPr>
        <w:t> </w:t>
      </w:r>
      <w:r>
        <w:rPr>
          <w:sz w:val="20"/>
        </w:rPr>
        <w:t>through,</w:t>
      </w:r>
      <w:r>
        <w:rPr>
          <w:spacing w:val="-5"/>
          <w:sz w:val="20"/>
        </w:rPr>
        <w:t> </w:t>
      </w:r>
      <w:r>
        <w:rPr>
          <w:sz w:val="20"/>
        </w:rPr>
        <w:t>the</w:t>
      </w:r>
      <w:r>
        <w:rPr>
          <w:spacing w:val="-5"/>
          <w:sz w:val="20"/>
        </w:rPr>
        <w:t> </w:t>
      </w:r>
      <w:r>
        <w:rPr>
          <w:sz w:val="20"/>
        </w:rPr>
        <w:t>connected</w:t>
      </w:r>
      <w:r>
        <w:rPr>
          <w:spacing w:val="-6"/>
          <w:sz w:val="20"/>
        </w:rPr>
        <w:t> </w:t>
      </w:r>
      <w:r>
        <w:rPr>
          <w:sz w:val="20"/>
        </w:rPr>
        <w:t>object</w:t>
      </w:r>
      <w:r>
        <w:rPr>
          <w:spacing w:val="-6"/>
          <w:sz w:val="20"/>
        </w:rPr>
        <w:t> </w:t>
      </w:r>
      <w:r>
        <w:rPr>
          <w:sz w:val="20"/>
        </w:rPr>
        <w:t>(e.g.</w:t>
      </w:r>
      <w:r>
        <w:rPr>
          <w:spacing w:val="-6"/>
          <w:sz w:val="20"/>
        </w:rPr>
        <w:t> </w:t>
      </w:r>
      <w:r>
        <w:rPr>
          <w:sz w:val="20"/>
        </w:rPr>
        <w:t>subscription</w:t>
      </w:r>
      <w:r>
        <w:rPr>
          <w:spacing w:val="-6"/>
          <w:sz w:val="20"/>
        </w:rPr>
        <w:t> </w:t>
      </w:r>
      <w:r>
        <w:rPr>
          <w:sz w:val="20"/>
        </w:rPr>
        <w:t>payments</w:t>
      </w:r>
      <w:r>
        <w:rPr>
          <w:spacing w:val="-3"/>
          <w:sz w:val="20"/>
        </w:rPr>
        <w:t> </w:t>
      </w:r>
      <w:r>
        <w:rPr>
          <w:sz w:val="20"/>
        </w:rPr>
        <w:t>for</w:t>
      </w:r>
      <w:r>
        <w:rPr>
          <w:spacing w:val="-6"/>
          <w:sz w:val="20"/>
        </w:rPr>
        <w:t> </w:t>
      </w:r>
      <w:r>
        <w:rPr>
          <w:sz w:val="20"/>
        </w:rPr>
        <w:t>a</w:t>
      </w:r>
      <w:r>
        <w:rPr>
          <w:spacing w:val="-7"/>
          <w:sz w:val="20"/>
        </w:rPr>
        <w:t> </w:t>
      </w:r>
      <w:r>
        <w:rPr>
          <w:sz w:val="20"/>
        </w:rPr>
        <w:t>tracking application to be used on a personal bracelet; streaming music through a virtual assistant device; online purchase of upgraded software to activate or enhance a product). These would be captured under the relevant ADS category (e.g. digital content services), which apply regardless of the type of physical good that supports the network connection through which such ADS is</w:t>
      </w:r>
      <w:r>
        <w:rPr>
          <w:spacing w:val="-3"/>
          <w:sz w:val="20"/>
        </w:rPr>
        <w:t> </w:t>
      </w:r>
      <w:r>
        <w:rPr>
          <w:sz w:val="20"/>
        </w:rPr>
        <w:t>delivered.</w:t>
      </w:r>
    </w:p>
    <w:p>
      <w:pPr>
        <w:pStyle w:val="BodyText"/>
        <w:spacing w:line="271" w:lineRule="auto" w:before="124"/>
        <w:ind w:left="860" w:right="623"/>
        <w:jc w:val="both"/>
      </w:pPr>
      <w:r>
        <w:rPr/>
        <w:t>To the extent that these revenue streams are separately identifiable from the sale price of the physical good, that ADS revenue stream would be captured as ADS. Some typical cases where this is likely to arise are noted in the commentary on the relevant ADS definitions on the positive list above. Further consideration is required to address cases where a separate revenue stream </w:t>
      </w:r>
      <w:r>
        <w:rPr>
          <w:spacing w:val="4"/>
        </w:rPr>
        <w:t>can </w:t>
      </w:r>
      <w:r>
        <w:rPr/>
        <w:t>be inferred even if not explicitly identified as such. For example, if the good is sold in two versions in which the main distinguishing</w:t>
      </w:r>
      <w:r>
        <w:rPr>
          <w:spacing w:val="-5"/>
        </w:rPr>
        <w:t> </w:t>
      </w:r>
      <w:r>
        <w:rPr/>
        <w:t>feature</w:t>
      </w:r>
      <w:r>
        <w:rPr>
          <w:spacing w:val="-4"/>
        </w:rPr>
        <w:t> </w:t>
      </w:r>
      <w:r>
        <w:rPr/>
        <w:t>is</w:t>
      </w:r>
      <w:r>
        <w:rPr>
          <w:spacing w:val="-4"/>
        </w:rPr>
        <w:t> </w:t>
      </w:r>
      <w:r>
        <w:rPr/>
        <w:t>that</w:t>
      </w:r>
      <w:r>
        <w:rPr>
          <w:spacing w:val="-6"/>
        </w:rPr>
        <w:t> </w:t>
      </w:r>
      <w:r>
        <w:rPr/>
        <w:t>one</w:t>
      </w:r>
      <w:r>
        <w:rPr>
          <w:spacing w:val="-4"/>
        </w:rPr>
        <w:t> </w:t>
      </w:r>
      <w:r>
        <w:rPr/>
        <w:t>includes</w:t>
      </w:r>
      <w:r>
        <w:rPr>
          <w:spacing w:val="-2"/>
        </w:rPr>
        <w:t> </w:t>
      </w:r>
      <w:r>
        <w:rPr/>
        <w:t>a</w:t>
      </w:r>
      <w:r>
        <w:rPr>
          <w:spacing w:val="-7"/>
        </w:rPr>
        <w:t> </w:t>
      </w:r>
      <w:r>
        <w:rPr/>
        <w:t>subscription</w:t>
      </w:r>
      <w:r>
        <w:rPr>
          <w:spacing w:val="-6"/>
        </w:rPr>
        <w:t> </w:t>
      </w:r>
      <w:r>
        <w:rPr/>
        <w:t>to</w:t>
      </w:r>
      <w:r>
        <w:rPr>
          <w:spacing w:val="-5"/>
        </w:rPr>
        <w:t> </w:t>
      </w:r>
      <w:r>
        <w:rPr/>
        <w:t>a</w:t>
      </w:r>
      <w:r>
        <w:rPr>
          <w:spacing w:val="-5"/>
        </w:rPr>
        <w:t> </w:t>
      </w:r>
      <w:r>
        <w:rPr/>
        <w:t>digital</w:t>
      </w:r>
      <w:r>
        <w:rPr>
          <w:spacing w:val="-6"/>
        </w:rPr>
        <w:t> </w:t>
      </w:r>
      <w:r>
        <w:rPr/>
        <w:t>service</w:t>
      </w:r>
      <w:r>
        <w:rPr>
          <w:spacing w:val="-5"/>
        </w:rPr>
        <w:t> </w:t>
      </w:r>
      <w:r>
        <w:rPr/>
        <w:t>and</w:t>
      </w:r>
      <w:r>
        <w:rPr>
          <w:spacing w:val="-6"/>
        </w:rPr>
        <w:t> </w:t>
      </w:r>
      <w:r>
        <w:rPr/>
        <w:t>the</w:t>
      </w:r>
      <w:r>
        <w:rPr>
          <w:spacing w:val="-7"/>
        </w:rPr>
        <w:t> </w:t>
      </w:r>
      <w:r>
        <w:rPr/>
        <w:t>other</w:t>
      </w:r>
      <w:r>
        <w:rPr>
          <w:spacing w:val="-3"/>
        </w:rPr>
        <w:t> </w:t>
      </w:r>
      <w:r>
        <w:rPr/>
        <w:t>does</w:t>
      </w:r>
      <w:r>
        <w:rPr>
          <w:spacing w:val="-2"/>
        </w:rPr>
        <w:t> </w:t>
      </w:r>
      <w:r>
        <w:rPr/>
        <w:t>not,</w:t>
      </w:r>
      <w:r>
        <w:rPr>
          <w:spacing w:val="-6"/>
        </w:rPr>
        <w:t> </w:t>
      </w:r>
      <w:r>
        <w:rPr/>
        <w:t>the price difference may be treated as the revenue associated with the digital</w:t>
      </w:r>
      <w:r>
        <w:rPr>
          <w:spacing w:val="-17"/>
        </w:rPr>
        <w:t> </w:t>
      </w:r>
      <w:r>
        <w:rPr/>
        <w:t>service.</w:t>
      </w:r>
    </w:p>
    <w:p>
      <w:pPr>
        <w:pStyle w:val="BodyText"/>
        <w:spacing w:line="271" w:lineRule="auto" w:before="121"/>
        <w:ind w:left="860" w:right="619"/>
        <w:jc w:val="both"/>
      </w:pPr>
      <w:r>
        <w:rPr/>
        <w:t>Second, there are certain types of machinery and industrial products that may contain a digital component. For example, monitoring the performance of an engine and providing remote technical support. This will typically require significant human involvement to provide the core function, which is using that information to conduct maintenance and repairs on the machinery. This is related to the operation of the machinery, rather than the service provider separately monetising that data in an automated way with a third party. This means that even if the Internet-enabled functionality of the machinery</w:t>
      </w:r>
      <w:r>
        <w:rPr>
          <w:spacing w:val="-12"/>
        </w:rPr>
        <w:t> </w:t>
      </w:r>
      <w:r>
        <w:rPr/>
        <w:t>were</w:t>
      </w:r>
      <w:r>
        <w:rPr>
          <w:spacing w:val="-12"/>
        </w:rPr>
        <w:t> </w:t>
      </w:r>
      <w:r>
        <w:rPr/>
        <w:t>separately</w:t>
      </w:r>
      <w:r>
        <w:rPr>
          <w:spacing w:val="-12"/>
        </w:rPr>
        <w:t> </w:t>
      </w:r>
      <w:r>
        <w:rPr/>
        <w:t>tested</w:t>
      </w:r>
      <w:r>
        <w:rPr>
          <w:spacing w:val="-12"/>
        </w:rPr>
        <w:t> </w:t>
      </w:r>
      <w:r>
        <w:rPr/>
        <w:t>under</w:t>
      </w:r>
      <w:r>
        <w:rPr>
          <w:spacing w:val="-11"/>
        </w:rPr>
        <w:t> </w:t>
      </w:r>
      <w:r>
        <w:rPr/>
        <w:t>the</w:t>
      </w:r>
      <w:r>
        <w:rPr>
          <w:spacing w:val="-9"/>
        </w:rPr>
        <w:t> </w:t>
      </w:r>
      <w:r>
        <w:rPr/>
        <w:t>dual</w:t>
      </w:r>
      <w:r>
        <w:rPr>
          <w:spacing w:val="-12"/>
        </w:rPr>
        <w:t> </w:t>
      </w:r>
      <w:r>
        <w:rPr/>
        <w:t>category</w:t>
      </w:r>
      <w:r>
        <w:rPr>
          <w:spacing w:val="-14"/>
        </w:rPr>
        <w:t> </w:t>
      </w:r>
      <w:r>
        <w:rPr/>
        <w:t>ADS</w:t>
      </w:r>
      <w:r>
        <w:rPr>
          <w:spacing w:val="-9"/>
        </w:rPr>
        <w:t> </w:t>
      </w:r>
      <w:r>
        <w:rPr/>
        <w:t>and</w:t>
      </w:r>
      <w:r>
        <w:rPr>
          <w:spacing w:val="-9"/>
        </w:rPr>
        <w:t> </w:t>
      </w:r>
      <w:r>
        <w:rPr/>
        <w:t>bundled</w:t>
      </w:r>
      <w:r>
        <w:rPr>
          <w:spacing w:val="-12"/>
        </w:rPr>
        <w:t> </w:t>
      </w:r>
      <w:r>
        <w:rPr/>
        <w:t>services</w:t>
      </w:r>
      <w:r>
        <w:rPr>
          <w:spacing w:val="-10"/>
        </w:rPr>
        <w:t> </w:t>
      </w:r>
      <w:r>
        <w:rPr/>
        <w:t>analysis,</w:t>
      </w:r>
      <w:r>
        <w:rPr>
          <w:spacing w:val="-11"/>
        </w:rPr>
        <w:t> </w:t>
      </w:r>
      <w:r>
        <w:rPr/>
        <w:t>it</w:t>
      </w:r>
      <w:r>
        <w:rPr>
          <w:spacing w:val="-9"/>
        </w:rPr>
        <w:t> </w:t>
      </w:r>
      <w:r>
        <w:rPr/>
        <w:t>would not meet the general definition of ADS or any item on the positive list, meaning the entire item is out- of-scope. For the purpose of certainty, this will be added to the negative list, and revisited at a future point in time if any changes are</w:t>
      </w:r>
      <w:r>
        <w:rPr>
          <w:spacing w:val="-8"/>
        </w:rPr>
        <w:t> </w:t>
      </w:r>
      <w:r>
        <w:rPr/>
        <w:t>required.</w:t>
      </w:r>
    </w:p>
    <w:p>
      <w:pPr>
        <w:pStyle w:val="BodyText"/>
        <w:spacing w:line="271" w:lineRule="auto" w:before="123"/>
        <w:ind w:left="860" w:right="618"/>
        <w:jc w:val="both"/>
      </w:pPr>
      <w:r>
        <w:rPr/>
        <w:t>Third, there are certain consumer products, known as the Internet of things, that provide a network of everyday devices, appliances, and other objects equipped with computer chips and sensors that can collect and transmit data through the Internet, which enables additional features of the product to be used. For example, fitness trackers may give access to an online platform that analyses data, allows interaction with other users, and provides information on workout programmes. It may be that many consumer goods now contain some software and may in the future be Internet-enabled, and bringing all</w:t>
      </w:r>
      <w:r>
        <w:rPr>
          <w:spacing w:val="-12"/>
        </w:rPr>
        <w:t> </w:t>
      </w:r>
      <w:r>
        <w:rPr/>
        <w:t>such</w:t>
      </w:r>
      <w:r>
        <w:rPr>
          <w:spacing w:val="-11"/>
        </w:rPr>
        <w:t> </w:t>
      </w:r>
      <w:r>
        <w:rPr/>
        <w:t>items</w:t>
      </w:r>
      <w:r>
        <w:rPr>
          <w:spacing w:val="-12"/>
        </w:rPr>
        <w:t> </w:t>
      </w:r>
      <w:r>
        <w:rPr/>
        <w:t>into</w:t>
      </w:r>
      <w:r>
        <w:rPr>
          <w:spacing w:val="-11"/>
        </w:rPr>
        <w:t> </w:t>
      </w:r>
      <w:r>
        <w:rPr/>
        <w:t>the</w:t>
      </w:r>
      <w:r>
        <w:rPr>
          <w:spacing w:val="-14"/>
        </w:rPr>
        <w:t> </w:t>
      </w:r>
      <w:r>
        <w:rPr/>
        <w:t>scope</w:t>
      </w:r>
      <w:r>
        <w:rPr>
          <w:spacing w:val="-13"/>
        </w:rPr>
        <w:t> </w:t>
      </w:r>
      <w:r>
        <w:rPr/>
        <w:t>of</w:t>
      </w:r>
      <w:r>
        <w:rPr>
          <w:spacing w:val="-12"/>
        </w:rPr>
        <w:t> </w:t>
      </w:r>
      <w:r>
        <w:rPr/>
        <w:t>ADS</w:t>
      </w:r>
      <w:r>
        <w:rPr>
          <w:spacing w:val="-8"/>
        </w:rPr>
        <w:t> </w:t>
      </w:r>
      <w:r>
        <w:rPr/>
        <w:t>would</w:t>
      </w:r>
      <w:r>
        <w:rPr>
          <w:spacing w:val="-12"/>
        </w:rPr>
        <w:t> </w:t>
      </w:r>
      <w:r>
        <w:rPr/>
        <w:t>be</w:t>
      </w:r>
      <w:r>
        <w:rPr>
          <w:spacing w:val="-13"/>
        </w:rPr>
        <w:t> </w:t>
      </w:r>
      <w:r>
        <w:rPr/>
        <w:t>over-broad</w:t>
      </w:r>
      <w:r>
        <w:rPr>
          <w:spacing w:val="-12"/>
        </w:rPr>
        <w:t> </w:t>
      </w:r>
      <w:r>
        <w:rPr/>
        <w:t>having</w:t>
      </w:r>
      <w:r>
        <w:rPr>
          <w:spacing w:val="-13"/>
        </w:rPr>
        <w:t> </w:t>
      </w:r>
      <w:r>
        <w:rPr/>
        <w:t>regard</w:t>
      </w:r>
      <w:r>
        <w:rPr>
          <w:spacing w:val="-11"/>
        </w:rPr>
        <w:t> </w:t>
      </w:r>
      <w:r>
        <w:rPr/>
        <w:t>to</w:t>
      </w:r>
      <w:r>
        <w:rPr>
          <w:spacing w:val="-12"/>
        </w:rPr>
        <w:t> </w:t>
      </w:r>
      <w:r>
        <w:rPr/>
        <w:t>the</w:t>
      </w:r>
      <w:r>
        <w:rPr>
          <w:spacing w:val="-13"/>
        </w:rPr>
        <w:t> </w:t>
      </w:r>
      <w:r>
        <w:rPr/>
        <w:t>general</w:t>
      </w:r>
      <w:r>
        <w:rPr>
          <w:spacing w:val="-12"/>
        </w:rPr>
        <w:t> </w:t>
      </w:r>
      <w:r>
        <w:rPr/>
        <w:t>definition</w:t>
      </w:r>
      <w:r>
        <w:rPr>
          <w:spacing w:val="-11"/>
        </w:rPr>
        <w:t> </w:t>
      </w:r>
      <w:r>
        <w:rPr/>
        <w:t>of</w:t>
      </w:r>
      <w:r>
        <w:rPr>
          <w:spacing w:val="-12"/>
        </w:rPr>
        <w:t> </w:t>
      </w:r>
      <w:r>
        <w:rPr/>
        <w:t>ADS above, given that the sale of a physical good is not ADS because it is not a service, nor is it provided over the Internet or through an electronic network. One option to address this would be to say that where the physical good embodies an ADS, part of the sale price of that physical good could nevertheless be attributable to that ADS. However, treating a portion of Internet of things goods as within the scope of ADS would be difficult in practice and highly fact intensive for every given product that</w:t>
      </w:r>
      <w:r>
        <w:rPr>
          <w:spacing w:val="-9"/>
        </w:rPr>
        <w:t> </w:t>
      </w:r>
      <w:r>
        <w:rPr/>
        <w:t>exists</w:t>
      </w:r>
      <w:r>
        <w:rPr>
          <w:spacing w:val="-10"/>
        </w:rPr>
        <w:t> </w:t>
      </w:r>
      <w:r>
        <w:rPr/>
        <w:t>or</w:t>
      </w:r>
      <w:r>
        <w:rPr>
          <w:spacing w:val="-7"/>
        </w:rPr>
        <w:t> </w:t>
      </w:r>
      <w:r>
        <w:rPr/>
        <w:t>will</w:t>
      </w:r>
      <w:r>
        <w:rPr>
          <w:spacing w:val="-10"/>
        </w:rPr>
        <w:t> </w:t>
      </w:r>
      <w:r>
        <w:rPr/>
        <w:t>exist</w:t>
      </w:r>
      <w:r>
        <w:rPr>
          <w:spacing w:val="-9"/>
        </w:rPr>
        <w:t> </w:t>
      </w:r>
      <w:r>
        <w:rPr/>
        <w:t>–</w:t>
      </w:r>
      <w:r>
        <w:rPr>
          <w:spacing w:val="-9"/>
        </w:rPr>
        <w:t> </w:t>
      </w:r>
      <w:r>
        <w:rPr/>
        <w:t>and</w:t>
      </w:r>
      <w:r>
        <w:rPr>
          <w:spacing w:val="-6"/>
        </w:rPr>
        <w:t> </w:t>
      </w:r>
      <w:r>
        <w:rPr/>
        <w:t>would</w:t>
      </w:r>
      <w:r>
        <w:rPr>
          <w:spacing w:val="-8"/>
        </w:rPr>
        <w:t> </w:t>
      </w:r>
      <w:r>
        <w:rPr/>
        <w:t>be</w:t>
      </w:r>
      <w:r>
        <w:rPr>
          <w:spacing w:val="-9"/>
        </w:rPr>
        <w:t> </w:t>
      </w:r>
      <w:r>
        <w:rPr/>
        <w:t>likely</w:t>
      </w:r>
      <w:r>
        <w:rPr>
          <w:spacing w:val="-14"/>
        </w:rPr>
        <w:t> </w:t>
      </w:r>
      <w:r>
        <w:rPr/>
        <w:t>to</w:t>
      </w:r>
      <w:r>
        <w:rPr>
          <w:spacing w:val="-12"/>
        </w:rPr>
        <w:t> </w:t>
      </w:r>
      <w:r>
        <w:rPr/>
        <w:t>generate</w:t>
      </w:r>
      <w:r>
        <w:rPr>
          <w:spacing w:val="-8"/>
        </w:rPr>
        <w:t> </w:t>
      </w:r>
      <w:r>
        <w:rPr/>
        <w:t>disputes</w:t>
      </w:r>
      <w:r>
        <w:rPr>
          <w:spacing w:val="-8"/>
        </w:rPr>
        <w:t> </w:t>
      </w:r>
      <w:r>
        <w:rPr/>
        <w:t>–</w:t>
      </w:r>
      <w:r>
        <w:rPr>
          <w:spacing w:val="-8"/>
        </w:rPr>
        <w:t> </w:t>
      </w:r>
      <w:r>
        <w:rPr/>
        <w:t>as</w:t>
      </w:r>
      <w:r>
        <w:rPr>
          <w:spacing w:val="-10"/>
        </w:rPr>
        <w:t> </w:t>
      </w:r>
      <w:r>
        <w:rPr/>
        <w:t>it</w:t>
      </w:r>
      <w:r>
        <w:rPr>
          <w:spacing w:val="-7"/>
        </w:rPr>
        <w:t> </w:t>
      </w:r>
      <w:r>
        <w:rPr/>
        <w:t>would</w:t>
      </w:r>
      <w:r>
        <w:rPr>
          <w:spacing w:val="-11"/>
        </w:rPr>
        <w:t> </w:t>
      </w:r>
      <w:r>
        <w:rPr/>
        <w:t>require</w:t>
      </w:r>
      <w:r>
        <w:rPr>
          <w:spacing w:val="-11"/>
        </w:rPr>
        <w:t> </w:t>
      </w:r>
      <w:r>
        <w:rPr/>
        <w:t>trying</w:t>
      </w:r>
      <w:r>
        <w:rPr>
          <w:spacing w:val="-10"/>
        </w:rPr>
        <w:t> </w:t>
      </w:r>
      <w:r>
        <w:rPr/>
        <w:t>to</w:t>
      </w:r>
      <w:r>
        <w:rPr>
          <w:spacing w:val="-9"/>
        </w:rPr>
        <w:t> </w:t>
      </w:r>
      <w:r>
        <w:rPr/>
        <w:t>separate the value of the digital component of the service as the ADS, as opposed to the value created by the other parts of the good / service. In any case, the sale of the object, to the extent it is otherwise a consumer-facing product, would already be included in scope under</w:t>
      </w:r>
      <w:r>
        <w:rPr>
          <w:spacing w:val="-8"/>
        </w:rPr>
        <w:t> </w:t>
      </w:r>
      <w:r>
        <w:rPr/>
        <w:t>CFB.</w:t>
      </w:r>
    </w:p>
    <w:p>
      <w:pPr>
        <w:pStyle w:val="BodyText"/>
        <w:spacing w:line="271" w:lineRule="auto" w:before="122"/>
        <w:ind w:left="860" w:right="626"/>
        <w:jc w:val="both"/>
      </w:pPr>
      <w:r>
        <w:rPr/>
        <w:t>Based</w:t>
      </w:r>
      <w:r>
        <w:rPr>
          <w:spacing w:val="-5"/>
        </w:rPr>
        <w:t> </w:t>
      </w:r>
      <w:r>
        <w:rPr/>
        <w:t>on</w:t>
      </w:r>
      <w:r>
        <w:rPr>
          <w:spacing w:val="-5"/>
        </w:rPr>
        <w:t> </w:t>
      </w:r>
      <w:r>
        <w:rPr/>
        <w:t>the</w:t>
      </w:r>
      <w:r>
        <w:rPr>
          <w:spacing w:val="-4"/>
        </w:rPr>
        <w:t> </w:t>
      </w:r>
      <w:r>
        <w:rPr/>
        <w:t>three</w:t>
      </w:r>
      <w:r>
        <w:rPr>
          <w:spacing w:val="-7"/>
        </w:rPr>
        <w:t> </w:t>
      </w:r>
      <w:r>
        <w:rPr/>
        <w:t>categories</w:t>
      </w:r>
      <w:r>
        <w:rPr>
          <w:spacing w:val="-6"/>
        </w:rPr>
        <w:t> </w:t>
      </w:r>
      <w:r>
        <w:rPr/>
        <w:t>above,</w:t>
      </w:r>
      <w:r>
        <w:rPr>
          <w:spacing w:val="-5"/>
        </w:rPr>
        <w:t> </w:t>
      </w:r>
      <w:r>
        <w:rPr/>
        <w:t>the</w:t>
      </w:r>
      <w:r>
        <w:rPr>
          <w:spacing w:val="-7"/>
        </w:rPr>
        <w:t> </w:t>
      </w:r>
      <w:r>
        <w:rPr/>
        <w:t>scope</w:t>
      </w:r>
      <w:r>
        <w:rPr>
          <w:spacing w:val="-4"/>
        </w:rPr>
        <w:t> </w:t>
      </w:r>
      <w:r>
        <w:rPr/>
        <w:t>of</w:t>
      </w:r>
      <w:r>
        <w:rPr>
          <w:spacing w:val="-5"/>
        </w:rPr>
        <w:t> </w:t>
      </w:r>
      <w:r>
        <w:rPr/>
        <w:t>ADS</w:t>
      </w:r>
      <w:r>
        <w:rPr>
          <w:spacing w:val="-4"/>
        </w:rPr>
        <w:t> </w:t>
      </w:r>
      <w:r>
        <w:rPr/>
        <w:t>would</w:t>
      </w:r>
      <w:r>
        <w:rPr>
          <w:spacing w:val="-6"/>
        </w:rPr>
        <w:t> </w:t>
      </w:r>
      <w:r>
        <w:rPr/>
        <w:t>include</w:t>
      </w:r>
      <w:r>
        <w:rPr>
          <w:spacing w:val="-7"/>
        </w:rPr>
        <w:t> </w:t>
      </w:r>
      <w:r>
        <w:rPr/>
        <w:t>the</w:t>
      </w:r>
      <w:r>
        <w:rPr>
          <w:spacing w:val="-7"/>
        </w:rPr>
        <w:t> </w:t>
      </w:r>
      <w:r>
        <w:rPr/>
        <w:t>revenue</w:t>
      </w:r>
      <w:r>
        <w:rPr>
          <w:spacing w:val="-6"/>
        </w:rPr>
        <w:t> </w:t>
      </w:r>
      <w:r>
        <w:rPr/>
        <w:t>from</w:t>
      </w:r>
      <w:r>
        <w:rPr>
          <w:spacing w:val="-2"/>
        </w:rPr>
        <w:t> </w:t>
      </w:r>
      <w:r>
        <w:rPr/>
        <w:t>the</w:t>
      </w:r>
      <w:r>
        <w:rPr>
          <w:spacing w:val="-6"/>
        </w:rPr>
        <w:t> </w:t>
      </w:r>
      <w:r>
        <w:rPr/>
        <w:t>Internet</w:t>
      </w:r>
      <w:r>
        <w:rPr>
          <w:spacing w:val="-5"/>
        </w:rPr>
        <w:t> </w:t>
      </w:r>
      <w:r>
        <w:rPr/>
        <w:t>of things</w:t>
      </w:r>
      <w:r>
        <w:rPr>
          <w:spacing w:val="-8"/>
        </w:rPr>
        <w:t> </w:t>
      </w:r>
      <w:r>
        <w:rPr/>
        <w:t>to</w:t>
      </w:r>
      <w:r>
        <w:rPr>
          <w:spacing w:val="-9"/>
        </w:rPr>
        <w:t> </w:t>
      </w:r>
      <w:r>
        <w:rPr/>
        <w:t>the</w:t>
      </w:r>
      <w:r>
        <w:rPr>
          <w:spacing w:val="-9"/>
        </w:rPr>
        <w:t> </w:t>
      </w:r>
      <w:r>
        <w:rPr/>
        <w:t>extent</w:t>
      </w:r>
      <w:r>
        <w:rPr>
          <w:spacing w:val="-9"/>
        </w:rPr>
        <w:t> </w:t>
      </w:r>
      <w:r>
        <w:rPr/>
        <w:t>separately</w:t>
      </w:r>
      <w:r>
        <w:rPr>
          <w:spacing w:val="-11"/>
        </w:rPr>
        <w:t> </w:t>
      </w:r>
      <w:r>
        <w:rPr/>
        <w:t>identifiable</w:t>
      </w:r>
      <w:r>
        <w:rPr>
          <w:spacing w:val="-9"/>
        </w:rPr>
        <w:t> </w:t>
      </w:r>
      <w:r>
        <w:rPr/>
        <w:t>as</w:t>
      </w:r>
      <w:r>
        <w:rPr>
          <w:spacing w:val="-8"/>
        </w:rPr>
        <w:t> </w:t>
      </w:r>
      <w:r>
        <w:rPr/>
        <w:t>another</w:t>
      </w:r>
      <w:r>
        <w:rPr>
          <w:spacing w:val="-8"/>
        </w:rPr>
        <w:t> </w:t>
      </w:r>
      <w:r>
        <w:rPr/>
        <w:t>ADS</w:t>
      </w:r>
      <w:r>
        <w:rPr>
          <w:spacing w:val="-9"/>
        </w:rPr>
        <w:t> </w:t>
      </w:r>
      <w:r>
        <w:rPr/>
        <w:t>on</w:t>
      </w:r>
      <w:r>
        <w:rPr>
          <w:spacing w:val="-9"/>
        </w:rPr>
        <w:t> </w:t>
      </w:r>
      <w:r>
        <w:rPr/>
        <w:t>the</w:t>
      </w:r>
      <w:r>
        <w:rPr>
          <w:spacing w:val="-8"/>
        </w:rPr>
        <w:t> </w:t>
      </w:r>
      <w:r>
        <w:rPr/>
        <w:t>positive</w:t>
      </w:r>
      <w:r>
        <w:rPr>
          <w:spacing w:val="-7"/>
        </w:rPr>
        <w:t> </w:t>
      </w:r>
      <w:r>
        <w:rPr/>
        <w:t>list</w:t>
      </w:r>
      <w:r>
        <w:rPr>
          <w:spacing w:val="-9"/>
        </w:rPr>
        <w:t> </w:t>
      </w:r>
      <w:r>
        <w:rPr/>
        <w:t>(the</w:t>
      </w:r>
      <w:r>
        <w:rPr>
          <w:spacing w:val="-9"/>
        </w:rPr>
        <w:t> </w:t>
      </w:r>
      <w:r>
        <w:rPr/>
        <w:t>first</w:t>
      </w:r>
      <w:r>
        <w:rPr>
          <w:spacing w:val="-9"/>
        </w:rPr>
        <w:t> </w:t>
      </w:r>
      <w:r>
        <w:rPr/>
        <w:t>category</w:t>
      </w:r>
      <w:r>
        <w:rPr>
          <w:spacing w:val="-11"/>
        </w:rPr>
        <w:t> </w:t>
      </w:r>
      <w:r>
        <w:rPr/>
        <w:t>above),</w:t>
      </w:r>
    </w:p>
    <w:p>
      <w:pPr>
        <w:spacing w:after="0" w:line="271" w:lineRule="auto"/>
        <w:jc w:val="both"/>
        <w:sectPr>
          <w:pgSz w:w="11910" w:h="16840"/>
          <w:pgMar w:header="1244" w:footer="1638" w:top="1500" w:bottom="1820" w:left="580" w:right="820"/>
        </w:sectPr>
      </w:pPr>
    </w:p>
    <w:p>
      <w:pPr>
        <w:pStyle w:val="BodyText"/>
        <w:rPr>
          <w:sz w:val="26"/>
        </w:rPr>
      </w:pPr>
    </w:p>
    <w:p>
      <w:pPr>
        <w:pStyle w:val="BodyText"/>
        <w:ind w:left="713"/>
      </w:pPr>
      <w:r>
        <w:rPr/>
        <w:pict>
          <v:shape style="width:465.6pt;height:39.6pt;mso-position-horizontal-relative:char;mso-position-vertical-relative:line" type="#_x0000_t202" filled="true" fillcolor="#eeece1" stroked="true" strokeweight=".48004pt" strokecolor="#4e81bd">
            <w10:anchorlock/>
            <v:textbox inset="0,0,0,0">
              <w:txbxContent>
                <w:p>
                  <w:pPr>
                    <w:pStyle w:val="BodyText"/>
                    <w:spacing w:line="271" w:lineRule="auto" w:before="28"/>
                    <w:ind w:left="136" w:right="63"/>
                  </w:pPr>
                  <w:r>
                    <w:rPr/>
                    <w:t>and to exclude the revenue from the physical sale of goods such as industrial or consumer goods. This could be revisited in the future as the Internet of things evolves.</w:t>
                  </w:r>
                </w:p>
              </w:txbxContent>
            </v:textbox>
            <v:fill type="solid"/>
            <v:stroke dashstyle="solid"/>
          </v:shape>
        </w:pict>
      </w:r>
      <w:r>
        <w:rPr/>
      </w:r>
    </w:p>
    <w:p>
      <w:pPr>
        <w:pStyle w:val="BodyText"/>
      </w:pPr>
    </w:p>
    <w:p>
      <w:pPr>
        <w:pStyle w:val="BodyText"/>
        <w:rPr>
          <w:sz w:val="17"/>
        </w:rPr>
      </w:pPr>
      <w:r>
        <w:rPr/>
        <w:pict>
          <v:shape style="position:absolute;margin-left:64.944pt;margin-top:12.02105pt;width:465.6pt;height:80.650pt;mso-position-horizontal-relative:page;mso-position-vertical-relative:paragraph;z-index:-15693824;mso-wrap-distance-left:0;mso-wrap-distance-right:0" type="#_x0000_t202" filled="true" fillcolor="#eeece1" stroked="true" strokeweight=".48004pt" strokecolor="#4e81bd">
            <v:textbox inset="0,0,0,0">
              <w:txbxContent>
                <w:p>
                  <w:pPr>
                    <w:pStyle w:val="BodyText"/>
                    <w:spacing w:before="6"/>
                    <w:rPr>
                      <w:sz w:val="31"/>
                    </w:rPr>
                  </w:pPr>
                </w:p>
                <w:p>
                  <w:pPr>
                    <w:spacing w:before="0"/>
                    <w:ind w:left="681" w:right="0" w:firstLine="0"/>
                    <w:jc w:val="left"/>
                    <w:rPr>
                      <w:rFonts w:ascii="Arial Narrow" w:hAnsi="Arial Narrow"/>
                      <w:b/>
                      <w:sz w:val="24"/>
                    </w:rPr>
                  </w:pPr>
                  <w:r>
                    <w:rPr>
                      <w:rFonts w:ascii="Arial Narrow" w:hAnsi="Arial Narrow"/>
                      <w:b/>
                      <w:color w:val="4E81BD"/>
                      <w:sz w:val="24"/>
                    </w:rPr>
                    <w:t>Box 2.29. Services providing access to the Internet or electronic network – Definition</w:t>
                  </w:r>
                </w:p>
                <w:p>
                  <w:pPr>
                    <w:pStyle w:val="BodyText"/>
                    <w:spacing w:line="273" w:lineRule="auto" w:before="211"/>
                    <w:ind w:left="136" w:right="63"/>
                  </w:pPr>
                  <w:r>
                    <w:rPr/>
                    <w:t>This would apply to the provision of access (i.e. connection, subscription, installation) to the Internet or electronic network, irrespective of the delivery method.</w:t>
                  </w:r>
                </w:p>
              </w:txbxContent>
            </v:textbox>
            <v:fill type="solid"/>
            <v:stroke dashstyle="solid"/>
            <w10:wrap type="topAndBottom"/>
          </v:shape>
        </w:pict>
      </w:r>
    </w:p>
    <w:p>
      <w:pPr>
        <w:pStyle w:val="BodyText"/>
      </w:pPr>
    </w:p>
    <w:p>
      <w:pPr>
        <w:pStyle w:val="BodyText"/>
        <w:spacing w:before="7"/>
        <w:rPr>
          <w:sz w:val="17"/>
        </w:rPr>
      </w:pPr>
      <w:r>
        <w:rPr/>
        <w:pict>
          <v:shape style="position:absolute;margin-left:64.944pt;margin-top:12.36099pt;width:465.6pt;height:216.65pt;mso-position-horizontal-relative:page;mso-position-vertical-relative:paragraph;z-index:-15693312;mso-wrap-distance-left:0;mso-wrap-distance-right:0" type="#_x0000_t202" filled="true" fillcolor="#eeece1" stroked="true" strokeweight=".48004pt" strokecolor="#4e81bd">
            <v:textbox inset="0,0,0,0">
              <w:txbxContent>
                <w:p>
                  <w:pPr>
                    <w:pStyle w:val="BodyText"/>
                    <w:spacing w:before="4"/>
                    <w:rPr>
                      <w:sz w:val="31"/>
                    </w:rPr>
                  </w:pPr>
                </w:p>
                <w:p>
                  <w:pPr>
                    <w:spacing w:before="1"/>
                    <w:ind w:left="535" w:right="0" w:firstLine="0"/>
                    <w:jc w:val="left"/>
                    <w:rPr>
                      <w:rFonts w:ascii="Arial Narrow" w:hAnsi="Arial Narrow"/>
                      <w:b/>
                      <w:sz w:val="24"/>
                    </w:rPr>
                  </w:pPr>
                  <w:r>
                    <w:rPr>
                      <w:rFonts w:ascii="Arial Narrow" w:hAnsi="Arial Narrow"/>
                      <w:b/>
                      <w:color w:val="4E81BD"/>
                      <w:sz w:val="24"/>
                    </w:rPr>
                    <w:t>Box 2.30. Services providing access to the Internet or electronic network – Commentary</w:t>
                  </w:r>
                </w:p>
                <w:p>
                  <w:pPr>
                    <w:pStyle w:val="BodyText"/>
                    <w:spacing w:line="271" w:lineRule="auto" w:before="210"/>
                    <w:ind w:left="136" w:right="139"/>
                    <w:jc w:val="both"/>
                  </w:pPr>
                  <w:r>
                    <w:rPr/>
                    <w:t>This category is drafted to clarify that services providing access to the Internet or to an electronic network would be out-of-scope of ADS. This is in line with the policy of Amount A as the provision of such</w:t>
                  </w:r>
                  <w:r>
                    <w:rPr>
                      <w:spacing w:val="-18"/>
                    </w:rPr>
                    <w:t> </w:t>
                  </w:r>
                  <w:r>
                    <w:rPr/>
                    <w:t>services</w:t>
                  </w:r>
                  <w:r>
                    <w:rPr>
                      <w:spacing w:val="-16"/>
                    </w:rPr>
                    <w:t> </w:t>
                  </w:r>
                  <w:r>
                    <w:rPr/>
                    <w:t>typically</w:t>
                  </w:r>
                  <w:r>
                    <w:rPr>
                      <w:spacing w:val="-20"/>
                    </w:rPr>
                    <w:t> </w:t>
                  </w:r>
                  <w:r>
                    <w:rPr/>
                    <w:t>requires</w:t>
                  </w:r>
                  <w:r>
                    <w:rPr>
                      <w:spacing w:val="-16"/>
                    </w:rPr>
                    <w:t> </w:t>
                  </w:r>
                  <w:r>
                    <w:rPr/>
                    <w:t>a</w:t>
                  </w:r>
                  <w:r>
                    <w:rPr>
                      <w:spacing w:val="-17"/>
                    </w:rPr>
                    <w:t> </w:t>
                  </w:r>
                  <w:r>
                    <w:rPr/>
                    <w:t>degree</w:t>
                  </w:r>
                  <w:r>
                    <w:rPr>
                      <w:spacing w:val="-17"/>
                    </w:rPr>
                    <w:t> </w:t>
                  </w:r>
                  <w:r>
                    <w:rPr/>
                    <w:t>of</w:t>
                  </w:r>
                  <w:r>
                    <w:rPr>
                      <w:spacing w:val="-15"/>
                    </w:rPr>
                    <w:t> </w:t>
                  </w:r>
                  <w:r>
                    <w:rPr/>
                    <w:t>local</w:t>
                  </w:r>
                  <w:r>
                    <w:rPr>
                      <w:spacing w:val="-18"/>
                    </w:rPr>
                    <w:t> </w:t>
                  </w:r>
                  <w:r>
                    <w:rPr/>
                    <w:t>infrastructure</w:t>
                  </w:r>
                  <w:r>
                    <w:rPr>
                      <w:spacing w:val="-17"/>
                    </w:rPr>
                    <w:t> </w:t>
                  </w:r>
                  <w:r>
                    <w:rPr/>
                    <w:t>and</w:t>
                  </w:r>
                  <w:r>
                    <w:rPr>
                      <w:spacing w:val="-15"/>
                    </w:rPr>
                    <w:t> </w:t>
                  </w:r>
                  <w:r>
                    <w:rPr/>
                    <w:t>is</w:t>
                  </w:r>
                  <w:r>
                    <w:rPr>
                      <w:spacing w:val="-17"/>
                    </w:rPr>
                    <w:t> </w:t>
                  </w:r>
                  <w:r>
                    <w:rPr/>
                    <w:t>subject</w:t>
                  </w:r>
                  <w:r>
                    <w:rPr>
                      <w:spacing w:val="-17"/>
                    </w:rPr>
                    <w:t> </w:t>
                  </w:r>
                  <w:r>
                    <w:rPr/>
                    <w:t>to</w:t>
                  </w:r>
                  <w:r>
                    <w:rPr>
                      <w:spacing w:val="-17"/>
                    </w:rPr>
                    <w:t> </w:t>
                  </w:r>
                  <w:r>
                    <w:rPr/>
                    <w:t>local</w:t>
                  </w:r>
                  <w:r>
                    <w:rPr>
                      <w:spacing w:val="-18"/>
                    </w:rPr>
                    <w:t> </w:t>
                  </w:r>
                  <w:r>
                    <w:rPr/>
                    <w:t>telecommunication regulations. This category covers the provision of access (i.e. connection, subscription, installation) to the Internet or electronic network irrespective of the delivery method, namely over wire, lines, cable, fibre optics, satellite transmission or other means, although this could be revisited if needed as technology</w:t>
                  </w:r>
                  <w:r>
                    <w:rPr>
                      <w:spacing w:val="-3"/>
                    </w:rPr>
                    <w:t> </w:t>
                  </w:r>
                  <w:r>
                    <w:rPr/>
                    <w:t>advances.</w:t>
                  </w:r>
                </w:p>
                <w:p>
                  <w:pPr>
                    <w:pStyle w:val="BodyText"/>
                    <w:spacing w:line="271" w:lineRule="auto" w:before="123"/>
                    <w:ind w:left="136" w:right="138"/>
                    <w:jc w:val="both"/>
                  </w:pPr>
                  <w:r>
                    <w:rPr/>
                    <w:t>Internet Service Packages (ISPs) in which the Internet access component is an ancillary and subordinate part (i.e. a package that goes beyond mere Internet access comprising various elements (e.g. content pages containing news, weather, travel information; games fora; web-hosting; access to chat-lines etc.)) would not be covered by this category. In such cases, the rules applicable to dual category ADS and bundled packages would apply.</w:t>
                  </w:r>
                </w:p>
              </w:txbxContent>
            </v:textbox>
            <v:fill type="solid"/>
            <v:stroke dashstyle="solid"/>
            <w10:wrap type="topAndBottom"/>
          </v:shape>
        </w:pict>
      </w:r>
    </w:p>
    <w:p>
      <w:pPr>
        <w:pStyle w:val="BodyText"/>
        <w:spacing w:before="10"/>
        <w:rPr>
          <w:sz w:val="11"/>
        </w:rPr>
      </w:pPr>
    </w:p>
    <w:p>
      <w:pPr>
        <w:pStyle w:val="Heading7"/>
        <w:spacing w:before="93"/>
        <w:rPr>
          <w:i/>
        </w:rPr>
      </w:pPr>
      <w:bookmarkStart w:name="Dual category ADS / bundled packages" w:id="42"/>
      <w:bookmarkEnd w:id="42"/>
      <w:r>
        <w:rPr>
          <w:i w:val="0"/>
        </w:rPr>
      </w:r>
      <w:r>
        <w:rPr>
          <w:i/>
          <w:color w:val="616161"/>
        </w:rPr>
        <w:t>Dual category ADS / bundled packages</w:t>
      </w:r>
    </w:p>
    <w:p>
      <w:pPr>
        <w:pStyle w:val="ListParagraph"/>
        <w:numPr>
          <w:ilvl w:val="0"/>
          <w:numId w:val="4"/>
        </w:numPr>
        <w:tabs>
          <w:tab w:pos="1444" w:val="left" w:leader="none"/>
        </w:tabs>
        <w:spacing w:line="271" w:lineRule="auto" w:before="215" w:after="0"/>
        <w:ind w:left="723" w:right="481" w:firstLine="0"/>
        <w:jc w:val="both"/>
        <w:rPr>
          <w:sz w:val="20"/>
        </w:rPr>
      </w:pPr>
      <w:r>
        <w:rPr>
          <w:sz w:val="20"/>
        </w:rPr>
        <w:t>Where an MNE is engaged in multiple activities, and those are clearly identifiable as separate, stand-alone services by reference to revenue streams, the definitions apply to each activity separately. This includes cases where an MNE provides more than one type of ADS (e.g. an online intermediation platform could</w:t>
      </w:r>
      <w:r>
        <w:rPr>
          <w:spacing w:val="-5"/>
          <w:sz w:val="20"/>
        </w:rPr>
        <w:t> </w:t>
      </w:r>
      <w:r>
        <w:rPr>
          <w:sz w:val="20"/>
        </w:rPr>
        <w:t>be</w:t>
      </w:r>
      <w:r>
        <w:rPr>
          <w:spacing w:val="-5"/>
          <w:sz w:val="20"/>
        </w:rPr>
        <w:t> </w:t>
      </w:r>
      <w:r>
        <w:rPr>
          <w:sz w:val="20"/>
        </w:rPr>
        <w:t>simultaneously</w:t>
      </w:r>
      <w:r>
        <w:rPr>
          <w:spacing w:val="-7"/>
          <w:sz w:val="20"/>
        </w:rPr>
        <w:t> </w:t>
      </w:r>
      <w:r>
        <w:rPr>
          <w:sz w:val="20"/>
        </w:rPr>
        <w:t>operating</w:t>
      </w:r>
      <w:r>
        <w:rPr>
          <w:spacing w:val="-4"/>
          <w:sz w:val="20"/>
        </w:rPr>
        <w:t> </w:t>
      </w:r>
      <w:r>
        <w:rPr>
          <w:sz w:val="20"/>
        </w:rPr>
        <w:t>the</w:t>
      </w:r>
      <w:r>
        <w:rPr>
          <w:spacing w:val="-3"/>
          <w:sz w:val="20"/>
        </w:rPr>
        <w:t> </w:t>
      </w:r>
      <w:r>
        <w:rPr>
          <w:sz w:val="20"/>
        </w:rPr>
        <w:t>intermediation</w:t>
      </w:r>
      <w:r>
        <w:rPr>
          <w:spacing w:val="-4"/>
          <w:sz w:val="20"/>
        </w:rPr>
        <w:t> </w:t>
      </w:r>
      <w:r>
        <w:rPr>
          <w:sz w:val="20"/>
        </w:rPr>
        <w:t>service</w:t>
      </w:r>
      <w:r>
        <w:rPr>
          <w:spacing w:val="-5"/>
          <w:sz w:val="20"/>
        </w:rPr>
        <w:t> </w:t>
      </w:r>
      <w:r>
        <w:rPr>
          <w:sz w:val="20"/>
        </w:rPr>
        <w:t>and</w:t>
      </w:r>
      <w:r>
        <w:rPr>
          <w:spacing w:val="-5"/>
          <w:sz w:val="20"/>
        </w:rPr>
        <w:t> </w:t>
      </w:r>
      <w:r>
        <w:rPr>
          <w:sz w:val="20"/>
        </w:rPr>
        <w:t>running</w:t>
      </w:r>
      <w:r>
        <w:rPr>
          <w:spacing w:val="-4"/>
          <w:sz w:val="20"/>
        </w:rPr>
        <w:t> </w:t>
      </w:r>
      <w:r>
        <w:rPr>
          <w:sz w:val="20"/>
        </w:rPr>
        <w:t>online</w:t>
      </w:r>
      <w:r>
        <w:rPr>
          <w:spacing w:val="-3"/>
          <w:sz w:val="20"/>
        </w:rPr>
        <w:t> </w:t>
      </w:r>
      <w:r>
        <w:rPr>
          <w:sz w:val="20"/>
        </w:rPr>
        <w:t>advertising).</w:t>
      </w:r>
    </w:p>
    <w:p>
      <w:pPr>
        <w:pStyle w:val="ListParagraph"/>
        <w:numPr>
          <w:ilvl w:val="0"/>
          <w:numId w:val="4"/>
        </w:numPr>
        <w:tabs>
          <w:tab w:pos="1444" w:val="left" w:leader="none"/>
        </w:tabs>
        <w:spacing w:line="271" w:lineRule="auto" w:before="122" w:after="0"/>
        <w:ind w:left="723" w:right="483" w:firstLine="0"/>
        <w:jc w:val="both"/>
        <w:rPr>
          <w:sz w:val="20"/>
        </w:rPr>
      </w:pPr>
      <w:r>
        <w:rPr>
          <w:sz w:val="20"/>
        </w:rPr>
        <w:t>However, some MNEs may be engaged in activities that are not clearly severable, and represent a “dual category” or “bundled package.” There are two ways that dual category ADS or bundled services can occur: (i) an aspect of the service meets the ADS definition, but it comes with a non-ADS service; (ii) a physical good that comes with a service, where that service may or may not meet the ADS definition. For</w:t>
      </w:r>
      <w:r>
        <w:rPr>
          <w:spacing w:val="-11"/>
          <w:sz w:val="20"/>
        </w:rPr>
        <w:t> </w:t>
      </w:r>
      <w:r>
        <w:rPr>
          <w:sz w:val="20"/>
        </w:rPr>
        <w:t>example,</w:t>
      </w:r>
      <w:r>
        <w:rPr>
          <w:spacing w:val="-8"/>
          <w:sz w:val="20"/>
        </w:rPr>
        <w:t> </w:t>
      </w:r>
      <w:r>
        <w:rPr>
          <w:sz w:val="20"/>
        </w:rPr>
        <w:t>in</w:t>
      </w:r>
      <w:r>
        <w:rPr>
          <w:spacing w:val="-11"/>
          <w:sz w:val="20"/>
        </w:rPr>
        <w:t> </w:t>
      </w:r>
      <w:r>
        <w:rPr>
          <w:sz w:val="20"/>
        </w:rPr>
        <w:t>the</w:t>
      </w:r>
      <w:r>
        <w:rPr>
          <w:spacing w:val="-9"/>
          <w:sz w:val="20"/>
        </w:rPr>
        <w:t> </w:t>
      </w:r>
      <w:r>
        <w:rPr>
          <w:sz w:val="20"/>
        </w:rPr>
        <w:t>first</w:t>
      </w:r>
      <w:r>
        <w:rPr>
          <w:spacing w:val="-10"/>
          <w:sz w:val="20"/>
        </w:rPr>
        <w:t> </w:t>
      </w:r>
      <w:r>
        <w:rPr>
          <w:sz w:val="20"/>
        </w:rPr>
        <w:t>case,</w:t>
      </w:r>
      <w:r>
        <w:rPr>
          <w:spacing w:val="-12"/>
          <w:sz w:val="20"/>
        </w:rPr>
        <w:t> </w:t>
      </w:r>
      <w:r>
        <w:rPr>
          <w:sz w:val="20"/>
        </w:rPr>
        <w:t>a</w:t>
      </w:r>
      <w:r>
        <w:rPr>
          <w:spacing w:val="-8"/>
          <w:sz w:val="20"/>
        </w:rPr>
        <w:t> </w:t>
      </w:r>
      <w:r>
        <w:rPr>
          <w:sz w:val="20"/>
        </w:rPr>
        <w:t>cloud</w:t>
      </w:r>
      <w:r>
        <w:rPr>
          <w:spacing w:val="-11"/>
          <w:sz w:val="20"/>
        </w:rPr>
        <w:t> </w:t>
      </w:r>
      <w:r>
        <w:rPr>
          <w:sz w:val="20"/>
        </w:rPr>
        <w:t>computing</w:t>
      </w:r>
      <w:r>
        <w:rPr>
          <w:spacing w:val="-8"/>
          <w:sz w:val="20"/>
        </w:rPr>
        <w:t> </w:t>
      </w:r>
      <w:r>
        <w:rPr>
          <w:sz w:val="20"/>
        </w:rPr>
        <w:t>MNE</w:t>
      </w:r>
      <w:r>
        <w:rPr>
          <w:spacing w:val="-7"/>
          <w:sz w:val="20"/>
        </w:rPr>
        <w:t> </w:t>
      </w:r>
      <w:r>
        <w:rPr>
          <w:sz w:val="20"/>
        </w:rPr>
        <w:t>may</w:t>
      </w:r>
      <w:r>
        <w:rPr>
          <w:spacing w:val="-14"/>
          <w:sz w:val="20"/>
        </w:rPr>
        <w:t> </w:t>
      </w:r>
      <w:r>
        <w:rPr>
          <w:sz w:val="20"/>
        </w:rPr>
        <w:t>provide</w:t>
      </w:r>
      <w:r>
        <w:rPr>
          <w:spacing w:val="-9"/>
          <w:sz w:val="20"/>
        </w:rPr>
        <w:t> </w:t>
      </w:r>
      <w:r>
        <w:rPr>
          <w:sz w:val="20"/>
        </w:rPr>
        <w:t>a</w:t>
      </w:r>
      <w:r>
        <w:rPr>
          <w:spacing w:val="-8"/>
          <w:sz w:val="20"/>
        </w:rPr>
        <w:t> </w:t>
      </w:r>
      <w:r>
        <w:rPr>
          <w:sz w:val="20"/>
        </w:rPr>
        <w:t>package</w:t>
      </w:r>
      <w:r>
        <w:rPr>
          <w:spacing w:val="-4"/>
          <w:sz w:val="20"/>
        </w:rPr>
        <w:t> </w:t>
      </w:r>
      <w:r>
        <w:rPr>
          <w:sz w:val="20"/>
        </w:rPr>
        <w:t>that</w:t>
      </w:r>
      <w:r>
        <w:rPr>
          <w:spacing w:val="-8"/>
          <w:sz w:val="20"/>
        </w:rPr>
        <w:t> </w:t>
      </w:r>
      <w:r>
        <w:rPr>
          <w:sz w:val="20"/>
        </w:rPr>
        <w:t>is</w:t>
      </w:r>
      <w:r>
        <w:rPr>
          <w:spacing w:val="-9"/>
          <w:sz w:val="20"/>
        </w:rPr>
        <w:t> </w:t>
      </w:r>
      <w:r>
        <w:rPr>
          <w:sz w:val="20"/>
        </w:rPr>
        <w:t>built</w:t>
      </w:r>
      <w:r>
        <w:rPr>
          <w:spacing w:val="-8"/>
          <w:sz w:val="20"/>
        </w:rPr>
        <w:t> </w:t>
      </w:r>
      <w:r>
        <w:rPr>
          <w:sz w:val="20"/>
        </w:rPr>
        <w:t>on</w:t>
      </w:r>
      <w:r>
        <w:rPr>
          <w:spacing w:val="-12"/>
          <w:sz w:val="20"/>
        </w:rPr>
        <w:t> </w:t>
      </w:r>
      <w:r>
        <w:rPr>
          <w:sz w:val="20"/>
        </w:rPr>
        <w:t>standardised modules,</w:t>
      </w:r>
      <w:r>
        <w:rPr>
          <w:spacing w:val="-15"/>
          <w:sz w:val="20"/>
        </w:rPr>
        <w:t> </w:t>
      </w:r>
      <w:r>
        <w:rPr>
          <w:sz w:val="20"/>
        </w:rPr>
        <w:t>but</w:t>
      </w:r>
      <w:r>
        <w:rPr>
          <w:spacing w:val="-13"/>
          <w:sz w:val="20"/>
        </w:rPr>
        <w:t> </w:t>
      </w:r>
      <w:r>
        <w:rPr>
          <w:sz w:val="20"/>
        </w:rPr>
        <w:t>where</w:t>
      </w:r>
      <w:r>
        <w:rPr>
          <w:spacing w:val="-15"/>
          <w:sz w:val="20"/>
        </w:rPr>
        <w:t> </w:t>
      </w:r>
      <w:r>
        <w:rPr>
          <w:sz w:val="20"/>
        </w:rPr>
        <w:t>a</w:t>
      </w:r>
      <w:r>
        <w:rPr>
          <w:spacing w:val="-15"/>
          <w:sz w:val="20"/>
        </w:rPr>
        <w:t> </w:t>
      </w:r>
      <w:r>
        <w:rPr>
          <w:sz w:val="20"/>
        </w:rPr>
        <w:t>customer</w:t>
      </w:r>
      <w:r>
        <w:rPr>
          <w:spacing w:val="-15"/>
          <w:sz w:val="20"/>
        </w:rPr>
        <w:t> </w:t>
      </w:r>
      <w:r>
        <w:rPr>
          <w:sz w:val="20"/>
        </w:rPr>
        <w:t>can</w:t>
      </w:r>
      <w:r>
        <w:rPr>
          <w:spacing w:val="-15"/>
          <w:sz w:val="20"/>
        </w:rPr>
        <w:t> </w:t>
      </w:r>
      <w:r>
        <w:rPr>
          <w:sz w:val="20"/>
        </w:rPr>
        <w:t>also</w:t>
      </w:r>
      <w:r>
        <w:rPr>
          <w:spacing w:val="-15"/>
          <w:sz w:val="20"/>
        </w:rPr>
        <w:t> </w:t>
      </w:r>
      <w:r>
        <w:rPr>
          <w:sz w:val="20"/>
        </w:rPr>
        <w:t>select</w:t>
      </w:r>
      <w:r>
        <w:rPr>
          <w:spacing w:val="-15"/>
          <w:sz w:val="20"/>
        </w:rPr>
        <w:t> </w:t>
      </w:r>
      <w:r>
        <w:rPr>
          <w:sz w:val="20"/>
        </w:rPr>
        <w:t>highly</w:t>
      </w:r>
      <w:r>
        <w:rPr>
          <w:spacing w:val="-18"/>
          <w:sz w:val="20"/>
        </w:rPr>
        <w:t> </w:t>
      </w:r>
      <w:r>
        <w:rPr>
          <w:sz w:val="20"/>
        </w:rPr>
        <w:t>customised</w:t>
      </w:r>
      <w:r>
        <w:rPr>
          <w:spacing w:val="-15"/>
          <w:sz w:val="20"/>
        </w:rPr>
        <w:t> </w:t>
      </w:r>
      <w:r>
        <w:rPr>
          <w:sz w:val="20"/>
        </w:rPr>
        <w:t>elements</w:t>
      </w:r>
      <w:r>
        <w:rPr>
          <w:spacing w:val="-14"/>
          <w:sz w:val="20"/>
        </w:rPr>
        <w:t> </w:t>
      </w:r>
      <w:r>
        <w:rPr>
          <w:sz w:val="20"/>
        </w:rPr>
        <w:t>which</w:t>
      </w:r>
      <w:r>
        <w:rPr>
          <w:spacing w:val="-13"/>
          <w:sz w:val="20"/>
        </w:rPr>
        <w:t> </w:t>
      </w:r>
      <w:r>
        <w:rPr>
          <w:sz w:val="20"/>
        </w:rPr>
        <w:t>would</w:t>
      </w:r>
      <w:r>
        <w:rPr>
          <w:spacing w:val="-15"/>
          <w:sz w:val="20"/>
        </w:rPr>
        <w:t> </w:t>
      </w:r>
      <w:r>
        <w:rPr>
          <w:sz w:val="20"/>
        </w:rPr>
        <w:t>require</w:t>
      </w:r>
      <w:r>
        <w:rPr>
          <w:spacing w:val="-15"/>
          <w:sz w:val="20"/>
        </w:rPr>
        <w:t> </w:t>
      </w:r>
      <w:r>
        <w:rPr>
          <w:sz w:val="20"/>
        </w:rPr>
        <w:t>significant human involvement. An example of the second case is an Internet-connected physical device, which is discussed further above under the negative</w:t>
      </w:r>
      <w:r>
        <w:rPr>
          <w:spacing w:val="-4"/>
          <w:sz w:val="20"/>
        </w:rPr>
        <w:t> </w:t>
      </w:r>
      <w:r>
        <w:rPr>
          <w:sz w:val="20"/>
        </w:rPr>
        <w:t>list.</w:t>
      </w:r>
    </w:p>
    <w:p>
      <w:pPr>
        <w:pStyle w:val="ListParagraph"/>
        <w:numPr>
          <w:ilvl w:val="0"/>
          <w:numId w:val="4"/>
        </w:numPr>
        <w:tabs>
          <w:tab w:pos="1444" w:val="left" w:leader="none"/>
        </w:tabs>
        <w:spacing w:line="271" w:lineRule="auto" w:before="120" w:after="0"/>
        <w:ind w:left="723" w:right="480" w:firstLine="0"/>
        <w:jc w:val="both"/>
        <w:rPr>
          <w:sz w:val="20"/>
        </w:rPr>
      </w:pPr>
      <w:r>
        <w:rPr>
          <w:sz w:val="20"/>
        </w:rPr>
        <w:t>In some cases, and perhaps increasingly in the future, the ADS and non-ADS elements may be highly integrated and thus be considered to be a single service. Where ADS represents a substantial part of the overall service, and the non-ADS elements derive significant benefits from their connection to the ADS</w:t>
      </w:r>
      <w:r>
        <w:rPr>
          <w:spacing w:val="-14"/>
          <w:sz w:val="20"/>
        </w:rPr>
        <w:t> </w:t>
      </w:r>
      <w:r>
        <w:rPr>
          <w:sz w:val="20"/>
        </w:rPr>
        <w:t>elements,</w:t>
      </w:r>
      <w:r>
        <w:rPr>
          <w:spacing w:val="-15"/>
          <w:sz w:val="20"/>
        </w:rPr>
        <w:t> </w:t>
      </w:r>
      <w:r>
        <w:rPr>
          <w:sz w:val="20"/>
        </w:rPr>
        <w:t>then</w:t>
      </w:r>
      <w:r>
        <w:rPr>
          <w:spacing w:val="-14"/>
          <w:sz w:val="20"/>
        </w:rPr>
        <w:t> </w:t>
      </w:r>
      <w:r>
        <w:rPr>
          <w:sz w:val="20"/>
        </w:rPr>
        <w:t>the</w:t>
      </w:r>
      <w:r>
        <w:rPr>
          <w:spacing w:val="-13"/>
          <w:sz w:val="20"/>
        </w:rPr>
        <w:t> </w:t>
      </w:r>
      <w:r>
        <w:rPr>
          <w:sz w:val="20"/>
        </w:rPr>
        <w:t>overall</w:t>
      </w:r>
      <w:r>
        <w:rPr>
          <w:spacing w:val="-14"/>
          <w:sz w:val="20"/>
        </w:rPr>
        <w:t> </w:t>
      </w:r>
      <w:r>
        <w:rPr>
          <w:sz w:val="20"/>
        </w:rPr>
        <w:t>service</w:t>
      </w:r>
      <w:r>
        <w:rPr>
          <w:spacing w:val="-13"/>
          <w:sz w:val="20"/>
        </w:rPr>
        <w:t> </w:t>
      </w:r>
      <w:r>
        <w:rPr>
          <w:sz w:val="20"/>
        </w:rPr>
        <w:t>might</w:t>
      </w:r>
      <w:r>
        <w:rPr>
          <w:spacing w:val="-12"/>
          <w:sz w:val="20"/>
        </w:rPr>
        <w:t> </w:t>
      </w:r>
      <w:r>
        <w:rPr>
          <w:sz w:val="20"/>
        </w:rPr>
        <w:t>be</w:t>
      </w:r>
      <w:r>
        <w:rPr>
          <w:spacing w:val="-16"/>
          <w:sz w:val="20"/>
        </w:rPr>
        <w:t> </w:t>
      </w:r>
      <w:r>
        <w:rPr>
          <w:sz w:val="20"/>
        </w:rPr>
        <w:t>considered</w:t>
      </w:r>
      <w:r>
        <w:rPr>
          <w:spacing w:val="-13"/>
          <w:sz w:val="20"/>
        </w:rPr>
        <w:t> </w:t>
      </w:r>
      <w:r>
        <w:rPr>
          <w:sz w:val="20"/>
        </w:rPr>
        <w:t>as</w:t>
      </w:r>
      <w:r>
        <w:rPr>
          <w:spacing w:val="-11"/>
          <w:sz w:val="20"/>
        </w:rPr>
        <w:t> </w:t>
      </w:r>
      <w:r>
        <w:rPr>
          <w:sz w:val="20"/>
        </w:rPr>
        <w:t>ADS.</w:t>
      </w:r>
      <w:r>
        <w:rPr>
          <w:spacing w:val="-14"/>
          <w:sz w:val="20"/>
        </w:rPr>
        <w:t> </w:t>
      </w:r>
      <w:r>
        <w:rPr>
          <w:sz w:val="20"/>
        </w:rPr>
        <w:t>By</w:t>
      </w:r>
      <w:r>
        <w:rPr>
          <w:spacing w:val="-18"/>
          <w:sz w:val="20"/>
        </w:rPr>
        <w:t> </w:t>
      </w:r>
      <w:r>
        <w:rPr>
          <w:sz w:val="20"/>
        </w:rPr>
        <w:t>contrast,</w:t>
      </w:r>
      <w:r>
        <w:rPr>
          <w:spacing w:val="-13"/>
          <w:sz w:val="20"/>
        </w:rPr>
        <w:t> </w:t>
      </w:r>
      <w:r>
        <w:rPr>
          <w:sz w:val="20"/>
        </w:rPr>
        <w:t>where</w:t>
      </w:r>
      <w:r>
        <w:rPr>
          <w:spacing w:val="-14"/>
          <w:sz w:val="20"/>
        </w:rPr>
        <w:t> </w:t>
      </w:r>
      <w:r>
        <w:rPr>
          <w:sz w:val="20"/>
        </w:rPr>
        <w:t>the</w:t>
      </w:r>
      <w:r>
        <w:rPr>
          <w:spacing w:val="-11"/>
          <w:sz w:val="20"/>
        </w:rPr>
        <w:t> </w:t>
      </w:r>
      <w:r>
        <w:rPr>
          <w:sz w:val="20"/>
        </w:rPr>
        <w:t>ADS</w:t>
      </w:r>
      <w:r>
        <w:rPr>
          <w:spacing w:val="-14"/>
          <w:sz w:val="20"/>
        </w:rPr>
        <w:t> </w:t>
      </w:r>
      <w:r>
        <w:rPr>
          <w:sz w:val="20"/>
        </w:rPr>
        <w:t>elements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are merely ancillary or a technical support feature for the rest of the service (e.g. an automated chat function to screen a user’s request as an entry point to the service), and the rest of the service requires human involvement to provide the service as described above, the overall service may not be considered to be ADS, given the relative substantive contribution of the ADS within the bundled package.</w:t>
      </w:r>
    </w:p>
    <w:p>
      <w:pPr>
        <w:pStyle w:val="ListParagraph"/>
        <w:numPr>
          <w:ilvl w:val="0"/>
          <w:numId w:val="4"/>
        </w:numPr>
        <w:tabs>
          <w:tab w:pos="1444" w:val="left" w:leader="none"/>
        </w:tabs>
        <w:spacing w:line="271" w:lineRule="auto" w:before="120" w:after="0"/>
        <w:ind w:left="723" w:right="482" w:firstLine="0"/>
        <w:jc w:val="both"/>
        <w:rPr>
          <w:sz w:val="20"/>
        </w:rPr>
      </w:pPr>
      <w:r>
        <w:rPr>
          <w:sz w:val="20"/>
        </w:rPr>
        <w:t>Work</w:t>
      </w:r>
      <w:r>
        <w:rPr>
          <w:spacing w:val="-4"/>
          <w:sz w:val="20"/>
        </w:rPr>
        <w:t> </w:t>
      </w:r>
      <w:r>
        <w:rPr>
          <w:sz w:val="20"/>
        </w:rPr>
        <w:t>is</w:t>
      </w:r>
      <w:r>
        <w:rPr>
          <w:spacing w:val="-4"/>
          <w:sz w:val="20"/>
        </w:rPr>
        <w:t> </w:t>
      </w:r>
      <w:r>
        <w:rPr>
          <w:sz w:val="20"/>
        </w:rPr>
        <w:t>ongoing</w:t>
      </w:r>
      <w:r>
        <w:rPr>
          <w:spacing w:val="-5"/>
          <w:sz w:val="20"/>
        </w:rPr>
        <w:t> </w:t>
      </w:r>
      <w:r>
        <w:rPr>
          <w:sz w:val="20"/>
        </w:rPr>
        <w:t>to</w:t>
      </w:r>
      <w:r>
        <w:rPr>
          <w:spacing w:val="-5"/>
          <w:sz w:val="20"/>
        </w:rPr>
        <w:t> </w:t>
      </w:r>
      <w:r>
        <w:rPr>
          <w:sz w:val="20"/>
        </w:rPr>
        <w:t>address</w:t>
      </w:r>
      <w:r>
        <w:rPr>
          <w:spacing w:val="-4"/>
          <w:sz w:val="20"/>
        </w:rPr>
        <w:t> </w:t>
      </w:r>
      <w:r>
        <w:rPr>
          <w:sz w:val="20"/>
        </w:rPr>
        <w:t>this</w:t>
      </w:r>
      <w:r>
        <w:rPr>
          <w:spacing w:val="-4"/>
          <w:sz w:val="20"/>
        </w:rPr>
        <w:t> </w:t>
      </w:r>
      <w:r>
        <w:rPr>
          <w:sz w:val="20"/>
        </w:rPr>
        <w:t>issue.</w:t>
      </w:r>
      <w:r>
        <w:rPr>
          <w:spacing w:val="-5"/>
          <w:sz w:val="20"/>
        </w:rPr>
        <w:t> </w:t>
      </w:r>
      <w:r>
        <w:rPr>
          <w:sz w:val="20"/>
        </w:rPr>
        <w:t>The</w:t>
      </w:r>
      <w:r>
        <w:rPr>
          <w:spacing w:val="-6"/>
          <w:sz w:val="20"/>
        </w:rPr>
        <w:t> </w:t>
      </w:r>
      <w:r>
        <w:rPr>
          <w:sz w:val="20"/>
        </w:rPr>
        <w:t>starting</w:t>
      </w:r>
      <w:r>
        <w:rPr>
          <w:spacing w:val="-5"/>
          <w:sz w:val="20"/>
        </w:rPr>
        <w:t> </w:t>
      </w:r>
      <w:r>
        <w:rPr>
          <w:sz w:val="20"/>
        </w:rPr>
        <w:t>point</w:t>
      </w:r>
      <w:r>
        <w:rPr>
          <w:spacing w:val="-6"/>
          <w:sz w:val="20"/>
        </w:rPr>
        <w:t> </w:t>
      </w:r>
      <w:r>
        <w:rPr>
          <w:sz w:val="20"/>
        </w:rPr>
        <w:t>being</w:t>
      </w:r>
      <w:r>
        <w:rPr>
          <w:spacing w:val="-6"/>
          <w:sz w:val="20"/>
        </w:rPr>
        <w:t> </w:t>
      </w:r>
      <w:r>
        <w:rPr>
          <w:sz w:val="20"/>
        </w:rPr>
        <w:t>contemplated</w:t>
      </w:r>
      <w:r>
        <w:rPr>
          <w:spacing w:val="-5"/>
          <w:sz w:val="20"/>
        </w:rPr>
        <w:t> </w:t>
      </w:r>
      <w:r>
        <w:rPr>
          <w:sz w:val="20"/>
        </w:rPr>
        <w:t>is</w:t>
      </w:r>
      <w:r>
        <w:rPr>
          <w:spacing w:val="-2"/>
          <w:sz w:val="20"/>
        </w:rPr>
        <w:t> </w:t>
      </w:r>
      <w:r>
        <w:rPr>
          <w:sz w:val="20"/>
        </w:rPr>
        <w:t>whether</w:t>
      </w:r>
      <w:r>
        <w:rPr>
          <w:spacing w:val="2"/>
          <w:sz w:val="20"/>
        </w:rPr>
        <w:t> </w:t>
      </w:r>
      <w:r>
        <w:rPr>
          <w:sz w:val="20"/>
        </w:rPr>
        <w:t>there</w:t>
      </w:r>
      <w:r>
        <w:rPr>
          <w:spacing w:val="-4"/>
          <w:sz w:val="20"/>
        </w:rPr>
        <w:t> </w:t>
      </w:r>
      <w:r>
        <w:rPr>
          <w:sz w:val="20"/>
        </w:rPr>
        <w:t>are multiple supplies that are identifiable and substantive in their own right (which could be evaluated, for example, by whether such supplies generate a separate revenue stream or are invoiced or priced separately for the customer, having regard to the need to avoid planning opportunities, such as arbitrary splitting of invoices), in which case each individual supply would be tested against the definitions. If the supplies are not separately identifiable and substantive in their own right, there could be an evaluation of the supply as a whole. Further guidance will be developed to determine the appropriate materiality threshold above which the ADS element </w:t>
      </w:r>
      <w:r>
        <w:rPr>
          <w:spacing w:val="2"/>
          <w:sz w:val="20"/>
        </w:rPr>
        <w:t>may </w:t>
      </w:r>
      <w:r>
        <w:rPr>
          <w:sz w:val="20"/>
        </w:rPr>
        <w:t>be considered to be a “substantial part” or highly integrated as</w:t>
      </w:r>
      <w:r>
        <w:rPr>
          <w:spacing w:val="-9"/>
          <w:sz w:val="20"/>
        </w:rPr>
        <w:t> </w:t>
      </w:r>
      <w:r>
        <w:rPr>
          <w:sz w:val="20"/>
        </w:rPr>
        <w:t>part</w:t>
      </w:r>
      <w:r>
        <w:rPr>
          <w:spacing w:val="-6"/>
          <w:sz w:val="20"/>
        </w:rPr>
        <w:t> </w:t>
      </w:r>
      <w:r>
        <w:rPr>
          <w:sz w:val="20"/>
        </w:rPr>
        <w:t>of</w:t>
      </w:r>
      <w:r>
        <w:rPr>
          <w:spacing w:val="-8"/>
          <w:sz w:val="20"/>
        </w:rPr>
        <w:t> </w:t>
      </w:r>
      <w:r>
        <w:rPr>
          <w:sz w:val="20"/>
        </w:rPr>
        <w:t>an</w:t>
      </w:r>
      <w:r>
        <w:rPr>
          <w:spacing w:val="-7"/>
          <w:sz w:val="20"/>
        </w:rPr>
        <w:t> </w:t>
      </w:r>
      <w:r>
        <w:rPr>
          <w:sz w:val="20"/>
        </w:rPr>
        <w:t>overall</w:t>
      </w:r>
      <w:r>
        <w:rPr>
          <w:spacing w:val="-10"/>
          <w:sz w:val="20"/>
        </w:rPr>
        <w:t> </w:t>
      </w:r>
      <w:r>
        <w:rPr>
          <w:sz w:val="20"/>
        </w:rPr>
        <w:t>service,</w:t>
      </w:r>
      <w:r>
        <w:rPr>
          <w:spacing w:val="-10"/>
          <w:sz w:val="20"/>
        </w:rPr>
        <w:t> </w:t>
      </w:r>
      <w:r>
        <w:rPr>
          <w:sz w:val="20"/>
        </w:rPr>
        <w:t>or</w:t>
      </w:r>
      <w:r>
        <w:rPr>
          <w:spacing w:val="-6"/>
          <w:sz w:val="20"/>
        </w:rPr>
        <w:t> </w:t>
      </w:r>
      <w:r>
        <w:rPr>
          <w:sz w:val="20"/>
        </w:rPr>
        <w:t>where</w:t>
      </w:r>
      <w:r>
        <w:rPr>
          <w:spacing w:val="-7"/>
          <w:sz w:val="20"/>
        </w:rPr>
        <w:t> </w:t>
      </w:r>
      <w:r>
        <w:rPr>
          <w:sz w:val="20"/>
        </w:rPr>
        <w:t>elements</w:t>
      </w:r>
      <w:r>
        <w:rPr>
          <w:spacing w:val="-8"/>
          <w:sz w:val="20"/>
        </w:rPr>
        <w:t> </w:t>
      </w:r>
      <w:r>
        <w:rPr>
          <w:sz w:val="20"/>
        </w:rPr>
        <w:t>are</w:t>
      </w:r>
      <w:r>
        <w:rPr>
          <w:spacing w:val="-9"/>
          <w:sz w:val="20"/>
        </w:rPr>
        <w:t> </w:t>
      </w:r>
      <w:r>
        <w:rPr>
          <w:sz w:val="20"/>
        </w:rPr>
        <w:t>ancillary.</w:t>
      </w:r>
      <w:r>
        <w:rPr>
          <w:spacing w:val="-7"/>
          <w:sz w:val="20"/>
        </w:rPr>
        <w:t> </w:t>
      </w:r>
      <w:r>
        <w:rPr>
          <w:sz w:val="20"/>
        </w:rPr>
        <w:t>Consideration</w:t>
      </w:r>
      <w:r>
        <w:rPr>
          <w:spacing w:val="-7"/>
          <w:sz w:val="20"/>
        </w:rPr>
        <w:t> </w:t>
      </w:r>
      <w:r>
        <w:rPr>
          <w:sz w:val="20"/>
        </w:rPr>
        <w:t>is</w:t>
      </w:r>
      <w:r>
        <w:rPr>
          <w:spacing w:val="-9"/>
          <w:sz w:val="20"/>
        </w:rPr>
        <w:t> </w:t>
      </w:r>
      <w:r>
        <w:rPr>
          <w:sz w:val="20"/>
        </w:rPr>
        <w:t>also</w:t>
      </w:r>
      <w:r>
        <w:rPr>
          <w:spacing w:val="-9"/>
          <w:sz w:val="20"/>
        </w:rPr>
        <w:t> </w:t>
      </w:r>
      <w:r>
        <w:rPr>
          <w:sz w:val="20"/>
        </w:rPr>
        <w:t>being</w:t>
      </w:r>
      <w:r>
        <w:rPr>
          <w:spacing w:val="-9"/>
          <w:sz w:val="20"/>
        </w:rPr>
        <w:t> </w:t>
      </w:r>
      <w:r>
        <w:rPr>
          <w:sz w:val="20"/>
        </w:rPr>
        <w:t>given</w:t>
      </w:r>
      <w:r>
        <w:rPr>
          <w:spacing w:val="-8"/>
          <w:sz w:val="20"/>
        </w:rPr>
        <w:t> </w:t>
      </w:r>
      <w:r>
        <w:rPr>
          <w:sz w:val="20"/>
        </w:rPr>
        <w:t>to</w:t>
      </w:r>
      <w:r>
        <w:rPr>
          <w:spacing w:val="-7"/>
          <w:sz w:val="20"/>
        </w:rPr>
        <w:t> </w:t>
      </w:r>
      <w:r>
        <w:rPr>
          <w:sz w:val="20"/>
        </w:rPr>
        <w:t>whether there are ways to provide certainty where a substantive part of the supply is on either the positive or negative list. Guidance will take into account the need to have simple, administrable and implementable rules</w:t>
      </w:r>
      <w:r>
        <w:rPr>
          <w:spacing w:val="-7"/>
          <w:sz w:val="20"/>
        </w:rPr>
        <w:t> </w:t>
      </w:r>
      <w:r>
        <w:rPr>
          <w:sz w:val="20"/>
        </w:rPr>
        <w:t>that</w:t>
      </w:r>
      <w:r>
        <w:rPr>
          <w:spacing w:val="-7"/>
          <w:sz w:val="20"/>
        </w:rPr>
        <w:t> </w:t>
      </w:r>
      <w:r>
        <w:rPr>
          <w:sz w:val="20"/>
        </w:rPr>
        <w:t>create</w:t>
      </w:r>
      <w:r>
        <w:rPr>
          <w:spacing w:val="-7"/>
          <w:sz w:val="20"/>
        </w:rPr>
        <w:t> </w:t>
      </w:r>
      <w:r>
        <w:rPr>
          <w:sz w:val="20"/>
        </w:rPr>
        <w:t>certainty</w:t>
      </w:r>
      <w:r>
        <w:rPr>
          <w:spacing w:val="-10"/>
          <w:sz w:val="20"/>
        </w:rPr>
        <w:t> </w:t>
      </w:r>
      <w:r>
        <w:rPr>
          <w:sz w:val="20"/>
        </w:rPr>
        <w:t>and</w:t>
      </w:r>
      <w:r>
        <w:rPr>
          <w:spacing w:val="-8"/>
          <w:sz w:val="20"/>
        </w:rPr>
        <w:t> </w:t>
      </w:r>
      <w:r>
        <w:rPr>
          <w:sz w:val="20"/>
        </w:rPr>
        <w:t>consistency,</w:t>
      </w:r>
      <w:r>
        <w:rPr>
          <w:spacing w:val="-4"/>
          <w:sz w:val="20"/>
        </w:rPr>
        <w:t> </w:t>
      </w:r>
      <w:r>
        <w:rPr>
          <w:sz w:val="20"/>
        </w:rPr>
        <w:t>as</w:t>
      </w:r>
      <w:r>
        <w:rPr>
          <w:spacing w:val="-6"/>
          <w:sz w:val="20"/>
        </w:rPr>
        <w:t> </w:t>
      </w:r>
      <w:r>
        <w:rPr>
          <w:sz w:val="20"/>
        </w:rPr>
        <w:t>well</w:t>
      </w:r>
      <w:r>
        <w:rPr>
          <w:spacing w:val="-7"/>
          <w:sz w:val="20"/>
        </w:rPr>
        <w:t> </w:t>
      </w:r>
      <w:r>
        <w:rPr>
          <w:sz w:val="20"/>
        </w:rPr>
        <w:t>as</w:t>
      </w:r>
      <w:r>
        <w:rPr>
          <w:spacing w:val="-7"/>
          <w:sz w:val="20"/>
        </w:rPr>
        <w:t> </w:t>
      </w:r>
      <w:r>
        <w:rPr>
          <w:sz w:val="20"/>
        </w:rPr>
        <w:t>the</w:t>
      </w:r>
      <w:r>
        <w:rPr>
          <w:spacing w:val="-7"/>
          <w:sz w:val="20"/>
        </w:rPr>
        <w:t> </w:t>
      </w:r>
      <w:r>
        <w:rPr>
          <w:sz w:val="20"/>
        </w:rPr>
        <w:t>documentation</w:t>
      </w:r>
      <w:r>
        <w:rPr>
          <w:spacing w:val="-8"/>
          <w:sz w:val="20"/>
        </w:rPr>
        <w:t> </w:t>
      </w:r>
      <w:r>
        <w:rPr>
          <w:sz w:val="20"/>
        </w:rPr>
        <w:t>requirements</w:t>
      </w:r>
      <w:r>
        <w:rPr>
          <w:spacing w:val="-5"/>
          <w:sz w:val="20"/>
        </w:rPr>
        <w:t> </w:t>
      </w:r>
      <w:r>
        <w:rPr>
          <w:sz w:val="20"/>
        </w:rPr>
        <w:t>to</w:t>
      </w:r>
      <w:r>
        <w:rPr>
          <w:spacing w:val="-8"/>
          <w:sz w:val="20"/>
        </w:rPr>
        <w:t> </w:t>
      </w:r>
      <w:r>
        <w:rPr>
          <w:sz w:val="20"/>
        </w:rPr>
        <w:t>substantiate</w:t>
      </w:r>
      <w:r>
        <w:rPr>
          <w:spacing w:val="-7"/>
          <w:sz w:val="20"/>
        </w:rPr>
        <w:t> </w:t>
      </w:r>
      <w:r>
        <w:rPr>
          <w:sz w:val="20"/>
        </w:rPr>
        <w:t>the application of the guidance in a given case.</w:t>
      </w:r>
    </w:p>
    <w:p>
      <w:pPr>
        <w:pStyle w:val="BodyText"/>
        <w:spacing w:before="2"/>
      </w:pPr>
    </w:p>
    <w:p>
      <w:pPr>
        <w:spacing w:before="0"/>
        <w:ind w:left="1402" w:right="0" w:firstLine="0"/>
        <w:jc w:val="left"/>
        <w:rPr>
          <w:i/>
          <w:sz w:val="22"/>
        </w:rPr>
      </w:pPr>
      <w:bookmarkStart w:name="Other definitions for ADS" w:id="43"/>
      <w:bookmarkEnd w:id="43"/>
      <w:r>
        <w:rPr/>
      </w:r>
      <w:r>
        <w:rPr>
          <w:i/>
          <w:color w:val="616161"/>
          <w:sz w:val="22"/>
        </w:rPr>
        <w:t>Other definitions for ADS</w:t>
      </w:r>
    </w:p>
    <w:p>
      <w:pPr>
        <w:pStyle w:val="BodyText"/>
        <w:rPr>
          <w:i/>
          <w:sz w:val="13"/>
        </w:rPr>
      </w:pPr>
      <w:r>
        <w:rPr/>
        <w:pict>
          <v:shape style="position:absolute;margin-left:64.944pt;margin-top:9.680985pt;width:465.6pt;height:234.65pt;mso-position-horizontal-relative:page;mso-position-vertical-relative:paragraph;z-index:-15692800;mso-wrap-distance-left:0;mso-wrap-distance-right:0" type="#_x0000_t202" filled="true" fillcolor="#eeece1" stroked="true" strokeweight=".48004pt" strokecolor="#4e81bd">
            <v:textbox inset="0,0,0,0">
              <w:txbxContent>
                <w:p>
                  <w:pPr>
                    <w:pStyle w:val="BodyText"/>
                    <w:spacing w:before="4"/>
                    <w:rPr>
                      <w:i/>
                      <w:sz w:val="31"/>
                    </w:rPr>
                  </w:pPr>
                </w:p>
                <w:p>
                  <w:pPr>
                    <w:spacing w:before="0"/>
                    <w:ind w:left="84" w:right="88" w:firstLine="0"/>
                    <w:jc w:val="center"/>
                    <w:rPr>
                      <w:rFonts w:ascii="Arial Narrow"/>
                      <w:b/>
                      <w:sz w:val="24"/>
                    </w:rPr>
                  </w:pPr>
                  <w:r>
                    <w:rPr>
                      <w:rFonts w:ascii="Arial Narrow"/>
                      <w:b/>
                      <w:color w:val="4E81BD"/>
                      <w:sz w:val="24"/>
                    </w:rPr>
                    <w:t>Box 2.31. Other definitions</w:t>
                  </w:r>
                </w:p>
                <w:p>
                  <w:pPr>
                    <w:pStyle w:val="BodyText"/>
                    <w:spacing w:before="213"/>
                    <w:ind w:left="136"/>
                    <w:jc w:val="both"/>
                  </w:pPr>
                  <w:r>
                    <w:rPr/>
                    <w:t>For the purposes of ADS, the following definitions would apply:</w:t>
                  </w:r>
                </w:p>
                <w:p>
                  <w:pPr>
                    <w:pStyle w:val="BodyText"/>
                    <w:spacing w:line="271" w:lineRule="auto" w:before="149"/>
                    <w:ind w:left="136" w:right="135"/>
                    <w:jc w:val="both"/>
                  </w:pPr>
                  <w:r>
                    <w:rPr/>
                    <w:t>“Digital</w:t>
                  </w:r>
                  <w:r>
                    <w:rPr>
                      <w:spacing w:val="-10"/>
                    </w:rPr>
                    <w:t> </w:t>
                  </w:r>
                  <w:r>
                    <w:rPr/>
                    <w:t>interface”</w:t>
                  </w:r>
                  <w:r>
                    <w:rPr>
                      <w:spacing w:val="-13"/>
                    </w:rPr>
                    <w:t> </w:t>
                  </w:r>
                  <w:r>
                    <w:rPr/>
                    <w:t>means</w:t>
                  </w:r>
                  <w:r>
                    <w:rPr>
                      <w:spacing w:val="-10"/>
                    </w:rPr>
                    <w:t> </w:t>
                  </w:r>
                  <w:r>
                    <w:rPr/>
                    <w:t>any</w:t>
                  </w:r>
                  <w:r>
                    <w:rPr>
                      <w:spacing w:val="-12"/>
                    </w:rPr>
                    <w:t> </w:t>
                  </w:r>
                  <w:r>
                    <w:rPr/>
                    <w:t>programme</w:t>
                  </w:r>
                  <w:r>
                    <w:rPr>
                      <w:spacing w:val="-12"/>
                    </w:rPr>
                    <w:t> </w:t>
                  </w:r>
                  <w:r>
                    <w:rPr/>
                    <w:t>or</w:t>
                  </w:r>
                  <w:r>
                    <w:rPr>
                      <w:spacing w:val="-11"/>
                    </w:rPr>
                    <w:t> </w:t>
                  </w:r>
                  <w:r>
                    <w:rPr/>
                    <w:t>other</w:t>
                  </w:r>
                  <w:r>
                    <w:rPr>
                      <w:spacing w:val="-11"/>
                    </w:rPr>
                    <w:t> </w:t>
                  </w:r>
                  <w:r>
                    <w:rPr/>
                    <w:t>system</w:t>
                  </w:r>
                  <w:r>
                    <w:rPr>
                      <w:spacing w:val="-7"/>
                    </w:rPr>
                    <w:t> </w:t>
                  </w:r>
                  <w:r>
                    <w:rPr/>
                    <w:t>allowing</w:t>
                  </w:r>
                  <w:r>
                    <w:rPr>
                      <w:spacing w:val="-12"/>
                    </w:rPr>
                    <w:t> </w:t>
                  </w:r>
                  <w:r>
                    <w:rPr/>
                    <w:t>access</w:t>
                  </w:r>
                  <w:r>
                    <w:rPr>
                      <w:spacing w:val="-10"/>
                    </w:rPr>
                    <w:t> </w:t>
                  </w:r>
                  <w:r>
                    <w:rPr/>
                    <w:t>by</w:t>
                  </w:r>
                  <w:r>
                    <w:rPr>
                      <w:spacing w:val="-11"/>
                    </w:rPr>
                    <w:t> </w:t>
                  </w:r>
                  <w:r>
                    <w:rPr/>
                    <w:t>users</w:t>
                  </w:r>
                  <w:r>
                    <w:rPr>
                      <w:spacing w:val="-9"/>
                    </w:rPr>
                    <w:t> </w:t>
                  </w:r>
                  <w:r>
                    <w:rPr/>
                    <w:t>to</w:t>
                  </w:r>
                  <w:r>
                    <w:rPr>
                      <w:spacing w:val="-12"/>
                    </w:rPr>
                    <w:t> </w:t>
                  </w:r>
                  <w:r>
                    <w:rPr/>
                    <w:t>software,</w:t>
                  </w:r>
                  <w:r>
                    <w:rPr>
                      <w:spacing w:val="-11"/>
                    </w:rPr>
                    <w:t> </w:t>
                  </w:r>
                  <w:r>
                    <w:rPr/>
                    <w:t>content or other information that is accessible by users online, such as websites and mobile applications, regardless of the type of physical support enabling such access. The definition of a digital interface is intended</w:t>
                  </w:r>
                  <w:r>
                    <w:rPr>
                      <w:spacing w:val="-10"/>
                    </w:rPr>
                    <w:t> </w:t>
                  </w:r>
                  <w:r>
                    <w:rPr/>
                    <w:t>to</w:t>
                  </w:r>
                  <w:r>
                    <w:rPr>
                      <w:spacing w:val="-8"/>
                    </w:rPr>
                    <w:t> </w:t>
                  </w:r>
                  <w:r>
                    <w:rPr/>
                    <w:t>be</w:t>
                  </w:r>
                  <w:r>
                    <w:rPr>
                      <w:spacing w:val="-7"/>
                    </w:rPr>
                    <w:t> </w:t>
                  </w:r>
                  <w:r>
                    <w:rPr/>
                    <w:t>broad,</w:t>
                  </w:r>
                  <w:r>
                    <w:rPr>
                      <w:spacing w:val="-10"/>
                    </w:rPr>
                    <w:t> </w:t>
                  </w:r>
                  <w:r>
                    <w:rPr/>
                    <w:t>and</w:t>
                  </w:r>
                  <w:r>
                    <w:rPr>
                      <w:spacing w:val="-8"/>
                    </w:rPr>
                    <w:t> </w:t>
                  </w:r>
                  <w:r>
                    <w:rPr/>
                    <w:t>would</w:t>
                  </w:r>
                  <w:r>
                    <w:rPr>
                      <w:spacing w:val="-9"/>
                    </w:rPr>
                    <w:t> </w:t>
                  </w:r>
                  <w:r>
                    <w:rPr/>
                    <w:t>cover</w:t>
                  </w:r>
                  <w:r>
                    <w:rPr>
                      <w:spacing w:val="-9"/>
                    </w:rPr>
                    <w:t> </w:t>
                  </w:r>
                  <w:r>
                    <w:rPr/>
                    <w:t>Internet-connected</w:t>
                  </w:r>
                  <w:r>
                    <w:rPr>
                      <w:spacing w:val="-9"/>
                    </w:rPr>
                    <w:t> </w:t>
                  </w:r>
                  <w:r>
                    <w:rPr/>
                    <w:t>interfaces</w:t>
                  </w:r>
                  <w:r>
                    <w:rPr>
                      <w:spacing w:val="-9"/>
                    </w:rPr>
                    <w:t> </w:t>
                  </w:r>
                  <w:r>
                    <w:rPr/>
                    <w:t>embedded</w:t>
                  </w:r>
                  <w:r>
                    <w:rPr>
                      <w:spacing w:val="-8"/>
                    </w:rPr>
                    <w:t> </w:t>
                  </w:r>
                  <w:r>
                    <w:rPr/>
                    <w:t>in</w:t>
                  </w:r>
                  <w:r>
                    <w:rPr>
                      <w:spacing w:val="-7"/>
                    </w:rPr>
                    <w:t> </w:t>
                  </w:r>
                  <w:r>
                    <w:rPr/>
                    <w:t>a</w:t>
                  </w:r>
                  <w:r>
                    <w:rPr>
                      <w:spacing w:val="-10"/>
                    </w:rPr>
                    <w:t> </w:t>
                  </w:r>
                  <w:r>
                    <w:rPr/>
                    <w:t>physical</w:t>
                  </w:r>
                  <w:r>
                    <w:rPr>
                      <w:spacing w:val="-11"/>
                    </w:rPr>
                    <w:t> </w:t>
                  </w:r>
                  <w:r>
                    <w:rPr/>
                    <w:t>good</w:t>
                  </w:r>
                  <w:r>
                    <w:rPr>
                      <w:spacing w:val="-9"/>
                    </w:rPr>
                    <w:t> </w:t>
                  </w:r>
                  <w:r>
                    <w:rPr/>
                    <w:t>(i.e. the Internet of things) regardless of whether the sale of that good itself is within the scope of the new taxing right of Amount</w:t>
                  </w:r>
                  <w:r>
                    <w:rPr>
                      <w:spacing w:val="-2"/>
                    </w:rPr>
                    <w:t> </w:t>
                  </w:r>
                  <w:r>
                    <w:rPr/>
                    <w:t>A.</w:t>
                  </w:r>
                </w:p>
                <w:p>
                  <w:pPr>
                    <w:pStyle w:val="BodyText"/>
                    <w:spacing w:before="121"/>
                    <w:ind w:left="136"/>
                    <w:jc w:val="both"/>
                  </w:pPr>
                  <w:r>
                    <w:rPr/>
                    <w:t>“Online” means over the Internet or an electronic network;</w:t>
                  </w:r>
                </w:p>
                <w:p>
                  <w:pPr>
                    <w:pStyle w:val="BodyText"/>
                    <w:numPr>
                      <w:ilvl w:val="0"/>
                      <w:numId w:val="12"/>
                    </w:numPr>
                    <w:tabs>
                      <w:tab w:pos="856" w:val="left" w:leader="none"/>
                      <w:tab w:pos="857" w:val="left" w:leader="none"/>
                    </w:tabs>
                    <w:spacing w:line="271" w:lineRule="auto" w:before="152" w:after="0"/>
                    <w:ind w:left="856" w:right="138" w:hanging="461"/>
                    <w:jc w:val="left"/>
                  </w:pPr>
                  <w:r>
                    <w:rPr/>
                    <w:t>“User”</w:t>
                  </w:r>
                  <w:r>
                    <w:rPr>
                      <w:spacing w:val="-16"/>
                    </w:rPr>
                    <w:t> </w:t>
                  </w:r>
                  <w:r>
                    <w:rPr/>
                    <w:t>means</w:t>
                  </w:r>
                  <w:r>
                    <w:rPr>
                      <w:spacing w:val="-13"/>
                    </w:rPr>
                    <w:t> </w:t>
                  </w:r>
                  <w:r>
                    <w:rPr/>
                    <w:t>any</w:t>
                  </w:r>
                  <w:r>
                    <w:rPr>
                      <w:spacing w:val="-15"/>
                    </w:rPr>
                    <w:t> </w:t>
                  </w:r>
                  <w:r>
                    <w:rPr/>
                    <w:t>individual</w:t>
                  </w:r>
                  <w:r>
                    <w:rPr>
                      <w:spacing w:val="-13"/>
                    </w:rPr>
                    <w:t> </w:t>
                  </w:r>
                  <w:r>
                    <w:rPr/>
                    <w:t>or</w:t>
                  </w:r>
                  <w:r>
                    <w:rPr>
                      <w:spacing w:val="-12"/>
                    </w:rPr>
                    <w:t> </w:t>
                  </w:r>
                  <w:r>
                    <w:rPr/>
                    <w:t>business</w:t>
                  </w:r>
                  <w:r>
                    <w:rPr>
                      <w:spacing w:val="-12"/>
                    </w:rPr>
                    <w:t> </w:t>
                  </w:r>
                  <w:r>
                    <w:rPr/>
                    <w:t>accessing</w:t>
                  </w:r>
                  <w:r>
                    <w:rPr>
                      <w:spacing w:val="-12"/>
                    </w:rPr>
                    <w:t> </w:t>
                  </w:r>
                  <w:r>
                    <w:rPr/>
                    <w:t>a</w:t>
                  </w:r>
                  <w:r>
                    <w:rPr>
                      <w:spacing w:val="-13"/>
                    </w:rPr>
                    <w:t> </w:t>
                  </w:r>
                  <w:r>
                    <w:rPr/>
                    <w:t>service,</w:t>
                  </w:r>
                  <w:r>
                    <w:rPr>
                      <w:spacing w:val="-12"/>
                    </w:rPr>
                    <w:t> </w:t>
                  </w:r>
                  <w:r>
                    <w:rPr/>
                    <w:t>but</w:t>
                  </w:r>
                  <w:r>
                    <w:rPr>
                      <w:spacing w:val="-14"/>
                    </w:rPr>
                    <w:t> </w:t>
                  </w:r>
                  <w:r>
                    <w:rPr/>
                    <w:t>does</w:t>
                  </w:r>
                  <w:r>
                    <w:rPr>
                      <w:spacing w:val="-10"/>
                    </w:rPr>
                    <w:t> </w:t>
                  </w:r>
                  <w:r>
                    <w:rPr/>
                    <w:t>not</w:t>
                  </w:r>
                  <w:r>
                    <w:rPr>
                      <w:spacing w:val="-12"/>
                    </w:rPr>
                    <w:t> </w:t>
                  </w:r>
                  <w:r>
                    <w:rPr/>
                    <w:t>include</w:t>
                  </w:r>
                  <w:r>
                    <w:rPr>
                      <w:spacing w:val="-6"/>
                    </w:rPr>
                    <w:t> </w:t>
                  </w:r>
                  <w:r>
                    <w:rPr/>
                    <w:t>the</w:t>
                  </w:r>
                  <w:r>
                    <w:rPr>
                      <w:spacing w:val="-12"/>
                    </w:rPr>
                    <w:t> </w:t>
                  </w:r>
                  <w:r>
                    <w:rPr/>
                    <w:t>provider, or a member of the same MNE group as the provider, of that</w:t>
                  </w:r>
                  <w:r>
                    <w:rPr>
                      <w:spacing w:val="-10"/>
                    </w:rPr>
                    <w:t> </w:t>
                  </w:r>
                  <w:r>
                    <w:rPr/>
                    <w:t>service;</w:t>
                  </w:r>
                </w:p>
                <w:p>
                  <w:pPr>
                    <w:pStyle w:val="BodyText"/>
                    <w:numPr>
                      <w:ilvl w:val="0"/>
                      <w:numId w:val="12"/>
                    </w:numPr>
                    <w:tabs>
                      <w:tab w:pos="856" w:val="left" w:leader="none"/>
                      <w:tab w:pos="857" w:val="left" w:leader="none"/>
                    </w:tabs>
                    <w:spacing w:line="240" w:lineRule="auto" w:before="119" w:after="0"/>
                    <w:ind w:left="856" w:right="0" w:hanging="505"/>
                    <w:jc w:val="left"/>
                  </w:pPr>
                  <w:r>
                    <w:rPr/>
                    <w:t>an</w:t>
                  </w:r>
                  <w:r>
                    <w:rPr>
                      <w:spacing w:val="27"/>
                    </w:rPr>
                    <w:t> </w:t>
                  </w:r>
                  <w:r>
                    <w:rPr/>
                    <w:t>employee</w:t>
                  </w:r>
                  <w:r>
                    <w:rPr>
                      <w:spacing w:val="29"/>
                    </w:rPr>
                    <w:t> </w:t>
                  </w:r>
                  <w:r>
                    <w:rPr/>
                    <w:t>of</w:t>
                  </w:r>
                  <w:r>
                    <w:rPr>
                      <w:spacing w:val="31"/>
                    </w:rPr>
                    <w:t> </w:t>
                  </w:r>
                  <w:r>
                    <w:rPr/>
                    <w:t>a</w:t>
                  </w:r>
                  <w:r>
                    <w:rPr>
                      <w:spacing w:val="29"/>
                    </w:rPr>
                    <w:t> </w:t>
                  </w:r>
                  <w:r>
                    <w:rPr/>
                    <w:t>person</w:t>
                  </w:r>
                  <w:r>
                    <w:rPr>
                      <w:spacing w:val="31"/>
                    </w:rPr>
                    <w:t> </w:t>
                  </w:r>
                  <w:r>
                    <w:rPr/>
                    <w:t>referred</w:t>
                  </w:r>
                  <w:r>
                    <w:rPr>
                      <w:spacing w:val="27"/>
                    </w:rPr>
                    <w:t> </w:t>
                  </w:r>
                  <w:r>
                    <w:rPr/>
                    <w:t>to</w:t>
                  </w:r>
                  <w:r>
                    <w:rPr>
                      <w:spacing w:val="27"/>
                    </w:rPr>
                    <w:t> </w:t>
                  </w:r>
                  <w:r>
                    <w:rPr/>
                    <w:t>in</w:t>
                  </w:r>
                  <w:r>
                    <w:rPr>
                      <w:spacing w:val="28"/>
                    </w:rPr>
                    <w:t> </w:t>
                  </w:r>
                  <w:r>
                    <w:rPr/>
                    <w:t>paragraph</w:t>
                  </w:r>
                  <w:r>
                    <w:rPr>
                      <w:spacing w:val="27"/>
                    </w:rPr>
                    <w:t> </w:t>
                  </w:r>
                  <w:r>
                    <w:rPr/>
                    <w:t>(i)</w:t>
                  </w:r>
                  <w:r>
                    <w:rPr>
                      <w:spacing w:val="28"/>
                    </w:rPr>
                    <w:t> </w:t>
                  </w:r>
                  <w:r>
                    <w:rPr/>
                    <w:t>acting</w:t>
                  </w:r>
                  <w:r>
                    <w:rPr>
                      <w:spacing w:val="30"/>
                    </w:rPr>
                    <w:t> </w:t>
                  </w:r>
                  <w:r>
                    <w:rPr/>
                    <w:t>in</w:t>
                  </w:r>
                  <w:r>
                    <w:rPr>
                      <w:spacing w:val="29"/>
                    </w:rPr>
                    <w:t> </w:t>
                  </w:r>
                  <w:r>
                    <w:rPr/>
                    <w:t>the</w:t>
                  </w:r>
                  <w:r>
                    <w:rPr>
                      <w:spacing w:val="29"/>
                    </w:rPr>
                    <w:t> </w:t>
                  </w:r>
                  <w:r>
                    <w:rPr/>
                    <w:t>course</w:t>
                  </w:r>
                  <w:r>
                    <w:rPr>
                      <w:spacing w:val="27"/>
                    </w:rPr>
                    <w:t> </w:t>
                  </w:r>
                  <w:r>
                    <w:rPr/>
                    <w:t>of</w:t>
                  </w:r>
                  <w:r>
                    <w:rPr>
                      <w:spacing w:val="30"/>
                    </w:rPr>
                    <w:t> </w:t>
                  </w:r>
                  <w:r>
                    <w:rPr/>
                    <w:t>that</w:t>
                  </w:r>
                  <w:r>
                    <w:rPr>
                      <w:spacing w:val="27"/>
                    </w:rPr>
                    <w:t> </w:t>
                  </w:r>
                  <w:r>
                    <w:rPr/>
                    <w:t>person’s</w:t>
                  </w:r>
                </w:p>
                <w:p>
                  <w:pPr>
                    <w:pStyle w:val="BodyText"/>
                    <w:spacing w:before="31"/>
                    <w:ind w:left="856"/>
                  </w:pPr>
                  <w:r>
                    <w:rPr/>
                    <w:t>business.</w:t>
                  </w:r>
                </w:p>
              </w:txbxContent>
            </v:textbox>
            <v:fill type="solid"/>
            <v:stroke dashstyle="solid"/>
            <w10:wrap type="topAndBottom"/>
          </v:shape>
        </w:pict>
      </w:r>
    </w:p>
    <w:p>
      <w:pPr>
        <w:pStyle w:val="BodyText"/>
        <w:spacing w:before="2"/>
        <w:rPr>
          <w:i/>
          <w:sz w:val="15"/>
        </w:rPr>
      </w:pPr>
    </w:p>
    <w:p>
      <w:pPr>
        <w:pStyle w:val="ListParagraph"/>
        <w:numPr>
          <w:ilvl w:val="2"/>
          <w:numId w:val="7"/>
        </w:numPr>
        <w:tabs>
          <w:tab w:pos="2015" w:val="left" w:leader="none"/>
        </w:tabs>
        <w:spacing w:line="240" w:lineRule="auto" w:before="94" w:after="0"/>
        <w:ind w:left="2014" w:right="0" w:hanging="613"/>
        <w:jc w:val="left"/>
        <w:rPr>
          <w:b/>
          <w:i/>
          <w:sz w:val="22"/>
        </w:rPr>
      </w:pPr>
      <w:bookmarkStart w:name="2.2.2. Consumer-facing businesses" w:id="44"/>
      <w:bookmarkEnd w:id="44"/>
      <w:r>
        <w:rPr/>
      </w:r>
      <w:bookmarkStart w:name="2.2.2. Consumer-facing businesses" w:id="45"/>
      <w:bookmarkEnd w:id="45"/>
      <w:r>
        <w:rPr>
          <w:b/>
          <w:i/>
          <w:sz w:val="22"/>
        </w:rPr>
        <w:t>C</w:t>
      </w:r>
      <w:r>
        <w:rPr>
          <w:b/>
          <w:i/>
          <w:sz w:val="22"/>
        </w:rPr>
        <w:t>onsumer-facing</w:t>
      </w:r>
      <w:r>
        <w:rPr>
          <w:b/>
          <w:i/>
          <w:spacing w:val="-4"/>
          <w:sz w:val="22"/>
        </w:rPr>
        <w:t> </w:t>
      </w:r>
      <w:r>
        <w:rPr>
          <w:b/>
          <w:i/>
          <w:sz w:val="22"/>
        </w:rPr>
        <w:t>businesses</w:t>
      </w:r>
    </w:p>
    <w:p>
      <w:pPr>
        <w:pStyle w:val="BodyText"/>
        <w:spacing w:before="6"/>
        <w:rPr>
          <w:b/>
          <w:i/>
          <w:sz w:val="23"/>
        </w:rPr>
      </w:pPr>
    </w:p>
    <w:p>
      <w:pPr>
        <w:pStyle w:val="Heading7"/>
        <w:rPr>
          <w:i/>
        </w:rPr>
      </w:pPr>
      <w:bookmarkStart w:name="Defining consumer-facing businesses" w:id="46"/>
      <w:bookmarkEnd w:id="46"/>
      <w:r>
        <w:rPr>
          <w:i w:val="0"/>
        </w:rPr>
      </w:r>
      <w:r>
        <w:rPr>
          <w:i/>
          <w:color w:val="616161"/>
        </w:rPr>
        <w:t>Defining consumer-facing businesses</w:t>
      </w:r>
    </w:p>
    <w:p>
      <w:pPr>
        <w:pStyle w:val="ListParagraph"/>
        <w:numPr>
          <w:ilvl w:val="0"/>
          <w:numId w:val="4"/>
        </w:numPr>
        <w:tabs>
          <w:tab w:pos="1444" w:val="left" w:leader="none"/>
        </w:tabs>
        <w:spacing w:line="271" w:lineRule="auto" w:before="215" w:after="0"/>
        <w:ind w:left="723" w:right="483" w:firstLine="0"/>
        <w:jc w:val="both"/>
        <w:rPr>
          <w:sz w:val="20"/>
        </w:rPr>
      </w:pPr>
      <w:r>
        <w:rPr>
          <w:sz w:val="20"/>
        </w:rPr>
        <w:t>CFBs would include businesses that generate revenue from the sale of goods and services of a type commonly sold to consumers, i.e. individuals that are purchasing items for personal use and not for commercial or professional</w:t>
      </w:r>
      <w:r>
        <w:rPr>
          <w:spacing w:val="-4"/>
          <w:sz w:val="20"/>
        </w:rPr>
        <w:t> </w:t>
      </w:r>
      <w:r>
        <w:rPr>
          <w:sz w:val="20"/>
        </w:rPr>
        <w:t>purposes.</w:t>
      </w:r>
    </w:p>
    <w:p>
      <w:pPr>
        <w:pStyle w:val="ListParagraph"/>
        <w:numPr>
          <w:ilvl w:val="0"/>
          <w:numId w:val="4"/>
        </w:numPr>
        <w:tabs>
          <w:tab w:pos="1444" w:val="left" w:leader="none"/>
        </w:tabs>
        <w:spacing w:line="240" w:lineRule="auto" w:before="120" w:after="0"/>
        <w:ind w:left="1443" w:right="0" w:hanging="721"/>
        <w:jc w:val="both"/>
        <w:rPr>
          <w:sz w:val="20"/>
        </w:rPr>
      </w:pPr>
      <w:r>
        <w:rPr>
          <w:sz w:val="20"/>
        </w:rPr>
        <w:t>The proposed definition of CFB breaks down the elements of “commonly sold to a consumer”</w:t>
      </w:r>
      <w:r>
        <w:rPr>
          <w:spacing w:val="47"/>
          <w:sz w:val="20"/>
        </w:rPr>
        <w:t> </w:t>
      </w:r>
      <w:r>
        <w:rPr>
          <w:sz w:val="20"/>
        </w:rPr>
        <w:t>as</w:t>
      </w:r>
    </w:p>
    <w:p>
      <w:pPr>
        <w:pStyle w:val="BodyText"/>
        <w:spacing w:before="32"/>
        <w:ind w:left="723"/>
        <w:jc w:val="both"/>
      </w:pPr>
      <w:r>
        <w:rPr/>
        <w:t>well as provides clarity on the types of MNE businesses that are “consumer-facing.”</w:t>
      </w:r>
    </w:p>
    <w:p>
      <w:pPr>
        <w:spacing w:after="0"/>
        <w:jc w:val="both"/>
        <w:sectPr>
          <w:pgSz w:w="11910" w:h="16840"/>
          <w:pgMar w:header="1244" w:footer="1638" w:top="1500" w:bottom="1820" w:left="580" w:right="820"/>
        </w:sectPr>
      </w:pPr>
    </w:p>
    <w:p>
      <w:pPr>
        <w:pStyle w:val="BodyText"/>
      </w:pPr>
      <w:r>
        <w:rPr/>
        <w:pict>
          <v:group style="position:absolute;margin-left:64.704002pt;margin-top:90.739967pt;width:466.05pt;height:650.15pt;mso-position-horizontal-relative:page;mso-position-vertical-relative:page;z-index:-19555328" coordorigin="1294,1815" coordsize="9321,13003">
            <v:rect style="position:absolute;left:1303;top:1824;width:9302;height:12983" filled="true" fillcolor="#eeece1" stroked="false">
              <v:fill type="solid"/>
            </v:rect>
            <v:shape style="position:absolute;left:1294;top:1814;width:9321;height:13003" coordorigin="1294,1815" coordsize="9321,13003" path="m10605,14808l1304,14808,1304,1825,1294,1825,1294,14808,1294,14817,1304,14817,1304,14817,10605,14817,10605,14808xm10605,1815l1304,1815,1304,1815,1294,1815,1294,1824,1304,1824,1304,1824,10605,1824,10605,1815xm10615,1825l10605,1825,10605,14808,10605,14817,10615,14817,10615,14808,10615,1825xm10615,1815l10605,1815,10605,1824,10615,1824,10615,1815xe" filled="true" fillcolor="#4e81bd" stroked="false">
              <v:path arrowok="t"/>
              <v:fill type="solid"/>
            </v:shape>
            <w10:wrap type="none"/>
          </v:group>
        </w:pict>
      </w:r>
    </w:p>
    <w:p>
      <w:pPr>
        <w:pStyle w:val="BodyText"/>
        <w:spacing w:before="7"/>
        <w:rPr>
          <w:sz w:val="29"/>
        </w:rPr>
      </w:pPr>
    </w:p>
    <w:p>
      <w:pPr>
        <w:pStyle w:val="Heading4"/>
        <w:spacing w:before="99"/>
        <w:ind w:left="1386" w:right="1148"/>
      </w:pPr>
      <w:r>
        <w:rPr>
          <w:color w:val="4E81BD"/>
        </w:rPr>
        <w:t>Box 2.32. Consumer-facing business – General definition</w:t>
      </w:r>
    </w:p>
    <w:p>
      <w:pPr>
        <w:pStyle w:val="BodyText"/>
        <w:spacing w:line="271" w:lineRule="auto" w:before="214"/>
        <w:ind w:left="860" w:right="618"/>
        <w:jc w:val="both"/>
      </w:pPr>
      <w:r>
        <w:rPr/>
        <w:t>A</w:t>
      </w:r>
      <w:r>
        <w:rPr>
          <w:spacing w:val="-13"/>
        </w:rPr>
        <w:t> </w:t>
      </w:r>
      <w:r>
        <w:rPr/>
        <w:t>consumer-facing</w:t>
      </w:r>
      <w:r>
        <w:rPr>
          <w:spacing w:val="-12"/>
        </w:rPr>
        <w:t> </w:t>
      </w:r>
      <w:r>
        <w:rPr/>
        <w:t>business</w:t>
      </w:r>
      <w:r>
        <w:rPr>
          <w:spacing w:val="-10"/>
        </w:rPr>
        <w:t> </w:t>
      </w:r>
      <w:r>
        <w:rPr/>
        <w:t>is</w:t>
      </w:r>
      <w:r>
        <w:rPr>
          <w:spacing w:val="-10"/>
        </w:rPr>
        <w:t> </w:t>
      </w:r>
      <w:r>
        <w:rPr/>
        <w:t>a</w:t>
      </w:r>
      <w:r>
        <w:rPr>
          <w:spacing w:val="-12"/>
        </w:rPr>
        <w:t> </w:t>
      </w:r>
      <w:r>
        <w:rPr/>
        <w:t>business</w:t>
      </w:r>
      <w:r>
        <w:rPr>
          <w:spacing w:val="-11"/>
        </w:rPr>
        <w:t> </w:t>
      </w:r>
      <w:r>
        <w:rPr/>
        <w:t>that</w:t>
      </w:r>
      <w:r>
        <w:rPr>
          <w:spacing w:val="-11"/>
        </w:rPr>
        <w:t> </w:t>
      </w:r>
      <w:r>
        <w:rPr/>
        <w:t>supplies</w:t>
      </w:r>
      <w:r>
        <w:rPr>
          <w:spacing w:val="-8"/>
        </w:rPr>
        <w:t> </w:t>
      </w:r>
      <w:r>
        <w:rPr/>
        <w:t>goods</w:t>
      </w:r>
      <w:r>
        <w:rPr>
          <w:spacing w:val="-10"/>
        </w:rPr>
        <w:t> </w:t>
      </w:r>
      <w:r>
        <w:rPr/>
        <w:t>or</w:t>
      </w:r>
      <w:r>
        <w:rPr>
          <w:spacing w:val="-12"/>
        </w:rPr>
        <w:t> </w:t>
      </w:r>
      <w:r>
        <w:rPr/>
        <w:t>services,</w:t>
      </w:r>
      <w:r>
        <w:rPr>
          <w:spacing w:val="-11"/>
        </w:rPr>
        <w:t> </w:t>
      </w:r>
      <w:r>
        <w:rPr/>
        <w:t>directly</w:t>
      </w:r>
      <w:r>
        <w:rPr>
          <w:spacing w:val="-12"/>
        </w:rPr>
        <w:t> </w:t>
      </w:r>
      <w:r>
        <w:rPr/>
        <w:t>or</w:t>
      </w:r>
      <w:r>
        <w:rPr>
          <w:spacing w:val="-11"/>
        </w:rPr>
        <w:t> </w:t>
      </w:r>
      <w:r>
        <w:rPr/>
        <w:t>indirectly,</w:t>
      </w:r>
      <w:r>
        <w:rPr>
          <w:spacing w:val="-9"/>
        </w:rPr>
        <w:t> </w:t>
      </w:r>
      <w:r>
        <w:rPr/>
        <w:t>that</w:t>
      </w:r>
      <w:r>
        <w:rPr>
          <w:spacing w:val="-10"/>
        </w:rPr>
        <w:t> </w:t>
      </w:r>
      <w:r>
        <w:rPr/>
        <w:t>are of a type commonly sold to consumers, and / or licenses or otherwise exploits intangible property that is connected to the supply of such goods or</w:t>
      </w:r>
      <w:r>
        <w:rPr>
          <w:spacing w:val="-10"/>
        </w:rPr>
        <w:t> </w:t>
      </w:r>
      <w:r>
        <w:rPr/>
        <w:t>services.</w:t>
      </w:r>
    </w:p>
    <w:p>
      <w:pPr>
        <w:pStyle w:val="BodyText"/>
        <w:spacing w:before="120"/>
        <w:ind w:left="860"/>
        <w:jc w:val="both"/>
      </w:pPr>
      <w:r>
        <w:rPr/>
        <w:t>“Consumer” means an individual (whether or not the direct purchaser) who acquires a good or service</w:t>
      </w:r>
    </w:p>
    <w:p>
      <w:pPr>
        <w:pStyle w:val="BodyText"/>
        <w:spacing w:before="29"/>
        <w:ind w:left="860"/>
        <w:jc w:val="both"/>
      </w:pPr>
      <w:r>
        <w:rPr/>
        <w:t>for personal purposes, rather than for commercial or professional purposes.</w:t>
      </w:r>
    </w:p>
    <w:p>
      <w:pPr>
        <w:pStyle w:val="BodyText"/>
        <w:spacing w:line="271" w:lineRule="auto" w:before="149"/>
        <w:ind w:left="860" w:right="616"/>
        <w:jc w:val="both"/>
      </w:pPr>
      <w:r>
        <w:rPr/>
        <w:t>A</w:t>
      </w:r>
      <w:r>
        <w:rPr>
          <w:spacing w:val="-9"/>
        </w:rPr>
        <w:t> </w:t>
      </w:r>
      <w:r>
        <w:rPr/>
        <w:t>good</w:t>
      </w:r>
      <w:r>
        <w:rPr>
          <w:spacing w:val="-6"/>
        </w:rPr>
        <w:t> </w:t>
      </w:r>
      <w:r>
        <w:rPr/>
        <w:t>or</w:t>
      </w:r>
      <w:r>
        <w:rPr>
          <w:spacing w:val="-7"/>
        </w:rPr>
        <w:t> </w:t>
      </w:r>
      <w:r>
        <w:rPr/>
        <w:t>service</w:t>
      </w:r>
      <w:r>
        <w:rPr>
          <w:spacing w:val="-7"/>
        </w:rPr>
        <w:t> </w:t>
      </w:r>
      <w:r>
        <w:rPr/>
        <w:t>is</w:t>
      </w:r>
      <w:r>
        <w:rPr>
          <w:spacing w:val="-7"/>
        </w:rPr>
        <w:t> </w:t>
      </w:r>
      <w:r>
        <w:rPr/>
        <w:t>“of</w:t>
      </w:r>
      <w:r>
        <w:rPr>
          <w:spacing w:val="-6"/>
        </w:rPr>
        <w:t> </w:t>
      </w:r>
      <w:r>
        <w:rPr/>
        <w:t>a</w:t>
      </w:r>
      <w:r>
        <w:rPr>
          <w:spacing w:val="-9"/>
        </w:rPr>
        <w:t> </w:t>
      </w:r>
      <w:r>
        <w:rPr/>
        <w:t>type</w:t>
      </w:r>
      <w:r>
        <w:rPr>
          <w:spacing w:val="-7"/>
        </w:rPr>
        <w:t> </w:t>
      </w:r>
      <w:r>
        <w:rPr/>
        <w:t>commonly”</w:t>
      </w:r>
      <w:r>
        <w:rPr>
          <w:spacing w:val="-7"/>
        </w:rPr>
        <w:t> </w:t>
      </w:r>
      <w:r>
        <w:rPr/>
        <w:t>sold</w:t>
      </w:r>
      <w:r>
        <w:rPr>
          <w:spacing w:val="-6"/>
        </w:rPr>
        <w:t> </w:t>
      </w:r>
      <w:r>
        <w:rPr/>
        <w:t>to</w:t>
      </w:r>
      <w:r>
        <w:rPr>
          <w:spacing w:val="-9"/>
        </w:rPr>
        <w:t> </w:t>
      </w:r>
      <w:r>
        <w:rPr/>
        <w:t>consumers</w:t>
      </w:r>
      <w:r>
        <w:rPr>
          <w:spacing w:val="-6"/>
        </w:rPr>
        <w:t> </w:t>
      </w:r>
      <w:r>
        <w:rPr/>
        <w:t>if</w:t>
      </w:r>
      <w:r>
        <w:rPr>
          <w:spacing w:val="-6"/>
        </w:rPr>
        <w:t> </w:t>
      </w:r>
      <w:r>
        <w:rPr/>
        <w:t>the</w:t>
      </w:r>
      <w:r>
        <w:rPr>
          <w:spacing w:val="-9"/>
        </w:rPr>
        <w:t> </w:t>
      </w:r>
      <w:r>
        <w:rPr/>
        <w:t>nature</w:t>
      </w:r>
      <w:r>
        <w:rPr>
          <w:spacing w:val="-8"/>
        </w:rPr>
        <w:t> </w:t>
      </w:r>
      <w:r>
        <w:rPr/>
        <w:t>of</w:t>
      </w:r>
      <w:r>
        <w:rPr>
          <w:spacing w:val="-6"/>
        </w:rPr>
        <w:t> </w:t>
      </w:r>
      <w:r>
        <w:rPr/>
        <w:t>the</w:t>
      </w:r>
      <w:r>
        <w:rPr>
          <w:spacing w:val="-6"/>
        </w:rPr>
        <w:t> </w:t>
      </w:r>
      <w:r>
        <w:rPr/>
        <w:t>good</w:t>
      </w:r>
      <w:r>
        <w:rPr>
          <w:spacing w:val="-7"/>
        </w:rPr>
        <w:t> </w:t>
      </w:r>
      <w:r>
        <w:rPr/>
        <w:t>or</w:t>
      </w:r>
      <w:r>
        <w:rPr>
          <w:spacing w:val="-7"/>
        </w:rPr>
        <w:t> </w:t>
      </w:r>
      <w:r>
        <w:rPr/>
        <w:t>service</w:t>
      </w:r>
      <w:r>
        <w:rPr>
          <w:spacing w:val="-6"/>
        </w:rPr>
        <w:t> </w:t>
      </w:r>
      <w:r>
        <w:rPr/>
        <w:t>is</w:t>
      </w:r>
      <w:r>
        <w:rPr>
          <w:spacing w:val="-8"/>
        </w:rPr>
        <w:t> </w:t>
      </w:r>
      <w:r>
        <w:rPr/>
        <w:t>such that it is designed primarily for sale to consumers. This presupposes that the good or service is made available</w:t>
      </w:r>
      <w:r>
        <w:rPr>
          <w:spacing w:val="-10"/>
        </w:rPr>
        <w:t> </w:t>
      </w:r>
      <w:r>
        <w:rPr/>
        <w:t>in</w:t>
      </w:r>
      <w:r>
        <w:rPr>
          <w:spacing w:val="-9"/>
        </w:rPr>
        <w:t> </w:t>
      </w:r>
      <w:r>
        <w:rPr/>
        <w:t>ways</w:t>
      </w:r>
      <w:r>
        <w:rPr>
          <w:spacing w:val="-9"/>
        </w:rPr>
        <w:t> </w:t>
      </w:r>
      <w:r>
        <w:rPr/>
        <w:t>capable</w:t>
      </w:r>
      <w:r>
        <w:rPr>
          <w:spacing w:val="-12"/>
        </w:rPr>
        <w:t> </w:t>
      </w:r>
      <w:r>
        <w:rPr/>
        <w:t>of</w:t>
      </w:r>
      <w:r>
        <w:rPr>
          <w:spacing w:val="-10"/>
        </w:rPr>
        <w:t> </w:t>
      </w:r>
      <w:r>
        <w:rPr/>
        <w:t>being</w:t>
      </w:r>
      <w:r>
        <w:rPr>
          <w:spacing w:val="-8"/>
        </w:rPr>
        <w:t> </w:t>
      </w:r>
      <w:r>
        <w:rPr/>
        <w:t>for</w:t>
      </w:r>
      <w:r>
        <w:rPr>
          <w:spacing w:val="-12"/>
        </w:rPr>
        <w:t> </w:t>
      </w:r>
      <w:r>
        <w:rPr/>
        <w:t>personal</w:t>
      </w:r>
      <w:r>
        <w:rPr>
          <w:spacing w:val="-12"/>
        </w:rPr>
        <w:t> </w:t>
      </w:r>
      <w:r>
        <w:rPr/>
        <w:t>consumption</w:t>
      </w:r>
      <w:r>
        <w:rPr>
          <w:spacing w:val="-13"/>
        </w:rPr>
        <w:t> </w:t>
      </w:r>
      <w:r>
        <w:rPr/>
        <w:t>(such</w:t>
      </w:r>
      <w:r>
        <w:rPr>
          <w:spacing w:val="-12"/>
        </w:rPr>
        <w:t> </w:t>
      </w:r>
      <w:r>
        <w:rPr/>
        <w:t>as</w:t>
      </w:r>
      <w:r>
        <w:rPr>
          <w:spacing w:val="-9"/>
        </w:rPr>
        <w:t> </w:t>
      </w:r>
      <w:r>
        <w:rPr/>
        <w:t>in</w:t>
      </w:r>
      <w:r>
        <w:rPr>
          <w:spacing w:val="-10"/>
        </w:rPr>
        <w:t> </w:t>
      </w:r>
      <w:r>
        <w:rPr/>
        <w:t>portions,</w:t>
      </w:r>
      <w:r>
        <w:rPr>
          <w:spacing w:val="-9"/>
        </w:rPr>
        <w:t> </w:t>
      </w:r>
      <w:r>
        <w:rPr/>
        <w:t>in</w:t>
      </w:r>
      <w:r>
        <w:rPr>
          <w:spacing w:val="-10"/>
        </w:rPr>
        <w:t> </w:t>
      </w:r>
      <w:r>
        <w:rPr/>
        <w:t>sufficiently</w:t>
      </w:r>
      <w:r>
        <w:rPr>
          <w:spacing w:val="-15"/>
        </w:rPr>
        <w:t> </w:t>
      </w:r>
      <w:r>
        <w:rPr/>
        <w:t>finished or usable form, or at purchase points accessible by an individual, as opposed to bulk or raw material accessible to wholesale traders or other businesses only). </w:t>
      </w:r>
      <w:r>
        <w:rPr>
          <w:spacing w:val="5"/>
        </w:rPr>
        <w:t>To </w:t>
      </w:r>
      <w:r>
        <w:rPr/>
        <w:t>be designed primarily for sale to consumers means that the MNE developed the goods or services to be regularly, repeatedly, or ordinarily supplied to consumers (whether directly or indirectly), such as by engaging in consumer market research, marketing and promoting it to consumers, using consumer / user data, or providing consumer</w:t>
      </w:r>
      <w:r>
        <w:rPr>
          <w:spacing w:val="-12"/>
        </w:rPr>
        <w:t> </w:t>
      </w:r>
      <w:r>
        <w:rPr/>
        <w:t>feedback</w:t>
      </w:r>
      <w:r>
        <w:rPr>
          <w:spacing w:val="-6"/>
        </w:rPr>
        <w:t> </w:t>
      </w:r>
      <w:r>
        <w:rPr/>
        <w:t>or</w:t>
      </w:r>
      <w:r>
        <w:rPr>
          <w:spacing w:val="-11"/>
        </w:rPr>
        <w:t> </w:t>
      </w:r>
      <w:r>
        <w:rPr/>
        <w:t>support</w:t>
      </w:r>
      <w:r>
        <w:rPr>
          <w:spacing w:val="-10"/>
        </w:rPr>
        <w:t> </w:t>
      </w:r>
      <w:r>
        <w:rPr/>
        <w:t>services</w:t>
      </w:r>
      <w:r>
        <w:rPr>
          <w:spacing w:val="-5"/>
        </w:rPr>
        <w:t> </w:t>
      </w:r>
      <w:r>
        <w:rPr/>
        <w:t>(irrespective</w:t>
      </w:r>
      <w:r>
        <w:rPr>
          <w:spacing w:val="-10"/>
        </w:rPr>
        <w:t> </w:t>
      </w:r>
      <w:r>
        <w:rPr/>
        <w:t>of</w:t>
      </w:r>
      <w:r>
        <w:rPr>
          <w:spacing w:val="-8"/>
        </w:rPr>
        <w:t> </w:t>
      </w:r>
      <w:r>
        <w:rPr/>
        <w:t>the</w:t>
      </w:r>
      <w:r>
        <w:rPr>
          <w:spacing w:val="-9"/>
        </w:rPr>
        <w:t> </w:t>
      </w:r>
      <w:r>
        <w:rPr/>
        <w:t>location</w:t>
      </w:r>
      <w:r>
        <w:rPr>
          <w:spacing w:val="-10"/>
        </w:rPr>
        <w:t> </w:t>
      </w:r>
      <w:r>
        <w:rPr/>
        <w:t>in</w:t>
      </w:r>
      <w:r>
        <w:rPr>
          <w:spacing w:val="-7"/>
        </w:rPr>
        <w:t> </w:t>
      </w:r>
      <w:r>
        <w:rPr/>
        <w:t>which</w:t>
      </w:r>
      <w:r>
        <w:rPr>
          <w:spacing w:val="-10"/>
        </w:rPr>
        <w:t> </w:t>
      </w:r>
      <w:r>
        <w:rPr/>
        <w:t>such</w:t>
      </w:r>
      <w:r>
        <w:rPr>
          <w:spacing w:val="-9"/>
        </w:rPr>
        <w:t> </w:t>
      </w:r>
      <w:r>
        <w:rPr/>
        <w:t>activities</w:t>
      </w:r>
      <w:r>
        <w:rPr>
          <w:spacing w:val="-9"/>
        </w:rPr>
        <w:t> </w:t>
      </w:r>
      <w:r>
        <w:rPr/>
        <w:t>take</w:t>
      </w:r>
      <w:r>
        <w:rPr>
          <w:spacing w:val="-10"/>
        </w:rPr>
        <w:t> </w:t>
      </w:r>
      <w:r>
        <w:rPr/>
        <w:t>place). Conversely, an unusual or infrequent transaction with a consumer does not affect the characterisation of the goods or</w:t>
      </w:r>
      <w:r>
        <w:rPr>
          <w:spacing w:val="-2"/>
        </w:rPr>
        <w:t> </w:t>
      </w:r>
      <w:r>
        <w:rPr/>
        <w:t>service.</w:t>
      </w:r>
    </w:p>
    <w:p>
      <w:pPr>
        <w:pStyle w:val="BodyText"/>
        <w:spacing w:line="271" w:lineRule="auto" w:before="123"/>
        <w:ind w:left="860" w:right="619"/>
        <w:jc w:val="both"/>
      </w:pPr>
      <w:r>
        <w:rPr/>
        <w:t>“Sold to” includes sale, lease, license, rent or delivery, whether directly or indirectly (e.g. through a broker, agent, intermediary or representative). This means that the product or service may still be a consumer good or service even if the contracting party to the sale is not the final consumer (such as a sale via a third party distributor, or where a franchisor has created a product but the sale is contracted by</w:t>
      </w:r>
      <w:r>
        <w:rPr>
          <w:spacing w:val="-10"/>
        </w:rPr>
        <w:t> </w:t>
      </w:r>
      <w:r>
        <w:rPr/>
        <w:t>the</w:t>
      </w:r>
      <w:r>
        <w:rPr>
          <w:spacing w:val="-6"/>
        </w:rPr>
        <w:t> </w:t>
      </w:r>
      <w:r>
        <w:rPr/>
        <w:t>franchisee).</w:t>
      </w:r>
      <w:r>
        <w:rPr>
          <w:spacing w:val="-6"/>
        </w:rPr>
        <w:t> </w:t>
      </w:r>
      <w:r>
        <w:rPr/>
        <w:t>In</w:t>
      </w:r>
      <w:r>
        <w:rPr>
          <w:spacing w:val="-6"/>
        </w:rPr>
        <w:t> </w:t>
      </w:r>
      <w:r>
        <w:rPr/>
        <w:t>other</w:t>
      </w:r>
      <w:r>
        <w:rPr>
          <w:spacing w:val="-6"/>
        </w:rPr>
        <w:t> </w:t>
      </w:r>
      <w:r>
        <w:rPr/>
        <w:t>words,</w:t>
      </w:r>
      <w:r>
        <w:rPr>
          <w:spacing w:val="-8"/>
        </w:rPr>
        <w:t> </w:t>
      </w:r>
      <w:r>
        <w:rPr/>
        <w:t>an</w:t>
      </w:r>
      <w:r>
        <w:rPr>
          <w:spacing w:val="-6"/>
        </w:rPr>
        <w:t> </w:t>
      </w:r>
      <w:r>
        <w:rPr/>
        <w:t>MNE</w:t>
      </w:r>
      <w:r>
        <w:rPr>
          <w:spacing w:val="-6"/>
        </w:rPr>
        <w:t> </w:t>
      </w:r>
      <w:r>
        <w:rPr/>
        <w:t>is</w:t>
      </w:r>
      <w:r>
        <w:rPr>
          <w:spacing w:val="-5"/>
        </w:rPr>
        <w:t> </w:t>
      </w:r>
      <w:r>
        <w:rPr/>
        <w:t>in</w:t>
      </w:r>
      <w:r>
        <w:rPr>
          <w:spacing w:val="-6"/>
        </w:rPr>
        <w:t> </w:t>
      </w:r>
      <w:r>
        <w:rPr/>
        <w:t>scope</w:t>
      </w:r>
      <w:r>
        <w:rPr>
          <w:spacing w:val="-4"/>
        </w:rPr>
        <w:t> </w:t>
      </w:r>
      <w:r>
        <w:rPr/>
        <w:t>based</w:t>
      </w:r>
      <w:r>
        <w:rPr>
          <w:spacing w:val="-6"/>
        </w:rPr>
        <w:t> </w:t>
      </w:r>
      <w:r>
        <w:rPr/>
        <w:t>on</w:t>
      </w:r>
      <w:r>
        <w:rPr>
          <w:spacing w:val="-7"/>
        </w:rPr>
        <w:t> </w:t>
      </w:r>
      <w:r>
        <w:rPr/>
        <w:t>the</w:t>
      </w:r>
      <w:r>
        <w:rPr>
          <w:spacing w:val="-8"/>
        </w:rPr>
        <w:t> </w:t>
      </w:r>
      <w:r>
        <w:rPr/>
        <w:t>nature</w:t>
      </w:r>
      <w:r>
        <w:rPr>
          <w:spacing w:val="-6"/>
        </w:rPr>
        <w:t> </w:t>
      </w:r>
      <w:r>
        <w:rPr/>
        <w:t>of</w:t>
      </w:r>
      <w:r>
        <w:rPr>
          <w:spacing w:val="-6"/>
        </w:rPr>
        <w:t> </w:t>
      </w:r>
      <w:r>
        <w:rPr/>
        <w:t>the</w:t>
      </w:r>
      <w:r>
        <w:rPr>
          <w:spacing w:val="-6"/>
        </w:rPr>
        <w:t> </w:t>
      </w:r>
      <w:r>
        <w:rPr/>
        <w:t>product</w:t>
      </w:r>
      <w:r>
        <w:rPr>
          <w:spacing w:val="-1"/>
        </w:rPr>
        <w:t> </w:t>
      </w:r>
      <w:r>
        <w:rPr/>
        <w:t>/</w:t>
      </w:r>
      <w:r>
        <w:rPr>
          <w:spacing w:val="-8"/>
        </w:rPr>
        <w:t> </w:t>
      </w:r>
      <w:r>
        <w:rPr/>
        <w:t>service</w:t>
      </w:r>
      <w:r>
        <w:rPr>
          <w:spacing w:val="-6"/>
        </w:rPr>
        <w:t> </w:t>
      </w:r>
      <w:r>
        <w:rPr/>
        <w:t>and this</w:t>
      </w:r>
      <w:r>
        <w:rPr>
          <w:spacing w:val="-7"/>
        </w:rPr>
        <w:t> </w:t>
      </w:r>
      <w:r>
        <w:rPr/>
        <w:t>is</w:t>
      </w:r>
      <w:r>
        <w:rPr>
          <w:spacing w:val="-9"/>
        </w:rPr>
        <w:t> </w:t>
      </w:r>
      <w:r>
        <w:rPr/>
        <w:t>not</w:t>
      </w:r>
      <w:r>
        <w:rPr>
          <w:spacing w:val="-10"/>
        </w:rPr>
        <w:t> </w:t>
      </w:r>
      <w:r>
        <w:rPr/>
        <w:t>altered</w:t>
      </w:r>
      <w:r>
        <w:rPr>
          <w:spacing w:val="-7"/>
        </w:rPr>
        <w:t> </w:t>
      </w:r>
      <w:r>
        <w:rPr/>
        <w:t>by</w:t>
      </w:r>
      <w:r>
        <w:rPr>
          <w:spacing w:val="-11"/>
        </w:rPr>
        <w:t> </w:t>
      </w:r>
      <w:r>
        <w:rPr/>
        <w:t>the</w:t>
      </w:r>
      <w:r>
        <w:rPr>
          <w:spacing w:val="-11"/>
        </w:rPr>
        <w:t> </w:t>
      </w:r>
      <w:r>
        <w:rPr/>
        <w:t>role</w:t>
      </w:r>
      <w:r>
        <w:rPr>
          <w:spacing w:val="-10"/>
        </w:rPr>
        <w:t> </w:t>
      </w:r>
      <w:r>
        <w:rPr/>
        <w:t>of</w:t>
      </w:r>
      <w:r>
        <w:rPr>
          <w:spacing w:val="-8"/>
        </w:rPr>
        <w:t> </w:t>
      </w:r>
      <w:r>
        <w:rPr/>
        <w:t>a</w:t>
      </w:r>
      <w:r>
        <w:rPr>
          <w:spacing w:val="-8"/>
        </w:rPr>
        <w:t> </w:t>
      </w:r>
      <w:r>
        <w:rPr/>
        <w:t>third</w:t>
      </w:r>
      <w:r>
        <w:rPr>
          <w:spacing w:val="-8"/>
        </w:rPr>
        <w:t> </w:t>
      </w:r>
      <w:r>
        <w:rPr/>
        <w:t>party</w:t>
      </w:r>
      <w:r>
        <w:rPr>
          <w:spacing w:val="-10"/>
        </w:rPr>
        <w:t> </w:t>
      </w:r>
      <w:r>
        <w:rPr/>
        <w:t>in</w:t>
      </w:r>
      <w:r>
        <w:rPr>
          <w:spacing w:val="-11"/>
        </w:rPr>
        <w:t> </w:t>
      </w:r>
      <w:r>
        <w:rPr/>
        <w:t>the</w:t>
      </w:r>
      <w:r>
        <w:rPr>
          <w:spacing w:val="-9"/>
        </w:rPr>
        <w:t> </w:t>
      </w:r>
      <w:r>
        <w:rPr/>
        <w:t>distribution</w:t>
      </w:r>
      <w:r>
        <w:rPr>
          <w:spacing w:val="-8"/>
        </w:rPr>
        <w:t> </w:t>
      </w:r>
      <w:r>
        <w:rPr/>
        <w:t>channel;</w:t>
      </w:r>
      <w:r>
        <w:rPr>
          <w:spacing w:val="-10"/>
        </w:rPr>
        <w:t> </w:t>
      </w:r>
      <w:r>
        <w:rPr/>
        <w:t>but</w:t>
      </w:r>
      <w:r>
        <w:rPr>
          <w:spacing w:val="-8"/>
        </w:rPr>
        <w:t> </w:t>
      </w:r>
      <w:r>
        <w:rPr/>
        <w:t>this</w:t>
      </w:r>
      <w:r>
        <w:rPr>
          <w:spacing w:val="1"/>
        </w:rPr>
        <w:t> </w:t>
      </w:r>
      <w:r>
        <w:rPr/>
        <w:t>does</w:t>
      </w:r>
      <w:r>
        <w:rPr>
          <w:spacing w:val="-9"/>
        </w:rPr>
        <w:t> </w:t>
      </w:r>
      <w:r>
        <w:rPr/>
        <w:t>not</w:t>
      </w:r>
      <w:r>
        <w:rPr>
          <w:spacing w:val="-9"/>
        </w:rPr>
        <w:t> </w:t>
      </w:r>
      <w:r>
        <w:rPr/>
        <w:t>mean</w:t>
      </w:r>
      <w:r>
        <w:rPr>
          <w:spacing w:val="-8"/>
        </w:rPr>
        <w:t> </w:t>
      </w:r>
      <w:r>
        <w:rPr/>
        <w:t>that</w:t>
      </w:r>
      <w:r>
        <w:rPr>
          <w:spacing w:val="-8"/>
        </w:rPr>
        <w:t> </w:t>
      </w:r>
      <w:r>
        <w:rPr/>
        <w:t>such third</w:t>
      </w:r>
      <w:r>
        <w:rPr>
          <w:spacing w:val="-6"/>
        </w:rPr>
        <w:t> </w:t>
      </w:r>
      <w:r>
        <w:rPr/>
        <w:t>party</w:t>
      </w:r>
      <w:r>
        <w:rPr>
          <w:spacing w:val="-9"/>
        </w:rPr>
        <w:t> </w:t>
      </w:r>
      <w:r>
        <w:rPr/>
        <w:t>itself</w:t>
      </w:r>
      <w:r>
        <w:rPr>
          <w:spacing w:val="-4"/>
        </w:rPr>
        <w:t> </w:t>
      </w:r>
      <w:r>
        <w:rPr/>
        <w:t>is</w:t>
      </w:r>
      <w:r>
        <w:rPr>
          <w:spacing w:val="-4"/>
        </w:rPr>
        <w:t> </w:t>
      </w:r>
      <w:r>
        <w:rPr/>
        <w:t>a</w:t>
      </w:r>
      <w:r>
        <w:rPr>
          <w:spacing w:val="-7"/>
        </w:rPr>
        <w:t> </w:t>
      </w:r>
      <w:r>
        <w:rPr/>
        <w:t>consumer-facing</w:t>
      </w:r>
      <w:r>
        <w:rPr>
          <w:spacing w:val="-7"/>
        </w:rPr>
        <w:t> </w:t>
      </w:r>
      <w:r>
        <w:rPr/>
        <w:t>business,</w:t>
      </w:r>
      <w:r>
        <w:rPr>
          <w:spacing w:val="-5"/>
        </w:rPr>
        <w:t> </w:t>
      </w:r>
      <w:r>
        <w:rPr/>
        <w:t>as</w:t>
      </w:r>
      <w:r>
        <w:rPr>
          <w:spacing w:val="-6"/>
        </w:rPr>
        <w:t> </w:t>
      </w:r>
      <w:r>
        <w:rPr/>
        <w:t>set</w:t>
      </w:r>
      <w:r>
        <w:rPr>
          <w:spacing w:val="-7"/>
        </w:rPr>
        <w:t> </w:t>
      </w:r>
      <w:r>
        <w:rPr/>
        <w:t>out</w:t>
      </w:r>
      <w:r>
        <w:rPr>
          <w:spacing w:val="-5"/>
        </w:rPr>
        <w:t> </w:t>
      </w:r>
      <w:r>
        <w:rPr/>
        <w:t>below.</w:t>
      </w:r>
      <w:r>
        <w:rPr>
          <w:spacing w:val="-6"/>
        </w:rPr>
        <w:t> </w:t>
      </w:r>
      <w:r>
        <w:rPr/>
        <w:t>It</w:t>
      </w:r>
      <w:r>
        <w:rPr>
          <w:spacing w:val="-7"/>
        </w:rPr>
        <w:t> </w:t>
      </w:r>
      <w:r>
        <w:rPr/>
        <w:t>also</w:t>
      </w:r>
      <w:r>
        <w:rPr>
          <w:spacing w:val="-6"/>
        </w:rPr>
        <w:t> </w:t>
      </w:r>
      <w:r>
        <w:rPr/>
        <w:t>covers</w:t>
      </w:r>
      <w:r>
        <w:rPr>
          <w:spacing w:val="-5"/>
        </w:rPr>
        <w:t> </w:t>
      </w:r>
      <w:r>
        <w:rPr/>
        <w:t>cases</w:t>
      </w:r>
      <w:r>
        <w:rPr>
          <w:spacing w:val="-6"/>
        </w:rPr>
        <w:t> </w:t>
      </w:r>
      <w:r>
        <w:rPr/>
        <w:t>where</w:t>
      </w:r>
      <w:r>
        <w:rPr>
          <w:spacing w:val="-7"/>
        </w:rPr>
        <w:t> </w:t>
      </w:r>
      <w:r>
        <w:rPr/>
        <w:t>the</w:t>
      </w:r>
      <w:r>
        <w:rPr>
          <w:spacing w:val="-6"/>
        </w:rPr>
        <w:t> </w:t>
      </w:r>
      <w:r>
        <w:rPr/>
        <w:t>nature of the product is such that to be exploited it is licensed, rather than sold (e.g. rights to music), if it is otherwise of a type commonly licensed to</w:t>
      </w:r>
      <w:r>
        <w:rPr>
          <w:spacing w:val="-7"/>
        </w:rPr>
        <w:t> </w:t>
      </w:r>
      <w:r>
        <w:rPr/>
        <w:t>consumers.</w:t>
      </w:r>
    </w:p>
    <w:p>
      <w:pPr>
        <w:pStyle w:val="BodyText"/>
        <w:spacing w:line="271" w:lineRule="auto" w:before="122"/>
        <w:ind w:left="860" w:right="624"/>
        <w:jc w:val="both"/>
      </w:pPr>
      <w:r>
        <w:rPr/>
        <w:t>A service that is included as an ADS, being the more specific definition, is excluded from the definition of consumer-facing businesses. This avoids duplication and recognises the fact that a single classification is needed as it has implications for other aspects of Amount A, such as the appropriate nexus test.</w:t>
      </w:r>
    </w:p>
    <w:p>
      <w:pPr>
        <w:pStyle w:val="BodyText"/>
        <w:spacing w:line="271" w:lineRule="auto" w:before="119"/>
        <w:ind w:left="860" w:right="622"/>
        <w:jc w:val="both"/>
      </w:pPr>
      <w:r>
        <w:rPr/>
        <w:t>An MNE would be regarded as being a “consumer-facing business” if the MNE is the owner of the consumer product / service and holder of the rights to the connected intangible property (including franchisors</w:t>
      </w:r>
      <w:r>
        <w:rPr>
          <w:spacing w:val="-12"/>
        </w:rPr>
        <w:t> </w:t>
      </w:r>
      <w:r>
        <w:rPr/>
        <w:t>and</w:t>
      </w:r>
      <w:r>
        <w:rPr>
          <w:spacing w:val="-14"/>
        </w:rPr>
        <w:t> </w:t>
      </w:r>
      <w:r>
        <w:rPr/>
        <w:t>licensors).</w:t>
      </w:r>
      <w:r>
        <w:rPr>
          <w:spacing w:val="-11"/>
        </w:rPr>
        <w:t> </w:t>
      </w:r>
      <w:r>
        <w:rPr/>
        <w:t>This</w:t>
      </w:r>
      <w:r>
        <w:rPr>
          <w:spacing w:val="-11"/>
        </w:rPr>
        <w:t> </w:t>
      </w:r>
      <w:r>
        <w:rPr/>
        <w:t>is</w:t>
      </w:r>
      <w:r>
        <w:rPr>
          <w:spacing w:val="-12"/>
        </w:rPr>
        <w:t> </w:t>
      </w:r>
      <w:r>
        <w:rPr/>
        <w:t>the</w:t>
      </w:r>
      <w:r>
        <w:rPr>
          <w:spacing w:val="-13"/>
        </w:rPr>
        <w:t> </w:t>
      </w:r>
      <w:r>
        <w:rPr/>
        <w:t>MNE</w:t>
      </w:r>
      <w:r>
        <w:rPr>
          <w:spacing w:val="-12"/>
        </w:rPr>
        <w:t> </w:t>
      </w:r>
      <w:r>
        <w:rPr/>
        <w:t>whose</w:t>
      </w:r>
      <w:r>
        <w:rPr>
          <w:spacing w:val="-14"/>
        </w:rPr>
        <w:t> </w:t>
      </w:r>
      <w:r>
        <w:rPr/>
        <w:t>“face”</w:t>
      </w:r>
      <w:r>
        <w:rPr>
          <w:spacing w:val="-12"/>
        </w:rPr>
        <w:t> </w:t>
      </w:r>
      <w:r>
        <w:rPr/>
        <w:t>is</w:t>
      </w:r>
      <w:r>
        <w:rPr>
          <w:spacing w:val="-12"/>
        </w:rPr>
        <w:t> </w:t>
      </w:r>
      <w:r>
        <w:rPr/>
        <w:t>apparent</w:t>
      </w:r>
      <w:r>
        <w:rPr>
          <w:spacing w:val="-12"/>
        </w:rPr>
        <w:t> </w:t>
      </w:r>
      <w:r>
        <w:rPr/>
        <w:t>to</w:t>
      </w:r>
      <w:r>
        <w:rPr>
          <w:spacing w:val="-13"/>
        </w:rPr>
        <w:t> </w:t>
      </w:r>
      <w:r>
        <w:rPr/>
        <w:t>the</w:t>
      </w:r>
      <w:r>
        <w:rPr>
          <w:spacing w:val="-14"/>
        </w:rPr>
        <w:t> </w:t>
      </w:r>
      <w:r>
        <w:rPr/>
        <w:t>consumer.</w:t>
      </w:r>
      <w:r>
        <w:rPr>
          <w:spacing w:val="-14"/>
        </w:rPr>
        <w:t> </w:t>
      </w:r>
      <w:r>
        <w:rPr/>
        <w:t>The</w:t>
      </w:r>
      <w:r>
        <w:rPr>
          <w:spacing w:val="-14"/>
        </w:rPr>
        <w:t> </w:t>
      </w:r>
      <w:r>
        <w:rPr/>
        <w:t>term</w:t>
      </w:r>
      <w:r>
        <w:rPr>
          <w:spacing w:val="-9"/>
        </w:rPr>
        <w:t> </w:t>
      </w:r>
      <w:r>
        <w:rPr/>
        <w:t>“owner” in this context does not refer to any party that at some point holds legal title to a consumer good, as there</w:t>
      </w:r>
      <w:r>
        <w:rPr>
          <w:spacing w:val="-4"/>
        </w:rPr>
        <w:t> </w:t>
      </w:r>
      <w:r>
        <w:rPr/>
        <w:t>may</w:t>
      </w:r>
      <w:r>
        <w:rPr>
          <w:spacing w:val="-9"/>
        </w:rPr>
        <w:t> </w:t>
      </w:r>
      <w:r>
        <w:rPr/>
        <w:t>be</w:t>
      </w:r>
      <w:r>
        <w:rPr>
          <w:spacing w:val="-4"/>
        </w:rPr>
        <w:t> </w:t>
      </w:r>
      <w:r>
        <w:rPr/>
        <w:t>several</w:t>
      </w:r>
      <w:r>
        <w:rPr>
          <w:spacing w:val="-4"/>
        </w:rPr>
        <w:t> </w:t>
      </w:r>
      <w:r>
        <w:rPr/>
        <w:t>legal</w:t>
      </w:r>
      <w:r>
        <w:rPr>
          <w:spacing w:val="-1"/>
        </w:rPr>
        <w:t> </w:t>
      </w:r>
      <w:r>
        <w:rPr/>
        <w:t>owners</w:t>
      </w:r>
      <w:r>
        <w:rPr>
          <w:spacing w:val="-2"/>
        </w:rPr>
        <w:t> </w:t>
      </w:r>
      <w:r>
        <w:rPr/>
        <w:t>in</w:t>
      </w:r>
      <w:r>
        <w:rPr>
          <w:spacing w:val="-4"/>
        </w:rPr>
        <w:t> </w:t>
      </w:r>
      <w:r>
        <w:rPr/>
        <w:t>the</w:t>
      </w:r>
      <w:r>
        <w:rPr>
          <w:spacing w:val="-6"/>
        </w:rPr>
        <w:t> </w:t>
      </w:r>
      <w:r>
        <w:rPr/>
        <w:t>supply</w:t>
      </w:r>
      <w:r>
        <w:rPr>
          <w:spacing w:val="-8"/>
        </w:rPr>
        <w:t> </w:t>
      </w:r>
      <w:r>
        <w:rPr/>
        <w:t>chain.</w:t>
      </w:r>
      <w:r>
        <w:rPr>
          <w:spacing w:val="-4"/>
        </w:rPr>
        <w:t> </w:t>
      </w:r>
      <w:r>
        <w:rPr/>
        <w:t>To</w:t>
      </w:r>
      <w:r>
        <w:rPr>
          <w:spacing w:val="-6"/>
        </w:rPr>
        <w:t> </w:t>
      </w:r>
      <w:r>
        <w:rPr/>
        <w:t>be</w:t>
      </w:r>
      <w:r>
        <w:rPr>
          <w:spacing w:val="-4"/>
        </w:rPr>
        <w:t> </w:t>
      </w:r>
      <w:r>
        <w:rPr/>
        <w:t>an</w:t>
      </w:r>
      <w:r>
        <w:rPr>
          <w:spacing w:val="-5"/>
        </w:rPr>
        <w:t> </w:t>
      </w:r>
      <w:r>
        <w:rPr/>
        <w:t>“owner”</w:t>
      </w:r>
      <w:r>
        <w:rPr>
          <w:spacing w:val="-2"/>
        </w:rPr>
        <w:t> </w:t>
      </w:r>
      <w:r>
        <w:rPr/>
        <w:t>in</w:t>
      </w:r>
      <w:r>
        <w:rPr>
          <w:spacing w:val="-4"/>
        </w:rPr>
        <w:t> </w:t>
      </w:r>
      <w:r>
        <w:rPr/>
        <w:t>this</w:t>
      </w:r>
      <w:r>
        <w:rPr>
          <w:spacing w:val="-4"/>
        </w:rPr>
        <w:t> </w:t>
      </w:r>
      <w:r>
        <w:rPr/>
        <w:t>context,</w:t>
      </w:r>
      <w:r>
        <w:rPr>
          <w:spacing w:val="-3"/>
        </w:rPr>
        <w:t> </w:t>
      </w:r>
      <w:r>
        <w:rPr/>
        <w:t>the</w:t>
      </w:r>
      <w:r>
        <w:rPr>
          <w:spacing w:val="-4"/>
        </w:rPr>
        <w:t> </w:t>
      </w:r>
      <w:r>
        <w:rPr/>
        <w:t>MNE</w:t>
      </w:r>
      <w:r>
        <w:rPr>
          <w:spacing w:val="-3"/>
        </w:rPr>
        <w:t> </w:t>
      </w:r>
      <w:r>
        <w:rPr/>
        <w:t>must own the product and the related</w:t>
      </w:r>
      <w:r>
        <w:rPr>
          <w:spacing w:val="-3"/>
        </w:rPr>
        <w:t> </w:t>
      </w:r>
      <w:r>
        <w:rPr/>
        <w:t>brands.</w:t>
      </w:r>
    </w:p>
    <w:p>
      <w:pPr>
        <w:pStyle w:val="BodyText"/>
        <w:spacing w:line="271" w:lineRule="auto" w:before="122"/>
        <w:ind w:left="860" w:right="620"/>
        <w:jc w:val="both"/>
      </w:pPr>
      <w:r>
        <w:rPr/>
        <w:t>In</w:t>
      </w:r>
      <w:r>
        <w:rPr>
          <w:spacing w:val="-17"/>
        </w:rPr>
        <w:t> </w:t>
      </w:r>
      <w:r>
        <w:rPr/>
        <w:t>addition,</w:t>
      </w:r>
      <w:r>
        <w:rPr>
          <w:spacing w:val="-14"/>
        </w:rPr>
        <w:t> </w:t>
      </w:r>
      <w:r>
        <w:rPr/>
        <w:t>the</w:t>
      </w:r>
      <w:r>
        <w:rPr>
          <w:spacing w:val="-14"/>
        </w:rPr>
        <w:t> </w:t>
      </w:r>
      <w:r>
        <w:rPr/>
        <w:t>“retailer”</w:t>
      </w:r>
      <w:r>
        <w:rPr>
          <w:spacing w:val="-15"/>
        </w:rPr>
        <w:t> </w:t>
      </w:r>
      <w:r>
        <w:rPr/>
        <w:t>or</w:t>
      </w:r>
      <w:r>
        <w:rPr>
          <w:spacing w:val="-13"/>
        </w:rPr>
        <w:t> </w:t>
      </w:r>
      <w:r>
        <w:rPr/>
        <w:t>other</w:t>
      </w:r>
      <w:r>
        <w:rPr>
          <w:spacing w:val="-16"/>
        </w:rPr>
        <w:t> </w:t>
      </w:r>
      <w:r>
        <w:rPr/>
        <w:t>contractual</w:t>
      </w:r>
      <w:r>
        <w:rPr>
          <w:spacing w:val="-15"/>
        </w:rPr>
        <w:t> </w:t>
      </w:r>
      <w:r>
        <w:rPr/>
        <w:t>counterparty</w:t>
      </w:r>
      <w:r>
        <w:rPr>
          <w:spacing w:val="-19"/>
        </w:rPr>
        <w:t> </w:t>
      </w:r>
      <w:r>
        <w:rPr/>
        <w:t>of</w:t>
      </w:r>
      <w:r>
        <w:rPr>
          <w:spacing w:val="-14"/>
        </w:rPr>
        <w:t> </w:t>
      </w:r>
      <w:r>
        <w:rPr/>
        <w:t>the</w:t>
      </w:r>
      <w:r>
        <w:rPr>
          <w:spacing w:val="-17"/>
        </w:rPr>
        <w:t> </w:t>
      </w:r>
      <w:r>
        <w:rPr/>
        <w:t>consumer</w:t>
      </w:r>
      <w:r>
        <w:rPr>
          <w:spacing w:val="-15"/>
        </w:rPr>
        <w:t> </w:t>
      </w:r>
      <w:r>
        <w:rPr/>
        <w:t>(if</w:t>
      </w:r>
      <w:r>
        <w:rPr>
          <w:spacing w:val="-14"/>
        </w:rPr>
        <w:t> </w:t>
      </w:r>
      <w:r>
        <w:rPr/>
        <w:t>separate</w:t>
      </w:r>
      <w:r>
        <w:rPr>
          <w:spacing w:val="-16"/>
        </w:rPr>
        <w:t> </w:t>
      </w:r>
      <w:r>
        <w:rPr>
          <w:spacing w:val="2"/>
        </w:rPr>
        <w:t>from</w:t>
      </w:r>
      <w:r>
        <w:rPr>
          <w:spacing w:val="-13"/>
        </w:rPr>
        <w:t> </w:t>
      </w:r>
      <w:r>
        <w:rPr/>
        <w:t>the</w:t>
      </w:r>
      <w:r>
        <w:rPr>
          <w:spacing w:val="-17"/>
        </w:rPr>
        <w:t> </w:t>
      </w:r>
      <w:r>
        <w:rPr/>
        <w:t>“owner”) would also be in scope, as they have a direct relationship to the consumer. In other words, they are perhaps</w:t>
      </w:r>
      <w:r>
        <w:rPr>
          <w:spacing w:val="-18"/>
        </w:rPr>
        <w:t> </w:t>
      </w:r>
      <w:r>
        <w:rPr/>
        <w:t>the</w:t>
      </w:r>
      <w:r>
        <w:rPr>
          <w:spacing w:val="-18"/>
        </w:rPr>
        <w:t> </w:t>
      </w:r>
      <w:r>
        <w:rPr/>
        <w:t>most</w:t>
      </w:r>
      <w:r>
        <w:rPr>
          <w:spacing w:val="-18"/>
        </w:rPr>
        <w:t> </w:t>
      </w:r>
      <w:r>
        <w:rPr/>
        <w:t>obvious</w:t>
      </w:r>
      <w:r>
        <w:rPr>
          <w:spacing w:val="-16"/>
        </w:rPr>
        <w:t> </w:t>
      </w:r>
      <w:r>
        <w:rPr/>
        <w:t>case</w:t>
      </w:r>
      <w:r>
        <w:rPr>
          <w:spacing w:val="-19"/>
        </w:rPr>
        <w:t> </w:t>
      </w:r>
      <w:r>
        <w:rPr/>
        <w:t>of</w:t>
      </w:r>
      <w:r>
        <w:rPr>
          <w:spacing w:val="-16"/>
        </w:rPr>
        <w:t> </w:t>
      </w:r>
      <w:r>
        <w:rPr/>
        <w:t>a</w:t>
      </w:r>
      <w:r>
        <w:rPr>
          <w:spacing w:val="-16"/>
        </w:rPr>
        <w:t> </w:t>
      </w:r>
      <w:r>
        <w:rPr/>
        <w:t>“consumer-facing”</w:t>
      </w:r>
      <w:r>
        <w:rPr>
          <w:spacing w:val="-17"/>
        </w:rPr>
        <w:t> </w:t>
      </w:r>
      <w:r>
        <w:rPr/>
        <w:t>business.</w:t>
      </w:r>
      <w:r>
        <w:rPr>
          <w:spacing w:val="-18"/>
        </w:rPr>
        <w:t> </w:t>
      </w:r>
      <w:r>
        <w:rPr/>
        <w:t>The</w:t>
      </w:r>
      <w:r>
        <w:rPr>
          <w:spacing w:val="-18"/>
        </w:rPr>
        <w:t> </w:t>
      </w:r>
      <w:r>
        <w:rPr/>
        <w:t>profit</w:t>
      </w:r>
      <w:r>
        <w:rPr>
          <w:spacing w:val="-16"/>
        </w:rPr>
        <w:t> </w:t>
      </w:r>
      <w:r>
        <w:rPr/>
        <w:t>of</w:t>
      </w:r>
      <w:r>
        <w:rPr>
          <w:spacing w:val="-17"/>
        </w:rPr>
        <w:t> </w:t>
      </w:r>
      <w:r>
        <w:rPr/>
        <w:t>the</w:t>
      </w:r>
      <w:r>
        <w:rPr>
          <w:spacing w:val="-18"/>
        </w:rPr>
        <w:t> </w:t>
      </w:r>
      <w:r>
        <w:rPr/>
        <w:t>retailer</w:t>
      </w:r>
      <w:r>
        <w:rPr>
          <w:spacing w:val="-13"/>
        </w:rPr>
        <w:t> </w:t>
      </w:r>
      <w:r>
        <w:rPr/>
        <w:t>will</w:t>
      </w:r>
      <w:r>
        <w:rPr>
          <w:spacing w:val="-16"/>
        </w:rPr>
        <w:t> </w:t>
      </w:r>
      <w:r>
        <w:rPr/>
        <w:t>be</w:t>
      </w:r>
      <w:r>
        <w:rPr>
          <w:spacing w:val="-16"/>
        </w:rPr>
        <w:t> </w:t>
      </w:r>
      <w:r>
        <w:rPr/>
        <w:t>different from that captured for the “owner,” thus there is no duplication caused by the inclusion of two different MNEs in the value chain. This category may also include franchisees and licensees that sell the consumer product directly, as described further</w:t>
      </w:r>
      <w:r>
        <w:rPr>
          <w:spacing w:val="-6"/>
        </w:rPr>
        <w:t> </w:t>
      </w:r>
      <w:r>
        <w:rPr/>
        <w:t>below.</w:t>
      </w:r>
    </w:p>
    <w:p>
      <w:pPr>
        <w:pStyle w:val="BodyText"/>
        <w:spacing w:line="273" w:lineRule="auto" w:before="120"/>
        <w:ind w:left="860" w:right="618"/>
        <w:jc w:val="both"/>
      </w:pPr>
      <w:r>
        <w:rPr/>
        <w:t>Other third party MNEs, such as manufacturers, wholesalers and distributors, which have no relationship with the customer – whether contractual or otherwise – and are therefore not in scope.</w:t>
      </w:r>
    </w:p>
    <w:p>
      <w:pPr>
        <w:spacing w:after="0" w:line="273" w:lineRule="auto"/>
        <w:jc w:val="both"/>
        <w:sectPr>
          <w:pgSz w:w="11910" w:h="16840"/>
          <w:pgMar w:header="1244" w:footer="1638" w:top="1500" w:bottom="1820" w:left="580" w:right="820"/>
        </w:sectPr>
      </w:pPr>
    </w:p>
    <w:p>
      <w:pPr>
        <w:pStyle w:val="BodyText"/>
        <w:rPr>
          <w:sz w:val="26"/>
        </w:rPr>
      </w:pPr>
    </w:p>
    <w:p>
      <w:pPr>
        <w:pStyle w:val="BodyText"/>
        <w:ind w:left="713"/>
      </w:pPr>
      <w:r>
        <w:rPr/>
        <w:pict>
          <v:shape style="width:465.6pt;height:123.6pt;mso-position-horizontal-relative:char;mso-position-vertical-relative:line" type="#_x0000_t202" filled="true" fillcolor="#eeece1" stroked="true" strokeweight=".48004pt" strokecolor="#4e81bd">
            <w10:anchorlock/>
            <v:textbox inset="0,0,0,0">
              <w:txbxContent>
                <w:p>
                  <w:pPr>
                    <w:pStyle w:val="BodyText"/>
                    <w:spacing w:line="271" w:lineRule="auto" w:before="28"/>
                    <w:ind w:left="136" w:right="139"/>
                    <w:jc w:val="both"/>
                  </w:pPr>
                  <w:r>
                    <w:rPr/>
                    <w:t>While</w:t>
                  </w:r>
                  <w:r>
                    <w:rPr>
                      <w:spacing w:val="-8"/>
                    </w:rPr>
                    <w:t> </w:t>
                  </w:r>
                  <w:r>
                    <w:rPr/>
                    <w:t>revenue</w:t>
                  </w:r>
                  <w:r>
                    <w:rPr>
                      <w:spacing w:val="-7"/>
                    </w:rPr>
                    <w:t> </w:t>
                  </w:r>
                  <w:r>
                    <w:rPr/>
                    <w:t>and</w:t>
                  </w:r>
                  <w:r>
                    <w:rPr>
                      <w:spacing w:val="-7"/>
                    </w:rPr>
                    <w:t> </w:t>
                  </w:r>
                  <w:r>
                    <w:rPr/>
                    <w:t>profitability</w:t>
                  </w:r>
                  <w:r>
                    <w:rPr>
                      <w:spacing w:val="-7"/>
                    </w:rPr>
                    <w:t> </w:t>
                  </w:r>
                  <w:r>
                    <w:rPr/>
                    <w:t>thresholds</w:t>
                  </w:r>
                  <w:r>
                    <w:rPr>
                      <w:spacing w:val="-6"/>
                    </w:rPr>
                    <w:t> </w:t>
                  </w:r>
                  <w:r>
                    <w:rPr/>
                    <w:t>may</w:t>
                  </w:r>
                  <w:r>
                    <w:rPr>
                      <w:spacing w:val="-10"/>
                    </w:rPr>
                    <w:t> </w:t>
                  </w:r>
                  <w:r>
                    <w:rPr/>
                    <w:t>in</w:t>
                  </w:r>
                  <w:r>
                    <w:rPr>
                      <w:spacing w:val="-7"/>
                    </w:rPr>
                    <w:t> </w:t>
                  </w:r>
                  <w:r>
                    <w:rPr/>
                    <w:t>any</w:t>
                  </w:r>
                  <w:r>
                    <w:rPr>
                      <w:spacing w:val="-10"/>
                    </w:rPr>
                    <w:t> </w:t>
                  </w:r>
                  <w:r>
                    <w:rPr/>
                    <w:t>event</w:t>
                  </w:r>
                  <w:r>
                    <w:rPr>
                      <w:spacing w:val="-6"/>
                    </w:rPr>
                    <w:t> </w:t>
                  </w:r>
                  <w:r>
                    <w:rPr/>
                    <w:t>exclude</w:t>
                  </w:r>
                  <w:r>
                    <w:rPr>
                      <w:spacing w:val="-7"/>
                    </w:rPr>
                    <w:t> </w:t>
                  </w:r>
                  <w:r>
                    <w:rPr/>
                    <w:t>those</w:t>
                  </w:r>
                  <w:r>
                    <w:rPr>
                      <w:spacing w:val="-8"/>
                    </w:rPr>
                    <w:t> </w:t>
                  </w:r>
                  <w:r>
                    <w:rPr/>
                    <w:t>types</w:t>
                  </w:r>
                  <w:r>
                    <w:rPr>
                      <w:spacing w:val="-5"/>
                    </w:rPr>
                    <w:t> </w:t>
                  </w:r>
                  <w:r>
                    <w:rPr/>
                    <w:t>of</w:t>
                  </w:r>
                  <w:r>
                    <w:rPr>
                      <w:spacing w:val="-5"/>
                    </w:rPr>
                    <w:t> </w:t>
                  </w:r>
                  <w:r>
                    <w:rPr/>
                    <w:t>intermediaries,</w:t>
                  </w:r>
                  <w:r>
                    <w:rPr>
                      <w:spacing w:val="-6"/>
                    </w:rPr>
                    <w:t> </w:t>
                  </w:r>
                  <w:r>
                    <w:rPr/>
                    <w:t>they are</w:t>
                  </w:r>
                  <w:r>
                    <w:rPr>
                      <w:spacing w:val="-4"/>
                    </w:rPr>
                    <w:t> </w:t>
                  </w:r>
                  <w:r>
                    <w:rPr/>
                    <w:t>already</w:t>
                  </w:r>
                  <w:r>
                    <w:rPr>
                      <w:spacing w:val="-7"/>
                    </w:rPr>
                    <w:t> </w:t>
                  </w:r>
                  <w:r>
                    <w:rPr/>
                    <w:t>excluded</w:t>
                  </w:r>
                  <w:r>
                    <w:rPr>
                      <w:spacing w:val="-3"/>
                    </w:rPr>
                    <w:t> </w:t>
                  </w:r>
                  <w:r>
                    <w:rPr/>
                    <w:t>as</w:t>
                  </w:r>
                  <w:r>
                    <w:rPr>
                      <w:spacing w:val="-3"/>
                    </w:rPr>
                    <w:t> </w:t>
                  </w:r>
                  <w:r>
                    <w:rPr/>
                    <w:t>they</w:t>
                  </w:r>
                  <w:r>
                    <w:rPr>
                      <w:spacing w:val="-7"/>
                    </w:rPr>
                    <w:t> </w:t>
                  </w:r>
                  <w:r>
                    <w:rPr/>
                    <w:t>do</w:t>
                  </w:r>
                  <w:r>
                    <w:rPr>
                      <w:spacing w:val="-3"/>
                    </w:rPr>
                    <w:t> </w:t>
                  </w:r>
                  <w:r>
                    <w:rPr/>
                    <w:t>not</w:t>
                  </w:r>
                  <w:r>
                    <w:rPr>
                      <w:spacing w:val="-5"/>
                    </w:rPr>
                    <w:t> </w:t>
                  </w:r>
                  <w:r>
                    <w:rPr/>
                    <w:t>have</w:t>
                  </w:r>
                  <w:r>
                    <w:rPr>
                      <w:spacing w:val="-3"/>
                    </w:rPr>
                    <w:t> </w:t>
                  </w:r>
                  <w:r>
                    <w:rPr/>
                    <w:t>an</w:t>
                  </w:r>
                  <w:r>
                    <w:rPr>
                      <w:spacing w:val="-2"/>
                    </w:rPr>
                    <w:t> </w:t>
                  </w:r>
                  <w:r>
                    <w:rPr/>
                    <w:t>active</w:t>
                  </w:r>
                  <w:r>
                    <w:rPr>
                      <w:spacing w:val="-2"/>
                    </w:rPr>
                    <w:t> </w:t>
                  </w:r>
                  <w:r>
                    <w:rPr/>
                    <w:t>and</w:t>
                  </w:r>
                  <w:r>
                    <w:rPr>
                      <w:spacing w:val="-4"/>
                    </w:rPr>
                    <w:t> </w:t>
                  </w:r>
                  <w:r>
                    <w:rPr/>
                    <w:t>sustained</w:t>
                  </w:r>
                  <w:r>
                    <w:rPr>
                      <w:spacing w:val="4"/>
                    </w:rPr>
                    <w:t> </w:t>
                  </w:r>
                  <w:r>
                    <w:rPr/>
                    <w:t>engagement</w:t>
                  </w:r>
                  <w:r>
                    <w:rPr>
                      <w:spacing w:val="-3"/>
                    </w:rPr>
                    <w:t> </w:t>
                  </w:r>
                  <w:r>
                    <w:rPr/>
                    <w:t>in</w:t>
                  </w:r>
                  <w:r>
                    <w:rPr>
                      <w:spacing w:val="-2"/>
                    </w:rPr>
                    <w:t> </w:t>
                  </w:r>
                  <w:r>
                    <w:rPr/>
                    <w:t>a</w:t>
                  </w:r>
                  <w:r>
                    <w:rPr>
                      <w:spacing w:val="-5"/>
                    </w:rPr>
                    <w:t> </w:t>
                  </w:r>
                  <w:r>
                    <w:rPr/>
                    <w:t>market</w:t>
                  </w:r>
                  <w:r>
                    <w:rPr>
                      <w:spacing w:val="-4"/>
                    </w:rPr>
                    <w:t> </w:t>
                  </w:r>
                  <w:r>
                    <w:rPr/>
                    <w:t>jurisdiction (beyond the mere conclusion of sales) without necessarily investing in local infrastructure and operations.</w:t>
                  </w:r>
                </w:p>
                <w:p>
                  <w:pPr>
                    <w:pStyle w:val="BodyText"/>
                    <w:spacing w:line="271" w:lineRule="auto" w:before="120"/>
                    <w:ind w:left="136" w:right="139"/>
                    <w:jc w:val="both"/>
                  </w:pPr>
                  <w:r>
                    <w:rPr/>
                    <w:t>An MNE that meets the definition may, however, be (in whole or part) out-of-scope as provided in the specific exclusions, as set out further below. These exclusions are based on policy factors, such as where for specific reasons associated with a sector the residual profits are already captured in the market.</w:t>
                  </w:r>
                </w:p>
              </w:txbxContent>
            </v:textbox>
            <v:fill type="solid"/>
            <v:stroke dashstyle="solid"/>
          </v:shape>
        </w:pict>
      </w:r>
      <w:r>
        <w:rPr/>
      </w:r>
    </w:p>
    <w:p>
      <w:pPr>
        <w:pStyle w:val="ListParagraph"/>
        <w:numPr>
          <w:ilvl w:val="0"/>
          <w:numId w:val="4"/>
        </w:numPr>
        <w:tabs>
          <w:tab w:pos="1444" w:val="left" w:leader="none"/>
        </w:tabs>
        <w:spacing w:line="271" w:lineRule="auto" w:before="115" w:after="0"/>
        <w:ind w:left="723" w:right="482" w:firstLine="0"/>
        <w:jc w:val="both"/>
        <w:rPr>
          <w:sz w:val="20"/>
        </w:rPr>
      </w:pPr>
      <w:r>
        <w:rPr>
          <w:sz w:val="20"/>
        </w:rPr>
        <w:t>The</w:t>
      </w:r>
      <w:r>
        <w:rPr>
          <w:spacing w:val="-13"/>
          <w:sz w:val="20"/>
        </w:rPr>
        <w:t> </w:t>
      </w:r>
      <w:r>
        <w:rPr>
          <w:sz w:val="20"/>
        </w:rPr>
        <w:t>test</w:t>
      </w:r>
      <w:r>
        <w:rPr>
          <w:spacing w:val="-13"/>
          <w:sz w:val="20"/>
        </w:rPr>
        <w:t> </w:t>
      </w:r>
      <w:r>
        <w:rPr>
          <w:sz w:val="20"/>
        </w:rPr>
        <w:t>must</w:t>
      </w:r>
      <w:r>
        <w:rPr>
          <w:spacing w:val="-12"/>
          <w:sz w:val="20"/>
        </w:rPr>
        <w:t> </w:t>
      </w:r>
      <w:r>
        <w:rPr>
          <w:sz w:val="20"/>
        </w:rPr>
        <w:t>be</w:t>
      </w:r>
      <w:r>
        <w:rPr>
          <w:spacing w:val="-13"/>
          <w:sz w:val="20"/>
        </w:rPr>
        <w:t> </w:t>
      </w:r>
      <w:r>
        <w:rPr>
          <w:sz w:val="20"/>
        </w:rPr>
        <w:t>applied</w:t>
      </w:r>
      <w:r>
        <w:rPr>
          <w:spacing w:val="-13"/>
          <w:sz w:val="20"/>
        </w:rPr>
        <w:t> </w:t>
      </w:r>
      <w:r>
        <w:rPr>
          <w:sz w:val="20"/>
        </w:rPr>
        <w:t>by</w:t>
      </w:r>
      <w:r>
        <w:rPr>
          <w:spacing w:val="-13"/>
          <w:sz w:val="20"/>
        </w:rPr>
        <w:t> </w:t>
      </w:r>
      <w:r>
        <w:rPr>
          <w:sz w:val="20"/>
        </w:rPr>
        <w:t>the</w:t>
      </w:r>
      <w:r>
        <w:rPr>
          <w:spacing w:val="-11"/>
          <w:sz w:val="20"/>
        </w:rPr>
        <w:t> </w:t>
      </w:r>
      <w:r>
        <w:rPr>
          <w:sz w:val="20"/>
        </w:rPr>
        <w:t>MNE.</w:t>
      </w:r>
      <w:r>
        <w:rPr>
          <w:spacing w:val="-13"/>
          <w:sz w:val="20"/>
        </w:rPr>
        <w:t> </w:t>
      </w:r>
      <w:r>
        <w:rPr>
          <w:sz w:val="20"/>
        </w:rPr>
        <w:t>The</w:t>
      </w:r>
      <w:r>
        <w:rPr>
          <w:spacing w:val="-10"/>
          <w:sz w:val="20"/>
        </w:rPr>
        <w:t> </w:t>
      </w:r>
      <w:r>
        <w:rPr>
          <w:sz w:val="20"/>
        </w:rPr>
        <w:t>test</w:t>
      </w:r>
      <w:r>
        <w:rPr>
          <w:spacing w:val="-10"/>
          <w:sz w:val="20"/>
        </w:rPr>
        <w:t> </w:t>
      </w:r>
      <w:r>
        <w:rPr>
          <w:sz w:val="20"/>
        </w:rPr>
        <w:t>is</w:t>
      </w:r>
      <w:r>
        <w:rPr>
          <w:spacing w:val="-11"/>
          <w:sz w:val="20"/>
        </w:rPr>
        <w:t> </w:t>
      </w:r>
      <w:r>
        <w:rPr>
          <w:sz w:val="20"/>
        </w:rPr>
        <w:t>to</w:t>
      </w:r>
      <w:r>
        <w:rPr>
          <w:spacing w:val="-10"/>
          <w:sz w:val="20"/>
        </w:rPr>
        <w:t> </w:t>
      </w:r>
      <w:r>
        <w:rPr>
          <w:sz w:val="20"/>
        </w:rPr>
        <w:t>be</w:t>
      </w:r>
      <w:r>
        <w:rPr>
          <w:spacing w:val="-9"/>
          <w:sz w:val="20"/>
        </w:rPr>
        <w:t> </w:t>
      </w:r>
      <w:r>
        <w:rPr>
          <w:sz w:val="20"/>
        </w:rPr>
        <w:t>applied</w:t>
      </w:r>
      <w:r>
        <w:rPr>
          <w:spacing w:val="-11"/>
          <w:sz w:val="20"/>
        </w:rPr>
        <w:t> </w:t>
      </w:r>
      <w:r>
        <w:rPr>
          <w:sz w:val="20"/>
        </w:rPr>
        <w:t>with</w:t>
      </w:r>
      <w:r>
        <w:rPr>
          <w:spacing w:val="-11"/>
          <w:sz w:val="20"/>
        </w:rPr>
        <w:t> </w:t>
      </w:r>
      <w:r>
        <w:rPr>
          <w:sz w:val="20"/>
        </w:rPr>
        <w:t>respect</w:t>
      </w:r>
      <w:r>
        <w:rPr>
          <w:spacing w:val="-9"/>
          <w:sz w:val="20"/>
        </w:rPr>
        <w:t> </w:t>
      </w:r>
      <w:r>
        <w:rPr>
          <w:sz w:val="20"/>
        </w:rPr>
        <w:t>to</w:t>
      </w:r>
      <w:r>
        <w:rPr>
          <w:spacing w:val="-11"/>
          <w:sz w:val="20"/>
        </w:rPr>
        <w:t> </w:t>
      </w:r>
      <w:r>
        <w:rPr>
          <w:sz w:val="20"/>
        </w:rPr>
        <w:t>the</w:t>
      </w:r>
      <w:r>
        <w:rPr>
          <w:spacing w:val="-11"/>
          <w:sz w:val="20"/>
        </w:rPr>
        <w:t> </w:t>
      </w:r>
      <w:r>
        <w:rPr>
          <w:sz w:val="20"/>
        </w:rPr>
        <w:t>intended</w:t>
      </w:r>
      <w:r>
        <w:rPr>
          <w:spacing w:val="-10"/>
          <w:sz w:val="20"/>
        </w:rPr>
        <w:t> </w:t>
      </w:r>
      <w:r>
        <w:rPr>
          <w:sz w:val="20"/>
        </w:rPr>
        <w:t>market. For example, where the MNE makes sales to a market that has unique tastes, preferences, regulatory or cultural requirements, and the product or service is not available in many other markets, it can still be a consumer-facing</w:t>
      </w:r>
      <w:r>
        <w:rPr>
          <w:spacing w:val="-3"/>
          <w:sz w:val="20"/>
        </w:rPr>
        <w:t> </w:t>
      </w:r>
      <w:r>
        <w:rPr>
          <w:sz w:val="20"/>
        </w:rPr>
        <w:t>product.</w:t>
      </w:r>
    </w:p>
    <w:p>
      <w:pPr>
        <w:pStyle w:val="ListParagraph"/>
        <w:numPr>
          <w:ilvl w:val="0"/>
          <w:numId w:val="4"/>
        </w:numPr>
        <w:tabs>
          <w:tab w:pos="1444" w:val="left" w:leader="none"/>
        </w:tabs>
        <w:spacing w:line="273" w:lineRule="auto" w:before="120" w:after="0"/>
        <w:ind w:left="723" w:right="489" w:firstLine="0"/>
        <w:jc w:val="both"/>
        <w:rPr>
          <w:sz w:val="20"/>
        </w:rPr>
      </w:pPr>
      <w:r>
        <w:rPr>
          <w:sz w:val="20"/>
        </w:rPr>
        <w:t>For borderline cases, the early tax certainty process will be available to provide clarification and ensure consistent treatment across the Inclusive</w:t>
      </w:r>
      <w:r>
        <w:rPr>
          <w:spacing w:val="-5"/>
          <w:sz w:val="20"/>
        </w:rPr>
        <w:t> </w:t>
      </w:r>
      <w:r>
        <w:rPr>
          <w:sz w:val="20"/>
        </w:rPr>
        <w:t>Framework.</w:t>
      </w:r>
    </w:p>
    <w:p>
      <w:pPr>
        <w:pStyle w:val="ListParagraph"/>
        <w:numPr>
          <w:ilvl w:val="0"/>
          <w:numId w:val="4"/>
        </w:numPr>
        <w:tabs>
          <w:tab w:pos="1444" w:val="left" w:leader="none"/>
        </w:tabs>
        <w:spacing w:line="271" w:lineRule="auto" w:before="116" w:after="0"/>
        <w:ind w:left="723" w:right="485" w:firstLine="0"/>
        <w:jc w:val="both"/>
        <w:rPr>
          <w:sz w:val="20"/>
        </w:rPr>
      </w:pPr>
      <w:r>
        <w:rPr>
          <w:sz w:val="20"/>
        </w:rPr>
        <w:t>The following sections discuss the application of the definition to the following particular sectors and business models: pharmaceuticals, franchising, licensing, dual use goods / services, and dual use intermediate products and</w:t>
      </w:r>
      <w:r>
        <w:rPr>
          <w:spacing w:val="-1"/>
          <w:sz w:val="20"/>
        </w:rPr>
        <w:t> </w:t>
      </w:r>
      <w:r>
        <w:rPr>
          <w:sz w:val="20"/>
        </w:rPr>
        <w:t>components.</w:t>
      </w:r>
    </w:p>
    <w:p>
      <w:pPr>
        <w:pStyle w:val="BodyText"/>
        <w:spacing w:before="1"/>
      </w:pPr>
    </w:p>
    <w:p>
      <w:pPr>
        <w:pStyle w:val="Heading7"/>
        <w:rPr>
          <w:i/>
        </w:rPr>
      </w:pPr>
      <w:bookmarkStart w:name="Pharmaceuticals" w:id="47"/>
      <w:bookmarkEnd w:id="47"/>
      <w:r>
        <w:rPr>
          <w:i w:val="0"/>
        </w:rPr>
      </w:r>
      <w:r>
        <w:rPr>
          <w:i/>
          <w:color w:val="616161"/>
        </w:rPr>
        <w:t>Pharmaceuticals</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Broadly speaking, the pharmaceutical industry sells medications and medical devices.</w:t>
      </w:r>
      <w:r>
        <w:rPr>
          <w:position w:val="6"/>
          <w:sz w:val="13"/>
        </w:rPr>
        <w:t>19 </w:t>
      </w:r>
      <w:r>
        <w:rPr>
          <w:sz w:val="20"/>
        </w:rPr>
        <w:t>To the extent that medical devices are products of a type commonly sold to consumers, these will be in scope. This remainder of this section discusses pharmaceuticals (i.e.</w:t>
      </w:r>
      <w:r>
        <w:rPr>
          <w:spacing w:val="-6"/>
          <w:sz w:val="20"/>
        </w:rPr>
        <w:t> </w:t>
      </w:r>
      <w:r>
        <w:rPr>
          <w:sz w:val="20"/>
        </w:rPr>
        <w:t>drugs).</w:t>
      </w:r>
    </w:p>
    <w:p>
      <w:pPr>
        <w:pStyle w:val="ListParagraph"/>
        <w:numPr>
          <w:ilvl w:val="0"/>
          <w:numId w:val="4"/>
        </w:numPr>
        <w:tabs>
          <w:tab w:pos="1444" w:val="left" w:leader="none"/>
        </w:tabs>
        <w:spacing w:line="271" w:lineRule="auto" w:before="121" w:after="0"/>
        <w:ind w:left="723" w:right="484" w:firstLine="0"/>
        <w:jc w:val="both"/>
        <w:rPr>
          <w:sz w:val="20"/>
        </w:rPr>
      </w:pPr>
      <w:r>
        <w:rPr>
          <w:sz w:val="20"/>
        </w:rPr>
        <w:t>In</w:t>
      </w:r>
      <w:r>
        <w:rPr>
          <w:spacing w:val="-5"/>
          <w:sz w:val="20"/>
        </w:rPr>
        <w:t> </w:t>
      </w:r>
      <w:r>
        <w:rPr>
          <w:sz w:val="20"/>
        </w:rPr>
        <w:t>some</w:t>
      </w:r>
      <w:r>
        <w:rPr>
          <w:spacing w:val="-5"/>
          <w:sz w:val="20"/>
        </w:rPr>
        <w:t> </w:t>
      </w:r>
      <w:r>
        <w:rPr>
          <w:sz w:val="20"/>
        </w:rPr>
        <w:t>jurisdictions,</w:t>
      </w:r>
      <w:r>
        <w:rPr>
          <w:spacing w:val="-5"/>
          <w:sz w:val="20"/>
        </w:rPr>
        <w:t> </w:t>
      </w:r>
      <w:r>
        <w:rPr>
          <w:sz w:val="20"/>
        </w:rPr>
        <w:t>funding</w:t>
      </w:r>
      <w:r>
        <w:rPr>
          <w:spacing w:val="-6"/>
          <w:sz w:val="20"/>
        </w:rPr>
        <w:t> </w:t>
      </w:r>
      <w:r>
        <w:rPr>
          <w:sz w:val="20"/>
        </w:rPr>
        <w:t>from governments</w:t>
      </w:r>
      <w:r>
        <w:rPr>
          <w:spacing w:val="-3"/>
          <w:sz w:val="20"/>
        </w:rPr>
        <w:t> </w:t>
      </w:r>
      <w:r>
        <w:rPr>
          <w:sz w:val="20"/>
        </w:rPr>
        <w:t>and</w:t>
      </w:r>
      <w:r>
        <w:rPr>
          <w:spacing w:val="-5"/>
          <w:sz w:val="20"/>
        </w:rPr>
        <w:t> </w:t>
      </w:r>
      <w:r>
        <w:rPr>
          <w:sz w:val="20"/>
        </w:rPr>
        <w:t>compulsory</w:t>
      </w:r>
      <w:r>
        <w:rPr>
          <w:spacing w:val="-9"/>
          <w:sz w:val="20"/>
        </w:rPr>
        <w:t> </w:t>
      </w:r>
      <w:r>
        <w:rPr>
          <w:sz w:val="20"/>
        </w:rPr>
        <w:t>insurance</w:t>
      </w:r>
      <w:r>
        <w:rPr>
          <w:spacing w:val="-5"/>
          <w:sz w:val="20"/>
        </w:rPr>
        <w:t> </w:t>
      </w:r>
      <w:r>
        <w:rPr>
          <w:sz w:val="20"/>
        </w:rPr>
        <w:t>schemes</w:t>
      </w:r>
      <w:r>
        <w:rPr>
          <w:spacing w:val="-3"/>
          <w:sz w:val="20"/>
        </w:rPr>
        <w:t> </w:t>
      </w:r>
      <w:r>
        <w:rPr>
          <w:sz w:val="20"/>
        </w:rPr>
        <w:t>play</w:t>
      </w:r>
      <w:r>
        <w:rPr>
          <w:spacing w:val="-6"/>
          <w:sz w:val="20"/>
        </w:rPr>
        <w:t> </w:t>
      </w:r>
      <w:r>
        <w:rPr>
          <w:sz w:val="20"/>
        </w:rPr>
        <w:t>a</w:t>
      </w:r>
      <w:r>
        <w:rPr>
          <w:spacing w:val="-5"/>
          <w:sz w:val="20"/>
        </w:rPr>
        <w:t> </w:t>
      </w:r>
      <w:r>
        <w:rPr>
          <w:sz w:val="20"/>
        </w:rPr>
        <w:t>large role in purchasing pharmaceuticals, particularly for those medicines dispensed in hospitals and those available</w:t>
      </w:r>
      <w:r>
        <w:rPr>
          <w:spacing w:val="-13"/>
          <w:sz w:val="20"/>
        </w:rPr>
        <w:t> </w:t>
      </w:r>
      <w:r>
        <w:rPr>
          <w:sz w:val="20"/>
        </w:rPr>
        <w:t>by</w:t>
      </w:r>
      <w:r>
        <w:rPr>
          <w:spacing w:val="-16"/>
          <w:sz w:val="20"/>
        </w:rPr>
        <w:t> </w:t>
      </w:r>
      <w:r>
        <w:rPr>
          <w:sz w:val="20"/>
        </w:rPr>
        <w:t>prescription</w:t>
      </w:r>
      <w:r>
        <w:rPr>
          <w:spacing w:val="-13"/>
          <w:sz w:val="20"/>
        </w:rPr>
        <w:t> </w:t>
      </w:r>
      <w:r>
        <w:rPr>
          <w:sz w:val="20"/>
        </w:rPr>
        <w:t>only.</w:t>
      </w:r>
      <w:r>
        <w:rPr>
          <w:spacing w:val="-11"/>
          <w:sz w:val="20"/>
        </w:rPr>
        <w:t> </w:t>
      </w:r>
      <w:r>
        <w:rPr>
          <w:sz w:val="20"/>
        </w:rPr>
        <w:t>For</w:t>
      </w:r>
      <w:r>
        <w:rPr>
          <w:spacing w:val="-12"/>
          <w:sz w:val="20"/>
        </w:rPr>
        <w:t> </w:t>
      </w:r>
      <w:r>
        <w:rPr>
          <w:sz w:val="20"/>
        </w:rPr>
        <w:t>example,</w:t>
      </w:r>
      <w:r>
        <w:rPr>
          <w:spacing w:val="-15"/>
          <w:sz w:val="20"/>
        </w:rPr>
        <w:t> </w:t>
      </w:r>
      <w:r>
        <w:rPr>
          <w:sz w:val="20"/>
        </w:rPr>
        <w:t>on</w:t>
      </w:r>
      <w:r>
        <w:rPr>
          <w:spacing w:val="-13"/>
          <w:sz w:val="20"/>
        </w:rPr>
        <w:t> </w:t>
      </w:r>
      <w:r>
        <w:rPr>
          <w:sz w:val="20"/>
        </w:rPr>
        <w:t>average,</w:t>
      </w:r>
      <w:r>
        <w:rPr>
          <w:spacing w:val="-11"/>
          <w:sz w:val="20"/>
        </w:rPr>
        <w:t> </w:t>
      </w:r>
      <w:r>
        <w:rPr>
          <w:sz w:val="20"/>
        </w:rPr>
        <w:t>these</w:t>
      </w:r>
      <w:r>
        <w:rPr>
          <w:spacing w:val="-15"/>
          <w:sz w:val="20"/>
        </w:rPr>
        <w:t> </w:t>
      </w:r>
      <w:r>
        <w:rPr>
          <w:sz w:val="20"/>
        </w:rPr>
        <w:t>schemes</w:t>
      </w:r>
      <w:r>
        <w:rPr>
          <w:spacing w:val="-14"/>
          <w:sz w:val="20"/>
        </w:rPr>
        <w:t> </w:t>
      </w:r>
      <w:r>
        <w:rPr>
          <w:sz w:val="20"/>
        </w:rPr>
        <w:t>covered</w:t>
      </w:r>
      <w:r>
        <w:rPr>
          <w:spacing w:val="-14"/>
          <w:sz w:val="20"/>
        </w:rPr>
        <w:t> </w:t>
      </w:r>
      <w:r>
        <w:rPr>
          <w:sz w:val="20"/>
        </w:rPr>
        <w:t>58%</w:t>
      </w:r>
      <w:r>
        <w:rPr>
          <w:spacing w:val="-14"/>
          <w:sz w:val="20"/>
        </w:rPr>
        <w:t> </w:t>
      </w:r>
      <w:r>
        <w:rPr>
          <w:sz w:val="20"/>
        </w:rPr>
        <w:t>of</w:t>
      </w:r>
      <w:r>
        <w:rPr>
          <w:spacing w:val="-13"/>
          <w:sz w:val="20"/>
        </w:rPr>
        <w:t> </w:t>
      </w:r>
      <w:r>
        <w:rPr>
          <w:sz w:val="20"/>
        </w:rPr>
        <w:t>spending</w:t>
      </w:r>
      <w:r>
        <w:rPr>
          <w:spacing w:val="-13"/>
          <w:sz w:val="20"/>
        </w:rPr>
        <w:t> </w:t>
      </w:r>
      <w:r>
        <w:rPr>
          <w:sz w:val="20"/>
        </w:rPr>
        <w:t>on</w:t>
      </w:r>
      <w:r>
        <w:rPr>
          <w:spacing w:val="-12"/>
          <w:sz w:val="20"/>
        </w:rPr>
        <w:t> </w:t>
      </w:r>
      <w:r>
        <w:rPr>
          <w:sz w:val="20"/>
        </w:rPr>
        <w:t>retail pharmaceuticals in OECD countries,</w:t>
      </w:r>
      <w:r>
        <w:rPr>
          <w:position w:val="6"/>
          <w:sz w:val="13"/>
        </w:rPr>
        <w:t>20 </w:t>
      </w:r>
      <w:r>
        <w:rPr>
          <w:sz w:val="20"/>
        </w:rPr>
        <w:t>although the situation varies from one country to</w:t>
      </w:r>
      <w:r>
        <w:rPr>
          <w:spacing w:val="-40"/>
          <w:sz w:val="20"/>
        </w:rPr>
        <w:t> </w:t>
      </w:r>
      <w:r>
        <w:rPr>
          <w:sz w:val="20"/>
        </w:rPr>
        <w:t>another.</w:t>
      </w:r>
    </w:p>
    <w:p>
      <w:pPr>
        <w:pStyle w:val="ListParagraph"/>
        <w:numPr>
          <w:ilvl w:val="0"/>
          <w:numId w:val="4"/>
        </w:numPr>
        <w:tabs>
          <w:tab w:pos="1444" w:val="left" w:leader="none"/>
        </w:tabs>
        <w:spacing w:line="271" w:lineRule="auto" w:before="120" w:after="0"/>
        <w:ind w:left="723" w:right="482" w:firstLine="0"/>
        <w:jc w:val="both"/>
        <w:rPr>
          <w:sz w:val="20"/>
        </w:rPr>
      </w:pPr>
      <w:r>
        <w:rPr>
          <w:sz w:val="20"/>
        </w:rPr>
        <w:t>It is noted that with respect to drugs, the government can regulate the prices at which drugs can be sold. It is recognised that pricing of drugs can be impacted by governments and insurance companies and are not exclusively based on consumer demand (e.g. where government directly acquires the drugs, or regulates the pricing). However, this does not change the fact that products are sold to and used by consumers (whether directly or indirectly), and that these products are generating (in some cases, e.g. when the drug is still patented) substantial profits for pharmaceutical MNEs. Therefore, even if the size of that profit may be influenced by the regulator, this regulation does not by itself take pharmaceuticals out- of-scope.</w:t>
      </w:r>
    </w:p>
    <w:p>
      <w:pPr>
        <w:pStyle w:val="BodyText"/>
      </w:pPr>
    </w:p>
    <w:p>
      <w:pPr>
        <w:pStyle w:val="BodyText"/>
      </w:pPr>
    </w:p>
    <w:p>
      <w:pPr>
        <w:pStyle w:val="BodyText"/>
        <w:spacing w:before="8"/>
        <w:rPr>
          <w:sz w:val="21"/>
        </w:rPr>
      </w:pPr>
      <w:r>
        <w:rPr/>
        <w:pict>
          <v:rect style="position:absolute;margin-left:65.183998pt;margin-top:14.471404pt;width:144.020004pt;height:.60004pt;mso-position-horizontal-relative:page;mso-position-vertical-relative:paragraph;z-index:-1569126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31" w:val="left" w:leader="none"/>
        </w:tabs>
        <w:spacing w:line="278" w:lineRule="auto" w:before="94" w:after="0"/>
        <w:ind w:left="723" w:right="485" w:firstLine="0"/>
        <w:jc w:val="both"/>
        <w:rPr>
          <w:sz w:val="18"/>
        </w:rPr>
      </w:pPr>
      <w:r>
        <w:rPr>
          <w:sz w:val="18"/>
        </w:rPr>
        <w:t>Other sectors are in the medical equipment business, such as selling consumer goods (bandages, blood pressure meters); medical equipment not purchased by consumers (e.g. hip replacement materials); or medical equipment for professional</w:t>
      </w:r>
      <w:r>
        <w:rPr>
          <w:spacing w:val="-5"/>
          <w:sz w:val="18"/>
        </w:rPr>
        <w:t> </w:t>
      </w:r>
      <w:r>
        <w:rPr>
          <w:sz w:val="18"/>
        </w:rPr>
        <w:t>use</w:t>
      </w:r>
      <w:r>
        <w:rPr>
          <w:spacing w:val="-6"/>
          <w:sz w:val="18"/>
        </w:rPr>
        <w:t> </w:t>
      </w:r>
      <w:r>
        <w:rPr>
          <w:sz w:val="18"/>
        </w:rPr>
        <w:t>(e.g.</w:t>
      </w:r>
      <w:r>
        <w:rPr>
          <w:spacing w:val="-4"/>
          <w:sz w:val="18"/>
        </w:rPr>
        <w:t> </w:t>
      </w:r>
      <w:r>
        <w:rPr>
          <w:sz w:val="18"/>
        </w:rPr>
        <w:t>MRI</w:t>
      </w:r>
      <w:r>
        <w:rPr>
          <w:spacing w:val="-5"/>
          <w:sz w:val="18"/>
        </w:rPr>
        <w:t> </w:t>
      </w:r>
      <w:r>
        <w:rPr>
          <w:sz w:val="18"/>
        </w:rPr>
        <w:t>machines,</w:t>
      </w:r>
      <w:r>
        <w:rPr>
          <w:spacing w:val="-6"/>
          <w:sz w:val="18"/>
        </w:rPr>
        <w:t> </w:t>
      </w:r>
      <w:r>
        <w:rPr>
          <w:sz w:val="18"/>
        </w:rPr>
        <w:t>surgical</w:t>
      </w:r>
      <w:r>
        <w:rPr>
          <w:spacing w:val="-4"/>
          <w:sz w:val="18"/>
        </w:rPr>
        <w:t> </w:t>
      </w:r>
      <w:r>
        <w:rPr>
          <w:sz w:val="18"/>
        </w:rPr>
        <w:t>tools).</w:t>
      </w:r>
      <w:r>
        <w:rPr>
          <w:spacing w:val="-6"/>
          <w:sz w:val="18"/>
        </w:rPr>
        <w:t> </w:t>
      </w:r>
      <w:r>
        <w:rPr>
          <w:sz w:val="18"/>
        </w:rPr>
        <w:t>These</w:t>
      </w:r>
      <w:r>
        <w:rPr>
          <w:spacing w:val="-9"/>
          <w:sz w:val="18"/>
        </w:rPr>
        <w:t> </w:t>
      </w:r>
      <w:r>
        <w:rPr>
          <w:sz w:val="18"/>
        </w:rPr>
        <w:t>are</w:t>
      </w:r>
      <w:r>
        <w:rPr>
          <w:spacing w:val="-6"/>
          <w:sz w:val="18"/>
        </w:rPr>
        <w:t> </w:t>
      </w:r>
      <w:r>
        <w:rPr>
          <w:sz w:val="18"/>
        </w:rPr>
        <w:t>outside</w:t>
      </w:r>
      <w:r>
        <w:rPr>
          <w:spacing w:val="-6"/>
          <w:sz w:val="18"/>
        </w:rPr>
        <w:t> </w:t>
      </w:r>
      <w:r>
        <w:rPr>
          <w:sz w:val="18"/>
        </w:rPr>
        <w:t>the</w:t>
      </w:r>
      <w:r>
        <w:rPr>
          <w:spacing w:val="-6"/>
          <w:sz w:val="18"/>
        </w:rPr>
        <w:t> </w:t>
      </w:r>
      <w:r>
        <w:rPr>
          <w:sz w:val="18"/>
        </w:rPr>
        <w:t>scope</w:t>
      </w:r>
      <w:r>
        <w:rPr>
          <w:spacing w:val="-6"/>
          <w:sz w:val="18"/>
        </w:rPr>
        <w:t> </w:t>
      </w:r>
      <w:r>
        <w:rPr>
          <w:sz w:val="18"/>
        </w:rPr>
        <w:t>of</w:t>
      </w:r>
      <w:r>
        <w:rPr>
          <w:spacing w:val="-6"/>
          <w:sz w:val="18"/>
        </w:rPr>
        <w:t> </w:t>
      </w:r>
      <w:r>
        <w:rPr>
          <w:sz w:val="18"/>
        </w:rPr>
        <w:t>the</w:t>
      </w:r>
      <w:r>
        <w:rPr>
          <w:spacing w:val="-6"/>
          <w:sz w:val="18"/>
        </w:rPr>
        <w:t> </w:t>
      </w:r>
      <w:r>
        <w:rPr>
          <w:sz w:val="18"/>
        </w:rPr>
        <w:t>pharmaceutical</w:t>
      </w:r>
      <w:r>
        <w:rPr>
          <w:spacing w:val="-7"/>
          <w:sz w:val="18"/>
        </w:rPr>
        <w:t> </w:t>
      </w:r>
      <w:r>
        <w:rPr>
          <w:sz w:val="18"/>
        </w:rPr>
        <w:t>industry,</w:t>
      </w:r>
      <w:r>
        <w:rPr>
          <w:spacing w:val="-6"/>
          <w:sz w:val="18"/>
        </w:rPr>
        <w:t> </w:t>
      </w:r>
      <w:r>
        <w:rPr>
          <w:sz w:val="18"/>
        </w:rPr>
        <w:t>and the</w:t>
      </w:r>
      <w:r>
        <w:rPr>
          <w:spacing w:val="-10"/>
          <w:sz w:val="18"/>
        </w:rPr>
        <w:t> </w:t>
      </w:r>
      <w:r>
        <w:rPr>
          <w:sz w:val="18"/>
        </w:rPr>
        <w:t>ordinary</w:t>
      </w:r>
      <w:r>
        <w:rPr>
          <w:spacing w:val="-10"/>
          <w:sz w:val="18"/>
        </w:rPr>
        <w:t> </w:t>
      </w:r>
      <w:r>
        <w:rPr>
          <w:sz w:val="18"/>
        </w:rPr>
        <w:t>rules</w:t>
      </w:r>
      <w:r>
        <w:rPr>
          <w:spacing w:val="-8"/>
          <w:sz w:val="18"/>
        </w:rPr>
        <w:t> </w:t>
      </w:r>
      <w:r>
        <w:rPr>
          <w:sz w:val="18"/>
        </w:rPr>
        <w:t>applying</w:t>
      </w:r>
      <w:r>
        <w:rPr>
          <w:spacing w:val="-10"/>
          <w:sz w:val="18"/>
        </w:rPr>
        <w:t> </w:t>
      </w:r>
      <w:r>
        <w:rPr>
          <w:sz w:val="18"/>
        </w:rPr>
        <w:t>to</w:t>
      </w:r>
      <w:r>
        <w:rPr>
          <w:spacing w:val="-9"/>
          <w:sz w:val="18"/>
        </w:rPr>
        <w:t> </w:t>
      </w:r>
      <w:r>
        <w:rPr>
          <w:sz w:val="18"/>
        </w:rPr>
        <w:t>determine</w:t>
      </w:r>
      <w:r>
        <w:rPr>
          <w:spacing w:val="-9"/>
          <w:sz w:val="18"/>
        </w:rPr>
        <w:t> </w:t>
      </w:r>
      <w:r>
        <w:rPr>
          <w:sz w:val="18"/>
        </w:rPr>
        <w:t>the</w:t>
      </w:r>
      <w:r>
        <w:rPr>
          <w:spacing w:val="-10"/>
          <w:sz w:val="18"/>
        </w:rPr>
        <w:t> </w:t>
      </w:r>
      <w:r>
        <w:rPr>
          <w:sz w:val="18"/>
        </w:rPr>
        <w:t>scope</w:t>
      </w:r>
      <w:r>
        <w:rPr>
          <w:spacing w:val="-9"/>
          <w:sz w:val="18"/>
        </w:rPr>
        <w:t> </w:t>
      </w:r>
      <w:r>
        <w:rPr>
          <w:sz w:val="18"/>
        </w:rPr>
        <w:t>of</w:t>
      </w:r>
      <w:r>
        <w:rPr>
          <w:spacing w:val="-5"/>
          <w:sz w:val="18"/>
        </w:rPr>
        <w:t> </w:t>
      </w:r>
      <w:r>
        <w:rPr>
          <w:sz w:val="18"/>
        </w:rPr>
        <w:t>CFB,</w:t>
      </w:r>
      <w:r>
        <w:rPr>
          <w:spacing w:val="-9"/>
          <w:sz w:val="18"/>
        </w:rPr>
        <w:t> </w:t>
      </w:r>
      <w:r>
        <w:rPr>
          <w:sz w:val="18"/>
        </w:rPr>
        <w:t>including</w:t>
      </w:r>
      <w:r>
        <w:rPr>
          <w:spacing w:val="-9"/>
          <w:sz w:val="18"/>
        </w:rPr>
        <w:t> </w:t>
      </w:r>
      <w:r>
        <w:rPr>
          <w:sz w:val="18"/>
        </w:rPr>
        <w:t>the</w:t>
      </w:r>
      <w:r>
        <w:rPr>
          <w:spacing w:val="-12"/>
          <w:sz w:val="18"/>
        </w:rPr>
        <w:t> </w:t>
      </w:r>
      <w:r>
        <w:rPr>
          <w:sz w:val="18"/>
        </w:rPr>
        <w:t>approach</w:t>
      </w:r>
      <w:r>
        <w:rPr>
          <w:spacing w:val="-9"/>
          <w:sz w:val="18"/>
        </w:rPr>
        <w:t> </w:t>
      </w:r>
      <w:r>
        <w:rPr>
          <w:sz w:val="18"/>
        </w:rPr>
        <w:t>to</w:t>
      </w:r>
      <w:r>
        <w:rPr>
          <w:spacing w:val="-8"/>
          <w:sz w:val="18"/>
        </w:rPr>
        <w:t> </w:t>
      </w:r>
      <w:r>
        <w:rPr>
          <w:sz w:val="18"/>
        </w:rPr>
        <w:t>dual</w:t>
      </w:r>
      <w:r>
        <w:rPr>
          <w:spacing w:val="-10"/>
          <w:sz w:val="18"/>
        </w:rPr>
        <w:t> </w:t>
      </w:r>
      <w:r>
        <w:rPr>
          <w:sz w:val="18"/>
        </w:rPr>
        <w:t>use</w:t>
      </w:r>
      <w:r>
        <w:rPr>
          <w:spacing w:val="-9"/>
          <w:sz w:val="18"/>
        </w:rPr>
        <w:t> </w:t>
      </w:r>
      <w:r>
        <w:rPr>
          <w:sz w:val="18"/>
        </w:rPr>
        <w:t>goods</w:t>
      </w:r>
      <w:r>
        <w:rPr>
          <w:spacing w:val="-8"/>
          <w:sz w:val="18"/>
        </w:rPr>
        <w:t> </w:t>
      </w:r>
      <w:r>
        <w:rPr>
          <w:sz w:val="18"/>
        </w:rPr>
        <w:t>and</w:t>
      </w:r>
      <w:r>
        <w:rPr>
          <w:spacing w:val="-10"/>
          <w:sz w:val="18"/>
        </w:rPr>
        <w:t> </w:t>
      </w:r>
      <w:r>
        <w:rPr>
          <w:sz w:val="18"/>
        </w:rPr>
        <w:t>components, will be used to address these</w:t>
      </w:r>
      <w:r>
        <w:rPr>
          <w:spacing w:val="-1"/>
          <w:sz w:val="18"/>
        </w:rPr>
        <w:t> </w:t>
      </w:r>
      <w:r>
        <w:rPr>
          <w:sz w:val="18"/>
        </w:rPr>
        <w:t>sectors.</w:t>
      </w:r>
    </w:p>
    <w:p>
      <w:pPr>
        <w:pStyle w:val="ListParagraph"/>
        <w:numPr>
          <w:ilvl w:val="0"/>
          <w:numId w:val="5"/>
        </w:numPr>
        <w:tabs>
          <w:tab w:pos="928" w:val="left" w:leader="none"/>
        </w:tabs>
        <w:spacing w:line="278" w:lineRule="auto" w:before="77" w:after="0"/>
        <w:ind w:left="723" w:right="490" w:firstLine="0"/>
        <w:jc w:val="both"/>
        <w:rPr>
          <w:sz w:val="18"/>
        </w:rPr>
      </w:pPr>
      <w:r>
        <w:rPr>
          <w:sz w:val="18"/>
        </w:rPr>
        <w:t>Retail</w:t>
      </w:r>
      <w:r>
        <w:rPr>
          <w:spacing w:val="-5"/>
          <w:sz w:val="18"/>
        </w:rPr>
        <w:t> </w:t>
      </w:r>
      <w:r>
        <w:rPr>
          <w:sz w:val="18"/>
        </w:rPr>
        <w:t>pharmaceutical</w:t>
      </w:r>
      <w:r>
        <w:rPr>
          <w:spacing w:val="-3"/>
          <w:sz w:val="18"/>
        </w:rPr>
        <w:t> </w:t>
      </w:r>
      <w:r>
        <w:rPr>
          <w:sz w:val="18"/>
        </w:rPr>
        <w:t>refers</w:t>
      </w:r>
      <w:r>
        <w:rPr>
          <w:spacing w:val="-4"/>
          <w:sz w:val="18"/>
        </w:rPr>
        <w:t> </w:t>
      </w:r>
      <w:r>
        <w:rPr>
          <w:sz w:val="18"/>
        </w:rPr>
        <w:t>to</w:t>
      </w:r>
      <w:r>
        <w:rPr>
          <w:spacing w:val="-3"/>
          <w:sz w:val="18"/>
        </w:rPr>
        <w:t> </w:t>
      </w:r>
      <w:r>
        <w:rPr>
          <w:sz w:val="18"/>
        </w:rPr>
        <w:t>those</w:t>
      </w:r>
      <w:r>
        <w:rPr>
          <w:spacing w:val="-4"/>
          <w:sz w:val="18"/>
        </w:rPr>
        <w:t> </w:t>
      </w:r>
      <w:r>
        <w:rPr>
          <w:sz w:val="18"/>
        </w:rPr>
        <w:t>provided</w:t>
      </w:r>
      <w:r>
        <w:rPr>
          <w:spacing w:val="-5"/>
          <w:sz w:val="18"/>
        </w:rPr>
        <w:t> </w:t>
      </w:r>
      <w:r>
        <w:rPr>
          <w:sz w:val="18"/>
        </w:rPr>
        <w:t>outside</w:t>
      </w:r>
      <w:r>
        <w:rPr>
          <w:spacing w:val="-2"/>
          <w:sz w:val="18"/>
        </w:rPr>
        <w:t> </w:t>
      </w:r>
      <w:r>
        <w:rPr>
          <w:sz w:val="18"/>
        </w:rPr>
        <w:t>hospital</w:t>
      </w:r>
      <w:r>
        <w:rPr>
          <w:spacing w:val="-5"/>
          <w:sz w:val="18"/>
        </w:rPr>
        <w:t> </w:t>
      </w:r>
      <w:r>
        <w:rPr>
          <w:sz w:val="18"/>
        </w:rPr>
        <w:t>care,</w:t>
      </w:r>
      <w:r>
        <w:rPr>
          <w:spacing w:val="-5"/>
          <w:sz w:val="18"/>
        </w:rPr>
        <w:t> </w:t>
      </w:r>
      <w:r>
        <w:rPr>
          <w:sz w:val="18"/>
        </w:rPr>
        <w:t>such</w:t>
      </w:r>
      <w:r>
        <w:rPr>
          <w:spacing w:val="-2"/>
          <w:sz w:val="18"/>
        </w:rPr>
        <w:t> </w:t>
      </w:r>
      <w:r>
        <w:rPr>
          <w:sz w:val="18"/>
        </w:rPr>
        <w:t>as</w:t>
      </w:r>
      <w:r>
        <w:rPr>
          <w:spacing w:val="-4"/>
          <w:sz w:val="18"/>
        </w:rPr>
        <w:t> </w:t>
      </w:r>
      <w:r>
        <w:rPr>
          <w:sz w:val="18"/>
        </w:rPr>
        <w:t>those</w:t>
      </w:r>
      <w:r>
        <w:rPr>
          <w:spacing w:val="-4"/>
          <w:sz w:val="18"/>
        </w:rPr>
        <w:t> </w:t>
      </w:r>
      <w:r>
        <w:rPr>
          <w:sz w:val="18"/>
        </w:rPr>
        <w:t>dispensed</w:t>
      </w:r>
      <w:r>
        <w:rPr>
          <w:spacing w:val="-5"/>
          <w:sz w:val="18"/>
        </w:rPr>
        <w:t> </w:t>
      </w:r>
      <w:r>
        <w:rPr>
          <w:sz w:val="18"/>
        </w:rPr>
        <w:t>through</w:t>
      </w:r>
      <w:r>
        <w:rPr>
          <w:spacing w:val="-4"/>
          <w:sz w:val="18"/>
        </w:rPr>
        <w:t> </w:t>
      </w:r>
      <w:r>
        <w:rPr>
          <w:sz w:val="18"/>
        </w:rPr>
        <w:t>a</w:t>
      </w:r>
      <w:r>
        <w:rPr>
          <w:spacing w:val="-5"/>
          <w:sz w:val="18"/>
        </w:rPr>
        <w:t> </w:t>
      </w:r>
      <w:r>
        <w:rPr>
          <w:sz w:val="18"/>
        </w:rPr>
        <w:t>pharmacy or bought from a</w:t>
      </w:r>
      <w:r>
        <w:rPr>
          <w:spacing w:val="-2"/>
          <w:sz w:val="18"/>
        </w:rPr>
        <w:t> </w:t>
      </w:r>
      <w:r>
        <w:rPr>
          <w:sz w:val="18"/>
        </w:rPr>
        <w:t>supermarket.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4"/>
        </w:numPr>
        <w:tabs>
          <w:tab w:pos="1443" w:val="left" w:leader="none"/>
          <w:tab w:pos="1444" w:val="left" w:leader="none"/>
        </w:tabs>
        <w:spacing w:line="271" w:lineRule="auto" w:before="93" w:after="0"/>
        <w:ind w:left="723" w:right="492" w:firstLine="0"/>
        <w:jc w:val="left"/>
        <w:rPr>
          <w:sz w:val="20"/>
        </w:rPr>
      </w:pPr>
      <w:r>
        <w:rPr>
          <w:sz w:val="20"/>
        </w:rPr>
        <w:t>The analysis below contains two possible approaches for considering the extent to which pharmaceuticals would be in the scope of Amount A as a</w:t>
      </w:r>
      <w:r>
        <w:rPr>
          <w:spacing w:val="-1"/>
          <w:sz w:val="20"/>
        </w:rPr>
        <w:t> </w:t>
      </w:r>
      <w:r>
        <w:rPr>
          <w:sz w:val="20"/>
        </w:rPr>
        <w:t>CFB:</w:t>
      </w:r>
    </w:p>
    <w:p>
      <w:pPr>
        <w:pStyle w:val="ListParagraph"/>
        <w:numPr>
          <w:ilvl w:val="1"/>
          <w:numId w:val="4"/>
        </w:numPr>
        <w:tabs>
          <w:tab w:pos="1402" w:val="left" w:leader="none"/>
          <w:tab w:pos="1403" w:val="left" w:leader="none"/>
        </w:tabs>
        <w:spacing w:line="240" w:lineRule="auto" w:before="98" w:after="0"/>
        <w:ind w:left="1402" w:right="0" w:hanging="339"/>
        <w:jc w:val="left"/>
        <w:rPr>
          <w:sz w:val="20"/>
        </w:rPr>
      </w:pPr>
      <w:r>
        <w:rPr>
          <w:sz w:val="20"/>
        </w:rPr>
        <w:t>All drugs that are sold or administered to a consumer are in scope;</w:t>
      </w:r>
      <w:r>
        <w:rPr>
          <w:spacing w:val="-10"/>
          <w:sz w:val="20"/>
        </w:rPr>
        <w:t> </w:t>
      </w:r>
      <w:r>
        <w:rPr>
          <w:sz w:val="20"/>
        </w:rPr>
        <w:t>or</w:t>
      </w:r>
    </w:p>
    <w:p>
      <w:pPr>
        <w:pStyle w:val="ListParagraph"/>
        <w:numPr>
          <w:ilvl w:val="1"/>
          <w:numId w:val="4"/>
        </w:numPr>
        <w:tabs>
          <w:tab w:pos="1402" w:val="left" w:leader="none"/>
          <w:tab w:pos="1403" w:val="left" w:leader="none"/>
        </w:tabs>
        <w:spacing w:line="240" w:lineRule="auto" w:before="77" w:after="0"/>
        <w:ind w:left="1402" w:right="0" w:hanging="339"/>
        <w:jc w:val="left"/>
        <w:rPr>
          <w:sz w:val="20"/>
        </w:rPr>
      </w:pPr>
      <w:r>
        <w:rPr>
          <w:sz w:val="20"/>
        </w:rPr>
        <w:t>The scope is based on whether the drugs are sold over-the-counter (OTC) or by</w:t>
      </w:r>
      <w:r>
        <w:rPr>
          <w:spacing w:val="-27"/>
          <w:sz w:val="20"/>
        </w:rPr>
        <w:t> </w:t>
      </w:r>
      <w:r>
        <w:rPr>
          <w:sz w:val="20"/>
        </w:rPr>
        <w:t>prescription.</w:t>
      </w:r>
    </w:p>
    <w:p>
      <w:pPr>
        <w:pStyle w:val="ListParagraph"/>
        <w:numPr>
          <w:ilvl w:val="0"/>
          <w:numId w:val="4"/>
        </w:numPr>
        <w:tabs>
          <w:tab w:pos="1443" w:val="left" w:leader="none"/>
          <w:tab w:pos="1444" w:val="left" w:leader="none"/>
        </w:tabs>
        <w:spacing w:line="240" w:lineRule="auto" w:before="154" w:after="0"/>
        <w:ind w:left="1443" w:right="0" w:hanging="721"/>
        <w:jc w:val="left"/>
        <w:rPr>
          <w:sz w:val="20"/>
        </w:rPr>
      </w:pPr>
      <w:r>
        <w:rPr>
          <w:sz w:val="20"/>
        </w:rPr>
        <w:t>These two options are discussed in</w:t>
      </w:r>
      <w:r>
        <w:rPr>
          <w:spacing w:val="-4"/>
          <w:sz w:val="20"/>
        </w:rPr>
        <w:t> </w:t>
      </w:r>
      <w:r>
        <w:rPr>
          <w:sz w:val="20"/>
        </w:rPr>
        <w:t>turn.</w:t>
      </w:r>
    </w:p>
    <w:p>
      <w:pPr>
        <w:pStyle w:val="BodyText"/>
        <w:spacing w:before="9"/>
        <w:rPr>
          <w:sz w:val="22"/>
        </w:rPr>
      </w:pPr>
    </w:p>
    <w:p>
      <w:pPr>
        <w:pStyle w:val="Heading8"/>
      </w:pPr>
      <w:bookmarkStart w:name="Option 1 – All drugs in scope" w:id="48"/>
      <w:bookmarkEnd w:id="48"/>
      <w:r>
        <w:rPr>
          <w:b w:val="0"/>
        </w:rPr>
      </w:r>
      <w:r>
        <w:rPr/>
        <w:t>Option 1 – All drugs in scope</w:t>
      </w:r>
    </w:p>
    <w:p>
      <w:pPr>
        <w:pStyle w:val="BodyText"/>
        <w:spacing w:before="1"/>
        <w:rPr>
          <w:b/>
          <w:sz w:val="19"/>
        </w:rPr>
      </w:pPr>
    </w:p>
    <w:p>
      <w:pPr>
        <w:pStyle w:val="ListParagraph"/>
        <w:numPr>
          <w:ilvl w:val="0"/>
          <w:numId w:val="4"/>
        </w:numPr>
        <w:tabs>
          <w:tab w:pos="1444" w:val="left" w:leader="none"/>
        </w:tabs>
        <w:spacing w:line="271" w:lineRule="auto" w:before="0" w:after="0"/>
        <w:ind w:left="723" w:right="479" w:firstLine="0"/>
        <w:jc w:val="both"/>
        <w:rPr>
          <w:sz w:val="20"/>
        </w:rPr>
      </w:pPr>
      <w:r>
        <w:rPr>
          <w:sz w:val="20"/>
        </w:rPr>
        <w:t>The first approach starts from the notion that all pharmaceuticals are ultimately consumed / used by individual consumers. Taking this approach would mean that all drugs used by patients / consumers would be in scope, irrespective of whether they are prescribed and individually acquired by the consumer or are acquired in the course of seeking broader medical treatment. It would </w:t>
      </w:r>
      <w:r>
        <w:rPr>
          <w:spacing w:val="2"/>
          <w:sz w:val="20"/>
        </w:rPr>
        <w:t>also </w:t>
      </w:r>
      <w:r>
        <w:rPr>
          <w:sz w:val="20"/>
        </w:rPr>
        <w:t>apply irrespective of whether the products are bought by consumers themselves, or bought on their behalf by governments, hospitals or insurance companies, and irrespective of whether and to what extent the consumer paid for the</w:t>
      </w:r>
      <w:r>
        <w:rPr>
          <w:spacing w:val="-12"/>
          <w:sz w:val="20"/>
        </w:rPr>
        <w:t> </w:t>
      </w:r>
      <w:r>
        <w:rPr>
          <w:sz w:val="20"/>
        </w:rPr>
        <w:t>drug</w:t>
      </w:r>
      <w:r>
        <w:rPr>
          <w:spacing w:val="-13"/>
          <w:sz w:val="20"/>
        </w:rPr>
        <w:t> </w:t>
      </w:r>
      <w:r>
        <w:rPr>
          <w:sz w:val="20"/>
        </w:rPr>
        <w:t>(e.g.</w:t>
      </w:r>
      <w:r>
        <w:rPr>
          <w:spacing w:val="-11"/>
          <w:sz w:val="20"/>
        </w:rPr>
        <w:t> </w:t>
      </w:r>
      <w:r>
        <w:rPr>
          <w:sz w:val="20"/>
        </w:rPr>
        <w:t>in</w:t>
      </w:r>
      <w:r>
        <w:rPr>
          <w:spacing w:val="-11"/>
          <w:sz w:val="20"/>
        </w:rPr>
        <w:t> </w:t>
      </w:r>
      <w:r>
        <w:rPr>
          <w:sz w:val="20"/>
        </w:rPr>
        <w:t>some</w:t>
      </w:r>
      <w:r>
        <w:rPr>
          <w:spacing w:val="-13"/>
          <w:sz w:val="20"/>
        </w:rPr>
        <w:t> </w:t>
      </w:r>
      <w:r>
        <w:rPr>
          <w:sz w:val="20"/>
        </w:rPr>
        <w:t>jurisdictions</w:t>
      </w:r>
      <w:r>
        <w:rPr>
          <w:spacing w:val="-11"/>
          <w:sz w:val="20"/>
        </w:rPr>
        <w:t> </w:t>
      </w:r>
      <w:r>
        <w:rPr>
          <w:sz w:val="20"/>
        </w:rPr>
        <w:t>consumers</w:t>
      </w:r>
      <w:r>
        <w:rPr>
          <w:spacing w:val="-11"/>
          <w:sz w:val="20"/>
        </w:rPr>
        <w:t> </w:t>
      </w:r>
      <w:r>
        <w:rPr>
          <w:sz w:val="20"/>
        </w:rPr>
        <w:t>do</w:t>
      </w:r>
      <w:r>
        <w:rPr>
          <w:spacing w:val="-14"/>
          <w:sz w:val="20"/>
        </w:rPr>
        <w:t> </w:t>
      </w:r>
      <w:r>
        <w:rPr>
          <w:sz w:val="20"/>
        </w:rPr>
        <w:t>not</w:t>
      </w:r>
      <w:r>
        <w:rPr>
          <w:spacing w:val="-13"/>
          <w:sz w:val="20"/>
        </w:rPr>
        <w:t> </w:t>
      </w:r>
      <w:r>
        <w:rPr>
          <w:sz w:val="20"/>
        </w:rPr>
        <w:t>pay</w:t>
      </w:r>
      <w:r>
        <w:rPr>
          <w:spacing w:val="-16"/>
          <w:sz w:val="20"/>
        </w:rPr>
        <w:t> </w:t>
      </w:r>
      <w:r>
        <w:rPr>
          <w:sz w:val="20"/>
        </w:rPr>
        <w:t>for</w:t>
      </w:r>
      <w:r>
        <w:rPr>
          <w:spacing w:val="-13"/>
          <w:sz w:val="20"/>
        </w:rPr>
        <w:t> </w:t>
      </w:r>
      <w:r>
        <w:rPr>
          <w:sz w:val="20"/>
        </w:rPr>
        <w:t>drugs</w:t>
      </w:r>
      <w:r>
        <w:rPr>
          <w:spacing w:val="-12"/>
          <w:sz w:val="20"/>
        </w:rPr>
        <w:t> </w:t>
      </w:r>
      <w:r>
        <w:rPr>
          <w:sz w:val="20"/>
        </w:rPr>
        <w:t>at</w:t>
      </w:r>
      <w:r>
        <w:rPr>
          <w:spacing w:val="-11"/>
          <w:sz w:val="20"/>
        </w:rPr>
        <w:t> </w:t>
      </w:r>
      <w:r>
        <w:rPr>
          <w:sz w:val="20"/>
        </w:rPr>
        <w:t>all,</w:t>
      </w:r>
      <w:r>
        <w:rPr>
          <w:spacing w:val="-14"/>
          <w:sz w:val="20"/>
        </w:rPr>
        <w:t> </w:t>
      </w:r>
      <w:r>
        <w:rPr>
          <w:sz w:val="20"/>
        </w:rPr>
        <w:t>regardless</w:t>
      </w:r>
      <w:r>
        <w:rPr>
          <w:spacing w:val="-7"/>
          <w:sz w:val="20"/>
        </w:rPr>
        <w:t> </w:t>
      </w:r>
      <w:r>
        <w:rPr>
          <w:sz w:val="20"/>
        </w:rPr>
        <w:t>whether</w:t>
      </w:r>
      <w:r>
        <w:rPr>
          <w:spacing w:val="-13"/>
          <w:sz w:val="20"/>
        </w:rPr>
        <w:t> </w:t>
      </w:r>
      <w:r>
        <w:rPr>
          <w:sz w:val="20"/>
        </w:rPr>
        <w:t>they</w:t>
      </w:r>
      <w:r>
        <w:rPr>
          <w:spacing w:val="-14"/>
          <w:sz w:val="20"/>
        </w:rPr>
        <w:t> </w:t>
      </w:r>
      <w:r>
        <w:rPr>
          <w:sz w:val="20"/>
        </w:rPr>
        <w:t>are</w:t>
      </w:r>
      <w:r>
        <w:rPr>
          <w:spacing w:val="-7"/>
          <w:sz w:val="20"/>
        </w:rPr>
        <w:t> </w:t>
      </w:r>
      <w:r>
        <w:rPr>
          <w:sz w:val="20"/>
        </w:rPr>
        <w:t>OTC drugs or prescription</w:t>
      </w:r>
      <w:r>
        <w:rPr>
          <w:spacing w:val="-3"/>
          <w:sz w:val="20"/>
        </w:rPr>
        <w:t> </w:t>
      </w:r>
      <w:r>
        <w:rPr>
          <w:sz w:val="20"/>
        </w:rPr>
        <w:t>drugs).</w:t>
      </w:r>
    </w:p>
    <w:p>
      <w:pPr>
        <w:pStyle w:val="ListParagraph"/>
        <w:numPr>
          <w:ilvl w:val="0"/>
          <w:numId w:val="4"/>
        </w:numPr>
        <w:tabs>
          <w:tab w:pos="1444" w:val="left" w:leader="none"/>
        </w:tabs>
        <w:spacing w:line="271" w:lineRule="auto" w:before="120" w:after="0"/>
        <w:ind w:left="723" w:right="482" w:firstLine="0"/>
        <w:jc w:val="both"/>
        <w:rPr>
          <w:sz w:val="20"/>
        </w:rPr>
      </w:pPr>
      <w:r>
        <w:rPr>
          <w:sz w:val="20"/>
        </w:rPr>
        <w:t>This</w:t>
      </w:r>
      <w:r>
        <w:rPr>
          <w:spacing w:val="-5"/>
          <w:sz w:val="20"/>
        </w:rPr>
        <w:t> </w:t>
      </w:r>
      <w:r>
        <w:rPr>
          <w:sz w:val="20"/>
        </w:rPr>
        <w:t>approach</w:t>
      </w:r>
      <w:r>
        <w:rPr>
          <w:spacing w:val="-4"/>
          <w:sz w:val="20"/>
        </w:rPr>
        <w:t> </w:t>
      </w:r>
      <w:r>
        <w:rPr>
          <w:sz w:val="20"/>
        </w:rPr>
        <w:t>would</w:t>
      </w:r>
      <w:r>
        <w:rPr>
          <w:spacing w:val="-5"/>
          <w:sz w:val="20"/>
        </w:rPr>
        <w:t> </w:t>
      </w:r>
      <w:r>
        <w:rPr>
          <w:sz w:val="20"/>
        </w:rPr>
        <w:t>look</w:t>
      </w:r>
      <w:r>
        <w:rPr>
          <w:spacing w:val="-2"/>
          <w:sz w:val="20"/>
        </w:rPr>
        <w:t> </w:t>
      </w:r>
      <w:r>
        <w:rPr>
          <w:sz w:val="20"/>
        </w:rPr>
        <w:t>to</w:t>
      </w:r>
      <w:r>
        <w:rPr>
          <w:spacing w:val="-5"/>
          <w:sz w:val="20"/>
        </w:rPr>
        <w:t> </w:t>
      </w:r>
      <w:r>
        <w:rPr>
          <w:sz w:val="20"/>
        </w:rPr>
        <w:t>the</w:t>
      </w:r>
      <w:r>
        <w:rPr>
          <w:spacing w:val="-6"/>
          <w:sz w:val="20"/>
        </w:rPr>
        <w:t> </w:t>
      </w:r>
      <w:r>
        <w:rPr>
          <w:sz w:val="20"/>
        </w:rPr>
        <w:t>more</w:t>
      </w:r>
      <w:r>
        <w:rPr>
          <w:spacing w:val="-6"/>
          <w:sz w:val="20"/>
        </w:rPr>
        <w:t> </w:t>
      </w:r>
      <w:r>
        <w:rPr>
          <w:sz w:val="20"/>
        </w:rPr>
        <w:t>indirect</w:t>
      </w:r>
      <w:r>
        <w:rPr>
          <w:spacing w:val="-5"/>
          <w:sz w:val="20"/>
        </w:rPr>
        <w:t> </w:t>
      </w:r>
      <w:r>
        <w:rPr>
          <w:sz w:val="20"/>
        </w:rPr>
        <w:t>engagement</w:t>
      </w:r>
      <w:r>
        <w:rPr>
          <w:spacing w:val="-5"/>
          <w:sz w:val="20"/>
        </w:rPr>
        <w:t> </w:t>
      </w:r>
      <w:r>
        <w:rPr>
          <w:sz w:val="20"/>
        </w:rPr>
        <w:t>with</w:t>
      </w:r>
      <w:r>
        <w:rPr>
          <w:spacing w:val="-6"/>
          <w:sz w:val="20"/>
        </w:rPr>
        <w:t> </w:t>
      </w:r>
      <w:r>
        <w:rPr>
          <w:sz w:val="20"/>
        </w:rPr>
        <w:t>the</w:t>
      </w:r>
      <w:r>
        <w:rPr>
          <w:spacing w:val="-5"/>
          <w:sz w:val="20"/>
        </w:rPr>
        <w:t> </w:t>
      </w:r>
      <w:r>
        <w:rPr>
          <w:sz w:val="20"/>
        </w:rPr>
        <w:t>consumer,</w:t>
      </w:r>
      <w:r>
        <w:rPr>
          <w:spacing w:val="-6"/>
          <w:sz w:val="20"/>
        </w:rPr>
        <w:t> </w:t>
      </w:r>
      <w:r>
        <w:rPr>
          <w:sz w:val="20"/>
        </w:rPr>
        <w:t>which,</w:t>
      </w:r>
      <w:r>
        <w:rPr>
          <w:spacing w:val="-6"/>
          <w:sz w:val="20"/>
        </w:rPr>
        <w:t> </w:t>
      </w:r>
      <w:r>
        <w:rPr>
          <w:sz w:val="20"/>
        </w:rPr>
        <w:t>although</w:t>
      </w:r>
      <w:r>
        <w:rPr>
          <w:spacing w:val="-3"/>
          <w:sz w:val="20"/>
        </w:rPr>
        <w:t> </w:t>
      </w:r>
      <w:r>
        <w:rPr>
          <w:sz w:val="20"/>
        </w:rPr>
        <w:t>in most jurisdictions does not happen by direct consumer engagement (such as by marketing), does occur through (in some cases, significant) marketing directed to the medical professionals, insurers and drug purchasing</w:t>
      </w:r>
      <w:r>
        <w:rPr>
          <w:spacing w:val="-8"/>
          <w:sz w:val="20"/>
        </w:rPr>
        <w:t> </w:t>
      </w:r>
      <w:r>
        <w:rPr>
          <w:sz w:val="20"/>
        </w:rPr>
        <w:t>authorities</w:t>
      </w:r>
      <w:r>
        <w:rPr>
          <w:spacing w:val="-4"/>
          <w:sz w:val="20"/>
        </w:rPr>
        <w:t> </w:t>
      </w:r>
      <w:r>
        <w:rPr>
          <w:sz w:val="20"/>
        </w:rPr>
        <w:t>which</w:t>
      </w:r>
      <w:r>
        <w:rPr>
          <w:spacing w:val="-7"/>
          <w:sz w:val="20"/>
        </w:rPr>
        <w:t> </w:t>
      </w:r>
      <w:r>
        <w:rPr>
          <w:sz w:val="20"/>
        </w:rPr>
        <w:t>act</w:t>
      </w:r>
      <w:r>
        <w:rPr>
          <w:spacing w:val="-7"/>
          <w:sz w:val="20"/>
        </w:rPr>
        <w:t> </w:t>
      </w:r>
      <w:r>
        <w:rPr>
          <w:sz w:val="20"/>
        </w:rPr>
        <w:t>on</w:t>
      </w:r>
      <w:r>
        <w:rPr>
          <w:spacing w:val="-5"/>
          <w:sz w:val="20"/>
        </w:rPr>
        <w:t> </w:t>
      </w:r>
      <w:r>
        <w:rPr>
          <w:sz w:val="20"/>
        </w:rPr>
        <w:t>behalf</w:t>
      </w:r>
      <w:r>
        <w:rPr>
          <w:spacing w:val="-5"/>
          <w:sz w:val="20"/>
        </w:rPr>
        <w:t> </w:t>
      </w:r>
      <w:r>
        <w:rPr>
          <w:sz w:val="20"/>
        </w:rPr>
        <w:t>of</w:t>
      </w:r>
      <w:r>
        <w:rPr>
          <w:spacing w:val="-5"/>
          <w:sz w:val="20"/>
        </w:rPr>
        <w:t> </w:t>
      </w:r>
      <w:r>
        <w:rPr>
          <w:sz w:val="20"/>
        </w:rPr>
        <w:t>the</w:t>
      </w:r>
      <w:r>
        <w:rPr>
          <w:spacing w:val="-7"/>
          <w:sz w:val="20"/>
        </w:rPr>
        <w:t> </w:t>
      </w:r>
      <w:r>
        <w:rPr>
          <w:sz w:val="20"/>
        </w:rPr>
        <w:t>consumer</w:t>
      </w:r>
      <w:r>
        <w:rPr>
          <w:spacing w:val="-7"/>
          <w:sz w:val="20"/>
        </w:rPr>
        <w:t> </w:t>
      </w:r>
      <w:r>
        <w:rPr>
          <w:sz w:val="20"/>
        </w:rPr>
        <w:t>in</w:t>
      </w:r>
      <w:r>
        <w:rPr>
          <w:spacing w:val="-7"/>
          <w:sz w:val="20"/>
        </w:rPr>
        <w:t> </w:t>
      </w:r>
      <w:r>
        <w:rPr>
          <w:sz w:val="20"/>
        </w:rPr>
        <w:t>prescribing,</w:t>
      </w:r>
      <w:r>
        <w:rPr>
          <w:spacing w:val="-4"/>
          <w:sz w:val="20"/>
        </w:rPr>
        <w:t> </w:t>
      </w:r>
      <w:r>
        <w:rPr>
          <w:sz w:val="20"/>
        </w:rPr>
        <w:t>purchasing</w:t>
      </w:r>
      <w:r>
        <w:rPr>
          <w:spacing w:val="-8"/>
          <w:sz w:val="20"/>
        </w:rPr>
        <w:t> </w:t>
      </w:r>
      <w:r>
        <w:rPr>
          <w:sz w:val="20"/>
        </w:rPr>
        <w:t>or</w:t>
      </w:r>
      <w:r>
        <w:rPr>
          <w:spacing w:val="-6"/>
          <w:sz w:val="20"/>
        </w:rPr>
        <w:t> </w:t>
      </w:r>
      <w:r>
        <w:rPr>
          <w:sz w:val="20"/>
        </w:rPr>
        <w:t>funding</w:t>
      </w:r>
      <w:r>
        <w:rPr>
          <w:spacing w:val="-5"/>
          <w:sz w:val="20"/>
        </w:rPr>
        <w:t> </w:t>
      </w:r>
      <w:r>
        <w:rPr>
          <w:sz w:val="20"/>
        </w:rPr>
        <w:t>the</w:t>
      </w:r>
      <w:r>
        <w:rPr>
          <w:spacing w:val="-8"/>
          <w:sz w:val="20"/>
        </w:rPr>
        <w:t> </w:t>
      </w:r>
      <w:r>
        <w:rPr>
          <w:sz w:val="20"/>
        </w:rPr>
        <w:t>drug. Such marketing efforts and activities directed at regulatory compliance in a market (which can be very significant</w:t>
      </w:r>
      <w:r>
        <w:rPr>
          <w:spacing w:val="-7"/>
          <w:sz w:val="20"/>
        </w:rPr>
        <w:t> </w:t>
      </w:r>
      <w:r>
        <w:rPr>
          <w:sz w:val="20"/>
        </w:rPr>
        <w:t>given</w:t>
      </w:r>
      <w:r>
        <w:rPr>
          <w:spacing w:val="-7"/>
          <w:sz w:val="20"/>
        </w:rPr>
        <w:t> </w:t>
      </w:r>
      <w:r>
        <w:rPr>
          <w:sz w:val="20"/>
        </w:rPr>
        <w:t>the</w:t>
      </w:r>
      <w:r>
        <w:rPr>
          <w:spacing w:val="-7"/>
          <w:sz w:val="20"/>
        </w:rPr>
        <w:t> </w:t>
      </w:r>
      <w:r>
        <w:rPr>
          <w:sz w:val="20"/>
        </w:rPr>
        <w:t>consumer</w:t>
      </w:r>
      <w:r>
        <w:rPr>
          <w:spacing w:val="-9"/>
          <w:sz w:val="20"/>
        </w:rPr>
        <w:t> </w:t>
      </w:r>
      <w:r>
        <w:rPr>
          <w:sz w:val="20"/>
        </w:rPr>
        <w:t>safety</w:t>
      </w:r>
      <w:r>
        <w:rPr>
          <w:spacing w:val="-10"/>
          <w:sz w:val="20"/>
        </w:rPr>
        <w:t> </w:t>
      </w:r>
      <w:r>
        <w:rPr>
          <w:sz w:val="20"/>
        </w:rPr>
        <w:t>issues</w:t>
      </w:r>
      <w:r>
        <w:rPr>
          <w:spacing w:val="-5"/>
          <w:sz w:val="20"/>
        </w:rPr>
        <w:t> </w:t>
      </w:r>
      <w:r>
        <w:rPr>
          <w:sz w:val="20"/>
        </w:rPr>
        <w:t>associated</w:t>
      </w:r>
      <w:r>
        <w:rPr>
          <w:spacing w:val="-5"/>
          <w:sz w:val="20"/>
        </w:rPr>
        <w:t> </w:t>
      </w:r>
      <w:r>
        <w:rPr>
          <w:sz w:val="20"/>
        </w:rPr>
        <w:t>with</w:t>
      </w:r>
      <w:r>
        <w:rPr>
          <w:spacing w:val="-7"/>
          <w:sz w:val="20"/>
        </w:rPr>
        <w:t> </w:t>
      </w:r>
      <w:r>
        <w:rPr>
          <w:sz w:val="20"/>
        </w:rPr>
        <w:t>pharmaceuticals)</w:t>
      </w:r>
      <w:r>
        <w:rPr>
          <w:spacing w:val="-6"/>
          <w:sz w:val="20"/>
        </w:rPr>
        <w:t> </w:t>
      </w:r>
      <w:r>
        <w:rPr>
          <w:sz w:val="20"/>
        </w:rPr>
        <w:t>could</w:t>
      </w:r>
      <w:r>
        <w:rPr>
          <w:spacing w:val="-5"/>
          <w:sz w:val="20"/>
        </w:rPr>
        <w:t> </w:t>
      </w:r>
      <w:r>
        <w:rPr>
          <w:sz w:val="20"/>
        </w:rPr>
        <w:t>be</w:t>
      </w:r>
      <w:r>
        <w:rPr>
          <w:spacing w:val="-7"/>
          <w:sz w:val="20"/>
        </w:rPr>
        <w:t> </w:t>
      </w:r>
      <w:r>
        <w:rPr>
          <w:sz w:val="20"/>
        </w:rPr>
        <w:t>seen</w:t>
      </w:r>
      <w:r>
        <w:rPr>
          <w:spacing w:val="-5"/>
          <w:sz w:val="20"/>
        </w:rPr>
        <w:t> </w:t>
      </w:r>
      <w:r>
        <w:rPr>
          <w:sz w:val="20"/>
        </w:rPr>
        <w:t>as</w:t>
      </w:r>
      <w:r>
        <w:rPr>
          <w:spacing w:val="-7"/>
          <w:sz w:val="20"/>
        </w:rPr>
        <w:t> </w:t>
      </w:r>
      <w:r>
        <w:rPr>
          <w:sz w:val="20"/>
        </w:rPr>
        <w:t>evidence of a sustained engagement with the market, representing significant expenditures for the pharmaceutical maker, and an important contributor to</w:t>
      </w:r>
      <w:r>
        <w:rPr>
          <w:spacing w:val="-8"/>
          <w:sz w:val="20"/>
        </w:rPr>
        <w:t> </w:t>
      </w:r>
      <w:r>
        <w:rPr>
          <w:sz w:val="20"/>
        </w:rPr>
        <w:t>profitability.</w:t>
      </w:r>
    </w:p>
    <w:p>
      <w:pPr>
        <w:pStyle w:val="ListParagraph"/>
        <w:numPr>
          <w:ilvl w:val="0"/>
          <w:numId w:val="4"/>
        </w:numPr>
        <w:tabs>
          <w:tab w:pos="1444" w:val="left" w:leader="none"/>
        </w:tabs>
        <w:spacing w:line="271" w:lineRule="auto" w:before="122" w:after="0"/>
        <w:ind w:left="723" w:right="486" w:firstLine="0"/>
        <w:jc w:val="both"/>
        <w:rPr>
          <w:sz w:val="20"/>
        </w:rPr>
      </w:pPr>
      <w:r>
        <w:rPr>
          <w:sz w:val="20"/>
        </w:rPr>
        <w:t>This</w:t>
      </w:r>
      <w:r>
        <w:rPr>
          <w:spacing w:val="-6"/>
          <w:sz w:val="20"/>
        </w:rPr>
        <w:t> </w:t>
      </w:r>
      <w:r>
        <w:rPr>
          <w:sz w:val="20"/>
        </w:rPr>
        <w:t>approach</w:t>
      </w:r>
      <w:r>
        <w:rPr>
          <w:spacing w:val="-4"/>
          <w:sz w:val="20"/>
        </w:rPr>
        <w:t> </w:t>
      </w:r>
      <w:r>
        <w:rPr>
          <w:sz w:val="20"/>
        </w:rPr>
        <w:t>would</w:t>
      </w:r>
      <w:r>
        <w:rPr>
          <w:spacing w:val="-7"/>
          <w:sz w:val="20"/>
        </w:rPr>
        <w:t> </w:t>
      </w:r>
      <w:r>
        <w:rPr>
          <w:sz w:val="20"/>
        </w:rPr>
        <w:t>also</w:t>
      </w:r>
      <w:r>
        <w:rPr>
          <w:spacing w:val="-7"/>
          <w:sz w:val="20"/>
        </w:rPr>
        <w:t> </w:t>
      </w:r>
      <w:r>
        <w:rPr>
          <w:sz w:val="20"/>
        </w:rPr>
        <w:t>be</w:t>
      </w:r>
      <w:r>
        <w:rPr>
          <w:spacing w:val="-8"/>
          <w:sz w:val="20"/>
        </w:rPr>
        <w:t> </w:t>
      </w:r>
      <w:r>
        <w:rPr>
          <w:sz w:val="20"/>
        </w:rPr>
        <w:t>consistent</w:t>
      </w:r>
      <w:r>
        <w:rPr>
          <w:spacing w:val="-4"/>
          <w:sz w:val="20"/>
        </w:rPr>
        <w:t> </w:t>
      </w:r>
      <w:r>
        <w:rPr>
          <w:sz w:val="20"/>
        </w:rPr>
        <w:t>with</w:t>
      </w:r>
      <w:r>
        <w:rPr>
          <w:spacing w:val="-7"/>
          <w:sz w:val="20"/>
        </w:rPr>
        <w:t> </w:t>
      </w:r>
      <w:r>
        <w:rPr>
          <w:sz w:val="20"/>
        </w:rPr>
        <w:t>the</w:t>
      </w:r>
      <w:r>
        <w:rPr>
          <w:spacing w:val="-7"/>
          <w:sz w:val="20"/>
        </w:rPr>
        <w:t> </w:t>
      </w:r>
      <w:r>
        <w:rPr>
          <w:sz w:val="20"/>
        </w:rPr>
        <w:t>approach</w:t>
      </w:r>
      <w:r>
        <w:rPr>
          <w:spacing w:val="-7"/>
          <w:sz w:val="20"/>
        </w:rPr>
        <w:t> </w:t>
      </w:r>
      <w:r>
        <w:rPr>
          <w:sz w:val="20"/>
        </w:rPr>
        <w:t>taken</w:t>
      </w:r>
      <w:r>
        <w:rPr>
          <w:spacing w:val="-9"/>
          <w:sz w:val="20"/>
        </w:rPr>
        <w:t> </w:t>
      </w:r>
      <w:r>
        <w:rPr>
          <w:sz w:val="20"/>
        </w:rPr>
        <w:t>more</w:t>
      </w:r>
      <w:r>
        <w:rPr>
          <w:spacing w:val="-7"/>
          <w:sz w:val="20"/>
        </w:rPr>
        <w:t> </w:t>
      </w:r>
      <w:r>
        <w:rPr>
          <w:sz w:val="20"/>
        </w:rPr>
        <w:t>generally</w:t>
      </w:r>
      <w:r>
        <w:rPr>
          <w:spacing w:val="-9"/>
          <w:sz w:val="20"/>
        </w:rPr>
        <w:t> </w:t>
      </w:r>
      <w:r>
        <w:rPr>
          <w:sz w:val="20"/>
        </w:rPr>
        <w:t>of</w:t>
      </w:r>
      <w:r>
        <w:rPr>
          <w:spacing w:val="-6"/>
          <w:sz w:val="20"/>
        </w:rPr>
        <w:t> </w:t>
      </w:r>
      <w:r>
        <w:rPr>
          <w:sz w:val="20"/>
        </w:rPr>
        <w:t>not</w:t>
      </w:r>
      <w:r>
        <w:rPr>
          <w:spacing w:val="-6"/>
          <w:sz w:val="20"/>
        </w:rPr>
        <w:t> </w:t>
      </w:r>
      <w:r>
        <w:rPr>
          <w:sz w:val="20"/>
        </w:rPr>
        <w:t>limiting</w:t>
      </w:r>
      <w:r>
        <w:rPr>
          <w:spacing w:val="-7"/>
          <w:sz w:val="20"/>
        </w:rPr>
        <w:t> </w:t>
      </w:r>
      <w:r>
        <w:rPr>
          <w:sz w:val="20"/>
        </w:rPr>
        <w:t>the notion of a CFB to cases where there is a direct contractual sale to the consumer, but a broader concept of</w:t>
      </w:r>
      <w:r>
        <w:rPr>
          <w:spacing w:val="-7"/>
          <w:sz w:val="20"/>
        </w:rPr>
        <w:t> </w:t>
      </w:r>
      <w:r>
        <w:rPr>
          <w:sz w:val="20"/>
        </w:rPr>
        <w:t>how</w:t>
      </w:r>
      <w:r>
        <w:rPr>
          <w:spacing w:val="-9"/>
          <w:sz w:val="20"/>
        </w:rPr>
        <w:t> </w:t>
      </w:r>
      <w:r>
        <w:rPr>
          <w:sz w:val="20"/>
        </w:rPr>
        <w:t>the</w:t>
      </w:r>
      <w:r>
        <w:rPr>
          <w:spacing w:val="-5"/>
          <w:sz w:val="20"/>
        </w:rPr>
        <w:t> </w:t>
      </w:r>
      <w:r>
        <w:rPr>
          <w:sz w:val="20"/>
        </w:rPr>
        <w:t>MNE</w:t>
      </w:r>
      <w:r>
        <w:rPr>
          <w:spacing w:val="-7"/>
          <w:sz w:val="20"/>
        </w:rPr>
        <w:t> </w:t>
      </w:r>
      <w:r>
        <w:rPr>
          <w:sz w:val="20"/>
        </w:rPr>
        <w:t>places</w:t>
      </w:r>
      <w:r>
        <w:rPr>
          <w:spacing w:val="-6"/>
          <w:sz w:val="20"/>
        </w:rPr>
        <w:t> </w:t>
      </w:r>
      <w:r>
        <w:rPr>
          <w:sz w:val="20"/>
        </w:rPr>
        <w:t>its</w:t>
      </w:r>
      <w:r>
        <w:rPr>
          <w:spacing w:val="-5"/>
          <w:sz w:val="20"/>
        </w:rPr>
        <w:t> </w:t>
      </w:r>
      <w:r>
        <w:rPr>
          <w:sz w:val="20"/>
        </w:rPr>
        <w:t>products</w:t>
      </w:r>
      <w:r>
        <w:rPr>
          <w:spacing w:val="-5"/>
          <w:sz w:val="20"/>
        </w:rPr>
        <w:t> </w:t>
      </w:r>
      <w:r>
        <w:rPr>
          <w:sz w:val="20"/>
        </w:rPr>
        <w:t>in</w:t>
      </w:r>
      <w:r>
        <w:rPr>
          <w:spacing w:val="-7"/>
          <w:sz w:val="20"/>
        </w:rPr>
        <w:t> </w:t>
      </w:r>
      <w:r>
        <w:rPr>
          <w:sz w:val="20"/>
        </w:rPr>
        <w:t>the</w:t>
      </w:r>
      <w:r>
        <w:rPr>
          <w:spacing w:val="-9"/>
          <w:sz w:val="20"/>
        </w:rPr>
        <w:t> </w:t>
      </w:r>
      <w:r>
        <w:rPr>
          <w:sz w:val="20"/>
        </w:rPr>
        <w:t>market</w:t>
      </w:r>
      <w:r>
        <w:rPr>
          <w:spacing w:val="-9"/>
          <w:sz w:val="20"/>
        </w:rPr>
        <w:t> </w:t>
      </w:r>
      <w:r>
        <w:rPr>
          <w:sz w:val="20"/>
        </w:rPr>
        <w:t>and</w:t>
      </w:r>
      <w:r>
        <w:rPr>
          <w:spacing w:val="-7"/>
          <w:sz w:val="20"/>
        </w:rPr>
        <w:t> </w:t>
      </w:r>
      <w:r>
        <w:rPr>
          <w:sz w:val="20"/>
        </w:rPr>
        <w:t>engages</w:t>
      </w:r>
      <w:r>
        <w:rPr>
          <w:spacing w:val="-5"/>
          <w:sz w:val="20"/>
        </w:rPr>
        <w:t> </w:t>
      </w:r>
      <w:r>
        <w:rPr>
          <w:sz w:val="20"/>
        </w:rPr>
        <w:t>with</w:t>
      </w:r>
      <w:r>
        <w:rPr>
          <w:spacing w:val="-7"/>
          <w:sz w:val="20"/>
        </w:rPr>
        <w:t> </w:t>
      </w:r>
      <w:r>
        <w:rPr>
          <w:sz w:val="20"/>
        </w:rPr>
        <w:t>a</w:t>
      </w:r>
      <w:r>
        <w:rPr>
          <w:spacing w:val="-9"/>
          <w:sz w:val="20"/>
        </w:rPr>
        <w:t> </w:t>
      </w:r>
      <w:r>
        <w:rPr>
          <w:sz w:val="20"/>
        </w:rPr>
        <w:t>consumer,</w:t>
      </w:r>
      <w:r>
        <w:rPr>
          <w:spacing w:val="-8"/>
          <w:sz w:val="20"/>
        </w:rPr>
        <w:t> </w:t>
      </w:r>
      <w:r>
        <w:rPr>
          <w:sz w:val="20"/>
        </w:rPr>
        <w:t>including</w:t>
      </w:r>
      <w:r>
        <w:rPr>
          <w:spacing w:val="-5"/>
          <w:sz w:val="20"/>
        </w:rPr>
        <w:t> </w:t>
      </w:r>
      <w:r>
        <w:rPr>
          <w:sz w:val="20"/>
        </w:rPr>
        <w:t>indirectly</w:t>
      </w:r>
      <w:r>
        <w:rPr>
          <w:spacing w:val="-11"/>
          <w:sz w:val="20"/>
        </w:rPr>
        <w:t> </w:t>
      </w:r>
      <w:r>
        <w:rPr>
          <w:sz w:val="20"/>
        </w:rPr>
        <w:t>(such as the case for franchising and licensing, and through sales via third parties) – in other words, looking to the nature of the product, and not to the specific supply</w:t>
      </w:r>
      <w:r>
        <w:rPr>
          <w:spacing w:val="-10"/>
          <w:sz w:val="20"/>
        </w:rPr>
        <w:t> </w:t>
      </w:r>
      <w:r>
        <w:rPr>
          <w:sz w:val="20"/>
        </w:rPr>
        <w:t>chain.</w:t>
      </w:r>
    </w:p>
    <w:p>
      <w:pPr>
        <w:pStyle w:val="ListParagraph"/>
        <w:numPr>
          <w:ilvl w:val="0"/>
          <w:numId w:val="4"/>
        </w:numPr>
        <w:tabs>
          <w:tab w:pos="1444" w:val="left" w:leader="none"/>
        </w:tabs>
        <w:spacing w:line="271" w:lineRule="auto" w:before="121" w:after="0"/>
        <w:ind w:left="723" w:right="482" w:firstLine="0"/>
        <w:jc w:val="both"/>
        <w:rPr>
          <w:sz w:val="20"/>
        </w:rPr>
      </w:pPr>
      <w:r>
        <w:rPr>
          <w:sz w:val="20"/>
        </w:rPr>
        <w:t>Pharmaceuticals are designed for personal use by individuals. Pharmaceutical drugs are accessible</w:t>
      </w:r>
      <w:r>
        <w:rPr>
          <w:spacing w:val="-13"/>
          <w:sz w:val="20"/>
        </w:rPr>
        <w:t> </w:t>
      </w:r>
      <w:r>
        <w:rPr>
          <w:sz w:val="20"/>
        </w:rPr>
        <w:t>to</w:t>
      </w:r>
      <w:r>
        <w:rPr>
          <w:spacing w:val="-13"/>
          <w:sz w:val="20"/>
        </w:rPr>
        <w:t> </w:t>
      </w:r>
      <w:r>
        <w:rPr>
          <w:sz w:val="20"/>
        </w:rPr>
        <w:t>consumers</w:t>
      </w:r>
      <w:r>
        <w:rPr>
          <w:spacing w:val="-12"/>
          <w:sz w:val="20"/>
        </w:rPr>
        <w:t> </w:t>
      </w:r>
      <w:r>
        <w:rPr>
          <w:sz w:val="20"/>
        </w:rPr>
        <w:t>for</w:t>
      </w:r>
      <w:r>
        <w:rPr>
          <w:spacing w:val="-14"/>
          <w:sz w:val="20"/>
        </w:rPr>
        <w:t> </w:t>
      </w:r>
      <w:r>
        <w:rPr>
          <w:sz w:val="20"/>
        </w:rPr>
        <w:t>personal</w:t>
      </w:r>
      <w:r>
        <w:rPr>
          <w:spacing w:val="-13"/>
          <w:sz w:val="20"/>
        </w:rPr>
        <w:t> </w:t>
      </w:r>
      <w:r>
        <w:rPr>
          <w:sz w:val="20"/>
        </w:rPr>
        <w:t>consumption</w:t>
      </w:r>
      <w:r>
        <w:rPr>
          <w:spacing w:val="-12"/>
          <w:sz w:val="20"/>
        </w:rPr>
        <w:t> </w:t>
      </w:r>
      <w:r>
        <w:rPr>
          <w:sz w:val="20"/>
        </w:rPr>
        <w:t>(e.g.</w:t>
      </w:r>
      <w:r>
        <w:rPr>
          <w:spacing w:val="-10"/>
          <w:sz w:val="20"/>
        </w:rPr>
        <w:t> </w:t>
      </w:r>
      <w:r>
        <w:rPr>
          <w:sz w:val="20"/>
        </w:rPr>
        <w:t>being</w:t>
      </w:r>
      <w:r>
        <w:rPr>
          <w:spacing w:val="-13"/>
          <w:sz w:val="20"/>
        </w:rPr>
        <w:t> </w:t>
      </w:r>
      <w:r>
        <w:rPr>
          <w:sz w:val="20"/>
        </w:rPr>
        <w:t>prepared</w:t>
      </w:r>
      <w:r>
        <w:rPr>
          <w:spacing w:val="-10"/>
          <w:sz w:val="20"/>
        </w:rPr>
        <w:t> </w:t>
      </w:r>
      <w:r>
        <w:rPr>
          <w:sz w:val="20"/>
        </w:rPr>
        <w:t>in</w:t>
      </w:r>
      <w:r>
        <w:rPr>
          <w:spacing w:val="-10"/>
          <w:sz w:val="20"/>
        </w:rPr>
        <w:t> </w:t>
      </w:r>
      <w:r>
        <w:rPr>
          <w:sz w:val="20"/>
        </w:rPr>
        <w:t>a</w:t>
      </w:r>
      <w:r>
        <w:rPr>
          <w:spacing w:val="-12"/>
          <w:sz w:val="20"/>
        </w:rPr>
        <w:t> </w:t>
      </w:r>
      <w:r>
        <w:rPr>
          <w:sz w:val="20"/>
        </w:rPr>
        <w:t>package</w:t>
      </w:r>
      <w:r>
        <w:rPr>
          <w:spacing w:val="-13"/>
          <w:sz w:val="20"/>
        </w:rPr>
        <w:t> </w:t>
      </w:r>
      <w:r>
        <w:rPr>
          <w:sz w:val="20"/>
        </w:rPr>
        <w:t>and</w:t>
      </w:r>
      <w:r>
        <w:rPr>
          <w:spacing w:val="-10"/>
          <w:sz w:val="20"/>
        </w:rPr>
        <w:t> </w:t>
      </w:r>
      <w:r>
        <w:rPr>
          <w:sz w:val="20"/>
        </w:rPr>
        <w:t>with</w:t>
      </w:r>
      <w:r>
        <w:rPr>
          <w:spacing w:val="-12"/>
          <w:sz w:val="20"/>
        </w:rPr>
        <w:t> </w:t>
      </w:r>
      <w:r>
        <w:rPr>
          <w:sz w:val="20"/>
        </w:rPr>
        <w:t>instructions for</w:t>
      </w:r>
      <w:r>
        <w:rPr>
          <w:spacing w:val="-15"/>
          <w:sz w:val="20"/>
        </w:rPr>
        <w:t> </w:t>
      </w:r>
      <w:r>
        <w:rPr>
          <w:sz w:val="20"/>
        </w:rPr>
        <w:t>use,</w:t>
      </w:r>
      <w:r>
        <w:rPr>
          <w:spacing w:val="-16"/>
          <w:sz w:val="20"/>
        </w:rPr>
        <w:t> </w:t>
      </w:r>
      <w:r>
        <w:rPr>
          <w:sz w:val="20"/>
        </w:rPr>
        <w:t>as</w:t>
      </w:r>
      <w:r>
        <w:rPr>
          <w:spacing w:val="-15"/>
          <w:sz w:val="20"/>
        </w:rPr>
        <w:t> </w:t>
      </w:r>
      <w:r>
        <w:rPr>
          <w:sz w:val="20"/>
        </w:rPr>
        <w:t>opposed</w:t>
      </w:r>
      <w:r>
        <w:rPr>
          <w:spacing w:val="-16"/>
          <w:sz w:val="20"/>
        </w:rPr>
        <w:t> </w:t>
      </w:r>
      <w:r>
        <w:rPr>
          <w:sz w:val="20"/>
        </w:rPr>
        <w:t>to</w:t>
      </w:r>
      <w:r>
        <w:rPr>
          <w:spacing w:val="-14"/>
          <w:sz w:val="20"/>
        </w:rPr>
        <w:t> </w:t>
      </w:r>
      <w:r>
        <w:rPr>
          <w:sz w:val="20"/>
        </w:rPr>
        <w:t>being</w:t>
      </w:r>
      <w:r>
        <w:rPr>
          <w:spacing w:val="-16"/>
          <w:sz w:val="20"/>
        </w:rPr>
        <w:t> </w:t>
      </w:r>
      <w:r>
        <w:rPr>
          <w:sz w:val="20"/>
        </w:rPr>
        <w:t>a</w:t>
      </w:r>
      <w:r>
        <w:rPr>
          <w:spacing w:val="-15"/>
          <w:sz w:val="20"/>
        </w:rPr>
        <w:t> </w:t>
      </w:r>
      <w:r>
        <w:rPr>
          <w:sz w:val="20"/>
        </w:rPr>
        <w:t>bulk</w:t>
      </w:r>
      <w:r>
        <w:rPr>
          <w:spacing w:val="-12"/>
          <w:sz w:val="20"/>
        </w:rPr>
        <w:t> </w:t>
      </w:r>
      <w:r>
        <w:rPr>
          <w:sz w:val="20"/>
        </w:rPr>
        <w:t>chemical</w:t>
      </w:r>
      <w:r>
        <w:rPr>
          <w:spacing w:val="-17"/>
          <w:sz w:val="20"/>
        </w:rPr>
        <w:t> </w:t>
      </w:r>
      <w:r>
        <w:rPr>
          <w:sz w:val="20"/>
        </w:rPr>
        <w:t>compound),</w:t>
      </w:r>
      <w:r>
        <w:rPr>
          <w:spacing w:val="-15"/>
          <w:sz w:val="20"/>
        </w:rPr>
        <w:t> </w:t>
      </w:r>
      <w:r>
        <w:rPr>
          <w:sz w:val="20"/>
        </w:rPr>
        <w:t>albeit</w:t>
      </w:r>
      <w:r>
        <w:rPr>
          <w:spacing w:val="-14"/>
          <w:sz w:val="20"/>
        </w:rPr>
        <w:t> </w:t>
      </w:r>
      <w:r>
        <w:rPr>
          <w:sz w:val="20"/>
        </w:rPr>
        <w:t>with</w:t>
      </w:r>
      <w:r>
        <w:rPr>
          <w:spacing w:val="-16"/>
          <w:sz w:val="20"/>
        </w:rPr>
        <w:t> </w:t>
      </w:r>
      <w:r>
        <w:rPr>
          <w:sz w:val="20"/>
        </w:rPr>
        <w:t>the</w:t>
      </w:r>
      <w:r>
        <w:rPr>
          <w:spacing w:val="-15"/>
          <w:sz w:val="20"/>
        </w:rPr>
        <w:t> </w:t>
      </w:r>
      <w:r>
        <w:rPr>
          <w:sz w:val="20"/>
        </w:rPr>
        <w:t>support</w:t>
      </w:r>
      <w:r>
        <w:rPr>
          <w:spacing w:val="-10"/>
          <w:sz w:val="20"/>
        </w:rPr>
        <w:t> </w:t>
      </w:r>
      <w:r>
        <w:rPr>
          <w:sz w:val="20"/>
        </w:rPr>
        <w:t>of</w:t>
      </w:r>
      <w:r>
        <w:rPr>
          <w:spacing w:val="-14"/>
          <w:sz w:val="20"/>
        </w:rPr>
        <w:t> </w:t>
      </w:r>
      <w:r>
        <w:rPr>
          <w:sz w:val="20"/>
        </w:rPr>
        <w:t>the</w:t>
      </w:r>
      <w:r>
        <w:rPr>
          <w:spacing w:val="-16"/>
          <w:sz w:val="20"/>
        </w:rPr>
        <w:t> </w:t>
      </w:r>
      <w:r>
        <w:rPr>
          <w:sz w:val="20"/>
        </w:rPr>
        <w:t>medical</w:t>
      </w:r>
      <w:r>
        <w:rPr>
          <w:spacing w:val="-15"/>
          <w:sz w:val="20"/>
        </w:rPr>
        <w:t> </w:t>
      </w:r>
      <w:r>
        <w:rPr>
          <w:sz w:val="20"/>
        </w:rPr>
        <w:t>professional for safety reasons. Further, the MNE has developed the goods or services to be regularly, repeatedly, or ordinarily supplied to consumers, including by undertaking research as to consumer needs and being available for providing consumer support. Finally, it could be argued that pharmaceuticals are sold to consumers, indirectly as part of a broader delivery of a medical service noting that this could have wider implications for the CFB</w:t>
      </w:r>
      <w:r>
        <w:rPr>
          <w:spacing w:val="-4"/>
          <w:sz w:val="20"/>
        </w:rPr>
        <w:t> </w:t>
      </w:r>
      <w:r>
        <w:rPr>
          <w:sz w:val="20"/>
        </w:rPr>
        <w:t>scope.</w:t>
      </w:r>
    </w:p>
    <w:p>
      <w:pPr>
        <w:pStyle w:val="ListParagraph"/>
        <w:numPr>
          <w:ilvl w:val="0"/>
          <w:numId w:val="4"/>
        </w:numPr>
        <w:tabs>
          <w:tab w:pos="1444" w:val="left" w:leader="none"/>
        </w:tabs>
        <w:spacing w:line="273" w:lineRule="auto" w:before="120" w:after="0"/>
        <w:ind w:left="723" w:right="487" w:firstLine="0"/>
        <w:jc w:val="both"/>
        <w:rPr>
          <w:sz w:val="20"/>
        </w:rPr>
      </w:pPr>
      <w:r>
        <w:rPr>
          <w:sz w:val="20"/>
        </w:rPr>
        <w:t>The</w:t>
      </w:r>
      <w:r>
        <w:rPr>
          <w:spacing w:val="-14"/>
          <w:sz w:val="20"/>
        </w:rPr>
        <w:t> </w:t>
      </w:r>
      <w:r>
        <w:rPr>
          <w:sz w:val="20"/>
        </w:rPr>
        <w:t>approach</w:t>
      </w:r>
      <w:r>
        <w:rPr>
          <w:spacing w:val="-12"/>
          <w:sz w:val="20"/>
        </w:rPr>
        <w:t> </w:t>
      </w:r>
      <w:r>
        <w:rPr>
          <w:sz w:val="20"/>
        </w:rPr>
        <w:t>may</w:t>
      </w:r>
      <w:r>
        <w:rPr>
          <w:spacing w:val="-16"/>
          <w:sz w:val="20"/>
        </w:rPr>
        <w:t> </w:t>
      </w:r>
      <w:r>
        <w:rPr>
          <w:sz w:val="20"/>
        </w:rPr>
        <w:t>be</w:t>
      </w:r>
      <w:r>
        <w:rPr>
          <w:spacing w:val="-14"/>
          <w:sz w:val="20"/>
        </w:rPr>
        <w:t> </w:t>
      </w:r>
      <w:r>
        <w:rPr>
          <w:sz w:val="20"/>
        </w:rPr>
        <w:t>simple</w:t>
      </w:r>
      <w:r>
        <w:rPr>
          <w:spacing w:val="-14"/>
          <w:sz w:val="20"/>
        </w:rPr>
        <w:t> </w:t>
      </w:r>
      <w:r>
        <w:rPr>
          <w:sz w:val="20"/>
        </w:rPr>
        <w:t>to</w:t>
      </w:r>
      <w:r>
        <w:rPr>
          <w:spacing w:val="-11"/>
          <w:sz w:val="20"/>
        </w:rPr>
        <w:t> </w:t>
      </w:r>
      <w:r>
        <w:rPr>
          <w:sz w:val="20"/>
        </w:rPr>
        <w:t>administer,</w:t>
      </w:r>
      <w:r>
        <w:rPr>
          <w:spacing w:val="-11"/>
          <w:sz w:val="20"/>
        </w:rPr>
        <w:t> </w:t>
      </w:r>
      <w:r>
        <w:rPr>
          <w:sz w:val="20"/>
        </w:rPr>
        <w:t>as</w:t>
      </w:r>
      <w:r>
        <w:rPr>
          <w:spacing w:val="-13"/>
          <w:sz w:val="20"/>
        </w:rPr>
        <w:t> </w:t>
      </w:r>
      <w:r>
        <w:rPr>
          <w:sz w:val="20"/>
        </w:rPr>
        <w:t>there</w:t>
      </w:r>
      <w:r>
        <w:rPr>
          <w:spacing w:val="-9"/>
          <w:sz w:val="20"/>
        </w:rPr>
        <w:t> </w:t>
      </w:r>
      <w:r>
        <w:rPr>
          <w:sz w:val="20"/>
        </w:rPr>
        <w:t>would</w:t>
      </w:r>
      <w:r>
        <w:rPr>
          <w:spacing w:val="-11"/>
          <w:sz w:val="20"/>
        </w:rPr>
        <w:t> </w:t>
      </w:r>
      <w:r>
        <w:rPr>
          <w:sz w:val="20"/>
        </w:rPr>
        <w:t>be</w:t>
      </w:r>
      <w:r>
        <w:rPr>
          <w:spacing w:val="-12"/>
          <w:sz w:val="20"/>
        </w:rPr>
        <w:t> </w:t>
      </w:r>
      <w:r>
        <w:rPr>
          <w:sz w:val="20"/>
        </w:rPr>
        <w:t>no</w:t>
      </w:r>
      <w:r>
        <w:rPr>
          <w:spacing w:val="-12"/>
          <w:sz w:val="20"/>
        </w:rPr>
        <w:t> </w:t>
      </w:r>
      <w:r>
        <w:rPr>
          <w:sz w:val="20"/>
        </w:rPr>
        <w:t>need</w:t>
      </w:r>
      <w:r>
        <w:rPr>
          <w:spacing w:val="-14"/>
          <w:sz w:val="20"/>
        </w:rPr>
        <w:t> </w:t>
      </w:r>
      <w:r>
        <w:rPr>
          <w:sz w:val="20"/>
        </w:rPr>
        <w:t>to</w:t>
      </w:r>
      <w:r>
        <w:rPr>
          <w:spacing w:val="-13"/>
          <w:sz w:val="20"/>
        </w:rPr>
        <w:t> </w:t>
      </w:r>
      <w:r>
        <w:rPr>
          <w:sz w:val="20"/>
        </w:rPr>
        <w:t>separate</w:t>
      </w:r>
      <w:r>
        <w:rPr>
          <w:spacing w:val="-12"/>
          <w:sz w:val="20"/>
        </w:rPr>
        <w:t> </w:t>
      </w:r>
      <w:r>
        <w:rPr>
          <w:sz w:val="20"/>
        </w:rPr>
        <w:t>products</w:t>
      </w:r>
      <w:r>
        <w:rPr>
          <w:spacing w:val="-13"/>
          <w:sz w:val="20"/>
        </w:rPr>
        <w:t> </w:t>
      </w:r>
      <w:r>
        <w:rPr>
          <w:sz w:val="20"/>
        </w:rPr>
        <w:t>based on the particular supply</w:t>
      </w:r>
      <w:r>
        <w:rPr>
          <w:spacing w:val="-9"/>
          <w:sz w:val="20"/>
        </w:rPr>
        <w:t> </w:t>
      </w:r>
      <w:r>
        <w:rPr>
          <w:sz w:val="20"/>
        </w:rPr>
        <w:t>channel.</w:t>
      </w:r>
    </w:p>
    <w:p>
      <w:pPr>
        <w:pStyle w:val="ListParagraph"/>
        <w:numPr>
          <w:ilvl w:val="0"/>
          <w:numId w:val="4"/>
        </w:numPr>
        <w:tabs>
          <w:tab w:pos="1444" w:val="left" w:leader="none"/>
        </w:tabs>
        <w:spacing w:line="271" w:lineRule="auto" w:before="117" w:after="0"/>
        <w:ind w:left="723" w:right="483" w:firstLine="0"/>
        <w:jc w:val="both"/>
        <w:rPr>
          <w:sz w:val="20"/>
        </w:rPr>
      </w:pPr>
      <w:r>
        <w:rPr>
          <w:sz w:val="20"/>
        </w:rPr>
        <w:t>It would also have the benefit of being applied in a more consistent way across jurisdictions. For a range of reasons, jurisdictions make different decisions as to the designation of a given drug as prescription</w:t>
      </w:r>
      <w:r>
        <w:rPr>
          <w:spacing w:val="-5"/>
          <w:sz w:val="20"/>
        </w:rPr>
        <w:t> </w:t>
      </w:r>
      <w:r>
        <w:rPr>
          <w:sz w:val="20"/>
        </w:rPr>
        <w:t>only</w:t>
      </w:r>
      <w:r>
        <w:rPr>
          <w:spacing w:val="-7"/>
          <w:sz w:val="20"/>
        </w:rPr>
        <w:t> </w:t>
      </w:r>
      <w:r>
        <w:rPr>
          <w:sz w:val="20"/>
        </w:rPr>
        <w:t>or</w:t>
      </w:r>
      <w:r>
        <w:rPr>
          <w:spacing w:val="-2"/>
          <w:sz w:val="20"/>
        </w:rPr>
        <w:t> </w:t>
      </w:r>
      <w:r>
        <w:rPr>
          <w:sz w:val="20"/>
        </w:rPr>
        <w:t>OTC.</w:t>
      </w:r>
      <w:r>
        <w:rPr>
          <w:spacing w:val="-4"/>
          <w:sz w:val="20"/>
        </w:rPr>
        <w:t> </w:t>
      </w:r>
      <w:r>
        <w:rPr>
          <w:sz w:val="20"/>
        </w:rPr>
        <w:t>Drugs</w:t>
      </w:r>
      <w:r>
        <w:rPr>
          <w:spacing w:val="-3"/>
          <w:sz w:val="20"/>
        </w:rPr>
        <w:t> </w:t>
      </w:r>
      <w:r>
        <w:rPr>
          <w:sz w:val="20"/>
        </w:rPr>
        <w:t>that</w:t>
      </w:r>
      <w:r>
        <w:rPr>
          <w:spacing w:val="-5"/>
          <w:sz w:val="20"/>
        </w:rPr>
        <w:t> </w:t>
      </w:r>
      <w:r>
        <w:rPr>
          <w:sz w:val="20"/>
        </w:rPr>
        <w:t>are</w:t>
      </w:r>
      <w:r>
        <w:rPr>
          <w:spacing w:val="-4"/>
          <w:sz w:val="20"/>
        </w:rPr>
        <w:t> </w:t>
      </w:r>
      <w:r>
        <w:rPr>
          <w:sz w:val="20"/>
        </w:rPr>
        <w:t>sold</w:t>
      </w:r>
      <w:r>
        <w:rPr>
          <w:spacing w:val="-3"/>
          <w:sz w:val="20"/>
        </w:rPr>
        <w:t> </w:t>
      </w:r>
      <w:r>
        <w:rPr>
          <w:sz w:val="20"/>
        </w:rPr>
        <w:t>OTC</w:t>
      </w:r>
      <w:r>
        <w:rPr>
          <w:spacing w:val="-3"/>
          <w:sz w:val="20"/>
        </w:rPr>
        <w:t> </w:t>
      </w:r>
      <w:r>
        <w:rPr>
          <w:sz w:val="20"/>
        </w:rPr>
        <w:t>in</w:t>
      </w:r>
      <w:r>
        <w:rPr>
          <w:spacing w:val="-2"/>
          <w:sz w:val="20"/>
        </w:rPr>
        <w:t> </w:t>
      </w:r>
      <w:r>
        <w:rPr>
          <w:sz w:val="20"/>
        </w:rPr>
        <w:t>one</w:t>
      </w:r>
      <w:r>
        <w:rPr>
          <w:spacing w:val="-5"/>
          <w:sz w:val="20"/>
        </w:rPr>
        <w:t> </w:t>
      </w:r>
      <w:r>
        <w:rPr>
          <w:sz w:val="20"/>
        </w:rPr>
        <w:t>jurisdiction</w:t>
      </w:r>
      <w:r>
        <w:rPr>
          <w:spacing w:val="-5"/>
          <w:sz w:val="20"/>
        </w:rPr>
        <w:t> </w:t>
      </w:r>
      <w:r>
        <w:rPr>
          <w:sz w:val="20"/>
        </w:rPr>
        <w:t>can</w:t>
      </w:r>
      <w:r>
        <w:rPr>
          <w:spacing w:val="-4"/>
          <w:sz w:val="20"/>
        </w:rPr>
        <w:t> </w:t>
      </w:r>
      <w:r>
        <w:rPr>
          <w:sz w:val="20"/>
        </w:rPr>
        <w:t>be</w:t>
      </w:r>
      <w:r>
        <w:rPr>
          <w:spacing w:val="-3"/>
          <w:sz w:val="20"/>
        </w:rPr>
        <w:t> </w:t>
      </w:r>
      <w:r>
        <w:rPr>
          <w:sz w:val="20"/>
        </w:rPr>
        <w:t>prohibited</w:t>
      </w:r>
      <w:r>
        <w:rPr>
          <w:spacing w:val="-4"/>
          <w:sz w:val="20"/>
        </w:rPr>
        <w:t> </w:t>
      </w:r>
      <w:r>
        <w:rPr>
          <w:sz w:val="20"/>
        </w:rPr>
        <w:t>altogether</w:t>
      </w:r>
      <w:r>
        <w:rPr>
          <w:spacing w:val="-4"/>
          <w:sz w:val="20"/>
        </w:rPr>
        <w:t> </w:t>
      </w:r>
      <w:r>
        <w:rPr>
          <w:sz w:val="20"/>
        </w:rPr>
        <w:t>in</w:t>
      </w:r>
      <w:r>
        <w:rPr>
          <w:spacing w:val="-2"/>
          <w:sz w:val="20"/>
        </w:rPr>
        <w:t> </w:t>
      </w:r>
      <w:r>
        <w:rPr>
          <w:sz w:val="20"/>
        </w:rPr>
        <w:t>other jurisdictions. There is no world-wide, general definition of OTC or prescription only drugs (and creating such</w:t>
      </w:r>
      <w:r>
        <w:rPr>
          <w:spacing w:val="-17"/>
          <w:sz w:val="20"/>
        </w:rPr>
        <w:t> </w:t>
      </w:r>
      <w:r>
        <w:rPr>
          <w:sz w:val="20"/>
        </w:rPr>
        <w:t>a</w:t>
      </w:r>
      <w:r>
        <w:rPr>
          <w:spacing w:val="-16"/>
          <w:sz w:val="20"/>
        </w:rPr>
        <w:t> </w:t>
      </w:r>
      <w:r>
        <w:rPr>
          <w:sz w:val="20"/>
        </w:rPr>
        <w:t>uniform</w:t>
      </w:r>
      <w:r>
        <w:rPr>
          <w:spacing w:val="-11"/>
          <w:sz w:val="20"/>
        </w:rPr>
        <w:t> </w:t>
      </w:r>
      <w:r>
        <w:rPr>
          <w:sz w:val="20"/>
        </w:rPr>
        <w:t>list</w:t>
      </w:r>
      <w:r>
        <w:rPr>
          <w:spacing w:val="-17"/>
          <w:sz w:val="20"/>
        </w:rPr>
        <w:t> </w:t>
      </w:r>
      <w:r>
        <w:rPr>
          <w:sz w:val="20"/>
        </w:rPr>
        <w:t>would</w:t>
      </w:r>
      <w:r>
        <w:rPr>
          <w:spacing w:val="-16"/>
          <w:sz w:val="20"/>
        </w:rPr>
        <w:t> </w:t>
      </w:r>
      <w:r>
        <w:rPr>
          <w:sz w:val="20"/>
        </w:rPr>
        <w:t>be</w:t>
      </w:r>
      <w:r>
        <w:rPr>
          <w:spacing w:val="-14"/>
          <w:sz w:val="20"/>
        </w:rPr>
        <w:t> </w:t>
      </w:r>
      <w:r>
        <w:rPr>
          <w:sz w:val="20"/>
        </w:rPr>
        <w:t>virtually</w:t>
      </w:r>
      <w:r>
        <w:rPr>
          <w:spacing w:val="-17"/>
          <w:sz w:val="20"/>
        </w:rPr>
        <w:t> </w:t>
      </w:r>
      <w:r>
        <w:rPr>
          <w:sz w:val="20"/>
        </w:rPr>
        <w:t>impossible,</w:t>
      </w:r>
      <w:r>
        <w:rPr>
          <w:spacing w:val="-17"/>
          <w:sz w:val="20"/>
        </w:rPr>
        <w:t> </w:t>
      </w:r>
      <w:r>
        <w:rPr>
          <w:sz w:val="20"/>
        </w:rPr>
        <w:t>both</w:t>
      </w:r>
      <w:r>
        <w:rPr>
          <w:spacing w:val="-14"/>
          <w:sz w:val="20"/>
        </w:rPr>
        <w:t> </w:t>
      </w:r>
      <w:r>
        <w:rPr>
          <w:sz w:val="20"/>
        </w:rPr>
        <w:t>in</w:t>
      </w:r>
      <w:r>
        <w:rPr>
          <w:spacing w:val="-16"/>
          <w:sz w:val="20"/>
        </w:rPr>
        <w:t> </w:t>
      </w:r>
      <w:r>
        <w:rPr>
          <w:sz w:val="20"/>
        </w:rPr>
        <w:t>the</w:t>
      </w:r>
      <w:r>
        <w:rPr>
          <w:spacing w:val="-17"/>
          <w:sz w:val="20"/>
        </w:rPr>
        <w:t> </w:t>
      </w:r>
      <w:r>
        <w:rPr>
          <w:sz w:val="20"/>
        </w:rPr>
        <w:t>first</w:t>
      </w:r>
      <w:r>
        <w:rPr>
          <w:spacing w:val="-16"/>
          <w:sz w:val="20"/>
        </w:rPr>
        <w:t> </w:t>
      </w:r>
      <w:r>
        <w:rPr>
          <w:sz w:val="20"/>
        </w:rPr>
        <w:t>instance</w:t>
      </w:r>
      <w:r>
        <w:rPr>
          <w:spacing w:val="-17"/>
          <w:sz w:val="20"/>
        </w:rPr>
        <w:t> </w:t>
      </w:r>
      <w:r>
        <w:rPr>
          <w:sz w:val="20"/>
        </w:rPr>
        <w:t>and</w:t>
      </w:r>
      <w:r>
        <w:rPr>
          <w:spacing w:val="-17"/>
          <w:sz w:val="20"/>
        </w:rPr>
        <w:t> </w:t>
      </w:r>
      <w:r>
        <w:rPr>
          <w:sz w:val="20"/>
        </w:rPr>
        <w:t>to</w:t>
      </w:r>
      <w:r>
        <w:rPr>
          <w:spacing w:val="-14"/>
          <w:sz w:val="20"/>
        </w:rPr>
        <w:t> </w:t>
      </w:r>
      <w:r>
        <w:rPr>
          <w:sz w:val="20"/>
        </w:rPr>
        <w:t>update</w:t>
      </w:r>
      <w:r>
        <w:rPr>
          <w:spacing w:val="-16"/>
          <w:sz w:val="20"/>
        </w:rPr>
        <w:t> </w:t>
      </w:r>
      <w:r>
        <w:rPr>
          <w:sz w:val="20"/>
        </w:rPr>
        <w:t>over</w:t>
      </w:r>
      <w:r>
        <w:rPr>
          <w:spacing w:val="-16"/>
          <w:sz w:val="20"/>
        </w:rPr>
        <w:t> </w:t>
      </w:r>
      <w:r>
        <w:rPr>
          <w:sz w:val="20"/>
        </w:rPr>
        <w:t>time).</w:t>
      </w:r>
      <w:r>
        <w:rPr>
          <w:spacing w:val="-15"/>
          <w:sz w:val="20"/>
        </w:rPr>
        <w:t> </w:t>
      </w:r>
      <w:r>
        <w:rPr>
          <w:sz w:val="20"/>
        </w:rPr>
        <w:t>Applying an inclusive approach whereby all drugs were included in scope would mean the same drugs would be in scope</w:t>
      </w:r>
      <w:r>
        <w:rPr>
          <w:spacing w:val="-7"/>
          <w:sz w:val="20"/>
        </w:rPr>
        <w:t> </w:t>
      </w:r>
      <w:r>
        <w:rPr>
          <w:sz w:val="20"/>
        </w:rPr>
        <w:t>in</w:t>
      </w:r>
      <w:r>
        <w:rPr>
          <w:spacing w:val="-7"/>
          <w:sz w:val="20"/>
        </w:rPr>
        <w:t> </w:t>
      </w:r>
      <w:r>
        <w:rPr>
          <w:sz w:val="20"/>
        </w:rPr>
        <w:t>every</w:t>
      </w:r>
      <w:r>
        <w:rPr>
          <w:spacing w:val="-10"/>
          <w:sz w:val="20"/>
        </w:rPr>
        <w:t> </w:t>
      </w:r>
      <w:r>
        <w:rPr>
          <w:sz w:val="20"/>
        </w:rPr>
        <w:t>country,</w:t>
      </w:r>
      <w:r>
        <w:rPr>
          <w:spacing w:val="-5"/>
          <w:sz w:val="20"/>
        </w:rPr>
        <w:t> </w:t>
      </w:r>
      <w:r>
        <w:rPr>
          <w:sz w:val="20"/>
        </w:rPr>
        <w:t>irrespective</w:t>
      </w:r>
      <w:r>
        <w:rPr>
          <w:spacing w:val="-7"/>
          <w:sz w:val="20"/>
        </w:rPr>
        <w:t> </w:t>
      </w:r>
      <w:r>
        <w:rPr>
          <w:sz w:val="20"/>
        </w:rPr>
        <w:t>of</w:t>
      </w:r>
      <w:r>
        <w:rPr>
          <w:spacing w:val="-5"/>
          <w:sz w:val="20"/>
        </w:rPr>
        <w:t> </w:t>
      </w:r>
      <w:r>
        <w:rPr>
          <w:sz w:val="20"/>
        </w:rPr>
        <w:t>a</w:t>
      </w:r>
      <w:r>
        <w:rPr>
          <w:spacing w:val="-6"/>
          <w:sz w:val="20"/>
        </w:rPr>
        <w:t> </w:t>
      </w:r>
      <w:r>
        <w:rPr>
          <w:sz w:val="20"/>
        </w:rPr>
        <w:t>local</w:t>
      </w:r>
      <w:r>
        <w:rPr>
          <w:spacing w:val="-3"/>
          <w:sz w:val="20"/>
        </w:rPr>
        <w:t> </w:t>
      </w:r>
      <w:r>
        <w:rPr>
          <w:sz w:val="20"/>
        </w:rPr>
        <w:t>regulatory</w:t>
      </w:r>
      <w:r>
        <w:rPr>
          <w:spacing w:val="-8"/>
          <w:sz w:val="20"/>
        </w:rPr>
        <w:t> </w:t>
      </w:r>
      <w:r>
        <w:rPr>
          <w:sz w:val="20"/>
        </w:rPr>
        <w:t>designation.</w:t>
      </w:r>
      <w:r>
        <w:rPr>
          <w:spacing w:val="-4"/>
          <w:sz w:val="20"/>
        </w:rPr>
        <w:t> </w:t>
      </w:r>
      <w:r>
        <w:rPr>
          <w:sz w:val="20"/>
        </w:rPr>
        <w:t>This</w:t>
      </w:r>
      <w:r>
        <w:rPr>
          <w:spacing w:val="-4"/>
          <w:sz w:val="20"/>
        </w:rPr>
        <w:t> </w:t>
      </w:r>
      <w:r>
        <w:rPr>
          <w:sz w:val="20"/>
        </w:rPr>
        <w:t>would</w:t>
      </w:r>
      <w:r>
        <w:rPr>
          <w:spacing w:val="-5"/>
          <w:sz w:val="20"/>
        </w:rPr>
        <w:t> </w:t>
      </w:r>
      <w:r>
        <w:rPr>
          <w:sz w:val="20"/>
        </w:rPr>
        <w:t>give</w:t>
      </w:r>
      <w:r>
        <w:rPr>
          <w:spacing w:val="-4"/>
          <w:sz w:val="20"/>
        </w:rPr>
        <w:t> </w:t>
      </w:r>
      <w:r>
        <w:rPr>
          <w:sz w:val="20"/>
        </w:rPr>
        <w:t>each</w:t>
      </w:r>
      <w:r>
        <w:rPr>
          <w:spacing w:val="-8"/>
          <w:sz w:val="20"/>
        </w:rPr>
        <w:t> </w:t>
      </w:r>
      <w:r>
        <w:rPr>
          <w:sz w:val="20"/>
        </w:rPr>
        <w:t>jurisdiction</w:t>
      </w:r>
      <w:r>
        <w:rPr>
          <w:spacing w:val="-5"/>
          <w:sz w:val="20"/>
        </w:rPr>
        <w:t> </w:t>
      </w:r>
      <w:r>
        <w:rPr>
          <w:sz w:val="20"/>
        </w:rPr>
        <w:t>the possibility to receive an allocation of Amount A, irrespective of the regulatory approach</w:t>
      </w:r>
      <w:r>
        <w:rPr>
          <w:spacing w:val="-27"/>
          <w:sz w:val="20"/>
        </w:rPr>
        <w:t> </w:t>
      </w:r>
      <w:r>
        <w:rPr>
          <w:sz w:val="20"/>
        </w:rPr>
        <w:t>taken.</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4"/>
        </w:numPr>
        <w:tabs>
          <w:tab w:pos="1444" w:val="left" w:leader="none"/>
        </w:tabs>
        <w:spacing w:line="271" w:lineRule="auto" w:before="93" w:after="0"/>
        <w:ind w:left="723" w:right="481" w:firstLine="0"/>
        <w:jc w:val="both"/>
        <w:rPr>
          <w:sz w:val="20"/>
        </w:rPr>
      </w:pPr>
      <w:r>
        <w:rPr>
          <w:sz w:val="20"/>
        </w:rPr>
        <w:t>In addition, Inclusive Framework members advocating the inclusion of prescription drugs within the definition of CFB take the view that the businesses that manufacture and distribute such products typically benefit from much higher profit margins than for OTC drugs because of the value of the legally protected intangibles often associated with prescription drugs. They believe that such high profit margins and</w:t>
      </w:r>
      <w:r>
        <w:rPr>
          <w:spacing w:val="-16"/>
          <w:sz w:val="20"/>
        </w:rPr>
        <w:t> </w:t>
      </w:r>
      <w:r>
        <w:rPr>
          <w:sz w:val="20"/>
        </w:rPr>
        <w:t>mobile</w:t>
      </w:r>
      <w:r>
        <w:rPr>
          <w:spacing w:val="-13"/>
          <w:sz w:val="20"/>
        </w:rPr>
        <w:t> </w:t>
      </w:r>
      <w:r>
        <w:rPr>
          <w:sz w:val="20"/>
        </w:rPr>
        <w:t>intangibles</w:t>
      </w:r>
      <w:r>
        <w:rPr>
          <w:spacing w:val="-14"/>
          <w:sz w:val="20"/>
        </w:rPr>
        <w:t> </w:t>
      </w:r>
      <w:r>
        <w:rPr>
          <w:sz w:val="20"/>
        </w:rPr>
        <w:t>have</w:t>
      </w:r>
      <w:r>
        <w:rPr>
          <w:spacing w:val="-14"/>
          <w:sz w:val="20"/>
        </w:rPr>
        <w:t> </w:t>
      </w:r>
      <w:r>
        <w:rPr>
          <w:sz w:val="20"/>
        </w:rPr>
        <w:t>facilitated</w:t>
      </w:r>
      <w:r>
        <w:rPr>
          <w:spacing w:val="-13"/>
          <w:sz w:val="20"/>
        </w:rPr>
        <w:t> </w:t>
      </w:r>
      <w:r>
        <w:rPr>
          <w:sz w:val="20"/>
        </w:rPr>
        <w:t>significant</w:t>
      </w:r>
      <w:r>
        <w:rPr>
          <w:spacing w:val="-13"/>
          <w:sz w:val="20"/>
        </w:rPr>
        <w:t> </w:t>
      </w:r>
      <w:r>
        <w:rPr>
          <w:sz w:val="20"/>
        </w:rPr>
        <w:t>base</w:t>
      </w:r>
      <w:r>
        <w:rPr>
          <w:spacing w:val="-10"/>
          <w:sz w:val="20"/>
        </w:rPr>
        <w:t> </w:t>
      </w:r>
      <w:r>
        <w:rPr>
          <w:sz w:val="20"/>
        </w:rPr>
        <w:t>erosion</w:t>
      </w:r>
      <w:r>
        <w:rPr>
          <w:spacing w:val="-14"/>
          <w:sz w:val="20"/>
        </w:rPr>
        <w:t> </w:t>
      </w:r>
      <w:r>
        <w:rPr>
          <w:sz w:val="20"/>
        </w:rPr>
        <w:t>and</w:t>
      </w:r>
      <w:r>
        <w:rPr>
          <w:spacing w:val="-15"/>
          <w:sz w:val="20"/>
        </w:rPr>
        <w:t> </w:t>
      </w:r>
      <w:r>
        <w:rPr>
          <w:sz w:val="20"/>
        </w:rPr>
        <w:t>profit</w:t>
      </w:r>
      <w:r>
        <w:rPr>
          <w:spacing w:val="-13"/>
          <w:sz w:val="20"/>
        </w:rPr>
        <w:t> </w:t>
      </w:r>
      <w:r>
        <w:rPr>
          <w:sz w:val="20"/>
        </w:rPr>
        <w:t>shifting</w:t>
      </w:r>
      <w:r>
        <w:rPr>
          <w:spacing w:val="-15"/>
          <w:sz w:val="20"/>
        </w:rPr>
        <w:t> </w:t>
      </w:r>
      <w:r>
        <w:rPr>
          <w:sz w:val="20"/>
        </w:rPr>
        <w:t>out</w:t>
      </w:r>
      <w:r>
        <w:rPr>
          <w:spacing w:val="-15"/>
          <w:sz w:val="20"/>
        </w:rPr>
        <w:t> </w:t>
      </w:r>
      <w:r>
        <w:rPr>
          <w:sz w:val="20"/>
        </w:rPr>
        <w:t>of</w:t>
      </w:r>
      <w:r>
        <w:rPr>
          <w:spacing w:val="-13"/>
          <w:sz w:val="20"/>
        </w:rPr>
        <w:t> </w:t>
      </w:r>
      <w:r>
        <w:rPr>
          <w:sz w:val="20"/>
        </w:rPr>
        <w:t>market</w:t>
      </w:r>
      <w:r>
        <w:rPr>
          <w:spacing w:val="-16"/>
          <w:sz w:val="20"/>
        </w:rPr>
        <w:t> </w:t>
      </w:r>
      <w:r>
        <w:rPr>
          <w:sz w:val="20"/>
        </w:rPr>
        <w:t>jurisdictions and into low tax jurisdictions. Proponents of including prescription drugs within the definition of CFB also consider that it would be counter-intuitive to exclude such products that have been the subject of aggressive international tax planning while including only OTC drugs, which pose a lesser risk of base erosion and profit</w:t>
      </w:r>
      <w:r>
        <w:rPr>
          <w:spacing w:val="-3"/>
          <w:sz w:val="20"/>
        </w:rPr>
        <w:t> </w:t>
      </w:r>
      <w:r>
        <w:rPr>
          <w:sz w:val="20"/>
        </w:rPr>
        <w:t>shifting.</w:t>
      </w:r>
    </w:p>
    <w:p>
      <w:pPr>
        <w:pStyle w:val="BodyText"/>
        <w:spacing w:before="4"/>
      </w:pPr>
    </w:p>
    <w:p>
      <w:pPr>
        <w:pStyle w:val="Heading8"/>
      </w:pPr>
      <w:bookmarkStart w:name="Option 2 – OTC drugs in scope" w:id="49"/>
      <w:bookmarkEnd w:id="49"/>
      <w:r>
        <w:rPr>
          <w:b w:val="0"/>
        </w:rPr>
      </w:r>
      <w:r>
        <w:rPr/>
        <w:t>Option 2 – OTC drugs in scope</w:t>
      </w:r>
    </w:p>
    <w:p>
      <w:pPr>
        <w:pStyle w:val="BodyText"/>
        <w:spacing w:before="9"/>
        <w:rPr>
          <w:b/>
          <w:sz w:val="18"/>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The second approach under consideration is that prescription drugs would be out-of-scope and non-prescription (OTC) drugs would be in scope, for the reasons that</w:t>
      </w:r>
      <w:r>
        <w:rPr>
          <w:spacing w:val="-10"/>
          <w:sz w:val="20"/>
        </w:rPr>
        <w:t> </w:t>
      </w:r>
      <w:r>
        <w:rPr>
          <w:sz w:val="20"/>
        </w:rPr>
        <w:t>follow.</w:t>
      </w:r>
    </w:p>
    <w:p>
      <w:pPr>
        <w:pStyle w:val="ListParagraph"/>
        <w:numPr>
          <w:ilvl w:val="0"/>
          <w:numId w:val="4"/>
        </w:numPr>
        <w:tabs>
          <w:tab w:pos="1444" w:val="left" w:leader="none"/>
        </w:tabs>
        <w:spacing w:line="240" w:lineRule="auto" w:before="122" w:after="0"/>
        <w:ind w:left="1443" w:right="0" w:hanging="721"/>
        <w:jc w:val="both"/>
        <w:rPr>
          <w:sz w:val="20"/>
        </w:rPr>
      </w:pPr>
      <w:r>
        <w:rPr>
          <w:sz w:val="20"/>
        </w:rPr>
        <w:t>OTC drugs present features in common with other consumer goods, such</w:t>
      </w:r>
      <w:r>
        <w:rPr>
          <w:spacing w:val="-15"/>
          <w:sz w:val="20"/>
        </w:rPr>
        <w:t> </w:t>
      </w:r>
      <w:r>
        <w:rPr>
          <w:sz w:val="20"/>
        </w:rPr>
        <w:t>as:</w:t>
      </w:r>
    </w:p>
    <w:p>
      <w:pPr>
        <w:pStyle w:val="ListParagraph"/>
        <w:numPr>
          <w:ilvl w:val="1"/>
          <w:numId w:val="4"/>
        </w:numPr>
        <w:tabs>
          <w:tab w:pos="1403" w:val="left" w:leader="none"/>
        </w:tabs>
        <w:spacing w:line="240" w:lineRule="auto" w:before="129" w:after="0"/>
        <w:ind w:left="1402" w:right="0" w:hanging="339"/>
        <w:jc w:val="both"/>
        <w:rPr>
          <w:sz w:val="20"/>
        </w:rPr>
      </w:pPr>
      <w:r>
        <w:rPr>
          <w:sz w:val="20"/>
        </w:rPr>
        <w:t>They can be obtained at the customer’s choosing, as no prescription is</w:t>
      </w:r>
      <w:r>
        <w:rPr>
          <w:spacing w:val="-20"/>
          <w:sz w:val="20"/>
        </w:rPr>
        <w:t> </w:t>
      </w:r>
      <w:r>
        <w:rPr>
          <w:sz w:val="20"/>
        </w:rPr>
        <w:t>needed;</w:t>
      </w:r>
    </w:p>
    <w:p>
      <w:pPr>
        <w:pStyle w:val="ListParagraph"/>
        <w:numPr>
          <w:ilvl w:val="1"/>
          <w:numId w:val="4"/>
        </w:numPr>
        <w:tabs>
          <w:tab w:pos="1403" w:val="left" w:leader="none"/>
        </w:tabs>
        <w:spacing w:line="268" w:lineRule="auto" w:before="74" w:after="0"/>
        <w:ind w:left="1402" w:right="487" w:hanging="339"/>
        <w:jc w:val="both"/>
        <w:rPr>
          <w:sz w:val="20"/>
        </w:rPr>
      </w:pPr>
      <w:r>
        <w:rPr>
          <w:sz w:val="20"/>
        </w:rPr>
        <w:t>Advertising is permitted in many jurisdictions, and there are significant efforts to build sustained customer relationships including through targeted marketing and branding undertaken by pharmaceutical companies in respect of this type of product;</w:t>
      </w:r>
      <w:r>
        <w:rPr>
          <w:spacing w:val="-1"/>
          <w:sz w:val="20"/>
        </w:rPr>
        <w:t> </w:t>
      </w:r>
      <w:r>
        <w:rPr>
          <w:sz w:val="20"/>
        </w:rPr>
        <w:t>and</w:t>
      </w:r>
    </w:p>
    <w:p>
      <w:pPr>
        <w:pStyle w:val="ListParagraph"/>
        <w:numPr>
          <w:ilvl w:val="1"/>
          <w:numId w:val="4"/>
        </w:numPr>
        <w:tabs>
          <w:tab w:pos="1403" w:val="left" w:leader="none"/>
        </w:tabs>
        <w:spacing w:line="240" w:lineRule="auto" w:before="50" w:after="0"/>
        <w:ind w:left="1402" w:right="0" w:hanging="339"/>
        <w:jc w:val="both"/>
        <w:rPr>
          <w:sz w:val="20"/>
        </w:rPr>
      </w:pPr>
      <w:r>
        <w:rPr>
          <w:sz w:val="20"/>
        </w:rPr>
        <w:t>The</w:t>
      </w:r>
      <w:r>
        <w:rPr>
          <w:spacing w:val="-13"/>
          <w:sz w:val="20"/>
        </w:rPr>
        <w:t> </w:t>
      </w:r>
      <w:r>
        <w:rPr>
          <w:sz w:val="20"/>
        </w:rPr>
        <w:t>acquisition</w:t>
      </w:r>
      <w:r>
        <w:rPr>
          <w:spacing w:val="-13"/>
          <w:sz w:val="20"/>
        </w:rPr>
        <w:t> </w:t>
      </w:r>
      <w:r>
        <w:rPr>
          <w:sz w:val="20"/>
        </w:rPr>
        <w:t>of</w:t>
      </w:r>
      <w:r>
        <w:rPr>
          <w:spacing w:val="-11"/>
          <w:sz w:val="20"/>
        </w:rPr>
        <w:t> </w:t>
      </w:r>
      <w:r>
        <w:rPr>
          <w:sz w:val="20"/>
        </w:rPr>
        <w:t>the</w:t>
      </w:r>
      <w:r>
        <w:rPr>
          <w:spacing w:val="-11"/>
          <w:sz w:val="20"/>
        </w:rPr>
        <w:t> </w:t>
      </w:r>
      <w:r>
        <w:rPr>
          <w:sz w:val="20"/>
        </w:rPr>
        <w:t>drug</w:t>
      </w:r>
      <w:r>
        <w:rPr>
          <w:spacing w:val="-9"/>
          <w:sz w:val="20"/>
        </w:rPr>
        <w:t> </w:t>
      </w:r>
      <w:r>
        <w:rPr>
          <w:sz w:val="20"/>
        </w:rPr>
        <w:t>is</w:t>
      </w:r>
      <w:r>
        <w:rPr>
          <w:spacing w:val="-11"/>
          <w:sz w:val="20"/>
        </w:rPr>
        <w:t> </w:t>
      </w:r>
      <w:r>
        <w:rPr>
          <w:sz w:val="20"/>
        </w:rPr>
        <w:t>not</w:t>
      </w:r>
      <w:r>
        <w:rPr>
          <w:spacing w:val="-13"/>
          <w:sz w:val="20"/>
        </w:rPr>
        <w:t> </w:t>
      </w:r>
      <w:r>
        <w:rPr>
          <w:sz w:val="20"/>
        </w:rPr>
        <w:t>generally</w:t>
      </w:r>
      <w:r>
        <w:rPr>
          <w:spacing w:val="-16"/>
          <w:sz w:val="20"/>
        </w:rPr>
        <w:t> </w:t>
      </w:r>
      <w:r>
        <w:rPr>
          <w:sz w:val="20"/>
        </w:rPr>
        <w:t>a</w:t>
      </w:r>
      <w:r>
        <w:rPr>
          <w:spacing w:val="-10"/>
          <w:sz w:val="20"/>
        </w:rPr>
        <w:t> </w:t>
      </w:r>
      <w:r>
        <w:rPr>
          <w:sz w:val="20"/>
        </w:rPr>
        <w:t>component</w:t>
      </w:r>
      <w:r>
        <w:rPr>
          <w:spacing w:val="-13"/>
          <w:sz w:val="20"/>
        </w:rPr>
        <w:t> </w:t>
      </w:r>
      <w:r>
        <w:rPr>
          <w:sz w:val="20"/>
        </w:rPr>
        <w:t>part</w:t>
      </w:r>
      <w:r>
        <w:rPr>
          <w:spacing w:val="-13"/>
          <w:sz w:val="20"/>
        </w:rPr>
        <w:t> </w:t>
      </w:r>
      <w:r>
        <w:rPr>
          <w:sz w:val="20"/>
        </w:rPr>
        <w:t>of</w:t>
      </w:r>
      <w:r>
        <w:rPr>
          <w:spacing w:val="-11"/>
          <w:sz w:val="20"/>
        </w:rPr>
        <w:t> </w:t>
      </w:r>
      <w:r>
        <w:rPr>
          <w:sz w:val="20"/>
        </w:rPr>
        <w:t>a</w:t>
      </w:r>
      <w:r>
        <w:rPr>
          <w:spacing w:val="-12"/>
          <w:sz w:val="20"/>
        </w:rPr>
        <w:t> </w:t>
      </w:r>
      <w:r>
        <w:rPr>
          <w:sz w:val="20"/>
        </w:rPr>
        <w:t>service</w:t>
      </w:r>
      <w:r>
        <w:rPr>
          <w:spacing w:val="-11"/>
          <w:sz w:val="20"/>
        </w:rPr>
        <w:t> </w:t>
      </w:r>
      <w:r>
        <w:rPr>
          <w:sz w:val="20"/>
        </w:rPr>
        <w:t>of</w:t>
      </w:r>
      <w:r>
        <w:rPr>
          <w:spacing w:val="-11"/>
          <w:sz w:val="20"/>
        </w:rPr>
        <w:t> </w:t>
      </w:r>
      <w:r>
        <w:rPr>
          <w:sz w:val="20"/>
        </w:rPr>
        <w:t>providing</w:t>
      </w:r>
      <w:r>
        <w:rPr>
          <w:spacing w:val="-13"/>
          <w:sz w:val="20"/>
        </w:rPr>
        <w:t> </w:t>
      </w:r>
      <w:r>
        <w:rPr>
          <w:sz w:val="20"/>
        </w:rPr>
        <w:t>medical</w:t>
      </w:r>
      <w:r>
        <w:rPr>
          <w:spacing w:val="-13"/>
          <w:sz w:val="20"/>
        </w:rPr>
        <w:t> </w:t>
      </w:r>
      <w:r>
        <w:rPr>
          <w:sz w:val="20"/>
        </w:rPr>
        <w:t>care.</w:t>
      </w:r>
    </w:p>
    <w:p>
      <w:pPr>
        <w:pStyle w:val="ListParagraph"/>
        <w:numPr>
          <w:ilvl w:val="0"/>
          <w:numId w:val="4"/>
        </w:numPr>
        <w:tabs>
          <w:tab w:pos="1444" w:val="left" w:leader="none"/>
        </w:tabs>
        <w:spacing w:line="271" w:lineRule="auto" w:before="157" w:after="0"/>
        <w:ind w:left="723" w:right="483" w:firstLine="0"/>
        <w:jc w:val="both"/>
        <w:rPr>
          <w:sz w:val="20"/>
        </w:rPr>
      </w:pPr>
      <w:r>
        <w:rPr>
          <w:sz w:val="20"/>
        </w:rPr>
        <w:t>This approach would exclude prescription drugs on the basis that, as compared with OTC drugs, they have specific features that do not fit as easily into the notion of a CFB. In</w:t>
      </w:r>
      <w:r>
        <w:rPr>
          <w:spacing w:val="-16"/>
          <w:sz w:val="20"/>
        </w:rPr>
        <w:t> </w:t>
      </w:r>
      <w:r>
        <w:rPr>
          <w:sz w:val="20"/>
        </w:rPr>
        <w:t>particular:</w:t>
      </w:r>
    </w:p>
    <w:p>
      <w:pPr>
        <w:pStyle w:val="ListParagraph"/>
        <w:numPr>
          <w:ilvl w:val="1"/>
          <w:numId w:val="4"/>
        </w:numPr>
        <w:tabs>
          <w:tab w:pos="1403" w:val="left" w:leader="none"/>
        </w:tabs>
        <w:spacing w:line="240" w:lineRule="auto" w:before="98" w:after="0"/>
        <w:ind w:left="1402" w:right="0" w:hanging="339"/>
        <w:jc w:val="both"/>
        <w:rPr>
          <w:sz w:val="20"/>
        </w:rPr>
      </w:pPr>
      <w:r>
        <w:rPr>
          <w:sz w:val="20"/>
        </w:rPr>
        <w:t>They</w:t>
      </w:r>
      <w:r>
        <w:rPr>
          <w:spacing w:val="8"/>
          <w:sz w:val="20"/>
        </w:rPr>
        <w:t> </w:t>
      </w:r>
      <w:r>
        <w:rPr>
          <w:sz w:val="20"/>
        </w:rPr>
        <w:t>are</w:t>
      </w:r>
      <w:r>
        <w:rPr>
          <w:spacing w:val="14"/>
          <w:sz w:val="20"/>
        </w:rPr>
        <w:t> </w:t>
      </w:r>
      <w:r>
        <w:rPr>
          <w:sz w:val="20"/>
        </w:rPr>
        <w:t>prescribed</w:t>
      </w:r>
      <w:r>
        <w:rPr>
          <w:spacing w:val="14"/>
          <w:sz w:val="20"/>
        </w:rPr>
        <w:t> </w:t>
      </w:r>
      <w:r>
        <w:rPr>
          <w:sz w:val="20"/>
        </w:rPr>
        <w:t>by</w:t>
      </w:r>
      <w:r>
        <w:rPr>
          <w:spacing w:val="8"/>
          <w:sz w:val="20"/>
        </w:rPr>
        <w:t> </w:t>
      </w:r>
      <w:r>
        <w:rPr>
          <w:sz w:val="20"/>
        </w:rPr>
        <w:t>physicians</w:t>
      </w:r>
      <w:r>
        <w:rPr>
          <w:spacing w:val="13"/>
          <w:sz w:val="20"/>
        </w:rPr>
        <w:t> </w:t>
      </w:r>
      <w:r>
        <w:rPr>
          <w:sz w:val="20"/>
        </w:rPr>
        <w:t>or</w:t>
      </w:r>
      <w:r>
        <w:rPr>
          <w:spacing w:val="12"/>
          <w:sz w:val="20"/>
        </w:rPr>
        <w:t> </w:t>
      </w:r>
      <w:r>
        <w:rPr>
          <w:sz w:val="20"/>
        </w:rPr>
        <w:t>other</w:t>
      </w:r>
      <w:r>
        <w:rPr>
          <w:spacing w:val="13"/>
          <w:sz w:val="20"/>
        </w:rPr>
        <w:t> </w:t>
      </w:r>
      <w:r>
        <w:rPr>
          <w:sz w:val="20"/>
        </w:rPr>
        <w:t>medical</w:t>
      </w:r>
      <w:r>
        <w:rPr>
          <w:spacing w:val="10"/>
          <w:sz w:val="20"/>
        </w:rPr>
        <w:t> </w:t>
      </w:r>
      <w:r>
        <w:rPr>
          <w:sz w:val="20"/>
        </w:rPr>
        <w:t>professionals</w:t>
      </w:r>
      <w:r>
        <w:rPr>
          <w:spacing w:val="12"/>
          <w:sz w:val="20"/>
        </w:rPr>
        <w:t> </w:t>
      </w:r>
      <w:r>
        <w:rPr>
          <w:sz w:val="20"/>
        </w:rPr>
        <w:t>based</w:t>
      </w:r>
      <w:r>
        <w:rPr>
          <w:spacing w:val="14"/>
          <w:sz w:val="20"/>
        </w:rPr>
        <w:t> </w:t>
      </w:r>
      <w:r>
        <w:rPr>
          <w:sz w:val="20"/>
        </w:rPr>
        <w:t>on</w:t>
      </w:r>
      <w:r>
        <w:rPr>
          <w:spacing w:val="10"/>
          <w:sz w:val="20"/>
        </w:rPr>
        <w:t> </w:t>
      </w:r>
      <w:r>
        <w:rPr>
          <w:sz w:val="20"/>
        </w:rPr>
        <w:t>their</w:t>
      </w:r>
      <w:r>
        <w:rPr>
          <w:spacing w:val="13"/>
          <w:sz w:val="20"/>
        </w:rPr>
        <w:t> </w:t>
      </w:r>
      <w:r>
        <w:rPr>
          <w:sz w:val="20"/>
        </w:rPr>
        <w:t>assessment</w:t>
      </w:r>
      <w:r>
        <w:rPr>
          <w:spacing w:val="11"/>
          <w:sz w:val="20"/>
        </w:rPr>
        <w:t> </w:t>
      </w:r>
      <w:r>
        <w:rPr>
          <w:sz w:val="20"/>
        </w:rPr>
        <w:t>of</w:t>
      </w:r>
    </w:p>
    <w:p>
      <w:pPr>
        <w:pStyle w:val="BodyText"/>
        <w:spacing w:before="30"/>
        <w:ind w:left="1402"/>
        <w:jc w:val="both"/>
      </w:pPr>
      <w:r>
        <w:rPr/>
        <w:t>patients’ needs and delivered as a part of the service of health care ;</w:t>
      </w:r>
    </w:p>
    <w:p>
      <w:pPr>
        <w:pStyle w:val="ListParagraph"/>
        <w:numPr>
          <w:ilvl w:val="1"/>
          <w:numId w:val="4"/>
        </w:numPr>
        <w:tabs>
          <w:tab w:pos="1403" w:val="left" w:leader="none"/>
        </w:tabs>
        <w:spacing w:line="271" w:lineRule="auto" w:before="76" w:after="0"/>
        <w:ind w:left="1402" w:right="486" w:hanging="339"/>
        <w:jc w:val="both"/>
        <w:rPr>
          <w:sz w:val="20"/>
        </w:rPr>
      </w:pPr>
      <w:r>
        <w:rPr>
          <w:sz w:val="20"/>
        </w:rPr>
        <w:t>The choice to consume a prescription drug is made by a physician, who may prescribe a different drug from the one known to the patient because it is better for them, or the one the patient knows about is not covered by their</w:t>
      </w:r>
      <w:r>
        <w:rPr>
          <w:spacing w:val="-10"/>
          <w:sz w:val="20"/>
        </w:rPr>
        <w:t> </w:t>
      </w:r>
      <w:r>
        <w:rPr>
          <w:sz w:val="20"/>
        </w:rPr>
        <w:t>insurance;</w:t>
      </w:r>
    </w:p>
    <w:p>
      <w:pPr>
        <w:pStyle w:val="ListParagraph"/>
        <w:numPr>
          <w:ilvl w:val="1"/>
          <w:numId w:val="4"/>
        </w:numPr>
        <w:tabs>
          <w:tab w:pos="1403" w:val="left" w:leader="none"/>
        </w:tabs>
        <w:spacing w:line="271" w:lineRule="auto" w:before="44" w:after="0"/>
        <w:ind w:left="1402" w:right="484" w:hanging="339"/>
        <w:jc w:val="both"/>
        <w:rPr>
          <w:sz w:val="20"/>
        </w:rPr>
      </w:pPr>
      <w:r>
        <w:rPr>
          <w:sz w:val="20"/>
        </w:rPr>
        <w:t>In most jurisdictions (other than the United States and New Zealand, for example), advertising prescription drugs to consumers is not permitted (although significant marketing may take place directly to physicians which in turn may influence the choices available to the patient);</w:t>
      </w:r>
      <w:r>
        <w:rPr>
          <w:spacing w:val="-38"/>
          <w:sz w:val="20"/>
        </w:rPr>
        <w:t> </w:t>
      </w:r>
      <w:r>
        <w:rPr>
          <w:sz w:val="20"/>
        </w:rPr>
        <w:t>and</w:t>
      </w:r>
    </w:p>
    <w:p>
      <w:pPr>
        <w:pStyle w:val="ListParagraph"/>
        <w:numPr>
          <w:ilvl w:val="1"/>
          <w:numId w:val="4"/>
        </w:numPr>
        <w:tabs>
          <w:tab w:pos="1403" w:val="left" w:leader="none"/>
        </w:tabs>
        <w:spacing w:line="266" w:lineRule="auto" w:before="43" w:after="0"/>
        <w:ind w:left="1402" w:right="491" w:hanging="339"/>
        <w:jc w:val="both"/>
        <w:rPr>
          <w:sz w:val="20"/>
        </w:rPr>
      </w:pPr>
      <w:r>
        <w:rPr>
          <w:sz w:val="20"/>
        </w:rPr>
        <w:t>The patient normally pays only a small proportion of the cost of the drug, with governments or insurance companies paying the</w:t>
      </w:r>
      <w:r>
        <w:rPr>
          <w:spacing w:val="-1"/>
          <w:sz w:val="20"/>
        </w:rPr>
        <w:t> </w:t>
      </w:r>
      <w:r>
        <w:rPr>
          <w:sz w:val="20"/>
        </w:rPr>
        <w:t>rest.</w:t>
      </w:r>
    </w:p>
    <w:p>
      <w:pPr>
        <w:pStyle w:val="ListParagraph"/>
        <w:numPr>
          <w:ilvl w:val="0"/>
          <w:numId w:val="4"/>
        </w:numPr>
        <w:tabs>
          <w:tab w:pos="1444" w:val="left" w:leader="none"/>
        </w:tabs>
        <w:spacing w:line="271" w:lineRule="auto" w:before="135" w:after="0"/>
        <w:ind w:left="723" w:right="484" w:firstLine="0"/>
        <w:jc w:val="both"/>
        <w:rPr>
          <w:sz w:val="20"/>
        </w:rPr>
      </w:pPr>
      <w:r>
        <w:rPr>
          <w:sz w:val="20"/>
        </w:rPr>
        <w:t>These factors could be taken to suggest that the consumer relationship between the MNE producing the prescription drug and the consumer is more indirect than for other CFB, and as such, prescription drugs could be treated as out-of-scope. Applying the definition of CFB above, OTC drugs are “of a type commonly sold to consumers,” in that they are designed for individuals’ personal use, by being made</w:t>
      </w:r>
      <w:r>
        <w:rPr>
          <w:spacing w:val="-8"/>
          <w:sz w:val="20"/>
        </w:rPr>
        <w:t> </w:t>
      </w:r>
      <w:r>
        <w:rPr>
          <w:sz w:val="20"/>
        </w:rPr>
        <w:t>available</w:t>
      </w:r>
      <w:r>
        <w:rPr>
          <w:spacing w:val="-8"/>
          <w:sz w:val="20"/>
        </w:rPr>
        <w:t> </w:t>
      </w:r>
      <w:r>
        <w:rPr>
          <w:sz w:val="20"/>
        </w:rPr>
        <w:t>in</w:t>
      </w:r>
      <w:r>
        <w:rPr>
          <w:spacing w:val="-5"/>
          <w:sz w:val="20"/>
        </w:rPr>
        <w:t> </w:t>
      </w:r>
      <w:r>
        <w:rPr>
          <w:sz w:val="20"/>
        </w:rPr>
        <w:t>ways</w:t>
      </w:r>
      <w:r>
        <w:rPr>
          <w:spacing w:val="-6"/>
          <w:sz w:val="20"/>
        </w:rPr>
        <w:t> </w:t>
      </w:r>
      <w:r>
        <w:rPr>
          <w:sz w:val="20"/>
        </w:rPr>
        <w:t>capable</w:t>
      </w:r>
      <w:r>
        <w:rPr>
          <w:spacing w:val="-8"/>
          <w:sz w:val="20"/>
        </w:rPr>
        <w:t> </w:t>
      </w:r>
      <w:r>
        <w:rPr>
          <w:sz w:val="20"/>
        </w:rPr>
        <w:t>of</w:t>
      </w:r>
      <w:r>
        <w:rPr>
          <w:spacing w:val="-6"/>
          <w:sz w:val="20"/>
        </w:rPr>
        <w:t> </w:t>
      </w:r>
      <w:r>
        <w:rPr>
          <w:sz w:val="20"/>
        </w:rPr>
        <w:t>being</w:t>
      </w:r>
      <w:r>
        <w:rPr>
          <w:spacing w:val="-8"/>
          <w:sz w:val="20"/>
        </w:rPr>
        <w:t> </w:t>
      </w:r>
      <w:r>
        <w:rPr>
          <w:sz w:val="20"/>
        </w:rPr>
        <w:t>for</w:t>
      </w:r>
      <w:r>
        <w:rPr>
          <w:spacing w:val="-7"/>
          <w:sz w:val="20"/>
        </w:rPr>
        <w:t> </w:t>
      </w:r>
      <w:r>
        <w:rPr>
          <w:sz w:val="20"/>
        </w:rPr>
        <w:t>personal</w:t>
      </w:r>
      <w:r>
        <w:rPr>
          <w:spacing w:val="-8"/>
          <w:sz w:val="20"/>
        </w:rPr>
        <w:t> </w:t>
      </w:r>
      <w:r>
        <w:rPr>
          <w:sz w:val="20"/>
        </w:rPr>
        <w:t>consumption</w:t>
      </w:r>
      <w:r>
        <w:rPr>
          <w:spacing w:val="-8"/>
          <w:sz w:val="20"/>
        </w:rPr>
        <w:t> </w:t>
      </w:r>
      <w:r>
        <w:rPr>
          <w:sz w:val="20"/>
        </w:rPr>
        <w:t>(in</w:t>
      </w:r>
      <w:r>
        <w:rPr>
          <w:spacing w:val="-8"/>
          <w:sz w:val="20"/>
        </w:rPr>
        <w:t> </w:t>
      </w:r>
      <w:r>
        <w:rPr>
          <w:sz w:val="20"/>
        </w:rPr>
        <w:t>individual</w:t>
      </w:r>
      <w:r>
        <w:rPr>
          <w:spacing w:val="-8"/>
          <w:sz w:val="20"/>
        </w:rPr>
        <w:t> </w:t>
      </w:r>
      <w:r>
        <w:rPr>
          <w:sz w:val="20"/>
        </w:rPr>
        <w:t>portions,</w:t>
      </w:r>
      <w:r>
        <w:rPr>
          <w:spacing w:val="-5"/>
          <w:sz w:val="20"/>
        </w:rPr>
        <w:t> </w:t>
      </w:r>
      <w:r>
        <w:rPr>
          <w:sz w:val="20"/>
        </w:rPr>
        <w:t>in</w:t>
      </w:r>
      <w:r>
        <w:rPr>
          <w:spacing w:val="-8"/>
          <w:sz w:val="20"/>
        </w:rPr>
        <w:t> </w:t>
      </w:r>
      <w:r>
        <w:rPr>
          <w:sz w:val="20"/>
        </w:rPr>
        <w:t>finished</w:t>
      </w:r>
      <w:r>
        <w:rPr>
          <w:spacing w:val="-8"/>
          <w:sz w:val="20"/>
        </w:rPr>
        <w:t> </w:t>
      </w:r>
      <w:r>
        <w:rPr>
          <w:sz w:val="20"/>
        </w:rPr>
        <w:t>form, and at purchase points accessible by an individual) and where the pharmaceutical MNE has developed the goods or services to be regularly, repeatedly, or ordinarily supplied directly to consumers (including through marketing and promotion), and the products are sold directly </w:t>
      </w:r>
      <w:r>
        <w:rPr>
          <w:spacing w:val="3"/>
          <w:sz w:val="20"/>
        </w:rPr>
        <w:t>to</w:t>
      </w:r>
      <w:r>
        <w:rPr>
          <w:spacing w:val="-17"/>
          <w:sz w:val="20"/>
        </w:rPr>
        <w:t> </w:t>
      </w:r>
      <w:r>
        <w:rPr>
          <w:sz w:val="20"/>
        </w:rPr>
        <w:t>consumers.</w:t>
      </w:r>
    </w:p>
    <w:p>
      <w:pPr>
        <w:pStyle w:val="ListParagraph"/>
        <w:numPr>
          <w:ilvl w:val="0"/>
          <w:numId w:val="4"/>
        </w:numPr>
        <w:tabs>
          <w:tab w:pos="1444" w:val="left" w:leader="none"/>
        </w:tabs>
        <w:spacing w:line="271" w:lineRule="auto" w:before="120" w:after="0"/>
        <w:ind w:left="723" w:right="493" w:firstLine="0"/>
        <w:jc w:val="both"/>
        <w:rPr>
          <w:sz w:val="20"/>
        </w:rPr>
      </w:pPr>
      <w:r>
        <w:rPr>
          <w:sz w:val="20"/>
        </w:rPr>
        <w:t>In addition, some Inclusive Framework members in favour of Option 2 are of the view that pharmaceutical drugs in general are acquired or used by consumers chiefly for their inherent characteristics.</w:t>
      </w:r>
    </w:p>
    <w:p>
      <w:pPr>
        <w:pStyle w:val="ListParagraph"/>
        <w:numPr>
          <w:ilvl w:val="0"/>
          <w:numId w:val="4"/>
        </w:numPr>
        <w:tabs>
          <w:tab w:pos="1444" w:val="left" w:leader="none"/>
        </w:tabs>
        <w:spacing w:line="271" w:lineRule="auto" w:before="120" w:after="0"/>
        <w:ind w:left="723" w:right="484" w:firstLine="0"/>
        <w:jc w:val="both"/>
        <w:rPr>
          <w:sz w:val="20"/>
        </w:rPr>
      </w:pPr>
      <w:r>
        <w:rPr>
          <w:sz w:val="20"/>
        </w:rPr>
        <w:t>However,</w:t>
      </w:r>
      <w:r>
        <w:rPr>
          <w:spacing w:val="-10"/>
          <w:sz w:val="20"/>
        </w:rPr>
        <w:t> </w:t>
      </w:r>
      <w:r>
        <w:rPr>
          <w:sz w:val="20"/>
        </w:rPr>
        <w:t>the</w:t>
      </w:r>
      <w:r>
        <w:rPr>
          <w:spacing w:val="-10"/>
          <w:sz w:val="20"/>
        </w:rPr>
        <w:t> </w:t>
      </w:r>
      <w:r>
        <w:rPr>
          <w:sz w:val="20"/>
        </w:rPr>
        <w:t>administration</w:t>
      </w:r>
      <w:r>
        <w:rPr>
          <w:spacing w:val="-10"/>
          <w:sz w:val="20"/>
        </w:rPr>
        <w:t> </w:t>
      </w:r>
      <w:r>
        <w:rPr>
          <w:sz w:val="20"/>
        </w:rPr>
        <w:t>of</w:t>
      </w:r>
      <w:r>
        <w:rPr>
          <w:spacing w:val="-8"/>
          <w:sz w:val="20"/>
        </w:rPr>
        <w:t> </w:t>
      </w:r>
      <w:r>
        <w:rPr>
          <w:sz w:val="20"/>
        </w:rPr>
        <w:t>this</w:t>
      </w:r>
      <w:r>
        <w:rPr>
          <w:spacing w:val="-9"/>
          <w:sz w:val="20"/>
        </w:rPr>
        <w:t> </w:t>
      </w:r>
      <w:r>
        <w:rPr>
          <w:sz w:val="20"/>
        </w:rPr>
        <w:t>approach</w:t>
      </w:r>
      <w:r>
        <w:rPr>
          <w:spacing w:val="-9"/>
          <w:sz w:val="20"/>
        </w:rPr>
        <w:t> </w:t>
      </w:r>
      <w:r>
        <w:rPr>
          <w:sz w:val="20"/>
        </w:rPr>
        <w:t>will</w:t>
      </w:r>
      <w:r>
        <w:rPr>
          <w:spacing w:val="-8"/>
          <w:sz w:val="20"/>
        </w:rPr>
        <w:t> </w:t>
      </w:r>
      <w:r>
        <w:rPr>
          <w:sz w:val="20"/>
        </w:rPr>
        <w:t>be</w:t>
      </w:r>
      <w:r>
        <w:rPr>
          <w:spacing w:val="-10"/>
          <w:sz w:val="20"/>
        </w:rPr>
        <w:t> </w:t>
      </w:r>
      <w:r>
        <w:rPr>
          <w:sz w:val="20"/>
        </w:rPr>
        <w:t>further</w:t>
      </w:r>
      <w:r>
        <w:rPr>
          <w:spacing w:val="-9"/>
          <w:sz w:val="20"/>
        </w:rPr>
        <w:t> </w:t>
      </w:r>
      <w:r>
        <w:rPr>
          <w:sz w:val="20"/>
        </w:rPr>
        <w:t>considered,</w:t>
      </w:r>
      <w:r>
        <w:rPr>
          <w:spacing w:val="-11"/>
          <w:sz w:val="20"/>
        </w:rPr>
        <w:t> </w:t>
      </w:r>
      <w:r>
        <w:rPr>
          <w:sz w:val="20"/>
        </w:rPr>
        <w:t>including</w:t>
      </w:r>
      <w:r>
        <w:rPr>
          <w:spacing w:val="-8"/>
          <w:sz w:val="20"/>
        </w:rPr>
        <w:t> </w:t>
      </w:r>
      <w:r>
        <w:rPr>
          <w:sz w:val="20"/>
        </w:rPr>
        <w:t>based</w:t>
      </w:r>
      <w:r>
        <w:rPr>
          <w:spacing w:val="-10"/>
          <w:sz w:val="20"/>
        </w:rPr>
        <w:t> </w:t>
      </w:r>
      <w:r>
        <w:rPr>
          <w:sz w:val="20"/>
        </w:rPr>
        <w:t>on</w:t>
      </w:r>
      <w:r>
        <w:rPr>
          <w:spacing w:val="-10"/>
          <w:sz w:val="20"/>
        </w:rPr>
        <w:t> </w:t>
      </w:r>
      <w:r>
        <w:rPr>
          <w:sz w:val="20"/>
        </w:rPr>
        <w:t>further discussion with stakeholders. Given the different definitions of OTC and prescription drugs that vary from one</w:t>
      </w:r>
      <w:r>
        <w:rPr>
          <w:spacing w:val="-4"/>
          <w:sz w:val="20"/>
        </w:rPr>
        <w:t> </w:t>
      </w:r>
      <w:r>
        <w:rPr>
          <w:sz w:val="20"/>
        </w:rPr>
        <w:t>jurisdiction</w:t>
      </w:r>
      <w:r>
        <w:rPr>
          <w:spacing w:val="-3"/>
          <w:sz w:val="20"/>
        </w:rPr>
        <w:t> </w:t>
      </w:r>
      <w:r>
        <w:rPr>
          <w:sz w:val="20"/>
        </w:rPr>
        <w:t>to</w:t>
      </w:r>
      <w:r>
        <w:rPr>
          <w:spacing w:val="-2"/>
          <w:sz w:val="20"/>
        </w:rPr>
        <w:t> </w:t>
      </w:r>
      <w:r>
        <w:rPr>
          <w:sz w:val="20"/>
        </w:rPr>
        <w:t>another,</w:t>
      </w:r>
      <w:r>
        <w:rPr>
          <w:spacing w:val="-3"/>
          <w:sz w:val="20"/>
        </w:rPr>
        <w:t> </w:t>
      </w:r>
      <w:r>
        <w:rPr>
          <w:sz w:val="20"/>
        </w:rPr>
        <w:t>there</w:t>
      </w:r>
      <w:r>
        <w:rPr>
          <w:spacing w:val="-4"/>
          <w:sz w:val="20"/>
        </w:rPr>
        <w:t> </w:t>
      </w:r>
      <w:r>
        <w:rPr>
          <w:sz w:val="20"/>
        </w:rPr>
        <w:t>could</w:t>
      </w:r>
      <w:r>
        <w:rPr>
          <w:spacing w:val="-3"/>
          <w:sz w:val="20"/>
        </w:rPr>
        <w:t> </w:t>
      </w:r>
      <w:r>
        <w:rPr>
          <w:sz w:val="20"/>
        </w:rPr>
        <w:t>be</w:t>
      </w:r>
      <w:r>
        <w:rPr>
          <w:spacing w:val="-3"/>
          <w:sz w:val="20"/>
        </w:rPr>
        <w:t> </w:t>
      </w:r>
      <w:r>
        <w:rPr>
          <w:sz w:val="20"/>
        </w:rPr>
        <w:t>significant</w:t>
      </w:r>
      <w:r>
        <w:rPr>
          <w:spacing w:val="-2"/>
          <w:sz w:val="20"/>
        </w:rPr>
        <w:t> </w:t>
      </w:r>
      <w:r>
        <w:rPr>
          <w:sz w:val="20"/>
        </w:rPr>
        <w:t>difficulty</w:t>
      </w:r>
      <w:r>
        <w:rPr>
          <w:spacing w:val="-6"/>
          <w:sz w:val="20"/>
        </w:rPr>
        <w:t> </w:t>
      </w:r>
      <w:r>
        <w:rPr>
          <w:sz w:val="20"/>
        </w:rPr>
        <w:t>for</w:t>
      </w:r>
      <w:r>
        <w:rPr>
          <w:spacing w:val="-4"/>
          <w:sz w:val="20"/>
        </w:rPr>
        <w:t> </w:t>
      </w:r>
      <w:r>
        <w:rPr>
          <w:sz w:val="20"/>
        </w:rPr>
        <w:t>an</w:t>
      </w:r>
      <w:r>
        <w:rPr>
          <w:spacing w:val="-3"/>
          <w:sz w:val="20"/>
        </w:rPr>
        <w:t> </w:t>
      </w:r>
      <w:r>
        <w:rPr>
          <w:sz w:val="20"/>
        </w:rPr>
        <w:t>MNE</w:t>
      </w:r>
      <w:r>
        <w:rPr>
          <w:spacing w:val="-4"/>
          <w:sz w:val="20"/>
        </w:rPr>
        <w:t> </w:t>
      </w:r>
      <w:r>
        <w:rPr>
          <w:sz w:val="20"/>
        </w:rPr>
        <w:t>to</w:t>
      </w:r>
      <w:r>
        <w:rPr>
          <w:spacing w:val="-3"/>
          <w:sz w:val="20"/>
        </w:rPr>
        <w:t> </w:t>
      </w:r>
      <w:r>
        <w:rPr>
          <w:sz w:val="20"/>
        </w:rPr>
        <w:t>apply</w:t>
      </w:r>
      <w:r>
        <w:rPr>
          <w:spacing w:val="-6"/>
          <w:sz w:val="20"/>
        </w:rPr>
        <w:t> </w:t>
      </w:r>
      <w:r>
        <w:rPr>
          <w:sz w:val="20"/>
        </w:rPr>
        <w:t>the</w:t>
      </w:r>
      <w:r>
        <w:rPr>
          <w:spacing w:val="-5"/>
          <w:sz w:val="20"/>
        </w:rPr>
        <w:t> </w:t>
      </w:r>
      <w:r>
        <w:rPr>
          <w:sz w:val="20"/>
        </w:rPr>
        <w:t>scope</w:t>
      </w:r>
      <w:r>
        <w:rPr>
          <w:spacing w:val="-3"/>
          <w:sz w:val="20"/>
        </w:rPr>
        <w:t> </w:t>
      </w:r>
      <w:r>
        <w:rPr>
          <w:sz w:val="20"/>
        </w:rPr>
        <w:t>rule,</w:t>
      </w:r>
      <w:r>
        <w:rPr>
          <w:spacing w:val="-2"/>
          <w:sz w:val="20"/>
        </w:rPr>
        <w:t> </w:t>
      </w:r>
      <w:r>
        <w:rPr>
          <w:sz w:val="20"/>
        </w:rPr>
        <w:t>and</w:t>
      </w:r>
      <w:r>
        <w:rPr>
          <w:spacing w:val="-3"/>
          <w:sz w:val="20"/>
        </w:rPr>
        <w:t> </w:t>
      </w:r>
      <w:r>
        <w:rPr>
          <w:sz w:val="20"/>
        </w:rPr>
        <w:t>the</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Amount</w:t>
      </w:r>
      <w:r>
        <w:rPr>
          <w:spacing w:val="-7"/>
        </w:rPr>
        <w:t> </w:t>
      </w:r>
      <w:r>
        <w:rPr/>
        <w:t>A</w:t>
      </w:r>
      <w:r>
        <w:rPr>
          <w:spacing w:val="-6"/>
        </w:rPr>
        <w:t> </w:t>
      </w:r>
      <w:r>
        <w:rPr/>
        <w:t>allocation</w:t>
      </w:r>
      <w:r>
        <w:rPr>
          <w:spacing w:val="-6"/>
        </w:rPr>
        <w:t> </w:t>
      </w:r>
      <w:r>
        <w:rPr/>
        <w:t>to</w:t>
      </w:r>
      <w:r>
        <w:rPr>
          <w:spacing w:val="-6"/>
        </w:rPr>
        <w:t> </w:t>
      </w:r>
      <w:r>
        <w:rPr/>
        <w:t>a</w:t>
      </w:r>
      <w:r>
        <w:rPr>
          <w:spacing w:val="-6"/>
        </w:rPr>
        <w:t> </w:t>
      </w:r>
      <w:r>
        <w:rPr/>
        <w:t>market</w:t>
      </w:r>
      <w:r>
        <w:rPr>
          <w:spacing w:val="-7"/>
        </w:rPr>
        <w:t> </w:t>
      </w:r>
      <w:r>
        <w:rPr/>
        <w:t>will</w:t>
      </w:r>
      <w:r>
        <w:rPr>
          <w:spacing w:val="-6"/>
        </w:rPr>
        <w:t> </w:t>
      </w:r>
      <w:r>
        <w:rPr/>
        <w:t>be</w:t>
      </w:r>
      <w:r>
        <w:rPr>
          <w:spacing w:val="-6"/>
        </w:rPr>
        <w:t> </w:t>
      </w:r>
      <w:r>
        <w:rPr/>
        <w:t>smaller</w:t>
      </w:r>
      <w:r>
        <w:rPr>
          <w:spacing w:val="-5"/>
        </w:rPr>
        <w:t> </w:t>
      </w:r>
      <w:r>
        <w:rPr/>
        <w:t>for</w:t>
      </w:r>
      <w:r>
        <w:rPr>
          <w:spacing w:val="-5"/>
        </w:rPr>
        <w:t> </w:t>
      </w:r>
      <w:r>
        <w:rPr/>
        <w:t>those</w:t>
      </w:r>
      <w:r>
        <w:rPr>
          <w:spacing w:val="-8"/>
        </w:rPr>
        <w:t> </w:t>
      </w:r>
      <w:r>
        <w:rPr/>
        <w:t>members</w:t>
      </w:r>
      <w:r>
        <w:rPr>
          <w:spacing w:val="-5"/>
        </w:rPr>
        <w:t> </w:t>
      </w:r>
      <w:r>
        <w:rPr/>
        <w:t>that</w:t>
      </w:r>
      <w:r>
        <w:rPr>
          <w:spacing w:val="-5"/>
        </w:rPr>
        <w:t> </w:t>
      </w:r>
      <w:r>
        <w:rPr/>
        <w:t>take</w:t>
      </w:r>
      <w:r>
        <w:rPr>
          <w:spacing w:val="-6"/>
        </w:rPr>
        <w:t> </w:t>
      </w:r>
      <w:r>
        <w:rPr/>
        <w:t>a</w:t>
      </w:r>
      <w:r>
        <w:rPr>
          <w:spacing w:val="-6"/>
        </w:rPr>
        <w:t> </w:t>
      </w:r>
      <w:r>
        <w:rPr/>
        <w:t>stricter</w:t>
      </w:r>
      <w:r>
        <w:rPr>
          <w:spacing w:val="-5"/>
        </w:rPr>
        <w:t> </w:t>
      </w:r>
      <w:r>
        <w:rPr/>
        <w:t>regulatory</w:t>
      </w:r>
      <w:r>
        <w:rPr>
          <w:spacing w:val="-7"/>
        </w:rPr>
        <w:t> </w:t>
      </w:r>
      <w:r>
        <w:rPr/>
        <w:t>approach to</w:t>
      </w:r>
      <w:r>
        <w:rPr>
          <w:spacing w:val="-8"/>
        </w:rPr>
        <w:t> </w:t>
      </w:r>
      <w:r>
        <w:rPr/>
        <w:t>prescription</w:t>
      </w:r>
      <w:r>
        <w:rPr>
          <w:spacing w:val="-7"/>
        </w:rPr>
        <w:t> </w:t>
      </w:r>
      <w:r>
        <w:rPr/>
        <w:t>drugs.</w:t>
      </w:r>
      <w:r>
        <w:rPr>
          <w:spacing w:val="-6"/>
        </w:rPr>
        <w:t> </w:t>
      </w:r>
      <w:r>
        <w:rPr/>
        <w:t>In</w:t>
      </w:r>
      <w:r>
        <w:rPr>
          <w:spacing w:val="-7"/>
        </w:rPr>
        <w:t> </w:t>
      </w:r>
      <w:r>
        <w:rPr/>
        <w:t>addition,</w:t>
      </w:r>
      <w:r>
        <w:rPr>
          <w:spacing w:val="-7"/>
        </w:rPr>
        <w:t> </w:t>
      </w:r>
      <w:r>
        <w:rPr/>
        <w:t>some</w:t>
      </w:r>
      <w:r>
        <w:rPr>
          <w:spacing w:val="-7"/>
        </w:rPr>
        <w:t> </w:t>
      </w:r>
      <w:r>
        <w:rPr/>
        <w:t>drugs</w:t>
      </w:r>
      <w:r>
        <w:rPr>
          <w:spacing w:val="-6"/>
        </w:rPr>
        <w:t> </w:t>
      </w:r>
      <w:r>
        <w:rPr/>
        <w:t>are</w:t>
      </w:r>
      <w:r>
        <w:rPr>
          <w:spacing w:val="-7"/>
        </w:rPr>
        <w:t> </w:t>
      </w:r>
      <w:r>
        <w:rPr/>
        <w:t>sold</w:t>
      </w:r>
      <w:r>
        <w:rPr>
          <w:spacing w:val="-5"/>
        </w:rPr>
        <w:t> </w:t>
      </w:r>
      <w:r>
        <w:rPr/>
        <w:t>as</w:t>
      </w:r>
      <w:r>
        <w:rPr>
          <w:spacing w:val="-5"/>
        </w:rPr>
        <w:t> </w:t>
      </w:r>
      <w:r>
        <w:rPr/>
        <w:t>both</w:t>
      </w:r>
      <w:r>
        <w:rPr>
          <w:spacing w:val="-6"/>
        </w:rPr>
        <w:t> </w:t>
      </w:r>
      <w:r>
        <w:rPr/>
        <w:t>OTC</w:t>
      </w:r>
      <w:r>
        <w:rPr>
          <w:spacing w:val="-6"/>
        </w:rPr>
        <w:t> </w:t>
      </w:r>
      <w:r>
        <w:rPr/>
        <w:t>drugs</w:t>
      </w:r>
      <w:r>
        <w:rPr>
          <w:spacing w:val="-6"/>
        </w:rPr>
        <w:t> </w:t>
      </w:r>
      <w:r>
        <w:rPr/>
        <w:t>and</w:t>
      </w:r>
      <w:r>
        <w:rPr>
          <w:spacing w:val="-8"/>
        </w:rPr>
        <w:t> </w:t>
      </w:r>
      <w:r>
        <w:rPr/>
        <w:t>as</w:t>
      </w:r>
      <w:r>
        <w:rPr>
          <w:spacing w:val="-6"/>
        </w:rPr>
        <w:t> </w:t>
      </w:r>
      <w:r>
        <w:rPr/>
        <w:t>prescription</w:t>
      </w:r>
      <w:r>
        <w:rPr>
          <w:spacing w:val="-8"/>
        </w:rPr>
        <w:t> </w:t>
      </w:r>
      <w:r>
        <w:rPr/>
        <w:t>drugs</w:t>
      </w:r>
      <w:r>
        <w:rPr>
          <w:spacing w:val="-6"/>
        </w:rPr>
        <w:t> </w:t>
      </w:r>
      <w:r>
        <w:rPr/>
        <w:t>in</w:t>
      </w:r>
      <w:r>
        <w:rPr>
          <w:spacing w:val="-8"/>
        </w:rPr>
        <w:t> </w:t>
      </w:r>
      <w:r>
        <w:rPr/>
        <w:t>the same country, for example where the dose is higher or when a specific drug is prescribed in combination with other drugs. This could lead to administrative difficulties to track and trace whether a particular drug was</w:t>
      </w:r>
      <w:r>
        <w:rPr>
          <w:spacing w:val="-4"/>
        </w:rPr>
        <w:t> </w:t>
      </w:r>
      <w:r>
        <w:rPr/>
        <w:t>in</w:t>
      </w:r>
      <w:r>
        <w:rPr>
          <w:spacing w:val="-4"/>
        </w:rPr>
        <w:t> </w:t>
      </w:r>
      <w:r>
        <w:rPr/>
        <w:t>scope</w:t>
      </w:r>
      <w:r>
        <w:rPr>
          <w:spacing w:val="-2"/>
        </w:rPr>
        <w:t> </w:t>
      </w:r>
      <w:r>
        <w:rPr/>
        <w:t>in</w:t>
      </w:r>
      <w:r>
        <w:rPr>
          <w:spacing w:val="-3"/>
        </w:rPr>
        <w:t> </w:t>
      </w:r>
      <w:r>
        <w:rPr/>
        <w:t>a</w:t>
      </w:r>
      <w:r>
        <w:rPr>
          <w:spacing w:val="-4"/>
        </w:rPr>
        <w:t> </w:t>
      </w:r>
      <w:r>
        <w:rPr/>
        <w:t>given</w:t>
      </w:r>
      <w:r>
        <w:rPr>
          <w:spacing w:val="-4"/>
        </w:rPr>
        <w:t> </w:t>
      </w:r>
      <w:r>
        <w:rPr/>
        <w:t>case</w:t>
      </w:r>
      <w:r>
        <w:rPr>
          <w:spacing w:val="-3"/>
        </w:rPr>
        <w:t> </w:t>
      </w:r>
      <w:r>
        <w:rPr/>
        <w:t>and</w:t>
      </w:r>
      <w:r>
        <w:rPr>
          <w:spacing w:val="-4"/>
        </w:rPr>
        <w:t> </w:t>
      </w:r>
      <w:r>
        <w:rPr/>
        <w:t>could</w:t>
      </w:r>
      <w:r>
        <w:rPr>
          <w:spacing w:val="-5"/>
        </w:rPr>
        <w:t> </w:t>
      </w:r>
      <w:r>
        <w:rPr/>
        <w:t>also</w:t>
      </w:r>
      <w:r>
        <w:rPr>
          <w:spacing w:val="-2"/>
        </w:rPr>
        <w:t> </w:t>
      </w:r>
      <w:r>
        <w:rPr/>
        <w:t>involve</w:t>
      </w:r>
      <w:r>
        <w:rPr>
          <w:spacing w:val="-5"/>
        </w:rPr>
        <w:t> </w:t>
      </w:r>
      <w:r>
        <w:rPr/>
        <w:t>significant</w:t>
      </w:r>
      <w:r>
        <w:rPr>
          <w:spacing w:val="-2"/>
        </w:rPr>
        <w:t> </w:t>
      </w:r>
      <w:r>
        <w:rPr/>
        <w:t>administrative</w:t>
      </w:r>
      <w:r>
        <w:rPr>
          <w:spacing w:val="-4"/>
        </w:rPr>
        <w:t> </w:t>
      </w:r>
      <w:r>
        <w:rPr/>
        <w:t>costs</w:t>
      </w:r>
      <w:r>
        <w:rPr>
          <w:spacing w:val="-1"/>
        </w:rPr>
        <w:t> </w:t>
      </w:r>
      <w:r>
        <w:rPr/>
        <w:t>for</w:t>
      </w:r>
      <w:r>
        <w:rPr>
          <w:spacing w:val="-2"/>
        </w:rPr>
        <w:t> </w:t>
      </w:r>
      <w:r>
        <w:rPr/>
        <w:t>tax</w:t>
      </w:r>
      <w:r>
        <w:rPr>
          <w:spacing w:val="-4"/>
        </w:rPr>
        <w:t> </w:t>
      </w:r>
      <w:r>
        <w:rPr/>
        <w:t>authorities</w:t>
      </w:r>
      <w:r>
        <w:rPr>
          <w:spacing w:val="-3"/>
        </w:rPr>
        <w:t> </w:t>
      </w:r>
      <w:r>
        <w:rPr/>
        <w:t>and compliance</w:t>
      </w:r>
      <w:r>
        <w:rPr>
          <w:spacing w:val="-12"/>
        </w:rPr>
        <w:t> </w:t>
      </w:r>
      <w:r>
        <w:rPr/>
        <w:t>costs</w:t>
      </w:r>
      <w:r>
        <w:rPr>
          <w:spacing w:val="-10"/>
        </w:rPr>
        <w:t> </w:t>
      </w:r>
      <w:r>
        <w:rPr/>
        <w:t>for</w:t>
      </w:r>
      <w:r>
        <w:rPr>
          <w:spacing w:val="-10"/>
        </w:rPr>
        <w:t> </w:t>
      </w:r>
      <w:r>
        <w:rPr/>
        <w:t>taxpayers</w:t>
      </w:r>
      <w:r>
        <w:rPr>
          <w:spacing w:val="-9"/>
        </w:rPr>
        <w:t> </w:t>
      </w:r>
      <w:r>
        <w:rPr/>
        <w:t>in</w:t>
      </w:r>
      <w:r>
        <w:rPr>
          <w:spacing w:val="-9"/>
        </w:rPr>
        <w:t> </w:t>
      </w:r>
      <w:r>
        <w:rPr/>
        <w:t>order</w:t>
      </w:r>
      <w:r>
        <w:rPr>
          <w:spacing w:val="-8"/>
        </w:rPr>
        <w:t> </w:t>
      </w:r>
      <w:r>
        <w:rPr/>
        <w:t>to</w:t>
      </w:r>
      <w:r>
        <w:rPr>
          <w:spacing w:val="-9"/>
        </w:rPr>
        <w:t> </w:t>
      </w:r>
      <w:r>
        <w:rPr/>
        <w:t>comply</w:t>
      </w:r>
      <w:r>
        <w:rPr>
          <w:spacing w:val="-11"/>
        </w:rPr>
        <w:t> </w:t>
      </w:r>
      <w:r>
        <w:rPr/>
        <w:t>with</w:t>
      </w:r>
      <w:r>
        <w:rPr>
          <w:spacing w:val="-9"/>
        </w:rPr>
        <w:t> </w:t>
      </w:r>
      <w:r>
        <w:rPr/>
        <w:t>the</w:t>
      </w:r>
      <w:r>
        <w:rPr>
          <w:spacing w:val="-12"/>
        </w:rPr>
        <w:t> </w:t>
      </w:r>
      <w:r>
        <w:rPr/>
        <w:t>second</w:t>
      </w:r>
      <w:r>
        <w:rPr>
          <w:spacing w:val="-9"/>
        </w:rPr>
        <w:t> </w:t>
      </w:r>
      <w:r>
        <w:rPr/>
        <w:t>approach.</w:t>
      </w:r>
      <w:r>
        <w:rPr>
          <w:spacing w:val="-9"/>
        </w:rPr>
        <w:t> </w:t>
      </w:r>
      <w:r>
        <w:rPr/>
        <w:t>However,</w:t>
      </w:r>
      <w:r>
        <w:rPr>
          <w:spacing w:val="-9"/>
        </w:rPr>
        <w:t> </w:t>
      </w:r>
      <w:r>
        <w:rPr/>
        <w:t>members</w:t>
      </w:r>
      <w:r>
        <w:rPr>
          <w:spacing w:val="-9"/>
        </w:rPr>
        <w:t> </w:t>
      </w:r>
      <w:r>
        <w:rPr/>
        <w:t>in</w:t>
      </w:r>
      <w:r>
        <w:rPr>
          <w:spacing w:val="-12"/>
        </w:rPr>
        <w:t> </w:t>
      </w:r>
      <w:r>
        <w:rPr/>
        <w:t>favour of this approach take the view that the compliance burden could be addressed, for example, by following the classification of a particular drug as prescription or OTC based on the approach in the majority of Inclusive Framework members or whether a substantial part of the revenue is from</w:t>
      </w:r>
      <w:r>
        <w:rPr>
          <w:spacing w:val="-25"/>
        </w:rPr>
        <w:t> </w:t>
      </w:r>
      <w:r>
        <w:rPr/>
        <w:t>prescriptions.</w:t>
      </w:r>
    </w:p>
    <w:p>
      <w:pPr>
        <w:pStyle w:val="BodyText"/>
        <w:spacing w:before="2"/>
      </w:pPr>
    </w:p>
    <w:p>
      <w:pPr>
        <w:pStyle w:val="Heading7"/>
        <w:rPr>
          <w:i/>
        </w:rPr>
      </w:pPr>
      <w:bookmarkStart w:name="Franchising" w:id="50"/>
      <w:bookmarkEnd w:id="50"/>
      <w:r>
        <w:rPr>
          <w:i w:val="0"/>
        </w:rPr>
      </w:r>
      <w:r>
        <w:rPr>
          <w:i/>
          <w:color w:val="616161"/>
        </w:rPr>
        <w:t>Franchising</w:t>
      </w:r>
    </w:p>
    <w:p>
      <w:pPr>
        <w:pStyle w:val="ListParagraph"/>
        <w:numPr>
          <w:ilvl w:val="0"/>
          <w:numId w:val="4"/>
        </w:numPr>
        <w:tabs>
          <w:tab w:pos="1444" w:val="left" w:leader="none"/>
        </w:tabs>
        <w:spacing w:line="271" w:lineRule="auto" w:before="215" w:after="0"/>
        <w:ind w:left="723" w:right="482" w:firstLine="0"/>
        <w:jc w:val="both"/>
        <w:rPr>
          <w:sz w:val="20"/>
        </w:rPr>
      </w:pPr>
      <w:r>
        <w:rPr>
          <w:sz w:val="20"/>
        </w:rPr>
        <w:t>The</w:t>
      </w:r>
      <w:r>
        <w:rPr>
          <w:spacing w:val="-16"/>
          <w:sz w:val="20"/>
        </w:rPr>
        <w:t> </w:t>
      </w:r>
      <w:r>
        <w:rPr>
          <w:sz w:val="20"/>
        </w:rPr>
        <w:t>proposed</w:t>
      </w:r>
      <w:r>
        <w:rPr>
          <w:spacing w:val="-16"/>
          <w:sz w:val="20"/>
        </w:rPr>
        <w:t> </w:t>
      </w:r>
      <w:r>
        <w:rPr>
          <w:sz w:val="20"/>
        </w:rPr>
        <w:t>scope</w:t>
      </w:r>
      <w:r>
        <w:rPr>
          <w:spacing w:val="-16"/>
          <w:sz w:val="20"/>
        </w:rPr>
        <w:t> </w:t>
      </w:r>
      <w:r>
        <w:rPr>
          <w:sz w:val="20"/>
        </w:rPr>
        <w:t>of</w:t>
      </w:r>
      <w:r>
        <w:rPr>
          <w:spacing w:val="-14"/>
          <w:sz w:val="20"/>
        </w:rPr>
        <w:t> </w:t>
      </w:r>
      <w:r>
        <w:rPr>
          <w:sz w:val="20"/>
        </w:rPr>
        <w:t>Amount</w:t>
      </w:r>
      <w:r>
        <w:rPr>
          <w:spacing w:val="-14"/>
          <w:sz w:val="20"/>
        </w:rPr>
        <w:t> </w:t>
      </w:r>
      <w:r>
        <w:rPr>
          <w:sz w:val="20"/>
        </w:rPr>
        <w:t>A</w:t>
      </w:r>
      <w:r>
        <w:rPr>
          <w:spacing w:val="-12"/>
          <w:sz w:val="20"/>
        </w:rPr>
        <w:t> </w:t>
      </w:r>
      <w:r>
        <w:rPr>
          <w:sz w:val="20"/>
        </w:rPr>
        <w:t>would</w:t>
      </w:r>
      <w:r>
        <w:rPr>
          <w:spacing w:val="-16"/>
          <w:sz w:val="20"/>
        </w:rPr>
        <w:t> </w:t>
      </w:r>
      <w:r>
        <w:rPr>
          <w:sz w:val="20"/>
        </w:rPr>
        <w:t>extend</w:t>
      </w:r>
      <w:r>
        <w:rPr>
          <w:spacing w:val="-14"/>
          <w:sz w:val="20"/>
        </w:rPr>
        <w:t> </w:t>
      </w:r>
      <w:r>
        <w:rPr>
          <w:sz w:val="20"/>
        </w:rPr>
        <w:t>not</w:t>
      </w:r>
      <w:r>
        <w:rPr>
          <w:spacing w:val="-16"/>
          <w:sz w:val="20"/>
        </w:rPr>
        <w:t> </w:t>
      </w:r>
      <w:r>
        <w:rPr>
          <w:sz w:val="20"/>
        </w:rPr>
        <w:t>only</w:t>
      </w:r>
      <w:r>
        <w:rPr>
          <w:spacing w:val="-17"/>
          <w:sz w:val="20"/>
        </w:rPr>
        <w:t> </w:t>
      </w:r>
      <w:r>
        <w:rPr>
          <w:sz w:val="20"/>
        </w:rPr>
        <w:t>to</w:t>
      </w:r>
      <w:r>
        <w:rPr>
          <w:spacing w:val="-14"/>
          <w:sz w:val="20"/>
        </w:rPr>
        <w:t> </w:t>
      </w:r>
      <w:r>
        <w:rPr>
          <w:sz w:val="20"/>
        </w:rPr>
        <w:t>businesses</w:t>
      </w:r>
      <w:r>
        <w:rPr>
          <w:spacing w:val="-15"/>
          <w:sz w:val="20"/>
        </w:rPr>
        <w:t> </w:t>
      </w:r>
      <w:r>
        <w:rPr>
          <w:sz w:val="20"/>
        </w:rPr>
        <w:t>that</w:t>
      </w:r>
      <w:r>
        <w:rPr>
          <w:spacing w:val="-14"/>
          <w:sz w:val="20"/>
        </w:rPr>
        <w:t> </w:t>
      </w:r>
      <w:r>
        <w:rPr>
          <w:sz w:val="20"/>
        </w:rPr>
        <w:t>sell</w:t>
      </w:r>
      <w:r>
        <w:rPr>
          <w:spacing w:val="-16"/>
          <w:sz w:val="20"/>
        </w:rPr>
        <w:t> </w:t>
      </w:r>
      <w:r>
        <w:rPr>
          <w:sz w:val="20"/>
        </w:rPr>
        <w:t>goods</w:t>
      </w:r>
      <w:r>
        <w:rPr>
          <w:spacing w:val="-15"/>
          <w:sz w:val="20"/>
        </w:rPr>
        <w:t> </w:t>
      </w:r>
      <w:r>
        <w:rPr>
          <w:sz w:val="20"/>
        </w:rPr>
        <w:t>and</w:t>
      </w:r>
      <w:r>
        <w:rPr>
          <w:spacing w:val="-16"/>
          <w:sz w:val="20"/>
        </w:rPr>
        <w:t> </w:t>
      </w:r>
      <w:r>
        <w:rPr>
          <w:sz w:val="20"/>
        </w:rPr>
        <w:t>services directly</w:t>
      </w:r>
      <w:r>
        <w:rPr>
          <w:spacing w:val="-7"/>
          <w:sz w:val="20"/>
        </w:rPr>
        <w:t> </w:t>
      </w:r>
      <w:r>
        <w:rPr>
          <w:sz w:val="20"/>
        </w:rPr>
        <w:t>to</w:t>
      </w:r>
      <w:r>
        <w:rPr>
          <w:spacing w:val="-4"/>
          <w:sz w:val="20"/>
        </w:rPr>
        <w:t> </w:t>
      </w:r>
      <w:r>
        <w:rPr>
          <w:sz w:val="20"/>
        </w:rPr>
        <w:t>consumers,</w:t>
      </w:r>
      <w:r>
        <w:rPr>
          <w:spacing w:val="-6"/>
          <w:sz w:val="20"/>
        </w:rPr>
        <w:t> </w:t>
      </w:r>
      <w:r>
        <w:rPr>
          <w:sz w:val="20"/>
        </w:rPr>
        <w:t>but</w:t>
      </w:r>
      <w:r>
        <w:rPr>
          <w:spacing w:val="-3"/>
          <w:sz w:val="20"/>
        </w:rPr>
        <w:t> </w:t>
      </w:r>
      <w:r>
        <w:rPr>
          <w:sz w:val="20"/>
        </w:rPr>
        <w:t>also</w:t>
      </w:r>
      <w:r>
        <w:rPr>
          <w:spacing w:val="-3"/>
          <w:sz w:val="20"/>
        </w:rPr>
        <w:t> </w:t>
      </w:r>
      <w:r>
        <w:rPr>
          <w:sz w:val="20"/>
        </w:rPr>
        <w:t>to</w:t>
      </w:r>
      <w:r>
        <w:rPr>
          <w:spacing w:val="-6"/>
          <w:sz w:val="20"/>
        </w:rPr>
        <w:t> </w:t>
      </w:r>
      <w:r>
        <w:rPr>
          <w:sz w:val="20"/>
        </w:rPr>
        <w:t>those</w:t>
      </w:r>
      <w:r>
        <w:rPr>
          <w:spacing w:val="-4"/>
          <w:sz w:val="20"/>
        </w:rPr>
        <w:t> </w:t>
      </w:r>
      <w:r>
        <w:rPr>
          <w:sz w:val="20"/>
        </w:rPr>
        <w:t>that</w:t>
      </w:r>
      <w:r>
        <w:rPr>
          <w:spacing w:val="-7"/>
          <w:sz w:val="20"/>
        </w:rPr>
        <w:t> </w:t>
      </w:r>
      <w:r>
        <w:rPr>
          <w:sz w:val="20"/>
        </w:rPr>
        <w:t>sell</w:t>
      </w:r>
      <w:r>
        <w:rPr>
          <w:spacing w:val="-6"/>
          <w:sz w:val="20"/>
        </w:rPr>
        <w:t> </w:t>
      </w:r>
      <w:r>
        <w:rPr>
          <w:sz w:val="20"/>
        </w:rPr>
        <w:t>consumer</w:t>
      </w:r>
      <w:r>
        <w:rPr>
          <w:spacing w:val="-5"/>
          <w:sz w:val="20"/>
        </w:rPr>
        <w:t> </w:t>
      </w:r>
      <w:r>
        <w:rPr>
          <w:sz w:val="20"/>
        </w:rPr>
        <w:t>products</w:t>
      </w:r>
      <w:r>
        <w:rPr>
          <w:spacing w:val="-5"/>
          <w:sz w:val="20"/>
        </w:rPr>
        <w:t> </w:t>
      </w:r>
      <w:r>
        <w:rPr>
          <w:sz w:val="20"/>
        </w:rPr>
        <w:t>indirectly</w:t>
      </w:r>
      <w:r>
        <w:rPr>
          <w:spacing w:val="-6"/>
          <w:sz w:val="20"/>
        </w:rPr>
        <w:t> </w:t>
      </w:r>
      <w:r>
        <w:rPr>
          <w:sz w:val="20"/>
        </w:rPr>
        <w:t>through</w:t>
      </w:r>
      <w:r>
        <w:rPr>
          <w:spacing w:val="2"/>
          <w:sz w:val="20"/>
        </w:rPr>
        <w:t> </w:t>
      </w:r>
      <w:r>
        <w:rPr>
          <w:sz w:val="20"/>
        </w:rPr>
        <w:t>third-party</w:t>
      </w:r>
      <w:r>
        <w:rPr>
          <w:spacing w:val="-9"/>
          <w:sz w:val="20"/>
        </w:rPr>
        <w:t> </w:t>
      </w:r>
      <w:r>
        <w:rPr>
          <w:sz w:val="20"/>
        </w:rPr>
        <w:t>resellers or</w:t>
      </w:r>
      <w:r>
        <w:rPr>
          <w:spacing w:val="-12"/>
          <w:sz w:val="20"/>
        </w:rPr>
        <w:t> </w:t>
      </w:r>
      <w:r>
        <w:rPr>
          <w:sz w:val="20"/>
        </w:rPr>
        <w:t>intermediaries.</w:t>
      </w:r>
      <w:r>
        <w:rPr>
          <w:spacing w:val="-11"/>
          <w:sz w:val="20"/>
        </w:rPr>
        <w:t> </w:t>
      </w:r>
      <w:r>
        <w:rPr>
          <w:sz w:val="20"/>
        </w:rPr>
        <w:t>In</w:t>
      </w:r>
      <w:r>
        <w:rPr>
          <w:spacing w:val="-12"/>
          <w:sz w:val="20"/>
        </w:rPr>
        <w:t> </w:t>
      </w:r>
      <w:r>
        <w:rPr>
          <w:sz w:val="20"/>
        </w:rPr>
        <w:t>this</w:t>
      </w:r>
      <w:r>
        <w:rPr>
          <w:spacing w:val="-10"/>
          <w:sz w:val="20"/>
        </w:rPr>
        <w:t> </w:t>
      </w:r>
      <w:r>
        <w:rPr>
          <w:sz w:val="20"/>
        </w:rPr>
        <w:t>sense,</w:t>
      </w:r>
      <w:r>
        <w:rPr>
          <w:spacing w:val="-10"/>
          <w:sz w:val="20"/>
        </w:rPr>
        <w:t> </w:t>
      </w:r>
      <w:r>
        <w:rPr>
          <w:i/>
          <w:sz w:val="20"/>
        </w:rPr>
        <w:t>facing</w:t>
      </w:r>
      <w:r>
        <w:rPr>
          <w:i/>
          <w:spacing w:val="-11"/>
          <w:sz w:val="20"/>
        </w:rPr>
        <w:t> </w:t>
      </w:r>
      <w:r>
        <w:rPr>
          <w:sz w:val="20"/>
        </w:rPr>
        <w:t>the</w:t>
      </w:r>
      <w:r>
        <w:rPr>
          <w:spacing w:val="-12"/>
          <w:sz w:val="20"/>
        </w:rPr>
        <w:t> </w:t>
      </w:r>
      <w:r>
        <w:rPr>
          <w:sz w:val="20"/>
        </w:rPr>
        <w:t>consumer</w:t>
      </w:r>
      <w:r>
        <w:rPr>
          <w:spacing w:val="-11"/>
          <w:sz w:val="20"/>
        </w:rPr>
        <w:t> </w:t>
      </w:r>
      <w:r>
        <w:rPr>
          <w:sz w:val="20"/>
        </w:rPr>
        <w:t>is</w:t>
      </w:r>
      <w:r>
        <w:rPr>
          <w:spacing w:val="-12"/>
          <w:sz w:val="20"/>
        </w:rPr>
        <w:t> </w:t>
      </w:r>
      <w:r>
        <w:rPr>
          <w:sz w:val="20"/>
        </w:rPr>
        <w:t>broader</w:t>
      </w:r>
      <w:r>
        <w:rPr>
          <w:spacing w:val="-12"/>
          <w:sz w:val="20"/>
        </w:rPr>
        <w:t> </w:t>
      </w:r>
      <w:r>
        <w:rPr>
          <w:sz w:val="20"/>
        </w:rPr>
        <w:t>than</w:t>
      </w:r>
      <w:r>
        <w:rPr>
          <w:spacing w:val="-12"/>
          <w:sz w:val="20"/>
        </w:rPr>
        <w:t> </w:t>
      </w:r>
      <w:r>
        <w:rPr>
          <w:sz w:val="20"/>
        </w:rPr>
        <w:t>strictly</w:t>
      </w:r>
      <w:r>
        <w:rPr>
          <w:spacing w:val="-12"/>
          <w:sz w:val="20"/>
        </w:rPr>
        <w:t> </w:t>
      </w:r>
      <w:r>
        <w:rPr>
          <w:i/>
          <w:sz w:val="20"/>
        </w:rPr>
        <w:t>contracting</w:t>
      </w:r>
      <w:r>
        <w:rPr>
          <w:i/>
          <w:spacing w:val="-8"/>
          <w:sz w:val="20"/>
        </w:rPr>
        <w:t> </w:t>
      </w:r>
      <w:r>
        <w:rPr>
          <w:sz w:val="20"/>
        </w:rPr>
        <w:t>with</w:t>
      </w:r>
      <w:r>
        <w:rPr>
          <w:spacing w:val="-10"/>
          <w:sz w:val="20"/>
        </w:rPr>
        <w:t> </w:t>
      </w:r>
      <w:r>
        <w:rPr>
          <w:sz w:val="20"/>
        </w:rPr>
        <w:t>the</w:t>
      </w:r>
      <w:r>
        <w:rPr>
          <w:spacing w:val="-12"/>
          <w:sz w:val="20"/>
        </w:rPr>
        <w:t> </w:t>
      </w:r>
      <w:r>
        <w:rPr>
          <w:sz w:val="20"/>
        </w:rPr>
        <w:t>consumer, and as such, goods and services can be in scope irrespective of the particular distribution channel or selling</w:t>
      </w:r>
      <w:r>
        <w:rPr>
          <w:spacing w:val="-1"/>
          <w:sz w:val="20"/>
        </w:rPr>
        <w:t> </w:t>
      </w:r>
      <w:r>
        <w:rPr>
          <w:sz w:val="20"/>
        </w:rPr>
        <w:t>agent.</w:t>
      </w:r>
    </w:p>
    <w:p>
      <w:pPr>
        <w:pStyle w:val="ListParagraph"/>
        <w:numPr>
          <w:ilvl w:val="0"/>
          <w:numId w:val="4"/>
        </w:numPr>
        <w:tabs>
          <w:tab w:pos="1444" w:val="left" w:leader="none"/>
        </w:tabs>
        <w:spacing w:line="271" w:lineRule="auto" w:before="122" w:after="0"/>
        <w:ind w:left="723" w:right="483" w:firstLine="0"/>
        <w:jc w:val="both"/>
        <w:rPr>
          <w:sz w:val="20"/>
        </w:rPr>
      </w:pPr>
      <w:r>
        <w:rPr>
          <w:sz w:val="20"/>
        </w:rPr>
        <w:t>For this reason, franchise models and licensing arrangements in respect of consumer goods and services</w:t>
      </w:r>
      <w:r>
        <w:rPr>
          <w:spacing w:val="-6"/>
          <w:sz w:val="20"/>
        </w:rPr>
        <w:t> </w:t>
      </w:r>
      <w:r>
        <w:rPr>
          <w:sz w:val="20"/>
        </w:rPr>
        <w:t>are</w:t>
      </w:r>
      <w:r>
        <w:rPr>
          <w:spacing w:val="-6"/>
          <w:sz w:val="20"/>
        </w:rPr>
        <w:t> </w:t>
      </w:r>
      <w:r>
        <w:rPr>
          <w:sz w:val="20"/>
        </w:rPr>
        <w:t>included</w:t>
      </w:r>
      <w:r>
        <w:rPr>
          <w:spacing w:val="-6"/>
          <w:sz w:val="20"/>
        </w:rPr>
        <w:t> </w:t>
      </w:r>
      <w:r>
        <w:rPr>
          <w:sz w:val="20"/>
        </w:rPr>
        <w:t>within</w:t>
      </w:r>
      <w:r>
        <w:rPr>
          <w:spacing w:val="-7"/>
          <w:sz w:val="20"/>
        </w:rPr>
        <w:t> </w:t>
      </w:r>
      <w:r>
        <w:rPr>
          <w:sz w:val="20"/>
        </w:rPr>
        <w:t>the</w:t>
      </w:r>
      <w:r>
        <w:rPr>
          <w:spacing w:val="-7"/>
          <w:sz w:val="20"/>
        </w:rPr>
        <w:t> </w:t>
      </w:r>
      <w:r>
        <w:rPr>
          <w:sz w:val="20"/>
        </w:rPr>
        <w:t>scope.</w:t>
      </w:r>
      <w:r>
        <w:rPr>
          <w:spacing w:val="-9"/>
          <w:sz w:val="20"/>
        </w:rPr>
        <w:t> </w:t>
      </w:r>
      <w:r>
        <w:rPr>
          <w:sz w:val="20"/>
        </w:rPr>
        <w:t>This</w:t>
      </w:r>
      <w:r>
        <w:rPr>
          <w:spacing w:val="-8"/>
          <w:sz w:val="20"/>
        </w:rPr>
        <w:t> </w:t>
      </w:r>
      <w:r>
        <w:rPr>
          <w:sz w:val="20"/>
        </w:rPr>
        <w:t>means</w:t>
      </w:r>
      <w:r>
        <w:rPr>
          <w:spacing w:val="-8"/>
          <w:sz w:val="20"/>
        </w:rPr>
        <w:t> </w:t>
      </w:r>
      <w:r>
        <w:rPr>
          <w:sz w:val="20"/>
        </w:rPr>
        <w:t>that</w:t>
      </w:r>
      <w:r>
        <w:rPr>
          <w:spacing w:val="-7"/>
          <w:sz w:val="20"/>
        </w:rPr>
        <w:t> </w:t>
      </w:r>
      <w:r>
        <w:rPr>
          <w:sz w:val="20"/>
        </w:rPr>
        <w:t>the</w:t>
      </w:r>
      <w:r>
        <w:rPr>
          <w:spacing w:val="-7"/>
          <w:sz w:val="20"/>
        </w:rPr>
        <w:t> </w:t>
      </w:r>
      <w:r>
        <w:rPr>
          <w:sz w:val="20"/>
        </w:rPr>
        <w:t>basic</w:t>
      </w:r>
      <w:r>
        <w:rPr>
          <w:spacing w:val="-8"/>
          <w:sz w:val="20"/>
        </w:rPr>
        <w:t> </w:t>
      </w:r>
      <w:r>
        <w:rPr>
          <w:sz w:val="20"/>
        </w:rPr>
        <w:t>concept</w:t>
      </w:r>
      <w:r>
        <w:rPr>
          <w:spacing w:val="-7"/>
          <w:sz w:val="20"/>
        </w:rPr>
        <w:t> </w:t>
      </w:r>
      <w:r>
        <w:rPr>
          <w:sz w:val="20"/>
        </w:rPr>
        <w:t>of</w:t>
      </w:r>
      <w:r>
        <w:rPr>
          <w:spacing w:val="-1"/>
          <w:sz w:val="20"/>
        </w:rPr>
        <w:t> </w:t>
      </w:r>
      <w:r>
        <w:rPr>
          <w:sz w:val="20"/>
        </w:rPr>
        <w:t>CFB</w:t>
      </w:r>
      <w:r>
        <w:rPr>
          <w:spacing w:val="-7"/>
          <w:sz w:val="20"/>
        </w:rPr>
        <w:t> </w:t>
      </w:r>
      <w:r>
        <w:rPr>
          <w:sz w:val="20"/>
        </w:rPr>
        <w:t>applies,</w:t>
      </w:r>
      <w:r>
        <w:rPr>
          <w:spacing w:val="-7"/>
          <w:sz w:val="20"/>
        </w:rPr>
        <w:t> </w:t>
      </w:r>
      <w:r>
        <w:rPr>
          <w:sz w:val="20"/>
        </w:rPr>
        <w:t>even</w:t>
      </w:r>
      <w:r>
        <w:rPr>
          <w:spacing w:val="-6"/>
          <w:sz w:val="20"/>
        </w:rPr>
        <w:t> </w:t>
      </w:r>
      <w:r>
        <w:rPr>
          <w:sz w:val="20"/>
        </w:rPr>
        <w:t>where</w:t>
      </w:r>
      <w:r>
        <w:rPr>
          <w:spacing w:val="-6"/>
          <w:sz w:val="20"/>
        </w:rPr>
        <w:t> </w:t>
      </w:r>
      <w:r>
        <w:rPr>
          <w:sz w:val="20"/>
        </w:rPr>
        <w:t>the income is earned from franchising or licensing rather than direct sale to the</w:t>
      </w:r>
      <w:r>
        <w:rPr>
          <w:spacing w:val="-16"/>
          <w:sz w:val="20"/>
        </w:rPr>
        <w:t> </w:t>
      </w:r>
      <w:r>
        <w:rPr>
          <w:sz w:val="20"/>
        </w:rPr>
        <w:t>consumer.</w:t>
      </w:r>
    </w:p>
    <w:p>
      <w:pPr>
        <w:pStyle w:val="ListParagraph"/>
        <w:numPr>
          <w:ilvl w:val="0"/>
          <w:numId w:val="4"/>
        </w:numPr>
        <w:tabs>
          <w:tab w:pos="1444" w:val="left" w:leader="none"/>
        </w:tabs>
        <w:spacing w:line="271" w:lineRule="auto" w:before="120" w:after="0"/>
        <w:ind w:left="723" w:right="483" w:firstLine="0"/>
        <w:jc w:val="both"/>
        <w:rPr>
          <w:sz w:val="20"/>
        </w:rPr>
      </w:pPr>
      <w:r>
        <w:rPr>
          <w:sz w:val="20"/>
        </w:rPr>
        <w:t>This is reflected in the definition of CFB above, which includes as a CFB one that licenses or otherwise exploits intangible property that is connected to the supply of goods or services that are otherwise of a type commonly sold to consumers. As franchising involves earning a return from making intangible property available to the franchisee (as described in the franchising models below), this language is intended to capture franchising arrangements. It does not mean that to be in scope, the consumer must be directly acquiring licensing or franchising rights. For example, where an international chain</w:t>
      </w:r>
      <w:r>
        <w:rPr>
          <w:spacing w:val="-10"/>
          <w:sz w:val="20"/>
        </w:rPr>
        <w:t> </w:t>
      </w:r>
      <w:r>
        <w:rPr>
          <w:sz w:val="20"/>
        </w:rPr>
        <w:t>of</w:t>
      </w:r>
      <w:r>
        <w:rPr>
          <w:spacing w:val="-9"/>
          <w:sz w:val="20"/>
        </w:rPr>
        <w:t> </w:t>
      </w:r>
      <w:r>
        <w:rPr>
          <w:sz w:val="20"/>
        </w:rPr>
        <w:t>restaurants</w:t>
      </w:r>
      <w:r>
        <w:rPr>
          <w:spacing w:val="-10"/>
          <w:sz w:val="20"/>
        </w:rPr>
        <w:t> </w:t>
      </w:r>
      <w:r>
        <w:rPr>
          <w:sz w:val="20"/>
        </w:rPr>
        <w:t>operates</w:t>
      </w:r>
      <w:r>
        <w:rPr>
          <w:spacing w:val="-10"/>
          <w:sz w:val="20"/>
        </w:rPr>
        <w:t> </w:t>
      </w:r>
      <w:r>
        <w:rPr>
          <w:sz w:val="20"/>
        </w:rPr>
        <w:t>through</w:t>
      </w:r>
      <w:r>
        <w:rPr>
          <w:spacing w:val="-12"/>
          <w:sz w:val="20"/>
        </w:rPr>
        <w:t> </w:t>
      </w:r>
      <w:r>
        <w:rPr>
          <w:sz w:val="20"/>
        </w:rPr>
        <w:t>a</w:t>
      </w:r>
      <w:r>
        <w:rPr>
          <w:spacing w:val="-9"/>
          <w:sz w:val="20"/>
        </w:rPr>
        <w:t> </w:t>
      </w:r>
      <w:r>
        <w:rPr>
          <w:sz w:val="20"/>
        </w:rPr>
        <w:t>franchise</w:t>
      </w:r>
      <w:r>
        <w:rPr>
          <w:spacing w:val="-12"/>
          <w:sz w:val="20"/>
        </w:rPr>
        <w:t> </w:t>
      </w:r>
      <w:r>
        <w:rPr>
          <w:sz w:val="20"/>
        </w:rPr>
        <w:t>model,</w:t>
      </w:r>
      <w:r>
        <w:rPr>
          <w:spacing w:val="-11"/>
          <w:sz w:val="20"/>
        </w:rPr>
        <w:t> </w:t>
      </w:r>
      <w:r>
        <w:rPr>
          <w:sz w:val="20"/>
        </w:rPr>
        <w:t>the</w:t>
      </w:r>
      <w:r>
        <w:rPr>
          <w:spacing w:val="-9"/>
          <w:sz w:val="20"/>
        </w:rPr>
        <w:t> </w:t>
      </w:r>
      <w:r>
        <w:rPr>
          <w:sz w:val="20"/>
        </w:rPr>
        <w:t>local</w:t>
      </w:r>
      <w:r>
        <w:rPr>
          <w:spacing w:val="-12"/>
          <w:sz w:val="20"/>
        </w:rPr>
        <w:t> </w:t>
      </w:r>
      <w:r>
        <w:rPr>
          <w:sz w:val="20"/>
        </w:rPr>
        <w:t>restaurant</w:t>
      </w:r>
      <w:r>
        <w:rPr>
          <w:spacing w:val="-11"/>
          <w:sz w:val="20"/>
        </w:rPr>
        <w:t> </w:t>
      </w:r>
      <w:r>
        <w:rPr>
          <w:sz w:val="20"/>
        </w:rPr>
        <w:t>franchisee</w:t>
      </w:r>
      <w:r>
        <w:rPr>
          <w:spacing w:val="-9"/>
          <w:sz w:val="20"/>
        </w:rPr>
        <w:t> </w:t>
      </w:r>
      <w:r>
        <w:rPr>
          <w:sz w:val="20"/>
        </w:rPr>
        <w:t>would</w:t>
      </w:r>
      <w:r>
        <w:rPr>
          <w:spacing w:val="-9"/>
          <w:sz w:val="20"/>
        </w:rPr>
        <w:t> </w:t>
      </w:r>
      <w:r>
        <w:rPr>
          <w:sz w:val="20"/>
        </w:rPr>
        <w:t>be</w:t>
      </w:r>
      <w:r>
        <w:rPr>
          <w:spacing w:val="-7"/>
          <w:sz w:val="20"/>
        </w:rPr>
        <w:t> </w:t>
      </w:r>
      <w:r>
        <w:rPr>
          <w:sz w:val="20"/>
        </w:rPr>
        <w:t>in</w:t>
      </w:r>
      <w:r>
        <w:rPr>
          <w:spacing w:val="-11"/>
          <w:sz w:val="20"/>
        </w:rPr>
        <w:t> </w:t>
      </w:r>
      <w:r>
        <w:rPr>
          <w:sz w:val="20"/>
        </w:rPr>
        <w:t>scope as</w:t>
      </w:r>
      <w:r>
        <w:rPr>
          <w:spacing w:val="-8"/>
          <w:sz w:val="20"/>
        </w:rPr>
        <w:t> </w:t>
      </w:r>
      <w:r>
        <w:rPr>
          <w:sz w:val="20"/>
        </w:rPr>
        <w:t>being</w:t>
      </w:r>
      <w:r>
        <w:rPr>
          <w:spacing w:val="-7"/>
          <w:sz w:val="20"/>
        </w:rPr>
        <w:t> </w:t>
      </w:r>
      <w:r>
        <w:rPr>
          <w:sz w:val="20"/>
        </w:rPr>
        <w:t>a</w:t>
      </w:r>
      <w:r>
        <w:rPr>
          <w:spacing w:val="-8"/>
          <w:sz w:val="20"/>
        </w:rPr>
        <w:t> </w:t>
      </w:r>
      <w:r>
        <w:rPr>
          <w:sz w:val="20"/>
        </w:rPr>
        <w:t>directly</w:t>
      </w:r>
      <w:r>
        <w:rPr>
          <w:spacing w:val="-12"/>
          <w:sz w:val="20"/>
        </w:rPr>
        <w:t> </w:t>
      </w:r>
      <w:r>
        <w:rPr>
          <w:sz w:val="20"/>
        </w:rPr>
        <w:t>consumer-facing</w:t>
      </w:r>
      <w:r>
        <w:rPr>
          <w:spacing w:val="-8"/>
          <w:sz w:val="20"/>
        </w:rPr>
        <w:t> </w:t>
      </w:r>
      <w:r>
        <w:rPr>
          <w:sz w:val="20"/>
        </w:rPr>
        <w:t>business.</w:t>
      </w:r>
      <w:r>
        <w:rPr>
          <w:spacing w:val="-9"/>
          <w:sz w:val="20"/>
        </w:rPr>
        <w:t> </w:t>
      </w:r>
      <w:r>
        <w:rPr>
          <w:sz w:val="20"/>
        </w:rPr>
        <w:t>The</w:t>
      </w:r>
      <w:r>
        <w:rPr>
          <w:spacing w:val="-9"/>
          <w:sz w:val="20"/>
        </w:rPr>
        <w:t> </w:t>
      </w:r>
      <w:r>
        <w:rPr>
          <w:sz w:val="20"/>
        </w:rPr>
        <w:t>MNE</w:t>
      </w:r>
      <w:r>
        <w:rPr>
          <w:spacing w:val="-8"/>
          <w:sz w:val="20"/>
        </w:rPr>
        <w:t> </w:t>
      </w:r>
      <w:r>
        <w:rPr>
          <w:sz w:val="20"/>
        </w:rPr>
        <w:t>that</w:t>
      </w:r>
      <w:r>
        <w:rPr>
          <w:spacing w:val="-9"/>
          <w:sz w:val="20"/>
        </w:rPr>
        <w:t> </w:t>
      </w:r>
      <w:r>
        <w:rPr>
          <w:sz w:val="20"/>
        </w:rPr>
        <w:t>is</w:t>
      </w:r>
      <w:r>
        <w:rPr>
          <w:spacing w:val="-7"/>
          <w:sz w:val="20"/>
        </w:rPr>
        <w:t> </w:t>
      </w:r>
      <w:r>
        <w:rPr>
          <w:sz w:val="20"/>
        </w:rPr>
        <w:t>responsible</w:t>
      </w:r>
      <w:r>
        <w:rPr>
          <w:spacing w:val="-9"/>
          <w:sz w:val="20"/>
        </w:rPr>
        <w:t> </w:t>
      </w:r>
      <w:r>
        <w:rPr>
          <w:sz w:val="20"/>
        </w:rPr>
        <w:t>for</w:t>
      </w:r>
      <w:r>
        <w:rPr>
          <w:spacing w:val="-8"/>
          <w:sz w:val="20"/>
        </w:rPr>
        <w:t> </w:t>
      </w:r>
      <w:r>
        <w:rPr>
          <w:sz w:val="20"/>
        </w:rPr>
        <w:t>the</w:t>
      </w:r>
      <w:r>
        <w:rPr>
          <w:spacing w:val="-6"/>
          <w:sz w:val="20"/>
        </w:rPr>
        <w:t> </w:t>
      </w:r>
      <w:r>
        <w:rPr>
          <w:sz w:val="20"/>
        </w:rPr>
        <w:t>franchising</w:t>
      </w:r>
      <w:r>
        <w:rPr>
          <w:spacing w:val="-9"/>
          <w:sz w:val="20"/>
        </w:rPr>
        <w:t> </w:t>
      </w:r>
      <w:r>
        <w:rPr>
          <w:sz w:val="20"/>
        </w:rPr>
        <w:t>and</w:t>
      </w:r>
      <w:r>
        <w:rPr>
          <w:spacing w:val="-7"/>
          <w:sz w:val="20"/>
        </w:rPr>
        <w:t> </w:t>
      </w:r>
      <w:r>
        <w:rPr>
          <w:sz w:val="20"/>
        </w:rPr>
        <w:t>earning franchise fees would also be in scope as a CFB, even though their revenue model is different from the local</w:t>
      </w:r>
      <w:r>
        <w:rPr>
          <w:spacing w:val="-6"/>
          <w:sz w:val="20"/>
        </w:rPr>
        <w:t> </w:t>
      </w:r>
      <w:r>
        <w:rPr>
          <w:sz w:val="20"/>
        </w:rPr>
        <w:t>restaurant</w:t>
      </w:r>
      <w:r>
        <w:rPr>
          <w:spacing w:val="-5"/>
          <w:sz w:val="20"/>
        </w:rPr>
        <w:t> </w:t>
      </w:r>
      <w:r>
        <w:rPr>
          <w:sz w:val="20"/>
        </w:rPr>
        <w:t>(or</w:t>
      </w:r>
      <w:r>
        <w:rPr>
          <w:spacing w:val="-4"/>
          <w:sz w:val="20"/>
        </w:rPr>
        <w:t> </w:t>
      </w:r>
      <w:r>
        <w:rPr>
          <w:sz w:val="20"/>
        </w:rPr>
        <w:t>if</w:t>
      </w:r>
      <w:r>
        <w:rPr>
          <w:spacing w:val="-4"/>
          <w:sz w:val="20"/>
        </w:rPr>
        <w:t> </w:t>
      </w:r>
      <w:r>
        <w:rPr>
          <w:sz w:val="20"/>
        </w:rPr>
        <w:t>the</w:t>
      </w:r>
      <w:r>
        <w:rPr>
          <w:spacing w:val="-5"/>
          <w:sz w:val="20"/>
        </w:rPr>
        <w:t> </w:t>
      </w:r>
      <w:r>
        <w:rPr>
          <w:sz w:val="20"/>
        </w:rPr>
        <w:t>MNE</w:t>
      </w:r>
      <w:r>
        <w:rPr>
          <w:spacing w:val="-4"/>
          <w:sz w:val="20"/>
        </w:rPr>
        <w:t> </w:t>
      </w:r>
      <w:r>
        <w:rPr>
          <w:sz w:val="20"/>
        </w:rPr>
        <w:t>also</w:t>
      </w:r>
      <w:r>
        <w:rPr>
          <w:spacing w:val="-5"/>
          <w:sz w:val="20"/>
        </w:rPr>
        <w:t> </w:t>
      </w:r>
      <w:r>
        <w:rPr>
          <w:sz w:val="20"/>
        </w:rPr>
        <w:t>owns</w:t>
      </w:r>
      <w:r>
        <w:rPr>
          <w:spacing w:val="-6"/>
          <w:sz w:val="20"/>
        </w:rPr>
        <w:t> </w:t>
      </w:r>
      <w:r>
        <w:rPr>
          <w:sz w:val="20"/>
        </w:rPr>
        <w:t>the</w:t>
      </w:r>
      <w:r>
        <w:rPr>
          <w:spacing w:val="-4"/>
          <w:sz w:val="20"/>
        </w:rPr>
        <w:t> </w:t>
      </w:r>
      <w:r>
        <w:rPr>
          <w:sz w:val="20"/>
        </w:rPr>
        <w:t>local</w:t>
      </w:r>
      <w:r>
        <w:rPr>
          <w:spacing w:val="-6"/>
          <w:sz w:val="20"/>
        </w:rPr>
        <w:t> </w:t>
      </w:r>
      <w:r>
        <w:rPr>
          <w:sz w:val="20"/>
        </w:rPr>
        <w:t>restaurant,</w:t>
      </w:r>
      <w:r>
        <w:rPr>
          <w:spacing w:val="-4"/>
          <w:sz w:val="20"/>
        </w:rPr>
        <w:t> </w:t>
      </w:r>
      <w:r>
        <w:rPr>
          <w:sz w:val="20"/>
        </w:rPr>
        <w:t>that</w:t>
      </w:r>
      <w:r>
        <w:rPr>
          <w:spacing w:val="-5"/>
          <w:sz w:val="20"/>
        </w:rPr>
        <w:t> </w:t>
      </w:r>
      <w:r>
        <w:rPr>
          <w:sz w:val="20"/>
        </w:rPr>
        <w:t>revenue</w:t>
      </w:r>
      <w:r>
        <w:rPr>
          <w:spacing w:val="-4"/>
          <w:sz w:val="20"/>
        </w:rPr>
        <w:t> </w:t>
      </w:r>
      <w:r>
        <w:rPr>
          <w:sz w:val="20"/>
        </w:rPr>
        <w:t>would</w:t>
      </w:r>
      <w:r>
        <w:rPr>
          <w:spacing w:val="-4"/>
          <w:sz w:val="20"/>
        </w:rPr>
        <w:t> </w:t>
      </w:r>
      <w:r>
        <w:rPr>
          <w:sz w:val="20"/>
        </w:rPr>
        <w:t>also</w:t>
      </w:r>
      <w:r>
        <w:rPr>
          <w:spacing w:val="-4"/>
          <w:sz w:val="20"/>
        </w:rPr>
        <w:t> </w:t>
      </w:r>
      <w:r>
        <w:rPr>
          <w:sz w:val="20"/>
        </w:rPr>
        <w:t>be</w:t>
      </w:r>
      <w:r>
        <w:rPr>
          <w:spacing w:val="1"/>
          <w:sz w:val="20"/>
        </w:rPr>
        <w:t> </w:t>
      </w:r>
      <w:r>
        <w:rPr>
          <w:sz w:val="20"/>
        </w:rPr>
        <w:t>in</w:t>
      </w:r>
      <w:r>
        <w:rPr>
          <w:spacing w:val="-4"/>
          <w:sz w:val="20"/>
        </w:rPr>
        <w:t> </w:t>
      </w:r>
      <w:r>
        <w:rPr>
          <w:sz w:val="20"/>
        </w:rPr>
        <w:t>scope</w:t>
      </w:r>
      <w:r>
        <w:rPr>
          <w:spacing w:val="-4"/>
          <w:sz w:val="20"/>
        </w:rPr>
        <w:t> </w:t>
      </w:r>
      <w:r>
        <w:rPr>
          <w:sz w:val="20"/>
        </w:rPr>
        <w:t>as</w:t>
      </w:r>
      <w:r>
        <w:rPr>
          <w:spacing w:val="-3"/>
          <w:sz w:val="20"/>
        </w:rPr>
        <w:t> </w:t>
      </w:r>
      <w:r>
        <w:rPr>
          <w:sz w:val="20"/>
        </w:rPr>
        <w:t>well as other franchising fees</w:t>
      </w:r>
      <w:r>
        <w:rPr>
          <w:spacing w:val="-3"/>
          <w:sz w:val="20"/>
        </w:rPr>
        <w:t> </w:t>
      </w:r>
      <w:r>
        <w:rPr>
          <w:sz w:val="20"/>
        </w:rPr>
        <w:t>earned).</w:t>
      </w:r>
    </w:p>
    <w:p>
      <w:pPr>
        <w:pStyle w:val="ListParagraph"/>
        <w:numPr>
          <w:ilvl w:val="0"/>
          <w:numId w:val="4"/>
        </w:numPr>
        <w:tabs>
          <w:tab w:pos="1444" w:val="left" w:leader="none"/>
        </w:tabs>
        <w:spacing w:line="271" w:lineRule="auto" w:before="122" w:after="0"/>
        <w:ind w:left="723" w:right="481" w:firstLine="0"/>
        <w:jc w:val="both"/>
        <w:rPr>
          <w:sz w:val="20"/>
        </w:rPr>
      </w:pPr>
      <w:r>
        <w:rPr>
          <w:sz w:val="20"/>
        </w:rPr>
        <w:t>By way of background, there are broadly two franchising models: business format franchise and product distribution franchise. Product distribution franchising can be further divided into three sub- categories: manufacturer-retailer; wholesaler-retailer; and manufacturer-wholesaler. These categorisations are not mutually exclusive and some franchise arrangements may be covered by more than</w:t>
      </w:r>
      <w:r>
        <w:rPr>
          <w:spacing w:val="-8"/>
          <w:sz w:val="20"/>
        </w:rPr>
        <w:t> </w:t>
      </w:r>
      <w:r>
        <w:rPr>
          <w:sz w:val="20"/>
        </w:rPr>
        <w:t>one</w:t>
      </w:r>
      <w:r>
        <w:rPr>
          <w:spacing w:val="-9"/>
          <w:sz w:val="20"/>
        </w:rPr>
        <w:t> </w:t>
      </w:r>
      <w:r>
        <w:rPr>
          <w:sz w:val="20"/>
        </w:rPr>
        <w:t>category.</w:t>
      </w:r>
      <w:r>
        <w:rPr>
          <w:spacing w:val="-8"/>
          <w:sz w:val="20"/>
        </w:rPr>
        <w:t> </w:t>
      </w:r>
      <w:r>
        <w:rPr>
          <w:sz w:val="20"/>
        </w:rPr>
        <w:t>However,</w:t>
      </w:r>
      <w:r>
        <w:rPr>
          <w:spacing w:val="-9"/>
          <w:sz w:val="20"/>
        </w:rPr>
        <w:t> </w:t>
      </w:r>
      <w:r>
        <w:rPr>
          <w:sz w:val="20"/>
        </w:rPr>
        <w:t>the</w:t>
      </w:r>
      <w:r>
        <w:rPr>
          <w:spacing w:val="-10"/>
          <w:sz w:val="20"/>
        </w:rPr>
        <w:t> </w:t>
      </w:r>
      <w:r>
        <w:rPr>
          <w:sz w:val="20"/>
        </w:rPr>
        <w:t>categorisations</w:t>
      </w:r>
      <w:r>
        <w:rPr>
          <w:spacing w:val="-8"/>
          <w:sz w:val="20"/>
        </w:rPr>
        <w:t> </w:t>
      </w:r>
      <w:r>
        <w:rPr>
          <w:sz w:val="20"/>
        </w:rPr>
        <w:t>are</w:t>
      </w:r>
      <w:r>
        <w:rPr>
          <w:spacing w:val="-10"/>
          <w:sz w:val="20"/>
        </w:rPr>
        <w:t> </w:t>
      </w:r>
      <w:r>
        <w:rPr>
          <w:sz w:val="20"/>
        </w:rPr>
        <w:t>helpful</w:t>
      </w:r>
      <w:r>
        <w:rPr>
          <w:spacing w:val="-8"/>
          <w:sz w:val="20"/>
        </w:rPr>
        <w:t> </w:t>
      </w:r>
      <w:r>
        <w:rPr>
          <w:sz w:val="20"/>
        </w:rPr>
        <w:t>to</w:t>
      </w:r>
      <w:r>
        <w:rPr>
          <w:spacing w:val="-8"/>
          <w:sz w:val="20"/>
        </w:rPr>
        <w:t> </w:t>
      </w:r>
      <w:r>
        <w:rPr>
          <w:sz w:val="20"/>
        </w:rPr>
        <w:t>understand</w:t>
      </w:r>
      <w:r>
        <w:rPr>
          <w:spacing w:val="-7"/>
          <w:sz w:val="20"/>
        </w:rPr>
        <w:t> </w:t>
      </w:r>
      <w:r>
        <w:rPr>
          <w:sz w:val="20"/>
        </w:rPr>
        <w:t>the</w:t>
      </w:r>
      <w:r>
        <w:rPr>
          <w:spacing w:val="-8"/>
          <w:sz w:val="20"/>
        </w:rPr>
        <w:t> </w:t>
      </w:r>
      <w:r>
        <w:rPr>
          <w:sz w:val="20"/>
        </w:rPr>
        <w:t>range</w:t>
      </w:r>
      <w:r>
        <w:rPr>
          <w:spacing w:val="-9"/>
          <w:sz w:val="20"/>
        </w:rPr>
        <w:t> </w:t>
      </w:r>
      <w:r>
        <w:rPr>
          <w:sz w:val="20"/>
        </w:rPr>
        <w:t>of</w:t>
      </w:r>
      <w:r>
        <w:rPr>
          <w:spacing w:val="-8"/>
          <w:sz w:val="20"/>
        </w:rPr>
        <w:t> </w:t>
      </w:r>
      <w:r>
        <w:rPr>
          <w:sz w:val="20"/>
        </w:rPr>
        <w:t>arrangements</w:t>
      </w:r>
      <w:r>
        <w:rPr>
          <w:spacing w:val="-8"/>
          <w:sz w:val="20"/>
        </w:rPr>
        <w:t> </w:t>
      </w:r>
      <w:r>
        <w:rPr>
          <w:sz w:val="20"/>
        </w:rPr>
        <w:t>that are</w:t>
      </w:r>
      <w:r>
        <w:rPr>
          <w:spacing w:val="-13"/>
          <w:sz w:val="20"/>
        </w:rPr>
        <w:t> </w:t>
      </w:r>
      <w:r>
        <w:rPr>
          <w:sz w:val="20"/>
        </w:rPr>
        <w:t>in</w:t>
      </w:r>
      <w:r>
        <w:rPr>
          <w:spacing w:val="-11"/>
          <w:sz w:val="20"/>
        </w:rPr>
        <w:t> </w:t>
      </w:r>
      <w:r>
        <w:rPr>
          <w:sz w:val="20"/>
        </w:rPr>
        <w:t>scope.</w:t>
      </w:r>
      <w:r>
        <w:rPr>
          <w:spacing w:val="-13"/>
          <w:sz w:val="20"/>
        </w:rPr>
        <w:t> </w:t>
      </w:r>
      <w:r>
        <w:rPr>
          <w:sz w:val="20"/>
        </w:rPr>
        <w:t>The</w:t>
      </w:r>
      <w:r>
        <w:rPr>
          <w:spacing w:val="-12"/>
          <w:sz w:val="20"/>
        </w:rPr>
        <w:t> </w:t>
      </w:r>
      <w:r>
        <w:rPr>
          <w:sz w:val="20"/>
        </w:rPr>
        <w:t>analysis</w:t>
      </w:r>
      <w:r>
        <w:rPr>
          <w:spacing w:val="-12"/>
          <w:sz w:val="20"/>
        </w:rPr>
        <w:t> </w:t>
      </w:r>
      <w:r>
        <w:rPr>
          <w:sz w:val="20"/>
        </w:rPr>
        <w:t>below</w:t>
      </w:r>
      <w:r>
        <w:rPr>
          <w:spacing w:val="-12"/>
          <w:sz w:val="20"/>
        </w:rPr>
        <w:t> </w:t>
      </w:r>
      <w:r>
        <w:rPr>
          <w:sz w:val="20"/>
        </w:rPr>
        <w:t>describes</w:t>
      </w:r>
      <w:r>
        <w:rPr>
          <w:spacing w:val="-13"/>
          <w:sz w:val="20"/>
        </w:rPr>
        <w:t> </w:t>
      </w:r>
      <w:r>
        <w:rPr>
          <w:sz w:val="20"/>
        </w:rPr>
        <w:t>a</w:t>
      </w:r>
      <w:r>
        <w:rPr>
          <w:spacing w:val="-14"/>
          <w:sz w:val="20"/>
        </w:rPr>
        <w:t> </w:t>
      </w:r>
      <w:r>
        <w:rPr>
          <w:sz w:val="20"/>
        </w:rPr>
        <w:t>range</w:t>
      </w:r>
      <w:r>
        <w:rPr>
          <w:spacing w:val="-11"/>
          <w:sz w:val="20"/>
        </w:rPr>
        <w:t> </w:t>
      </w:r>
      <w:r>
        <w:rPr>
          <w:sz w:val="20"/>
        </w:rPr>
        <w:t>of</w:t>
      </w:r>
      <w:r>
        <w:rPr>
          <w:spacing w:val="-12"/>
          <w:sz w:val="20"/>
        </w:rPr>
        <w:t> </w:t>
      </w:r>
      <w:r>
        <w:rPr>
          <w:sz w:val="20"/>
        </w:rPr>
        <w:t>different</w:t>
      </w:r>
      <w:r>
        <w:rPr>
          <w:spacing w:val="-13"/>
          <w:sz w:val="20"/>
        </w:rPr>
        <w:t> </w:t>
      </w:r>
      <w:r>
        <w:rPr>
          <w:sz w:val="20"/>
        </w:rPr>
        <w:t>formats</w:t>
      </w:r>
      <w:r>
        <w:rPr>
          <w:spacing w:val="-13"/>
          <w:sz w:val="20"/>
        </w:rPr>
        <w:t> </w:t>
      </w:r>
      <w:r>
        <w:rPr>
          <w:sz w:val="20"/>
        </w:rPr>
        <w:t>for</w:t>
      </w:r>
      <w:r>
        <w:rPr>
          <w:spacing w:val="-13"/>
          <w:sz w:val="20"/>
        </w:rPr>
        <w:t> </w:t>
      </w:r>
      <w:r>
        <w:rPr>
          <w:sz w:val="20"/>
        </w:rPr>
        <w:t>how</w:t>
      </w:r>
      <w:r>
        <w:rPr>
          <w:spacing w:val="-15"/>
          <w:sz w:val="20"/>
        </w:rPr>
        <w:t> </w:t>
      </w:r>
      <w:r>
        <w:rPr>
          <w:sz w:val="20"/>
        </w:rPr>
        <w:t>franchising</w:t>
      </w:r>
      <w:r>
        <w:rPr>
          <w:spacing w:val="-12"/>
          <w:sz w:val="20"/>
        </w:rPr>
        <w:t> </w:t>
      </w:r>
      <w:r>
        <w:rPr>
          <w:sz w:val="20"/>
        </w:rPr>
        <w:t>may</w:t>
      </w:r>
      <w:r>
        <w:rPr>
          <w:spacing w:val="-18"/>
          <w:sz w:val="20"/>
        </w:rPr>
        <w:t> </w:t>
      </w:r>
      <w:r>
        <w:rPr>
          <w:sz w:val="20"/>
        </w:rPr>
        <w:t>take</w:t>
      </w:r>
      <w:r>
        <w:rPr>
          <w:spacing w:val="-14"/>
          <w:sz w:val="20"/>
        </w:rPr>
        <w:t> </w:t>
      </w:r>
      <w:r>
        <w:rPr>
          <w:sz w:val="20"/>
        </w:rPr>
        <w:t>place. The</w:t>
      </w:r>
      <w:r>
        <w:rPr>
          <w:spacing w:val="-14"/>
          <w:sz w:val="20"/>
        </w:rPr>
        <w:t> </w:t>
      </w:r>
      <w:r>
        <w:rPr>
          <w:sz w:val="20"/>
        </w:rPr>
        <w:t>question</w:t>
      </w:r>
      <w:r>
        <w:rPr>
          <w:spacing w:val="-11"/>
          <w:sz w:val="20"/>
        </w:rPr>
        <w:t> </w:t>
      </w:r>
      <w:r>
        <w:rPr>
          <w:sz w:val="20"/>
        </w:rPr>
        <w:t>of</w:t>
      </w:r>
      <w:r>
        <w:rPr>
          <w:spacing w:val="-12"/>
          <w:sz w:val="20"/>
        </w:rPr>
        <w:t> </w:t>
      </w:r>
      <w:r>
        <w:rPr>
          <w:sz w:val="20"/>
        </w:rPr>
        <w:t>scope</w:t>
      </w:r>
      <w:r>
        <w:rPr>
          <w:spacing w:val="-10"/>
          <w:sz w:val="20"/>
        </w:rPr>
        <w:t> </w:t>
      </w:r>
      <w:r>
        <w:rPr>
          <w:sz w:val="20"/>
        </w:rPr>
        <w:t>does</w:t>
      </w:r>
      <w:r>
        <w:rPr>
          <w:spacing w:val="-9"/>
          <w:sz w:val="20"/>
        </w:rPr>
        <w:t> </w:t>
      </w:r>
      <w:r>
        <w:rPr>
          <w:sz w:val="20"/>
        </w:rPr>
        <w:t>not</w:t>
      </w:r>
      <w:r>
        <w:rPr>
          <w:spacing w:val="-11"/>
          <w:sz w:val="20"/>
        </w:rPr>
        <w:t> </w:t>
      </w:r>
      <w:r>
        <w:rPr>
          <w:sz w:val="20"/>
        </w:rPr>
        <w:t>focus</w:t>
      </w:r>
      <w:r>
        <w:rPr>
          <w:spacing w:val="-12"/>
          <w:sz w:val="20"/>
        </w:rPr>
        <w:t> </w:t>
      </w:r>
      <w:r>
        <w:rPr>
          <w:sz w:val="20"/>
        </w:rPr>
        <w:t>on</w:t>
      </w:r>
      <w:r>
        <w:rPr>
          <w:spacing w:val="-12"/>
          <w:sz w:val="20"/>
        </w:rPr>
        <w:t> </w:t>
      </w:r>
      <w:r>
        <w:rPr>
          <w:sz w:val="20"/>
        </w:rPr>
        <w:t>the</w:t>
      </w:r>
      <w:r>
        <w:rPr>
          <w:spacing w:val="-11"/>
          <w:sz w:val="20"/>
        </w:rPr>
        <w:t> </w:t>
      </w:r>
      <w:r>
        <w:rPr>
          <w:sz w:val="20"/>
        </w:rPr>
        <w:t>legal</w:t>
      </w:r>
      <w:r>
        <w:rPr>
          <w:spacing w:val="-14"/>
          <w:sz w:val="20"/>
        </w:rPr>
        <w:t> </w:t>
      </w:r>
      <w:r>
        <w:rPr>
          <w:sz w:val="20"/>
        </w:rPr>
        <w:t>form</w:t>
      </w:r>
      <w:r>
        <w:rPr>
          <w:spacing w:val="-10"/>
          <w:sz w:val="20"/>
        </w:rPr>
        <w:t> </w:t>
      </w:r>
      <w:r>
        <w:rPr>
          <w:sz w:val="20"/>
        </w:rPr>
        <w:t>of</w:t>
      </w:r>
      <w:r>
        <w:rPr>
          <w:spacing w:val="-12"/>
          <w:sz w:val="20"/>
        </w:rPr>
        <w:t> </w:t>
      </w:r>
      <w:r>
        <w:rPr>
          <w:sz w:val="20"/>
        </w:rPr>
        <w:t>commercial</w:t>
      </w:r>
      <w:r>
        <w:rPr>
          <w:spacing w:val="-14"/>
          <w:sz w:val="20"/>
        </w:rPr>
        <w:t> </w:t>
      </w:r>
      <w:r>
        <w:rPr>
          <w:sz w:val="20"/>
        </w:rPr>
        <w:t>arrangements,</w:t>
      </w:r>
      <w:r>
        <w:rPr>
          <w:spacing w:val="-14"/>
          <w:sz w:val="20"/>
        </w:rPr>
        <w:t> </w:t>
      </w:r>
      <w:r>
        <w:rPr>
          <w:sz w:val="20"/>
        </w:rPr>
        <w:t>but</w:t>
      </w:r>
      <w:r>
        <w:rPr>
          <w:spacing w:val="-8"/>
          <w:sz w:val="20"/>
        </w:rPr>
        <w:t> </w:t>
      </w:r>
      <w:r>
        <w:rPr>
          <w:sz w:val="20"/>
        </w:rPr>
        <w:t>whether</w:t>
      </w:r>
      <w:r>
        <w:rPr>
          <w:spacing w:val="-10"/>
          <w:sz w:val="20"/>
        </w:rPr>
        <w:t> </w:t>
      </w:r>
      <w:r>
        <w:rPr>
          <w:sz w:val="20"/>
        </w:rPr>
        <w:t>the</w:t>
      </w:r>
      <w:r>
        <w:rPr>
          <w:spacing w:val="-12"/>
          <w:sz w:val="20"/>
        </w:rPr>
        <w:t> </w:t>
      </w:r>
      <w:r>
        <w:rPr>
          <w:sz w:val="20"/>
        </w:rPr>
        <w:t>MNE is</w:t>
      </w:r>
      <w:r>
        <w:rPr>
          <w:spacing w:val="-11"/>
          <w:sz w:val="20"/>
        </w:rPr>
        <w:t> </w:t>
      </w:r>
      <w:r>
        <w:rPr>
          <w:sz w:val="20"/>
        </w:rPr>
        <w:t>supplying</w:t>
      </w:r>
      <w:r>
        <w:rPr>
          <w:spacing w:val="-12"/>
          <w:sz w:val="20"/>
        </w:rPr>
        <w:t> </w:t>
      </w:r>
      <w:r>
        <w:rPr>
          <w:sz w:val="20"/>
        </w:rPr>
        <w:t>goods</w:t>
      </w:r>
      <w:r>
        <w:rPr>
          <w:spacing w:val="-8"/>
          <w:sz w:val="20"/>
        </w:rPr>
        <w:t> </w:t>
      </w:r>
      <w:r>
        <w:rPr>
          <w:sz w:val="20"/>
        </w:rPr>
        <w:t>or</w:t>
      </w:r>
      <w:r>
        <w:rPr>
          <w:spacing w:val="-11"/>
          <w:sz w:val="20"/>
        </w:rPr>
        <w:t> </w:t>
      </w:r>
      <w:r>
        <w:rPr>
          <w:sz w:val="20"/>
        </w:rPr>
        <w:t>services</w:t>
      </w:r>
      <w:r>
        <w:rPr>
          <w:spacing w:val="-11"/>
          <w:sz w:val="20"/>
        </w:rPr>
        <w:t> </w:t>
      </w:r>
      <w:r>
        <w:rPr>
          <w:sz w:val="20"/>
        </w:rPr>
        <w:t>commonly</w:t>
      </w:r>
      <w:r>
        <w:rPr>
          <w:spacing w:val="-16"/>
          <w:sz w:val="20"/>
        </w:rPr>
        <w:t> </w:t>
      </w:r>
      <w:r>
        <w:rPr>
          <w:sz w:val="20"/>
        </w:rPr>
        <w:t>sold</w:t>
      </w:r>
      <w:r>
        <w:rPr>
          <w:spacing w:val="-10"/>
          <w:sz w:val="20"/>
        </w:rPr>
        <w:t> </w:t>
      </w:r>
      <w:r>
        <w:rPr>
          <w:sz w:val="20"/>
        </w:rPr>
        <w:t>to</w:t>
      </w:r>
      <w:r>
        <w:rPr>
          <w:spacing w:val="-12"/>
          <w:sz w:val="20"/>
        </w:rPr>
        <w:t> </w:t>
      </w:r>
      <w:r>
        <w:rPr>
          <w:sz w:val="20"/>
        </w:rPr>
        <w:t>consumers,</w:t>
      </w:r>
      <w:r>
        <w:rPr>
          <w:spacing w:val="-11"/>
          <w:sz w:val="20"/>
        </w:rPr>
        <w:t> </w:t>
      </w:r>
      <w:r>
        <w:rPr>
          <w:sz w:val="20"/>
        </w:rPr>
        <w:t>or</w:t>
      </w:r>
      <w:r>
        <w:rPr>
          <w:spacing w:val="-11"/>
          <w:sz w:val="20"/>
        </w:rPr>
        <w:t> </w:t>
      </w:r>
      <w:r>
        <w:rPr>
          <w:sz w:val="20"/>
        </w:rPr>
        <w:t>licensing</w:t>
      </w:r>
      <w:r>
        <w:rPr>
          <w:spacing w:val="-10"/>
          <w:sz w:val="20"/>
        </w:rPr>
        <w:t> </w:t>
      </w:r>
      <w:r>
        <w:rPr>
          <w:sz w:val="20"/>
        </w:rPr>
        <w:t>or</w:t>
      </w:r>
      <w:r>
        <w:rPr>
          <w:spacing w:val="-12"/>
          <w:sz w:val="20"/>
        </w:rPr>
        <w:t> </w:t>
      </w:r>
      <w:r>
        <w:rPr>
          <w:sz w:val="20"/>
        </w:rPr>
        <w:t>otherwise</w:t>
      </w:r>
      <w:r>
        <w:rPr>
          <w:spacing w:val="-12"/>
          <w:sz w:val="20"/>
        </w:rPr>
        <w:t> </w:t>
      </w:r>
      <w:r>
        <w:rPr>
          <w:sz w:val="20"/>
        </w:rPr>
        <w:t>exploiting</w:t>
      </w:r>
      <w:r>
        <w:rPr>
          <w:spacing w:val="-9"/>
          <w:sz w:val="20"/>
        </w:rPr>
        <w:t> </w:t>
      </w:r>
      <w:r>
        <w:rPr>
          <w:sz w:val="20"/>
        </w:rPr>
        <w:t>intangible property that is connected to such goods or services. If the rights forming the franchise arrangement are connected</w:t>
      </w:r>
      <w:r>
        <w:rPr>
          <w:spacing w:val="-5"/>
          <w:sz w:val="20"/>
        </w:rPr>
        <w:t> </w:t>
      </w:r>
      <w:r>
        <w:rPr>
          <w:sz w:val="20"/>
        </w:rPr>
        <w:t>to</w:t>
      </w:r>
      <w:r>
        <w:rPr>
          <w:spacing w:val="-3"/>
          <w:sz w:val="20"/>
        </w:rPr>
        <w:t> </w:t>
      </w:r>
      <w:r>
        <w:rPr>
          <w:sz w:val="20"/>
        </w:rPr>
        <w:t>an</w:t>
      </w:r>
      <w:r>
        <w:rPr>
          <w:spacing w:val="-6"/>
          <w:sz w:val="20"/>
        </w:rPr>
        <w:t> </w:t>
      </w:r>
      <w:r>
        <w:rPr>
          <w:sz w:val="20"/>
        </w:rPr>
        <w:t>underlying</w:t>
      </w:r>
      <w:r>
        <w:rPr>
          <w:spacing w:val="-3"/>
          <w:sz w:val="20"/>
        </w:rPr>
        <w:t> </w:t>
      </w:r>
      <w:r>
        <w:rPr>
          <w:sz w:val="20"/>
        </w:rPr>
        <w:t>product</w:t>
      </w:r>
      <w:r>
        <w:rPr>
          <w:spacing w:val="-5"/>
          <w:sz w:val="20"/>
        </w:rPr>
        <w:t> </w:t>
      </w:r>
      <w:r>
        <w:rPr>
          <w:sz w:val="20"/>
        </w:rPr>
        <w:t>or</w:t>
      </w:r>
      <w:r>
        <w:rPr>
          <w:spacing w:val="-3"/>
          <w:sz w:val="20"/>
        </w:rPr>
        <w:t> </w:t>
      </w:r>
      <w:r>
        <w:rPr>
          <w:sz w:val="20"/>
        </w:rPr>
        <w:t>service</w:t>
      </w:r>
      <w:r>
        <w:rPr>
          <w:spacing w:val="-3"/>
          <w:sz w:val="20"/>
        </w:rPr>
        <w:t> </w:t>
      </w:r>
      <w:r>
        <w:rPr>
          <w:sz w:val="20"/>
        </w:rPr>
        <w:t>of</w:t>
      </w:r>
      <w:r>
        <w:rPr>
          <w:spacing w:val="-2"/>
          <w:sz w:val="20"/>
        </w:rPr>
        <w:t> </w:t>
      </w:r>
      <w:r>
        <w:rPr>
          <w:sz w:val="20"/>
        </w:rPr>
        <w:t>a</w:t>
      </w:r>
      <w:r>
        <w:rPr>
          <w:spacing w:val="-6"/>
          <w:sz w:val="20"/>
        </w:rPr>
        <w:t> </w:t>
      </w:r>
      <w:r>
        <w:rPr>
          <w:sz w:val="20"/>
        </w:rPr>
        <w:t>type</w:t>
      </w:r>
      <w:r>
        <w:rPr>
          <w:spacing w:val="-2"/>
          <w:sz w:val="20"/>
        </w:rPr>
        <w:t> </w:t>
      </w:r>
      <w:r>
        <w:rPr>
          <w:sz w:val="20"/>
        </w:rPr>
        <w:t>commonly</w:t>
      </w:r>
      <w:r>
        <w:rPr>
          <w:spacing w:val="-10"/>
          <w:sz w:val="20"/>
        </w:rPr>
        <w:t> </w:t>
      </w:r>
      <w:r>
        <w:rPr>
          <w:sz w:val="20"/>
        </w:rPr>
        <w:t>sold</w:t>
      </w:r>
      <w:r>
        <w:rPr>
          <w:spacing w:val="-5"/>
          <w:sz w:val="20"/>
        </w:rPr>
        <w:t> </w:t>
      </w:r>
      <w:r>
        <w:rPr>
          <w:sz w:val="20"/>
        </w:rPr>
        <w:t>to</w:t>
      </w:r>
      <w:r>
        <w:rPr>
          <w:spacing w:val="-4"/>
          <w:sz w:val="20"/>
        </w:rPr>
        <w:t> </w:t>
      </w:r>
      <w:r>
        <w:rPr>
          <w:sz w:val="20"/>
        </w:rPr>
        <w:t>consumers</w:t>
      </w:r>
      <w:r>
        <w:rPr>
          <w:spacing w:val="-3"/>
          <w:sz w:val="20"/>
        </w:rPr>
        <w:t> </w:t>
      </w:r>
      <w:r>
        <w:rPr>
          <w:sz w:val="20"/>
        </w:rPr>
        <w:t>as</w:t>
      </w:r>
      <w:r>
        <w:rPr>
          <w:spacing w:val="4"/>
          <w:sz w:val="20"/>
        </w:rPr>
        <w:t> </w:t>
      </w:r>
      <w:r>
        <w:rPr>
          <w:sz w:val="20"/>
        </w:rPr>
        <w:t>per</w:t>
      </w:r>
      <w:r>
        <w:rPr>
          <w:spacing w:val="-4"/>
          <w:sz w:val="20"/>
        </w:rPr>
        <w:t> </w:t>
      </w:r>
      <w:r>
        <w:rPr>
          <w:sz w:val="20"/>
        </w:rPr>
        <w:t>the</w:t>
      </w:r>
      <w:r>
        <w:rPr>
          <w:spacing w:val="-4"/>
          <w:sz w:val="20"/>
        </w:rPr>
        <w:t> </w:t>
      </w:r>
      <w:r>
        <w:rPr>
          <w:sz w:val="20"/>
        </w:rPr>
        <w:t>definition of CFB above, then the franchisor and franchisee will each be a CFB (provided that they are otherwise subject to Amount A, including with respect to the gross revenue threshold (see below) and profitability thresholds (see Chapter </w:t>
      </w:r>
      <w:hyperlink w:history="true" w:anchor="_bookmark38">
        <w:r>
          <w:rPr>
            <w:sz w:val="20"/>
          </w:rPr>
          <w:t>6.</w:t>
        </w:r>
        <w:r>
          <w:rPr>
            <w:spacing w:val="-1"/>
            <w:sz w:val="20"/>
          </w:rPr>
          <w:t> </w:t>
        </w:r>
      </w:hyperlink>
      <w:r>
        <w:rPr>
          <w:sz w:val="20"/>
        </w:rPr>
        <w:t>).</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Heading8"/>
        <w:spacing w:before="93"/>
      </w:pPr>
      <w:bookmarkStart w:name="Business format franchising model" w:id="51"/>
      <w:bookmarkEnd w:id="51"/>
      <w:r>
        <w:rPr>
          <w:b w:val="0"/>
        </w:rPr>
      </w:r>
      <w:r>
        <w:rPr/>
        <w:t>Business format franchising model</w:t>
      </w:r>
    </w:p>
    <w:p>
      <w:pPr>
        <w:pStyle w:val="BodyText"/>
        <w:spacing w:before="10"/>
        <w:rPr>
          <w:b/>
          <w:sz w:val="18"/>
        </w:rPr>
      </w:pPr>
    </w:p>
    <w:p>
      <w:pPr>
        <w:pStyle w:val="ListParagraph"/>
        <w:numPr>
          <w:ilvl w:val="0"/>
          <w:numId w:val="4"/>
        </w:numPr>
        <w:tabs>
          <w:tab w:pos="1444" w:val="left" w:leader="none"/>
        </w:tabs>
        <w:spacing w:line="271" w:lineRule="auto" w:before="0" w:after="0"/>
        <w:ind w:left="723" w:right="486" w:firstLine="0"/>
        <w:jc w:val="both"/>
        <w:rPr>
          <w:sz w:val="20"/>
        </w:rPr>
      </w:pPr>
      <w:r>
        <w:rPr>
          <w:sz w:val="20"/>
        </w:rPr>
        <w:t>In</w:t>
      </w:r>
      <w:r>
        <w:rPr>
          <w:spacing w:val="-14"/>
          <w:sz w:val="20"/>
        </w:rPr>
        <w:t> </w:t>
      </w:r>
      <w:r>
        <w:rPr>
          <w:sz w:val="20"/>
        </w:rPr>
        <w:t>the</w:t>
      </w:r>
      <w:r>
        <w:rPr>
          <w:spacing w:val="-11"/>
          <w:sz w:val="20"/>
        </w:rPr>
        <w:t> </w:t>
      </w:r>
      <w:r>
        <w:rPr>
          <w:sz w:val="20"/>
        </w:rPr>
        <w:t>business</w:t>
      </w:r>
      <w:r>
        <w:rPr>
          <w:spacing w:val="-11"/>
          <w:sz w:val="20"/>
        </w:rPr>
        <w:t> </w:t>
      </w:r>
      <w:r>
        <w:rPr>
          <w:sz w:val="20"/>
        </w:rPr>
        <w:t>format</w:t>
      </w:r>
      <w:r>
        <w:rPr>
          <w:spacing w:val="-14"/>
          <w:sz w:val="20"/>
        </w:rPr>
        <w:t> </w:t>
      </w:r>
      <w:r>
        <w:rPr>
          <w:sz w:val="20"/>
        </w:rPr>
        <w:t>franchising</w:t>
      </w:r>
      <w:r>
        <w:rPr>
          <w:spacing w:val="-13"/>
          <w:sz w:val="20"/>
        </w:rPr>
        <w:t> </w:t>
      </w:r>
      <w:r>
        <w:rPr>
          <w:sz w:val="20"/>
        </w:rPr>
        <w:t>model,</w:t>
      </w:r>
      <w:r>
        <w:rPr>
          <w:spacing w:val="-10"/>
          <w:sz w:val="20"/>
        </w:rPr>
        <w:t> </w:t>
      </w:r>
      <w:r>
        <w:rPr>
          <w:sz w:val="20"/>
        </w:rPr>
        <w:t>the</w:t>
      </w:r>
      <w:r>
        <w:rPr>
          <w:spacing w:val="-14"/>
          <w:sz w:val="20"/>
        </w:rPr>
        <w:t> </w:t>
      </w:r>
      <w:r>
        <w:rPr>
          <w:sz w:val="20"/>
        </w:rPr>
        <w:t>franchisor</w:t>
      </w:r>
      <w:r>
        <w:rPr>
          <w:spacing w:val="-12"/>
          <w:sz w:val="20"/>
        </w:rPr>
        <w:t> </w:t>
      </w:r>
      <w:r>
        <w:rPr>
          <w:sz w:val="20"/>
        </w:rPr>
        <w:t>provides</w:t>
      </w:r>
      <w:r>
        <w:rPr>
          <w:spacing w:val="-11"/>
          <w:sz w:val="20"/>
        </w:rPr>
        <w:t> </w:t>
      </w:r>
      <w:r>
        <w:rPr>
          <w:sz w:val="20"/>
        </w:rPr>
        <w:t>the</w:t>
      </w:r>
      <w:r>
        <w:rPr>
          <w:spacing w:val="-13"/>
          <w:sz w:val="20"/>
        </w:rPr>
        <w:t> </w:t>
      </w:r>
      <w:r>
        <w:rPr>
          <w:sz w:val="20"/>
        </w:rPr>
        <w:t>ready-made</w:t>
      </w:r>
      <w:r>
        <w:rPr>
          <w:spacing w:val="-14"/>
          <w:sz w:val="20"/>
        </w:rPr>
        <w:t> </w:t>
      </w:r>
      <w:r>
        <w:rPr>
          <w:sz w:val="20"/>
        </w:rPr>
        <w:t>business</w:t>
      </w:r>
      <w:r>
        <w:rPr>
          <w:spacing w:val="-11"/>
          <w:sz w:val="20"/>
        </w:rPr>
        <w:t> </w:t>
      </w:r>
      <w:r>
        <w:rPr>
          <w:sz w:val="20"/>
        </w:rPr>
        <w:t>model, while the franchisee is responsible for day-to-day operations in accordance with the franchisor’s operational directions. This model is commonly used in the fast food and restaurant</w:t>
      </w:r>
      <w:r>
        <w:rPr>
          <w:spacing w:val="-30"/>
          <w:sz w:val="20"/>
        </w:rPr>
        <w:t> </w:t>
      </w:r>
      <w:r>
        <w:rPr>
          <w:sz w:val="20"/>
        </w:rPr>
        <w:t>sector.</w:t>
      </w:r>
    </w:p>
    <w:p>
      <w:pPr>
        <w:pStyle w:val="ListParagraph"/>
        <w:numPr>
          <w:ilvl w:val="0"/>
          <w:numId w:val="4"/>
        </w:numPr>
        <w:tabs>
          <w:tab w:pos="1444" w:val="left" w:leader="none"/>
        </w:tabs>
        <w:spacing w:line="271" w:lineRule="auto" w:before="120" w:after="0"/>
        <w:ind w:left="723" w:right="483" w:firstLine="0"/>
        <w:jc w:val="both"/>
        <w:rPr>
          <w:sz w:val="20"/>
        </w:rPr>
      </w:pPr>
      <w:r>
        <w:rPr>
          <w:sz w:val="20"/>
        </w:rPr>
        <w:t>One of the key features of a business format franchising model is the level of authority the franchisor can exercise over the franchisee in respect of how the franchisee operates its business. In addition,</w:t>
      </w:r>
      <w:r>
        <w:rPr>
          <w:spacing w:val="-13"/>
          <w:sz w:val="20"/>
        </w:rPr>
        <w:t> </w:t>
      </w:r>
      <w:r>
        <w:rPr>
          <w:sz w:val="20"/>
        </w:rPr>
        <w:t>the</w:t>
      </w:r>
      <w:r>
        <w:rPr>
          <w:spacing w:val="-13"/>
          <w:sz w:val="20"/>
        </w:rPr>
        <w:t> </w:t>
      </w:r>
      <w:r>
        <w:rPr>
          <w:sz w:val="20"/>
        </w:rPr>
        <w:t>franchisee</w:t>
      </w:r>
      <w:r>
        <w:rPr>
          <w:spacing w:val="-13"/>
          <w:sz w:val="20"/>
        </w:rPr>
        <w:t> </w:t>
      </w:r>
      <w:r>
        <w:rPr>
          <w:sz w:val="20"/>
        </w:rPr>
        <w:t>generally</w:t>
      </w:r>
      <w:r>
        <w:rPr>
          <w:spacing w:val="-15"/>
          <w:sz w:val="20"/>
        </w:rPr>
        <w:t> </w:t>
      </w:r>
      <w:r>
        <w:rPr>
          <w:sz w:val="20"/>
        </w:rPr>
        <w:t>has</w:t>
      </w:r>
      <w:r>
        <w:rPr>
          <w:spacing w:val="-12"/>
          <w:sz w:val="20"/>
        </w:rPr>
        <w:t> </w:t>
      </w:r>
      <w:r>
        <w:rPr>
          <w:sz w:val="20"/>
        </w:rPr>
        <w:t>continued</w:t>
      </w:r>
      <w:r>
        <w:rPr>
          <w:spacing w:val="-13"/>
          <w:sz w:val="20"/>
        </w:rPr>
        <w:t> </w:t>
      </w:r>
      <w:r>
        <w:rPr>
          <w:sz w:val="20"/>
        </w:rPr>
        <w:t>access</w:t>
      </w:r>
      <w:r>
        <w:rPr>
          <w:spacing w:val="-11"/>
          <w:sz w:val="20"/>
        </w:rPr>
        <w:t> </w:t>
      </w:r>
      <w:r>
        <w:rPr>
          <w:sz w:val="20"/>
        </w:rPr>
        <w:t>to</w:t>
      </w:r>
      <w:r>
        <w:rPr>
          <w:spacing w:val="-13"/>
          <w:sz w:val="20"/>
        </w:rPr>
        <w:t> </w:t>
      </w:r>
      <w:r>
        <w:rPr>
          <w:sz w:val="20"/>
        </w:rPr>
        <w:t>intangibles</w:t>
      </w:r>
      <w:r>
        <w:rPr>
          <w:spacing w:val="-11"/>
          <w:sz w:val="20"/>
        </w:rPr>
        <w:t> </w:t>
      </w:r>
      <w:r>
        <w:rPr>
          <w:sz w:val="20"/>
        </w:rPr>
        <w:t>owned</w:t>
      </w:r>
      <w:r>
        <w:rPr>
          <w:spacing w:val="-13"/>
          <w:sz w:val="20"/>
        </w:rPr>
        <w:t> </w:t>
      </w:r>
      <w:r>
        <w:rPr>
          <w:sz w:val="20"/>
        </w:rPr>
        <w:t>by</w:t>
      </w:r>
      <w:r>
        <w:rPr>
          <w:spacing w:val="-16"/>
          <w:sz w:val="20"/>
        </w:rPr>
        <w:t> </w:t>
      </w:r>
      <w:r>
        <w:rPr>
          <w:sz w:val="20"/>
        </w:rPr>
        <w:t>the</w:t>
      </w:r>
      <w:r>
        <w:rPr>
          <w:spacing w:val="-4"/>
          <w:sz w:val="20"/>
        </w:rPr>
        <w:t> </w:t>
      </w:r>
      <w:r>
        <w:rPr>
          <w:sz w:val="20"/>
        </w:rPr>
        <w:t>franchisor</w:t>
      </w:r>
      <w:r>
        <w:rPr>
          <w:spacing w:val="-12"/>
          <w:sz w:val="20"/>
        </w:rPr>
        <w:t> </w:t>
      </w:r>
      <w:r>
        <w:rPr>
          <w:sz w:val="20"/>
        </w:rPr>
        <w:t>(know-how, trademarks, etc.) and can obtain advice and assistance from the franchisor. The level of authority the franchisor exercises over the franchisee combined with the franchisee’s right to access the franchisor’s intangibles, assistance and advice ultimately provides a platform for the franchisor to engage with the consumer.</w:t>
      </w:r>
      <w:r>
        <w:rPr>
          <w:spacing w:val="-5"/>
          <w:sz w:val="20"/>
        </w:rPr>
        <w:t> </w:t>
      </w:r>
      <w:r>
        <w:rPr>
          <w:sz w:val="20"/>
        </w:rPr>
        <w:t>Although</w:t>
      </w:r>
      <w:r>
        <w:rPr>
          <w:spacing w:val="-6"/>
          <w:sz w:val="20"/>
        </w:rPr>
        <w:t> </w:t>
      </w:r>
      <w:r>
        <w:rPr>
          <w:sz w:val="20"/>
        </w:rPr>
        <w:t>there</w:t>
      </w:r>
      <w:r>
        <w:rPr>
          <w:spacing w:val="-4"/>
          <w:sz w:val="20"/>
        </w:rPr>
        <w:t> </w:t>
      </w:r>
      <w:r>
        <w:rPr>
          <w:sz w:val="20"/>
        </w:rPr>
        <w:t>is</w:t>
      </w:r>
      <w:r>
        <w:rPr>
          <w:spacing w:val="-4"/>
          <w:sz w:val="20"/>
        </w:rPr>
        <w:t> </w:t>
      </w:r>
      <w:r>
        <w:rPr>
          <w:sz w:val="20"/>
        </w:rPr>
        <w:t>no</w:t>
      </w:r>
      <w:r>
        <w:rPr>
          <w:spacing w:val="-6"/>
          <w:sz w:val="20"/>
        </w:rPr>
        <w:t> </w:t>
      </w:r>
      <w:r>
        <w:rPr>
          <w:sz w:val="20"/>
        </w:rPr>
        <w:t>direct</w:t>
      </w:r>
      <w:r>
        <w:rPr>
          <w:spacing w:val="-3"/>
          <w:sz w:val="20"/>
        </w:rPr>
        <w:t> </w:t>
      </w:r>
      <w:r>
        <w:rPr>
          <w:sz w:val="20"/>
        </w:rPr>
        <w:t>legal</w:t>
      </w:r>
      <w:r>
        <w:rPr>
          <w:spacing w:val="-5"/>
          <w:sz w:val="20"/>
        </w:rPr>
        <w:t> </w:t>
      </w:r>
      <w:r>
        <w:rPr>
          <w:sz w:val="20"/>
        </w:rPr>
        <w:t>agreement</w:t>
      </w:r>
      <w:r>
        <w:rPr>
          <w:spacing w:val="-5"/>
          <w:sz w:val="20"/>
        </w:rPr>
        <w:t> </w:t>
      </w:r>
      <w:r>
        <w:rPr>
          <w:sz w:val="20"/>
        </w:rPr>
        <w:t>between</w:t>
      </w:r>
      <w:r>
        <w:rPr>
          <w:spacing w:val="-5"/>
          <w:sz w:val="20"/>
        </w:rPr>
        <w:t> </w:t>
      </w:r>
      <w:r>
        <w:rPr>
          <w:sz w:val="20"/>
        </w:rPr>
        <w:t>the</w:t>
      </w:r>
      <w:r>
        <w:rPr>
          <w:spacing w:val="-5"/>
          <w:sz w:val="20"/>
        </w:rPr>
        <w:t> </w:t>
      </w:r>
      <w:r>
        <w:rPr>
          <w:sz w:val="20"/>
        </w:rPr>
        <w:t>consumer</w:t>
      </w:r>
      <w:r>
        <w:rPr>
          <w:spacing w:val="-5"/>
          <w:sz w:val="20"/>
        </w:rPr>
        <w:t> </w:t>
      </w:r>
      <w:r>
        <w:rPr>
          <w:sz w:val="20"/>
        </w:rPr>
        <w:t>and</w:t>
      </w:r>
      <w:r>
        <w:rPr>
          <w:spacing w:val="-5"/>
          <w:sz w:val="20"/>
        </w:rPr>
        <w:t> </w:t>
      </w:r>
      <w:r>
        <w:rPr>
          <w:sz w:val="20"/>
        </w:rPr>
        <w:t>the</w:t>
      </w:r>
      <w:r>
        <w:rPr>
          <w:spacing w:val="-5"/>
          <w:sz w:val="20"/>
        </w:rPr>
        <w:t> </w:t>
      </w:r>
      <w:r>
        <w:rPr>
          <w:sz w:val="20"/>
        </w:rPr>
        <w:t>franchisor,</w:t>
      </w:r>
      <w:r>
        <w:rPr>
          <w:spacing w:val="-5"/>
          <w:sz w:val="20"/>
        </w:rPr>
        <w:t> </w:t>
      </w:r>
      <w:r>
        <w:rPr>
          <w:sz w:val="20"/>
        </w:rPr>
        <w:t>there</w:t>
      </w:r>
      <w:r>
        <w:rPr>
          <w:spacing w:val="-2"/>
          <w:sz w:val="20"/>
        </w:rPr>
        <w:t> </w:t>
      </w:r>
      <w:r>
        <w:rPr>
          <w:sz w:val="20"/>
        </w:rPr>
        <w:t>is significant engagement between them. Business model franchising in respect of CFB is therefore distinguished from other types of business to business arrangements where the supplying business does not have any engagement with the end</w:t>
      </w:r>
      <w:r>
        <w:rPr>
          <w:spacing w:val="-4"/>
          <w:sz w:val="20"/>
        </w:rPr>
        <w:t> </w:t>
      </w:r>
      <w:r>
        <w:rPr>
          <w:sz w:val="20"/>
        </w:rPr>
        <w:t>consumer.</w:t>
      </w:r>
    </w:p>
    <w:p>
      <w:pPr>
        <w:pStyle w:val="ListParagraph"/>
        <w:numPr>
          <w:ilvl w:val="0"/>
          <w:numId w:val="4"/>
        </w:numPr>
        <w:tabs>
          <w:tab w:pos="1444" w:val="left" w:leader="none"/>
        </w:tabs>
        <w:spacing w:line="271" w:lineRule="auto" w:before="121" w:after="0"/>
        <w:ind w:left="723" w:right="480" w:firstLine="0"/>
        <w:jc w:val="both"/>
        <w:rPr>
          <w:sz w:val="13"/>
        </w:rPr>
      </w:pPr>
      <w:r>
        <w:rPr>
          <w:sz w:val="20"/>
        </w:rPr>
        <w:t>In this model, the franchisor’s revenue can include technical fees (for training), contributions to advertising,</w:t>
      </w:r>
      <w:r>
        <w:rPr>
          <w:spacing w:val="-7"/>
          <w:sz w:val="20"/>
        </w:rPr>
        <w:t> </w:t>
      </w:r>
      <w:r>
        <w:rPr>
          <w:sz w:val="20"/>
        </w:rPr>
        <w:t>upfront</w:t>
      </w:r>
      <w:r>
        <w:rPr>
          <w:spacing w:val="-7"/>
          <w:sz w:val="20"/>
        </w:rPr>
        <w:t> </w:t>
      </w:r>
      <w:r>
        <w:rPr>
          <w:sz w:val="20"/>
        </w:rPr>
        <w:t>fees,</w:t>
      </w:r>
      <w:r>
        <w:rPr>
          <w:spacing w:val="-7"/>
          <w:sz w:val="20"/>
        </w:rPr>
        <w:t> </w:t>
      </w:r>
      <w:r>
        <w:rPr>
          <w:sz w:val="20"/>
        </w:rPr>
        <w:t>renewal</w:t>
      </w:r>
      <w:r>
        <w:rPr>
          <w:spacing w:val="-8"/>
          <w:sz w:val="20"/>
        </w:rPr>
        <w:t> </w:t>
      </w:r>
      <w:r>
        <w:rPr>
          <w:sz w:val="20"/>
        </w:rPr>
        <w:t>fees</w:t>
      </w:r>
      <w:r>
        <w:rPr>
          <w:spacing w:val="-6"/>
          <w:sz w:val="20"/>
        </w:rPr>
        <w:t> </w:t>
      </w:r>
      <w:r>
        <w:rPr>
          <w:sz w:val="20"/>
        </w:rPr>
        <w:t>and</w:t>
      </w:r>
      <w:r>
        <w:rPr>
          <w:spacing w:val="-3"/>
          <w:sz w:val="20"/>
        </w:rPr>
        <w:t> </w:t>
      </w:r>
      <w:r>
        <w:rPr>
          <w:sz w:val="20"/>
        </w:rPr>
        <w:t>‘franchise</w:t>
      </w:r>
      <w:r>
        <w:rPr>
          <w:spacing w:val="-8"/>
          <w:sz w:val="20"/>
        </w:rPr>
        <w:t> </w:t>
      </w:r>
      <w:r>
        <w:rPr>
          <w:sz w:val="20"/>
        </w:rPr>
        <w:t>fees’</w:t>
      </w:r>
      <w:r>
        <w:rPr>
          <w:spacing w:val="-8"/>
          <w:sz w:val="20"/>
        </w:rPr>
        <w:t> </w:t>
      </w:r>
      <w:r>
        <w:rPr>
          <w:sz w:val="20"/>
        </w:rPr>
        <w:t>(including</w:t>
      </w:r>
      <w:r>
        <w:rPr>
          <w:spacing w:val="-7"/>
          <w:sz w:val="20"/>
        </w:rPr>
        <w:t> </w:t>
      </w:r>
      <w:r>
        <w:rPr>
          <w:sz w:val="20"/>
        </w:rPr>
        <w:t>royalties)</w:t>
      </w:r>
      <w:r>
        <w:rPr>
          <w:spacing w:val="-6"/>
          <w:sz w:val="20"/>
        </w:rPr>
        <w:t> </w:t>
      </w:r>
      <w:r>
        <w:rPr>
          <w:sz w:val="20"/>
        </w:rPr>
        <w:t>which</w:t>
      </w:r>
      <w:r>
        <w:rPr>
          <w:spacing w:val="-8"/>
          <w:sz w:val="20"/>
        </w:rPr>
        <w:t> </w:t>
      </w:r>
      <w:r>
        <w:rPr>
          <w:sz w:val="20"/>
        </w:rPr>
        <w:t>are</w:t>
      </w:r>
      <w:r>
        <w:rPr>
          <w:spacing w:val="-7"/>
          <w:sz w:val="20"/>
        </w:rPr>
        <w:t> </w:t>
      </w:r>
      <w:r>
        <w:rPr>
          <w:sz w:val="20"/>
        </w:rPr>
        <w:t>paid</w:t>
      </w:r>
      <w:r>
        <w:rPr>
          <w:spacing w:val="-7"/>
          <w:sz w:val="20"/>
        </w:rPr>
        <w:t> </w:t>
      </w:r>
      <w:r>
        <w:rPr>
          <w:sz w:val="20"/>
        </w:rPr>
        <w:t>periodically as a percentage of total sales generated by the</w:t>
      </w:r>
      <w:r>
        <w:rPr>
          <w:spacing w:val="-12"/>
          <w:sz w:val="20"/>
        </w:rPr>
        <w:t> </w:t>
      </w:r>
      <w:r>
        <w:rPr>
          <w:sz w:val="20"/>
        </w:rPr>
        <w:t>franchisee.</w:t>
      </w:r>
      <w:r>
        <w:rPr>
          <w:position w:val="6"/>
          <w:sz w:val="13"/>
        </w:rPr>
        <w:t>21</w:t>
      </w:r>
    </w:p>
    <w:p>
      <w:pPr>
        <w:pStyle w:val="ListParagraph"/>
        <w:numPr>
          <w:ilvl w:val="0"/>
          <w:numId w:val="4"/>
        </w:numPr>
        <w:tabs>
          <w:tab w:pos="1444" w:val="left" w:leader="none"/>
        </w:tabs>
        <w:spacing w:line="271" w:lineRule="auto" w:before="120" w:after="0"/>
        <w:ind w:left="723" w:right="479" w:firstLine="0"/>
        <w:jc w:val="both"/>
        <w:rPr>
          <w:sz w:val="20"/>
        </w:rPr>
      </w:pPr>
      <w:r>
        <w:rPr>
          <w:sz w:val="20"/>
        </w:rPr>
        <w:t>Applying the general definition above, where the franchised rights </w:t>
      </w:r>
      <w:r>
        <w:rPr>
          <w:spacing w:val="2"/>
          <w:sz w:val="20"/>
        </w:rPr>
        <w:t>are </w:t>
      </w:r>
      <w:r>
        <w:rPr>
          <w:sz w:val="20"/>
        </w:rPr>
        <w:t>connected to a good or service commonly sold to consumers (e.g. burgers), the franchisor is in scope as the owner of the brand being monetised (via the intangible property made available to the franchisee), and the franchisee is in scope as the seller of the consumer</w:t>
      </w:r>
      <w:r>
        <w:rPr>
          <w:spacing w:val="-5"/>
          <w:sz w:val="20"/>
        </w:rPr>
        <w:t> </w:t>
      </w:r>
      <w:r>
        <w:rPr>
          <w:sz w:val="20"/>
        </w:rPr>
        <w:t>product.</w:t>
      </w:r>
    </w:p>
    <w:p>
      <w:pPr>
        <w:pStyle w:val="BodyText"/>
        <w:spacing w:before="5"/>
      </w:pPr>
    </w:p>
    <w:p>
      <w:pPr>
        <w:pStyle w:val="Heading8"/>
      </w:pPr>
      <w:bookmarkStart w:name="Product distribution franchising" w:id="52"/>
      <w:bookmarkEnd w:id="52"/>
      <w:r>
        <w:rPr>
          <w:b w:val="0"/>
        </w:rPr>
      </w:r>
      <w:r>
        <w:rPr/>
        <w:t>Product distribution franchising</w:t>
      </w:r>
    </w:p>
    <w:p>
      <w:pPr>
        <w:pStyle w:val="BodyText"/>
        <w:spacing w:before="10"/>
        <w:rPr>
          <w:b/>
          <w:sz w:val="18"/>
        </w:rPr>
      </w:pPr>
    </w:p>
    <w:p>
      <w:pPr>
        <w:pStyle w:val="ListParagraph"/>
        <w:numPr>
          <w:ilvl w:val="0"/>
          <w:numId w:val="4"/>
        </w:numPr>
        <w:tabs>
          <w:tab w:pos="1444" w:val="left" w:leader="none"/>
        </w:tabs>
        <w:spacing w:line="240" w:lineRule="auto" w:before="0" w:after="0"/>
        <w:ind w:left="1443" w:right="0" w:hanging="721"/>
        <w:jc w:val="both"/>
        <w:rPr>
          <w:sz w:val="20"/>
        </w:rPr>
      </w:pPr>
      <w:r>
        <w:rPr>
          <w:sz w:val="20"/>
        </w:rPr>
        <w:t>Product distribution franchising is typically divided into three</w:t>
      </w:r>
      <w:r>
        <w:rPr>
          <w:spacing w:val="-10"/>
          <w:sz w:val="20"/>
        </w:rPr>
        <w:t> </w:t>
      </w:r>
      <w:r>
        <w:rPr>
          <w:sz w:val="20"/>
        </w:rPr>
        <w:t>sub-categories:</w:t>
      </w:r>
    </w:p>
    <w:p>
      <w:pPr>
        <w:pStyle w:val="ListParagraph"/>
        <w:numPr>
          <w:ilvl w:val="1"/>
          <w:numId w:val="4"/>
        </w:numPr>
        <w:tabs>
          <w:tab w:pos="1403" w:val="left" w:leader="none"/>
        </w:tabs>
        <w:spacing w:line="271" w:lineRule="auto" w:before="129" w:after="0"/>
        <w:ind w:left="1402" w:right="482" w:hanging="339"/>
        <w:jc w:val="both"/>
        <w:rPr>
          <w:sz w:val="20"/>
        </w:rPr>
      </w:pPr>
      <w:r>
        <w:rPr>
          <w:sz w:val="20"/>
        </w:rPr>
        <w:t>Manufacturer-retailer franchising where a franchisee sells the franchisor’s products directly to consumers. For example, manufacturer-retailer franchising is often used to sell new cars. Depending on the legal agreement, the franchisee may be permitted to sell competing products. Under these arrangements, the franchisee sells and operates under its own name although the franchisor’s trademarks are generally displayed. The franchisee sells the products using its own business</w:t>
      </w:r>
      <w:r>
        <w:rPr>
          <w:spacing w:val="-8"/>
          <w:sz w:val="20"/>
        </w:rPr>
        <w:t> </w:t>
      </w:r>
      <w:r>
        <w:rPr>
          <w:sz w:val="20"/>
        </w:rPr>
        <w:t>systems</w:t>
      </w:r>
      <w:r>
        <w:rPr>
          <w:spacing w:val="-8"/>
          <w:sz w:val="20"/>
        </w:rPr>
        <w:t> </w:t>
      </w:r>
      <w:r>
        <w:rPr>
          <w:sz w:val="20"/>
        </w:rPr>
        <w:t>and</w:t>
      </w:r>
      <w:r>
        <w:rPr>
          <w:spacing w:val="-8"/>
          <w:sz w:val="20"/>
        </w:rPr>
        <w:t> </w:t>
      </w:r>
      <w:r>
        <w:rPr>
          <w:sz w:val="20"/>
        </w:rPr>
        <w:t>methods</w:t>
      </w:r>
      <w:r>
        <w:rPr>
          <w:spacing w:val="-8"/>
          <w:sz w:val="20"/>
        </w:rPr>
        <w:t> </w:t>
      </w:r>
      <w:r>
        <w:rPr>
          <w:sz w:val="20"/>
        </w:rPr>
        <w:t>but</w:t>
      </w:r>
      <w:r>
        <w:rPr>
          <w:spacing w:val="-9"/>
          <w:sz w:val="20"/>
        </w:rPr>
        <w:t> </w:t>
      </w:r>
      <w:r>
        <w:rPr>
          <w:sz w:val="20"/>
        </w:rPr>
        <w:t>the</w:t>
      </w:r>
      <w:r>
        <w:rPr>
          <w:spacing w:val="-8"/>
          <w:sz w:val="20"/>
        </w:rPr>
        <w:t> </w:t>
      </w:r>
      <w:r>
        <w:rPr>
          <w:sz w:val="20"/>
        </w:rPr>
        <w:t>franchisor</w:t>
      </w:r>
      <w:r>
        <w:rPr>
          <w:spacing w:val="-8"/>
          <w:sz w:val="20"/>
        </w:rPr>
        <w:t> </w:t>
      </w:r>
      <w:r>
        <w:rPr>
          <w:sz w:val="20"/>
        </w:rPr>
        <w:t>may</w:t>
      </w:r>
      <w:r>
        <w:rPr>
          <w:spacing w:val="-10"/>
          <w:sz w:val="20"/>
        </w:rPr>
        <w:t> </w:t>
      </w:r>
      <w:r>
        <w:rPr>
          <w:sz w:val="20"/>
        </w:rPr>
        <w:t>require</w:t>
      </w:r>
      <w:r>
        <w:rPr>
          <w:spacing w:val="-6"/>
          <w:sz w:val="20"/>
        </w:rPr>
        <w:t> </w:t>
      </w:r>
      <w:r>
        <w:rPr>
          <w:sz w:val="20"/>
        </w:rPr>
        <w:t>the</w:t>
      </w:r>
      <w:r>
        <w:rPr>
          <w:spacing w:val="-9"/>
          <w:sz w:val="20"/>
        </w:rPr>
        <w:t> </w:t>
      </w:r>
      <w:r>
        <w:rPr>
          <w:sz w:val="20"/>
        </w:rPr>
        <w:t>franchisee’s</w:t>
      </w:r>
      <w:r>
        <w:rPr>
          <w:spacing w:val="-8"/>
          <w:sz w:val="20"/>
        </w:rPr>
        <w:t> </w:t>
      </w:r>
      <w:r>
        <w:rPr>
          <w:sz w:val="20"/>
        </w:rPr>
        <w:t>store</w:t>
      </w:r>
      <w:r>
        <w:rPr>
          <w:spacing w:val="-8"/>
          <w:sz w:val="20"/>
        </w:rPr>
        <w:t> </w:t>
      </w:r>
      <w:r>
        <w:rPr>
          <w:sz w:val="20"/>
        </w:rPr>
        <w:t>or</w:t>
      </w:r>
      <w:r>
        <w:rPr>
          <w:spacing w:val="-8"/>
          <w:sz w:val="20"/>
        </w:rPr>
        <w:t> </w:t>
      </w:r>
      <w:r>
        <w:rPr>
          <w:sz w:val="20"/>
        </w:rPr>
        <w:t>showroom to</w:t>
      </w:r>
      <w:r>
        <w:rPr>
          <w:spacing w:val="-19"/>
          <w:sz w:val="20"/>
        </w:rPr>
        <w:t> </w:t>
      </w:r>
      <w:r>
        <w:rPr>
          <w:sz w:val="20"/>
        </w:rPr>
        <w:t>be</w:t>
      </w:r>
      <w:r>
        <w:rPr>
          <w:spacing w:val="-18"/>
          <w:sz w:val="20"/>
        </w:rPr>
        <w:t> </w:t>
      </w:r>
      <w:r>
        <w:rPr>
          <w:sz w:val="20"/>
        </w:rPr>
        <w:t>fitted-out</w:t>
      </w:r>
      <w:r>
        <w:rPr>
          <w:spacing w:val="-15"/>
          <w:sz w:val="20"/>
        </w:rPr>
        <w:t> </w:t>
      </w:r>
      <w:r>
        <w:rPr>
          <w:sz w:val="20"/>
        </w:rPr>
        <w:t>to</w:t>
      </w:r>
      <w:r>
        <w:rPr>
          <w:spacing w:val="-17"/>
          <w:sz w:val="20"/>
        </w:rPr>
        <w:t> </w:t>
      </w:r>
      <w:r>
        <w:rPr>
          <w:sz w:val="20"/>
        </w:rPr>
        <w:t>a</w:t>
      </w:r>
      <w:r>
        <w:rPr>
          <w:spacing w:val="-15"/>
          <w:sz w:val="20"/>
        </w:rPr>
        <w:t> </w:t>
      </w:r>
      <w:r>
        <w:rPr>
          <w:sz w:val="20"/>
        </w:rPr>
        <w:t>particular</w:t>
      </w:r>
      <w:r>
        <w:rPr>
          <w:spacing w:val="-17"/>
          <w:sz w:val="20"/>
        </w:rPr>
        <w:t> </w:t>
      </w:r>
      <w:r>
        <w:rPr>
          <w:sz w:val="20"/>
        </w:rPr>
        <w:t>specification.</w:t>
      </w:r>
      <w:r>
        <w:rPr>
          <w:spacing w:val="-16"/>
          <w:sz w:val="20"/>
        </w:rPr>
        <w:t> </w:t>
      </w:r>
      <w:r>
        <w:rPr>
          <w:sz w:val="20"/>
        </w:rPr>
        <w:t>No</w:t>
      </w:r>
      <w:r>
        <w:rPr>
          <w:spacing w:val="-17"/>
          <w:sz w:val="20"/>
        </w:rPr>
        <w:t> </w:t>
      </w:r>
      <w:r>
        <w:rPr>
          <w:sz w:val="20"/>
        </w:rPr>
        <w:t>special</w:t>
      </w:r>
      <w:r>
        <w:rPr>
          <w:spacing w:val="-18"/>
          <w:sz w:val="20"/>
        </w:rPr>
        <w:t> </w:t>
      </w:r>
      <w:r>
        <w:rPr>
          <w:sz w:val="20"/>
        </w:rPr>
        <w:t>training</w:t>
      </w:r>
      <w:r>
        <w:rPr>
          <w:spacing w:val="-16"/>
          <w:sz w:val="20"/>
        </w:rPr>
        <w:t> </w:t>
      </w:r>
      <w:r>
        <w:rPr>
          <w:sz w:val="20"/>
        </w:rPr>
        <w:t>on</w:t>
      </w:r>
      <w:r>
        <w:rPr>
          <w:spacing w:val="-18"/>
          <w:sz w:val="20"/>
        </w:rPr>
        <w:t> </w:t>
      </w:r>
      <w:r>
        <w:rPr>
          <w:sz w:val="20"/>
        </w:rPr>
        <w:t>a</w:t>
      </w:r>
      <w:r>
        <w:rPr>
          <w:spacing w:val="-16"/>
          <w:sz w:val="20"/>
        </w:rPr>
        <w:t> </w:t>
      </w:r>
      <w:r>
        <w:rPr>
          <w:sz w:val="20"/>
        </w:rPr>
        <w:t>business</w:t>
      </w:r>
      <w:r>
        <w:rPr>
          <w:spacing w:val="-16"/>
          <w:sz w:val="20"/>
        </w:rPr>
        <w:t> </w:t>
      </w:r>
      <w:r>
        <w:rPr>
          <w:sz w:val="20"/>
        </w:rPr>
        <w:t>system</w:t>
      </w:r>
      <w:r>
        <w:rPr>
          <w:spacing w:val="-13"/>
          <w:sz w:val="20"/>
        </w:rPr>
        <w:t> </w:t>
      </w:r>
      <w:r>
        <w:rPr>
          <w:sz w:val="20"/>
        </w:rPr>
        <w:t>will</w:t>
      </w:r>
      <w:r>
        <w:rPr>
          <w:spacing w:val="-19"/>
          <w:sz w:val="20"/>
        </w:rPr>
        <w:t> </w:t>
      </w:r>
      <w:r>
        <w:rPr>
          <w:sz w:val="20"/>
        </w:rPr>
        <w:t>be</w:t>
      </w:r>
      <w:r>
        <w:rPr>
          <w:spacing w:val="-18"/>
          <w:sz w:val="20"/>
        </w:rPr>
        <w:t> </w:t>
      </w:r>
      <w:r>
        <w:rPr>
          <w:sz w:val="20"/>
        </w:rPr>
        <w:t>required but the franchisee must be familiar with the product range, its capabilities and any follow-up services that are available, and training in this respect will be provided by the franchisor, in some cases</w:t>
      </w:r>
      <w:r>
        <w:rPr>
          <w:spacing w:val="-8"/>
          <w:sz w:val="20"/>
        </w:rPr>
        <w:t> </w:t>
      </w:r>
      <w:r>
        <w:rPr>
          <w:sz w:val="20"/>
        </w:rPr>
        <w:t>on</w:t>
      </w:r>
      <w:r>
        <w:rPr>
          <w:spacing w:val="-8"/>
          <w:sz w:val="20"/>
        </w:rPr>
        <w:t> </w:t>
      </w:r>
      <w:r>
        <w:rPr>
          <w:sz w:val="20"/>
        </w:rPr>
        <w:t>a</w:t>
      </w:r>
      <w:r>
        <w:rPr>
          <w:spacing w:val="-8"/>
          <w:sz w:val="20"/>
        </w:rPr>
        <w:t> </w:t>
      </w:r>
      <w:r>
        <w:rPr>
          <w:sz w:val="20"/>
        </w:rPr>
        <w:t>paid</w:t>
      </w:r>
      <w:r>
        <w:rPr>
          <w:spacing w:val="-8"/>
          <w:sz w:val="20"/>
        </w:rPr>
        <w:t> </w:t>
      </w:r>
      <w:r>
        <w:rPr>
          <w:sz w:val="20"/>
        </w:rPr>
        <w:t>basis.</w:t>
      </w:r>
      <w:r>
        <w:rPr>
          <w:spacing w:val="-7"/>
          <w:sz w:val="20"/>
        </w:rPr>
        <w:t> </w:t>
      </w:r>
      <w:r>
        <w:rPr>
          <w:sz w:val="20"/>
        </w:rPr>
        <w:t>The</w:t>
      </w:r>
      <w:r>
        <w:rPr>
          <w:spacing w:val="-8"/>
          <w:sz w:val="20"/>
        </w:rPr>
        <w:t> </w:t>
      </w:r>
      <w:r>
        <w:rPr>
          <w:sz w:val="20"/>
        </w:rPr>
        <w:t>franchisor</w:t>
      </w:r>
      <w:r>
        <w:rPr>
          <w:spacing w:val="-8"/>
          <w:sz w:val="20"/>
        </w:rPr>
        <w:t> </w:t>
      </w:r>
      <w:r>
        <w:rPr>
          <w:sz w:val="20"/>
        </w:rPr>
        <w:t>may</w:t>
      </w:r>
      <w:r>
        <w:rPr>
          <w:spacing w:val="-13"/>
          <w:sz w:val="20"/>
        </w:rPr>
        <w:t> </w:t>
      </w:r>
      <w:r>
        <w:rPr>
          <w:sz w:val="20"/>
        </w:rPr>
        <w:t>charge</w:t>
      </w:r>
      <w:r>
        <w:rPr>
          <w:spacing w:val="-9"/>
          <w:sz w:val="20"/>
        </w:rPr>
        <w:t> </w:t>
      </w:r>
      <w:r>
        <w:rPr>
          <w:sz w:val="20"/>
        </w:rPr>
        <w:t>an</w:t>
      </w:r>
      <w:r>
        <w:rPr>
          <w:spacing w:val="-8"/>
          <w:sz w:val="20"/>
        </w:rPr>
        <w:t> </w:t>
      </w:r>
      <w:r>
        <w:rPr>
          <w:sz w:val="20"/>
        </w:rPr>
        <w:t>initial</w:t>
      </w:r>
      <w:r>
        <w:rPr>
          <w:spacing w:val="-9"/>
          <w:sz w:val="20"/>
        </w:rPr>
        <w:t> </w:t>
      </w:r>
      <w:r>
        <w:rPr>
          <w:sz w:val="20"/>
        </w:rPr>
        <w:t>fee</w:t>
      </w:r>
      <w:r>
        <w:rPr>
          <w:spacing w:val="-8"/>
          <w:sz w:val="20"/>
        </w:rPr>
        <w:t> </w:t>
      </w:r>
      <w:r>
        <w:rPr>
          <w:sz w:val="20"/>
        </w:rPr>
        <w:t>for</w:t>
      </w:r>
      <w:r>
        <w:rPr>
          <w:spacing w:val="-7"/>
          <w:sz w:val="20"/>
        </w:rPr>
        <w:t> </w:t>
      </w:r>
      <w:r>
        <w:rPr>
          <w:sz w:val="20"/>
        </w:rPr>
        <w:t>becoming</w:t>
      </w:r>
      <w:r>
        <w:rPr>
          <w:spacing w:val="-8"/>
          <w:sz w:val="20"/>
        </w:rPr>
        <w:t> </w:t>
      </w:r>
      <w:r>
        <w:rPr>
          <w:sz w:val="20"/>
        </w:rPr>
        <w:t>a</w:t>
      </w:r>
      <w:r>
        <w:rPr>
          <w:spacing w:val="-8"/>
          <w:sz w:val="20"/>
        </w:rPr>
        <w:t> </w:t>
      </w:r>
      <w:r>
        <w:rPr>
          <w:sz w:val="20"/>
        </w:rPr>
        <w:t>franchisee</w:t>
      </w:r>
      <w:r>
        <w:rPr>
          <w:spacing w:val="-8"/>
          <w:sz w:val="20"/>
        </w:rPr>
        <w:t> </w:t>
      </w:r>
      <w:r>
        <w:rPr>
          <w:sz w:val="20"/>
        </w:rPr>
        <w:t>and</w:t>
      </w:r>
      <w:r>
        <w:rPr>
          <w:spacing w:val="-9"/>
          <w:sz w:val="20"/>
        </w:rPr>
        <w:t> </w:t>
      </w:r>
      <w:r>
        <w:rPr>
          <w:spacing w:val="2"/>
          <w:sz w:val="20"/>
        </w:rPr>
        <w:t>may </w:t>
      </w:r>
      <w:r>
        <w:rPr>
          <w:sz w:val="20"/>
        </w:rPr>
        <w:t>also charge on-going fees (often calculated as a percentage of sales) and contributions to advertising.</w:t>
      </w:r>
      <w:r>
        <w:rPr>
          <w:spacing w:val="-13"/>
          <w:sz w:val="20"/>
        </w:rPr>
        <w:t> </w:t>
      </w:r>
      <w:r>
        <w:rPr>
          <w:sz w:val="20"/>
        </w:rPr>
        <w:t>Separately,</w:t>
      </w:r>
      <w:r>
        <w:rPr>
          <w:spacing w:val="-14"/>
          <w:sz w:val="20"/>
        </w:rPr>
        <w:t> </w:t>
      </w:r>
      <w:r>
        <w:rPr>
          <w:sz w:val="20"/>
        </w:rPr>
        <w:t>the</w:t>
      </w:r>
      <w:r>
        <w:rPr>
          <w:spacing w:val="-13"/>
          <w:sz w:val="20"/>
        </w:rPr>
        <w:t> </w:t>
      </w:r>
      <w:r>
        <w:rPr>
          <w:sz w:val="20"/>
        </w:rPr>
        <w:t>franchisee</w:t>
      </w:r>
      <w:r>
        <w:rPr>
          <w:spacing w:val="-13"/>
          <w:sz w:val="20"/>
        </w:rPr>
        <w:t> </w:t>
      </w:r>
      <w:r>
        <w:rPr>
          <w:sz w:val="20"/>
        </w:rPr>
        <w:t>will</w:t>
      </w:r>
      <w:r>
        <w:rPr>
          <w:spacing w:val="-13"/>
          <w:sz w:val="20"/>
        </w:rPr>
        <w:t> </w:t>
      </w:r>
      <w:r>
        <w:rPr>
          <w:sz w:val="20"/>
        </w:rPr>
        <w:t>purchase</w:t>
      </w:r>
      <w:r>
        <w:rPr>
          <w:spacing w:val="-15"/>
          <w:sz w:val="20"/>
        </w:rPr>
        <w:t> </w:t>
      </w:r>
      <w:r>
        <w:rPr>
          <w:sz w:val="20"/>
        </w:rPr>
        <w:t>stock</w:t>
      </w:r>
      <w:r>
        <w:rPr>
          <w:spacing w:val="-13"/>
          <w:sz w:val="20"/>
        </w:rPr>
        <w:t> </w:t>
      </w:r>
      <w:r>
        <w:rPr>
          <w:sz w:val="20"/>
        </w:rPr>
        <w:t>from</w:t>
      </w:r>
      <w:r>
        <w:rPr>
          <w:spacing w:val="-10"/>
          <w:sz w:val="20"/>
        </w:rPr>
        <w:t> </w:t>
      </w:r>
      <w:r>
        <w:rPr>
          <w:sz w:val="20"/>
        </w:rPr>
        <w:t>the</w:t>
      </w:r>
      <w:r>
        <w:rPr>
          <w:spacing w:val="-15"/>
          <w:sz w:val="20"/>
        </w:rPr>
        <w:t> </w:t>
      </w:r>
      <w:r>
        <w:rPr>
          <w:sz w:val="20"/>
        </w:rPr>
        <w:t>franchisor</w:t>
      </w:r>
      <w:r>
        <w:rPr>
          <w:spacing w:val="-14"/>
          <w:sz w:val="20"/>
        </w:rPr>
        <w:t> </w:t>
      </w:r>
      <w:r>
        <w:rPr>
          <w:sz w:val="20"/>
        </w:rPr>
        <w:t>and</w:t>
      </w:r>
      <w:r>
        <w:rPr>
          <w:spacing w:val="-13"/>
          <w:sz w:val="20"/>
        </w:rPr>
        <w:t> </w:t>
      </w:r>
      <w:r>
        <w:rPr>
          <w:spacing w:val="3"/>
          <w:sz w:val="20"/>
        </w:rPr>
        <w:t>may</w:t>
      </w:r>
      <w:r>
        <w:rPr>
          <w:spacing w:val="-18"/>
          <w:sz w:val="20"/>
        </w:rPr>
        <w:t> </w:t>
      </w:r>
      <w:r>
        <w:rPr>
          <w:sz w:val="20"/>
        </w:rPr>
        <w:t>be</w:t>
      </w:r>
      <w:r>
        <w:rPr>
          <w:spacing w:val="-14"/>
          <w:sz w:val="20"/>
        </w:rPr>
        <w:t> </w:t>
      </w:r>
      <w:r>
        <w:rPr>
          <w:sz w:val="20"/>
        </w:rPr>
        <w:t>required to</w:t>
      </w:r>
      <w:r>
        <w:rPr>
          <w:spacing w:val="-13"/>
          <w:sz w:val="20"/>
        </w:rPr>
        <w:t> </w:t>
      </w:r>
      <w:r>
        <w:rPr>
          <w:sz w:val="20"/>
        </w:rPr>
        <w:t>place</w:t>
      </w:r>
      <w:r>
        <w:rPr>
          <w:spacing w:val="-12"/>
          <w:sz w:val="20"/>
        </w:rPr>
        <w:t> </w:t>
      </w:r>
      <w:r>
        <w:rPr>
          <w:sz w:val="20"/>
        </w:rPr>
        <w:t>minimum</w:t>
      </w:r>
      <w:r>
        <w:rPr>
          <w:spacing w:val="-8"/>
          <w:sz w:val="20"/>
        </w:rPr>
        <w:t> </w:t>
      </w:r>
      <w:r>
        <w:rPr>
          <w:sz w:val="20"/>
        </w:rPr>
        <w:t>orders.</w:t>
      </w:r>
      <w:r>
        <w:rPr>
          <w:spacing w:val="-14"/>
          <w:sz w:val="20"/>
        </w:rPr>
        <w:t> </w:t>
      </w:r>
      <w:r>
        <w:rPr>
          <w:sz w:val="20"/>
        </w:rPr>
        <w:t>The</w:t>
      </w:r>
      <w:r>
        <w:rPr>
          <w:spacing w:val="-12"/>
          <w:sz w:val="20"/>
        </w:rPr>
        <w:t> </w:t>
      </w:r>
      <w:r>
        <w:rPr>
          <w:sz w:val="20"/>
        </w:rPr>
        <w:t>franchisor</w:t>
      </w:r>
      <w:r>
        <w:rPr>
          <w:spacing w:val="-14"/>
          <w:sz w:val="20"/>
        </w:rPr>
        <w:t> </w:t>
      </w:r>
      <w:r>
        <w:rPr>
          <w:sz w:val="20"/>
        </w:rPr>
        <w:t>may</w:t>
      </w:r>
      <w:r>
        <w:rPr>
          <w:spacing w:val="-17"/>
          <w:sz w:val="20"/>
        </w:rPr>
        <w:t> </w:t>
      </w:r>
      <w:r>
        <w:rPr>
          <w:sz w:val="20"/>
        </w:rPr>
        <w:t>provide</w:t>
      </w:r>
      <w:r>
        <w:rPr>
          <w:spacing w:val="-12"/>
          <w:sz w:val="20"/>
        </w:rPr>
        <w:t> </w:t>
      </w:r>
      <w:r>
        <w:rPr>
          <w:sz w:val="20"/>
        </w:rPr>
        <w:t>recommended</w:t>
      </w:r>
      <w:r>
        <w:rPr>
          <w:spacing w:val="-12"/>
          <w:sz w:val="20"/>
        </w:rPr>
        <w:t> </w:t>
      </w:r>
      <w:r>
        <w:rPr>
          <w:sz w:val="20"/>
        </w:rPr>
        <w:t>retail</w:t>
      </w:r>
      <w:r>
        <w:rPr>
          <w:spacing w:val="-13"/>
          <w:sz w:val="20"/>
        </w:rPr>
        <w:t> </w:t>
      </w:r>
      <w:r>
        <w:rPr>
          <w:sz w:val="20"/>
        </w:rPr>
        <w:t>prices</w:t>
      </w:r>
      <w:r>
        <w:rPr>
          <w:spacing w:val="-10"/>
          <w:sz w:val="20"/>
        </w:rPr>
        <w:t> </w:t>
      </w:r>
      <w:r>
        <w:rPr>
          <w:sz w:val="20"/>
        </w:rPr>
        <w:t>to</w:t>
      </w:r>
      <w:r>
        <w:rPr>
          <w:spacing w:val="-12"/>
          <w:sz w:val="20"/>
        </w:rPr>
        <w:t> </w:t>
      </w:r>
      <w:r>
        <w:rPr>
          <w:sz w:val="20"/>
        </w:rPr>
        <w:t>the</w:t>
      </w:r>
      <w:r>
        <w:rPr>
          <w:spacing w:val="-13"/>
          <w:sz w:val="20"/>
        </w:rPr>
        <w:t> </w:t>
      </w:r>
      <w:r>
        <w:rPr>
          <w:sz w:val="20"/>
        </w:rPr>
        <w:t>franchisee.</w:t>
      </w:r>
    </w:p>
    <w:p>
      <w:pPr>
        <w:pStyle w:val="ListParagraph"/>
        <w:numPr>
          <w:ilvl w:val="1"/>
          <w:numId w:val="4"/>
        </w:numPr>
        <w:tabs>
          <w:tab w:pos="1403" w:val="left" w:leader="none"/>
        </w:tabs>
        <w:spacing w:line="271" w:lineRule="auto" w:before="47" w:after="0"/>
        <w:ind w:left="1402" w:right="484" w:hanging="339"/>
        <w:jc w:val="both"/>
        <w:rPr>
          <w:sz w:val="20"/>
        </w:rPr>
      </w:pPr>
      <w:r>
        <w:rPr>
          <w:sz w:val="20"/>
        </w:rPr>
        <w:t>Wholesaler-retailer franchising, where the retailer as franchisee purchases products for sale to consumers from a franchisor wholesaler. Depending on the legal agreement, the franchisee may be</w:t>
      </w:r>
      <w:r>
        <w:rPr>
          <w:spacing w:val="-8"/>
          <w:sz w:val="20"/>
        </w:rPr>
        <w:t> </w:t>
      </w:r>
      <w:r>
        <w:rPr>
          <w:sz w:val="20"/>
        </w:rPr>
        <w:t>permitted</w:t>
      </w:r>
      <w:r>
        <w:rPr>
          <w:spacing w:val="-7"/>
          <w:sz w:val="20"/>
        </w:rPr>
        <w:t> </w:t>
      </w:r>
      <w:r>
        <w:rPr>
          <w:sz w:val="20"/>
        </w:rPr>
        <w:t>to</w:t>
      </w:r>
      <w:r>
        <w:rPr>
          <w:spacing w:val="-8"/>
          <w:sz w:val="20"/>
        </w:rPr>
        <w:t> </w:t>
      </w:r>
      <w:r>
        <w:rPr>
          <w:sz w:val="20"/>
        </w:rPr>
        <w:t>sell</w:t>
      </w:r>
      <w:r>
        <w:rPr>
          <w:spacing w:val="-7"/>
          <w:sz w:val="20"/>
        </w:rPr>
        <w:t> </w:t>
      </w:r>
      <w:r>
        <w:rPr>
          <w:sz w:val="20"/>
        </w:rPr>
        <w:t>competing</w:t>
      </w:r>
      <w:r>
        <w:rPr>
          <w:spacing w:val="-6"/>
          <w:sz w:val="20"/>
        </w:rPr>
        <w:t> </w:t>
      </w:r>
      <w:r>
        <w:rPr>
          <w:sz w:val="20"/>
        </w:rPr>
        <w:t>and</w:t>
      </w:r>
      <w:r>
        <w:rPr>
          <w:spacing w:val="-8"/>
          <w:sz w:val="20"/>
        </w:rPr>
        <w:t> </w:t>
      </w:r>
      <w:r>
        <w:rPr>
          <w:sz w:val="20"/>
        </w:rPr>
        <w:t>/</w:t>
      </w:r>
      <w:r>
        <w:rPr>
          <w:spacing w:val="-6"/>
          <w:sz w:val="20"/>
        </w:rPr>
        <w:t> </w:t>
      </w:r>
      <w:r>
        <w:rPr>
          <w:sz w:val="20"/>
        </w:rPr>
        <w:t>or</w:t>
      </w:r>
      <w:r>
        <w:rPr>
          <w:spacing w:val="-7"/>
          <w:sz w:val="20"/>
        </w:rPr>
        <w:t> </w:t>
      </w:r>
      <w:r>
        <w:rPr>
          <w:sz w:val="20"/>
        </w:rPr>
        <w:t>complementary</w:t>
      </w:r>
      <w:r>
        <w:rPr>
          <w:spacing w:val="-10"/>
          <w:sz w:val="20"/>
        </w:rPr>
        <w:t> </w:t>
      </w:r>
      <w:r>
        <w:rPr>
          <w:sz w:val="20"/>
        </w:rPr>
        <w:t>products.</w:t>
      </w:r>
      <w:r>
        <w:rPr>
          <w:spacing w:val="-11"/>
          <w:sz w:val="20"/>
        </w:rPr>
        <w:t> </w:t>
      </w:r>
      <w:r>
        <w:rPr>
          <w:sz w:val="20"/>
        </w:rPr>
        <w:t>Wholesaler-retailer</w:t>
      </w:r>
      <w:r>
        <w:rPr>
          <w:spacing w:val="-7"/>
          <w:sz w:val="20"/>
        </w:rPr>
        <w:t> </w:t>
      </w:r>
      <w:r>
        <w:rPr>
          <w:sz w:val="20"/>
        </w:rPr>
        <w:t>franchising</w:t>
      </w:r>
      <w:r>
        <w:rPr>
          <w:spacing w:val="-7"/>
          <w:sz w:val="20"/>
        </w:rPr>
        <w:t> </w:t>
      </w:r>
      <w:r>
        <w:rPr>
          <w:sz w:val="20"/>
        </w:rPr>
        <w:t>is often</w:t>
      </w:r>
      <w:r>
        <w:rPr>
          <w:spacing w:val="22"/>
          <w:sz w:val="20"/>
        </w:rPr>
        <w:t> </w:t>
      </w:r>
      <w:r>
        <w:rPr>
          <w:sz w:val="20"/>
        </w:rPr>
        <w:t>used</w:t>
      </w:r>
      <w:r>
        <w:rPr>
          <w:spacing w:val="26"/>
          <w:sz w:val="20"/>
        </w:rPr>
        <w:t> </w:t>
      </w:r>
      <w:r>
        <w:rPr>
          <w:sz w:val="20"/>
        </w:rPr>
        <w:t>as</w:t>
      </w:r>
      <w:r>
        <w:rPr>
          <w:spacing w:val="24"/>
          <w:sz w:val="20"/>
        </w:rPr>
        <w:t> </w:t>
      </w:r>
      <w:r>
        <w:rPr>
          <w:sz w:val="20"/>
        </w:rPr>
        <w:t>a</w:t>
      </w:r>
      <w:r>
        <w:rPr>
          <w:spacing w:val="25"/>
          <w:sz w:val="20"/>
        </w:rPr>
        <w:t> </w:t>
      </w:r>
      <w:r>
        <w:rPr>
          <w:sz w:val="20"/>
        </w:rPr>
        <w:t>model</w:t>
      </w:r>
      <w:r>
        <w:rPr>
          <w:spacing w:val="24"/>
          <w:sz w:val="20"/>
        </w:rPr>
        <w:t> </w:t>
      </w:r>
      <w:r>
        <w:rPr>
          <w:sz w:val="20"/>
        </w:rPr>
        <w:t>to</w:t>
      </w:r>
      <w:r>
        <w:rPr>
          <w:spacing w:val="27"/>
          <w:sz w:val="20"/>
        </w:rPr>
        <w:t> </w:t>
      </w:r>
      <w:r>
        <w:rPr>
          <w:sz w:val="20"/>
        </w:rPr>
        <w:t>sell</w:t>
      </w:r>
      <w:r>
        <w:rPr>
          <w:spacing w:val="25"/>
          <w:sz w:val="20"/>
        </w:rPr>
        <w:t> </w:t>
      </w:r>
      <w:r>
        <w:rPr>
          <w:sz w:val="20"/>
        </w:rPr>
        <w:t>car</w:t>
      </w:r>
      <w:r>
        <w:rPr>
          <w:spacing w:val="24"/>
          <w:sz w:val="20"/>
        </w:rPr>
        <w:t> </w:t>
      </w:r>
      <w:r>
        <w:rPr>
          <w:sz w:val="20"/>
        </w:rPr>
        <w:t>fuel</w:t>
      </w:r>
      <w:r>
        <w:rPr>
          <w:spacing w:val="25"/>
          <w:sz w:val="20"/>
        </w:rPr>
        <w:t> </w:t>
      </w:r>
      <w:r>
        <w:rPr>
          <w:sz w:val="20"/>
        </w:rPr>
        <w:t>and</w:t>
      </w:r>
      <w:r>
        <w:rPr>
          <w:spacing w:val="25"/>
          <w:sz w:val="20"/>
        </w:rPr>
        <w:t> </w:t>
      </w:r>
      <w:r>
        <w:rPr>
          <w:sz w:val="20"/>
        </w:rPr>
        <w:t>is</w:t>
      </w:r>
      <w:r>
        <w:rPr>
          <w:spacing w:val="26"/>
          <w:sz w:val="20"/>
        </w:rPr>
        <w:t> </w:t>
      </w:r>
      <w:r>
        <w:rPr>
          <w:sz w:val="20"/>
        </w:rPr>
        <w:t>also</w:t>
      </w:r>
      <w:r>
        <w:rPr>
          <w:spacing w:val="23"/>
          <w:sz w:val="20"/>
        </w:rPr>
        <w:t> </w:t>
      </w:r>
      <w:r>
        <w:rPr>
          <w:sz w:val="20"/>
        </w:rPr>
        <w:t>common</w:t>
      </w:r>
      <w:r>
        <w:rPr>
          <w:spacing w:val="23"/>
          <w:sz w:val="20"/>
        </w:rPr>
        <w:t> </w:t>
      </w:r>
      <w:r>
        <w:rPr>
          <w:sz w:val="20"/>
        </w:rPr>
        <w:t>where</w:t>
      </w:r>
      <w:r>
        <w:rPr>
          <w:spacing w:val="26"/>
          <w:sz w:val="20"/>
        </w:rPr>
        <w:t> </w:t>
      </w:r>
      <w:r>
        <w:rPr>
          <w:sz w:val="20"/>
        </w:rPr>
        <w:t>a</w:t>
      </w:r>
      <w:r>
        <w:rPr>
          <w:spacing w:val="25"/>
          <w:sz w:val="20"/>
        </w:rPr>
        <w:t> </w:t>
      </w:r>
      <w:r>
        <w:rPr>
          <w:sz w:val="20"/>
        </w:rPr>
        <w:t>cooperative</w:t>
      </w:r>
      <w:r>
        <w:rPr>
          <w:spacing w:val="23"/>
          <w:sz w:val="20"/>
        </w:rPr>
        <w:t> </w:t>
      </w:r>
      <w:r>
        <w:rPr>
          <w:sz w:val="20"/>
        </w:rPr>
        <w:t>of</w:t>
      </w:r>
      <w:r>
        <w:rPr>
          <w:spacing w:val="24"/>
          <w:sz w:val="20"/>
        </w:rPr>
        <w:t> </w:t>
      </w:r>
      <w:r>
        <w:rPr>
          <w:sz w:val="20"/>
        </w:rPr>
        <w:t>franchisee</w:t>
      </w:r>
    </w:p>
    <w:p>
      <w:pPr>
        <w:pStyle w:val="BodyText"/>
        <w:spacing w:before="9"/>
        <w:rPr>
          <w:sz w:val="23"/>
        </w:rPr>
      </w:pPr>
      <w:r>
        <w:rPr/>
        <w:pict>
          <v:rect style="position:absolute;margin-left:65.183998pt;margin-top:15.662167pt;width:144.020004pt;height:.60004pt;mso-position-horizontal-relative:page;mso-position-vertical-relative:paragraph;z-index:-1569075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33" w:val="left" w:leader="none"/>
        </w:tabs>
        <w:spacing w:line="278" w:lineRule="auto" w:before="94" w:after="0"/>
        <w:ind w:left="723" w:right="482" w:firstLine="0"/>
        <w:jc w:val="both"/>
        <w:rPr>
          <w:sz w:val="18"/>
        </w:rPr>
      </w:pPr>
      <w:r>
        <w:rPr>
          <w:sz w:val="18"/>
        </w:rPr>
        <w:t>The income can also include rent (where the site of the franchise operation is leased to the franchisee). However, an exclusion from scope from Amount A is being considered for commercial real estate. If agreed, the interaction between that exclusion and franchising fees may require further</w:t>
      </w:r>
      <w:r>
        <w:rPr>
          <w:spacing w:val="-11"/>
          <w:sz w:val="18"/>
        </w:rPr>
        <w:t> </w:t>
      </w:r>
      <w:r>
        <w:rPr>
          <w:sz w:val="18"/>
        </w:rPr>
        <w:t>clarification.</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0"/>
        <w:jc w:val="both"/>
      </w:pPr>
      <w:r>
        <w:rPr/>
        <w:t>retailers</w:t>
      </w:r>
      <w:r>
        <w:rPr>
          <w:spacing w:val="-10"/>
        </w:rPr>
        <w:t> </w:t>
      </w:r>
      <w:r>
        <w:rPr/>
        <w:t>form</w:t>
      </w:r>
      <w:r>
        <w:rPr>
          <w:spacing w:val="-9"/>
        </w:rPr>
        <w:t> </w:t>
      </w:r>
      <w:r>
        <w:rPr/>
        <w:t>a</w:t>
      </w:r>
      <w:r>
        <w:rPr>
          <w:spacing w:val="-12"/>
        </w:rPr>
        <w:t> </w:t>
      </w:r>
      <w:r>
        <w:rPr/>
        <w:t>wholesaling</w:t>
      </w:r>
      <w:r>
        <w:rPr>
          <w:spacing w:val="-11"/>
        </w:rPr>
        <w:t> </w:t>
      </w:r>
      <w:r>
        <w:rPr/>
        <w:t>company</w:t>
      </w:r>
      <w:r>
        <w:rPr>
          <w:spacing w:val="-16"/>
        </w:rPr>
        <w:t> </w:t>
      </w:r>
      <w:r>
        <w:rPr/>
        <w:t>through</w:t>
      </w:r>
      <w:r>
        <w:rPr>
          <w:spacing w:val="-10"/>
        </w:rPr>
        <w:t> </w:t>
      </w:r>
      <w:r>
        <w:rPr/>
        <w:t>which</w:t>
      </w:r>
      <w:r>
        <w:rPr>
          <w:spacing w:val="-12"/>
        </w:rPr>
        <w:t> </w:t>
      </w:r>
      <w:r>
        <w:rPr/>
        <w:t>they</w:t>
      </w:r>
      <w:r>
        <w:rPr>
          <w:spacing w:val="-16"/>
        </w:rPr>
        <w:t> </w:t>
      </w:r>
      <w:r>
        <w:rPr/>
        <w:t>are</w:t>
      </w:r>
      <w:r>
        <w:rPr>
          <w:spacing w:val="-10"/>
        </w:rPr>
        <w:t> </w:t>
      </w:r>
      <w:r>
        <w:rPr/>
        <w:t>contractually</w:t>
      </w:r>
      <w:r>
        <w:rPr>
          <w:spacing w:val="-12"/>
        </w:rPr>
        <w:t> </w:t>
      </w:r>
      <w:r>
        <w:rPr/>
        <w:t>obliged</w:t>
      </w:r>
      <w:r>
        <w:rPr>
          <w:spacing w:val="-11"/>
        </w:rPr>
        <w:t> </w:t>
      </w:r>
      <w:r>
        <w:rPr/>
        <w:t>to</w:t>
      </w:r>
      <w:r>
        <w:rPr>
          <w:spacing w:val="-13"/>
        </w:rPr>
        <w:t> </w:t>
      </w:r>
      <w:r>
        <w:rPr/>
        <w:t>purchase</w:t>
      </w:r>
      <w:r>
        <w:rPr>
          <w:spacing w:val="-13"/>
        </w:rPr>
        <w:t> </w:t>
      </w:r>
      <w:r>
        <w:rPr/>
        <w:t>(for example, hardware and automotive product stores). The franchisor may charge an initial fee for becoming a franchisee (in a cooperative model, this may be a subscription for shares or membership interests) and may also charge on-going fees (often calculated as a percentage of sales) and contributions to advertising. Separately, the franchisee will purchase stock from the franchisor and may be required to place minimum orders. The franchisor may provide recommended retail prices to the</w:t>
      </w:r>
      <w:r>
        <w:rPr>
          <w:spacing w:val="-5"/>
        </w:rPr>
        <w:t> </w:t>
      </w:r>
      <w:r>
        <w:rPr/>
        <w:t>franchisee.</w:t>
      </w:r>
    </w:p>
    <w:p>
      <w:pPr>
        <w:pStyle w:val="ListParagraph"/>
        <w:numPr>
          <w:ilvl w:val="1"/>
          <w:numId w:val="5"/>
        </w:numPr>
        <w:tabs>
          <w:tab w:pos="1403" w:val="left" w:leader="none"/>
        </w:tabs>
        <w:spacing w:line="271" w:lineRule="auto" w:before="47" w:after="0"/>
        <w:ind w:left="1402" w:right="481" w:hanging="339"/>
        <w:jc w:val="both"/>
        <w:rPr>
          <w:sz w:val="20"/>
        </w:rPr>
      </w:pPr>
      <w:r>
        <w:rPr>
          <w:sz w:val="20"/>
        </w:rPr>
        <w:t>Manufacturer-wholesaler franchising, where the franchisor manufactures an intermediary product that the franchisee assembles into the end product and distributes to customers.</w:t>
      </w:r>
      <w:r>
        <w:rPr>
          <w:position w:val="6"/>
          <w:sz w:val="13"/>
        </w:rPr>
        <w:t>22 </w:t>
      </w:r>
      <w:r>
        <w:rPr>
          <w:sz w:val="20"/>
        </w:rPr>
        <w:t>For example, many soft drinks businesses use manufacturer-wholesaler franchising, where franchisee bottlers mix, package and distribute the beverage. The franchisee will be required to assemble the end product in compliance with the franchisor’s prescriptive procedures and often will acquire equipment from the franchisor to facilitate assembly. Depending on the legal agreement, the franchisee may contract exclusively with the franchisor. The franchisor will manage the overall brand strategy and often will manage key global customer relationships. In some cases, the franchisee might pay the franchisor a franchise fee but in other cases the price paid by the franchisees for the intermediary product can be determined by reference to a number of factors, including, but not limited to, the franchisee’s revenue and pricing. Under the latter type of arrangement, different franchisees pay different per unit prices for the manufactured product and the franchisor’s return will fluctuate depending on the franchisee’s</w:t>
      </w:r>
      <w:r>
        <w:rPr>
          <w:spacing w:val="-11"/>
          <w:sz w:val="20"/>
        </w:rPr>
        <w:t> </w:t>
      </w:r>
      <w:r>
        <w:rPr>
          <w:sz w:val="20"/>
        </w:rPr>
        <w:t>revenue.</w:t>
      </w:r>
    </w:p>
    <w:p>
      <w:pPr>
        <w:pStyle w:val="ListParagraph"/>
        <w:numPr>
          <w:ilvl w:val="0"/>
          <w:numId w:val="4"/>
        </w:numPr>
        <w:tabs>
          <w:tab w:pos="1444" w:val="left" w:leader="none"/>
        </w:tabs>
        <w:spacing w:line="271" w:lineRule="auto" w:before="125" w:after="0"/>
        <w:ind w:left="723" w:right="482" w:firstLine="0"/>
        <w:jc w:val="both"/>
        <w:rPr>
          <w:sz w:val="20"/>
        </w:rPr>
      </w:pPr>
      <w:r>
        <w:rPr>
          <w:sz w:val="20"/>
        </w:rPr>
        <w:t>Similar to business model franchising, under each of the product distribution franchising </w:t>
      </w:r>
      <w:r>
        <w:rPr>
          <w:spacing w:val="2"/>
          <w:sz w:val="20"/>
        </w:rPr>
        <w:t>sub-</w:t>
      </w:r>
      <w:r>
        <w:rPr>
          <w:spacing w:val="59"/>
          <w:sz w:val="20"/>
        </w:rPr>
        <w:t> </w:t>
      </w:r>
      <w:r>
        <w:rPr>
          <w:sz w:val="20"/>
        </w:rPr>
        <w:t>categories</w:t>
      </w:r>
      <w:r>
        <w:rPr>
          <w:spacing w:val="-9"/>
          <w:sz w:val="20"/>
        </w:rPr>
        <w:t> </w:t>
      </w:r>
      <w:r>
        <w:rPr>
          <w:sz w:val="20"/>
        </w:rPr>
        <w:t>the</w:t>
      </w:r>
      <w:r>
        <w:rPr>
          <w:spacing w:val="-9"/>
          <w:sz w:val="20"/>
        </w:rPr>
        <w:t> </w:t>
      </w:r>
      <w:r>
        <w:rPr>
          <w:sz w:val="20"/>
        </w:rPr>
        <w:t>franchisor</w:t>
      </w:r>
      <w:r>
        <w:rPr>
          <w:spacing w:val="-8"/>
          <w:sz w:val="20"/>
        </w:rPr>
        <w:t> </w:t>
      </w:r>
      <w:r>
        <w:rPr>
          <w:sz w:val="20"/>
        </w:rPr>
        <w:t>exercises</w:t>
      </w:r>
      <w:r>
        <w:rPr>
          <w:spacing w:val="-8"/>
          <w:sz w:val="20"/>
        </w:rPr>
        <w:t> </w:t>
      </w:r>
      <w:r>
        <w:rPr>
          <w:sz w:val="20"/>
        </w:rPr>
        <w:t>a</w:t>
      </w:r>
      <w:r>
        <w:rPr>
          <w:spacing w:val="-9"/>
          <w:sz w:val="20"/>
        </w:rPr>
        <w:t> </w:t>
      </w:r>
      <w:r>
        <w:rPr>
          <w:sz w:val="20"/>
        </w:rPr>
        <w:t>relatively</w:t>
      </w:r>
      <w:r>
        <w:rPr>
          <w:spacing w:val="-11"/>
          <w:sz w:val="20"/>
        </w:rPr>
        <w:t> </w:t>
      </w:r>
      <w:r>
        <w:rPr>
          <w:sz w:val="20"/>
        </w:rPr>
        <w:t>high</w:t>
      </w:r>
      <w:r>
        <w:rPr>
          <w:spacing w:val="-8"/>
          <w:sz w:val="20"/>
        </w:rPr>
        <w:t> </w:t>
      </w:r>
      <w:r>
        <w:rPr>
          <w:sz w:val="20"/>
        </w:rPr>
        <w:t>level</w:t>
      </w:r>
      <w:r>
        <w:rPr>
          <w:spacing w:val="-10"/>
          <w:sz w:val="20"/>
        </w:rPr>
        <w:t> </w:t>
      </w:r>
      <w:r>
        <w:rPr>
          <w:sz w:val="20"/>
        </w:rPr>
        <w:t>of</w:t>
      </w:r>
      <w:r>
        <w:rPr>
          <w:spacing w:val="-7"/>
          <w:sz w:val="20"/>
        </w:rPr>
        <w:t> </w:t>
      </w:r>
      <w:r>
        <w:rPr>
          <w:sz w:val="20"/>
        </w:rPr>
        <w:t>authority</w:t>
      </w:r>
      <w:r>
        <w:rPr>
          <w:spacing w:val="-10"/>
          <w:sz w:val="20"/>
        </w:rPr>
        <w:t> </w:t>
      </w:r>
      <w:r>
        <w:rPr>
          <w:sz w:val="20"/>
        </w:rPr>
        <w:t>over</w:t>
      </w:r>
      <w:r>
        <w:rPr>
          <w:spacing w:val="-1"/>
          <w:sz w:val="20"/>
        </w:rPr>
        <w:t> </w:t>
      </w:r>
      <w:r>
        <w:rPr>
          <w:sz w:val="20"/>
        </w:rPr>
        <w:t>the</w:t>
      </w:r>
      <w:r>
        <w:rPr>
          <w:spacing w:val="-9"/>
          <w:sz w:val="20"/>
        </w:rPr>
        <w:t> </w:t>
      </w:r>
      <w:r>
        <w:rPr>
          <w:sz w:val="20"/>
        </w:rPr>
        <w:t>franchisee</w:t>
      </w:r>
      <w:r>
        <w:rPr>
          <w:spacing w:val="-7"/>
          <w:sz w:val="20"/>
        </w:rPr>
        <w:t> </w:t>
      </w:r>
      <w:r>
        <w:rPr>
          <w:sz w:val="20"/>
        </w:rPr>
        <w:t>in</w:t>
      </w:r>
      <w:r>
        <w:rPr>
          <w:spacing w:val="-7"/>
          <w:sz w:val="20"/>
        </w:rPr>
        <w:t> </w:t>
      </w:r>
      <w:r>
        <w:rPr>
          <w:sz w:val="20"/>
        </w:rPr>
        <w:t>respect</w:t>
      </w:r>
      <w:r>
        <w:rPr>
          <w:spacing w:val="-9"/>
          <w:sz w:val="20"/>
        </w:rPr>
        <w:t> </w:t>
      </w:r>
      <w:r>
        <w:rPr>
          <w:sz w:val="20"/>
        </w:rPr>
        <w:t>of</w:t>
      </w:r>
      <w:r>
        <w:rPr>
          <w:spacing w:val="-5"/>
          <w:sz w:val="20"/>
        </w:rPr>
        <w:t> </w:t>
      </w:r>
      <w:r>
        <w:rPr>
          <w:sz w:val="20"/>
        </w:rPr>
        <w:t>how the franchisee deals with the franchisor’s product. In addition, the franchisee generally has on-going access</w:t>
      </w:r>
      <w:r>
        <w:rPr>
          <w:spacing w:val="-16"/>
          <w:sz w:val="20"/>
        </w:rPr>
        <w:t> </w:t>
      </w:r>
      <w:r>
        <w:rPr>
          <w:sz w:val="20"/>
        </w:rPr>
        <w:t>to</w:t>
      </w:r>
      <w:r>
        <w:rPr>
          <w:spacing w:val="-16"/>
          <w:sz w:val="20"/>
        </w:rPr>
        <w:t> </w:t>
      </w:r>
      <w:r>
        <w:rPr>
          <w:sz w:val="20"/>
        </w:rPr>
        <w:t>specified</w:t>
      </w:r>
      <w:r>
        <w:rPr>
          <w:spacing w:val="-14"/>
          <w:sz w:val="20"/>
        </w:rPr>
        <w:t> </w:t>
      </w:r>
      <w:r>
        <w:rPr>
          <w:sz w:val="20"/>
        </w:rPr>
        <w:t>intangibles</w:t>
      </w:r>
      <w:r>
        <w:rPr>
          <w:spacing w:val="-14"/>
          <w:sz w:val="20"/>
        </w:rPr>
        <w:t> </w:t>
      </w:r>
      <w:r>
        <w:rPr>
          <w:sz w:val="20"/>
        </w:rPr>
        <w:t>owned</w:t>
      </w:r>
      <w:r>
        <w:rPr>
          <w:spacing w:val="-14"/>
          <w:sz w:val="20"/>
        </w:rPr>
        <w:t> </w:t>
      </w:r>
      <w:r>
        <w:rPr>
          <w:sz w:val="20"/>
        </w:rPr>
        <w:t>by</w:t>
      </w:r>
      <w:r>
        <w:rPr>
          <w:spacing w:val="-17"/>
          <w:sz w:val="20"/>
        </w:rPr>
        <w:t> </w:t>
      </w:r>
      <w:r>
        <w:rPr>
          <w:sz w:val="20"/>
        </w:rPr>
        <w:t>the</w:t>
      </w:r>
      <w:r>
        <w:rPr>
          <w:spacing w:val="-15"/>
          <w:sz w:val="20"/>
        </w:rPr>
        <w:t> </w:t>
      </w:r>
      <w:r>
        <w:rPr>
          <w:sz w:val="20"/>
        </w:rPr>
        <w:t>franchisor</w:t>
      </w:r>
      <w:r>
        <w:rPr>
          <w:spacing w:val="-13"/>
          <w:sz w:val="20"/>
        </w:rPr>
        <w:t> </w:t>
      </w:r>
      <w:r>
        <w:rPr>
          <w:sz w:val="20"/>
        </w:rPr>
        <w:t>(knowhow,</w:t>
      </w:r>
      <w:r>
        <w:rPr>
          <w:spacing w:val="-14"/>
          <w:sz w:val="20"/>
        </w:rPr>
        <w:t> </w:t>
      </w:r>
      <w:r>
        <w:rPr>
          <w:sz w:val="20"/>
        </w:rPr>
        <w:t>trademarks,</w:t>
      </w:r>
      <w:r>
        <w:rPr>
          <w:spacing w:val="-17"/>
          <w:sz w:val="20"/>
        </w:rPr>
        <w:t> </w:t>
      </w:r>
      <w:r>
        <w:rPr>
          <w:sz w:val="20"/>
        </w:rPr>
        <w:t>etc.)</w:t>
      </w:r>
      <w:r>
        <w:rPr>
          <w:spacing w:val="-15"/>
          <w:sz w:val="20"/>
        </w:rPr>
        <w:t> </w:t>
      </w:r>
      <w:r>
        <w:rPr>
          <w:sz w:val="20"/>
        </w:rPr>
        <w:t>and</w:t>
      </w:r>
      <w:r>
        <w:rPr>
          <w:spacing w:val="-14"/>
          <w:sz w:val="20"/>
        </w:rPr>
        <w:t> </w:t>
      </w:r>
      <w:r>
        <w:rPr>
          <w:sz w:val="20"/>
        </w:rPr>
        <w:t>can</w:t>
      </w:r>
      <w:r>
        <w:rPr>
          <w:spacing w:val="-15"/>
          <w:sz w:val="20"/>
        </w:rPr>
        <w:t> </w:t>
      </w:r>
      <w:r>
        <w:rPr>
          <w:sz w:val="20"/>
        </w:rPr>
        <w:t>obtain</w:t>
      </w:r>
      <w:r>
        <w:rPr>
          <w:spacing w:val="-14"/>
          <w:sz w:val="20"/>
        </w:rPr>
        <w:t> </w:t>
      </w:r>
      <w:r>
        <w:rPr>
          <w:sz w:val="20"/>
        </w:rPr>
        <w:t>advice and assistance from the franchisor (whether on a paid basis or otherwise), for which the franchisor earns a return. Similar to the business model franchise, the product distribution franchising provides a platform for the franchisor to engage with the consumer. As is the case for business format franchising, provided the franchised rights are connected to a good or service commonly sold to consumers (such as cars and beverages), the franchisor is in scope as the owner of the brand being monetised (via the intangible property made available to the franchisee). The franchisee may also be in scope if it sells directly to consumers, goods or services that are of a type commonly sold to</w:t>
      </w:r>
      <w:r>
        <w:rPr>
          <w:spacing w:val="-17"/>
          <w:sz w:val="20"/>
        </w:rPr>
        <w:t> </w:t>
      </w:r>
      <w:r>
        <w:rPr>
          <w:sz w:val="20"/>
        </w:rPr>
        <w:t>consumers.</w:t>
      </w:r>
    </w:p>
    <w:p>
      <w:pPr>
        <w:pStyle w:val="ListParagraph"/>
        <w:numPr>
          <w:ilvl w:val="0"/>
          <w:numId w:val="4"/>
        </w:numPr>
        <w:tabs>
          <w:tab w:pos="1444" w:val="left" w:leader="none"/>
        </w:tabs>
        <w:spacing w:line="268" w:lineRule="auto" w:before="122" w:after="0"/>
        <w:ind w:left="723" w:right="483" w:firstLine="0"/>
        <w:jc w:val="both"/>
        <w:rPr>
          <w:sz w:val="20"/>
        </w:rPr>
      </w:pPr>
      <w:r>
        <w:rPr>
          <w:sz w:val="20"/>
        </w:rPr>
        <w:t>Further work is underway more generally with respect to how Amount A applies to franchising, such as how to apply the nexus test, what revenues should be regarded as in scope, interaction with withholding taxes, and so</w:t>
      </w:r>
      <w:r>
        <w:rPr>
          <w:spacing w:val="-6"/>
          <w:sz w:val="20"/>
        </w:rPr>
        <w:t> </w:t>
      </w:r>
      <w:r>
        <w:rPr>
          <w:sz w:val="20"/>
        </w:rPr>
        <w:t>forth.</w:t>
      </w:r>
      <w:r>
        <w:rPr>
          <w:sz w:val="20"/>
          <w:vertAlign w:val="superscript"/>
        </w:rPr>
        <w:t>23</w:t>
      </w:r>
    </w:p>
    <w:p>
      <w:pPr>
        <w:pStyle w:val="BodyText"/>
      </w:pPr>
    </w:p>
    <w:p>
      <w:pPr>
        <w:pStyle w:val="BodyText"/>
      </w:pPr>
    </w:p>
    <w:p>
      <w:pPr>
        <w:pStyle w:val="BodyText"/>
      </w:pPr>
    </w:p>
    <w:p>
      <w:pPr>
        <w:pStyle w:val="BodyText"/>
      </w:pPr>
    </w:p>
    <w:p>
      <w:pPr>
        <w:pStyle w:val="BodyText"/>
        <w:spacing w:before="3"/>
        <w:rPr>
          <w:sz w:val="17"/>
        </w:rPr>
      </w:pPr>
      <w:r>
        <w:rPr/>
        <w:pict>
          <v:rect style="position:absolute;margin-left:65.183998pt;margin-top:11.906777pt;width:144.020004pt;height:.60004pt;mso-position-horizontal-relative:page;mso-position-vertical-relative:paragraph;z-index:-1569024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23" w:val="left" w:leader="none"/>
        </w:tabs>
        <w:spacing w:line="278" w:lineRule="auto" w:before="94" w:after="0"/>
        <w:ind w:left="723" w:right="482" w:firstLine="0"/>
        <w:jc w:val="both"/>
        <w:rPr>
          <w:sz w:val="18"/>
        </w:rPr>
      </w:pPr>
      <w:r>
        <w:rPr>
          <w:sz w:val="18"/>
        </w:rPr>
        <w:t>This</w:t>
      </w:r>
      <w:r>
        <w:rPr>
          <w:spacing w:val="-6"/>
          <w:sz w:val="18"/>
        </w:rPr>
        <w:t> </w:t>
      </w:r>
      <w:r>
        <w:rPr>
          <w:sz w:val="18"/>
        </w:rPr>
        <w:t>is</w:t>
      </w:r>
      <w:r>
        <w:rPr>
          <w:spacing w:val="-7"/>
          <w:sz w:val="18"/>
        </w:rPr>
        <w:t> </w:t>
      </w:r>
      <w:r>
        <w:rPr>
          <w:sz w:val="18"/>
        </w:rPr>
        <w:t>separate</w:t>
      </w:r>
      <w:r>
        <w:rPr>
          <w:spacing w:val="-6"/>
          <w:sz w:val="18"/>
        </w:rPr>
        <w:t> </w:t>
      </w:r>
      <w:r>
        <w:rPr>
          <w:sz w:val="18"/>
        </w:rPr>
        <w:t>from</w:t>
      </w:r>
      <w:r>
        <w:rPr>
          <w:spacing w:val="-6"/>
          <w:sz w:val="18"/>
        </w:rPr>
        <w:t> </w:t>
      </w:r>
      <w:r>
        <w:rPr>
          <w:sz w:val="18"/>
        </w:rPr>
        <w:t>the</w:t>
      </w:r>
      <w:r>
        <w:rPr>
          <w:spacing w:val="-8"/>
          <w:sz w:val="18"/>
        </w:rPr>
        <w:t> </w:t>
      </w:r>
      <w:r>
        <w:rPr>
          <w:sz w:val="18"/>
        </w:rPr>
        <w:t>notion</w:t>
      </w:r>
      <w:r>
        <w:rPr>
          <w:spacing w:val="-6"/>
          <w:sz w:val="18"/>
        </w:rPr>
        <w:t> </w:t>
      </w:r>
      <w:r>
        <w:rPr>
          <w:sz w:val="18"/>
        </w:rPr>
        <w:t>of</w:t>
      </w:r>
      <w:r>
        <w:rPr>
          <w:spacing w:val="-6"/>
          <w:sz w:val="18"/>
        </w:rPr>
        <w:t> </w:t>
      </w:r>
      <w:r>
        <w:rPr>
          <w:sz w:val="18"/>
        </w:rPr>
        <w:t>an</w:t>
      </w:r>
      <w:r>
        <w:rPr>
          <w:spacing w:val="-8"/>
          <w:sz w:val="18"/>
        </w:rPr>
        <w:t> </w:t>
      </w:r>
      <w:r>
        <w:rPr>
          <w:sz w:val="18"/>
        </w:rPr>
        <w:t>intermediary</w:t>
      </w:r>
      <w:r>
        <w:rPr>
          <w:spacing w:val="-8"/>
          <w:sz w:val="18"/>
        </w:rPr>
        <w:t> </w:t>
      </w:r>
      <w:r>
        <w:rPr>
          <w:sz w:val="18"/>
        </w:rPr>
        <w:t>product</w:t>
      </w:r>
      <w:r>
        <w:rPr>
          <w:spacing w:val="-6"/>
          <w:sz w:val="18"/>
        </w:rPr>
        <w:t> </w:t>
      </w:r>
      <w:r>
        <w:rPr>
          <w:sz w:val="18"/>
        </w:rPr>
        <w:t>/</w:t>
      </w:r>
      <w:r>
        <w:rPr>
          <w:spacing w:val="-9"/>
          <w:sz w:val="18"/>
        </w:rPr>
        <w:t> </w:t>
      </w:r>
      <w:r>
        <w:rPr>
          <w:sz w:val="18"/>
        </w:rPr>
        <w:t>component</w:t>
      </w:r>
      <w:r>
        <w:rPr>
          <w:spacing w:val="-8"/>
          <w:sz w:val="18"/>
        </w:rPr>
        <w:t> </w:t>
      </w:r>
      <w:r>
        <w:rPr>
          <w:sz w:val="18"/>
        </w:rPr>
        <w:t>sold</w:t>
      </w:r>
      <w:r>
        <w:rPr>
          <w:spacing w:val="-6"/>
          <w:sz w:val="18"/>
        </w:rPr>
        <w:t> </w:t>
      </w:r>
      <w:r>
        <w:rPr>
          <w:sz w:val="18"/>
        </w:rPr>
        <w:t>B2B,</w:t>
      </w:r>
      <w:r>
        <w:rPr>
          <w:spacing w:val="-8"/>
          <w:sz w:val="18"/>
        </w:rPr>
        <w:t> </w:t>
      </w:r>
      <w:r>
        <w:rPr>
          <w:sz w:val="18"/>
        </w:rPr>
        <w:t>as</w:t>
      </w:r>
      <w:r>
        <w:rPr>
          <w:spacing w:val="-8"/>
          <w:sz w:val="18"/>
        </w:rPr>
        <w:t> </w:t>
      </w:r>
      <w:r>
        <w:rPr>
          <w:sz w:val="18"/>
        </w:rPr>
        <w:t>discussed</w:t>
      </w:r>
      <w:r>
        <w:rPr>
          <w:spacing w:val="-5"/>
          <w:sz w:val="18"/>
        </w:rPr>
        <w:t> </w:t>
      </w:r>
      <w:r>
        <w:rPr>
          <w:sz w:val="18"/>
        </w:rPr>
        <w:t>below.</w:t>
      </w:r>
      <w:r>
        <w:rPr>
          <w:spacing w:val="-7"/>
          <w:sz w:val="18"/>
        </w:rPr>
        <w:t> </w:t>
      </w:r>
      <w:r>
        <w:rPr>
          <w:sz w:val="18"/>
        </w:rPr>
        <w:t>In</w:t>
      </w:r>
      <w:r>
        <w:rPr>
          <w:spacing w:val="-5"/>
          <w:sz w:val="18"/>
        </w:rPr>
        <w:t> </w:t>
      </w:r>
      <w:r>
        <w:rPr>
          <w:sz w:val="18"/>
        </w:rPr>
        <w:t>a</w:t>
      </w:r>
      <w:r>
        <w:rPr>
          <w:spacing w:val="-9"/>
          <w:sz w:val="18"/>
        </w:rPr>
        <w:t> </w:t>
      </w:r>
      <w:r>
        <w:rPr>
          <w:sz w:val="18"/>
        </w:rPr>
        <w:t>product distribution</w:t>
      </w:r>
      <w:r>
        <w:rPr>
          <w:spacing w:val="-17"/>
          <w:sz w:val="18"/>
        </w:rPr>
        <w:t> </w:t>
      </w:r>
      <w:r>
        <w:rPr>
          <w:sz w:val="18"/>
        </w:rPr>
        <w:t>franchising</w:t>
      </w:r>
      <w:r>
        <w:rPr>
          <w:spacing w:val="-16"/>
          <w:sz w:val="18"/>
        </w:rPr>
        <w:t> </w:t>
      </w:r>
      <w:r>
        <w:rPr>
          <w:sz w:val="18"/>
        </w:rPr>
        <w:t>arrangement,</w:t>
      </w:r>
      <w:r>
        <w:rPr>
          <w:spacing w:val="-16"/>
          <w:sz w:val="18"/>
        </w:rPr>
        <w:t> </w:t>
      </w:r>
      <w:r>
        <w:rPr>
          <w:sz w:val="18"/>
        </w:rPr>
        <w:t>the</w:t>
      </w:r>
      <w:r>
        <w:rPr>
          <w:spacing w:val="-14"/>
          <w:sz w:val="18"/>
        </w:rPr>
        <w:t> </w:t>
      </w:r>
      <w:r>
        <w:rPr>
          <w:sz w:val="18"/>
        </w:rPr>
        <w:t>company</w:t>
      </w:r>
      <w:r>
        <w:rPr>
          <w:spacing w:val="-15"/>
          <w:sz w:val="18"/>
        </w:rPr>
        <w:t> </w:t>
      </w:r>
      <w:r>
        <w:rPr>
          <w:sz w:val="18"/>
        </w:rPr>
        <w:t>that</w:t>
      </w:r>
      <w:r>
        <w:rPr>
          <w:spacing w:val="-17"/>
          <w:sz w:val="18"/>
        </w:rPr>
        <w:t> </w:t>
      </w:r>
      <w:r>
        <w:rPr>
          <w:sz w:val="18"/>
        </w:rPr>
        <w:t>sells</w:t>
      </w:r>
      <w:r>
        <w:rPr>
          <w:spacing w:val="-15"/>
          <w:sz w:val="18"/>
        </w:rPr>
        <w:t> </w:t>
      </w:r>
      <w:r>
        <w:rPr>
          <w:sz w:val="18"/>
        </w:rPr>
        <w:t>the</w:t>
      </w:r>
      <w:r>
        <w:rPr>
          <w:spacing w:val="-14"/>
          <w:sz w:val="18"/>
        </w:rPr>
        <w:t> </w:t>
      </w:r>
      <w:r>
        <w:rPr>
          <w:sz w:val="18"/>
        </w:rPr>
        <w:t>intermediate</w:t>
      </w:r>
      <w:r>
        <w:rPr>
          <w:spacing w:val="-16"/>
          <w:sz w:val="18"/>
        </w:rPr>
        <w:t> </w:t>
      </w:r>
      <w:r>
        <w:rPr>
          <w:sz w:val="18"/>
        </w:rPr>
        <w:t>product</w:t>
      </w:r>
      <w:r>
        <w:rPr>
          <w:spacing w:val="-16"/>
          <w:sz w:val="18"/>
        </w:rPr>
        <w:t> </w:t>
      </w:r>
      <w:r>
        <w:rPr>
          <w:sz w:val="18"/>
        </w:rPr>
        <w:t>has</w:t>
      </w:r>
      <w:r>
        <w:rPr>
          <w:spacing w:val="-14"/>
          <w:sz w:val="18"/>
        </w:rPr>
        <w:t> </w:t>
      </w:r>
      <w:r>
        <w:rPr>
          <w:sz w:val="18"/>
        </w:rPr>
        <w:t>a</w:t>
      </w:r>
      <w:r>
        <w:rPr>
          <w:spacing w:val="-16"/>
          <w:sz w:val="18"/>
        </w:rPr>
        <w:t> </w:t>
      </w:r>
      <w:r>
        <w:rPr>
          <w:sz w:val="18"/>
        </w:rPr>
        <w:t>significant</w:t>
      </w:r>
      <w:r>
        <w:rPr>
          <w:spacing w:val="-14"/>
          <w:sz w:val="18"/>
        </w:rPr>
        <w:t> </w:t>
      </w:r>
      <w:r>
        <w:rPr>
          <w:sz w:val="18"/>
        </w:rPr>
        <w:t>degree</w:t>
      </w:r>
      <w:r>
        <w:rPr>
          <w:spacing w:val="-16"/>
          <w:sz w:val="18"/>
        </w:rPr>
        <w:t> </w:t>
      </w:r>
      <w:r>
        <w:rPr>
          <w:sz w:val="18"/>
        </w:rPr>
        <w:t>of</w:t>
      </w:r>
      <w:r>
        <w:rPr>
          <w:spacing w:val="-16"/>
          <w:sz w:val="18"/>
        </w:rPr>
        <w:t> </w:t>
      </w:r>
      <w:r>
        <w:rPr>
          <w:sz w:val="18"/>
        </w:rPr>
        <w:t>control over</w:t>
      </w:r>
      <w:r>
        <w:rPr>
          <w:spacing w:val="-10"/>
          <w:sz w:val="18"/>
        </w:rPr>
        <w:t> </w:t>
      </w:r>
      <w:r>
        <w:rPr>
          <w:sz w:val="18"/>
        </w:rPr>
        <w:t>the</w:t>
      </w:r>
      <w:r>
        <w:rPr>
          <w:spacing w:val="-11"/>
          <w:sz w:val="18"/>
        </w:rPr>
        <w:t> </w:t>
      </w:r>
      <w:r>
        <w:rPr>
          <w:sz w:val="18"/>
        </w:rPr>
        <w:t>manner</w:t>
      </w:r>
      <w:r>
        <w:rPr>
          <w:spacing w:val="-9"/>
          <w:sz w:val="18"/>
        </w:rPr>
        <w:t> </w:t>
      </w:r>
      <w:r>
        <w:rPr>
          <w:sz w:val="18"/>
        </w:rPr>
        <w:t>in</w:t>
      </w:r>
      <w:r>
        <w:rPr>
          <w:spacing w:val="-9"/>
          <w:sz w:val="18"/>
        </w:rPr>
        <w:t> </w:t>
      </w:r>
      <w:r>
        <w:rPr>
          <w:sz w:val="18"/>
        </w:rPr>
        <w:t>which</w:t>
      </w:r>
      <w:r>
        <w:rPr>
          <w:spacing w:val="-12"/>
          <w:sz w:val="18"/>
        </w:rPr>
        <w:t> </w:t>
      </w:r>
      <w:r>
        <w:rPr>
          <w:sz w:val="18"/>
        </w:rPr>
        <w:t>the</w:t>
      </w:r>
      <w:r>
        <w:rPr>
          <w:spacing w:val="-9"/>
          <w:sz w:val="18"/>
        </w:rPr>
        <w:t> </w:t>
      </w:r>
      <w:r>
        <w:rPr>
          <w:sz w:val="18"/>
        </w:rPr>
        <w:t>franchisee</w:t>
      </w:r>
      <w:r>
        <w:rPr>
          <w:spacing w:val="-8"/>
          <w:sz w:val="18"/>
        </w:rPr>
        <w:t> </w:t>
      </w:r>
      <w:r>
        <w:rPr>
          <w:sz w:val="18"/>
        </w:rPr>
        <w:t>company</w:t>
      </w:r>
      <w:r>
        <w:rPr>
          <w:spacing w:val="-13"/>
          <w:sz w:val="18"/>
        </w:rPr>
        <w:t> </w:t>
      </w:r>
      <w:r>
        <w:rPr>
          <w:sz w:val="18"/>
        </w:rPr>
        <w:t>assembles</w:t>
      </w:r>
      <w:r>
        <w:rPr>
          <w:spacing w:val="-11"/>
          <w:sz w:val="18"/>
        </w:rPr>
        <w:t> </w:t>
      </w:r>
      <w:r>
        <w:rPr>
          <w:sz w:val="18"/>
        </w:rPr>
        <w:t>the</w:t>
      </w:r>
      <w:r>
        <w:rPr>
          <w:spacing w:val="-10"/>
          <w:sz w:val="18"/>
        </w:rPr>
        <w:t> </w:t>
      </w:r>
      <w:r>
        <w:rPr>
          <w:sz w:val="18"/>
        </w:rPr>
        <w:t>finished</w:t>
      </w:r>
      <w:r>
        <w:rPr>
          <w:spacing w:val="-11"/>
          <w:sz w:val="18"/>
        </w:rPr>
        <w:t> </w:t>
      </w:r>
      <w:r>
        <w:rPr>
          <w:sz w:val="18"/>
        </w:rPr>
        <w:t>product</w:t>
      </w:r>
      <w:r>
        <w:rPr>
          <w:spacing w:val="-11"/>
          <w:sz w:val="18"/>
        </w:rPr>
        <w:t> </w:t>
      </w:r>
      <w:r>
        <w:rPr>
          <w:sz w:val="18"/>
        </w:rPr>
        <w:t>to</w:t>
      </w:r>
      <w:r>
        <w:rPr>
          <w:spacing w:val="-11"/>
          <w:sz w:val="18"/>
        </w:rPr>
        <w:t> </w:t>
      </w:r>
      <w:r>
        <w:rPr>
          <w:sz w:val="18"/>
        </w:rPr>
        <w:t>the</w:t>
      </w:r>
      <w:r>
        <w:rPr>
          <w:spacing w:val="-11"/>
          <w:sz w:val="18"/>
        </w:rPr>
        <w:t> </w:t>
      </w:r>
      <w:r>
        <w:rPr>
          <w:sz w:val="18"/>
        </w:rPr>
        <w:t>consumer</w:t>
      </w:r>
      <w:r>
        <w:rPr>
          <w:spacing w:val="-10"/>
          <w:sz w:val="18"/>
        </w:rPr>
        <w:t> </w:t>
      </w:r>
      <w:r>
        <w:rPr>
          <w:sz w:val="18"/>
        </w:rPr>
        <w:t>(and</w:t>
      </w:r>
      <w:r>
        <w:rPr>
          <w:spacing w:val="-11"/>
          <w:sz w:val="18"/>
        </w:rPr>
        <w:t> </w:t>
      </w:r>
      <w:r>
        <w:rPr>
          <w:sz w:val="18"/>
        </w:rPr>
        <w:t>the</w:t>
      </w:r>
      <w:r>
        <w:rPr>
          <w:spacing w:val="-11"/>
          <w:sz w:val="18"/>
        </w:rPr>
        <w:t> </w:t>
      </w:r>
      <w:r>
        <w:rPr>
          <w:sz w:val="18"/>
        </w:rPr>
        <w:t>franchisee can</w:t>
      </w:r>
      <w:r>
        <w:rPr>
          <w:spacing w:val="-11"/>
          <w:sz w:val="18"/>
        </w:rPr>
        <w:t> </w:t>
      </w:r>
      <w:r>
        <w:rPr>
          <w:sz w:val="18"/>
        </w:rPr>
        <w:t>only</w:t>
      </w:r>
      <w:r>
        <w:rPr>
          <w:spacing w:val="-13"/>
          <w:sz w:val="18"/>
        </w:rPr>
        <w:t> </w:t>
      </w:r>
      <w:r>
        <w:rPr>
          <w:sz w:val="18"/>
        </w:rPr>
        <w:t>use</w:t>
      </w:r>
      <w:r>
        <w:rPr>
          <w:spacing w:val="-11"/>
          <w:sz w:val="18"/>
        </w:rPr>
        <w:t> </w:t>
      </w:r>
      <w:r>
        <w:rPr>
          <w:sz w:val="18"/>
        </w:rPr>
        <w:t>that</w:t>
      </w:r>
      <w:r>
        <w:rPr>
          <w:spacing w:val="-11"/>
          <w:sz w:val="18"/>
        </w:rPr>
        <w:t> </w:t>
      </w:r>
      <w:r>
        <w:rPr>
          <w:sz w:val="18"/>
        </w:rPr>
        <w:t>intermediate</w:t>
      </w:r>
      <w:r>
        <w:rPr>
          <w:spacing w:val="-12"/>
          <w:sz w:val="18"/>
        </w:rPr>
        <w:t> </w:t>
      </w:r>
      <w:r>
        <w:rPr>
          <w:sz w:val="18"/>
        </w:rPr>
        <w:t>product</w:t>
      </w:r>
      <w:r>
        <w:rPr>
          <w:spacing w:val="-11"/>
          <w:sz w:val="18"/>
        </w:rPr>
        <w:t> </w:t>
      </w:r>
      <w:r>
        <w:rPr>
          <w:sz w:val="18"/>
        </w:rPr>
        <w:t>to</w:t>
      </w:r>
      <w:r>
        <w:rPr>
          <w:spacing w:val="-11"/>
          <w:sz w:val="18"/>
        </w:rPr>
        <w:t> </w:t>
      </w:r>
      <w:r>
        <w:rPr>
          <w:sz w:val="18"/>
        </w:rPr>
        <w:t>assemble</w:t>
      </w:r>
      <w:r>
        <w:rPr>
          <w:spacing w:val="-11"/>
          <w:sz w:val="18"/>
        </w:rPr>
        <w:t> </w:t>
      </w:r>
      <w:r>
        <w:rPr>
          <w:sz w:val="18"/>
        </w:rPr>
        <w:t>the</w:t>
      </w:r>
      <w:r>
        <w:rPr>
          <w:spacing w:val="-10"/>
          <w:sz w:val="18"/>
        </w:rPr>
        <w:t> </w:t>
      </w:r>
      <w:r>
        <w:rPr>
          <w:sz w:val="18"/>
        </w:rPr>
        <w:t>final</w:t>
      </w:r>
      <w:r>
        <w:rPr>
          <w:spacing w:val="-11"/>
          <w:sz w:val="18"/>
        </w:rPr>
        <w:t> </w:t>
      </w:r>
      <w:r>
        <w:rPr>
          <w:sz w:val="18"/>
        </w:rPr>
        <w:t>product</w:t>
      </w:r>
      <w:r>
        <w:rPr>
          <w:spacing w:val="-11"/>
          <w:sz w:val="18"/>
        </w:rPr>
        <w:t> </w:t>
      </w:r>
      <w:r>
        <w:rPr>
          <w:sz w:val="18"/>
        </w:rPr>
        <w:t>as</w:t>
      </w:r>
      <w:r>
        <w:rPr>
          <w:spacing w:val="-11"/>
          <w:sz w:val="18"/>
        </w:rPr>
        <w:t> </w:t>
      </w:r>
      <w:r>
        <w:rPr>
          <w:sz w:val="18"/>
        </w:rPr>
        <w:t>instructed</w:t>
      </w:r>
      <w:r>
        <w:rPr>
          <w:spacing w:val="-10"/>
          <w:sz w:val="18"/>
        </w:rPr>
        <w:t> </w:t>
      </w:r>
      <w:r>
        <w:rPr>
          <w:sz w:val="18"/>
        </w:rPr>
        <w:t>by</w:t>
      </w:r>
      <w:r>
        <w:rPr>
          <w:spacing w:val="-13"/>
          <w:sz w:val="18"/>
        </w:rPr>
        <w:t> </w:t>
      </w:r>
      <w:r>
        <w:rPr>
          <w:sz w:val="18"/>
        </w:rPr>
        <w:t>the</w:t>
      </w:r>
      <w:r>
        <w:rPr>
          <w:spacing w:val="-11"/>
          <w:sz w:val="18"/>
        </w:rPr>
        <w:t> </w:t>
      </w:r>
      <w:r>
        <w:rPr>
          <w:sz w:val="18"/>
        </w:rPr>
        <w:t>franchisor);</w:t>
      </w:r>
      <w:r>
        <w:rPr>
          <w:spacing w:val="-11"/>
          <w:sz w:val="18"/>
        </w:rPr>
        <w:t> </w:t>
      </w:r>
      <w:r>
        <w:rPr>
          <w:sz w:val="18"/>
        </w:rPr>
        <w:t>and</w:t>
      </w:r>
      <w:r>
        <w:rPr>
          <w:spacing w:val="-10"/>
          <w:sz w:val="18"/>
        </w:rPr>
        <w:t> </w:t>
      </w:r>
      <w:r>
        <w:rPr>
          <w:sz w:val="18"/>
        </w:rPr>
        <w:t>the</w:t>
      </w:r>
      <w:r>
        <w:rPr>
          <w:spacing w:val="-11"/>
          <w:sz w:val="18"/>
        </w:rPr>
        <w:t> </w:t>
      </w:r>
      <w:r>
        <w:rPr>
          <w:sz w:val="18"/>
        </w:rPr>
        <w:t>franchisor derives revenues from the sales of the end product. Whereas in a sale of a component part B2B, the seller of the component has very limited control in how the buyer uses the component for assembly in its own finished products (and</w:t>
      </w:r>
      <w:r>
        <w:rPr>
          <w:spacing w:val="-2"/>
          <w:sz w:val="18"/>
        </w:rPr>
        <w:t> </w:t>
      </w:r>
      <w:r>
        <w:rPr>
          <w:sz w:val="18"/>
        </w:rPr>
        <w:t>which</w:t>
      </w:r>
      <w:r>
        <w:rPr>
          <w:spacing w:val="-3"/>
          <w:sz w:val="18"/>
        </w:rPr>
        <w:t> </w:t>
      </w:r>
      <w:r>
        <w:rPr>
          <w:sz w:val="18"/>
        </w:rPr>
        <w:t>may</w:t>
      </w:r>
      <w:r>
        <w:rPr>
          <w:spacing w:val="-3"/>
          <w:sz w:val="18"/>
        </w:rPr>
        <w:t> </w:t>
      </w:r>
      <w:r>
        <w:rPr>
          <w:sz w:val="18"/>
        </w:rPr>
        <w:t>be</w:t>
      </w:r>
      <w:r>
        <w:rPr>
          <w:spacing w:val="-1"/>
          <w:sz w:val="18"/>
        </w:rPr>
        <w:t> </w:t>
      </w:r>
      <w:r>
        <w:rPr>
          <w:sz w:val="18"/>
        </w:rPr>
        <w:t>used</w:t>
      </w:r>
      <w:r>
        <w:rPr>
          <w:spacing w:val="-2"/>
          <w:sz w:val="18"/>
        </w:rPr>
        <w:t> </w:t>
      </w:r>
      <w:r>
        <w:rPr>
          <w:sz w:val="18"/>
        </w:rPr>
        <w:t>in</w:t>
      </w:r>
      <w:r>
        <w:rPr>
          <w:spacing w:val="-3"/>
          <w:sz w:val="18"/>
        </w:rPr>
        <w:t> </w:t>
      </w:r>
      <w:r>
        <w:rPr>
          <w:sz w:val="18"/>
        </w:rPr>
        <w:t>a</w:t>
      </w:r>
      <w:r>
        <w:rPr>
          <w:spacing w:val="-1"/>
          <w:sz w:val="18"/>
        </w:rPr>
        <w:t> </w:t>
      </w:r>
      <w:r>
        <w:rPr>
          <w:sz w:val="18"/>
        </w:rPr>
        <w:t>variety</w:t>
      </w:r>
      <w:r>
        <w:rPr>
          <w:spacing w:val="-2"/>
          <w:sz w:val="18"/>
        </w:rPr>
        <w:t> </w:t>
      </w:r>
      <w:r>
        <w:rPr>
          <w:sz w:val="18"/>
        </w:rPr>
        <w:t>of</w:t>
      </w:r>
      <w:r>
        <w:rPr>
          <w:spacing w:val="-4"/>
          <w:sz w:val="18"/>
        </w:rPr>
        <w:t> </w:t>
      </w:r>
      <w:r>
        <w:rPr>
          <w:sz w:val="18"/>
        </w:rPr>
        <w:t>different</w:t>
      </w:r>
      <w:r>
        <w:rPr>
          <w:spacing w:val="-1"/>
          <w:sz w:val="18"/>
        </w:rPr>
        <w:t> </w:t>
      </w:r>
      <w:r>
        <w:rPr>
          <w:sz w:val="18"/>
        </w:rPr>
        <w:t>types of</w:t>
      </w:r>
      <w:r>
        <w:rPr>
          <w:spacing w:val="-3"/>
          <w:sz w:val="18"/>
        </w:rPr>
        <w:t> </w:t>
      </w:r>
      <w:r>
        <w:rPr>
          <w:sz w:val="18"/>
        </w:rPr>
        <w:t>the</w:t>
      </w:r>
      <w:r>
        <w:rPr>
          <w:spacing w:val="-5"/>
          <w:sz w:val="18"/>
        </w:rPr>
        <w:t> </w:t>
      </w:r>
      <w:r>
        <w:rPr>
          <w:sz w:val="18"/>
        </w:rPr>
        <w:t>buyer’s</w:t>
      </w:r>
      <w:r>
        <w:rPr>
          <w:spacing w:val="-4"/>
          <w:sz w:val="18"/>
        </w:rPr>
        <w:t> </w:t>
      </w:r>
      <w:r>
        <w:rPr>
          <w:sz w:val="18"/>
        </w:rPr>
        <w:t>products),</w:t>
      </w:r>
      <w:r>
        <w:rPr>
          <w:spacing w:val="-3"/>
          <w:sz w:val="18"/>
        </w:rPr>
        <w:t> </w:t>
      </w:r>
      <w:r>
        <w:rPr>
          <w:sz w:val="18"/>
        </w:rPr>
        <w:t>and</w:t>
      </w:r>
      <w:r>
        <w:rPr>
          <w:spacing w:val="-3"/>
          <w:sz w:val="18"/>
        </w:rPr>
        <w:t> </w:t>
      </w:r>
      <w:r>
        <w:rPr>
          <w:sz w:val="18"/>
        </w:rPr>
        <w:t>the</w:t>
      </w:r>
      <w:r>
        <w:rPr>
          <w:spacing w:val="4"/>
          <w:sz w:val="18"/>
        </w:rPr>
        <w:t> </w:t>
      </w:r>
      <w:r>
        <w:rPr>
          <w:sz w:val="18"/>
        </w:rPr>
        <w:t>seller</w:t>
      </w:r>
      <w:r>
        <w:rPr>
          <w:spacing w:val="-2"/>
          <w:sz w:val="18"/>
        </w:rPr>
        <w:t> </w:t>
      </w:r>
      <w:r>
        <w:rPr>
          <w:sz w:val="18"/>
        </w:rPr>
        <w:t>of</w:t>
      </w:r>
      <w:r>
        <w:rPr>
          <w:spacing w:val="-3"/>
          <w:sz w:val="18"/>
        </w:rPr>
        <w:t> </w:t>
      </w:r>
      <w:r>
        <w:rPr>
          <w:sz w:val="18"/>
        </w:rPr>
        <w:t>the</w:t>
      </w:r>
      <w:r>
        <w:rPr>
          <w:spacing w:val="-3"/>
          <w:sz w:val="18"/>
        </w:rPr>
        <w:t> </w:t>
      </w:r>
      <w:r>
        <w:rPr>
          <w:sz w:val="18"/>
        </w:rPr>
        <w:t>component</w:t>
      </w:r>
      <w:r>
        <w:rPr>
          <w:spacing w:val="-3"/>
          <w:sz w:val="18"/>
        </w:rPr>
        <w:t> </w:t>
      </w:r>
      <w:r>
        <w:rPr>
          <w:sz w:val="18"/>
        </w:rPr>
        <w:t>earns revenue from the actual sale of the component as opposed to revenue from the finished</w:t>
      </w:r>
      <w:r>
        <w:rPr>
          <w:spacing w:val="-21"/>
          <w:sz w:val="18"/>
        </w:rPr>
        <w:t> </w:t>
      </w:r>
      <w:r>
        <w:rPr>
          <w:sz w:val="18"/>
        </w:rPr>
        <w:t>product.</w:t>
      </w:r>
    </w:p>
    <w:p>
      <w:pPr>
        <w:pStyle w:val="ListParagraph"/>
        <w:numPr>
          <w:ilvl w:val="0"/>
          <w:numId w:val="5"/>
        </w:numPr>
        <w:tabs>
          <w:tab w:pos="928" w:val="left" w:leader="none"/>
        </w:tabs>
        <w:spacing w:line="240" w:lineRule="auto" w:before="77" w:after="0"/>
        <w:ind w:left="927" w:right="0" w:hanging="205"/>
        <w:jc w:val="both"/>
        <w:rPr>
          <w:sz w:val="18"/>
        </w:rPr>
      </w:pPr>
      <w:r>
        <w:rPr>
          <w:sz w:val="18"/>
        </w:rPr>
        <w:t>See also section 6.4 and section</w:t>
      </w:r>
      <w:r>
        <w:rPr>
          <w:spacing w:val="-3"/>
          <w:sz w:val="18"/>
        </w:rPr>
        <w:t> </w:t>
      </w:r>
      <w:r>
        <w:rPr>
          <w:sz w:val="18"/>
        </w:rPr>
        <w:t>7.3.</w:t>
      </w:r>
    </w:p>
    <w:p>
      <w:pPr>
        <w:spacing w:after="0" w:line="240" w:lineRule="auto"/>
        <w:jc w:val="both"/>
        <w:rPr>
          <w:sz w:val="18"/>
        </w:rPr>
        <w:sectPr>
          <w:pgSz w:w="11910" w:h="16840"/>
          <w:pgMar w:header="1244" w:footer="1638" w:top="1500" w:bottom="1820" w:left="580" w:right="820"/>
        </w:sectPr>
      </w:pPr>
    </w:p>
    <w:p>
      <w:pPr>
        <w:pStyle w:val="BodyText"/>
        <w:spacing w:before="7"/>
        <w:rPr>
          <w:sz w:val="19"/>
        </w:rPr>
      </w:pPr>
    </w:p>
    <w:p>
      <w:pPr>
        <w:pStyle w:val="Heading7"/>
        <w:spacing w:before="93"/>
        <w:rPr>
          <w:i/>
        </w:rPr>
      </w:pPr>
      <w:bookmarkStart w:name="Licensing" w:id="53"/>
      <w:bookmarkEnd w:id="53"/>
      <w:r>
        <w:rPr>
          <w:i w:val="0"/>
        </w:rPr>
      </w:r>
      <w:r>
        <w:rPr>
          <w:i/>
          <w:color w:val="616161"/>
        </w:rPr>
        <w:t>Licensing</w:t>
      </w:r>
    </w:p>
    <w:p>
      <w:pPr>
        <w:pStyle w:val="ListParagraph"/>
        <w:numPr>
          <w:ilvl w:val="0"/>
          <w:numId w:val="4"/>
        </w:numPr>
        <w:tabs>
          <w:tab w:pos="1444" w:val="left" w:leader="none"/>
        </w:tabs>
        <w:spacing w:line="271" w:lineRule="auto" w:before="215" w:after="0"/>
        <w:ind w:left="723" w:right="484" w:firstLine="0"/>
        <w:jc w:val="both"/>
        <w:rPr>
          <w:sz w:val="20"/>
        </w:rPr>
      </w:pPr>
      <w:r>
        <w:rPr>
          <w:sz w:val="20"/>
        </w:rPr>
        <w:t>Although in some cases, licensing shares some of the characteristics of franchising, licensing generally covers a much broader spectrum of commercial agreements. On one hand, certain intangible property</w:t>
      </w:r>
      <w:r>
        <w:rPr>
          <w:spacing w:val="-9"/>
          <w:sz w:val="20"/>
        </w:rPr>
        <w:t> </w:t>
      </w:r>
      <w:r>
        <w:rPr>
          <w:sz w:val="20"/>
        </w:rPr>
        <w:t>can</w:t>
      </w:r>
      <w:r>
        <w:rPr>
          <w:spacing w:val="-4"/>
          <w:sz w:val="20"/>
        </w:rPr>
        <w:t> </w:t>
      </w:r>
      <w:r>
        <w:rPr>
          <w:sz w:val="20"/>
        </w:rPr>
        <w:t>itself</w:t>
      </w:r>
      <w:r>
        <w:rPr>
          <w:spacing w:val="-3"/>
          <w:sz w:val="20"/>
        </w:rPr>
        <w:t> </w:t>
      </w:r>
      <w:r>
        <w:rPr>
          <w:sz w:val="20"/>
        </w:rPr>
        <w:t>be</w:t>
      </w:r>
      <w:r>
        <w:rPr>
          <w:spacing w:val="-3"/>
          <w:sz w:val="20"/>
        </w:rPr>
        <w:t> </w:t>
      </w:r>
      <w:r>
        <w:rPr>
          <w:sz w:val="20"/>
        </w:rPr>
        <w:t>of</w:t>
      </w:r>
      <w:r>
        <w:rPr>
          <w:spacing w:val="-4"/>
          <w:sz w:val="20"/>
        </w:rPr>
        <w:t> </w:t>
      </w:r>
      <w:r>
        <w:rPr>
          <w:sz w:val="20"/>
        </w:rPr>
        <w:t>a</w:t>
      </w:r>
      <w:r>
        <w:rPr>
          <w:spacing w:val="-6"/>
          <w:sz w:val="20"/>
        </w:rPr>
        <w:t> </w:t>
      </w:r>
      <w:r>
        <w:rPr>
          <w:sz w:val="20"/>
        </w:rPr>
        <w:t>type</w:t>
      </w:r>
      <w:r>
        <w:rPr>
          <w:spacing w:val="-5"/>
          <w:sz w:val="20"/>
        </w:rPr>
        <w:t> </w:t>
      </w:r>
      <w:r>
        <w:rPr>
          <w:sz w:val="20"/>
        </w:rPr>
        <w:t>commonly</w:t>
      </w:r>
      <w:r>
        <w:rPr>
          <w:spacing w:val="-9"/>
          <w:sz w:val="20"/>
        </w:rPr>
        <w:t> </w:t>
      </w:r>
      <w:r>
        <w:rPr>
          <w:sz w:val="20"/>
        </w:rPr>
        <w:t>sold</w:t>
      </w:r>
      <w:r>
        <w:rPr>
          <w:spacing w:val="-6"/>
          <w:sz w:val="20"/>
        </w:rPr>
        <w:t> </w:t>
      </w:r>
      <w:r>
        <w:rPr>
          <w:sz w:val="20"/>
        </w:rPr>
        <w:t>to</w:t>
      </w:r>
      <w:r>
        <w:rPr>
          <w:spacing w:val="-5"/>
          <w:sz w:val="20"/>
        </w:rPr>
        <w:t> </w:t>
      </w:r>
      <w:r>
        <w:rPr>
          <w:sz w:val="20"/>
        </w:rPr>
        <w:t>consumers</w:t>
      </w:r>
      <w:r>
        <w:rPr>
          <w:spacing w:val="-4"/>
          <w:sz w:val="20"/>
        </w:rPr>
        <w:t> </w:t>
      </w:r>
      <w:r>
        <w:rPr>
          <w:sz w:val="20"/>
        </w:rPr>
        <w:t>(such</w:t>
      </w:r>
      <w:r>
        <w:rPr>
          <w:spacing w:val="-6"/>
          <w:sz w:val="20"/>
        </w:rPr>
        <w:t> </w:t>
      </w:r>
      <w:r>
        <w:rPr>
          <w:sz w:val="20"/>
        </w:rPr>
        <w:t>as</w:t>
      </w:r>
      <w:r>
        <w:rPr>
          <w:spacing w:val="-4"/>
          <w:sz w:val="20"/>
        </w:rPr>
        <w:t> </w:t>
      </w:r>
      <w:r>
        <w:rPr>
          <w:sz w:val="20"/>
        </w:rPr>
        <w:t>a</w:t>
      </w:r>
      <w:r>
        <w:rPr>
          <w:spacing w:val="-6"/>
          <w:sz w:val="20"/>
        </w:rPr>
        <w:t> </w:t>
      </w:r>
      <w:r>
        <w:rPr>
          <w:sz w:val="20"/>
        </w:rPr>
        <w:t>music)</w:t>
      </w:r>
      <w:r>
        <w:rPr>
          <w:spacing w:val="-5"/>
          <w:sz w:val="20"/>
        </w:rPr>
        <w:t> </w:t>
      </w:r>
      <w:r>
        <w:rPr>
          <w:sz w:val="20"/>
        </w:rPr>
        <w:t>and</w:t>
      </w:r>
      <w:r>
        <w:rPr>
          <w:spacing w:val="-5"/>
          <w:sz w:val="20"/>
        </w:rPr>
        <w:t> </w:t>
      </w:r>
      <w:r>
        <w:rPr>
          <w:sz w:val="20"/>
        </w:rPr>
        <w:t>which</w:t>
      </w:r>
      <w:r>
        <w:rPr>
          <w:spacing w:val="-4"/>
          <w:sz w:val="20"/>
        </w:rPr>
        <w:t> </w:t>
      </w:r>
      <w:r>
        <w:rPr>
          <w:sz w:val="20"/>
        </w:rPr>
        <w:t>by</w:t>
      </w:r>
      <w:r>
        <w:rPr>
          <w:spacing w:val="-9"/>
          <w:sz w:val="20"/>
        </w:rPr>
        <w:t> </w:t>
      </w:r>
      <w:r>
        <w:rPr>
          <w:sz w:val="20"/>
        </w:rPr>
        <w:t>its</w:t>
      </w:r>
      <w:r>
        <w:rPr>
          <w:spacing w:val="-3"/>
          <w:sz w:val="20"/>
        </w:rPr>
        <w:t> </w:t>
      </w:r>
      <w:r>
        <w:rPr>
          <w:sz w:val="20"/>
        </w:rPr>
        <w:t>intangible nature must be licensed to be exploited rather than strictly “sold.” This is noted in the general definition above, in connection with the meaning of</w:t>
      </w:r>
      <w:r>
        <w:rPr>
          <w:spacing w:val="-3"/>
          <w:sz w:val="20"/>
        </w:rPr>
        <w:t> </w:t>
      </w:r>
      <w:r>
        <w:rPr>
          <w:sz w:val="20"/>
        </w:rPr>
        <w:t>“sold.”</w:t>
      </w:r>
    </w:p>
    <w:p>
      <w:pPr>
        <w:pStyle w:val="ListParagraph"/>
        <w:numPr>
          <w:ilvl w:val="0"/>
          <w:numId w:val="4"/>
        </w:numPr>
        <w:tabs>
          <w:tab w:pos="1444" w:val="left" w:leader="none"/>
        </w:tabs>
        <w:spacing w:line="271" w:lineRule="auto" w:before="121" w:after="0"/>
        <w:ind w:left="723" w:right="482" w:firstLine="0"/>
        <w:jc w:val="both"/>
        <w:rPr>
          <w:sz w:val="20"/>
        </w:rPr>
      </w:pPr>
      <w:r>
        <w:rPr>
          <w:sz w:val="20"/>
        </w:rPr>
        <w:t>There</w:t>
      </w:r>
      <w:r>
        <w:rPr>
          <w:spacing w:val="-7"/>
          <w:sz w:val="20"/>
        </w:rPr>
        <w:t> </w:t>
      </w:r>
      <w:r>
        <w:rPr>
          <w:sz w:val="20"/>
        </w:rPr>
        <w:t>is</w:t>
      </w:r>
      <w:r>
        <w:rPr>
          <w:spacing w:val="-5"/>
          <w:sz w:val="20"/>
        </w:rPr>
        <w:t> </w:t>
      </w:r>
      <w:r>
        <w:rPr>
          <w:sz w:val="20"/>
        </w:rPr>
        <w:t>a</w:t>
      </w:r>
      <w:r>
        <w:rPr>
          <w:spacing w:val="-7"/>
          <w:sz w:val="20"/>
        </w:rPr>
        <w:t> </w:t>
      </w:r>
      <w:r>
        <w:rPr>
          <w:sz w:val="20"/>
        </w:rPr>
        <w:t>second</w:t>
      </w:r>
      <w:r>
        <w:rPr>
          <w:spacing w:val="-6"/>
          <w:sz w:val="20"/>
        </w:rPr>
        <w:t> </w:t>
      </w:r>
      <w:r>
        <w:rPr>
          <w:sz w:val="20"/>
        </w:rPr>
        <w:t>type</w:t>
      </w:r>
      <w:r>
        <w:rPr>
          <w:spacing w:val="-5"/>
          <w:sz w:val="20"/>
        </w:rPr>
        <w:t> </w:t>
      </w:r>
      <w:r>
        <w:rPr>
          <w:sz w:val="20"/>
        </w:rPr>
        <w:t>of</w:t>
      </w:r>
      <w:r>
        <w:rPr>
          <w:spacing w:val="-5"/>
          <w:sz w:val="20"/>
        </w:rPr>
        <w:t> </w:t>
      </w:r>
      <w:r>
        <w:rPr>
          <w:sz w:val="20"/>
        </w:rPr>
        <w:t>category,</w:t>
      </w:r>
      <w:r>
        <w:rPr>
          <w:spacing w:val="-3"/>
          <w:sz w:val="20"/>
        </w:rPr>
        <w:t> </w:t>
      </w:r>
      <w:r>
        <w:rPr>
          <w:sz w:val="20"/>
        </w:rPr>
        <w:t>where</w:t>
      </w:r>
      <w:r>
        <w:rPr>
          <w:spacing w:val="-7"/>
          <w:sz w:val="20"/>
        </w:rPr>
        <w:t> </w:t>
      </w:r>
      <w:r>
        <w:rPr>
          <w:sz w:val="20"/>
        </w:rPr>
        <w:t>an</w:t>
      </w:r>
      <w:r>
        <w:rPr>
          <w:spacing w:val="-7"/>
          <w:sz w:val="20"/>
        </w:rPr>
        <w:t> </w:t>
      </w:r>
      <w:r>
        <w:rPr>
          <w:sz w:val="20"/>
        </w:rPr>
        <w:t>MNE</w:t>
      </w:r>
      <w:r>
        <w:rPr>
          <w:spacing w:val="-6"/>
          <w:sz w:val="20"/>
        </w:rPr>
        <w:t> </w:t>
      </w:r>
      <w:r>
        <w:rPr>
          <w:sz w:val="20"/>
        </w:rPr>
        <w:t>has</w:t>
      </w:r>
      <w:r>
        <w:rPr>
          <w:spacing w:val="-8"/>
          <w:sz w:val="20"/>
        </w:rPr>
        <w:t> </w:t>
      </w:r>
      <w:r>
        <w:rPr>
          <w:sz w:val="20"/>
        </w:rPr>
        <w:t>made</w:t>
      </w:r>
      <w:r>
        <w:rPr>
          <w:spacing w:val="-7"/>
          <w:sz w:val="20"/>
        </w:rPr>
        <w:t> </w:t>
      </w:r>
      <w:r>
        <w:rPr>
          <w:sz w:val="20"/>
        </w:rPr>
        <w:t>available</w:t>
      </w:r>
      <w:r>
        <w:rPr>
          <w:spacing w:val="-6"/>
          <w:sz w:val="20"/>
        </w:rPr>
        <w:t> </w:t>
      </w:r>
      <w:r>
        <w:rPr>
          <w:sz w:val="20"/>
        </w:rPr>
        <w:t>its</w:t>
      </w:r>
      <w:r>
        <w:rPr>
          <w:spacing w:val="-5"/>
          <w:sz w:val="20"/>
        </w:rPr>
        <w:t> </w:t>
      </w:r>
      <w:r>
        <w:rPr>
          <w:sz w:val="20"/>
        </w:rPr>
        <w:t>intangible</w:t>
      </w:r>
      <w:r>
        <w:rPr>
          <w:spacing w:val="-4"/>
          <w:sz w:val="20"/>
        </w:rPr>
        <w:t> </w:t>
      </w:r>
      <w:r>
        <w:rPr>
          <w:sz w:val="20"/>
        </w:rPr>
        <w:t>property</w:t>
      </w:r>
      <w:r>
        <w:rPr>
          <w:spacing w:val="-9"/>
          <w:sz w:val="20"/>
        </w:rPr>
        <w:t> </w:t>
      </w:r>
      <w:r>
        <w:rPr>
          <w:sz w:val="20"/>
        </w:rPr>
        <w:t>to</w:t>
      </w:r>
      <w:r>
        <w:rPr>
          <w:spacing w:val="-4"/>
          <w:sz w:val="20"/>
        </w:rPr>
        <w:t> </w:t>
      </w:r>
      <w:r>
        <w:rPr>
          <w:sz w:val="20"/>
        </w:rPr>
        <w:t>a licensee, to be incorporated in another consumer good or service. For example, providing the rights to a cartoon</w:t>
      </w:r>
      <w:r>
        <w:rPr>
          <w:spacing w:val="-7"/>
          <w:sz w:val="20"/>
        </w:rPr>
        <w:t> </w:t>
      </w:r>
      <w:r>
        <w:rPr>
          <w:sz w:val="20"/>
        </w:rPr>
        <w:t>character</w:t>
      </w:r>
      <w:r>
        <w:rPr>
          <w:spacing w:val="-5"/>
          <w:sz w:val="20"/>
        </w:rPr>
        <w:t> </w:t>
      </w:r>
      <w:r>
        <w:rPr>
          <w:sz w:val="20"/>
        </w:rPr>
        <w:t>or</w:t>
      </w:r>
      <w:r>
        <w:rPr>
          <w:spacing w:val="-4"/>
          <w:sz w:val="20"/>
        </w:rPr>
        <w:t> </w:t>
      </w:r>
      <w:r>
        <w:rPr>
          <w:sz w:val="20"/>
        </w:rPr>
        <w:t>logo</w:t>
      </w:r>
      <w:r>
        <w:rPr>
          <w:spacing w:val="-4"/>
          <w:sz w:val="20"/>
        </w:rPr>
        <w:t> </w:t>
      </w:r>
      <w:r>
        <w:rPr>
          <w:sz w:val="20"/>
        </w:rPr>
        <w:t>to</w:t>
      </w:r>
      <w:r>
        <w:rPr>
          <w:spacing w:val="-3"/>
          <w:sz w:val="20"/>
        </w:rPr>
        <w:t> </w:t>
      </w:r>
      <w:r>
        <w:rPr>
          <w:sz w:val="20"/>
        </w:rPr>
        <w:t>appear</w:t>
      </w:r>
      <w:r>
        <w:rPr>
          <w:spacing w:val="-2"/>
          <w:sz w:val="20"/>
        </w:rPr>
        <w:t> </w:t>
      </w:r>
      <w:r>
        <w:rPr>
          <w:sz w:val="20"/>
        </w:rPr>
        <w:t>on</w:t>
      </w:r>
      <w:r>
        <w:rPr>
          <w:spacing w:val="-6"/>
          <w:sz w:val="20"/>
        </w:rPr>
        <w:t> </w:t>
      </w:r>
      <w:r>
        <w:rPr>
          <w:sz w:val="20"/>
        </w:rPr>
        <w:t>clothing</w:t>
      </w:r>
      <w:r>
        <w:rPr>
          <w:spacing w:val="-5"/>
          <w:sz w:val="20"/>
        </w:rPr>
        <w:t> </w:t>
      </w:r>
      <w:r>
        <w:rPr>
          <w:sz w:val="20"/>
        </w:rPr>
        <w:t>or</w:t>
      </w:r>
      <w:r>
        <w:rPr>
          <w:spacing w:val="-3"/>
          <w:sz w:val="20"/>
        </w:rPr>
        <w:t> </w:t>
      </w:r>
      <w:r>
        <w:rPr>
          <w:sz w:val="20"/>
        </w:rPr>
        <w:t>in</w:t>
      </w:r>
      <w:r>
        <w:rPr>
          <w:spacing w:val="-5"/>
          <w:sz w:val="20"/>
        </w:rPr>
        <w:t> </w:t>
      </w:r>
      <w:r>
        <w:rPr>
          <w:sz w:val="20"/>
        </w:rPr>
        <w:t>a</w:t>
      </w:r>
      <w:r>
        <w:rPr>
          <w:spacing w:val="-3"/>
          <w:sz w:val="20"/>
        </w:rPr>
        <w:t> </w:t>
      </w:r>
      <w:r>
        <w:rPr>
          <w:sz w:val="20"/>
        </w:rPr>
        <w:t>game.</w:t>
      </w:r>
      <w:r>
        <w:rPr>
          <w:spacing w:val="-7"/>
          <w:sz w:val="20"/>
        </w:rPr>
        <w:t> </w:t>
      </w:r>
      <w:r>
        <w:rPr>
          <w:sz w:val="20"/>
        </w:rPr>
        <w:t>The</w:t>
      </w:r>
      <w:r>
        <w:rPr>
          <w:spacing w:val="-6"/>
          <w:sz w:val="20"/>
        </w:rPr>
        <w:t> </w:t>
      </w:r>
      <w:r>
        <w:rPr>
          <w:sz w:val="20"/>
        </w:rPr>
        <w:t>proposal</w:t>
      </w:r>
      <w:r>
        <w:rPr>
          <w:spacing w:val="-6"/>
          <w:sz w:val="20"/>
        </w:rPr>
        <w:t> </w:t>
      </w:r>
      <w:r>
        <w:rPr>
          <w:sz w:val="20"/>
        </w:rPr>
        <w:t>is</w:t>
      </w:r>
      <w:r>
        <w:rPr>
          <w:spacing w:val="-3"/>
          <w:sz w:val="20"/>
        </w:rPr>
        <w:t> </w:t>
      </w:r>
      <w:r>
        <w:rPr>
          <w:sz w:val="20"/>
        </w:rPr>
        <w:t>that</w:t>
      </w:r>
      <w:r>
        <w:rPr>
          <w:spacing w:val="-3"/>
          <w:sz w:val="20"/>
        </w:rPr>
        <w:t> </w:t>
      </w:r>
      <w:r>
        <w:rPr>
          <w:sz w:val="20"/>
        </w:rPr>
        <w:t>this</w:t>
      </w:r>
      <w:r>
        <w:rPr>
          <w:spacing w:val="-3"/>
          <w:sz w:val="20"/>
        </w:rPr>
        <w:t> </w:t>
      </w:r>
      <w:r>
        <w:rPr>
          <w:sz w:val="20"/>
        </w:rPr>
        <w:t>will</w:t>
      </w:r>
      <w:r>
        <w:rPr>
          <w:spacing w:val="-6"/>
          <w:sz w:val="20"/>
        </w:rPr>
        <w:t> </w:t>
      </w:r>
      <w:r>
        <w:rPr>
          <w:sz w:val="20"/>
        </w:rPr>
        <w:t>only</w:t>
      </w:r>
      <w:r>
        <w:rPr>
          <w:spacing w:val="-6"/>
          <w:sz w:val="20"/>
        </w:rPr>
        <w:t> </w:t>
      </w:r>
      <w:r>
        <w:rPr>
          <w:sz w:val="20"/>
        </w:rPr>
        <w:t>apply</w:t>
      </w:r>
      <w:r>
        <w:rPr>
          <w:spacing w:val="-10"/>
          <w:sz w:val="20"/>
        </w:rPr>
        <w:t> </w:t>
      </w:r>
      <w:r>
        <w:rPr>
          <w:sz w:val="20"/>
        </w:rPr>
        <w:t>to</w:t>
      </w:r>
      <w:r>
        <w:rPr>
          <w:spacing w:val="-4"/>
          <w:sz w:val="20"/>
        </w:rPr>
        <w:t> </w:t>
      </w:r>
      <w:r>
        <w:rPr>
          <w:sz w:val="20"/>
        </w:rPr>
        <w:t>an MNE that otherwise supplies (or has in the past supplied) a consumer-facing good or service (such as entertainment</w:t>
      </w:r>
      <w:r>
        <w:rPr>
          <w:spacing w:val="-9"/>
          <w:sz w:val="20"/>
        </w:rPr>
        <w:t> </w:t>
      </w:r>
      <w:r>
        <w:rPr>
          <w:sz w:val="20"/>
        </w:rPr>
        <w:t>or</w:t>
      </w:r>
      <w:r>
        <w:rPr>
          <w:spacing w:val="-6"/>
          <w:sz w:val="20"/>
        </w:rPr>
        <w:t> </w:t>
      </w:r>
      <w:r>
        <w:rPr>
          <w:sz w:val="20"/>
        </w:rPr>
        <w:t>clothing),</w:t>
      </w:r>
      <w:r>
        <w:rPr>
          <w:spacing w:val="-5"/>
          <w:sz w:val="20"/>
        </w:rPr>
        <w:t> </w:t>
      </w:r>
      <w:r>
        <w:rPr>
          <w:sz w:val="20"/>
        </w:rPr>
        <w:t>and</w:t>
      </w:r>
      <w:r>
        <w:rPr>
          <w:spacing w:val="-9"/>
          <w:sz w:val="20"/>
        </w:rPr>
        <w:t> </w:t>
      </w:r>
      <w:r>
        <w:rPr>
          <w:sz w:val="20"/>
        </w:rPr>
        <w:t>makes</w:t>
      </w:r>
      <w:r>
        <w:rPr>
          <w:spacing w:val="-8"/>
          <w:sz w:val="20"/>
        </w:rPr>
        <w:t> </w:t>
      </w:r>
      <w:r>
        <w:rPr>
          <w:sz w:val="20"/>
        </w:rPr>
        <w:t>the</w:t>
      </w:r>
      <w:r>
        <w:rPr>
          <w:spacing w:val="-8"/>
          <w:sz w:val="20"/>
        </w:rPr>
        <w:t> </w:t>
      </w:r>
      <w:r>
        <w:rPr>
          <w:sz w:val="20"/>
        </w:rPr>
        <w:t>rights</w:t>
      </w:r>
      <w:r>
        <w:rPr>
          <w:spacing w:val="-8"/>
          <w:sz w:val="20"/>
        </w:rPr>
        <w:t> </w:t>
      </w:r>
      <w:r>
        <w:rPr>
          <w:sz w:val="20"/>
        </w:rPr>
        <w:t>to</w:t>
      </w:r>
      <w:r>
        <w:rPr>
          <w:spacing w:val="-6"/>
          <w:sz w:val="20"/>
        </w:rPr>
        <w:t> </w:t>
      </w:r>
      <w:r>
        <w:rPr>
          <w:sz w:val="20"/>
        </w:rPr>
        <w:t>intangible</w:t>
      </w:r>
      <w:r>
        <w:rPr>
          <w:spacing w:val="-7"/>
          <w:sz w:val="20"/>
        </w:rPr>
        <w:t> </w:t>
      </w:r>
      <w:r>
        <w:rPr>
          <w:sz w:val="20"/>
        </w:rPr>
        <w:t>property</w:t>
      </w:r>
      <w:r>
        <w:rPr>
          <w:spacing w:val="-11"/>
          <w:sz w:val="20"/>
        </w:rPr>
        <w:t> </w:t>
      </w:r>
      <w:r>
        <w:rPr>
          <w:sz w:val="20"/>
        </w:rPr>
        <w:t>connected</w:t>
      </w:r>
      <w:r>
        <w:rPr>
          <w:spacing w:val="-7"/>
          <w:sz w:val="20"/>
        </w:rPr>
        <w:t> </w:t>
      </w:r>
      <w:r>
        <w:rPr>
          <w:sz w:val="20"/>
        </w:rPr>
        <w:t>with</w:t>
      </w:r>
      <w:r>
        <w:rPr>
          <w:spacing w:val="-7"/>
          <w:sz w:val="20"/>
        </w:rPr>
        <w:t> </w:t>
      </w:r>
      <w:r>
        <w:rPr>
          <w:sz w:val="20"/>
        </w:rPr>
        <w:t>that</w:t>
      </w:r>
      <w:r>
        <w:rPr>
          <w:spacing w:val="-8"/>
          <w:sz w:val="20"/>
        </w:rPr>
        <w:t> </w:t>
      </w:r>
      <w:r>
        <w:rPr>
          <w:sz w:val="20"/>
        </w:rPr>
        <w:t>good</w:t>
      </w:r>
      <w:r>
        <w:rPr>
          <w:spacing w:val="-7"/>
          <w:sz w:val="20"/>
        </w:rPr>
        <w:t> </w:t>
      </w:r>
      <w:r>
        <w:rPr>
          <w:sz w:val="20"/>
        </w:rPr>
        <w:t>or</w:t>
      </w:r>
      <w:r>
        <w:rPr>
          <w:spacing w:val="-8"/>
          <w:sz w:val="20"/>
        </w:rPr>
        <w:t> </w:t>
      </w:r>
      <w:r>
        <w:rPr>
          <w:sz w:val="20"/>
        </w:rPr>
        <w:t>service (such</w:t>
      </w:r>
      <w:r>
        <w:rPr>
          <w:spacing w:val="-6"/>
          <w:sz w:val="20"/>
        </w:rPr>
        <w:t> </w:t>
      </w:r>
      <w:r>
        <w:rPr>
          <w:sz w:val="20"/>
        </w:rPr>
        <w:t>as</w:t>
      </w:r>
      <w:r>
        <w:rPr>
          <w:spacing w:val="-4"/>
          <w:sz w:val="20"/>
        </w:rPr>
        <w:t> </w:t>
      </w:r>
      <w:r>
        <w:rPr>
          <w:sz w:val="20"/>
        </w:rPr>
        <w:t>a</w:t>
      </w:r>
      <w:r>
        <w:rPr>
          <w:spacing w:val="-7"/>
          <w:sz w:val="20"/>
        </w:rPr>
        <w:t> </w:t>
      </w:r>
      <w:r>
        <w:rPr>
          <w:sz w:val="20"/>
        </w:rPr>
        <w:t>consumer</w:t>
      </w:r>
      <w:r>
        <w:rPr>
          <w:spacing w:val="-5"/>
          <w:sz w:val="20"/>
        </w:rPr>
        <w:t> </w:t>
      </w:r>
      <w:r>
        <w:rPr>
          <w:sz w:val="20"/>
        </w:rPr>
        <w:t>brand)</w:t>
      </w:r>
      <w:r>
        <w:rPr>
          <w:spacing w:val="-5"/>
          <w:sz w:val="20"/>
        </w:rPr>
        <w:t> </w:t>
      </w:r>
      <w:r>
        <w:rPr>
          <w:sz w:val="20"/>
        </w:rPr>
        <w:t>available</w:t>
      </w:r>
      <w:r>
        <w:rPr>
          <w:spacing w:val="-6"/>
          <w:sz w:val="20"/>
        </w:rPr>
        <w:t> </w:t>
      </w:r>
      <w:r>
        <w:rPr>
          <w:sz w:val="20"/>
        </w:rPr>
        <w:t>through</w:t>
      </w:r>
      <w:r>
        <w:rPr>
          <w:spacing w:val="-5"/>
          <w:sz w:val="20"/>
        </w:rPr>
        <w:t> </w:t>
      </w:r>
      <w:r>
        <w:rPr>
          <w:sz w:val="20"/>
        </w:rPr>
        <w:t>a</w:t>
      </w:r>
      <w:r>
        <w:rPr>
          <w:spacing w:val="-5"/>
          <w:sz w:val="20"/>
        </w:rPr>
        <w:t> </w:t>
      </w:r>
      <w:r>
        <w:rPr>
          <w:sz w:val="20"/>
        </w:rPr>
        <w:t>licensing</w:t>
      </w:r>
      <w:r>
        <w:rPr>
          <w:spacing w:val="-6"/>
          <w:sz w:val="20"/>
        </w:rPr>
        <w:t> </w:t>
      </w:r>
      <w:r>
        <w:rPr>
          <w:sz w:val="20"/>
        </w:rPr>
        <w:t>arrangement</w:t>
      </w:r>
      <w:r>
        <w:rPr>
          <w:spacing w:val="-6"/>
          <w:sz w:val="20"/>
        </w:rPr>
        <w:t> </w:t>
      </w:r>
      <w:r>
        <w:rPr>
          <w:sz w:val="20"/>
        </w:rPr>
        <w:t>(although</w:t>
      </w:r>
      <w:r>
        <w:rPr>
          <w:spacing w:val="-5"/>
          <w:sz w:val="20"/>
        </w:rPr>
        <w:t> </w:t>
      </w:r>
      <w:r>
        <w:rPr>
          <w:sz w:val="20"/>
        </w:rPr>
        <w:t>further</w:t>
      </w:r>
      <w:r>
        <w:rPr>
          <w:spacing w:val="-5"/>
          <w:sz w:val="20"/>
        </w:rPr>
        <w:t> </w:t>
      </w:r>
      <w:r>
        <w:rPr>
          <w:sz w:val="20"/>
        </w:rPr>
        <w:t>consideration</w:t>
      </w:r>
      <w:r>
        <w:rPr>
          <w:spacing w:val="-5"/>
          <w:sz w:val="20"/>
        </w:rPr>
        <w:t> </w:t>
      </w:r>
      <w:r>
        <w:rPr>
          <w:sz w:val="20"/>
        </w:rPr>
        <w:t>on marginal cases may be required, such as where a non-CFB (e.g. a maker of an industrial product) earns returns from licensing its brand to a CFB such as clothing).</w:t>
      </w:r>
      <w:r>
        <w:rPr>
          <w:sz w:val="20"/>
          <w:vertAlign w:val="superscript"/>
        </w:rPr>
        <w:t>24</w:t>
      </w:r>
      <w:r>
        <w:rPr>
          <w:sz w:val="20"/>
          <w:vertAlign w:val="baseline"/>
        </w:rPr>
        <w:t> In these cases, the intangible is “connected” to the supply of the consumer-facing goods or services otherwise supplied by the licensor, and allowing it to be out-of-scope would distort the scope based on legal form rather than according to the relationship created with the consumer. This does not mean that to be in scope, the licensee must be a CFB. For example, the licensees may be providing ADS (such as digital content or online gaming </w:t>
      </w:r>
      <w:r>
        <w:rPr>
          <w:spacing w:val="4"/>
          <w:sz w:val="20"/>
          <w:vertAlign w:val="baseline"/>
        </w:rPr>
        <w:t>in </w:t>
      </w:r>
      <w:r>
        <w:rPr>
          <w:sz w:val="20"/>
          <w:vertAlign w:val="baseline"/>
        </w:rPr>
        <w:t>which the licensed cartoon character appears). The inquiry is whether the licensor has a consumer-facing product that is being licensed; if so, the licensor is in scope of</w:t>
      </w:r>
      <w:r>
        <w:rPr>
          <w:spacing w:val="5"/>
          <w:sz w:val="20"/>
          <w:vertAlign w:val="baseline"/>
        </w:rPr>
        <w:t> </w:t>
      </w:r>
      <w:r>
        <w:rPr>
          <w:sz w:val="20"/>
          <w:vertAlign w:val="baseline"/>
        </w:rPr>
        <w:t>CFB.</w:t>
      </w:r>
    </w:p>
    <w:p>
      <w:pPr>
        <w:pStyle w:val="ListParagraph"/>
        <w:numPr>
          <w:ilvl w:val="0"/>
          <w:numId w:val="4"/>
        </w:numPr>
        <w:tabs>
          <w:tab w:pos="1444" w:val="left" w:leader="none"/>
        </w:tabs>
        <w:spacing w:line="271" w:lineRule="auto" w:before="123" w:after="0"/>
        <w:ind w:left="723" w:right="483" w:firstLine="0"/>
        <w:jc w:val="both"/>
        <w:rPr>
          <w:sz w:val="20"/>
        </w:rPr>
      </w:pPr>
      <w:r>
        <w:rPr>
          <w:sz w:val="20"/>
        </w:rPr>
        <w:t>There are a number of commercial arrangements by which the MNE licensing the intangible property</w:t>
      </w:r>
      <w:r>
        <w:rPr>
          <w:spacing w:val="-10"/>
          <w:sz w:val="20"/>
        </w:rPr>
        <w:t> </w:t>
      </w:r>
      <w:r>
        <w:rPr>
          <w:sz w:val="20"/>
        </w:rPr>
        <w:t>may</w:t>
      </w:r>
      <w:r>
        <w:rPr>
          <w:spacing w:val="-10"/>
          <w:sz w:val="20"/>
        </w:rPr>
        <w:t> </w:t>
      </w:r>
      <w:r>
        <w:rPr>
          <w:sz w:val="20"/>
        </w:rPr>
        <w:t>derive</w:t>
      </w:r>
      <w:r>
        <w:rPr>
          <w:spacing w:val="-8"/>
          <w:sz w:val="20"/>
        </w:rPr>
        <w:t> </w:t>
      </w:r>
      <w:r>
        <w:rPr>
          <w:sz w:val="20"/>
        </w:rPr>
        <w:t>revenue.</w:t>
      </w:r>
      <w:r>
        <w:rPr>
          <w:spacing w:val="-7"/>
          <w:sz w:val="20"/>
        </w:rPr>
        <w:t> </w:t>
      </w:r>
      <w:r>
        <w:rPr>
          <w:sz w:val="20"/>
        </w:rPr>
        <w:t>At</w:t>
      </w:r>
      <w:r>
        <w:rPr>
          <w:spacing w:val="-4"/>
          <w:sz w:val="20"/>
        </w:rPr>
        <w:t> </w:t>
      </w:r>
      <w:r>
        <w:rPr>
          <w:sz w:val="20"/>
        </w:rPr>
        <w:t>one</w:t>
      </w:r>
      <w:r>
        <w:rPr>
          <w:spacing w:val="-5"/>
          <w:sz w:val="20"/>
        </w:rPr>
        <w:t> </w:t>
      </w:r>
      <w:r>
        <w:rPr>
          <w:sz w:val="20"/>
        </w:rPr>
        <w:t>end</w:t>
      </w:r>
      <w:r>
        <w:rPr>
          <w:spacing w:val="-5"/>
          <w:sz w:val="20"/>
        </w:rPr>
        <w:t> </w:t>
      </w:r>
      <w:r>
        <w:rPr>
          <w:sz w:val="20"/>
        </w:rPr>
        <w:t>of</w:t>
      </w:r>
      <w:r>
        <w:rPr>
          <w:spacing w:val="-4"/>
          <w:sz w:val="20"/>
        </w:rPr>
        <w:t> </w:t>
      </w:r>
      <w:r>
        <w:rPr>
          <w:sz w:val="20"/>
        </w:rPr>
        <w:t>the</w:t>
      </w:r>
      <w:r>
        <w:rPr>
          <w:spacing w:val="-7"/>
          <w:sz w:val="20"/>
        </w:rPr>
        <w:t> </w:t>
      </w:r>
      <w:r>
        <w:rPr>
          <w:sz w:val="20"/>
        </w:rPr>
        <w:t>spectrum</w:t>
      </w:r>
      <w:r>
        <w:rPr>
          <w:spacing w:val="-4"/>
          <w:sz w:val="20"/>
        </w:rPr>
        <w:t> </w:t>
      </w:r>
      <w:r>
        <w:rPr>
          <w:sz w:val="20"/>
        </w:rPr>
        <w:t>are</w:t>
      </w:r>
      <w:r>
        <w:rPr>
          <w:spacing w:val="-7"/>
          <w:sz w:val="20"/>
        </w:rPr>
        <w:t> </w:t>
      </w:r>
      <w:r>
        <w:rPr>
          <w:sz w:val="20"/>
        </w:rPr>
        <w:t>licence</w:t>
      </w:r>
      <w:r>
        <w:rPr>
          <w:spacing w:val="-4"/>
          <w:sz w:val="20"/>
        </w:rPr>
        <w:t> </w:t>
      </w:r>
      <w:r>
        <w:rPr>
          <w:sz w:val="20"/>
        </w:rPr>
        <w:t>agreements</w:t>
      </w:r>
      <w:r>
        <w:rPr>
          <w:spacing w:val="-5"/>
          <w:sz w:val="20"/>
        </w:rPr>
        <w:t> </w:t>
      </w:r>
      <w:r>
        <w:rPr>
          <w:sz w:val="20"/>
        </w:rPr>
        <w:t>that</w:t>
      </w:r>
      <w:r>
        <w:rPr>
          <w:spacing w:val="-7"/>
          <w:sz w:val="20"/>
        </w:rPr>
        <w:t> </w:t>
      </w:r>
      <w:r>
        <w:rPr>
          <w:sz w:val="20"/>
        </w:rPr>
        <w:t>effectively</w:t>
      </w:r>
      <w:r>
        <w:rPr>
          <w:spacing w:val="-9"/>
          <w:sz w:val="20"/>
        </w:rPr>
        <w:t> </w:t>
      </w:r>
      <w:r>
        <w:rPr>
          <w:sz w:val="20"/>
        </w:rPr>
        <w:t>replicate franchise agreements, where the licensor licenses intangibles to the licensee in return for a royalty that is based on the level of sales achieved by the licensee. Trademarks and brand names are often licensed in this</w:t>
      </w:r>
      <w:r>
        <w:rPr>
          <w:spacing w:val="-4"/>
          <w:sz w:val="20"/>
        </w:rPr>
        <w:t> </w:t>
      </w:r>
      <w:r>
        <w:rPr>
          <w:sz w:val="20"/>
        </w:rPr>
        <w:t>way</w:t>
      </w:r>
      <w:r>
        <w:rPr>
          <w:spacing w:val="-9"/>
          <w:sz w:val="20"/>
        </w:rPr>
        <w:t> </w:t>
      </w:r>
      <w:r>
        <w:rPr>
          <w:sz w:val="20"/>
        </w:rPr>
        <w:t>to</w:t>
      </w:r>
      <w:r>
        <w:rPr>
          <w:spacing w:val="-7"/>
          <w:sz w:val="20"/>
        </w:rPr>
        <w:t> </w:t>
      </w:r>
      <w:r>
        <w:rPr>
          <w:sz w:val="20"/>
        </w:rPr>
        <w:t>sell</w:t>
      </w:r>
      <w:r>
        <w:rPr>
          <w:spacing w:val="-7"/>
          <w:sz w:val="20"/>
        </w:rPr>
        <w:t> </w:t>
      </w:r>
      <w:r>
        <w:rPr>
          <w:sz w:val="20"/>
        </w:rPr>
        <w:t>consumer</w:t>
      </w:r>
      <w:r>
        <w:rPr>
          <w:spacing w:val="-6"/>
          <w:sz w:val="20"/>
        </w:rPr>
        <w:t> </w:t>
      </w:r>
      <w:r>
        <w:rPr>
          <w:sz w:val="20"/>
        </w:rPr>
        <w:t>goods.</w:t>
      </w:r>
      <w:r>
        <w:rPr>
          <w:spacing w:val="-5"/>
          <w:sz w:val="20"/>
        </w:rPr>
        <w:t> </w:t>
      </w:r>
      <w:r>
        <w:rPr>
          <w:sz w:val="20"/>
        </w:rPr>
        <w:t>Typically,</w:t>
      </w:r>
      <w:r>
        <w:rPr>
          <w:spacing w:val="-6"/>
          <w:sz w:val="20"/>
        </w:rPr>
        <w:t> </w:t>
      </w:r>
      <w:r>
        <w:rPr>
          <w:sz w:val="20"/>
        </w:rPr>
        <w:t>the</w:t>
      </w:r>
      <w:r>
        <w:rPr>
          <w:spacing w:val="-7"/>
          <w:sz w:val="20"/>
        </w:rPr>
        <w:t> </w:t>
      </w:r>
      <w:r>
        <w:rPr>
          <w:sz w:val="20"/>
        </w:rPr>
        <w:t>licensor</w:t>
      </w:r>
      <w:r>
        <w:rPr>
          <w:spacing w:val="-4"/>
          <w:sz w:val="20"/>
        </w:rPr>
        <w:t> </w:t>
      </w:r>
      <w:r>
        <w:rPr>
          <w:sz w:val="20"/>
        </w:rPr>
        <w:t>will</w:t>
      </w:r>
      <w:r>
        <w:rPr>
          <w:spacing w:val="-7"/>
          <w:sz w:val="20"/>
        </w:rPr>
        <w:t> </w:t>
      </w:r>
      <w:r>
        <w:rPr>
          <w:sz w:val="20"/>
        </w:rPr>
        <w:t>retain</w:t>
      </w:r>
      <w:r>
        <w:rPr>
          <w:spacing w:val="-7"/>
          <w:sz w:val="20"/>
        </w:rPr>
        <w:t> </w:t>
      </w:r>
      <w:r>
        <w:rPr>
          <w:sz w:val="20"/>
        </w:rPr>
        <w:t>strict</w:t>
      </w:r>
      <w:r>
        <w:rPr>
          <w:spacing w:val="-5"/>
          <w:sz w:val="20"/>
        </w:rPr>
        <w:t> </w:t>
      </w:r>
      <w:r>
        <w:rPr>
          <w:sz w:val="20"/>
        </w:rPr>
        <w:t>control</w:t>
      </w:r>
      <w:r>
        <w:rPr>
          <w:spacing w:val="-7"/>
          <w:sz w:val="20"/>
        </w:rPr>
        <w:t> </w:t>
      </w:r>
      <w:r>
        <w:rPr>
          <w:sz w:val="20"/>
        </w:rPr>
        <w:t>over</w:t>
      </w:r>
      <w:r>
        <w:rPr>
          <w:spacing w:val="-4"/>
          <w:sz w:val="20"/>
        </w:rPr>
        <w:t> </w:t>
      </w:r>
      <w:r>
        <w:rPr>
          <w:sz w:val="20"/>
        </w:rPr>
        <w:t>how</w:t>
      </w:r>
      <w:r>
        <w:rPr>
          <w:spacing w:val="-8"/>
          <w:sz w:val="20"/>
        </w:rPr>
        <w:t> </w:t>
      </w:r>
      <w:r>
        <w:rPr>
          <w:sz w:val="20"/>
        </w:rPr>
        <w:t>the</w:t>
      </w:r>
      <w:r>
        <w:rPr>
          <w:spacing w:val="-7"/>
          <w:sz w:val="20"/>
        </w:rPr>
        <w:t> </w:t>
      </w:r>
      <w:r>
        <w:rPr>
          <w:sz w:val="20"/>
        </w:rPr>
        <w:t>licensee</w:t>
      </w:r>
      <w:r>
        <w:rPr>
          <w:spacing w:val="-5"/>
          <w:sz w:val="20"/>
        </w:rPr>
        <w:t> </w:t>
      </w:r>
      <w:r>
        <w:rPr>
          <w:sz w:val="20"/>
        </w:rPr>
        <w:t>uses the licensed mark or name and the quality of products produced by the licensee using the licensed intangibles. For example, a number of luxury brands license their trademarks and logos to perfume and eyewear manufacturers. The licensor will generally impose strict quality controls on the licensees, may obtain</w:t>
      </w:r>
      <w:r>
        <w:rPr>
          <w:spacing w:val="-4"/>
          <w:sz w:val="20"/>
        </w:rPr>
        <w:t> </w:t>
      </w:r>
      <w:r>
        <w:rPr>
          <w:sz w:val="20"/>
        </w:rPr>
        <w:t>rights</w:t>
      </w:r>
      <w:r>
        <w:rPr>
          <w:spacing w:val="-3"/>
          <w:sz w:val="20"/>
        </w:rPr>
        <w:t> </w:t>
      </w:r>
      <w:r>
        <w:rPr>
          <w:sz w:val="20"/>
        </w:rPr>
        <w:t>to</w:t>
      </w:r>
      <w:r>
        <w:rPr>
          <w:spacing w:val="-3"/>
          <w:sz w:val="20"/>
        </w:rPr>
        <w:t> </w:t>
      </w:r>
      <w:r>
        <w:rPr>
          <w:sz w:val="20"/>
        </w:rPr>
        <w:t>audit</w:t>
      </w:r>
      <w:r>
        <w:rPr>
          <w:spacing w:val="-3"/>
          <w:sz w:val="20"/>
        </w:rPr>
        <w:t> </w:t>
      </w:r>
      <w:r>
        <w:rPr>
          <w:sz w:val="20"/>
        </w:rPr>
        <w:t>the</w:t>
      </w:r>
      <w:r>
        <w:rPr>
          <w:spacing w:val="-5"/>
          <w:sz w:val="20"/>
        </w:rPr>
        <w:t> </w:t>
      </w:r>
      <w:r>
        <w:rPr>
          <w:sz w:val="20"/>
        </w:rPr>
        <w:t>licensee’s</w:t>
      </w:r>
      <w:r>
        <w:rPr>
          <w:spacing w:val="-3"/>
          <w:sz w:val="20"/>
        </w:rPr>
        <w:t> </w:t>
      </w:r>
      <w:r>
        <w:rPr>
          <w:sz w:val="20"/>
        </w:rPr>
        <w:t>use</w:t>
      </w:r>
      <w:r>
        <w:rPr>
          <w:spacing w:val="-4"/>
          <w:sz w:val="20"/>
        </w:rPr>
        <w:t> </w:t>
      </w:r>
      <w:r>
        <w:rPr>
          <w:sz w:val="20"/>
        </w:rPr>
        <w:t>of</w:t>
      </w:r>
      <w:r>
        <w:rPr>
          <w:spacing w:val="-2"/>
          <w:sz w:val="20"/>
        </w:rPr>
        <w:t> </w:t>
      </w:r>
      <w:r>
        <w:rPr>
          <w:sz w:val="20"/>
        </w:rPr>
        <w:t>the</w:t>
      </w:r>
      <w:r>
        <w:rPr>
          <w:spacing w:val="-4"/>
          <w:sz w:val="20"/>
        </w:rPr>
        <w:t> </w:t>
      </w:r>
      <w:r>
        <w:rPr>
          <w:sz w:val="20"/>
        </w:rPr>
        <w:t>licensed</w:t>
      </w:r>
      <w:r>
        <w:rPr>
          <w:spacing w:val="-5"/>
          <w:sz w:val="20"/>
        </w:rPr>
        <w:t> </w:t>
      </w:r>
      <w:r>
        <w:rPr>
          <w:sz w:val="20"/>
        </w:rPr>
        <w:t>materials</w:t>
      </w:r>
      <w:r>
        <w:rPr>
          <w:spacing w:val="-3"/>
          <w:sz w:val="20"/>
        </w:rPr>
        <w:t> </w:t>
      </w:r>
      <w:r>
        <w:rPr>
          <w:sz w:val="20"/>
        </w:rPr>
        <w:t>and</w:t>
      </w:r>
      <w:r>
        <w:rPr>
          <w:spacing w:val="-3"/>
          <w:sz w:val="20"/>
        </w:rPr>
        <w:t> </w:t>
      </w:r>
      <w:r>
        <w:rPr>
          <w:sz w:val="20"/>
        </w:rPr>
        <w:t>will</w:t>
      </w:r>
      <w:r>
        <w:rPr>
          <w:spacing w:val="-5"/>
          <w:sz w:val="20"/>
        </w:rPr>
        <w:t> </w:t>
      </w:r>
      <w:r>
        <w:rPr>
          <w:sz w:val="20"/>
        </w:rPr>
        <w:t>often</w:t>
      </w:r>
      <w:r>
        <w:rPr>
          <w:spacing w:val="-2"/>
          <w:sz w:val="20"/>
        </w:rPr>
        <w:t> </w:t>
      </w:r>
      <w:r>
        <w:rPr>
          <w:sz w:val="20"/>
        </w:rPr>
        <w:t>impose</w:t>
      </w:r>
      <w:r>
        <w:rPr>
          <w:spacing w:val="-4"/>
          <w:sz w:val="20"/>
        </w:rPr>
        <w:t> </w:t>
      </w:r>
      <w:r>
        <w:rPr>
          <w:sz w:val="20"/>
        </w:rPr>
        <w:t>restrictions</w:t>
      </w:r>
      <w:r>
        <w:rPr>
          <w:spacing w:val="-3"/>
          <w:sz w:val="20"/>
        </w:rPr>
        <w:t> </w:t>
      </w:r>
      <w:r>
        <w:rPr>
          <w:sz w:val="20"/>
        </w:rPr>
        <w:t>on</w:t>
      </w:r>
      <w:r>
        <w:rPr>
          <w:spacing w:val="-3"/>
          <w:sz w:val="20"/>
        </w:rPr>
        <w:t> </w:t>
      </w:r>
      <w:r>
        <w:rPr>
          <w:sz w:val="20"/>
        </w:rPr>
        <w:t>how the</w:t>
      </w:r>
      <w:r>
        <w:rPr>
          <w:spacing w:val="-5"/>
          <w:sz w:val="20"/>
        </w:rPr>
        <w:t> </w:t>
      </w:r>
      <w:r>
        <w:rPr>
          <w:sz w:val="20"/>
        </w:rPr>
        <w:t>intangibles</w:t>
      </w:r>
      <w:r>
        <w:rPr>
          <w:spacing w:val="-3"/>
          <w:sz w:val="20"/>
        </w:rPr>
        <w:t> </w:t>
      </w:r>
      <w:r>
        <w:rPr>
          <w:sz w:val="20"/>
        </w:rPr>
        <w:t>may</w:t>
      </w:r>
      <w:r>
        <w:rPr>
          <w:spacing w:val="-10"/>
          <w:sz w:val="20"/>
        </w:rPr>
        <w:t> </w:t>
      </w:r>
      <w:r>
        <w:rPr>
          <w:sz w:val="20"/>
        </w:rPr>
        <w:t>be</w:t>
      </w:r>
      <w:r>
        <w:rPr>
          <w:spacing w:val="-4"/>
          <w:sz w:val="20"/>
        </w:rPr>
        <w:t> </w:t>
      </w:r>
      <w:r>
        <w:rPr>
          <w:sz w:val="20"/>
        </w:rPr>
        <w:t>used.</w:t>
      </w:r>
      <w:r>
        <w:rPr>
          <w:spacing w:val="-5"/>
          <w:sz w:val="20"/>
        </w:rPr>
        <w:t> </w:t>
      </w:r>
      <w:r>
        <w:rPr>
          <w:sz w:val="20"/>
        </w:rPr>
        <w:t>Royalties</w:t>
      </w:r>
      <w:r>
        <w:rPr>
          <w:spacing w:val="-3"/>
          <w:sz w:val="20"/>
        </w:rPr>
        <w:t> </w:t>
      </w:r>
      <w:r>
        <w:rPr>
          <w:sz w:val="20"/>
        </w:rPr>
        <w:t>for</w:t>
      </w:r>
      <w:r>
        <w:rPr>
          <w:spacing w:val="-4"/>
          <w:sz w:val="20"/>
        </w:rPr>
        <w:t> </w:t>
      </w:r>
      <w:r>
        <w:rPr>
          <w:sz w:val="20"/>
        </w:rPr>
        <w:t>such</w:t>
      </w:r>
      <w:r>
        <w:rPr>
          <w:spacing w:val="-5"/>
          <w:sz w:val="20"/>
        </w:rPr>
        <w:t> </w:t>
      </w:r>
      <w:r>
        <w:rPr>
          <w:sz w:val="20"/>
        </w:rPr>
        <w:t>licenses</w:t>
      </w:r>
      <w:r>
        <w:rPr>
          <w:spacing w:val="-3"/>
          <w:sz w:val="20"/>
        </w:rPr>
        <w:t> </w:t>
      </w:r>
      <w:r>
        <w:rPr>
          <w:sz w:val="20"/>
        </w:rPr>
        <w:t>are</w:t>
      </w:r>
      <w:r>
        <w:rPr>
          <w:spacing w:val="-4"/>
          <w:sz w:val="20"/>
        </w:rPr>
        <w:t> </w:t>
      </w:r>
      <w:r>
        <w:rPr>
          <w:sz w:val="20"/>
        </w:rPr>
        <w:t>typically</w:t>
      </w:r>
      <w:r>
        <w:rPr>
          <w:spacing w:val="-8"/>
          <w:sz w:val="20"/>
        </w:rPr>
        <w:t> </w:t>
      </w:r>
      <w:r>
        <w:rPr>
          <w:sz w:val="20"/>
        </w:rPr>
        <w:t>commensurate</w:t>
      </w:r>
      <w:r>
        <w:rPr>
          <w:spacing w:val="-3"/>
          <w:sz w:val="20"/>
        </w:rPr>
        <w:t> </w:t>
      </w:r>
      <w:r>
        <w:rPr>
          <w:sz w:val="20"/>
        </w:rPr>
        <w:t>with</w:t>
      </w:r>
      <w:r>
        <w:rPr>
          <w:spacing w:val="-4"/>
          <w:sz w:val="20"/>
        </w:rPr>
        <w:t> </w:t>
      </w:r>
      <w:r>
        <w:rPr>
          <w:sz w:val="20"/>
        </w:rPr>
        <w:t>sales</w:t>
      </w:r>
      <w:r>
        <w:rPr>
          <w:spacing w:val="-4"/>
          <w:sz w:val="20"/>
        </w:rPr>
        <w:t> </w:t>
      </w:r>
      <w:r>
        <w:rPr>
          <w:sz w:val="20"/>
        </w:rPr>
        <w:t>or</w:t>
      </w:r>
      <w:r>
        <w:rPr>
          <w:spacing w:val="-4"/>
          <w:sz w:val="20"/>
        </w:rPr>
        <w:t> </w:t>
      </w:r>
      <w:r>
        <w:rPr>
          <w:sz w:val="20"/>
        </w:rPr>
        <w:t>returns earned by the</w:t>
      </w:r>
      <w:r>
        <w:rPr>
          <w:spacing w:val="-7"/>
          <w:sz w:val="20"/>
        </w:rPr>
        <w:t> </w:t>
      </w:r>
      <w:r>
        <w:rPr>
          <w:sz w:val="20"/>
        </w:rPr>
        <w:t>licensee.</w:t>
      </w:r>
    </w:p>
    <w:p>
      <w:pPr>
        <w:pStyle w:val="ListParagraph"/>
        <w:numPr>
          <w:ilvl w:val="0"/>
          <w:numId w:val="4"/>
        </w:numPr>
        <w:tabs>
          <w:tab w:pos="1444" w:val="left" w:leader="none"/>
        </w:tabs>
        <w:spacing w:line="271" w:lineRule="auto" w:before="121" w:after="0"/>
        <w:ind w:left="723" w:right="485" w:firstLine="0"/>
        <w:jc w:val="both"/>
        <w:rPr>
          <w:sz w:val="20"/>
        </w:rPr>
      </w:pPr>
      <w:r>
        <w:rPr>
          <w:sz w:val="20"/>
        </w:rPr>
        <w:t>At the other end of the spectrum are rights that are licensed to licensees for a fixed fee. In those circumstances, the licensor has no entitlement to share in the revenues earned by the licensee and is entitled</w:t>
      </w:r>
      <w:r>
        <w:rPr>
          <w:spacing w:val="-14"/>
          <w:sz w:val="20"/>
        </w:rPr>
        <w:t> </w:t>
      </w:r>
      <w:r>
        <w:rPr>
          <w:sz w:val="20"/>
        </w:rPr>
        <w:t>to</w:t>
      </w:r>
      <w:r>
        <w:rPr>
          <w:spacing w:val="-12"/>
          <w:sz w:val="20"/>
        </w:rPr>
        <w:t> </w:t>
      </w:r>
      <w:r>
        <w:rPr>
          <w:sz w:val="20"/>
        </w:rPr>
        <w:t>a</w:t>
      </w:r>
      <w:r>
        <w:rPr>
          <w:spacing w:val="-13"/>
          <w:sz w:val="20"/>
        </w:rPr>
        <w:t> </w:t>
      </w:r>
      <w:r>
        <w:rPr>
          <w:sz w:val="20"/>
        </w:rPr>
        <w:t>fixed</w:t>
      </w:r>
      <w:r>
        <w:rPr>
          <w:spacing w:val="-12"/>
          <w:sz w:val="20"/>
        </w:rPr>
        <w:t> </w:t>
      </w:r>
      <w:r>
        <w:rPr>
          <w:sz w:val="20"/>
        </w:rPr>
        <w:t>fee</w:t>
      </w:r>
      <w:r>
        <w:rPr>
          <w:spacing w:val="-13"/>
          <w:sz w:val="20"/>
        </w:rPr>
        <w:t> </w:t>
      </w:r>
      <w:r>
        <w:rPr>
          <w:sz w:val="20"/>
        </w:rPr>
        <w:t>regardless</w:t>
      </w:r>
      <w:r>
        <w:rPr>
          <w:spacing w:val="-12"/>
          <w:sz w:val="20"/>
        </w:rPr>
        <w:t> </w:t>
      </w:r>
      <w:r>
        <w:rPr>
          <w:sz w:val="20"/>
        </w:rPr>
        <w:t>of</w:t>
      </w:r>
      <w:r>
        <w:rPr>
          <w:spacing w:val="-12"/>
          <w:sz w:val="20"/>
        </w:rPr>
        <w:t> </w:t>
      </w:r>
      <w:r>
        <w:rPr>
          <w:sz w:val="20"/>
        </w:rPr>
        <w:t>how</w:t>
      </w:r>
      <w:r>
        <w:rPr>
          <w:spacing w:val="-12"/>
          <w:sz w:val="20"/>
        </w:rPr>
        <w:t> </w:t>
      </w:r>
      <w:r>
        <w:rPr>
          <w:sz w:val="20"/>
        </w:rPr>
        <w:t>successful</w:t>
      </w:r>
      <w:r>
        <w:rPr>
          <w:spacing w:val="-15"/>
          <w:sz w:val="20"/>
        </w:rPr>
        <w:t> </w:t>
      </w:r>
      <w:r>
        <w:rPr>
          <w:sz w:val="20"/>
        </w:rPr>
        <w:t>the</w:t>
      </w:r>
      <w:r>
        <w:rPr>
          <w:spacing w:val="-11"/>
          <w:sz w:val="20"/>
        </w:rPr>
        <w:t> </w:t>
      </w:r>
      <w:r>
        <w:rPr>
          <w:sz w:val="20"/>
        </w:rPr>
        <w:t>licensee</w:t>
      </w:r>
      <w:r>
        <w:rPr>
          <w:spacing w:val="-12"/>
          <w:sz w:val="20"/>
        </w:rPr>
        <w:t> </w:t>
      </w:r>
      <w:r>
        <w:rPr>
          <w:sz w:val="20"/>
        </w:rPr>
        <w:t>is</w:t>
      </w:r>
      <w:r>
        <w:rPr>
          <w:spacing w:val="-12"/>
          <w:sz w:val="20"/>
        </w:rPr>
        <w:t> </w:t>
      </w:r>
      <w:r>
        <w:rPr>
          <w:sz w:val="20"/>
        </w:rPr>
        <w:t>in</w:t>
      </w:r>
      <w:r>
        <w:rPr>
          <w:spacing w:val="-13"/>
          <w:sz w:val="20"/>
        </w:rPr>
        <w:t> </w:t>
      </w:r>
      <w:r>
        <w:rPr>
          <w:sz w:val="20"/>
        </w:rPr>
        <w:t>commercialising</w:t>
      </w:r>
      <w:r>
        <w:rPr>
          <w:spacing w:val="-14"/>
          <w:sz w:val="20"/>
        </w:rPr>
        <w:t> </w:t>
      </w:r>
      <w:r>
        <w:rPr>
          <w:sz w:val="20"/>
        </w:rPr>
        <w:t>the</w:t>
      </w:r>
      <w:r>
        <w:rPr>
          <w:spacing w:val="-2"/>
          <w:sz w:val="20"/>
        </w:rPr>
        <w:t> </w:t>
      </w:r>
      <w:r>
        <w:rPr>
          <w:sz w:val="20"/>
        </w:rPr>
        <w:t>licensed</w:t>
      </w:r>
      <w:r>
        <w:rPr>
          <w:spacing w:val="-13"/>
          <w:sz w:val="20"/>
        </w:rPr>
        <w:t> </w:t>
      </w:r>
      <w:r>
        <w:rPr>
          <w:sz w:val="20"/>
        </w:rPr>
        <w:t>material. Film rights and television rights may be licensed in this way for a fixed period in a particular territory or territories. The licensor will typically have limited rights to control how the licensee operates in respect of the licensed material (although there will be strict controls preventing the licensee from altering that material).</w:t>
      </w:r>
    </w:p>
    <w:p>
      <w:pPr>
        <w:pStyle w:val="ListParagraph"/>
        <w:numPr>
          <w:ilvl w:val="0"/>
          <w:numId w:val="4"/>
        </w:numPr>
        <w:tabs>
          <w:tab w:pos="1444" w:val="left" w:leader="none"/>
        </w:tabs>
        <w:spacing w:line="271" w:lineRule="auto" w:before="123" w:after="0"/>
        <w:ind w:left="723" w:right="481" w:firstLine="0"/>
        <w:jc w:val="both"/>
        <w:rPr>
          <w:sz w:val="20"/>
        </w:rPr>
      </w:pPr>
      <w:r>
        <w:rPr>
          <w:sz w:val="20"/>
        </w:rPr>
        <w:t>In other cases, a licensee may agree to pay a royalty to the licensor based on revenues earned by the licensee. Although the licensor may not have significant authority to prescribe how the licensee operates in respect of the licensed material, the licensor is incentivised to ensure success of the licensee in commercialising the material (as this enhances the licensor’s return). In those cases, it would not be unusual for the licensor to market the licensed material in the jurisdictions covered by the licence.</w:t>
      </w:r>
      <w:r>
        <w:rPr>
          <w:spacing w:val="17"/>
          <w:sz w:val="20"/>
        </w:rPr>
        <w:t> </w:t>
      </w:r>
      <w:r>
        <w:rPr>
          <w:sz w:val="20"/>
        </w:rPr>
        <w:t>Music,</w:t>
      </w:r>
    </w:p>
    <w:p>
      <w:pPr>
        <w:pStyle w:val="BodyText"/>
      </w:pPr>
    </w:p>
    <w:p>
      <w:pPr>
        <w:pStyle w:val="BodyText"/>
        <w:spacing w:before="5"/>
        <w:rPr>
          <w:sz w:val="17"/>
        </w:rPr>
      </w:pPr>
      <w:r>
        <w:rPr/>
        <w:pict>
          <v:rect style="position:absolute;margin-left:65.183998pt;margin-top:11.988485pt;width:144.020004pt;height:.60004pt;mso-position-horizontal-relative:page;mso-position-vertical-relative:paragraph;z-index:-1568972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28" w:val="left" w:leader="none"/>
        </w:tabs>
        <w:spacing w:line="240" w:lineRule="auto" w:before="94" w:after="0"/>
        <w:ind w:left="927" w:right="0" w:hanging="205"/>
        <w:jc w:val="left"/>
        <w:rPr>
          <w:sz w:val="18"/>
        </w:rPr>
      </w:pPr>
      <w:r>
        <w:rPr>
          <w:sz w:val="18"/>
        </w:rPr>
        <w:t>It therefore does not include the licensing of trade intangibles or manufacturing</w:t>
      </w:r>
      <w:r>
        <w:rPr>
          <w:spacing w:val="-12"/>
          <w:sz w:val="18"/>
        </w:rPr>
        <w:t> </w:t>
      </w:r>
      <w:r>
        <w:rPr>
          <w:sz w:val="18"/>
        </w:rPr>
        <w:t>know-how.</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9"/>
        <w:jc w:val="both"/>
      </w:pPr>
      <w:r>
        <w:rPr/>
        <w:t>films</w:t>
      </w:r>
      <w:r>
        <w:rPr>
          <w:spacing w:val="-10"/>
        </w:rPr>
        <w:t> </w:t>
      </w:r>
      <w:r>
        <w:rPr/>
        <w:t>or</w:t>
      </w:r>
      <w:r>
        <w:rPr>
          <w:spacing w:val="-10"/>
        </w:rPr>
        <w:t> </w:t>
      </w:r>
      <w:r>
        <w:rPr/>
        <w:t>other</w:t>
      </w:r>
      <w:r>
        <w:rPr>
          <w:spacing w:val="-10"/>
        </w:rPr>
        <w:t> </w:t>
      </w:r>
      <w:r>
        <w:rPr/>
        <w:t>content</w:t>
      </w:r>
      <w:r>
        <w:rPr>
          <w:spacing w:val="-8"/>
        </w:rPr>
        <w:t> </w:t>
      </w:r>
      <w:r>
        <w:rPr/>
        <w:t>provided</w:t>
      </w:r>
      <w:r>
        <w:rPr>
          <w:spacing w:val="-12"/>
        </w:rPr>
        <w:t> </w:t>
      </w:r>
      <w:r>
        <w:rPr/>
        <w:t>to</w:t>
      </w:r>
      <w:r>
        <w:rPr>
          <w:spacing w:val="-8"/>
        </w:rPr>
        <w:t> </w:t>
      </w:r>
      <w:r>
        <w:rPr/>
        <w:t>a</w:t>
      </w:r>
      <w:r>
        <w:rPr>
          <w:spacing w:val="-8"/>
        </w:rPr>
        <w:t> </w:t>
      </w:r>
      <w:r>
        <w:rPr/>
        <w:t>platform</w:t>
      </w:r>
      <w:r>
        <w:rPr>
          <w:spacing w:val="-7"/>
        </w:rPr>
        <w:t> </w:t>
      </w:r>
      <w:r>
        <w:rPr/>
        <w:t>are</w:t>
      </w:r>
      <w:r>
        <w:rPr>
          <w:spacing w:val="-10"/>
        </w:rPr>
        <w:t> </w:t>
      </w:r>
      <w:r>
        <w:rPr/>
        <w:t>often</w:t>
      </w:r>
      <w:r>
        <w:rPr>
          <w:spacing w:val="-9"/>
        </w:rPr>
        <w:t> </w:t>
      </w:r>
      <w:r>
        <w:rPr/>
        <w:t>licensed</w:t>
      </w:r>
      <w:r>
        <w:rPr>
          <w:spacing w:val="-9"/>
        </w:rPr>
        <w:t> </w:t>
      </w:r>
      <w:r>
        <w:rPr/>
        <w:t>in</w:t>
      </w:r>
      <w:r>
        <w:rPr>
          <w:spacing w:val="-11"/>
        </w:rPr>
        <w:t> </w:t>
      </w:r>
      <w:r>
        <w:rPr/>
        <w:t>this</w:t>
      </w:r>
      <w:r>
        <w:rPr>
          <w:spacing w:val="-8"/>
        </w:rPr>
        <w:t> </w:t>
      </w:r>
      <w:r>
        <w:rPr/>
        <w:t>way,</w:t>
      </w:r>
      <w:r>
        <w:rPr>
          <w:spacing w:val="-8"/>
        </w:rPr>
        <w:t> </w:t>
      </w:r>
      <w:r>
        <w:rPr/>
        <w:t>with</w:t>
      </w:r>
      <w:r>
        <w:rPr>
          <w:spacing w:val="-8"/>
        </w:rPr>
        <w:t> </w:t>
      </w:r>
      <w:r>
        <w:rPr/>
        <w:t>royalties</w:t>
      </w:r>
      <w:r>
        <w:rPr>
          <w:spacing w:val="-10"/>
        </w:rPr>
        <w:t> </w:t>
      </w:r>
      <w:r>
        <w:rPr/>
        <w:t>tied</w:t>
      </w:r>
      <w:r>
        <w:rPr>
          <w:spacing w:val="-9"/>
        </w:rPr>
        <w:t> </w:t>
      </w:r>
      <w:r>
        <w:rPr/>
        <w:t>to</w:t>
      </w:r>
      <w:r>
        <w:rPr>
          <w:spacing w:val="-8"/>
        </w:rPr>
        <w:t> </w:t>
      </w:r>
      <w:r>
        <w:rPr/>
        <w:t>the</w:t>
      </w:r>
      <w:r>
        <w:rPr>
          <w:spacing w:val="-8"/>
        </w:rPr>
        <w:t> </w:t>
      </w:r>
      <w:r>
        <w:rPr/>
        <w:t>number of views / streams / downloads.</w:t>
      </w:r>
    </w:p>
    <w:p>
      <w:pPr>
        <w:pStyle w:val="ListParagraph"/>
        <w:numPr>
          <w:ilvl w:val="0"/>
          <w:numId w:val="4"/>
        </w:numPr>
        <w:tabs>
          <w:tab w:pos="1444" w:val="left" w:leader="none"/>
        </w:tabs>
        <w:spacing w:line="271" w:lineRule="auto" w:before="119" w:after="0"/>
        <w:ind w:left="723" w:right="482" w:firstLine="0"/>
        <w:jc w:val="both"/>
        <w:rPr>
          <w:sz w:val="20"/>
        </w:rPr>
      </w:pPr>
      <w:r>
        <w:rPr>
          <w:sz w:val="20"/>
        </w:rPr>
        <w:t>Although the degree of control over the licensee’s operations and the revenue models may vary, the principle is if the licensor has made available intangible property that is connected to a CFB, then it should</w:t>
      </w:r>
      <w:r>
        <w:rPr>
          <w:spacing w:val="-7"/>
          <w:sz w:val="20"/>
        </w:rPr>
        <w:t> </w:t>
      </w:r>
      <w:r>
        <w:rPr>
          <w:sz w:val="20"/>
        </w:rPr>
        <w:t>be</w:t>
      </w:r>
      <w:r>
        <w:rPr>
          <w:spacing w:val="-5"/>
          <w:sz w:val="20"/>
        </w:rPr>
        <w:t> </w:t>
      </w:r>
      <w:r>
        <w:rPr>
          <w:sz w:val="20"/>
        </w:rPr>
        <w:t>in</w:t>
      </w:r>
      <w:r>
        <w:rPr>
          <w:spacing w:val="-7"/>
          <w:sz w:val="20"/>
        </w:rPr>
        <w:t> </w:t>
      </w:r>
      <w:r>
        <w:rPr>
          <w:sz w:val="20"/>
        </w:rPr>
        <w:t>scope</w:t>
      </w:r>
      <w:r>
        <w:rPr>
          <w:spacing w:val="-6"/>
          <w:sz w:val="20"/>
        </w:rPr>
        <w:t> </w:t>
      </w:r>
      <w:r>
        <w:rPr>
          <w:sz w:val="20"/>
        </w:rPr>
        <w:t>even</w:t>
      </w:r>
      <w:r>
        <w:rPr>
          <w:spacing w:val="-5"/>
          <w:sz w:val="20"/>
        </w:rPr>
        <w:t> </w:t>
      </w:r>
      <w:r>
        <w:rPr>
          <w:sz w:val="20"/>
        </w:rPr>
        <w:t>if</w:t>
      </w:r>
      <w:r>
        <w:rPr>
          <w:spacing w:val="-4"/>
          <w:sz w:val="20"/>
        </w:rPr>
        <w:t> </w:t>
      </w:r>
      <w:r>
        <w:rPr>
          <w:sz w:val="20"/>
        </w:rPr>
        <w:t>it</w:t>
      </w:r>
      <w:r>
        <w:rPr>
          <w:spacing w:val="-4"/>
          <w:sz w:val="20"/>
        </w:rPr>
        <w:t> </w:t>
      </w:r>
      <w:r>
        <w:rPr>
          <w:sz w:val="20"/>
        </w:rPr>
        <w:t>is</w:t>
      </w:r>
      <w:r>
        <w:rPr>
          <w:spacing w:val="-5"/>
          <w:sz w:val="20"/>
        </w:rPr>
        <w:t> </w:t>
      </w:r>
      <w:r>
        <w:rPr>
          <w:sz w:val="20"/>
        </w:rPr>
        <w:t>leveraging</w:t>
      </w:r>
      <w:r>
        <w:rPr>
          <w:spacing w:val="-7"/>
          <w:sz w:val="20"/>
        </w:rPr>
        <w:t> </w:t>
      </w:r>
      <w:r>
        <w:rPr>
          <w:sz w:val="20"/>
        </w:rPr>
        <w:t>the</w:t>
      </w:r>
      <w:r>
        <w:rPr>
          <w:spacing w:val="-7"/>
          <w:sz w:val="20"/>
        </w:rPr>
        <w:t> </w:t>
      </w:r>
      <w:r>
        <w:rPr>
          <w:sz w:val="20"/>
        </w:rPr>
        <w:t>licensee</w:t>
      </w:r>
      <w:r>
        <w:rPr>
          <w:spacing w:val="-5"/>
          <w:sz w:val="20"/>
        </w:rPr>
        <w:t> </w:t>
      </w:r>
      <w:r>
        <w:rPr>
          <w:sz w:val="20"/>
        </w:rPr>
        <w:t>to</w:t>
      </w:r>
      <w:r>
        <w:rPr>
          <w:spacing w:val="-7"/>
          <w:sz w:val="20"/>
        </w:rPr>
        <w:t> </w:t>
      </w:r>
      <w:r>
        <w:rPr>
          <w:sz w:val="20"/>
        </w:rPr>
        <w:t>have</w:t>
      </w:r>
      <w:r>
        <w:rPr>
          <w:spacing w:val="-7"/>
          <w:sz w:val="20"/>
        </w:rPr>
        <w:t> </w:t>
      </w:r>
      <w:r>
        <w:rPr>
          <w:sz w:val="20"/>
        </w:rPr>
        <w:t>that</w:t>
      </w:r>
      <w:r>
        <w:rPr>
          <w:spacing w:val="-6"/>
          <w:sz w:val="20"/>
        </w:rPr>
        <w:t> </w:t>
      </w:r>
      <w:r>
        <w:rPr>
          <w:sz w:val="20"/>
        </w:rPr>
        <w:t>distributed</w:t>
      </w:r>
      <w:r>
        <w:rPr>
          <w:spacing w:val="-7"/>
          <w:sz w:val="20"/>
        </w:rPr>
        <w:t> </w:t>
      </w:r>
      <w:r>
        <w:rPr>
          <w:sz w:val="20"/>
        </w:rPr>
        <w:t>rather</w:t>
      </w:r>
      <w:r>
        <w:rPr>
          <w:spacing w:val="-6"/>
          <w:sz w:val="20"/>
        </w:rPr>
        <w:t> </w:t>
      </w:r>
      <w:r>
        <w:rPr>
          <w:sz w:val="20"/>
        </w:rPr>
        <w:t>than</w:t>
      </w:r>
      <w:r>
        <w:rPr>
          <w:spacing w:val="-5"/>
          <w:sz w:val="20"/>
        </w:rPr>
        <w:t> </w:t>
      </w:r>
      <w:r>
        <w:rPr>
          <w:sz w:val="20"/>
        </w:rPr>
        <w:t>doing</w:t>
      </w:r>
      <w:r>
        <w:rPr>
          <w:spacing w:val="-7"/>
          <w:sz w:val="20"/>
        </w:rPr>
        <w:t> </w:t>
      </w:r>
      <w:r>
        <w:rPr>
          <w:sz w:val="20"/>
        </w:rPr>
        <w:t>this</w:t>
      </w:r>
      <w:r>
        <w:rPr>
          <w:spacing w:val="-3"/>
          <w:sz w:val="20"/>
        </w:rPr>
        <w:t> </w:t>
      </w:r>
      <w:r>
        <w:rPr>
          <w:sz w:val="20"/>
        </w:rPr>
        <w:t>within the same MNE group. If the licensed product / service meets the definition of a consumer-facing good or service, then the licensing arrangement is in</w:t>
      </w:r>
      <w:r>
        <w:rPr>
          <w:spacing w:val="2"/>
          <w:sz w:val="20"/>
        </w:rPr>
        <w:t> </w:t>
      </w:r>
      <w:r>
        <w:rPr>
          <w:sz w:val="20"/>
        </w:rPr>
        <w:t>scope.</w:t>
      </w:r>
    </w:p>
    <w:p>
      <w:pPr>
        <w:pStyle w:val="ListParagraph"/>
        <w:numPr>
          <w:ilvl w:val="0"/>
          <w:numId w:val="4"/>
        </w:numPr>
        <w:tabs>
          <w:tab w:pos="1444" w:val="left" w:leader="none"/>
        </w:tabs>
        <w:spacing w:line="268" w:lineRule="auto" w:before="121" w:after="0"/>
        <w:ind w:left="723" w:right="486" w:firstLine="0"/>
        <w:jc w:val="both"/>
        <w:rPr>
          <w:sz w:val="20"/>
        </w:rPr>
      </w:pPr>
      <w:r>
        <w:rPr>
          <w:sz w:val="20"/>
        </w:rPr>
        <w:t>Therefore, as with franchising, although licensing arrangements involve a different set of legal arrangements in how the goods are made available to the consumer, these methods of exploiting a consumer-facing good or service through the controls over the licensed item being exploited by the licensee</w:t>
      </w:r>
      <w:r>
        <w:rPr>
          <w:spacing w:val="-5"/>
          <w:sz w:val="20"/>
        </w:rPr>
        <w:t> </w:t>
      </w:r>
      <w:r>
        <w:rPr>
          <w:sz w:val="20"/>
        </w:rPr>
        <w:t>would</w:t>
      </w:r>
      <w:r>
        <w:rPr>
          <w:spacing w:val="-7"/>
          <w:sz w:val="20"/>
        </w:rPr>
        <w:t> </w:t>
      </w:r>
      <w:r>
        <w:rPr>
          <w:sz w:val="20"/>
        </w:rPr>
        <w:t>be</w:t>
      </w:r>
      <w:r>
        <w:rPr>
          <w:spacing w:val="-6"/>
          <w:sz w:val="20"/>
        </w:rPr>
        <w:t> </w:t>
      </w:r>
      <w:r>
        <w:rPr>
          <w:sz w:val="20"/>
        </w:rPr>
        <w:t>in</w:t>
      </w:r>
      <w:r>
        <w:rPr>
          <w:spacing w:val="-7"/>
          <w:sz w:val="20"/>
        </w:rPr>
        <w:t> </w:t>
      </w:r>
      <w:r>
        <w:rPr>
          <w:sz w:val="20"/>
        </w:rPr>
        <w:t>scope</w:t>
      </w:r>
      <w:r>
        <w:rPr>
          <w:spacing w:val="-5"/>
          <w:sz w:val="20"/>
        </w:rPr>
        <w:t> </w:t>
      </w:r>
      <w:r>
        <w:rPr>
          <w:sz w:val="20"/>
        </w:rPr>
        <w:t>of</w:t>
      </w:r>
      <w:r>
        <w:rPr>
          <w:spacing w:val="-4"/>
          <w:sz w:val="20"/>
        </w:rPr>
        <w:t> </w:t>
      </w:r>
      <w:r>
        <w:rPr>
          <w:sz w:val="20"/>
        </w:rPr>
        <w:t>CFB.</w:t>
      </w:r>
      <w:r>
        <w:rPr>
          <w:spacing w:val="-6"/>
          <w:sz w:val="20"/>
        </w:rPr>
        <w:t> </w:t>
      </w:r>
      <w:r>
        <w:rPr>
          <w:sz w:val="20"/>
        </w:rPr>
        <w:t>Further</w:t>
      </w:r>
      <w:r>
        <w:rPr>
          <w:spacing w:val="-7"/>
          <w:sz w:val="20"/>
        </w:rPr>
        <w:t> </w:t>
      </w:r>
      <w:r>
        <w:rPr>
          <w:sz w:val="20"/>
        </w:rPr>
        <w:t>consideration</w:t>
      </w:r>
      <w:r>
        <w:rPr>
          <w:spacing w:val="-5"/>
          <w:sz w:val="20"/>
        </w:rPr>
        <w:t> </w:t>
      </w:r>
      <w:r>
        <w:rPr>
          <w:sz w:val="20"/>
        </w:rPr>
        <w:t>will</w:t>
      </w:r>
      <w:r>
        <w:rPr>
          <w:spacing w:val="-7"/>
          <w:sz w:val="20"/>
        </w:rPr>
        <w:t> </w:t>
      </w:r>
      <w:r>
        <w:rPr>
          <w:sz w:val="20"/>
        </w:rPr>
        <w:t>be</w:t>
      </w:r>
      <w:r>
        <w:rPr>
          <w:spacing w:val="-5"/>
          <w:sz w:val="20"/>
        </w:rPr>
        <w:t> </w:t>
      </w:r>
      <w:r>
        <w:rPr>
          <w:sz w:val="20"/>
        </w:rPr>
        <w:t>given</w:t>
      </w:r>
      <w:r>
        <w:rPr>
          <w:spacing w:val="-8"/>
          <w:sz w:val="20"/>
        </w:rPr>
        <w:t> </w:t>
      </w:r>
      <w:r>
        <w:rPr>
          <w:sz w:val="20"/>
        </w:rPr>
        <w:t>to</w:t>
      </w:r>
      <w:r>
        <w:rPr>
          <w:spacing w:val="-7"/>
          <w:sz w:val="20"/>
        </w:rPr>
        <w:t> </w:t>
      </w:r>
      <w:r>
        <w:rPr>
          <w:sz w:val="20"/>
        </w:rPr>
        <w:t>how</w:t>
      </w:r>
      <w:r>
        <w:rPr>
          <w:spacing w:val="-6"/>
          <w:sz w:val="20"/>
        </w:rPr>
        <w:t> </w:t>
      </w:r>
      <w:r>
        <w:rPr>
          <w:sz w:val="20"/>
        </w:rPr>
        <w:t>this</w:t>
      </w:r>
      <w:r>
        <w:rPr>
          <w:spacing w:val="-3"/>
          <w:sz w:val="20"/>
        </w:rPr>
        <w:t> </w:t>
      </w:r>
      <w:r>
        <w:rPr>
          <w:sz w:val="20"/>
        </w:rPr>
        <w:t>approach</w:t>
      </w:r>
      <w:r>
        <w:rPr>
          <w:spacing w:val="-8"/>
          <w:sz w:val="20"/>
        </w:rPr>
        <w:t> </w:t>
      </w:r>
      <w:r>
        <w:rPr>
          <w:sz w:val="20"/>
        </w:rPr>
        <w:t>interacts</w:t>
      </w:r>
      <w:r>
        <w:rPr>
          <w:spacing w:val="-3"/>
          <w:sz w:val="20"/>
        </w:rPr>
        <w:t> </w:t>
      </w:r>
      <w:r>
        <w:rPr>
          <w:sz w:val="20"/>
        </w:rPr>
        <w:t>with other elements of Amount A, such as withholding tax on royalty</w:t>
      </w:r>
      <w:r>
        <w:rPr>
          <w:spacing w:val="-6"/>
          <w:sz w:val="20"/>
        </w:rPr>
        <w:t> </w:t>
      </w:r>
      <w:r>
        <w:rPr>
          <w:sz w:val="20"/>
        </w:rPr>
        <w:t>arrangements.</w:t>
      </w:r>
      <w:r>
        <w:rPr>
          <w:sz w:val="20"/>
          <w:vertAlign w:val="superscript"/>
        </w:rPr>
        <w:t>25</w:t>
      </w:r>
    </w:p>
    <w:p>
      <w:pPr>
        <w:pStyle w:val="BodyText"/>
        <w:spacing w:before="3"/>
        <w:rPr>
          <w:sz w:val="21"/>
        </w:rPr>
      </w:pPr>
    </w:p>
    <w:p>
      <w:pPr>
        <w:pStyle w:val="Heading7"/>
        <w:rPr>
          <w:i/>
        </w:rPr>
      </w:pPr>
      <w:bookmarkStart w:name="Dual use finished goods / services" w:id="54"/>
      <w:bookmarkEnd w:id="54"/>
      <w:r>
        <w:rPr>
          <w:i w:val="0"/>
        </w:rPr>
      </w:r>
      <w:r>
        <w:rPr>
          <w:i/>
          <w:color w:val="616161"/>
        </w:rPr>
        <w:t>Dual use finished goods / services</w:t>
      </w:r>
    </w:p>
    <w:p>
      <w:pPr>
        <w:pStyle w:val="ListParagraph"/>
        <w:numPr>
          <w:ilvl w:val="0"/>
          <w:numId w:val="4"/>
        </w:numPr>
        <w:tabs>
          <w:tab w:pos="1444" w:val="left" w:leader="none"/>
        </w:tabs>
        <w:spacing w:line="271" w:lineRule="auto" w:before="215" w:after="0"/>
        <w:ind w:left="723" w:right="482" w:firstLine="0"/>
        <w:jc w:val="both"/>
        <w:rPr>
          <w:sz w:val="20"/>
        </w:rPr>
      </w:pPr>
      <w:r>
        <w:rPr>
          <w:sz w:val="20"/>
        </w:rPr>
        <w:t>Once a good or service meets the test of being of a type commonly sold to consumers, all sales of goods or services of that type of product will be entirely within scope (subject to the analysis below on dual</w:t>
      </w:r>
      <w:r>
        <w:rPr>
          <w:spacing w:val="-7"/>
          <w:sz w:val="20"/>
        </w:rPr>
        <w:t> </w:t>
      </w:r>
      <w:r>
        <w:rPr>
          <w:sz w:val="20"/>
        </w:rPr>
        <w:t>use</w:t>
      </w:r>
      <w:r>
        <w:rPr>
          <w:spacing w:val="-5"/>
          <w:sz w:val="20"/>
        </w:rPr>
        <w:t> </w:t>
      </w:r>
      <w:r>
        <w:rPr>
          <w:sz w:val="20"/>
        </w:rPr>
        <w:t>intermediate</w:t>
      </w:r>
      <w:r>
        <w:rPr>
          <w:spacing w:val="-4"/>
          <w:sz w:val="20"/>
        </w:rPr>
        <w:t> </w:t>
      </w:r>
      <w:r>
        <w:rPr>
          <w:sz w:val="20"/>
        </w:rPr>
        <w:t>products</w:t>
      </w:r>
      <w:r>
        <w:rPr>
          <w:spacing w:val="-5"/>
          <w:sz w:val="20"/>
        </w:rPr>
        <w:t> </w:t>
      </w:r>
      <w:r>
        <w:rPr>
          <w:sz w:val="20"/>
        </w:rPr>
        <w:t>/</w:t>
      </w:r>
      <w:r>
        <w:rPr>
          <w:spacing w:val="-5"/>
          <w:sz w:val="20"/>
        </w:rPr>
        <w:t> </w:t>
      </w:r>
      <w:r>
        <w:rPr>
          <w:sz w:val="20"/>
        </w:rPr>
        <w:t>components).</w:t>
      </w:r>
      <w:r>
        <w:rPr>
          <w:spacing w:val="-6"/>
          <w:sz w:val="20"/>
        </w:rPr>
        <w:t> </w:t>
      </w:r>
      <w:r>
        <w:rPr>
          <w:sz w:val="20"/>
        </w:rPr>
        <w:t>This</w:t>
      </w:r>
      <w:r>
        <w:rPr>
          <w:spacing w:val="-5"/>
          <w:sz w:val="20"/>
        </w:rPr>
        <w:t> </w:t>
      </w:r>
      <w:r>
        <w:rPr>
          <w:sz w:val="20"/>
        </w:rPr>
        <w:t>remains</w:t>
      </w:r>
      <w:r>
        <w:rPr>
          <w:spacing w:val="-5"/>
          <w:sz w:val="20"/>
        </w:rPr>
        <w:t> </w:t>
      </w:r>
      <w:r>
        <w:rPr>
          <w:sz w:val="20"/>
        </w:rPr>
        <w:t>true,</w:t>
      </w:r>
      <w:r>
        <w:rPr>
          <w:spacing w:val="-6"/>
          <w:sz w:val="20"/>
        </w:rPr>
        <w:t> </w:t>
      </w:r>
      <w:r>
        <w:rPr>
          <w:sz w:val="20"/>
        </w:rPr>
        <w:t>even</w:t>
      </w:r>
      <w:r>
        <w:rPr>
          <w:spacing w:val="-3"/>
          <w:sz w:val="20"/>
        </w:rPr>
        <w:t> </w:t>
      </w:r>
      <w:r>
        <w:rPr>
          <w:sz w:val="20"/>
        </w:rPr>
        <w:t>if</w:t>
      </w:r>
      <w:r>
        <w:rPr>
          <w:spacing w:val="-4"/>
          <w:sz w:val="20"/>
        </w:rPr>
        <w:t> </w:t>
      </w:r>
      <w:r>
        <w:rPr>
          <w:sz w:val="20"/>
        </w:rPr>
        <w:t>the</w:t>
      </w:r>
      <w:r>
        <w:rPr>
          <w:spacing w:val="-5"/>
          <w:sz w:val="20"/>
        </w:rPr>
        <w:t> </w:t>
      </w:r>
      <w:r>
        <w:rPr>
          <w:sz w:val="20"/>
        </w:rPr>
        <w:t>product</w:t>
      </w:r>
      <w:r>
        <w:rPr>
          <w:spacing w:val="-5"/>
          <w:sz w:val="20"/>
        </w:rPr>
        <w:t> </w:t>
      </w:r>
      <w:r>
        <w:rPr>
          <w:sz w:val="20"/>
        </w:rPr>
        <w:t>is</w:t>
      </w:r>
      <w:r>
        <w:rPr>
          <w:spacing w:val="-5"/>
          <w:sz w:val="20"/>
        </w:rPr>
        <w:t> </w:t>
      </w:r>
      <w:r>
        <w:rPr>
          <w:sz w:val="20"/>
        </w:rPr>
        <w:t>sold</w:t>
      </w:r>
      <w:r>
        <w:rPr>
          <w:spacing w:val="-5"/>
          <w:sz w:val="20"/>
        </w:rPr>
        <w:t> </w:t>
      </w:r>
      <w:r>
        <w:rPr>
          <w:sz w:val="20"/>
        </w:rPr>
        <w:t>to</w:t>
      </w:r>
      <w:r>
        <w:rPr>
          <w:spacing w:val="-4"/>
          <w:sz w:val="20"/>
        </w:rPr>
        <w:t> </w:t>
      </w:r>
      <w:r>
        <w:rPr>
          <w:sz w:val="20"/>
        </w:rPr>
        <w:t>a</w:t>
      </w:r>
      <w:r>
        <w:rPr>
          <w:spacing w:val="-4"/>
          <w:sz w:val="20"/>
        </w:rPr>
        <w:t> </w:t>
      </w:r>
      <w:r>
        <w:rPr>
          <w:sz w:val="20"/>
        </w:rPr>
        <w:t>business customer.</w:t>
      </w:r>
      <w:r>
        <w:rPr>
          <w:spacing w:val="-18"/>
          <w:sz w:val="20"/>
        </w:rPr>
        <w:t> </w:t>
      </w:r>
      <w:r>
        <w:rPr>
          <w:sz w:val="20"/>
        </w:rPr>
        <w:t>These</w:t>
      </w:r>
      <w:r>
        <w:rPr>
          <w:spacing w:val="-15"/>
          <w:sz w:val="20"/>
        </w:rPr>
        <w:t> </w:t>
      </w:r>
      <w:r>
        <w:rPr>
          <w:sz w:val="20"/>
        </w:rPr>
        <w:t>are</w:t>
      </w:r>
      <w:r>
        <w:rPr>
          <w:spacing w:val="-15"/>
          <w:sz w:val="20"/>
        </w:rPr>
        <w:t> </w:t>
      </w:r>
      <w:r>
        <w:rPr>
          <w:sz w:val="20"/>
        </w:rPr>
        <w:t>“dual</w:t>
      </w:r>
      <w:r>
        <w:rPr>
          <w:spacing w:val="-15"/>
          <w:sz w:val="20"/>
        </w:rPr>
        <w:t> </w:t>
      </w:r>
      <w:r>
        <w:rPr>
          <w:sz w:val="20"/>
        </w:rPr>
        <w:t>use”</w:t>
      </w:r>
      <w:r>
        <w:rPr>
          <w:spacing w:val="-14"/>
          <w:sz w:val="20"/>
        </w:rPr>
        <w:t> </w:t>
      </w:r>
      <w:r>
        <w:rPr>
          <w:sz w:val="20"/>
        </w:rPr>
        <w:t>products</w:t>
      </w:r>
      <w:r>
        <w:rPr>
          <w:spacing w:val="-14"/>
          <w:sz w:val="20"/>
        </w:rPr>
        <w:t> </w:t>
      </w:r>
      <w:r>
        <w:rPr>
          <w:sz w:val="20"/>
        </w:rPr>
        <w:t>that</w:t>
      </w:r>
      <w:r>
        <w:rPr>
          <w:spacing w:val="-16"/>
          <w:sz w:val="20"/>
        </w:rPr>
        <w:t> </w:t>
      </w:r>
      <w:r>
        <w:rPr>
          <w:sz w:val="20"/>
        </w:rPr>
        <w:t>can</w:t>
      </w:r>
      <w:r>
        <w:rPr>
          <w:spacing w:val="-16"/>
          <w:sz w:val="20"/>
        </w:rPr>
        <w:t> </w:t>
      </w:r>
      <w:r>
        <w:rPr>
          <w:sz w:val="20"/>
        </w:rPr>
        <w:t>be</w:t>
      </w:r>
      <w:r>
        <w:rPr>
          <w:spacing w:val="-15"/>
          <w:sz w:val="20"/>
        </w:rPr>
        <w:t> </w:t>
      </w:r>
      <w:r>
        <w:rPr>
          <w:sz w:val="20"/>
        </w:rPr>
        <w:t>sold</w:t>
      </w:r>
      <w:r>
        <w:rPr>
          <w:spacing w:val="-16"/>
          <w:sz w:val="20"/>
        </w:rPr>
        <w:t> </w:t>
      </w:r>
      <w:r>
        <w:rPr>
          <w:sz w:val="20"/>
        </w:rPr>
        <w:t>to</w:t>
      </w:r>
      <w:r>
        <w:rPr>
          <w:spacing w:val="-15"/>
          <w:sz w:val="20"/>
        </w:rPr>
        <w:t> </w:t>
      </w:r>
      <w:r>
        <w:rPr>
          <w:sz w:val="20"/>
        </w:rPr>
        <w:t>both</w:t>
      </w:r>
      <w:r>
        <w:rPr>
          <w:spacing w:val="-16"/>
          <w:sz w:val="20"/>
        </w:rPr>
        <w:t> </w:t>
      </w:r>
      <w:r>
        <w:rPr>
          <w:sz w:val="20"/>
        </w:rPr>
        <w:t>consumers</w:t>
      </w:r>
      <w:r>
        <w:rPr>
          <w:spacing w:val="-15"/>
          <w:sz w:val="20"/>
        </w:rPr>
        <w:t> </w:t>
      </w:r>
      <w:r>
        <w:rPr>
          <w:sz w:val="20"/>
        </w:rPr>
        <w:t>and</w:t>
      </w:r>
      <w:r>
        <w:rPr>
          <w:spacing w:val="-15"/>
          <w:sz w:val="20"/>
        </w:rPr>
        <w:t> </w:t>
      </w:r>
      <w:r>
        <w:rPr>
          <w:sz w:val="20"/>
        </w:rPr>
        <w:t>businesses.</w:t>
      </w:r>
      <w:r>
        <w:rPr>
          <w:spacing w:val="-15"/>
          <w:sz w:val="20"/>
        </w:rPr>
        <w:t> </w:t>
      </w:r>
      <w:r>
        <w:rPr>
          <w:sz w:val="20"/>
        </w:rPr>
        <w:t>For</w:t>
      </w:r>
      <w:r>
        <w:rPr>
          <w:spacing w:val="-15"/>
          <w:sz w:val="20"/>
        </w:rPr>
        <w:t> </w:t>
      </w:r>
      <w:r>
        <w:rPr>
          <w:sz w:val="20"/>
        </w:rPr>
        <w:t>example, passenger</w:t>
      </w:r>
      <w:r>
        <w:rPr>
          <w:spacing w:val="-7"/>
          <w:sz w:val="20"/>
        </w:rPr>
        <w:t> </w:t>
      </w:r>
      <w:r>
        <w:rPr>
          <w:sz w:val="20"/>
        </w:rPr>
        <w:t>cars,</w:t>
      </w:r>
      <w:r>
        <w:rPr>
          <w:spacing w:val="-6"/>
          <w:sz w:val="20"/>
        </w:rPr>
        <w:t> </w:t>
      </w:r>
      <w:r>
        <w:rPr>
          <w:sz w:val="20"/>
        </w:rPr>
        <w:t>personal</w:t>
      </w:r>
      <w:r>
        <w:rPr>
          <w:spacing w:val="-7"/>
          <w:sz w:val="20"/>
        </w:rPr>
        <w:t> </w:t>
      </w:r>
      <w:r>
        <w:rPr>
          <w:sz w:val="20"/>
        </w:rPr>
        <w:t>computers</w:t>
      </w:r>
      <w:r>
        <w:rPr>
          <w:spacing w:val="-4"/>
          <w:sz w:val="20"/>
        </w:rPr>
        <w:t> </w:t>
      </w:r>
      <w:r>
        <w:rPr>
          <w:sz w:val="20"/>
        </w:rPr>
        <w:t>and</w:t>
      </w:r>
      <w:r>
        <w:rPr>
          <w:spacing w:val="-7"/>
          <w:sz w:val="20"/>
        </w:rPr>
        <w:t> </w:t>
      </w:r>
      <w:r>
        <w:rPr>
          <w:sz w:val="20"/>
        </w:rPr>
        <w:t>some</w:t>
      </w:r>
      <w:r>
        <w:rPr>
          <w:spacing w:val="-9"/>
          <w:sz w:val="20"/>
        </w:rPr>
        <w:t> </w:t>
      </w:r>
      <w:r>
        <w:rPr>
          <w:sz w:val="20"/>
        </w:rPr>
        <w:t>medical</w:t>
      </w:r>
      <w:r>
        <w:rPr>
          <w:spacing w:val="-7"/>
          <w:sz w:val="20"/>
        </w:rPr>
        <w:t> </w:t>
      </w:r>
      <w:r>
        <w:rPr>
          <w:sz w:val="20"/>
        </w:rPr>
        <w:t>products</w:t>
      </w:r>
      <w:r>
        <w:rPr>
          <w:spacing w:val="-4"/>
          <w:sz w:val="20"/>
        </w:rPr>
        <w:t> </w:t>
      </w:r>
      <w:r>
        <w:rPr>
          <w:sz w:val="20"/>
        </w:rPr>
        <w:t>(such</w:t>
      </w:r>
      <w:r>
        <w:rPr>
          <w:spacing w:val="-8"/>
          <w:sz w:val="20"/>
        </w:rPr>
        <w:t> </w:t>
      </w:r>
      <w:r>
        <w:rPr>
          <w:sz w:val="20"/>
        </w:rPr>
        <w:t>as</w:t>
      </w:r>
      <w:r>
        <w:rPr>
          <w:spacing w:val="-6"/>
          <w:sz w:val="20"/>
        </w:rPr>
        <w:t> </w:t>
      </w:r>
      <w:r>
        <w:rPr>
          <w:sz w:val="20"/>
        </w:rPr>
        <w:t>blood</w:t>
      </w:r>
      <w:r>
        <w:rPr>
          <w:spacing w:val="-5"/>
          <w:sz w:val="20"/>
        </w:rPr>
        <w:t> </w:t>
      </w:r>
      <w:r>
        <w:rPr>
          <w:sz w:val="20"/>
        </w:rPr>
        <w:t>pressure</w:t>
      </w:r>
      <w:r>
        <w:rPr>
          <w:spacing w:val="-7"/>
          <w:sz w:val="20"/>
        </w:rPr>
        <w:t> </w:t>
      </w:r>
      <w:r>
        <w:rPr>
          <w:sz w:val="20"/>
        </w:rPr>
        <w:t>monitors)</w:t>
      </w:r>
      <w:r>
        <w:rPr>
          <w:spacing w:val="-2"/>
          <w:sz w:val="20"/>
        </w:rPr>
        <w:t> </w:t>
      </w:r>
      <w:r>
        <w:rPr>
          <w:sz w:val="20"/>
        </w:rPr>
        <w:t>fall</w:t>
      </w:r>
      <w:r>
        <w:rPr>
          <w:spacing w:val="-7"/>
          <w:sz w:val="20"/>
        </w:rPr>
        <w:t> </w:t>
      </w:r>
      <w:r>
        <w:rPr>
          <w:sz w:val="20"/>
        </w:rPr>
        <w:t>in this category. Applying the general definition above, an unusual or infrequent transaction would not re- characterise the goods or service, such as where a product otherwise intended to be B2B is unusually acquired by an</w:t>
      </w:r>
      <w:r>
        <w:rPr>
          <w:spacing w:val="-7"/>
          <w:sz w:val="20"/>
        </w:rPr>
        <w:t> </w:t>
      </w:r>
      <w:r>
        <w:rPr>
          <w:sz w:val="20"/>
        </w:rPr>
        <w:t>individual.</w:t>
      </w:r>
    </w:p>
    <w:p>
      <w:pPr>
        <w:pStyle w:val="ListParagraph"/>
        <w:numPr>
          <w:ilvl w:val="0"/>
          <w:numId w:val="4"/>
        </w:numPr>
        <w:tabs>
          <w:tab w:pos="1444" w:val="left" w:leader="none"/>
        </w:tabs>
        <w:spacing w:line="240" w:lineRule="auto" w:before="121" w:after="0"/>
        <w:ind w:left="1443" w:right="0" w:hanging="721"/>
        <w:jc w:val="both"/>
        <w:rPr>
          <w:sz w:val="20"/>
        </w:rPr>
      </w:pPr>
      <w:r>
        <w:rPr>
          <w:sz w:val="20"/>
        </w:rPr>
        <w:t>There are three reasons for taking this</w:t>
      </w:r>
      <w:r>
        <w:rPr>
          <w:spacing w:val="-7"/>
          <w:sz w:val="20"/>
        </w:rPr>
        <w:t> </w:t>
      </w:r>
      <w:r>
        <w:rPr>
          <w:sz w:val="20"/>
        </w:rPr>
        <w:t>approach.</w:t>
      </w:r>
    </w:p>
    <w:p>
      <w:pPr>
        <w:pStyle w:val="ListParagraph"/>
        <w:numPr>
          <w:ilvl w:val="0"/>
          <w:numId w:val="4"/>
        </w:numPr>
        <w:tabs>
          <w:tab w:pos="1444" w:val="left" w:leader="none"/>
        </w:tabs>
        <w:spacing w:line="271" w:lineRule="auto" w:before="150" w:after="0"/>
        <w:ind w:left="723" w:right="482" w:firstLine="0"/>
        <w:jc w:val="both"/>
        <w:rPr>
          <w:sz w:val="20"/>
        </w:rPr>
      </w:pPr>
      <w:r>
        <w:rPr>
          <w:sz w:val="20"/>
        </w:rPr>
        <w:t>First, at a general level, it is difficult given the nature of these dual use goods to say which </w:t>
      </w:r>
      <w:r>
        <w:rPr>
          <w:spacing w:val="2"/>
          <w:sz w:val="20"/>
        </w:rPr>
        <w:t>parts </w:t>
      </w:r>
      <w:r>
        <w:rPr>
          <w:sz w:val="20"/>
        </w:rPr>
        <w:t>are consumer-facing and which are business-facing. In the case of the passenger car or personal computer, there is nothing conceptually to distinguish one car or computer from another because it is already a finished product designed for consumers. The design features of the car are the same, whether sold to a consumer or to a</w:t>
      </w:r>
      <w:r>
        <w:rPr>
          <w:spacing w:val="-6"/>
          <w:sz w:val="20"/>
        </w:rPr>
        <w:t> </w:t>
      </w:r>
      <w:r>
        <w:rPr>
          <w:sz w:val="20"/>
        </w:rPr>
        <w:t>business.</w:t>
      </w:r>
    </w:p>
    <w:p>
      <w:pPr>
        <w:pStyle w:val="ListParagraph"/>
        <w:numPr>
          <w:ilvl w:val="0"/>
          <w:numId w:val="4"/>
        </w:numPr>
        <w:tabs>
          <w:tab w:pos="1444" w:val="left" w:leader="none"/>
        </w:tabs>
        <w:spacing w:line="271" w:lineRule="auto" w:before="121" w:after="0"/>
        <w:ind w:left="723" w:right="478" w:firstLine="0"/>
        <w:jc w:val="both"/>
        <w:rPr>
          <w:sz w:val="20"/>
        </w:rPr>
      </w:pPr>
      <w:r>
        <w:rPr>
          <w:sz w:val="20"/>
        </w:rPr>
        <w:t>A more practical concern is that tracking revenue according to the nature of the purchaser for every</w:t>
      </w:r>
      <w:r>
        <w:rPr>
          <w:spacing w:val="-12"/>
          <w:sz w:val="20"/>
        </w:rPr>
        <w:t> </w:t>
      </w:r>
      <w:r>
        <w:rPr>
          <w:sz w:val="20"/>
        </w:rPr>
        <w:t>given</w:t>
      </w:r>
      <w:r>
        <w:rPr>
          <w:spacing w:val="-6"/>
          <w:sz w:val="20"/>
        </w:rPr>
        <w:t> </w:t>
      </w:r>
      <w:r>
        <w:rPr>
          <w:sz w:val="20"/>
        </w:rPr>
        <w:t>transaction</w:t>
      </w:r>
      <w:r>
        <w:rPr>
          <w:spacing w:val="-6"/>
          <w:sz w:val="20"/>
        </w:rPr>
        <w:t> </w:t>
      </w:r>
      <w:r>
        <w:rPr>
          <w:sz w:val="20"/>
        </w:rPr>
        <w:t>may</w:t>
      </w:r>
      <w:r>
        <w:rPr>
          <w:spacing w:val="-10"/>
          <w:sz w:val="20"/>
        </w:rPr>
        <w:t> </w:t>
      </w:r>
      <w:r>
        <w:rPr>
          <w:sz w:val="20"/>
        </w:rPr>
        <w:t>be</w:t>
      </w:r>
      <w:r>
        <w:rPr>
          <w:spacing w:val="-6"/>
          <w:sz w:val="20"/>
        </w:rPr>
        <w:t> </w:t>
      </w:r>
      <w:r>
        <w:rPr>
          <w:sz w:val="20"/>
        </w:rPr>
        <w:t>very</w:t>
      </w:r>
      <w:r>
        <w:rPr>
          <w:spacing w:val="-11"/>
          <w:sz w:val="20"/>
        </w:rPr>
        <w:t> </w:t>
      </w:r>
      <w:r>
        <w:rPr>
          <w:sz w:val="20"/>
        </w:rPr>
        <w:t>challenging</w:t>
      </w:r>
      <w:r>
        <w:rPr>
          <w:spacing w:val="-4"/>
          <w:sz w:val="20"/>
        </w:rPr>
        <w:t> </w:t>
      </w:r>
      <w:r>
        <w:rPr>
          <w:sz w:val="20"/>
        </w:rPr>
        <w:t>–</w:t>
      </w:r>
      <w:r>
        <w:rPr>
          <w:spacing w:val="-6"/>
          <w:sz w:val="20"/>
        </w:rPr>
        <w:t> </w:t>
      </w:r>
      <w:r>
        <w:rPr>
          <w:sz w:val="20"/>
        </w:rPr>
        <w:t>and</w:t>
      </w:r>
      <w:r>
        <w:rPr>
          <w:spacing w:val="-6"/>
          <w:sz w:val="20"/>
        </w:rPr>
        <w:t> </w:t>
      </w:r>
      <w:r>
        <w:rPr>
          <w:sz w:val="20"/>
        </w:rPr>
        <w:t>even</w:t>
      </w:r>
      <w:r>
        <w:rPr>
          <w:spacing w:val="-7"/>
          <w:sz w:val="20"/>
        </w:rPr>
        <w:t> </w:t>
      </w:r>
      <w:r>
        <w:rPr>
          <w:sz w:val="20"/>
        </w:rPr>
        <w:t>impossible</w:t>
      </w:r>
      <w:r>
        <w:rPr>
          <w:spacing w:val="-4"/>
          <w:sz w:val="20"/>
        </w:rPr>
        <w:t> </w:t>
      </w:r>
      <w:r>
        <w:rPr>
          <w:sz w:val="20"/>
        </w:rPr>
        <w:t>–</w:t>
      </w:r>
      <w:r>
        <w:rPr>
          <w:spacing w:val="-9"/>
          <w:sz w:val="20"/>
        </w:rPr>
        <w:t> </w:t>
      </w:r>
      <w:r>
        <w:rPr>
          <w:sz w:val="20"/>
        </w:rPr>
        <w:t>for</w:t>
      </w:r>
      <w:r>
        <w:rPr>
          <w:spacing w:val="-7"/>
          <w:sz w:val="20"/>
        </w:rPr>
        <w:t> </w:t>
      </w:r>
      <w:r>
        <w:rPr>
          <w:sz w:val="20"/>
        </w:rPr>
        <w:t>businesses</w:t>
      </w:r>
      <w:r>
        <w:rPr>
          <w:spacing w:val="-7"/>
          <w:sz w:val="20"/>
        </w:rPr>
        <w:t> </w:t>
      </w:r>
      <w:r>
        <w:rPr>
          <w:sz w:val="20"/>
        </w:rPr>
        <w:t>to</w:t>
      </w:r>
      <w:r>
        <w:rPr>
          <w:spacing w:val="-7"/>
          <w:sz w:val="20"/>
        </w:rPr>
        <w:t> </w:t>
      </w:r>
      <w:r>
        <w:rPr>
          <w:sz w:val="20"/>
        </w:rPr>
        <w:t>do.</w:t>
      </w:r>
      <w:r>
        <w:rPr>
          <w:spacing w:val="-5"/>
          <w:sz w:val="20"/>
        </w:rPr>
        <w:t> </w:t>
      </w:r>
      <w:r>
        <w:rPr>
          <w:sz w:val="20"/>
        </w:rPr>
        <w:t>Apart</w:t>
      </w:r>
      <w:r>
        <w:rPr>
          <w:spacing w:val="-7"/>
          <w:sz w:val="20"/>
        </w:rPr>
        <w:t> </w:t>
      </w:r>
      <w:r>
        <w:rPr>
          <w:sz w:val="20"/>
        </w:rPr>
        <w:t>from the administrative burden of recording the consumer purchasers versus business purchasers, </w:t>
      </w:r>
      <w:r>
        <w:rPr>
          <w:spacing w:val="2"/>
          <w:sz w:val="20"/>
        </w:rPr>
        <w:t>that </w:t>
      </w:r>
      <w:r>
        <w:rPr>
          <w:sz w:val="20"/>
        </w:rPr>
        <w:t>very distinction is not necessarily always apparent. The lines between personal and professional use are becoming less distinct, with a changing economy that allows more business activity to take place with personal items, such as working from home on a personal laptop or participating in the sharing economy. In addition, these goods are marketed to consumers, and ultimately used by an individual. This may influence the individual’s future choices and therefore build a relationship with that person, </w:t>
      </w:r>
      <w:r>
        <w:rPr>
          <w:spacing w:val="2"/>
          <w:sz w:val="20"/>
        </w:rPr>
        <w:t>even </w:t>
      </w:r>
      <w:r>
        <w:rPr>
          <w:sz w:val="20"/>
        </w:rPr>
        <w:t>if they originally are not the purchaser (e.g. where a person uses a laptop provided by their employer, becomes familiar with it, and therefore chooses that same brand when it comes time to purchase a laptop for personal use). It would therefore not always be possible on a practical level to distinguish the line of business according to who makes the purchase on a given</w:t>
      </w:r>
      <w:r>
        <w:rPr>
          <w:spacing w:val="-6"/>
          <w:sz w:val="20"/>
        </w:rPr>
        <w:t> </w:t>
      </w:r>
      <w:r>
        <w:rPr>
          <w:sz w:val="20"/>
        </w:rPr>
        <w:t>occasion.</w:t>
      </w:r>
    </w:p>
    <w:p>
      <w:pPr>
        <w:pStyle w:val="ListParagraph"/>
        <w:numPr>
          <w:ilvl w:val="0"/>
          <w:numId w:val="4"/>
        </w:numPr>
        <w:tabs>
          <w:tab w:pos="1444" w:val="left" w:leader="none"/>
        </w:tabs>
        <w:spacing w:line="271" w:lineRule="auto" w:before="122" w:after="0"/>
        <w:ind w:left="723" w:right="486" w:firstLine="0"/>
        <w:jc w:val="both"/>
        <w:rPr>
          <w:sz w:val="20"/>
        </w:rPr>
      </w:pPr>
      <w:r>
        <w:rPr>
          <w:sz w:val="20"/>
        </w:rPr>
        <w:t>Third, if dual use goods were only in scope to the extent of the amount of consumer purchases in practice,</w:t>
      </w:r>
      <w:r>
        <w:rPr>
          <w:spacing w:val="14"/>
          <w:sz w:val="20"/>
        </w:rPr>
        <w:t> </w:t>
      </w:r>
      <w:r>
        <w:rPr>
          <w:sz w:val="20"/>
        </w:rPr>
        <w:t>it</w:t>
      </w:r>
      <w:r>
        <w:rPr>
          <w:spacing w:val="15"/>
          <w:sz w:val="20"/>
        </w:rPr>
        <w:t> </w:t>
      </w:r>
      <w:r>
        <w:rPr>
          <w:sz w:val="20"/>
        </w:rPr>
        <w:t>could</w:t>
      </w:r>
      <w:r>
        <w:rPr>
          <w:spacing w:val="14"/>
          <w:sz w:val="20"/>
        </w:rPr>
        <w:t> </w:t>
      </w:r>
      <w:r>
        <w:rPr>
          <w:sz w:val="20"/>
        </w:rPr>
        <w:t>give</w:t>
      </w:r>
      <w:r>
        <w:rPr>
          <w:spacing w:val="13"/>
          <w:sz w:val="20"/>
        </w:rPr>
        <w:t> </w:t>
      </w:r>
      <w:r>
        <w:rPr>
          <w:sz w:val="20"/>
        </w:rPr>
        <w:t>rise</w:t>
      </w:r>
      <w:r>
        <w:rPr>
          <w:spacing w:val="18"/>
          <w:sz w:val="20"/>
        </w:rPr>
        <w:t> </w:t>
      </w:r>
      <w:r>
        <w:rPr>
          <w:sz w:val="20"/>
        </w:rPr>
        <w:t>to</w:t>
      </w:r>
      <w:r>
        <w:rPr>
          <w:spacing w:val="13"/>
          <w:sz w:val="20"/>
        </w:rPr>
        <w:t> </w:t>
      </w:r>
      <w:r>
        <w:rPr>
          <w:sz w:val="20"/>
        </w:rPr>
        <w:t>a</w:t>
      </w:r>
      <w:r>
        <w:rPr>
          <w:spacing w:val="14"/>
          <w:sz w:val="20"/>
        </w:rPr>
        <w:t> </w:t>
      </w:r>
      <w:r>
        <w:rPr>
          <w:sz w:val="20"/>
        </w:rPr>
        <w:t>need</w:t>
      </w:r>
      <w:r>
        <w:rPr>
          <w:spacing w:val="14"/>
          <w:sz w:val="20"/>
        </w:rPr>
        <w:t> </w:t>
      </w:r>
      <w:r>
        <w:rPr>
          <w:sz w:val="20"/>
        </w:rPr>
        <w:t>for</w:t>
      </w:r>
      <w:r>
        <w:rPr>
          <w:spacing w:val="16"/>
          <w:sz w:val="20"/>
        </w:rPr>
        <w:t> </w:t>
      </w:r>
      <w:r>
        <w:rPr>
          <w:sz w:val="20"/>
        </w:rPr>
        <w:t>look-through</w:t>
      </w:r>
      <w:r>
        <w:rPr>
          <w:spacing w:val="17"/>
          <w:sz w:val="20"/>
        </w:rPr>
        <w:t> </w:t>
      </w:r>
      <w:r>
        <w:rPr>
          <w:sz w:val="20"/>
        </w:rPr>
        <w:t>or</w:t>
      </w:r>
      <w:r>
        <w:rPr>
          <w:spacing w:val="13"/>
          <w:sz w:val="20"/>
        </w:rPr>
        <w:t> </w:t>
      </w:r>
      <w:r>
        <w:rPr>
          <w:sz w:val="20"/>
        </w:rPr>
        <w:t>anti-abuse</w:t>
      </w:r>
      <w:r>
        <w:rPr>
          <w:spacing w:val="14"/>
          <w:sz w:val="20"/>
        </w:rPr>
        <w:t> </w:t>
      </w:r>
      <w:r>
        <w:rPr>
          <w:sz w:val="20"/>
        </w:rPr>
        <w:t>rules</w:t>
      </w:r>
      <w:r>
        <w:rPr>
          <w:spacing w:val="19"/>
          <w:sz w:val="20"/>
        </w:rPr>
        <w:t> </w:t>
      </w:r>
      <w:r>
        <w:rPr>
          <w:sz w:val="20"/>
        </w:rPr>
        <w:t>to</w:t>
      </w:r>
      <w:r>
        <w:rPr>
          <w:spacing w:val="14"/>
          <w:sz w:val="20"/>
        </w:rPr>
        <w:t> </w:t>
      </w:r>
      <w:r>
        <w:rPr>
          <w:sz w:val="20"/>
        </w:rPr>
        <w:t>address</w:t>
      </w:r>
      <w:r>
        <w:rPr>
          <w:spacing w:val="14"/>
          <w:sz w:val="20"/>
        </w:rPr>
        <w:t> </w:t>
      </w:r>
      <w:r>
        <w:rPr>
          <w:sz w:val="20"/>
        </w:rPr>
        <w:t>cases</w:t>
      </w:r>
      <w:r>
        <w:rPr>
          <w:spacing w:val="16"/>
          <w:sz w:val="20"/>
        </w:rPr>
        <w:t> </w:t>
      </w:r>
      <w:r>
        <w:rPr>
          <w:sz w:val="20"/>
        </w:rPr>
        <w:t>where</w:t>
      </w:r>
      <w:r>
        <w:rPr>
          <w:spacing w:val="13"/>
          <w:sz w:val="20"/>
        </w:rPr>
        <w:t> </w:t>
      </w:r>
      <w:r>
        <w:rPr>
          <w:sz w:val="20"/>
        </w:rPr>
        <w:t>sales</w:t>
      </w:r>
    </w:p>
    <w:p>
      <w:pPr>
        <w:pStyle w:val="BodyText"/>
      </w:pPr>
    </w:p>
    <w:p>
      <w:pPr>
        <w:pStyle w:val="BodyText"/>
        <w:rPr>
          <w:sz w:val="21"/>
        </w:rPr>
      </w:pPr>
      <w:r>
        <w:rPr/>
        <w:pict>
          <v:rect style="position:absolute;margin-left:65.183998pt;margin-top:14.047176pt;width:144.020004pt;height:.60004pt;mso-position-horizontal-relative:page;mso-position-vertical-relative:paragraph;z-index:-1568921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28" w:val="left" w:leader="none"/>
        </w:tabs>
        <w:spacing w:line="240" w:lineRule="auto" w:before="94" w:after="0"/>
        <w:ind w:left="927" w:right="0" w:hanging="205"/>
        <w:jc w:val="left"/>
        <w:rPr>
          <w:sz w:val="18"/>
        </w:rPr>
      </w:pPr>
      <w:r>
        <w:rPr>
          <w:sz w:val="18"/>
        </w:rPr>
        <w:t>See also section 6.4, and section</w:t>
      </w:r>
      <w:r>
        <w:rPr>
          <w:spacing w:val="-5"/>
          <w:sz w:val="18"/>
        </w:rPr>
        <w:t> </w:t>
      </w:r>
      <w:r>
        <w:rPr>
          <w:sz w:val="18"/>
        </w:rPr>
        <w:t>7.3.</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were intentionally not made directly to consumers, which would add complexity for business and tax administrations.</w:t>
      </w:r>
    </w:p>
    <w:p>
      <w:pPr>
        <w:pStyle w:val="ListParagraph"/>
        <w:numPr>
          <w:ilvl w:val="0"/>
          <w:numId w:val="4"/>
        </w:numPr>
        <w:tabs>
          <w:tab w:pos="1444" w:val="left" w:leader="none"/>
        </w:tabs>
        <w:spacing w:line="271" w:lineRule="auto" w:before="119" w:after="0"/>
        <w:ind w:left="723" w:right="486" w:firstLine="0"/>
        <w:jc w:val="both"/>
        <w:rPr>
          <w:sz w:val="20"/>
        </w:rPr>
      </w:pPr>
      <w:r>
        <w:rPr>
          <w:sz w:val="20"/>
        </w:rPr>
        <w:t>For these reasons, where the good is of a type commonly sold to consumers, the full amount of sales</w:t>
      </w:r>
      <w:r>
        <w:rPr>
          <w:spacing w:val="-9"/>
          <w:sz w:val="20"/>
        </w:rPr>
        <w:t> </w:t>
      </w:r>
      <w:r>
        <w:rPr>
          <w:sz w:val="20"/>
        </w:rPr>
        <w:t>that</w:t>
      </w:r>
      <w:r>
        <w:rPr>
          <w:spacing w:val="-9"/>
          <w:sz w:val="20"/>
        </w:rPr>
        <w:t> </w:t>
      </w:r>
      <w:r>
        <w:rPr>
          <w:sz w:val="20"/>
        </w:rPr>
        <w:t>are</w:t>
      </w:r>
      <w:r>
        <w:rPr>
          <w:spacing w:val="-6"/>
          <w:sz w:val="20"/>
        </w:rPr>
        <w:t> </w:t>
      </w:r>
      <w:r>
        <w:rPr>
          <w:sz w:val="20"/>
        </w:rPr>
        <w:t>of</w:t>
      </w:r>
      <w:r>
        <w:rPr>
          <w:spacing w:val="-8"/>
          <w:sz w:val="20"/>
        </w:rPr>
        <w:t> </w:t>
      </w:r>
      <w:r>
        <w:rPr>
          <w:sz w:val="20"/>
        </w:rPr>
        <w:t>this</w:t>
      </w:r>
      <w:r>
        <w:rPr>
          <w:spacing w:val="-8"/>
          <w:sz w:val="20"/>
        </w:rPr>
        <w:t> </w:t>
      </w:r>
      <w:r>
        <w:rPr>
          <w:sz w:val="20"/>
        </w:rPr>
        <w:t>type</w:t>
      </w:r>
      <w:r>
        <w:rPr>
          <w:spacing w:val="-9"/>
          <w:sz w:val="20"/>
        </w:rPr>
        <w:t> </w:t>
      </w:r>
      <w:r>
        <w:rPr>
          <w:sz w:val="20"/>
        </w:rPr>
        <w:t>of</w:t>
      </w:r>
      <w:r>
        <w:rPr>
          <w:spacing w:val="-6"/>
          <w:sz w:val="20"/>
        </w:rPr>
        <w:t> </w:t>
      </w:r>
      <w:r>
        <w:rPr>
          <w:sz w:val="20"/>
        </w:rPr>
        <w:t>product</w:t>
      </w:r>
      <w:r>
        <w:rPr>
          <w:spacing w:val="-9"/>
          <w:sz w:val="20"/>
        </w:rPr>
        <w:t> </w:t>
      </w:r>
      <w:r>
        <w:rPr>
          <w:sz w:val="20"/>
        </w:rPr>
        <w:t>/</w:t>
      </w:r>
      <w:r>
        <w:rPr>
          <w:spacing w:val="-9"/>
          <w:sz w:val="20"/>
        </w:rPr>
        <w:t> </w:t>
      </w:r>
      <w:r>
        <w:rPr>
          <w:sz w:val="20"/>
        </w:rPr>
        <w:t>service</w:t>
      </w:r>
      <w:r>
        <w:rPr>
          <w:spacing w:val="-4"/>
          <w:sz w:val="20"/>
        </w:rPr>
        <w:t> </w:t>
      </w:r>
      <w:r>
        <w:rPr>
          <w:sz w:val="20"/>
        </w:rPr>
        <w:t>would</w:t>
      </w:r>
      <w:r>
        <w:rPr>
          <w:spacing w:val="-9"/>
          <w:sz w:val="20"/>
        </w:rPr>
        <w:t> </w:t>
      </w:r>
      <w:r>
        <w:rPr>
          <w:sz w:val="20"/>
        </w:rPr>
        <w:t>be</w:t>
      </w:r>
      <w:r>
        <w:rPr>
          <w:spacing w:val="-8"/>
          <w:sz w:val="20"/>
        </w:rPr>
        <w:t> </w:t>
      </w:r>
      <w:r>
        <w:rPr>
          <w:sz w:val="20"/>
        </w:rPr>
        <w:t>in</w:t>
      </w:r>
      <w:r>
        <w:rPr>
          <w:spacing w:val="-9"/>
          <w:sz w:val="20"/>
        </w:rPr>
        <w:t> </w:t>
      </w:r>
      <w:r>
        <w:rPr>
          <w:sz w:val="20"/>
        </w:rPr>
        <w:t>scope,</w:t>
      </w:r>
      <w:r>
        <w:rPr>
          <w:spacing w:val="-7"/>
          <w:sz w:val="20"/>
        </w:rPr>
        <w:t> </w:t>
      </w:r>
      <w:r>
        <w:rPr>
          <w:sz w:val="20"/>
        </w:rPr>
        <w:t>irrespective</w:t>
      </w:r>
      <w:r>
        <w:rPr>
          <w:spacing w:val="-9"/>
          <w:sz w:val="20"/>
        </w:rPr>
        <w:t> </w:t>
      </w:r>
      <w:r>
        <w:rPr>
          <w:sz w:val="20"/>
        </w:rPr>
        <w:t>of</w:t>
      </w:r>
      <w:r>
        <w:rPr>
          <w:spacing w:val="-5"/>
          <w:sz w:val="20"/>
        </w:rPr>
        <w:t> </w:t>
      </w:r>
      <w:r>
        <w:rPr>
          <w:sz w:val="20"/>
        </w:rPr>
        <w:t>whether</w:t>
      </w:r>
      <w:r>
        <w:rPr>
          <w:spacing w:val="-8"/>
          <w:sz w:val="20"/>
        </w:rPr>
        <w:t> </w:t>
      </w:r>
      <w:r>
        <w:rPr>
          <w:sz w:val="20"/>
        </w:rPr>
        <w:t>a</w:t>
      </w:r>
      <w:r>
        <w:rPr>
          <w:spacing w:val="-8"/>
          <w:sz w:val="20"/>
        </w:rPr>
        <w:t> </w:t>
      </w:r>
      <w:r>
        <w:rPr>
          <w:sz w:val="20"/>
        </w:rPr>
        <w:t>given</w:t>
      </w:r>
      <w:r>
        <w:rPr>
          <w:spacing w:val="-9"/>
          <w:sz w:val="20"/>
        </w:rPr>
        <w:t> </w:t>
      </w:r>
      <w:r>
        <w:rPr>
          <w:sz w:val="20"/>
        </w:rPr>
        <w:t>purchaser is a business or an</w:t>
      </w:r>
      <w:r>
        <w:rPr>
          <w:spacing w:val="-1"/>
          <w:sz w:val="20"/>
        </w:rPr>
        <w:t> </w:t>
      </w:r>
      <w:r>
        <w:rPr>
          <w:sz w:val="20"/>
        </w:rPr>
        <w:t>individual.</w:t>
      </w:r>
    </w:p>
    <w:p>
      <w:pPr>
        <w:pStyle w:val="BodyText"/>
        <w:spacing w:before="1"/>
      </w:pPr>
    </w:p>
    <w:p>
      <w:pPr>
        <w:pStyle w:val="Heading7"/>
        <w:rPr>
          <w:i/>
        </w:rPr>
      </w:pPr>
      <w:bookmarkStart w:name="Dual use intermediate products and compo" w:id="55"/>
      <w:bookmarkEnd w:id="55"/>
      <w:r>
        <w:rPr>
          <w:i w:val="0"/>
        </w:rPr>
      </w:r>
      <w:r>
        <w:rPr>
          <w:i/>
          <w:color w:val="616161"/>
        </w:rPr>
        <w:t>Dual use intermediate products and components</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5" w:firstLine="0"/>
        <w:jc w:val="both"/>
        <w:rPr>
          <w:sz w:val="20"/>
        </w:rPr>
      </w:pPr>
      <w:r>
        <w:rPr>
          <w:sz w:val="20"/>
        </w:rPr>
        <w:t>The Outline notes that businesses selling intermediate products and components that are incorporated into a finished product sold to consumers would be out-of-scope. Examples include wood pulp, steel rods, bulk fabric, and electrical parts within a laptop or phone. These do not meet the test of a CFB</w:t>
      </w:r>
      <w:r>
        <w:rPr>
          <w:spacing w:val="-9"/>
          <w:sz w:val="20"/>
        </w:rPr>
        <w:t> </w:t>
      </w:r>
      <w:r>
        <w:rPr>
          <w:sz w:val="20"/>
        </w:rPr>
        <w:t>–</w:t>
      </w:r>
      <w:r>
        <w:rPr>
          <w:spacing w:val="-9"/>
          <w:sz w:val="20"/>
        </w:rPr>
        <w:t> </w:t>
      </w:r>
      <w:r>
        <w:rPr>
          <w:sz w:val="20"/>
        </w:rPr>
        <w:t>neither</w:t>
      </w:r>
      <w:r>
        <w:rPr>
          <w:spacing w:val="-9"/>
          <w:sz w:val="20"/>
        </w:rPr>
        <w:t> </w:t>
      </w:r>
      <w:r>
        <w:rPr>
          <w:sz w:val="20"/>
        </w:rPr>
        <w:t>when</w:t>
      </w:r>
      <w:r>
        <w:rPr>
          <w:spacing w:val="-9"/>
          <w:sz w:val="20"/>
        </w:rPr>
        <w:t> </w:t>
      </w:r>
      <w:r>
        <w:rPr>
          <w:sz w:val="20"/>
        </w:rPr>
        <w:t>considering</w:t>
      </w:r>
      <w:r>
        <w:rPr>
          <w:spacing w:val="-9"/>
          <w:sz w:val="20"/>
        </w:rPr>
        <w:t> </w:t>
      </w:r>
      <w:r>
        <w:rPr>
          <w:sz w:val="20"/>
        </w:rPr>
        <w:t>the</w:t>
      </w:r>
      <w:r>
        <w:rPr>
          <w:spacing w:val="-9"/>
          <w:sz w:val="20"/>
        </w:rPr>
        <w:t> </w:t>
      </w:r>
      <w:r>
        <w:rPr>
          <w:sz w:val="20"/>
        </w:rPr>
        <w:t>nature</w:t>
      </w:r>
      <w:r>
        <w:rPr>
          <w:spacing w:val="-8"/>
          <w:sz w:val="20"/>
        </w:rPr>
        <w:t> </w:t>
      </w:r>
      <w:r>
        <w:rPr>
          <w:sz w:val="20"/>
        </w:rPr>
        <w:t>of</w:t>
      </w:r>
      <w:r>
        <w:rPr>
          <w:spacing w:val="-8"/>
          <w:sz w:val="20"/>
        </w:rPr>
        <w:t> </w:t>
      </w:r>
      <w:r>
        <w:rPr>
          <w:sz w:val="20"/>
        </w:rPr>
        <w:t>the</w:t>
      </w:r>
      <w:r>
        <w:rPr>
          <w:spacing w:val="-9"/>
          <w:sz w:val="20"/>
        </w:rPr>
        <w:t> </w:t>
      </w:r>
      <w:r>
        <w:rPr>
          <w:sz w:val="20"/>
        </w:rPr>
        <w:t>MNE’s</w:t>
      </w:r>
      <w:r>
        <w:rPr>
          <w:spacing w:val="-8"/>
          <w:sz w:val="20"/>
        </w:rPr>
        <w:t> </w:t>
      </w:r>
      <w:r>
        <w:rPr>
          <w:sz w:val="20"/>
        </w:rPr>
        <w:t>relationship</w:t>
      </w:r>
      <w:r>
        <w:rPr>
          <w:spacing w:val="-7"/>
          <w:sz w:val="20"/>
        </w:rPr>
        <w:t> </w:t>
      </w:r>
      <w:r>
        <w:rPr>
          <w:sz w:val="20"/>
        </w:rPr>
        <w:t>with</w:t>
      </w:r>
      <w:r>
        <w:rPr>
          <w:spacing w:val="-9"/>
          <w:sz w:val="20"/>
        </w:rPr>
        <w:t> </w:t>
      </w:r>
      <w:r>
        <w:rPr>
          <w:sz w:val="20"/>
        </w:rPr>
        <w:t>the</w:t>
      </w:r>
      <w:r>
        <w:rPr>
          <w:spacing w:val="-9"/>
          <w:sz w:val="20"/>
        </w:rPr>
        <w:t> </w:t>
      </w:r>
      <w:r>
        <w:rPr>
          <w:sz w:val="20"/>
        </w:rPr>
        <w:t>consumer</w:t>
      </w:r>
      <w:r>
        <w:rPr>
          <w:spacing w:val="-11"/>
          <w:sz w:val="20"/>
        </w:rPr>
        <w:t> </w:t>
      </w:r>
      <w:r>
        <w:rPr>
          <w:sz w:val="20"/>
        </w:rPr>
        <w:t>(which</w:t>
      </w:r>
      <w:r>
        <w:rPr>
          <w:spacing w:val="-7"/>
          <w:sz w:val="20"/>
        </w:rPr>
        <w:t> </w:t>
      </w:r>
      <w:r>
        <w:rPr>
          <w:sz w:val="20"/>
        </w:rPr>
        <w:t>will</w:t>
      </w:r>
      <w:r>
        <w:rPr>
          <w:spacing w:val="-10"/>
          <w:sz w:val="20"/>
        </w:rPr>
        <w:t> </w:t>
      </w:r>
      <w:r>
        <w:rPr>
          <w:sz w:val="20"/>
        </w:rPr>
        <w:t>be</w:t>
      </w:r>
      <w:r>
        <w:rPr>
          <w:spacing w:val="-9"/>
          <w:sz w:val="20"/>
        </w:rPr>
        <w:t> </w:t>
      </w:r>
      <w:r>
        <w:rPr>
          <w:sz w:val="20"/>
        </w:rPr>
        <w:t>one of an intermediate manufacturer of component parts), or the type of product itself (which will not be of a type commonly sold to</w:t>
      </w:r>
      <w:r>
        <w:rPr>
          <w:spacing w:val="-6"/>
          <w:sz w:val="20"/>
        </w:rPr>
        <w:t> </w:t>
      </w:r>
      <w:r>
        <w:rPr>
          <w:sz w:val="20"/>
        </w:rPr>
        <w:t>consumers).</w:t>
      </w:r>
    </w:p>
    <w:p>
      <w:pPr>
        <w:pStyle w:val="ListParagraph"/>
        <w:numPr>
          <w:ilvl w:val="0"/>
          <w:numId w:val="4"/>
        </w:numPr>
        <w:tabs>
          <w:tab w:pos="1444" w:val="left" w:leader="none"/>
        </w:tabs>
        <w:spacing w:line="271" w:lineRule="auto" w:before="121" w:after="0"/>
        <w:ind w:left="723" w:right="481" w:firstLine="0"/>
        <w:jc w:val="both"/>
        <w:rPr>
          <w:sz w:val="20"/>
        </w:rPr>
      </w:pPr>
      <w:r>
        <w:rPr>
          <w:sz w:val="20"/>
        </w:rPr>
        <w:t>However, some intermediate products / components are dual use. That is that they are of a type that is also designed for use by consumers. If such intermediate products / components meet the general definition above, they would be in scope. Possible examples include a car tyre, some replacement parts, batteries for consumer products, and some types of medical products such as bandages. However, they would be in scope only to the extent of the sales to consumers (unlike the analysis above for dual use finished products, which are entirely in</w:t>
      </w:r>
      <w:r>
        <w:rPr>
          <w:spacing w:val="1"/>
          <w:sz w:val="20"/>
        </w:rPr>
        <w:t> </w:t>
      </w:r>
      <w:r>
        <w:rPr>
          <w:sz w:val="20"/>
        </w:rPr>
        <w:t>scope).</w:t>
      </w:r>
    </w:p>
    <w:p>
      <w:pPr>
        <w:pStyle w:val="ListParagraph"/>
        <w:numPr>
          <w:ilvl w:val="0"/>
          <w:numId w:val="4"/>
        </w:numPr>
        <w:tabs>
          <w:tab w:pos="1444" w:val="left" w:leader="none"/>
        </w:tabs>
        <w:spacing w:line="240" w:lineRule="auto" w:before="121" w:after="0"/>
        <w:ind w:left="1443" w:right="0" w:hanging="721"/>
        <w:jc w:val="both"/>
        <w:rPr>
          <w:sz w:val="20"/>
        </w:rPr>
      </w:pPr>
      <w:r>
        <w:rPr>
          <w:sz w:val="20"/>
        </w:rPr>
        <w:t>This approach would give the most accurate result for two</w:t>
      </w:r>
      <w:r>
        <w:rPr>
          <w:spacing w:val="-7"/>
          <w:sz w:val="20"/>
        </w:rPr>
        <w:t> </w:t>
      </w:r>
      <w:r>
        <w:rPr>
          <w:sz w:val="20"/>
        </w:rPr>
        <w:t>reasons.</w:t>
      </w:r>
    </w:p>
    <w:p>
      <w:pPr>
        <w:pStyle w:val="ListParagraph"/>
        <w:numPr>
          <w:ilvl w:val="0"/>
          <w:numId w:val="4"/>
        </w:numPr>
        <w:tabs>
          <w:tab w:pos="1444" w:val="left" w:leader="none"/>
        </w:tabs>
        <w:spacing w:line="271" w:lineRule="auto" w:before="149" w:after="0"/>
        <w:ind w:left="723" w:right="484" w:firstLine="0"/>
        <w:jc w:val="both"/>
        <w:rPr>
          <w:sz w:val="20"/>
        </w:rPr>
      </w:pPr>
      <w:r>
        <w:rPr>
          <w:sz w:val="20"/>
        </w:rPr>
        <w:t>First, the nature of an intermediate product / component has differences whether being sold to businesses</w:t>
      </w:r>
      <w:r>
        <w:rPr>
          <w:spacing w:val="-14"/>
          <w:sz w:val="20"/>
        </w:rPr>
        <w:t> </w:t>
      </w:r>
      <w:r>
        <w:rPr>
          <w:sz w:val="20"/>
        </w:rPr>
        <w:t>or</w:t>
      </w:r>
      <w:r>
        <w:rPr>
          <w:spacing w:val="-13"/>
          <w:sz w:val="20"/>
        </w:rPr>
        <w:t> </w:t>
      </w:r>
      <w:r>
        <w:rPr>
          <w:sz w:val="20"/>
        </w:rPr>
        <w:t>to</w:t>
      </w:r>
      <w:r>
        <w:rPr>
          <w:spacing w:val="-15"/>
          <w:sz w:val="20"/>
        </w:rPr>
        <w:t> </w:t>
      </w:r>
      <w:r>
        <w:rPr>
          <w:sz w:val="20"/>
        </w:rPr>
        <w:t>consumers.</w:t>
      </w:r>
      <w:r>
        <w:rPr>
          <w:spacing w:val="-15"/>
          <w:sz w:val="20"/>
        </w:rPr>
        <w:t> </w:t>
      </w:r>
      <w:r>
        <w:rPr>
          <w:sz w:val="20"/>
        </w:rPr>
        <w:t>For</w:t>
      </w:r>
      <w:r>
        <w:rPr>
          <w:spacing w:val="-14"/>
          <w:sz w:val="20"/>
        </w:rPr>
        <w:t> </w:t>
      </w:r>
      <w:r>
        <w:rPr>
          <w:sz w:val="20"/>
        </w:rPr>
        <w:t>example,</w:t>
      </w:r>
      <w:r>
        <w:rPr>
          <w:spacing w:val="-15"/>
          <w:sz w:val="20"/>
        </w:rPr>
        <w:t> </w:t>
      </w:r>
      <w:r>
        <w:rPr>
          <w:sz w:val="20"/>
        </w:rPr>
        <w:t>the</w:t>
      </w:r>
      <w:r>
        <w:rPr>
          <w:spacing w:val="-15"/>
          <w:sz w:val="20"/>
        </w:rPr>
        <w:t> </w:t>
      </w:r>
      <w:r>
        <w:rPr>
          <w:sz w:val="20"/>
        </w:rPr>
        <w:t>packaging,</w:t>
      </w:r>
      <w:r>
        <w:rPr>
          <w:spacing w:val="-12"/>
          <w:sz w:val="20"/>
        </w:rPr>
        <w:t> </w:t>
      </w:r>
      <w:r>
        <w:rPr>
          <w:sz w:val="20"/>
        </w:rPr>
        <w:t>pricing</w:t>
      </w:r>
      <w:r>
        <w:rPr>
          <w:spacing w:val="-15"/>
          <w:sz w:val="20"/>
        </w:rPr>
        <w:t> </w:t>
      </w:r>
      <w:r>
        <w:rPr>
          <w:sz w:val="20"/>
        </w:rPr>
        <w:t>and</w:t>
      </w:r>
      <w:r>
        <w:rPr>
          <w:spacing w:val="-13"/>
          <w:sz w:val="20"/>
        </w:rPr>
        <w:t> </w:t>
      </w:r>
      <w:r>
        <w:rPr>
          <w:sz w:val="20"/>
        </w:rPr>
        <w:t>distribution</w:t>
      </w:r>
      <w:r>
        <w:rPr>
          <w:spacing w:val="-13"/>
          <w:sz w:val="20"/>
        </w:rPr>
        <w:t> </w:t>
      </w:r>
      <w:r>
        <w:rPr>
          <w:sz w:val="20"/>
        </w:rPr>
        <w:t>channels</w:t>
      </w:r>
      <w:r>
        <w:rPr>
          <w:spacing w:val="-11"/>
          <w:sz w:val="20"/>
        </w:rPr>
        <w:t> </w:t>
      </w:r>
      <w:r>
        <w:rPr>
          <w:sz w:val="20"/>
        </w:rPr>
        <w:t>will</w:t>
      </w:r>
      <w:r>
        <w:rPr>
          <w:spacing w:val="-13"/>
          <w:sz w:val="20"/>
        </w:rPr>
        <w:t> </w:t>
      </w:r>
      <w:r>
        <w:rPr>
          <w:sz w:val="20"/>
        </w:rPr>
        <w:t>be</w:t>
      </w:r>
      <w:r>
        <w:rPr>
          <w:spacing w:val="-13"/>
          <w:sz w:val="20"/>
        </w:rPr>
        <w:t> </w:t>
      </w:r>
      <w:r>
        <w:rPr>
          <w:sz w:val="20"/>
        </w:rPr>
        <w:t>different (e.g. where packaging for consumers contains branding and instructions for consumer use, where packaging</w:t>
      </w:r>
      <w:r>
        <w:rPr>
          <w:spacing w:val="-6"/>
          <w:sz w:val="20"/>
        </w:rPr>
        <w:t> </w:t>
      </w:r>
      <w:r>
        <w:rPr>
          <w:sz w:val="20"/>
        </w:rPr>
        <w:t>is</w:t>
      </w:r>
      <w:r>
        <w:rPr>
          <w:spacing w:val="-5"/>
          <w:sz w:val="20"/>
        </w:rPr>
        <w:t> </w:t>
      </w:r>
      <w:r>
        <w:rPr>
          <w:sz w:val="20"/>
        </w:rPr>
        <w:t>in</w:t>
      </w:r>
      <w:r>
        <w:rPr>
          <w:spacing w:val="-7"/>
          <w:sz w:val="20"/>
        </w:rPr>
        <w:t> </w:t>
      </w:r>
      <w:r>
        <w:rPr>
          <w:sz w:val="20"/>
        </w:rPr>
        <w:t>smaller</w:t>
      </w:r>
      <w:r>
        <w:rPr>
          <w:spacing w:val="-6"/>
          <w:sz w:val="20"/>
        </w:rPr>
        <w:t> </w:t>
      </w:r>
      <w:r>
        <w:rPr>
          <w:sz w:val="20"/>
        </w:rPr>
        <w:t>individual</w:t>
      </w:r>
      <w:r>
        <w:rPr>
          <w:spacing w:val="-7"/>
          <w:sz w:val="20"/>
        </w:rPr>
        <w:t> </w:t>
      </w:r>
      <w:r>
        <w:rPr>
          <w:sz w:val="20"/>
        </w:rPr>
        <w:t>lots</w:t>
      </w:r>
      <w:r>
        <w:rPr>
          <w:spacing w:val="-6"/>
          <w:sz w:val="20"/>
        </w:rPr>
        <w:t> </w:t>
      </w:r>
      <w:r>
        <w:rPr>
          <w:sz w:val="20"/>
        </w:rPr>
        <w:t>rather</w:t>
      </w:r>
      <w:r>
        <w:rPr>
          <w:spacing w:val="-6"/>
          <w:sz w:val="20"/>
        </w:rPr>
        <w:t> </w:t>
      </w:r>
      <w:r>
        <w:rPr>
          <w:sz w:val="20"/>
        </w:rPr>
        <w:t>than</w:t>
      </w:r>
      <w:r>
        <w:rPr>
          <w:spacing w:val="-4"/>
          <w:sz w:val="20"/>
        </w:rPr>
        <w:t> </w:t>
      </w:r>
      <w:r>
        <w:rPr>
          <w:sz w:val="20"/>
        </w:rPr>
        <w:t>in</w:t>
      </w:r>
      <w:r>
        <w:rPr>
          <w:spacing w:val="-5"/>
          <w:sz w:val="20"/>
        </w:rPr>
        <w:t> </w:t>
      </w:r>
      <w:r>
        <w:rPr>
          <w:sz w:val="20"/>
        </w:rPr>
        <w:t>bulk,</w:t>
      </w:r>
      <w:r>
        <w:rPr>
          <w:spacing w:val="-6"/>
          <w:sz w:val="20"/>
        </w:rPr>
        <w:t> </w:t>
      </w:r>
      <w:r>
        <w:rPr>
          <w:sz w:val="20"/>
        </w:rPr>
        <w:t>or</w:t>
      </w:r>
      <w:r>
        <w:rPr>
          <w:spacing w:val="-6"/>
          <w:sz w:val="20"/>
        </w:rPr>
        <w:t> </w:t>
      </w:r>
      <w:r>
        <w:rPr>
          <w:sz w:val="20"/>
        </w:rPr>
        <w:t>where</w:t>
      </w:r>
      <w:r>
        <w:rPr>
          <w:spacing w:val="-7"/>
          <w:sz w:val="20"/>
        </w:rPr>
        <w:t> </w:t>
      </w:r>
      <w:r>
        <w:rPr>
          <w:sz w:val="20"/>
        </w:rPr>
        <w:t>price</w:t>
      </w:r>
      <w:r>
        <w:rPr>
          <w:spacing w:val="-7"/>
          <w:sz w:val="20"/>
        </w:rPr>
        <w:t> </w:t>
      </w:r>
      <w:r>
        <w:rPr>
          <w:sz w:val="20"/>
        </w:rPr>
        <w:t>points</w:t>
      </w:r>
      <w:r>
        <w:rPr>
          <w:spacing w:val="-6"/>
          <w:sz w:val="20"/>
        </w:rPr>
        <w:t> </w:t>
      </w:r>
      <w:r>
        <w:rPr>
          <w:sz w:val="20"/>
        </w:rPr>
        <w:t>are</w:t>
      </w:r>
      <w:r>
        <w:rPr>
          <w:spacing w:val="-4"/>
          <w:sz w:val="20"/>
        </w:rPr>
        <w:t> </w:t>
      </w:r>
      <w:r>
        <w:rPr>
          <w:sz w:val="20"/>
        </w:rPr>
        <w:t>higher</w:t>
      </w:r>
      <w:r>
        <w:rPr>
          <w:spacing w:val="-6"/>
          <w:sz w:val="20"/>
        </w:rPr>
        <w:t> </w:t>
      </w:r>
      <w:r>
        <w:rPr>
          <w:sz w:val="20"/>
        </w:rPr>
        <w:t>for</w:t>
      </w:r>
      <w:r>
        <w:rPr>
          <w:spacing w:val="-6"/>
          <w:sz w:val="20"/>
        </w:rPr>
        <w:t> </w:t>
      </w:r>
      <w:r>
        <w:rPr>
          <w:sz w:val="20"/>
        </w:rPr>
        <w:t>retail</w:t>
      </w:r>
      <w:r>
        <w:rPr>
          <w:spacing w:val="-7"/>
          <w:sz w:val="20"/>
        </w:rPr>
        <w:t> </w:t>
      </w:r>
      <w:r>
        <w:rPr>
          <w:sz w:val="20"/>
        </w:rPr>
        <w:t>sale,</w:t>
      </w:r>
      <w:r>
        <w:rPr>
          <w:spacing w:val="-7"/>
          <w:sz w:val="20"/>
        </w:rPr>
        <w:t> </w:t>
      </w:r>
      <w:r>
        <w:rPr>
          <w:sz w:val="20"/>
        </w:rPr>
        <w:t>or where there is a separate distribution channel directed to consumer sales). These features make it inherently a consumer product and not a component; but the sales to business retain features of a component part.</w:t>
      </w:r>
    </w:p>
    <w:p>
      <w:pPr>
        <w:pStyle w:val="ListParagraph"/>
        <w:numPr>
          <w:ilvl w:val="0"/>
          <w:numId w:val="4"/>
        </w:numPr>
        <w:tabs>
          <w:tab w:pos="1444" w:val="left" w:leader="none"/>
        </w:tabs>
        <w:spacing w:line="271" w:lineRule="auto" w:before="123" w:after="0"/>
        <w:ind w:left="723" w:right="484" w:firstLine="0"/>
        <w:jc w:val="both"/>
        <w:rPr>
          <w:sz w:val="20"/>
        </w:rPr>
      </w:pPr>
      <w:r>
        <w:rPr>
          <w:sz w:val="20"/>
        </w:rPr>
        <w:t>Furthermore, including only the sales actually made to consumers is a much simpler compliance approach. The alternative would be to include in scope even the sale of component parts to businesses on the basis that sometimes they can be directly acquired by a consumer. This would be a significant compliance burden, and would require difficult revenue sourcing rules to be developed. This is because a component part when sold to a business would then need to be traced through what may be a complex supply chain. For example, in the case of a car tyre, this may be shipped to the location of the factory where all tyres are stored, to the factory where the cars are assembled and further manufactured, and through</w:t>
      </w:r>
      <w:r>
        <w:rPr>
          <w:spacing w:val="-4"/>
          <w:sz w:val="20"/>
        </w:rPr>
        <w:t> </w:t>
      </w:r>
      <w:r>
        <w:rPr>
          <w:sz w:val="20"/>
        </w:rPr>
        <w:t>the</w:t>
      </w:r>
      <w:r>
        <w:rPr>
          <w:spacing w:val="-3"/>
          <w:sz w:val="20"/>
        </w:rPr>
        <w:t> </w:t>
      </w:r>
      <w:r>
        <w:rPr>
          <w:sz w:val="20"/>
        </w:rPr>
        <w:t>distribution</w:t>
      </w:r>
      <w:r>
        <w:rPr>
          <w:spacing w:val="-4"/>
          <w:sz w:val="20"/>
        </w:rPr>
        <w:t> </w:t>
      </w:r>
      <w:r>
        <w:rPr>
          <w:sz w:val="20"/>
        </w:rPr>
        <w:t>channel</w:t>
      </w:r>
      <w:r>
        <w:rPr>
          <w:spacing w:val="-4"/>
          <w:sz w:val="20"/>
        </w:rPr>
        <w:t> </w:t>
      </w:r>
      <w:r>
        <w:rPr>
          <w:sz w:val="20"/>
        </w:rPr>
        <w:t>to</w:t>
      </w:r>
      <w:r>
        <w:rPr>
          <w:spacing w:val="-2"/>
          <w:sz w:val="20"/>
        </w:rPr>
        <w:t> </w:t>
      </w:r>
      <w:r>
        <w:rPr>
          <w:sz w:val="20"/>
        </w:rPr>
        <w:t>locate</w:t>
      </w:r>
      <w:r>
        <w:rPr>
          <w:spacing w:val="-3"/>
          <w:sz w:val="20"/>
        </w:rPr>
        <w:t> </w:t>
      </w:r>
      <w:r>
        <w:rPr>
          <w:sz w:val="20"/>
        </w:rPr>
        <w:t>the</w:t>
      </w:r>
      <w:r>
        <w:rPr>
          <w:spacing w:val="-2"/>
          <w:sz w:val="20"/>
        </w:rPr>
        <w:t> </w:t>
      </w:r>
      <w:r>
        <w:rPr>
          <w:sz w:val="20"/>
        </w:rPr>
        <w:t>place</w:t>
      </w:r>
      <w:r>
        <w:rPr>
          <w:spacing w:val="-2"/>
          <w:sz w:val="20"/>
        </w:rPr>
        <w:t> </w:t>
      </w:r>
      <w:r>
        <w:rPr>
          <w:sz w:val="20"/>
        </w:rPr>
        <w:t>where</w:t>
      </w:r>
      <w:r>
        <w:rPr>
          <w:spacing w:val="-3"/>
          <w:sz w:val="20"/>
        </w:rPr>
        <w:t> </w:t>
      </w:r>
      <w:r>
        <w:rPr>
          <w:sz w:val="20"/>
        </w:rPr>
        <w:t>the</w:t>
      </w:r>
      <w:r>
        <w:rPr>
          <w:spacing w:val="-5"/>
          <w:sz w:val="20"/>
        </w:rPr>
        <w:t> </w:t>
      </w:r>
      <w:r>
        <w:rPr>
          <w:sz w:val="20"/>
        </w:rPr>
        <w:t>tyre</w:t>
      </w:r>
      <w:r>
        <w:rPr>
          <w:spacing w:val="-2"/>
          <w:sz w:val="20"/>
        </w:rPr>
        <w:t> </w:t>
      </w:r>
      <w:r>
        <w:rPr>
          <w:sz w:val="20"/>
        </w:rPr>
        <w:t>is</w:t>
      </w:r>
      <w:r>
        <w:rPr>
          <w:spacing w:val="-2"/>
          <w:sz w:val="20"/>
        </w:rPr>
        <w:t> </w:t>
      </w:r>
      <w:r>
        <w:rPr>
          <w:sz w:val="20"/>
        </w:rPr>
        <w:t>ultimately</w:t>
      </w:r>
      <w:r>
        <w:rPr>
          <w:spacing w:val="-7"/>
          <w:sz w:val="20"/>
        </w:rPr>
        <w:t> </w:t>
      </w:r>
      <w:r>
        <w:rPr>
          <w:sz w:val="20"/>
        </w:rPr>
        <w:t>sold</w:t>
      </w:r>
      <w:r>
        <w:rPr>
          <w:spacing w:val="-4"/>
          <w:sz w:val="20"/>
        </w:rPr>
        <w:t> </w:t>
      </w:r>
      <w:r>
        <w:rPr>
          <w:sz w:val="20"/>
        </w:rPr>
        <w:t>to</w:t>
      </w:r>
      <w:r>
        <w:rPr>
          <w:spacing w:val="-3"/>
          <w:sz w:val="20"/>
        </w:rPr>
        <w:t> </w:t>
      </w:r>
      <w:r>
        <w:rPr>
          <w:sz w:val="20"/>
        </w:rPr>
        <w:t>a</w:t>
      </w:r>
      <w:r>
        <w:rPr>
          <w:spacing w:val="-5"/>
          <w:sz w:val="20"/>
        </w:rPr>
        <w:t> </w:t>
      </w:r>
      <w:r>
        <w:rPr>
          <w:sz w:val="20"/>
        </w:rPr>
        <w:t>consumer</w:t>
      </w:r>
      <w:r>
        <w:rPr>
          <w:spacing w:val="-4"/>
          <w:sz w:val="20"/>
        </w:rPr>
        <w:t> </w:t>
      </w:r>
      <w:r>
        <w:rPr>
          <w:sz w:val="20"/>
        </w:rPr>
        <w:t>as</w:t>
      </w:r>
      <w:r>
        <w:rPr>
          <w:spacing w:val="-3"/>
          <w:sz w:val="20"/>
        </w:rPr>
        <w:t> </w:t>
      </w:r>
      <w:r>
        <w:rPr>
          <w:sz w:val="20"/>
        </w:rPr>
        <w:t>part of the car. Instead, the obligation would only be to source those sales made to consumers, which should be feasible because of the different nature of the product when sold to consumers, as noted</w:t>
      </w:r>
      <w:r>
        <w:rPr>
          <w:spacing w:val="-38"/>
          <w:sz w:val="20"/>
        </w:rPr>
        <w:t> </w:t>
      </w:r>
      <w:r>
        <w:rPr>
          <w:sz w:val="20"/>
        </w:rPr>
        <w:t>above.</w:t>
      </w:r>
    </w:p>
    <w:p>
      <w:pPr>
        <w:pStyle w:val="ListParagraph"/>
        <w:numPr>
          <w:ilvl w:val="0"/>
          <w:numId w:val="4"/>
        </w:numPr>
        <w:tabs>
          <w:tab w:pos="1444" w:val="left" w:leader="none"/>
        </w:tabs>
        <w:spacing w:line="271" w:lineRule="auto" w:before="121" w:after="0"/>
        <w:ind w:left="723" w:right="481" w:firstLine="0"/>
        <w:jc w:val="both"/>
        <w:rPr>
          <w:sz w:val="20"/>
        </w:rPr>
      </w:pPr>
      <w:r>
        <w:rPr>
          <w:sz w:val="20"/>
        </w:rPr>
        <w:t>However, the compliance burdens and benefits associated with this approach are being further considered</w:t>
      </w:r>
      <w:r>
        <w:rPr>
          <w:spacing w:val="-10"/>
          <w:sz w:val="20"/>
        </w:rPr>
        <w:t> </w:t>
      </w:r>
      <w:r>
        <w:rPr>
          <w:sz w:val="20"/>
        </w:rPr>
        <w:t>in</w:t>
      </w:r>
      <w:r>
        <w:rPr>
          <w:spacing w:val="-8"/>
          <w:sz w:val="20"/>
        </w:rPr>
        <w:t> </w:t>
      </w:r>
      <w:r>
        <w:rPr>
          <w:sz w:val="20"/>
        </w:rPr>
        <w:t>order</w:t>
      </w:r>
      <w:r>
        <w:rPr>
          <w:spacing w:val="-9"/>
          <w:sz w:val="20"/>
        </w:rPr>
        <w:t> </w:t>
      </w:r>
      <w:r>
        <w:rPr>
          <w:sz w:val="20"/>
        </w:rPr>
        <w:t>to</w:t>
      </w:r>
      <w:r>
        <w:rPr>
          <w:spacing w:val="-10"/>
          <w:sz w:val="20"/>
        </w:rPr>
        <w:t> </w:t>
      </w:r>
      <w:r>
        <w:rPr>
          <w:sz w:val="20"/>
        </w:rPr>
        <w:t>inform</w:t>
      </w:r>
      <w:r>
        <w:rPr>
          <w:spacing w:val="-7"/>
          <w:sz w:val="20"/>
        </w:rPr>
        <w:t> </w:t>
      </w:r>
      <w:r>
        <w:rPr>
          <w:sz w:val="20"/>
        </w:rPr>
        <w:t>the</w:t>
      </w:r>
      <w:r>
        <w:rPr>
          <w:spacing w:val="-10"/>
          <w:sz w:val="20"/>
        </w:rPr>
        <w:t> </w:t>
      </w:r>
      <w:r>
        <w:rPr>
          <w:sz w:val="20"/>
        </w:rPr>
        <w:t>approach,</w:t>
      </w:r>
      <w:r>
        <w:rPr>
          <w:spacing w:val="-10"/>
          <w:sz w:val="20"/>
        </w:rPr>
        <w:t> </w:t>
      </w:r>
      <w:r>
        <w:rPr>
          <w:sz w:val="20"/>
        </w:rPr>
        <w:t>as</w:t>
      </w:r>
      <w:r>
        <w:rPr>
          <w:spacing w:val="-9"/>
          <w:sz w:val="20"/>
        </w:rPr>
        <w:t> </w:t>
      </w:r>
      <w:r>
        <w:rPr>
          <w:sz w:val="20"/>
        </w:rPr>
        <w:t>well</w:t>
      </w:r>
      <w:r>
        <w:rPr>
          <w:spacing w:val="-11"/>
          <w:sz w:val="20"/>
        </w:rPr>
        <w:t> </w:t>
      </w:r>
      <w:r>
        <w:rPr>
          <w:sz w:val="20"/>
        </w:rPr>
        <w:t>as</w:t>
      </w:r>
      <w:r>
        <w:rPr>
          <w:spacing w:val="-9"/>
          <w:sz w:val="20"/>
        </w:rPr>
        <w:t> </w:t>
      </w:r>
      <w:r>
        <w:rPr>
          <w:sz w:val="20"/>
        </w:rPr>
        <w:t>whether</w:t>
      </w:r>
      <w:r>
        <w:rPr>
          <w:spacing w:val="-9"/>
          <w:sz w:val="20"/>
        </w:rPr>
        <w:t> </w:t>
      </w:r>
      <w:r>
        <w:rPr>
          <w:sz w:val="20"/>
        </w:rPr>
        <w:t>simplification</w:t>
      </w:r>
      <w:r>
        <w:rPr>
          <w:spacing w:val="-10"/>
          <w:sz w:val="20"/>
        </w:rPr>
        <w:t> </w:t>
      </w:r>
      <w:r>
        <w:rPr>
          <w:sz w:val="20"/>
        </w:rPr>
        <w:t>measures</w:t>
      </w:r>
      <w:r>
        <w:rPr>
          <w:spacing w:val="-8"/>
          <w:sz w:val="20"/>
        </w:rPr>
        <w:t> </w:t>
      </w:r>
      <w:r>
        <w:rPr>
          <w:sz w:val="20"/>
        </w:rPr>
        <w:t>should</w:t>
      </w:r>
      <w:r>
        <w:rPr>
          <w:spacing w:val="-10"/>
          <w:sz w:val="20"/>
        </w:rPr>
        <w:t> </w:t>
      </w:r>
      <w:r>
        <w:rPr>
          <w:sz w:val="20"/>
        </w:rPr>
        <w:t>be</w:t>
      </w:r>
      <w:r>
        <w:rPr>
          <w:spacing w:val="-9"/>
          <w:sz w:val="20"/>
        </w:rPr>
        <w:t> </w:t>
      </w:r>
      <w:r>
        <w:rPr>
          <w:sz w:val="20"/>
        </w:rPr>
        <w:t>included and whether further guidance can be provided on delineating dual use finished goods from dual use intermediate products / component. It is noted that some Inclusive Framework members would, in the interests</w:t>
      </w:r>
      <w:r>
        <w:rPr>
          <w:spacing w:val="-5"/>
          <w:sz w:val="20"/>
        </w:rPr>
        <w:t> </w:t>
      </w:r>
      <w:r>
        <w:rPr>
          <w:sz w:val="20"/>
        </w:rPr>
        <w:t>of</w:t>
      </w:r>
      <w:r>
        <w:rPr>
          <w:spacing w:val="-7"/>
          <w:sz w:val="20"/>
        </w:rPr>
        <w:t> </w:t>
      </w:r>
      <w:r>
        <w:rPr>
          <w:sz w:val="20"/>
        </w:rPr>
        <w:t>addressing</w:t>
      </w:r>
      <w:r>
        <w:rPr>
          <w:spacing w:val="-6"/>
          <w:sz w:val="20"/>
        </w:rPr>
        <w:t> </w:t>
      </w:r>
      <w:r>
        <w:rPr>
          <w:sz w:val="20"/>
        </w:rPr>
        <w:t>the</w:t>
      </w:r>
      <w:r>
        <w:rPr>
          <w:spacing w:val="-6"/>
          <w:sz w:val="20"/>
        </w:rPr>
        <w:t> </w:t>
      </w:r>
      <w:r>
        <w:rPr>
          <w:sz w:val="20"/>
        </w:rPr>
        <w:t>compliance</w:t>
      </w:r>
      <w:r>
        <w:rPr>
          <w:spacing w:val="-8"/>
          <w:sz w:val="20"/>
        </w:rPr>
        <w:t> </w:t>
      </w:r>
      <w:r>
        <w:rPr>
          <w:sz w:val="20"/>
        </w:rPr>
        <w:t>costs,</w:t>
      </w:r>
      <w:r>
        <w:rPr>
          <w:spacing w:val="-8"/>
          <w:sz w:val="20"/>
        </w:rPr>
        <w:t> </w:t>
      </w:r>
      <w:r>
        <w:rPr>
          <w:sz w:val="20"/>
        </w:rPr>
        <w:t>favour</w:t>
      </w:r>
      <w:r>
        <w:rPr>
          <w:spacing w:val="-7"/>
          <w:sz w:val="20"/>
        </w:rPr>
        <w:t> </w:t>
      </w:r>
      <w:r>
        <w:rPr>
          <w:sz w:val="20"/>
        </w:rPr>
        <w:t>removing</w:t>
      </w:r>
      <w:r>
        <w:rPr>
          <w:spacing w:val="-9"/>
          <w:sz w:val="20"/>
        </w:rPr>
        <w:t> </w:t>
      </w:r>
      <w:r>
        <w:rPr>
          <w:sz w:val="20"/>
        </w:rPr>
        <w:t>all</w:t>
      </w:r>
      <w:r>
        <w:rPr>
          <w:spacing w:val="-6"/>
          <w:sz w:val="20"/>
        </w:rPr>
        <w:t> </w:t>
      </w:r>
      <w:r>
        <w:rPr>
          <w:sz w:val="20"/>
        </w:rPr>
        <w:t>component</w:t>
      </w:r>
      <w:r>
        <w:rPr>
          <w:spacing w:val="-9"/>
          <w:sz w:val="20"/>
        </w:rPr>
        <w:t> </w:t>
      </w:r>
      <w:r>
        <w:rPr>
          <w:sz w:val="20"/>
        </w:rPr>
        <w:t>/</w:t>
      </w:r>
      <w:r>
        <w:rPr>
          <w:spacing w:val="-5"/>
          <w:sz w:val="20"/>
        </w:rPr>
        <w:t> </w:t>
      </w:r>
      <w:r>
        <w:rPr>
          <w:sz w:val="20"/>
        </w:rPr>
        <w:t>intermediate</w:t>
      </w:r>
      <w:r>
        <w:rPr>
          <w:spacing w:val="-7"/>
          <w:sz w:val="20"/>
        </w:rPr>
        <w:t> </w:t>
      </w:r>
      <w:r>
        <w:rPr>
          <w:sz w:val="20"/>
        </w:rPr>
        <w:t>products</w:t>
      </w:r>
      <w:r>
        <w:rPr>
          <w:spacing w:val="-7"/>
          <w:sz w:val="20"/>
        </w:rPr>
        <w:t> </w:t>
      </w:r>
      <w:r>
        <w:rPr>
          <w:sz w:val="20"/>
        </w:rPr>
        <w:t>from scope (even those that are otherwise consumer products); while one member favours including all component / intermediate products that are dual use, irrespective of sale to business or consumers in scope.</w:t>
      </w:r>
    </w:p>
    <w:p>
      <w:pPr>
        <w:spacing w:after="0" w:line="271" w:lineRule="auto"/>
        <w:jc w:val="both"/>
        <w:rPr>
          <w:sz w:val="20"/>
        </w:rPr>
        <w:sectPr>
          <w:pgSz w:w="11910" w:h="16840"/>
          <w:pgMar w:header="1244" w:footer="1638" w:top="1500" w:bottom="1820" w:left="580" w:right="820"/>
        </w:sectPr>
      </w:pPr>
    </w:p>
    <w:p>
      <w:pPr>
        <w:pStyle w:val="BodyText"/>
        <w:spacing w:before="4"/>
        <w:rPr>
          <w:sz w:val="19"/>
        </w:rPr>
      </w:pPr>
    </w:p>
    <w:p>
      <w:pPr>
        <w:pStyle w:val="ListParagraph"/>
        <w:numPr>
          <w:ilvl w:val="2"/>
          <w:numId w:val="7"/>
        </w:numPr>
        <w:tabs>
          <w:tab w:pos="2015" w:val="left" w:leader="none"/>
        </w:tabs>
        <w:spacing w:line="240" w:lineRule="auto" w:before="94" w:after="0"/>
        <w:ind w:left="2014" w:right="0" w:hanging="613"/>
        <w:jc w:val="left"/>
        <w:rPr>
          <w:b/>
          <w:i/>
          <w:sz w:val="22"/>
        </w:rPr>
      </w:pPr>
      <w:bookmarkStart w:name="2.2.3. Exclusions and carve-outs" w:id="56"/>
      <w:bookmarkEnd w:id="56"/>
      <w:r>
        <w:rPr/>
      </w:r>
      <w:bookmarkStart w:name="2.2.3. Exclusions and carve-outs" w:id="57"/>
      <w:bookmarkEnd w:id="57"/>
      <w:r>
        <w:rPr>
          <w:b/>
          <w:i/>
          <w:sz w:val="22"/>
        </w:rPr>
        <w:t>Exc</w:t>
      </w:r>
      <w:r>
        <w:rPr>
          <w:b/>
          <w:i/>
          <w:sz w:val="22"/>
        </w:rPr>
        <w:t>lusions and</w:t>
      </w:r>
      <w:r>
        <w:rPr>
          <w:b/>
          <w:i/>
          <w:spacing w:val="-3"/>
          <w:sz w:val="22"/>
        </w:rPr>
        <w:t> </w:t>
      </w:r>
      <w:r>
        <w:rPr>
          <w:b/>
          <w:i/>
          <w:sz w:val="22"/>
        </w:rPr>
        <w:t>carve-outs</w:t>
      </w:r>
    </w:p>
    <w:p>
      <w:pPr>
        <w:pStyle w:val="BodyText"/>
        <w:spacing w:before="10"/>
        <w:rPr>
          <w:b/>
          <w:i/>
          <w:sz w:val="18"/>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This section sets out the types of activities that are proposed to be specifically excluded from Amount A. These are: (i) natural resources; (ii) financial services (iii) construction, sale and leasing of residential property; and (iv) international airline and shipping</w:t>
      </w:r>
      <w:r>
        <w:rPr>
          <w:spacing w:val="-12"/>
          <w:sz w:val="20"/>
        </w:rPr>
        <w:t> </w:t>
      </w:r>
      <w:r>
        <w:rPr>
          <w:sz w:val="20"/>
        </w:rPr>
        <w:t>businesses.</w:t>
      </w:r>
    </w:p>
    <w:p>
      <w:pPr>
        <w:pStyle w:val="ListParagraph"/>
        <w:numPr>
          <w:ilvl w:val="0"/>
          <w:numId w:val="4"/>
        </w:numPr>
        <w:tabs>
          <w:tab w:pos="1444" w:val="left" w:leader="none"/>
        </w:tabs>
        <w:spacing w:line="271" w:lineRule="auto" w:before="120" w:after="0"/>
        <w:ind w:left="723" w:right="480" w:firstLine="0"/>
        <w:jc w:val="both"/>
        <w:rPr>
          <w:sz w:val="20"/>
        </w:rPr>
      </w:pPr>
      <w:r>
        <w:rPr>
          <w:sz w:val="20"/>
        </w:rPr>
        <w:t>Many</w:t>
      </w:r>
      <w:r>
        <w:rPr>
          <w:spacing w:val="-7"/>
          <w:sz w:val="20"/>
        </w:rPr>
        <w:t> </w:t>
      </w:r>
      <w:r>
        <w:rPr>
          <w:sz w:val="20"/>
        </w:rPr>
        <w:t>of</w:t>
      </w:r>
      <w:r>
        <w:rPr>
          <w:spacing w:val="-2"/>
          <w:sz w:val="20"/>
        </w:rPr>
        <w:t> </w:t>
      </w:r>
      <w:r>
        <w:rPr>
          <w:sz w:val="20"/>
        </w:rPr>
        <w:t>the</w:t>
      </w:r>
      <w:r>
        <w:rPr>
          <w:spacing w:val="-4"/>
          <w:sz w:val="20"/>
        </w:rPr>
        <w:t> </w:t>
      </w:r>
      <w:r>
        <w:rPr>
          <w:sz w:val="20"/>
        </w:rPr>
        <w:t>goods</w:t>
      </w:r>
      <w:r>
        <w:rPr>
          <w:spacing w:val="-3"/>
          <w:sz w:val="20"/>
        </w:rPr>
        <w:t> </w:t>
      </w:r>
      <w:r>
        <w:rPr>
          <w:sz w:val="20"/>
        </w:rPr>
        <w:t>and</w:t>
      </w:r>
      <w:r>
        <w:rPr>
          <w:spacing w:val="-4"/>
          <w:sz w:val="20"/>
        </w:rPr>
        <w:t> </w:t>
      </w:r>
      <w:r>
        <w:rPr>
          <w:sz w:val="20"/>
        </w:rPr>
        <w:t>services</w:t>
      </w:r>
      <w:r>
        <w:rPr>
          <w:spacing w:val="-3"/>
          <w:sz w:val="20"/>
        </w:rPr>
        <w:t> </w:t>
      </w:r>
      <w:r>
        <w:rPr>
          <w:sz w:val="20"/>
        </w:rPr>
        <w:t>sold</w:t>
      </w:r>
      <w:r>
        <w:rPr>
          <w:spacing w:val="-2"/>
          <w:sz w:val="20"/>
        </w:rPr>
        <w:t> </w:t>
      </w:r>
      <w:r>
        <w:rPr>
          <w:sz w:val="20"/>
        </w:rPr>
        <w:t>in</w:t>
      </w:r>
      <w:r>
        <w:rPr>
          <w:spacing w:val="-4"/>
          <w:sz w:val="20"/>
        </w:rPr>
        <w:t> </w:t>
      </w:r>
      <w:r>
        <w:rPr>
          <w:sz w:val="20"/>
        </w:rPr>
        <w:t>these</w:t>
      </w:r>
      <w:r>
        <w:rPr>
          <w:spacing w:val="-4"/>
          <w:sz w:val="20"/>
        </w:rPr>
        <w:t> </w:t>
      </w:r>
      <w:r>
        <w:rPr>
          <w:sz w:val="20"/>
        </w:rPr>
        <w:t>sectors</w:t>
      </w:r>
      <w:r>
        <w:rPr>
          <w:spacing w:val="1"/>
          <w:sz w:val="20"/>
        </w:rPr>
        <w:t> </w:t>
      </w:r>
      <w:r>
        <w:rPr>
          <w:sz w:val="20"/>
        </w:rPr>
        <w:t>would</w:t>
      </w:r>
      <w:r>
        <w:rPr>
          <w:spacing w:val="-4"/>
          <w:sz w:val="20"/>
        </w:rPr>
        <w:t> </w:t>
      </w:r>
      <w:r>
        <w:rPr>
          <w:sz w:val="20"/>
        </w:rPr>
        <w:t>already</w:t>
      </w:r>
      <w:r>
        <w:rPr>
          <w:spacing w:val="-6"/>
          <w:sz w:val="20"/>
        </w:rPr>
        <w:t> </w:t>
      </w:r>
      <w:r>
        <w:rPr>
          <w:sz w:val="20"/>
        </w:rPr>
        <w:t>be</w:t>
      </w:r>
      <w:r>
        <w:rPr>
          <w:spacing w:val="-4"/>
          <w:sz w:val="20"/>
        </w:rPr>
        <w:t> </w:t>
      </w:r>
      <w:r>
        <w:rPr>
          <w:sz w:val="20"/>
        </w:rPr>
        <w:t>out-of-scope</w:t>
      </w:r>
      <w:r>
        <w:rPr>
          <w:spacing w:val="-4"/>
          <w:sz w:val="20"/>
        </w:rPr>
        <w:t> </w:t>
      </w:r>
      <w:r>
        <w:rPr>
          <w:sz w:val="20"/>
        </w:rPr>
        <w:t>of</w:t>
      </w:r>
      <w:r>
        <w:rPr>
          <w:spacing w:val="-2"/>
          <w:sz w:val="20"/>
        </w:rPr>
        <w:t> </w:t>
      </w:r>
      <w:r>
        <w:rPr>
          <w:sz w:val="20"/>
        </w:rPr>
        <w:t>Amount</w:t>
      </w:r>
      <w:r>
        <w:rPr>
          <w:spacing w:val="-4"/>
          <w:sz w:val="20"/>
        </w:rPr>
        <w:t> </w:t>
      </w:r>
      <w:r>
        <w:rPr>
          <w:sz w:val="20"/>
        </w:rPr>
        <w:t>A because they are neither consumer products nor ADS. For clarity, specific exclusions are set out for the whole or, as appropriate, parts of these</w:t>
      </w:r>
      <w:r>
        <w:rPr>
          <w:spacing w:val="-1"/>
          <w:sz w:val="20"/>
        </w:rPr>
        <w:t> </w:t>
      </w:r>
      <w:r>
        <w:rPr>
          <w:sz w:val="20"/>
        </w:rPr>
        <w:t>sectors.</w:t>
      </w:r>
    </w:p>
    <w:p>
      <w:pPr>
        <w:pStyle w:val="ListParagraph"/>
        <w:numPr>
          <w:ilvl w:val="0"/>
          <w:numId w:val="4"/>
        </w:numPr>
        <w:tabs>
          <w:tab w:pos="1444" w:val="left" w:leader="none"/>
        </w:tabs>
        <w:spacing w:line="273" w:lineRule="auto" w:before="121" w:after="0"/>
        <w:ind w:left="723" w:right="483" w:firstLine="0"/>
        <w:jc w:val="both"/>
        <w:rPr>
          <w:sz w:val="20"/>
        </w:rPr>
      </w:pPr>
      <w:r>
        <w:rPr>
          <w:sz w:val="20"/>
        </w:rPr>
        <w:t>This section sets out the rationale for exclusions by reference to the ADS and CFB criteria indicated</w:t>
      </w:r>
      <w:r>
        <w:rPr>
          <w:spacing w:val="-12"/>
          <w:sz w:val="20"/>
        </w:rPr>
        <w:t> </w:t>
      </w:r>
      <w:r>
        <w:rPr>
          <w:sz w:val="20"/>
        </w:rPr>
        <w:t>in</w:t>
      </w:r>
      <w:r>
        <w:rPr>
          <w:spacing w:val="-13"/>
          <w:sz w:val="20"/>
        </w:rPr>
        <w:t> </w:t>
      </w:r>
      <w:r>
        <w:rPr>
          <w:sz w:val="20"/>
        </w:rPr>
        <w:t>the</w:t>
      </w:r>
      <w:r>
        <w:rPr>
          <w:spacing w:val="-12"/>
          <w:sz w:val="20"/>
        </w:rPr>
        <w:t> </w:t>
      </w:r>
      <w:r>
        <w:rPr>
          <w:sz w:val="20"/>
        </w:rPr>
        <w:t>above</w:t>
      </w:r>
      <w:r>
        <w:rPr>
          <w:spacing w:val="-13"/>
          <w:sz w:val="20"/>
        </w:rPr>
        <w:t> </w:t>
      </w:r>
      <w:r>
        <w:rPr>
          <w:sz w:val="20"/>
        </w:rPr>
        <w:t>sections</w:t>
      </w:r>
      <w:r>
        <w:rPr>
          <w:spacing w:val="-12"/>
          <w:sz w:val="20"/>
        </w:rPr>
        <w:t> </w:t>
      </w:r>
      <w:r>
        <w:rPr>
          <w:sz w:val="20"/>
        </w:rPr>
        <w:t>of</w:t>
      </w:r>
      <w:r>
        <w:rPr>
          <w:spacing w:val="-11"/>
          <w:sz w:val="20"/>
        </w:rPr>
        <w:t> </w:t>
      </w:r>
      <w:r>
        <w:rPr>
          <w:sz w:val="20"/>
        </w:rPr>
        <w:t>this</w:t>
      </w:r>
      <w:r>
        <w:rPr>
          <w:spacing w:val="-12"/>
          <w:sz w:val="20"/>
        </w:rPr>
        <w:t> </w:t>
      </w:r>
      <w:r>
        <w:rPr>
          <w:sz w:val="20"/>
        </w:rPr>
        <w:t>chapter,</w:t>
      </w:r>
      <w:r>
        <w:rPr>
          <w:spacing w:val="-10"/>
          <w:sz w:val="20"/>
        </w:rPr>
        <w:t> </w:t>
      </w:r>
      <w:r>
        <w:rPr>
          <w:sz w:val="20"/>
        </w:rPr>
        <w:t>and</w:t>
      </w:r>
      <w:r>
        <w:rPr>
          <w:spacing w:val="-12"/>
          <w:sz w:val="20"/>
        </w:rPr>
        <w:t> </w:t>
      </w:r>
      <w:r>
        <w:rPr>
          <w:sz w:val="20"/>
        </w:rPr>
        <w:t>delineates</w:t>
      </w:r>
      <w:r>
        <w:rPr>
          <w:spacing w:val="-12"/>
          <w:sz w:val="20"/>
        </w:rPr>
        <w:t> </w:t>
      </w:r>
      <w:r>
        <w:rPr>
          <w:sz w:val="20"/>
        </w:rPr>
        <w:t>how</w:t>
      </w:r>
      <w:r>
        <w:rPr>
          <w:spacing w:val="-13"/>
          <w:sz w:val="20"/>
        </w:rPr>
        <w:t> </w:t>
      </w:r>
      <w:r>
        <w:rPr>
          <w:sz w:val="20"/>
        </w:rPr>
        <w:t>far</w:t>
      </w:r>
      <w:r>
        <w:rPr>
          <w:spacing w:val="-12"/>
          <w:sz w:val="20"/>
        </w:rPr>
        <w:t> </w:t>
      </w:r>
      <w:r>
        <w:rPr>
          <w:sz w:val="20"/>
        </w:rPr>
        <w:t>the</w:t>
      </w:r>
      <w:r>
        <w:rPr>
          <w:spacing w:val="-11"/>
          <w:sz w:val="20"/>
        </w:rPr>
        <w:t> </w:t>
      </w:r>
      <w:r>
        <w:rPr>
          <w:sz w:val="20"/>
        </w:rPr>
        <w:t>exclusion</w:t>
      </w:r>
      <w:r>
        <w:rPr>
          <w:spacing w:val="-14"/>
          <w:sz w:val="20"/>
        </w:rPr>
        <w:t> </w:t>
      </w:r>
      <w:r>
        <w:rPr>
          <w:sz w:val="20"/>
        </w:rPr>
        <w:t>applies</w:t>
      </w:r>
      <w:r>
        <w:rPr>
          <w:spacing w:val="-12"/>
          <w:sz w:val="20"/>
        </w:rPr>
        <w:t> </w:t>
      </w:r>
      <w:r>
        <w:rPr>
          <w:sz w:val="20"/>
        </w:rPr>
        <w:t>to</w:t>
      </w:r>
      <w:r>
        <w:rPr>
          <w:spacing w:val="-12"/>
          <w:sz w:val="20"/>
        </w:rPr>
        <w:t> </w:t>
      </w:r>
      <w:r>
        <w:rPr>
          <w:sz w:val="20"/>
        </w:rPr>
        <w:t>each</w:t>
      </w:r>
      <w:r>
        <w:rPr>
          <w:spacing w:val="-13"/>
          <w:sz w:val="20"/>
        </w:rPr>
        <w:t> </w:t>
      </w:r>
      <w:r>
        <w:rPr>
          <w:sz w:val="20"/>
        </w:rPr>
        <w:t>sector.</w:t>
      </w:r>
    </w:p>
    <w:p>
      <w:pPr>
        <w:pStyle w:val="ListParagraph"/>
        <w:numPr>
          <w:ilvl w:val="0"/>
          <w:numId w:val="4"/>
        </w:numPr>
        <w:tabs>
          <w:tab w:pos="1444" w:val="left" w:leader="none"/>
        </w:tabs>
        <w:spacing w:line="271" w:lineRule="auto" w:before="116" w:after="0"/>
        <w:ind w:left="723" w:right="488" w:firstLine="0"/>
        <w:jc w:val="both"/>
        <w:rPr>
          <w:sz w:val="20"/>
        </w:rPr>
      </w:pPr>
      <w:r>
        <w:rPr>
          <w:sz w:val="20"/>
        </w:rPr>
        <w:t>The scope exclusions would apply on a segment basis, which means that for an MNE group with multiple business lines, some may fall within a scope exclusion, and some may</w:t>
      </w:r>
      <w:r>
        <w:rPr>
          <w:spacing w:val="-25"/>
          <w:sz w:val="20"/>
        </w:rPr>
        <w:t> </w:t>
      </w:r>
      <w:r>
        <w:rPr>
          <w:sz w:val="20"/>
        </w:rPr>
        <w:t>not.</w:t>
      </w:r>
    </w:p>
    <w:p>
      <w:pPr>
        <w:pStyle w:val="BodyText"/>
        <w:spacing w:before="2"/>
      </w:pPr>
    </w:p>
    <w:p>
      <w:pPr>
        <w:pStyle w:val="Heading7"/>
        <w:spacing w:before="1"/>
        <w:rPr>
          <w:i/>
        </w:rPr>
      </w:pPr>
      <w:bookmarkStart w:name="Natural resources" w:id="58"/>
      <w:bookmarkEnd w:id="58"/>
      <w:r>
        <w:rPr>
          <w:i w:val="0"/>
        </w:rPr>
      </w:r>
      <w:r>
        <w:rPr>
          <w:i/>
          <w:color w:val="616161"/>
        </w:rPr>
        <w:t>Natural resources</w:t>
      </w:r>
    </w:p>
    <w:p>
      <w:pPr>
        <w:pStyle w:val="ListParagraph"/>
        <w:numPr>
          <w:ilvl w:val="0"/>
          <w:numId w:val="4"/>
        </w:numPr>
        <w:tabs>
          <w:tab w:pos="1444" w:val="left" w:leader="none"/>
        </w:tabs>
        <w:spacing w:line="271" w:lineRule="auto" w:before="214" w:after="0"/>
        <w:ind w:left="723" w:right="486" w:firstLine="0"/>
        <w:jc w:val="both"/>
        <w:rPr>
          <w:sz w:val="20"/>
        </w:rPr>
      </w:pPr>
      <w:r>
        <w:rPr>
          <w:sz w:val="20"/>
        </w:rPr>
        <w:t>The term “natural resources” encompasses non-renewable extractives (such as petroleum and minerals),</w:t>
      </w:r>
      <w:r>
        <w:rPr>
          <w:spacing w:val="-10"/>
          <w:sz w:val="20"/>
        </w:rPr>
        <w:t> </w:t>
      </w:r>
      <w:r>
        <w:rPr>
          <w:sz w:val="20"/>
        </w:rPr>
        <w:t>renewables</w:t>
      </w:r>
      <w:r>
        <w:rPr>
          <w:spacing w:val="-9"/>
          <w:sz w:val="20"/>
        </w:rPr>
        <w:t> </w:t>
      </w:r>
      <w:r>
        <w:rPr>
          <w:sz w:val="20"/>
        </w:rPr>
        <w:t>(such</w:t>
      </w:r>
      <w:r>
        <w:rPr>
          <w:spacing w:val="-10"/>
          <w:sz w:val="20"/>
        </w:rPr>
        <w:t> </w:t>
      </w:r>
      <w:r>
        <w:rPr>
          <w:sz w:val="20"/>
        </w:rPr>
        <w:t>as</w:t>
      </w:r>
      <w:r>
        <w:rPr>
          <w:spacing w:val="-8"/>
          <w:sz w:val="20"/>
        </w:rPr>
        <w:t> </w:t>
      </w:r>
      <w:r>
        <w:rPr>
          <w:sz w:val="20"/>
        </w:rPr>
        <w:t>agricultural,</w:t>
      </w:r>
      <w:r>
        <w:rPr>
          <w:spacing w:val="-10"/>
          <w:sz w:val="20"/>
        </w:rPr>
        <w:t> </w:t>
      </w:r>
      <w:r>
        <w:rPr>
          <w:sz w:val="20"/>
        </w:rPr>
        <w:t>fishery</w:t>
      </w:r>
      <w:r>
        <w:rPr>
          <w:spacing w:val="-13"/>
          <w:sz w:val="20"/>
        </w:rPr>
        <w:t> </w:t>
      </w:r>
      <w:r>
        <w:rPr>
          <w:sz w:val="20"/>
        </w:rPr>
        <w:t>and</w:t>
      </w:r>
      <w:r>
        <w:rPr>
          <w:spacing w:val="-9"/>
          <w:sz w:val="20"/>
        </w:rPr>
        <w:t> </w:t>
      </w:r>
      <w:r>
        <w:rPr>
          <w:sz w:val="20"/>
        </w:rPr>
        <w:t>forestry</w:t>
      </w:r>
      <w:r>
        <w:rPr>
          <w:spacing w:val="-13"/>
          <w:sz w:val="20"/>
        </w:rPr>
        <w:t> </w:t>
      </w:r>
      <w:r>
        <w:rPr>
          <w:sz w:val="20"/>
        </w:rPr>
        <w:t>products)</w:t>
      </w:r>
      <w:r>
        <w:rPr>
          <w:spacing w:val="-8"/>
          <w:sz w:val="20"/>
        </w:rPr>
        <w:t> </w:t>
      </w:r>
      <w:r>
        <w:rPr>
          <w:sz w:val="20"/>
        </w:rPr>
        <w:t>and</w:t>
      </w:r>
      <w:r>
        <w:rPr>
          <w:spacing w:val="-10"/>
          <w:sz w:val="20"/>
        </w:rPr>
        <w:t> </w:t>
      </w:r>
      <w:r>
        <w:rPr>
          <w:sz w:val="20"/>
        </w:rPr>
        <w:t>renewable</w:t>
      </w:r>
      <w:r>
        <w:rPr>
          <w:spacing w:val="-10"/>
          <w:sz w:val="20"/>
        </w:rPr>
        <w:t> </w:t>
      </w:r>
      <w:r>
        <w:rPr>
          <w:sz w:val="20"/>
        </w:rPr>
        <w:t>energy</w:t>
      </w:r>
      <w:r>
        <w:rPr>
          <w:spacing w:val="-12"/>
          <w:sz w:val="20"/>
        </w:rPr>
        <w:t> </w:t>
      </w:r>
      <w:r>
        <w:rPr>
          <w:sz w:val="20"/>
        </w:rPr>
        <w:t>products and similar energy products (such as biofuels, biogas, green</w:t>
      </w:r>
      <w:r>
        <w:rPr>
          <w:spacing w:val="-13"/>
          <w:sz w:val="20"/>
        </w:rPr>
        <w:t> </w:t>
      </w:r>
      <w:r>
        <w:rPr>
          <w:sz w:val="20"/>
        </w:rPr>
        <w:t>hydrogen).</w:t>
      </w:r>
    </w:p>
    <w:p>
      <w:pPr>
        <w:pStyle w:val="ListParagraph"/>
        <w:numPr>
          <w:ilvl w:val="0"/>
          <w:numId w:val="4"/>
        </w:numPr>
        <w:tabs>
          <w:tab w:pos="1444" w:val="left" w:leader="none"/>
        </w:tabs>
        <w:spacing w:line="271" w:lineRule="auto" w:before="121" w:after="0"/>
        <w:ind w:left="723" w:right="483" w:firstLine="0"/>
        <w:jc w:val="both"/>
        <w:rPr>
          <w:sz w:val="20"/>
        </w:rPr>
      </w:pPr>
      <w:r>
        <w:rPr>
          <w:sz w:val="20"/>
        </w:rPr>
        <w:t>As stated in the Outline, extractive industries</w:t>
      </w:r>
      <w:r>
        <w:rPr>
          <w:position w:val="6"/>
          <w:sz w:val="13"/>
        </w:rPr>
        <w:t>26 </w:t>
      </w:r>
      <w:r>
        <w:rPr>
          <w:sz w:val="20"/>
        </w:rPr>
        <w:t>and other producers and sellers of raw materials and</w:t>
      </w:r>
      <w:r>
        <w:rPr>
          <w:spacing w:val="-6"/>
          <w:sz w:val="20"/>
        </w:rPr>
        <w:t> </w:t>
      </w:r>
      <w:r>
        <w:rPr>
          <w:sz w:val="20"/>
        </w:rPr>
        <w:t>commodities,</w:t>
      </w:r>
      <w:r>
        <w:rPr>
          <w:color w:val="1F497D"/>
          <w:spacing w:val="-6"/>
          <w:sz w:val="20"/>
          <w:u w:val="single" w:color="1F497D"/>
        </w:rPr>
        <w:t> </w:t>
      </w:r>
      <w:r>
        <w:rPr>
          <w:color w:val="1F497D"/>
          <w:sz w:val="20"/>
          <w:u w:val="single" w:color="1F497D"/>
        </w:rPr>
        <w:t>including</w:t>
      </w:r>
      <w:r>
        <w:rPr>
          <w:color w:val="1F497D"/>
          <w:spacing w:val="-3"/>
          <w:sz w:val="20"/>
          <w:u w:val="single" w:color="1F497D"/>
        </w:rPr>
        <w:t> </w:t>
      </w:r>
      <w:r>
        <w:rPr>
          <w:color w:val="1F497D"/>
          <w:sz w:val="20"/>
          <w:u w:val="single" w:color="1F497D"/>
        </w:rPr>
        <w:t>commodity</w:t>
      </w:r>
      <w:r>
        <w:rPr>
          <w:color w:val="1F497D"/>
          <w:spacing w:val="-9"/>
          <w:sz w:val="20"/>
          <w:u w:val="single" w:color="1F497D"/>
        </w:rPr>
        <w:t> </w:t>
      </w:r>
      <w:r>
        <w:rPr>
          <w:color w:val="1F497D"/>
          <w:sz w:val="20"/>
          <w:u w:val="single" w:color="1F497D"/>
        </w:rPr>
        <w:t>traders,</w:t>
      </w:r>
      <w:r>
        <w:rPr>
          <w:color w:val="1F497D"/>
          <w:spacing w:val="-2"/>
          <w:sz w:val="20"/>
        </w:rPr>
        <w:t> </w:t>
      </w:r>
      <w:r>
        <w:rPr>
          <w:sz w:val="20"/>
        </w:rPr>
        <w:t>will</w:t>
      </w:r>
      <w:r>
        <w:rPr>
          <w:spacing w:val="-7"/>
          <w:sz w:val="20"/>
        </w:rPr>
        <w:t> </w:t>
      </w:r>
      <w:r>
        <w:rPr>
          <w:sz w:val="20"/>
        </w:rPr>
        <w:t>not</w:t>
      </w:r>
      <w:r>
        <w:rPr>
          <w:spacing w:val="-3"/>
          <w:sz w:val="20"/>
        </w:rPr>
        <w:t> </w:t>
      </w:r>
      <w:r>
        <w:rPr>
          <w:sz w:val="20"/>
        </w:rPr>
        <w:t>be</w:t>
      </w:r>
      <w:r>
        <w:rPr>
          <w:spacing w:val="-5"/>
          <w:sz w:val="20"/>
        </w:rPr>
        <w:t> </w:t>
      </w:r>
      <w:r>
        <w:rPr>
          <w:sz w:val="20"/>
        </w:rPr>
        <w:t>within</w:t>
      </w:r>
      <w:r>
        <w:rPr>
          <w:spacing w:val="-5"/>
          <w:sz w:val="20"/>
        </w:rPr>
        <w:t> </w:t>
      </w:r>
      <w:r>
        <w:rPr>
          <w:sz w:val="20"/>
        </w:rPr>
        <w:t>the</w:t>
      </w:r>
      <w:r>
        <w:rPr>
          <w:spacing w:val="-7"/>
          <w:sz w:val="20"/>
        </w:rPr>
        <w:t> </w:t>
      </w:r>
      <w:r>
        <w:rPr>
          <w:sz w:val="20"/>
        </w:rPr>
        <w:t>consumer-facing</w:t>
      </w:r>
      <w:r>
        <w:rPr>
          <w:spacing w:val="-6"/>
          <w:sz w:val="20"/>
        </w:rPr>
        <w:t> </w:t>
      </w:r>
      <w:r>
        <w:rPr>
          <w:sz w:val="20"/>
        </w:rPr>
        <w:t>business</w:t>
      </w:r>
      <w:r>
        <w:rPr>
          <w:spacing w:val="-5"/>
          <w:sz w:val="20"/>
        </w:rPr>
        <w:t> </w:t>
      </w:r>
      <w:r>
        <w:rPr>
          <w:sz w:val="20"/>
        </w:rPr>
        <w:t>definition, even if those materials and commodities are incorporated further down the supply chain into consumer products.</w:t>
      </w:r>
      <w:r>
        <w:rPr>
          <w:spacing w:val="-7"/>
          <w:sz w:val="20"/>
        </w:rPr>
        <w:t> </w:t>
      </w:r>
      <w:r>
        <w:rPr>
          <w:sz w:val="20"/>
        </w:rPr>
        <w:t>Taxes</w:t>
      </w:r>
      <w:r>
        <w:rPr>
          <w:spacing w:val="-6"/>
          <w:sz w:val="20"/>
        </w:rPr>
        <w:t> </w:t>
      </w:r>
      <w:r>
        <w:rPr>
          <w:sz w:val="20"/>
        </w:rPr>
        <w:t>on</w:t>
      </w:r>
      <w:r>
        <w:rPr>
          <w:spacing w:val="-7"/>
          <w:sz w:val="20"/>
        </w:rPr>
        <w:t> </w:t>
      </w:r>
      <w:r>
        <w:rPr>
          <w:sz w:val="20"/>
        </w:rPr>
        <w:t>profits</w:t>
      </w:r>
      <w:r>
        <w:rPr>
          <w:spacing w:val="-5"/>
          <w:sz w:val="20"/>
        </w:rPr>
        <w:t> </w:t>
      </w:r>
      <w:r>
        <w:rPr>
          <w:sz w:val="20"/>
        </w:rPr>
        <w:t>from</w:t>
      </w:r>
      <w:r>
        <w:rPr>
          <w:spacing w:val="-2"/>
          <w:sz w:val="20"/>
        </w:rPr>
        <w:t> </w:t>
      </w:r>
      <w:r>
        <w:rPr>
          <w:sz w:val="20"/>
        </w:rPr>
        <w:t>the</w:t>
      </w:r>
      <w:r>
        <w:rPr>
          <w:spacing w:val="-7"/>
          <w:sz w:val="20"/>
        </w:rPr>
        <w:t> </w:t>
      </w:r>
      <w:r>
        <w:rPr>
          <w:sz w:val="20"/>
        </w:rPr>
        <w:t>extraction</w:t>
      </w:r>
      <w:r>
        <w:rPr>
          <w:spacing w:val="-5"/>
          <w:sz w:val="20"/>
        </w:rPr>
        <w:t> </w:t>
      </w:r>
      <w:r>
        <w:rPr>
          <w:sz w:val="20"/>
        </w:rPr>
        <w:t>of</w:t>
      </w:r>
      <w:r>
        <w:rPr>
          <w:spacing w:val="-5"/>
          <w:sz w:val="20"/>
        </w:rPr>
        <w:t> </w:t>
      </w:r>
      <w:r>
        <w:rPr>
          <w:sz w:val="20"/>
        </w:rPr>
        <w:t>a</w:t>
      </w:r>
      <w:r>
        <w:rPr>
          <w:spacing w:val="-7"/>
          <w:sz w:val="20"/>
        </w:rPr>
        <w:t> </w:t>
      </w:r>
      <w:r>
        <w:rPr>
          <w:sz w:val="20"/>
        </w:rPr>
        <w:t>nation’s</w:t>
      </w:r>
      <w:r>
        <w:rPr>
          <w:spacing w:val="-6"/>
          <w:sz w:val="20"/>
        </w:rPr>
        <w:t> </w:t>
      </w:r>
      <w:r>
        <w:rPr>
          <w:sz w:val="20"/>
        </w:rPr>
        <w:t>natural</w:t>
      </w:r>
      <w:r>
        <w:rPr>
          <w:spacing w:val="-7"/>
          <w:sz w:val="20"/>
        </w:rPr>
        <w:t> </w:t>
      </w:r>
      <w:r>
        <w:rPr>
          <w:sz w:val="20"/>
        </w:rPr>
        <w:t>resources</w:t>
      </w:r>
      <w:r>
        <w:rPr>
          <w:spacing w:val="-6"/>
          <w:sz w:val="20"/>
        </w:rPr>
        <w:t> </w:t>
      </w:r>
      <w:r>
        <w:rPr>
          <w:sz w:val="20"/>
        </w:rPr>
        <w:t>can</w:t>
      </w:r>
      <w:r>
        <w:rPr>
          <w:spacing w:val="-5"/>
          <w:sz w:val="20"/>
        </w:rPr>
        <w:t> </w:t>
      </w:r>
      <w:r>
        <w:rPr>
          <w:sz w:val="20"/>
        </w:rPr>
        <w:t>be</w:t>
      </w:r>
      <w:r>
        <w:rPr>
          <w:spacing w:val="-7"/>
          <w:sz w:val="20"/>
        </w:rPr>
        <w:t> </w:t>
      </w:r>
      <w:r>
        <w:rPr>
          <w:sz w:val="20"/>
        </w:rPr>
        <w:t>considered</w:t>
      </w:r>
      <w:r>
        <w:rPr>
          <w:spacing w:val="-7"/>
          <w:sz w:val="20"/>
        </w:rPr>
        <w:t> </w:t>
      </w:r>
      <w:r>
        <w:rPr>
          <w:sz w:val="20"/>
        </w:rPr>
        <w:t>to</w:t>
      </w:r>
      <w:r>
        <w:rPr>
          <w:spacing w:val="-4"/>
          <w:sz w:val="20"/>
        </w:rPr>
        <w:t> </w:t>
      </w:r>
      <w:r>
        <w:rPr>
          <w:sz w:val="20"/>
        </w:rPr>
        <w:t>be</w:t>
      </w:r>
      <w:r>
        <w:rPr>
          <w:spacing w:val="-5"/>
          <w:sz w:val="20"/>
        </w:rPr>
        <w:t> </w:t>
      </w:r>
      <w:r>
        <w:rPr>
          <w:sz w:val="20"/>
        </w:rPr>
        <w:t>part of the price paid by the exploiting company for those national assets, a price which is properly paid to the resource</w:t>
      </w:r>
      <w:r>
        <w:rPr>
          <w:spacing w:val="-2"/>
          <w:sz w:val="20"/>
        </w:rPr>
        <w:t> </w:t>
      </w:r>
      <w:r>
        <w:rPr>
          <w:sz w:val="20"/>
        </w:rPr>
        <w:t>owner.</w:t>
      </w:r>
    </w:p>
    <w:p>
      <w:pPr>
        <w:pStyle w:val="ListParagraph"/>
        <w:numPr>
          <w:ilvl w:val="0"/>
          <w:numId w:val="4"/>
        </w:numPr>
        <w:tabs>
          <w:tab w:pos="1444" w:val="left" w:leader="none"/>
        </w:tabs>
        <w:spacing w:line="271" w:lineRule="auto" w:before="120" w:after="0"/>
        <w:ind w:left="723" w:right="485" w:firstLine="0"/>
        <w:jc w:val="both"/>
        <w:rPr>
          <w:sz w:val="20"/>
        </w:rPr>
      </w:pPr>
      <w:r>
        <w:rPr>
          <w:sz w:val="20"/>
        </w:rPr>
        <w:t>Natural resources, such as agricultural and forestry products, are generally generic goods which are</w:t>
      </w:r>
      <w:r>
        <w:rPr>
          <w:spacing w:val="-10"/>
          <w:sz w:val="20"/>
        </w:rPr>
        <w:t> </w:t>
      </w:r>
      <w:r>
        <w:rPr>
          <w:sz w:val="20"/>
        </w:rPr>
        <w:t>sold,</w:t>
      </w:r>
      <w:r>
        <w:rPr>
          <w:spacing w:val="-8"/>
          <w:sz w:val="20"/>
        </w:rPr>
        <w:t> </w:t>
      </w:r>
      <w:r>
        <w:rPr>
          <w:sz w:val="20"/>
        </w:rPr>
        <w:t>and</w:t>
      </w:r>
      <w:r>
        <w:rPr>
          <w:spacing w:val="-5"/>
          <w:sz w:val="20"/>
        </w:rPr>
        <w:t> </w:t>
      </w:r>
      <w:r>
        <w:rPr>
          <w:sz w:val="20"/>
        </w:rPr>
        <w:t>whose</w:t>
      </w:r>
      <w:r>
        <w:rPr>
          <w:spacing w:val="-8"/>
          <w:sz w:val="20"/>
        </w:rPr>
        <w:t> </w:t>
      </w:r>
      <w:r>
        <w:rPr>
          <w:sz w:val="20"/>
        </w:rPr>
        <w:t>price</w:t>
      </w:r>
      <w:r>
        <w:rPr>
          <w:spacing w:val="-8"/>
          <w:sz w:val="20"/>
        </w:rPr>
        <w:t> </w:t>
      </w:r>
      <w:r>
        <w:rPr>
          <w:sz w:val="20"/>
        </w:rPr>
        <w:t>is</w:t>
      </w:r>
      <w:r>
        <w:rPr>
          <w:spacing w:val="-8"/>
          <w:sz w:val="20"/>
        </w:rPr>
        <w:t> </w:t>
      </w:r>
      <w:r>
        <w:rPr>
          <w:sz w:val="20"/>
        </w:rPr>
        <w:t>determined,</w:t>
      </w:r>
      <w:r>
        <w:rPr>
          <w:spacing w:val="-8"/>
          <w:sz w:val="20"/>
        </w:rPr>
        <w:t> </w:t>
      </w:r>
      <w:r>
        <w:rPr>
          <w:sz w:val="20"/>
        </w:rPr>
        <w:t>on</w:t>
      </w:r>
      <w:r>
        <w:rPr>
          <w:spacing w:val="-8"/>
          <w:sz w:val="20"/>
        </w:rPr>
        <w:t> </w:t>
      </w:r>
      <w:r>
        <w:rPr>
          <w:sz w:val="20"/>
        </w:rPr>
        <w:t>the</w:t>
      </w:r>
      <w:r>
        <w:rPr>
          <w:spacing w:val="-7"/>
          <w:sz w:val="20"/>
        </w:rPr>
        <w:t> </w:t>
      </w:r>
      <w:r>
        <w:rPr>
          <w:sz w:val="20"/>
        </w:rPr>
        <w:t>basis</w:t>
      </w:r>
      <w:r>
        <w:rPr>
          <w:spacing w:val="-6"/>
          <w:sz w:val="20"/>
        </w:rPr>
        <w:t> </w:t>
      </w:r>
      <w:r>
        <w:rPr>
          <w:sz w:val="20"/>
        </w:rPr>
        <w:t>of</w:t>
      </w:r>
      <w:r>
        <w:rPr>
          <w:spacing w:val="-8"/>
          <w:sz w:val="20"/>
        </w:rPr>
        <w:t> </w:t>
      </w:r>
      <w:r>
        <w:rPr>
          <w:sz w:val="20"/>
        </w:rPr>
        <w:t>their</w:t>
      </w:r>
      <w:r>
        <w:rPr>
          <w:spacing w:val="-6"/>
          <w:sz w:val="20"/>
        </w:rPr>
        <w:t> </w:t>
      </w:r>
      <w:r>
        <w:rPr>
          <w:sz w:val="20"/>
        </w:rPr>
        <w:t>inherent</w:t>
      </w:r>
      <w:r>
        <w:rPr>
          <w:spacing w:val="-8"/>
          <w:sz w:val="20"/>
        </w:rPr>
        <w:t> </w:t>
      </w:r>
      <w:r>
        <w:rPr>
          <w:sz w:val="20"/>
        </w:rPr>
        <w:t>characteristics,</w:t>
      </w:r>
      <w:r>
        <w:rPr>
          <w:spacing w:val="-10"/>
          <w:sz w:val="20"/>
        </w:rPr>
        <w:t> </w:t>
      </w:r>
      <w:r>
        <w:rPr>
          <w:sz w:val="20"/>
        </w:rPr>
        <w:t>rather</w:t>
      </w:r>
      <w:r>
        <w:rPr>
          <w:spacing w:val="-6"/>
          <w:sz w:val="20"/>
        </w:rPr>
        <w:t> </w:t>
      </w:r>
      <w:r>
        <w:rPr>
          <w:sz w:val="20"/>
        </w:rPr>
        <w:t>than</w:t>
      </w:r>
      <w:r>
        <w:rPr>
          <w:spacing w:val="-10"/>
          <w:sz w:val="20"/>
        </w:rPr>
        <w:t> </w:t>
      </w:r>
      <w:r>
        <w:rPr>
          <w:sz w:val="20"/>
        </w:rPr>
        <w:t>on</w:t>
      </w:r>
      <w:r>
        <w:rPr>
          <w:spacing w:val="-8"/>
          <w:sz w:val="20"/>
        </w:rPr>
        <w:t> </w:t>
      </w:r>
      <w:r>
        <w:rPr>
          <w:sz w:val="20"/>
        </w:rPr>
        <w:t>other factors such as marketing. Where premium prices exist (which could lead to residual profits), they tend to be a function of aggregate supply and demand dynamics for the commodity. As natural products of the earth,</w:t>
      </w:r>
      <w:r>
        <w:rPr>
          <w:spacing w:val="-10"/>
          <w:sz w:val="20"/>
        </w:rPr>
        <w:t> </w:t>
      </w:r>
      <w:r>
        <w:rPr>
          <w:sz w:val="20"/>
        </w:rPr>
        <w:t>all</w:t>
      </w:r>
      <w:r>
        <w:rPr>
          <w:spacing w:val="-10"/>
          <w:sz w:val="20"/>
        </w:rPr>
        <w:t> </w:t>
      </w:r>
      <w:r>
        <w:rPr>
          <w:sz w:val="20"/>
        </w:rPr>
        <w:t>are</w:t>
      </w:r>
      <w:r>
        <w:rPr>
          <w:spacing w:val="-11"/>
          <w:sz w:val="20"/>
        </w:rPr>
        <w:t> </w:t>
      </w:r>
      <w:r>
        <w:rPr>
          <w:sz w:val="20"/>
        </w:rPr>
        <w:t>closely</w:t>
      </w:r>
      <w:r>
        <w:rPr>
          <w:spacing w:val="-12"/>
          <w:sz w:val="20"/>
        </w:rPr>
        <w:t> </w:t>
      </w:r>
      <w:r>
        <w:rPr>
          <w:sz w:val="20"/>
        </w:rPr>
        <w:t>linked</w:t>
      </w:r>
      <w:r>
        <w:rPr>
          <w:spacing w:val="-9"/>
          <w:sz w:val="20"/>
        </w:rPr>
        <w:t> </w:t>
      </w:r>
      <w:r>
        <w:rPr>
          <w:sz w:val="20"/>
        </w:rPr>
        <w:t>with</w:t>
      </w:r>
      <w:r>
        <w:rPr>
          <w:spacing w:val="-10"/>
          <w:sz w:val="20"/>
        </w:rPr>
        <w:t> </w:t>
      </w:r>
      <w:r>
        <w:rPr>
          <w:sz w:val="20"/>
        </w:rPr>
        <w:t>the</w:t>
      </w:r>
      <w:r>
        <w:rPr>
          <w:spacing w:val="-10"/>
          <w:sz w:val="20"/>
        </w:rPr>
        <w:t> </w:t>
      </w:r>
      <w:r>
        <w:rPr>
          <w:sz w:val="20"/>
        </w:rPr>
        <w:t>place</w:t>
      </w:r>
      <w:r>
        <w:rPr>
          <w:spacing w:val="-9"/>
          <w:sz w:val="20"/>
        </w:rPr>
        <w:t> </w:t>
      </w:r>
      <w:r>
        <w:rPr>
          <w:sz w:val="20"/>
        </w:rPr>
        <w:t>of</w:t>
      </w:r>
      <w:r>
        <w:rPr>
          <w:spacing w:val="-9"/>
          <w:sz w:val="20"/>
        </w:rPr>
        <w:t> </w:t>
      </w:r>
      <w:r>
        <w:rPr>
          <w:sz w:val="20"/>
        </w:rPr>
        <w:t>production</w:t>
      </w:r>
      <w:r>
        <w:rPr>
          <w:spacing w:val="-10"/>
          <w:sz w:val="20"/>
        </w:rPr>
        <w:t> </w:t>
      </w:r>
      <w:r>
        <w:rPr>
          <w:sz w:val="20"/>
        </w:rPr>
        <w:t>and</w:t>
      </w:r>
      <w:r>
        <w:rPr>
          <w:spacing w:val="-10"/>
          <w:sz w:val="20"/>
        </w:rPr>
        <w:t> </w:t>
      </w:r>
      <w:r>
        <w:rPr>
          <w:sz w:val="20"/>
        </w:rPr>
        <w:t>quality</w:t>
      </w:r>
      <w:r>
        <w:rPr>
          <w:spacing w:val="-12"/>
          <w:sz w:val="20"/>
        </w:rPr>
        <w:t> </w:t>
      </w:r>
      <w:r>
        <w:rPr>
          <w:sz w:val="20"/>
        </w:rPr>
        <w:t>is</w:t>
      </w:r>
      <w:r>
        <w:rPr>
          <w:spacing w:val="-10"/>
          <w:sz w:val="20"/>
        </w:rPr>
        <w:t> </w:t>
      </w:r>
      <w:r>
        <w:rPr>
          <w:sz w:val="20"/>
        </w:rPr>
        <w:t>highly</w:t>
      </w:r>
      <w:r>
        <w:rPr>
          <w:spacing w:val="-12"/>
          <w:sz w:val="20"/>
        </w:rPr>
        <w:t> </w:t>
      </w:r>
      <w:r>
        <w:rPr>
          <w:sz w:val="20"/>
        </w:rPr>
        <w:t>dependent</w:t>
      </w:r>
      <w:r>
        <w:rPr>
          <w:spacing w:val="-9"/>
          <w:sz w:val="20"/>
        </w:rPr>
        <w:t> </w:t>
      </w:r>
      <w:r>
        <w:rPr>
          <w:sz w:val="20"/>
        </w:rPr>
        <w:t>on</w:t>
      </w:r>
      <w:r>
        <w:rPr>
          <w:spacing w:val="-10"/>
          <w:sz w:val="20"/>
        </w:rPr>
        <w:t> </w:t>
      </w:r>
      <w:r>
        <w:rPr>
          <w:sz w:val="20"/>
        </w:rPr>
        <w:t>location-specific factors.</w:t>
      </w:r>
      <w:r>
        <w:rPr>
          <w:spacing w:val="-5"/>
          <w:sz w:val="20"/>
        </w:rPr>
        <w:t> </w:t>
      </w:r>
      <w:r>
        <w:rPr>
          <w:sz w:val="20"/>
        </w:rPr>
        <w:t>Due</w:t>
      </w:r>
      <w:r>
        <w:rPr>
          <w:spacing w:val="-5"/>
          <w:sz w:val="20"/>
        </w:rPr>
        <w:t> </w:t>
      </w:r>
      <w:r>
        <w:rPr>
          <w:sz w:val="20"/>
        </w:rPr>
        <w:t>to</w:t>
      </w:r>
      <w:r>
        <w:rPr>
          <w:spacing w:val="-5"/>
          <w:sz w:val="20"/>
        </w:rPr>
        <w:t> </w:t>
      </w:r>
      <w:r>
        <w:rPr>
          <w:sz w:val="20"/>
        </w:rPr>
        <w:t>local</w:t>
      </w:r>
      <w:r>
        <w:rPr>
          <w:spacing w:val="-5"/>
          <w:sz w:val="20"/>
        </w:rPr>
        <w:t> </w:t>
      </w:r>
      <w:r>
        <w:rPr>
          <w:sz w:val="20"/>
        </w:rPr>
        <w:t>environmental</w:t>
      </w:r>
      <w:r>
        <w:rPr>
          <w:spacing w:val="-6"/>
          <w:sz w:val="20"/>
        </w:rPr>
        <w:t> </w:t>
      </w:r>
      <w:r>
        <w:rPr>
          <w:sz w:val="20"/>
        </w:rPr>
        <w:t>impacts</w:t>
      </w:r>
      <w:r>
        <w:rPr>
          <w:spacing w:val="-3"/>
          <w:sz w:val="20"/>
        </w:rPr>
        <w:t> </w:t>
      </w:r>
      <w:r>
        <w:rPr>
          <w:sz w:val="20"/>
        </w:rPr>
        <w:t>including</w:t>
      </w:r>
      <w:r>
        <w:rPr>
          <w:spacing w:val="-4"/>
          <w:sz w:val="20"/>
        </w:rPr>
        <w:t> </w:t>
      </w:r>
      <w:r>
        <w:rPr>
          <w:sz w:val="20"/>
        </w:rPr>
        <w:t>the</w:t>
      </w:r>
      <w:r>
        <w:rPr>
          <w:spacing w:val="-5"/>
          <w:sz w:val="20"/>
        </w:rPr>
        <w:t> </w:t>
      </w:r>
      <w:r>
        <w:rPr>
          <w:sz w:val="20"/>
        </w:rPr>
        <w:t>sustainability</w:t>
      </w:r>
      <w:r>
        <w:rPr>
          <w:spacing w:val="-8"/>
          <w:sz w:val="20"/>
        </w:rPr>
        <w:t> </w:t>
      </w:r>
      <w:r>
        <w:rPr>
          <w:sz w:val="20"/>
        </w:rPr>
        <w:t>of</w:t>
      </w:r>
      <w:r>
        <w:rPr>
          <w:spacing w:val="-2"/>
          <w:sz w:val="20"/>
        </w:rPr>
        <w:t> </w:t>
      </w:r>
      <w:r>
        <w:rPr>
          <w:sz w:val="20"/>
        </w:rPr>
        <w:t>the</w:t>
      </w:r>
      <w:r>
        <w:rPr>
          <w:spacing w:val="-5"/>
          <w:sz w:val="20"/>
        </w:rPr>
        <w:t> </w:t>
      </w:r>
      <w:r>
        <w:rPr>
          <w:sz w:val="20"/>
        </w:rPr>
        <w:t>resource</w:t>
      </w:r>
      <w:r>
        <w:rPr>
          <w:spacing w:val="-4"/>
          <w:sz w:val="20"/>
        </w:rPr>
        <w:t> </w:t>
      </w:r>
      <w:r>
        <w:rPr>
          <w:sz w:val="20"/>
        </w:rPr>
        <w:t>itself,</w:t>
      </w:r>
      <w:r>
        <w:rPr>
          <w:spacing w:val="-5"/>
          <w:sz w:val="20"/>
        </w:rPr>
        <w:t> </w:t>
      </w:r>
      <w:r>
        <w:rPr>
          <w:sz w:val="20"/>
        </w:rPr>
        <w:t>production</w:t>
      </w:r>
      <w:r>
        <w:rPr>
          <w:spacing w:val="-4"/>
          <w:sz w:val="20"/>
        </w:rPr>
        <w:t> </w:t>
      </w:r>
      <w:r>
        <w:rPr>
          <w:sz w:val="20"/>
        </w:rPr>
        <w:t>is usually regulated in the local</w:t>
      </w:r>
      <w:r>
        <w:rPr>
          <w:spacing w:val="-9"/>
          <w:sz w:val="20"/>
        </w:rPr>
        <w:t> </w:t>
      </w:r>
      <w:r>
        <w:rPr>
          <w:sz w:val="20"/>
        </w:rPr>
        <w:t>jurisdiction.</w:t>
      </w:r>
    </w:p>
    <w:p>
      <w:pPr>
        <w:pStyle w:val="ListParagraph"/>
        <w:numPr>
          <w:ilvl w:val="0"/>
          <w:numId w:val="4"/>
        </w:numPr>
        <w:tabs>
          <w:tab w:pos="1444" w:val="left" w:leader="none"/>
        </w:tabs>
        <w:spacing w:line="271" w:lineRule="auto" w:before="123" w:after="0"/>
        <w:ind w:left="723" w:right="484" w:firstLine="0"/>
        <w:jc w:val="both"/>
        <w:rPr>
          <w:sz w:val="20"/>
        </w:rPr>
      </w:pPr>
      <w:r>
        <w:rPr>
          <w:sz w:val="20"/>
        </w:rPr>
        <w:t>Other policy considerations may also support the conclusion that these generic and undifferentiated natural resource products should be out-of-scope of Amount A. These include the close connection with the place where the resources are found and transformed (reflected in current tax treaty treatment of immovable property); the capital intensity of their production; and the high volume of the products used as raw materials in other</w:t>
      </w:r>
      <w:r>
        <w:rPr>
          <w:spacing w:val="-6"/>
          <w:sz w:val="20"/>
        </w:rPr>
        <w:t> </w:t>
      </w:r>
      <w:r>
        <w:rPr>
          <w:sz w:val="20"/>
        </w:rPr>
        <w:t>industries.</w:t>
      </w:r>
    </w:p>
    <w:p>
      <w:pPr>
        <w:pStyle w:val="BodyText"/>
      </w:pPr>
    </w:p>
    <w:p>
      <w:pPr>
        <w:pStyle w:val="BodyText"/>
      </w:pPr>
    </w:p>
    <w:p>
      <w:pPr>
        <w:pStyle w:val="BodyText"/>
      </w:pPr>
    </w:p>
    <w:p>
      <w:pPr>
        <w:pStyle w:val="BodyText"/>
      </w:pPr>
    </w:p>
    <w:p>
      <w:pPr>
        <w:pStyle w:val="BodyText"/>
      </w:pPr>
    </w:p>
    <w:p>
      <w:pPr>
        <w:pStyle w:val="BodyText"/>
        <w:spacing w:before="2"/>
      </w:pPr>
      <w:r>
        <w:rPr/>
        <w:pict>
          <v:rect style="position:absolute;margin-left:65.183998pt;margin-top:13.568252pt;width:144.020004pt;height:.599980pt;mso-position-horizontal-relative:page;mso-position-vertical-relative:paragraph;z-index:-15688704;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5"/>
        </w:numPr>
        <w:tabs>
          <w:tab w:pos="957" w:val="left" w:leader="none"/>
        </w:tabs>
        <w:spacing w:line="278" w:lineRule="auto" w:before="94" w:after="0"/>
        <w:ind w:left="723" w:right="479" w:firstLine="0"/>
        <w:jc w:val="both"/>
        <w:rPr>
          <w:sz w:val="18"/>
        </w:rPr>
      </w:pPr>
      <w:r>
        <w:rPr>
          <w:sz w:val="18"/>
        </w:rPr>
        <w:t>Extractive businesses are those engaged in the exploration for, and extraction from the earth’s crust of, </w:t>
      </w:r>
      <w:r>
        <w:rPr>
          <w:spacing w:val="2"/>
          <w:sz w:val="18"/>
        </w:rPr>
        <w:t>non-  </w:t>
      </w:r>
      <w:r>
        <w:rPr>
          <w:sz w:val="18"/>
        </w:rPr>
        <w:t>renewable natural resources such as hydrocarbons and minerals, the processing and refining of those resources into usable commodities, and the sale of those</w:t>
      </w:r>
      <w:r>
        <w:rPr>
          <w:spacing w:val="-11"/>
          <w:sz w:val="18"/>
        </w:rPr>
        <w:t> </w:t>
      </w:r>
      <w:r>
        <w:rPr>
          <w:sz w:val="18"/>
        </w:rPr>
        <w:t>commodities.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4"/>
        </w:numPr>
        <w:tabs>
          <w:tab w:pos="1444" w:val="left" w:leader="none"/>
        </w:tabs>
        <w:spacing w:line="271" w:lineRule="auto" w:before="93" w:after="0"/>
        <w:ind w:left="723" w:right="486" w:firstLine="0"/>
        <w:jc w:val="both"/>
        <w:rPr>
          <w:sz w:val="13"/>
        </w:rPr>
      </w:pPr>
      <w:r>
        <w:rPr>
          <w:sz w:val="20"/>
        </w:rPr>
        <w:t>The vast majority of natural resources would already be outside of the scope under the general CFB and ADS definitions. These materials are not of a type commonly sold to consumers, nor are they automated services provided</w:t>
      </w:r>
      <w:r>
        <w:rPr>
          <w:spacing w:val="-3"/>
          <w:sz w:val="20"/>
        </w:rPr>
        <w:t> </w:t>
      </w:r>
      <w:r>
        <w:rPr>
          <w:sz w:val="20"/>
        </w:rPr>
        <w:t>digitally.</w:t>
      </w:r>
      <w:r>
        <w:rPr>
          <w:position w:val="6"/>
          <w:sz w:val="13"/>
        </w:rPr>
        <w:t>27</w:t>
      </w:r>
    </w:p>
    <w:p>
      <w:pPr>
        <w:pStyle w:val="ListParagraph"/>
        <w:numPr>
          <w:ilvl w:val="0"/>
          <w:numId w:val="4"/>
        </w:numPr>
        <w:tabs>
          <w:tab w:pos="1444" w:val="left" w:leader="none"/>
        </w:tabs>
        <w:spacing w:line="271" w:lineRule="auto" w:before="120" w:after="0"/>
        <w:ind w:left="723" w:right="490" w:firstLine="0"/>
        <w:jc w:val="both"/>
        <w:rPr>
          <w:sz w:val="20"/>
        </w:rPr>
      </w:pPr>
      <w:r>
        <w:rPr>
          <w:sz w:val="20"/>
        </w:rPr>
        <w:t>At the other end of the production chain are products that incorporate natural resources, such as jewellery and chocolates, which would be within the general definition of</w:t>
      </w:r>
      <w:r>
        <w:rPr>
          <w:spacing w:val="-10"/>
          <w:sz w:val="20"/>
        </w:rPr>
        <w:t> </w:t>
      </w:r>
      <w:r>
        <w:rPr>
          <w:sz w:val="20"/>
        </w:rPr>
        <w:t>CFB.</w:t>
      </w:r>
    </w:p>
    <w:p>
      <w:pPr>
        <w:pStyle w:val="ListParagraph"/>
        <w:numPr>
          <w:ilvl w:val="0"/>
          <w:numId w:val="4"/>
        </w:numPr>
        <w:tabs>
          <w:tab w:pos="1444" w:val="left" w:leader="none"/>
        </w:tabs>
        <w:spacing w:line="240" w:lineRule="auto" w:before="119" w:after="0"/>
        <w:ind w:left="1443" w:right="0" w:hanging="721"/>
        <w:jc w:val="both"/>
        <w:rPr>
          <w:sz w:val="20"/>
        </w:rPr>
      </w:pPr>
      <w:r>
        <w:rPr>
          <w:sz w:val="20"/>
        </w:rPr>
        <w:t>Between these two points are borderline cases, which are discussed</w:t>
      </w:r>
      <w:r>
        <w:rPr>
          <w:spacing w:val="-10"/>
          <w:sz w:val="20"/>
        </w:rPr>
        <w:t> </w:t>
      </w:r>
      <w:r>
        <w:rPr>
          <w:sz w:val="20"/>
        </w:rPr>
        <w:t>below.</w:t>
      </w:r>
    </w:p>
    <w:p>
      <w:pPr>
        <w:pStyle w:val="BodyText"/>
        <w:rPr>
          <w:sz w:val="23"/>
        </w:rPr>
      </w:pPr>
    </w:p>
    <w:p>
      <w:pPr>
        <w:pStyle w:val="Heading8"/>
      </w:pPr>
      <w:bookmarkStart w:name="Non-renewable resources (extractives)" w:id="59"/>
      <w:bookmarkEnd w:id="59"/>
      <w:r>
        <w:rPr>
          <w:b w:val="0"/>
        </w:rPr>
      </w:r>
      <w:r>
        <w:rPr/>
        <w:t>Non-renewable resources (extractives)</w:t>
      </w:r>
      <w:r>
        <w:rPr>
          <w:vertAlign w:val="superscript"/>
        </w:rPr>
        <w:t>28</w:t>
      </w:r>
    </w:p>
    <w:p>
      <w:pPr>
        <w:pStyle w:val="BodyText"/>
        <w:spacing w:before="9"/>
        <w:rPr>
          <w:b/>
          <w:sz w:val="18"/>
        </w:rPr>
      </w:pPr>
    </w:p>
    <w:p>
      <w:pPr>
        <w:pStyle w:val="ListParagraph"/>
        <w:numPr>
          <w:ilvl w:val="0"/>
          <w:numId w:val="4"/>
        </w:numPr>
        <w:tabs>
          <w:tab w:pos="1444" w:val="left" w:leader="none"/>
        </w:tabs>
        <w:spacing w:line="271" w:lineRule="auto" w:before="0" w:after="0"/>
        <w:ind w:left="723" w:right="482" w:firstLine="0"/>
        <w:jc w:val="both"/>
        <w:rPr>
          <w:sz w:val="20"/>
        </w:rPr>
      </w:pPr>
      <w:r>
        <w:rPr>
          <w:sz w:val="20"/>
        </w:rPr>
        <w:t>Some final products derived from hydrocarbons are sold to consumers. Products like natural gas, liquefied petroleum gas and kerosene have many industrial uses but also may be sold to consumers, e.g. for heating and cooking. Similarly, fuels such as petrol (gasoline), diesel, and aviation gasoline are used by both industry and consumers for transportation</w:t>
      </w:r>
      <w:r>
        <w:rPr>
          <w:spacing w:val="-7"/>
          <w:sz w:val="20"/>
        </w:rPr>
        <w:t> </w:t>
      </w:r>
      <w:r>
        <w:rPr>
          <w:sz w:val="20"/>
        </w:rPr>
        <w:t>purposes.</w:t>
      </w:r>
    </w:p>
    <w:p>
      <w:pPr>
        <w:pStyle w:val="ListParagraph"/>
        <w:numPr>
          <w:ilvl w:val="0"/>
          <w:numId w:val="4"/>
        </w:numPr>
        <w:tabs>
          <w:tab w:pos="1444" w:val="left" w:leader="none"/>
        </w:tabs>
        <w:spacing w:line="271" w:lineRule="auto" w:before="121" w:after="0"/>
        <w:ind w:left="723" w:right="483" w:firstLine="0"/>
        <w:jc w:val="both"/>
        <w:rPr>
          <w:sz w:val="20"/>
        </w:rPr>
      </w:pPr>
      <w:r>
        <w:rPr>
          <w:sz w:val="20"/>
        </w:rPr>
        <w:t>Despite being commonly sold to consumers, however, they have features which distinguish them from other types of consumer products and may bring them within the scope of the exclusion for natural resources</w:t>
      </w:r>
      <w:r>
        <w:rPr>
          <w:spacing w:val="-14"/>
          <w:sz w:val="20"/>
        </w:rPr>
        <w:t> </w:t>
      </w:r>
      <w:r>
        <w:rPr>
          <w:sz w:val="20"/>
        </w:rPr>
        <w:t>and</w:t>
      </w:r>
      <w:r>
        <w:rPr>
          <w:spacing w:val="-15"/>
          <w:sz w:val="20"/>
        </w:rPr>
        <w:t> </w:t>
      </w:r>
      <w:r>
        <w:rPr>
          <w:sz w:val="20"/>
        </w:rPr>
        <w:t>commodities.</w:t>
      </w:r>
      <w:r>
        <w:rPr>
          <w:spacing w:val="-18"/>
          <w:sz w:val="20"/>
        </w:rPr>
        <w:t> </w:t>
      </w:r>
      <w:r>
        <w:rPr>
          <w:sz w:val="20"/>
        </w:rPr>
        <w:t>While</w:t>
      </w:r>
      <w:r>
        <w:rPr>
          <w:spacing w:val="-15"/>
          <w:sz w:val="20"/>
        </w:rPr>
        <w:t> </w:t>
      </w:r>
      <w:r>
        <w:rPr>
          <w:sz w:val="20"/>
        </w:rPr>
        <w:t>these</w:t>
      </w:r>
      <w:r>
        <w:rPr>
          <w:spacing w:val="-13"/>
          <w:sz w:val="20"/>
        </w:rPr>
        <w:t> </w:t>
      </w:r>
      <w:r>
        <w:rPr>
          <w:sz w:val="20"/>
        </w:rPr>
        <w:t>products</w:t>
      </w:r>
      <w:r>
        <w:rPr>
          <w:spacing w:val="-14"/>
          <w:sz w:val="20"/>
        </w:rPr>
        <w:t> </w:t>
      </w:r>
      <w:r>
        <w:rPr>
          <w:sz w:val="20"/>
        </w:rPr>
        <w:t>have</w:t>
      </w:r>
      <w:r>
        <w:rPr>
          <w:spacing w:val="-13"/>
          <w:sz w:val="20"/>
        </w:rPr>
        <w:t> </w:t>
      </w:r>
      <w:r>
        <w:rPr>
          <w:sz w:val="20"/>
        </w:rPr>
        <w:t>undergone</w:t>
      </w:r>
      <w:r>
        <w:rPr>
          <w:spacing w:val="-14"/>
          <w:sz w:val="20"/>
        </w:rPr>
        <w:t> </w:t>
      </w:r>
      <w:r>
        <w:rPr>
          <w:sz w:val="20"/>
        </w:rPr>
        <w:t>a</w:t>
      </w:r>
      <w:r>
        <w:rPr>
          <w:spacing w:val="-15"/>
          <w:sz w:val="20"/>
        </w:rPr>
        <w:t> </w:t>
      </w:r>
      <w:r>
        <w:rPr>
          <w:sz w:val="20"/>
        </w:rPr>
        <w:t>degree</w:t>
      </w:r>
      <w:r>
        <w:rPr>
          <w:spacing w:val="-13"/>
          <w:sz w:val="20"/>
        </w:rPr>
        <w:t> </w:t>
      </w:r>
      <w:r>
        <w:rPr>
          <w:spacing w:val="3"/>
          <w:sz w:val="20"/>
        </w:rPr>
        <w:t>of</w:t>
      </w:r>
      <w:r>
        <w:rPr>
          <w:spacing w:val="-12"/>
          <w:sz w:val="20"/>
        </w:rPr>
        <w:t> </w:t>
      </w:r>
      <w:r>
        <w:rPr>
          <w:sz w:val="20"/>
        </w:rPr>
        <w:t>processing,</w:t>
      </w:r>
      <w:r>
        <w:rPr>
          <w:spacing w:val="-15"/>
          <w:sz w:val="20"/>
        </w:rPr>
        <w:t> </w:t>
      </w:r>
      <w:r>
        <w:rPr>
          <w:sz w:val="20"/>
        </w:rPr>
        <w:t>the</w:t>
      </w:r>
      <w:r>
        <w:rPr>
          <w:spacing w:val="-14"/>
          <w:sz w:val="20"/>
        </w:rPr>
        <w:t> </w:t>
      </w:r>
      <w:r>
        <w:rPr>
          <w:sz w:val="20"/>
        </w:rPr>
        <w:t>processing is largely standardised, meaning that the products may be considered generic, undifferentiated and sold on the basis of their inherent characteristics. Indeed, given their standardised characteristics, some of these</w:t>
      </w:r>
      <w:r>
        <w:rPr>
          <w:spacing w:val="-9"/>
          <w:sz w:val="20"/>
        </w:rPr>
        <w:t> </w:t>
      </w:r>
      <w:r>
        <w:rPr>
          <w:sz w:val="20"/>
        </w:rPr>
        <w:t>products</w:t>
      </w:r>
      <w:r>
        <w:rPr>
          <w:spacing w:val="-8"/>
          <w:sz w:val="20"/>
        </w:rPr>
        <w:t> </w:t>
      </w:r>
      <w:r>
        <w:rPr>
          <w:sz w:val="20"/>
        </w:rPr>
        <w:t>such</w:t>
      </w:r>
      <w:r>
        <w:rPr>
          <w:spacing w:val="-8"/>
          <w:sz w:val="20"/>
        </w:rPr>
        <w:t> </w:t>
      </w:r>
      <w:r>
        <w:rPr>
          <w:sz w:val="20"/>
        </w:rPr>
        <w:t>as</w:t>
      </w:r>
      <w:r>
        <w:rPr>
          <w:spacing w:val="-8"/>
          <w:sz w:val="20"/>
        </w:rPr>
        <w:t> </w:t>
      </w:r>
      <w:r>
        <w:rPr>
          <w:sz w:val="20"/>
        </w:rPr>
        <w:t>natural</w:t>
      </w:r>
      <w:r>
        <w:rPr>
          <w:spacing w:val="-8"/>
          <w:sz w:val="20"/>
        </w:rPr>
        <w:t> </w:t>
      </w:r>
      <w:r>
        <w:rPr>
          <w:sz w:val="20"/>
        </w:rPr>
        <w:t>gas</w:t>
      </w:r>
      <w:r>
        <w:rPr>
          <w:spacing w:val="-8"/>
          <w:sz w:val="20"/>
        </w:rPr>
        <w:t> </w:t>
      </w:r>
      <w:r>
        <w:rPr>
          <w:sz w:val="20"/>
        </w:rPr>
        <w:t>and</w:t>
      </w:r>
      <w:r>
        <w:rPr>
          <w:spacing w:val="-9"/>
          <w:sz w:val="20"/>
        </w:rPr>
        <w:t> </w:t>
      </w:r>
      <w:r>
        <w:rPr>
          <w:sz w:val="20"/>
        </w:rPr>
        <w:t>petrol</w:t>
      </w:r>
      <w:r>
        <w:rPr>
          <w:spacing w:val="-9"/>
          <w:sz w:val="20"/>
        </w:rPr>
        <w:t> </w:t>
      </w:r>
      <w:r>
        <w:rPr>
          <w:sz w:val="20"/>
        </w:rPr>
        <w:t>are</w:t>
      </w:r>
      <w:r>
        <w:rPr>
          <w:spacing w:val="-9"/>
          <w:sz w:val="20"/>
        </w:rPr>
        <w:t> </w:t>
      </w:r>
      <w:r>
        <w:rPr>
          <w:sz w:val="20"/>
        </w:rPr>
        <w:t>sold</w:t>
      </w:r>
      <w:r>
        <w:rPr>
          <w:spacing w:val="-6"/>
          <w:sz w:val="20"/>
        </w:rPr>
        <w:t> </w:t>
      </w:r>
      <w:r>
        <w:rPr>
          <w:sz w:val="20"/>
        </w:rPr>
        <w:t>on</w:t>
      </w:r>
      <w:r>
        <w:rPr>
          <w:spacing w:val="-9"/>
          <w:sz w:val="20"/>
        </w:rPr>
        <w:t> </w:t>
      </w:r>
      <w:r>
        <w:rPr>
          <w:sz w:val="20"/>
        </w:rPr>
        <w:t>commodity</w:t>
      </w:r>
      <w:r>
        <w:rPr>
          <w:spacing w:val="-11"/>
          <w:sz w:val="20"/>
        </w:rPr>
        <w:t> </w:t>
      </w:r>
      <w:r>
        <w:rPr>
          <w:sz w:val="20"/>
        </w:rPr>
        <w:t>exchanges.</w:t>
      </w:r>
      <w:r>
        <w:rPr>
          <w:spacing w:val="-9"/>
          <w:sz w:val="20"/>
        </w:rPr>
        <w:t> </w:t>
      </w:r>
      <w:r>
        <w:rPr>
          <w:sz w:val="20"/>
        </w:rPr>
        <w:t>As</w:t>
      </w:r>
      <w:r>
        <w:rPr>
          <w:spacing w:val="-8"/>
          <w:sz w:val="20"/>
        </w:rPr>
        <w:t> </w:t>
      </w:r>
      <w:r>
        <w:rPr>
          <w:sz w:val="20"/>
        </w:rPr>
        <w:t>such,</w:t>
      </w:r>
      <w:r>
        <w:rPr>
          <w:spacing w:val="-8"/>
          <w:sz w:val="20"/>
        </w:rPr>
        <w:t> </w:t>
      </w:r>
      <w:r>
        <w:rPr>
          <w:sz w:val="20"/>
        </w:rPr>
        <w:t>to</w:t>
      </w:r>
      <w:r>
        <w:rPr>
          <w:spacing w:val="-9"/>
          <w:sz w:val="20"/>
        </w:rPr>
        <w:t> </w:t>
      </w:r>
      <w:r>
        <w:rPr>
          <w:sz w:val="20"/>
        </w:rPr>
        <w:t>a</w:t>
      </w:r>
      <w:r>
        <w:rPr>
          <w:spacing w:val="-8"/>
          <w:sz w:val="20"/>
        </w:rPr>
        <w:t> </w:t>
      </w:r>
      <w:r>
        <w:rPr>
          <w:sz w:val="20"/>
        </w:rPr>
        <w:t>consumer, even if sometimes these products are sold under a brand name, there is generally little that distinguishes one MNE’s product from another’s. This seems to imply that there is limited scope for an MNE to build consumer relationships and interactions and create consumer-facing intangibles to increase value and sales. </w:t>
      </w:r>
      <w:r>
        <w:rPr>
          <w:color w:val="1F497D"/>
          <w:sz w:val="20"/>
        </w:rPr>
        <w:t>In determining the importance of firm-specific intangibles, it could be relevant to consider such factors as the degree of retail competition, whether there are material prices differences across supplier, the size of retail profit margins, etc. </w:t>
      </w:r>
      <w:r>
        <w:rPr>
          <w:sz w:val="20"/>
        </w:rPr>
        <w:t>Fuel retailing also relies on extensive local infrastructure, meaning profits are typically realised locally. However, given questions about the role of branding, advertising and level of processing, in such cases as automobile lubricants, petrol or diesel, further work is</w:t>
      </w:r>
      <w:r>
        <w:rPr>
          <w:spacing w:val="-36"/>
          <w:sz w:val="20"/>
        </w:rPr>
        <w:t> </w:t>
      </w:r>
      <w:r>
        <w:rPr>
          <w:sz w:val="20"/>
        </w:rPr>
        <w:t>required.</w:t>
      </w:r>
    </w:p>
    <w:p>
      <w:pPr>
        <w:pStyle w:val="ListParagraph"/>
        <w:numPr>
          <w:ilvl w:val="0"/>
          <w:numId w:val="4"/>
        </w:numPr>
        <w:tabs>
          <w:tab w:pos="1444" w:val="left" w:leader="none"/>
        </w:tabs>
        <w:spacing w:line="271" w:lineRule="auto" w:before="123" w:after="0"/>
        <w:ind w:left="723" w:right="484" w:firstLine="0"/>
        <w:jc w:val="both"/>
        <w:rPr>
          <w:sz w:val="20"/>
        </w:rPr>
      </w:pPr>
      <w:r>
        <w:rPr>
          <w:sz w:val="20"/>
        </w:rPr>
        <w:t>Likewise, precious gemstones (diamonds, emeralds, non-mineral crystals such as opals) are sometimes sold to consumers. Cut and polished gemstones could be seen as “dual use intermediate products</w:t>
      </w:r>
      <w:r>
        <w:rPr>
          <w:spacing w:val="-8"/>
          <w:sz w:val="20"/>
        </w:rPr>
        <w:t> </w:t>
      </w:r>
      <w:r>
        <w:rPr>
          <w:sz w:val="20"/>
        </w:rPr>
        <w:t>/</w:t>
      </w:r>
      <w:r>
        <w:rPr>
          <w:spacing w:val="-9"/>
          <w:sz w:val="20"/>
        </w:rPr>
        <w:t> </w:t>
      </w:r>
      <w:r>
        <w:rPr>
          <w:sz w:val="20"/>
        </w:rPr>
        <w:t>components”</w:t>
      </w:r>
      <w:r>
        <w:rPr>
          <w:spacing w:val="-8"/>
          <w:sz w:val="20"/>
        </w:rPr>
        <w:t> </w:t>
      </w:r>
      <w:r>
        <w:rPr>
          <w:sz w:val="20"/>
        </w:rPr>
        <w:t>in</w:t>
      </w:r>
      <w:r>
        <w:rPr>
          <w:spacing w:val="-9"/>
          <w:sz w:val="20"/>
        </w:rPr>
        <w:t> </w:t>
      </w:r>
      <w:r>
        <w:rPr>
          <w:sz w:val="20"/>
        </w:rPr>
        <w:t>that</w:t>
      </w:r>
      <w:r>
        <w:rPr>
          <w:spacing w:val="-9"/>
          <w:sz w:val="20"/>
        </w:rPr>
        <w:t> </w:t>
      </w:r>
      <w:r>
        <w:rPr>
          <w:sz w:val="20"/>
        </w:rPr>
        <w:t>they</w:t>
      </w:r>
      <w:r>
        <w:rPr>
          <w:spacing w:val="-11"/>
          <w:sz w:val="20"/>
        </w:rPr>
        <w:t> </w:t>
      </w:r>
      <w:r>
        <w:rPr>
          <w:sz w:val="20"/>
        </w:rPr>
        <w:t>are</w:t>
      </w:r>
      <w:r>
        <w:rPr>
          <w:spacing w:val="-9"/>
          <w:sz w:val="20"/>
        </w:rPr>
        <w:t> </w:t>
      </w:r>
      <w:r>
        <w:rPr>
          <w:sz w:val="20"/>
        </w:rPr>
        <w:t>most</w:t>
      </w:r>
      <w:r>
        <w:rPr>
          <w:spacing w:val="-9"/>
          <w:sz w:val="20"/>
        </w:rPr>
        <w:t> </w:t>
      </w:r>
      <w:r>
        <w:rPr>
          <w:sz w:val="20"/>
        </w:rPr>
        <w:t>often</w:t>
      </w:r>
      <w:r>
        <w:rPr>
          <w:spacing w:val="-9"/>
          <w:sz w:val="20"/>
        </w:rPr>
        <w:t> </w:t>
      </w:r>
      <w:r>
        <w:rPr>
          <w:sz w:val="20"/>
        </w:rPr>
        <w:t>sold</w:t>
      </w:r>
      <w:r>
        <w:rPr>
          <w:spacing w:val="-9"/>
          <w:sz w:val="20"/>
        </w:rPr>
        <w:t> </w:t>
      </w:r>
      <w:r>
        <w:rPr>
          <w:sz w:val="20"/>
        </w:rPr>
        <w:t>to</w:t>
      </w:r>
      <w:r>
        <w:rPr>
          <w:spacing w:val="-8"/>
          <w:sz w:val="20"/>
        </w:rPr>
        <w:t> </w:t>
      </w:r>
      <w:r>
        <w:rPr>
          <w:sz w:val="20"/>
        </w:rPr>
        <w:t>jewellery</w:t>
      </w:r>
      <w:r>
        <w:rPr>
          <w:spacing w:val="-12"/>
          <w:sz w:val="20"/>
        </w:rPr>
        <w:t> </w:t>
      </w:r>
      <w:r>
        <w:rPr>
          <w:sz w:val="20"/>
        </w:rPr>
        <w:t>manufacturers</w:t>
      </w:r>
      <w:r>
        <w:rPr>
          <w:spacing w:val="-10"/>
          <w:sz w:val="20"/>
        </w:rPr>
        <w:t> </w:t>
      </w:r>
      <w:r>
        <w:rPr>
          <w:sz w:val="20"/>
        </w:rPr>
        <w:t>but</w:t>
      </w:r>
      <w:r>
        <w:rPr>
          <w:spacing w:val="-9"/>
          <w:sz w:val="20"/>
        </w:rPr>
        <w:t> </w:t>
      </w:r>
      <w:r>
        <w:rPr>
          <w:sz w:val="20"/>
        </w:rPr>
        <w:t>are</w:t>
      </w:r>
      <w:r>
        <w:rPr>
          <w:spacing w:val="-8"/>
          <w:sz w:val="20"/>
        </w:rPr>
        <w:t> </w:t>
      </w:r>
      <w:r>
        <w:rPr>
          <w:sz w:val="20"/>
        </w:rPr>
        <w:t>sometimes</w:t>
      </w:r>
      <w:r>
        <w:rPr>
          <w:spacing w:val="-10"/>
          <w:sz w:val="20"/>
        </w:rPr>
        <w:t> </w:t>
      </w:r>
      <w:r>
        <w:rPr>
          <w:sz w:val="20"/>
        </w:rPr>
        <w:t>sold directly to consumers. Consideration is being given to whether they ought to be treated as falling outside the natural resources exclusion and instead within the general rules for CFB (for example, having regard to the marketing effort sometimes associated with consumer sales of gemstones, including online </w:t>
      </w:r>
      <w:r>
        <w:rPr>
          <w:spacing w:val="2"/>
          <w:sz w:val="20"/>
        </w:rPr>
        <w:t>sales </w:t>
      </w:r>
      <w:r>
        <w:rPr>
          <w:sz w:val="20"/>
        </w:rPr>
        <w:t>channels).</w:t>
      </w:r>
    </w:p>
    <w:p>
      <w:pPr>
        <w:pStyle w:val="BodyText"/>
        <w:spacing w:before="3"/>
        <w:rPr>
          <w:sz w:val="26"/>
        </w:rPr>
      </w:pPr>
      <w:r>
        <w:rPr/>
        <w:pict>
          <v:rect style="position:absolute;margin-left:65.183998pt;margin-top:17.057247pt;width:144.020004pt;height:.599980pt;mso-position-horizontal-relative:page;mso-position-vertical-relative:paragraph;z-index:-15688192;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5"/>
        </w:numPr>
        <w:tabs>
          <w:tab w:pos="928" w:val="left" w:leader="none"/>
        </w:tabs>
        <w:spacing w:line="278" w:lineRule="auto" w:before="94" w:after="0"/>
        <w:ind w:left="723" w:right="493" w:firstLine="0"/>
        <w:jc w:val="both"/>
        <w:rPr>
          <w:sz w:val="18"/>
        </w:rPr>
      </w:pPr>
      <w:r>
        <w:rPr>
          <w:sz w:val="18"/>
        </w:rPr>
        <w:t>While natural resources businesses may make use of digital tools, the product or service they offer is not a digital service</w:t>
      </w:r>
      <w:r>
        <w:rPr>
          <w:spacing w:val="-3"/>
          <w:sz w:val="18"/>
        </w:rPr>
        <w:t> </w:t>
      </w:r>
      <w:r>
        <w:rPr>
          <w:sz w:val="18"/>
        </w:rPr>
        <w:t>itself.</w:t>
      </w:r>
    </w:p>
    <w:p>
      <w:pPr>
        <w:pStyle w:val="ListParagraph"/>
        <w:numPr>
          <w:ilvl w:val="0"/>
          <w:numId w:val="5"/>
        </w:numPr>
        <w:tabs>
          <w:tab w:pos="919" w:val="left" w:leader="none"/>
        </w:tabs>
        <w:spacing w:line="278" w:lineRule="auto" w:before="78" w:after="0"/>
        <w:ind w:left="723" w:right="481" w:firstLine="0"/>
        <w:jc w:val="both"/>
        <w:rPr>
          <w:sz w:val="18"/>
        </w:rPr>
      </w:pPr>
      <w:r>
        <w:rPr>
          <w:sz w:val="18"/>
        </w:rPr>
        <w:t>Non-renewable</w:t>
      </w:r>
      <w:r>
        <w:rPr>
          <w:spacing w:val="-12"/>
          <w:sz w:val="18"/>
        </w:rPr>
        <w:t> </w:t>
      </w:r>
      <w:r>
        <w:rPr>
          <w:sz w:val="18"/>
        </w:rPr>
        <w:t>resource</w:t>
      </w:r>
      <w:r>
        <w:rPr>
          <w:spacing w:val="-14"/>
          <w:sz w:val="18"/>
        </w:rPr>
        <w:t> </w:t>
      </w:r>
      <w:r>
        <w:rPr>
          <w:sz w:val="18"/>
        </w:rPr>
        <w:t>include</w:t>
      </w:r>
      <w:r>
        <w:rPr>
          <w:spacing w:val="-12"/>
          <w:sz w:val="18"/>
        </w:rPr>
        <w:t> </w:t>
      </w:r>
      <w:r>
        <w:rPr>
          <w:sz w:val="18"/>
        </w:rPr>
        <w:t>hydrocarbons</w:t>
      </w:r>
      <w:r>
        <w:rPr>
          <w:spacing w:val="-12"/>
          <w:sz w:val="18"/>
        </w:rPr>
        <w:t> </w:t>
      </w:r>
      <w:r>
        <w:rPr>
          <w:sz w:val="18"/>
        </w:rPr>
        <w:t>and</w:t>
      </w:r>
      <w:r>
        <w:rPr>
          <w:spacing w:val="-14"/>
          <w:sz w:val="18"/>
        </w:rPr>
        <w:t> </w:t>
      </w:r>
      <w:r>
        <w:rPr>
          <w:sz w:val="18"/>
        </w:rPr>
        <w:t>minerals.</w:t>
      </w:r>
      <w:r>
        <w:rPr>
          <w:spacing w:val="-15"/>
          <w:sz w:val="18"/>
        </w:rPr>
        <w:t> </w:t>
      </w:r>
      <w:r>
        <w:rPr>
          <w:sz w:val="18"/>
        </w:rPr>
        <w:t>Upstream</w:t>
      </w:r>
      <w:r>
        <w:rPr>
          <w:spacing w:val="-14"/>
          <w:sz w:val="18"/>
        </w:rPr>
        <w:t> </w:t>
      </w:r>
      <w:r>
        <w:rPr>
          <w:sz w:val="18"/>
        </w:rPr>
        <w:t>hydrocarbons</w:t>
      </w:r>
      <w:r>
        <w:rPr>
          <w:spacing w:val="-13"/>
          <w:sz w:val="18"/>
        </w:rPr>
        <w:t> </w:t>
      </w:r>
      <w:r>
        <w:rPr>
          <w:sz w:val="18"/>
        </w:rPr>
        <w:t>extracted</w:t>
      </w:r>
      <w:r>
        <w:rPr>
          <w:spacing w:val="-14"/>
          <w:sz w:val="18"/>
        </w:rPr>
        <w:t> </w:t>
      </w:r>
      <w:r>
        <w:rPr>
          <w:sz w:val="18"/>
        </w:rPr>
        <w:t>from</w:t>
      </w:r>
      <w:r>
        <w:rPr>
          <w:spacing w:val="-12"/>
          <w:sz w:val="18"/>
        </w:rPr>
        <w:t> </w:t>
      </w:r>
      <w:r>
        <w:rPr>
          <w:sz w:val="18"/>
        </w:rPr>
        <w:t>the</w:t>
      </w:r>
      <w:r>
        <w:rPr>
          <w:spacing w:val="-12"/>
          <w:sz w:val="18"/>
        </w:rPr>
        <w:t> </w:t>
      </w:r>
      <w:r>
        <w:rPr>
          <w:sz w:val="18"/>
        </w:rPr>
        <w:t>earth</w:t>
      </w:r>
      <w:r>
        <w:rPr>
          <w:spacing w:val="-13"/>
          <w:sz w:val="18"/>
        </w:rPr>
        <w:t> </w:t>
      </w:r>
      <w:r>
        <w:rPr>
          <w:sz w:val="18"/>
        </w:rPr>
        <w:t>such as crude oil (petroleum) and natural gas are out of scope even under the general CFB definition, as they are not sold to</w:t>
      </w:r>
      <w:r>
        <w:rPr>
          <w:spacing w:val="-4"/>
          <w:sz w:val="18"/>
        </w:rPr>
        <w:t> </w:t>
      </w:r>
      <w:r>
        <w:rPr>
          <w:sz w:val="18"/>
        </w:rPr>
        <w:t>consumers.</w:t>
      </w:r>
      <w:r>
        <w:rPr>
          <w:spacing w:val="-6"/>
          <w:sz w:val="18"/>
        </w:rPr>
        <w:t> </w:t>
      </w:r>
      <w:r>
        <w:rPr>
          <w:sz w:val="18"/>
        </w:rPr>
        <w:t>After</w:t>
      </w:r>
      <w:r>
        <w:rPr>
          <w:spacing w:val="-7"/>
          <w:sz w:val="18"/>
        </w:rPr>
        <w:t> </w:t>
      </w:r>
      <w:r>
        <w:rPr>
          <w:sz w:val="18"/>
        </w:rPr>
        <w:t>processing,</w:t>
      </w:r>
      <w:r>
        <w:rPr>
          <w:spacing w:val="-4"/>
          <w:sz w:val="18"/>
        </w:rPr>
        <w:t> </w:t>
      </w:r>
      <w:r>
        <w:rPr>
          <w:sz w:val="18"/>
        </w:rPr>
        <w:t>intermediate</w:t>
      </w:r>
      <w:r>
        <w:rPr>
          <w:spacing w:val="-6"/>
          <w:sz w:val="18"/>
        </w:rPr>
        <w:t> </w:t>
      </w:r>
      <w:r>
        <w:rPr>
          <w:sz w:val="18"/>
        </w:rPr>
        <w:t>products</w:t>
      </w:r>
      <w:r>
        <w:rPr>
          <w:spacing w:val="-5"/>
          <w:sz w:val="18"/>
        </w:rPr>
        <w:t> </w:t>
      </w:r>
      <w:r>
        <w:rPr>
          <w:sz w:val="18"/>
        </w:rPr>
        <w:t>such</w:t>
      </w:r>
      <w:r>
        <w:rPr>
          <w:spacing w:val="-6"/>
          <w:sz w:val="18"/>
        </w:rPr>
        <w:t> </w:t>
      </w:r>
      <w:r>
        <w:rPr>
          <w:sz w:val="18"/>
        </w:rPr>
        <w:t>as</w:t>
      </w:r>
      <w:r>
        <w:rPr>
          <w:spacing w:val="-6"/>
          <w:sz w:val="18"/>
        </w:rPr>
        <w:t> </w:t>
      </w:r>
      <w:r>
        <w:rPr>
          <w:sz w:val="18"/>
        </w:rPr>
        <w:t>ethane,</w:t>
      </w:r>
      <w:r>
        <w:rPr>
          <w:spacing w:val="-7"/>
          <w:sz w:val="18"/>
        </w:rPr>
        <w:t> </w:t>
      </w:r>
      <w:r>
        <w:rPr>
          <w:sz w:val="18"/>
        </w:rPr>
        <w:t>pentanes,</w:t>
      </w:r>
      <w:r>
        <w:rPr>
          <w:spacing w:val="-7"/>
          <w:sz w:val="18"/>
        </w:rPr>
        <w:t> </w:t>
      </w:r>
      <w:r>
        <w:rPr>
          <w:sz w:val="18"/>
        </w:rPr>
        <w:t>asphalt,</w:t>
      </w:r>
      <w:r>
        <w:rPr>
          <w:spacing w:val="-5"/>
          <w:sz w:val="18"/>
        </w:rPr>
        <w:t> </w:t>
      </w:r>
      <w:r>
        <w:rPr>
          <w:sz w:val="18"/>
        </w:rPr>
        <w:t>etc.,</w:t>
      </w:r>
      <w:r>
        <w:rPr>
          <w:spacing w:val="-6"/>
          <w:sz w:val="18"/>
        </w:rPr>
        <w:t> </w:t>
      </w:r>
      <w:r>
        <w:rPr>
          <w:sz w:val="18"/>
        </w:rPr>
        <w:t>are</w:t>
      </w:r>
      <w:r>
        <w:rPr>
          <w:spacing w:val="-6"/>
          <w:sz w:val="18"/>
        </w:rPr>
        <w:t> </w:t>
      </w:r>
      <w:r>
        <w:rPr>
          <w:sz w:val="18"/>
        </w:rPr>
        <w:t>commonly</w:t>
      </w:r>
      <w:r>
        <w:rPr>
          <w:spacing w:val="-6"/>
          <w:sz w:val="18"/>
        </w:rPr>
        <w:t> </w:t>
      </w:r>
      <w:r>
        <w:rPr>
          <w:sz w:val="18"/>
        </w:rPr>
        <w:t>sold</w:t>
      </w:r>
      <w:r>
        <w:rPr>
          <w:spacing w:val="-6"/>
          <w:sz w:val="18"/>
        </w:rPr>
        <w:t> </w:t>
      </w:r>
      <w:r>
        <w:rPr>
          <w:sz w:val="18"/>
        </w:rPr>
        <w:t>as inputs to other industries such as chemical production and construction, and likewise do not meet the test of being sold</w:t>
      </w:r>
      <w:r>
        <w:rPr>
          <w:spacing w:val="-11"/>
          <w:sz w:val="18"/>
        </w:rPr>
        <w:t> </w:t>
      </w:r>
      <w:r>
        <w:rPr>
          <w:sz w:val="18"/>
        </w:rPr>
        <w:t>to</w:t>
      </w:r>
      <w:r>
        <w:rPr>
          <w:spacing w:val="-11"/>
          <w:sz w:val="18"/>
        </w:rPr>
        <w:t> </w:t>
      </w:r>
      <w:r>
        <w:rPr>
          <w:sz w:val="18"/>
        </w:rPr>
        <w:t>consumers.</w:t>
      </w:r>
      <w:r>
        <w:rPr>
          <w:spacing w:val="-9"/>
          <w:sz w:val="18"/>
        </w:rPr>
        <w:t> </w:t>
      </w:r>
      <w:r>
        <w:rPr>
          <w:sz w:val="18"/>
        </w:rPr>
        <w:t>Minerals,</w:t>
      </w:r>
      <w:r>
        <w:rPr>
          <w:spacing w:val="-11"/>
          <w:sz w:val="18"/>
        </w:rPr>
        <w:t> </w:t>
      </w:r>
      <w:r>
        <w:rPr>
          <w:sz w:val="18"/>
        </w:rPr>
        <w:t>including</w:t>
      </w:r>
      <w:r>
        <w:rPr>
          <w:spacing w:val="-10"/>
          <w:sz w:val="18"/>
        </w:rPr>
        <w:t> </w:t>
      </w:r>
      <w:r>
        <w:rPr>
          <w:sz w:val="18"/>
        </w:rPr>
        <w:t>base</w:t>
      </w:r>
      <w:r>
        <w:rPr>
          <w:spacing w:val="-11"/>
          <w:sz w:val="18"/>
        </w:rPr>
        <w:t> </w:t>
      </w:r>
      <w:r>
        <w:rPr>
          <w:sz w:val="18"/>
        </w:rPr>
        <w:t>metals</w:t>
      </w:r>
      <w:r>
        <w:rPr>
          <w:spacing w:val="-8"/>
          <w:sz w:val="18"/>
        </w:rPr>
        <w:t> </w:t>
      </w:r>
      <w:r>
        <w:rPr>
          <w:sz w:val="18"/>
        </w:rPr>
        <w:t>(copper,</w:t>
      </w:r>
      <w:r>
        <w:rPr>
          <w:spacing w:val="-9"/>
          <w:sz w:val="18"/>
        </w:rPr>
        <w:t> </w:t>
      </w:r>
      <w:r>
        <w:rPr>
          <w:sz w:val="18"/>
        </w:rPr>
        <w:t>zinc)</w:t>
      </w:r>
      <w:r>
        <w:rPr>
          <w:spacing w:val="-9"/>
          <w:sz w:val="18"/>
        </w:rPr>
        <w:t> </w:t>
      </w:r>
      <w:r>
        <w:rPr>
          <w:sz w:val="18"/>
        </w:rPr>
        <w:t>and</w:t>
      </w:r>
      <w:r>
        <w:rPr>
          <w:spacing w:val="-9"/>
          <w:sz w:val="18"/>
        </w:rPr>
        <w:t> </w:t>
      </w:r>
      <w:r>
        <w:rPr>
          <w:sz w:val="18"/>
        </w:rPr>
        <w:t>precious</w:t>
      </w:r>
      <w:r>
        <w:rPr>
          <w:spacing w:val="-7"/>
          <w:sz w:val="18"/>
        </w:rPr>
        <w:t> </w:t>
      </w:r>
      <w:r>
        <w:rPr>
          <w:sz w:val="18"/>
        </w:rPr>
        <w:t>metals</w:t>
      </w:r>
      <w:r>
        <w:rPr>
          <w:spacing w:val="-8"/>
          <w:sz w:val="18"/>
        </w:rPr>
        <w:t> </w:t>
      </w:r>
      <w:r>
        <w:rPr>
          <w:sz w:val="18"/>
        </w:rPr>
        <w:t>(gold,</w:t>
      </w:r>
      <w:r>
        <w:rPr>
          <w:spacing w:val="-14"/>
          <w:sz w:val="18"/>
        </w:rPr>
        <w:t> </w:t>
      </w:r>
      <w:r>
        <w:rPr>
          <w:sz w:val="18"/>
        </w:rPr>
        <w:t>silver)</w:t>
      </w:r>
      <w:r>
        <w:rPr>
          <w:spacing w:val="-9"/>
          <w:sz w:val="18"/>
        </w:rPr>
        <w:t> </w:t>
      </w:r>
      <w:r>
        <w:rPr>
          <w:sz w:val="18"/>
        </w:rPr>
        <w:t>are</w:t>
      </w:r>
      <w:r>
        <w:rPr>
          <w:spacing w:val="-9"/>
          <w:sz w:val="18"/>
        </w:rPr>
        <w:t> </w:t>
      </w:r>
      <w:r>
        <w:rPr>
          <w:sz w:val="18"/>
        </w:rPr>
        <w:t>extracted</w:t>
      </w:r>
      <w:r>
        <w:rPr>
          <w:spacing w:val="-10"/>
          <w:sz w:val="18"/>
        </w:rPr>
        <w:t> </w:t>
      </w:r>
      <w:r>
        <w:rPr>
          <w:sz w:val="18"/>
        </w:rPr>
        <w:t>from the earth before being refined and smelted into metals and other mineral commodities. Most mineral products (steel, aluminium, gypsum) are not commonly sold to consumers and so are not within the scope of CFB. Likewise, sale of rough or raw gemstones and those for industrial use would be natural resources that are excluded from</w:t>
      </w:r>
      <w:r>
        <w:rPr>
          <w:spacing w:val="-32"/>
          <w:sz w:val="18"/>
        </w:rPr>
        <w:t> </w:t>
      </w:r>
      <w:r>
        <w:rPr>
          <w:sz w:val="18"/>
        </w:rPr>
        <w:t>scope.</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Heading8"/>
        <w:spacing w:before="93"/>
      </w:pPr>
      <w:bookmarkStart w:name="Renewable resources and renewable energy" w:id="60"/>
      <w:bookmarkEnd w:id="60"/>
      <w:r>
        <w:rPr>
          <w:b w:val="0"/>
        </w:rPr>
      </w:r>
      <w:r>
        <w:rPr/>
        <w:t>Renewable resources and renewable energy products</w:t>
      </w:r>
    </w:p>
    <w:p>
      <w:pPr>
        <w:pStyle w:val="BodyText"/>
        <w:spacing w:before="5"/>
        <w:rPr>
          <w:b/>
          <w:sz w:val="18"/>
        </w:rPr>
      </w:pPr>
    </w:p>
    <w:p>
      <w:pPr>
        <w:pStyle w:val="ListParagraph"/>
        <w:numPr>
          <w:ilvl w:val="0"/>
          <w:numId w:val="4"/>
        </w:numPr>
        <w:tabs>
          <w:tab w:pos="1444" w:val="left" w:leader="none"/>
        </w:tabs>
        <w:spacing w:line="271" w:lineRule="auto" w:before="0" w:after="0"/>
        <w:ind w:left="723" w:right="481" w:firstLine="0"/>
        <w:jc w:val="both"/>
        <w:rPr>
          <w:sz w:val="20"/>
        </w:rPr>
      </w:pPr>
      <w:r>
        <w:rPr>
          <w:sz w:val="20"/>
        </w:rPr>
        <w:t>Most bulk agricultural, fishery and forestry products do not meet the CFB definition.</w:t>
      </w:r>
      <w:r>
        <w:rPr>
          <w:sz w:val="20"/>
          <w:vertAlign w:val="superscript"/>
        </w:rPr>
        <w:t>29</w:t>
      </w:r>
      <w:r>
        <w:rPr>
          <w:sz w:val="20"/>
          <w:vertAlign w:val="baseline"/>
        </w:rPr>
        <w:t> Following further processing and packaging, however, some agricultural, fishery and forestry products become consumer products. However, if the product remains generally generic, undifferentiated and sold on the basis</w:t>
      </w:r>
      <w:r>
        <w:rPr>
          <w:spacing w:val="-9"/>
          <w:sz w:val="20"/>
          <w:vertAlign w:val="baseline"/>
        </w:rPr>
        <w:t> </w:t>
      </w:r>
      <w:r>
        <w:rPr>
          <w:sz w:val="20"/>
          <w:vertAlign w:val="baseline"/>
        </w:rPr>
        <w:t>of</w:t>
      </w:r>
      <w:r>
        <w:rPr>
          <w:spacing w:val="-7"/>
          <w:sz w:val="20"/>
          <w:vertAlign w:val="baseline"/>
        </w:rPr>
        <w:t> </w:t>
      </w:r>
      <w:r>
        <w:rPr>
          <w:sz w:val="20"/>
          <w:vertAlign w:val="baseline"/>
        </w:rPr>
        <w:t>its</w:t>
      </w:r>
      <w:r>
        <w:rPr>
          <w:spacing w:val="-5"/>
          <w:sz w:val="20"/>
          <w:vertAlign w:val="baseline"/>
        </w:rPr>
        <w:t> </w:t>
      </w:r>
      <w:r>
        <w:rPr>
          <w:sz w:val="20"/>
          <w:vertAlign w:val="baseline"/>
        </w:rPr>
        <w:t>inherent</w:t>
      </w:r>
      <w:r>
        <w:rPr>
          <w:spacing w:val="-9"/>
          <w:sz w:val="20"/>
          <w:vertAlign w:val="baseline"/>
        </w:rPr>
        <w:t> </w:t>
      </w:r>
      <w:r>
        <w:rPr>
          <w:sz w:val="20"/>
          <w:vertAlign w:val="baseline"/>
        </w:rPr>
        <w:t>characteristics,</w:t>
      </w:r>
      <w:r>
        <w:rPr>
          <w:spacing w:val="-9"/>
          <w:sz w:val="20"/>
          <w:vertAlign w:val="baseline"/>
        </w:rPr>
        <w:t> </w:t>
      </w:r>
      <w:r>
        <w:rPr>
          <w:sz w:val="20"/>
          <w:vertAlign w:val="baseline"/>
        </w:rPr>
        <w:t>there</w:t>
      </w:r>
      <w:r>
        <w:rPr>
          <w:spacing w:val="-9"/>
          <w:sz w:val="20"/>
          <w:vertAlign w:val="baseline"/>
        </w:rPr>
        <w:t> </w:t>
      </w:r>
      <w:r>
        <w:rPr>
          <w:sz w:val="20"/>
          <w:vertAlign w:val="baseline"/>
        </w:rPr>
        <w:t>is</w:t>
      </w:r>
      <w:r>
        <w:rPr>
          <w:spacing w:val="-5"/>
          <w:sz w:val="20"/>
          <w:vertAlign w:val="baseline"/>
        </w:rPr>
        <w:t> </w:t>
      </w:r>
      <w:r>
        <w:rPr>
          <w:sz w:val="20"/>
          <w:vertAlign w:val="baseline"/>
        </w:rPr>
        <w:t>a</w:t>
      </w:r>
      <w:r>
        <w:rPr>
          <w:spacing w:val="-9"/>
          <w:sz w:val="20"/>
          <w:vertAlign w:val="baseline"/>
        </w:rPr>
        <w:t> </w:t>
      </w:r>
      <w:r>
        <w:rPr>
          <w:sz w:val="20"/>
          <w:vertAlign w:val="baseline"/>
        </w:rPr>
        <w:t>case</w:t>
      </w:r>
      <w:r>
        <w:rPr>
          <w:spacing w:val="-9"/>
          <w:sz w:val="20"/>
          <w:vertAlign w:val="baseline"/>
        </w:rPr>
        <w:t> </w:t>
      </w:r>
      <w:r>
        <w:rPr>
          <w:sz w:val="20"/>
          <w:vertAlign w:val="baseline"/>
        </w:rPr>
        <w:t>that</w:t>
      </w:r>
      <w:r>
        <w:rPr>
          <w:spacing w:val="-7"/>
          <w:sz w:val="20"/>
          <w:vertAlign w:val="baseline"/>
        </w:rPr>
        <w:t> </w:t>
      </w:r>
      <w:r>
        <w:rPr>
          <w:sz w:val="20"/>
          <w:vertAlign w:val="baseline"/>
        </w:rPr>
        <w:t>it</w:t>
      </w:r>
      <w:r>
        <w:rPr>
          <w:spacing w:val="-9"/>
          <w:sz w:val="20"/>
          <w:vertAlign w:val="baseline"/>
        </w:rPr>
        <w:t> </w:t>
      </w:r>
      <w:r>
        <w:rPr>
          <w:sz w:val="20"/>
          <w:vertAlign w:val="baseline"/>
        </w:rPr>
        <w:t>should</w:t>
      </w:r>
      <w:r>
        <w:rPr>
          <w:spacing w:val="-7"/>
          <w:sz w:val="20"/>
          <w:vertAlign w:val="baseline"/>
        </w:rPr>
        <w:t> </w:t>
      </w:r>
      <w:r>
        <w:rPr>
          <w:sz w:val="20"/>
          <w:vertAlign w:val="baseline"/>
        </w:rPr>
        <w:t>be</w:t>
      </w:r>
      <w:r>
        <w:rPr>
          <w:spacing w:val="-7"/>
          <w:sz w:val="20"/>
          <w:vertAlign w:val="baseline"/>
        </w:rPr>
        <w:t> </w:t>
      </w:r>
      <w:r>
        <w:rPr>
          <w:sz w:val="20"/>
          <w:vertAlign w:val="baseline"/>
        </w:rPr>
        <w:t>excluded</w:t>
      </w:r>
      <w:r>
        <w:rPr>
          <w:spacing w:val="-9"/>
          <w:sz w:val="20"/>
          <w:vertAlign w:val="baseline"/>
        </w:rPr>
        <w:t> </w:t>
      </w:r>
      <w:r>
        <w:rPr>
          <w:sz w:val="20"/>
          <w:vertAlign w:val="baseline"/>
        </w:rPr>
        <w:t>from</w:t>
      </w:r>
      <w:r>
        <w:rPr>
          <w:spacing w:val="-5"/>
          <w:sz w:val="20"/>
          <w:vertAlign w:val="baseline"/>
        </w:rPr>
        <w:t> </w:t>
      </w:r>
      <w:r>
        <w:rPr>
          <w:sz w:val="20"/>
          <w:vertAlign w:val="baseline"/>
        </w:rPr>
        <w:t>the</w:t>
      </w:r>
      <w:r>
        <w:rPr>
          <w:spacing w:val="-9"/>
          <w:sz w:val="20"/>
          <w:vertAlign w:val="baseline"/>
        </w:rPr>
        <w:t> </w:t>
      </w:r>
      <w:r>
        <w:rPr>
          <w:sz w:val="20"/>
          <w:vertAlign w:val="baseline"/>
        </w:rPr>
        <w:t>scope</w:t>
      </w:r>
      <w:r>
        <w:rPr>
          <w:spacing w:val="-7"/>
          <w:sz w:val="20"/>
          <w:vertAlign w:val="baseline"/>
        </w:rPr>
        <w:t> </w:t>
      </w:r>
      <w:r>
        <w:rPr>
          <w:sz w:val="20"/>
          <w:vertAlign w:val="baseline"/>
        </w:rPr>
        <w:t>of</w:t>
      </w:r>
      <w:r>
        <w:rPr>
          <w:spacing w:val="-7"/>
          <w:sz w:val="20"/>
          <w:vertAlign w:val="baseline"/>
        </w:rPr>
        <w:t> </w:t>
      </w:r>
      <w:r>
        <w:rPr>
          <w:sz w:val="20"/>
          <w:vertAlign w:val="baseline"/>
        </w:rPr>
        <w:t>Amount</w:t>
      </w:r>
      <w:r>
        <w:rPr>
          <w:spacing w:val="5"/>
          <w:sz w:val="20"/>
          <w:vertAlign w:val="baseline"/>
        </w:rPr>
        <w:t> </w:t>
      </w:r>
      <w:r>
        <w:rPr>
          <w:sz w:val="20"/>
          <w:vertAlign w:val="baseline"/>
        </w:rPr>
        <w:t>A. While work continues to delineate more precisely how far the exclusion extends, further work will be required on the role of relevant factors such as the degree of processing, packaging and</w:t>
      </w:r>
      <w:r>
        <w:rPr>
          <w:spacing w:val="-24"/>
          <w:sz w:val="20"/>
          <w:vertAlign w:val="baseline"/>
        </w:rPr>
        <w:t> </w:t>
      </w:r>
      <w:r>
        <w:rPr>
          <w:sz w:val="20"/>
          <w:vertAlign w:val="baseline"/>
        </w:rPr>
        <w:t>branding.</w:t>
      </w:r>
      <w:r>
        <w:rPr>
          <w:sz w:val="20"/>
          <w:vertAlign w:val="superscript"/>
        </w:rPr>
        <w:t>30</w:t>
      </w:r>
    </w:p>
    <w:p>
      <w:pPr>
        <w:pStyle w:val="ListParagraph"/>
        <w:numPr>
          <w:ilvl w:val="0"/>
          <w:numId w:val="4"/>
        </w:numPr>
        <w:tabs>
          <w:tab w:pos="1444" w:val="left" w:leader="none"/>
        </w:tabs>
        <w:spacing w:line="271" w:lineRule="auto" w:before="125" w:after="0"/>
        <w:ind w:left="723" w:right="484" w:firstLine="0"/>
        <w:jc w:val="both"/>
        <w:rPr>
          <w:sz w:val="20"/>
        </w:rPr>
      </w:pPr>
      <w:r>
        <w:rPr>
          <w:sz w:val="20"/>
        </w:rPr>
        <w:t>Renewable energy products also raise questions about the scope of the resources exclusion. Electricity from water, sun and wind power exploits a renewable natural resource. Even when sold to consumers, the product is homogeneous and purchased for its inherent characteristics. As discussed below under infrastructure services, electricity distribution is already closely tied physically to the market due</w:t>
      </w:r>
      <w:r>
        <w:rPr>
          <w:spacing w:val="-8"/>
          <w:sz w:val="20"/>
        </w:rPr>
        <w:t> </w:t>
      </w:r>
      <w:r>
        <w:rPr>
          <w:sz w:val="20"/>
        </w:rPr>
        <w:t>to</w:t>
      </w:r>
      <w:r>
        <w:rPr>
          <w:spacing w:val="-7"/>
          <w:sz w:val="20"/>
        </w:rPr>
        <w:t> </w:t>
      </w:r>
      <w:r>
        <w:rPr>
          <w:sz w:val="20"/>
        </w:rPr>
        <w:t>the</w:t>
      </w:r>
      <w:r>
        <w:rPr>
          <w:spacing w:val="-8"/>
          <w:sz w:val="20"/>
        </w:rPr>
        <w:t> </w:t>
      </w:r>
      <w:r>
        <w:rPr>
          <w:sz w:val="20"/>
        </w:rPr>
        <w:t>physical</w:t>
      </w:r>
      <w:r>
        <w:rPr>
          <w:spacing w:val="-7"/>
          <w:sz w:val="20"/>
        </w:rPr>
        <w:t> </w:t>
      </w:r>
      <w:r>
        <w:rPr>
          <w:sz w:val="20"/>
        </w:rPr>
        <w:t>infrastructure</w:t>
      </w:r>
      <w:r>
        <w:rPr>
          <w:spacing w:val="-9"/>
          <w:sz w:val="20"/>
        </w:rPr>
        <w:t> </w:t>
      </w:r>
      <w:r>
        <w:rPr>
          <w:sz w:val="20"/>
        </w:rPr>
        <w:t>used.</w:t>
      </w:r>
      <w:r>
        <w:rPr>
          <w:spacing w:val="-6"/>
          <w:sz w:val="20"/>
        </w:rPr>
        <w:t> </w:t>
      </w:r>
      <w:r>
        <w:rPr>
          <w:sz w:val="20"/>
        </w:rPr>
        <w:t>Biogas</w:t>
      </w:r>
      <w:r>
        <w:rPr>
          <w:spacing w:val="-7"/>
          <w:sz w:val="20"/>
        </w:rPr>
        <w:t> </w:t>
      </w:r>
      <w:r>
        <w:rPr>
          <w:sz w:val="20"/>
        </w:rPr>
        <w:t>is</w:t>
      </w:r>
      <w:r>
        <w:rPr>
          <w:spacing w:val="-5"/>
          <w:sz w:val="20"/>
        </w:rPr>
        <w:t> </w:t>
      </w:r>
      <w:r>
        <w:rPr>
          <w:sz w:val="20"/>
        </w:rPr>
        <w:t>very</w:t>
      </w:r>
      <w:r>
        <w:rPr>
          <w:spacing w:val="-10"/>
          <w:sz w:val="20"/>
        </w:rPr>
        <w:t> </w:t>
      </w:r>
      <w:r>
        <w:rPr>
          <w:sz w:val="20"/>
        </w:rPr>
        <w:t>similar</w:t>
      </w:r>
      <w:r>
        <w:rPr>
          <w:spacing w:val="-9"/>
          <w:sz w:val="20"/>
        </w:rPr>
        <w:t> </w:t>
      </w:r>
      <w:r>
        <w:rPr>
          <w:sz w:val="20"/>
        </w:rPr>
        <w:t>to</w:t>
      </w:r>
      <w:r>
        <w:rPr>
          <w:spacing w:val="-7"/>
          <w:sz w:val="20"/>
        </w:rPr>
        <w:t> </w:t>
      </w:r>
      <w:r>
        <w:rPr>
          <w:sz w:val="20"/>
        </w:rPr>
        <w:t>natural</w:t>
      </w:r>
      <w:r>
        <w:rPr>
          <w:spacing w:val="-7"/>
          <w:sz w:val="20"/>
        </w:rPr>
        <w:t> </w:t>
      </w:r>
      <w:r>
        <w:rPr>
          <w:sz w:val="20"/>
        </w:rPr>
        <w:t>gas</w:t>
      </w:r>
      <w:r>
        <w:rPr>
          <w:spacing w:val="-6"/>
          <w:sz w:val="20"/>
        </w:rPr>
        <w:t> </w:t>
      </w:r>
      <w:r>
        <w:rPr>
          <w:sz w:val="20"/>
        </w:rPr>
        <w:t>except</w:t>
      </w:r>
      <w:r>
        <w:rPr>
          <w:spacing w:val="-4"/>
          <w:sz w:val="20"/>
        </w:rPr>
        <w:t> </w:t>
      </w:r>
      <w:r>
        <w:rPr>
          <w:sz w:val="20"/>
        </w:rPr>
        <w:t>that</w:t>
      </w:r>
      <w:r>
        <w:rPr>
          <w:spacing w:val="-7"/>
          <w:sz w:val="20"/>
        </w:rPr>
        <w:t> </w:t>
      </w:r>
      <w:r>
        <w:rPr>
          <w:sz w:val="20"/>
        </w:rPr>
        <w:t>it</w:t>
      </w:r>
      <w:r>
        <w:rPr>
          <w:spacing w:val="-7"/>
          <w:sz w:val="20"/>
        </w:rPr>
        <w:t> </w:t>
      </w:r>
      <w:r>
        <w:rPr>
          <w:sz w:val="20"/>
        </w:rPr>
        <w:t>is</w:t>
      </w:r>
      <w:r>
        <w:rPr>
          <w:spacing w:val="-6"/>
          <w:sz w:val="20"/>
        </w:rPr>
        <w:t> </w:t>
      </w:r>
      <w:r>
        <w:rPr>
          <w:sz w:val="20"/>
        </w:rPr>
        <w:t>produced</w:t>
      </w:r>
      <w:r>
        <w:rPr>
          <w:spacing w:val="-9"/>
          <w:sz w:val="20"/>
        </w:rPr>
        <w:t> </w:t>
      </w:r>
      <w:r>
        <w:rPr>
          <w:sz w:val="20"/>
        </w:rPr>
        <w:t>from non-fossil sources. Renewable transportation fuels (biofuels like ethanol) are substitutes </w:t>
      </w:r>
      <w:r>
        <w:rPr>
          <w:spacing w:val="4"/>
          <w:sz w:val="20"/>
        </w:rPr>
        <w:t>for </w:t>
      </w:r>
      <w:r>
        <w:rPr>
          <w:sz w:val="20"/>
        </w:rPr>
        <w:t>petroleum products like gasoline and diesel. While the origin is distinct, they have similar characteristics, including retail branding, suggesting a case for parallel</w:t>
      </w:r>
      <w:r>
        <w:rPr>
          <w:spacing w:val="-10"/>
          <w:sz w:val="20"/>
        </w:rPr>
        <w:t> </w:t>
      </w:r>
      <w:r>
        <w:rPr>
          <w:sz w:val="20"/>
        </w:rPr>
        <w:t>treatment.</w:t>
      </w:r>
    </w:p>
    <w:p>
      <w:pPr>
        <w:pStyle w:val="ListParagraph"/>
        <w:numPr>
          <w:ilvl w:val="0"/>
          <w:numId w:val="4"/>
        </w:numPr>
        <w:tabs>
          <w:tab w:pos="1444" w:val="left" w:leader="none"/>
        </w:tabs>
        <w:spacing w:line="271" w:lineRule="auto" w:before="123" w:after="0"/>
        <w:ind w:left="723" w:right="486" w:firstLine="0"/>
        <w:jc w:val="both"/>
        <w:rPr>
          <w:sz w:val="20"/>
        </w:rPr>
      </w:pPr>
      <w:r>
        <w:rPr>
          <w:sz w:val="20"/>
        </w:rPr>
        <w:t>Further work will be undertaken, taking into account the above considerations, to provide greater clarity</w:t>
      </w:r>
      <w:r>
        <w:rPr>
          <w:spacing w:val="-9"/>
          <w:sz w:val="20"/>
        </w:rPr>
        <w:t> </w:t>
      </w:r>
      <w:r>
        <w:rPr>
          <w:sz w:val="20"/>
        </w:rPr>
        <w:t>defining</w:t>
      </w:r>
      <w:r>
        <w:rPr>
          <w:spacing w:val="-5"/>
          <w:sz w:val="20"/>
        </w:rPr>
        <w:t> </w:t>
      </w:r>
      <w:r>
        <w:rPr>
          <w:sz w:val="20"/>
        </w:rPr>
        <w:t>the</w:t>
      </w:r>
      <w:r>
        <w:rPr>
          <w:spacing w:val="-6"/>
          <w:sz w:val="20"/>
        </w:rPr>
        <w:t> </w:t>
      </w:r>
      <w:r>
        <w:rPr>
          <w:sz w:val="20"/>
        </w:rPr>
        <w:t>exclusion</w:t>
      </w:r>
      <w:r>
        <w:rPr>
          <w:spacing w:val="-5"/>
          <w:sz w:val="20"/>
        </w:rPr>
        <w:t> </w:t>
      </w:r>
      <w:r>
        <w:rPr>
          <w:sz w:val="20"/>
        </w:rPr>
        <w:t>for</w:t>
      </w:r>
      <w:r>
        <w:rPr>
          <w:spacing w:val="-5"/>
          <w:sz w:val="20"/>
        </w:rPr>
        <w:t> </w:t>
      </w:r>
      <w:r>
        <w:rPr>
          <w:sz w:val="20"/>
        </w:rPr>
        <w:t>generic</w:t>
      </w:r>
      <w:r>
        <w:rPr>
          <w:spacing w:val="-5"/>
          <w:sz w:val="20"/>
        </w:rPr>
        <w:t> </w:t>
      </w:r>
      <w:r>
        <w:rPr>
          <w:sz w:val="20"/>
        </w:rPr>
        <w:t>and</w:t>
      </w:r>
      <w:r>
        <w:rPr>
          <w:spacing w:val="-3"/>
          <w:sz w:val="20"/>
        </w:rPr>
        <w:t> </w:t>
      </w:r>
      <w:r>
        <w:rPr>
          <w:sz w:val="20"/>
        </w:rPr>
        <w:t>undifferentiated</w:t>
      </w:r>
      <w:r>
        <w:rPr>
          <w:spacing w:val="-7"/>
          <w:sz w:val="20"/>
        </w:rPr>
        <w:t> </w:t>
      </w:r>
      <w:r>
        <w:rPr>
          <w:sz w:val="20"/>
        </w:rPr>
        <w:t>natural</w:t>
      </w:r>
      <w:r>
        <w:rPr>
          <w:spacing w:val="-6"/>
          <w:sz w:val="20"/>
        </w:rPr>
        <w:t> </w:t>
      </w:r>
      <w:r>
        <w:rPr>
          <w:sz w:val="20"/>
        </w:rPr>
        <w:t>resource</w:t>
      </w:r>
      <w:r>
        <w:rPr>
          <w:spacing w:val="-4"/>
          <w:sz w:val="20"/>
        </w:rPr>
        <w:t> </w:t>
      </w:r>
      <w:r>
        <w:rPr>
          <w:sz w:val="20"/>
        </w:rPr>
        <w:t>products</w:t>
      </w:r>
      <w:r>
        <w:rPr>
          <w:spacing w:val="-4"/>
          <w:sz w:val="20"/>
        </w:rPr>
        <w:t> </w:t>
      </w:r>
      <w:r>
        <w:rPr>
          <w:sz w:val="20"/>
        </w:rPr>
        <w:t>and</w:t>
      </w:r>
      <w:r>
        <w:rPr>
          <w:spacing w:val="-6"/>
          <w:sz w:val="20"/>
        </w:rPr>
        <w:t> </w:t>
      </w:r>
      <w:r>
        <w:rPr>
          <w:sz w:val="20"/>
        </w:rPr>
        <w:t>commodities.</w:t>
      </w:r>
    </w:p>
    <w:p>
      <w:pPr>
        <w:pStyle w:val="BodyText"/>
        <w:spacing w:before="11"/>
        <w:rPr>
          <w:sz w:val="19"/>
        </w:rPr>
      </w:pPr>
    </w:p>
    <w:p>
      <w:pPr>
        <w:pStyle w:val="Heading7"/>
        <w:rPr>
          <w:i/>
        </w:rPr>
      </w:pPr>
      <w:bookmarkStart w:name="Financial services (FS)" w:id="61"/>
      <w:bookmarkEnd w:id="61"/>
      <w:r>
        <w:rPr>
          <w:i w:val="0"/>
        </w:rPr>
      </w:r>
      <w:r>
        <w:rPr>
          <w:i/>
          <w:color w:val="616161"/>
        </w:rPr>
        <w:t>Financial services (FS)</w:t>
      </w:r>
    </w:p>
    <w:p>
      <w:pPr>
        <w:pStyle w:val="BodyText"/>
        <w:spacing w:before="10"/>
        <w:rPr>
          <w:i/>
          <w:sz w:val="18"/>
        </w:rPr>
      </w:pPr>
    </w:p>
    <w:p>
      <w:pPr>
        <w:pStyle w:val="ListParagraph"/>
        <w:numPr>
          <w:ilvl w:val="0"/>
          <w:numId w:val="4"/>
        </w:numPr>
        <w:tabs>
          <w:tab w:pos="1444" w:val="left" w:leader="none"/>
        </w:tabs>
        <w:spacing w:line="271" w:lineRule="auto" w:before="0" w:after="0"/>
        <w:ind w:left="723" w:right="483" w:firstLine="0"/>
        <w:jc w:val="both"/>
        <w:rPr>
          <w:sz w:val="20"/>
        </w:rPr>
      </w:pPr>
      <w:r>
        <w:rPr>
          <w:sz w:val="20"/>
        </w:rPr>
        <w:t>FS</w:t>
      </w:r>
      <w:r>
        <w:rPr>
          <w:spacing w:val="-8"/>
          <w:sz w:val="20"/>
        </w:rPr>
        <w:t> </w:t>
      </w:r>
      <w:r>
        <w:rPr>
          <w:sz w:val="20"/>
        </w:rPr>
        <w:t>business</w:t>
      </w:r>
      <w:r>
        <w:rPr>
          <w:spacing w:val="-5"/>
          <w:sz w:val="20"/>
        </w:rPr>
        <w:t> </w:t>
      </w:r>
      <w:r>
        <w:rPr>
          <w:sz w:val="20"/>
        </w:rPr>
        <w:t>comprises</w:t>
      </w:r>
      <w:r>
        <w:rPr>
          <w:spacing w:val="-6"/>
          <w:sz w:val="20"/>
        </w:rPr>
        <w:t> </w:t>
      </w:r>
      <w:r>
        <w:rPr>
          <w:sz w:val="20"/>
        </w:rPr>
        <w:t>banking,</w:t>
      </w:r>
      <w:r>
        <w:rPr>
          <w:spacing w:val="-6"/>
          <w:sz w:val="20"/>
        </w:rPr>
        <w:t> </w:t>
      </w:r>
      <w:r>
        <w:rPr>
          <w:sz w:val="20"/>
        </w:rPr>
        <w:t>insurance</w:t>
      </w:r>
      <w:r>
        <w:rPr>
          <w:spacing w:val="-7"/>
          <w:sz w:val="20"/>
        </w:rPr>
        <w:t> </w:t>
      </w:r>
      <w:r>
        <w:rPr>
          <w:sz w:val="20"/>
        </w:rPr>
        <w:t>and</w:t>
      </w:r>
      <w:r>
        <w:rPr>
          <w:spacing w:val="-6"/>
          <w:sz w:val="20"/>
        </w:rPr>
        <w:t> </w:t>
      </w:r>
      <w:r>
        <w:rPr>
          <w:sz w:val="20"/>
        </w:rPr>
        <w:t>asset</w:t>
      </w:r>
      <w:r>
        <w:rPr>
          <w:spacing w:val="-5"/>
          <w:sz w:val="20"/>
        </w:rPr>
        <w:t> </w:t>
      </w:r>
      <w:r>
        <w:rPr>
          <w:sz w:val="20"/>
        </w:rPr>
        <w:t>management.</w:t>
      </w:r>
      <w:r>
        <w:rPr>
          <w:spacing w:val="-7"/>
          <w:sz w:val="20"/>
        </w:rPr>
        <w:t> </w:t>
      </w:r>
      <w:r>
        <w:rPr>
          <w:sz w:val="20"/>
        </w:rPr>
        <w:t>As</w:t>
      </w:r>
      <w:r>
        <w:rPr>
          <w:spacing w:val="-5"/>
          <w:sz w:val="20"/>
        </w:rPr>
        <w:t> </w:t>
      </w:r>
      <w:r>
        <w:rPr>
          <w:sz w:val="20"/>
        </w:rPr>
        <w:t>the</w:t>
      </w:r>
      <w:r>
        <w:rPr>
          <w:spacing w:val="-6"/>
          <w:sz w:val="20"/>
        </w:rPr>
        <w:t> </w:t>
      </w:r>
      <w:r>
        <w:rPr>
          <w:sz w:val="20"/>
        </w:rPr>
        <w:t>issues</w:t>
      </w:r>
      <w:r>
        <w:rPr>
          <w:spacing w:val="-5"/>
          <w:sz w:val="20"/>
        </w:rPr>
        <w:t> </w:t>
      </w:r>
      <w:r>
        <w:rPr>
          <w:sz w:val="20"/>
        </w:rPr>
        <w:t>raised</w:t>
      </w:r>
      <w:r>
        <w:rPr>
          <w:spacing w:val="-5"/>
          <w:sz w:val="20"/>
        </w:rPr>
        <w:t> </w:t>
      </w:r>
      <w:r>
        <w:rPr>
          <w:sz w:val="20"/>
        </w:rPr>
        <w:t>by</w:t>
      </w:r>
      <w:r>
        <w:rPr>
          <w:spacing w:val="-7"/>
          <w:sz w:val="20"/>
        </w:rPr>
        <w:t> </w:t>
      </w:r>
      <w:r>
        <w:rPr>
          <w:sz w:val="20"/>
        </w:rPr>
        <w:t>each of these three sectors in relation to the new taxing right (particularly in relation to CFB) are different, the discussion</w:t>
      </w:r>
      <w:r>
        <w:rPr>
          <w:spacing w:val="-7"/>
          <w:sz w:val="20"/>
        </w:rPr>
        <w:t> </w:t>
      </w:r>
      <w:r>
        <w:rPr>
          <w:sz w:val="20"/>
        </w:rPr>
        <w:t>below</w:t>
      </w:r>
      <w:r>
        <w:rPr>
          <w:spacing w:val="-9"/>
          <w:sz w:val="20"/>
        </w:rPr>
        <w:t> </w:t>
      </w:r>
      <w:r>
        <w:rPr>
          <w:sz w:val="20"/>
        </w:rPr>
        <w:t>considers</w:t>
      </w:r>
      <w:r>
        <w:rPr>
          <w:spacing w:val="-5"/>
          <w:sz w:val="20"/>
        </w:rPr>
        <w:t> </w:t>
      </w:r>
      <w:r>
        <w:rPr>
          <w:sz w:val="20"/>
        </w:rPr>
        <w:t>each</w:t>
      </w:r>
      <w:r>
        <w:rPr>
          <w:spacing w:val="-6"/>
          <w:sz w:val="20"/>
        </w:rPr>
        <w:t> </w:t>
      </w:r>
      <w:r>
        <w:rPr>
          <w:sz w:val="20"/>
        </w:rPr>
        <w:t>FS</w:t>
      </w:r>
      <w:r>
        <w:rPr>
          <w:spacing w:val="-7"/>
          <w:sz w:val="20"/>
        </w:rPr>
        <w:t> </w:t>
      </w:r>
      <w:r>
        <w:rPr>
          <w:sz w:val="20"/>
        </w:rPr>
        <w:t>sector</w:t>
      </w:r>
      <w:r>
        <w:rPr>
          <w:spacing w:val="-8"/>
          <w:sz w:val="20"/>
        </w:rPr>
        <w:t> </w:t>
      </w:r>
      <w:r>
        <w:rPr>
          <w:sz w:val="20"/>
        </w:rPr>
        <w:t>separately</w:t>
      </w:r>
      <w:r>
        <w:rPr>
          <w:spacing w:val="-10"/>
          <w:sz w:val="20"/>
        </w:rPr>
        <w:t> </w:t>
      </w:r>
      <w:r>
        <w:rPr>
          <w:sz w:val="20"/>
        </w:rPr>
        <w:t>in</w:t>
      </w:r>
      <w:r>
        <w:rPr>
          <w:spacing w:val="-8"/>
          <w:sz w:val="20"/>
        </w:rPr>
        <w:t> </w:t>
      </w:r>
      <w:r>
        <w:rPr>
          <w:sz w:val="20"/>
        </w:rPr>
        <w:t>relation</w:t>
      </w:r>
      <w:r>
        <w:rPr>
          <w:spacing w:val="-9"/>
          <w:sz w:val="20"/>
        </w:rPr>
        <w:t> </w:t>
      </w:r>
      <w:r>
        <w:rPr>
          <w:sz w:val="20"/>
        </w:rPr>
        <w:t>to</w:t>
      </w:r>
      <w:r>
        <w:rPr>
          <w:spacing w:val="-7"/>
          <w:sz w:val="20"/>
        </w:rPr>
        <w:t> </w:t>
      </w:r>
      <w:r>
        <w:rPr>
          <w:sz w:val="20"/>
        </w:rPr>
        <w:t>CFB.</w:t>
      </w:r>
      <w:r>
        <w:rPr>
          <w:spacing w:val="-6"/>
          <w:sz w:val="20"/>
        </w:rPr>
        <w:t> </w:t>
      </w:r>
      <w:r>
        <w:rPr>
          <w:sz w:val="20"/>
        </w:rPr>
        <w:t>However,</w:t>
      </w:r>
      <w:r>
        <w:rPr>
          <w:spacing w:val="-9"/>
          <w:sz w:val="20"/>
        </w:rPr>
        <w:t> </w:t>
      </w:r>
      <w:r>
        <w:rPr>
          <w:sz w:val="20"/>
        </w:rPr>
        <w:t>in</w:t>
      </w:r>
      <w:r>
        <w:rPr>
          <w:spacing w:val="-9"/>
          <w:sz w:val="20"/>
        </w:rPr>
        <w:t> </w:t>
      </w:r>
      <w:r>
        <w:rPr>
          <w:sz w:val="20"/>
        </w:rPr>
        <w:t>relation</w:t>
      </w:r>
      <w:r>
        <w:rPr>
          <w:spacing w:val="-6"/>
          <w:sz w:val="20"/>
        </w:rPr>
        <w:t> </w:t>
      </w:r>
      <w:r>
        <w:rPr>
          <w:sz w:val="20"/>
        </w:rPr>
        <w:t>to</w:t>
      </w:r>
      <w:r>
        <w:rPr>
          <w:spacing w:val="-5"/>
          <w:sz w:val="20"/>
        </w:rPr>
        <w:t> </w:t>
      </w:r>
      <w:r>
        <w:rPr>
          <w:sz w:val="20"/>
        </w:rPr>
        <w:t>ADS,</w:t>
      </w:r>
      <w:r>
        <w:rPr>
          <w:spacing w:val="-9"/>
          <w:sz w:val="20"/>
        </w:rPr>
        <w:t> </w:t>
      </w:r>
      <w:r>
        <w:rPr>
          <w:sz w:val="20"/>
        </w:rPr>
        <w:t>the position is more uniform across the three sectors and accordingly is dealt with immediately below. No separate regime is envisaged for finance</w:t>
      </w:r>
      <w:r>
        <w:rPr>
          <w:spacing w:val="-8"/>
          <w:sz w:val="20"/>
        </w:rPr>
        <w:t> </w:t>
      </w:r>
      <w:r>
        <w:rPr>
          <w:sz w:val="20"/>
        </w:rPr>
        <w:t>companies.</w:t>
      </w:r>
    </w:p>
    <w:p>
      <w:pPr>
        <w:pStyle w:val="ListParagraph"/>
        <w:numPr>
          <w:ilvl w:val="0"/>
          <w:numId w:val="4"/>
        </w:numPr>
        <w:tabs>
          <w:tab w:pos="1444" w:val="left" w:leader="none"/>
        </w:tabs>
        <w:spacing w:line="271" w:lineRule="auto" w:before="122" w:after="0"/>
        <w:ind w:left="723" w:right="483" w:firstLine="0"/>
        <w:jc w:val="both"/>
        <w:rPr>
          <w:sz w:val="20"/>
        </w:rPr>
      </w:pPr>
      <w:r>
        <w:rPr>
          <w:sz w:val="20"/>
        </w:rPr>
        <w:t>Digital functionality is widely used in each of the banking, insurance and asset management sectors.</w:t>
      </w:r>
      <w:r>
        <w:rPr>
          <w:spacing w:val="-10"/>
          <w:sz w:val="20"/>
        </w:rPr>
        <w:t> </w:t>
      </w:r>
      <w:r>
        <w:rPr>
          <w:sz w:val="20"/>
        </w:rPr>
        <w:t>Nevertheless,</w:t>
      </w:r>
      <w:r>
        <w:rPr>
          <w:spacing w:val="-9"/>
          <w:sz w:val="20"/>
        </w:rPr>
        <w:t> </w:t>
      </w:r>
      <w:r>
        <w:rPr>
          <w:sz w:val="20"/>
        </w:rPr>
        <w:t>it</w:t>
      </w:r>
      <w:r>
        <w:rPr>
          <w:spacing w:val="-9"/>
          <w:sz w:val="20"/>
        </w:rPr>
        <w:t> </w:t>
      </w:r>
      <w:r>
        <w:rPr>
          <w:sz w:val="20"/>
        </w:rPr>
        <w:t>is</w:t>
      </w:r>
      <w:r>
        <w:rPr>
          <w:spacing w:val="-8"/>
          <w:sz w:val="20"/>
        </w:rPr>
        <w:t> </w:t>
      </w:r>
      <w:r>
        <w:rPr>
          <w:sz w:val="20"/>
        </w:rPr>
        <w:t>generally</w:t>
      </w:r>
      <w:r>
        <w:rPr>
          <w:spacing w:val="-12"/>
          <w:sz w:val="20"/>
        </w:rPr>
        <w:t> </w:t>
      </w:r>
      <w:r>
        <w:rPr>
          <w:sz w:val="20"/>
        </w:rPr>
        <w:t>used</w:t>
      </w:r>
      <w:r>
        <w:rPr>
          <w:spacing w:val="-9"/>
          <w:sz w:val="20"/>
        </w:rPr>
        <w:t> </w:t>
      </w:r>
      <w:r>
        <w:rPr>
          <w:sz w:val="20"/>
        </w:rPr>
        <w:t>to</w:t>
      </w:r>
      <w:r>
        <w:rPr>
          <w:spacing w:val="-9"/>
          <w:sz w:val="20"/>
        </w:rPr>
        <w:t> </w:t>
      </w:r>
      <w:r>
        <w:rPr>
          <w:sz w:val="20"/>
        </w:rPr>
        <w:t>automate</w:t>
      </w:r>
      <w:r>
        <w:rPr>
          <w:spacing w:val="-9"/>
          <w:sz w:val="20"/>
        </w:rPr>
        <w:t> </w:t>
      </w:r>
      <w:r>
        <w:rPr>
          <w:sz w:val="20"/>
        </w:rPr>
        <w:t>what</w:t>
      </w:r>
      <w:r>
        <w:rPr>
          <w:spacing w:val="-9"/>
          <w:sz w:val="20"/>
        </w:rPr>
        <w:t> </w:t>
      </w:r>
      <w:r>
        <w:rPr>
          <w:sz w:val="20"/>
        </w:rPr>
        <w:t>people</w:t>
      </w:r>
      <w:r>
        <w:rPr>
          <w:spacing w:val="-9"/>
          <w:sz w:val="20"/>
        </w:rPr>
        <w:t> </w:t>
      </w:r>
      <w:r>
        <w:rPr>
          <w:sz w:val="20"/>
        </w:rPr>
        <w:t>used</w:t>
      </w:r>
      <w:r>
        <w:rPr>
          <w:spacing w:val="-9"/>
          <w:sz w:val="20"/>
        </w:rPr>
        <w:t> </w:t>
      </w:r>
      <w:r>
        <w:rPr>
          <w:sz w:val="20"/>
        </w:rPr>
        <w:t>to</w:t>
      </w:r>
      <w:r>
        <w:rPr>
          <w:spacing w:val="-9"/>
          <w:sz w:val="20"/>
        </w:rPr>
        <w:t> </w:t>
      </w:r>
      <w:r>
        <w:rPr>
          <w:sz w:val="20"/>
        </w:rPr>
        <w:t>do</w:t>
      </w:r>
      <w:r>
        <w:rPr>
          <w:spacing w:val="-9"/>
          <w:sz w:val="20"/>
        </w:rPr>
        <w:t> </w:t>
      </w:r>
      <w:r>
        <w:rPr>
          <w:sz w:val="20"/>
        </w:rPr>
        <w:t>(and</w:t>
      </w:r>
      <w:r>
        <w:rPr>
          <w:spacing w:val="-9"/>
          <w:sz w:val="20"/>
        </w:rPr>
        <w:t> </w:t>
      </w:r>
      <w:r>
        <w:rPr>
          <w:sz w:val="20"/>
        </w:rPr>
        <w:t>often</w:t>
      </w:r>
      <w:r>
        <w:rPr>
          <w:spacing w:val="-9"/>
          <w:sz w:val="20"/>
        </w:rPr>
        <w:t> </w:t>
      </w:r>
      <w:r>
        <w:rPr>
          <w:sz w:val="20"/>
        </w:rPr>
        <w:t>still</w:t>
      </w:r>
      <w:r>
        <w:rPr>
          <w:spacing w:val="-10"/>
          <w:sz w:val="20"/>
        </w:rPr>
        <w:t> </w:t>
      </w:r>
      <w:r>
        <w:rPr>
          <w:sz w:val="20"/>
        </w:rPr>
        <w:t>do),</w:t>
      </w:r>
      <w:r>
        <w:rPr>
          <w:spacing w:val="-6"/>
          <w:sz w:val="20"/>
        </w:rPr>
        <w:t> </w:t>
      </w:r>
      <w:r>
        <w:rPr>
          <w:sz w:val="20"/>
        </w:rPr>
        <w:t>whether in conducting conventional FS business or in risk-management functions. As such, human intervention and judgement is normally a feature of the use of digital functionality in FS business. For this reason, and subject to certain detailed work that is outlined below, FS business should not generally involve business of the sort that is properly regarded as ADS business for the purposes of the new taxing</w:t>
      </w:r>
      <w:r>
        <w:rPr>
          <w:spacing w:val="-28"/>
          <w:sz w:val="20"/>
        </w:rPr>
        <w:t> </w:t>
      </w:r>
      <w:r>
        <w:rPr>
          <w:sz w:val="20"/>
        </w:rPr>
        <w:t>right.</w:t>
      </w:r>
    </w:p>
    <w:p>
      <w:pPr>
        <w:pStyle w:val="ListParagraph"/>
        <w:numPr>
          <w:ilvl w:val="0"/>
          <w:numId w:val="4"/>
        </w:numPr>
        <w:tabs>
          <w:tab w:pos="1444" w:val="left" w:leader="none"/>
        </w:tabs>
        <w:spacing w:line="271" w:lineRule="auto" w:before="120" w:after="0"/>
        <w:ind w:left="723" w:right="483" w:firstLine="0"/>
        <w:jc w:val="both"/>
        <w:rPr>
          <w:sz w:val="20"/>
        </w:rPr>
      </w:pPr>
      <w:r>
        <w:rPr>
          <w:sz w:val="20"/>
        </w:rPr>
        <w:t>With</w:t>
      </w:r>
      <w:r>
        <w:rPr>
          <w:spacing w:val="-14"/>
          <w:sz w:val="20"/>
        </w:rPr>
        <w:t> </w:t>
      </w:r>
      <w:r>
        <w:rPr>
          <w:sz w:val="20"/>
        </w:rPr>
        <w:t>regard</w:t>
      </w:r>
      <w:r>
        <w:rPr>
          <w:spacing w:val="-11"/>
          <w:sz w:val="20"/>
        </w:rPr>
        <w:t> </w:t>
      </w:r>
      <w:r>
        <w:rPr>
          <w:sz w:val="20"/>
        </w:rPr>
        <w:t>to</w:t>
      </w:r>
      <w:r>
        <w:rPr>
          <w:spacing w:val="-12"/>
          <w:sz w:val="20"/>
        </w:rPr>
        <w:t> </w:t>
      </w:r>
      <w:r>
        <w:rPr>
          <w:sz w:val="20"/>
        </w:rPr>
        <w:t>CFB,</w:t>
      </w:r>
      <w:r>
        <w:rPr>
          <w:spacing w:val="-10"/>
          <w:sz w:val="20"/>
        </w:rPr>
        <w:t> </w:t>
      </w:r>
      <w:r>
        <w:rPr>
          <w:sz w:val="20"/>
        </w:rPr>
        <w:t>very</w:t>
      </w:r>
      <w:r>
        <w:rPr>
          <w:spacing w:val="-17"/>
          <w:sz w:val="20"/>
        </w:rPr>
        <w:t> </w:t>
      </w:r>
      <w:r>
        <w:rPr>
          <w:sz w:val="20"/>
        </w:rPr>
        <w:t>significant</w:t>
      </w:r>
      <w:r>
        <w:rPr>
          <w:spacing w:val="-11"/>
          <w:sz w:val="20"/>
        </w:rPr>
        <w:t> </w:t>
      </w:r>
      <w:r>
        <w:rPr>
          <w:sz w:val="20"/>
        </w:rPr>
        <w:t>parts</w:t>
      </w:r>
      <w:r>
        <w:rPr>
          <w:spacing w:val="-11"/>
          <w:sz w:val="20"/>
        </w:rPr>
        <w:t> </w:t>
      </w:r>
      <w:r>
        <w:rPr>
          <w:sz w:val="20"/>
        </w:rPr>
        <w:t>of</w:t>
      </w:r>
      <w:r>
        <w:rPr>
          <w:spacing w:val="-12"/>
          <w:sz w:val="20"/>
        </w:rPr>
        <w:t> </w:t>
      </w:r>
      <w:r>
        <w:rPr>
          <w:sz w:val="20"/>
        </w:rPr>
        <w:t>FS</w:t>
      </w:r>
      <w:r>
        <w:rPr>
          <w:spacing w:val="-12"/>
          <w:sz w:val="20"/>
        </w:rPr>
        <w:t> </w:t>
      </w:r>
      <w:r>
        <w:rPr>
          <w:sz w:val="20"/>
        </w:rPr>
        <w:t>business</w:t>
      </w:r>
      <w:r>
        <w:rPr>
          <w:spacing w:val="-11"/>
          <w:sz w:val="20"/>
        </w:rPr>
        <w:t> </w:t>
      </w:r>
      <w:r>
        <w:rPr>
          <w:sz w:val="20"/>
        </w:rPr>
        <w:t>are</w:t>
      </w:r>
      <w:r>
        <w:rPr>
          <w:spacing w:val="-13"/>
          <w:sz w:val="20"/>
        </w:rPr>
        <w:t> </w:t>
      </w:r>
      <w:r>
        <w:rPr>
          <w:sz w:val="20"/>
        </w:rPr>
        <w:t>not</w:t>
      </w:r>
      <w:r>
        <w:rPr>
          <w:spacing w:val="-11"/>
          <w:sz w:val="20"/>
        </w:rPr>
        <w:t> </w:t>
      </w:r>
      <w:r>
        <w:rPr>
          <w:sz w:val="20"/>
        </w:rPr>
        <w:t>consumer-facing.</w:t>
      </w:r>
      <w:r>
        <w:rPr>
          <w:spacing w:val="-13"/>
          <w:sz w:val="20"/>
        </w:rPr>
        <w:t> </w:t>
      </w:r>
      <w:r>
        <w:rPr>
          <w:sz w:val="20"/>
        </w:rPr>
        <w:t>However,</w:t>
      </w:r>
      <w:r>
        <w:rPr>
          <w:spacing w:val="-13"/>
          <w:sz w:val="20"/>
        </w:rPr>
        <w:t> </w:t>
      </w:r>
      <w:r>
        <w:rPr>
          <w:sz w:val="20"/>
        </w:rPr>
        <w:t>there are</w:t>
      </w:r>
      <w:r>
        <w:rPr>
          <w:spacing w:val="-7"/>
          <w:sz w:val="20"/>
        </w:rPr>
        <w:t> </w:t>
      </w:r>
      <w:r>
        <w:rPr>
          <w:sz w:val="20"/>
        </w:rPr>
        <w:t>also</w:t>
      </w:r>
      <w:r>
        <w:rPr>
          <w:spacing w:val="-7"/>
          <w:sz w:val="20"/>
        </w:rPr>
        <w:t> </w:t>
      </w:r>
      <w:r>
        <w:rPr>
          <w:sz w:val="20"/>
        </w:rPr>
        <w:t>significant</w:t>
      </w:r>
      <w:r>
        <w:rPr>
          <w:spacing w:val="-4"/>
          <w:sz w:val="20"/>
        </w:rPr>
        <w:t> </w:t>
      </w:r>
      <w:r>
        <w:rPr>
          <w:sz w:val="20"/>
        </w:rPr>
        <w:t>parts</w:t>
      </w:r>
      <w:r>
        <w:rPr>
          <w:spacing w:val="-6"/>
          <w:sz w:val="20"/>
        </w:rPr>
        <w:t> </w:t>
      </w:r>
      <w:r>
        <w:rPr>
          <w:sz w:val="20"/>
        </w:rPr>
        <w:t>of the</w:t>
      </w:r>
      <w:r>
        <w:rPr>
          <w:spacing w:val="-6"/>
          <w:sz w:val="20"/>
        </w:rPr>
        <w:t> </w:t>
      </w:r>
      <w:r>
        <w:rPr>
          <w:sz w:val="20"/>
        </w:rPr>
        <w:t>FS</w:t>
      </w:r>
      <w:r>
        <w:rPr>
          <w:spacing w:val="-8"/>
          <w:sz w:val="20"/>
        </w:rPr>
        <w:t> </w:t>
      </w:r>
      <w:r>
        <w:rPr>
          <w:sz w:val="20"/>
        </w:rPr>
        <w:t>business</w:t>
      </w:r>
      <w:r>
        <w:rPr>
          <w:spacing w:val="-5"/>
          <w:sz w:val="20"/>
        </w:rPr>
        <w:t> </w:t>
      </w:r>
      <w:r>
        <w:rPr>
          <w:sz w:val="20"/>
        </w:rPr>
        <w:t>that</w:t>
      </w:r>
      <w:r>
        <w:rPr>
          <w:spacing w:val="-5"/>
          <w:sz w:val="20"/>
        </w:rPr>
        <w:t> </w:t>
      </w:r>
      <w:r>
        <w:rPr>
          <w:sz w:val="20"/>
        </w:rPr>
        <w:t>involve</w:t>
      </w:r>
      <w:r>
        <w:rPr>
          <w:spacing w:val="-7"/>
          <w:sz w:val="20"/>
        </w:rPr>
        <w:t> </w:t>
      </w:r>
      <w:r>
        <w:rPr>
          <w:sz w:val="20"/>
        </w:rPr>
        <w:t>CFB.</w:t>
      </w:r>
      <w:r>
        <w:rPr>
          <w:spacing w:val="-5"/>
          <w:sz w:val="20"/>
        </w:rPr>
        <w:t> </w:t>
      </w:r>
      <w:r>
        <w:rPr>
          <w:sz w:val="20"/>
        </w:rPr>
        <w:t>Though</w:t>
      </w:r>
      <w:r>
        <w:rPr>
          <w:spacing w:val="-4"/>
          <w:sz w:val="20"/>
        </w:rPr>
        <w:t> </w:t>
      </w:r>
      <w:r>
        <w:rPr>
          <w:sz w:val="20"/>
        </w:rPr>
        <w:t>the</w:t>
      </w:r>
      <w:r>
        <w:rPr>
          <w:spacing w:val="-5"/>
          <w:sz w:val="20"/>
        </w:rPr>
        <w:t> </w:t>
      </w:r>
      <w:r>
        <w:rPr>
          <w:sz w:val="20"/>
        </w:rPr>
        <w:t>analysis</w:t>
      </w:r>
      <w:r>
        <w:rPr>
          <w:spacing w:val="-6"/>
          <w:sz w:val="20"/>
        </w:rPr>
        <w:t> </w:t>
      </w:r>
      <w:r>
        <w:rPr>
          <w:sz w:val="20"/>
        </w:rPr>
        <w:t>of</w:t>
      </w:r>
      <w:r>
        <w:rPr>
          <w:spacing w:val="-5"/>
          <w:sz w:val="20"/>
        </w:rPr>
        <w:t> </w:t>
      </w:r>
      <w:r>
        <w:rPr>
          <w:sz w:val="20"/>
        </w:rPr>
        <w:t>CFB</w:t>
      </w:r>
      <w:r>
        <w:rPr>
          <w:spacing w:val="-7"/>
          <w:sz w:val="20"/>
        </w:rPr>
        <w:t> </w:t>
      </w:r>
      <w:r>
        <w:rPr>
          <w:sz w:val="20"/>
        </w:rPr>
        <w:t>raises</w:t>
      </w:r>
      <w:r>
        <w:rPr>
          <w:spacing w:val="-6"/>
          <w:sz w:val="20"/>
        </w:rPr>
        <w:t> </w:t>
      </w:r>
      <w:r>
        <w:rPr>
          <w:sz w:val="20"/>
        </w:rPr>
        <w:t>different issues</w:t>
      </w:r>
      <w:r>
        <w:rPr>
          <w:spacing w:val="-4"/>
          <w:sz w:val="20"/>
        </w:rPr>
        <w:t> </w:t>
      </w:r>
      <w:r>
        <w:rPr>
          <w:sz w:val="20"/>
        </w:rPr>
        <w:t>across</w:t>
      </w:r>
      <w:r>
        <w:rPr>
          <w:spacing w:val="-4"/>
          <w:sz w:val="20"/>
        </w:rPr>
        <w:t> </w:t>
      </w:r>
      <w:r>
        <w:rPr>
          <w:sz w:val="20"/>
        </w:rPr>
        <w:t>the</w:t>
      </w:r>
      <w:r>
        <w:rPr>
          <w:spacing w:val="-5"/>
          <w:sz w:val="20"/>
        </w:rPr>
        <w:t> </w:t>
      </w:r>
      <w:r>
        <w:rPr>
          <w:sz w:val="20"/>
        </w:rPr>
        <w:t>three</w:t>
      </w:r>
      <w:r>
        <w:rPr>
          <w:spacing w:val="-5"/>
          <w:sz w:val="20"/>
        </w:rPr>
        <w:t> </w:t>
      </w:r>
      <w:r>
        <w:rPr>
          <w:sz w:val="20"/>
        </w:rPr>
        <w:t>sectors,</w:t>
      </w:r>
      <w:r>
        <w:rPr>
          <w:spacing w:val="-4"/>
          <w:sz w:val="20"/>
        </w:rPr>
        <w:t> </w:t>
      </w:r>
      <w:r>
        <w:rPr>
          <w:sz w:val="20"/>
        </w:rPr>
        <w:t>the</w:t>
      </w:r>
      <w:r>
        <w:rPr>
          <w:spacing w:val="-5"/>
          <w:sz w:val="20"/>
        </w:rPr>
        <w:t> </w:t>
      </w:r>
      <w:r>
        <w:rPr>
          <w:sz w:val="20"/>
        </w:rPr>
        <w:t>central</w:t>
      </w:r>
      <w:r>
        <w:rPr>
          <w:spacing w:val="-6"/>
          <w:sz w:val="20"/>
        </w:rPr>
        <w:t> </w:t>
      </w:r>
      <w:r>
        <w:rPr>
          <w:sz w:val="20"/>
        </w:rPr>
        <w:t>rationale</w:t>
      </w:r>
      <w:r>
        <w:rPr>
          <w:spacing w:val="-4"/>
          <w:sz w:val="20"/>
        </w:rPr>
        <w:t> </w:t>
      </w:r>
      <w:r>
        <w:rPr>
          <w:sz w:val="20"/>
        </w:rPr>
        <w:t>for</w:t>
      </w:r>
      <w:r>
        <w:rPr>
          <w:spacing w:val="-5"/>
          <w:sz w:val="20"/>
        </w:rPr>
        <w:t> </w:t>
      </w:r>
      <w:r>
        <w:rPr>
          <w:sz w:val="20"/>
        </w:rPr>
        <w:t>the</w:t>
      </w:r>
      <w:r>
        <w:rPr>
          <w:spacing w:val="-5"/>
          <w:sz w:val="20"/>
        </w:rPr>
        <w:t> </w:t>
      </w:r>
      <w:r>
        <w:rPr>
          <w:sz w:val="20"/>
        </w:rPr>
        <w:t>exclusion</w:t>
      </w:r>
      <w:r>
        <w:rPr>
          <w:spacing w:val="-4"/>
          <w:sz w:val="20"/>
        </w:rPr>
        <w:t> </w:t>
      </w:r>
      <w:r>
        <w:rPr>
          <w:sz w:val="20"/>
        </w:rPr>
        <w:t>of</w:t>
      </w:r>
      <w:r>
        <w:rPr>
          <w:spacing w:val="-3"/>
          <w:sz w:val="20"/>
        </w:rPr>
        <w:t> </w:t>
      </w:r>
      <w:r>
        <w:rPr>
          <w:sz w:val="20"/>
        </w:rPr>
        <w:t>FS</w:t>
      </w:r>
      <w:r>
        <w:rPr>
          <w:spacing w:val="-4"/>
          <w:sz w:val="20"/>
        </w:rPr>
        <w:t> </w:t>
      </w:r>
      <w:r>
        <w:rPr>
          <w:sz w:val="20"/>
        </w:rPr>
        <w:t>business</w:t>
      </w:r>
      <w:r>
        <w:rPr>
          <w:spacing w:val="-4"/>
          <w:sz w:val="20"/>
        </w:rPr>
        <w:t> </w:t>
      </w:r>
      <w:r>
        <w:rPr>
          <w:sz w:val="20"/>
        </w:rPr>
        <w:t>from the</w:t>
      </w:r>
      <w:r>
        <w:rPr>
          <w:spacing w:val="-5"/>
          <w:sz w:val="20"/>
        </w:rPr>
        <w:t> </w:t>
      </w:r>
      <w:r>
        <w:rPr>
          <w:sz w:val="20"/>
        </w:rPr>
        <w:t>new</w:t>
      </w:r>
      <w:r>
        <w:rPr>
          <w:spacing w:val="-6"/>
          <w:sz w:val="20"/>
        </w:rPr>
        <w:t> </w:t>
      </w:r>
      <w:r>
        <w:rPr>
          <w:sz w:val="20"/>
        </w:rPr>
        <w:t>taxing</w:t>
      </w:r>
    </w:p>
    <w:p>
      <w:pPr>
        <w:pStyle w:val="BodyText"/>
        <w:spacing w:before="7"/>
        <w:rPr>
          <w:sz w:val="9"/>
        </w:rPr>
      </w:pPr>
      <w:r>
        <w:rPr/>
        <w:pict>
          <v:rect style="position:absolute;margin-left:65.183998pt;margin-top:7.51293pt;width:144.020004pt;height:.60004pt;mso-position-horizontal-relative:page;mso-position-vertical-relative:paragraph;z-index:-1568768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5"/>
        </w:numPr>
        <w:tabs>
          <w:tab w:pos="921" w:val="left" w:leader="none"/>
        </w:tabs>
        <w:spacing w:line="240" w:lineRule="auto" w:before="94" w:after="0"/>
        <w:ind w:left="920" w:right="0" w:hanging="198"/>
        <w:jc w:val="both"/>
        <w:rPr>
          <w:sz w:val="18"/>
        </w:rPr>
      </w:pPr>
      <w:r>
        <w:rPr>
          <w:sz w:val="18"/>
        </w:rPr>
        <w:t>For</w:t>
      </w:r>
      <w:r>
        <w:rPr>
          <w:spacing w:val="-11"/>
          <w:sz w:val="18"/>
        </w:rPr>
        <w:t> </w:t>
      </w:r>
      <w:r>
        <w:rPr>
          <w:sz w:val="18"/>
        </w:rPr>
        <w:t>example,</w:t>
      </w:r>
      <w:r>
        <w:rPr>
          <w:spacing w:val="-10"/>
          <w:sz w:val="18"/>
        </w:rPr>
        <w:t> </w:t>
      </w:r>
      <w:r>
        <w:rPr>
          <w:sz w:val="18"/>
        </w:rPr>
        <w:t>crops</w:t>
      </w:r>
      <w:r>
        <w:rPr>
          <w:spacing w:val="-10"/>
          <w:sz w:val="18"/>
        </w:rPr>
        <w:t> </w:t>
      </w:r>
      <w:r>
        <w:rPr>
          <w:sz w:val="18"/>
        </w:rPr>
        <w:t>(a</w:t>
      </w:r>
      <w:r>
        <w:rPr>
          <w:spacing w:val="-10"/>
          <w:sz w:val="18"/>
        </w:rPr>
        <w:t> </w:t>
      </w:r>
      <w:r>
        <w:rPr>
          <w:sz w:val="18"/>
        </w:rPr>
        <w:t>sack</w:t>
      </w:r>
      <w:r>
        <w:rPr>
          <w:spacing w:val="-10"/>
          <w:sz w:val="18"/>
        </w:rPr>
        <w:t> </w:t>
      </w:r>
      <w:r>
        <w:rPr>
          <w:sz w:val="18"/>
        </w:rPr>
        <w:t>of</w:t>
      </w:r>
      <w:r>
        <w:rPr>
          <w:spacing w:val="-13"/>
          <w:sz w:val="18"/>
        </w:rPr>
        <w:t> </w:t>
      </w:r>
      <w:r>
        <w:rPr>
          <w:sz w:val="18"/>
        </w:rPr>
        <w:t>wheat</w:t>
      </w:r>
      <w:r>
        <w:rPr>
          <w:spacing w:val="-8"/>
          <w:sz w:val="18"/>
        </w:rPr>
        <w:t> </w:t>
      </w:r>
      <w:r>
        <w:rPr>
          <w:sz w:val="18"/>
        </w:rPr>
        <w:t>or</w:t>
      </w:r>
      <w:r>
        <w:rPr>
          <w:spacing w:val="-8"/>
          <w:sz w:val="18"/>
        </w:rPr>
        <w:t> </w:t>
      </w:r>
      <w:r>
        <w:rPr>
          <w:sz w:val="18"/>
        </w:rPr>
        <w:t>green</w:t>
      </w:r>
      <w:r>
        <w:rPr>
          <w:spacing w:val="-10"/>
          <w:sz w:val="18"/>
        </w:rPr>
        <w:t> </w:t>
      </w:r>
      <w:r>
        <w:rPr>
          <w:sz w:val="18"/>
        </w:rPr>
        <w:t>coffee</w:t>
      </w:r>
      <w:r>
        <w:rPr>
          <w:spacing w:val="-10"/>
          <w:sz w:val="18"/>
        </w:rPr>
        <w:t> </w:t>
      </w:r>
      <w:r>
        <w:rPr>
          <w:sz w:val="18"/>
        </w:rPr>
        <w:t>beans),</w:t>
      </w:r>
      <w:r>
        <w:rPr>
          <w:spacing w:val="-10"/>
          <w:sz w:val="18"/>
        </w:rPr>
        <w:t> </w:t>
      </w:r>
      <w:r>
        <w:rPr>
          <w:sz w:val="18"/>
        </w:rPr>
        <w:t>a</w:t>
      </w:r>
      <w:r>
        <w:rPr>
          <w:spacing w:val="-8"/>
          <w:sz w:val="18"/>
        </w:rPr>
        <w:t> </w:t>
      </w:r>
      <w:r>
        <w:rPr>
          <w:sz w:val="18"/>
        </w:rPr>
        <w:t>haul</w:t>
      </w:r>
      <w:r>
        <w:rPr>
          <w:spacing w:val="-10"/>
          <w:sz w:val="18"/>
        </w:rPr>
        <w:t> </w:t>
      </w:r>
      <w:r>
        <w:rPr>
          <w:sz w:val="18"/>
        </w:rPr>
        <w:t>of</w:t>
      </w:r>
      <w:r>
        <w:rPr>
          <w:spacing w:val="-10"/>
          <w:sz w:val="18"/>
        </w:rPr>
        <w:t> </w:t>
      </w:r>
      <w:r>
        <w:rPr>
          <w:sz w:val="18"/>
        </w:rPr>
        <w:t>caught</w:t>
      </w:r>
      <w:r>
        <w:rPr>
          <w:spacing w:val="-10"/>
          <w:sz w:val="18"/>
        </w:rPr>
        <w:t> </w:t>
      </w:r>
      <w:r>
        <w:rPr>
          <w:sz w:val="18"/>
        </w:rPr>
        <w:t>fish</w:t>
      </w:r>
      <w:r>
        <w:rPr>
          <w:spacing w:val="-8"/>
          <w:sz w:val="18"/>
        </w:rPr>
        <w:t> </w:t>
      </w:r>
      <w:r>
        <w:rPr>
          <w:sz w:val="18"/>
        </w:rPr>
        <w:t>(whole</w:t>
      </w:r>
      <w:r>
        <w:rPr>
          <w:spacing w:val="-9"/>
          <w:sz w:val="18"/>
        </w:rPr>
        <w:t> </w:t>
      </w:r>
      <w:r>
        <w:rPr>
          <w:sz w:val="18"/>
        </w:rPr>
        <w:t>cod),</w:t>
      </w:r>
      <w:r>
        <w:rPr>
          <w:spacing w:val="-8"/>
          <w:sz w:val="18"/>
        </w:rPr>
        <w:t> </w:t>
      </w:r>
      <w:r>
        <w:rPr>
          <w:sz w:val="18"/>
        </w:rPr>
        <w:t>and</w:t>
      </w:r>
      <w:r>
        <w:rPr>
          <w:spacing w:val="-10"/>
          <w:sz w:val="18"/>
        </w:rPr>
        <w:t> </w:t>
      </w:r>
      <w:r>
        <w:rPr>
          <w:sz w:val="18"/>
        </w:rPr>
        <w:t>a</w:t>
      </w:r>
      <w:r>
        <w:rPr>
          <w:spacing w:val="-10"/>
          <w:sz w:val="18"/>
        </w:rPr>
        <w:t> </w:t>
      </w:r>
      <w:r>
        <w:rPr>
          <w:sz w:val="18"/>
        </w:rPr>
        <w:t>stack</w:t>
      </w:r>
      <w:r>
        <w:rPr>
          <w:spacing w:val="-10"/>
          <w:sz w:val="18"/>
        </w:rPr>
        <w:t> </w:t>
      </w:r>
      <w:r>
        <w:rPr>
          <w:sz w:val="18"/>
        </w:rPr>
        <w:t>of</w:t>
      </w:r>
      <w:r>
        <w:rPr>
          <w:spacing w:val="-8"/>
          <w:sz w:val="18"/>
        </w:rPr>
        <w:t> </w:t>
      </w:r>
      <w:r>
        <w:rPr>
          <w:sz w:val="18"/>
        </w:rPr>
        <w:t>timber.</w:t>
      </w:r>
    </w:p>
    <w:p>
      <w:pPr>
        <w:pStyle w:val="ListParagraph"/>
        <w:numPr>
          <w:ilvl w:val="0"/>
          <w:numId w:val="5"/>
        </w:numPr>
        <w:tabs>
          <w:tab w:pos="950" w:val="left" w:leader="none"/>
        </w:tabs>
        <w:spacing w:line="278" w:lineRule="auto" w:before="110" w:after="0"/>
        <w:ind w:left="723" w:right="480" w:firstLine="0"/>
        <w:jc w:val="both"/>
        <w:rPr>
          <w:sz w:val="18"/>
        </w:rPr>
      </w:pPr>
      <w:r>
        <w:rPr>
          <w:sz w:val="18"/>
        </w:rPr>
        <w:t>Application of the factors, however, will require some nuance. For example, there is a spectrum of processing, packaging</w:t>
      </w:r>
      <w:r>
        <w:rPr>
          <w:spacing w:val="-6"/>
          <w:sz w:val="18"/>
        </w:rPr>
        <w:t> </w:t>
      </w:r>
      <w:r>
        <w:rPr>
          <w:sz w:val="18"/>
        </w:rPr>
        <w:t>and</w:t>
      </w:r>
      <w:r>
        <w:rPr>
          <w:spacing w:val="-6"/>
          <w:sz w:val="18"/>
        </w:rPr>
        <w:t> </w:t>
      </w:r>
      <w:r>
        <w:rPr>
          <w:sz w:val="18"/>
        </w:rPr>
        <w:t>branding</w:t>
      </w:r>
      <w:r>
        <w:rPr>
          <w:spacing w:val="-3"/>
          <w:sz w:val="18"/>
        </w:rPr>
        <w:t> </w:t>
      </w:r>
      <w:r>
        <w:rPr>
          <w:sz w:val="18"/>
        </w:rPr>
        <w:t>when</w:t>
      </w:r>
      <w:r>
        <w:rPr>
          <w:spacing w:val="-6"/>
          <w:sz w:val="18"/>
        </w:rPr>
        <w:t> </w:t>
      </w:r>
      <w:r>
        <w:rPr>
          <w:sz w:val="18"/>
        </w:rPr>
        <w:t>considering</w:t>
      </w:r>
      <w:r>
        <w:rPr>
          <w:spacing w:val="-6"/>
          <w:sz w:val="18"/>
        </w:rPr>
        <w:t> </w:t>
      </w:r>
      <w:r>
        <w:rPr>
          <w:sz w:val="18"/>
        </w:rPr>
        <w:t>agricultural</w:t>
      </w:r>
      <w:r>
        <w:rPr>
          <w:spacing w:val="-5"/>
          <w:sz w:val="18"/>
        </w:rPr>
        <w:t> </w:t>
      </w:r>
      <w:r>
        <w:rPr>
          <w:sz w:val="18"/>
        </w:rPr>
        <w:t>products,</w:t>
      </w:r>
      <w:r>
        <w:rPr>
          <w:spacing w:val="-4"/>
          <w:sz w:val="18"/>
        </w:rPr>
        <w:t> </w:t>
      </w:r>
      <w:r>
        <w:rPr>
          <w:sz w:val="18"/>
        </w:rPr>
        <w:t>ranging</w:t>
      </w:r>
      <w:r>
        <w:rPr>
          <w:spacing w:val="-6"/>
          <w:sz w:val="18"/>
        </w:rPr>
        <w:t> </w:t>
      </w:r>
      <w:r>
        <w:rPr>
          <w:sz w:val="18"/>
        </w:rPr>
        <w:t>from</w:t>
      </w:r>
      <w:r>
        <w:rPr>
          <w:spacing w:val="-5"/>
          <w:sz w:val="18"/>
        </w:rPr>
        <w:t> </w:t>
      </w:r>
      <w:r>
        <w:rPr>
          <w:sz w:val="18"/>
        </w:rPr>
        <w:t>raw</w:t>
      </w:r>
      <w:r>
        <w:rPr>
          <w:spacing w:val="-7"/>
          <w:sz w:val="18"/>
        </w:rPr>
        <w:t> </w:t>
      </w:r>
      <w:r>
        <w:rPr>
          <w:sz w:val="18"/>
        </w:rPr>
        <w:t>fruit</w:t>
      </w:r>
      <w:r>
        <w:rPr>
          <w:spacing w:val="-6"/>
          <w:sz w:val="18"/>
        </w:rPr>
        <w:t> </w:t>
      </w:r>
      <w:r>
        <w:rPr>
          <w:sz w:val="18"/>
        </w:rPr>
        <w:t>(which</w:t>
      </w:r>
      <w:r>
        <w:rPr>
          <w:spacing w:val="-3"/>
          <w:sz w:val="18"/>
        </w:rPr>
        <w:t> </w:t>
      </w:r>
      <w:r>
        <w:rPr>
          <w:sz w:val="18"/>
        </w:rPr>
        <w:t>may</w:t>
      </w:r>
      <w:r>
        <w:rPr>
          <w:spacing w:val="-8"/>
          <w:sz w:val="18"/>
        </w:rPr>
        <w:t> </w:t>
      </w:r>
      <w:r>
        <w:rPr>
          <w:sz w:val="18"/>
        </w:rPr>
        <w:t>carry</w:t>
      </w:r>
      <w:r>
        <w:rPr>
          <w:spacing w:val="-5"/>
          <w:sz w:val="18"/>
        </w:rPr>
        <w:t> </w:t>
      </w:r>
      <w:r>
        <w:rPr>
          <w:sz w:val="18"/>
        </w:rPr>
        <w:t>a</w:t>
      </w:r>
      <w:r>
        <w:rPr>
          <w:spacing w:val="-6"/>
          <w:sz w:val="18"/>
        </w:rPr>
        <w:t> </w:t>
      </w:r>
      <w:r>
        <w:rPr>
          <w:sz w:val="18"/>
        </w:rPr>
        <w:t>brand</w:t>
      </w:r>
      <w:r>
        <w:rPr>
          <w:spacing w:val="-6"/>
          <w:sz w:val="18"/>
        </w:rPr>
        <w:t> </w:t>
      </w:r>
      <w:r>
        <w:rPr>
          <w:sz w:val="18"/>
        </w:rPr>
        <w:t>label for retail sale, but where the product is untransformed, unpackaged and generic), through fruit that has undergone simple processing (e.g. cutting and peeling) before being placed in a branded can, to highly processed and branded food products that are combined with other ingredients like fruit-based confectionary that would be the products in scope</w:t>
      </w:r>
      <w:r>
        <w:rPr>
          <w:spacing w:val="-10"/>
          <w:sz w:val="18"/>
        </w:rPr>
        <w:t> </w:t>
      </w:r>
      <w:r>
        <w:rPr>
          <w:sz w:val="18"/>
        </w:rPr>
        <w:t>of</w:t>
      </w:r>
      <w:r>
        <w:rPr>
          <w:spacing w:val="-10"/>
          <w:sz w:val="18"/>
        </w:rPr>
        <w:t> </w:t>
      </w:r>
      <w:r>
        <w:rPr>
          <w:sz w:val="18"/>
        </w:rPr>
        <w:t>conventional</w:t>
      </w:r>
      <w:r>
        <w:rPr>
          <w:spacing w:val="-10"/>
          <w:sz w:val="18"/>
        </w:rPr>
        <w:t> </w:t>
      </w:r>
      <w:r>
        <w:rPr>
          <w:sz w:val="18"/>
        </w:rPr>
        <w:t>CFB.</w:t>
      </w:r>
      <w:r>
        <w:rPr>
          <w:spacing w:val="-10"/>
          <w:sz w:val="18"/>
        </w:rPr>
        <w:t> </w:t>
      </w:r>
      <w:r>
        <w:rPr>
          <w:sz w:val="18"/>
        </w:rPr>
        <w:t>Other</w:t>
      </w:r>
      <w:r>
        <w:rPr>
          <w:spacing w:val="-10"/>
          <w:sz w:val="18"/>
        </w:rPr>
        <w:t> </w:t>
      </w:r>
      <w:r>
        <w:rPr>
          <w:sz w:val="18"/>
        </w:rPr>
        <w:t>examples</w:t>
      </w:r>
      <w:r>
        <w:rPr>
          <w:spacing w:val="-9"/>
          <w:sz w:val="18"/>
        </w:rPr>
        <w:t> </w:t>
      </w:r>
      <w:r>
        <w:rPr>
          <w:sz w:val="18"/>
        </w:rPr>
        <w:t>that</w:t>
      </w:r>
      <w:r>
        <w:rPr>
          <w:spacing w:val="-9"/>
          <w:sz w:val="18"/>
        </w:rPr>
        <w:t> </w:t>
      </w:r>
      <w:r>
        <w:rPr>
          <w:sz w:val="18"/>
        </w:rPr>
        <w:t>demonstrate</w:t>
      </w:r>
      <w:r>
        <w:rPr>
          <w:spacing w:val="-10"/>
          <w:sz w:val="18"/>
        </w:rPr>
        <w:t> </w:t>
      </w:r>
      <w:r>
        <w:rPr>
          <w:sz w:val="18"/>
        </w:rPr>
        <w:t>the</w:t>
      </w:r>
      <w:r>
        <w:rPr>
          <w:spacing w:val="-12"/>
          <w:sz w:val="18"/>
        </w:rPr>
        <w:t> </w:t>
      </w:r>
      <w:r>
        <w:rPr>
          <w:sz w:val="18"/>
        </w:rPr>
        <w:t>need</w:t>
      </w:r>
      <w:r>
        <w:rPr>
          <w:spacing w:val="-10"/>
          <w:sz w:val="18"/>
        </w:rPr>
        <w:t> </w:t>
      </w:r>
      <w:r>
        <w:rPr>
          <w:sz w:val="18"/>
        </w:rPr>
        <w:t>for</w:t>
      </w:r>
      <w:r>
        <w:rPr>
          <w:spacing w:val="-13"/>
          <w:sz w:val="18"/>
        </w:rPr>
        <w:t> </w:t>
      </w:r>
      <w:r>
        <w:rPr>
          <w:sz w:val="18"/>
        </w:rPr>
        <w:t>nuance</w:t>
      </w:r>
      <w:r>
        <w:rPr>
          <w:spacing w:val="-11"/>
          <w:sz w:val="18"/>
        </w:rPr>
        <w:t> </w:t>
      </w:r>
      <w:r>
        <w:rPr>
          <w:sz w:val="18"/>
        </w:rPr>
        <w:t>include</w:t>
      </w:r>
      <w:r>
        <w:rPr>
          <w:spacing w:val="-12"/>
          <w:sz w:val="18"/>
        </w:rPr>
        <w:t> </w:t>
      </w:r>
      <w:r>
        <w:rPr>
          <w:sz w:val="18"/>
        </w:rPr>
        <w:t>bottled</w:t>
      </w:r>
      <w:r>
        <w:rPr>
          <w:spacing w:val="-10"/>
          <w:sz w:val="18"/>
        </w:rPr>
        <w:t> </w:t>
      </w:r>
      <w:r>
        <w:rPr>
          <w:sz w:val="18"/>
        </w:rPr>
        <w:t>water</w:t>
      </w:r>
      <w:r>
        <w:rPr>
          <w:spacing w:val="-10"/>
          <w:sz w:val="18"/>
        </w:rPr>
        <w:t> </w:t>
      </w:r>
      <w:r>
        <w:rPr>
          <w:sz w:val="18"/>
        </w:rPr>
        <w:t>and</w:t>
      </w:r>
      <w:r>
        <w:rPr>
          <w:spacing w:val="-9"/>
          <w:sz w:val="18"/>
        </w:rPr>
        <w:t> </w:t>
      </w:r>
      <w:r>
        <w:rPr>
          <w:sz w:val="18"/>
        </w:rPr>
        <w:t>speciality cheeses. A similar analysis could be applied to fishery and forestry products. For example, raw logs undergo simple processing</w:t>
      </w:r>
      <w:r>
        <w:rPr>
          <w:spacing w:val="-11"/>
          <w:sz w:val="18"/>
        </w:rPr>
        <w:t> </w:t>
      </w:r>
      <w:r>
        <w:rPr>
          <w:sz w:val="18"/>
        </w:rPr>
        <w:t>into</w:t>
      </w:r>
      <w:r>
        <w:rPr>
          <w:spacing w:val="-11"/>
          <w:sz w:val="18"/>
        </w:rPr>
        <w:t> </w:t>
      </w:r>
      <w:r>
        <w:rPr>
          <w:sz w:val="18"/>
        </w:rPr>
        <w:t>dimensional</w:t>
      </w:r>
      <w:r>
        <w:rPr>
          <w:spacing w:val="-9"/>
          <w:sz w:val="18"/>
        </w:rPr>
        <w:t> </w:t>
      </w:r>
      <w:r>
        <w:rPr>
          <w:sz w:val="18"/>
        </w:rPr>
        <w:t>lumber,</w:t>
      </w:r>
      <w:r>
        <w:rPr>
          <w:spacing w:val="-11"/>
          <w:sz w:val="18"/>
        </w:rPr>
        <w:t> </w:t>
      </w:r>
      <w:r>
        <w:rPr>
          <w:sz w:val="18"/>
        </w:rPr>
        <w:t>paper</w:t>
      </w:r>
      <w:r>
        <w:rPr>
          <w:spacing w:val="-12"/>
          <w:sz w:val="18"/>
        </w:rPr>
        <w:t> </w:t>
      </w:r>
      <w:r>
        <w:rPr>
          <w:sz w:val="18"/>
        </w:rPr>
        <w:t>and</w:t>
      </w:r>
      <w:r>
        <w:rPr>
          <w:spacing w:val="-11"/>
          <w:sz w:val="18"/>
        </w:rPr>
        <w:t> </w:t>
      </w:r>
      <w:r>
        <w:rPr>
          <w:sz w:val="18"/>
        </w:rPr>
        <w:t>cardboard</w:t>
      </w:r>
      <w:r>
        <w:rPr>
          <w:spacing w:val="-9"/>
          <w:sz w:val="18"/>
        </w:rPr>
        <w:t> </w:t>
      </w:r>
      <w:r>
        <w:rPr>
          <w:sz w:val="18"/>
        </w:rPr>
        <w:t>(where</w:t>
      </w:r>
      <w:r>
        <w:rPr>
          <w:spacing w:val="-9"/>
          <w:sz w:val="18"/>
        </w:rPr>
        <w:t> </w:t>
      </w:r>
      <w:r>
        <w:rPr>
          <w:sz w:val="18"/>
        </w:rPr>
        <w:t>value</w:t>
      </w:r>
      <w:r>
        <w:rPr>
          <w:spacing w:val="-9"/>
          <w:sz w:val="18"/>
        </w:rPr>
        <w:t> </w:t>
      </w:r>
      <w:r>
        <w:rPr>
          <w:sz w:val="18"/>
        </w:rPr>
        <w:t>is</w:t>
      </w:r>
      <w:r>
        <w:rPr>
          <w:spacing w:val="-11"/>
          <w:sz w:val="18"/>
        </w:rPr>
        <w:t> </w:t>
      </w:r>
      <w:r>
        <w:rPr>
          <w:sz w:val="18"/>
        </w:rPr>
        <w:t>primarily</w:t>
      </w:r>
      <w:r>
        <w:rPr>
          <w:spacing w:val="-11"/>
          <w:sz w:val="18"/>
        </w:rPr>
        <w:t> </w:t>
      </w:r>
      <w:r>
        <w:rPr>
          <w:sz w:val="18"/>
        </w:rPr>
        <w:t>attributable</w:t>
      </w:r>
      <w:r>
        <w:rPr>
          <w:spacing w:val="-9"/>
          <w:sz w:val="18"/>
        </w:rPr>
        <w:t> </w:t>
      </w:r>
      <w:r>
        <w:rPr>
          <w:sz w:val="18"/>
        </w:rPr>
        <w:t>to</w:t>
      </w:r>
      <w:r>
        <w:rPr>
          <w:spacing w:val="-8"/>
          <w:sz w:val="18"/>
        </w:rPr>
        <w:t> </w:t>
      </w:r>
      <w:r>
        <w:rPr>
          <w:sz w:val="18"/>
        </w:rPr>
        <w:t>the</w:t>
      </w:r>
      <w:r>
        <w:rPr>
          <w:spacing w:val="-9"/>
          <w:sz w:val="18"/>
        </w:rPr>
        <w:t> </w:t>
      </w:r>
      <w:r>
        <w:rPr>
          <w:sz w:val="18"/>
        </w:rPr>
        <w:t>raw</w:t>
      </w:r>
      <w:r>
        <w:rPr>
          <w:spacing w:val="-11"/>
          <w:sz w:val="18"/>
        </w:rPr>
        <w:t> </w:t>
      </w:r>
      <w:r>
        <w:rPr>
          <w:sz w:val="18"/>
        </w:rPr>
        <w:t>material</w:t>
      </w:r>
      <w:r>
        <w:rPr>
          <w:spacing w:val="-9"/>
          <w:sz w:val="18"/>
        </w:rPr>
        <w:t> </w:t>
      </w:r>
      <w:r>
        <w:rPr>
          <w:sz w:val="18"/>
        </w:rPr>
        <w:t>and is determined chiefly by their physical characteristics) but which can also be a type of product commonly sold to consumers, compared with further transformation into wooden furniture (which derives its value mainly from manufacturing and sales) which would fall under the CFB</w:t>
      </w:r>
      <w:r>
        <w:rPr>
          <w:spacing w:val="-3"/>
          <w:sz w:val="18"/>
        </w:rPr>
        <w:t> </w:t>
      </w:r>
      <w:r>
        <w:rPr>
          <w:sz w:val="18"/>
        </w:rPr>
        <w:t>rules.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right is common to each of the three sectors. That rationale stems from the highly-regulated nature of FS business.</w:t>
      </w:r>
      <w:r>
        <w:rPr>
          <w:spacing w:val="-6"/>
        </w:rPr>
        <w:t> </w:t>
      </w:r>
      <w:r>
        <w:rPr/>
        <w:t>However,</w:t>
      </w:r>
      <w:r>
        <w:rPr>
          <w:spacing w:val="-6"/>
        </w:rPr>
        <w:t> </w:t>
      </w:r>
      <w:r>
        <w:rPr/>
        <w:t>it</w:t>
      </w:r>
      <w:r>
        <w:rPr>
          <w:spacing w:val="-5"/>
        </w:rPr>
        <w:t> </w:t>
      </w:r>
      <w:r>
        <w:rPr/>
        <w:t>should</w:t>
      </w:r>
      <w:r>
        <w:rPr>
          <w:spacing w:val="-7"/>
        </w:rPr>
        <w:t> </w:t>
      </w:r>
      <w:r>
        <w:rPr/>
        <w:t>be</w:t>
      </w:r>
      <w:r>
        <w:rPr>
          <w:spacing w:val="-4"/>
        </w:rPr>
        <w:t> </w:t>
      </w:r>
      <w:r>
        <w:rPr/>
        <w:t>emphasised</w:t>
      </w:r>
      <w:r>
        <w:rPr>
          <w:spacing w:val="-5"/>
        </w:rPr>
        <w:t> </w:t>
      </w:r>
      <w:r>
        <w:rPr/>
        <w:t>that</w:t>
      </w:r>
      <w:r>
        <w:rPr>
          <w:spacing w:val="-6"/>
        </w:rPr>
        <w:t> </w:t>
      </w:r>
      <w:r>
        <w:rPr/>
        <w:t>this</w:t>
      </w:r>
      <w:r>
        <w:rPr>
          <w:spacing w:val="-5"/>
        </w:rPr>
        <w:t> </w:t>
      </w:r>
      <w:r>
        <w:rPr/>
        <w:t>central</w:t>
      </w:r>
      <w:r>
        <w:rPr>
          <w:spacing w:val="-5"/>
        </w:rPr>
        <w:t> </w:t>
      </w:r>
      <w:r>
        <w:rPr/>
        <w:t>rationale</w:t>
      </w:r>
      <w:r>
        <w:rPr>
          <w:spacing w:val="-4"/>
        </w:rPr>
        <w:t> </w:t>
      </w:r>
      <w:r>
        <w:rPr/>
        <w:t>is</w:t>
      </w:r>
      <w:r>
        <w:rPr>
          <w:spacing w:val="-4"/>
        </w:rPr>
        <w:t> </w:t>
      </w:r>
      <w:r>
        <w:rPr/>
        <w:t>not</w:t>
      </w:r>
      <w:r>
        <w:rPr>
          <w:spacing w:val="-6"/>
        </w:rPr>
        <w:t> </w:t>
      </w:r>
      <w:r>
        <w:rPr/>
        <w:t>premised</w:t>
      </w:r>
      <w:r>
        <w:rPr>
          <w:spacing w:val="-6"/>
        </w:rPr>
        <w:t> </w:t>
      </w:r>
      <w:r>
        <w:rPr/>
        <w:t>on</w:t>
      </w:r>
      <w:r>
        <w:rPr>
          <w:spacing w:val="-7"/>
        </w:rPr>
        <w:t> </w:t>
      </w:r>
      <w:r>
        <w:rPr/>
        <w:t>the</w:t>
      </w:r>
      <w:r>
        <w:rPr>
          <w:spacing w:val="-6"/>
        </w:rPr>
        <w:t> </w:t>
      </w:r>
      <w:r>
        <w:rPr/>
        <w:t>mere</w:t>
      </w:r>
      <w:r>
        <w:rPr>
          <w:spacing w:val="-6"/>
        </w:rPr>
        <w:t> </w:t>
      </w:r>
      <w:r>
        <w:rPr/>
        <w:t>fact</w:t>
      </w:r>
      <w:r>
        <w:rPr>
          <w:spacing w:val="-5"/>
        </w:rPr>
        <w:t> </w:t>
      </w:r>
      <w:r>
        <w:rPr/>
        <w:t>of regulation</w:t>
      </w:r>
      <w:r>
        <w:rPr>
          <w:spacing w:val="-8"/>
        </w:rPr>
        <w:t> </w:t>
      </w:r>
      <w:r>
        <w:rPr/>
        <w:t>but</w:t>
      </w:r>
      <w:r>
        <w:rPr>
          <w:spacing w:val="-8"/>
        </w:rPr>
        <w:t> </w:t>
      </w:r>
      <w:r>
        <w:rPr/>
        <w:t>rather</w:t>
      </w:r>
      <w:r>
        <w:rPr>
          <w:spacing w:val="-7"/>
        </w:rPr>
        <w:t> </w:t>
      </w:r>
      <w:r>
        <w:rPr/>
        <w:t>is</w:t>
      </w:r>
      <w:r>
        <w:rPr>
          <w:spacing w:val="-6"/>
        </w:rPr>
        <w:t> </w:t>
      </w:r>
      <w:r>
        <w:rPr/>
        <w:t>based</w:t>
      </w:r>
      <w:r>
        <w:rPr>
          <w:spacing w:val="-8"/>
        </w:rPr>
        <w:t> </w:t>
      </w:r>
      <w:r>
        <w:rPr/>
        <w:t>on</w:t>
      </w:r>
      <w:r>
        <w:rPr>
          <w:spacing w:val="-6"/>
        </w:rPr>
        <w:t> </w:t>
      </w:r>
      <w:r>
        <w:rPr/>
        <w:t>the</w:t>
      </w:r>
      <w:r>
        <w:rPr>
          <w:spacing w:val="-1"/>
        </w:rPr>
        <w:t> </w:t>
      </w:r>
      <w:r>
        <w:rPr/>
        <w:t>effects</w:t>
      </w:r>
      <w:r>
        <w:rPr>
          <w:spacing w:val="-5"/>
        </w:rPr>
        <w:t> </w:t>
      </w:r>
      <w:r>
        <w:rPr/>
        <w:t>of</w:t>
      </w:r>
      <w:r>
        <w:rPr>
          <w:spacing w:val="-5"/>
        </w:rPr>
        <w:t> </w:t>
      </w:r>
      <w:r>
        <w:rPr/>
        <w:t>that</w:t>
      </w:r>
      <w:r>
        <w:rPr>
          <w:spacing w:val="-7"/>
        </w:rPr>
        <w:t> </w:t>
      </w:r>
      <w:r>
        <w:rPr/>
        <w:t>regulation.</w:t>
      </w:r>
      <w:r>
        <w:rPr>
          <w:spacing w:val="-8"/>
        </w:rPr>
        <w:t> </w:t>
      </w:r>
      <w:r>
        <w:rPr/>
        <w:t>More</w:t>
      </w:r>
      <w:r>
        <w:rPr>
          <w:spacing w:val="-7"/>
        </w:rPr>
        <w:t> </w:t>
      </w:r>
      <w:r>
        <w:rPr/>
        <w:t>specifically,</w:t>
      </w:r>
      <w:r>
        <w:rPr>
          <w:spacing w:val="-7"/>
        </w:rPr>
        <w:t> </w:t>
      </w:r>
      <w:r>
        <w:rPr/>
        <w:t>the</w:t>
      </w:r>
      <w:r>
        <w:rPr>
          <w:spacing w:val="-7"/>
        </w:rPr>
        <w:t> </w:t>
      </w:r>
      <w:r>
        <w:rPr/>
        <w:t>regulations</w:t>
      </w:r>
      <w:r>
        <w:rPr>
          <w:spacing w:val="-6"/>
        </w:rPr>
        <w:t> </w:t>
      </w:r>
      <w:r>
        <w:rPr/>
        <w:t>governing the relevant business in each of these three sectors, that may involve CFB activity, generally require that appropriately capitalised entities are maintained in each market jurisdiction to carry on business in the market concerned. Due to this factor, the profits from CFB activities that arise in a particular market jurisdiction will generally be taxed in that market location with the result that there is no further need for any Amount A re-allocation. Additional factors relevant to the analysis of banking, insurance and asset management business are considered</w:t>
      </w:r>
      <w:r>
        <w:rPr>
          <w:spacing w:val="-4"/>
        </w:rPr>
        <w:t> </w:t>
      </w:r>
      <w:r>
        <w:rPr/>
        <w:t>below.</w:t>
      </w:r>
    </w:p>
    <w:p>
      <w:pPr>
        <w:pStyle w:val="BodyText"/>
        <w:spacing w:before="4"/>
      </w:pPr>
    </w:p>
    <w:p>
      <w:pPr>
        <w:pStyle w:val="Heading8"/>
      </w:pPr>
      <w:bookmarkStart w:name="Banking Business" w:id="62"/>
      <w:bookmarkEnd w:id="62"/>
      <w:r>
        <w:rPr>
          <w:b w:val="0"/>
        </w:rPr>
      </w:r>
      <w:r>
        <w:rPr/>
        <w:t>Banking Business</w:t>
      </w:r>
    </w:p>
    <w:p>
      <w:pPr>
        <w:pStyle w:val="BodyText"/>
        <w:spacing w:before="9"/>
        <w:rPr>
          <w:b/>
          <w:sz w:val="18"/>
        </w:rPr>
      </w:pPr>
    </w:p>
    <w:p>
      <w:pPr>
        <w:pStyle w:val="ListParagraph"/>
        <w:numPr>
          <w:ilvl w:val="0"/>
          <w:numId w:val="4"/>
        </w:numPr>
        <w:tabs>
          <w:tab w:pos="1444" w:val="left" w:leader="none"/>
        </w:tabs>
        <w:spacing w:line="271" w:lineRule="auto" w:before="0" w:after="0"/>
        <w:ind w:left="723" w:right="480" w:firstLine="0"/>
        <w:jc w:val="both"/>
        <w:rPr>
          <w:sz w:val="20"/>
        </w:rPr>
      </w:pPr>
      <w:r>
        <w:rPr>
          <w:sz w:val="20"/>
        </w:rPr>
        <w:t>In banking, there is substantial local regulation, which materially affects the local booking and taxation of banks’ consumer business. Accordingly, the central rationale for the exclusion for FS business is</w:t>
      </w:r>
      <w:r>
        <w:rPr>
          <w:spacing w:val="-6"/>
          <w:sz w:val="20"/>
        </w:rPr>
        <w:t> </w:t>
      </w:r>
      <w:r>
        <w:rPr>
          <w:sz w:val="20"/>
        </w:rPr>
        <w:t>clearly</w:t>
      </w:r>
      <w:r>
        <w:rPr>
          <w:spacing w:val="-10"/>
          <w:sz w:val="20"/>
        </w:rPr>
        <w:t> </w:t>
      </w:r>
      <w:r>
        <w:rPr>
          <w:sz w:val="20"/>
        </w:rPr>
        <w:t>relevant</w:t>
      </w:r>
      <w:r>
        <w:rPr>
          <w:spacing w:val="-5"/>
          <w:sz w:val="20"/>
        </w:rPr>
        <w:t> </w:t>
      </w:r>
      <w:r>
        <w:rPr>
          <w:sz w:val="20"/>
        </w:rPr>
        <w:t>to</w:t>
      </w:r>
      <w:r>
        <w:rPr>
          <w:spacing w:val="-6"/>
          <w:sz w:val="20"/>
        </w:rPr>
        <w:t> </w:t>
      </w:r>
      <w:r>
        <w:rPr>
          <w:sz w:val="20"/>
        </w:rPr>
        <w:t>the</w:t>
      </w:r>
      <w:r>
        <w:rPr>
          <w:spacing w:val="-5"/>
          <w:sz w:val="20"/>
        </w:rPr>
        <w:t> </w:t>
      </w:r>
      <w:r>
        <w:rPr>
          <w:sz w:val="20"/>
        </w:rPr>
        <w:t>banking</w:t>
      </w:r>
      <w:r>
        <w:rPr>
          <w:spacing w:val="-7"/>
          <w:sz w:val="20"/>
        </w:rPr>
        <w:t> </w:t>
      </w:r>
      <w:r>
        <w:rPr>
          <w:sz w:val="20"/>
        </w:rPr>
        <w:t>sector.</w:t>
      </w:r>
      <w:r>
        <w:rPr>
          <w:spacing w:val="-4"/>
          <w:sz w:val="20"/>
        </w:rPr>
        <w:t> </w:t>
      </w:r>
      <w:r>
        <w:rPr>
          <w:sz w:val="20"/>
        </w:rPr>
        <w:t>Almost</w:t>
      </w:r>
      <w:r>
        <w:rPr>
          <w:spacing w:val="-7"/>
          <w:sz w:val="20"/>
        </w:rPr>
        <w:t> </w:t>
      </w:r>
      <w:r>
        <w:rPr>
          <w:sz w:val="20"/>
        </w:rPr>
        <w:t>without</w:t>
      </w:r>
      <w:r>
        <w:rPr>
          <w:spacing w:val="-6"/>
          <w:sz w:val="20"/>
        </w:rPr>
        <w:t> </w:t>
      </w:r>
      <w:r>
        <w:rPr>
          <w:sz w:val="20"/>
        </w:rPr>
        <w:t>exception,</w:t>
      </w:r>
      <w:r>
        <w:rPr>
          <w:spacing w:val="-5"/>
          <w:sz w:val="20"/>
        </w:rPr>
        <w:t> </w:t>
      </w:r>
      <w:r>
        <w:rPr>
          <w:sz w:val="20"/>
        </w:rPr>
        <w:t>local</w:t>
      </w:r>
      <w:r>
        <w:rPr>
          <w:spacing w:val="-8"/>
          <w:sz w:val="20"/>
        </w:rPr>
        <w:t> </w:t>
      </w:r>
      <w:r>
        <w:rPr>
          <w:sz w:val="20"/>
        </w:rPr>
        <w:t>regulators</w:t>
      </w:r>
      <w:r>
        <w:rPr>
          <w:spacing w:val="-2"/>
          <w:sz w:val="20"/>
        </w:rPr>
        <w:t> </w:t>
      </w:r>
      <w:r>
        <w:rPr>
          <w:sz w:val="20"/>
        </w:rPr>
        <w:t>will</w:t>
      </w:r>
      <w:r>
        <w:rPr>
          <w:spacing w:val="-4"/>
          <w:sz w:val="20"/>
        </w:rPr>
        <w:t> </w:t>
      </w:r>
      <w:r>
        <w:rPr>
          <w:sz w:val="20"/>
        </w:rPr>
        <w:t>implement</w:t>
      </w:r>
      <w:r>
        <w:rPr>
          <w:spacing w:val="-6"/>
          <w:sz w:val="20"/>
        </w:rPr>
        <w:t> </w:t>
      </w:r>
      <w:r>
        <w:rPr>
          <w:sz w:val="20"/>
        </w:rPr>
        <w:t>banking rules based on the Basel II &amp; III framework with amendments to suit its local environment. Because consumer-facing banks need to have local approval and a local licence, they generally provide their services only to local customers. This results in a taxable presence in the locations where they face their customers. Given the dependence of an economy on the financial sector, most developing economies have also implemented regulations such as exchange controls, which add to the existing compliance burden of conducting cross-border financial transactions. Further, banks in many jurisdictions are the primary transmission mechanism for monetary policy through their borrowing and depository transactions with their central banks, and must abide by the requirements of those central</w:t>
      </w:r>
      <w:r>
        <w:rPr>
          <w:spacing w:val="-18"/>
          <w:sz w:val="20"/>
        </w:rPr>
        <w:t> </w:t>
      </w:r>
      <w:r>
        <w:rPr>
          <w:sz w:val="20"/>
        </w:rPr>
        <w:t>banks.</w:t>
      </w:r>
    </w:p>
    <w:p>
      <w:pPr>
        <w:pStyle w:val="ListParagraph"/>
        <w:numPr>
          <w:ilvl w:val="0"/>
          <w:numId w:val="4"/>
        </w:numPr>
        <w:tabs>
          <w:tab w:pos="1444" w:val="left" w:leader="none"/>
        </w:tabs>
        <w:spacing w:line="271" w:lineRule="auto" w:before="123" w:after="0"/>
        <w:ind w:left="723" w:right="477" w:firstLine="0"/>
        <w:jc w:val="both"/>
        <w:rPr>
          <w:sz w:val="20"/>
        </w:rPr>
      </w:pPr>
      <w:r>
        <w:rPr>
          <w:sz w:val="20"/>
        </w:rPr>
        <w:t>Certain additional technical and practical factors further support the case for an exclusion of the banking sector from the new taxing right. One important consideration is that the use of a profit to sales ratio (which would normally be used in non-FS sectors in the calculation of Amount A) would likely prove unworkable in the banking sector. Operating profit margin (operating earnings/revenue), or profits before taxes, is not an appropriate basis for comparing banks with other industries because: </w:t>
      </w:r>
      <w:r>
        <w:rPr>
          <w:spacing w:val="3"/>
          <w:sz w:val="20"/>
        </w:rPr>
        <w:t>(i) </w:t>
      </w:r>
      <w:r>
        <w:rPr>
          <w:sz w:val="20"/>
        </w:rPr>
        <w:t>interest expense and cost of inventory, which in effect is equivalent to the cost of goods sold for banks, is not included in the definition of operating income; and (ii) banks report trading revenue net of trading costs, and interest revenue net of interest expense. While reporting revenues net of trading and interest costs artificially decreases the revenue generated by a financial institution, grossing up the revenues by trading costs would cause a typical FS group never to have an operating margin above 1%. The volumes, in financial terms, of bank trading operations are typically in the USD trillions and, if sales were grossed up, (i.e. not netted with the cost of inventory) as they are in other industries, the denominator for computing operating profits would be in the trillions of dollars. These differences materially distort bank operating margins by increasing</w:t>
      </w:r>
      <w:r>
        <w:rPr>
          <w:spacing w:val="-8"/>
          <w:sz w:val="20"/>
        </w:rPr>
        <w:t> </w:t>
      </w:r>
      <w:r>
        <w:rPr>
          <w:sz w:val="20"/>
        </w:rPr>
        <w:t>the</w:t>
      </w:r>
      <w:r>
        <w:rPr>
          <w:spacing w:val="-8"/>
          <w:sz w:val="20"/>
        </w:rPr>
        <w:t> </w:t>
      </w:r>
      <w:r>
        <w:rPr>
          <w:sz w:val="20"/>
        </w:rPr>
        <w:t>numerator</w:t>
      </w:r>
      <w:r>
        <w:rPr>
          <w:spacing w:val="-8"/>
          <w:sz w:val="20"/>
        </w:rPr>
        <w:t> </w:t>
      </w:r>
      <w:r>
        <w:rPr>
          <w:sz w:val="20"/>
        </w:rPr>
        <w:t>and</w:t>
      </w:r>
      <w:r>
        <w:rPr>
          <w:spacing w:val="-8"/>
          <w:sz w:val="20"/>
        </w:rPr>
        <w:t> </w:t>
      </w:r>
      <w:r>
        <w:rPr>
          <w:sz w:val="20"/>
        </w:rPr>
        <w:t>decreasing</w:t>
      </w:r>
      <w:r>
        <w:rPr>
          <w:spacing w:val="-8"/>
          <w:sz w:val="20"/>
        </w:rPr>
        <w:t> </w:t>
      </w:r>
      <w:r>
        <w:rPr>
          <w:sz w:val="20"/>
        </w:rPr>
        <w:t>the</w:t>
      </w:r>
      <w:r>
        <w:rPr>
          <w:spacing w:val="-8"/>
          <w:sz w:val="20"/>
        </w:rPr>
        <w:t> </w:t>
      </w:r>
      <w:r>
        <w:rPr>
          <w:sz w:val="20"/>
        </w:rPr>
        <w:t>denominator</w:t>
      </w:r>
      <w:r>
        <w:rPr>
          <w:spacing w:val="-6"/>
          <w:sz w:val="20"/>
        </w:rPr>
        <w:t> </w:t>
      </w:r>
      <w:r>
        <w:rPr>
          <w:sz w:val="20"/>
        </w:rPr>
        <w:t>in</w:t>
      </w:r>
      <w:r>
        <w:rPr>
          <w:spacing w:val="-8"/>
          <w:sz w:val="20"/>
        </w:rPr>
        <w:t> </w:t>
      </w:r>
      <w:r>
        <w:rPr>
          <w:sz w:val="20"/>
        </w:rPr>
        <w:t>the</w:t>
      </w:r>
      <w:r>
        <w:rPr>
          <w:spacing w:val="-10"/>
          <w:sz w:val="20"/>
        </w:rPr>
        <w:t> </w:t>
      </w:r>
      <w:r>
        <w:rPr>
          <w:sz w:val="20"/>
        </w:rPr>
        <w:t>calculation</w:t>
      </w:r>
      <w:r>
        <w:rPr>
          <w:spacing w:val="-8"/>
          <w:sz w:val="20"/>
        </w:rPr>
        <w:t> </w:t>
      </w:r>
      <w:r>
        <w:rPr>
          <w:sz w:val="20"/>
        </w:rPr>
        <w:t>of</w:t>
      </w:r>
      <w:r>
        <w:rPr>
          <w:spacing w:val="-8"/>
          <w:sz w:val="20"/>
        </w:rPr>
        <w:t> </w:t>
      </w:r>
      <w:r>
        <w:rPr>
          <w:sz w:val="20"/>
        </w:rPr>
        <w:t>the</w:t>
      </w:r>
      <w:r>
        <w:rPr>
          <w:spacing w:val="-7"/>
          <w:sz w:val="20"/>
        </w:rPr>
        <w:t> </w:t>
      </w:r>
      <w:r>
        <w:rPr>
          <w:sz w:val="20"/>
        </w:rPr>
        <w:t>operating</w:t>
      </w:r>
      <w:r>
        <w:rPr>
          <w:spacing w:val="-8"/>
          <w:sz w:val="20"/>
        </w:rPr>
        <w:t> </w:t>
      </w:r>
      <w:r>
        <w:rPr>
          <w:sz w:val="20"/>
        </w:rPr>
        <w:t>profit</w:t>
      </w:r>
      <w:r>
        <w:rPr>
          <w:spacing w:val="-8"/>
          <w:sz w:val="20"/>
        </w:rPr>
        <w:t> </w:t>
      </w:r>
      <w:r>
        <w:rPr>
          <w:sz w:val="20"/>
        </w:rPr>
        <w:t>margin. Failure to accurately account for these costs of doing business in both the numerator and denominator of the calculation would result in a disproportionate taxation burden </w:t>
      </w:r>
      <w:r>
        <w:rPr>
          <w:spacing w:val="3"/>
          <w:sz w:val="20"/>
        </w:rPr>
        <w:t>on </w:t>
      </w:r>
      <w:r>
        <w:rPr>
          <w:sz w:val="20"/>
        </w:rPr>
        <w:t>the FS industry. Corrected for these amounts, either through modifying the current proposal or developing an alternative metric for the FS sector, banks’ profit margins would be dramatically</w:t>
      </w:r>
      <w:r>
        <w:rPr>
          <w:spacing w:val="-9"/>
          <w:sz w:val="20"/>
        </w:rPr>
        <w:t> </w:t>
      </w:r>
      <w:r>
        <w:rPr>
          <w:sz w:val="20"/>
        </w:rPr>
        <w:t>lower.</w:t>
      </w:r>
    </w:p>
    <w:p>
      <w:pPr>
        <w:pStyle w:val="ListParagraph"/>
        <w:numPr>
          <w:ilvl w:val="0"/>
          <w:numId w:val="4"/>
        </w:numPr>
        <w:tabs>
          <w:tab w:pos="1444" w:val="left" w:leader="none"/>
        </w:tabs>
        <w:spacing w:line="271" w:lineRule="auto" w:before="123" w:after="0"/>
        <w:ind w:left="723" w:right="486" w:firstLine="0"/>
        <w:jc w:val="both"/>
        <w:rPr>
          <w:sz w:val="20"/>
        </w:rPr>
      </w:pPr>
      <w:r>
        <w:rPr>
          <w:sz w:val="20"/>
        </w:rPr>
        <w:t>The nature of bank regulation provides a further “positive” and a “negative” reason to support the exclusion.</w:t>
      </w:r>
      <w:r>
        <w:rPr>
          <w:spacing w:val="-7"/>
          <w:sz w:val="20"/>
        </w:rPr>
        <w:t> </w:t>
      </w:r>
      <w:r>
        <w:rPr>
          <w:sz w:val="20"/>
        </w:rPr>
        <w:t>From</w:t>
      </w:r>
      <w:r>
        <w:rPr>
          <w:spacing w:val="-3"/>
          <w:sz w:val="20"/>
        </w:rPr>
        <w:t> </w:t>
      </w:r>
      <w:r>
        <w:rPr>
          <w:sz w:val="20"/>
        </w:rPr>
        <w:t>a</w:t>
      </w:r>
      <w:r>
        <w:rPr>
          <w:spacing w:val="-8"/>
          <w:sz w:val="20"/>
        </w:rPr>
        <w:t> </w:t>
      </w:r>
      <w:r>
        <w:rPr>
          <w:sz w:val="20"/>
        </w:rPr>
        <w:t>positive</w:t>
      </w:r>
      <w:r>
        <w:rPr>
          <w:spacing w:val="-5"/>
          <w:sz w:val="20"/>
        </w:rPr>
        <w:t> </w:t>
      </w:r>
      <w:r>
        <w:rPr>
          <w:sz w:val="20"/>
        </w:rPr>
        <w:t>perspective,</w:t>
      </w:r>
      <w:r>
        <w:rPr>
          <w:spacing w:val="-2"/>
          <w:sz w:val="20"/>
        </w:rPr>
        <w:t> </w:t>
      </w:r>
      <w:r>
        <w:rPr>
          <w:sz w:val="20"/>
        </w:rPr>
        <w:t>where</w:t>
      </w:r>
      <w:r>
        <w:rPr>
          <w:spacing w:val="-7"/>
          <w:sz w:val="20"/>
        </w:rPr>
        <w:t> </w:t>
      </w:r>
      <w:r>
        <w:rPr>
          <w:sz w:val="20"/>
        </w:rPr>
        <w:t>an</w:t>
      </w:r>
      <w:r>
        <w:rPr>
          <w:spacing w:val="-8"/>
          <w:sz w:val="20"/>
        </w:rPr>
        <w:t> </w:t>
      </w:r>
      <w:r>
        <w:rPr>
          <w:sz w:val="20"/>
        </w:rPr>
        <w:t>industry,</w:t>
      </w:r>
      <w:r>
        <w:rPr>
          <w:spacing w:val="-7"/>
          <w:sz w:val="20"/>
        </w:rPr>
        <w:t> </w:t>
      </w:r>
      <w:r>
        <w:rPr>
          <w:sz w:val="20"/>
        </w:rPr>
        <w:t>such</w:t>
      </w:r>
      <w:r>
        <w:rPr>
          <w:spacing w:val="-7"/>
          <w:sz w:val="20"/>
        </w:rPr>
        <w:t> </w:t>
      </w:r>
      <w:r>
        <w:rPr>
          <w:sz w:val="20"/>
        </w:rPr>
        <w:t>as</w:t>
      </w:r>
      <w:r>
        <w:rPr>
          <w:spacing w:val="-7"/>
          <w:sz w:val="20"/>
        </w:rPr>
        <w:t> </w:t>
      </w:r>
      <w:r>
        <w:rPr>
          <w:sz w:val="20"/>
        </w:rPr>
        <w:t>the</w:t>
      </w:r>
      <w:r>
        <w:rPr>
          <w:spacing w:val="-8"/>
          <w:sz w:val="20"/>
        </w:rPr>
        <w:t> </w:t>
      </w:r>
      <w:r>
        <w:rPr>
          <w:sz w:val="20"/>
        </w:rPr>
        <w:t>banking</w:t>
      </w:r>
      <w:r>
        <w:rPr>
          <w:spacing w:val="-8"/>
          <w:sz w:val="20"/>
        </w:rPr>
        <w:t> </w:t>
      </w:r>
      <w:r>
        <w:rPr>
          <w:sz w:val="20"/>
        </w:rPr>
        <w:t>sector,</w:t>
      </w:r>
      <w:r>
        <w:rPr>
          <w:spacing w:val="-7"/>
          <w:sz w:val="20"/>
        </w:rPr>
        <w:t> </w:t>
      </w:r>
      <w:r>
        <w:rPr>
          <w:sz w:val="20"/>
        </w:rPr>
        <w:t>is</w:t>
      </w:r>
      <w:r>
        <w:rPr>
          <w:spacing w:val="-5"/>
          <w:sz w:val="20"/>
        </w:rPr>
        <w:t> </w:t>
      </w:r>
      <w:r>
        <w:rPr>
          <w:sz w:val="20"/>
        </w:rPr>
        <w:t>subject</w:t>
      </w:r>
      <w:r>
        <w:rPr>
          <w:spacing w:val="-7"/>
          <w:sz w:val="20"/>
        </w:rPr>
        <w:t> </w:t>
      </w:r>
      <w:r>
        <w:rPr>
          <w:sz w:val="20"/>
        </w:rPr>
        <w:t>to</w:t>
      </w:r>
      <w:r>
        <w:rPr>
          <w:spacing w:val="-8"/>
          <w:sz w:val="20"/>
        </w:rPr>
        <w:t> </w:t>
      </w:r>
      <w:r>
        <w:rPr>
          <w:sz w:val="20"/>
        </w:rPr>
        <w:t>robust non-tax</w:t>
      </w:r>
      <w:r>
        <w:rPr>
          <w:spacing w:val="-15"/>
          <w:sz w:val="20"/>
        </w:rPr>
        <w:t> </w:t>
      </w:r>
      <w:r>
        <w:rPr>
          <w:sz w:val="20"/>
        </w:rPr>
        <w:t>governmental</w:t>
      </w:r>
      <w:r>
        <w:rPr>
          <w:spacing w:val="-19"/>
          <w:sz w:val="20"/>
        </w:rPr>
        <w:t> </w:t>
      </w:r>
      <w:r>
        <w:rPr>
          <w:sz w:val="20"/>
        </w:rPr>
        <w:t>regulations</w:t>
      </w:r>
      <w:r>
        <w:rPr>
          <w:spacing w:val="-17"/>
          <w:sz w:val="20"/>
        </w:rPr>
        <w:t> </w:t>
      </w:r>
      <w:r>
        <w:rPr>
          <w:sz w:val="20"/>
        </w:rPr>
        <w:t>consistent</w:t>
      </w:r>
      <w:r>
        <w:rPr>
          <w:spacing w:val="-15"/>
          <w:sz w:val="20"/>
        </w:rPr>
        <w:t> </w:t>
      </w:r>
      <w:r>
        <w:rPr>
          <w:sz w:val="20"/>
        </w:rPr>
        <w:t>with</w:t>
      </w:r>
      <w:r>
        <w:rPr>
          <w:spacing w:val="-16"/>
          <w:sz w:val="20"/>
        </w:rPr>
        <w:t> </w:t>
      </w:r>
      <w:r>
        <w:rPr>
          <w:sz w:val="20"/>
        </w:rPr>
        <w:t>recognised</w:t>
      </w:r>
      <w:r>
        <w:rPr>
          <w:spacing w:val="-16"/>
          <w:sz w:val="20"/>
        </w:rPr>
        <w:t> </w:t>
      </w:r>
      <w:r>
        <w:rPr>
          <w:sz w:val="20"/>
        </w:rPr>
        <w:t>industry</w:t>
      </w:r>
      <w:r>
        <w:rPr>
          <w:spacing w:val="-20"/>
          <w:sz w:val="20"/>
        </w:rPr>
        <w:t> </w:t>
      </w:r>
      <w:r>
        <w:rPr>
          <w:sz w:val="20"/>
        </w:rPr>
        <w:t>standards</w:t>
      </w:r>
      <w:r>
        <w:rPr>
          <w:spacing w:val="-17"/>
          <w:sz w:val="20"/>
        </w:rPr>
        <w:t> </w:t>
      </w:r>
      <w:r>
        <w:rPr>
          <w:sz w:val="20"/>
        </w:rPr>
        <w:t>(e.g.</w:t>
      </w:r>
      <w:r>
        <w:rPr>
          <w:spacing w:val="-18"/>
          <w:sz w:val="20"/>
        </w:rPr>
        <w:t> </w:t>
      </w:r>
      <w:r>
        <w:rPr>
          <w:sz w:val="20"/>
        </w:rPr>
        <w:t>Basel</w:t>
      </w:r>
      <w:r>
        <w:rPr>
          <w:spacing w:val="-18"/>
          <w:sz w:val="20"/>
        </w:rPr>
        <w:t> </w:t>
      </w:r>
      <w:r>
        <w:rPr>
          <w:sz w:val="20"/>
        </w:rPr>
        <w:t>requirements), due regard should be given to the constraints those regulations impose upon them. As a result of such regulations, profits from retail banking operations often arise in the jurisdiction in which those operations are conducted. And the consequences of regulation (rather than the mere fact of regulation itself) mean that</w:t>
      </w:r>
      <w:r>
        <w:rPr>
          <w:spacing w:val="-15"/>
          <w:sz w:val="20"/>
        </w:rPr>
        <w:t> </w:t>
      </w:r>
      <w:r>
        <w:rPr>
          <w:sz w:val="20"/>
        </w:rPr>
        <w:t>those</w:t>
      </w:r>
      <w:r>
        <w:rPr>
          <w:spacing w:val="-14"/>
          <w:sz w:val="20"/>
        </w:rPr>
        <w:t> </w:t>
      </w:r>
      <w:r>
        <w:rPr>
          <w:sz w:val="20"/>
        </w:rPr>
        <w:t>jurisdictions</w:t>
      </w:r>
      <w:r>
        <w:rPr>
          <w:spacing w:val="-10"/>
          <w:sz w:val="20"/>
        </w:rPr>
        <w:t> </w:t>
      </w:r>
      <w:r>
        <w:rPr>
          <w:sz w:val="20"/>
        </w:rPr>
        <w:t>will</w:t>
      </w:r>
      <w:r>
        <w:rPr>
          <w:spacing w:val="-13"/>
          <w:sz w:val="20"/>
        </w:rPr>
        <w:t> </w:t>
      </w:r>
      <w:r>
        <w:rPr>
          <w:sz w:val="20"/>
        </w:rPr>
        <w:t>often</w:t>
      </w:r>
      <w:r>
        <w:rPr>
          <w:spacing w:val="-13"/>
          <w:sz w:val="20"/>
        </w:rPr>
        <w:t> </w:t>
      </w:r>
      <w:r>
        <w:rPr>
          <w:sz w:val="20"/>
        </w:rPr>
        <w:t>be</w:t>
      </w:r>
      <w:r>
        <w:rPr>
          <w:spacing w:val="-15"/>
          <w:sz w:val="20"/>
        </w:rPr>
        <w:t> </w:t>
      </w:r>
      <w:r>
        <w:rPr>
          <w:sz w:val="20"/>
        </w:rPr>
        <w:t>the</w:t>
      </w:r>
      <w:r>
        <w:rPr>
          <w:spacing w:val="-12"/>
          <w:sz w:val="20"/>
        </w:rPr>
        <w:t> </w:t>
      </w:r>
      <w:r>
        <w:rPr>
          <w:sz w:val="20"/>
        </w:rPr>
        <w:t>ones</w:t>
      </w:r>
      <w:r>
        <w:rPr>
          <w:spacing w:val="-13"/>
          <w:sz w:val="20"/>
        </w:rPr>
        <w:t> </w:t>
      </w:r>
      <w:r>
        <w:rPr>
          <w:sz w:val="20"/>
        </w:rPr>
        <w:t>that</w:t>
      </w:r>
      <w:r>
        <w:rPr>
          <w:spacing w:val="-14"/>
          <w:sz w:val="20"/>
        </w:rPr>
        <w:t> </w:t>
      </w:r>
      <w:r>
        <w:rPr>
          <w:sz w:val="20"/>
        </w:rPr>
        <w:t>tax</w:t>
      </w:r>
      <w:r>
        <w:rPr>
          <w:spacing w:val="-13"/>
          <w:sz w:val="20"/>
        </w:rPr>
        <w:t> </w:t>
      </w:r>
      <w:r>
        <w:rPr>
          <w:sz w:val="20"/>
        </w:rPr>
        <w:t>the</w:t>
      </w:r>
      <w:r>
        <w:rPr>
          <w:spacing w:val="-13"/>
          <w:sz w:val="20"/>
        </w:rPr>
        <w:t> </w:t>
      </w:r>
      <w:r>
        <w:rPr>
          <w:sz w:val="20"/>
        </w:rPr>
        <w:t>resulting</w:t>
      </w:r>
      <w:r>
        <w:rPr>
          <w:spacing w:val="-14"/>
          <w:sz w:val="20"/>
        </w:rPr>
        <w:t> </w:t>
      </w:r>
      <w:r>
        <w:rPr>
          <w:sz w:val="20"/>
        </w:rPr>
        <w:t>profit.</w:t>
      </w:r>
      <w:r>
        <w:rPr>
          <w:spacing w:val="-14"/>
          <w:sz w:val="20"/>
        </w:rPr>
        <w:t> </w:t>
      </w:r>
      <w:r>
        <w:rPr>
          <w:sz w:val="20"/>
        </w:rPr>
        <w:t>From</w:t>
      </w:r>
      <w:r>
        <w:rPr>
          <w:spacing w:val="-9"/>
          <w:sz w:val="20"/>
        </w:rPr>
        <w:t> </w:t>
      </w:r>
      <w:r>
        <w:rPr>
          <w:sz w:val="20"/>
        </w:rPr>
        <w:t>a</w:t>
      </w:r>
      <w:r>
        <w:rPr>
          <w:spacing w:val="-14"/>
          <w:sz w:val="20"/>
        </w:rPr>
        <w:t> </w:t>
      </w:r>
      <w:r>
        <w:rPr>
          <w:sz w:val="20"/>
        </w:rPr>
        <w:t>negative</w:t>
      </w:r>
      <w:r>
        <w:rPr>
          <w:spacing w:val="-14"/>
          <w:sz w:val="20"/>
        </w:rPr>
        <w:t> </w:t>
      </w:r>
      <w:r>
        <w:rPr>
          <w:sz w:val="20"/>
        </w:rPr>
        <w:t>perspective,</w:t>
      </w:r>
      <w:r>
        <w:rPr>
          <w:spacing w:val="-15"/>
          <w:sz w:val="20"/>
        </w:rPr>
        <w:t> </w:t>
      </w:r>
      <w:r>
        <w:rPr>
          <w:sz w:val="20"/>
        </w:rPr>
        <w:t>there is</w:t>
      </w:r>
      <w:r>
        <w:rPr>
          <w:spacing w:val="-15"/>
          <w:sz w:val="20"/>
        </w:rPr>
        <w:t> </w:t>
      </w:r>
      <w:r>
        <w:rPr>
          <w:sz w:val="20"/>
        </w:rPr>
        <w:t>potential</w:t>
      </w:r>
      <w:r>
        <w:rPr>
          <w:spacing w:val="-16"/>
          <w:sz w:val="20"/>
        </w:rPr>
        <w:t> </w:t>
      </w:r>
      <w:r>
        <w:rPr>
          <w:sz w:val="20"/>
        </w:rPr>
        <w:t>for</w:t>
      </w:r>
      <w:r>
        <w:rPr>
          <w:spacing w:val="-15"/>
          <w:sz w:val="20"/>
        </w:rPr>
        <w:t> </w:t>
      </w:r>
      <w:r>
        <w:rPr>
          <w:sz w:val="20"/>
        </w:rPr>
        <w:t>a</w:t>
      </w:r>
      <w:r>
        <w:rPr>
          <w:spacing w:val="-15"/>
          <w:sz w:val="20"/>
        </w:rPr>
        <w:t> </w:t>
      </w:r>
      <w:r>
        <w:rPr>
          <w:sz w:val="20"/>
        </w:rPr>
        <w:t>clash</w:t>
      </w:r>
      <w:r>
        <w:rPr>
          <w:spacing w:val="-16"/>
          <w:sz w:val="20"/>
        </w:rPr>
        <w:t> </w:t>
      </w:r>
      <w:r>
        <w:rPr>
          <w:sz w:val="20"/>
        </w:rPr>
        <w:t>between</w:t>
      </w:r>
      <w:r>
        <w:rPr>
          <w:spacing w:val="-16"/>
          <w:sz w:val="20"/>
        </w:rPr>
        <w:t> </w:t>
      </w:r>
      <w:r>
        <w:rPr>
          <w:sz w:val="20"/>
        </w:rPr>
        <w:t>the</w:t>
      </w:r>
      <w:r>
        <w:rPr>
          <w:spacing w:val="-13"/>
          <w:sz w:val="20"/>
        </w:rPr>
        <w:t> </w:t>
      </w:r>
      <w:r>
        <w:rPr>
          <w:sz w:val="20"/>
        </w:rPr>
        <w:t>way</w:t>
      </w:r>
      <w:r>
        <w:rPr>
          <w:spacing w:val="-19"/>
          <w:sz w:val="20"/>
        </w:rPr>
        <w:t> </w:t>
      </w:r>
      <w:r>
        <w:rPr>
          <w:sz w:val="20"/>
        </w:rPr>
        <w:t>that</w:t>
      </w:r>
      <w:r>
        <w:rPr>
          <w:spacing w:val="-9"/>
          <w:sz w:val="20"/>
        </w:rPr>
        <w:t> </w:t>
      </w:r>
      <w:r>
        <w:rPr>
          <w:sz w:val="20"/>
        </w:rPr>
        <w:t>Amount</w:t>
      </w:r>
      <w:r>
        <w:rPr>
          <w:spacing w:val="-16"/>
          <w:sz w:val="20"/>
        </w:rPr>
        <w:t> </w:t>
      </w:r>
      <w:r>
        <w:rPr>
          <w:sz w:val="20"/>
        </w:rPr>
        <w:t>A</w:t>
      </w:r>
      <w:r>
        <w:rPr>
          <w:spacing w:val="-13"/>
          <w:sz w:val="20"/>
        </w:rPr>
        <w:t> </w:t>
      </w:r>
      <w:r>
        <w:rPr>
          <w:sz w:val="20"/>
        </w:rPr>
        <w:t>works</w:t>
      </w:r>
      <w:r>
        <w:rPr>
          <w:spacing w:val="-13"/>
          <w:sz w:val="20"/>
        </w:rPr>
        <w:t> </w:t>
      </w:r>
      <w:r>
        <w:rPr>
          <w:sz w:val="20"/>
        </w:rPr>
        <w:t>and</w:t>
      </w:r>
      <w:r>
        <w:rPr>
          <w:spacing w:val="-15"/>
          <w:sz w:val="20"/>
        </w:rPr>
        <w:t> </w:t>
      </w:r>
      <w:r>
        <w:rPr>
          <w:sz w:val="20"/>
        </w:rPr>
        <w:t>such</w:t>
      </w:r>
      <w:r>
        <w:rPr>
          <w:spacing w:val="-16"/>
          <w:sz w:val="20"/>
        </w:rPr>
        <w:t> </w:t>
      </w:r>
      <w:r>
        <w:rPr>
          <w:sz w:val="20"/>
        </w:rPr>
        <w:t>non-tax</w:t>
      </w:r>
      <w:r>
        <w:rPr>
          <w:spacing w:val="-14"/>
          <w:sz w:val="20"/>
        </w:rPr>
        <w:t> </w:t>
      </w:r>
      <w:r>
        <w:rPr>
          <w:sz w:val="20"/>
        </w:rPr>
        <w:t>regulatory</w:t>
      </w:r>
      <w:r>
        <w:rPr>
          <w:spacing w:val="-18"/>
          <w:sz w:val="20"/>
        </w:rPr>
        <w:t> </w:t>
      </w:r>
      <w:r>
        <w:rPr>
          <w:sz w:val="20"/>
        </w:rPr>
        <w:t>regimes</w:t>
      </w:r>
      <w:r>
        <w:rPr>
          <w:spacing w:val="-15"/>
          <w:sz w:val="20"/>
        </w:rPr>
        <w:t> </w:t>
      </w:r>
      <w:r>
        <w:rPr>
          <w:sz w:val="20"/>
        </w:rPr>
        <w:t>because</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the regulatory objectives may seek to protect the local regulated entities, e.g. from the insolvency of affiliates.</w:t>
      </w:r>
      <w:r>
        <w:rPr>
          <w:spacing w:val="-5"/>
        </w:rPr>
        <w:t> </w:t>
      </w:r>
      <w:r>
        <w:rPr/>
        <w:t>This</w:t>
      </w:r>
      <w:r>
        <w:rPr>
          <w:spacing w:val="-3"/>
        </w:rPr>
        <w:t> </w:t>
      </w:r>
      <w:r>
        <w:rPr/>
        <w:t>might</w:t>
      </w:r>
      <w:r>
        <w:rPr>
          <w:spacing w:val="-6"/>
        </w:rPr>
        <w:t> </w:t>
      </w:r>
      <w:r>
        <w:rPr/>
        <w:t>mean</w:t>
      </w:r>
      <w:r>
        <w:rPr>
          <w:spacing w:val="-4"/>
        </w:rPr>
        <w:t> </w:t>
      </w:r>
      <w:r>
        <w:rPr/>
        <w:t>that</w:t>
      </w:r>
      <w:r>
        <w:rPr>
          <w:spacing w:val="-4"/>
        </w:rPr>
        <w:t> </w:t>
      </w:r>
      <w:r>
        <w:rPr/>
        <w:t>regulators</w:t>
      </w:r>
      <w:r>
        <w:rPr>
          <w:spacing w:val="-2"/>
        </w:rPr>
        <w:t> </w:t>
      </w:r>
      <w:r>
        <w:rPr/>
        <w:t>could</w:t>
      </w:r>
      <w:r>
        <w:rPr>
          <w:spacing w:val="-4"/>
        </w:rPr>
        <w:t> </w:t>
      </w:r>
      <w:r>
        <w:rPr/>
        <w:t>refuse</w:t>
      </w:r>
      <w:r>
        <w:rPr>
          <w:spacing w:val="-4"/>
        </w:rPr>
        <w:t> </w:t>
      </w:r>
      <w:r>
        <w:rPr/>
        <w:t>to</w:t>
      </w:r>
      <w:r>
        <w:rPr>
          <w:spacing w:val="-4"/>
        </w:rPr>
        <w:t> </w:t>
      </w:r>
      <w:r>
        <w:rPr/>
        <w:t>accept</w:t>
      </w:r>
      <w:r>
        <w:rPr>
          <w:spacing w:val="-4"/>
        </w:rPr>
        <w:t> </w:t>
      </w:r>
      <w:r>
        <w:rPr/>
        <w:t>the</w:t>
      </w:r>
      <w:r>
        <w:rPr>
          <w:spacing w:val="-4"/>
        </w:rPr>
        <w:t> </w:t>
      </w:r>
      <w:r>
        <w:rPr/>
        <w:t>existence</w:t>
      </w:r>
      <w:r>
        <w:rPr>
          <w:spacing w:val="-4"/>
        </w:rPr>
        <w:t> </w:t>
      </w:r>
      <w:r>
        <w:rPr/>
        <w:t>of</w:t>
      </w:r>
      <w:r>
        <w:rPr>
          <w:spacing w:val="-2"/>
        </w:rPr>
        <w:t> </w:t>
      </w:r>
      <w:r>
        <w:rPr/>
        <w:t>intercompany</w:t>
      </w:r>
      <w:r>
        <w:rPr>
          <w:spacing w:val="-7"/>
        </w:rPr>
        <w:t> </w:t>
      </w:r>
      <w:r>
        <w:rPr/>
        <w:t>payments made under Pillar One, or require that an affiliate reimburse the local regulated bank, or require that additional capital be held. This would result in an undermining of the agreed regulatory regime and potentially also in inefficient allocations of capital and liquidity, resulting in increased costs for ordinary financial</w:t>
      </w:r>
      <w:r>
        <w:rPr>
          <w:spacing w:val="-3"/>
        </w:rPr>
        <w:t> </w:t>
      </w:r>
      <w:r>
        <w:rPr/>
        <w:t>transactions.</w:t>
      </w:r>
    </w:p>
    <w:p>
      <w:pPr>
        <w:pStyle w:val="ListParagraph"/>
        <w:numPr>
          <w:ilvl w:val="0"/>
          <w:numId w:val="4"/>
        </w:numPr>
        <w:tabs>
          <w:tab w:pos="1444" w:val="left" w:leader="none"/>
        </w:tabs>
        <w:spacing w:line="271" w:lineRule="auto" w:before="121" w:after="0"/>
        <w:ind w:left="723" w:right="483" w:firstLine="0"/>
        <w:jc w:val="both"/>
        <w:rPr>
          <w:sz w:val="20"/>
        </w:rPr>
      </w:pPr>
      <w:r>
        <w:rPr>
          <w:sz w:val="20"/>
        </w:rPr>
        <w:t>Consideration</w:t>
      </w:r>
      <w:r>
        <w:rPr>
          <w:spacing w:val="-5"/>
          <w:sz w:val="20"/>
        </w:rPr>
        <w:t> </w:t>
      </w:r>
      <w:r>
        <w:rPr>
          <w:sz w:val="20"/>
        </w:rPr>
        <w:t>of</w:t>
      </w:r>
      <w:r>
        <w:rPr>
          <w:spacing w:val="-5"/>
          <w:sz w:val="20"/>
        </w:rPr>
        <w:t> </w:t>
      </w:r>
      <w:r>
        <w:rPr>
          <w:sz w:val="20"/>
        </w:rPr>
        <w:t>the</w:t>
      </w:r>
      <w:r>
        <w:rPr>
          <w:spacing w:val="-7"/>
          <w:sz w:val="20"/>
        </w:rPr>
        <w:t> </w:t>
      </w:r>
      <w:r>
        <w:rPr>
          <w:sz w:val="20"/>
        </w:rPr>
        <w:t>application</w:t>
      </w:r>
      <w:r>
        <w:rPr>
          <w:spacing w:val="-4"/>
          <w:sz w:val="20"/>
        </w:rPr>
        <w:t> </w:t>
      </w:r>
      <w:r>
        <w:rPr>
          <w:sz w:val="20"/>
        </w:rPr>
        <w:t>of</w:t>
      </w:r>
      <w:r>
        <w:rPr>
          <w:spacing w:val="-4"/>
          <w:sz w:val="20"/>
        </w:rPr>
        <w:t> </w:t>
      </w:r>
      <w:r>
        <w:rPr>
          <w:sz w:val="20"/>
        </w:rPr>
        <w:t>an</w:t>
      </w:r>
      <w:r>
        <w:rPr>
          <w:spacing w:val="-5"/>
          <w:sz w:val="20"/>
        </w:rPr>
        <w:t> </w:t>
      </w:r>
      <w:r>
        <w:rPr>
          <w:sz w:val="20"/>
        </w:rPr>
        <w:t>exclusion</w:t>
      </w:r>
      <w:r>
        <w:rPr>
          <w:spacing w:val="-5"/>
          <w:sz w:val="20"/>
        </w:rPr>
        <w:t> </w:t>
      </w:r>
      <w:r>
        <w:rPr>
          <w:sz w:val="20"/>
        </w:rPr>
        <w:t>in</w:t>
      </w:r>
      <w:r>
        <w:rPr>
          <w:spacing w:val="-4"/>
          <w:sz w:val="20"/>
        </w:rPr>
        <w:t> </w:t>
      </w:r>
      <w:r>
        <w:rPr>
          <w:sz w:val="20"/>
        </w:rPr>
        <w:t>the</w:t>
      </w:r>
      <w:r>
        <w:rPr>
          <w:spacing w:val="-3"/>
          <w:sz w:val="20"/>
        </w:rPr>
        <w:t> </w:t>
      </w:r>
      <w:r>
        <w:rPr>
          <w:sz w:val="20"/>
        </w:rPr>
        <w:t>context</w:t>
      </w:r>
      <w:r>
        <w:rPr>
          <w:spacing w:val="-4"/>
          <w:sz w:val="20"/>
        </w:rPr>
        <w:t> </w:t>
      </w:r>
      <w:r>
        <w:rPr>
          <w:sz w:val="20"/>
        </w:rPr>
        <w:t>of</w:t>
      </w:r>
      <w:r>
        <w:rPr>
          <w:spacing w:val="-4"/>
          <w:sz w:val="20"/>
        </w:rPr>
        <w:t> </w:t>
      </w:r>
      <w:r>
        <w:rPr>
          <w:sz w:val="20"/>
        </w:rPr>
        <w:t>the</w:t>
      </w:r>
      <w:r>
        <w:rPr>
          <w:spacing w:val="-4"/>
          <w:sz w:val="20"/>
        </w:rPr>
        <w:t> </w:t>
      </w:r>
      <w:r>
        <w:rPr>
          <w:sz w:val="20"/>
        </w:rPr>
        <w:t>banking</w:t>
      </w:r>
      <w:r>
        <w:rPr>
          <w:spacing w:val="-7"/>
          <w:sz w:val="20"/>
        </w:rPr>
        <w:t> </w:t>
      </w:r>
      <w:r>
        <w:rPr>
          <w:sz w:val="20"/>
        </w:rPr>
        <w:t>sector</w:t>
      </w:r>
      <w:r>
        <w:rPr>
          <w:spacing w:val="-6"/>
          <w:sz w:val="20"/>
        </w:rPr>
        <w:t> </w:t>
      </w:r>
      <w:r>
        <w:rPr>
          <w:sz w:val="20"/>
        </w:rPr>
        <w:t>has</w:t>
      </w:r>
      <w:r>
        <w:rPr>
          <w:spacing w:val="-3"/>
          <w:sz w:val="20"/>
        </w:rPr>
        <w:t> </w:t>
      </w:r>
      <w:r>
        <w:rPr>
          <w:sz w:val="20"/>
        </w:rPr>
        <w:t>led</w:t>
      </w:r>
      <w:r>
        <w:rPr>
          <w:spacing w:val="-7"/>
          <w:sz w:val="20"/>
        </w:rPr>
        <w:t> </w:t>
      </w:r>
      <w:r>
        <w:rPr>
          <w:sz w:val="20"/>
        </w:rPr>
        <w:t>to</w:t>
      </w:r>
      <w:r>
        <w:rPr>
          <w:spacing w:val="-6"/>
          <w:sz w:val="20"/>
        </w:rPr>
        <w:t> </w:t>
      </w:r>
      <w:r>
        <w:rPr>
          <w:sz w:val="20"/>
        </w:rPr>
        <w:t>the review of a number of additional matters, specifically the status of Fintech and private banking business and the practical operation of EU</w:t>
      </w:r>
      <w:r>
        <w:rPr>
          <w:spacing w:val="-5"/>
          <w:sz w:val="20"/>
        </w:rPr>
        <w:t> </w:t>
      </w:r>
      <w:r>
        <w:rPr>
          <w:sz w:val="20"/>
        </w:rPr>
        <w:t>passporting.</w:t>
      </w:r>
    </w:p>
    <w:p>
      <w:pPr>
        <w:pStyle w:val="ListParagraph"/>
        <w:numPr>
          <w:ilvl w:val="0"/>
          <w:numId w:val="4"/>
        </w:numPr>
        <w:tabs>
          <w:tab w:pos="1444" w:val="left" w:leader="none"/>
        </w:tabs>
        <w:spacing w:line="271" w:lineRule="auto" w:before="120" w:after="0"/>
        <w:ind w:left="723" w:right="479" w:firstLine="0"/>
        <w:jc w:val="both"/>
        <w:rPr>
          <w:sz w:val="20"/>
        </w:rPr>
      </w:pPr>
      <w:r>
        <w:rPr>
          <w:sz w:val="20"/>
        </w:rPr>
        <w:t>Fintech is broadly finance enabled or provided via new technologies, meaning the application of new</w:t>
      </w:r>
      <w:r>
        <w:rPr>
          <w:spacing w:val="-11"/>
          <w:sz w:val="20"/>
        </w:rPr>
        <w:t> </w:t>
      </w:r>
      <w:r>
        <w:rPr>
          <w:sz w:val="20"/>
        </w:rPr>
        <w:t>technologies</w:t>
      </w:r>
      <w:r>
        <w:rPr>
          <w:spacing w:val="-7"/>
          <w:sz w:val="20"/>
        </w:rPr>
        <w:t> </w:t>
      </w:r>
      <w:r>
        <w:rPr>
          <w:sz w:val="20"/>
        </w:rPr>
        <w:t>to</w:t>
      </w:r>
      <w:r>
        <w:rPr>
          <w:spacing w:val="-8"/>
          <w:sz w:val="20"/>
        </w:rPr>
        <w:t> </w:t>
      </w:r>
      <w:r>
        <w:rPr>
          <w:sz w:val="20"/>
        </w:rPr>
        <w:t>FS.</w:t>
      </w:r>
      <w:r>
        <w:rPr>
          <w:spacing w:val="-8"/>
          <w:sz w:val="20"/>
        </w:rPr>
        <w:t> </w:t>
      </w:r>
      <w:r>
        <w:rPr>
          <w:sz w:val="20"/>
        </w:rPr>
        <w:t>A</w:t>
      </w:r>
      <w:r>
        <w:rPr>
          <w:spacing w:val="-6"/>
          <w:sz w:val="20"/>
        </w:rPr>
        <w:t> </w:t>
      </w:r>
      <w:r>
        <w:rPr>
          <w:sz w:val="20"/>
        </w:rPr>
        <w:t>Fintech</w:t>
      </w:r>
      <w:r>
        <w:rPr>
          <w:spacing w:val="-9"/>
          <w:sz w:val="20"/>
        </w:rPr>
        <w:t> </w:t>
      </w:r>
      <w:r>
        <w:rPr>
          <w:sz w:val="20"/>
        </w:rPr>
        <w:t>business</w:t>
      </w:r>
      <w:r>
        <w:rPr>
          <w:spacing w:val="-9"/>
          <w:sz w:val="20"/>
        </w:rPr>
        <w:t> </w:t>
      </w:r>
      <w:r>
        <w:rPr>
          <w:sz w:val="20"/>
        </w:rPr>
        <w:t>may</w:t>
      </w:r>
      <w:r>
        <w:rPr>
          <w:spacing w:val="-14"/>
          <w:sz w:val="20"/>
        </w:rPr>
        <w:t> </w:t>
      </w:r>
      <w:r>
        <w:rPr>
          <w:sz w:val="20"/>
        </w:rPr>
        <w:t>be</w:t>
      </w:r>
      <w:r>
        <w:rPr>
          <w:spacing w:val="-8"/>
          <w:sz w:val="20"/>
        </w:rPr>
        <w:t> </w:t>
      </w:r>
      <w:r>
        <w:rPr>
          <w:sz w:val="20"/>
        </w:rPr>
        <w:t>developed</w:t>
      </w:r>
      <w:r>
        <w:rPr>
          <w:spacing w:val="-9"/>
          <w:sz w:val="20"/>
        </w:rPr>
        <w:t> </w:t>
      </w:r>
      <w:r>
        <w:rPr>
          <w:sz w:val="20"/>
        </w:rPr>
        <w:t>either</w:t>
      </w:r>
      <w:r>
        <w:rPr>
          <w:spacing w:val="-7"/>
          <w:sz w:val="20"/>
        </w:rPr>
        <w:t> </w:t>
      </w:r>
      <w:r>
        <w:rPr>
          <w:sz w:val="20"/>
        </w:rPr>
        <w:t>by</w:t>
      </w:r>
      <w:r>
        <w:rPr>
          <w:spacing w:val="-11"/>
          <w:sz w:val="20"/>
        </w:rPr>
        <w:t> </w:t>
      </w:r>
      <w:r>
        <w:rPr>
          <w:sz w:val="20"/>
        </w:rPr>
        <w:t>banks</w:t>
      </w:r>
      <w:r>
        <w:rPr>
          <w:spacing w:val="-8"/>
          <w:sz w:val="20"/>
        </w:rPr>
        <w:t> </w:t>
      </w:r>
      <w:r>
        <w:rPr>
          <w:sz w:val="20"/>
        </w:rPr>
        <w:t>or</w:t>
      </w:r>
      <w:r>
        <w:rPr>
          <w:spacing w:val="-9"/>
          <w:sz w:val="20"/>
        </w:rPr>
        <w:t> </w:t>
      </w:r>
      <w:r>
        <w:rPr>
          <w:sz w:val="20"/>
        </w:rPr>
        <w:t>dedicated</w:t>
      </w:r>
      <w:r>
        <w:rPr>
          <w:spacing w:val="-8"/>
          <w:sz w:val="20"/>
        </w:rPr>
        <w:t> </w:t>
      </w:r>
      <w:r>
        <w:rPr>
          <w:sz w:val="20"/>
        </w:rPr>
        <w:t>Fintech</w:t>
      </w:r>
      <w:r>
        <w:rPr>
          <w:spacing w:val="-9"/>
          <w:sz w:val="20"/>
        </w:rPr>
        <w:t> </w:t>
      </w:r>
      <w:r>
        <w:rPr>
          <w:sz w:val="20"/>
        </w:rPr>
        <w:t>firms. Most</w:t>
      </w:r>
      <w:r>
        <w:rPr>
          <w:spacing w:val="-9"/>
          <w:sz w:val="20"/>
        </w:rPr>
        <w:t> </w:t>
      </w:r>
      <w:r>
        <w:rPr>
          <w:sz w:val="20"/>
        </w:rPr>
        <w:t>of</w:t>
      </w:r>
      <w:r>
        <w:rPr>
          <w:spacing w:val="-6"/>
          <w:sz w:val="20"/>
        </w:rPr>
        <w:t> </w:t>
      </w:r>
      <w:r>
        <w:rPr>
          <w:sz w:val="20"/>
        </w:rPr>
        <w:t>the</w:t>
      </w:r>
      <w:r>
        <w:rPr>
          <w:spacing w:val="-9"/>
          <w:sz w:val="20"/>
        </w:rPr>
        <w:t> </w:t>
      </w:r>
      <w:r>
        <w:rPr>
          <w:sz w:val="20"/>
        </w:rPr>
        <w:t>Fintech</w:t>
      </w:r>
      <w:r>
        <w:rPr>
          <w:spacing w:val="-8"/>
          <w:sz w:val="20"/>
        </w:rPr>
        <w:t> </w:t>
      </w:r>
      <w:r>
        <w:rPr>
          <w:sz w:val="20"/>
        </w:rPr>
        <w:t>firms</w:t>
      </w:r>
      <w:r>
        <w:rPr>
          <w:spacing w:val="-7"/>
          <w:sz w:val="20"/>
        </w:rPr>
        <w:t> </w:t>
      </w:r>
      <w:r>
        <w:rPr>
          <w:sz w:val="20"/>
        </w:rPr>
        <w:t>are</w:t>
      </w:r>
      <w:r>
        <w:rPr>
          <w:spacing w:val="-9"/>
          <w:sz w:val="20"/>
        </w:rPr>
        <w:t> </w:t>
      </w:r>
      <w:r>
        <w:rPr>
          <w:sz w:val="20"/>
        </w:rPr>
        <w:t>intermediaries</w:t>
      </w:r>
      <w:r>
        <w:rPr>
          <w:spacing w:val="-7"/>
          <w:sz w:val="20"/>
        </w:rPr>
        <w:t> </w:t>
      </w:r>
      <w:r>
        <w:rPr>
          <w:sz w:val="20"/>
        </w:rPr>
        <w:t>between</w:t>
      </w:r>
      <w:r>
        <w:rPr>
          <w:spacing w:val="-7"/>
          <w:sz w:val="20"/>
        </w:rPr>
        <w:t> </w:t>
      </w:r>
      <w:r>
        <w:rPr>
          <w:sz w:val="20"/>
        </w:rPr>
        <w:t>banks</w:t>
      </w:r>
      <w:r>
        <w:rPr>
          <w:spacing w:val="-7"/>
          <w:sz w:val="20"/>
        </w:rPr>
        <w:t> </w:t>
      </w:r>
      <w:r>
        <w:rPr>
          <w:sz w:val="20"/>
        </w:rPr>
        <w:t>and</w:t>
      </w:r>
      <w:r>
        <w:rPr>
          <w:spacing w:val="-8"/>
          <w:sz w:val="20"/>
        </w:rPr>
        <w:t> </w:t>
      </w:r>
      <w:r>
        <w:rPr>
          <w:sz w:val="20"/>
        </w:rPr>
        <w:t>customers.</w:t>
      </w:r>
      <w:r>
        <w:rPr>
          <w:spacing w:val="-9"/>
          <w:sz w:val="20"/>
        </w:rPr>
        <w:t> </w:t>
      </w:r>
      <w:r>
        <w:rPr>
          <w:sz w:val="20"/>
        </w:rPr>
        <w:t>Some</w:t>
      </w:r>
      <w:r>
        <w:rPr>
          <w:spacing w:val="-8"/>
          <w:sz w:val="20"/>
        </w:rPr>
        <w:t> </w:t>
      </w:r>
      <w:r>
        <w:rPr>
          <w:sz w:val="20"/>
        </w:rPr>
        <w:t>Fintech</w:t>
      </w:r>
      <w:r>
        <w:rPr>
          <w:spacing w:val="-9"/>
          <w:sz w:val="20"/>
        </w:rPr>
        <w:t> </w:t>
      </w:r>
      <w:r>
        <w:rPr>
          <w:sz w:val="20"/>
        </w:rPr>
        <w:t>firms</w:t>
      </w:r>
      <w:r>
        <w:rPr>
          <w:spacing w:val="-7"/>
          <w:sz w:val="20"/>
        </w:rPr>
        <w:t> </w:t>
      </w:r>
      <w:r>
        <w:rPr>
          <w:sz w:val="20"/>
        </w:rPr>
        <w:t>are</w:t>
      </w:r>
      <w:r>
        <w:rPr>
          <w:spacing w:val="-8"/>
          <w:sz w:val="20"/>
        </w:rPr>
        <w:t> </w:t>
      </w:r>
      <w:r>
        <w:rPr>
          <w:sz w:val="20"/>
        </w:rPr>
        <w:t>lightly regulated or may not be subject to any regulatory regime under their national law. However, Fintech firms that wish to provide regulated FS have two options: (i) they can conclude a partnership with a bank, or (ii) they can request a banking licence, in which case they are subject to the same regulations that apply to banks, and thus to the same obligations such as minimum regulatory capital, reporting requirements, cross-border</w:t>
      </w:r>
      <w:r>
        <w:rPr>
          <w:spacing w:val="-17"/>
          <w:sz w:val="20"/>
        </w:rPr>
        <w:t> </w:t>
      </w:r>
      <w:r>
        <w:rPr>
          <w:sz w:val="20"/>
        </w:rPr>
        <w:t>activities</w:t>
      </w:r>
      <w:r>
        <w:rPr>
          <w:spacing w:val="-17"/>
          <w:sz w:val="20"/>
        </w:rPr>
        <w:t> </w:t>
      </w:r>
      <w:r>
        <w:rPr>
          <w:sz w:val="20"/>
        </w:rPr>
        <w:t>limitations</w:t>
      </w:r>
      <w:r>
        <w:rPr>
          <w:spacing w:val="-17"/>
          <w:sz w:val="20"/>
        </w:rPr>
        <w:t> </w:t>
      </w:r>
      <w:r>
        <w:rPr>
          <w:sz w:val="20"/>
        </w:rPr>
        <w:t>or</w:t>
      </w:r>
      <w:r>
        <w:rPr>
          <w:spacing w:val="-15"/>
          <w:sz w:val="20"/>
        </w:rPr>
        <w:t> </w:t>
      </w:r>
      <w:r>
        <w:rPr>
          <w:sz w:val="20"/>
        </w:rPr>
        <w:t>infrastructure</w:t>
      </w:r>
      <w:r>
        <w:rPr>
          <w:spacing w:val="-17"/>
          <w:sz w:val="20"/>
        </w:rPr>
        <w:t> </w:t>
      </w:r>
      <w:r>
        <w:rPr>
          <w:sz w:val="20"/>
        </w:rPr>
        <w:t>obligations</w:t>
      </w:r>
      <w:r>
        <w:rPr>
          <w:spacing w:val="-17"/>
          <w:sz w:val="20"/>
        </w:rPr>
        <w:t> </w:t>
      </w:r>
      <w:r>
        <w:rPr>
          <w:sz w:val="20"/>
        </w:rPr>
        <w:t>that</w:t>
      </w:r>
      <w:r>
        <w:rPr>
          <w:spacing w:val="-18"/>
          <w:sz w:val="20"/>
        </w:rPr>
        <w:t> </w:t>
      </w:r>
      <w:r>
        <w:rPr>
          <w:sz w:val="20"/>
        </w:rPr>
        <w:t>require</w:t>
      </w:r>
      <w:r>
        <w:rPr>
          <w:spacing w:val="-16"/>
          <w:sz w:val="20"/>
        </w:rPr>
        <w:t> </w:t>
      </w:r>
      <w:r>
        <w:rPr>
          <w:sz w:val="20"/>
        </w:rPr>
        <w:t>them</w:t>
      </w:r>
      <w:r>
        <w:rPr>
          <w:spacing w:val="-14"/>
          <w:sz w:val="20"/>
        </w:rPr>
        <w:t> </w:t>
      </w:r>
      <w:r>
        <w:rPr>
          <w:sz w:val="20"/>
        </w:rPr>
        <w:t>to</w:t>
      </w:r>
      <w:r>
        <w:rPr>
          <w:spacing w:val="-17"/>
          <w:sz w:val="20"/>
        </w:rPr>
        <w:t> </w:t>
      </w:r>
      <w:r>
        <w:rPr>
          <w:sz w:val="20"/>
        </w:rPr>
        <w:t>have</w:t>
      </w:r>
      <w:r>
        <w:rPr>
          <w:spacing w:val="-18"/>
          <w:sz w:val="20"/>
        </w:rPr>
        <w:t> </w:t>
      </w:r>
      <w:r>
        <w:rPr>
          <w:sz w:val="20"/>
        </w:rPr>
        <w:t>a</w:t>
      </w:r>
      <w:r>
        <w:rPr>
          <w:spacing w:val="-16"/>
          <w:sz w:val="20"/>
        </w:rPr>
        <w:t> </w:t>
      </w:r>
      <w:r>
        <w:rPr>
          <w:sz w:val="20"/>
        </w:rPr>
        <w:t>physical</w:t>
      </w:r>
      <w:r>
        <w:rPr>
          <w:spacing w:val="-17"/>
          <w:sz w:val="20"/>
        </w:rPr>
        <w:t> </w:t>
      </w:r>
      <w:r>
        <w:rPr>
          <w:sz w:val="20"/>
        </w:rPr>
        <w:t>presence in the local market jurisdiction. Banking regulation is mandatory for four types of Fintech activities: </w:t>
      </w:r>
      <w:r>
        <w:rPr>
          <w:spacing w:val="5"/>
          <w:sz w:val="20"/>
        </w:rPr>
        <w:t>e- </w:t>
      </w:r>
      <w:r>
        <w:rPr>
          <w:sz w:val="20"/>
        </w:rPr>
        <w:t>money, payment, credit, and full banking licences. Other products and services supporting financial activities provided by Fintechs in some areas (hardware, software, middleware) remain excluded from banking</w:t>
      </w:r>
      <w:r>
        <w:rPr>
          <w:spacing w:val="-7"/>
          <w:sz w:val="20"/>
        </w:rPr>
        <w:t> </w:t>
      </w:r>
      <w:r>
        <w:rPr>
          <w:sz w:val="20"/>
        </w:rPr>
        <w:t>regulation.</w:t>
      </w:r>
      <w:r>
        <w:rPr>
          <w:spacing w:val="-6"/>
          <w:sz w:val="20"/>
        </w:rPr>
        <w:t> </w:t>
      </w:r>
      <w:r>
        <w:rPr>
          <w:sz w:val="20"/>
        </w:rPr>
        <w:t>That</w:t>
      </w:r>
      <w:r>
        <w:rPr>
          <w:spacing w:val="-5"/>
          <w:sz w:val="20"/>
        </w:rPr>
        <w:t> </w:t>
      </w:r>
      <w:r>
        <w:rPr>
          <w:sz w:val="20"/>
        </w:rPr>
        <w:t>is</w:t>
      </w:r>
      <w:r>
        <w:rPr>
          <w:spacing w:val="-3"/>
          <w:sz w:val="20"/>
        </w:rPr>
        <w:t> </w:t>
      </w:r>
      <w:r>
        <w:rPr>
          <w:sz w:val="20"/>
        </w:rPr>
        <w:t>because</w:t>
      </w:r>
      <w:r>
        <w:rPr>
          <w:spacing w:val="-7"/>
          <w:sz w:val="20"/>
        </w:rPr>
        <w:t> </w:t>
      </w:r>
      <w:r>
        <w:rPr>
          <w:sz w:val="20"/>
        </w:rPr>
        <w:t>these</w:t>
      </w:r>
      <w:r>
        <w:rPr>
          <w:spacing w:val="-7"/>
          <w:sz w:val="20"/>
        </w:rPr>
        <w:t> </w:t>
      </w:r>
      <w:r>
        <w:rPr>
          <w:sz w:val="20"/>
        </w:rPr>
        <w:t>Fintechs</w:t>
      </w:r>
      <w:r>
        <w:rPr>
          <w:spacing w:val="-5"/>
          <w:sz w:val="20"/>
        </w:rPr>
        <w:t> </w:t>
      </w:r>
      <w:r>
        <w:rPr>
          <w:sz w:val="20"/>
        </w:rPr>
        <w:t>are</w:t>
      </w:r>
      <w:r>
        <w:rPr>
          <w:spacing w:val="-4"/>
          <w:sz w:val="20"/>
        </w:rPr>
        <w:t> </w:t>
      </w:r>
      <w:r>
        <w:rPr>
          <w:sz w:val="20"/>
        </w:rPr>
        <w:t>only</w:t>
      </w:r>
      <w:r>
        <w:rPr>
          <w:spacing w:val="-9"/>
          <w:sz w:val="20"/>
        </w:rPr>
        <w:t> </w:t>
      </w:r>
      <w:r>
        <w:rPr>
          <w:sz w:val="20"/>
        </w:rPr>
        <w:t>providing</w:t>
      </w:r>
      <w:r>
        <w:rPr>
          <w:spacing w:val="-7"/>
          <w:sz w:val="20"/>
        </w:rPr>
        <w:t> </w:t>
      </w:r>
      <w:r>
        <w:rPr>
          <w:sz w:val="20"/>
        </w:rPr>
        <w:t>technology</w:t>
      </w:r>
      <w:r>
        <w:rPr>
          <w:spacing w:val="-10"/>
          <w:sz w:val="20"/>
        </w:rPr>
        <w:t> </w:t>
      </w:r>
      <w:r>
        <w:rPr>
          <w:sz w:val="20"/>
        </w:rPr>
        <w:t>to</w:t>
      </w:r>
      <w:r>
        <w:rPr>
          <w:spacing w:val="-6"/>
          <w:sz w:val="20"/>
        </w:rPr>
        <w:t> </w:t>
      </w:r>
      <w:r>
        <w:rPr>
          <w:sz w:val="20"/>
        </w:rPr>
        <w:t>the</w:t>
      </w:r>
      <w:r>
        <w:rPr>
          <w:spacing w:val="-7"/>
          <w:sz w:val="20"/>
        </w:rPr>
        <w:t> </w:t>
      </w:r>
      <w:r>
        <w:rPr>
          <w:sz w:val="20"/>
        </w:rPr>
        <w:t>financial</w:t>
      </w:r>
      <w:r>
        <w:rPr>
          <w:spacing w:val="-6"/>
          <w:sz w:val="20"/>
        </w:rPr>
        <w:t> </w:t>
      </w:r>
      <w:r>
        <w:rPr>
          <w:sz w:val="20"/>
        </w:rPr>
        <w:t>sector</w:t>
      </w:r>
      <w:r>
        <w:rPr>
          <w:spacing w:val="-6"/>
          <w:sz w:val="20"/>
        </w:rPr>
        <w:t> </w:t>
      </w:r>
      <w:r>
        <w:rPr>
          <w:sz w:val="20"/>
        </w:rPr>
        <w:t>to perform activities that otherwise would be performed by individuals. Given that regulated Fintech firms have a specific status, similar to that of the regulated banking sector, their exclusion appears consistent with the policy rationale outlined for FS. These firms should therefore receive a similar treatment to regulated banks. However, as the rules in many jurisdictions governing Fintech are at an early stage of development, the issue will be explored further. The logic of the approach would not be applicable to unregulated Fintech</w:t>
      </w:r>
      <w:r>
        <w:rPr>
          <w:spacing w:val="-3"/>
          <w:sz w:val="20"/>
        </w:rPr>
        <w:t> </w:t>
      </w:r>
      <w:r>
        <w:rPr>
          <w:sz w:val="20"/>
        </w:rPr>
        <w:t>activities.</w:t>
      </w:r>
    </w:p>
    <w:p>
      <w:pPr>
        <w:pStyle w:val="ListParagraph"/>
        <w:numPr>
          <w:ilvl w:val="0"/>
          <w:numId w:val="4"/>
        </w:numPr>
        <w:tabs>
          <w:tab w:pos="1444" w:val="left" w:leader="none"/>
        </w:tabs>
        <w:spacing w:line="271" w:lineRule="auto" w:before="123" w:after="0"/>
        <w:ind w:left="723" w:right="479" w:firstLine="0"/>
        <w:jc w:val="both"/>
        <w:rPr>
          <w:sz w:val="20"/>
        </w:rPr>
      </w:pPr>
      <w:r>
        <w:rPr>
          <w:sz w:val="20"/>
        </w:rPr>
        <w:t>Private banking/wealth management (PB) business is an activity conducted within regulated banking groups that falls on the borderline between retail banking and institutional banking, given that clients include wealthy individuals as well as charities, family offices, trusts, etc. PB is often conducted through entities subject to banking regulation both globally and locally. However, PB may in part be conducted through regional hubs, meaning that the policy rationale discussed above may not be fully applicable. Nonetheless, various factors support the application of the exclusion to PB. First, without a locally regulated presence, a bank generally cannot have an active and sustained participation in a local market; publicly offer services (including digital services); or widely advertise or solicit business. Second, many PB clients are business owners, and PB services may also be provided to the business rather than the individual. Third, in the event that PB business were to be included in the scope of Amount A, there would be certain practical difficulties in identifying and isolating private banking profits. These include: (i) the practical difficulties in segmenting the PB business as a substantial portion of customers will be charities, foundation, etc. Banks would also need to distinguish between services provided to individual clients, and services provided to businesses owned by their clients; (ii) segmenting the in-scope income streams given that the services and products provided to PB customers involve a variety of activities and income</w:t>
      </w:r>
      <w:r>
        <w:rPr>
          <w:spacing w:val="-11"/>
          <w:sz w:val="20"/>
        </w:rPr>
        <w:t> </w:t>
      </w:r>
      <w:r>
        <w:rPr>
          <w:sz w:val="20"/>
        </w:rPr>
        <w:t>that</w:t>
      </w:r>
      <w:r>
        <w:rPr>
          <w:spacing w:val="-11"/>
          <w:sz w:val="20"/>
        </w:rPr>
        <w:t> </w:t>
      </w:r>
      <w:r>
        <w:rPr>
          <w:sz w:val="20"/>
        </w:rPr>
        <w:t>may</w:t>
      </w:r>
      <w:r>
        <w:rPr>
          <w:spacing w:val="-15"/>
          <w:sz w:val="20"/>
        </w:rPr>
        <w:t> </w:t>
      </w:r>
      <w:r>
        <w:rPr>
          <w:sz w:val="20"/>
        </w:rPr>
        <w:t>be</w:t>
      </w:r>
      <w:r>
        <w:rPr>
          <w:spacing w:val="-9"/>
          <w:sz w:val="20"/>
        </w:rPr>
        <w:t> </w:t>
      </w:r>
      <w:r>
        <w:rPr>
          <w:sz w:val="20"/>
        </w:rPr>
        <w:t>booked</w:t>
      </w:r>
      <w:r>
        <w:rPr>
          <w:spacing w:val="-12"/>
          <w:sz w:val="20"/>
        </w:rPr>
        <w:t> </w:t>
      </w:r>
      <w:r>
        <w:rPr>
          <w:sz w:val="20"/>
        </w:rPr>
        <w:t>across</w:t>
      </w:r>
      <w:r>
        <w:rPr>
          <w:spacing w:val="-10"/>
          <w:sz w:val="20"/>
        </w:rPr>
        <w:t> </w:t>
      </w:r>
      <w:r>
        <w:rPr>
          <w:sz w:val="20"/>
        </w:rPr>
        <w:t>the</w:t>
      </w:r>
      <w:r>
        <w:rPr>
          <w:spacing w:val="-12"/>
          <w:sz w:val="20"/>
        </w:rPr>
        <w:t> </w:t>
      </w:r>
      <w:r>
        <w:rPr>
          <w:sz w:val="20"/>
        </w:rPr>
        <w:t>different</w:t>
      </w:r>
      <w:r>
        <w:rPr>
          <w:spacing w:val="-12"/>
          <w:sz w:val="20"/>
        </w:rPr>
        <w:t> </w:t>
      </w:r>
      <w:r>
        <w:rPr>
          <w:sz w:val="20"/>
        </w:rPr>
        <w:t>divisions/entities</w:t>
      </w:r>
      <w:r>
        <w:rPr>
          <w:spacing w:val="-8"/>
          <w:sz w:val="20"/>
        </w:rPr>
        <w:t> </w:t>
      </w:r>
      <w:r>
        <w:rPr>
          <w:sz w:val="20"/>
        </w:rPr>
        <w:t>within</w:t>
      </w:r>
      <w:r>
        <w:rPr>
          <w:spacing w:val="-9"/>
          <w:sz w:val="20"/>
        </w:rPr>
        <w:t> </w:t>
      </w:r>
      <w:r>
        <w:rPr>
          <w:sz w:val="20"/>
        </w:rPr>
        <w:t>a</w:t>
      </w:r>
      <w:r>
        <w:rPr>
          <w:spacing w:val="-12"/>
          <w:sz w:val="20"/>
        </w:rPr>
        <w:t> </w:t>
      </w:r>
      <w:r>
        <w:rPr>
          <w:sz w:val="20"/>
        </w:rPr>
        <w:t>banking</w:t>
      </w:r>
      <w:r>
        <w:rPr>
          <w:spacing w:val="-12"/>
          <w:sz w:val="20"/>
        </w:rPr>
        <w:t> </w:t>
      </w:r>
      <w:r>
        <w:rPr>
          <w:sz w:val="20"/>
        </w:rPr>
        <w:t>group,</w:t>
      </w:r>
      <w:r>
        <w:rPr>
          <w:spacing w:val="-11"/>
          <w:sz w:val="20"/>
        </w:rPr>
        <w:t> </w:t>
      </w:r>
      <w:r>
        <w:rPr>
          <w:sz w:val="20"/>
        </w:rPr>
        <w:t>and</w:t>
      </w:r>
      <w:r>
        <w:rPr>
          <w:spacing w:val="-9"/>
          <w:sz w:val="20"/>
        </w:rPr>
        <w:t> </w:t>
      </w:r>
      <w:r>
        <w:rPr>
          <w:sz w:val="20"/>
        </w:rPr>
        <w:t>isolating</w:t>
      </w:r>
      <w:r>
        <w:rPr>
          <w:spacing w:val="-9"/>
          <w:sz w:val="20"/>
        </w:rPr>
        <w:t> </w:t>
      </w:r>
      <w:r>
        <w:rPr>
          <w:sz w:val="20"/>
        </w:rPr>
        <w:t>and identifying these highly fragmented income streams would be difficult; and (iii) identifying the market jurisdiction as many contractual relationships (especially institutional client relationships) are centralised. On</w:t>
      </w:r>
      <w:r>
        <w:rPr>
          <w:spacing w:val="-4"/>
          <w:sz w:val="20"/>
        </w:rPr>
        <w:t> </w:t>
      </w:r>
      <w:r>
        <w:rPr>
          <w:sz w:val="20"/>
        </w:rPr>
        <w:t>the</w:t>
      </w:r>
      <w:r>
        <w:rPr>
          <w:spacing w:val="-3"/>
          <w:sz w:val="20"/>
        </w:rPr>
        <w:t> </w:t>
      </w:r>
      <w:r>
        <w:rPr>
          <w:sz w:val="20"/>
        </w:rPr>
        <w:t>basis</w:t>
      </w:r>
      <w:r>
        <w:rPr>
          <w:spacing w:val="-2"/>
          <w:sz w:val="20"/>
        </w:rPr>
        <w:t> </w:t>
      </w:r>
      <w:r>
        <w:rPr>
          <w:sz w:val="20"/>
        </w:rPr>
        <w:t>of</w:t>
      </w:r>
      <w:r>
        <w:rPr>
          <w:spacing w:val="-2"/>
          <w:sz w:val="20"/>
        </w:rPr>
        <w:t> </w:t>
      </w:r>
      <w:r>
        <w:rPr>
          <w:sz w:val="20"/>
        </w:rPr>
        <w:t>the</w:t>
      </w:r>
      <w:r>
        <w:rPr>
          <w:spacing w:val="-4"/>
          <w:sz w:val="20"/>
        </w:rPr>
        <w:t> </w:t>
      </w:r>
      <w:r>
        <w:rPr>
          <w:sz w:val="20"/>
        </w:rPr>
        <w:t>above</w:t>
      </w:r>
      <w:r>
        <w:rPr>
          <w:spacing w:val="-3"/>
          <w:sz w:val="20"/>
        </w:rPr>
        <w:t> </w:t>
      </w:r>
      <w:r>
        <w:rPr>
          <w:sz w:val="20"/>
        </w:rPr>
        <w:t>discussion,</w:t>
      </w:r>
      <w:r>
        <w:rPr>
          <w:spacing w:val="-2"/>
          <w:sz w:val="20"/>
        </w:rPr>
        <w:t> </w:t>
      </w:r>
      <w:r>
        <w:rPr>
          <w:sz w:val="20"/>
        </w:rPr>
        <w:t>it</w:t>
      </w:r>
      <w:r>
        <w:rPr>
          <w:spacing w:val="-4"/>
          <w:sz w:val="20"/>
        </w:rPr>
        <w:t> </w:t>
      </w:r>
      <w:r>
        <w:rPr>
          <w:sz w:val="20"/>
        </w:rPr>
        <w:t>is</w:t>
      </w:r>
      <w:r>
        <w:rPr>
          <w:spacing w:val="-1"/>
          <w:sz w:val="20"/>
        </w:rPr>
        <w:t> </w:t>
      </w:r>
      <w:r>
        <w:rPr>
          <w:sz w:val="20"/>
        </w:rPr>
        <w:t>proposed</w:t>
      </w:r>
      <w:r>
        <w:rPr>
          <w:spacing w:val="-3"/>
          <w:sz w:val="20"/>
        </w:rPr>
        <w:t> </w:t>
      </w:r>
      <w:r>
        <w:rPr>
          <w:sz w:val="20"/>
        </w:rPr>
        <w:t>to</w:t>
      </w:r>
      <w:r>
        <w:rPr>
          <w:spacing w:val="-2"/>
          <w:sz w:val="20"/>
        </w:rPr>
        <w:t> </w:t>
      </w:r>
      <w:r>
        <w:rPr>
          <w:sz w:val="20"/>
        </w:rPr>
        <w:t>include</w:t>
      </w:r>
      <w:r>
        <w:rPr>
          <w:spacing w:val="-4"/>
          <w:sz w:val="20"/>
        </w:rPr>
        <w:t> </w:t>
      </w:r>
      <w:r>
        <w:rPr>
          <w:sz w:val="20"/>
        </w:rPr>
        <w:t>PB</w:t>
      </w:r>
      <w:r>
        <w:rPr>
          <w:spacing w:val="-3"/>
          <w:sz w:val="20"/>
        </w:rPr>
        <w:t> </w:t>
      </w:r>
      <w:r>
        <w:rPr>
          <w:sz w:val="20"/>
        </w:rPr>
        <w:t>business</w:t>
      </w:r>
      <w:r>
        <w:rPr>
          <w:spacing w:val="-3"/>
          <w:sz w:val="20"/>
        </w:rPr>
        <w:t> </w:t>
      </w:r>
      <w:r>
        <w:rPr>
          <w:sz w:val="20"/>
        </w:rPr>
        <w:t>within</w:t>
      </w:r>
      <w:r>
        <w:rPr>
          <w:spacing w:val="-2"/>
          <w:sz w:val="20"/>
        </w:rPr>
        <w:t> </w:t>
      </w:r>
      <w:r>
        <w:rPr>
          <w:sz w:val="20"/>
        </w:rPr>
        <w:t>the</w:t>
      </w:r>
      <w:r>
        <w:rPr>
          <w:spacing w:val="-4"/>
          <w:sz w:val="20"/>
        </w:rPr>
        <w:t> </w:t>
      </w:r>
      <w:r>
        <w:rPr>
          <w:sz w:val="20"/>
        </w:rPr>
        <w:t>exclusion</w:t>
      </w:r>
      <w:r>
        <w:rPr>
          <w:spacing w:val="-5"/>
          <w:sz w:val="20"/>
        </w:rPr>
        <w:t> </w:t>
      </w:r>
      <w:r>
        <w:rPr>
          <w:sz w:val="20"/>
        </w:rPr>
        <w:t>for</w:t>
      </w:r>
      <w:r>
        <w:rPr>
          <w:spacing w:val="-3"/>
          <w:sz w:val="20"/>
        </w:rPr>
        <w:t> </w:t>
      </w:r>
      <w:r>
        <w:rPr>
          <w:sz w:val="20"/>
        </w:rPr>
        <w:t>FS.</w:t>
      </w:r>
    </w:p>
    <w:p>
      <w:pPr>
        <w:pStyle w:val="ListParagraph"/>
        <w:numPr>
          <w:ilvl w:val="0"/>
          <w:numId w:val="4"/>
        </w:numPr>
        <w:tabs>
          <w:tab w:pos="1444" w:val="left" w:leader="none"/>
        </w:tabs>
        <w:spacing w:line="271" w:lineRule="auto" w:before="122" w:after="0"/>
        <w:ind w:left="723" w:right="482" w:firstLine="0"/>
        <w:jc w:val="both"/>
        <w:rPr>
          <w:sz w:val="20"/>
        </w:rPr>
      </w:pPr>
      <w:r>
        <w:rPr>
          <w:sz w:val="20"/>
        </w:rPr>
        <w:t>Consideration</w:t>
      </w:r>
      <w:r>
        <w:rPr>
          <w:spacing w:val="-8"/>
          <w:sz w:val="20"/>
        </w:rPr>
        <w:t> </w:t>
      </w:r>
      <w:r>
        <w:rPr>
          <w:sz w:val="20"/>
        </w:rPr>
        <w:t>has</w:t>
      </w:r>
      <w:r>
        <w:rPr>
          <w:spacing w:val="-7"/>
          <w:sz w:val="20"/>
        </w:rPr>
        <w:t> </w:t>
      </w:r>
      <w:r>
        <w:rPr>
          <w:sz w:val="20"/>
        </w:rPr>
        <w:t>also</w:t>
      </w:r>
      <w:r>
        <w:rPr>
          <w:spacing w:val="-8"/>
          <w:sz w:val="20"/>
        </w:rPr>
        <w:t> </w:t>
      </w:r>
      <w:r>
        <w:rPr>
          <w:sz w:val="20"/>
        </w:rPr>
        <w:t>been</w:t>
      </w:r>
      <w:r>
        <w:rPr>
          <w:spacing w:val="-7"/>
          <w:sz w:val="20"/>
        </w:rPr>
        <w:t> </w:t>
      </w:r>
      <w:r>
        <w:rPr>
          <w:sz w:val="20"/>
        </w:rPr>
        <w:t>given</w:t>
      </w:r>
      <w:r>
        <w:rPr>
          <w:spacing w:val="-8"/>
          <w:sz w:val="20"/>
        </w:rPr>
        <w:t> </w:t>
      </w:r>
      <w:r>
        <w:rPr>
          <w:sz w:val="20"/>
        </w:rPr>
        <w:t>to</w:t>
      </w:r>
      <w:r>
        <w:rPr>
          <w:spacing w:val="-5"/>
          <w:sz w:val="20"/>
        </w:rPr>
        <w:t> </w:t>
      </w:r>
      <w:r>
        <w:rPr>
          <w:sz w:val="20"/>
        </w:rPr>
        <w:t>EU</w:t>
      </w:r>
      <w:r>
        <w:rPr>
          <w:spacing w:val="-7"/>
          <w:sz w:val="20"/>
        </w:rPr>
        <w:t> </w:t>
      </w:r>
      <w:r>
        <w:rPr>
          <w:sz w:val="20"/>
        </w:rPr>
        <w:t>passporting</w:t>
      </w:r>
      <w:r>
        <w:rPr>
          <w:spacing w:val="-3"/>
          <w:sz w:val="20"/>
        </w:rPr>
        <w:t> </w:t>
      </w:r>
      <w:r>
        <w:rPr>
          <w:sz w:val="20"/>
        </w:rPr>
        <w:t>(which</w:t>
      </w:r>
      <w:r>
        <w:rPr>
          <w:spacing w:val="-7"/>
          <w:sz w:val="20"/>
        </w:rPr>
        <w:t> </w:t>
      </w:r>
      <w:r>
        <w:rPr>
          <w:sz w:val="20"/>
        </w:rPr>
        <w:t>enables</w:t>
      </w:r>
      <w:r>
        <w:rPr>
          <w:spacing w:val="-6"/>
          <w:sz w:val="20"/>
        </w:rPr>
        <w:t> </w:t>
      </w:r>
      <w:r>
        <w:rPr>
          <w:sz w:val="20"/>
        </w:rPr>
        <w:t>FS</w:t>
      </w:r>
      <w:r>
        <w:rPr>
          <w:spacing w:val="-7"/>
          <w:sz w:val="20"/>
        </w:rPr>
        <w:t> </w:t>
      </w:r>
      <w:r>
        <w:rPr>
          <w:sz w:val="20"/>
        </w:rPr>
        <w:t>firms</w:t>
      </w:r>
      <w:r>
        <w:rPr>
          <w:spacing w:val="-6"/>
          <w:sz w:val="20"/>
        </w:rPr>
        <w:t> </w:t>
      </w:r>
      <w:r>
        <w:rPr>
          <w:sz w:val="20"/>
        </w:rPr>
        <w:t>that</w:t>
      </w:r>
      <w:r>
        <w:rPr>
          <w:spacing w:val="-7"/>
          <w:sz w:val="20"/>
        </w:rPr>
        <w:t> </w:t>
      </w:r>
      <w:r>
        <w:rPr>
          <w:sz w:val="20"/>
        </w:rPr>
        <w:t>are</w:t>
      </w:r>
      <w:r>
        <w:rPr>
          <w:spacing w:val="-7"/>
          <w:sz w:val="20"/>
        </w:rPr>
        <w:t> </w:t>
      </w:r>
      <w:r>
        <w:rPr>
          <w:sz w:val="20"/>
        </w:rPr>
        <w:t>authorised in one EU member state to trade freely in other member states) to assess whether its practical</w:t>
      </w:r>
      <w:r>
        <w:rPr>
          <w:spacing w:val="34"/>
          <w:sz w:val="20"/>
        </w:rPr>
        <w:t> </w:t>
      </w:r>
      <w:r>
        <w:rPr>
          <w:sz w:val="20"/>
        </w:rPr>
        <w:t>operation</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might be in conflict with the central policy rationale supporting the exclusion for FS business. However, due</w:t>
      </w:r>
      <w:r>
        <w:rPr>
          <w:spacing w:val="-6"/>
        </w:rPr>
        <w:t> </w:t>
      </w:r>
      <w:r>
        <w:rPr/>
        <w:t>to</w:t>
      </w:r>
      <w:r>
        <w:rPr>
          <w:spacing w:val="-4"/>
        </w:rPr>
        <w:t> </w:t>
      </w:r>
      <w:r>
        <w:rPr/>
        <w:t>various</w:t>
      </w:r>
      <w:r>
        <w:rPr>
          <w:spacing w:val="-4"/>
        </w:rPr>
        <w:t> </w:t>
      </w:r>
      <w:r>
        <w:rPr/>
        <w:t>regulatory</w:t>
      </w:r>
      <w:r>
        <w:rPr>
          <w:spacing w:val="-7"/>
        </w:rPr>
        <w:t> </w:t>
      </w:r>
      <w:r>
        <w:rPr/>
        <w:t>and</w:t>
      </w:r>
      <w:r>
        <w:rPr>
          <w:spacing w:val="-5"/>
        </w:rPr>
        <w:t> </w:t>
      </w:r>
      <w:r>
        <w:rPr/>
        <w:t>commercial</w:t>
      </w:r>
      <w:r>
        <w:rPr>
          <w:spacing w:val="-4"/>
        </w:rPr>
        <w:t> </w:t>
      </w:r>
      <w:r>
        <w:rPr/>
        <w:t>factors,</w:t>
      </w:r>
      <w:r>
        <w:rPr>
          <w:spacing w:val="-3"/>
        </w:rPr>
        <w:t> </w:t>
      </w:r>
      <w:r>
        <w:rPr/>
        <w:t>FS</w:t>
      </w:r>
      <w:r>
        <w:rPr>
          <w:spacing w:val="-6"/>
        </w:rPr>
        <w:t> </w:t>
      </w:r>
      <w:r>
        <w:rPr/>
        <w:t>businesses</w:t>
      </w:r>
      <w:r>
        <w:rPr>
          <w:spacing w:val="-2"/>
        </w:rPr>
        <w:t> </w:t>
      </w:r>
      <w:r>
        <w:rPr/>
        <w:t>generally</w:t>
      </w:r>
      <w:r>
        <w:rPr>
          <w:spacing w:val="-8"/>
        </w:rPr>
        <w:t> </w:t>
      </w:r>
      <w:r>
        <w:rPr/>
        <w:t>enter</w:t>
      </w:r>
      <w:r>
        <w:rPr>
          <w:spacing w:val="-1"/>
        </w:rPr>
        <w:t> </w:t>
      </w:r>
      <w:r>
        <w:rPr/>
        <w:t>into</w:t>
      </w:r>
      <w:r>
        <w:rPr>
          <w:spacing w:val="-1"/>
        </w:rPr>
        <w:t> </w:t>
      </w:r>
      <w:r>
        <w:rPr/>
        <w:t>CFB</w:t>
      </w:r>
      <w:r>
        <w:rPr>
          <w:spacing w:val="-4"/>
        </w:rPr>
        <w:t> </w:t>
      </w:r>
      <w:r>
        <w:rPr/>
        <w:t>transactions</w:t>
      </w:r>
      <w:r>
        <w:rPr>
          <w:spacing w:val="-4"/>
        </w:rPr>
        <w:t> </w:t>
      </w:r>
      <w:r>
        <w:rPr/>
        <w:t>in local markets through entities that create a physical presence in those markets and thus that are taxed locally</w:t>
      </w:r>
      <w:r>
        <w:rPr>
          <w:spacing w:val="-15"/>
        </w:rPr>
        <w:t> </w:t>
      </w:r>
      <w:r>
        <w:rPr/>
        <w:t>on</w:t>
      </w:r>
      <w:r>
        <w:rPr>
          <w:spacing w:val="-10"/>
        </w:rPr>
        <w:t> </w:t>
      </w:r>
      <w:r>
        <w:rPr/>
        <w:t>those</w:t>
      </w:r>
      <w:r>
        <w:rPr>
          <w:spacing w:val="-9"/>
        </w:rPr>
        <w:t> </w:t>
      </w:r>
      <w:r>
        <w:rPr/>
        <w:t>profits.</w:t>
      </w:r>
      <w:r>
        <w:rPr>
          <w:spacing w:val="-10"/>
        </w:rPr>
        <w:t> </w:t>
      </w:r>
      <w:r>
        <w:rPr/>
        <w:t>Banks</w:t>
      </w:r>
      <w:r>
        <w:rPr>
          <w:spacing w:val="-10"/>
        </w:rPr>
        <w:t> </w:t>
      </w:r>
      <w:r>
        <w:rPr/>
        <w:t>operating</w:t>
      </w:r>
      <w:r>
        <w:rPr>
          <w:spacing w:val="-9"/>
        </w:rPr>
        <w:t> </w:t>
      </w:r>
      <w:r>
        <w:rPr/>
        <w:t>in</w:t>
      </w:r>
      <w:r>
        <w:rPr>
          <w:spacing w:val="-11"/>
        </w:rPr>
        <w:t> </w:t>
      </w:r>
      <w:r>
        <w:rPr/>
        <w:t>the</w:t>
      </w:r>
      <w:r>
        <w:rPr>
          <w:spacing w:val="-6"/>
        </w:rPr>
        <w:t> </w:t>
      </w:r>
      <w:r>
        <w:rPr/>
        <w:t>EU</w:t>
      </w:r>
      <w:r>
        <w:rPr>
          <w:spacing w:val="-11"/>
        </w:rPr>
        <w:t> </w:t>
      </w:r>
      <w:r>
        <w:rPr/>
        <w:t>thus</w:t>
      </w:r>
      <w:r>
        <w:rPr>
          <w:spacing w:val="-8"/>
        </w:rPr>
        <w:t> </w:t>
      </w:r>
      <w:r>
        <w:rPr/>
        <w:t>do</w:t>
      </w:r>
      <w:r>
        <w:rPr>
          <w:spacing w:val="-12"/>
        </w:rPr>
        <w:t> </w:t>
      </w:r>
      <w:r>
        <w:rPr/>
        <w:t>in</w:t>
      </w:r>
      <w:r>
        <w:rPr>
          <w:spacing w:val="-11"/>
        </w:rPr>
        <w:t> </w:t>
      </w:r>
      <w:r>
        <w:rPr/>
        <w:t>practice</w:t>
      </w:r>
      <w:r>
        <w:rPr>
          <w:spacing w:val="-12"/>
        </w:rPr>
        <w:t> </w:t>
      </w:r>
      <w:r>
        <w:rPr/>
        <w:t>have</w:t>
      </w:r>
      <w:r>
        <w:rPr>
          <w:spacing w:val="-12"/>
        </w:rPr>
        <w:t> </w:t>
      </w:r>
      <w:r>
        <w:rPr/>
        <w:t>a</w:t>
      </w:r>
      <w:r>
        <w:rPr>
          <w:spacing w:val="-11"/>
        </w:rPr>
        <w:t> </w:t>
      </w:r>
      <w:r>
        <w:rPr/>
        <w:t>taxable</w:t>
      </w:r>
      <w:r>
        <w:rPr>
          <w:spacing w:val="-12"/>
        </w:rPr>
        <w:t> </w:t>
      </w:r>
      <w:r>
        <w:rPr/>
        <w:t>presence</w:t>
      </w:r>
      <w:r>
        <w:rPr>
          <w:spacing w:val="-9"/>
        </w:rPr>
        <w:t> </w:t>
      </w:r>
      <w:r>
        <w:rPr/>
        <w:t>in</w:t>
      </w:r>
      <w:r>
        <w:rPr>
          <w:spacing w:val="-8"/>
        </w:rPr>
        <w:t> </w:t>
      </w:r>
      <w:r>
        <w:rPr/>
        <w:t>individual EU Member States for the provision of customer-facing activities. It is therefore considered that the existence of EU passporting does not conflict with the policy rationale discussed</w:t>
      </w:r>
      <w:r>
        <w:rPr>
          <w:spacing w:val="-22"/>
        </w:rPr>
        <w:t> </w:t>
      </w:r>
      <w:r>
        <w:rPr/>
        <w:t>above.</w:t>
      </w:r>
    </w:p>
    <w:p>
      <w:pPr>
        <w:pStyle w:val="BodyText"/>
        <w:spacing w:before="3"/>
      </w:pPr>
    </w:p>
    <w:p>
      <w:pPr>
        <w:pStyle w:val="Heading8"/>
        <w:spacing w:before="1"/>
      </w:pPr>
      <w:bookmarkStart w:name="Insurance Business" w:id="63"/>
      <w:bookmarkEnd w:id="63"/>
      <w:r>
        <w:rPr>
          <w:b w:val="0"/>
        </w:rPr>
      </w:r>
      <w:r>
        <w:rPr/>
        <w:t>Insurance Business</w:t>
      </w:r>
    </w:p>
    <w:p>
      <w:pPr>
        <w:pStyle w:val="BodyText"/>
        <w:spacing w:before="9"/>
        <w:rPr>
          <w:b/>
          <w:sz w:val="18"/>
        </w:rPr>
      </w:pPr>
    </w:p>
    <w:p>
      <w:pPr>
        <w:pStyle w:val="ListParagraph"/>
        <w:numPr>
          <w:ilvl w:val="0"/>
          <w:numId w:val="4"/>
        </w:numPr>
        <w:tabs>
          <w:tab w:pos="1444" w:val="left" w:leader="none"/>
        </w:tabs>
        <w:spacing w:line="271" w:lineRule="auto" w:before="0" w:after="0"/>
        <w:ind w:left="723" w:right="483" w:firstLine="0"/>
        <w:jc w:val="both"/>
        <w:rPr>
          <w:sz w:val="20"/>
        </w:rPr>
      </w:pPr>
      <w:r>
        <w:rPr>
          <w:sz w:val="20"/>
        </w:rPr>
        <w:t>The</w:t>
      </w:r>
      <w:r>
        <w:rPr>
          <w:spacing w:val="-19"/>
          <w:sz w:val="20"/>
        </w:rPr>
        <w:t> </w:t>
      </w:r>
      <w:r>
        <w:rPr>
          <w:sz w:val="20"/>
        </w:rPr>
        <w:t>analysis</w:t>
      </w:r>
      <w:r>
        <w:rPr>
          <w:spacing w:val="-14"/>
          <w:sz w:val="20"/>
        </w:rPr>
        <w:t> </w:t>
      </w:r>
      <w:r>
        <w:rPr>
          <w:sz w:val="20"/>
        </w:rPr>
        <w:t>of</w:t>
      </w:r>
      <w:r>
        <w:rPr>
          <w:spacing w:val="-16"/>
          <w:sz w:val="20"/>
        </w:rPr>
        <w:t> </w:t>
      </w:r>
      <w:r>
        <w:rPr>
          <w:sz w:val="20"/>
        </w:rPr>
        <w:t>CFB</w:t>
      </w:r>
      <w:r>
        <w:rPr>
          <w:spacing w:val="-16"/>
          <w:sz w:val="20"/>
        </w:rPr>
        <w:t> </w:t>
      </w:r>
      <w:r>
        <w:rPr>
          <w:sz w:val="20"/>
        </w:rPr>
        <w:t>in</w:t>
      </w:r>
      <w:r>
        <w:rPr>
          <w:spacing w:val="-16"/>
          <w:sz w:val="20"/>
        </w:rPr>
        <w:t> </w:t>
      </w:r>
      <w:r>
        <w:rPr>
          <w:sz w:val="20"/>
        </w:rPr>
        <w:t>the</w:t>
      </w:r>
      <w:r>
        <w:rPr>
          <w:spacing w:val="-18"/>
          <w:sz w:val="20"/>
        </w:rPr>
        <w:t> </w:t>
      </w:r>
      <w:r>
        <w:rPr>
          <w:sz w:val="20"/>
        </w:rPr>
        <w:t>context</w:t>
      </w:r>
      <w:r>
        <w:rPr>
          <w:spacing w:val="-15"/>
          <w:sz w:val="20"/>
        </w:rPr>
        <w:t> </w:t>
      </w:r>
      <w:r>
        <w:rPr>
          <w:sz w:val="20"/>
        </w:rPr>
        <w:t>of</w:t>
      </w:r>
      <w:r>
        <w:rPr>
          <w:spacing w:val="-16"/>
          <w:sz w:val="20"/>
        </w:rPr>
        <w:t> </w:t>
      </w:r>
      <w:r>
        <w:rPr>
          <w:sz w:val="20"/>
        </w:rPr>
        <w:t>the</w:t>
      </w:r>
      <w:r>
        <w:rPr>
          <w:spacing w:val="-16"/>
          <w:sz w:val="20"/>
        </w:rPr>
        <w:t> </w:t>
      </w:r>
      <w:r>
        <w:rPr>
          <w:sz w:val="20"/>
        </w:rPr>
        <w:t>insurance</w:t>
      </w:r>
      <w:r>
        <w:rPr>
          <w:spacing w:val="-18"/>
          <w:sz w:val="20"/>
        </w:rPr>
        <w:t> </w:t>
      </w:r>
      <w:r>
        <w:rPr>
          <w:sz w:val="20"/>
        </w:rPr>
        <w:t>sector</w:t>
      </w:r>
      <w:r>
        <w:rPr>
          <w:spacing w:val="-18"/>
          <w:sz w:val="20"/>
        </w:rPr>
        <w:t> </w:t>
      </w:r>
      <w:r>
        <w:rPr>
          <w:sz w:val="20"/>
        </w:rPr>
        <w:t>is</w:t>
      </w:r>
      <w:r>
        <w:rPr>
          <w:spacing w:val="-16"/>
          <w:sz w:val="20"/>
        </w:rPr>
        <w:t> </w:t>
      </w:r>
      <w:r>
        <w:rPr>
          <w:sz w:val="20"/>
        </w:rPr>
        <w:t>similar</w:t>
      </w:r>
      <w:r>
        <w:rPr>
          <w:spacing w:val="-14"/>
          <w:sz w:val="20"/>
        </w:rPr>
        <w:t> </w:t>
      </w:r>
      <w:r>
        <w:rPr>
          <w:sz w:val="20"/>
        </w:rPr>
        <w:t>in</w:t>
      </w:r>
      <w:r>
        <w:rPr>
          <w:spacing w:val="-15"/>
          <w:sz w:val="20"/>
        </w:rPr>
        <w:t> </w:t>
      </w:r>
      <w:r>
        <w:rPr>
          <w:sz w:val="20"/>
        </w:rPr>
        <w:t>many</w:t>
      </w:r>
      <w:r>
        <w:rPr>
          <w:spacing w:val="-21"/>
          <w:sz w:val="20"/>
        </w:rPr>
        <w:t> </w:t>
      </w:r>
      <w:r>
        <w:rPr>
          <w:sz w:val="20"/>
        </w:rPr>
        <w:t>respects</w:t>
      </w:r>
      <w:r>
        <w:rPr>
          <w:spacing w:val="-16"/>
          <w:sz w:val="20"/>
        </w:rPr>
        <w:t> </w:t>
      </w:r>
      <w:r>
        <w:rPr>
          <w:sz w:val="20"/>
        </w:rPr>
        <w:t>to</w:t>
      </w:r>
      <w:r>
        <w:rPr>
          <w:spacing w:val="-18"/>
          <w:sz w:val="20"/>
        </w:rPr>
        <w:t> </w:t>
      </w:r>
      <w:r>
        <w:rPr>
          <w:sz w:val="20"/>
        </w:rPr>
        <w:t>the</w:t>
      </w:r>
      <w:r>
        <w:rPr>
          <w:spacing w:val="-16"/>
          <w:sz w:val="20"/>
        </w:rPr>
        <w:t> </w:t>
      </w:r>
      <w:r>
        <w:rPr>
          <w:sz w:val="20"/>
        </w:rPr>
        <w:t>position in the banking sector. In the insurance sector, there is, as in the banking sector, extensive regulation of consumer-facing business (retail insurance business) leading to the same effect, namely that the profits from CFB activities that arise in a particular market jurisdiction will generally be taxed in that market location, again with the result that there is no further need for any Amount A re-allocation. Regulation of the industry – especially conduct regulation – makes it very unlikely that consumers could purchase insurance without the insurer having a local presence. In many jurisdictions it is illegal to offer it. The regulatory</w:t>
      </w:r>
      <w:r>
        <w:rPr>
          <w:spacing w:val="-18"/>
          <w:sz w:val="20"/>
        </w:rPr>
        <w:t> </w:t>
      </w:r>
      <w:r>
        <w:rPr>
          <w:sz w:val="20"/>
        </w:rPr>
        <w:t>requirements</w:t>
      </w:r>
      <w:r>
        <w:rPr>
          <w:spacing w:val="-13"/>
          <w:sz w:val="20"/>
        </w:rPr>
        <w:t> </w:t>
      </w:r>
      <w:r>
        <w:rPr>
          <w:sz w:val="20"/>
        </w:rPr>
        <w:t>therefore</w:t>
      </w:r>
      <w:r>
        <w:rPr>
          <w:spacing w:val="-17"/>
          <w:sz w:val="20"/>
        </w:rPr>
        <w:t> </w:t>
      </w:r>
      <w:r>
        <w:rPr>
          <w:sz w:val="20"/>
        </w:rPr>
        <w:t>mean</w:t>
      </w:r>
      <w:r>
        <w:rPr>
          <w:spacing w:val="-14"/>
          <w:sz w:val="20"/>
        </w:rPr>
        <w:t> </w:t>
      </w:r>
      <w:r>
        <w:rPr>
          <w:sz w:val="20"/>
        </w:rPr>
        <w:t>that</w:t>
      </w:r>
      <w:r>
        <w:rPr>
          <w:spacing w:val="-13"/>
          <w:sz w:val="20"/>
        </w:rPr>
        <w:t> </w:t>
      </w:r>
      <w:r>
        <w:rPr>
          <w:sz w:val="20"/>
        </w:rPr>
        <w:t>income</w:t>
      </w:r>
      <w:r>
        <w:rPr>
          <w:spacing w:val="-14"/>
          <w:sz w:val="20"/>
        </w:rPr>
        <w:t> </w:t>
      </w:r>
      <w:r>
        <w:rPr>
          <w:sz w:val="20"/>
        </w:rPr>
        <w:t>from</w:t>
      </w:r>
      <w:r>
        <w:rPr>
          <w:spacing w:val="-10"/>
          <w:sz w:val="20"/>
        </w:rPr>
        <w:t> </w:t>
      </w:r>
      <w:r>
        <w:rPr>
          <w:sz w:val="20"/>
        </w:rPr>
        <w:t>retail</w:t>
      </w:r>
      <w:r>
        <w:rPr>
          <w:spacing w:val="-15"/>
          <w:sz w:val="20"/>
        </w:rPr>
        <w:t> </w:t>
      </w:r>
      <w:r>
        <w:rPr>
          <w:sz w:val="20"/>
        </w:rPr>
        <w:t>insurance</w:t>
      </w:r>
      <w:r>
        <w:rPr>
          <w:spacing w:val="-12"/>
          <w:sz w:val="20"/>
        </w:rPr>
        <w:t> </w:t>
      </w:r>
      <w:r>
        <w:rPr>
          <w:sz w:val="20"/>
        </w:rPr>
        <w:t>business</w:t>
      </w:r>
      <w:r>
        <w:rPr>
          <w:spacing w:val="-11"/>
          <w:sz w:val="20"/>
        </w:rPr>
        <w:t> </w:t>
      </w:r>
      <w:r>
        <w:rPr>
          <w:sz w:val="20"/>
        </w:rPr>
        <w:t>is</w:t>
      </w:r>
      <w:r>
        <w:rPr>
          <w:spacing w:val="-13"/>
          <w:sz w:val="20"/>
        </w:rPr>
        <w:t> </w:t>
      </w:r>
      <w:r>
        <w:rPr>
          <w:sz w:val="20"/>
        </w:rPr>
        <w:t>generated</w:t>
      </w:r>
      <w:r>
        <w:rPr>
          <w:spacing w:val="-12"/>
          <w:sz w:val="20"/>
        </w:rPr>
        <w:t> </w:t>
      </w:r>
      <w:r>
        <w:rPr>
          <w:sz w:val="20"/>
        </w:rPr>
        <w:t>and</w:t>
      </w:r>
      <w:r>
        <w:rPr>
          <w:spacing w:val="-13"/>
          <w:sz w:val="20"/>
        </w:rPr>
        <w:t> </w:t>
      </w:r>
      <w:r>
        <w:rPr>
          <w:sz w:val="20"/>
        </w:rPr>
        <w:t>taxed in the market jurisdiction from which it is derived. The prevalence of insurance regulation, dating back decades,</w:t>
      </w:r>
      <w:r>
        <w:rPr>
          <w:spacing w:val="-7"/>
          <w:sz w:val="20"/>
        </w:rPr>
        <w:t> </w:t>
      </w:r>
      <w:r>
        <w:rPr>
          <w:sz w:val="20"/>
        </w:rPr>
        <w:t>is</w:t>
      </w:r>
      <w:r>
        <w:rPr>
          <w:spacing w:val="-7"/>
          <w:sz w:val="20"/>
        </w:rPr>
        <w:t> </w:t>
      </w:r>
      <w:r>
        <w:rPr>
          <w:sz w:val="20"/>
        </w:rPr>
        <w:t>evidenced</w:t>
      </w:r>
      <w:r>
        <w:rPr>
          <w:spacing w:val="-7"/>
          <w:sz w:val="20"/>
        </w:rPr>
        <w:t> </w:t>
      </w:r>
      <w:r>
        <w:rPr>
          <w:sz w:val="20"/>
        </w:rPr>
        <w:t>in</w:t>
      </w:r>
      <w:r>
        <w:rPr>
          <w:spacing w:val="-8"/>
          <w:sz w:val="20"/>
        </w:rPr>
        <w:t> </w:t>
      </w:r>
      <w:r>
        <w:rPr>
          <w:sz w:val="20"/>
        </w:rPr>
        <w:t>studies</w:t>
      </w:r>
      <w:r>
        <w:rPr>
          <w:spacing w:val="-8"/>
          <w:sz w:val="20"/>
        </w:rPr>
        <w:t> </w:t>
      </w:r>
      <w:r>
        <w:rPr>
          <w:sz w:val="20"/>
        </w:rPr>
        <w:t>and</w:t>
      </w:r>
      <w:r>
        <w:rPr>
          <w:spacing w:val="-9"/>
          <w:sz w:val="20"/>
        </w:rPr>
        <w:t> </w:t>
      </w:r>
      <w:r>
        <w:rPr>
          <w:sz w:val="20"/>
        </w:rPr>
        <w:t>surveys</w:t>
      </w:r>
      <w:r>
        <w:rPr>
          <w:spacing w:val="-5"/>
          <w:sz w:val="20"/>
        </w:rPr>
        <w:t> </w:t>
      </w:r>
      <w:r>
        <w:rPr>
          <w:sz w:val="20"/>
        </w:rPr>
        <w:t>of</w:t>
      </w:r>
      <w:r>
        <w:rPr>
          <w:spacing w:val="-7"/>
          <w:sz w:val="20"/>
        </w:rPr>
        <w:t> </w:t>
      </w:r>
      <w:r>
        <w:rPr>
          <w:sz w:val="20"/>
        </w:rPr>
        <w:t>regulation</w:t>
      </w:r>
      <w:r>
        <w:rPr>
          <w:spacing w:val="-7"/>
          <w:sz w:val="20"/>
        </w:rPr>
        <w:t> </w:t>
      </w:r>
      <w:r>
        <w:rPr>
          <w:spacing w:val="2"/>
          <w:sz w:val="20"/>
        </w:rPr>
        <w:t>of</w:t>
      </w:r>
      <w:r>
        <w:rPr>
          <w:spacing w:val="-6"/>
          <w:sz w:val="20"/>
        </w:rPr>
        <w:t> </w:t>
      </w:r>
      <w:r>
        <w:rPr>
          <w:sz w:val="20"/>
        </w:rPr>
        <w:t>insurance</w:t>
      </w:r>
      <w:r>
        <w:rPr>
          <w:spacing w:val="-9"/>
          <w:sz w:val="20"/>
        </w:rPr>
        <w:t> </w:t>
      </w:r>
      <w:r>
        <w:rPr>
          <w:sz w:val="20"/>
        </w:rPr>
        <w:t>regulation</w:t>
      </w:r>
      <w:r>
        <w:rPr>
          <w:spacing w:val="-7"/>
          <w:sz w:val="20"/>
        </w:rPr>
        <w:t> </w:t>
      </w:r>
      <w:r>
        <w:rPr>
          <w:sz w:val="20"/>
        </w:rPr>
        <w:t>in</w:t>
      </w:r>
      <w:r>
        <w:rPr>
          <w:spacing w:val="-9"/>
          <w:sz w:val="20"/>
        </w:rPr>
        <w:t> </w:t>
      </w:r>
      <w:r>
        <w:rPr>
          <w:sz w:val="20"/>
        </w:rPr>
        <w:t>different</w:t>
      </w:r>
      <w:r>
        <w:rPr>
          <w:spacing w:val="-5"/>
          <w:sz w:val="20"/>
        </w:rPr>
        <w:t> </w:t>
      </w:r>
      <w:r>
        <w:rPr>
          <w:sz w:val="20"/>
        </w:rPr>
        <w:t>jurisdictions and</w:t>
      </w:r>
      <w:r>
        <w:rPr>
          <w:spacing w:val="-7"/>
          <w:sz w:val="20"/>
        </w:rPr>
        <w:t> </w:t>
      </w:r>
      <w:r>
        <w:rPr>
          <w:sz w:val="20"/>
        </w:rPr>
        <w:t>regions</w:t>
      </w:r>
      <w:r>
        <w:rPr>
          <w:spacing w:val="-6"/>
          <w:sz w:val="20"/>
        </w:rPr>
        <w:t> </w:t>
      </w:r>
      <w:r>
        <w:rPr>
          <w:sz w:val="20"/>
        </w:rPr>
        <w:t>published</w:t>
      </w:r>
      <w:r>
        <w:rPr>
          <w:spacing w:val="-6"/>
          <w:sz w:val="20"/>
        </w:rPr>
        <w:t> </w:t>
      </w:r>
      <w:r>
        <w:rPr>
          <w:sz w:val="20"/>
        </w:rPr>
        <w:t>by</w:t>
      </w:r>
      <w:r>
        <w:rPr>
          <w:spacing w:val="-9"/>
          <w:sz w:val="20"/>
        </w:rPr>
        <w:t> </w:t>
      </w:r>
      <w:r>
        <w:rPr>
          <w:sz w:val="20"/>
        </w:rPr>
        <w:t>the</w:t>
      </w:r>
      <w:r>
        <w:rPr>
          <w:spacing w:val="-7"/>
          <w:sz w:val="20"/>
        </w:rPr>
        <w:t> </w:t>
      </w:r>
      <w:r>
        <w:rPr>
          <w:sz w:val="20"/>
        </w:rPr>
        <w:t>OECD</w:t>
      </w:r>
      <w:r>
        <w:rPr>
          <w:spacing w:val="-6"/>
          <w:sz w:val="20"/>
        </w:rPr>
        <w:t> </w:t>
      </w:r>
      <w:r>
        <w:rPr>
          <w:sz w:val="20"/>
        </w:rPr>
        <w:t>and</w:t>
      </w:r>
      <w:r>
        <w:rPr>
          <w:spacing w:val="-6"/>
          <w:sz w:val="20"/>
        </w:rPr>
        <w:t> </w:t>
      </w:r>
      <w:r>
        <w:rPr>
          <w:sz w:val="20"/>
        </w:rPr>
        <w:t>other</w:t>
      </w:r>
      <w:r>
        <w:rPr>
          <w:spacing w:val="-6"/>
          <w:sz w:val="20"/>
        </w:rPr>
        <w:t> </w:t>
      </w:r>
      <w:r>
        <w:rPr>
          <w:sz w:val="20"/>
        </w:rPr>
        <w:t>organisations</w:t>
      </w:r>
      <w:r>
        <w:rPr>
          <w:position w:val="6"/>
          <w:sz w:val="10"/>
        </w:rPr>
        <w:t>31</w:t>
      </w:r>
      <w:r>
        <w:rPr>
          <w:sz w:val="20"/>
        </w:rPr>
        <w:t>.</w:t>
      </w:r>
      <w:r>
        <w:rPr>
          <w:spacing w:val="-5"/>
          <w:sz w:val="20"/>
        </w:rPr>
        <w:t> </w:t>
      </w:r>
      <w:r>
        <w:rPr>
          <w:sz w:val="20"/>
        </w:rPr>
        <w:t>Since</w:t>
      </w:r>
      <w:r>
        <w:rPr>
          <w:spacing w:val="-7"/>
          <w:sz w:val="20"/>
        </w:rPr>
        <w:t> </w:t>
      </w:r>
      <w:r>
        <w:rPr>
          <w:sz w:val="20"/>
        </w:rPr>
        <w:t>the</w:t>
      </w:r>
      <w:r>
        <w:rPr>
          <w:spacing w:val="-3"/>
          <w:sz w:val="20"/>
        </w:rPr>
        <w:t> </w:t>
      </w:r>
      <w:r>
        <w:rPr>
          <w:sz w:val="20"/>
        </w:rPr>
        <w:t>1990s,</w:t>
      </w:r>
      <w:r>
        <w:rPr>
          <w:spacing w:val="-6"/>
          <w:sz w:val="20"/>
        </w:rPr>
        <w:t> </w:t>
      </w:r>
      <w:r>
        <w:rPr>
          <w:sz w:val="20"/>
        </w:rPr>
        <w:t>in</w:t>
      </w:r>
      <w:r>
        <w:rPr>
          <w:spacing w:val="-7"/>
          <w:sz w:val="20"/>
        </w:rPr>
        <w:t> </w:t>
      </w:r>
      <w:r>
        <w:rPr>
          <w:sz w:val="20"/>
        </w:rPr>
        <w:t>a</w:t>
      </w:r>
      <w:r>
        <w:rPr>
          <w:spacing w:val="-3"/>
          <w:sz w:val="20"/>
        </w:rPr>
        <w:t> </w:t>
      </w:r>
      <w:r>
        <w:rPr>
          <w:sz w:val="20"/>
        </w:rPr>
        <w:t>similar</w:t>
      </w:r>
      <w:r>
        <w:rPr>
          <w:spacing w:val="-8"/>
          <w:sz w:val="20"/>
        </w:rPr>
        <w:t> </w:t>
      </w:r>
      <w:r>
        <w:rPr>
          <w:sz w:val="20"/>
        </w:rPr>
        <w:t>manner</w:t>
      </w:r>
      <w:r>
        <w:rPr>
          <w:spacing w:val="-5"/>
          <w:sz w:val="20"/>
        </w:rPr>
        <w:t> </w:t>
      </w:r>
      <w:r>
        <w:rPr>
          <w:sz w:val="20"/>
        </w:rPr>
        <w:t>to</w:t>
      </w:r>
      <w:r>
        <w:rPr>
          <w:spacing w:val="-7"/>
          <w:sz w:val="20"/>
        </w:rPr>
        <w:t> </w:t>
      </w:r>
      <w:r>
        <w:rPr>
          <w:sz w:val="20"/>
        </w:rPr>
        <w:t>the Basel Committee in banking, insurance supervisors have developed global standards for adoption into national frameworks. Despite global recognition of the importance of regulating the insurance sector, regulation continues to be executed primarily within the local jurisdictions. For example, jurisdictions do not,</w:t>
      </w:r>
      <w:r>
        <w:rPr>
          <w:spacing w:val="-7"/>
          <w:sz w:val="20"/>
        </w:rPr>
        <w:t> </w:t>
      </w:r>
      <w:r>
        <w:rPr>
          <w:sz w:val="20"/>
        </w:rPr>
        <w:t>generally,</w:t>
      </w:r>
      <w:r>
        <w:rPr>
          <w:spacing w:val="-9"/>
          <w:sz w:val="20"/>
        </w:rPr>
        <w:t> </w:t>
      </w:r>
      <w:r>
        <w:rPr>
          <w:sz w:val="20"/>
        </w:rPr>
        <w:t>recognise</w:t>
      </w:r>
      <w:r>
        <w:rPr>
          <w:spacing w:val="-7"/>
          <w:sz w:val="20"/>
        </w:rPr>
        <w:t> </w:t>
      </w:r>
      <w:r>
        <w:rPr>
          <w:sz w:val="20"/>
        </w:rPr>
        <w:t>licensing</w:t>
      </w:r>
      <w:r>
        <w:rPr>
          <w:spacing w:val="-9"/>
          <w:sz w:val="20"/>
        </w:rPr>
        <w:t> </w:t>
      </w:r>
      <w:r>
        <w:rPr>
          <w:sz w:val="20"/>
        </w:rPr>
        <w:t>outside</w:t>
      </w:r>
      <w:r>
        <w:rPr>
          <w:spacing w:val="-8"/>
          <w:sz w:val="20"/>
        </w:rPr>
        <w:t> </w:t>
      </w:r>
      <w:r>
        <w:rPr>
          <w:sz w:val="20"/>
        </w:rPr>
        <w:t>their</w:t>
      </w:r>
      <w:r>
        <w:rPr>
          <w:spacing w:val="-8"/>
          <w:sz w:val="20"/>
        </w:rPr>
        <w:t> </w:t>
      </w:r>
      <w:r>
        <w:rPr>
          <w:sz w:val="20"/>
        </w:rPr>
        <w:t>own</w:t>
      </w:r>
      <w:r>
        <w:rPr>
          <w:spacing w:val="-9"/>
          <w:sz w:val="20"/>
        </w:rPr>
        <w:t> </w:t>
      </w:r>
      <w:r>
        <w:rPr>
          <w:sz w:val="20"/>
        </w:rPr>
        <w:t>borders,</w:t>
      </w:r>
      <w:r>
        <w:rPr>
          <w:spacing w:val="-9"/>
          <w:sz w:val="20"/>
        </w:rPr>
        <w:t> </w:t>
      </w:r>
      <w:r>
        <w:rPr>
          <w:sz w:val="20"/>
        </w:rPr>
        <w:t>and</w:t>
      </w:r>
      <w:r>
        <w:rPr>
          <w:spacing w:val="-8"/>
          <w:sz w:val="20"/>
        </w:rPr>
        <w:t> </w:t>
      </w:r>
      <w:r>
        <w:rPr>
          <w:sz w:val="20"/>
        </w:rPr>
        <w:t>particularly</w:t>
      </w:r>
      <w:r>
        <w:rPr>
          <w:spacing w:val="-10"/>
          <w:sz w:val="20"/>
        </w:rPr>
        <w:t> </w:t>
      </w:r>
      <w:r>
        <w:rPr>
          <w:sz w:val="20"/>
        </w:rPr>
        <w:t>in</w:t>
      </w:r>
      <w:r>
        <w:rPr>
          <w:spacing w:val="-7"/>
          <w:sz w:val="20"/>
        </w:rPr>
        <w:t> </w:t>
      </w:r>
      <w:r>
        <w:rPr>
          <w:sz w:val="20"/>
        </w:rPr>
        <w:t>matters</w:t>
      </w:r>
      <w:r>
        <w:rPr>
          <w:spacing w:val="-8"/>
          <w:sz w:val="20"/>
        </w:rPr>
        <w:t> </w:t>
      </w:r>
      <w:r>
        <w:rPr>
          <w:sz w:val="20"/>
        </w:rPr>
        <w:t>such</w:t>
      </w:r>
      <w:r>
        <w:rPr>
          <w:spacing w:val="-8"/>
          <w:sz w:val="20"/>
        </w:rPr>
        <w:t> </w:t>
      </w:r>
      <w:r>
        <w:rPr>
          <w:sz w:val="20"/>
        </w:rPr>
        <w:t>as</w:t>
      </w:r>
      <w:r>
        <w:rPr>
          <w:spacing w:val="-6"/>
          <w:sz w:val="20"/>
        </w:rPr>
        <w:t> </w:t>
      </w:r>
      <w:r>
        <w:rPr>
          <w:sz w:val="20"/>
        </w:rPr>
        <w:t>access</w:t>
      </w:r>
      <w:r>
        <w:rPr>
          <w:spacing w:val="-8"/>
          <w:sz w:val="20"/>
        </w:rPr>
        <w:t> </w:t>
      </w:r>
      <w:r>
        <w:rPr>
          <w:sz w:val="20"/>
        </w:rPr>
        <w:t>to domestic markets. Insurance companies operating in Latin America, India and China, for example, are subject to both prudential and conduct</w:t>
      </w:r>
      <w:r>
        <w:rPr>
          <w:spacing w:val="-7"/>
          <w:sz w:val="20"/>
        </w:rPr>
        <w:t> </w:t>
      </w:r>
      <w:r>
        <w:rPr>
          <w:sz w:val="20"/>
        </w:rPr>
        <w:t>regulation.</w:t>
      </w:r>
    </w:p>
    <w:p>
      <w:pPr>
        <w:pStyle w:val="ListParagraph"/>
        <w:numPr>
          <w:ilvl w:val="0"/>
          <w:numId w:val="4"/>
        </w:numPr>
        <w:tabs>
          <w:tab w:pos="1444" w:val="left" w:leader="none"/>
        </w:tabs>
        <w:spacing w:line="271" w:lineRule="auto" w:before="123" w:after="0"/>
        <w:ind w:left="723" w:right="481" w:firstLine="0"/>
        <w:jc w:val="both"/>
        <w:rPr>
          <w:sz w:val="20"/>
        </w:rPr>
      </w:pPr>
      <w:r>
        <w:rPr>
          <w:sz w:val="20"/>
        </w:rPr>
        <w:t>The “positive” and “negative” factors that stem from the highly regulated nature of the business (and</w:t>
      </w:r>
      <w:r>
        <w:rPr>
          <w:spacing w:val="-17"/>
          <w:sz w:val="20"/>
        </w:rPr>
        <w:t> </w:t>
      </w:r>
      <w:r>
        <w:rPr>
          <w:sz w:val="20"/>
        </w:rPr>
        <w:t>that</w:t>
      </w:r>
      <w:r>
        <w:rPr>
          <w:spacing w:val="-16"/>
          <w:sz w:val="20"/>
        </w:rPr>
        <w:t> </w:t>
      </w:r>
      <w:r>
        <w:rPr>
          <w:sz w:val="20"/>
        </w:rPr>
        <w:t>are</w:t>
      </w:r>
      <w:r>
        <w:rPr>
          <w:spacing w:val="-13"/>
          <w:sz w:val="20"/>
        </w:rPr>
        <w:t> </w:t>
      </w:r>
      <w:r>
        <w:rPr>
          <w:sz w:val="20"/>
        </w:rPr>
        <w:t>discussed</w:t>
      </w:r>
      <w:r>
        <w:rPr>
          <w:spacing w:val="-14"/>
          <w:sz w:val="20"/>
        </w:rPr>
        <w:t> </w:t>
      </w:r>
      <w:r>
        <w:rPr>
          <w:sz w:val="20"/>
        </w:rPr>
        <w:t>above</w:t>
      </w:r>
      <w:r>
        <w:rPr>
          <w:spacing w:val="-15"/>
          <w:sz w:val="20"/>
        </w:rPr>
        <w:t> </w:t>
      </w:r>
      <w:r>
        <w:rPr>
          <w:sz w:val="20"/>
        </w:rPr>
        <w:t>in</w:t>
      </w:r>
      <w:r>
        <w:rPr>
          <w:spacing w:val="-16"/>
          <w:sz w:val="20"/>
        </w:rPr>
        <w:t> </w:t>
      </w:r>
      <w:r>
        <w:rPr>
          <w:sz w:val="20"/>
        </w:rPr>
        <w:t>the</w:t>
      </w:r>
      <w:r>
        <w:rPr>
          <w:spacing w:val="-17"/>
          <w:sz w:val="20"/>
        </w:rPr>
        <w:t> </w:t>
      </w:r>
      <w:r>
        <w:rPr>
          <w:sz w:val="20"/>
        </w:rPr>
        <w:t>context</w:t>
      </w:r>
      <w:r>
        <w:rPr>
          <w:spacing w:val="-16"/>
          <w:sz w:val="20"/>
        </w:rPr>
        <w:t> </w:t>
      </w:r>
      <w:r>
        <w:rPr>
          <w:sz w:val="20"/>
        </w:rPr>
        <w:t>of</w:t>
      </w:r>
      <w:r>
        <w:rPr>
          <w:spacing w:val="-14"/>
          <w:sz w:val="20"/>
        </w:rPr>
        <w:t> </w:t>
      </w:r>
      <w:r>
        <w:rPr>
          <w:sz w:val="20"/>
        </w:rPr>
        <w:t>banking</w:t>
      </w:r>
      <w:r>
        <w:rPr>
          <w:spacing w:val="-15"/>
          <w:sz w:val="20"/>
        </w:rPr>
        <w:t> </w:t>
      </w:r>
      <w:r>
        <w:rPr>
          <w:sz w:val="20"/>
        </w:rPr>
        <w:t>business)</w:t>
      </w:r>
      <w:r>
        <w:rPr>
          <w:spacing w:val="-15"/>
          <w:sz w:val="20"/>
        </w:rPr>
        <w:t> </w:t>
      </w:r>
      <w:r>
        <w:rPr>
          <w:sz w:val="20"/>
        </w:rPr>
        <w:t>are</w:t>
      </w:r>
      <w:r>
        <w:rPr>
          <w:spacing w:val="-16"/>
          <w:sz w:val="20"/>
        </w:rPr>
        <w:t> </w:t>
      </w:r>
      <w:r>
        <w:rPr>
          <w:sz w:val="20"/>
        </w:rPr>
        <w:t>also</w:t>
      </w:r>
      <w:r>
        <w:rPr>
          <w:spacing w:val="-16"/>
          <w:sz w:val="20"/>
        </w:rPr>
        <w:t> </w:t>
      </w:r>
      <w:r>
        <w:rPr>
          <w:sz w:val="20"/>
        </w:rPr>
        <w:t>relevant</w:t>
      </w:r>
      <w:r>
        <w:rPr>
          <w:spacing w:val="-16"/>
          <w:sz w:val="20"/>
        </w:rPr>
        <w:t> </w:t>
      </w:r>
      <w:r>
        <w:rPr>
          <w:sz w:val="20"/>
        </w:rPr>
        <w:t>in</w:t>
      </w:r>
      <w:r>
        <w:rPr>
          <w:spacing w:val="-17"/>
          <w:sz w:val="20"/>
        </w:rPr>
        <w:t> </w:t>
      </w:r>
      <w:r>
        <w:rPr>
          <w:sz w:val="20"/>
        </w:rPr>
        <w:t>the</w:t>
      </w:r>
      <w:r>
        <w:rPr>
          <w:spacing w:val="-17"/>
          <w:sz w:val="20"/>
        </w:rPr>
        <w:t> </w:t>
      </w:r>
      <w:r>
        <w:rPr>
          <w:sz w:val="20"/>
        </w:rPr>
        <w:t>case</w:t>
      </w:r>
      <w:r>
        <w:rPr>
          <w:spacing w:val="-14"/>
          <w:sz w:val="20"/>
        </w:rPr>
        <w:t> </w:t>
      </w:r>
      <w:r>
        <w:rPr>
          <w:sz w:val="20"/>
        </w:rPr>
        <w:t>of</w:t>
      </w:r>
      <w:r>
        <w:rPr>
          <w:spacing w:val="-14"/>
          <w:sz w:val="20"/>
        </w:rPr>
        <w:t> </w:t>
      </w:r>
      <w:r>
        <w:rPr>
          <w:sz w:val="20"/>
        </w:rPr>
        <w:t>insurance business. There are also concerns that the measurement of profits in the insurance sector is </w:t>
      </w:r>
      <w:r>
        <w:rPr>
          <w:spacing w:val="3"/>
          <w:sz w:val="20"/>
        </w:rPr>
        <w:t>not </w:t>
      </w:r>
      <w:r>
        <w:rPr>
          <w:sz w:val="20"/>
        </w:rPr>
        <w:t>comparable to the approach outside the financial sector. Insurers measure income and costs differently than other industries so traditional profit measurements might inaccurately result in excess profits that do not in reality exist. Most industries incur costs such as labour, raw materials, etc. at an early stage in the business cycle, with the corresponding revenues generated later in the process. The opposite is true of insurance:</w:t>
      </w:r>
      <w:r>
        <w:rPr>
          <w:spacing w:val="-6"/>
          <w:sz w:val="20"/>
        </w:rPr>
        <w:t> </w:t>
      </w:r>
      <w:r>
        <w:rPr>
          <w:sz w:val="20"/>
        </w:rPr>
        <w:t>insurers</w:t>
      </w:r>
      <w:r>
        <w:rPr>
          <w:spacing w:val="-6"/>
          <w:sz w:val="20"/>
        </w:rPr>
        <w:t> </w:t>
      </w:r>
      <w:r>
        <w:rPr>
          <w:sz w:val="20"/>
        </w:rPr>
        <w:t>collect</w:t>
      </w:r>
      <w:r>
        <w:rPr>
          <w:spacing w:val="-5"/>
          <w:sz w:val="20"/>
        </w:rPr>
        <w:t> </w:t>
      </w:r>
      <w:r>
        <w:rPr>
          <w:sz w:val="20"/>
        </w:rPr>
        <w:t>premiums</w:t>
      </w:r>
      <w:r>
        <w:rPr>
          <w:spacing w:val="-6"/>
          <w:sz w:val="20"/>
        </w:rPr>
        <w:t> </w:t>
      </w:r>
      <w:r>
        <w:rPr>
          <w:sz w:val="20"/>
        </w:rPr>
        <w:t>upfront</w:t>
      </w:r>
      <w:r>
        <w:rPr>
          <w:spacing w:val="-7"/>
          <w:sz w:val="20"/>
        </w:rPr>
        <w:t> </w:t>
      </w:r>
      <w:r>
        <w:rPr>
          <w:sz w:val="20"/>
        </w:rPr>
        <w:t>but</w:t>
      </w:r>
      <w:r>
        <w:rPr>
          <w:spacing w:val="-4"/>
          <w:sz w:val="20"/>
        </w:rPr>
        <w:t> </w:t>
      </w:r>
      <w:r>
        <w:rPr>
          <w:sz w:val="20"/>
        </w:rPr>
        <w:t>incur</w:t>
      </w:r>
      <w:r>
        <w:rPr>
          <w:spacing w:val="-5"/>
          <w:sz w:val="20"/>
        </w:rPr>
        <w:t> </w:t>
      </w:r>
      <w:r>
        <w:rPr>
          <w:sz w:val="20"/>
        </w:rPr>
        <w:t>unpredictable</w:t>
      </w:r>
      <w:r>
        <w:rPr>
          <w:spacing w:val="-6"/>
          <w:sz w:val="20"/>
        </w:rPr>
        <w:t> </w:t>
      </w:r>
      <w:r>
        <w:rPr>
          <w:sz w:val="20"/>
        </w:rPr>
        <w:t>costs</w:t>
      </w:r>
      <w:r>
        <w:rPr>
          <w:spacing w:val="-4"/>
          <w:sz w:val="20"/>
        </w:rPr>
        <w:t> </w:t>
      </w:r>
      <w:r>
        <w:rPr>
          <w:sz w:val="20"/>
        </w:rPr>
        <w:t>later –</w:t>
      </w:r>
      <w:r>
        <w:rPr>
          <w:spacing w:val="-3"/>
          <w:sz w:val="20"/>
        </w:rPr>
        <w:t> </w:t>
      </w:r>
      <w:r>
        <w:rPr>
          <w:sz w:val="20"/>
        </w:rPr>
        <w:t>sometimes</w:t>
      </w:r>
      <w:r>
        <w:rPr>
          <w:spacing w:val="-9"/>
          <w:sz w:val="20"/>
        </w:rPr>
        <w:t> </w:t>
      </w:r>
      <w:r>
        <w:rPr>
          <w:sz w:val="20"/>
        </w:rPr>
        <w:t>much</w:t>
      </w:r>
      <w:r>
        <w:rPr>
          <w:spacing w:val="-8"/>
          <w:sz w:val="20"/>
        </w:rPr>
        <w:t> </w:t>
      </w:r>
      <w:r>
        <w:rPr>
          <w:sz w:val="20"/>
        </w:rPr>
        <w:t>later</w:t>
      </w:r>
      <w:r>
        <w:rPr>
          <w:spacing w:val="-2"/>
          <w:sz w:val="20"/>
        </w:rPr>
        <w:t> </w:t>
      </w:r>
      <w:r>
        <w:rPr>
          <w:sz w:val="20"/>
        </w:rPr>
        <w:t>– when they pay claims. The effect of these types of losses on the insurance industry is unique. The insurance</w:t>
      </w:r>
      <w:r>
        <w:rPr>
          <w:spacing w:val="-6"/>
          <w:sz w:val="20"/>
        </w:rPr>
        <w:t> </w:t>
      </w:r>
      <w:r>
        <w:rPr>
          <w:sz w:val="20"/>
        </w:rPr>
        <w:t>industry’s</w:t>
      </w:r>
      <w:r>
        <w:rPr>
          <w:spacing w:val="-5"/>
          <w:sz w:val="20"/>
        </w:rPr>
        <w:t> </w:t>
      </w:r>
      <w:r>
        <w:rPr>
          <w:sz w:val="20"/>
        </w:rPr>
        <w:t>role</w:t>
      </w:r>
      <w:r>
        <w:rPr>
          <w:spacing w:val="-7"/>
          <w:sz w:val="20"/>
        </w:rPr>
        <w:t> </w:t>
      </w:r>
      <w:r>
        <w:rPr>
          <w:sz w:val="20"/>
        </w:rPr>
        <w:t>is</w:t>
      </w:r>
      <w:r>
        <w:rPr>
          <w:spacing w:val="-9"/>
          <w:sz w:val="20"/>
        </w:rPr>
        <w:t> </w:t>
      </w:r>
      <w:r>
        <w:rPr>
          <w:sz w:val="20"/>
        </w:rPr>
        <w:t>to</w:t>
      </w:r>
      <w:r>
        <w:rPr>
          <w:spacing w:val="-9"/>
          <w:sz w:val="20"/>
        </w:rPr>
        <w:t> </w:t>
      </w:r>
      <w:r>
        <w:rPr>
          <w:sz w:val="20"/>
        </w:rPr>
        <w:t>assume</w:t>
      </w:r>
      <w:r>
        <w:rPr>
          <w:spacing w:val="-9"/>
          <w:sz w:val="20"/>
        </w:rPr>
        <w:t> </w:t>
      </w:r>
      <w:r>
        <w:rPr>
          <w:sz w:val="20"/>
        </w:rPr>
        <w:t>risk</w:t>
      </w:r>
      <w:r>
        <w:rPr>
          <w:spacing w:val="-5"/>
          <w:sz w:val="20"/>
        </w:rPr>
        <w:t> </w:t>
      </w:r>
      <w:r>
        <w:rPr>
          <w:sz w:val="20"/>
        </w:rPr>
        <w:t>over</w:t>
      </w:r>
      <w:r>
        <w:rPr>
          <w:spacing w:val="-8"/>
          <w:sz w:val="20"/>
        </w:rPr>
        <w:t> </w:t>
      </w:r>
      <w:r>
        <w:rPr>
          <w:sz w:val="20"/>
        </w:rPr>
        <w:t>many</w:t>
      </w:r>
      <w:r>
        <w:rPr>
          <w:spacing w:val="-8"/>
          <w:sz w:val="20"/>
        </w:rPr>
        <w:t> </w:t>
      </w:r>
      <w:r>
        <w:rPr>
          <w:sz w:val="20"/>
        </w:rPr>
        <w:t>years,</w:t>
      </w:r>
      <w:r>
        <w:rPr>
          <w:spacing w:val="-6"/>
          <w:sz w:val="20"/>
        </w:rPr>
        <w:t> </w:t>
      </w:r>
      <w:r>
        <w:rPr>
          <w:sz w:val="20"/>
        </w:rPr>
        <w:t>with</w:t>
      </w:r>
      <w:r>
        <w:rPr>
          <w:spacing w:val="-7"/>
          <w:sz w:val="20"/>
        </w:rPr>
        <w:t> </w:t>
      </w:r>
      <w:r>
        <w:rPr>
          <w:sz w:val="20"/>
        </w:rPr>
        <w:t>an</w:t>
      </w:r>
      <w:r>
        <w:rPr>
          <w:spacing w:val="-7"/>
          <w:sz w:val="20"/>
        </w:rPr>
        <w:t> </w:t>
      </w:r>
      <w:r>
        <w:rPr>
          <w:sz w:val="20"/>
        </w:rPr>
        <w:t>uncertain</w:t>
      </w:r>
      <w:r>
        <w:rPr>
          <w:spacing w:val="-8"/>
          <w:sz w:val="20"/>
        </w:rPr>
        <w:t> </w:t>
      </w:r>
      <w:r>
        <w:rPr>
          <w:sz w:val="20"/>
        </w:rPr>
        <w:t>realisation</w:t>
      </w:r>
      <w:r>
        <w:rPr>
          <w:spacing w:val="-7"/>
          <w:sz w:val="20"/>
        </w:rPr>
        <w:t> </w:t>
      </w:r>
      <w:r>
        <w:rPr>
          <w:sz w:val="20"/>
        </w:rPr>
        <w:t>and</w:t>
      </w:r>
      <w:r>
        <w:rPr>
          <w:spacing w:val="-7"/>
          <w:sz w:val="20"/>
        </w:rPr>
        <w:t> </w:t>
      </w:r>
      <w:r>
        <w:rPr>
          <w:sz w:val="20"/>
        </w:rPr>
        <w:t>timing</w:t>
      </w:r>
      <w:r>
        <w:rPr>
          <w:spacing w:val="-7"/>
          <w:sz w:val="20"/>
        </w:rPr>
        <w:t> </w:t>
      </w:r>
      <w:r>
        <w:rPr>
          <w:sz w:val="20"/>
        </w:rPr>
        <w:t>of</w:t>
      </w:r>
      <w:r>
        <w:rPr>
          <w:spacing w:val="-8"/>
          <w:sz w:val="20"/>
        </w:rPr>
        <w:t> </w:t>
      </w:r>
      <w:r>
        <w:rPr>
          <w:sz w:val="20"/>
        </w:rPr>
        <w:t>the insured event. This exposes the industry to volatile profits and losses. Premium rates change over the cycle depending on the availability of capital. During a soft market (when capital is plentiful), competition reduces premium rates. But as the market hardens (when capital becomes scarce, typically after a major catastrophe), premiums rise. This creates a multi-year business cycle unique to the insurance industry. Current year profits are often based on insurance reserve estimates that reflect losses that may (or may not) occur and are based on complex actuarial modelling techniques. The ebb and flow of the insurance cycle</w:t>
      </w:r>
      <w:r>
        <w:rPr>
          <w:spacing w:val="-12"/>
          <w:sz w:val="20"/>
        </w:rPr>
        <w:t> </w:t>
      </w:r>
      <w:r>
        <w:rPr>
          <w:sz w:val="20"/>
        </w:rPr>
        <w:t>makes</w:t>
      </w:r>
      <w:r>
        <w:rPr>
          <w:spacing w:val="-10"/>
          <w:sz w:val="20"/>
        </w:rPr>
        <w:t> </w:t>
      </w:r>
      <w:r>
        <w:rPr>
          <w:sz w:val="20"/>
        </w:rPr>
        <w:t>the</w:t>
      </w:r>
      <w:r>
        <w:rPr>
          <w:spacing w:val="-12"/>
          <w:sz w:val="20"/>
        </w:rPr>
        <w:t> </w:t>
      </w:r>
      <w:r>
        <w:rPr>
          <w:sz w:val="20"/>
        </w:rPr>
        <w:t>determination</w:t>
      </w:r>
      <w:r>
        <w:rPr>
          <w:spacing w:val="-11"/>
          <w:sz w:val="20"/>
        </w:rPr>
        <w:t> </w:t>
      </w:r>
      <w:r>
        <w:rPr>
          <w:sz w:val="20"/>
        </w:rPr>
        <w:t>of</w:t>
      </w:r>
      <w:r>
        <w:rPr>
          <w:spacing w:val="-9"/>
          <w:sz w:val="20"/>
        </w:rPr>
        <w:t> </w:t>
      </w:r>
      <w:r>
        <w:rPr>
          <w:sz w:val="20"/>
        </w:rPr>
        <w:t>normal</w:t>
      </w:r>
      <w:r>
        <w:rPr>
          <w:spacing w:val="-12"/>
          <w:sz w:val="20"/>
        </w:rPr>
        <w:t> </w:t>
      </w:r>
      <w:r>
        <w:rPr>
          <w:sz w:val="20"/>
        </w:rPr>
        <w:t>returns</w:t>
      </w:r>
      <w:r>
        <w:rPr>
          <w:spacing w:val="-10"/>
          <w:sz w:val="20"/>
        </w:rPr>
        <w:t> </w:t>
      </w:r>
      <w:r>
        <w:rPr>
          <w:sz w:val="20"/>
        </w:rPr>
        <w:t>for</w:t>
      </w:r>
      <w:r>
        <w:rPr>
          <w:spacing w:val="-10"/>
          <w:sz w:val="20"/>
        </w:rPr>
        <w:t> </w:t>
      </w:r>
      <w:r>
        <w:rPr>
          <w:sz w:val="20"/>
        </w:rPr>
        <w:t>the</w:t>
      </w:r>
      <w:r>
        <w:rPr>
          <w:spacing w:val="-14"/>
          <w:sz w:val="20"/>
        </w:rPr>
        <w:t> </w:t>
      </w:r>
      <w:r>
        <w:rPr>
          <w:sz w:val="20"/>
        </w:rPr>
        <w:t>industry</w:t>
      </w:r>
      <w:r>
        <w:rPr>
          <w:spacing w:val="-15"/>
          <w:sz w:val="20"/>
        </w:rPr>
        <w:t> </w:t>
      </w:r>
      <w:r>
        <w:rPr>
          <w:sz w:val="20"/>
        </w:rPr>
        <w:t>difficult.</w:t>
      </w:r>
      <w:r>
        <w:rPr>
          <w:spacing w:val="-4"/>
          <w:sz w:val="20"/>
        </w:rPr>
        <w:t> </w:t>
      </w:r>
      <w:r>
        <w:rPr>
          <w:sz w:val="20"/>
        </w:rPr>
        <w:t>As</w:t>
      </w:r>
      <w:r>
        <w:rPr>
          <w:spacing w:val="-10"/>
          <w:sz w:val="20"/>
        </w:rPr>
        <w:t> </w:t>
      </w:r>
      <w:r>
        <w:rPr>
          <w:sz w:val="20"/>
        </w:rPr>
        <w:t>noted</w:t>
      </w:r>
      <w:r>
        <w:rPr>
          <w:spacing w:val="-11"/>
          <w:sz w:val="20"/>
        </w:rPr>
        <w:t> </w:t>
      </w:r>
      <w:r>
        <w:rPr>
          <w:sz w:val="20"/>
        </w:rPr>
        <w:t>above,</w:t>
      </w:r>
      <w:r>
        <w:rPr>
          <w:spacing w:val="-12"/>
          <w:sz w:val="20"/>
        </w:rPr>
        <w:t> </w:t>
      </w:r>
      <w:r>
        <w:rPr>
          <w:sz w:val="20"/>
        </w:rPr>
        <w:t>for</w:t>
      </w:r>
      <w:r>
        <w:rPr>
          <w:spacing w:val="-11"/>
          <w:sz w:val="20"/>
        </w:rPr>
        <w:t> </w:t>
      </w:r>
      <w:r>
        <w:rPr>
          <w:sz w:val="20"/>
        </w:rPr>
        <w:t>the</w:t>
      </w:r>
      <w:r>
        <w:rPr>
          <w:spacing w:val="-11"/>
          <w:sz w:val="20"/>
        </w:rPr>
        <w:t> </w:t>
      </w:r>
      <w:r>
        <w:rPr>
          <w:sz w:val="20"/>
        </w:rPr>
        <w:t>insurance industry,</w:t>
      </w:r>
      <w:r>
        <w:rPr>
          <w:spacing w:val="19"/>
          <w:sz w:val="20"/>
        </w:rPr>
        <w:t> </w:t>
      </w:r>
      <w:r>
        <w:rPr>
          <w:sz w:val="20"/>
        </w:rPr>
        <w:t>a</w:t>
      </w:r>
      <w:r>
        <w:rPr>
          <w:spacing w:val="22"/>
          <w:sz w:val="20"/>
        </w:rPr>
        <w:t> </w:t>
      </w:r>
      <w:r>
        <w:rPr>
          <w:sz w:val="20"/>
        </w:rPr>
        <w:t>local</w:t>
      </w:r>
      <w:r>
        <w:rPr>
          <w:spacing w:val="19"/>
          <w:sz w:val="20"/>
        </w:rPr>
        <w:t> </w:t>
      </w:r>
      <w:r>
        <w:rPr>
          <w:sz w:val="20"/>
        </w:rPr>
        <w:t>market</w:t>
      </w:r>
      <w:r>
        <w:rPr>
          <w:spacing w:val="19"/>
          <w:sz w:val="20"/>
        </w:rPr>
        <w:t> </w:t>
      </w:r>
      <w:r>
        <w:rPr>
          <w:sz w:val="20"/>
        </w:rPr>
        <w:t>presence</w:t>
      </w:r>
      <w:r>
        <w:rPr>
          <w:spacing w:val="20"/>
          <w:sz w:val="20"/>
        </w:rPr>
        <w:t> </w:t>
      </w:r>
      <w:r>
        <w:rPr>
          <w:sz w:val="20"/>
        </w:rPr>
        <w:t>is</w:t>
      </w:r>
      <w:r>
        <w:rPr>
          <w:spacing w:val="28"/>
          <w:sz w:val="20"/>
        </w:rPr>
        <w:t> </w:t>
      </w:r>
      <w:r>
        <w:rPr>
          <w:sz w:val="20"/>
        </w:rPr>
        <w:t>generally</w:t>
      </w:r>
      <w:r>
        <w:rPr>
          <w:spacing w:val="17"/>
          <w:sz w:val="20"/>
        </w:rPr>
        <w:t> </w:t>
      </w:r>
      <w:r>
        <w:rPr>
          <w:sz w:val="20"/>
        </w:rPr>
        <w:t>required</w:t>
      </w:r>
      <w:r>
        <w:rPr>
          <w:spacing w:val="21"/>
          <w:sz w:val="20"/>
        </w:rPr>
        <w:t> </w:t>
      </w:r>
      <w:r>
        <w:rPr>
          <w:sz w:val="20"/>
        </w:rPr>
        <w:t>to</w:t>
      </w:r>
      <w:r>
        <w:rPr>
          <w:spacing w:val="19"/>
          <w:sz w:val="20"/>
        </w:rPr>
        <w:t> </w:t>
      </w:r>
      <w:r>
        <w:rPr>
          <w:sz w:val="20"/>
        </w:rPr>
        <w:t>sell</w:t>
      </w:r>
      <w:r>
        <w:rPr>
          <w:spacing w:val="20"/>
          <w:sz w:val="20"/>
        </w:rPr>
        <w:t> </w:t>
      </w:r>
      <w:r>
        <w:rPr>
          <w:sz w:val="20"/>
        </w:rPr>
        <w:t>retail</w:t>
      </w:r>
      <w:r>
        <w:rPr>
          <w:spacing w:val="22"/>
          <w:sz w:val="20"/>
        </w:rPr>
        <w:t> </w:t>
      </w:r>
      <w:r>
        <w:rPr>
          <w:sz w:val="20"/>
        </w:rPr>
        <w:t>insurance</w:t>
      </w:r>
      <w:r>
        <w:rPr>
          <w:spacing w:val="23"/>
          <w:sz w:val="20"/>
        </w:rPr>
        <w:t> </w:t>
      </w:r>
      <w:r>
        <w:rPr>
          <w:sz w:val="20"/>
        </w:rPr>
        <w:t>products.</w:t>
      </w:r>
      <w:r>
        <w:rPr>
          <w:spacing w:val="19"/>
          <w:sz w:val="20"/>
        </w:rPr>
        <w:t> </w:t>
      </w:r>
      <w:r>
        <w:rPr>
          <w:sz w:val="20"/>
        </w:rPr>
        <w:t>This</w:t>
      </w:r>
      <w:r>
        <w:rPr>
          <w:spacing w:val="21"/>
          <w:sz w:val="20"/>
        </w:rPr>
        <w:t> </w:t>
      </w:r>
      <w:r>
        <w:rPr>
          <w:sz w:val="20"/>
        </w:rPr>
        <w:t>is</w:t>
      </w:r>
      <w:r>
        <w:rPr>
          <w:spacing w:val="21"/>
          <w:sz w:val="20"/>
        </w:rPr>
        <w:t> </w:t>
      </w:r>
      <w:r>
        <w:rPr>
          <w:sz w:val="20"/>
        </w:rPr>
        <w:t>for</w:t>
      </w:r>
      <w:r>
        <w:rPr>
          <w:spacing w:val="20"/>
          <w:sz w:val="20"/>
        </w:rPr>
        <w:t> </w:t>
      </w:r>
      <w:r>
        <w:rPr>
          <w:sz w:val="20"/>
        </w:rPr>
        <w:t>the</w:t>
      </w:r>
    </w:p>
    <w:p>
      <w:pPr>
        <w:pStyle w:val="BodyText"/>
        <w:spacing w:before="10"/>
        <w:rPr>
          <w:sz w:val="9"/>
        </w:rPr>
      </w:pPr>
      <w:r>
        <w:rPr/>
        <w:pict>
          <v:rect style="position:absolute;margin-left:65.183998pt;margin-top:7.658212pt;width:144.020004pt;height:.60004pt;mso-position-horizontal-relative:page;mso-position-vertical-relative:paragraph;z-index:-15687168;mso-wrap-distance-left:0;mso-wrap-distance-right:0" filled="true" fillcolor="#000000" stroked="false">
            <v:fill type="solid"/>
            <w10:wrap type="topAndBottom"/>
          </v:rect>
        </w:pict>
      </w:r>
    </w:p>
    <w:p>
      <w:pPr>
        <w:pStyle w:val="BodyText"/>
        <w:spacing w:before="1"/>
      </w:pPr>
    </w:p>
    <w:p>
      <w:pPr>
        <w:spacing w:line="278" w:lineRule="auto" w:before="94"/>
        <w:ind w:left="723" w:right="477" w:firstLine="0"/>
        <w:jc w:val="both"/>
        <w:rPr>
          <w:sz w:val="18"/>
        </w:rPr>
      </w:pPr>
      <w:r>
        <w:rPr>
          <w:sz w:val="18"/>
        </w:rPr>
        <w:t>31.</w:t>
      </w:r>
      <w:r>
        <w:rPr>
          <w:spacing w:val="-12"/>
          <w:sz w:val="18"/>
        </w:rPr>
        <w:t> </w:t>
      </w:r>
      <w:r>
        <w:rPr>
          <w:sz w:val="18"/>
        </w:rPr>
        <w:t>For</w:t>
      </w:r>
      <w:r>
        <w:rPr>
          <w:spacing w:val="-13"/>
          <w:sz w:val="18"/>
        </w:rPr>
        <w:t> </w:t>
      </w:r>
      <w:r>
        <w:rPr>
          <w:sz w:val="18"/>
        </w:rPr>
        <w:t>example,</w:t>
      </w:r>
      <w:r>
        <w:rPr>
          <w:spacing w:val="-12"/>
          <w:sz w:val="18"/>
        </w:rPr>
        <w:t> </w:t>
      </w:r>
      <w:r>
        <w:rPr>
          <w:sz w:val="18"/>
        </w:rPr>
        <w:t>the</w:t>
      </w:r>
      <w:r>
        <w:rPr>
          <w:spacing w:val="-12"/>
          <w:sz w:val="18"/>
        </w:rPr>
        <w:t> </w:t>
      </w:r>
      <w:r>
        <w:rPr>
          <w:sz w:val="18"/>
        </w:rPr>
        <w:t>United</w:t>
      </w:r>
      <w:r>
        <w:rPr>
          <w:spacing w:val="-11"/>
          <w:sz w:val="18"/>
        </w:rPr>
        <w:t> </w:t>
      </w:r>
      <w:r>
        <w:rPr>
          <w:sz w:val="18"/>
        </w:rPr>
        <w:t>Nations</w:t>
      </w:r>
      <w:r>
        <w:rPr>
          <w:spacing w:val="-12"/>
          <w:sz w:val="18"/>
        </w:rPr>
        <w:t> </w:t>
      </w:r>
      <w:r>
        <w:rPr>
          <w:sz w:val="18"/>
        </w:rPr>
        <w:t>(UN)</w:t>
      </w:r>
      <w:r>
        <w:rPr>
          <w:spacing w:val="-13"/>
          <w:sz w:val="18"/>
        </w:rPr>
        <w:t> </w:t>
      </w:r>
      <w:r>
        <w:rPr>
          <w:sz w:val="18"/>
        </w:rPr>
        <w:t>for</w:t>
      </w:r>
      <w:r>
        <w:rPr>
          <w:spacing w:val="-15"/>
          <w:sz w:val="18"/>
        </w:rPr>
        <w:t> </w:t>
      </w:r>
      <w:r>
        <w:rPr>
          <w:sz w:val="18"/>
        </w:rPr>
        <w:t>the</w:t>
      </w:r>
      <w:r>
        <w:rPr>
          <w:spacing w:val="-13"/>
          <w:sz w:val="18"/>
        </w:rPr>
        <w:t> </w:t>
      </w:r>
      <w:r>
        <w:rPr>
          <w:sz w:val="18"/>
        </w:rPr>
        <w:t>Trade</w:t>
      </w:r>
      <w:r>
        <w:rPr>
          <w:spacing w:val="-12"/>
          <w:sz w:val="18"/>
        </w:rPr>
        <w:t> </w:t>
      </w:r>
      <w:r>
        <w:rPr>
          <w:sz w:val="18"/>
        </w:rPr>
        <w:t>and</w:t>
      </w:r>
      <w:r>
        <w:rPr>
          <w:spacing w:val="-12"/>
          <w:sz w:val="18"/>
        </w:rPr>
        <w:t> </w:t>
      </w:r>
      <w:r>
        <w:rPr>
          <w:sz w:val="18"/>
        </w:rPr>
        <w:t>Development</w:t>
      </w:r>
      <w:r>
        <w:rPr>
          <w:spacing w:val="-14"/>
          <w:sz w:val="18"/>
        </w:rPr>
        <w:t> </w:t>
      </w:r>
      <w:r>
        <w:rPr>
          <w:sz w:val="18"/>
        </w:rPr>
        <w:t>Conference</w:t>
      </w:r>
      <w:r>
        <w:rPr>
          <w:spacing w:val="-12"/>
          <w:sz w:val="18"/>
        </w:rPr>
        <w:t> </w:t>
      </w:r>
      <w:r>
        <w:rPr>
          <w:sz w:val="18"/>
        </w:rPr>
        <w:t>(1994)</w:t>
      </w:r>
      <w:r>
        <w:rPr>
          <w:spacing w:val="-15"/>
          <w:sz w:val="18"/>
        </w:rPr>
        <w:t> </w:t>
      </w:r>
      <w:r>
        <w:rPr>
          <w:sz w:val="18"/>
        </w:rPr>
        <w:t>noted</w:t>
      </w:r>
      <w:r>
        <w:rPr>
          <w:spacing w:val="-12"/>
          <w:sz w:val="18"/>
        </w:rPr>
        <w:t> </w:t>
      </w:r>
      <w:r>
        <w:rPr>
          <w:sz w:val="18"/>
        </w:rPr>
        <w:t>Genoa,</w:t>
      </w:r>
      <w:r>
        <w:rPr>
          <w:spacing w:val="-5"/>
          <w:sz w:val="18"/>
        </w:rPr>
        <w:t> </w:t>
      </w:r>
      <w:r>
        <w:rPr>
          <w:sz w:val="18"/>
        </w:rPr>
        <w:t>Barcelona, Bruges, Brussels and Antwerp regulated insurance as early as the fifteenth and sixteenth centuries and that today “in most countries, if not all, there are specific regulations concerning the insurance business.” See</w:t>
      </w:r>
      <w:hyperlink r:id="rId32">
        <w:r>
          <w:rPr>
            <w:color w:val="0000FF"/>
            <w:sz w:val="18"/>
            <w:u w:val="single" w:color="0000FF"/>
          </w:rPr>
          <w:t> https://unctad.org/en/PublicationsLibrary/unctadsddins6_en.pdf</w:t>
        </w:r>
        <w:r>
          <w:rPr>
            <w:sz w:val="18"/>
          </w:rPr>
          <w:t>.</w:t>
        </w:r>
      </w:hyperlink>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8"/>
        <w:jc w:val="both"/>
      </w:pPr>
      <w:r>
        <w:rPr/>
        <w:t>regulatory reasons already covered. This means the relevant local entity will already be taxed in the relevant local market. Together with the some of the technical challenges noted in computing insurance industry</w:t>
      </w:r>
      <w:r>
        <w:rPr>
          <w:spacing w:val="-12"/>
        </w:rPr>
        <w:t> </w:t>
      </w:r>
      <w:r>
        <w:rPr/>
        <w:t>profits</w:t>
      </w:r>
      <w:r>
        <w:rPr>
          <w:spacing w:val="-8"/>
        </w:rPr>
        <w:t> </w:t>
      </w:r>
      <w:r>
        <w:rPr/>
        <w:t>means</w:t>
      </w:r>
      <w:r>
        <w:rPr>
          <w:spacing w:val="-8"/>
        </w:rPr>
        <w:t> </w:t>
      </w:r>
      <w:r>
        <w:rPr/>
        <w:t>it</w:t>
      </w:r>
      <w:r>
        <w:rPr>
          <w:spacing w:val="-11"/>
        </w:rPr>
        <w:t> </w:t>
      </w:r>
      <w:r>
        <w:rPr/>
        <w:t>makes</w:t>
      </w:r>
      <w:r>
        <w:rPr>
          <w:spacing w:val="-10"/>
        </w:rPr>
        <w:t> </w:t>
      </w:r>
      <w:r>
        <w:rPr/>
        <w:t>little</w:t>
      </w:r>
      <w:r>
        <w:rPr>
          <w:spacing w:val="-9"/>
        </w:rPr>
        <w:t> </w:t>
      </w:r>
      <w:r>
        <w:rPr/>
        <w:t>practical</w:t>
      </w:r>
      <w:r>
        <w:rPr>
          <w:spacing w:val="-10"/>
        </w:rPr>
        <w:t> </w:t>
      </w:r>
      <w:r>
        <w:rPr/>
        <w:t>sense</w:t>
      </w:r>
      <w:r>
        <w:rPr>
          <w:spacing w:val="-9"/>
        </w:rPr>
        <w:t> </w:t>
      </w:r>
      <w:r>
        <w:rPr/>
        <w:t>to</w:t>
      </w:r>
      <w:r>
        <w:rPr>
          <w:spacing w:val="-9"/>
        </w:rPr>
        <w:t> </w:t>
      </w:r>
      <w:r>
        <w:rPr/>
        <w:t>include</w:t>
      </w:r>
      <w:r>
        <w:rPr>
          <w:spacing w:val="-9"/>
        </w:rPr>
        <w:t> </w:t>
      </w:r>
      <w:r>
        <w:rPr/>
        <w:t>the</w:t>
      </w:r>
      <w:r>
        <w:rPr>
          <w:spacing w:val="-8"/>
        </w:rPr>
        <w:t> </w:t>
      </w:r>
      <w:r>
        <w:rPr/>
        <w:t>insurance</w:t>
      </w:r>
      <w:r>
        <w:rPr>
          <w:spacing w:val="-9"/>
        </w:rPr>
        <w:t> </w:t>
      </w:r>
      <w:r>
        <w:rPr/>
        <w:t>industry</w:t>
      </w:r>
      <w:r>
        <w:rPr>
          <w:spacing w:val="-12"/>
        </w:rPr>
        <w:t> </w:t>
      </w:r>
      <w:r>
        <w:rPr/>
        <w:t>in</w:t>
      </w:r>
      <w:r>
        <w:rPr>
          <w:spacing w:val="-9"/>
        </w:rPr>
        <w:t> </w:t>
      </w:r>
      <w:r>
        <w:rPr/>
        <w:t>the</w:t>
      </w:r>
      <w:r>
        <w:rPr>
          <w:spacing w:val="-9"/>
        </w:rPr>
        <w:t> </w:t>
      </w:r>
      <w:r>
        <w:rPr/>
        <w:t>CFB</w:t>
      </w:r>
      <w:r>
        <w:rPr>
          <w:spacing w:val="-9"/>
        </w:rPr>
        <w:t> </w:t>
      </w:r>
      <w:r>
        <w:rPr/>
        <w:t>definition.</w:t>
      </w:r>
    </w:p>
    <w:p>
      <w:pPr>
        <w:pStyle w:val="ListParagraph"/>
        <w:numPr>
          <w:ilvl w:val="0"/>
          <w:numId w:val="13"/>
        </w:numPr>
        <w:tabs>
          <w:tab w:pos="1444" w:val="left" w:leader="none"/>
        </w:tabs>
        <w:spacing w:line="271" w:lineRule="auto" w:before="120" w:after="0"/>
        <w:ind w:left="723" w:right="489" w:firstLine="0"/>
        <w:jc w:val="both"/>
        <w:rPr>
          <w:sz w:val="20"/>
        </w:rPr>
      </w:pPr>
      <w:r>
        <w:rPr>
          <w:sz w:val="20"/>
        </w:rPr>
        <w:t>Consideration has also been given to the impact of EU passporting in the insurance sector with the same result that is discussed above for the banking sector. There is therefore no conflict with the rationale for the exclusion of the insurance</w:t>
      </w:r>
      <w:r>
        <w:rPr>
          <w:spacing w:val="-6"/>
          <w:sz w:val="20"/>
        </w:rPr>
        <w:t> </w:t>
      </w:r>
      <w:r>
        <w:rPr>
          <w:sz w:val="20"/>
        </w:rPr>
        <w:t>sector.</w:t>
      </w:r>
    </w:p>
    <w:p>
      <w:pPr>
        <w:pStyle w:val="BodyText"/>
        <w:spacing w:before="3"/>
      </w:pPr>
    </w:p>
    <w:p>
      <w:pPr>
        <w:pStyle w:val="Heading8"/>
        <w:spacing w:before="1"/>
      </w:pPr>
      <w:bookmarkStart w:name="Asset Management Business" w:id="64"/>
      <w:bookmarkEnd w:id="64"/>
      <w:r>
        <w:rPr>
          <w:b w:val="0"/>
        </w:rPr>
      </w:r>
      <w:r>
        <w:rPr/>
        <w:t>Asset Management Business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The asset management sector contains three main types of participants: fund vehicles, financial intermediaries,</w:t>
      </w:r>
      <w:r>
        <w:rPr>
          <w:spacing w:val="-13"/>
          <w:sz w:val="20"/>
        </w:rPr>
        <w:t> </w:t>
      </w:r>
      <w:r>
        <w:rPr>
          <w:sz w:val="20"/>
        </w:rPr>
        <w:t>and</w:t>
      </w:r>
      <w:r>
        <w:rPr>
          <w:spacing w:val="-11"/>
          <w:sz w:val="20"/>
        </w:rPr>
        <w:t> </w:t>
      </w:r>
      <w:r>
        <w:rPr>
          <w:sz w:val="20"/>
        </w:rPr>
        <w:t>investment</w:t>
      </w:r>
      <w:r>
        <w:rPr>
          <w:spacing w:val="-12"/>
          <w:sz w:val="20"/>
        </w:rPr>
        <w:t> </w:t>
      </w:r>
      <w:r>
        <w:rPr>
          <w:sz w:val="20"/>
        </w:rPr>
        <w:t>managers.</w:t>
      </w:r>
      <w:r>
        <w:rPr>
          <w:spacing w:val="-9"/>
          <w:sz w:val="20"/>
        </w:rPr>
        <w:t> </w:t>
      </w:r>
      <w:r>
        <w:rPr>
          <w:sz w:val="20"/>
        </w:rPr>
        <w:t>This</w:t>
      </w:r>
      <w:r>
        <w:rPr>
          <w:spacing w:val="-11"/>
          <w:sz w:val="20"/>
        </w:rPr>
        <w:t> </w:t>
      </w:r>
      <w:r>
        <w:rPr>
          <w:sz w:val="20"/>
        </w:rPr>
        <w:t>section</w:t>
      </w:r>
      <w:r>
        <w:rPr>
          <w:spacing w:val="-8"/>
          <w:sz w:val="20"/>
        </w:rPr>
        <w:t> </w:t>
      </w:r>
      <w:r>
        <w:rPr>
          <w:sz w:val="20"/>
        </w:rPr>
        <w:t>explains</w:t>
      </w:r>
      <w:r>
        <w:rPr>
          <w:spacing w:val="-10"/>
          <w:sz w:val="20"/>
        </w:rPr>
        <w:t> </w:t>
      </w:r>
      <w:r>
        <w:rPr>
          <w:sz w:val="20"/>
        </w:rPr>
        <w:t>why</w:t>
      </w:r>
      <w:r>
        <w:rPr>
          <w:spacing w:val="-16"/>
          <w:sz w:val="20"/>
        </w:rPr>
        <w:t> </w:t>
      </w:r>
      <w:r>
        <w:rPr>
          <w:sz w:val="20"/>
        </w:rPr>
        <w:t>most</w:t>
      </w:r>
      <w:r>
        <w:rPr>
          <w:spacing w:val="-12"/>
          <w:sz w:val="20"/>
        </w:rPr>
        <w:t> </w:t>
      </w:r>
      <w:r>
        <w:rPr>
          <w:sz w:val="20"/>
        </w:rPr>
        <w:t>(but</w:t>
      </w:r>
      <w:r>
        <w:rPr>
          <w:spacing w:val="-12"/>
          <w:sz w:val="20"/>
        </w:rPr>
        <w:t> </w:t>
      </w:r>
      <w:r>
        <w:rPr>
          <w:sz w:val="20"/>
        </w:rPr>
        <w:t>not</w:t>
      </w:r>
      <w:r>
        <w:rPr>
          <w:spacing w:val="-10"/>
          <w:sz w:val="20"/>
        </w:rPr>
        <w:t> </w:t>
      </w:r>
      <w:r>
        <w:rPr>
          <w:sz w:val="20"/>
        </w:rPr>
        <w:t>all)</w:t>
      </w:r>
      <w:r>
        <w:rPr>
          <w:spacing w:val="-10"/>
          <w:sz w:val="20"/>
        </w:rPr>
        <w:t> </w:t>
      </w:r>
      <w:r>
        <w:rPr>
          <w:sz w:val="20"/>
        </w:rPr>
        <w:t>jurisdictions</w:t>
      </w:r>
      <w:r>
        <w:rPr>
          <w:spacing w:val="-9"/>
          <w:sz w:val="20"/>
        </w:rPr>
        <w:t> </w:t>
      </w:r>
      <w:r>
        <w:rPr>
          <w:sz w:val="20"/>
        </w:rPr>
        <w:t>believe that it is appropriate to exclude the sector from the scope of Amount</w:t>
      </w:r>
      <w:r>
        <w:rPr>
          <w:spacing w:val="-10"/>
          <w:sz w:val="20"/>
        </w:rPr>
        <w:t> </w:t>
      </w:r>
      <w:r>
        <w:rPr>
          <w:sz w:val="20"/>
        </w:rPr>
        <w:t>A.</w:t>
      </w:r>
    </w:p>
    <w:p>
      <w:pPr>
        <w:pStyle w:val="ListParagraph"/>
        <w:numPr>
          <w:ilvl w:val="0"/>
          <w:numId w:val="13"/>
        </w:numPr>
        <w:tabs>
          <w:tab w:pos="1444" w:val="left" w:leader="none"/>
        </w:tabs>
        <w:spacing w:line="271" w:lineRule="auto" w:before="120" w:after="0"/>
        <w:ind w:left="723" w:right="490" w:firstLine="0"/>
        <w:jc w:val="both"/>
        <w:rPr>
          <w:sz w:val="20"/>
        </w:rPr>
      </w:pPr>
      <w:r>
        <w:rPr>
          <w:sz w:val="20"/>
        </w:rPr>
        <w:t>Funds are not active businesses. Their purpose is to pool investor capital, which is then invested in accordance with the fund’s investment strategy. The tax neutral and passive status of funds is widely recognised under jurisdictions’ domestic law, international tax principles and the OECD’s own guidance. Funds are therefore considered to be outside the scope of</w:t>
      </w:r>
      <w:r>
        <w:rPr>
          <w:spacing w:val="-3"/>
          <w:sz w:val="20"/>
        </w:rPr>
        <w:t> </w:t>
      </w:r>
      <w:r>
        <w:rPr>
          <w:sz w:val="20"/>
        </w:rPr>
        <w:t>CFB.</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Under</w:t>
      </w:r>
      <w:r>
        <w:rPr>
          <w:spacing w:val="-10"/>
          <w:sz w:val="20"/>
        </w:rPr>
        <w:t> </w:t>
      </w:r>
      <w:r>
        <w:rPr>
          <w:sz w:val="20"/>
        </w:rPr>
        <w:t>the</w:t>
      </w:r>
      <w:r>
        <w:rPr>
          <w:spacing w:val="-10"/>
          <w:sz w:val="20"/>
        </w:rPr>
        <w:t> </w:t>
      </w:r>
      <w:r>
        <w:rPr>
          <w:sz w:val="20"/>
        </w:rPr>
        <w:t>predominant</w:t>
      </w:r>
      <w:r>
        <w:rPr>
          <w:spacing w:val="-10"/>
          <w:sz w:val="20"/>
        </w:rPr>
        <w:t> </w:t>
      </w:r>
      <w:r>
        <w:rPr>
          <w:sz w:val="20"/>
        </w:rPr>
        <w:t>retail</w:t>
      </w:r>
      <w:r>
        <w:rPr>
          <w:spacing w:val="-10"/>
          <w:sz w:val="20"/>
        </w:rPr>
        <w:t> </w:t>
      </w:r>
      <w:r>
        <w:rPr>
          <w:sz w:val="20"/>
        </w:rPr>
        <w:t>industry</w:t>
      </w:r>
      <w:r>
        <w:rPr>
          <w:spacing w:val="-11"/>
          <w:sz w:val="20"/>
        </w:rPr>
        <w:t> </w:t>
      </w:r>
      <w:r>
        <w:rPr>
          <w:sz w:val="20"/>
        </w:rPr>
        <w:t>operating</w:t>
      </w:r>
      <w:r>
        <w:rPr>
          <w:spacing w:val="-11"/>
          <w:sz w:val="20"/>
        </w:rPr>
        <w:t> </w:t>
      </w:r>
      <w:r>
        <w:rPr>
          <w:sz w:val="20"/>
        </w:rPr>
        <w:t>model,</w:t>
      </w:r>
      <w:r>
        <w:rPr>
          <w:spacing w:val="-7"/>
          <w:sz w:val="20"/>
        </w:rPr>
        <w:t> </w:t>
      </w:r>
      <w:r>
        <w:rPr>
          <w:sz w:val="20"/>
        </w:rPr>
        <w:t>the</w:t>
      </w:r>
      <w:r>
        <w:rPr>
          <w:spacing w:val="-9"/>
          <w:sz w:val="20"/>
        </w:rPr>
        <w:t> </w:t>
      </w:r>
      <w:r>
        <w:rPr>
          <w:sz w:val="20"/>
        </w:rPr>
        <w:t>indirect</w:t>
      </w:r>
      <w:r>
        <w:rPr>
          <w:spacing w:val="-11"/>
          <w:sz w:val="20"/>
        </w:rPr>
        <w:t> </w:t>
      </w:r>
      <w:r>
        <w:rPr>
          <w:sz w:val="20"/>
        </w:rPr>
        <w:t>model,</w:t>
      </w:r>
      <w:r>
        <w:rPr>
          <w:spacing w:val="-9"/>
          <w:sz w:val="20"/>
        </w:rPr>
        <w:t> </w:t>
      </w:r>
      <w:r>
        <w:rPr>
          <w:sz w:val="20"/>
        </w:rPr>
        <w:t>financial</w:t>
      </w:r>
      <w:r>
        <w:rPr>
          <w:spacing w:val="-10"/>
          <w:sz w:val="20"/>
        </w:rPr>
        <w:t> </w:t>
      </w:r>
      <w:r>
        <w:rPr>
          <w:sz w:val="20"/>
        </w:rPr>
        <w:t>intermediaries comprise third-party banks, financial advisors, or similar businesses that advise investors and offer them investment products. Although interactions between financial intermediaries and consumers may on first principles be within the scope of CFB, they are, as for retail banking, subject to local country regulation. Customer</w:t>
      </w:r>
      <w:r>
        <w:rPr>
          <w:spacing w:val="-9"/>
          <w:sz w:val="20"/>
        </w:rPr>
        <w:t> </w:t>
      </w:r>
      <w:r>
        <w:rPr>
          <w:sz w:val="20"/>
        </w:rPr>
        <w:t>interactions</w:t>
      </w:r>
      <w:r>
        <w:rPr>
          <w:spacing w:val="-5"/>
          <w:sz w:val="20"/>
        </w:rPr>
        <w:t> </w:t>
      </w:r>
      <w:r>
        <w:rPr>
          <w:sz w:val="20"/>
        </w:rPr>
        <w:t>would</w:t>
      </w:r>
      <w:r>
        <w:rPr>
          <w:spacing w:val="-9"/>
          <w:sz w:val="20"/>
        </w:rPr>
        <w:t> </w:t>
      </w:r>
      <w:r>
        <w:rPr>
          <w:sz w:val="20"/>
        </w:rPr>
        <w:t>therefore</w:t>
      </w:r>
      <w:r>
        <w:rPr>
          <w:spacing w:val="-9"/>
          <w:sz w:val="20"/>
        </w:rPr>
        <w:t> </w:t>
      </w:r>
      <w:r>
        <w:rPr>
          <w:sz w:val="20"/>
        </w:rPr>
        <w:t>normally</w:t>
      </w:r>
      <w:r>
        <w:rPr>
          <w:spacing w:val="-10"/>
          <w:sz w:val="20"/>
        </w:rPr>
        <w:t> </w:t>
      </w:r>
      <w:r>
        <w:rPr>
          <w:sz w:val="20"/>
        </w:rPr>
        <w:t>occur</w:t>
      </w:r>
      <w:r>
        <w:rPr>
          <w:spacing w:val="-8"/>
          <w:sz w:val="20"/>
        </w:rPr>
        <w:t> </w:t>
      </w:r>
      <w:r>
        <w:rPr>
          <w:sz w:val="20"/>
        </w:rPr>
        <w:t>locally</w:t>
      </w:r>
      <w:r>
        <w:rPr>
          <w:spacing w:val="-10"/>
          <w:sz w:val="20"/>
        </w:rPr>
        <w:t> </w:t>
      </w:r>
      <w:r>
        <w:rPr>
          <w:sz w:val="20"/>
        </w:rPr>
        <w:t>in</w:t>
      </w:r>
      <w:r>
        <w:rPr>
          <w:spacing w:val="-7"/>
          <w:sz w:val="20"/>
        </w:rPr>
        <w:t> </w:t>
      </w:r>
      <w:r>
        <w:rPr>
          <w:sz w:val="20"/>
        </w:rPr>
        <w:t>the</w:t>
      </w:r>
      <w:r>
        <w:rPr>
          <w:spacing w:val="-9"/>
          <w:sz w:val="20"/>
        </w:rPr>
        <w:t> </w:t>
      </w:r>
      <w:r>
        <w:rPr>
          <w:sz w:val="20"/>
        </w:rPr>
        <w:t>market</w:t>
      </w:r>
      <w:r>
        <w:rPr>
          <w:spacing w:val="-9"/>
          <w:sz w:val="20"/>
        </w:rPr>
        <w:t> </w:t>
      </w:r>
      <w:r>
        <w:rPr>
          <w:sz w:val="20"/>
        </w:rPr>
        <w:t>jurisdiction,</w:t>
      </w:r>
      <w:r>
        <w:rPr>
          <w:spacing w:val="-7"/>
          <w:sz w:val="20"/>
        </w:rPr>
        <w:t> </w:t>
      </w:r>
      <w:r>
        <w:rPr>
          <w:sz w:val="20"/>
        </w:rPr>
        <w:t>and</w:t>
      </w:r>
      <w:r>
        <w:rPr>
          <w:spacing w:val="-7"/>
          <w:sz w:val="20"/>
        </w:rPr>
        <w:t> </w:t>
      </w:r>
      <w:r>
        <w:rPr>
          <w:sz w:val="20"/>
        </w:rPr>
        <w:t>the</w:t>
      </w:r>
      <w:r>
        <w:rPr>
          <w:spacing w:val="-7"/>
          <w:sz w:val="20"/>
        </w:rPr>
        <w:t> </w:t>
      </w:r>
      <w:r>
        <w:rPr>
          <w:sz w:val="20"/>
        </w:rPr>
        <w:t>associated profits</w:t>
      </w:r>
      <w:r>
        <w:rPr>
          <w:spacing w:val="-5"/>
          <w:sz w:val="20"/>
        </w:rPr>
        <w:t> </w:t>
      </w:r>
      <w:r>
        <w:rPr>
          <w:sz w:val="20"/>
        </w:rPr>
        <w:t>would</w:t>
      </w:r>
      <w:r>
        <w:rPr>
          <w:spacing w:val="-5"/>
          <w:sz w:val="20"/>
        </w:rPr>
        <w:t> </w:t>
      </w:r>
      <w:r>
        <w:rPr>
          <w:sz w:val="20"/>
        </w:rPr>
        <w:t>be</w:t>
      </w:r>
      <w:r>
        <w:rPr>
          <w:spacing w:val="-5"/>
          <w:sz w:val="20"/>
        </w:rPr>
        <w:t> </w:t>
      </w:r>
      <w:r>
        <w:rPr>
          <w:sz w:val="20"/>
        </w:rPr>
        <w:t>realised</w:t>
      </w:r>
      <w:r>
        <w:rPr>
          <w:spacing w:val="-4"/>
          <w:sz w:val="20"/>
        </w:rPr>
        <w:t> </w:t>
      </w:r>
      <w:r>
        <w:rPr>
          <w:sz w:val="20"/>
        </w:rPr>
        <w:t>locally.</w:t>
      </w:r>
      <w:r>
        <w:rPr>
          <w:spacing w:val="-5"/>
          <w:sz w:val="20"/>
        </w:rPr>
        <w:t> </w:t>
      </w:r>
      <w:r>
        <w:rPr>
          <w:sz w:val="20"/>
        </w:rPr>
        <w:t>Under</w:t>
      </w:r>
      <w:r>
        <w:rPr>
          <w:spacing w:val="-4"/>
          <w:sz w:val="20"/>
        </w:rPr>
        <w:t> </w:t>
      </w:r>
      <w:r>
        <w:rPr>
          <w:sz w:val="20"/>
        </w:rPr>
        <w:t>the</w:t>
      </w:r>
      <w:r>
        <w:rPr>
          <w:spacing w:val="-5"/>
          <w:sz w:val="20"/>
        </w:rPr>
        <w:t> </w:t>
      </w:r>
      <w:r>
        <w:rPr>
          <w:sz w:val="20"/>
        </w:rPr>
        <w:t>less</w:t>
      </w:r>
      <w:r>
        <w:rPr>
          <w:spacing w:val="-5"/>
          <w:sz w:val="20"/>
        </w:rPr>
        <w:t> </w:t>
      </w:r>
      <w:r>
        <w:rPr>
          <w:sz w:val="20"/>
        </w:rPr>
        <w:t>common</w:t>
      </w:r>
      <w:r>
        <w:rPr>
          <w:spacing w:val="-6"/>
          <w:sz w:val="20"/>
        </w:rPr>
        <w:t> </w:t>
      </w:r>
      <w:r>
        <w:rPr>
          <w:sz w:val="20"/>
        </w:rPr>
        <w:t>direct</w:t>
      </w:r>
      <w:r>
        <w:rPr>
          <w:spacing w:val="-5"/>
          <w:sz w:val="20"/>
        </w:rPr>
        <w:t> </w:t>
      </w:r>
      <w:r>
        <w:rPr>
          <w:sz w:val="20"/>
        </w:rPr>
        <w:t>model,</w:t>
      </w:r>
      <w:r>
        <w:rPr>
          <w:spacing w:val="-5"/>
          <w:sz w:val="20"/>
        </w:rPr>
        <w:t> </w:t>
      </w:r>
      <w:r>
        <w:rPr>
          <w:sz w:val="20"/>
        </w:rPr>
        <w:t>an</w:t>
      </w:r>
      <w:r>
        <w:rPr>
          <w:spacing w:val="-3"/>
          <w:sz w:val="20"/>
        </w:rPr>
        <w:t> </w:t>
      </w:r>
      <w:r>
        <w:rPr>
          <w:sz w:val="20"/>
        </w:rPr>
        <w:t>investment</w:t>
      </w:r>
      <w:r>
        <w:rPr>
          <w:spacing w:val="-5"/>
          <w:sz w:val="20"/>
        </w:rPr>
        <w:t> </w:t>
      </w:r>
      <w:r>
        <w:rPr>
          <w:sz w:val="20"/>
        </w:rPr>
        <w:t>manager</w:t>
      </w:r>
      <w:r>
        <w:rPr>
          <w:spacing w:val="-5"/>
          <w:sz w:val="20"/>
        </w:rPr>
        <w:t> </w:t>
      </w:r>
      <w:r>
        <w:rPr>
          <w:sz w:val="20"/>
        </w:rPr>
        <w:t>distributes investment</w:t>
      </w:r>
      <w:r>
        <w:rPr>
          <w:spacing w:val="-17"/>
          <w:sz w:val="20"/>
        </w:rPr>
        <w:t> </w:t>
      </w:r>
      <w:r>
        <w:rPr>
          <w:sz w:val="20"/>
        </w:rPr>
        <w:t>products</w:t>
      </w:r>
      <w:r>
        <w:rPr>
          <w:spacing w:val="-15"/>
          <w:sz w:val="20"/>
        </w:rPr>
        <w:t> </w:t>
      </w:r>
      <w:r>
        <w:rPr>
          <w:sz w:val="20"/>
        </w:rPr>
        <w:t>through</w:t>
      </w:r>
      <w:r>
        <w:rPr>
          <w:spacing w:val="-17"/>
          <w:sz w:val="20"/>
        </w:rPr>
        <w:t> </w:t>
      </w:r>
      <w:r>
        <w:rPr>
          <w:sz w:val="20"/>
        </w:rPr>
        <w:t>an</w:t>
      </w:r>
      <w:r>
        <w:rPr>
          <w:spacing w:val="-15"/>
          <w:sz w:val="20"/>
        </w:rPr>
        <w:t> </w:t>
      </w:r>
      <w:r>
        <w:rPr>
          <w:sz w:val="20"/>
        </w:rPr>
        <w:t>affiliate</w:t>
      </w:r>
      <w:r>
        <w:rPr>
          <w:spacing w:val="-17"/>
          <w:sz w:val="20"/>
        </w:rPr>
        <w:t> </w:t>
      </w:r>
      <w:r>
        <w:rPr>
          <w:sz w:val="20"/>
        </w:rPr>
        <w:t>that</w:t>
      </w:r>
      <w:r>
        <w:rPr>
          <w:spacing w:val="-14"/>
          <w:sz w:val="20"/>
        </w:rPr>
        <w:t> </w:t>
      </w:r>
      <w:r>
        <w:rPr>
          <w:sz w:val="20"/>
        </w:rPr>
        <w:t>is</w:t>
      </w:r>
      <w:r>
        <w:rPr>
          <w:spacing w:val="-16"/>
          <w:sz w:val="20"/>
        </w:rPr>
        <w:t> </w:t>
      </w:r>
      <w:r>
        <w:rPr>
          <w:sz w:val="20"/>
        </w:rPr>
        <w:t>a</w:t>
      </w:r>
      <w:r>
        <w:rPr>
          <w:spacing w:val="-16"/>
          <w:sz w:val="20"/>
        </w:rPr>
        <w:t> </w:t>
      </w:r>
      <w:r>
        <w:rPr>
          <w:sz w:val="20"/>
        </w:rPr>
        <w:t>broker</w:t>
      </w:r>
      <w:r>
        <w:rPr>
          <w:spacing w:val="-16"/>
          <w:sz w:val="20"/>
        </w:rPr>
        <w:t> </w:t>
      </w:r>
      <w:r>
        <w:rPr>
          <w:sz w:val="20"/>
        </w:rPr>
        <w:t>or</w:t>
      </w:r>
      <w:r>
        <w:rPr>
          <w:spacing w:val="-16"/>
          <w:sz w:val="20"/>
        </w:rPr>
        <w:t> </w:t>
      </w:r>
      <w:r>
        <w:rPr>
          <w:sz w:val="20"/>
        </w:rPr>
        <w:t>similarly</w:t>
      </w:r>
      <w:r>
        <w:rPr>
          <w:spacing w:val="-19"/>
          <w:sz w:val="20"/>
        </w:rPr>
        <w:t> </w:t>
      </w:r>
      <w:r>
        <w:rPr>
          <w:sz w:val="20"/>
        </w:rPr>
        <w:t>regulated</w:t>
      </w:r>
      <w:r>
        <w:rPr>
          <w:spacing w:val="-16"/>
          <w:sz w:val="20"/>
        </w:rPr>
        <w:t> </w:t>
      </w:r>
      <w:r>
        <w:rPr>
          <w:sz w:val="20"/>
        </w:rPr>
        <w:t>entity.</w:t>
      </w:r>
      <w:r>
        <w:rPr>
          <w:spacing w:val="-15"/>
          <w:sz w:val="20"/>
        </w:rPr>
        <w:t> </w:t>
      </w:r>
      <w:r>
        <w:rPr>
          <w:sz w:val="20"/>
        </w:rPr>
        <w:t>But</w:t>
      </w:r>
      <w:r>
        <w:rPr>
          <w:spacing w:val="-16"/>
          <w:sz w:val="20"/>
        </w:rPr>
        <w:t> </w:t>
      </w:r>
      <w:r>
        <w:rPr>
          <w:sz w:val="20"/>
        </w:rPr>
        <w:t>under</w:t>
      </w:r>
      <w:r>
        <w:rPr>
          <w:spacing w:val="-16"/>
          <w:sz w:val="20"/>
        </w:rPr>
        <w:t> </w:t>
      </w:r>
      <w:r>
        <w:rPr>
          <w:sz w:val="20"/>
        </w:rPr>
        <w:t>either</w:t>
      </w:r>
      <w:r>
        <w:rPr>
          <w:spacing w:val="-15"/>
          <w:sz w:val="20"/>
        </w:rPr>
        <w:t> </w:t>
      </w:r>
      <w:r>
        <w:rPr>
          <w:sz w:val="20"/>
        </w:rPr>
        <w:t>model, regulatory requirements focus on investor protection, suitability and transparency and result in a required local presence for financial intermediary business (in so far as it concerns retail investors). This means such business is, owing to its broad-based regulatory regime, in the same position as retail banking and retail insurance business. The activities of financial intermediaries are therefore covered by the central policy rationale for the exclusion of financial sector</w:t>
      </w:r>
      <w:r>
        <w:rPr>
          <w:spacing w:val="-11"/>
          <w:sz w:val="20"/>
        </w:rPr>
        <w:t> </w:t>
      </w:r>
      <w:r>
        <w:rPr>
          <w:sz w:val="20"/>
        </w:rPr>
        <w:t>business.</w:t>
      </w:r>
    </w:p>
    <w:p>
      <w:pPr>
        <w:pStyle w:val="ListParagraph"/>
        <w:numPr>
          <w:ilvl w:val="0"/>
          <w:numId w:val="13"/>
        </w:numPr>
        <w:tabs>
          <w:tab w:pos="1444" w:val="left" w:leader="none"/>
        </w:tabs>
        <w:spacing w:line="271" w:lineRule="auto" w:before="122" w:after="0"/>
        <w:ind w:left="723" w:right="480" w:firstLine="0"/>
        <w:jc w:val="both"/>
        <w:rPr>
          <w:sz w:val="20"/>
        </w:rPr>
      </w:pPr>
      <w:r>
        <w:rPr>
          <w:sz w:val="20"/>
        </w:rPr>
        <w:t>In the context of Amount A, investment management services raise more complex questions. Investment managers normally deal with financial intermediaries rather than directly with underlying individual investors in both the indirect and the direct business model. In the direct model, the financial intermediary that has the direct contact with the investor would be the investment manager’s affiliated broker, broker-dealer or similarly regulated entity, which serves the role of the financial intermediary. Additionally, the investment manager is normally engaged by the fund or investment vehicle, rather than investors themselves. The engagement of an investment manager by the fund vehicle generally occurs before any individuals invest in the fund. Whether the business is a CFB therefore depends on how interactions between investment managers and intermediaries are construed and in particular whether they are considered to be direct business-to-business transactions or some form of “indirect” service to consumers, through the medium of the financial</w:t>
      </w:r>
      <w:r>
        <w:rPr>
          <w:spacing w:val="-3"/>
          <w:sz w:val="20"/>
        </w:rPr>
        <w:t> </w:t>
      </w:r>
      <w:r>
        <w:rPr>
          <w:sz w:val="20"/>
        </w:rPr>
        <w:t>intermediary.</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Based</w:t>
      </w:r>
      <w:r>
        <w:rPr>
          <w:spacing w:val="-14"/>
          <w:sz w:val="20"/>
        </w:rPr>
        <w:t> </w:t>
      </w:r>
      <w:r>
        <w:rPr>
          <w:sz w:val="20"/>
        </w:rPr>
        <w:t>on</w:t>
      </w:r>
      <w:r>
        <w:rPr>
          <w:spacing w:val="-17"/>
          <w:sz w:val="20"/>
        </w:rPr>
        <w:t> </w:t>
      </w:r>
      <w:r>
        <w:rPr>
          <w:sz w:val="20"/>
        </w:rPr>
        <w:t>the</w:t>
      </w:r>
      <w:r>
        <w:rPr>
          <w:spacing w:val="-16"/>
          <w:sz w:val="20"/>
        </w:rPr>
        <w:t> </w:t>
      </w:r>
      <w:r>
        <w:rPr>
          <w:sz w:val="20"/>
        </w:rPr>
        <w:t>analysis</w:t>
      </w:r>
      <w:r>
        <w:rPr>
          <w:spacing w:val="-15"/>
          <w:sz w:val="20"/>
        </w:rPr>
        <w:t> </w:t>
      </w:r>
      <w:r>
        <w:rPr>
          <w:sz w:val="20"/>
        </w:rPr>
        <w:t>of</w:t>
      </w:r>
      <w:r>
        <w:rPr>
          <w:spacing w:val="-14"/>
          <w:sz w:val="20"/>
        </w:rPr>
        <w:t> </w:t>
      </w:r>
      <w:r>
        <w:rPr>
          <w:sz w:val="20"/>
        </w:rPr>
        <w:t>the</w:t>
      </w:r>
      <w:r>
        <w:rPr>
          <w:spacing w:val="-14"/>
          <w:sz w:val="20"/>
        </w:rPr>
        <w:t> </w:t>
      </w:r>
      <w:r>
        <w:rPr>
          <w:sz w:val="20"/>
        </w:rPr>
        <w:t>role</w:t>
      </w:r>
      <w:r>
        <w:rPr>
          <w:spacing w:val="-15"/>
          <w:sz w:val="20"/>
        </w:rPr>
        <w:t> </w:t>
      </w:r>
      <w:r>
        <w:rPr>
          <w:sz w:val="20"/>
        </w:rPr>
        <w:t>of</w:t>
      </w:r>
      <w:r>
        <w:rPr>
          <w:spacing w:val="-14"/>
          <w:sz w:val="20"/>
        </w:rPr>
        <w:t> </w:t>
      </w:r>
      <w:r>
        <w:rPr>
          <w:sz w:val="20"/>
        </w:rPr>
        <w:t>the</w:t>
      </w:r>
      <w:r>
        <w:rPr>
          <w:spacing w:val="-16"/>
          <w:sz w:val="20"/>
        </w:rPr>
        <w:t> </w:t>
      </w:r>
      <w:r>
        <w:rPr>
          <w:sz w:val="20"/>
        </w:rPr>
        <w:t>investment</w:t>
      </w:r>
      <w:r>
        <w:rPr>
          <w:spacing w:val="-17"/>
          <w:sz w:val="20"/>
        </w:rPr>
        <w:t> </w:t>
      </w:r>
      <w:r>
        <w:rPr>
          <w:sz w:val="20"/>
        </w:rPr>
        <w:t>manager,</w:t>
      </w:r>
      <w:r>
        <w:rPr>
          <w:spacing w:val="-15"/>
          <w:sz w:val="20"/>
        </w:rPr>
        <w:t> </w:t>
      </w:r>
      <w:r>
        <w:rPr>
          <w:sz w:val="20"/>
        </w:rPr>
        <w:t>on</w:t>
      </w:r>
      <w:r>
        <w:rPr>
          <w:spacing w:val="-16"/>
          <w:sz w:val="20"/>
        </w:rPr>
        <w:t> </w:t>
      </w:r>
      <w:r>
        <w:rPr>
          <w:sz w:val="20"/>
        </w:rPr>
        <w:t>balance</w:t>
      </w:r>
      <w:r>
        <w:rPr>
          <w:spacing w:val="-15"/>
          <w:sz w:val="20"/>
        </w:rPr>
        <w:t> </w:t>
      </w:r>
      <w:r>
        <w:rPr>
          <w:sz w:val="20"/>
        </w:rPr>
        <w:t>the</w:t>
      </w:r>
      <w:r>
        <w:rPr>
          <w:spacing w:val="-16"/>
          <w:sz w:val="20"/>
        </w:rPr>
        <w:t> </w:t>
      </w:r>
      <w:r>
        <w:rPr>
          <w:sz w:val="20"/>
        </w:rPr>
        <w:t>investment</w:t>
      </w:r>
      <w:r>
        <w:rPr>
          <w:spacing w:val="-18"/>
          <w:sz w:val="20"/>
        </w:rPr>
        <w:t> </w:t>
      </w:r>
      <w:r>
        <w:rPr>
          <w:sz w:val="20"/>
        </w:rPr>
        <w:t>manager’s services are properly seen as a component of the service the financial intermediary offers its clients. Businesses selling intermediate products and components that are not commonly sold to consumers (but which are incorporated into a finished product sold to consumers) would be out-of-scope of Amount A. Where</w:t>
      </w:r>
      <w:r>
        <w:rPr>
          <w:spacing w:val="-13"/>
          <w:sz w:val="20"/>
        </w:rPr>
        <w:t> </w:t>
      </w:r>
      <w:r>
        <w:rPr>
          <w:sz w:val="20"/>
        </w:rPr>
        <w:t>intermediate</w:t>
      </w:r>
      <w:r>
        <w:rPr>
          <w:spacing w:val="-11"/>
          <w:sz w:val="20"/>
        </w:rPr>
        <w:t> </w:t>
      </w:r>
      <w:r>
        <w:rPr>
          <w:sz w:val="20"/>
        </w:rPr>
        <w:t>products</w:t>
      </w:r>
      <w:r>
        <w:rPr>
          <w:spacing w:val="-11"/>
          <w:sz w:val="20"/>
        </w:rPr>
        <w:t> </w:t>
      </w:r>
      <w:r>
        <w:rPr>
          <w:sz w:val="20"/>
        </w:rPr>
        <w:t>and</w:t>
      </w:r>
      <w:r>
        <w:rPr>
          <w:spacing w:val="-13"/>
          <w:sz w:val="20"/>
        </w:rPr>
        <w:t> </w:t>
      </w:r>
      <w:r>
        <w:rPr>
          <w:sz w:val="20"/>
        </w:rPr>
        <w:t>services</w:t>
      </w:r>
      <w:r>
        <w:rPr>
          <w:spacing w:val="-9"/>
          <w:sz w:val="20"/>
        </w:rPr>
        <w:t> </w:t>
      </w:r>
      <w:r>
        <w:rPr>
          <w:sz w:val="20"/>
        </w:rPr>
        <w:t>are</w:t>
      </w:r>
      <w:r>
        <w:rPr>
          <w:spacing w:val="-12"/>
          <w:sz w:val="20"/>
        </w:rPr>
        <w:t> </w:t>
      </w:r>
      <w:r>
        <w:rPr>
          <w:sz w:val="20"/>
        </w:rPr>
        <w:t>commonly</w:t>
      </w:r>
      <w:r>
        <w:rPr>
          <w:spacing w:val="-15"/>
          <w:sz w:val="20"/>
        </w:rPr>
        <w:t> </w:t>
      </w:r>
      <w:r>
        <w:rPr>
          <w:sz w:val="20"/>
        </w:rPr>
        <w:t>sold</w:t>
      </w:r>
      <w:r>
        <w:rPr>
          <w:spacing w:val="-13"/>
          <w:sz w:val="20"/>
        </w:rPr>
        <w:t> </w:t>
      </w:r>
      <w:r>
        <w:rPr>
          <w:sz w:val="20"/>
        </w:rPr>
        <w:t>to</w:t>
      </w:r>
      <w:r>
        <w:rPr>
          <w:spacing w:val="-13"/>
          <w:sz w:val="20"/>
        </w:rPr>
        <w:t> </w:t>
      </w:r>
      <w:r>
        <w:rPr>
          <w:sz w:val="20"/>
        </w:rPr>
        <w:t>customers</w:t>
      </w:r>
      <w:r>
        <w:rPr>
          <w:spacing w:val="-11"/>
          <w:sz w:val="20"/>
        </w:rPr>
        <w:t> </w:t>
      </w:r>
      <w:r>
        <w:rPr>
          <w:sz w:val="20"/>
        </w:rPr>
        <w:t>they</w:t>
      </w:r>
      <w:r>
        <w:rPr>
          <w:spacing w:val="-16"/>
          <w:sz w:val="20"/>
        </w:rPr>
        <w:t> </w:t>
      </w:r>
      <w:r>
        <w:rPr>
          <w:sz w:val="20"/>
        </w:rPr>
        <w:t>may</w:t>
      </w:r>
      <w:r>
        <w:rPr>
          <w:spacing w:val="-14"/>
          <w:sz w:val="20"/>
        </w:rPr>
        <w:t> </w:t>
      </w:r>
      <w:r>
        <w:rPr>
          <w:sz w:val="20"/>
        </w:rPr>
        <w:t>be</w:t>
      </w:r>
      <w:r>
        <w:rPr>
          <w:spacing w:val="-11"/>
          <w:sz w:val="20"/>
        </w:rPr>
        <w:t> </w:t>
      </w:r>
      <w:r>
        <w:rPr>
          <w:sz w:val="20"/>
        </w:rPr>
        <w:t>within</w:t>
      </w:r>
      <w:r>
        <w:rPr>
          <w:spacing w:val="-13"/>
          <w:sz w:val="20"/>
        </w:rPr>
        <w:t> </w:t>
      </w:r>
      <w:r>
        <w:rPr>
          <w:sz w:val="20"/>
        </w:rPr>
        <w:t>scope</w:t>
      </w:r>
      <w:r>
        <w:rPr>
          <w:spacing w:val="-13"/>
          <w:sz w:val="20"/>
        </w:rPr>
        <w:t> </w:t>
      </w:r>
      <w:r>
        <w:rPr>
          <w:sz w:val="20"/>
        </w:rPr>
        <w:t>(e.g. where they are branded). But this does not seem to apply for investment managers, as the investment management</w:t>
      </w:r>
      <w:r>
        <w:rPr>
          <w:spacing w:val="-7"/>
          <w:sz w:val="20"/>
        </w:rPr>
        <w:t> </w:t>
      </w:r>
      <w:r>
        <w:rPr>
          <w:sz w:val="20"/>
        </w:rPr>
        <w:t>services</w:t>
      </w:r>
      <w:r>
        <w:rPr>
          <w:spacing w:val="-7"/>
          <w:sz w:val="20"/>
        </w:rPr>
        <w:t> </w:t>
      </w:r>
      <w:r>
        <w:rPr>
          <w:sz w:val="20"/>
        </w:rPr>
        <w:t>are</w:t>
      </w:r>
      <w:r>
        <w:rPr>
          <w:spacing w:val="-5"/>
          <w:sz w:val="20"/>
        </w:rPr>
        <w:t> </w:t>
      </w:r>
      <w:r>
        <w:rPr>
          <w:sz w:val="20"/>
        </w:rPr>
        <w:t>incorporated</w:t>
      </w:r>
      <w:r>
        <w:rPr>
          <w:spacing w:val="-5"/>
          <w:sz w:val="20"/>
        </w:rPr>
        <w:t> </w:t>
      </w:r>
      <w:r>
        <w:rPr>
          <w:sz w:val="20"/>
        </w:rPr>
        <w:t>into</w:t>
      </w:r>
      <w:r>
        <w:rPr>
          <w:spacing w:val="-6"/>
          <w:sz w:val="20"/>
        </w:rPr>
        <w:t> </w:t>
      </w:r>
      <w:r>
        <w:rPr>
          <w:sz w:val="20"/>
        </w:rPr>
        <w:t>the</w:t>
      </w:r>
      <w:r>
        <w:rPr>
          <w:spacing w:val="-8"/>
          <w:sz w:val="20"/>
        </w:rPr>
        <w:t> </w:t>
      </w:r>
      <w:r>
        <w:rPr>
          <w:sz w:val="20"/>
        </w:rPr>
        <w:t>service</w:t>
      </w:r>
      <w:r>
        <w:rPr>
          <w:spacing w:val="-8"/>
          <w:sz w:val="20"/>
        </w:rPr>
        <w:t> </w:t>
      </w:r>
      <w:r>
        <w:rPr>
          <w:sz w:val="20"/>
        </w:rPr>
        <w:t>the</w:t>
      </w:r>
      <w:r>
        <w:rPr>
          <w:spacing w:val="-6"/>
          <w:sz w:val="20"/>
        </w:rPr>
        <w:t> </w:t>
      </w:r>
      <w:r>
        <w:rPr>
          <w:sz w:val="20"/>
        </w:rPr>
        <w:t>intermediary</w:t>
      </w:r>
      <w:r>
        <w:rPr>
          <w:spacing w:val="-8"/>
          <w:sz w:val="20"/>
        </w:rPr>
        <w:t> </w:t>
      </w:r>
      <w:r>
        <w:rPr>
          <w:sz w:val="20"/>
        </w:rPr>
        <w:t>offers,</w:t>
      </w:r>
      <w:r>
        <w:rPr>
          <w:spacing w:val="-6"/>
          <w:sz w:val="20"/>
        </w:rPr>
        <w:t> </w:t>
      </w:r>
      <w:r>
        <w:rPr>
          <w:sz w:val="20"/>
        </w:rPr>
        <w:t>which</w:t>
      </w:r>
      <w:r>
        <w:rPr>
          <w:spacing w:val="-6"/>
          <w:sz w:val="20"/>
        </w:rPr>
        <w:t> </w:t>
      </w:r>
      <w:r>
        <w:rPr>
          <w:sz w:val="20"/>
        </w:rPr>
        <w:t>is</w:t>
      </w:r>
      <w:r>
        <w:rPr>
          <w:spacing w:val="-5"/>
          <w:sz w:val="20"/>
        </w:rPr>
        <w:t> </w:t>
      </w:r>
      <w:r>
        <w:rPr>
          <w:sz w:val="20"/>
        </w:rPr>
        <w:t>then</w:t>
      </w:r>
      <w:r>
        <w:rPr>
          <w:spacing w:val="-6"/>
          <w:sz w:val="20"/>
        </w:rPr>
        <w:t> </w:t>
      </w:r>
      <w:r>
        <w:rPr>
          <w:sz w:val="20"/>
        </w:rPr>
        <w:t>provided,</w:t>
      </w:r>
      <w:r>
        <w:rPr>
          <w:spacing w:val="-6"/>
          <w:sz w:val="20"/>
        </w:rPr>
        <w:t> </w:t>
      </w:r>
      <w:r>
        <w:rPr>
          <w:sz w:val="20"/>
        </w:rPr>
        <w:t>as a component, to consumers. On this basis, they would not be in scope of CFB. The conclusion that the services</w:t>
      </w:r>
      <w:r>
        <w:rPr>
          <w:spacing w:val="12"/>
          <w:sz w:val="20"/>
        </w:rPr>
        <w:t> </w:t>
      </w:r>
      <w:r>
        <w:rPr>
          <w:sz w:val="20"/>
        </w:rPr>
        <w:t>of</w:t>
      </w:r>
      <w:r>
        <w:rPr>
          <w:spacing w:val="13"/>
          <w:sz w:val="20"/>
        </w:rPr>
        <w:t> </w:t>
      </w:r>
      <w:r>
        <w:rPr>
          <w:sz w:val="20"/>
        </w:rPr>
        <w:t>investment</w:t>
      </w:r>
      <w:r>
        <w:rPr>
          <w:spacing w:val="9"/>
          <w:sz w:val="20"/>
        </w:rPr>
        <w:t> </w:t>
      </w:r>
      <w:r>
        <w:rPr>
          <w:sz w:val="20"/>
        </w:rPr>
        <w:t>managers</w:t>
      </w:r>
      <w:r>
        <w:rPr>
          <w:spacing w:val="13"/>
          <w:sz w:val="20"/>
        </w:rPr>
        <w:t> </w:t>
      </w:r>
      <w:r>
        <w:rPr>
          <w:sz w:val="20"/>
        </w:rPr>
        <w:t>are</w:t>
      </w:r>
      <w:r>
        <w:rPr>
          <w:spacing w:val="13"/>
          <w:sz w:val="20"/>
        </w:rPr>
        <w:t> </w:t>
      </w:r>
      <w:r>
        <w:rPr>
          <w:sz w:val="20"/>
        </w:rPr>
        <w:t>an</w:t>
      </w:r>
      <w:r>
        <w:rPr>
          <w:spacing w:val="13"/>
          <w:sz w:val="20"/>
        </w:rPr>
        <w:t> </w:t>
      </w:r>
      <w:r>
        <w:rPr>
          <w:sz w:val="20"/>
        </w:rPr>
        <w:t>intermediate</w:t>
      </w:r>
      <w:r>
        <w:rPr>
          <w:spacing w:val="13"/>
          <w:sz w:val="20"/>
        </w:rPr>
        <w:t> </w:t>
      </w:r>
      <w:r>
        <w:rPr>
          <w:sz w:val="20"/>
        </w:rPr>
        <w:t>product</w:t>
      </w:r>
      <w:r>
        <w:rPr>
          <w:spacing w:val="12"/>
          <w:sz w:val="20"/>
        </w:rPr>
        <w:t> </w:t>
      </w:r>
      <w:r>
        <w:rPr>
          <w:sz w:val="20"/>
        </w:rPr>
        <w:t>is</w:t>
      </w:r>
      <w:r>
        <w:rPr>
          <w:spacing w:val="13"/>
          <w:sz w:val="20"/>
        </w:rPr>
        <w:t> </w:t>
      </w:r>
      <w:r>
        <w:rPr>
          <w:sz w:val="20"/>
        </w:rPr>
        <w:t>supported</w:t>
      </w:r>
      <w:r>
        <w:rPr>
          <w:spacing w:val="12"/>
          <w:sz w:val="20"/>
        </w:rPr>
        <w:t> </w:t>
      </w:r>
      <w:r>
        <w:rPr>
          <w:sz w:val="20"/>
        </w:rPr>
        <w:t>by</w:t>
      </w:r>
      <w:r>
        <w:rPr>
          <w:spacing w:val="8"/>
          <w:sz w:val="20"/>
        </w:rPr>
        <w:t> </w:t>
      </w:r>
      <w:r>
        <w:rPr>
          <w:sz w:val="20"/>
        </w:rPr>
        <w:t>the</w:t>
      </w:r>
      <w:r>
        <w:rPr>
          <w:spacing w:val="12"/>
          <w:sz w:val="20"/>
        </w:rPr>
        <w:t> </w:t>
      </w:r>
      <w:r>
        <w:rPr>
          <w:sz w:val="20"/>
        </w:rPr>
        <w:t>fact</w:t>
      </w:r>
      <w:r>
        <w:rPr>
          <w:spacing w:val="12"/>
          <w:sz w:val="20"/>
        </w:rPr>
        <w:t> </w:t>
      </w:r>
      <w:r>
        <w:rPr>
          <w:sz w:val="20"/>
        </w:rPr>
        <w:t>that</w:t>
      </w:r>
      <w:r>
        <w:rPr>
          <w:spacing w:val="12"/>
          <w:sz w:val="20"/>
        </w:rPr>
        <w:t> </w:t>
      </w:r>
      <w:r>
        <w:rPr>
          <w:sz w:val="20"/>
        </w:rPr>
        <w:t>the</w:t>
      </w:r>
      <w:r>
        <w:rPr>
          <w:spacing w:val="11"/>
          <w:sz w:val="20"/>
        </w:rPr>
        <w:t> </w:t>
      </w:r>
      <w:r>
        <w:rPr>
          <w:sz w:val="20"/>
        </w:rPr>
        <w:t>financial</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intermediary</w:t>
      </w:r>
      <w:r>
        <w:rPr>
          <w:spacing w:val="-19"/>
        </w:rPr>
        <w:t> </w:t>
      </w:r>
      <w:r>
        <w:rPr/>
        <w:t>makes</w:t>
      </w:r>
      <w:r>
        <w:rPr>
          <w:spacing w:val="-15"/>
        </w:rPr>
        <w:t> </w:t>
      </w:r>
      <w:r>
        <w:rPr/>
        <w:t>a</w:t>
      </w:r>
      <w:r>
        <w:rPr>
          <w:spacing w:val="-18"/>
        </w:rPr>
        <w:t> </w:t>
      </w:r>
      <w:r>
        <w:rPr/>
        <w:t>meaningful</w:t>
      </w:r>
      <w:r>
        <w:rPr>
          <w:spacing w:val="-15"/>
        </w:rPr>
        <w:t> </w:t>
      </w:r>
      <w:r>
        <w:rPr/>
        <w:t>difference</w:t>
      </w:r>
      <w:r>
        <w:rPr>
          <w:spacing w:val="-16"/>
        </w:rPr>
        <w:t> </w:t>
      </w:r>
      <w:r>
        <w:rPr/>
        <w:t>to</w:t>
      </w:r>
      <w:r>
        <w:rPr>
          <w:spacing w:val="-16"/>
        </w:rPr>
        <w:t> </w:t>
      </w:r>
      <w:r>
        <w:rPr/>
        <w:t>the</w:t>
      </w:r>
      <w:r>
        <w:rPr>
          <w:spacing w:val="-15"/>
        </w:rPr>
        <w:t> </w:t>
      </w:r>
      <w:r>
        <w:rPr/>
        <w:t>nature</w:t>
      </w:r>
      <w:r>
        <w:rPr>
          <w:spacing w:val="-16"/>
        </w:rPr>
        <w:t> </w:t>
      </w:r>
      <w:r>
        <w:rPr/>
        <w:t>and</w:t>
      </w:r>
      <w:r>
        <w:rPr>
          <w:spacing w:val="-14"/>
        </w:rPr>
        <w:t> </w:t>
      </w:r>
      <w:r>
        <w:rPr/>
        <w:t>value</w:t>
      </w:r>
      <w:r>
        <w:rPr>
          <w:spacing w:val="-16"/>
        </w:rPr>
        <w:t> </w:t>
      </w:r>
      <w:r>
        <w:rPr/>
        <w:t>of</w:t>
      </w:r>
      <w:r>
        <w:rPr>
          <w:spacing w:val="-13"/>
        </w:rPr>
        <w:t> </w:t>
      </w:r>
      <w:r>
        <w:rPr/>
        <w:t>the</w:t>
      </w:r>
      <w:r>
        <w:rPr>
          <w:spacing w:val="-17"/>
        </w:rPr>
        <w:t> </w:t>
      </w:r>
      <w:r>
        <w:rPr/>
        <w:t>investment</w:t>
      </w:r>
      <w:r>
        <w:rPr>
          <w:spacing w:val="-16"/>
        </w:rPr>
        <w:t> </w:t>
      </w:r>
      <w:r>
        <w:rPr/>
        <w:t>management</w:t>
      </w:r>
      <w:r>
        <w:rPr>
          <w:spacing w:val="-16"/>
        </w:rPr>
        <w:t> </w:t>
      </w:r>
      <w:r>
        <w:rPr/>
        <w:t>service as a result of (i) the important role of the intermediary and (ii) the fact that investment manager interacts directly (from a legal and practical standpoint) with the fund, similar to other service providers (e.g. custodian,</w:t>
      </w:r>
      <w:r>
        <w:rPr>
          <w:spacing w:val="-6"/>
        </w:rPr>
        <w:t> </w:t>
      </w:r>
      <w:r>
        <w:rPr/>
        <w:t>transfer</w:t>
      </w:r>
      <w:r>
        <w:rPr>
          <w:spacing w:val="-2"/>
        </w:rPr>
        <w:t> </w:t>
      </w:r>
      <w:r>
        <w:rPr/>
        <w:t>agent,</w:t>
      </w:r>
      <w:r>
        <w:rPr>
          <w:spacing w:val="-5"/>
        </w:rPr>
        <w:t> </w:t>
      </w:r>
      <w:r>
        <w:rPr/>
        <w:t>fund</w:t>
      </w:r>
      <w:r>
        <w:rPr>
          <w:spacing w:val="-5"/>
        </w:rPr>
        <w:t> </w:t>
      </w:r>
      <w:r>
        <w:rPr/>
        <w:t>administrator,</w:t>
      </w:r>
      <w:r>
        <w:rPr>
          <w:spacing w:val="-4"/>
        </w:rPr>
        <w:t> </w:t>
      </w:r>
      <w:r>
        <w:rPr/>
        <w:t>etc.).</w:t>
      </w:r>
      <w:r>
        <w:rPr>
          <w:spacing w:val="-4"/>
        </w:rPr>
        <w:t> </w:t>
      </w:r>
      <w:r>
        <w:rPr/>
        <w:t>These</w:t>
      </w:r>
      <w:r>
        <w:rPr>
          <w:spacing w:val="-5"/>
        </w:rPr>
        <w:t> </w:t>
      </w:r>
      <w:r>
        <w:rPr/>
        <w:t>matters</w:t>
      </w:r>
      <w:r>
        <w:rPr>
          <w:spacing w:val="-2"/>
        </w:rPr>
        <w:t> </w:t>
      </w:r>
      <w:r>
        <w:rPr/>
        <w:t>are</w:t>
      </w:r>
      <w:r>
        <w:rPr>
          <w:spacing w:val="-4"/>
        </w:rPr>
        <w:t> </w:t>
      </w:r>
      <w:r>
        <w:rPr/>
        <w:t>discussed</w:t>
      </w:r>
      <w:r>
        <w:rPr>
          <w:spacing w:val="-6"/>
        </w:rPr>
        <w:t> </w:t>
      </w:r>
      <w:r>
        <w:rPr/>
        <w:t>further</w:t>
      </w:r>
      <w:r>
        <w:rPr>
          <w:spacing w:val="-3"/>
        </w:rPr>
        <w:t> </w:t>
      </w:r>
      <w:r>
        <w:rPr/>
        <w:t>below.</w:t>
      </w:r>
      <w:r>
        <w:rPr>
          <w:spacing w:val="-4"/>
        </w:rPr>
        <w:t> </w:t>
      </w:r>
      <w:r>
        <w:rPr/>
        <w:t>On</w:t>
      </w:r>
      <w:r>
        <w:rPr>
          <w:spacing w:val="-5"/>
        </w:rPr>
        <w:t> </w:t>
      </w:r>
      <w:r>
        <w:rPr/>
        <w:t>(i),</w:t>
      </w:r>
      <w:r>
        <w:rPr>
          <w:spacing w:val="-4"/>
        </w:rPr>
        <w:t> </w:t>
      </w:r>
      <w:r>
        <w:rPr/>
        <w:t>the financial intermediary performs important functions for the consumer, providing substantial economic value. It uses its knowledge of investment opportunities to provide the consumer with bespoke advice about the best products to buy (typically managed by unrelated investment managers) based on the consumer’s needs and risk profile. The intermediary is remunerated by either asset-based or transaction fees,</w:t>
      </w:r>
      <w:r>
        <w:rPr>
          <w:spacing w:val="-6"/>
        </w:rPr>
        <w:t> </w:t>
      </w:r>
      <w:r>
        <w:rPr/>
        <w:t>separate</w:t>
      </w:r>
      <w:r>
        <w:rPr>
          <w:spacing w:val="-6"/>
        </w:rPr>
        <w:t> </w:t>
      </w:r>
      <w:r>
        <w:rPr/>
        <w:t>from the</w:t>
      </w:r>
      <w:r>
        <w:rPr>
          <w:spacing w:val="-6"/>
        </w:rPr>
        <w:t> </w:t>
      </w:r>
      <w:r>
        <w:rPr/>
        <w:t>fee</w:t>
      </w:r>
      <w:r>
        <w:rPr>
          <w:spacing w:val="-6"/>
        </w:rPr>
        <w:t> </w:t>
      </w:r>
      <w:r>
        <w:rPr/>
        <w:t>earned</w:t>
      </w:r>
      <w:r>
        <w:rPr>
          <w:spacing w:val="-6"/>
        </w:rPr>
        <w:t> </w:t>
      </w:r>
      <w:r>
        <w:rPr/>
        <w:t>by</w:t>
      </w:r>
      <w:r>
        <w:rPr>
          <w:spacing w:val="-9"/>
        </w:rPr>
        <w:t> </w:t>
      </w:r>
      <w:r>
        <w:rPr/>
        <w:t>the</w:t>
      </w:r>
      <w:r>
        <w:rPr>
          <w:spacing w:val="-5"/>
        </w:rPr>
        <w:t> </w:t>
      </w:r>
      <w:r>
        <w:rPr/>
        <w:t>investment</w:t>
      </w:r>
      <w:r>
        <w:rPr>
          <w:spacing w:val="-8"/>
        </w:rPr>
        <w:t> </w:t>
      </w:r>
      <w:r>
        <w:rPr/>
        <w:t>manager.</w:t>
      </w:r>
      <w:r>
        <w:rPr>
          <w:spacing w:val="-5"/>
        </w:rPr>
        <w:t> </w:t>
      </w:r>
      <w:r>
        <w:rPr/>
        <w:t>These</w:t>
      </w:r>
      <w:r>
        <w:rPr>
          <w:spacing w:val="-6"/>
        </w:rPr>
        <w:t> </w:t>
      </w:r>
      <w:r>
        <w:rPr/>
        <w:t>fees</w:t>
      </w:r>
      <w:r>
        <w:rPr>
          <w:spacing w:val="-5"/>
        </w:rPr>
        <w:t> </w:t>
      </w:r>
      <w:r>
        <w:rPr/>
        <w:t>can</w:t>
      </w:r>
      <w:r>
        <w:rPr>
          <w:spacing w:val="-6"/>
        </w:rPr>
        <w:t> </w:t>
      </w:r>
      <w:r>
        <w:rPr/>
        <w:t>be</w:t>
      </w:r>
      <w:r>
        <w:rPr>
          <w:spacing w:val="-6"/>
        </w:rPr>
        <w:t> </w:t>
      </w:r>
      <w:r>
        <w:rPr/>
        <w:t>substantial.</w:t>
      </w:r>
      <w:r>
        <w:rPr>
          <w:spacing w:val="-5"/>
        </w:rPr>
        <w:t> </w:t>
      </w:r>
      <w:r>
        <w:rPr/>
        <w:t>On</w:t>
      </w:r>
      <w:r>
        <w:rPr>
          <w:spacing w:val="-7"/>
        </w:rPr>
        <w:t> </w:t>
      </w:r>
      <w:r>
        <w:rPr/>
        <w:t>(ii),</w:t>
      </w:r>
      <w:r>
        <w:rPr>
          <w:spacing w:val="-5"/>
        </w:rPr>
        <w:t> </w:t>
      </w:r>
      <w:r>
        <w:rPr/>
        <w:t>the investment manager provides its services (legally and factually) to the funds themselves, not to the investors,</w:t>
      </w:r>
      <w:r>
        <w:rPr>
          <w:spacing w:val="-4"/>
        </w:rPr>
        <w:t> </w:t>
      </w:r>
      <w:r>
        <w:rPr/>
        <w:t>and</w:t>
      </w:r>
      <w:r>
        <w:rPr>
          <w:spacing w:val="-4"/>
        </w:rPr>
        <w:t> </w:t>
      </w:r>
      <w:r>
        <w:rPr/>
        <w:t>its</w:t>
      </w:r>
      <w:r>
        <w:rPr>
          <w:spacing w:val="-3"/>
        </w:rPr>
        <w:t> </w:t>
      </w:r>
      <w:r>
        <w:rPr/>
        <w:t>fees</w:t>
      </w:r>
      <w:r>
        <w:rPr>
          <w:spacing w:val="-3"/>
        </w:rPr>
        <w:t> </w:t>
      </w:r>
      <w:r>
        <w:rPr/>
        <w:t>are</w:t>
      </w:r>
      <w:r>
        <w:rPr>
          <w:spacing w:val="-4"/>
        </w:rPr>
        <w:t> </w:t>
      </w:r>
      <w:r>
        <w:rPr/>
        <w:t>paid</w:t>
      </w:r>
      <w:r>
        <w:rPr>
          <w:spacing w:val="-2"/>
        </w:rPr>
        <w:t> </w:t>
      </w:r>
      <w:r>
        <w:rPr/>
        <w:t>by</w:t>
      </w:r>
      <w:r>
        <w:rPr>
          <w:spacing w:val="-7"/>
        </w:rPr>
        <w:t> </w:t>
      </w:r>
      <w:r>
        <w:rPr/>
        <w:t>the</w:t>
      </w:r>
      <w:r>
        <w:rPr>
          <w:spacing w:val="-4"/>
        </w:rPr>
        <w:t> </w:t>
      </w:r>
      <w:r>
        <w:rPr/>
        <w:t>funds.</w:t>
      </w:r>
      <w:r>
        <w:rPr>
          <w:spacing w:val="-2"/>
        </w:rPr>
        <w:t> </w:t>
      </w:r>
      <w:r>
        <w:rPr/>
        <w:t>A</w:t>
      </w:r>
      <w:r>
        <w:rPr>
          <w:spacing w:val="-4"/>
        </w:rPr>
        <w:t> </w:t>
      </w:r>
      <w:r>
        <w:rPr/>
        <w:t>bank</w:t>
      </w:r>
      <w:r>
        <w:rPr>
          <w:spacing w:val="-1"/>
        </w:rPr>
        <w:t> </w:t>
      </w:r>
      <w:r>
        <w:rPr/>
        <w:t>or</w:t>
      </w:r>
      <w:r>
        <w:rPr>
          <w:spacing w:val="-6"/>
        </w:rPr>
        <w:t> </w:t>
      </w:r>
      <w:r>
        <w:rPr/>
        <w:t>other</w:t>
      </w:r>
      <w:r>
        <w:rPr>
          <w:spacing w:val="-4"/>
        </w:rPr>
        <w:t> </w:t>
      </w:r>
      <w:r>
        <w:rPr/>
        <w:t>service</w:t>
      </w:r>
      <w:r>
        <w:rPr>
          <w:spacing w:val="-4"/>
        </w:rPr>
        <w:t> </w:t>
      </w:r>
      <w:r>
        <w:rPr/>
        <w:t>provider</w:t>
      </w:r>
      <w:r>
        <w:rPr>
          <w:spacing w:val="-3"/>
        </w:rPr>
        <w:t> </w:t>
      </w:r>
      <w:r>
        <w:rPr/>
        <w:t>providing</w:t>
      </w:r>
      <w:r>
        <w:rPr>
          <w:spacing w:val="-4"/>
        </w:rPr>
        <w:t> </w:t>
      </w:r>
      <w:r>
        <w:rPr/>
        <w:t>custodial,</w:t>
      </w:r>
      <w:r>
        <w:rPr>
          <w:spacing w:val="-4"/>
        </w:rPr>
        <w:t> </w:t>
      </w:r>
      <w:r>
        <w:rPr/>
        <w:t>transfer agency or administrative services to a fund works in the same way. The comparison is relevant as there seems to be no basis to think that these custodial, transfer agency or administrative services amount to services to consumers, given how indirect the benefit is to them. The funds to which the investment managers provide services have a fiduciary duty to act in the best interest of unitholders. Those services are guided by the fund’s investment strategy and objectives. The services have no regard to investors’ objectives, nor to the inflow or outflow of investors, nor to investors’ preferences about timing, diversification, liquidity, currency or anything else. These preferences are managed by financial intermediaries, as described</w:t>
      </w:r>
      <w:r>
        <w:rPr>
          <w:spacing w:val="-3"/>
        </w:rPr>
        <w:t> </w:t>
      </w:r>
      <w:r>
        <w:rPr/>
        <w:t>above.</w:t>
      </w:r>
    </w:p>
    <w:p>
      <w:pPr>
        <w:pStyle w:val="ListParagraph"/>
        <w:numPr>
          <w:ilvl w:val="0"/>
          <w:numId w:val="13"/>
        </w:numPr>
        <w:tabs>
          <w:tab w:pos="1444" w:val="left" w:leader="none"/>
        </w:tabs>
        <w:spacing w:line="271" w:lineRule="auto" w:before="122" w:after="0"/>
        <w:ind w:left="723" w:right="480" w:firstLine="0"/>
        <w:jc w:val="both"/>
        <w:rPr>
          <w:sz w:val="20"/>
        </w:rPr>
      </w:pPr>
      <w:r>
        <w:rPr>
          <w:sz w:val="20"/>
        </w:rPr>
        <w:t>In addition, there are in any event practical policy reasons to exclude investment managers from Amount A. These reasons are significant in this case as the conclusion that the investment manager’s services</w:t>
      </w:r>
      <w:r>
        <w:rPr>
          <w:spacing w:val="-10"/>
          <w:sz w:val="20"/>
        </w:rPr>
        <w:t> </w:t>
      </w:r>
      <w:r>
        <w:rPr>
          <w:sz w:val="20"/>
        </w:rPr>
        <w:t>are</w:t>
      </w:r>
      <w:r>
        <w:rPr>
          <w:spacing w:val="-8"/>
          <w:sz w:val="20"/>
        </w:rPr>
        <w:t> </w:t>
      </w:r>
      <w:r>
        <w:rPr>
          <w:sz w:val="20"/>
        </w:rPr>
        <w:t>a</w:t>
      </w:r>
      <w:r>
        <w:rPr>
          <w:spacing w:val="-9"/>
          <w:sz w:val="20"/>
        </w:rPr>
        <w:t> </w:t>
      </w:r>
      <w:r>
        <w:rPr>
          <w:sz w:val="20"/>
        </w:rPr>
        <w:t>component</w:t>
      </w:r>
      <w:r>
        <w:rPr>
          <w:spacing w:val="-8"/>
          <w:sz w:val="20"/>
        </w:rPr>
        <w:t> </w:t>
      </w:r>
      <w:r>
        <w:rPr>
          <w:sz w:val="20"/>
        </w:rPr>
        <w:t>of</w:t>
      </w:r>
      <w:r>
        <w:rPr>
          <w:spacing w:val="-8"/>
          <w:sz w:val="20"/>
        </w:rPr>
        <w:t> </w:t>
      </w:r>
      <w:r>
        <w:rPr>
          <w:sz w:val="20"/>
        </w:rPr>
        <w:t>the</w:t>
      </w:r>
      <w:r>
        <w:rPr>
          <w:spacing w:val="-12"/>
          <w:sz w:val="20"/>
        </w:rPr>
        <w:t> </w:t>
      </w:r>
      <w:r>
        <w:rPr>
          <w:sz w:val="20"/>
        </w:rPr>
        <w:t>service</w:t>
      </w:r>
      <w:r>
        <w:rPr>
          <w:spacing w:val="-11"/>
          <w:sz w:val="20"/>
        </w:rPr>
        <w:t> </w:t>
      </w:r>
      <w:r>
        <w:rPr>
          <w:sz w:val="20"/>
        </w:rPr>
        <w:t>the</w:t>
      </w:r>
      <w:r>
        <w:rPr>
          <w:spacing w:val="-11"/>
          <w:sz w:val="20"/>
        </w:rPr>
        <w:t> </w:t>
      </w:r>
      <w:r>
        <w:rPr>
          <w:sz w:val="20"/>
        </w:rPr>
        <w:t>financial</w:t>
      </w:r>
      <w:r>
        <w:rPr>
          <w:spacing w:val="-9"/>
          <w:sz w:val="20"/>
        </w:rPr>
        <w:t> </w:t>
      </w:r>
      <w:r>
        <w:rPr>
          <w:sz w:val="20"/>
        </w:rPr>
        <w:t>intermediary</w:t>
      </w:r>
      <w:r>
        <w:rPr>
          <w:spacing w:val="-15"/>
          <w:sz w:val="20"/>
        </w:rPr>
        <w:t> </w:t>
      </w:r>
      <w:r>
        <w:rPr>
          <w:sz w:val="20"/>
        </w:rPr>
        <w:t>offers</w:t>
      </w:r>
      <w:r>
        <w:rPr>
          <w:spacing w:val="-8"/>
          <w:sz w:val="20"/>
        </w:rPr>
        <w:t> </w:t>
      </w:r>
      <w:r>
        <w:rPr>
          <w:sz w:val="20"/>
        </w:rPr>
        <w:t>its</w:t>
      </w:r>
      <w:r>
        <w:rPr>
          <w:spacing w:val="-9"/>
          <w:sz w:val="20"/>
        </w:rPr>
        <w:t> </w:t>
      </w:r>
      <w:r>
        <w:rPr>
          <w:sz w:val="20"/>
        </w:rPr>
        <w:t>clients</w:t>
      </w:r>
      <w:r>
        <w:rPr>
          <w:spacing w:val="-8"/>
          <w:sz w:val="20"/>
        </w:rPr>
        <w:t> </w:t>
      </w:r>
      <w:r>
        <w:rPr>
          <w:sz w:val="20"/>
        </w:rPr>
        <w:t>may</w:t>
      </w:r>
      <w:r>
        <w:rPr>
          <w:spacing w:val="-14"/>
          <w:sz w:val="20"/>
        </w:rPr>
        <w:t> </w:t>
      </w:r>
      <w:r>
        <w:rPr>
          <w:sz w:val="20"/>
        </w:rPr>
        <w:t>be</w:t>
      </w:r>
      <w:r>
        <w:rPr>
          <w:spacing w:val="-11"/>
          <w:sz w:val="20"/>
        </w:rPr>
        <w:t> </w:t>
      </w:r>
      <w:r>
        <w:rPr>
          <w:sz w:val="20"/>
        </w:rPr>
        <w:t>debated.</w:t>
      </w:r>
      <w:r>
        <w:rPr>
          <w:spacing w:val="-8"/>
          <w:sz w:val="20"/>
        </w:rPr>
        <w:t> </w:t>
      </w:r>
      <w:r>
        <w:rPr>
          <w:sz w:val="20"/>
        </w:rPr>
        <w:t>These practical policy reasons concern access to relevant information and the practicability of the exclusion for FS</w:t>
      </w:r>
      <w:r>
        <w:rPr>
          <w:spacing w:val="-16"/>
          <w:sz w:val="20"/>
        </w:rPr>
        <w:t> </w:t>
      </w:r>
      <w:r>
        <w:rPr>
          <w:sz w:val="20"/>
        </w:rPr>
        <w:t>activities.</w:t>
      </w:r>
      <w:r>
        <w:rPr>
          <w:spacing w:val="-15"/>
          <w:sz w:val="20"/>
        </w:rPr>
        <w:t> </w:t>
      </w:r>
      <w:r>
        <w:rPr>
          <w:sz w:val="20"/>
        </w:rPr>
        <w:t>On</w:t>
      </w:r>
      <w:r>
        <w:rPr>
          <w:spacing w:val="-13"/>
          <w:sz w:val="20"/>
        </w:rPr>
        <w:t> </w:t>
      </w:r>
      <w:r>
        <w:rPr>
          <w:sz w:val="20"/>
        </w:rPr>
        <w:t>information</w:t>
      </w:r>
      <w:r>
        <w:rPr>
          <w:spacing w:val="-16"/>
          <w:sz w:val="20"/>
        </w:rPr>
        <w:t> </w:t>
      </w:r>
      <w:r>
        <w:rPr>
          <w:sz w:val="20"/>
        </w:rPr>
        <w:t>access,</w:t>
      </w:r>
      <w:r>
        <w:rPr>
          <w:spacing w:val="-15"/>
          <w:sz w:val="20"/>
        </w:rPr>
        <w:t> </w:t>
      </w:r>
      <w:r>
        <w:rPr>
          <w:sz w:val="20"/>
        </w:rPr>
        <w:t>in</w:t>
      </w:r>
      <w:r>
        <w:rPr>
          <w:spacing w:val="-15"/>
          <w:sz w:val="20"/>
        </w:rPr>
        <w:t> </w:t>
      </w:r>
      <w:r>
        <w:rPr>
          <w:sz w:val="20"/>
        </w:rPr>
        <w:t>the</w:t>
      </w:r>
      <w:r>
        <w:rPr>
          <w:spacing w:val="-16"/>
          <w:sz w:val="20"/>
        </w:rPr>
        <w:t> </w:t>
      </w:r>
      <w:r>
        <w:rPr>
          <w:sz w:val="20"/>
        </w:rPr>
        <w:t>indirect</w:t>
      </w:r>
      <w:r>
        <w:rPr>
          <w:spacing w:val="-15"/>
          <w:sz w:val="20"/>
        </w:rPr>
        <w:t> </w:t>
      </w:r>
      <w:r>
        <w:rPr>
          <w:sz w:val="20"/>
        </w:rPr>
        <w:t>model,</w:t>
      </w:r>
      <w:r>
        <w:rPr>
          <w:spacing w:val="-12"/>
          <w:sz w:val="20"/>
        </w:rPr>
        <w:t> </w:t>
      </w:r>
      <w:r>
        <w:rPr>
          <w:sz w:val="20"/>
        </w:rPr>
        <w:t>intermediaries</w:t>
      </w:r>
      <w:r>
        <w:rPr>
          <w:spacing w:val="-14"/>
          <w:sz w:val="20"/>
        </w:rPr>
        <w:t> </w:t>
      </w:r>
      <w:r>
        <w:rPr>
          <w:sz w:val="20"/>
        </w:rPr>
        <w:t>often</w:t>
      </w:r>
      <w:r>
        <w:rPr>
          <w:spacing w:val="-15"/>
          <w:sz w:val="20"/>
        </w:rPr>
        <w:t> </w:t>
      </w:r>
      <w:r>
        <w:rPr>
          <w:sz w:val="20"/>
        </w:rPr>
        <w:t>cannot</w:t>
      </w:r>
      <w:r>
        <w:rPr>
          <w:spacing w:val="-14"/>
          <w:sz w:val="20"/>
        </w:rPr>
        <w:t> </w:t>
      </w:r>
      <w:r>
        <w:rPr>
          <w:sz w:val="20"/>
        </w:rPr>
        <w:t>disclose</w:t>
      </w:r>
      <w:r>
        <w:rPr>
          <w:spacing w:val="-13"/>
          <w:sz w:val="20"/>
        </w:rPr>
        <w:t> </w:t>
      </w:r>
      <w:r>
        <w:rPr>
          <w:sz w:val="20"/>
        </w:rPr>
        <w:t>information on</w:t>
      </w:r>
      <w:r>
        <w:rPr>
          <w:spacing w:val="-8"/>
          <w:sz w:val="20"/>
        </w:rPr>
        <w:t> </w:t>
      </w:r>
      <w:r>
        <w:rPr>
          <w:sz w:val="20"/>
        </w:rPr>
        <w:t>underlying</w:t>
      </w:r>
      <w:r>
        <w:rPr>
          <w:spacing w:val="-6"/>
          <w:sz w:val="20"/>
        </w:rPr>
        <w:t> </w:t>
      </w:r>
      <w:r>
        <w:rPr>
          <w:sz w:val="20"/>
        </w:rPr>
        <w:t>investors</w:t>
      </w:r>
      <w:r>
        <w:rPr>
          <w:spacing w:val="-6"/>
          <w:sz w:val="20"/>
        </w:rPr>
        <w:t> </w:t>
      </w:r>
      <w:r>
        <w:rPr>
          <w:sz w:val="20"/>
        </w:rPr>
        <w:t>to</w:t>
      </w:r>
      <w:r>
        <w:rPr>
          <w:spacing w:val="-7"/>
          <w:sz w:val="20"/>
        </w:rPr>
        <w:t> </w:t>
      </w:r>
      <w:r>
        <w:rPr>
          <w:sz w:val="20"/>
        </w:rPr>
        <w:t>an</w:t>
      </w:r>
      <w:r>
        <w:rPr>
          <w:spacing w:val="-8"/>
          <w:sz w:val="20"/>
        </w:rPr>
        <w:t> </w:t>
      </w:r>
      <w:r>
        <w:rPr>
          <w:sz w:val="20"/>
        </w:rPr>
        <w:t>investment</w:t>
      </w:r>
      <w:r>
        <w:rPr>
          <w:spacing w:val="-7"/>
          <w:sz w:val="20"/>
        </w:rPr>
        <w:t> </w:t>
      </w:r>
      <w:r>
        <w:rPr>
          <w:sz w:val="20"/>
        </w:rPr>
        <w:t>manager</w:t>
      </w:r>
      <w:r>
        <w:rPr>
          <w:spacing w:val="-6"/>
          <w:sz w:val="20"/>
        </w:rPr>
        <w:t> </w:t>
      </w:r>
      <w:r>
        <w:rPr>
          <w:sz w:val="20"/>
        </w:rPr>
        <w:t>because</w:t>
      </w:r>
      <w:r>
        <w:rPr>
          <w:spacing w:val="-8"/>
          <w:sz w:val="20"/>
        </w:rPr>
        <w:t> </w:t>
      </w:r>
      <w:r>
        <w:rPr>
          <w:sz w:val="20"/>
        </w:rPr>
        <w:t>of</w:t>
      </w:r>
      <w:r>
        <w:rPr>
          <w:spacing w:val="-6"/>
          <w:sz w:val="20"/>
        </w:rPr>
        <w:t> </w:t>
      </w:r>
      <w:r>
        <w:rPr>
          <w:sz w:val="20"/>
        </w:rPr>
        <w:t>data</w:t>
      </w:r>
      <w:r>
        <w:rPr>
          <w:spacing w:val="-4"/>
          <w:sz w:val="20"/>
        </w:rPr>
        <w:t> </w:t>
      </w:r>
      <w:r>
        <w:rPr>
          <w:sz w:val="20"/>
        </w:rPr>
        <w:t>privacy</w:t>
      </w:r>
      <w:r>
        <w:rPr>
          <w:spacing w:val="-8"/>
          <w:sz w:val="20"/>
        </w:rPr>
        <w:t> </w:t>
      </w:r>
      <w:r>
        <w:rPr>
          <w:sz w:val="20"/>
        </w:rPr>
        <w:t>and</w:t>
      </w:r>
      <w:r>
        <w:rPr>
          <w:spacing w:val="-8"/>
          <w:sz w:val="20"/>
        </w:rPr>
        <w:t> </w:t>
      </w:r>
      <w:r>
        <w:rPr>
          <w:sz w:val="20"/>
        </w:rPr>
        <w:t>regulatory</w:t>
      </w:r>
      <w:r>
        <w:rPr>
          <w:spacing w:val="-10"/>
          <w:sz w:val="20"/>
        </w:rPr>
        <w:t> </w:t>
      </w:r>
      <w:r>
        <w:rPr>
          <w:sz w:val="20"/>
        </w:rPr>
        <w:t>restrictions</w:t>
      </w:r>
      <w:r>
        <w:rPr>
          <w:spacing w:val="-7"/>
          <w:sz w:val="20"/>
        </w:rPr>
        <w:t> </w:t>
      </w:r>
      <w:r>
        <w:rPr>
          <w:sz w:val="20"/>
        </w:rPr>
        <w:t>and the nature of proprietary customer lists. The investment manager therefore often cannot access the information</w:t>
      </w:r>
      <w:r>
        <w:rPr>
          <w:spacing w:val="-7"/>
          <w:sz w:val="20"/>
        </w:rPr>
        <w:t> </w:t>
      </w:r>
      <w:r>
        <w:rPr>
          <w:sz w:val="20"/>
        </w:rPr>
        <w:t>needed</w:t>
      </w:r>
      <w:r>
        <w:rPr>
          <w:spacing w:val="-5"/>
          <w:sz w:val="20"/>
        </w:rPr>
        <w:t> </w:t>
      </w:r>
      <w:r>
        <w:rPr>
          <w:sz w:val="20"/>
        </w:rPr>
        <w:t>to</w:t>
      </w:r>
      <w:r>
        <w:rPr>
          <w:spacing w:val="-4"/>
          <w:sz w:val="20"/>
        </w:rPr>
        <w:t> </w:t>
      </w:r>
      <w:r>
        <w:rPr>
          <w:sz w:val="20"/>
        </w:rPr>
        <w:t>identify</w:t>
      </w:r>
      <w:r>
        <w:rPr>
          <w:spacing w:val="-10"/>
          <w:sz w:val="20"/>
        </w:rPr>
        <w:t> </w:t>
      </w:r>
      <w:r>
        <w:rPr>
          <w:sz w:val="20"/>
        </w:rPr>
        <w:t>market</w:t>
      </w:r>
      <w:r>
        <w:rPr>
          <w:spacing w:val="-6"/>
          <w:sz w:val="20"/>
        </w:rPr>
        <w:t> </w:t>
      </w:r>
      <w:r>
        <w:rPr>
          <w:sz w:val="20"/>
        </w:rPr>
        <w:t>jurisdictions.</w:t>
      </w:r>
      <w:r>
        <w:rPr>
          <w:spacing w:val="-4"/>
          <w:sz w:val="20"/>
        </w:rPr>
        <w:t> </w:t>
      </w:r>
      <w:r>
        <w:rPr>
          <w:sz w:val="20"/>
        </w:rPr>
        <w:t>In</w:t>
      </w:r>
      <w:r>
        <w:rPr>
          <w:spacing w:val="-4"/>
          <w:sz w:val="20"/>
        </w:rPr>
        <w:t> </w:t>
      </w:r>
      <w:r>
        <w:rPr>
          <w:sz w:val="20"/>
        </w:rPr>
        <w:t>addition,</w:t>
      </w:r>
      <w:r>
        <w:rPr>
          <w:spacing w:val="-5"/>
          <w:sz w:val="20"/>
        </w:rPr>
        <w:t> </w:t>
      </w:r>
      <w:r>
        <w:rPr>
          <w:sz w:val="20"/>
        </w:rPr>
        <w:t>there</w:t>
      </w:r>
      <w:r>
        <w:rPr>
          <w:spacing w:val="-4"/>
          <w:sz w:val="20"/>
        </w:rPr>
        <w:t> </w:t>
      </w:r>
      <w:r>
        <w:rPr>
          <w:sz w:val="20"/>
        </w:rPr>
        <w:t>are</w:t>
      </w:r>
      <w:r>
        <w:rPr>
          <w:spacing w:val="-4"/>
          <w:sz w:val="20"/>
        </w:rPr>
        <w:t> </w:t>
      </w:r>
      <w:r>
        <w:rPr>
          <w:sz w:val="20"/>
        </w:rPr>
        <w:t>the</w:t>
      </w:r>
      <w:r>
        <w:rPr>
          <w:spacing w:val="-4"/>
          <w:sz w:val="20"/>
        </w:rPr>
        <w:t> </w:t>
      </w:r>
      <w:r>
        <w:rPr>
          <w:sz w:val="20"/>
        </w:rPr>
        <w:t>practical</w:t>
      </w:r>
      <w:r>
        <w:rPr>
          <w:spacing w:val="-7"/>
          <w:sz w:val="20"/>
        </w:rPr>
        <w:t> </w:t>
      </w:r>
      <w:r>
        <w:rPr>
          <w:sz w:val="20"/>
        </w:rPr>
        <w:t>problems</w:t>
      </w:r>
      <w:r>
        <w:rPr>
          <w:spacing w:val="-5"/>
          <w:sz w:val="20"/>
        </w:rPr>
        <w:t> </w:t>
      </w:r>
      <w:r>
        <w:rPr>
          <w:sz w:val="20"/>
        </w:rPr>
        <w:t>caused</w:t>
      </w:r>
      <w:r>
        <w:rPr>
          <w:spacing w:val="-6"/>
          <w:sz w:val="20"/>
        </w:rPr>
        <w:t> </w:t>
      </w:r>
      <w:r>
        <w:rPr>
          <w:sz w:val="20"/>
        </w:rPr>
        <w:t>by the constant change in the identity of investors in a fund, and the fact that the investor base will often be in</w:t>
      </w:r>
      <w:r>
        <w:rPr>
          <w:spacing w:val="-10"/>
          <w:sz w:val="20"/>
        </w:rPr>
        <w:t> </w:t>
      </w:r>
      <w:r>
        <w:rPr>
          <w:sz w:val="20"/>
        </w:rPr>
        <w:t>a</w:t>
      </w:r>
      <w:r>
        <w:rPr>
          <w:spacing w:val="-8"/>
          <w:sz w:val="20"/>
        </w:rPr>
        <w:t> </w:t>
      </w:r>
      <w:r>
        <w:rPr>
          <w:sz w:val="20"/>
        </w:rPr>
        <w:t>state</w:t>
      </w:r>
      <w:r>
        <w:rPr>
          <w:spacing w:val="-7"/>
          <w:sz w:val="20"/>
        </w:rPr>
        <w:t> </w:t>
      </w:r>
      <w:r>
        <w:rPr>
          <w:sz w:val="20"/>
        </w:rPr>
        <w:t>of</w:t>
      </w:r>
      <w:r>
        <w:rPr>
          <w:spacing w:val="-8"/>
          <w:sz w:val="20"/>
        </w:rPr>
        <w:t> </w:t>
      </w:r>
      <w:r>
        <w:rPr>
          <w:sz w:val="20"/>
        </w:rPr>
        <w:t>constant</w:t>
      </w:r>
      <w:r>
        <w:rPr>
          <w:spacing w:val="-7"/>
          <w:sz w:val="20"/>
        </w:rPr>
        <w:t> </w:t>
      </w:r>
      <w:r>
        <w:rPr>
          <w:sz w:val="20"/>
        </w:rPr>
        <w:t>flux</w:t>
      </w:r>
      <w:r>
        <w:rPr>
          <w:spacing w:val="-9"/>
          <w:sz w:val="20"/>
        </w:rPr>
        <w:t> </w:t>
      </w:r>
      <w:r>
        <w:rPr>
          <w:sz w:val="20"/>
        </w:rPr>
        <w:t>as</w:t>
      </w:r>
      <w:r>
        <w:rPr>
          <w:spacing w:val="-7"/>
          <w:sz w:val="20"/>
        </w:rPr>
        <w:t> </w:t>
      </w:r>
      <w:r>
        <w:rPr>
          <w:sz w:val="20"/>
        </w:rPr>
        <w:t>regards</w:t>
      </w:r>
      <w:r>
        <w:rPr>
          <w:spacing w:val="-7"/>
          <w:sz w:val="20"/>
        </w:rPr>
        <w:t> </w:t>
      </w:r>
      <w:r>
        <w:rPr>
          <w:sz w:val="20"/>
        </w:rPr>
        <w:t>the</w:t>
      </w:r>
      <w:r>
        <w:rPr>
          <w:spacing w:val="-10"/>
          <w:sz w:val="20"/>
        </w:rPr>
        <w:t> </w:t>
      </w:r>
      <w:r>
        <w:rPr>
          <w:sz w:val="20"/>
        </w:rPr>
        <w:t>percentage</w:t>
      </w:r>
      <w:r>
        <w:rPr>
          <w:spacing w:val="-3"/>
          <w:sz w:val="20"/>
        </w:rPr>
        <w:t> </w:t>
      </w:r>
      <w:r>
        <w:rPr>
          <w:sz w:val="20"/>
        </w:rPr>
        <w:t>of</w:t>
      </w:r>
      <w:r>
        <w:rPr>
          <w:spacing w:val="-7"/>
          <w:sz w:val="20"/>
        </w:rPr>
        <w:t> </w:t>
      </w:r>
      <w:r>
        <w:rPr>
          <w:sz w:val="20"/>
        </w:rPr>
        <w:t>retail</w:t>
      </w:r>
      <w:r>
        <w:rPr>
          <w:spacing w:val="-8"/>
          <w:sz w:val="20"/>
        </w:rPr>
        <w:t> </w:t>
      </w:r>
      <w:r>
        <w:rPr>
          <w:sz w:val="20"/>
        </w:rPr>
        <w:t>investors</w:t>
      </w:r>
      <w:r>
        <w:rPr>
          <w:spacing w:val="-7"/>
          <w:sz w:val="20"/>
        </w:rPr>
        <w:t> </w:t>
      </w:r>
      <w:r>
        <w:rPr>
          <w:sz w:val="20"/>
        </w:rPr>
        <w:t>(consumers)</w:t>
      </w:r>
      <w:r>
        <w:rPr>
          <w:spacing w:val="-11"/>
          <w:sz w:val="20"/>
        </w:rPr>
        <w:t> </w:t>
      </w:r>
      <w:r>
        <w:rPr>
          <w:sz w:val="20"/>
        </w:rPr>
        <w:t>and</w:t>
      </w:r>
      <w:r>
        <w:rPr>
          <w:spacing w:val="-7"/>
          <w:sz w:val="20"/>
        </w:rPr>
        <w:t> </w:t>
      </w:r>
      <w:r>
        <w:rPr>
          <w:sz w:val="20"/>
        </w:rPr>
        <w:t>other</w:t>
      </w:r>
      <w:r>
        <w:rPr>
          <w:spacing w:val="-7"/>
          <w:sz w:val="20"/>
        </w:rPr>
        <w:t> </w:t>
      </w:r>
      <w:r>
        <w:rPr>
          <w:sz w:val="20"/>
        </w:rPr>
        <w:t>professional and</w:t>
      </w:r>
      <w:r>
        <w:rPr>
          <w:spacing w:val="-10"/>
          <w:sz w:val="20"/>
        </w:rPr>
        <w:t> </w:t>
      </w:r>
      <w:r>
        <w:rPr>
          <w:sz w:val="20"/>
        </w:rPr>
        <w:t>institutional</w:t>
      </w:r>
      <w:r>
        <w:rPr>
          <w:spacing w:val="-12"/>
          <w:sz w:val="20"/>
        </w:rPr>
        <w:t> </w:t>
      </w:r>
      <w:r>
        <w:rPr>
          <w:sz w:val="20"/>
        </w:rPr>
        <w:t>investors.</w:t>
      </w:r>
      <w:r>
        <w:rPr>
          <w:spacing w:val="-9"/>
          <w:sz w:val="20"/>
        </w:rPr>
        <w:t> </w:t>
      </w:r>
      <w:r>
        <w:rPr>
          <w:sz w:val="20"/>
        </w:rPr>
        <w:t>The</w:t>
      </w:r>
      <w:r>
        <w:rPr>
          <w:spacing w:val="-12"/>
          <w:sz w:val="20"/>
        </w:rPr>
        <w:t> </w:t>
      </w:r>
      <w:r>
        <w:rPr>
          <w:sz w:val="20"/>
        </w:rPr>
        <w:t>process</w:t>
      </w:r>
      <w:r>
        <w:rPr>
          <w:spacing w:val="-10"/>
          <w:sz w:val="20"/>
        </w:rPr>
        <w:t> </w:t>
      </w:r>
      <w:r>
        <w:rPr>
          <w:sz w:val="20"/>
        </w:rPr>
        <w:t>of</w:t>
      </w:r>
      <w:r>
        <w:rPr>
          <w:spacing w:val="-10"/>
          <w:sz w:val="20"/>
        </w:rPr>
        <w:t> </w:t>
      </w:r>
      <w:r>
        <w:rPr>
          <w:sz w:val="20"/>
        </w:rPr>
        <w:t>tracing</w:t>
      </w:r>
      <w:r>
        <w:rPr>
          <w:spacing w:val="-12"/>
          <w:sz w:val="20"/>
        </w:rPr>
        <w:t> </w:t>
      </w:r>
      <w:r>
        <w:rPr>
          <w:sz w:val="20"/>
        </w:rPr>
        <w:t>the</w:t>
      </w:r>
      <w:r>
        <w:rPr>
          <w:spacing w:val="-12"/>
          <w:sz w:val="20"/>
        </w:rPr>
        <w:t> </w:t>
      </w:r>
      <w:r>
        <w:rPr>
          <w:sz w:val="20"/>
        </w:rPr>
        <w:t>identity</w:t>
      </w:r>
      <w:r>
        <w:rPr>
          <w:spacing w:val="-15"/>
          <w:sz w:val="20"/>
        </w:rPr>
        <w:t> </w:t>
      </w:r>
      <w:r>
        <w:rPr>
          <w:sz w:val="20"/>
        </w:rPr>
        <w:t>and</w:t>
      </w:r>
      <w:r>
        <w:rPr>
          <w:spacing w:val="-12"/>
          <w:sz w:val="20"/>
        </w:rPr>
        <w:t> </w:t>
      </w:r>
      <w:r>
        <w:rPr>
          <w:sz w:val="20"/>
        </w:rPr>
        <w:t>balance</w:t>
      </w:r>
      <w:r>
        <w:rPr>
          <w:spacing w:val="-12"/>
          <w:sz w:val="20"/>
        </w:rPr>
        <w:t> </w:t>
      </w:r>
      <w:r>
        <w:rPr>
          <w:sz w:val="20"/>
        </w:rPr>
        <w:t>of</w:t>
      </w:r>
      <w:r>
        <w:rPr>
          <w:spacing w:val="-9"/>
          <w:sz w:val="20"/>
        </w:rPr>
        <w:t> </w:t>
      </w:r>
      <w:r>
        <w:rPr>
          <w:sz w:val="20"/>
        </w:rPr>
        <w:t>the</w:t>
      </w:r>
      <w:r>
        <w:rPr>
          <w:spacing w:val="-12"/>
          <w:sz w:val="20"/>
        </w:rPr>
        <w:t> </w:t>
      </w:r>
      <w:r>
        <w:rPr>
          <w:sz w:val="20"/>
        </w:rPr>
        <w:t>investor</w:t>
      </w:r>
      <w:r>
        <w:rPr>
          <w:spacing w:val="-11"/>
          <w:sz w:val="20"/>
        </w:rPr>
        <w:t> </w:t>
      </w:r>
      <w:r>
        <w:rPr>
          <w:sz w:val="20"/>
        </w:rPr>
        <w:t>mix</w:t>
      </w:r>
      <w:r>
        <w:rPr>
          <w:spacing w:val="-10"/>
          <w:sz w:val="20"/>
        </w:rPr>
        <w:t> </w:t>
      </w:r>
      <w:r>
        <w:rPr>
          <w:sz w:val="20"/>
        </w:rPr>
        <w:t>will</w:t>
      </w:r>
      <w:r>
        <w:rPr>
          <w:spacing w:val="-12"/>
          <w:sz w:val="20"/>
        </w:rPr>
        <w:t> </w:t>
      </w:r>
      <w:r>
        <w:rPr>
          <w:sz w:val="20"/>
        </w:rPr>
        <w:t>be</w:t>
      </w:r>
      <w:r>
        <w:rPr>
          <w:spacing w:val="-12"/>
          <w:sz w:val="20"/>
        </w:rPr>
        <w:t> </w:t>
      </w:r>
      <w:r>
        <w:rPr>
          <w:sz w:val="20"/>
        </w:rPr>
        <w:t>further complicated by the fact that funds commonly invest in other funds. Further, if there were no exclusion for investment</w:t>
      </w:r>
      <w:r>
        <w:rPr>
          <w:spacing w:val="-13"/>
          <w:sz w:val="20"/>
        </w:rPr>
        <w:t> </w:t>
      </w:r>
      <w:r>
        <w:rPr>
          <w:sz w:val="20"/>
        </w:rPr>
        <w:t>management</w:t>
      </w:r>
      <w:r>
        <w:rPr>
          <w:spacing w:val="-11"/>
          <w:sz w:val="20"/>
        </w:rPr>
        <w:t> </w:t>
      </w:r>
      <w:r>
        <w:rPr>
          <w:sz w:val="20"/>
        </w:rPr>
        <w:t>activity,</w:t>
      </w:r>
      <w:r>
        <w:rPr>
          <w:spacing w:val="-10"/>
          <w:sz w:val="20"/>
        </w:rPr>
        <w:t> </w:t>
      </w:r>
      <w:r>
        <w:rPr>
          <w:sz w:val="20"/>
        </w:rPr>
        <w:t>banks</w:t>
      </w:r>
      <w:r>
        <w:rPr>
          <w:spacing w:val="-10"/>
          <w:sz w:val="20"/>
        </w:rPr>
        <w:t> </w:t>
      </w:r>
      <w:r>
        <w:rPr>
          <w:sz w:val="20"/>
        </w:rPr>
        <w:t>and</w:t>
      </w:r>
      <w:r>
        <w:rPr>
          <w:spacing w:val="-11"/>
          <w:sz w:val="20"/>
        </w:rPr>
        <w:t> </w:t>
      </w:r>
      <w:r>
        <w:rPr>
          <w:sz w:val="20"/>
        </w:rPr>
        <w:t>insurance</w:t>
      </w:r>
      <w:r>
        <w:rPr>
          <w:spacing w:val="-9"/>
          <w:sz w:val="20"/>
        </w:rPr>
        <w:t> </w:t>
      </w:r>
      <w:r>
        <w:rPr>
          <w:sz w:val="20"/>
        </w:rPr>
        <w:t>companies</w:t>
      </w:r>
      <w:r>
        <w:rPr>
          <w:spacing w:val="-9"/>
          <w:sz w:val="20"/>
        </w:rPr>
        <w:t> </w:t>
      </w:r>
      <w:r>
        <w:rPr>
          <w:sz w:val="20"/>
        </w:rPr>
        <w:t>(assuming</w:t>
      </w:r>
      <w:r>
        <w:rPr>
          <w:spacing w:val="-11"/>
          <w:sz w:val="20"/>
        </w:rPr>
        <w:t> </w:t>
      </w:r>
      <w:r>
        <w:rPr>
          <w:sz w:val="20"/>
        </w:rPr>
        <w:t>they</w:t>
      </w:r>
      <w:r>
        <w:rPr>
          <w:spacing w:val="-13"/>
          <w:sz w:val="20"/>
        </w:rPr>
        <w:t> </w:t>
      </w:r>
      <w:r>
        <w:rPr>
          <w:sz w:val="20"/>
        </w:rPr>
        <w:t>are</w:t>
      </w:r>
      <w:r>
        <w:rPr>
          <w:spacing w:val="-5"/>
          <w:sz w:val="20"/>
        </w:rPr>
        <w:t> </w:t>
      </w:r>
      <w:r>
        <w:rPr>
          <w:sz w:val="20"/>
        </w:rPr>
        <w:t>out-of-scope)</w:t>
      </w:r>
      <w:r>
        <w:rPr>
          <w:spacing w:val="-9"/>
          <w:sz w:val="20"/>
        </w:rPr>
        <w:t> </w:t>
      </w:r>
      <w:r>
        <w:rPr>
          <w:sz w:val="20"/>
        </w:rPr>
        <w:t>could face complex issues. This is because they also conduct investment management business, and would therefore need to isolate their profits from their investment management services. Another concern would be the extensive practical difficulties in establishing and enforcing a definition of in-scope investment management business. The fungible nature of financial products means there can be economic equivalence between investment management advice and the embedded features and performance of a structured product offered by a bank, like an indexed certificate of deposit or a swap, and a similar investment offered in an insurance wrapper, such </w:t>
      </w:r>
      <w:r>
        <w:rPr>
          <w:spacing w:val="2"/>
          <w:sz w:val="20"/>
        </w:rPr>
        <w:t>as </w:t>
      </w:r>
      <w:r>
        <w:rPr>
          <w:sz w:val="20"/>
        </w:rPr>
        <w:t>an annuity, by an insurance company. For all these reasons, it is concluded that the activities of investment managers do, and should, fall outside the scope of CFB. However, those jurisdictions which do not support exclusion for asset management sector from the scope of Amount A, believe that the asset management sector is very lightly regulated, which (unlike retail</w:t>
      </w:r>
      <w:r>
        <w:rPr>
          <w:spacing w:val="-5"/>
          <w:sz w:val="20"/>
        </w:rPr>
        <w:t> </w:t>
      </w:r>
      <w:r>
        <w:rPr>
          <w:sz w:val="20"/>
        </w:rPr>
        <w:t>banking)</w:t>
      </w:r>
      <w:r>
        <w:rPr>
          <w:spacing w:val="-2"/>
          <w:sz w:val="20"/>
        </w:rPr>
        <w:t> </w:t>
      </w:r>
      <w:r>
        <w:rPr>
          <w:sz w:val="20"/>
        </w:rPr>
        <w:t>may</w:t>
      </w:r>
      <w:r>
        <w:rPr>
          <w:spacing w:val="-7"/>
          <w:sz w:val="20"/>
        </w:rPr>
        <w:t> </w:t>
      </w:r>
      <w:r>
        <w:rPr>
          <w:sz w:val="20"/>
        </w:rPr>
        <w:t>not</w:t>
      </w:r>
      <w:r>
        <w:rPr>
          <w:spacing w:val="-1"/>
          <w:sz w:val="20"/>
        </w:rPr>
        <w:t> </w:t>
      </w:r>
      <w:r>
        <w:rPr>
          <w:sz w:val="20"/>
        </w:rPr>
        <w:t>ensure that</w:t>
      </w:r>
      <w:r>
        <w:rPr>
          <w:spacing w:val="-3"/>
          <w:sz w:val="20"/>
        </w:rPr>
        <w:t> </w:t>
      </w:r>
      <w:r>
        <w:rPr>
          <w:sz w:val="20"/>
        </w:rPr>
        <w:t>the</w:t>
      </w:r>
      <w:r>
        <w:rPr>
          <w:spacing w:val="-3"/>
          <w:sz w:val="20"/>
        </w:rPr>
        <w:t> </w:t>
      </w:r>
      <w:r>
        <w:rPr>
          <w:sz w:val="20"/>
        </w:rPr>
        <w:t>major</w:t>
      </w:r>
      <w:r>
        <w:rPr>
          <w:spacing w:val="-4"/>
          <w:sz w:val="20"/>
        </w:rPr>
        <w:t> </w:t>
      </w:r>
      <w:r>
        <w:rPr>
          <w:sz w:val="20"/>
        </w:rPr>
        <w:t>part</w:t>
      </w:r>
      <w:r>
        <w:rPr>
          <w:spacing w:val="-3"/>
          <w:sz w:val="20"/>
        </w:rPr>
        <w:t> </w:t>
      </w:r>
      <w:r>
        <w:rPr>
          <w:sz w:val="20"/>
        </w:rPr>
        <w:t>of</w:t>
      </w:r>
      <w:r>
        <w:rPr>
          <w:spacing w:val="-1"/>
          <w:sz w:val="20"/>
        </w:rPr>
        <w:t> </w:t>
      </w:r>
      <w:r>
        <w:rPr>
          <w:sz w:val="20"/>
        </w:rPr>
        <w:t>residual</w:t>
      </w:r>
      <w:r>
        <w:rPr>
          <w:spacing w:val="-4"/>
          <w:sz w:val="20"/>
        </w:rPr>
        <w:t> </w:t>
      </w:r>
      <w:r>
        <w:rPr>
          <w:sz w:val="20"/>
        </w:rPr>
        <w:t>profit</w:t>
      </w:r>
      <w:r>
        <w:rPr>
          <w:spacing w:val="2"/>
          <w:sz w:val="20"/>
        </w:rPr>
        <w:t> </w:t>
      </w:r>
      <w:r>
        <w:rPr>
          <w:sz w:val="20"/>
        </w:rPr>
        <w:t>is</w:t>
      </w:r>
      <w:r>
        <w:rPr>
          <w:spacing w:val="-3"/>
          <w:sz w:val="20"/>
        </w:rPr>
        <w:t> </w:t>
      </w:r>
      <w:r>
        <w:rPr>
          <w:sz w:val="20"/>
        </w:rPr>
        <w:t>captured</w:t>
      </w:r>
      <w:r>
        <w:rPr>
          <w:spacing w:val="-1"/>
          <w:sz w:val="20"/>
        </w:rPr>
        <w:t> </w:t>
      </w:r>
      <w:r>
        <w:rPr>
          <w:sz w:val="20"/>
        </w:rPr>
        <w:t>in</w:t>
      </w:r>
      <w:r>
        <w:rPr>
          <w:spacing w:val="-1"/>
          <w:sz w:val="20"/>
        </w:rPr>
        <w:t> </w:t>
      </w:r>
      <w:r>
        <w:rPr>
          <w:sz w:val="20"/>
        </w:rPr>
        <w:t>market</w:t>
      </w:r>
      <w:r>
        <w:rPr>
          <w:spacing w:val="-6"/>
          <w:sz w:val="20"/>
        </w:rPr>
        <w:t> </w:t>
      </w:r>
      <w:r>
        <w:rPr>
          <w:sz w:val="20"/>
        </w:rPr>
        <w:t>jurisdictions.</w:t>
      </w:r>
    </w:p>
    <w:p>
      <w:pPr>
        <w:pStyle w:val="BodyText"/>
        <w:spacing w:before="5"/>
      </w:pPr>
    </w:p>
    <w:p>
      <w:pPr>
        <w:pStyle w:val="Heading7"/>
        <w:rPr>
          <w:i/>
        </w:rPr>
      </w:pPr>
      <w:bookmarkStart w:name="Infrastructure and general construction " w:id="65"/>
      <w:bookmarkEnd w:id="65"/>
      <w:r>
        <w:rPr>
          <w:i w:val="0"/>
        </w:rPr>
      </w:r>
      <w:r>
        <w:rPr>
          <w:i/>
          <w:color w:val="616161"/>
        </w:rPr>
        <w:t>Infrastructure and general construction business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9" w:firstLine="0"/>
        <w:jc w:val="both"/>
        <w:rPr>
          <w:sz w:val="20"/>
        </w:rPr>
      </w:pPr>
      <w:r>
        <w:rPr>
          <w:sz w:val="20"/>
        </w:rPr>
        <w:t>Infrastructure construction is the provision of physical structures and facilities such as buildings, roads,</w:t>
      </w:r>
      <w:r>
        <w:rPr>
          <w:spacing w:val="-5"/>
          <w:sz w:val="20"/>
        </w:rPr>
        <w:t> </w:t>
      </w:r>
      <w:r>
        <w:rPr>
          <w:sz w:val="20"/>
        </w:rPr>
        <w:t>bridges,</w:t>
      </w:r>
      <w:r>
        <w:rPr>
          <w:spacing w:val="-7"/>
          <w:sz w:val="20"/>
        </w:rPr>
        <w:t> </w:t>
      </w:r>
      <w:r>
        <w:rPr>
          <w:sz w:val="20"/>
        </w:rPr>
        <w:t>tunnels,</w:t>
      </w:r>
      <w:r>
        <w:rPr>
          <w:spacing w:val="-5"/>
          <w:sz w:val="20"/>
        </w:rPr>
        <w:t> </w:t>
      </w:r>
      <w:r>
        <w:rPr>
          <w:sz w:val="20"/>
        </w:rPr>
        <w:t>power</w:t>
      </w:r>
      <w:r>
        <w:rPr>
          <w:spacing w:val="-7"/>
          <w:sz w:val="20"/>
        </w:rPr>
        <w:t> </w:t>
      </w:r>
      <w:r>
        <w:rPr>
          <w:sz w:val="20"/>
        </w:rPr>
        <w:t>plants,</w:t>
      </w:r>
      <w:r>
        <w:rPr>
          <w:spacing w:val="-7"/>
          <w:sz w:val="20"/>
        </w:rPr>
        <w:t> </w:t>
      </w:r>
      <w:r>
        <w:rPr>
          <w:sz w:val="20"/>
        </w:rPr>
        <w:t>and</w:t>
      </w:r>
      <w:r>
        <w:rPr>
          <w:spacing w:val="-6"/>
          <w:sz w:val="20"/>
        </w:rPr>
        <w:t> </w:t>
      </w:r>
      <w:r>
        <w:rPr>
          <w:sz w:val="20"/>
        </w:rPr>
        <w:t>airports.</w:t>
      </w:r>
      <w:r>
        <w:rPr>
          <w:spacing w:val="-7"/>
          <w:sz w:val="20"/>
        </w:rPr>
        <w:t> </w:t>
      </w:r>
      <w:r>
        <w:rPr>
          <w:sz w:val="20"/>
        </w:rPr>
        <w:t>Infrastructure</w:t>
      </w:r>
      <w:r>
        <w:rPr>
          <w:spacing w:val="-7"/>
          <w:sz w:val="20"/>
        </w:rPr>
        <w:t> </w:t>
      </w:r>
      <w:r>
        <w:rPr>
          <w:sz w:val="20"/>
        </w:rPr>
        <w:t>projects</w:t>
      </w:r>
      <w:r>
        <w:rPr>
          <w:spacing w:val="-5"/>
          <w:sz w:val="20"/>
        </w:rPr>
        <w:t> </w:t>
      </w:r>
      <w:r>
        <w:rPr>
          <w:sz w:val="20"/>
        </w:rPr>
        <w:t>can</w:t>
      </w:r>
      <w:r>
        <w:rPr>
          <w:spacing w:val="-5"/>
          <w:sz w:val="20"/>
        </w:rPr>
        <w:t> </w:t>
      </w:r>
      <w:r>
        <w:rPr>
          <w:sz w:val="20"/>
        </w:rPr>
        <w:t>be</w:t>
      </w:r>
      <w:r>
        <w:rPr>
          <w:spacing w:val="-5"/>
          <w:sz w:val="20"/>
        </w:rPr>
        <w:t> </w:t>
      </w:r>
      <w:r>
        <w:rPr>
          <w:sz w:val="20"/>
        </w:rPr>
        <w:t>broadly</w:t>
      </w:r>
      <w:r>
        <w:rPr>
          <w:spacing w:val="-8"/>
          <w:sz w:val="20"/>
        </w:rPr>
        <w:t> </w:t>
      </w:r>
      <w:r>
        <w:rPr>
          <w:sz w:val="20"/>
        </w:rPr>
        <w:t>categorised</w:t>
      </w:r>
      <w:r>
        <w:rPr>
          <w:spacing w:val="-5"/>
          <w:sz w:val="20"/>
        </w:rPr>
        <w:t> </w:t>
      </w:r>
      <w:r>
        <w:rPr>
          <w:sz w:val="20"/>
        </w:rPr>
        <w:t>into B2G and B2B projects, where the government or a commercial enterprise acquires the infrastructure for use by the public (e.g. a road) or by the business (e.g. a</w:t>
      </w:r>
      <w:r>
        <w:rPr>
          <w:spacing w:val="-20"/>
          <w:sz w:val="20"/>
        </w:rPr>
        <w:t> </w:t>
      </w:r>
      <w:r>
        <w:rPr>
          <w:sz w:val="20"/>
        </w:rPr>
        <w:t>port).</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6" w:firstLine="0"/>
        <w:jc w:val="both"/>
        <w:rPr>
          <w:sz w:val="20"/>
        </w:rPr>
      </w:pPr>
      <w:r>
        <w:rPr>
          <w:sz w:val="20"/>
        </w:rPr>
        <w:t>General</w:t>
      </w:r>
      <w:r>
        <w:rPr>
          <w:spacing w:val="-13"/>
          <w:sz w:val="20"/>
        </w:rPr>
        <w:t> </w:t>
      </w:r>
      <w:r>
        <w:rPr>
          <w:sz w:val="20"/>
        </w:rPr>
        <w:t>construction</w:t>
      </w:r>
      <w:r>
        <w:rPr>
          <w:spacing w:val="-13"/>
          <w:sz w:val="20"/>
        </w:rPr>
        <w:t> </w:t>
      </w:r>
      <w:r>
        <w:rPr>
          <w:sz w:val="20"/>
        </w:rPr>
        <w:t>can</w:t>
      </w:r>
      <w:r>
        <w:rPr>
          <w:spacing w:val="-13"/>
          <w:sz w:val="20"/>
        </w:rPr>
        <w:t> </w:t>
      </w:r>
      <w:r>
        <w:rPr>
          <w:sz w:val="20"/>
        </w:rPr>
        <w:t>be</w:t>
      </w:r>
      <w:r>
        <w:rPr>
          <w:spacing w:val="-15"/>
          <w:sz w:val="20"/>
        </w:rPr>
        <w:t> </w:t>
      </w:r>
      <w:r>
        <w:rPr>
          <w:sz w:val="20"/>
        </w:rPr>
        <w:t>broken</w:t>
      </w:r>
      <w:r>
        <w:rPr>
          <w:spacing w:val="-13"/>
          <w:sz w:val="20"/>
        </w:rPr>
        <w:t> </w:t>
      </w:r>
      <w:r>
        <w:rPr>
          <w:sz w:val="20"/>
        </w:rPr>
        <w:t>down</w:t>
      </w:r>
      <w:r>
        <w:rPr>
          <w:spacing w:val="-11"/>
          <w:sz w:val="20"/>
        </w:rPr>
        <w:t> </w:t>
      </w:r>
      <w:r>
        <w:rPr>
          <w:sz w:val="20"/>
        </w:rPr>
        <w:t>into</w:t>
      </w:r>
      <w:r>
        <w:rPr>
          <w:spacing w:val="-13"/>
          <w:sz w:val="20"/>
        </w:rPr>
        <w:t> </w:t>
      </w:r>
      <w:r>
        <w:rPr>
          <w:sz w:val="20"/>
        </w:rPr>
        <w:t>commercial</w:t>
      </w:r>
      <w:r>
        <w:rPr>
          <w:spacing w:val="-13"/>
          <w:sz w:val="20"/>
        </w:rPr>
        <w:t> </w:t>
      </w:r>
      <w:r>
        <w:rPr>
          <w:sz w:val="20"/>
        </w:rPr>
        <w:t>and</w:t>
      </w:r>
      <w:r>
        <w:rPr>
          <w:spacing w:val="-15"/>
          <w:sz w:val="20"/>
        </w:rPr>
        <w:t> </w:t>
      </w:r>
      <w:r>
        <w:rPr>
          <w:sz w:val="20"/>
        </w:rPr>
        <w:t>residential.</w:t>
      </w:r>
      <w:r>
        <w:rPr>
          <w:spacing w:val="-7"/>
          <w:sz w:val="20"/>
        </w:rPr>
        <w:t> </w:t>
      </w:r>
      <w:r>
        <w:rPr>
          <w:sz w:val="20"/>
        </w:rPr>
        <w:t>Commercial</w:t>
      </w:r>
      <w:r>
        <w:rPr>
          <w:spacing w:val="-16"/>
          <w:sz w:val="20"/>
        </w:rPr>
        <w:t> </w:t>
      </w:r>
      <w:r>
        <w:rPr>
          <w:sz w:val="20"/>
        </w:rPr>
        <w:t>real</w:t>
      </w:r>
      <w:r>
        <w:rPr>
          <w:spacing w:val="-13"/>
          <w:sz w:val="20"/>
        </w:rPr>
        <w:t> </w:t>
      </w:r>
      <w:r>
        <w:rPr>
          <w:sz w:val="20"/>
        </w:rPr>
        <w:t>estate includes</w:t>
      </w:r>
      <w:r>
        <w:rPr>
          <w:spacing w:val="-8"/>
          <w:sz w:val="20"/>
        </w:rPr>
        <w:t> </w:t>
      </w:r>
      <w:r>
        <w:rPr>
          <w:sz w:val="20"/>
        </w:rPr>
        <w:t>the</w:t>
      </w:r>
      <w:r>
        <w:rPr>
          <w:spacing w:val="-8"/>
          <w:sz w:val="20"/>
        </w:rPr>
        <w:t> </w:t>
      </w:r>
      <w:r>
        <w:rPr>
          <w:sz w:val="20"/>
        </w:rPr>
        <w:t>provision</w:t>
      </w:r>
      <w:r>
        <w:rPr>
          <w:spacing w:val="-10"/>
          <w:sz w:val="20"/>
        </w:rPr>
        <w:t> </w:t>
      </w:r>
      <w:r>
        <w:rPr>
          <w:sz w:val="20"/>
        </w:rPr>
        <w:t>of</w:t>
      </w:r>
      <w:r>
        <w:rPr>
          <w:spacing w:val="-7"/>
          <w:sz w:val="20"/>
        </w:rPr>
        <w:t> </w:t>
      </w:r>
      <w:r>
        <w:rPr>
          <w:sz w:val="20"/>
        </w:rPr>
        <w:t>office</w:t>
      </w:r>
      <w:r>
        <w:rPr>
          <w:spacing w:val="-9"/>
          <w:sz w:val="20"/>
        </w:rPr>
        <w:t> </w:t>
      </w:r>
      <w:r>
        <w:rPr>
          <w:sz w:val="20"/>
        </w:rPr>
        <w:t>buildings,</w:t>
      </w:r>
      <w:r>
        <w:rPr>
          <w:spacing w:val="-10"/>
          <w:sz w:val="20"/>
        </w:rPr>
        <w:t> </w:t>
      </w:r>
      <w:r>
        <w:rPr>
          <w:sz w:val="20"/>
        </w:rPr>
        <w:t>hotels,</w:t>
      </w:r>
      <w:r>
        <w:rPr>
          <w:spacing w:val="-10"/>
          <w:sz w:val="20"/>
        </w:rPr>
        <w:t> </w:t>
      </w:r>
      <w:r>
        <w:rPr>
          <w:sz w:val="20"/>
        </w:rPr>
        <w:t>factories</w:t>
      </w:r>
      <w:r>
        <w:rPr>
          <w:spacing w:val="-8"/>
          <w:sz w:val="20"/>
        </w:rPr>
        <w:t> </w:t>
      </w:r>
      <w:r>
        <w:rPr>
          <w:sz w:val="20"/>
        </w:rPr>
        <w:t>and</w:t>
      </w:r>
      <w:r>
        <w:rPr>
          <w:spacing w:val="-8"/>
          <w:sz w:val="20"/>
        </w:rPr>
        <w:t> </w:t>
      </w:r>
      <w:r>
        <w:rPr>
          <w:sz w:val="20"/>
        </w:rPr>
        <w:t>warehouses.</w:t>
      </w:r>
      <w:r>
        <w:rPr>
          <w:spacing w:val="-10"/>
          <w:sz w:val="20"/>
        </w:rPr>
        <w:t> </w:t>
      </w:r>
      <w:r>
        <w:rPr>
          <w:sz w:val="20"/>
        </w:rPr>
        <w:t>These</w:t>
      </w:r>
      <w:r>
        <w:rPr>
          <w:spacing w:val="-10"/>
          <w:sz w:val="20"/>
        </w:rPr>
        <w:t> </w:t>
      </w:r>
      <w:r>
        <w:rPr>
          <w:sz w:val="20"/>
        </w:rPr>
        <w:t>are</w:t>
      </w:r>
      <w:r>
        <w:rPr>
          <w:spacing w:val="-9"/>
          <w:sz w:val="20"/>
        </w:rPr>
        <w:t> </w:t>
      </w:r>
      <w:r>
        <w:rPr>
          <w:sz w:val="20"/>
        </w:rPr>
        <w:t>developed</w:t>
      </w:r>
      <w:r>
        <w:rPr>
          <w:spacing w:val="-8"/>
          <w:sz w:val="20"/>
        </w:rPr>
        <w:t> </w:t>
      </w:r>
      <w:r>
        <w:rPr>
          <w:sz w:val="20"/>
        </w:rPr>
        <w:t>and</w:t>
      </w:r>
      <w:r>
        <w:rPr>
          <w:spacing w:val="-8"/>
          <w:sz w:val="20"/>
        </w:rPr>
        <w:t> </w:t>
      </w:r>
      <w:r>
        <w:rPr>
          <w:sz w:val="20"/>
        </w:rPr>
        <w:t>sold or leased for use by other</w:t>
      </w:r>
      <w:r>
        <w:rPr>
          <w:spacing w:val="-7"/>
          <w:sz w:val="20"/>
        </w:rPr>
        <w:t> </w:t>
      </w:r>
      <w:r>
        <w:rPr>
          <w:sz w:val="20"/>
        </w:rPr>
        <w:t>businesses.</w:t>
      </w:r>
    </w:p>
    <w:p>
      <w:pPr>
        <w:pStyle w:val="ListParagraph"/>
        <w:numPr>
          <w:ilvl w:val="0"/>
          <w:numId w:val="13"/>
        </w:numPr>
        <w:tabs>
          <w:tab w:pos="1444" w:val="left" w:leader="none"/>
        </w:tabs>
        <w:spacing w:line="271" w:lineRule="auto" w:before="120" w:after="0"/>
        <w:ind w:left="723" w:right="485" w:firstLine="0"/>
        <w:jc w:val="both"/>
        <w:rPr>
          <w:sz w:val="20"/>
        </w:rPr>
      </w:pPr>
      <w:r>
        <w:rPr>
          <w:sz w:val="20"/>
        </w:rPr>
        <w:t>Neither</w:t>
      </w:r>
      <w:r>
        <w:rPr>
          <w:spacing w:val="-9"/>
          <w:sz w:val="20"/>
        </w:rPr>
        <w:t> </w:t>
      </w:r>
      <w:r>
        <w:rPr>
          <w:sz w:val="20"/>
        </w:rPr>
        <w:t>infrastructure</w:t>
      </w:r>
      <w:r>
        <w:rPr>
          <w:spacing w:val="-9"/>
          <w:sz w:val="20"/>
        </w:rPr>
        <w:t> </w:t>
      </w:r>
      <w:r>
        <w:rPr>
          <w:sz w:val="20"/>
        </w:rPr>
        <w:t>construction</w:t>
      </w:r>
      <w:r>
        <w:rPr>
          <w:spacing w:val="-10"/>
          <w:sz w:val="20"/>
        </w:rPr>
        <w:t> </w:t>
      </w:r>
      <w:r>
        <w:rPr>
          <w:sz w:val="20"/>
        </w:rPr>
        <w:t>nor</w:t>
      </w:r>
      <w:r>
        <w:rPr>
          <w:spacing w:val="-9"/>
          <w:sz w:val="20"/>
        </w:rPr>
        <w:t> </w:t>
      </w:r>
      <w:r>
        <w:rPr>
          <w:sz w:val="20"/>
        </w:rPr>
        <w:t>general</w:t>
      </w:r>
      <w:r>
        <w:rPr>
          <w:spacing w:val="-12"/>
          <w:sz w:val="20"/>
        </w:rPr>
        <w:t> </w:t>
      </w:r>
      <w:r>
        <w:rPr>
          <w:sz w:val="20"/>
        </w:rPr>
        <w:t>commercial</w:t>
      </w:r>
      <w:r>
        <w:rPr>
          <w:spacing w:val="-13"/>
          <w:sz w:val="20"/>
        </w:rPr>
        <w:t> </w:t>
      </w:r>
      <w:r>
        <w:rPr>
          <w:sz w:val="20"/>
        </w:rPr>
        <w:t>construction</w:t>
      </w:r>
      <w:r>
        <w:rPr>
          <w:spacing w:val="-9"/>
          <w:sz w:val="20"/>
        </w:rPr>
        <w:t> </w:t>
      </w:r>
      <w:r>
        <w:rPr>
          <w:sz w:val="20"/>
        </w:rPr>
        <w:t>is</w:t>
      </w:r>
      <w:r>
        <w:rPr>
          <w:spacing w:val="-9"/>
          <w:sz w:val="20"/>
        </w:rPr>
        <w:t> </w:t>
      </w:r>
      <w:r>
        <w:rPr>
          <w:sz w:val="20"/>
        </w:rPr>
        <w:t>within</w:t>
      </w:r>
      <w:r>
        <w:rPr>
          <w:spacing w:val="-13"/>
          <w:sz w:val="20"/>
        </w:rPr>
        <w:t> </w:t>
      </w:r>
      <w:r>
        <w:rPr>
          <w:sz w:val="20"/>
        </w:rPr>
        <w:t>the</w:t>
      </w:r>
      <w:r>
        <w:rPr>
          <w:spacing w:val="-13"/>
          <w:sz w:val="20"/>
        </w:rPr>
        <w:t> </w:t>
      </w:r>
      <w:r>
        <w:rPr>
          <w:sz w:val="20"/>
        </w:rPr>
        <w:t>scope</w:t>
      </w:r>
      <w:r>
        <w:rPr>
          <w:spacing w:val="-10"/>
          <w:sz w:val="20"/>
        </w:rPr>
        <w:t> </w:t>
      </w:r>
      <w:r>
        <w:rPr>
          <w:sz w:val="20"/>
        </w:rPr>
        <w:t>of</w:t>
      </w:r>
      <w:r>
        <w:rPr>
          <w:spacing w:val="-9"/>
          <w:sz w:val="20"/>
        </w:rPr>
        <w:t> </w:t>
      </w:r>
      <w:r>
        <w:rPr>
          <w:sz w:val="20"/>
        </w:rPr>
        <w:t>ADS or CFB based on first principles. They would not fall within the definition of ADS, not being a service delivered</w:t>
      </w:r>
      <w:r>
        <w:rPr>
          <w:spacing w:val="-8"/>
          <w:sz w:val="20"/>
        </w:rPr>
        <w:t> </w:t>
      </w:r>
      <w:r>
        <w:rPr>
          <w:sz w:val="20"/>
        </w:rPr>
        <w:t>over</w:t>
      </w:r>
      <w:r>
        <w:rPr>
          <w:spacing w:val="-8"/>
          <w:sz w:val="20"/>
        </w:rPr>
        <w:t> </w:t>
      </w:r>
      <w:r>
        <w:rPr>
          <w:sz w:val="20"/>
        </w:rPr>
        <w:t>the</w:t>
      </w:r>
      <w:r>
        <w:rPr>
          <w:spacing w:val="-9"/>
          <w:sz w:val="20"/>
        </w:rPr>
        <w:t> </w:t>
      </w:r>
      <w:r>
        <w:rPr>
          <w:sz w:val="20"/>
        </w:rPr>
        <w:t>Internet</w:t>
      </w:r>
      <w:r>
        <w:rPr>
          <w:spacing w:val="-6"/>
          <w:sz w:val="20"/>
        </w:rPr>
        <w:t> </w:t>
      </w:r>
      <w:r>
        <w:rPr>
          <w:sz w:val="20"/>
        </w:rPr>
        <w:t>but</w:t>
      </w:r>
      <w:r>
        <w:rPr>
          <w:spacing w:val="-10"/>
          <w:sz w:val="20"/>
        </w:rPr>
        <w:t> </w:t>
      </w:r>
      <w:r>
        <w:rPr>
          <w:sz w:val="20"/>
        </w:rPr>
        <w:t>by</w:t>
      </w:r>
      <w:r>
        <w:rPr>
          <w:spacing w:val="-10"/>
          <w:sz w:val="20"/>
        </w:rPr>
        <w:t> </w:t>
      </w:r>
      <w:r>
        <w:rPr>
          <w:sz w:val="20"/>
        </w:rPr>
        <w:t>physical</w:t>
      </w:r>
      <w:r>
        <w:rPr>
          <w:spacing w:val="-10"/>
          <w:sz w:val="20"/>
        </w:rPr>
        <w:t> </w:t>
      </w:r>
      <w:r>
        <w:rPr>
          <w:sz w:val="20"/>
        </w:rPr>
        <w:t>delivery,</w:t>
      </w:r>
      <w:r>
        <w:rPr>
          <w:spacing w:val="-7"/>
          <w:sz w:val="20"/>
        </w:rPr>
        <w:t> </w:t>
      </w:r>
      <w:r>
        <w:rPr>
          <w:sz w:val="20"/>
        </w:rPr>
        <w:t>and</w:t>
      </w:r>
      <w:r>
        <w:rPr>
          <w:spacing w:val="-9"/>
          <w:sz w:val="20"/>
        </w:rPr>
        <w:t> </w:t>
      </w:r>
      <w:r>
        <w:rPr>
          <w:sz w:val="20"/>
        </w:rPr>
        <w:t>requiring</w:t>
      </w:r>
      <w:r>
        <w:rPr>
          <w:spacing w:val="-10"/>
          <w:sz w:val="20"/>
        </w:rPr>
        <w:t> </w:t>
      </w:r>
      <w:r>
        <w:rPr>
          <w:sz w:val="20"/>
        </w:rPr>
        <w:t>significant</w:t>
      </w:r>
      <w:r>
        <w:rPr>
          <w:spacing w:val="-9"/>
          <w:sz w:val="20"/>
        </w:rPr>
        <w:t> </w:t>
      </w:r>
      <w:r>
        <w:rPr>
          <w:sz w:val="20"/>
        </w:rPr>
        <w:t>human</w:t>
      </w:r>
      <w:r>
        <w:rPr>
          <w:spacing w:val="-9"/>
          <w:sz w:val="20"/>
        </w:rPr>
        <w:t> </w:t>
      </w:r>
      <w:r>
        <w:rPr>
          <w:sz w:val="20"/>
        </w:rPr>
        <w:t>intervention</w:t>
      </w:r>
      <w:r>
        <w:rPr>
          <w:spacing w:val="-8"/>
          <w:sz w:val="20"/>
        </w:rPr>
        <w:t> </w:t>
      </w:r>
      <w:r>
        <w:rPr>
          <w:sz w:val="20"/>
        </w:rPr>
        <w:t>to</w:t>
      </w:r>
      <w:r>
        <w:rPr>
          <w:spacing w:val="-7"/>
          <w:sz w:val="20"/>
        </w:rPr>
        <w:t> </w:t>
      </w:r>
      <w:r>
        <w:rPr>
          <w:sz w:val="20"/>
        </w:rPr>
        <w:t>provide the services. Construction of commercial real estate would also not fall within CFB. It is inherently of a scale beyond an individual’s private need or enjoyment. Although an individual may make use of the infrastructure or building (e.g. driving across a bridge or working in an office building), it is not sold to or otherwise acquired by the individual as a product for their personal use. They are therefore not of a type commonly sold to consumers. Therefore, under the general definition, these are not in</w:t>
      </w:r>
      <w:r>
        <w:rPr>
          <w:spacing w:val="-25"/>
          <w:sz w:val="20"/>
        </w:rPr>
        <w:t> </w:t>
      </w:r>
      <w:r>
        <w:rPr>
          <w:sz w:val="20"/>
        </w:rPr>
        <w:t>scope.</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w:t>
      </w:r>
      <w:r>
        <w:rPr>
          <w:spacing w:val="-9"/>
          <w:sz w:val="20"/>
        </w:rPr>
        <w:t> </w:t>
      </w:r>
      <w:r>
        <w:rPr>
          <w:sz w:val="20"/>
        </w:rPr>
        <w:t>third</w:t>
      </w:r>
      <w:r>
        <w:rPr>
          <w:spacing w:val="-9"/>
          <w:sz w:val="20"/>
        </w:rPr>
        <w:t> </w:t>
      </w:r>
      <w:r>
        <w:rPr>
          <w:sz w:val="20"/>
        </w:rPr>
        <w:t>segment,</w:t>
      </w:r>
      <w:r>
        <w:rPr>
          <w:spacing w:val="-9"/>
          <w:sz w:val="20"/>
        </w:rPr>
        <w:t> </w:t>
      </w:r>
      <w:r>
        <w:rPr>
          <w:sz w:val="20"/>
        </w:rPr>
        <w:t>residential</w:t>
      </w:r>
      <w:r>
        <w:rPr>
          <w:spacing w:val="-10"/>
          <w:sz w:val="20"/>
        </w:rPr>
        <w:t> </w:t>
      </w:r>
      <w:r>
        <w:rPr>
          <w:sz w:val="20"/>
        </w:rPr>
        <w:t>real</w:t>
      </w:r>
      <w:r>
        <w:rPr>
          <w:spacing w:val="-7"/>
          <w:sz w:val="20"/>
        </w:rPr>
        <w:t> </w:t>
      </w:r>
      <w:r>
        <w:rPr>
          <w:sz w:val="20"/>
        </w:rPr>
        <w:t>estate,</w:t>
      </w:r>
      <w:r>
        <w:rPr>
          <w:spacing w:val="-9"/>
          <w:sz w:val="20"/>
        </w:rPr>
        <w:t> </w:t>
      </w:r>
      <w:r>
        <w:rPr>
          <w:sz w:val="20"/>
        </w:rPr>
        <w:t>refers</w:t>
      </w:r>
      <w:r>
        <w:rPr>
          <w:spacing w:val="-7"/>
          <w:sz w:val="20"/>
        </w:rPr>
        <w:t> </w:t>
      </w:r>
      <w:r>
        <w:rPr>
          <w:sz w:val="20"/>
        </w:rPr>
        <w:t>to</w:t>
      </w:r>
      <w:r>
        <w:rPr>
          <w:spacing w:val="-9"/>
          <w:sz w:val="20"/>
        </w:rPr>
        <w:t> </w:t>
      </w:r>
      <w:r>
        <w:rPr>
          <w:sz w:val="20"/>
        </w:rPr>
        <w:t>the</w:t>
      </w:r>
      <w:r>
        <w:rPr>
          <w:spacing w:val="-7"/>
          <w:sz w:val="20"/>
        </w:rPr>
        <w:t> </w:t>
      </w:r>
      <w:r>
        <w:rPr>
          <w:sz w:val="20"/>
        </w:rPr>
        <w:t>construction</w:t>
      </w:r>
      <w:r>
        <w:rPr>
          <w:spacing w:val="-7"/>
          <w:sz w:val="20"/>
        </w:rPr>
        <w:t> </w:t>
      </w:r>
      <w:r>
        <w:rPr>
          <w:sz w:val="20"/>
        </w:rPr>
        <w:t>of</w:t>
      </w:r>
      <w:r>
        <w:rPr>
          <w:spacing w:val="-7"/>
          <w:sz w:val="20"/>
        </w:rPr>
        <w:t> </w:t>
      </w:r>
      <w:r>
        <w:rPr>
          <w:sz w:val="20"/>
        </w:rPr>
        <w:t>buildings</w:t>
      </w:r>
      <w:r>
        <w:rPr>
          <w:spacing w:val="-8"/>
          <w:sz w:val="20"/>
        </w:rPr>
        <w:t> </w:t>
      </w:r>
      <w:r>
        <w:rPr>
          <w:sz w:val="20"/>
        </w:rPr>
        <w:t>for</w:t>
      </w:r>
      <w:r>
        <w:rPr>
          <w:spacing w:val="-6"/>
          <w:sz w:val="20"/>
        </w:rPr>
        <w:t> </w:t>
      </w:r>
      <w:r>
        <w:rPr>
          <w:sz w:val="20"/>
        </w:rPr>
        <w:t>the</w:t>
      </w:r>
      <w:r>
        <w:rPr>
          <w:spacing w:val="-9"/>
          <w:sz w:val="20"/>
        </w:rPr>
        <w:t> </w:t>
      </w:r>
      <w:r>
        <w:rPr>
          <w:sz w:val="20"/>
        </w:rPr>
        <w:t>customer’s personal use, such as an apartment or house. Applying the general definition of CFB, MNEs that sell residential real estate would be in scope, given that the nature of the product is of a type commonly sold to consumer. Consumers acquire real estate for personal use; the real estate is designed for sale to consumers (being made available in a form for consumption by individuals, where the MNE has set itself up to supply the real estate to consumers); and it is sold (including leased) to consumers. The MNEs that would be the CFB would be the “owner” of the brand and the direct “retailer” of the real estate (which in both cases may be the</w:t>
      </w:r>
      <w:r>
        <w:rPr>
          <w:spacing w:val="-7"/>
          <w:sz w:val="20"/>
        </w:rPr>
        <w:t> </w:t>
      </w:r>
      <w:r>
        <w:rPr>
          <w:sz w:val="20"/>
        </w:rPr>
        <w:t>developer).</w:t>
      </w:r>
      <w:r>
        <w:rPr>
          <w:sz w:val="20"/>
          <w:vertAlign w:val="superscript"/>
        </w:rPr>
        <w:t>32</w:t>
      </w:r>
    </w:p>
    <w:p>
      <w:pPr>
        <w:pStyle w:val="ListParagraph"/>
        <w:numPr>
          <w:ilvl w:val="0"/>
          <w:numId w:val="13"/>
        </w:numPr>
        <w:tabs>
          <w:tab w:pos="1444" w:val="left" w:leader="none"/>
        </w:tabs>
        <w:spacing w:line="271" w:lineRule="auto" w:before="122" w:after="0"/>
        <w:ind w:left="723" w:right="484" w:firstLine="0"/>
        <w:jc w:val="both"/>
        <w:rPr>
          <w:sz w:val="20"/>
        </w:rPr>
      </w:pPr>
      <w:r>
        <w:rPr>
          <w:sz w:val="20"/>
        </w:rPr>
        <w:t>However,</w:t>
      </w:r>
      <w:r>
        <w:rPr>
          <w:spacing w:val="-6"/>
          <w:sz w:val="20"/>
        </w:rPr>
        <w:t> </w:t>
      </w:r>
      <w:r>
        <w:rPr>
          <w:sz w:val="20"/>
        </w:rPr>
        <w:t>this</w:t>
      </w:r>
      <w:r>
        <w:rPr>
          <w:spacing w:val="-2"/>
          <w:sz w:val="20"/>
        </w:rPr>
        <w:t> </w:t>
      </w:r>
      <w:r>
        <w:rPr>
          <w:sz w:val="20"/>
        </w:rPr>
        <w:t>outcome</w:t>
      </w:r>
      <w:r>
        <w:rPr>
          <w:spacing w:val="-6"/>
          <w:sz w:val="20"/>
        </w:rPr>
        <w:t> </w:t>
      </w:r>
      <w:r>
        <w:rPr>
          <w:sz w:val="20"/>
        </w:rPr>
        <w:t>does</w:t>
      </w:r>
      <w:r>
        <w:rPr>
          <w:spacing w:val="-4"/>
          <w:sz w:val="20"/>
        </w:rPr>
        <w:t> </w:t>
      </w:r>
      <w:r>
        <w:rPr>
          <w:sz w:val="20"/>
        </w:rPr>
        <w:t>not</w:t>
      </w:r>
      <w:r>
        <w:rPr>
          <w:spacing w:val="-5"/>
          <w:sz w:val="20"/>
        </w:rPr>
        <w:t> </w:t>
      </w:r>
      <w:r>
        <w:rPr>
          <w:sz w:val="20"/>
        </w:rPr>
        <w:t>align</w:t>
      </w:r>
      <w:r>
        <w:rPr>
          <w:spacing w:val="-4"/>
          <w:sz w:val="20"/>
        </w:rPr>
        <w:t> </w:t>
      </w:r>
      <w:r>
        <w:rPr>
          <w:sz w:val="20"/>
        </w:rPr>
        <w:t>with</w:t>
      </w:r>
      <w:r>
        <w:rPr>
          <w:spacing w:val="-7"/>
          <w:sz w:val="20"/>
        </w:rPr>
        <w:t> </w:t>
      </w:r>
      <w:r>
        <w:rPr>
          <w:sz w:val="20"/>
        </w:rPr>
        <w:t>the</w:t>
      </w:r>
      <w:r>
        <w:rPr>
          <w:spacing w:val="-6"/>
          <w:sz w:val="20"/>
        </w:rPr>
        <w:t> </w:t>
      </w:r>
      <w:r>
        <w:rPr>
          <w:sz w:val="20"/>
        </w:rPr>
        <w:t>policy</w:t>
      </w:r>
      <w:r>
        <w:rPr>
          <w:spacing w:val="-4"/>
          <w:sz w:val="20"/>
        </w:rPr>
        <w:t> </w:t>
      </w:r>
      <w:r>
        <w:rPr>
          <w:sz w:val="20"/>
        </w:rPr>
        <w:t>rationale</w:t>
      </w:r>
      <w:r>
        <w:rPr>
          <w:spacing w:val="-6"/>
          <w:sz w:val="20"/>
        </w:rPr>
        <w:t> </w:t>
      </w:r>
      <w:r>
        <w:rPr>
          <w:sz w:val="20"/>
        </w:rPr>
        <w:t>for</w:t>
      </w:r>
      <w:r>
        <w:rPr>
          <w:spacing w:val="-5"/>
          <w:sz w:val="20"/>
        </w:rPr>
        <w:t> </w:t>
      </w:r>
      <w:r>
        <w:rPr>
          <w:sz w:val="20"/>
        </w:rPr>
        <w:t>Amount</w:t>
      </w:r>
      <w:r>
        <w:rPr>
          <w:spacing w:val="-4"/>
          <w:sz w:val="20"/>
        </w:rPr>
        <w:t> </w:t>
      </w:r>
      <w:r>
        <w:rPr>
          <w:sz w:val="20"/>
        </w:rPr>
        <w:t>A.</w:t>
      </w:r>
      <w:r>
        <w:rPr>
          <w:spacing w:val="-5"/>
          <w:sz w:val="20"/>
        </w:rPr>
        <w:t> </w:t>
      </w:r>
      <w:r>
        <w:rPr>
          <w:sz w:val="20"/>
        </w:rPr>
        <w:t>That</w:t>
      </w:r>
      <w:r>
        <w:rPr>
          <w:spacing w:val="-6"/>
          <w:sz w:val="20"/>
        </w:rPr>
        <w:t> </w:t>
      </w:r>
      <w:r>
        <w:rPr>
          <w:sz w:val="20"/>
        </w:rPr>
        <w:t>is</w:t>
      </w:r>
      <w:r>
        <w:rPr>
          <w:spacing w:val="-4"/>
          <w:sz w:val="20"/>
        </w:rPr>
        <w:t> </w:t>
      </w:r>
      <w:r>
        <w:rPr>
          <w:sz w:val="20"/>
        </w:rPr>
        <w:t>(i)</w:t>
      </w:r>
      <w:r>
        <w:rPr>
          <w:spacing w:val="-4"/>
          <w:sz w:val="20"/>
        </w:rPr>
        <w:t> </w:t>
      </w:r>
      <w:r>
        <w:rPr>
          <w:sz w:val="20"/>
        </w:rPr>
        <w:t>MNEs</w:t>
      </w:r>
      <w:r>
        <w:rPr>
          <w:spacing w:val="-4"/>
          <w:sz w:val="20"/>
        </w:rPr>
        <w:t> </w:t>
      </w:r>
      <w:r>
        <w:rPr>
          <w:sz w:val="20"/>
        </w:rPr>
        <w:t>can engage</w:t>
      </w:r>
      <w:r>
        <w:rPr>
          <w:spacing w:val="-13"/>
          <w:sz w:val="20"/>
        </w:rPr>
        <w:t> </w:t>
      </w:r>
      <w:r>
        <w:rPr>
          <w:sz w:val="20"/>
        </w:rPr>
        <w:t>with</w:t>
      </w:r>
      <w:r>
        <w:rPr>
          <w:spacing w:val="-12"/>
          <w:sz w:val="20"/>
        </w:rPr>
        <w:t> </w:t>
      </w:r>
      <w:r>
        <w:rPr>
          <w:sz w:val="20"/>
        </w:rPr>
        <w:t>consumers</w:t>
      </w:r>
      <w:r>
        <w:rPr>
          <w:spacing w:val="-12"/>
          <w:sz w:val="20"/>
        </w:rPr>
        <w:t> </w:t>
      </w:r>
      <w:r>
        <w:rPr>
          <w:sz w:val="20"/>
        </w:rPr>
        <w:t>in</w:t>
      </w:r>
      <w:r>
        <w:rPr>
          <w:spacing w:val="-15"/>
          <w:sz w:val="20"/>
        </w:rPr>
        <w:t> </w:t>
      </w:r>
      <w:r>
        <w:rPr>
          <w:sz w:val="20"/>
        </w:rPr>
        <w:t>a</w:t>
      </w:r>
      <w:r>
        <w:rPr>
          <w:spacing w:val="-12"/>
          <w:sz w:val="20"/>
        </w:rPr>
        <w:t> </w:t>
      </w:r>
      <w:r>
        <w:rPr>
          <w:sz w:val="20"/>
        </w:rPr>
        <w:t>market</w:t>
      </w:r>
      <w:r>
        <w:rPr>
          <w:spacing w:val="-14"/>
          <w:sz w:val="20"/>
        </w:rPr>
        <w:t> </w:t>
      </w:r>
      <w:r>
        <w:rPr>
          <w:sz w:val="20"/>
        </w:rPr>
        <w:t>jurisdiction</w:t>
      </w:r>
      <w:r>
        <w:rPr>
          <w:spacing w:val="-14"/>
          <w:sz w:val="20"/>
        </w:rPr>
        <w:t> </w:t>
      </w:r>
      <w:r>
        <w:rPr>
          <w:sz w:val="20"/>
        </w:rPr>
        <w:t>from</w:t>
      </w:r>
      <w:r>
        <w:rPr>
          <w:spacing w:val="-10"/>
          <w:sz w:val="20"/>
        </w:rPr>
        <w:t> </w:t>
      </w:r>
      <w:r>
        <w:rPr>
          <w:sz w:val="20"/>
        </w:rPr>
        <w:t>a</w:t>
      </w:r>
      <w:r>
        <w:rPr>
          <w:spacing w:val="-14"/>
          <w:sz w:val="20"/>
        </w:rPr>
        <w:t> </w:t>
      </w:r>
      <w:r>
        <w:rPr>
          <w:sz w:val="20"/>
        </w:rPr>
        <w:t>remote</w:t>
      </w:r>
      <w:r>
        <w:rPr>
          <w:spacing w:val="-14"/>
          <w:sz w:val="20"/>
        </w:rPr>
        <w:t> </w:t>
      </w:r>
      <w:r>
        <w:rPr>
          <w:sz w:val="20"/>
        </w:rPr>
        <w:t>location</w:t>
      </w:r>
      <w:r>
        <w:rPr>
          <w:spacing w:val="-12"/>
          <w:sz w:val="20"/>
        </w:rPr>
        <w:t> </w:t>
      </w:r>
      <w:r>
        <w:rPr>
          <w:sz w:val="20"/>
        </w:rPr>
        <w:t>in</w:t>
      </w:r>
      <w:r>
        <w:rPr>
          <w:spacing w:val="-13"/>
          <w:sz w:val="20"/>
        </w:rPr>
        <w:t> </w:t>
      </w:r>
      <w:r>
        <w:rPr>
          <w:sz w:val="20"/>
        </w:rPr>
        <w:t>a</w:t>
      </w:r>
      <w:r>
        <w:rPr>
          <w:spacing w:val="-12"/>
          <w:sz w:val="20"/>
        </w:rPr>
        <w:t> </w:t>
      </w:r>
      <w:r>
        <w:rPr>
          <w:sz w:val="20"/>
        </w:rPr>
        <w:t>way</w:t>
      </w:r>
      <w:r>
        <w:rPr>
          <w:spacing w:val="-17"/>
          <w:sz w:val="20"/>
        </w:rPr>
        <w:t> </w:t>
      </w:r>
      <w:r>
        <w:rPr>
          <w:sz w:val="20"/>
        </w:rPr>
        <w:t>that</w:t>
      </w:r>
      <w:r>
        <w:rPr>
          <w:spacing w:val="-6"/>
          <w:sz w:val="20"/>
        </w:rPr>
        <w:t> </w:t>
      </w:r>
      <w:r>
        <w:rPr>
          <w:sz w:val="20"/>
        </w:rPr>
        <w:t>represents</w:t>
      </w:r>
      <w:r>
        <w:rPr>
          <w:spacing w:val="-13"/>
          <w:sz w:val="20"/>
        </w:rPr>
        <w:t> </w:t>
      </w:r>
      <w:r>
        <w:rPr>
          <w:sz w:val="20"/>
        </w:rPr>
        <w:t>a</w:t>
      </w:r>
      <w:r>
        <w:rPr>
          <w:spacing w:val="-12"/>
          <w:sz w:val="20"/>
        </w:rPr>
        <w:t> </w:t>
      </w:r>
      <w:r>
        <w:rPr>
          <w:sz w:val="20"/>
        </w:rPr>
        <w:t>sustained engagement</w:t>
      </w:r>
      <w:r>
        <w:rPr>
          <w:spacing w:val="-6"/>
          <w:sz w:val="20"/>
        </w:rPr>
        <w:t> </w:t>
      </w:r>
      <w:r>
        <w:rPr>
          <w:sz w:val="20"/>
        </w:rPr>
        <w:t>in</w:t>
      </w:r>
      <w:r>
        <w:rPr>
          <w:spacing w:val="-7"/>
          <w:sz w:val="20"/>
        </w:rPr>
        <w:t> </w:t>
      </w:r>
      <w:r>
        <w:rPr>
          <w:sz w:val="20"/>
        </w:rPr>
        <w:t>the</w:t>
      </w:r>
      <w:r>
        <w:rPr>
          <w:spacing w:val="-6"/>
          <w:sz w:val="20"/>
        </w:rPr>
        <w:t> </w:t>
      </w:r>
      <w:r>
        <w:rPr>
          <w:sz w:val="20"/>
        </w:rPr>
        <w:t>market</w:t>
      </w:r>
      <w:r>
        <w:rPr>
          <w:spacing w:val="-6"/>
          <w:sz w:val="20"/>
        </w:rPr>
        <w:t> </w:t>
      </w:r>
      <w:r>
        <w:rPr>
          <w:sz w:val="20"/>
        </w:rPr>
        <w:t>jurisdiction;</w:t>
      </w:r>
      <w:r>
        <w:rPr>
          <w:spacing w:val="-4"/>
          <w:sz w:val="20"/>
        </w:rPr>
        <w:t> </w:t>
      </w:r>
      <w:r>
        <w:rPr>
          <w:sz w:val="20"/>
        </w:rPr>
        <w:t>and</w:t>
      </w:r>
      <w:r>
        <w:rPr>
          <w:spacing w:val="-7"/>
          <w:sz w:val="20"/>
        </w:rPr>
        <w:t> </w:t>
      </w:r>
      <w:r>
        <w:rPr>
          <w:sz w:val="20"/>
        </w:rPr>
        <w:t>(ii)</w:t>
      </w:r>
      <w:r>
        <w:rPr>
          <w:spacing w:val="-5"/>
          <w:sz w:val="20"/>
        </w:rPr>
        <w:t> </w:t>
      </w:r>
      <w:r>
        <w:rPr>
          <w:sz w:val="20"/>
        </w:rPr>
        <w:t>the</w:t>
      </w:r>
      <w:r>
        <w:rPr>
          <w:spacing w:val="-7"/>
          <w:sz w:val="20"/>
        </w:rPr>
        <w:t> </w:t>
      </w:r>
      <w:r>
        <w:rPr>
          <w:sz w:val="20"/>
        </w:rPr>
        <w:t>current</w:t>
      </w:r>
      <w:r>
        <w:rPr>
          <w:spacing w:val="-5"/>
          <w:sz w:val="20"/>
        </w:rPr>
        <w:t> </w:t>
      </w:r>
      <w:r>
        <w:rPr>
          <w:sz w:val="20"/>
        </w:rPr>
        <w:t>taxing</w:t>
      </w:r>
      <w:r>
        <w:rPr>
          <w:spacing w:val="-7"/>
          <w:sz w:val="20"/>
        </w:rPr>
        <w:t> </w:t>
      </w:r>
      <w:r>
        <w:rPr>
          <w:sz w:val="20"/>
        </w:rPr>
        <w:t>rules,</w:t>
      </w:r>
      <w:r>
        <w:rPr>
          <w:spacing w:val="-5"/>
          <w:sz w:val="20"/>
        </w:rPr>
        <w:t> </w:t>
      </w:r>
      <w:r>
        <w:rPr>
          <w:sz w:val="20"/>
        </w:rPr>
        <w:t>being</w:t>
      </w:r>
      <w:r>
        <w:rPr>
          <w:spacing w:val="-5"/>
          <w:sz w:val="20"/>
        </w:rPr>
        <w:t> </w:t>
      </w:r>
      <w:r>
        <w:rPr>
          <w:sz w:val="20"/>
        </w:rPr>
        <w:t>based</w:t>
      </w:r>
      <w:r>
        <w:rPr>
          <w:spacing w:val="-6"/>
          <w:sz w:val="20"/>
        </w:rPr>
        <w:t> </w:t>
      </w:r>
      <w:r>
        <w:rPr>
          <w:sz w:val="20"/>
        </w:rPr>
        <w:t>on</w:t>
      </w:r>
      <w:r>
        <w:rPr>
          <w:spacing w:val="-5"/>
          <w:sz w:val="20"/>
        </w:rPr>
        <w:t> </w:t>
      </w:r>
      <w:r>
        <w:rPr>
          <w:sz w:val="20"/>
        </w:rPr>
        <w:t>physical</w:t>
      </w:r>
      <w:r>
        <w:rPr>
          <w:spacing w:val="-6"/>
          <w:sz w:val="20"/>
        </w:rPr>
        <w:t> </w:t>
      </w:r>
      <w:r>
        <w:rPr>
          <w:sz w:val="20"/>
        </w:rPr>
        <w:t>presence, do not adequately capture this new</w:t>
      </w:r>
      <w:r>
        <w:rPr>
          <w:spacing w:val="-12"/>
          <w:sz w:val="20"/>
        </w:rPr>
        <w:t> </w:t>
      </w:r>
      <w:r>
        <w:rPr>
          <w:sz w:val="20"/>
        </w:rPr>
        <w:t>engagement.</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For residential real estate, the first element – the consumer relationship – is not one of remote engagement (such as through the use of marketing) to the same extent as in other CFB. This is because even if the construction business has a well-known brand, ultimately the consumer’s decision to buy will be determined by the characteristics of the real estate specific to that market jurisdiction, such as its size, its location (e.g. in a desirable neighbourhood), and its other features (e.g. garage, security, etc.). In addition, given the nature of the relationship to the product, it is difficult to practically extract consumer- facing intangible property and separate it from the jurisdiction of the</w:t>
      </w:r>
      <w:r>
        <w:rPr>
          <w:spacing w:val="-10"/>
          <w:sz w:val="20"/>
        </w:rPr>
        <w:t> </w:t>
      </w:r>
      <w:r>
        <w:rPr>
          <w:sz w:val="20"/>
        </w:rPr>
        <w:t>sale.</w:t>
      </w:r>
    </w:p>
    <w:p>
      <w:pPr>
        <w:pStyle w:val="ListParagraph"/>
        <w:numPr>
          <w:ilvl w:val="0"/>
          <w:numId w:val="13"/>
        </w:numPr>
        <w:tabs>
          <w:tab w:pos="1444" w:val="left" w:leader="none"/>
        </w:tabs>
        <w:spacing w:line="271" w:lineRule="auto" w:before="123" w:after="0"/>
        <w:ind w:left="723" w:right="482" w:firstLine="0"/>
        <w:jc w:val="both"/>
        <w:rPr>
          <w:sz w:val="20"/>
        </w:rPr>
      </w:pPr>
      <w:r>
        <w:rPr>
          <w:sz w:val="20"/>
        </w:rPr>
        <w:t>With</w:t>
      </w:r>
      <w:r>
        <w:rPr>
          <w:spacing w:val="-4"/>
          <w:sz w:val="20"/>
        </w:rPr>
        <w:t> </w:t>
      </w:r>
      <w:r>
        <w:rPr>
          <w:sz w:val="20"/>
        </w:rPr>
        <w:t>respect</w:t>
      </w:r>
      <w:r>
        <w:rPr>
          <w:spacing w:val="-4"/>
          <w:sz w:val="20"/>
        </w:rPr>
        <w:t> </w:t>
      </w:r>
      <w:r>
        <w:rPr>
          <w:sz w:val="20"/>
        </w:rPr>
        <w:t>to</w:t>
      </w:r>
      <w:r>
        <w:rPr>
          <w:spacing w:val="-4"/>
          <w:sz w:val="20"/>
        </w:rPr>
        <w:t> </w:t>
      </w:r>
      <w:r>
        <w:rPr>
          <w:sz w:val="20"/>
        </w:rPr>
        <w:t>the</w:t>
      </w:r>
      <w:r>
        <w:rPr>
          <w:spacing w:val="-3"/>
          <w:sz w:val="20"/>
        </w:rPr>
        <w:t> </w:t>
      </w:r>
      <w:r>
        <w:rPr>
          <w:sz w:val="20"/>
        </w:rPr>
        <w:t>second</w:t>
      </w:r>
      <w:r>
        <w:rPr>
          <w:spacing w:val="-2"/>
          <w:sz w:val="20"/>
        </w:rPr>
        <w:t> </w:t>
      </w:r>
      <w:r>
        <w:rPr>
          <w:sz w:val="20"/>
        </w:rPr>
        <w:t>element</w:t>
      </w:r>
      <w:r>
        <w:rPr>
          <w:spacing w:val="-3"/>
          <w:sz w:val="20"/>
        </w:rPr>
        <w:t> </w:t>
      </w:r>
      <w:r>
        <w:rPr>
          <w:sz w:val="20"/>
        </w:rPr>
        <w:t>–</w:t>
      </w:r>
      <w:r>
        <w:rPr>
          <w:spacing w:val="-3"/>
          <w:sz w:val="20"/>
        </w:rPr>
        <w:t> </w:t>
      </w:r>
      <w:r>
        <w:rPr>
          <w:sz w:val="20"/>
        </w:rPr>
        <w:t>lack of</w:t>
      </w:r>
      <w:r>
        <w:rPr>
          <w:spacing w:val="-2"/>
          <w:sz w:val="20"/>
        </w:rPr>
        <w:t> </w:t>
      </w:r>
      <w:r>
        <w:rPr>
          <w:sz w:val="20"/>
        </w:rPr>
        <w:t>physical</w:t>
      </w:r>
      <w:r>
        <w:rPr>
          <w:spacing w:val="-5"/>
          <w:sz w:val="20"/>
        </w:rPr>
        <w:t> </w:t>
      </w:r>
      <w:r>
        <w:rPr>
          <w:sz w:val="20"/>
        </w:rPr>
        <w:t>presence</w:t>
      </w:r>
      <w:r>
        <w:rPr>
          <w:spacing w:val="-1"/>
          <w:sz w:val="20"/>
        </w:rPr>
        <w:t> </w:t>
      </w:r>
      <w:r>
        <w:rPr>
          <w:sz w:val="20"/>
        </w:rPr>
        <w:t>–</w:t>
      </w:r>
      <w:r>
        <w:rPr>
          <w:spacing w:val="-3"/>
          <w:sz w:val="20"/>
        </w:rPr>
        <w:t> </w:t>
      </w:r>
      <w:r>
        <w:rPr>
          <w:sz w:val="20"/>
        </w:rPr>
        <w:t>a</w:t>
      </w:r>
      <w:r>
        <w:rPr>
          <w:spacing w:val="-4"/>
          <w:sz w:val="20"/>
        </w:rPr>
        <w:t> </w:t>
      </w:r>
      <w:r>
        <w:rPr>
          <w:sz w:val="20"/>
        </w:rPr>
        <w:t>company</w:t>
      </w:r>
      <w:r>
        <w:rPr>
          <w:spacing w:val="-9"/>
          <w:sz w:val="20"/>
        </w:rPr>
        <w:t> </w:t>
      </w:r>
      <w:r>
        <w:rPr>
          <w:sz w:val="20"/>
        </w:rPr>
        <w:t>selling</w:t>
      </w:r>
      <w:r>
        <w:rPr>
          <w:spacing w:val="-4"/>
          <w:sz w:val="20"/>
        </w:rPr>
        <w:t> </w:t>
      </w:r>
      <w:r>
        <w:rPr>
          <w:sz w:val="20"/>
        </w:rPr>
        <w:t>or</w:t>
      </w:r>
      <w:r>
        <w:rPr>
          <w:spacing w:val="-3"/>
          <w:sz w:val="20"/>
        </w:rPr>
        <w:t> </w:t>
      </w:r>
      <w:r>
        <w:rPr>
          <w:sz w:val="20"/>
        </w:rPr>
        <w:t>leasing</w:t>
      </w:r>
      <w:r>
        <w:rPr>
          <w:spacing w:val="-2"/>
          <w:sz w:val="20"/>
        </w:rPr>
        <w:t> </w:t>
      </w:r>
      <w:r>
        <w:rPr>
          <w:sz w:val="20"/>
        </w:rPr>
        <w:t>its interest</w:t>
      </w:r>
      <w:r>
        <w:rPr>
          <w:spacing w:val="-14"/>
          <w:sz w:val="20"/>
        </w:rPr>
        <w:t> </w:t>
      </w:r>
      <w:r>
        <w:rPr>
          <w:sz w:val="20"/>
        </w:rPr>
        <w:t>in</w:t>
      </w:r>
      <w:r>
        <w:rPr>
          <w:spacing w:val="-15"/>
          <w:sz w:val="20"/>
        </w:rPr>
        <w:t> </w:t>
      </w:r>
      <w:r>
        <w:rPr>
          <w:sz w:val="20"/>
        </w:rPr>
        <w:t>residential</w:t>
      </w:r>
      <w:r>
        <w:rPr>
          <w:spacing w:val="-15"/>
          <w:sz w:val="20"/>
        </w:rPr>
        <w:t> </w:t>
      </w:r>
      <w:r>
        <w:rPr>
          <w:sz w:val="20"/>
        </w:rPr>
        <w:t>real</w:t>
      </w:r>
      <w:r>
        <w:rPr>
          <w:spacing w:val="-15"/>
          <w:sz w:val="20"/>
        </w:rPr>
        <w:t> </w:t>
      </w:r>
      <w:r>
        <w:rPr>
          <w:sz w:val="20"/>
        </w:rPr>
        <w:t>estate</w:t>
      </w:r>
      <w:r>
        <w:rPr>
          <w:spacing w:val="-12"/>
          <w:sz w:val="20"/>
        </w:rPr>
        <w:t> </w:t>
      </w:r>
      <w:r>
        <w:rPr>
          <w:sz w:val="20"/>
        </w:rPr>
        <w:t>will</w:t>
      </w:r>
      <w:r>
        <w:rPr>
          <w:spacing w:val="-15"/>
          <w:sz w:val="20"/>
        </w:rPr>
        <w:t> </w:t>
      </w:r>
      <w:r>
        <w:rPr>
          <w:sz w:val="20"/>
        </w:rPr>
        <w:t>require</w:t>
      </w:r>
      <w:r>
        <w:rPr>
          <w:spacing w:val="-14"/>
          <w:sz w:val="20"/>
        </w:rPr>
        <w:t> </w:t>
      </w:r>
      <w:r>
        <w:rPr>
          <w:sz w:val="20"/>
        </w:rPr>
        <w:t>a</w:t>
      </w:r>
      <w:r>
        <w:rPr>
          <w:spacing w:val="-14"/>
          <w:sz w:val="20"/>
        </w:rPr>
        <w:t> </w:t>
      </w:r>
      <w:r>
        <w:rPr>
          <w:sz w:val="20"/>
        </w:rPr>
        <w:t>substantial</w:t>
      </w:r>
      <w:r>
        <w:rPr>
          <w:spacing w:val="-17"/>
          <w:sz w:val="20"/>
        </w:rPr>
        <w:t> </w:t>
      </w:r>
      <w:r>
        <w:rPr>
          <w:sz w:val="20"/>
        </w:rPr>
        <w:t>physical</w:t>
      </w:r>
      <w:r>
        <w:rPr>
          <w:spacing w:val="-15"/>
          <w:sz w:val="20"/>
        </w:rPr>
        <w:t> </w:t>
      </w:r>
      <w:r>
        <w:rPr>
          <w:sz w:val="20"/>
        </w:rPr>
        <w:t>presence</w:t>
      </w:r>
      <w:r>
        <w:rPr>
          <w:spacing w:val="-14"/>
          <w:sz w:val="20"/>
        </w:rPr>
        <w:t> </w:t>
      </w:r>
      <w:r>
        <w:rPr>
          <w:sz w:val="20"/>
        </w:rPr>
        <w:t>in</w:t>
      </w:r>
      <w:r>
        <w:rPr>
          <w:spacing w:val="-14"/>
          <w:sz w:val="20"/>
        </w:rPr>
        <w:t> </w:t>
      </w:r>
      <w:r>
        <w:rPr>
          <w:sz w:val="20"/>
        </w:rPr>
        <w:t>a</w:t>
      </w:r>
      <w:r>
        <w:rPr>
          <w:spacing w:val="-14"/>
          <w:sz w:val="20"/>
        </w:rPr>
        <w:t> </w:t>
      </w:r>
      <w:r>
        <w:rPr>
          <w:sz w:val="20"/>
        </w:rPr>
        <w:t>market</w:t>
      </w:r>
      <w:r>
        <w:rPr>
          <w:spacing w:val="-16"/>
          <w:sz w:val="20"/>
        </w:rPr>
        <w:t> </w:t>
      </w:r>
      <w:r>
        <w:rPr>
          <w:sz w:val="20"/>
        </w:rPr>
        <w:t>to</w:t>
      </w:r>
      <w:r>
        <w:rPr>
          <w:spacing w:val="-16"/>
          <w:sz w:val="20"/>
        </w:rPr>
        <w:t> </w:t>
      </w:r>
      <w:r>
        <w:rPr>
          <w:sz w:val="20"/>
        </w:rPr>
        <w:t>earn</w:t>
      </w:r>
      <w:r>
        <w:rPr>
          <w:spacing w:val="-13"/>
          <w:sz w:val="20"/>
        </w:rPr>
        <w:t> </w:t>
      </w:r>
      <w:r>
        <w:rPr>
          <w:sz w:val="20"/>
        </w:rPr>
        <w:t>its</w:t>
      </w:r>
      <w:r>
        <w:rPr>
          <w:spacing w:val="-15"/>
          <w:sz w:val="20"/>
        </w:rPr>
        <w:t> </w:t>
      </w:r>
      <w:r>
        <w:rPr>
          <w:sz w:val="20"/>
        </w:rPr>
        <w:t>revenue. Existing tax rules attach to this physical presence, including through rules governing the creation of a permanent</w:t>
      </w:r>
      <w:r>
        <w:rPr>
          <w:spacing w:val="-12"/>
          <w:sz w:val="20"/>
        </w:rPr>
        <w:t> </w:t>
      </w:r>
      <w:r>
        <w:rPr>
          <w:sz w:val="20"/>
        </w:rPr>
        <w:t>establishment</w:t>
      </w:r>
      <w:r>
        <w:rPr>
          <w:spacing w:val="-12"/>
          <w:sz w:val="20"/>
        </w:rPr>
        <w:t> </w:t>
      </w:r>
      <w:r>
        <w:rPr>
          <w:sz w:val="20"/>
        </w:rPr>
        <w:t>through</w:t>
      </w:r>
      <w:r>
        <w:rPr>
          <w:spacing w:val="-13"/>
          <w:sz w:val="20"/>
        </w:rPr>
        <w:t> </w:t>
      </w:r>
      <w:r>
        <w:rPr>
          <w:sz w:val="20"/>
        </w:rPr>
        <w:t>construction</w:t>
      </w:r>
      <w:r>
        <w:rPr>
          <w:spacing w:val="-13"/>
          <w:sz w:val="20"/>
        </w:rPr>
        <w:t> </w:t>
      </w:r>
      <w:r>
        <w:rPr>
          <w:sz w:val="20"/>
        </w:rPr>
        <w:t>activities</w:t>
      </w:r>
      <w:r>
        <w:rPr>
          <w:spacing w:val="-11"/>
          <w:sz w:val="20"/>
        </w:rPr>
        <w:t> </w:t>
      </w:r>
      <w:r>
        <w:rPr>
          <w:sz w:val="20"/>
        </w:rPr>
        <w:t>(Article</w:t>
      </w:r>
      <w:r>
        <w:rPr>
          <w:spacing w:val="-10"/>
          <w:sz w:val="20"/>
        </w:rPr>
        <w:t> </w:t>
      </w:r>
      <w:r>
        <w:rPr>
          <w:sz w:val="20"/>
        </w:rPr>
        <w:t>5</w:t>
      </w:r>
      <w:r>
        <w:rPr>
          <w:spacing w:val="-13"/>
          <w:sz w:val="20"/>
        </w:rPr>
        <w:t> </w:t>
      </w:r>
      <w:r>
        <w:rPr>
          <w:sz w:val="20"/>
        </w:rPr>
        <w:t>of</w:t>
      </w:r>
      <w:r>
        <w:rPr>
          <w:spacing w:val="-10"/>
          <w:sz w:val="20"/>
        </w:rPr>
        <w:t> </w:t>
      </w:r>
      <w:r>
        <w:rPr>
          <w:sz w:val="20"/>
        </w:rPr>
        <w:t>the</w:t>
      </w:r>
      <w:r>
        <w:rPr>
          <w:spacing w:val="-10"/>
          <w:sz w:val="20"/>
        </w:rPr>
        <w:t> </w:t>
      </w:r>
      <w:r>
        <w:rPr>
          <w:sz w:val="20"/>
        </w:rPr>
        <w:t>Model</w:t>
      </w:r>
      <w:r>
        <w:rPr>
          <w:spacing w:val="-11"/>
          <w:sz w:val="20"/>
        </w:rPr>
        <w:t> </w:t>
      </w:r>
      <w:r>
        <w:rPr>
          <w:sz w:val="20"/>
        </w:rPr>
        <w:t>Tax</w:t>
      </w:r>
      <w:r>
        <w:rPr>
          <w:spacing w:val="-11"/>
          <w:sz w:val="20"/>
        </w:rPr>
        <w:t> </w:t>
      </w:r>
      <w:r>
        <w:rPr>
          <w:sz w:val="20"/>
        </w:rPr>
        <w:t>Convention),</w:t>
      </w:r>
      <w:r>
        <w:rPr>
          <w:spacing w:val="-12"/>
          <w:sz w:val="20"/>
        </w:rPr>
        <w:t> </w:t>
      </w:r>
      <w:r>
        <w:rPr>
          <w:sz w:val="20"/>
        </w:rPr>
        <w:t>and</w:t>
      </w:r>
      <w:r>
        <w:rPr>
          <w:spacing w:val="-13"/>
          <w:sz w:val="20"/>
        </w:rPr>
        <w:t> </w:t>
      </w:r>
      <w:r>
        <w:rPr>
          <w:sz w:val="20"/>
        </w:rPr>
        <w:t>rules governing the income and gains from the rental and sale of immovable property (Articles 6 and 13(1) of the</w:t>
      </w:r>
      <w:r>
        <w:rPr>
          <w:spacing w:val="-2"/>
          <w:sz w:val="20"/>
        </w:rPr>
        <w:t> </w:t>
      </w:r>
      <w:r>
        <w:rPr>
          <w:sz w:val="20"/>
        </w:rPr>
        <w:t>Model).</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As</w:t>
      </w:r>
      <w:r>
        <w:rPr>
          <w:spacing w:val="-4"/>
          <w:sz w:val="20"/>
        </w:rPr>
        <w:t> </w:t>
      </w:r>
      <w:r>
        <w:rPr>
          <w:sz w:val="20"/>
        </w:rPr>
        <w:t>such,</w:t>
      </w:r>
      <w:r>
        <w:rPr>
          <w:spacing w:val="-8"/>
          <w:sz w:val="20"/>
        </w:rPr>
        <w:t> </w:t>
      </w:r>
      <w:r>
        <w:rPr>
          <w:sz w:val="20"/>
        </w:rPr>
        <w:t>market</w:t>
      </w:r>
      <w:r>
        <w:rPr>
          <w:spacing w:val="-6"/>
          <w:sz w:val="20"/>
        </w:rPr>
        <w:t> </w:t>
      </w:r>
      <w:r>
        <w:rPr>
          <w:sz w:val="20"/>
        </w:rPr>
        <w:t>jurisdictions</w:t>
      </w:r>
      <w:r>
        <w:rPr>
          <w:spacing w:val="-3"/>
          <w:sz w:val="20"/>
        </w:rPr>
        <w:t> </w:t>
      </w:r>
      <w:r>
        <w:rPr>
          <w:sz w:val="20"/>
        </w:rPr>
        <w:t>are</w:t>
      </w:r>
      <w:r>
        <w:rPr>
          <w:spacing w:val="-5"/>
          <w:sz w:val="20"/>
        </w:rPr>
        <w:t> </w:t>
      </w:r>
      <w:r>
        <w:rPr>
          <w:sz w:val="20"/>
        </w:rPr>
        <w:t>already</w:t>
      </w:r>
      <w:r>
        <w:rPr>
          <w:spacing w:val="-6"/>
          <w:sz w:val="20"/>
        </w:rPr>
        <w:t> </w:t>
      </w:r>
      <w:r>
        <w:rPr>
          <w:sz w:val="20"/>
        </w:rPr>
        <w:t>well</w:t>
      </w:r>
      <w:r>
        <w:rPr>
          <w:spacing w:val="-6"/>
          <w:sz w:val="20"/>
        </w:rPr>
        <w:t> </w:t>
      </w:r>
      <w:r>
        <w:rPr>
          <w:sz w:val="20"/>
        </w:rPr>
        <w:t>placed</w:t>
      </w:r>
      <w:r>
        <w:rPr>
          <w:spacing w:val="-5"/>
          <w:sz w:val="20"/>
        </w:rPr>
        <w:t> </w:t>
      </w:r>
      <w:r>
        <w:rPr>
          <w:sz w:val="20"/>
        </w:rPr>
        <w:t>under</w:t>
      </w:r>
      <w:r>
        <w:rPr>
          <w:spacing w:val="-5"/>
          <w:sz w:val="20"/>
        </w:rPr>
        <w:t> </w:t>
      </w:r>
      <w:r>
        <w:rPr>
          <w:sz w:val="20"/>
        </w:rPr>
        <w:t>existing</w:t>
      </w:r>
      <w:r>
        <w:rPr>
          <w:spacing w:val="-6"/>
          <w:sz w:val="20"/>
        </w:rPr>
        <w:t> </w:t>
      </w:r>
      <w:r>
        <w:rPr>
          <w:sz w:val="20"/>
        </w:rPr>
        <w:t>corporate</w:t>
      </w:r>
      <w:r>
        <w:rPr>
          <w:spacing w:val="-5"/>
          <w:sz w:val="20"/>
        </w:rPr>
        <w:t> </w:t>
      </w:r>
      <w:r>
        <w:rPr>
          <w:sz w:val="20"/>
        </w:rPr>
        <w:t>tax</w:t>
      </w:r>
      <w:r>
        <w:rPr>
          <w:spacing w:val="-4"/>
          <w:sz w:val="20"/>
        </w:rPr>
        <w:t> </w:t>
      </w:r>
      <w:r>
        <w:rPr>
          <w:sz w:val="20"/>
        </w:rPr>
        <w:t>rules</w:t>
      </w:r>
      <w:r>
        <w:rPr>
          <w:spacing w:val="-3"/>
          <w:sz w:val="20"/>
        </w:rPr>
        <w:t> </w:t>
      </w:r>
      <w:r>
        <w:rPr>
          <w:sz w:val="20"/>
        </w:rPr>
        <w:t>and</w:t>
      </w:r>
      <w:r>
        <w:rPr>
          <w:spacing w:val="-5"/>
          <w:sz w:val="20"/>
        </w:rPr>
        <w:t> </w:t>
      </w:r>
      <w:r>
        <w:rPr>
          <w:sz w:val="20"/>
        </w:rPr>
        <w:t>treaty provisions to impose taxation on the construction MNE given that there will necessarily be a substantial and taxable physical presence in the market. Finally, were the construction sector and sale of immovable property</w:t>
      </w:r>
      <w:r>
        <w:rPr>
          <w:spacing w:val="-12"/>
          <w:sz w:val="20"/>
        </w:rPr>
        <w:t> </w:t>
      </w:r>
      <w:r>
        <w:rPr>
          <w:sz w:val="20"/>
        </w:rPr>
        <w:t>to</w:t>
      </w:r>
      <w:r>
        <w:rPr>
          <w:spacing w:val="-8"/>
          <w:sz w:val="20"/>
        </w:rPr>
        <w:t> </w:t>
      </w:r>
      <w:r>
        <w:rPr>
          <w:sz w:val="20"/>
        </w:rPr>
        <w:t>be</w:t>
      </w:r>
      <w:r>
        <w:rPr>
          <w:spacing w:val="-9"/>
          <w:sz w:val="20"/>
        </w:rPr>
        <w:t> </w:t>
      </w:r>
      <w:r>
        <w:rPr>
          <w:sz w:val="20"/>
        </w:rPr>
        <w:t>included</w:t>
      </w:r>
      <w:r>
        <w:rPr>
          <w:spacing w:val="-6"/>
          <w:sz w:val="20"/>
        </w:rPr>
        <w:t> </w:t>
      </w:r>
      <w:r>
        <w:rPr>
          <w:sz w:val="20"/>
        </w:rPr>
        <w:t>in</w:t>
      </w:r>
      <w:r>
        <w:rPr>
          <w:spacing w:val="-9"/>
          <w:sz w:val="20"/>
        </w:rPr>
        <w:t> </w:t>
      </w:r>
      <w:r>
        <w:rPr>
          <w:sz w:val="20"/>
        </w:rPr>
        <w:t>the</w:t>
      </w:r>
      <w:r>
        <w:rPr>
          <w:spacing w:val="-9"/>
          <w:sz w:val="20"/>
        </w:rPr>
        <w:t> </w:t>
      </w:r>
      <w:r>
        <w:rPr>
          <w:sz w:val="20"/>
        </w:rPr>
        <w:t>scope</w:t>
      </w:r>
      <w:r>
        <w:rPr>
          <w:spacing w:val="-8"/>
          <w:sz w:val="20"/>
        </w:rPr>
        <w:t> </w:t>
      </w:r>
      <w:r>
        <w:rPr>
          <w:sz w:val="20"/>
        </w:rPr>
        <w:t>of</w:t>
      </w:r>
      <w:r>
        <w:rPr>
          <w:spacing w:val="-7"/>
          <w:sz w:val="20"/>
        </w:rPr>
        <w:t> </w:t>
      </w:r>
      <w:r>
        <w:rPr>
          <w:sz w:val="20"/>
        </w:rPr>
        <w:t>Amount</w:t>
      </w:r>
      <w:r>
        <w:rPr>
          <w:spacing w:val="-8"/>
          <w:sz w:val="20"/>
        </w:rPr>
        <w:t> </w:t>
      </w:r>
      <w:r>
        <w:rPr>
          <w:sz w:val="20"/>
        </w:rPr>
        <w:t>A,</w:t>
      </w:r>
      <w:r>
        <w:rPr>
          <w:spacing w:val="-9"/>
          <w:sz w:val="20"/>
        </w:rPr>
        <w:t> </w:t>
      </w:r>
      <w:r>
        <w:rPr>
          <w:sz w:val="20"/>
        </w:rPr>
        <w:t>the</w:t>
      </w:r>
      <w:r>
        <w:rPr>
          <w:spacing w:val="-8"/>
          <w:sz w:val="20"/>
        </w:rPr>
        <w:t> </w:t>
      </w:r>
      <w:r>
        <w:rPr>
          <w:sz w:val="20"/>
        </w:rPr>
        <w:t>requirement</w:t>
      </w:r>
      <w:r>
        <w:rPr>
          <w:spacing w:val="-9"/>
          <w:sz w:val="20"/>
        </w:rPr>
        <w:t> </w:t>
      </w:r>
      <w:r>
        <w:rPr>
          <w:sz w:val="20"/>
        </w:rPr>
        <w:t>to</w:t>
      </w:r>
      <w:r>
        <w:rPr>
          <w:spacing w:val="-8"/>
          <w:sz w:val="20"/>
        </w:rPr>
        <w:t> </w:t>
      </w:r>
      <w:r>
        <w:rPr>
          <w:sz w:val="20"/>
        </w:rPr>
        <w:t>invest</w:t>
      </w:r>
      <w:r>
        <w:rPr>
          <w:spacing w:val="-9"/>
          <w:sz w:val="20"/>
        </w:rPr>
        <w:t> </w:t>
      </w:r>
      <w:r>
        <w:rPr>
          <w:sz w:val="20"/>
        </w:rPr>
        <w:t>in</w:t>
      </w:r>
      <w:r>
        <w:rPr>
          <w:spacing w:val="-6"/>
          <w:sz w:val="20"/>
        </w:rPr>
        <w:t> </w:t>
      </w:r>
      <w:r>
        <w:rPr>
          <w:sz w:val="20"/>
        </w:rPr>
        <w:t>physical</w:t>
      </w:r>
      <w:r>
        <w:rPr>
          <w:spacing w:val="-10"/>
          <w:sz w:val="20"/>
        </w:rPr>
        <w:t> </w:t>
      </w:r>
      <w:r>
        <w:rPr>
          <w:sz w:val="20"/>
        </w:rPr>
        <w:t>infrastructure</w:t>
      </w:r>
      <w:r>
        <w:rPr>
          <w:spacing w:val="-8"/>
          <w:sz w:val="20"/>
        </w:rPr>
        <w:t> </w:t>
      </w:r>
      <w:r>
        <w:rPr>
          <w:sz w:val="20"/>
        </w:rPr>
        <w:t>in</w:t>
      </w:r>
      <w:r>
        <w:rPr>
          <w:spacing w:val="-9"/>
          <w:sz w:val="20"/>
        </w:rPr>
        <w:t> </w:t>
      </w:r>
      <w:r>
        <w:rPr>
          <w:sz w:val="20"/>
        </w:rPr>
        <w:t>the market</w:t>
      </w:r>
      <w:r>
        <w:rPr>
          <w:spacing w:val="-16"/>
          <w:sz w:val="20"/>
        </w:rPr>
        <w:t> </w:t>
      </w:r>
      <w:r>
        <w:rPr>
          <w:sz w:val="20"/>
        </w:rPr>
        <w:t>jurisdiction</w:t>
      </w:r>
      <w:r>
        <w:rPr>
          <w:spacing w:val="-16"/>
          <w:sz w:val="20"/>
        </w:rPr>
        <w:t> </w:t>
      </w:r>
      <w:r>
        <w:rPr>
          <w:sz w:val="20"/>
        </w:rPr>
        <w:t>makes</w:t>
      </w:r>
      <w:r>
        <w:rPr>
          <w:spacing w:val="-15"/>
          <w:sz w:val="20"/>
        </w:rPr>
        <w:t> </w:t>
      </w:r>
      <w:r>
        <w:rPr>
          <w:sz w:val="20"/>
        </w:rPr>
        <w:t>it</w:t>
      </w:r>
      <w:r>
        <w:rPr>
          <w:spacing w:val="-15"/>
          <w:sz w:val="20"/>
        </w:rPr>
        <w:t> </w:t>
      </w:r>
      <w:r>
        <w:rPr>
          <w:sz w:val="20"/>
        </w:rPr>
        <w:t>in</w:t>
      </w:r>
      <w:r>
        <w:rPr>
          <w:spacing w:val="-14"/>
          <w:sz w:val="20"/>
        </w:rPr>
        <w:t> </w:t>
      </w:r>
      <w:r>
        <w:rPr>
          <w:sz w:val="20"/>
        </w:rPr>
        <w:t>any</w:t>
      </w:r>
      <w:r>
        <w:rPr>
          <w:spacing w:val="-18"/>
          <w:sz w:val="20"/>
        </w:rPr>
        <w:t> </w:t>
      </w:r>
      <w:r>
        <w:rPr>
          <w:sz w:val="20"/>
        </w:rPr>
        <w:t>event</w:t>
      </w:r>
      <w:r>
        <w:rPr>
          <w:spacing w:val="-14"/>
          <w:sz w:val="20"/>
        </w:rPr>
        <w:t> </w:t>
      </w:r>
      <w:r>
        <w:rPr>
          <w:sz w:val="20"/>
        </w:rPr>
        <w:t>unlikely</w:t>
      </w:r>
      <w:r>
        <w:rPr>
          <w:spacing w:val="-16"/>
          <w:sz w:val="20"/>
        </w:rPr>
        <w:t> </w:t>
      </w:r>
      <w:r>
        <w:rPr>
          <w:sz w:val="20"/>
        </w:rPr>
        <w:t>that</w:t>
      </w:r>
      <w:r>
        <w:rPr>
          <w:spacing w:val="-14"/>
          <w:sz w:val="20"/>
        </w:rPr>
        <w:t> </w:t>
      </w:r>
      <w:r>
        <w:rPr>
          <w:sz w:val="20"/>
        </w:rPr>
        <w:t>there</w:t>
      </w:r>
      <w:r>
        <w:rPr>
          <w:spacing w:val="-12"/>
          <w:sz w:val="20"/>
        </w:rPr>
        <w:t> </w:t>
      </w:r>
      <w:r>
        <w:rPr>
          <w:sz w:val="20"/>
        </w:rPr>
        <w:t>would</w:t>
      </w:r>
      <w:r>
        <w:rPr>
          <w:spacing w:val="-16"/>
          <w:sz w:val="20"/>
        </w:rPr>
        <w:t> </w:t>
      </w:r>
      <w:r>
        <w:rPr>
          <w:sz w:val="20"/>
        </w:rPr>
        <w:t>be</w:t>
      </w:r>
      <w:r>
        <w:rPr>
          <w:spacing w:val="-15"/>
          <w:sz w:val="20"/>
        </w:rPr>
        <w:t> </w:t>
      </w:r>
      <w:r>
        <w:rPr>
          <w:sz w:val="20"/>
        </w:rPr>
        <w:t>a</w:t>
      </w:r>
      <w:r>
        <w:rPr>
          <w:spacing w:val="-14"/>
          <w:sz w:val="20"/>
        </w:rPr>
        <w:t> </w:t>
      </w:r>
      <w:r>
        <w:rPr>
          <w:sz w:val="20"/>
        </w:rPr>
        <w:t>material</w:t>
      </w:r>
      <w:r>
        <w:rPr>
          <w:spacing w:val="-16"/>
          <w:sz w:val="20"/>
        </w:rPr>
        <w:t> </w:t>
      </w:r>
      <w:r>
        <w:rPr>
          <w:sz w:val="20"/>
        </w:rPr>
        <w:t>re-allocation</w:t>
      </w:r>
      <w:r>
        <w:rPr>
          <w:spacing w:val="-16"/>
          <w:sz w:val="20"/>
        </w:rPr>
        <w:t> </w:t>
      </w:r>
      <w:r>
        <w:rPr>
          <w:sz w:val="20"/>
        </w:rPr>
        <w:t>of</w:t>
      </w:r>
      <w:r>
        <w:rPr>
          <w:spacing w:val="-13"/>
          <w:sz w:val="20"/>
        </w:rPr>
        <w:t> </w:t>
      </w:r>
      <w:r>
        <w:rPr>
          <w:sz w:val="20"/>
        </w:rPr>
        <w:t>profits</w:t>
      </w:r>
      <w:r>
        <w:rPr>
          <w:spacing w:val="-13"/>
          <w:sz w:val="20"/>
        </w:rPr>
        <w:t> </w:t>
      </w:r>
      <w:r>
        <w:rPr>
          <w:sz w:val="20"/>
        </w:rPr>
        <w:t>under the principles of Amount A, given the revenue sourcing rules would in any case allocate Amount A to</w:t>
      </w:r>
      <w:r>
        <w:rPr>
          <w:spacing w:val="23"/>
          <w:sz w:val="20"/>
        </w:rPr>
        <w:t> </w:t>
      </w:r>
      <w:r>
        <w:rPr>
          <w:sz w:val="20"/>
        </w:rPr>
        <w:t>the</w:t>
      </w:r>
    </w:p>
    <w:p>
      <w:pPr>
        <w:pStyle w:val="BodyText"/>
      </w:pPr>
    </w:p>
    <w:p>
      <w:pPr>
        <w:pStyle w:val="BodyText"/>
        <w:spacing w:before="9"/>
        <w:rPr>
          <w:sz w:val="15"/>
        </w:rPr>
      </w:pPr>
      <w:r>
        <w:rPr/>
        <w:pict>
          <v:rect style="position:absolute;margin-left:65.183998pt;margin-top:11.06246pt;width:144.020004pt;height:.60004pt;mso-position-horizontal-relative:page;mso-position-vertical-relative:paragraph;z-index:-1568665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3" w:val="left" w:leader="none"/>
        </w:tabs>
        <w:spacing w:line="240" w:lineRule="auto" w:before="94" w:after="0"/>
        <w:ind w:left="922" w:right="0" w:hanging="200"/>
        <w:jc w:val="left"/>
        <w:rPr>
          <w:sz w:val="18"/>
        </w:rPr>
      </w:pPr>
      <w:r>
        <w:rPr>
          <w:sz w:val="18"/>
        </w:rPr>
        <w:t>A</w:t>
      </w:r>
      <w:r>
        <w:rPr>
          <w:spacing w:val="-6"/>
          <w:sz w:val="18"/>
        </w:rPr>
        <w:t> </w:t>
      </w:r>
      <w:r>
        <w:rPr>
          <w:sz w:val="18"/>
        </w:rPr>
        <w:t>third</w:t>
      </w:r>
      <w:r>
        <w:rPr>
          <w:spacing w:val="-5"/>
          <w:sz w:val="18"/>
        </w:rPr>
        <w:t> </w:t>
      </w:r>
      <w:r>
        <w:rPr>
          <w:sz w:val="18"/>
        </w:rPr>
        <w:t>party</w:t>
      </w:r>
      <w:r>
        <w:rPr>
          <w:spacing w:val="-7"/>
          <w:sz w:val="18"/>
        </w:rPr>
        <w:t> </w:t>
      </w:r>
      <w:r>
        <w:rPr>
          <w:sz w:val="18"/>
        </w:rPr>
        <w:t>construction</w:t>
      </w:r>
      <w:r>
        <w:rPr>
          <w:spacing w:val="-5"/>
          <w:sz w:val="18"/>
        </w:rPr>
        <w:t> </w:t>
      </w:r>
      <w:r>
        <w:rPr>
          <w:sz w:val="18"/>
        </w:rPr>
        <w:t>company</w:t>
      </w:r>
      <w:r>
        <w:rPr>
          <w:spacing w:val="-7"/>
          <w:sz w:val="18"/>
        </w:rPr>
        <w:t> </w:t>
      </w:r>
      <w:r>
        <w:rPr>
          <w:sz w:val="18"/>
        </w:rPr>
        <w:t>contracted</w:t>
      </w:r>
      <w:r>
        <w:rPr>
          <w:spacing w:val="-5"/>
          <w:sz w:val="18"/>
        </w:rPr>
        <w:t> </w:t>
      </w:r>
      <w:r>
        <w:rPr>
          <w:sz w:val="18"/>
        </w:rPr>
        <w:t>by</w:t>
      </w:r>
      <w:r>
        <w:rPr>
          <w:spacing w:val="-7"/>
          <w:sz w:val="18"/>
        </w:rPr>
        <w:t> </w:t>
      </w:r>
      <w:r>
        <w:rPr>
          <w:sz w:val="18"/>
        </w:rPr>
        <w:t>the</w:t>
      </w:r>
      <w:r>
        <w:rPr>
          <w:spacing w:val="-5"/>
          <w:sz w:val="18"/>
        </w:rPr>
        <w:t> </w:t>
      </w:r>
      <w:r>
        <w:rPr>
          <w:sz w:val="18"/>
        </w:rPr>
        <w:t>developer</w:t>
      </w:r>
      <w:r>
        <w:rPr>
          <w:spacing w:val="-6"/>
          <w:sz w:val="18"/>
        </w:rPr>
        <w:t> </w:t>
      </w:r>
      <w:r>
        <w:rPr>
          <w:sz w:val="18"/>
        </w:rPr>
        <w:t>to</w:t>
      </w:r>
      <w:r>
        <w:rPr>
          <w:spacing w:val="-5"/>
          <w:sz w:val="18"/>
        </w:rPr>
        <w:t> </w:t>
      </w:r>
      <w:r>
        <w:rPr>
          <w:sz w:val="18"/>
        </w:rPr>
        <w:t>build</w:t>
      </w:r>
      <w:r>
        <w:rPr>
          <w:spacing w:val="-5"/>
          <w:sz w:val="18"/>
        </w:rPr>
        <w:t> </w:t>
      </w:r>
      <w:r>
        <w:rPr>
          <w:sz w:val="18"/>
        </w:rPr>
        <w:t>the</w:t>
      </w:r>
      <w:r>
        <w:rPr>
          <w:spacing w:val="-5"/>
          <w:sz w:val="18"/>
        </w:rPr>
        <w:t> </w:t>
      </w:r>
      <w:r>
        <w:rPr>
          <w:sz w:val="18"/>
        </w:rPr>
        <w:t>residence</w:t>
      </w:r>
      <w:r>
        <w:rPr>
          <w:spacing w:val="-5"/>
          <w:sz w:val="18"/>
        </w:rPr>
        <w:t> </w:t>
      </w:r>
      <w:r>
        <w:rPr>
          <w:sz w:val="18"/>
        </w:rPr>
        <w:t>would</w:t>
      </w:r>
      <w:r>
        <w:rPr>
          <w:spacing w:val="-5"/>
          <w:sz w:val="18"/>
        </w:rPr>
        <w:t> </w:t>
      </w:r>
      <w:r>
        <w:rPr>
          <w:sz w:val="18"/>
        </w:rPr>
        <w:t>be</w:t>
      </w:r>
      <w:r>
        <w:rPr>
          <w:spacing w:val="-5"/>
          <w:sz w:val="18"/>
        </w:rPr>
        <w:t> </w:t>
      </w:r>
      <w:r>
        <w:rPr>
          <w:sz w:val="18"/>
        </w:rPr>
        <w:t>the</w:t>
      </w:r>
      <w:r>
        <w:rPr>
          <w:spacing w:val="-5"/>
          <w:sz w:val="18"/>
        </w:rPr>
        <w:t> </w:t>
      </w:r>
      <w:r>
        <w:rPr>
          <w:sz w:val="18"/>
        </w:rPr>
        <w:t>“manufacturer,”</w:t>
      </w:r>
    </w:p>
    <w:p>
      <w:pPr>
        <w:spacing w:before="33"/>
        <w:ind w:left="723" w:right="0" w:firstLine="0"/>
        <w:jc w:val="left"/>
        <w:rPr>
          <w:sz w:val="18"/>
        </w:rPr>
      </w:pPr>
      <w:r>
        <w:rPr>
          <w:sz w:val="18"/>
        </w:rPr>
        <w:t>without a relationship to the consumer, and would be out of scope applying the general definition.</w:t>
      </w:r>
    </w:p>
    <w:p>
      <w:pPr>
        <w:spacing w:after="0"/>
        <w:jc w:val="left"/>
        <w:rPr>
          <w:sz w:val="18"/>
        </w:rPr>
        <w:sectPr>
          <w:pgSz w:w="11910" w:h="16840"/>
          <w:pgMar w:header="1244" w:footer="1638" w:top="1500" w:bottom="1820" w:left="580" w:right="820"/>
        </w:sectPr>
      </w:pPr>
    </w:p>
    <w:p>
      <w:pPr>
        <w:pStyle w:val="BodyText"/>
        <w:spacing w:before="5"/>
      </w:pPr>
    </w:p>
    <w:p>
      <w:pPr>
        <w:pStyle w:val="BodyText"/>
        <w:spacing w:before="93"/>
        <w:ind w:left="723"/>
      </w:pPr>
      <w:r>
        <w:rPr/>
        <w:t>jurisdiction where the real estate is “delivered” which in this case would be where the real estate is</w:t>
      </w:r>
    </w:p>
    <w:p>
      <w:pPr>
        <w:pStyle w:val="BodyText"/>
        <w:spacing w:before="29"/>
        <w:ind w:left="723"/>
      </w:pPr>
      <w:r>
        <w:rPr/>
        <w:t>physically located.</w:t>
      </w:r>
    </w:p>
    <w:p>
      <w:pPr>
        <w:pStyle w:val="ListParagraph"/>
        <w:numPr>
          <w:ilvl w:val="0"/>
          <w:numId w:val="13"/>
        </w:numPr>
        <w:tabs>
          <w:tab w:pos="1444" w:val="left" w:leader="none"/>
        </w:tabs>
        <w:spacing w:line="271" w:lineRule="auto" w:before="149" w:after="0"/>
        <w:ind w:left="723" w:right="481" w:firstLine="0"/>
        <w:jc w:val="both"/>
        <w:rPr>
          <w:sz w:val="20"/>
        </w:rPr>
      </w:pPr>
      <w:r>
        <w:rPr>
          <w:sz w:val="20"/>
        </w:rPr>
        <w:t>For</w:t>
      </w:r>
      <w:r>
        <w:rPr>
          <w:spacing w:val="-14"/>
          <w:sz w:val="20"/>
        </w:rPr>
        <w:t> </w:t>
      </w:r>
      <w:r>
        <w:rPr>
          <w:sz w:val="20"/>
        </w:rPr>
        <w:t>these</w:t>
      </w:r>
      <w:r>
        <w:rPr>
          <w:spacing w:val="-12"/>
          <w:sz w:val="20"/>
        </w:rPr>
        <w:t> </w:t>
      </w:r>
      <w:r>
        <w:rPr>
          <w:sz w:val="20"/>
        </w:rPr>
        <w:t>reasons,</w:t>
      </w:r>
      <w:r>
        <w:rPr>
          <w:spacing w:val="-10"/>
          <w:sz w:val="20"/>
        </w:rPr>
        <w:t> </w:t>
      </w:r>
      <w:r>
        <w:rPr>
          <w:sz w:val="20"/>
        </w:rPr>
        <w:t>the</w:t>
      </w:r>
      <w:r>
        <w:rPr>
          <w:spacing w:val="-14"/>
          <w:sz w:val="20"/>
        </w:rPr>
        <w:t> </w:t>
      </w:r>
      <w:r>
        <w:rPr>
          <w:sz w:val="20"/>
        </w:rPr>
        <w:t>construction,</w:t>
      </w:r>
      <w:r>
        <w:rPr>
          <w:spacing w:val="-12"/>
          <w:sz w:val="20"/>
        </w:rPr>
        <w:t> </w:t>
      </w:r>
      <w:r>
        <w:rPr>
          <w:sz w:val="20"/>
        </w:rPr>
        <w:t>sale</w:t>
      </w:r>
      <w:r>
        <w:rPr>
          <w:spacing w:val="-14"/>
          <w:sz w:val="20"/>
        </w:rPr>
        <w:t> </w:t>
      </w:r>
      <w:r>
        <w:rPr>
          <w:sz w:val="20"/>
        </w:rPr>
        <w:t>or</w:t>
      </w:r>
      <w:r>
        <w:rPr>
          <w:spacing w:val="-11"/>
          <w:sz w:val="20"/>
        </w:rPr>
        <w:t> </w:t>
      </w:r>
      <w:r>
        <w:rPr>
          <w:sz w:val="20"/>
        </w:rPr>
        <w:t>letting</w:t>
      </w:r>
      <w:r>
        <w:rPr>
          <w:spacing w:val="-12"/>
          <w:sz w:val="20"/>
        </w:rPr>
        <w:t> </w:t>
      </w:r>
      <w:r>
        <w:rPr>
          <w:sz w:val="20"/>
        </w:rPr>
        <w:t>of</w:t>
      </w:r>
      <w:r>
        <w:rPr>
          <w:spacing w:val="-12"/>
          <w:sz w:val="20"/>
        </w:rPr>
        <w:t> </w:t>
      </w:r>
      <w:r>
        <w:rPr>
          <w:sz w:val="20"/>
        </w:rPr>
        <w:t>residential</w:t>
      </w:r>
      <w:r>
        <w:rPr>
          <w:spacing w:val="-14"/>
          <w:sz w:val="20"/>
        </w:rPr>
        <w:t> </w:t>
      </w:r>
      <w:r>
        <w:rPr>
          <w:sz w:val="20"/>
        </w:rPr>
        <w:t>dwellings</w:t>
      </w:r>
      <w:r>
        <w:rPr>
          <w:spacing w:val="-10"/>
          <w:sz w:val="20"/>
        </w:rPr>
        <w:t> </w:t>
      </w:r>
      <w:r>
        <w:rPr>
          <w:sz w:val="20"/>
        </w:rPr>
        <w:t>by</w:t>
      </w:r>
      <w:r>
        <w:rPr>
          <w:spacing w:val="-14"/>
          <w:sz w:val="20"/>
        </w:rPr>
        <w:t> </w:t>
      </w:r>
      <w:r>
        <w:rPr>
          <w:sz w:val="20"/>
        </w:rPr>
        <w:t>businesses</w:t>
      </w:r>
      <w:r>
        <w:rPr>
          <w:spacing w:val="-13"/>
          <w:sz w:val="20"/>
        </w:rPr>
        <w:t> </w:t>
      </w:r>
      <w:r>
        <w:rPr>
          <w:sz w:val="20"/>
        </w:rPr>
        <w:t>that</w:t>
      </w:r>
      <w:r>
        <w:rPr>
          <w:spacing w:val="-11"/>
          <w:sz w:val="20"/>
        </w:rPr>
        <w:t> </w:t>
      </w:r>
      <w:r>
        <w:rPr>
          <w:sz w:val="20"/>
        </w:rPr>
        <w:t>have engaged in the development and construction of the residential real estate is proposed to be excluded from the scope of Amount</w:t>
      </w:r>
      <w:r>
        <w:rPr>
          <w:spacing w:val="1"/>
          <w:sz w:val="20"/>
        </w:rPr>
        <w:t> </w:t>
      </w:r>
      <w:r>
        <w:rPr>
          <w:sz w:val="20"/>
        </w:rPr>
        <w:t>A.</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For the purposes of this exclusion, residential dwelling means the structure and land intended to be</w:t>
      </w:r>
      <w:r>
        <w:rPr>
          <w:spacing w:val="-5"/>
          <w:sz w:val="20"/>
        </w:rPr>
        <w:t> </w:t>
      </w:r>
      <w:r>
        <w:rPr>
          <w:sz w:val="20"/>
        </w:rPr>
        <w:t>used</w:t>
      </w:r>
      <w:r>
        <w:rPr>
          <w:spacing w:val="-5"/>
          <w:sz w:val="20"/>
        </w:rPr>
        <w:t> </w:t>
      </w:r>
      <w:r>
        <w:rPr>
          <w:sz w:val="20"/>
        </w:rPr>
        <w:t>or</w:t>
      </w:r>
      <w:r>
        <w:rPr>
          <w:spacing w:val="-5"/>
          <w:sz w:val="20"/>
        </w:rPr>
        <w:t> </w:t>
      </w:r>
      <w:r>
        <w:rPr>
          <w:sz w:val="20"/>
        </w:rPr>
        <w:t>occupied,</w:t>
      </w:r>
      <w:r>
        <w:rPr>
          <w:spacing w:val="-5"/>
          <w:sz w:val="20"/>
        </w:rPr>
        <w:t> </w:t>
      </w:r>
      <w:r>
        <w:rPr>
          <w:sz w:val="20"/>
        </w:rPr>
        <w:t>in</w:t>
      </w:r>
      <w:r>
        <w:rPr>
          <w:spacing w:val="-1"/>
          <w:sz w:val="20"/>
        </w:rPr>
        <w:t> </w:t>
      </w:r>
      <w:r>
        <w:rPr>
          <w:sz w:val="20"/>
        </w:rPr>
        <w:t>whole</w:t>
      </w:r>
      <w:r>
        <w:rPr>
          <w:spacing w:val="-5"/>
          <w:sz w:val="20"/>
        </w:rPr>
        <w:t> </w:t>
      </w:r>
      <w:r>
        <w:rPr>
          <w:sz w:val="20"/>
        </w:rPr>
        <w:t>or</w:t>
      </w:r>
      <w:r>
        <w:rPr>
          <w:spacing w:val="-4"/>
          <w:sz w:val="20"/>
        </w:rPr>
        <w:t> </w:t>
      </w:r>
      <w:r>
        <w:rPr>
          <w:sz w:val="20"/>
        </w:rPr>
        <w:t>in</w:t>
      </w:r>
      <w:r>
        <w:rPr>
          <w:spacing w:val="-4"/>
          <w:sz w:val="20"/>
        </w:rPr>
        <w:t> </w:t>
      </w:r>
      <w:r>
        <w:rPr>
          <w:sz w:val="20"/>
        </w:rPr>
        <w:t>part,</w:t>
      </w:r>
      <w:r>
        <w:rPr>
          <w:spacing w:val="-6"/>
          <w:sz w:val="20"/>
        </w:rPr>
        <w:t> </w:t>
      </w:r>
      <w:r>
        <w:rPr>
          <w:sz w:val="20"/>
        </w:rPr>
        <w:t>as</w:t>
      </w:r>
      <w:r>
        <w:rPr>
          <w:spacing w:val="-2"/>
          <w:sz w:val="20"/>
        </w:rPr>
        <w:t> </w:t>
      </w:r>
      <w:r>
        <w:rPr>
          <w:sz w:val="20"/>
        </w:rPr>
        <w:t>the</w:t>
      </w:r>
      <w:r>
        <w:rPr>
          <w:spacing w:val="-7"/>
          <w:sz w:val="20"/>
        </w:rPr>
        <w:t> </w:t>
      </w:r>
      <w:r>
        <w:rPr>
          <w:sz w:val="20"/>
        </w:rPr>
        <w:t>home</w:t>
      </w:r>
      <w:r>
        <w:rPr>
          <w:spacing w:val="-6"/>
          <w:sz w:val="20"/>
        </w:rPr>
        <w:t> </w:t>
      </w:r>
      <w:r>
        <w:rPr>
          <w:sz w:val="20"/>
        </w:rPr>
        <w:t>of</w:t>
      </w:r>
      <w:r>
        <w:rPr>
          <w:spacing w:val="-5"/>
          <w:sz w:val="20"/>
        </w:rPr>
        <w:t> </w:t>
      </w:r>
      <w:r>
        <w:rPr>
          <w:sz w:val="20"/>
        </w:rPr>
        <w:t>one</w:t>
      </w:r>
      <w:r>
        <w:rPr>
          <w:spacing w:val="-5"/>
          <w:sz w:val="20"/>
        </w:rPr>
        <w:t> </w:t>
      </w:r>
      <w:r>
        <w:rPr>
          <w:sz w:val="20"/>
        </w:rPr>
        <w:t>or</w:t>
      </w:r>
      <w:r>
        <w:rPr>
          <w:spacing w:val="-5"/>
          <w:sz w:val="20"/>
        </w:rPr>
        <w:t> </w:t>
      </w:r>
      <w:r>
        <w:rPr>
          <w:sz w:val="20"/>
        </w:rPr>
        <w:t>more</w:t>
      </w:r>
      <w:r>
        <w:rPr>
          <w:spacing w:val="-6"/>
          <w:sz w:val="20"/>
        </w:rPr>
        <w:t> </w:t>
      </w:r>
      <w:r>
        <w:rPr>
          <w:sz w:val="20"/>
        </w:rPr>
        <w:t>persons.</w:t>
      </w:r>
      <w:r>
        <w:rPr>
          <w:spacing w:val="-3"/>
          <w:sz w:val="20"/>
        </w:rPr>
        <w:t> </w:t>
      </w:r>
      <w:r>
        <w:rPr>
          <w:sz w:val="20"/>
        </w:rPr>
        <w:t>The</w:t>
      </w:r>
      <w:r>
        <w:rPr>
          <w:spacing w:val="-7"/>
          <w:sz w:val="20"/>
        </w:rPr>
        <w:t> </w:t>
      </w:r>
      <w:r>
        <w:rPr>
          <w:sz w:val="20"/>
        </w:rPr>
        <w:t>definition</w:t>
      </w:r>
      <w:r>
        <w:rPr>
          <w:spacing w:val="-4"/>
          <w:sz w:val="20"/>
        </w:rPr>
        <w:t> </w:t>
      </w:r>
      <w:r>
        <w:rPr>
          <w:sz w:val="20"/>
        </w:rPr>
        <w:t>of</w:t>
      </w:r>
      <w:r>
        <w:rPr>
          <w:spacing w:val="-5"/>
          <w:sz w:val="20"/>
        </w:rPr>
        <w:t> </w:t>
      </w:r>
      <w:r>
        <w:rPr>
          <w:sz w:val="20"/>
        </w:rPr>
        <w:t>residential dwelling means that the offering of temporary accommodation, such as hotels, remain in the scope of Amount</w:t>
      </w:r>
      <w:r>
        <w:rPr>
          <w:spacing w:val="-5"/>
          <w:sz w:val="20"/>
        </w:rPr>
        <w:t> </w:t>
      </w:r>
      <w:r>
        <w:rPr>
          <w:sz w:val="20"/>
        </w:rPr>
        <w:t>A.</w:t>
      </w:r>
      <w:r>
        <w:rPr>
          <w:spacing w:val="-6"/>
          <w:sz w:val="20"/>
        </w:rPr>
        <w:t> </w:t>
      </w:r>
      <w:r>
        <w:rPr>
          <w:sz w:val="20"/>
        </w:rPr>
        <w:t>While</w:t>
      </w:r>
      <w:r>
        <w:rPr>
          <w:spacing w:val="-3"/>
          <w:sz w:val="20"/>
        </w:rPr>
        <w:t> </w:t>
      </w:r>
      <w:r>
        <w:rPr>
          <w:sz w:val="20"/>
        </w:rPr>
        <w:t>such</w:t>
      </w:r>
      <w:r>
        <w:rPr>
          <w:spacing w:val="-4"/>
          <w:sz w:val="20"/>
        </w:rPr>
        <w:t> </w:t>
      </w:r>
      <w:r>
        <w:rPr>
          <w:sz w:val="20"/>
        </w:rPr>
        <w:t>businesses</w:t>
      </w:r>
      <w:r>
        <w:rPr>
          <w:spacing w:val="-2"/>
          <w:sz w:val="20"/>
        </w:rPr>
        <w:t> </w:t>
      </w:r>
      <w:r>
        <w:rPr>
          <w:sz w:val="20"/>
        </w:rPr>
        <w:t>will</w:t>
      </w:r>
      <w:r>
        <w:rPr>
          <w:spacing w:val="-5"/>
          <w:sz w:val="20"/>
        </w:rPr>
        <w:t> </w:t>
      </w:r>
      <w:r>
        <w:rPr>
          <w:sz w:val="20"/>
        </w:rPr>
        <w:t>use</w:t>
      </w:r>
      <w:r>
        <w:rPr>
          <w:spacing w:val="-4"/>
          <w:sz w:val="20"/>
        </w:rPr>
        <w:t> </w:t>
      </w:r>
      <w:r>
        <w:rPr>
          <w:sz w:val="20"/>
        </w:rPr>
        <w:t>real</w:t>
      </w:r>
      <w:r>
        <w:rPr>
          <w:spacing w:val="-4"/>
          <w:sz w:val="20"/>
        </w:rPr>
        <w:t> </w:t>
      </w:r>
      <w:r>
        <w:rPr>
          <w:sz w:val="20"/>
        </w:rPr>
        <w:t>property</w:t>
      </w:r>
      <w:r>
        <w:rPr>
          <w:spacing w:val="-5"/>
          <w:sz w:val="20"/>
        </w:rPr>
        <w:t> </w:t>
      </w:r>
      <w:r>
        <w:rPr>
          <w:sz w:val="20"/>
        </w:rPr>
        <w:t>in</w:t>
      </w:r>
      <w:r>
        <w:rPr>
          <w:spacing w:val="-3"/>
          <w:sz w:val="20"/>
        </w:rPr>
        <w:t> </w:t>
      </w:r>
      <w:r>
        <w:rPr>
          <w:sz w:val="20"/>
        </w:rPr>
        <w:t>their</w:t>
      </w:r>
      <w:r>
        <w:rPr>
          <w:spacing w:val="-3"/>
          <w:sz w:val="20"/>
        </w:rPr>
        <w:t> </w:t>
      </w:r>
      <w:r>
        <w:rPr>
          <w:sz w:val="20"/>
        </w:rPr>
        <w:t>business,</w:t>
      </w:r>
      <w:r>
        <w:rPr>
          <w:spacing w:val="-4"/>
          <w:sz w:val="20"/>
        </w:rPr>
        <w:t> </w:t>
      </w:r>
      <w:r>
        <w:rPr>
          <w:sz w:val="20"/>
        </w:rPr>
        <w:t>they</w:t>
      </w:r>
      <w:r>
        <w:rPr>
          <w:spacing w:val="-4"/>
          <w:sz w:val="20"/>
        </w:rPr>
        <w:t> </w:t>
      </w:r>
      <w:r>
        <w:rPr>
          <w:sz w:val="20"/>
        </w:rPr>
        <w:t>are</w:t>
      </w:r>
      <w:r>
        <w:rPr>
          <w:spacing w:val="-1"/>
          <w:sz w:val="20"/>
        </w:rPr>
        <w:t> </w:t>
      </w:r>
      <w:r>
        <w:rPr>
          <w:sz w:val="20"/>
        </w:rPr>
        <w:t>not</w:t>
      </w:r>
      <w:r>
        <w:rPr>
          <w:spacing w:val="-4"/>
          <w:sz w:val="20"/>
        </w:rPr>
        <w:t> </w:t>
      </w:r>
      <w:r>
        <w:rPr>
          <w:sz w:val="20"/>
        </w:rPr>
        <w:t>selling</w:t>
      </w:r>
      <w:r>
        <w:rPr>
          <w:spacing w:val="3"/>
          <w:sz w:val="20"/>
        </w:rPr>
        <w:t> </w:t>
      </w:r>
      <w:r>
        <w:rPr>
          <w:sz w:val="20"/>
        </w:rPr>
        <w:t>or</w:t>
      </w:r>
      <w:r>
        <w:rPr>
          <w:spacing w:val="-1"/>
          <w:sz w:val="20"/>
        </w:rPr>
        <w:t> </w:t>
      </w:r>
      <w:r>
        <w:rPr>
          <w:sz w:val="20"/>
        </w:rPr>
        <w:t>letting</w:t>
      </w:r>
      <w:r>
        <w:rPr>
          <w:spacing w:val="-3"/>
          <w:sz w:val="20"/>
        </w:rPr>
        <w:t> </w:t>
      </w:r>
      <w:r>
        <w:rPr>
          <w:sz w:val="20"/>
        </w:rPr>
        <w:t>an interest in that property to consumers, but rather providing a service to consumers, and which remains in scope of</w:t>
      </w:r>
      <w:r>
        <w:rPr>
          <w:spacing w:val="-1"/>
          <w:sz w:val="20"/>
        </w:rPr>
        <w:t> </w:t>
      </w:r>
      <w:r>
        <w:rPr>
          <w:sz w:val="20"/>
        </w:rPr>
        <w:t>CFB.</w:t>
      </w:r>
    </w:p>
    <w:p>
      <w:pPr>
        <w:pStyle w:val="ListParagraph"/>
        <w:numPr>
          <w:ilvl w:val="0"/>
          <w:numId w:val="13"/>
        </w:numPr>
        <w:tabs>
          <w:tab w:pos="1444" w:val="left" w:leader="none"/>
        </w:tabs>
        <w:spacing w:line="271" w:lineRule="auto" w:before="121" w:after="0"/>
        <w:ind w:left="723" w:right="478" w:firstLine="0"/>
        <w:jc w:val="both"/>
        <w:rPr>
          <w:sz w:val="20"/>
        </w:rPr>
      </w:pPr>
      <w:r>
        <w:rPr>
          <w:sz w:val="20"/>
        </w:rPr>
        <w:t>The exclusion is limited to those businesses that have engaged in the development and construction of the residential real estate (and therefore have the physical presence in the jurisdiction), and derive their revenue from its sale or leasing. As such, this exclusion does not include businesses that derive commission or service fees that are not based on the sale or leasing of an interest in land, and do not depend on a physical presence in the market location of the real estate. For example, online intermediation platforms intermediating offers of real estate would be within the scope of Amount A. The exclusion would likewise not cover professional services related to construction (such as those provided by architects, designers, lawyers, consultants), or professional services or intermediation services facilitating</w:t>
      </w:r>
      <w:r>
        <w:rPr>
          <w:spacing w:val="-12"/>
          <w:sz w:val="20"/>
        </w:rPr>
        <w:t> </w:t>
      </w:r>
      <w:r>
        <w:rPr>
          <w:sz w:val="20"/>
        </w:rPr>
        <w:t>the</w:t>
      </w:r>
      <w:r>
        <w:rPr>
          <w:spacing w:val="-12"/>
          <w:sz w:val="20"/>
        </w:rPr>
        <w:t> </w:t>
      </w:r>
      <w:r>
        <w:rPr>
          <w:sz w:val="20"/>
        </w:rPr>
        <w:t>sale</w:t>
      </w:r>
      <w:r>
        <w:rPr>
          <w:spacing w:val="-9"/>
          <w:sz w:val="20"/>
        </w:rPr>
        <w:t> </w:t>
      </w:r>
      <w:r>
        <w:rPr>
          <w:sz w:val="20"/>
        </w:rPr>
        <w:t>or</w:t>
      </w:r>
      <w:r>
        <w:rPr>
          <w:spacing w:val="-10"/>
          <w:sz w:val="20"/>
        </w:rPr>
        <w:t> </w:t>
      </w:r>
      <w:r>
        <w:rPr>
          <w:sz w:val="20"/>
        </w:rPr>
        <w:t>leasing</w:t>
      </w:r>
      <w:r>
        <w:rPr>
          <w:spacing w:val="-12"/>
          <w:sz w:val="20"/>
        </w:rPr>
        <w:t> </w:t>
      </w:r>
      <w:r>
        <w:rPr>
          <w:sz w:val="20"/>
        </w:rPr>
        <w:t>of</w:t>
      </w:r>
      <w:r>
        <w:rPr>
          <w:spacing w:val="-9"/>
          <w:sz w:val="20"/>
        </w:rPr>
        <w:t> </w:t>
      </w:r>
      <w:r>
        <w:rPr>
          <w:sz w:val="20"/>
        </w:rPr>
        <w:t>property</w:t>
      </w:r>
      <w:r>
        <w:rPr>
          <w:spacing w:val="-14"/>
          <w:sz w:val="20"/>
        </w:rPr>
        <w:t> </w:t>
      </w:r>
      <w:r>
        <w:rPr>
          <w:sz w:val="20"/>
        </w:rPr>
        <w:t>(such</w:t>
      </w:r>
      <w:r>
        <w:rPr>
          <w:spacing w:val="-9"/>
          <w:sz w:val="20"/>
        </w:rPr>
        <w:t> </w:t>
      </w:r>
      <w:r>
        <w:rPr>
          <w:sz w:val="20"/>
        </w:rPr>
        <w:t>as</w:t>
      </w:r>
      <w:r>
        <w:rPr>
          <w:spacing w:val="-10"/>
          <w:sz w:val="20"/>
        </w:rPr>
        <w:t> </w:t>
      </w:r>
      <w:r>
        <w:rPr>
          <w:sz w:val="20"/>
        </w:rPr>
        <w:t>those</w:t>
      </w:r>
      <w:r>
        <w:rPr>
          <w:spacing w:val="-9"/>
          <w:sz w:val="20"/>
        </w:rPr>
        <w:t> </w:t>
      </w:r>
      <w:r>
        <w:rPr>
          <w:sz w:val="20"/>
        </w:rPr>
        <w:t>provided</w:t>
      </w:r>
      <w:r>
        <w:rPr>
          <w:spacing w:val="-9"/>
          <w:sz w:val="20"/>
        </w:rPr>
        <w:t> </w:t>
      </w:r>
      <w:r>
        <w:rPr>
          <w:sz w:val="20"/>
        </w:rPr>
        <w:t>by</w:t>
      </w:r>
      <w:r>
        <w:rPr>
          <w:spacing w:val="-11"/>
          <w:sz w:val="20"/>
        </w:rPr>
        <w:t> </w:t>
      </w:r>
      <w:r>
        <w:rPr>
          <w:sz w:val="20"/>
        </w:rPr>
        <w:t>real</w:t>
      </w:r>
      <w:r>
        <w:rPr>
          <w:spacing w:val="-12"/>
          <w:sz w:val="20"/>
        </w:rPr>
        <w:t> </w:t>
      </w:r>
      <w:r>
        <w:rPr>
          <w:sz w:val="20"/>
        </w:rPr>
        <w:t>estate</w:t>
      </w:r>
      <w:r>
        <w:rPr>
          <w:spacing w:val="-10"/>
          <w:sz w:val="20"/>
        </w:rPr>
        <w:t> </w:t>
      </w:r>
      <w:r>
        <w:rPr>
          <w:sz w:val="20"/>
        </w:rPr>
        <w:t>agents,</w:t>
      </w:r>
      <w:r>
        <w:rPr>
          <w:spacing w:val="-10"/>
          <w:sz w:val="20"/>
        </w:rPr>
        <w:t> </w:t>
      </w:r>
      <w:r>
        <w:rPr>
          <w:sz w:val="20"/>
        </w:rPr>
        <w:t>mortgage</w:t>
      </w:r>
      <w:r>
        <w:rPr>
          <w:spacing w:val="-12"/>
          <w:sz w:val="20"/>
        </w:rPr>
        <w:t> </w:t>
      </w:r>
      <w:r>
        <w:rPr>
          <w:sz w:val="20"/>
        </w:rPr>
        <w:t>brokers, financial</w:t>
      </w:r>
      <w:r>
        <w:rPr>
          <w:spacing w:val="-5"/>
          <w:sz w:val="20"/>
        </w:rPr>
        <w:t> </w:t>
      </w:r>
      <w:r>
        <w:rPr>
          <w:sz w:val="20"/>
        </w:rPr>
        <w:t>institutions),</w:t>
      </w:r>
      <w:r>
        <w:rPr>
          <w:spacing w:val="-3"/>
          <w:sz w:val="20"/>
        </w:rPr>
        <w:t> </w:t>
      </w:r>
      <w:r>
        <w:rPr>
          <w:sz w:val="20"/>
        </w:rPr>
        <w:t>although</w:t>
      </w:r>
      <w:r>
        <w:rPr>
          <w:spacing w:val="-3"/>
          <w:sz w:val="20"/>
        </w:rPr>
        <w:t> </w:t>
      </w:r>
      <w:r>
        <w:rPr>
          <w:sz w:val="20"/>
        </w:rPr>
        <w:t>they</w:t>
      </w:r>
      <w:r>
        <w:rPr>
          <w:spacing w:val="-6"/>
          <w:sz w:val="20"/>
        </w:rPr>
        <w:t> </w:t>
      </w:r>
      <w:r>
        <w:rPr>
          <w:sz w:val="20"/>
        </w:rPr>
        <w:t>may</w:t>
      </w:r>
      <w:r>
        <w:rPr>
          <w:spacing w:val="-8"/>
          <w:sz w:val="20"/>
        </w:rPr>
        <w:t> </w:t>
      </w:r>
      <w:r>
        <w:rPr>
          <w:sz w:val="20"/>
        </w:rPr>
        <w:t>be</w:t>
      </w:r>
      <w:r>
        <w:rPr>
          <w:spacing w:val="-2"/>
          <w:sz w:val="20"/>
        </w:rPr>
        <w:t> </w:t>
      </w:r>
      <w:r>
        <w:rPr>
          <w:sz w:val="20"/>
        </w:rPr>
        <w:t>otherwise</w:t>
      </w:r>
      <w:r>
        <w:rPr>
          <w:spacing w:val="-1"/>
          <w:sz w:val="20"/>
        </w:rPr>
        <w:t> </w:t>
      </w:r>
      <w:r>
        <w:rPr>
          <w:sz w:val="20"/>
        </w:rPr>
        <w:t>excluded</w:t>
      </w:r>
      <w:r>
        <w:rPr>
          <w:spacing w:val="-4"/>
          <w:sz w:val="20"/>
        </w:rPr>
        <w:t> </w:t>
      </w:r>
      <w:r>
        <w:rPr>
          <w:sz w:val="20"/>
        </w:rPr>
        <w:t>from</w:t>
      </w:r>
      <w:r>
        <w:rPr>
          <w:spacing w:val="2"/>
          <w:sz w:val="20"/>
        </w:rPr>
        <w:t> </w:t>
      </w:r>
      <w:r>
        <w:rPr>
          <w:sz w:val="20"/>
        </w:rPr>
        <w:t>the</w:t>
      </w:r>
      <w:r>
        <w:rPr>
          <w:spacing w:val="-3"/>
          <w:sz w:val="20"/>
        </w:rPr>
        <w:t> </w:t>
      </w:r>
      <w:r>
        <w:rPr>
          <w:sz w:val="20"/>
        </w:rPr>
        <w:t>scope</w:t>
      </w:r>
      <w:r>
        <w:rPr>
          <w:spacing w:val="-4"/>
          <w:sz w:val="20"/>
        </w:rPr>
        <w:t> </w:t>
      </w:r>
      <w:r>
        <w:rPr>
          <w:sz w:val="20"/>
        </w:rPr>
        <w:t>under</w:t>
      </w:r>
      <w:r>
        <w:rPr>
          <w:spacing w:val="-3"/>
          <w:sz w:val="20"/>
        </w:rPr>
        <w:t> </w:t>
      </w:r>
      <w:r>
        <w:rPr>
          <w:sz w:val="20"/>
        </w:rPr>
        <w:t>the</w:t>
      </w:r>
      <w:r>
        <w:rPr>
          <w:spacing w:val="-3"/>
          <w:sz w:val="20"/>
        </w:rPr>
        <w:t> </w:t>
      </w:r>
      <w:r>
        <w:rPr>
          <w:sz w:val="20"/>
        </w:rPr>
        <w:t>general</w:t>
      </w:r>
      <w:r>
        <w:rPr>
          <w:spacing w:val="-4"/>
          <w:sz w:val="20"/>
        </w:rPr>
        <w:t> </w:t>
      </w:r>
      <w:r>
        <w:rPr>
          <w:sz w:val="20"/>
        </w:rPr>
        <w:t>rules.</w:t>
      </w:r>
    </w:p>
    <w:p>
      <w:pPr>
        <w:pStyle w:val="ListParagraph"/>
        <w:numPr>
          <w:ilvl w:val="0"/>
          <w:numId w:val="13"/>
        </w:numPr>
        <w:tabs>
          <w:tab w:pos="1444" w:val="left" w:leader="none"/>
        </w:tabs>
        <w:spacing w:line="271" w:lineRule="auto" w:before="123" w:after="0"/>
        <w:ind w:left="723" w:right="490" w:firstLine="0"/>
        <w:jc w:val="both"/>
        <w:rPr>
          <w:sz w:val="20"/>
        </w:rPr>
      </w:pPr>
      <w:r>
        <w:rPr>
          <w:sz w:val="20"/>
        </w:rPr>
        <w:t>Further technical work will be conducted to address the link between the type of income that a franchising</w:t>
      </w:r>
      <w:r>
        <w:rPr>
          <w:spacing w:val="-10"/>
          <w:sz w:val="20"/>
        </w:rPr>
        <w:t> </w:t>
      </w:r>
      <w:r>
        <w:rPr>
          <w:sz w:val="20"/>
        </w:rPr>
        <w:t>business</w:t>
      </w:r>
      <w:r>
        <w:rPr>
          <w:spacing w:val="-10"/>
          <w:sz w:val="20"/>
        </w:rPr>
        <w:t> </w:t>
      </w:r>
      <w:r>
        <w:rPr>
          <w:sz w:val="20"/>
        </w:rPr>
        <w:t>may</w:t>
      </w:r>
      <w:r>
        <w:rPr>
          <w:spacing w:val="-15"/>
          <w:sz w:val="20"/>
        </w:rPr>
        <w:t> </w:t>
      </w:r>
      <w:r>
        <w:rPr>
          <w:sz w:val="20"/>
        </w:rPr>
        <w:t>earn</w:t>
      </w:r>
      <w:r>
        <w:rPr>
          <w:spacing w:val="-11"/>
          <w:sz w:val="20"/>
        </w:rPr>
        <w:t> </w:t>
      </w:r>
      <w:r>
        <w:rPr>
          <w:sz w:val="20"/>
        </w:rPr>
        <w:t>(which</w:t>
      </w:r>
      <w:r>
        <w:rPr>
          <w:spacing w:val="-12"/>
          <w:sz w:val="20"/>
        </w:rPr>
        <w:t> </w:t>
      </w:r>
      <w:r>
        <w:rPr>
          <w:sz w:val="20"/>
        </w:rPr>
        <w:t>could</w:t>
      </w:r>
      <w:r>
        <w:rPr>
          <w:spacing w:val="-9"/>
          <w:sz w:val="20"/>
        </w:rPr>
        <w:t> </w:t>
      </w:r>
      <w:r>
        <w:rPr>
          <w:sz w:val="20"/>
        </w:rPr>
        <w:t>include</w:t>
      </w:r>
      <w:r>
        <w:rPr>
          <w:spacing w:val="-13"/>
          <w:sz w:val="20"/>
        </w:rPr>
        <w:t> </w:t>
      </w:r>
      <w:r>
        <w:rPr>
          <w:sz w:val="20"/>
        </w:rPr>
        <w:t>rental</w:t>
      </w:r>
      <w:r>
        <w:rPr>
          <w:spacing w:val="-10"/>
          <w:sz w:val="20"/>
        </w:rPr>
        <w:t> </w:t>
      </w:r>
      <w:r>
        <w:rPr>
          <w:sz w:val="20"/>
        </w:rPr>
        <w:t>income),</w:t>
      </w:r>
      <w:r>
        <w:rPr>
          <w:spacing w:val="-11"/>
          <w:sz w:val="20"/>
        </w:rPr>
        <w:t> </w:t>
      </w:r>
      <w:r>
        <w:rPr>
          <w:sz w:val="20"/>
        </w:rPr>
        <w:t>and</w:t>
      </w:r>
      <w:r>
        <w:rPr>
          <w:spacing w:val="-12"/>
          <w:sz w:val="20"/>
        </w:rPr>
        <w:t> </w:t>
      </w:r>
      <w:r>
        <w:rPr>
          <w:sz w:val="20"/>
        </w:rPr>
        <w:t>the</w:t>
      </w:r>
      <w:r>
        <w:rPr>
          <w:spacing w:val="-12"/>
          <w:sz w:val="20"/>
        </w:rPr>
        <w:t> </w:t>
      </w:r>
      <w:r>
        <w:rPr>
          <w:sz w:val="20"/>
        </w:rPr>
        <w:t>analysis</w:t>
      </w:r>
      <w:r>
        <w:rPr>
          <w:spacing w:val="-10"/>
          <w:sz w:val="20"/>
        </w:rPr>
        <w:t> </w:t>
      </w:r>
      <w:r>
        <w:rPr>
          <w:sz w:val="20"/>
        </w:rPr>
        <w:t>above</w:t>
      </w:r>
      <w:r>
        <w:rPr>
          <w:spacing w:val="-10"/>
          <w:sz w:val="20"/>
        </w:rPr>
        <w:t> </w:t>
      </w:r>
      <w:r>
        <w:rPr>
          <w:sz w:val="20"/>
        </w:rPr>
        <w:t>on</w:t>
      </w:r>
      <w:r>
        <w:rPr>
          <w:spacing w:val="-10"/>
          <w:sz w:val="20"/>
        </w:rPr>
        <w:t> </w:t>
      </w:r>
      <w:r>
        <w:rPr>
          <w:sz w:val="20"/>
        </w:rPr>
        <w:t>commercial real</w:t>
      </w:r>
      <w:r>
        <w:rPr>
          <w:spacing w:val="-5"/>
          <w:sz w:val="20"/>
        </w:rPr>
        <w:t> </w:t>
      </w:r>
      <w:r>
        <w:rPr>
          <w:sz w:val="20"/>
        </w:rPr>
        <w:t>estate,</w:t>
      </w:r>
      <w:r>
        <w:rPr>
          <w:spacing w:val="-2"/>
          <w:sz w:val="20"/>
        </w:rPr>
        <w:t> </w:t>
      </w:r>
      <w:r>
        <w:rPr>
          <w:sz w:val="20"/>
        </w:rPr>
        <w:t>to</w:t>
      </w:r>
      <w:r>
        <w:rPr>
          <w:spacing w:val="-3"/>
          <w:sz w:val="20"/>
        </w:rPr>
        <w:t> </w:t>
      </w:r>
      <w:r>
        <w:rPr>
          <w:sz w:val="20"/>
        </w:rPr>
        <w:t>ensure</w:t>
      </w:r>
      <w:r>
        <w:rPr>
          <w:spacing w:val="-4"/>
          <w:sz w:val="20"/>
        </w:rPr>
        <w:t> </w:t>
      </w:r>
      <w:r>
        <w:rPr>
          <w:sz w:val="20"/>
        </w:rPr>
        <w:t>that</w:t>
      </w:r>
      <w:r>
        <w:rPr>
          <w:spacing w:val="-4"/>
          <w:sz w:val="20"/>
        </w:rPr>
        <w:t> </w:t>
      </w:r>
      <w:r>
        <w:rPr>
          <w:sz w:val="20"/>
        </w:rPr>
        <w:t>revenue</w:t>
      </w:r>
      <w:r>
        <w:rPr>
          <w:spacing w:val="-1"/>
          <w:sz w:val="20"/>
        </w:rPr>
        <w:t> </w:t>
      </w:r>
      <w:r>
        <w:rPr>
          <w:sz w:val="20"/>
        </w:rPr>
        <w:t>from</w:t>
      </w:r>
      <w:r>
        <w:rPr>
          <w:spacing w:val="1"/>
          <w:sz w:val="20"/>
        </w:rPr>
        <w:t> </w:t>
      </w:r>
      <w:r>
        <w:rPr>
          <w:sz w:val="20"/>
        </w:rPr>
        <w:t>franchising</w:t>
      </w:r>
      <w:r>
        <w:rPr>
          <w:spacing w:val="-2"/>
          <w:sz w:val="20"/>
        </w:rPr>
        <w:t> </w:t>
      </w:r>
      <w:r>
        <w:rPr>
          <w:sz w:val="20"/>
        </w:rPr>
        <w:t>is</w:t>
      </w:r>
      <w:r>
        <w:rPr>
          <w:spacing w:val="-1"/>
          <w:sz w:val="20"/>
        </w:rPr>
        <w:t> </w:t>
      </w:r>
      <w:r>
        <w:rPr>
          <w:sz w:val="20"/>
        </w:rPr>
        <w:t>appropriately</w:t>
      </w:r>
      <w:r>
        <w:rPr>
          <w:spacing w:val="-6"/>
          <w:sz w:val="20"/>
        </w:rPr>
        <w:t> </w:t>
      </w:r>
      <w:r>
        <w:rPr>
          <w:sz w:val="20"/>
        </w:rPr>
        <w:t>included</w:t>
      </w:r>
      <w:r>
        <w:rPr>
          <w:spacing w:val="-2"/>
          <w:sz w:val="20"/>
        </w:rPr>
        <w:t> </w:t>
      </w:r>
      <w:r>
        <w:rPr>
          <w:sz w:val="20"/>
        </w:rPr>
        <w:t>in</w:t>
      </w:r>
      <w:r>
        <w:rPr>
          <w:spacing w:val="-2"/>
          <w:sz w:val="20"/>
        </w:rPr>
        <w:t> </w:t>
      </w:r>
      <w:r>
        <w:rPr>
          <w:sz w:val="20"/>
        </w:rPr>
        <w:t>the</w:t>
      </w:r>
      <w:r>
        <w:rPr>
          <w:spacing w:val="-3"/>
          <w:sz w:val="20"/>
        </w:rPr>
        <w:t> </w:t>
      </w:r>
      <w:r>
        <w:rPr>
          <w:sz w:val="20"/>
        </w:rPr>
        <w:t>scope</w:t>
      </w:r>
      <w:r>
        <w:rPr>
          <w:spacing w:val="-4"/>
          <w:sz w:val="20"/>
        </w:rPr>
        <w:t> </w:t>
      </w:r>
      <w:r>
        <w:rPr>
          <w:sz w:val="20"/>
        </w:rPr>
        <w:t>of</w:t>
      </w:r>
      <w:r>
        <w:rPr>
          <w:spacing w:val="-2"/>
          <w:sz w:val="20"/>
        </w:rPr>
        <w:t> </w:t>
      </w:r>
      <w:r>
        <w:rPr>
          <w:sz w:val="20"/>
        </w:rPr>
        <w:t>Amount</w:t>
      </w:r>
      <w:r>
        <w:rPr>
          <w:spacing w:val="-1"/>
          <w:sz w:val="20"/>
        </w:rPr>
        <w:t> </w:t>
      </w:r>
      <w:r>
        <w:rPr>
          <w:sz w:val="20"/>
        </w:rPr>
        <w:t>A.</w:t>
      </w:r>
    </w:p>
    <w:p>
      <w:pPr>
        <w:pStyle w:val="ListParagraph"/>
        <w:numPr>
          <w:ilvl w:val="0"/>
          <w:numId w:val="13"/>
        </w:numPr>
        <w:tabs>
          <w:tab w:pos="1444" w:val="left" w:leader="none"/>
        </w:tabs>
        <w:spacing w:line="271" w:lineRule="auto" w:before="120" w:after="0"/>
        <w:ind w:left="723" w:right="492" w:firstLine="0"/>
        <w:jc w:val="both"/>
        <w:rPr>
          <w:sz w:val="20"/>
        </w:rPr>
      </w:pPr>
      <w:r>
        <w:rPr>
          <w:sz w:val="20"/>
        </w:rPr>
        <w:t>Apart from these, there are certain sectors related to the operation of infrastructure which is provided as a service to consumers. Further work will be done to consider an exclusion for the operation of infrastructure businesses, such</w:t>
      </w:r>
      <w:r>
        <w:rPr>
          <w:spacing w:val="-3"/>
          <w:sz w:val="20"/>
        </w:rPr>
        <w:t> </w:t>
      </w:r>
      <w:r>
        <w:rPr>
          <w:sz w:val="20"/>
        </w:rPr>
        <w:t>as:</w:t>
      </w:r>
    </w:p>
    <w:p>
      <w:pPr>
        <w:pStyle w:val="ListParagraph"/>
        <w:numPr>
          <w:ilvl w:val="0"/>
          <w:numId w:val="15"/>
        </w:numPr>
        <w:tabs>
          <w:tab w:pos="1403" w:val="left" w:leader="none"/>
        </w:tabs>
        <w:spacing w:line="240" w:lineRule="auto" w:before="100" w:after="0"/>
        <w:ind w:left="1402" w:right="0" w:hanging="339"/>
        <w:jc w:val="both"/>
        <w:rPr>
          <w:sz w:val="20"/>
        </w:rPr>
      </w:pPr>
      <w:r>
        <w:rPr>
          <w:sz w:val="20"/>
        </w:rPr>
        <w:t>electricity generation and</w:t>
      </w:r>
      <w:r>
        <w:rPr>
          <w:spacing w:val="-4"/>
          <w:sz w:val="20"/>
        </w:rPr>
        <w:t> </w:t>
      </w:r>
      <w:r>
        <w:rPr>
          <w:sz w:val="20"/>
        </w:rPr>
        <w:t>distribution,</w:t>
      </w:r>
    </w:p>
    <w:p>
      <w:pPr>
        <w:pStyle w:val="ListParagraph"/>
        <w:numPr>
          <w:ilvl w:val="0"/>
          <w:numId w:val="15"/>
        </w:numPr>
        <w:tabs>
          <w:tab w:pos="1403" w:val="left" w:leader="none"/>
        </w:tabs>
        <w:spacing w:line="240" w:lineRule="auto" w:before="75" w:after="0"/>
        <w:ind w:left="1402" w:right="0" w:hanging="339"/>
        <w:jc w:val="both"/>
        <w:rPr>
          <w:sz w:val="20"/>
        </w:rPr>
      </w:pPr>
      <w:r>
        <w:rPr>
          <w:sz w:val="20"/>
        </w:rPr>
        <w:t>natural gas and water</w:t>
      </w:r>
      <w:r>
        <w:rPr>
          <w:spacing w:val="-3"/>
          <w:sz w:val="20"/>
        </w:rPr>
        <w:t> </w:t>
      </w:r>
      <w:r>
        <w:rPr>
          <w:sz w:val="20"/>
        </w:rPr>
        <w:t>distribution,</w:t>
      </w:r>
    </w:p>
    <w:p>
      <w:pPr>
        <w:pStyle w:val="ListParagraph"/>
        <w:numPr>
          <w:ilvl w:val="0"/>
          <w:numId w:val="15"/>
        </w:numPr>
        <w:tabs>
          <w:tab w:pos="1402" w:val="left" w:leader="none"/>
          <w:tab w:pos="1403" w:val="left" w:leader="none"/>
        </w:tabs>
        <w:spacing w:line="268" w:lineRule="auto" w:before="74" w:after="0"/>
        <w:ind w:left="1402" w:right="493" w:hanging="339"/>
        <w:jc w:val="left"/>
        <w:rPr>
          <w:sz w:val="20"/>
        </w:rPr>
      </w:pPr>
      <w:r>
        <w:rPr>
          <w:sz w:val="20"/>
        </w:rPr>
        <w:t>certain telecommunications (except perhaps satellite phones, which do not require physical presence in a jurisdiction);</w:t>
      </w:r>
    </w:p>
    <w:p>
      <w:pPr>
        <w:pStyle w:val="ListParagraph"/>
        <w:numPr>
          <w:ilvl w:val="0"/>
          <w:numId w:val="15"/>
        </w:numPr>
        <w:tabs>
          <w:tab w:pos="1402" w:val="left" w:leader="none"/>
          <w:tab w:pos="1403" w:val="left" w:leader="none"/>
        </w:tabs>
        <w:spacing w:line="240" w:lineRule="auto" w:before="49" w:after="0"/>
        <w:ind w:left="1402" w:right="0" w:hanging="339"/>
        <w:jc w:val="left"/>
        <w:rPr>
          <w:sz w:val="20"/>
        </w:rPr>
      </w:pPr>
      <w:r>
        <w:rPr>
          <w:sz w:val="20"/>
        </w:rPr>
        <w:t>railways, highways, ports and airports;</w:t>
      </w:r>
      <w:r>
        <w:rPr>
          <w:spacing w:val="-4"/>
          <w:sz w:val="20"/>
        </w:rPr>
        <w:t> </w:t>
      </w:r>
      <w:r>
        <w:rPr>
          <w:sz w:val="20"/>
        </w:rPr>
        <w:t>and</w:t>
      </w:r>
    </w:p>
    <w:p>
      <w:pPr>
        <w:pStyle w:val="ListParagraph"/>
        <w:numPr>
          <w:ilvl w:val="0"/>
          <w:numId w:val="15"/>
        </w:numPr>
        <w:tabs>
          <w:tab w:pos="1402" w:val="left" w:leader="none"/>
          <w:tab w:pos="1403" w:val="left" w:leader="none"/>
        </w:tabs>
        <w:spacing w:line="240" w:lineRule="auto" w:before="74" w:after="0"/>
        <w:ind w:left="1402" w:right="0" w:hanging="339"/>
        <w:jc w:val="left"/>
        <w:rPr>
          <w:sz w:val="20"/>
        </w:rPr>
      </w:pPr>
      <w:r>
        <w:rPr>
          <w:sz w:val="20"/>
        </w:rPr>
        <w:t>public</w:t>
      </w:r>
      <w:r>
        <w:rPr>
          <w:spacing w:val="-1"/>
          <w:sz w:val="20"/>
        </w:rPr>
        <w:t> </w:t>
      </w:r>
      <w:r>
        <w:rPr>
          <w:sz w:val="20"/>
        </w:rPr>
        <w:t>transportation.</w:t>
      </w:r>
    </w:p>
    <w:p>
      <w:pPr>
        <w:pStyle w:val="ListParagraph"/>
        <w:numPr>
          <w:ilvl w:val="0"/>
          <w:numId w:val="13"/>
        </w:numPr>
        <w:tabs>
          <w:tab w:pos="1444" w:val="left" w:leader="none"/>
        </w:tabs>
        <w:spacing w:line="271" w:lineRule="auto" w:before="157" w:after="0"/>
        <w:ind w:left="723" w:right="492" w:firstLine="0"/>
        <w:jc w:val="both"/>
        <w:rPr>
          <w:sz w:val="20"/>
        </w:rPr>
      </w:pPr>
      <w:r>
        <w:rPr>
          <w:sz w:val="20"/>
        </w:rPr>
        <w:t>While there is both public and private provision of infrastructure services, businesses are increasingly involved, sometimes as part of public-private partnerships</w:t>
      </w:r>
      <w:r>
        <w:rPr>
          <w:spacing w:val="-11"/>
          <w:sz w:val="20"/>
        </w:rPr>
        <w:t> </w:t>
      </w:r>
      <w:r>
        <w:rPr>
          <w:sz w:val="20"/>
        </w:rPr>
        <w:t>(P3).</w:t>
      </w:r>
    </w:p>
    <w:p>
      <w:pPr>
        <w:pStyle w:val="ListParagraph"/>
        <w:numPr>
          <w:ilvl w:val="0"/>
          <w:numId w:val="13"/>
        </w:numPr>
        <w:tabs>
          <w:tab w:pos="1444" w:val="left" w:leader="none"/>
        </w:tabs>
        <w:spacing w:line="271" w:lineRule="auto" w:before="119" w:after="0"/>
        <w:ind w:left="723" w:right="480" w:firstLine="0"/>
        <w:jc w:val="both"/>
        <w:rPr>
          <w:sz w:val="20"/>
        </w:rPr>
      </w:pPr>
      <w:r>
        <w:rPr>
          <w:sz w:val="20"/>
        </w:rPr>
        <w:t>There</w:t>
      </w:r>
      <w:r>
        <w:rPr>
          <w:spacing w:val="-9"/>
          <w:sz w:val="20"/>
        </w:rPr>
        <w:t> </w:t>
      </w:r>
      <w:r>
        <w:rPr>
          <w:sz w:val="20"/>
        </w:rPr>
        <w:t>appear</w:t>
      </w:r>
      <w:r>
        <w:rPr>
          <w:spacing w:val="-8"/>
          <w:sz w:val="20"/>
        </w:rPr>
        <w:t> </w:t>
      </w:r>
      <w:r>
        <w:rPr>
          <w:sz w:val="20"/>
        </w:rPr>
        <w:t>to</w:t>
      </w:r>
      <w:r>
        <w:rPr>
          <w:spacing w:val="-9"/>
          <w:sz w:val="20"/>
        </w:rPr>
        <w:t> </w:t>
      </w:r>
      <w:r>
        <w:rPr>
          <w:sz w:val="20"/>
        </w:rPr>
        <w:t>be</w:t>
      </w:r>
      <w:r>
        <w:rPr>
          <w:spacing w:val="-9"/>
          <w:sz w:val="20"/>
        </w:rPr>
        <w:t> </w:t>
      </w:r>
      <w:r>
        <w:rPr>
          <w:sz w:val="20"/>
        </w:rPr>
        <w:t>good</w:t>
      </w:r>
      <w:r>
        <w:rPr>
          <w:spacing w:val="-9"/>
          <w:sz w:val="20"/>
        </w:rPr>
        <w:t> </w:t>
      </w:r>
      <w:r>
        <w:rPr>
          <w:sz w:val="20"/>
        </w:rPr>
        <w:t>reasons</w:t>
      </w:r>
      <w:r>
        <w:rPr>
          <w:spacing w:val="-8"/>
          <w:sz w:val="20"/>
        </w:rPr>
        <w:t> </w:t>
      </w:r>
      <w:r>
        <w:rPr>
          <w:sz w:val="20"/>
        </w:rPr>
        <w:t>for</w:t>
      </w:r>
      <w:r>
        <w:rPr>
          <w:spacing w:val="-8"/>
          <w:sz w:val="20"/>
        </w:rPr>
        <w:t> </w:t>
      </w:r>
      <w:r>
        <w:rPr>
          <w:sz w:val="20"/>
        </w:rPr>
        <w:t>such</w:t>
      </w:r>
      <w:r>
        <w:rPr>
          <w:spacing w:val="-8"/>
          <w:sz w:val="20"/>
        </w:rPr>
        <w:t> </w:t>
      </w:r>
      <w:r>
        <w:rPr>
          <w:sz w:val="20"/>
        </w:rPr>
        <w:t>an</w:t>
      </w:r>
      <w:r>
        <w:rPr>
          <w:spacing w:val="-9"/>
          <w:sz w:val="20"/>
        </w:rPr>
        <w:t> </w:t>
      </w:r>
      <w:r>
        <w:rPr>
          <w:sz w:val="20"/>
        </w:rPr>
        <w:t>exclusion.</w:t>
      </w:r>
      <w:r>
        <w:rPr>
          <w:spacing w:val="-9"/>
          <w:sz w:val="20"/>
        </w:rPr>
        <w:t> </w:t>
      </w:r>
      <w:r>
        <w:rPr>
          <w:sz w:val="20"/>
        </w:rPr>
        <w:t>Infrastructure</w:t>
      </w:r>
      <w:r>
        <w:rPr>
          <w:spacing w:val="-9"/>
          <w:sz w:val="20"/>
        </w:rPr>
        <w:t> </w:t>
      </w:r>
      <w:r>
        <w:rPr>
          <w:sz w:val="20"/>
        </w:rPr>
        <w:t>services</w:t>
      </w:r>
      <w:r>
        <w:rPr>
          <w:spacing w:val="-8"/>
          <w:sz w:val="20"/>
        </w:rPr>
        <w:t> </w:t>
      </w:r>
      <w:r>
        <w:rPr>
          <w:sz w:val="20"/>
        </w:rPr>
        <w:t>businesses</w:t>
      </w:r>
      <w:r>
        <w:rPr>
          <w:spacing w:val="-8"/>
          <w:sz w:val="20"/>
        </w:rPr>
        <w:t> </w:t>
      </w:r>
      <w:r>
        <w:rPr>
          <w:sz w:val="20"/>
        </w:rPr>
        <w:t>are</w:t>
      </w:r>
      <w:r>
        <w:rPr>
          <w:spacing w:val="1"/>
          <w:sz w:val="20"/>
        </w:rPr>
        <w:t> </w:t>
      </w:r>
      <w:r>
        <w:rPr>
          <w:sz w:val="20"/>
        </w:rPr>
        <w:t>by definition closely tied physically to the market where the activity is carried out. The source and market are generally the same, so arguably there is no need to apply re-allocation rules, since substantial profits are already allocated to the market. With the possible exception of telecommunications, branding generally is not an important component of profitability for these businesses. In fact, many of these businesses are “natural monopolies” because it is often not efficient for different suppliers to build competing networks in the same place. For this reason, infrastructure businesses are often subject to price regulation to protect consumers. This limits the ability to earn residual profits, providing an additional rationale for exclusion. Further, a general exclusion for all electricity generation and distribution would be consistent and neutral with respect to the exclusion for renewable energy</w:t>
      </w:r>
      <w:r>
        <w:rPr>
          <w:spacing w:val="-7"/>
          <w:sz w:val="20"/>
        </w:rPr>
        <w:t> </w:t>
      </w:r>
      <w:r>
        <w:rPr>
          <w:sz w:val="20"/>
        </w:rPr>
        <w:t>production.</w:t>
      </w:r>
    </w:p>
    <w:p>
      <w:pPr>
        <w:spacing w:after="0" w:line="271" w:lineRule="auto"/>
        <w:jc w:val="both"/>
        <w:rPr>
          <w:sz w:val="20"/>
        </w:rPr>
        <w:sectPr>
          <w:pgSz w:w="11910" w:h="16840"/>
          <w:pgMar w:header="1244" w:footer="1638" w:top="1500" w:bottom="1820" w:left="580" w:right="820"/>
        </w:sectPr>
      </w:pPr>
    </w:p>
    <w:p>
      <w:pPr>
        <w:pStyle w:val="BodyText"/>
        <w:spacing w:before="7"/>
        <w:rPr>
          <w:sz w:val="19"/>
        </w:rPr>
      </w:pPr>
    </w:p>
    <w:p>
      <w:pPr>
        <w:pStyle w:val="Heading7"/>
        <w:spacing w:before="93"/>
        <w:rPr>
          <w:i/>
        </w:rPr>
      </w:pPr>
      <w:bookmarkStart w:name="International air and shipping businesse" w:id="66"/>
      <w:bookmarkEnd w:id="66"/>
      <w:r>
        <w:rPr>
          <w:i w:val="0"/>
        </w:rPr>
      </w:r>
      <w:r>
        <w:rPr>
          <w:i/>
          <w:color w:val="616161"/>
        </w:rPr>
        <w:t>International air and shipping businesses</w:t>
      </w:r>
    </w:p>
    <w:p>
      <w:pPr>
        <w:pStyle w:val="ListParagraph"/>
        <w:numPr>
          <w:ilvl w:val="0"/>
          <w:numId w:val="13"/>
        </w:numPr>
        <w:tabs>
          <w:tab w:pos="1444" w:val="left" w:leader="none"/>
        </w:tabs>
        <w:spacing w:line="268" w:lineRule="auto" w:before="215" w:after="0"/>
        <w:ind w:left="723" w:right="486" w:firstLine="0"/>
        <w:jc w:val="both"/>
        <w:rPr>
          <w:sz w:val="20"/>
        </w:rPr>
      </w:pPr>
      <w:r>
        <w:rPr>
          <w:sz w:val="20"/>
        </w:rPr>
        <w:t>This section sets out the justification for the Inclusive Framework’s statement that it would be “inappropriate to include airline and shipping businesses in the scope of the new taxing</w:t>
      </w:r>
      <w:r>
        <w:rPr>
          <w:spacing w:val="-26"/>
          <w:sz w:val="20"/>
        </w:rPr>
        <w:t> </w:t>
      </w:r>
      <w:r>
        <w:rPr>
          <w:sz w:val="20"/>
        </w:rPr>
        <w:t>right”.</w:t>
      </w:r>
      <w:r>
        <w:rPr>
          <w:sz w:val="20"/>
          <w:vertAlign w:val="superscript"/>
        </w:rPr>
        <w:t>33</w:t>
      </w:r>
    </w:p>
    <w:p>
      <w:pPr>
        <w:pStyle w:val="ListParagraph"/>
        <w:numPr>
          <w:ilvl w:val="0"/>
          <w:numId w:val="13"/>
        </w:numPr>
        <w:tabs>
          <w:tab w:pos="1444" w:val="left" w:leader="none"/>
        </w:tabs>
        <w:spacing w:line="271" w:lineRule="auto" w:before="126" w:after="0"/>
        <w:ind w:left="723" w:right="482" w:firstLine="0"/>
        <w:jc w:val="both"/>
        <w:rPr>
          <w:sz w:val="20"/>
        </w:rPr>
      </w:pPr>
      <w:r>
        <w:rPr>
          <w:sz w:val="20"/>
        </w:rPr>
        <w:t>It has long been recognised that the characteristics of international air and shipping businesses give rise to special income tax considerations. Unlike other types of enterprises of one jurisdiction doing business in another jurisdiction, the earnings of international air and shipping enterprises are based upon the</w:t>
      </w:r>
      <w:r>
        <w:rPr>
          <w:spacing w:val="-12"/>
          <w:sz w:val="20"/>
        </w:rPr>
        <w:t> </w:t>
      </w:r>
      <w:r>
        <w:rPr>
          <w:sz w:val="20"/>
        </w:rPr>
        <w:t>use</w:t>
      </w:r>
      <w:r>
        <w:rPr>
          <w:spacing w:val="-12"/>
          <w:sz w:val="20"/>
        </w:rPr>
        <w:t> </w:t>
      </w:r>
      <w:r>
        <w:rPr>
          <w:sz w:val="20"/>
        </w:rPr>
        <w:t>of</w:t>
      </w:r>
      <w:r>
        <w:rPr>
          <w:spacing w:val="-9"/>
          <w:sz w:val="20"/>
        </w:rPr>
        <w:t> </w:t>
      </w:r>
      <w:r>
        <w:rPr>
          <w:sz w:val="20"/>
        </w:rPr>
        <w:t>vessels</w:t>
      </w:r>
      <w:r>
        <w:rPr>
          <w:spacing w:val="-9"/>
          <w:sz w:val="20"/>
        </w:rPr>
        <w:t> </w:t>
      </w:r>
      <w:r>
        <w:rPr>
          <w:sz w:val="20"/>
        </w:rPr>
        <w:t>in</w:t>
      </w:r>
      <w:r>
        <w:rPr>
          <w:spacing w:val="-12"/>
          <w:sz w:val="20"/>
        </w:rPr>
        <w:t> </w:t>
      </w:r>
      <w:r>
        <w:rPr>
          <w:sz w:val="20"/>
        </w:rPr>
        <w:t>operations</w:t>
      </w:r>
      <w:r>
        <w:rPr>
          <w:spacing w:val="-10"/>
          <w:sz w:val="20"/>
        </w:rPr>
        <w:t> </w:t>
      </w:r>
      <w:r>
        <w:rPr>
          <w:sz w:val="20"/>
        </w:rPr>
        <w:t>between</w:t>
      </w:r>
      <w:r>
        <w:rPr>
          <w:spacing w:val="-10"/>
          <w:sz w:val="20"/>
        </w:rPr>
        <w:t> </w:t>
      </w:r>
      <w:r>
        <w:rPr>
          <w:sz w:val="20"/>
        </w:rPr>
        <w:t>multiple</w:t>
      </w:r>
      <w:r>
        <w:rPr>
          <w:spacing w:val="-11"/>
          <w:sz w:val="20"/>
        </w:rPr>
        <w:t> </w:t>
      </w:r>
      <w:r>
        <w:rPr>
          <w:sz w:val="20"/>
        </w:rPr>
        <w:t>tax</w:t>
      </w:r>
      <w:r>
        <w:rPr>
          <w:spacing w:val="-11"/>
          <w:sz w:val="20"/>
        </w:rPr>
        <w:t> </w:t>
      </w:r>
      <w:r>
        <w:rPr>
          <w:sz w:val="20"/>
        </w:rPr>
        <w:t>jurisdictions,</w:t>
      </w:r>
      <w:r>
        <w:rPr>
          <w:spacing w:val="-9"/>
          <w:sz w:val="20"/>
        </w:rPr>
        <w:t> </w:t>
      </w:r>
      <w:r>
        <w:rPr>
          <w:sz w:val="20"/>
        </w:rPr>
        <w:t>much</w:t>
      </w:r>
      <w:r>
        <w:rPr>
          <w:spacing w:val="-12"/>
          <w:sz w:val="20"/>
        </w:rPr>
        <w:t> </w:t>
      </w:r>
      <w:r>
        <w:rPr>
          <w:sz w:val="20"/>
        </w:rPr>
        <w:t>of</w:t>
      </w:r>
      <w:r>
        <w:rPr>
          <w:spacing w:val="-9"/>
          <w:sz w:val="20"/>
        </w:rPr>
        <w:t> </w:t>
      </w:r>
      <w:r>
        <w:rPr>
          <w:sz w:val="20"/>
        </w:rPr>
        <w:t>the</w:t>
      </w:r>
      <w:r>
        <w:rPr>
          <w:spacing w:val="-12"/>
          <w:sz w:val="20"/>
        </w:rPr>
        <w:t> </w:t>
      </w:r>
      <w:r>
        <w:rPr>
          <w:sz w:val="20"/>
        </w:rPr>
        <w:t>time</w:t>
      </w:r>
      <w:r>
        <w:rPr>
          <w:spacing w:val="-13"/>
          <w:sz w:val="20"/>
        </w:rPr>
        <w:t> </w:t>
      </w:r>
      <w:r>
        <w:rPr>
          <w:sz w:val="20"/>
        </w:rPr>
        <w:t>conducted</w:t>
      </w:r>
      <w:r>
        <w:rPr>
          <w:spacing w:val="-11"/>
          <w:sz w:val="20"/>
        </w:rPr>
        <w:t> </w:t>
      </w:r>
      <w:r>
        <w:rPr>
          <w:sz w:val="20"/>
        </w:rPr>
        <w:t>outside</w:t>
      </w:r>
      <w:r>
        <w:rPr>
          <w:spacing w:val="-12"/>
          <w:sz w:val="20"/>
        </w:rPr>
        <w:t> </w:t>
      </w:r>
      <w:r>
        <w:rPr>
          <w:sz w:val="20"/>
        </w:rPr>
        <w:t>any tax jurisdiction – that is, on or over the high seas – raising the prospect of either multiple taxation or considerable income allocation</w:t>
      </w:r>
      <w:r>
        <w:rPr>
          <w:spacing w:val="-2"/>
          <w:sz w:val="20"/>
        </w:rPr>
        <w:t> </w:t>
      </w:r>
      <w:r>
        <w:rPr>
          <w:sz w:val="20"/>
        </w:rPr>
        <w:t>challenges.</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For this reason, there is a longstanding international consensus that the profits of enterprises operating ships or aircraft in international traffic should be taxable only in the jurisdiction in which the enterprise has its residence. This special treatment, which is applied regardless of whether such an enterprise carries on business through foreign permanent establishments, is reflected in Article 8 of both the OECD and United Nations (UN) Model Tax Conventions</w:t>
      </w:r>
      <w:r>
        <w:rPr>
          <w:sz w:val="20"/>
          <w:vertAlign w:val="superscript"/>
        </w:rPr>
        <w:t>34</w:t>
      </w:r>
      <w:r>
        <w:rPr>
          <w:sz w:val="20"/>
          <w:vertAlign w:val="baseline"/>
        </w:rPr>
        <w:t> and in the vast majority of the 3,500+ bilateral</w:t>
      </w:r>
      <w:r>
        <w:rPr>
          <w:spacing w:val="-10"/>
          <w:sz w:val="20"/>
          <w:vertAlign w:val="baseline"/>
        </w:rPr>
        <w:t> </w:t>
      </w:r>
      <w:r>
        <w:rPr>
          <w:sz w:val="20"/>
          <w:vertAlign w:val="baseline"/>
        </w:rPr>
        <w:t>tax</w:t>
      </w:r>
      <w:r>
        <w:rPr>
          <w:spacing w:val="-11"/>
          <w:sz w:val="20"/>
          <w:vertAlign w:val="baseline"/>
        </w:rPr>
        <w:t> </w:t>
      </w:r>
      <w:r>
        <w:rPr>
          <w:sz w:val="20"/>
          <w:vertAlign w:val="baseline"/>
        </w:rPr>
        <w:t>treaties</w:t>
      </w:r>
      <w:r>
        <w:rPr>
          <w:spacing w:val="-9"/>
          <w:sz w:val="20"/>
          <w:vertAlign w:val="baseline"/>
        </w:rPr>
        <w:t> </w:t>
      </w:r>
      <w:r>
        <w:rPr>
          <w:sz w:val="20"/>
          <w:vertAlign w:val="baseline"/>
        </w:rPr>
        <w:t>currently</w:t>
      </w:r>
      <w:r>
        <w:rPr>
          <w:spacing w:val="-12"/>
          <w:sz w:val="20"/>
          <w:vertAlign w:val="baseline"/>
        </w:rPr>
        <w:t> </w:t>
      </w:r>
      <w:r>
        <w:rPr>
          <w:sz w:val="20"/>
          <w:vertAlign w:val="baseline"/>
        </w:rPr>
        <w:t>in</w:t>
      </w:r>
      <w:r>
        <w:rPr>
          <w:spacing w:val="-8"/>
          <w:sz w:val="20"/>
          <w:vertAlign w:val="baseline"/>
        </w:rPr>
        <w:t> </w:t>
      </w:r>
      <w:r>
        <w:rPr>
          <w:sz w:val="20"/>
          <w:vertAlign w:val="baseline"/>
        </w:rPr>
        <w:t>force.</w:t>
      </w:r>
      <w:r>
        <w:rPr>
          <w:spacing w:val="-12"/>
          <w:sz w:val="20"/>
          <w:vertAlign w:val="baseline"/>
        </w:rPr>
        <w:t> </w:t>
      </w:r>
      <w:r>
        <w:rPr>
          <w:sz w:val="20"/>
          <w:vertAlign w:val="baseline"/>
        </w:rPr>
        <w:t>It</w:t>
      </w:r>
      <w:r>
        <w:rPr>
          <w:spacing w:val="-10"/>
          <w:sz w:val="20"/>
          <w:vertAlign w:val="baseline"/>
        </w:rPr>
        <w:t> </w:t>
      </w:r>
      <w:r>
        <w:rPr>
          <w:sz w:val="20"/>
          <w:vertAlign w:val="baseline"/>
        </w:rPr>
        <w:t>reciprocally</w:t>
      </w:r>
      <w:r>
        <w:rPr>
          <w:spacing w:val="-12"/>
          <w:sz w:val="20"/>
          <w:vertAlign w:val="baseline"/>
        </w:rPr>
        <w:t> </w:t>
      </w:r>
      <w:r>
        <w:rPr>
          <w:sz w:val="20"/>
          <w:vertAlign w:val="baseline"/>
        </w:rPr>
        <w:t>exempts</w:t>
      </w:r>
      <w:r>
        <w:rPr>
          <w:spacing w:val="-10"/>
          <w:sz w:val="20"/>
          <w:vertAlign w:val="baseline"/>
        </w:rPr>
        <w:t> </w:t>
      </w:r>
      <w:r>
        <w:rPr>
          <w:sz w:val="20"/>
          <w:vertAlign w:val="baseline"/>
        </w:rPr>
        <w:t>in</w:t>
      </w:r>
      <w:r>
        <w:rPr>
          <w:spacing w:val="-12"/>
          <w:sz w:val="20"/>
          <w:vertAlign w:val="baseline"/>
        </w:rPr>
        <w:t> </w:t>
      </w:r>
      <w:r>
        <w:rPr>
          <w:sz w:val="20"/>
          <w:vertAlign w:val="baseline"/>
        </w:rPr>
        <w:t>each</w:t>
      </w:r>
      <w:r>
        <w:rPr>
          <w:spacing w:val="-9"/>
          <w:sz w:val="20"/>
          <w:vertAlign w:val="baseline"/>
        </w:rPr>
        <w:t> </w:t>
      </w:r>
      <w:r>
        <w:rPr>
          <w:sz w:val="20"/>
          <w:vertAlign w:val="baseline"/>
        </w:rPr>
        <w:t>jurisdiction</w:t>
      </w:r>
      <w:r>
        <w:rPr>
          <w:spacing w:val="-9"/>
          <w:sz w:val="20"/>
          <w:vertAlign w:val="baseline"/>
        </w:rPr>
        <w:t> </w:t>
      </w:r>
      <w:r>
        <w:rPr>
          <w:sz w:val="20"/>
          <w:vertAlign w:val="baseline"/>
        </w:rPr>
        <w:t>the</w:t>
      </w:r>
      <w:r>
        <w:rPr>
          <w:spacing w:val="-9"/>
          <w:sz w:val="20"/>
          <w:vertAlign w:val="baseline"/>
        </w:rPr>
        <w:t> </w:t>
      </w:r>
      <w:r>
        <w:rPr>
          <w:sz w:val="20"/>
          <w:vertAlign w:val="baseline"/>
        </w:rPr>
        <w:t>profits</w:t>
      </w:r>
      <w:r>
        <w:rPr>
          <w:spacing w:val="-9"/>
          <w:sz w:val="20"/>
          <w:vertAlign w:val="baseline"/>
        </w:rPr>
        <w:t> </w:t>
      </w:r>
      <w:r>
        <w:rPr>
          <w:sz w:val="20"/>
          <w:vertAlign w:val="baseline"/>
        </w:rPr>
        <w:t>of</w:t>
      </w:r>
      <w:r>
        <w:rPr>
          <w:spacing w:val="-9"/>
          <w:sz w:val="20"/>
          <w:vertAlign w:val="baseline"/>
        </w:rPr>
        <w:t> </w:t>
      </w:r>
      <w:r>
        <w:rPr>
          <w:sz w:val="20"/>
          <w:vertAlign w:val="baseline"/>
        </w:rPr>
        <w:t>non-resident international air and shipping enterprises, removing the compliance and administrative burdens (and associated prospect of disputes) that would otherwise arise, especially over the attribution of</w:t>
      </w:r>
      <w:r>
        <w:rPr>
          <w:spacing w:val="-34"/>
          <w:sz w:val="20"/>
          <w:vertAlign w:val="baseline"/>
        </w:rPr>
        <w:t> </w:t>
      </w:r>
      <w:r>
        <w:rPr>
          <w:sz w:val="20"/>
          <w:vertAlign w:val="baseline"/>
        </w:rPr>
        <w:t>profits.</w:t>
      </w:r>
    </w:p>
    <w:p>
      <w:pPr>
        <w:pStyle w:val="ListParagraph"/>
        <w:numPr>
          <w:ilvl w:val="0"/>
          <w:numId w:val="13"/>
        </w:numPr>
        <w:tabs>
          <w:tab w:pos="1444" w:val="left" w:leader="none"/>
        </w:tabs>
        <w:spacing w:line="271" w:lineRule="auto" w:before="123" w:after="0"/>
        <w:ind w:left="723" w:right="484" w:firstLine="0"/>
        <w:jc w:val="both"/>
        <w:rPr>
          <w:sz w:val="20"/>
        </w:rPr>
      </w:pPr>
      <w:r>
        <w:rPr>
          <w:sz w:val="20"/>
        </w:rPr>
        <w:t>International air and shipping businesses commonly maintain a physical presence, which would constitute a permanent establishment, in multiple jurisdictions. The exemption enjoyed by these enterprises under Article 8 is therefore a deliberate policy choice, reflecting the unique considerations briefly</w:t>
      </w:r>
      <w:r>
        <w:rPr>
          <w:spacing w:val="-11"/>
          <w:sz w:val="20"/>
        </w:rPr>
        <w:t> </w:t>
      </w:r>
      <w:r>
        <w:rPr>
          <w:sz w:val="20"/>
        </w:rPr>
        <w:t>outlined</w:t>
      </w:r>
      <w:r>
        <w:rPr>
          <w:spacing w:val="-8"/>
          <w:sz w:val="20"/>
        </w:rPr>
        <w:t> </w:t>
      </w:r>
      <w:r>
        <w:rPr>
          <w:sz w:val="20"/>
        </w:rPr>
        <w:t>above,</w:t>
      </w:r>
      <w:r>
        <w:rPr>
          <w:spacing w:val="-7"/>
          <w:sz w:val="20"/>
        </w:rPr>
        <w:t> </w:t>
      </w:r>
      <w:r>
        <w:rPr>
          <w:sz w:val="20"/>
        </w:rPr>
        <w:t>and</w:t>
      </w:r>
      <w:r>
        <w:rPr>
          <w:spacing w:val="-6"/>
          <w:sz w:val="20"/>
        </w:rPr>
        <w:t> </w:t>
      </w:r>
      <w:r>
        <w:rPr>
          <w:sz w:val="20"/>
        </w:rPr>
        <w:t>does</w:t>
      </w:r>
      <w:r>
        <w:rPr>
          <w:spacing w:val="-9"/>
          <w:sz w:val="20"/>
        </w:rPr>
        <w:t> </w:t>
      </w:r>
      <w:r>
        <w:rPr>
          <w:sz w:val="20"/>
        </w:rPr>
        <w:t>not</w:t>
      </w:r>
      <w:r>
        <w:rPr>
          <w:spacing w:val="-10"/>
          <w:sz w:val="20"/>
        </w:rPr>
        <w:t> </w:t>
      </w:r>
      <w:r>
        <w:rPr>
          <w:sz w:val="20"/>
        </w:rPr>
        <w:t>result</w:t>
      </w:r>
      <w:r>
        <w:rPr>
          <w:spacing w:val="-9"/>
          <w:sz w:val="20"/>
        </w:rPr>
        <w:t> </w:t>
      </w:r>
      <w:r>
        <w:rPr>
          <w:sz w:val="20"/>
        </w:rPr>
        <w:t>from</w:t>
      </w:r>
      <w:r>
        <w:rPr>
          <w:spacing w:val="-6"/>
          <w:sz w:val="20"/>
        </w:rPr>
        <w:t> </w:t>
      </w:r>
      <w:r>
        <w:rPr>
          <w:sz w:val="20"/>
        </w:rPr>
        <w:t>increasing</w:t>
      </w:r>
      <w:r>
        <w:rPr>
          <w:spacing w:val="-10"/>
          <w:sz w:val="20"/>
        </w:rPr>
        <w:t> </w:t>
      </w:r>
      <w:r>
        <w:rPr>
          <w:sz w:val="20"/>
        </w:rPr>
        <w:t>scale</w:t>
      </w:r>
      <w:r>
        <w:rPr>
          <w:spacing w:val="-7"/>
          <w:sz w:val="20"/>
        </w:rPr>
        <w:t> </w:t>
      </w:r>
      <w:r>
        <w:rPr>
          <w:sz w:val="20"/>
        </w:rPr>
        <w:t>without</w:t>
      </w:r>
      <w:r>
        <w:rPr>
          <w:spacing w:val="-8"/>
          <w:sz w:val="20"/>
        </w:rPr>
        <w:t> </w:t>
      </w:r>
      <w:r>
        <w:rPr>
          <w:sz w:val="20"/>
        </w:rPr>
        <w:t>mass</w:t>
      </w:r>
      <w:r>
        <w:rPr>
          <w:spacing w:val="-9"/>
          <w:sz w:val="20"/>
        </w:rPr>
        <w:t> </w:t>
      </w:r>
      <w:r>
        <w:rPr>
          <w:sz w:val="20"/>
        </w:rPr>
        <w:t>or</w:t>
      </w:r>
      <w:r>
        <w:rPr>
          <w:spacing w:val="-8"/>
          <w:sz w:val="20"/>
        </w:rPr>
        <w:t> </w:t>
      </w:r>
      <w:r>
        <w:rPr>
          <w:sz w:val="20"/>
        </w:rPr>
        <w:t>other</w:t>
      </w:r>
      <w:r>
        <w:rPr>
          <w:spacing w:val="-9"/>
          <w:sz w:val="20"/>
        </w:rPr>
        <w:t> </w:t>
      </w:r>
      <w:r>
        <w:rPr>
          <w:sz w:val="20"/>
        </w:rPr>
        <w:t>factors</w:t>
      </w:r>
      <w:r>
        <w:rPr>
          <w:spacing w:val="-8"/>
          <w:sz w:val="20"/>
        </w:rPr>
        <w:t> </w:t>
      </w:r>
      <w:r>
        <w:rPr>
          <w:sz w:val="20"/>
        </w:rPr>
        <w:t>arising from the digitalisation of the</w:t>
      </w:r>
      <w:r>
        <w:rPr>
          <w:spacing w:val="-1"/>
          <w:sz w:val="20"/>
        </w:rPr>
        <w:t> </w:t>
      </w:r>
      <w:r>
        <w:rPr>
          <w:sz w:val="20"/>
        </w:rPr>
        <w:t>economy.</w:t>
      </w:r>
    </w:p>
    <w:p>
      <w:pPr>
        <w:pStyle w:val="ListParagraph"/>
        <w:numPr>
          <w:ilvl w:val="0"/>
          <w:numId w:val="13"/>
        </w:numPr>
        <w:tabs>
          <w:tab w:pos="1444" w:val="left" w:leader="none"/>
        </w:tabs>
        <w:spacing w:line="271" w:lineRule="auto" w:before="119" w:after="0"/>
        <w:ind w:left="723" w:right="485" w:firstLine="0"/>
        <w:jc w:val="both"/>
        <w:rPr>
          <w:sz w:val="20"/>
        </w:rPr>
      </w:pPr>
      <w:r>
        <w:rPr>
          <w:sz w:val="20"/>
        </w:rPr>
        <w:t>With the possible exception of the provision of online marketplace platforms, the activities of international air and shipping enterprises (i.e. income to which Article 8 applies) should be outside the proposed definition of ADS as those services are not delivered over the Internet. The nature of those services has not changed as a result of digitalisation and accordingly, the Inclusive Framework sees no reason to adjust how the existing rules</w:t>
      </w:r>
      <w:r>
        <w:rPr>
          <w:spacing w:val="-6"/>
          <w:sz w:val="20"/>
        </w:rPr>
        <w:t> </w:t>
      </w:r>
      <w:r>
        <w:rPr>
          <w:sz w:val="20"/>
        </w:rPr>
        <w:t>apply.</w:t>
      </w:r>
    </w:p>
    <w:p>
      <w:pPr>
        <w:pStyle w:val="ListParagraph"/>
        <w:numPr>
          <w:ilvl w:val="0"/>
          <w:numId w:val="13"/>
        </w:numPr>
        <w:tabs>
          <w:tab w:pos="1444" w:val="left" w:leader="none"/>
        </w:tabs>
        <w:spacing w:line="273" w:lineRule="auto" w:before="117" w:after="0"/>
        <w:ind w:left="723" w:right="486" w:firstLine="0"/>
        <w:jc w:val="both"/>
        <w:rPr>
          <w:sz w:val="20"/>
        </w:rPr>
      </w:pPr>
      <w:r>
        <w:rPr>
          <w:sz w:val="20"/>
        </w:rPr>
        <w:t>Air freight and cargo shipping activities, including mail services, parcel delivery</w:t>
      </w:r>
      <w:r>
        <w:rPr>
          <w:sz w:val="20"/>
          <w:vertAlign w:val="superscript"/>
        </w:rPr>
        <w:t>35</w:t>
      </w:r>
      <w:r>
        <w:rPr>
          <w:sz w:val="20"/>
          <w:vertAlign w:val="baseline"/>
        </w:rPr>
        <w:t> and both bulk and</w:t>
      </w:r>
      <w:r>
        <w:rPr>
          <w:spacing w:val="-15"/>
          <w:sz w:val="20"/>
          <w:vertAlign w:val="baseline"/>
        </w:rPr>
        <w:t> </w:t>
      </w:r>
      <w:r>
        <w:rPr>
          <w:sz w:val="20"/>
          <w:vertAlign w:val="baseline"/>
        </w:rPr>
        <w:t>liner</w:t>
      </w:r>
      <w:r>
        <w:rPr>
          <w:spacing w:val="-13"/>
          <w:sz w:val="20"/>
          <w:vertAlign w:val="baseline"/>
        </w:rPr>
        <w:t> </w:t>
      </w:r>
      <w:r>
        <w:rPr>
          <w:sz w:val="20"/>
          <w:vertAlign w:val="baseline"/>
        </w:rPr>
        <w:t>shipping,</w:t>
      </w:r>
      <w:r>
        <w:rPr>
          <w:spacing w:val="-12"/>
          <w:sz w:val="20"/>
          <w:vertAlign w:val="baseline"/>
        </w:rPr>
        <w:t> </w:t>
      </w:r>
      <w:r>
        <w:rPr>
          <w:sz w:val="20"/>
          <w:vertAlign w:val="baseline"/>
        </w:rPr>
        <w:t>will,</w:t>
      </w:r>
      <w:r>
        <w:rPr>
          <w:spacing w:val="-14"/>
          <w:sz w:val="20"/>
          <w:vertAlign w:val="baseline"/>
        </w:rPr>
        <w:t> </w:t>
      </w:r>
      <w:r>
        <w:rPr>
          <w:sz w:val="20"/>
          <w:vertAlign w:val="baseline"/>
        </w:rPr>
        <w:t>as</w:t>
      </w:r>
      <w:r>
        <w:rPr>
          <w:spacing w:val="-13"/>
          <w:sz w:val="20"/>
          <w:vertAlign w:val="baseline"/>
        </w:rPr>
        <w:t> </w:t>
      </w:r>
      <w:r>
        <w:rPr>
          <w:sz w:val="20"/>
          <w:vertAlign w:val="baseline"/>
        </w:rPr>
        <w:t>almost</w:t>
      </w:r>
      <w:r>
        <w:rPr>
          <w:spacing w:val="-16"/>
          <w:sz w:val="20"/>
          <w:vertAlign w:val="baseline"/>
        </w:rPr>
        <w:t> </w:t>
      </w:r>
      <w:r>
        <w:rPr>
          <w:sz w:val="20"/>
          <w:vertAlign w:val="baseline"/>
        </w:rPr>
        <w:t>exclusively</w:t>
      </w:r>
      <w:r>
        <w:rPr>
          <w:spacing w:val="-18"/>
          <w:sz w:val="20"/>
          <w:vertAlign w:val="baseline"/>
        </w:rPr>
        <w:t> </w:t>
      </w:r>
      <w:r>
        <w:rPr>
          <w:sz w:val="20"/>
          <w:vertAlign w:val="baseline"/>
        </w:rPr>
        <w:t>B2B</w:t>
      </w:r>
      <w:r>
        <w:rPr>
          <w:spacing w:val="-15"/>
          <w:sz w:val="20"/>
          <w:vertAlign w:val="baseline"/>
        </w:rPr>
        <w:t> </w:t>
      </w:r>
      <w:r>
        <w:rPr>
          <w:sz w:val="20"/>
          <w:vertAlign w:val="baseline"/>
        </w:rPr>
        <w:t>services,</w:t>
      </w:r>
      <w:r>
        <w:rPr>
          <w:spacing w:val="-16"/>
          <w:sz w:val="20"/>
          <w:vertAlign w:val="baseline"/>
        </w:rPr>
        <w:t> </w:t>
      </w:r>
      <w:r>
        <w:rPr>
          <w:sz w:val="20"/>
          <w:vertAlign w:val="baseline"/>
        </w:rPr>
        <w:t>be</w:t>
      </w:r>
      <w:r>
        <w:rPr>
          <w:spacing w:val="-16"/>
          <w:sz w:val="20"/>
          <w:vertAlign w:val="baseline"/>
        </w:rPr>
        <w:t> </w:t>
      </w:r>
      <w:r>
        <w:rPr>
          <w:sz w:val="20"/>
          <w:vertAlign w:val="baseline"/>
        </w:rPr>
        <w:t>outside</w:t>
      </w:r>
      <w:r>
        <w:rPr>
          <w:spacing w:val="-14"/>
          <w:sz w:val="20"/>
          <w:vertAlign w:val="baseline"/>
        </w:rPr>
        <w:t> </w:t>
      </w:r>
      <w:r>
        <w:rPr>
          <w:sz w:val="20"/>
          <w:vertAlign w:val="baseline"/>
        </w:rPr>
        <w:t>the</w:t>
      </w:r>
      <w:r>
        <w:rPr>
          <w:spacing w:val="-15"/>
          <w:sz w:val="20"/>
          <w:vertAlign w:val="baseline"/>
        </w:rPr>
        <w:t> </w:t>
      </w:r>
      <w:r>
        <w:rPr>
          <w:sz w:val="20"/>
          <w:vertAlign w:val="baseline"/>
        </w:rPr>
        <w:t>definition</w:t>
      </w:r>
      <w:r>
        <w:rPr>
          <w:spacing w:val="-14"/>
          <w:sz w:val="20"/>
          <w:vertAlign w:val="baseline"/>
        </w:rPr>
        <w:t> </w:t>
      </w:r>
      <w:r>
        <w:rPr>
          <w:sz w:val="20"/>
          <w:vertAlign w:val="baseline"/>
        </w:rPr>
        <w:t>of</w:t>
      </w:r>
      <w:r>
        <w:rPr>
          <w:spacing w:val="-14"/>
          <w:sz w:val="20"/>
          <w:vertAlign w:val="baseline"/>
        </w:rPr>
        <w:t> </w:t>
      </w:r>
      <w:r>
        <w:rPr>
          <w:sz w:val="20"/>
          <w:vertAlign w:val="baseline"/>
        </w:rPr>
        <w:t>CFB.</w:t>
      </w:r>
      <w:r>
        <w:rPr>
          <w:spacing w:val="-15"/>
          <w:sz w:val="20"/>
          <w:vertAlign w:val="baseline"/>
        </w:rPr>
        <w:t> </w:t>
      </w:r>
      <w:r>
        <w:rPr>
          <w:sz w:val="20"/>
          <w:vertAlign w:val="baseline"/>
        </w:rPr>
        <w:t>But</w:t>
      </w:r>
      <w:r>
        <w:rPr>
          <w:spacing w:val="-14"/>
          <w:sz w:val="20"/>
          <w:vertAlign w:val="baseline"/>
        </w:rPr>
        <w:t> </w:t>
      </w:r>
      <w:r>
        <w:rPr>
          <w:sz w:val="20"/>
          <w:vertAlign w:val="baseline"/>
        </w:rPr>
        <w:t>passenger transportation services, including pleasure cruises, foot and car ferry crossing services, passenger air travel, and associated services (including those delivered online) are within the definition of</w:t>
      </w:r>
      <w:r>
        <w:rPr>
          <w:spacing w:val="-33"/>
          <w:sz w:val="20"/>
          <w:vertAlign w:val="baseline"/>
        </w:rPr>
        <w:t> </w:t>
      </w:r>
      <w:r>
        <w:rPr>
          <w:sz w:val="20"/>
          <w:vertAlign w:val="baseline"/>
        </w:rPr>
        <w:t>CFB.</w:t>
      </w:r>
    </w:p>
    <w:p>
      <w:pPr>
        <w:pStyle w:val="ListParagraph"/>
        <w:numPr>
          <w:ilvl w:val="0"/>
          <w:numId w:val="13"/>
        </w:numPr>
        <w:tabs>
          <w:tab w:pos="1444" w:val="left" w:leader="none"/>
        </w:tabs>
        <w:spacing w:line="273" w:lineRule="auto" w:before="115" w:after="0"/>
        <w:ind w:left="723" w:right="484" w:firstLine="0"/>
        <w:jc w:val="both"/>
        <w:rPr>
          <w:sz w:val="20"/>
        </w:rPr>
      </w:pPr>
      <w:r>
        <w:rPr>
          <w:sz w:val="20"/>
        </w:rPr>
        <w:t>The question therefore is whether in-scope activities of international air and shipping businesses should be taken out-of-scope, on policy</w:t>
      </w:r>
      <w:r>
        <w:rPr>
          <w:spacing w:val="-9"/>
          <w:sz w:val="20"/>
        </w:rPr>
        <w:t> </w:t>
      </w:r>
      <w:r>
        <w:rPr>
          <w:sz w:val="20"/>
        </w:rPr>
        <w:t>grounds.</w:t>
      </w:r>
    </w:p>
    <w:p>
      <w:pPr>
        <w:pStyle w:val="ListParagraph"/>
        <w:numPr>
          <w:ilvl w:val="0"/>
          <w:numId w:val="13"/>
        </w:numPr>
        <w:tabs>
          <w:tab w:pos="1444" w:val="left" w:leader="none"/>
        </w:tabs>
        <w:spacing w:line="271" w:lineRule="auto" w:before="116" w:after="0"/>
        <w:ind w:left="723" w:right="488" w:firstLine="0"/>
        <w:jc w:val="both"/>
        <w:rPr>
          <w:sz w:val="20"/>
        </w:rPr>
      </w:pPr>
      <w:r>
        <w:rPr>
          <w:sz w:val="20"/>
        </w:rPr>
        <w:t>In the special circumstances applying to international air and shipping businesses, it was the allocation of taxing rights, under those normal rules, to the multiple jurisdictions in which physical operations are conducted that gave rise to the particular</w:t>
      </w:r>
      <w:r>
        <w:rPr>
          <w:spacing w:val="19"/>
          <w:sz w:val="20"/>
        </w:rPr>
        <w:t> </w:t>
      </w:r>
      <w:r>
        <w:rPr>
          <w:sz w:val="20"/>
        </w:rPr>
        <w:t>policy problem to which the consensus solution</w:t>
      </w:r>
    </w:p>
    <w:p>
      <w:pPr>
        <w:pStyle w:val="BodyText"/>
        <w:spacing w:before="5"/>
        <w:rPr>
          <w:sz w:val="18"/>
        </w:rPr>
      </w:pPr>
      <w:r>
        <w:rPr/>
        <w:pict>
          <v:rect style="position:absolute;margin-left:65.183998pt;margin-top:12.584824pt;width:144.020004pt;height:.60004pt;mso-position-horizontal-relative:page;mso-position-vertical-relative:paragraph;z-index:-1568614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both"/>
        <w:rPr>
          <w:sz w:val="18"/>
        </w:rPr>
      </w:pPr>
      <w:r>
        <w:rPr>
          <w:sz w:val="18"/>
        </w:rPr>
        <w:t>Paragraph 32 of the</w:t>
      </w:r>
      <w:r>
        <w:rPr>
          <w:color w:val="0000FF"/>
          <w:spacing w:val="-1"/>
          <w:sz w:val="18"/>
        </w:rPr>
        <w:t> </w:t>
      </w:r>
      <w:hyperlink r:id="rId33">
        <w:r>
          <w:rPr>
            <w:color w:val="0000FF"/>
            <w:sz w:val="18"/>
            <w:u w:val="single" w:color="0000FF"/>
          </w:rPr>
          <w:t>Outline</w:t>
        </w:r>
        <w:r>
          <w:rPr>
            <w:sz w:val="18"/>
          </w:rPr>
          <w:t>.</w:t>
        </w:r>
      </w:hyperlink>
    </w:p>
    <w:p>
      <w:pPr>
        <w:pStyle w:val="ListParagraph"/>
        <w:numPr>
          <w:ilvl w:val="0"/>
          <w:numId w:val="14"/>
        </w:numPr>
        <w:tabs>
          <w:tab w:pos="931" w:val="left" w:leader="none"/>
        </w:tabs>
        <w:spacing w:line="278" w:lineRule="auto" w:before="110" w:after="0"/>
        <w:ind w:left="723" w:right="481" w:firstLine="0"/>
        <w:jc w:val="both"/>
        <w:rPr>
          <w:sz w:val="18"/>
        </w:rPr>
      </w:pPr>
      <w:r>
        <w:rPr>
          <w:sz w:val="18"/>
        </w:rPr>
        <w:t>For shipping companies, the UN Model contains an “alternative B”, which awards limited source state taxing rights over “an appropriate allocation of the overall net profits derived by the enterprise from its [non-casual] shipping operations”. It is</w:t>
      </w:r>
      <w:r>
        <w:rPr>
          <w:spacing w:val="-5"/>
          <w:sz w:val="18"/>
        </w:rPr>
        <w:t> </w:t>
      </w:r>
      <w:r>
        <w:rPr>
          <w:sz w:val="18"/>
        </w:rPr>
        <w:t>little-used.</w:t>
      </w:r>
    </w:p>
    <w:p>
      <w:pPr>
        <w:pStyle w:val="ListParagraph"/>
        <w:numPr>
          <w:ilvl w:val="0"/>
          <w:numId w:val="14"/>
        </w:numPr>
        <w:tabs>
          <w:tab w:pos="928" w:val="left" w:leader="none"/>
        </w:tabs>
        <w:spacing w:line="278" w:lineRule="auto" w:before="77" w:after="0"/>
        <w:ind w:left="723" w:right="486" w:firstLine="0"/>
        <w:jc w:val="both"/>
        <w:rPr>
          <w:sz w:val="18"/>
        </w:rPr>
      </w:pPr>
      <w:r>
        <w:rPr>
          <w:sz w:val="18"/>
        </w:rPr>
        <w:t>Where a parcel is delivered to a consumer, the parcel company’s customer is invariably the company sending the parcel</w:t>
      </w:r>
      <w:r>
        <w:rPr>
          <w:spacing w:val="-6"/>
          <w:sz w:val="18"/>
        </w:rPr>
        <w:t> </w:t>
      </w:r>
      <w:r>
        <w:rPr>
          <w:sz w:val="18"/>
        </w:rPr>
        <w:t>–</w:t>
      </w:r>
      <w:r>
        <w:rPr>
          <w:spacing w:val="-6"/>
          <w:sz w:val="18"/>
        </w:rPr>
        <w:t> </w:t>
      </w:r>
      <w:r>
        <w:rPr>
          <w:sz w:val="18"/>
        </w:rPr>
        <w:t>it</w:t>
      </w:r>
      <w:r>
        <w:rPr>
          <w:spacing w:val="-7"/>
          <w:sz w:val="18"/>
        </w:rPr>
        <w:t> </w:t>
      </w:r>
      <w:r>
        <w:rPr>
          <w:sz w:val="18"/>
        </w:rPr>
        <w:t>is</w:t>
      </w:r>
      <w:r>
        <w:rPr>
          <w:spacing w:val="-6"/>
          <w:sz w:val="18"/>
        </w:rPr>
        <w:t> </w:t>
      </w:r>
      <w:r>
        <w:rPr>
          <w:sz w:val="18"/>
        </w:rPr>
        <w:t>not</w:t>
      </w:r>
      <w:r>
        <w:rPr>
          <w:spacing w:val="-7"/>
          <w:sz w:val="18"/>
        </w:rPr>
        <w:t> </w:t>
      </w:r>
      <w:r>
        <w:rPr>
          <w:sz w:val="18"/>
        </w:rPr>
        <w:t>the</w:t>
      </w:r>
      <w:r>
        <w:rPr>
          <w:spacing w:val="-6"/>
          <w:sz w:val="18"/>
        </w:rPr>
        <w:t> </w:t>
      </w:r>
      <w:r>
        <w:rPr>
          <w:sz w:val="18"/>
        </w:rPr>
        <w:t>consumer</w:t>
      </w:r>
      <w:r>
        <w:rPr>
          <w:spacing w:val="-7"/>
          <w:sz w:val="18"/>
        </w:rPr>
        <w:t> </w:t>
      </w:r>
      <w:r>
        <w:rPr>
          <w:sz w:val="18"/>
        </w:rPr>
        <w:t>that</w:t>
      </w:r>
      <w:r>
        <w:rPr>
          <w:spacing w:val="-7"/>
          <w:sz w:val="18"/>
        </w:rPr>
        <w:t> </w:t>
      </w:r>
      <w:r>
        <w:rPr>
          <w:sz w:val="18"/>
        </w:rPr>
        <w:t>receives</w:t>
      </w:r>
      <w:r>
        <w:rPr>
          <w:spacing w:val="-5"/>
          <w:sz w:val="18"/>
        </w:rPr>
        <w:t> </w:t>
      </w:r>
      <w:r>
        <w:rPr>
          <w:sz w:val="18"/>
        </w:rPr>
        <w:t>it.</w:t>
      </w:r>
      <w:r>
        <w:rPr>
          <w:spacing w:val="-7"/>
          <w:sz w:val="18"/>
        </w:rPr>
        <w:t> </w:t>
      </w:r>
      <w:r>
        <w:rPr>
          <w:sz w:val="18"/>
        </w:rPr>
        <w:t>Parcel</w:t>
      </w:r>
      <w:r>
        <w:rPr>
          <w:spacing w:val="-6"/>
          <w:sz w:val="18"/>
        </w:rPr>
        <w:t> </w:t>
      </w:r>
      <w:r>
        <w:rPr>
          <w:sz w:val="18"/>
        </w:rPr>
        <w:t>companies</w:t>
      </w:r>
      <w:r>
        <w:rPr>
          <w:spacing w:val="-6"/>
          <w:sz w:val="18"/>
        </w:rPr>
        <w:t> </w:t>
      </w:r>
      <w:r>
        <w:rPr>
          <w:sz w:val="18"/>
        </w:rPr>
        <w:t>receive</w:t>
      </w:r>
      <w:r>
        <w:rPr>
          <w:spacing w:val="-6"/>
          <w:sz w:val="18"/>
        </w:rPr>
        <w:t> </w:t>
      </w:r>
      <w:r>
        <w:rPr>
          <w:sz w:val="18"/>
        </w:rPr>
        <w:t>virtually</w:t>
      </w:r>
      <w:r>
        <w:rPr>
          <w:spacing w:val="-8"/>
          <w:sz w:val="18"/>
        </w:rPr>
        <w:t> </w:t>
      </w:r>
      <w:r>
        <w:rPr>
          <w:sz w:val="18"/>
        </w:rPr>
        <w:t>no</w:t>
      </w:r>
      <w:r>
        <w:rPr>
          <w:spacing w:val="-6"/>
          <w:sz w:val="18"/>
        </w:rPr>
        <w:t> </w:t>
      </w:r>
      <w:r>
        <w:rPr>
          <w:sz w:val="18"/>
        </w:rPr>
        <w:t>revenue</w:t>
      </w:r>
      <w:r>
        <w:rPr>
          <w:spacing w:val="-6"/>
          <w:sz w:val="18"/>
        </w:rPr>
        <w:t> </w:t>
      </w:r>
      <w:r>
        <w:rPr>
          <w:sz w:val="18"/>
        </w:rPr>
        <w:t>from</w:t>
      </w:r>
      <w:r>
        <w:rPr>
          <w:spacing w:val="-5"/>
          <w:sz w:val="18"/>
        </w:rPr>
        <w:t> </w:t>
      </w:r>
      <w:r>
        <w:rPr>
          <w:sz w:val="18"/>
        </w:rPr>
        <w:t>individuals</w:t>
      </w:r>
      <w:r>
        <w:rPr>
          <w:spacing w:val="-8"/>
          <w:sz w:val="18"/>
        </w:rPr>
        <w:t> </w:t>
      </w:r>
      <w:r>
        <w:rPr>
          <w:sz w:val="18"/>
        </w:rPr>
        <w:t>sending parcels</w:t>
      </w:r>
      <w:r>
        <w:rPr>
          <w:spacing w:val="-2"/>
          <w:sz w:val="18"/>
        </w:rPr>
        <w:t> </w:t>
      </w:r>
      <w:r>
        <w:rPr>
          <w:sz w:val="18"/>
        </w:rPr>
        <w:t>abroad.</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was and has remained exclusive residence state taxation. Those same positions continue today. Given the present policy choice with respect to this sector, members agree that air and shipping businesses be carved out-of-scope for the purpose of application of new taxing rights.</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Profits that would fall within Article 8 of the OECD Model Tax Convention would therefore be excluded from the scope of Amount A. This would be the case whether or not a bilateral </w:t>
      </w:r>
      <w:r>
        <w:rPr>
          <w:spacing w:val="3"/>
          <w:sz w:val="20"/>
        </w:rPr>
        <w:t>tax </w:t>
      </w:r>
      <w:r>
        <w:rPr>
          <w:sz w:val="20"/>
        </w:rPr>
        <w:t>treaty exists between the jurisdictions in</w:t>
      </w:r>
      <w:r>
        <w:rPr>
          <w:spacing w:val="-4"/>
          <w:sz w:val="20"/>
        </w:rPr>
        <w:t> </w:t>
      </w:r>
      <w:r>
        <w:rPr>
          <w:sz w:val="20"/>
        </w:rPr>
        <w:t>question.</w:t>
      </w:r>
    </w:p>
    <w:p>
      <w:pPr>
        <w:pStyle w:val="BodyText"/>
        <w:spacing w:before="5"/>
        <w:rPr>
          <w:sz w:val="23"/>
        </w:rPr>
      </w:pPr>
    </w:p>
    <w:p>
      <w:pPr>
        <w:pStyle w:val="Heading6"/>
        <w:numPr>
          <w:ilvl w:val="2"/>
          <w:numId w:val="7"/>
        </w:numPr>
        <w:tabs>
          <w:tab w:pos="2015" w:val="left" w:leader="none"/>
        </w:tabs>
        <w:spacing w:line="266" w:lineRule="auto" w:before="1" w:after="0"/>
        <w:ind w:left="1402" w:right="541" w:firstLine="0"/>
        <w:jc w:val="left"/>
      </w:pPr>
      <w:bookmarkStart w:name="2.2.4. Alternative to Activities Based T" w:id="67"/>
      <w:bookmarkEnd w:id="67"/>
      <w:r>
        <w:rPr>
          <w:b w:val="0"/>
          <w:i w:val="0"/>
        </w:rPr>
      </w:r>
      <w:bookmarkStart w:name="2.2.4. Alternative to Activities Based T" w:id="68"/>
      <w:bookmarkEnd w:id="68"/>
      <w:r>
        <w:rPr>
          <w:i/>
        </w:rPr>
        <w:t>A</w:t>
      </w:r>
      <w:r>
        <w:rPr>
          <w:i/>
        </w:rPr>
        <w:t>lternative to Activities Based Tests: Applying Amount A on a Safe Harbour </w:t>
      </w:r>
      <w:r>
        <w:rPr/>
        <w:t>Basis</w:t>
      </w:r>
    </w:p>
    <w:p>
      <w:pPr>
        <w:pStyle w:val="ListParagraph"/>
        <w:numPr>
          <w:ilvl w:val="0"/>
          <w:numId w:val="13"/>
        </w:numPr>
        <w:tabs>
          <w:tab w:pos="1444" w:val="left" w:leader="none"/>
        </w:tabs>
        <w:spacing w:line="271" w:lineRule="auto" w:before="189" w:after="0"/>
        <w:ind w:left="723" w:right="478" w:firstLine="0"/>
        <w:jc w:val="both"/>
        <w:rPr>
          <w:sz w:val="20"/>
        </w:rPr>
      </w:pPr>
      <w:r>
        <w:rPr>
          <w:sz w:val="20"/>
        </w:rPr>
        <w:t>As described above, the Outline proposes to base the scope for Amount A on an activities test to include</w:t>
      </w:r>
      <w:r>
        <w:rPr>
          <w:spacing w:val="-6"/>
          <w:sz w:val="20"/>
        </w:rPr>
        <w:t> </w:t>
      </w:r>
      <w:r>
        <w:rPr>
          <w:sz w:val="20"/>
        </w:rPr>
        <w:t>automated</w:t>
      </w:r>
      <w:r>
        <w:rPr>
          <w:spacing w:val="-8"/>
          <w:sz w:val="20"/>
        </w:rPr>
        <w:t> </w:t>
      </w:r>
      <w:r>
        <w:rPr>
          <w:sz w:val="20"/>
        </w:rPr>
        <w:t>digital</w:t>
      </w:r>
      <w:r>
        <w:rPr>
          <w:spacing w:val="-7"/>
          <w:sz w:val="20"/>
        </w:rPr>
        <w:t> </w:t>
      </w:r>
      <w:r>
        <w:rPr>
          <w:sz w:val="20"/>
        </w:rPr>
        <w:t>services</w:t>
      </w:r>
      <w:r>
        <w:rPr>
          <w:spacing w:val="-4"/>
          <w:sz w:val="20"/>
        </w:rPr>
        <w:t> </w:t>
      </w:r>
      <w:r>
        <w:rPr>
          <w:sz w:val="20"/>
        </w:rPr>
        <w:t>and</w:t>
      </w:r>
      <w:r>
        <w:rPr>
          <w:spacing w:val="-6"/>
          <w:sz w:val="20"/>
        </w:rPr>
        <w:t> </w:t>
      </w:r>
      <w:r>
        <w:rPr>
          <w:sz w:val="20"/>
        </w:rPr>
        <w:t>consumer</w:t>
      </w:r>
      <w:r>
        <w:rPr>
          <w:spacing w:val="-7"/>
          <w:sz w:val="20"/>
        </w:rPr>
        <w:t> </w:t>
      </w:r>
      <w:r>
        <w:rPr>
          <w:sz w:val="20"/>
        </w:rPr>
        <w:t>facing</w:t>
      </w:r>
      <w:r>
        <w:rPr>
          <w:spacing w:val="-8"/>
          <w:sz w:val="20"/>
        </w:rPr>
        <w:t> </w:t>
      </w:r>
      <w:r>
        <w:rPr>
          <w:sz w:val="20"/>
        </w:rPr>
        <w:t>businesses,</w:t>
      </w:r>
      <w:r>
        <w:rPr>
          <w:spacing w:val="-5"/>
          <w:sz w:val="20"/>
        </w:rPr>
        <w:t> </w:t>
      </w:r>
      <w:r>
        <w:rPr>
          <w:sz w:val="20"/>
        </w:rPr>
        <w:t>with</w:t>
      </w:r>
      <w:r>
        <w:rPr>
          <w:spacing w:val="-5"/>
          <w:sz w:val="20"/>
        </w:rPr>
        <w:t> </w:t>
      </w:r>
      <w:r>
        <w:rPr>
          <w:sz w:val="20"/>
        </w:rPr>
        <w:t>defined</w:t>
      </w:r>
      <w:r>
        <w:rPr>
          <w:spacing w:val="-6"/>
          <w:sz w:val="20"/>
        </w:rPr>
        <w:t> </w:t>
      </w:r>
      <w:r>
        <w:rPr>
          <w:sz w:val="20"/>
        </w:rPr>
        <w:t>carve</w:t>
      </w:r>
      <w:r>
        <w:rPr>
          <w:spacing w:val="-8"/>
          <w:sz w:val="20"/>
        </w:rPr>
        <w:t> </w:t>
      </w:r>
      <w:r>
        <w:rPr>
          <w:sz w:val="20"/>
        </w:rPr>
        <w:t>outs.</w:t>
      </w:r>
      <w:r>
        <w:rPr>
          <w:spacing w:val="-7"/>
          <w:sz w:val="20"/>
        </w:rPr>
        <w:t> </w:t>
      </w:r>
      <w:r>
        <w:rPr>
          <w:sz w:val="20"/>
        </w:rPr>
        <w:t>The</w:t>
      </w:r>
      <w:r>
        <w:rPr>
          <w:spacing w:val="-8"/>
          <w:sz w:val="20"/>
        </w:rPr>
        <w:t> </w:t>
      </w:r>
      <w:r>
        <w:rPr>
          <w:sz w:val="20"/>
        </w:rPr>
        <w:t>intent</w:t>
      </w:r>
      <w:r>
        <w:rPr>
          <w:spacing w:val="-6"/>
          <w:sz w:val="20"/>
        </w:rPr>
        <w:t> </w:t>
      </w:r>
      <w:r>
        <w:rPr>
          <w:sz w:val="20"/>
        </w:rPr>
        <w:t>is to</w:t>
      </w:r>
      <w:r>
        <w:rPr>
          <w:spacing w:val="-9"/>
          <w:sz w:val="20"/>
        </w:rPr>
        <w:t> </w:t>
      </w:r>
      <w:r>
        <w:rPr>
          <w:sz w:val="20"/>
        </w:rPr>
        <w:t>have</w:t>
      </w:r>
      <w:r>
        <w:rPr>
          <w:spacing w:val="-8"/>
          <w:sz w:val="20"/>
        </w:rPr>
        <w:t> </w:t>
      </w:r>
      <w:r>
        <w:rPr>
          <w:sz w:val="20"/>
        </w:rPr>
        <w:t>Amount</w:t>
      </w:r>
      <w:r>
        <w:rPr>
          <w:spacing w:val="-7"/>
          <w:sz w:val="20"/>
        </w:rPr>
        <w:t> </w:t>
      </w:r>
      <w:r>
        <w:rPr>
          <w:sz w:val="20"/>
        </w:rPr>
        <w:t>A</w:t>
      </w:r>
      <w:r>
        <w:rPr>
          <w:spacing w:val="-7"/>
          <w:sz w:val="20"/>
        </w:rPr>
        <w:t> </w:t>
      </w:r>
      <w:r>
        <w:rPr>
          <w:sz w:val="20"/>
        </w:rPr>
        <w:t>apply</w:t>
      </w:r>
      <w:r>
        <w:rPr>
          <w:spacing w:val="-11"/>
          <w:sz w:val="20"/>
        </w:rPr>
        <w:t> </w:t>
      </w:r>
      <w:r>
        <w:rPr>
          <w:sz w:val="20"/>
        </w:rPr>
        <w:t>to</w:t>
      </w:r>
      <w:r>
        <w:rPr>
          <w:spacing w:val="-5"/>
          <w:sz w:val="20"/>
        </w:rPr>
        <w:t> </w:t>
      </w:r>
      <w:r>
        <w:rPr>
          <w:sz w:val="20"/>
        </w:rPr>
        <w:t>a</w:t>
      </w:r>
      <w:r>
        <w:rPr>
          <w:spacing w:val="-8"/>
          <w:sz w:val="20"/>
        </w:rPr>
        <w:t> </w:t>
      </w:r>
      <w:r>
        <w:rPr>
          <w:sz w:val="20"/>
        </w:rPr>
        <w:t>broad</w:t>
      </w:r>
      <w:r>
        <w:rPr>
          <w:spacing w:val="-9"/>
          <w:sz w:val="20"/>
        </w:rPr>
        <w:t> </w:t>
      </w:r>
      <w:r>
        <w:rPr>
          <w:sz w:val="20"/>
        </w:rPr>
        <w:t>range</w:t>
      </w:r>
      <w:r>
        <w:rPr>
          <w:spacing w:val="-6"/>
          <w:sz w:val="20"/>
        </w:rPr>
        <w:t> </w:t>
      </w:r>
      <w:r>
        <w:rPr>
          <w:sz w:val="20"/>
        </w:rPr>
        <w:t>of</w:t>
      </w:r>
      <w:r>
        <w:rPr>
          <w:spacing w:val="-7"/>
          <w:sz w:val="20"/>
        </w:rPr>
        <w:t> </w:t>
      </w:r>
      <w:r>
        <w:rPr>
          <w:sz w:val="20"/>
        </w:rPr>
        <w:t>businesses</w:t>
      </w:r>
      <w:r>
        <w:rPr>
          <w:spacing w:val="-2"/>
          <w:sz w:val="20"/>
        </w:rPr>
        <w:t> </w:t>
      </w:r>
      <w:r>
        <w:rPr>
          <w:sz w:val="20"/>
        </w:rPr>
        <w:t>that</w:t>
      </w:r>
      <w:r>
        <w:rPr>
          <w:spacing w:val="-6"/>
          <w:sz w:val="20"/>
        </w:rPr>
        <w:t> </w:t>
      </w:r>
      <w:r>
        <w:rPr>
          <w:sz w:val="20"/>
        </w:rPr>
        <w:t>generate</w:t>
      </w:r>
      <w:r>
        <w:rPr>
          <w:spacing w:val="-7"/>
          <w:sz w:val="20"/>
        </w:rPr>
        <w:t> </w:t>
      </w:r>
      <w:r>
        <w:rPr>
          <w:sz w:val="20"/>
        </w:rPr>
        <w:t>profits</w:t>
      </w:r>
      <w:r>
        <w:rPr>
          <w:spacing w:val="-7"/>
          <w:sz w:val="20"/>
        </w:rPr>
        <w:t> </w:t>
      </w:r>
      <w:r>
        <w:rPr>
          <w:sz w:val="20"/>
        </w:rPr>
        <w:t>through</w:t>
      </w:r>
      <w:r>
        <w:rPr>
          <w:spacing w:val="-9"/>
          <w:sz w:val="20"/>
        </w:rPr>
        <w:t> </w:t>
      </w:r>
      <w:r>
        <w:rPr>
          <w:sz w:val="20"/>
        </w:rPr>
        <w:t>active</w:t>
      </w:r>
      <w:r>
        <w:rPr>
          <w:spacing w:val="-8"/>
          <w:sz w:val="20"/>
        </w:rPr>
        <w:t> </w:t>
      </w:r>
      <w:r>
        <w:rPr>
          <w:sz w:val="20"/>
        </w:rPr>
        <w:t>and</w:t>
      </w:r>
      <w:r>
        <w:rPr>
          <w:spacing w:val="-9"/>
          <w:sz w:val="20"/>
        </w:rPr>
        <w:t> </w:t>
      </w:r>
      <w:r>
        <w:rPr>
          <w:sz w:val="20"/>
        </w:rPr>
        <w:t>sustained engagement in market jurisdictions. Although considerable technical work has been devoted to the practical, administrative and definitional issues of such an approach and good progress has been made, this approach has to date not achieved political consensus. The need to define ADS and CFB, together with the need for facts and circumstances determinations to apply such definitions, adds complexity, in particular with respect to CFB which covers a wider and more diverse range of business models. In this context, the United States has proposed that Pillar One be implemented on what it refers to as a safe harbour</w:t>
      </w:r>
      <w:r>
        <w:rPr>
          <w:spacing w:val="-2"/>
          <w:sz w:val="20"/>
        </w:rPr>
        <w:t> </w:t>
      </w:r>
      <w:r>
        <w:rPr>
          <w:sz w:val="20"/>
        </w:rPr>
        <w:t>basis.</w:t>
      </w:r>
    </w:p>
    <w:p>
      <w:pPr>
        <w:pStyle w:val="ListParagraph"/>
        <w:numPr>
          <w:ilvl w:val="0"/>
          <w:numId w:val="13"/>
        </w:numPr>
        <w:tabs>
          <w:tab w:pos="1444" w:val="left" w:leader="none"/>
        </w:tabs>
        <w:spacing w:line="271" w:lineRule="auto" w:before="121" w:after="0"/>
        <w:ind w:left="723" w:right="486" w:firstLine="0"/>
        <w:jc w:val="both"/>
        <w:rPr>
          <w:sz w:val="20"/>
        </w:rPr>
      </w:pPr>
      <w:r>
        <w:rPr>
          <w:sz w:val="20"/>
        </w:rPr>
        <w:t>A</w:t>
      </w:r>
      <w:r>
        <w:rPr>
          <w:spacing w:val="-9"/>
          <w:sz w:val="20"/>
        </w:rPr>
        <w:t> </w:t>
      </w:r>
      <w:r>
        <w:rPr>
          <w:sz w:val="20"/>
        </w:rPr>
        <w:t>safe</w:t>
      </w:r>
      <w:r>
        <w:rPr>
          <w:spacing w:val="-7"/>
          <w:sz w:val="20"/>
        </w:rPr>
        <w:t> </w:t>
      </w:r>
      <w:r>
        <w:rPr>
          <w:sz w:val="20"/>
        </w:rPr>
        <w:t>harbour</w:t>
      </w:r>
      <w:r>
        <w:rPr>
          <w:spacing w:val="-8"/>
          <w:sz w:val="20"/>
        </w:rPr>
        <w:t> </w:t>
      </w:r>
      <w:r>
        <w:rPr>
          <w:sz w:val="20"/>
        </w:rPr>
        <w:t>basis</w:t>
      </w:r>
      <w:r>
        <w:rPr>
          <w:spacing w:val="-4"/>
          <w:sz w:val="20"/>
        </w:rPr>
        <w:t> </w:t>
      </w:r>
      <w:r>
        <w:rPr>
          <w:sz w:val="20"/>
        </w:rPr>
        <w:t>would</w:t>
      </w:r>
      <w:r>
        <w:rPr>
          <w:spacing w:val="-4"/>
          <w:sz w:val="20"/>
        </w:rPr>
        <w:t> </w:t>
      </w:r>
      <w:r>
        <w:rPr>
          <w:sz w:val="20"/>
        </w:rPr>
        <w:t>recognise</w:t>
      </w:r>
      <w:r>
        <w:rPr>
          <w:spacing w:val="-7"/>
          <w:sz w:val="20"/>
        </w:rPr>
        <w:t> </w:t>
      </w:r>
      <w:r>
        <w:rPr>
          <w:sz w:val="20"/>
        </w:rPr>
        <w:t>that</w:t>
      </w:r>
      <w:r>
        <w:rPr>
          <w:spacing w:val="-5"/>
          <w:sz w:val="20"/>
        </w:rPr>
        <w:t> </w:t>
      </w:r>
      <w:r>
        <w:rPr>
          <w:sz w:val="20"/>
        </w:rPr>
        <w:t>greatly</w:t>
      </w:r>
      <w:r>
        <w:rPr>
          <w:spacing w:val="-10"/>
          <w:sz w:val="20"/>
        </w:rPr>
        <w:t> </w:t>
      </w:r>
      <w:r>
        <w:rPr>
          <w:sz w:val="20"/>
        </w:rPr>
        <w:t>enhanced</w:t>
      </w:r>
      <w:r>
        <w:rPr>
          <w:spacing w:val="-8"/>
          <w:sz w:val="20"/>
        </w:rPr>
        <w:t> </w:t>
      </w:r>
      <w:r>
        <w:rPr>
          <w:sz w:val="20"/>
        </w:rPr>
        <w:t>tax</w:t>
      </w:r>
      <w:r>
        <w:rPr>
          <w:spacing w:val="-8"/>
          <w:sz w:val="20"/>
        </w:rPr>
        <w:t> </w:t>
      </w:r>
      <w:r>
        <w:rPr>
          <w:sz w:val="20"/>
        </w:rPr>
        <w:t>certainty</w:t>
      </w:r>
      <w:r>
        <w:rPr>
          <w:spacing w:val="-10"/>
          <w:sz w:val="20"/>
        </w:rPr>
        <w:t> </w:t>
      </w:r>
      <w:r>
        <w:rPr>
          <w:sz w:val="20"/>
        </w:rPr>
        <w:t>and</w:t>
      </w:r>
      <w:r>
        <w:rPr>
          <w:spacing w:val="-9"/>
          <w:sz w:val="20"/>
        </w:rPr>
        <w:t> </w:t>
      </w:r>
      <w:r>
        <w:rPr>
          <w:sz w:val="20"/>
        </w:rPr>
        <w:t>robust</w:t>
      </w:r>
      <w:r>
        <w:rPr>
          <w:spacing w:val="-9"/>
          <w:sz w:val="20"/>
        </w:rPr>
        <w:t> </w:t>
      </w:r>
      <w:r>
        <w:rPr>
          <w:sz w:val="20"/>
        </w:rPr>
        <w:t>mechanisms for</w:t>
      </w:r>
      <w:r>
        <w:rPr>
          <w:spacing w:val="-7"/>
          <w:sz w:val="20"/>
        </w:rPr>
        <w:t> </w:t>
      </w:r>
      <w:r>
        <w:rPr>
          <w:sz w:val="20"/>
        </w:rPr>
        <w:t>the</w:t>
      </w:r>
      <w:r>
        <w:rPr>
          <w:spacing w:val="-8"/>
          <w:sz w:val="20"/>
        </w:rPr>
        <w:t> </w:t>
      </w:r>
      <w:r>
        <w:rPr>
          <w:sz w:val="20"/>
        </w:rPr>
        <w:t>resolution</w:t>
      </w:r>
      <w:r>
        <w:rPr>
          <w:spacing w:val="-6"/>
          <w:sz w:val="20"/>
        </w:rPr>
        <w:t> </w:t>
      </w:r>
      <w:r>
        <w:rPr>
          <w:sz w:val="20"/>
        </w:rPr>
        <w:t>of</w:t>
      </w:r>
      <w:r>
        <w:rPr>
          <w:spacing w:val="-6"/>
          <w:sz w:val="20"/>
        </w:rPr>
        <w:t> </w:t>
      </w:r>
      <w:r>
        <w:rPr>
          <w:sz w:val="20"/>
        </w:rPr>
        <w:t>cross</w:t>
      </w:r>
      <w:r>
        <w:rPr>
          <w:spacing w:val="-6"/>
          <w:sz w:val="20"/>
        </w:rPr>
        <w:t> </w:t>
      </w:r>
      <w:r>
        <w:rPr>
          <w:sz w:val="20"/>
        </w:rPr>
        <w:t>border</w:t>
      </w:r>
      <w:r>
        <w:rPr>
          <w:spacing w:val="-7"/>
          <w:sz w:val="20"/>
        </w:rPr>
        <w:t> </w:t>
      </w:r>
      <w:r>
        <w:rPr>
          <w:sz w:val="20"/>
        </w:rPr>
        <w:t>tax</w:t>
      </w:r>
      <w:r>
        <w:rPr>
          <w:spacing w:val="-6"/>
          <w:sz w:val="20"/>
        </w:rPr>
        <w:t> </w:t>
      </w:r>
      <w:r>
        <w:rPr>
          <w:sz w:val="20"/>
        </w:rPr>
        <w:t>disputes</w:t>
      </w:r>
      <w:r>
        <w:rPr>
          <w:spacing w:val="-6"/>
          <w:sz w:val="20"/>
        </w:rPr>
        <w:t> </w:t>
      </w:r>
      <w:r>
        <w:rPr>
          <w:sz w:val="20"/>
        </w:rPr>
        <w:t>have</w:t>
      </w:r>
      <w:r>
        <w:rPr>
          <w:spacing w:val="-8"/>
          <w:sz w:val="20"/>
        </w:rPr>
        <w:t> </w:t>
      </w:r>
      <w:r>
        <w:rPr>
          <w:sz w:val="20"/>
        </w:rPr>
        <w:t>always</w:t>
      </w:r>
      <w:r>
        <w:rPr>
          <w:spacing w:val="-6"/>
          <w:sz w:val="20"/>
        </w:rPr>
        <w:t> </w:t>
      </w:r>
      <w:r>
        <w:rPr>
          <w:sz w:val="20"/>
        </w:rPr>
        <w:t>been</w:t>
      </w:r>
      <w:r>
        <w:rPr>
          <w:spacing w:val="-7"/>
          <w:sz w:val="20"/>
        </w:rPr>
        <w:t> </w:t>
      </w:r>
      <w:r>
        <w:rPr>
          <w:sz w:val="20"/>
        </w:rPr>
        <w:t>critical</w:t>
      </w:r>
      <w:r>
        <w:rPr>
          <w:spacing w:val="-9"/>
          <w:sz w:val="20"/>
        </w:rPr>
        <w:t> </w:t>
      </w:r>
      <w:r>
        <w:rPr>
          <w:sz w:val="20"/>
        </w:rPr>
        <w:t>components</w:t>
      </w:r>
      <w:r>
        <w:rPr>
          <w:spacing w:val="-5"/>
          <w:sz w:val="20"/>
        </w:rPr>
        <w:t> </w:t>
      </w:r>
      <w:r>
        <w:rPr>
          <w:sz w:val="20"/>
        </w:rPr>
        <w:t>of</w:t>
      </w:r>
      <w:r>
        <w:rPr>
          <w:spacing w:val="-6"/>
          <w:sz w:val="20"/>
        </w:rPr>
        <w:t> </w:t>
      </w:r>
      <w:r>
        <w:rPr>
          <w:sz w:val="20"/>
        </w:rPr>
        <w:t>the</w:t>
      </w:r>
      <w:r>
        <w:rPr>
          <w:spacing w:val="-8"/>
          <w:sz w:val="20"/>
        </w:rPr>
        <w:t> </w:t>
      </w:r>
      <w:r>
        <w:rPr>
          <w:sz w:val="20"/>
        </w:rPr>
        <w:t>design</w:t>
      </w:r>
      <w:r>
        <w:rPr>
          <w:spacing w:val="-6"/>
          <w:sz w:val="20"/>
        </w:rPr>
        <w:t> </w:t>
      </w:r>
      <w:r>
        <w:rPr>
          <w:sz w:val="20"/>
        </w:rPr>
        <w:t>of</w:t>
      </w:r>
      <w:r>
        <w:rPr>
          <w:spacing w:val="-5"/>
          <w:sz w:val="20"/>
        </w:rPr>
        <w:t> </w:t>
      </w:r>
      <w:r>
        <w:rPr>
          <w:sz w:val="20"/>
        </w:rPr>
        <w:t>Pillar One.</w:t>
      </w:r>
      <w:r>
        <w:rPr>
          <w:spacing w:val="-6"/>
          <w:sz w:val="20"/>
        </w:rPr>
        <w:t> </w:t>
      </w:r>
      <w:r>
        <w:rPr>
          <w:sz w:val="20"/>
        </w:rPr>
        <w:t>Such</w:t>
      </w:r>
      <w:r>
        <w:rPr>
          <w:spacing w:val="-6"/>
          <w:sz w:val="20"/>
        </w:rPr>
        <w:t> </w:t>
      </w:r>
      <w:r>
        <w:rPr>
          <w:sz w:val="20"/>
        </w:rPr>
        <w:t>enhanced</w:t>
      </w:r>
      <w:r>
        <w:rPr>
          <w:spacing w:val="-6"/>
          <w:sz w:val="20"/>
        </w:rPr>
        <w:t> </w:t>
      </w:r>
      <w:r>
        <w:rPr>
          <w:sz w:val="20"/>
        </w:rPr>
        <w:t>tax</w:t>
      </w:r>
      <w:r>
        <w:rPr>
          <w:spacing w:val="-7"/>
          <w:sz w:val="20"/>
        </w:rPr>
        <w:t> </w:t>
      </w:r>
      <w:r>
        <w:rPr>
          <w:sz w:val="20"/>
        </w:rPr>
        <w:t>certainty</w:t>
      </w:r>
      <w:r>
        <w:rPr>
          <w:spacing w:val="-9"/>
          <w:sz w:val="20"/>
        </w:rPr>
        <w:t> </w:t>
      </w:r>
      <w:r>
        <w:rPr>
          <w:sz w:val="20"/>
        </w:rPr>
        <w:t>in</w:t>
      </w:r>
      <w:r>
        <w:rPr>
          <w:spacing w:val="-7"/>
          <w:sz w:val="20"/>
        </w:rPr>
        <w:t> </w:t>
      </w:r>
      <w:r>
        <w:rPr>
          <w:sz w:val="20"/>
        </w:rPr>
        <w:t>many</w:t>
      </w:r>
      <w:r>
        <w:rPr>
          <w:spacing w:val="-11"/>
          <w:sz w:val="20"/>
        </w:rPr>
        <w:t> </w:t>
      </w:r>
      <w:r>
        <w:rPr>
          <w:sz w:val="20"/>
        </w:rPr>
        <w:t>cases</w:t>
      </w:r>
      <w:r>
        <w:rPr>
          <w:spacing w:val="-7"/>
          <w:sz w:val="20"/>
        </w:rPr>
        <w:t> </w:t>
      </w:r>
      <w:r>
        <w:rPr>
          <w:sz w:val="20"/>
        </w:rPr>
        <w:t>could</w:t>
      </w:r>
      <w:r>
        <w:rPr>
          <w:spacing w:val="-6"/>
          <w:sz w:val="20"/>
        </w:rPr>
        <w:t> </w:t>
      </w:r>
      <w:r>
        <w:rPr>
          <w:sz w:val="20"/>
        </w:rPr>
        <w:t>make</w:t>
      </w:r>
      <w:r>
        <w:rPr>
          <w:spacing w:val="-8"/>
          <w:sz w:val="20"/>
        </w:rPr>
        <w:t> </w:t>
      </w:r>
      <w:r>
        <w:rPr>
          <w:sz w:val="20"/>
        </w:rPr>
        <w:t>Pillar</w:t>
      </w:r>
      <w:r>
        <w:rPr>
          <w:spacing w:val="-7"/>
          <w:sz w:val="20"/>
        </w:rPr>
        <w:t> </w:t>
      </w:r>
      <w:r>
        <w:rPr>
          <w:sz w:val="20"/>
        </w:rPr>
        <w:t>One</w:t>
      </w:r>
      <w:r>
        <w:rPr>
          <w:spacing w:val="-8"/>
          <w:sz w:val="20"/>
        </w:rPr>
        <w:t> </w:t>
      </w:r>
      <w:r>
        <w:rPr>
          <w:sz w:val="20"/>
        </w:rPr>
        <w:t>attractive</w:t>
      </w:r>
      <w:r>
        <w:rPr>
          <w:spacing w:val="-6"/>
          <w:sz w:val="20"/>
        </w:rPr>
        <w:t> </w:t>
      </w:r>
      <w:r>
        <w:rPr>
          <w:sz w:val="20"/>
        </w:rPr>
        <w:t>to</w:t>
      </w:r>
      <w:r>
        <w:rPr>
          <w:spacing w:val="-9"/>
          <w:sz w:val="20"/>
        </w:rPr>
        <w:t> </w:t>
      </w:r>
      <w:r>
        <w:rPr>
          <w:sz w:val="20"/>
        </w:rPr>
        <w:t>electing</w:t>
      </w:r>
      <w:r>
        <w:rPr>
          <w:spacing w:val="-6"/>
          <w:sz w:val="20"/>
        </w:rPr>
        <w:t> </w:t>
      </w:r>
      <w:r>
        <w:rPr>
          <w:sz w:val="20"/>
        </w:rPr>
        <w:t>MNE</w:t>
      </w:r>
      <w:r>
        <w:rPr>
          <w:spacing w:val="-6"/>
          <w:sz w:val="20"/>
        </w:rPr>
        <w:t> </w:t>
      </w:r>
      <w:r>
        <w:rPr>
          <w:sz w:val="20"/>
        </w:rPr>
        <w:t>groups notwithstanding</w:t>
      </w:r>
      <w:r>
        <w:rPr>
          <w:spacing w:val="-4"/>
          <w:sz w:val="20"/>
        </w:rPr>
        <w:t> </w:t>
      </w:r>
      <w:r>
        <w:rPr>
          <w:sz w:val="20"/>
        </w:rPr>
        <w:t>a</w:t>
      </w:r>
      <w:r>
        <w:rPr>
          <w:spacing w:val="-4"/>
          <w:sz w:val="20"/>
        </w:rPr>
        <w:t> </w:t>
      </w:r>
      <w:r>
        <w:rPr>
          <w:sz w:val="20"/>
        </w:rPr>
        <w:t>marginal</w:t>
      </w:r>
      <w:r>
        <w:rPr>
          <w:spacing w:val="-2"/>
          <w:sz w:val="20"/>
        </w:rPr>
        <w:t> </w:t>
      </w:r>
      <w:r>
        <w:rPr>
          <w:sz w:val="20"/>
        </w:rPr>
        <w:t>increase</w:t>
      </w:r>
      <w:r>
        <w:rPr>
          <w:spacing w:val="-4"/>
          <w:sz w:val="20"/>
        </w:rPr>
        <w:t> </w:t>
      </w:r>
      <w:r>
        <w:rPr>
          <w:sz w:val="20"/>
        </w:rPr>
        <w:t>to</w:t>
      </w:r>
      <w:r>
        <w:rPr>
          <w:spacing w:val="-4"/>
          <w:sz w:val="20"/>
        </w:rPr>
        <w:t> </w:t>
      </w:r>
      <w:r>
        <w:rPr>
          <w:sz w:val="20"/>
        </w:rPr>
        <w:t>their</w:t>
      </w:r>
      <w:r>
        <w:rPr>
          <w:spacing w:val="-3"/>
          <w:sz w:val="20"/>
        </w:rPr>
        <w:t> </w:t>
      </w:r>
      <w:r>
        <w:rPr>
          <w:sz w:val="20"/>
        </w:rPr>
        <w:t>global</w:t>
      </w:r>
      <w:r>
        <w:rPr>
          <w:spacing w:val="-6"/>
          <w:sz w:val="20"/>
        </w:rPr>
        <w:t> </w:t>
      </w:r>
      <w:r>
        <w:rPr>
          <w:sz w:val="20"/>
        </w:rPr>
        <w:t>tax</w:t>
      </w:r>
      <w:r>
        <w:rPr>
          <w:spacing w:val="-1"/>
          <w:sz w:val="20"/>
        </w:rPr>
        <w:t> </w:t>
      </w:r>
      <w:r>
        <w:rPr>
          <w:sz w:val="20"/>
        </w:rPr>
        <w:t>liabilities</w:t>
      </w:r>
      <w:r>
        <w:rPr>
          <w:spacing w:val="-3"/>
          <w:sz w:val="20"/>
        </w:rPr>
        <w:t> </w:t>
      </w:r>
      <w:r>
        <w:rPr>
          <w:sz w:val="20"/>
        </w:rPr>
        <w:t>resulting</w:t>
      </w:r>
      <w:r>
        <w:rPr>
          <w:spacing w:val="-5"/>
          <w:sz w:val="20"/>
        </w:rPr>
        <w:t> </w:t>
      </w:r>
      <w:r>
        <w:rPr>
          <w:sz w:val="20"/>
        </w:rPr>
        <w:t>from</w:t>
      </w:r>
      <w:r>
        <w:rPr>
          <w:spacing w:val="1"/>
          <w:sz w:val="20"/>
        </w:rPr>
        <w:t> </w:t>
      </w:r>
      <w:r>
        <w:rPr>
          <w:sz w:val="20"/>
        </w:rPr>
        <w:t>allocations</w:t>
      </w:r>
      <w:r>
        <w:rPr>
          <w:spacing w:val="-4"/>
          <w:sz w:val="20"/>
        </w:rPr>
        <w:t> </w:t>
      </w:r>
      <w:r>
        <w:rPr>
          <w:sz w:val="20"/>
        </w:rPr>
        <w:t>of</w:t>
      </w:r>
      <w:r>
        <w:rPr>
          <w:spacing w:val="-2"/>
          <w:sz w:val="20"/>
        </w:rPr>
        <w:t> </w:t>
      </w:r>
      <w:r>
        <w:rPr>
          <w:sz w:val="20"/>
        </w:rPr>
        <w:t>Amount</w:t>
      </w:r>
      <w:r>
        <w:rPr>
          <w:spacing w:val="-5"/>
          <w:sz w:val="20"/>
        </w:rPr>
        <w:t> </w:t>
      </w:r>
      <w:r>
        <w:rPr>
          <w:sz w:val="20"/>
        </w:rPr>
        <w:t>A.</w:t>
      </w:r>
    </w:p>
    <w:p>
      <w:pPr>
        <w:pStyle w:val="ListParagraph"/>
        <w:numPr>
          <w:ilvl w:val="0"/>
          <w:numId w:val="13"/>
        </w:numPr>
        <w:tabs>
          <w:tab w:pos="1444" w:val="left" w:leader="none"/>
        </w:tabs>
        <w:spacing w:line="271" w:lineRule="auto" w:before="119" w:after="0"/>
        <w:ind w:left="723" w:right="483" w:firstLine="0"/>
        <w:jc w:val="both"/>
        <w:rPr>
          <w:sz w:val="20"/>
        </w:rPr>
      </w:pPr>
      <w:r>
        <w:rPr>
          <w:sz w:val="20"/>
        </w:rPr>
        <w:t>Under</w:t>
      </w:r>
      <w:r>
        <w:rPr>
          <w:spacing w:val="-9"/>
          <w:sz w:val="20"/>
        </w:rPr>
        <w:t> </w:t>
      </w:r>
      <w:r>
        <w:rPr>
          <w:sz w:val="20"/>
        </w:rPr>
        <w:t>such</w:t>
      </w:r>
      <w:r>
        <w:rPr>
          <w:spacing w:val="-9"/>
          <w:sz w:val="20"/>
        </w:rPr>
        <w:t> </w:t>
      </w:r>
      <w:r>
        <w:rPr>
          <w:sz w:val="20"/>
        </w:rPr>
        <w:t>a</w:t>
      </w:r>
      <w:r>
        <w:rPr>
          <w:spacing w:val="-9"/>
          <w:sz w:val="20"/>
        </w:rPr>
        <w:t> </w:t>
      </w:r>
      <w:r>
        <w:rPr>
          <w:sz w:val="20"/>
        </w:rPr>
        <w:t>safe</w:t>
      </w:r>
      <w:r>
        <w:rPr>
          <w:spacing w:val="-9"/>
          <w:sz w:val="20"/>
        </w:rPr>
        <w:t> </w:t>
      </w:r>
      <w:r>
        <w:rPr>
          <w:sz w:val="20"/>
        </w:rPr>
        <w:t>harbour</w:t>
      </w:r>
      <w:r>
        <w:rPr>
          <w:spacing w:val="-8"/>
          <w:sz w:val="20"/>
        </w:rPr>
        <w:t> </w:t>
      </w:r>
      <w:r>
        <w:rPr>
          <w:sz w:val="20"/>
        </w:rPr>
        <w:t>implementation,</w:t>
      </w:r>
      <w:r>
        <w:rPr>
          <w:spacing w:val="-9"/>
          <w:sz w:val="20"/>
        </w:rPr>
        <w:t> </w:t>
      </w:r>
      <w:r>
        <w:rPr>
          <w:sz w:val="20"/>
        </w:rPr>
        <w:t>MNE’s</w:t>
      </w:r>
      <w:r>
        <w:rPr>
          <w:spacing w:val="-4"/>
          <w:sz w:val="20"/>
        </w:rPr>
        <w:t> </w:t>
      </w:r>
      <w:r>
        <w:rPr>
          <w:sz w:val="20"/>
        </w:rPr>
        <w:t>could</w:t>
      </w:r>
      <w:r>
        <w:rPr>
          <w:spacing w:val="-9"/>
          <w:sz w:val="20"/>
        </w:rPr>
        <w:t> </w:t>
      </w:r>
      <w:r>
        <w:rPr>
          <w:sz w:val="20"/>
        </w:rPr>
        <w:t>elect</w:t>
      </w:r>
      <w:r>
        <w:rPr>
          <w:spacing w:val="-9"/>
          <w:sz w:val="20"/>
        </w:rPr>
        <w:t> </w:t>
      </w:r>
      <w:r>
        <w:rPr>
          <w:sz w:val="20"/>
        </w:rPr>
        <w:t>to</w:t>
      </w:r>
      <w:r>
        <w:rPr>
          <w:spacing w:val="-9"/>
          <w:sz w:val="20"/>
        </w:rPr>
        <w:t> </w:t>
      </w:r>
      <w:r>
        <w:rPr>
          <w:sz w:val="20"/>
        </w:rPr>
        <w:t>have</w:t>
      </w:r>
      <w:r>
        <w:rPr>
          <w:spacing w:val="-9"/>
          <w:sz w:val="20"/>
        </w:rPr>
        <w:t> </w:t>
      </w:r>
      <w:r>
        <w:rPr>
          <w:sz w:val="20"/>
        </w:rPr>
        <w:t>all</w:t>
      </w:r>
      <w:r>
        <w:rPr>
          <w:spacing w:val="-7"/>
          <w:sz w:val="20"/>
        </w:rPr>
        <w:t> </w:t>
      </w:r>
      <w:r>
        <w:rPr>
          <w:sz w:val="20"/>
        </w:rPr>
        <w:t>the</w:t>
      </w:r>
      <w:r>
        <w:rPr>
          <w:spacing w:val="-9"/>
          <w:sz w:val="20"/>
        </w:rPr>
        <w:t> </w:t>
      </w:r>
      <w:r>
        <w:rPr>
          <w:sz w:val="20"/>
        </w:rPr>
        <w:t>components</w:t>
      </w:r>
      <w:r>
        <w:rPr>
          <w:spacing w:val="-8"/>
          <w:sz w:val="20"/>
        </w:rPr>
        <w:t> </w:t>
      </w:r>
      <w:r>
        <w:rPr>
          <w:sz w:val="20"/>
        </w:rPr>
        <w:t>of</w:t>
      </w:r>
      <w:r>
        <w:rPr>
          <w:spacing w:val="-8"/>
          <w:sz w:val="20"/>
        </w:rPr>
        <w:t> </w:t>
      </w:r>
      <w:r>
        <w:rPr>
          <w:sz w:val="20"/>
        </w:rPr>
        <w:t>Pillar One apply to them on a global basis, including the Amount A allocation, the Amount B fixed margin mechanism and the mandatory binding dispute prevention and resolution procedures. By allowing any MNE to elect to apply Pillar One, the need to resolve contentious scoping issues, including the definitions of ADS and CFB, would potentially be reduced. Election procedures could be provided to require that an MNE’s</w:t>
      </w:r>
      <w:r>
        <w:rPr>
          <w:spacing w:val="-9"/>
          <w:sz w:val="20"/>
        </w:rPr>
        <w:t> </w:t>
      </w:r>
      <w:r>
        <w:rPr>
          <w:sz w:val="20"/>
        </w:rPr>
        <w:t>election</w:t>
      </w:r>
      <w:r>
        <w:rPr>
          <w:spacing w:val="-7"/>
          <w:sz w:val="20"/>
        </w:rPr>
        <w:t> </w:t>
      </w:r>
      <w:r>
        <w:rPr>
          <w:sz w:val="20"/>
        </w:rPr>
        <w:t>be</w:t>
      </w:r>
      <w:r>
        <w:rPr>
          <w:spacing w:val="-9"/>
          <w:sz w:val="20"/>
        </w:rPr>
        <w:t> </w:t>
      </w:r>
      <w:r>
        <w:rPr>
          <w:sz w:val="20"/>
        </w:rPr>
        <w:t>made</w:t>
      </w:r>
      <w:r>
        <w:rPr>
          <w:spacing w:val="-9"/>
          <w:sz w:val="20"/>
        </w:rPr>
        <w:t> </w:t>
      </w:r>
      <w:r>
        <w:rPr>
          <w:sz w:val="20"/>
        </w:rPr>
        <w:t>on</w:t>
      </w:r>
      <w:r>
        <w:rPr>
          <w:spacing w:val="-7"/>
          <w:sz w:val="20"/>
        </w:rPr>
        <w:t> </w:t>
      </w:r>
      <w:r>
        <w:rPr>
          <w:sz w:val="20"/>
        </w:rPr>
        <w:t>a</w:t>
      </w:r>
      <w:r>
        <w:rPr>
          <w:spacing w:val="-9"/>
          <w:sz w:val="20"/>
        </w:rPr>
        <w:t> </w:t>
      </w:r>
      <w:r>
        <w:rPr>
          <w:sz w:val="20"/>
        </w:rPr>
        <w:t>global,</w:t>
      </w:r>
      <w:r>
        <w:rPr>
          <w:spacing w:val="-9"/>
          <w:sz w:val="20"/>
        </w:rPr>
        <w:t> </w:t>
      </w:r>
      <w:r>
        <w:rPr>
          <w:sz w:val="20"/>
        </w:rPr>
        <w:t>multi-year</w:t>
      </w:r>
      <w:r>
        <w:rPr>
          <w:spacing w:val="-8"/>
          <w:sz w:val="20"/>
        </w:rPr>
        <w:t> </w:t>
      </w:r>
      <w:r>
        <w:rPr>
          <w:sz w:val="20"/>
        </w:rPr>
        <w:t>basis.</w:t>
      </w:r>
      <w:r>
        <w:rPr>
          <w:spacing w:val="-8"/>
          <w:sz w:val="20"/>
        </w:rPr>
        <w:t> </w:t>
      </w:r>
      <w:r>
        <w:rPr>
          <w:sz w:val="20"/>
        </w:rPr>
        <w:t>In</w:t>
      </w:r>
      <w:r>
        <w:rPr>
          <w:spacing w:val="-9"/>
          <w:sz w:val="20"/>
        </w:rPr>
        <w:t> </w:t>
      </w:r>
      <w:r>
        <w:rPr>
          <w:sz w:val="20"/>
        </w:rPr>
        <w:t>the</w:t>
      </w:r>
      <w:r>
        <w:rPr>
          <w:spacing w:val="-7"/>
          <w:sz w:val="20"/>
        </w:rPr>
        <w:t> </w:t>
      </w:r>
      <w:r>
        <w:rPr>
          <w:sz w:val="20"/>
        </w:rPr>
        <w:t>view</w:t>
      </w:r>
      <w:r>
        <w:rPr>
          <w:spacing w:val="-8"/>
          <w:sz w:val="20"/>
        </w:rPr>
        <w:t> </w:t>
      </w:r>
      <w:r>
        <w:rPr>
          <w:sz w:val="20"/>
        </w:rPr>
        <w:t>of</w:t>
      </w:r>
      <w:r>
        <w:rPr>
          <w:spacing w:val="-7"/>
          <w:sz w:val="20"/>
        </w:rPr>
        <w:t> </w:t>
      </w:r>
      <w:r>
        <w:rPr>
          <w:sz w:val="20"/>
        </w:rPr>
        <w:t>the</w:t>
      </w:r>
      <w:r>
        <w:rPr>
          <w:spacing w:val="-9"/>
          <w:sz w:val="20"/>
        </w:rPr>
        <w:t> </w:t>
      </w:r>
      <w:r>
        <w:rPr>
          <w:sz w:val="20"/>
        </w:rPr>
        <w:t>United</w:t>
      </w:r>
      <w:r>
        <w:rPr>
          <w:spacing w:val="-7"/>
          <w:sz w:val="20"/>
        </w:rPr>
        <w:t> </w:t>
      </w:r>
      <w:r>
        <w:rPr>
          <w:sz w:val="20"/>
        </w:rPr>
        <w:t>States,</w:t>
      </w:r>
      <w:r>
        <w:rPr>
          <w:spacing w:val="-9"/>
          <w:sz w:val="20"/>
        </w:rPr>
        <w:t> </w:t>
      </w:r>
      <w:r>
        <w:rPr>
          <w:sz w:val="20"/>
        </w:rPr>
        <w:t>implementing</w:t>
      </w:r>
      <w:r>
        <w:rPr>
          <w:spacing w:val="-9"/>
          <w:sz w:val="20"/>
        </w:rPr>
        <w:t> </w:t>
      </w:r>
      <w:r>
        <w:rPr>
          <w:sz w:val="20"/>
        </w:rPr>
        <w:t>Pillar One</w:t>
      </w:r>
      <w:r>
        <w:rPr>
          <w:spacing w:val="-19"/>
          <w:sz w:val="20"/>
        </w:rPr>
        <w:t> </w:t>
      </w:r>
      <w:r>
        <w:rPr>
          <w:sz w:val="20"/>
        </w:rPr>
        <w:t>on</w:t>
      </w:r>
      <w:r>
        <w:rPr>
          <w:spacing w:val="-19"/>
          <w:sz w:val="20"/>
        </w:rPr>
        <w:t> </w:t>
      </w:r>
      <w:r>
        <w:rPr>
          <w:sz w:val="20"/>
        </w:rPr>
        <w:t>a</w:t>
      </w:r>
      <w:r>
        <w:rPr>
          <w:spacing w:val="-16"/>
          <w:sz w:val="20"/>
        </w:rPr>
        <w:t> </w:t>
      </w:r>
      <w:r>
        <w:rPr>
          <w:sz w:val="20"/>
        </w:rPr>
        <w:t>safe</w:t>
      </w:r>
      <w:r>
        <w:rPr>
          <w:spacing w:val="-19"/>
          <w:sz w:val="20"/>
        </w:rPr>
        <w:t> </w:t>
      </w:r>
      <w:r>
        <w:rPr>
          <w:sz w:val="20"/>
        </w:rPr>
        <w:t>harbour</w:t>
      </w:r>
      <w:r>
        <w:rPr>
          <w:spacing w:val="-16"/>
          <w:sz w:val="20"/>
        </w:rPr>
        <w:t> </w:t>
      </w:r>
      <w:r>
        <w:rPr>
          <w:sz w:val="20"/>
        </w:rPr>
        <w:t>basis</w:t>
      </w:r>
      <w:r>
        <w:rPr>
          <w:spacing w:val="-15"/>
          <w:sz w:val="20"/>
        </w:rPr>
        <w:t> </w:t>
      </w:r>
      <w:r>
        <w:rPr>
          <w:sz w:val="20"/>
        </w:rPr>
        <w:t>could</w:t>
      </w:r>
      <w:r>
        <w:rPr>
          <w:spacing w:val="-19"/>
          <w:sz w:val="20"/>
        </w:rPr>
        <w:t> </w:t>
      </w:r>
      <w:r>
        <w:rPr>
          <w:sz w:val="20"/>
        </w:rPr>
        <w:t>also</w:t>
      </w:r>
      <w:r>
        <w:rPr>
          <w:spacing w:val="-16"/>
          <w:sz w:val="20"/>
        </w:rPr>
        <w:t> </w:t>
      </w:r>
      <w:r>
        <w:rPr>
          <w:sz w:val="20"/>
        </w:rPr>
        <w:t>avoid</w:t>
      </w:r>
      <w:r>
        <w:rPr>
          <w:spacing w:val="-19"/>
          <w:sz w:val="20"/>
        </w:rPr>
        <w:t> </w:t>
      </w:r>
      <w:r>
        <w:rPr>
          <w:sz w:val="20"/>
        </w:rPr>
        <w:t>the</w:t>
      </w:r>
      <w:r>
        <w:rPr>
          <w:spacing w:val="-17"/>
          <w:sz w:val="20"/>
        </w:rPr>
        <w:t> </w:t>
      </w:r>
      <w:r>
        <w:rPr>
          <w:sz w:val="20"/>
        </w:rPr>
        <w:t>political</w:t>
      </w:r>
      <w:r>
        <w:rPr>
          <w:spacing w:val="-18"/>
          <w:sz w:val="20"/>
        </w:rPr>
        <w:t> </w:t>
      </w:r>
      <w:r>
        <w:rPr>
          <w:sz w:val="20"/>
        </w:rPr>
        <w:t>challenges</w:t>
      </w:r>
      <w:r>
        <w:rPr>
          <w:spacing w:val="-18"/>
          <w:sz w:val="20"/>
        </w:rPr>
        <w:t> </w:t>
      </w:r>
      <w:r>
        <w:rPr>
          <w:sz w:val="20"/>
        </w:rPr>
        <w:t>of</w:t>
      </w:r>
      <w:r>
        <w:rPr>
          <w:spacing w:val="-17"/>
          <w:sz w:val="20"/>
        </w:rPr>
        <w:t> </w:t>
      </w:r>
      <w:r>
        <w:rPr>
          <w:sz w:val="20"/>
        </w:rPr>
        <w:t>mandating</w:t>
      </w:r>
      <w:r>
        <w:rPr>
          <w:spacing w:val="-19"/>
          <w:sz w:val="20"/>
        </w:rPr>
        <w:t> </w:t>
      </w:r>
      <w:r>
        <w:rPr>
          <w:sz w:val="20"/>
        </w:rPr>
        <w:t>changes</w:t>
      </w:r>
      <w:r>
        <w:rPr>
          <w:spacing w:val="-18"/>
          <w:sz w:val="20"/>
        </w:rPr>
        <w:t> </w:t>
      </w:r>
      <w:r>
        <w:rPr>
          <w:sz w:val="20"/>
        </w:rPr>
        <w:t>to</w:t>
      </w:r>
      <w:r>
        <w:rPr>
          <w:spacing w:val="-17"/>
          <w:sz w:val="20"/>
        </w:rPr>
        <w:t> </w:t>
      </w:r>
      <w:r>
        <w:rPr>
          <w:sz w:val="20"/>
        </w:rPr>
        <w:t>longstanding international tax</w:t>
      </w:r>
      <w:r>
        <w:rPr>
          <w:spacing w:val="-3"/>
          <w:sz w:val="20"/>
        </w:rPr>
        <w:t> </w:t>
      </w:r>
      <w:r>
        <w:rPr>
          <w:sz w:val="20"/>
        </w:rPr>
        <w:t>principles.</w:t>
      </w:r>
    </w:p>
    <w:p>
      <w:pPr>
        <w:pStyle w:val="ListParagraph"/>
        <w:numPr>
          <w:ilvl w:val="0"/>
          <w:numId w:val="13"/>
        </w:numPr>
        <w:tabs>
          <w:tab w:pos="1444" w:val="left" w:leader="none"/>
        </w:tabs>
        <w:spacing w:line="271" w:lineRule="auto" w:before="123" w:after="0"/>
        <w:ind w:left="723" w:right="484" w:firstLine="0"/>
        <w:jc w:val="both"/>
        <w:rPr>
          <w:sz w:val="20"/>
        </w:rPr>
      </w:pPr>
      <w:r>
        <w:rPr>
          <w:sz w:val="20"/>
        </w:rPr>
        <w:t>The United States contemplates that such a safe harbour implementation of Pillar One would be part of an overall agreement that replaces digital services taxes and similar unilateral measures, with the effect that the benefits of increased administrability, greater tax certainty, and mandatory binding dispute resolution procedures would be the primary motivations for MNEs to avail themselves of Pillar One as a safe</w:t>
      </w:r>
      <w:r>
        <w:rPr>
          <w:spacing w:val="-2"/>
          <w:sz w:val="20"/>
        </w:rPr>
        <w:t> </w:t>
      </w:r>
      <w:r>
        <w:rPr>
          <w:sz w:val="20"/>
        </w:rPr>
        <w:t>harbour.</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Many other jurisdictions have expressed scepticism about an elective approach. In addition to noting</w:t>
      </w:r>
      <w:r>
        <w:rPr>
          <w:spacing w:val="-8"/>
          <w:sz w:val="20"/>
        </w:rPr>
        <w:t> </w:t>
      </w:r>
      <w:r>
        <w:rPr>
          <w:sz w:val="20"/>
        </w:rPr>
        <w:t>the</w:t>
      </w:r>
      <w:r>
        <w:rPr>
          <w:spacing w:val="-7"/>
          <w:sz w:val="20"/>
        </w:rPr>
        <w:t> </w:t>
      </w:r>
      <w:r>
        <w:rPr>
          <w:sz w:val="20"/>
        </w:rPr>
        <w:t>outstanding</w:t>
      </w:r>
      <w:r>
        <w:rPr>
          <w:spacing w:val="-7"/>
          <w:sz w:val="20"/>
        </w:rPr>
        <w:t> </w:t>
      </w:r>
      <w:r>
        <w:rPr>
          <w:sz w:val="20"/>
        </w:rPr>
        <w:t>questions</w:t>
      </w:r>
      <w:r>
        <w:rPr>
          <w:spacing w:val="-5"/>
          <w:sz w:val="20"/>
        </w:rPr>
        <w:t> </w:t>
      </w:r>
      <w:r>
        <w:rPr>
          <w:sz w:val="20"/>
        </w:rPr>
        <w:t>around</w:t>
      </w:r>
      <w:r>
        <w:rPr>
          <w:spacing w:val="-7"/>
          <w:sz w:val="20"/>
        </w:rPr>
        <w:t> </w:t>
      </w:r>
      <w:r>
        <w:rPr>
          <w:sz w:val="20"/>
        </w:rPr>
        <w:t>how</w:t>
      </w:r>
      <w:r>
        <w:rPr>
          <w:spacing w:val="-8"/>
          <w:sz w:val="20"/>
        </w:rPr>
        <w:t> </w:t>
      </w:r>
      <w:r>
        <w:rPr>
          <w:sz w:val="20"/>
        </w:rPr>
        <w:t>an</w:t>
      </w:r>
      <w:r>
        <w:rPr>
          <w:spacing w:val="-7"/>
          <w:sz w:val="20"/>
        </w:rPr>
        <w:t> </w:t>
      </w:r>
      <w:r>
        <w:rPr>
          <w:sz w:val="20"/>
        </w:rPr>
        <w:t>elective</w:t>
      </w:r>
      <w:r>
        <w:rPr>
          <w:spacing w:val="-7"/>
          <w:sz w:val="20"/>
        </w:rPr>
        <w:t> </w:t>
      </w:r>
      <w:r>
        <w:rPr>
          <w:sz w:val="20"/>
        </w:rPr>
        <w:t>regime</w:t>
      </w:r>
      <w:r>
        <w:rPr>
          <w:spacing w:val="-7"/>
          <w:sz w:val="20"/>
        </w:rPr>
        <w:t> </w:t>
      </w:r>
      <w:r>
        <w:rPr>
          <w:sz w:val="20"/>
        </w:rPr>
        <w:t>would</w:t>
      </w:r>
      <w:r>
        <w:rPr>
          <w:spacing w:val="-7"/>
          <w:sz w:val="20"/>
        </w:rPr>
        <w:t> </w:t>
      </w:r>
      <w:r>
        <w:rPr>
          <w:sz w:val="20"/>
        </w:rPr>
        <w:t>operate,</w:t>
      </w:r>
      <w:r>
        <w:rPr>
          <w:spacing w:val="-7"/>
          <w:sz w:val="20"/>
        </w:rPr>
        <w:t> </w:t>
      </w:r>
      <w:r>
        <w:rPr>
          <w:sz w:val="20"/>
        </w:rPr>
        <w:t>they</w:t>
      </w:r>
      <w:r>
        <w:rPr>
          <w:spacing w:val="-10"/>
          <w:sz w:val="20"/>
        </w:rPr>
        <w:t> </w:t>
      </w:r>
      <w:r>
        <w:rPr>
          <w:sz w:val="20"/>
        </w:rPr>
        <w:t>have</w:t>
      </w:r>
      <w:r>
        <w:rPr>
          <w:spacing w:val="-7"/>
          <w:sz w:val="20"/>
        </w:rPr>
        <w:t> </w:t>
      </w:r>
      <w:r>
        <w:rPr>
          <w:sz w:val="20"/>
        </w:rPr>
        <w:t>argued</w:t>
      </w:r>
      <w:r>
        <w:rPr>
          <w:spacing w:val="-7"/>
          <w:sz w:val="20"/>
        </w:rPr>
        <w:t> </w:t>
      </w:r>
      <w:r>
        <w:rPr>
          <w:sz w:val="20"/>
        </w:rPr>
        <w:t>that</w:t>
      </w:r>
      <w:r>
        <w:rPr>
          <w:spacing w:val="-6"/>
          <w:sz w:val="20"/>
        </w:rPr>
        <w:t> </w:t>
      </w:r>
      <w:r>
        <w:rPr>
          <w:sz w:val="20"/>
        </w:rPr>
        <w:t>the objectives</w:t>
      </w:r>
      <w:r>
        <w:rPr>
          <w:spacing w:val="-10"/>
          <w:sz w:val="20"/>
        </w:rPr>
        <w:t> </w:t>
      </w:r>
      <w:r>
        <w:rPr>
          <w:sz w:val="20"/>
        </w:rPr>
        <w:t>of</w:t>
      </w:r>
      <w:r>
        <w:rPr>
          <w:spacing w:val="-9"/>
          <w:sz w:val="20"/>
        </w:rPr>
        <w:t> </w:t>
      </w:r>
      <w:r>
        <w:rPr>
          <w:sz w:val="20"/>
        </w:rPr>
        <w:t>Pillar</w:t>
      </w:r>
      <w:r>
        <w:rPr>
          <w:spacing w:val="-11"/>
          <w:sz w:val="20"/>
        </w:rPr>
        <w:t> </w:t>
      </w:r>
      <w:r>
        <w:rPr>
          <w:sz w:val="20"/>
        </w:rPr>
        <w:t>One</w:t>
      </w:r>
      <w:r>
        <w:rPr>
          <w:spacing w:val="-9"/>
          <w:sz w:val="20"/>
        </w:rPr>
        <w:t> </w:t>
      </w:r>
      <w:r>
        <w:rPr>
          <w:sz w:val="20"/>
        </w:rPr>
        <w:t>would</w:t>
      </w:r>
      <w:r>
        <w:rPr>
          <w:spacing w:val="-12"/>
          <w:sz w:val="20"/>
        </w:rPr>
        <w:t> </w:t>
      </w:r>
      <w:r>
        <w:rPr>
          <w:sz w:val="20"/>
        </w:rPr>
        <w:t>be</w:t>
      </w:r>
      <w:r>
        <w:rPr>
          <w:spacing w:val="-12"/>
          <w:sz w:val="20"/>
        </w:rPr>
        <w:t> </w:t>
      </w:r>
      <w:r>
        <w:rPr>
          <w:sz w:val="20"/>
        </w:rPr>
        <w:t>frustrated</w:t>
      </w:r>
      <w:r>
        <w:rPr>
          <w:spacing w:val="-11"/>
          <w:sz w:val="20"/>
        </w:rPr>
        <w:t> </w:t>
      </w:r>
      <w:r>
        <w:rPr>
          <w:sz w:val="20"/>
        </w:rPr>
        <w:t>in</w:t>
      </w:r>
      <w:r>
        <w:rPr>
          <w:spacing w:val="-12"/>
          <w:sz w:val="20"/>
        </w:rPr>
        <w:t> </w:t>
      </w:r>
      <w:r>
        <w:rPr>
          <w:sz w:val="20"/>
        </w:rPr>
        <w:t>cases</w:t>
      </w:r>
      <w:r>
        <w:rPr>
          <w:spacing w:val="-8"/>
          <w:sz w:val="20"/>
        </w:rPr>
        <w:t> </w:t>
      </w:r>
      <w:r>
        <w:rPr>
          <w:sz w:val="20"/>
        </w:rPr>
        <w:t>where</w:t>
      </w:r>
      <w:r>
        <w:rPr>
          <w:spacing w:val="-11"/>
          <w:sz w:val="20"/>
        </w:rPr>
        <w:t> </w:t>
      </w:r>
      <w:r>
        <w:rPr>
          <w:sz w:val="20"/>
        </w:rPr>
        <w:t>MNEs</w:t>
      </w:r>
      <w:r>
        <w:rPr>
          <w:spacing w:val="-10"/>
          <w:sz w:val="20"/>
        </w:rPr>
        <w:t> </w:t>
      </w:r>
      <w:r>
        <w:rPr>
          <w:sz w:val="20"/>
        </w:rPr>
        <w:t>do</w:t>
      </w:r>
      <w:r>
        <w:rPr>
          <w:spacing w:val="-9"/>
          <w:sz w:val="20"/>
        </w:rPr>
        <w:t> </w:t>
      </w:r>
      <w:r>
        <w:rPr>
          <w:sz w:val="20"/>
        </w:rPr>
        <w:t>not</w:t>
      </w:r>
      <w:r>
        <w:rPr>
          <w:spacing w:val="-9"/>
          <w:sz w:val="20"/>
        </w:rPr>
        <w:t> </w:t>
      </w:r>
      <w:r>
        <w:rPr>
          <w:sz w:val="20"/>
        </w:rPr>
        <w:t>elect</w:t>
      </w:r>
      <w:r>
        <w:rPr>
          <w:spacing w:val="-9"/>
          <w:sz w:val="20"/>
        </w:rPr>
        <w:t> </w:t>
      </w:r>
      <w:r>
        <w:rPr>
          <w:sz w:val="20"/>
        </w:rPr>
        <w:t>into</w:t>
      </w:r>
      <w:r>
        <w:rPr>
          <w:spacing w:val="-12"/>
          <w:sz w:val="20"/>
        </w:rPr>
        <w:t> </w:t>
      </w:r>
      <w:r>
        <w:rPr>
          <w:sz w:val="20"/>
        </w:rPr>
        <w:t>the</w:t>
      </w:r>
      <w:r>
        <w:rPr>
          <w:spacing w:val="-11"/>
          <w:sz w:val="20"/>
        </w:rPr>
        <w:t> </w:t>
      </w:r>
      <w:r>
        <w:rPr>
          <w:sz w:val="20"/>
        </w:rPr>
        <w:t>new</w:t>
      </w:r>
      <w:r>
        <w:rPr>
          <w:spacing w:val="-11"/>
          <w:sz w:val="20"/>
        </w:rPr>
        <w:t> </w:t>
      </w:r>
      <w:r>
        <w:rPr>
          <w:sz w:val="20"/>
        </w:rPr>
        <w:t>rules,</w:t>
      </w:r>
      <w:r>
        <w:rPr>
          <w:spacing w:val="-11"/>
          <w:sz w:val="20"/>
        </w:rPr>
        <w:t> </w:t>
      </w:r>
      <w:r>
        <w:rPr>
          <w:sz w:val="20"/>
        </w:rPr>
        <w:t>and</w:t>
      </w:r>
      <w:r>
        <w:rPr>
          <w:spacing w:val="-12"/>
          <w:sz w:val="20"/>
        </w:rPr>
        <w:t> </w:t>
      </w:r>
      <w:r>
        <w:rPr>
          <w:sz w:val="20"/>
        </w:rPr>
        <w:t>have noted</w:t>
      </w:r>
      <w:r>
        <w:rPr>
          <w:spacing w:val="-6"/>
          <w:sz w:val="20"/>
        </w:rPr>
        <w:t> </w:t>
      </w:r>
      <w:r>
        <w:rPr>
          <w:sz w:val="20"/>
        </w:rPr>
        <w:t>the</w:t>
      </w:r>
      <w:r>
        <w:rPr>
          <w:spacing w:val="-4"/>
          <w:sz w:val="20"/>
        </w:rPr>
        <w:t> </w:t>
      </w:r>
      <w:r>
        <w:rPr>
          <w:sz w:val="20"/>
        </w:rPr>
        <w:t>perverse</w:t>
      </w:r>
      <w:r>
        <w:rPr>
          <w:spacing w:val="-5"/>
          <w:sz w:val="20"/>
        </w:rPr>
        <w:t> </w:t>
      </w:r>
      <w:r>
        <w:rPr>
          <w:sz w:val="20"/>
        </w:rPr>
        <w:t>incentives</w:t>
      </w:r>
      <w:r>
        <w:rPr>
          <w:spacing w:val="-4"/>
          <w:sz w:val="20"/>
        </w:rPr>
        <w:t> </w:t>
      </w:r>
      <w:r>
        <w:rPr>
          <w:sz w:val="20"/>
        </w:rPr>
        <w:t>it</w:t>
      </w:r>
      <w:r>
        <w:rPr>
          <w:spacing w:val="-5"/>
          <w:sz w:val="20"/>
        </w:rPr>
        <w:t> </w:t>
      </w:r>
      <w:r>
        <w:rPr>
          <w:sz w:val="20"/>
        </w:rPr>
        <w:t>could</w:t>
      </w:r>
      <w:r>
        <w:rPr>
          <w:spacing w:val="-5"/>
          <w:sz w:val="20"/>
        </w:rPr>
        <w:t> </w:t>
      </w:r>
      <w:r>
        <w:rPr>
          <w:sz w:val="20"/>
        </w:rPr>
        <w:t>create</w:t>
      </w:r>
      <w:r>
        <w:rPr>
          <w:spacing w:val="-5"/>
          <w:sz w:val="20"/>
        </w:rPr>
        <w:t> </w:t>
      </w:r>
      <w:r>
        <w:rPr>
          <w:sz w:val="20"/>
        </w:rPr>
        <w:t>for</w:t>
      </w:r>
      <w:r>
        <w:rPr>
          <w:spacing w:val="-5"/>
          <w:sz w:val="20"/>
        </w:rPr>
        <w:t> </w:t>
      </w:r>
      <w:r>
        <w:rPr>
          <w:sz w:val="20"/>
        </w:rPr>
        <w:t>jurisdictions</w:t>
      </w:r>
      <w:r>
        <w:rPr>
          <w:spacing w:val="-5"/>
          <w:sz w:val="20"/>
        </w:rPr>
        <w:t> </w:t>
      </w:r>
      <w:r>
        <w:rPr>
          <w:sz w:val="20"/>
        </w:rPr>
        <w:t>to</w:t>
      </w:r>
      <w:r>
        <w:rPr>
          <w:spacing w:val="-3"/>
          <w:sz w:val="20"/>
        </w:rPr>
        <w:t> </w:t>
      </w:r>
      <w:r>
        <w:rPr>
          <w:sz w:val="20"/>
        </w:rPr>
        <w:t>introduce</w:t>
      </w:r>
      <w:r>
        <w:rPr>
          <w:spacing w:val="-5"/>
          <w:sz w:val="20"/>
        </w:rPr>
        <w:t> </w:t>
      </w:r>
      <w:r>
        <w:rPr>
          <w:sz w:val="20"/>
        </w:rPr>
        <w:t>unilateral</w:t>
      </w:r>
      <w:r>
        <w:rPr>
          <w:spacing w:val="-6"/>
          <w:sz w:val="20"/>
        </w:rPr>
        <w:t> </w:t>
      </w:r>
      <w:r>
        <w:rPr>
          <w:sz w:val="20"/>
        </w:rPr>
        <w:t>measures,</w:t>
      </w:r>
      <w:r>
        <w:rPr>
          <w:spacing w:val="-5"/>
          <w:sz w:val="20"/>
        </w:rPr>
        <w:t> </w:t>
      </w:r>
      <w:r>
        <w:rPr>
          <w:sz w:val="20"/>
        </w:rPr>
        <w:t>or</w:t>
      </w:r>
      <w:r>
        <w:rPr>
          <w:spacing w:val="-4"/>
          <w:sz w:val="20"/>
        </w:rPr>
        <w:t> </w:t>
      </w:r>
      <w:r>
        <w:rPr>
          <w:sz w:val="20"/>
        </w:rPr>
        <w:t>increase the</w:t>
      </w:r>
      <w:r>
        <w:rPr>
          <w:spacing w:val="-9"/>
          <w:sz w:val="20"/>
        </w:rPr>
        <w:t> </w:t>
      </w:r>
      <w:r>
        <w:rPr>
          <w:sz w:val="20"/>
        </w:rPr>
        <w:t>breadth</w:t>
      </w:r>
      <w:r>
        <w:rPr>
          <w:spacing w:val="-10"/>
          <w:sz w:val="20"/>
        </w:rPr>
        <w:t> </w:t>
      </w:r>
      <w:r>
        <w:rPr>
          <w:sz w:val="20"/>
        </w:rPr>
        <w:t>and</w:t>
      </w:r>
      <w:r>
        <w:rPr>
          <w:spacing w:val="-12"/>
          <w:sz w:val="20"/>
        </w:rPr>
        <w:t> </w:t>
      </w:r>
      <w:r>
        <w:rPr>
          <w:sz w:val="20"/>
        </w:rPr>
        <w:t>rate</w:t>
      </w:r>
      <w:r>
        <w:rPr>
          <w:spacing w:val="-10"/>
          <w:sz w:val="20"/>
        </w:rPr>
        <w:t> </w:t>
      </w:r>
      <w:r>
        <w:rPr>
          <w:sz w:val="20"/>
        </w:rPr>
        <w:t>of</w:t>
      </w:r>
      <w:r>
        <w:rPr>
          <w:spacing w:val="-9"/>
          <w:sz w:val="20"/>
        </w:rPr>
        <w:t> </w:t>
      </w:r>
      <w:r>
        <w:rPr>
          <w:sz w:val="20"/>
        </w:rPr>
        <w:t>existing</w:t>
      </w:r>
      <w:r>
        <w:rPr>
          <w:spacing w:val="-10"/>
          <w:sz w:val="20"/>
        </w:rPr>
        <w:t> </w:t>
      </w:r>
      <w:r>
        <w:rPr>
          <w:sz w:val="20"/>
        </w:rPr>
        <w:t>unilateral</w:t>
      </w:r>
      <w:r>
        <w:rPr>
          <w:spacing w:val="-9"/>
          <w:sz w:val="20"/>
        </w:rPr>
        <w:t> </w:t>
      </w:r>
      <w:r>
        <w:rPr>
          <w:sz w:val="20"/>
        </w:rPr>
        <w:t>measures,</w:t>
      </w:r>
      <w:r>
        <w:rPr>
          <w:spacing w:val="-11"/>
          <w:sz w:val="20"/>
        </w:rPr>
        <w:t> </w:t>
      </w:r>
      <w:r>
        <w:rPr>
          <w:sz w:val="20"/>
        </w:rPr>
        <w:t>in</w:t>
      </w:r>
      <w:r>
        <w:rPr>
          <w:spacing w:val="-7"/>
          <w:sz w:val="20"/>
        </w:rPr>
        <w:t> </w:t>
      </w:r>
      <w:r>
        <w:rPr>
          <w:sz w:val="20"/>
        </w:rPr>
        <w:t>order</w:t>
      </w:r>
      <w:r>
        <w:rPr>
          <w:spacing w:val="-10"/>
          <w:sz w:val="20"/>
        </w:rPr>
        <w:t> </w:t>
      </w:r>
      <w:r>
        <w:rPr>
          <w:sz w:val="20"/>
        </w:rPr>
        <w:t>to</w:t>
      </w:r>
      <w:r>
        <w:rPr>
          <w:spacing w:val="-9"/>
          <w:sz w:val="20"/>
        </w:rPr>
        <w:t> </w:t>
      </w:r>
      <w:r>
        <w:rPr>
          <w:sz w:val="20"/>
        </w:rPr>
        <w:t>protect</w:t>
      </w:r>
      <w:r>
        <w:rPr>
          <w:spacing w:val="-9"/>
          <w:sz w:val="20"/>
        </w:rPr>
        <w:t> </w:t>
      </w:r>
      <w:r>
        <w:rPr>
          <w:sz w:val="20"/>
        </w:rPr>
        <w:t>against</w:t>
      </w:r>
      <w:r>
        <w:rPr>
          <w:spacing w:val="-11"/>
          <w:sz w:val="20"/>
        </w:rPr>
        <w:t> </w:t>
      </w:r>
      <w:r>
        <w:rPr>
          <w:sz w:val="20"/>
        </w:rPr>
        <w:t>that</w:t>
      </w:r>
      <w:r>
        <w:rPr>
          <w:spacing w:val="-9"/>
          <w:sz w:val="20"/>
        </w:rPr>
        <w:t> </w:t>
      </w:r>
      <w:r>
        <w:rPr>
          <w:sz w:val="20"/>
        </w:rPr>
        <w:t>outcome.</w:t>
      </w:r>
      <w:r>
        <w:rPr>
          <w:spacing w:val="-11"/>
          <w:sz w:val="20"/>
        </w:rPr>
        <w:t> </w:t>
      </w:r>
      <w:r>
        <w:rPr>
          <w:sz w:val="20"/>
        </w:rPr>
        <w:t>They</w:t>
      </w:r>
      <w:r>
        <w:rPr>
          <w:spacing w:val="-15"/>
          <w:sz w:val="20"/>
        </w:rPr>
        <w:t> </w:t>
      </w:r>
      <w:r>
        <w:rPr>
          <w:sz w:val="20"/>
        </w:rPr>
        <w:t>believe that an optional basis would create inconsistency across similar businesses and lead to distortions. They also take the view that an elective regime would undermine the policy justification for reallocating profit to market jurisdictions, threatening its coherence/sustainability and reducing the likelihood of international consensus. Some have further questioned the legal effect of a safe harbour approach, given that such a safe</w:t>
      </w:r>
      <w:r>
        <w:rPr>
          <w:spacing w:val="-9"/>
          <w:sz w:val="20"/>
        </w:rPr>
        <w:t> </w:t>
      </w:r>
      <w:r>
        <w:rPr>
          <w:sz w:val="20"/>
        </w:rPr>
        <w:t>harbour</w:t>
      </w:r>
      <w:r>
        <w:rPr>
          <w:spacing w:val="-7"/>
          <w:sz w:val="20"/>
        </w:rPr>
        <w:t> </w:t>
      </w:r>
      <w:r>
        <w:rPr>
          <w:sz w:val="20"/>
        </w:rPr>
        <w:t>can</w:t>
      </w:r>
      <w:r>
        <w:rPr>
          <w:spacing w:val="-8"/>
          <w:sz w:val="20"/>
        </w:rPr>
        <w:t> </w:t>
      </w:r>
      <w:r>
        <w:rPr>
          <w:sz w:val="20"/>
        </w:rPr>
        <w:t>only</w:t>
      </w:r>
      <w:r>
        <w:rPr>
          <w:spacing w:val="-9"/>
          <w:sz w:val="20"/>
        </w:rPr>
        <w:t> </w:t>
      </w:r>
      <w:r>
        <w:rPr>
          <w:sz w:val="20"/>
        </w:rPr>
        <w:t>be</w:t>
      </w:r>
      <w:r>
        <w:rPr>
          <w:spacing w:val="-7"/>
          <w:sz w:val="20"/>
        </w:rPr>
        <w:t> </w:t>
      </w:r>
      <w:r>
        <w:rPr>
          <w:sz w:val="20"/>
        </w:rPr>
        <w:t>provided</w:t>
      </w:r>
      <w:r>
        <w:rPr>
          <w:spacing w:val="-8"/>
          <w:sz w:val="20"/>
        </w:rPr>
        <w:t> </w:t>
      </w:r>
      <w:r>
        <w:rPr>
          <w:sz w:val="20"/>
        </w:rPr>
        <w:t>in</w:t>
      </w:r>
      <w:r>
        <w:rPr>
          <w:spacing w:val="-4"/>
          <w:sz w:val="20"/>
        </w:rPr>
        <w:t> </w:t>
      </w:r>
      <w:r>
        <w:rPr>
          <w:sz w:val="20"/>
        </w:rPr>
        <w:t>a</w:t>
      </w:r>
      <w:r>
        <w:rPr>
          <w:spacing w:val="-6"/>
          <w:sz w:val="20"/>
        </w:rPr>
        <w:t> </w:t>
      </w:r>
      <w:r>
        <w:rPr>
          <w:sz w:val="20"/>
        </w:rPr>
        <w:t>coordinated</w:t>
      </w:r>
      <w:r>
        <w:rPr>
          <w:spacing w:val="-7"/>
          <w:sz w:val="20"/>
        </w:rPr>
        <w:t> </w:t>
      </w:r>
      <w:r>
        <w:rPr>
          <w:sz w:val="20"/>
        </w:rPr>
        <w:t>manner</w:t>
      </w:r>
      <w:r>
        <w:rPr>
          <w:spacing w:val="-7"/>
          <w:sz w:val="20"/>
        </w:rPr>
        <w:t> </w:t>
      </w:r>
      <w:r>
        <w:rPr>
          <w:sz w:val="20"/>
        </w:rPr>
        <w:t>by</w:t>
      </w:r>
      <w:r>
        <w:rPr>
          <w:spacing w:val="-11"/>
          <w:sz w:val="20"/>
        </w:rPr>
        <w:t> </w:t>
      </w:r>
      <w:r>
        <w:rPr>
          <w:sz w:val="20"/>
        </w:rPr>
        <w:t>jurisdictions</w:t>
      </w:r>
      <w:r>
        <w:rPr>
          <w:spacing w:val="-4"/>
          <w:sz w:val="20"/>
        </w:rPr>
        <w:t> </w:t>
      </w:r>
      <w:r>
        <w:rPr>
          <w:sz w:val="20"/>
        </w:rPr>
        <w:t>if</w:t>
      </w:r>
      <w:r>
        <w:rPr>
          <w:spacing w:val="-7"/>
          <w:sz w:val="20"/>
        </w:rPr>
        <w:t> </w:t>
      </w:r>
      <w:r>
        <w:rPr>
          <w:sz w:val="20"/>
        </w:rPr>
        <w:t>they</w:t>
      </w:r>
      <w:r>
        <w:rPr>
          <w:spacing w:val="-9"/>
          <w:sz w:val="20"/>
        </w:rPr>
        <w:t> </w:t>
      </w:r>
      <w:r>
        <w:rPr>
          <w:sz w:val="20"/>
        </w:rPr>
        <w:t>have</w:t>
      </w:r>
      <w:r>
        <w:rPr>
          <w:spacing w:val="-8"/>
          <w:sz w:val="20"/>
        </w:rPr>
        <w:t> </w:t>
      </w:r>
      <w:r>
        <w:rPr>
          <w:sz w:val="20"/>
        </w:rPr>
        <w:t>the</w:t>
      </w:r>
      <w:r>
        <w:rPr>
          <w:spacing w:val="-8"/>
          <w:sz w:val="20"/>
        </w:rPr>
        <w:t> </w:t>
      </w:r>
      <w:r>
        <w:rPr>
          <w:sz w:val="20"/>
        </w:rPr>
        <w:t>relevant</w:t>
      </w:r>
      <w:r>
        <w:rPr>
          <w:spacing w:val="-8"/>
          <w:sz w:val="20"/>
        </w:rPr>
        <w:t> </w:t>
      </w:r>
      <w:r>
        <w:rPr>
          <w:sz w:val="20"/>
        </w:rPr>
        <w:t>taxing rights</w:t>
      </w:r>
      <w:r>
        <w:rPr>
          <w:spacing w:val="28"/>
          <w:sz w:val="20"/>
        </w:rPr>
        <w:t> </w:t>
      </w:r>
      <w:r>
        <w:rPr>
          <w:sz w:val="20"/>
        </w:rPr>
        <w:t>in</w:t>
      </w:r>
      <w:r>
        <w:rPr>
          <w:spacing w:val="27"/>
          <w:sz w:val="20"/>
        </w:rPr>
        <w:t> </w:t>
      </w:r>
      <w:r>
        <w:rPr>
          <w:sz w:val="20"/>
        </w:rPr>
        <w:t>the</w:t>
      </w:r>
      <w:r>
        <w:rPr>
          <w:spacing w:val="27"/>
          <w:sz w:val="20"/>
        </w:rPr>
        <w:t> </w:t>
      </w:r>
      <w:r>
        <w:rPr>
          <w:sz w:val="20"/>
        </w:rPr>
        <w:t>first</w:t>
      </w:r>
      <w:r>
        <w:rPr>
          <w:spacing w:val="26"/>
          <w:sz w:val="20"/>
        </w:rPr>
        <w:t> </w:t>
      </w:r>
      <w:r>
        <w:rPr>
          <w:sz w:val="20"/>
        </w:rPr>
        <w:t>place,</w:t>
      </w:r>
      <w:r>
        <w:rPr>
          <w:spacing w:val="27"/>
          <w:sz w:val="20"/>
        </w:rPr>
        <w:t> </w:t>
      </w:r>
      <w:r>
        <w:rPr>
          <w:sz w:val="20"/>
        </w:rPr>
        <w:t>which</w:t>
      </w:r>
      <w:r>
        <w:rPr>
          <w:spacing w:val="27"/>
          <w:sz w:val="20"/>
        </w:rPr>
        <w:t> </w:t>
      </w:r>
      <w:r>
        <w:rPr>
          <w:sz w:val="20"/>
        </w:rPr>
        <w:t>will</w:t>
      </w:r>
      <w:r>
        <w:rPr>
          <w:spacing w:val="28"/>
          <w:sz w:val="20"/>
        </w:rPr>
        <w:t> </w:t>
      </w:r>
      <w:r>
        <w:rPr>
          <w:sz w:val="20"/>
        </w:rPr>
        <w:t>not</w:t>
      </w:r>
      <w:r>
        <w:rPr>
          <w:spacing w:val="27"/>
          <w:sz w:val="20"/>
        </w:rPr>
        <w:t> </w:t>
      </w:r>
      <w:r>
        <w:rPr>
          <w:sz w:val="20"/>
        </w:rPr>
        <w:t>be</w:t>
      </w:r>
      <w:r>
        <w:rPr>
          <w:spacing w:val="27"/>
          <w:sz w:val="20"/>
        </w:rPr>
        <w:t> </w:t>
      </w:r>
      <w:r>
        <w:rPr>
          <w:sz w:val="20"/>
        </w:rPr>
        <w:t>the</w:t>
      </w:r>
      <w:r>
        <w:rPr>
          <w:spacing w:val="25"/>
          <w:sz w:val="20"/>
        </w:rPr>
        <w:t> </w:t>
      </w:r>
      <w:r>
        <w:rPr>
          <w:sz w:val="20"/>
        </w:rPr>
        <w:t>case</w:t>
      </w:r>
      <w:r>
        <w:rPr>
          <w:spacing w:val="28"/>
          <w:sz w:val="20"/>
        </w:rPr>
        <w:t> </w:t>
      </w:r>
      <w:r>
        <w:rPr>
          <w:sz w:val="20"/>
        </w:rPr>
        <w:t>for</w:t>
      </w:r>
      <w:r>
        <w:rPr>
          <w:spacing w:val="26"/>
          <w:sz w:val="20"/>
        </w:rPr>
        <w:t> </w:t>
      </w:r>
      <w:r>
        <w:rPr>
          <w:sz w:val="20"/>
        </w:rPr>
        <w:t>all</w:t>
      </w:r>
      <w:r>
        <w:rPr>
          <w:spacing w:val="27"/>
          <w:sz w:val="20"/>
        </w:rPr>
        <w:t> </w:t>
      </w:r>
      <w:r>
        <w:rPr>
          <w:sz w:val="20"/>
        </w:rPr>
        <w:t>in</w:t>
      </w:r>
      <w:r>
        <w:rPr>
          <w:spacing w:val="28"/>
          <w:sz w:val="20"/>
        </w:rPr>
        <w:t> </w:t>
      </w:r>
      <w:r>
        <w:rPr>
          <w:sz w:val="20"/>
        </w:rPr>
        <w:t>a</w:t>
      </w:r>
      <w:r>
        <w:rPr>
          <w:spacing w:val="25"/>
          <w:sz w:val="20"/>
        </w:rPr>
        <w:t> </w:t>
      </w:r>
      <w:r>
        <w:rPr>
          <w:sz w:val="20"/>
        </w:rPr>
        <w:t>safe</w:t>
      </w:r>
      <w:r>
        <w:rPr>
          <w:spacing w:val="27"/>
          <w:sz w:val="20"/>
        </w:rPr>
        <w:t> </w:t>
      </w:r>
      <w:r>
        <w:rPr>
          <w:sz w:val="20"/>
        </w:rPr>
        <w:t>harbour</w:t>
      </w:r>
      <w:r>
        <w:rPr>
          <w:spacing w:val="27"/>
          <w:sz w:val="20"/>
        </w:rPr>
        <w:t> </w:t>
      </w:r>
      <w:r>
        <w:rPr>
          <w:sz w:val="20"/>
        </w:rPr>
        <w:t>approach.</w:t>
      </w:r>
      <w:r>
        <w:rPr>
          <w:spacing w:val="25"/>
          <w:sz w:val="20"/>
        </w:rPr>
        <w:t> </w:t>
      </w:r>
      <w:r>
        <w:rPr>
          <w:sz w:val="20"/>
        </w:rPr>
        <w:t>Further,</w:t>
      </w:r>
      <w:r>
        <w:rPr>
          <w:spacing w:val="28"/>
          <w:sz w:val="20"/>
        </w:rPr>
        <w:t> </w:t>
      </w:r>
      <w:r>
        <w:rPr>
          <w:sz w:val="20"/>
        </w:rPr>
        <w:t>others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emphasise that the tax challenges of the digitalising economy specifically result from their interplay with longstanding international tax principles which therefore need to be addressed with a view to overcoming political challenges.</w:t>
      </w:r>
    </w:p>
    <w:p>
      <w:pPr>
        <w:pStyle w:val="BodyText"/>
        <w:spacing w:before="5"/>
        <w:rPr>
          <w:sz w:val="23"/>
        </w:rPr>
      </w:pPr>
    </w:p>
    <w:p>
      <w:pPr>
        <w:pStyle w:val="Heading6"/>
        <w:numPr>
          <w:ilvl w:val="2"/>
          <w:numId w:val="7"/>
        </w:numPr>
        <w:tabs>
          <w:tab w:pos="2015" w:val="left" w:leader="none"/>
        </w:tabs>
        <w:spacing w:line="240" w:lineRule="auto" w:before="0" w:after="0"/>
        <w:ind w:left="2014" w:right="0" w:hanging="613"/>
        <w:jc w:val="left"/>
        <w:rPr>
          <w:i/>
        </w:rPr>
      </w:pPr>
      <w:bookmarkStart w:name="2.2.5. Next steps" w:id="69"/>
      <w:bookmarkEnd w:id="69"/>
      <w:r>
        <w:rPr>
          <w:b w:val="0"/>
          <w:i w:val="0"/>
        </w:rPr>
      </w:r>
      <w:bookmarkStart w:name="2.2.5. Next steps" w:id="70"/>
      <w:bookmarkEnd w:id="70"/>
      <w:r>
        <w:rPr>
          <w:i/>
        </w:rPr>
        <w:t>N</w:t>
      </w:r>
      <w:r>
        <w:rPr>
          <w:i/>
        </w:rPr>
        <w:t>ext steps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Inclusive Framework will continue its efforts to bridge the remaining differences as regards scope, recognising the importance of coming to a common understanding, and in a spirit of compromise where</w:t>
      </w:r>
      <w:r>
        <w:rPr>
          <w:spacing w:val="-11"/>
          <w:sz w:val="20"/>
        </w:rPr>
        <w:t> </w:t>
      </w:r>
      <w:r>
        <w:rPr>
          <w:sz w:val="20"/>
        </w:rPr>
        <w:t>needed,</w:t>
      </w:r>
      <w:r>
        <w:rPr>
          <w:spacing w:val="-10"/>
          <w:sz w:val="20"/>
        </w:rPr>
        <w:t> </w:t>
      </w:r>
      <w:r>
        <w:rPr>
          <w:sz w:val="20"/>
        </w:rPr>
        <w:t>reflecting</w:t>
      </w:r>
      <w:r>
        <w:rPr>
          <w:spacing w:val="-8"/>
          <w:sz w:val="20"/>
        </w:rPr>
        <w:t> </w:t>
      </w:r>
      <w:r>
        <w:rPr>
          <w:sz w:val="20"/>
        </w:rPr>
        <w:t>its</w:t>
      </w:r>
      <w:r>
        <w:rPr>
          <w:spacing w:val="-7"/>
          <w:sz w:val="20"/>
        </w:rPr>
        <w:t> </w:t>
      </w:r>
      <w:r>
        <w:rPr>
          <w:sz w:val="20"/>
        </w:rPr>
        <w:t>continuing</w:t>
      </w:r>
      <w:r>
        <w:rPr>
          <w:spacing w:val="-10"/>
          <w:sz w:val="20"/>
        </w:rPr>
        <w:t> </w:t>
      </w:r>
      <w:r>
        <w:rPr>
          <w:sz w:val="20"/>
        </w:rPr>
        <w:t>commitment</w:t>
      </w:r>
      <w:r>
        <w:rPr>
          <w:spacing w:val="-6"/>
          <w:sz w:val="20"/>
        </w:rPr>
        <w:t> </w:t>
      </w:r>
      <w:r>
        <w:rPr>
          <w:sz w:val="20"/>
        </w:rPr>
        <w:t>to</w:t>
      </w:r>
      <w:r>
        <w:rPr>
          <w:spacing w:val="-10"/>
          <w:sz w:val="20"/>
        </w:rPr>
        <w:t> </w:t>
      </w:r>
      <w:r>
        <w:rPr>
          <w:sz w:val="20"/>
        </w:rPr>
        <w:t>working</w:t>
      </w:r>
      <w:r>
        <w:rPr>
          <w:spacing w:val="-10"/>
          <w:sz w:val="20"/>
        </w:rPr>
        <w:t> </w:t>
      </w:r>
      <w:r>
        <w:rPr>
          <w:sz w:val="20"/>
        </w:rPr>
        <w:t>together</w:t>
      </w:r>
      <w:r>
        <w:rPr>
          <w:spacing w:val="-10"/>
          <w:sz w:val="20"/>
        </w:rPr>
        <w:t> </w:t>
      </w:r>
      <w:r>
        <w:rPr>
          <w:sz w:val="20"/>
        </w:rPr>
        <w:t>towards</w:t>
      </w:r>
      <w:r>
        <w:rPr>
          <w:spacing w:val="-9"/>
          <w:sz w:val="20"/>
        </w:rPr>
        <w:t> </w:t>
      </w:r>
      <w:r>
        <w:rPr>
          <w:sz w:val="20"/>
        </w:rPr>
        <w:t>a</w:t>
      </w:r>
      <w:r>
        <w:rPr>
          <w:spacing w:val="-8"/>
          <w:sz w:val="20"/>
        </w:rPr>
        <w:t> </w:t>
      </w:r>
      <w:r>
        <w:rPr>
          <w:sz w:val="20"/>
        </w:rPr>
        <w:t>consensus-based</w:t>
      </w:r>
      <w:r>
        <w:rPr>
          <w:spacing w:val="-9"/>
          <w:sz w:val="20"/>
        </w:rPr>
        <w:t> </w:t>
      </w:r>
      <w:r>
        <w:rPr>
          <w:sz w:val="20"/>
        </w:rPr>
        <w:t>long- term</w:t>
      </w:r>
      <w:r>
        <w:rPr>
          <w:spacing w:val="-8"/>
          <w:sz w:val="20"/>
        </w:rPr>
        <w:t> </w:t>
      </w:r>
      <w:r>
        <w:rPr>
          <w:sz w:val="20"/>
        </w:rPr>
        <w:t>solution.</w:t>
      </w:r>
      <w:r>
        <w:rPr>
          <w:spacing w:val="-10"/>
          <w:sz w:val="20"/>
        </w:rPr>
        <w:t> </w:t>
      </w:r>
      <w:r>
        <w:rPr>
          <w:sz w:val="20"/>
        </w:rPr>
        <w:t>This</w:t>
      </w:r>
      <w:r>
        <w:rPr>
          <w:spacing w:val="-10"/>
          <w:sz w:val="20"/>
        </w:rPr>
        <w:t> </w:t>
      </w:r>
      <w:r>
        <w:rPr>
          <w:sz w:val="20"/>
        </w:rPr>
        <w:t>includes</w:t>
      </w:r>
      <w:r>
        <w:rPr>
          <w:spacing w:val="-8"/>
          <w:sz w:val="20"/>
        </w:rPr>
        <w:t> </w:t>
      </w:r>
      <w:r>
        <w:rPr>
          <w:sz w:val="20"/>
        </w:rPr>
        <w:t>taking</w:t>
      </w:r>
      <w:r>
        <w:rPr>
          <w:spacing w:val="-10"/>
          <w:sz w:val="20"/>
        </w:rPr>
        <w:t> </w:t>
      </w:r>
      <w:r>
        <w:rPr>
          <w:sz w:val="20"/>
        </w:rPr>
        <w:t>into</w:t>
      </w:r>
      <w:r>
        <w:rPr>
          <w:spacing w:val="-10"/>
          <w:sz w:val="20"/>
        </w:rPr>
        <w:t> </w:t>
      </w:r>
      <w:r>
        <w:rPr>
          <w:sz w:val="20"/>
        </w:rPr>
        <w:t>account</w:t>
      </w:r>
      <w:r>
        <w:rPr>
          <w:spacing w:val="-9"/>
          <w:sz w:val="20"/>
        </w:rPr>
        <w:t> </w:t>
      </w:r>
      <w:r>
        <w:rPr>
          <w:sz w:val="20"/>
        </w:rPr>
        <w:t>the</w:t>
      </w:r>
      <w:r>
        <w:rPr>
          <w:spacing w:val="-8"/>
          <w:sz w:val="20"/>
        </w:rPr>
        <w:t> </w:t>
      </w:r>
      <w:r>
        <w:rPr>
          <w:sz w:val="20"/>
        </w:rPr>
        <w:t>divergent</w:t>
      </w:r>
      <w:r>
        <w:rPr>
          <w:spacing w:val="-9"/>
          <w:sz w:val="20"/>
        </w:rPr>
        <w:t> </w:t>
      </w:r>
      <w:r>
        <w:rPr>
          <w:sz w:val="20"/>
        </w:rPr>
        <w:t>views</w:t>
      </w:r>
      <w:r>
        <w:rPr>
          <w:spacing w:val="-6"/>
          <w:sz w:val="20"/>
        </w:rPr>
        <w:t> </w:t>
      </w:r>
      <w:r>
        <w:rPr>
          <w:sz w:val="20"/>
        </w:rPr>
        <w:t>expressed</w:t>
      </w:r>
      <w:r>
        <w:rPr>
          <w:spacing w:val="-11"/>
          <w:sz w:val="20"/>
        </w:rPr>
        <w:t> </w:t>
      </w:r>
      <w:r>
        <w:rPr>
          <w:sz w:val="20"/>
        </w:rPr>
        <w:t>above,</w:t>
      </w:r>
      <w:r>
        <w:rPr>
          <w:spacing w:val="-10"/>
          <w:sz w:val="20"/>
        </w:rPr>
        <w:t> </w:t>
      </w:r>
      <w:r>
        <w:rPr>
          <w:sz w:val="20"/>
        </w:rPr>
        <w:t>and</w:t>
      </w:r>
      <w:r>
        <w:rPr>
          <w:spacing w:val="-11"/>
          <w:sz w:val="20"/>
        </w:rPr>
        <w:t> </w:t>
      </w:r>
      <w:r>
        <w:rPr>
          <w:sz w:val="20"/>
        </w:rPr>
        <w:t>remaining</w:t>
      </w:r>
      <w:r>
        <w:rPr>
          <w:spacing w:val="-10"/>
          <w:sz w:val="20"/>
        </w:rPr>
        <w:t> </w:t>
      </w:r>
      <w:r>
        <w:rPr>
          <w:sz w:val="20"/>
        </w:rPr>
        <w:t>open to simplifications and innovative approaches that help to achieve the tax policy objective while minimising compliance and administrative</w:t>
      </w:r>
      <w:r>
        <w:rPr>
          <w:spacing w:val="-4"/>
          <w:sz w:val="20"/>
        </w:rPr>
        <w:t> </w:t>
      </w:r>
      <w:r>
        <w:rPr>
          <w:sz w:val="20"/>
        </w:rPr>
        <w:t>costs.</w:t>
      </w:r>
    </w:p>
    <w:p>
      <w:pPr>
        <w:pStyle w:val="BodyText"/>
        <w:rPr>
          <w:sz w:val="22"/>
        </w:rPr>
      </w:pPr>
    </w:p>
    <w:p>
      <w:pPr>
        <w:pStyle w:val="Heading4"/>
        <w:numPr>
          <w:ilvl w:val="1"/>
          <w:numId w:val="7"/>
        </w:numPr>
        <w:tabs>
          <w:tab w:pos="1192" w:val="left" w:leader="none"/>
        </w:tabs>
        <w:spacing w:line="240" w:lineRule="auto" w:before="193" w:after="0"/>
        <w:ind w:left="1191" w:right="0" w:hanging="469"/>
        <w:jc w:val="both"/>
        <w:rPr>
          <w:rFonts w:ascii="Arial"/>
        </w:rPr>
      </w:pPr>
      <w:bookmarkStart w:name="2.3. Threshold tests" w:id="71"/>
      <w:bookmarkEnd w:id="71"/>
      <w:r>
        <w:rPr>
          <w:b w:val="0"/>
        </w:rPr>
      </w:r>
      <w:bookmarkStart w:name="_bookmark9" w:id="72"/>
      <w:bookmarkEnd w:id="72"/>
      <w:r>
        <w:rPr>
          <w:b w:val="0"/>
        </w:rPr>
      </w:r>
      <w:bookmarkStart w:name="_bookmark9" w:id="73"/>
      <w:bookmarkEnd w:id="73"/>
      <w:r>
        <w:rPr>
          <w:rFonts w:ascii="Arial"/>
          <w:color w:val="4E81BD"/>
        </w:rPr>
        <w:t>Threshold</w:t>
      </w:r>
      <w:r>
        <w:rPr>
          <w:rFonts w:ascii="Arial"/>
          <w:color w:val="4E81BD"/>
        </w:rPr>
        <w:t> tests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In defining the MNEs that are in scope of Amount A, there is a recognition that below a certain overall size threshold, a cost-benefit analysis does not justify the imposition of the rules required to apply Amount A. The implementation of Amount A is likely to be associated with additional compliance and administrative</w:t>
      </w:r>
      <w:r>
        <w:rPr>
          <w:spacing w:val="-8"/>
          <w:sz w:val="20"/>
        </w:rPr>
        <w:t> </w:t>
      </w:r>
      <w:r>
        <w:rPr>
          <w:sz w:val="20"/>
        </w:rPr>
        <w:t>costs,</w:t>
      </w:r>
      <w:r>
        <w:rPr>
          <w:spacing w:val="-6"/>
          <w:sz w:val="20"/>
        </w:rPr>
        <w:t> </w:t>
      </w:r>
      <w:r>
        <w:rPr>
          <w:sz w:val="20"/>
        </w:rPr>
        <w:t>especially</w:t>
      </w:r>
      <w:r>
        <w:rPr>
          <w:spacing w:val="-7"/>
          <w:sz w:val="20"/>
        </w:rPr>
        <w:t> </w:t>
      </w:r>
      <w:r>
        <w:rPr>
          <w:sz w:val="20"/>
        </w:rPr>
        <w:t>in</w:t>
      </w:r>
      <w:r>
        <w:rPr>
          <w:spacing w:val="-8"/>
          <w:sz w:val="20"/>
        </w:rPr>
        <w:t> </w:t>
      </w:r>
      <w:r>
        <w:rPr>
          <w:sz w:val="20"/>
        </w:rPr>
        <w:t>the</w:t>
      </w:r>
      <w:r>
        <w:rPr>
          <w:spacing w:val="-7"/>
          <w:sz w:val="20"/>
        </w:rPr>
        <w:t> </w:t>
      </w:r>
      <w:r>
        <w:rPr>
          <w:sz w:val="20"/>
        </w:rPr>
        <w:t>short</w:t>
      </w:r>
      <w:r>
        <w:rPr>
          <w:spacing w:val="-6"/>
          <w:sz w:val="20"/>
        </w:rPr>
        <w:t> </w:t>
      </w:r>
      <w:r>
        <w:rPr>
          <w:sz w:val="20"/>
        </w:rPr>
        <w:t>term,</w:t>
      </w:r>
      <w:r>
        <w:rPr>
          <w:spacing w:val="-6"/>
          <w:sz w:val="20"/>
        </w:rPr>
        <w:t> </w:t>
      </w:r>
      <w:r>
        <w:rPr>
          <w:sz w:val="20"/>
        </w:rPr>
        <w:t>as</w:t>
      </w:r>
      <w:r>
        <w:rPr>
          <w:spacing w:val="-7"/>
          <w:sz w:val="20"/>
        </w:rPr>
        <w:t> </w:t>
      </w:r>
      <w:r>
        <w:rPr>
          <w:sz w:val="20"/>
        </w:rPr>
        <w:t>taxpayers</w:t>
      </w:r>
      <w:r>
        <w:rPr>
          <w:spacing w:val="-5"/>
          <w:sz w:val="20"/>
        </w:rPr>
        <w:t> </w:t>
      </w:r>
      <w:r>
        <w:rPr>
          <w:sz w:val="20"/>
        </w:rPr>
        <w:t>and</w:t>
      </w:r>
      <w:r>
        <w:rPr>
          <w:spacing w:val="-7"/>
          <w:sz w:val="20"/>
        </w:rPr>
        <w:t> </w:t>
      </w:r>
      <w:r>
        <w:rPr>
          <w:sz w:val="20"/>
        </w:rPr>
        <w:t>tax</w:t>
      </w:r>
      <w:r>
        <w:rPr>
          <w:spacing w:val="-7"/>
          <w:sz w:val="20"/>
        </w:rPr>
        <w:t> </w:t>
      </w:r>
      <w:r>
        <w:rPr>
          <w:sz w:val="20"/>
        </w:rPr>
        <w:t>administrations</w:t>
      </w:r>
      <w:r>
        <w:rPr>
          <w:spacing w:val="-5"/>
          <w:sz w:val="20"/>
        </w:rPr>
        <w:t> </w:t>
      </w:r>
      <w:r>
        <w:rPr>
          <w:sz w:val="20"/>
        </w:rPr>
        <w:t>implement</w:t>
      </w:r>
      <w:r>
        <w:rPr>
          <w:spacing w:val="-6"/>
          <w:sz w:val="20"/>
        </w:rPr>
        <w:t> </w:t>
      </w:r>
      <w:r>
        <w:rPr>
          <w:sz w:val="20"/>
        </w:rPr>
        <w:t>the</w:t>
      </w:r>
      <w:r>
        <w:rPr>
          <w:spacing w:val="-8"/>
          <w:sz w:val="20"/>
        </w:rPr>
        <w:t> </w:t>
      </w:r>
      <w:r>
        <w:rPr>
          <w:sz w:val="20"/>
        </w:rPr>
        <w:t>new rules.</w:t>
      </w:r>
      <w:r>
        <w:rPr>
          <w:spacing w:val="-12"/>
          <w:sz w:val="20"/>
        </w:rPr>
        <w:t> </w:t>
      </w:r>
      <w:r>
        <w:rPr>
          <w:sz w:val="20"/>
        </w:rPr>
        <w:t>Large</w:t>
      </w:r>
      <w:r>
        <w:rPr>
          <w:spacing w:val="-12"/>
          <w:sz w:val="20"/>
        </w:rPr>
        <w:t> </w:t>
      </w:r>
      <w:r>
        <w:rPr>
          <w:sz w:val="20"/>
        </w:rPr>
        <w:t>businesses</w:t>
      </w:r>
      <w:r>
        <w:rPr>
          <w:spacing w:val="-10"/>
          <w:sz w:val="20"/>
        </w:rPr>
        <w:t> </w:t>
      </w:r>
      <w:r>
        <w:rPr>
          <w:sz w:val="20"/>
        </w:rPr>
        <w:t>are</w:t>
      </w:r>
      <w:r>
        <w:rPr>
          <w:spacing w:val="-11"/>
          <w:sz w:val="20"/>
        </w:rPr>
        <w:t> </w:t>
      </w:r>
      <w:r>
        <w:rPr>
          <w:sz w:val="20"/>
        </w:rPr>
        <w:t>more</w:t>
      </w:r>
      <w:r>
        <w:rPr>
          <w:spacing w:val="-11"/>
          <w:sz w:val="20"/>
        </w:rPr>
        <w:t> </w:t>
      </w:r>
      <w:r>
        <w:rPr>
          <w:sz w:val="20"/>
        </w:rPr>
        <w:t>likely</w:t>
      </w:r>
      <w:r>
        <w:rPr>
          <w:spacing w:val="-15"/>
          <w:sz w:val="20"/>
        </w:rPr>
        <w:t> </w:t>
      </w:r>
      <w:r>
        <w:rPr>
          <w:sz w:val="20"/>
        </w:rPr>
        <w:t>to</w:t>
      </w:r>
      <w:r>
        <w:rPr>
          <w:spacing w:val="-12"/>
          <w:sz w:val="20"/>
        </w:rPr>
        <w:t> </w:t>
      </w:r>
      <w:r>
        <w:rPr>
          <w:sz w:val="20"/>
        </w:rPr>
        <w:t>possess</w:t>
      </w:r>
      <w:r>
        <w:rPr>
          <w:spacing w:val="-10"/>
          <w:sz w:val="20"/>
        </w:rPr>
        <w:t> </w:t>
      </w:r>
      <w:r>
        <w:rPr>
          <w:sz w:val="20"/>
        </w:rPr>
        <w:t>the</w:t>
      </w:r>
      <w:r>
        <w:rPr>
          <w:spacing w:val="-12"/>
          <w:sz w:val="20"/>
        </w:rPr>
        <w:t> </w:t>
      </w:r>
      <w:r>
        <w:rPr>
          <w:sz w:val="20"/>
        </w:rPr>
        <w:t>financial</w:t>
      </w:r>
      <w:r>
        <w:rPr>
          <w:spacing w:val="-12"/>
          <w:sz w:val="20"/>
        </w:rPr>
        <w:t> </w:t>
      </w:r>
      <w:r>
        <w:rPr>
          <w:sz w:val="20"/>
        </w:rPr>
        <w:t>and</w:t>
      </w:r>
      <w:r>
        <w:rPr>
          <w:spacing w:val="-9"/>
          <w:sz w:val="20"/>
        </w:rPr>
        <w:t> </w:t>
      </w:r>
      <w:r>
        <w:rPr>
          <w:sz w:val="20"/>
        </w:rPr>
        <w:t>human</w:t>
      </w:r>
      <w:r>
        <w:rPr>
          <w:spacing w:val="-12"/>
          <w:sz w:val="20"/>
        </w:rPr>
        <w:t> </w:t>
      </w:r>
      <w:r>
        <w:rPr>
          <w:sz w:val="20"/>
        </w:rPr>
        <w:t>resources</w:t>
      </w:r>
      <w:r>
        <w:rPr>
          <w:spacing w:val="-10"/>
          <w:sz w:val="20"/>
        </w:rPr>
        <w:t> </w:t>
      </w:r>
      <w:r>
        <w:rPr>
          <w:sz w:val="20"/>
        </w:rPr>
        <w:t>and</w:t>
      </w:r>
      <w:r>
        <w:rPr>
          <w:spacing w:val="-12"/>
          <w:sz w:val="20"/>
        </w:rPr>
        <w:t> </w:t>
      </w:r>
      <w:r>
        <w:rPr>
          <w:sz w:val="20"/>
        </w:rPr>
        <w:t>systems</w:t>
      </w:r>
      <w:r>
        <w:rPr>
          <w:spacing w:val="-10"/>
          <w:sz w:val="20"/>
        </w:rPr>
        <w:t> </w:t>
      </w:r>
      <w:r>
        <w:rPr>
          <w:sz w:val="20"/>
        </w:rPr>
        <w:t>in</w:t>
      </w:r>
      <w:r>
        <w:rPr>
          <w:spacing w:val="-12"/>
          <w:sz w:val="20"/>
        </w:rPr>
        <w:t> </w:t>
      </w:r>
      <w:r>
        <w:rPr>
          <w:sz w:val="20"/>
        </w:rPr>
        <w:t>their tax function to manage and implement new rules and bear the additional compliance costs inherent in complying with the new taxing right, whereas smaller MNEs may struggle to assemble the necessary resources.</w:t>
      </w:r>
      <w:r>
        <w:rPr>
          <w:spacing w:val="-10"/>
          <w:sz w:val="20"/>
        </w:rPr>
        <w:t> </w:t>
      </w:r>
      <w:r>
        <w:rPr>
          <w:sz w:val="20"/>
        </w:rPr>
        <w:t>Equally,</w:t>
      </w:r>
      <w:r>
        <w:rPr>
          <w:spacing w:val="-6"/>
          <w:sz w:val="20"/>
        </w:rPr>
        <w:t> </w:t>
      </w:r>
      <w:r>
        <w:rPr>
          <w:sz w:val="20"/>
        </w:rPr>
        <w:t>the</w:t>
      </w:r>
      <w:r>
        <w:rPr>
          <w:spacing w:val="-8"/>
          <w:sz w:val="20"/>
        </w:rPr>
        <w:t> </w:t>
      </w:r>
      <w:r>
        <w:rPr>
          <w:sz w:val="20"/>
        </w:rPr>
        <w:t>Amount</w:t>
      </w:r>
      <w:r>
        <w:rPr>
          <w:spacing w:val="-7"/>
          <w:sz w:val="20"/>
        </w:rPr>
        <w:t> </w:t>
      </w:r>
      <w:r>
        <w:rPr>
          <w:sz w:val="20"/>
        </w:rPr>
        <w:t>A</w:t>
      </w:r>
      <w:r>
        <w:rPr>
          <w:spacing w:val="-8"/>
          <w:sz w:val="20"/>
        </w:rPr>
        <w:t> </w:t>
      </w:r>
      <w:r>
        <w:rPr>
          <w:sz w:val="20"/>
        </w:rPr>
        <w:t>that</w:t>
      </w:r>
      <w:r>
        <w:rPr>
          <w:spacing w:val="-6"/>
          <w:sz w:val="20"/>
        </w:rPr>
        <w:t> </w:t>
      </w:r>
      <w:r>
        <w:rPr>
          <w:sz w:val="20"/>
        </w:rPr>
        <w:t>would</w:t>
      </w:r>
      <w:r>
        <w:rPr>
          <w:spacing w:val="-8"/>
          <w:sz w:val="20"/>
        </w:rPr>
        <w:t> </w:t>
      </w:r>
      <w:r>
        <w:rPr>
          <w:sz w:val="20"/>
        </w:rPr>
        <w:t>be</w:t>
      </w:r>
      <w:r>
        <w:rPr>
          <w:spacing w:val="-7"/>
          <w:sz w:val="20"/>
        </w:rPr>
        <w:t> </w:t>
      </w:r>
      <w:r>
        <w:rPr>
          <w:sz w:val="20"/>
        </w:rPr>
        <w:t>available</w:t>
      </w:r>
      <w:r>
        <w:rPr>
          <w:spacing w:val="-8"/>
          <w:sz w:val="20"/>
        </w:rPr>
        <w:t> </w:t>
      </w:r>
      <w:r>
        <w:rPr>
          <w:sz w:val="20"/>
        </w:rPr>
        <w:t>to</w:t>
      </w:r>
      <w:r>
        <w:rPr>
          <w:spacing w:val="-7"/>
          <w:sz w:val="20"/>
        </w:rPr>
        <w:t> </w:t>
      </w:r>
      <w:r>
        <w:rPr>
          <w:sz w:val="20"/>
        </w:rPr>
        <w:t>be</w:t>
      </w:r>
      <w:r>
        <w:rPr>
          <w:spacing w:val="-8"/>
          <w:sz w:val="20"/>
        </w:rPr>
        <w:t> </w:t>
      </w:r>
      <w:r>
        <w:rPr>
          <w:sz w:val="20"/>
        </w:rPr>
        <w:t>potentially</w:t>
      </w:r>
      <w:r>
        <w:rPr>
          <w:spacing w:val="-10"/>
          <w:sz w:val="20"/>
        </w:rPr>
        <w:t> </w:t>
      </w:r>
      <w:r>
        <w:rPr>
          <w:sz w:val="20"/>
        </w:rPr>
        <w:t>allocated</w:t>
      </w:r>
      <w:r>
        <w:rPr>
          <w:spacing w:val="-4"/>
          <w:sz w:val="20"/>
        </w:rPr>
        <w:t> </w:t>
      </w:r>
      <w:r>
        <w:rPr>
          <w:sz w:val="20"/>
        </w:rPr>
        <w:t>to</w:t>
      </w:r>
      <w:r>
        <w:rPr>
          <w:spacing w:val="-7"/>
          <w:sz w:val="20"/>
        </w:rPr>
        <w:t> </w:t>
      </w:r>
      <w:r>
        <w:rPr>
          <w:sz w:val="20"/>
        </w:rPr>
        <w:t>market</w:t>
      </w:r>
      <w:r>
        <w:rPr>
          <w:spacing w:val="-8"/>
          <w:sz w:val="20"/>
        </w:rPr>
        <w:t> </w:t>
      </w:r>
      <w:r>
        <w:rPr>
          <w:sz w:val="20"/>
        </w:rPr>
        <w:t>jurisdictions from smaller MNEs will be limited in absolute terms, resulting in significant compliance costs in exchange for insignificant</w:t>
      </w:r>
      <w:r>
        <w:rPr>
          <w:spacing w:val="-3"/>
          <w:sz w:val="20"/>
        </w:rPr>
        <w:t> </w:t>
      </w:r>
      <w:r>
        <w:rPr>
          <w:sz w:val="20"/>
        </w:rPr>
        <w:t>benefits.</w:t>
      </w:r>
    </w:p>
    <w:p>
      <w:pPr>
        <w:pStyle w:val="ListParagraph"/>
        <w:numPr>
          <w:ilvl w:val="0"/>
          <w:numId w:val="13"/>
        </w:numPr>
        <w:tabs>
          <w:tab w:pos="1444" w:val="left" w:leader="none"/>
        </w:tabs>
        <w:spacing w:line="271" w:lineRule="auto" w:before="121" w:after="0"/>
        <w:ind w:left="723" w:right="476" w:firstLine="0"/>
        <w:jc w:val="both"/>
        <w:rPr>
          <w:sz w:val="20"/>
        </w:rPr>
      </w:pPr>
      <w:r>
        <w:rPr>
          <w:sz w:val="20"/>
        </w:rPr>
        <w:t>Similarly, even for larger MNEs that may be above a defined size threshold, if they have only a small amount of foreign revenue that is in scope the cost of compliance associated with Amount A may still exceed benefits.</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The</w:t>
      </w:r>
      <w:r>
        <w:rPr>
          <w:spacing w:val="-6"/>
          <w:sz w:val="20"/>
        </w:rPr>
        <w:t> </w:t>
      </w:r>
      <w:r>
        <w:rPr>
          <w:sz w:val="20"/>
        </w:rPr>
        <w:t>above</w:t>
      </w:r>
      <w:r>
        <w:rPr>
          <w:spacing w:val="-5"/>
          <w:sz w:val="20"/>
        </w:rPr>
        <w:t> </w:t>
      </w:r>
      <w:r>
        <w:rPr>
          <w:sz w:val="20"/>
        </w:rPr>
        <w:t>observations</w:t>
      </w:r>
      <w:r>
        <w:rPr>
          <w:spacing w:val="-4"/>
          <w:sz w:val="20"/>
        </w:rPr>
        <w:t> </w:t>
      </w:r>
      <w:r>
        <w:rPr>
          <w:sz w:val="20"/>
        </w:rPr>
        <w:t>are</w:t>
      </w:r>
      <w:r>
        <w:rPr>
          <w:spacing w:val="-3"/>
          <w:sz w:val="20"/>
        </w:rPr>
        <w:t> </w:t>
      </w:r>
      <w:r>
        <w:rPr>
          <w:sz w:val="20"/>
        </w:rPr>
        <w:t>particularly</w:t>
      </w:r>
      <w:r>
        <w:rPr>
          <w:spacing w:val="-7"/>
          <w:sz w:val="20"/>
        </w:rPr>
        <w:t> </w:t>
      </w:r>
      <w:r>
        <w:rPr>
          <w:sz w:val="20"/>
        </w:rPr>
        <w:t>true</w:t>
      </w:r>
      <w:r>
        <w:rPr>
          <w:spacing w:val="-3"/>
          <w:sz w:val="20"/>
        </w:rPr>
        <w:t> </w:t>
      </w:r>
      <w:r>
        <w:rPr>
          <w:sz w:val="20"/>
        </w:rPr>
        <w:t>when</w:t>
      </w:r>
      <w:r>
        <w:rPr>
          <w:spacing w:val="-6"/>
          <w:sz w:val="20"/>
        </w:rPr>
        <w:t> </w:t>
      </w:r>
      <w:r>
        <w:rPr>
          <w:sz w:val="20"/>
        </w:rPr>
        <w:t>considering</w:t>
      </w:r>
      <w:r>
        <w:rPr>
          <w:spacing w:val="-6"/>
          <w:sz w:val="20"/>
        </w:rPr>
        <w:t> </w:t>
      </w:r>
      <w:r>
        <w:rPr>
          <w:sz w:val="20"/>
        </w:rPr>
        <w:t>not</w:t>
      </w:r>
      <w:r>
        <w:rPr>
          <w:spacing w:val="-4"/>
          <w:sz w:val="20"/>
        </w:rPr>
        <w:t> </w:t>
      </w:r>
      <w:r>
        <w:rPr>
          <w:sz w:val="20"/>
        </w:rPr>
        <w:t>just</w:t>
      </w:r>
      <w:r>
        <w:rPr>
          <w:spacing w:val="-5"/>
          <w:sz w:val="20"/>
        </w:rPr>
        <w:t> </w:t>
      </w:r>
      <w:r>
        <w:rPr>
          <w:sz w:val="20"/>
        </w:rPr>
        <w:t>the</w:t>
      </w:r>
      <w:r>
        <w:rPr>
          <w:spacing w:val="-5"/>
          <w:sz w:val="20"/>
        </w:rPr>
        <w:t> </w:t>
      </w:r>
      <w:r>
        <w:rPr>
          <w:sz w:val="20"/>
        </w:rPr>
        <w:t>compliance</w:t>
      </w:r>
      <w:r>
        <w:rPr>
          <w:spacing w:val="-5"/>
          <w:sz w:val="20"/>
        </w:rPr>
        <w:t> </w:t>
      </w:r>
      <w:r>
        <w:rPr>
          <w:sz w:val="20"/>
        </w:rPr>
        <w:t>cost</w:t>
      </w:r>
      <w:r>
        <w:rPr>
          <w:spacing w:val="-4"/>
          <w:sz w:val="20"/>
        </w:rPr>
        <w:t> </w:t>
      </w:r>
      <w:r>
        <w:rPr>
          <w:sz w:val="20"/>
        </w:rPr>
        <w:t>of</w:t>
      </w:r>
      <w:r>
        <w:rPr>
          <w:spacing w:val="-3"/>
          <w:sz w:val="20"/>
        </w:rPr>
        <w:t> </w:t>
      </w:r>
      <w:r>
        <w:rPr>
          <w:sz w:val="20"/>
        </w:rPr>
        <w:t>the MNE but also taking into account the wider administration cost for tax administrations that would be required</w:t>
      </w:r>
      <w:r>
        <w:rPr>
          <w:spacing w:val="-9"/>
          <w:sz w:val="20"/>
        </w:rPr>
        <w:t> </w:t>
      </w:r>
      <w:r>
        <w:rPr>
          <w:sz w:val="20"/>
        </w:rPr>
        <w:t>to</w:t>
      </w:r>
      <w:r>
        <w:rPr>
          <w:spacing w:val="-7"/>
          <w:sz w:val="20"/>
        </w:rPr>
        <w:t> </w:t>
      </w:r>
      <w:r>
        <w:rPr>
          <w:sz w:val="20"/>
        </w:rPr>
        <w:t>process</w:t>
      </w:r>
      <w:r>
        <w:rPr>
          <w:spacing w:val="-8"/>
          <w:sz w:val="20"/>
        </w:rPr>
        <w:t> </w:t>
      </w:r>
      <w:r>
        <w:rPr>
          <w:sz w:val="20"/>
        </w:rPr>
        <w:t>and</w:t>
      </w:r>
      <w:r>
        <w:rPr>
          <w:spacing w:val="-7"/>
          <w:sz w:val="20"/>
        </w:rPr>
        <w:t> </w:t>
      </w:r>
      <w:r>
        <w:rPr>
          <w:sz w:val="20"/>
        </w:rPr>
        <w:t>verify</w:t>
      </w:r>
      <w:r>
        <w:rPr>
          <w:spacing w:val="-12"/>
          <w:sz w:val="20"/>
        </w:rPr>
        <w:t> </w:t>
      </w:r>
      <w:r>
        <w:rPr>
          <w:sz w:val="20"/>
        </w:rPr>
        <w:t>compliance</w:t>
      </w:r>
      <w:r>
        <w:rPr>
          <w:spacing w:val="-8"/>
          <w:sz w:val="20"/>
        </w:rPr>
        <w:t> </w:t>
      </w:r>
      <w:r>
        <w:rPr>
          <w:sz w:val="20"/>
        </w:rPr>
        <w:t>for</w:t>
      </w:r>
      <w:r>
        <w:rPr>
          <w:spacing w:val="-8"/>
          <w:sz w:val="20"/>
        </w:rPr>
        <w:t> </w:t>
      </w:r>
      <w:r>
        <w:rPr>
          <w:sz w:val="20"/>
        </w:rPr>
        <w:t>a</w:t>
      </w:r>
      <w:r>
        <w:rPr>
          <w:spacing w:val="-9"/>
          <w:sz w:val="20"/>
        </w:rPr>
        <w:t> </w:t>
      </w:r>
      <w:r>
        <w:rPr>
          <w:sz w:val="20"/>
        </w:rPr>
        <w:t>large</w:t>
      </w:r>
      <w:r>
        <w:rPr>
          <w:spacing w:val="-9"/>
          <w:sz w:val="20"/>
        </w:rPr>
        <w:t> </w:t>
      </w:r>
      <w:r>
        <w:rPr>
          <w:sz w:val="20"/>
        </w:rPr>
        <w:t>number</w:t>
      </w:r>
      <w:r>
        <w:rPr>
          <w:spacing w:val="-8"/>
          <w:sz w:val="20"/>
        </w:rPr>
        <w:t> </w:t>
      </w:r>
      <w:r>
        <w:rPr>
          <w:sz w:val="20"/>
        </w:rPr>
        <w:t>of</w:t>
      </w:r>
      <w:r>
        <w:rPr>
          <w:spacing w:val="-7"/>
          <w:sz w:val="20"/>
        </w:rPr>
        <w:t> </w:t>
      </w:r>
      <w:r>
        <w:rPr>
          <w:sz w:val="20"/>
        </w:rPr>
        <w:t>taxpayers,</w:t>
      </w:r>
      <w:r>
        <w:rPr>
          <w:spacing w:val="-8"/>
          <w:sz w:val="20"/>
        </w:rPr>
        <w:t> </w:t>
      </w:r>
      <w:r>
        <w:rPr>
          <w:sz w:val="20"/>
        </w:rPr>
        <w:t>whether</w:t>
      </w:r>
      <w:r>
        <w:rPr>
          <w:spacing w:val="-8"/>
          <w:sz w:val="20"/>
        </w:rPr>
        <w:t> </w:t>
      </w:r>
      <w:r>
        <w:rPr>
          <w:sz w:val="20"/>
        </w:rPr>
        <w:t>as</w:t>
      </w:r>
      <w:r>
        <w:rPr>
          <w:spacing w:val="-8"/>
          <w:sz w:val="20"/>
        </w:rPr>
        <w:t> </w:t>
      </w:r>
      <w:r>
        <w:rPr>
          <w:sz w:val="20"/>
        </w:rPr>
        <w:t>part</w:t>
      </w:r>
      <w:r>
        <w:rPr>
          <w:spacing w:val="-9"/>
          <w:sz w:val="20"/>
        </w:rPr>
        <w:t> </w:t>
      </w:r>
      <w:r>
        <w:rPr>
          <w:sz w:val="20"/>
        </w:rPr>
        <w:t>of</w:t>
      </w:r>
      <w:r>
        <w:rPr>
          <w:spacing w:val="-1"/>
          <w:sz w:val="20"/>
        </w:rPr>
        <w:t> </w:t>
      </w:r>
      <w:r>
        <w:rPr>
          <w:sz w:val="20"/>
        </w:rPr>
        <w:t>the</w:t>
      </w:r>
      <w:r>
        <w:rPr>
          <w:spacing w:val="-9"/>
          <w:sz w:val="20"/>
        </w:rPr>
        <w:t> </w:t>
      </w:r>
      <w:r>
        <w:rPr>
          <w:sz w:val="20"/>
        </w:rPr>
        <w:t>early</w:t>
      </w:r>
      <w:r>
        <w:rPr>
          <w:spacing w:val="-12"/>
          <w:sz w:val="20"/>
        </w:rPr>
        <w:t> </w:t>
      </w:r>
      <w:r>
        <w:rPr>
          <w:sz w:val="20"/>
        </w:rPr>
        <w:t>tax certainty process or</w:t>
      </w:r>
      <w:r>
        <w:rPr>
          <w:spacing w:val="-6"/>
          <w:sz w:val="20"/>
        </w:rPr>
        <w:t> </w:t>
      </w:r>
      <w:r>
        <w:rPr>
          <w:sz w:val="20"/>
        </w:rPr>
        <w:t>otherwise.</w:t>
      </w:r>
    </w:p>
    <w:p>
      <w:pPr>
        <w:pStyle w:val="ListParagraph"/>
        <w:numPr>
          <w:ilvl w:val="0"/>
          <w:numId w:val="13"/>
        </w:numPr>
        <w:tabs>
          <w:tab w:pos="1444" w:val="left" w:leader="none"/>
        </w:tabs>
        <w:spacing w:line="240" w:lineRule="auto" w:before="119" w:after="0"/>
        <w:ind w:left="1443" w:right="0" w:hanging="721"/>
        <w:jc w:val="both"/>
        <w:rPr>
          <w:sz w:val="20"/>
        </w:rPr>
      </w:pPr>
      <w:r>
        <w:rPr>
          <w:sz w:val="20"/>
        </w:rPr>
        <w:t>Against this backdrop, this Blueprint contains two thresholds designed to achieve</w:t>
      </w:r>
      <w:r>
        <w:rPr>
          <w:spacing w:val="-10"/>
          <w:sz w:val="20"/>
        </w:rPr>
        <w:t> </w:t>
      </w:r>
      <w:r>
        <w:rPr>
          <w:sz w:val="20"/>
        </w:rPr>
        <w:t>this:</w:t>
      </w:r>
    </w:p>
    <w:p>
      <w:pPr>
        <w:pStyle w:val="ListParagraph"/>
        <w:numPr>
          <w:ilvl w:val="0"/>
          <w:numId w:val="16"/>
        </w:numPr>
        <w:tabs>
          <w:tab w:pos="1402" w:val="left" w:leader="none"/>
          <w:tab w:pos="1403" w:val="left" w:leader="none"/>
        </w:tabs>
        <w:spacing w:line="240" w:lineRule="auto" w:before="131" w:after="0"/>
        <w:ind w:left="1402" w:right="0" w:hanging="339"/>
        <w:jc w:val="left"/>
        <w:rPr>
          <w:sz w:val="20"/>
        </w:rPr>
      </w:pPr>
      <w:r>
        <w:rPr>
          <w:sz w:val="20"/>
        </w:rPr>
        <w:t>a global revenue test;</w:t>
      </w:r>
      <w:r>
        <w:rPr>
          <w:spacing w:val="-2"/>
          <w:sz w:val="20"/>
        </w:rPr>
        <w:t> </w:t>
      </w:r>
      <w:r>
        <w:rPr>
          <w:sz w:val="20"/>
        </w:rPr>
        <w:t>and</w:t>
      </w:r>
    </w:p>
    <w:p>
      <w:pPr>
        <w:pStyle w:val="ListParagraph"/>
        <w:numPr>
          <w:ilvl w:val="0"/>
          <w:numId w:val="16"/>
        </w:numPr>
        <w:tabs>
          <w:tab w:pos="1402" w:val="left" w:leader="none"/>
          <w:tab w:pos="1403" w:val="left" w:leader="none"/>
        </w:tabs>
        <w:spacing w:line="240" w:lineRule="auto" w:before="74" w:after="0"/>
        <w:ind w:left="1402" w:right="0" w:hanging="339"/>
        <w:jc w:val="left"/>
        <w:rPr>
          <w:sz w:val="20"/>
        </w:rPr>
      </w:pPr>
      <w:r>
        <w:rPr>
          <w:sz w:val="20"/>
        </w:rPr>
        <w:t>a de minimis foreign in-scope revenue</w:t>
      </w:r>
      <w:r>
        <w:rPr>
          <w:spacing w:val="-9"/>
          <w:sz w:val="20"/>
        </w:rPr>
        <w:t> </w:t>
      </w:r>
      <w:r>
        <w:rPr>
          <w:sz w:val="20"/>
        </w:rPr>
        <w:t>test.</w:t>
      </w:r>
    </w:p>
    <w:p>
      <w:pPr>
        <w:pStyle w:val="BodyText"/>
        <w:spacing w:before="5"/>
        <w:rPr>
          <w:sz w:val="26"/>
        </w:rPr>
      </w:pPr>
    </w:p>
    <w:p>
      <w:pPr>
        <w:pStyle w:val="Heading6"/>
        <w:numPr>
          <w:ilvl w:val="2"/>
          <w:numId w:val="7"/>
        </w:numPr>
        <w:tabs>
          <w:tab w:pos="2015" w:val="left" w:leader="none"/>
        </w:tabs>
        <w:spacing w:line="240" w:lineRule="auto" w:before="0" w:after="0"/>
        <w:ind w:left="2014" w:right="0" w:hanging="613"/>
        <w:jc w:val="left"/>
        <w:rPr>
          <w:i/>
        </w:rPr>
      </w:pPr>
      <w:bookmarkStart w:name="2.3.1. Global revenue test" w:id="74"/>
      <w:bookmarkEnd w:id="74"/>
      <w:r>
        <w:rPr>
          <w:b w:val="0"/>
          <w:i w:val="0"/>
        </w:rPr>
      </w:r>
      <w:bookmarkStart w:name="2.3.1. Global revenue test" w:id="75"/>
      <w:bookmarkEnd w:id="75"/>
      <w:r>
        <w:rPr>
          <w:i/>
        </w:rPr>
        <w:t>Glo</w:t>
      </w:r>
      <w:r>
        <w:rPr>
          <w:i/>
        </w:rPr>
        <w:t>bal revenue</w:t>
      </w:r>
      <w:r>
        <w:rPr>
          <w:i/>
          <w:spacing w:val="-4"/>
        </w:rPr>
        <w:t> </w:t>
      </w:r>
      <w:r>
        <w:rPr>
          <w:i/>
        </w:rPr>
        <w:t>test</w:t>
      </w:r>
    </w:p>
    <w:p>
      <w:pPr>
        <w:pStyle w:val="ListParagraph"/>
        <w:numPr>
          <w:ilvl w:val="0"/>
          <w:numId w:val="13"/>
        </w:numPr>
        <w:tabs>
          <w:tab w:pos="1444" w:val="left" w:leader="none"/>
        </w:tabs>
        <w:spacing w:line="276" w:lineRule="auto" w:before="216" w:after="0"/>
        <w:ind w:left="723" w:right="482" w:firstLine="0"/>
        <w:jc w:val="both"/>
        <w:rPr>
          <w:sz w:val="20"/>
        </w:rPr>
      </w:pPr>
      <w:r>
        <w:rPr>
          <w:sz w:val="20"/>
        </w:rPr>
        <w:t>Gross</w:t>
      </w:r>
      <w:r>
        <w:rPr>
          <w:spacing w:val="-10"/>
          <w:sz w:val="20"/>
        </w:rPr>
        <w:t> </w:t>
      </w:r>
      <w:r>
        <w:rPr>
          <w:sz w:val="20"/>
        </w:rPr>
        <w:t>revenue</w:t>
      </w:r>
      <w:r>
        <w:rPr>
          <w:sz w:val="20"/>
          <w:vertAlign w:val="superscript"/>
        </w:rPr>
        <w:t>36</w:t>
      </w:r>
      <w:r>
        <w:rPr>
          <w:spacing w:val="-8"/>
          <w:sz w:val="20"/>
          <w:vertAlign w:val="baseline"/>
        </w:rPr>
        <w:t> </w:t>
      </w:r>
      <w:r>
        <w:rPr>
          <w:sz w:val="20"/>
          <w:vertAlign w:val="baseline"/>
        </w:rPr>
        <w:t>would</w:t>
      </w:r>
      <w:r>
        <w:rPr>
          <w:spacing w:val="-9"/>
          <w:sz w:val="20"/>
          <w:vertAlign w:val="baseline"/>
        </w:rPr>
        <w:t> </w:t>
      </w:r>
      <w:r>
        <w:rPr>
          <w:sz w:val="20"/>
          <w:vertAlign w:val="baseline"/>
        </w:rPr>
        <w:t>seem</w:t>
      </w:r>
      <w:r>
        <w:rPr>
          <w:spacing w:val="-9"/>
          <w:sz w:val="20"/>
          <w:vertAlign w:val="baseline"/>
        </w:rPr>
        <w:t> </w:t>
      </w:r>
      <w:r>
        <w:rPr>
          <w:sz w:val="20"/>
          <w:vertAlign w:val="baseline"/>
        </w:rPr>
        <w:t>to</w:t>
      </w:r>
      <w:r>
        <w:rPr>
          <w:spacing w:val="-8"/>
          <w:sz w:val="20"/>
          <w:vertAlign w:val="baseline"/>
        </w:rPr>
        <w:t> </w:t>
      </w:r>
      <w:r>
        <w:rPr>
          <w:sz w:val="20"/>
          <w:vertAlign w:val="baseline"/>
        </w:rPr>
        <w:t>be</w:t>
      </w:r>
      <w:r>
        <w:rPr>
          <w:spacing w:val="-10"/>
          <w:sz w:val="20"/>
          <w:vertAlign w:val="baseline"/>
        </w:rPr>
        <w:t> </w:t>
      </w:r>
      <w:r>
        <w:rPr>
          <w:sz w:val="20"/>
          <w:vertAlign w:val="baseline"/>
        </w:rPr>
        <w:t>the</w:t>
      </w:r>
      <w:r>
        <w:rPr>
          <w:spacing w:val="-9"/>
          <w:sz w:val="20"/>
          <w:vertAlign w:val="baseline"/>
        </w:rPr>
        <w:t> </w:t>
      </w:r>
      <w:r>
        <w:rPr>
          <w:sz w:val="20"/>
          <w:vertAlign w:val="baseline"/>
        </w:rPr>
        <w:t>easiest</w:t>
      </w:r>
      <w:r>
        <w:rPr>
          <w:spacing w:val="-10"/>
          <w:sz w:val="20"/>
          <w:vertAlign w:val="baseline"/>
        </w:rPr>
        <w:t> </w:t>
      </w:r>
      <w:r>
        <w:rPr>
          <w:sz w:val="20"/>
          <w:vertAlign w:val="baseline"/>
        </w:rPr>
        <w:t>metric</w:t>
      </w:r>
      <w:r>
        <w:rPr>
          <w:spacing w:val="-10"/>
          <w:sz w:val="20"/>
          <w:vertAlign w:val="baseline"/>
        </w:rPr>
        <w:t> </w:t>
      </w:r>
      <w:r>
        <w:rPr>
          <w:sz w:val="20"/>
          <w:vertAlign w:val="baseline"/>
        </w:rPr>
        <w:t>to</w:t>
      </w:r>
      <w:r>
        <w:rPr>
          <w:spacing w:val="-7"/>
          <w:sz w:val="20"/>
          <w:vertAlign w:val="baseline"/>
        </w:rPr>
        <w:t> </w:t>
      </w:r>
      <w:r>
        <w:rPr>
          <w:sz w:val="20"/>
          <w:vertAlign w:val="baseline"/>
        </w:rPr>
        <w:t>use</w:t>
      </w:r>
      <w:r>
        <w:rPr>
          <w:spacing w:val="-11"/>
          <w:sz w:val="20"/>
          <w:vertAlign w:val="baseline"/>
        </w:rPr>
        <w:t> </w:t>
      </w:r>
      <w:r>
        <w:rPr>
          <w:sz w:val="20"/>
          <w:vertAlign w:val="baseline"/>
        </w:rPr>
        <w:t>for</w:t>
      </w:r>
      <w:r>
        <w:rPr>
          <w:spacing w:val="-10"/>
          <w:sz w:val="20"/>
          <w:vertAlign w:val="baseline"/>
        </w:rPr>
        <w:t> </w:t>
      </w:r>
      <w:r>
        <w:rPr>
          <w:sz w:val="20"/>
          <w:vertAlign w:val="baseline"/>
        </w:rPr>
        <w:t>determining</w:t>
      </w:r>
      <w:r>
        <w:rPr>
          <w:spacing w:val="-12"/>
          <w:sz w:val="20"/>
          <w:vertAlign w:val="baseline"/>
        </w:rPr>
        <w:t> </w:t>
      </w:r>
      <w:r>
        <w:rPr>
          <w:sz w:val="20"/>
          <w:vertAlign w:val="baseline"/>
        </w:rPr>
        <w:t>size.</w:t>
      </w:r>
      <w:r>
        <w:rPr>
          <w:spacing w:val="-8"/>
          <w:sz w:val="20"/>
          <w:vertAlign w:val="baseline"/>
        </w:rPr>
        <w:t> </w:t>
      </w:r>
      <w:r>
        <w:rPr>
          <w:sz w:val="20"/>
          <w:vertAlign w:val="baseline"/>
        </w:rPr>
        <w:t>A</w:t>
      </w:r>
      <w:r>
        <w:rPr>
          <w:spacing w:val="-9"/>
          <w:sz w:val="20"/>
          <w:vertAlign w:val="baseline"/>
        </w:rPr>
        <w:t> </w:t>
      </w:r>
      <w:r>
        <w:rPr>
          <w:sz w:val="20"/>
          <w:vertAlign w:val="baseline"/>
        </w:rPr>
        <w:t>gross</w:t>
      </w:r>
      <w:r>
        <w:rPr>
          <w:spacing w:val="-9"/>
          <w:sz w:val="20"/>
          <w:vertAlign w:val="baseline"/>
        </w:rPr>
        <w:t> </w:t>
      </w:r>
      <w:r>
        <w:rPr>
          <w:sz w:val="20"/>
          <w:vertAlign w:val="baseline"/>
        </w:rPr>
        <w:t>revenue test</w:t>
      </w:r>
      <w:r>
        <w:rPr>
          <w:spacing w:val="21"/>
          <w:sz w:val="20"/>
          <w:vertAlign w:val="baseline"/>
        </w:rPr>
        <w:t> </w:t>
      </w:r>
      <w:r>
        <w:rPr>
          <w:sz w:val="20"/>
          <w:vertAlign w:val="baseline"/>
        </w:rPr>
        <w:t>would</w:t>
      </w:r>
      <w:r>
        <w:rPr>
          <w:spacing w:val="22"/>
          <w:sz w:val="20"/>
          <w:vertAlign w:val="baseline"/>
        </w:rPr>
        <w:t> </w:t>
      </w:r>
      <w:r>
        <w:rPr>
          <w:sz w:val="20"/>
          <w:vertAlign w:val="baseline"/>
        </w:rPr>
        <w:t>allow</w:t>
      </w:r>
      <w:r>
        <w:rPr>
          <w:spacing w:val="20"/>
          <w:sz w:val="20"/>
          <w:vertAlign w:val="baseline"/>
        </w:rPr>
        <w:t> </w:t>
      </w:r>
      <w:r>
        <w:rPr>
          <w:sz w:val="20"/>
          <w:vertAlign w:val="baseline"/>
        </w:rPr>
        <w:t>excluding</w:t>
      </w:r>
      <w:r>
        <w:rPr>
          <w:spacing w:val="22"/>
          <w:sz w:val="20"/>
          <w:vertAlign w:val="baseline"/>
        </w:rPr>
        <w:t> </w:t>
      </w:r>
      <w:r>
        <w:rPr>
          <w:sz w:val="20"/>
          <w:vertAlign w:val="baseline"/>
        </w:rPr>
        <w:t>“smaller”</w:t>
      </w:r>
      <w:r>
        <w:rPr>
          <w:spacing w:val="21"/>
          <w:sz w:val="20"/>
          <w:vertAlign w:val="baseline"/>
        </w:rPr>
        <w:t> </w:t>
      </w:r>
      <w:r>
        <w:rPr>
          <w:sz w:val="20"/>
          <w:vertAlign w:val="baseline"/>
        </w:rPr>
        <w:t>MNEs</w:t>
      </w:r>
      <w:r>
        <w:rPr>
          <w:spacing w:val="21"/>
          <w:sz w:val="20"/>
          <w:vertAlign w:val="baseline"/>
        </w:rPr>
        <w:t> </w:t>
      </w:r>
      <w:r>
        <w:rPr>
          <w:sz w:val="20"/>
          <w:vertAlign w:val="baseline"/>
        </w:rPr>
        <w:t>on</w:t>
      </w:r>
      <w:r>
        <w:rPr>
          <w:spacing w:val="19"/>
          <w:sz w:val="20"/>
          <w:vertAlign w:val="baseline"/>
        </w:rPr>
        <w:t> </w:t>
      </w:r>
      <w:r>
        <w:rPr>
          <w:sz w:val="20"/>
          <w:vertAlign w:val="baseline"/>
        </w:rPr>
        <w:t>the</w:t>
      </w:r>
      <w:r>
        <w:rPr>
          <w:spacing w:val="22"/>
          <w:sz w:val="20"/>
          <w:vertAlign w:val="baseline"/>
        </w:rPr>
        <w:t> </w:t>
      </w:r>
      <w:r>
        <w:rPr>
          <w:sz w:val="20"/>
          <w:vertAlign w:val="baseline"/>
        </w:rPr>
        <w:t>basis</w:t>
      </w:r>
      <w:r>
        <w:rPr>
          <w:spacing w:val="21"/>
          <w:sz w:val="20"/>
          <w:vertAlign w:val="baseline"/>
        </w:rPr>
        <w:t> </w:t>
      </w:r>
      <w:r>
        <w:rPr>
          <w:sz w:val="20"/>
          <w:vertAlign w:val="baseline"/>
        </w:rPr>
        <w:t>of</w:t>
      </w:r>
      <w:r>
        <w:rPr>
          <w:spacing w:val="22"/>
          <w:sz w:val="20"/>
          <w:vertAlign w:val="baseline"/>
        </w:rPr>
        <w:t> </w:t>
      </w:r>
      <w:r>
        <w:rPr>
          <w:sz w:val="20"/>
          <w:vertAlign w:val="baseline"/>
        </w:rPr>
        <w:t>the</w:t>
      </w:r>
      <w:r>
        <w:rPr>
          <w:spacing w:val="24"/>
          <w:sz w:val="20"/>
          <w:vertAlign w:val="baseline"/>
        </w:rPr>
        <w:t> </w:t>
      </w:r>
      <w:r>
        <w:rPr>
          <w:sz w:val="20"/>
          <w:vertAlign w:val="baseline"/>
        </w:rPr>
        <w:t>annual</w:t>
      </w:r>
      <w:r>
        <w:rPr>
          <w:spacing w:val="19"/>
          <w:sz w:val="20"/>
          <w:vertAlign w:val="baseline"/>
        </w:rPr>
        <w:t> </w:t>
      </w:r>
      <w:r>
        <w:rPr>
          <w:sz w:val="20"/>
          <w:vertAlign w:val="baseline"/>
        </w:rPr>
        <w:t>consolidated</w:t>
      </w:r>
      <w:r>
        <w:rPr>
          <w:spacing w:val="19"/>
          <w:sz w:val="20"/>
          <w:vertAlign w:val="baseline"/>
        </w:rPr>
        <w:t> </w:t>
      </w:r>
      <w:r>
        <w:rPr>
          <w:sz w:val="20"/>
          <w:vertAlign w:val="baseline"/>
        </w:rPr>
        <w:t>group</w:t>
      </w:r>
      <w:r>
        <w:rPr>
          <w:spacing w:val="19"/>
          <w:sz w:val="20"/>
          <w:vertAlign w:val="baseline"/>
        </w:rPr>
        <w:t> </w:t>
      </w:r>
      <w:r>
        <w:rPr>
          <w:sz w:val="20"/>
          <w:vertAlign w:val="baseline"/>
        </w:rPr>
        <w:t>revenue,</w:t>
      </w:r>
      <w:r>
        <w:rPr>
          <w:spacing w:val="20"/>
          <w:sz w:val="20"/>
          <w:vertAlign w:val="baseline"/>
        </w:rPr>
        <w:t> </w:t>
      </w:r>
      <w:r>
        <w:rPr>
          <w:sz w:val="20"/>
          <w:vertAlign w:val="baseline"/>
        </w:rPr>
        <w:t>as</w:t>
      </w:r>
    </w:p>
    <w:p>
      <w:pPr>
        <w:pStyle w:val="BodyText"/>
      </w:pPr>
    </w:p>
    <w:p>
      <w:pPr>
        <w:pStyle w:val="BodyText"/>
      </w:pPr>
    </w:p>
    <w:p>
      <w:pPr>
        <w:pStyle w:val="BodyText"/>
        <w:spacing w:before="9"/>
        <w:rPr>
          <w:sz w:val="11"/>
        </w:rPr>
      </w:pPr>
      <w:r>
        <w:rPr/>
        <w:pict>
          <v:rect style="position:absolute;margin-left:65.183998pt;margin-top:8.770937pt;width:144.020004pt;height:.599980pt;mso-position-horizontal-relative:page;mso-position-vertical-relative:paragraph;z-index:-15685632;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28" w:val="left" w:leader="none"/>
        </w:tabs>
        <w:spacing w:line="278" w:lineRule="auto" w:before="94" w:after="0"/>
        <w:ind w:left="723" w:right="479" w:firstLine="0"/>
        <w:jc w:val="left"/>
        <w:rPr>
          <w:sz w:val="18"/>
        </w:rPr>
      </w:pPr>
      <w:r>
        <w:rPr>
          <w:sz w:val="18"/>
        </w:rPr>
        <w:t>No decision has yet been taken by the Inclusive Framework on the amount or design of the revenue thresholds for the</w:t>
      </w:r>
      <w:r>
        <w:rPr>
          <w:spacing w:val="-6"/>
          <w:sz w:val="18"/>
        </w:rPr>
        <w:t> </w:t>
      </w:r>
      <w:r>
        <w:rPr>
          <w:sz w:val="18"/>
        </w:rPr>
        <w:t>application</w:t>
      </w:r>
      <w:r>
        <w:rPr>
          <w:spacing w:val="-6"/>
          <w:sz w:val="18"/>
        </w:rPr>
        <w:t> </w:t>
      </w:r>
      <w:r>
        <w:rPr>
          <w:sz w:val="18"/>
        </w:rPr>
        <w:t>of</w:t>
      </w:r>
      <w:r>
        <w:rPr>
          <w:spacing w:val="-7"/>
          <w:sz w:val="18"/>
        </w:rPr>
        <w:t> </w:t>
      </w:r>
      <w:r>
        <w:rPr>
          <w:sz w:val="18"/>
        </w:rPr>
        <w:t>Amount</w:t>
      </w:r>
      <w:r>
        <w:rPr>
          <w:spacing w:val="-6"/>
          <w:sz w:val="18"/>
        </w:rPr>
        <w:t> </w:t>
      </w:r>
      <w:r>
        <w:rPr>
          <w:sz w:val="18"/>
        </w:rPr>
        <w:t>A.</w:t>
      </w:r>
      <w:r>
        <w:rPr>
          <w:spacing w:val="-7"/>
          <w:sz w:val="18"/>
        </w:rPr>
        <w:t> </w:t>
      </w:r>
      <w:r>
        <w:rPr>
          <w:sz w:val="18"/>
        </w:rPr>
        <w:t>Further</w:t>
      </w:r>
      <w:r>
        <w:rPr>
          <w:spacing w:val="-7"/>
          <w:sz w:val="18"/>
        </w:rPr>
        <w:t> </w:t>
      </w:r>
      <w:r>
        <w:rPr>
          <w:sz w:val="18"/>
        </w:rPr>
        <w:t>work</w:t>
      </w:r>
      <w:r>
        <w:rPr>
          <w:spacing w:val="-6"/>
          <w:sz w:val="18"/>
        </w:rPr>
        <w:t> </w:t>
      </w:r>
      <w:r>
        <w:rPr>
          <w:sz w:val="18"/>
        </w:rPr>
        <w:t>will</w:t>
      </w:r>
      <w:r>
        <w:rPr>
          <w:spacing w:val="-5"/>
          <w:sz w:val="18"/>
        </w:rPr>
        <w:t> </w:t>
      </w:r>
      <w:r>
        <w:rPr>
          <w:sz w:val="18"/>
        </w:rPr>
        <w:t>be</w:t>
      </w:r>
      <w:r>
        <w:rPr>
          <w:spacing w:val="-6"/>
          <w:sz w:val="18"/>
        </w:rPr>
        <w:t> </w:t>
      </w:r>
      <w:r>
        <w:rPr>
          <w:sz w:val="18"/>
        </w:rPr>
        <w:t>required</w:t>
      </w:r>
      <w:r>
        <w:rPr>
          <w:spacing w:val="-6"/>
          <w:sz w:val="18"/>
        </w:rPr>
        <w:t> </w:t>
      </w:r>
      <w:r>
        <w:rPr>
          <w:sz w:val="18"/>
        </w:rPr>
        <w:t>to</w:t>
      </w:r>
      <w:r>
        <w:rPr>
          <w:spacing w:val="-6"/>
          <w:sz w:val="18"/>
        </w:rPr>
        <w:t> </w:t>
      </w:r>
      <w:r>
        <w:rPr>
          <w:sz w:val="18"/>
        </w:rPr>
        <w:t>determine</w:t>
      </w:r>
      <w:r>
        <w:rPr>
          <w:spacing w:val="-8"/>
          <w:sz w:val="18"/>
        </w:rPr>
        <w:t> </w:t>
      </w:r>
      <w:r>
        <w:rPr>
          <w:sz w:val="18"/>
        </w:rPr>
        <w:t>if</w:t>
      </w:r>
      <w:r>
        <w:rPr>
          <w:spacing w:val="-7"/>
          <w:sz w:val="18"/>
        </w:rPr>
        <w:t> </w:t>
      </w:r>
      <w:r>
        <w:rPr>
          <w:sz w:val="18"/>
        </w:rPr>
        <w:t>the</w:t>
      </w:r>
      <w:r>
        <w:rPr>
          <w:spacing w:val="-9"/>
          <w:sz w:val="18"/>
        </w:rPr>
        <w:t> </w:t>
      </w:r>
      <w:r>
        <w:rPr>
          <w:sz w:val="18"/>
        </w:rPr>
        <w:t>existing</w:t>
      </w:r>
      <w:r>
        <w:rPr>
          <w:spacing w:val="-5"/>
          <w:sz w:val="18"/>
        </w:rPr>
        <w:t> </w:t>
      </w:r>
      <w:r>
        <w:rPr>
          <w:sz w:val="18"/>
        </w:rPr>
        <w:t>definition</w:t>
      </w:r>
      <w:r>
        <w:rPr>
          <w:spacing w:val="-6"/>
          <w:sz w:val="18"/>
        </w:rPr>
        <w:t> </w:t>
      </w:r>
      <w:r>
        <w:rPr>
          <w:sz w:val="18"/>
        </w:rPr>
        <w:t>of</w:t>
      </w:r>
      <w:r>
        <w:rPr>
          <w:spacing w:val="-7"/>
          <w:sz w:val="18"/>
        </w:rPr>
        <w:t> </w:t>
      </w:r>
      <w:r>
        <w:rPr>
          <w:sz w:val="18"/>
        </w:rPr>
        <w:t>revenue</w:t>
      </w:r>
      <w:r>
        <w:rPr>
          <w:spacing w:val="1"/>
          <w:sz w:val="18"/>
        </w:rPr>
        <w:t> </w:t>
      </w:r>
      <w:r>
        <w:rPr>
          <w:sz w:val="18"/>
        </w:rPr>
        <w:t>provided</w:t>
      </w:r>
      <w:r>
        <w:rPr>
          <w:spacing w:val="-6"/>
          <w:sz w:val="18"/>
        </w:rPr>
        <w:t> </w:t>
      </w:r>
      <w:r>
        <w:rPr>
          <w:sz w:val="18"/>
        </w:rPr>
        <w:t>by</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68" w:lineRule="auto" w:before="93"/>
        <w:ind w:left="723" w:right="480"/>
        <w:jc w:val="both"/>
      </w:pPr>
      <w:r>
        <w:rPr/>
        <w:t>shown in its consolidated financial statements. This then raises the question of where to set the level of consolidated revenue. Considering the costs and benefits, there may be little advantage in using a threshold</w:t>
      </w:r>
      <w:r>
        <w:rPr>
          <w:spacing w:val="-10"/>
        </w:rPr>
        <w:t> </w:t>
      </w:r>
      <w:r>
        <w:rPr/>
        <w:t>below</w:t>
      </w:r>
      <w:r>
        <w:rPr>
          <w:spacing w:val="-11"/>
        </w:rPr>
        <w:t> </w:t>
      </w:r>
      <w:r>
        <w:rPr/>
        <w:t>the</w:t>
      </w:r>
      <w:r>
        <w:rPr>
          <w:spacing w:val="-9"/>
        </w:rPr>
        <w:t> </w:t>
      </w:r>
      <w:r>
        <w:rPr/>
        <w:t>current</w:t>
      </w:r>
      <w:r>
        <w:rPr>
          <w:spacing w:val="-6"/>
        </w:rPr>
        <w:t> </w:t>
      </w:r>
      <w:r>
        <w:rPr/>
        <w:t>EUR</w:t>
      </w:r>
      <w:r>
        <w:rPr>
          <w:spacing w:val="-9"/>
        </w:rPr>
        <w:t> </w:t>
      </w:r>
      <w:r>
        <w:rPr/>
        <w:t>750</w:t>
      </w:r>
      <w:r>
        <w:rPr>
          <w:spacing w:val="-7"/>
        </w:rPr>
        <w:t> </w:t>
      </w:r>
      <w:r>
        <w:rPr/>
        <w:t>million</w:t>
      </w:r>
      <w:r>
        <w:rPr>
          <w:spacing w:val="-9"/>
        </w:rPr>
        <w:t> </w:t>
      </w:r>
      <w:r>
        <w:rPr/>
        <w:t>threshold</w:t>
      </w:r>
      <w:r>
        <w:rPr>
          <w:spacing w:val="-9"/>
        </w:rPr>
        <w:t> </w:t>
      </w:r>
      <w:r>
        <w:rPr/>
        <w:t>that</w:t>
      </w:r>
      <w:r>
        <w:rPr>
          <w:spacing w:val="-9"/>
        </w:rPr>
        <w:t> </w:t>
      </w:r>
      <w:r>
        <w:rPr/>
        <w:t>is</w:t>
      </w:r>
      <w:r>
        <w:rPr>
          <w:spacing w:val="-9"/>
        </w:rPr>
        <w:t> </w:t>
      </w:r>
      <w:r>
        <w:rPr/>
        <w:t>used</w:t>
      </w:r>
      <w:r>
        <w:rPr>
          <w:spacing w:val="-9"/>
        </w:rPr>
        <w:t> </w:t>
      </w:r>
      <w:r>
        <w:rPr/>
        <w:t>for</w:t>
      </w:r>
      <w:r>
        <w:rPr>
          <w:spacing w:val="-8"/>
        </w:rPr>
        <w:t> </w:t>
      </w:r>
      <w:r>
        <w:rPr/>
        <w:t>the</w:t>
      </w:r>
      <w:r>
        <w:rPr>
          <w:spacing w:val="-9"/>
        </w:rPr>
        <w:t> </w:t>
      </w:r>
      <w:r>
        <w:rPr/>
        <w:t>purposes</w:t>
      </w:r>
      <w:r>
        <w:rPr>
          <w:spacing w:val="-7"/>
        </w:rPr>
        <w:t> </w:t>
      </w:r>
      <w:r>
        <w:rPr/>
        <w:t>of</w:t>
      </w:r>
      <w:r>
        <w:rPr>
          <w:spacing w:val="-7"/>
        </w:rPr>
        <w:t> </w:t>
      </w:r>
      <w:r>
        <w:rPr/>
        <w:t>Country-by-Country reporting</w:t>
      </w:r>
      <w:r>
        <w:rPr>
          <w:spacing w:val="-2"/>
        </w:rPr>
        <w:t> </w:t>
      </w:r>
      <w:r>
        <w:rPr/>
        <w:t>(CbCR).</w:t>
      </w:r>
      <w:r>
        <w:rPr>
          <w:vertAlign w:val="superscript"/>
        </w:rPr>
        <w:t>37</w:t>
      </w:r>
    </w:p>
    <w:p>
      <w:pPr>
        <w:pStyle w:val="ListParagraph"/>
        <w:numPr>
          <w:ilvl w:val="0"/>
          <w:numId w:val="13"/>
        </w:numPr>
        <w:tabs>
          <w:tab w:pos="1444" w:val="left" w:leader="none"/>
        </w:tabs>
        <w:spacing w:line="271" w:lineRule="auto" w:before="129" w:after="0"/>
        <w:ind w:left="723" w:right="484" w:firstLine="0"/>
        <w:jc w:val="both"/>
        <w:rPr>
          <w:sz w:val="20"/>
        </w:rPr>
      </w:pPr>
      <w:r>
        <w:rPr>
          <w:sz w:val="20"/>
        </w:rPr>
        <w:t>First,</w:t>
      </w:r>
      <w:r>
        <w:rPr>
          <w:spacing w:val="-11"/>
          <w:sz w:val="20"/>
        </w:rPr>
        <w:t> </w:t>
      </w:r>
      <w:r>
        <w:rPr>
          <w:sz w:val="20"/>
        </w:rPr>
        <w:t>the</w:t>
      </w:r>
      <w:r>
        <w:rPr>
          <w:spacing w:val="-9"/>
          <w:sz w:val="20"/>
        </w:rPr>
        <w:t> </w:t>
      </w:r>
      <w:r>
        <w:rPr>
          <w:sz w:val="20"/>
        </w:rPr>
        <w:t>impact</w:t>
      </w:r>
      <w:r>
        <w:rPr>
          <w:spacing w:val="-11"/>
          <w:sz w:val="20"/>
        </w:rPr>
        <w:t> </w:t>
      </w:r>
      <w:r>
        <w:rPr>
          <w:sz w:val="20"/>
        </w:rPr>
        <w:t>assessment</w:t>
      </w:r>
      <w:r>
        <w:rPr>
          <w:spacing w:val="-12"/>
          <w:sz w:val="20"/>
        </w:rPr>
        <w:t> </w:t>
      </w:r>
      <w:r>
        <w:rPr>
          <w:sz w:val="20"/>
        </w:rPr>
        <w:t>shows</w:t>
      </w:r>
      <w:r>
        <w:rPr>
          <w:spacing w:val="-10"/>
          <w:sz w:val="20"/>
        </w:rPr>
        <w:t> </w:t>
      </w:r>
      <w:r>
        <w:rPr>
          <w:sz w:val="20"/>
        </w:rPr>
        <w:t>that</w:t>
      </w:r>
      <w:r>
        <w:rPr>
          <w:spacing w:val="-11"/>
          <w:sz w:val="20"/>
        </w:rPr>
        <w:t> </w:t>
      </w:r>
      <w:r>
        <w:rPr>
          <w:sz w:val="20"/>
        </w:rPr>
        <w:t>there</w:t>
      </w:r>
      <w:r>
        <w:rPr>
          <w:spacing w:val="-9"/>
          <w:sz w:val="20"/>
        </w:rPr>
        <w:t> </w:t>
      </w:r>
      <w:r>
        <w:rPr>
          <w:sz w:val="20"/>
        </w:rPr>
        <w:t>is</w:t>
      </w:r>
      <w:r>
        <w:rPr>
          <w:spacing w:val="-10"/>
          <w:sz w:val="20"/>
        </w:rPr>
        <w:t> </w:t>
      </w:r>
      <w:r>
        <w:rPr>
          <w:sz w:val="20"/>
        </w:rPr>
        <w:t>very</w:t>
      </w:r>
      <w:r>
        <w:rPr>
          <w:spacing w:val="-12"/>
          <w:sz w:val="20"/>
        </w:rPr>
        <w:t> </w:t>
      </w:r>
      <w:r>
        <w:rPr>
          <w:sz w:val="20"/>
        </w:rPr>
        <w:t>little</w:t>
      </w:r>
      <w:r>
        <w:rPr>
          <w:spacing w:val="-9"/>
          <w:sz w:val="20"/>
        </w:rPr>
        <w:t> </w:t>
      </w:r>
      <w:r>
        <w:rPr>
          <w:sz w:val="20"/>
        </w:rPr>
        <w:t>increase</w:t>
      </w:r>
      <w:r>
        <w:rPr>
          <w:spacing w:val="-9"/>
          <w:sz w:val="20"/>
        </w:rPr>
        <w:t> </w:t>
      </w:r>
      <w:r>
        <w:rPr>
          <w:sz w:val="20"/>
        </w:rPr>
        <w:t>in</w:t>
      </w:r>
      <w:r>
        <w:rPr>
          <w:spacing w:val="-9"/>
          <w:sz w:val="20"/>
        </w:rPr>
        <w:t> </w:t>
      </w:r>
      <w:r>
        <w:rPr>
          <w:sz w:val="20"/>
        </w:rPr>
        <w:t>the</w:t>
      </w:r>
      <w:r>
        <w:rPr>
          <w:spacing w:val="-10"/>
          <w:sz w:val="20"/>
        </w:rPr>
        <w:t> </w:t>
      </w:r>
      <w:r>
        <w:rPr>
          <w:sz w:val="20"/>
        </w:rPr>
        <w:t>residual</w:t>
      </w:r>
      <w:r>
        <w:rPr>
          <w:spacing w:val="-7"/>
          <w:sz w:val="20"/>
        </w:rPr>
        <w:t> </w:t>
      </w:r>
      <w:r>
        <w:rPr>
          <w:sz w:val="20"/>
        </w:rPr>
        <w:t>profit</w:t>
      </w:r>
      <w:r>
        <w:rPr>
          <w:spacing w:val="-11"/>
          <w:sz w:val="20"/>
        </w:rPr>
        <w:t> </w:t>
      </w:r>
      <w:r>
        <w:rPr>
          <w:sz w:val="20"/>
        </w:rPr>
        <w:t>that</w:t>
      </w:r>
      <w:r>
        <w:rPr>
          <w:spacing w:val="-7"/>
          <w:sz w:val="20"/>
        </w:rPr>
        <w:t> </w:t>
      </w:r>
      <w:r>
        <w:rPr>
          <w:sz w:val="20"/>
        </w:rPr>
        <w:t>would be</w:t>
      </w:r>
      <w:r>
        <w:rPr>
          <w:spacing w:val="-16"/>
          <w:sz w:val="20"/>
        </w:rPr>
        <w:t> </w:t>
      </w:r>
      <w:r>
        <w:rPr>
          <w:sz w:val="20"/>
        </w:rPr>
        <w:t>allocated</w:t>
      </w:r>
      <w:r>
        <w:rPr>
          <w:spacing w:val="-15"/>
          <w:sz w:val="20"/>
        </w:rPr>
        <w:t> </w:t>
      </w:r>
      <w:r>
        <w:rPr>
          <w:sz w:val="20"/>
        </w:rPr>
        <w:t>to</w:t>
      </w:r>
      <w:r>
        <w:rPr>
          <w:spacing w:val="-16"/>
          <w:sz w:val="20"/>
        </w:rPr>
        <w:t> </w:t>
      </w:r>
      <w:r>
        <w:rPr>
          <w:sz w:val="20"/>
        </w:rPr>
        <w:t>market</w:t>
      </w:r>
      <w:r>
        <w:rPr>
          <w:spacing w:val="-15"/>
          <w:sz w:val="20"/>
        </w:rPr>
        <w:t> </w:t>
      </w:r>
      <w:r>
        <w:rPr>
          <w:sz w:val="20"/>
        </w:rPr>
        <w:t>jurisdictions</w:t>
      </w:r>
      <w:r>
        <w:rPr>
          <w:spacing w:val="-14"/>
          <w:sz w:val="20"/>
        </w:rPr>
        <w:t> </w:t>
      </w:r>
      <w:r>
        <w:rPr>
          <w:sz w:val="20"/>
        </w:rPr>
        <w:t>from</w:t>
      </w:r>
      <w:r>
        <w:rPr>
          <w:spacing w:val="-11"/>
          <w:sz w:val="20"/>
        </w:rPr>
        <w:t> </w:t>
      </w:r>
      <w:r>
        <w:rPr>
          <w:sz w:val="20"/>
        </w:rPr>
        <w:t>using</w:t>
      </w:r>
      <w:r>
        <w:rPr>
          <w:spacing w:val="-16"/>
          <w:sz w:val="20"/>
        </w:rPr>
        <w:t> </w:t>
      </w:r>
      <w:r>
        <w:rPr>
          <w:sz w:val="20"/>
        </w:rPr>
        <w:t>a</w:t>
      </w:r>
      <w:r>
        <w:rPr>
          <w:spacing w:val="-15"/>
          <w:sz w:val="20"/>
        </w:rPr>
        <w:t> </w:t>
      </w:r>
      <w:r>
        <w:rPr>
          <w:sz w:val="20"/>
        </w:rPr>
        <w:t>lower</w:t>
      </w:r>
      <w:r>
        <w:rPr>
          <w:spacing w:val="-15"/>
          <w:sz w:val="20"/>
        </w:rPr>
        <w:t> </w:t>
      </w:r>
      <w:r>
        <w:rPr>
          <w:sz w:val="20"/>
        </w:rPr>
        <w:t>figure.</w:t>
      </w:r>
      <w:r>
        <w:rPr>
          <w:spacing w:val="-13"/>
          <w:sz w:val="20"/>
        </w:rPr>
        <w:t> </w:t>
      </w:r>
      <w:r>
        <w:rPr>
          <w:sz w:val="20"/>
        </w:rPr>
        <w:t>Second,</w:t>
      </w:r>
      <w:r>
        <w:rPr>
          <w:spacing w:val="-16"/>
          <w:sz w:val="20"/>
        </w:rPr>
        <w:t> </w:t>
      </w:r>
      <w:r>
        <w:rPr>
          <w:sz w:val="20"/>
        </w:rPr>
        <w:t>it</w:t>
      </w:r>
      <w:r>
        <w:rPr>
          <w:spacing w:val="-15"/>
          <w:sz w:val="20"/>
        </w:rPr>
        <w:t> </w:t>
      </w:r>
      <w:r>
        <w:rPr>
          <w:sz w:val="20"/>
        </w:rPr>
        <w:t>substantially</w:t>
      </w:r>
      <w:r>
        <w:rPr>
          <w:spacing w:val="-18"/>
          <w:sz w:val="20"/>
        </w:rPr>
        <w:t> </w:t>
      </w:r>
      <w:r>
        <w:rPr>
          <w:sz w:val="20"/>
        </w:rPr>
        <w:t>increases</w:t>
      </w:r>
      <w:r>
        <w:rPr>
          <w:spacing w:val="-15"/>
          <w:sz w:val="20"/>
        </w:rPr>
        <w:t> </w:t>
      </w:r>
      <w:r>
        <w:rPr>
          <w:sz w:val="20"/>
        </w:rPr>
        <w:t>compliance and administrative costs. A lower threshold brings in a large number of additional taxpayers that need to determine whether they have revenue in scope, and if they do, comply with the new system. This results in</w:t>
      </w:r>
      <w:r>
        <w:rPr>
          <w:spacing w:val="-9"/>
          <w:sz w:val="20"/>
        </w:rPr>
        <w:t> </w:t>
      </w:r>
      <w:r>
        <w:rPr>
          <w:sz w:val="20"/>
        </w:rPr>
        <w:t>burdens</w:t>
      </w:r>
      <w:r>
        <w:rPr>
          <w:spacing w:val="-8"/>
          <w:sz w:val="20"/>
        </w:rPr>
        <w:t> </w:t>
      </w:r>
      <w:r>
        <w:rPr>
          <w:sz w:val="20"/>
        </w:rPr>
        <w:t>not</w:t>
      </w:r>
      <w:r>
        <w:rPr>
          <w:spacing w:val="-7"/>
          <w:sz w:val="20"/>
        </w:rPr>
        <w:t> </w:t>
      </w:r>
      <w:r>
        <w:rPr>
          <w:sz w:val="20"/>
        </w:rPr>
        <w:t>only</w:t>
      </w:r>
      <w:r>
        <w:rPr>
          <w:spacing w:val="-11"/>
          <w:sz w:val="20"/>
        </w:rPr>
        <w:t> </w:t>
      </w:r>
      <w:r>
        <w:rPr>
          <w:sz w:val="20"/>
        </w:rPr>
        <w:t>for</w:t>
      </w:r>
      <w:r>
        <w:rPr>
          <w:spacing w:val="-8"/>
          <w:sz w:val="20"/>
        </w:rPr>
        <w:t> </w:t>
      </w:r>
      <w:r>
        <w:rPr>
          <w:sz w:val="20"/>
        </w:rPr>
        <w:t>those</w:t>
      </w:r>
      <w:r>
        <w:rPr>
          <w:spacing w:val="-8"/>
          <w:sz w:val="20"/>
        </w:rPr>
        <w:t> </w:t>
      </w:r>
      <w:r>
        <w:rPr>
          <w:sz w:val="20"/>
        </w:rPr>
        <w:t>businesses,</w:t>
      </w:r>
      <w:r>
        <w:rPr>
          <w:spacing w:val="-9"/>
          <w:sz w:val="20"/>
        </w:rPr>
        <w:t> </w:t>
      </w:r>
      <w:r>
        <w:rPr>
          <w:sz w:val="20"/>
        </w:rPr>
        <w:t>but</w:t>
      </w:r>
      <w:r>
        <w:rPr>
          <w:spacing w:val="-9"/>
          <w:sz w:val="20"/>
        </w:rPr>
        <w:t> </w:t>
      </w:r>
      <w:r>
        <w:rPr>
          <w:sz w:val="20"/>
        </w:rPr>
        <w:t>equally</w:t>
      </w:r>
      <w:r>
        <w:rPr>
          <w:spacing w:val="-6"/>
          <w:sz w:val="20"/>
        </w:rPr>
        <w:t> </w:t>
      </w:r>
      <w:r>
        <w:rPr>
          <w:sz w:val="20"/>
        </w:rPr>
        <w:t>for</w:t>
      </w:r>
      <w:r>
        <w:rPr>
          <w:spacing w:val="-7"/>
          <w:sz w:val="20"/>
        </w:rPr>
        <w:t> </w:t>
      </w:r>
      <w:r>
        <w:rPr>
          <w:sz w:val="20"/>
        </w:rPr>
        <w:t>the</w:t>
      </w:r>
      <w:r>
        <w:rPr>
          <w:spacing w:val="-9"/>
          <w:sz w:val="20"/>
        </w:rPr>
        <w:t> </w:t>
      </w:r>
      <w:r>
        <w:rPr>
          <w:sz w:val="20"/>
        </w:rPr>
        <w:t>tax</w:t>
      </w:r>
      <w:r>
        <w:rPr>
          <w:spacing w:val="-7"/>
          <w:sz w:val="20"/>
        </w:rPr>
        <w:t> </w:t>
      </w:r>
      <w:r>
        <w:rPr>
          <w:sz w:val="20"/>
        </w:rPr>
        <w:t>administrations</w:t>
      </w:r>
      <w:r>
        <w:rPr>
          <w:spacing w:val="-5"/>
          <w:sz w:val="20"/>
        </w:rPr>
        <w:t> </w:t>
      </w:r>
      <w:r>
        <w:rPr>
          <w:sz w:val="20"/>
        </w:rPr>
        <w:t>of</w:t>
      </w:r>
      <w:r>
        <w:rPr>
          <w:spacing w:val="-7"/>
          <w:sz w:val="20"/>
        </w:rPr>
        <w:t> </w:t>
      </w:r>
      <w:r>
        <w:rPr>
          <w:sz w:val="20"/>
        </w:rPr>
        <w:t>all</w:t>
      </w:r>
      <w:r>
        <w:rPr>
          <w:spacing w:val="-7"/>
          <w:sz w:val="20"/>
        </w:rPr>
        <w:t> </w:t>
      </w:r>
      <w:r>
        <w:rPr>
          <w:sz w:val="20"/>
        </w:rPr>
        <w:t>Inclusive</w:t>
      </w:r>
      <w:r>
        <w:rPr>
          <w:spacing w:val="-8"/>
          <w:sz w:val="20"/>
        </w:rPr>
        <w:t> </w:t>
      </w:r>
      <w:r>
        <w:rPr>
          <w:sz w:val="20"/>
        </w:rPr>
        <w:t>Framework members to manage the additional compliance and administrative</w:t>
      </w:r>
      <w:r>
        <w:rPr>
          <w:spacing w:val="-10"/>
          <w:sz w:val="20"/>
        </w:rPr>
        <w:t> </w:t>
      </w:r>
      <w:r>
        <w:rPr>
          <w:sz w:val="20"/>
        </w:rPr>
        <w:t>costs.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Furthermore, going lower than EUR 750 million will substantially increase the number of privately held</w:t>
      </w:r>
      <w:r>
        <w:rPr>
          <w:spacing w:val="-4"/>
          <w:sz w:val="20"/>
        </w:rPr>
        <w:t> </w:t>
      </w:r>
      <w:r>
        <w:rPr>
          <w:sz w:val="20"/>
        </w:rPr>
        <w:t>groups</w:t>
      </w:r>
      <w:r>
        <w:rPr>
          <w:spacing w:val="-2"/>
          <w:sz w:val="20"/>
        </w:rPr>
        <w:t> </w:t>
      </w:r>
      <w:r>
        <w:rPr>
          <w:sz w:val="20"/>
        </w:rPr>
        <w:t>in</w:t>
      </w:r>
      <w:r>
        <w:rPr>
          <w:spacing w:val="-4"/>
          <w:sz w:val="20"/>
        </w:rPr>
        <w:t> </w:t>
      </w:r>
      <w:r>
        <w:rPr>
          <w:sz w:val="20"/>
        </w:rPr>
        <w:t>scope</w:t>
      </w:r>
      <w:r>
        <w:rPr>
          <w:spacing w:val="-3"/>
          <w:sz w:val="20"/>
        </w:rPr>
        <w:t> </w:t>
      </w:r>
      <w:r>
        <w:rPr>
          <w:sz w:val="20"/>
        </w:rPr>
        <w:t>that</w:t>
      </w:r>
      <w:r>
        <w:rPr>
          <w:spacing w:val="-4"/>
          <w:sz w:val="20"/>
        </w:rPr>
        <w:t> </w:t>
      </w:r>
      <w:r>
        <w:rPr>
          <w:sz w:val="20"/>
        </w:rPr>
        <w:t>currently</w:t>
      </w:r>
      <w:r>
        <w:rPr>
          <w:spacing w:val="-6"/>
          <w:sz w:val="20"/>
        </w:rPr>
        <w:t> </w:t>
      </w:r>
      <w:r>
        <w:rPr>
          <w:sz w:val="20"/>
        </w:rPr>
        <w:t>are</w:t>
      </w:r>
      <w:r>
        <w:rPr>
          <w:spacing w:val="-2"/>
          <w:sz w:val="20"/>
        </w:rPr>
        <w:t> </w:t>
      </w:r>
      <w:r>
        <w:rPr>
          <w:sz w:val="20"/>
        </w:rPr>
        <w:t>not</w:t>
      </w:r>
      <w:r>
        <w:rPr>
          <w:spacing w:val="-4"/>
          <w:sz w:val="20"/>
        </w:rPr>
        <w:t> </w:t>
      </w:r>
      <w:r>
        <w:rPr>
          <w:sz w:val="20"/>
        </w:rPr>
        <w:t>required</w:t>
      </w:r>
      <w:r>
        <w:rPr>
          <w:spacing w:val="-4"/>
          <w:sz w:val="20"/>
        </w:rPr>
        <w:t> </w:t>
      </w:r>
      <w:r>
        <w:rPr>
          <w:sz w:val="20"/>
        </w:rPr>
        <w:t>to</w:t>
      </w:r>
      <w:r>
        <w:rPr>
          <w:spacing w:val="-2"/>
          <w:sz w:val="20"/>
        </w:rPr>
        <w:t> </w:t>
      </w:r>
      <w:r>
        <w:rPr>
          <w:sz w:val="20"/>
        </w:rPr>
        <w:t>prepare</w:t>
      </w:r>
      <w:r>
        <w:rPr>
          <w:spacing w:val="-4"/>
          <w:sz w:val="20"/>
        </w:rPr>
        <w:t> </w:t>
      </w:r>
      <w:r>
        <w:rPr>
          <w:sz w:val="20"/>
        </w:rPr>
        <w:t>financial</w:t>
      </w:r>
      <w:r>
        <w:rPr>
          <w:spacing w:val="-4"/>
          <w:sz w:val="20"/>
        </w:rPr>
        <w:t> </w:t>
      </w:r>
      <w:r>
        <w:rPr>
          <w:sz w:val="20"/>
        </w:rPr>
        <w:t>statements,</w:t>
      </w:r>
      <w:r>
        <w:rPr>
          <w:spacing w:val="-4"/>
          <w:sz w:val="20"/>
        </w:rPr>
        <w:t> </w:t>
      </w:r>
      <w:r>
        <w:rPr>
          <w:sz w:val="20"/>
        </w:rPr>
        <w:t>or</w:t>
      </w:r>
      <w:r>
        <w:rPr>
          <w:spacing w:val="-3"/>
          <w:sz w:val="20"/>
        </w:rPr>
        <w:t> </w:t>
      </w:r>
      <w:r>
        <w:rPr>
          <w:sz w:val="20"/>
        </w:rPr>
        <w:t>if</w:t>
      </w:r>
      <w:r>
        <w:rPr>
          <w:spacing w:val="-2"/>
          <w:sz w:val="20"/>
        </w:rPr>
        <w:t> </w:t>
      </w:r>
      <w:r>
        <w:rPr>
          <w:sz w:val="20"/>
        </w:rPr>
        <w:t>they</w:t>
      </w:r>
      <w:r>
        <w:rPr>
          <w:spacing w:val="-6"/>
          <w:sz w:val="20"/>
        </w:rPr>
        <w:t> </w:t>
      </w:r>
      <w:r>
        <w:rPr>
          <w:sz w:val="20"/>
        </w:rPr>
        <w:t>do,</w:t>
      </w:r>
      <w:r>
        <w:rPr>
          <w:spacing w:val="-5"/>
          <w:sz w:val="20"/>
        </w:rPr>
        <w:t> </w:t>
      </w:r>
      <w:r>
        <w:rPr>
          <w:sz w:val="20"/>
        </w:rPr>
        <w:t>they</w:t>
      </w:r>
      <w:r>
        <w:rPr>
          <w:spacing w:val="-4"/>
          <w:sz w:val="20"/>
        </w:rPr>
        <w:t> </w:t>
      </w:r>
      <w:r>
        <w:rPr>
          <w:sz w:val="20"/>
        </w:rPr>
        <w:t>are preparing them on the basis of purely local generally accepted accounting principles (GAAP). Requiring such privately held groups to prepare financial accounts on the basis of a different standard (or adjusting to that standard) solely for the purposes of Pillar One (and one that may then not be subject to audit requirements) would be difficult and costly for taxpayers, and resource intensive for tax administrations to verify.</w:t>
      </w:r>
    </w:p>
    <w:p>
      <w:pPr>
        <w:pStyle w:val="ListParagraph"/>
        <w:numPr>
          <w:ilvl w:val="0"/>
          <w:numId w:val="13"/>
        </w:numPr>
        <w:tabs>
          <w:tab w:pos="1444" w:val="left" w:leader="none"/>
        </w:tabs>
        <w:spacing w:line="273" w:lineRule="auto" w:before="120" w:after="0"/>
        <w:ind w:left="723" w:right="490" w:firstLine="0"/>
        <w:jc w:val="both"/>
        <w:rPr>
          <w:sz w:val="20"/>
        </w:rPr>
      </w:pPr>
      <w:r>
        <w:rPr>
          <w:sz w:val="20"/>
        </w:rPr>
        <w:t>Finally,</w:t>
      </w:r>
      <w:r>
        <w:rPr>
          <w:spacing w:val="-12"/>
          <w:sz w:val="20"/>
        </w:rPr>
        <w:t> </w:t>
      </w:r>
      <w:r>
        <w:rPr>
          <w:sz w:val="20"/>
        </w:rPr>
        <w:t>a</w:t>
      </w:r>
      <w:r>
        <w:rPr>
          <w:spacing w:val="-12"/>
          <w:sz w:val="20"/>
        </w:rPr>
        <w:t> </w:t>
      </w:r>
      <w:r>
        <w:rPr>
          <w:sz w:val="20"/>
        </w:rPr>
        <w:t>tax</w:t>
      </w:r>
      <w:r>
        <w:rPr>
          <w:spacing w:val="-13"/>
          <w:sz w:val="20"/>
        </w:rPr>
        <w:t> </w:t>
      </w:r>
      <w:r>
        <w:rPr>
          <w:sz w:val="20"/>
        </w:rPr>
        <w:t>certainty</w:t>
      </w:r>
      <w:r>
        <w:rPr>
          <w:spacing w:val="-15"/>
          <w:sz w:val="20"/>
        </w:rPr>
        <w:t> </w:t>
      </w:r>
      <w:r>
        <w:rPr>
          <w:sz w:val="20"/>
        </w:rPr>
        <w:t>process</w:t>
      </w:r>
      <w:r>
        <w:rPr>
          <w:spacing w:val="-11"/>
          <w:sz w:val="20"/>
        </w:rPr>
        <w:t> </w:t>
      </w:r>
      <w:r>
        <w:rPr>
          <w:sz w:val="20"/>
        </w:rPr>
        <w:t>with</w:t>
      </w:r>
      <w:r>
        <w:rPr>
          <w:spacing w:val="-12"/>
          <w:sz w:val="20"/>
        </w:rPr>
        <w:t> </w:t>
      </w:r>
      <w:r>
        <w:rPr>
          <w:sz w:val="20"/>
        </w:rPr>
        <w:t>anywhere</w:t>
      </w:r>
      <w:r>
        <w:rPr>
          <w:spacing w:val="-12"/>
          <w:sz w:val="20"/>
        </w:rPr>
        <w:t> </w:t>
      </w:r>
      <w:r>
        <w:rPr>
          <w:sz w:val="20"/>
        </w:rPr>
        <w:t>near</w:t>
      </w:r>
      <w:r>
        <w:rPr>
          <w:spacing w:val="-12"/>
          <w:sz w:val="20"/>
        </w:rPr>
        <w:t> </w:t>
      </w:r>
      <w:r>
        <w:rPr>
          <w:sz w:val="20"/>
        </w:rPr>
        <w:t>the</w:t>
      </w:r>
      <w:r>
        <w:rPr>
          <w:spacing w:val="-10"/>
          <w:sz w:val="20"/>
        </w:rPr>
        <w:t> </w:t>
      </w:r>
      <w:r>
        <w:rPr>
          <w:sz w:val="20"/>
        </w:rPr>
        <w:t>number</w:t>
      </w:r>
      <w:r>
        <w:rPr>
          <w:spacing w:val="-13"/>
          <w:sz w:val="20"/>
        </w:rPr>
        <w:t> </w:t>
      </w:r>
      <w:r>
        <w:rPr>
          <w:sz w:val="20"/>
        </w:rPr>
        <w:t>of</w:t>
      </w:r>
      <w:r>
        <w:rPr>
          <w:spacing w:val="-13"/>
          <w:sz w:val="20"/>
        </w:rPr>
        <w:t> </w:t>
      </w:r>
      <w:r>
        <w:rPr>
          <w:sz w:val="20"/>
        </w:rPr>
        <w:t>taxpayers</w:t>
      </w:r>
      <w:r>
        <w:rPr>
          <w:spacing w:val="-12"/>
          <w:sz w:val="20"/>
        </w:rPr>
        <w:t> </w:t>
      </w:r>
      <w:r>
        <w:rPr>
          <w:sz w:val="20"/>
        </w:rPr>
        <w:t>that</w:t>
      </w:r>
      <w:r>
        <w:rPr>
          <w:spacing w:val="-11"/>
          <w:sz w:val="20"/>
        </w:rPr>
        <w:t> </w:t>
      </w:r>
      <w:r>
        <w:rPr>
          <w:sz w:val="20"/>
        </w:rPr>
        <w:t>a</w:t>
      </w:r>
      <w:r>
        <w:rPr>
          <w:spacing w:val="-13"/>
          <w:sz w:val="20"/>
        </w:rPr>
        <w:t> </w:t>
      </w:r>
      <w:r>
        <w:rPr>
          <w:sz w:val="20"/>
        </w:rPr>
        <w:t>threshold</w:t>
      </w:r>
      <w:r>
        <w:rPr>
          <w:spacing w:val="-12"/>
          <w:sz w:val="20"/>
        </w:rPr>
        <w:t> </w:t>
      </w:r>
      <w:r>
        <w:rPr>
          <w:sz w:val="20"/>
        </w:rPr>
        <w:t>below EUR 750 million would generate may well go beyond the capacity of tax administrations to</w:t>
      </w:r>
      <w:r>
        <w:rPr>
          <w:spacing w:val="-36"/>
          <w:sz w:val="20"/>
        </w:rPr>
        <w:t> </w:t>
      </w:r>
      <w:r>
        <w:rPr>
          <w:sz w:val="20"/>
        </w:rPr>
        <w:t>operate.</w:t>
      </w:r>
    </w:p>
    <w:p>
      <w:pPr>
        <w:pStyle w:val="ListParagraph"/>
        <w:numPr>
          <w:ilvl w:val="0"/>
          <w:numId w:val="13"/>
        </w:numPr>
        <w:tabs>
          <w:tab w:pos="1444" w:val="left" w:leader="none"/>
        </w:tabs>
        <w:spacing w:line="271" w:lineRule="auto" w:before="117" w:after="0"/>
        <w:ind w:left="723" w:right="482" w:firstLine="0"/>
        <w:jc w:val="both"/>
        <w:rPr>
          <w:sz w:val="20"/>
        </w:rPr>
      </w:pPr>
      <w:r>
        <w:rPr>
          <w:sz w:val="20"/>
        </w:rPr>
        <w:t>Generally,</w:t>
      </w:r>
      <w:r>
        <w:rPr>
          <w:spacing w:val="-17"/>
          <w:sz w:val="20"/>
        </w:rPr>
        <w:t> </w:t>
      </w:r>
      <w:r>
        <w:rPr>
          <w:sz w:val="20"/>
        </w:rPr>
        <w:t>and</w:t>
      </w:r>
      <w:r>
        <w:rPr>
          <w:spacing w:val="-16"/>
          <w:sz w:val="20"/>
        </w:rPr>
        <w:t> </w:t>
      </w:r>
      <w:r>
        <w:rPr>
          <w:sz w:val="20"/>
        </w:rPr>
        <w:t>to</w:t>
      </w:r>
      <w:r>
        <w:rPr>
          <w:spacing w:val="-17"/>
          <w:sz w:val="20"/>
        </w:rPr>
        <w:t> </w:t>
      </w:r>
      <w:r>
        <w:rPr>
          <w:sz w:val="20"/>
        </w:rPr>
        <w:t>avoid</w:t>
      </w:r>
      <w:r>
        <w:rPr>
          <w:spacing w:val="-16"/>
          <w:sz w:val="20"/>
        </w:rPr>
        <w:t> </w:t>
      </w:r>
      <w:r>
        <w:rPr>
          <w:sz w:val="20"/>
        </w:rPr>
        <w:t>tax</w:t>
      </w:r>
      <w:r>
        <w:rPr>
          <w:spacing w:val="-15"/>
          <w:sz w:val="20"/>
        </w:rPr>
        <w:t> </w:t>
      </w:r>
      <w:r>
        <w:rPr>
          <w:sz w:val="20"/>
        </w:rPr>
        <w:t>administrations</w:t>
      </w:r>
      <w:r>
        <w:rPr>
          <w:spacing w:val="-16"/>
          <w:sz w:val="20"/>
        </w:rPr>
        <w:t> </w:t>
      </w:r>
      <w:r>
        <w:rPr>
          <w:sz w:val="20"/>
        </w:rPr>
        <w:t>being</w:t>
      </w:r>
      <w:r>
        <w:rPr>
          <w:spacing w:val="-17"/>
          <w:sz w:val="20"/>
        </w:rPr>
        <w:t> </w:t>
      </w:r>
      <w:r>
        <w:rPr>
          <w:sz w:val="20"/>
        </w:rPr>
        <w:t>overwhelmed</w:t>
      </w:r>
      <w:r>
        <w:rPr>
          <w:spacing w:val="-18"/>
          <w:sz w:val="20"/>
        </w:rPr>
        <w:t> </w:t>
      </w:r>
      <w:r>
        <w:rPr>
          <w:sz w:val="20"/>
        </w:rPr>
        <w:t>with</w:t>
      </w:r>
      <w:r>
        <w:rPr>
          <w:spacing w:val="-16"/>
          <w:sz w:val="20"/>
        </w:rPr>
        <w:t> </w:t>
      </w:r>
      <w:r>
        <w:rPr>
          <w:sz w:val="20"/>
        </w:rPr>
        <w:t>the</w:t>
      </w:r>
      <w:r>
        <w:rPr>
          <w:spacing w:val="-17"/>
          <w:sz w:val="20"/>
        </w:rPr>
        <w:t> </w:t>
      </w:r>
      <w:r>
        <w:rPr>
          <w:sz w:val="20"/>
        </w:rPr>
        <w:t>operation</w:t>
      </w:r>
      <w:r>
        <w:rPr>
          <w:spacing w:val="-17"/>
          <w:sz w:val="20"/>
        </w:rPr>
        <w:t> </w:t>
      </w:r>
      <w:r>
        <w:rPr>
          <w:sz w:val="20"/>
        </w:rPr>
        <w:t>of</w:t>
      </w:r>
      <w:r>
        <w:rPr>
          <w:spacing w:val="-15"/>
          <w:sz w:val="20"/>
        </w:rPr>
        <w:t> </w:t>
      </w:r>
      <w:r>
        <w:rPr>
          <w:sz w:val="20"/>
        </w:rPr>
        <w:t>a</w:t>
      </w:r>
      <w:r>
        <w:rPr>
          <w:spacing w:val="-16"/>
          <w:sz w:val="20"/>
        </w:rPr>
        <w:t> </w:t>
      </w:r>
      <w:r>
        <w:rPr>
          <w:sz w:val="20"/>
        </w:rPr>
        <w:t>new</w:t>
      </w:r>
      <w:r>
        <w:rPr>
          <w:spacing w:val="-19"/>
          <w:sz w:val="20"/>
        </w:rPr>
        <w:t> </w:t>
      </w:r>
      <w:r>
        <w:rPr>
          <w:sz w:val="20"/>
        </w:rPr>
        <w:t>system, including</w:t>
      </w:r>
      <w:r>
        <w:rPr>
          <w:spacing w:val="-7"/>
          <w:sz w:val="20"/>
        </w:rPr>
        <w:t> </w:t>
      </w:r>
      <w:r>
        <w:rPr>
          <w:sz w:val="20"/>
        </w:rPr>
        <w:t>as</w:t>
      </w:r>
      <w:r>
        <w:rPr>
          <w:spacing w:val="-6"/>
          <w:sz w:val="20"/>
        </w:rPr>
        <w:t> </w:t>
      </w:r>
      <w:r>
        <w:rPr>
          <w:sz w:val="20"/>
        </w:rPr>
        <w:t>it</w:t>
      </w:r>
      <w:r>
        <w:rPr>
          <w:spacing w:val="-8"/>
          <w:sz w:val="20"/>
        </w:rPr>
        <w:t> </w:t>
      </w:r>
      <w:r>
        <w:rPr>
          <w:sz w:val="20"/>
        </w:rPr>
        <w:t>relates</w:t>
      </w:r>
      <w:r>
        <w:rPr>
          <w:spacing w:val="-8"/>
          <w:sz w:val="20"/>
        </w:rPr>
        <w:t> </w:t>
      </w:r>
      <w:r>
        <w:rPr>
          <w:sz w:val="20"/>
        </w:rPr>
        <w:t>to</w:t>
      </w:r>
      <w:r>
        <w:rPr>
          <w:spacing w:val="-7"/>
          <w:sz w:val="20"/>
        </w:rPr>
        <w:t> </w:t>
      </w:r>
      <w:r>
        <w:rPr>
          <w:sz w:val="20"/>
        </w:rPr>
        <w:t>tax</w:t>
      </w:r>
      <w:r>
        <w:rPr>
          <w:spacing w:val="-6"/>
          <w:sz w:val="20"/>
        </w:rPr>
        <w:t> </w:t>
      </w:r>
      <w:r>
        <w:rPr>
          <w:sz w:val="20"/>
        </w:rPr>
        <w:t>certainty,</w:t>
      </w:r>
      <w:r>
        <w:rPr>
          <w:spacing w:val="-6"/>
          <w:sz w:val="20"/>
        </w:rPr>
        <w:t> </w:t>
      </w:r>
      <w:r>
        <w:rPr>
          <w:sz w:val="20"/>
        </w:rPr>
        <w:t>it</w:t>
      </w:r>
      <w:r>
        <w:rPr>
          <w:spacing w:val="-4"/>
          <w:sz w:val="20"/>
        </w:rPr>
        <w:t> </w:t>
      </w:r>
      <w:r>
        <w:rPr>
          <w:sz w:val="20"/>
        </w:rPr>
        <w:t>will</w:t>
      </w:r>
      <w:r>
        <w:rPr>
          <w:spacing w:val="-7"/>
          <w:sz w:val="20"/>
        </w:rPr>
        <w:t> </w:t>
      </w:r>
      <w:r>
        <w:rPr>
          <w:sz w:val="20"/>
        </w:rPr>
        <w:t>be</w:t>
      </w:r>
      <w:r>
        <w:rPr>
          <w:spacing w:val="-6"/>
          <w:sz w:val="20"/>
        </w:rPr>
        <w:t> </w:t>
      </w:r>
      <w:r>
        <w:rPr>
          <w:sz w:val="20"/>
        </w:rPr>
        <w:t>important</w:t>
      </w:r>
      <w:r>
        <w:rPr>
          <w:spacing w:val="-7"/>
          <w:sz w:val="20"/>
        </w:rPr>
        <w:t> </w:t>
      </w:r>
      <w:r>
        <w:rPr>
          <w:sz w:val="20"/>
        </w:rPr>
        <w:t>that</w:t>
      </w:r>
      <w:r>
        <w:rPr>
          <w:spacing w:val="-6"/>
          <w:sz w:val="20"/>
        </w:rPr>
        <w:t> </w:t>
      </w:r>
      <w:r>
        <w:rPr>
          <w:sz w:val="20"/>
        </w:rPr>
        <w:t>Amount</w:t>
      </w:r>
      <w:r>
        <w:rPr>
          <w:spacing w:val="-8"/>
          <w:sz w:val="20"/>
        </w:rPr>
        <w:t> </w:t>
      </w:r>
      <w:r>
        <w:rPr>
          <w:sz w:val="20"/>
        </w:rPr>
        <w:t>A</w:t>
      </w:r>
      <w:r>
        <w:rPr>
          <w:spacing w:val="-5"/>
          <w:sz w:val="20"/>
        </w:rPr>
        <w:t> </w:t>
      </w:r>
      <w:r>
        <w:rPr>
          <w:sz w:val="20"/>
        </w:rPr>
        <w:t>is</w:t>
      </w:r>
      <w:r>
        <w:rPr>
          <w:spacing w:val="-8"/>
          <w:sz w:val="20"/>
        </w:rPr>
        <w:t> </w:t>
      </w:r>
      <w:r>
        <w:rPr>
          <w:sz w:val="20"/>
        </w:rPr>
        <w:t>limited</w:t>
      </w:r>
      <w:r>
        <w:rPr>
          <w:spacing w:val="-8"/>
          <w:sz w:val="20"/>
        </w:rPr>
        <w:t> </w:t>
      </w:r>
      <w:r>
        <w:rPr>
          <w:sz w:val="20"/>
        </w:rPr>
        <w:t>to</w:t>
      </w:r>
      <w:r>
        <w:rPr>
          <w:spacing w:val="-7"/>
          <w:sz w:val="20"/>
        </w:rPr>
        <w:t> </w:t>
      </w:r>
      <w:r>
        <w:rPr>
          <w:sz w:val="20"/>
        </w:rPr>
        <w:t>a</w:t>
      </w:r>
      <w:r>
        <w:rPr>
          <w:spacing w:val="-2"/>
          <w:sz w:val="20"/>
        </w:rPr>
        <w:t> </w:t>
      </w:r>
      <w:r>
        <w:rPr>
          <w:sz w:val="20"/>
        </w:rPr>
        <w:t>manageable</w:t>
      </w:r>
      <w:r>
        <w:rPr>
          <w:spacing w:val="-7"/>
          <w:sz w:val="20"/>
        </w:rPr>
        <w:t> </w:t>
      </w:r>
      <w:r>
        <w:rPr>
          <w:sz w:val="20"/>
        </w:rPr>
        <w:t>number of MNE groups. Further, it is difficult to foresee the tax certainty process being applied to review the computation of Amount A for thousands of MNE groups from a standing start. Rather, it is reasonable to assume that the new process will require some time to ramp-up, to allow for identifying and addressing operational challenges before any</w:t>
      </w:r>
      <w:r>
        <w:rPr>
          <w:spacing w:val="-5"/>
          <w:sz w:val="20"/>
        </w:rPr>
        <w:t> </w:t>
      </w:r>
      <w:r>
        <w:rPr>
          <w:sz w:val="20"/>
        </w:rPr>
        <w:t>expansion.</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At</w:t>
      </w:r>
      <w:r>
        <w:rPr>
          <w:spacing w:val="-9"/>
          <w:sz w:val="20"/>
        </w:rPr>
        <w:t> </w:t>
      </w:r>
      <w:r>
        <w:rPr>
          <w:sz w:val="20"/>
        </w:rPr>
        <w:t>the</w:t>
      </w:r>
      <w:r>
        <w:rPr>
          <w:spacing w:val="-9"/>
          <w:sz w:val="20"/>
        </w:rPr>
        <w:t> </w:t>
      </w:r>
      <w:r>
        <w:rPr>
          <w:sz w:val="20"/>
        </w:rPr>
        <w:t>same</w:t>
      </w:r>
      <w:r>
        <w:rPr>
          <w:spacing w:val="-8"/>
          <w:sz w:val="20"/>
        </w:rPr>
        <w:t> </w:t>
      </w:r>
      <w:r>
        <w:rPr>
          <w:sz w:val="20"/>
        </w:rPr>
        <w:t>time,</w:t>
      </w:r>
      <w:r>
        <w:rPr>
          <w:spacing w:val="-9"/>
          <w:sz w:val="20"/>
        </w:rPr>
        <w:t> </w:t>
      </w:r>
      <w:r>
        <w:rPr>
          <w:sz w:val="20"/>
        </w:rPr>
        <w:t>the</w:t>
      </w:r>
      <w:r>
        <w:rPr>
          <w:spacing w:val="-9"/>
          <w:sz w:val="20"/>
        </w:rPr>
        <w:t> </w:t>
      </w:r>
      <w:r>
        <w:rPr>
          <w:sz w:val="20"/>
        </w:rPr>
        <w:t>threshold</w:t>
      </w:r>
      <w:r>
        <w:rPr>
          <w:spacing w:val="-8"/>
          <w:sz w:val="20"/>
        </w:rPr>
        <w:t> </w:t>
      </w:r>
      <w:r>
        <w:rPr>
          <w:sz w:val="20"/>
        </w:rPr>
        <w:t>needs</w:t>
      </w:r>
      <w:r>
        <w:rPr>
          <w:spacing w:val="-8"/>
          <w:sz w:val="20"/>
        </w:rPr>
        <w:t> </w:t>
      </w:r>
      <w:r>
        <w:rPr>
          <w:sz w:val="20"/>
        </w:rPr>
        <w:t>to</w:t>
      </w:r>
      <w:r>
        <w:rPr>
          <w:spacing w:val="-9"/>
          <w:sz w:val="20"/>
        </w:rPr>
        <w:t> </w:t>
      </w:r>
      <w:r>
        <w:rPr>
          <w:sz w:val="20"/>
        </w:rPr>
        <w:t>ensure</w:t>
      </w:r>
      <w:r>
        <w:rPr>
          <w:spacing w:val="-8"/>
          <w:sz w:val="20"/>
        </w:rPr>
        <w:t> </w:t>
      </w:r>
      <w:r>
        <w:rPr>
          <w:sz w:val="20"/>
        </w:rPr>
        <w:t>that</w:t>
      </w:r>
      <w:r>
        <w:rPr>
          <w:spacing w:val="-9"/>
          <w:sz w:val="20"/>
        </w:rPr>
        <w:t> </w:t>
      </w:r>
      <w:r>
        <w:rPr>
          <w:sz w:val="20"/>
        </w:rPr>
        <w:t>it</w:t>
      </w:r>
      <w:r>
        <w:rPr>
          <w:spacing w:val="-6"/>
          <w:sz w:val="20"/>
        </w:rPr>
        <w:t> </w:t>
      </w:r>
      <w:r>
        <w:rPr>
          <w:sz w:val="20"/>
        </w:rPr>
        <w:t>does</w:t>
      </w:r>
      <w:r>
        <w:rPr>
          <w:spacing w:val="-7"/>
          <w:sz w:val="20"/>
        </w:rPr>
        <w:t> </w:t>
      </w:r>
      <w:r>
        <w:rPr>
          <w:sz w:val="20"/>
        </w:rPr>
        <w:t>not</w:t>
      </w:r>
      <w:r>
        <w:rPr>
          <w:spacing w:val="-9"/>
          <w:sz w:val="20"/>
        </w:rPr>
        <w:t> </w:t>
      </w:r>
      <w:r>
        <w:rPr>
          <w:sz w:val="20"/>
        </w:rPr>
        <w:t>exclude</w:t>
      </w:r>
      <w:r>
        <w:rPr>
          <w:spacing w:val="-9"/>
          <w:sz w:val="20"/>
        </w:rPr>
        <w:t> </w:t>
      </w:r>
      <w:r>
        <w:rPr>
          <w:sz w:val="20"/>
        </w:rPr>
        <w:t>a</w:t>
      </w:r>
      <w:r>
        <w:rPr>
          <w:spacing w:val="-8"/>
          <w:sz w:val="20"/>
        </w:rPr>
        <w:t> </w:t>
      </w:r>
      <w:r>
        <w:rPr>
          <w:sz w:val="20"/>
        </w:rPr>
        <w:t>material</w:t>
      </w:r>
      <w:r>
        <w:rPr>
          <w:spacing w:val="-7"/>
          <w:sz w:val="20"/>
        </w:rPr>
        <w:t> </w:t>
      </w:r>
      <w:r>
        <w:rPr>
          <w:sz w:val="20"/>
        </w:rPr>
        <w:t>part</w:t>
      </w:r>
      <w:r>
        <w:rPr>
          <w:spacing w:val="-9"/>
          <w:sz w:val="20"/>
        </w:rPr>
        <w:t> </w:t>
      </w:r>
      <w:r>
        <w:rPr>
          <w:sz w:val="20"/>
        </w:rPr>
        <w:t>of</w:t>
      </w:r>
      <w:r>
        <w:rPr>
          <w:spacing w:val="-6"/>
          <w:sz w:val="20"/>
        </w:rPr>
        <w:t> </w:t>
      </w:r>
      <w:r>
        <w:rPr>
          <w:sz w:val="20"/>
        </w:rPr>
        <w:t>residual profits otherwise in scope. In light of this, and to minimise compliance costs and keep the administration of the new rules manageable for tax administrations, further work will explore different approaches. One approach</w:t>
      </w:r>
      <w:r>
        <w:rPr>
          <w:spacing w:val="-6"/>
          <w:sz w:val="20"/>
        </w:rPr>
        <w:t> </w:t>
      </w:r>
      <w:r>
        <w:rPr>
          <w:sz w:val="20"/>
        </w:rPr>
        <w:t>could</w:t>
      </w:r>
      <w:r>
        <w:rPr>
          <w:spacing w:val="-7"/>
          <w:sz w:val="20"/>
        </w:rPr>
        <w:t> </w:t>
      </w:r>
      <w:r>
        <w:rPr>
          <w:sz w:val="20"/>
        </w:rPr>
        <w:t>be</w:t>
      </w:r>
      <w:r>
        <w:rPr>
          <w:spacing w:val="-7"/>
          <w:sz w:val="20"/>
        </w:rPr>
        <w:t> </w:t>
      </w:r>
      <w:r>
        <w:rPr>
          <w:sz w:val="20"/>
        </w:rPr>
        <w:t>to</w:t>
      </w:r>
      <w:r>
        <w:rPr>
          <w:spacing w:val="-6"/>
          <w:sz w:val="20"/>
        </w:rPr>
        <w:t> </w:t>
      </w:r>
      <w:r>
        <w:rPr>
          <w:sz w:val="20"/>
        </w:rPr>
        <w:t>implement</w:t>
      </w:r>
      <w:r>
        <w:rPr>
          <w:spacing w:val="-6"/>
          <w:sz w:val="20"/>
        </w:rPr>
        <w:t> </w:t>
      </w:r>
      <w:r>
        <w:rPr>
          <w:sz w:val="20"/>
        </w:rPr>
        <w:t>the</w:t>
      </w:r>
      <w:r>
        <w:rPr>
          <w:spacing w:val="-7"/>
          <w:sz w:val="20"/>
        </w:rPr>
        <w:t> </w:t>
      </w:r>
      <w:r>
        <w:rPr>
          <w:sz w:val="20"/>
        </w:rPr>
        <w:t>threshold</w:t>
      </w:r>
      <w:r>
        <w:rPr>
          <w:spacing w:val="-6"/>
          <w:sz w:val="20"/>
        </w:rPr>
        <w:t> </w:t>
      </w:r>
      <w:r>
        <w:rPr>
          <w:sz w:val="20"/>
        </w:rPr>
        <w:t>on</w:t>
      </w:r>
      <w:r>
        <w:rPr>
          <w:spacing w:val="-2"/>
          <w:sz w:val="20"/>
        </w:rPr>
        <w:t> </w:t>
      </w:r>
      <w:r>
        <w:rPr>
          <w:sz w:val="20"/>
        </w:rPr>
        <w:t>a</w:t>
      </w:r>
      <w:r>
        <w:rPr>
          <w:spacing w:val="-7"/>
          <w:sz w:val="20"/>
        </w:rPr>
        <w:t> </w:t>
      </w:r>
      <w:r>
        <w:rPr>
          <w:sz w:val="20"/>
        </w:rPr>
        <w:t>phased</w:t>
      </w:r>
      <w:r>
        <w:rPr>
          <w:spacing w:val="-7"/>
          <w:sz w:val="20"/>
        </w:rPr>
        <w:t> </w:t>
      </w:r>
      <w:r>
        <w:rPr>
          <w:sz w:val="20"/>
        </w:rPr>
        <w:t>approach.</w:t>
      </w:r>
      <w:r>
        <w:rPr>
          <w:spacing w:val="-6"/>
          <w:sz w:val="20"/>
        </w:rPr>
        <w:t> </w:t>
      </w:r>
      <w:r>
        <w:rPr>
          <w:sz w:val="20"/>
        </w:rPr>
        <w:t>This</w:t>
      </w:r>
      <w:r>
        <w:rPr>
          <w:spacing w:val="-3"/>
          <w:sz w:val="20"/>
        </w:rPr>
        <w:t> </w:t>
      </w:r>
      <w:r>
        <w:rPr>
          <w:sz w:val="20"/>
        </w:rPr>
        <w:t>could</w:t>
      </w:r>
      <w:r>
        <w:rPr>
          <w:spacing w:val="-4"/>
          <w:sz w:val="20"/>
        </w:rPr>
        <w:t> </w:t>
      </w:r>
      <w:r>
        <w:rPr>
          <w:sz w:val="20"/>
        </w:rPr>
        <w:t>start</w:t>
      </w:r>
      <w:r>
        <w:rPr>
          <w:spacing w:val="-6"/>
          <w:sz w:val="20"/>
        </w:rPr>
        <w:t> </w:t>
      </w:r>
      <w:r>
        <w:rPr>
          <w:sz w:val="20"/>
        </w:rPr>
        <w:t>with</w:t>
      </w:r>
      <w:r>
        <w:rPr>
          <w:spacing w:val="-7"/>
          <w:sz w:val="20"/>
        </w:rPr>
        <w:t> </w:t>
      </w:r>
      <w:r>
        <w:rPr>
          <w:sz w:val="20"/>
        </w:rPr>
        <w:t>a</w:t>
      </w:r>
      <w:r>
        <w:rPr>
          <w:spacing w:val="-3"/>
          <w:sz w:val="20"/>
        </w:rPr>
        <w:t> </w:t>
      </w:r>
      <w:r>
        <w:rPr>
          <w:sz w:val="20"/>
        </w:rPr>
        <w:t>higher</w:t>
      </w:r>
      <w:r>
        <w:rPr>
          <w:spacing w:val="-6"/>
          <w:sz w:val="20"/>
        </w:rPr>
        <w:t> </w:t>
      </w:r>
      <w:r>
        <w:rPr>
          <w:sz w:val="20"/>
        </w:rPr>
        <w:t>global revenue</w:t>
      </w:r>
      <w:r>
        <w:rPr>
          <w:spacing w:val="-9"/>
          <w:sz w:val="20"/>
        </w:rPr>
        <w:t> </w:t>
      </w:r>
      <w:r>
        <w:rPr>
          <w:sz w:val="20"/>
        </w:rPr>
        <w:t>threshold</w:t>
      </w:r>
      <w:r>
        <w:rPr>
          <w:spacing w:val="-9"/>
          <w:sz w:val="20"/>
        </w:rPr>
        <w:t> </w:t>
      </w:r>
      <w:r>
        <w:rPr>
          <w:sz w:val="20"/>
        </w:rPr>
        <w:t>that</w:t>
      </w:r>
      <w:r>
        <w:rPr>
          <w:spacing w:val="-7"/>
          <w:sz w:val="20"/>
        </w:rPr>
        <w:t> </w:t>
      </w:r>
      <w:r>
        <w:rPr>
          <w:sz w:val="20"/>
        </w:rPr>
        <w:t>could</w:t>
      </w:r>
      <w:r>
        <w:rPr>
          <w:spacing w:val="-9"/>
          <w:sz w:val="20"/>
        </w:rPr>
        <w:t> </w:t>
      </w:r>
      <w:r>
        <w:rPr>
          <w:sz w:val="20"/>
        </w:rPr>
        <w:t>either</w:t>
      </w:r>
      <w:r>
        <w:rPr>
          <w:spacing w:val="-6"/>
          <w:sz w:val="20"/>
        </w:rPr>
        <w:t> </w:t>
      </w:r>
      <w:r>
        <w:rPr>
          <w:sz w:val="20"/>
        </w:rPr>
        <w:t>be</w:t>
      </w:r>
      <w:r>
        <w:rPr>
          <w:spacing w:val="-7"/>
          <w:sz w:val="20"/>
        </w:rPr>
        <w:t> </w:t>
      </w:r>
      <w:r>
        <w:rPr>
          <w:sz w:val="20"/>
        </w:rPr>
        <w:t>gradually</w:t>
      </w:r>
      <w:r>
        <w:rPr>
          <w:spacing w:val="-12"/>
          <w:sz w:val="20"/>
        </w:rPr>
        <w:t> </w:t>
      </w:r>
      <w:r>
        <w:rPr>
          <w:sz w:val="20"/>
        </w:rPr>
        <w:t>reduced</w:t>
      </w:r>
      <w:r>
        <w:rPr>
          <w:spacing w:val="-9"/>
          <w:sz w:val="20"/>
        </w:rPr>
        <w:t> </w:t>
      </w:r>
      <w:r>
        <w:rPr>
          <w:sz w:val="20"/>
        </w:rPr>
        <w:t>over</w:t>
      </w:r>
      <w:r>
        <w:rPr>
          <w:spacing w:val="-6"/>
          <w:sz w:val="20"/>
        </w:rPr>
        <w:t> </w:t>
      </w:r>
      <w:r>
        <w:rPr>
          <w:sz w:val="20"/>
        </w:rPr>
        <w:t>a</w:t>
      </w:r>
      <w:r>
        <w:rPr>
          <w:spacing w:val="-9"/>
          <w:sz w:val="20"/>
        </w:rPr>
        <w:t> </w:t>
      </w:r>
      <w:r>
        <w:rPr>
          <w:sz w:val="20"/>
        </w:rPr>
        <w:t>number</w:t>
      </w:r>
      <w:r>
        <w:rPr>
          <w:spacing w:val="-8"/>
          <w:sz w:val="20"/>
        </w:rPr>
        <w:t> </w:t>
      </w:r>
      <w:r>
        <w:rPr>
          <w:sz w:val="20"/>
        </w:rPr>
        <w:t>of</w:t>
      </w:r>
      <w:r>
        <w:rPr>
          <w:spacing w:val="-7"/>
          <w:sz w:val="20"/>
        </w:rPr>
        <w:t> </w:t>
      </w:r>
      <w:r>
        <w:rPr>
          <w:sz w:val="20"/>
        </w:rPr>
        <w:t>years</w:t>
      </w:r>
      <w:r>
        <w:rPr>
          <w:spacing w:val="-4"/>
          <w:sz w:val="20"/>
        </w:rPr>
        <w:t> </w:t>
      </w:r>
      <w:r>
        <w:rPr>
          <w:sz w:val="20"/>
        </w:rPr>
        <w:t>or</w:t>
      </w:r>
      <w:r>
        <w:rPr>
          <w:spacing w:val="-8"/>
          <w:sz w:val="20"/>
        </w:rPr>
        <w:t> </w:t>
      </w:r>
      <w:r>
        <w:rPr>
          <w:sz w:val="20"/>
        </w:rPr>
        <w:t>be</w:t>
      </w:r>
      <w:r>
        <w:rPr>
          <w:spacing w:val="-9"/>
          <w:sz w:val="20"/>
        </w:rPr>
        <w:t> </w:t>
      </w:r>
      <w:r>
        <w:rPr>
          <w:sz w:val="20"/>
        </w:rPr>
        <w:t>applied</w:t>
      </w:r>
      <w:r>
        <w:rPr>
          <w:spacing w:val="-9"/>
          <w:sz w:val="20"/>
        </w:rPr>
        <w:t> </w:t>
      </w:r>
      <w:r>
        <w:rPr>
          <w:sz w:val="20"/>
        </w:rPr>
        <w:t>for</w:t>
      </w:r>
      <w:r>
        <w:rPr>
          <w:spacing w:val="-8"/>
          <w:sz w:val="20"/>
        </w:rPr>
        <w:t> </w:t>
      </w:r>
      <w:r>
        <w:rPr>
          <w:sz w:val="20"/>
        </w:rPr>
        <w:t>a</w:t>
      </w:r>
      <w:r>
        <w:rPr>
          <w:spacing w:val="-9"/>
          <w:sz w:val="20"/>
        </w:rPr>
        <w:t> </w:t>
      </w:r>
      <w:r>
        <w:rPr>
          <w:sz w:val="20"/>
        </w:rPr>
        <w:t>longer period and then only start the reductions after a post-implementation review has been undertaken. Other approaches will also be</w:t>
      </w:r>
      <w:r>
        <w:rPr>
          <w:spacing w:val="4"/>
          <w:sz w:val="20"/>
        </w:rPr>
        <w:t> </w:t>
      </w:r>
      <w:r>
        <w:rPr>
          <w:sz w:val="20"/>
        </w:rPr>
        <w:t>explored.</w:t>
      </w:r>
    </w:p>
    <w:p>
      <w:pPr>
        <w:pStyle w:val="ListParagraph"/>
        <w:numPr>
          <w:ilvl w:val="0"/>
          <w:numId w:val="13"/>
        </w:numPr>
        <w:tabs>
          <w:tab w:pos="1444" w:val="left" w:leader="none"/>
        </w:tabs>
        <w:spacing w:line="273" w:lineRule="auto" w:before="120" w:after="0"/>
        <w:ind w:left="723" w:right="493" w:firstLine="0"/>
        <w:jc w:val="both"/>
        <w:rPr>
          <w:sz w:val="20"/>
        </w:rPr>
      </w:pPr>
      <w:r>
        <w:rPr>
          <w:sz w:val="20"/>
        </w:rPr>
        <w:t>The table below contains some economic analysis on the number of MNE groups that could potentially fall in scope of Amount A at different global revenue levels. (see </w:t>
      </w:r>
      <w:hyperlink w:history="true" w:anchor="_bookmark10">
        <w:r>
          <w:rPr>
            <w:sz w:val="20"/>
          </w:rPr>
          <w:t>Table 2.1</w:t>
        </w:r>
        <w:r>
          <w:rPr>
            <w:spacing w:val="-21"/>
            <w:sz w:val="20"/>
          </w:rPr>
          <w:t> </w:t>
        </w:r>
      </w:hyperlink>
      <w:r>
        <w:rPr>
          <w:sz w:val="20"/>
        </w:rPr>
        <w:t>below).</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2"/>
        </w:rPr>
      </w:pPr>
      <w:r>
        <w:rPr/>
        <w:pict>
          <v:rect style="position:absolute;margin-left:65.183998pt;margin-top:14.888564pt;width:144.020004pt;height:.599980pt;mso-position-horizontal-relative:page;mso-position-vertical-relative:paragraph;z-index:-15685120;mso-wrap-distance-left:0;mso-wrap-distance-right:0" filled="true" fillcolor="#000000" stroked="false">
            <v:fill type="solid"/>
            <w10:wrap type="topAndBottom"/>
          </v:rect>
        </w:pict>
      </w:r>
    </w:p>
    <w:p>
      <w:pPr>
        <w:pStyle w:val="BodyText"/>
        <w:spacing w:before="10"/>
        <w:rPr>
          <w:sz w:val="19"/>
        </w:rPr>
      </w:pPr>
    </w:p>
    <w:p>
      <w:pPr>
        <w:spacing w:line="278" w:lineRule="auto" w:before="94"/>
        <w:ind w:left="723" w:right="775" w:firstLine="0"/>
        <w:jc w:val="left"/>
        <w:rPr>
          <w:sz w:val="18"/>
        </w:rPr>
      </w:pPr>
      <w:r>
        <w:rPr>
          <w:sz w:val="18"/>
        </w:rPr>
        <w:t>accounting standards and shown in financial statements (which are relied upon for CbCR) could be used for the purposes of applying the global revenue test (as well as to determine the Amount A tax base, see section </w:t>
      </w:r>
      <w:hyperlink w:history="true" w:anchor="_bookmark44">
        <w:r>
          <w:rPr>
            <w:sz w:val="18"/>
          </w:rPr>
          <w:t>6.2.3</w:t>
        </w:r>
      </w:hyperlink>
      <w:r>
        <w:rPr>
          <w:sz w:val="18"/>
        </w:rPr>
        <w:t>).</w:t>
      </w:r>
    </w:p>
    <w:p>
      <w:pPr>
        <w:pStyle w:val="ListParagraph"/>
        <w:numPr>
          <w:ilvl w:val="0"/>
          <w:numId w:val="14"/>
        </w:numPr>
        <w:tabs>
          <w:tab w:pos="928" w:val="left" w:leader="none"/>
        </w:tabs>
        <w:spacing w:line="240" w:lineRule="auto" w:before="78" w:after="0"/>
        <w:ind w:left="927" w:right="0" w:hanging="205"/>
        <w:jc w:val="left"/>
        <w:rPr>
          <w:sz w:val="18"/>
        </w:rPr>
      </w:pPr>
      <w:r>
        <w:rPr>
          <w:sz w:val="18"/>
        </w:rPr>
        <w:t>CbCR also refers to Country-by-Country Report in this</w:t>
      </w:r>
      <w:r>
        <w:rPr>
          <w:spacing w:val="-7"/>
          <w:sz w:val="18"/>
        </w:rPr>
        <w:t> </w:t>
      </w:r>
      <w:r>
        <w:rPr>
          <w:sz w:val="18"/>
        </w:rPr>
        <w:t>document.</w:t>
      </w:r>
    </w:p>
    <w:p>
      <w:pPr>
        <w:spacing w:after="0" w:line="240" w:lineRule="auto"/>
        <w:jc w:val="left"/>
        <w:rPr>
          <w:sz w:val="18"/>
        </w:rPr>
        <w:sectPr>
          <w:pgSz w:w="11910" w:h="16840"/>
          <w:pgMar w:header="1244" w:footer="1638" w:top="1500" w:bottom="1820" w:left="580" w:right="820"/>
        </w:sectPr>
      </w:pPr>
    </w:p>
    <w:p>
      <w:pPr>
        <w:pStyle w:val="BodyText"/>
        <w:spacing w:before="5"/>
        <w:rPr>
          <w:sz w:val="17"/>
        </w:rPr>
      </w:pPr>
    </w:p>
    <w:p>
      <w:pPr>
        <w:pStyle w:val="Heading4"/>
        <w:spacing w:before="100"/>
        <w:ind w:left="723"/>
        <w:jc w:val="left"/>
        <w:rPr>
          <w:rFonts w:ascii="Arial"/>
          <w:sz w:val="14"/>
        </w:rPr>
      </w:pPr>
      <w:bookmarkStart w:name="_bookmark10" w:id="76"/>
      <w:bookmarkEnd w:id="76"/>
      <w:r>
        <w:rPr>
          <w:b w:val="0"/>
        </w:rPr>
      </w:r>
      <w:r>
        <w:rPr>
          <w:color w:val="4E81BD"/>
        </w:rPr>
        <w:t>Table 2.1. Estimated number of MNE groups above potential global revenue thresholds</w:t>
      </w:r>
      <w:r>
        <w:rPr>
          <w:rFonts w:ascii="Arial"/>
          <w:color w:val="4E81BD"/>
          <w:position w:val="8"/>
          <w:sz w:val="14"/>
        </w:rPr>
        <w:t>38</w:t>
      </w:r>
    </w:p>
    <w:p>
      <w:pPr>
        <w:pStyle w:val="BodyText"/>
        <w:rPr>
          <w:b/>
        </w:rPr>
      </w:pPr>
    </w:p>
    <w:p>
      <w:pPr>
        <w:pStyle w:val="BodyText"/>
        <w:spacing w:before="1" w:after="1"/>
        <w:rPr>
          <w:b/>
          <w:sz w:val="27"/>
        </w:rPr>
      </w:pPr>
    </w:p>
    <w:tbl>
      <w:tblPr>
        <w:tblW w:w="0" w:type="auto"/>
        <w:jc w:val="left"/>
        <w:tblInd w:w="719"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106"/>
        <w:gridCol w:w="3087"/>
        <w:gridCol w:w="3092"/>
      </w:tblGrid>
      <w:tr>
        <w:trPr>
          <w:trHeight w:val="680" w:hRule="atLeast"/>
        </w:trPr>
        <w:tc>
          <w:tcPr>
            <w:tcW w:w="3106" w:type="dxa"/>
            <w:tcBorders>
              <w:left w:val="nil"/>
              <w:bottom w:val="single" w:sz="6" w:space="0" w:color="4E81BD"/>
              <w:right w:val="single" w:sz="6" w:space="0" w:color="D2D2D2"/>
            </w:tcBorders>
          </w:tcPr>
          <w:p>
            <w:pPr>
              <w:pStyle w:val="TableParagraph"/>
              <w:spacing w:before="27"/>
              <w:ind w:left="386"/>
              <w:jc w:val="left"/>
              <w:rPr>
                <w:sz w:val="18"/>
              </w:rPr>
            </w:pPr>
            <w:r>
              <w:rPr>
                <w:sz w:val="18"/>
              </w:rPr>
              <w:t>Global Revenue Threshold (EUR m)</w:t>
            </w:r>
          </w:p>
        </w:tc>
        <w:tc>
          <w:tcPr>
            <w:tcW w:w="3087" w:type="dxa"/>
            <w:tcBorders>
              <w:left w:val="single" w:sz="6" w:space="0" w:color="D2D2D2"/>
              <w:bottom w:val="single" w:sz="6" w:space="0" w:color="4E81BD"/>
              <w:right w:val="single" w:sz="6" w:space="0" w:color="D2D2D2"/>
            </w:tcBorders>
          </w:tcPr>
          <w:p>
            <w:pPr>
              <w:pStyle w:val="TableParagraph"/>
              <w:spacing w:line="256" w:lineRule="auto" w:before="27"/>
              <w:ind w:left="419" w:right="212" w:hanging="164"/>
              <w:jc w:val="left"/>
              <w:rPr>
                <w:sz w:val="18"/>
              </w:rPr>
            </w:pPr>
            <w:r>
              <w:rPr>
                <w:sz w:val="18"/>
              </w:rPr>
              <w:t>Estimated Number of MNE groups after applying global revenue Threshold</w:t>
            </w:r>
          </w:p>
        </w:tc>
        <w:tc>
          <w:tcPr>
            <w:tcW w:w="3092" w:type="dxa"/>
            <w:tcBorders>
              <w:left w:val="single" w:sz="6" w:space="0" w:color="D2D2D2"/>
              <w:bottom w:val="single" w:sz="6" w:space="0" w:color="4E81BD"/>
              <w:right w:val="nil"/>
            </w:tcBorders>
          </w:tcPr>
          <w:p>
            <w:pPr>
              <w:pStyle w:val="TableParagraph"/>
              <w:spacing w:line="220" w:lineRule="atLeast" w:before="14"/>
              <w:ind w:left="129" w:right="110" w:hanging="2"/>
              <w:rPr>
                <w:sz w:val="18"/>
              </w:rPr>
            </w:pPr>
            <w:r>
              <w:rPr>
                <w:sz w:val="18"/>
              </w:rPr>
              <w:t>Estimated Number of MNE groups with a primary activity in ADS or CFB sectors</w:t>
            </w:r>
            <w:r>
              <w:rPr>
                <w:spacing w:val="-19"/>
                <w:sz w:val="18"/>
              </w:rPr>
              <w:t> </w:t>
            </w:r>
            <w:r>
              <w:rPr>
                <w:sz w:val="18"/>
              </w:rPr>
              <w:t>after applying the global revenue</w:t>
            </w:r>
            <w:r>
              <w:rPr>
                <w:spacing w:val="-4"/>
                <w:sz w:val="18"/>
              </w:rPr>
              <w:t> </w:t>
            </w:r>
            <w:r>
              <w:rPr>
                <w:sz w:val="18"/>
              </w:rPr>
              <w:t>threshold</w:t>
            </w:r>
          </w:p>
        </w:tc>
      </w:tr>
      <w:tr>
        <w:trPr>
          <w:trHeight w:val="229" w:hRule="atLeast"/>
        </w:trPr>
        <w:tc>
          <w:tcPr>
            <w:tcW w:w="3106" w:type="dxa"/>
            <w:tcBorders>
              <w:top w:val="single" w:sz="6" w:space="0" w:color="4E81BD"/>
              <w:left w:val="nil"/>
              <w:bottom w:val="single" w:sz="6" w:space="0" w:color="D2D2D2"/>
              <w:right w:val="single" w:sz="6" w:space="0" w:color="D2D2D2"/>
            </w:tcBorders>
          </w:tcPr>
          <w:p>
            <w:pPr>
              <w:pStyle w:val="TableParagraph"/>
              <w:spacing w:before="13"/>
              <w:ind w:left="136"/>
              <w:jc w:val="left"/>
              <w:rPr>
                <w:sz w:val="17"/>
              </w:rPr>
            </w:pPr>
            <w:r>
              <w:rPr>
                <w:sz w:val="17"/>
              </w:rPr>
              <w:t>750</w:t>
            </w:r>
          </w:p>
        </w:tc>
        <w:tc>
          <w:tcPr>
            <w:tcW w:w="3087" w:type="dxa"/>
            <w:tcBorders>
              <w:top w:val="single" w:sz="6" w:space="0" w:color="4E81BD"/>
              <w:left w:val="single" w:sz="6" w:space="0" w:color="D2D2D2"/>
              <w:bottom w:val="single" w:sz="6" w:space="0" w:color="D2D2D2"/>
              <w:right w:val="single" w:sz="6" w:space="0" w:color="D2D2D2"/>
            </w:tcBorders>
          </w:tcPr>
          <w:p>
            <w:pPr>
              <w:pStyle w:val="TableParagraph"/>
              <w:spacing w:before="13"/>
              <w:ind w:left="1312" w:right="1288"/>
              <w:rPr>
                <w:sz w:val="17"/>
              </w:rPr>
            </w:pPr>
            <w:r>
              <w:rPr>
                <w:sz w:val="17"/>
              </w:rPr>
              <w:t>~8,000</w:t>
            </w:r>
          </w:p>
        </w:tc>
        <w:tc>
          <w:tcPr>
            <w:tcW w:w="3092" w:type="dxa"/>
            <w:tcBorders>
              <w:top w:val="single" w:sz="6" w:space="0" w:color="4E81BD"/>
              <w:left w:val="single" w:sz="6" w:space="0" w:color="D2D2D2"/>
              <w:bottom w:val="single" w:sz="6" w:space="0" w:color="D2D2D2"/>
              <w:right w:val="nil"/>
            </w:tcBorders>
          </w:tcPr>
          <w:p>
            <w:pPr>
              <w:pStyle w:val="TableParagraph"/>
              <w:spacing w:before="13"/>
              <w:ind w:left="1315" w:right="1298"/>
              <w:rPr>
                <w:sz w:val="17"/>
              </w:rPr>
            </w:pPr>
            <w:r>
              <w:rPr>
                <w:sz w:val="17"/>
              </w:rPr>
              <w:t>~2,300</w:t>
            </w:r>
          </w:p>
        </w:tc>
      </w:tr>
      <w:tr>
        <w:trPr>
          <w:trHeight w:val="229" w:hRule="atLeast"/>
        </w:trPr>
        <w:tc>
          <w:tcPr>
            <w:tcW w:w="3106" w:type="dxa"/>
            <w:tcBorders>
              <w:top w:val="single" w:sz="6" w:space="0" w:color="D2D2D2"/>
              <w:left w:val="nil"/>
              <w:bottom w:val="single" w:sz="6" w:space="0" w:color="D2D2D2"/>
              <w:right w:val="single" w:sz="6" w:space="0" w:color="D2D2D2"/>
            </w:tcBorders>
          </w:tcPr>
          <w:p>
            <w:pPr>
              <w:pStyle w:val="TableParagraph"/>
              <w:spacing w:before="13"/>
              <w:ind w:left="136"/>
              <w:jc w:val="left"/>
              <w:rPr>
                <w:sz w:val="17"/>
              </w:rPr>
            </w:pPr>
            <w:r>
              <w:rPr>
                <w:sz w:val="17"/>
              </w:rPr>
              <w:t>1,000</w:t>
            </w:r>
          </w:p>
        </w:tc>
        <w:tc>
          <w:tcPr>
            <w:tcW w:w="3087" w:type="dxa"/>
            <w:tcBorders>
              <w:top w:val="single" w:sz="6" w:space="0" w:color="D2D2D2"/>
              <w:left w:val="single" w:sz="6" w:space="0" w:color="D2D2D2"/>
              <w:bottom w:val="single" w:sz="6" w:space="0" w:color="D2D2D2"/>
              <w:right w:val="single" w:sz="6" w:space="0" w:color="D2D2D2"/>
            </w:tcBorders>
          </w:tcPr>
          <w:p>
            <w:pPr>
              <w:pStyle w:val="TableParagraph"/>
              <w:spacing w:before="13"/>
              <w:ind w:left="1312" w:right="1288"/>
              <w:rPr>
                <w:sz w:val="17"/>
              </w:rPr>
            </w:pPr>
            <w:r>
              <w:rPr>
                <w:sz w:val="17"/>
              </w:rPr>
              <w:t>~6,800</w:t>
            </w:r>
          </w:p>
        </w:tc>
        <w:tc>
          <w:tcPr>
            <w:tcW w:w="3092" w:type="dxa"/>
            <w:tcBorders>
              <w:top w:val="single" w:sz="6" w:space="0" w:color="D2D2D2"/>
              <w:left w:val="single" w:sz="6" w:space="0" w:color="D2D2D2"/>
              <w:bottom w:val="single" w:sz="6" w:space="0" w:color="D2D2D2"/>
              <w:right w:val="nil"/>
            </w:tcBorders>
          </w:tcPr>
          <w:p>
            <w:pPr>
              <w:pStyle w:val="TableParagraph"/>
              <w:spacing w:before="13"/>
              <w:ind w:left="1315" w:right="1298"/>
              <w:rPr>
                <w:sz w:val="17"/>
              </w:rPr>
            </w:pPr>
            <w:r>
              <w:rPr>
                <w:sz w:val="17"/>
              </w:rPr>
              <w:t>~2,000</w:t>
            </w:r>
          </w:p>
        </w:tc>
      </w:tr>
      <w:tr>
        <w:trPr>
          <w:trHeight w:val="229" w:hRule="atLeast"/>
        </w:trPr>
        <w:tc>
          <w:tcPr>
            <w:tcW w:w="3106" w:type="dxa"/>
            <w:tcBorders>
              <w:top w:val="single" w:sz="6" w:space="0" w:color="D2D2D2"/>
              <w:left w:val="nil"/>
              <w:bottom w:val="single" w:sz="6" w:space="0" w:color="D2D2D2"/>
              <w:right w:val="single" w:sz="6" w:space="0" w:color="D2D2D2"/>
            </w:tcBorders>
          </w:tcPr>
          <w:p>
            <w:pPr>
              <w:pStyle w:val="TableParagraph"/>
              <w:spacing w:before="13"/>
              <w:ind w:left="136"/>
              <w:jc w:val="left"/>
              <w:rPr>
                <w:sz w:val="17"/>
              </w:rPr>
            </w:pPr>
            <w:r>
              <w:rPr>
                <w:sz w:val="17"/>
              </w:rPr>
              <w:t>2,000</w:t>
            </w:r>
          </w:p>
        </w:tc>
        <w:tc>
          <w:tcPr>
            <w:tcW w:w="3087" w:type="dxa"/>
            <w:tcBorders>
              <w:top w:val="single" w:sz="6" w:space="0" w:color="D2D2D2"/>
              <w:left w:val="single" w:sz="6" w:space="0" w:color="D2D2D2"/>
              <w:bottom w:val="single" w:sz="6" w:space="0" w:color="D2D2D2"/>
              <w:right w:val="single" w:sz="6" w:space="0" w:color="D2D2D2"/>
            </w:tcBorders>
          </w:tcPr>
          <w:p>
            <w:pPr>
              <w:pStyle w:val="TableParagraph"/>
              <w:spacing w:before="13"/>
              <w:ind w:left="1312" w:right="1288"/>
              <w:rPr>
                <w:sz w:val="17"/>
              </w:rPr>
            </w:pPr>
            <w:r>
              <w:rPr>
                <w:sz w:val="17"/>
              </w:rPr>
              <w:t>~4,100</w:t>
            </w:r>
          </w:p>
        </w:tc>
        <w:tc>
          <w:tcPr>
            <w:tcW w:w="3092" w:type="dxa"/>
            <w:tcBorders>
              <w:top w:val="single" w:sz="6" w:space="0" w:color="D2D2D2"/>
              <w:left w:val="single" w:sz="6" w:space="0" w:color="D2D2D2"/>
              <w:bottom w:val="single" w:sz="6" w:space="0" w:color="D2D2D2"/>
              <w:right w:val="nil"/>
            </w:tcBorders>
          </w:tcPr>
          <w:p>
            <w:pPr>
              <w:pStyle w:val="TableParagraph"/>
              <w:spacing w:before="13"/>
              <w:ind w:left="1315" w:right="1298"/>
              <w:rPr>
                <w:sz w:val="17"/>
              </w:rPr>
            </w:pPr>
            <w:r>
              <w:rPr>
                <w:sz w:val="17"/>
              </w:rPr>
              <w:t>~1,300</w:t>
            </w:r>
          </w:p>
        </w:tc>
      </w:tr>
      <w:tr>
        <w:trPr>
          <w:trHeight w:val="229" w:hRule="atLeast"/>
        </w:trPr>
        <w:tc>
          <w:tcPr>
            <w:tcW w:w="3106" w:type="dxa"/>
            <w:tcBorders>
              <w:top w:val="single" w:sz="6" w:space="0" w:color="D2D2D2"/>
              <w:left w:val="nil"/>
              <w:bottom w:val="single" w:sz="6" w:space="0" w:color="D2D2D2"/>
              <w:right w:val="single" w:sz="6" w:space="0" w:color="D2D2D2"/>
            </w:tcBorders>
          </w:tcPr>
          <w:p>
            <w:pPr>
              <w:pStyle w:val="TableParagraph"/>
              <w:spacing w:before="13"/>
              <w:ind w:left="136"/>
              <w:jc w:val="left"/>
              <w:rPr>
                <w:sz w:val="17"/>
              </w:rPr>
            </w:pPr>
            <w:r>
              <w:rPr>
                <w:sz w:val="17"/>
              </w:rPr>
              <w:t>5,000</w:t>
            </w:r>
          </w:p>
        </w:tc>
        <w:tc>
          <w:tcPr>
            <w:tcW w:w="3087" w:type="dxa"/>
            <w:tcBorders>
              <w:top w:val="single" w:sz="6" w:space="0" w:color="D2D2D2"/>
              <w:left w:val="single" w:sz="6" w:space="0" w:color="D2D2D2"/>
              <w:bottom w:val="single" w:sz="6" w:space="0" w:color="D2D2D2"/>
              <w:right w:val="single" w:sz="6" w:space="0" w:color="D2D2D2"/>
            </w:tcBorders>
          </w:tcPr>
          <w:p>
            <w:pPr>
              <w:pStyle w:val="TableParagraph"/>
              <w:spacing w:before="13"/>
              <w:ind w:left="1312" w:right="1288"/>
              <w:rPr>
                <w:sz w:val="17"/>
              </w:rPr>
            </w:pPr>
            <w:r>
              <w:rPr>
                <w:sz w:val="17"/>
              </w:rPr>
              <w:t>~2,000</w:t>
            </w:r>
          </w:p>
        </w:tc>
        <w:tc>
          <w:tcPr>
            <w:tcW w:w="3092" w:type="dxa"/>
            <w:tcBorders>
              <w:top w:val="single" w:sz="6" w:space="0" w:color="D2D2D2"/>
              <w:left w:val="single" w:sz="6" w:space="0" w:color="D2D2D2"/>
              <w:bottom w:val="single" w:sz="6" w:space="0" w:color="D2D2D2"/>
              <w:right w:val="nil"/>
            </w:tcBorders>
          </w:tcPr>
          <w:p>
            <w:pPr>
              <w:pStyle w:val="TableParagraph"/>
              <w:spacing w:before="13"/>
              <w:ind w:left="1315" w:right="1298"/>
              <w:rPr>
                <w:sz w:val="17"/>
              </w:rPr>
            </w:pPr>
            <w:r>
              <w:rPr>
                <w:sz w:val="17"/>
              </w:rPr>
              <w:t>~620</w:t>
            </w:r>
          </w:p>
        </w:tc>
      </w:tr>
      <w:tr>
        <w:trPr>
          <w:trHeight w:val="229" w:hRule="atLeast"/>
        </w:trPr>
        <w:tc>
          <w:tcPr>
            <w:tcW w:w="3106" w:type="dxa"/>
            <w:tcBorders>
              <w:top w:val="single" w:sz="6" w:space="0" w:color="D2D2D2"/>
              <w:left w:val="nil"/>
              <w:right w:val="single" w:sz="6" w:space="0" w:color="D2D2D2"/>
            </w:tcBorders>
          </w:tcPr>
          <w:p>
            <w:pPr>
              <w:pStyle w:val="TableParagraph"/>
              <w:spacing w:before="13"/>
              <w:ind w:left="136"/>
              <w:jc w:val="left"/>
              <w:rPr>
                <w:sz w:val="17"/>
              </w:rPr>
            </w:pPr>
            <w:r>
              <w:rPr>
                <w:sz w:val="17"/>
              </w:rPr>
              <w:t>10,000</w:t>
            </w:r>
          </w:p>
        </w:tc>
        <w:tc>
          <w:tcPr>
            <w:tcW w:w="3087" w:type="dxa"/>
            <w:tcBorders>
              <w:top w:val="single" w:sz="6" w:space="0" w:color="D2D2D2"/>
              <w:left w:val="single" w:sz="6" w:space="0" w:color="D2D2D2"/>
              <w:right w:val="single" w:sz="6" w:space="0" w:color="D2D2D2"/>
            </w:tcBorders>
          </w:tcPr>
          <w:p>
            <w:pPr>
              <w:pStyle w:val="TableParagraph"/>
              <w:spacing w:before="13"/>
              <w:ind w:left="1312" w:right="1288"/>
              <w:rPr>
                <w:sz w:val="17"/>
              </w:rPr>
            </w:pPr>
            <w:r>
              <w:rPr>
                <w:sz w:val="17"/>
              </w:rPr>
              <w:t>~1,000</w:t>
            </w:r>
          </w:p>
        </w:tc>
        <w:tc>
          <w:tcPr>
            <w:tcW w:w="3092" w:type="dxa"/>
            <w:tcBorders>
              <w:top w:val="single" w:sz="6" w:space="0" w:color="D2D2D2"/>
              <w:left w:val="single" w:sz="6" w:space="0" w:color="D2D2D2"/>
              <w:right w:val="nil"/>
            </w:tcBorders>
          </w:tcPr>
          <w:p>
            <w:pPr>
              <w:pStyle w:val="TableParagraph"/>
              <w:spacing w:before="13"/>
              <w:ind w:left="1315" w:right="1298"/>
              <w:rPr>
                <w:sz w:val="17"/>
              </w:rPr>
            </w:pPr>
            <w:r>
              <w:rPr>
                <w:sz w:val="17"/>
              </w:rPr>
              <w:t>~350</w:t>
            </w:r>
          </w:p>
        </w:tc>
      </w:tr>
    </w:tbl>
    <w:p>
      <w:pPr>
        <w:pStyle w:val="BodyText"/>
        <w:spacing w:before="8"/>
        <w:rPr>
          <w:b/>
          <w:sz w:val="17"/>
        </w:rPr>
      </w:pPr>
    </w:p>
    <w:p>
      <w:pPr>
        <w:pStyle w:val="Heading6"/>
        <w:numPr>
          <w:ilvl w:val="2"/>
          <w:numId w:val="7"/>
        </w:numPr>
        <w:tabs>
          <w:tab w:pos="2015" w:val="left" w:leader="none"/>
        </w:tabs>
        <w:spacing w:line="240" w:lineRule="auto" w:before="94" w:after="0"/>
        <w:ind w:left="2014" w:right="0" w:hanging="613"/>
        <w:jc w:val="left"/>
        <w:rPr>
          <w:i/>
        </w:rPr>
      </w:pPr>
      <w:bookmarkStart w:name="2.3.2. De minimis foreign in-scope reven" w:id="77"/>
      <w:bookmarkEnd w:id="77"/>
      <w:r>
        <w:rPr>
          <w:b w:val="0"/>
          <w:i w:val="0"/>
        </w:rPr>
      </w:r>
      <w:bookmarkStart w:name="_bookmark11" w:id="78"/>
      <w:bookmarkEnd w:id="78"/>
      <w:r>
        <w:rPr>
          <w:b w:val="0"/>
          <w:i w:val="0"/>
        </w:rPr>
      </w:r>
      <w:bookmarkStart w:name="_bookmark11" w:id="79"/>
      <w:bookmarkEnd w:id="79"/>
      <w:r>
        <w:rPr>
          <w:i/>
        </w:rPr>
        <w:t>D</w:t>
      </w:r>
      <w:r>
        <w:rPr>
          <w:i/>
        </w:rPr>
        <w:t>e minimis foreign in-scope revenue</w:t>
      </w:r>
      <w:r>
        <w:rPr>
          <w:i/>
          <w:spacing w:val="-7"/>
        </w:rPr>
        <w:t> </w:t>
      </w:r>
      <w:r>
        <w:rPr>
          <w:i/>
        </w:rPr>
        <w:t>test</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The second threshold relates to MNEs that exceed the gross revenue threshold above, but only have a small amount of foreign source in-scope revenue. In such cases, the total profit to be allocated under</w:t>
      </w:r>
      <w:r>
        <w:rPr>
          <w:spacing w:val="-10"/>
          <w:sz w:val="20"/>
        </w:rPr>
        <w:t> </w:t>
      </w:r>
      <w:r>
        <w:rPr>
          <w:sz w:val="20"/>
        </w:rPr>
        <w:t>the</w:t>
      </w:r>
      <w:r>
        <w:rPr>
          <w:spacing w:val="-11"/>
          <w:sz w:val="20"/>
        </w:rPr>
        <w:t> </w:t>
      </w:r>
      <w:r>
        <w:rPr>
          <w:sz w:val="20"/>
        </w:rPr>
        <w:t>new</w:t>
      </w:r>
      <w:r>
        <w:rPr>
          <w:spacing w:val="-13"/>
          <w:sz w:val="20"/>
        </w:rPr>
        <w:t> </w:t>
      </w:r>
      <w:r>
        <w:rPr>
          <w:sz w:val="20"/>
        </w:rPr>
        <w:t>taxing</w:t>
      </w:r>
      <w:r>
        <w:rPr>
          <w:spacing w:val="-11"/>
          <w:sz w:val="20"/>
        </w:rPr>
        <w:t> </w:t>
      </w:r>
      <w:r>
        <w:rPr>
          <w:sz w:val="20"/>
        </w:rPr>
        <w:t>right</w:t>
      </w:r>
      <w:r>
        <w:rPr>
          <w:spacing w:val="-9"/>
          <w:sz w:val="20"/>
        </w:rPr>
        <w:t> </w:t>
      </w:r>
      <w:r>
        <w:rPr>
          <w:sz w:val="20"/>
        </w:rPr>
        <w:t>would</w:t>
      </w:r>
      <w:r>
        <w:rPr>
          <w:spacing w:val="-11"/>
          <w:sz w:val="20"/>
        </w:rPr>
        <w:t> </w:t>
      </w:r>
      <w:r>
        <w:rPr>
          <w:sz w:val="20"/>
        </w:rPr>
        <w:t>not</w:t>
      </w:r>
      <w:r>
        <w:rPr>
          <w:spacing w:val="-11"/>
          <w:sz w:val="20"/>
        </w:rPr>
        <w:t> </w:t>
      </w:r>
      <w:r>
        <w:rPr>
          <w:sz w:val="20"/>
        </w:rPr>
        <w:t>be</w:t>
      </w:r>
      <w:r>
        <w:rPr>
          <w:spacing w:val="-11"/>
          <w:sz w:val="20"/>
        </w:rPr>
        <w:t> </w:t>
      </w:r>
      <w:r>
        <w:rPr>
          <w:sz w:val="20"/>
        </w:rPr>
        <w:t>material</w:t>
      </w:r>
      <w:r>
        <w:rPr>
          <w:spacing w:val="-10"/>
          <w:sz w:val="20"/>
        </w:rPr>
        <w:t> </w:t>
      </w:r>
      <w:r>
        <w:rPr>
          <w:sz w:val="20"/>
        </w:rPr>
        <w:t>relative</w:t>
      </w:r>
      <w:r>
        <w:rPr>
          <w:spacing w:val="-11"/>
          <w:sz w:val="20"/>
        </w:rPr>
        <w:t> </w:t>
      </w:r>
      <w:r>
        <w:rPr>
          <w:sz w:val="20"/>
        </w:rPr>
        <w:t>to</w:t>
      </w:r>
      <w:r>
        <w:rPr>
          <w:spacing w:val="-11"/>
          <w:sz w:val="20"/>
        </w:rPr>
        <w:t> </w:t>
      </w:r>
      <w:r>
        <w:rPr>
          <w:sz w:val="20"/>
        </w:rPr>
        <w:t>the</w:t>
      </w:r>
      <w:r>
        <w:rPr>
          <w:spacing w:val="-12"/>
          <w:sz w:val="20"/>
        </w:rPr>
        <w:t> </w:t>
      </w:r>
      <w:r>
        <w:rPr>
          <w:sz w:val="20"/>
        </w:rPr>
        <w:t>costs</w:t>
      </w:r>
      <w:r>
        <w:rPr>
          <w:spacing w:val="-9"/>
          <w:sz w:val="20"/>
        </w:rPr>
        <w:t> </w:t>
      </w:r>
      <w:r>
        <w:rPr>
          <w:sz w:val="20"/>
        </w:rPr>
        <w:t>to</w:t>
      </w:r>
      <w:r>
        <w:rPr>
          <w:spacing w:val="-9"/>
          <w:sz w:val="20"/>
        </w:rPr>
        <w:t> </w:t>
      </w:r>
      <w:r>
        <w:rPr>
          <w:sz w:val="20"/>
        </w:rPr>
        <w:t>businesses</w:t>
      </w:r>
      <w:r>
        <w:rPr>
          <w:spacing w:val="-9"/>
          <w:sz w:val="20"/>
        </w:rPr>
        <w:t> </w:t>
      </w:r>
      <w:r>
        <w:rPr>
          <w:sz w:val="20"/>
        </w:rPr>
        <w:t>and</w:t>
      </w:r>
      <w:r>
        <w:rPr>
          <w:spacing w:val="-12"/>
          <w:sz w:val="20"/>
        </w:rPr>
        <w:t> </w:t>
      </w:r>
      <w:r>
        <w:rPr>
          <w:sz w:val="20"/>
        </w:rPr>
        <w:t>tax</w:t>
      </w:r>
      <w:r>
        <w:rPr>
          <w:spacing w:val="-10"/>
          <w:sz w:val="20"/>
        </w:rPr>
        <w:t> </w:t>
      </w:r>
      <w:r>
        <w:rPr>
          <w:sz w:val="20"/>
        </w:rPr>
        <w:t>administrations arising</w:t>
      </w:r>
      <w:r>
        <w:rPr>
          <w:spacing w:val="-10"/>
          <w:sz w:val="20"/>
        </w:rPr>
        <w:t> </w:t>
      </w:r>
      <w:r>
        <w:rPr>
          <w:sz w:val="20"/>
        </w:rPr>
        <w:t>from</w:t>
      </w:r>
      <w:r>
        <w:rPr>
          <w:spacing w:val="-3"/>
          <w:sz w:val="20"/>
        </w:rPr>
        <w:t> </w:t>
      </w:r>
      <w:r>
        <w:rPr>
          <w:sz w:val="20"/>
        </w:rPr>
        <w:t>the</w:t>
      </w:r>
      <w:r>
        <w:rPr>
          <w:spacing w:val="-9"/>
          <w:sz w:val="20"/>
        </w:rPr>
        <w:t> </w:t>
      </w:r>
      <w:r>
        <w:rPr>
          <w:sz w:val="20"/>
        </w:rPr>
        <w:t>application</w:t>
      </w:r>
      <w:r>
        <w:rPr>
          <w:spacing w:val="-7"/>
          <w:sz w:val="20"/>
        </w:rPr>
        <w:t> </w:t>
      </w:r>
      <w:r>
        <w:rPr>
          <w:sz w:val="20"/>
        </w:rPr>
        <w:t>of</w:t>
      </w:r>
      <w:r>
        <w:rPr>
          <w:spacing w:val="-7"/>
          <w:sz w:val="20"/>
        </w:rPr>
        <w:t> </w:t>
      </w:r>
      <w:r>
        <w:rPr>
          <w:sz w:val="20"/>
        </w:rPr>
        <w:t>the</w:t>
      </w:r>
      <w:r>
        <w:rPr>
          <w:spacing w:val="-9"/>
          <w:sz w:val="20"/>
        </w:rPr>
        <w:t> </w:t>
      </w:r>
      <w:r>
        <w:rPr>
          <w:sz w:val="20"/>
        </w:rPr>
        <w:t>Amount</w:t>
      </w:r>
      <w:r>
        <w:rPr>
          <w:spacing w:val="-9"/>
          <w:sz w:val="20"/>
        </w:rPr>
        <w:t> </w:t>
      </w:r>
      <w:r>
        <w:rPr>
          <w:sz w:val="20"/>
        </w:rPr>
        <w:t>A</w:t>
      </w:r>
      <w:r>
        <w:rPr>
          <w:spacing w:val="-9"/>
          <w:sz w:val="20"/>
        </w:rPr>
        <w:t> </w:t>
      </w:r>
      <w:r>
        <w:rPr>
          <w:sz w:val="20"/>
        </w:rPr>
        <w:t>rules.</w:t>
      </w:r>
      <w:r>
        <w:rPr>
          <w:spacing w:val="-7"/>
          <w:sz w:val="20"/>
        </w:rPr>
        <w:t> </w:t>
      </w:r>
      <w:r>
        <w:rPr>
          <w:sz w:val="20"/>
        </w:rPr>
        <w:t>First,</w:t>
      </w:r>
      <w:r>
        <w:rPr>
          <w:spacing w:val="-8"/>
          <w:sz w:val="20"/>
        </w:rPr>
        <w:t> </w:t>
      </w:r>
      <w:r>
        <w:rPr>
          <w:sz w:val="20"/>
        </w:rPr>
        <w:t>for</w:t>
      </w:r>
      <w:r>
        <w:rPr>
          <w:spacing w:val="-8"/>
          <w:sz w:val="20"/>
        </w:rPr>
        <w:t> </w:t>
      </w:r>
      <w:r>
        <w:rPr>
          <w:sz w:val="20"/>
        </w:rPr>
        <w:t>MNEs</w:t>
      </w:r>
      <w:r>
        <w:rPr>
          <w:spacing w:val="-8"/>
          <w:sz w:val="20"/>
        </w:rPr>
        <w:t> </w:t>
      </w:r>
      <w:r>
        <w:rPr>
          <w:sz w:val="20"/>
        </w:rPr>
        <w:t>with</w:t>
      </w:r>
      <w:r>
        <w:rPr>
          <w:spacing w:val="-6"/>
          <w:sz w:val="20"/>
        </w:rPr>
        <w:t> </w:t>
      </w:r>
      <w:r>
        <w:rPr>
          <w:sz w:val="20"/>
        </w:rPr>
        <w:t>less</w:t>
      </w:r>
      <w:r>
        <w:rPr>
          <w:spacing w:val="-8"/>
          <w:sz w:val="20"/>
        </w:rPr>
        <w:t> </w:t>
      </w:r>
      <w:r>
        <w:rPr>
          <w:sz w:val="20"/>
        </w:rPr>
        <w:t>in-scope</w:t>
      </w:r>
      <w:r>
        <w:rPr>
          <w:spacing w:val="-9"/>
          <w:sz w:val="20"/>
        </w:rPr>
        <w:t> </w:t>
      </w:r>
      <w:r>
        <w:rPr>
          <w:sz w:val="20"/>
        </w:rPr>
        <w:t>revenue</w:t>
      </w:r>
      <w:r>
        <w:rPr>
          <w:spacing w:val="-7"/>
          <w:sz w:val="20"/>
        </w:rPr>
        <w:t> </w:t>
      </w:r>
      <w:r>
        <w:rPr>
          <w:sz w:val="20"/>
        </w:rPr>
        <w:t>that</w:t>
      </w:r>
      <w:r>
        <w:rPr>
          <w:spacing w:val="-6"/>
          <w:sz w:val="20"/>
        </w:rPr>
        <w:t> </w:t>
      </w:r>
      <w:r>
        <w:rPr>
          <w:sz w:val="20"/>
        </w:rPr>
        <w:t>than</w:t>
      </w:r>
      <w:r>
        <w:rPr>
          <w:spacing w:val="-8"/>
          <w:sz w:val="20"/>
        </w:rPr>
        <w:t> </w:t>
      </w:r>
      <w:r>
        <w:rPr>
          <w:sz w:val="20"/>
        </w:rPr>
        <w:t>the global revenue test the potential profits allocable to market jurisdictions under Amount A will be relatively small. This reflects the fact that an MNE with in-scope revenue of, for example, EUR 250 million and a profit margin of 20% (which is relatively high) will only have profit before tax (PBT) of EUR 50 million that would be in scope of Amount A. Further, the profits allocable to market jurisdictions under Amount A will be</w:t>
      </w:r>
      <w:r>
        <w:rPr>
          <w:spacing w:val="-7"/>
          <w:sz w:val="20"/>
        </w:rPr>
        <w:t> </w:t>
      </w:r>
      <w:r>
        <w:rPr>
          <w:sz w:val="20"/>
        </w:rPr>
        <w:t>further</w:t>
      </w:r>
      <w:r>
        <w:rPr>
          <w:spacing w:val="-3"/>
          <w:sz w:val="20"/>
        </w:rPr>
        <w:t> </w:t>
      </w:r>
      <w:r>
        <w:rPr>
          <w:sz w:val="20"/>
        </w:rPr>
        <w:t>constrained</w:t>
      </w:r>
      <w:r>
        <w:rPr>
          <w:spacing w:val="-5"/>
          <w:sz w:val="20"/>
        </w:rPr>
        <w:t> </w:t>
      </w:r>
      <w:r>
        <w:rPr>
          <w:sz w:val="20"/>
        </w:rPr>
        <w:t>through</w:t>
      </w:r>
      <w:r>
        <w:rPr>
          <w:spacing w:val="-7"/>
          <w:sz w:val="20"/>
        </w:rPr>
        <w:t> </w:t>
      </w:r>
      <w:r>
        <w:rPr>
          <w:sz w:val="20"/>
        </w:rPr>
        <w:t>the</w:t>
      </w:r>
      <w:r>
        <w:rPr>
          <w:spacing w:val="-5"/>
          <w:sz w:val="20"/>
        </w:rPr>
        <w:t> </w:t>
      </w:r>
      <w:r>
        <w:rPr>
          <w:sz w:val="20"/>
        </w:rPr>
        <w:t>application</w:t>
      </w:r>
      <w:r>
        <w:rPr>
          <w:spacing w:val="-5"/>
          <w:sz w:val="20"/>
        </w:rPr>
        <w:t> </w:t>
      </w:r>
      <w:r>
        <w:rPr>
          <w:sz w:val="20"/>
        </w:rPr>
        <w:t>of</w:t>
      </w:r>
      <w:r>
        <w:rPr>
          <w:spacing w:val="-5"/>
          <w:sz w:val="20"/>
        </w:rPr>
        <w:t> </w:t>
      </w:r>
      <w:r>
        <w:rPr>
          <w:sz w:val="20"/>
        </w:rPr>
        <w:t>the</w:t>
      </w:r>
      <w:r>
        <w:rPr>
          <w:spacing w:val="-4"/>
          <w:sz w:val="20"/>
        </w:rPr>
        <w:t> </w:t>
      </w:r>
      <w:r>
        <w:rPr>
          <w:sz w:val="20"/>
        </w:rPr>
        <w:t>profit</w:t>
      </w:r>
      <w:r>
        <w:rPr>
          <w:spacing w:val="-6"/>
          <w:sz w:val="20"/>
        </w:rPr>
        <w:t> </w:t>
      </w:r>
      <w:r>
        <w:rPr>
          <w:sz w:val="20"/>
        </w:rPr>
        <w:t>allocation</w:t>
      </w:r>
      <w:r>
        <w:rPr>
          <w:spacing w:val="-7"/>
          <w:sz w:val="20"/>
        </w:rPr>
        <w:t> </w:t>
      </w:r>
      <w:r>
        <w:rPr>
          <w:sz w:val="20"/>
        </w:rPr>
        <w:t>formula</w:t>
      </w:r>
      <w:r>
        <w:rPr>
          <w:spacing w:val="-7"/>
          <w:sz w:val="20"/>
        </w:rPr>
        <w:t> </w:t>
      </w:r>
      <w:r>
        <w:rPr>
          <w:sz w:val="20"/>
        </w:rPr>
        <w:t>(i.e.</w:t>
      </w:r>
      <w:r>
        <w:rPr>
          <w:spacing w:val="-4"/>
          <w:sz w:val="20"/>
        </w:rPr>
        <w:t> </w:t>
      </w:r>
      <w:r>
        <w:rPr>
          <w:sz w:val="20"/>
        </w:rPr>
        <w:t>the</w:t>
      </w:r>
      <w:r>
        <w:rPr>
          <w:spacing w:val="-5"/>
          <w:sz w:val="20"/>
        </w:rPr>
        <w:t> </w:t>
      </w:r>
      <w:r>
        <w:rPr>
          <w:sz w:val="20"/>
        </w:rPr>
        <w:t>profitability</w:t>
      </w:r>
      <w:r>
        <w:rPr>
          <w:spacing w:val="-10"/>
          <w:sz w:val="20"/>
        </w:rPr>
        <w:t> </w:t>
      </w:r>
      <w:r>
        <w:rPr>
          <w:sz w:val="20"/>
        </w:rPr>
        <w:t>threshold and reallocation percentages).</w:t>
      </w:r>
      <w:r>
        <w:rPr>
          <w:sz w:val="20"/>
          <w:vertAlign w:val="superscript"/>
        </w:rPr>
        <w:t>39</w:t>
      </w:r>
      <w:r>
        <w:rPr>
          <w:sz w:val="20"/>
          <w:vertAlign w:val="baseline"/>
        </w:rPr>
        <w:t> Second, for MNEs that primarily earn in-scope revenue in a single jurisdiction, applying Amount A is likely to have a limited tax impact, because it is likely that the Amount A formula will allocate taxing rights over an MNE’s residual profits to the same jurisdiction that already has taxing rights under the current ALP-based profit allocation</w:t>
      </w:r>
      <w:r>
        <w:rPr>
          <w:spacing w:val="-3"/>
          <w:sz w:val="20"/>
          <w:vertAlign w:val="baseline"/>
        </w:rPr>
        <w:t> </w:t>
      </w:r>
      <w:r>
        <w:rPr>
          <w:sz w:val="20"/>
          <w:vertAlign w:val="baseline"/>
        </w:rPr>
        <w:t>rules.</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For this reason, a secondary de minimis foreign in-scope revenue test would be applied to determine the MNEs in scope of Amount A. This threshold for de minimis foreign in-scope revenue would be set at an absolute number, rather than being relative to the size of a given MNE’s domestic business. This has the benefit of achieving the same outcome for MNE groups that engage in foreign market jurisdictions to a similar extent, irrespective of whether that foreign market engagement is significantly smaller</w:t>
      </w:r>
      <w:r>
        <w:rPr>
          <w:spacing w:val="-12"/>
          <w:sz w:val="20"/>
        </w:rPr>
        <w:t> </w:t>
      </w:r>
      <w:r>
        <w:rPr>
          <w:sz w:val="20"/>
        </w:rPr>
        <w:t>than</w:t>
      </w:r>
      <w:r>
        <w:rPr>
          <w:spacing w:val="-12"/>
          <w:sz w:val="20"/>
        </w:rPr>
        <w:t> </w:t>
      </w:r>
      <w:r>
        <w:rPr>
          <w:sz w:val="20"/>
        </w:rPr>
        <w:t>the</w:t>
      </w:r>
      <w:r>
        <w:rPr>
          <w:spacing w:val="-10"/>
          <w:sz w:val="20"/>
        </w:rPr>
        <w:t> </w:t>
      </w:r>
      <w:r>
        <w:rPr>
          <w:sz w:val="20"/>
        </w:rPr>
        <w:t>domestic</w:t>
      </w:r>
      <w:r>
        <w:rPr>
          <w:spacing w:val="-10"/>
          <w:sz w:val="20"/>
        </w:rPr>
        <w:t> </w:t>
      </w:r>
      <w:r>
        <w:rPr>
          <w:sz w:val="20"/>
        </w:rPr>
        <w:t>business</w:t>
      </w:r>
      <w:r>
        <w:rPr>
          <w:spacing w:val="-11"/>
          <w:sz w:val="20"/>
        </w:rPr>
        <w:t> </w:t>
      </w:r>
      <w:r>
        <w:rPr>
          <w:sz w:val="20"/>
        </w:rPr>
        <w:t>or</w:t>
      </w:r>
      <w:r>
        <w:rPr>
          <w:spacing w:val="-11"/>
          <w:sz w:val="20"/>
        </w:rPr>
        <w:t> </w:t>
      </w:r>
      <w:r>
        <w:rPr>
          <w:sz w:val="20"/>
        </w:rPr>
        <w:t>not</w:t>
      </w:r>
      <w:r>
        <w:rPr>
          <w:spacing w:val="-12"/>
          <w:sz w:val="20"/>
        </w:rPr>
        <w:t> </w:t>
      </w:r>
      <w:r>
        <w:rPr>
          <w:sz w:val="20"/>
        </w:rPr>
        <w:t>(and</w:t>
      </w:r>
      <w:r>
        <w:rPr>
          <w:spacing w:val="-10"/>
          <w:sz w:val="20"/>
        </w:rPr>
        <w:t> </w:t>
      </w:r>
      <w:r>
        <w:rPr>
          <w:sz w:val="20"/>
        </w:rPr>
        <w:t>which</w:t>
      </w:r>
      <w:r>
        <w:rPr>
          <w:spacing w:val="-12"/>
          <w:sz w:val="20"/>
        </w:rPr>
        <w:t> </w:t>
      </w:r>
      <w:r>
        <w:rPr>
          <w:sz w:val="20"/>
        </w:rPr>
        <w:t>may</w:t>
      </w:r>
      <w:r>
        <w:rPr>
          <w:spacing w:val="-13"/>
          <w:sz w:val="20"/>
        </w:rPr>
        <w:t> </w:t>
      </w:r>
      <w:r>
        <w:rPr>
          <w:sz w:val="20"/>
        </w:rPr>
        <w:t>otherwise</w:t>
      </w:r>
      <w:r>
        <w:rPr>
          <w:spacing w:val="-9"/>
          <w:sz w:val="20"/>
        </w:rPr>
        <w:t> </w:t>
      </w:r>
      <w:r>
        <w:rPr>
          <w:sz w:val="20"/>
        </w:rPr>
        <w:t>lead</w:t>
      </w:r>
      <w:r>
        <w:rPr>
          <w:spacing w:val="-12"/>
          <w:sz w:val="20"/>
        </w:rPr>
        <w:t> </w:t>
      </w:r>
      <w:r>
        <w:rPr>
          <w:sz w:val="20"/>
        </w:rPr>
        <w:t>to</w:t>
      </w:r>
      <w:r>
        <w:rPr>
          <w:spacing w:val="-10"/>
          <w:sz w:val="20"/>
        </w:rPr>
        <w:t> </w:t>
      </w:r>
      <w:r>
        <w:rPr>
          <w:sz w:val="20"/>
        </w:rPr>
        <w:t>different</w:t>
      </w:r>
      <w:r>
        <w:rPr>
          <w:spacing w:val="-12"/>
          <w:sz w:val="20"/>
        </w:rPr>
        <w:t> </w:t>
      </w:r>
      <w:r>
        <w:rPr>
          <w:sz w:val="20"/>
        </w:rPr>
        <w:t>outcomes</w:t>
      </w:r>
      <w:r>
        <w:rPr>
          <w:spacing w:val="-11"/>
          <w:sz w:val="20"/>
        </w:rPr>
        <w:t> </w:t>
      </w:r>
      <w:r>
        <w:rPr>
          <w:sz w:val="20"/>
        </w:rPr>
        <w:t>depending on the relative size of the domestic</w:t>
      </w:r>
      <w:r>
        <w:rPr>
          <w:spacing w:val="-8"/>
          <w:sz w:val="20"/>
        </w:rPr>
        <w:t> </w:t>
      </w:r>
      <w:r>
        <w:rPr>
          <w:sz w:val="20"/>
        </w:rPr>
        <w:t>market).</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This</w:t>
      </w:r>
      <w:r>
        <w:rPr>
          <w:spacing w:val="-8"/>
          <w:sz w:val="20"/>
        </w:rPr>
        <w:t> </w:t>
      </w:r>
      <w:r>
        <w:rPr>
          <w:sz w:val="20"/>
        </w:rPr>
        <w:t>test</w:t>
      </w:r>
      <w:r>
        <w:rPr>
          <w:spacing w:val="-5"/>
          <w:sz w:val="20"/>
        </w:rPr>
        <w:t> </w:t>
      </w:r>
      <w:r>
        <w:rPr>
          <w:sz w:val="20"/>
        </w:rPr>
        <w:t>would</w:t>
      </w:r>
      <w:r>
        <w:rPr>
          <w:spacing w:val="-5"/>
          <w:sz w:val="20"/>
        </w:rPr>
        <w:t> </w:t>
      </w:r>
      <w:r>
        <w:rPr>
          <w:sz w:val="20"/>
        </w:rPr>
        <w:t>have</w:t>
      </w:r>
      <w:r>
        <w:rPr>
          <w:spacing w:val="-5"/>
          <w:sz w:val="20"/>
        </w:rPr>
        <w:t> </w:t>
      </w:r>
      <w:r>
        <w:rPr>
          <w:sz w:val="20"/>
        </w:rPr>
        <w:t>two</w:t>
      </w:r>
      <w:r>
        <w:rPr>
          <w:spacing w:val="-6"/>
          <w:sz w:val="20"/>
        </w:rPr>
        <w:t> </w:t>
      </w:r>
      <w:r>
        <w:rPr>
          <w:sz w:val="20"/>
        </w:rPr>
        <w:t>steps.</w:t>
      </w:r>
      <w:r>
        <w:rPr>
          <w:spacing w:val="-9"/>
          <w:sz w:val="20"/>
        </w:rPr>
        <w:t> </w:t>
      </w:r>
      <w:r>
        <w:rPr>
          <w:sz w:val="20"/>
        </w:rPr>
        <w:t>First,</w:t>
      </w:r>
      <w:r>
        <w:rPr>
          <w:spacing w:val="-8"/>
          <w:sz w:val="20"/>
        </w:rPr>
        <w:t> </w:t>
      </w:r>
      <w:r>
        <w:rPr>
          <w:sz w:val="20"/>
        </w:rPr>
        <w:t>an</w:t>
      </w:r>
      <w:r>
        <w:rPr>
          <w:spacing w:val="-6"/>
          <w:sz w:val="20"/>
        </w:rPr>
        <w:t> </w:t>
      </w:r>
      <w:r>
        <w:rPr>
          <w:sz w:val="20"/>
        </w:rPr>
        <w:t>MNE</w:t>
      </w:r>
      <w:r>
        <w:rPr>
          <w:spacing w:val="-4"/>
          <w:sz w:val="20"/>
        </w:rPr>
        <w:t> </w:t>
      </w:r>
      <w:r>
        <w:rPr>
          <w:sz w:val="20"/>
        </w:rPr>
        <w:t>would</w:t>
      </w:r>
      <w:r>
        <w:rPr>
          <w:spacing w:val="-3"/>
          <w:sz w:val="20"/>
        </w:rPr>
        <w:t> </w:t>
      </w:r>
      <w:r>
        <w:rPr>
          <w:sz w:val="20"/>
        </w:rPr>
        <w:t>apply</w:t>
      </w:r>
      <w:r>
        <w:rPr>
          <w:spacing w:val="-9"/>
          <w:sz w:val="20"/>
        </w:rPr>
        <w:t> </w:t>
      </w:r>
      <w:r>
        <w:rPr>
          <w:sz w:val="20"/>
        </w:rPr>
        <w:t>the</w:t>
      </w:r>
      <w:r>
        <w:rPr>
          <w:spacing w:val="-7"/>
          <w:sz w:val="20"/>
        </w:rPr>
        <w:t> </w:t>
      </w:r>
      <w:r>
        <w:rPr>
          <w:sz w:val="20"/>
        </w:rPr>
        <w:t>activities</w:t>
      </w:r>
      <w:r>
        <w:rPr>
          <w:spacing w:val="-7"/>
          <w:sz w:val="20"/>
        </w:rPr>
        <w:t> </w:t>
      </w:r>
      <w:r>
        <w:rPr>
          <w:sz w:val="20"/>
        </w:rPr>
        <w:t>test</w:t>
      </w:r>
      <w:r>
        <w:rPr>
          <w:spacing w:val="-8"/>
          <w:sz w:val="20"/>
        </w:rPr>
        <w:t> </w:t>
      </w:r>
      <w:r>
        <w:rPr>
          <w:sz w:val="20"/>
        </w:rPr>
        <w:t>to</w:t>
      </w:r>
      <w:r>
        <w:rPr>
          <w:spacing w:val="-6"/>
          <w:sz w:val="20"/>
        </w:rPr>
        <w:t> </w:t>
      </w:r>
      <w:r>
        <w:rPr>
          <w:sz w:val="20"/>
        </w:rPr>
        <w:t>determine</w:t>
      </w:r>
      <w:r>
        <w:rPr>
          <w:spacing w:val="-6"/>
          <w:sz w:val="20"/>
        </w:rPr>
        <w:t> </w:t>
      </w:r>
      <w:r>
        <w:rPr>
          <w:sz w:val="20"/>
        </w:rPr>
        <w:t>whether the group earned more than the de minimis foreign in-scope revenue threshold amount from ADS or CFB activities. MNEs that do not earn more than the de minimis foreign in-scope revenue threshold amount from in-scope activities would be excluded from scope on this basis. Second, the MNE would then need to</w:t>
      </w:r>
      <w:r>
        <w:rPr>
          <w:spacing w:val="-7"/>
          <w:sz w:val="20"/>
        </w:rPr>
        <w:t> </w:t>
      </w:r>
      <w:r>
        <w:rPr>
          <w:sz w:val="20"/>
        </w:rPr>
        <w:t>determine</w:t>
      </w:r>
      <w:r>
        <w:rPr>
          <w:spacing w:val="-4"/>
          <w:sz w:val="20"/>
        </w:rPr>
        <w:t> </w:t>
      </w:r>
      <w:r>
        <w:rPr>
          <w:sz w:val="20"/>
        </w:rPr>
        <w:t>whether</w:t>
      </w:r>
      <w:r>
        <w:rPr>
          <w:spacing w:val="-6"/>
          <w:sz w:val="20"/>
        </w:rPr>
        <w:t> </w:t>
      </w:r>
      <w:r>
        <w:rPr>
          <w:sz w:val="20"/>
        </w:rPr>
        <w:t>it</w:t>
      </w:r>
      <w:r>
        <w:rPr>
          <w:spacing w:val="-3"/>
          <w:sz w:val="20"/>
        </w:rPr>
        <w:t> </w:t>
      </w:r>
      <w:r>
        <w:rPr>
          <w:sz w:val="20"/>
        </w:rPr>
        <w:t>earned</w:t>
      </w:r>
      <w:r>
        <w:rPr>
          <w:spacing w:val="-7"/>
          <w:sz w:val="20"/>
        </w:rPr>
        <w:t> </w:t>
      </w:r>
      <w:r>
        <w:rPr>
          <w:sz w:val="20"/>
        </w:rPr>
        <w:t>more</w:t>
      </w:r>
      <w:r>
        <w:rPr>
          <w:spacing w:val="-5"/>
          <w:sz w:val="20"/>
        </w:rPr>
        <w:t> </w:t>
      </w:r>
      <w:r>
        <w:rPr>
          <w:sz w:val="20"/>
        </w:rPr>
        <w:t>than</w:t>
      </w:r>
      <w:r>
        <w:rPr>
          <w:spacing w:val="-5"/>
          <w:sz w:val="20"/>
        </w:rPr>
        <w:t> </w:t>
      </w:r>
      <w:r>
        <w:rPr>
          <w:sz w:val="20"/>
        </w:rPr>
        <w:t>the</w:t>
      </w:r>
      <w:r>
        <w:rPr>
          <w:spacing w:val="-4"/>
          <w:sz w:val="20"/>
        </w:rPr>
        <w:t> </w:t>
      </w:r>
      <w:r>
        <w:rPr>
          <w:sz w:val="20"/>
        </w:rPr>
        <w:t>de</w:t>
      </w:r>
      <w:r>
        <w:rPr>
          <w:spacing w:val="-7"/>
          <w:sz w:val="20"/>
        </w:rPr>
        <w:t> </w:t>
      </w:r>
      <w:r>
        <w:rPr>
          <w:sz w:val="20"/>
        </w:rPr>
        <w:t>minimis</w:t>
      </w:r>
      <w:r>
        <w:rPr>
          <w:spacing w:val="-7"/>
          <w:sz w:val="20"/>
        </w:rPr>
        <w:t> </w:t>
      </w:r>
      <w:r>
        <w:rPr>
          <w:sz w:val="20"/>
        </w:rPr>
        <w:t>foreign</w:t>
      </w:r>
      <w:r>
        <w:rPr>
          <w:spacing w:val="-5"/>
          <w:sz w:val="20"/>
        </w:rPr>
        <w:t> </w:t>
      </w:r>
      <w:r>
        <w:rPr>
          <w:sz w:val="20"/>
        </w:rPr>
        <w:t>in-scope</w:t>
      </w:r>
      <w:r>
        <w:rPr>
          <w:spacing w:val="-6"/>
          <w:sz w:val="20"/>
        </w:rPr>
        <w:t> </w:t>
      </w:r>
      <w:r>
        <w:rPr>
          <w:sz w:val="20"/>
        </w:rPr>
        <w:t>revenue</w:t>
      </w:r>
      <w:r>
        <w:rPr>
          <w:spacing w:val="-6"/>
          <w:sz w:val="20"/>
        </w:rPr>
        <w:t> </w:t>
      </w:r>
      <w:r>
        <w:rPr>
          <w:sz w:val="20"/>
        </w:rPr>
        <w:t>threshold</w:t>
      </w:r>
      <w:r>
        <w:rPr>
          <w:spacing w:val="-7"/>
          <w:sz w:val="20"/>
        </w:rPr>
        <w:t> </w:t>
      </w:r>
      <w:r>
        <w:rPr>
          <w:sz w:val="20"/>
        </w:rPr>
        <w:t>amount</w:t>
      </w:r>
      <w:r>
        <w:rPr>
          <w:spacing w:val="-3"/>
          <w:sz w:val="20"/>
        </w:rPr>
        <w:t> </w:t>
      </w:r>
      <w:r>
        <w:rPr>
          <w:sz w:val="20"/>
        </w:rPr>
        <w:t>from “foreign” in-scope activities. This will first require an MNE to identify its domestic or home market using</w:t>
      </w:r>
      <w:r>
        <w:rPr>
          <w:spacing w:val="25"/>
          <w:sz w:val="20"/>
        </w:rPr>
        <w:t> </w:t>
      </w:r>
      <w:r>
        <w:rPr>
          <w:sz w:val="20"/>
        </w:rPr>
        <w:t>a</w:t>
      </w:r>
    </w:p>
    <w:p>
      <w:pPr>
        <w:pStyle w:val="BodyText"/>
        <w:spacing w:before="2"/>
        <w:rPr>
          <w:sz w:val="18"/>
        </w:rPr>
      </w:pPr>
      <w:r>
        <w:rPr/>
        <w:pict>
          <v:rect style="position:absolute;margin-left:65.183998pt;margin-top:12.441463pt;width:144.020004pt;height:.60004pt;mso-position-horizontal-relative:page;mso-position-vertical-relative:paragraph;z-index:-1568460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45" w:val="left" w:leader="none"/>
        </w:tabs>
        <w:spacing w:line="278" w:lineRule="auto" w:before="94" w:after="0"/>
        <w:ind w:left="723" w:right="483" w:firstLine="0"/>
        <w:jc w:val="both"/>
        <w:rPr>
          <w:sz w:val="18"/>
        </w:rPr>
      </w:pPr>
      <w:r>
        <w:rPr>
          <w:sz w:val="18"/>
        </w:rPr>
        <w:t>See also Table 6.1, which reflects the number of MNE groups above a residual profit threshold after applying a global revenue threshold of EUR 750</w:t>
      </w:r>
      <w:r>
        <w:rPr>
          <w:spacing w:val="-2"/>
          <w:sz w:val="18"/>
        </w:rPr>
        <w:t> </w:t>
      </w:r>
      <w:r>
        <w:rPr>
          <w:sz w:val="18"/>
        </w:rPr>
        <w:t>million.</w:t>
      </w:r>
    </w:p>
    <w:p>
      <w:pPr>
        <w:pStyle w:val="ListParagraph"/>
        <w:numPr>
          <w:ilvl w:val="0"/>
          <w:numId w:val="14"/>
        </w:numPr>
        <w:tabs>
          <w:tab w:pos="928" w:val="left" w:leader="none"/>
        </w:tabs>
        <w:spacing w:line="278" w:lineRule="auto" w:before="77" w:after="0"/>
        <w:ind w:left="723" w:right="480" w:firstLine="0"/>
        <w:jc w:val="both"/>
        <w:rPr>
          <w:sz w:val="18"/>
        </w:rPr>
      </w:pPr>
      <w:r>
        <w:rPr>
          <w:sz w:val="18"/>
        </w:rPr>
        <w:t>If it were assume that for the Amount A formula it is agreed that 20% of the MNE’s profits in excess of a 10% profit margin would be allocated to the market. Under Amount A, the MNE’s residual profits would be EUR 25 million, of which EUR 5 million (20%) would be allocated to market jurisdictions under Amount A. At a 25% corporate tax rate, this would equate to EUR 1.25 million in additional CIT or EUR 125,000 if this amount were split equally between 10 market</w:t>
      </w:r>
      <w:r>
        <w:rPr>
          <w:spacing w:val="-1"/>
          <w:sz w:val="18"/>
        </w:rPr>
        <w:t> </w:t>
      </w:r>
      <w:r>
        <w:rPr>
          <w:sz w:val="18"/>
        </w:rPr>
        <w:t>jurisdictions.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standardised</w:t>
      </w:r>
      <w:r>
        <w:rPr>
          <w:spacing w:val="-8"/>
        </w:rPr>
        <w:t> </w:t>
      </w:r>
      <w:r>
        <w:rPr/>
        <w:t>definition,</w:t>
      </w:r>
      <w:r>
        <w:rPr>
          <w:spacing w:val="-10"/>
        </w:rPr>
        <w:t> </w:t>
      </w:r>
      <w:r>
        <w:rPr/>
        <w:t>for</w:t>
      </w:r>
      <w:r>
        <w:rPr>
          <w:spacing w:val="-7"/>
        </w:rPr>
        <w:t> </w:t>
      </w:r>
      <w:r>
        <w:rPr/>
        <w:t>example,</w:t>
      </w:r>
      <w:r>
        <w:rPr>
          <w:spacing w:val="-8"/>
        </w:rPr>
        <w:t> </w:t>
      </w:r>
      <w:r>
        <w:rPr/>
        <w:t>where</w:t>
      </w:r>
      <w:r>
        <w:rPr>
          <w:spacing w:val="-7"/>
        </w:rPr>
        <w:t> </w:t>
      </w:r>
      <w:r>
        <w:rPr/>
        <w:t>the</w:t>
      </w:r>
      <w:r>
        <w:rPr>
          <w:spacing w:val="-8"/>
        </w:rPr>
        <w:t> </w:t>
      </w:r>
      <w:r>
        <w:rPr/>
        <w:t>group</w:t>
      </w:r>
      <w:r>
        <w:rPr>
          <w:spacing w:val="-7"/>
        </w:rPr>
        <w:t> </w:t>
      </w:r>
      <w:r>
        <w:rPr/>
        <w:t>is</w:t>
      </w:r>
      <w:r>
        <w:rPr>
          <w:spacing w:val="-9"/>
        </w:rPr>
        <w:t> </w:t>
      </w:r>
      <w:r>
        <w:rPr/>
        <w:t>headquartered</w:t>
      </w:r>
      <w:r>
        <w:rPr>
          <w:spacing w:val="-8"/>
        </w:rPr>
        <w:t> </w:t>
      </w:r>
      <w:r>
        <w:rPr/>
        <w:t>or</w:t>
      </w:r>
      <w:r>
        <w:rPr>
          <w:spacing w:val="-5"/>
        </w:rPr>
        <w:t> </w:t>
      </w:r>
      <w:r>
        <w:rPr/>
        <w:t>where</w:t>
      </w:r>
      <w:r>
        <w:rPr>
          <w:spacing w:val="-10"/>
        </w:rPr>
        <w:t> </w:t>
      </w:r>
      <w:r>
        <w:rPr/>
        <w:t>the</w:t>
      </w:r>
      <w:r>
        <w:rPr>
          <w:spacing w:val="-8"/>
        </w:rPr>
        <w:t> </w:t>
      </w:r>
      <w:r>
        <w:rPr/>
        <w:t>ultimate</w:t>
      </w:r>
      <w:r>
        <w:rPr>
          <w:spacing w:val="-9"/>
        </w:rPr>
        <w:t> </w:t>
      </w:r>
      <w:r>
        <w:rPr/>
        <w:t>parent</w:t>
      </w:r>
      <w:r>
        <w:rPr>
          <w:spacing w:val="-8"/>
        </w:rPr>
        <w:t> </w:t>
      </w:r>
      <w:r>
        <w:rPr/>
        <w:t>entity (UPE)</w:t>
      </w:r>
      <w:r>
        <w:rPr>
          <w:spacing w:val="-10"/>
        </w:rPr>
        <w:t> </w:t>
      </w:r>
      <w:r>
        <w:rPr/>
        <w:t>is</w:t>
      </w:r>
      <w:r>
        <w:rPr>
          <w:spacing w:val="-12"/>
        </w:rPr>
        <w:t> </w:t>
      </w:r>
      <w:r>
        <w:rPr/>
        <w:t>tax</w:t>
      </w:r>
      <w:r>
        <w:rPr>
          <w:spacing w:val="-13"/>
        </w:rPr>
        <w:t> </w:t>
      </w:r>
      <w:r>
        <w:rPr/>
        <w:t>resident.</w:t>
      </w:r>
      <w:r>
        <w:rPr>
          <w:spacing w:val="-10"/>
        </w:rPr>
        <w:t> </w:t>
      </w:r>
      <w:r>
        <w:rPr/>
        <w:t>Further</w:t>
      </w:r>
      <w:r>
        <w:rPr>
          <w:spacing w:val="-11"/>
        </w:rPr>
        <w:t> </w:t>
      </w:r>
      <w:r>
        <w:rPr/>
        <w:t>work</w:t>
      </w:r>
      <w:r>
        <w:rPr>
          <w:spacing w:val="-9"/>
        </w:rPr>
        <w:t> </w:t>
      </w:r>
      <w:r>
        <w:rPr/>
        <w:t>is</w:t>
      </w:r>
      <w:r>
        <w:rPr>
          <w:spacing w:val="-11"/>
        </w:rPr>
        <w:t> </w:t>
      </w:r>
      <w:r>
        <w:rPr/>
        <w:t>required</w:t>
      </w:r>
      <w:r>
        <w:rPr>
          <w:spacing w:val="-12"/>
        </w:rPr>
        <w:t> </w:t>
      </w:r>
      <w:r>
        <w:rPr/>
        <w:t>to</w:t>
      </w:r>
      <w:r>
        <w:rPr>
          <w:spacing w:val="-12"/>
        </w:rPr>
        <w:t> </w:t>
      </w:r>
      <w:r>
        <w:rPr/>
        <w:t>define</w:t>
      </w:r>
      <w:r>
        <w:rPr>
          <w:spacing w:val="-12"/>
        </w:rPr>
        <w:t> </w:t>
      </w:r>
      <w:r>
        <w:rPr/>
        <w:t>an</w:t>
      </w:r>
      <w:r>
        <w:rPr>
          <w:spacing w:val="-12"/>
        </w:rPr>
        <w:t> </w:t>
      </w:r>
      <w:r>
        <w:rPr/>
        <w:t>MNE</w:t>
      </w:r>
      <w:r>
        <w:rPr>
          <w:spacing w:val="-13"/>
        </w:rPr>
        <w:t> </w:t>
      </w:r>
      <w:r>
        <w:rPr/>
        <w:t>Group’s</w:t>
      </w:r>
      <w:r>
        <w:rPr>
          <w:spacing w:val="-10"/>
        </w:rPr>
        <w:t> </w:t>
      </w:r>
      <w:r>
        <w:rPr/>
        <w:t>domestic</w:t>
      </w:r>
      <w:r>
        <w:rPr>
          <w:spacing w:val="-12"/>
        </w:rPr>
        <w:t> </w:t>
      </w:r>
      <w:r>
        <w:rPr/>
        <w:t>or</w:t>
      </w:r>
      <w:r>
        <w:rPr>
          <w:spacing w:val="-13"/>
        </w:rPr>
        <w:t> </w:t>
      </w:r>
      <w:r>
        <w:rPr/>
        <w:t>home</w:t>
      </w:r>
      <w:r>
        <w:rPr>
          <w:spacing w:val="-13"/>
        </w:rPr>
        <w:t> </w:t>
      </w:r>
      <w:r>
        <w:rPr/>
        <w:t>market</w:t>
      </w:r>
      <w:r>
        <w:rPr>
          <w:spacing w:val="-14"/>
        </w:rPr>
        <w:t> </w:t>
      </w:r>
      <w:r>
        <w:rPr/>
        <w:t>in</w:t>
      </w:r>
      <w:r>
        <w:rPr>
          <w:spacing w:val="-14"/>
        </w:rPr>
        <w:t> </w:t>
      </w:r>
      <w:r>
        <w:rPr/>
        <w:t>order to prevent manipulation. The MNE would then need to determine whether it derived more than the de minimis</w:t>
      </w:r>
      <w:r>
        <w:rPr>
          <w:spacing w:val="-13"/>
        </w:rPr>
        <w:t> </w:t>
      </w:r>
      <w:r>
        <w:rPr/>
        <w:t>foreign</w:t>
      </w:r>
      <w:r>
        <w:rPr>
          <w:spacing w:val="-13"/>
        </w:rPr>
        <w:t> </w:t>
      </w:r>
      <w:r>
        <w:rPr/>
        <w:t>in-scope</w:t>
      </w:r>
      <w:r>
        <w:rPr>
          <w:spacing w:val="-13"/>
        </w:rPr>
        <w:t> </w:t>
      </w:r>
      <w:r>
        <w:rPr/>
        <w:t>revenue</w:t>
      </w:r>
      <w:r>
        <w:rPr>
          <w:spacing w:val="-12"/>
        </w:rPr>
        <w:t> </w:t>
      </w:r>
      <w:r>
        <w:rPr/>
        <w:t>threshold</w:t>
      </w:r>
      <w:r>
        <w:rPr>
          <w:spacing w:val="-13"/>
        </w:rPr>
        <w:t> </w:t>
      </w:r>
      <w:r>
        <w:rPr/>
        <w:t>amount</w:t>
      </w:r>
      <w:r>
        <w:rPr>
          <w:spacing w:val="-10"/>
        </w:rPr>
        <w:t> </w:t>
      </w:r>
      <w:r>
        <w:rPr/>
        <w:t>in</w:t>
      </w:r>
      <w:r>
        <w:rPr>
          <w:spacing w:val="-12"/>
        </w:rPr>
        <w:t> </w:t>
      </w:r>
      <w:r>
        <w:rPr/>
        <w:t>in-scope</w:t>
      </w:r>
      <w:r>
        <w:rPr>
          <w:spacing w:val="-12"/>
        </w:rPr>
        <w:t> </w:t>
      </w:r>
      <w:r>
        <w:rPr/>
        <w:t>revenue</w:t>
      </w:r>
      <w:r>
        <w:rPr>
          <w:spacing w:val="-11"/>
        </w:rPr>
        <w:t> </w:t>
      </w:r>
      <w:r>
        <w:rPr/>
        <w:t>from</w:t>
      </w:r>
      <w:r>
        <w:rPr>
          <w:spacing w:val="-10"/>
        </w:rPr>
        <w:t> </w:t>
      </w:r>
      <w:r>
        <w:rPr/>
        <w:t>jurisdictions</w:t>
      </w:r>
      <w:r>
        <w:rPr>
          <w:spacing w:val="-11"/>
        </w:rPr>
        <w:t> </w:t>
      </w:r>
      <w:r>
        <w:rPr/>
        <w:t>outside</w:t>
      </w:r>
      <w:r>
        <w:rPr>
          <w:spacing w:val="-13"/>
        </w:rPr>
        <w:t> </w:t>
      </w:r>
      <w:r>
        <w:rPr/>
        <w:t>its</w:t>
      </w:r>
      <w:r>
        <w:rPr>
          <w:spacing w:val="-11"/>
        </w:rPr>
        <w:t> </w:t>
      </w:r>
      <w:r>
        <w:rPr/>
        <w:t>home or</w:t>
      </w:r>
      <w:r>
        <w:rPr>
          <w:spacing w:val="-15"/>
        </w:rPr>
        <w:t> </w:t>
      </w:r>
      <w:r>
        <w:rPr/>
        <w:t>domestic</w:t>
      </w:r>
      <w:r>
        <w:rPr>
          <w:spacing w:val="-16"/>
        </w:rPr>
        <w:t> </w:t>
      </w:r>
      <w:r>
        <w:rPr/>
        <w:t>market,</w:t>
      </w:r>
      <w:r>
        <w:rPr>
          <w:spacing w:val="-17"/>
        </w:rPr>
        <w:t> </w:t>
      </w:r>
      <w:r>
        <w:rPr/>
        <w:t>based</w:t>
      </w:r>
      <w:r>
        <w:rPr>
          <w:spacing w:val="-13"/>
        </w:rPr>
        <w:t> </w:t>
      </w:r>
      <w:r>
        <w:rPr/>
        <w:t>on</w:t>
      </w:r>
      <w:r>
        <w:rPr>
          <w:spacing w:val="-16"/>
        </w:rPr>
        <w:t> </w:t>
      </w:r>
      <w:r>
        <w:rPr/>
        <w:t>the</w:t>
      </w:r>
      <w:r>
        <w:rPr>
          <w:spacing w:val="-16"/>
        </w:rPr>
        <w:t> </w:t>
      </w:r>
      <w:r>
        <w:rPr/>
        <w:t>Amount</w:t>
      </w:r>
      <w:r>
        <w:rPr>
          <w:spacing w:val="-13"/>
        </w:rPr>
        <w:t> </w:t>
      </w:r>
      <w:r>
        <w:rPr/>
        <w:t>A</w:t>
      </w:r>
      <w:r>
        <w:rPr>
          <w:spacing w:val="-17"/>
        </w:rPr>
        <w:t> </w:t>
      </w:r>
      <w:r>
        <w:rPr/>
        <w:t>revenue</w:t>
      </w:r>
      <w:r>
        <w:rPr>
          <w:spacing w:val="-16"/>
        </w:rPr>
        <w:t> </w:t>
      </w:r>
      <w:r>
        <w:rPr/>
        <w:t>sourcing</w:t>
      </w:r>
      <w:r>
        <w:rPr>
          <w:spacing w:val="-16"/>
        </w:rPr>
        <w:t> </w:t>
      </w:r>
      <w:r>
        <w:rPr/>
        <w:t>rules</w:t>
      </w:r>
      <w:r>
        <w:rPr>
          <w:spacing w:val="-15"/>
        </w:rPr>
        <w:t> </w:t>
      </w:r>
      <w:r>
        <w:rPr/>
        <w:t>(see</w:t>
      </w:r>
      <w:r>
        <w:rPr>
          <w:spacing w:val="-9"/>
        </w:rPr>
        <w:t> </w:t>
      </w:r>
      <w:r>
        <w:rPr/>
        <w:t>Chapter</w:t>
      </w:r>
      <w:r>
        <w:rPr>
          <w:spacing w:val="-11"/>
        </w:rPr>
        <w:t> </w:t>
      </w:r>
      <w:hyperlink w:history="true" w:anchor="_bookmark19">
        <w:r>
          <w:rPr/>
          <w:t>4.</w:t>
        </w:r>
        <w:r>
          <w:rPr>
            <w:spacing w:val="-16"/>
          </w:rPr>
          <w:t> </w:t>
        </w:r>
      </w:hyperlink>
      <w:r>
        <w:rPr/>
        <w:t>).</w:t>
      </w:r>
      <w:r>
        <w:rPr>
          <w:spacing w:val="-15"/>
        </w:rPr>
        <w:t> </w:t>
      </w:r>
      <w:r>
        <w:rPr/>
        <w:t>This</w:t>
      </w:r>
      <w:r>
        <w:rPr>
          <w:spacing w:val="-14"/>
        </w:rPr>
        <w:t> </w:t>
      </w:r>
      <w:r>
        <w:rPr/>
        <w:t>would</w:t>
      </w:r>
      <w:r>
        <w:rPr>
          <w:spacing w:val="-16"/>
        </w:rPr>
        <w:t> </w:t>
      </w:r>
      <w:r>
        <w:rPr/>
        <w:t>be</w:t>
      </w:r>
      <w:r>
        <w:rPr>
          <w:spacing w:val="-15"/>
        </w:rPr>
        <w:t> </w:t>
      </w:r>
      <w:r>
        <w:rPr/>
        <w:t>simple for MNEs that derives all its in-scope revenue from its own domestic market, at which this second step is primarily targeted. But it could also be relevant for other MNEs that generate relatively small amounts of revenue outside their home market. Though the application of the Amount A revenue sourcing rules may be</w:t>
      </w:r>
      <w:r>
        <w:rPr>
          <w:spacing w:val="-7"/>
        </w:rPr>
        <w:t> </w:t>
      </w:r>
      <w:r>
        <w:rPr/>
        <w:t>perceived</w:t>
      </w:r>
      <w:r>
        <w:rPr>
          <w:spacing w:val="-6"/>
        </w:rPr>
        <w:t> </w:t>
      </w:r>
      <w:r>
        <w:rPr/>
        <w:t>to</w:t>
      </w:r>
      <w:r>
        <w:rPr>
          <w:spacing w:val="-7"/>
        </w:rPr>
        <w:t> </w:t>
      </w:r>
      <w:r>
        <w:rPr/>
        <w:t>create</w:t>
      </w:r>
      <w:r>
        <w:rPr>
          <w:spacing w:val="-6"/>
        </w:rPr>
        <w:t> </w:t>
      </w:r>
      <w:r>
        <w:rPr/>
        <w:t>complexity</w:t>
      </w:r>
      <w:r>
        <w:rPr>
          <w:spacing w:val="-9"/>
        </w:rPr>
        <w:t> </w:t>
      </w:r>
      <w:r>
        <w:rPr/>
        <w:t>for</w:t>
      </w:r>
      <w:r>
        <w:rPr>
          <w:spacing w:val="-6"/>
        </w:rPr>
        <w:t> </w:t>
      </w:r>
      <w:r>
        <w:rPr/>
        <w:t>MNEs</w:t>
      </w:r>
      <w:r>
        <w:rPr>
          <w:spacing w:val="-4"/>
        </w:rPr>
        <w:t> </w:t>
      </w:r>
      <w:r>
        <w:rPr/>
        <w:t>seeking</w:t>
      </w:r>
      <w:r>
        <w:rPr>
          <w:spacing w:val="-7"/>
        </w:rPr>
        <w:t> </w:t>
      </w:r>
      <w:r>
        <w:rPr/>
        <w:t>to</w:t>
      </w:r>
      <w:r>
        <w:rPr>
          <w:spacing w:val="-4"/>
        </w:rPr>
        <w:t> </w:t>
      </w:r>
      <w:r>
        <w:rPr/>
        <w:t>apply</w:t>
      </w:r>
      <w:r>
        <w:rPr>
          <w:spacing w:val="-9"/>
        </w:rPr>
        <w:t> </w:t>
      </w:r>
      <w:r>
        <w:rPr/>
        <w:t>this</w:t>
      </w:r>
      <w:r>
        <w:rPr>
          <w:spacing w:val="-5"/>
        </w:rPr>
        <w:t> </w:t>
      </w:r>
      <w:r>
        <w:rPr/>
        <w:t>test,</w:t>
      </w:r>
      <w:r>
        <w:rPr>
          <w:spacing w:val="-6"/>
        </w:rPr>
        <w:t> </w:t>
      </w:r>
      <w:r>
        <w:rPr/>
        <w:t>doing</w:t>
      </w:r>
      <w:r>
        <w:rPr>
          <w:spacing w:val="-6"/>
        </w:rPr>
        <w:t> </w:t>
      </w:r>
      <w:r>
        <w:rPr/>
        <w:t>so</w:t>
      </w:r>
      <w:r>
        <w:rPr>
          <w:spacing w:val="-4"/>
        </w:rPr>
        <w:t> </w:t>
      </w:r>
      <w:r>
        <w:rPr/>
        <w:t>would</w:t>
      </w:r>
      <w:r>
        <w:rPr>
          <w:spacing w:val="-6"/>
        </w:rPr>
        <w:t> </w:t>
      </w:r>
      <w:r>
        <w:rPr/>
        <w:t>allow</w:t>
      </w:r>
      <w:r>
        <w:rPr>
          <w:spacing w:val="-8"/>
        </w:rPr>
        <w:t> </w:t>
      </w:r>
      <w:r>
        <w:rPr/>
        <w:t>eligible</w:t>
      </w:r>
      <w:r>
        <w:rPr>
          <w:spacing w:val="-3"/>
        </w:rPr>
        <w:t> </w:t>
      </w:r>
      <w:r>
        <w:rPr/>
        <w:t>MNEs to avoid the compliance costs associated with the other aspects of applying Amount A. Further work will be undertaken on this threshold including exploring whether any thresholds should be introduced on a phased</w:t>
      </w:r>
      <w:r>
        <w:rPr>
          <w:spacing w:val="1"/>
        </w:rPr>
        <w:t> </w:t>
      </w:r>
      <w:r>
        <w:rPr/>
        <w:t>basis.</w:t>
      </w:r>
      <w:r>
        <w:rPr>
          <w:vertAlign w:val="superscript"/>
        </w:rPr>
        <w:t>40</w:t>
      </w:r>
    </w:p>
    <w:p>
      <w:pPr>
        <w:pStyle w:val="BodyText"/>
        <w:spacing w:before="7"/>
        <w:rPr>
          <w:sz w:val="23"/>
        </w:rPr>
      </w:pPr>
    </w:p>
    <w:p>
      <w:pPr>
        <w:pStyle w:val="Heading6"/>
        <w:numPr>
          <w:ilvl w:val="2"/>
          <w:numId w:val="7"/>
        </w:numPr>
        <w:tabs>
          <w:tab w:pos="2015" w:val="left" w:leader="none"/>
        </w:tabs>
        <w:spacing w:line="240" w:lineRule="auto" w:before="0" w:after="0"/>
        <w:ind w:left="2014" w:right="0" w:hanging="613"/>
        <w:jc w:val="left"/>
        <w:rPr>
          <w:i/>
        </w:rPr>
      </w:pPr>
      <w:bookmarkStart w:name="2.3.3. Next steps" w:id="80"/>
      <w:bookmarkEnd w:id="80"/>
      <w:r>
        <w:rPr>
          <w:b w:val="0"/>
          <w:i w:val="0"/>
        </w:rPr>
      </w:r>
      <w:bookmarkStart w:name="2.3.3. Next steps" w:id="81"/>
      <w:bookmarkEnd w:id="81"/>
      <w:r>
        <w:rPr>
          <w:i/>
        </w:rPr>
        <w:t>N</w:t>
      </w:r>
      <w:r>
        <w:rPr>
          <w:i/>
        </w:rPr>
        <w:t>ext steps</w:t>
      </w:r>
    </w:p>
    <w:p>
      <w:pPr>
        <w:pStyle w:val="BodyText"/>
        <w:spacing w:before="10"/>
        <w:rPr>
          <w:b/>
          <w:i/>
          <w:sz w:val="18"/>
        </w:rPr>
      </w:pPr>
    </w:p>
    <w:p>
      <w:pPr>
        <w:pStyle w:val="ListParagraph"/>
        <w:numPr>
          <w:ilvl w:val="0"/>
          <w:numId w:val="13"/>
        </w:numPr>
        <w:tabs>
          <w:tab w:pos="1443" w:val="left" w:leader="none"/>
          <w:tab w:pos="1444" w:val="left" w:leader="none"/>
        </w:tabs>
        <w:spacing w:line="271" w:lineRule="auto" w:before="0" w:after="0"/>
        <w:ind w:left="723" w:right="482" w:firstLine="0"/>
        <w:jc w:val="left"/>
        <w:rPr>
          <w:sz w:val="20"/>
        </w:rPr>
      </w:pPr>
      <w:r>
        <w:rPr>
          <w:sz w:val="20"/>
        </w:rPr>
        <w:t>As a next step, a decision will be necessary to agree the definitive thresholds, including whether a phase in/transition period is appropriate and, if so, its</w:t>
      </w:r>
      <w:r>
        <w:rPr>
          <w:spacing w:val="-4"/>
          <w:sz w:val="20"/>
        </w:rPr>
        <w:t> </w:t>
      </w:r>
      <w:r>
        <w:rPr>
          <w:sz w:val="20"/>
        </w:rPr>
        <w:t>design.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4"/>
        </w:rPr>
      </w:pPr>
      <w:r>
        <w:rPr/>
        <w:pict>
          <v:rect style="position:absolute;margin-left:65.183998pt;margin-top:16.096981pt;width:144.020004pt;height:.60004pt;mso-position-horizontal-relative:page;mso-position-vertical-relative:paragraph;z-index:-1568409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78" w:lineRule="auto" w:before="94" w:after="0"/>
        <w:ind w:left="723" w:right="476" w:firstLine="0"/>
        <w:jc w:val="both"/>
        <w:rPr>
          <w:sz w:val="18"/>
        </w:rPr>
      </w:pPr>
      <w:r>
        <w:rPr>
          <w:sz w:val="18"/>
        </w:rPr>
        <w:t>An</w:t>
      </w:r>
      <w:r>
        <w:rPr>
          <w:spacing w:val="-2"/>
          <w:sz w:val="18"/>
        </w:rPr>
        <w:t> </w:t>
      </w:r>
      <w:r>
        <w:rPr>
          <w:sz w:val="18"/>
        </w:rPr>
        <w:t>issue</w:t>
      </w:r>
      <w:r>
        <w:rPr>
          <w:spacing w:val="-4"/>
          <w:sz w:val="18"/>
        </w:rPr>
        <w:t> </w:t>
      </w:r>
      <w:r>
        <w:rPr>
          <w:sz w:val="18"/>
        </w:rPr>
        <w:t>has</w:t>
      </w:r>
      <w:r>
        <w:rPr>
          <w:spacing w:val="-1"/>
          <w:sz w:val="18"/>
        </w:rPr>
        <w:t> </w:t>
      </w:r>
      <w:r>
        <w:rPr>
          <w:sz w:val="18"/>
        </w:rPr>
        <w:t>also</w:t>
      </w:r>
      <w:r>
        <w:rPr>
          <w:spacing w:val="-4"/>
          <w:sz w:val="18"/>
        </w:rPr>
        <w:t> </w:t>
      </w:r>
      <w:r>
        <w:rPr>
          <w:sz w:val="18"/>
        </w:rPr>
        <w:t>been</w:t>
      </w:r>
      <w:r>
        <w:rPr>
          <w:spacing w:val="-2"/>
          <w:sz w:val="18"/>
        </w:rPr>
        <w:t> </w:t>
      </w:r>
      <w:r>
        <w:rPr>
          <w:sz w:val="18"/>
        </w:rPr>
        <w:t>raised</w:t>
      </w:r>
      <w:r>
        <w:rPr>
          <w:spacing w:val="-4"/>
          <w:sz w:val="18"/>
        </w:rPr>
        <w:t> </w:t>
      </w:r>
      <w:r>
        <w:rPr>
          <w:sz w:val="18"/>
        </w:rPr>
        <w:t>about</w:t>
      </w:r>
      <w:r>
        <w:rPr>
          <w:spacing w:val="-2"/>
          <w:sz w:val="18"/>
        </w:rPr>
        <w:t> </w:t>
      </w:r>
      <w:r>
        <w:rPr>
          <w:sz w:val="18"/>
        </w:rPr>
        <w:t>whether</w:t>
      </w:r>
      <w:r>
        <w:rPr>
          <w:spacing w:val="-5"/>
          <w:sz w:val="18"/>
        </w:rPr>
        <w:t> </w:t>
      </w:r>
      <w:r>
        <w:rPr>
          <w:sz w:val="18"/>
        </w:rPr>
        <w:t>it</w:t>
      </w:r>
      <w:r>
        <w:rPr>
          <w:spacing w:val="-4"/>
          <w:sz w:val="18"/>
        </w:rPr>
        <w:t> </w:t>
      </w:r>
      <w:r>
        <w:rPr>
          <w:sz w:val="18"/>
        </w:rPr>
        <w:t>is</w:t>
      </w:r>
      <w:r>
        <w:rPr>
          <w:spacing w:val="-1"/>
          <w:sz w:val="18"/>
        </w:rPr>
        <w:t> </w:t>
      </w:r>
      <w:r>
        <w:rPr>
          <w:sz w:val="18"/>
        </w:rPr>
        <w:t>equitable</w:t>
      </w:r>
      <w:r>
        <w:rPr>
          <w:spacing w:val="-2"/>
          <w:sz w:val="18"/>
        </w:rPr>
        <w:t> </w:t>
      </w:r>
      <w:r>
        <w:rPr>
          <w:sz w:val="18"/>
        </w:rPr>
        <w:t>under</w:t>
      </w:r>
      <w:r>
        <w:rPr>
          <w:spacing w:val="-2"/>
          <w:sz w:val="18"/>
        </w:rPr>
        <w:t> </w:t>
      </w:r>
      <w:r>
        <w:rPr>
          <w:sz w:val="18"/>
        </w:rPr>
        <w:t>the</w:t>
      </w:r>
      <w:r>
        <w:rPr>
          <w:spacing w:val="-4"/>
          <w:sz w:val="18"/>
        </w:rPr>
        <w:t> </w:t>
      </w:r>
      <w:r>
        <w:rPr>
          <w:sz w:val="18"/>
        </w:rPr>
        <w:t>approach</w:t>
      </w:r>
      <w:r>
        <w:rPr>
          <w:spacing w:val="-2"/>
          <w:sz w:val="18"/>
        </w:rPr>
        <w:t> </w:t>
      </w:r>
      <w:r>
        <w:rPr>
          <w:sz w:val="18"/>
        </w:rPr>
        <w:t>outlined</w:t>
      </w:r>
      <w:r>
        <w:rPr>
          <w:spacing w:val="-3"/>
          <w:sz w:val="18"/>
        </w:rPr>
        <w:t> </w:t>
      </w:r>
      <w:r>
        <w:rPr>
          <w:sz w:val="18"/>
        </w:rPr>
        <w:t>in</w:t>
      </w:r>
      <w:r>
        <w:rPr>
          <w:spacing w:val="-6"/>
          <w:sz w:val="18"/>
        </w:rPr>
        <w:t> </w:t>
      </w:r>
      <w:r>
        <w:rPr>
          <w:sz w:val="18"/>
        </w:rPr>
        <w:t>section</w:t>
      </w:r>
      <w:r>
        <w:rPr>
          <w:spacing w:val="-4"/>
          <w:sz w:val="18"/>
        </w:rPr>
        <w:t> </w:t>
      </w:r>
      <w:r>
        <w:rPr>
          <w:sz w:val="18"/>
        </w:rPr>
        <w:t>2.3</w:t>
      </w:r>
      <w:r>
        <w:rPr>
          <w:spacing w:val="-2"/>
          <w:sz w:val="18"/>
        </w:rPr>
        <w:t> </w:t>
      </w:r>
      <w:r>
        <w:rPr>
          <w:sz w:val="18"/>
        </w:rPr>
        <w:t>that</w:t>
      </w:r>
      <w:r>
        <w:rPr>
          <w:spacing w:val="-4"/>
          <w:sz w:val="18"/>
        </w:rPr>
        <w:t> </w:t>
      </w:r>
      <w:r>
        <w:rPr>
          <w:sz w:val="18"/>
        </w:rPr>
        <w:t>a</w:t>
      </w:r>
      <w:r>
        <w:rPr>
          <w:spacing w:val="-2"/>
          <w:sz w:val="18"/>
        </w:rPr>
        <w:t> </w:t>
      </w:r>
      <w:r>
        <w:rPr>
          <w:sz w:val="18"/>
        </w:rPr>
        <w:t>larger firm</w:t>
      </w:r>
      <w:r>
        <w:rPr>
          <w:spacing w:val="-3"/>
          <w:sz w:val="18"/>
        </w:rPr>
        <w:t> </w:t>
      </w:r>
      <w:r>
        <w:rPr>
          <w:sz w:val="18"/>
        </w:rPr>
        <w:t>with</w:t>
      </w:r>
      <w:r>
        <w:rPr>
          <w:spacing w:val="-5"/>
          <w:sz w:val="18"/>
        </w:rPr>
        <w:t> </w:t>
      </w:r>
      <w:r>
        <w:rPr>
          <w:sz w:val="18"/>
        </w:rPr>
        <w:t>a</w:t>
      </w:r>
      <w:r>
        <w:rPr>
          <w:spacing w:val="-6"/>
          <w:sz w:val="18"/>
        </w:rPr>
        <w:t> </w:t>
      </w:r>
      <w:r>
        <w:rPr>
          <w:sz w:val="18"/>
        </w:rPr>
        <w:t>small</w:t>
      </w:r>
      <w:r>
        <w:rPr>
          <w:spacing w:val="-5"/>
          <w:sz w:val="18"/>
        </w:rPr>
        <w:t> </w:t>
      </w:r>
      <w:r>
        <w:rPr>
          <w:sz w:val="18"/>
        </w:rPr>
        <w:t>volume</w:t>
      </w:r>
      <w:r>
        <w:rPr>
          <w:spacing w:val="-3"/>
          <w:sz w:val="18"/>
        </w:rPr>
        <w:t> </w:t>
      </w:r>
      <w:r>
        <w:rPr>
          <w:sz w:val="18"/>
        </w:rPr>
        <w:t>of</w:t>
      </w:r>
      <w:r>
        <w:rPr>
          <w:spacing w:val="-4"/>
          <w:sz w:val="18"/>
        </w:rPr>
        <w:t> </w:t>
      </w:r>
      <w:r>
        <w:rPr>
          <w:sz w:val="18"/>
        </w:rPr>
        <w:t>in-scope</w:t>
      </w:r>
      <w:r>
        <w:rPr>
          <w:spacing w:val="-5"/>
          <w:sz w:val="18"/>
        </w:rPr>
        <w:t> </w:t>
      </w:r>
      <w:r>
        <w:rPr>
          <w:sz w:val="18"/>
        </w:rPr>
        <w:t>revenue</w:t>
      </w:r>
      <w:r>
        <w:rPr>
          <w:spacing w:val="-6"/>
          <w:sz w:val="18"/>
        </w:rPr>
        <w:t> </w:t>
      </w:r>
      <w:r>
        <w:rPr>
          <w:sz w:val="18"/>
        </w:rPr>
        <w:t>should</w:t>
      </w:r>
      <w:r>
        <w:rPr>
          <w:spacing w:val="-3"/>
          <w:sz w:val="18"/>
        </w:rPr>
        <w:t> </w:t>
      </w:r>
      <w:r>
        <w:rPr>
          <w:sz w:val="18"/>
        </w:rPr>
        <w:t>be</w:t>
      </w:r>
      <w:r>
        <w:rPr>
          <w:spacing w:val="-5"/>
          <w:sz w:val="18"/>
        </w:rPr>
        <w:t> </w:t>
      </w:r>
      <w:r>
        <w:rPr>
          <w:sz w:val="18"/>
        </w:rPr>
        <w:t>in</w:t>
      </w:r>
      <w:r>
        <w:rPr>
          <w:spacing w:val="-6"/>
          <w:sz w:val="18"/>
        </w:rPr>
        <w:t> </w:t>
      </w:r>
      <w:r>
        <w:rPr>
          <w:sz w:val="18"/>
        </w:rPr>
        <w:t>scope</w:t>
      </w:r>
      <w:r>
        <w:rPr>
          <w:spacing w:val="-3"/>
          <w:sz w:val="18"/>
        </w:rPr>
        <w:t> </w:t>
      </w:r>
      <w:r>
        <w:rPr>
          <w:sz w:val="18"/>
        </w:rPr>
        <w:t>of</w:t>
      </w:r>
      <w:r>
        <w:rPr>
          <w:spacing w:val="-6"/>
          <w:sz w:val="18"/>
        </w:rPr>
        <w:t> </w:t>
      </w:r>
      <w:r>
        <w:rPr>
          <w:sz w:val="18"/>
        </w:rPr>
        <w:t>Amount</w:t>
      </w:r>
      <w:r>
        <w:rPr>
          <w:spacing w:val="-5"/>
          <w:sz w:val="18"/>
        </w:rPr>
        <w:t> </w:t>
      </w:r>
      <w:r>
        <w:rPr>
          <w:sz w:val="18"/>
        </w:rPr>
        <w:t>A,</w:t>
      </w:r>
      <w:r>
        <w:rPr>
          <w:spacing w:val="-3"/>
          <w:sz w:val="18"/>
        </w:rPr>
        <w:t> </w:t>
      </w:r>
      <w:r>
        <w:rPr>
          <w:sz w:val="18"/>
        </w:rPr>
        <w:t>when</w:t>
      </w:r>
      <w:r>
        <w:rPr>
          <w:spacing w:val="-6"/>
          <w:sz w:val="18"/>
        </w:rPr>
        <w:t> </w:t>
      </w:r>
      <w:r>
        <w:rPr>
          <w:sz w:val="18"/>
        </w:rPr>
        <w:t>a</w:t>
      </w:r>
      <w:r>
        <w:rPr>
          <w:spacing w:val="-5"/>
          <w:sz w:val="18"/>
        </w:rPr>
        <w:t> </w:t>
      </w:r>
      <w:r>
        <w:rPr>
          <w:sz w:val="18"/>
        </w:rPr>
        <w:t>smaller</w:t>
      </w:r>
      <w:r>
        <w:rPr>
          <w:spacing w:val="-3"/>
          <w:sz w:val="18"/>
        </w:rPr>
        <w:t> </w:t>
      </w:r>
      <w:r>
        <w:rPr>
          <w:sz w:val="18"/>
        </w:rPr>
        <w:t>firm</w:t>
      </w:r>
      <w:r>
        <w:rPr>
          <w:spacing w:val="-3"/>
          <w:sz w:val="18"/>
        </w:rPr>
        <w:t> </w:t>
      </w:r>
      <w:r>
        <w:rPr>
          <w:sz w:val="18"/>
        </w:rPr>
        <w:t>with</w:t>
      </w:r>
      <w:r>
        <w:rPr>
          <w:spacing w:val="-3"/>
          <w:sz w:val="18"/>
        </w:rPr>
        <w:t> </w:t>
      </w:r>
      <w:r>
        <w:rPr>
          <w:sz w:val="18"/>
        </w:rPr>
        <w:t>a</w:t>
      </w:r>
      <w:r>
        <w:rPr>
          <w:spacing w:val="-6"/>
          <w:sz w:val="18"/>
        </w:rPr>
        <w:t> </w:t>
      </w:r>
      <w:r>
        <w:rPr>
          <w:sz w:val="18"/>
        </w:rPr>
        <w:t>much</w:t>
      </w:r>
      <w:r>
        <w:rPr>
          <w:spacing w:val="-5"/>
          <w:sz w:val="18"/>
        </w:rPr>
        <w:t> </w:t>
      </w:r>
      <w:r>
        <w:rPr>
          <w:sz w:val="18"/>
        </w:rPr>
        <w:t>higher volume of in-scope revenue may be out-of-scope depending on the amount of the global and de minimis foreign </w:t>
      </w:r>
      <w:r>
        <w:rPr>
          <w:spacing w:val="3"/>
          <w:sz w:val="18"/>
        </w:rPr>
        <w:t>in- </w:t>
      </w:r>
      <w:r>
        <w:rPr>
          <w:sz w:val="18"/>
        </w:rPr>
        <w:t>scope revenue thresholds. Given this issue, consideration will also be given to a threshold based on in-scope revenues.</w:t>
      </w:r>
    </w:p>
    <w:p>
      <w:pPr>
        <w:spacing w:after="0" w:line="278" w:lineRule="auto"/>
        <w:jc w:val="both"/>
        <w:rPr>
          <w:sz w:val="18"/>
        </w:rPr>
        <w:sectPr>
          <w:pgSz w:w="11910" w:h="16840"/>
          <w:pgMar w:header="1244" w:footer="1638" w:top="1500" w:bottom="1820" w:left="580" w:right="820"/>
        </w:sectPr>
      </w:pPr>
    </w:p>
    <w:p>
      <w:pPr>
        <w:pStyle w:val="BodyText"/>
        <w:spacing w:before="2"/>
        <w:rPr>
          <w:sz w:val="24"/>
        </w:rPr>
      </w:pPr>
    </w:p>
    <w:p>
      <w:pPr>
        <w:tabs>
          <w:tab w:pos="2384" w:val="left" w:leader="none"/>
        </w:tabs>
        <w:spacing w:before="99"/>
        <w:ind w:left="836" w:right="0" w:firstLine="0"/>
        <w:jc w:val="left"/>
        <w:rPr>
          <w:rFonts w:ascii="Arial Narrow"/>
          <w:b/>
          <w:sz w:val="56"/>
        </w:rPr>
      </w:pPr>
      <w:r>
        <w:rPr/>
        <w:pict>
          <v:rect style="position:absolute;margin-left:64.463997pt;margin-top:1.055774pt;width:466.390015pt;height:6pt;mso-position-horizontal-relative:page;mso-position-vertical-relative:paragraph;z-index:-19546624" filled="true" fillcolor="#ffffff" stroked="false">
            <v:fill type="solid"/>
            <w10:wrap type="none"/>
          </v:rect>
        </w:pict>
      </w:r>
      <w:r>
        <w:rPr/>
        <w:pict>
          <v:rect style="position:absolute;margin-left:70.823997pt;margin-top:69.335754pt;width:59.279999pt;height:5.76pt;mso-position-horizontal-relative:page;mso-position-vertical-relative:paragraph;z-index:15774208" filled="true" fillcolor="#4e81bd" stroked="false">
            <v:fill type="solid"/>
            <w10:wrap type="none"/>
          </v:rect>
        </w:pict>
      </w:r>
      <w:bookmarkStart w:name="3.  Nexus" w:id="82"/>
      <w:bookmarkEnd w:id="82"/>
      <w:r>
        <w:rPr/>
      </w:r>
      <w:bookmarkStart w:name="_bookmark12" w:id="83"/>
      <w:bookmarkEnd w:id="83"/>
      <w:r>
        <w:rPr/>
      </w:r>
      <w:r>
        <w:rPr>
          <w:rFonts w:ascii="Arial Narrow"/>
          <w:b/>
          <w:color w:val="4E81BD"/>
          <w:sz w:val="130"/>
        </w:rPr>
        <w:t>3.</w:t>
        <w:tab/>
      </w:r>
      <w:r>
        <w:rPr>
          <w:rFonts w:ascii="Arial Narrow"/>
          <w:b/>
          <w:color w:val="4E81BD"/>
          <w:sz w:val="56"/>
        </w:rPr>
        <w:t>Nexus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4"/>
        <w:numPr>
          <w:ilvl w:val="1"/>
          <w:numId w:val="17"/>
        </w:numPr>
        <w:tabs>
          <w:tab w:pos="1192" w:val="left" w:leader="none"/>
        </w:tabs>
        <w:spacing w:line="240" w:lineRule="auto" w:before="93" w:after="0"/>
        <w:ind w:left="1191" w:right="0" w:hanging="469"/>
        <w:jc w:val="both"/>
        <w:rPr>
          <w:rFonts w:ascii="Arial"/>
        </w:rPr>
      </w:pPr>
      <w:bookmarkStart w:name="3.1. Overview" w:id="84"/>
      <w:bookmarkEnd w:id="84"/>
      <w:r>
        <w:rPr>
          <w:b w:val="0"/>
        </w:rPr>
      </w:r>
      <w:bookmarkStart w:name="_bookmark13" w:id="85"/>
      <w:bookmarkEnd w:id="85"/>
      <w:r>
        <w:rPr>
          <w:b w:val="0"/>
        </w:rPr>
      </w:r>
      <w:bookmarkStart w:name="_bookmark13" w:id="86"/>
      <w:bookmarkEnd w:id="86"/>
      <w:r>
        <w:rPr>
          <w:rFonts w:ascii="Arial"/>
          <w:color w:val="4E81BD"/>
        </w:rPr>
        <w:t>O</w:t>
      </w:r>
      <w:r>
        <w:rPr>
          <w:rFonts w:ascii="Arial"/>
          <w:color w:val="4E81BD"/>
        </w:rPr>
        <w:t>verview</w:t>
      </w:r>
    </w:p>
    <w:p>
      <w:pPr>
        <w:pStyle w:val="BodyText"/>
        <w:spacing w:before="3"/>
        <w:rPr>
          <w:b/>
          <w:sz w:val="24"/>
        </w:rPr>
      </w:pPr>
    </w:p>
    <w:p>
      <w:pPr>
        <w:pStyle w:val="ListParagraph"/>
        <w:numPr>
          <w:ilvl w:val="0"/>
          <w:numId w:val="13"/>
        </w:numPr>
        <w:tabs>
          <w:tab w:pos="1444" w:val="left" w:leader="none"/>
        </w:tabs>
        <w:spacing w:line="271" w:lineRule="auto" w:before="1" w:after="0"/>
        <w:ind w:left="723" w:right="483" w:firstLine="0"/>
        <w:jc w:val="both"/>
        <w:rPr>
          <w:sz w:val="20"/>
        </w:rPr>
      </w:pPr>
      <w:r>
        <w:rPr>
          <w:sz w:val="20"/>
        </w:rPr>
        <w:t>The new international taxation framework set forth in this Blueprint recognises that in an increasingly digital age, taxing rights can no longer be exclusively determined by reference to physical presence. It therefore contains new nexus rules for in-scope revenue referred to in Chapter</w:t>
      </w:r>
      <w:r>
        <w:rPr>
          <w:spacing w:val="-29"/>
          <w:sz w:val="20"/>
        </w:rPr>
        <w:t> </w:t>
      </w:r>
      <w:r>
        <w:rPr>
          <w:sz w:val="20"/>
        </w:rPr>
        <w:t>2.</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As explained in Chapter </w:t>
      </w:r>
      <w:hyperlink w:history="true" w:anchor="_bookmark6">
        <w:r>
          <w:rPr>
            <w:sz w:val="20"/>
          </w:rPr>
          <w:t>2. , </w:t>
        </w:r>
      </w:hyperlink>
      <w:r>
        <w:rPr>
          <w:sz w:val="20"/>
        </w:rPr>
        <w:t>the scope tests seek to capture those large MNEs that are able to participate in an active and sustained manner in the economic life of market jurisdictions through engagement</w:t>
      </w:r>
      <w:r>
        <w:rPr>
          <w:spacing w:val="-10"/>
          <w:sz w:val="20"/>
        </w:rPr>
        <w:t> </w:t>
      </w:r>
      <w:r>
        <w:rPr>
          <w:sz w:val="20"/>
        </w:rPr>
        <w:t>extending</w:t>
      </w:r>
      <w:r>
        <w:rPr>
          <w:spacing w:val="-10"/>
          <w:sz w:val="20"/>
        </w:rPr>
        <w:t> </w:t>
      </w:r>
      <w:r>
        <w:rPr>
          <w:sz w:val="20"/>
        </w:rPr>
        <w:t>beyond</w:t>
      </w:r>
      <w:r>
        <w:rPr>
          <w:spacing w:val="-10"/>
          <w:sz w:val="20"/>
        </w:rPr>
        <w:t> </w:t>
      </w:r>
      <w:r>
        <w:rPr>
          <w:sz w:val="20"/>
        </w:rPr>
        <w:t>the</w:t>
      </w:r>
      <w:r>
        <w:rPr>
          <w:spacing w:val="-10"/>
          <w:sz w:val="20"/>
        </w:rPr>
        <w:t> </w:t>
      </w:r>
      <w:r>
        <w:rPr>
          <w:sz w:val="20"/>
        </w:rPr>
        <w:t>mere</w:t>
      </w:r>
      <w:r>
        <w:rPr>
          <w:spacing w:val="-10"/>
          <w:sz w:val="20"/>
        </w:rPr>
        <w:t> </w:t>
      </w:r>
      <w:r>
        <w:rPr>
          <w:sz w:val="20"/>
        </w:rPr>
        <w:t>conclusion</w:t>
      </w:r>
      <w:r>
        <w:rPr>
          <w:spacing w:val="-10"/>
          <w:sz w:val="20"/>
        </w:rPr>
        <w:t> </w:t>
      </w:r>
      <w:r>
        <w:rPr>
          <w:sz w:val="20"/>
        </w:rPr>
        <w:t>of</w:t>
      </w:r>
      <w:r>
        <w:rPr>
          <w:spacing w:val="-8"/>
          <w:sz w:val="20"/>
        </w:rPr>
        <w:t> </w:t>
      </w:r>
      <w:r>
        <w:rPr>
          <w:sz w:val="20"/>
        </w:rPr>
        <w:t>sales,</w:t>
      </w:r>
      <w:r>
        <w:rPr>
          <w:spacing w:val="-10"/>
          <w:sz w:val="20"/>
        </w:rPr>
        <w:t> </w:t>
      </w:r>
      <w:r>
        <w:rPr>
          <w:sz w:val="20"/>
        </w:rPr>
        <w:t>in</w:t>
      </w:r>
      <w:r>
        <w:rPr>
          <w:spacing w:val="-10"/>
          <w:sz w:val="20"/>
        </w:rPr>
        <w:t> </w:t>
      </w:r>
      <w:r>
        <w:rPr>
          <w:sz w:val="20"/>
        </w:rPr>
        <w:t>order</w:t>
      </w:r>
      <w:r>
        <w:rPr>
          <w:spacing w:val="-9"/>
          <w:sz w:val="20"/>
        </w:rPr>
        <w:t> </w:t>
      </w:r>
      <w:r>
        <w:rPr>
          <w:sz w:val="20"/>
        </w:rPr>
        <w:t>generate</w:t>
      </w:r>
      <w:r>
        <w:rPr>
          <w:spacing w:val="-8"/>
          <w:sz w:val="20"/>
        </w:rPr>
        <w:t> </w:t>
      </w:r>
      <w:r>
        <w:rPr>
          <w:sz w:val="20"/>
        </w:rPr>
        <w:t>profits,</w:t>
      </w:r>
      <w:r>
        <w:rPr>
          <w:spacing w:val="-10"/>
          <w:sz w:val="20"/>
        </w:rPr>
        <w:t> </w:t>
      </w:r>
      <w:r>
        <w:rPr>
          <w:sz w:val="20"/>
        </w:rPr>
        <w:t>without</w:t>
      </w:r>
      <w:r>
        <w:rPr>
          <w:spacing w:val="-8"/>
          <w:sz w:val="20"/>
        </w:rPr>
        <w:t> </w:t>
      </w:r>
      <w:r>
        <w:rPr>
          <w:sz w:val="20"/>
        </w:rPr>
        <w:t>necessarily having</w:t>
      </w:r>
      <w:r>
        <w:rPr>
          <w:spacing w:val="-12"/>
          <w:sz w:val="20"/>
        </w:rPr>
        <w:t> </w:t>
      </w:r>
      <w:r>
        <w:rPr>
          <w:sz w:val="20"/>
        </w:rPr>
        <w:t>a</w:t>
      </w:r>
      <w:r>
        <w:rPr>
          <w:spacing w:val="-9"/>
          <w:sz w:val="20"/>
        </w:rPr>
        <w:t> </w:t>
      </w:r>
      <w:r>
        <w:rPr>
          <w:sz w:val="20"/>
        </w:rPr>
        <w:t>commensurate</w:t>
      </w:r>
      <w:r>
        <w:rPr>
          <w:spacing w:val="-11"/>
          <w:sz w:val="20"/>
        </w:rPr>
        <w:t> </w:t>
      </w:r>
      <w:r>
        <w:rPr>
          <w:sz w:val="20"/>
        </w:rPr>
        <w:t>level</w:t>
      </w:r>
      <w:r>
        <w:rPr>
          <w:spacing w:val="-10"/>
          <w:sz w:val="20"/>
        </w:rPr>
        <w:t> </w:t>
      </w:r>
      <w:r>
        <w:rPr>
          <w:sz w:val="20"/>
        </w:rPr>
        <w:t>of</w:t>
      </w:r>
      <w:r>
        <w:rPr>
          <w:spacing w:val="-9"/>
          <w:sz w:val="20"/>
        </w:rPr>
        <w:t> </w:t>
      </w:r>
      <w:r>
        <w:rPr>
          <w:sz w:val="20"/>
        </w:rPr>
        <w:t>taxable</w:t>
      </w:r>
      <w:r>
        <w:rPr>
          <w:spacing w:val="-9"/>
          <w:sz w:val="20"/>
        </w:rPr>
        <w:t> </w:t>
      </w:r>
      <w:r>
        <w:rPr>
          <w:sz w:val="20"/>
        </w:rPr>
        <w:t>presence</w:t>
      </w:r>
      <w:r>
        <w:rPr>
          <w:spacing w:val="-8"/>
          <w:sz w:val="20"/>
        </w:rPr>
        <w:t> </w:t>
      </w:r>
      <w:r>
        <w:rPr>
          <w:sz w:val="20"/>
        </w:rPr>
        <w:t>in</w:t>
      </w:r>
      <w:r>
        <w:rPr>
          <w:spacing w:val="-9"/>
          <w:sz w:val="20"/>
        </w:rPr>
        <w:t> </w:t>
      </w:r>
      <w:r>
        <w:rPr>
          <w:sz w:val="20"/>
        </w:rPr>
        <w:t>that</w:t>
      </w:r>
      <w:r>
        <w:rPr>
          <w:spacing w:val="-12"/>
          <w:sz w:val="20"/>
        </w:rPr>
        <w:t> </w:t>
      </w:r>
      <w:r>
        <w:rPr>
          <w:sz w:val="20"/>
        </w:rPr>
        <w:t>market</w:t>
      </w:r>
      <w:r>
        <w:rPr>
          <w:spacing w:val="-11"/>
          <w:sz w:val="20"/>
        </w:rPr>
        <w:t> </w:t>
      </w:r>
      <w:r>
        <w:rPr>
          <w:sz w:val="20"/>
        </w:rPr>
        <w:t>(as</w:t>
      </w:r>
      <w:r>
        <w:rPr>
          <w:spacing w:val="-10"/>
          <w:sz w:val="20"/>
        </w:rPr>
        <w:t> </w:t>
      </w:r>
      <w:r>
        <w:rPr>
          <w:sz w:val="20"/>
        </w:rPr>
        <w:t>based</w:t>
      </w:r>
      <w:r>
        <w:rPr>
          <w:spacing w:val="-9"/>
          <w:sz w:val="20"/>
        </w:rPr>
        <w:t> </w:t>
      </w:r>
      <w:r>
        <w:rPr>
          <w:sz w:val="20"/>
        </w:rPr>
        <w:t>on</w:t>
      </w:r>
      <w:r>
        <w:rPr>
          <w:spacing w:val="-8"/>
          <w:sz w:val="20"/>
        </w:rPr>
        <w:t> </w:t>
      </w:r>
      <w:r>
        <w:rPr>
          <w:sz w:val="20"/>
        </w:rPr>
        <w:t>existing</w:t>
      </w:r>
      <w:r>
        <w:rPr>
          <w:spacing w:val="-2"/>
          <w:sz w:val="20"/>
        </w:rPr>
        <w:t> </w:t>
      </w:r>
      <w:r>
        <w:rPr>
          <w:sz w:val="20"/>
        </w:rPr>
        <w:t>nexus</w:t>
      </w:r>
      <w:r>
        <w:rPr>
          <w:spacing w:val="-9"/>
          <w:sz w:val="20"/>
        </w:rPr>
        <w:t> </w:t>
      </w:r>
      <w:r>
        <w:rPr>
          <w:sz w:val="20"/>
        </w:rPr>
        <w:t>rules).</w:t>
      </w:r>
      <w:r>
        <w:rPr>
          <w:spacing w:val="-11"/>
          <w:sz w:val="20"/>
        </w:rPr>
        <w:t> </w:t>
      </w:r>
      <w:r>
        <w:rPr>
          <w:sz w:val="20"/>
        </w:rPr>
        <w:t>In</w:t>
      </w:r>
      <w:r>
        <w:rPr>
          <w:spacing w:val="-9"/>
          <w:sz w:val="20"/>
        </w:rPr>
        <w:t> </w:t>
      </w:r>
      <w:r>
        <w:rPr>
          <w:sz w:val="20"/>
        </w:rPr>
        <w:t>this regard, Chapters 2 and 3 need to be read together as they translate a common underlying</w:t>
      </w:r>
      <w:r>
        <w:rPr>
          <w:spacing w:val="-35"/>
          <w:sz w:val="20"/>
        </w:rPr>
        <w:t> </w:t>
      </w:r>
      <w:r>
        <w:rPr>
          <w:sz w:val="20"/>
        </w:rPr>
        <w:t>rationale.</w:t>
      </w:r>
    </w:p>
    <w:p>
      <w:pPr>
        <w:pStyle w:val="ListParagraph"/>
        <w:numPr>
          <w:ilvl w:val="0"/>
          <w:numId w:val="13"/>
        </w:numPr>
        <w:tabs>
          <w:tab w:pos="1444" w:val="left" w:leader="none"/>
        </w:tabs>
        <w:spacing w:line="271" w:lineRule="auto" w:before="119" w:after="0"/>
        <w:ind w:left="723" w:right="485" w:firstLine="0"/>
        <w:jc w:val="both"/>
        <w:rPr>
          <w:sz w:val="20"/>
        </w:rPr>
      </w:pPr>
      <w:r>
        <w:rPr>
          <w:sz w:val="20"/>
        </w:rPr>
        <w:t>The nexus rules design intends to protect the interests of smaller jurisdictions, and in particular developing</w:t>
      </w:r>
      <w:r>
        <w:rPr>
          <w:spacing w:val="-5"/>
          <w:sz w:val="20"/>
        </w:rPr>
        <w:t> </w:t>
      </w:r>
      <w:r>
        <w:rPr>
          <w:sz w:val="20"/>
        </w:rPr>
        <w:t>economies,</w:t>
      </w:r>
      <w:r>
        <w:rPr>
          <w:spacing w:val="-6"/>
          <w:sz w:val="20"/>
        </w:rPr>
        <w:t> </w:t>
      </w:r>
      <w:r>
        <w:rPr>
          <w:sz w:val="20"/>
        </w:rPr>
        <w:t>and</w:t>
      </w:r>
      <w:r>
        <w:rPr>
          <w:spacing w:val="-5"/>
          <w:sz w:val="20"/>
        </w:rPr>
        <w:t> </w:t>
      </w:r>
      <w:r>
        <w:rPr>
          <w:sz w:val="20"/>
        </w:rPr>
        <w:t>their</w:t>
      </w:r>
      <w:r>
        <w:rPr>
          <w:spacing w:val="-6"/>
          <w:sz w:val="20"/>
        </w:rPr>
        <w:t> </w:t>
      </w:r>
      <w:r>
        <w:rPr>
          <w:sz w:val="20"/>
        </w:rPr>
        <w:t>desire</w:t>
      </w:r>
      <w:r>
        <w:rPr>
          <w:spacing w:val="-4"/>
          <w:sz w:val="20"/>
        </w:rPr>
        <w:t> </w:t>
      </w:r>
      <w:r>
        <w:rPr>
          <w:sz w:val="20"/>
        </w:rPr>
        <w:t>to</w:t>
      </w:r>
      <w:r>
        <w:rPr>
          <w:spacing w:val="-4"/>
          <w:sz w:val="20"/>
        </w:rPr>
        <w:t> </w:t>
      </w:r>
      <w:r>
        <w:rPr>
          <w:sz w:val="20"/>
        </w:rPr>
        <w:t>benefit</w:t>
      </w:r>
      <w:r>
        <w:rPr>
          <w:spacing w:val="-5"/>
          <w:sz w:val="20"/>
        </w:rPr>
        <w:t> </w:t>
      </w:r>
      <w:r>
        <w:rPr>
          <w:sz w:val="20"/>
        </w:rPr>
        <w:t>from</w:t>
      </w:r>
      <w:r>
        <w:rPr>
          <w:spacing w:val="-5"/>
          <w:sz w:val="20"/>
        </w:rPr>
        <w:t> </w:t>
      </w:r>
      <w:r>
        <w:rPr>
          <w:sz w:val="20"/>
        </w:rPr>
        <w:t>the</w:t>
      </w:r>
      <w:r>
        <w:rPr>
          <w:spacing w:val="-4"/>
          <w:sz w:val="20"/>
        </w:rPr>
        <w:t> </w:t>
      </w:r>
      <w:r>
        <w:rPr>
          <w:sz w:val="20"/>
        </w:rPr>
        <w:t>new</w:t>
      </w:r>
      <w:r>
        <w:rPr>
          <w:spacing w:val="-6"/>
          <w:sz w:val="20"/>
        </w:rPr>
        <w:t> </w:t>
      </w:r>
      <w:r>
        <w:rPr>
          <w:sz w:val="20"/>
        </w:rPr>
        <w:t>taxing</w:t>
      </w:r>
      <w:r>
        <w:rPr>
          <w:spacing w:val="-7"/>
          <w:sz w:val="20"/>
        </w:rPr>
        <w:t> </w:t>
      </w:r>
      <w:r>
        <w:rPr>
          <w:sz w:val="20"/>
        </w:rPr>
        <w:t>right. It</w:t>
      </w:r>
      <w:r>
        <w:rPr>
          <w:spacing w:val="-4"/>
          <w:sz w:val="20"/>
        </w:rPr>
        <w:t> </w:t>
      </w:r>
      <w:r>
        <w:rPr>
          <w:sz w:val="20"/>
        </w:rPr>
        <w:t>recognises</w:t>
      </w:r>
      <w:r>
        <w:rPr>
          <w:spacing w:val="-5"/>
          <w:sz w:val="20"/>
        </w:rPr>
        <w:t> </w:t>
      </w:r>
      <w:r>
        <w:rPr>
          <w:sz w:val="20"/>
        </w:rPr>
        <w:t>the</w:t>
      </w:r>
      <w:r>
        <w:rPr>
          <w:spacing w:val="-5"/>
          <w:sz w:val="20"/>
        </w:rPr>
        <w:t> </w:t>
      </w:r>
      <w:r>
        <w:rPr>
          <w:sz w:val="20"/>
        </w:rPr>
        <w:t>need</w:t>
      </w:r>
      <w:r>
        <w:rPr>
          <w:spacing w:val="-7"/>
          <w:sz w:val="20"/>
        </w:rPr>
        <w:t> </w:t>
      </w:r>
      <w:r>
        <w:rPr>
          <w:sz w:val="20"/>
        </w:rPr>
        <w:t>for</w:t>
      </w:r>
      <w:r>
        <w:rPr>
          <w:spacing w:val="-4"/>
          <w:sz w:val="20"/>
        </w:rPr>
        <w:t> </w:t>
      </w:r>
      <w:r>
        <w:rPr>
          <w:sz w:val="20"/>
        </w:rPr>
        <w:t>low and proportionate compliance</w:t>
      </w:r>
      <w:r>
        <w:rPr>
          <w:spacing w:val="-2"/>
          <w:sz w:val="20"/>
        </w:rPr>
        <w:t> </w:t>
      </w:r>
      <w:r>
        <w:rPr>
          <w:sz w:val="20"/>
        </w:rPr>
        <w:t>costs.</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The new nexus rules determine entitlement of a market jurisdiction to an allocation of Amount A only.</w:t>
      </w:r>
      <w:r>
        <w:rPr>
          <w:spacing w:val="-9"/>
          <w:sz w:val="20"/>
        </w:rPr>
        <w:t> </w:t>
      </w:r>
      <w:r>
        <w:rPr>
          <w:sz w:val="20"/>
        </w:rPr>
        <w:t>They</w:t>
      </w:r>
      <w:r>
        <w:rPr>
          <w:spacing w:val="-9"/>
          <w:sz w:val="20"/>
        </w:rPr>
        <w:t> </w:t>
      </w:r>
      <w:r>
        <w:rPr>
          <w:sz w:val="20"/>
        </w:rPr>
        <w:t>do</w:t>
      </w:r>
      <w:r>
        <w:rPr>
          <w:spacing w:val="-6"/>
          <w:sz w:val="20"/>
        </w:rPr>
        <w:t> </w:t>
      </w:r>
      <w:r>
        <w:rPr>
          <w:sz w:val="20"/>
        </w:rPr>
        <w:t>not</w:t>
      </w:r>
      <w:r>
        <w:rPr>
          <w:spacing w:val="-8"/>
          <w:sz w:val="20"/>
        </w:rPr>
        <w:t> </w:t>
      </w:r>
      <w:r>
        <w:rPr>
          <w:sz w:val="20"/>
        </w:rPr>
        <w:t>alter</w:t>
      </w:r>
      <w:r>
        <w:rPr>
          <w:spacing w:val="-8"/>
          <w:sz w:val="20"/>
        </w:rPr>
        <w:t> </w:t>
      </w:r>
      <w:r>
        <w:rPr>
          <w:sz w:val="20"/>
        </w:rPr>
        <w:t>the</w:t>
      </w:r>
      <w:r>
        <w:rPr>
          <w:spacing w:val="-8"/>
          <w:sz w:val="20"/>
        </w:rPr>
        <w:t> </w:t>
      </w:r>
      <w:r>
        <w:rPr>
          <w:sz w:val="20"/>
        </w:rPr>
        <w:t>nexus</w:t>
      </w:r>
      <w:r>
        <w:rPr>
          <w:spacing w:val="-7"/>
          <w:sz w:val="20"/>
        </w:rPr>
        <w:t> </w:t>
      </w:r>
      <w:r>
        <w:rPr>
          <w:sz w:val="20"/>
        </w:rPr>
        <w:t>for</w:t>
      </w:r>
      <w:r>
        <w:rPr>
          <w:spacing w:val="-5"/>
          <w:sz w:val="20"/>
        </w:rPr>
        <w:t> </w:t>
      </w:r>
      <w:r>
        <w:rPr>
          <w:sz w:val="20"/>
        </w:rPr>
        <w:t>other</w:t>
      </w:r>
      <w:r>
        <w:rPr>
          <w:spacing w:val="-8"/>
          <w:sz w:val="20"/>
        </w:rPr>
        <w:t> </w:t>
      </w:r>
      <w:r>
        <w:rPr>
          <w:sz w:val="20"/>
        </w:rPr>
        <w:t>tax</w:t>
      </w:r>
      <w:r>
        <w:rPr>
          <w:spacing w:val="-7"/>
          <w:sz w:val="20"/>
        </w:rPr>
        <w:t> </w:t>
      </w:r>
      <w:r>
        <w:rPr>
          <w:sz w:val="20"/>
        </w:rPr>
        <w:t>purposes,</w:t>
      </w:r>
      <w:r>
        <w:rPr>
          <w:spacing w:val="-8"/>
          <w:sz w:val="20"/>
        </w:rPr>
        <w:t> </w:t>
      </w:r>
      <w:r>
        <w:rPr>
          <w:sz w:val="20"/>
        </w:rPr>
        <w:t>customs</w:t>
      </w:r>
      <w:r>
        <w:rPr>
          <w:spacing w:val="-7"/>
          <w:sz w:val="20"/>
        </w:rPr>
        <w:t> </w:t>
      </w:r>
      <w:r>
        <w:rPr>
          <w:sz w:val="20"/>
        </w:rPr>
        <w:t>duties</w:t>
      </w:r>
      <w:r>
        <w:rPr>
          <w:spacing w:val="-8"/>
          <w:sz w:val="20"/>
        </w:rPr>
        <w:t> </w:t>
      </w:r>
      <w:r>
        <w:rPr>
          <w:sz w:val="20"/>
        </w:rPr>
        <w:t>or</w:t>
      </w:r>
      <w:r>
        <w:rPr>
          <w:spacing w:val="-7"/>
          <w:sz w:val="20"/>
        </w:rPr>
        <w:t> </w:t>
      </w:r>
      <w:r>
        <w:rPr>
          <w:sz w:val="20"/>
        </w:rPr>
        <w:t>for</w:t>
      </w:r>
      <w:r>
        <w:rPr>
          <w:spacing w:val="-7"/>
          <w:sz w:val="20"/>
        </w:rPr>
        <w:t> </w:t>
      </w:r>
      <w:r>
        <w:rPr>
          <w:sz w:val="20"/>
        </w:rPr>
        <w:t>any</w:t>
      </w:r>
      <w:r>
        <w:rPr>
          <w:spacing w:val="-9"/>
          <w:sz w:val="20"/>
        </w:rPr>
        <w:t> </w:t>
      </w:r>
      <w:r>
        <w:rPr>
          <w:sz w:val="20"/>
        </w:rPr>
        <w:t>other</w:t>
      </w:r>
      <w:r>
        <w:rPr>
          <w:spacing w:val="-8"/>
          <w:sz w:val="20"/>
        </w:rPr>
        <w:t> </w:t>
      </w:r>
      <w:r>
        <w:rPr>
          <w:sz w:val="20"/>
        </w:rPr>
        <w:t>non-tax</w:t>
      </w:r>
      <w:r>
        <w:rPr>
          <w:spacing w:val="-7"/>
          <w:sz w:val="20"/>
        </w:rPr>
        <w:t> </w:t>
      </w:r>
      <w:r>
        <w:rPr>
          <w:sz w:val="20"/>
        </w:rPr>
        <w:t>area.</w:t>
      </w:r>
      <w:r>
        <w:rPr>
          <w:spacing w:val="-8"/>
          <w:sz w:val="20"/>
        </w:rPr>
        <w:t> </w:t>
      </w:r>
      <w:r>
        <w:rPr>
          <w:sz w:val="20"/>
        </w:rPr>
        <w:t>The new nexus rules will be designed as a standalone provision to limit any unintended spill-over effects on other existing tax or non-tax</w:t>
      </w:r>
      <w:r>
        <w:rPr>
          <w:spacing w:val="-2"/>
          <w:sz w:val="20"/>
        </w:rPr>
        <w:t> </w:t>
      </w:r>
      <w:r>
        <w:rPr>
          <w:sz w:val="20"/>
        </w:rPr>
        <w:t>rules.</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The new nexus rules could apply differently for ADS and CFB. For ADS, exceeding a market revenue</w:t>
      </w:r>
      <w:r>
        <w:rPr>
          <w:spacing w:val="-7"/>
          <w:sz w:val="20"/>
        </w:rPr>
        <w:t> </w:t>
      </w:r>
      <w:r>
        <w:rPr>
          <w:sz w:val="20"/>
        </w:rPr>
        <w:t>threshold</w:t>
      </w:r>
      <w:r>
        <w:rPr>
          <w:spacing w:val="-4"/>
          <w:sz w:val="20"/>
        </w:rPr>
        <w:t> </w:t>
      </w:r>
      <w:r>
        <w:rPr>
          <w:sz w:val="20"/>
        </w:rPr>
        <w:t>could</w:t>
      </w:r>
      <w:r>
        <w:rPr>
          <w:spacing w:val="-3"/>
          <w:sz w:val="20"/>
        </w:rPr>
        <w:t> </w:t>
      </w:r>
      <w:r>
        <w:rPr>
          <w:sz w:val="20"/>
        </w:rPr>
        <w:t>be</w:t>
      </w:r>
      <w:r>
        <w:rPr>
          <w:spacing w:val="-5"/>
          <w:sz w:val="20"/>
        </w:rPr>
        <w:t> </w:t>
      </w:r>
      <w:r>
        <w:rPr>
          <w:sz w:val="20"/>
        </w:rPr>
        <w:t>the</w:t>
      </w:r>
      <w:r>
        <w:rPr>
          <w:spacing w:val="-6"/>
          <w:sz w:val="20"/>
        </w:rPr>
        <w:t> </w:t>
      </w:r>
      <w:r>
        <w:rPr>
          <w:sz w:val="20"/>
        </w:rPr>
        <w:t>only</w:t>
      </w:r>
      <w:r>
        <w:rPr>
          <w:spacing w:val="-9"/>
          <w:sz w:val="20"/>
        </w:rPr>
        <w:t> </w:t>
      </w:r>
      <w:r>
        <w:rPr>
          <w:sz w:val="20"/>
        </w:rPr>
        <w:t>test</w:t>
      </w:r>
      <w:r>
        <w:rPr>
          <w:spacing w:val="-5"/>
          <w:sz w:val="20"/>
        </w:rPr>
        <w:t> </w:t>
      </w:r>
      <w:r>
        <w:rPr>
          <w:sz w:val="20"/>
        </w:rPr>
        <w:t>to</w:t>
      </w:r>
      <w:r>
        <w:rPr>
          <w:spacing w:val="-5"/>
          <w:sz w:val="20"/>
        </w:rPr>
        <w:t> </w:t>
      </w:r>
      <w:r>
        <w:rPr>
          <w:sz w:val="20"/>
        </w:rPr>
        <w:t>establish</w:t>
      </w:r>
      <w:r>
        <w:rPr>
          <w:spacing w:val="-6"/>
          <w:sz w:val="20"/>
        </w:rPr>
        <w:t> </w:t>
      </w:r>
      <w:r>
        <w:rPr>
          <w:sz w:val="20"/>
        </w:rPr>
        <w:t>nexus.</w:t>
      </w:r>
      <w:r>
        <w:rPr>
          <w:spacing w:val="-5"/>
          <w:sz w:val="20"/>
        </w:rPr>
        <w:t> </w:t>
      </w:r>
      <w:r>
        <w:rPr>
          <w:sz w:val="20"/>
        </w:rPr>
        <w:t>The</w:t>
      </w:r>
      <w:r>
        <w:rPr>
          <w:spacing w:val="-7"/>
          <w:sz w:val="20"/>
        </w:rPr>
        <w:t> </w:t>
      </w:r>
      <w:r>
        <w:rPr>
          <w:sz w:val="20"/>
        </w:rPr>
        <w:t>very</w:t>
      </w:r>
      <w:r>
        <w:rPr>
          <w:spacing w:val="-6"/>
          <w:sz w:val="20"/>
        </w:rPr>
        <w:t> </w:t>
      </w:r>
      <w:r>
        <w:rPr>
          <w:sz w:val="20"/>
        </w:rPr>
        <w:t>nature</w:t>
      </w:r>
      <w:r>
        <w:rPr>
          <w:spacing w:val="-6"/>
          <w:sz w:val="20"/>
        </w:rPr>
        <w:t> </w:t>
      </w:r>
      <w:r>
        <w:rPr>
          <w:sz w:val="20"/>
        </w:rPr>
        <w:t>of</w:t>
      </w:r>
      <w:r>
        <w:rPr>
          <w:spacing w:val="-4"/>
          <w:sz w:val="20"/>
        </w:rPr>
        <w:t> </w:t>
      </w:r>
      <w:r>
        <w:rPr>
          <w:sz w:val="20"/>
        </w:rPr>
        <w:t>the</w:t>
      </w:r>
      <w:r>
        <w:rPr>
          <w:spacing w:val="-4"/>
          <w:sz w:val="20"/>
        </w:rPr>
        <w:t> </w:t>
      </w:r>
      <w:r>
        <w:rPr>
          <w:sz w:val="20"/>
        </w:rPr>
        <w:t>ADS</w:t>
      </w:r>
      <w:r>
        <w:rPr>
          <w:spacing w:val="-5"/>
          <w:sz w:val="20"/>
        </w:rPr>
        <w:t> </w:t>
      </w:r>
      <w:r>
        <w:rPr>
          <w:sz w:val="20"/>
        </w:rPr>
        <w:t>allows</w:t>
      </w:r>
      <w:r>
        <w:rPr>
          <w:spacing w:val="-3"/>
          <w:sz w:val="20"/>
        </w:rPr>
        <w:t> </w:t>
      </w:r>
      <w:r>
        <w:rPr>
          <w:sz w:val="20"/>
        </w:rPr>
        <w:t>them</w:t>
      </w:r>
      <w:r>
        <w:rPr>
          <w:spacing w:val="-1"/>
          <w:sz w:val="20"/>
        </w:rPr>
        <w:t> </w:t>
      </w:r>
      <w:r>
        <w:rPr>
          <w:sz w:val="20"/>
        </w:rPr>
        <w:t>to</w:t>
      </w:r>
      <w:r>
        <w:rPr>
          <w:spacing w:val="-6"/>
          <w:sz w:val="20"/>
        </w:rPr>
        <w:t> </w:t>
      </w:r>
      <w:r>
        <w:rPr>
          <w:sz w:val="20"/>
        </w:rPr>
        <w:t>be provided remotely and such businesses generally have a significant and sustained engagement with the market</w:t>
      </w:r>
      <w:r>
        <w:rPr>
          <w:spacing w:val="-9"/>
          <w:sz w:val="20"/>
        </w:rPr>
        <w:t> </w:t>
      </w:r>
      <w:r>
        <w:rPr>
          <w:sz w:val="20"/>
        </w:rPr>
        <w:t>even</w:t>
      </w:r>
      <w:r>
        <w:rPr>
          <w:spacing w:val="-9"/>
          <w:sz w:val="20"/>
        </w:rPr>
        <w:t> </w:t>
      </w:r>
      <w:r>
        <w:rPr>
          <w:sz w:val="20"/>
        </w:rPr>
        <w:t>if</w:t>
      </w:r>
      <w:r>
        <w:rPr>
          <w:spacing w:val="-7"/>
          <w:sz w:val="20"/>
        </w:rPr>
        <w:t> </w:t>
      </w:r>
      <w:r>
        <w:rPr>
          <w:sz w:val="20"/>
        </w:rPr>
        <w:t>there</w:t>
      </w:r>
      <w:r>
        <w:rPr>
          <w:spacing w:val="-7"/>
          <w:sz w:val="20"/>
        </w:rPr>
        <w:t> </w:t>
      </w:r>
      <w:r>
        <w:rPr>
          <w:sz w:val="20"/>
        </w:rPr>
        <w:t>is</w:t>
      </w:r>
      <w:r>
        <w:rPr>
          <w:spacing w:val="-8"/>
          <w:sz w:val="20"/>
        </w:rPr>
        <w:t> </w:t>
      </w:r>
      <w:r>
        <w:rPr>
          <w:sz w:val="20"/>
        </w:rPr>
        <w:t>not</w:t>
      </w:r>
      <w:r>
        <w:rPr>
          <w:spacing w:val="-6"/>
          <w:sz w:val="20"/>
        </w:rPr>
        <w:t> </w:t>
      </w:r>
      <w:r>
        <w:rPr>
          <w:sz w:val="20"/>
        </w:rPr>
        <w:t>a</w:t>
      </w:r>
      <w:r>
        <w:rPr>
          <w:spacing w:val="-7"/>
          <w:sz w:val="20"/>
        </w:rPr>
        <w:t> </w:t>
      </w:r>
      <w:r>
        <w:rPr>
          <w:sz w:val="20"/>
        </w:rPr>
        <w:t>physical</w:t>
      </w:r>
      <w:r>
        <w:rPr>
          <w:spacing w:val="-8"/>
          <w:sz w:val="20"/>
        </w:rPr>
        <w:t> </w:t>
      </w:r>
      <w:r>
        <w:rPr>
          <w:sz w:val="20"/>
        </w:rPr>
        <w:t>presence,</w:t>
      </w:r>
      <w:r>
        <w:rPr>
          <w:spacing w:val="-6"/>
          <w:sz w:val="20"/>
        </w:rPr>
        <w:t> </w:t>
      </w:r>
      <w:r>
        <w:rPr>
          <w:sz w:val="20"/>
        </w:rPr>
        <w:t>which</w:t>
      </w:r>
      <w:r>
        <w:rPr>
          <w:spacing w:val="-6"/>
          <w:sz w:val="20"/>
        </w:rPr>
        <w:t> </w:t>
      </w:r>
      <w:r>
        <w:rPr>
          <w:sz w:val="20"/>
        </w:rPr>
        <w:t>is</w:t>
      </w:r>
      <w:r>
        <w:rPr>
          <w:spacing w:val="-8"/>
          <w:sz w:val="20"/>
        </w:rPr>
        <w:t> </w:t>
      </w:r>
      <w:r>
        <w:rPr>
          <w:sz w:val="20"/>
        </w:rPr>
        <w:t>one</w:t>
      </w:r>
      <w:r>
        <w:rPr>
          <w:spacing w:val="-9"/>
          <w:sz w:val="20"/>
        </w:rPr>
        <w:t> </w:t>
      </w:r>
      <w:r>
        <w:rPr>
          <w:sz w:val="20"/>
        </w:rPr>
        <w:t>of</w:t>
      </w:r>
      <w:r>
        <w:rPr>
          <w:spacing w:val="-7"/>
          <w:sz w:val="20"/>
        </w:rPr>
        <w:t> </w:t>
      </w:r>
      <w:r>
        <w:rPr>
          <w:sz w:val="20"/>
        </w:rPr>
        <w:t>the</w:t>
      </w:r>
      <w:r>
        <w:rPr>
          <w:spacing w:val="-9"/>
          <w:sz w:val="20"/>
        </w:rPr>
        <w:t> </w:t>
      </w:r>
      <w:r>
        <w:rPr>
          <w:sz w:val="20"/>
        </w:rPr>
        <w:t>key</w:t>
      </w:r>
      <w:r>
        <w:rPr>
          <w:spacing w:val="-11"/>
          <w:sz w:val="20"/>
        </w:rPr>
        <w:t> </w:t>
      </w:r>
      <w:r>
        <w:rPr>
          <w:sz w:val="20"/>
        </w:rPr>
        <w:t>challenges</w:t>
      </w:r>
      <w:r>
        <w:rPr>
          <w:spacing w:val="-6"/>
          <w:sz w:val="20"/>
        </w:rPr>
        <w:t> </w:t>
      </w:r>
      <w:r>
        <w:rPr>
          <w:sz w:val="20"/>
        </w:rPr>
        <w:t>in</w:t>
      </w:r>
      <w:r>
        <w:rPr>
          <w:spacing w:val="-9"/>
          <w:sz w:val="20"/>
        </w:rPr>
        <w:t> </w:t>
      </w:r>
      <w:r>
        <w:rPr>
          <w:sz w:val="20"/>
        </w:rPr>
        <w:t>taxing</w:t>
      </w:r>
      <w:r>
        <w:rPr>
          <w:spacing w:val="-4"/>
          <w:sz w:val="20"/>
        </w:rPr>
        <w:t> </w:t>
      </w:r>
      <w:r>
        <w:rPr>
          <w:sz w:val="20"/>
        </w:rPr>
        <w:t>the</w:t>
      </w:r>
      <w:r>
        <w:rPr>
          <w:spacing w:val="-7"/>
          <w:sz w:val="20"/>
        </w:rPr>
        <w:t> </w:t>
      </w:r>
      <w:r>
        <w:rPr>
          <w:sz w:val="20"/>
        </w:rPr>
        <w:t>digitalising economy.</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For CFB, the ability to participate remotely in a market jurisdiction is less pronounced. This, together</w:t>
      </w:r>
      <w:r>
        <w:rPr>
          <w:spacing w:val="-8"/>
          <w:sz w:val="20"/>
        </w:rPr>
        <w:t> </w:t>
      </w:r>
      <w:r>
        <w:rPr>
          <w:sz w:val="20"/>
        </w:rPr>
        <w:t>with</w:t>
      </w:r>
      <w:r>
        <w:rPr>
          <w:spacing w:val="-9"/>
          <w:sz w:val="20"/>
        </w:rPr>
        <w:t> </w:t>
      </w:r>
      <w:r>
        <w:rPr>
          <w:sz w:val="20"/>
        </w:rPr>
        <w:t>the</w:t>
      </w:r>
      <w:r>
        <w:rPr>
          <w:spacing w:val="-8"/>
          <w:sz w:val="20"/>
        </w:rPr>
        <w:t> </w:t>
      </w:r>
      <w:r>
        <w:rPr>
          <w:sz w:val="20"/>
        </w:rPr>
        <w:t>additional</w:t>
      </w:r>
      <w:r>
        <w:rPr>
          <w:spacing w:val="-9"/>
          <w:sz w:val="20"/>
        </w:rPr>
        <w:t> </w:t>
      </w:r>
      <w:r>
        <w:rPr>
          <w:sz w:val="20"/>
        </w:rPr>
        <w:t>complexity</w:t>
      </w:r>
      <w:r>
        <w:rPr>
          <w:spacing w:val="-13"/>
          <w:sz w:val="20"/>
        </w:rPr>
        <w:t> </w:t>
      </w:r>
      <w:r>
        <w:rPr>
          <w:sz w:val="20"/>
        </w:rPr>
        <w:t>and</w:t>
      </w:r>
      <w:r>
        <w:rPr>
          <w:spacing w:val="-10"/>
          <w:sz w:val="20"/>
        </w:rPr>
        <w:t> </w:t>
      </w:r>
      <w:r>
        <w:rPr>
          <w:sz w:val="20"/>
        </w:rPr>
        <w:t>compliance</w:t>
      </w:r>
      <w:r>
        <w:rPr>
          <w:spacing w:val="-8"/>
          <w:sz w:val="20"/>
        </w:rPr>
        <w:t> </w:t>
      </w:r>
      <w:r>
        <w:rPr>
          <w:sz w:val="20"/>
        </w:rPr>
        <w:t>costs</w:t>
      </w:r>
      <w:r>
        <w:rPr>
          <w:spacing w:val="-9"/>
          <w:sz w:val="20"/>
        </w:rPr>
        <w:t> </w:t>
      </w:r>
      <w:r>
        <w:rPr>
          <w:sz w:val="20"/>
        </w:rPr>
        <w:t>associated</w:t>
      </w:r>
      <w:r>
        <w:rPr>
          <w:spacing w:val="-8"/>
          <w:sz w:val="20"/>
        </w:rPr>
        <w:t> </w:t>
      </w:r>
      <w:r>
        <w:rPr>
          <w:sz w:val="20"/>
        </w:rPr>
        <w:t>with</w:t>
      </w:r>
      <w:r>
        <w:rPr>
          <w:spacing w:val="-8"/>
          <w:sz w:val="20"/>
        </w:rPr>
        <w:t> </w:t>
      </w:r>
      <w:r>
        <w:rPr>
          <w:sz w:val="20"/>
        </w:rPr>
        <w:t>sourcing</w:t>
      </w:r>
      <w:r>
        <w:rPr>
          <w:spacing w:val="-10"/>
          <w:sz w:val="20"/>
        </w:rPr>
        <w:t> </w:t>
      </w:r>
      <w:r>
        <w:rPr>
          <w:sz w:val="20"/>
        </w:rPr>
        <w:t>revenue</w:t>
      </w:r>
      <w:r>
        <w:rPr>
          <w:spacing w:val="-10"/>
          <w:sz w:val="20"/>
        </w:rPr>
        <w:t> </w:t>
      </w:r>
      <w:r>
        <w:rPr>
          <w:sz w:val="20"/>
        </w:rPr>
        <w:t>derived</w:t>
      </w:r>
      <w:r>
        <w:rPr>
          <w:spacing w:val="-8"/>
          <w:sz w:val="20"/>
        </w:rPr>
        <w:t> </w:t>
      </w:r>
      <w:r>
        <w:rPr>
          <w:sz w:val="20"/>
        </w:rPr>
        <w:t>by CFB (e.g. third party distribution) and the broad acknowledgement that profit margins are typically lower for CFB compared with ADS, could justify a higher nexus standard for CFB. Although many Inclusive Framework members, seeking simplicity, would prefer a nexus threshold based solely on revenue, other members consider that a higher nexus standard for CFB is essential. One approach for satisfying this higher nexus standard is through a higher threshold and the presence of additional indicators (“plus” factors)</w:t>
      </w:r>
      <w:r>
        <w:rPr>
          <w:spacing w:val="-11"/>
          <w:sz w:val="20"/>
        </w:rPr>
        <w:t> </w:t>
      </w:r>
      <w:r>
        <w:rPr>
          <w:sz w:val="20"/>
        </w:rPr>
        <w:t>which</w:t>
      </w:r>
      <w:r>
        <w:rPr>
          <w:spacing w:val="-9"/>
          <w:sz w:val="20"/>
        </w:rPr>
        <w:t> </w:t>
      </w:r>
      <w:r>
        <w:rPr>
          <w:sz w:val="20"/>
        </w:rPr>
        <w:t>would</w:t>
      </w:r>
      <w:r>
        <w:rPr>
          <w:spacing w:val="-9"/>
          <w:sz w:val="20"/>
        </w:rPr>
        <w:t> </w:t>
      </w:r>
      <w:r>
        <w:rPr>
          <w:sz w:val="20"/>
        </w:rPr>
        <w:t>evidence</w:t>
      </w:r>
      <w:r>
        <w:rPr>
          <w:spacing w:val="-12"/>
          <w:sz w:val="20"/>
        </w:rPr>
        <w:t> </w:t>
      </w:r>
      <w:r>
        <w:rPr>
          <w:sz w:val="20"/>
        </w:rPr>
        <w:t>an</w:t>
      </w:r>
      <w:r>
        <w:rPr>
          <w:spacing w:val="-9"/>
          <w:sz w:val="20"/>
        </w:rPr>
        <w:t> </w:t>
      </w:r>
      <w:r>
        <w:rPr>
          <w:sz w:val="20"/>
        </w:rPr>
        <w:t>active</w:t>
      </w:r>
      <w:r>
        <w:rPr>
          <w:spacing w:val="-9"/>
          <w:sz w:val="20"/>
        </w:rPr>
        <w:t> </w:t>
      </w:r>
      <w:r>
        <w:rPr>
          <w:sz w:val="20"/>
        </w:rPr>
        <w:t>and</w:t>
      </w:r>
      <w:r>
        <w:rPr>
          <w:spacing w:val="-10"/>
          <w:sz w:val="20"/>
        </w:rPr>
        <w:t> </w:t>
      </w:r>
      <w:r>
        <w:rPr>
          <w:sz w:val="20"/>
        </w:rPr>
        <w:t>sustained</w:t>
      </w:r>
      <w:r>
        <w:rPr>
          <w:spacing w:val="-5"/>
          <w:sz w:val="20"/>
        </w:rPr>
        <w:t> </w:t>
      </w:r>
      <w:r>
        <w:rPr>
          <w:sz w:val="20"/>
        </w:rPr>
        <w:t>engagement</w:t>
      </w:r>
      <w:r>
        <w:rPr>
          <w:spacing w:val="-11"/>
          <w:sz w:val="20"/>
        </w:rPr>
        <w:t> </w:t>
      </w:r>
      <w:r>
        <w:rPr>
          <w:sz w:val="20"/>
        </w:rPr>
        <w:t>in</w:t>
      </w:r>
      <w:r>
        <w:rPr>
          <w:spacing w:val="-12"/>
          <w:sz w:val="20"/>
        </w:rPr>
        <w:t> </w:t>
      </w:r>
      <w:r>
        <w:rPr>
          <w:sz w:val="20"/>
        </w:rPr>
        <w:t>that</w:t>
      </w:r>
      <w:r>
        <w:rPr>
          <w:spacing w:val="-13"/>
          <w:sz w:val="20"/>
        </w:rPr>
        <w:t> </w:t>
      </w:r>
      <w:r>
        <w:rPr>
          <w:sz w:val="20"/>
        </w:rPr>
        <w:t>jurisdiction</w:t>
      </w:r>
      <w:r>
        <w:rPr>
          <w:spacing w:val="-10"/>
          <w:sz w:val="20"/>
        </w:rPr>
        <w:t> </w:t>
      </w:r>
      <w:r>
        <w:rPr>
          <w:sz w:val="20"/>
        </w:rPr>
        <w:t>beyond</w:t>
      </w:r>
      <w:r>
        <w:rPr>
          <w:spacing w:val="-12"/>
          <w:sz w:val="20"/>
        </w:rPr>
        <w:t> </w:t>
      </w:r>
      <w:r>
        <w:rPr>
          <w:sz w:val="20"/>
        </w:rPr>
        <w:t>mere</w:t>
      </w:r>
      <w:r>
        <w:rPr>
          <w:spacing w:val="-11"/>
          <w:sz w:val="20"/>
        </w:rPr>
        <w:t> </w:t>
      </w:r>
      <w:r>
        <w:rPr>
          <w:sz w:val="20"/>
        </w:rPr>
        <w:t>sales.</w:t>
      </w:r>
    </w:p>
    <w:p>
      <w:pPr>
        <w:pStyle w:val="ListParagraph"/>
        <w:numPr>
          <w:ilvl w:val="0"/>
          <w:numId w:val="13"/>
        </w:numPr>
        <w:tabs>
          <w:tab w:pos="1444" w:val="left" w:leader="none"/>
        </w:tabs>
        <w:spacing w:line="271" w:lineRule="auto" w:before="123" w:after="0"/>
        <w:ind w:left="723" w:right="492" w:firstLine="0"/>
        <w:jc w:val="both"/>
        <w:rPr>
          <w:sz w:val="20"/>
        </w:rPr>
      </w:pPr>
      <w:r>
        <w:rPr>
          <w:sz w:val="20"/>
        </w:rPr>
        <w:t>The Blueprint therefore sets out an approach based on the following elements. A nexus is achieved:</w:t>
      </w:r>
    </w:p>
    <w:p>
      <w:pPr>
        <w:pStyle w:val="ListParagraph"/>
        <w:numPr>
          <w:ilvl w:val="0"/>
          <w:numId w:val="18"/>
        </w:numPr>
        <w:tabs>
          <w:tab w:pos="1402" w:val="left" w:leader="none"/>
          <w:tab w:pos="1403" w:val="left" w:leader="none"/>
        </w:tabs>
        <w:spacing w:line="240" w:lineRule="auto" w:before="100" w:after="0"/>
        <w:ind w:left="1402" w:right="0" w:hanging="339"/>
        <w:jc w:val="left"/>
        <w:rPr>
          <w:sz w:val="20"/>
        </w:rPr>
      </w:pPr>
      <w:r>
        <w:rPr>
          <w:sz w:val="20"/>
        </w:rPr>
        <w:t>for</w:t>
      </w:r>
      <w:r>
        <w:rPr>
          <w:spacing w:val="-2"/>
          <w:sz w:val="20"/>
        </w:rPr>
        <w:t> </w:t>
      </w:r>
      <w:r>
        <w:rPr>
          <w:sz w:val="20"/>
        </w:rPr>
        <w:t>ADS:</w:t>
      </w:r>
    </w:p>
    <w:p>
      <w:pPr>
        <w:pStyle w:val="ListParagraph"/>
        <w:numPr>
          <w:ilvl w:val="1"/>
          <w:numId w:val="18"/>
        </w:numPr>
        <w:tabs>
          <w:tab w:pos="1743" w:val="left" w:leader="none"/>
          <w:tab w:pos="1744" w:val="left" w:leader="none"/>
        </w:tabs>
        <w:spacing w:line="240" w:lineRule="auto" w:before="88" w:after="0"/>
        <w:ind w:left="1743" w:right="0" w:hanging="342"/>
        <w:jc w:val="left"/>
        <w:rPr>
          <w:sz w:val="20"/>
        </w:rPr>
      </w:pPr>
      <w:r>
        <w:rPr>
          <w:sz w:val="20"/>
        </w:rPr>
        <w:t>with revenues of more than [EUR X million] a</w:t>
      </w:r>
      <w:r>
        <w:rPr>
          <w:spacing w:val="-2"/>
          <w:sz w:val="20"/>
        </w:rPr>
        <w:t> </w:t>
      </w:r>
      <w:r>
        <w:rPr>
          <w:sz w:val="20"/>
        </w:rPr>
        <w:t>year;</w:t>
      </w:r>
    </w:p>
    <w:p>
      <w:pPr>
        <w:pStyle w:val="ListParagraph"/>
        <w:numPr>
          <w:ilvl w:val="0"/>
          <w:numId w:val="18"/>
        </w:numPr>
        <w:tabs>
          <w:tab w:pos="1402" w:val="left" w:leader="none"/>
          <w:tab w:pos="1403" w:val="left" w:leader="none"/>
        </w:tabs>
        <w:spacing w:line="240" w:lineRule="auto" w:before="58" w:after="0"/>
        <w:ind w:left="1402" w:right="0" w:hanging="339"/>
        <w:jc w:val="left"/>
        <w:rPr>
          <w:sz w:val="20"/>
        </w:rPr>
      </w:pPr>
      <w:r>
        <w:rPr>
          <w:sz w:val="20"/>
        </w:rPr>
        <w:t>for</w:t>
      </w:r>
      <w:r>
        <w:rPr>
          <w:spacing w:val="-2"/>
          <w:sz w:val="20"/>
        </w:rPr>
        <w:t> </w:t>
      </w:r>
      <w:r>
        <w:rPr>
          <w:sz w:val="20"/>
        </w:rPr>
        <w:t>CFB:</w:t>
      </w:r>
    </w:p>
    <w:p>
      <w:pPr>
        <w:pStyle w:val="ListParagraph"/>
        <w:numPr>
          <w:ilvl w:val="1"/>
          <w:numId w:val="18"/>
        </w:numPr>
        <w:tabs>
          <w:tab w:pos="1743" w:val="left" w:leader="none"/>
          <w:tab w:pos="1744" w:val="left" w:leader="none"/>
        </w:tabs>
        <w:spacing w:line="240" w:lineRule="auto" w:before="90" w:after="0"/>
        <w:ind w:left="1743" w:right="0" w:hanging="342"/>
        <w:jc w:val="left"/>
        <w:rPr>
          <w:sz w:val="20"/>
        </w:rPr>
      </w:pPr>
      <w:r>
        <w:rPr>
          <w:sz w:val="20"/>
        </w:rPr>
        <w:t>with revenues of more than [EUR X million] a year</w:t>
      </w:r>
      <w:r>
        <w:rPr>
          <w:spacing w:val="-4"/>
          <w:sz w:val="20"/>
        </w:rPr>
        <w:t> </w:t>
      </w:r>
      <w:r>
        <w:rPr>
          <w:sz w:val="20"/>
        </w:rPr>
        <w:t>and;</w:t>
      </w:r>
    </w:p>
    <w:p>
      <w:pPr>
        <w:spacing w:after="0" w:line="240" w:lineRule="auto"/>
        <w:jc w:val="left"/>
        <w:rPr>
          <w:sz w:val="20"/>
        </w:rPr>
        <w:sectPr>
          <w:pgSz w:w="11910" w:h="16840"/>
          <w:pgMar w:header="1244" w:footer="1638" w:top="1500" w:bottom="1820" w:left="580" w:right="820"/>
        </w:sectPr>
      </w:pPr>
    </w:p>
    <w:p>
      <w:pPr>
        <w:pStyle w:val="BodyText"/>
        <w:spacing w:before="9"/>
        <w:rPr>
          <w:sz w:val="19"/>
        </w:rPr>
      </w:pPr>
    </w:p>
    <w:p>
      <w:pPr>
        <w:pStyle w:val="BodyText"/>
        <w:spacing w:line="268" w:lineRule="auto" w:before="90"/>
        <w:ind w:left="2084" w:right="478" w:hanging="341"/>
        <w:jc w:val="both"/>
      </w:pPr>
      <w:r>
        <w:rPr>
          <w:rFonts w:ascii="Calibri" w:hAnsi="Calibri"/>
        </w:rPr>
        <w:t>− </w:t>
      </w:r>
      <w:r>
        <w:rPr/>
        <w:t>a “plus factor” to indicate a significant and sustained  engagement with the market. One plus factor could be a subsidiary, or a “fixed place of business” (e.g. a permanent establishment based on the commonalities of the UN and OECD Model definitions), with the</w:t>
      </w:r>
      <w:r>
        <w:rPr>
          <w:spacing w:val="-13"/>
        </w:rPr>
        <w:t> </w:t>
      </w:r>
      <w:r>
        <w:rPr/>
        <w:t>requirement</w:t>
      </w:r>
      <w:r>
        <w:rPr>
          <w:spacing w:val="-13"/>
        </w:rPr>
        <w:t> </w:t>
      </w:r>
      <w:r>
        <w:rPr/>
        <w:t>that</w:t>
      </w:r>
      <w:r>
        <w:rPr>
          <w:spacing w:val="-13"/>
        </w:rPr>
        <w:t> </w:t>
      </w:r>
      <w:r>
        <w:rPr/>
        <w:t>the</w:t>
      </w:r>
      <w:r>
        <w:rPr>
          <w:spacing w:val="-13"/>
        </w:rPr>
        <w:t> </w:t>
      </w:r>
      <w:r>
        <w:rPr/>
        <w:t>entity</w:t>
      </w:r>
      <w:r>
        <w:rPr>
          <w:spacing w:val="-14"/>
        </w:rPr>
        <w:t> </w:t>
      </w:r>
      <w:r>
        <w:rPr/>
        <w:t>or</w:t>
      </w:r>
      <w:r>
        <w:rPr>
          <w:spacing w:val="-11"/>
        </w:rPr>
        <w:t> </w:t>
      </w:r>
      <w:r>
        <w:rPr/>
        <w:t>PE</w:t>
      </w:r>
      <w:r>
        <w:rPr>
          <w:spacing w:val="-11"/>
        </w:rPr>
        <w:t> </w:t>
      </w:r>
      <w:r>
        <w:rPr/>
        <w:t>is</w:t>
      </w:r>
      <w:r>
        <w:rPr>
          <w:spacing w:val="-11"/>
        </w:rPr>
        <w:t> </w:t>
      </w:r>
      <w:r>
        <w:rPr/>
        <w:t>carrying</w:t>
      </w:r>
      <w:r>
        <w:rPr>
          <w:spacing w:val="-13"/>
        </w:rPr>
        <w:t> </w:t>
      </w:r>
      <w:r>
        <w:rPr/>
        <w:t>out</w:t>
      </w:r>
      <w:r>
        <w:rPr>
          <w:spacing w:val="-13"/>
        </w:rPr>
        <w:t> </w:t>
      </w:r>
      <w:r>
        <w:rPr/>
        <w:t>activities</w:t>
      </w:r>
      <w:r>
        <w:rPr>
          <w:spacing w:val="-12"/>
        </w:rPr>
        <w:t> </w:t>
      </w:r>
      <w:r>
        <w:rPr/>
        <w:t>that</w:t>
      </w:r>
      <w:r>
        <w:rPr>
          <w:spacing w:val="-13"/>
        </w:rPr>
        <w:t> </w:t>
      </w:r>
      <w:r>
        <w:rPr/>
        <w:t>are</w:t>
      </w:r>
      <w:r>
        <w:rPr>
          <w:spacing w:val="-13"/>
        </w:rPr>
        <w:t> </w:t>
      </w:r>
      <w:r>
        <w:rPr/>
        <w:t>connected</w:t>
      </w:r>
      <w:r>
        <w:rPr>
          <w:spacing w:val="-10"/>
        </w:rPr>
        <w:t> </w:t>
      </w:r>
      <w:r>
        <w:rPr/>
        <w:t>to</w:t>
      </w:r>
      <w:r>
        <w:rPr>
          <w:spacing w:val="-11"/>
        </w:rPr>
        <w:t> </w:t>
      </w:r>
      <w:r>
        <w:rPr/>
        <w:t>in-scope sales. Consideration will be given to the possibility of treating revenues of more than EUR XX million as a plus factor (where the MNE would be deemed to have an active engagement beyond mere sales). Other plus factors may also be considered (which may be unconstrained by physical</w:t>
      </w:r>
      <w:r>
        <w:rPr>
          <w:spacing w:val="-8"/>
        </w:rPr>
        <w:t> </w:t>
      </w:r>
      <w:r>
        <w:rPr/>
        <w:t>presence).</w:t>
      </w:r>
    </w:p>
    <w:p>
      <w:pPr>
        <w:pStyle w:val="ListParagraph"/>
        <w:numPr>
          <w:ilvl w:val="0"/>
          <w:numId w:val="13"/>
        </w:numPr>
        <w:tabs>
          <w:tab w:pos="1444" w:val="left" w:leader="none"/>
        </w:tabs>
        <w:spacing w:line="271" w:lineRule="auto" w:before="132" w:after="0"/>
        <w:ind w:left="723" w:right="485" w:firstLine="0"/>
        <w:jc w:val="both"/>
        <w:rPr>
          <w:sz w:val="20"/>
        </w:rPr>
      </w:pPr>
      <w:r>
        <w:rPr>
          <w:sz w:val="20"/>
        </w:rPr>
        <w:t>Depending</w:t>
      </w:r>
      <w:r>
        <w:rPr>
          <w:spacing w:val="-13"/>
          <w:sz w:val="20"/>
        </w:rPr>
        <w:t> </w:t>
      </w:r>
      <w:r>
        <w:rPr>
          <w:sz w:val="20"/>
        </w:rPr>
        <w:t>on</w:t>
      </w:r>
      <w:r>
        <w:rPr>
          <w:spacing w:val="-10"/>
          <w:sz w:val="20"/>
        </w:rPr>
        <w:t> </w:t>
      </w:r>
      <w:r>
        <w:rPr>
          <w:sz w:val="20"/>
        </w:rPr>
        <w:t>where</w:t>
      </w:r>
      <w:r>
        <w:rPr>
          <w:spacing w:val="-11"/>
          <w:sz w:val="20"/>
        </w:rPr>
        <w:t> </w:t>
      </w:r>
      <w:r>
        <w:rPr>
          <w:sz w:val="20"/>
        </w:rPr>
        <w:t>threshold</w:t>
      </w:r>
      <w:r>
        <w:rPr>
          <w:spacing w:val="-12"/>
          <w:sz w:val="20"/>
        </w:rPr>
        <w:t> </w:t>
      </w:r>
      <w:r>
        <w:rPr>
          <w:sz w:val="20"/>
        </w:rPr>
        <w:t>amounts</w:t>
      </w:r>
      <w:r>
        <w:rPr>
          <w:spacing w:val="-13"/>
          <w:sz w:val="20"/>
        </w:rPr>
        <w:t> </w:t>
      </w:r>
      <w:r>
        <w:rPr>
          <w:sz w:val="20"/>
        </w:rPr>
        <w:t>are</w:t>
      </w:r>
      <w:r>
        <w:rPr>
          <w:spacing w:val="-14"/>
          <w:sz w:val="20"/>
        </w:rPr>
        <w:t> </w:t>
      </w:r>
      <w:r>
        <w:rPr>
          <w:sz w:val="20"/>
        </w:rPr>
        <w:t>set,</w:t>
      </w:r>
      <w:r>
        <w:rPr>
          <w:spacing w:val="-14"/>
          <w:sz w:val="20"/>
        </w:rPr>
        <w:t> </w:t>
      </w:r>
      <w:r>
        <w:rPr>
          <w:sz w:val="20"/>
        </w:rPr>
        <w:t>consideration</w:t>
      </w:r>
      <w:r>
        <w:rPr>
          <w:spacing w:val="-11"/>
          <w:sz w:val="20"/>
        </w:rPr>
        <w:t> </w:t>
      </w:r>
      <w:r>
        <w:rPr>
          <w:sz w:val="20"/>
        </w:rPr>
        <w:t>will</w:t>
      </w:r>
      <w:r>
        <w:rPr>
          <w:spacing w:val="-12"/>
          <w:sz w:val="20"/>
        </w:rPr>
        <w:t> </w:t>
      </w:r>
      <w:r>
        <w:rPr>
          <w:sz w:val="20"/>
        </w:rPr>
        <w:t>be</w:t>
      </w:r>
      <w:r>
        <w:rPr>
          <w:spacing w:val="-11"/>
          <w:sz w:val="20"/>
        </w:rPr>
        <w:t> </w:t>
      </w:r>
      <w:r>
        <w:rPr>
          <w:sz w:val="20"/>
        </w:rPr>
        <w:t>given</w:t>
      </w:r>
      <w:r>
        <w:rPr>
          <w:spacing w:val="-12"/>
          <w:sz w:val="20"/>
        </w:rPr>
        <w:t> </w:t>
      </w:r>
      <w:r>
        <w:rPr>
          <w:sz w:val="20"/>
        </w:rPr>
        <w:t>to</w:t>
      </w:r>
      <w:r>
        <w:rPr>
          <w:spacing w:val="-12"/>
          <w:sz w:val="20"/>
        </w:rPr>
        <w:t> </w:t>
      </w:r>
      <w:r>
        <w:rPr>
          <w:sz w:val="20"/>
        </w:rPr>
        <w:t>using</w:t>
      </w:r>
      <w:r>
        <w:rPr>
          <w:spacing w:val="-13"/>
          <w:sz w:val="20"/>
        </w:rPr>
        <w:t> </w:t>
      </w:r>
      <w:r>
        <w:rPr>
          <w:sz w:val="20"/>
        </w:rPr>
        <w:t>a</w:t>
      </w:r>
      <w:r>
        <w:rPr>
          <w:spacing w:val="-12"/>
          <w:sz w:val="20"/>
        </w:rPr>
        <w:t> </w:t>
      </w:r>
      <w:r>
        <w:rPr>
          <w:sz w:val="20"/>
        </w:rPr>
        <w:t>lower</w:t>
      </w:r>
      <w:r>
        <w:rPr>
          <w:spacing w:val="-11"/>
          <w:sz w:val="20"/>
        </w:rPr>
        <w:t> </w:t>
      </w:r>
      <w:r>
        <w:rPr>
          <w:sz w:val="20"/>
        </w:rPr>
        <w:t>nexus standard for smaller developing economies, with GDP below a certain level while also considering compliance</w:t>
      </w:r>
      <w:r>
        <w:rPr>
          <w:spacing w:val="-2"/>
          <w:sz w:val="20"/>
        </w:rPr>
        <w:t> </w:t>
      </w:r>
      <w:r>
        <w:rPr>
          <w:sz w:val="20"/>
        </w:rPr>
        <w:t>simplifications.</w:t>
      </w:r>
    </w:p>
    <w:p>
      <w:pPr>
        <w:pStyle w:val="BodyText"/>
        <w:rPr>
          <w:sz w:val="22"/>
        </w:rPr>
      </w:pPr>
    </w:p>
    <w:p>
      <w:pPr>
        <w:pStyle w:val="Heading4"/>
        <w:numPr>
          <w:ilvl w:val="1"/>
          <w:numId w:val="17"/>
        </w:numPr>
        <w:tabs>
          <w:tab w:pos="1192" w:val="left" w:leader="none"/>
        </w:tabs>
        <w:spacing w:line="240" w:lineRule="auto" w:before="193" w:after="0"/>
        <w:ind w:left="1191" w:right="0" w:hanging="469"/>
        <w:jc w:val="both"/>
        <w:rPr>
          <w:rFonts w:ascii="Arial"/>
        </w:rPr>
      </w:pPr>
      <w:bookmarkStart w:name="3.2. Features and operation of the nexus" w:id="87"/>
      <w:bookmarkEnd w:id="87"/>
      <w:r>
        <w:rPr>
          <w:b w:val="0"/>
        </w:rPr>
      </w:r>
      <w:bookmarkStart w:name="_bookmark14" w:id="88"/>
      <w:bookmarkEnd w:id="88"/>
      <w:r>
        <w:rPr>
          <w:b w:val="0"/>
        </w:rPr>
      </w:r>
      <w:bookmarkStart w:name="_bookmark14" w:id="89"/>
      <w:bookmarkEnd w:id="89"/>
      <w:r>
        <w:rPr>
          <w:rFonts w:ascii="Arial"/>
          <w:color w:val="4E81BD"/>
        </w:rPr>
        <w:t>Feat</w:t>
      </w:r>
      <w:r>
        <w:rPr>
          <w:rFonts w:ascii="Arial"/>
          <w:color w:val="4E81BD"/>
        </w:rPr>
        <w:t>ures and operation of the nexus</w:t>
      </w:r>
      <w:r>
        <w:rPr>
          <w:rFonts w:ascii="Arial"/>
          <w:color w:val="4E81BD"/>
          <w:spacing w:val="-4"/>
        </w:rPr>
        <w:t> </w:t>
      </w:r>
      <w:r>
        <w:rPr>
          <w:rFonts w:ascii="Arial"/>
          <w:color w:val="4E81BD"/>
        </w:rPr>
        <w:t>rules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For in-scope MNEs the new nexus rules would be based on indicators of a significant and sustained</w:t>
      </w:r>
      <w:r>
        <w:rPr>
          <w:spacing w:val="-17"/>
          <w:sz w:val="20"/>
        </w:rPr>
        <w:t> </w:t>
      </w:r>
      <w:r>
        <w:rPr>
          <w:sz w:val="20"/>
        </w:rPr>
        <w:t>engagement</w:t>
      </w:r>
      <w:r>
        <w:rPr>
          <w:spacing w:val="-17"/>
          <w:sz w:val="20"/>
        </w:rPr>
        <w:t> </w:t>
      </w:r>
      <w:r>
        <w:rPr>
          <w:sz w:val="20"/>
        </w:rPr>
        <w:t>with</w:t>
      </w:r>
      <w:r>
        <w:rPr>
          <w:spacing w:val="-15"/>
          <w:sz w:val="20"/>
        </w:rPr>
        <w:t> </w:t>
      </w:r>
      <w:r>
        <w:rPr>
          <w:sz w:val="20"/>
        </w:rPr>
        <w:t>market</w:t>
      </w:r>
      <w:r>
        <w:rPr>
          <w:spacing w:val="-20"/>
          <w:sz w:val="20"/>
        </w:rPr>
        <w:t> </w:t>
      </w:r>
      <w:r>
        <w:rPr>
          <w:sz w:val="20"/>
        </w:rPr>
        <w:t>jurisdictions.</w:t>
      </w:r>
      <w:r>
        <w:rPr>
          <w:spacing w:val="-17"/>
          <w:sz w:val="20"/>
        </w:rPr>
        <w:t> </w:t>
      </w:r>
      <w:r>
        <w:rPr>
          <w:sz w:val="20"/>
        </w:rPr>
        <w:t>In</w:t>
      </w:r>
      <w:r>
        <w:rPr>
          <w:spacing w:val="-17"/>
          <w:sz w:val="20"/>
        </w:rPr>
        <w:t> </w:t>
      </w:r>
      <w:r>
        <w:rPr>
          <w:sz w:val="20"/>
        </w:rPr>
        <w:t>other</w:t>
      </w:r>
      <w:r>
        <w:rPr>
          <w:spacing w:val="-16"/>
          <w:sz w:val="20"/>
        </w:rPr>
        <w:t> </w:t>
      </w:r>
      <w:r>
        <w:rPr>
          <w:sz w:val="20"/>
        </w:rPr>
        <w:t>words,</w:t>
      </w:r>
      <w:r>
        <w:rPr>
          <w:spacing w:val="-17"/>
          <w:sz w:val="20"/>
        </w:rPr>
        <w:t> </w:t>
      </w:r>
      <w:r>
        <w:rPr>
          <w:sz w:val="20"/>
        </w:rPr>
        <w:t>absent</w:t>
      </w:r>
      <w:r>
        <w:rPr>
          <w:spacing w:val="-16"/>
          <w:sz w:val="20"/>
        </w:rPr>
        <w:t> </w:t>
      </w:r>
      <w:r>
        <w:rPr>
          <w:sz w:val="20"/>
        </w:rPr>
        <w:t>this</w:t>
      </w:r>
      <w:r>
        <w:rPr>
          <w:spacing w:val="-16"/>
          <w:sz w:val="20"/>
        </w:rPr>
        <w:t> </w:t>
      </w:r>
      <w:r>
        <w:rPr>
          <w:sz w:val="20"/>
        </w:rPr>
        <w:t>engagement</w:t>
      </w:r>
      <w:r>
        <w:rPr>
          <w:spacing w:val="-17"/>
          <w:sz w:val="20"/>
        </w:rPr>
        <w:t> </w:t>
      </w:r>
      <w:r>
        <w:rPr>
          <w:sz w:val="20"/>
        </w:rPr>
        <w:t>with</w:t>
      </w:r>
      <w:r>
        <w:rPr>
          <w:spacing w:val="-15"/>
          <w:sz w:val="20"/>
        </w:rPr>
        <w:t> </w:t>
      </w:r>
      <w:r>
        <w:rPr>
          <w:sz w:val="20"/>
        </w:rPr>
        <w:t>a</w:t>
      </w:r>
      <w:r>
        <w:rPr>
          <w:spacing w:val="-17"/>
          <w:sz w:val="20"/>
        </w:rPr>
        <w:t> </w:t>
      </w:r>
      <w:r>
        <w:rPr>
          <w:sz w:val="20"/>
        </w:rPr>
        <w:t>jurisdiction, none of a group’s profits would be reallocated to that jurisdiction under Amount A. The new nexus rules would operate in a standalone manner to limit any unintended spill-over effects on other existing tax or non-tax rules. Thus they would not be used as a basis to create a nexus for any other taxes, customs duties or for any other non-tax purpose. For example, the new rules will not affect the operation of the existing</w:t>
      </w:r>
      <w:r>
        <w:rPr>
          <w:spacing w:val="-8"/>
          <w:sz w:val="20"/>
        </w:rPr>
        <w:t> </w:t>
      </w:r>
      <w:r>
        <w:rPr>
          <w:sz w:val="20"/>
        </w:rPr>
        <w:t>permanent</w:t>
      </w:r>
      <w:r>
        <w:rPr>
          <w:spacing w:val="-7"/>
          <w:sz w:val="20"/>
        </w:rPr>
        <w:t> </w:t>
      </w:r>
      <w:r>
        <w:rPr>
          <w:sz w:val="20"/>
        </w:rPr>
        <w:t>establishment</w:t>
      </w:r>
      <w:r>
        <w:rPr>
          <w:spacing w:val="-7"/>
          <w:sz w:val="20"/>
        </w:rPr>
        <w:t> </w:t>
      </w:r>
      <w:r>
        <w:rPr>
          <w:sz w:val="20"/>
        </w:rPr>
        <w:t>rules,</w:t>
      </w:r>
      <w:r>
        <w:rPr>
          <w:spacing w:val="-5"/>
          <w:sz w:val="20"/>
        </w:rPr>
        <w:t> </w:t>
      </w:r>
      <w:r>
        <w:rPr>
          <w:sz w:val="20"/>
        </w:rPr>
        <w:t>which</w:t>
      </w:r>
      <w:r>
        <w:rPr>
          <w:spacing w:val="-5"/>
          <w:sz w:val="20"/>
        </w:rPr>
        <w:t> </w:t>
      </w:r>
      <w:r>
        <w:rPr>
          <w:sz w:val="20"/>
        </w:rPr>
        <w:t>will</w:t>
      </w:r>
      <w:r>
        <w:rPr>
          <w:spacing w:val="-5"/>
          <w:sz w:val="20"/>
        </w:rPr>
        <w:t> </w:t>
      </w:r>
      <w:r>
        <w:rPr>
          <w:sz w:val="20"/>
        </w:rPr>
        <w:t>continue</w:t>
      </w:r>
      <w:r>
        <w:rPr>
          <w:spacing w:val="-8"/>
          <w:sz w:val="20"/>
        </w:rPr>
        <w:t> </w:t>
      </w:r>
      <w:r>
        <w:rPr>
          <w:sz w:val="20"/>
        </w:rPr>
        <w:t>to</w:t>
      </w:r>
      <w:r>
        <w:rPr>
          <w:spacing w:val="-4"/>
          <w:sz w:val="20"/>
        </w:rPr>
        <w:t> </w:t>
      </w:r>
      <w:r>
        <w:rPr>
          <w:sz w:val="20"/>
        </w:rPr>
        <w:t>operate</w:t>
      </w:r>
      <w:r>
        <w:rPr>
          <w:spacing w:val="-5"/>
          <w:sz w:val="20"/>
        </w:rPr>
        <w:t> </w:t>
      </w:r>
      <w:r>
        <w:rPr>
          <w:sz w:val="20"/>
        </w:rPr>
        <w:t>as</w:t>
      </w:r>
      <w:r>
        <w:rPr>
          <w:spacing w:val="-7"/>
          <w:sz w:val="20"/>
        </w:rPr>
        <w:t> </w:t>
      </w:r>
      <w:r>
        <w:rPr>
          <w:sz w:val="20"/>
        </w:rPr>
        <w:t>at</w:t>
      </w:r>
      <w:r>
        <w:rPr>
          <w:spacing w:val="-6"/>
          <w:sz w:val="20"/>
        </w:rPr>
        <w:t> </w:t>
      </w:r>
      <w:r>
        <w:rPr>
          <w:sz w:val="20"/>
        </w:rPr>
        <w:t>present.</w:t>
      </w:r>
      <w:r>
        <w:rPr>
          <w:spacing w:val="-7"/>
          <w:sz w:val="20"/>
        </w:rPr>
        <w:t> </w:t>
      </w:r>
      <w:r>
        <w:rPr>
          <w:sz w:val="20"/>
        </w:rPr>
        <w:t>The</w:t>
      </w:r>
      <w:r>
        <w:rPr>
          <w:spacing w:val="-8"/>
          <w:sz w:val="20"/>
        </w:rPr>
        <w:t> </w:t>
      </w:r>
      <w:r>
        <w:rPr>
          <w:sz w:val="20"/>
        </w:rPr>
        <w:t>concrete</w:t>
      </w:r>
      <w:r>
        <w:rPr>
          <w:spacing w:val="-6"/>
          <w:sz w:val="20"/>
        </w:rPr>
        <w:t> </w:t>
      </w:r>
      <w:r>
        <w:rPr>
          <w:sz w:val="20"/>
        </w:rPr>
        <w:t>design of</w:t>
      </w:r>
      <w:r>
        <w:rPr>
          <w:spacing w:val="-15"/>
          <w:sz w:val="20"/>
        </w:rPr>
        <w:t> </w:t>
      </w:r>
      <w:r>
        <w:rPr>
          <w:sz w:val="20"/>
        </w:rPr>
        <w:t>this</w:t>
      </w:r>
      <w:r>
        <w:rPr>
          <w:spacing w:val="-15"/>
          <w:sz w:val="20"/>
        </w:rPr>
        <w:t> </w:t>
      </w:r>
      <w:r>
        <w:rPr>
          <w:sz w:val="20"/>
        </w:rPr>
        <w:t>standalone</w:t>
      </w:r>
      <w:r>
        <w:rPr>
          <w:spacing w:val="-18"/>
          <w:sz w:val="20"/>
        </w:rPr>
        <w:t> </w:t>
      </w:r>
      <w:r>
        <w:rPr>
          <w:sz w:val="20"/>
        </w:rPr>
        <w:t>provision,</w:t>
      </w:r>
      <w:r>
        <w:rPr>
          <w:spacing w:val="-14"/>
          <w:sz w:val="20"/>
        </w:rPr>
        <w:t> </w:t>
      </w:r>
      <w:r>
        <w:rPr>
          <w:sz w:val="20"/>
        </w:rPr>
        <w:t>outside</w:t>
      </w:r>
      <w:r>
        <w:rPr>
          <w:spacing w:val="-14"/>
          <w:sz w:val="20"/>
        </w:rPr>
        <w:t> </w:t>
      </w:r>
      <w:r>
        <w:rPr>
          <w:i/>
          <w:sz w:val="20"/>
        </w:rPr>
        <w:t>existing</w:t>
      </w:r>
      <w:r>
        <w:rPr>
          <w:i/>
          <w:spacing w:val="-16"/>
          <w:sz w:val="20"/>
        </w:rPr>
        <w:t> </w:t>
      </w:r>
      <w:r>
        <w:rPr>
          <w:sz w:val="20"/>
        </w:rPr>
        <w:t>tax</w:t>
      </w:r>
      <w:r>
        <w:rPr>
          <w:spacing w:val="-15"/>
          <w:sz w:val="20"/>
        </w:rPr>
        <w:t> </w:t>
      </w:r>
      <w:r>
        <w:rPr>
          <w:sz w:val="20"/>
        </w:rPr>
        <w:t>treaties,</w:t>
      </w:r>
      <w:r>
        <w:rPr>
          <w:spacing w:val="-17"/>
          <w:sz w:val="20"/>
        </w:rPr>
        <w:t> </w:t>
      </w:r>
      <w:r>
        <w:rPr>
          <w:sz w:val="20"/>
        </w:rPr>
        <w:t>will</w:t>
      </w:r>
      <w:r>
        <w:rPr>
          <w:spacing w:val="-15"/>
          <w:sz w:val="20"/>
        </w:rPr>
        <w:t> </w:t>
      </w:r>
      <w:r>
        <w:rPr>
          <w:sz w:val="20"/>
        </w:rPr>
        <w:t>be</w:t>
      </w:r>
      <w:r>
        <w:rPr>
          <w:spacing w:val="-16"/>
          <w:sz w:val="20"/>
        </w:rPr>
        <w:t> </w:t>
      </w:r>
      <w:r>
        <w:rPr>
          <w:sz w:val="20"/>
        </w:rPr>
        <w:t>undertaken</w:t>
      </w:r>
      <w:r>
        <w:rPr>
          <w:spacing w:val="-14"/>
          <w:sz w:val="20"/>
        </w:rPr>
        <w:t> </w:t>
      </w:r>
      <w:r>
        <w:rPr>
          <w:sz w:val="20"/>
        </w:rPr>
        <w:t>when</w:t>
      </w:r>
      <w:r>
        <w:rPr>
          <w:spacing w:val="-16"/>
          <w:sz w:val="20"/>
        </w:rPr>
        <w:t> </w:t>
      </w:r>
      <w:r>
        <w:rPr>
          <w:sz w:val="20"/>
        </w:rPr>
        <w:t>the</w:t>
      </w:r>
      <w:r>
        <w:rPr>
          <w:spacing w:val="-17"/>
          <w:sz w:val="20"/>
        </w:rPr>
        <w:t> </w:t>
      </w:r>
      <w:r>
        <w:rPr>
          <w:sz w:val="20"/>
        </w:rPr>
        <w:t>substantive</w:t>
      </w:r>
      <w:r>
        <w:rPr>
          <w:spacing w:val="-16"/>
          <w:sz w:val="20"/>
        </w:rPr>
        <w:t> </w:t>
      </w:r>
      <w:r>
        <w:rPr>
          <w:sz w:val="20"/>
        </w:rPr>
        <w:t>elements of scope and nexus have been</w:t>
      </w:r>
      <w:r>
        <w:rPr>
          <w:spacing w:val="-3"/>
          <w:sz w:val="20"/>
        </w:rPr>
        <w:t> </w:t>
      </w:r>
      <w:r>
        <w:rPr>
          <w:sz w:val="20"/>
        </w:rPr>
        <w:t>settled.</w:t>
      </w:r>
      <w:r>
        <w:rPr>
          <w:sz w:val="20"/>
          <w:vertAlign w:val="superscript"/>
        </w:rPr>
        <w:t>41</w:t>
      </w:r>
    </w:p>
    <w:p>
      <w:pPr>
        <w:pStyle w:val="BodyText"/>
        <w:spacing w:before="6"/>
        <w:rPr>
          <w:sz w:val="23"/>
        </w:rPr>
      </w:pPr>
    </w:p>
    <w:p>
      <w:pPr>
        <w:pStyle w:val="Heading6"/>
        <w:numPr>
          <w:ilvl w:val="2"/>
          <w:numId w:val="17"/>
        </w:numPr>
        <w:tabs>
          <w:tab w:pos="2015" w:val="left" w:leader="none"/>
        </w:tabs>
        <w:spacing w:line="240" w:lineRule="auto" w:before="0" w:after="0"/>
        <w:ind w:left="2014" w:right="0" w:hanging="613"/>
        <w:jc w:val="left"/>
        <w:rPr>
          <w:i/>
        </w:rPr>
      </w:pPr>
      <w:bookmarkStart w:name="3.2.1. General features: market revenue " w:id="90"/>
      <w:bookmarkEnd w:id="90"/>
      <w:r>
        <w:rPr>
          <w:b w:val="0"/>
          <w:i w:val="0"/>
        </w:rPr>
      </w:r>
      <w:bookmarkStart w:name="_bookmark15" w:id="91"/>
      <w:bookmarkEnd w:id="91"/>
      <w:r>
        <w:rPr>
          <w:b w:val="0"/>
          <w:i w:val="0"/>
        </w:rPr>
      </w:r>
      <w:bookmarkStart w:name="_bookmark15" w:id="92"/>
      <w:bookmarkEnd w:id="92"/>
      <w:r>
        <w:rPr>
          <w:i/>
        </w:rPr>
        <w:t>G</w:t>
      </w:r>
      <w:r>
        <w:rPr>
          <w:i/>
        </w:rPr>
        <w:t>eneral features: market revenue thresholds and temporal</w:t>
      </w:r>
      <w:r>
        <w:rPr>
          <w:i/>
          <w:spacing w:val="-17"/>
        </w:rPr>
        <w:t> </w:t>
      </w:r>
      <w:r>
        <w:rPr>
          <w:i/>
        </w:rPr>
        <w:t>requirements</w:t>
      </w:r>
    </w:p>
    <w:p>
      <w:pPr>
        <w:pStyle w:val="ListParagraph"/>
        <w:numPr>
          <w:ilvl w:val="0"/>
          <w:numId w:val="13"/>
        </w:numPr>
        <w:tabs>
          <w:tab w:pos="1444" w:val="left" w:leader="none"/>
        </w:tabs>
        <w:spacing w:line="271" w:lineRule="auto" w:before="215" w:after="0"/>
        <w:ind w:left="723" w:right="482" w:firstLine="0"/>
        <w:jc w:val="both"/>
        <w:rPr>
          <w:sz w:val="20"/>
        </w:rPr>
      </w:pPr>
      <w:r>
        <w:rPr>
          <w:b/>
          <w:sz w:val="20"/>
        </w:rPr>
        <w:t>The market revenue thresholds </w:t>
      </w:r>
      <w:r>
        <w:rPr>
          <w:sz w:val="20"/>
        </w:rPr>
        <w:t>will apply to the in-scope revenue of a group (or segment of a group where relevant) generated in a market jurisdiction. The market revenue will be identified and measured in accordance with the revenue sourcing rules (see Chapter </w:t>
      </w:r>
      <w:hyperlink w:history="true" w:anchor="_bookmark19">
        <w:r>
          <w:rPr>
            <w:sz w:val="20"/>
          </w:rPr>
          <w:t>4. </w:t>
        </w:r>
      </w:hyperlink>
      <w:r>
        <w:rPr>
          <w:sz w:val="20"/>
        </w:rPr>
        <w:t>), and could apply separately to ADS and CFB.</w:t>
      </w:r>
      <w:r>
        <w:rPr>
          <w:sz w:val="20"/>
          <w:vertAlign w:val="superscript"/>
        </w:rPr>
        <w:t>42</w:t>
      </w:r>
      <w:r>
        <w:rPr>
          <w:sz w:val="20"/>
          <w:vertAlign w:val="baseline"/>
        </w:rPr>
        <w:t> The nexus rules will follow any wider segmentation approach, i.e. the nexus will be assessed at the level of a segment where a group segments its operations in computing its Amount A tax base (see Chapter</w:t>
      </w:r>
      <w:r>
        <w:rPr>
          <w:spacing w:val="-4"/>
          <w:sz w:val="20"/>
          <w:vertAlign w:val="baseline"/>
        </w:rPr>
        <w:t> </w:t>
      </w:r>
      <w:hyperlink w:history="true" w:anchor="_bookmark24">
        <w:r>
          <w:rPr>
            <w:sz w:val="20"/>
            <w:vertAlign w:val="baseline"/>
          </w:rPr>
          <w:t>401</w:t>
        </w:r>
      </w:hyperlink>
      <w:r>
        <w:rPr>
          <w:sz w:val="20"/>
          <w:vertAlign w:val="baseline"/>
        </w:rPr>
        <w:t>).</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Further</w:t>
      </w:r>
      <w:r>
        <w:rPr>
          <w:spacing w:val="-14"/>
          <w:sz w:val="20"/>
        </w:rPr>
        <w:t> </w:t>
      </w:r>
      <w:r>
        <w:rPr>
          <w:sz w:val="20"/>
        </w:rPr>
        <w:t>work</w:t>
      </w:r>
      <w:r>
        <w:rPr>
          <w:spacing w:val="-12"/>
          <w:sz w:val="20"/>
        </w:rPr>
        <w:t> </w:t>
      </w:r>
      <w:r>
        <w:rPr>
          <w:sz w:val="20"/>
        </w:rPr>
        <w:t>will</w:t>
      </w:r>
      <w:r>
        <w:rPr>
          <w:spacing w:val="-15"/>
          <w:sz w:val="20"/>
        </w:rPr>
        <w:t> </w:t>
      </w:r>
      <w:r>
        <w:rPr>
          <w:sz w:val="20"/>
        </w:rPr>
        <w:t>need</w:t>
      </w:r>
      <w:r>
        <w:rPr>
          <w:spacing w:val="-17"/>
          <w:sz w:val="20"/>
        </w:rPr>
        <w:t> </w:t>
      </w:r>
      <w:r>
        <w:rPr>
          <w:sz w:val="20"/>
        </w:rPr>
        <w:t>to</w:t>
      </w:r>
      <w:r>
        <w:rPr>
          <w:spacing w:val="-14"/>
          <w:sz w:val="20"/>
        </w:rPr>
        <w:t> </w:t>
      </w:r>
      <w:r>
        <w:rPr>
          <w:sz w:val="20"/>
        </w:rPr>
        <w:t>be</w:t>
      </w:r>
      <w:r>
        <w:rPr>
          <w:spacing w:val="-14"/>
          <w:sz w:val="20"/>
        </w:rPr>
        <w:t> </w:t>
      </w:r>
      <w:r>
        <w:rPr>
          <w:sz w:val="20"/>
        </w:rPr>
        <w:t>undertaken</w:t>
      </w:r>
      <w:r>
        <w:rPr>
          <w:spacing w:val="-17"/>
          <w:sz w:val="20"/>
        </w:rPr>
        <w:t> </w:t>
      </w:r>
      <w:r>
        <w:rPr>
          <w:sz w:val="20"/>
        </w:rPr>
        <w:t>to</w:t>
      </w:r>
      <w:r>
        <w:rPr>
          <w:spacing w:val="-14"/>
          <w:sz w:val="20"/>
        </w:rPr>
        <w:t> </w:t>
      </w:r>
      <w:r>
        <w:rPr>
          <w:sz w:val="20"/>
        </w:rPr>
        <w:t>decide</w:t>
      </w:r>
      <w:r>
        <w:rPr>
          <w:spacing w:val="-14"/>
          <w:sz w:val="20"/>
        </w:rPr>
        <w:t> </w:t>
      </w:r>
      <w:r>
        <w:rPr>
          <w:sz w:val="20"/>
        </w:rPr>
        <w:t>whether</w:t>
      </w:r>
      <w:r>
        <w:rPr>
          <w:spacing w:val="-15"/>
          <w:sz w:val="20"/>
        </w:rPr>
        <w:t> </w:t>
      </w:r>
      <w:r>
        <w:rPr>
          <w:sz w:val="20"/>
        </w:rPr>
        <w:t>to</w:t>
      </w:r>
      <w:r>
        <w:rPr>
          <w:spacing w:val="-14"/>
          <w:sz w:val="20"/>
        </w:rPr>
        <w:t> </w:t>
      </w:r>
      <w:r>
        <w:rPr>
          <w:sz w:val="20"/>
        </w:rPr>
        <w:t>apply</w:t>
      </w:r>
      <w:r>
        <w:rPr>
          <w:spacing w:val="-14"/>
          <w:sz w:val="20"/>
        </w:rPr>
        <w:t> </w:t>
      </w:r>
      <w:r>
        <w:rPr>
          <w:sz w:val="20"/>
        </w:rPr>
        <w:t>a</w:t>
      </w:r>
      <w:r>
        <w:rPr>
          <w:spacing w:val="-14"/>
          <w:sz w:val="20"/>
        </w:rPr>
        <w:t> </w:t>
      </w:r>
      <w:r>
        <w:rPr>
          <w:b/>
          <w:sz w:val="20"/>
        </w:rPr>
        <w:t>temporal</w:t>
      </w:r>
      <w:r>
        <w:rPr>
          <w:b/>
          <w:spacing w:val="-14"/>
          <w:sz w:val="20"/>
        </w:rPr>
        <w:t> </w:t>
      </w:r>
      <w:r>
        <w:rPr>
          <w:b/>
          <w:sz w:val="20"/>
        </w:rPr>
        <w:t>requirement</w:t>
      </w:r>
      <w:r>
        <w:rPr>
          <w:sz w:val="20"/>
        </w:rPr>
        <w:t>.</w:t>
      </w:r>
      <w:r>
        <w:rPr>
          <w:spacing w:val="-14"/>
          <w:sz w:val="20"/>
        </w:rPr>
        <w:t> </w:t>
      </w:r>
      <w:r>
        <w:rPr>
          <w:sz w:val="20"/>
        </w:rPr>
        <w:t>Such a</w:t>
      </w:r>
      <w:r>
        <w:rPr>
          <w:spacing w:val="-17"/>
          <w:sz w:val="20"/>
        </w:rPr>
        <w:t> </w:t>
      </w:r>
      <w:r>
        <w:rPr>
          <w:sz w:val="20"/>
        </w:rPr>
        <w:t>requirement</w:t>
      </w:r>
      <w:r>
        <w:rPr>
          <w:spacing w:val="-14"/>
          <w:sz w:val="20"/>
        </w:rPr>
        <w:t> </w:t>
      </w:r>
      <w:r>
        <w:rPr>
          <w:sz w:val="20"/>
        </w:rPr>
        <w:t>would</w:t>
      </w:r>
      <w:r>
        <w:rPr>
          <w:spacing w:val="-14"/>
          <w:sz w:val="20"/>
        </w:rPr>
        <w:t> </w:t>
      </w:r>
      <w:r>
        <w:rPr>
          <w:sz w:val="20"/>
        </w:rPr>
        <w:t>avoid</w:t>
      </w:r>
      <w:r>
        <w:rPr>
          <w:spacing w:val="-17"/>
          <w:sz w:val="20"/>
        </w:rPr>
        <w:t> </w:t>
      </w:r>
      <w:r>
        <w:rPr>
          <w:sz w:val="20"/>
        </w:rPr>
        <w:t>covering</w:t>
      </w:r>
      <w:r>
        <w:rPr>
          <w:spacing w:val="-15"/>
          <w:sz w:val="20"/>
        </w:rPr>
        <w:t> </w:t>
      </w:r>
      <w:r>
        <w:rPr>
          <w:sz w:val="20"/>
        </w:rPr>
        <w:t>isolated</w:t>
      </w:r>
      <w:r>
        <w:rPr>
          <w:spacing w:val="-14"/>
          <w:sz w:val="20"/>
        </w:rPr>
        <w:t> </w:t>
      </w:r>
      <w:r>
        <w:rPr>
          <w:sz w:val="20"/>
        </w:rPr>
        <w:t>or</w:t>
      </w:r>
      <w:r>
        <w:rPr>
          <w:spacing w:val="-16"/>
          <w:sz w:val="20"/>
        </w:rPr>
        <w:t> </w:t>
      </w:r>
      <w:r>
        <w:rPr>
          <w:sz w:val="20"/>
        </w:rPr>
        <w:t>one-off</w:t>
      </w:r>
      <w:r>
        <w:rPr>
          <w:spacing w:val="-14"/>
          <w:sz w:val="20"/>
        </w:rPr>
        <w:t> </w:t>
      </w:r>
      <w:r>
        <w:rPr>
          <w:sz w:val="20"/>
        </w:rPr>
        <w:t>transactions</w:t>
      </w:r>
      <w:r>
        <w:rPr>
          <w:spacing w:val="-16"/>
          <w:sz w:val="20"/>
        </w:rPr>
        <w:t> </w:t>
      </w:r>
      <w:r>
        <w:rPr>
          <w:sz w:val="20"/>
        </w:rPr>
        <w:t>that</w:t>
      </w:r>
      <w:r>
        <w:rPr>
          <w:spacing w:val="-17"/>
          <w:sz w:val="20"/>
        </w:rPr>
        <w:t> </w:t>
      </w:r>
      <w:r>
        <w:rPr>
          <w:sz w:val="20"/>
        </w:rPr>
        <w:t>might</w:t>
      </w:r>
      <w:r>
        <w:rPr>
          <w:spacing w:val="-16"/>
          <w:sz w:val="20"/>
        </w:rPr>
        <w:t> </w:t>
      </w:r>
      <w:r>
        <w:rPr>
          <w:sz w:val="20"/>
        </w:rPr>
        <w:t>not</w:t>
      </w:r>
      <w:r>
        <w:rPr>
          <w:spacing w:val="-15"/>
          <w:sz w:val="20"/>
        </w:rPr>
        <w:t> </w:t>
      </w:r>
      <w:r>
        <w:rPr>
          <w:sz w:val="20"/>
        </w:rPr>
        <w:t>demonstrate</w:t>
      </w:r>
      <w:r>
        <w:rPr>
          <w:spacing w:val="-17"/>
          <w:sz w:val="20"/>
        </w:rPr>
        <w:t> </w:t>
      </w:r>
      <w:r>
        <w:rPr>
          <w:sz w:val="20"/>
        </w:rPr>
        <w:t>a</w:t>
      </w:r>
      <w:r>
        <w:rPr>
          <w:spacing w:val="-17"/>
          <w:sz w:val="20"/>
        </w:rPr>
        <w:t> </w:t>
      </w:r>
      <w:r>
        <w:rPr>
          <w:sz w:val="20"/>
        </w:rPr>
        <w:t>sustained engagement with a market. A duration test could be designed by requiring that the market revenue threshold</w:t>
      </w:r>
      <w:r>
        <w:rPr>
          <w:spacing w:val="-8"/>
          <w:sz w:val="20"/>
        </w:rPr>
        <w:t> </w:t>
      </w:r>
      <w:r>
        <w:rPr>
          <w:sz w:val="20"/>
        </w:rPr>
        <w:t>be</w:t>
      </w:r>
      <w:r>
        <w:rPr>
          <w:spacing w:val="-7"/>
          <w:sz w:val="20"/>
        </w:rPr>
        <w:t> </w:t>
      </w:r>
      <w:r>
        <w:rPr>
          <w:sz w:val="20"/>
        </w:rPr>
        <w:t>exceeded</w:t>
      </w:r>
      <w:r>
        <w:rPr>
          <w:spacing w:val="-7"/>
          <w:sz w:val="20"/>
        </w:rPr>
        <w:t> </w:t>
      </w:r>
      <w:r>
        <w:rPr>
          <w:sz w:val="20"/>
        </w:rPr>
        <w:t>over</w:t>
      </w:r>
      <w:r>
        <w:rPr>
          <w:spacing w:val="-5"/>
          <w:sz w:val="20"/>
        </w:rPr>
        <w:t> </w:t>
      </w:r>
      <w:r>
        <w:rPr>
          <w:sz w:val="20"/>
        </w:rPr>
        <w:t>a</w:t>
      </w:r>
      <w:r>
        <w:rPr>
          <w:spacing w:val="-7"/>
          <w:sz w:val="20"/>
        </w:rPr>
        <w:t> </w:t>
      </w:r>
      <w:r>
        <w:rPr>
          <w:sz w:val="20"/>
        </w:rPr>
        <w:t>period</w:t>
      </w:r>
      <w:r>
        <w:rPr>
          <w:spacing w:val="-8"/>
          <w:sz w:val="20"/>
        </w:rPr>
        <w:t> </w:t>
      </w:r>
      <w:r>
        <w:rPr>
          <w:sz w:val="20"/>
        </w:rPr>
        <w:t>spanning</w:t>
      </w:r>
      <w:r>
        <w:rPr>
          <w:spacing w:val="-7"/>
          <w:sz w:val="20"/>
        </w:rPr>
        <w:t> </w:t>
      </w:r>
      <w:r>
        <w:rPr>
          <w:sz w:val="20"/>
        </w:rPr>
        <w:t>more</w:t>
      </w:r>
      <w:r>
        <w:rPr>
          <w:spacing w:val="-7"/>
          <w:sz w:val="20"/>
        </w:rPr>
        <w:t> </w:t>
      </w:r>
      <w:r>
        <w:rPr>
          <w:sz w:val="20"/>
        </w:rPr>
        <w:t>than</w:t>
      </w:r>
      <w:r>
        <w:rPr>
          <w:spacing w:val="-7"/>
          <w:sz w:val="20"/>
        </w:rPr>
        <w:t> </w:t>
      </w:r>
      <w:r>
        <w:rPr>
          <w:sz w:val="20"/>
        </w:rPr>
        <w:t>one</w:t>
      </w:r>
      <w:r>
        <w:rPr>
          <w:spacing w:val="-3"/>
          <w:sz w:val="20"/>
        </w:rPr>
        <w:t> </w:t>
      </w:r>
      <w:r>
        <w:rPr>
          <w:sz w:val="20"/>
        </w:rPr>
        <w:t>year</w:t>
      </w:r>
      <w:r>
        <w:rPr>
          <w:spacing w:val="-5"/>
          <w:sz w:val="20"/>
        </w:rPr>
        <w:t> </w:t>
      </w:r>
      <w:r>
        <w:rPr>
          <w:sz w:val="20"/>
        </w:rPr>
        <w:t>before</w:t>
      </w:r>
      <w:r>
        <w:rPr>
          <w:spacing w:val="-6"/>
          <w:sz w:val="20"/>
        </w:rPr>
        <w:t> </w:t>
      </w:r>
      <w:r>
        <w:rPr>
          <w:sz w:val="20"/>
        </w:rPr>
        <w:t>establishing</w:t>
      </w:r>
      <w:r>
        <w:rPr>
          <w:spacing w:val="-8"/>
          <w:sz w:val="20"/>
        </w:rPr>
        <w:t> </w:t>
      </w:r>
      <w:r>
        <w:rPr>
          <w:sz w:val="20"/>
        </w:rPr>
        <w:t>a</w:t>
      </w:r>
      <w:r>
        <w:rPr>
          <w:spacing w:val="-7"/>
          <w:sz w:val="20"/>
        </w:rPr>
        <w:t> </w:t>
      </w:r>
      <w:r>
        <w:rPr>
          <w:sz w:val="20"/>
        </w:rPr>
        <w:t>nexus.</w:t>
      </w:r>
      <w:r>
        <w:rPr>
          <w:spacing w:val="-5"/>
          <w:sz w:val="20"/>
        </w:rPr>
        <w:t> </w:t>
      </w:r>
      <w:r>
        <w:rPr>
          <w:sz w:val="20"/>
        </w:rPr>
        <w:t>However, assessing nexus year by year is simple and would be more aligned with other testing periods throughout Amount</w:t>
      </w:r>
      <w:r>
        <w:rPr>
          <w:spacing w:val="-2"/>
          <w:sz w:val="20"/>
        </w:rPr>
        <w:t> </w:t>
      </w:r>
      <w:r>
        <w:rPr>
          <w:sz w:val="20"/>
        </w:rPr>
        <w:t>A.</w:t>
      </w:r>
    </w:p>
    <w:p>
      <w:pPr>
        <w:pStyle w:val="BodyText"/>
      </w:pPr>
    </w:p>
    <w:p>
      <w:pPr>
        <w:pStyle w:val="BodyText"/>
        <w:rPr>
          <w:sz w:val="17"/>
        </w:rPr>
      </w:pPr>
      <w:r>
        <w:rPr/>
        <w:pict>
          <v:rect style="position:absolute;margin-left:65.183998pt;margin-top:11.753993pt;width:144.020004pt;height:.599980pt;mso-position-horizontal-relative:page;mso-position-vertical-relative:paragraph;z-index:-1568256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28" w:val="left" w:leader="none"/>
        </w:tabs>
        <w:spacing w:line="240" w:lineRule="auto" w:before="94" w:after="0"/>
        <w:ind w:left="927" w:right="0" w:hanging="205"/>
        <w:jc w:val="both"/>
        <w:rPr>
          <w:sz w:val="18"/>
        </w:rPr>
      </w:pPr>
      <w:r>
        <w:rPr>
          <w:sz w:val="18"/>
        </w:rPr>
        <w:t>See Chapter </w:t>
      </w:r>
      <w:hyperlink w:history="true" w:anchor="_bookmark72">
        <w:r>
          <w:rPr>
            <w:sz w:val="18"/>
          </w:rPr>
          <w:t>10. </w:t>
        </w:r>
      </w:hyperlink>
      <w:r>
        <w:rPr>
          <w:sz w:val="18"/>
        </w:rPr>
        <w:t>on implementation.</w:t>
      </w:r>
    </w:p>
    <w:p>
      <w:pPr>
        <w:pStyle w:val="ListParagraph"/>
        <w:numPr>
          <w:ilvl w:val="0"/>
          <w:numId w:val="14"/>
        </w:numPr>
        <w:tabs>
          <w:tab w:pos="928" w:val="left" w:leader="none"/>
        </w:tabs>
        <w:spacing w:line="278" w:lineRule="auto" w:before="111" w:after="0"/>
        <w:ind w:left="723" w:right="483" w:firstLine="0"/>
        <w:jc w:val="both"/>
        <w:rPr>
          <w:sz w:val="18"/>
        </w:rPr>
      </w:pPr>
      <w:r>
        <w:rPr>
          <w:sz w:val="18"/>
        </w:rPr>
        <w:t>This separate approach was developed to prevent the distortions that an aggregated approach would create in the treatment of mixed revenues. Using thresholds based on revenue from a market is less reliant on complex factual determinations compared with other factors, and therefore will limit compliance and administration costs and provide certainty.</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68" w:lineRule="auto" w:before="93" w:after="0"/>
        <w:ind w:left="723" w:right="482" w:firstLine="0"/>
        <w:jc w:val="both"/>
        <w:rPr>
          <w:sz w:val="20"/>
        </w:rPr>
      </w:pPr>
      <w:bookmarkStart w:name="_bookmark16" w:id="93"/>
      <w:bookmarkEnd w:id="93"/>
      <w:r>
        <w:rPr/>
      </w:r>
      <w:bookmarkStart w:name="_bookmark16" w:id="94"/>
      <w:bookmarkEnd w:id="94"/>
      <w:r>
        <w:rPr>
          <w:sz w:val="20"/>
        </w:rPr>
        <w:t>T</w:t>
      </w:r>
      <w:r>
        <w:rPr>
          <w:sz w:val="20"/>
        </w:rPr>
        <w:t>he Outline indicated that the market revenue threshold would be commensurate with the size of each market, measured, perhaps by GDP. But this is likely to add substantial complexity, so the nexus rules could use a simple monetary amount of revenue in the market – one for ADS and one for CFB. However, consideration is being given to using higher thresholds for large markets and lower thresholds for small, developing</w:t>
      </w:r>
      <w:r>
        <w:rPr>
          <w:spacing w:val="-3"/>
          <w:sz w:val="20"/>
        </w:rPr>
        <w:t> </w:t>
      </w:r>
      <w:r>
        <w:rPr>
          <w:sz w:val="20"/>
        </w:rPr>
        <w:t>economies.</w:t>
      </w:r>
      <w:r>
        <w:rPr>
          <w:sz w:val="20"/>
          <w:vertAlign w:val="superscript"/>
        </w:rPr>
        <w:t>43</w:t>
      </w:r>
    </w:p>
    <w:p>
      <w:pPr>
        <w:pStyle w:val="ListParagraph"/>
        <w:numPr>
          <w:ilvl w:val="0"/>
          <w:numId w:val="13"/>
        </w:numPr>
        <w:tabs>
          <w:tab w:pos="1444" w:val="left" w:leader="none"/>
        </w:tabs>
        <w:spacing w:line="271" w:lineRule="auto" w:before="131" w:after="0"/>
        <w:ind w:left="723" w:right="479" w:firstLine="0"/>
        <w:jc w:val="both"/>
        <w:rPr>
          <w:sz w:val="20"/>
        </w:rPr>
      </w:pPr>
      <w:r>
        <w:rPr>
          <w:sz w:val="20"/>
        </w:rPr>
        <w:t>In determining the level at which to set thresholds, several considerations will need to be taken into account. The data analysis prepared as part of the impact assessment, while subject to significant uncertainty,</w:t>
      </w:r>
      <w:r>
        <w:rPr>
          <w:spacing w:val="-11"/>
          <w:sz w:val="20"/>
        </w:rPr>
        <w:t> </w:t>
      </w:r>
      <w:r>
        <w:rPr>
          <w:sz w:val="20"/>
        </w:rPr>
        <w:t>suggests</w:t>
      </w:r>
      <w:r>
        <w:rPr>
          <w:spacing w:val="-11"/>
          <w:sz w:val="20"/>
        </w:rPr>
        <w:t> </w:t>
      </w:r>
      <w:r>
        <w:rPr>
          <w:sz w:val="20"/>
        </w:rPr>
        <w:t>that</w:t>
      </w:r>
      <w:r>
        <w:rPr>
          <w:spacing w:val="-9"/>
          <w:sz w:val="20"/>
        </w:rPr>
        <w:t> </w:t>
      </w:r>
      <w:r>
        <w:rPr>
          <w:sz w:val="20"/>
        </w:rPr>
        <w:t>a</w:t>
      </w:r>
      <w:r>
        <w:rPr>
          <w:spacing w:val="-12"/>
          <w:sz w:val="20"/>
        </w:rPr>
        <w:t> </w:t>
      </w:r>
      <w:r>
        <w:rPr>
          <w:sz w:val="20"/>
        </w:rPr>
        <w:t>market</w:t>
      </w:r>
      <w:r>
        <w:rPr>
          <w:spacing w:val="-11"/>
          <w:sz w:val="20"/>
        </w:rPr>
        <w:t> </w:t>
      </w:r>
      <w:r>
        <w:rPr>
          <w:sz w:val="20"/>
        </w:rPr>
        <w:t>revenue</w:t>
      </w:r>
      <w:r>
        <w:rPr>
          <w:spacing w:val="-12"/>
          <w:sz w:val="20"/>
        </w:rPr>
        <w:t> </w:t>
      </w:r>
      <w:r>
        <w:rPr>
          <w:sz w:val="20"/>
        </w:rPr>
        <w:t>threshold</w:t>
      </w:r>
      <w:r>
        <w:rPr>
          <w:spacing w:val="-10"/>
          <w:sz w:val="20"/>
        </w:rPr>
        <w:t> </w:t>
      </w:r>
      <w:r>
        <w:rPr>
          <w:sz w:val="20"/>
        </w:rPr>
        <w:t>has</w:t>
      </w:r>
      <w:r>
        <w:rPr>
          <w:spacing w:val="-10"/>
          <w:sz w:val="20"/>
        </w:rPr>
        <w:t> </w:t>
      </w:r>
      <w:r>
        <w:rPr>
          <w:sz w:val="20"/>
        </w:rPr>
        <w:t>an</w:t>
      </w:r>
      <w:r>
        <w:rPr>
          <w:spacing w:val="-9"/>
          <w:sz w:val="20"/>
        </w:rPr>
        <w:t> </w:t>
      </w:r>
      <w:r>
        <w:rPr>
          <w:sz w:val="20"/>
        </w:rPr>
        <w:t>important</w:t>
      </w:r>
      <w:r>
        <w:rPr>
          <w:spacing w:val="-11"/>
          <w:sz w:val="20"/>
        </w:rPr>
        <w:t> </w:t>
      </w:r>
      <w:r>
        <w:rPr>
          <w:sz w:val="20"/>
        </w:rPr>
        <w:t>impact</w:t>
      </w:r>
      <w:r>
        <w:rPr>
          <w:spacing w:val="-11"/>
          <w:sz w:val="20"/>
        </w:rPr>
        <w:t> </w:t>
      </w:r>
      <w:r>
        <w:rPr>
          <w:sz w:val="20"/>
        </w:rPr>
        <w:t>on</w:t>
      </w:r>
      <w:r>
        <w:rPr>
          <w:spacing w:val="-12"/>
          <w:sz w:val="20"/>
        </w:rPr>
        <w:t> </w:t>
      </w:r>
      <w:r>
        <w:rPr>
          <w:sz w:val="20"/>
        </w:rPr>
        <w:t>the</w:t>
      </w:r>
      <w:r>
        <w:rPr>
          <w:spacing w:val="-11"/>
          <w:sz w:val="20"/>
        </w:rPr>
        <w:t> </w:t>
      </w:r>
      <w:r>
        <w:rPr>
          <w:sz w:val="20"/>
        </w:rPr>
        <w:t>Amount</w:t>
      </w:r>
      <w:r>
        <w:rPr>
          <w:spacing w:val="4"/>
          <w:sz w:val="20"/>
        </w:rPr>
        <w:t> </w:t>
      </w:r>
      <w:r>
        <w:rPr>
          <w:sz w:val="20"/>
        </w:rPr>
        <w:t>A</w:t>
      </w:r>
      <w:r>
        <w:rPr>
          <w:spacing w:val="-12"/>
          <w:sz w:val="20"/>
        </w:rPr>
        <w:t> </w:t>
      </w:r>
      <w:r>
        <w:rPr>
          <w:sz w:val="20"/>
        </w:rPr>
        <w:t>allocation to smaller jurisdictions, in particular developing economies (unlike the global scope revenue threshold)</w:t>
      </w:r>
      <w:r>
        <w:rPr>
          <w:sz w:val="20"/>
          <w:vertAlign w:val="superscript"/>
        </w:rPr>
        <w:t>44</w:t>
      </w:r>
      <w:r>
        <w:rPr>
          <w:sz w:val="20"/>
          <w:vertAlign w:val="baseline"/>
        </w:rPr>
        <w:t>. For the smallest jurisdictions (e.g. jurisdictions with GDP less than USD 5 billion), the analysis suggests that many MNE groups may not have a nexus in these jurisdictions if a single threshold is set at EUR 5 million</w:t>
      </w:r>
      <w:r>
        <w:rPr>
          <w:spacing w:val="-10"/>
          <w:sz w:val="20"/>
          <w:vertAlign w:val="baseline"/>
        </w:rPr>
        <w:t> </w:t>
      </w:r>
      <w:r>
        <w:rPr>
          <w:sz w:val="20"/>
          <w:vertAlign w:val="baseline"/>
        </w:rPr>
        <w:t>or</w:t>
      </w:r>
      <w:r>
        <w:rPr>
          <w:spacing w:val="-8"/>
          <w:sz w:val="20"/>
          <w:vertAlign w:val="baseline"/>
        </w:rPr>
        <w:t> </w:t>
      </w:r>
      <w:r>
        <w:rPr>
          <w:sz w:val="20"/>
          <w:vertAlign w:val="baseline"/>
        </w:rPr>
        <w:t>above.</w:t>
      </w:r>
      <w:r>
        <w:rPr>
          <w:spacing w:val="-10"/>
          <w:sz w:val="20"/>
          <w:vertAlign w:val="baseline"/>
        </w:rPr>
        <w:t> </w:t>
      </w:r>
      <w:r>
        <w:rPr>
          <w:sz w:val="20"/>
          <w:vertAlign w:val="baseline"/>
        </w:rPr>
        <w:t>On</w:t>
      </w:r>
      <w:r>
        <w:rPr>
          <w:spacing w:val="-9"/>
          <w:sz w:val="20"/>
          <w:vertAlign w:val="baseline"/>
        </w:rPr>
        <w:t> </w:t>
      </w:r>
      <w:r>
        <w:rPr>
          <w:sz w:val="20"/>
          <w:vertAlign w:val="baseline"/>
        </w:rPr>
        <w:t>that</w:t>
      </w:r>
      <w:r>
        <w:rPr>
          <w:spacing w:val="-9"/>
          <w:sz w:val="20"/>
          <w:vertAlign w:val="baseline"/>
        </w:rPr>
        <w:t> </w:t>
      </w:r>
      <w:r>
        <w:rPr>
          <w:sz w:val="20"/>
          <w:vertAlign w:val="baseline"/>
        </w:rPr>
        <w:t>basis,</w:t>
      </w:r>
      <w:r>
        <w:rPr>
          <w:spacing w:val="-10"/>
          <w:sz w:val="20"/>
          <w:vertAlign w:val="baseline"/>
        </w:rPr>
        <w:t> </w:t>
      </w:r>
      <w:r>
        <w:rPr>
          <w:sz w:val="20"/>
          <w:vertAlign w:val="baseline"/>
        </w:rPr>
        <w:t>and</w:t>
      </w:r>
      <w:r>
        <w:rPr>
          <w:spacing w:val="-9"/>
          <w:sz w:val="20"/>
          <w:vertAlign w:val="baseline"/>
        </w:rPr>
        <w:t> </w:t>
      </w:r>
      <w:r>
        <w:rPr>
          <w:sz w:val="20"/>
          <w:vertAlign w:val="baseline"/>
        </w:rPr>
        <w:t>the</w:t>
      </w:r>
      <w:r>
        <w:rPr>
          <w:spacing w:val="-10"/>
          <w:sz w:val="20"/>
          <w:vertAlign w:val="baseline"/>
        </w:rPr>
        <w:t> </w:t>
      </w:r>
      <w:r>
        <w:rPr>
          <w:sz w:val="20"/>
          <w:vertAlign w:val="baseline"/>
        </w:rPr>
        <w:t>considerations</w:t>
      </w:r>
      <w:r>
        <w:rPr>
          <w:spacing w:val="-5"/>
          <w:sz w:val="20"/>
          <w:vertAlign w:val="baseline"/>
        </w:rPr>
        <w:t> </w:t>
      </w:r>
      <w:r>
        <w:rPr>
          <w:sz w:val="20"/>
          <w:vertAlign w:val="baseline"/>
        </w:rPr>
        <w:t>further</w:t>
      </w:r>
      <w:r>
        <w:rPr>
          <w:spacing w:val="-9"/>
          <w:sz w:val="20"/>
          <w:vertAlign w:val="baseline"/>
        </w:rPr>
        <w:t> </w:t>
      </w:r>
      <w:r>
        <w:rPr>
          <w:sz w:val="20"/>
          <w:vertAlign w:val="baseline"/>
        </w:rPr>
        <w:t>discussed</w:t>
      </w:r>
      <w:r>
        <w:rPr>
          <w:spacing w:val="-9"/>
          <w:sz w:val="20"/>
          <w:vertAlign w:val="baseline"/>
        </w:rPr>
        <w:t> </w:t>
      </w:r>
      <w:r>
        <w:rPr>
          <w:sz w:val="20"/>
          <w:vertAlign w:val="baseline"/>
        </w:rPr>
        <w:t>below,</w:t>
      </w:r>
      <w:r>
        <w:rPr>
          <w:spacing w:val="-3"/>
          <w:sz w:val="20"/>
          <w:vertAlign w:val="baseline"/>
        </w:rPr>
        <w:t> </w:t>
      </w:r>
      <w:r>
        <w:rPr>
          <w:sz w:val="20"/>
          <w:vertAlign w:val="baseline"/>
        </w:rPr>
        <w:t>a</w:t>
      </w:r>
      <w:r>
        <w:rPr>
          <w:spacing w:val="-7"/>
          <w:sz w:val="20"/>
          <w:vertAlign w:val="baseline"/>
        </w:rPr>
        <w:t> </w:t>
      </w:r>
      <w:r>
        <w:rPr>
          <w:sz w:val="20"/>
          <w:vertAlign w:val="baseline"/>
        </w:rPr>
        <w:t>possibility</w:t>
      </w:r>
      <w:r>
        <w:rPr>
          <w:spacing w:val="-11"/>
          <w:sz w:val="20"/>
          <w:vertAlign w:val="baseline"/>
        </w:rPr>
        <w:t> </w:t>
      </w:r>
      <w:r>
        <w:rPr>
          <w:sz w:val="20"/>
          <w:vertAlign w:val="baseline"/>
        </w:rPr>
        <w:t>is</w:t>
      </w:r>
      <w:r>
        <w:rPr>
          <w:spacing w:val="-8"/>
          <w:sz w:val="20"/>
          <w:vertAlign w:val="baseline"/>
        </w:rPr>
        <w:t> </w:t>
      </w:r>
      <w:r>
        <w:rPr>
          <w:sz w:val="20"/>
          <w:vertAlign w:val="baseline"/>
        </w:rPr>
        <w:t>to</w:t>
      </w:r>
      <w:r>
        <w:rPr>
          <w:spacing w:val="-10"/>
          <w:sz w:val="20"/>
          <w:vertAlign w:val="baseline"/>
        </w:rPr>
        <w:t> </w:t>
      </w:r>
      <w:r>
        <w:rPr>
          <w:sz w:val="20"/>
          <w:vertAlign w:val="baseline"/>
        </w:rPr>
        <w:t>have</w:t>
      </w:r>
      <w:r>
        <w:rPr>
          <w:spacing w:val="-7"/>
          <w:sz w:val="20"/>
          <w:vertAlign w:val="baseline"/>
        </w:rPr>
        <w:t> </w:t>
      </w:r>
      <w:r>
        <w:rPr>
          <w:sz w:val="20"/>
          <w:vertAlign w:val="baseline"/>
        </w:rPr>
        <w:t>two separate market revenue thresholds: one for ADS, and one for CFB, noting that the amounts of such thresholds</w:t>
      </w:r>
      <w:r>
        <w:rPr>
          <w:spacing w:val="-8"/>
          <w:sz w:val="20"/>
          <w:vertAlign w:val="baseline"/>
        </w:rPr>
        <w:t> </w:t>
      </w:r>
      <w:r>
        <w:rPr>
          <w:sz w:val="20"/>
          <w:vertAlign w:val="baseline"/>
        </w:rPr>
        <w:t>are</w:t>
      </w:r>
      <w:r>
        <w:rPr>
          <w:spacing w:val="-7"/>
          <w:sz w:val="20"/>
          <w:vertAlign w:val="baseline"/>
        </w:rPr>
        <w:t> </w:t>
      </w:r>
      <w:r>
        <w:rPr>
          <w:sz w:val="20"/>
          <w:vertAlign w:val="baseline"/>
        </w:rPr>
        <w:t>expected</w:t>
      </w:r>
      <w:r>
        <w:rPr>
          <w:spacing w:val="-6"/>
          <w:sz w:val="20"/>
          <w:vertAlign w:val="baseline"/>
        </w:rPr>
        <w:t> </w:t>
      </w:r>
      <w:r>
        <w:rPr>
          <w:sz w:val="20"/>
          <w:vertAlign w:val="baseline"/>
        </w:rPr>
        <w:t>to</w:t>
      </w:r>
      <w:r>
        <w:rPr>
          <w:spacing w:val="-6"/>
          <w:sz w:val="20"/>
          <w:vertAlign w:val="baseline"/>
        </w:rPr>
        <w:t> </w:t>
      </w:r>
      <w:r>
        <w:rPr>
          <w:sz w:val="20"/>
          <w:vertAlign w:val="baseline"/>
        </w:rPr>
        <w:t>be</w:t>
      </w:r>
      <w:r>
        <w:rPr>
          <w:spacing w:val="-8"/>
          <w:sz w:val="20"/>
          <w:vertAlign w:val="baseline"/>
        </w:rPr>
        <w:t> </w:t>
      </w:r>
      <w:r>
        <w:rPr>
          <w:sz w:val="20"/>
          <w:vertAlign w:val="baseline"/>
        </w:rPr>
        <w:t>set</w:t>
      </w:r>
      <w:r>
        <w:rPr>
          <w:spacing w:val="-7"/>
          <w:sz w:val="20"/>
          <w:vertAlign w:val="baseline"/>
        </w:rPr>
        <w:t> </w:t>
      </w:r>
      <w:r>
        <w:rPr>
          <w:sz w:val="20"/>
          <w:vertAlign w:val="baseline"/>
        </w:rPr>
        <w:t>below</w:t>
      </w:r>
      <w:r>
        <w:rPr>
          <w:spacing w:val="-7"/>
          <w:sz w:val="20"/>
          <w:vertAlign w:val="baseline"/>
        </w:rPr>
        <w:t> </w:t>
      </w:r>
      <w:r>
        <w:rPr>
          <w:sz w:val="20"/>
          <w:vertAlign w:val="baseline"/>
        </w:rPr>
        <w:t>EUR</w:t>
      </w:r>
      <w:r>
        <w:rPr>
          <w:spacing w:val="-6"/>
          <w:sz w:val="20"/>
          <w:vertAlign w:val="baseline"/>
        </w:rPr>
        <w:t> </w:t>
      </w:r>
      <w:r>
        <w:rPr>
          <w:sz w:val="20"/>
          <w:vertAlign w:val="baseline"/>
        </w:rPr>
        <w:t>5</w:t>
      </w:r>
      <w:r>
        <w:rPr>
          <w:spacing w:val="-6"/>
          <w:sz w:val="20"/>
          <w:vertAlign w:val="baseline"/>
        </w:rPr>
        <w:t> </w:t>
      </w:r>
      <w:r>
        <w:rPr>
          <w:sz w:val="20"/>
          <w:vertAlign w:val="baseline"/>
        </w:rPr>
        <w:t>million.</w:t>
      </w:r>
      <w:r>
        <w:rPr>
          <w:spacing w:val="-6"/>
          <w:sz w:val="20"/>
          <w:vertAlign w:val="baseline"/>
        </w:rPr>
        <w:t> </w:t>
      </w:r>
      <w:r>
        <w:rPr>
          <w:sz w:val="20"/>
          <w:vertAlign w:val="baseline"/>
        </w:rPr>
        <w:t>As</w:t>
      </w:r>
      <w:r>
        <w:rPr>
          <w:spacing w:val="-8"/>
          <w:sz w:val="20"/>
          <w:vertAlign w:val="baseline"/>
        </w:rPr>
        <w:t> </w:t>
      </w:r>
      <w:r>
        <w:rPr>
          <w:sz w:val="20"/>
          <w:vertAlign w:val="baseline"/>
        </w:rPr>
        <w:t>stated</w:t>
      </w:r>
      <w:r>
        <w:rPr>
          <w:spacing w:val="-6"/>
          <w:sz w:val="20"/>
          <w:vertAlign w:val="baseline"/>
        </w:rPr>
        <w:t> </w:t>
      </w:r>
      <w:r>
        <w:rPr>
          <w:sz w:val="20"/>
          <w:vertAlign w:val="baseline"/>
        </w:rPr>
        <w:t>in</w:t>
      </w:r>
      <w:r>
        <w:rPr>
          <w:spacing w:val="-7"/>
          <w:sz w:val="20"/>
          <w:vertAlign w:val="baseline"/>
        </w:rPr>
        <w:t> </w:t>
      </w:r>
      <w:r>
        <w:rPr>
          <w:sz w:val="20"/>
          <w:vertAlign w:val="baseline"/>
        </w:rPr>
        <w:t>paragraph</w:t>
      </w:r>
      <w:r>
        <w:rPr>
          <w:spacing w:val="-6"/>
          <w:sz w:val="20"/>
          <w:vertAlign w:val="baseline"/>
        </w:rPr>
        <w:t> </w:t>
      </w:r>
      <w:hyperlink w:history="true" w:anchor="_bookmark16">
        <w:r>
          <w:rPr>
            <w:sz w:val="20"/>
            <w:vertAlign w:val="baseline"/>
          </w:rPr>
          <w:t>197,</w:t>
        </w:r>
        <w:r>
          <w:rPr>
            <w:spacing w:val="-9"/>
            <w:sz w:val="20"/>
            <w:vertAlign w:val="baseline"/>
          </w:rPr>
          <w:t> </w:t>
        </w:r>
      </w:hyperlink>
      <w:r>
        <w:rPr>
          <w:sz w:val="20"/>
          <w:vertAlign w:val="baseline"/>
        </w:rPr>
        <w:t>consideration</w:t>
      </w:r>
      <w:r>
        <w:rPr>
          <w:spacing w:val="-4"/>
          <w:sz w:val="20"/>
          <w:vertAlign w:val="baseline"/>
        </w:rPr>
        <w:t> </w:t>
      </w:r>
      <w:r>
        <w:rPr>
          <w:sz w:val="20"/>
          <w:vertAlign w:val="baseline"/>
        </w:rPr>
        <w:t>is</w:t>
      </w:r>
      <w:r>
        <w:rPr>
          <w:spacing w:val="-8"/>
          <w:sz w:val="20"/>
          <w:vertAlign w:val="baseline"/>
        </w:rPr>
        <w:t> </w:t>
      </w:r>
      <w:r>
        <w:rPr>
          <w:sz w:val="20"/>
          <w:vertAlign w:val="baseline"/>
        </w:rPr>
        <w:t>being given</w:t>
      </w:r>
      <w:r>
        <w:rPr>
          <w:spacing w:val="-4"/>
          <w:sz w:val="20"/>
          <w:vertAlign w:val="baseline"/>
        </w:rPr>
        <w:t> </w:t>
      </w:r>
      <w:r>
        <w:rPr>
          <w:sz w:val="20"/>
          <w:vertAlign w:val="baseline"/>
        </w:rPr>
        <w:t>to</w:t>
      </w:r>
      <w:r>
        <w:rPr>
          <w:spacing w:val="-5"/>
          <w:sz w:val="20"/>
          <w:vertAlign w:val="baseline"/>
        </w:rPr>
        <w:t> </w:t>
      </w:r>
      <w:r>
        <w:rPr>
          <w:sz w:val="20"/>
          <w:vertAlign w:val="baseline"/>
        </w:rPr>
        <w:t>using</w:t>
      </w:r>
      <w:r>
        <w:rPr>
          <w:spacing w:val="-3"/>
          <w:sz w:val="20"/>
          <w:vertAlign w:val="baseline"/>
        </w:rPr>
        <w:t> </w:t>
      </w:r>
      <w:r>
        <w:rPr>
          <w:sz w:val="20"/>
          <w:vertAlign w:val="baseline"/>
        </w:rPr>
        <w:t>higher</w:t>
      </w:r>
      <w:r>
        <w:rPr>
          <w:spacing w:val="-5"/>
          <w:sz w:val="20"/>
          <w:vertAlign w:val="baseline"/>
        </w:rPr>
        <w:t> </w:t>
      </w:r>
      <w:r>
        <w:rPr>
          <w:sz w:val="20"/>
          <w:vertAlign w:val="baseline"/>
        </w:rPr>
        <w:t>thresholds</w:t>
      </w:r>
      <w:r>
        <w:rPr>
          <w:spacing w:val="-3"/>
          <w:sz w:val="20"/>
          <w:vertAlign w:val="baseline"/>
        </w:rPr>
        <w:t> </w:t>
      </w:r>
      <w:r>
        <w:rPr>
          <w:sz w:val="20"/>
          <w:vertAlign w:val="baseline"/>
        </w:rPr>
        <w:t>for</w:t>
      </w:r>
      <w:r>
        <w:rPr>
          <w:spacing w:val="-5"/>
          <w:sz w:val="20"/>
          <w:vertAlign w:val="baseline"/>
        </w:rPr>
        <w:t> </w:t>
      </w:r>
      <w:r>
        <w:rPr>
          <w:sz w:val="20"/>
          <w:vertAlign w:val="baseline"/>
        </w:rPr>
        <w:t>large</w:t>
      </w:r>
      <w:r>
        <w:rPr>
          <w:spacing w:val="-4"/>
          <w:sz w:val="20"/>
          <w:vertAlign w:val="baseline"/>
        </w:rPr>
        <w:t> </w:t>
      </w:r>
      <w:r>
        <w:rPr>
          <w:sz w:val="20"/>
          <w:vertAlign w:val="baseline"/>
        </w:rPr>
        <w:t>markets</w:t>
      </w:r>
      <w:r>
        <w:rPr>
          <w:spacing w:val="-4"/>
          <w:sz w:val="20"/>
          <w:vertAlign w:val="baseline"/>
        </w:rPr>
        <w:t> </w:t>
      </w:r>
      <w:r>
        <w:rPr>
          <w:sz w:val="20"/>
          <w:vertAlign w:val="baseline"/>
        </w:rPr>
        <w:t>and</w:t>
      </w:r>
      <w:r>
        <w:rPr>
          <w:spacing w:val="-3"/>
          <w:sz w:val="20"/>
          <w:vertAlign w:val="baseline"/>
        </w:rPr>
        <w:t> </w:t>
      </w:r>
      <w:r>
        <w:rPr>
          <w:sz w:val="20"/>
          <w:vertAlign w:val="baseline"/>
        </w:rPr>
        <w:t>lower</w:t>
      </w:r>
      <w:r>
        <w:rPr>
          <w:spacing w:val="-3"/>
          <w:sz w:val="20"/>
          <w:vertAlign w:val="baseline"/>
        </w:rPr>
        <w:t> </w:t>
      </w:r>
      <w:r>
        <w:rPr>
          <w:sz w:val="20"/>
          <w:vertAlign w:val="baseline"/>
        </w:rPr>
        <w:t>thresholds</w:t>
      </w:r>
      <w:r>
        <w:rPr>
          <w:spacing w:val="-4"/>
          <w:sz w:val="20"/>
          <w:vertAlign w:val="baseline"/>
        </w:rPr>
        <w:t> </w:t>
      </w:r>
      <w:r>
        <w:rPr>
          <w:sz w:val="20"/>
          <w:vertAlign w:val="baseline"/>
        </w:rPr>
        <w:t>for</w:t>
      </w:r>
      <w:r>
        <w:rPr>
          <w:spacing w:val="-4"/>
          <w:sz w:val="20"/>
          <w:vertAlign w:val="baseline"/>
        </w:rPr>
        <w:t> </w:t>
      </w:r>
      <w:r>
        <w:rPr>
          <w:sz w:val="20"/>
          <w:vertAlign w:val="baseline"/>
        </w:rPr>
        <w:t>small,</w:t>
      </w:r>
      <w:r>
        <w:rPr>
          <w:spacing w:val="-5"/>
          <w:sz w:val="20"/>
          <w:vertAlign w:val="baseline"/>
        </w:rPr>
        <w:t> </w:t>
      </w:r>
      <w:r>
        <w:rPr>
          <w:sz w:val="20"/>
          <w:vertAlign w:val="baseline"/>
        </w:rPr>
        <w:t>developing</w:t>
      </w:r>
      <w:r>
        <w:rPr>
          <w:spacing w:val="-4"/>
          <w:sz w:val="20"/>
          <w:vertAlign w:val="baseline"/>
        </w:rPr>
        <w:t> </w:t>
      </w:r>
      <w:r>
        <w:rPr>
          <w:sz w:val="20"/>
          <w:vertAlign w:val="baseline"/>
        </w:rPr>
        <w:t>economies.</w:t>
      </w:r>
    </w:p>
    <w:p>
      <w:pPr>
        <w:pStyle w:val="ListParagraph"/>
        <w:numPr>
          <w:ilvl w:val="0"/>
          <w:numId w:val="13"/>
        </w:numPr>
        <w:tabs>
          <w:tab w:pos="1444" w:val="left" w:leader="none"/>
        </w:tabs>
        <w:spacing w:line="271" w:lineRule="auto" w:before="123" w:after="0"/>
        <w:ind w:left="723" w:right="481" w:firstLine="0"/>
        <w:jc w:val="both"/>
        <w:rPr>
          <w:sz w:val="20"/>
        </w:rPr>
      </w:pPr>
      <w:r>
        <w:rPr>
          <w:sz w:val="20"/>
        </w:rPr>
        <w:t>Different threshold amounts for ADS and CFB could be justified on the following grounds. First, the ability of CFB businesses to participate remotely in market jurisdictions seems less pronounced compared</w:t>
      </w:r>
      <w:r>
        <w:rPr>
          <w:spacing w:val="-8"/>
          <w:sz w:val="20"/>
        </w:rPr>
        <w:t> </w:t>
      </w:r>
      <w:r>
        <w:rPr>
          <w:sz w:val="20"/>
        </w:rPr>
        <w:t>to</w:t>
      </w:r>
      <w:r>
        <w:rPr>
          <w:spacing w:val="-5"/>
          <w:sz w:val="20"/>
        </w:rPr>
        <w:t> </w:t>
      </w:r>
      <w:r>
        <w:rPr>
          <w:sz w:val="20"/>
        </w:rPr>
        <w:t>ADS.</w:t>
      </w:r>
      <w:r>
        <w:rPr>
          <w:spacing w:val="-5"/>
          <w:sz w:val="20"/>
        </w:rPr>
        <w:t> </w:t>
      </w:r>
      <w:r>
        <w:rPr>
          <w:sz w:val="20"/>
        </w:rPr>
        <w:t>Second,</w:t>
      </w:r>
      <w:r>
        <w:rPr>
          <w:spacing w:val="-5"/>
          <w:sz w:val="20"/>
        </w:rPr>
        <w:t> </w:t>
      </w:r>
      <w:r>
        <w:rPr>
          <w:sz w:val="20"/>
        </w:rPr>
        <w:t>additional</w:t>
      </w:r>
      <w:r>
        <w:rPr>
          <w:spacing w:val="-8"/>
          <w:sz w:val="20"/>
        </w:rPr>
        <w:t> </w:t>
      </w:r>
      <w:r>
        <w:rPr>
          <w:sz w:val="20"/>
        </w:rPr>
        <w:t>complexity</w:t>
      </w:r>
      <w:r>
        <w:rPr>
          <w:spacing w:val="-10"/>
          <w:sz w:val="20"/>
        </w:rPr>
        <w:t> </w:t>
      </w:r>
      <w:r>
        <w:rPr>
          <w:sz w:val="20"/>
        </w:rPr>
        <w:t>and</w:t>
      </w:r>
      <w:r>
        <w:rPr>
          <w:spacing w:val="-8"/>
          <w:sz w:val="20"/>
        </w:rPr>
        <w:t> </w:t>
      </w:r>
      <w:r>
        <w:rPr>
          <w:sz w:val="20"/>
        </w:rPr>
        <w:t>compliance</w:t>
      </w:r>
      <w:r>
        <w:rPr>
          <w:spacing w:val="-7"/>
          <w:sz w:val="20"/>
        </w:rPr>
        <w:t> </w:t>
      </w:r>
      <w:r>
        <w:rPr>
          <w:sz w:val="20"/>
        </w:rPr>
        <w:t>costs</w:t>
      </w:r>
      <w:r>
        <w:rPr>
          <w:spacing w:val="-6"/>
          <w:sz w:val="20"/>
        </w:rPr>
        <w:t> </w:t>
      </w:r>
      <w:r>
        <w:rPr>
          <w:sz w:val="20"/>
        </w:rPr>
        <w:t>associated</w:t>
      </w:r>
      <w:r>
        <w:rPr>
          <w:spacing w:val="-6"/>
          <w:sz w:val="20"/>
        </w:rPr>
        <w:t> </w:t>
      </w:r>
      <w:r>
        <w:rPr>
          <w:sz w:val="20"/>
        </w:rPr>
        <w:t>with</w:t>
      </w:r>
      <w:r>
        <w:rPr>
          <w:spacing w:val="-7"/>
          <w:sz w:val="20"/>
        </w:rPr>
        <w:t> </w:t>
      </w:r>
      <w:r>
        <w:rPr>
          <w:sz w:val="20"/>
        </w:rPr>
        <w:t>sourcing</w:t>
      </w:r>
      <w:r>
        <w:rPr>
          <w:spacing w:val="-6"/>
          <w:sz w:val="20"/>
        </w:rPr>
        <w:t> </w:t>
      </w:r>
      <w:r>
        <w:rPr>
          <w:sz w:val="20"/>
        </w:rPr>
        <w:t>revenue derived</w:t>
      </w:r>
      <w:r>
        <w:rPr>
          <w:spacing w:val="-4"/>
          <w:sz w:val="20"/>
        </w:rPr>
        <w:t> </w:t>
      </w:r>
      <w:r>
        <w:rPr>
          <w:sz w:val="20"/>
        </w:rPr>
        <w:t>by</w:t>
      </w:r>
      <w:r>
        <w:rPr>
          <w:spacing w:val="-5"/>
          <w:sz w:val="20"/>
        </w:rPr>
        <w:t> </w:t>
      </w:r>
      <w:r>
        <w:rPr>
          <w:sz w:val="20"/>
        </w:rPr>
        <w:t>CFB</w:t>
      </w:r>
      <w:r>
        <w:rPr>
          <w:spacing w:val="-4"/>
          <w:sz w:val="20"/>
        </w:rPr>
        <w:t> </w:t>
      </w:r>
      <w:r>
        <w:rPr>
          <w:sz w:val="20"/>
        </w:rPr>
        <w:t>(e.g.</w:t>
      </w:r>
      <w:r>
        <w:rPr>
          <w:spacing w:val="-6"/>
          <w:sz w:val="20"/>
        </w:rPr>
        <w:t> </w:t>
      </w:r>
      <w:r>
        <w:rPr>
          <w:sz w:val="20"/>
        </w:rPr>
        <w:t>third</w:t>
      </w:r>
      <w:r>
        <w:rPr>
          <w:spacing w:val="-4"/>
          <w:sz w:val="20"/>
        </w:rPr>
        <w:t> </w:t>
      </w:r>
      <w:r>
        <w:rPr>
          <w:sz w:val="20"/>
        </w:rPr>
        <w:t>party</w:t>
      </w:r>
      <w:r>
        <w:rPr>
          <w:spacing w:val="-7"/>
          <w:sz w:val="20"/>
        </w:rPr>
        <w:t> </w:t>
      </w:r>
      <w:r>
        <w:rPr>
          <w:sz w:val="20"/>
        </w:rPr>
        <w:t>distribution)</w:t>
      </w:r>
      <w:r>
        <w:rPr>
          <w:spacing w:val="-4"/>
          <w:sz w:val="20"/>
        </w:rPr>
        <w:t> </w:t>
      </w:r>
      <w:r>
        <w:rPr>
          <w:sz w:val="20"/>
        </w:rPr>
        <w:t>compared</w:t>
      </w:r>
      <w:r>
        <w:rPr>
          <w:spacing w:val="-5"/>
          <w:sz w:val="20"/>
        </w:rPr>
        <w:t> </w:t>
      </w:r>
      <w:r>
        <w:rPr>
          <w:sz w:val="20"/>
        </w:rPr>
        <w:t>with</w:t>
      </w:r>
      <w:r>
        <w:rPr>
          <w:spacing w:val="-2"/>
          <w:sz w:val="20"/>
        </w:rPr>
        <w:t> </w:t>
      </w:r>
      <w:r>
        <w:rPr>
          <w:sz w:val="20"/>
        </w:rPr>
        <w:t>ADS</w:t>
      </w:r>
      <w:r>
        <w:rPr>
          <w:spacing w:val="-5"/>
          <w:sz w:val="20"/>
        </w:rPr>
        <w:t> </w:t>
      </w:r>
      <w:r>
        <w:rPr>
          <w:sz w:val="20"/>
        </w:rPr>
        <w:t>also</w:t>
      </w:r>
      <w:r>
        <w:rPr>
          <w:spacing w:val="-2"/>
          <w:sz w:val="20"/>
        </w:rPr>
        <w:t> </w:t>
      </w:r>
      <w:r>
        <w:rPr>
          <w:sz w:val="20"/>
        </w:rPr>
        <w:t>points</w:t>
      </w:r>
      <w:r>
        <w:rPr>
          <w:spacing w:val="-3"/>
          <w:sz w:val="20"/>
        </w:rPr>
        <w:t> </w:t>
      </w:r>
      <w:r>
        <w:rPr>
          <w:sz w:val="20"/>
        </w:rPr>
        <w:t>to</w:t>
      </w:r>
      <w:r>
        <w:rPr>
          <w:spacing w:val="-3"/>
          <w:sz w:val="20"/>
        </w:rPr>
        <w:t> </w:t>
      </w:r>
      <w:r>
        <w:rPr>
          <w:sz w:val="20"/>
        </w:rPr>
        <w:t>a</w:t>
      </w:r>
      <w:r>
        <w:rPr>
          <w:spacing w:val="-4"/>
          <w:sz w:val="20"/>
        </w:rPr>
        <w:t> </w:t>
      </w:r>
      <w:r>
        <w:rPr>
          <w:sz w:val="20"/>
        </w:rPr>
        <w:t>higher</w:t>
      </w:r>
      <w:r>
        <w:rPr>
          <w:spacing w:val="-4"/>
          <w:sz w:val="20"/>
        </w:rPr>
        <w:t> </w:t>
      </w:r>
      <w:r>
        <w:rPr>
          <w:sz w:val="20"/>
        </w:rPr>
        <w:t>threshold</w:t>
      </w:r>
      <w:r>
        <w:rPr>
          <w:spacing w:val="-5"/>
          <w:sz w:val="20"/>
        </w:rPr>
        <w:t> </w:t>
      </w:r>
      <w:r>
        <w:rPr>
          <w:sz w:val="20"/>
        </w:rPr>
        <w:t>amount for CFB. Finally, profit margins are typically lower for CFB compared with ADS, and hence that the threshold amount should be greater for CFB to ensure the same balance between tax benefits for market jurisdictions and overall compliance and administrative costs. However, some jurisdictions prefer that the thresholds be aligned.</w:t>
      </w:r>
    </w:p>
    <w:p>
      <w:pPr>
        <w:pStyle w:val="ListParagraph"/>
        <w:numPr>
          <w:ilvl w:val="0"/>
          <w:numId w:val="13"/>
        </w:numPr>
        <w:tabs>
          <w:tab w:pos="1444" w:val="left" w:leader="none"/>
        </w:tabs>
        <w:spacing w:line="273" w:lineRule="auto" w:before="119" w:after="0"/>
        <w:ind w:left="723" w:right="482" w:firstLine="0"/>
        <w:jc w:val="both"/>
        <w:rPr>
          <w:sz w:val="20"/>
        </w:rPr>
      </w:pPr>
      <w:r>
        <w:rPr>
          <w:sz w:val="20"/>
        </w:rPr>
        <w:t>Further</w:t>
      </w:r>
      <w:r>
        <w:rPr>
          <w:spacing w:val="-5"/>
          <w:sz w:val="20"/>
        </w:rPr>
        <w:t> </w:t>
      </w:r>
      <w:r>
        <w:rPr>
          <w:sz w:val="20"/>
        </w:rPr>
        <w:t>work</w:t>
      </w:r>
      <w:r>
        <w:rPr>
          <w:spacing w:val="-4"/>
          <w:sz w:val="20"/>
        </w:rPr>
        <w:t> </w:t>
      </w:r>
      <w:r>
        <w:rPr>
          <w:sz w:val="20"/>
        </w:rPr>
        <w:t>will</w:t>
      </w:r>
      <w:r>
        <w:rPr>
          <w:spacing w:val="-5"/>
          <w:sz w:val="20"/>
        </w:rPr>
        <w:t> </w:t>
      </w:r>
      <w:r>
        <w:rPr>
          <w:sz w:val="20"/>
        </w:rPr>
        <w:t>be</w:t>
      </w:r>
      <w:r>
        <w:rPr>
          <w:spacing w:val="-8"/>
          <w:sz w:val="20"/>
        </w:rPr>
        <w:t> </w:t>
      </w:r>
      <w:r>
        <w:rPr>
          <w:sz w:val="20"/>
        </w:rPr>
        <w:t>undertaken</w:t>
      </w:r>
      <w:r>
        <w:rPr>
          <w:spacing w:val="-8"/>
          <w:sz w:val="20"/>
        </w:rPr>
        <w:t> </w:t>
      </w:r>
      <w:r>
        <w:rPr>
          <w:sz w:val="20"/>
        </w:rPr>
        <w:t>on</w:t>
      </w:r>
      <w:r>
        <w:rPr>
          <w:spacing w:val="-8"/>
          <w:sz w:val="20"/>
        </w:rPr>
        <w:t> </w:t>
      </w:r>
      <w:r>
        <w:rPr>
          <w:sz w:val="20"/>
        </w:rPr>
        <w:t>the</w:t>
      </w:r>
      <w:r>
        <w:rPr>
          <w:spacing w:val="-5"/>
          <w:sz w:val="20"/>
        </w:rPr>
        <w:t> </w:t>
      </w:r>
      <w:r>
        <w:rPr>
          <w:sz w:val="20"/>
        </w:rPr>
        <w:t>administration</w:t>
      </w:r>
      <w:r>
        <w:rPr>
          <w:spacing w:val="-5"/>
          <w:sz w:val="20"/>
        </w:rPr>
        <w:t> </w:t>
      </w:r>
      <w:r>
        <w:rPr>
          <w:sz w:val="20"/>
        </w:rPr>
        <w:t>and</w:t>
      </w:r>
      <w:r>
        <w:rPr>
          <w:spacing w:val="-8"/>
          <w:sz w:val="20"/>
        </w:rPr>
        <w:t> </w:t>
      </w:r>
      <w:r>
        <w:rPr>
          <w:sz w:val="20"/>
        </w:rPr>
        <w:t>co-ordination</w:t>
      </w:r>
      <w:r>
        <w:rPr>
          <w:spacing w:val="-8"/>
          <w:sz w:val="20"/>
        </w:rPr>
        <w:t> </w:t>
      </w:r>
      <w:r>
        <w:rPr>
          <w:sz w:val="20"/>
        </w:rPr>
        <w:t>of</w:t>
      </w:r>
      <w:r>
        <w:rPr>
          <w:spacing w:val="-6"/>
          <w:sz w:val="20"/>
        </w:rPr>
        <w:t> </w:t>
      </w:r>
      <w:r>
        <w:rPr>
          <w:sz w:val="20"/>
        </w:rPr>
        <w:t>the</w:t>
      </w:r>
      <w:r>
        <w:rPr>
          <w:spacing w:val="-8"/>
          <w:sz w:val="20"/>
        </w:rPr>
        <w:t> </w:t>
      </w:r>
      <w:r>
        <w:rPr>
          <w:sz w:val="20"/>
        </w:rPr>
        <w:t>thresholds</w:t>
      </w:r>
      <w:r>
        <w:rPr>
          <w:spacing w:val="-4"/>
          <w:sz w:val="20"/>
        </w:rPr>
        <w:t> </w:t>
      </w:r>
      <w:r>
        <w:rPr>
          <w:sz w:val="20"/>
        </w:rPr>
        <w:t>used</w:t>
      </w:r>
      <w:r>
        <w:rPr>
          <w:spacing w:val="-7"/>
          <w:sz w:val="20"/>
        </w:rPr>
        <w:t> </w:t>
      </w:r>
      <w:r>
        <w:rPr>
          <w:sz w:val="20"/>
        </w:rPr>
        <w:t>for Amount A to ensure they remain appropriate over</w:t>
      </w:r>
      <w:r>
        <w:rPr>
          <w:spacing w:val="-12"/>
          <w:sz w:val="20"/>
        </w:rPr>
        <w:t> </w:t>
      </w:r>
      <w:r>
        <w:rPr>
          <w:sz w:val="20"/>
        </w:rPr>
        <w:t>time.</w:t>
      </w:r>
    </w:p>
    <w:p>
      <w:pPr>
        <w:pStyle w:val="ListParagraph"/>
        <w:numPr>
          <w:ilvl w:val="0"/>
          <w:numId w:val="13"/>
        </w:numPr>
        <w:tabs>
          <w:tab w:pos="1444" w:val="left" w:leader="none"/>
        </w:tabs>
        <w:spacing w:line="240" w:lineRule="auto" w:before="117" w:after="0"/>
        <w:ind w:left="1443" w:right="0" w:hanging="721"/>
        <w:jc w:val="both"/>
        <w:rPr>
          <w:sz w:val="20"/>
        </w:rPr>
      </w:pPr>
      <w:r>
        <w:rPr>
          <w:sz w:val="20"/>
        </w:rPr>
        <w:t>For ADS, the market revenue threshold would be the only test to establish</w:t>
      </w:r>
      <w:r>
        <w:rPr>
          <w:spacing w:val="-9"/>
          <w:sz w:val="20"/>
        </w:rPr>
        <w:t> </w:t>
      </w:r>
      <w:r>
        <w:rPr>
          <w:sz w:val="20"/>
        </w:rPr>
        <w:t>nexus.</w:t>
      </w:r>
    </w:p>
    <w:p>
      <w:pPr>
        <w:pStyle w:val="BodyText"/>
        <w:spacing w:before="11"/>
        <w:rPr>
          <w:sz w:val="25"/>
        </w:rPr>
      </w:pPr>
    </w:p>
    <w:p>
      <w:pPr>
        <w:pStyle w:val="Heading6"/>
        <w:numPr>
          <w:ilvl w:val="2"/>
          <w:numId w:val="17"/>
        </w:numPr>
        <w:tabs>
          <w:tab w:pos="2015" w:val="left" w:leader="none"/>
        </w:tabs>
        <w:spacing w:line="240" w:lineRule="auto" w:before="0" w:after="0"/>
        <w:ind w:left="2014" w:right="0" w:hanging="613"/>
        <w:jc w:val="left"/>
        <w:rPr>
          <w:i/>
        </w:rPr>
      </w:pPr>
      <w:bookmarkStart w:name="3.2.2. Additional indicator of nexus for" w:id="95"/>
      <w:bookmarkEnd w:id="95"/>
      <w:r>
        <w:rPr>
          <w:b w:val="0"/>
          <w:i w:val="0"/>
        </w:rPr>
      </w:r>
      <w:bookmarkStart w:name="3.2.2. Additional indicator of nexus for" w:id="96"/>
      <w:bookmarkEnd w:id="96"/>
      <w:r>
        <w:rPr>
          <w:i/>
        </w:rPr>
        <w:t>A</w:t>
      </w:r>
      <w:r>
        <w:rPr>
          <w:i/>
        </w:rPr>
        <w:t>dditional indicator of nexus for</w:t>
      </w:r>
      <w:r>
        <w:rPr>
          <w:i/>
          <w:spacing w:val="-5"/>
        </w:rPr>
        <w:t> </w:t>
      </w:r>
      <w:r>
        <w:rPr>
          <w:i/>
        </w:rPr>
        <w:t>CFB</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For CFB, a level of sales just over the market revenue threshold may not denote the active and sustained engagement with the market beyond the mere conclusion of sales that is envisaged as the justification of the new taxing right. To demonstrate this level of engagement, the presence of additional indicators (“plus factors”) may be</w:t>
      </w:r>
      <w:r>
        <w:rPr>
          <w:spacing w:val="-4"/>
          <w:sz w:val="20"/>
        </w:rPr>
        <w:t> </w:t>
      </w:r>
      <w:r>
        <w:rPr>
          <w:sz w:val="20"/>
        </w:rPr>
        <w:t>necessary.</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Many Inclusive Framework members, seeking simplicity, would be prepared to accept a nexus threshold based solely on revenue, especially since the scope tests already seek to capture those MNEs that participate in a sustained and significant manner in the economic life of market jurisdictions. Other members, however, consider plus factors as essential to a nexus rule for CFB. In order to bridge the gap between the two groups this Blueprint suggests that plus factors could be required for a CFB</w:t>
      </w:r>
      <w:r>
        <w:rPr>
          <w:spacing w:val="25"/>
          <w:sz w:val="20"/>
        </w:rPr>
        <w:t> </w:t>
      </w:r>
      <w:r>
        <w:rPr>
          <w:sz w:val="20"/>
        </w:rPr>
        <w:t>to</w:t>
      </w:r>
    </w:p>
    <w:p>
      <w:pPr>
        <w:pStyle w:val="BodyText"/>
        <w:spacing w:before="4"/>
        <w:rPr>
          <w:sz w:val="25"/>
        </w:rPr>
      </w:pPr>
      <w:r>
        <w:rPr/>
        <w:pict>
          <v:rect style="position:absolute;margin-left:65.183998pt;margin-top:16.561825pt;width:144.020004pt;height:.60004pt;mso-position-horizontal-relative:page;mso-position-vertical-relative:paragraph;z-index:-1568204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both"/>
        <w:rPr>
          <w:sz w:val="18"/>
        </w:rPr>
      </w:pPr>
      <w:r>
        <w:rPr>
          <w:sz w:val="18"/>
        </w:rPr>
        <w:t>See below paragr</w:t>
      </w:r>
      <w:hyperlink w:history="true" w:anchor="_bookmark17">
        <w:r>
          <w:rPr>
            <w:sz w:val="18"/>
          </w:rPr>
          <w:t>aph</w:t>
        </w:r>
        <w:r>
          <w:rPr>
            <w:spacing w:val="-4"/>
            <w:sz w:val="18"/>
          </w:rPr>
          <w:t> </w:t>
        </w:r>
        <w:r>
          <w:rPr>
            <w:sz w:val="18"/>
          </w:rPr>
          <w:t>213.</w:t>
        </w:r>
      </w:hyperlink>
    </w:p>
    <w:p>
      <w:pPr>
        <w:pStyle w:val="ListParagraph"/>
        <w:numPr>
          <w:ilvl w:val="0"/>
          <w:numId w:val="14"/>
        </w:numPr>
        <w:tabs>
          <w:tab w:pos="931" w:val="left" w:leader="none"/>
        </w:tabs>
        <w:spacing w:line="278" w:lineRule="auto" w:before="110" w:after="0"/>
        <w:ind w:left="723" w:right="477" w:firstLine="0"/>
        <w:jc w:val="both"/>
        <w:rPr>
          <w:sz w:val="18"/>
        </w:rPr>
      </w:pPr>
      <w:r>
        <w:rPr>
          <w:sz w:val="18"/>
        </w:rPr>
        <w:t>Due to the lack of comprehensive entity level data on MNE sales in each jurisdiction with which to assess a nexus revenue threshold, a probabilistic modelling approach has been developed to approximate the effect of an illustrative range of potential nexus revenue thresholds. To consider the implications for a range of jurisdictions according GDP size,</w:t>
      </w:r>
      <w:r>
        <w:rPr>
          <w:spacing w:val="-7"/>
          <w:sz w:val="18"/>
        </w:rPr>
        <w:t> </w:t>
      </w:r>
      <w:r>
        <w:rPr>
          <w:sz w:val="18"/>
        </w:rPr>
        <w:t>a</w:t>
      </w:r>
      <w:r>
        <w:rPr>
          <w:spacing w:val="-5"/>
          <w:sz w:val="18"/>
        </w:rPr>
        <w:t> </w:t>
      </w:r>
      <w:r>
        <w:rPr>
          <w:sz w:val="18"/>
        </w:rPr>
        <w:t>range</w:t>
      </w:r>
      <w:r>
        <w:rPr>
          <w:spacing w:val="-6"/>
          <w:sz w:val="18"/>
        </w:rPr>
        <w:t> </w:t>
      </w:r>
      <w:r>
        <w:rPr>
          <w:sz w:val="18"/>
        </w:rPr>
        <w:t>of</w:t>
      </w:r>
      <w:r>
        <w:rPr>
          <w:spacing w:val="-6"/>
          <w:sz w:val="18"/>
        </w:rPr>
        <w:t> </w:t>
      </w:r>
      <w:r>
        <w:rPr>
          <w:sz w:val="18"/>
        </w:rPr>
        <w:t>thresholds</w:t>
      </w:r>
      <w:r>
        <w:rPr>
          <w:spacing w:val="-6"/>
          <w:sz w:val="18"/>
        </w:rPr>
        <w:t> </w:t>
      </w:r>
      <w:r>
        <w:rPr>
          <w:sz w:val="18"/>
        </w:rPr>
        <w:t>(EUR</w:t>
      </w:r>
      <w:r>
        <w:rPr>
          <w:spacing w:val="-6"/>
          <w:sz w:val="18"/>
        </w:rPr>
        <w:t> </w:t>
      </w:r>
      <w:r>
        <w:rPr>
          <w:sz w:val="18"/>
        </w:rPr>
        <w:t>1m,</w:t>
      </w:r>
      <w:r>
        <w:rPr>
          <w:spacing w:val="-7"/>
          <w:sz w:val="18"/>
        </w:rPr>
        <w:t> </w:t>
      </w:r>
      <w:r>
        <w:rPr>
          <w:sz w:val="18"/>
        </w:rPr>
        <w:t>3m,</w:t>
      </w:r>
      <w:r>
        <w:rPr>
          <w:spacing w:val="-8"/>
          <w:sz w:val="18"/>
        </w:rPr>
        <w:t> </w:t>
      </w:r>
      <w:r>
        <w:rPr>
          <w:sz w:val="18"/>
        </w:rPr>
        <w:t>5m</w:t>
      </w:r>
      <w:r>
        <w:rPr>
          <w:spacing w:val="-7"/>
          <w:sz w:val="18"/>
        </w:rPr>
        <w:t> </w:t>
      </w:r>
      <w:r>
        <w:rPr>
          <w:sz w:val="18"/>
        </w:rPr>
        <w:t>and</w:t>
      </w:r>
      <w:r>
        <w:rPr>
          <w:spacing w:val="-9"/>
          <w:sz w:val="18"/>
        </w:rPr>
        <w:t> </w:t>
      </w:r>
      <w:r>
        <w:rPr>
          <w:sz w:val="18"/>
        </w:rPr>
        <w:t>7m)</w:t>
      </w:r>
      <w:r>
        <w:rPr>
          <w:spacing w:val="-6"/>
          <w:sz w:val="18"/>
        </w:rPr>
        <w:t> </w:t>
      </w:r>
      <w:r>
        <w:rPr>
          <w:sz w:val="18"/>
        </w:rPr>
        <w:t>were</w:t>
      </w:r>
      <w:r>
        <w:rPr>
          <w:spacing w:val="-6"/>
          <w:sz w:val="18"/>
        </w:rPr>
        <w:t> </w:t>
      </w:r>
      <w:r>
        <w:rPr>
          <w:sz w:val="18"/>
        </w:rPr>
        <w:t>considered</w:t>
      </w:r>
      <w:r>
        <w:rPr>
          <w:spacing w:val="-5"/>
          <w:sz w:val="18"/>
        </w:rPr>
        <w:t> </w:t>
      </w:r>
      <w:r>
        <w:rPr>
          <w:sz w:val="18"/>
        </w:rPr>
        <w:t>for</w:t>
      </w:r>
      <w:r>
        <w:rPr>
          <w:spacing w:val="-6"/>
          <w:sz w:val="18"/>
        </w:rPr>
        <w:t> </w:t>
      </w:r>
      <w:r>
        <w:rPr>
          <w:sz w:val="18"/>
        </w:rPr>
        <w:t>ADS</w:t>
      </w:r>
      <w:r>
        <w:rPr>
          <w:spacing w:val="-9"/>
          <w:sz w:val="18"/>
        </w:rPr>
        <w:t> </w:t>
      </w:r>
      <w:r>
        <w:rPr>
          <w:sz w:val="18"/>
        </w:rPr>
        <w:t>and</w:t>
      </w:r>
      <w:r>
        <w:rPr>
          <w:spacing w:val="-5"/>
          <w:sz w:val="18"/>
        </w:rPr>
        <w:t> </w:t>
      </w:r>
      <w:r>
        <w:rPr>
          <w:sz w:val="18"/>
        </w:rPr>
        <w:t>CFB</w:t>
      </w:r>
      <w:r>
        <w:rPr>
          <w:spacing w:val="-9"/>
          <w:sz w:val="18"/>
        </w:rPr>
        <w:t> </w:t>
      </w:r>
      <w:r>
        <w:rPr>
          <w:sz w:val="18"/>
        </w:rPr>
        <w:t>combined.</w:t>
      </w:r>
      <w:r>
        <w:rPr>
          <w:spacing w:val="-6"/>
          <w:sz w:val="18"/>
        </w:rPr>
        <w:t> </w:t>
      </w:r>
      <w:r>
        <w:rPr>
          <w:sz w:val="18"/>
        </w:rPr>
        <w:t>As</w:t>
      </w:r>
      <w:r>
        <w:rPr>
          <w:spacing w:val="-6"/>
          <w:sz w:val="18"/>
        </w:rPr>
        <w:t> </w:t>
      </w:r>
      <w:r>
        <w:rPr>
          <w:sz w:val="18"/>
        </w:rPr>
        <w:t>this</w:t>
      </w:r>
      <w:r>
        <w:rPr>
          <w:spacing w:val="-7"/>
          <w:sz w:val="18"/>
        </w:rPr>
        <w:t> </w:t>
      </w:r>
      <w:r>
        <w:rPr>
          <w:sz w:val="18"/>
        </w:rPr>
        <w:t>approach is</w:t>
      </w:r>
      <w:r>
        <w:rPr>
          <w:spacing w:val="-7"/>
          <w:sz w:val="18"/>
        </w:rPr>
        <w:t> </w:t>
      </w:r>
      <w:r>
        <w:rPr>
          <w:sz w:val="18"/>
        </w:rPr>
        <w:t>inevitably</w:t>
      </w:r>
      <w:r>
        <w:rPr>
          <w:spacing w:val="-9"/>
          <w:sz w:val="18"/>
        </w:rPr>
        <w:t> </w:t>
      </w:r>
      <w:r>
        <w:rPr>
          <w:sz w:val="18"/>
        </w:rPr>
        <w:t>assumption-dependent,</w:t>
      </w:r>
      <w:r>
        <w:rPr>
          <w:spacing w:val="-6"/>
          <w:sz w:val="18"/>
        </w:rPr>
        <w:t> </w:t>
      </w:r>
      <w:r>
        <w:rPr>
          <w:sz w:val="18"/>
        </w:rPr>
        <w:t>results</w:t>
      </w:r>
      <w:r>
        <w:rPr>
          <w:spacing w:val="-9"/>
          <w:sz w:val="18"/>
        </w:rPr>
        <w:t> </w:t>
      </w:r>
      <w:r>
        <w:rPr>
          <w:sz w:val="18"/>
        </w:rPr>
        <w:t>should</w:t>
      </w:r>
      <w:r>
        <w:rPr>
          <w:spacing w:val="-9"/>
          <w:sz w:val="18"/>
        </w:rPr>
        <w:t> </w:t>
      </w:r>
      <w:r>
        <w:rPr>
          <w:sz w:val="18"/>
        </w:rPr>
        <w:t>be</w:t>
      </w:r>
      <w:r>
        <w:rPr>
          <w:spacing w:val="-7"/>
          <w:sz w:val="18"/>
        </w:rPr>
        <w:t> </w:t>
      </w:r>
      <w:r>
        <w:rPr>
          <w:sz w:val="18"/>
        </w:rPr>
        <w:t>considered</w:t>
      </w:r>
      <w:r>
        <w:rPr>
          <w:spacing w:val="-6"/>
          <w:sz w:val="18"/>
        </w:rPr>
        <w:t> </w:t>
      </w:r>
      <w:r>
        <w:rPr>
          <w:sz w:val="18"/>
        </w:rPr>
        <w:t>as</w:t>
      </w:r>
      <w:r>
        <w:rPr>
          <w:spacing w:val="-7"/>
          <w:sz w:val="18"/>
        </w:rPr>
        <w:t> </w:t>
      </w:r>
      <w:r>
        <w:rPr>
          <w:sz w:val="18"/>
        </w:rPr>
        <w:t>illustrative</w:t>
      </w:r>
      <w:r>
        <w:rPr>
          <w:spacing w:val="-10"/>
          <w:sz w:val="18"/>
        </w:rPr>
        <w:t> </w:t>
      </w:r>
      <w:r>
        <w:rPr>
          <w:sz w:val="18"/>
        </w:rPr>
        <w:t>of</w:t>
      </w:r>
      <w:r>
        <w:rPr>
          <w:spacing w:val="-7"/>
          <w:sz w:val="18"/>
        </w:rPr>
        <w:t> </w:t>
      </w:r>
      <w:r>
        <w:rPr>
          <w:sz w:val="18"/>
        </w:rPr>
        <w:t>the</w:t>
      </w:r>
      <w:r>
        <w:rPr>
          <w:spacing w:val="-7"/>
          <w:sz w:val="18"/>
        </w:rPr>
        <w:t> </w:t>
      </w:r>
      <w:r>
        <w:rPr>
          <w:sz w:val="18"/>
        </w:rPr>
        <w:t>orders</w:t>
      </w:r>
      <w:r>
        <w:rPr>
          <w:spacing w:val="-6"/>
          <w:sz w:val="18"/>
        </w:rPr>
        <w:t> </w:t>
      </w:r>
      <w:r>
        <w:rPr>
          <w:sz w:val="18"/>
        </w:rPr>
        <w:t>of</w:t>
      </w:r>
      <w:r>
        <w:rPr>
          <w:spacing w:val="-10"/>
          <w:sz w:val="18"/>
        </w:rPr>
        <w:t> </w:t>
      </w:r>
      <w:r>
        <w:rPr>
          <w:sz w:val="18"/>
        </w:rPr>
        <w:t>magnitude</w:t>
      </w:r>
      <w:r>
        <w:rPr>
          <w:spacing w:val="-6"/>
          <w:sz w:val="18"/>
        </w:rPr>
        <w:t> </w:t>
      </w:r>
      <w:r>
        <w:rPr>
          <w:sz w:val="18"/>
        </w:rPr>
        <w:t>rather</w:t>
      </w:r>
      <w:r>
        <w:rPr>
          <w:spacing w:val="-8"/>
          <w:sz w:val="18"/>
        </w:rPr>
        <w:t> </w:t>
      </w:r>
      <w:r>
        <w:rPr>
          <w:sz w:val="18"/>
        </w:rPr>
        <w:t>than precise</w:t>
      </w:r>
      <w:r>
        <w:rPr>
          <w:spacing w:val="-15"/>
          <w:sz w:val="18"/>
        </w:rPr>
        <w:t> </w:t>
      </w:r>
      <w:r>
        <w:rPr>
          <w:sz w:val="18"/>
        </w:rPr>
        <w:t>estimates.</w:t>
      </w:r>
      <w:r>
        <w:rPr>
          <w:spacing w:val="-14"/>
          <w:sz w:val="18"/>
        </w:rPr>
        <w:t> </w:t>
      </w:r>
      <w:r>
        <w:rPr>
          <w:sz w:val="18"/>
        </w:rPr>
        <w:t>The</w:t>
      </w:r>
      <w:r>
        <w:rPr>
          <w:spacing w:val="-15"/>
          <w:sz w:val="18"/>
        </w:rPr>
        <w:t> </w:t>
      </w:r>
      <w:r>
        <w:rPr>
          <w:sz w:val="18"/>
        </w:rPr>
        <w:t>impact</w:t>
      </w:r>
      <w:r>
        <w:rPr>
          <w:spacing w:val="-16"/>
          <w:sz w:val="18"/>
        </w:rPr>
        <w:t> </w:t>
      </w:r>
      <w:r>
        <w:rPr>
          <w:sz w:val="18"/>
        </w:rPr>
        <w:t>assessment</w:t>
      </w:r>
      <w:r>
        <w:rPr>
          <w:spacing w:val="-14"/>
          <w:sz w:val="18"/>
        </w:rPr>
        <w:t> </w:t>
      </w:r>
      <w:r>
        <w:rPr>
          <w:sz w:val="18"/>
        </w:rPr>
        <w:t>of</w:t>
      </w:r>
      <w:r>
        <w:rPr>
          <w:spacing w:val="-15"/>
          <w:sz w:val="18"/>
        </w:rPr>
        <w:t> </w:t>
      </w:r>
      <w:r>
        <w:rPr>
          <w:sz w:val="18"/>
        </w:rPr>
        <w:t>various</w:t>
      </w:r>
      <w:r>
        <w:rPr>
          <w:spacing w:val="-13"/>
          <w:sz w:val="18"/>
        </w:rPr>
        <w:t> </w:t>
      </w:r>
      <w:r>
        <w:rPr>
          <w:sz w:val="18"/>
        </w:rPr>
        <w:t>nexus</w:t>
      </w:r>
      <w:r>
        <w:rPr>
          <w:spacing w:val="-9"/>
          <w:sz w:val="18"/>
        </w:rPr>
        <w:t> </w:t>
      </w:r>
      <w:r>
        <w:rPr>
          <w:sz w:val="18"/>
        </w:rPr>
        <w:t>thresholds</w:t>
      </w:r>
      <w:r>
        <w:rPr>
          <w:spacing w:val="-13"/>
          <w:sz w:val="18"/>
        </w:rPr>
        <w:t> </w:t>
      </w:r>
      <w:r>
        <w:rPr>
          <w:sz w:val="18"/>
        </w:rPr>
        <w:t>is</w:t>
      </w:r>
      <w:r>
        <w:rPr>
          <w:spacing w:val="-16"/>
          <w:sz w:val="18"/>
        </w:rPr>
        <w:t> </w:t>
      </w:r>
      <w:r>
        <w:rPr>
          <w:sz w:val="18"/>
        </w:rPr>
        <w:t>contained</w:t>
      </w:r>
      <w:r>
        <w:rPr>
          <w:spacing w:val="-14"/>
          <w:sz w:val="18"/>
        </w:rPr>
        <w:t> </w:t>
      </w:r>
      <w:r>
        <w:rPr>
          <w:sz w:val="18"/>
        </w:rPr>
        <w:t>in</w:t>
      </w:r>
      <w:r>
        <w:rPr>
          <w:spacing w:val="-12"/>
          <w:sz w:val="18"/>
        </w:rPr>
        <w:t> </w:t>
      </w:r>
      <w:r>
        <w:rPr>
          <w:sz w:val="18"/>
        </w:rPr>
        <w:t>CTPA/CFA/WP2/NOE2(2020)5.</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demonstrate</w:t>
      </w:r>
      <w:r>
        <w:rPr>
          <w:spacing w:val="-9"/>
        </w:rPr>
        <w:t> </w:t>
      </w:r>
      <w:r>
        <w:rPr/>
        <w:t>a</w:t>
      </w:r>
      <w:r>
        <w:rPr>
          <w:spacing w:val="-6"/>
        </w:rPr>
        <w:t> </w:t>
      </w:r>
      <w:r>
        <w:rPr/>
        <w:t>nexus.</w:t>
      </w:r>
      <w:r>
        <w:rPr>
          <w:spacing w:val="-9"/>
        </w:rPr>
        <w:t> </w:t>
      </w:r>
      <w:r>
        <w:rPr/>
        <w:t>One</w:t>
      </w:r>
      <w:r>
        <w:rPr>
          <w:spacing w:val="-4"/>
        </w:rPr>
        <w:t> </w:t>
      </w:r>
      <w:r>
        <w:rPr/>
        <w:t>option</w:t>
      </w:r>
      <w:r>
        <w:rPr>
          <w:spacing w:val="-7"/>
        </w:rPr>
        <w:t> </w:t>
      </w:r>
      <w:r>
        <w:rPr/>
        <w:t>being</w:t>
      </w:r>
      <w:r>
        <w:rPr>
          <w:spacing w:val="-8"/>
        </w:rPr>
        <w:t> </w:t>
      </w:r>
      <w:r>
        <w:rPr/>
        <w:t>considered</w:t>
      </w:r>
      <w:r>
        <w:rPr>
          <w:spacing w:val="-4"/>
        </w:rPr>
        <w:t> </w:t>
      </w:r>
      <w:r>
        <w:rPr/>
        <w:t>is</w:t>
      </w:r>
      <w:r>
        <w:rPr>
          <w:spacing w:val="-8"/>
        </w:rPr>
        <w:t> </w:t>
      </w:r>
      <w:r>
        <w:rPr/>
        <w:t>that,</w:t>
      </w:r>
      <w:r>
        <w:rPr>
          <w:spacing w:val="-3"/>
        </w:rPr>
        <w:t> </w:t>
      </w:r>
      <w:r>
        <w:rPr/>
        <w:t>where</w:t>
      </w:r>
      <w:r>
        <w:rPr>
          <w:spacing w:val="-9"/>
        </w:rPr>
        <w:t> </w:t>
      </w:r>
      <w:r>
        <w:rPr/>
        <w:t>sales</w:t>
      </w:r>
      <w:r>
        <w:rPr>
          <w:spacing w:val="-5"/>
        </w:rPr>
        <w:t> </w:t>
      </w:r>
      <w:r>
        <w:rPr/>
        <w:t>in</w:t>
      </w:r>
      <w:r>
        <w:rPr>
          <w:spacing w:val="-7"/>
        </w:rPr>
        <w:t> </w:t>
      </w:r>
      <w:r>
        <w:rPr/>
        <w:t>a</w:t>
      </w:r>
      <w:r>
        <w:rPr>
          <w:spacing w:val="-6"/>
        </w:rPr>
        <w:t> </w:t>
      </w:r>
      <w:r>
        <w:rPr/>
        <w:t>market</w:t>
      </w:r>
      <w:r>
        <w:rPr>
          <w:spacing w:val="-9"/>
        </w:rPr>
        <w:t> </w:t>
      </w:r>
      <w:r>
        <w:rPr/>
        <w:t>have</w:t>
      </w:r>
      <w:r>
        <w:rPr>
          <w:spacing w:val="-6"/>
        </w:rPr>
        <w:t> </w:t>
      </w:r>
      <w:r>
        <w:rPr/>
        <w:t>passed</w:t>
      </w:r>
      <w:r>
        <w:rPr>
          <w:spacing w:val="-7"/>
        </w:rPr>
        <w:t> </w:t>
      </w:r>
      <w:r>
        <w:rPr/>
        <w:t>a</w:t>
      </w:r>
      <w:r>
        <w:rPr>
          <w:spacing w:val="-8"/>
        </w:rPr>
        <w:t> </w:t>
      </w:r>
      <w:r>
        <w:rPr/>
        <w:t>certain level, the MNE can be presumed to have an active engagement. In that case, plus factors would be deemed to exist. As explained later, for many groups there will be a level of sales over which they will in any event want to establish a local presence. The application of plus factors for small, developing economies may need to be considered with the level of the</w:t>
      </w:r>
      <w:r>
        <w:rPr>
          <w:spacing w:val="-14"/>
        </w:rPr>
        <w:t> </w:t>
      </w:r>
      <w:r>
        <w:rPr/>
        <w:t>thresholds.</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Several possible plus factors have been examined. They include having an existing physical presence in the form of a permanent establishment (PE) or the residence of a group entity; a physical presence that falls short of a PE; and the undertaking of material, targeted and sustained advertising and promotion (A&amp;P) activities that support in-scope sales into the market</w:t>
      </w:r>
      <w:r>
        <w:rPr>
          <w:spacing w:val="-13"/>
          <w:sz w:val="20"/>
        </w:rPr>
        <w:t> </w:t>
      </w:r>
      <w:r>
        <w:rPr>
          <w:sz w:val="20"/>
        </w:rPr>
        <w:t>jurisdiction.</w:t>
      </w:r>
    </w:p>
    <w:p>
      <w:pPr>
        <w:pStyle w:val="BodyText"/>
        <w:spacing w:before="3"/>
      </w:pPr>
    </w:p>
    <w:p>
      <w:pPr>
        <w:pStyle w:val="Heading7"/>
        <w:rPr>
          <w:i/>
        </w:rPr>
      </w:pPr>
      <w:bookmarkStart w:name="“Physical presence” test" w:id="97"/>
      <w:bookmarkEnd w:id="97"/>
      <w:r>
        <w:rPr>
          <w:i w:val="0"/>
        </w:rPr>
      </w:r>
      <w:r>
        <w:rPr>
          <w:i/>
          <w:color w:val="616161"/>
        </w:rPr>
        <w:t>“Physical presence” test</w:t>
      </w:r>
    </w:p>
    <w:p>
      <w:pPr>
        <w:pStyle w:val="ListParagraph"/>
        <w:numPr>
          <w:ilvl w:val="0"/>
          <w:numId w:val="13"/>
        </w:numPr>
        <w:tabs>
          <w:tab w:pos="1444" w:val="left" w:leader="none"/>
        </w:tabs>
        <w:spacing w:line="271" w:lineRule="auto" w:before="215" w:after="0"/>
        <w:ind w:left="723" w:right="482" w:firstLine="0"/>
        <w:jc w:val="both"/>
        <w:rPr>
          <w:sz w:val="20"/>
        </w:rPr>
      </w:pPr>
      <w:r>
        <w:rPr>
          <w:sz w:val="20"/>
        </w:rPr>
        <w:t>In the interest of simplicity, the likely indicator used would be just this one. A physical presence test in the form of a subsidiary or PE seems the simplest way to establish a nexus (beyond mere selling), particularly as the PE or resident entity will likely already have filing and reporting requirements in that jurisdiction.</w:t>
      </w:r>
      <w:r>
        <w:rPr>
          <w:spacing w:val="-8"/>
          <w:sz w:val="20"/>
        </w:rPr>
        <w:t> </w:t>
      </w:r>
      <w:r>
        <w:rPr>
          <w:sz w:val="20"/>
        </w:rPr>
        <w:t>In</w:t>
      </w:r>
      <w:r>
        <w:rPr>
          <w:spacing w:val="-7"/>
          <w:sz w:val="20"/>
        </w:rPr>
        <w:t> </w:t>
      </w:r>
      <w:r>
        <w:rPr>
          <w:sz w:val="20"/>
        </w:rPr>
        <w:t>other</w:t>
      </w:r>
      <w:r>
        <w:rPr>
          <w:spacing w:val="-4"/>
          <w:sz w:val="20"/>
        </w:rPr>
        <w:t> </w:t>
      </w:r>
      <w:r>
        <w:rPr>
          <w:sz w:val="20"/>
        </w:rPr>
        <w:t>words,</w:t>
      </w:r>
      <w:r>
        <w:rPr>
          <w:spacing w:val="-4"/>
          <w:sz w:val="20"/>
        </w:rPr>
        <w:t> </w:t>
      </w:r>
      <w:r>
        <w:rPr>
          <w:sz w:val="20"/>
        </w:rPr>
        <w:t>the</w:t>
      </w:r>
      <w:r>
        <w:rPr>
          <w:spacing w:val="-6"/>
          <w:sz w:val="20"/>
        </w:rPr>
        <w:t> </w:t>
      </w:r>
      <w:r>
        <w:rPr>
          <w:sz w:val="20"/>
        </w:rPr>
        <w:t>nexus</w:t>
      </w:r>
      <w:r>
        <w:rPr>
          <w:spacing w:val="-8"/>
          <w:sz w:val="20"/>
        </w:rPr>
        <w:t> </w:t>
      </w:r>
      <w:r>
        <w:rPr>
          <w:sz w:val="20"/>
        </w:rPr>
        <w:t>applicable</w:t>
      </w:r>
      <w:r>
        <w:rPr>
          <w:spacing w:val="-7"/>
          <w:sz w:val="20"/>
        </w:rPr>
        <w:t> </w:t>
      </w:r>
      <w:r>
        <w:rPr>
          <w:sz w:val="20"/>
        </w:rPr>
        <w:t>for</w:t>
      </w:r>
      <w:r>
        <w:rPr>
          <w:spacing w:val="-7"/>
          <w:sz w:val="20"/>
        </w:rPr>
        <w:t> </w:t>
      </w:r>
      <w:r>
        <w:rPr>
          <w:sz w:val="20"/>
        </w:rPr>
        <w:t>one</w:t>
      </w:r>
      <w:r>
        <w:rPr>
          <w:spacing w:val="-9"/>
          <w:sz w:val="20"/>
        </w:rPr>
        <w:t> </w:t>
      </w:r>
      <w:r>
        <w:rPr>
          <w:sz w:val="20"/>
        </w:rPr>
        <w:t>entity</w:t>
      </w:r>
      <w:r>
        <w:rPr>
          <w:spacing w:val="-11"/>
          <w:sz w:val="20"/>
        </w:rPr>
        <w:t> </w:t>
      </w:r>
      <w:r>
        <w:rPr>
          <w:sz w:val="20"/>
        </w:rPr>
        <w:t>(its</w:t>
      </w:r>
      <w:r>
        <w:rPr>
          <w:spacing w:val="-8"/>
          <w:sz w:val="20"/>
        </w:rPr>
        <w:t> </w:t>
      </w:r>
      <w:r>
        <w:rPr>
          <w:sz w:val="20"/>
        </w:rPr>
        <w:t>place</w:t>
      </w:r>
      <w:r>
        <w:rPr>
          <w:spacing w:val="-7"/>
          <w:sz w:val="20"/>
        </w:rPr>
        <w:t> </w:t>
      </w:r>
      <w:r>
        <w:rPr>
          <w:sz w:val="20"/>
        </w:rPr>
        <w:t>of</w:t>
      </w:r>
      <w:r>
        <w:rPr>
          <w:spacing w:val="-5"/>
          <w:sz w:val="20"/>
        </w:rPr>
        <w:t> </w:t>
      </w:r>
      <w:r>
        <w:rPr>
          <w:sz w:val="20"/>
        </w:rPr>
        <w:t>residence</w:t>
      </w:r>
      <w:r>
        <w:rPr>
          <w:spacing w:val="-8"/>
          <w:sz w:val="20"/>
        </w:rPr>
        <w:t> </w:t>
      </w:r>
      <w:r>
        <w:rPr>
          <w:sz w:val="20"/>
        </w:rPr>
        <w:t>or</w:t>
      </w:r>
      <w:r>
        <w:rPr>
          <w:spacing w:val="-8"/>
          <w:sz w:val="20"/>
        </w:rPr>
        <w:t> </w:t>
      </w:r>
      <w:r>
        <w:rPr>
          <w:sz w:val="20"/>
        </w:rPr>
        <w:t>having</w:t>
      </w:r>
      <w:r>
        <w:rPr>
          <w:spacing w:val="-8"/>
          <w:sz w:val="20"/>
        </w:rPr>
        <w:t> </w:t>
      </w:r>
      <w:r>
        <w:rPr>
          <w:sz w:val="20"/>
        </w:rPr>
        <w:t>a</w:t>
      </w:r>
      <w:r>
        <w:rPr>
          <w:spacing w:val="-7"/>
          <w:sz w:val="20"/>
        </w:rPr>
        <w:t> </w:t>
      </w:r>
      <w:r>
        <w:rPr>
          <w:sz w:val="20"/>
        </w:rPr>
        <w:t>local</w:t>
      </w:r>
      <w:r>
        <w:rPr>
          <w:spacing w:val="-6"/>
          <w:sz w:val="20"/>
        </w:rPr>
        <w:t> </w:t>
      </w:r>
      <w:r>
        <w:rPr>
          <w:sz w:val="20"/>
        </w:rPr>
        <w:t>PE) will apply to the whole</w:t>
      </w:r>
      <w:r>
        <w:rPr>
          <w:spacing w:val="-8"/>
          <w:sz w:val="20"/>
        </w:rPr>
        <w:t> </w:t>
      </w:r>
      <w:r>
        <w:rPr>
          <w:sz w:val="20"/>
        </w:rPr>
        <w:t>group.</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To</w:t>
      </w:r>
      <w:r>
        <w:rPr>
          <w:spacing w:val="-9"/>
          <w:sz w:val="20"/>
        </w:rPr>
        <w:t> </w:t>
      </w:r>
      <w:r>
        <w:rPr>
          <w:sz w:val="20"/>
        </w:rPr>
        <w:t>establish</w:t>
      </w:r>
      <w:r>
        <w:rPr>
          <w:spacing w:val="-6"/>
          <w:sz w:val="20"/>
        </w:rPr>
        <w:t> </w:t>
      </w:r>
      <w:r>
        <w:rPr>
          <w:sz w:val="20"/>
        </w:rPr>
        <w:t>an</w:t>
      </w:r>
      <w:r>
        <w:rPr>
          <w:spacing w:val="-9"/>
          <w:sz w:val="20"/>
        </w:rPr>
        <w:t> </w:t>
      </w:r>
      <w:r>
        <w:rPr>
          <w:sz w:val="20"/>
        </w:rPr>
        <w:t>“active</w:t>
      </w:r>
      <w:r>
        <w:rPr>
          <w:spacing w:val="-8"/>
          <w:sz w:val="20"/>
        </w:rPr>
        <w:t> </w:t>
      </w:r>
      <w:r>
        <w:rPr>
          <w:sz w:val="20"/>
        </w:rPr>
        <w:t>and</w:t>
      </w:r>
      <w:r>
        <w:rPr>
          <w:spacing w:val="-6"/>
          <w:sz w:val="20"/>
        </w:rPr>
        <w:t> </w:t>
      </w:r>
      <w:r>
        <w:rPr>
          <w:sz w:val="20"/>
        </w:rPr>
        <w:t>sustained</w:t>
      </w:r>
      <w:r>
        <w:rPr>
          <w:spacing w:val="-7"/>
          <w:sz w:val="20"/>
        </w:rPr>
        <w:t> </w:t>
      </w:r>
      <w:r>
        <w:rPr>
          <w:sz w:val="20"/>
        </w:rPr>
        <w:t>physical</w:t>
      </w:r>
      <w:r>
        <w:rPr>
          <w:spacing w:val="-8"/>
          <w:sz w:val="20"/>
        </w:rPr>
        <w:t> </w:t>
      </w:r>
      <w:r>
        <w:rPr>
          <w:sz w:val="20"/>
        </w:rPr>
        <w:t>presence”,</w:t>
      </w:r>
      <w:r>
        <w:rPr>
          <w:spacing w:val="-7"/>
          <w:sz w:val="20"/>
        </w:rPr>
        <w:t> </w:t>
      </w:r>
      <w:r>
        <w:rPr>
          <w:sz w:val="20"/>
        </w:rPr>
        <w:t>there</w:t>
      </w:r>
      <w:r>
        <w:rPr>
          <w:spacing w:val="-5"/>
          <w:sz w:val="20"/>
        </w:rPr>
        <w:t> </w:t>
      </w:r>
      <w:r>
        <w:rPr>
          <w:sz w:val="20"/>
        </w:rPr>
        <w:t>could</w:t>
      </w:r>
      <w:r>
        <w:rPr>
          <w:spacing w:val="-8"/>
          <w:sz w:val="20"/>
        </w:rPr>
        <w:t> </w:t>
      </w:r>
      <w:r>
        <w:rPr>
          <w:sz w:val="20"/>
        </w:rPr>
        <w:t>be</w:t>
      </w:r>
      <w:r>
        <w:rPr>
          <w:spacing w:val="-9"/>
          <w:sz w:val="20"/>
        </w:rPr>
        <w:t> </w:t>
      </w:r>
      <w:r>
        <w:rPr>
          <w:sz w:val="20"/>
        </w:rPr>
        <w:t>a</w:t>
      </w:r>
      <w:r>
        <w:rPr>
          <w:spacing w:val="-8"/>
          <w:sz w:val="20"/>
        </w:rPr>
        <w:t> </w:t>
      </w:r>
      <w:r>
        <w:rPr>
          <w:sz w:val="20"/>
        </w:rPr>
        <w:t>requirement</w:t>
      </w:r>
      <w:r>
        <w:rPr>
          <w:spacing w:val="-8"/>
          <w:sz w:val="20"/>
        </w:rPr>
        <w:t> </w:t>
      </w:r>
      <w:r>
        <w:rPr>
          <w:sz w:val="20"/>
        </w:rPr>
        <w:t>in</w:t>
      </w:r>
      <w:r>
        <w:rPr>
          <w:spacing w:val="-9"/>
          <w:sz w:val="20"/>
        </w:rPr>
        <w:t> </w:t>
      </w:r>
      <w:r>
        <w:rPr>
          <w:sz w:val="20"/>
        </w:rPr>
        <w:t>this</w:t>
      </w:r>
      <w:r>
        <w:rPr>
          <w:spacing w:val="-7"/>
          <w:sz w:val="20"/>
        </w:rPr>
        <w:t> </w:t>
      </w:r>
      <w:r>
        <w:rPr>
          <w:sz w:val="20"/>
        </w:rPr>
        <w:t>test that</w:t>
      </w:r>
      <w:r>
        <w:rPr>
          <w:spacing w:val="-4"/>
          <w:sz w:val="20"/>
        </w:rPr>
        <w:t> </w:t>
      </w:r>
      <w:r>
        <w:rPr>
          <w:sz w:val="20"/>
        </w:rPr>
        <w:t>the</w:t>
      </w:r>
      <w:r>
        <w:rPr>
          <w:spacing w:val="-4"/>
          <w:sz w:val="20"/>
        </w:rPr>
        <w:t> </w:t>
      </w:r>
      <w:r>
        <w:rPr>
          <w:sz w:val="20"/>
        </w:rPr>
        <w:t>activities</w:t>
      </w:r>
      <w:r>
        <w:rPr>
          <w:spacing w:val="-6"/>
          <w:sz w:val="20"/>
        </w:rPr>
        <w:t> </w:t>
      </w:r>
      <w:r>
        <w:rPr>
          <w:sz w:val="20"/>
        </w:rPr>
        <w:t>carried</w:t>
      </w:r>
      <w:r>
        <w:rPr>
          <w:spacing w:val="-5"/>
          <w:sz w:val="20"/>
        </w:rPr>
        <w:t> </w:t>
      </w:r>
      <w:r>
        <w:rPr>
          <w:sz w:val="20"/>
        </w:rPr>
        <w:t>out</w:t>
      </w:r>
      <w:r>
        <w:rPr>
          <w:spacing w:val="-6"/>
          <w:sz w:val="20"/>
        </w:rPr>
        <w:t> </w:t>
      </w:r>
      <w:r>
        <w:rPr>
          <w:sz w:val="20"/>
        </w:rPr>
        <w:t>are</w:t>
      </w:r>
      <w:r>
        <w:rPr>
          <w:spacing w:val="-1"/>
          <w:sz w:val="20"/>
        </w:rPr>
        <w:t> </w:t>
      </w:r>
      <w:r>
        <w:rPr>
          <w:sz w:val="20"/>
        </w:rPr>
        <w:t>connected</w:t>
      </w:r>
      <w:r>
        <w:rPr>
          <w:spacing w:val="-5"/>
          <w:sz w:val="20"/>
        </w:rPr>
        <w:t> </w:t>
      </w:r>
      <w:r>
        <w:rPr>
          <w:sz w:val="20"/>
        </w:rPr>
        <w:t>to</w:t>
      </w:r>
      <w:r>
        <w:rPr>
          <w:spacing w:val="-3"/>
          <w:sz w:val="20"/>
        </w:rPr>
        <w:t> </w:t>
      </w:r>
      <w:r>
        <w:rPr>
          <w:sz w:val="20"/>
        </w:rPr>
        <w:t>in-scope</w:t>
      </w:r>
      <w:r>
        <w:rPr>
          <w:spacing w:val="-5"/>
          <w:sz w:val="20"/>
        </w:rPr>
        <w:t> </w:t>
      </w:r>
      <w:r>
        <w:rPr>
          <w:sz w:val="20"/>
        </w:rPr>
        <w:t>revenues.</w:t>
      </w:r>
      <w:r>
        <w:rPr>
          <w:spacing w:val="-6"/>
          <w:sz w:val="20"/>
        </w:rPr>
        <w:t> </w:t>
      </w:r>
      <w:r>
        <w:rPr>
          <w:sz w:val="20"/>
        </w:rPr>
        <w:t>This</w:t>
      </w:r>
      <w:r>
        <w:rPr>
          <w:spacing w:val="-5"/>
          <w:sz w:val="20"/>
        </w:rPr>
        <w:t> </w:t>
      </w:r>
      <w:r>
        <w:rPr>
          <w:sz w:val="20"/>
        </w:rPr>
        <w:t>requirement</w:t>
      </w:r>
      <w:r>
        <w:rPr>
          <w:spacing w:val="-2"/>
          <w:sz w:val="20"/>
        </w:rPr>
        <w:t> </w:t>
      </w:r>
      <w:r>
        <w:rPr>
          <w:sz w:val="20"/>
        </w:rPr>
        <w:t>could</w:t>
      </w:r>
      <w:r>
        <w:rPr>
          <w:spacing w:val="-3"/>
          <w:sz w:val="20"/>
        </w:rPr>
        <w:t> </w:t>
      </w:r>
      <w:r>
        <w:rPr>
          <w:sz w:val="20"/>
        </w:rPr>
        <w:t>include</w:t>
      </w:r>
      <w:r>
        <w:rPr>
          <w:spacing w:val="-4"/>
          <w:sz w:val="20"/>
        </w:rPr>
        <w:t> </w:t>
      </w:r>
      <w:r>
        <w:rPr>
          <w:sz w:val="20"/>
        </w:rPr>
        <w:t>not</w:t>
      </w:r>
      <w:r>
        <w:rPr>
          <w:spacing w:val="-4"/>
          <w:sz w:val="20"/>
        </w:rPr>
        <w:t> </w:t>
      </w:r>
      <w:r>
        <w:rPr>
          <w:sz w:val="20"/>
        </w:rPr>
        <w:t>only distribution activities but also activities directly supporting sales into the market, e.g. facilitating billing and payment in the local currency, collecting indirect taxes and duties, transportation, maintenance of local stock, cross border delivery, after-sales support, repair and maintenance, advertising and promoting and adapting</w:t>
      </w:r>
      <w:r>
        <w:rPr>
          <w:spacing w:val="-13"/>
          <w:sz w:val="20"/>
        </w:rPr>
        <w:t> </w:t>
      </w:r>
      <w:r>
        <w:rPr>
          <w:sz w:val="20"/>
        </w:rPr>
        <w:t>product</w:t>
      </w:r>
      <w:r>
        <w:rPr>
          <w:spacing w:val="-11"/>
          <w:sz w:val="20"/>
        </w:rPr>
        <w:t> </w:t>
      </w:r>
      <w:r>
        <w:rPr>
          <w:sz w:val="20"/>
        </w:rPr>
        <w:t>or</w:t>
      </w:r>
      <w:r>
        <w:rPr>
          <w:spacing w:val="-11"/>
          <w:sz w:val="20"/>
        </w:rPr>
        <w:t> </w:t>
      </w:r>
      <w:r>
        <w:rPr>
          <w:sz w:val="20"/>
        </w:rPr>
        <w:t>services</w:t>
      </w:r>
      <w:r>
        <w:rPr>
          <w:spacing w:val="-12"/>
          <w:sz w:val="20"/>
        </w:rPr>
        <w:t> </w:t>
      </w:r>
      <w:r>
        <w:rPr>
          <w:sz w:val="20"/>
        </w:rPr>
        <w:t>to</w:t>
      </w:r>
      <w:r>
        <w:rPr>
          <w:spacing w:val="-14"/>
          <w:sz w:val="20"/>
        </w:rPr>
        <w:t> </w:t>
      </w:r>
      <w:r>
        <w:rPr>
          <w:sz w:val="20"/>
        </w:rPr>
        <w:t>the</w:t>
      </w:r>
      <w:r>
        <w:rPr>
          <w:spacing w:val="-13"/>
          <w:sz w:val="20"/>
        </w:rPr>
        <w:t> </w:t>
      </w:r>
      <w:r>
        <w:rPr>
          <w:sz w:val="20"/>
        </w:rPr>
        <w:t>particular</w:t>
      </w:r>
      <w:r>
        <w:rPr>
          <w:spacing w:val="-13"/>
          <w:sz w:val="20"/>
        </w:rPr>
        <w:t> </w:t>
      </w:r>
      <w:r>
        <w:rPr>
          <w:sz w:val="20"/>
        </w:rPr>
        <w:t>market.</w:t>
      </w:r>
      <w:r>
        <w:rPr>
          <w:spacing w:val="-9"/>
          <w:sz w:val="20"/>
        </w:rPr>
        <w:t> </w:t>
      </w:r>
      <w:r>
        <w:rPr>
          <w:sz w:val="20"/>
        </w:rPr>
        <w:t>Activities</w:t>
      </w:r>
      <w:r>
        <w:rPr>
          <w:spacing w:val="-10"/>
          <w:sz w:val="20"/>
        </w:rPr>
        <w:t> </w:t>
      </w:r>
      <w:r>
        <w:rPr>
          <w:sz w:val="20"/>
        </w:rPr>
        <w:t>without</w:t>
      </w:r>
      <w:r>
        <w:rPr>
          <w:spacing w:val="-13"/>
          <w:sz w:val="20"/>
        </w:rPr>
        <w:t> </w:t>
      </w:r>
      <w:r>
        <w:rPr>
          <w:sz w:val="20"/>
        </w:rPr>
        <w:t>a</w:t>
      </w:r>
      <w:r>
        <w:rPr>
          <w:spacing w:val="-14"/>
          <w:sz w:val="20"/>
        </w:rPr>
        <w:t> </w:t>
      </w:r>
      <w:r>
        <w:rPr>
          <w:sz w:val="20"/>
        </w:rPr>
        <w:t>sufficient</w:t>
      </w:r>
      <w:r>
        <w:rPr>
          <w:spacing w:val="-9"/>
          <w:sz w:val="20"/>
        </w:rPr>
        <w:t> </w:t>
      </w:r>
      <w:r>
        <w:rPr>
          <w:sz w:val="20"/>
        </w:rPr>
        <w:t>connection</w:t>
      </w:r>
      <w:r>
        <w:rPr>
          <w:spacing w:val="-12"/>
          <w:sz w:val="20"/>
        </w:rPr>
        <w:t> </w:t>
      </w:r>
      <w:r>
        <w:rPr>
          <w:sz w:val="20"/>
        </w:rPr>
        <w:t>to</w:t>
      </w:r>
      <w:r>
        <w:rPr>
          <w:spacing w:val="-12"/>
          <w:sz w:val="20"/>
        </w:rPr>
        <w:t> </w:t>
      </w:r>
      <w:r>
        <w:rPr>
          <w:sz w:val="20"/>
        </w:rPr>
        <w:t>sales,</w:t>
      </w:r>
      <w:r>
        <w:rPr>
          <w:spacing w:val="-15"/>
          <w:sz w:val="20"/>
        </w:rPr>
        <w:t> </w:t>
      </w:r>
      <w:r>
        <w:rPr>
          <w:sz w:val="20"/>
        </w:rPr>
        <w:t>and which</w:t>
      </w:r>
      <w:r>
        <w:rPr>
          <w:spacing w:val="-4"/>
          <w:sz w:val="20"/>
        </w:rPr>
        <w:t> </w:t>
      </w:r>
      <w:r>
        <w:rPr>
          <w:sz w:val="20"/>
        </w:rPr>
        <w:t>would</w:t>
      </w:r>
      <w:r>
        <w:rPr>
          <w:spacing w:val="-5"/>
          <w:sz w:val="20"/>
        </w:rPr>
        <w:t> </w:t>
      </w:r>
      <w:r>
        <w:rPr>
          <w:sz w:val="20"/>
        </w:rPr>
        <w:t>therefore</w:t>
      </w:r>
      <w:r>
        <w:rPr>
          <w:spacing w:val="-5"/>
          <w:sz w:val="20"/>
        </w:rPr>
        <w:t> </w:t>
      </w:r>
      <w:r>
        <w:rPr>
          <w:sz w:val="20"/>
        </w:rPr>
        <w:t>not</w:t>
      </w:r>
      <w:r>
        <w:rPr>
          <w:spacing w:val="-5"/>
          <w:sz w:val="20"/>
        </w:rPr>
        <w:t> </w:t>
      </w:r>
      <w:r>
        <w:rPr>
          <w:sz w:val="20"/>
        </w:rPr>
        <w:t>constitute</w:t>
      </w:r>
      <w:r>
        <w:rPr>
          <w:spacing w:val="-6"/>
          <w:sz w:val="20"/>
        </w:rPr>
        <w:t> </w:t>
      </w:r>
      <w:r>
        <w:rPr>
          <w:sz w:val="20"/>
        </w:rPr>
        <w:t>the</w:t>
      </w:r>
      <w:r>
        <w:rPr>
          <w:spacing w:val="-6"/>
          <w:sz w:val="20"/>
        </w:rPr>
        <w:t> </w:t>
      </w:r>
      <w:r>
        <w:rPr>
          <w:sz w:val="20"/>
        </w:rPr>
        <w:t>sustained</w:t>
      </w:r>
      <w:r>
        <w:rPr>
          <w:spacing w:val="-5"/>
          <w:sz w:val="20"/>
        </w:rPr>
        <w:t> </w:t>
      </w:r>
      <w:r>
        <w:rPr>
          <w:sz w:val="20"/>
        </w:rPr>
        <w:t>physical</w:t>
      </w:r>
      <w:r>
        <w:rPr>
          <w:spacing w:val="-6"/>
          <w:sz w:val="20"/>
        </w:rPr>
        <w:t> </w:t>
      </w:r>
      <w:r>
        <w:rPr>
          <w:sz w:val="20"/>
        </w:rPr>
        <w:t>presence</w:t>
      </w:r>
      <w:r>
        <w:rPr>
          <w:spacing w:val="-5"/>
          <w:sz w:val="20"/>
        </w:rPr>
        <w:t> </w:t>
      </w:r>
      <w:r>
        <w:rPr>
          <w:sz w:val="20"/>
        </w:rPr>
        <w:t>envisaged</w:t>
      </w:r>
      <w:r>
        <w:rPr>
          <w:spacing w:val="-5"/>
          <w:sz w:val="20"/>
        </w:rPr>
        <w:t> </w:t>
      </w:r>
      <w:r>
        <w:rPr>
          <w:sz w:val="20"/>
        </w:rPr>
        <w:t>in</w:t>
      </w:r>
      <w:r>
        <w:rPr>
          <w:spacing w:val="-6"/>
          <w:sz w:val="20"/>
        </w:rPr>
        <w:t> </w:t>
      </w:r>
      <w:r>
        <w:rPr>
          <w:sz w:val="20"/>
        </w:rPr>
        <w:t>the</w:t>
      </w:r>
      <w:r>
        <w:rPr>
          <w:spacing w:val="-6"/>
          <w:sz w:val="20"/>
        </w:rPr>
        <w:t> </w:t>
      </w:r>
      <w:r>
        <w:rPr>
          <w:sz w:val="20"/>
        </w:rPr>
        <w:t>test,</w:t>
      </w:r>
      <w:r>
        <w:rPr>
          <w:spacing w:val="-8"/>
          <w:sz w:val="20"/>
        </w:rPr>
        <w:t> </w:t>
      </w:r>
      <w:r>
        <w:rPr>
          <w:sz w:val="20"/>
        </w:rPr>
        <w:t>could</w:t>
      </w:r>
      <w:r>
        <w:rPr>
          <w:spacing w:val="-6"/>
          <w:sz w:val="20"/>
        </w:rPr>
        <w:t> </w:t>
      </w:r>
      <w:r>
        <w:rPr>
          <w:sz w:val="20"/>
        </w:rPr>
        <w:t>include, for example, research and development functions. However, further technical work will be undertaken to define the nature of such a</w:t>
      </w:r>
      <w:r>
        <w:rPr>
          <w:spacing w:val="-3"/>
          <w:sz w:val="20"/>
        </w:rPr>
        <w:t> </w:t>
      </w:r>
      <w:r>
        <w:rPr>
          <w:sz w:val="20"/>
        </w:rPr>
        <w:t>connection.</w:t>
      </w:r>
    </w:p>
    <w:p>
      <w:pPr>
        <w:pStyle w:val="ListParagraph"/>
        <w:numPr>
          <w:ilvl w:val="0"/>
          <w:numId w:val="13"/>
        </w:numPr>
        <w:tabs>
          <w:tab w:pos="1444" w:val="left" w:leader="none"/>
        </w:tabs>
        <w:spacing w:line="271" w:lineRule="auto" w:before="121" w:after="0"/>
        <w:ind w:left="723" w:right="478" w:firstLine="0"/>
        <w:jc w:val="both"/>
        <w:rPr>
          <w:sz w:val="20"/>
        </w:rPr>
      </w:pPr>
      <w:r>
        <w:rPr>
          <w:sz w:val="20"/>
        </w:rPr>
        <w:t>In more detail, the group-PE test will be met if any entity in the group has a PE in the market (as defined under a standalone definition explained below). It will also be met if a group entity is resident in the jurisdiction. In both cases, the local activities must be connected with the tested sales. An entity established with a view to aiding the group’s future expansion would not trigger the nexus test if, for example, it had no premises and no</w:t>
      </w:r>
      <w:r>
        <w:rPr>
          <w:spacing w:val="-7"/>
          <w:sz w:val="20"/>
        </w:rPr>
        <w:t> </w:t>
      </w:r>
      <w:r>
        <w:rPr>
          <w:sz w:val="20"/>
        </w:rPr>
        <w:t>employees.</w:t>
      </w:r>
    </w:p>
    <w:p>
      <w:pPr>
        <w:pStyle w:val="ListParagraph"/>
        <w:numPr>
          <w:ilvl w:val="0"/>
          <w:numId w:val="13"/>
        </w:numPr>
        <w:tabs>
          <w:tab w:pos="1444" w:val="left" w:leader="none"/>
        </w:tabs>
        <w:spacing w:line="271" w:lineRule="auto" w:before="121" w:after="0"/>
        <w:ind w:left="723" w:right="488" w:firstLine="0"/>
        <w:jc w:val="both"/>
        <w:rPr>
          <w:sz w:val="20"/>
        </w:rPr>
      </w:pPr>
      <w:r>
        <w:rPr>
          <w:sz w:val="20"/>
        </w:rPr>
        <w:t>The question is then how to assess whether a group-PE exists. This is an issue because several treaties with different PE definitions may be in play (or there may be no treaty at</w:t>
      </w:r>
      <w:r>
        <w:rPr>
          <w:spacing w:val="-20"/>
          <w:sz w:val="20"/>
        </w:rPr>
        <w:t> </w:t>
      </w:r>
      <w:r>
        <w:rPr>
          <w:sz w:val="20"/>
        </w:rPr>
        <w:t>all).</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One possibility is to take the PE definition in any tax treaty that exists between the state of residence</w:t>
      </w:r>
      <w:r>
        <w:rPr>
          <w:spacing w:val="-5"/>
          <w:sz w:val="20"/>
        </w:rPr>
        <w:t> </w:t>
      </w:r>
      <w:r>
        <w:rPr>
          <w:sz w:val="20"/>
        </w:rPr>
        <w:t>of</w:t>
      </w:r>
      <w:r>
        <w:rPr>
          <w:spacing w:val="-5"/>
          <w:sz w:val="20"/>
        </w:rPr>
        <w:t> </w:t>
      </w:r>
      <w:r>
        <w:rPr>
          <w:sz w:val="20"/>
        </w:rPr>
        <w:t>a</w:t>
      </w:r>
      <w:r>
        <w:rPr>
          <w:spacing w:val="-4"/>
          <w:sz w:val="20"/>
        </w:rPr>
        <w:t> </w:t>
      </w:r>
      <w:r>
        <w:rPr>
          <w:sz w:val="20"/>
        </w:rPr>
        <w:t>group</w:t>
      </w:r>
      <w:r>
        <w:rPr>
          <w:spacing w:val="-4"/>
          <w:sz w:val="20"/>
        </w:rPr>
        <w:t> </w:t>
      </w:r>
      <w:r>
        <w:rPr>
          <w:sz w:val="20"/>
        </w:rPr>
        <w:t>entity</w:t>
      </w:r>
      <w:r>
        <w:rPr>
          <w:spacing w:val="-5"/>
          <w:sz w:val="20"/>
        </w:rPr>
        <w:t> </w:t>
      </w:r>
      <w:r>
        <w:rPr>
          <w:sz w:val="20"/>
        </w:rPr>
        <w:t>and</w:t>
      </w:r>
      <w:r>
        <w:rPr>
          <w:spacing w:val="-4"/>
          <w:sz w:val="20"/>
        </w:rPr>
        <w:t> </w:t>
      </w:r>
      <w:r>
        <w:rPr>
          <w:sz w:val="20"/>
        </w:rPr>
        <w:t>the</w:t>
      </w:r>
      <w:r>
        <w:rPr>
          <w:spacing w:val="-5"/>
          <w:sz w:val="20"/>
        </w:rPr>
        <w:t> </w:t>
      </w:r>
      <w:r>
        <w:rPr>
          <w:sz w:val="20"/>
        </w:rPr>
        <w:t>market</w:t>
      </w:r>
      <w:r>
        <w:rPr>
          <w:spacing w:val="-6"/>
          <w:sz w:val="20"/>
        </w:rPr>
        <w:t> </w:t>
      </w:r>
      <w:r>
        <w:rPr>
          <w:sz w:val="20"/>
        </w:rPr>
        <w:t>jurisdiction</w:t>
      </w:r>
      <w:r>
        <w:rPr>
          <w:spacing w:val="-2"/>
          <w:sz w:val="20"/>
        </w:rPr>
        <w:t> </w:t>
      </w:r>
      <w:r>
        <w:rPr>
          <w:sz w:val="20"/>
        </w:rPr>
        <w:t>that</w:t>
      </w:r>
      <w:r>
        <w:rPr>
          <w:spacing w:val="-4"/>
          <w:sz w:val="20"/>
        </w:rPr>
        <w:t> </w:t>
      </w:r>
      <w:r>
        <w:rPr>
          <w:sz w:val="20"/>
        </w:rPr>
        <w:t>has</w:t>
      </w:r>
      <w:r>
        <w:rPr>
          <w:spacing w:val="-5"/>
          <w:sz w:val="20"/>
        </w:rPr>
        <w:t> </w:t>
      </w:r>
      <w:r>
        <w:rPr>
          <w:sz w:val="20"/>
        </w:rPr>
        <w:t>triggered</w:t>
      </w:r>
      <w:r>
        <w:rPr>
          <w:spacing w:val="-4"/>
          <w:sz w:val="20"/>
        </w:rPr>
        <w:t> </w:t>
      </w:r>
      <w:r>
        <w:rPr>
          <w:sz w:val="20"/>
        </w:rPr>
        <w:t>the</w:t>
      </w:r>
      <w:r>
        <w:rPr>
          <w:spacing w:val="-5"/>
          <w:sz w:val="20"/>
        </w:rPr>
        <w:t> </w:t>
      </w:r>
      <w:r>
        <w:rPr>
          <w:sz w:val="20"/>
        </w:rPr>
        <w:t>existence</w:t>
      </w:r>
      <w:r>
        <w:rPr>
          <w:spacing w:val="-6"/>
          <w:sz w:val="20"/>
        </w:rPr>
        <w:t> </w:t>
      </w:r>
      <w:r>
        <w:rPr>
          <w:sz w:val="20"/>
        </w:rPr>
        <w:t>of</w:t>
      </w:r>
      <w:r>
        <w:rPr>
          <w:spacing w:val="-5"/>
          <w:sz w:val="20"/>
        </w:rPr>
        <w:t> </w:t>
      </w:r>
      <w:r>
        <w:rPr>
          <w:sz w:val="20"/>
        </w:rPr>
        <w:t>a</w:t>
      </w:r>
      <w:r>
        <w:rPr>
          <w:spacing w:val="-4"/>
          <w:sz w:val="20"/>
        </w:rPr>
        <w:t> </w:t>
      </w:r>
      <w:r>
        <w:rPr>
          <w:sz w:val="20"/>
        </w:rPr>
        <w:t>PE</w:t>
      </w:r>
      <w:r>
        <w:rPr>
          <w:spacing w:val="-4"/>
          <w:sz w:val="20"/>
        </w:rPr>
        <w:t> </w:t>
      </w:r>
      <w:r>
        <w:rPr>
          <w:sz w:val="20"/>
        </w:rPr>
        <w:t>in</w:t>
      </w:r>
      <w:r>
        <w:rPr>
          <w:spacing w:val="-5"/>
          <w:sz w:val="20"/>
        </w:rPr>
        <w:t> </w:t>
      </w:r>
      <w:r>
        <w:rPr>
          <w:sz w:val="20"/>
        </w:rPr>
        <w:t>practice, provided the PE is connected to in-scope revenues. But this option could lead to issues of fairness and risk of</w:t>
      </w:r>
      <w:r>
        <w:rPr>
          <w:spacing w:val="3"/>
          <w:sz w:val="20"/>
        </w:rPr>
        <w:t> </w:t>
      </w:r>
      <w:r>
        <w:rPr>
          <w:sz w:val="20"/>
        </w:rPr>
        <w:t>distortions:</w:t>
      </w:r>
    </w:p>
    <w:p>
      <w:pPr>
        <w:pStyle w:val="ListParagraph"/>
        <w:numPr>
          <w:ilvl w:val="1"/>
          <w:numId w:val="13"/>
        </w:numPr>
        <w:tabs>
          <w:tab w:pos="1403" w:val="left" w:leader="none"/>
        </w:tabs>
        <w:spacing w:line="268" w:lineRule="auto" w:before="102" w:after="0"/>
        <w:ind w:left="1402" w:right="488" w:hanging="339"/>
        <w:jc w:val="both"/>
        <w:rPr>
          <w:sz w:val="20"/>
        </w:rPr>
      </w:pPr>
      <w:r>
        <w:rPr>
          <w:sz w:val="20"/>
        </w:rPr>
        <w:t>Where</w:t>
      </w:r>
      <w:r>
        <w:rPr>
          <w:spacing w:val="-18"/>
          <w:sz w:val="20"/>
        </w:rPr>
        <w:t> </w:t>
      </w:r>
      <w:r>
        <w:rPr>
          <w:sz w:val="20"/>
        </w:rPr>
        <w:t>there</w:t>
      </w:r>
      <w:r>
        <w:rPr>
          <w:spacing w:val="-15"/>
          <w:sz w:val="20"/>
        </w:rPr>
        <w:t> </w:t>
      </w:r>
      <w:r>
        <w:rPr>
          <w:sz w:val="20"/>
        </w:rPr>
        <w:t>is</w:t>
      </w:r>
      <w:r>
        <w:rPr>
          <w:spacing w:val="-17"/>
          <w:sz w:val="20"/>
        </w:rPr>
        <w:t> </w:t>
      </w:r>
      <w:r>
        <w:rPr>
          <w:sz w:val="20"/>
        </w:rPr>
        <w:t>no</w:t>
      </w:r>
      <w:r>
        <w:rPr>
          <w:spacing w:val="-16"/>
          <w:sz w:val="20"/>
        </w:rPr>
        <w:t> </w:t>
      </w:r>
      <w:r>
        <w:rPr>
          <w:sz w:val="20"/>
        </w:rPr>
        <w:t>applicable</w:t>
      </w:r>
      <w:r>
        <w:rPr>
          <w:spacing w:val="-18"/>
          <w:sz w:val="20"/>
        </w:rPr>
        <w:t> </w:t>
      </w:r>
      <w:r>
        <w:rPr>
          <w:sz w:val="20"/>
        </w:rPr>
        <w:t>tax</w:t>
      </w:r>
      <w:r>
        <w:rPr>
          <w:spacing w:val="-14"/>
          <w:sz w:val="20"/>
        </w:rPr>
        <w:t> </w:t>
      </w:r>
      <w:r>
        <w:rPr>
          <w:sz w:val="20"/>
        </w:rPr>
        <w:t>treaty,</w:t>
      </w:r>
      <w:r>
        <w:rPr>
          <w:spacing w:val="-16"/>
          <w:sz w:val="20"/>
        </w:rPr>
        <w:t> </w:t>
      </w:r>
      <w:r>
        <w:rPr>
          <w:sz w:val="20"/>
        </w:rPr>
        <w:t>and</w:t>
      </w:r>
      <w:r>
        <w:rPr>
          <w:spacing w:val="-18"/>
          <w:sz w:val="20"/>
        </w:rPr>
        <w:t> </w:t>
      </w:r>
      <w:r>
        <w:rPr>
          <w:sz w:val="20"/>
        </w:rPr>
        <w:t>the</w:t>
      </w:r>
      <w:r>
        <w:rPr>
          <w:spacing w:val="-17"/>
          <w:sz w:val="20"/>
        </w:rPr>
        <w:t> </w:t>
      </w:r>
      <w:r>
        <w:rPr>
          <w:sz w:val="20"/>
        </w:rPr>
        <w:t>fall-back</w:t>
      </w:r>
      <w:r>
        <w:rPr>
          <w:spacing w:val="-15"/>
          <w:sz w:val="20"/>
        </w:rPr>
        <w:t> </w:t>
      </w:r>
      <w:r>
        <w:rPr>
          <w:sz w:val="20"/>
        </w:rPr>
        <w:t>is</w:t>
      </w:r>
      <w:r>
        <w:rPr>
          <w:spacing w:val="-16"/>
          <w:sz w:val="20"/>
        </w:rPr>
        <w:t> </w:t>
      </w:r>
      <w:r>
        <w:rPr>
          <w:sz w:val="20"/>
        </w:rPr>
        <w:t>the</w:t>
      </w:r>
      <w:r>
        <w:rPr>
          <w:spacing w:val="-16"/>
          <w:sz w:val="20"/>
        </w:rPr>
        <w:t> </w:t>
      </w:r>
      <w:r>
        <w:rPr>
          <w:sz w:val="20"/>
        </w:rPr>
        <w:t>domestic</w:t>
      </w:r>
      <w:r>
        <w:rPr>
          <w:spacing w:val="-17"/>
          <w:sz w:val="20"/>
        </w:rPr>
        <w:t> </w:t>
      </w:r>
      <w:r>
        <w:rPr>
          <w:sz w:val="20"/>
        </w:rPr>
        <w:t>law</w:t>
      </w:r>
      <w:r>
        <w:rPr>
          <w:spacing w:val="-17"/>
          <w:sz w:val="20"/>
        </w:rPr>
        <w:t> </w:t>
      </w:r>
      <w:r>
        <w:rPr>
          <w:sz w:val="20"/>
        </w:rPr>
        <w:t>of</w:t>
      </w:r>
      <w:r>
        <w:rPr>
          <w:spacing w:val="-17"/>
          <w:sz w:val="20"/>
        </w:rPr>
        <w:t> </w:t>
      </w:r>
      <w:r>
        <w:rPr>
          <w:sz w:val="20"/>
        </w:rPr>
        <w:t>a</w:t>
      </w:r>
      <w:r>
        <w:rPr>
          <w:spacing w:val="-15"/>
          <w:sz w:val="20"/>
        </w:rPr>
        <w:t> </w:t>
      </w:r>
      <w:r>
        <w:rPr>
          <w:sz w:val="20"/>
        </w:rPr>
        <w:t>market</w:t>
      </w:r>
      <w:r>
        <w:rPr>
          <w:spacing w:val="-19"/>
          <w:sz w:val="20"/>
        </w:rPr>
        <w:t> </w:t>
      </w:r>
      <w:r>
        <w:rPr>
          <w:sz w:val="20"/>
        </w:rPr>
        <w:t>jurisdiction, an MNE could have a taxable presence from merely selling services, and perhaps even goods, into that</w:t>
      </w:r>
      <w:r>
        <w:rPr>
          <w:spacing w:val="-1"/>
          <w:sz w:val="20"/>
        </w:rPr>
        <w:t> </w:t>
      </w:r>
      <w:r>
        <w:rPr>
          <w:sz w:val="20"/>
        </w:rPr>
        <w:t>market.</w:t>
      </w:r>
    </w:p>
    <w:p>
      <w:pPr>
        <w:pStyle w:val="ListParagraph"/>
        <w:numPr>
          <w:ilvl w:val="1"/>
          <w:numId w:val="13"/>
        </w:numPr>
        <w:tabs>
          <w:tab w:pos="1403" w:val="left" w:leader="none"/>
        </w:tabs>
        <w:spacing w:line="271" w:lineRule="auto" w:before="51" w:after="0"/>
        <w:ind w:left="1402" w:right="482" w:hanging="339"/>
        <w:jc w:val="both"/>
        <w:rPr>
          <w:sz w:val="20"/>
        </w:rPr>
      </w:pPr>
      <w:r>
        <w:rPr>
          <w:sz w:val="20"/>
        </w:rPr>
        <w:t>Relying on different PE standards found in existing tax treaties may lead to unfairness where one market jurisdiction (with a standard PE threshold in its tax treaties) may not receive any tax under Amount</w:t>
      </w:r>
      <w:r>
        <w:rPr>
          <w:spacing w:val="-9"/>
          <w:sz w:val="20"/>
        </w:rPr>
        <w:t> </w:t>
      </w:r>
      <w:r>
        <w:rPr>
          <w:sz w:val="20"/>
        </w:rPr>
        <w:t>A</w:t>
      </w:r>
      <w:r>
        <w:rPr>
          <w:spacing w:val="-7"/>
          <w:sz w:val="20"/>
        </w:rPr>
        <w:t> </w:t>
      </w:r>
      <w:r>
        <w:rPr>
          <w:sz w:val="20"/>
        </w:rPr>
        <w:t>from</w:t>
      </w:r>
      <w:r>
        <w:rPr>
          <w:spacing w:val="-5"/>
          <w:sz w:val="20"/>
        </w:rPr>
        <w:t> </w:t>
      </w:r>
      <w:r>
        <w:rPr>
          <w:sz w:val="20"/>
        </w:rPr>
        <w:t>a</w:t>
      </w:r>
      <w:r>
        <w:rPr>
          <w:spacing w:val="-8"/>
          <w:sz w:val="20"/>
        </w:rPr>
        <w:t> </w:t>
      </w:r>
      <w:r>
        <w:rPr>
          <w:sz w:val="20"/>
        </w:rPr>
        <w:t>given</w:t>
      </w:r>
      <w:r>
        <w:rPr>
          <w:spacing w:val="-7"/>
          <w:sz w:val="20"/>
        </w:rPr>
        <w:t> </w:t>
      </w:r>
      <w:r>
        <w:rPr>
          <w:sz w:val="20"/>
        </w:rPr>
        <w:t>MNE,</w:t>
      </w:r>
      <w:r>
        <w:rPr>
          <w:spacing w:val="-6"/>
          <w:sz w:val="20"/>
        </w:rPr>
        <w:t> </w:t>
      </w:r>
      <w:r>
        <w:rPr>
          <w:sz w:val="20"/>
        </w:rPr>
        <w:t>while</w:t>
      </w:r>
      <w:r>
        <w:rPr>
          <w:spacing w:val="-6"/>
          <w:sz w:val="20"/>
        </w:rPr>
        <w:t> </w:t>
      </w:r>
      <w:r>
        <w:rPr>
          <w:sz w:val="20"/>
        </w:rPr>
        <w:t>another</w:t>
      </w:r>
      <w:r>
        <w:rPr>
          <w:spacing w:val="-8"/>
          <w:sz w:val="20"/>
        </w:rPr>
        <w:t> </w:t>
      </w:r>
      <w:r>
        <w:rPr>
          <w:sz w:val="20"/>
        </w:rPr>
        <w:t>jurisdiction</w:t>
      </w:r>
      <w:r>
        <w:rPr>
          <w:spacing w:val="-2"/>
          <w:sz w:val="20"/>
        </w:rPr>
        <w:t> </w:t>
      </w:r>
      <w:r>
        <w:rPr>
          <w:sz w:val="20"/>
        </w:rPr>
        <w:t>–</w:t>
      </w:r>
      <w:r>
        <w:rPr>
          <w:spacing w:val="-4"/>
          <w:sz w:val="20"/>
        </w:rPr>
        <w:t> </w:t>
      </w:r>
      <w:r>
        <w:rPr>
          <w:sz w:val="20"/>
        </w:rPr>
        <w:t>with</w:t>
      </w:r>
      <w:r>
        <w:rPr>
          <w:spacing w:val="-6"/>
          <w:sz w:val="20"/>
        </w:rPr>
        <w:t> </w:t>
      </w:r>
      <w:r>
        <w:rPr>
          <w:sz w:val="20"/>
        </w:rPr>
        <w:t>a</w:t>
      </w:r>
      <w:r>
        <w:rPr>
          <w:spacing w:val="-7"/>
          <w:sz w:val="20"/>
        </w:rPr>
        <w:t> </w:t>
      </w:r>
      <w:r>
        <w:rPr>
          <w:sz w:val="20"/>
        </w:rPr>
        <w:t>lower</w:t>
      </w:r>
      <w:r>
        <w:rPr>
          <w:spacing w:val="-6"/>
          <w:sz w:val="20"/>
        </w:rPr>
        <w:t> </w:t>
      </w:r>
      <w:r>
        <w:rPr>
          <w:sz w:val="20"/>
        </w:rPr>
        <w:t>PE</w:t>
      </w:r>
      <w:r>
        <w:rPr>
          <w:spacing w:val="-7"/>
          <w:sz w:val="20"/>
        </w:rPr>
        <w:t> </w:t>
      </w:r>
      <w:r>
        <w:rPr>
          <w:sz w:val="20"/>
        </w:rPr>
        <w:t>threshold</w:t>
      </w:r>
      <w:r>
        <w:rPr>
          <w:spacing w:val="-6"/>
          <w:sz w:val="20"/>
        </w:rPr>
        <w:t> </w:t>
      </w:r>
      <w:r>
        <w:rPr>
          <w:sz w:val="20"/>
        </w:rPr>
        <w:t>–</w:t>
      </w:r>
      <w:r>
        <w:rPr>
          <w:spacing w:val="-4"/>
          <w:sz w:val="20"/>
        </w:rPr>
        <w:t> </w:t>
      </w:r>
      <w:r>
        <w:rPr>
          <w:sz w:val="20"/>
        </w:rPr>
        <w:t>would</w:t>
      </w:r>
      <w:r>
        <w:rPr>
          <w:spacing w:val="-9"/>
          <w:sz w:val="20"/>
        </w:rPr>
        <w:t> </w:t>
      </w:r>
      <w:r>
        <w:rPr>
          <w:sz w:val="20"/>
        </w:rPr>
        <w:t>collect Amount</w:t>
      </w:r>
      <w:r>
        <w:rPr>
          <w:spacing w:val="-8"/>
          <w:sz w:val="20"/>
        </w:rPr>
        <w:t> </w:t>
      </w:r>
      <w:r>
        <w:rPr>
          <w:sz w:val="20"/>
        </w:rPr>
        <w:t>A</w:t>
      </w:r>
      <w:r>
        <w:rPr>
          <w:spacing w:val="-6"/>
          <w:sz w:val="20"/>
        </w:rPr>
        <w:t> </w:t>
      </w:r>
      <w:r>
        <w:rPr>
          <w:sz w:val="20"/>
        </w:rPr>
        <w:t>taxes</w:t>
      </w:r>
      <w:r>
        <w:rPr>
          <w:spacing w:val="-5"/>
          <w:sz w:val="20"/>
        </w:rPr>
        <w:t> </w:t>
      </w:r>
      <w:r>
        <w:rPr>
          <w:sz w:val="20"/>
        </w:rPr>
        <w:t>from</w:t>
      </w:r>
      <w:r>
        <w:rPr>
          <w:spacing w:val="-3"/>
          <w:sz w:val="20"/>
        </w:rPr>
        <w:t> </w:t>
      </w:r>
      <w:r>
        <w:rPr>
          <w:sz w:val="20"/>
        </w:rPr>
        <w:t>that</w:t>
      </w:r>
      <w:r>
        <w:rPr>
          <w:spacing w:val="-8"/>
          <w:sz w:val="20"/>
        </w:rPr>
        <w:t> </w:t>
      </w:r>
      <w:r>
        <w:rPr>
          <w:sz w:val="20"/>
        </w:rPr>
        <w:t>same</w:t>
      </w:r>
      <w:r>
        <w:rPr>
          <w:spacing w:val="-8"/>
          <w:sz w:val="20"/>
        </w:rPr>
        <w:t> </w:t>
      </w:r>
      <w:r>
        <w:rPr>
          <w:sz w:val="20"/>
        </w:rPr>
        <w:t>MNE</w:t>
      </w:r>
      <w:r>
        <w:rPr>
          <w:spacing w:val="-9"/>
          <w:sz w:val="20"/>
        </w:rPr>
        <w:t> </w:t>
      </w:r>
      <w:r>
        <w:rPr>
          <w:sz w:val="20"/>
        </w:rPr>
        <w:t>(and</w:t>
      </w:r>
      <w:r>
        <w:rPr>
          <w:spacing w:val="-6"/>
          <w:sz w:val="20"/>
        </w:rPr>
        <w:t> </w:t>
      </w:r>
      <w:r>
        <w:rPr>
          <w:sz w:val="20"/>
        </w:rPr>
        <w:t>for</w:t>
      </w:r>
      <w:r>
        <w:rPr>
          <w:spacing w:val="-7"/>
          <w:sz w:val="20"/>
        </w:rPr>
        <w:t> </w:t>
      </w:r>
      <w:r>
        <w:rPr>
          <w:sz w:val="20"/>
        </w:rPr>
        <w:t>the</w:t>
      </w:r>
      <w:r>
        <w:rPr>
          <w:spacing w:val="-5"/>
          <w:sz w:val="20"/>
        </w:rPr>
        <w:t> </w:t>
      </w:r>
      <w:r>
        <w:rPr>
          <w:sz w:val="20"/>
        </w:rPr>
        <w:t>same</w:t>
      </w:r>
      <w:r>
        <w:rPr>
          <w:spacing w:val="-8"/>
          <w:sz w:val="20"/>
        </w:rPr>
        <w:t> </w:t>
      </w:r>
      <w:r>
        <w:rPr>
          <w:sz w:val="20"/>
        </w:rPr>
        <w:t>activities).</w:t>
      </w:r>
      <w:r>
        <w:rPr>
          <w:spacing w:val="-8"/>
          <w:sz w:val="20"/>
        </w:rPr>
        <w:t> </w:t>
      </w:r>
      <w:r>
        <w:rPr>
          <w:sz w:val="20"/>
        </w:rPr>
        <w:t>The</w:t>
      </w:r>
      <w:r>
        <w:rPr>
          <w:spacing w:val="-8"/>
          <w:sz w:val="20"/>
        </w:rPr>
        <w:t> </w:t>
      </w:r>
      <w:r>
        <w:rPr>
          <w:sz w:val="20"/>
        </w:rPr>
        <w:t>same</w:t>
      </w:r>
      <w:r>
        <w:rPr>
          <w:spacing w:val="-8"/>
          <w:sz w:val="20"/>
        </w:rPr>
        <w:t> </w:t>
      </w:r>
      <w:r>
        <w:rPr>
          <w:sz w:val="20"/>
        </w:rPr>
        <w:t>fairness</w:t>
      </w:r>
      <w:r>
        <w:rPr>
          <w:spacing w:val="-7"/>
          <w:sz w:val="20"/>
        </w:rPr>
        <w:t> </w:t>
      </w:r>
      <w:r>
        <w:rPr>
          <w:sz w:val="20"/>
        </w:rPr>
        <w:t>issue</w:t>
      </w:r>
      <w:r>
        <w:rPr>
          <w:spacing w:val="-6"/>
          <w:sz w:val="20"/>
        </w:rPr>
        <w:t> </w:t>
      </w:r>
      <w:r>
        <w:rPr>
          <w:sz w:val="20"/>
        </w:rPr>
        <w:t>arises if the definition relies on domestic</w:t>
      </w:r>
      <w:r>
        <w:rPr>
          <w:spacing w:val="-3"/>
          <w:sz w:val="20"/>
        </w:rPr>
        <w:t> </w:t>
      </w:r>
      <w:r>
        <w:rPr>
          <w:sz w:val="20"/>
        </w:rPr>
        <w:t>legislation.</w:t>
      </w:r>
    </w:p>
    <w:p>
      <w:pPr>
        <w:pStyle w:val="ListParagraph"/>
        <w:numPr>
          <w:ilvl w:val="1"/>
          <w:numId w:val="13"/>
        </w:numPr>
        <w:tabs>
          <w:tab w:pos="1403" w:val="left" w:leader="none"/>
        </w:tabs>
        <w:spacing w:line="268" w:lineRule="auto" w:before="42" w:after="0"/>
        <w:ind w:left="1402" w:right="491" w:hanging="339"/>
        <w:jc w:val="both"/>
        <w:rPr>
          <w:sz w:val="20"/>
        </w:rPr>
      </w:pPr>
      <w:r>
        <w:rPr>
          <w:sz w:val="20"/>
        </w:rPr>
        <w:t>If Amount A is conditional on an MNE having a PE under existing treaties or domestic legislation, tax</w:t>
      </w:r>
      <w:r>
        <w:rPr>
          <w:spacing w:val="-8"/>
          <w:sz w:val="20"/>
        </w:rPr>
        <w:t> </w:t>
      </w:r>
      <w:r>
        <w:rPr>
          <w:sz w:val="20"/>
        </w:rPr>
        <w:t>administrations</w:t>
      </w:r>
      <w:r>
        <w:rPr>
          <w:spacing w:val="-8"/>
          <w:sz w:val="20"/>
        </w:rPr>
        <w:t> </w:t>
      </w:r>
      <w:r>
        <w:rPr>
          <w:sz w:val="20"/>
        </w:rPr>
        <w:t>may</w:t>
      </w:r>
      <w:r>
        <w:rPr>
          <w:spacing w:val="-14"/>
          <w:sz w:val="20"/>
        </w:rPr>
        <w:t> </w:t>
      </w:r>
      <w:r>
        <w:rPr>
          <w:sz w:val="20"/>
        </w:rPr>
        <w:t>feel</w:t>
      </w:r>
      <w:r>
        <w:rPr>
          <w:spacing w:val="-10"/>
          <w:sz w:val="20"/>
        </w:rPr>
        <w:t> </w:t>
      </w:r>
      <w:r>
        <w:rPr>
          <w:sz w:val="20"/>
        </w:rPr>
        <w:t>additional</w:t>
      </w:r>
      <w:r>
        <w:rPr>
          <w:spacing w:val="-9"/>
          <w:sz w:val="20"/>
        </w:rPr>
        <w:t> </w:t>
      </w:r>
      <w:r>
        <w:rPr>
          <w:sz w:val="20"/>
        </w:rPr>
        <w:t>pressure</w:t>
      </w:r>
      <w:r>
        <w:rPr>
          <w:spacing w:val="-9"/>
          <w:sz w:val="20"/>
        </w:rPr>
        <w:t> </w:t>
      </w:r>
      <w:r>
        <w:rPr>
          <w:sz w:val="20"/>
        </w:rPr>
        <w:t>to</w:t>
      </w:r>
      <w:r>
        <w:rPr>
          <w:spacing w:val="-9"/>
          <w:sz w:val="20"/>
        </w:rPr>
        <w:t> </w:t>
      </w:r>
      <w:r>
        <w:rPr>
          <w:sz w:val="20"/>
        </w:rPr>
        <w:t>find</w:t>
      </w:r>
      <w:r>
        <w:rPr>
          <w:spacing w:val="-6"/>
          <w:sz w:val="20"/>
        </w:rPr>
        <w:t> </w:t>
      </w:r>
      <w:r>
        <w:rPr>
          <w:sz w:val="20"/>
        </w:rPr>
        <w:t>a</w:t>
      </w:r>
      <w:r>
        <w:rPr>
          <w:spacing w:val="-9"/>
          <w:sz w:val="20"/>
        </w:rPr>
        <w:t> </w:t>
      </w:r>
      <w:r>
        <w:rPr>
          <w:sz w:val="20"/>
        </w:rPr>
        <w:t>PE</w:t>
      </w:r>
      <w:r>
        <w:rPr>
          <w:spacing w:val="-9"/>
          <w:sz w:val="20"/>
        </w:rPr>
        <w:t> </w:t>
      </w:r>
      <w:r>
        <w:rPr>
          <w:sz w:val="20"/>
        </w:rPr>
        <w:t>to</w:t>
      </w:r>
      <w:r>
        <w:rPr>
          <w:spacing w:val="-8"/>
          <w:sz w:val="20"/>
        </w:rPr>
        <w:t> </w:t>
      </w:r>
      <w:r>
        <w:rPr>
          <w:sz w:val="20"/>
        </w:rPr>
        <w:t>exist,</w:t>
      </w:r>
      <w:r>
        <w:rPr>
          <w:spacing w:val="-7"/>
          <w:sz w:val="20"/>
        </w:rPr>
        <w:t> </w:t>
      </w:r>
      <w:r>
        <w:rPr>
          <w:sz w:val="20"/>
        </w:rPr>
        <w:t>increasing</w:t>
      </w:r>
      <w:r>
        <w:rPr>
          <w:spacing w:val="-9"/>
          <w:sz w:val="20"/>
        </w:rPr>
        <w:t> </w:t>
      </w:r>
      <w:r>
        <w:rPr>
          <w:sz w:val="20"/>
        </w:rPr>
        <w:t>the</w:t>
      </w:r>
      <w:r>
        <w:rPr>
          <w:spacing w:val="-7"/>
          <w:sz w:val="20"/>
        </w:rPr>
        <w:t> </w:t>
      </w:r>
      <w:r>
        <w:rPr>
          <w:sz w:val="20"/>
        </w:rPr>
        <w:t>chances</w:t>
      </w:r>
      <w:r>
        <w:rPr>
          <w:spacing w:val="-7"/>
          <w:sz w:val="20"/>
        </w:rPr>
        <w:t> </w:t>
      </w:r>
      <w:r>
        <w:rPr>
          <w:sz w:val="20"/>
        </w:rPr>
        <w:t>of</w:t>
      </w:r>
      <w:r>
        <w:rPr>
          <w:spacing w:val="-7"/>
          <w:sz w:val="20"/>
        </w:rPr>
        <w:t> </w:t>
      </w:r>
      <w:r>
        <w:rPr>
          <w:sz w:val="20"/>
        </w:rPr>
        <w:t>PE</w:t>
      </w:r>
    </w:p>
    <w:p>
      <w:pPr>
        <w:spacing w:after="0" w:line="268"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5"/>
        <w:jc w:val="both"/>
      </w:pPr>
      <w:r>
        <w:rPr/>
        <w:t>disputes between jurisdictions with a potential impact beyond the scope of amount A (increasing the risk of spill over effects).</w:t>
      </w:r>
    </w:p>
    <w:p>
      <w:pPr>
        <w:pStyle w:val="ListParagraph"/>
        <w:numPr>
          <w:ilvl w:val="0"/>
          <w:numId w:val="13"/>
        </w:numPr>
        <w:tabs>
          <w:tab w:pos="1444" w:val="left" w:leader="none"/>
        </w:tabs>
        <w:spacing w:line="271" w:lineRule="auto" w:before="126" w:after="0"/>
        <w:ind w:left="723" w:right="480" w:firstLine="0"/>
        <w:jc w:val="both"/>
        <w:rPr>
          <w:sz w:val="20"/>
        </w:rPr>
      </w:pPr>
      <w:r>
        <w:rPr>
          <w:sz w:val="20"/>
        </w:rPr>
        <w:t>To</w:t>
      </w:r>
      <w:r>
        <w:rPr>
          <w:spacing w:val="-12"/>
          <w:sz w:val="20"/>
        </w:rPr>
        <w:t> </w:t>
      </w:r>
      <w:r>
        <w:rPr>
          <w:sz w:val="20"/>
        </w:rPr>
        <w:t>remove</w:t>
      </w:r>
      <w:r>
        <w:rPr>
          <w:spacing w:val="-12"/>
          <w:sz w:val="20"/>
        </w:rPr>
        <w:t> </w:t>
      </w:r>
      <w:r>
        <w:rPr>
          <w:sz w:val="20"/>
        </w:rPr>
        <w:t>the</w:t>
      </w:r>
      <w:r>
        <w:rPr>
          <w:spacing w:val="-12"/>
          <w:sz w:val="20"/>
        </w:rPr>
        <w:t> </w:t>
      </w:r>
      <w:r>
        <w:rPr>
          <w:sz w:val="20"/>
        </w:rPr>
        <w:t>concerns</w:t>
      </w:r>
      <w:r>
        <w:rPr>
          <w:spacing w:val="-10"/>
          <w:sz w:val="20"/>
        </w:rPr>
        <w:t> </w:t>
      </w:r>
      <w:r>
        <w:rPr>
          <w:sz w:val="20"/>
        </w:rPr>
        <w:t>mentioned</w:t>
      </w:r>
      <w:r>
        <w:rPr>
          <w:spacing w:val="-11"/>
          <w:sz w:val="20"/>
        </w:rPr>
        <w:t> </w:t>
      </w:r>
      <w:r>
        <w:rPr>
          <w:sz w:val="20"/>
        </w:rPr>
        <w:t>above,</w:t>
      </w:r>
      <w:r>
        <w:rPr>
          <w:spacing w:val="-12"/>
          <w:sz w:val="20"/>
        </w:rPr>
        <w:t> </w:t>
      </w:r>
      <w:r>
        <w:rPr>
          <w:sz w:val="20"/>
        </w:rPr>
        <w:t>the</w:t>
      </w:r>
      <w:r>
        <w:rPr>
          <w:spacing w:val="-12"/>
          <w:sz w:val="20"/>
        </w:rPr>
        <w:t> </w:t>
      </w:r>
      <w:r>
        <w:rPr>
          <w:sz w:val="20"/>
        </w:rPr>
        <w:t>preferred</w:t>
      </w:r>
      <w:r>
        <w:rPr>
          <w:spacing w:val="-12"/>
          <w:sz w:val="20"/>
        </w:rPr>
        <w:t> </w:t>
      </w:r>
      <w:r>
        <w:rPr>
          <w:sz w:val="20"/>
        </w:rPr>
        <w:t>approach,</w:t>
      </w:r>
      <w:r>
        <w:rPr>
          <w:spacing w:val="-8"/>
          <w:sz w:val="20"/>
        </w:rPr>
        <w:t> </w:t>
      </w:r>
      <w:r>
        <w:rPr>
          <w:sz w:val="20"/>
        </w:rPr>
        <w:t>is</w:t>
      </w:r>
      <w:r>
        <w:rPr>
          <w:spacing w:val="-5"/>
          <w:sz w:val="20"/>
        </w:rPr>
        <w:t> </w:t>
      </w:r>
      <w:r>
        <w:rPr>
          <w:sz w:val="20"/>
        </w:rPr>
        <w:t>to</w:t>
      </w:r>
      <w:r>
        <w:rPr>
          <w:spacing w:val="-9"/>
          <w:sz w:val="20"/>
        </w:rPr>
        <w:t> </w:t>
      </w:r>
      <w:r>
        <w:rPr>
          <w:sz w:val="20"/>
        </w:rPr>
        <w:t>use</w:t>
      </w:r>
      <w:r>
        <w:rPr>
          <w:spacing w:val="-10"/>
          <w:sz w:val="20"/>
        </w:rPr>
        <w:t> </w:t>
      </w:r>
      <w:r>
        <w:rPr>
          <w:sz w:val="20"/>
        </w:rPr>
        <w:t>a</w:t>
      </w:r>
      <w:r>
        <w:rPr>
          <w:spacing w:val="-12"/>
          <w:sz w:val="20"/>
        </w:rPr>
        <w:t> </w:t>
      </w:r>
      <w:r>
        <w:rPr>
          <w:sz w:val="20"/>
        </w:rPr>
        <w:t>single</w:t>
      </w:r>
      <w:r>
        <w:rPr>
          <w:spacing w:val="-12"/>
          <w:sz w:val="20"/>
        </w:rPr>
        <w:t> </w:t>
      </w:r>
      <w:r>
        <w:rPr>
          <w:sz w:val="20"/>
        </w:rPr>
        <w:t>self-standing group-PE</w:t>
      </w:r>
      <w:r>
        <w:rPr>
          <w:spacing w:val="-10"/>
          <w:sz w:val="20"/>
        </w:rPr>
        <w:t> </w:t>
      </w:r>
      <w:r>
        <w:rPr>
          <w:sz w:val="20"/>
        </w:rPr>
        <w:t>definition,</w:t>
      </w:r>
      <w:r>
        <w:rPr>
          <w:spacing w:val="-9"/>
          <w:sz w:val="20"/>
        </w:rPr>
        <w:t> </w:t>
      </w:r>
      <w:r>
        <w:rPr>
          <w:sz w:val="20"/>
        </w:rPr>
        <w:t>instead</w:t>
      </w:r>
      <w:r>
        <w:rPr>
          <w:spacing w:val="-9"/>
          <w:sz w:val="20"/>
        </w:rPr>
        <w:t> </w:t>
      </w:r>
      <w:r>
        <w:rPr>
          <w:sz w:val="20"/>
        </w:rPr>
        <w:t>of</w:t>
      </w:r>
      <w:r>
        <w:rPr>
          <w:spacing w:val="-7"/>
          <w:sz w:val="20"/>
        </w:rPr>
        <w:t> </w:t>
      </w:r>
      <w:r>
        <w:rPr>
          <w:sz w:val="20"/>
        </w:rPr>
        <w:t>relying</w:t>
      </w:r>
      <w:r>
        <w:rPr>
          <w:spacing w:val="-9"/>
          <w:sz w:val="20"/>
        </w:rPr>
        <w:t> </w:t>
      </w:r>
      <w:r>
        <w:rPr>
          <w:sz w:val="20"/>
        </w:rPr>
        <w:t>on</w:t>
      </w:r>
      <w:r>
        <w:rPr>
          <w:spacing w:val="-9"/>
          <w:sz w:val="20"/>
        </w:rPr>
        <w:t> </w:t>
      </w:r>
      <w:r>
        <w:rPr>
          <w:sz w:val="20"/>
        </w:rPr>
        <w:t>a</w:t>
      </w:r>
      <w:r>
        <w:rPr>
          <w:spacing w:val="-9"/>
          <w:sz w:val="20"/>
        </w:rPr>
        <w:t> </w:t>
      </w:r>
      <w:r>
        <w:rPr>
          <w:sz w:val="20"/>
        </w:rPr>
        <w:t>PE</w:t>
      </w:r>
      <w:r>
        <w:rPr>
          <w:spacing w:val="-10"/>
          <w:sz w:val="20"/>
        </w:rPr>
        <w:t> </w:t>
      </w:r>
      <w:r>
        <w:rPr>
          <w:sz w:val="20"/>
        </w:rPr>
        <w:t>definition</w:t>
      </w:r>
      <w:r>
        <w:rPr>
          <w:spacing w:val="-10"/>
          <w:sz w:val="20"/>
        </w:rPr>
        <w:t> </w:t>
      </w:r>
      <w:r>
        <w:rPr>
          <w:sz w:val="20"/>
        </w:rPr>
        <w:t>in</w:t>
      </w:r>
      <w:r>
        <w:rPr>
          <w:spacing w:val="-9"/>
          <w:sz w:val="20"/>
        </w:rPr>
        <w:t> </w:t>
      </w:r>
      <w:r>
        <w:rPr>
          <w:sz w:val="20"/>
        </w:rPr>
        <w:t>a</w:t>
      </w:r>
      <w:r>
        <w:rPr>
          <w:spacing w:val="-9"/>
          <w:sz w:val="20"/>
        </w:rPr>
        <w:t> </w:t>
      </w:r>
      <w:r>
        <w:rPr>
          <w:sz w:val="20"/>
        </w:rPr>
        <w:t>tax</w:t>
      </w:r>
      <w:r>
        <w:rPr>
          <w:spacing w:val="-11"/>
          <w:sz w:val="20"/>
        </w:rPr>
        <w:t> </w:t>
      </w:r>
      <w:r>
        <w:rPr>
          <w:sz w:val="20"/>
        </w:rPr>
        <w:t>treaty</w:t>
      </w:r>
      <w:r>
        <w:rPr>
          <w:spacing w:val="-9"/>
          <w:sz w:val="20"/>
        </w:rPr>
        <w:t> </w:t>
      </w:r>
      <w:r>
        <w:rPr>
          <w:sz w:val="20"/>
        </w:rPr>
        <w:t>or</w:t>
      </w:r>
      <w:r>
        <w:rPr>
          <w:spacing w:val="-8"/>
          <w:sz w:val="20"/>
        </w:rPr>
        <w:t> </w:t>
      </w:r>
      <w:r>
        <w:rPr>
          <w:sz w:val="20"/>
        </w:rPr>
        <w:t>domestic</w:t>
      </w:r>
      <w:r>
        <w:rPr>
          <w:spacing w:val="-10"/>
          <w:sz w:val="20"/>
        </w:rPr>
        <w:t> </w:t>
      </w:r>
      <w:r>
        <w:rPr>
          <w:sz w:val="20"/>
        </w:rPr>
        <w:t>law.</w:t>
      </w:r>
      <w:r>
        <w:rPr>
          <w:spacing w:val="-9"/>
          <w:sz w:val="20"/>
        </w:rPr>
        <w:t> </w:t>
      </w:r>
      <w:r>
        <w:rPr>
          <w:sz w:val="20"/>
        </w:rPr>
        <w:t>Such</w:t>
      </w:r>
      <w:r>
        <w:rPr>
          <w:spacing w:val="-9"/>
          <w:sz w:val="20"/>
        </w:rPr>
        <w:t> </w:t>
      </w:r>
      <w:r>
        <w:rPr>
          <w:sz w:val="20"/>
        </w:rPr>
        <w:t>a</w:t>
      </w:r>
      <w:r>
        <w:rPr>
          <w:spacing w:val="-11"/>
          <w:sz w:val="20"/>
        </w:rPr>
        <w:t> </w:t>
      </w:r>
      <w:r>
        <w:rPr>
          <w:sz w:val="20"/>
        </w:rPr>
        <w:t>standalone provision</w:t>
      </w:r>
      <w:r>
        <w:rPr>
          <w:spacing w:val="-8"/>
          <w:sz w:val="20"/>
        </w:rPr>
        <w:t> </w:t>
      </w:r>
      <w:r>
        <w:rPr>
          <w:sz w:val="20"/>
        </w:rPr>
        <w:t>will</w:t>
      </w:r>
      <w:r>
        <w:rPr>
          <w:spacing w:val="-7"/>
          <w:sz w:val="20"/>
        </w:rPr>
        <w:t> </w:t>
      </w:r>
      <w:r>
        <w:rPr>
          <w:sz w:val="20"/>
        </w:rPr>
        <w:t>not</w:t>
      </w:r>
      <w:r>
        <w:rPr>
          <w:spacing w:val="-8"/>
          <w:sz w:val="20"/>
        </w:rPr>
        <w:t> </w:t>
      </w:r>
      <w:r>
        <w:rPr>
          <w:sz w:val="20"/>
        </w:rPr>
        <w:t>affect</w:t>
      </w:r>
      <w:r>
        <w:rPr>
          <w:spacing w:val="-9"/>
          <w:sz w:val="20"/>
        </w:rPr>
        <w:t> </w:t>
      </w:r>
      <w:r>
        <w:rPr>
          <w:sz w:val="20"/>
        </w:rPr>
        <w:t>the</w:t>
      </w:r>
      <w:r>
        <w:rPr>
          <w:spacing w:val="-4"/>
          <w:sz w:val="20"/>
        </w:rPr>
        <w:t> </w:t>
      </w:r>
      <w:r>
        <w:rPr>
          <w:sz w:val="20"/>
        </w:rPr>
        <w:t>application</w:t>
      </w:r>
      <w:r>
        <w:rPr>
          <w:spacing w:val="-7"/>
          <w:sz w:val="20"/>
        </w:rPr>
        <w:t> </w:t>
      </w:r>
      <w:r>
        <w:rPr>
          <w:sz w:val="20"/>
        </w:rPr>
        <w:t>of</w:t>
      </w:r>
      <w:r>
        <w:rPr>
          <w:spacing w:val="-4"/>
          <w:sz w:val="20"/>
        </w:rPr>
        <w:t> </w:t>
      </w:r>
      <w:r>
        <w:rPr>
          <w:sz w:val="20"/>
        </w:rPr>
        <w:t>PE</w:t>
      </w:r>
      <w:r>
        <w:rPr>
          <w:spacing w:val="-8"/>
          <w:sz w:val="20"/>
        </w:rPr>
        <w:t> </w:t>
      </w:r>
      <w:r>
        <w:rPr>
          <w:sz w:val="20"/>
        </w:rPr>
        <w:t>rules</w:t>
      </w:r>
      <w:r>
        <w:rPr>
          <w:spacing w:val="-5"/>
          <w:sz w:val="20"/>
        </w:rPr>
        <w:t> </w:t>
      </w:r>
      <w:r>
        <w:rPr>
          <w:sz w:val="20"/>
        </w:rPr>
        <w:t>in</w:t>
      </w:r>
      <w:r>
        <w:rPr>
          <w:spacing w:val="-8"/>
          <w:sz w:val="20"/>
        </w:rPr>
        <w:t> </w:t>
      </w:r>
      <w:r>
        <w:rPr>
          <w:sz w:val="20"/>
        </w:rPr>
        <w:t>existing</w:t>
      </w:r>
      <w:r>
        <w:rPr>
          <w:spacing w:val="-9"/>
          <w:sz w:val="20"/>
        </w:rPr>
        <w:t> </w:t>
      </w:r>
      <w:r>
        <w:rPr>
          <w:sz w:val="20"/>
        </w:rPr>
        <w:t>tax</w:t>
      </w:r>
      <w:r>
        <w:rPr>
          <w:spacing w:val="-9"/>
          <w:sz w:val="20"/>
        </w:rPr>
        <w:t> </w:t>
      </w:r>
      <w:r>
        <w:rPr>
          <w:sz w:val="20"/>
        </w:rPr>
        <w:t>treaties</w:t>
      </w:r>
      <w:r>
        <w:rPr>
          <w:spacing w:val="-8"/>
          <w:sz w:val="20"/>
        </w:rPr>
        <w:t> </w:t>
      </w:r>
      <w:r>
        <w:rPr>
          <w:sz w:val="20"/>
        </w:rPr>
        <w:t>or</w:t>
      </w:r>
      <w:r>
        <w:rPr>
          <w:spacing w:val="-7"/>
          <w:sz w:val="20"/>
        </w:rPr>
        <w:t> </w:t>
      </w:r>
      <w:r>
        <w:rPr>
          <w:sz w:val="20"/>
        </w:rPr>
        <w:t>domestic</w:t>
      </w:r>
      <w:r>
        <w:rPr>
          <w:spacing w:val="-4"/>
          <w:sz w:val="20"/>
        </w:rPr>
        <w:t> </w:t>
      </w:r>
      <w:r>
        <w:rPr>
          <w:sz w:val="20"/>
        </w:rPr>
        <w:t>legislation,</w:t>
      </w:r>
      <w:r>
        <w:rPr>
          <w:spacing w:val="-7"/>
          <w:sz w:val="20"/>
        </w:rPr>
        <w:t> </w:t>
      </w:r>
      <w:r>
        <w:rPr>
          <w:sz w:val="20"/>
        </w:rPr>
        <w:t>which</w:t>
      </w:r>
      <w:r>
        <w:rPr>
          <w:spacing w:val="-3"/>
          <w:sz w:val="20"/>
        </w:rPr>
        <w:t> </w:t>
      </w:r>
      <w:r>
        <w:rPr>
          <w:sz w:val="20"/>
        </w:rPr>
        <w:t>will continue to operate as at present for tax purposes, other than the allocation of Amount A. Ready-made possibilities exist (e.g. in the OECD and UN models). But it seems preferable to use one that is designed for the purpose of Amount A. The starting point for doing this is the two</w:t>
      </w:r>
      <w:r>
        <w:rPr>
          <w:spacing w:val="-16"/>
          <w:sz w:val="20"/>
        </w:rPr>
        <w:t> </w:t>
      </w:r>
      <w:r>
        <w:rPr>
          <w:sz w:val="20"/>
        </w:rPr>
        <w:t>models.</w:t>
      </w:r>
      <w:r>
        <w:rPr>
          <w:sz w:val="20"/>
          <w:vertAlign w:val="superscript"/>
        </w:rPr>
        <w:t>45</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The intention, therefore, is to develop a group-PE test taking the basic PE principle shared between the UN and the OECD Models: a fixed place of business through which an in-scope CFB of the MNE group is wholly or partly carried on and applying this to the MNE group. Further work will be undertaken</w:t>
      </w:r>
      <w:r>
        <w:rPr>
          <w:spacing w:val="-5"/>
          <w:sz w:val="20"/>
        </w:rPr>
        <w:t> </w:t>
      </w:r>
      <w:r>
        <w:rPr>
          <w:sz w:val="20"/>
        </w:rPr>
        <w:t>on</w:t>
      </w:r>
      <w:r>
        <w:rPr>
          <w:spacing w:val="-4"/>
          <w:sz w:val="20"/>
        </w:rPr>
        <w:t> </w:t>
      </w:r>
      <w:r>
        <w:rPr>
          <w:sz w:val="20"/>
        </w:rPr>
        <w:t>other</w:t>
      </w:r>
      <w:r>
        <w:rPr>
          <w:spacing w:val="-3"/>
          <w:sz w:val="20"/>
        </w:rPr>
        <w:t> </w:t>
      </w:r>
      <w:r>
        <w:rPr>
          <w:sz w:val="20"/>
        </w:rPr>
        <w:t>aspects</w:t>
      </w:r>
      <w:r>
        <w:rPr>
          <w:spacing w:val="-2"/>
          <w:sz w:val="20"/>
        </w:rPr>
        <w:t> </w:t>
      </w:r>
      <w:r>
        <w:rPr>
          <w:sz w:val="20"/>
        </w:rPr>
        <w:t>of</w:t>
      </w:r>
      <w:r>
        <w:rPr>
          <w:spacing w:val="-2"/>
          <w:sz w:val="20"/>
        </w:rPr>
        <w:t> </w:t>
      </w:r>
      <w:r>
        <w:rPr>
          <w:sz w:val="20"/>
        </w:rPr>
        <w:t>the</w:t>
      </w:r>
      <w:r>
        <w:rPr>
          <w:spacing w:val="-4"/>
          <w:sz w:val="20"/>
        </w:rPr>
        <w:t> </w:t>
      </w:r>
      <w:r>
        <w:rPr>
          <w:sz w:val="20"/>
        </w:rPr>
        <w:t>existing</w:t>
      </w:r>
      <w:r>
        <w:rPr>
          <w:spacing w:val="-2"/>
          <w:sz w:val="20"/>
        </w:rPr>
        <w:t> </w:t>
      </w:r>
      <w:r>
        <w:rPr>
          <w:sz w:val="20"/>
        </w:rPr>
        <w:t>PE</w:t>
      </w:r>
      <w:r>
        <w:rPr>
          <w:spacing w:val="-4"/>
          <w:sz w:val="20"/>
        </w:rPr>
        <w:t> </w:t>
      </w:r>
      <w:r>
        <w:rPr>
          <w:sz w:val="20"/>
        </w:rPr>
        <w:t>definition</w:t>
      </w:r>
      <w:r>
        <w:rPr>
          <w:spacing w:val="-3"/>
          <w:sz w:val="20"/>
        </w:rPr>
        <w:t> </w:t>
      </w:r>
      <w:r>
        <w:rPr>
          <w:sz w:val="20"/>
        </w:rPr>
        <w:t>such</w:t>
      </w:r>
      <w:r>
        <w:rPr>
          <w:spacing w:val="-4"/>
          <w:sz w:val="20"/>
        </w:rPr>
        <w:t> </w:t>
      </w:r>
      <w:r>
        <w:rPr>
          <w:sz w:val="20"/>
        </w:rPr>
        <w:t>as</w:t>
      </w:r>
      <w:r>
        <w:rPr>
          <w:spacing w:val="-2"/>
          <w:sz w:val="20"/>
        </w:rPr>
        <w:t> </w:t>
      </w:r>
      <w:r>
        <w:rPr>
          <w:sz w:val="20"/>
        </w:rPr>
        <w:t>Article</w:t>
      </w:r>
      <w:r>
        <w:rPr>
          <w:spacing w:val="-4"/>
          <w:sz w:val="20"/>
        </w:rPr>
        <w:t> </w:t>
      </w:r>
      <w:r>
        <w:rPr>
          <w:sz w:val="20"/>
        </w:rPr>
        <w:t>5(4)</w:t>
      </w:r>
      <w:r>
        <w:rPr>
          <w:spacing w:val="-3"/>
          <w:sz w:val="20"/>
        </w:rPr>
        <w:t> </w:t>
      </w:r>
      <w:r>
        <w:rPr>
          <w:sz w:val="20"/>
        </w:rPr>
        <w:t>on</w:t>
      </w:r>
      <w:r>
        <w:rPr>
          <w:spacing w:val="-3"/>
          <w:sz w:val="20"/>
        </w:rPr>
        <w:t> </w:t>
      </w:r>
      <w:r>
        <w:rPr>
          <w:sz w:val="20"/>
        </w:rPr>
        <w:t>preparatory</w:t>
      </w:r>
      <w:r>
        <w:rPr>
          <w:spacing w:val="-6"/>
          <w:sz w:val="20"/>
        </w:rPr>
        <w:t> </w:t>
      </w:r>
      <w:r>
        <w:rPr>
          <w:sz w:val="20"/>
        </w:rPr>
        <w:t>and</w:t>
      </w:r>
      <w:r>
        <w:rPr>
          <w:spacing w:val="-4"/>
          <w:sz w:val="20"/>
        </w:rPr>
        <w:t> </w:t>
      </w:r>
      <w:r>
        <w:rPr>
          <w:sz w:val="20"/>
        </w:rPr>
        <w:t>auxiliary activities and Article 5(5) on “dependent agent”. This group-PE definition is only for the purpose of establishing a new nexus for Amount</w:t>
      </w:r>
      <w:r>
        <w:rPr>
          <w:spacing w:val="-6"/>
          <w:sz w:val="20"/>
        </w:rPr>
        <w:t> </w:t>
      </w:r>
      <w:r>
        <w:rPr>
          <w:sz w:val="20"/>
        </w:rPr>
        <w:t>A.</w:t>
      </w:r>
    </w:p>
    <w:p>
      <w:pPr>
        <w:pStyle w:val="BodyText"/>
        <w:spacing w:before="2"/>
      </w:pPr>
    </w:p>
    <w:p>
      <w:pPr>
        <w:pStyle w:val="Heading7"/>
        <w:rPr>
          <w:i/>
        </w:rPr>
      </w:pPr>
      <w:bookmarkStart w:name="A “deemed engagement” provision" w:id="98"/>
      <w:bookmarkEnd w:id="98"/>
      <w:r>
        <w:rPr>
          <w:i w:val="0"/>
        </w:rPr>
      </w:r>
      <w:r>
        <w:rPr>
          <w:i/>
          <w:color w:val="616161"/>
        </w:rPr>
        <w:t>A “deemed engagement” provision</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As noted above, beyond a certain level of sales, it is increasingly unlikely that a group will be selling</w:t>
      </w:r>
      <w:r>
        <w:rPr>
          <w:spacing w:val="-12"/>
          <w:sz w:val="20"/>
        </w:rPr>
        <w:t> </w:t>
      </w:r>
      <w:r>
        <w:rPr>
          <w:sz w:val="20"/>
        </w:rPr>
        <w:t>into</w:t>
      </w:r>
      <w:r>
        <w:rPr>
          <w:spacing w:val="-12"/>
          <w:sz w:val="20"/>
        </w:rPr>
        <w:t> </w:t>
      </w:r>
      <w:r>
        <w:rPr>
          <w:sz w:val="20"/>
        </w:rPr>
        <w:t>a</w:t>
      </w:r>
      <w:r>
        <w:rPr>
          <w:spacing w:val="-13"/>
          <w:sz w:val="20"/>
        </w:rPr>
        <w:t> </w:t>
      </w:r>
      <w:r>
        <w:rPr>
          <w:sz w:val="20"/>
        </w:rPr>
        <w:t>market</w:t>
      </w:r>
      <w:r>
        <w:rPr>
          <w:spacing w:val="-13"/>
          <w:sz w:val="20"/>
        </w:rPr>
        <w:t> </w:t>
      </w:r>
      <w:r>
        <w:rPr>
          <w:sz w:val="20"/>
        </w:rPr>
        <w:t>with</w:t>
      </w:r>
      <w:r>
        <w:rPr>
          <w:spacing w:val="-12"/>
          <w:sz w:val="20"/>
        </w:rPr>
        <w:t> </w:t>
      </w:r>
      <w:r>
        <w:rPr>
          <w:sz w:val="20"/>
        </w:rPr>
        <w:t>no</w:t>
      </w:r>
      <w:r>
        <w:rPr>
          <w:spacing w:val="-12"/>
          <w:sz w:val="20"/>
        </w:rPr>
        <w:t> </w:t>
      </w:r>
      <w:r>
        <w:rPr>
          <w:sz w:val="20"/>
        </w:rPr>
        <w:t>supporting</w:t>
      </w:r>
      <w:r>
        <w:rPr>
          <w:spacing w:val="-13"/>
          <w:sz w:val="20"/>
        </w:rPr>
        <w:t> </w:t>
      </w:r>
      <w:r>
        <w:rPr>
          <w:sz w:val="20"/>
        </w:rPr>
        <w:t>activities.</w:t>
      </w:r>
      <w:r>
        <w:rPr>
          <w:spacing w:val="-13"/>
          <w:sz w:val="20"/>
        </w:rPr>
        <w:t> </w:t>
      </w:r>
      <w:r>
        <w:rPr>
          <w:sz w:val="20"/>
        </w:rPr>
        <w:t>For</w:t>
      </w:r>
      <w:r>
        <w:rPr>
          <w:spacing w:val="-13"/>
          <w:sz w:val="20"/>
        </w:rPr>
        <w:t> </w:t>
      </w:r>
      <w:r>
        <w:rPr>
          <w:sz w:val="20"/>
        </w:rPr>
        <w:t>many</w:t>
      </w:r>
      <w:r>
        <w:rPr>
          <w:spacing w:val="-14"/>
          <w:sz w:val="20"/>
        </w:rPr>
        <w:t> </w:t>
      </w:r>
      <w:r>
        <w:rPr>
          <w:sz w:val="20"/>
        </w:rPr>
        <w:t>groups,</w:t>
      </w:r>
      <w:r>
        <w:rPr>
          <w:spacing w:val="-14"/>
          <w:sz w:val="20"/>
        </w:rPr>
        <w:t> </w:t>
      </w:r>
      <w:r>
        <w:rPr>
          <w:sz w:val="20"/>
        </w:rPr>
        <w:t>there</w:t>
      </w:r>
      <w:r>
        <w:rPr>
          <w:spacing w:val="-11"/>
          <w:sz w:val="20"/>
        </w:rPr>
        <w:t> </w:t>
      </w:r>
      <w:r>
        <w:rPr>
          <w:sz w:val="20"/>
        </w:rPr>
        <w:t>will</w:t>
      </w:r>
      <w:r>
        <w:rPr>
          <w:spacing w:val="-12"/>
          <w:sz w:val="20"/>
        </w:rPr>
        <w:t> </w:t>
      </w:r>
      <w:r>
        <w:rPr>
          <w:sz w:val="20"/>
        </w:rPr>
        <w:t>be</w:t>
      </w:r>
      <w:r>
        <w:rPr>
          <w:spacing w:val="-11"/>
          <w:sz w:val="20"/>
        </w:rPr>
        <w:t> </w:t>
      </w:r>
      <w:r>
        <w:rPr>
          <w:sz w:val="20"/>
        </w:rPr>
        <w:t>a</w:t>
      </w:r>
      <w:r>
        <w:rPr>
          <w:spacing w:val="-4"/>
          <w:sz w:val="20"/>
        </w:rPr>
        <w:t> </w:t>
      </w:r>
      <w:r>
        <w:rPr>
          <w:sz w:val="20"/>
        </w:rPr>
        <w:t>level</w:t>
      </w:r>
      <w:r>
        <w:rPr>
          <w:spacing w:val="-11"/>
          <w:sz w:val="20"/>
        </w:rPr>
        <w:t> </w:t>
      </w:r>
      <w:r>
        <w:rPr>
          <w:sz w:val="20"/>
        </w:rPr>
        <w:t>of</w:t>
      </w:r>
      <w:r>
        <w:rPr>
          <w:spacing w:val="-12"/>
          <w:sz w:val="20"/>
        </w:rPr>
        <w:t> </w:t>
      </w:r>
      <w:r>
        <w:rPr>
          <w:sz w:val="20"/>
        </w:rPr>
        <w:t>sales</w:t>
      </w:r>
      <w:r>
        <w:rPr>
          <w:spacing w:val="-12"/>
          <w:sz w:val="20"/>
        </w:rPr>
        <w:t> </w:t>
      </w:r>
      <w:r>
        <w:rPr>
          <w:sz w:val="20"/>
        </w:rPr>
        <w:t>over</w:t>
      </w:r>
      <w:r>
        <w:rPr>
          <w:spacing w:val="-11"/>
          <w:sz w:val="20"/>
        </w:rPr>
        <w:t> </w:t>
      </w:r>
      <w:r>
        <w:rPr>
          <w:sz w:val="20"/>
        </w:rPr>
        <w:t>which they will want to establish a local presence, either in the form of a subsidiary or a PE. Depending on the industry,</w:t>
      </w:r>
      <w:r>
        <w:rPr>
          <w:spacing w:val="-6"/>
          <w:sz w:val="20"/>
        </w:rPr>
        <w:t> </w:t>
      </w:r>
      <w:r>
        <w:rPr>
          <w:sz w:val="20"/>
        </w:rPr>
        <w:t>that</w:t>
      </w:r>
      <w:r>
        <w:rPr>
          <w:spacing w:val="-7"/>
          <w:sz w:val="20"/>
        </w:rPr>
        <w:t> </w:t>
      </w:r>
      <w:r>
        <w:rPr>
          <w:sz w:val="20"/>
        </w:rPr>
        <w:t>might</w:t>
      </w:r>
      <w:r>
        <w:rPr>
          <w:spacing w:val="-6"/>
          <w:sz w:val="20"/>
        </w:rPr>
        <w:t> </w:t>
      </w:r>
      <w:r>
        <w:rPr>
          <w:sz w:val="20"/>
        </w:rPr>
        <w:t>be</w:t>
      </w:r>
      <w:r>
        <w:rPr>
          <w:spacing w:val="-4"/>
          <w:sz w:val="20"/>
        </w:rPr>
        <w:t> </w:t>
      </w:r>
      <w:r>
        <w:rPr>
          <w:sz w:val="20"/>
        </w:rPr>
        <w:t>when</w:t>
      </w:r>
      <w:r>
        <w:rPr>
          <w:spacing w:val="-7"/>
          <w:sz w:val="20"/>
        </w:rPr>
        <w:t> </w:t>
      </w:r>
      <w:r>
        <w:rPr>
          <w:sz w:val="20"/>
        </w:rPr>
        <w:t>annual</w:t>
      </w:r>
      <w:r>
        <w:rPr>
          <w:spacing w:val="-6"/>
          <w:sz w:val="20"/>
        </w:rPr>
        <w:t> </w:t>
      </w:r>
      <w:r>
        <w:rPr>
          <w:sz w:val="20"/>
        </w:rPr>
        <w:t>sales</w:t>
      </w:r>
      <w:r>
        <w:rPr>
          <w:spacing w:val="-6"/>
          <w:sz w:val="20"/>
        </w:rPr>
        <w:t> </w:t>
      </w:r>
      <w:r>
        <w:rPr>
          <w:sz w:val="20"/>
        </w:rPr>
        <w:t>reach</w:t>
      </w:r>
      <w:r>
        <w:rPr>
          <w:spacing w:val="-2"/>
          <w:sz w:val="20"/>
        </w:rPr>
        <w:t> </w:t>
      </w:r>
      <w:r>
        <w:rPr>
          <w:sz w:val="20"/>
        </w:rPr>
        <w:t>a</w:t>
      </w:r>
      <w:r>
        <w:rPr>
          <w:spacing w:val="-7"/>
          <w:sz w:val="20"/>
        </w:rPr>
        <w:t> </w:t>
      </w:r>
      <w:r>
        <w:rPr>
          <w:sz w:val="20"/>
        </w:rPr>
        <w:t>certain</w:t>
      </w:r>
      <w:r>
        <w:rPr>
          <w:spacing w:val="-4"/>
          <w:sz w:val="20"/>
        </w:rPr>
        <w:t> </w:t>
      </w:r>
      <w:r>
        <w:rPr>
          <w:sz w:val="20"/>
        </w:rPr>
        <w:t>level.</w:t>
      </w:r>
      <w:r>
        <w:rPr>
          <w:spacing w:val="-6"/>
          <w:sz w:val="20"/>
        </w:rPr>
        <w:t> </w:t>
      </w:r>
      <w:r>
        <w:rPr>
          <w:sz w:val="20"/>
        </w:rPr>
        <w:t>But</w:t>
      </w:r>
      <w:r>
        <w:rPr>
          <w:spacing w:val="-6"/>
          <w:sz w:val="20"/>
        </w:rPr>
        <w:t> </w:t>
      </w:r>
      <w:r>
        <w:rPr>
          <w:sz w:val="20"/>
        </w:rPr>
        <w:t>before</w:t>
      </w:r>
      <w:r>
        <w:rPr>
          <w:spacing w:val="-6"/>
          <w:sz w:val="20"/>
        </w:rPr>
        <w:t> </w:t>
      </w:r>
      <w:r>
        <w:rPr>
          <w:sz w:val="20"/>
        </w:rPr>
        <w:t>then,</w:t>
      </w:r>
      <w:r>
        <w:rPr>
          <w:spacing w:val="-6"/>
          <w:sz w:val="20"/>
        </w:rPr>
        <w:t> </w:t>
      </w:r>
      <w:r>
        <w:rPr>
          <w:sz w:val="20"/>
        </w:rPr>
        <w:t>it</w:t>
      </w:r>
      <w:r>
        <w:rPr>
          <w:spacing w:val="-4"/>
          <w:sz w:val="20"/>
        </w:rPr>
        <w:t> </w:t>
      </w:r>
      <w:r>
        <w:rPr>
          <w:sz w:val="20"/>
        </w:rPr>
        <w:t>is</w:t>
      </w:r>
      <w:r>
        <w:rPr>
          <w:spacing w:val="-5"/>
          <w:sz w:val="20"/>
        </w:rPr>
        <w:t> </w:t>
      </w:r>
      <w:r>
        <w:rPr>
          <w:sz w:val="20"/>
        </w:rPr>
        <w:t>likely</w:t>
      </w:r>
      <w:r>
        <w:rPr>
          <w:spacing w:val="-7"/>
          <w:sz w:val="20"/>
        </w:rPr>
        <w:t> </w:t>
      </w:r>
      <w:r>
        <w:rPr>
          <w:sz w:val="20"/>
        </w:rPr>
        <w:t>that</w:t>
      </w:r>
      <w:r>
        <w:rPr>
          <w:spacing w:val="-4"/>
          <w:sz w:val="20"/>
        </w:rPr>
        <w:t> </w:t>
      </w:r>
      <w:r>
        <w:rPr>
          <w:sz w:val="20"/>
        </w:rPr>
        <w:t>the</w:t>
      </w:r>
      <w:r>
        <w:rPr>
          <w:spacing w:val="-4"/>
          <w:sz w:val="20"/>
        </w:rPr>
        <w:t> </w:t>
      </w:r>
      <w:r>
        <w:rPr>
          <w:sz w:val="20"/>
        </w:rPr>
        <w:t>group’s engagement</w:t>
      </w:r>
      <w:r>
        <w:rPr>
          <w:spacing w:val="-7"/>
          <w:sz w:val="20"/>
        </w:rPr>
        <w:t> </w:t>
      </w:r>
      <w:r>
        <w:rPr>
          <w:sz w:val="20"/>
        </w:rPr>
        <w:t>will</w:t>
      </w:r>
      <w:r>
        <w:rPr>
          <w:spacing w:val="-6"/>
          <w:sz w:val="20"/>
        </w:rPr>
        <w:t> </w:t>
      </w:r>
      <w:r>
        <w:rPr>
          <w:sz w:val="20"/>
        </w:rPr>
        <w:t>increase</w:t>
      </w:r>
      <w:r>
        <w:rPr>
          <w:spacing w:val="-9"/>
          <w:sz w:val="20"/>
        </w:rPr>
        <w:t> </w:t>
      </w:r>
      <w:r>
        <w:rPr>
          <w:sz w:val="20"/>
        </w:rPr>
        <w:t>its</w:t>
      </w:r>
      <w:r>
        <w:rPr>
          <w:spacing w:val="-8"/>
          <w:sz w:val="20"/>
        </w:rPr>
        <w:t> </w:t>
      </w:r>
      <w:r>
        <w:rPr>
          <w:sz w:val="20"/>
        </w:rPr>
        <w:t>sales.</w:t>
      </w:r>
      <w:r>
        <w:rPr>
          <w:spacing w:val="-8"/>
          <w:sz w:val="20"/>
        </w:rPr>
        <w:t> </w:t>
      </w:r>
      <w:r>
        <w:rPr>
          <w:sz w:val="20"/>
        </w:rPr>
        <w:t>One</w:t>
      </w:r>
      <w:r>
        <w:rPr>
          <w:spacing w:val="-9"/>
          <w:sz w:val="20"/>
        </w:rPr>
        <w:t> </w:t>
      </w:r>
      <w:r>
        <w:rPr>
          <w:sz w:val="20"/>
        </w:rPr>
        <w:t>approach</w:t>
      </w:r>
      <w:r>
        <w:rPr>
          <w:spacing w:val="-9"/>
          <w:sz w:val="20"/>
        </w:rPr>
        <w:t> </w:t>
      </w:r>
      <w:r>
        <w:rPr>
          <w:sz w:val="20"/>
        </w:rPr>
        <w:t>could</w:t>
      </w:r>
      <w:r>
        <w:rPr>
          <w:spacing w:val="-10"/>
          <w:sz w:val="20"/>
        </w:rPr>
        <w:t> </w:t>
      </w:r>
      <w:r>
        <w:rPr>
          <w:sz w:val="20"/>
        </w:rPr>
        <w:t>be,</w:t>
      </w:r>
      <w:r>
        <w:rPr>
          <w:spacing w:val="-9"/>
          <w:sz w:val="20"/>
        </w:rPr>
        <w:t> </w:t>
      </w:r>
      <w:r>
        <w:rPr>
          <w:sz w:val="20"/>
        </w:rPr>
        <w:t>therefore,</w:t>
      </w:r>
      <w:r>
        <w:rPr>
          <w:spacing w:val="-9"/>
          <w:sz w:val="20"/>
        </w:rPr>
        <w:t> </w:t>
      </w:r>
      <w:r>
        <w:rPr>
          <w:sz w:val="20"/>
        </w:rPr>
        <w:t>to</w:t>
      </w:r>
      <w:r>
        <w:rPr>
          <w:spacing w:val="-5"/>
          <w:sz w:val="20"/>
        </w:rPr>
        <w:t> </w:t>
      </w:r>
      <w:r>
        <w:rPr>
          <w:sz w:val="20"/>
        </w:rPr>
        <w:t>assume</w:t>
      </w:r>
      <w:r>
        <w:rPr>
          <w:spacing w:val="-8"/>
          <w:sz w:val="20"/>
        </w:rPr>
        <w:t> </w:t>
      </w:r>
      <w:r>
        <w:rPr>
          <w:sz w:val="20"/>
        </w:rPr>
        <w:t>that</w:t>
      </w:r>
      <w:r>
        <w:rPr>
          <w:spacing w:val="-9"/>
          <w:sz w:val="20"/>
        </w:rPr>
        <w:t> </w:t>
      </w:r>
      <w:r>
        <w:rPr>
          <w:sz w:val="20"/>
        </w:rPr>
        <w:t>once</w:t>
      </w:r>
      <w:r>
        <w:rPr>
          <w:spacing w:val="-10"/>
          <w:sz w:val="20"/>
        </w:rPr>
        <w:t> </w:t>
      </w:r>
      <w:r>
        <w:rPr>
          <w:sz w:val="20"/>
        </w:rPr>
        <w:t>a</w:t>
      </w:r>
      <w:r>
        <w:rPr>
          <w:spacing w:val="-9"/>
          <w:sz w:val="20"/>
        </w:rPr>
        <w:t> </w:t>
      </w:r>
      <w:r>
        <w:rPr>
          <w:sz w:val="20"/>
        </w:rPr>
        <w:t>group’s</w:t>
      </w:r>
      <w:r>
        <w:rPr>
          <w:spacing w:val="-8"/>
          <w:sz w:val="20"/>
        </w:rPr>
        <w:t> </w:t>
      </w:r>
      <w:r>
        <w:rPr>
          <w:sz w:val="20"/>
        </w:rPr>
        <w:t>CFB sales</w:t>
      </w:r>
      <w:r>
        <w:rPr>
          <w:spacing w:val="-6"/>
          <w:sz w:val="20"/>
        </w:rPr>
        <w:t> </w:t>
      </w:r>
      <w:r>
        <w:rPr>
          <w:sz w:val="20"/>
        </w:rPr>
        <w:t>in</w:t>
      </w:r>
      <w:r>
        <w:rPr>
          <w:spacing w:val="-6"/>
          <w:sz w:val="20"/>
        </w:rPr>
        <w:t> </w:t>
      </w:r>
      <w:r>
        <w:rPr>
          <w:sz w:val="20"/>
        </w:rPr>
        <w:t>a</w:t>
      </w:r>
      <w:r>
        <w:rPr>
          <w:spacing w:val="-4"/>
          <w:sz w:val="20"/>
        </w:rPr>
        <w:t> </w:t>
      </w:r>
      <w:r>
        <w:rPr>
          <w:sz w:val="20"/>
        </w:rPr>
        <w:t>market</w:t>
      </w:r>
      <w:r>
        <w:rPr>
          <w:spacing w:val="-6"/>
          <w:sz w:val="20"/>
        </w:rPr>
        <w:t> </w:t>
      </w:r>
      <w:r>
        <w:rPr>
          <w:sz w:val="20"/>
        </w:rPr>
        <w:t>reach</w:t>
      </w:r>
      <w:r>
        <w:rPr>
          <w:spacing w:val="-3"/>
          <w:sz w:val="20"/>
        </w:rPr>
        <w:t> </w:t>
      </w:r>
      <w:r>
        <w:rPr>
          <w:sz w:val="20"/>
        </w:rPr>
        <w:t>a</w:t>
      </w:r>
      <w:r>
        <w:rPr>
          <w:spacing w:val="-6"/>
          <w:sz w:val="20"/>
        </w:rPr>
        <w:t> </w:t>
      </w:r>
      <w:r>
        <w:rPr>
          <w:sz w:val="20"/>
        </w:rPr>
        <w:t>certain</w:t>
      </w:r>
      <w:r>
        <w:rPr>
          <w:spacing w:val="-4"/>
          <w:sz w:val="20"/>
        </w:rPr>
        <w:t> </w:t>
      </w:r>
      <w:r>
        <w:rPr>
          <w:sz w:val="20"/>
        </w:rPr>
        <w:t>threshold</w:t>
      </w:r>
      <w:r>
        <w:rPr>
          <w:spacing w:val="-4"/>
          <w:sz w:val="20"/>
        </w:rPr>
        <w:t> </w:t>
      </w:r>
      <w:r>
        <w:rPr>
          <w:sz w:val="20"/>
        </w:rPr>
        <w:t>it</w:t>
      </w:r>
      <w:r>
        <w:rPr>
          <w:spacing w:val="-3"/>
          <w:sz w:val="20"/>
        </w:rPr>
        <w:t> </w:t>
      </w:r>
      <w:r>
        <w:rPr>
          <w:sz w:val="20"/>
        </w:rPr>
        <w:t>will</w:t>
      </w:r>
      <w:r>
        <w:rPr>
          <w:spacing w:val="-6"/>
          <w:sz w:val="20"/>
        </w:rPr>
        <w:t> </w:t>
      </w:r>
      <w:r>
        <w:rPr>
          <w:sz w:val="20"/>
        </w:rPr>
        <w:t>no</w:t>
      </w:r>
      <w:r>
        <w:rPr>
          <w:spacing w:val="-4"/>
          <w:sz w:val="20"/>
        </w:rPr>
        <w:t> </w:t>
      </w:r>
      <w:r>
        <w:rPr>
          <w:sz w:val="20"/>
        </w:rPr>
        <w:t>longer</w:t>
      </w:r>
      <w:r>
        <w:rPr>
          <w:spacing w:val="-5"/>
          <w:sz w:val="20"/>
        </w:rPr>
        <w:t> </w:t>
      </w:r>
      <w:r>
        <w:rPr>
          <w:sz w:val="20"/>
        </w:rPr>
        <w:t>be</w:t>
      </w:r>
      <w:r>
        <w:rPr>
          <w:spacing w:val="-6"/>
          <w:sz w:val="20"/>
        </w:rPr>
        <w:t> </w:t>
      </w:r>
      <w:r>
        <w:rPr>
          <w:sz w:val="20"/>
        </w:rPr>
        <w:t>necessary</w:t>
      </w:r>
      <w:r>
        <w:rPr>
          <w:spacing w:val="-9"/>
          <w:sz w:val="20"/>
        </w:rPr>
        <w:t> </w:t>
      </w:r>
      <w:r>
        <w:rPr>
          <w:sz w:val="20"/>
        </w:rPr>
        <w:t>to</w:t>
      </w:r>
      <w:r>
        <w:rPr>
          <w:spacing w:val="-6"/>
          <w:sz w:val="20"/>
        </w:rPr>
        <w:t> </w:t>
      </w:r>
      <w:r>
        <w:rPr>
          <w:sz w:val="20"/>
        </w:rPr>
        <w:t>establish</w:t>
      </w:r>
      <w:r>
        <w:rPr>
          <w:spacing w:val="-6"/>
          <w:sz w:val="20"/>
        </w:rPr>
        <w:t> </w:t>
      </w:r>
      <w:r>
        <w:rPr>
          <w:sz w:val="20"/>
        </w:rPr>
        <w:t>the</w:t>
      </w:r>
      <w:r>
        <w:rPr>
          <w:spacing w:val="-6"/>
          <w:sz w:val="20"/>
        </w:rPr>
        <w:t> </w:t>
      </w:r>
      <w:r>
        <w:rPr>
          <w:sz w:val="20"/>
        </w:rPr>
        <w:t>existence</w:t>
      </w:r>
      <w:r>
        <w:rPr>
          <w:spacing w:val="-3"/>
          <w:sz w:val="20"/>
        </w:rPr>
        <w:t> </w:t>
      </w:r>
      <w:r>
        <w:rPr>
          <w:sz w:val="20"/>
        </w:rPr>
        <w:t>of</w:t>
      </w:r>
      <w:r>
        <w:rPr>
          <w:spacing w:val="3"/>
          <w:sz w:val="20"/>
        </w:rPr>
        <w:t> </w:t>
      </w:r>
      <w:r>
        <w:rPr>
          <w:sz w:val="20"/>
        </w:rPr>
        <w:t>plus factors (i.e. the group could be treated as having a nexus). This deemed engagement provision would avoid the complexities and uncertainties that more factual and expansive plus factors would create, but further policy discussion is</w:t>
      </w:r>
      <w:r>
        <w:rPr>
          <w:spacing w:val="1"/>
          <w:sz w:val="20"/>
        </w:rPr>
        <w:t> </w:t>
      </w:r>
      <w:r>
        <w:rPr>
          <w:sz w:val="20"/>
        </w:rPr>
        <w:t>needed.</w:t>
      </w:r>
    </w:p>
    <w:p>
      <w:pPr>
        <w:pStyle w:val="BodyText"/>
        <w:spacing w:before="2"/>
      </w:pPr>
    </w:p>
    <w:p>
      <w:pPr>
        <w:pStyle w:val="Heading7"/>
        <w:rPr>
          <w:i/>
        </w:rPr>
      </w:pPr>
      <w:bookmarkStart w:name="Nexus rules for small developing economi" w:id="99"/>
      <w:bookmarkEnd w:id="99"/>
      <w:r>
        <w:rPr>
          <w:i w:val="0"/>
        </w:rPr>
      </w:r>
      <w:r>
        <w:rPr>
          <w:i/>
          <w:color w:val="616161"/>
        </w:rPr>
        <w:t>Nexus rules for small developing economies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3" w:firstLine="0"/>
        <w:jc w:val="both"/>
        <w:rPr>
          <w:sz w:val="20"/>
        </w:rPr>
      </w:pPr>
      <w:bookmarkStart w:name="_bookmark17" w:id="100"/>
      <w:bookmarkEnd w:id="100"/>
      <w:r>
        <w:rPr/>
      </w:r>
      <w:bookmarkStart w:name="_bookmark17" w:id="101"/>
      <w:bookmarkEnd w:id="101"/>
      <w:r>
        <w:rPr>
          <w:sz w:val="20"/>
        </w:rPr>
        <w:t>Dep</w:t>
      </w:r>
      <w:r>
        <w:rPr>
          <w:sz w:val="20"/>
        </w:rPr>
        <w:t>ending</w:t>
      </w:r>
      <w:r>
        <w:rPr>
          <w:spacing w:val="-12"/>
          <w:sz w:val="20"/>
        </w:rPr>
        <w:t> </w:t>
      </w:r>
      <w:r>
        <w:rPr>
          <w:sz w:val="20"/>
        </w:rPr>
        <w:t>on</w:t>
      </w:r>
      <w:r>
        <w:rPr>
          <w:spacing w:val="-12"/>
          <w:sz w:val="20"/>
        </w:rPr>
        <w:t> </w:t>
      </w:r>
      <w:r>
        <w:rPr>
          <w:sz w:val="20"/>
        </w:rPr>
        <w:t>where</w:t>
      </w:r>
      <w:r>
        <w:rPr>
          <w:spacing w:val="-11"/>
          <w:sz w:val="20"/>
        </w:rPr>
        <w:t> </w:t>
      </w:r>
      <w:r>
        <w:rPr>
          <w:sz w:val="20"/>
        </w:rPr>
        <w:t>revenue</w:t>
      </w:r>
      <w:r>
        <w:rPr>
          <w:spacing w:val="-13"/>
          <w:sz w:val="20"/>
        </w:rPr>
        <w:t> </w:t>
      </w:r>
      <w:r>
        <w:rPr>
          <w:sz w:val="20"/>
        </w:rPr>
        <w:t>thresholds</w:t>
      </w:r>
      <w:r>
        <w:rPr>
          <w:spacing w:val="-13"/>
          <w:sz w:val="20"/>
        </w:rPr>
        <w:t> </w:t>
      </w:r>
      <w:r>
        <w:rPr>
          <w:sz w:val="20"/>
        </w:rPr>
        <w:t>are</w:t>
      </w:r>
      <w:r>
        <w:rPr>
          <w:spacing w:val="-11"/>
          <w:sz w:val="20"/>
        </w:rPr>
        <w:t> </w:t>
      </w:r>
      <w:r>
        <w:rPr>
          <w:sz w:val="20"/>
        </w:rPr>
        <w:t>set,</w:t>
      </w:r>
      <w:r>
        <w:rPr>
          <w:spacing w:val="-13"/>
          <w:sz w:val="20"/>
        </w:rPr>
        <w:t> </w:t>
      </w:r>
      <w:r>
        <w:rPr>
          <w:sz w:val="20"/>
        </w:rPr>
        <w:t>consideration</w:t>
      </w:r>
      <w:r>
        <w:rPr>
          <w:spacing w:val="-13"/>
          <w:sz w:val="20"/>
        </w:rPr>
        <w:t> </w:t>
      </w:r>
      <w:r>
        <w:rPr>
          <w:sz w:val="20"/>
        </w:rPr>
        <w:t>may</w:t>
      </w:r>
      <w:r>
        <w:rPr>
          <w:spacing w:val="-15"/>
          <w:sz w:val="20"/>
        </w:rPr>
        <w:t> </w:t>
      </w:r>
      <w:r>
        <w:rPr>
          <w:sz w:val="20"/>
        </w:rPr>
        <w:t>also</w:t>
      </w:r>
      <w:r>
        <w:rPr>
          <w:spacing w:val="-11"/>
          <w:sz w:val="20"/>
        </w:rPr>
        <w:t> </w:t>
      </w:r>
      <w:r>
        <w:rPr>
          <w:sz w:val="20"/>
        </w:rPr>
        <w:t>need</w:t>
      </w:r>
      <w:r>
        <w:rPr>
          <w:spacing w:val="-14"/>
          <w:sz w:val="20"/>
        </w:rPr>
        <w:t> </w:t>
      </w:r>
      <w:r>
        <w:rPr>
          <w:sz w:val="20"/>
        </w:rPr>
        <w:t>to</w:t>
      </w:r>
      <w:r>
        <w:rPr>
          <w:spacing w:val="-12"/>
          <w:sz w:val="20"/>
        </w:rPr>
        <w:t> </w:t>
      </w:r>
      <w:r>
        <w:rPr>
          <w:sz w:val="20"/>
        </w:rPr>
        <w:t>be</w:t>
      </w:r>
      <w:r>
        <w:rPr>
          <w:spacing w:val="-13"/>
          <w:sz w:val="20"/>
        </w:rPr>
        <w:t> </w:t>
      </w:r>
      <w:r>
        <w:rPr>
          <w:sz w:val="20"/>
        </w:rPr>
        <w:t>given</w:t>
      </w:r>
      <w:r>
        <w:rPr>
          <w:spacing w:val="-14"/>
          <w:sz w:val="20"/>
        </w:rPr>
        <w:t> </w:t>
      </w:r>
      <w:r>
        <w:rPr>
          <w:sz w:val="20"/>
        </w:rPr>
        <w:t>to</w:t>
      </w:r>
      <w:r>
        <w:rPr>
          <w:spacing w:val="-13"/>
          <w:sz w:val="20"/>
        </w:rPr>
        <w:t> </w:t>
      </w:r>
      <w:r>
        <w:rPr>
          <w:sz w:val="20"/>
        </w:rPr>
        <w:t>using a lower nexus standard for small, developing economies. Given the size of their economies within the context</w:t>
      </w:r>
      <w:r>
        <w:rPr>
          <w:spacing w:val="-15"/>
          <w:sz w:val="20"/>
        </w:rPr>
        <w:t> </w:t>
      </w:r>
      <w:r>
        <w:rPr>
          <w:sz w:val="20"/>
        </w:rPr>
        <w:t>of</w:t>
      </w:r>
      <w:r>
        <w:rPr>
          <w:spacing w:val="-14"/>
          <w:sz w:val="20"/>
        </w:rPr>
        <w:t> </w:t>
      </w:r>
      <w:r>
        <w:rPr>
          <w:sz w:val="20"/>
        </w:rPr>
        <w:t>determining</w:t>
      </w:r>
      <w:r>
        <w:rPr>
          <w:spacing w:val="-13"/>
          <w:sz w:val="20"/>
        </w:rPr>
        <w:t> </w:t>
      </w:r>
      <w:r>
        <w:rPr>
          <w:sz w:val="20"/>
        </w:rPr>
        <w:t>a</w:t>
      </w:r>
      <w:r>
        <w:rPr>
          <w:spacing w:val="-15"/>
          <w:sz w:val="20"/>
        </w:rPr>
        <w:t> </w:t>
      </w:r>
      <w:r>
        <w:rPr>
          <w:sz w:val="20"/>
        </w:rPr>
        <w:t>significant</w:t>
      </w:r>
      <w:r>
        <w:rPr>
          <w:spacing w:val="-12"/>
          <w:sz w:val="20"/>
        </w:rPr>
        <w:t> </w:t>
      </w:r>
      <w:r>
        <w:rPr>
          <w:sz w:val="20"/>
        </w:rPr>
        <w:t>and</w:t>
      </w:r>
      <w:r>
        <w:rPr>
          <w:spacing w:val="-16"/>
          <w:sz w:val="20"/>
        </w:rPr>
        <w:t> </w:t>
      </w:r>
      <w:r>
        <w:rPr>
          <w:sz w:val="20"/>
        </w:rPr>
        <w:t>sustained</w:t>
      </w:r>
      <w:r>
        <w:rPr>
          <w:spacing w:val="-14"/>
          <w:sz w:val="20"/>
        </w:rPr>
        <w:t> </w:t>
      </w:r>
      <w:r>
        <w:rPr>
          <w:sz w:val="20"/>
        </w:rPr>
        <w:t>engagement</w:t>
      </w:r>
      <w:r>
        <w:rPr>
          <w:spacing w:val="-16"/>
          <w:sz w:val="20"/>
        </w:rPr>
        <w:t> </w:t>
      </w:r>
      <w:r>
        <w:rPr>
          <w:sz w:val="20"/>
        </w:rPr>
        <w:t>in</w:t>
      </w:r>
      <w:r>
        <w:rPr>
          <w:spacing w:val="-14"/>
          <w:sz w:val="20"/>
        </w:rPr>
        <w:t> </w:t>
      </w:r>
      <w:r>
        <w:rPr>
          <w:sz w:val="20"/>
        </w:rPr>
        <w:t>the</w:t>
      </w:r>
      <w:r>
        <w:rPr>
          <w:spacing w:val="-15"/>
          <w:sz w:val="20"/>
        </w:rPr>
        <w:t> </w:t>
      </w:r>
      <w:r>
        <w:rPr>
          <w:sz w:val="20"/>
        </w:rPr>
        <w:t>market,</w:t>
      </w:r>
      <w:r>
        <w:rPr>
          <w:spacing w:val="-17"/>
          <w:sz w:val="20"/>
        </w:rPr>
        <w:t> </w:t>
      </w:r>
      <w:r>
        <w:rPr>
          <w:sz w:val="20"/>
        </w:rPr>
        <w:t>and</w:t>
      </w:r>
      <w:r>
        <w:rPr>
          <w:spacing w:val="-14"/>
          <w:sz w:val="20"/>
        </w:rPr>
        <w:t> </w:t>
      </w:r>
      <w:r>
        <w:rPr>
          <w:sz w:val="20"/>
        </w:rPr>
        <w:t>the</w:t>
      </w:r>
      <w:r>
        <w:rPr>
          <w:spacing w:val="-14"/>
          <w:sz w:val="20"/>
        </w:rPr>
        <w:t> </w:t>
      </w:r>
      <w:r>
        <w:rPr>
          <w:sz w:val="20"/>
        </w:rPr>
        <w:t>additional</w:t>
      </w:r>
      <w:r>
        <w:rPr>
          <w:spacing w:val="-16"/>
          <w:sz w:val="20"/>
        </w:rPr>
        <w:t> </w:t>
      </w:r>
      <w:r>
        <w:rPr>
          <w:sz w:val="20"/>
        </w:rPr>
        <w:t>complexity in applying and verifying the plus factors for tax administrations with often very limited resources, both principles and practicalities may argue for further reflection. This may also need to involve considerations relating to compliance simplifications and administrative costs, including for other</w:t>
      </w:r>
      <w:r>
        <w:rPr>
          <w:spacing w:val="-23"/>
          <w:sz w:val="20"/>
        </w:rPr>
        <w:t> </w:t>
      </w:r>
      <w:r>
        <w:rPr>
          <w:sz w:val="20"/>
        </w:rPr>
        <w:t>jurisdictions.</w:t>
      </w:r>
    </w:p>
    <w:p>
      <w:pPr>
        <w:pStyle w:val="BodyText"/>
        <w:spacing w:before="2"/>
      </w:pPr>
    </w:p>
    <w:p>
      <w:pPr>
        <w:pStyle w:val="Heading7"/>
        <w:rPr>
          <w:i/>
        </w:rPr>
      </w:pPr>
      <w:bookmarkStart w:name="Other technical work" w:id="102"/>
      <w:bookmarkEnd w:id="102"/>
      <w:r>
        <w:rPr>
          <w:i w:val="0"/>
        </w:rPr>
      </w:r>
      <w:r>
        <w:rPr>
          <w:i/>
          <w:color w:val="616161"/>
        </w:rPr>
        <w:t>Other technical work</w:t>
      </w:r>
    </w:p>
    <w:p>
      <w:pPr>
        <w:pStyle w:val="ListParagraph"/>
        <w:numPr>
          <w:ilvl w:val="0"/>
          <w:numId w:val="13"/>
        </w:numPr>
        <w:tabs>
          <w:tab w:pos="1444" w:val="left" w:leader="none"/>
        </w:tabs>
        <w:spacing w:line="273" w:lineRule="auto" w:before="215" w:after="0"/>
        <w:ind w:left="723" w:right="478" w:firstLine="0"/>
        <w:jc w:val="both"/>
        <w:rPr>
          <w:sz w:val="20"/>
        </w:rPr>
      </w:pPr>
      <w:r>
        <w:rPr>
          <w:sz w:val="20"/>
        </w:rPr>
        <w:t>A few Inclusive Framework Members have favoured the addition of a test based on a sustained presence</w:t>
      </w:r>
      <w:r>
        <w:rPr>
          <w:spacing w:val="-7"/>
          <w:sz w:val="20"/>
        </w:rPr>
        <w:t> </w:t>
      </w:r>
      <w:r>
        <w:rPr>
          <w:sz w:val="20"/>
        </w:rPr>
        <w:t>of</w:t>
      </w:r>
      <w:r>
        <w:rPr>
          <w:spacing w:val="-6"/>
          <w:sz w:val="20"/>
        </w:rPr>
        <w:t> </w:t>
      </w:r>
      <w:r>
        <w:rPr>
          <w:sz w:val="20"/>
        </w:rPr>
        <w:t>personnel</w:t>
      </w:r>
      <w:r>
        <w:rPr>
          <w:spacing w:val="-5"/>
          <w:sz w:val="20"/>
        </w:rPr>
        <w:t> </w:t>
      </w:r>
      <w:r>
        <w:rPr>
          <w:sz w:val="20"/>
        </w:rPr>
        <w:t>in</w:t>
      </w:r>
      <w:r>
        <w:rPr>
          <w:spacing w:val="-7"/>
          <w:sz w:val="20"/>
        </w:rPr>
        <w:t> </w:t>
      </w:r>
      <w:r>
        <w:rPr>
          <w:sz w:val="20"/>
        </w:rPr>
        <w:t>a</w:t>
      </w:r>
      <w:r>
        <w:rPr>
          <w:spacing w:val="-2"/>
          <w:sz w:val="20"/>
        </w:rPr>
        <w:t> </w:t>
      </w:r>
      <w:r>
        <w:rPr>
          <w:sz w:val="20"/>
        </w:rPr>
        <w:t>market</w:t>
      </w:r>
      <w:r>
        <w:rPr>
          <w:spacing w:val="-9"/>
          <w:sz w:val="20"/>
        </w:rPr>
        <w:t> </w:t>
      </w:r>
      <w:r>
        <w:rPr>
          <w:sz w:val="20"/>
        </w:rPr>
        <w:t>jurisdiction</w:t>
      </w:r>
      <w:r>
        <w:rPr>
          <w:spacing w:val="-2"/>
          <w:sz w:val="20"/>
        </w:rPr>
        <w:t> </w:t>
      </w:r>
      <w:r>
        <w:rPr>
          <w:sz w:val="20"/>
        </w:rPr>
        <w:t>(e.g.</w:t>
      </w:r>
      <w:r>
        <w:rPr>
          <w:spacing w:val="-6"/>
          <w:sz w:val="20"/>
        </w:rPr>
        <w:t> </w:t>
      </w:r>
      <w:r>
        <w:rPr>
          <w:sz w:val="20"/>
        </w:rPr>
        <w:t>183</w:t>
      </w:r>
      <w:r>
        <w:rPr>
          <w:spacing w:val="-5"/>
          <w:sz w:val="20"/>
        </w:rPr>
        <w:t> </w:t>
      </w:r>
      <w:r>
        <w:rPr>
          <w:sz w:val="20"/>
        </w:rPr>
        <w:t>days</w:t>
      </w:r>
      <w:r>
        <w:rPr>
          <w:spacing w:val="-3"/>
          <w:sz w:val="20"/>
        </w:rPr>
        <w:t> </w:t>
      </w:r>
      <w:r>
        <w:rPr>
          <w:sz w:val="20"/>
        </w:rPr>
        <w:t>in</w:t>
      </w:r>
      <w:r>
        <w:rPr>
          <w:spacing w:val="-5"/>
          <w:sz w:val="20"/>
        </w:rPr>
        <w:t> </w:t>
      </w:r>
      <w:r>
        <w:rPr>
          <w:sz w:val="20"/>
        </w:rPr>
        <w:t>a</w:t>
      </w:r>
      <w:r>
        <w:rPr>
          <w:spacing w:val="-3"/>
          <w:sz w:val="20"/>
        </w:rPr>
        <w:t> </w:t>
      </w:r>
      <w:r>
        <w:rPr>
          <w:sz w:val="20"/>
        </w:rPr>
        <w:t>year),</w:t>
      </w:r>
      <w:r>
        <w:rPr>
          <w:spacing w:val="-4"/>
          <w:sz w:val="20"/>
        </w:rPr>
        <w:t> </w:t>
      </w:r>
      <w:r>
        <w:rPr>
          <w:sz w:val="20"/>
        </w:rPr>
        <w:t>which</w:t>
      </w:r>
      <w:r>
        <w:rPr>
          <w:spacing w:val="-4"/>
          <w:sz w:val="20"/>
        </w:rPr>
        <w:t> </w:t>
      </w:r>
      <w:r>
        <w:rPr>
          <w:sz w:val="20"/>
        </w:rPr>
        <w:t>could</w:t>
      </w:r>
      <w:r>
        <w:rPr>
          <w:spacing w:val="-7"/>
          <w:sz w:val="20"/>
        </w:rPr>
        <w:t> </w:t>
      </w:r>
      <w:r>
        <w:rPr>
          <w:sz w:val="20"/>
        </w:rPr>
        <w:t>be</w:t>
      </w:r>
      <w:r>
        <w:rPr>
          <w:spacing w:val="-5"/>
          <w:sz w:val="20"/>
        </w:rPr>
        <w:t> </w:t>
      </w:r>
      <w:r>
        <w:rPr>
          <w:sz w:val="20"/>
        </w:rPr>
        <w:t>an</w:t>
      </w:r>
      <w:r>
        <w:rPr>
          <w:spacing w:val="-5"/>
          <w:sz w:val="20"/>
        </w:rPr>
        <w:t> </w:t>
      </w:r>
      <w:r>
        <w:rPr>
          <w:sz w:val="20"/>
        </w:rPr>
        <w:t>alternative</w:t>
      </w:r>
      <w:r>
        <w:rPr>
          <w:spacing w:val="-4"/>
          <w:sz w:val="20"/>
        </w:rPr>
        <w:t> </w:t>
      </w:r>
      <w:r>
        <w:rPr>
          <w:sz w:val="20"/>
        </w:rPr>
        <w:t>way</w:t>
      </w:r>
    </w:p>
    <w:p>
      <w:pPr>
        <w:pStyle w:val="BodyText"/>
      </w:pPr>
    </w:p>
    <w:p>
      <w:pPr>
        <w:pStyle w:val="BodyText"/>
      </w:pPr>
    </w:p>
    <w:p>
      <w:pPr>
        <w:pStyle w:val="BodyText"/>
        <w:spacing w:before="11"/>
        <w:rPr>
          <w:sz w:val="18"/>
        </w:rPr>
      </w:pPr>
      <w:r>
        <w:rPr/>
        <w:pict>
          <v:rect style="position:absolute;margin-left:65.183998pt;margin-top:12.869227pt;width:144.020004pt;height:.599980pt;mso-position-horizontal-relative:page;mso-position-vertical-relative:paragraph;z-index:-15681536;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28" w:val="left" w:leader="none"/>
        </w:tabs>
        <w:spacing w:line="278" w:lineRule="auto" w:before="94" w:after="0"/>
        <w:ind w:left="723" w:right="485" w:firstLine="0"/>
        <w:jc w:val="both"/>
        <w:rPr>
          <w:sz w:val="18"/>
        </w:rPr>
      </w:pPr>
      <w:r>
        <w:rPr>
          <w:sz w:val="18"/>
        </w:rPr>
        <w:t>Although there are differences between them, these may not be material for Amount A purposes. The existence of an</w:t>
      </w:r>
      <w:r>
        <w:rPr>
          <w:spacing w:val="-10"/>
          <w:sz w:val="18"/>
        </w:rPr>
        <w:t> </w:t>
      </w:r>
      <w:r>
        <w:rPr>
          <w:sz w:val="18"/>
        </w:rPr>
        <w:t>insurance</w:t>
      </w:r>
      <w:r>
        <w:rPr>
          <w:spacing w:val="-9"/>
          <w:sz w:val="18"/>
        </w:rPr>
        <w:t> </w:t>
      </w:r>
      <w:r>
        <w:rPr>
          <w:sz w:val="18"/>
        </w:rPr>
        <w:t>PE</w:t>
      </w:r>
      <w:r>
        <w:rPr>
          <w:spacing w:val="-9"/>
          <w:sz w:val="18"/>
        </w:rPr>
        <w:t> </w:t>
      </w:r>
      <w:r>
        <w:rPr>
          <w:sz w:val="18"/>
        </w:rPr>
        <w:t>provision</w:t>
      </w:r>
      <w:r>
        <w:rPr>
          <w:spacing w:val="-9"/>
          <w:sz w:val="18"/>
        </w:rPr>
        <w:t> </w:t>
      </w:r>
      <w:r>
        <w:rPr>
          <w:sz w:val="18"/>
        </w:rPr>
        <w:t>in</w:t>
      </w:r>
      <w:r>
        <w:rPr>
          <w:spacing w:val="-11"/>
          <w:sz w:val="18"/>
        </w:rPr>
        <w:t> </w:t>
      </w:r>
      <w:r>
        <w:rPr>
          <w:sz w:val="18"/>
        </w:rPr>
        <w:t>the</w:t>
      </w:r>
      <w:r>
        <w:rPr>
          <w:spacing w:val="-10"/>
          <w:sz w:val="18"/>
        </w:rPr>
        <w:t> </w:t>
      </w:r>
      <w:r>
        <w:rPr>
          <w:sz w:val="18"/>
        </w:rPr>
        <w:t>UN</w:t>
      </w:r>
      <w:r>
        <w:rPr>
          <w:spacing w:val="-10"/>
          <w:sz w:val="18"/>
        </w:rPr>
        <w:t> </w:t>
      </w:r>
      <w:r>
        <w:rPr>
          <w:sz w:val="18"/>
        </w:rPr>
        <w:t>model</w:t>
      </w:r>
      <w:r>
        <w:rPr>
          <w:spacing w:val="-9"/>
          <w:sz w:val="18"/>
        </w:rPr>
        <w:t> </w:t>
      </w:r>
      <w:r>
        <w:rPr>
          <w:sz w:val="18"/>
        </w:rPr>
        <w:t>would</w:t>
      </w:r>
      <w:r>
        <w:rPr>
          <w:spacing w:val="-11"/>
          <w:sz w:val="18"/>
        </w:rPr>
        <w:t> </w:t>
      </w:r>
      <w:r>
        <w:rPr>
          <w:sz w:val="18"/>
        </w:rPr>
        <w:t>not</w:t>
      </w:r>
      <w:r>
        <w:rPr>
          <w:spacing w:val="-9"/>
          <w:sz w:val="18"/>
        </w:rPr>
        <w:t> </w:t>
      </w:r>
      <w:r>
        <w:rPr>
          <w:sz w:val="18"/>
        </w:rPr>
        <w:t>be</w:t>
      </w:r>
      <w:r>
        <w:rPr>
          <w:spacing w:val="-9"/>
          <w:sz w:val="18"/>
        </w:rPr>
        <w:t> </w:t>
      </w:r>
      <w:r>
        <w:rPr>
          <w:sz w:val="18"/>
        </w:rPr>
        <w:t>relevant,</w:t>
      </w:r>
      <w:r>
        <w:rPr>
          <w:spacing w:val="-10"/>
          <w:sz w:val="18"/>
        </w:rPr>
        <w:t> </w:t>
      </w:r>
      <w:r>
        <w:rPr>
          <w:sz w:val="18"/>
        </w:rPr>
        <w:t>for</w:t>
      </w:r>
      <w:r>
        <w:rPr>
          <w:spacing w:val="-9"/>
          <w:sz w:val="18"/>
        </w:rPr>
        <w:t> </w:t>
      </w:r>
      <w:r>
        <w:rPr>
          <w:sz w:val="18"/>
        </w:rPr>
        <w:t>example,</w:t>
      </w:r>
      <w:r>
        <w:rPr>
          <w:spacing w:val="-11"/>
          <w:sz w:val="18"/>
        </w:rPr>
        <w:t> </w:t>
      </w:r>
      <w:r>
        <w:rPr>
          <w:sz w:val="18"/>
        </w:rPr>
        <w:t>if</w:t>
      </w:r>
      <w:r>
        <w:rPr>
          <w:spacing w:val="-9"/>
          <w:sz w:val="18"/>
        </w:rPr>
        <w:t> </w:t>
      </w:r>
      <w:r>
        <w:rPr>
          <w:sz w:val="18"/>
        </w:rPr>
        <w:t>insurance</w:t>
      </w:r>
      <w:r>
        <w:rPr>
          <w:spacing w:val="-11"/>
          <w:sz w:val="18"/>
        </w:rPr>
        <w:t> </w:t>
      </w:r>
      <w:r>
        <w:rPr>
          <w:sz w:val="18"/>
        </w:rPr>
        <w:t>services</w:t>
      </w:r>
      <w:r>
        <w:rPr>
          <w:spacing w:val="-11"/>
          <w:sz w:val="18"/>
        </w:rPr>
        <w:t> </w:t>
      </w:r>
      <w:r>
        <w:rPr>
          <w:sz w:val="18"/>
        </w:rPr>
        <w:t>are</w:t>
      </w:r>
      <w:r>
        <w:rPr>
          <w:spacing w:val="-9"/>
          <w:sz w:val="18"/>
        </w:rPr>
        <w:t> </w:t>
      </w:r>
      <w:r>
        <w:rPr>
          <w:sz w:val="18"/>
        </w:rPr>
        <w:t>removed</w:t>
      </w:r>
      <w:r>
        <w:rPr>
          <w:spacing w:val="-10"/>
          <w:sz w:val="18"/>
        </w:rPr>
        <w:t> </w:t>
      </w:r>
      <w:r>
        <w:rPr>
          <w:sz w:val="18"/>
        </w:rPr>
        <w:t>from the scope of Amount A. Nor does the presence of “delivery” activities in the OECD Model’s list of exemptions make any difference after the BEPS Action 7</w:t>
      </w:r>
      <w:r>
        <w:rPr>
          <w:spacing w:val="-7"/>
          <w:sz w:val="18"/>
        </w:rPr>
        <w:t> </w:t>
      </w:r>
      <w:r>
        <w:rPr>
          <w:sz w:val="18"/>
        </w:rPr>
        <w:t>changes.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0"/>
        <w:jc w:val="both"/>
      </w:pPr>
      <w:r>
        <w:rPr/>
        <w:t>of establishing nexus if the physical presence was not met, e.g. for smaller jurisdictions. Many members, however, questioned the relevance and administrability of this test.</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A test of advertising and promotion (A&amp;P) expenditure is another test that has been explored. If it were adopted, it would be an alternative way of establishing nexus if the physical presence test were not met.</w:t>
      </w:r>
      <w:r>
        <w:rPr>
          <w:sz w:val="20"/>
          <w:vertAlign w:val="superscript"/>
        </w:rPr>
        <w:t>46</w:t>
      </w:r>
      <w:r>
        <w:rPr>
          <w:sz w:val="20"/>
          <w:vertAlign w:val="baseline"/>
        </w:rPr>
        <w:t> The test could be met where, for instance, A&amp;P expenditure for a jurisdiction exceeded a certain percentage of the market revenue threshold, perhaps with some simplifications: e.g. focusing only on market-specific expenditures (no regional or global expenditures) but including expenditure incurred outside the market where it is directed at the market. The A&amp;P expenditure test could also be useful for franchising and licensing business models. However, such a test may not necessarily be an accurate measure of an active and sustained engagement with a market jurisdiction as expenditures could, for example,</w:t>
      </w:r>
      <w:r>
        <w:rPr>
          <w:spacing w:val="-7"/>
          <w:sz w:val="20"/>
          <w:vertAlign w:val="baseline"/>
        </w:rPr>
        <w:t> </w:t>
      </w:r>
      <w:r>
        <w:rPr>
          <w:sz w:val="20"/>
          <w:vertAlign w:val="baseline"/>
        </w:rPr>
        <w:t>fluctuate</w:t>
      </w:r>
      <w:r>
        <w:rPr>
          <w:spacing w:val="-7"/>
          <w:sz w:val="20"/>
          <w:vertAlign w:val="baseline"/>
        </w:rPr>
        <w:t> </w:t>
      </w:r>
      <w:r>
        <w:rPr>
          <w:sz w:val="20"/>
          <w:vertAlign w:val="baseline"/>
        </w:rPr>
        <w:t>over</w:t>
      </w:r>
      <w:r>
        <w:rPr>
          <w:spacing w:val="-6"/>
          <w:sz w:val="20"/>
          <w:vertAlign w:val="baseline"/>
        </w:rPr>
        <w:t> </w:t>
      </w:r>
      <w:r>
        <w:rPr>
          <w:sz w:val="20"/>
          <w:vertAlign w:val="baseline"/>
        </w:rPr>
        <w:t>the</w:t>
      </w:r>
      <w:r>
        <w:rPr>
          <w:spacing w:val="-7"/>
          <w:sz w:val="20"/>
          <w:vertAlign w:val="baseline"/>
        </w:rPr>
        <w:t> </w:t>
      </w:r>
      <w:r>
        <w:rPr>
          <w:sz w:val="20"/>
          <w:vertAlign w:val="baseline"/>
        </w:rPr>
        <w:t>lifetime</w:t>
      </w:r>
      <w:r>
        <w:rPr>
          <w:spacing w:val="-7"/>
          <w:sz w:val="20"/>
          <w:vertAlign w:val="baseline"/>
        </w:rPr>
        <w:t> </w:t>
      </w:r>
      <w:r>
        <w:rPr>
          <w:sz w:val="20"/>
          <w:vertAlign w:val="baseline"/>
        </w:rPr>
        <w:t>of</w:t>
      </w:r>
      <w:r>
        <w:rPr>
          <w:spacing w:val="-5"/>
          <w:sz w:val="20"/>
          <w:vertAlign w:val="baseline"/>
        </w:rPr>
        <w:t> </w:t>
      </w:r>
      <w:r>
        <w:rPr>
          <w:sz w:val="20"/>
          <w:vertAlign w:val="baseline"/>
        </w:rPr>
        <w:t>a</w:t>
      </w:r>
      <w:r>
        <w:rPr>
          <w:spacing w:val="-7"/>
          <w:sz w:val="20"/>
          <w:vertAlign w:val="baseline"/>
        </w:rPr>
        <w:t> </w:t>
      </w:r>
      <w:r>
        <w:rPr>
          <w:sz w:val="20"/>
          <w:vertAlign w:val="baseline"/>
        </w:rPr>
        <w:t>brand.</w:t>
      </w:r>
      <w:r>
        <w:rPr>
          <w:spacing w:val="-7"/>
          <w:sz w:val="20"/>
          <w:vertAlign w:val="baseline"/>
        </w:rPr>
        <w:t> </w:t>
      </w:r>
      <w:r>
        <w:rPr>
          <w:sz w:val="20"/>
          <w:vertAlign w:val="baseline"/>
        </w:rPr>
        <w:t>Such</w:t>
      </w:r>
      <w:r>
        <w:rPr>
          <w:spacing w:val="-6"/>
          <w:sz w:val="20"/>
          <w:vertAlign w:val="baseline"/>
        </w:rPr>
        <w:t> </w:t>
      </w:r>
      <w:r>
        <w:rPr>
          <w:sz w:val="20"/>
          <w:vertAlign w:val="baseline"/>
        </w:rPr>
        <w:t>a</w:t>
      </w:r>
      <w:r>
        <w:rPr>
          <w:spacing w:val="-7"/>
          <w:sz w:val="20"/>
          <w:vertAlign w:val="baseline"/>
        </w:rPr>
        <w:t> </w:t>
      </w:r>
      <w:r>
        <w:rPr>
          <w:sz w:val="20"/>
          <w:vertAlign w:val="baseline"/>
        </w:rPr>
        <w:t>test</w:t>
      </w:r>
      <w:r>
        <w:rPr>
          <w:spacing w:val="-9"/>
          <w:sz w:val="20"/>
          <w:vertAlign w:val="baseline"/>
        </w:rPr>
        <w:t> </w:t>
      </w:r>
      <w:r>
        <w:rPr>
          <w:sz w:val="20"/>
          <w:vertAlign w:val="baseline"/>
        </w:rPr>
        <w:t>may</w:t>
      </w:r>
      <w:r>
        <w:rPr>
          <w:spacing w:val="-10"/>
          <w:sz w:val="20"/>
          <w:vertAlign w:val="baseline"/>
        </w:rPr>
        <w:t> </w:t>
      </w:r>
      <w:r>
        <w:rPr>
          <w:sz w:val="20"/>
          <w:vertAlign w:val="baseline"/>
        </w:rPr>
        <w:t>also</w:t>
      </w:r>
      <w:r>
        <w:rPr>
          <w:spacing w:val="-7"/>
          <w:sz w:val="20"/>
          <w:vertAlign w:val="baseline"/>
        </w:rPr>
        <w:t> </w:t>
      </w:r>
      <w:r>
        <w:rPr>
          <w:sz w:val="20"/>
          <w:vertAlign w:val="baseline"/>
        </w:rPr>
        <w:t>apply</w:t>
      </w:r>
      <w:r>
        <w:rPr>
          <w:spacing w:val="-9"/>
          <w:sz w:val="20"/>
          <w:vertAlign w:val="baseline"/>
        </w:rPr>
        <w:t> </w:t>
      </w:r>
      <w:r>
        <w:rPr>
          <w:sz w:val="20"/>
          <w:vertAlign w:val="baseline"/>
        </w:rPr>
        <w:t>differently</w:t>
      </w:r>
      <w:r>
        <w:rPr>
          <w:spacing w:val="-10"/>
          <w:sz w:val="20"/>
          <w:vertAlign w:val="baseline"/>
        </w:rPr>
        <w:t> </w:t>
      </w:r>
      <w:r>
        <w:rPr>
          <w:sz w:val="20"/>
          <w:vertAlign w:val="baseline"/>
        </w:rPr>
        <w:t>between</w:t>
      </w:r>
      <w:r>
        <w:rPr>
          <w:spacing w:val="-7"/>
          <w:sz w:val="20"/>
          <w:vertAlign w:val="baseline"/>
        </w:rPr>
        <w:t> </w:t>
      </w:r>
      <w:r>
        <w:rPr>
          <w:sz w:val="20"/>
          <w:vertAlign w:val="baseline"/>
        </w:rPr>
        <w:t>established businesses</w:t>
      </w:r>
      <w:r>
        <w:rPr>
          <w:spacing w:val="-5"/>
          <w:sz w:val="20"/>
          <w:vertAlign w:val="baseline"/>
        </w:rPr>
        <w:t> </w:t>
      </w:r>
      <w:r>
        <w:rPr>
          <w:sz w:val="20"/>
          <w:vertAlign w:val="baseline"/>
        </w:rPr>
        <w:t>and</w:t>
      </w:r>
      <w:r>
        <w:rPr>
          <w:spacing w:val="-4"/>
          <w:sz w:val="20"/>
          <w:vertAlign w:val="baseline"/>
        </w:rPr>
        <w:t> </w:t>
      </w:r>
      <w:r>
        <w:rPr>
          <w:sz w:val="20"/>
          <w:vertAlign w:val="baseline"/>
        </w:rPr>
        <w:t>new</w:t>
      </w:r>
      <w:r>
        <w:rPr>
          <w:spacing w:val="-5"/>
          <w:sz w:val="20"/>
          <w:vertAlign w:val="baseline"/>
        </w:rPr>
        <w:t> </w:t>
      </w:r>
      <w:r>
        <w:rPr>
          <w:sz w:val="20"/>
          <w:vertAlign w:val="baseline"/>
        </w:rPr>
        <w:t>businesses,</w:t>
      </w:r>
      <w:r>
        <w:rPr>
          <w:spacing w:val="-6"/>
          <w:sz w:val="20"/>
          <w:vertAlign w:val="baseline"/>
        </w:rPr>
        <w:t> </w:t>
      </w:r>
      <w:r>
        <w:rPr>
          <w:sz w:val="20"/>
          <w:vertAlign w:val="baseline"/>
        </w:rPr>
        <w:t>given</w:t>
      </w:r>
      <w:r>
        <w:rPr>
          <w:spacing w:val="-5"/>
          <w:sz w:val="20"/>
          <w:vertAlign w:val="baseline"/>
        </w:rPr>
        <w:t> </w:t>
      </w:r>
      <w:r>
        <w:rPr>
          <w:sz w:val="20"/>
          <w:vertAlign w:val="baseline"/>
        </w:rPr>
        <w:t>that</w:t>
      </w:r>
      <w:r>
        <w:rPr>
          <w:spacing w:val="-6"/>
          <w:sz w:val="20"/>
          <w:vertAlign w:val="baseline"/>
        </w:rPr>
        <w:t> </w:t>
      </w:r>
      <w:r>
        <w:rPr>
          <w:sz w:val="20"/>
          <w:vertAlign w:val="baseline"/>
        </w:rPr>
        <w:t>penetrating</w:t>
      </w:r>
      <w:r>
        <w:rPr>
          <w:spacing w:val="-5"/>
          <w:sz w:val="20"/>
          <w:vertAlign w:val="baseline"/>
        </w:rPr>
        <w:t> </w:t>
      </w:r>
      <w:r>
        <w:rPr>
          <w:sz w:val="20"/>
          <w:vertAlign w:val="baseline"/>
        </w:rPr>
        <w:t>a</w:t>
      </w:r>
      <w:r>
        <w:rPr>
          <w:spacing w:val="-7"/>
          <w:sz w:val="20"/>
          <w:vertAlign w:val="baseline"/>
        </w:rPr>
        <w:t> </w:t>
      </w:r>
      <w:r>
        <w:rPr>
          <w:sz w:val="20"/>
          <w:vertAlign w:val="baseline"/>
        </w:rPr>
        <w:t>market</w:t>
      </w:r>
      <w:r>
        <w:rPr>
          <w:spacing w:val="-7"/>
          <w:sz w:val="20"/>
          <w:vertAlign w:val="baseline"/>
        </w:rPr>
        <w:t> </w:t>
      </w:r>
      <w:r>
        <w:rPr>
          <w:sz w:val="20"/>
          <w:vertAlign w:val="baseline"/>
        </w:rPr>
        <w:t>with</w:t>
      </w:r>
      <w:r>
        <w:rPr>
          <w:spacing w:val="-5"/>
          <w:sz w:val="20"/>
          <w:vertAlign w:val="baseline"/>
        </w:rPr>
        <w:t> </w:t>
      </w:r>
      <w:r>
        <w:rPr>
          <w:sz w:val="20"/>
          <w:vertAlign w:val="baseline"/>
        </w:rPr>
        <w:t>a</w:t>
      </w:r>
      <w:r>
        <w:rPr>
          <w:spacing w:val="-5"/>
          <w:sz w:val="20"/>
          <w:vertAlign w:val="baseline"/>
        </w:rPr>
        <w:t> </w:t>
      </w:r>
      <w:r>
        <w:rPr>
          <w:sz w:val="20"/>
          <w:vertAlign w:val="baseline"/>
        </w:rPr>
        <w:t>new</w:t>
      </w:r>
      <w:r>
        <w:rPr>
          <w:spacing w:val="-6"/>
          <w:sz w:val="20"/>
          <w:vertAlign w:val="baseline"/>
        </w:rPr>
        <w:t> </w:t>
      </w:r>
      <w:r>
        <w:rPr>
          <w:sz w:val="20"/>
          <w:vertAlign w:val="baseline"/>
        </w:rPr>
        <w:t>brand</w:t>
      </w:r>
      <w:r>
        <w:rPr>
          <w:spacing w:val="-5"/>
          <w:sz w:val="20"/>
          <w:vertAlign w:val="baseline"/>
        </w:rPr>
        <w:t> </w:t>
      </w:r>
      <w:r>
        <w:rPr>
          <w:sz w:val="20"/>
          <w:vertAlign w:val="baseline"/>
        </w:rPr>
        <w:t>requires</w:t>
      </w:r>
      <w:r>
        <w:rPr>
          <w:spacing w:val="-3"/>
          <w:sz w:val="20"/>
          <w:vertAlign w:val="baseline"/>
        </w:rPr>
        <w:t> </w:t>
      </w:r>
      <w:r>
        <w:rPr>
          <w:sz w:val="20"/>
          <w:vertAlign w:val="baseline"/>
        </w:rPr>
        <w:t>a</w:t>
      </w:r>
      <w:r>
        <w:rPr>
          <w:spacing w:val="-5"/>
          <w:sz w:val="20"/>
          <w:vertAlign w:val="baseline"/>
        </w:rPr>
        <w:t> </w:t>
      </w:r>
      <w:r>
        <w:rPr>
          <w:sz w:val="20"/>
          <w:vertAlign w:val="baseline"/>
        </w:rPr>
        <w:t>higher</w:t>
      </w:r>
      <w:r>
        <w:rPr>
          <w:spacing w:val="-3"/>
          <w:sz w:val="20"/>
          <w:vertAlign w:val="baseline"/>
        </w:rPr>
        <w:t> </w:t>
      </w:r>
      <w:r>
        <w:rPr>
          <w:sz w:val="20"/>
          <w:vertAlign w:val="baseline"/>
        </w:rPr>
        <w:t>level of</w:t>
      </w:r>
      <w:r>
        <w:rPr>
          <w:spacing w:val="-5"/>
          <w:sz w:val="20"/>
          <w:vertAlign w:val="baseline"/>
        </w:rPr>
        <w:t> </w:t>
      </w:r>
      <w:r>
        <w:rPr>
          <w:sz w:val="20"/>
          <w:vertAlign w:val="baseline"/>
        </w:rPr>
        <w:t>A&amp;P</w:t>
      </w:r>
      <w:r>
        <w:rPr>
          <w:spacing w:val="-7"/>
          <w:sz w:val="20"/>
          <w:vertAlign w:val="baseline"/>
        </w:rPr>
        <w:t> </w:t>
      </w:r>
      <w:r>
        <w:rPr>
          <w:sz w:val="20"/>
          <w:vertAlign w:val="baseline"/>
        </w:rPr>
        <w:t>expenditures.</w:t>
      </w:r>
      <w:r>
        <w:rPr>
          <w:spacing w:val="-5"/>
          <w:sz w:val="20"/>
          <w:vertAlign w:val="baseline"/>
        </w:rPr>
        <w:t> </w:t>
      </w:r>
      <w:r>
        <w:rPr>
          <w:sz w:val="20"/>
          <w:vertAlign w:val="baseline"/>
        </w:rPr>
        <w:t>Further</w:t>
      </w:r>
      <w:r>
        <w:rPr>
          <w:spacing w:val="-6"/>
          <w:sz w:val="20"/>
          <w:vertAlign w:val="baseline"/>
        </w:rPr>
        <w:t> </w:t>
      </w:r>
      <w:r>
        <w:rPr>
          <w:sz w:val="20"/>
          <w:vertAlign w:val="baseline"/>
        </w:rPr>
        <w:t>work</w:t>
      </w:r>
      <w:r>
        <w:rPr>
          <w:spacing w:val="-3"/>
          <w:sz w:val="20"/>
          <w:vertAlign w:val="baseline"/>
        </w:rPr>
        <w:t> </w:t>
      </w:r>
      <w:r>
        <w:rPr>
          <w:sz w:val="20"/>
          <w:vertAlign w:val="baseline"/>
        </w:rPr>
        <w:t>will</w:t>
      </w:r>
      <w:r>
        <w:rPr>
          <w:spacing w:val="-7"/>
          <w:sz w:val="20"/>
          <w:vertAlign w:val="baseline"/>
        </w:rPr>
        <w:t> </w:t>
      </w:r>
      <w:r>
        <w:rPr>
          <w:sz w:val="20"/>
          <w:vertAlign w:val="baseline"/>
        </w:rPr>
        <w:t>therefore</w:t>
      </w:r>
      <w:r>
        <w:rPr>
          <w:spacing w:val="-6"/>
          <w:sz w:val="20"/>
          <w:vertAlign w:val="baseline"/>
        </w:rPr>
        <w:t> </w:t>
      </w:r>
      <w:r>
        <w:rPr>
          <w:sz w:val="20"/>
          <w:vertAlign w:val="baseline"/>
        </w:rPr>
        <w:t>be</w:t>
      </w:r>
      <w:r>
        <w:rPr>
          <w:spacing w:val="-7"/>
          <w:sz w:val="20"/>
          <w:vertAlign w:val="baseline"/>
        </w:rPr>
        <w:t> </w:t>
      </w:r>
      <w:r>
        <w:rPr>
          <w:sz w:val="20"/>
          <w:vertAlign w:val="baseline"/>
        </w:rPr>
        <w:t>carried</w:t>
      </w:r>
      <w:r>
        <w:rPr>
          <w:spacing w:val="-7"/>
          <w:sz w:val="20"/>
          <w:vertAlign w:val="baseline"/>
        </w:rPr>
        <w:t> </w:t>
      </w:r>
      <w:r>
        <w:rPr>
          <w:sz w:val="20"/>
          <w:vertAlign w:val="baseline"/>
        </w:rPr>
        <w:t>out</w:t>
      </w:r>
      <w:r>
        <w:rPr>
          <w:spacing w:val="-6"/>
          <w:sz w:val="20"/>
          <w:vertAlign w:val="baseline"/>
        </w:rPr>
        <w:t> </w:t>
      </w:r>
      <w:r>
        <w:rPr>
          <w:sz w:val="20"/>
          <w:vertAlign w:val="baseline"/>
        </w:rPr>
        <w:t>on</w:t>
      </w:r>
      <w:r>
        <w:rPr>
          <w:spacing w:val="-7"/>
          <w:sz w:val="20"/>
          <w:vertAlign w:val="baseline"/>
        </w:rPr>
        <w:t> </w:t>
      </w:r>
      <w:r>
        <w:rPr>
          <w:sz w:val="20"/>
          <w:vertAlign w:val="baseline"/>
        </w:rPr>
        <w:t>the</w:t>
      </w:r>
      <w:r>
        <w:rPr>
          <w:spacing w:val="-7"/>
          <w:sz w:val="20"/>
          <w:vertAlign w:val="baseline"/>
        </w:rPr>
        <w:t> </w:t>
      </w:r>
      <w:r>
        <w:rPr>
          <w:sz w:val="20"/>
          <w:vertAlign w:val="baseline"/>
        </w:rPr>
        <w:t>technical</w:t>
      </w:r>
      <w:r>
        <w:rPr>
          <w:spacing w:val="-6"/>
          <w:sz w:val="20"/>
          <w:vertAlign w:val="baseline"/>
        </w:rPr>
        <w:t> </w:t>
      </w:r>
      <w:r>
        <w:rPr>
          <w:sz w:val="20"/>
          <w:vertAlign w:val="baseline"/>
        </w:rPr>
        <w:t>aspects</w:t>
      </w:r>
      <w:r>
        <w:rPr>
          <w:spacing w:val="-4"/>
          <w:sz w:val="20"/>
          <w:vertAlign w:val="baseline"/>
        </w:rPr>
        <w:t> </w:t>
      </w:r>
      <w:r>
        <w:rPr>
          <w:sz w:val="20"/>
          <w:vertAlign w:val="baseline"/>
        </w:rPr>
        <w:t>of</w:t>
      </w:r>
      <w:r>
        <w:rPr>
          <w:spacing w:val="-5"/>
          <w:sz w:val="20"/>
          <w:vertAlign w:val="baseline"/>
        </w:rPr>
        <w:t> </w:t>
      </w:r>
      <w:r>
        <w:rPr>
          <w:sz w:val="20"/>
          <w:vertAlign w:val="baseline"/>
        </w:rPr>
        <w:t>this</w:t>
      </w:r>
      <w:r>
        <w:rPr>
          <w:spacing w:val="-5"/>
          <w:sz w:val="20"/>
          <w:vertAlign w:val="baseline"/>
        </w:rPr>
        <w:t> </w:t>
      </w:r>
      <w:r>
        <w:rPr>
          <w:sz w:val="20"/>
          <w:vertAlign w:val="baseline"/>
        </w:rPr>
        <w:t>test,</w:t>
      </w:r>
      <w:r>
        <w:rPr>
          <w:spacing w:val="-6"/>
          <w:sz w:val="20"/>
          <w:vertAlign w:val="baseline"/>
        </w:rPr>
        <w:t> </w:t>
      </w:r>
      <w:r>
        <w:rPr>
          <w:sz w:val="20"/>
          <w:vertAlign w:val="baseline"/>
        </w:rPr>
        <w:t>noting however, the administrative difficulties and</w:t>
      </w:r>
      <w:r>
        <w:rPr>
          <w:spacing w:val="2"/>
          <w:sz w:val="20"/>
          <w:vertAlign w:val="baseline"/>
        </w:rPr>
        <w:t> </w:t>
      </w:r>
      <w:r>
        <w:rPr>
          <w:sz w:val="20"/>
          <w:vertAlign w:val="baseline"/>
        </w:rPr>
        <w:t>challenges.</w:t>
      </w:r>
    </w:p>
    <w:p>
      <w:pPr>
        <w:pStyle w:val="BodyText"/>
        <w:rPr>
          <w:sz w:val="22"/>
        </w:rPr>
      </w:pPr>
    </w:p>
    <w:p>
      <w:pPr>
        <w:pStyle w:val="Heading4"/>
        <w:numPr>
          <w:ilvl w:val="1"/>
          <w:numId w:val="17"/>
        </w:numPr>
        <w:tabs>
          <w:tab w:pos="1192" w:val="left" w:leader="none"/>
        </w:tabs>
        <w:spacing w:line="240" w:lineRule="auto" w:before="194" w:after="0"/>
        <w:ind w:left="1191" w:right="0" w:hanging="469"/>
        <w:jc w:val="both"/>
        <w:rPr>
          <w:rFonts w:ascii="Arial"/>
        </w:rPr>
      </w:pPr>
      <w:bookmarkStart w:name="3.3. Next steps" w:id="103"/>
      <w:bookmarkEnd w:id="103"/>
      <w:r>
        <w:rPr>
          <w:b w:val="0"/>
        </w:rPr>
      </w:r>
      <w:bookmarkStart w:name="_bookmark18" w:id="104"/>
      <w:bookmarkEnd w:id="104"/>
      <w:r>
        <w:rPr>
          <w:b w:val="0"/>
        </w:rPr>
      </w:r>
      <w:bookmarkStart w:name="_bookmark18" w:id="105"/>
      <w:bookmarkEnd w:id="105"/>
      <w:r>
        <w:rPr>
          <w:rFonts w:ascii="Arial"/>
          <w:color w:val="4E81BD"/>
        </w:rPr>
        <w:t>Ne</w:t>
      </w:r>
      <w:r>
        <w:rPr>
          <w:rFonts w:ascii="Arial"/>
          <w:color w:val="4E81BD"/>
        </w:rPr>
        <w:t>xt steps</w:t>
      </w:r>
    </w:p>
    <w:p>
      <w:pPr>
        <w:pStyle w:val="BodyText"/>
        <w:spacing w:before="3"/>
        <w:rPr>
          <w:b/>
          <w:sz w:val="24"/>
        </w:rPr>
      </w:pPr>
    </w:p>
    <w:p>
      <w:pPr>
        <w:pStyle w:val="ListParagraph"/>
        <w:numPr>
          <w:ilvl w:val="0"/>
          <w:numId w:val="13"/>
        </w:numPr>
        <w:tabs>
          <w:tab w:pos="1444" w:val="left" w:leader="none"/>
        </w:tabs>
        <w:spacing w:line="271" w:lineRule="auto" w:before="1" w:after="0"/>
        <w:ind w:left="723" w:right="479" w:firstLine="0"/>
        <w:jc w:val="both"/>
        <w:rPr>
          <w:sz w:val="20"/>
        </w:rPr>
      </w:pPr>
      <w:r>
        <w:rPr>
          <w:sz w:val="20"/>
        </w:rPr>
        <w:t>As a next step, decisions will be needed on the amount of the thresholds, the use of plus factors, and</w:t>
      </w:r>
      <w:r>
        <w:rPr>
          <w:spacing w:val="-4"/>
          <w:sz w:val="20"/>
        </w:rPr>
        <w:t> </w:t>
      </w:r>
      <w:r>
        <w:rPr>
          <w:sz w:val="20"/>
        </w:rPr>
        <w:t>if</w:t>
      </w:r>
      <w:r>
        <w:rPr>
          <w:spacing w:val="-4"/>
          <w:sz w:val="20"/>
        </w:rPr>
        <w:t> </w:t>
      </w:r>
      <w:r>
        <w:rPr>
          <w:sz w:val="20"/>
        </w:rPr>
        <w:t>so,</w:t>
      </w:r>
      <w:r>
        <w:rPr>
          <w:spacing w:val="-6"/>
          <w:sz w:val="20"/>
        </w:rPr>
        <w:t> </w:t>
      </w:r>
      <w:r>
        <w:rPr>
          <w:sz w:val="20"/>
        </w:rPr>
        <w:t>which</w:t>
      </w:r>
      <w:r>
        <w:rPr>
          <w:spacing w:val="-6"/>
          <w:sz w:val="20"/>
        </w:rPr>
        <w:t> </w:t>
      </w:r>
      <w:r>
        <w:rPr>
          <w:sz w:val="20"/>
        </w:rPr>
        <w:t>ones,</w:t>
      </w:r>
      <w:r>
        <w:rPr>
          <w:spacing w:val="-6"/>
          <w:sz w:val="20"/>
        </w:rPr>
        <w:t> </w:t>
      </w:r>
      <w:r>
        <w:rPr>
          <w:sz w:val="20"/>
        </w:rPr>
        <w:t>and</w:t>
      </w:r>
      <w:r>
        <w:rPr>
          <w:spacing w:val="-3"/>
          <w:sz w:val="20"/>
        </w:rPr>
        <w:t> </w:t>
      </w:r>
      <w:r>
        <w:rPr>
          <w:sz w:val="20"/>
        </w:rPr>
        <w:t>whether</w:t>
      </w:r>
      <w:r>
        <w:rPr>
          <w:spacing w:val="-5"/>
          <w:sz w:val="20"/>
        </w:rPr>
        <w:t> </w:t>
      </w:r>
      <w:r>
        <w:rPr>
          <w:sz w:val="20"/>
        </w:rPr>
        <w:t>and</w:t>
      </w:r>
      <w:r>
        <w:rPr>
          <w:spacing w:val="-6"/>
          <w:sz w:val="20"/>
        </w:rPr>
        <w:t> </w:t>
      </w:r>
      <w:r>
        <w:rPr>
          <w:sz w:val="20"/>
        </w:rPr>
        <w:t>how,</w:t>
      </w:r>
      <w:r>
        <w:rPr>
          <w:spacing w:val="-5"/>
          <w:sz w:val="20"/>
        </w:rPr>
        <w:t> </w:t>
      </w:r>
      <w:r>
        <w:rPr>
          <w:sz w:val="20"/>
        </w:rPr>
        <w:t>the</w:t>
      </w:r>
      <w:r>
        <w:rPr>
          <w:spacing w:val="-7"/>
          <w:sz w:val="20"/>
        </w:rPr>
        <w:t> </w:t>
      </w:r>
      <w:r>
        <w:rPr>
          <w:sz w:val="20"/>
        </w:rPr>
        <w:t>rules</w:t>
      </w:r>
      <w:r>
        <w:rPr>
          <w:spacing w:val="-3"/>
          <w:sz w:val="20"/>
        </w:rPr>
        <w:t> </w:t>
      </w:r>
      <w:r>
        <w:rPr>
          <w:sz w:val="20"/>
        </w:rPr>
        <w:t>might</w:t>
      </w:r>
      <w:r>
        <w:rPr>
          <w:spacing w:val="-5"/>
          <w:sz w:val="20"/>
        </w:rPr>
        <w:t> </w:t>
      </w:r>
      <w:r>
        <w:rPr>
          <w:sz w:val="20"/>
        </w:rPr>
        <w:t>be</w:t>
      </w:r>
      <w:r>
        <w:rPr>
          <w:spacing w:val="-7"/>
          <w:sz w:val="20"/>
        </w:rPr>
        <w:t> </w:t>
      </w:r>
      <w:r>
        <w:rPr>
          <w:sz w:val="20"/>
        </w:rPr>
        <w:t>adapted</w:t>
      </w:r>
      <w:r>
        <w:rPr>
          <w:spacing w:val="-6"/>
          <w:sz w:val="20"/>
        </w:rPr>
        <w:t> </w:t>
      </w:r>
      <w:r>
        <w:rPr>
          <w:sz w:val="20"/>
        </w:rPr>
        <w:t>to</w:t>
      </w:r>
      <w:r>
        <w:rPr>
          <w:spacing w:val="-7"/>
          <w:sz w:val="20"/>
        </w:rPr>
        <w:t> </w:t>
      </w:r>
      <w:r>
        <w:rPr>
          <w:sz w:val="20"/>
        </w:rPr>
        <w:t>the</w:t>
      </w:r>
      <w:r>
        <w:rPr>
          <w:spacing w:val="-7"/>
          <w:sz w:val="20"/>
        </w:rPr>
        <w:t> </w:t>
      </w:r>
      <w:r>
        <w:rPr>
          <w:sz w:val="20"/>
        </w:rPr>
        <w:t>needs</w:t>
      </w:r>
      <w:r>
        <w:rPr>
          <w:spacing w:val="-4"/>
          <w:sz w:val="20"/>
        </w:rPr>
        <w:t> </w:t>
      </w:r>
      <w:r>
        <w:rPr>
          <w:sz w:val="20"/>
        </w:rPr>
        <w:t>of</w:t>
      </w:r>
      <w:r>
        <w:rPr>
          <w:spacing w:val="-4"/>
          <w:sz w:val="20"/>
        </w:rPr>
        <w:t> </w:t>
      </w:r>
      <w:r>
        <w:rPr>
          <w:sz w:val="20"/>
        </w:rPr>
        <w:t>small,</w:t>
      </w:r>
      <w:r>
        <w:rPr>
          <w:spacing w:val="-6"/>
          <w:sz w:val="20"/>
        </w:rPr>
        <w:t> </w:t>
      </w:r>
      <w:r>
        <w:rPr>
          <w:sz w:val="20"/>
        </w:rPr>
        <w:t>developing economies.</w:t>
      </w:r>
    </w:p>
    <w:p>
      <w:pPr>
        <w:pStyle w:val="ListParagraph"/>
        <w:numPr>
          <w:ilvl w:val="0"/>
          <w:numId w:val="13"/>
        </w:numPr>
        <w:tabs>
          <w:tab w:pos="1444" w:val="left" w:leader="none"/>
        </w:tabs>
        <w:spacing w:line="240" w:lineRule="auto" w:before="120" w:after="0"/>
        <w:ind w:left="1443" w:right="0" w:hanging="721"/>
        <w:jc w:val="both"/>
        <w:rPr>
          <w:sz w:val="20"/>
        </w:rPr>
      </w:pPr>
      <w:r>
        <w:rPr>
          <w:sz w:val="20"/>
        </w:rPr>
        <w:t>In addition, further technical work will be undertaken</w:t>
      </w:r>
      <w:r>
        <w:rPr>
          <w:spacing w:val="-2"/>
          <w:sz w:val="20"/>
        </w:rPr>
        <w:t> </w:t>
      </w:r>
      <w:r>
        <w:rPr>
          <w:sz w:val="20"/>
        </w:rPr>
        <w:t>on:</w:t>
      </w:r>
    </w:p>
    <w:p>
      <w:pPr>
        <w:pStyle w:val="ListParagraph"/>
        <w:numPr>
          <w:ilvl w:val="1"/>
          <w:numId w:val="13"/>
        </w:numPr>
        <w:tabs>
          <w:tab w:pos="1403" w:val="left" w:leader="none"/>
        </w:tabs>
        <w:spacing w:line="268" w:lineRule="auto" w:before="128" w:after="0"/>
        <w:ind w:left="1402" w:right="489" w:hanging="339"/>
        <w:jc w:val="both"/>
        <w:rPr>
          <w:sz w:val="20"/>
        </w:rPr>
      </w:pPr>
      <w:r>
        <w:rPr>
          <w:sz w:val="20"/>
        </w:rPr>
        <w:t>Defining a possible temporal requirement (the period over which an MNE will have to satisfy the above tests: whether reaching the nexus threshold for one year will be sufficient or whether it will be necessary to apply the test over a longer</w:t>
      </w:r>
      <w:r>
        <w:rPr>
          <w:spacing w:val="-13"/>
          <w:sz w:val="20"/>
        </w:rPr>
        <w:t> </w:t>
      </w:r>
      <w:r>
        <w:rPr>
          <w:sz w:val="20"/>
        </w:rPr>
        <w:t>period);</w:t>
      </w:r>
    </w:p>
    <w:p>
      <w:pPr>
        <w:pStyle w:val="ListParagraph"/>
        <w:numPr>
          <w:ilvl w:val="1"/>
          <w:numId w:val="13"/>
        </w:numPr>
        <w:tabs>
          <w:tab w:pos="1403" w:val="left" w:leader="none"/>
        </w:tabs>
        <w:spacing w:line="240" w:lineRule="auto" w:before="51" w:after="0"/>
        <w:ind w:left="1402" w:right="0" w:hanging="339"/>
        <w:jc w:val="both"/>
        <w:rPr>
          <w:sz w:val="20"/>
        </w:rPr>
      </w:pPr>
      <w:r>
        <w:rPr>
          <w:sz w:val="20"/>
        </w:rPr>
        <w:t>The precise details of a standalone “physical presence” definition based on the commonalities</w:t>
      </w:r>
      <w:r>
        <w:rPr>
          <w:spacing w:val="4"/>
          <w:sz w:val="20"/>
        </w:rPr>
        <w:t> </w:t>
      </w:r>
      <w:r>
        <w:rPr>
          <w:sz w:val="20"/>
        </w:rPr>
        <w:t>of</w:t>
      </w:r>
    </w:p>
    <w:p>
      <w:pPr>
        <w:pStyle w:val="BodyText"/>
        <w:spacing w:before="30"/>
        <w:ind w:left="1402"/>
        <w:jc w:val="both"/>
      </w:pPr>
      <w:r>
        <w:rPr/>
        <w:t>the UN and the OECD models;</w:t>
      </w:r>
    </w:p>
    <w:p>
      <w:pPr>
        <w:pStyle w:val="ListParagraph"/>
        <w:numPr>
          <w:ilvl w:val="1"/>
          <w:numId w:val="13"/>
        </w:numPr>
        <w:tabs>
          <w:tab w:pos="1403" w:val="left" w:leader="none"/>
        </w:tabs>
        <w:spacing w:line="240" w:lineRule="auto" w:before="76" w:after="0"/>
        <w:ind w:left="1402" w:right="0" w:hanging="339"/>
        <w:jc w:val="both"/>
        <w:rPr>
          <w:sz w:val="20"/>
        </w:rPr>
      </w:pPr>
      <w:r>
        <w:rPr>
          <w:sz w:val="20"/>
        </w:rPr>
        <w:t>The issue of the connection between the plus factors and the in-scope</w:t>
      </w:r>
      <w:r>
        <w:rPr>
          <w:spacing w:val="-11"/>
          <w:sz w:val="20"/>
        </w:rPr>
        <w:t> </w:t>
      </w:r>
      <w:r>
        <w:rPr>
          <w:sz w:val="20"/>
        </w:rPr>
        <w:t>sales;</w:t>
      </w:r>
    </w:p>
    <w:p>
      <w:pPr>
        <w:pStyle w:val="ListParagraph"/>
        <w:numPr>
          <w:ilvl w:val="1"/>
          <w:numId w:val="13"/>
        </w:numPr>
        <w:tabs>
          <w:tab w:pos="1403" w:val="left" w:leader="none"/>
        </w:tabs>
        <w:spacing w:line="268" w:lineRule="auto" w:before="74" w:after="0"/>
        <w:ind w:left="1402" w:right="485" w:hanging="339"/>
        <w:jc w:val="both"/>
        <w:rPr>
          <w:sz w:val="20"/>
        </w:rPr>
      </w:pPr>
      <w:r>
        <w:rPr>
          <w:sz w:val="20"/>
        </w:rPr>
        <w:t>Work on possible plus factors, with specific considerations for franchise and licensing business models;</w:t>
      </w:r>
      <w:r>
        <w:rPr>
          <w:spacing w:val="-2"/>
          <w:sz w:val="20"/>
        </w:rPr>
        <w:t> </w:t>
      </w:r>
      <w:r>
        <w:rPr>
          <w:sz w:val="20"/>
        </w:rPr>
        <w:t>and</w:t>
      </w:r>
    </w:p>
    <w:p>
      <w:pPr>
        <w:pStyle w:val="ListParagraph"/>
        <w:numPr>
          <w:ilvl w:val="1"/>
          <w:numId w:val="13"/>
        </w:numPr>
        <w:tabs>
          <w:tab w:pos="1403" w:val="left" w:leader="none"/>
        </w:tabs>
        <w:spacing w:line="266" w:lineRule="auto" w:before="49" w:after="0"/>
        <w:ind w:left="1402" w:right="485" w:hanging="339"/>
        <w:jc w:val="both"/>
        <w:rPr>
          <w:sz w:val="20"/>
        </w:rPr>
      </w:pPr>
      <w:r>
        <w:rPr>
          <w:sz w:val="20"/>
        </w:rPr>
        <w:t>Consistent technical definitions and rules applicable to all thresholds along Amount A (currency, timing issues,</w:t>
      </w:r>
      <w:r>
        <w:rPr>
          <w:spacing w:val="-4"/>
          <w:sz w:val="20"/>
        </w:rPr>
        <w:t> </w:t>
      </w:r>
      <w:r>
        <w:rPr>
          <w:sz w:val="20"/>
        </w:rPr>
        <w:t>etc.).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7"/>
        </w:rPr>
      </w:pPr>
      <w:r>
        <w:rPr/>
        <w:pict>
          <v:rect style="position:absolute;margin-left:65.183998pt;margin-top:11.733603pt;width:144.020004pt;height:.60004pt;mso-position-horizontal-relative:page;mso-position-vertical-relative:paragraph;z-index:-1568102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6" w:val="left" w:leader="none"/>
        </w:tabs>
        <w:spacing w:line="278" w:lineRule="auto" w:before="94" w:after="0"/>
        <w:ind w:left="723" w:right="488" w:firstLine="0"/>
        <w:jc w:val="left"/>
        <w:rPr>
          <w:sz w:val="18"/>
        </w:rPr>
      </w:pPr>
      <w:r>
        <w:rPr>
          <w:sz w:val="18"/>
        </w:rPr>
        <w:t>A</w:t>
      </w:r>
      <w:r>
        <w:rPr>
          <w:spacing w:val="-5"/>
          <w:sz w:val="18"/>
        </w:rPr>
        <w:t> </w:t>
      </w:r>
      <w:r>
        <w:rPr>
          <w:sz w:val="18"/>
        </w:rPr>
        <w:t>possibility</w:t>
      </w:r>
      <w:r>
        <w:rPr>
          <w:spacing w:val="-5"/>
          <w:sz w:val="18"/>
        </w:rPr>
        <w:t> </w:t>
      </w:r>
      <w:r>
        <w:rPr>
          <w:sz w:val="18"/>
        </w:rPr>
        <w:t>favoured</w:t>
      </w:r>
      <w:r>
        <w:rPr>
          <w:spacing w:val="-4"/>
          <w:sz w:val="18"/>
        </w:rPr>
        <w:t> </w:t>
      </w:r>
      <w:r>
        <w:rPr>
          <w:sz w:val="18"/>
        </w:rPr>
        <w:t>by</w:t>
      </w:r>
      <w:r>
        <w:rPr>
          <w:spacing w:val="-6"/>
          <w:sz w:val="18"/>
        </w:rPr>
        <w:t> </w:t>
      </w:r>
      <w:r>
        <w:rPr>
          <w:sz w:val="18"/>
        </w:rPr>
        <w:t>some</w:t>
      </w:r>
      <w:r>
        <w:rPr>
          <w:spacing w:val="-4"/>
          <w:sz w:val="18"/>
        </w:rPr>
        <w:t> </w:t>
      </w:r>
      <w:r>
        <w:rPr>
          <w:sz w:val="18"/>
        </w:rPr>
        <w:t>jurisdictions</w:t>
      </w:r>
      <w:r>
        <w:rPr>
          <w:spacing w:val="-6"/>
          <w:sz w:val="18"/>
        </w:rPr>
        <w:t> </w:t>
      </w:r>
      <w:r>
        <w:rPr>
          <w:sz w:val="18"/>
        </w:rPr>
        <w:t>would</w:t>
      </w:r>
      <w:r>
        <w:rPr>
          <w:spacing w:val="-4"/>
          <w:sz w:val="18"/>
        </w:rPr>
        <w:t> </w:t>
      </w:r>
      <w:r>
        <w:rPr>
          <w:sz w:val="18"/>
        </w:rPr>
        <w:t>be</w:t>
      </w:r>
      <w:r>
        <w:rPr>
          <w:spacing w:val="-4"/>
          <w:sz w:val="18"/>
        </w:rPr>
        <w:t> </w:t>
      </w:r>
      <w:r>
        <w:rPr>
          <w:sz w:val="18"/>
        </w:rPr>
        <w:t>to</w:t>
      </w:r>
      <w:r>
        <w:rPr>
          <w:spacing w:val="-4"/>
          <w:sz w:val="18"/>
        </w:rPr>
        <w:t> </w:t>
      </w:r>
      <w:r>
        <w:rPr>
          <w:sz w:val="18"/>
        </w:rPr>
        <w:t>require</w:t>
      </w:r>
      <w:r>
        <w:rPr>
          <w:spacing w:val="-4"/>
          <w:sz w:val="18"/>
        </w:rPr>
        <w:t> </w:t>
      </w:r>
      <w:r>
        <w:rPr>
          <w:sz w:val="18"/>
        </w:rPr>
        <w:t>both</w:t>
      </w:r>
      <w:r>
        <w:rPr>
          <w:spacing w:val="-4"/>
          <w:sz w:val="18"/>
        </w:rPr>
        <w:t> </w:t>
      </w:r>
      <w:r>
        <w:rPr>
          <w:sz w:val="18"/>
        </w:rPr>
        <w:t>the</w:t>
      </w:r>
      <w:r>
        <w:rPr>
          <w:spacing w:val="-4"/>
          <w:sz w:val="18"/>
        </w:rPr>
        <w:t> </w:t>
      </w:r>
      <w:r>
        <w:rPr>
          <w:sz w:val="18"/>
        </w:rPr>
        <w:t>physical</w:t>
      </w:r>
      <w:r>
        <w:rPr>
          <w:spacing w:val="-4"/>
          <w:sz w:val="18"/>
        </w:rPr>
        <w:t> </w:t>
      </w:r>
      <w:r>
        <w:rPr>
          <w:sz w:val="18"/>
        </w:rPr>
        <w:t>presence</w:t>
      </w:r>
      <w:r>
        <w:rPr>
          <w:spacing w:val="-4"/>
          <w:sz w:val="18"/>
        </w:rPr>
        <w:t> </w:t>
      </w:r>
      <w:r>
        <w:rPr>
          <w:sz w:val="18"/>
        </w:rPr>
        <w:t>test</w:t>
      </w:r>
      <w:r>
        <w:rPr>
          <w:spacing w:val="-7"/>
          <w:sz w:val="18"/>
        </w:rPr>
        <w:t> </w:t>
      </w:r>
      <w:r>
        <w:rPr>
          <w:sz w:val="18"/>
        </w:rPr>
        <w:t>and</w:t>
      </w:r>
      <w:r>
        <w:rPr>
          <w:spacing w:val="-6"/>
          <w:sz w:val="18"/>
        </w:rPr>
        <w:t> </w:t>
      </w:r>
      <w:r>
        <w:rPr>
          <w:sz w:val="18"/>
        </w:rPr>
        <w:t>the</w:t>
      </w:r>
      <w:r>
        <w:rPr>
          <w:spacing w:val="-4"/>
          <w:sz w:val="18"/>
        </w:rPr>
        <w:t> </w:t>
      </w:r>
      <w:r>
        <w:rPr>
          <w:sz w:val="18"/>
        </w:rPr>
        <w:t>A&amp;P</w:t>
      </w:r>
      <w:r>
        <w:rPr>
          <w:spacing w:val="-4"/>
          <w:sz w:val="18"/>
        </w:rPr>
        <w:t> </w:t>
      </w:r>
      <w:r>
        <w:rPr>
          <w:sz w:val="18"/>
        </w:rPr>
        <w:t>test</w:t>
      </w:r>
      <w:r>
        <w:rPr>
          <w:spacing w:val="-4"/>
          <w:sz w:val="18"/>
        </w:rPr>
        <w:t> </w:t>
      </w:r>
      <w:r>
        <w:rPr>
          <w:sz w:val="18"/>
        </w:rPr>
        <w:t>to apply</w:t>
      </w:r>
      <w:r>
        <w:rPr>
          <w:spacing w:val="-4"/>
          <w:sz w:val="18"/>
        </w:rPr>
        <w:t> </w:t>
      </w:r>
      <w:r>
        <w:rPr>
          <w:sz w:val="18"/>
        </w:rPr>
        <w:t>as evidence</w:t>
      </w:r>
      <w:r>
        <w:rPr>
          <w:spacing w:val="-1"/>
          <w:sz w:val="18"/>
        </w:rPr>
        <w:t> </w:t>
      </w:r>
      <w:r>
        <w:rPr>
          <w:sz w:val="18"/>
        </w:rPr>
        <w:t>of</w:t>
      </w:r>
      <w:r>
        <w:rPr>
          <w:spacing w:val="-4"/>
          <w:sz w:val="18"/>
        </w:rPr>
        <w:t> </w:t>
      </w:r>
      <w:r>
        <w:rPr>
          <w:sz w:val="18"/>
        </w:rPr>
        <w:t>an</w:t>
      </w:r>
      <w:r>
        <w:rPr>
          <w:spacing w:val="-1"/>
          <w:sz w:val="18"/>
        </w:rPr>
        <w:t> </w:t>
      </w:r>
      <w:r>
        <w:rPr>
          <w:sz w:val="18"/>
        </w:rPr>
        <w:t>active</w:t>
      </w:r>
      <w:r>
        <w:rPr>
          <w:spacing w:val="-3"/>
          <w:sz w:val="18"/>
        </w:rPr>
        <w:t> </w:t>
      </w:r>
      <w:r>
        <w:rPr>
          <w:sz w:val="18"/>
        </w:rPr>
        <w:t>and</w:t>
      </w:r>
      <w:r>
        <w:rPr>
          <w:spacing w:val="-1"/>
          <w:sz w:val="18"/>
        </w:rPr>
        <w:t> </w:t>
      </w:r>
      <w:r>
        <w:rPr>
          <w:sz w:val="18"/>
        </w:rPr>
        <w:t>sustained</w:t>
      </w:r>
      <w:r>
        <w:rPr>
          <w:spacing w:val="-3"/>
          <w:sz w:val="18"/>
        </w:rPr>
        <w:t> </w:t>
      </w:r>
      <w:r>
        <w:rPr>
          <w:sz w:val="18"/>
        </w:rPr>
        <w:t>engagement</w:t>
      </w:r>
      <w:r>
        <w:rPr>
          <w:spacing w:val="-1"/>
          <w:sz w:val="18"/>
        </w:rPr>
        <w:t> </w:t>
      </w:r>
      <w:r>
        <w:rPr>
          <w:sz w:val="18"/>
        </w:rPr>
        <w:t>with</w:t>
      </w:r>
      <w:r>
        <w:rPr>
          <w:spacing w:val="-1"/>
          <w:sz w:val="18"/>
        </w:rPr>
        <w:t> </w:t>
      </w:r>
      <w:r>
        <w:rPr>
          <w:sz w:val="18"/>
        </w:rPr>
        <w:t>the</w:t>
      </w:r>
      <w:r>
        <w:rPr>
          <w:spacing w:val="-4"/>
          <w:sz w:val="18"/>
        </w:rPr>
        <w:t> </w:t>
      </w:r>
      <w:r>
        <w:rPr>
          <w:sz w:val="18"/>
        </w:rPr>
        <w:t>market</w:t>
      </w:r>
      <w:r>
        <w:rPr>
          <w:spacing w:val="-3"/>
          <w:sz w:val="18"/>
        </w:rPr>
        <w:t> </w:t>
      </w:r>
      <w:r>
        <w:rPr>
          <w:sz w:val="18"/>
        </w:rPr>
        <w:t>beyond</w:t>
      </w:r>
      <w:r>
        <w:rPr>
          <w:spacing w:val="-3"/>
          <w:sz w:val="18"/>
        </w:rPr>
        <w:t> </w:t>
      </w:r>
      <w:r>
        <w:rPr>
          <w:sz w:val="18"/>
        </w:rPr>
        <w:t>the</w:t>
      </w:r>
      <w:r>
        <w:rPr>
          <w:spacing w:val="-4"/>
          <w:sz w:val="18"/>
        </w:rPr>
        <w:t> </w:t>
      </w:r>
      <w:r>
        <w:rPr>
          <w:sz w:val="18"/>
        </w:rPr>
        <w:t>mere</w:t>
      </w:r>
      <w:r>
        <w:rPr>
          <w:spacing w:val="-3"/>
          <w:sz w:val="18"/>
        </w:rPr>
        <w:t> </w:t>
      </w:r>
      <w:r>
        <w:rPr>
          <w:sz w:val="18"/>
        </w:rPr>
        <w:t>conclusion</w:t>
      </w:r>
      <w:r>
        <w:rPr>
          <w:spacing w:val="-1"/>
          <w:sz w:val="18"/>
        </w:rPr>
        <w:t> </w:t>
      </w:r>
      <w:r>
        <w:rPr>
          <w:sz w:val="18"/>
        </w:rPr>
        <w:t>of</w:t>
      </w:r>
      <w:r>
        <w:rPr>
          <w:spacing w:val="-3"/>
          <w:sz w:val="18"/>
        </w:rPr>
        <w:t> </w:t>
      </w:r>
      <w:r>
        <w:rPr>
          <w:sz w:val="18"/>
        </w:rPr>
        <w:t>sales.</w:t>
      </w:r>
    </w:p>
    <w:p>
      <w:pPr>
        <w:spacing w:after="0" w:line="278" w:lineRule="auto"/>
        <w:jc w:val="left"/>
        <w:rPr>
          <w:sz w:val="18"/>
        </w:rPr>
        <w:sectPr>
          <w:pgSz w:w="11910" w:h="16840"/>
          <w:pgMar w:header="1244" w:footer="1638" w:top="1500" w:bottom="1820" w:left="580" w:right="82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43552" filled="true" fillcolor="#ffffff" stroked="false">
            <v:fill type="solid"/>
            <w10:wrap type="none"/>
          </v:rect>
        </w:pict>
      </w:r>
      <w:r>
        <w:rPr/>
        <w:pict>
          <v:rect style="position:absolute;margin-left:70.823997pt;margin-top:69.335754pt;width:59.279999pt;height:5.76pt;mso-position-horizontal-relative:page;mso-position-vertical-relative:paragraph;z-index:15777280" filled="true" fillcolor="#4e81bd" stroked="false">
            <v:fill type="solid"/>
            <w10:wrap type="none"/>
          </v:rect>
        </w:pict>
      </w:r>
      <w:bookmarkStart w:name="4.  Revenue sourcing rules" w:id="106"/>
      <w:bookmarkEnd w:id="106"/>
      <w:r>
        <w:rPr>
          <w:b w:val="0"/>
        </w:rPr>
      </w:r>
      <w:bookmarkStart w:name="_bookmark19" w:id="107"/>
      <w:bookmarkEnd w:id="107"/>
      <w:r>
        <w:rPr>
          <w:b w:val="0"/>
        </w:rPr>
      </w:r>
      <w:r>
        <w:rPr>
          <w:color w:val="4E81BD"/>
          <w:sz w:val="130"/>
        </w:rPr>
        <w:t>4.</w:t>
        <w:tab/>
      </w:r>
      <w:r>
        <w:rPr>
          <w:color w:val="4E81BD"/>
        </w:rPr>
        <w:t>Revenue sourcing</w:t>
      </w:r>
      <w:r>
        <w:rPr>
          <w:color w:val="4E81BD"/>
          <w:spacing w:val="-2"/>
        </w:rPr>
        <w:t> </w:t>
      </w:r>
      <w:r>
        <w:rPr>
          <w:color w:val="4E81BD"/>
        </w:rPr>
        <w:t>rules</w:t>
      </w: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3"/>
        <w:rPr>
          <w:rFonts w:ascii="Arial Narrow"/>
          <w:b/>
          <w:sz w:val="28"/>
        </w:rPr>
      </w:pPr>
    </w:p>
    <w:p>
      <w:pPr>
        <w:pStyle w:val="Heading4"/>
        <w:numPr>
          <w:ilvl w:val="1"/>
          <w:numId w:val="19"/>
        </w:numPr>
        <w:tabs>
          <w:tab w:pos="1192" w:val="left" w:leader="none"/>
        </w:tabs>
        <w:spacing w:line="240" w:lineRule="auto" w:before="92" w:after="0"/>
        <w:ind w:left="1191" w:right="0" w:hanging="469"/>
        <w:jc w:val="both"/>
        <w:rPr>
          <w:rFonts w:ascii="Arial"/>
        </w:rPr>
      </w:pPr>
      <w:bookmarkStart w:name="4.1. Overview" w:id="108"/>
      <w:bookmarkEnd w:id="108"/>
      <w:r>
        <w:rPr>
          <w:b w:val="0"/>
        </w:rPr>
      </w:r>
      <w:bookmarkStart w:name="_bookmark20" w:id="109"/>
      <w:bookmarkEnd w:id="109"/>
      <w:r>
        <w:rPr>
          <w:b w:val="0"/>
        </w:rPr>
      </w:r>
      <w:bookmarkStart w:name="_bookmark20" w:id="110"/>
      <w:bookmarkEnd w:id="110"/>
      <w:r>
        <w:rPr>
          <w:rFonts w:ascii="Arial"/>
          <w:color w:val="4E81BD"/>
        </w:rPr>
        <w:t>O</w:t>
      </w:r>
      <w:r>
        <w:rPr>
          <w:rFonts w:ascii="Arial"/>
          <w:color w:val="4E81BD"/>
        </w:rPr>
        <w:t>verview</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 revenue sourcing rules determine the revenue that would be treated as deriving from a particular market jurisdiction. The rules would be relevant in applying the scope rules, (see section </w:t>
      </w:r>
      <w:hyperlink w:history="true" w:anchor="_bookmark11">
        <w:r>
          <w:rPr>
            <w:sz w:val="20"/>
          </w:rPr>
          <w:t>2.3.2</w:t>
        </w:r>
      </w:hyperlink>
      <w:r>
        <w:rPr>
          <w:sz w:val="20"/>
        </w:rPr>
        <w:t>), the nexus rules (see Chapter </w:t>
      </w:r>
      <w:hyperlink w:history="true" w:anchor="_bookmark12">
        <w:r>
          <w:rPr>
            <w:sz w:val="20"/>
          </w:rPr>
          <w:t>3. </w:t>
        </w:r>
      </w:hyperlink>
      <w:r>
        <w:rPr>
          <w:sz w:val="20"/>
        </w:rPr>
        <w:t>) and the Amount A formula (see Chapter </w:t>
      </w:r>
      <w:hyperlink w:history="true" w:anchor="_bookmark38">
        <w:r>
          <w:rPr>
            <w:sz w:val="20"/>
          </w:rPr>
          <w:t>6. </w:t>
        </w:r>
      </w:hyperlink>
      <w:r>
        <w:rPr>
          <w:sz w:val="20"/>
        </w:rPr>
        <w:t>). They are reflective of the particularities</w:t>
      </w:r>
      <w:r>
        <w:rPr>
          <w:spacing w:val="-8"/>
          <w:sz w:val="20"/>
        </w:rPr>
        <w:t> </w:t>
      </w:r>
      <w:r>
        <w:rPr>
          <w:sz w:val="20"/>
        </w:rPr>
        <w:t>of</w:t>
      </w:r>
      <w:r>
        <w:rPr>
          <w:spacing w:val="-6"/>
          <w:sz w:val="20"/>
        </w:rPr>
        <w:t> </w:t>
      </w:r>
      <w:r>
        <w:rPr>
          <w:sz w:val="20"/>
        </w:rPr>
        <w:t>ADS</w:t>
      </w:r>
      <w:r>
        <w:rPr>
          <w:spacing w:val="-8"/>
          <w:sz w:val="20"/>
        </w:rPr>
        <w:t> </w:t>
      </w:r>
      <w:r>
        <w:rPr>
          <w:sz w:val="20"/>
        </w:rPr>
        <w:t>and</w:t>
      </w:r>
      <w:r>
        <w:rPr>
          <w:spacing w:val="-9"/>
          <w:sz w:val="20"/>
        </w:rPr>
        <w:t> </w:t>
      </w:r>
      <w:r>
        <w:rPr>
          <w:sz w:val="20"/>
        </w:rPr>
        <w:t>CFB</w:t>
      </w:r>
      <w:r>
        <w:rPr>
          <w:spacing w:val="-8"/>
          <w:sz w:val="20"/>
        </w:rPr>
        <w:t> </w:t>
      </w:r>
      <w:r>
        <w:rPr>
          <w:sz w:val="20"/>
        </w:rPr>
        <w:t>and</w:t>
      </w:r>
      <w:r>
        <w:rPr>
          <w:spacing w:val="-8"/>
          <w:sz w:val="20"/>
        </w:rPr>
        <w:t> </w:t>
      </w:r>
      <w:r>
        <w:rPr>
          <w:sz w:val="20"/>
        </w:rPr>
        <w:t>more</w:t>
      </w:r>
      <w:r>
        <w:rPr>
          <w:spacing w:val="-9"/>
          <w:sz w:val="20"/>
        </w:rPr>
        <w:t> </w:t>
      </w:r>
      <w:r>
        <w:rPr>
          <w:sz w:val="20"/>
        </w:rPr>
        <w:t>broadly</w:t>
      </w:r>
      <w:r>
        <w:rPr>
          <w:spacing w:val="-9"/>
          <w:sz w:val="20"/>
        </w:rPr>
        <w:t> </w:t>
      </w:r>
      <w:r>
        <w:rPr>
          <w:sz w:val="20"/>
        </w:rPr>
        <w:t>were</w:t>
      </w:r>
      <w:r>
        <w:rPr>
          <w:spacing w:val="-7"/>
          <w:sz w:val="20"/>
        </w:rPr>
        <w:t> </w:t>
      </w:r>
      <w:r>
        <w:rPr>
          <w:sz w:val="20"/>
        </w:rPr>
        <w:t>designed</w:t>
      </w:r>
      <w:r>
        <w:rPr>
          <w:spacing w:val="-7"/>
          <w:sz w:val="20"/>
        </w:rPr>
        <w:t> </w:t>
      </w:r>
      <w:r>
        <w:rPr>
          <w:sz w:val="20"/>
        </w:rPr>
        <w:t>to</w:t>
      </w:r>
      <w:r>
        <w:rPr>
          <w:spacing w:val="-8"/>
          <w:sz w:val="20"/>
        </w:rPr>
        <w:t> </w:t>
      </w:r>
      <w:r>
        <w:rPr>
          <w:sz w:val="20"/>
        </w:rPr>
        <w:t>balance</w:t>
      </w:r>
      <w:r>
        <w:rPr>
          <w:spacing w:val="-9"/>
          <w:sz w:val="20"/>
        </w:rPr>
        <w:t> </w:t>
      </w:r>
      <w:r>
        <w:rPr>
          <w:sz w:val="20"/>
        </w:rPr>
        <w:t>the</w:t>
      </w:r>
      <w:r>
        <w:rPr>
          <w:spacing w:val="-9"/>
          <w:sz w:val="20"/>
        </w:rPr>
        <w:t> </w:t>
      </w:r>
      <w:r>
        <w:rPr>
          <w:sz w:val="20"/>
        </w:rPr>
        <w:t>need</w:t>
      </w:r>
      <w:r>
        <w:rPr>
          <w:spacing w:val="-8"/>
          <w:sz w:val="20"/>
        </w:rPr>
        <w:t> </w:t>
      </w:r>
      <w:r>
        <w:rPr>
          <w:sz w:val="20"/>
        </w:rPr>
        <w:t>for</w:t>
      </w:r>
      <w:r>
        <w:rPr>
          <w:spacing w:val="-8"/>
          <w:sz w:val="20"/>
        </w:rPr>
        <w:t> </w:t>
      </w:r>
      <w:r>
        <w:rPr>
          <w:sz w:val="20"/>
        </w:rPr>
        <w:t>accuracy</w:t>
      </w:r>
      <w:r>
        <w:rPr>
          <w:spacing w:val="-9"/>
          <w:sz w:val="20"/>
        </w:rPr>
        <w:t> </w:t>
      </w:r>
      <w:r>
        <w:rPr>
          <w:sz w:val="20"/>
        </w:rPr>
        <w:t>with</w:t>
      </w:r>
      <w:r>
        <w:rPr>
          <w:spacing w:val="-9"/>
          <w:sz w:val="20"/>
        </w:rPr>
        <w:t> </w:t>
      </w:r>
      <w:r>
        <w:rPr>
          <w:sz w:val="20"/>
        </w:rPr>
        <w:t>the ability of in-scope MNEs to comply, without incurring disproportionate compliance costs. This is proposed to be achieved through the articulation of sourcing principles, supported by a range of specific indicators, subject to a defined hierarchy (likely to be of particular importance in connection with third party distribution). This approach of providing a range of possible indicators within the hierarchy recognises the different</w:t>
      </w:r>
      <w:r>
        <w:rPr>
          <w:spacing w:val="-15"/>
          <w:sz w:val="20"/>
        </w:rPr>
        <w:t> </w:t>
      </w:r>
      <w:r>
        <w:rPr>
          <w:sz w:val="20"/>
        </w:rPr>
        <w:t>ways</w:t>
      </w:r>
      <w:r>
        <w:rPr>
          <w:spacing w:val="-13"/>
          <w:sz w:val="20"/>
        </w:rPr>
        <w:t> </w:t>
      </w:r>
      <w:r>
        <w:rPr>
          <w:sz w:val="20"/>
        </w:rPr>
        <w:t>MNEs</w:t>
      </w:r>
      <w:r>
        <w:rPr>
          <w:spacing w:val="-12"/>
          <w:sz w:val="20"/>
        </w:rPr>
        <w:t> </w:t>
      </w:r>
      <w:r>
        <w:rPr>
          <w:sz w:val="20"/>
        </w:rPr>
        <w:t>currently</w:t>
      </w:r>
      <w:r>
        <w:rPr>
          <w:spacing w:val="-16"/>
          <w:sz w:val="20"/>
        </w:rPr>
        <w:t> </w:t>
      </w:r>
      <w:r>
        <w:rPr>
          <w:sz w:val="20"/>
        </w:rPr>
        <w:t>collect</w:t>
      </w:r>
      <w:r>
        <w:rPr>
          <w:spacing w:val="-15"/>
          <w:sz w:val="20"/>
        </w:rPr>
        <w:t> </w:t>
      </w:r>
      <w:r>
        <w:rPr>
          <w:sz w:val="20"/>
        </w:rPr>
        <w:t>information</w:t>
      </w:r>
      <w:r>
        <w:rPr>
          <w:spacing w:val="-14"/>
          <w:sz w:val="20"/>
        </w:rPr>
        <w:t> </w:t>
      </w:r>
      <w:r>
        <w:rPr>
          <w:sz w:val="20"/>
        </w:rPr>
        <w:t>in</w:t>
      </w:r>
      <w:r>
        <w:rPr>
          <w:spacing w:val="-15"/>
          <w:sz w:val="20"/>
        </w:rPr>
        <w:t> </w:t>
      </w:r>
      <w:r>
        <w:rPr>
          <w:sz w:val="20"/>
        </w:rPr>
        <w:t>the</w:t>
      </w:r>
      <w:r>
        <w:rPr>
          <w:spacing w:val="-13"/>
          <w:sz w:val="20"/>
        </w:rPr>
        <w:t> </w:t>
      </w:r>
      <w:r>
        <w:rPr>
          <w:sz w:val="20"/>
        </w:rPr>
        <w:t>context</w:t>
      </w:r>
      <w:r>
        <w:rPr>
          <w:spacing w:val="-14"/>
          <w:sz w:val="20"/>
        </w:rPr>
        <w:t> </w:t>
      </w:r>
      <w:r>
        <w:rPr>
          <w:sz w:val="20"/>
        </w:rPr>
        <w:t>of</w:t>
      </w:r>
      <w:r>
        <w:rPr>
          <w:spacing w:val="-13"/>
          <w:sz w:val="20"/>
        </w:rPr>
        <w:t> </w:t>
      </w:r>
      <w:r>
        <w:rPr>
          <w:sz w:val="20"/>
        </w:rPr>
        <w:t>their</w:t>
      </w:r>
      <w:r>
        <w:rPr>
          <w:spacing w:val="-14"/>
          <w:sz w:val="20"/>
        </w:rPr>
        <w:t> </w:t>
      </w:r>
      <w:r>
        <w:rPr>
          <w:sz w:val="20"/>
        </w:rPr>
        <w:t>business</w:t>
      </w:r>
      <w:r>
        <w:rPr>
          <w:spacing w:val="-15"/>
          <w:sz w:val="20"/>
        </w:rPr>
        <w:t> </w:t>
      </w:r>
      <w:r>
        <w:rPr>
          <w:sz w:val="20"/>
        </w:rPr>
        <w:t>model,</w:t>
      </w:r>
      <w:r>
        <w:rPr>
          <w:spacing w:val="-12"/>
          <w:sz w:val="20"/>
        </w:rPr>
        <w:t> </w:t>
      </w:r>
      <w:r>
        <w:rPr>
          <w:sz w:val="20"/>
        </w:rPr>
        <w:t>while</w:t>
      </w:r>
      <w:r>
        <w:rPr>
          <w:spacing w:val="-15"/>
          <w:sz w:val="20"/>
        </w:rPr>
        <w:t> </w:t>
      </w:r>
      <w:r>
        <w:rPr>
          <w:sz w:val="20"/>
        </w:rPr>
        <w:t>still</w:t>
      </w:r>
      <w:r>
        <w:rPr>
          <w:spacing w:val="-14"/>
          <w:sz w:val="20"/>
        </w:rPr>
        <w:t> </w:t>
      </w:r>
      <w:r>
        <w:rPr>
          <w:sz w:val="20"/>
        </w:rPr>
        <w:t>providing certainty to MNEs and tax administrations that the defined set of acceptable specified indicators can be relied upon to provide acceptable</w:t>
      </w:r>
      <w:r>
        <w:rPr>
          <w:spacing w:val="2"/>
          <w:sz w:val="20"/>
        </w:rPr>
        <w:t> </w:t>
      </w:r>
      <w:r>
        <w:rPr>
          <w:sz w:val="20"/>
        </w:rPr>
        <w:t>outcomes.</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To source the relevant in-scope revenue to a market jurisdiction, a sourcing principle would be identified</w:t>
      </w:r>
      <w:r>
        <w:rPr>
          <w:spacing w:val="-7"/>
          <w:sz w:val="20"/>
        </w:rPr>
        <w:t> </w:t>
      </w:r>
      <w:r>
        <w:rPr>
          <w:sz w:val="20"/>
        </w:rPr>
        <w:t>for</w:t>
      </w:r>
      <w:r>
        <w:rPr>
          <w:spacing w:val="-6"/>
          <w:sz w:val="20"/>
        </w:rPr>
        <w:t> </w:t>
      </w:r>
      <w:r>
        <w:rPr>
          <w:sz w:val="20"/>
        </w:rPr>
        <w:t>each</w:t>
      </w:r>
      <w:r>
        <w:rPr>
          <w:spacing w:val="-8"/>
          <w:sz w:val="20"/>
        </w:rPr>
        <w:t> </w:t>
      </w:r>
      <w:r>
        <w:rPr>
          <w:sz w:val="20"/>
        </w:rPr>
        <w:t>type</w:t>
      </w:r>
      <w:r>
        <w:rPr>
          <w:spacing w:val="-7"/>
          <w:sz w:val="20"/>
        </w:rPr>
        <w:t> </w:t>
      </w:r>
      <w:r>
        <w:rPr>
          <w:sz w:val="20"/>
        </w:rPr>
        <w:t>of</w:t>
      </w:r>
      <w:r>
        <w:rPr>
          <w:spacing w:val="-4"/>
          <w:sz w:val="20"/>
        </w:rPr>
        <w:t> </w:t>
      </w:r>
      <w:r>
        <w:rPr>
          <w:sz w:val="20"/>
        </w:rPr>
        <w:t>in-scope</w:t>
      </w:r>
      <w:r>
        <w:rPr>
          <w:spacing w:val="-6"/>
          <w:sz w:val="20"/>
        </w:rPr>
        <w:t> </w:t>
      </w:r>
      <w:r>
        <w:rPr>
          <w:sz w:val="20"/>
        </w:rPr>
        <w:t>revenue,</w:t>
      </w:r>
      <w:r>
        <w:rPr>
          <w:spacing w:val="-7"/>
          <w:sz w:val="20"/>
        </w:rPr>
        <w:t> </w:t>
      </w:r>
      <w:r>
        <w:rPr>
          <w:sz w:val="20"/>
        </w:rPr>
        <w:t>accompanied</w:t>
      </w:r>
      <w:r>
        <w:rPr>
          <w:spacing w:val="-7"/>
          <w:sz w:val="20"/>
        </w:rPr>
        <w:t> </w:t>
      </w:r>
      <w:r>
        <w:rPr>
          <w:spacing w:val="2"/>
          <w:sz w:val="20"/>
        </w:rPr>
        <w:t>by</w:t>
      </w:r>
      <w:r>
        <w:rPr>
          <w:spacing w:val="-10"/>
          <w:sz w:val="20"/>
        </w:rPr>
        <w:t> </w:t>
      </w:r>
      <w:r>
        <w:rPr>
          <w:sz w:val="20"/>
        </w:rPr>
        <w:t>a</w:t>
      </w:r>
      <w:r>
        <w:rPr>
          <w:spacing w:val="-7"/>
          <w:sz w:val="20"/>
        </w:rPr>
        <w:t> </w:t>
      </w:r>
      <w:r>
        <w:rPr>
          <w:sz w:val="20"/>
        </w:rPr>
        <w:t>list</w:t>
      </w:r>
      <w:r>
        <w:rPr>
          <w:spacing w:val="-7"/>
          <w:sz w:val="20"/>
        </w:rPr>
        <w:t> </w:t>
      </w:r>
      <w:r>
        <w:rPr>
          <w:sz w:val="20"/>
        </w:rPr>
        <w:t>of</w:t>
      </w:r>
      <w:r>
        <w:rPr>
          <w:spacing w:val="-5"/>
          <w:sz w:val="20"/>
        </w:rPr>
        <w:t> </w:t>
      </w:r>
      <w:r>
        <w:rPr>
          <w:sz w:val="20"/>
        </w:rPr>
        <w:t>the</w:t>
      </w:r>
      <w:r>
        <w:rPr>
          <w:spacing w:val="-8"/>
          <w:sz w:val="20"/>
        </w:rPr>
        <w:t> </w:t>
      </w:r>
      <w:r>
        <w:rPr>
          <w:sz w:val="20"/>
        </w:rPr>
        <w:t>acceptable</w:t>
      </w:r>
      <w:r>
        <w:rPr>
          <w:spacing w:val="-5"/>
          <w:sz w:val="20"/>
        </w:rPr>
        <w:t> </w:t>
      </w:r>
      <w:r>
        <w:rPr>
          <w:sz w:val="20"/>
        </w:rPr>
        <w:t>specific</w:t>
      </w:r>
      <w:r>
        <w:rPr>
          <w:spacing w:val="-5"/>
          <w:sz w:val="20"/>
        </w:rPr>
        <w:t> </w:t>
      </w:r>
      <w:r>
        <w:rPr>
          <w:sz w:val="20"/>
        </w:rPr>
        <w:t>indicators</w:t>
      </w:r>
      <w:r>
        <w:rPr>
          <w:spacing w:val="-5"/>
          <w:sz w:val="20"/>
        </w:rPr>
        <w:t> </w:t>
      </w:r>
      <w:r>
        <w:rPr>
          <w:sz w:val="20"/>
        </w:rPr>
        <w:t>an MNE will use to apply the principle and identify the jurisdiction of source. For example, for the direct sale of</w:t>
      </w:r>
      <w:r>
        <w:rPr>
          <w:spacing w:val="-5"/>
          <w:sz w:val="20"/>
        </w:rPr>
        <w:t> </w:t>
      </w:r>
      <w:r>
        <w:rPr>
          <w:sz w:val="20"/>
        </w:rPr>
        <w:t>consumer</w:t>
      </w:r>
      <w:r>
        <w:rPr>
          <w:spacing w:val="-5"/>
          <w:sz w:val="20"/>
        </w:rPr>
        <w:t> </w:t>
      </w:r>
      <w:r>
        <w:rPr>
          <w:sz w:val="20"/>
        </w:rPr>
        <w:t>goods,</w:t>
      </w:r>
      <w:r>
        <w:rPr>
          <w:spacing w:val="-6"/>
          <w:sz w:val="20"/>
        </w:rPr>
        <w:t> </w:t>
      </w:r>
      <w:r>
        <w:rPr>
          <w:sz w:val="20"/>
        </w:rPr>
        <w:t>the</w:t>
      </w:r>
      <w:r>
        <w:rPr>
          <w:spacing w:val="-6"/>
          <w:sz w:val="20"/>
        </w:rPr>
        <w:t> </w:t>
      </w:r>
      <w:r>
        <w:rPr>
          <w:sz w:val="20"/>
        </w:rPr>
        <w:t>principle</w:t>
      </w:r>
      <w:r>
        <w:rPr>
          <w:spacing w:val="-1"/>
          <w:sz w:val="20"/>
        </w:rPr>
        <w:t> </w:t>
      </w:r>
      <w:r>
        <w:rPr>
          <w:sz w:val="20"/>
        </w:rPr>
        <w:t>would</w:t>
      </w:r>
      <w:r>
        <w:rPr>
          <w:spacing w:val="-6"/>
          <w:sz w:val="20"/>
        </w:rPr>
        <w:t> </w:t>
      </w:r>
      <w:r>
        <w:rPr>
          <w:sz w:val="20"/>
        </w:rPr>
        <w:t>be</w:t>
      </w:r>
      <w:r>
        <w:rPr>
          <w:spacing w:val="-6"/>
          <w:sz w:val="20"/>
        </w:rPr>
        <w:t> </w:t>
      </w:r>
      <w:r>
        <w:rPr>
          <w:sz w:val="20"/>
        </w:rPr>
        <w:t>to</w:t>
      </w:r>
      <w:r>
        <w:rPr>
          <w:spacing w:val="-7"/>
          <w:sz w:val="20"/>
        </w:rPr>
        <w:t> </w:t>
      </w:r>
      <w:r>
        <w:rPr>
          <w:sz w:val="20"/>
        </w:rPr>
        <w:t>source</w:t>
      </w:r>
      <w:r>
        <w:rPr>
          <w:spacing w:val="-6"/>
          <w:sz w:val="20"/>
        </w:rPr>
        <w:t> </w:t>
      </w:r>
      <w:r>
        <w:rPr>
          <w:sz w:val="20"/>
        </w:rPr>
        <w:t>the</w:t>
      </w:r>
      <w:r>
        <w:rPr>
          <w:spacing w:val="-6"/>
          <w:sz w:val="20"/>
        </w:rPr>
        <w:t> </w:t>
      </w:r>
      <w:r>
        <w:rPr>
          <w:sz w:val="20"/>
        </w:rPr>
        <w:t>revenue</w:t>
      </w:r>
      <w:r>
        <w:rPr>
          <w:spacing w:val="-5"/>
          <w:sz w:val="20"/>
        </w:rPr>
        <w:t> </w:t>
      </w:r>
      <w:r>
        <w:rPr>
          <w:sz w:val="20"/>
        </w:rPr>
        <w:t>based</w:t>
      </w:r>
      <w:r>
        <w:rPr>
          <w:spacing w:val="-4"/>
          <w:sz w:val="20"/>
        </w:rPr>
        <w:t> </w:t>
      </w:r>
      <w:r>
        <w:rPr>
          <w:sz w:val="20"/>
        </w:rPr>
        <w:t>on</w:t>
      </w:r>
      <w:r>
        <w:rPr>
          <w:spacing w:val="-4"/>
          <w:sz w:val="20"/>
        </w:rPr>
        <w:t> </w:t>
      </w:r>
      <w:r>
        <w:rPr>
          <w:sz w:val="20"/>
        </w:rPr>
        <w:t>the</w:t>
      </w:r>
      <w:r>
        <w:rPr>
          <w:spacing w:val="-6"/>
          <w:sz w:val="20"/>
        </w:rPr>
        <w:t> </w:t>
      </w:r>
      <w:r>
        <w:rPr>
          <w:sz w:val="20"/>
        </w:rPr>
        <w:t>jurisdiction</w:t>
      </w:r>
      <w:r>
        <w:rPr>
          <w:spacing w:val="-7"/>
          <w:sz w:val="20"/>
        </w:rPr>
        <w:t> </w:t>
      </w:r>
      <w:r>
        <w:rPr>
          <w:sz w:val="20"/>
        </w:rPr>
        <w:t>of</w:t>
      </w:r>
      <w:r>
        <w:rPr>
          <w:spacing w:val="-4"/>
          <w:sz w:val="20"/>
        </w:rPr>
        <w:t> </w:t>
      </w:r>
      <w:r>
        <w:rPr>
          <w:sz w:val="20"/>
        </w:rPr>
        <w:t>final</w:t>
      </w:r>
      <w:r>
        <w:rPr>
          <w:spacing w:val="-6"/>
          <w:sz w:val="20"/>
        </w:rPr>
        <w:t> </w:t>
      </w:r>
      <w:r>
        <w:rPr>
          <w:sz w:val="20"/>
        </w:rPr>
        <w:t>delivery of</w:t>
      </w:r>
      <w:r>
        <w:rPr>
          <w:spacing w:val="-7"/>
          <w:sz w:val="20"/>
        </w:rPr>
        <w:t> </w:t>
      </w:r>
      <w:r>
        <w:rPr>
          <w:sz w:val="20"/>
        </w:rPr>
        <w:t>the</w:t>
      </w:r>
      <w:r>
        <w:rPr>
          <w:spacing w:val="-9"/>
          <w:sz w:val="20"/>
        </w:rPr>
        <w:t> </w:t>
      </w:r>
      <w:r>
        <w:rPr>
          <w:sz w:val="20"/>
        </w:rPr>
        <w:t>goods</w:t>
      </w:r>
      <w:r>
        <w:rPr>
          <w:spacing w:val="-7"/>
          <w:sz w:val="20"/>
        </w:rPr>
        <w:t> </w:t>
      </w:r>
      <w:r>
        <w:rPr>
          <w:sz w:val="20"/>
        </w:rPr>
        <w:t>to</w:t>
      </w:r>
      <w:r>
        <w:rPr>
          <w:spacing w:val="-9"/>
          <w:sz w:val="20"/>
        </w:rPr>
        <w:t> </w:t>
      </w:r>
      <w:r>
        <w:rPr>
          <w:sz w:val="20"/>
        </w:rPr>
        <w:t>the</w:t>
      </w:r>
      <w:r>
        <w:rPr>
          <w:spacing w:val="-8"/>
          <w:sz w:val="20"/>
        </w:rPr>
        <w:t> </w:t>
      </w:r>
      <w:r>
        <w:rPr>
          <w:sz w:val="20"/>
        </w:rPr>
        <w:t>consumer,</w:t>
      </w:r>
      <w:r>
        <w:rPr>
          <w:spacing w:val="-9"/>
          <w:sz w:val="20"/>
        </w:rPr>
        <w:t> </w:t>
      </w:r>
      <w:r>
        <w:rPr>
          <w:sz w:val="20"/>
        </w:rPr>
        <w:t>and</w:t>
      </w:r>
      <w:r>
        <w:rPr>
          <w:spacing w:val="-9"/>
          <w:sz w:val="20"/>
        </w:rPr>
        <w:t> </w:t>
      </w:r>
      <w:r>
        <w:rPr>
          <w:sz w:val="20"/>
        </w:rPr>
        <w:t>the</w:t>
      </w:r>
      <w:r>
        <w:rPr>
          <w:spacing w:val="-8"/>
          <w:sz w:val="20"/>
        </w:rPr>
        <w:t> </w:t>
      </w:r>
      <w:r>
        <w:rPr>
          <w:sz w:val="20"/>
        </w:rPr>
        <w:t>acceptable</w:t>
      </w:r>
      <w:r>
        <w:rPr>
          <w:spacing w:val="-8"/>
          <w:sz w:val="20"/>
        </w:rPr>
        <w:t> </w:t>
      </w:r>
      <w:r>
        <w:rPr>
          <w:sz w:val="20"/>
        </w:rPr>
        <w:t>indicator</w:t>
      </w:r>
      <w:r>
        <w:rPr>
          <w:spacing w:val="-4"/>
          <w:sz w:val="20"/>
        </w:rPr>
        <w:t> </w:t>
      </w:r>
      <w:r>
        <w:rPr>
          <w:sz w:val="20"/>
        </w:rPr>
        <w:t>would</w:t>
      </w:r>
      <w:r>
        <w:rPr>
          <w:spacing w:val="-7"/>
          <w:sz w:val="20"/>
        </w:rPr>
        <w:t> </w:t>
      </w:r>
      <w:r>
        <w:rPr>
          <w:sz w:val="20"/>
        </w:rPr>
        <w:t>be</w:t>
      </w:r>
      <w:r>
        <w:rPr>
          <w:spacing w:val="-9"/>
          <w:sz w:val="20"/>
        </w:rPr>
        <w:t> </w:t>
      </w:r>
      <w:r>
        <w:rPr>
          <w:sz w:val="20"/>
        </w:rPr>
        <w:t>the</w:t>
      </w:r>
      <w:r>
        <w:rPr>
          <w:spacing w:val="-8"/>
          <w:sz w:val="20"/>
        </w:rPr>
        <w:t> </w:t>
      </w:r>
      <w:r>
        <w:rPr>
          <w:sz w:val="20"/>
        </w:rPr>
        <w:t>jurisdiction</w:t>
      </w:r>
      <w:r>
        <w:rPr>
          <w:spacing w:val="-9"/>
          <w:sz w:val="20"/>
        </w:rPr>
        <w:t> </w:t>
      </w:r>
      <w:r>
        <w:rPr>
          <w:sz w:val="20"/>
        </w:rPr>
        <w:t>of</w:t>
      </w:r>
      <w:r>
        <w:rPr>
          <w:spacing w:val="-7"/>
          <w:sz w:val="20"/>
        </w:rPr>
        <w:t> </w:t>
      </w:r>
      <w:r>
        <w:rPr>
          <w:sz w:val="20"/>
        </w:rPr>
        <w:t>the</w:t>
      </w:r>
      <w:r>
        <w:rPr>
          <w:spacing w:val="-8"/>
          <w:sz w:val="20"/>
        </w:rPr>
        <w:t> </w:t>
      </w:r>
      <w:r>
        <w:rPr>
          <w:sz w:val="20"/>
        </w:rPr>
        <w:t>retail</w:t>
      </w:r>
      <w:r>
        <w:rPr>
          <w:spacing w:val="-10"/>
          <w:sz w:val="20"/>
        </w:rPr>
        <w:t> </w:t>
      </w:r>
      <w:r>
        <w:rPr>
          <w:sz w:val="20"/>
        </w:rPr>
        <w:t>store</w:t>
      </w:r>
      <w:r>
        <w:rPr>
          <w:spacing w:val="-9"/>
          <w:sz w:val="20"/>
        </w:rPr>
        <w:t> </w:t>
      </w:r>
      <w:r>
        <w:rPr>
          <w:sz w:val="20"/>
        </w:rPr>
        <w:t>front where the consumer good is sold or shipping</w:t>
      </w:r>
      <w:r>
        <w:rPr>
          <w:spacing w:val="-8"/>
          <w:sz w:val="20"/>
        </w:rPr>
        <w:t> </w:t>
      </w:r>
      <w:r>
        <w:rPr>
          <w:sz w:val="20"/>
        </w:rPr>
        <w:t>address.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 acceptable indicators would be organised in a hierarchy. The MNE should generally use the indicator that is first in the hierarchy, as this will be the most accurate. However, an MNE may use an alternative</w:t>
      </w:r>
      <w:r>
        <w:rPr>
          <w:spacing w:val="-10"/>
          <w:sz w:val="20"/>
        </w:rPr>
        <w:t> </w:t>
      </w:r>
      <w:r>
        <w:rPr>
          <w:sz w:val="20"/>
        </w:rPr>
        <w:t>indicator</w:t>
      </w:r>
      <w:r>
        <w:rPr>
          <w:spacing w:val="-8"/>
          <w:sz w:val="20"/>
        </w:rPr>
        <w:t> </w:t>
      </w:r>
      <w:r>
        <w:rPr>
          <w:sz w:val="20"/>
        </w:rPr>
        <w:t>that</w:t>
      </w:r>
      <w:r>
        <w:rPr>
          <w:spacing w:val="-10"/>
          <w:sz w:val="20"/>
        </w:rPr>
        <w:t> </w:t>
      </w:r>
      <w:r>
        <w:rPr>
          <w:sz w:val="20"/>
        </w:rPr>
        <w:t>appears</w:t>
      </w:r>
      <w:r>
        <w:rPr>
          <w:spacing w:val="-7"/>
          <w:sz w:val="20"/>
        </w:rPr>
        <w:t> </w:t>
      </w:r>
      <w:r>
        <w:rPr>
          <w:sz w:val="20"/>
        </w:rPr>
        <w:t>second</w:t>
      </w:r>
      <w:r>
        <w:rPr>
          <w:spacing w:val="-9"/>
          <w:sz w:val="20"/>
        </w:rPr>
        <w:t> </w:t>
      </w:r>
      <w:r>
        <w:rPr>
          <w:sz w:val="20"/>
        </w:rPr>
        <w:t>in</w:t>
      </w:r>
      <w:r>
        <w:rPr>
          <w:spacing w:val="-10"/>
          <w:sz w:val="20"/>
        </w:rPr>
        <w:t> </w:t>
      </w:r>
      <w:r>
        <w:rPr>
          <w:sz w:val="20"/>
        </w:rPr>
        <w:t>the</w:t>
      </w:r>
      <w:r>
        <w:rPr>
          <w:spacing w:val="-10"/>
          <w:sz w:val="20"/>
        </w:rPr>
        <w:t> </w:t>
      </w:r>
      <w:r>
        <w:rPr>
          <w:sz w:val="20"/>
        </w:rPr>
        <w:t>hierarchy,</w:t>
      </w:r>
      <w:r>
        <w:rPr>
          <w:spacing w:val="-10"/>
          <w:sz w:val="20"/>
        </w:rPr>
        <w:t> </w:t>
      </w:r>
      <w:r>
        <w:rPr>
          <w:sz w:val="20"/>
        </w:rPr>
        <w:t>if</w:t>
      </w:r>
      <w:r>
        <w:rPr>
          <w:spacing w:val="-8"/>
          <w:sz w:val="20"/>
        </w:rPr>
        <w:t> </w:t>
      </w:r>
      <w:r>
        <w:rPr>
          <w:sz w:val="20"/>
        </w:rPr>
        <w:t>the</w:t>
      </w:r>
      <w:r>
        <w:rPr>
          <w:spacing w:val="-10"/>
          <w:sz w:val="20"/>
        </w:rPr>
        <w:t> </w:t>
      </w:r>
      <w:r>
        <w:rPr>
          <w:sz w:val="20"/>
        </w:rPr>
        <w:t>first</w:t>
      </w:r>
      <w:r>
        <w:rPr>
          <w:spacing w:val="-10"/>
          <w:sz w:val="20"/>
        </w:rPr>
        <w:t> </w:t>
      </w:r>
      <w:r>
        <w:rPr>
          <w:sz w:val="20"/>
        </w:rPr>
        <w:t>indicator</w:t>
      </w:r>
      <w:r>
        <w:rPr>
          <w:spacing w:val="-7"/>
          <w:sz w:val="20"/>
        </w:rPr>
        <w:t> </w:t>
      </w:r>
      <w:r>
        <w:rPr>
          <w:sz w:val="20"/>
        </w:rPr>
        <w:t>was</w:t>
      </w:r>
      <w:r>
        <w:rPr>
          <w:spacing w:val="-7"/>
          <w:sz w:val="20"/>
        </w:rPr>
        <w:t> </w:t>
      </w:r>
      <w:r>
        <w:rPr>
          <w:sz w:val="20"/>
        </w:rPr>
        <w:t>not</w:t>
      </w:r>
      <w:r>
        <w:rPr>
          <w:spacing w:val="-7"/>
          <w:sz w:val="20"/>
        </w:rPr>
        <w:t> </w:t>
      </w:r>
      <w:r>
        <w:rPr>
          <w:sz w:val="20"/>
        </w:rPr>
        <w:t>reasonably</w:t>
      </w:r>
      <w:r>
        <w:rPr>
          <w:spacing w:val="-11"/>
          <w:sz w:val="20"/>
        </w:rPr>
        <w:t> </w:t>
      </w:r>
      <w:r>
        <w:rPr>
          <w:sz w:val="20"/>
        </w:rPr>
        <w:t>available or</w:t>
      </w:r>
      <w:r>
        <w:rPr>
          <w:spacing w:val="-4"/>
          <w:sz w:val="20"/>
        </w:rPr>
        <w:t> </w:t>
      </w:r>
      <w:r>
        <w:rPr>
          <w:sz w:val="20"/>
        </w:rPr>
        <w:t>if</w:t>
      </w:r>
      <w:r>
        <w:rPr>
          <w:spacing w:val="-1"/>
          <w:sz w:val="20"/>
        </w:rPr>
        <w:t> </w:t>
      </w:r>
      <w:r>
        <w:rPr>
          <w:sz w:val="20"/>
        </w:rPr>
        <w:t>the</w:t>
      </w:r>
      <w:r>
        <w:rPr>
          <w:spacing w:val="-2"/>
          <w:sz w:val="20"/>
        </w:rPr>
        <w:t> </w:t>
      </w:r>
      <w:r>
        <w:rPr>
          <w:sz w:val="20"/>
        </w:rPr>
        <w:t>MNE</w:t>
      </w:r>
      <w:r>
        <w:rPr>
          <w:spacing w:val="-4"/>
          <w:sz w:val="20"/>
        </w:rPr>
        <w:t> </w:t>
      </w:r>
      <w:r>
        <w:rPr>
          <w:sz w:val="20"/>
        </w:rPr>
        <w:t>can</w:t>
      </w:r>
      <w:r>
        <w:rPr>
          <w:spacing w:val="-3"/>
          <w:sz w:val="20"/>
        </w:rPr>
        <w:t> </w:t>
      </w:r>
      <w:r>
        <w:rPr>
          <w:sz w:val="20"/>
        </w:rPr>
        <w:t>justify</w:t>
      </w:r>
      <w:r>
        <w:rPr>
          <w:spacing w:val="-5"/>
          <w:sz w:val="20"/>
        </w:rPr>
        <w:t> </w:t>
      </w:r>
      <w:r>
        <w:rPr>
          <w:sz w:val="20"/>
        </w:rPr>
        <w:t>that</w:t>
      </w:r>
      <w:r>
        <w:rPr>
          <w:spacing w:val="-4"/>
          <w:sz w:val="20"/>
        </w:rPr>
        <w:t> </w:t>
      </w:r>
      <w:r>
        <w:rPr>
          <w:sz w:val="20"/>
        </w:rPr>
        <w:t>the</w:t>
      </w:r>
      <w:r>
        <w:rPr>
          <w:spacing w:val="-3"/>
          <w:sz w:val="20"/>
        </w:rPr>
        <w:t> </w:t>
      </w:r>
      <w:r>
        <w:rPr>
          <w:sz w:val="20"/>
        </w:rPr>
        <w:t>first</w:t>
      </w:r>
      <w:r>
        <w:rPr>
          <w:spacing w:val="-3"/>
          <w:sz w:val="20"/>
        </w:rPr>
        <w:t> </w:t>
      </w:r>
      <w:r>
        <w:rPr>
          <w:sz w:val="20"/>
        </w:rPr>
        <w:t>indicator was unreliable,</w:t>
      </w:r>
      <w:r>
        <w:rPr>
          <w:spacing w:val="-5"/>
          <w:sz w:val="20"/>
        </w:rPr>
        <w:t> </w:t>
      </w:r>
      <w:r>
        <w:rPr>
          <w:sz w:val="20"/>
        </w:rPr>
        <w:t>and</w:t>
      </w:r>
      <w:r>
        <w:rPr>
          <w:spacing w:val="-4"/>
          <w:sz w:val="20"/>
        </w:rPr>
        <w:t> </w:t>
      </w:r>
      <w:r>
        <w:rPr>
          <w:sz w:val="20"/>
        </w:rPr>
        <w:t>so</w:t>
      </w:r>
      <w:r>
        <w:rPr>
          <w:spacing w:val="-1"/>
          <w:sz w:val="20"/>
        </w:rPr>
        <w:t> </w:t>
      </w:r>
      <w:r>
        <w:rPr>
          <w:sz w:val="20"/>
        </w:rPr>
        <w:t>on</w:t>
      </w:r>
      <w:r>
        <w:rPr>
          <w:spacing w:val="-2"/>
          <w:sz w:val="20"/>
        </w:rPr>
        <w:t> </w:t>
      </w:r>
      <w:r>
        <w:rPr>
          <w:sz w:val="20"/>
        </w:rPr>
        <w:t>with</w:t>
      </w:r>
      <w:r>
        <w:rPr>
          <w:spacing w:val="-1"/>
          <w:sz w:val="20"/>
        </w:rPr>
        <w:t> </w:t>
      </w:r>
      <w:r>
        <w:rPr>
          <w:sz w:val="20"/>
        </w:rPr>
        <w:t>the</w:t>
      </w:r>
      <w:r>
        <w:rPr>
          <w:spacing w:val="-2"/>
          <w:sz w:val="20"/>
        </w:rPr>
        <w:t> </w:t>
      </w:r>
      <w:r>
        <w:rPr>
          <w:sz w:val="20"/>
        </w:rPr>
        <w:t>remaining</w:t>
      </w:r>
      <w:r>
        <w:rPr>
          <w:spacing w:val="-2"/>
          <w:sz w:val="20"/>
        </w:rPr>
        <w:t> </w:t>
      </w:r>
      <w:r>
        <w:rPr>
          <w:sz w:val="20"/>
        </w:rPr>
        <w:t>indicators.</w:t>
      </w:r>
    </w:p>
    <w:p>
      <w:pPr>
        <w:pStyle w:val="ListParagraph"/>
        <w:numPr>
          <w:ilvl w:val="0"/>
          <w:numId w:val="13"/>
        </w:numPr>
        <w:tabs>
          <w:tab w:pos="1444" w:val="left" w:leader="none"/>
        </w:tabs>
        <w:spacing w:line="271" w:lineRule="auto" w:before="122" w:after="0"/>
        <w:ind w:left="723" w:right="490" w:firstLine="0"/>
        <w:jc w:val="both"/>
        <w:rPr>
          <w:sz w:val="20"/>
        </w:rPr>
      </w:pPr>
      <w:r>
        <w:rPr>
          <w:sz w:val="20"/>
        </w:rPr>
        <w:t>This</w:t>
      </w:r>
      <w:r>
        <w:rPr>
          <w:spacing w:val="-5"/>
          <w:sz w:val="20"/>
        </w:rPr>
        <w:t> </w:t>
      </w:r>
      <w:r>
        <w:rPr>
          <w:sz w:val="20"/>
        </w:rPr>
        <w:t>approach</w:t>
      </w:r>
      <w:r>
        <w:rPr>
          <w:spacing w:val="-3"/>
          <w:sz w:val="20"/>
        </w:rPr>
        <w:t> </w:t>
      </w:r>
      <w:r>
        <w:rPr>
          <w:sz w:val="20"/>
        </w:rPr>
        <w:t>is</w:t>
      </w:r>
      <w:r>
        <w:rPr>
          <w:spacing w:val="-4"/>
          <w:sz w:val="20"/>
        </w:rPr>
        <w:t> </w:t>
      </w:r>
      <w:r>
        <w:rPr>
          <w:sz w:val="20"/>
        </w:rPr>
        <w:t>intended</w:t>
      </w:r>
      <w:r>
        <w:rPr>
          <w:spacing w:val="-6"/>
          <w:sz w:val="20"/>
        </w:rPr>
        <w:t> </w:t>
      </w:r>
      <w:r>
        <w:rPr>
          <w:sz w:val="20"/>
        </w:rPr>
        <w:t>to</w:t>
      </w:r>
      <w:r>
        <w:rPr>
          <w:spacing w:val="-5"/>
          <w:sz w:val="20"/>
        </w:rPr>
        <w:t> </w:t>
      </w:r>
      <w:r>
        <w:rPr>
          <w:sz w:val="20"/>
        </w:rPr>
        <w:t>ensure</w:t>
      </w:r>
      <w:r>
        <w:rPr>
          <w:spacing w:val="-5"/>
          <w:sz w:val="20"/>
        </w:rPr>
        <w:t> </w:t>
      </w:r>
      <w:r>
        <w:rPr>
          <w:sz w:val="20"/>
        </w:rPr>
        <w:t>that</w:t>
      </w:r>
      <w:r>
        <w:rPr>
          <w:spacing w:val="-5"/>
          <w:sz w:val="20"/>
        </w:rPr>
        <w:t> </w:t>
      </w:r>
      <w:r>
        <w:rPr>
          <w:sz w:val="20"/>
        </w:rPr>
        <w:t>there</w:t>
      </w:r>
      <w:r>
        <w:rPr>
          <w:spacing w:val="-3"/>
          <w:sz w:val="20"/>
        </w:rPr>
        <w:t> </w:t>
      </w:r>
      <w:r>
        <w:rPr>
          <w:sz w:val="20"/>
        </w:rPr>
        <w:t>is</w:t>
      </w:r>
      <w:r>
        <w:rPr>
          <w:spacing w:val="-4"/>
          <w:sz w:val="20"/>
        </w:rPr>
        <w:t> </w:t>
      </w:r>
      <w:r>
        <w:rPr>
          <w:sz w:val="20"/>
        </w:rPr>
        <w:t>sufficient</w:t>
      </w:r>
      <w:r>
        <w:rPr>
          <w:spacing w:val="-5"/>
          <w:sz w:val="20"/>
        </w:rPr>
        <w:t> </w:t>
      </w:r>
      <w:r>
        <w:rPr>
          <w:sz w:val="20"/>
        </w:rPr>
        <w:t>flexibility</w:t>
      </w:r>
      <w:r>
        <w:rPr>
          <w:spacing w:val="-8"/>
          <w:sz w:val="20"/>
        </w:rPr>
        <w:t> </w:t>
      </w:r>
      <w:r>
        <w:rPr>
          <w:sz w:val="20"/>
        </w:rPr>
        <w:t>to</w:t>
      </w:r>
      <w:r>
        <w:rPr>
          <w:spacing w:val="-3"/>
          <w:sz w:val="20"/>
        </w:rPr>
        <w:t> </w:t>
      </w:r>
      <w:r>
        <w:rPr>
          <w:sz w:val="20"/>
        </w:rPr>
        <w:t>accommodate</w:t>
      </w:r>
      <w:r>
        <w:rPr>
          <w:spacing w:val="-5"/>
          <w:sz w:val="20"/>
        </w:rPr>
        <w:t> </w:t>
      </w:r>
      <w:r>
        <w:rPr>
          <w:sz w:val="20"/>
        </w:rPr>
        <w:t>the</w:t>
      </w:r>
      <w:r>
        <w:rPr>
          <w:spacing w:val="-3"/>
          <w:sz w:val="20"/>
        </w:rPr>
        <w:t> </w:t>
      </w:r>
      <w:r>
        <w:rPr>
          <w:sz w:val="20"/>
        </w:rPr>
        <w:t>different ways that MNEs collect information. The rules provide guidance on when an indicator can be considered to be unavailable or unreliable, to reduce the potential for disputes for tax administrations and taxpayers alike.</w:t>
      </w:r>
    </w:p>
    <w:p>
      <w:pPr>
        <w:pStyle w:val="ListParagraph"/>
        <w:numPr>
          <w:ilvl w:val="0"/>
          <w:numId w:val="13"/>
        </w:numPr>
        <w:tabs>
          <w:tab w:pos="1444" w:val="left" w:leader="none"/>
        </w:tabs>
        <w:spacing w:line="271" w:lineRule="auto" w:before="119" w:after="0"/>
        <w:ind w:left="723" w:right="492" w:firstLine="0"/>
        <w:jc w:val="both"/>
        <w:rPr>
          <w:sz w:val="20"/>
        </w:rPr>
      </w:pPr>
      <w:r>
        <w:rPr>
          <w:sz w:val="20"/>
        </w:rPr>
        <w:t>Information would be considered unavailable if it is not within the MNE’s possession, and reasonable steps have been taken to obtain it but have been unsuccessful. Information would be considered unreliable if the MNE can justify that the indicator is not a true representation of the principle in the source</w:t>
      </w:r>
      <w:r>
        <w:rPr>
          <w:spacing w:val="-5"/>
          <w:sz w:val="20"/>
        </w:rPr>
        <w:t> </w:t>
      </w:r>
      <w:r>
        <w:rPr>
          <w:sz w:val="20"/>
        </w:rPr>
        <w:t>rule.</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 MNE would need to justify and document its approach and include it in the standardised documentation package to be developed as part of the broader work on tax certainty (see Chapter </w:t>
      </w:r>
      <w:hyperlink w:history="true" w:anchor="_bookmark66">
        <w:r>
          <w:rPr>
            <w:sz w:val="20"/>
          </w:rPr>
          <w:t>9. </w:t>
        </w:r>
      </w:hyperlink>
      <w:r>
        <w:rPr>
          <w:sz w:val="20"/>
        </w:rPr>
        <w:t>). It is expected that an in-scope MNE will need to retain</w:t>
      </w:r>
      <w:r>
        <w:rPr>
          <w:spacing w:val="-9"/>
          <w:sz w:val="20"/>
        </w:rPr>
        <w:t> </w:t>
      </w:r>
      <w:r>
        <w:rPr>
          <w:sz w:val="20"/>
        </w:rPr>
        <w:t>documentation:</w:t>
      </w:r>
    </w:p>
    <w:p>
      <w:pPr>
        <w:pStyle w:val="ListParagraph"/>
        <w:numPr>
          <w:ilvl w:val="0"/>
          <w:numId w:val="20"/>
        </w:numPr>
        <w:tabs>
          <w:tab w:pos="1403" w:val="left" w:leader="none"/>
        </w:tabs>
        <w:spacing w:line="240" w:lineRule="auto" w:before="99" w:after="0"/>
        <w:ind w:left="1402" w:right="0" w:hanging="339"/>
        <w:jc w:val="both"/>
        <w:rPr>
          <w:sz w:val="20"/>
        </w:rPr>
      </w:pPr>
      <w:r>
        <w:rPr>
          <w:sz w:val="20"/>
        </w:rPr>
        <w:t>describing the functioning of its internal control framework related to revenue</w:t>
      </w:r>
      <w:r>
        <w:rPr>
          <w:spacing w:val="-18"/>
          <w:sz w:val="20"/>
        </w:rPr>
        <w:t> </w:t>
      </w:r>
      <w:r>
        <w:rPr>
          <w:sz w:val="20"/>
        </w:rPr>
        <w:t>sourcing;</w:t>
      </w:r>
    </w:p>
    <w:p>
      <w:pPr>
        <w:spacing w:after="0" w:line="240"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0"/>
          <w:numId w:val="20"/>
        </w:numPr>
        <w:tabs>
          <w:tab w:pos="1403" w:val="left" w:leader="none"/>
        </w:tabs>
        <w:spacing w:line="266" w:lineRule="auto" w:before="99" w:after="0"/>
        <w:ind w:left="1402" w:right="485" w:hanging="339"/>
        <w:jc w:val="both"/>
        <w:rPr>
          <w:sz w:val="20"/>
        </w:rPr>
      </w:pPr>
      <w:r>
        <w:rPr>
          <w:sz w:val="20"/>
        </w:rPr>
        <w:t>containing aggregate and periodic information on results of applying the indicators, for each type of revenue and in each jurisdiction;</w:t>
      </w:r>
      <w:r>
        <w:rPr>
          <w:spacing w:val="-4"/>
          <w:sz w:val="20"/>
        </w:rPr>
        <w:t> </w:t>
      </w:r>
      <w:r>
        <w:rPr>
          <w:sz w:val="20"/>
        </w:rPr>
        <w:t>and</w:t>
      </w:r>
    </w:p>
    <w:p>
      <w:pPr>
        <w:pStyle w:val="ListParagraph"/>
        <w:numPr>
          <w:ilvl w:val="0"/>
          <w:numId w:val="20"/>
        </w:numPr>
        <w:tabs>
          <w:tab w:pos="1403" w:val="left" w:leader="none"/>
        </w:tabs>
        <w:spacing w:line="268" w:lineRule="auto" w:before="51" w:after="0"/>
        <w:ind w:left="1402" w:right="486" w:hanging="339"/>
        <w:jc w:val="both"/>
        <w:rPr>
          <w:sz w:val="20"/>
        </w:rPr>
      </w:pPr>
      <w:r>
        <w:rPr>
          <w:sz w:val="20"/>
        </w:rPr>
        <w:t>explaining</w:t>
      </w:r>
      <w:r>
        <w:rPr>
          <w:spacing w:val="-13"/>
          <w:sz w:val="20"/>
        </w:rPr>
        <w:t> </w:t>
      </w:r>
      <w:r>
        <w:rPr>
          <w:sz w:val="20"/>
        </w:rPr>
        <w:t>the</w:t>
      </w:r>
      <w:r>
        <w:rPr>
          <w:spacing w:val="-13"/>
          <w:sz w:val="20"/>
        </w:rPr>
        <w:t> </w:t>
      </w:r>
      <w:r>
        <w:rPr>
          <w:sz w:val="20"/>
        </w:rPr>
        <w:t>indicator</w:t>
      </w:r>
      <w:r>
        <w:rPr>
          <w:spacing w:val="-13"/>
          <w:sz w:val="20"/>
        </w:rPr>
        <w:t> </w:t>
      </w:r>
      <w:r>
        <w:rPr>
          <w:sz w:val="20"/>
        </w:rPr>
        <w:t>used,</w:t>
      </w:r>
      <w:r>
        <w:rPr>
          <w:spacing w:val="-14"/>
          <w:sz w:val="20"/>
        </w:rPr>
        <w:t> </w:t>
      </w:r>
      <w:r>
        <w:rPr>
          <w:sz w:val="20"/>
        </w:rPr>
        <w:t>and,</w:t>
      </w:r>
      <w:r>
        <w:rPr>
          <w:spacing w:val="-12"/>
          <w:sz w:val="20"/>
        </w:rPr>
        <w:t> </w:t>
      </w:r>
      <w:r>
        <w:rPr>
          <w:sz w:val="20"/>
        </w:rPr>
        <w:t>if</w:t>
      </w:r>
      <w:r>
        <w:rPr>
          <w:spacing w:val="-11"/>
          <w:sz w:val="20"/>
        </w:rPr>
        <w:t> </w:t>
      </w:r>
      <w:r>
        <w:rPr>
          <w:sz w:val="20"/>
        </w:rPr>
        <w:t>relevant,</w:t>
      </w:r>
      <w:r>
        <w:rPr>
          <w:spacing w:val="-12"/>
          <w:sz w:val="20"/>
        </w:rPr>
        <w:t> </w:t>
      </w:r>
      <w:r>
        <w:rPr>
          <w:sz w:val="20"/>
        </w:rPr>
        <w:t>why</w:t>
      </w:r>
      <w:r>
        <w:rPr>
          <w:spacing w:val="-17"/>
          <w:sz w:val="20"/>
        </w:rPr>
        <w:t> </w:t>
      </w:r>
      <w:r>
        <w:rPr>
          <w:sz w:val="20"/>
        </w:rPr>
        <w:t>a</w:t>
      </w:r>
      <w:r>
        <w:rPr>
          <w:spacing w:val="-13"/>
          <w:sz w:val="20"/>
        </w:rPr>
        <w:t> </w:t>
      </w:r>
      <w:r>
        <w:rPr>
          <w:sz w:val="20"/>
        </w:rPr>
        <w:t>secondary</w:t>
      </w:r>
      <w:r>
        <w:rPr>
          <w:spacing w:val="-11"/>
          <w:sz w:val="20"/>
        </w:rPr>
        <w:t> </w:t>
      </w:r>
      <w:r>
        <w:rPr>
          <w:sz w:val="20"/>
        </w:rPr>
        <w:t>indicator</w:t>
      </w:r>
      <w:r>
        <w:rPr>
          <w:spacing w:val="-9"/>
          <w:sz w:val="20"/>
        </w:rPr>
        <w:t> </w:t>
      </w:r>
      <w:r>
        <w:rPr>
          <w:sz w:val="20"/>
        </w:rPr>
        <w:t>was</w:t>
      </w:r>
      <w:r>
        <w:rPr>
          <w:spacing w:val="-10"/>
          <w:sz w:val="20"/>
        </w:rPr>
        <w:t> </w:t>
      </w:r>
      <w:r>
        <w:rPr>
          <w:sz w:val="20"/>
        </w:rPr>
        <w:t>applied</w:t>
      </w:r>
      <w:r>
        <w:rPr>
          <w:spacing w:val="-12"/>
          <w:sz w:val="20"/>
        </w:rPr>
        <w:t> </w:t>
      </w:r>
      <w:r>
        <w:rPr>
          <w:sz w:val="20"/>
        </w:rPr>
        <w:t>instead</w:t>
      </w:r>
      <w:r>
        <w:rPr>
          <w:spacing w:val="-13"/>
          <w:sz w:val="20"/>
        </w:rPr>
        <w:t> </w:t>
      </w:r>
      <w:r>
        <w:rPr>
          <w:sz w:val="20"/>
        </w:rPr>
        <w:t>(such as the steps taken to obtain information or why a primary indicator was considered</w:t>
      </w:r>
      <w:r>
        <w:rPr>
          <w:spacing w:val="-36"/>
          <w:sz w:val="20"/>
        </w:rPr>
        <w:t> </w:t>
      </w:r>
      <w:r>
        <w:rPr>
          <w:sz w:val="20"/>
        </w:rPr>
        <w:t>unreliable).</w:t>
      </w:r>
    </w:p>
    <w:p>
      <w:pPr>
        <w:pStyle w:val="ListParagraph"/>
        <w:numPr>
          <w:ilvl w:val="0"/>
          <w:numId w:val="13"/>
        </w:numPr>
        <w:tabs>
          <w:tab w:pos="1444" w:val="left" w:leader="none"/>
        </w:tabs>
        <w:spacing w:line="271" w:lineRule="auto" w:before="130" w:after="0"/>
        <w:ind w:left="723" w:right="482" w:firstLine="0"/>
        <w:jc w:val="both"/>
        <w:rPr>
          <w:sz w:val="20"/>
        </w:rPr>
      </w:pPr>
      <w:r>
        <w:rPr>
          <w:sz w:val="20"/>
        </w:rPr>
        <w:t>This information will remain systemic level data. MNEs would thus not be expected to keep a record of all data points on the indicators for every transaction (which may cause concerns relating to privacy) or use of the service, but rather to establish a robust internal control framework on which the tax authorities</w:t>
      </w:r>
      <w:r>
        <w:rPr>
          <w:spacing w:val="-4"/>
          <w:sz w:val="20"/>
        </w:rPr>
        <w:t> </w:t>
      </w:r>
      <w:r>
        <w:rPr>
          <w:sz w:val="20"/>
        </w:rPr>
        <w:t>can</w:t>
      </w:r>
      <w:r>
        <w:rPr>
          <w:spacing w:val="-5"/>
          <w:sz w:val="20"/>
        </w:rPr>
        <w:t> </w:t>
      </w:r>
      <w:r>
        <w:rPr>
          <w:sz w:val="20"/>
        </w:rPr>
        <w:t>rely</w:t>
      </w:r>
      <w:r>
        <w:rPr>
          <w:spacing w:val="-7"/>
          <w:sz w:val="20"/>
        </w:rPr>
        <w:t> </w:t>
      </w:r>
      <w:r>
        <w:rPr>
          <w:sz w:val="20"/>
        </w:rPr>
        <w:t>to</w:t>
      </w:r>
      <w:r>
        <w:rPr>
          <w:spacing w:val="-4"/>
          <w:sz w:val="20"/>
        </w:rPr>
        <w:t> </w:t>
      </w:r>
      <w:r>
        <w:rPr>
          <w:sz w:val="20"/>
        </w:rPr>
        <w:t>conduct</w:t>
      </w:r>
      <w:r>
        <w:rPr>
          <w:spacing w:val="-5"/>
          <w:sz w:val="20"/>
        </w:rPr>
        <w:t> </w:t>
      </w:r>
      <w:r>
        <w:rPr>
          <w:sz w:val="20"/>
        </w:rPr>
        <w:t>their</w:t>
      </w:r>
      <w:r>
        <w:rPr>
          <w:spacing w:val="-3"/>
          <w:sz w:val="20"/>
        </w:rPr>
        <w:t> </w:t>
      </w:r>
      <w:r>
        <w:rPr>
          <w:sz w:val="20"/>
        </w:rPr>
        <w:t>audit,</w:t>
      </w:r>
      <w:r>
        <w:rPr>
          <w:spacing w:val="-4"/>
          <w:sz w:val="20"/>
        </w:rPr>
        <w:t> </w:t>
      </w:r>
      <w:r>
        <w:rPr>
          <w:sz w:val="20"/>
        </w:rPr>
        <w:t>supported</w:t>
      </w:r>
      <w:r>
        <w:rPr>
          <w:spacing w:val="-5"/>
          <w:sz w:val="20"/>
        </w:rPr>
        <w:t> </w:t>
      </w:r>
      <w:r>
        <w:rPr>
          <w:sz w:val="20"/>
        </w:rPr>
        <w:t>by</w:t>
      </w:r>
      <w:r>
        <w:rPr>
          <w:spacing w:val="-5"/>
          <w:sz w:val="20"/>
        </w:rPr>
        <w:t> </w:t>
      </w:r>
      <w:r>
        <w:rPr>
          <w:sz w:val="20"/>
        </w:rPr>
        <w:t>the</w:t>
      </w:r>
      <w:r>
        <w:rPr>
          <w:spacing w:val="-2"/>
          <w:sz w:val="20"/>
        </w:rPr>
        <w:t> </w:t>
      </w:r>
      <w:r>
        <w:rPr>
          <w:sz w:val="20"/>
        </w:rPr>
        <w:t>underlying</w:t>
      </w:r>
      <w:r>
        <w:rPr>
          <w:spacing w:val="-5"/>
          <w:sz w:val="20"/>
        </w:rPr>
        <w:t> </w:t>
      </w:r>
      <w:r>
        <w:rPr>
          <w:sz w:val="20"/>
        </w:rPr>
        <w:t>results</w:t>
      </w:r>
      <w:r>
        <w:rPr>
          <w:spacing w:val="-4"/>
          <w:sz w:val="20"/>
        </w:rPr>
        <w:t> </w:t>
      </w:r>
      <w:r>
        <w:rPr>
          <w:sz w:val="20"/>
        </w:rPr>
        <w:t>of</w:t>
      </w:r>
      <w:r>
        <w:rPr>
          <w:spacing w:val="-2"/>
          <w:sz w:val="20"/>
        </w:rPr>
        <w:t> </w:t>
      </w:r>
      <w:r>
        <w:rPr>
          <w:sz w:val="20"/>
        </w:rPr>
        <w:t>applying</w:t>
      </w:r>
      <w:r>
        <w:rPr>
          <w:spacing w:val="-5"/>
          <w:sz w:val="20"/>
        </w:rPr>
        <w:t> </w:t>
      </w:r>
      <w:r>
        <w:rPr>
          <w:sz w:val="20"/>
        </w:rPr>
        <w:t>the</w:t>
      </w:r>
      <w:r>
        <w:rPr>
          <w:spacing w:val="-5"/>
          <w:sz w:val="20"/>
        </w:rPr>
        <w:t> </w:t>
      </w:r>
      <w:r>
        <w:rPr>
          <w:sz w:val="20"/>
        </w:rPr>
        <w:t>indicators</w:t>
      </w:r>
      <w:r>
        <w:rPr>
          <w:spacing w:val="-4"/>
          <w:sz w:val="20"/>
        </w:rPr>
        <w:t> </w:t>
      </w:r>
      <w:r>
        <w:rPr>
          <w:sz w:val="20"/>
        </w:rPr>
        <w:t>at an aggregate level, as well as retaining a sufficient sample of the underlying data points to justify that the internal control framework is</w:t>
      </w:r>
      <w:r>
        <w:rPr>
          <w:spacing w:val="-2"/>
          <w:sz w:val="20"/>
        </w:rPr>
        <w:t> </w:t>
      </w:r>
      <w:r>
        <w:rPr>
          <w:sz w:val="20"/>
        </w:rPr>
        <w:t>robust.</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As it is critical to understand the sourcing rule (and its list of indicators) in the context of each relevant business model, commentary accompanies the revenue sourcing rules to further explain the meaning of the different indicators, and provide guidance for MNE’s administration. The status of the Commentary in the context of implementation will be considered in due course. The Commentary is set out in section 4.3, following the complete set of</w:t>
      </w:r>
      <w:r>
        <w:rPr>
          <w:spacing w:val="-6"/>
          <w:sz w:val="20"/>
        </w:rPr>
        <w:t> </w:t>
      </w:r>
      <w:r>
        <w:rPr>
          <w:sz w:val="20"/>
        </w:rPr>
        <w:t>rules.</w:t>
      </w:r>
    </w:p>
    <w:p>
      <w:pPr>
        <w:pStyle w:val="BodyText"/>
        <w:rPr>
          <w:sz w:val="22"/>
        </w:rPr>
      </w:pPr>
    </w:p>
    <w:p>
      <w:pPr>
        <w:pStyle w:val="Heading4"/>
        <w:numPr>
          <w:ilvl w:val="1"/>
          <w:numId w:val="19"/>
        </w:numPr>
        <w:tabs>
          <w:tab w:pos="1192" w:val="left" w:leader="none"/>
        </w:tabs>
        <w:spacing w:line="240" w:lineRule="auto" w:before="194" w:after="0"/>
        <w:ind w:left="1191" w:right="0" w:hanging="469"/>
        <w:jc w:val="both"/>
        <w:rPr>
          <w:rFonts w:ascii="Arial"/>
        </w:rPr>
      </w:pPr>
      <w:bookmarkStart w:name="4.2. Revenue sourcing rules" w:id="111"/>
      <w:bookmarkEnd w:id="111"/>
      <w:r>
        <w:rPr>
          <w:b w:val="0"/>
        </w:rPr>
      </w:r>
      <w:bookmarkStart w:name="_bookmark21" w:id="112"/>
      <w:bookmarkEnd w:id="112"/>
      <w:r>
        <w:rPr>
          <w:b w:val="0"/>
        </w:rPr>
      </w:r>
      <w:bookmarkStart w:name="_bookmark21" w:id="113"/>
      <w:bookmarkEnd w:id="113"/>
      <w:r>
        <w:rPr>
          <w:rFonts w:ascii="Arial"/>
          <w:color w:val="4E81BD"/>
        </w:rPr>
        <w:t>Re</w:t>
      </w:r>
      <w:r>
        <w:rPr>
          <w:rFonts w:ascii="Arial"/>
          <w:color w:val="4E81BD"/>
        </w:rPr>
        <w:t>venue sourcing</w:t>
      </w:r>
      <w:r>
        <w:rPr>
          <w:rFonts w:ascii="Arial"/>
          <w:color w:val="4E81BD"/>
          <w:spacing w:val="-1"/>
        </w:rPr>
        <w:t> </w:t>
      </w:r>
      <w:r>
        <w:rPr>
          <w:rFonts w:ascii="Arial"/>
          <w:color w:val="4E81BD"/>
        </w:rPr>
        <w:t>rules</w:t>
      </w:r>
    </w:p>
    <w:p>
      <w:pPr>
        <w:pStyle w:val="BodyText"/>
        <w:spacing w:before="1"/>
        <w:rPr>
          <w:b/>
          <w:sz w:val="24"/>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This section contains draft rules on revenue sourcing. They are categorised under the ADS services</w:t>
      </w:r>
      <w:r>
        <w:rPr>
          <w:spacing w:val="-15"/>
          <w:sz w:val="20"/>
        </w:rPr>
        <w:t> </w:t>
      </w:r>
      <w:r>
        <w:rPr>
          <w:sz w:val="20"/>
        </w:rPr>
        <w:t>and</w:t>
      </w:r>
      <w:r>
        <w:rPr>
          <w:spacing w:val="-13"/>
          <w:sz w:val="20"/>
        </w:rPr>
        <w:t> </w:t>
      </w:r>
      <w:r>
        <w:rPr>
          <w:sz w:val="20"/>
        </w:rPr>
        <w:t>CFB</w:t>
      </w:r>
      <w:r>
        <w:rPr>
          <w:spacing w:val="-14"/>
          <w:sz w:val="20"/>
        </w:rPr>
        <w:t> </w:t>
      </w:r>
      <w:r>
        <w:rPr>
          <w:sz w:val="20"/>
        </w:rPr>
        <w:t>in</w:t>
      </w:r>
      <w:r>
        <w:rPr>
          <w:spacing w:val="-14"/>
          <w:sz w:val="20"/>
        </w:rPr>
        <w:t> </w:t>
      </w:r>
      <w:r>
        <w:rPr>
          <w:sz w:val="20"/>
        </w:rPr>
        <w:t>scope</w:t>
      </w:r>
      <w:r>
        <w:rPr>
          <w:spacing w:val="-11"/>
          <w:sz w:val="20"/>
        </w:rPr>
        <w:t> </w:t>
      </w:r>
      <w:r>
        <w:rPr>
          <w:sz w:val="20"/>
        </w:rPr>
        <w:t>of</w:t>
      </w:r>
      <w:r>
        <w:rPr>
          <w:spacing w:val="-13"/>
          <w:sz w:val="20"/>
        </w:rPr>
        <w:t> </w:t>
      </w:r>
      <w:r>
        <w:rPr>
          <w:sz w:val="20"/>
        </w:rPr>
        <w:t>Amount</w:t>
      </w:r>
      <w:r>
        <w:rPr>
          <w:spacing w:val="-16"/>
          <w:sz w:val="20"/>
        </w:rPr>
        <w:t> </w:t>
      </w:r>
      <w:r>
        <w:rPr>
          <w:sz w:val="20"/>
        </w:rPr>
        <w:t>A.</w:t>
      </w:r>
      <w:r>
        <w:rPr>
          <w:spacing w:val="-14"/>
          <w:sz w:val="20"/>
        </w:rPr>
        <w:t> </w:t>
      </w:r>
      <w:r>
        <w:rPr>
          <w:sz w:val="20"/>
        </w:rPr>
        <w:t>For</w:t>
      </w:r>
      <w:r>
        <w:rPr>
          <w:spacing w:val="-14"/>
          <w:sz w:val="20"/>
        </w:rPr>
        <w:t> </w:t>
      </w:r>
      <w:r>
        <w:rPr>
          <w:sz w:val="20"/>
        </w:rPr>
        <w:t>each</w:t>
      </w:r>
      <w:r>
        <w:rPr>
          <w:spacing w:val="-16"/>
          <w:sz w:val="20"/>
        </w:rPr>
        <w:t> </w:t>
      </w:r>
      <w:r>
        <w:rPr>
          <w:sz w:val="20"/>
        </w:rPr>
        <w:t>type</w:t>
      </w:r>
      <w:r>
        <w:rPr>
          <w:spacing w:val="-14"/>
          <w:sz w:val="20"/>
        </w:rPr>
        <w:t> </w:t>
      </w:r>
      <w:r>
        <w:rPr>
          <w:sz w:val="20"/>
        </w:rPr>
        <w:t>of</w:t>
      </w:r>
      <w:r>
        <w:rPr>
          <w:spacing w:val="-14"/>
          <w:sz w:val="20"/>
        </w:rPr>
        <w:t> </w:t>
      </w:r>
      <w:r>
        <w:rPr>
          <w:sz w:val="20"/>
        </w:rPr>
        <w:t>activity</w:t>
      </w:r>
      <w:r>
        <w:rPr>
          <w:spacing w:val="-18"/>
          <w:sz w:val="20"/>
        </w:rPr>
        <w:t> </w:t>
      </w:r>
      <w:r>
        <w:rPr>
          <w:sz w:val="20"/>
        </w:rPr>
        <w:t>identified</w:t>
      </w:r>
      <w:r>
        <w:rPr>
          <w:spacing w:val="-16"/>
          <w:sz w:val="20"/>
        </w:rPr>
        <w:t> </w:t>
      </w:r>
      <w:r>
        <w:rPr>
          <w:sz w:val="20"/>
        </w:rPr>
        <w:t>as</w:t>
      </w:r>
      <w:r>
        <w:rPr>
          <w:spacing w:val="-7"/>
          <w:sz w:val="20"/>
        </w:rPr>
        <w:t> </w:t>
      </w:r>
      <w:r>
        <w:rPr>
          <w:sz w:val="20"/>
        </w:rPr>
        <w:t>in</w:t>
      </w:r>
      <w:r>
        <w:rPr>
          <w:spacing w:val="-14"/>
          <w:sz w:val="20"/>
        </w:rPr>
        <w:t> </w:t>
      </w:r>
      <w:r>
        <w:rPr>
          <w:sz w:val="20"/>
        </w:rPr>
        <w:t>scope,</w:t>
      </w:r>
      <w:r>
        <w:rPr>
          <w:spacing w:val="-13"/>
          <w:sz w:val="20"/>
        </w:rPr>
        <w:t> </w:t>
      </w:r>
      <w:r>
        <w:rPr>
          <w:sz w:val="20"/>
        </w:rPr>
        <w:t>a</w:t>
      </w:r>
      <w:r>
        <w:rPr>
          <w:spacing w:val="-16"/>
          <w:sz w:val="20"/>
        </w:rPr>
        <w:t> </w:t>
      </w:r>
      <w:r>
        <w:rPr>
          <w:sz w:val="20"/>
        </w:rPr>
        <w:t>sourcing</w:t>
      </w:r>
      <w:r>
        <w:rPr>
          <w:spacing w:val="-14"/>
          <w:sz w:val="20"/>
        </w:rPr>
        <w:t> </w:t>
      </w:r>
      <w:r>
        <w:rPr>
          <w:sz w:val="20"/>
        </w:rPr>
        <w:t>principle is identified, followed by a hierarchical list of the acceptable indicators an MNE may use to locate the jurisdiction of source. In addition, it includes specific rules on documentation requirements for</w:t>
      </w:r>
      <w:r>
        <w:rPr>
          <w:spacing w:val="-39"/>
          <w:sz w:val="20"/>
        </w:rPr>
        <w:t> </w:t>
      </w:r>
      <w:r>
        <w:rPr>
          <w:sz w:val="20"/>
        </w:rPr>
        <w:t>MNEs.</w:t>
      </w:r>
    </w:p>
    <w:p>
      <w:pPr>
        <w:pStyle w:val="BodyText"/>
        <w:spacing w:before="7"/>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4.2.1. General rules" w:id="114"/>
      <w:bookmarkEnd w:id="114"/>
      <w:r>
        <w:rPr>
          <w:b w:val="0"/>
          <w:i w:val="0"/>
        </w:rPr>
      </w:r>
      <w:bookmarkStart w:name="4.2.1. General rules" w:id="115"/>
      <w:bookmarkEnd w:id="115"/>
      <w:r>
        <w:rPr>
          <w:i/>
        </w:rPr>
        <w:t>G</w:t>
      </w:r>
      <w:r>
        <w:rPr>
          <w:i/>
        </w:rPr>
        <w:t>eneral</w:t>
      </w:r>
      <w:r>
        <w:rPr>
          <w:i/>
          <w:spacing w:val="1"/>
        </w:rPr>
        <w:t> </w:t>
      </w:r>
      <w:r>
        <w:rPr>
          <w:i/>
        </w:rPr>
        <w:t>rules</w:t>
      </w:r>
    </w:p>
    <w:p>
      <w:pPr>
        <w:pStyle w:val="BodyText"/>
        <w:spacing w:before="10"/>
        <w:rPr>
          <w:b/>
          <w:i/>
          <w:sz w:val="18"/>
        </w:rPr>
      </w:pPr>
    </w:p>
    <w:p>
      <w:pPr>
        <w:pStyle w:val="ListParagraph"/>
        <w:numPr>
          <w:ilvl w:val="0"/>
          <w:numId w:val="13"/>
        </w:numPr>
        <w:tabs>
          <w:tab w:pos="1443" w:val="left" w:leader="none"/>
          <w:tab w:pos="1444" w:val="left" w:leader="none"/>
        </w:tabs>
        <w:spacing w:line="271" w:lineRule="auto" w:before="0" w:after="0"/>
        <w:ind w:left="723" w:right="485" w:firstLine="0"/>
        <w:jc w:val="left"/>
        <w:rPr>
          <w:sz w:val="20"/>
        </w:rPr>
      </w:pPr>
      <w:r>
        <w:rPr>
          <w:sz w:val="20"/>
        </w:rPr>
        <w:t>An MNE must apply the revenue sourcing rules set out below that </w:t>
      </w:r>
      <w:r>
        <w:rPr>
          <w:spacing w:val="2"/>
          <w:sz w:val="20"/>
        </w:rPr>
        <w:t>are </w:t>
      </w:r>
      <w:r>
        <w:rPr>
          <w:sz w:val="20"/>
        </w:rPr>
        <w:t>relevant to each type(s) of revenue(s) it generates.</w:t>
      </w:r>
    </w:p>
    <w:p>
      <w:pPr>
        <w:pStyle w:val="ListParagraph"/>
        <w:numPr>
          <w:ilvl w:val="0"/>
          <w:numId w:val="13"/>
        </w:numPr>
        <w:tabs>
          <w:tab w:pos="1443" w:val="left" w:leader="none"/>
          <w:tab w:pos="1444" w:val="left" w:leader="none"/>
        </w:tabs>
        <w:spacing w:line="271" w:lineRule="auto" w:before="121" w:after="0"/>
        <w:ind w:left="723" w:right="495" w:firstLine="0"/>
        <w:jc w:val="left"/>
        <w:rPr>
          <w:sz w:val="20"/>
        </w:rPr>
      </w:pPr>
      <w:r>
        <w:rPr>
          <w:sz w:val="20"/>
        </w:rPr>
        <w:t>An MNE will apply the indicator that appears first in the hierarchy of indicators, unless this information is unavailable or unreliable as noted within each</w:t>
      </w:r>
      <w:r>
        <w:rPr>
          <w:spacing w:val="-4"/>
          <w:sz w:val="20"/>
        </w:rPr>
        <w:t> </w:t>
      </w:r>
      <w:r>
        <w:rPr>
          <w:sz w:val="20"/>
        </w:rPr>
        <w:t>rule.</w:t>
      </w:r>
    </w:p>
    <w:p>
      <w:pPr>
        <w:pStyle w:val="ListParagraph"/>
        <w:numPr>
          <w:ilvl w:val="0"/>
          <w:numId w:val="13"/>
        </w:numPr>
        <w:tabs>
          <w:tab w:pos="1443" w:val="left" w:leader="none"/>
          <w:tab w:pos="1444" w:val="left" w:leader="none"/>
        </w:tabs>
        <w:spacing w:line="240" w:lineRule="auto" w:before="119" w:after="0"/>
        <w:ind w:left="1443" w:right="0" w:hanging="721"/>
        <w:jc w:val="left"/>
        <w:rPr>
          <w:sz w:val="20"/>
        </w:rPr>
      </w:pPr>
      <w:r>
        <w:rPr>
          <w:sz w:val="20"/>
        </w:rPr>
        <w:t>Information</w:t>
      </w:r>
      <w:r>
        <w:rPr>
          <w:spacing w:val="-9"/>
          <w:sz w:val="20"/>
        </w:rPr>
        <w:t> </w:t>
      </w:r>
      <w:r>
        <w:rPr>
          <w:sz w:val="20"/>
        </w:rPr>
        <w:t>is</w:t>
      </w:r>
      <w:r>
        <w:rPr>
          <w:spacing w:val="-7"/>
          <w:sz w:val="20"/>
        </w:rPr>
        <w:t> </w:t>
      </w:r>
      <w:r>
        <w:rPr>
          <w:sz w:val="20"/>
        </w:rPr>
        <w:t>only</w:t>
      </w:r>
      <w:r>
        <w:rPr>
          <w:spacing w:val="-11"/>
          <w:sz w:val="20"/>
        </w:rPr>
        <w:t> </w:t>
      </w:r>
      <w:r>
        <w:rPr>
          <w:sz w:val="20"/>
        </w:rPr>
        <w:t>considered</w:t>
      </w:r>
      <w:r>
        <w:rPr>
          <w:spacing w:val="-8"/>
          <w:sz w:val="20"/>
        </w:rPr>
        <w:t> </w:t>
      </w:r>
      <w:r>
        <w:rPr>
          <w:sz w:val="20"/>
        </w:rPr>
        <w:t>unavailable</w:t>
      </w:r>
      <w:r>
        <w:rPr>
          <w:spacing w:val="-9"/>
          <w:sz w:val="20"/>
        </w:rPr>
        <w:t> </w:t>
      </w:r>
      <w:r>
        <w:rPr>
          <w:sz w:val="20"/>
        </w:rPr>
        <w:t>if</w:t>
      </w:r>
      <w:r>
        <w:rPr>
          <w:spacing w:val="-6"/>
          <w:sz w:val="20"/>
        </w:rPr>
        <w:t> </w:t>
      </w:r>
      <w:r>
        <w:rPr>
          <w:sz w:val="20"/>
        </w:rPr>
        <w:t>it</w:t>
      </w:r>
      <w:r>
        <w:rPr>
          <w:spacing w:val="-8"/>
          <w:sz w:val="20"/>
        </w:rPr>
        <w:t> </w:t>
      </w:r>
      <w:r>
        <w:rPr>
          <w:sz w:val="20"/>
        </w:rPr>
        <w:t>is</w:t>
      </w:r>
      <w:r>
        <w:rPr>
          <w:spacing w:val="-8"/>
          <w:sz w:val="20"/>
        </w:rPr>
        <w:t> </w:t>
      </w:r>
      <w:r>
        <w:rPr>
          <w:sz w:val="20"/>
        </w:rPr>
        <w:t>not</w:t>
      </w:r>
      <w:r>
        <w:rPr>
          <w:spacing w:val="-5"/>
          <w:sz w:val="20"/>
        </w:rPr>
        <w:t> </w:t>
      </w:r>
      <w:r>
        <w:rPr>
          <w:sz w:val="20"/>
        </w:rPr>
        <w:t>within</w:t>
      </w:r>
      <w:r>
        <w:rPr>
          <w:spacing w:val="-8"/>
          <w:sz w:val="20"/>
        </w:rPr>
        <w:t> </w:t>
      </w:r>
      <w:r>
        <w:rPr>
          <w:sz w:val="20"/>
        </w:rPr>
        <w:t>the</w:t>
      </w:r>
      <w:r>
        <w:rPr>
          <w:spacing w:val="-9"/>
          <w:sz w:val="20"/>
        </w:rPr>
        <w:t> </w:t>
      </w:r>
      <w:r>
        <w:rPr>
          <w:sz w:val="20"/>
        </w:rPr>
        <w:t>MNE’s</w:t>
      </w:r>
      <w:r>
        <w:rPr>
          <w:spacing w:val="-7"/>
          <w:sz w:val="20"/>
        </w:rPr>
        <w:t> </w:t>
      </w:r>
      <w:r>
        <w:rPr>
          <w:sz w:val="20"/>
        </w:rPr>
        <w:t>possession,</w:t>
      </w:r>
      <w:r>
        <w:rPr>
          <w:spacing w:val="-8"/>
          <w:sz w:val="20"/>
        </w:rPr>
        <w:t> </w:t>
      </w:r>
      <w:r>
        <w:rPr>
          <w:sz w:val="20"/>
        </w:rPr>
        <w:t>and</w:t>
      </w:r>
      <w:r>
        <w:rPr>
          <w:spacing w:val="-8"/>
          <w:sz w:val="20"/>
        </w:rPr>
        <w:t> </w:t>
      </w:r>
      <w:r>
        <w:rPr>
          <w:sz w:val="20"/>
        </w:rPr>
        <w:t>reasonable</w:t>
      </w:r>
    </w:p>
    <w:p>
      <w:pPr>
        <w:pStyle w:val="BodyText"/>
        <w:spacing w:before="32"/>
        <w:ind w:left="723"/>
      </w:pPr>
      <w:r>
        <w:rPr/>
        <w:t>steps have been taken to obtain the information but these have not been successful.</w:t>
      </w:r>
    </w:p>
    <w:p>
      <w:pPr>
        <w:pStyle w:val="ListParagraph"/>
        <w:numPr>
          <w:ilvl w:val="0"/>
          <w:numId w:val="13"/>
        </w:numPr>
        <w:tabs>
          <w:tab w:pos="1444" w:val="left" w:leader="none"/>
        </w:tabs>
        <w:spacing w:line="271" w:lineRule="auto" w:before="149" w:after="0"/>
        <w:ind w:left="723" w:right="487" w:firstLine="0"/>
        <w:jc w:val="both"/>
        <w:rPr>
          <w:sz w:val="20"/>
        </w:rPr>
      </w:pPr>
      <w:r>
        <w:rPr>
          <w:sz w:val="20"/>
        </w:rPr>
        <w:t>Information is considered unreliable if the MNE can justify that the indicator is not a true representation of the principle in the source</w:t>
      </w:r>
      <w:r>
        <w:rPr>
          <w:spacing w:val="-1"/>
          <w:sz w:val="20"/>
        </w:rPr>
        <w:t> </w:t>
      </w:r>
      <w:r>
        <w:rPr>
          <w:sz w:val="20"/>
        </w:rPr>
        <w:t>rule.</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If an indicator is unavailable or unreliable, the MNE should seek to apply the next indicator in the hierarchy. In the event that all of the indicators in the hierarchy are unavailable (after having taken reasonable steps to obtain it) or unreliable, the MNE must apply the sourcing rule based on alternative available information and document the approach</w:t>
      </w:r>
      <w:r>
        <w:rPr>
          <w:spacing w:val="-4"/>
          <w:sz w:val="20"/>
        </w:rPr>
        <w:t> </w:t>
      </w:r>
      <w:r>
        <w:rPr>
          <w:sz w:val="20"/>
        </w:rPr>
        <w:t>taken.</w:t>
      </w:r>
    </w:p>
    <w:p>
      <w:pPr>
        <w:pStyle w:val="ListParagraph"/>
        <w:numPr>
          <w:ilvl w:val="0"/>
          <w:numId w:val="13"/>
        </w:numPr>
        <w:tabs>
          <w:tab w:pos="1444" w:val="left" w:leader="none"/>
        </w:tabs>
        <w:spacing w:line="240" w:lineRule="auto" w:before="120" w:after="0"/>
        <w:ind w:left="1443" w:right="0" w:hanging="721"/>
        <w:jc w:val="both"/>
        <w:rPr>
          <w:sz w:val="20"/>
        </w:rPr>
      </w:pPr>
      <w:r>
        <w:rPr>
          <w:sz w:val="20"/>
        </w:rPr>
        <w:t>An MNE must retain documentation as set out in these</w:t>
      </w:r>
      <w:r>
        <w:rPr>
          <w:spacing w:val="-6"/>
          <w:sz w:val="20"/>
        </w:rPr>
        <w:t> </w:t>
      </w:r>
      <w:r>
        <w:rPr>
          <w:sz w:val="20"/>
        </w:rPr>
        <w:t>rules.</w:t>
      </w:r>
    </w:p>
    <w:p>
      <w:pPr>
        <w:pStyle w:val="ListParagraph"/>
        <w:numPr>
          <w:ilvl w:val="0"/>
          <w:numId w:val="13"/>
        </w:numPr>
        <w:tabs>
          <w:tab w:pos="1444" w:val="left" w:leader="none"/>
        </w:tabs>
        <w:spacing w:line="240" w:lineRule="auto" w:before="149" w:after="0"/>
        <w:ind w:left="1443" w:right="0" w:hanging="721"/>
        <w:jc w:val="both"/>
        <w:rPr>
          <w:sz w:val="20"/>
        </w:rPr>
      </w:pPr>
      <w:r>
        <w:rPr>
          <w:sz w:val="20"/>
        </w:rPr>
        <w:t>The following definitions apply to these</w:t>
      </w:r>
      <w:r>
        <w:rPr>
          <w:spacing w:val="-8"/>
          <w:sz w:val="20"/>
        </w:rPr>
        <w:t> </w:t>
      </w:r>
      <w:r>
        <w:rPr>
          <w:sz w:val="20"/>
        </w:rPr>
        <w:t>rules:</w:t>
      </w:r>
    </w:p>
    <w:p>
      <w:pPr>
        <w:pStyle w:val="ListParagraph"/>
        <w:numPr>
          <w:ilvl w:val="0"/>
          <w:numId w:val="21"/>
        </w:numPr>
        <w:tabs>
          <w:tab w:pos="1402" w:val="left" w:leader="none"/>
          <w:tab w:pos="1403" w:val="left" w:leader="none"/>
        </w:tabs>
        <w:spacing w:line="240" w:lineRule="auto" w:before="131" w:after="0"/>
        <w:ind w:left="1402" w:right="0" w:hanging="339"/>
        <w:jc w:val="left"/>
        <w:rPr>
          <w:sz w:val="20"/>
        </w:rPr>
      </w:pPr>
      <w:r>
        <w:rPr>
          <w:sz w:val="20"/>
        </w:rPr>
        <w:t>“Developer” means the party that developed the intangible good or</w:t>
      </w:r>
      <w:r>
        <w:rPr>
          <w:spacing w:val="-16"/>
          <w:sz w:val="20"/>
        </w:rPr>
        <w:t> </w:t>
      </w:r>
      <w:r>
        <w:rPr>
          <w:sz w:val="20"/>
        </w:rPr>
        <w:t>service.</w:t>
      </w:r>
    </w:p>
    <w:p>
      <w:pPr>
        <w:pStyle w:val="ListParagraph"/>
        <w:numPr>
          <w:ilvl w:val="0"/>
          <w:numId w:val="21"/>
        </w:numPr>
        <w:tabs>
          <w:tab w:pos="1402" w:val="left" w:leader="none"/>
          <w:tab w:pos="1403" w:val="left" w:leader="none"/>
        </w:tabs>
        <w:spacing w:line="266" w:lineRule="auto" w:before="75" w:after="0"/>
        <w:ind w:left="1402" w:right="494" w:hanging="339"/>
        <w:jc w:val="left"/>
        <w:rPr>
          <w:sz w:val="20"/>
        </w:rPr>
      </w:pPr>
      <w:r>
        <w:rPr>
          <w:sz w:val="20"/>
        </w:rPr>
        <w:t>“Independent distributor” means an independent enterprise that is contracted by the MNE to distribute or resell that MNE’s</w:t>
      </w:r>
      <w:r>
        <w:rPr>
          <w:spacing w:val="-7"/>
          <w:sz w:val="20"/>
        </w:rPr>
        <w:t> </w:t>
      </w:r>
      <w:r>
        <w:rPr>
          <w:sz w:val="20"/>
        </w:rPr>
        <w:t>goods.</w:t>
      </w:r>
    </w:p>
    <w:p>
      <w:pPr>
        <w:pStyle w:val="ListParagraph"/>
        <w:numPr>
          <w:ilvl w:val="0"/>
          <w:numId w:val="21"/>
        </w:numPr>
        <w:tabs>
          <w:tab w:pos="1402" w:val="left" w:leader="none"/>
          <w:tab w:pos="1403" w:val="left" w:leader="none"/>
        </w:tabs>
        <w:spacing w:line="240" w:lineRule="auto" w:before="53" w:after="0"/>
        <w:ind w:left="1402" w:right="0" w:hanging="339"/>
        <w:jc w:val="left"/>
        <w:rPr>
          <w:sz w:val="20"/>
        </w:rPr>
      </w:pPr>
      <w:r>
        <w:rPr>
          <w:sz w:val="20"/>
        </w:rPr>
        <w:t>“Intangible</w:t>
      </w:r>
      <w:r>
        <w:rPr>
          <w:spacing w:val="31"/>
          <w:sz w:val="20"/>
        </w:rPr>
        <w:t> </w:t>
      </w:r>
      <w:r>
        <w:rPr>
          <w:sz w:val="20"/>
        </w:rPr>
        <w:t>goods</w:t>
      </w:r>
      <w:r>
        <w:rPr>
          <w:spacing w:val="33"/>
          <w:sz w:val="20"/>
        </w:rPr>
        <w:t> </w:t>
      </w:r>
      <w:r>
        <w:rPr>
          <w:sz w:val="20"/>
        </w:rPr>
        <w:t>/</w:t>
      </w:r>
      <w:r>
        <w:rPr>
          <w:spacing w:val="32"/>
          <w:sz w:val="20"/>
        </w:rPr>
        <w:t> </w:t>
      </w:r>
      <w:r>
        <w:rPr>
          <w:sz w:val="20"/>
        </w:rPr>
        <w:t>services”</w:t>
      </w:r>
      <w:r>
        <w:rPr>
          <w:spacing w:val="31"/>
          <w:sz w:val="20"/>
        </w:rPr>
        <w:t> </w:t>
      </w:r>
      <w:r>
        <w:rPr>
          <w:sz w:val="20"/>
        </w:rPr>
        <w:t>means</w:t>
      </w:r>
      <w:r>
        <w:rPr>
          <w:spacing w:val="33"/>
          <w:sz w:val="20"/>
        </w:rPr>
        <w:t> </w:t>
      </w:r>
      <w:r>
        <w:rPr>
          <w:sz w:val="20"/>
        </w:rPr>
        <w:t>products</w:t>
      </w:r>
      <w:r>
        <w:rPr>
          <w:spacing w:val="33"/>
          <w:sz w:val="20"/>
        </w:rPr>
        <w:t> </w:t>
      </w:r>
      <w:r>
        <w:rPr>
          <w:sz w:val="20"/>
        </w:rPr>
        <w:t>or</w:t>
      </w:r>
      <w:r>
        <w:rPr>
          <w:spacing w:val="33"/>
          <w:sz w:val="20"/>
        </w:rPr>
        <w:t> </w:t>
      </w:r>
      <w:r>
        <w:rPr>
          <w:sz w:val="20"/>
        </w:rPr>
        <w:t>services</w:t>
      </w:r>
      <w:r>
        <w:rPr>
          <w:spacing w:val="33"/>
          <w:sz w:val="20"/>
        </w:rPr>
        <w:t> </w:t>
      </w:r>
      <w:r>
        <w:rPr>
          <w:sz w:val="20"/>
        </w:rPr>
        <w:t>that</w:t>
      </w:r>
      <w:r>
        <w:rPr>
          <w:spacing w:val="32"/>
          <w:sz w:val="20"/>
        </w:rPr>
        <w:t> </w:t>
      </w:r>
      <w:r>
        <w:rPr>
          <w:sz w:val="20"/>
        </w:rPr>
        <w:t>are</w:t>
      </w:r>
      <w:r>
        <w:rPr>
          <w:spacing w:val="33"/>
          <w:sz w:val="20"/>
        </w:rPr>
        <w:t> </w:t>
      </w:r>
      <w:r>
        <w:rPr>
          <w:sz w:val="20"/>
        </w:rPr>
        <w:t>not</w:t>
      </w:r>
      <w:r>
        <w:rPr>
          <w:spacing w:val="32"/>
          <w:sz w:val="20"/>
        </w:rPr>
        <w:t> </w:t>
      </w:r>
      <w:r>
        <w:rPr>
          <w:sz w:val="20"/>
        </w:rPr>
        <w:t>of</w:t>
      </w:r>
      <w:r>
        <w:rPr>
          <w:spacing w:val="34"/>
          <w:sz w:val="20"/>
        </w:rPr>
        <w:t> </w:t>
      </w:r>
      <w:r>
        <w:rPr>
          <w:sz w:val="20"/>
        </w:rPr>
        <w:t>a</w:t>
      </w:r>
      <w:r>
        <w:rPr>
          <w:spacing w:val="32"/>
          <w:sz w:val="20"/>
        </w:rPr>
        <w:t> </w:t>
      </w:r>
      <w:r>
        <w:rPr>
          <w:sz w:val="20"/>
        </w:rPr>
        <w:t>physical</w:t>
      </w:r>
      <w:r>
        <w:rPr>
          <w:spacing w:val="31"/>
          <w:sz w:val="20"/>
        </w:rPr>
        <w:t> </w:t>
      </w:r>
      <w:r>
        <w:rPr>
          <w:sz w:val="20"/>
        </w:rPr>
        <w:t>nature</w:t>
      </w:r>
      <w:r>
        <w:rPr>
          <w:spacing w:val="33"/>
          <w:sz w:val="20"/>
        </w:rPr>
        <w:t> </w:t>
      </w:r>
      <w:r>
        <w:rPr>
          <w:sz w:val="20"/>
        </w:rPr>
        <w:t>or</w:t>
      </w:r>
    </w:p>
    <w:p>
      <w:pPr>
        <w:pStyle w:val="BodyText"/>
        <w:spacing w:before="28"/>
        <w:ind w:left="1402"/>
      </w:pPr>
      <w:r>
        <w:rPr/>
        <w:t>delivered in physical form, such as downloaded material or advisory services.</w:t>
      </w:r>
    </w:p>
    <w:p>
      <w:pPr>
        <w:spacing w:after="0"/>
        <w:sectPr>
          <w:pgSz w:w="11910" w:h="16840"/>
          <w:pgMar w:header="1244" w:footer="1638" w:top="1500" w:bottom="1820" w:left="580" w:right="820"/>
        </w:sectPr>
      </w:pPr>
    </w:p>
    <w:p>
      <w:pPr>
        <w:pStyle w:val="BodyText"/>
        <w:spacing w:before="1"/>
        <w:rPr>
          <w:sz w:val="18"/>
        </w:rPr>
      </w:pPr>
    </w:p>
    <w:p>
      <w:pPr>
        <w:pStyle w:val="ListParagraph"/>
        <w:numPr>
          <w:ilvl w:val="0"/>
          <w:numId w:val="21"/>
        </w:numPr>
        <w:tabs>
          <w:tab w:pos="1402" w:val="left" w:leader="none"/>
          <w:tab w:pos="1403" w:val="left" w:leader="none"/>
        </w:tabs>
        <w:spacing w:line="240" w:lineRule="auto" w:before="99" w:after="0"/>
        <w:ind w:left="1402" w:right="0" w:hanging="339"/>
        <w:jc w:val="left"/>
        <w:rPr>
          <w:sz w:val="20"/>
        </w:rPr>
      </w:pPr>
      <w:r>
        <w:rPr>
          <w:sz w:val="20"/>
        </w:rPr>
        <w:t>“Jurisdiction” means country or territory that is a jurisdiction for tax</w:t>
      </w:r>
      <w:r>
        <w:rPr>
          <w:spacing w:val="-21"/>
          <w:sz w:val="20"/>
        </w:rPr>
        <w:t> </w:t>
      </w:r>
      <w:r>
        <w:rPr>
          <w:sz w:val="20"/>
        </w:rPr>
        <w:t>purposes.</w:t>
      </w:r>
    </w:p>
    <w:p>
      <w:pPr>
        <w:pStyle w:val="ListParagraph"/>
        <w:numPr>
          <w:ilvl w:val="0"/>
          <w:numId w:val="21"/>
        </w:numPr>
        <w:tabs>
          <w:tab w:pos="1402" w:val="left" w:leader="none"/>
          <w:tab w:pos="1403" w:val="left" w:leader="none"/>
        </w:tabs>
        <w:spacing w:line="240" w:lineRule="auto" w:before="75" w:after="0"/>
        <w:ind w:left="1402" w:right="0" w:hanging="339"/>
        <w:jc w:val="left"/>
        <w:rPr>
          <w:sz w:val="20"/>
        </w:rPr>
      </w:pPr>
      <w:r>
        <w:rPr>
          <w:sz w:val="20"/>
        </w:rPr>
        <w:t>“Ordinary residence” means the place a person habitually</w:t>
      </w:r>
      <w:r>
        <w:rPr>
          <w:spacing w:val="-15"/>
          <w:sz w:val="20"/>
        </w:rPr>
        <w:t> </w:t>
      </w:r>
      <w:r>
        <w:rPr>
          <w:sz w:val="20"/>
        </w:rPr>
        <w:t>resides.</w:t>
      </w:r>
    </w:p>
    <w:p>
      <w:pPr>
        <w:pStyle w:val="ListParagraph"/>
        <w:numPr>
          <w:ilvl w:val="0"/>
          <w:numId w:val="21"/>
        </w:numPr>
        <w:tabs>
          <w:tab w:pos="1402" w:val="left" w:leader="none"/>
          <w:tab w:pos="1403" w:val="left" w:leader="none"/>
        </w:tabs>
        <w:spacing w:line="268" w:lineRule="auto" w:before="74" w:after="0"/>
        <w:ind w:left="1402" w:right="482" w:hanging="339"/>
        <w:jc w:val="left"/>
        <w:rPr>
          <w:sz w:val="20"/>
        </w:rPr>
      </w:pPr>
      <w:r>
        <w:rPr>
          <w:sz w:val="20"/>
        </w:rPr>
        <w:t>“Other</w:t>
      </w:r>
      <w:r>
        <w:rPr>
          <w:spacing w:val="-8"/>
          <w:sz w:val="20"/>
        </w:rPr>
        <w:t> </w:t>
      </w:r>
      <w:r>
        <w:rPr>
          <w:sz w:val="20"/>
        </w:rPr>
        <w:t>online</w:t>
      </w:r>
      <w:r>
        <w:rPr>
          <w:spacing w:val="-7"/>
          <w:sz w:val="20"/>
        </w:rPr>
        <w:t> </w:t>
      </w:r>
      <w:r>
        <w:rPr>
          <w:sz w:val="20"/>
        </w:rPr>
        <w:t>purchases”</w:t>
      </w:r>
      <w:r>
        <w:rPr>
          <w:spacing w:val="-8"/>
          <w:sz w:val="20"/>
        </w:rPr>
        <w:t> </w:t>
      </w:r>
      <w:r>
        <w:rPr>
          <w:sz w:val="20"/>
        </w:rPr>
        <w:t>mean</w:t>
      </w:r>
      <w:r>
        <w:rPr>
          <w:spacing w:val="-6"/>
          <w:sz w:val="20"/>
        </w:rPr>
        <w:t> </w:t>
      </w:r>
      <w:r>
        <w:rPr>
          <w:sz w:val="20"/>
        </w:rPr>
        <w:t>online</w:t>
      </w:r>
      <w:r>
        <w:rPr>
          <w:spacing w:val="-7"/>
          <w:sz w:val="20"/>
        </w:rPr>
        <w:t> </w:t>
      </w:r>
      <w:r>
        <w:rPr>
          <w:sz w:val="20"/>
        </w:rPr>
        <w:t>purchases</w:t>
      </w:r>
      <w:r>
        <w:rPr>
          <w:spacing w:val="-6"/>
          <w:sz w:val="20"/>
        </w:rPr>
        <w:t> </w:t>
      </w:r>
      <w:r>
        <w:rPr>
          <w:sz w:val="20"/>
        </w:rPr>
        <w:t>of</w:t>
      </w:r>
      <w:r>
        <w:rPr>
          <w:spacing w:val="-7"/>
          <w:sz w:val="20"/>
        </w:rPr>
        <w:t> </w:t>
      </w:r>
      <w:r>
        <w:rPr>
          <w:sz w:val="20"/>
        </w:rPr>
        <w:t>goods</w:t>
      </w:r>
      <w:r>
        <w:rPr>
          <w:spacing w:val="-7"/>
          <w:sz w:val="20"/>
        </w:rPr>
        <w:t> </w:t>
      </w:r>
      <w:r>
        <w:rPr>
          <w:sz w:val="20"/>
        </w:rPr>
        <w:t>or</w:t>
      </w:r>
      <w:r>
        <w:rPr>
          <w:spacing w:val="-8"/>
          <w:sz w:val="20"/>
        </w:rPr>
        <w:t> </w:t>
      </w:r>
      <w:r>
        <w:rPr>
          <w:sz w:val="20"/>
        </w:rPr>
        <w:t>services</w:t>
      </w:r>
      <w:r>
        <w:rPr>
          <w:spacing w:val="-6"/>
          <w:sz w:val="20"/>
        </w:rPr>
        <w:t> </w:t>
      </w:r>
      <w:r>
        <w:rPr>
          <w:sz w:val="20"/>
        </w:rPr>
        <w:t>that</w:t>
      </w:r>
      <w:r>
        <w:rPr>
          <w:spacing w:val="-9"/>
          <w:sz w:val="20"/>
        </w:rPr>
        <w:t> </w:t>
      </w:r>
      <w:r>
        <w:rPr>
          <w:sz w:val="20"/>
        </w:rPr>
        <w:t>are</w:t>
      </w:r>
      <w:r>
        <w:rPr>
          <w:spacing w:val="2"/>
          <w:sz w:val="20"/>
        </w:rPr>
        <w:t> </w:t>
      </w:r>
      <w:r>
        <w:rPr>
          <w:sz w:val="20"/>
        </w:rPr>
        <w:t>in</w:t>
      </w:r>
      <w:r>
        <w:rPr>
          <w:spacing w:val="-9"/>
          <w:sz w:val="20"/>
        </w:rPr>
        <w:t> </w:t>
      </w:r>
      <w:r>
        <w:rPr>
          <w:sz w:val="20"/>
        </w:rPr>
        <w:t>scope</w:t>
      </w:r>
      <w:r>
        <w:rPr>
          <w:spacing w:val="-5"/>
          <w:sz w:val="20"/>
        </w:rPr>
        <w:t> </w:t>
      </w:r>
      <w:r>
        <w:rPr>
          <w:sz w:val="20"/>
        </w:rPr>
        <w:t>of</w:t>
      </w:r>
      <w:r>
        <w:rPr>
          <w:spacing w:val="-7"/>
          <w:sz w:val="20"/>
        </w:rPr>
        <w:t> </w:t>
      </w:r>
      <w:r>
        <w:rPr>
          <w:sz w:val="20"/>
        </w:rPr>
        <w:t>ADS,</w:t>
      </w:r>
      <w:r>
        <w:rPr>
          <w:spacing w:val="-6"/>
          <w:sz w:val="20"/>
        </w:rPr>
        <w:t> </w:t>
      </w:r>
      <w:r>
        <w:rPr>
          <w:sz w:val="20"/>
        </w:rPr>
        <w:t>or the purchase of additional features within an ADS for which the user</w:t>
      </w:r>
      <w:r>
        <w:rPr>
          <w:spacing w:val="-7"/>
          <w:sz w:val="20"/>
        </w:rPr>
        <w:t> </w:t>
      </w:r>
      <w:r>
        <w:rPr>
          <w:sz w:val="20"/>
        </w:rPr>
        <w:t>pays.</w:t>
      </w:r>
    </w:p>
    <w:p>
      <w:pPr>
        <w:pStyle w:val="ListParagraph"/>
        <w:numPr>
          <w:ilvl w:val="0"/>
          <w:numId w:val="21"/>
        </w:numPr>
        <w:tabs>
          <w:tab w:pos="1402" w:val="left" w:leader="none"/>
          <w:tab w:pos="1403" w:val="left" w:leader="none"/>
        </w:tabs>
        <w:spacing w:line="240" w:lineRule="auto" w:before="48" w:after="0"/>
        <w:ind w:left="1402" w:right="0" w:hanging="339"/>
        <w:jc w:val="left"/>
        <w:rPr>
          <w:sz w:val="20"/>
        </w:rPr>
      </w:pPr>
      <w:r>
        <w:rPr>
          <w:sz w:val="20"/>
        </w:rPr>
        <w:t>“Purchaser” means the party making a payment under a contract to acquire a good or</w:t>
      </w:r>
      <w:r>
        <w:rPr>
          <w:spacing w:val="-33"/>
          <w:sz w:val="20"/>
        </w:rPr>
        <w:t> </w:t>
      </w:r>
      <w:r>
        <w:rPr>
          <w:sz w:val="20"/>
        </w:rPr>
        <w:t>service.</w:t>
      </w:r>
    </w:p>
    <w:p>
      <w:pPr>
        <w:pStyle w:val="ListParagraph"/>
        <w:numPr>
          <w:ilvl w:val="0"/>
          <w:numId w:val="21"/>
        </w:numPr>
        <w:tabs>
          <w:tab w:pos="1402" w:val="left" w:leader="none"/>
          <w:tab w:pos="1403" w:val="left" w:leader="none"/>
        </w:tabs>
        <w:spacing w:line="240" w:lineRule="auto" w:before="75" w:after="0"/>
        <w:ind w:left="1402" w:right="0" w:hanging="339"/>
        <w:jc w:val="left"/>
        <w:rPr>
          <w:sz w:val="20"/>
        </w:rPr>
      </w:pPr>
      <w:r>
        <w:rPr>
          <w:sz w:val="20"/>
        </w:rPr>
        <w:t>“Seller” means the party providing the good or service under a contract with a</w:t>
      </w:r>
      <w:r>
        <w:rPr>
          <w:spacing w:val="-23"/>
          <w:sz w:val="20"/>
        </w:rPr>
        <w:t> </w:t>
      </w:r>
      <w:r>
        <w:rPr>
          <w:sz w:val="20"/>
        </w:rPr>
        <w:t>purchaser.</w:t>
      </w:r>
    </w:p>
    <w:p>
      <w:pPr>
        <w:pStyle w:val="ListParagraph"/>
        <w:numPr>
          <w:ilvl w:val="0"/>
          <w:numId w:val="21"/>
        </w:numPr>
        <w:tabs>
          <w:tab w:pos="1402" w:val="left" w:leader="none"/>
          <w:tab w:pos="1403" w:val="left" w:leader="none"/>
        </w:tabs>
        <w:spacing w:line="266" w:lineRule="auto" w:before="76" w:after="0"/>
        <w:ind w:left="1402" w:right="484" w:hanging="339"/>
        <w:jc w:val="left"/>
        <w:rPr>
          <w:sz w:val="20"/>
        </w:rPr>
      </w:pPr>
      <w:r>
        <w:rPr>
          <w:sz w:val="20"/>
        </w:rPr>
        <w:t>“Tangible goods” means products that are of a physical nature, such as clothing or household items.</w:t>
      </w:r>
    </w:p>
    <w:p>
      <w:pPr>
        <w:pStyle w:val="ListParagraph"/>
        <w:numPr>
          <w:ilvl w:val="0"/>
          <w:numId w:val="21"/>
        </w:numPr>
        <w:tabs>
          <w:tab w:pos="1402" w:val="left" w:leader="none"/>
          <w:tab w:pos="1403" w:val="left" w:leader="none"/>
        </w:tabs>
        <w:spacing w:line="240" w:lineRule="auto" w:before="51" w:after="0"/>
        <w:ind w:left="1402" w:right="0" w:hanging="339"/>
        <w:jc w:val="left"/>
        <w:rPr>
          <w:sz w:val="20"/>
        </w:rPr>
      </w:pPr>
      <w:r>
        <w:rPr>
          <w:sz w:val="20"/>
        </w:rPr>
        <w:t>“Tangible services” means services that are delivered in physical form, such as</w:t>
      </w:r>
      <w:r>
        <w:rPr>
          <w:spacing w:val="-8"/>
          <w:sz w:val="20"/>
        </w:rPr>
        <w:t> </w:t>
      </w:r>
      <w:r>
        <w:rPr>
          <w:sz w:val="20"/>
        </w:rPr>
        <w:t>hotel</w:t>
      </w:r>
    </w:p>
    <w:p>
      <w:pPr>
        <w:pStyle w:val="BodyText"/>
        <w:spacing w:before="30"/>
        <w:ind w:left="1402"/>
      </w:pPr>
      <w:r>
        <w:rPr/>
        <w:t>accommodation or transportation.</w:t>
      </w:r>
    </w:p>
    <w:p>
      <w:pPr>
        <w:pStyle w:val="ListParagraph"/>
        <w:numPr>
          <w:ilvl w:val="0"/>
          <w:numId w:val="21"/>
        </w:numPr>
        <w:tabs>
          <w:tab w:pos="1402" w:val="left" w:leader="none"/>
          <w:tab w:pos="1403" w:val="left" w:leader="none"/>
        </w:tabs>
        <w:spacing w:line="240" w:lineRule="auto" w:before="76" w:after="0"/>
        <w:ind w:left="1402" w:right="0" w:hanging="339"/>
        <w:jc w:val="left"/>
        <w:rPr>
          <w:sz w:val="20"/>
        </w:rPr>
      </w:pPr>
      <w:r>
        <w:rPr>
          <w:sz w:val="20"/>
        </w:rPr>
        <w:t>“User” means any individual or business accessing a service, but does not</w:t>
      </w:r>
      <w:r>
        <w:rPr>
          <w:spacing w:val="-21"/>
          <w:sz w:val="20"/>
        </w:rPr>
        <w:t> </w:t>
      </w:r>
      <w:r>
        <w:rPr>
          <w:sz w:val="20"/>
        </w:rPr>
        <w:t>include:</w:t>
      </w:r>
    </w:p>
    <w:p>
      <w:pPr>
        <w:pStyle w:val="ListParagraph"/>
        <w:numPr>
          <w:ilvl w:val="1"/>
          <w:numId w:val="21"/>
        </w:numPr>
        <w:tabs>
          <w:tab w:pos="1743" w:val="left" w:leader="none"/>
          <w:tab w:pos="1744" w:val="left" w:leader="none"/>
        </w:tabs>
        <w:spacing w:line="240" w:lineRule="auto" w:before="88" w:after="0"/>
        <w:ind w:left="1743" w:right="0" w:hanging="342"/>
        <w:jc w:val="left"/>
        <w:rPr>
          <w:sz w:val="20"/>
        </w:rPr>
      </w:pPr>
      <w:r>
        <w:rPr>
          <w:sz w:val="20"/>
        </w:rPr>
        <w:t>the provider, or a member of the same MNE group as the provider, of that</w:t>
      </w:r>
      <w:r>
        <w:rPr>
          <w:spacing w:val="-13"/>
          <w:sz w:val="20"/>
        </w:rPr>
        <w:t> </w:t>
      </w:r>
      <w:r>
        <w:rPr>
          <w:sz w:val="20"/>
        </w:rPr>
        <w:t>service;</w:t>
      </w:r>
    </w:p>
    <w:p>
      <w:pPr>
        <w:pStyle w:val="ListParagraph"/>
        <w:numPr>
          <w:ilvl w:val="1"/>
          <w:numId w:val="21"/>
        </w:numPr>
        <w:tabs>
          <w:tab w:pos="1743" w:val="left" w:leader="none"/>
          <w:tab w:pos="1744" w:val="left" w:leader="none"/>
        </w:tabs>
        <w:spacing w:line="240" w:lineRule="auto" w:before="74" w:after="0"/>
        <w:ind w:left="1743" w:right="0" w:hanging="342"/>
        <w:jc w:val="left"/>
        <w:rPr>
          <w:sz w:val="20"/>
        </w:rPr>
      </w:pPr>
      <w:r>
        <w:rPr>
          <w:sz w:val="20"/>
        </w:rPr>
        <w:t>an employee of person referred to in paragraph (a) acting in the course</w:t>
      </w:r>
      <w:r>
        <w:rPr>
          <w:spacing w:val="31"/>
          <w:sz w:val="20"/>
        </w:rPr>
        <w:t> </w:t>
      </w:r>
      <w:r>
        <w:rPr>
          <w:sz w:val="20"/>
        </w:rPr>
        <w:t>of that person’s</w:t>
      </w:r>
    </w:p>
    <w:p>
      <w:pPr>
        <w:pStyle w:val="BodyText"/>
        <w:spacing w:before="12"/>
        <w:ind w:left="1743"/>
      </w:pPr>
      <w:r>
        <w:rPr/>
        <w:t>business.</w:t>
      </w:r>
    </w:p>
    <w:p>
      <w:pPr>
        <w:pStyle w:val="ListParagraph"/>
        <w:numPr>
          <w:ilvl w:val="0"/>
          <w:numId w:val="21"/>
        </w:numPr>
        <w:tabs>
          <w:tab w:pos="1402" w:val="left" w:leader="none"/>
          <w:tab w:pos="1403" w:val="left" w:leader="none"/>
        </w:tabs>
        <w:spacing w:line="240" w:lineRule="auto" w:before="76" w:after="0"/>
        <w:ind w:left="1402" w:right="0" w:hanging="339"/>
        <w:jc w:val="left"/>
        <w:rPr>
          <w:sz w:val="20"/>
        </w:rPr>
      </w:pPr>
      <w:r>
        <w:rPr>
          <w:sz w:val="20"/>
        </w:rPr>
        <w:t>“User profile” means information collected and retained by the MNE about a</w:t>
      </w:r>
      <w:r>
        <w:rPr>
          <w:spacing w:val="-20"/>
          <w:sz w:val="20"/>
        </w:rPr>
        <w:t> </w:t>
      </w:r>
      <w:r>
        <w:rPr>
          <w:sz w:val="20"/>
        </w:rPr>
        <w:t>user.</w:t>
      </w:r>
    </w:p>
    <w:p>
      <w:pPr>
        <w:pStyle w:val="ListParagraph"/>
        <w:numPr>
          <w:ilvl w:val="0"/>
          <w:numId w:val="21"/>
        </w:numPr>
        <w:tabs>
          <w:tab w:pos="1402" w:val="left" w:leader="none"/>
          <w:tab w:pos="1403" w:val="left" w:leader="none"/>
        </w:tabs>
        <w:spacing w:line="240" w:lineRule="auto" w:before="76" w:after="0"/>
        <w:ind w:left="1402" w:right="0" w:hanging="339"/>
        <w:jc w:val="left"/>
        <w:rPr>
          <w:sz w:val="20"/>
        </w:rPr>
      </w:pPr>
      <w:r>
        <w:rPr>
          <w:sz w:val="20"/>
        </w:rPr>
        <w:t>“Viewer” means the individual who views an</w:t>
      </w:r>
      <w:r>
        <w:rPr>
          <w:spacing w:val="-1"/>
          <w:sz w:val="20"/>
        </w:rPr>
        <w:t> </w:t>
      </w:r>
      <w:r>
        <w:rPr>
          <w:sz w:val="20"/>
        </w:rPr>
        <w:t>advertisement.</w:t>
      </w:r>
    </w:p>
    <w:p>
      <w:pPr>
        <w:pStyle w:val="ListParagraph"/>
        <w:numPr>
          <w:ilvl w:val="0"/>
          <w:numId w:val="13"/>
        </w:numPr>
        <w:tabs>
          <w:tab w:pos="1444" w:val="left" w:leader="none"/>
        </w:tabs>
        <w:spacing w:line="240" w:lineRule="auto" w:before="155" w:after="0"/>
        <w:ind w:left="1443" w:right="0" w:hanging="721"/>
        <w:jc w:val="both"/>
        <w:rPr>
          <w:sz w:val="20"/>
        </w:rPr>
      </w:pPr>
      <w:r>
        <w:rPr>
          <w:sz w:val="20"/>
        </w:rPr>
        <w:t>All other capitalised terms take their meaning from the Scope of Amount </w:t>
      </w:r>
      <w:r>
        <w:rPr>
          <w:spacing w:val="3"/>
          <w:sz w:val="20"/>
        </w:rPr>
        <w:t>A, </w:t>
      </w:r>
      <w:r>
        <w:rPr>
          <w:sz w:val="20"/>
        </w:rPr>
        <w:t>in Chapter</w:t>
      </w:r>
      <w:r>
        <w:rPr>
          <w:spacing w:val="-22"/>
          <w:sz w:val="20"/>
        </w:rPr>
        <w:t> </w:t>
      </w:r>
      <w:hyperlink w:history="true" w:anchor="_bookmark6">
        <w:r>
          <w:rPr>
            <w:sz w:val="20"/>
          </w:rPr>
          <w:t>2.</w:t>
        </w:r>
      </w:hyperlink>
    </w:p>
    <w:p>
      <w:pPr>
        <w:pStyle w:val="BodyText"/>
        <w:spacing w:before="11"/>
        <w:rPr>
          <w:sz w:val="25"/>
        </w:rPr>
      </w:pPr>
    </w:p>
    <w:p>
      <w:pPr>
        <w:pStyle w:val="Heading6"/>
        <w:numPr>
          <w:ilvl w:val="2"/>
          <w:numId w:val="19"/>
        </w:numPr>
        <w:tabs>
          <w:tab w:pos="2015" w:val="left" w:leader="none"/>
        </w:tabs>
        <w:spacing w:line="240" w:lineRule="auto" w:before="0" w:after="0"/>
        <w:ind w:left="2014" w:right="0" w:hanging="613"/>
        <w:jc w:val="left"/>
        <w:rPr>
          <w:i/>
        </w:rPr>
      </w:pPr>
      <w:bookmarkStart w:name="4.2.2. Automated digital services (ADS)" w:id="116"/>
      <w:bookmarkEnd w:id="116"/>
      <w:r>
        <w:rPr>
          <w:b w:val="0"/>
          <w:i w:val="0"/>
        </w:rPr>
      </w:r>
      <w:bookmarkStart w:name="4.2.2. Automated digital services (ADS)" w:id="117"/>
      <w:bookmarkEnd w:id="117"/>
      <w:r>
        <w:rPr>
          <w:i/>
        </w:rPr>
        <w:t>A</w:t>
      </w:r>
      <w:r>
        <w:rPr>
          <w:i/>
        </w:rPr>
        <w:t>utomated digital services</w:t>
      </w:r>
      <w:r>
        <w:rPr>
          <w:i/>
          <w:spacing w:val="-1"/>
        </w:rPr>
        <w:t> </w:t>
      </w:r>
      <w:r>
        <w:rPr>
          <w:i/>
        </w:rPr>
        <w:t>(ADS)</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9" w:firstLine="0"/>
        <w:jc w:val="both"/>
        <w:rPr>
          <w:sz w:val="20"/>
        </w:rPr>
      </w:pPr>
      <w:r>
        <w:rPr>
          <w:sz w:val="20"/>
        </w:rPr>
        <w:t>These rules first set out a non-exhaustive, indicative list of the type of revenues that ADS businesses</w:t>
      </w:r>
      <w:r>
        <w:rPr>
          <w:spacing w:val="-7"/>
          <w:sz w:val="20"/>
        </w:rPr>
        <w:t> </w:t>
      </w:r>
      <w:r>
        <w:rPr>
          <w:sz w:val="20"/>
        </w:rPr>
        <w:t>typically</w:t>
      </w:r>
      <w:r>
        <w:rPr>
          <w:spacing w:val="-7"/>
          <w:sz w:val="20"/>
        </w:rPr>
        <w:t> </w:t>
      </w:r>
      <w:r>
        <w:rPr>
          <w:sz w:val="20"/>
        </w:rPr>
        <w:t>earn</w:t>
      </w:r>
      <w:r>
        <w:rPr>
          <w:spacing w:val="-7"/>
          <w:sz w:val="20"/>
        </w:rPr>
        <w:t> </w:t>
      </w:r>
      <w:r>
        <w:rPr>
          <w:sz w:val="20"/>
        </w:rPr>
        <w:t>and</w:t>
      </w:r>
      <w:r>
        <w:rPr>
          <w:spacing w:val="-7"/>
          <w:sz w:val="20"/>
        </w:rPr>
        <w:t> </w:t>
      </w:r>
      <w:r>
        <w:rPr>
          <w:sz w:val="20"/>
        </w:rPr>
        <w:t>the</w:t>
      </w:r>
      <w:r>
        <w:rPr>
          <w:spacing w:val="-7"/>
          <w:sz w:val="20"/>
        </w:rPr>
        <w:t> </w:t>
      </w:r>
      <w:r>
        <w:rPr>
          <w:sz w:val="20"/>
        </w:rPr>
        <w:t>revenue</w:t>
      </w:r>
      <w:r>
        <w:rPr>
          <w:spacing w:val="-7"/>
          <w:sz w:val="20"/>
        </w:rPr>
        <w:t> </w:t>
      </w:r>
      <w:r>
        <w:rPr>
          <w:sz w:val="20"/>
        </w:rPr>
        <w:t>sourcing</w:t>
      </w:r>
      <w:r>
        <w:rPr>
          <w:spacing w:val="-7"/>
          <w:sz w:val="20"/>
        </w:rPr>
        <w:t> </w:t>
      </w:r>
      <w:r>
        <w:rPr>
          <w:sz w:val="20"/>
        </w:rPr>
        <w:t>rules</w:t>
      </w:r>
      <w:r>
        <w:rPr>
          <w:spacing w:val="-6"/>
          <w:sz w:val="20"/>
        </w:rPr>
        <w:t> </w:t>
      </w:r>
      <w:r>
        <w:rPr>
          <w:sz w:val="20"/>
        </w:rPr>
        <w:t>they</w:t>
      </w:r>
      <w:r>
        <w:rPr>
          <w:spacing w:val="-8"/>
          <w:sz w:val="20"/>
        </w:rPr>
        <w:t> </w:t>
      </w:r>
      <w:r>
        <w:rPr>
          <w:sz w:val="20"/>
        </w:rPr>
        <w:t>would</w:t>
      </w:r>
      <w:r>
        <w:rPr>
          <w:spacing w:val="-7"/>
          <w:sz w:val="20"/>
        </w:rPr>
        <w:t> </w:t>
      </w:r>
      <w:r>
        <w:rPr>
          <w:sz w:val="20"/>
        </w:rPr>
        <w:t>apply</w:t>
      </w:r>
      <w:r>
        <w:rPr>
          <w:spacing w:val="-10"/>
          <w:sz w:val="20"/>
        </w:rPr>
        <w:t> </w:t>
      </w:r>
      <w:r>
        <w:rPr>
          <w:sz w:val="20"/>
        </w:rPr>
        <w:t>for</w:t>
      </w:r>
      <w:r>
        <w:rPr>
          <w:spacing w:val="-6"/>
          <w:sz w:val="20"/>
        </w:rPr>
        <w:t> </w:t>
      </w:r>
      <w:r>
        <w:rPr>
          <w:sz w:val="20"/>
        </w:rPr>
        <w:t>each</w:t>
      </w:r>
      <w:r>
        <w:rPr>
          <w:spacing w:val="-7"/>
          <w:sz w:val="20"/>
        </w:rPr>
        <w:t> </w:t>
      </w:r>
      <w:r>
        <w:rPr>
          <w:sz w:val="20"/>
        </w:rPr>
        <w:t>separately</w:t>
      </w:r>
      <w:r>
        <w:rPr>
          <w:spacing w:val="-10"/>
          <w:sz w:val="20"/>
        </w:rPr>
        <w:t> </w:t>
      </w:r>
      <w:r>
        <w:rPr>
          <w:sz w:val="20"/>
        </w:rPr>
        <w:t>identifiable revenue stream. Then, it sets out the sourcing rule and relevant indicator per type of</w:t>
      </w:r>
      <w:r>
        <w:rPr>
          <w:spacing w:val="-28"/>
          <w:sz w:val="20"/>
        </w:rPr>
        <w:t> </w:t>
      </w:r>
      <w:r>
        <w:rPr>
          <w:sz w:val="20"/>
        </w:rPr>
        <w:t>revenue.</w:t>
      </w:r>
    </w:p>
    <w:p>
      <w:pPr>
        <w:pStyle w:val="BodyText"/>
        <w:rPr>
          <w:sz w:val="8"/>
        </w:rPr>
      </w:pPr>
    </w:p>
    <w:tbl>
      <w:tblPr>
        <w:tblW w:w="0" w:type="auto"/>
        <w:jc w:val="left"/>
        <w:tblInd w:w="1314"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190"/>
        <w:gridCol w:w="4762"/>
      </w:tblGrid>
      <w:tr>
        <w:trPr>
          <w:trHeight w:val="239" w:hRule="atLeast"/>
        </w:trPr>
        <w:tc>
          <w:tcPr>
            <w:tcW w:w="3190" w:type="dxa"/>
            <w:tcBorders>
              <w:left w:val="nil"/>
              <w:bottom w:val="single" w:sz="6" w:space="0" w:color="4E81BD"/>
              <w:right w:val="single" w:sz="6" w:space="0" w:color="D2D2D2"/>
            </w:tcBorders>
          </w:tcPr>
          <w:p>
            <w:pPr>
              <w:pStyle w:val="TableParagraph"/>
              <w:spacing w:line="211" w:lineRule="exact" w:before="8"/>
              <w:ind w:left="146" w:right="102"/>
              <w:rPr>
                <w:b/>
                <w:sz w:val="20"/>
              </w:rPr>
            </w:pPr>
            <w:r>
              <w:rPr>
                <w:b/>
                <w:sz w:val="20"/>
              </w:rPr>
              <w:t>ADS business</w:t>
            </w:r>
          </w:p>
        </w:tc>
        <w:tc>
          <w:tcPr>
            <w:tcW w:w="4762" w:type="dxa"/>
            <w:tcBorders>
              <w:left w:val="single" w:sz="6" w:space="0" w:color="D2D2D2"/>
              <w:bottom w:val="single" w:sz="6" w:space="0" w:color="4E81BD"/>
              <w:right w:val="nil"/>
            </w:tcBorders>
          </w:tcPr>
          <w:p>
            <w:pPr>
              <w:pStyle w:val="TableParagraph"/>
              <w:spacing w:line="211" w:lineRule="exact" w:before="8"/>
              <w:ind w:left="861"/>
              <w:jc w:val="left"/>
              <w:rPr>
                <w:b/>
                <w:sz w:val="20"/>
              </w:rPr>
            </w:pPr>
            <w:r>
              <w:rPr>
                <w:b/>
                <w:sz w:val="20"/>
              </w:rPr>
              <w:t>Type of revenue sourcing rules applied</w:t>
            </w:r>
          </w:p>
        </w:tc>
      </w:tr>
      <w:tr>
        <w:trPr>
          <w:trHeight w:val="330" w:hRule="atLeast"/>
        </w:trPr>
        <w:tc>
          <w:tcPr>
            <w:tcW w:w="3190" w:type="dxa"/>
            <w:tcBorders>
              <w:top w:val="single" w:sz="6" w:space="0" w:color="4E81BD"/>
              <w:left w:val="nil"/>
              <w:bottom w:val="single" w:sz="6" w:space="0" w:color="D2D2D2"/>
              <w:right w:val="single" w:sz="6" w:space="0" w:color="D2D2D2"/>
            </w:tcBorders>
          </w:tcPr>
          <w:p>
            <w:pPr>
              <w:pStyle w:val="TableParagraph"/>
              <w:spacing w:before="11"/>
              <w:ind w:left="150" w:right="100"/>
              <w:rPr>
                <w:sz w:val="20"/>
              </w:rPr>
            </w:pPr>
            <w:r>
              <w:rPr>
                <w:sz w:val="20"/>
              </w:rPr>
              <w:t>Online Advertising Services</w:t>
            </w:r>
          </w:p>
        </w:tc>
        <w:tc>
          <w:tcPr>
            <w:tcW w:w="4762" w:type="dxa"/>
            <w:tcBorders>
              <w:top w:val="single" w:sz="6" w:space="0" w:color="4E81BD"/>
              <w:left w:val="single" w:sz="6" w:space="0" w:color="D2D2D2"/>
              <w:bottom w:val="single" w:sz="6" w:space="0" w:color="D2D2D2"/>
              <w:right w:val="nil"/>
            </w:tcBorders>
          </w:tcPr>
          <w:p>
            <w:pPr>
              <w:pStyle w:val="TableParagraph"/>
              <w:numPr>
                <w:ilvl w:val="0"/>
                <w:numId w:val="22"/>
              </w:numPr>
              <w:tabs>
                <w:tab w:pos="714" w:val="left" w:leader="none"/>
                <w:tab w:pos="716" w:val="left" w:leader="none"/>
              </w:tabs>
              <w:spacing w:line="240" w:lineRule="auto" w:before="22" w:after="0"/>
              <w:ind w:left="715" w:right="0" w:hanging="342"/>
              <w:jc w:val="left"/>
              <w:rPr>
                <w:sz w:val="20"/>
              </w:rPr>
            </w:pPr>
            <w:r>
              <w:rPr>
                <w:sz w:val="20"/>
              </w:rPr>
              <w:t>Revenue from online advertising</w:t>
            </w:r>
            <w:r>
              <w:rPr>
                <w:spacing w:val="-4"/>
                <w:sz w:val="20"/>
              </w:rPr>
              <w:t> </w:t>
            </w:r>
            <w:r>
              <w:rPr>
                <w:sz w:val="20"/>
              </w:rPr>
              <w:t>services</w:t>
            </w:r>
          </w:p>
        </w:tc>
      </w:tr>
      <w:tr>
        <w:trPr>
          <w:trHeight w:val="330" w:hRule="atLeast"/>
        </w:trPr>
        <w:tc>
          <w:tcPr>
            <w:tcW w:w="3190" w:type="dxa"/>
            <w:tcBorders>
              <w:top w:val="single" w:sz="6" w:space="0" w:color="D2D2D2"/>
              <w:left w:val="nil"/>
              <w:bottom w:val="single" w:sz="6" w:space="0" w:color="D2D2D2"/>
              <w:right w:val="single" w:sz="6" w:space="0" w:color="D2D2D2"/>
            </w:tcBorders>
          </w:tcPr>
          <w:p>
            <w:pPr>
              <w:pStyle w:val="TableParagraph"/>
              <w:spacing w:before="9"/>
              <w:ind w:left="150" w:right="102"/>
              <w:rPr>
                <w:sz w:val="20"/>
              </w:rPr>
            </w:pPr>
            <w:r>
              <w:rPr>
                <w:sz w:val="20"/>
              </w:rPr>
              <w:t>Sale or Other Alienation of User Data</w:t>
            </w:r>
          </w:p>
        </w:tc>
        <w:tc>
          <w:tcPr>
            <w:tcW w:w="4762" w:type="dxa"/>
            <w:tcBorders>
              <w:top w:val="single" w:sz="6" w:space="0" w:color="D2D2D2"/>
              <w:left w:val="single" w:sz="6" w:space="0" w:color="D2D2D2"/>
              <w:bottom w:val="single" w:sz="6" w:space="0" w:color="D2D2D2"/>
              <w:right w:val="nil"/>
            </w:tcBorders>
          </w:tcPr>
          <w:p>
            <w:pPr>
              <w:pStyle w:val="TableParagraph"/>
              <w:numPr>
                <w:ilvl w:val="0"/>
                <w:numId w:val="23"/>
              </w:numPr>
              <w:tabs>
                <w:tab w:pos="714" w:val="left" w:leader="none"/>
                <w:tab w:pos="716" w:val="left" w:leader="none"/>
              </w:tabs>
              <w:spacing w:line="240" w:lineRule="auto" w:before="19" w:after="0"/>
              <w:ind w:left="715" w:right="0" w:hanging="342"/>
              <w:jc w:val="left"/>
              <w:rPr>
                <w:sz w:val="20"/>
              </w:rPr>
            </w:pPr>
            <w:r>
              <w:rPr>
                <w:sz w:val="20"/>
              </w:rPr>
              <w:t>Revenue from sale or other alienation of user</w:t>
            </w:r>
            <w:r>
              <w:rPr>
                <w:spacing w:val="-11"/>
                <w:sz w:val="20"/>
              </w:rPr>
              <w:t> </w:t>
            </w:r>
            <w:r>
              <w:rPr>
                <w:sz w:val="20"/>
              </w:rPr>
              <w:t>data</w:t>
            </w:r>
          </w:p>
        </w:tc>
      </w:tr>
      <w:tr>
        <w:trPr>
          <w:trHeight w:val="649" w:hRule="atLeast"/>
        </w:trPr>
        <w:tc>
          <w:tcPr>
            <w:tcW w:w="3190" w:type="dxa"/>
            <w:tcBorders>
              <w:top w:val="single" w:sz="6" w:space="0" w:color="D2D2D2"/>
              <w:left w:val="nil"/>
              <w:bottom w:val="single" w:sz="6" w:space="0" w:color="D2D2D2"/>
              <w:right w:val="single" w:sz="6" w:space="0" w:color="D2D2D2"/>
            </w:tcBorders>
          </w:tcPr>
          <w:p>
            <w:pPr>
              <w:pStyle w:val="TableParagraph"/>
              <w:spacing w:before="9"/>
              <w:ind w:left="149" w:right="102"/>
              <w:rPr>
                <w:sz w:val="20"/>
              </w:rPr>
            </w:pPr>
            <w:r>
              <w:rPr>
                <w:sz w:val="20"/>
              </w:rPr>
              <w:t>Online Search Engines</w:t>
            </w:r>
          </w:p>
        </w:tc>
        <w:tc>
          <w:tcPr>
            <w:tcW w:w="4762" w:type="dxa"/>
            <w:tcBorders>
              <w:top w:val="single" w:sz="6" w:space="0" w:color="D2D2D2"/>
              <w:left w:val="single" w:sz="6" w:space="0" w:color="D2D2D2"/>
              <w:bottom w:val="single" w:sz="6" w:space="0" w:color="D2D2D2"/>
              <w:right w:val="nil"/>
            </w:tcBorders>
          </w:tcPr>
          <w:p>
            <w:pPr>
              <w:pStyle w:val="TableParagraph"/>
              <w:numPr>
                <w:ilvl w:val="0"/>
                <w:numId w:val="24"/>
              </w:numPr>
              <w:tabs>
                <w:tab w:pos="714" w:val="left" w:leader="none"/>
                <w:tab w:pos="716" w:val="left" w:leader="none"/>
              </w:tabs>
              <w:spacing w:line="240" w:lineRule="auto" w:before="19"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4"/>
              </w:numPr>
              <w:tabs>
                <w:tab w:pos="714" w:val="left" w:leader="none"/>
                <w:tab w:pos="716" w:val="left" w:leader="none"/>
              </w:tabs>
              <w:spacing w:line="240" w:lineRule="auto" w:before="74" w:after="0"/>
              <w:ind w:left="715" w:right="0" w:hanging="342"/>
              <w:jc w:val="left"/>
              <w:rPr>
                <w:sz w:val="20"/>
              </w:rPr>
            </w:pPr>
            <w:r>
              <w:rPr>
                <w:sz w:val="20"/>
              </w:rPr>
              <w:t>Revenue from sale or other alienation of user</w:t>
            </w:r>
            <w:r>
              <w:rPr>
                <w:spacing w:val="-11"/>
                <w:sz w:val="20"/>
              </w:rPr>
              <w:t> </w:t>
            </w:r>
            <w:r>
              <w:rPr>
                <w:sz w:val="20"/>
              </w:rPr>
              <w:t>data</w:t>
            </w:r>
          </w:p>
        </w:tc>
      </w:tr>
      <w:tr>
        <w:trPr>
          <w:trHeight w:val="969" w:hRule="atLeast"/>
        </w:trPr>
        <w:tc>
          <w:tcPr>
            <w:tcW w:w="3190" w:type="dxa"/>
            <w:tcBorders>
              <w:top w:val="single" w:sz="6" w:space="0" w:color="D2D2D2"/>
              <w:left w:val="nil"/>
              <w:bottom w:val="single" w:sz="6" w:space="0" w:color="D2D2D2"/>
              <w:right w:val="single" w:sz="6" w:space="0" w:color="D2D2D2"/>
            </w:tcBorders>
          </w:tcPr>
          <w:p>
            <w:pPr>
              <w:pStyle w:val="TableParagraph"/>
              <w:spacing w:before="9"/>
              <w:ind w:left="149" w:right="102"/>
              <w:rPr>
                <w:sz w:val="20"/>
              </w:rPr>
            </w:pPr>
            <w:r>
              <w:rPr>
                <w:sz w:val="20"/>
              </w:rPr>
              <w:t>Social Media Platforms</w:t>
            </w:r>
          </w:p>
        </w:tc>
        <w:tc>
          <w:tcPr>
            <w:tcW w:w="4762" w:type="dxa"/>
            <w:tcBorders>
              <w:top w:val="single" w:sz="6" w:space="0" w:color="D2D2D2"/>
              <w:left w:val="single" w:sz="6" w:space="0" w:color="D2D2D2"/>
              <w:bottom w:val="single" w:sz="6" w:space="0" w:color="D2D2D2"/>
              <w:right w:val="nil"/>
            </w:tcBorders>
          </w:tcPr>
          <w:p>
            <w:pPr>
              <w:pStyle w:val="TableParagraph"/>
              <w:numPr>
                <w:ilvl w:val="0"/>
                <w:numId w:val="25"/>
              </w:numPr>
              <w:tabs>
                <w:tab w:pos="714" w:val="left" w:leader="none"/>
                <w:tab w:pos="716" w:val="left" w:leader="none"/>
              </w:tabs>
              <w:spacing w:line="240" w:lineRule="auto" w:before="19"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5"/>
              </w:numPr>
              <w:tabs>
                <w:tab w:pos="714" w:val="left" w:leader="none"/>
                <w:tab w:pos="716" w:val="left" w:leader="none"/>
              </w:tabs>
              <w:spacing w:line="240" w:lineRule="auto" w:before="74" w:after="0"/>
              <w:ind w:left="715" w:right="0" w:hanging="342"/>
              <w:jc w:val="left"/>
              <w:rPr>
                <w:sz w:val="20"/>
              </w:rPr>
            </w:pPr>
            <w:r>
              <w:rPr>
                <w:sz w:val="20"/>
              </w:rPr>
              <w:t>Revenue from sale or other alienation of user</w:t>
            </w:r>
            <w:r>
              <w:rPr>
                <w:spacing w:val="-11"/>
                <w:sz w:val="20"/>
              </w:rPr>
              <w:t> </w:t>
            </w:r>
            <w:r>
              <w:rPr>
                <w:sz w:val="20"/>
              </w:rPr>
              <w:t>data</w:t>
            </w:r>
          </w:p>
          <w:p>
            <w:pPr>
              <w:pStyle w:val="TableParagraph"/>
              <w:numPr>
                <w:ilvl w:val="0"/>
                <w:numId w:val="25"/>
              </w:numPr>
              <w:tabs>
                <w:tab w:pos="714" w:val="left" w:leader="none"/>
                <w:tab w:pos="716" w:val="left" w:leader="none"/>
              </w:tabs>
              <w:spacing w:line="240" w:lineRule="auto" w:before="74" w:after="0"/>
              <w:ind w:left="715" w:right="0" w:hanging="342"/>
              <w:jc w:val="left"/>
              <w:rPr>
                <w:sz w:val="20"/>
              </w:rPr>
            </w:pPr>
            <w:r>
              <w:rPr>
                <w:sz w:val="20"/>
              </w:rPr>
              <w:t>Revenue from digital content</w:t>
            </w:r>
            <w:r>
              <w:rPr>
                <w:spacing w:val="-4"/>
                <w:sz w:val="20"/>
              </w:rPr>
              <w:t> </w:t>
            </w:r>
            <w:r>
              <w:rPr>
                <w:sz w:val="20"/>
              </w:rPr>
              <w:t>services</w:t>
            </w:r>
          </w:p>
        </w:tc>
      </w:tr>
      <w:tr>
        <w:trPr>
          <w:trHeight w:val="1291" w:hRule="atLeast"/>
        </w:trPr>
        <w:tc>
          <w:tcPr>
            <w:tcW w:w="3190" w:type="dxa"/>
            <w:tcBorders>
              <w:top w:val="single" w:sz="6" w:space="0" w:color="D2D2D2"/>
              <w:left w:val="nil"/>
              <w:bottom w:val="single" w:sz="6" w:space="0" w:color="D2D2D2"/>
              <w:right w:val="single" w:sz="6" w:space="0" w:color="D2D2D2"/>
            </w:tcBorders>
          </w:tcPr>
          <w:p>
            <w:pPr>
              <w:pStyle w:val="TableParagraph"/>
              <w:spacing w:before="11"/>
              <w:ind w:left="150" w:right="102"/>
              <w:rPr>
                <w:sz w:val="20"/>
              </w:rPr>
            </w:pPr>
            <w:r>
              <w:rPr>
                <w:sz w:val="20"/>
              </w:rPr>
              <w:t>Online Intermediation Platform Services</w:t>
            </w:r>
          </w:p>
        </w:tc>
        <w:tc>
          <w:tcPr>
            <w:tcW w:w="4762" w:type="dxa"/>
            <w:tcBorders>
              <w:top w:val="single" w:sz="6" w:space="0" w:color="D2D2D2"/>
              <w:left w:val="single" w:sz="6" w:space="0" w:color="D2D2D2"/>
              <w:bottom w:val="single" w:sz="6" w:space="0" w:color="D2D2D2"/>
              <w:right w:val="nil"/>
            </w:tcBorders>
          </w:tcPr>
          <w:p>
            <w:pPr>
              <w:pStyle w:val="TableParagraph"/>
              <w:numPr>
                <w:ilvl w:val="0"/>
                <w:numId w:val="26"/>
              </w:numPr>
              <w:tabs>
                <w:tab w:pos="714" w:val="left" w:leader="none"/>
                <w:tab w:pos="716" w:val="left" w:leader="none"/>
              </w:tabs>
              <w:spacing w:line="240" w:lineRule="auto" w:before="22"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6"/>
              </w:numPr>
              <w:tabs>
                <w:tab w:pos="714" w:val="left" w:leader="none"/>
                <w:tab w:pos="716" w:val="left" w:leader="none"/>
              </w:tabs>
              <w:spacing w:line="240" w:lineRule="auto" w:before="71" w:after="0"/>
              <w:ind w:left="715" w:right="0" w:hanging="342"/>
              <w:jc w:val="left"/>
              <w:rPr>
                <w:sz w:val="20"/>
              </w:rPr>
            </w:pPr>
            <w:r>
              <w:rPr>
                <w:sz w:val="20"/>
              </w:rPr>
              <w:t>Revenue from sale or other alienation of user</w:t>
            </w:r>
            <w:r>
              <w:rPr>
                <w:spacing w:val="-11"/>
                <w:sz w:val="20"/>
              </w:rPr>
              <w:t> </w:t>
            </w:r>
            <w:r>
              <w:rPr>
                <w:sz w:val="20"/>
              </w:rPr>
              <w:t>data</w:t>
            </w:r>
          </w:p>
          <w:p>
            <w:pPr>
              <w:pStyle w:val="TableParagraph"/>
              <w:numPr>
                <w:ilvl w:val="0"/>
                <w:numId w:val="26"/>
              </w:numPr>
              <w:tabs>
                <w:tab w:pos="714" w:val="left" w:leader="none"/>
                <w:tab w:pos="716" w:val="left" w:leader="none"/>
              </w:tabs>
              <w:spacing w:line="240" w:lineRule="auto" w:before="74" w:after="0"/>
              <w:ind w:left="715" w:right="0" w:hanging="342"/>
              <w:jc w:val="left"/>
              <w:rPr>
                <w:sz w:val="20"/>
              </w:rPr>
            </w:pPr>
            <w:r>
              <w:rPr>
                <w:sz w:val="20"/>
              </w:rPr>
              <w:t>Revenue from online intermediation platform</w:t>
            </w:r>
            <w:r>
              <w:rPr>
                <w:spacing w:val="-20"/>
                <w:sz w:val="20"/>
              </w:rPr>
              <w:t> </w:t>
            </w:r>
            <w:r>
              <w:rPr>
                <w:sz w:val="20"/>
              </w:rPr>
              <w:t>services</w:t>
            </w:r>
          </w:p>
          <w:p>
            <w:pPr>
              <w:pStyle w:val="TableParagraph"/>
              <w:numPr>
                <w:ilvl w:val="0"/>
                <w:numId w:val="26"/>
              </w:numPr>
              <w:tabs>
                <w:tab w:pos="714" w:val="left" w:leader="none"/>
                <w:tab w:pos="716" w:val="left" w:leader="none"/>
              </w:tabs>
              <w:spacing w:line="240" w:lineRule="auto" w:before="77" w:after="0"/>
              <w:ind w:left="715" w:right="0" w:hanging="342"/>
              <w:jc w:val="left"/>
              <w:rPr>
                <w:sz w:val="20"/>
              </w:rPr>
            </w:pPr>
            <w:r>
              <w:rPr>
                <w:sz w:val="20"/>
              </w:rPr>
              <w:t>Revenue from digital content</w:t>
            </w:r>
            <w:r>
              <w:rPr>
                <w:spacing w:val="-3"/>
                <w:sz w:val="20"/>
              </w:rPr>
              <w:t> </w:t>
            </w:r>
            <w:r>
              <w:rPr>
                <w:sz w:val="20"/>
              </w:rPr>
              <w:t>services</w:t>
            </w:r>
          </w:p>
        </w:tc>
      </w:tr>
      <w:tr>
        <w:trPr>
          <w:trHeight w:val="968" w:hRule="atLeast"/>
        </w:trPr>
        <w:tc>
          <w:tcPr>
            <w:tcW w:w="3190" w:type="dxa"/>
            <w:tcBorders>
              <w:top w:val="single" w:sz="6" w:space="0" w:color="D2D2D2"/>
              <w:left w:val="nil"/>
              <w:bottom w:val="single" w:sz="6" w:space="0" w:color="D2D2D2"/>
              <w:right w:val="single" w:sz="6" w:space="0" w:color="D2D2D2"/>
            </w:tcBorders>
          </w:tcPr>
          <w:p>
            <w:pPr>
              <w:pStyle w:val="TableParagraph"/>
              <w:spacing w:before="9"/>
              <w:ind w:left="150" w:right="102"/>
              <w:rPr>
                <w:sz w:val="20"/>
              </w:rPr>
            </w:pPr>
            <w:r>
              <w:rPr>
                <w:sz w:val="20"/>
              </w:rPr>
              <w:t>Digital Content Services</w:t>
            </w:r>
          </w:p>
        </w:tc>
        <w:tc>
          <w:tcPr>
            <w:tcW w:w="4762" w:type="dxa"/>
            <w:tcBorders>
              <w:top w:val="single" w:sz="6" w:space="0" w:color="D2D2D2"/>
              <w:left w:val="single" w:sz="6" w:space="0" w:color="D2D2D2"/>
              <w:bottom w:val="single" w:sz="6" w:space="0" w:color="D2D2D2"/>
              <w:right w:val="nil"/>
            </w:tcBorders>
          </w:tcPr>
          <w:p>
            <w:pPr>
              <w:pStyle w:val="TableParagraph"/>
              <w:numPr>
                <w:ilvl w:val="0"/>
                <w:numId w:val="27"/>
              </w:numPr>
              <w:tabs>
                <w:tab w:pos="714" w:val="left" w:leader="none"/>
                <w:tab w:pos="716" w:val="left" w:leader="none"/>
              </w:tabs>
              <w:spacing w:line="240" w:lineRule="auto" w:before="19"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7"/>
              </w:numPr>
              <w:tabs>
                <w:tab w:pos="714" w:val="left" w:leader="none"/>
                <w:tab w:pos="716" w:val="left" w:leader="none"/>
              </w:tabs>
              <w:spacing w:line="240" w:lineRule="auto" w:before="74" w:after="0"/>
              <w:ind w:left="715" w:right="0" w:hanging="342"/>
              <w:jc w:val="left"/>
              <w:rPr>
                <w:sz w:val="20"/>
              </w:rPr>
            </w:pPr>
            <w:r>
              <w:rPr>
                <w:sz w:val="20"/>
              </w:rPr>
              <w:t>Revenue from sale or other alienation of user</w:t>
            </w:r>
            <w:r>
              <w:rPr>
                <w:spacing w:val="-11"/>
                <w:sz w:val="20"/>
              </w:rPr>
              <w:t> </w:t>
            </w:r>
            <w:r>
              <w:rPr>
                <w:sz w:val="20"/>
              </w:rPr>
              <w:t>data</w:t>
            </w:r>
          </w:p>
          <w:p>
            <w:pPr>
              <w:pStyle w:val="TableParagraph"/>
              <w:numPr>
                <w:ilvl w:val="0"/>
                <w:numId w:val="27"/>
              </w:numPr>
              <w:tabs>
                <w:tab w:pos="714" w:val="left" w:leader="none"/>
                <w:tab w:pos="716" w:val="left" w:leader="none"/>
              </w:tabs>
              <w:spacing w:line="240" w:lineRule="auto" w:before="74" w:after="0"/>
              <w:ind w:left="715" w:right="0" w:hanging="342"/>
              <w:jc w:val="left"/>
              <w:rPr>
                <w:sz w:val="20"/>
              </w:rPr>
            </w:pPr>
            <w:r>
              <w:rPr>
                <w:sz w:val="20"/>
              </w:rPr>
              <w:t>Revenue from digital content</w:t>
            </w:r>
            <w:r>
              <w:rPr>
                <w:spacing w:val="-3"/>
                <w:sz w:val="20"/>
              </w:rPr>
              <w:t> </w:t>
            </w:r>
            <w:r>
              <w:rPr>
                <w:sz w:val="20"/>
              </w:rPr>
              <w:t>services</w:t>
            </w:r>
          </w:p>
        </w:tc>
      </w:tr>
      <w:tr>
        <w:trPr>
          <w:trHeight w:val="971" w:hRule="atLeast"/>
        </w:trPr>
        <w:tc>
          <w:tcPr>
            <w:tcW w:w="3190" w:type="dxa"/>
            <w:tcBorders>
              <w:top w:val="single" w:sz="6" w:space="0" w:color="D2D2D2"/>
              <w:left w:val="nil"/>
              <w:right w:val="single" w:sz="6" w:space="0" w:color="D2D2D2"/>
            </w:tcBorders>
          </w:tcPr>
          <w:p>
            <w:pPr>
              <w:pStyle w:val="TableParagraph"/>
              <w:spacing w:before="11"/>
              <w:ind w:left="146" w:right="102"/>
              <w:rPr>
                <w:sz w:val="20"/>
              </w:rPr>
            </w:pPr>
            <w:r>
              <w:rPr>
                <w:sz w:val="20"/>
              </w:rPr>
              <w:t>Online Gaming</w:t>
            </w:r>
          </w:p>
        </w:tc>
        <w:tc>
          <w:tcPr>
            <w:tcW w:w="4762" w:type="dxa"/>
            <w:tcBorders>
              <w:top w:val="single" w:sz="6" w:space="0" w:color="D2D2D2"/>
              <w:left w:val="single" w:sz="6" w:space="0" w:color="D2D2D2"/>
              <w:right w:val="nil"/>
            </w:tcBorders>
          </w:tcPr>
          <w:p>
            <w:pPr>
              <w:pStyle w:val="TableParagraph"/>
              <w:numPr>
                <w:ilvl w:val="0"/>
                <w:numId w:val="28"/>
              </w:numPr>
              <w:tabs>
                <w:tab w:pos="714" w:val="left" w:leader="none"/>
                <w:tab w:pos="716" w:val="left" w:leader="none"/>
              </w:tabs>
              <w:spacing w:line="240" w:lineRule="auto" w:before="22"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8"/>
              </w:numPr>
              <w:tabs>
                <w:tab w:pos="714" w:val="left" w:leader="none"/>
                <w:tab w:pos="716" w:val="left" w:leader="none"/>
              </w:tabs>
              <w:spacing w:line="240" w:lineRule="auto" w:before="71" w:after="0"/>
              <w:ind w:left="715" w:right="0" w:hanging="342"/>
              <w:jc w:val="left"/>
              <w:rPr>
                <w:sz w:val="20"/>
              </w:rPr>
            </w:pPr>
            <w:r>
              <w:rPr>
                <w:sz w:val="20"/>
              </w:rPr>
              <w:t>Revenue from sale or other alienation of user</w:t>
            </w:r>
            <w:r>
              <w:rPr>
                <w:spacing w:val="-16"/>
                <w:sz w:val="20"/>
              </w:rPr>
              <w:t> </w:t>
            </w:r>
            <w:r>
              <w:rPr>
                <w:sz w:val="20"/>
              </w:rPr>
              <w:t>data</w:t>
            </w:r>
          </w:p>
          <w:p>
            <w:pPr>
              <w:pStyle w:val="TableParagraph"/>
              <w:numPr>
                <w:ilvl w:val="0"/>
                <w:numId w:val="28"/>
              </w:numPr>
              <w:tabs>
                <w:tab w:pos="714" w:val="left" w:leader="none"/>
                <w:tab w:pos="716" w:val="left" w:leader="none"/>
              </w:tabs>
              <w:spacing w:line="240" w:lineRule="auto" w:before="77" w:after="0"/>
              <w:ind w:left="715" w:right="0" w:hanging="342"/>
              <w:jc w:val="left"/>
              <w:rPr>
                <w:sz w:val="20"/>
              </w:rPr>
            </w:pPr>
            <w:r>
              <w:rPr>
                <w:sz w:val="20"/>
              </w:rPr>
              <w:t>Revenue from digital content</w:t>
            </w:r>
            <w:r>
              <w:rPr>
                <w:spacing w:val="-3"/>
                <w:sz w:val="20"/>
              </w:rPr>
              <w:t> </w:t>
            </w:r>
            <w:r>
              <w:rPr>
                <w:sz w:val="20"/>
              </w:rPr>
              <w:t>services</w:t>
            </w:r>
          </w:p>
        </w:tc>
      </w:tr>
    </w:tbl>
    <w:p>
      <w:pPr>
        <w:spacing w:after="0" w:line="240" w:lineRule="auto"/>
        <w:jc w:val="left"/>
        <w:rPr>
          <w:sz w:val="20"/>
        </w:rPr>
        <w:sectPr>
          <w:pgSz w:w="11910" w:h="16840"/>
          <w:pgMar w:header="1244" w:footer="1638" w:top="1500" w:bottom="1820" w:left="580" w:right="820"/>
        </w:sectPr>
      </w:pPr>
    </w:p>
    <w:p>
      <w:pPr>
        <w:pStyle w:val="BodyText"/>
        <w:spacing w:after="1"/>
        <w:rPr>
          <w:sz w:val="26"/>
        </w:rPr>
      </w:pPr>
    </w:p>
    <w:tbl>
      <w:tblPr>
        <w:tblW w:w="0" w:type="auto"/>
        <w:jc w:val="left"/>
        <w:tblInd w:w="1314"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190"/>
        <w:gridCol w:w="4762"/>
      </w:tblGrid>
      <w:tr>
        <w:trPr>
          <w:trHeight w:val="968" w:hRule="atLeast"/>
        </w:trPr>
        <w:tc>
          <w:tcPr>
            <w:tcW w:w="3190" w:type="dxa"/>
            <w:tcBorders>
              <w:left w:val="nil"/>
              <w:bottom w:val="single" w:sz="6" w:space="0" w:color="D2D2D2"/>
              <w:right w:val="single" w:sz="6" w:space="0" w:color="D2D2D2"/>
            </w:tcBorders>
          </w:tcPr>
          <w:p>
            <w:pPr>
              <w:pStyle w:val="TableParagraph"/>
              <w:spacing w:before="8"/>
              <w:ind w:left="150" w:right="102"/>
              <w:rPr>
                <w:sz w:val="20"/>
              </w:rPr>
            </w:pPr>
            <w:r>
              <w:rPr>
                <w:sz w:val="20"/>
              </w:rPr>
              <w:t>Standardised Online Teaching Services</w:t>
            </w:r>
          </w:p>
        </w:tc>
        <w:tc>
          <w:tcPr>
            <w:tcW w:w="4762" w:type="dxa"/>
            <w:tcBorders>
              <w:left w:val="single" w:sz="6" w:space="0" w:color="D2D2D2"/>
              <w:bottom w:val="single" w:sz="6" w:space="0" w:color="D2D2D2"/>
              <w:right w:val="nil"/>
            </w:tcBorders>
          </w:tcPr>
          <w:p>
            <w:pPr>
              <w:pStyle w:val="TableParagraph"/>
              <w:numPr>
                <w:ilvl w:val="0"/>
                <w:numId w:val="29"/>
              </w:numPr>
              <w:tabs>
                <w:tab w:pos="714" w:val="left" w:leader="none"/>
                <w:tab w:pos="716" w:val="left" w:leader="none"/>
              </w:tabs>
              <w:spacing w:line="240" w:lineRule="auto" w:before="19"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29"/>
              </w:numPr>
              <w:tabs>
                <w:tab w:pos="714" w:val="left" w:leader="none"/>
                <w:tab w:pos="716" w:val="left" w:leader="none"/>
              </w:tabs>
              <w:spacing w:line="240" w:lineRule="auto" w:before="74" w:after="0"/>
              <w:ind w:left="715" w:right="0" w:hanging="342"/>
              <w:jc w:val="left"/>
              <w:rPr>
                <w:sz w:val="20"/>
              </w:rPr>
            </w:pPr>
            <w:r>
              <w:rPr>
                <w:sz w:val="20"/>
              </w:rPr>
              <w:t>Revenue from sale or other alienation of user</w:t>
            </w:r>
            <w:r>
              <w:rPr>
                <w:spacing w:val="-15"/>
                <w:sz w:val="20"/>
              </w:rPr>
              <w:t> </w:t>
            </w:r>
            <w:r>
              <w:rPr>
                <w:sz w:val="20"/>
              </w:rPr>
              <w:t>data</w:t>
            </w:r>
          </w:p>
          <w:p>
            <w:pPr>
              <w:pStyle w:val="TableParagraph"/>
              <w:numPr>
                <w:ilvl w:val="0"/>
                <w:numId w:val="29"/>
              </w:numPr>
              <w:tabs>
                <w:tab w:pos="714" w:val="left" w:leader="none"/>
                <w:tab w:pos="716" w:val="left" w:leader="none"/>
              </w:tabs>
              <w:spacing w:line="240" w:lineRule="auto" w:before="74" w:after="0"/>
              <w:ind w:left="715" w:right="0" w:hanging="342"/>
              <w:jc w:val="left"/>
              <w:rPr>
                <w:sz w:val="20"/>
              </w:rPr>
            </w:pPr>
            <w:r>
              <w:rPr>
                <w:sz w:val="20"/>
              </w:rPr>
              <w:t>Revenue from digital content</w:t>
            </w:r>
            <w:r>
              <w:rPr>
                <w:spacing w:val="-5"/>
                <w:sz w:val="20"/>
              </w:rPr>
              <w:t> </w:t>
            </w:r>
            <w:r>
              <w:rPr>
                <w:sz w:val="20"/>
              </w:rPr>
              <w:t>services</w:t>
            </w:r>
          </w:p>
        </w:tc>
      </w:tr>
      <w:tr>
        <w:trPr>
          <w:trHeight w:val="651" w:hRule="atLeast"/>
        </w:trPr>
        <w:tc>
          <w:tcPr>
            <w:tcW w:w="3190" w:type="dxa"/>
            <w:tcBorders>
              <w:top w:val="single" w:sz="6" w:space="0" w:color="D2D2D2"/>
              <w:left w:val="nil"/>
              <w:right w:val="single" w:sz="6" w:space="0" w:color="D2D2D2"/>
            </w:tcBorders>
          </w:tcPr>
          <w:p>
            <w:pPr>
              <w:pStyle w:val="TableParagraph"/>
              <w:spacing w:before="11"/>
              <w:ind w:left="150" w:right="102"/>
              <w:rPr>
                <w:sz w:val="20"/>
              </w:rPr>
            </w:pPr>
            <w:r>
              <w:rPr>
                <w:sz w:val="20"/>
              </w:rPr>
              <w:t>Cloud Computing Services</w:t>
            </w:r>
          </w:p>
        </w:tc>
        <w:tc>
          <w:tcPr>
            <w:tcW w:w="4762" w:type="dxa"/>
            <w:tcBorders>
              <w:top w:val="single" w:sz="6" w:space="0" w:color="D2D2D2"/>
              <w:left w:val="single" w:sz="6" w:space="0" w:color="D2D2D2"/>
              <w:right w:val="nil"/>
            </w:tcBorders>
          </w:tcPr>
          <w:p>
            <w:pPr>
              <w:pStyle w:val="TableParagraph"/>
              <w:numPr>
                <w:ilvl w:val="0"/>
                <w:numId w:val="30"/>
              </w:numPr>
              <w:tabs>
                <w:tab w:pos="714" w:val="left" w:leader="none"/>
                <w:tab w:pos="716" w:val="left" w:leader="none"/>
              </w:tabs>
              <w:spacing w:line="240" w:lineRule="auto" w:before="22" w:after="0"/>
              <w:ind w:left="715" w:right="0" w:hanging="342"/>
              <w:jc w:val="left"/>
              <w:rPr>
                <w:sz w:val="20"/>
              </w:rPr>
            </w:pPr>
            <w:r>
              <w:rPr>
                <w:sz w:val="20"/>
              </w:rPr>
              <w:t>Revenue from online advertising</w:t>
            </w:r>
            <w:r>
              <w:rPr>
                <w:spacing w:val="-4"/>
                <w:sz w:val="20"/>
              </w:rPr>
              <w:t> </w:t>
            </w:r>
            <w:r>
              <w:rPr>
                <w:sz w:val="20"/>
              </w:rPr>
              <w:t>services</w:t>
            </w:r>
          </w:p>
          <w:p>
            <w:pPr>
              <w:pStyle w:val="TableParagraph"/>
              <w:numPr>
                <w:ilvl w:val="0"/>
                <w:numId w:val="30"/>
              </w:numPr>
              <w:tabs>
                <w:tab w:pos="714" w:val="left" w:leader="none"/>
                <w:tab w:pos="716" w:val="left" w:leader="none"/>
              </w:tabs>
              <w:spacing w:line="240" w:lineRule="auto" w:before="71" w:after="0"/>
              <w:ind w:left="715" w:right="0" w:hanging="342"/>
              <w:jc w:val="left"/>
              <w:rPr>
                <w:sz w:val="20"/>
              </w:rPr>
            </w:pPr>
            <w:r>
              <w:rPr>
                <w:sz w:val="20"/>
              </w:rPr>
              <w:t>Revenue from cloud computing</w:t>
            </w:r>
            <w:r>
              <w:rPr>
                <w:spacing w:val="-4"/>
                <w:sz w:val="20"/>
              </w:rPr>
              <w:t> </w:t>
            </w:r>
            <w:r>
              <w:rPr>
                <w:sz w:val="20"/>
              </w:rPr>
              <w:t>services</w:t>
            </w:r>
          </w:p>
        </w:tc>
      </w:tr>
    </w:tbl>
    <w:p>
      <w:pPr>
        <w:pStyle w:val="ListParagraph"/>
        <w:numPr>
          <w:ilvl w:val="0"/>
          <w:numId w:val="13"/>
        </w:numPr>
        <w:tabs>
          <w:tab w:pos="1444" w:val="left" w:leader="none"/>
        </w:tabs>
        <w:spacing w:line="271" w:lineRule="auto" w:before="148" w:after="0"/>
        <w:ind w:left="723" w:right="485" w:firstLine="0"/>
        <w:jc w:val="both"/>
        <w:rPr>
          <w:sz w:val="20"/>
        </w:rPr>
      </w:pPr>
      <w:r>
        <w:rPr>
          <w:sz w:val="20"/>
        </w:rPr>
        <w:t>As noted above, revenue from online advertising, sale or other alienation of user data and digital content services are prevalent revenue streams for many types of businesses in scope of ADS, whether contained on the positive list or not. For the purpose of revenue sourcing, whenever an MNE derives revenues from any form of these activities, the revenue will be sourced according to the rules for revenue from that particular activity. Further consideration can be given to whether guidance is needed for cases where a revenue stream cannot be clearly separated, or where a single customer contributes to multiple revenue streams which may not be easily</w:t>
      </w:r>
      <w:r>
        <w:rPr>
          <w:spacing w:val="-15"/>
          <w:sz w:val="20"/>
        </w:rPr>
        <w:t> </w:t>
      </w:r>
      <w:r>
        <w:rPr>
          <w:sz w:val="20"/>
        </w:rPr>
        <w:t>distinguishable.</w:t>
      </w:r>
    </w:p>
    <w:p>
      <w:pPr>
        <w:pStyle w:val="BodyText"/>
        <w:spacing w:before="1"/>
      </w:pPr>
    </w:p>
    <w:p>
      <w:pPr>
        <w:pStyle w:val="Heading7"/>
        <w:spacing w:before="1"/>
        <w:rPr>
          <w:i/>
        </w:rPr>
      </w:pPr>
      <w:bookmarkStart w:name="Revenue from online advertising services" w:id="118"/>
      <w:bookmarkEnd w:id="118"/>
      <w:r>
        <w:rPr>
          <w:i w:val="0"/>
        </w:rPr>
      </w:r>
      <w:r>
        <w:rPr>
          <w:i/>
          <w:color w:val="616161"/>
        </w:rPr>
        <w:t>Revenue from online advertising services</w:t>
      </w:r>
    </w:p>
    <w:p>
      <w:pPr>
        <w:pStyle w:val="BodyText"/>
        <w:spacing w:before="9"/>
        <w:rPr>
          <w:i/>
          <w:sz w:val="18"/>
        </w:rPr>
      </w:pPr>
    </w:p>
    <w:p>
      <w:pPr>
        <w:pStyle w:val="ListParagraph"/>
        <w:numPr>
          <w:ilvl w:val="0"/>
          <w:numId w:val="13"/>
        </w:numPr>
        <w:tabs>
          <w:tab w:pos="1443" w:val="left" w:leader="none"/>
          <w:tab w:pos="1444" w:val="left" w:leader="none"/>
        </w:tabs>
        <w:spacing w:line="240" w:lineRule="auto" w:before="1" w:after="0"/>
        <w:ind w:left="1443" w:right="0" w:hanging="721"/>
        <w:jc w:val="left"/>
        <w:rPr>
          <w:sz w:val="20"/>
        </w:rPr>
      </w:pPr>
      <w:r>
        <w:rPr>
          <w:sz w:val="20"/>
        </w:rPr>
        <w:t>The ADS business of Online Advertising Services generates revenue</w:t>
      </w:r>
      <w:r>
        <w:rPr>
          <w:spacing w:val="-8"/>
          <w:sz w:val="20"/>
        </w:rPr>
        <w:t> </w:t>
      </w:r>
      <w:r>
        <w:rPr>
          <w:sz w:val="20"/>
        </w:rPr>
        <w:t>including:</w:t>
      </w:r>
    </w:p>
    <w:p>
      <w:pPr>
        <w:pStyle w:val="ListParagraph"/>
        <w:numPr>
          <w:ilvl w:val="0"/>
          <w:numId w:val="31"/>
        </w:numPr>
        <w:tabs>
          <w:tab w:pos="1402" w:val="left" w:leader="none"/>
          <w:tab w:pos="1403" w:val="left" w:leader="none"/>
        </w:tabs>
        <w:spacing w:line="240" w:lineRule="auto" w:before="128" w:after="0"/>
        <w:ind w:left="1402" w:right="0" w:hanging="339"/>
        <w:jc w:val="left"/>
        <w:rPr>
          <w:sz w:val="20"/>
        </w:rPr>
      </w:pPr>
      <w:r>
        <w:rPr>
          <w:sz w:val="20"/>
        </w:rPr>
        <w:t>Revenue from Online Advertising</w:t>
      </w:r>
      <w:r>
        <w:rPr>
          <w:spacing w:val="4"/>
          <w:sz w:val="20"/>
        </w:rPr>
        <w:t> </w:t>
      </w:r>
      <w:r>
        <w:rPr>
          <w:sz w:val="20"/>
        </w:rPr>
        <w:t>Services.</w:t>
      </w:r>
    </w:p>
    <w:p>
      <w:pPr>
        <w:pStyle w:val="BodyText"/>
        <w:spacing w:before="6"/>
        <w:rPr>
          <w:sz w:val="23"/>
        </w:rPr>
      </w:pPr>
    </w:p>
    <w:p>
      <w:pPr>
        <w:pStyle w:val="Heading8"/>
      </w:pPr>
      <w:bookmarkStart w:name="Online advertising services based on the" w:id="119"/>
      <w:bookmarkEnd w:id="119"/>
      <w:r>
        <w:rPr>
          <w:b w:val="0"/>
        </w:rPr>
      </w:r>
      <w:r>
        <w:rPr/>
        <w:t>Online advertising services based on the real-time location of the viewer</w:t>
      </w:r>
    </w:p>
    <w:p>
      <w:pPr>
        <w:pStyle w:val="BodyText"/>
        <w:spacing w:before="9"/>
        <w:rPr>
          <w:b/>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is the jurisdiction of the real-time location of the viewer of the</w:t>
      </w:r>
      <w:r>
        <w:rPr>
          <w:spacing w:val="-27"/>
          <w:sz w:val="20"/>
        </w:rPr>
        <w:t> </w:t>
      </w:r>
      <w:r>
        <w:rPr>
          <w:sz w:val="20"/>
        </w:rPr>
        <w:t>advertisement.</w:t>
      </w:r>
    </w:p>
    <w:p>
      <w:pPr>
        <w:pStyle w:val="ListParagraph"/>
        <w:numPr>
          <w:ilvl w:val="0"/>
          <w:numId w:val="13"/>
        </w:numPr>
        <w:tabs>
          <w:tab w:pos="1443" w:val="left" w:leader="none"/>
          <w:tab w:pos="1444" w:val="left" w:leader="none"/>
        </w:tabs>
        <w:spacing w:line="240" w:lineRule="auto" w:before="149" w:after="0"/>
        <w:ind w:left="1443" w:right="0" w:hanging="721"/>
        <w:jc w:val="left"/>
        <w:rPr>
          <w:sz w:val="20"/>
        </w:rPr>
      </w:pPr>
      <w:r>
        <w:rPr>
          <w:sz w:val="20"/>
        </w:rPr>
        <w:t>The relevant indicators</w:t>
      </w:r>
      <w:r>
        <w:rPr>
          <w:spacing w:val="2"/>
          <w:sz w:val="20"/>
        </w:rPr>
        <w:t> </w:t>
      </w:r>
      <w:r>
        <w:rPr>
          <w:sz w:val="20"/>
        </w:rPr>
        <w:t>are:</w:t>
      </w:r>
    </w:p>
    <w:p>
      <w:pPr>
        <w:pStyle w:val="ListParagraph"/>
        <w:numPr>
          <w:ilvl w:val="0"/>
          <w:numId w:val="32"/>
        </w:numPr>
        <w:tabs>
          <w:tab w:pos="2085" w:val="left" w:leader="none"/>
        </w:tabs>
        <w:spacing w:line="271" w:lineRule="auto" w:before="145" w:after="0"/>
        <w:ind w:left="2084" w:right="481" w:hanging="341"/>
        <w:jc w:val="left"/>
        <w:rPr>
          <w:sz w:val="20"/>
        </w:rPr>
      </w:pPr>
      <w:r>
        <w:rPr>
          <w:sz w:val="20"/>
        </w:rPr>
        <w:t>The jurisdiction of the geolocation of the device of the viewer at the time of display; or if unavailable or</w:t>
      </w:r>
      <w:r>
        <w:rPr>
          <w:spacing w:val="-2"/>
          <w:sz w:val="20"/>
        </w:rPr>
        <w:t> </w:t>
      </w:r>
      <w:r>
        <w:rPr>
          <w:sz w:val="20"/>
        </w:rPr>
        <w:t>unreliable</w:t>
      </w:r>
    </w:p>
    <w:p>
      <w:pPr>
        <w:pStyle w:val="ListParagraph"/>
        <w:numPr>
          <w:ilvl w:val="0"/>
          <w:numId w:val="32"/>
        </w:numPr>
        <w:tabs>
          <w:tab w:pos="2085" w:val="left" w:leader="none"/>
        </w:tabs>
        <w:spacing w:line="273" w:lineRule="auto" w:before="59" w:after="0"/>
        <w:ind w:left="2084" w:right="481" w:hanging="341"/>
        <w:jc w:val="left"/>
        <w:rPr>
          <w:sz w:val="20"/>
        </w:rPr>
      </w:pPr>
      <w:r>
        <w:rPr>
          <w:sz w:val="20"/>
        </w:rPr>
        <w:t>The jurisdiction of the IP address of the device of the viewer at the time of display; or if unavailable or</w:t>
      </w:r>
      <w:r>
        <w:rPr>
          <w:spacing w:val="-2"/>
          <w:sz w:val="20"/>
        </w:rPr>
        <w:t> </w:t>
      </w:r>
      <w:r>
        <w:rPr>
          <w:sz w:val="20"/>
        </w:rPr>
        <w:t>unreliable</w:t>
      </w:r>
    </w:p>
    <w:p>
      <w:pPr>
        <w:pStyle w:val="ListParagraph"/>
        <w:numPr>
          <w:ilvl w:val="0"/>
          <w:numId w:val="32"/>
        </w:numPr>
        <w:tabs>
          <w:tab w:pos="2085" w:val="left" w:leader="none"/>
        </w:tabs>
        <w:spacing w:line="271" w:lineRule="auto" w:before="56" w:after="0"/>
        <w:ind w:left="2084" w:right="479" w:hanging="341"/>
        <w:jc w:val="left"/>
        <w:rPr>
          <w:sz w:val="20"/>
        </w:rPr>
      </w:pPr>
      <w:r>
        <w:rPr>
          <w:sz w:val="20"/>
        </w:rPr>
        <w:t>Other available information that can be used to determine the jurisdiction of the real-time location of the</w:t>
      </w:r>
      <w:r>
        <w:rPr>
          <w:spacing w:val="1"/>
          <w:sz w:val="20"/>
        </w:rPr>
        <w:t> </w:t>
      </w:r>
      <w:r>
        <w:rPr>
          <w:sz w:val="20"/>
        </w:rPr>
        <w:t>viewer.</w:t>
      </w:r>
    </w:p>
    <w:p>
      <w:pPr>
        <w:pStyle w:val="BodyText"/>
        <w:rPr>
          <w:sz w:val="21"/>
        </w:rPr>
      </w:pPr>
    </w:p>
    <w:p>
      <w:pPr>
        <w:pStyle w:val="Heading8"/>
      </w:pPr>
      <w:bookmarkStart w:name="Other online advertising services" w:id="120"/>
      <w:bookmarkEnd w:id="120"/>
      <w:r>
        <w:rPr>
          <w:b w:val="0"/>
        </w:rPr>
      </w:r>
      <w:r>
        <w:rPr/>
        <w:t>Other online advertising services</w:t>
      </w:r>
    </w:p>
    <w:p>
      <w:pPr>
        <w:pStyle w:val="BodyText"/>
        <w:spacing w:before="9"/>
        <w:rPr>
          <w:b/>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is the jurisdiction of the ordinary residence of the viewer of the</w:t>
      </w:r>
      <w:r>
        <w:rPr>
          <w:spacing w:val="-29"/>
          <w:sz w:val="20"/>
        </w:rPr>
        <w:t> </w:t>
      </w:r>
      <w:r>
        <w:rPr>
          <w:sz w:val="20"/>
        </w:rPr>
        <w:t>advertisement.</w:t>
      </w:r>
    </w:p>
    <w:p>
      <w:pPr>
        <w:pStyle w:val="ListParagraph"/>
        <w:numPr>
          <w:ilvl w:val="0"/>
          <w:numId w:val="13"/>
        </w:numPr>
        <w:tabs>
          <w:tab w:pos="1443" w:val="left" w:leader="none"/>
          <w:tab w:pos="1444" w:val="left" w:leader="none"/>
        </w:tabs>
        <w:spacing w:line="240" w:lineRule="auto" w:before="150" w:after="0"/>
        <w:ind w:left="1443" w:right="0" w:hanging="721"/>
        <w:jc w:val="left"/>
        <w:rPr>
          <w:sz w:val="20"/>
        </w:rPr>
      </w:pPr>
      <w:r>
        <w:rPr>
          <w:sz w:val="20"/>
        </w:rPr>
        <w:t>The relevant indicators</w:t>
      </w:r>
      <w:r>
        <w:rPr>
          <w:spacing w:val="2"/>
          <w:sz w:val="20"/>
        </w:rPr>
        <w:t> </w:t>
      </w:r>
      <w:r>
        <w:rPr>
          <w:sz w:val="20"/>
        </w:rPr>
        <w:t>are:</w:t>
      </w:r>
    </w:p>
    <w:p>
      <w:pPr>
        <w:pStyle w:val="ListParagraph"/>
        <w:numPr>
          <w:ilvl w:val="0"/>
          <w:numId w:val="33"/>
        </w:numPr>
        <w:tabs>
          <w:tab w:pos="341" w:val="left" w:leader="none"/>
        </w:tabs>
        <w:spacing w:line="240" w:lineRule="auto" w:before="144" w:after="0"/>
        <w:ind w:left="2084" w:right="555" w:hanging="2085"/>
        <w:jc w:val="right"/>
        <w:rPr>
          <w:sz w:val="20"/>
        </w:rPr>
      </w:pPr>
      <w:r>
        <w:rPr>
          <w:sz w:val="20"/>
        </w:rPr>
        <w:t>The</w:t>
      </w:r>
      <w:r>
        <w:rPr>
          <w:spacing w:val="-7"/>
          <w:sz w:val="20"/>
        </w:rPr>
        <w:t> </w:t>
      </w:r>
      <w:r>
        <w:rPr>
          <w:sz w:val="20"/>
        </w:rPr>
        <w:t>jurisdiction</w:t>
      </w:r>
      <w:r>
        <w:rPr>
          <w:spacing w:val="-4"/>
          <w:sz w:val="20"/>
        </w:rPr>
        <w:t> </w:t>
      </w:r>
      <w:r>
        <w:rPr>
          <w:sz w:val="20"/>
        </w:rPr>
        <w:t>of</w:t>
      </w:r>
      <w:r>
        <w:rPr>
          <w:spacing w:val="-3"/>
          <w:sz w:val="20"/>
        </w:rPr>
        <w:t> </w:t>
      </w:r>
      <w:r>
        <w:rPr>
          <w:sz w:val="20"/>
        </w:rPr>
        <w:t>the</w:t>
      </w:r>
      <w:r>
        <w:rPr>
          <w:spacing w:val="-4"/>
          <w:sz w:val="20"/>
        </w:rPr>
        <w:t> </w:t>
      </w:r>
      <w:r>
        <w:rPr>
          <w:sz w:val="20"/>
        </w:rPr>
        <w:t>ordinary</w:t>
      </w:r>
      <w:r>
        <w:rPr>
          <w:spacing w:val="-8"/>
          <w:sz w:val="20"/>
        </w:rPr>
        <w:t> </w:t>
      </w:r>
      <w:r>
        <w:rPr>
          <w:sz w:val="20"/>
        </w:rPr>
        <w:t>residence</w:t>
      </w:r>
      <w:r>
        <w:rPr>
          <w:spacing w:val="-4"/>
          <w:sz w:val="20"/>
        </w:rPr>
        <w:t> </w:t>
      </w:r>
      <w:r>
        <w:rPr>
          <w:sz w:val="20"/>
        </w:rPr>
        <w:t>of</w:t>
      </w:r>
      <w:r>
        <w:rPr>
          <w:spacing w:val="-4"/>
          <w:sz w:val="20"/>
        </w:rPr>
        <w:t> </w:t>
      </w:r>
      <w:r>
        <w:rPr>
          <w:sz w:val="20"/>
        </w:rPr>
        <w:t>the</w:t>
      </w:r>
      <w:r>
        <w:rPr>
          <w:spacing w:val="-4"/>
          <w:sz w:val="20"/>
        </w:rPr>
        <w:t> </w:t>
      </w:r>
      <w:r>
        <w:rPr>
          <w:sz w:val="20"/>
        </w:rPr>
        <w:t>viewer,</w:t>
      </w:r>
      <w:r>
        <w:rPr>
          <w:spacing w:val="-2"/>
          <w:sz w:val="20"/>
        </w:rPr>
        <w:t> </w:t>
      </w:r>
      <w:r>
        <w:rPr>
          <w:sz w:val="20"/>
        </w:rPr>
        <w:t>based</w:t>
      </w:r>
      <w:r>
        <w:rPr>
          <w:spacing w:val="-5"/>
          <w:sz w:val="20"/>
        </w:rPr>
        <w:t> </w:t>
      </w:r>
      <w:r>
        <w:rPr>
          <w:sz w:val="20"/>
        </w:rPr>
        <w:t>on</w:t>
      </w:r>
      <w:r>
        <w:rPr>
          <w:spacing w:val="-5"/>
          <w:sz w:val="20"/>
        </w:rPr>
        <w:t> </w:t>
      </w:r>
      <w:r>
        <w:rPr>
          <w:sz w:val="20"/>
        </w:rPr>
        <w:t>user</w:t>
      </w:r>
      <w:r>
        <w:rPr>
          <w:spacing w:val="-5"/>
          <w:sz w:val="20"/>
        </w:rPr>
        <w:t> </w:t>
      </w:r>
      <w:r>
        <w:rPr>
          <w:sz w:val="20"/>
        </w:rPr>
        <w:t>profile</w:t>
      </w:r>
      <w:r>
        <w:rPr>
          <w:spacing w:val="-4"/>
          <w:sz w:val="20"/>
        </w:rPr>
        <w:t> </w:t>
      </w:r>
      <w:r>
        <w:rPr>
          <w:sz w:val="20"/>
        </w:rPr>
        <w:t>information:</w:t>
      </w:r>
    </w:p>
    <w:p>
      <w:pPr>
        <w:pStyle w:val="ListParagraph"/>
        <w:numPr>
          <w:ilvl w:val="1"/>
          <w:numId w:val="33"/>
        </w:numPr>
        <w:tabs>
          <w:tab w:pos="326" w:val="left" w:leader="none"/>
          <w:tab w:pos="327" w:val="left" w:leader="none"/>
        </w:tabs>
        <w:spacing w:line="240" w:lineRule="auto" w:before="89" w:after="0"/>
        <w:ind w:left="2763" w:right="492" w:hanging="2764"/>
        <w:jc w:val="right"/>
        <w:rPr>
          <w:sz w:val="20"/>
        </w:rPr>
      </w:pPr>
      <w:r>
        <w:rPr>
          <w:sz w:val="20"/>
        </w:rPr>
        <w:t>Information</w:t>
      </w:r>
      <w:r>
        <w:rPr>
          <w:spacing w:val="-16"/>
          <w:sz w:val="20"/>
        </w:rPr>
        <w:t> </w:t>
      </w:r>
      <w:r>
        <w:rPr>
          <w:sz w:val="20"/>
        </w:rPr>
        <w:t>on</w:t>
      </w:r>
      <w:r>
        <w:rPr>
          <w:spacing w:val="-15"/>
          <w:sz w:val="20"/>
        </w:rPr>
        <w:t> </w:t>
      </w:r>
      <w:r>
        <w:rPr>
          <w:sz w:val="20"/>
        </w:rPr>
        <w:t>residence</w:t>
      </w:r>
      <w:r>
        <w:rPr>
          <w:spacing w:val="-16"/>
          <w:sz w:val="20"/>
        </w:rPr>
        <w:t> </w:t>
      </w:r>
      <w:r>
        <w:rPr>
          <w:sz w:val="20"/>
        </w:rPr>
        <w:t>obtained</w:t>
      </w:r>
      <w:r>
        <w:rPr>
          <w:spacing w:val="-16"/>
          <w:sz w:val="20"/>
        </w:rPr>
        <w:t> </w:t>
      </w:r>
      <w:r>
        <w:rPr>
          <w:sz w:val="20"/>
        </w:rPr>
        <w:t>from</w:t>
      </w:r>
      <w:r>
        <w:rPr>
          <w:spacing w:val="-13"/>
          <w:sz w:val="20"/>
        </w:rPr>
        <w:t> </w:t>
      </w:r>
      <w:r>
        <w:rPr>
          <w:sz w:val="20"/>
        </w:rPr>
        <w:t>recurring</w:t>
      </w:r>
      <w:r>
        <w:rPr>
          <w:spacing w:val="-16"/>
          <w:sz w:val="20"/>
        </w:rPr>
        <w:t> </w:t>
      </w:r>
      <w:r>
        <w:rPr>
          <w:sz w:val="20"/>
        </w:rPr>
        <w:t>data</w:t>
      </w:r>
      <w:r>
        <w:rPr>
          <w:spacing w:val="-15"/>
          <w:sz w:val="20"/>
        </w:rPr>
        <w:t> </w:t>
      </w:r>
      <w:r>
        <w:rPr>
          <w:sz w:val="20"/>
        </w:rPr>
        <w:t>on</w:t>
      </w:r>
      <w:r>
        <w:rPr>
          <w:spacing w:val="-16"/>
          <w:sz w:val="20"/>
        </w:rPr>
        <w:t> </w:t>
      </w:r>
      <w:r>
        <w:rPr>
          <w:sz w:val="20"/>
        </w:rPr>
        <w:t>geolocation</w:t>
      </w:r>
      <w:r>
        <w:rPr>
          <w:spacing w:val="-13"/>
          <w:sz w:val="20"/>
        </w:rPr>
        <w:t> </w:t>
      </w:r>
      <w:r>
        <w:rPr>
          <w:sz w:val="20"/>
        </w:rPr>
        <w:t>or</w:t>
      </w:r>
      <w:r>
        <w:rPr>
          <w:spacing w:val="-15"/>
          <w:sz w:val="20"/>
        </w:rPr>
        <w:t> </w:t>
      </w:r>
      <w:r>
        <w:rPr>
          <w:sz w:val="20"/>
        </w:rPr>
        <w:t>IP</w:t>
      </w:r>
      <w:r>
        <w:rPr>
          <w:spacing w:val="-16"/>
          <w:sz w:val="20"/>
        </w:rPr>
        <w:t> </w:t>
      </w:r>
      <w:r>
        <w:rPr>
          <w:sz w:val="20"/>
        </w:rPr>
        <w:t>address</w:t>
      </w:r>
    </w:p>
    <w:p>
      <w:pPr>
        <w:pStyle w:val="BodyText"/>
        <w:spacing w:before="29"/>
        <w:ind w:left="2763"/>
      </w:pPr>
      <w:r>
        <w:rPr/>
        <w:t>of the viewer’s device; or if unavailable or unreliable</w:t>
      </w:r>
    </w:p>
    <w:p>
      <w:pPr>
        <w:pStyle w:val="ListParagraph"/>
        <w:numPr>
          <w:ilvl w:val="1"/>
          <w:numId w:val="33"/>
        </w:numPr>
        <w:tabs>
          <w:tab w:pos="2763" w:val="left" w:leader="none"/>
          <w:tab w:pos="2764" w:val="left" w:leader="none"/>
        </w:tabs>
        <w:spacing w:line="240" w:lineRule="auto" w:before="92" w:after="0"/>
        <w:ind w:left="2763" w:right="0" w:hanging="371"/>
        <w:jc w:val="left"/>
        <w:rPr>
          <w:sz w:val="20"/>
        </w:rPr>
      </w:pPr>
      <w:r>
        <w:rPr>
          <w:sz w:val="20"/>
        </w:rPr>
        <w:t>Billing address of the viewer; or if unavailable or</w:t>
      </w:r>
      <w:r>
        <w:rPr>
          <w:spacing w:val="-5"/>
          <w:sz w:val="20"/>
        </w:rPr>
        <w:t> </w:t>
      </w:r>
      <w:r>
        <w:rPr>
          <w:sz w:val="20"/>
        </w:rPr>
        <w:t>unreliable</w:t>
      </w:r>
    </w:p>
    <w:p>
      <w:pPr>
        <w:pStyle w:val="ListParagraph"/>
        <w:numPr>
          <w:ilvl w:val="1"/>
          <w:numId w:val="33"/>
        </w:numPr>
        <w:tabs>
          <w:tab w:pos="2763" w:val="left" w:leader="none"/>
          <w:tab w:pos="2764" w:val="left" w:leader="none"/>
        </w:tabs>
        <w:spacing w:line="271" w:lineRule="auto" w:before="90" w:after="0"/>
        <w:ind w:left="2763" w:right="494" w:hanging="416"/>
        <w:jc w:val="left"/>
        <w:rPr>
          <w:sz w:val="20"/>
        </w:rPr>
      </w:pPr>
      <w:r>
        <w:rPr>
          <w:sz w:val="20"/>
        </w:rPr>
        <w:t>Mobile country code of the phone number of the viewer; or if unavailable or unreliable</w:t>
      </w:r>
    </w:p>
    <w:p>
      <w:pPr>
        <w:pStyle w:val="ListParagraph"/>
        <w:numPr>
          <w:ilvl w:val="1"/>
          <w:numId w:val="33"/>
        </w:numPr>
        <w:tabs>
          <w:tab w:pos="2763" w:val="left" w:leader="none"/>
          <w:tab w:pos="2764" w:val="left" w:leader="none"/>
        </w:tabs>
        <w:spacing w:line="240" w:lineRule="auto" w:before="61" w:after="0"/>
        <w:ind w:left="2763" w:right="0" w:hanging="428"/>
        <w:jc w:val="left"/>
        <w:rPr>
          <w:sz w:val="20"/>
        </w:rPr>
      </w:pPr>
      <w:r>
        <w:rPr>
          <w:sz w:val="20"/>
        </w:rPr>
        <w:t>Information on residence inputted by the viewer; or if unavailable or</w:t>
      </w:r>
      <w:r>
        <w:rPr>
          <w:spacing w:val="-23"/>
          <w:sz w:val="20"/>
        </w:rPr>
        <w:t> </w:t>
      </w:r>
      <w:r>
        <w:rPr>
          <w:sz w:val="20"/>
        </w:rPr>
        <w:t>unreliable</w:t>
      </w:r>
    </w:p>
    <w:p>
      <w:pPr>
        <w:pStyle w:val="ListParagraph"/>
        <w:numPr>
          <w:ilvl w:val="1"/>
          <w:numId w:val="33"/>
        </w:numPr>
        <w:tabs>
          <w:tab w:pos="2763" w:val="left" w:leader="none"/>
          <w:tab w:pos="2764" w:val="left" w:leader="none"/>
        </w:tabs>
        <w:spacing w:line="271" w:lineRule="auto" w:before="89" w:after="0"/>
        <w:ind w:left="2763" w:right="486" w:hanging="382"/>
        <w:jc w:val="left"/>
        <w:rPr>
          <w:sz w:val="20"/>
        </w:rPr>
      </w:pPr>
      <w:r>
        <w:rPr>
          <w:sz w:val="20"/>
        </w:rPr>
        <w:t>Other available information that can be used to determine the jurisdiction of the ordinary residence of the viewer; or if unavailable or</w:t>
      </w:r>
      <w:r>
        <w:rPr>
          <w:spacing w:val="-12"/>
          <w:sz w:val="20"/>
        </w:rPr>
        <w:t> </w:t>
      </w:r>
      <w:r>
        <w:rPr>
          <w:sz w:val="20"/>
        </w:rPr>
        <w:t>unreliable</w:t>
      </w:r>
    </w:p>
    <w:p>
      <w:pPr>
        <w:pStyle w:val="ListParagraph"/>
        <w:numPr>
          <w:ilvl w:val="0"/>
          <w:numId w:val="33"/>
        </w:numPr>
        <w:tabs>
          <w:tab w:pos="2464" w:val="left" w:leader="none"/>
        </w:tabs>
        <w:spacing w:line="271" w:lineRule="auto" w:before="61" w:after="0"/>
        <w:ind w:left="2463" w:right="482" w:hanging="360"/>
        <w:jc w:val="left"/>
        <w:rPr>
          <w:sz w:val="20"/>
        </w:rPr>
      </w:pPr>
      <w:r>
        <w:rPr>
          <w:sz w:val="20"/>
        </w:rPr>
        <w:t>The jurisdiction of the geolocation of the device of the viewer at the time of display; or if unavailable or unreliable</w:t>
      </w:r>
    </w:p>
    <w:p>
      <w:pPr>
        <w:spacing w:after="0" w:line="271" w:lineRule="auto"/>
        <w:jc w:val="left"/>
        <w:rPr>
          <w:sz w:val="20"/>
        </w:rPr>
        <w:sectPr>
          <w:pgSz w:w="11910" w:h="16840"/>
          <w:pgMar w:header="1244" w:footer="1638" w:top="1500" w:bottom="1820" w:left="580" w:right="820"/>
        </w:sectPr>
      </w:pPr>
    </w:p>
    <w:p>
      <w:pPr>
        <w:pStyle w:val="BodyText"/>
        <w:spacing w:before="9"/>
        <w:rPr>
          <w:sz w:val="19"/>
        </w:rPr>
      </w:pPr>
    </w:p>
    <w:p>
      <w:pPr>
        <w:pStyle w:val="ListParagraph"/>
        <w:numPr>
          <w:ilvl w:val="0"/>
          <w:numId w:val="33"/>
        </w:numPr>
        <w:tabs>
          <w:tab w:pos="2463" w:val="left" w:leader="none"/>
          <w:tab w:pos="2464" w:val="left" w:leader="none"/>
        </w:tabs>
        <w:spacing w:line="240" w:lineRule="auto" w:before="93" w:after="0"/>
        <w:ind w:left="2463" w:right="0" w:hanging="361"/>
        <w:jc w:val="left"/>
        <w:rPr>
          <w:sz w:val="20"/>
        </w:rPr>
      </w:pPr>
      <w:r>
        <w:rPr>
          <w:sz w:val="20"/>
        </w:rPr>
        <w:t>The jurisdiction of the IP address of the device of the viewer at the time of</w:t>
      </w:r>
      <w:r>
        <w:rPr>
          <w:spacing w:val="-12"/>
          <w:sz w:val="20"/>
        </w:rPr>
        <w:t> </w:t>
      </w:r>
      <w:r>
        <w:rPr>
          <w:sz w:val="20"/>
        </w:rPr>
        <w:t>display</w:t>
      </w:r>
    </w:p>
    <w:p>
      <w:pPr>
        <w:pStyle w:val="BodyText"/>
        <w:spacing w:before="3"/>
        <w:rPr>
          <w:sz w:val="23"/>
        </w:rPr>
      </w:pPr>
    </w:p>
    <w:p>
      <w:pPr>
        <w:pStyle w:val="Heading7"/>
        <w:rPr>
          <w:i/>
        </w:rPr>
      </w:pPr>
      <w:bookmarkStart w:name="Revenue from the sale or other alienatio" w:id="121"/>
      <w:bookmarkEnd w:id="121"/>
      <w:r>
        <w:rPr>
          <w:i w:val="0"/>
        </w:rPr>
      </w:r>
      <w:r>
        <w:rPr>
          <w:i/>
          <w:color w:val="616161"/>
        </w:rPr>
        <w:t>Revenue from the sale or other alienation of user data</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ADS business of Sale or Other Alienation of User Data generates revenue</w:t>
      </w:r>
      <w:r>
        <w:rPr>
          <w:spacing w:val="-20"/>
          <w:sz w:val="20"/>
        </w:rPr>
        <w:t> </w:t>
      </w:r>
      <w:r>
        <w:rPr>
          <w:sz w:val="20"/>
        </w:rPr>
        <w:t>including:</w:t>
      </w:r>
    </w:p>
    <w:p>
      <w:pPr>
        <w:pStyle w:val="ListParagraph"/>
        <w:numPr>
          <w:ilvl w:val="0"/>
          <w:numId w:val="34"/>
        </w:numPr>
        <w:tabs>
          <w:tab w:pos="1402" w:val="left" w:leader="none"/>
          <w:tab w:pos="1403" w:val="left" w:leader="none"/>
        </w:tabs>
        <w:spacing w:line="240" w:lineRule="auto" w:before="129" w:after="0"/>
        <w:ind w:left="1402" w:right="0" w:hanging="339"/>
        <w:jc w:val="left"/>
        <w:rPr>
          <w:sz w:val="20"/>
        </w:rPr>
      </w:pPr>
      <w:r>
        <w:rPr>
          <w:sz w:val="20"/>
        </w:rPr>
        <w:t>Revenue from the Sale or Other Alienation of User</w:t>
      </w:r>
      <w:r>
        <w:rPr>
          <w:spacing w:val="2"/>
          <w:sz w:val="20"/>
        </w:rPr>
        <w:t> </w:t>
      </w:r>
      <w:r>
        <w:rPr>
          <w:sz w:val="20"/>
        </w:rPr>
        <w:t>Data.</w:t>
      </w:r>
    </w:p>
    <w:p>
      <w:pPr>
        <w:pStyle w:val="BodyText"/>
        <w:spacing w:before="3"/>
        <w:rPr>
          <w:sz w:val="23"/>
        </w:rPr>
      </w:pPr>
    </w:p>
    <w:p>
      <w:pPr>
        <w:pStyle w:val="Heading8"/>
      </w:pPr>
      <w:bookmarkStart w:name="Sale or other alienation of user data ba" w:id="122"/>
      <w:bookmarkEnd w:id="122"/>
      <w:r>
        <w:rPr>
          <w:b w:val="0"/>
        </w:rPr>
      </w:r>
      <w:r>
        <w:rPr/>
        <w:t>Sale or other alienation of user data based on the real-time location of the user</w:t>
      </w:r>
    </w:p>
    <w:p>
      <w:pPr>
        <w:pStyle w:val="BodyText"/>
        <w:rPr>
          <w:b/>
          <w:sz w:val="19"/>
        </w:rPr>
      </w:pPr>
    </w:p>
    <w:p>
      <w:pPr>
        <w:pStyle w:val="ListParagraph"/>
        <w:numPr>
          <w:ilvl w:val="0"/>
          <w:numId w:val="13"/>
        </w:numPr>
        <w:tabs>
          <w:tab w:pos="1443" w:val="left" w:leader="none"/>
          <w:tab w:pos="1444" w:val="left" w:leader="none"/>
        </w:tabs>
        <w:spacing w:line="271" w:lineRule="auto" w:before="0" w:after="0"/>
        <w:ind w:left="723" w:right="486" w:firstLine="0"/>
        <w:jc w:val="left"/>
        <w:rPr>
          <w:sz w:val="20"/>
        </w:rPr>
      </w:pPr>
      <w:r>
        <w:rPr>
          <w:sz w:val="20"/>
        </w:rPr>
        <w:t>The sourcing rule is the jurisdiction of the real-time location of the user that is the subject of the data being transmitted, at the time the data was</w:t>
      </w:r>
      <w:r>
        <w:rPr>
          <w:spacing w:val="-8"/>
          <w:sz w:val="20"/>
        </w:rPr>
        <w:t> </w:t>
      </w:r>
      <w:r>
        <w:rPr>
          <w:sz w:val="20"/>
        </w:rPr>
        <w:t>collected.</w:t>
      </w:r>
    </w:p>
    <w:p>
      <w:pPr>
        <w:pStyle w:val="ListParagraph"/>
        <w:numPr>
          <w:ilvl w:val="0"/>
          <w:numId w:val="13"/>
        </w:numPr>
        <w:tabs>
          <w:tab w:pos="1443" w:val="left" w:leader="none"/>
          <w:tab w:pos="1444" w:val="left" w:leader="none"/>
        </w:tabs>
        <w:spacing w:line="240" w:lineRule="auto" w:before="119"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35"/>
        </w:numPr>
        <w:tabs>
          <w:tab w:pos="2085" w:val="left" w:leader="none"/>
        </w:tabs>
        <w:spacing w:line="271" w:lineRule="auto" w:before="144" w:after="0"/>
        <w:ind w:left="2084" w:right="481" w:hanging="341"/>
        <w:jc w:val="left"/>
        <w:rPr>
          <w:sz w:val="20"/>
        </w:rPr>
      </w:pPr>
      <w:r>
        <w:rPr>
          <w:sz w:val="20"/>
        </w:rPr>
        <w:t>The jurisdiction of the geolocation of the device of the user at the time of collection; or if unavailable or</w:t>
      </w:r>
      <w:r>
        <w:rPr>
          <w:spacing w:val="-2"/>
          <w:sz w:val="20"/>
        </w:rPr>
        <w:t> </w:t>
      </w:r>
      <w:r>
        <w:rPr>
          <w:sz w:val="20"/>
        </w:rPr>
        <w:t>unreliable</w:t>
      </w:r>
    </w:p>
    <w:p>
      <w:pPr>
        <w:pStyle w:val="ListParagraph"/>
        <w:numPr>
          <w:ilvl w:val="0"/>
          <w:numId w:val="35"/>
        </w:numPr>
        <w:tabs>
          <w:tab w:pos="2085" w:val="left" w:leader="none"/>
        </w:tabs>
        <w:spacing w:line="273" w:lineRule="auto" w:before="59" w:after="0"/>
        <w:ind w:left="2084" w:right="484" w:hanging="341"/>
        <w:jc w:val="left"/>
        <w:rPr>
          <w:sz w:val="20"/>
        </w:rPr>
      </w:pPr>
      <w:r>
        <w:rPr>
          <w:sz w:val="20"/>
        </w:rPr>
        <w:t>The jurisdiction of the IP address of the device of the user at the time of collection; or if unavailable or</w:t>
      </w:r>
      <w:r>
        <w:rPr>
          <w:spacing w:val="-2"/>
          <w:sz w:val="20"/>
        </w:rPr>
        <w:t> </w:t>
      </w:r>
      <w:r>
        <w:rPr>
          <w:sz w:val="20"/>
        </w:rPr>
        <w:t>unreliable</w:t>
      </w:r>
    </w:p>
    <w:p>
      <w:pPr>
        <w:pStyle w:val="ListParagraph"/>
        <w:numPr>
          <w:ilvl w:val="0"/>
          <w:numId w:val="35"/>
        </w:numPr>
        <w:tabs>
          <w:tab w:pos="2085" w:val="left" w:leader="none"/>
        </w:tabs>
        <w:spacing w:line="271" w:lineRule="auto" w:before="57" w:after="0"/>
        <w:ind w:left="2084" w:right="479" w:hanging="341"/>
        <w:jc w:val="left"/>
        <w:rPr>
          <w:sz w:val="20"/>
        </w:rPr>
      </w:pPr>
      <w:r>
        <w:rPr>
          <w:sz w:val="20"/>
        </w:rPr>
        <w:t>Other available information that can be used to determine the jurisdiction of the real-time location of the</w:t>
      </w:r>
      <w:r>
        <w:rPr>
          <w:spacing w:val="-1"/>
          <w:sz w:val="20"/>
        </w:rPr>
        <w:t> </w:t>
      </w:r>
      <w:r>
        <w:rPr>
          <w:sz w:val="20"/>
        </w:rPr>
        <w:t>user.</w:t>
      </w:r>
    </w:p>
    <w:p>
      <w:pPr>
        <w:pStyle w:val="BodyText"/>
        <w:spacing w:before="11"/>
      </w:pPr>
    </w:p>
    <w:p>
      <w:pPr>
        <w:pStyle w:val="Heading8"/>
      </w:pPr>
      <w:bookmarkStart w:name="Other sale or other alienation of user d" w:id="123"/>
      <w:bookmarkEnd w:id="123"/>
      <w:r>
        <w:rPr>
          <w:b w:val="0"/>
        </w:rPr>
      </w:r>
      <w:r>
        <w:rPr/>
        <w:t>Other sale or other alienation of user data</w:t>
      </w:r>
    </w:p>
    <w:p>
      <w:pPr>
        <w:pStyle w:val="BodyText"/>
        <w:spacing w:before="9"/>
        <w:rPr>
          <w:b/>
          <w:sz w:val="18"/>
        </w:rPr>
      </w:pPr>
    </w:p>
    <w:p>
      <w:pPr>
        <w:pStyle w:val="ListParagraph"/>
        <w:numPr>
          <w:ilvl w:val="0"/>
          <w:numId w:val="13"/>
        </w:numPr>
        <w:tabs>
          <w:tab w:pos="1443" w:val="left" w:leader="none"/>
          <w:tab w:pos="1444" w:val="left" w:leader="none"/>
        </w:tabs>
        <w:spacing w:line="271" w:lineRule="auto" w:before="0" w:after="0"/>
        <w:ind w:left="723" w:right="488" w:firstLine="0"/>
        <w:jc w:val="left"/>
        <w:rPr>
          <w:sz w:val="20"/>
        </w:rPr>
      </w:pPr>
      <w:r>
        <w:rPr>
          <w:sz w:val="20"/>
        </w:rPr>
        <w:t>The sourcing rule is the jurisdiction of the ordinary residence of the user that is the subject of the data being transmitted.</w:t>
      </w:r>
    </w:p>
    <w:p>
      <w:pPr>
        <w:pStyle w:val="ListParagraph"/>
        <w:numPr>
          <w:ilvl w:val="0"/>
          <w:numId w:val="13"/>
        </w:numPr>
        <w:tabs>
          <w:tab w:pos="1443" w:val="left" w:leader="none"/>
          <w:tab w:pos="1444" w:val="left" w:leader="none"/>
        </w:tabs>
        <w:spacing w:line="240" w:lineRule="auto" w:before="121"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36"/>
        </w:numPr>
        <w:tabs>
          <w:tab w:pos="2085" w:val="left" w:leader="none"/>
        </w:tabs>
        <w:spacing w:line="240" w:lineRule="auto" w:before="142" w:after="0"/>
        <w:ind w:left="2084" w:right="0" w:hanging="342"/>
        <w:jc w:val="left"/>
        <w:rPr>
          <w:sz w:val="20"/>
        </w:rPr>
      </w:pPr>
      <w:r>
        <w:rPr>
          <w:sz w:val="20"/>
        </w:rPr>
        <w:t>The jurisdiction of the ordinary residence of the user, based on user profile</w:t>
      </w:r>
      <w:r>
        <w:rPr>
          <w:spacing w:val="-29"/>
          <w:sz w:val="20"/>
        </w:rPr>
        <w:t> </w:t>
      </w:r>
      <w:r>
        <w:rPr>
          <w:sz w:val="20"/>
        </w:rPr>
        <w:t>information:</w:t>
      </w:r>
    </w:p>
    <w:p>
      <w:pPr>
        <w:pStyle w:val="ListParagraph"/>
        <w:numPr>
          <w:ilvl w:val="1"/>
          <w:numId w:val="36"/>
        </w:numPr>
        <w:tabs>
          <w:tab w:pos="2763" w:val="left" w:leader="none"/>
          <w:tab w:pos="2764" w:val="left" w:leader="none"/>
        </w:tabs>
        <w:spacing w:line="240" w:lineRule="auto" w:before="90"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9"/>
          <w:sz w:val="20"/>
        </w:rPr>
        <w:t> </w:t>
      </w:r>
      <w:r>
        <w:rPr>
          <w:sz w:val="20"/>
        </w:rPr>
        <w:t>data</w:t>
      </w:r>
      <w:r>
        <w:rPr>
          <w:spacing w:val="-13"/>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4"/>
          <w:sz w:val="20"/>
        </w:rPr>
        <w:t> </w:t>
      </w:r>
      <w:r>
        <w:rPr>
          <w:sz w:val="20"/>
        </w:rPr>
        <w:t>address</w:t>
      </w:r>
    </w:p>
    <w:p>
      <w:pPr>
        <w:pStyle w:val="BodyText"/>
        <w:spacing w:before="32"/>
        <w:ind w:left="2763"/>
      </w:pPr>
      <w:r>
        <w:rPr/>
        <w:t>of the user’s device; or if unavailable or unreliable</w:t>
      </w:r>
    </w:p>
    <w:p>
      <w:pPr>
        <w:pStyle w:val="ListParagraph"/>
        <w:numPr>
          <w:ilvl w:val="1"/>
          <w:numId w:val="36"/>
        </w:numPr>
        <w:tabs>
          <w:tab w:pos="2763" w:val="left" w:leader="none"/>
          <w:tab w:pos="2764" w:val="left" w:leader="none"/>
        </w:tabs>
        <w:spacing w:line="240" w:lineRule="auto" w:before="89" w:after="0"/>
        <w:ind w:left="2763" w:right="0" w:hanging="371"/>
        <w:jc w:val="left"/>
        <w:rPr>
          <w:sz w:val="20"/>
        </w:rPr>
      </w:pPr>
      <w:r>
        <w:rPr>
          <w:sz w:val="20"/>
        </w:rPr>
        <w:t>Billing address of the user; or if unavailable or</w:t>
      </w:r>
      <w:r>
        <w:rPr>
          <w:spacing w:val="-3"/>
          <w:sz w:val="20"/>
        </w:rPr>
        <w:t> </w:t>
      </w:r>
      <w:r>
        <w:rPr>
          <w:sz w:val="20"/>
        </w:rPr>
        <w:t>unreliable</w:t>
      </w:r>
    </w:p>
    <w:p>
      <w:pPr>
        <w:pStyle w:val="ListParagraph"/>
        <w:numPr>
          <w:ilvl w:val="1"/>
          <w:numId w:val="36"/>
        </w:numPr>
        <w:tabs>
          <w:tab w:pos="2763" w:val="left" w:leader="none"/>
          <w:tab w:pos="2764" w:val="left" w:leader="none"/>
        </w:tabs>
        <w:spacing w:line="240" w:lineRule="auto" w:before="89" w:after="0"/>
        <w:ind w:left="2763" w:right="0" w:hanging="416"/>
        <w:jc w:val="left"/>
        <w:rPr>
          <w:sz w:val="20"/>
        </w:rPr>
      </w:pPr>
      <w:r>
        <w:rPr>
          <w:sz w:val="20"/>
        </w:rPr>
        <w:t>Mobile</w:t>
      </w:r>
      <w:r>
        <w:rPr>
          <w:spacing w:val="-11"/>
          <w:sz w:val="20"/>
        </w:rPr>
        <w:t> </w:t>
      </w:r>
      <w:r>
        <w:rPr>
          <w:sz w:val="20"/>
        </w:rPr>
        <w:t>country</w:t>
      </w:r>
      <w:r>
        <w:rPr>
          <w:spacing w:val="-14"/>
          <w:sz w:val="20"/>
        </w:rPr>
        <w:t> </w:t>
      </w:r>
      <w:r>
        <w:rPr>
          <w:sz w:val="20"/>
        </w:rPr>
        <w:t>code</w:t>
      </w:r>
      <w:r>
        <w:rPr>
          <w:spacing w:val="-10"/>
          <w:sz w:val="20"/>
        </w:rPr>
        <w:t> </w:t>
      </w:r>
      <w:r>
        <w:rPr>
          <w:sz w:val="20"/>
        </w:rPr>
        <w:t>of</w:t>
      </w:r>
      <w:r>
        <w:rPr>
          <w:spacing w:val="-8"/>
          <w:sz w:val="20"/>
        </w:rPr>
        <w:t> </w:t>
      </w:r>
      <w:r>
        <w:rPr>
          <w:sz w:val="20"/>
        </w:rPr>
        <w:t>the</w:t>
      </w:r>
      <w:r>
        <w:rPr>
          <w:spacing w:val="-8"/>
          <w:sz w:val="20"/>
        </w:rPr>
        <w:t> </w:t>
      </w:r>
      <w:r>
        <w:rPr>
          <w:sz w:val="20"/>
        </w:rPr>
        <w:t>phone</w:t>
      </w:r>
      <w:r>
        <w:rPr>
          <w:spacing w:val="-11"/>
          <w:sz w:val="20"/>
        </w:rPr>
        <w:t> </w:t>
      </w:r>
      <w:r>
        <w:rPr>
          <w:sz w:val="20"/>
        </w:rPr>
        <w:t>number</w:t>
      </w:r>
      <w:r>
        <w:rPr>
          <w:spacing w:val="-8"/>
          <w:sz w:val="20"/>
        </w:rPr>
        <w:t> </w:t>
      </w:r>
      <w:r>
        <w:rPr>
          <w:sz w:val="20"/>
        </w:rPr>
        <w:t>of</w:t>
      </w:r>
      <w:r>
        <w:rPr>
          <w:spacing w:val="-8"/>
          <w:sz w:val="20"/>
        </w:rPr>
        <w:t> </w:t>
      </w:r>
      <w:r>
        <w:rPr>
          <w:sz w:val="20"/>
        </w:rPr>
        <w:t>the</w:t>
      </w:r>
      <w:r>
        <w:rPr>
          <w:spacing w:val="-11"/>
          <w:sz w:val="20"/>
        </w:rPr>
        <w:t> </w:t>
      </w:r>
      <w:r>
        <w:rPr>
          <w:sz w:val="20"/>
        </w:rPr>
        <w:t>user;</w:t>
      </w:r>
      <w:r>
        <w:rPr>
          <w:spacing w:val="-10"/>
          <w:sz w:val="20"/>
        </w:rPr>
        <w:t> </w:t>
      </w:r>
      <w:r>
        <w:rPr>
          <w:sz w:val="20"/>
        </w:rPr>
        <w:t>or</w:t>
      </w:r>
      <w:r>
        <w:rPr>
          <w:spacing w:val="-9"/>
          <w:sz w:val="20"/>
        </w:rPr>
        <w:t> </w:t>
      </w:r>
      <w:r>
        <w:rPr>
          <w:sz w:val="20"/>
        </w:rPr>
        <w:t>if</w:t>
      </w:r>
      <w:r>
        <w:rPr>
          <w:spacing w:val="-8"/>
          <w:sz w:val="20"/>
        </w:rPr>
        <w:t> </w:t>
      </w:r>
      <w:r>
        <w:rPr>
          <w:sz w:val="20"/>
        </w:rPr>
        <w:t>unavailable</w:t>
      </w:r>
      <w:r>
        <w:rPr>
          <w:spacing w:val="-11"/>
          <w:sz w:val="20"/>
        </w:rPr>
        <w:t> </w:t>
      </w:r>
      <w:r>
        <w:rPr>
          <w:sz w:val="20"/>
        </w:rPr>
        <w:t>or</w:t>
      </w:r>
      <w:r>
        <w:rPr>
          <w:spacing w:val="-9"/>
          <w:sz w:val="20"/>
        </w:rPr>
        <w:t> </w:t>
      </w:r>
      <w:r>
        <w:rPr>
          <w:sz w:val="20"/>
        </w:rPr>
        <w:t>unreliable</w:t>
      </w:r>
    </w:p>
    <w:p>
      <w:pPr>
        <w:pStyle w:val="ListParagraph"/>
        <w:numPr>
          <w:ilvl w:val="1"/>
          <w:numId w:val="36"/>
        </w:numPr>
        <w:tabs>
          <w:tab w:pos="2763" w:val="left" w:leader="none"/>
          <w:tab w:pos="2764" w:val="left" w:leader="none"/>
        </w:tabs>
        <w:spacing w:line="240" w:lineRule="auto" w:before="92" w:after="0"/>
        <w:ind w:left="2763" w:right="0" w:hanging="428"/>
        <w:jc w:val="left"/>
        <w:rPr>
          <w:sz w:val="20"/>
        </w:rPr>
      </w:pPr>
      <w:r>
        <w:rPr>
          <w:sz w:val="20"/>
        </w:rPr>
        <w:t>Information on residence inputted by the user; or if unavailable or</w:t>
      </w:r>
      <w:r>
        <w:rPr>
          <w:spacing w:val="-22"/>
          <w:sz w:val="20"/>
        </w:rPr>
        <w:t> </w:t>
      </w:r>
      <w:r>
        <w:rPr>
          <w:sz w:val="20"/>
        </w:rPr>
        <w:t>unreliable</w:t>
      </w:r>
    </w:p>
    <w:p>
      <w:pPr>
        <w:pStyle w:val="ListParagraph"/>
        <w:numPr>
          <w:ilvl w:val="1"/>
          <w:numId w:val="36"/>
        </w:numPr>
        <w:tabs>
          <w:tab w:pos="2763" w:val="left" w:leader="none"/>
          <w:tab w:pos="2764" w:val="left" w:leader="none"/>
        </w:tabs>
        <w:spacing w:line="271" w:lineRule="auto" w:before="89" w:after="0"/>
        <w:ind w:left="2763" w:right="488" w:hanging="382"/>
        <w:jc w:val="left"/>
        <w:rPr>
          <w:sz w:val="20"/>
        </w:rPr>
      </w:pPr>
      <w:r>
        <w:rPr>
          <w:sz w:val="20"/>
        </w:rPr>
        <w:t>Other available information that can be used to determine the jurisdiction of the ordinary residence of the user; or if unavailable or</w:t>
      </w:r>
      <w:r>
        <w:rPr>
          <w:spacing w:val="-10"/>
          <w:sz w:val="20"/>
        </w:rPr>
        <w:t> </w:t>
      </w:r>
      <w:r>
        <w:rPr>
          <w:sz w:val="20"/>
        </w:rPr>
        <w:t>unreliable</w:t>
      </w:r>
    </w:p>
    <w:p>
      <w:pPr>
        <w:pStyle w:val="ListParagraph"/>
        <w:numPr>
          <w:ilvl w:val="0"/>
          <w:numId w:val="36"/>
        </w:numPr>
        <w:tabs>
          <w:tab w:pos="2426" w:val="left" w:leader="none"/>
        </w:tabs>
        <w:spacing w:line="271" w:lineRule="auto" w:before="61" w:after="0"/>
        <w:ind w:left="2425" w:right="482" w:hanging="341"/>
        <w:jc w:val="left"/>
        <w:rPr>
          <w:sz w:val="20"/>
        </w:rPr>
      </w:pPr>
      <w:r>
        <w:rPr>
          <w:sz w:val="20"/>
        </w:rPr>
        <w:t>The jurisdiction of the geolocation of the device of the user at the time of collection; or if unavailable or unreliable</w:t>
      </w:r>
    </w:p>
    <w:p>
      <w:pPr>
        <w:pStyle w:val="ListParagraph"/>
        <w:numPr>
          <w:ilvl w:val="0"/>
          <w:numId w:val="36"/>
        </w:numPr>
        <w:tabs>
          <w:tab w:pos="2426" w:val="left" w:leader="none"/>
        </w:tabs>
        <w:spacing w:line="240" w:lineRule="auto" w:before="59" w:after="0"/>
        <w:ind w:left="2425" w:right="0" w:hanging="342"/>
        <w:jc w:val="left"/>
        <w:rPr>
          <w:sz w:val="20"/>
        </w:rPr>
      </w:pPr>
      <w:r>
        <w:rPr>
          <w:sz w:val="20"/>
        </w:rPr>
        <w:t>The jurisdiction of the IP address of the device of the user at the time of</w:t>
      </w:r>
      <w:r>
        <w:rPr>
          <w:spacing w:val="-18"/>
          <w:sz w:val="20"/>
        </w:rPr>
        <w:t> </w:t>
      </w:r>
      <w:r>
        <w:rPr>
          <w:sz w:val="20"/>
        </w:rPr>
        <w:t>collection.</w:t>
      </w:r>
    </w:p>
    <w:p>
      <w:pPr>
        <w:pStyle w:val="BodyText"/>
        <w:spacing w:before="5"/>
        <w:rPr>
          <w:sz w:val="23"/>
        </w:rPr>
      </w:pPr>
    </w:p>
    <w:p>
      <w:pPr>
        <w:pStyle w:val="Heading7"/>
        <w:rPr>
          <w:i/>
        </w:rPr>
      </w:pPr>
      <w:bookmarkStart w:name="Revenue from online search engines" w:id="124"/>
      <w:bookmarkEnd w:id="124"/>
      <w:r>
        <w:rPr>
          <w:i w:val="0"/>
        </w:rPr>
      </w:r>
      <w:r>
        <w:rPr>
          <w:i/>
          <w:color w:val="616161"/>
        </w:rPr>
        <w:t>Revenue from online search engines</w:t>
      </w:r>
    </w:p>
    <w:p>
      <w:pPr>
        <w:pStyle w:val="ListParagraph"/>
        <w:numPr>
          <w:ilvl w:val="0"/>
          <w:numId w:val="13"/>
        </w:numPr>
        <w:tabs>
          <w:tab w:pos="1443" w:val="left" w:leader="none"/>
          <w:tab w:pos="1444" w:val="left" w:leader="none"/>
        </w:tabs>
        <w:spacing w:line="240" w:lineRule="auto" w:before="215" w:after="0"/>
        <w:ind w:left="1443" w:right="0" w:hanging="721"/>
        <w:jc w:val="left"/>
        <w:rPr>
          <w:sz w:val="20"/>
        </w:rPr>
      </w:pPr>
      <w:r>
        <w:rPr>
          <w:sz w:val="20"/>
        </w:rPr>
        <w:t>The ADS business of Online Search Engines generates revenue</w:t>
      </w:r>
      <w:r>
        <w:rPr>
          <w:spacing w:val="-3"/>
          <w:sz w:val="20"/>
        </w:rPr>
        <w:t> </w:t>
      </w:r>
      <w:r>
        <w:rPr>
          <w:sz w:val="20"/>
        </w:rPr>
        <w:t>including:</w:t>
      </w:r>
    </w:p>
    <w:p>
      <w:pPr>
        <w:pStyle w:val="ListParagraph"/>
        <w:numPr>
          <w:ilvl w:val="0"/>
          <w:numId w:val="37"/>
        </w:numPr>
        <w:tabs>
          <w:tab w:pos="1402" w:val="left" w:leader="none"/>
          <w:tab w:pos="1403" w:val="left" w:leader="none"/>
        </w:tabs>
        <w:spacing w:line="240" w:lineRule="auto" w:before="131" w:after="0"/>
        <w:ind w:left="1402" w:right="0" w:hanging="339"/>
        <w:jc w:val="left"/>
        <w:rPr>
          <w:sz w:val="20"/>
        </w:rPr>
      </w:pPr>
      <w:r>
        <w:rPr>
          <w:sz w:val="20"/>
        </w:rPr>
        <w:t>Revenue from Online Advertising Services;</w:t>
      </w:r>
      <w:r>
        <w:rPr>
          <w:spacing w:val="7"/>
          <w:sz w:val="20"/>
        </w:rPr>
        <w:t> </w:t>
      </w:r>
      <w:r>
        <w:rPr>
          <w:sz w:val="20"/>
        </w:rPr>
        <w:t>and</w:t>
      </w:r>
    </w:p>
    <w:p>
      <w:pPr>
        <w:pStyle w:val="ListParagraph"/>
        <w:numPr>
          <w:ilvl w:val="0"/>
          <w:numId w:val="37"/>
        </w:numPr>
        <w:tabs>
          <w:tab w:pos="1402" w:val="left" w:leader="none"/>
          <w:tab w:pos="1403" w:val="left" w:leader="none"/>
        </w:tabs>
        <w:spacing w:line="240" w:lineRule="auto" w:before="74" w:after="0"/>
        <w:ind w:left="1402" w:right="0" w:hanging="339"/>
        <w:jc w:val="left"/>
        <w:rPr>
          <w:sz w:val="20"/>
        </w:rPr>
      </w:pPr>
      <w:r>
        <w:rPr>
          <w:sz w:val="20"/>
        </w:rPr>
        <w:t>Revenue from the Sale or Other Alienation of User Data.</w:t>
      </w:r>
    </w:p>
    <w:p>
      <w:pPr>
        <w:pStyle w:val="BodyText"/>
        <w:spacing w:before="1"/>
        <w:rPr>
          <w:sz w:val="23"/>
        </w:rPr>
      </w:pPr>
    </w:p>
    <w:p>
      <w:pPr>
        <w:pStyle w:val="Heading7"/>
        <w:rPr>
          <w:i/>
        </w:rPr>
      </w:pPr>
      <w:bookmarkStart w:name="Revenue from social media platforms" w:id="125"/>
      <w:bookmarkEnd w:id="125"/>
      <w:r>
        <w:rPr>
          <w:i w:val="0"/>
        </w:rPr>
      </w:r>
      <w:r>
        <w:rPr>
          <w:i/>
          <w:color w:val="616161"/>
        </w:rPr>
        <w:t>Revenue from social media platforms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ADS business of Social Media Platforms generates revenue</w:t>
      </w:r>
      <w:r>
        <w:rPr>
          <w:spacing w:val="-11"/>
          <w:sz w:val="20"/>
        </w:rPr>
        <w:t> </w:t>
      </w:r>
      <w:r>
        <w:rPr>
          <w:sz w:val="20"/>
        </w:rPr>
        <w:t>including:</w:t>
      </w:r>
    </w:p>
    <w:p>
      <w:pPr>
        <w:pStyle w:val="ListParagraph"/>
        <w:numPr>
          <w:ilvl w:val="0"/>
          <w:numId w:val="38"/>
        </w:numPr>
        <w:tabs>
          <w:tab w:pos="1402" w:val="left" w:leader="none"/>
          <w:tab w:pos="1403" w:val="left" w:leader="none"/>
        </w:tabs>
        <w:spacing w:line="240" w:lineRule="auto" w:before="129" w:after="0"/>
        <w:ind w:left="1402" w:right="0" w:hanging="339"/>
        <w:jc w:val="left"/>
        <w:rPr>
          <w:sz w:val="20"/>
        </w:rPr>
      </w:pPr>
      <w:r>
        <w:rPr>
          <w:sz w:val="20"/>
        </w:rPr>
        <w:t>Revenue from Online Advertising</w:t>
      </w:r>
      <w:r>
        <w:rPr>
          <w:spacing w:val="2"/>
          <w:sz w:val="20"/>
        </w:rPr>
        <w:t> </w:t>
      </w:r>
      <w:r>
        <w:rPr>
          <w:sz w:val="20"/>
        </w:rPr>
        <w:t>Services;</w:t>
      </w:r>
    </w:p>
    <w:p>
      <w:pPr>
        <w:spacing w:after="0" w:line="240" w:lineRule="auto"/>
        <w:jc w:val="left"/>
        <w:rPr>
          <w:sz w:val="20"/>
        </w:rPr>
        <w:sectPr>
          <w:pgSz w:w="11910" w:h="16840"/>
          <w:pgMar w:header="1244" w:footer="1638" w:top="1500" w:bottom="1820" w:left="580" w:right="820"/>
        </w:sectPr>
      </w:pPr>
    </w:p>
    <w:p>
      <w:pPr>
        <w:pStyle w:val="BodyText"/>
        <w:spacing w:before="1"/>
        <w:rPr>
          <w:sz w:val="18"/>
        </w:rPr>
      </w:pPr>
    </w:p>
    <w:p>
      <w:pPr>
        <w:pStyle w:val="ListParagraph"/>
        <w:numPr>
          <w:ilvl w:val="0"/>
          <w:numId w:val="38"/>
        </w:numPr>
        <w:tabs>
          <w:tab w:pos="1402" w:val="left" w:leader="none"/>
          <w:tab w:pos="1403" w:val="left" w:leader="none"/>
        </w:tabs>
        <w:spacing w:line="240" w:lineRule="auto" w:before="99" w:after="0"/>
        <w:ind w:left="1402" w:right="0" w:hanging="339"/>
        <w:jc w:val="left"/>
        <w:rPr>
          <w:sz w:val="20"/>
        </w:rPr>
      </w:pPr>
      <w:r>
        <w:rPr>
          <w:sz w:val="20"/>
        </w:rPr>
        <w:t>Revenue from the Sale or Other Alienation of User Data;</w:t>
      </w:r>
      <w:r>
        <w:rPr>
          <w:spacing w:val="2"/>
          <w:sz w:val="20"/>
        </w:rPr>
        <w:t> </w:t>
      </w:r>
      <w:r>
        <w:rPr>
          <w:sz w:val="20"/>
        </w:rPr>
        <w:t>and</w:t>
      </w:r>
    </w:p>
    <w:p>
      <w:pPr>
        <w:pStyle w:val="ListParagraph"/>
        <w:numPr>
          <w:ilvl w:val="0"/>
          <w:numId w:val="38"/>
        </w:numPr>
        <w:tabs>
          <w:tab w:pos="1402" w:val="left" w:leader="none"/>
          <w:tab w:pos="1403" w:val="left" w:leader="none"/>
        </w:tabs>
        <w:spacing w:line="240" w:lineRule="auto" w:before="75" w:after="0"/>
        <w:ind w:left="1402" w:right="0" w:hanging="339"/>
        <w:jc w:val="left"/>
        <w:rPr>
          <w:sz w:val="20"/>
        </w:rPr>
      </w:pPr>
      <w:r>
        <w:rPr>
          <w:sz w:val="20"/>
        </w:rPr>
        <w:t>Revenue from Digital Content</w:t>
      </w:r>
      <w:r>
        <w:rPr>
          <w:spacing w:val="2"/>
          <w:sz w:val="20"/>
        </w:rPr>
        <w:t> </w:t>
      </w:r>
      <w:r>
        <w:rPr>
          <w:sz w:val="20"/>
        </w:rPr>
        <w:t>Services.</w:t>
      </w:r>
    </w:p>
    <w:p>
      <w:pPr>
        <w:pStyle w:val="BodyText"/>
        <w:spacing w:before="1"/>
        <w:rPr>
          <w:sz w:val="23"/>
        </w:rPr>
      </w:pPr>
    </w:p>
    <w:p>
      <w:pPr>
        <w:pStyle w:val="Heading7"/>
        <w:rPr>
          <w:i/>
        </w:rPr>
      </w:pPr>
      <w:bookmarkStart w:name="Revenue from online intermediation platf" w:id="126"/>
      <w:bookmarkEnd w:id="126"/>
      <w:r>
        <w:rPr>
          <w:i w:val="0"/>
        </w:rPr>
      </w:r>
      <w:r>
        <w:rPr>
          <w:i/>
          <w:color w:val="616161"/>
        </w:rPr>
        <w:t>Revenue from online intermediation platform services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ADS business of Online Intermediation Platform Services generates revenue</w:t>
      </w:r>
      <w:r>
        <w:rPr>
          <w:spacing w:val="-20"/>
          <w:sz w:val="20"/>
        </w:rPr>
        <w:t> </w:t>
      </w:r>
      <w:r>
        <w:rPr>
          <w:sz w:val="20"/>
        </w:rPr>
        <w:t>including:</w:t>
      </w:r>
    </w:p>
    <w:p>
      <w:pPr>
        <w:pStyle w:val="ListParagraph"/>
        <w:numPr>
          <w:ilvl w:val="0"/>
          <w:numId w:val="39"/>
        </w:numPr>
        <w:tabs>
          <w:tab w:pos="1402" w:val="left" w:leader="none"/>
          <w:tab w:pos="1403" w:val="left" w:leader="none"/>
        </w:tabs>
        <w:spacing w:line="240" w:lineRule="auto" w:before="128" w:after="0"/>
        <w:ind w:left="1402" w:right="0" w:hanging="339"/>
        <w:jc w:val="left"/>
        <w:rPr>
          <w:sz w:val="20"/>
        </w:rPr>
      </w:pPr>
      <w:r>
        <w:rPr>
          <w:sz w:val="20"/>
        </w:rPr>
        <w:t>Revenue from Online Advertising</w:t>
      </w:r>
      <w:r>
        <w:rPr>
          <w:spacing w:val="2"/>
          <w:sz w:val="20"/>
        </w:rPr>
        <w:t> </w:t>
      </w:r>
      <w:r>
        <w:rPr>
          <w:sz w:val="20"/>
        </w:rPr>
        <w:t>Services;</w:t>
      </w:r>
    </w:p>
    <w:p>
      <w:pPr>
        <w:pStyle w:val="ListParagraph"/>
        <w:numPr>
          <w:ilvl w:val="0"/>
          <w:numId w:val="39"/>
        </w:numPr>
        <w:tabs>
          <w:tab w:pos="1402" w:val="left" w:leader="none"/>
          <w:tab w:pos="1403" w:val="left" w:leader="none"/>
        </w:tabs>
        <w:spacing w:line="240" w:lineRule="auto" w:before="77" w:after="0"/>
        <w:ind w:left="1402" w:right="0" w:hanging="339"/>
        <w:jc w:val="left"/>
        <w:rPr>
          <w:sz w:val="20"/>
        </w:rPr>
      </w:pPr>
      <w:r>
        <w:rPr>
          <w:sz w:val="20"/>
        </w:rPr>
        <w:t>Revenue from the Sale or Other Alienation of User</w:t>
      </w:r>
      <w:r>
        <w:rPr>
          <w:spacing w:val="3"/>
          <w:sz w:val="20"/>
        </w:rPr>
        <w:t> </w:t>
      </w:r>
      <w:r>
        <w:rPr>
          <w:sz w:val="20"/>
        </w:rPr>
        <w:t>Data;</w:t>
      </w:r>
    </w:p>
    <w:p>
      <w:pPr>
        <w:pStyle w:val="ListParagraph"/>
        <w:numPr>
          <w:ilvl w:val="0"/>
          <w:numId w:val="39"/>
        </w:numPr>
        <w:tabs>
          <w:tab w:pos="1402" w:val="left" w:leader="none"/>
          <w:tab w:pos="1403" w:val="left" w:leader="none"/>
        </w:tabs>
        <w:spacing w:line="240" w:lineRule="auto" w:before="74" w:after="0"/>
        <w:ind w:left="1402" w:right="0" w:hanging="339"/>
        <w:jc w:val="left"/>
        <w:rPr>
          <w:sz w:val="20"/>
        </w:rPr>
      </w:pPr>
      <w:r>
        <w:rPr>
          <w:sz w:val="20"/>
        </w:rPr>
        <w:t>Revenue from Online Intermediation Platform Services;</w:t>
      </w:r>
      <w:r>
        <w:rPr>
          <w:spacing w:val="9"/>
          <w:sz w:val="20"/>
        </w:rPr>
        <w:t> </w:t>
      </w:r>
      <w:r>
        <w:rPr>
          <w:sz w:val="20"/>
        </w:rPr>
        <w:t>and</w:t>
      </w:r>
    </w:p>
    <w:p>
      <w:pPr>
        <w:pStyle w:val="ListParagraph"/>
        <w:numPr>
          <w:ilvl w:val="0"/>
          <w:numId w:val="39"/>
        </w:numPr>
        <w:tabs>
          <w:tab w:pos="1402" w:val="left" w:leader="none"/>
          <w:tab w:pos="1403" w:val="left" w:leader="none"/>
        </w:tabs>
        <w:spacing w:line="240" w:lineRule="auto" w:before="74" w:after="0"/>
        <w:ind w:left="1402" w:right="0" w:hanging="339"/>
        <w:jc w:val="left"/>
        <w:rPr>
          <w:sz w:val="20"/>
        </w:rPr>
      </w:pPr>
      <w:r>
        <w:rPr>
          <w:sz w:val="20"/>
        </w:rPr>
        <w:t>Revenue from Digital Content</w:t>
      </w:r>
      <w:r>
        <w:rPr>
          <w:spacing w:val="2"/>
          <w:sz w:val="20"/>
        </w:rPr>
        <w:t> </w:t>
      </w:r>
      <w:r>
        <w:rPr>
          <w:sz w:val="20"/>
        </w:rPr>
        <w:t>Services.</w:t>
      </w:r>
    </w:p>
    <w:p>
      <w:pPr>
        <w:pStyle w:val="ListParagraph"/>
        <w:numPr>
          <w:ilvl w:val="0"/>
          <w:numId w:val="13"/>
        </w:numPr>
        <w:tabs>
          <w:tab w:pos="1444" w:val="left" w:leader="none"/>
        </w:tabs>
        <w:spacing w:line="271" w:lineRule="auto" w:before="157" w:after="0"/>
        <w:ind w:left="723" w:right="483" w:firstLine="0"/>
        <w:jc w:val="both"/>
        <w:rPr>
          <w:sz w:val="20"/>
        </w:rPr>
      </w:pPr>
      <w:r>
        <w:rPr>
          <w:sz w:val="20"/>
        </w:rPr>
        <w:t>The rule on Online Intermediation Platform Services is designed according to the nature of the goods / services being intermediated, which may be intermediation of tangible goods, intermediation of tangible services and intermediation of intangible goods</w:t>
      </w:r>
      <w:r>
        <w:rPr>
          <w:spacing w:val="-5"/>
          <w:sz w:val="20"/>
        </w:rPr>
        <w:t> </w:t>
      </w:r>
      <w:r>
        <w:rPr>
          <w:sz w:val="20"/>
        </w:rPr>
        <w:t>/services.</w:t>
      </w:r>
    </w:p>
    <w:p>
      <w:pPr>
        <w:pStyle w:val="BodyText"/>
        <w:spacing w:before="2"/>
      </w:pPr>
    </w:p>
    <w:p>
      <w:pPr>
        <w:pStyle w:val="Heading7"/>
        <w:rPr>
          <w:i/>
        </w:rPr>
      </w:pPr>
      <w:bookmarkStart w:name="Intermediation of tangible goods" w:id="127"/>
      <w:bookmarkEnd w:id="127"/>
      <w:r>
        <w:rPr>
          <w:i w:val="0"/>
        </w:rPr>
      </w:r>
      <w:r>
        <w:rPr>
          <w:i/>
          <w:color w:val="616161"/>
        </w:rPr>
        <w:t>Intermediation of tangible goods</w:t>
      </w:r>
    </w:p>
    <w:p>
      <w:pPr>
        <w:pStyle w:val="ListParagraph"/>
        <w:numPr>
          <w:ilvl w:val="0"/>
          <w:numId w:val="13"/>
        </w:numPr>
        <w:tabs>
          <w:tab w:pos="1443" w:val="left" w:leader="none"/>
          <w:tab w:pos="1444" w:val="left" w:leader="none"/>
        </w:tabs>
        <w:spacing w:line="240" w:lineRule="auto" w:before="215" w:after="0"/>
        <w:ind w:left="1443" w:right="0" w:hanging="721"/>
        <w:jc w:val="left"/>
        <w:rPr>
          <w:sz w:val="20"/>
        </w:rPr>
      </w:pPr>
      <w:r>
        <w:rPr>
          <w:sz w:val="20"/>
        </w:rPr>
        <w:t>The revenue is sourced based on a 50:50 split between the purchaser and the</w:t>
      </w:r>
      <w:r>
        <w:rPr>
          <w:spacing w:val="-20"/>
          <w:sz w:val="20"/>
        </w:rPr>
        <w:t> </w:t>
      </w:r>
      <w:r>
        <w:rPr>
          <w:sz w:val="20"/>
        </w:rPr>
        <w:t>seller.</w:t>
      </w:r>
    </w:p>
    <w:p>
      <w:pPr>
        <w:pStyle w:val="BodyText"/>
        <w:rPr>
          <w:sz w:val="23"/>
        </w:rPr>
      </w:pPr>
    </w:p>
    <w:p>
      <w:pPr>
        <w:pStyle w:val="Heading8"/>
      </w:pPr>
      <w:bookmarkStart w:name="Purchaser" w:id="128"/>
      <w:bookmarkEnd w:id="128"/>
      <w:r>
        <w:rPr>
          <w:b w:val="0"/>
        </w:rPr>
      </w:r>
      <w:r>
        <w:rPr/>
        <w:t>Purchaser</w:t>
      </w:r>
    </w:p>
    <w:p>
      <w:pPr>
        <w:pStyle w:val="BodyText"/>
        <w:spacing w:before="9"/>
        <w:rPr>
          <w:b/>
          <w:sz w:val="18"/>
        </w:rPr>
      </w:pPr>
    </w:p>
    <w:p>
      <w:pPr>
        <w:pStyle w:val="ListParagraph"/>
        <w:numPr>
          <w:ilvl w:val="0"/>
          <w:numId w:val="13"/>
        </w:numPr>
        <w:tabs>
          <w:tab w:pos="1444" w:val="left" w:leader="none"/>
        </w:tabs>
        <w:spacing w:line="271" w:lineRule="auto" w:before="0" w:after="0"/>
        <w:ind w:left="723" w:right="491" w:firstLine="0"/>
        <w:jc w:val="both"/>
        <w:rPr>
          <w:sz w:val="20"/>
        </w:rPr>
      </w:pPr>
      <w:r>
        <w:rPr>
          <w:sz w:val="20"/>
        </w:rPr>
        <w:t>The sourcing rule with respect to the purchaser is the jurisdiction of the ordinary residence of the purchaser.</w:t>
      </w:r>
    </w:p>
    <w:p>
      <w:pPr>
        <w:pStyle w:val="ListParagraph"/>
        <w:numPr>
          <w:ilvl w:val="0"/>
          <w:numId w:val="13"/>
        </w:numPr>
        <w:tabs>
          <w:tab w:pos="1443" w:val="left" w:leader="none"/>
          <w:tab w:pos="1444" w:val="left" w:leader="none"/>
        </w:tabs>
        <w:spacing w:line="240" w:lineRule="auto" w:before="121"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40"/>
        </w:numPr>
        <w:tabs>
          <w:tab w:pos="2085" w:val="left" w:leader="none"/>
        </w:tabs>
        <w:spacing w:line="240" w:lineRule="auto" w:before="142" w:after="0"/>
        <w:ind w:left="2084" w:right="0" w:hanging="342"/>
        <w:jc w:val="left"/>
        <w:rPr>
          <w:sz w:val="20"/>
        </w:rPr>
      </w:pPr>
      <w:r>
        <w:rPr>
          <w:sz w:val="20"/>
        </w:rPr>
        <w:t>The</w:t>
      </w:r>
      <w:r>
        <w:rPr>
          <w:spacing w:val="-7"/>
          <w:sz w:val="20"/>
        </w:rPr>
        <w:t> </w:t>
      </w:r>
      <w:r>
        <w:rPr>
          <w:sz w:val="20"/>
        </w:rPr>
        <w:t>jurisdiction</w:t>
      </w:r>
      <w:r>
        <w:rPr>
          <w:spacing w:val="-2"/>
          <w:sz w:val="20"/>
        </w:rPr>
        <w:t> </w:t>
      </w:r>
      <w:r>
        <w:rPr>
          <w:sz w:val="20"/>
        </w:rPr>
        <w:t>of</w:t>
      </w:r>
      <w:r>
        <w:rPr>
          <w:spacing w:val="-3"/>
          <w:sz w:val="20"/>
        </w:rPr>
        <w:t> </w:t>
      </w:r>
      <w:r>
        <w:rPr>
          <w:sz w:val="20"/>
        </w:rPr>
        <w:t>the</w:t>
      </w:r>
      <w:r>
        <w:rPr>
          <w:spacing w:val="-3"/>
          <w:sz w:val="20"/>
        </w:rPr>
        <w:t> </w:t>
      </w:r>
      <w:r>
        <w:rPr>
          <w:sz w:val="20"/>
        </w:rPr>
        <w:t>delivery</w:t>
      </w:r>
      <w:r>
        <w:rPr>
          <w:spacing w:val="-8"/>
          <w:sz w:val="20"/>
        </w:rPr>
        <w:t> </w:t>
      </w:r>
      <w:r>
        <w:rPr>
          <w:sz w:val="20"/>
        </w:rPr>
        <w:t>address</w:t>
      </w:r>
      <w:r>
        <w:rPr>
          <w:spacing w:val="-4"/>
          <w:sz w:val="20"/>
        </w:rPr>
        <w:t> </w:t>
      </w:r>
      <w:r>
        <w:rPr>
          <w:sz w:val="20"/>
        </w:rPr>
        <w:t>of</w:t>
      </w:r>
      <w:r>
        <w:rPr>
          <w:spacing w:val="-2"/>
          <w:sz w:val="20"/>
        </w:rPr>
        <w:t> </w:t>
      </w:r>
      <w:r>
        <w:rPr>
          <w:sz w:val="20"/>
        </w:rPr>
        <w:t>the</w:t>
      </w:r>
      <w:r>
        <w:rPr>
          <w:spacing w:val="-3"/>
          <w:sz w:val="20"/>
        </w:rPr>
        <w:t> </w:t>
      </w:r>
      <w:r>
        <w:rPr>
          <w:sz w:val="20"/>
        </w:rPr>
        <w:t>purchaser;</w:t>
      </w:r>
      <w:r>
        <w:rPr>
          <w:spacing w:val="-5"/>
          <w:sz w:val="20"/>
        </w:rPr>
        <w:t> </w:t>
      </w:r>
      <w:r>
        <w:rPr>
          <w:sz w:val="20"/>
        </w:rPr>
        <w:t>or</w:t>
      </w:r>
      <w:r>
        <w:rPr>
          <w:spacing w:val="-4"/>
          <w:sz w:val="20"/>
        </w:rPr>
        <w:t> </w:t>
      </w:r>
      <w:r>
        <w:rPr>
          <w:sz w:val="20"/>
        </w:rPr>
        <w:t>if</w:t>
      </w:r>
      <w:r>
        <w:rPr>
          <w:spacing w:val="-4"/>
          <w:sz w:val="20"/>
        </w:rPr>
        <w:t> </w:t>
      </w:r>
      <w:r>
        <w:rPr>
          <w:sz w:val="20"/>
        </w:rPr>
        <w:t>unavailable</w:t>
      </w:r>
      <w:r>
        <w:rPr>
          <w:spacing w:val="-3"/>
          <w:sz w:val="20"/>
        </w:rPr>
        <w:t> </w:t>
      </w:r>
      <w:r>
        <w:rPr>
          <w:sz w:val="20"/>
        </w:rPr>
        <w:t>or</w:t>
      </w:r>
      <w:r>
        <w:rPr>
          <w:spacing w:val="-5"/>
          <w:sz w:val="20"/>
        </w:rPr>
        <w:t> </w:t>
      </w:r>
      <w:r>
        <w:rPr>
          <w:sz w:val="20"/>
        </w:rPr>
        <w:t>unreliable</w:t>
      </w:r>
    </w:p>
    <w:p>
      <w:pPr>
        <w:pStyle w:val="ListParagraph"/>
        <w:numPr>
          <w:ilvl w:val="0"/>
          <w:numId w:val="40"/>
        </w:numPr>
        <w:tabs>
          <w:tab w:pos="2085" w:val="left" w:leader="none"/>
        </w:tabs>
        <w:spacing w:line="240" w:lineRule="auto" w:before="90" w:after="0"/>
        <w:ind w:left="2084" w:right="0" w:hanging="342"/>
        <w:jc w:val="left"/>
        <w:rPr>
          <w:sz w:val="20"/>
        </w:rPr>
      </w:pPr>
      <w:r>
        <w:rPr>
          <w:sz w:val="20"/>
        </w:rPr>
        <w:t>The</w:t>
      </w:r>
      <w:r>
        <w:rPr>
          <w:spacing w:val="-6"/>
          <w:sz w:val="20"/>
        </w:rPr>
        <w:t> </w:t>
      </w:r>
      <w:r>
        <w:rPr>
          <w:sz w:val="20"/>
        </w:rPr>
        <w:t>jurisdiction</w:t>
      </w:r>
      <w:r>
        <w:rPr>
          <w:spacing w:val="-2"/>
          <w:sz w:val="20"/>
        </w:rPr>
        <w:t> </w:t>
      </w:r>
      <w:r>
        <w:rPr>
          <w:sz w:val="20"/>
        </w:rPr>
        <w:t>of</w:t>
      </w:r>
      <w:r>
        <w:rPr>
          <w:spacing w:val="-3"/>
          <w:sz w:val="20"/>
        </w:rPr>
        <w:t> </w:t>
      </w:r>
      <w:r>
        <w:rPr>
          <w:sz w:val="20"/>
        </w:rPr>
        <w:t>the</w:t>
      </w:r>
      <w:r>
        <w:rPr>
          <w:spacing w:val="-2"/>
          <w:sz w:val="20"/>
        </w:rPr>
        <w:t> </w:t>
      </w:r>
      <w:r>
        <w:rPr>
          <w:sz w:val="20"/>
        </w:rPr>
        <w:t>billing</w:t>
      </w:r>
      <w:r>
        <w:rPr>
          <w:spacing w:val="-5"/>
          <w:sz w:val="20"/>
        </w:rPr>
        <w:t> </w:t>
      </w:r>
      <w:r>
        <w:rPr>
          <w:sz w:val="20"/>
        </w:rPr>
        <w:t>address</w:t>
      </w:r>
      <w:r>
        <w:rPr>
          <w:spacing w:val="-3"/>
          <w:sz w:val="20"/>
        </w:rPr>
        <w:t> </w:t>
      </w:r>
      <w:r>
        <w:rPr>
          <w:sz w:val="20"/>
        </w:rPr>
        <w:t>of</w:t>
      </w:r>
      <w:r>
        <w:rPr>
          <w:spacing w:val="-2"/>
          <w:sz w:val="20"/>
        </w:rPr>
        <w:t> </w:t>
      </w:r>
      <w:r>
        <w:rPr>
          <w:sz w:val="20"/>
        </w:rPr>
        <w:t>the</w:t>
      </w:r>
      <w:r>
        <w:rPr>
          <w:spacing w:val="-5"/>
          <w:sz w:val="20"/>
        </w:rPr>
        <w:t> </w:t>
      </w:r>
      <w:r>
        <w:rPr>
          <w:sz w:val="20"/>
        </w:rPr>
        <w:t>purchaser;</w:t>
      </w:r>
      <w:r>
        <w:rPr>
          <w:sz w:val="20"/>
          <w:vertAlign w:val="superscript"/>
        </w:rPr>
        <w:t>47</w:t>
      </w:r>
      <w:r>
        <w:rPr>
          <w:spacing w:val="-4"/>
          <w:sz w:val="20"/>
          <w:vertAlign w:val="baseline"/>
        </w:rPr>
        <w:t> </w:t>
      </w:r>
      <w:r>
        <w:rPr>
          <w:sz w:val="20"/>
          <w:vertAlign w:val="baseline"/>
        </w:rPr>
        <w:t>or</w:t>
      </w:r>
      <w:r>
        <w:rPr>
          <w:spacing w:val="-5"/>
          <w:sz w:val="20"/>
          <w:vertAlign w:val="baseline"/>
        </w:rPr>
        <w:t> </w:t>
      </w:r>
      <w:r>
        <w:rPr>
          <w:sz w:val="20"/>
          <w:vertAlign w:val="baseline"/>
        </w:rPr>
        <w:t>if</w:t>
      </w:r>
      <w:r>
        <w:rPr>
          <w:spacing w:val="-2"/>
          <w:sz w:val="20"/>
          <w:vertAlign w:val="baseline"/>
        </w:rPr>
        <w:t> </w:t>
      </w:r>
      <w:r>
        <w:rPr>
          <w:sz w:val="20"/>
          <w:vertAlign w:val="baseline"/>
        </w:rPr>
        <w:t>unavailable</w:t>
      </w:r>
      <w:r>
        <w:rPr>
          <w:spacing w:val="-4"/>
          <w:sz w:val="20"/>
          <w:vertAlign w:val="baseline"/>
        </w:rPr>
        <w:t> </w:t>
      </w:r>
      <w:r>
        <w:rPr>
          <w:sz w:val="20"/>
          <w:vertAlign w:val="baseline"/>
        </w:rPr>
        <w:t>or</w:t>
      </w:r>
      <w:r>
        <w:rPr>
          <w:spacing w:val="-2"/>
          <w:sz w:val="20"/>
          <w:vertAlign w:val="baseline"/>
        </w:rPr>
        <w:t> </w:t>
      </w:r>
      <w:r>
        <w:rPr>
          <w:sz w:val="20"/>
          <w:vertAlign w:val="baseline"/>
        </w:rPr>
        <w:t>unreliable</w:t>
      </w:r>
    </w:p>
    <w:p>
      <w:pPr>
        <w:pStyle w:val="ListParagraph"/>
        <w:numPr>
          <w:ilvl w:val="0"/>
          <w:numId w:val="40"/>
        </w:numPr>
        <w:tabs>
          <w:tab w:pos="2085" w:val="left" w:leader="none"/>
        </w:tabs>
        <w:spacing w:line="271" w:lineRule="auto" w:before="92" w:after="0"/>
        <w:ind w:left="2084" w:right="489" w:hanging="341"/>
        <w:jc w:val="left"/>
        <w:rPr>
          <w:sz w:val="20"/>
        </w:rPr>
      </w:pPr>
      <w:r>
        <w:rPr>
          <w:sz w:val="20"/>
        </w:rPr>
        <w:t>The jurisdiction of the ordinary residence of the purchaser based on user profile information:</w:t>
      </w:r>
    </w:p>
    <w:p>
      <w:pPr>
        <w:pStyle w:val="ListParagraph"/>
        <w:numPr>
          <w:ilvl w:val="1"/>
          <w:numId w:val="40"/>
        </w:numPr>
        <w:tabs>
          <w:tab w:pos="2763" w:val="left" w:leader="none"/>
          <w:tab w:pos="2764" w:val="left" w:leader="none"/>
        </w:tabs>
        <w:spacing w:line="240" w:lineRule="auto" w:before="58"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13"/>
          <w:sz w:val="20"/>
        </w:rPr>
        <w:t> </w:t>
      </w:r>
      <w:r>
        <w:rPr>
          <w:sz w:val="20"/>
        </w:rPr>
        <w:t>data</w:t>
      </w:r>
      <w:r>
        <w:rPr>
          <w:spacing w:val="-13"/>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3"/>
          <w:sz w:val="20"/>
        </w:rPr>
        <w:t> </w:t>
      </w:r>
      <w:r>
        <w:rPr>
          <w:sz w:val="20"/>
        </w:rPr>
        <w:t>address</w:t>
      </w:r>
    </w:p>
    <w:p>
      <w:pPr>
        <w:pStyle w:val="BodyText"/>
        <w:spacing w:before="32"/>
        <w:ind w:left="2763"/>
      </w:pPr>
      <w:r>
        <w:rPr/>
        <w:t>of the purchaser’s device; or if unavailable or unreliable</w:t>
      </w:r>
    </w:p>
    <w:p>
      <w:pPr>
        <w:pStyle w:val="ListParagraph"/>
        <w:numPr>
          <w:ilvl w:val="1"/>
          <w:numId w:val="40"/>
        </w:numPr>
        <w:tabs>
          <w:tab w:pos="2763" w:val="left" w:leader="none"/>
          <w:tab w:pos="2764" w:val="left" w:leader="none"/>
        </w:tabs>
        <w:spacing w:line="240" w:lineRule="auto" w:before="89" w:after="0"/>
        <w:ind w:left="2763" w:right="0" w:hanging="371"/>
        <w:jc w:val="left"/>
        <w:rPr>
          <w:sz w:val="20"/>
        </w:rPr>
      </w:pPr>
      <w:r>
        <w:rPr>
          <w:sz w:val="20"/>
        </w:rPr>
        <w:t>Billing address of the user; or if unavailable or</w:t>
      </w:r>
      <w:r>
        <w:rPr>
          <w:spacing w:val="-3"/>
          <w:sz w:val="20"/>
        </w:rPr>
        <w:t> </w:t>
      </w:r>
      <w:r>
        <w:rPr>
          <w:sz w:val="20"/>
        </w:rPr>
        <w:t>unreliable</w:t>
      </w:r>
    </w:p>
    <w:p>
      <w:pPr>
        <w:pStyle w:val="ListParagraph"/>
        <w:numPr>
          <w:ilvl w:val="1"/>
          <w:numId w:val="40"/>
        </w:numPr>
        <w:tabs>
          <w:tab w:pos="2763" w:val="left" w:leader="none"/>
          <w:tab w:pos="2764" w:val="left" w:leader="none"/>
        </w:tabs>
        <w:spacing w:line="273" w:lineRule="auto" w:before="89" w:after="0"/>
        <w:ind w:left="2763" w:right="484" w:hanging="416"/>
        <w:jc w:val="left"/>
        <w:rPr>
          <w:sz w:val="20"/>
        </w:rPr>
      </w:pPr>
      <w:r>
        <w:rPr>
          <w:sz w:val="20"/>
        </w:rPr>
        <w:t>Mobile country code of the phone number of the purchaser; or if unavailable or unreliable</w:t>
      </w:r>
    </w:p>
    <w:p>
      <w:pPr>
        <w:pStyle w:val="ListParagraph"/>
        <w:numPr>
          <w:ilvl w:val="1"/>
          <w:numId w:val="40"/>
        </w:numPr>
        <w:tabs>
          <w:tab w:pos="2763" w:val="left" w:leader="none"/>
          <w:tab w:pos="2764" w:val="left" w:leader="none"/>
        </w:tabs>
        <w:spacing w:line="240" w:lineRule="auto" w:before="57" w:after="0"/>
        <w:ind w:left="2763" w:right="0" w:hanging="428"/>
        <w:jc w:val="left"/>
        <w:rPr>
          <w:sz w:val="20"/>
        </w:rPr>
      </w:pPr>
      <w:r>
        <w:rPr>
          <w:sz w:val="20"/>
        </w:rPr>
        <w:t>Information on residence inputted by the purchaser; or if unavailable or</w:t>
      </w:r>
      <w:r>
        <w:rPr>
          <w:spacing w:val="-31"/>
          <w:sz w:val="20"/>
        </w:rPr>
        <w:t> </w:t>
      </w:r>
      <w:r>
        <w:rPr>
          <w:sz w:val="20"/>
        </w:rPr>
        <w:t>unreliable</w:t>
      </w:r>
    </w:p>
    <w:p>
      <w:pPr>
        <w:pStyle w:val="ListParagraph"/>
        <w:numPr>
          <w:ilvl w:val="1"/>
          <w:numId w:val="40"/>
        </w:numPr>
        <w:tabs>
          <w:tab w:pos="2763" w:val="left" w:leader="none"/>
          <w:tab w:pos="2764" w:val="left" w:leader="none"/>
        </w:tabs>
        <w:spacing w:line="273" w:lineRule="auto" w:before="89" w:after="0"/>
        <w:ind w:left="2763" w:right="488" w:hanging="382"/>
        <w:jc w:val="left"/>
        <w:rPr>
          <w:sz w:val="20"/>
        </w:rPr>
      </w:pPr>
      <w:r>
        <w:rPr>
          <w:sz w:val="20"/>
        </w:rPr>
        <w:t>Other available information that can be used to determine the jurisdiction of the ordinary residence of the purchaser; or if unavailable or</w:t>
      </w:r>
      <w:r>
        <w:rPr>
          <w:spacing w:val="-15"/>
          <w:sz w:val="20"/>
        </w:rPr>
        <w:t> </w:t>
      </w:r>
      <w:r>
        <w:rPr>
          <w:sz w:val="20"/>
        </w:rPr>
        <w:t>unreliable</w:t>
      </w:r>
    </w:p>
    <w:p>
      <w:pPr>
        <w:pStyle w:val="ListParagraph"/>
        <w:numPr>
          <w:ilvl w:val="0"/>
          <w:numId w:val="40"/>
        </w:numPr>
        <w:tabs>
          <w:tab w:pos="2085" w:val="left" w:leader="none"/>
        </w:tabs>
        <w:spacing w:line="271" w:lineRule="auto" w:before="56" w:after="0"/>
        <w:ind w:left="2084" w:right="483" w:hanging="341"/>
        <w:jc w:val="left"/>
        <w:rPr>
          <w:sz w:val="20"/>
        </w:rPr>
      </w:pPr>
      <w:r>
        <w:rPr>
          <w:sz w:val="20"/>
        </w:rPr>
        <w:t>The jurisdiction of the geolocation of the device of the purchaser; or if unavailable or unreliable</w:t>
      </w:r>
    </w:p>
    <w:p>
      <w:pPr>
        <w:pStyle w:val="ListParagraph"/>
        <w:numPr>
          <w:ilvl w:val="0"/>
          <w:numId w:val="40"/>
        </w:numPr>
        <w:tabs>
          <w:tab w:pos="2085" w:val="left" w:leader="none"/>
        </w:tabs>
        <w:spacing w:line="240" w:lineRule="auto" w:before="62" w:after="0"/>
        <w:ind w:left="2084" w:right="0" w:hanging="342"/>
        <w:jc w:val="left"/>
        <w:rPr>
          <w:sz w:val="20"/>
        </w:rPr>
      </w:pPr>
      <w:r>
        <w:rPr>
          <w:sz w:val="20"/>
        </w:rPr>
        <w:t>The jurisdiction of the IP address of the device of the</w:t>
      </w:r>
      <w:r>
        <w:rPr>
          <w:spacing w:val="-5"/>
          <w:sz w:val="20"/>
        </w:rPr>
        <w:t> </w:t>
      </w:r>
      <w:r>
        <w:rPr>
          <w:sz w:val="20"/>
        </w:rPr>
        <w:t>purchaser.</w:t>
      </w:r>
    </w:p>
    <w:p>
      <w:pPr>
        <w:pStyle w:val="BodyText"/>
        <w:spacing w:before="5"/>
        <w:rPr>
          <w:sz w:val="23"/>
        </w:rPr>
      </w:pPr>
    </w:p>
    <w:p>
      <w:pPr>
        <w:pStyle w:val="Heading8"/>
      </w:pPr>
      <w:bookmarkStart w:name="Seller" w:id="129"/>
      <w:bookmarkEnd w:id="129"/>
      <w:r>
        <w:rPr>
          <w:b w:val="0"/>
        </w:rPr>
      </w:r>
      <w:r>
        <w:rPr/>
        <w:t>Seller</w:t>
      </w:r>
    </w:p>
    <w:p>
      <w:pPr>
        <w:pStyle w:val="BodyText"/>
        <w:spacing w:before="9"/>
        <w:rPr>
          <w:b/>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w:t>
      </w:r>
      <w:r>
        <w:rPr>
          <w:spacing w:val="-11"/>
          <w:sz w:val="20"/>
        </w:rPr>
        <w:t> </w:t>
      </w:r>
      <w:r>
        <w:rPr>
          <w:sz w:val="20"/>
        </w:rPr>
        <w:t>sourcing</w:t>
      </w:r>
      <w:r>
        <w:rPr>
          <w:spacing w:val="-11"/>
          <w:sz w:val="20"/>
        </w:rPr>
        <w:t> </w:t>
      </w:r>
      <w:r>
        <w:rPr>
          <w:sz w:val="20"/>
        </w:rPr>
        <w:t>rule</w:t>
      </w:r>
      <w:r>
        <w:rPr>
          <w:spacing w:val="-6"/>
          <w:sz w:val="20"/>
        </w:rPr>
        <w:t> </w:t>
      </w:r>
      <w:r>
        <w:rPr>
          <w:sz w:val="20"/>
        </w:rPr>
        <w:t>with</w:t>
      </w:r>
      <w:r>
        <w:rPr>
          <w:spacing w:val="-11"/>
          <w:sz w:val="20"/>
        </w:rPr>
        <w:t> </w:t>
      </w:r>
      <w:r>
        <w:rPr>
          <w:sz w:val="20"/>
        </w:rPr>
        <w:t>respect</w:t>
      </w:r>
      <w:r>
        <w:rPr>
          <w:spacing w:val="-10"/>
          <w:sz w:val="20"/>
        </w:rPr>
        <w:t> </w:t>
      </w:r>
      <w:r>
        <w:rPr>
          <w:sz w:val="20"/>
        </w:rPr>
        <w:t>to</w:t>
      </w:r>
      <w:r>
        <w:rPr>
          <w:spacing w:val="-11"/>
          <w:sz w:val="20"/>
        </w:rPr>
        <w:t> </w:t>
      </w:r>
      <w:r>
        <w:rPr>
          <w:sz w:val="20"/>
        </w:rPr>
        <w:t>the</w:t>
      </w:r>
      <w:r>
        <w:rPr>
          <w:spacing w:val="-8"/>
          <w:sz w:val="20"/>
        </w:rPr>
        <w:t> </w:t>
      </w:r>
      <w:r>
        <w:rPr>
          <w:sz w:val="20"/>
        </w:rPr>
        <w:t>seller</w:t>
      </w:r>
      <w:r>
        <w:rPr>
          <w:spacing w:val="-7"/>
          <w:sz w:val="20"/>
        </w:rPr>
        <w:t> </w:t>
      </w:r>
      <w:r>
        <w:rPr>
          <w:sz w:val="20"/>
        </w:rPr>
        <w:t>is</w:t>
      </w:r>
      <w:r>
        <w:rPr>
          <w:spacing w:val="-9"/>
          <w:sz w:val="20"/>
        </w:rPr>
        <w:t> </w:t>
      </w:r>
      <w:r>
        <w:rPr>
          <w:sz w:val="20"/>
        </w:rPr>
        <w:t>the</w:t>
      </w:r>
      <w:r>
        <w:rPr>
          <w:spacing w:val="-9"/>
          <w:sz w:val="20"/>
        </w:rPr>
        <w:t> </w:t>
      </w:r>
      <w:r>
        <w:rPr>
          <w:sz w:val="20"/>
        </w:rPr>
        <w:t>jurisdiction</w:t>
      </w:r>
      <w:r>
        <w:rPr>
          <w:spacing w:val="-8"/>
          <w:sz w:val="20"/>
        </w:rPr>
        <w:t> </w:t>
      </w:r>
      <w:r>
        <w:rPr>
          <w:sz w:val="20"/>
        </w:rPr>
        <w:t>of</w:t>
      </w:r>
      <w:r>
        <w:rPr>
          <w:spacing w:val="-8"/>
          <w:sz w:val="20"/>
        </w:rPr>
        <w:t> </w:t>
      </w:r>
      <w:r>
        <w:rPr>
          <w:sz w:val="20"/>
        </w:rPr>
        <w:t>the</w:t>
      </w:r>
      <w:r>
        <w:rPr>
          <w:spacing w:val="-8"/>
          <w:sz w:val="20"/>
        </w:rPr>
        <w:t> </w:t>
      </w:r>
      <w:r>
        <w:rPr>
          <w:sz w:val="20"/>
        </w:rPr>
        <w:t>ordinary</w:t>
      </w:r>
      <w:r>
        <w:rPr>
          <w:spacing w:val="-5"/>
          <w:sz w:val="20"/>
        </w:rPr>
        <w:t> </w:t>
      </w:r>
      <w:r>
        <w:rPr>
          <w:sz w:val="20"/>
        </w:rPr>
        <w:t>residence</w:t>
      </w:r>
      <w:r>
        <w:rPr>
          <w:spacing w:val="-11"/>
          <w:sz w:val="20"/>
        </w:rPr>
        <w:t> </w:t>
      </w:r>
      <w:r>
        <w:rPr>
          <w:sz w:val="20"/>
        </w:rPr>
        <w:t>of</w:t>
      </w:r>
      <w:r>
        <w:rPr>
          <w:spacing w:val="-8"/>
          <w:sz w:val="20"/>
        </w:rPr>
        <w:t> </w:t>
      </w:r>
      <w:r>
        <w:rPr>
          <w:sz w:val="20"/>
        </w:rPr>
        <w:t>the</w:t>
      </w:r>
      <w:r>
        <w:rPr>
          <w:spacing w:val="-10"/>
          <w:sz w:val="20"/>
        </w:rPr>
        <w:t> </w:t>
      </w:r>
      <w:r>
        <w:rPr>
          <w:sz w:val="20"/>
        </w:rPr>
        <w:t>seller.</w:t>
      </w:r>
    </w:p>
    <w:p>
      <w:pPr>
        <w:pStyle w:val="BodyText"/>
        <w:spacing w:before="9"/>
        <w:rPr>
          <w:sz w:val="22"/>
        </w:rPr>
      </w:pPr>
      <w:r>
        <w:rPr/>
        <w:pict>
          <v:rect style="position:absolute;margin-left:65.183998pt;margin-top:15.06539pt;width:144.020004pt;height:.60004pt;mso-position-horizontal-relative:page;mso-position-vertical-relative:paragraph;z-index:-1567948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6" w:val="left" w:leader="none"/>
        </w:tabs>
        <w:spacing w:line="278" w:lineRule="auto" w:before="94" w:after="0"/>
        <w:ind w:left="723" w:right="482" w:firstLine="0"/>
        <w:jc w:val="left"/>
        <w:rPr>
          <w:sz w:val="18"/>
        </w:rPr>
      </w:pPr>
      <w:r>
        <w:rPr>
          <w:sz w:val="18"/>
        </w:rPr>
        <w:t>See</w:t>
      </w:r>
      <w:r>
        <w:rPr>
          <w:spacing w:val="-4"/>
          <w:sz w:val="18"/>
        </w:rPr>
        <w:t> </w:t>
      </w:r>
      <w:r>
        <w:rPr>
          <w:sz w:val="18"/>
        </w:rPr>
        <w:t>Commentary</w:t>
      </w:r>
      <w:r>
        <w:rPr>
          <w:spacing w:val="-8"/>
          <w:sz w:val="18"/>
        </w:rPr>
        <w:t> </w:t>
      </w:r>
      <w:r>
        <w:rPr>
          <w:sz w:val="18"/>
        </w:rPr>
        <w:t>in</w:t>
      </w:r>
      <w:r>
        <w:rPr>
          <w:spacing w:val="-6"/>
          <w:sz w:val="18"/>
        </w:rPr>
        <w:t> </w:t>
      </w:r>
      <w:r>
        <w:rPr>
          <w:sz w:val="18"/>
        </w:rPr>
        <w:t>sectio</w:t>
      </w:r>
      <w:hyperlink w:history="true" w:anchor="_bookmark22">
        <w:r>
          <w:rPr>
            <w:sz w:val="18"/>
          </w:rPr>
          <w:t>n</w:t>
        </w:r>
        <w:r>
          <w:rPr>
            <w:spacing w:val="-2"/>
            <w:sz w:val="18"/>
          </w:rPr>
          <w:t> </w:t>
        </w:r>
        <w:r>
          <w:rPr>
            <w:sz w:val="18"/>
          </w:rPr>
          <w:t>4.3</w:t>
        </w:r>
        <w:r>
          <w:rPr>
            <w:spacing w:val="-3"/>
            <w:sz w:val="18"/>
          </w:rPr>
          <w:t> </w:t>
        </w:r>
      </w:hyperlink>
      <w:r>
        <w:rPr>
          <w:sz w:val="18"/>
        </w:rPr>
        <w:t>below,</w:t>
      </w:r>
      <w:r>
        <w:rPr>
          <w:spacing w:val="-3"/>
          <w:sz w:val="18"/>
        </w:rPr>
        <w:t> </w:t>
      </w:r>
      <w:r>
        <w:rPr>
          <w:sz w:val="18"/>
        </w:rPr>
        <w:t>and</w:t>
      </w:r>
      <w:r>
        <w:rPr>
          <w:spacing w:val="-4"/>
          <w:sz w:val="18"/>
        </w:rPr>
        <w:t> </w:t>
      </w:r>
      <w:r>
        <w:rPr>
          <w:sz w:val="18"/>
        </w:rPr>
        <w:t>the</w:t>
      </w:r>
      <w:r>
        <w:rPr>
          <w:spacing w:val="-6"/>
          <w:sz w:val="18"/>
        </w:rPr>
        <w:t> </w:t>
      </w:r>
      <w:r>
        <w:rPr>
          <w:sz w:val="18"/>
        </w:rPr>
        <w:t>discussion</w:t>
      </w:r>
      <w:r>
        <w:rPr>
          <w:spacing w:val="-6"/>
          <w:sz w:val="18"/>
        </w:rPr>
        <w:t> </w:t>
      </w:r>
      <w:r>
        <w:rPr>
          <w:sz w:val="18"/>
        </w:rPr>
        <w:t>on</w:t>
      </w:r>
      <w:r>
        <w:rPr>
          <w:spacing w:val="-5"/>
          <w:sz w:val="18"/>
        </w:rPr>
        <w:t> </w:t>
      </w:r>
      <w:r>
        <w:rPr>
          <w:sz w:val="18"/>
        </w:rPr>
        <w:t>user</w:t>
      </w:r>
      <w:r>
        <w:rPr>
          <w:spacing w:val="-7"/>
          <w:sz w:val="18"/>
        </w:rPr>
        <w:t> </w:t>
      </w:r>
      <w:r>
        <w:rPr>
          <w:sz w:val="18"/>
        </w:rPr>
        <w:t>profile</w:t>
      </w:r>
      <w:r>
        <w:rPr>
          <w:spacing w:val="-6"/>
          <w:sz w:val="18"/>
        </w:rPr>
        <w:t> </w:t>
      </w:r>
      <w:r>
        <w:rPr>
          <w:sz w:val="18"/>
        </w:rPr>
        <w:t>and</w:t>
      </w:r>
      <w:r>
        <w:rPr>
          <w:spacing w:val="-4"/>
          <w:sz w:val="18"/>
        </w:rPr>
        <w:t> </w:t>
      </w:r>
      <w:r>
        <w:rPr>
          <w:sz w:val="18"/>
        </w:rPr>
        <w:t>billing</w:t>
      </w:r>
      <w:r>
        <w:rPr>
          <w:spacing w:val="-6"/>
          <w:sz w:val="18"/>
        </w:rPr>
        <w:t> </w:t>
      </w:r>
      <w:r>
        <w:rPr>
          <w:sz w:val="18"/>
        </w:rPr>
        <w:t>address,</w:t>
      </w:r>
      <w:r>
        <w:rPr>
          <w:spacing w:val="-3"/>
          <w:sz w:val="18"/>
        </w:rPr>
        <w:t> </w:t>
      </w:r>
      <w:r>
        <w:rPr>
          <w:sz w:val="18"/>
        </w:rPr>
        <w:t>for</w:t>
      </w:r>
      <w:r>
        <w:rPr>
          <w:spacing w:val="-7"/>
          <w:sz w:val="18"/>
        </w:rPr>
        <w:t> </w:t>
      </w:r>
      <w:r>
        <w:rPr>
          <w:sz w:val="18"/>
        </w:rPr>
        <w:t>explanation</w:t>
      </w:r>
      <w:r>
        <w:rPr>
          <w:spacing w:val="-6"/>
          <w:sz w:val="18"/>
        </w:rPr>
        <w:t> </w:t>
      </w:r>
      <w:r>
        <w:rPr>
          <w:sz w:val="18"/>
        </w:rPr>
        <w:t>of</w:t>
      </w:r>
      <w:r>
        <w:rPr>
          <w:spacing w:val="-4"/>
          <w:sz w:val="18"/>
        </w:rPr>
        <w:t> </w:t>
      </w:r>
      <w:r>
        <w:rPr>
          <w:sz w:val="18"/>
        </w:rPr>
        <w:t>the difference</w:t>
      </w:r>
      <w:r>
        <w:rPr>
          <w:spacing w:val="-2"/>
          <w:sz w:val="18"/>
        </w:rPr>
        <w:t> </w:t>
      </w:r>
      <w:r>
        <w:rPr>
          <w:sz w:val="18"/>
        </w:rPr>
        <w:t>between</w:t>
      </w:r>
      <w:r>
        <w:rPr>
          <w:spacing w:val="-4"/>
          <w:sz w:val="18"/>
        </w:rPr>
        <w:t> </w:t>
      </w:r>
      <w:r>
        <w:rPr>
          <w:sz w:val="18"/>
        </w:rPr>
        <w:t>billing</w:t>
      </w:r>
      <w:r>
        <w:rPr>
          <w:spacing w:val="-2"/>
          <w:sz w:val="18"/>
        </w:rPr>
        <w:t> </w:t>
      </w:r>
      <w:r>
        <w:rPr>
          <w:sz w:val="18"/>
        </w:rPr>
        <w:t>address</w:t>
      </w:r>
      <w:r>
        <w:rPr>
          <w:spacing w:val="-3"/>
          <w:sz w:val="18"/>
        </w:rPr>
        <w:t> </w:t>
      </w:r>
      <w:r>
        <w:rPr>
          <w:sz w:val="18"/>
        </w:rPr>
        <w:t>as</w:t>
      </w:r>
      <w:r>
        <w:rPr>
          <w:spacing w:val="-3"/>
          <w:sz w:val="18"/>
        </w:rPr>
        <w:t> </w:t>
      </w:r>
      <w:r>
        <w:rPr>
          <w:sz w:val="18"/>
        </w:rPr>
        <w:t>a</w:t>
      </w:r>
      <w:r>
        <w:rPr>
          <w:spacing w:val="-2"/>
          <w:sz w:val="18"/>
        </w:rPr>
        <w:t> </w:t>
      </w:r>
      <w:r>
        <w:rPr>
          <w:sz w:val="18"/>
        </w:rPr>
        <w:t>standalone</w:t>
      </w:r>
      <w:r>
        <w:rPr>
          <w:spacing w:val="-2"/>
          <w:sz w:val="18"/>
        </w:rPr>
        <w:t> </w:t>
      </w:r>
      <w:r>
        <w:rPr>
          <w:sz w:val="18"/>
        </w:rPr>
        <w:t>indicator</w:t>
      </w:r>
      <w:r>
        <w:rPr>
          <w:spacing w:val="-7"/>
          <w:sz w:val="18"/>
        </w:rPr>
        <w:t> </w:t>
      </w:r>
      <w:r>
        <w:rPr>
          <w:sz w:val="18"/>
        </w:rPr>
        <w:t>and</w:t>
      </w:r>
      <w:r>
        <w:rPr>
          <w:spacing w:val="-2"/>
          <w:sz w:val="18"/>
        </w:rPr>
        <w:t> </w:t>
      </w:r>
      <w:r>
        <w:rPr>
          <w:sz w:val="18"/>
        </w:rPr>
        <w:t>billing</w:t>
      </w:r>
      <w:r>
        <w:rPr>
          <w:spacing w:val="-4"/>
          <w:sz w:val="18"/>
        </w:rPr>
        <w:t> </w:t>
      </w:r>
      <w:r>
        <w:rPr>
          <w:sz w:val="18"/>
        </w:rPr>
        <w:t>address</w:t>
      </w:r>
      <w:r>
        <w:rPr>
          <w:spacing w:val="-1"/>
          <w:sz w:val="18"/>
        </w:rPr>
        <w:t> </w:t>
      </w:r>
      <w:r>
        <w:rPr>
          <w:sz w:val="18"/>
        </w:rPr>
        <w:t>as</w:t>
      </w:r>
      <w:r>
        <w:rPr>
          <w:spacing w:val="-4"/>
          <w:sz w:val="18"/>
        </w:rPr>
        <w:t> </w:t>
      </w:r>
      <w:r>
        <w:rPr>
          <w:sz w:val="18"/>
        </w:rPr>
        <w:t>part</w:t>
      </w:r>
      <w:r>
        <w:rPr>
          <w:spacing w:val="-4"/>
          <w:sz w:val="18"/>
        </w:rPr>
        <w:t> </w:t>
      </w:r>
      <w:r>
        <w:rPr>
          <w:sz w:val="18"/>
        </w:rPr>
        <w:t>of</w:t>
      </w:r>
      <w:r>
        <w:rPr>
          <w:spacing w:val="-1"/>
          <w:sz w:val="18"/>
        </w:rPr>
        <w:t> </w:t>
      </w:r>
      <w:r>
        <w:rPr>
          <w:sz w:val="18"/>
        </w:rPr>
        <w:t>user</w:t>
      </w:r>
      <w:r>
        <w:rPr>
          <w:spacing w:val="-2"/>
          <w:sz w:val="18"/>
        </w:rPr>
        <w:t> </w:t>
      </w:r>
      <w:r>
        <w:rPr>
          <w:sz w:val="18"/>
        </w:rPr>
        <w:t>profile</w:t>
      </w:r>
      <w:r>
        <w:rPr>
          <w:spacing w:val="-2"/>
          <w:sz w:val="18"/>
        </w:rPr>
        <w:t> </w:t>
      </w:r>
      <w:r>
        <w:rPr>
          <w:sz w:val="18"/>
        </w:rPr>
        <w:t>information.</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3" w:val="left" w:leader="none"/>
          <w:tab w:pos="1444" w:val="left" w:leader="none"/>
        </w:tabs>
        <w:spacing w:line="240" w:lineRule="auto" w:before="93" w:after="0"/>
        <w:ind w:left="1443" w:right="0" w:hanging="721"/>
        <w:jc w:val="left"/>
        <w:rPr>
          <w:sz w:val="20"/>
        </w:rPr>
      </w:pPr>
      <w:r>
        <w:rPr>
          <w:sz w:val="20"/>
        </w:rPr>
        <w:t>The relevant indicators</w:t>
      </w:r>
      <w:r>
        <w:rPr>
          <w:spacing w:val="-2"/>
          <w:sz w:val="20"/>
        </w:rPr>
        <w:t> </w:t>
      </w:r>
      <w:r>
        <w:rPr>
          <w:sz w:val="20"/>
        </w:rPr>
        <w:t>are:</w:t>
      </w:r>
    </w:p>
    <w:p>
      <w:pPr>
        <w:pStyle w:val="ListParagraph"/>
        <w:numPr>
          <w:ilvl w:val="0"/>
          <w:numId w:val="41"/>
        </w:numPr>
        <w:tabs>
          <w:tab w:pos="2085" w:val="left" w:leader="none"/>
        </w:tabs>
        <w:spacing w:line="271" w:lineRule="auto" w:before="142" w:after="0"/>
        <w:ind w:left="2084" w:right="485" w:hanging="341"/>
        <w:jc w:val="both"/>
        <w:rPr>
          <w:sz w:val="20"/>
        </w:rPr>
      </w:pPr>
      <w:r>
        <w:rPr>
          <w:sz w:val="20"/>
        </w:rPr>
        <w:t>The jurisdiction of the principal place of business of the seller (or in case the seller is a natural person, the jurisdiction of the residential address of the seller); or if unavailable or unreliable</w:t>
      </w:r>
    </w:p>
    <w:p>
      <w:pPr>
        <w:pStyle w:val="ListParagraph"/>
        <w:numPr>
          <w:ilvl w:val="0"/>
          <w:numId w:val="41"/>
        </w:numPr>
        <w:tabs>
          <w:tab w:pos="2085" w:val="left" w:leader="none"/>
        </w:tabs>
        <w:spacing w:line="240" w:lineRule="auto" w:before="60" w:after="0"/>
        <w:ind w:left="2084" w:right="0" w:hanging="342"/>
        <w:jc w:val="both"/>
        <w:rPr>
          <w:sz w:val="20"/>
        </w:rPr>
      </w:pPr>
      <w:r>
        <w:rPr>
          <w:sz w:val="20"/>
        </w:rPr>
        <w:t>The jurisdiction of the ordinary residence of the seller based on user profile</w:t>
      </w:r>
      <w:r>
        <w:rPr>
          <w:spacing w:val="-30"/>
          <w:sz w:val="20"/>
        </w:rPr>
        <w:t> </w:t>
      </w:r>
      <w:r>
        <w:rPr>
          <w:sz w:val="20"/>
        </w:rPr>
        <w:t>information:</w:t>
      </w:r>
    </w:p>
    <w:p>
      <w:pPr>
        <w:pStyle w:val="ListParagraph"/>
        <w:numPr>
          <w:ilvl w:val="1"/>
          <w:numId w:val="41"/>
        </w:numPr>
        <w:tabs>
          <w:tab w:pos="2764" w:val="left" w:leader="none"/>
        </w:tabs>
        <w:spacing w:line="240" w:lineRule="auto" w:before="90" w:after="0"/>
        <w:ind w:left="2763" w:right="0" w:hanging="327"/>
        <w:jc w:val="both"/>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13"/>
          <w:sz w:val="20"/>
        </w:rPr>
        <w:t> </w:t>
      </w:r>
      <w:r>
        <w:rPr>
          <w:sz w:val="20"/>
        </w:rPr>
        <w:t>data</w:t>
      </w:r>
      <w:r>
        <w:rPr>
          <w:spacing w:val="-14"/>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3"/>
          <w:sz w:val="20"/>
        </w:rPr>
        <w:t> </w:t>
      </w:r>
      <w:r>
        <w:rPr>
          <w:sz w:val="20"/>
        </w:rPr>
        <w:t>address</w:t>
      </w:r>
    </w:p>
    <w:p>
      <w:pPr>
        <w:pStyle w:val="BodyText"/>
        <w:spacing w:before="31"/>
        <w:ind w:left="2763"/>
        <w:jc w:val="both"/>
      </w:pPr>
      <w:r>
        <w:rPr/>
        <w:t>of the seller’s device; or if unavailable or unreliable</w:t>
      </w:r>
    </w:p>
    <w:p>
      <w:pPr>
        <w:pStyle w:val="ListParagraph"/>
        <w:numPr>
          <w:ilvl w:val="1"/>
          <w:numId w:val="41"/>
        </w:numPr>
        <w:tabs>
          <w:tab w:pos="2763" w:val="left" w:leader="none"/>
          <w:tab w:pos="2764" w:val="left" w:leader="none"/>
        </w:tabs>
        <w:spacing w:line="240" w:lineRule="auto" w:before="89" w:after="0"/>
        <w:ind w:left="2763" w:right="0" w:hanging="371"/>
        <w:jc w:val="left"/>
        <w:rPr>
          <w:sz w:val="20"/>
        </w:rPr>
      </w:pPr>
      <w:r>
        <w:rPr>
          <w:sz w:val="20"/>
        </w:rPr>
        <w:t>Billing address of the seller; or if unavailable or</w:t>
      </w:r>
      <w:r>
        <w:rPr>
          <w:spacing w:val="-2"/>
          <w:sz w:val="20"/>
        </w:rPr>
        <w:t> </w:t>
      </w:r>
      <w:r>
        <w:rPr>
          <w:sz w:val="20"/>
        </w:rPr>
        <w:t>unreliable</w:t>
      </w:r>
    </w:p>
    <w:p>
      <w:pPr>
        <w:pStyle w:val="ListParagraph"/>
        <w:numPr>
          <w:ilvl w:val="1"/>
          <w:numId w:val="41"/>
        </w:numPr>
        <w:tabs>
          <w:tab w:pos="2763" w:val="left" w:leader="none"/>
          <w:tab w:pos="2764" w:val="left" w:leader="none"/>
        </w:tabs>
        <w:spacing w:line="240" w:lineRule="auto" w:before="90" w:after="0"/>
        <w:ind w:left="2763" w:right="0" w:hanging="416"/>
        <w:jc w:val="left"/>
        <w:rPr>
          <w:sz w:val="20"/>
        </w:rPr>
      </w:pPr>
      <w:r>
        <w:rPr>
          <w:sz w:val="20"/>
        </w:rPr>
        <w:t>Mobile</w:t>
      </w:r>
      <w:r>
        <w:rPr>
          <w:spacing w:val="-18"/>
          <w:sz w:val="20"/>
        </w:rPr>
        <w:t> </w:t>
      </w:r>
      <w:r>
        <w:rPr>
          <w:sz w:val="20"/>
        </w:rPr>
        <w:t>country</w:t>
      </w:r>
      <w:r>
        <w:rPr>
          <w:spacing w:val="-20"/>
          <w:sz w:val="20"/>
        </w:rPr>
        <w:t> </w:t>
      </w:r>
      <w:r>
        <w:rPr>
          <w:sz w:val="20"/>
        </w:rPr>
        <w:t>code</w:t>
      </w:r>
      <w:r>
        <w:rPr>
          <w:spacing w:val="-15"/>
          <w:sz w:val="20"/>
        </w:rPr>
        <w:t> </w:t>
      </w:r>
      <w:r>
        <w:rPr>
          <w:sz w:val="20"/>
        </w:rPr>
        <w:t>of</w:t>
      </w:r>
      <w:r>
        <w:rPr>
          <w:spacing w:val="-16"/>
          <w:sz w:val="20"/>
        </w:rPr>
        <w:t> </w:t>
      </w:r>
      <w:r>
        <w:rPr>
          <w:sz w:val="20"/>
        </w:rPr>
        <w:t>the</w:t>
      </w:r>
      <w:r>
        <w:rPr>
          <w:spacing w:val="-17"/>
          <w:sz w:val="20"/>
        </w:rPr>
        <w:t> </w:t>
      </w:r>
      <w:r>
        <w:rPr>
          <w:sz w:val="20"/>
        </w:rPr>
        <w:t>phone</w:t>
      </w:r>
      <w:r>
        <w:rPr>
          <w:spacing w:val="-16"/>
          <w:sz w:val="20"/>
        </w:rPr>
        <w:t> </w:t>
      </w:r>
      <w:r>
        <w:rPr>
          <w:sz w:val="20"/>
        </w:rPr>
        <w:t>number</w:t>
      </w:r>
      <w:r>
        <w:rPr>
          <w:spacing w:val="-16"/>
          <w:sz w:val="20"/>
        </w:rPr>
        <w:t> </w:t>
      </w:r>
      <w:r>
        <w:rPr>
          <w:sz w:val="20"/>
        </w:rPr>
        <w:t>of</w:t>
      </w:r>
      <w:r>
        <w:rPr>
          <w:spacing w:val="-16"/>
          <w:sz w:val="20"/>
        </w:rPr>
        <w:t> </w:t>
      </w:r>
      <w:r>
        <w:rPr>
          <w:sz w:val="20"/>
        </w:rPr>
        <w:t>the</w:t>
      </w:r>
      <w:r>
        <w:rPr>
          <w:spacing w:val="-18"/>
          <w:sz w:val="20"/>
        </w:rPr>
        <w:t> </w:t>
      </w:r>
      <w:r>
        <w:rPr>
          <w:sz w:val="20"/>
        </w:rPr>
        <w:t>seller;</w:t>
      </w:r>
      <w:r>
        <w:rPr>
          <w:spacing w:val="-14"/>
          <w:sz w:val="20"/>
        </w:rPr>
        <w:t> </w:t>
      </w:r>
      <w:r>
        <w:rPr>
          <w:sz w:val="20"/>
        </w:rPr>
        <w:t>or</w:t>
      </w:r>
      <w:r>
        <w:rPr>
          <w:spacing w:val="-17"/>
          <w:sz w:val="20"/>
        </w:rPr>
        <w:t> </w:t>
      </w:r>
      <w:r>
        <w:rPr>
          <w:sz w:val="20"/>
        </w:rPr>
        <w:t>if</w:t>
      </w:r>
      <w:r>
        <w:rPr>
          <w:spacing w:val="-15"/>
          <w:sz w:val="20"/>
        </w:rPr>
        <w:t> </w:t>
      </w:r>
      <w:r>
        <w:rPr>
          <w:sz w:val="20"/>
        </w:rPr>
        <w:t>unavailable</w:t>
      </w:r>
      <w:r>
        <w:rPr>
          <w:spacing w:val="-14"/>
          <w:sz w:val="20"/>
        </w:rPr>
        <w:t> </w:t>
      </w:r>
      <w:r>
        <w:rPr>
          <w:sz w:val="20"/>
        </w:rPr>
        <w:t>or</w:t>
      </w:r>
      <w:r>
        <w:rPr>
          <w:spacing w:val="-17"/>
          <w:sz w:val="20"/>
        </w:rPr>
        <w:t> </w:t>
      </w:r>
      <w:r>
        <w:rPr>
          <w:sz w:val="20"/>
        </w:rPr>
        <w:t>unreliable</w:t>
      </w:r>
    </w:p>
    <w:p>
      <w:pPr>
        <w:pStyle w:val="ListParagraph"/>
        <w:numPr>
          <w:ilvl w:val="1"/>
          <w:numId w:val="41"/>
        </w:numPr>
        <w:tabs>
          <w:tab w:pos="2763" w:val="left" w:leader="none"/>
          <w:tab w:pos="2764" w:val="left" w:leader="none"/>
        </w:tabs>
        <w:spacing w:line="240" w:lineRule="auto" w:before="91" w:after="0"/>
        <w:ind w:left="2763" w:right="0" w:hanging="428"/>
        <w:jc w:val="left"/>
        <w:rPr>
          <w:sz w:val="20"/>
        </w:rPr>
      </w:pPr>
      <w:r>
        <w:rPr>
          <w:sz w:val="20"/>
        </w:rPr>
        <w:t>Information on residence inputted by the seller; or if unavailable or</w:t>
      </w:r>
      <w:r>
        <w:rPr>
          <w:spacing w:val="-22"/>
          <w:sz w:val="20"/>
        </w:rPr>
        <w:t> </w:t>
      </w:r>
      <w:r>
        <w:rPr>
          <w:sz w:val="20"/>
        </w:rPr>
        <w:t>unreliable</w:t>
      </w:r>
    </w:p>
    <w:p>
      <w:pPr>
        <w:pStyle w:val="ListParagraph"/>
        <w:numPr>
          <w:ilvl w:val="1"/>
          <w:numId w:val="41"/>
        </w:numPr>
        <w:tabs>
          <w:tab w:pos="2763" w:val="left" w:leader="none"/>
          <w:tab w:pos="2764" w:val="left" w:leader="none"/>
        </w:tabs>
        <w:spacing w:line="271" w:lineRule="auto" w:before="90" w:after="0"/>
        <w:ind w:left="2763" w:right="483" w:hanging="382"/>
        <w:jc w:val="left"/>
        <w:rPr>
          <w:sz w:val="20"/>
        </w:rPr>
      </w:pPr>
      <w:r>
        <w:rPr>
          <w:sz w:val="20"/>
        </w:rPr>
        <w:t>Other available information that can be used to determine the jurisdiction of the ordinary residence of the</w:t>
      </w:r>
      <w:r>
        <w:rPr>
          <w:spacing w:val="-6"/>
          <w:sz w:val="20"/>
        </w:rPr>
        <w:t> </w:t>
      </w:r>
      <w:r>
        <w:rPr>
          <w:sz w:val="20"/>
        </w:rPr>
        <w:t>seller.</w:t>
      </w:r>
    </w:p>
    <w:p>
      <w:pPr>
        <w:pStyle w:val="BodyText"/>
        <w:spacing w:before="9"/>
      </w:pPr>
    </w:p>
    <w:p>
      <w:pPr>
        <w:pStyle w:val="Heading7"/>
        <w:rPr>
          <w:i/>
        </w:rPr>
      </w:pPr>
      <w:bookmarkStart w:name="Intermediation of tangible services" w:id="130"/>
      <w:bookmarkEnd w:id="130"/>
      <w:r>
        <w:rPr>
          <w:i w:val="0"/>
        </w:rPr>
      </w:r>
      <w:r>
        <w:rPr>
          <w:i/>
          <w:color w:val="616161"/>
        </w:rPr>
        <w:t>Intermediation of tangible services</w:t>
      </w:r>
    </w:p>
    <w:p>
      <w:pPr>
        <w:pStyle w:val="ListParagraph"/>
        <w:numPr>
          <w:ilvl w:val="0"/>
          <w:numId w:val="13"/>
        </w:numPr>
        <w:tabs>
          <w:tab w:pos="1443" w:val="left" w:leader="none"/>
          <w:tab w:pos="1444" w:val="left" w:leader="none"/>
        </w:tabs>
        <w:spacing w:line="240" w:lineRule="auto" w:before="215" w:after="0"/>
        <w:ind w:left="1443" w:right="0" w:hanging="721"/>
        <w:jc w:val="left"/>
        <w:rPr>
          <w:sz w:val="20"/>
        </w:rPr>
      </w:pPr>
      <w:r>
        <w:rPr>
          <w:sz w:val="20"/>
        </w:rPr>
        <w:t>The revenue is sourced based on a 50:50 split between the purchaser and the</w:t>
      </w:r>
      <w:r>
        <w:rPr>
          <w:spacing w:val="-18"/>
          <w:sz w:val="20"/>
        </w:rPr>
        <w:t> </w:t>
      </w:r>
      <w:r>
        <w:rPr>
          <w:sz w:val="20"/>
        </w:rPr>
        <w:t>seller.</w:t>
      </w:r>
      <w:r>
        <w:rPr>
          <w:position w:val="6"/>
          <w:sz w:val="13"/>
        </w:rPr>
        <w:t>48</w:t>
      </w:r>
    </w:p>
    <w:p>
      <w:pPr>
        <w:pStyle w:val="BodyText"/>
        <w:rPr>
          <w:sz w:val="23"/>
        </w:rPr>
      </w:pPr>
    </w:p>
    <w:p>
      <w:pPr>
        <w:pStyle w:val="Heading8"/>
      </w:pPr>
      <w:bookmarkStart w:name="Purchaser" w:id="131"/>
      <w:bookmarkEnd w:id="131"/>
      <w:r>
        <w:rPr>
          <w:b w:val="0"/>
        </w:rPr>
      </w:r>
      <w:r>
        <w:rPr/>
        <w:t>Purchaser</w:t>
      </w:r>
    </w:p>
    <w:p>
      <w:pPr>
        <w:pStyle w:val="BodyText"/>
        <w:spacing w:before="9"/>
        <w:rPr>
          <w:b/>
          <w:sz w:val="18"/>
        </w:rPr>
      </w:pPr>
    </w:p>
    <w:p>
      <w:pPr>
        <w:pStyle w:val="ListParagraph"/>
        <w:numPr>
          <w:ilvl w:val="0"/>
          <w:numId w:val="13"/>
        </w:numPr>
        <w:tabs>
          <w:tab w:pos="1443" w:val="left" w:leader="none"/>
          <w:tab w:pos="1444" w:val="left" w:leader="none"/>
        </w:tabs>
        <w:spacing w:line="271" w:lineRule="auto" w:before="0" w:after="0"/>
        <w:ind w:left="723" w:right="486" w:firstLine="0"/>
        <w:jc w:val="left"/>
        <w:rPr>
          <w:sz w:val="20"/>
        </w:rPr>
      </w:pPr>
      <w:r>
        <w:rPr>
          <w:sz w:val="20"/>
        </w:rPr>
        <w:t>The sourcing rule with respect to the purchaser is the jurisdiction of the location of the purchaser at the time of</w:t>
      </w:r>
      <w:r>
        <w:rPr>
          <w:spacing w:val="-4"/>
          <w:sz w:val="20"/>
        </w:rPr>
        <w:t> </w:t>
      </w:r>
      <w:r>
        <w:rPr>
          <w:sz w:val="20"/>
        </w:rPr>
        <w:t>purchase.</w:t>
      </w:r>
    </w:p>
    <w:p>
      <w:pPr>
        <w:pStyle w:val="ListParagraph"/>
        <w:numPr>
          <w:ilvl w:val="0"/>
          <w:numId w:val="13"/>
        </w:numPr>
        <w:tabs>
          <w:tab w:pos="1443" w:val="left" w:leader="none"/>
          <w:tab w:pos="1444" w:val="left" w:leader="none"/>
        </w:tabs>
        <w:spacing w:line="240" w:lineRule="auto" w:before="121"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42"/>
        </w:numPr>
        <w:tabs>
          <w:tab w:pos="2085" w:val="left" w:leader="none"/>
        </w:tabs>
        <w:spacing w:line="271" w:lineRule="auto" w:before="142" w:after="0"/>
        <w:ind w:left="2084" w:right="483" w:hanging="341"/>
        <w:jc w:val="left"/>
        <w:rPr>
          <w:sz w:val="20"/>
        </w:rPr>
      </w:pPr>
      <w:r>
        <w:rPr>
          <w:sz w:val="20"/>
        </w:rPr>
        <w:t>The jurisdiction of the geolocation of the device of the purchaser; or if unavailable or unreliable</w:t>
      </w:r>
    </w:p>
    <w:p>
      <w:pPr>
        <w:pStyle w:val="ListParagraph"/>
        <w:numPr>
          <w:ilvl w:val="0"/>
          <w:numId w:val="42"/>
        </w:numPr>
        <w:tabs>
          <w:tab w:pos="2085" w:val="left" w:leader="none"/>
        </w:tabs>
        <w:spacing w:line="240" w:lineRule="auto" w:before="61" w:after="0"/>
        <w:ind w:left="2084" w:right="0" w:hanging="342"/>
        <w:jc w:val="left"/>
        <w:rPr>
          <w:sz w:val="20"/>
        </w:rPr>
      </w:pPr>
      <w:r>
        <w:rPr>
          <w:sz w:val="20"/>
        </w:rPr>
        <w:t>The jurisdiction of the delivery address of the purchaser; or if unavailable or</w:t>
      </w:r>
      <w:r>
        <w:rPr>
          <w:spacing w:val="-23"/>
          <w:sz w:val="20"/>
        </w:rPr>
        <w:t> </w:t>
      </w:r>
      <w:r>
        <w:rPr>
          <w:sz w:val="20"/>
        </w:rPr>
        <w:t>unreliable</w:t>
      </w:r>
    </w:p>
    <w:p>
      <w:pPr>
        <w:pStyle w:val="ListParagraph"/>
        <w:numPr>
          <w:ilvl w:val="0"/>
          <w:numId w:val="42"/>
        </w:numPr>
        <w:tabs>
          <w:tab w:pos="2085" w:val="left" w:leader="none"/>
        </w:tabs>
        <w:spacing w:line="271" w:lineRule="auto" w:before="90" w:after="0"/>
        <w:ind w:left="2084" w:right="493" w:hanging="341"/>
        <w:jc w:val="left"/>
        <w:rPr>
          <w:sz w:val="20"/>
        </w:rPr>
      </w:pPr>
      <w:r>
        <w:rPr>
          <w:sz w:val="20"/>
        </w:rPr>
        <w:t>The jurisdiction of the IP address of the device of the purchaser; or if unavailable or unreliable</w:t>
      </w:r>
    </w:p>
    <w:p>
      <w:pPr>
        <w:pStyle w:val="ListParagraph"/>
        <w:numPr>
          <w:ilvl w:val="0"/>
          <w:numId w:val="42"/>
        </w:numPr>
        <w:tabs>
          <w:tab w:pos="2085" w:val="left" w:leader="none"/>
        </w:tabs>
        <w:spacing w:line="271" w:lineRule="auto" w:before="61" w:after="0"/>
        <w:ind w:left="2084" w:right="484" w:hanging="341"/>
        <w:jc w:val="left"/>
        <w:rPr>
          <w:sz w:val="20"/>
        </w:rPr>
      </w:pPr>
      <w:r>
        <w:rPr>
          <w:sz w:val="20"/>
        </w:rPr>
        <w:t>The jurisdiction of the ordinary residence of the purchaser based on user profile information:</w:t>
      </w:r>
    </w:p>
    <w:p>
      <w:pPr>
        <w:pStyle w:val="ListParagraph"/>
        <w:numPr>
          <w:ilvl w:val="1"/>
          <w:numId w:val="42"/>
        </w:numPr>
        <w:tabs>
          <w:tab w:pos="2763" w:val="left" w:leader="none"/>
          <w:tab w:pos="2764" w:val="left" w:leader="none"/>
        </w:tabs>
        <w:spacing w:line="240" w:lineRule="auto" w:before="59"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0"/>
          <w:sz w:val="20"/>
        </w:rPr>
        <w:t> </w:t>
      </w:r>
      <w:r>
        <w:rPr>
          <w:sz w:val="20"/>
        </w:rPr>
        <w:t>obtained</w:t>
      </w:r>
      <w:r>
        <w:rPr>
          <w:spacing w:val="-13"/>
          <w:sz w:val="20"/>
        </w:rPr>
        <w:t> </w:t>
      </w:r>
      <w:r>
        <w:rPr>
          <w:sz w:val="20"/>
        </w:rPr>
        <w:t>from</w:t>
      </w:r>
      <w:r>
        <w:rPr>
          <w:spacing w:val="-10"/>
          <w:sz w:val="20"/>
        </w:rPr>
        <w:t> </w:t>
      </w:r>
      <w:r>
        <w:rPr>
          <w:sz w:val="20"/>
        </w:rPr>
        <w:t>recurring</w:t>
      </w:r>
      <w:r>
        <w:rPr>
          <w:spacing w:val="-12"/>
          <w:sz w:val="20"/>
        </w:rPr>
        <w:t> </w:t>
      </w:r>
      <w:r>
        <w:rPr>
          <w:sz w:val="20"/>
        </w:rPr>
        <w:t>data</w:t>
      </w:r>
      <w:r>
        <w:rPr>
          <w:spacing w:val="-13"/>
          <w:sz w:val="20"/>
        </w:rPr>
        <w:t> </w:t>
      </w:r>
      <w:r>
        <w:rPr>
          <w:sz w:val="20"/>
        </w:rPr>
        <w:t>on</w:t>
      </w:r>
      <w:r>
        <w:rPr>
          <w:spacing w:val="-13"/>
          <w:sz w:val="20"/>
        </w:rPr>
        <w:t> </w:t>
      </w:r>
      <w:r>
        <w:rPr>
          <w:sz w:val="20"/>
        </w:rPr>
        <w:t>geolocation</w:t>
      </w:r>
      <w:r>
        <w:rPr>
          <w:spacing w:val="-11"/>
          <w:sz w:val="20"/>
        </w:rPr>
        <w:t> </w:t>
      </w:r>
      <w:r>
        <w:rPr>
          <w:sz w:val="20"/>
        </w:rPr>
        <w:t>or</w:t>
      </w:r>
      <w:r>
        <w:rPr>
          <w:spacing w:val="-13"/>
          <w:sz w:val="20"/>
        </w:rPr>
        <w:t> </w:t>
      </w:r>
      <w:r>
        <w:rPr>
          <w:sz w:val="20"/>
        </w:rPr>
        <w:t>IP</w:t>
      </w:r>
      <w:r>
        <w:rPr>
          <w:spacing w:val="-13"/>
          <w:sz w:val="20"/>
        </w:rPr>
        <w:t> </w:t>
      </w:r>
      <w:r>
        <w:rPr>
          <w:sz w:val="20"/>
        </w:rPr>
        <w:t>address</w:t>
      </w:r>
    </w:p>
    <w:p>
      <w:pPr>
        <w:pStyle w:val="BodyText"/>
        <w:spacing w:before="31"/>
        <w:ind w:left="2763"/>
      </w:pPr>
      <w:r>
        <w:rPr/>
        <w:t>of the purchaser’s device; or if unavailable or unreliable</w:t>
      </w:r>
    </w:p>
    <w:p>
      <w:pPr>
        <w:pStyle w:val="ListParagraph"/>
        <w:numPr>
          <w:ilvl w:val="1"/>
          <w:numId w:val="42"/>
        </w:numPr>
        <w:tabs>
          <w:tab w:pos="2763" w:val="left" w:leader="none"/>
          <w:tab w:pos="2764" w:val="left" w:leader="none"/>
        </w:tabs>
        <w:spacing w:line="240" w:lineRule="auto" w:before="89" w:after="0"/>
        <w:ind w:left="2763" w:right="0" w:hanging="371"/>
        <w:jc w:val="left"/>
        <w:rPr>
          <w:sz w:val="20"/>
        </w:rPr>
      </w:pPr>
      <w:r>
        <w:rPr>
          <w:sz w:val="20"/>
        </w:rPr>
        <w:t>Billing address of the purchaser; or if unavailable or</w:t>
      </w:r>
      <w:r>
        <w:rPr>
          <w:spacing w:val="-5"/>
          <w:sz w:val="20"/>
        </w:rPr>
        <w:t> </w:t>
      </w:r>
      <w:r>
        <w:rPr>
          <w:sz w:val="20"/>
        </w:rPr>
        <w:t>unreliable</w:t>
      </w:r>
    </w:p>
    <w:p>
      <w:pPr>
        <w:pStyle w:val="ListParagraph"/>
        <w:numPr>
          <w:ilvl w:val="1"/>
          <w:numId w:val="42"/>
        </w:numPr>
        <w:tabs>
          <w:tab w:pos="2763" w:val="left" w:leader="none"/>
          <w:tab w:pos="2764" w:val="left" w:leader="none"/>
        </w:tabs>
        <w:spacing w:line="273" w:lineRule="auto" w:before="90" w:after="0"/>
        <w:ind w:left="2763" w:right="485" w:hanging="416"/>
        <w:jc w:val="left"/>
        <w:rPr>
          <w:sz w:val="20"/>
        </w:rPr>
      </w:pPr>
      <w:r>
        <w:rPr>
          <w:sz w:val="20"/>
        </w:rPr>
        <w:t>Mobile country code of the phone number of the purchaser; or if unavailable or unreliable</w:t>
      </w:r>
    </w:p>
    <w:p>
      <w:pPr>
        <w:pStyle w:val="ListParagraph"/>
        <w:numPr>
          <w:ilvl w:val="1"/>
          <w:numId w:val="42"/>
        </w:numPr>
        <w:tabs>
          <w:tab w:pos="2763" w:val="left" w:leader="none"/>
          <w:tab w:pos="2764" w:val="left" w:leader="none"/>
        </w:tabs>
        <w:spacing w:line="240" w:lineRule="auto" w:before="56" w:after="0"/>
        <w:ind w:left="2763" w:right="0" w:hanging="428"/>
        <w:jc w:val="left"/>
        <w:rPr>
          <w:sz w:val="20"/>
        </w:rPr>
      </w:pPr>
      <w:r>
        <w:rPr>
          <w:sz w:val="20"/>
        </w:rPr>
        <w:t>Information on residence inputted by the purchaser; or if unavailable or</w:t>
      </w:r>
      <w:r>
        <w:rPr>
          <w:spacing w:val="-27"/>
          <w:sz w:val="20"/>
        </w:rPr>
        <w:t> </w:t>
      </w:r>
      <w:r>
        <w:rPr>
          <w:sz w:val="20"/>
        </w:rPr>
        <w:t>unreliable</w:t>
      </w:r>
    </w:p>
    <w:p>
      <w:pPr>
        <w:pStyle w:val="ListParagraph"/>
        <w:numPr>
          <w:ilvl w:val="1"/>
          <w:numId w:val="42"/>
        </w:numPr>
        <w:tabs>
          <w:tab w:pos="2763" w:val="left" w:leader="none"/>
          <w:tab w:pos="2764" w:val="left" w:leader="none"/>
        </w:tabs>
        <w:spacing w:line="273" w:lineRule="auto" w:before="89" w:after="0"/>
        <w:ind w:left="2763" w:right="485" w:hanging="382"/>
        <w:jc w:val="left"/>
        <w:rPr>
          <w:sz w:val="20"/>
        </w:rPr>
      </w:pPr>
      <w:r>
        <w:rPr>
          <w:sz w:val="20"/>
        </w:rPr>
        <w:t>Other available information that can be used to determine the jurisdiction of the ordinary residence of the</w:t>
      </w:r>
      <w:r>
        <w:rPr>
          <w:spacing w:val="-4"/>
          <w:sz w:val="20"/>
        </w:rPr>
        <w:t> </w:t>
      </w:r>
      <w:r>
        <w:rPr>
          <w:sz w:val="20"/>
        </w:rPr>
        <w:t>purchaser.</w:t>
      </w:r>
    </w:p>
    <w:p>
      <w:pPr>
        <w:pStyle w:val="BodyText"/>
        <w:spacing w:before="7"/>
      </w:pPr>
    </w:p>
    <w:p>
      <w:pPr>
        <w:pStyle w:val="Heading8"/>
      </w:pPr>
      <w:bookmarkStart w:name="Seller" w:id="132"/>
      <w:bookmarkEnd w:id="132"/>
      <w:r>
        <w:rPr>
          <w:b w:val="0"/>
        </w:rPr>
      </w:r>
      <w:r>
        <w:rPr/>
        <w:t>Seller</w:t>
      </w:r>
    </w:p>
    <w:p>
      <w:pPr>
        <w:pStyle w:val="BodyText"/>
        <w:spacing w:before="10"/>
        <w:rPr>
          <w:b/>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with respect to the seller is the jurisdiction where the service is</w:t>
      </w:r>
      <w:r>
        <w:rPr>
          <w:spacing w:val="-27"/>
          <w:sz w:val="20"/>
        </w:rPr>
        <w:t> </w:t>
      </w:r>
      <w:r>
        <w:rPr>
          <w:sz w:val="20"/>
        </w:rPr>
        <w:t>performed.</w:t>
      </w:r>
    </w:p>
    <w:p>
      <w:pPr>
        <w:pStyle w:val="BodyText"/>
      </w:pPr>
    </w:p>
    <w:p>
      <w:pPr>
        <w:pStyle w:val="BodyText"/>
        <w:spacing w:before="7"/>
        <w:rPr>
          <w:sz w:val="23"/>
        </w:rPr>
      </w:pPr>
      <w:r>
        <w:rPr/>
        <w:pict>
          <v:rect style="position:absolute;margin-left:65.183998pt;margin-top:15.547421pt;width:144.020004pt;height:.60004pt;mso-position-horizontal-relative:page;mso-position-vertical-relative:paragraph;z-index:-1567897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6" w:val="left" w:leader="none"/>
        </w:tabs>
        <w:spacing w:line="278" w:lineRule="auto" w:before="94" w:after="0"/>
        <w:ind w:left="723" w:right="480" w:firstLine="0"/>
        <w:jc w:val="left"/>
        <w:rPr>
          <w:sz w:val="18"/>
        </w:rPr>
      </w:pPr>
      <w:r>
        <w:rPr>
          <w:sz w:val="18"/>
        </w:rPr>
        <w:t>Consideration</w:t>
      </w:r>
      <w:r>
        <w:rPr>
          <w:spacing w:val="-6"/>
          <w:sz w:val="18"/>
        </w:rPr>
        <w:t> </w:t>
      </w:r>
      <w:r>
        <w:rPr>
          <w:sz w:val="18"/>
        </w:rPr>
        <w:t>is</w:t>
      </w:r>
      <w:r>
        <w:rPr>
          <w:spacing w:val="-6"/>
          <w:sz w:val="18"/>
        </w:rPr>
        <w:t> </w:t>
      </w:r>
      <w:r>
        <w:rPr>
          <w:sz w:val="18"/>
        </w:rPr>
        <w:t>being</w:t>
      </w:r>
      <w:r>
        <w:rPr>
          <w:spacing w:val="-4"/>
          <w:sz w:val="18"/>
        </w:rPr>
        <w:t> </w:t>
      </w:r>
      <w:r>
        <w:rPr>
          <w:sz w:val="18"/>
        </w:rPr>
        <w:t>given</w:t>
      </w:r>
      <w:r>
        <w:rPr>
          <w:spacing w:val="-4"/>
          <w:sz w:val="18"/>
        </w:rPr>
        <w:t> </w:t>
      </w:r>
      <w:r>
        <w:rPr>
          <w:sz w:val="18"/>
        </w:rPr>
        <w:t>to</w:t>
      </w:r>
      <w:r>
        <w:rPr>
          <w:spacing w:val="-3"/>
          <w:sz w:val="18"/>
        </w:rPr>
        <w:t> </w:t>
      </w:r>
      <w:r>
        <w:rPr>
          <w:sz w:val="18"/>
        </w:rPr>
        <w:t>address</w:t>
      </w:r>
      <w:r>
        <w:rPr>
          <w:spacing w:val="-3"/>
          <w:sz w:val="18"/>
        </w:rPr>
        <w:t> </w:t>
      </w:r>
      <w:r>
        <w:rPr>
          <w:sz w:val="18"/>
        </w:rPr>
        <w:t>a</w:t>
      </w:r>
      <w:r>
        <w:rPr>
          <w:spacing w:val="-4"/>
          <w:sz w:val="18"/>
        </w:rPr>
        <w:t> </w:t>
      </w:r>
      <w:r>
        <w:rPr>
          <w:sz w:val="18"/>
        </w:rPr>
        <w:t>proposal</w:t>
      </w:r>
      <w:r>
        <w:rPr>
          <w:spacing w:val="-6"/>
          <w:sz w:val="18"/>
        </w:rPr>
        <w:t> </w:t>
      </w:r>
      <w:r>
        <w:rPr>
          <w:sz w:val="18"/>
        </w:rPr>
        <w:t>raised</w:t>
      </w:r>
      <w:r>
        <w:rPr>
          <w:spacing w:val="-5"/>
          <w:sz w:val="18"/>
        </w:rPr>
        <w:t> </w:t>
      </w:r>
      <w:r>
        <w:rPr>
          <w:sz w:val="18"/>
        </w:rPr>
        <w:t>by</w:t>
      </w:r>
      <w:r>
        <w:rPr>
          <w:spacing w:val="-6"/>
          <w:sz w:val="18"/>
        </w:rPr>
        <w:t> </w:t>
      </w:r>
      <w:r>
        <w:rPr>
          <w:sz w:val="18"/>
        </w:rPr>
        <w:t>some</w:t>
      </w:r>
      <w:r>
        <w:rPr>
          <w:spacing w:val="-4"/>
          <w:sz w:val="18"/>
        </w:rPr>
        <w:t> </w:t>
      </w:r>
      <w:r>
        <w:rPr>
          <w:sz w:val="18"/>
        </w:rPr>
        <w:t>delegates</w:t>
      </w:r>
      <w:r>
        <w:rPr>
          <w:spacing w:val="-3"/>
          <w:sz w:val="18"/>
        </w:rPr>
        <w:t> </w:t>
      </w:r>
      <w:r>
        <w:rPr>
          <w:sz w:val="18"/>
        </w:rPr>
        <w:t>of</w:t>
      </w:r>
      <w:r>
        <w:rPr>
          <w:spacing w:val="-4"/>
          <w:sz w:val="18"/>
        </w:rPr>
        <w:t> </w:t>
      </w:r>
      <w:r>
        <w:rPr>
          <w:sz w:val="18"/>
        </w:rPr>
        <w:t>the</w:t>
      </w:r>
      <w:r>
        <w:rPr>
          <w:spacing w:val="-3"/>
          <w:sz w:val="18"/>
        </w:rPr>
        <w:t> </w:t>
      </w:r>
      <w:r>
        <w:rPr>
          <w:sz w:val="18"/>
        </w:rPr>
        <w:t>Inclusive</w:t>
      </w:r>
      <w:r>
        <w:rPr>
          <w:spacing w:val="-4"/>
          <w:sz w:val="18"/>
        </w:rPr>
        <w:t> </w:t>
      </w:r>
      <w:r>
        <w:rPr>
          <w:sz w:val="18"/>
        </w:rPr>
        <w:t>Framework</w:t>
      </w:r>
      <w:r>
        <w:rPr>
          <w:spacing w:val="-3"/>
          <w:sz w:val="18"/>
        </w:rPr>
        <w:t> </w:t>
      </w:r>
      <w:r>
        <w:rPr>
          <w:sz w:val="18"/>
        </w:rPr>
        <w:t>to</w:t>
      </w:r>
      <w:r>
        <w:rPr>
          <w:spacing w:val="-6"/>
          <w:sz w:val="18"/>
        </w:rPr>
        <w:t> </w:t>
      </w:r>
      <w:r>
        <w:rPr>
          <w:sz w:val="18"/>
        </w:rPr>
        <w:t>source the revenue for such intermediation wholly to the jurisdiction of performance of the</w:t>
      </w:r>
      <w:r>
        <w:rPr>
          <w:spacing w:val="-22"/>
          <w:sz w:val="18"/>
        </w:rPr>
        <w:t> </w:t>
      </w:r>
      <w:r>
        <w:rPr>
          <w:sz w:val="18"/>
        </w:rPr>
        <w:t>service.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3" w:val="left" w:leader="none"/>
          <w:tab w:pos="1444" w:val="left" w:leader="none"/>
        </w:tabs>
        <w:spacing w:line="240" w:lineRule="auto" w:before="93"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43"/>
        </w:numPr>
        <w:tabs>
          <w:tab w:pos="2085" w:val="left" w:leader="none"/>
        </w:tabs>
        <w:spacing w:line="271" w:lineRule="auto" w:before="142" w:after="0"/>
        <w:ind w:left="2084" w:right="489" w:hanging="341"/>
        <w:jc w:val="left"/>
        <w:rPr>
          <w:sz w:val="20"/>
        </w:rPr>
      </w:pPr>
      <w:r>
        <w:rPr>
          <w:sz w:val="20"/>
        </w:rPr>
        <w:t>The jurisdiction of the address / location where the service is performed; or if unavailable or</w:t>
      </w:r>
      <w:r>
        <w:rPr>
          <w:spacing w:val="-2"/>
          <w:sz w:val="20"/>
        </w:rPr>
        <w:t> </w:t>
      </w:r>
      <w:r>
        <w:rPr>
          <w:sz w:val="20"/>
        </w:rPr>
        <w:t>unreliable</w:t>
      </w:r>
    </w:p>
    <w:p>
      <w:pPr>
        <w:pStyle w:val="ListParagraph"/>
        <w:numPr>
          <w:ilvl w:val="0"/>
          <w:numId w:val="43"/>
        </w:numPr>
        <w:tabs>
          <w:tab w:pos="2085" w:val="left" w:leader="none"/>
        </w:tabs>
        <w:spacing w:line="240" w:lineRule="auto" w:before="61" w:after="0"/>
        <w:ind w:left="2084" w:right="0" w:hanging="342"/>
        <w:jc w:val="left"/>
        <w:rPr>
          <w:sz w:val="20"/>
        </w:rPr>
      </w:pPr>
      <w:r>
        <w:rPr>
          <w:sz w:val="20"/>
        </w:rPr>
        <w:t>The jurisdiction of the ordinary residence of the seller based on user profile</w:t>
      </w:r>
      <w:r>
        <w:rPr>
          <w:spacing w:val="-27"/>
          <w:sz w:val="20"/>
        </w:rPr>
        <w:t> </w:t>
      </w:r>
      <w:r>
        <w:rPr>
          <w:sz w:val="20"/>
        </w:rPr>
        <w:t>information:</w:t>
      </w:r>
    </w:p>
    <w:p>
      <w:pPr>
        <w:pStyle w:val="ListParagraph"/>
        <w:numPr>
          <w:ilvl w:val="1"/>
          <w:numId w:val="43"/>
        </w:numPr>
        <w:tabs>
          <w:tab w:pos="2763" w:val="left" w:leader="none"/>
          <w:tab w:pos="2764" w:val="left" w:leader="none"/>
        </w:tabs>
        <w:spacing w:line="240" w:lineRule="auto" w:before="89"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13"/>
          <w:sz w:val="20"/>
        </w:rPr>
        <w:t> </w:t>
      </w:r>
      <w:r>
        <w:rPr>
          <w:sz w:val="20"/>
        </w:rPr>
        <w:t>data</w:t>
      </w:r>
      <w:r>
        <w:rPr>
          <w:spacing w:val="-14"/>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3"/>
          <w:sz w:val="20"/>
        </w:rPr>
        <w:t> </w:t>
      </w:r>
      <w:r>
        <w:rPr>
          <w:sz w:val="20"/>
        </w:rPr>
        <w:t>address</w:t>
      </w:r>
    </w:p>
    <w:p>
      <w:pPr>
        <w:pStyle w:val="BodyText"/>
        <w:spacing w:before="30"/>
        <w:ind w:left="2763"/>
      </w:pPr>
      <w:r>
        <w:rPr/>
        <w:t>of the seller’s device; or if unavailable or unreliable</w:t>
      </w:r>
    </w:p>
    <w:p>
      <w:pPr>
        <w:pStyle w:val="ListParagraph"/>
        <w:numPr>
          <w:ilvl w:val="1"/>
          <w:numId w:val="43"/>
        </w:numPr>
        <w:tabs>
          <w:tab w:pos="2763" w:val="left" w:leader="none"/>
          <w:tab w:pos="2764" w:val="left" w:leader="none"/>
        </w:tabs>
        <w:spacing w:line="240" w:lineRule="auto" w:before="91" w:after="0"/>
        <w:ind w:left="2763" w:right="0" w:hanging="371"/>
        <w:jc w:val="left"/>
        <w:rPr>
          <w:sz w:val="20"/>
        </w:rPr>
      </w:pPr>
      <w:r>
        <w:rPr>
          <w:sz w:val="20"/>
        </w:rPr>
        <w:t>Billing address of the seller; or if unavailable or</w:t>
      </w:r>
      <w:r>
        <w:rPr>
          <w:spacing w:val="-4"/>
          <w:sz w:val="20"/>
        </w:rPr>
        <w:t> </w:t>
      </w:r>
      <w:r>
        <w:rPr>
          <w:sz w:val="20"/>
        </w:rPr>
        <w:t>unreliable</w:t>
      </w:r>
    </w:p>
    <w:p>
      <w:pPr>
        <w:pStyle w:val="ListParagraph"/>
        <w:numPr>
          <w:ilvl w:val="1"/>
          <w:numId w:val="43"/>
        </w:numPr>
        <w:tabs>
          <w:tab w:pos="2763" w:val="left" w:leader="none"/>
          <w:tab w:pos="2764" w:val="left" w:leader="none"/>
        </w:tabs>
        <w:spacing w:line="240" w:lineRule="auto" w:before="89" w:after="0"/>
        <w:ind w:left="2763" w:right="0" w:hanging="416"/>
        <w:jc w:val="left"/>
        <w:rPr>
          <w:sz w:val="20"/>
        </w:rPr>
      </w:pPr>
      <w:r>
        <w:rPr>
          <w:sz w:val="20"/>
        </w:rPr>
        <w:t>Mobile</w:t>
      </w:r>
      <w:r>
        <w:rPr>
          <w:spacing w:val="-18"/>
          <w:sz w:val="20"/>
        </w:rPr>
        <w:t> </w:t>
      </w:r>
      <w:r>
        <w:rPr>
          <w:sz w:val="20"/>
        </w:rPr>
        <w:t>country</w:t>
      </w:r>
      <w:r>
        <w:rPr>
          <w:spacing w:val="-20"/>
          <w:sz w:val="20"/>
        </w:rPr>
        <w:t> </w:t>
      </w:r>
      <w:r>
        <w:rPr>
          <w:sz w:val="20"/>
        </w:rPr>
        <w:t>code</w:t>
      </w:r>
      <w:r>
        <w:rPr>
          <w:spacing w:val="-15"/>
          <w:sz w:val="20"/>
        </w:rPr>
        <w:t> </w:t>
      </w:r>
      <w:r>
        <w:rPr>
          <w:sz w:val="20"/>
        </w:rPr>
        <w:t>of</w:t>
      </w:r>
      <w:r>
        <w:rPr>
          <w:spacing w:val="-16"/>
          <w:sz w:val="20"/>
        </w:rPr>
        <w:t> </w:t>
      </w:r>
      <w:r>
        <w:rPr>
          <w:sz w:val="20"/>
        </w:rPr>
        <w:t>the</w:t>
      </w:r>
      <w:r>
        <w:rPr>
          <w:spacing w:val="-17"/>
          <w:sz w:val="20"/>
        </w:rPr>
        <w:t> </w:t>
      </w:r>
      <w:r>
        <w:rPr>
          <w:sz w:val="20"/>
        </w:rPr>
        <w:t>phone</w:t>
      </w:r>
      <w:r>
        <w:rPr>
          <w:spacing w:val="-16"/>
          <w:sz w:val="20"/>
        </w:rPr>
        <w:t> </w:t>
      </w:r>
      <w:r>
        <w:rPr>
          <w:sz w:val="20"/>
        </w:rPr>
        <w:t>number</w:t>
      </w:r>
      <w:r>
        <w:rPr>
          <w:spacing w:val="-16"/>
          <w:sz w:val="20"/>
        </w:rPr>
        <w:t> </w:t>
      </w:r>
      <w:r>
        <w:rPr>
          <w:sz w:val="20"/>
        </w:rPr>
        <w:t>of</w:t>
      </w:r>
      <w:r>
        <w:rPr>
          <w:spacing w:val="-16"/>
          <w:sz w:val="20"/>
        </w:rPr>
        <w:t> </w:t>
      </w:r>
      <w:r>
        <w:rPr>
          <w:sz w:val="20"/>
        </w:rPr>
        <w:t>the</w:t>
      </w:r>
      <w:r>
        <w:rPr>
          <w:spacing w:val="-18"/>
          <w:sz w:val="20"/>
        </w:rPr>
        <w:t> </w:t>
      </w:r>
      <w:r>
        <w:rPr>
          <w:sz w:val="20"/>
        </w:rPr>
        <w:t>seller;</w:t>
      </w:r>
      <w:r>
        <w:rPr>
          <w:spacing w:val="-14"/>
          <w:sz w:val="20"/>
        </w:rPr>
        <w:t> </w:t>
      </w:r>
      <w:r>
        <w:rPr>
          <w:sz w:val="20"/>
        </w:rPr>
        <w:t>or</w:t>
      </w:r>
      <w:r>
        <w:rPr>
          <w:spacing w:val="-17"/>
          <w:sz w:val="20"/>
        </w:rPr>
        <w:t> </w:t>
      </w:r>
      <w:r>
        <w:rPr>
          <w:sz w:val="20"/>
        </w:rPr>
        <w:t>if</w:t>
      </w:r>
      <w:r>
        <w:rPr>
          <w:spacing w:val="-15"/>
          <w:sz w:val="20"/>
        </w:rPr>
        <w:t> </w:t>
      </w:r>
      <w:r>
        <w:rPr>
          <w:sz w:val="20"/>
        </w:rPr>
        <w:t>unavailable</w:t>
      </w:r>
      <w:r>
        <w:rPr>
          <w:spacing w:val="-14"/>
          <w:sz w:val="20"/>
        </w:rPr>
        <w:t> </w:t>
      </w:r>
      <w:r>
        <w:rPr>
          <w:sz w:val="20"/>
        </w:rPr>
        <w:t>or</w:t>
      </w:r>
      <w:r>
        <w:rPr>
          <w:spacing w:val="-17"/>
          <w:sz w:val="20"/>
        </w:rPr>
        <w:t> </w:t>
      </w:r>
      <w:r>
        <w:rPr>
          <w:sz w:val="20"/>
        </w:rPr>
        <w:t>unreliable</w:t>
      </w:r>
    </w:p>
    <w:p>
      <w:pPr>
        <w:pStyle w:val="ListParagraph"/>
        <w:numPr>
          <w:ilvl w:val="1"/>
          <w:numId w:val="43"/>
        </w:numPr>
        <w:tabs>
          <w:tab w:pos="2763" w:val="left" w:leader="none"/>
          <w:tab w:pos="2764" w:val="left" w:leader="none"/>
        </w:tabs>
        <w:spacing w:line="240" w:lineRule="auto" w:before="90" w:after="0"/>
        <w:ind w:left="2763" w:right="0" w:hanging="428"/>
        <w:jc w:val="left"/>
        <w:rPr>
          <w:sz w:val="20"/>
        </w:rPr>
      </w:pPr>
      <w:r>
        <w:rPr>
          <w:sz w:val="20"/>
        </w:rPr>
        <w:t>Information on residence inputted by the seller; or if unavailable or</w:t>
      </w:r>
      <w:r>
        <w:rPr>
          <w:spacing w:val="-22"/>
          <w:sz w:val="20"/>
        </w:rPr>
        <w:t> </w:t>
      </w:r>
      <w:r>
        <w:rPr>
          <w:sz w:val="20"/>
        </w:rPr>
        <w:t>unreliable</w:t>
      </w:r>
    </w:p>
    <w:p>
      <w:pPr>
        <w:pStyle w:val="ListParagraph"/>
        <w:numPr>
          <w:ilvl w:val="1"/>
          <w:numId w:val="43"/>
        </w:numPr>
        <w:tabs>
          <w:tab w:pos="2763" w:val="left" w:leader="none"/>
          <w:tab w:pos="2764" w:val="left" w:leader="none"/>
        </w:tabs>
        <w:spacing w:line="271" w:lineRule="auto" w:before="91" w:after="0"/>
        <w:ind w:left="2763" w:right="488" w:hanging="382"/>
        <w:jc w:val="left"/>
        <w:rPr>
          <w:sz w:val="20"/>
        </w:rPr>
      </w:pPr>
      <w:r>
        <w:rPr>
          <w:sz w:val="20"/>
        </w:rPr>
        <w:t>Other available information that can be used to determine the jurisdiction of the ordinary residence of the</w:t>
      </w:r>
      <w:r>
        <w:rPr>
          <w:spacing w:val="-6"/>
          <w:sz w:val="20"/>
        </w:rPr>
        <w:t> </w:t>
      </w:r>
      <w:r>
        <w:rPr>
          <w:sz w:val="20"/>
        </w:rPr>
        <w:t>seller.</w:t>
      </w:r>
    </w:p>
    <w:p>
      <w:pPr>
        <w:pStyle w:val="BodyText"/>
        <w:spacing w:before="7"/>
      </w:pPr>
    </w:p>
    <w:p>
      <w:pPr>
        <w:pStyle w:val="Heading7"/>
        <w:rPr>
          <w:i/>
        </w:rPr>
      </w:pPr>
      <w:bookmarkStart w:name="Intermediation of intangible goods / ser" w:id="133"/>
      <w:bookmarkEnd w:id="133"/>
      <w:r>
        <w:rPr>
          <w:i w:val="0"/>
        </w:rPr>
      </w:r>
      <w:r>
        <w:rPr>
          <w:i/>
          <w:color w:val="616161"/>
        </w:rPr>
        <w:t>Intermediation of intangible goods / services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revenue is sourced based on a 50:50 split between the purchaser and the</w:t>
      </w:r>
      <w:r>
        <w:rPr>
          <w:spacing w:val="-21"/>
          <w:sz w:val="20"/>
        </w:rPr>
        <w:t> </w:t>
      </w:r>
      <w:r>
        <w:rPr>
          <w:sz w:val="20"/>
        </w:rPr>
        <w:t>seller.</w:t>
      </w:r>
    </w:p>
    <w:p>
      <w:pPr>
        <w:pStyle w:val="BodyText"/>
        <w:spacing w:before="9"/>
        <w:rPr>
          <w:sz w:val="22"/>
        </w:rPr>
      </w:pPr>
    </w:p>
    <w:p>
      <w:pPr>
        <w:pStyle w:val="Heading8"/>
        <w:spacing w:before="1"/>
      </w:pPr>
      <w:bookmarkStart w:name="Purchaser" w:id="134"/>
      <w:bookmarkEnd w:id="134"/>
      <w:r>
        <w:rPr>
          <w:b w:val="0"/>
        </w:rPr>
      </w:r>
      <w:r>
        <w:rPr/>
        <w:t>Purchaser</w:t>
      </w:r>
    </w:p>
    <w:p>
      <w:pPr>
        <w:pStyle w:val="BodyText"/>
        <w:rPr>
          <w:b/>
          <w:sz w:val="19"/>
        </w:rPr>
      </w:pPr>
    </w:p>
    <w:p>
      <w:pPr>
        <w:pStyle w:val="ListParagraph"/>
        <w:numPr>
          <w:ilvl w:val="0"/>
          <w:numId w:val="13"/>
        </w:numPr>
        <w:tabs>
          <w:tab w:pos="1443" w:val="left" w:leader="none"/>
          <w:tab w:pos="1444" w:val="left" w:leader="none"/>
        </w:tabs>
        <w:spacing w:line="271" w:lineRule="auto" w:before="0" w:after="0"/>
        <w:ind w:left="723" w:right="481" w:firstLine="0"/>
        <w:jc w:val="left"/>
        <w:rPr>
          <w:sz w:val="20"/>
        </w:rPr>
      </w:pPr>
      <w:r>
        <w:rPr>
          <w:sz w:val="20"/>
        </w:rPr>
        <w:t>The sourcing rule with respect to the purchaser is the jurisdiction of the ordinary residence of the purchaser.</w:t>
      </w:r>
    </w:p>
    <w:p>
      <w:pPr>
        <w:pStyle w:val="ListParagraph"/>
        <w:numPr>
          <w:ilvl w:val="0"/>
          <w:numId w:val="13"/>
        </w:numPr>
        <w:tabs>
          <w:tab w:pos="1443" w:val="left" w:leader="none"/>
          <w:tab w:pos="1444" w:val="left" w:leader="none"/>
        </w:tabs>
        <w:spacing w:line="240" w:lineRule="auto" w:before="119"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44"/>
        </w:numPr>
        <w:tabs>
          <w:tab w:pos="2085" w:val="left" w:leader="none"/>
        </w:tabs>
        <w:spacing w:line="271" w:lineRule="auto" w:before="144" w:after="0"/>
        <w:ind w:left="2084" w:right="489" w:hanging="341"/>
        <w:jc w:val="left"/>
        <w:rPr>
          <w:sz w:val="20"/>
        </w:rPr>
      </w:pPr>
      <w:r>
        <w:rPr>
          <w:sz w:val="20"/>
        </w:rPr>
        <w:t>The jurisdiction of the ordinary residence of the purchaser based on user profile information:</w:t>
      </w:r>
    </w:p>
    <w:p>
      <w:pPr>
        <w:pStyle w:val="ListParagraph"/>
        <w:numPr>
          <w:ilvl w:val="1"/>
          <w:numId w:val="44"/>
        </w:numPr>
        <w:tabs>
          <w:tab w:pos="2763" w:val="left" w:leader="none"/>
          <w:tab w:pos="2764" w:val="left" w:leader="none"/>
        </w:tabs>
        <w:spacing w:line="240" w:lineRule="auto" w:before="59"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13"/>
          <w:sz w:val="20"/>
        </w:rPr>
        <w:t> </w:t>
      </w:r>
      <w:r>
        <w:rPr>
          <w:sz w:val="20"/>
        </w:rPr>
        <w:t>data</w:t>
      </w:r>
      <w:r>
        <w:rPr>
          <w:spacing w:val="-14"/>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3"/>
          <w:sz w:val="20"/>
        </w:rPr>
        <w:t> </w:t>
      </w:r>
      <w:r>
        <w:rPr>
          <w:sz w:val="20"/>
        </w:rPr>
        <w:t>address</w:t>
      </w:r>
    </w:p>
    <w:p>
      <w:pPr>
        <w:pStyle w:val="BodyText"/>
        <w:spacing w:before="31"/>
        <w:ind w:left="2763"/>
      </w:pPr>
      <w:r>
        <w:rPr/>
        <w:t>of the purchaser’s device; or if unavailable or unreliable</w:t>
      </w:r>
    </w:p>
    <w:p>
      <w:pPr>
        <w:pStyle w:val="ListParagraph"/>
        <w:numPr>
          <w:ilvl w:val="1"/>
          <w:numId w:val="44"/>
        </w:numPr>
        <w:tabs>
          <w:tab w:pos="2763" w:val="left" w:leader="none"/>
          <w:tab w:pos="2764" w:val="left" w:leader="none"/>
        </w:tabs>
        <w:spacing w:line="240" w:lineRule="auto" w:before="90" w:after="0"/>
        <w:ind w:left="2763" w:right="0" w:hanging="371"/>
        <w:jc w:val="left"/>
        <w:rPr>
          <w:sz w:val="20"/>
        </w:rPr>
      </w:pPr>
      <w:r>
        <w:rPr>
          <w:sz w:val="20"/>
        </w:rPr>
        <w:t>Billing address of the purchaser; or if unavailable or</w:t>
      </w:r>
      <w:r>
        <w:rPr>
          <w:spacing w:val="-8"/>
          <w:sz w:val="20"/>
        </w:rPr>
        <w:t> </w:t>
      </w:r>
      <w:r>
        <w:rPr>
          <w:sz w:val="20"/>
        </w:rPr>
        <w:t>unreliable</w:t>
      </w:r>
    </w:p>
    <w:p>
      <w:pPr>
        <w:pStyle w:val="ListParagraph"/>
        <w:numPr>
          <w:ilvl w:val="1"/>
          <w:numId w:val="44"/>
        </w:numPr>
        <w:tabs>
          <w:tab w:pos="2763" w:val="left" w:leader="none"/>
          <w:tab w:pos="2764" w:val="left" w:leader="none"/>
        </w:tabs>
        <w:spacing w:line="273" w:lineRule="auto" w:before="89" w:after="0"/>
        <w:ind w:left="2763" w:right="494" w:hanging="416"/>
        <w:jc w:val="left"/>
        <w:rPr>
          <w:sz w:val="20"/>
        </w:rPr>
      </w:pPr>
      <w:r>
        <w:rPr>
          <w:sz w:val="20"/>
        </w:rPr>
        <w:t>Mobile country code of the phone number of the purchaser; or if unavailable or unreliable</w:t>
      </w:r>
    </w:p>
    <w:p>
      <w:pPr>
        <w:pStyle w:val="ListParagraph"/>
        <w:numPr>
          <w:ilvl w:val="1"/>
          <w:numId w:val="44"/>
        </w:numPr>
        <w:tabs>
          <w:tab w:pos="2763" w:val="left" w:leader="none"/>
          <w:tab w:pos="2764" w:val="left" w:leader="none"/>
        </w:tabs>
        <w:spacing w:line="240" w:lineRule="auto" w:before="56" w:after="0"/>
        <w:ind w:left="2763" w:right="0" w:hanging="428"/>
        <w:jc w:val="left"/>
        <w:rPr>
          <w:sz w:val="20"/>
        </w:rPr>
      </w:pPr>
      <w:r>
        <w:rPr>
          <w:sz w:val="20"/>
        </w:rPr>
        <w:t>Information on residence inputted by the purchaser; or if unavailable or</w:t>
      </w:r>
      <w:r>
        <w:rPr>
          <w:spacing w:val="-28"/>
          <w:sz w:val="20"/>
        </w:rPr>
        <w:t> </w:t>
      </w:r>
      <w:r>
        <w:rPr>
          <w:sz w:val="20"/>
        </w:rPr>
        <w:t>unreliable</w:t>
      </w:r>
    </w:p>
    <w:p>
      <w:pPr>
        <w:pStyle w:val="ListParagraph"/>
        <w:numPr>
          <w:ilvl w:val="1"/>
          <w:numId w:val="44"/>
        </w:numPr>
        <w:tabs>
          <w:tab w:pos="2763" w:val="left" w:leader="none"/>
          <w:tab w:pos="2764" w:val="left" w:leader="none"/>
        </w:tabs>
        <w:spacing w:line="273" w:lineRule="auto" w:before="90" w:after="0"/>
        <w:ind w:left="2763" w:right="488" w:hanging="382"/>
        <w:jc w:val="left"/>
        <w:rPr>
          <w:sz w:val="20"/>
        </w:rPr>
      </w:pPr>
      <w:r>
        <w:rPr>
          <w:sz w:val="20"/>
        </w:rPr>
        <w:t>Other available information that can be used to determine the jurisdiction of the ordinary residence of the purchaser; or if unavailable or</w:t>
      </w:r>
      <w:r>
        <w:rPr>
          <w:spacing w:val="-15"/>
          <w:sz w:val="20"/>
        </w:rPr>
        <w:t> </w:t>
      </w:r>
      <w:r>
        <w:rPr>
          <w:sz w:val="20"/>
        </w:rPr>
        <w:t>unreliable</w:t>
      </w:r>
    </w:p>
    <w:p>
      <w:pPr>
        <w:pStyle w:val="ListParagraph"/>
        <w:numPr>
          <w:ilvl w:val="0"/>
          <w:numId w:val="44"/>
        </w:numPr>
        <w:tabs>
          <w:tab w:pos="2085" w:val="left" w:leader="none"/>
        </w:tabs>
        <w:spacing w:line="240" w:lineRule="auto" w:before="56" w:after="0"/>
        <w:ind w:left="2084" w:right="0" w:hanging="342"/>
        <w:jc w:val="left"/>
        <w:rPr>
          <w:sz w:val="20"/>
        </w:rPr>
      </w:pPr>
      <w:r>
        <w:rPr>
          <w:sz w:val="20"/>
        </w:rPr>
        <w:t>The jurisdiction of the billing address of the purchaser; or if unavailable or</w:t>
      </w:r>
      <w:r>
        <w:rPr>
          <w:spacing w:val="-16"/>
          <w:sz w:val="20"/>
        </w:rPr>
        <w:t> </w:t>
      </w:r>
      <w:r>
        <w:rPr>
          <w:sz w:val="20"/>
        </w:rPr>
        <w:t>unreliable</w:t>
      </w:r>
      <w:r>
        <w:rPr>
          <w:sz w:val="20"/>
          <w:vertAlign w:val="superscript"/>
        </w:rPr>
        <w:t>49</w:t>
      </w:r>
    </w:p>
    <w:p>
      <w:pPr>
        <w:pStyle w:val="ListParagraph"/>
        <w:numPr>
          <w:ilvl w:val="0"/>
          <w:numId w:val="44"/>
        </w:numPr>
        <w:tabs>
          <w:tab w:pos="2145" w:val="left" w:leader="none"/>
        </w:tabs>
        <w:spacing w:line="273" w:lineRule="auto" w:before="89" w:after="0"/>
        <w:ind w:left="2144" w:right="483" w:hanging="341"/>
        <w:jc w:val="left"/>
        <w:rPr>
          <w:sz w:val="20"/>
        </w:rPr>
      </w:pPr>
      <w:r>
        <w:rPr>
          <w:sz w:val="20"/>
        </w:rPr>
        <w:t>The jurisdiction of the geolocation of the device of the purchaser; or if unavailable or unreliable</w:t>
      </w:r>
    </w:p>
    <w:p>
      <w:pPr>
        <w:pStyle w:val="ListParagraph"/>
        <w:numPr>
          <w:ilvl w:val="0"/>
          <w:numId w:val="44"/>
        </w:numPr>
        <w:tabs>
          <w:tab w:pos="2145" w:val="left" w:leader="none"/>
        </w:tabs>
        <w:spacing w:line="271" w:lineRule="auto" w:before="57" w:after="0"/>
        <w:ind w:left="2144" w:right="488" w:hanging="341"/>
        <w:jc w:val="left"/>
        <w:rPr>
          <w:sz w:val="20"/>
        </w:rPr>
      </w:pPr>
      <w:r>
        <w:rPr>
          <w:sz w:val="20"/>
        </w:rPr>
        <w:t>The jurisdiction of the IP address of the device of the purchaser; or if unavailable or unreliable</w:t>
      </w:r>
    </w:p>
    <w:p>
      <w:pPr>
        <w:pStyle w:val="BodyText"/>
        <w:rPr>
          <w:sz w:val="21"/>
        </w:rPr>
      </w:pPr>
    </w:p>
    <w:p>
      <w:pPr>
        <w:pStyle w:val="Heading8"/>
      </w:pPr>
      <w:bookmarkStart w:name="Seller" w:id="135"/>
      <w:bookmarkEnd w:id="135"/>
      <w:r>
        <w:rPr>
          <w:b w:val="0"/>
        </w:rPr>
      </w:r>
      <w:r>
        <w:rPr/>
        <w:t>Seller</w:t>
      </w:r>
    </w:p>
    <w:p>
      <w:pPr>
        <w:pStyle w:val="BodyText"/>
        <w:spacing w:before="9"/>
        <w:rPr>
          <w:b/>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with respect to the seller is the ordinary jurisdiction of the</w:t>
      </w:r>
      <w:r>
        <w:rPr>
          <w:spacing w:val="-17"/>
          <w:sz w:val="20"/>
        </w:rPr>
        <w:t> </w:t>
      </w:r>
      <w:r>
        <w:rPr>
          <w:sz w:val="20"/>
        </w:rPr>
        <w:t>seller.</w:t>
      </w:r>
    </w:p>
    <w:p>
      <w:pPr>
        <w:pStyle w:val="ListParagraph"/>
        <w:numPr>
          <w:ilvl w:val="0"/>
          <w:numId w:val="13"/>
        </w:numPr>
        <w:tabs>
          <w:tab w:pos="1443" w:val="left" w:leader="none"/>
          <w:tab w:pos="1444" w:val="left" w:leader="none"/>
        </w:tabs>
        <w:spacing w:line="240" w:lineRule="auto" w:before="150" w:after="0"/>
        <w:ind w:left="1443" w:right="0" w:hanging="721"/>
        <w:jc w:val="left"/>
        <w:rPr>
          <w:sz w:val="20"/>
        </w:rPr>
      </w:pPr>
      <w:r>
        <w:rPr>
          <w:sz w:val="20"/>
        </w:rPr>
        <w:t>The relevant indicators</w:t>
      </w:r>
      <w:r>
        <w:rPr>
          <w:spacing w:val="-1"/>
          <w:sz w:val="20"/>
        </w:rPr>
        <w:t> </w:t>
      </w:r>
      <w:r>
        <w:rPr>
          <w:sz w:val="20"/>
        </w:rPr>
        <w:t>are:</w:t>
      </w:r>
    </w:p>
    <w:p>
      <w:pPr>
        <w:pStyle w:val="BodyText"/>
      </w:pPr>
    </w:p>
    <w:p>
      <w:pPr>
        <w:pStyle w:val="BodyText"/>
      </w:pPr>
    </w:p>
    <w:p>
      <w:pPr>
        <w:pStyle w:val="BodyText"/>
        <w:rPr>
          <w:sz w:val="14"/>
        </w:rPr>
      </w:pPr>
      <w:r>
        <w:rPr/>
        <w:pict>
          <v:rect style="position:absolute;margin-left:65.183998pt;margin-top:10.039218pt;width:144.020004pt;height:.60004pt;mso-position-horizontal-relative:page;mso-position-vertical-relative:paragraph;z-index:-1567846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The applicability of this indicator for cases where the purchaser is a business requires further</w:t>
      </w:r>
      <w:r>
        <w:rPr>
          <w:spacing w:val="-23"/>
          <w:sz w:val="18"/>
        </w:rPr>
        <w:t> </w:t>
      </w:r>
      <w:r>
        <w:rPr>
          <w:sz w:val="18"/>
        </w:rPr>
        <w:t>consideration.</w:t>
      </w:r>
    </w:p>
    <w:p>
      <w:pPr>
        <w:spacing w:after="0" w:line="240" w:lineRule="auto"/>
        <w:jc w:val="left"/>
        <w:rPr>
          <w:sz w:val="18"/>
        </w:rPr>
        <w:sectPr>
          <w:pgSz w:w="11910" w:h="16840"/>
          <w:pgMar w:header="1244" w:footer="1638" w:top="1500" w:bottom="1820" w:left="580" w:right="820"/>
        </w:sectPr>
      </w:pPr>
    </w:p>
    <w:p>
      <w:pPr>
        <w:pStyle w:val="BodyText"/>
        <w:spacing w:before="9"/>
        <w:rPr>
          <w:sz w:val="19"/>
        </w:rPr>
      </w:pPr>
    </w:p>
    <w:p>
      <w:pPr>
        <w:pStyle w:val="ListParagraph"/>
        <w:numPr>
          <w:ilvl w:val="1"/>
          <w:numId w:val="14"/>
        </w:numPr>
        <w:tabs>
          <w:tab w:pos="2085" w:val="left" w:leader="none"/>
        </w:tabs>
        <w:spacing w:line="271" w:lineRule="auto" w:before="93" w:after="0"/>
        <w:ind w:left="2084" w:right="484" w:hanging="341"/>
        <w:jc w:val="both"/>
        <w:rPr>
          <w:sz w:val="20"/>
        </w:rPr>
      </w:pPr>
      <w:r>
        <w:rPr>
          <w:sz w:val="20"/>
        </w:rPr>
        <w:t>The jurisdiction of the principal place of business of the seller; (or in case the seller is a natural person, the jurisdiction of the residential address of the seller), or if unavailable or unreliable</w:t>
      </w:r>
    </w:p>
    <w:p>
      <w:pPr>
        <w:pStyle w:val="ListParagraph"/>
        <w:numPr>
          <w:ilvl w:val="1"/>
          <w:numId w:val="14"/>
        </w:numPr>
        <w:tabs>
          <w:tab w:pos="2085" w:val="left" w:leader="none"/>
        </w:tabs>
        <w:spacing w:line="240" w:lineRule="auto" w:before="61" w:after="0"/>
        <w:ind w:left="2084" w:right="0" w:hanging="342"/>
        <w:jc w:val="both"/>
        <w:rPr>
          <w:sz w:val="20"/>
        </w:rPr>
      </w:pPr>
      <w:r>
        <w:rPr>
          <w:sz w:val="20"/>
        </w:rPr>
        <w:t>The jurisdiction of the ordinary residence of the seller based on user profile</w:t>
      </w:r>
      <w:r>
        <w:rPr>
          <w:spacing w:val="-30"/>
          <w:sz w:val="20"/>
        </w:rPr>
        <w:t> </w:t>
      </w:r>
      <w:r>
        <w:rPr>
          <w:sz w:val="20"/>
        </w:rPr>
        <w:t>information:</w:t>
      </w:r>
    </w:p>
    <w:p>
      <w:pPr>
        <w:pStyle w:val="ListParagraph"/>
        <w:numPr>
          <w:ilvl w:val="2"/>
          <w:numId w:val="14"/>
        </w:numPr>
        <w:tabs>
          <w:tab w:pos="2763" w:val="left" w:leader="none"/>
          <w:tab w:pos="2764" w:val="left" w:leader="none"/>
        </w:tabs>
        <w:spacing w:line="271" w:lineRule="auto" w:before="89" w:after="0"/>
        <w:ind w:left="2763" w:right="492" w:hanging="327"/>
        <w:jc w:val="left"/>
        <w:rPr>
          <w:sz w:val="20"/>
        </w:rPr>
      </w:pPr>
      <w:r>
        <w:rPr>
          <w:sz w:val="20"/>
        </w:rPr>
        <w:t>Information</w:t>
      </w:r>
      <w:r>
        <w:rPr>
          <w:spacing w:val="-16"/>
          <w:sz w:val="20"/>
        </w:rPr>
        <w:t> </w:t>
      </w:r>
      <w:r>
        <w:rPr>
          <w:sz w:val="20"/>
        </w:rPr>
        <w:t>on</w:t>
      </w:r>
      <w:r>
        <w:rPr>
          <w:spacing w:val="-15"/>
          <w:sz w:val="20"/>
        </w:rPr>
        <w:t> </w:t>
      </w:r>
      <w:r>
        <w:rPr>
          <w:sz w:val="20"/>
        </w:rPr>
        <w:t>residence</w:t>
      </w:r>
      <w:r>
        <w:rPr>
          <w:spacing w:val="-15"/>
          <w:sz w:val="20"/>
        </w:rPr>
        <w:t> </w:t>
      </w:r>
      <w:r>
        <w:rPr>
          <w:sz w:val="20"/>
        </w:rPr>
        <w:t>obtained</w:t>
      </w:r>
      <w:r>
        <w:rPr>
          <w:spacing w:val="-15"/>
          <w:sz w:val="20"/>
        </w:rPr>
        <w:t> </w:t>
      </w:r>
      <w:r>
        <w:rPr>
          <w:sz w:val="20"/>
        </w:rPr>
        <w:t>from</w:t>
      </w:r>
      <w:r>
        <w:rPr>
          <w:spacing w:val="-13"/>
          <w:sz w:val="20"/>
        </w:rPr>
        <w:t> </w:t>
      </w:r>
      <w:r>
        <w:rPr>
          <w:sz w:val="20"/>
        </w:rPr>
        <w:t>recurring</w:t>
      </w:r>
      <w:r>
        <w:rPr>
          <w:spacing w:val="-15"/>
          <w:sz w:val="20"/>
        </w:rPr>
        <w:t> </w:t>
      </w:r>
      <w:r>
        <w:rPr>
          <w:sz w:val="20"/>
        </w:rPr>
        <w:t>data</w:t>
      </w:r>
      <w:r>
        <w:rPr>
          <w:spacing w:val="-15"/>
          <w:sz w:val="20"/>
        </w:rPr>
        <w:t> </w:t>
      </w:r>
      <w:r>
        <w:rPr>
          <w:sz w:val="20"/>
        </w:rPr>
        <w:t>on</w:t>
      </w:r>
      <w:r>
        <w:rPr>
          <w:spacing w:val="-15"/>
          <w:sz w:val="20"/>
        </w:rPr>
        <w:t> </w:t>
      </w:r>
      <w:r>
        <w:rPr>
          <w:sz w:val="20"/>
        </w:rPr>
        <w:t>geolocation</w:t>
      </w:r>
      <w:r>
        <w:rPr>
          <w:spacing w:val="-14"/>
          <w:sz w:val="20"/>
        </w:rPr>
        <w:t> </w:t>
      </w:r>
      <w:r>
        <w:rPr>
          <w:sz w:val="20"/>
        </w:rPr>
        <w:t>or</w:t>
      </w:r>
      <w:r>
        <w:rPr>
          <w:spacing w:val="-14"/>
          <w:sz w:val="20"/>
        </w:rPr>
        <w:t> </w:t>
      </w:r>
      <w:r>
        <w:rPr>
          <w:sz w:val="20"/>
        </w:rPr>
        <w:t>IP</w:t>
      </w:r>
      <w:r>
        <w:rPr>
          <w:spacing w:val="-15"/>
          <w:sz w:val="20"/>
        </w:rPr>
        <w:t> </w:t>
      </w:r>
      <w:r>
        <w:rPr>
          <w:sz w:val="20"/>
        </w:rPr>
        <w:t>address of the seller’s device; or if unavailable or</w:t>
      </w:r>
      <w:r>
        <w:rPr>
          <w:spacing w:val="-3"/>
          <w:sz w:val="20"/>
        </w:rPr>
        <w:t> </w:t>
      </w:r>
      <w:r>
        <w:rPr>
          <w:sz w:val="20"/>
        </w:rPr>
        <w:t>unreliable</w:t>
      </w:r>
    </w:p>
    <w:p>
      <w:pPr>
        <w:pStyle w:val="ListParagraph"/>
        <w:numPr>
          <w:ilvl w:val="2"/>
          <w:numId w:val="14"/>
        </w:numPr>
        <w:tabs>
          <w:tab w:pos="2763" w:val="left" w:leader="none"/>
          <w:tab w:pos="2764" w:val="left" w:leader="none"/>
        </w:tabs>
        <w:spacing w:line="240" w:lineRule="auto" w:before="61" w:after="0"/>
        <w:ind w:left="2763" w:right="0" w:hanging="371"/>
        <w:jc w:val="left"/>
        <w:rPr>
          <w:sz w:val="20"/>
        </w:rPr>
      </w:pPr>
      <w:r>
        <w:rPr>
          <w:sz w:val="20"/>
        </w:rPr>
        <w:t>Billing</w:t>
      </w:r>
      <w:r>
        <w:rPr>
          <w:spacing w:val="-5"/>
          <w:sz w:val="20"/>
        </w:rPr>
        <w:t> </w:t>
      </w:r>
      <w:r>
        <w:rPr>
          <w:sz w:val="20"/>
        </w:rPr>
        <w:t>address</w:t>
      </w:r>
      <w:r>
        <w:rPr>
          <w:spacing w:val="-5"/>
          <w:sz w:val="20"/>
        </w:rPr>
        <w:t> </w:t>
      </w:r>
      <w:r>
        <w:rPr>
          <w:sz w:val="20"/>
        </w:rPr>
        <w:t>of</w:t>
      </w:r>
      <w:r>
        <w:rPr>
          <w:spacing w:val="-4"/>
          <w:sz w:val="20"/>
        </w:rPr>
        <w:t> </w:t>
      </w:r>
      <w:r>
        <w:rPr>
          <w:sz w:val="20"/>
        </w:rPr>
        <w:t>the</w:t>
      </w:r>
      <w:r>
        <w:rPr>
          <w:spacing w:val="-6"/>
          <w:sz w:val="20"/>
        </w:rPr>
        <w:t> </w:t>
      </w:r>
      <w:r>
        <w:rPr>
          <w:sz w:val="20"/>
        </w:rPr>
        <w:t>seller;</w:t>
      </w:r>
      <w:r>
        <w:rPr>
          <w:spacing w:val="-3"/>
          <w:sz w:val="20"/>
        </w:rPr>
        <w:t> </w:t>
      </w:r>
      <w:r>
        <w:rPr>
          <w:sz w:val="20"/>
        </w:rPr>
        <w:t>or</w:t>
      </w:r>
      <w:r>
        <w:rPr>
          <w:spacing w:val="-6"/>
          <w:sz w:val="20"/>
        </w:rPr>
        <w:t> </w:t>
      </w:r>
      <w:r>
        <w:rPr>
          <w:sz w:val="20"/>
        </w:rPr>
        <w:t>if</w:t>
      </w:r>
      <w:r>
        <w:rPr>
          <w:spacing w:val="-4"/>
          <w:sz w:val="20"/>
        </w:rPr>
        <w:t> </w:t>
      </w:r>
      <w:r>
        <w:rPr>
          <w:sz w:val="20"/>
        </w:rPr>
        <w:t>unavailable</w:t>
      </w:r>
      <w:r>
        <w:rPr>
          <w:spacing w:val="-6"/>
          <w:sz w:val="20"/>
        </w:rPr>
        <w:t> </w:t>
      </w:r>
      <w:r>
        <w:rPr>
          <w:sz w:val="20"/>
        </w:rPr>
        <w:t>or</w:t>
      </w:r>
      <w:r>
        <w:rPr>
          <w:spacing w:val="-4"/>
          <w:sz w:val="20"/>
        </w:rPr>
        <w:t> </w:t>
      </w:r>
      <w:r>
        <w:rPr>
          <w:sz w:val="20"/>
        </w:rPr>
        <w:t>unreliable</w:t>
      </w:r>
    </w:p>
    <w:p>
      <w:pPr>
        <w:pStyle w:val="ListParagraph"/>
        <w:numPr>
          <w:ilvl w:val="2"/>
          <w:numId w:val="14"/>
        </w:numPr>
        <w:tabs>
          <w:tab w:pos="2763" w:val="left" w:leader="none"/>
          <w:tab w:pos="2764" w:val="left" w:leader="none"/>
        </w:tabs>
        <w:spacing w:line="240" w:lineRule="auto" w:before="89" w:after="0"/>
        <w:ind w:left="2763" w:right="0" w:hanging="416"/>
        <w:jc w:val="left"/>
        <w:rPr>
          <w:sz w:val="20"/>
        </w:rPr>
      </w:pPr>
      <w:r>
        <w:rPr>
          <w:sz w:val="20"/>
        </w:rPr>
        <w:t>Mobile</w:t>
      </w:r>
      <w:r>
        <w:rPr>
          <w:spacing w:val="-18"/>
          <w:sz w:val="20"/>
        </w:rPr>
        <w:t> </w:t>
      </w:r>
      <w:r>
        <w:rPr>
          <w:sz w:val="20"/>
        </w:rPr>
        <w:t>country</w:t>
      </w:r>
      <w:r>
        <w:rPr>
          <w:spacing w:val="-20"/>
          <w:sz w:val="20"/>
        </w:rPr>
        <w:t> </w:t>
      </w:r>
      <w:r>
        <w:rPr>
          <w:sz w:val="20"/>
        </w:rPr>
        <w:t>code</w:t>
      </w:r>
      <w:r>
        <w:rPr>
          <w:spacing w:val="-15"/>
          <w:sz w:val="20"/>
        </w:rPr>
        <w:t> </w:t>
      </w:r>
      <w:r>
        <w:rPr>
          <w:sz w:val="20"/>
        </w:rPr>
        <w:t>of</w:t>
      </w:r>
      <w:r>
        <w:rPr>
          <w:spacing w:val="-16"/>
          <w:sz w:val="20"/>
        </w:rPr>
        <w:t> </w:t>
      </w:r>
      <w:r>
        <w:rPr>
          <w:sz w:val="20"/>
        </w:rPr>
        <w:t>the</w:t>
      </w:r>
      <w:r>
        <w:rPr>
          <w:spacing w:val="-17"/>
          <w:sz w:val="20"/>
        </w:rPr>
        <w:t> </w:t>
      </w:r>
      <w:r>
        <w:rPr>
          <w:sz w:val="20"/>
        </w:rPr>
        <w:t>phone</w:t>
      </w:r>
      <w:r>
        <w:rPr>
          <w:spacing w:val="-16"/>
          <w:sz w:val="20"/>
        </w:rPr>
        <w:t> </w:t>
      </w:r>
      <w:r>
        <w:rPr>
          <w:sz w:val="20"/>
        </w:rPr>
        <w:t>number</w:t>
      </w:r>
      <w:r>
        <w:rPr>
          <w:spacing w:val="-16"/>
          <w:sz w:val="20"/>
        </w:rPr>
        <w:t> </w:t>
      </w:r>
      <w:r>
        <w:rPr>
          <w:sz w:val="20"/>
        </w:rPr>
        <w:t>of</w:t>
      </w:r>
      <w:r>
        <w:rPr>
          <w:spacing w:val="-16"/>
          <w:sz w:val="20"/>
        </w:rPr>
        <w:t> </w:t>
      </w:r>
      <w:r>
        <w:rPr>
          <w:sz w:val="20"/>
        </w:rPr>
        <w:t>the</w:t>
      </w:r>
      <w:r>
        <w:rPr>
          <w:spacing w:val="-18"/>
          <w:sz w:val="20"/>
        </w:rPr>
        <w:t> </w:t>
      </w:r>
      <w:r>
        <w:rPr>
          <w:sz w:val="20"/>
        </w:rPr>
        <w:t>seller;</w:t>
      </w:r>
      <w:r>
        <w:rPr>
          <w:spacing w:val="-14"/>
          <w:sz w:val="20"/>
        </w:rPr>
        <w:t> </w:t>
      </w:r>
      <w:r>
        <w:rPr>
          <w:sz w:val="20"/>
        </w:rPr>
        <w:t>or</w:t>
      </w:r>
      <w:r>
        <w:rPr>
          <w:spacing w:val="-17"/>
          <w:sz w:val="20"/>
        </w:rPr>
        <w:t> </w:t>
      </w:r>
      <w:r>
        <w:rPr>
          <w:sz w:val="20"/>
        </w:rPr>
        <w:t>if</w:t>
      </w:r>
      <w:r>
        <w:rPr>
          <w:spacing w:val="-15"/>
          <w:sz w:val="20"/>
        </w:rPr>
        <w:t> </w:t>
      </w:r>
      <w:r>
        <w:rPr>
          <w:sz w:val="20"/>
        </w:rPr>
        <w:t>unavailable</w:t>
      </w:r>
      <w:r>
        <w:rPr>
          <w:spacing w:val="-14"/>
          <w:sz w:val="20"/>
        </w:rPr>
        <w:t> </w:t>
      </w:r>
      <w:r>
        <w:rPr>
          <w:sz w:val="20"/>
        </w:rPr>
        <w:t>or</w:t>
      </w:r>
      <w:r>
        <w:rPr>
          <w:spacing w:val="-17"/>
          <w:sz w:val="20"/>
        </w:rPr>
        <w:t> </w:t>
      </w:r>
      <w:r>
        <w:rPr>
          <w:sz w:val="20"/>
        </w:rPr>
        <w:t>unreliable</w:t>
      </w:r>
    </w:p>
    <w:p>
      <w:pPr>
        <w:pStyle w:val="ListParagraph"/>
        <w:numPr>
          <w:ilvl w:val="2"/>
          <w:numId w:val="14"/>
        </w:numPr>
        <w:tabs>
          <w:tab w:pos="2763" w:val="left" w:leader="none"/>
          <w:tab w:pos="2764" w:val="left" w:leader="none"/>
        </w:tabs>
        <w:spacing w:line="240" w:lineRule="auto" w:before="89" w:after="0"/>
        <w:ind w:left="2763" w:right="0" w:hanging="428"/>
        <w:jc w:val="left"/>
        <w:rPr>
          <w:sz w:val="20"/>
        </w:rPr>
      </w:pPr>
      <w:r>
        <w:rPr>
          <w:sz w:val="20"/>
        </w:rPr>
        <w:t>Information on residence inputted by the seller; or if unavailable or</w:t>
      </w:r>
      <w:r>
        <w:rPr>
          <w:spacing w:val="-20"/>
          <w:sz w:val="20"/>
        </w:rPr>
        <w:t> </w:t>
      </w:r>
      <w:r>
        <w:rPr>
          <w:sz w:val="20"/>
        </w:rPr>
        <w:t>unreliable</w:t>
      </w:r>
    </w:p>
    <w:p>
      <w:pPr>
        <w:pStyle w:val="ListParagraph"/>
        <w:numPr>
          <w:ilvl w:val="2"/>
          <w:numId w:val="14"/>
        </w:numPr>
        <w:tabs>
          <w:tab w:pos="2763" w:val="left" w:leader="none"/>
          <w:tab w:pos="2764" w:val="left" w:leader="none"/>
        </w:tabs>
        <w:spacing w:line="271" w:lineRule="auto" w:before="92" w:after="0"/>
        <w:ind w:left="2763" w:right="488" w:hanging="382"/>
        <w:jc w:val="left"/>
        <w:rPr>
          <w:sz w:val="20"/>
        </w:rPr>
      </w:pPr>
      <w:r>
        <w:rPr>
          <w:sz w:val="20"/>
        </w:rPr>
        <w:t>Other available information that can be used to determine the jurisdiction of the ordinary residence of the</w:t>
      </w:r>
      <w:r>
        <w:rPr>
          <w:spacing w:val="-6"/>
          <w:sz w:val="20"/>
        </w:rPr>
        <w:t> </w:t>
      </w:r>
      <w:r>
        <w:rPr>
          <w:sz w:val="20"/>
        </w:rPr>
        <w:t>seller</w:t>
      </w:r>
    </w:p>
    <w:p>
      <w:pPr>
        <w:pStyle w:val="BodyText"/>
        <w:spacing w:before="7"/>
      </w:pPr>
    </w:p>
    <w:p>
      <w:pPr>
        <w:pStyle w:val="Heading7"/>
        <w:rPr>
          <w:i/>
        </w:rPr>
      </w:pPr>
      <w:bookmarkStart w:name="Revenue from digital content services" w:id="136"/>
      <w:bookmarkEnd w:id="136"/>
      <w:r>
        <w:rPr>
          <w:i w:val="0"/>
        </w:rPr>
      </w:r>
      <w:r>
        <w:rPr>
          <w:i/>
          <w:color w:val="616161"/>
        </w:rPr>
        <w:t>Revenue from digital content services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ADS business of Digital Content Services generates revenue</w:t>
      </w:r>
      <w:r>
        <w:rPr>
          <w:spacing w:val="-10"/>
          <w:sz w:val="20"/>
        </w:rPr>
        <w:t> </w:t>
      </w:r>
      <w:r>
        <w:rPr>
          <w:sz w:val="20"/>
        </w:rPr>
        <w:t>including:</w:t>
      </w:r>
    </w:p>
    <w:p>
      <w:pPr>
        <w:pStyle w:val="ListParagraph"/>
        <w:numPr>
          <w:ilvl w:val="0"/>
          <w:numId w:val="45"/>
        </w:numPr>
        <w:tabs>
          <w:tab w:pos="1402" w:val="left" w:leader="none"/>
          <w:tab w:pos="1403" w:val="left" w:leader="none"/>
        </w:tabs>
        <w:spacing w:line="240" w:lineRule="auto" w:before="129" w:after="0"/>
        <w:ind w:left="1402" w:right="0" w:hanging="339"/>
        <w:jc w:val="left"/>
        <w:rPr>
          <w:sz w:val="20"/>
        </w:rPr>
      </w:pPr>
      <w:r>
        <w:rPr>
          <w:sz w:val="20"/>
        </w:rPr>
        <w:t>Revenue from Online Advertising</w:t>
      </w:r>
      <w:r>
        <w:rPr>
          <w:spacing w:val="2"/>
          <w:sz w:val="20"/>
        </w:rPr>
        <w:t> </w:t>
      </w:r>
      <w:r>
        <w:rPr>
          <w:sz w:val="20"/>
        </w:rPr>
        <w:t>Services;</w:t>
      </w:r>
    </w:p>
    <w:p>
      <w:pPr>
        <w:pStyle w:val="ListParagraph"/>
        <w:numPr>
          <w:ilvl w:val="0"/>
          <w:numId w:val="45"/>
        </w:numPr>
        <w:tabs>
          <w:tab w:pos="1402" w:val="left" w:leader="none"/>
          <w:tab w:pos="1403" w:val="left" w:leader="none"/>
        </w:tabs>
        <w:spacing w:line="240" w:lineRule="auto" w:before="76" w:after="0"/>
        <w:ind w:left="1402" w:right="0" w:hanging="339"/>
        <w:jc w:val="left"/>
        <w:rPr>
          <w:sz w:val="20"/>
        </w:rPr>
      </w:pPr>
      <w:r>
        <w:rPr>
          <w:sz w:val="20"/>
        </w:rPr>
        <w:t>Revenue from the Sale or Other Alienation of User Data;</w:t>
      </w:r>
      <w:r>
        <w:rPr>
          <w:spacing w:val="3"/>
          <w:sz w:val="20"/>
        </w:rPr>
        <w:t> </w:t>
      </w:r>
      <w:r>
        <w:rPr>
          <w:sz w:val="20"/>
        </w:rPr>
        <w:t>and</w:t>
      </w:r>
    </w:p>
    <w:p>
      <w:pPr>
        <w:pStyle w:val="ListParagraph"/>
        <w:numPr>
          <w:ilvl w:val="0"/>
          <w:numId w:val="45"/>
        </w:numPr>
        <w:tabs>
          <w:tab w:pos="1402" w:val="left" w:leader="none"/>
          <w:tab w:pos="1403" w:val="left" w:leader="none"/>
        </w:tabs>
        <w:spacing w:line="240" w:lineRule="auto" w:before="75" w:after="0"/>
        <w:ind w:left="1402" w:right="0" w:hanging="339"/>
        <w:jc w:val="left"/>
        <w:rPr>
          <w:sz w:val="20"/>
        </w:rPr>
      </w:pPr>
      <w:r>
        <w:rPr>
          <w:sz w:val="20"/>
        </w:rPr>
        <w:t>Revenue from Digital Content</w:t>
      </w:r>
      <w:r>
        <w:rPr>
          <w:spacing w:val="2"/>
          <w:sz w:val="20"/>
        </w:rPr>
        <w:t> </w:t>
      </w:r>
      <w:r>
        <w:rPr>
          <w:sz w:val="20"/>
        </w:rPr>
        <w:t>Services.</w:t>
      </w:r>
    </w:p>
    <w:p>
      <w:pPr>
        <w:pStyle w:val="BodyText"/>
        <w:spacing w:before="3"/>
        <w:rPr>
          <w:sz w:val="23"/>
        </w:rPr>
      </w:pPr>
    </w:p>
    <w:p>
      <w:pPr>
        <w:pStyle w:val="Heading8"/>
      </w:pPr>
      <w:bookmarkStart w:name="Digital content services" w:id="137"/>
      <w:bookmarkEnd w:id="137"/>
      <w:r>
        <w:rPr>
          <w:b w:val="0"/>
        </w:rPr>
      </w:r>
      <w:r>
        <w:rPr/>
        <w:t>Digital content services</w:t>
      </w:r>
    </w:p>
    <w:p>
      <w:pPr>
        <w:pStyle w:val="BodyText"/>
        <w:rPr>
          <w:b/>
          <w:sz w:val="19"/>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is the jurisdiction of the ordinary residence of the</w:t>
      </w:r>
      <w:r>
        <w:rPr>
          <w:spacing w:val="-16"/>
          <w:sz w:val="20"/>
        </w:rPr>
        <w:t> </w:t>
      </w:r>
      <w:r>
        <w:rPr>
          <w:sz w:val="20"/>
        </w:rPr>
        <w:t>purchaser.</w:t>
      </w:r>
    </w:p>
    <w:p>
      <w:pPr>
        <w:pStyle w:val="ListParagraph"/>
        <w:numPr>
          <w:ilvl w:val="0"/>
          <w:numId w:val="13"/>
        </w:numPr>
        <w:tabs>
          <w:tab w:pos="1443" w:val="left" w:leader="none"/>
          <w:tab w:pos="1444" w:val="left" w:leader="none"/>
        </w:tabs>
        <w:spacing w:line="240" w:lineRule="auto" w:before="149" w:after="0"/>
        <w:ind w:left="1443" w:right="0" w:hanging="721"/>
        <w:jc w:val="left"/>
        <w:rPr>
          <w:sz w:val="20"/>
        </w:rPr>
      </w:pPr>
      <w:r>
        <w:rPr>
          <w:sz w:val="20"/>
        </w:rPr>
        <w:t>The relevant indicators</w:t>
      </w:r>
      <w:r>
        <w:rPr>
          <w:spacing w:val="-1"/>
          <w:sz w:val="20"/>
        </w:rPr>
        <w:t> </w:t>
      </w:r>
      <w:r>
        <w:rPr>
          <w:sz w:val="20"/>
        </w:rPr>
        <w:t>are:</w:t>
      </w:r>
    </w:p>
    <w:p>
      <w:pPr>
        <w:pStyle w:val="ListParagraph"/>
        <w:numPr>
          <w:ilvl w:val="1"/>
          <w:numId w:val="14"/>
        </w:numPr>
        <w:tabs>
          <w:tab w:pos="2085" w:val="left" w:leader="none"/>
        </w:tabs>
        <w:spacing w:line="273" w:lineRule="auto" w:before="142" w:after="0"/>
        <w:ind w:left="2084" w:right="489" w:hanging="341"/>
        <w:jc w:val="left"/>
        <w:rPr>
          <w:sz w:val="20"/>
        </w:rPr>
      </w:pPr>
      <w:r>
        <w:rPr>
          <w:sz w:val="20"/>
        </w:rPr>
        <w:t>The jurisdiction of the ordinary residence of the purchaser based on user profile information:</w:t>
      </w:r>
    </w:p>
    <w:p>
      <w:pPr>
        <w:pStyle w:val="ListParagraph"/>
        <w:numPr>
          <w:ilvl w:val="1"/>
          <w:numId w:val="43"/>
        </w:numPr>
        <w:tabs>
          <w:tab w:pos="2763" w:val="left" w:leader="none"/>
          <w:tab w:pos="2764" w:val="left" w:leader="none"/>
        </w:tabs>
        <w:spacing w:line="240" w:lineRule="auto" w:before="57" w:after="0"/>
        <w:ind w:left="2763" w:right="0" w:hanging="428"/>
        <w:jc w:val="left"/>
        <w:rPr>
          <w:sz w:val="20"/>
        </w:rPr>
      </w:pPr>
      <w:r>
        <w:rPr>
          <w:sz w:val="20"/>
        </w:rPr>
        <w:t>Information</w:t>
      </w:r>
      <w:r>
        <w:rPr>
          <w:spacing w:val="-16"/>
          <w:sz w:val="20"/>
        </w:rPr>
        <w:t> </w:t>
      </w:r>
      <w:r>
        <w:rPr>
          <w:sz w:val="20"/>
        </w:rPr>
        <w:t>on</w:t>
      </w:r>
      <w:r>
        <w:rPr>
          <w:spacing w:val="-15"/>
          <w:sz w:val="20"/>
        </w:rPr>
        <w:t> </w:t>
      </w:r>
      <w:r>
        <w:rPr>
          <w:sz w:val="20"/>
        </w:rPr>
        <w:t>residence</w:t>
      </w:r>
      <w:r>
        <w:rPr>
          <w:spacing w:val="-16"/>
          <w:sz w:val="20"/>
        </w:rPr>
        <w:t> </w:t>
      </w:r>
      <w:r>
        <w:rPr>
          <w:sz w:val="20"/>
        </w:rPr>
        <w:t>obtained</w:t>
      </w:r>
      <w:r>
        <w:rPr>
          <w:spacing w:val="-16"/>
          <w:sz w:val="20"/>
        </w:rPr>
        <w:t> </w:t>
      </w:r>
      <w:r>
        <w:rPr>
          <w:sz w:val="20"/>
        </w:rPr>
        <w:t>from</w:t>
      </w:r>
      <w:r>
        <w:rPr>
          <w:spacing w:val="-13"/>
          <w:sz w:val="20"/>
        </w:rPr>
        <w:t> </w:t>
      </w:r>
      <w:r>
        <w:rPr>
          <w:sz w:val="20"/>
        </w:rPr>
        <w:t>recurring</w:t>
      </w:r>
      <w:r>
        <w:rPr>
          <w:spacing w:val="-16"/>
          <w:sz w:val="20"/>
        </w:rPr>
        <w:t> </w:t>
      </w:r>
      <w:r>
        <w:rPr>
          <w:sz w:val="20"/>
        </w:rPr>
        <w:t>data</w:t>
      </w:r>
      <w:r>
        <w:rPr>
          <w:spacing w:val="-15"/>
          <w:sz w:val="20"/>
        </w:rPr>
        <w:t> </w:t>
      </w:r>
      <w:r>
        <w:rPr>
          <w:sz w:val="20"/>
        </w:rPr>
        <w:t>on</w:t>
      </w:r>
      <w:r>
        <w:rPr>
          <w:spacing w:val="-16"/>
          <w:sz w:val="20"/>
        </w:rPr>
        <w:t> </w:t>
      </w:r>
      <w:r>
        <w:rPr>
          <w:sz w:val="20"/>
        </w:rPr>
        <w:t>geolocation</w:t>
      </w:r>
      <w:r>
        <w:rPr>
          <w:spacing w:val="-13"/>
          <w:sz w:val="20"/>
        </w:rPr>
        <w:t> </w:t>
      </w:r>
      <w:r>
        <w:rPr>
          <w:sz w:val="20"/>
        </w:rPr>
        <w:t>or</w:t>
      </w:r>
      <w:r>
        <w:rPr>
          <w:spacing w:val="-15"/>
          <w:sz w:val="20"/>
        </w:rPr>
        <w:t> </w:t>
      </w:r>
      <w:r>
        <w:rPr>
          <w:sz w:val="20"/>
        </w:rPr>
        <w:t>IP</w:t>
      </w:r>
      <w:r>
        <w:rPr>
          <w:spacing w:val="-16"/>
          <w:sz w:val="20"/>
        </w:rPr>
        <w:t> </w:t>
      </w:r>
      <w:r>
        <w:rPr>
          <w:sz w:val="20"/>
        </w:rPr>
        <w:t>address</w:t>
      </w:r>
    </w:p>
    <w:p>
      <w:pPr>
        <w:pStyle w:val="BodyText"/>
        <w:spacing w:before="29"/>
        <w:ind w:left="2763"/>
      </w:pPr>
      <w:r>
        <w:rPr/>
        <w:t>of the purchaser’s device; or if unavailable or unreliable</w:t>
      </w:r>
    </w:p>
    <w:p>
      <w:pPr>
        <w:pStyle w:val="ListParagraph"/>
        <w:numPr>
          <w:ilvl w:val="1"/>
          <w:numId w:val="43"/>
        </w:numPr>
        <w:tabs>
          <w:tab w:pos="2763" w:val="left" w:leader="none"/>
          <w:tab w:pos="2764" w:val="left" w:leader="none"/>
        </w:tabs>
        <w:spacing w:line="240" w:lineRule="auto" w:before="92" w:after="0"/>
        <w:ind w:left="2763" w:right="0" w:hanging="471"/>
        <w:jc w:val="left"/>
        <w:rPr>
          <w:sz w:val="20"/>
        </w:rPr>
      </w:pPr>
      <w:r>
        <w:rPr>
          <w:sz w:val="20"/>
        </w:rPr>
        <w:t>Billing address of the purchaser; or if unavailable or</w:t>
      </w:r>
      <w:r>
        <w:rPr>
          <w:spacing w:val="-8"/>
          <w:sz w:val="20"/>
        </w:rPr>
        <w:t> </w:t>
      </w:r>
      <w:r>
        <w:rPr>
          <w:sz w:val="20"/>
        </w:rPr>
        <w:t>unreliable</w:t>
      </w:r>
    </w:p>
    <w:p>
      <w:pPr>
        <w:pStyle w:val="ListParagraph"/>
        <w:numPr>
          <w:ilvl w:val="1"/>
          <w:numId w:val="43"/>
        </w:numPr>
        <w:tabs>
          <w:tab w:pos="2763" w:val="left" w:leader="none"/>
          <w:tab w:pos="2764" w:val="left" w:leader="none"/>
        </w:tabs>
        <w:spacing w:line="271" w:lineRule="auto" w:before="89" w:after="0"/>
        <w:ind w:left="2763" w:right="494" w:hanging="516"/>
        <w:jc w:val="left"/>
        <w:rPr>
          <w:sz w:val="20"/>
        </w:rPr>
      </w:pPr>
      <w:r>
        <w:rPr>
          <w:sz w:val="20"/>
        </w:rPr>
        <w:t>Mobile country code of the phone number of the purchaser; or if unavailable or unreliable</w:t>
      </w:r>
    </w:p>
    <w:p>
      <w:pPr>
        <w:pStyle w:val="ListParagraph"/>
        <w:numPr>
          <w:ilvl w:val="1"/>
          <w:numId w:val="43"/>
        </w:numPr>
        <w:tabs>
          <w:tab w:pos="2763" w:val="left" w:leader="none"/>
          <w:tab w:pos="2764" w:val="left" w:leader="none"/>
        </w:tabs>
        <w:spacing w:line="240" w:lineRule="auto" w:before="61" w:after="0"/>
        <w:ind w:left="2763" w:right="0" w:hanging="428"/>
        <w:jc w:val="left"/>
        <w:rPr>
          <w:sz w:val="20"/>
        </w:rPr>
      </w:pPr>
      <w:r>
        <w:rPr>
          <w:sz w:val="20"/>
        </w:rPr>
        <w:t>Information on residence inputted by the purchaser; or if unavailable or</w:t>
      </w:r>
      <w:r>
        <w:rPr>
          <w:spacing w:val="-31"/>
          <w:sz w:val="20"/>
        </w:rPr>
        <w:t> </w:t>
      </w:r>
      <w:r>
        <w:rPr>
          <w:sz w:val="20"/>
        </w:rPr>
        <w:t>unreliable</w:t>
      </w:r>
    </w:p>
    <w:p>
      <w:pPr>
        <w:pStyle w:val="ListParagraph"/>
        <w:numPr>
          <w:ilvl w:val="1"/>
          <w:numId w:val="43"/>
        </w:numPr>
        <w:tabs>
          <w:tab w:pos="2763" w:val="left" w:leader="none"/>
          <w:tab w:pos="2764" w:val="left" w:leader="none"/>
        </w:tabs>
        <w:spacing w:line="271" w:lineRule="auto" w:before="90" w:after="0"/>
        <w:ind w:left="2763" w:right="487" w:hanging="382"/>
        <w:jc w:val="left"/>
        <w:rPr>
          <w:sz w:val="20"/>
        </w:rPr>
      </w:pPr>
      <w:r>
        <w:rPr>
          <w:sz w:val="20"/>
        </w:rPr>
        <w:t>Other available information that can be used to determine the jurisdiction of the ordinary residence of the purchaser; or if unavailable or</w:t>
      </w:r>
      <w:r>
        <w:rPr>
          <w:spacing w:val="-15"/>
          <w:sz w:val="20"/>
        </w:rPr>
        <w:t> </w:t>
      </w:r>
      <w:r>
        <w:rPr>
          <w:sz w:val="20"/>
        </w:rPr>
        <w:t>unreliable</w:t>
      </w:r>
    </w:p>
    <w:p>
      <w:pPr>
        <w:pStyle w:val="ListParagraph"/>
        <w:numPr>
          <w:ilvl w:val="1"/>
          <w:numId w:val="14"/>
        </w:numPr>
        <w:tabs>
          <w:tab w:pos="2085" w:val="left" w:leader="none"/>
        </w:tabs>
        <w:spacing w:line="240" w:lineRule="auto" w:before="61" w:after="0"/>
        <w:ind w:left="2084" w:right="0" w:hanging="342"/>
        <w:jc w:val="left"/>
        <w:rPr>
          <w:sz w:val="20"/>
        </w:rPr>
      </w:pPr>
      <w:r>
        <w:rPr>
          <w:sz w:val="20"/>
        </w:rPr>
        <w:t>The jurisdiction of the billing address of the purchaser; or if unavailable or</w:t>
      </w:r>
      <w:r>
        <w:rPr>
          <w:spacing w:val="-22"/>
          <w:sz w:val="20"/>
        </w:rPr>
        <w:t> </w:t>
      </w:r>
      <w:r>
        <w:rPr>
          <w:sz w:val="20"/>
        </w:rPr>
        <w:t>unreliable</w:t>
      </w:r>
    </w:p>
    <w:p>
      <w:pPr>
        <w:pStyle w:val="ListParagraph"/>
        <w:numPr>
          <w:ilvl w:val="1"/>
          <w:numId w:val="14"/>
        </w:numPr>
        <w:tabs>
          <w:tab w:pos="2085" w:val="left" w:leader="none"/>
        </w:tabs>
        <w:spacing w:line="271" w:lineRule="auto" w:before="89" w:after="0"/>
        <w:ind w:left="2084" w:right="483" w:hanging="341"/>
        <w:jc w:val="left"/>
        <w:rPr>
          <w:sz w:val="20"/>
        </w:rPr>
      </w:pPr>
      <w:r>
        <w:rPr>
          <w:sz w:val="20"/>
        </w:rPr>
        <w:t>The jurisdiction of the geolocation of the device of the purchaser; or if unavailable or unreliable</w:t>
      </w:r>
    </w:p>
    <w:p>
      <w:pPr>
        <w:pStyle w:val="ListParagraph"/>
        <w:numPr>
          <w:ilvl w:val="1"/>
          <w:numId w:val="14"/>
        </w:numPr>
        <w:tabs>
          <w:tab w:pos="2084" w:val="left" w:leader="none"/>
          <w:tab w:pos="2085" w:val="left" w:leader="none"/>
        </w:tabs>
        <w:spacing w:line="240" w:lineRule="auto" w:before="61" w:after="0"/>
        <w:ind w:left="2084" w:right="0" w:hanging="342"/>
        <w:jc w:val="left"/>
        <w:rPr>
          <w:sz w:val="20"/>
        </w:rPr>
      </w:pPr>
      <w:r>
        <w:rPr>
          <w:sz w:val="20"/>
        </w:rPr>
        <w:t>The jurisdiction of the IP address of the device of the</w:t>
      </w:r>
      <w:r>
        <w:rPr>
          <w:spacing w:val="-6"/>
          <w:sz w:val="20"/>
        </w:rPr>
        <w:t> </w:t>
      </w:r>
      <w:r>
        <w:rPr>
          <w:sz w:val="20"/>
        </w:rPr>
        <w:t>purchaser</w:t>
      </w:r>
    </w:p>
    <w:p>
      <w:pPr>
        <w:pStyle w:val="BodyText"/>
        <w:spacing w:before="3"/>
        <w:rPr>
          <w:sz w:val="23"/>
        </w:rPr>
      </w:pPr>
    </w:p>
    <w:p>
      <w:pPr>
        <w:pStyle w:val="Heading7"/>
        <w:rPr>
          <w:i/>
        </w:rPr>
      </w:pPr>
      <w:bookmarkStart w:name="Revenue from online gaming services" w:id="138"/>
      <w:bookmarkEnd w:id="138"/>
      <w:r>
        <w:rPr>
          <w:i w:val="0"/>
        </w:rPr>
      </w:r>
      <w:r>
        <w:rPr>
          <w:i/>
          <w:color w:val="616161"/>
        </w:rPr>
        <w:t>Revenue from online gaming services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ADS business of Online Gaming Services generates revenue</w:t>
      </w:r>
      <w:r>
        <w:rPr>
          <w:spacing w:val="-8"/>
          <w:sz w:val="20"/>
        </w:rPr>
        <w:t> </w:t>
      </w:r>
      <w:r>
        <w:rPr>
          <w:sz w:val="20"/>
        </w:rPr>
        <w:t>including:</w:t>
      </w:r>
    </w:p>
    <w:p>
      <w:pPr>
        <w:pStyle w:val="ListParagraph"/>
        <w:numPr>
          <w:ilvl w:val="0"/>
          <w:numId w:val="46"/>
        </w:numPr>
        <w:tabs>
          <w:tab w:pos="1402" w:val="left" w:leader="none"/>
          <w:tab w:pos="1403" w:val="left" w:leader="none"/>
        </w:tabs>
        <w:spacing w:line="240" w:lineRule="auto" w:before="129" w:after="0"/>
        <w:ind w:left="1402" w:right="0" w:hanging="339"/>
        <w:jc w:val="left"/>
        <w:rPr>
          <w:sz w:val="20"/>
        </w:rPr>
      </w:pPr>
      <w:r>
        <w:rPr>
          <w:sz w:val="20"/>
        </w:rPr>
        <w:t>Revenue from Online Advertising</w:t>
      </w:r>
      <w:r>
        <w:rPr>
          <w:spacing w:val="2"/>
          <w:sz w:val="20"/>
        </w:rPr>
        <w:t> </w:t>
      </w:r>
      <w:r>
        <w:rPr>
          <w:sz w:val="20"/>
        </w:rPr>
        <w:t>Services;</w:t>
      </w:r>
    </w:p>
    <w:p>
      <w:pPr>
        <w:pStyle w:val="ListParagraph"/>
        <w:numPr>
          <w:ilvl w:val="0"/>
          <w:numId w:val="46"/>
        </w:numPr>
        <w:tabs>
          <w:tab w:pos="1402" w:val="left" w:leader="none"/>
          <w:tab w:pos="1403" w:val="left" w:leader="none"/>
        </w:tabs>
        <w:spacing w:line="240" w:lineRule="auto" w:before="74" w:after="0"/>
        <w:ind w:left="1402" w:right="0" w:hanging="339"/>
        <w:jc w:val="left"/>
        <w:rPr>
          <w:sz w:val="20"/>
        </w:rPr>
      </w:pPr>
      <w:r>
        <w:rPr>
          <w:sz w:val="20"/>
        </w:rPr>
        <w:t>Revenue from the Sale or Other Alienation of User Data;</w:t>
      </w:r>
      <w:r>
        <w:rPr>
          <w:spacing w:val="3"/>
          <w:sz w:val="20"/>
        </w:rPr>
        <w:t> </w:t>
      </w:r>
      <w:r>
        <w:rPr>
          <w:sz w:val="20"/>
        </w:rPr>
        <w:t>and</w:t>
      </w:r>
    </w:p>
    <w:p>
      <w:pPr>
        <w:pStyle w:val="ListParagraph"/>
        <w:numPr>
          <w:ilvl w:val="0"/>
          <w:numId w:val="46"/>
        </w:numPr>
        <w:tabs>
          <w:tab w:pos="1402" w:val="left" w:leader="none"/>
          <w:tab w:pos="1403" w:val="left" w:leader="none"/>
        </w:tabs>
        <w:spacing w:line="240" w:lineRule="auto" w:before="77" w:after="0"/>
        <w:ind w:left="1402" w:right="0" w:hanging="339"/>
        <w:jc w:val="left"/>
        <w:rPr>
          <w:sz w:val="20"/>
        </w:rPr>
      </w:pPr>
      <w:r>
        <w:rPr>
          <w:sz w:val="20"/>
        </w:rPr>
        <w:t>Revenue from Digital Content</w:t>
      </w:r>
      <w:r>
        <w:rPr>
          <w:spacing w:val="2"/>
          <w:sz w:val="20"/>
        </w:rPr>
        <w:t> </w:t>
      </w:r>
      <w:r>
        <w:rPr>
          <w:sz w:val="20"/>
        </w:rPr>
        <w:t>Services.</w:t>
      </w:r>
    </w:p>
    <w:p>
      <w:pPr>
        <w:spacing w:after="0" w:line="240" w:lineRule="auto"/>
        <w:jc w:val="left"/>
        <w:rPr>
          <w:sz w:val="20"/>
        </w:rPr>
        <w:sectPr>
          <w:pgSz w:w="11910" w:h="16840"/>
          <w:pgMar w:header="1244" w:footer="1638" w:top="1500" w:bottom="1820" w:left="580" w:right="820"/>
        </w:sectPr>
      </w:pPr>
    </w:p>
    <w:p>
      <w:pPr>
        <w:pStyle w:val="BodyText"/>
        <w:spacing w:before="7"/>
        <w:rPr>
          <w:sz w:val="19"/>
        </w:rPr>
      </w:pPr>
    </w:p>
    <w:p>
      <w:pPr>
        <w:pStyle w:val="Heading7"/>
        <w:spacing w:before="93"/>
        <w:rPr>
          <w:i/>
        </w:rPr>
      </w:pPr>
      <w:bookmarkStart w:name="Revenue from standardised online teachin" w:id="139"/>
      <w:bookmarkEnd w:id="139"/>
      <w:r>
        <w:rPr>
          <w:i w:val="0"/>
        </w:rPr>
      </w:r>
      <w:r>
        <w:rPr>
          <w:i/>
          <w:color w:val="616161"/>
        </w:rPr>
        <w:t>Revenue from standardised online teaching services</w:t>
      </w:r>
    </w:p>
    <w:p>
      <w:pPr>
        <w:pStyle w:val="ListParagraph"/>
        <w:numPr>
          <w:ilvl w:val="0"/>
          <w:numId w:val="13"/>
        </w:numPr>
        <w:tabs>
          <w:tab w:pos="1443" w:val="left" w:leader="none"/>
          <w:tab w:pos="1444" w:val="left" w:leader="none"/>
        </w:tabs>
        <w:spacing w:line="240" w:lineRule="auto" w:before="215" w:after="0"/>
        <w:ind w:left="1443" w:right="0" w:hanging="721"/>
        <w:jc w:val="left"/>
        <w:rPr>
          <w:sz w:val="20"/>
        </w:rPr>
      </w:pPr>
      <w:r>
        <w:rPr>
          <w:sz w:val="20"/>
        </w:rPr>
        <w:t>The ADS business of Standardised Online Teaching Services generates revenue</w:t>
      </w:r>
      <w:r>
        <w:rPr>
          <w:spacing w:val="-18"/>
          <w:sz w:val="20"/>
        </w:rPr>
        <w:t> </w:t>
      </w:r>
      <w:r>
        <w:rPr>
          <w:sz w:val="20"/>
        </w:rPr>
        <w:t>including:</w:t>
      </w:r>
    </w:p>
    <w:p>
      <w:pPr>
        <w:pStyle w:val="ListParagraph"/>
        <w:numPr>
          <w:ilvl w:val="0"/>
          <w:numId w:val="47"/>
        </w:numPr>
        <w:tabs>
          <w:tab w:pos="1402" w:val="left" w:leader="none"/>
          <w:tab w:pos="1403" w:val="left" w:leader="none"/>
        </w:tabs>
        <w:spacing w:line="240" w:lineRule="auto" w:before="131" w:after="0"/>
        <w:ind w:left="1402" w:right="0" w:hanging="339"/>
        <w:jc w:val="left"/>
        <w:rPr>
          <w:sz w:val="20"/>
        </w:rPr>
      </w:pPr>
      <w:r>
        <w:rPr>
          <w:sz w:val="20"/>
        </w:rPr>
        <w:t>Revenue from Online Advertising</w:t>
      </w:r>
      <w:r>
        <w:rPr>
          <w:spacing w:val="2"/>
          <w:sz w:val="20"/>
        </w:rPr>
        <w:t> </w:t>
      </w:r>
      <w:r>
        <w:rPr>
          <w:sz w:val="20"/>
        </w:rPr>
        <w:t>Services;</w:t>
      </w:r>
    </w:p>
    <w:p>
      <w:pPr>
        <w:pStyle w:val="ListParagraph"/>
        <w:numPr>
          <w:ilvl w:val="0"/>
          <w:numId w:val="47"/>
        </w:numPr>
        <w:tabs>
          <w:tab w:pos="1402" w:val="left" w:leader="none"/>
          <w:tab w:pos="1403" w:val="left" w:leader="none"/>
        </w:tabs>
        <w:spacing w:line="240" w:lineRule="auto" w:before="74" w:after="0"/>
        <w:ind w:left="1402" w:right="0" w:hanging="339"/>
        <w:jc w:val="left"/>
        <w:rPr>
          <w:sz w:val="20"/>
        </w:rPr>
      </w:pPr>
      <w:r>
        <w:rPr>
          <w:sz w:val="20"/>
        </w:rPr>
        <w:t>Revenue from the Sale or Other Alienation of User Data;</w:t>
      </w:r>
      <w:r>
        <w:rPr>
          <w:spacing w:val="2"/>
          <w:sz w:val="20"/>
        </w:rPr>
        <w:t> </w:t>
      </w:r>
      <w:r>
        <w:rPr>
          <w:sz w:val="20"/>
        </w:rPr>
        <w:t>and</w:t>
      </w:r>
    </w:p>
    <w:p>
      <w:pPr>
        <w:pStyle w:val="ListParagraph"/>
        <w:numPr>
          <w:ilvl w:val="0"/>
          <w:numId w:val="47"/>
        </w:numPr>
        <w:tabs>
          <w:tab w:pos="1402" w:val="left" w:leader="none"/>
          <w:tab w:pos="1403" w:val="left" w:leader="none"/>
        </w:tabs>
        <w:spacing w:line="240" w:lineRule="auto" w:before="74" w:after="0"/>
        <w:ind w:left="1402" w:right="0" w:hanging="339"/>
        <w:jc w:val="left"/>
        <w:rPr>
          <w:sz w:val="20"/>
        </w:rPr>
      </w:pPr>
      <w:r>
        <w:rPr>
          <w:sz w:val="20"/>
        </w:rPr>
        <w:t>Revenue from Digital Content</w:t>
      </w:r>
      <w:r>
        <w:rPr>
          <w:spacing w:val="2"/>
          <w:sz w:val="20"/>
        </w:rPr>
        <w:t> </w:t>
      </w:r>
      <w:r>
        <w:rPr>
          <w:sz w:val="20"/>
        </w:rPr>
        <w:t>Services.</w:t>
      </w:r>
    </w:p>
    <w:p>
      <w:pPr>
        <w:pStyle w:val="BodyText"/>
        <w:spacing w:before="4"/>
        <w:rPr>
          <w:sz w:val="23"/>
        </w:rPr>
      </w:pPr>
    </w:p>
    <w:p>
      <w:pPr>
        <w:pStyle w:val="Heading7"/>
        <w:rPr>
          <w:i/>
        </w:rPr>
      </w:pPr>
      <w:bookmarkStart w:name="Revenue from cloud computing services" w:id="140"/>
      <w:bookmarkEnd w:id="140"/>
      <w:r>
        <w:rPr>
          <w:i w:val="0"/>
        </w:rPr>
      </w:r>
      <w:r>
        <w:rPr>
          <w:i/>
          <w:color w:val="616161"/>
        </w:rPr>
        <w:t>Revenue from cloud computing services</w:t>
      </w:r>
    </w:p>
    <w:p>
      <w:pPr>
        <w:pStyle w:val="ListParagraph"/>
        <w:numPr>
          <w:ilvl w:val="0"/>
          <w:numId w:val="13"/>
        </w:numPr>
        <w:tabs>
          <w:tab w:pos="1443" w:val="left" w:leader="none"/>
          <w:tab w:pos="1444" w:val="left" w:leader="none"/>
        </w:tabs>
        <w:spacing w:line="240" w:lineRule="auto" w:before="214" w:after="0"/>
        <w:ind w:left="1443" w:right="0" w:hanging="721"/>
        <w:jc w:val="left"/>
        <w:rPr>
          <w:sz w:val="20"/>
        </w:rPr>
      </w:pPr>
      <w:r>
        <w:rPr>
          <w:sz w:val="20"/>
        </w:rPr>
        <w:t>The ADS business of Cloud Computing Services generates revenue</w:t>
      </w:r>
      <w:r>
        <w:rPr>
          <w:spacing w:val="-6"/>
          <w:sz w:val="20"/>
        </w:rPr>
        <w:t> </w:t>
      </w:r>
      <w:r>
        <w:rPr>
          <w:sz w:val="20"/>
        </w:rPr>
        <w:t>including:</w:t>
      </w:r>
    </w:p>
    <w:p>
      <w:pPr>
        <w:pStyle w:val="ListParagraph"/>
        <w:numPr>
          <w:ilvl w:val="0"/>
          <w:numId w:val="48"/>
        </w:numPr>
        <w:tabs>
          <w:tab w:pos="1402" w:val="left" w:leader="none"/>
          <w:tab w:pos="1403" w:val="left" w:leader="none"/>
        </w:tabs>
        <w:spacing w:line="240" w:lineRule="auto" w:before="131" w:after="0"/>
        <w:ind w:left="1402" w:right="0" w:hanging="339"/>
        <w:jc w:val="left"/>
        <w:rPr>
          <w:sz w:val="20"/>
        </w:rPr>
      </w:pPr>
      <w:r>
        <w:rPr>
          <w:sz w:val="20"/>
        </w:rPr>
        <w:t>Revenue from Online Advertising Services;</w:t>
      </w:r>
      <w:r>
        <w:rPr>
          <w:spacing w:val="7"/>
          <w:sz w:val="20"/>
        </w:rPr>
        <w:t> </w:t>
      </w:r>
      <w:r>
        <w:rPr>
          <w:sz w:val="20"/>
        </w:rPr>
        <w:t>and</w:t>
      </w:r>
    </w:p>
    <w:p>
      <w:pPr>
        <w:pStyle w:val="ListParagraph"/>
        <w:numPr>
          <w:ilvl w:val="0"/>
          <w:numId w:val="48"/>
        </w:numPr>
        <w:tabs>
          <w:tab w:pos="1402" w:val="left" w:leader="none"/>
          <w:tab w:pos="1403" w:val="left" w:leader="none"/>
        </w:tabs>
        <w:spacing w:line="240" w:lineRule="auto" w:before="75" w:after="0"/>
        <w:ind w:left="1402" w:right="0" w:hanging="339"/>
        <w:jc w:val="left"/>
        <w:rPr>
          <w:sz w:val="20"/>
        </w:rPr>
      </w:pPr>
      <w:r>
        <w:rPr>
          <w:sz w:val="20"/>
        </w:rPr>
        <w:t>Revenue from Cloud Computing</w:t>
      </w:r>
      <w:r>
        <w:rPr>
          <w:spacing w:val="2"/>
          <w:sz w:val="20"/>
        </w:rPr>
        <w:t> </w:t>
      </w:r>
      <w:r>
        <w:rPr>
          <w:sz w:val="20"/>
        </w:rPr>
        <w:t>Services.</w:t>
      </w:r>
    </w:p>
    <w:p>
      <w:pPr>
        <w:pStyle w:val="ListParagraph"/>
        <w:numPr>
          <w:ilvl w:val="0"/>
          <w:numId w:val="13"/>
        </w:numPr>
        <w:tabs>
          <w:tab w:pos="1443" w:val="left" w:leader="none"/>
          <w:tab w:pos="1444" w:val="left" w:leader="none"/>
        </w:tabs>
        <w:spacing w:line="273" w:lineRule="auto" w:before="155" w:after="0"/>
        <w:ind w:left="723" w:right="493" w:firstLine="0"/>
        <w:jc w:val="left"/>
        <w:rPr>
          <w:sz w:val="20"/>
        </w:rPr>
      </w:pPr>
      <w:r>
        <w:rPr>
          <w:sz w:val="20"/>
        </w:rPr>
        <w:t>The rule on cloud computing is designed according to the nature of the customer, which may be an individual or a</w:t>
      </w:r>
      <w:r>
        <w:rPr>
          <w:spacing w:val="-3"/>
          <w:sz w:val="20"/>
        </w:rPr>
        <w:t> </w:t>
      </w:r>
      <w:r>
        <w:rPr>
          <w:sz w:val="20"/>
        </w:rPr>
        <w:t>business.</w:t>
      </w:r>
    </w:p>
    <w:p>
      <w:pPr>
        <w:pStyle w:val="BodyText"/>
        <w:spacing w:before="11"/>
        <w:rPr>
          <w:sz w:val="19"/>
        </w:rPr>
      </w:pPr>
    </w:p>
    <w:p>
      <w:pPr>
        <w:pStyle w:val="Heading8"/>
      </w:pPr>
      <w:bookmarkStart w:name="Individual purchaser" w:id="141"/>
      <w:bookmarkEnd w:id="141"/>
      <w:r>
        <w:rPr>
          <w:b w:val="0"/>
        </w:rPr>
      </w:r>
      <w:r>
        <w:rPr/>
        <w:t>Individual purchaser</w:t>
      </w:r>
    </w:p>
    <w:p>
      <w:pPr>
        <w:pStyle w:val="BodyText"/>
        <w:spacing w:before="9"/>
        <w:rPr>
          <w:b/>
          <w:sz w:val="18"/>
        </w:rPr>
      </w:pPr>
    </w:p>
    <w:p>
      <w:pPr>
        <w:pStyle w:val="ListParagraph"/>
        <w:numPr>
          <w:ilvl w:val="0"/>
          <w:numId w:val="13"/>
        </w:numPr>
        <w:tabs>
          <w:tab w:pos="1443" w:val="left" w:leader="none"/>
          <w:tab w:pos="1444" w:val="left" w:leader="none"/>
        </w:tabs>
        <w:spacing w:line="273" w:lineRule="auto" w:before="0" w:after="0"/>
        <w:ind w:left="723" w:right="484" w:firstLine="0"/>
        <w:jc w:val="left"/>
        <w:rPr>
          <w:sz w:val="20"/>
        </w:rPr>
      </w:pPr>
      <w:r>
        <w:rPr>
          <w:sz w:val="20"/>
        </w:rPr>
        <w:t>The</w:t>
      </w:r>
      <w:r>
        <w:rPr>
          <w:spacing w:val="-9"/>
          <w:sz w:val="20"/>
        </w:rPr>
        <w:t> </w:t>
      </w:r>
      <w:r>
        <w:rPr>
          <w:sz w:val="20"/>
        </w:rPr>
        <w:t>sourcing</w:t>
      </w:r>
      <w:r>
        <w:rPr>
          <w:spacing w:val="-9"/>
          <w:sz w:val="20"/>
        </w:rPr>
        <w:t> </w:t>
      </w:r>
      <w:r>
        <w:rPr>
          <w:sz w:val="20"/>
        </w:rPr>
        <w:t>rule</w:t>
      </w:r>
      <w:r>
        <w:rPr>
          <w:spacing w:val="-6"/>
          <w:sz w:val="20"/>
        </w:rPr>
        <w:t> </w:t>
      </w:r>
      <w:r>
        <w:rPr>
          <w:sz w:val="20"/>
        </w:rPr>
        <w:t>for</w:t>
      </w:r>
      <w:r>
        <w:rPr>
          <w:spacing w:val="-8"/>
          <w:sz w:val="20"/>
        </w:rPr>
        <w:t> </w:t>
      </w:r>
      <w:r>
        <w:rPr>
          <w:sz w:val="20"/>
        </w:rPr>
        <w:t>a</w:t>
      </w:r>
      <w:r>
        <w:rPr>
          <w:spacing w:val="-8"/>
          <w:sz w:val="20"/>
        </w:rPr>
        <w:t> </w:t>
      </w:r>
      <w:r>
        <w:rPr>
          <w:sz w:val="20"/>
        </w:rPr>
        <w:t>cloud</w:t>
      </w:r>
      <w:r>
        <w:rPr>
          <w:spacing w:val="-9"/>
          <w:sz w:val="20"/>
        </w:rPr>
        <w:t> </w:t>
      </w:r>
      <w:r>
        <w:rPr>
          <w:sz w:val="20"/>
        </w:rPr>
        <w:t>computing</w:t>
      </w:r>
      <w:r>
        <w:rPr>
          <w:spacing w:val="-9"/>
          <w:sz w:val="20"/>
        </w:rPr>
        <w:t> </w:t>
      </w:r>
      <w:r>
        <w:rPr>
          <w:sz w:val="20"/>
        </w:rPr>
        <w:t>service</w:t>
      </w:r>
      <w:r>
        <w:rPr>
          <w:spacing w:val="-6"/>
          <w:sz w:val="20"/>
        </w:rPr>
        <w:t> </w:t>
      </w:r>
      <w:r>
        <w:rPr>
          <w:sz w:val="20"/>
        </w:rPr>
        <w:t>sold</w:t>
      </w:r>
      <w:r>
        <w:rPr>
          <w:spacing w:val="-9"/>
          <w:sz w:val="20"/>
        </w:rPr>
        <w:t> </w:t>
      </w:r>
      <w:r>
        <w:rPr>
          <w:sz w:val="20"/>
        </w:rPr>
        <w:t>to</w:t>
      </w:r>
      <w:r>
        <w:rPr>
          <w:spacing w:val="-1"/>
          <w:sz w:val="20"/>
        </w:rPr>
        <w:t> </w:t>
      </w:r>
      <w:r>
        <w:rPr>
          <w:sz w:val="20"/>
        </w:rPr>
        <w:t>an</w:t>
      </w:r>
      <w:r>
        <w:rPr>
          <w:spacing w:val="-7"/>
          <w:sz w:val="20"/>
        </w:rPr>
        <w:t> </w:t>
      </w:r>
      <w:r>
        <w:rPr>
          <w:sz w:val="20"/>
        </w:rPr>
        <w:t>individual</w:t>
      </w:r>
      <w:r>
        <w:rPr>
          <w:spacing w:val="-9"/>
          <w:sz w:val="20"/>
        </w:rPr>
        <w:t> </w:t>
      </w:r>
      <w:r>
        <w:rPr>
          <w:sz w:val="20"/>
        </w:rPr>
        <w:t>customer</w:t>
      </w:r>
      <w:r>
        <w:rPr>
          <w:spacing w:val="-8"/>
          <w:sz w:val="20"/>
        </w:rPr>
        <w:t> </w:t>
      </w:r>
      <w:r>
        <w:rPr>
          <w:sz w:val="20"/>
        </w:rPr>
        <w:t>is</w:t>
      </w:r>
      <w:r>
        <w:rPr>
          <w:spacing w:val="-7"/>
          <w:sz w:val="20"/>
        </w:rPr>
        <w:t> </w:t>
      </w:r>
      <w:r>
        <w:rPr>
          <w:sz w:val="20"/>
        </w:rPr>
        <w:t>the</w:t>
      </w:r>
      <w:r>
        <w:rPr>
          <w:spacing w:val="-7"/>
          <w:sz w:val="20"/>
        </w:rPr>
        <w:t> </w:t>
      </w:r>
      <w:r>
        <w:rPr>
          <w:sz w:val="20"/>
        </w:rPr>
        <w:t>jurisdiction</w:t>
      </w:r>
      <w:r>
        <w:rPr>
          <w:spacing w:val="-7"/>
          <w:sz w:val="20"/>
        </w:rPr>
        <w:t> </w:t>
      </w:r>
      <w:r>
        <w:rPr>
          <w:sz w:val="20"/>
        </w:rPr>
        <w:t>of ordinary residence of the</w:t>
      </w:r>
      <w:r>
        <w:rPr>
          <w:spacing w:val="-3"/>
          <w:sz w:val="20"/>
        </w:rPr>
        <w:t> </w:t>
      </w:r>
      <w:r>
        <w:rPr>
          <w:sz w:val="20"/>
        </w:rPr>
        <w:t>purchaser.</w:t>
      </w:r>
    </w:p>
    <w:p>
      <w:pPr>
        <w:pStyle w:val="ListParagraph"/>
        <w:numPr>
          <w:ilvl w:val="0"/>
          <w:numId w:val="13"/>
        </w:numPr>
        <w:tabs>
          <w:tab w:pos="1443" w:val="left" w:leader="none"/>
          <w:tab w:pos="1444" w:val="left" w:leader="none"/>
        </w:tabs>
        <w:spacing w:line="240" w:lineRule="auto" w:before="117"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49"/>
        </w:numPr>
        <w:tabs>
          <w:tab w:pos="2085" w:val="left" w:leader="none"/>
        </w:tabs>
        <w:spacing w:line="273" w:lineRule="auto" w:before="142" w:after="0"/>
        <w:ind w:left="2084" w:right="489" w:hanging="341"/>
        <w:jc w:val="left"/>
        <w:rPr>
          <w:sz w:val="20"/>
        </w:rPr>
      </w:pPr>
      <w:r>
        <w:rPr>
          <w:sz w:val="20"/>
        </w:rPr>
        <w:t>The jurisdiction of the ordinary residence of the purchaser based on user profile information:</w:t>
      </w:r>
    </w:p>
    <w:p>
      <w:pPr>
        <w:pStyle w:val="ListParagraph"/>
        <w:numPr>
          <w:ilvl w:val="1"/>
          <w:numId w:val="49"/>
        </w:numPr>
        <w:tabs>
          <w:tab w:pos="2763" w:val="left" w:leader="none"/>
          <w:tab w:pos="2764" w:val="left" w:leader="none"/>
        </w:tabs>
        <w:spacing w:line="240" w:lineRule="auto" w:before="56" w:after="0"/>
        <w:ind w:left="2763" w:right="0" w:hanging="327"/>
        <w:jc w:val="left"/>
        <w:rPr>
          <w:sz w:val="20"/>
        </w:rPr>
      </w:pPr>
      <w:r>
        <w:rPr>
          <w:sz w:val="20"/>
        </w:rPr>
        <w:t>Information</w:t>
      </w:r>
      <w:r>
        <w:rPr>
          <w:spacing w:val="-14"/>
          <w:sz w:val="20"/>
        </w:rPr>
        <w:t> </w:t>
      </w:r>
      <w:r>
        <w:rPr>
          <w:sz w:val="20"/>
        </w:rPr>
        <w:t>on</w:t>
      </w:r>
      <w:r>
        <w:rPr>
          <w:spacing w:val="-13"/>
          <w:sz w:val="20"/>
        </w:rPr>
        <w:t> </w:t>
      </w:r>
      <w:r>
        <w:rPr>
          <w:sz w:val="20"/>
        </w:rPr>
        <w:t>residence</w:t>
      </w:r>
      <w:r>
        <w:rPr>
          <w:spacing w:val="-13"/>
          <w:sz w:val="20"/>
        </w:rPr>
        <w:t> </w:t>
      </w:r>
      <w:r>
        <w:rPr>
          <w:sz w:val="20"/>
        </w:rPr>
        <w:t>obtained</w:t>
      </w:r>
      <w:r>
        <w:rPr>
          <w:spacing w:val="-13"/>
          <w:sz w:val="20"/>
        </w:rPr>
        <w:t> </w:t>
      </w:r>
      <w:r>
        <w:rPr>
          <w:sz w:val="20"/>
        </w:rPr>
        <w:t>from</w:t>
      </w:r>
      <w:r>
        <w:rPr>
          <w:spacing w:val="-11"/>
          <w:sz w:val="20"/>
        </w:rPr>
        <w:t> </w:t>
      </w:r>
      <w:r>
        <w:rPr>
          <w:sz w:val="20"/>
        </w:rPr>
        <w:t>recurring</w:t>
      </w:r>
      <w:r>
        <w:rPr>
          <w:spacing w:val="-13"/>
          <w:sz w:val="20"/>
        </w:rPr>
        <w:t> </w:t>
      </w:r>
      <w:r>
        <w:rPr>
          <w:sz w:val="20"/>
        </w:rPr>
        <w:t>data</w:t>
      </w:r>
      <w:r>
        <w:rPr>
          <w:spacing w:val="-14"/>
          <w:sz w:val="20"/>
        </w:rPr>
        <w:t> </w:t>
      </w:r>
      <w:r>
        <w:rPr>
          <w:sz w:val="20"/>
        </w:rPr>
        <w:t>on</w:t>
      </w:r>
      <w:r>
        <w:rPr>
          <w:spacing w:val="-13"/>
          <w:sz w:val="20"/>
        </w:rPr>
        <w:t> </w:t>
      </w:r>
      <w:r>
        <w:rPr>
          <w:sz w:val="20"/>
        </w:rPr>
        <w:t>geolocation</w:t>
      </w:r>
      <w:r>
        <w:rPr>
          <w:spacing w:val="-11"/>
          <w:sz w:val="20"/>
        </w:rPr>
        <w:t> </w:t>
      </w:r>
      <w:r>
        <w:rPr>
          <w:sz w:val="20"/>
        </w:rPr>
        <w:t>or</w:t>
      </w:r>
      <w:r>
        <w:rPr>
          <w:spacing w:val="-12"/>
          <w:sz w:val="20"/>
        </w:rPr>
        <w:t> </w:t>
      </w:r>
      <w:r>
        <w:rPr>
          <w:sz w:val="20"/>
        </w:rPr>
        <w:t>IP</w:t>
      </w:r>
      <w:r>
        <w:rPr>
          <w:spacing w:val="-13"/>
          <w:sz w:val="20"/>
        </w:rPr>
        <w:t> </w:t>
      </w:r>
      <w:r>
        <w:rPr>
          <w:sz w:val="20"/>
        </w:rPr>
        <w:t>address</w:t>
      </w:r>
    </w:p>
    <w:p>
      <w:pPr>
        <w:pStyle w:val="BodyText"/>
        <w:spacing w:before="29"/>
        <w:ind w:left="2763"/>
      </w:pPr>
      <w:r>
        <w:rPr/>
        <w:t>of the purchaser’s device; or if unavailable or unreliable</w:t>
      </w:r>
    </w:p>
    <w:p>
      <w:pPr>
        <w:pStyle w:val="ListParagraph"/>
        <w:numPr>
          <w:ilvl w:val="1"/>
          <w:numId w:val="49"/>
        </w:numPr>
        <w:tabs>
          <w:tab w:pos="2763" w:val="left" w:leader="none"/>
          <w:tab w:pos="2764" w:val="left" w:leader="none"/>
        </w:tabs>
        <w:spacing w:line="240" w:lineRule="auto" w:before="92" w:after="0"/>
        <w:ind w:left="2763" w:right="0" w:hanging="371"/>
        <w:jc w:val="left"/>
        <w:rPr>
          <w:sz w:val="20"/>
        </w:rPr>
      </w:pPr>
      <w:r>
        <w:rPr>
          <w:sz w:val="20"/>
        </w:rPr>
        <w:t>Billing address of the purchaser; or if unavailable or</w:t>
      </w:r>
      <w:r>
        <w:rPr>
          <w:spacing w:val="-8"/>
          <w:sz w:val="20"/>
        </w:rPr>
        <w:t> </w:t>
      </w:r>
      <w:r>
        <w:rPr>
          <w:sz w:val="20"/>
        </w:rPr>
        <w:t>unreliable</w:t>
      </w:r>
    </w:p>
    <w:p>
      <w:pPr>
        <w:pStyle w:val="ListParagraph"/>
        <w:numPr>
          <w:ilvl w:val="1"/>
          <w:numId w:val="49"/>
        </w:numPr>
        <w:tabs>
          <w:tab w:pos="2763" w:val="left" w:leader="none"/>
          <w:tab w:pos="2764" w:val="left" w:leader="none"/>
        </w:tabs>
        <w:spacing w:line="271" w:lineRule="auto" w:before="90" w:after="0"/>
        <w:ind w:left="2763" w:right="488" w:hanging="416"/>
        <w:jc w:val="left"/>
        <w:rPr>
          <w:sz w:val="20"/>
        </w:rPr>
      </w:pPr>
      <w:r>
        <w:rPr>
          <w:sz w:val="20"/>
        </w:rPr>
        <w:t>Mobile country code of the phone number of the purchaser; or if unavailable or unreliable</w:t>
      </w:r>
    </w:p>
    <w:p>
      <w:pPr>
        <w:pStyle w:val="ListParagraph"/>
        <w:numPr>
          <w:ilvl w:val="1"/>
          <w:numId w:val="49"/>
        </w:numPr>
        <w:tabs>
          <w:tab w:pos="2763" w:val="left" w:leader="none"/>
          <w:tab w:pos="2764" w:val="left" w:leader="none"/>
        </w:tabs>
        <w:spacing w:line="240" w:lineRule="auto" w:before="61" w:after="0"/>
        <w:ind w:left="2763" w:right="0" w:hanging="428"/>
        <w:jc w:val="left"/>
        <w:rPr>
          <w:sz w:val="20"/>
        </w:rPr>
      </w:pPr>
      <w:r>
        <w:rPr>
          <w:sz w:val="20"/>
        </w:rPr>
        <w:t>Information on residence inputted by the purchaser; or if unavailable or</w:t>
      </w:r>
      <w:r>
        <w:rPr>
          <w:spacing w:val="-31"/>
          <w:sz w:val="20"/>
        </w:rPr>
        <w:t> </w:t>
      </w:r>
      <w:r>
        <w:rPr>
          <w:sz w:val="20"/>
        </w:rPr>
        <w:t>unreliable</w:t>
      </w:r>
    </w:p>
    <w:p>
      <w:pPr>
        <w:pStyle w:val="ListParagraph"/>
        <w:numPr>
          <w:ilvl w:val="1"/>
          <w:numId w:val="49"/>
        </w:numPr>
        <w:tabs>
          <w:tab w:pos="2763" w:val="left" w:leader="none"/>
          <w:tab w:pos="2764" w:val="left" w:leader="none"/>
        </w:tabs>
        <w:spacing w:line="271" w:lineRule="auto" w:before="89" w:after="0"/>
        <w:ind w:left="2763" w:right="488" w:hanging="382"/>
        <w:jc w:val="left"/>
        <w:rPr>
          <w:sz w:val="20"/>
        </w:rPr>
      </w:pPr>
      <w:r>
        <w:rPr>
          <w:sz w:val="20"/>
        </w:rPr>
        <w:t>Other available information that can be used to determine the jurisdiction of the ordinary residence of the purchaser; or if unavailable or</w:t>
      </w:r>
      <w:r>
        <w:rPr>
          <w:spacing w:val="-14"/>
          <w:sz w:val="20"/>
        </w:rPr>
        <w:t> </w:t>
      </w:r>
      <w:r>
        <w:rPr>
          <w:sz w:val="20"/>
        </w:rPr>
        <w:t>unreliable</w:t>
      </w:r>
    </w:p>
    <w:p>
      <w:pPr>
        <w:pStyle w:val="ListParagraph"/>
        <w:numPr>
          <w:ilvl w:val="0"/>
          <w:numId w:val="49"/>
        </w:numPr>
        <w:tabs>
          <w:tab w:pos="2085" w:val="left" w:leader="none"/>
        </w:tabs>
        <w:spacing w:line="240" w:lineRule="auto" w:before="61" w:after="0"/>
        <w:ind w:left="2084" w:right="0" w:hanging="342"/>
        <w:jc w:val="left"/>
        <w:rPr>
          <w:sz w:val="20"/>
        </w:rPr>
      </w:pPr>
      <w:r>
        <w:rPr>
          <w:sz w:val="20"/>
        </w:rPr>
        <w:t>The jurisdiction of the billing address of the purchaser; or if unavailable or</w:t>
      </w:r>
      <w:r>
        <w:rPr>
          <w:spacing w:val="-22"/>
          <w:sz w:val="20"/>
        </w:rPr>
        <w:t> </w:t>
      </w:r>
      <w:r>
        <w:rPr>
          <w:sz w:val="20"/>
        </w:rPr>
        <w:t>unreliable</w:t>
      </w:r>
    </w:p>
    <w:p>
      <w:pPr>
        <w:pStyle w:val="ListParagraph"/>
        <w:numPr>
          <w:ilvl w:val="0"/>
          <w:numId w:val="49"/>
        </w:numPr>
        <w:tabs>
          <w:tab w:pos="2085" w:val="left" w:leader="none"/>
        </w:tabs>
        <w:spacing w:line="271" w:lineRule="auto" w:before="89" w:after="0"/>
        <w:ind w:left="2084" w:right="483" w:hanging="341"/>
        <w:jc w:val="left"/>
        <w:rPr>
          <w:sz w:val="20"/>
        </w:rPr>
      </w:pPr>
      <w:r>
        <w:rPr>
          <w:sz w:val="20"/>
        </w:rPr>
        <w:t>The jurisdiction of the geolocation of the device of the purchaser; or if unavailable or unreliable</w:t>
      </w:r>
    </w:p>
    <w:p>
      <w:pPr>
        <w:pStyle w:val="ListParagraph"/>
        <w:numPr>
          <w:ilvl w:val="0"/>
          <w:numId w:val="49"/>
        </w:numPr>
        <w:tabs>
          <w:tab w:pos="2085" w:val="left" w:leader="none"/>
        </w:tabs>
        <w:spacing w:line="240" w:lineRule="auto" w:before="61" w:after="0"/>
        <w:ind w:left="2084" w:right="0" w:hanging="342"/>
        <w:jc w:val="left"/>
        <w:rPr>
          <w:sz w:val="20"/>
        </w:rPr>
      </w:pPr>
      <w:r>
        <w:rPr>
          <w:sz w:val="20"/>
        </w:rPr>
        <w:t>The jurisdiction of the IP address of the device of the</w:t>
      </w:r>
      <w:r>
        <w:rPr>
          <w:spacing w:val="-3"/>
          <w:sz w:val="20"/>
        </w:rPr>
        <w:t> </w:t>
      </w:r>
      <w:r>
        <w:rPr>
          <w:sz w:val="20"/>
        </w:rPr>
        <w:t>purchaser</w:t>
      </w:r>
    </w:p>
    <w:p>
      <w:pPr>
        <w:pStyle w:val="BodyText"/>
        <w:spacing w:before="5"/>
        <w:rPr>
          <w:sz w:val="23"/>
        </w:rPr>
      </w:pPr>
    </w:p>
    <w:p>
      <w:pPr>
        <w:pStyle w:val="Heading8"/>
      </w:pPr>
      <w:bookmarkStart w:name="Business customer" w:id="142"/>
      <w:bookmarkEnd w:id="142"/>
      <w:r>
        <w:rPr>
          <w:b w:val="0"/>
        </w:rPr>
      </w:r>
      <w:r>
        <w:rPr/>
        <w:t>Business customer</w:t>
      </w:r>
    </w:p>
    <w:p>
      <w:pPr>
        <w:pStyle w:val="BodyText"/>
        <w:spacing w:before="10"/>
        <w:rPr>
          <w:b/>
          <w:sz w:val="18"/>
        </w:rPr>
      </w:pPr>
    </w:p>
    <w:p>
      <w:pPr>
        <w:pStyle w:val="ListParagraph"/>
        <w:numPr>
          <w:ilvl w:val="0"/>
          <w:numId w:val="13"/>
        </w:numPr>
        <w:tabs>
          <w:tab w:pos="1443" w:val="left" w:leader="none"/>
          <w:tab w:pos="1444" w:val="left" w:leader="none"/>
        </w:tabs>
        <w:spacing w:line="268" w:lineRule="auto" w:before="0" w:after="0"/>
        <w:ind w:left="723" w:right="484" w:firstLine="0"/>
        <w:jc w:val="left"/>
        <w:rPr>
          <w:sz w:val="20"/>
        </w:rPr>
      </w:pPr>
      <w:r>
        <w:rPr>
          <w:sz w:val="20"/>
        </w:rPr>
        <w:t>The</w:t>
      </w:r>
      <w:r>
        <w:rPr>
          <w:spacing w:val="-4"/>
          <w:sz w:val="20"/>
        </w:rPr>
        <w:t> </w:t>
      </w:r>
      <w:r>
        <w:rPr>
          <w:sz w:val="20"/>
        </w:rPr>
        <w:t>sourcing</w:t>
      </w:r>
      <w:r>
        <w:rPr>
          <w:spacing w:val="-5"/>
          <w:sz w:val="20"/>
        </w:rPr>
        <w:t> </w:t>
      </w:r>
      <w:r>
        <w:rPr>
          <w:sz w:val="20"/>
        </w:rPr>
        <w:t>rule</w:t>
      </w:r>
      <w:r>
        <w:rPr>
          <w:spacing w:val="-3"/>
          <w:sz w:val="20"/>
        </w:rPr>
        <w:t> </w:t>
      </w:r>
      <w:r>
        <w:rPr>
          <w:sz w:val="20"/>
        </w:rPr>
        <w:t>for</w:t>
      </w:r>
      <w:r>
        <w:rPr>
          <w:spacing w:val="-1"/>
          <w:sz w:val="20"/>
        </w:rPr>
        <w:t> </w:t>
      </w:r>
      <w:r>
        <w:rPr>
          <w:sz w:val="20"/>
        </w:rPr>
        <w:t>a</w:t>
      </w:r>
      <w:r>
        <w:rPr>
          <w:spacing w:val="-3"/>
          <w:sz w:val="20"/>
        </w:rPr>
        <w:t> </w:t>
      </w:r>
      <w:r>
        <w:rPr>
          <w:sz w:val="20"/>
        </w:rPr>
        <w:t>service</w:t>
      </w:r>
      <w:r>
        <w:rPr>
          <w:spacing w:val="-4"/>
          <w:sz w:val="20"/>
        </w:rPr>
        <w:t> </w:t>
      </w:r>
      <w:r>
        <w:rPr>
          <w:sz w:val="20"/>
        </w:rPr>
        <w:t>intended</w:t>
      </w:r>
      <w:r>
        <w:rPr>
          <w:spacing w:val="-3"/>
          <w:sz w:val="20"/>
        </w:rPr>
        <w:t> </w:t>
      </w:r>
      <w:r>
        <w:rPr>
          <w:sz w:val="20"/>
        </w:rPr>
        <w:t>for</w:t>
      </w:r>
      <w:r>
        <w:rPr>
          <w:spacing w:val="-4"/>
          <w:sz w:val="20"/>
        </w:rPr>
        <w:t> </w:t>
      </w:r>
      <w:r>
        <w:rPr>
          <w:sz w:val="20"/>
        </w:rPr>
        <w:t>internal</w:t>
      </w:r>
      <w:r>
        <w:rPr>
          <w:spacing w:val="-5"/>
          <w:sz w:val="20"/>
        </w:rPr>
        <w:t> </w:t>
      </w:r>
      <w:r>
        <w:rPr>
          <w:sz w:val="20"/>
        </w:rPr>
        <w:t>use</w:t>
      </w:r>
      <w:r>
        <w:rPr>
          <w:spacing w:val="-1"/>
          <w:sz w:val="20"/>
        </w:rPr>
        <w:t> </w:t>
      </w:r>
      <w:r>
        <w:rPr>
          <w:sz w:val="20"/>
        </w:rPr>
        <w:t>by</w:t>
      </w:r>
      <w:r>
        <w:rPr>
          <w:spacing w:val="-7"/>
          <w:sz w:val="20"/>
        </w:rPr>
        <w:t> </w:t>
      </w:r>
      <w:r>
        <w:rPr>
          <w:sz w:val="20"/>
        </w:rPr>
        <w:t>a</w:t>
      </w:r>
      <w:r>
        <w:rPr>
          <w:spacing w:val="-1"/>
          <w:sz w:val="20"/>
        </w:rPr>
        <w:t> </w:t>
      </w:r>
      <w:r>
        <w:rPr>
          <w:sz w:val="20"/>
        </w:rPr>
        <w:t>business</w:t>
      </w:r>
      <w:r>
        <w:rPr>
          <w:spacing w:val="-3"/>
          <w:sz w:val="20"/>
        </w:rPr>
        <w:t> </w:t>
      </w:r>
      <w:r>
        <w:rPr>
          <w:sz w:val="20"/>
        </w:rPr>
        <w:t>customer</w:t>
      </w:r>
      <w:r>
        <w:rPr>
          <w:spacing w:val="2"/>
          <w:sz w:val="20"/>
        </w:rPr>
        <w:t> </w:t>
      </w:r>
      <w:r>
        <w:rPr>
          <w:sz w:val="20"/>
        </w:rPr>
        <w:t>is</w:t>
      </w:r>
      <w:r>
        <w:rPr>
          <w:spacing w:val="-4"/>
          <w:sz w:val="20"/>
        </w:rPr>
        <w:t> </w:t>
      </w:r>
      <w:r>
        <w:rPr>
          <w:sz w:val="20"/>
        </w:rPr>
        <w:t>the</w:t>
      </w:r>
      <w:r>
        <w:rPr>
          <w:spacing w:val="-4"/>
          <w:sz w:val="20"/>
        </w:rPr>
        <w:t> </w:t>
      </w:r>
      <w:r>
        <w:rPr>
          <w:sz w:val="20"/>
        </w:rPr>
        <w:t>jurisdiction of the location where the business uses the</w:t>
      </w:r>
      <w:r>
        <w:rPr>
          <w:spacing w:val="-4"/>
          <w:sz w:val="20"/>
        </w:rPr>
        <w:t> </w:t>
      </w:r>
      <w:r>
        <w:rPr>
          <w:sz w:val="20"/>
        </w:rPr>
        <w:t>service.</w:t>
      </w:r>
      <w:r>
        <w:rPr>
          <w:sz w:val="20"/>
          <w:vertAlign w:val="superscript"/>
        </w:rPr>
        <w:t>50</w:t>
      </w:r>
    </w:p>
    <w:p>
      <w:pPr>
        <w:pStyle w:val="BodyText"/>
      </w:pPr>
    </w:p>
    <w:p>
      <w:pPr>
        <w:pStyle w:val="BodyText"/>
        <w:spacing w:before="7"/>
        <w:rPr>
          <w:sz w:val="13"/>
        </w:rPr>
      </w:pPr>
      <w:r>
        <w:rPr/>
        <w:pict>
          <v:rect style="position:absolute;margin-left:65.183998pt;margin-top:9.814540pt;width:144.020004pt;height:.599980pt;mso-position-horizontal-relative:page;mso-position-vertical-relative:paragraph;z-index:-15677952;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1" w:val="left" w:leader="none"/>
        </w:tabs>
        <w:spacing w:line="278" w:lineRule="auto" w:before="94" w:after="0"/>
        <w:ind w:left="723" w:right="490" w:firstLine="0"/>
        <w:jc w:val="both"/>
        <w:rPr>
          <w:sz w:val="18"/>
        </w:rPr>
      </w:pPr>
      <w:r>
        <w:rPr>
          <w:sz w:val="18"/>
        </w:rPr>
        <w:t>Consideration is also being given to whether a more specific rule could be created where cloud computing service is provided to host the platform of another ADS provider. Where such provider will be required to collect information on</w:t>
      </w:r>
      <w:r>
        <w:rPr>
          <w:spacing w:val="7"/>
          <w:sz w:val="18"/>
        </w:rPr>
        <w:t> </w:t>
      </w:r>
      <w:r>
        <w:rPr>
          <w:sz w:val="18"/>
        </w:rPr>
        <w:t>revenue</w:t>
      </w:r>
      <w:r>
        <w:rPr>
          <w:spacing w:val="7"/>
          <w:sz w:val="18"/>
        </w:rPr>
        <w:t> </w:t>
      </w:r>
      <w:r>
        <w:rPr>
          <w:sz w:val="18"/>
        </w:rPr>
        <w:t>sourcing</w:t>
      </w:r>
      <w:r>
        <w:rPr>
          <w:spacing w:val="5"/>
          <w:sz w:val="18"/>
        </w:rPr>
        <w:t> </w:t>
      </w:r>
      <w:r>
        <w:rPr>
          <w:sz w:val="18"/>
        </w:rPr>
        <w:t>to</w:t>
      </w:r>
      <w:r>
        <w:rPr>
          <w:spacing w:val="5"/>
          <w:sz w:val="18"/>
        </w:rPr>
        <w:t> </w:t>
      </w:r>
      <w:r>
        <w:rPr>
          <w:sz w:val="18"/>
        </w:rPr>
        <w:t>comply</w:t>
      </w:r>
      <w:r>
        <w:rPr>
          <w:spacing w:val="8"/>
          <w:sz w:val="18"/>
        </w:rPr>
        <w:t> </w:t>
      </w:r>
      <w:r>
        <w:rPr>
          <w:sz w:val="18"/>
        </w:rPr>
        <w:t>with</w:t>
      </w:r>
      <w:r>
        <w:rPr>
          <w:spacing w:val="8"/>
          <w:sz w:val="18"/>
        </w:rPr>
        <w:t> </w:t>
      </w:r>
      <w:r>
        <w:rPr>
          <w:sz w:val="18"/>
        </w:rPr>
        <w:t>their</w:t>
      </w:r>
      <w:r>
        <w:rPr>
          <w:spacing w:val="6"/>
          <w:sz w:val="18"/>
        </w:rPr>
        <w:t> </w:t>
      </w:r>
      <w:r>
        <w:rPr>
          <w:sz w:val="18"/>
        </w:rPr>
        <w:t>own</w:t>
      </w:r>
      <w:r>
        <w:rPr>
          <w:spacing w:val="7"/>
          <w:sz w:val="18"/>
        </w:rPr>
        <w:t> </w:t>
      </w:r>
      <w:r>
        <w:rPr>
          <w:sz w:val="18"/>
        </w:rPr>
        <w:t>obligations</w:t>
      </w:r>
      <w:r>
        <w:rPr>
          <w:spacing w:val="8"/>
          <w:sz w:val="18"/>
        </w:rPr>
        <w:t> </w:t>
      </w:r>
      <w:r>
        <w:rPr>
          <w:sz w:val="18"/>
        </w:rPr>
        <w:t>under</w:t>
      </w:r>
      <w:r>
        <w:rPr>
          <w:spacing w:val="6"/>
          <w:sz w:val="18"/>
        </w:rPr>
        <w:t> </w:t>
      </w:r>
      <w:r>
        <w:rPr>
          <w:sz w:val="18"/>
        </w:rPr>
        <w:t>Amount</w:t>
      </w:r>
      <w:r>
        <w:rPr>
          <w:spacing w:val="7"/>
          <w:sz w:val="18"/>
        </w:rPr>
        <w:t> </w:t>
      </w:r>
      <w:r>
        <w:rPr>
          <w:sz w:val="18"/>
        </w:rPr>
        <w:t>A,</w:t>
      </w:r>
      <w:r>
        <w:rPr>
          <w:spacing w:val="8"/>
          <w:sz w:val="18"/>
        </w:rPr>
        <w:t> </w:t>
      </w:r>
      <w:r>
        <w:rPr>
          <w:sz w:val="18"/>
        </w:rPr>
        <w:t>more</w:t>
      </w:r>
      <w:r>
        <w:rPr>
          <w:spacing w:val="7"/>
          <w:sz w:val="18"/>
        </w:rPr>
        <w:t> </w:t>
      </w:r>
      <w:r>
        <w:rPr>
          <w:sz w:val="18"/>
        </w:rPr>
        <w:t>precise</w:t>
      </w:r>
      <w:r>
        <w:rPr>
          <w:spacing w:val="5"/>
          <w:sz w:val="18"/>
        </w:rPr>
        <w:t> </w:t>
      </w:r>
      <w:r>
        <w:rPr>
          <w:sz w:val="18"/>
        </w:rPr>
        <w:t>information</w:t>
      </w:r>
      <w:r>
        <w:rPr>
          <w:spacing w:val="7"/>
          <w:sz w:val="18"/>
        </w:rPr>
        <w:t> </w:t>
      </w:r>
      <w:r>
        <w:rPr>
          <w:sz w:val="18"/>
        </w:rPr>
        <w:t>will</w:t>
      </w:r>
      <w:r>
        <w:rPr>
          <w:spacing w:val="7"/>
          <w:sz w:val="18"/>
        </w:rPr>
        <w:t> </w:t>
      </w:r>
      <w:r>
        <w:rPr>
          <w:sz w:val="18"/>
        </w:rPr>
        <w:t>already</w:t>
      </w:r>
      <w:r>
        <w:rPr>
          <w:spacing w:val="6"/>
          <w:sz w:val="18"/>
        </w:rPr>
        <w:t> </w:t>
      </w:r>
      <w:r>
        <w:rPr>
          <w:sz w:val="18"/>
        </w:rPr>
        <w:t>be</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3" w:val="left" w:leader="none"/>
          <w:tab w:pos="1444" w:val="left" w:leader="none"/>
        </w:tabs>
        <w:spacing w:line="240" w:lineRule="auto" w:before="93"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50"/>
        </w:numPr>
        <w:tabs>
          <w:tab w:pos="2085" w:val="left" w:leader="none"/>
        </w:tabs>
        <w:spacing w:line="240" w:lineRule="auto" w:before="142" w:after="0"/>
        <w:ind w:left="2084" w:right="0" w:hanging="342"/>
        <w:jc w:val="both"/>
        <w:rPr>
          <w:sz w:val="20"/>
        </w:rPr>
      </w:pPr>
      <w:r>
        <w:rPr>
          <w:sz w:val="20"/>
        </w:rPr>
        <w:t>The</w:t>
      </w:r>
      <w:r>
        <w:rPr>
          <w:spacing w:val="12"/>
          <w:sz w:val="20"/>
        </w:rPr>
        <w:t> </w:t>
      </w:r>
      <w:r>
        <w:rPr>
          <w:sz w:val="20"/>
        </w:rPr>
        <w:t>jurisdiction(s)</w:t>
      </w:r>
      <w:r>
        <w:rPr>
          <w:spacing w:val="15"/>
          <w:sz w:val="20"/>
        </w:rPr>
        <w:t> </w:t>
      </w:r>
      <w:r>
        <w:rPr>
          <w:sz w:val="20"/>
        </w:rPr>
        <w:t>of</w:t>
      </w:r>
      <w:r>
        <w:rPr>
          <w:spacing w:val="15"/>
          <w:sz w:val="20"/>
        </w:rPr>
        <w:t> </w:t>
      </w:r>
      <w:r>
        <w:rPr>
          <w:sz w:val="20"/>
        </w:rPr>
        <w:t>the</w:t>
      </w:r>
      <w:r>
        <w:rPr>
          <w:spacing w:val="16"/>
          <w:sz w:val="20"/>
        </w:rPr>
        <w:t> </w:t>
      </w:r>
      <w:r>
        <w:rPr>
          <w:sz w:val="20"/>
        </w:rPr>
        <w:t>business’</w:t>
      </w:r>
      <w:r>
        <w:rPr>
          <w:spacing w:val="15"/>
          <w:sz w:val="20"/>
        </w:rPr>
        <w:t> </w:t>
      </w:r>
      <w:r>
        <w:rPr>
          <w:sz w:val="20"/>
        </w:rPr>
        <w:t>employees</w:t>
      </w:r>
      <w:r>
        <w:rPr>
          <w:spacing w:val="13"/>
          <w:sz w:val="20"/>
        </w:rPr>
        <w:t> </w:t>
      </w:r>
      <w:r>
        <w:rPr>
          <w:sz w:val="20"/>
        </w:rPr>
        <w:t>benefiting</w:t>
      </w:r>
      <w:r>
        <w:rPr>
          <w:spacing w:val="13"/>
          <w:sz w:val="20"/>
        </w:rPr>
        <w:t> </w:t>
      </w:r>
      <w:r>
        <w:rPr>
          <w:sz w:val="20"/>
        </w:rPr>
        <w:t>from</w:t>
      </w:r>
      <w:r>
        <w:rPr>
          <w:spacing w:val="17"/>
          <w:sz w:val="20"/>
        </w:rPr>
        <w:t> </w:t>
      </w:r>
      <w:r>
        <w:rPr>
          <w:sz w:val="20"/>
        </w:rPr>
        <w:t>the</w:t>
      </w:r>
      <w:r>
        <w:rPr>
          <w:spacing w:val="13"/>
          <w:sz w:val="20"/>
        </w:rPr>
        <w:t> </w:t>
      </w:r>
      <w:r>
        <w:rPr>
          <w:sz w:val="20"/>
        </w:rPr>
        <w:t>service</w:t>
      </w:r>
      <w:r>
        <w:rPr>
          <w:spacing w:val="13"/>
          <w:sz w:val="20"/>
        </w:rPr>
        <w:t> </w:t>
      </w:r>
      <w:r>
        <w:rPr>
          <w:sz w:val="20"/>
        </w:rPr>
        <w:t>as</w:t>
      </w:r>
      <w:r>
        <w:rPr>
          <w:spacing w:val="13"/>
          <w:sz w:val="20"/>
        </w:rPr>
        <w:t> </w:t>
      </w:r>
      <w:r>
        <w:rPr>
          <w:sz w:val="20"/>
        </w:rPr>
        <w:t>reported</w:t>
      </w:r>
      <w:r>
        <w:rPr>
          <w:spacing w:val="13"/>
          <w:sz w:val="20"/>
        </w:rPr>
        <w:t> </w:t>
      </w:r>
      <w:r>
        <w:rPr>
          <w:sz w:val="20"/>
        </w:rPr>
        <w:t>to</w:t>
      </w:r>
    </w:p>
    <w:p>
      <w:pPr>
        <w:pStyle w:val="BodyText"/>
        <w:spacing w:before="29"/>
        <w:ind w:left="2084"/>
        <w:jc w:val="both"/>
      </w:pPr>
      <w:r>
        <w:rPr/>
        <w:t>the cloud computing service provider by the customer; or if unavailable or unreliable</w:t>
      </w:r>
    </w:p>
    <w:p>
      <w:pPr>
        <w:pStyle w:val="ListParagraph"/>
        <w:numPr>
          <w:ilvl w:val="0"/>
          <w:numId w:val="50"/>
        </w:numPr>
        <w:tabs>
          <w:tab w:pos="2085" w:val="left" w:leader="none"/>
        </w:tabs>
        <w:spacing w:line="271" w:lineRule="auto" w:before="92" w:after="0"/>
        <w:ind w:left="2084" w:right="480" w:hanging="341"/>
        <w:jc w:val="both"/>
        <w:rPr>
          <w:sz w:val="20"/>
        </w:rPr>
      </w:pPr>
      <w:r>
        <w:rPr>
          <w:sz w:val="20"/>
        </w:rPr>
        <w:t>The jurisdiction(s) in which the business has operations, determined by the offices and address details contained in the business agreement and/or in records collected for tax purposes (such as value added tax purposes); or if unavailable or</w:t>
      </w:r>
      <w:r>
        <w:rPr>
          <w:spacing w:val="-14"/>
          <w:sz w:val="20"/>
        </w:rPr>
        <w:t> </w:t>
      </w:r>
      <w:r>
        <w:rPr>
          <w:sz w:val="20"/>
        </w:rPr>
        <w:t>unreliable</w:t>
      </w:r>
    </w:p>
    <w:p>
      <w:pPr>
        <w:pStyle w:val="ListParagraph"/>
        <w:numPr>
          <w:ilvl w:val="0"/>
          <w:numId w:val="50"/>
        </w:numPr>
        <w:tabs>
          <w:tab w:pos="2085" w:val="left" w:leader="none"/>
        </w:tabs>
        <w:spacing w:line="271" w:lineRule="auto" w:before="60" w:after="0"/>
        <w:ind w:left="2084" w:right="488" w:hanging="341"/>
        <w:jc w:val="both"/>
        <w:rPr>
          <w:sz w:val="20"/>
        </w:rPr>
      </w:pPr>
      <w:r>
        <w:rPr>
          <w:sz w:val="20"/>
        </w:rPr>
        <w:t>Other</w:t>
      </w:r>
      <w:r>
        <w:rPr>
          <w:spacing w:val="-4"/>
          <w:sz w:val="20"/>
        </w:rPr>
        <w:t> </w:t>
      </w:r>
      <w:r>
        <w:rPr>
          <w:sz w:val="20"/>
        </w:rPr>
        <w:t>available</w:t>
      </w:r>
      <w:r>
        <w:rPr>
          <w:spacing w:val="-4"/>
          <w:sz w:val="20"/>
        </w:rPr>
        <w:t> </w:t>
      </w:r>
      <w:r>
        <w:rPr>
          <w:sz w:val="20"/>
        </w:rPr>
        <w:t>information</w:t>
      </w:r>
      <w:r>
        <w:rPr>
          <w:spacing w:val="-4"/>
          <w:sz w:val="20"/>
        </w:rPr>
        <w:t> </w:t>
      </w:r>
      <w:r>
        <w:rPr>
          <w:sz w:val="20"/>
        </w:rPr>
        <w:t>that</w:t>
      </w:r>
      <w:r>
        <w:rPr>
          <w:spacing w:val="-5"/>
          <w:sz w:val="20"/>
        </w:rPr>
        <w:t> </w:t>
      </w:r>
      <w:r>
        <w:rPr>
          <w:sz w:val="20"/>
        </w:rPr>
        <w:t>can</w:t>
      </w:r>
      <w:r>
        <w:rPr>
          <w:spacing w:val="-5"/>
          <w:sz w:val="20"/>
        </w:rPr>
        <w:t> </w:t>
      </w:r>
      <w:r>
        <w:rPr>
          <w:sz w:val="20"/>
        </w:rPr>
        <w:t>be</w:t>
      </w:r>
      <w:r>
        <w:rPr>
          <w:spacing w:val="-5"/>
          <w:sz w:val="20"/>
        </w:rPr>
        <w:t> </w:t>
      </w:r>
      <w:r>
        <w:rPr>
          <w:sz w:val="20"/>
        </w:rPr>
        <w:t>used</w:t>
      </w:r>
      <w:r>
        <w:rPr>
          <w:spacing w:val="-5"/>
          <w:sz w:val="20"/>
        </w:rPr>
        <w:t> </w:t>
      </w:r>
      <w:r>
        <w:rPr>
          <w:sz w:val="20"/>
        </w:rPr>
        <w:t>to</w:t>
      </w:r>
      <w:r>
        <w:rPr>
          <w:spacing w:val="-3"/>
          <w:sz w:val="20"/>
        </w:rPr>
        <w:t> </w:t>
      </w:r>
      <w:r>
        <w:rPr>
          <w:sz w:val="20"/>
        </w:rPr>
        <w:t>determine</w:t>
      </w:r>
      <w:r>
        <w:rPr>
          <w:spacing w:val="-5"/>
          <w:sz w:val="20"/>
        </w:rPr>
        <w:t> </w:t>
      </w:r>
      <w:r>
        <w:rPr>
          <w:sz w:val="20"/>
        </w:rPr>
        <w:t>the</w:t>
      </w:r>
      <w:r>
        <w:rPr>
          <w:spacing w:val="-5"/>
          <w:sz w:val="20"/>
        </w:rPr>
        <w:t> </w:t>
      </w:r>
      <w:r>
        <w:rPr>
          <w:sz w:val="20"/>
        </w:rPr>
        <w:t>jurisdiction</w:t>
      </w:r>
      <w:r>
        <w:rPr>
          <w:spacing w:val="-4"/>
          <w:sz w:val="20"/>
        </w:rPr>
        <w:t> </w:t>
      </w:r>
      <w:r>
        <w:rPr>
          <w:sz w:val="20"/>
        </w:rPr>
        <w:t>of</w:t>
      </w:r>
      <w:r>
        <w:rPr>
          <w:spacing w:val="-3"/>
          <w:sz w:val="20"/>
        </w:rPr>
        <w:t> </w:t>
      </w:r>
      <w:r>
        <w:rPr>
          <w:sz w:val="20"/>
        </w:rPr>
        <w:t>the</w:t>
      </w:r>
      <w:r>
        <w:rPr>
          <w:spacing w:val="-4"/>
          <w:sz w:val="20"/>
        </w:rPr>
        <w:t> </w:t>
      </w:r>
      <w:r>
        <w:rPr>
          <w:sz w:val="20"/>
        </w:rPr>
        <w:t>location</w:t>
      </w:r>
      <w:r>
        <w:rPr>
          <w:spacing w:val="-5"/>
          <w:sz w:val="20"/>
        </w:rPr>
        <w:t> </w:t>
      </w:r>
      <w:r>
        <w:rPr>
          <w:sz w:val="20"/>
        </w:rPr>
        <w:t>of the business’ employees that use the</w:t>
      </w:r>
      <w:r>
        <w:rPr>
          <w:spacing w:val="-10"/>
          <w:sz w:val="20"/>
        </w:rPr>
        <w:t> </w:t>
      </w:r>
      <w:r>
        <w:rPr>
          <w:sz w:val="20"/>
        </w:rPr>
        <w:t>service.</w:t>
      </w:r>
    </w:p>
    <w:p>
      <w:pPr>
        <w:pStyle w:val="BodyText"/>
        <w:spacing w:before="11"/>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4.2.3. Consumer-facing businesses" w:id="143"/>
      <w:bookmarkEnd w:id="143"/>
      <w:r>
        <w:rPr>
          <w:b w:val="0"/>
          <w:i w:val="0"/>
        </w:rPr>
      </w:r>
      <w:bookmarkStart w:name="4.2.3. Consumer-facing businesses" w:id="144"/>
      <w:bookmarkEnd w:id="144"/>
      <w:r>
        <w:rPr>
          <w:i/>
        </w:rPr>
        <w:t>C</w:t>
      </w:r>
      <w:r>
        <w:rPr>
          <w:i/>
        </w:rPr>
        <w:t>onsumer-facing</w:t>
      </w:r>
      <w:r>
        <w:rPr>
          <w:i/>
          <w:spacing w:val="-4"/>
        </w:rPr>
        <w:t> </w:t>
      </w:r>
      <w:r>
        <w:rPr>
          <w:i/>
        </w:rPr>
        <w:t>businesses</w:t>
      </w:r>
    </w:p>
    <w:p>
      <w:pPr>
        <w:pStyle w:val="BodyText"/>
        <w:spacing w:before="5"/>
        <w:rPr>
          <w:b/>
          <w:i/>
          <w:sz w:val="23"/>
        </w:rPr>
      </w:pPr>
    </w:p>
    <w:p>
      <w:pPr>
        <w:pStyle w:val="Heading7"/>
        <w:spacing w:before="1"/>
        <w:rPr>
          <w:i/>
        </w:rPr>
      </w:pPr>
      <w:bookmarkStart w:name="Revenue from consumer-facing goods sold " w:id="145"/>
      <w:bookmarkEnd w:id="145"/>
      <w:r>
        <w:rPr>
          <w:i w:val="0"/>
        </w:rPr>
      </w:r>
      <w:r>
        <w:rPr>
          <w:i/>
          <w:color w:val="616161"/>
        </w:rPr>
        <w:t>Revenue from consumer-facing goods sold directly to consumer</w:t>
      </w:r>
    </w:p>
    <w:p>
      <w:pPr>
        <w:pStyle w:val="ListParagraph"/>
        <w:numPr>
          <w:ilvl w:val="0"/>
          <w:numId w:val="13"/>
        </w:numPr>
        <w:tabs>
          <w:tab w:pos="1443" w:val="left" w:leader="none"/>
          <w:tab w:pos="1444" w:val="left" w:leader="none"/>
        </w:tabs>
        <w:spacing w:line="240" w:lineRule="auto" w:before="215" w:after="0"/>
        <w:ind w:left="1443" w:right="0" w:hanging="721"/>
        <w:jc w:val="left"/>
        <w:rPr>
          <w:sz w:val="20"/>
        </w:rPr>
      </w:pPr>
      <w:r>
        <w:rPr>
          <w:sz w:val="20"/>
        </w:rPr>
        <w:t>The sourcing rule is the jurisdiction of the place of final delivery of the good to the</w:t>
      </w:r>
      <w:r>
        <w:rPr>
          <w:spacing w:val="-19"/>
          <w:sz w:val="20"/>
        </w:rPr>
        <w:t> </w:t>
      </w:r>
      <w:r>
        <w:rPr>
          <w:sz w:val="20"/>
        </w:rPr>
        <w:t>consumer.</w:t>
      </w:r>
    </w:p>
    <w:p>
      <w:pPr>
        <w:pStyle w:val="ListParagraph"/>
        <w:numPr>
          <w:ilvl w:val="0"/>
          <w:numId w:val="13"/>
        </w:numPr>
        <w:tabs>
          <w:tab w:pos="1443" w:val="left" w:leader="none"/>
          <w:tab w:pos="1444" w:val="left" w:leader="none"/>
        </w:tabs>
        <w:spacing w:line="240" w:lineRule="auto" w:before="151"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51"/>
        </w:numPr>
        <w:tabs>
          <w:tab w:pos="2085" w:val="left" w:leader="none"/>
        </w:tabs>
        <w:spacing w:line="240" w:lineRule="auto" w:before="142" w:after="0"/>
        <w:ind w:left="2084" w:right="0" w:hanging="342"/>
        <w:jc w:val="both"/>
        <w:rPr>
          <w:sz w:val="20"/>
        </w:rPr>
      </w:pPr>
      <w:r>
        <w:rPr>
          <w:sz w:val="20"/>
        </w:rPr>
        <w:t>The jurisdiction of the retail storefront directly selling to consumers; or if not</w:t>
      </w:r>
      <w:r>
        <w:rPr>
          <w:spacing w:val="-28"/>
          <w:sz w:val="20"/>
        </w:rPr>
        <w:t> </w:t>
      </w:r>
      <w:r>
        <w:rPr>
          <w:sz w:val="20"/>
        </w:rPr>
        <w:t>applicable</w:t>
      </w:r>
    </w:p>
    <w:p>
      <w:pPr>
        <w:pStyle w:val="ListParagraph"/>
        <w:numPr>
          <w:ilvl w:val="0"/>
          <w:numId w:val="51"/>
        </w:numPr>
        <w:tabs>
          <w:tab w:pos="2085" w:val="left" w:leader="none"/>
        </w:tabs>
        <w:spacing w:line="240" w:lineRule="auto" w:before="90" w:after="0"/>
        <w:ind w:left="2084" w:right="0" w:hanging="342"/>
        <w:jc w:val="both"/>
        <w:rPr>
          <w:sz w:val="20"/>
        </w:rPr>
      </w:pPr>
      <w:r>
        <w:rPr>
          <w:sz w:val="20"/>
        </w:rPr>
        <w:t>The jurisdiction of the final delivery address of the goods to the</w:t>
      </w:r>
      <w:r>
        <w:rPr>
          <w:spacing w:val="-7"/>
          <w:sz w:val="20"/>
        </w:rPr>
        <w:t> </w:t>
      </w:r>
      <w:r>
        <w:rPr>
          <w:sz w:val="20"/>
        </w:rPr>
        <w:t>consumer.</w:t>
      </w:r>
    </w:p>
    <w:p>
      <w:pPr>
        <w:pStyle w:val="BodyText"/>
        <w:spacing w:before="5"/>
        <w:rPr>
          <w:sz w:val="23"/>
        </w:rPr>
      </w:pPr>
    </w:p>
    <w:p>
      <w:pPr>
        <w:pStyle w:val="Heading7"/>
        <w:rPr>
          <w:i/>
        </w:rPr>
      </w:pPr>
      <w:bookmarkStart w:name="Revenue from consumer-facing goods sold " w:id="146"/>
      <w:bookmarkEnd w:id="146"/>
      <w:r>
        <w:rPr>
          <w:i w:val="0"/>
        </w:rPr>
      </w:r>
      <w:r>
        <w:rPr>
          <w:i/>
          <w:color w:val="616161"/>
        </w:rPr>
        <w:t>Revenue from consumer-facing goods sold through Independent Distributor</w:t>
      </w:r>
    </w:p>
    <w:p>
      <w:pPr>
        <w:pStyle w:val="ListParagraph"/>
        <w:numPr>
          <w:ilvl w:val="0"/>
          <w:numId w:val="13"/>
        </w:numPr>
        <w:tabs>
          <w:tab w:pos="1443" w:val="left" w:leader="none"/>
          <w:tab w:pos="1444" w:val="left" w:leader="none"/>
        </w:tabs>
        <w:spacing w:line="240" w:lineRule="auto" w:before="214" w:after="0"/>
        <w:ind w:left="1443" w:right="0" w:hanging="721"/>
        <w:jc w:val="left"/>
        <w:rPr>
          <w:sz w:val="20"/>
        </w:rPr>
      </w:pPr>
      <w:r>
        <w:rPr>
          <w:sz w:val="20"/>
        </w:rPr>
        <w:t>The sourcing rule is the jurisdiction of the place of final delivery of the good to the</w:t>
      </w:r>
      <w:r>
        <w:rPr>
          <w:spacing w:val="-19"/>
          <w:sz w:val="20"/>
        </w:rPr>
        <w:t> </w:t>
      </w:r>
      <w:r>
        <w:rPr>
          <w:sz w:val="20"/>
        </w:rPr>
        <w:t>consumer.</w:t>
      </w:r>
    </w:p>
    <w:p>
      <w:pPr>
        <w:pStyle w:val="ListParagraph"/>
        <w:numPr>
          <w:ilvl w:val="0"/>
          <w:numId w:val="13"/>
        </w:numPr>
        <w:tabs>
          <w:tab w:pos="1443" w:val="left" w:leader="none"/>
          <w:tab w:pos="1444" w:val="left" w:leader="none"/>
        </w:tabs>
        <w:spacing w:line="240" w:lineRule="auto" w:before="152" w:after="0"/>
        <w:ind w:left="1443" w:right="0" w:hanging="721"/>
        <w:jc w:val="left"/>
        <w:rPr>
          <w:sz w:val="20"/>
        </w:rPr>
      </w:pPr>
      <w:r>
        <w:rPr>
          <w:sz w:val="20"/>
        </w:rPr>
        <w:t>The relevant indicators</w:t>
      </w:r>
      <w:r>
        <w:rPr>
          <w:spacing w:val="-1"/>
          <w:sz w:val="20"/>
        </w:rPr>
        <w:t> </w:t>
      </w:r>
      <w:r>
        <w:rPr>
          <w:sz w:val="20"/>
        </w:rPr>
        <w:t>are:</w:t>
      </w:r>
    </w:p>
    <w:p>
      <w:pPr>
        <w:pStyle w:val="ListParagraph"/>
        <w:numPr>
          <w:ilvl w:val="0"/>
          <w:numId w:val="52"/>
        </w:numPr>
        <w:tabs>
          <w:tab w:pos="2085" w:val="left" w:leader="none"/>
        </w:tabs>
        <w:spacing w:line="271" w:lineRule="auto" w:before="142" w:after="0"/>
        <w:ind w:left="2084" w:right="487" w:hanging="341"/>
        <w:jc w:val="left"/>
        <w:rPr>
          <w:sz w:val="20"/>
        </w:rPr>
      </w:pPr>
      <w:r>
        <w:rPr>
          <w:sz w:val="20"/>
        </w:rPr>
        <w:t>The</w:t>
      </w:r>
      <w:r>
        <w:rPr>
          <w:spacing w:val="-19"/>
          <w:sz w:val="20"/>
        </w:rPr>
        <w:t> </w:t>
      </w:r>
      <w:r>
        <w:rPr>
          <w:sz w:val="20"/>
        </w:rPr>
        <w:t>jurisdiction</w:t>
      </w:r>
      <w:r>
        <w:rPr>
          <w:spacing w:val="-16"/>
          <w:sz w:val="20"/>
        </w:rPr>
        <w:t> </w:t>
      </w:r>
      <w:r>
        <w:rPr>
          <w:sz w:val="20"/>
        </w:rPr>
        <w:t>of</w:t>
      </w:r>
      <w:r>
        <w:rPr>
          <w:spacing w:val="-16"/>
          <w:sz w:val="20"/>
        </w:rPr>
        <w:t> </w:t>
      </w:r>
      <w:r>
        <w:rPr>
          <w:sz w:val="20"/>
        </w:rPr>
        <w:t>the</w:t>
      </w:r>
      <w:r>
        <w:rPr>
          <w:spacing w:val="-16"/>
          <w:sz w:val="20"/>
        </w:rPr>
        <w:t> </w:t>
      </w:r>
      <w:r>
        <w:rPr>
          <w:sz w:val="20"/>
        </w:rPr>
        <w:t>place</w:t>
      </w:r>
      <w:r>
        <w:rPr>
          <w:spacing w:val="-13"/>
          <w:sz w:val="20"/>
        </w:rPr>
        <w:t> </w:t>
      </w:r>
      <w:r>
        <w:rPr>
          <w:sz w:val="20"/>
        </w:rPr>
        <w:t>of</w:t>
      </w:r>
      <w:r>
        <w:rPr>
          <w:spacing w:val="-17"/>
          <w:sz w:val="20"/>
        </w:rPr>
        <w:t> </w:t>
      </w:r>
      <w:r>
        <w:rPr>
          <w:sz w:val="20"/>
        </w:rPr>
        <w:t>final</w:t>
      </w:r>
      <w:r>
        <w:rPr>
          <w:spacing w:val="-16"/>
          <w:sz w:val="20"/>
        </w:rPr>
        <w:t> </w:t>
      </w:r>
      <w:r>
        <w:rPr>
          <w:sz w:val="20"/>
        </w:rPr>
        <w:t>delivery</w:t>
      </w:r>
      <w:r>
        <w:rPr>
          <w:spacing w:val="-16"/>
          <w:sz w:val="20"/>
        </w:rPr>
        <w:t> </w:t>
      </w:r>
      <w:r>
        <w:rPr>
          <w:sz w:val="20"/>
        </w:rPr>
        <w:t>to</w:t>
      </w:r>
      <w:r>
        <w:rPr>
          <w:spacing w:val="-18"/>
          <w:sz w:val="20"/>
        </w:rPr>
        <w:t> </w:t>
      </w:r>
      <w:r>
        <w:rPr>
          <w:sz w:val="20"/>
        </w:rPr>
        <w:t>the</w:t>
      </w:r>
      <w:r>
        <w:rPr>
          <w:spacing w:val="-16"/>
          <w:sz w:val="20"/>
        </w:rPr>
        <w:t> </w:t>
      </w:r>
      <w:r>
        <w:rPr>
          <w:sz w:val="20"/>
        </w:rPr>
        <w:t>consumer</w:t>
      </w:r>
      <w:r>
        <w:rPr>
          <w:spacing w:val="-16"/>
          <w:sz w:val="20"/>
        </w:rPr>
        <w:t> </w:t>
      </w:r>
      <w:r>
        <w:rPr>
          <w:sz w:val="20"/>
        </w:rPr>
        <w:t>as</w:t>
      </w:r>
      <w:r>
        <w:rPr>
          <w:spacing w:val="-17"/>
          <w:sz w:val="20"/>
        </w:rPr>
        <w:t> </w:t>
      </w:r>
      <w:r>
        <w:rPr>
          <w:sz w:val="20"/>
        </w:rPr>
        <w:t>reported</w:t>
      </w:r>
      <w:r>
        <w:rPr>
          <w:spacing w:val="-15"/>
          <w:sz w:val="20"/>
        </w:rPr>
        <w:t> </w:t>
      </w:r>
      <w:r>
        <w:rPr>
          <w:sz w:val="20"/>
        </w:rPr>
        <w:t>by</w:t>
      </w:r>
      <w:r>
        <w:rPr>
          <w:spacing w:val="-21"/>
          <w:sz w:val="20"/>
        </w:rPr>
        <w:t> </w:t>
      </w:r>
      <w:r>
        <w:rPr>
          <w:sz w:val="20"/>
        </w:rPr>
        <w:t>the</w:t>
      </w:r>
      <w:r>
        <w:rPr>
          <w:spacing w:val="-16"/>
          <w:sz w:val="20"/>
        </w:rPr>
        <w:t> </w:t>
      </w:r>
      <w:r>
        <w:rPr>
          <w:sz w:val="20"/>
        </w:rPr>
        <w:t>independent distributor, based on:</w:t>
      </w:r>
    </w:p>
    <w:p>
      <w:pPr>
        <w:pStyle w:val="ListParagraph"/>
        <w:numPr>
          <w:ilvl w:val="1"/>
          <w:numId w:val="52"/>
        </w:numPr>
        <w:tabs>
          <w:tab w:pos="2763" w:val="left" w:leader="none"/>
          <w:tab w:pos="2764" w:val="left" w:leader="none"/>
        </w:tabs>
        <w:spacing w:line="271" w:lineRule="auto" w:before="61" w:after="0"/>
        <w:ind w:left="2763" w:right="490" w:hanging="327"/>
        <w:jc w:val="left"/>
        <w:rPr>
          <w:sz w:val="20"/>
        </w:rPr>
      </w:pPr>
      <w:r>
        <w:rPr>
          <w:sz w:val="20"/>
        </w:rPr>
        <w:t>The jurisdiction of the retail storefront directly selling to consumers; or if not applicable</w:t>
      </w:r>
    </w:p>
    <w:p>
      <w:pPr>
        <w:pStyle w:val="ListParagraph"/>
        <w:numPr>
          <w:ilvl w:val="1"/>
          <w:numId w:val="52"/>
        </w:numPr>
        <w:tabs>
          <w:tab w:pos="2763" w:val="left" w:leader="none"/>
          <w:tab w:pos="2764" w:val="left" w:leader="none"/>
        </w:tabs>
        <w:spacing w:line="240" w:lineRule="auto" w:before="59" w:after="0"/>
        <w:ind w:left="2763" w:right="0" w:hanging="371"/>
        <w:jc w:val="left"/>
        <w:rPr>
          <w:sz w:val="20"/>
        </w:rPr>
      </w:pPr>
      <w:r>
        <w:rPr>
          <w:sz w:val="20"/>
        </w:rPr>
        <w:t>The jurisdiction of the final delivery address of the goods; or if</w:t>
      </w:r>
      <w:r>
        <w:rPr>
          <w:spacing w:val="-18"/>
          <w:sz w:val="20"/>
        </w:rPr>
        <w:t> </w:t>
      </w:r>
      <w:r>
        <w:rPr>
          <w:sz w:val="20"/>
        </w:rPr>
        <w:t>unavailable</w:t>
      </w:r>
    </w:p>
    <w:p>
      <w:pPr>
        <w:pStyle w:val="ListParagraph"/>
        <w:numPr>
          <w:ilvl w:val="0"/>
          <w:numId w:val="52"/>
        </w:numPr>
        <w:tabs>
          <w:tab w:pos="2085" w:val="left" w:leader="none"/>
        </w:tabs>
        <w:spacing w:line="271" w:lineRule="auto" w:before="92" w:after="0"/>
        <w:ind w:left="2084" w:right="476" w:hanging="341"/>
        <w:jc w:val="left"/>
        <w:rPr>
          <w:sz w:val="20"/>
        </w:rPr>
      </w:pPr>
      <w:r>
        <w:rPr>
          <w:sz w:val="20"/>
        </w:rPr>
        <w:t>The jurisdiction of the place of final delivery of the good to the consumer as indicated by other information already available to the</w:t>
      </w:r>
      <w:r>
        <w:rPr>
          <w:spacing w:val="-5"/>
          <w:sz w:val="20"/>
        </w:rPr>
        <w:t> </w:t>
      </w:r>
      <w:r>
        <w:rPr>
          <w:sz w:val="20"/>
        </w:rPr>
        <w:t>MNE.</w:t>
      </w:r>
    </w:p>
    <w:p>
      <w:pPr>
        <w:pStyle w:val="BodyText"/>
        <w:spacing w:before="6"/>
      </w:pPr>
    </w:p>
    <w:p>
      <w:pPr>
        <w:pStyle w:val="Heading7"/>
        <w:rPr>
          <w:i/>
        </w:rPr>
      </w:pPr>
      <w:bookmarkStart w:name="Revenue from consumer-facing services" w:id="147"/>
      <w:bookmarkEnd w:id="147"/>
      <w:r>
        <w:rPr>
          <w:i w:val="0"/>
        </w:rPr>
      </w:r>
      <w:r>
        <w:rPr>
          <w:i/>
          <w:color w:val="616161"/>
        </w:rPr>
        <w:t>Revenue from consumer-facing services</w:t>
      </w:r>
    </w:p>
    <w:p>
      <w:pPr>
        <w:pStyle w:val="BodyText"/>
        <w:spacing w:before="10"/>
        <w:rPr>
          <w:i/>
          <w:sz w:val="18"/>
        </w:rPr>
      </w:pPr>
    </w:p>
    <w:p>
      <w:pPr>
        <w:pStyle w:val="ListParagraph"/>
        <w:numPr>
          <w:ilvl w:val="0"/>
          <w:numId w:val="13"/>
        </w:numPr>
        <w:tabs>
          <w:tab w:pos="1443" w:val="left" w:leader="none"/>
          <w:tab w:pos="1444" w:val="left" w:leader="none"/>
        </w:tabs>
        <w:spacing w:line="240" w:lineRule="auto" w:before="0" w:after="0"/>
        <w:ind w:left="1443" w:right="0" w:hanging="721"/>
        <w:jc w:val="left"/>
        <w:rPr>
          <w:sz w:val="20"/>
        </w:rPr>
      </w:pPr>
      <w:r>
        <w:rPr>
          <w:sz w:val="20"/>
        </w:rPr>
        <w:t>The sourcing rule is the jurisdiction of the place of enjoyment or use of the</w:t>
      </w:r>
      <w:r>
        <w:rPr>
          <w:spacing w:val="-16"/>
          <w:sz w:val="20"/>
        </w:rPr>
        <w:t> </w:t>
      </w:r>
      <w:r>
        <w:rPr>
          <w:sz w:val="20"/>
        </w:rPr>
        <w:t>service.</w:t>
      </w:r>
    </w:p>
    <w:p>
      <w:pPr>
        <w:pStyle w:val="ListParagraph"/>
        <w:numPr>
          <w:ilvl w:val="0"/>
          <w:numId w:val="13"/>
        </w:numPr>
        <w:tabs>
          <w:tab w:pos="1443" w:val="left" w:leader="none"/>
          <w:tab w:pos="1444" w:val="left" w:leader="none"/>
        </w:tabs>
        <w:spacing w:line="240" w:lineRule="auto" w:before="150" w:after="0"/>
        <w:ind w:left="1443" w:right="0" w:hanging="721"/>
        <w:jc w:val="left"/>
        <w:rPr>
          <w:sz w:val="20"/>
        </w:rPr>
      </w:pPr>
      <w:r>
        <w:rPr>
          <w:sz w:val="20"/>
        </w:rPr>
        <w:t>The relevant indicator</w:t>
      </w:r>
      <w:r>
        <w:rPr>
          <w:spacing w:val="-3"/>
          <w:sz w:val="20"/>
        </w:rPr>
        <w:t> </w:t>
      </w:r>
      <w:r>
        <w:rPr>
          <w:sz w:val="20"/>
        </w:rPr>
        <w:t>is:</w:t>
      </w:r>
    </w:p>
    <w:p>
      <w:pPr>
        <w:pStyle w:val="ListParagraph"/>
        <w:numPr>
          <w:ilvl w:val="0"/>
          <w:numId w:val="53"/>
        </w:numPr>
        <w:tabs>
          <w:tab w:pos="2085" w:val="left" w:leader="none"/>
        </w:tabs>
        <w:spacing w:line="240" w:lineRule="auto" w:before="144" w:after="0"/>
        <w:ind w:left="2084" w:right="0" w:hanging="342"/>
        <w:jc w:val="both"/>
        <w:rPr>
          <w:sz w:val="20"/>
        </w:rPr>
      </w:pPr>
      <w:r>
        <w:rPr>
          <w:sz w:val="20"/>
        </w:rPr>
        <w:t>The jurisdiction of the address where the service is performed;</w:t>
      </w:r>
      <w:r>
        <w:rPr>
          <w:spacing w:val="-7"/>
          <w:sz w:val="20"/>
        </w:rPr>
        <w:t> </w:t>
      </w:r>
      <w:r>
        <w:rPr>
          <w:sz w:val="20"/>
        </w:rPr>
        <w:t>or</w:t>
      </w:r>
    </w:p>
    <w:p>
      <w:pPr>
        <w:pStyle w:val="ListParagraph"/>
        <w:numPr>
          <w:ilvl w:val="0"/>
          <w:numId w:val="53"/>
        </w:numPr>
        <w:tabs>
          <w:tab w:pos="2085" w:val="left" w:leader="none"/>
        </w:tabs>
        <w:spacing w:line="271" w:lineRule="auto" w:before="89" w:after="0"/>
        <w:ind w:left="2084" w:right="481" w:hanging="341"/>
        <w:jc w:val="left"/>
        <w:rPr>
          <w:sz w:val="20"/>
        </w:rPr>
      </w:pPr>
      <w:r>
        <w:rPr>
          <w:sz w:val="20"/>
        </w:rPr>
        <w:t>For services delivered online, the jurisdiction of the ordinary residence of the user, based on:</w:t>
      </w:r>
    </w:p>
    <w:p>
      <w:pPr>
        <w:pStyle w:val="ListParagraph"/>
        <w:numPr>
          <w:ilvl w:val="1"/>
          <w:numId w:val="53"/>
        </w:numPr>
        <w:tabs>
          <w:tab w:pos="2884" w:val="left" w:leader="none"/>
        </w:tabs>
        <w:spacing w:line="271" w:lineRule="auto" w:before="62" w:after="0"/>
        <w:ind w:left="2883" w:right="493" w:hanging="281"/>
        <w:jc w:val="left"/>
        <w:rPr>
          <w:sz w:val="20"/>
        </w:rPr>
      </w:pPr>
      <w:r>
        <w:rPr>
          <w:sz w:val="20"/>
        </w:rPr>
        <w:t>The jurisdiction of the ordinary residence of the purchaser based on user profile information:</w:t>
      </w:r>
    </w:p>
    <w:p>
      <w:pPr>
        <w:pStyle w:val="BodyText"/>
      </w:pPr>
    </w:p>
    <w:p>
      <w:pPr>
        <w:pStyle w:val="BodyText"/>
        <w:spacing w:before="5"/>
        <w:rPr>
          <w:sz w:val="28"/>
        </w:rPr>
      </w:pPr>
      <w:r>
        <w:rPr/>
        <w:pict>
          <v:rect style="position:absolute;margin-left:65.183998pt;margin-top:18.344881pt;width:144.020004pt;height:.60004pt;mso-position-horizontal-relative:page;mso-position-vertical-relative:paragraph;z-index:-15677440;mso-wrap-distance-left:0;mso-wrap-distance-right:0" filled="true" fillcolor="#000000" stroked="false">
            <v:fill type="solid"/>
            <w10:wrap type="topAndBottom"/>
          </v:rect>
        </w:pict>
      </w:r>
    </w:p>
    <w:p>
      <w:pPr>
        <w:pStyle w:val="BodyText"/>
        <w:spacing w:before="1"/>
      </w:pPr>
    </w:p>
    <w:p>
      <w:pPr>
        <w:spacing w:line="278" w:lineRule="auto" w:before="94"/>
        <w:ind w:left="723" w:right="487" w:firstLine="0"/>
        <w:jc w:val="both"/>
        <w:rPr>
          <w:sz w:val="18"/>
        </w:rPr>
      </w:pPr>
      <w:r>
        <w:rPr>
          <w:sz w:val="18"/>
        </w:rPr>
        <w:t>available</w:t>
      </w:r>
      <w:r>
        <w:rPr>
          <w:spacing w:val="-2"/>
          <w:sz w:val="18"/>
        </w:rPr>
        <w:t> </w:t>
      </w:r>
      <w:r>
        <w:rPr>
          <w:sz w:val="18"/>
        </w:rPr>
        <w:t>for</w:t>
      </w:r>
      <w:r>
        <w:rPr>
          <w:spacing w:val="-2"/>
          <w:sz w:val="18"/>
        </w:rPr>
        <w:t> </w:t>
      </w:r>
      <w:r>
        <w:rPr>
          <w:sz w:val="18"/>
        </w:rPr>
        <w:t>this</w:t>
      </w:r>
      <w:r>
        <w:rPr>
          <w:spacing w:val="-4"/>
          <w:sz w:val="18"/>
        </w:rPr>
        <w:t> </w:t>
      </w:r>
      <w:r>
        <w:rPr>
          <w:sz w:val="18"/>
        </w:rPr>
        <w:t>purpose.</w:t>
      </w:r>
      <w:r>
        <w:rPr>
          <w:spacing w:val="-2"/>
          <w:sz w:val="18"/>
        </w:rPr>
        <w:t> </w:t>
      </w:r>
      <w:r>
        <w:rPr>
          <w:sz w:val="18"/>
        </w:rPr>
        <w:t>Such</w:t>
      </w:r>
      <w:r>
        <w:rPr>
          <w:spacing w:val="-2"/>
          <w:sz w:val="18"/>
        </w:rPr>
        <w:t> </w:t>
      </w:r>
      <w:r>
        <w:rPr>
          <w:sz w:val="18"/>
        </w:rPr>
        <w:t>a</w:t>
      </w:r>
      <w:r>
        <w:rPr>
          <w:spacing w:val="-2"/>
          <w:sz w:val="18"/>
        </w:rPr>
        <w:t> </w:t>
      </w:r>
      <w:r>
        <w:rPr>
          <w:sz w:val="18"/>
        </w:rPr>
        <w:t>rule</w:t>
      </w:r>
      <w:r>
        <w:rPr>
          <w:spacing w:val="-2"/>
          <w:sz w:val="18"/>
        </w:rPr>
        <w:t> </w:t>
      </w:r>
      <w:r>
        <w:rPr>
          <w:sz w:val="18"/>
        </w:rPr>
        <w:t>would</w:t>
      </w:r>
      <w:r>
        <w:rPr>
          <w:spacing w:val="-4"/>
          <w:sz w:val="18"/>
        </w:rPr>
        <w:t> </w:t>
      </w:r>
      <w:r>
        <w:rPr>
          <w:sz w:val="18"/>
        </w:rPr>
        <w:t>source</w:t>
      </w:r>
      <w:r>
        <w:rPr>
          <w:spacing w:val="-2"/>
          <w:sz w:val="18"/>
        </w:rPr>
        <w:t> </w:t>
      </w:r>
      <w:r>
        <w:rPr>
          <w:sz w:val="18"/>
        </w:rPr>
        <w:t>the</w:t>
      </w:r>
      <w:r>
        <w:rPr>
          <w:spacing w:val="-2"/>
          <w:sz w:val="18"/>
        </w:rPr>
        <w:t> </w:t>
      </w:r>
      <w:r>
        <w:rPr>
          <w:sz w:val="18"/>
        </w:rPr>
        <w:t>revenue</w:t>
      </w:r>
      <w:r>
        <w:rPr>
          <w:spacing w:val="-2"/>
          <w:sz w:val="18"/>
        </w:rPr>
        <w:t> </w:t>
      </w:r>
      <w:r>
        <w:rPr>
          <w:sz w:val="18"/>
        </w:rPr>
        <w:t>to</w:t>
      </w:r>
      <w:r>
        <w:rPr>
          <w:spacing w:val="-2"/>
          <w:sz w:val="18"/>
        </w:rPr>
        <w:t> </w:t>
      </w:r>
      <w:r>
        <w:rPr>
          <w:sz w:val="18"/>
        </w:rPr>
        <w:t>the</w:t>
      </w:r>
      <w:r>
        <w:rPr>
          <w:spacing w:val="-1"/>
          <w:sz w:val="18"/>
        </w:rPr>
        <w:t> </w:t>
      </w:r>
      <w:r>
        <w:rPr>
          <w:sz w:val="18"/>
        </w:rPr>
        <w:t>location</w:t>
      </w:r>
      <w:r>
        <w:rPr>
          <w:spacing w:val="-4"/>
          <w:sz w:val="18"/>
        </w:rPr>
        <w:t> </w:t>
      </w:r>
      <w:r>
        <w:rPr>
          <w:sz w:val="18"/>
        </w:rPr>
        <w:t>of</w:t>
      </w:r>
      <w:r>
        <w:rPr>
          <w:spacing w:val="-4"/>
          <w:sz w:val="18"/>
        </w:rPr>
        <w:t> </w:t>
      </w:r>
      <w:r>
        <w:rPr>
          <w:sz w:val="18"/>
        </w:rPr>
        <w:t>the</w:t>
      </w:r>
      <w:r>
        <w:rPr>
          <w:spacing w:val="-4"/>
          <w:sz w:val="18"/>
        </w:rPr>
        <w:t> </w:t>
      </w:r>
      <w:r>
        <w:rPr>
          <w:sz w:val="18"/>
        </w:rPr>
        <w:t>end</w:t>
      </w:r>
      <w:r>
        <w:rPr>
          <w:spacing w:val="-6"/>
          <w:sz w:val="18"/>
        </w:rPr>
        <w:t> </w:t>
      </w:r>
      <w:r>
        <w:rPr>
          <w:sz w:val="18"/>
        </w:rPr>
        <w:t>users</w:t>
      </w:r>
      <w:r>
        <w:rPr>
          <w:spacing w:val="-1"/>
          <w:sz w:val="18"/>
        </w:rPr>
        <w:t> </w:t>
      </w:r>
      <w:r>
        <w:rPr>
          <w:sz w:val="18"/>
        </w:rPr>
        <w:t>of</w:t>
      </w:r>
      <w:r>
        <w:rPr>
          <w:spacing w:val="-4"/>
          <w:sz w:val="18"/>
        </w:rPr>
        <w:t> </w:t>
      </w:r>
      <w:r>
        <w:rPr>
          <w:sz w:val="18"/>
        </w:rPr>
        <w:t>the</w:t>
      </w:r>
      <w:r>
        <w:rPr>
          <w:spacing w:val="-3"/>
          <w:sz w:val="18"/>
        </w:rPr>
        <w:t> </w:t>
      </w:r>
      <w:r>
        <w:rPr>
          <w:sz w:val="18"/>
        </w:rPr>
        <w:t>ADS</w:t>
      </w:r>
      <w:r>
        <w:rPr>
          <w:spacing w:val="-2"/>
          <w:sz w:val="18"/>
        </w:rPr>
        <w:t> </w:t>
      </w:r>
      <w:r>
        <w:rPr>
          <w:sz w:val="18"/>
        </w:rPr>
        <w:t>platform, given that although they are not the internal personnel directly using the cloud computing service, they do enjoy a direct</w:t>
      </w:r>
      <w:r>
        <w:rPr>
          <w:spacing w:val="-2"/>
          <w:sz w:val="18"/>
        </w:rPr>
        <w:t> </w:t>
      </w:r>
      <w:r>
        <w:rPr>
          <w:sz w:val="18"/>
        </w:rPr>
        <w:t>benefit</w:t>
      </w:r>
      <w:r>
        <w:rPr>
          <w:spacing w:val="-2"/>
          <w:sz w:val="18"/>
        </w:rPr>
        <w:t> </w:t>
      </w:r>
      <w:r>
        <w:rPr>
          <w:sz w:val="18"/>
        </w:rPr>
        <w:t>from</w:t>
      </w:r>
      <w:r>
        <w:rPr>
          <w:spacing w:val="-1"/>
          <w:sz w:val="18"/>
        </w:rPr>
        <w:t> </w:t>
      </w:r>
      <w:r>
        <w:rPr>
          <w:sz w:val="18"/>
        </w:rPr>
        <w:t>the</w:t>
      </w:r>
      <w:r>
        <w:rPr>
          <w:spacing w:val="-2"/>
          <w:sz w:val="18"/>
        </w:rPr>
        <w:t> </w:t>
      </w:r>
      <w:r>
        <w:rPr>
          <w:sz w:val="18"/>
        </w:rPr>
        <w:t>cloud</w:t>
      </w:r>
      <w:r>
        <w:rPr>
          <w:spacing w:val="-4"/>
          <w:sz w:val="18"/>
        </w:rPr>
        <w:t> </w:t>
      </w:r>
      <w:r>
        <w:rPr>
          <w:sz w:val="18"/>
        </w:rPr>
        <w:t>service,</w:t>
      </w:r>
      <w:r>
        <w:rPr>
          <w:spacing w:val="-4"/>
          <w:sz w:val="18"/>
        </w:rPr>
        <w:t> </w:t>
      </w:r>
      <w:r>
        <w:rPr>
          <w:sz w:val="18"/>
        </w:rPr>
        <w:t>such</w:t>
      </w:r>
      <w:r>
        <w:rPr>
          <w:spacing w:val="-2"/>
          <w:sz w:val="18"/>
        </w:rPr>
        <w:t> </w:t>
      </w:r>
      <w:r>
        <w:rPr>
          <w:sz w:val="18"/>
        </w:rPr>
        <w:t>as</w:t>
      </w:r>
      <w:r>
        <w:rPr>
          <w:spacing w:val="-1"/>
          <w:sz w:val="18"/>
        </w:rPr>
        <w:t> </w:t>
      </w:r>
      <w:r>
        <w:rPr>
          <w:sz w:val="18"/>
        </w:rPr>
        <w:t>faster</w:t>
      </w:r>
      <w:r>
        <w:rPr>
          <w:spacing w:val="-4"/>
          <w:sz w:val="18"/>
        </w:rPr>
        <w:t> </w:t>
      </w:r>
      <w:r>
        <w:rPr>
          <w:sz w:val="18"/>
        </w:rPr>
        <w:t>and</w:t>
      </w:r>
      <w:r>
        <w:rPr>
          <w:spacing w:val="-3"/>
          <w:sz w:val="18"/>
        </w:rPr>
        <w:t> </w:t>
      </w:r>
      <w:r>
        <w:rPr>
          <w:sz w:val="18"/>
        </w:rPr>
        <w:t>higher</w:t>
      </w:r>
      <w:r>
        <w:rPr>
          <w:spacing w:val="-2"/>
          <w:sz w:val="18"/>
        </w:rPr>
        <w:t> </w:t>
      </w:r>
      <w:r>
        <w:rPr>
          <w:sz w:val="18"/>
        </w:rPr>
        <w:t>quality</w:t>
      </w:r>
      <w:r>
        <w:rPr>
          <w:spacing w:val="-3"/>
          <w:sz w:val="18"/>
        </w:rPr>
        <w:t> </w:t>
      </w:r>
      <w:r>
        <w:rPr>
          <w:sz w:val="18"/>
        </w:rPr>
        <w:t>access</w:t>
      </w:r>
      <w:r>
        <w:rPr>
          <w:spacing w:val="-4"/>
          <w:sz w:val="18"/>
        </w:rPr>
        <w:t> </w:t>
      </w:r>
      <w:r>
        <w:rPr>
          <w:sz w:val="18"/>
        </w:rPr>
        <w:t>to</w:t>
      </w:r>
      <w:r>
        <w:rPr>
          <w:spacing w:val="-2"/>
          <w:sz w:val="18"/>
        </w:rPr>
        <w:t> </w:t>
      </w:r>
      <w:r>
        <w:rPr>
          <w:sz w:val="18"/>
        </w:rPr>
        <w:t>the</w:t>
      </w:r>
      <w:r>
        <w:rPr>
          <w:spacing w:val="-4"/>
          <w:sz w:val="18"/>
        </w:rPr>
        <w:t> </w:t>
      </w:r>
      <w:r>
        <w:rPr>
          <w:sz w:val="18"/>
        </w:rPr>
        <w:t>service</w:t>
      </w:r>
      <w:r>
        <w:rPr>
          <w:spacing w:val="-2"/>
          <w:sz w:val="18"/>
        </w:rPr>
        <w:t> </w:t>
      </w:r>
      <w:r>
        <w:rPr>
          <w:sz w:val="18"/>
        </w:rPr>
        <w:t>provided</w:t>
      </w:r>
      <w:r>
        <w:rPr>
          <w:spacing w:val="-2"/>
          <w:sz w:val="18"/>
        </w:rPr>
        <w:t> </w:t>
      </w:r>
      <w:r>
        <w:rPr>
          <w:sz w:val="18"/>
        </w:rPr>
        <w:t>by</w:t>
      </w:r>
      <w:r>
        <w:rPr>
          <w:spacing w:val="-3"/>
          <w:sz w:val="18"/>
        </w:rPr>
        <w:t> </w:t>
      </w:r>
      <w:r>
        <w:rPr>
          <w:sz w:val="18"/>
        </w:rPr>
        <w:t>the</w:t>
      </w:r>
      <w:r>
        <w:rPr>
          <w:spacing w:val="-2"/>
          <w:sz w:val="18"/>
        </w:rPr>
        <w:t> </w:t>
      </w:r>
      <w:r>
        <w:rPr>
          <w:sz w:val="18"/>
        </w:rPr>
        <w:t>platform.</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ListParagraph"/>
        <w:numPr>
          <w:ilvl w:val="2"/>
          <w:numId w:val="53"/>
        </w:numPr>
        <w:tabs>
          <w:tab w:pos="3605" w:val="left" w:leader="none"/>
        </w:tabs>
        <w:spacing w:line="240" w:lineRule="auto" w:before="93" w:after="0"/>
        <w:ind w:left="3604" w:right="0" w:hanging="361"/>
        <w:jc w:val="left"/>
        <w:rPr>
          <w:sz w:val="20"/>
        </w:rPr>
      </w:pPr>
      <w:r>
        <w:rPr>
          <w:sz w:val="20"/>
        </w:rPr>
        <w:t>Information on residence obtained from recurring data on geolocation</w:t>
      </w:r>
      <w:r>
        <w:rPr>
          <w:spacing w:val="37"/>
          <w:sz w:val="20"/>
        </w:rPr>
        <w:t> </w:t>
      </w:r>
      <w:r>
        <w:rPr>
          <w:sz w:val="20"/>
        </w:rPr>
        <w:t>or</w:t>
      </w:r>
    </w:p>
    <w:p>
      <w:pPr>
        <w:pStyle w:val="BodyText"/>
        <w:spacing w:before="30"/>
        <w:ind w:left="3604"/>
      </w:pPr>
      <w:r>
        <w:rPr/>
        <w:t>IP address of the purchaser’s device; or if unavailable or unreliable</w:t>
      </w:r>
    </w:p>
    <w:p>
      <w:pPr>
        <w:pStyle w:val="ListParagraph"/>
        <w:numPr>
          <w:ilvl w:val="2"/>
          <w:numId w:val="53"/>
        </w:numPr>
        <w:tabs>
          <w:tab w:pos="3605" w:val="left" w:leader="none"/>
        </w:tabs>
        <w:spacing w:line="240" w:lineRule="auto" w:before="89" w:after="0"/>
        <w:ind w:left="3604" w:right="0" w:hanging="361"/>
        <w:jc w:val="left"/>
        <w:rPr>
          <w:sz w:val="20"/>
        </w:rPr>
      </w:pPr>
      <w:r>
        <w:rPr>
          <w:sz w:val="20"/>
        </w:rPr>
        <w:t>Billing address of the purchaser; or if unavailable or</w:t>
      </w:r>
      <w:r>
        <w:rPr>
          <w:spacing w:val="-11"/>
          <w:sz w:val="20"/>
        </w:rPr>
        <w:t> </w:t>
      </w:r>
      <w:r>
        <w:rPr>
          <w:sz w:val="20"/>
        </w:rPr>
        <w:t>unreliable</w:t>
      </w:r>
    </w:p>
    <w:p>
      <w:pPr>
        <w:pStyle w:val="ListParagraph"/>
        <w:numPr>
          <w:ilvl w:val="2"/>
          <w:numId w:val="53"/>
        </w:numPr>
        <w:tabs>
          <w:tab w:pos="3605" w:val="left" w:leader="none"/>
        </w:tabs>
        <w:spacing w:line="271" w:lineRule="auto" w:before="91" w:after="0"/>
        <w:ind w:left="3604" w:right="490" w:hanging="360"/>
        <w:jc w:val="left"/>
        <w:rPr>
          <w:sz w:val="20"/>
        </w:rPr>
      </w:pPr>
      <w:r>
        <w:rPr>
          <w:sz w:val="20"/>
        </w:rPr>
        <w:t>Mobile country code of the phone number of the purchaser; or if unavailable or</w:t>
      </w:r>
      <w:r>
        <w:rPr>
          <w:spacing w:val="-2"/>
          <w:sz w:val="20"/>
        </w:rPr>
        <w:t> </w:t>
      </w:r>
      <w:r>
        <w:rPr>
          <w:sz w:val="20"/>
        </w:rPr>
        <w:t>unreliable</w:t>
      </w:r>
    </w:p>
    <w:p>
      <w:pPr>
        <w:pStyle w:val="ListParagraph"/>
        <w:numPr>
          <w:ilvl w:val="2"/>
          <w:numId w:val="53"/>
        </w:numPr>
        <w:tabs>
          <w:tab w:pos="3605" w:val="left" w:leader="none"/>
        </w:tabs>
        <w:spacing w:line="273" w:lineRule="auto" w:before="59" w:after="0"/>
        <w:ind w:left="3604" w:right="490" w:hanging="360"/>
        <w:jc w:val="left"/>
        <w:rPr>
          <w:sz w:val="20"/>
        </w:rPr>
      </w:pPr>
      <w:r>
        <w:rPr>
          <w:sz w:val="20"/>
        </w:rPr>
        <w:t>Information on residence inputted by the purchaser; or if unavailable or unreliable</w:t>
      </w:r>
    </w:p>
    <w:p>
      <w:pPr>
        <w:pStyle w:val="ListParagraph"/>
        <w:numPr>
          <w:ilvl w:val="2"/>
          <w:numId w:val="53"/>
        </w:numPr>
        <w:tabs>
          <w:tab w:pos="3605" w:val="left" w:leader="none"/>
        </w:tabs>
        <w:spacing w:line="271" w:lineRule="auto" w:before="56" w:after="0"/>
        <w:ind w:left="3604" w:right="489" w:hanging="360"/>
        <w:jc w:val="left"/>
        <w:rPr>
          <w:sz w:val="20"/>
        </w:rPr>
      </w:pPr>
      <w:r>
        <w:rPr>
          <w:sz w:val="20"/>
        </w:rPr>
        <w:t>Other</w:t>
      </w:r>
      <w:r>
        <w:rPr>
          <w:spacing w:val="-5"/>
          <w:sz w:val="20"/>
        </w:rPr>
        <w:t> </w:t>
      </w:r>
      <w:r>
        <w:rPr>
          <w:sz w:val="20"/>
        </w:rPr>
        <w:t>available</w:t>
      </w:r>
      <w:r>
        <w:rPr>
          <w:spacing w:val="-3"/>
          <w:sz w:val="20"/>
        </w:rPr>
        <w:t> </w:t>
      </w:r>
      <w:r>
        <w:rPr>
          <w:sz w:val="20"/>
        </w:rPr>
        <w:t>information</w:t>
      </w:r>
      <w:r>
        <w:rPr>
          <w:spacing w:val="-6"/>
          <w:sz w:val="20"/>
        </w:rPr>
        <w:t> </w:t>
      </w:r>
      <w:r>
        <w:rPr>
          <w:sz w:val="20"/>
        </w:rPr>
        <w:t>that</w:t>
      </w:r>
      <w:r>
        <w:rPr>
          <w:spacing w:val="-6"/>
          <w:sz w:val="20"/>
        </w:rPr>
        <w:t> </w:t>
      </w:r>
      <w:r>
        <w:rPr>
          <w:sz w:val="20"/>
        </w:rPr>
        <w:t>can</w:t>
      </w:r>
      <w:r>
        <w:rPr>
          <w:spacing w:val="-6"/>
          <w:sz w:val="20"/>
        </w:rPr>
        <w:t> </w:t>
      </w:r>
      <w:r>
        <w:rPr>
          <w:sz w:val="20"/>
        </w:rPr>
        <w:t>be</w:t>
      </w:r>
      <w:r>
        <w:rPr>
          <w:spacing w:val="-6"/>
          <w:sz w:val="20"/>
        </w:rPr>
        <w:t> </w:t>
      </w:r>
      <w:r>
        <w:rPr>
          <w:sz w:val="20"/>
        </w:rPr>
        <w:t>used</w:t>
      </w:r>
      <w:r>
        <w:rPr>
          <w:spacing w:val="-6"/>
          <w:sz w:val="20"/>
        </w:rPr>
        <w:t> </w:t>
      </w:r>
      <w:r>
        <w:rPr>
          <w:sz w:val="20"/>
        </w:rPr>
        <w:t>to</w:t>
      </w:r>
      <w:r>
        <w:rPr>
          <w:spacing w:val="-5"/>
          <w:sz w:val="20"/>
        </w:rPr>
        <w:t> </w:t>
      </w:r>
      <w:r>
        <w:rPr>
          <w:sz w:val="20"/>
        </w:rPr>
        <w:t>determine</w:t>
      </w:r>
      <w:r>
        <w:rPr>
          <w:spacing w:val="-6"/>
          <w:sz w:val="20"/>
        </w:rPr>
        <w:t> </w:t>
      </w:r>
      <w:r>
        <w:rPr>
          <w:sz w:val="20"/>
        </w:rPr>
        <w:t>the</w:t>
      </w:r>
      <w:r>
        <w:rPr>
          <w:spacing w:val="-5"/>
          <w:sz w:val="20"/>
        </w:rPr>
        <w:t> </w:t>
      </w:r>
      <w:r>
        <w:rPr>
          <w:sz w:val="20"/>
        </w:rPr>
        <w:t>jurisdiction of the ordinary residence of the purchaser; or if unavailable or</w:t>
      </w:r>
      <w:r>
        <w:rPr>
          <w:spacing w:val="-40"/>
          <w:sz w:val="20"/>
        </w:rPr>
        <w:t> </w:t>
      </w:r>
      <w:r>
        <w:rPr>
          <w:sz w:val="20"/>
        </w:rPr>
        <w:t>unreliable</w:t>
      </w:r>
    </w:p>
    <w:p>
      <w:pPr>
        <w:pStyle w:val="ListParagraph"/>
        <w:numPr>
          <w:ilvl w:val="1"/>
          <w:numId w:val="53"/>
        </w:numPr>
        <w:tabs>
          <w:tab w:pos="2884" w:val="left" w:leader="none"/>
        </w:tabs>
        <w:spacing w:line="271" w:lineRule="auto" w:before="61" w:after="0"/>
        <w:ind w:left="2883" w:right="491" w:hanging="324"/>
        <w:jc w:val="left"/>
        <w:rPr>
          <w:sz w:val="20"/>
        </w:rPr>
      </w:pPr>
      <w:r>
        <w:rPr>
          <w:sz w:val="20"/>
        </w:rPr>
        <w:t>The jurisdiction of the billing address of the purchaser; or if unavailable or unreliable</w:t>
      </w:r>
    </w:p>
    <w:p>
      <w:pPr>
        <w:pStyle w:val="ListParagraph"/>
        <w:numPr>
          <w:ilvl w:val="1"/>
          <w:numId w:val="53"/>
        </w:numPr>
        <w:tabs>
          <w:tab w:pos="2884" w:val="left" w:leader="none"/>
        </w:tabs>
        <w:spacing w:line="273" w:lineRule="auto" w:before="59" w:after="0"/>
        <w:ind w:left="2883" w:right="482" w:hanging="370"/>
        <w:jc w:val="left"/>
        <w:rPr>
          <w:sz w:val="20"/>
        </w:rPr>
      </w:pPr>
      <w:r>
        <w:rPr>
          <w:sz w:val="20"/>
        </w:rPr>
        <w:t>The</w:t>
      </w:r>
      <w:r>
        <w:rPr>
          <w:spacing w:val="-8"/>
          <w:sz w:val="20"/>
        </w:rPr>
        <w:t> </w:t>
      </w:r>
      <w:r>
        <w:rPr>
          <w:sz w:val="20"/>
        </w:rPr>
        <w:t>jurisdiction</w:t>
      </w:r>
      <w:r>
        <w:rPr>
          <w:spacing w:val="-7"/>
          <w:sz w:val="20"/>
        </w:rPr>
        <w:t> </w:t>
      </w:r>
      <w:r>
        <w:rPr>
          <w:sz w:val="20"/>
        </w:rPr>
        <w:t>of</w:t>
      </w:r>
      <w:r>
        <w:rPr>
          <w:spacing w:val="-5"/>
          <w:sz w:val="20"/>
        </w:rPr>
        <w:t> </w:t>
      </w:r>
      <w:r>
        <w:rPr>
          <w:sz w:val="20"/>
        </w:rPr>
        <w:t>the</w:t>
      </w:r>
      <w:r>
        <w:rPr>
          <w:spacing w:val="-8"/>
          <w:sz w:val="20"/>
        </w:rPr>
        <w:t> </w:t>
      </w:r>
      <w:r>
        <w:rPr>
          <w:sz w:val="20"/>
        </w:rPr>
        <w:t>geolocation</w:t>
      </w:r>
      <w:r>
        <w:rPr>
          <w:spacing w:val="-6"/>
          <w:sz w:val="20"/>
        </w:rPr>
        <w:t> </w:t>
      </w:r>
      <w:r>
        <w:rPr>
          <w:sz w:val="20"/>
        </w:rPr>
        <w:t>of</w:t>
      </w:r>
      <w:r>
        <w:rPr>
          <w:spacing w:val="-6"/>
          <w:sz w:val="20"/>
        </w:rPr>
        <w:t> </w:t>
      </w:r>
      <w:r>
        <w:rPr>
          <w:sz w:val="20"/>
        </w:rPr>
        <w:t>the</w:t>
      </w:r>
      <w:r>
        <w:rPr>
          <w:spacing w:val="-7"/>
          <w:sz w:val="20"/>
        </w:rPr>
        <w:t> </w:t>
      </w:r>
      <w:r>
        <w:rPr>
          <w:sz w:val="20"/>
        </w:rPr>
        <w:t>device</w:t>
      </w:r>
      <w:r>
        <w:rPr>
          <w:spacing w:val="-7"/>
          <w:sz w:val="20"/>
        </w:rPr>
        <w:t> </w:t>
      </w:r>
      <w:r>
        <w:rPr>
          <w:sz w:val="20"/>
        </w:rPr>
        <w:t>of</w:t>
      </w:r>
      <w:r>
        <w:rPr>
          <w:spacing w:val="-6"/>
          <w:sz w:val="20"/>
        </w:rPr>
        <w:t> </w:t>
      </w:r>
      <w:r>
        <w:rPr>
          <w:sz w:val="20"/>
        </w:rPr>
        <w:t>the</w:t>
      </w:r>
      <w:r>
        <w:rPr>
          <w:spacing w:val="-7"/>
          <w:sz w:val="20"/>
        </w:rPr>
        <w:t> </w:t>
      </w:r>
      <w:r>
        <w:rPr>
          <w:sz w:val="20"/>
        </w:rPr>
        <w:t>purchaser;</w:t>
      </w:r>
      <w:r>
        <w:rPr>
          <w:spacing w:val="-7"/>
          <w:sz w:val="20"/>
        </w:rPr>
        <w:t> </w:t>
      </w:r>
      <w:r>
        <w:rPr>
          <w:sz w:val="20"/>
        </w:rPr>
        <w:t>or</w:t>
      </w:r>
      <w:r>
        <w:rPr>
          <w:spacing w:val="-6"/>
          <w:sz w:val="20"/>
        </w:rPr>
        <w:t> </w:t>
      </w:r>
      <w:r>
        <w:rPr>
          <w:sz w:val="20"/>
        </w:rPr>
        <w:t>if</w:t>
      </w:r>
      <w:r>
        <w:rPr>
          <w:spacing w:val="-5"/>
          <w:sz w:val="20"/>
        </w:rPr>
        <w:t> </w:t>
      </w:r>
      <w:r>
        <w:rPr>
          <w:sz w:val="20"/>
        </w:rPr>
        <w:t>unavailable or</w:t>
      </w:r>
      <w:r>
        <w:rPr>
          <w:spacing w:val="-2"/>
          <w:sz w:val="20"/>
        </w:rPr>
        <w:t> </w:t>
      </w:r>
      <w:r>
        <w:rPr>
          <w:sz w:val="20"/>
        </w:rPr>
        <w:t>unreliable</w:t>
      </w:r>
    </w:p>
    <w:p>
      <w:pPr>
        <w:pStyle w:val="ListParagraph"/>
        <w:numPr>
          <w:ilvl w:val="1"/>
          <w:numId w:val="53"/>
        </w:numPr>
        <w:tabs>
          <w:tab w:pos="2884" w:val="left" w:leader="none"/>
        </w:tabs>
        <w:spacing w:line="240" w:lineRule="auto" w:before="57" w:after="0"/>
        <w:ind w:left="2883" w:right="0" w:hanging="380"/>
        <w:jc w:val="left"/>
        <w:rPr>
          <w:sz w:val="20"/>
        </w:rPr>
      </w:pPr>
      <w:r>
        <w:rPr>
          <w:sz w:val="20"/>
        </w:rPr>
        <w:t>The jurisdiction of the IP address of the device of the</w:t>
      </w:r>
      <w:r>
        <w:rPr>
          <w:spacing w:val="-7"/>
          <w:sz w:val="20"/>
        </w:rPr>
        <w:t> </w:t>
      </w:r>
      <w:r>
        <w:rPr>
          <w:sz w:val="20"/>
        </w:rPr>
        <w:t>purchase</w:t>
      </w:r>
    </w:p>
    <w:p>
      <w:pPr>
        <w:pStyle w:val="BodyText"/>
        <w:spacing w:before="3"/>
        <w:rPr>
          <w:sz w:val="23"/>
        </w:rPr>
      </w:pPr>
    </w:p>
    <w:p>
      <w:pPr>
        <w:pStyle w:val="Heading7"/>
        <w:rPr>
          <w:i/>
        </w:rPr>
      </w:pPr>
      <w:bookmarkStart w:name="Revenue from franchising and licensing" w:id="148"/>
      <w:bookmarkEnd w:id="148"/>
      <w:r>
        <w:rPr>
          <w:i w:val="0"/>
        </w:rPr>
      </w:r>
      <w:r>
        <w:rPr>
          <w:i/>
          <w:color w:val="616161"/>
        </w:rPr>
        <w:t>Revenue from franchising and licensing</w:t>
      </w:r>
    </w:p>
    <w:p>
      <w:pPr>
        <w:pStyle w:val="BodyText"/>
        <w:spacing w:before="5"/>
        <w:rPr>
          <w:i/>
          <w:sz w:val="23"/>
        </w:rPr>
      </w:pPr>
    </w:p>
    <w:p>
      <w:pPr>
        <w:pStyle w:val="Heading8"/>
      </w:pPr>
      <w:bookmarkStart w:name="Consumer-facing goods" w:id="149"/>
      <w:bookmarkEnd w:id="149"/>
      <w:r>
        <w:rPr>
          <w:b w:val="0"/>
        </w:rPr>
      </w:r>
      <w:r>
        <w:rPr/>
        <w:t>Consumer-facing goods</w:t>
      </w:r>
    </w:p>
    <w:p>
      <w:pPr>
        <w:pStyle w:val="BodyText"/>
        <w:spacing w:before="10"/>
        <w:rPr>
          <w:b/>
          <w:sz w:val="18"/>
        </w:rPr>
      </w:pPr>
    </w:p>
    <w:p>
      <w:pPr>
        <w:pStyle w:val="ListParagraph"/>
        <w:numPr>
          <w:ilvl w:val="0"/>
          <w:numId w:val="13"/>
        </w:numPr>
        <w:tabs>
          <w:tab w:pos="1444" w:val="left" w:leader="none"/>
        </w:tabs>
        <w:spacing w:line="273" w:lineRule="auto" w:before="0" w:after="0"/>
        <w:ind w:left="723" w:right="493" w:firstLine="0"/>
        <w:jc w:val="both"/>
        <w:rPr>
          <w:sz w:val="20"/>
        </w:rPr>
      </w:pPr>
      <w:r>
        <w:rPr>
          <w:sz w:val="20"/>
        </w:rPr>
        <w:t>The</w:t>
      </w:r>
      <w:r>
        <w:rPr>
          <w:spacing w:val="-6"/>
          <w:sz w:val="20"/>
        </w:rPr>
        <w:t> </w:t>
      </w:r>
      <w:r>
        <w:rPr>
          <w:sz w:val="20"/>
        </w:rPr>
        <w:t>sourcing</w:t>
      </w:r>
      <w:r>
        <w:rPr>
          <w:spacing w:val="-6"/>
          <w:sz w:val="20"/>
        </w:rPr>
        <w:t> </w:t>
      </w:r>
      <w:r>
        <w:rPr>
          <w:sz w:val="20"/>
        </w:rPr>
        <w:t>rule</w:t>
      </w:r>
      <w:r>
        <w:rPr>
          <w:spacing w:val="-5"/>
          <w:sz w:val="20"/>
        </w:rPr>
        <w:t> </w:t>
      </w:r>
      <w:r>
        <w:rPr>
          <w:sz w:val="20"/>
        </w:rPr>
        <w:t>for</w:t>
      </w:r>
      <w:r>
        <w:rPr>
          <w:spacing w:val="-5"/>
          <w:sz w:val="20"/>
        </w:rPr>
        <w:t> </w:t>
      </w:r>
      <w:r>
        <w:rPr>
          <w:sz w:val="20"/>
        </w:rPr>
        <w:t>revenue</w:t>
      </w:r>
      <w:r>
        <w:rPr>
          <w:spacing w:val="-6"/>
          <w:sz w:val="20"/>
        </w:rPr>
        <w:t> </w:t>
      </w:r>
      <w:r>
        <w:rPr>
          <w:sz w:val="20"/>
        </w:rPr>
        <w:t>from</w:t>
      </w:r>
      <w:r>
        <w:rPr>
          <w:spacing w:val="-1"/>
          <w:sz w:val="20"/>
        </w:rPr>
        <w:t> </w:t>
      </w:r>
      <w:r>
        <w:rPr>
          <w:sz w:val="20"/>
        </w:rPr>
        <w:t>franchising</w:t>
      </w:r>
      <w:r>
        <w:rPr>
          <w:spacing w:val="-4"/>
          <w:sz w:val="20"/>
        </w:rPr>
        <w:t> </w:t>
      </w:r>
      <w:r>
        <w:rPr>
          <w:sz w:val="20"/>
        </w:rPr>
        <w:t>goods</w:t>
      </w:r>
      <w:r>
        <w:rPr>
          <w:spacing w:val="-2"/>
          <w:sz w:val="20"/>
        </w:rPr>
        <w:t> </w:t>
      </w:r>
      <w:r>
        <w:rPr>
          <w:sz w:val="20"/>
        </w:rPr>
        <w:t>or</w:t>
      </w:r>
      <w:r>
        <w:rPr>
          <w:spacing w:val="-5"/>
          <w:sz w:val="20"/>
        </w:rPr>
        <w:t> </w:t>
      </w:r>
      <w:r>
        <w:rPr>
          <w:sz w:val="20"/>
        </w:rPr>
        <w:t>licensing</w:t>
      </w:r>
      <w:r>
        <w:rPr>
          <w:spacing w:val="-4"/>
          <w:sz w:val="20"/>
        </w:rPr>
        <w:t> </w:t>
      </w:r>
      <w:r>
        <w:rPr>
          <w:sz w:val="20"/>
        </w:rPr>
        <w:t>an</w:t>
      </w:r>
      <w:r>
        <w:rPr>
          <w:spacing w:val="-4"/>
          <w:sz w:val="20"/>
        </w:rPr>
        <w:t> </w:t>
      </w:r>
      <w:r>
        <w:rPr>
          <w:sz w:val="20"/>
        </w:rPr>
        <w:t>intangible</w:t>
      </w:r>
      <w:r>
        <w:rPr>
          <w:spacing w:val="-5"/>
          <w:sz w:val="20"/>
        </w:rPr>
        <w:t> </w:t>
      </w:r>
      <w:r>
        <w:rPr>
          <w:sz w:val="20"/>
        </w:rPr>
        <w:t>that</w:t>
      </w:r>
      <w:r>
        <w:rPr>
          <w:spacing w:val="-6"/>
          <w:sz w:val="20"/>
        </w:rPr>
        <w:t> </w:t>
      </w:r>
      <w:r>
        <w:rPr>
          <w:sz w:val="20"/>
        </w:rPr>
        <w:t>is</w:t>
      </w:r>
      <w:r>
        <w:rPr>
          <w:spacing w:val="-4"/>
          <w:sz w:val="20"/>
        </w:rPr>
        <w:t> </w:t>
      </w:r>
      <w:r>
        <w:rPr>
          <w:sz w:val="20"/>
        </w:rPr>
        <w:t>attached</w:t>
      </w:r>
      <w:r>
        <w:rPr>
          <w:spacing w:val="-3"/>
          <w:sz w:val="20"/>
        </w:rPr>
        <w:t> </w:t>
      </w:r>
      <w:r>
        <w:rPr>
          <w:sz w:val="20"/>
        </w:rPr>
        <w:t>to goods is the jurisdiction of the place of final delivery of the good to the</w:t>
      </w:r>
      <w:r>
        <w:rPr>
          <w:spacing w:val="-7"/>
          <w:sz w:val="20"/>
        </w:rPr>
        <w:t> </w:t>
      </w:r>
      <w:r>
        <w:rPr>
          <w:sz w:val="20"/>
        </w:rPr>
        <w:t>consumer.</w:t>
      </w:r>
    </w:p>
    <w:p>
      <w:pPr>
        <w:pStyle w:val="ListParagraph"/>
        <w:numPr>
          <w:ilvl w:val="0"/>
          <w:numId w:val="13"/>
        </w:numPr>
        <w:tabs>
          <w:tab w:pos="1444" w:val="left" w:leader="none"/>
        </w:tabs>
        <w:spacing w:line="240" w:lineRule="auto" w:before="116" w:after="0"/>
        <w:ind w:left="1443" w:right="0" w:hanging="721"/>
        <w:jc w:val="both"/>
        <w:rPr>
          <w:sz w:val="20"/>
        </w:rPr>
      </w:pPr>
      <w:r>
        <w:rPr>
          <w:sz w:val="20"/>
        </w:rPr>
        <w:t>The relevant indicators</w:t>
      </w:r>
      <w:r>
        <w:rPr>
          <w:spacing w:val="-1"/>
          <w:sz w:val="20"/>
        </w:rPr>
        <w:t> </w:t>
      </w:r>
      <w:r>
        <w:rPr>
          <w:sz w:val="20"/>
        </w:rPr>
        <w:t>are:</w:t>
      </w:r>
    </w:p>
    <w:p>
      <w:pPr>
        <w:pStyle w:val="ListParagraph"/>
        <w:numPr>
          <w:ilvl w:val="0"/>
          <w:numId w:val="54"/>
        </w:numPr>
        <w:tabs>
          <w:tab w:pos="2085" w:val="left" w:leader="none"/>
        </w:tabs>
        <w:spacing w:line="273" w:lineRule="auto" w:before="142" w:after="0"/>
        <w:ind w:left="2084" w:right="493" w:hanging="341"/>
        <w:jc w:val="left"/>
        <w:rPr>
          <w:sz w:val="20"/>
        </w:rPr>
      </w:pPr>
      <w:r>
        <w:rPr>
          <w:sz w:val="20"/>
        </w:rPr>
        <w:t>The jurisdiction of the place of delivery or enjoyment as reported by the franchisee or licensee, based</w:t>
      </w:r>
      <w:r>
        <w:rPr>
          <w:spacing w:val="-3"/>
          <w:sz w:val="20"/>
        </w:rPr>
        <w:t> </w:t>
      </w:r>
      <w:r>
        <w:rPr>
          <w:sz w:val="20"/>
        </w:rPr>
        <w:t>on:</w:t>
      </w:r>
    </w:p>
    <w:p>
      <w:pPr>
        <w:pStyle w:val="ListParagraph"/>
        <w:numPr>
          <w:ilvl w:val="1"/>
          <w:numId w:val="54"/>
        </w:numPr>
        <w:tabs>
          <w:tab w:pos="2763" w:val="left" w:leader="none"/>
          <w:tab w:pos="2764" w:val="left" w:leader="none"/>
        </w:tabs>
        <w:spacing w:line="271" w:lineRule="auto" w:before="57" w:after="0"/>
        <w:ind w:left="2763" w:right="490" w:hanging="327"/>
        <w:jc w:val="left"/>
        <w:rPr>
          <w:sz w:val="20"/>
        </w:rPr>
      </w:pPr>
      <w:r>
        <w:rPr>
          <w:sz w:val="20"/>
        </w:rPr>
        <w:t>The jurisdiction of the retail storefront directly selling to consumers; or if not applicable</w:t>
      </w:r>
    </w:p>
    <w:p>
      <w:pPr>
        <w:pStyle w:val="ListParagraph"/>
        <w:numPr>
          <w:ilvl w:val="1"/>
          <w:numId w:val="54"/>
        </w:numPr>
        <w:tabs>
          <w:tab w:pos="2763" w:val="left" w:leader="none"/>
          <w:tab w:pos="2764" w:val="left" w:leader="none"/>
        </w:tabs>
        <w:spacing w:line="240" w:lineRule="auto" w:before="61" w:after="0"/>
        <w:ind w:left="2763" w:right="0" w:hanging="371"/>
        <w:jc w:val="left"/>
        <w:rPr>
          <w:sz w:val="20"/>
        </w:rPr>
      </w:pPr>
      <w:r>
        <w:rPr>
          <w:sz w:val="20"/>
        </w:rPr>
        <w:t>The jurisdiction of the final delivery address of the goods; or if</w:t>
      </w:r>
      <w:r>
        <w:rPr>
          <w:spacing w:val="-12"/>
          <w:sz w:val="20"/>
        </w:rPr>
        <w:t> </w:t>
      </w:r>
      <w:r>
        <w:rPr>
          <w:sz w:val="20"/>
        </w:rPr>
        <w:t>unavailable</w:t>
      </w:r>
    </w:p>
    <w:p>
      <w:pPr>
        <w:pStyle w:val="ListParagraph"/>
        <w:numPr>
          <w:ilvl w:val="0"/>
          <w:numId w:val="54"/>
        </w:numPr>
        <w:tabs>
          <w:tab w:pos="2426" w:val="left" w:leader="none"/>
        </w:tabs>
        <w:spacing w:line="271" w:lineRule="auto" w:before="89" w:after="0"/>
        <w:ind w:left="2425" w:right="491" w:hanging="341"/>
        <w:jc w:val="left"/>
        <w:rPr>
          <w:sz w:val="20"/>
        </w:rPr>
      </w:pPr>
      <w:r>
        <w:rPr>
          <w:sz w:val="20"/>
        </w:rPr>
        <w:t>The jurisdiction of the place of final delivery of the good to the consumer as indicated by other information already available to franchisor /</w:t>
      </w:r>
      <w:r>
        <w:rPr>
          <w:spacing w:val="-7"/>
          <w:sz w:val="20"/>
        </w:rPr>
        <w:t> </w:t>
      </w:r>
      <w:r>
        <w:rPr>
          <w:sz w:val="20"/>
        </w:rPr>
        <w:t>licensor</w:t>
      </w:r>
    </w:p>
    <w:p>
      <w:pPr>
        <w:pStyle w:val="BodyText"/>
        <w:rPr>
          <w:sz w:val="21"/>
        </w:rPr>
      </w:pPr>
    </w:p>
    <w:p>
      <w:pPr>
        <w:pStyle w:val="Heading8"/>
      </w:pPr>
      <w:bookmarkStart w:name="Consumer-facing services" w:id="150"/>
      <w:bookmarkEnd w:id="150"/>
      <w:r>
        <w:rPr>
          <w:b w:val="0"/>
        </w:rPr>
      </w:r>
      <w:r>
        <w:rPr/>
        <w:t>Consumer-facing services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The sourcing rule for revenue from franchising services or licensing an intangible that is used to support the provision of a service to consumers is the jurisdiction of the place of enjoyment or use of the service.</w:t>
      </w:r>
    </w:p>
    <w:p>
      <w:pPr>
        <w:pStyle w:val="ListParagraph"/>
        <w:numPr>
          <w:ilvl w:val="0"/>
          <w:numId w:val="13"/>
        </w:numPr>
        <w:tabs>
          <w:tab w:pos="1444" w:val="left" w:leader="none"/>
        </w:tabs>
        <w:spacing w:line="240" w:lineRule="auto" w:before="121" w:after="0"/>
        <w:ind w:left="1443" w:right="0" w:hanging="721"/>
        <w:jc w:val="both"/>
        <w:rPr>
          <w:sz w:val="20"/>
        </w:rPr>
      </w:pPr>
      <w:r>
        <w:rPr>
          <w:sz w:val="20"/>
        </w:rPr>
        <w:t>The relevant indicators</w:t>
      </w:r>
      <w:r>
        <w:rPr>
          <w:spacing w:val="-1"/>
          <w:sz w:val="20"/>
        </w:rPr>
        <w:t> </w:t>
      </w:r>
      <w:r>
        <w:rPr>
          <w:sz w:val="20"/>
        </w:rPr>
        <w:t>are:</w:t>
      </w:r>
    </w:p>
    <w:p>
      <w:pPr>
        <w:pStyle w:val="ListParagraph"/>
        <w:numPr>
          <w:ilvl w:val="0"/>
          <w:numId w:val="55"/>
        </w:numPr>
        <w:tabs>
          <w:tab w:pos="2085" w:val="left" w:leader="none"/>
        </w:tabs>
        <w:spacing w:line="273" w:lineRule="auto" w:before="142" w:after="0"/>
        <w:ind w:left="2084" w:right="485" w:hanging="341"/>
        <w:jc w:val="left"/>
        <w:rPr>
          <w:sz w:val="20"/>
        </w:rPr>
      </w:pPr>
      <w:r>
        <w:rPr>
          <w:sz w:val="20"/>
        </w:rPr>
        <w:t>The jurisdiction of the place of delivery or enjoyment </w:t>
      </w:r>
      <w:r>
        <w:rPr>
          <w:spacing w:val="3"/>
          <w:sz w:val="20"/>
        </w:rPr>
        <w:t>of </w:t>
      </w:r>
      <w:r>
        <w:rPr>
          <w:sz w:val="20"/>
        </w:rPr>
        <w:t>the service as reported by the franchisee or licensee, based</w:t>
      </w:r>
      <w:r>
        <w:rPr>
          <w:spacing w:val="-8"/>
          <w:sz w:val="20"/>
        </w:rPr>
        <w:t> </w:t>
      </w:r>
      <w:r>
        <w:rPr>
          <w:sz w:val="20"/>
        </w:rPr>
        <w:t>on:</w:t>
      </w:r>
    </w:p>
    <w:p>
      <w:pPr>
        <w:pStyle w:val="ListParagraph"/>
        <w:numPr>
          <w:ilvl w:val="1"/>
          <w:numId w:val="55"/>
        </w:numPr>
        <w:tabs>
          <w:tab w:pos="2763" w:val="left" w:leader="none"/>
          <w:tab w:pos="2764" w:val="left" w:leader="none"/>
        </w:tabs>
        <w:spacing w:line="240" w:lineRule="auto" w:before="57" w:after="0"/>
        <w:ind w:left="2763" w:right="0" w:hanging="327"/>
        <w:jc w:val="left"/>
        <w:rPr>
          <w:sz w:val="20"/>
        </w:rPr>
      </w:pPr>
      <w:r>
        <w:rPr>
          <w:sz w:val="20"/>
        </w:rPr>
        <w:t>The jurisdiction of the address where the service is performed; or if</w:t>
      </w:r>
      <w:r>
        <w:rPr>
          <w:spacing w:val="-24"/>
          <w:sz w:val="20"/>
        </w:rPr>
        <w:t> </w:t>
      </w:r>
      <w:r>
        <w:rPr>
          <w:sz w:val="20"/>
        </w:rPr>
        <w:t>unavailable</w:t>
      </w:r>
    </w:p>
    <w:p>
      <w:pPr>
        <w:pStyle w:val="ListParagraph"/>
        <w:numPr>
          <w:ilvl w:val="0"/>
          <w:numId w:val="55"/>
        </w:numPr>
        <w:tabs>
          <w:tab w:pos="2085" w:val="left" w:leader="none"/>
        </w:tabs>
        <w:spacing w:line="273" w:lineRule="auto" w:before="89" w:after="0"/>
        <w:ind w:left="2084" w:right="487" w:hanging="341"/>
        <w:jc w:val="left"/>
        <w:rPr>
          <w:sz w:val="20"/>
        </w:rPr>
      </w:pPr>
      <w:r>
        <w:rPr>
          <w:sz w:val="20"/>
        </w:rPr>
        <w:t>The jurisdiction of the place of enjoyment or use of the service as indicated by other information already available to franchisor /</w:t>
      </w:r>
      <w:r>
        <w:rPr>
          <w:spacing w:val="-7"/>
          <w:sz w:val="20"/>
        </w:rPr>
        <w:t> </w:t>
      </w:r>
      <w:r>
        <w:rPr>
          <w:sz w:val="20"/>
        </w:rPr>
        <w:t>licensor</w:t>
      </w:r>
    </w:p>
    <w:p>
      <w:pPr>
        <w:pStyle w:val="BodyText"/>
        <w:spacing w:before="8"/>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4.2.4. Documentation" w:id="151"/>
      <w:bookmarkEnd w:id="151"/>
      <w:r>
        <w:rPr>
          <w:b w:val="0"/>
          <w:i w:val="0"/>
        </w:rPr>
      </w:r>
      <w:bookmarkStart w:name="4.2.4. Documentation" w:id="152"/>
      <w:bookmarkEnd w:id="152"/>
      <w:r>
        <w:rPr>
          <w:i/>
        </w:rPr>
        <w:t>D</w:t>
      </w:r>
      <w:r>
        <w:rPr>
          <w:i/>
        </w:rPr>
        <w:t>ocumentation</w:t>
      </w:r>
    </w:p>
    <w:p>
      <w:pPr>
        <w:pStyle w:val="BodyText"/>
        <w:spacing w:before="10"/>
        <w:rPr>
          <w:b/>
          <w:i/>
          <w:sz w:val="18"/>
        </w:rPr>
      </w:pPr>
    </w:p>
    <w:p>
      <w:pPr>
        <w:pStyle w:val="ListParagraph"/>
        <w:numPr>
          <w:ilvl w:val="0"/>
          <w:numId w:val="13"/>
        </w:numPr>
        <w:tabs>
          <w:tab w:pos="1444" w:val="left" w:leader="none"/>
        </w:tabs>
        <w:spacing w:line="240" w:lineRule="auto" w:before="0" w:after="0"/>
        <w:ind w:left="1443" w:right="0" w:hanging="721"/>
        <w:jc w:val="both"/>
        <w:rPr>
          <w:sz w:val="20"/>
        </w:rPr>
      </w:pPr>
      <w:r>
        <w:rPr>
          <w:sz w:val="20"/>
        </w:rPr>
        <w:t>The MNE must retain documentation</w:t>
      </w:r>
      <w:r>
        <w:rPr>
          <w:spacing w:val="-8"/>
          <w:sz w:val="20"/>
        </w:rPr>
        <w:t> </w:t>
      </w:r>
      <w:r>
        <w:rPr>
          <w:sz w:val="20"/>
        </w:rPr>
        <w:t>explaining:</w:t>
      </w:r>
    </w:p>
    <w:p>
      <w:pPr>
        <w:pStyle w:val="ListParagraph"/>
        <w:numPr>
          <w:ilvl w:val="0"/>
          <w:numId w:val="56"/>
        </w:numPr>
        <w:tabs>
          <w:tab w:pos="2085" w:val="left" w:leader="none"/>
        </w:tabs>
        <w:spacing w:line="240" w:lineRule="auto" w:before="145" w:after="0"/>
        <w:ind w:left="2084" w:right="0" w:hanging="342"/>
        <w:jc w:val="left"/>
        <w:rPr>
          <w:sz w:val="20"/>
        </w:rPr>
      </w:pPr>
      <w:r>
        <w:rPr>
          <w:sz w:val="20"/>
        </w:rPr>
        <w:t>The functioning of its internal control framework related to revenue</w:t>
      </w:r>
      <w:r>
        <w:rPr>
          <w:spacing w:val="-16"/>
          <w:sz w:val="20"/>
        </w:rPr>
        <w:t> </w:t>
      </w:r>
      <w:r>
        <w:rPr>
          <w:sz w:val="20"/>
        </w:rPr>
        <w:t>sourcing;</w:t>
      </w:r>
    </w:p>
    <w:p>
      <w:pPr>
        <w:spacing w:after="0" w:line="240" w:lineRule="auto"/>
        <w:jc w:val="left"/>
        <w:rPr>
          <w:sz w:val="20"/>
        </w:rPr>
        <w:sectPr>
          <w:pgSz w:w="11910" w:h="16840"/>
          <w:pgMar w:header="1244" w:footer="1638" w:top="1500" w:bottom="1820" w:left="580" w:right="820"/>
        </w:sectPr>
      </w:pPr>
    </w:p>
    <w:p>
      <w:pPr>
        <w:pStyle w:val="BodyText"/>
        <w:spacing w:before="9"/>
        <w:rPr>
          <w:sz w:val="19"/>
        </w:rPr>
      </w:pPr>
    </w:p>
    <w:p>
      <w:pPr>
        <w:pStyle w:val="ListParagraph"/>
        <w:numPr>
          <w:ilvl w:val="0"/>
          <w:numId w:val="56"/>
        </w:numPr>
        <w:tabs>
          <w:tab w:pos="2085" w:val="left" w:leader="none"/>
        </w:tabs>
        <w:spacing w:line="271" w:lineRule="auto" w:before="93" w:after="0"/>
        <w:ind w:left="2084" w:right="484" w:hanging="341"/>
        <w:jc w:val="both"/>
        <w:rPr>
          <w:sz w:val="20"/>
        </w:rPr>
      </w:pPr>
      <w:r>
        <w:rPr>
          <w:sz w:val="20"/>
        </w:rPr>
        <w:t>Aggregate and periodic information on results of applying the indicators, for each type of revenue and in each jurisdiction;</w:t>
      </w:r>
    </w:p>
    <w:p>
      <w:pPr>
        <w:pStyle w:val="ListParagraph"/>
        <w:numPr>
          <w:ilvl w:val="0"/>
          <w:numId w:val="56"/>
        </w:numPr>
        <w:tabs>
          <w:tab w:pos="2085" w:val="left" w:leader="none"/>
        </w:tabs>
        <w:spacing w:line="240" w:lineRule="auto" w:before="59" w:after="0"/>
        <w:ind w:left="2084" w:right="0" w:hanging="342"/>
        <w:jc w:val="both"/>
        <w:rPr>
          <w:sz w:val="20"/>
        </w:rPr>
      </w:pPr>
      <w:r>
        <w:rPr>
          <w:sz w:val="20"/>
        </w:rPr>
        <w:t>The specific indicator used for a given category of revenue;</w:t>
      </w:r>
      <w:r>
        <w:rPr>
          <w:spacing w:val="-6"/>
          <w:sz w:val="20"/>
        </w:rPr>
        <w:t> </w:t>
      </w:r>
      <w:r>
        <w:rPr>
          <w:sz w:val="20"/>
        </w:rPr>
        <w:t>and</w:t>
      </w:r>
    </w:p>
    <w:p>
      <w:pPr>
        <w:pStyle w:val="ListParagraph"/>
        <w:numPr>
          <w:ilvl w:val="0"/>
          <w:numId w:val="56"/>
        </w:numPr>
        <w:tabs>
          <w:tab w:pos="2085" w:val="left" w:leader="none"/>
        </w:tabs>
        <w:spacing w:line="271" w:lineRule="auto" w:before="92" w:after="0"/>
        <w:ind w:left="2084" w:right="487" w:hanging="341"/>
        <w:jc w:val="both"/>
        <w:rPr>
          <w:sz w:val="20"/>
        </w:rPr>
      </w:pPr>
      <w:r>
        <w:rPr>
          <w:sz w:val="20"/>
        </w:rPr>
        <w:t>The circumstances when an indicator lower in the hierarchy was used, including why the indicator higher in the hierarchy was not available (and the steps taken to obtain it) or not reliable</w:t>
      </w:r>
      <w:r>
        <w:rPr>
          <w:spacing w:val="-11"/>
          <w:sz w:val="20"/>
        </w:rPr>
        <w:t> </w:t>
      </w:r>
      <w:r>
        <w:rPr>
          <w:sz w:val="20"/>
        </w:rPr>
        <w:t>(and</w:t>
      </w:r>
      <w:r>
        <w:rPr>
          <w:spacing w:val="-10"/>
          <w:sz w:val="20"/>
        </w:rPr>
        <w:t> </w:t>
      </w:r>
      <w:r>
        <w:rPr>
          <w:sz w:val="20"/>
        </w:rPr>
        <w:t>the</w:t>
      </w:r>
      <w:r>
        <w:rPr>
          <w:spacing w:val="-8"/>
          <w:sz w:val="20"/>
        </w:rPr>
        <w:t> </w:t>
      </w:r>
      <w:r>
        <w:rPr>
          <w:sz w:val="20"/>
        </w:rPr>
        <w:t>information</w:t>
      </w:r>
      <w:r>
        <w:rPr>
          <w:spacing w:val="-10"/>
          <w:sz w:val="20"/>
        </w:rPr>
        <w:t> </w:t>
      </w:r>
      <w:r>
        <w:rPr>
          <w:sz w:val="20"/>
        </w:rPr>
        <w:t>available</w:t>
      </w:r>
      <w:r>
        <w:rPr>
          <w:spacing w:val="-10"/>
          <w:sz w:val="20"/>
        </w:rPr>
        <w:t> </w:t>
      </w:r>
      <w:r>
        <w:rPr>
          <w:sz w:val="20"/>
        </w:rPr>
        <w:t>to</w:t>
      </w:r>
      <w:r>
        <w:rPr>
          <w:spacing w:val="-10"/>
          <w:sz w:val="20"/>
        </w:rPr>
        <w:t> </w:t>
      </w:r>
      <w:r>
        <w:rPr>
          <w:sz w:val="20"/>
        </w:rPr>
        <w:t>confirm</w:t>
      </w:r>
      <w:r>
        <w:rPr>
          <w:spacing w:val="-6"/>
          <w:sz w:val="20"/>
        </w:rPr>
        <w:t> </w:t>
      </w:r>
      <w:r>
        <w:rPr>
          <w:sz w:val="20"/>
        </w:rPr>
        <w:t>the</w:t>
      </w:r>
      <w:r>
        <w:rPr>
          <w:spacing w:val="-10"/>
          <w:sz w:val="20"/>
        </w:rPr>
        <w:t> </w:t>
      </w:r>
      <w:r>
        <w:rPr>
          <w:sz w:val="20"/>
        </w:rPr>
        <w:t>presence</w:t>
      </w:r>
      <w:r>
        <w:rPr>
          <w:spacing w:val="-10"/>
          <w:sz w:val="20"/>
        </w:rPr>
        <w:t> </w:t>
      </w:r>
      <w:r>
        <w:rPr>
          <w:sz w:val="20"/>
        </w:rPr>
        <w:t>of</w:t>
      </w:r>
      <w:r>
        <w:rPr>
          <w:spacing w:val="-8"/>
          <w:sz w:val="20"/>
        </w:rPr>
        <w:t> </w:t>
      </w:r>
      <w:r>
        <w:rPr>
          <w:sz w:val="20"/>
        </w:rPr>
        <w:t>a</w:t>
      </w:r>
      <w:r>
        <w:rPr>
          <w:spacing w:val="-10"/>
          <w:sz w:val="20"/>
        </w:rPr>
        <w:t> </w:t>
      </w:r>
      <w:r>
        <w:rPr>
          <w:sz w:val="20"/>
        </w:rPr>
        <w:t>more</w:t>
      </w:r>
      <w:r>
        <w:rPr>
          <w:spacing w:val="-10"/>
          <w:sz w:val="20"/>
        </w:rPr>
        <w:t> </w:t>
      </w:r>
      <w:r>
        <w:rPr>
          <w:sz w:val="20"/>
        </w:rPr>
        <w:t>reliable</w:t>
      </w:r>
      <w:r>
        <w:rPr>
          <w:spacing w:val="-9"/>
          <w:sz w:val="20"/>
        </w:rPr>
        <w:t> </w:t>
      </w:r>
      <w:r>
        <w:rPr>
          <w:sz w:val="20"/>
        </w:rPr>
        <w:t>indicator).</w:t>
      </w:r>
    </w:p>
    <w:p>
      <w:pPr>
        <w:pStyle w:val="BodyText"/>
        <w:rPr>
          <w:sz w:val="22"/>
        </w:rPr>
      </w:pPr>
    </w:p>
    <w:p>
      <w:pPr>
        <w:pStyle w:val="BodyText"/>
        <w:spacing w:before="3"/>
        <w:rPr>
          <w:sz w:val="17"/>
        </w:rPr>
      </w:pPr>
    </w:p>
    <w:p>
      <w:pPr>
        <w:pStyle w:val="Heading4"/>
        <w:numPr>
          <w:ilvl w:val="1"/>
          <w:numId w:val="19"/>
        </w:numPr>
        <w:tabs>
          <w:tab w:pos="1192" w:val="left" w:leader="none"/>
        </w:tabs>
        <w:spacing w:line="240" w:lineRule="auto" w:before="1" w:after="0"/>
        <w:ind w:left="1191" w:right="0" w:hanging="469"/>
        <w:jc w:val="both"/>
        <w:rPr>
          <w:rFonts w:ascii="Arial"/>
        </w:rPr>
      </w:pPr>
      <w:bookmarkStart w:name="4.3. Commentary on revenue sourcing rule" w:id="153"/>
      <w:bookmarkEnd w:id="153"/>
      <w:r>
        <w:rPr>
          <w:b w:val="0"/>
        </w:rPr>
      </w:r>
      <w:bookmarkStart w:name="_bookmark22" w:id="154"/>
      <w:bookmarkEnd w:id="154"/>
      <w:r>
        <w:rPr>
          <w:b w:val="0"/>
        </w:rPr>
      </w:r>
      <w:bookmarkStart w:name="_bookmark22" w:id="155"/>
      <w:bookmarkEnd w:id="155"/>
      <w:r>
        <w:rPr>
          <w:rFonts w:ascii="Arial"/>
          <w:color w:val="4E81BD"/>
        </w:rPr>
        <w:t>Comm</w:t>
      </w:r>
      <w:r>
        <w:rPr>
          <w:rFonts w:ascii="Arial"/>
          <w:color w:val="4E81BD"/>
        </w:rPr>
        <w:t>entary on revenue sourcing</w:t>
      </w:r>
      <w:r>
        <w:rPr>
          <w:rFonts w:ascii="Arial"/>
          <w:color w:val="4E81BD"/>
          <w:spacing w:val="-7"/>
        </w:rPr>
        <w:t> </w:t>
      </w:r>
      <w:r>
        <w:rPr>
          <w:rFonts w:ascii="Arial"/>
          <w:color w:val="4E81BD"/>
        </w:rPr>
        <w:t>rules</w:t>
      </w:r>
    </w:p>
    <w:p>
      <w:pPr>
        <w:pStyle w:val="BodyText"/>
        <w:spacing w:before="1"/>
        <w:rPr>
          <w:b/>
          <w:sz w:val="24"/>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This section contains the Commentary on the sourcing rules. This provides further context on the relevant</w:t>
      </w:r>
      <w:r>
        <w:rPr>
          <w:spacing w:val="-15"/>
          <w:sz w:val="20"/>
        </w:rPr>
        <w:t> </w:t>
      </w:r>
      <w:r>
        <w:rPr>
          <w:sz w:val="20"/>
        </w:rPr>
        <w:t>business</w:t>
      </w:r>
      <w:r>
        <w:rPr>
          <w:spacing w:val="-16"/>
          <w:sz w:val="20"/>
        </w:rPr>
        <w:t> </w:t>
      </w:r>
      <w:r>
        <w:rPr>
          <w:sz w:val="20"/>
        </w:rPr>
        <w:t>models</w:t>
      </w:r>
      <w:r>
        <w:rPr>
          <w:spacing w:val="-13"/>
          <w:sz w:val="20"/>
        </w:rPr>
        <w:t> </w:t>
      </w:r>
      <w:r>
        <w:rPr>
          <w:sz w:val="20"/>
        </w:rPr>
        <w:t>where</w:t>
      </w:r>
      <w:r>
        <w:rPr>
          <w:spacing w:val="-16"/>
          <w:sz w:val="20"/>
        </w:rPr>
        <w:t> </w:t>
      </w:r>
      <w:r>
        <w:rPr>
          <w:sz w:val="20"/>
        </w:rPr>
        <w:t>this</w:t>
      </w:r>
      <w:r>
        <w:rPr>
          <w:spacing w:val="-13"/>
          <w:sz w:val="20"/>
        </w:rPr>
        <w:t> </w:t>
      </w:r>
      <w:r>
        <w:rPr>
          <w:sz w:val="20"/>
        </w:rPr>
        <w:t>is</w:t>
      </w:r>
      <w:r>
        <w:rPr>
          <w:spacing w:val="-16"/>
          <w:sz w:val="20"/>
        </w:rPr>
        <w:t> </w:t>
      </w:r>
      <w:r>
        <w:rPr>
          <w:sz w:val="20"/>
        </w:rPr>
        <w:t>essential</w:t>
      </w:r>
      <w:r>
        <w:rPr>
          <w:spacing w:val="-17"/>
          <w:sz w:val="20"/>
        </w:rPr>
        <w:t> </w:t>
      </w:r>
      <w:r>
        <w:rPr>
          <w:sz w:val="20"/>
        </w:rPr>
        <w:t>to</w:t>
      </w:r>
      <w:r>
        <w:rPr>
          <w:spacing w:val="-15"/>
          <w:sz w:val="20"/>
        </w:rPr>
        <w:t> </w:t>
      </w:r>
      <w:r>
        <w:rPr>
          <w:sz w:val="20"/>
        </w:rPr>
        <w:t>understand</w:t>
      </w:r>
      <w:r>
        <w:rPr>
          <w:spacing w:val="-17"/>
          <w:sz w:val="20"/>
        </w:rPr>
        <w:t> </w:t>
      </w:r>
      <w:r>
        <w:rPr>
          <w:sz w:val="20"/>
        </w:rPr>
        <w:t>the</w:t>
      </w:r>
      <w:r>
        <w:rPr>
          <w:spacing w:val="-17"/>
          <w:sz w:val="20"/>
        </w:rPr>
        <w:t> </w:t>
      </w:r>
      <w:r>
        <w:rPr>
          <w:sz w:val="20"/>
        </w:rPr>
        <w:t>sourcing</w:t>
      </w:r>
      <w:r>
        <w:rPr>
          <w:spacing w:val="-15"/>
          <w:sz w:val="20"/>
        </w:rPr>
        <w:t> </w:t>
      </w:r>
      <w:r>
        <w:rPr>
          <w:sz w:val="20"/>
        </w:rPr>
        <w:t>rule,</w:t>
      </w:r>
      <w:r>
        <w:rPr>
          <w:spacing w:val="-14"/>
          <w:sz w:val="20"/>
        </w:rPr>
        <w:t> </w:t>
      </w:r>
      <w:r>
        <w:rPr>
          <w:sz w:val="20"/>
        </w:rPr>
        <w:t>and</w:t>
      </w:r>
      <w:r>
        <w:rPr>
          <w:spacing w:val="-18"/>
          <w:sz w:val="20"/>
        </w:rPr>
        <w:t> </w:t>
      </w:r>
      <w:r>
        <w:rPr>
          <w:sz w:val="20"/>
        </w:rPr>
        <w:t>explains</w:t>
      </w:r>
      <w:r>
        <w:rPr>
          <w:spacing w:val="-16"/>
          <w:sz w:val="20"/>
        </w:rPr>
        <w:t> </w:t>
      </w:r>
      <w:r>
        <w:rPr>
          <w:sz w:val="20"/>
        </w:rPr>
        <w:t>the</w:t>
      </w:r>
      <w:r>
        <w:rPr>
          <w:spacing w:val="-17"/>
          <w:sz w:val="20"/>
        </w:rPr>
        <w:t> </w:t>
      </w:r>
      <w:r>
        <w:rPr>
          <w:sz w:val="20"/>
        </w:rPr>
        <w:t>meaning of certain indicators contained in the rules. The Commentary provide guidance on the application of the revenue sourcing rules. This guidance will cover four</w:t>
      </w:r>
      <w:r>
        <w:rPr>
          <w:spacing w:val="-10"/>
          <w:sz w:val="20"/>
        </w:rPr>
        <w:t> </w:t>
      </w:r>
      <w:r>
        <w:rPr>
          <w:sz w:val="20"/>
        </w:rPr>
        <w:t>areas:</w:t>
      </w:r>
    </w:p>
    <w:p>
      <w:pPr>
        <w:pStyle w:val="ListParagraph"/>
        <w:numPr>
          <w:ilvl w:val="0"/>
          <w:numId w:val="57"/>
        </w:numPr>
        <w:tabs>
          <w:tab w:pos="2085" w:val="left" w:leader="none"/>
        </w:tabs>
        <w:spacing w:line="240" w:lineRule="auto" w:before="116" w:after="0"/>
        <w:ind w:left="2084" w:right="0" w:hanging="342"/>
        <w:jc w:val="left"/>
        <w:rPr>
          <w:sz w:val="20"/>
        </w:rPr>
      </w:pPr>
      <w:r>
        <w:rPr>
          <w:sz w:val="20"/>
        </w:rPr>
        <w:t>Hierarchy of the</w:t>
      </w:r>
      <w:r>
        <w:rPr>
          <w:spacing w:val="-3"/>
          <w:sz w:val="20"/>
        </w:rPr>
        <w:t> </w:t>
      </w:r>
      <w:r>
        <w:rPr>
          <w:sz w:val="20"/>
        </w:rPr>
        <w:t>indictors;</w:t>
      </w:r>
    </w:p>
    <w:p>
      <w:pPr>
        <w:pStyle w:val="ListParagraph"/>
        <w:numPr>
          <w:ilvl w:val="0"/>
          <w:numId w:val="57"/>
        </w:numPr>
        <w:tabs>
          <w:tab w:pos="2085" w:val="left" w:leader="none"/>
        </w:tabs>
        <w:spacing w:line="271" w:lineRule="auto" w:before="89" w:after="0"/>
        <w:ind w:left="2084" w:right="492" w:hanging="341"/>
        <w:jc w:val="left"/>
        <w:rPr>
          <w:sz w:val="20"/>
        </w:rPr>
      </w:pPr>
      <w:r>
        <w:rPr>
          <w:sz w:val="20"/>
        </w:rPr>
        <w:t>Guidance on ADS (including an explanation of the indicators and guidance on relevant revenues from in-scope</w:t>
      </w:r>
      <w:r>
        <w:rPr>
          <w:spacing w:val="1"/>
          <w:sz w:val="20"/>
        </w:rPr>
        <w:t> </w:t>
      </w:r>
      <w:r>
        <w:rPr>
          <w:sz w:val="20"/>
        </w:rPr>
        <w:t>activities);</w:t>
      </w:r>
    </w:p>
    <w:p>
      <w:pPr>
        <w:pStyle w:val="ListParagraph"/>
        <w:numPr>
          <w:ilvl w:val="0"/>
          <w:numId w:val="57"/>
        </w:numPr>
        <w:tabs>
          <w:tab w:pos="2085" w:val="left" w:leader="none"/>
        </w:tabs>
        <w:spacing w:line="240" w:lineRule="auto" w:before="61" w:after="0"/>
        <w:ind w:left="2084" w:right="0" w:hanging="342"/>
        <w:jc w:val="left"/>
        <w:rPr>
          <w:sz w:val="20"/>
        </w:rPr>
      </w:pPr>
      <w:r>
        <w:rPr>
          <w:sz w:val="20"/>
        </w:rPr>
        <w:t>Guidance on revenue from CFB;</w:t>
      </w:r>
      <w:r>
        <w:rPr>
          <w:spacing w:val="-4"/>
          <w:sz w:val="20"/>
        </w:rPr>
        <w:t> </w:t>
      </w:r>
      <w:r>
        <w:rPr>
          <w:sz w:val="20"/>
        </w:rPr>
        <w:t>and</w:t>
      </w:r>
    </w:p>
    <w:p>
      <w:pPr>
        <w:pStyle w:val="ListParagraph"/>
        <w:numPr>
          <w:ilvl w:val="0"/>
          <w:numId w:val="57"/>
        </w:numPr>
        <w:tabs>
          <w:tab w:pos="2085" w:val="left" w:leader="none"/>
        </w:tabs>
        <w:spacing w:line="240" w:lineRule="auto" w:before="89" w:after="0"/>
        <w:ind w:left="2084" w:right="0" w:hanging="342"/>
        <w:jc w:val="left"/>
        <w:rPr>
          <w:sz w:val="20"/>
        </w:rPr>
      </w:pPr>
      <w:r>
        <w:rPr>
          <w:sz w:val="20"/>
        </w:rPr>
        <w:t>Documentation</w:t>
      </w:r>
      <w:r>
        <w:rPr>
          <w:spacing w:val="-1"/>
          <w:sz w:val="20"/>
        </w:rPr>
        <w:t> </w:t>
      </w:r>
      <w:r>
        <w:rPr>
          <w:sz w:val="20"/>
        </w:rPr>
        <w:t>requirements.</w:t>
      </w:r>
    </w:p>
    <w:p>
      <w:pPr>
        <w:pStyle w:val="BodyText"/>
        <w:spacing w:before="7"/>
        <w:rPr>
          <w:sz w:val="26"/>
        </w:rPr>
      </w:pPr>
    </w:p>
    <w:p>
      <w:pPr>
        <w:pStyle w:val="Heading6"/>
        <w:numPr>
          <w:ilvl w:val="2"/>
          <w:numId w:val="19"/>
        </w:numPr>
        <w:tabs>
          <w:tab w:pos="2015" w:val="left" w:leader="none"/>
        </w:tabs>
        <w:spacing w:line="240" w:lineRule="auto" w:before="0" w:after="0"/>
        <w:ind w:left="2014" w:right="0" w:hanging="613"/>
        <w:jc w:val="left"/>
        <w:rPr>
          <w:i/>
        </w:rPr>
      </w:pPr>
      <w:bookmarkStart w:name="4.3.1. Hierarchy of indicators" w:id="156"/>
      <w:bookmarkEnd w:id="156"/>
      <w:r>
        <w:rPr>
          <w:b w:val="0"/>
          <w:i w:val="0"/>
        </w:rPr>
      </w:r>
      <w:bookmarkStart w:name="4.3.1. Hierarchy of indicators" w:id="157"/>
      <w:bookmarkEnd w:id="157"/>
      <w:r>
        <w:rPr>
          <w:i/>
        </w:rPr>
        <w:t>H</w:t>
      </w:r>
      <w:r>
        <w:rPr>
          <w:i/>
        </w:rPr>
        <w:t>ierarchy of</w:t>
      </w:r>
      <w:r>
        <w:rPr>
          <w:i/>
          <w:spacing w:val="-4"/>
        </w:rPr>
        <w:t> </w:t>
      </w:r>
      <w:r>
        <w:rPr>
          <w:i/>
        </w:rPr>
        <w:t>indicators</w:t>
      </w:r>
    </w:p>
    <w:p>
      <w:pPr>
        <w:pStyle w:val="BodyText"/>
        <w:rPr>
          <w:b/>
          <w:i/>
          <w:sz w:val="19"/>
        </w:rPr>
      </w:pPr>
    </w:p>
    <w:p>
      <w:pPr>
        <w:pStyle w:val="ListParagraph"/>
        <w:numPr>
          <w:ilvl w:val="0"/>
          <w:numId w:val="13"/>
        </w:numPr>
        <w:tabs>
          <w:tab w:pos="1444" w:val="left" w:leader="none"/>
        </w:tabs>
        <w:spacing w:line="271" w:lineRule="auto" w:before="1" w:after="0"/>
        <w:ind w:left="723" w:right="484" w:firstLine="0"/>
        <w:jc w:val="both"/>
        <w:rPr>
          <w:sz w:val="20"/>
        </w:rPr>
      </w:pPr>
      <w:r>
        <w:rPr>
          <w:sz w:val="20"/>
        </w:rPr>
        <w:t>The</w:t>
      </w:r>
      <w:r>
        <w:rPr>
          <w:spacing w:val="-10"/>
          <w:sz w:val="20"/>
        </w:rPr>
        <w:t> </w:t>
      </w:r>
      <w:r>
        <w:rPr>
          <w:sz w:val="20"/>
        </w:rPr>
        <w:t>revenue</w:t>
      </w:r>
      <w:r>
        <w:rPr>
          <w:spacing w:val="-10"/>
          <w:sz w:val="20"/>
        </w:rPr>
        <w:t> </w:t>
      </w:r>
      <w:r>
        <w:rPr>
          <w:sz w:val="20"/>
        </w:rPr>
        <w:t>sourcing</w:t>
      </w:r>
      <w:r>
        <w:rPr>
          <w:spacing w:val="-10"/>
          <w:sz w:val="20"/>
        </w:rPr>
        <w:t> </w:t>
      </w:r>
      <w:r>
        <w:rPr>
          <w:sz w:val="20"/>
        </w:rPr>
        <w:t>rules</w:t>
      </w:r>
      <w:r>
        <w:rPr>
          <w:spacing w:val="-9"/>
          <w:sz w:val="20"/>
        </w:rPr>
        <w:t> </w:t>
      </w:r>
      <w:r>
        <w:rPr>
          <w:sz w:val="20"/>
        </w:rPr>
        <w:t>are</w:t>
      </w:r>
      <w:r>
        <w:rPr>
          <w:spacing w:val="-10"/>
          <w:sz w:val="20"/>
        </w:rPr>
        <w:t> </w:t>
      </w:r>
      <w:r>
        <w:rPr>
          <w:sz w:val="20"/>
        </w:rPr>
        <w:t>designed</w:t>
      </w:r>
      <w:r>
        <w:rPr>
          <w:spacing w:val="-10"/>
          <w:sz w:val="20"/>
        </w:rPr>
        <w:t> </w:t>
      </w:r>
      <w:r>
        <w:rPr>
          <w:sz w:val="20"/>
        </w:rPr>
        <w:t>to</w:t>
      </w:r>
      <w:r>
        <w:rPr>
          <w:spacing w:val="-10"/>
          <w:sz w:val="20"/>
        </w:rPr>
        <w:t> </w:t>
      </w:r>
      <w:r>
        <w:rPr>
          <w:sz w:val="20"/>
        </w:rPr>
        <w:t>ensure</w:t>
      </w:r>
      <w:r>
        <w:rPr>
          <w:spacing w:val="-10"/>
          <w:sz w:val="20"/>
        </w:rPr>
        <w:t> </w:t>
      </w:r>
      <w:r>
        <w:rPr>
          <w:sz w:val="20"/>
        </w:rPr>
        <w:t>the</w:t>
      </w:r>
      <w:r>
        <w:rPr>
          <w:spacing w:val="-10"/>
          <w:sz w:val="20"/>
        </w:rPr>
        <w:t> </w:t>
      </w:r>
      <w:r>
        <w:rPr>
          <w:sz w:val="20"/>
        </w:rPr>
        <w:t>collection</w:t>
      </w:r>
      <w:r>
        <w:rPr>
          <w:spacing w:val="-10"/>
          <w:sz w:val="20"/>
        </w:rPr>
        <w:t> </w:t>
      </w:r>
      <w:r>
        <w:rPr>
          <w:sz w:val="20"/>
        </w:rPr>
        <w:t>of</w:t>
      </w:r>
      <w:r>
        <w:rPr>
          <w:spacing w:val="-8"/>
          <w:sz w:val="20"/>
        </w:rPr>
        <w:t> </w:t>
      </w:r>
      <w:r>
        <w:rPr>
          <w:sz w:val="20"/>
        </w:rPr>
        <w:t>the</w:t>
      </w:r>
      <w:r>
        <w:rPr>
          <w:spacing w:val="-10"/>
          <w:sz w:val="20"/>
        </w:rPr>
        <w:t> </w:t>
      </w:r>
      <w:r>
        <w:rPr>
          <w:sz w:val="20"/>
        </w:rPr>
        <w:t>most</w:t>
      </w:r>
      <w:r>
        <w:rPr>
          <w:spacing w:val="-10"/>
          <w:sz w:val="20"/>
        </w:rPr>
        <w:t> </w:t>
      </w:r>
      <w:r>
        <w:rPr>
          <w:sz w:val="20"/>
        </w:rPr>
        <w:t>accurate</w:t>
      </w:r>
      <w:r>
        <w:rPr>
          <w:spacing w:val="-10"/>
          <w:sz w:val="20"/>
        </w:rPr>
        <w:t> </w:t>
      </w:r>
      <w:r>
        <w:rPr>
          <w:sz w:val="20"/>
        </w:rPr>
        <w:t>information possible. This is achieved by providing a hierarchy of rules, which sets a range of acceptable data points for each given scenario. While it may be ideal to have the revenue sourcing rules based on one uniform indicator only (for example, in the case of online advertising, for the sourcing rules to look to the location of the user viewing an online advertisement and the indicator used would be the geolocation), it is recognised that different business models are used even within one set of activities and which make a different set of sourcing rules more accurate, or that different data points may be available for different users / customers even within the same set of activities. At the same time, the hierarchy of indicators approach recognises that MNEs may not always have the same specific data points, given the different commercial operations that drive the collection of information. This means that prescribing a single preferred indicator may be unworkable for certain MNEs, and may overlook other reliable available data that delivers a similar or more reliable</w:t>
      </w:r>
      <w:r>
        <w:rPr>
          <w:spacing w:val="-5"/>
          <w:sz w:val="20"/>
        </w:rPr>
        <w:t> </w:t>
      </w:r>
      <w:r>
        <w:rPr>
          <w:sz w:val="20"/>
        </w:rPr>
        <w:t>outcome.</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The range of indicators has been proposed as a way to provide a sound basis for revenue sourcing. In most cases, MNEs have a commercial interest in knowing the location of their final sales, for example</w:t>
      </w:r>
      <w:r>
        <w:rPr>
          <w:spacing w:val="-7"/>
          <w:sz w:val="20"/>
        </w:rPr>
        <w:t> </w:t>
      </w:r>
      <w:r>
        <w:rPr>
          <w:sz w:val="20"/>
        </w:rPr>
        <w:t>to</w:t>
      </w:r>
      <w:r>
        <w:rPr>
          <w:spacing w:val="-8"/>
          <w:sz w:val="20"/>
        </w:rPr>
        <w:t> </w:t>
      </w:r>
      <w:r>
        <w:rPr>
          <w:sz w:val="20"/>
        </w:rPr>
        <w:t>drive</w:t>
      </w:r>
      <w:r>
        <w:rPr>
          <w:spacing w:val="-8"/>
          <w:sz w:val="20"/>
        </w:rPr>
        <w:t> </w:t>
      </w:r>
      <w:r>
        <w:rPr>
          <w:sz w:val="20"/>
        </w:rPr>
        <w:t>efforts</w:t>
      </w:r>
      <w:r>
        <w:rPr>
          <w:spacing w:val="-6"/>
          <w:sz w:val="20"/>
        </w:rPr>
        <w:t> </w:t>
      </w:r>
      <w:r>
        <w:rPr>
          <w:sz w:val="20"/>
        </w:rPr>
        <w:t>at</w:t>
      </w:r>
      <w:r>
        <w:rPr>
          <w:spacing w:val="-8"/>
          <w:sz w:val="20"/>
        </w:rPr>
        <w:t> </w:t>
      </w:r>
      <w:r>
        <w:rPr>
          <w:sz w:val="20"/>
        </w:rPr>
        <w:t>efficient</w:t>
      </w:r>
      <w:r>
        <w:rPr>
          <w:spacing w:val="-7"/>
          <w:sz w:val="20"/>
        </w:rPr>
        <w:t> </w:t>
      </w:r>
      <w:r>
        <w:rPr>
          <w:sz w:val="20"/>
        </w:rPr>
        <w:t>marketing</w:t>
      </w:r>
      <w:r>
        <w:rPr>
          <w:spacing w:val="-8"/>
          <w:sz w:val="20"/>
        </w:rPr>
        <w:t> </w:t>
      </w:r>
      <w:r>
        <w:rPr>
          <w:sz w:val="20"/>
        </w:rPr>
        <w:t>and</w:t>
      </w:r>
      <w:r>
        <w:rPr>
          <w:spacing w:val="-8"/>
          <w:sz w:val="20"/>
        </w:rPr>
        <w:t> </w:t>
      </w:r>
      <w:r>
        <w:rPr>
          <w:sz w:val="20"/>
        </w:rPr>
        <w:t>identify</w:t>
      </w:r>
      <w:r>
        <w:rPr>
          <w:spacing w:val="-10"/>
          <w:sz w:val="20"/>
        </w:rPr>
        <w:t> </w:t>
      </w:r>
      <w:r>
        <w:rPr>
          <w:sz w:val="20"/>
        </w:rPr>
        <w:t>growth</w:t>
      </w:r>
      <w:r>
        <w:rPr>
          <w:spacing w:val="-8"/>
          <w:sz w:val="20"/>
        </w:rPr>
        <w:t> </w:t>
      </w:r>
      <w:r>
        <w:rPr>
          <w:sz w:val="20"/>
        </w:rPr>
        <w:t>opportunities,</w:t>
      </w:r>
      <w:r>
        <w:rPr>
          <w:spacing w:val="1"/>
          <w:sz w:val="20"/>
        </w:rPr>
        <w:t> </w:t>
      </w:r>
      <w:r>
        <w:rPr>
          <w:sz w:val="20"/>
        </w:rPr>
        <w:t>which</w:t>
      </w:r>
      <w:r>
        <w:rPr>
          <w:spacing w:val="-7"/>
          <w:sz w:val="20"/>
        </w:rPr>
        <w:t> </w:t>
      </w:r>
      <w:r>
        <w:rPr>
          <w:sz w:val="20"/>
        </w:rPr>
        <w:t>provides</w:t>
      </w:r>
      <w:r>
        <w:rPr>
          <w:spacing w:val="-4"/>
          <w:sz w:val="20"/>
        </w:rPr>
        <w:t> </w:t>
      </w:r>
      <w:r>
        <w:rPr>
          <w:sz w:val="20"/>
        </w:rPr>
        <w:t>assurance that they are likely to be in a positon to give a relatively high level of confidence that the results will be reliable. However, the range of permitted indicators also recognises that the operation of Amount A will in some cases necessarily result in balancing the interest in accuracy with the need to take a reasonable approach to limit the compliance burdens on</w:t>
      </w:r>
      <w:r>
        <w:rPr>
          <w:spacing w:val="-3"/>
          <w:sz w:val="20"/>
        </w:rPr>
        <w:t> </w:t>
      </w:r>
      <w:r>
        <w:rPr>
          <w:sz w:val="20"/>
        </w:rPr>
        <w:t>MNEs.</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In this hierarchical structure, the first indicator is generally the preferred indicator and the MNE should</w:t>
      </w:r>
      <w:r>
        <w:rPr>
          <w:spacing w:val="-12"/>
          <w:sz w:val="20"/>
        </w:rPr>
        <w:t> </w:t>
      </w:r>
      <w:r>
        <w:rPr>
          <w:sz w:val="20"/>
        </w:rPr>
        <w:t>source</w:t>
      </w:r>
      <w:r>
        <w:rPr>
          <w:spacing w:val="-12"/>
          <w:sz w:val="20"/>
        </w:rPr>
        <w:t> </w:t>
      </w:r>
      <w:r>
        <w:rPr>
          <w:sz w:val="20"/>
        </w:rPr>
        <w:t>the</w:t>
      </w:r>
      <w:r>
        <w:rPr>
          <w:spacing w:val="-12"/>
          <w:sz w:val="20"/>
        </w:rPr>
        <w:t> </w:t>
      </w:r>
      <w:r>
        <w:rPr>
          <w:sz w:val="20"/>
        </w:rPr>
        <w:t>revenue</w:t>
      </w:r>
      <w:r>
        <w:rPr>
          <w:spacing w:val="-9"/>
          <w:sz w:val="20"/>
        </w:rPr>
        <w:t> </w:t>
      </w:r>
      <w:r>
        <w:rPr>
          <w:sz w:val="20"/>
        </w:rPr>
        <w:t>according</w:t>
      </w:r>
      <w:r>
        <w:rPr>
          <w:spacing w:val="-11"/>
          <w:sz w:val="20"/>
        </w:rPr>
        <w:t> </w:t>
      </w:r>
      <w:r>
        <w:rPr>
          <w:sz w:val="20"/>
        </w:rPr>
        <w:t>to</w:t>
      </w:r>
      <w:r>
        <w:rPr>
          <w:spacing w:val="-12"/>
          <w:sz w:val="20"/>
        </w:rPr>
        <w:t> </w:t>
      </w:r>
      <w:r>
        <w:rPr>
          <w:sz w:val="20"/>
        </w:rPr>
        <w:t>this</w:t>
      </w:r>
      <w:r>
        <w:rPr>
          <w:spacing w:val="-10"/>
          <w:sz w:val="20"/>
        </w:rPr>
        <w:t> </w:t>
      </w:r>
      <w:r>
        <w:rPr>
          <w:sz w:val="20"/>
        </w:rPr>
        <w:t>indicator</w:t>
      </w:r>
      <w:r>
        <w:rPr>
          <w:spacing w:val="-10"/>
          <w:sz w:val="20"/>
        </w:rPr>
        <w:t> </w:t>
      </w:r>
      <w:r>
        <w:rPr>
          <w:sz w:val="20"/>
        </w:rPr>
        <w:t>if</w:t>
      </w:r>
      <w:r>
        <w:rPr>
          <w:spacing w:val="-9"/>
          <w:sz w:val="20"/>
        </w:rPr>
        <w:t> </w:t>
      </w:r>
      <w:r>
        <w:rPr>
          <w:sz w:val="20"/>
        </w:rPr>
        <w:t>possible.</w:t>
      </w:r>
      <w:r>
        <w:rPr>
          <w:spacing w:val="-12"/>
          <w:sz w:val="20"/>
        </w:rPr>
        <w:t> </w:t>
      </w:r>
      <w:r>
        <w:rPr>
          <w:sz w:val="20"/>
        </w:rPr>
        <w:t>However,</w:t>
      </w:r>
      <w:r>
        <w:rPr>
          <w:spacing w:val="-11"/>
          <w:sz w:val="20"/>
        </w:rPr>
        <w:t> </w:t>
      </w:r>
      <w:r>
        <w:rPr>
          <w:sz w:val="20"/>
        </w:rPr>
        <w:t>an</w:t>
      </w:r>
      <w:r>
        <w:rPr>
          <w:spacing w:val="-11"/>
          <w:sz w:val="20"/>
        </w:rPr>
        <w:t> </w:t>
      </w:r>
      <w:r>
        <w:rPr>
          <w:sz w:val="20"/>
        </w:rPr>
        <w:t>MNE</w:t>
      </w:r>
      <w:r>
        <w:rPr>
          <w:spacing w:val="-12"/>
          <w:sz w:val="20"/>
        </w:rPr>
        <w:t> </w:t>
      </w:r>
      <w:r>
        <w:rPr>
          <w:sz w:val="20"/>
        </w:rPr>
        <w:t>may</w:t>
      </w:r>
      <w:r>
        <w:rPr>
          <w:spacing w:val="-17"/>
          <w:sz w:val="20"/>
        </w:rPr>
        <w:t> </w:t>
      </w:r>
      <w:r>
        <w:rPr>
          <w:sz w:val="20"/>
        </w:rPr>
        <w:t>use</w:t>
      </w:r>
      <w:r>
        <w:rPr>
          <w:spacing w:val="-8"/>
          <w:sz w:val="20"/>
        </w:rPr>
        <w:t> </w:t>
      </w:r>
      <w:r>
        <w:rPr>
          <w:sz w:val="20"/>
        </w:rPr>
        <w:t>an</w:t>
      </w:r>
      <w:r>
        <w:rPr>
          <w:spacing w:val="-12"/>
          <w:sz w:val="20"/>
        </w:rPr>
        <w:t> </w:t>
      </w:r>
      <w:r>
        <w:rPr>
          <w:sz w:val="20"/>
        </w:rPr>
        <w:t>alternative indicator that appears next in the hierarchy, if it can demonstrate that the first indicator was not available or if it can justify that the first indicator was unreliable, and so on with the remaining</w:t>
      </w:r>
      <w:r>
        <w:rPr>
          <w:spacing w:val="-32"/>
          <w:sz w:val="20"/>
        </w:rPr>
        <w:t> </w:t>
      </w:r>
      <w:r>
        <w:rPr>
          <w:sz w:val="20"/>
        </w:rPr>
        <w:t>indicators.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7" w:firstLine="0"/>
        <w:jc w:val="both"/>
        <w:rPr>
          <w:sz w:val="20"/>
        </w:rPr>
      </w:pPr>
      <w:r>
        <w:rPr>
          <w:sz w:val="20"/>
        </w:rPr>
        <w:t>Information would be considered unavailable if it is not within the MNE’s possession, and reasonable</w:t>
      </w:r>
      <w:r>
        <w:rPr>
          <w:spacing w:val="-6"/>
          <w:sz w:val="20"/>
        </w:rPr>
        <w:t> </w:t>
      </w:r>
      <w:r>
        <w:rPr>
          <w:sz w:val="20"/>
        </w:rPr>
        <w:t>steps</w:t>
      </w:r>
      <w:r>
        <w:rPr>
          <w:spacing w:val="-4"/>
          <w:sz w:val="20"/>
        </w:rPr>
        <w:t> </w:t>
      </w:r>
      <w:r>
        <w:rPr>
          <w:sz w:val="20"/>
        </w:rPr>
        <w:t>have</w:t>
      </w:r>
      <w:r>
        <w:rPr>
          <w:spacing w:val="-6"/>
          <w:sz w:val="20"/>
        </w:rPr>
        <w:t> </w:t>
      </w:r>
      <w:r>
        <w:rPr>
          <w:sz w:val="20"/>
        </w:rPr>
        <w:t>been</w:t>
      </w:r>
      <w:r>
        <w:rPr>
          <w:spacing w:val="-7"/>
          <w:sz w:val="20"/>
        </w:rPr>
        <w:t> </w:t>
      </w:r>
      <w:r>
        <w:rPr>
          <w:sz w:val="20"/>
        </w:rPr>
        <w:t>taken</w:t>
      </w:r>
      <w:r>
        <w:rPr>
          <w:spacing w:val="-8"/>
          <w:sz w:val="20"/>
        </w:rPr>
        <w:t> </w:t>
      </w:r>
      <w:r>
        <w:rPr>
          <w:sz w:val="20"/>
        </w:rPr>
        <w:t>to</w:t>
      </w:r>
      <w:r>
        <w:rPr>
          <w:spacing w:val="-6"/>
          <w:sz w:val="20"/>
        </w:rPr>
        <w:t> </w:t>
      </w:r>
      <w:r>
        <w:rPr>
          <w:sz w:val="20"/>
        </w:rPr>
        <w:t>obtain</w:t>
      </w:r>
      <w:r>
        <w:rPr>
          <w:spacing w:val="-5"/>
          <w:sz w:val="20"/>
        </w:rPr>
        <w:t> </w:t>
      </w:r>
      <w:r>
        <w:rPr>
          <w:sz w:val="20"/>
        </w:rPr>
        <w:t>it</w:t>
      </w:r>
      <w:r>
        <w:rPr>
          <w:spacing w:val="-6"/>
          <w:sz w:val="20"/>
        </w:rPr>
        <w:t> </w:t>
      </w:r>
      <w:r>
        <w:rPr>
          <w:sz w:val="20"/>
        </w:rPr>
        <w:t>have</w:t>
      </w:r>
      <w:r>
        <w:rPr>
          <w:spacing w:val="-6"/>
          <w:sz w:val="20"/>
        </w:rPr>
        <w:t> </w:t>
      </w:r>
      <w:r>
        <w:rPr>
          <w:sz w:val="20"/>
        </w:rPr>
        <w:t>been</w:t>
      </w:r>
      <w:r>
        <w:rPr>
          <w:spacing w:val="-6"/>
          <w:sz w:val="20"/>
        </w:rPr>
        <w:t> </w:t>
      </w:r>
      <w:r>
        <w:rPr>
          <w:sz w:val="20"/>
        </w:rPr>
        <w:t>unsuccessful.</w:t>
      </w:r>
      <w:r>
        <w:rPr>
          <w:sz w:val="20"/>
          <w:vertAlign w:val="superscript"/>
        </w:rPr>
        <w:t>51</w:t>
      </w:r>
      <w:r>
        <w:rPr>
          <w:spacing w:val="-7"/>
          <w:sz w:val="20"/>
          <w:vertAlign w:val="baseline"/>
        </w:rPr>
        <w:t> </w:t>
      </w:r>
      <w:r>
        <w:rPr>
          <w:sz w:val="20"/>
          <w:vertAlign w:val="baseline"/>
        </w:rPr>
        <w:t>Only</w:t>
      </w:r>
      <w:r>
        <w:rPr>
          <w:spacing w:val="-9"/>
          <w:sz w:val="20"/>
          <w:vertAlign w:val="baseline"/>
        </w:rPr>
        <w:t> </w:t>
      </w:r>
      <w:r>
        <w:rPr>
          <w:sz w:val="20"/>
          <w:vertAlign w:val="baseline"/>
        </w:rPr>
        <w:t>once</w:t>
      </w:r>
      <w:r>
        <w:rPr>
          <w:spacing w:val="-6"/>
          <w:sz w:val="20"/>
          <w:vertAlign w:val="baseline"/>
        </w:rPr>
        <w:t> </w:t>
      </w:r>
      <w:r>
        <w:rPr>
          <w:sz w:val="20"/>
          <w:vertAlign w:val="baseline"/>
        </w:rPr>
        <w:t>such</w:t>
      </w:r>
      <w:r>
        <w:rPr>
          <w:spacing w:val="-7"/>
          <w:sz w:val="20"/>
          <w:vertAlign w:val="baseline"/>
        </w:rPr>
        <w:t> </w:t>
      </w:r>
      <w:r>
        <w:rPr>
          <w:sz w:val="20"/>
          <w:vertAlign w:val="baseline"/>
        </w:rPr>
        <w:t>steps</w:t>
      </w:r>
      <w:r>
        <w:rPr>
          <w:spacing w:val="-7"/>
          <w:sz w:val="20"/>
          <w:vertAlign w:val="baseline"/>
        </w:rPr>
        <w:t> </w:t>
      </w:r>
      <w:r>
        <w:rPr>
          <w:sz w:val="20"/>
          <w:vertAlign w:val="baseline"/>
        </w:rPr>
        <w:t>are</w:t>
      </w:r>
      <w:r>
        <w:rPr>
          <w:spacing w:val="-5"/>
          <w:sz w:val="20"/>
          <w:vertAlign w:val="baseline"/>
        </w:rPr>
        <w:t> </w:t>
      </w:r>
      <w:r>
        <w:rPr>
          <w:sz w:val="20"/>
          <w:vertAlign w:val="baseline"/>
        </w:rPr>
        <w:t>taken, and</w:t>
      </w:r>
      <w:r>
        <w:rPr>
          <w:spacing w:val="-3"/>
          <w:sz w:val="20"/>
          <w:vertAlign w:val="baseline"/>
        </w:rPr>
        <w:t> </w:t>
      </w:r>
      <w:r>
        <w:rPr>
          <w:sz w:val="20"/>
          <w:vertAlign w:val="baseline"/>
        </w:rPr>
        <w:t>the</w:t>
      </w:r>
      <w:r>
        <w:rPr>
          <w:spacing w:val="-1"/>
          <w:sz w:val="20"/>
          <w:vertAlign w:val="baseline"/>
        </w:rPr>
        <w:t> </w:t>
      </w:r>
      <w:r>
        <w:rPr>
          <w:sz w:val="20"/>
          <w:vertAlign w:val="baseline"/>
        </w:rPr>
        <w:t>information</w:t>
      </w:r>
      <w:r>
        <w:rPr>
          <w:spacing w:val="-3"/>
          <w:sz w:val="20"/>
          <w:vertAlign w:val="baseline"/>
        </w:rPr>
        <w:t> </w:t>
      </w:r>
      <w:r>
        <w:rPr>
          <w:sz w:val="20"/>
          <w:vertAlign w:val="baseline"/>
        </w:rPr>
        <w:t>is</w:t>
      </w:r>
      <w:r>
        <w:rPr>
          <w:spacing w:val="-1"/>
          <w:sz w:val="20"/>
          <w:vertAlign w:val="baseline"/>
        </w:rPr>
        <w:t> </w:t>
      </w:r>
      <w:r>
        <w:rPr>
          <w:sz w:val="20"/>
          <w:vertAlign w:val="baseline"/>
        </w:rPr>
        <w:t>not</w:t>
      </w:r>
      <w:r>
        <w:rPr>
          <w:spacing w:val="-3"/>
          <w:sz w:val="20"/>
          <w:vertAlign w:val="baseline"/>
        </w:rPr>
        <w:t> </w:t>
      </w:r>
      <w:r>
        <w:rPr>
          <w:sz w:val="20"/>
          <w:vertAlign w:val="baseline"/>
        </w:rPr>
        <w:t>able to</w:t>
      </w:r>
      <w:r>
        <w:rPr>
          <w:spacing w:val="-3"/>
          <w:sz w:val="20"/>
          <w:vertAlign w:val="baseline"/>
        </w:rPr>
        <w:t> </w:t>
      </w:r>
      <w:r>
        <w:rPr>
          <w:sz w:val="20"/>
          <w:vertAlign w:val="baseline"/>
        </w:rPr>
        <w:t>be</w:t>
      </w:r>
      <w:r>
        <w:rPr>
          <w:spacing w:val="-2"/>
          <w:sz w:val="20"/>
          <w:vertAlign w:val="baseline"/>
        </w:rPr>
        <w:t> </w:t>
      </w:r>
      <w:r>
        <w:rPr>
          <w:sz w:val="20"/>
          <w:vertAlign w:val="baseline"/>
        </w:rPr>
        <w:t>obtained</w:t>
      </w:r>
      <w:r>
        <w:rPr>
          <w:spacing w:val="-2"/>
          <w:sz w:val="20"/>
          <w:vertAlign w:val="baseline"/>
        </w:rPr>
        <w:t> </w:t>
      </w:r>
      <w:r>
        <w:rPr>
          <w:sz w:val="20"/>
          <w:vertAlign w:val="baseline"/>
        </w:rPr>
        <w:t>by</w:t>
      </w:r>
      <w:r>
        <w:rPr>
          <w:spacing w:val="-5"/>
          <w:sz w:val="20"/>
          <w:vertAlign w:val="baseline"/>
        </w:rPr>
        <w:t> </w:t>
      </w:r>
      <w:r>
        <w:rPr>
          <w:sz w:val="20"/>
          <w:vertAlign w:val="baseline"/>
        </w:rPr>
        <w:t>the</w:t>
      </w:r>
      <w:r>
        <w:rPr>
          <w:spacing w:val="-2"/>
          <w:sz w:val="20"/>
          <w:vertAlign w:val="baseline"/>
        </w:rPr>
        <w:t> </w:t>
      </w:r>
      <w:r>
        <w:rPr>
          <w:sz w:val="20"/>
          <w:vertAlign w:val="baseline"/>
        </w:rPr>
        <w:t>MNE</w:t>
      </w:r>
      <w:r>
        <w:rPr>
          <w:spacing w:val="-2"/>
          <w:sz w:val="20"/>
          <w:vertAlign w:val="baseline"/>
        </w:rPr>
        <w:t> </w:t>
      </w:r>
      <w:r>
        <w:rPr>
          <w:sz w:val="20"/>
          <w:vertAlign w:val="baseline"/>
        </w:rPr>
        <w:t>may</w:t>
      </w:r>
      <w:r>
        <w:rPr>
          <w:spacing w:val="-5"/>
          <w:sz w:val="20"/>
          <w:vertAlign w:val="baseline"/>
        </w:rPr>
        <w:t> </w:t>
      </w:r>
      <w:r>
        <w:rPr>
          <w:sz w:val="20"/>
          <w:vertAlign w:val="baseline"/>
        </w:rPr>
        <w:t>it</w:t>
      </w:r>
      <w:r>
        <w:rPr>
          <w:spacing w:val="-2"/>
          <w:sz w:val="20"/>
          <w:vertAlign w:val="baseline"/>
        </w:rPr>
        <w:t> </w:t>
      </w:r>
      <w:r>
        <w:rPr>
          <w:sz w:val="20"/>
          <w:vertAlign w:val="baseline"/>
        </w:rPr>
        <w:t>move</w:t>
      </w:r>
      <w:r>
        <w:rPr>
          <w:spacing w:val="-3"/>
          <w:sz w:val="20"/>
          <w:vertAlign w:val="baseline"/>
        </w:rPr>
        <w:t> </w:t>
      </w:r>
      <w:r>
        <w:rPr>
          <w:spacing w:val="3"/>
          <w:sz w:val="20"/>
          <w:vertAlign w:val="baseline"/>
        </w:rPr>
        <w:t>to</w:t>
      </w:r>
      <w:r>
        <w:rPr>
          <w:spacing w:val="-2"/>
          <w:sz w:val="20"/>
          <w:vertAlign w:val="baseline"/>
        </w:rPr>
        <w:t> </w:t>
      </w:r>
      <w:r>
        <w:rPr>
          <w:sz w:val="20"/>
          <w:vertAlign w:val="baseline"/>
        </w:rPr>
        <w:t>a</w:t>
      </w:r>
      <w:r>
        <w:rPr>
          <w:spacing w:val="-3"/>
          <w:sz w:val="20"/>
          <w:vertAlign w:val="baseline"/>
        </w:rPr>
        <w:t> </w:t>
      </w:r>
      <w:r>
        <w:rPr>
          <w:sz w:val="20"/>
          <w:vertAlign w:val="baseline"/>
        </w:rPr>
        <w:t>secondary</w:t>
      </w:r>
      <w:r>
        <w:rPr>
          <w:spacing w:val="-3"/>
          <w:sz w:val="20"/>
          <w:vertAlign w:val="baseline"/>
        </w:rPr>
        <w:t> </w:t>
      </w:r>
      <w:r>
        <w:rPr>
          <w:sz w:val="20"/>
          <w:vertAlign w:val="baseline"/>
        </w:rPr>
        <w:t>indicator.</w:t>
      </w:r>
    </w:p>
    <w:p>
      <w:pPr>
        <w:pStyle w:val="ListParagraph"/>
        <w:numPr>
          <w:ilvl w:val="0"/>
          <w:numId w:val="13"/>
        </w:numPr>
        <w:tabs>
          <w:tab w:pos="1444" w:val="left" w:leader="none"/>
        </w:tabs>
        <w:spacing w:line="268" w:lineRule="auto" w:before="120" w:after="0"/>
        <w:ind w:left="723" w:right="484" w:firstLine="0"/>
        <w:jc w:val="both"/>
        <w:rPr>
          <w:sz w:val="20"/>
        </w:rPr>
      </w:pPr>
      <w:r>
        <w:rPr>
          <w:sz w:val="20"/>
        </w:rPr>
        <w:t>Information would be considered unreliable if the MNE can justify that the indicator is not a true representation of the principle in the source rule. The result from the indicator could not reasonably be correct, for example where a disproportionate amount of indicators point to one small jurisdiction (for example</w:t>
      </w:r>
      <w:r>
        <w:rPr>
          <w:spacing w:val="-14"/>
          <w:sz w:val="20"/>
        </w:rPr>
        <w:t> </w:t>
      </w:r>
      <w:r>
        <w:rPr>
          <w:sz w:val="20"/>
        </w:rPr>
        <w:t>because</w:t>
      </w:r>
      <w:r>
        <w:rPr>
          <w:spacing w:val="-12"/>
          <w:sz w:val="20"/>
        </w:rPr>
        <w:t> </w:t>
      </w:r>
      <w:r>
        <w:rPr>
          <w:sz w:val="20"/>
        </w:rPr>
        <w:t>of</w:t>
      </w:r>
      <w:r>
        <w:rPr>
          <w:spacing w:val="-12"/>
          <w:sz w:val="20"/>
        </w:rPr>
        <w:t> </w:t>
      </w:r>
      <w:r>
        <w:rPr>
          <w:sz w:val="20"/>
        </w:rPr>
        <w:t>a</w:t>
      </w:r>
      <w:r>
        <w:rPr>
          <w:spacing w:val="-14"/>
          <w:sz w:val="20"/>
        </w:rPr>
        <w:t> </w:t>
      </w:r>
      <w:r>
        <w:rPr>
          <w:sz w:val="20"/>
        </w:rPr>
        <w:t>use</w:t>
      </w:r>
      <w:r>
        <w:rPr>
          <w:spacing w:val="-13"/>
          <w:sz w:val="20"/>
        </w:rPr>
        <w:t> </w:t>
      </w:r>
      <w:r>
        <w:rPr>
          <w:sz w:val="20"/>
        </w:rPr>
        <w:t>of</w:t>
      </w:r>
      <w:r>
        <w:rPr>
          <w:spacing w:val="-11"/>
          <w:sz w:val="20"/>
        </w:rPr>
        <w:t> </w:t>
      </w:r>
      <w:r>
        <w:rPr>
          <w:sz w:val="20"/>
        </w:rPr>
        <w:t>a</w:t>
      </w:r>
      <w:r>
        <w:rPr>
          <w:spacing w:val="-14"/>
          <w:sz w:val="20"/>
        </w:rPr>
        <w:t> </w:t>
      </w:r>
      <w:r>
        <w:rPr>
          <w:sz w:val="20"/>
        </w:rPr>
        <w:t>virtual</w:t>
      </w:r>
      <w:r>
        <w:rPr>
          <w:spacing w:val="-14"/>
          <w:sz w:val="20"/>
        </w:rPr>
        <w:t> </w:t>
      </w:r>
      <w:r>
        <w:rPr>
          <w:sz w:val="20"/>
        </w:rPr>
        <w:t>private</w:t>
      </w:r>
      <w:r>
        <w:rPr>
          <w:spacing w:val="-12"/>
          <w:sz w:val="20"/>
        </w:rPr>
        <w:t> </w:t>
      </w:r>
      <w:r>
        <w:rPr>
          <w:sz w:val="20"/>
        </w:rPr>
        <w:t>network</w:t>
      </w:r>
      <w:r>
        <w:rPr>
          <w:spacing w:val="-6"/>
          <w:sz w:val="20"/>
        </w:rPr>
        <w:t> </w:t>
      </w:r>
      <w:r>
        <w:rPr>
          <w:sz w:val="20"/>
        </w:rPr>
        <w:t>(VPN))</w:t>
      </w:r>
      <w:r>
        <w:rPr>
          <w:spacing w:val="-13"/>
          <w:sz w:val="20"/>
        </w:rPr>
        <w:t> </w:t>
      </w:r>
      <w:r>
        <w:rPr>
          <w:sz w:val="20"/>
        </w:rPr>
        <w:t>or</w:t>
      </w:r>
      <w:r>
        <w:rPr>
          <w:spacing w:val="-11"/>
          <w:sz w:val="20"/>
        </w:rPr>
        <w:t> </w:t>
      </w:r>
      <w:r>
        <w:rPr>
          <w:sz w:val="20"/>
        </w:rPr>
        <w:t>where</w:t>
      </w:r>
      <w:r>
        <w:rPr>
          <w:spacing w:val="-14"/>
          <w:sz w:val="20"/>
        </w:rPr>
        <w:t> </w:t>
      </w:r>
      <w:r>
        <w:rPr>
          <w:sz w:val="20"/>
        </w:rPr>
        <w:t>a</w:t>
      </w:r>
      <w:r>
        <w:rPr>
          <w:spacing w:val="-13"/>
          <w:sz w:val="20"/>
        </w:rPr>
        <w:t> </w:t>
      </w:r>
      <w:r>
        <w:rPr>
          <w:sz w:val="20"/>
        </w:rPr>
        <w:t>delivery</w:t>
      </w:r>
      <w:r>
        <w:rPr>
          <w:spacing w:val="-15"/>
          <w:sz w:val="20"/>
        </w:rPr>
        <w:t> </w:t>
      </w:r>
      <w:r>
        <w:rPr>
          <w:sz w:val="20"/>
        </w:rPr>
        <w:t>address</w:t>
      </w:r>
      <w:r>
        <w:rPr>
          <w:spacing w:val="-12"/>
          <w:sz w:val="20"/>
        </w:rPr>
        <w:t> </w:t>
      </w:r>
      <w:r>
        <w:rPr>
          <w:sz w:val="20"/>
        </w:rPr>
        <w:t>is</w:t>
      </w:r>
      <w:r>
        <w:rPr>
          <w:spacing w:val="-12"/>
          <w:sz w:val="20"/>
        </w:rPr>
        <w:t> </w:t>
      </w:r>
      <w:r>
        <w:rPr>
          <w:sz w:val="20"/>
        </w:rPr>
        <w:t>that</w:t>
      </w:r>
      <w:r>
        <w:rPr>
          <w:spacing w:val="-11"/>
          <w:sz w:val="20"/>
        </w:rPr>
        <w:t> </w:t>
      </w:r>
      <w:r>
        <w:rPr>
          <w:sz w:val="20"/>
        </w:rPr>
        <w:t>of</w:t>
      </w:r>
      <w:r>
        <w:rPr>
          <w:spacing w:val="-12"/>
          <w:sz w:val="20"/>
        </w:rPr>
        <w:t> </w:t>
      </w:r>
      <w:r>
        <w:rPr>
          <w:sz w:val="20"/>
        </w:rPr>
        <w:t>a</w:t>
      </w:r>
      <w:r>
        <w:rPr>
          <w:spacing w:val="-13"/>
          <w:sz w:val="20"/>
        </w:rPr>
        <w:t> </w:t>
      </w:r>
      <w:r>
        <w:rPr>
          <w:sz w:val="20"/>
        </w:rPr>
        <w:t>freight forwarder.</w:t>
      </w:r>
      <w:r>
        <w:rPr>
          <w:sz w:val="20"/>
          <w:vertAlign w:val="superscript"/>
        </w:rPr>
        <w:t>52</w:t>
      </w:r>
    </w:p>
    <w:p>
      <w:pPr>
        <w:pStyle w:val="ListParagraph"/>
        <w:numPr>
          <w:ilvl w:val="0"/>
          <w:numId w:val="13"/>
        </w:numPr>
        <w:tabs>
          <w:tab w:pos="1444" w:val="left" w:leader="none"/>
        </w:tabs>
        <w:spacing w:line="271" w:lineRule="auto" w:before="131" w:after="0"/>
        <w:ind w:left="723" w:right="479" w:firstLine="0"/>
        <w:jc w:val="both"/>
        <w:rPr>
          <w:sz w:val="20"/>
        </w:rPr>
      </w:pPr>
      <w:r>
        <w:rPr>
          <w:sz w:val="20"/>
        </w:rPr>
        <w:t>Where an MNE derives revenue from more than one type of service or activity, the MNE should use the different sourcing rules per type of revenue. Where an MNE has different data points for each individual</w:t>
      </w:r>
      <w:r>
        <w:rPr>
          <w:spacing w:val="-5"/>
          <w:sz w:val="20"/>
        </w:rPr>
        <w:t> </w:t>
      </w:r>
      <w:r>
        <w:rPr>
          <w:sz w:val="20"/>
        </w:rPr>
        <w:t>customer</w:t>
      </w:r>
      <w:r>
        <w:rPr>
          <w:spacing w:val="-4"/>
          <w:sz w:val="20"/>
        </w:rPr>
        <w:t> </w:t>
      </w:r>
      <w:r>
        <w:rPr>
          <w:sz w:val="20"/>
        </w:rPr>
        <w:t>/</w:t>
      </w:r>
      <w:r>
        <w:rPr>
          <w:spacing w:val="-5"/>
          <w:sz w:val="20"/>
        </w:rPr>
        <w:t> </w:t>
      </w:r>
      <w:r>
        <w:rPr>
          <w:sz w:val="20"/>
        </w:rPr>
        <w:t>user</w:t>
      </w:r>
      <w:r>
        <w:rPr>
          <w:spacing w:val="-3"/>
          <w:sz w:val="20"/>
        </w:rPr>
        <w:t> </w:t>
      </w:r>
      <w:r>
        <w:rPr>
          <w:sz w:val="20"/>
        </w:rPr>
        <w:t>in</w:t>
      </w:r>
      <w:r>
        <w:rPr>
          <w:spacing w:val="-5"/>
          <w:sz w:val="20"/>
        </w:rPr>
        <w:t> </w:t>
      </w:r>
      <w:r>
        <w:rPr>
          <w:sz w:val="20"/>
        </w:rPr>
        <w:t>respect</w:t>
      </w:r>
      <w:r>
        <w:rPr>
          <w:spacing w:val="-4"/>
          <w:sz w:val="20"/>
        </w:rPr>
        <w:t> </w:t>
      </w:r>
      <w:r>
        <w:rPr>
          <w:sz w:val="20"/>
        </w:rPr>
        <w:t>of</w:t>
      </w:r>
      <w:r>
        <w:rPr>
          <w:spacing w:val="-4"/>
          <w:sz w:val="20"/>
        </w:rPr>
        <w:t> </w:t>
      </w:r>
      <w:r>
        <w:rPr>
          <w:sz w:val="20"/>
        </w:rPr>
        <w:t>the</w:t>
      </w:r>
      <w:r>
        <w:rPr>
          <w:spacing w:val="-5"/>
          <w:sz w:val="20"/>
        </w:rPr>
        <w:t> </w:t>
      </w:r>
      <w:r>
        <w:rPr>
          <w:sz w:val="20"/>
        </w:rPr>
        <w:t>same</w:t>
      </w:r>
      <w:r>
        <w:rPr>
          <w:spacing w:val="-6"/>
          <w:sz w:val="20"/>
        </w:rPr>
        <w:t> </w:t>
      </w:r>
      <w:r>
        <w:rPr>
          <w:sz w:val="20"/>
        </w:rPr>
        <w:t>service</w:t>
      </w:r>
      <w:r>
        <w:rPr>
          <w:spacing w:val="-6"/>
          <w:sz w:val="20"/>
        </w:rPr>
        <w:t> </w:t>
      </w:r>
      <w:r>
        <w:rPr>
          <w:sz w:val="20"/>
        </w:rPr>
        <w:t>or</w:t>
      </w:r>
      <w:r>
        <w:rPr>
          <w:spacing w:val="-5"/>
          <w:sz w:val="20"/>
        </w:rPr>
        <w:t> </w:t>
      </w:r>
      <w:r>
        <w:rPr>
          <w:sz w:val="20"/>
        </w:rPr>
        <w:t>activity</w:t>
      </w:r>
      <w:r>
        <w:rPr>
          <w:spacing w:val="-4"/>
          <w:sz w:val="20"/>
        </w:rPr>
        <w:t> </w:t>
      </w:r>
      <w:r>
        <w:rPr>
          <w:sz w:val="20"/>
        </w:rPr>
        <w:t>/</w:t>
      </w:r>
      <w:r>
        <w:rPr>
          <w:spacing w:val="-3"/>
          <w:sz w:val="20"/>
        </w:rPr>
        <w:t> </w:t>
      </w:r>
      <w:r>
        <w:rPr>
          <w:sz w:val="20"/>
        </w:rPr>
        <w:t>revenue</w:t>
      </w:r>
      <w:r>
        <w:rPr>
          <w:spacing w:val="-4"/>
          <w:sz w:val="20"/>
        </w:rPr>
        <w:t> </w:t>
      </w:r>
      <w:r>
        <w:rPr>
          <w:sz w:val="20"/>
        </w:rPr>
        <w:t>stream (e.g.</w:t>
      </w:r>
      <w:r>
        <w:rPr>
          <w:spacing w:val="-3"/>
          <w:sz w:val="20"/>
        </w:rPr>
        <w:t> </w:t>
      </w:r>
      <w:r>
        <w:rPr>
          <w:sz w:val="20"/>
        </w:rPr>
        <w:t>where</w:t>
      </w:r>
      <w:r>
        <w:rPr>
          <w:spacing w:val="-4"/>
          <w:sz w:val="20"/>
        </w:rPr>
        <w:t> </w:t>
      </w:r>
      <w:r>
        <w:rPr>
          <w:sz w:val="20"/>
        </w:rPr>
        <w:t>for</w:t>
      </w:r>
      <w:r>
        <w:rPr>
          <w:spacing w:val="-4"/>
          <w:sz w:val="20"/>
        </w:rPr>
        <w:t> </w:t>
      </w:r>
      <w:r>
        <w:rPr>
          <w:sz w:val="20"/>
        </w:rPr>
        <w:t>some users the user profile data is provided by the customer logging into the service, while for others only the device location information is available), it will need to apply different indicators in respect of the same service, applying the hierarchy for each customer / user. However, a de minimis safe harbour could be explored in this regard where the differences in available data points only applies in respect of a small number of customers / users.</w:t>
      </w:r>
    </w:p>
    <w:p>
      <w:pPr>
        <w:pStyle w:val="ListParagraph"/>
        <w:numPr>
          <w:ilvl w:val="0"/>
          <w:numId w:val="13"/>
        </w:numPr>
        <w:tabs>
          <w:tab w:pos="1444" w:val="left" w:leader="none"/>
        </w:tabs>
        <w:spacing w:line="271" w:lineRule="auto" w:before="122" w:after="0"/>
        <w:ind w:left="723" w:right="484" w:firstLine="0"/>
        <w:jc w:val="both"/>
        <w:rPr>
          <w:sz w:val="20"/>
        </w:rPr>
      </w:pPr>
      <w:r>
        <w:rPr>
          <w:sz w:val="20"/>
        </w:rPr>
        <w:t>Similarly, if a business is within the scope of Amount A under the general principle of ADS, and the category of that business is not explicitly provided for in the revenue sourcing rule, it should apply the sourcing rules for the type of revenue that is most analogous to the revenue that it derives. Further guidance on such cases will be developed as needed over</w:t>
      </w:r>
      <w:r>
        <w:rPr>
          <w:spacing w:val="-5"/>
          <w:sz w:val="20"/>
        </w:rPr>
        <w:t> </w:t>
      </w:r>
      <w:r>
        <w:rPr>
          <w:sz w:val="20"/>
        </w:rPr>
        <w:t>time.</w:t>
      </w:r>
    </w:p>
    <w:p>
      <w:pPr>
        <w:pStyle w:val="BodyText"/>
        <w:spacing w:before="5"/>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4.3.2. Guidance on automated digital ser" w:id="158"/>
      <w:bookmarkEnd w:id="158"/>
      <w:r>
        <w:rPr>
          <w:b w:val="0"/>
          <w:i w:val="0"/>
        </w:rPr>
      </w:r>
      <w:bookmarkStart w:name="4.3.2. Guidance on automated digital ser" w:id="159"/>
      <w:bookmarkEnd w:id="159"/>
      <w:r>
        <w:rPr>
          <w:i/>
        </w:rPr>
        <w:t>Guida</w:t>
      </w:r>
      <w:r>
        <w:rPr>
          <w:i/>
        </w:rPr>
        <w:t>nce on automated digital</w:t>
      </w:r>
      <w:r>
        <w:rPr>
          <w:i/>
          <w:spacing w:val="1"/>
        </w:rPr>
        <w:t> </w:t>
      </w:r>
      <w:r>
        <w:rPr>
          <w:i/>
        </w:rPr>
        <w:t>services</w:t>
      </w:r>
    </w:p>
    <w:p>
      <w:pPr>
        <w:pStyle w:val="BodyText"/>
        <w:rPr>
          <w:b/>
          <w:i/>
          <w:sz w:val="19"/>
        </w:rPr>
      </w:pPr>
    </w:p>
    <w:p>
      <w:pPr>
        <w:pStyle w:val="ListParagraph"/>
        <w:numPr>
          <w:ilvl w:val="0"/>
          <w:numId w:val="13"/>
        </w:numPr>
        <w:tabs>
          <w:tab w:pos="1444" w:val="left" w:leader="none"/>
        </w:tabs>
        <w:spacing w:line="271" w:lineRule="auto" w:before="1" w:after="0"/>
        <w:ind w:left="723" w:right="491" w:firstLine="0"/>
        <w:jc w:val="both"/>
        <w:rPr>
          <w:sz w:val="20"/>
        </w:rPr>
      </w:pPr>
      <w:r>
        <w:rPr>
          <w:sz w:val="20"/>
        </w:rPr>
        <w:t>This</w:t>
      </w:r>
      <w:r>
        <w:rPr>
          <w:spacing w:val="-10"/>
          <w:sz w:val="20"/>
        </w:rPr>
        <w:t> </w:t>
      </w:r>
      <w:r>
        <w:rPr>
          <w:sz w:val="20"/>
        </w:rPr>
        <w:t>section</w:t>
      </w:r>
      <w:r>
        <w:rPr>
          <w:spacing w:val="-9"/>
          <w:sz w:val="20"/>
        </w:rPr>
        <w:t> </w:t>
      </w:r>
      <w:r>
        <w:rPr>
          <w:sz w:val="20"/>
        </w:rPr>
        <w:t>of</w:t>
      </w:r>
      <w:r>
        <w:rPr>
          <w:spacing w:val="-9"/>
          <w:sz w:val="20"/>
        </w:rPr>
        <w:t> </w:t>
      </w:r>
      <w:r>
        <w:rPr>
          <w:sz w:val="20"/>
        </w:rPr>
        <w:t>the</w:t>
      </w:r>
      <w:r>
        <w:rPr>
          <w:spacing w:val="-8"/>
          <w:sz w:val="20"/>
        </w:rPr>
        <w:t> </w:t>
      </w:r>
      <w:r>
        <w:rPr>
          <w:sz w:val="20"/>
        </w:rPr>
        <w:t>Commentary</w:t>
      </w:r>
      <w:r>
        <w:rPr>
          <w:spacing w:val="-13"/>
          <w:sz w:val="20"/>
        </w:rPr>
        <w:t> </w:t>
      </w:r>
      <w:r>
        <w:rPr>
          <w:sz w:val="20"/>
        </w:rPr>
        <w:t>sets</w:t>
      </w:r>
      <w:r>
        <w:rPr>
          <w:spacing w:val="-11"/>
          <w:sz w:val="20"/>
        </w:rPr>
        <w:t> </w:t>
      </w:r>
      <w:r>
        <w:rPr>
          <w:sz w:val="20"/>
        </w:rPr>
        <w:t>out</w:t>
      </w:r>
      <w:r>
        <w:rPr>
          <w:spacing w:val="-9"/>
          <w:sz w:val="20"/>
        </w:rPr>
        <w:t> </w:t>
      </w:r>
      <w:r>
        <w:rPr>
          <w:sz w:val="20"/>
        </w:rPr>
        <w:t>an</w:t>
      </w:r>
      <w:r>
        <w:rPr>
          <w:spacing w:val="-9"/>
          <w:sz w:val="20"/>
        </w:rPr>
        <w:t> </w:t>
      </w:r>
      <w:r>
        <w:rPr>
          <w:sz w:val="20"/>
        </w:rPr>
        <w:t>explanation</w:t>
      </w:r>
      <w:r>
        <w:rPr>
          <w:spacing w:val="-12"/>
          <w:sz w:val="20"/>
        </w:rPr>
        <w:t> </w:t>
      </w:r>
      <w:r>
        <w:rPr>
          <w:sz w:val="20"/>
        </w:rPr>
        <w:t>of</w:t>
      </w:r>
      <w:r>
        <w:rPr>
          <w:spacing w:val="-9"/>
          <w:sz w:val="20"/>
        </w:rPr>
        <w:t> </w:t>
      </w:r>
      <w:r>
        <w:rPr>
          <w:sz w:val="20"/>
        </w:rPr>
        <w:t>the</w:t>
      </w:r>
      <w:r>
        <w:rPr>
          <w:spacing w:val="-9"/>
          <w:sz w:val="20"/>
        </w:rPr>
        <w:t> </w:t>
      </w:r>
      <w:r>
        <w:rPr>
          <w:sz w:val="20"/>
        </w:rPr>
        <w:t>various</w:t>
      </w:r>
      <w:r>
        <w:rPr>
          <w:spacing w:val="-8"/>
          <w:sz w:val="20"/>
        </w:rPr>
        <w:t> </w:t>
      </w:r>
      <w:r>
        <w:rPr>
          <w:sz w:val="20"/>
        </w:rPr>
        <w:t>indicators</w:t>
      </w:r>
      <w:r>
        <w:rPr>
          <w:spacing w:val="-8"/>
          <w:sz w:val="20"/>
        </w:rPr>
        <w:t> </w:t>
      </w:r>
      <w:r>
        <w:rPr>
          <w:sz w:val="20"/>
        </w:rPr>
        <w:t>used</w:t>
      </w:r>
      <w:r>
        <w:rPr>
          <w:spacing w:val="-12"/>
          <w:sz w:val="20"/>
        </w:rPr>
        <w:t> </w:t>
      </w:r>
      <w:r>
        <w:rPr>
          <w:sz w:val="20"/>
        </w:rPr>
        <w:t>in</w:t>
      </w:r>
      <w:r>
        <w:rPr>
          <w:spacing w:val="-11"/>
          <w:sz w:val="20"/>
        </w:rPr>
        <w:t> </w:t>
      </w:r>
      <w:r>
        <w:rPr>
          <w:sz w:val="20"/>
        </w:rPr>
        <w:t>the</w:t>
      </w:r>
      <w:r>
        <w:rPr>
          <w:spacing w:val="-12"/>
          <w:sz w:val="20"/>
        </w:rPr>
        <w:t> </w:t>
      </w:r>
      <w:r>
        <w:rPr>
          <w:sz w:val="20"/>
        </w:rPr>
        <w:t>rules, followed by an explanation of the relevant business models and how the indicators</w:t>
      </w:r>
      <w:r>
        <w:rPr>
          <w:spacing w:val="-16"/>
          <w:sz w:val="20"/>
        </w:rPr>
        <w:t> </w:t>
      </w:r>
      <w:r>
        <w:rPr>
          <w:sz w:val="20"/>
        </w:rPr>
        <w:t>apply.</w:t>
      </w:r>
    </w:p>
    <w:p>
      <w:pPr>
        <w:pStyle w:val="BodyText"/>
        <w:spacing w:before="11"/>
        <w:rPr>
          <w:sz w:val="19"/>
        </w:rPr>
      </w:pPr>
    </w:p>
    <w:p>
      <w:pPr>
        <w:pStyle w:val="Heading7"/>
        <w:rPr>
          <w:i/>
        </w:rPr>
      </w:pPr>
      <w:bookmarkStart w:name="Guidance on indicators for ADS" w:id="160"/>
      <w:bookmarkEnd w:id="160"/>
      <w:r>
        <w:rPr>
          <w:i w:val="0"/>
        </w:rPr>
      </w:r>
      <w:r>
        <w:rPr>
          <w:i/>
          <w:color w:val="616161"/>
        </w:rPr>
        <w:t>Guidance on indicators for ADS</w:t>
      </w:r>
    </w:p>
    <w:p>
      <w:pPr>
        <w:pStyle w:val="BodyText"/>
        <w:spacing w:before="10"/>
        <w:rPr>
          <w:i/>
          <w:sz w:val="18"/>
        </w:rPr>
      </w:pPr>
    </w:p>
    <w:p>
      <w:pPr>
        <w:pStyle w:val="ListParagraph"/>
        <w:numPr>
          <w:ilvl w:val="0"/>
          <w:numId w:val="13"/>
        </w:numPr>
        <w:tabs>
          <w:tab w:pos="1444" w:val="left" w:leader="none"/>
        </w:tabs>
        <w:spacing w:line="240" w:lineRule="auto" w:before="0" w:after="0"/>
        <w:ind w:left="1443" w:right="0" w:hanging="721"/>
        <w:jc w:val="both"/>
        <w:rPr>
          <w:sz w:val="20"/>
        </w:rPr>
      </w:pPr>
      <w:r>
        <w:rPr>
          <w:sz w:val="20"/>
        </w:rPr>
        <w:t>The indicators included in the revenue sourcing rules for ADS are explained</w:t>
      </w:r>
      <w:r>
        <w:rPr>
          <w:spacing w:val="-25"/>
          <w:sz w:val="20"/>
        </w:rPr>
        <w:t> </w:t>
      </w:r>
      <w:r>
        <w:rPr>
          <w:sz w:val="20"/>
        </w:rPr>
        <w:t>below.</w:t>
      </w:r>
    </w:p>
    <w:p>
      <w:pPr>
        <w:pStyle w:val="BodyText"/>
        <w:spacing w:before="9"/>
        <w:rPr>
          <w:sz w:val="22"/>
        </w:rPr>
      </w:pPr>
    </w:p>
    <w:p>
      <w:pPr>
        <w:pStyle w:val="Heading8"/>
      </w:pPr>
      <w:bookmarkStart w:name="Geolocation data" w:id="161"/>
      <w:bookmarkEnd w:id="161"/>
      <w:r>
        <w:rPr>
          <w:b w:val="0"/>
        </w:rPr>
      </w:r>
      <w:r>
        <w:rPr/>
        <w:t>Geolocation data</w:t>
      </w:r>
    </w:p>
    <w:p>
      <w:pPr>
        <w:pStyle w:val="BodyText"/>
        <w:rPr>
          <w:b/>
          <w:sz w:val="19"/>
        </w:rPr>
      </w:pPr>
    </w:p>
    <w:p>
      <w:pPr>
        <w:pStyle w:val="ListParagraph"/>
        <w:numPr>
          <w:ilvl w:val="0"/>
          <w:numId w:val="13"/>
        </w:numPr>
        <w:tabs>
          <w:tab w:pos="1444" w:val="left" w:leader="none"/>
        </w:tabs>
        <w:spacing w:line="271" w:lineRule="auto" w:before="0" w:after="0"/>
        <w:ind w:left="723" w:right="492" w:firstLine="0"/>
        <w:jc w:val="both"/>
        <w:rPr>
          <w:sz w:val="20"/>
        </w:rPr>
      </w:pPr>
      <w:r>
        <w:rPr>
          <w:sz w:val="20"/>
        </w:rPr>
        <w:t>Geolocation is based on GPS data or information that could be used to extrapolate a viewer’s location from a device. When a user enables location sharing on the device they are using, it is possible for</w:t>
      </w:r>
      <w:r>
        <w:rPr>
          <w:spacing w:val="-5"/>
          <w:sz w:val="20"/>
        </w:rPr>
        <w:t> </w:t>
      </w:r>
      <w:r>
        <w:rPr>
          <w:sz w:val="20"/>
        </w:rPr>
        <w:t>the</w:t>
      </w:r>
      <w:r>
        <w:rPr>
          <w:spacing w:val="-4"/>
          <w:sz w:val="20"/>
        </w:rPr>
        <w:t> </w:t>
      </w:r>
      <w:r>
        <w:rPr>
          <w:sz w:val="20"/>
        </w:rPr>
        <w:t>MNE</w:t>
      </w:r>
      <w:r>
        <w:rPr>
          <w:spacing w:val="-5"/>
          <w:sz w:val="20"/>
        </w:rPr>
        <w:t> </w:t>
      </w:r>
      <w:r>
        <w:rPr>
          <w:sz w:val="20"/>
        </w:rPr>
        <w:t>to</w:t>
      </w:r>
      <w:r>
        <w:rPr>
          <w:spacing w:val="-5"/>
          <w:sz w:val="20"/>
        </w:rPr>
        <w:t> </w:t>
      </w:r>
      <w:r>
        <w:rPr>
          <w:sz w:val="20"/>
        </w:rPr>
        <w:t>determine</w:t>
      </w:r>
      <w:r>
        <w:rPr>
          <w:spacing w:val="-5"/>
          <w:sz w:val="20"/>
        </w:rPr>
        <w:t> </w:t>
      </w:r>
      <w:r>
        <w:rPr>
          <w:sz w:val="20"/>
        </w:rPr>
        <w:t>the</w:t>
      </w:r>
      <w:r>
        <w:rPr>
          <w:spacing w:val="-4"/>
          <w:sz w:val="20"/>
        </w:rPr>
        <w:t> </w:t>
      </w:r>
      <w:r>
        <w:rPr>
          <w:sz w:val="20"/>
        </w:rPr>
        <w:t>precise</w:t>
      </w:r>
      <w:r>
        <w:rPr>
          <w:spacing w:val="-4"/>
          <w:sz w:val="20"/>
        </w:rPr>
        <w:t> </w:t>
      </w:r>
      <w:r>
        <w:rPr>
          <w:sz w:val="20"/>
        </w:rPr>
        <w:t>location</w:t>
      </w:r>
      <w:r>
        <w:rPr>
          <w:spacing w:val="-5"/>
          <w:sz w:val="20"/>
        </w:rPr>
        <w:t> </w:t>
      </w:r>
      <w:r>
        <w:rPr>
          <w:sz w:val="20"/>
        </w:rPr>
        <w:t>of</w:t>
      </w:r>
      <w:r>
        <w:rPr>
          <w:spacing w:val="-2"/>
          <w:sz w:val="20"/>
        </w:rPr>
        <w:t> </w:t>
      </w:r>
      <w:r>
        <w:rPr>
          <w:sz w:val="20"/>
        </w:rPr>
        <w:t>the</w:t>
      </w:r>
      <w:r>
        <w:rPr>
          <w:spacing w:val="-5"/>
          <w:sz w:val="20"/>
        </w:rPr>
        <w:t> </w:t>
      </w:r>
      <w:r>
        <w:rPr>
          <w:sz w:val="20"/>
        </w:rPr>
        <w:t>user.</w:t>
      </w:r>
      <w:r>
        <w:rPr>
          <w:spacing w:val="-4"/>
          <w:sz w:val="20"/>
        </w:rPr>
        <w:t> </w:t>
      </w:r>
      <w:r>
        <w:rPr>
          <w:sz w:val="20"/>
        </w:rPr>
        <w:t>Therefore,</w:t>
      </w:r>
      <w:r>
        <w:rPr>
          <w:spacing w:val="-4"/>
          <w:sz w:val="20"/>
        </w:rPr>
        <w:t> </w:t>
      </w:r>
      <w:r>
        <w:rPr>
          <w:sz w:val="20"/>
        </w:rPr>
        <w:t>when</w:t>
      </w:r>
      <w:r>
        <w:rPr>
          <w:spacing w:val="-4"/>
          <w:sz w:val="20"/>
        </w:rPr>
        <w:t> </w:t>
      </w:r>
      <w:r>
        <w:rPr>
          <w:sz w:val="20"/>
        </w:rPr>
        <w:t>the</w:t>
      </w:r>
      <w:r>
        <w:rPr>
          <w:spacing w:val="-6"/>
          <w:sz w:val="20"/>
        </w:rPr>
        <w:t> </w:t>
      </w:r>
      <w:r>
        <w:rPr>
          <w:sz w:val="20"/>
        </w:rPr>
        <w:t>MNE</w:t>
      </w:r>
      <w:r>
        <w:rPr>
          <w:spacing w:val="-4"/>
          <w:sz w:val="20"/>
        </w:rPr>
        <w:t> </w:t>
      </w:r>
      <w:r>
        <w:rPr>
          <w:sz w:val="20"/>
        </w:rPr>
        <w:t>has</w:t>
      </w:r>
      <w:r>
        <w:rPr>
          <w:spacing w:val="-3"/>
          <w:sz w:val="20"/>
        </w:rPr>
        <w:t> </w:t>
      </w:r>
      <w:r>
        <w:rPr>
          <w:sz w:val="20"/>
        </w:rPr>
        <w:t>geolocation</w:t>
      </w:r>
      <w:r>
        <w:rPr>
          <w:spacing w:val="-5"/>
          <w:sz w:val="20"/>
        </w:rPr>
        <w:t> </w:t>
      </w:r>
      <w:r>
        <w:rPr>
          <w:sz w:val="20"/>
        </w:rPr>
        <w:t>data available, it should always use this as the indicator to identify the real-time location of the</w:t>
      </w:r>
      <w:r>
        <w:rPr>
          <w:spacing w:val="-27"/>
          <w:sz w:val="20"/>
        </w:rPr>
        <w:t> </w:t>
      </w:r>
      <w:r>
        <w:rPr>
          <w:sz w:val="20"/>
        </w:rPr>
        <w:t>user.</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Broadly,</w:t>
      </w:r>
      <w:r>
        <w:rPr>
          <w:spacing w:val="-7"/>
          <w:sz w:val="20"/>
        </w:rPr>
        <w:t> </w:t>
      </w:r>
      <w:r>
        <w:rPr>
          <w:sz w:val="20"/>
        </w:rPr>
        <w:t>geolocation</w:t>
      </w:r>
      <w:r>
        <w:rPr>
          <w:spacing w:val="-8"/>
          <w:sz w:val="20"/>
        </w:rPr>
        <w:t> </w:t>
      </w:r>
      <w:r>
        <w:rPr>
          <w:sz w:val="20"/>
        </w:rPr>
        <w:t>services</w:t>
      </w:r>
      <w:r>
        <w:rPr>
          <w:spacing w:val="-7"/>
          <w:sz w:val="20"/>
        </w:rPr>
        <w:t> </w:t>
      </w:r>
      <w:r>
        <w:rPr>
          <w:sz w:val="20"/>
        </w:rPr>
        <w:t>use</w:t>
      </w:r>
      <w:r>
        <w:rPr>
          <w:spacing w:val="-7"/>
          <w:sz w:val="20"/>
        </w:rPr>
        <w:t> </w:t>
      </w:r>
      <w:r>
        <w:rPr>
          <w:sz w:val="20"/>
        </w:rPr>
        <w:t>various</w:t>
      </w:r>
      <w:r>
        <w:rPr>
          <w:spacing w:val="-7"/>
          <w:sz w:val="20"/>
        </w:rPr>
        <w:t> </w:t>
      </w:r>
      <w:r>
        <w:rPr>
          <w:sz w:val="20"/>
        </w:rPr>
        <w:t>data</w:t>
      </w:r>
      <w:r>
        <w:rPr>
          <w:spacing w:val="-8"/>
          <w:sz w:val="20"/>
        </w:rPr>
        <w:t> </w:t>
      </w:r>
      <w:r>
        <w:rPr>
          <w:sz w:val="20"/>
        </w:rPr>
        <w:t>points</w:t>
      </w:r>
      <w:r>
        <w:rPr>
          <w:spacing w:val="-6"/>
          <w:sz w:val="20"/>
        </w:rPr>
        <w:t> </w:t>
      </w:r>
      <w:r>
        <w:rPr>
          <w:sz w:val="20"/>
        </w:rPr>
        <w:t>to</w:t>
      </w:r>
      <w:r>
        <w:rPr>
          <w:spacing w:val="-8"/>
          <w:sz w:val="20"/>
        </w:rPr>
        <w:t> </w:t>
      </w:r>
      <w:r>
        <w:rPr>
          <w:sz w:val="20"/>
        </w:rPr>
        <w:t>determine</w:t>
      </w:r>
      <w:r>
        <w:rPr>
          <w:spacing w:val="-8"/>
          <w:sz w:val="20"/>
        </w:rPr>
        <w:t> </w:t>
      </w:r>
      <w:r>
        <w:rPr>
          <w:sz w:val="20"/>
        </w:rPr>
        <w:t>the</w:t>
      </w:r>
      <w:r>
        <w:rPr>
          <w:spacing w:val="-7"/>
          <w:sz w:val="20"/>
        </w:rPr>
        <w:t> </w:t>
      </w:r>
      <w:r>
        <w:rPr>
          <w:sz w:val="20"/>
        </w:rPr>
        <w:t>location</w:t>
      </w:r>
      <w:r>
        <w:rPr>
          <w:spacing w:val="-8"/>
          <w:sz w:val="20"/>
        </w:rPr>
        <w:t> </w:t>
      </w:r>
      <w:r>
        <w:rPr>
          <w:sz w:val="20"/>
        </w:rPr>
        <w:t>of</w:t>
      </w:r>
      <w:r>
        <w:rPr>
          <w:spacing w:val="-6"/>
          <w:sz w:val="20"/>
        </w:rPr>
        <w:t> </w:t>
      </w:r>
      <w:r>
        <w:rPr>
          <w:sz w:val="20"/>
        </w:rPr>
        <w:t>the</w:t>
      </w:r>
      <w:r>
        <w:rPr>
          <w:spacing w:val="-8"/>
          <w:sz w:val="20"/>
        </w:rPr>
        <w:t> </w:t>
      </w:r>
      <w:r>
        <w:rPr>
          <w:sz w:val="20"/>
        </w:rPr>
        <w:t>user.</w:t>
      </w:r>
      <w:r>
        <w:rPr>
          <w:spacing w:val="-6"/>
          <w:sz w:val="20"/>
        </w:rPr>
        <w:t> </w:t>
      </w:r>
      <w:r>
        <w:rPr>
          <w:sz w:val="20"/>
        </w:rPr>
        <w:t>These can include a combination of IP address, GPS-derived location data, cell tower IDs to which the user is connected, as well as data associated with </w:t>
      </w:r>
      <w:r>
        <w:rPr>
          <w:spacing w:val="2"/>
          <w:sz w:val="20"/>
        </w:rPr>
        <w:t>Wi-Fi </w:t>
      </w:r>
      <w:r>
        <w:rPr>
          <w:sz w:val="20"/>
        </w:rPr>
        <w:t>positioning systems. The use of various data points to triangulate a user’s location results in higher levels of accuracy and is therefore considered the most reliable way to determine a user’s location for the purpose of these sourcing</w:t>
      </w:r>
      <w:r>
        <w:rPr>
          <w:spacing w:val="-20"/>
          <w:sz w:val="20"/>
        </w:rPr>
        <w:t> </w:t>
      </w:r>
      <w:r>
        <w:rPr>
          <w:sz w:val="20"/>
        </w:rPr>
        <w:t>rules.</w:t>
      </w:r>
    </w:p>
    <w:p>
      <w:pPr>
        <w:pStyle w:val="ListParagraph"/>
        <w:numPr>
          <w:ilvl w:val="0"/>
          <w:numId w:val="13"/>
        </w:numPr>
        <w:tabs>
          <w:tab w:pos="1444" w:val="left" w:leader="none"/>
        </w:tabs>
        <w:spacing w:line="271" w:lineRule="auto" w:before="122" w:after="0"/>
        <w:ind w:left="723" w:right="489" w:firstLine="0"/>
        <w:jc w:val="both"/>
        <w:rPr>
          <w:sz w:val="20"/>
        </w:rPr>
      </w:pPr>
      <w:r>
        <w:rPr>
          <w:sz w:val="20"/>
        </w:rPr>
        <w:t>For</w:t>
      </w:r>
      <w:r>
        <w:rPr>
          <w:spacing w:val="-9"/>
          <w:sz w:val="20"/>
        </w:rPr>
        <w:t> </w:t>
      </w:r>
      <w:r>
        <w:rPr>
          <w:sz w:val="20"/>
        </w:rPr>
        <w:t>example,</w:t>
      </w:r>
      <w:r>
        <w:rPr>
          <w:spacing w:val="-8"/>
          <w:sz w:val="20"/>
        </w:rPr>
        <w:t> </w:t>
      </w:r>
      <w:r>
        <w:rPr>
          <w:sz w:val="20"/>
        </w:rPr>
        <w:t>a</w:t>
      </w:r>
      <w:r>
        <w:rPr>
          <w:spacing w:val="-8"/>
          <w:sz w:val="20"/>
        </w:rPr>
        <w:t> </w:t>
      </w:r>
      <w:r>
        <w:rPr>
          <w:sz w:val="20"/>
        </w:rPr>
        <w:t>geolocation</w:t>
      </w:r>
      <w:r>
        <w:rPr>
          <w:spacing w:val="-8"/>
          <w:sz w:val="20"/>
        </w:rPr>
        <w:t> </w:t>
      </w:r>
      <w:r>
        <w:rPr>
          <w:sz w:val="20"/>
        </w:rPr>
        <w:t>application</w:t>
      </w:r>
      <w:r>
        <w:rPr>
          <w:spacing w:val="-8"/>
          <w:sz w:val="20"/>
        </w:rPr>
        <w:t> </w:t>
      </w:r>
      <w:r>
        <w:rPr>
          <w:sz w:val="20"/>
        </w:rPr>
        <w:t>programming</w:t>
      </w:r>
      <w:r>
        <w:rPr>
          <w:spacing w:val="-10"/>
          <w:sz w:val="20"/>
        </w:rPr>
        <w:t> </w:t>
      </w:r>
      <w:r>
        <w:rPr>
          <w:sz w:val="20"/>
        </w:rPr>
        <w:t>interface</w:t>
      </w:r>
      <w:r>
        <w:rPr>
          <w:spacing w:val="-10"/>
          <w:sz w:val="20"/>
        </w:rPr>
        <w:t> </w:t>
      </w:r>
      <w:r>
        <w:rPr>
          <w:sz w:val="20"/>
        </w:rPr>
        <w:t>(API)</w:t>
      </w:r>
      <w:r>
        <w:rPr>
          <w:spacing w:val="-7"/>
          <w:sz w:val="20"/>
        </w:rPr>
        <w:t> </w:t>
      </w:r>
      <w:r>
        <w:rPr>
          <w:sz w:val="20"/>
        </w:rPr>
        <w:t>is</w:t>
      </w:r>
      <w:r>
        <w:rPr>
          <w:spacing w:val="-6"/>
          <w:sz w:val="20"/>
        </w:rPr>
        <w:t> </w:t>
      </w:r>
      <w:r>
        <w:rPr>
          <w:sz w:val="20"/>
        </w:rPr>
        <w:t>a</w:t>
      </w:r>
      <w:r>
        <w:rPr>
          <w:spacing w:val="-10"/>
          <w:sz w:val="20"/>
        </w:rPr>
        <w:t> </w:t>
      </w:r>
      <w:r>
        <w:rPr>
          <w:sz w:val="20"/>
        </w:rPr>
        <w:t>feature</w:t>
      </w:r>
      <w:r>
        <w:rPr>
          <w:spacing w:val="-7"/>
          <w:sz w:val="20"/>
        </w:rPr>
        <w:t> </w:t>
      </w:r>
      <w:r>
        <w:rPr>
          <w:sz w:val="20"/>
        </w:rPr>
        <w:t>that</w:t>
      </w:r>
      <w:r>
        <w:rPr>
          <w:spacing w:val="-10"/>
          <w:sz w:val="20"/>
        </w:rPr>
        <w:t> </w:t>
      </w:r>
      <w:r>
        <w:rPr>
          <w:sz w:val="20"/>
        </w:rPr>
        <w:t>is</w:t>
      </w:r>
      <w:r>
        <w:rPr>
          <w:spacing w:val="-6"/>
          <w:sz w:val="20"/>
        </w:rPr>
        <w:t> </w:t>
      </w:r>
      <w:r>
        <w:rPr>
          <w:sz w:val="20"/>
        </w:rPr>
        <w:t>embedded in most modern Internet browsers, which allows websites to request the location of the user in the form of a</w:t>
      </w:r>
      <w:r>
        <w:rPr>
          <w:spacing w:val="3"/>
          <w:sz w:val="20"/>
        </w:rPr>
        <w:t> </w:t>
      </w:r>
      <w:r>
        <w:rPr>
          <w:sz w:val="20"/>
        </w:rPr>
        <w:t>pop-up</w:t>
      </w:r>
      <w:r>
        <w:rPr>
          <w:spacing w:val="5"/>
          <w:sz w:val="20"/>
        </w:rPr>
        <w:t> </w:t>
      </w:r>
      <w:r>
        <w:rPr>
          <w:sz w:val="20"/>
        </w:rPr>
        <w:t>window.</w:t>
      </w:r>
      <w:r>
        <w:rPr>
          <w:spacing w:val="5"/>
          <w:sz w:val="20"/>
        </w:rPr>
        <w:t> </w:t>
      </w:r>
      <w:r>
        <w:rPr>
          <w:sz w:val="20"/>
        </w:rPr>
        <w:t>If</w:t>
      </w:r>
      <w:r>
        <w:rPr>
          <w:spacing w:val="6"/>
          <w:sz w:val="20"/>
        </w:rPr>
        <w:t> </w:t>
      </w:r>
      <w:r>
        <w:rPr>
          <w:sz w:val="20"/>
        </w:rPr>
        <w:t>the</w:t>
      </w:r>
      <w:r>
        <w:rPr>
          <w:spacing w:val="2"/>
          <w:sz w:val="20"/>
        </w:rPr>
        <w:t> </w:t>
      </w:r>
      <w:r>
        <w:rPr>
          <w:sz w:val="20"/>
        </w:rPr>
        <w:t>user</w:t>
      </w:r>
      <w:r>
        <w:rPr>
          <w:spacing w:val="4"/>
          <w:sz w:val="20"/>
        </w:rPr>
        <w:t> </w:t>
      </w:r>
      <w:r>
        <w:rPr>
          <w:sz w:val="20"/>
        </w:rPr>
        <w:t>accepts</w:t>
      </w:r>
      <w:r>
        <w:rPr>
          <w:spacing w:val="4"/>
          <w:sz w:val="20"/>
        </w:rPr>
        <w:t> </w:t>
      </w:r>
      <w:r>
        <w:rPr>
          <w:sz w:val="20"/>
        </w:rPr>
        <w:t>the</w:t>
      </w:r>
      <w:r>
        <w:rPr>
          <w:spacing w:val="6"/>
          <w:sz w:val="20"/>
        </w:rPr>
        <w:t> </w:t>
      </w:r>
      <w:r>
        <w:rPr>
          <w:sz w:val="20"/>
        </w:rPr>
        <w:t>prompt,</w:t>
      </w:r>
      <w:r>
        <w:rPr>
          <w:spacing w:val="2"/>
          <w:sz w:val="20"/>
        </w:rPr>
        <w:t> </w:t>
      </w:r>
      <w:r>
        <w:rPr>
          <w:sz w:val="20"/>
        </w:rPr>
        <w:t>the</w:t>
      </w:r>
      <w:r>
        <w:rPr>
          <w:spacing w:val="5"/>
          <w:sz w:val="20"/>
        </w:rPr>
        <w:t> </w:t>
      </w:r>
      <w:r>
        <w:rPr>
          <w:sz w:val="20"/>
        </w:rPr>
        <w:t>API</w:t>
      </w:r>
      <w:r>
        <w:rPr>
          <w:spacing w:val="5"/>
          <w:sz w:val="20"/>
        </w:rPr>
        <w:t> </w:t>
      </w:r>
      <w:r>
        <w:rPr>
          <w:sz w:val="20"/>
        </w:rPr>
        <w:t>locates</w:t>
      </w:r>
      <w:r>
        <w:rPr>
          <w:spacing w:val="5"/>
          <w:sz w:val="20"/>
        </w:rPr>
        <w:t> </w:t>
      </w:r>
      <w:r>
        <w:rPr>
          <w:sz w:val="20"/>
        </w:rPr>
        <w:t>the</w:t>
      </w:r>
      <w:r>
        <w:rPr>
          <w:spacing w:val="3"/>
          <w:sz w:val="20"/>
        </w:rPr>
        <w:t> </w:t>
      </w:r>
      <w:r>
        <w:rPr>
          <w:sz w:val="20"/>
        </w:rPr>
        <w:t>user,</w:t>
      </w:r>
      <w:r>
        <w:rPr>
          <w:spacing w:val="6"/>
          <w:sz w:val="20"/>
        </w:rPr>
        <w:t> </w:t>
      </w:r>
      <w:r>
        <w:rPr>
          <w:sz w:val="20"/>
        </w:rPr>
        <w:t>even</w:t>
      </w:r>
      <w:r>
        <w:rPr>
          <w:spacing w:val="5"/>
          <w:sz w:val="20"/>
        </w:rPr>
        <w:t> </w:t>
      </w:r>
      <w:r>
        <w:rPr>
          <w:sz w:val="20"/>
        </w:rPr>
        <w:t>if</w:t>
      </w:r>
      <w:r>
        <w:rPr>
          <w:spacing w:val="6"/>
          <w:sz w:val="20"/>
        </w:rPr>
        <w:t> </w:t>
      </w:r>
      <w:r>
        <w:rPr>
          <w:sz w:val="20"/>
        </w:rPr>
        <w:t>the</w:t>
      </w:r>
      <w:r>
        <w:rPr>
          <w:spacing w:val="2"/>
          <w:sz w:val="20"/>
        </w:rPr>
        <w:t> </w:t>
      </w:r>
      <w:r>
        <w:rPr>
          <w:sz w:val="20"/>
        </w:rPr>
        <w:t>user</w:t>
      </w:r>
      <w:r>
        <w:rPr>
          <w:spacing w:val="6"/>
          <w:sz w:val="20"/>
        </w:rPr>
        <w:t> </w:t>
      </w:r>
      <w:r>
        <w:rPr>
          <w:sz w:val="20"/>
        </w:rPr>
        <w:t>is</w:t>
      </w:r>
      <w:r>
        <w:rPr>
          <w:spacing w:val="4"/>
          <w:sz w:val="20"/>
        </w:rPr>
        <w:t> </w:t>
      </w:r>
      <w:r>
        <w:rPr>
          <w:sz w:val="20"/>
        </w:rPr>
        <w:t>connected</w:t>
      </w:r>
    </w:p>
    <w:p>
      <w:pPr>
        <w:pStyle w:val="BodyText"/>
        <w:spacing w:before="7"/>
        <w:rPr>
          <w:sz w:val="9"/>
        </w:rPr>
      </w:pPr>
      <w:r>
        <w:rPr/>
        <w:pict>
          <v:rect style="position:absolute;margin-left:65.183998pt;margin-top:7.497568pt;width:144.020004pt;height:.60004pt;mso-position-horizontal-relative:page;mso-position-vertical-relative:paragraph;z-index:-1567692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See section </w:t>
      </w:r>
      <w:r>
        <w:rPr>
          <w:b/>
          <w:sz w:val="18"/>
        </w:rPr>
        <w:t>Error! Reference source not found. </w:t>
      </w:r>
      <w:r>
        <w:rPr>
          <w:sz w:val="18"/>
        </w:rPr>
        <w:t>on “next</w:t>
      </w:r>
      <w:r>
        <w:rPr>
          <w:spacing w:val="-20"/>
          <w:sz w:val="18"/>
        </w:rPr>
        <w:t> </w:t>
      </w:r>
      <w:r>
        <w:rPr>
          <w:sz w:val="18"/>
        </w:rPr>
        <w:t>steps.”</w:t>
      </w:r>
    </w:p>
    <w:p>
      <w:pPr>
        <w:pStyle w:val="ListParagraph"/>
        <w:numPr>
          <w:ilvl w:val="0"/>
          <w:numId w:val="14"/>
        </w:numPr>
        <w:tabs>
          <w:tab w:pos="928" w:val="left" w:leader="none"/>
        </w:tabs>
        <w:spacing w:line="240" w:lineRule="auto" w:before="110" w:after="0"/>
        <w:ind w:left="927" w:right="0" w:hanging="205"/>
        <w:jc w:val="left"/>
        <w:rPr>
          <w:sz w:val="18"/>
        </w:rPr>
      </w:pPr>
      <w:r>
        <w:rPr>
          <w:sz w:val="18"/>
        </w:rPr>
        <w:t>See section </w:t>
      </w:r>
      <w:r>
        <w:rPr>
          <w:b/>
          <w:sz w:val="18"/>
        </w:rPr>
        <w:t>Error! Reference source not found. </w:t>
      </w:r>
      <w:r>
        <w:rPr>
          <w:sz w:val="18"/>
        </w:rPr>
        <w:t>on “next</w:t>
      </w:r>
      <w:r>
        <w:rPr>
          <w:spacing w:val="-20"/>
          <w:sz w:val="18"/>
        </w:rPr>
        <w:t> </w:t>
      </w:r>
      <w:r>
        <w:rPr>
          <w:sz w:val="18"/>
        </w:rPr>
        <w:t>steps.”</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90"/>
        <w:jc w:val="both"/>
      </w:pPr>
      <w:r>
        <w:rPr/>
        <w:t>to the Internet through a VPN. However, as this feature needs to be enabled on the website or platform the user is connecting to, the data is not always available to MNEs.</w:t>
      </w:r>
    </w:p>
    <w:p>
      <w:pPr>
        <w:pStyle w:val="ListParagraph"/>
        <w:numPr>
          <w:ilvl w:val="0"/>
          <w:numId w:val="13"/>
        </w:numPr>
        <w:tabs>
          <w:tab w:pos="1444" w:val="left" w:leader="none"/>
        </w:tabs>
        <w:spacing w:line="271" w:lineRule="auto" w:before="119" w:after="0"/>
        <w:ind w:left="723" w:right="486" w:firstLine="0"/>
        <w:jc w:val="both"/>
        <w:rPr>
          <w:sz w:val="20"/>
        </w:rPr>
      </w:pPr>
      <w:r>
        <w:rPr>
          <w:sz w:val="20"/>
        </w:rPr>
        <w:t>In</w:t>
      </w:r>
      <w:r>
        <w:rPr>
          <w:spacing w:val="-7"/>
          <w:sz w:val="20"/>
        </w:rPr>
        <w:t> </w:t>
      </w:r>
      <w:r>
        <w:rPr>
          <w:sz w:val="20"/>
        </w:rPr>
        <w:t>the</w:t>
      </w:r>
      <w:r>
        <w:rPr>
          <w:spacing w:val="-6"/>
          <w:sz w:val="20"/>
        </w:rPr>
        <w:t> </w:t>
      </w:r>
      <w:r>
        <w:rPr>
          <w:sz w:val="20"/>
        </w:rPr>
        <w:t>revenue</w:t>
      </w:r>
      <w:r>
        <w:rPr>
          <w:spacing w:val="-5"/>
          <w:sz w:val="20"/>
        </w:rPr>
        <w:t> </w:t>
      </w:r>
      <w:r>
        <w:rPr>
          <w:sz w:val="20"/>
        </w:rPr>
        <w:t>sourcing</w:t>
      </w:r>
      <w:r>
        <w:rPr>
          <w:spacing w:val="-6"/>
          <w:sz w:val="20"/>
        </w:rPr>
        <w:t> </w:t>
      </w:r>
      <w:r>
        <w:rPr>
          <w:sz w:val="20"/>
        </w:rPr>
        <w:t>rules,</w:t>
      </w:r>
      <w:r>
        <w:rPr>
          <w:spacing w:val="-6"/>
          <w:sz w:val="20"/>
        </w:rPr>
        <w:t> </w:t>
      </w:r>
      <w:r>
        <w:rPr>
          <w:sz w:val="20"/>
        </w:rPr>
        <w:t>geolocation</w:t>
      </w:r>
      <w:r>
        <w:rPr>
          <w:spacing w:val="-6"/>
          <w:sz w:val="20"/>
        </w:rPr>
        <w:t> </w:t>
      </w:r>
      <w:r>
        <w:rPr>
          <w:sz w:val="20"/>
        </w:rPr>
        <w:t>may</w:t>
      </w:r>
      <w:r>
        <w:rPr>
          <w:spacing w:val="-10"/>
          <w:sz w:val="20"/>
        </w:rPr>
        <w:t> </w:t>
      </w:r>
      <w:r>
        <w:rPr>
          <w:sz w:val="20"/>
        </w:rPr>
        <w:t>appear</w:t>
      </w:r>
      <w:r>
        <w:rPr>
          <w:spacing w:val="-3"/>
          <w:sz w:val="20"/>
        </w:rPr>
        <w:t> </w:t>
      </w:r>
      <w:r>
        <w:rPr>
          <w:sz w:val="20"/>
        </w:rPr>
        <w:t>both</w:t>
      </w:r>
      <w:r>
        <w:rPr>
          <w:spacing w:val="-7"/>
          <w:sz w:val="20"/>
        </w:rPr>
        <w:t> </w:t>
      </w:r>
      <w:r>
        <w:rPr>
          <w:sz w:val="20"/>
        </w:rPr>
        <w:t>as</w:t>
      </w:r>
      <w:r>
        <w:rPr>
          <w:spacing w:val="-2"/>
          <w:sz w:val="20"/>
        </w:rPr>
        <w:t> </w:t>
      </w:r>
      <w:r>
        <w:rPr>
          <w:sz w:val="20"/>
        </w:rPr>
        <w:t>a</w:t>
      </w:r>
      <w:r>
        <w:rPr>
          <w:spacing w:val="-7"/>
          <w:sz w:val="20"/>
        </w:rPr>
        <w:t> </w:t>
      </w:r>
      <w:r>
        <w:rPr>
          <w:sz w:val="20"/>
        </w:rPr>
        <w:t>standalone</w:t>
      </w:r>
      <w:r>
        <w:rPr>
          <w:spacing w:val="-4"/>
          <w:sz w:val="20"/>
        </w:rPr>
        <w:t> </w:t>
      </w:r>
      <w:r>
        <w:rPr>
          <w:sz w:val="20"/>
        </w:rPr>
        <w:t>indicator</w:t>
      </w:r>
      <w:r>
        <w:rPr>
          <w:spacing w:val="-6"/>
          <w:sz w:val="20"/>
        </w:rPr>
        <w:t> </w:t>
      </w:r>
      <w:r>
        <w:rPr>
          <w:sz w:val="20"/>
        </w:rPr>
        <w:t>and</w:t>
      </w:r>
      <w:r>
        <w:rPr>
          <w:spacing w:val="-4"/>
          <w:sz w:val="20"/>
        </w:rPr>
        <w:t> </w:t>
      </w:r>
      <w:r>
        <w:rPr>
          <w:sz w:val="20"/>
        </w:rPr>
        <w:t>as</w:t>
      </w:r>
      <w:r>
        <w:rPr>
          <w:spacing w:val="-6"/>
          <w:sz w:val="20"/>
        </w:rPr>
        <w:t> </w:t>
      </w:r>
      <w:r>
        <w:rPr>
          <w:sz w:val="20"/>
        </w:rPr>
        <w:t>part of</w:t>
      </w:r>
      <w:r>
        <w:rPr>
          <w:spacing w:val="-6"/>
          <w:sz w:val="20"/>
        </w:rPr>
        <w:t> </w:t>
      </w:r>
      <w:r>
        <w:rPr>
          <w:sz w:val="20"/>
        </w:rPr>
        <w:t>a</w:t>
      </w:r>
      <w:r>
        <w:rPr>
          <w:spacing w:val="-8"/>
          <w:sz w:val="20"/>
        </w:rPr>
        <w:t> </w:t>
      </w:r>
      <w:r>
        <w:rPr>
          <w:sz w:val="20"/>
        </w:rPr>
        <w:t>user</w:t>
      </w:r>
      <w:r>
        <w:rPr>
          <w:spacing w:val="-7"/>
          <w:sz w:val="20"/>
        </w:rPr>
        <w:t> </w:t>
      </w:r>
      <w:r>
        <w:rPr>
          <w:sz w:val="20"/>
        </w:rPr>
        <w:t>profile.</w:t>
      </w:r>
      <w:r>
        <w:rPr>
          <w:spacing w:val="-12"/>
          <w:sz w:val="20"/>
        </w:rPr>
        <w:t> </w:t>
      </w:r>
      <w:r>
        <w:rPr>
          <w:sz w:val="20"/>
        </w:rPr>
        <w:t>When</w:t>
      </w:r>
      <w:r>
        <w:rPr>
          <w:spacing w:val="-8"/>
          <w:sz w:val="20"/>
        </w:rPr>
        <w:t> </w:t>
      </w:r>
      <w:r>
        <w:rPr>
          <w:sz w:val="20"/>
        </w:rPr>
        <w:t>geolocation</w:t>
      </w:r>
      <w:r>
        <w:rPr>
          <w:spacing w:val="-8"/>
          <w:sz w:val="20"/>
        </w:rPr>
        <w:t> </w:t>
      </w:r>
      <w:r>
        <w:rPr>
          <w:sz w:val="20"/>
        </w:rPr>
        <w:t>is</w:t>
      </w:r>
      <w:r>
        <w:rPr>
          <w:spacing w:val="-6"/>
          <w:sz w:val="20"/>
        </w:rPr>
        <w:t> </w:t>
      </w:r>
      <w:r>
        <w:rPr>
          <w:sz w:val="20"/>
        </w:rPr>
        <w:t>included</w:t>
      </w:r>
      <w:r>
        <w:rPr>
          <w:spacing w:val="-8"/>
          <w:sz w:val="20"/>
        </w:rPr>
        <w:t> </w:t>
      </w:r>
      <w:r>
        <w:rPr>
          <w:sz w:val="20"/>
        </w:rPr>
        <w:t>as</w:t>
      </w:r>
      <w:r>
        <w:rPr>
          <w:spacing w:val="-7"/>
          <w:sz w:val="20"/>
        </w:rPr>
        <w:t> </w:t>
      </w:r>
      <w:r>
        <w:rPr>
          <w:sz w:val="20"/>
        </w:rPr>
        <w:t>part</w:t>
      </w:r>
      <w:r>
        <w:rPr>
          <w:spacing w:val="-5"/>
          <w:sz w:val="20"/>
        </w:rPr>
        <w:t> </w:t>
      </w:r>
      <w:r>
        <w:rPr>
          <w:sz w:val="20"/>
        </w:rPr>
        <w:t>of</w:t>
      </w:r>
      <w:r>
        <w:rPr>
          <w:spacing w:val="-5"/>
          <w:sz w:val="20"/>
        </w:rPr>
        <w:t> </w:t>
      </w:r>
      <w:r>
        <w:rPr>
          <w:sz w:val="20"/>
        </w:rPr>
        <w:t>user</w:t>
      </w:r>
      <w:r>
        <w:rPr>
          <w:spacing w:val="-6"/>
          <w:sz w:val="20"/>
        </w:rPr>
        <w:t> </w:t>
      </w:r>
      <w:r>
        <w:rPr>
          <w:sz w:val="20"/>
        </w:rPr>
        <w:t>profile</w:t>
      </w:r>
      <w:r>
        <w:rPr>
          <w:spacing w:val="-8"/>
          <w:sz w:val="20"/>
        </w:rPr>
        <w:t> </w:t>
      </w:r>
      <w:r>
        <w:rPr>
          <w:sz w:val="20"/>
        </w:rPr>
        <w:t>information,</w:t>
      </w:r>
      <w:r>
        <w:rPr>
          <w:spacing w:val="-7"/>
          <w:sz w:val="20"/>
        </w:rPr>
        <w:t> </w:t>
      </w:r>
      <w:r>
        <w:rPr>
          <w:sz w:val="20"/>
        </w:rPr>
        <w:t>it</w:t>
      </w:r>
      <w:r>
        <w:rPr>
          <w:spacing w:val="-5"/>
          <w:sz w:val="20"/>
        </w:rPr>
        <w:t> </w:t>
      </w:r>
      <w:r>
        <w:rPr>
          <w:sz w:val="20"/>
        </w:rPr>
        <w:t>refers</w:t>
      </w:r>
      <w:r>
        <w:rPr>
          <w:spacing w:val="-8"/>
          <w:sz w:val="20"/>
        </w:rPr>
        <w:t> </w:t>
      </w:r>
      <w:r>
        <w:rPr>
          <w:sz w:val="20"/>
        </w:rPr>
        <w:t>to</w:t>
      </w:r>
      <w:r>
        <w:rPr>
          <w:spacing w:val="-8"/>
          <w:sz w:val="20"/>
        </w:rPr>
        <w:t> </w:t>
      </w:r>
      <w:r>
        <w:rPr>
          <w:sz w:val="20"/>
        </w:rPr>
        <w:t>recurring</w:t>
      </w:r>
      <w:r>
        <w:rPr>
          <w:spacing w:val="-7"/>
          <w:sz w:val="20"/>
        </w:rPr>
        <w:t> </w:t>
      </w:r>
      <w:r>
        <w:rPr>
          <w:sz w:val="20"/>
        </w:rPr>
        <w:t>data on a user’s location, which can be used to determine the user’s ordinary residence. This looks to the data the</w:t>
      </w:r>
      <w:r>
        <w:rPr>
          <w:spacing w:val="-8"/>
          <w:sz w:val="20"/>
        </w:rPr>
        <w:t> </w:t>
      </w:r>
      <w:r>
        <w:rPr>
          <w:sz w:val="20"/>
        </w:rPr>
        <w:t>MNE</w:t>
      </w:r>
      <w:r>
        <w:rPr>
          <w:spacing w:val="-5"/>
          <w:sz w:val="20"/>
        </w:rPr>
        <w:t> </w:t>
      </w:r>
      <w:r>
        <w:rPr>
          <w:sz w:val="20"/>
        </w:rPr>
        <w:t>has</w:t>
      </w:r>
      <w:r>
        <w:rPr>
          <w:spacing w:val="-5"/>
          <w:sz w:val="20"/>
        </w:rPr>
        <w:t> </w:t>
      </w:r>
      <w:r>
        <w:rPr>
          <w:sz w:val="20"/>
        </w:rPr>
        <w:t>available</w:t>
      </w:r>
      <w:r>
        <w:rPr>
          <w:spacing w:val="-8"/>
          <w:sz w:val="20"/>
        </w:rPr>
        <w:t> </w:t>
      </w:r>
      <w:r>
        <w:rPr>
          <w:sz w:val="20"/>
        </w:rPr>
        <w:t>about</w:t>
      </w:r>
      <w:r>
        <w:rPr>
          <w:spacing w:val="-7"/>
          <w:sz w:val="20"/>
        </w:rPr>
        <w:t> </w:t>
      </w:r>
      <w:r>
        <w:rPr>
          <w:sz w:val="20"/>
        </w:rPr>
        <w:t>the</w:t>
      </w:r>
      <w:r>
        <w:rPr>
          <w:spacing w:val="-8"/>
          <w:sz w:val="20"/>
        </w:rPr>
        <w:t> </w:t>
      </w:r>
      <w:r>
        <w:rPr>
          <w:sz w:val="20"/>
        </w:rPr>
        <w:t>repeating,</w:t>
      </w:r>
      <w:r>
        <w:rPr>
          <w:spacing w:val="-5"/>
          <w:sz w:val="20"/>
        </w:rPr>
        <w:t> </w:t>
      </w:r>
      <w:r>
        <w:rPr>
          <w:sz w:val="20"/>
        </w:rPr>
        <w:t>recurring</w:t>
      </w:r>
      <w:r>
        <w:rPr>
          <w:spacing w:val="-5"/>
          <w:sz w:val="20"/>
        </w:rPr>
        <w:t> </w:t>
      </w:r>
      <w:r>
        <w:rPr>
          <w:sz w:val="20"/>
        </w:rPr>
        <w:t>pattern</w:t>
      </w:r>
      <w:r>
        <w:rPr>
          <w:spacing w:val="-5"/>
          <w:sz w:val="20"/>
        </w:rPr>
        <w:t> </w:t>
      </w:r>
      <w:r>
        <w:rPr>
          <w:sz w:val="20"/>
        </w:rPr>
        <w:t>of</w:t>
      </w:r>
      <w:r>
        <w:rPr>
          <w:spacing w:val="-6"/>
          <w:sz w:val="20"/>
        </w:rPr>
        <w:t> </w:t>
      </w:r>
      <w:r>
        <w:rPr>
          <w:sz w:val="20"/>
        </w:rPr>
        <w:t>the</w:t>
      </w:r>
      <w:r>
        <w:rPr>
          <w:spacing w:val="-7"/>
          <w:sz w:val="20"/>
        </w:rPr>
        <w:t> </w:t>
      </w:r>
      <w:r>
        <w:rPr>
          <w:sz w:val="20"/>
        </w:rPr>
        <w:t>user’s</w:t>
      </w:r>
      <w:r>
        <w:rPr>
          <w:spacing w:val="-6"/>
          <w:sz w:val="20"/>
        </w:rPr>
        <w:t> </w:t>
      </w:r>
      <w:r>
        <w:rPr>
          <w:sz w:val="20"/>
        </w:rPr>
        <w:t>location</w:t>
      </w:r>
      <w:r>
        <w:rPr>
          <w:spacing w:val="-5"/>
          <w:sz w:val="20"/>
        </w:rPr>
        <w:t> </w:t>
      </w:r>
      <w:r>
        <w:rPr>
          <w:sz w:val="20"/>
        </w:rPr>
        <w:t>over</w:t>
      </w:r>
      <w:r>
        <w:rPr>
          <w:spacing w:val="-6"/>
          <w:sz w:val="20"/>
        </w:rPr>
        <w:t> </w:t>
      </w:r>
      <w:r>
        <w:rPr>
          <w:sz w:val="20"/>
        </w:rPr>
        <w:t>time,</w:t>
      </w:r>
      <w:r>
        <w:rPr>
          <w:spacing w:val="-8"/>
          <w:sz w:val="20"/>
        </w:rPr>
        <w:t> </w:t>
      </w:r>
      <w:r>
        <w:rPr>
          <w:sz w:val="20"/>
        </w:rPr>
        <w:t>and</w:t>
      </w:r>
      <w:r>
        <w:rPr>
          <w:spacing w:val="-5"/>
          <w:sz w:val="20"/>
        </w:rPr>
        <w:t> </w:t>
      </w:r>
      <w:r>
        <w:rPr>
          <w:sz w:val="20"/>
        </w:rPr>
        <w:t>which</w:t>
      </w:r>
      <w:r>
        <w:rPr>
          <w:spacing w:val="-4"/>
          <w:sz w:val="20"/>
        </w:rPr>
        <w:t> </w:t>
      </w:r>
      <w:r>
        <w:rPr>
          <w:sz w:val="20"/>
        </w:rPr>
        <w:t>is therefore</w:t>
      </w:r>
      <w:r>
        <w:rPr>
          <w:spacing w:val="-5"/>
          <w:sz w:val="20"/>
        </w:rPr>
        <w:t> </w:t>
      </w:r>
      <w:r>
        <w:rPr>
          <w:sz w:val="20"/>
        </w:rPr>
        <w:t>a</w:t>
      </w:r>
      <w:r>
        <w:rPr>
          <w:spacing w:val="-5"/>
          <w:sz w:val="20"/>
        </w:rPr>
        <w:t> </w:t>
      </w:r>
      <w:r>
        <w:rPr>
          <w:sz w:val="20"/>
        </w:rPr>
        <w:t>reliable</w:t>
      </w:r>
      <w:r>
        <w:rPr>
          <w:spacing w:val="-4"/>
          <w:sz w:val="20"/>
        </w:rPr>
        <w:t> </w:t>
      </w:r>
      <w:r>
        <w:rPr>
          <w:sz w:val="20"/>
        </w:rPr>
        <w:t>indicator</w:t>
      </w:r>
      <w:r>
        <w:rPr>
          <w:spacing w:val="-4"/>
          <w:sz w:val="20"/>
        </w:rPr>
        <w:t> </w:t>
      </w:r>
      <w:r>
        <w:rPr>
          <w:sz w:val="20"/>
        </w:rPr>
        <w:t>of</w:t>
      </w:r>
      <w:r>
        <w:rPr>
          <w:spacing w:val="-3"/>
          <w:sz w:val="20"/>
        </w:rPr>
        <w:t> </w:t>
      </w:r>
      <w:r>
        <w:rPr>
          <w:sz w:val="20"/>
        </w:rPr>
        <w:t>habitual</w:t>
      </w:r>
      <w:r>
        <w:rPr>
          <w:spacing w:val="-5"/>
          <w:sz w:val="20"/>
        </w:rPr>
        <w:t> </w:t>
      </w:r>
      <w:r>
        <w:rPr>
          <w:sz w:val="20"/>
        </w:rPr>
        <w:t>location.</w:t>
      </w:r>
      <w:r>
        <w:rPr>
          <w:spacing w:val="-9"/>
          <w:sz w:val="20"/>
        </w:rPr>
        <w:t> </w:t>
      </w:r>
      <w:r>
        <w:rPr>
          <w:sz w:val="20"/>
        </w:rPr>
        <w:t>Where</w:t>
      </w:r>
      <w:r>
        <w:rPr>
          <w:spacing w:val="-5"/>
          <w:sz w:val="20"/>
        </w:rPr>
        <w:t> </w:t>
      </w:r>
      <w:r>
        <w:rPr>
          <w:sz w:val="20"/>
        </w:rPr>
        <w:t>such</w:t>
      </w:r>
      <w:r>
        <w:rPr>
          <w:spacing w:val="-5"/>
          <w:sz w:val="20"/>
        </w:rPr>
        <w:t> </w:t>
      </w:r>
      <w:r>
        <w:rPr>
          <w:sz w:val="20"/>
        </w:rPr>
        <w:t>data</w:t>
      </w:r>
      <w:r>
        <w:rPr>
          <w:spacing w:val="-5"/>
          <w:sz w:val="20"/>
        </w:rPr>
        <w:t> </w:t>
      </w:r>
      <w:r>
        <w:rPr>
          <w:sz w:val="20"/>
        </w:rPr>
        <w:t>shows</w:t>
      </w:r>
      <w:r>
        <w:rPr>
          <w:spacing w:val="-4"/>
          <w:sz w:val="20"/>
        </w:rPr>
        <w:t> </w:t>
      </w:r>
      <w:r>
        <w:rPr>
          <w:sz w:val="20"/>
        </w:rPr>
        <w:t>a</w:t>
      </w:r>
      <w:r>
        <w:rPr>
          <w:spacing w:val="-5"/>
          <w:sz w:val="20"/>
        </w:rPr>
        <w:t> </w:t>
      </w:r>
      <w:r>
        <w:rPr>
          <w:sz w:val="20"/>
        </w:rPr>
        <w:t>recurring</w:t>
      </w:r>
      <w:r>
        <w:rPr>
          <w:spacing w:val="-6"/>
          <w:sz w:val="20"/>
        </w:rPr>
        <w:t> </w:t>
      </w:r>
      <w:r>
        <w:rPr>
          <w:sz w:val="20"/>
        </w:rPr>
        <w:t>pattern</w:t>
      </w:r>
      <w:r>
        <w:rPr>
          <w:spacing w:val="-5"/>
          <w:sz w:val="20"/>
        </w:rPr>
        <w:t> </w:t>
      </w:r>
      <w:r>
        <w:rPr>
          <w:sz w:val="20"/>
        </w:rPr>
        <w:t>of</w:t>
      </w:r>
      <w:r>
        <w:rPr>
          <w:spacing w:val="-2"/>
          <w:sz w:val="20"/>
        </w:rPr>
        <w:t> </w:t>
      </w:r>
      <w:r>
        <w:rPr>
          <w:sz w:val="20"/>
        </w:rPr>
        <w:t>location,</w:t>
      </w:r>
      <w:r>
        <w:rPr>
          <w:spacing w:val="-5"/>
          <w:sz w:val="20"/>
        </w:rPr>
        <w:t> </w:t>
      </w:r>
      <w:r>
        <w:rPr>
          <w:sz w:val="20"/>
        </w:rPr>
        <w:t>it can</w:t>
      </w:r>
      <w:r>
        <w:rPr>
          <w:spacing w:val="-6"/>
          <w:sz w:val="20"/>
        </w:rPr>
        <w:t> </w:t>
      </w:r>
      <w:r>
        <w:rPr>
          <w:sz w:val="20"/>
        </w:rPr>
        <w:t>be</w:t>
      </w:r>
      <w:r>
        <w:rPr>
          <w:spacing w:val="-6"/>
          <w:sz w:val="20"/>
        </w:rPr>
        <w:t> </w:t>
      </w:r>
      <w:r>
        <w:rPr>
          <w:sz w:val="20"/>
        </w:rPr>
        <w:t>relied</w:t>
      </w:r>
      <w:r>
        <w:rPr>
          <w:spacing w:val="-5"/>
          <w:sz w:val="20"/>
        </w:rPr>
        <w:t> </w:t>
      </w:r>
      <w:r>
        <w:rPr>
          <w:sz w:val="20"/>
        </w:rPr>
        <w:t>upon,</w:t>
      </w:r>
      <w:r>
        <w:rPr>
          <w:spacing w:val="-2"/>
          <w:sz w:val="20"/>
        </w:rPr>
        <w:t> </w:t>
      </w:r>
      <w:r>
        <w:rPr>
          <w:sz w:val="20"/>
        </w:rPr>
        <w:t>notwithstanding</w:t>
      </w:r>
      <w:r>
        <w:rPr>
          <w:spacing w:val="-6"/>
          <w:sz w:val="20"/>
        </w:rPr>
        <w:t> </w:t>
      </w:r>
      <w:r>
        <w:rPr>
          <w:sz w:val="20"/>
        </w:rPr>
        <w:t>occasional</w:t>
      </w:r>
      <w:r>
        <w:rPr>
          <w:spacing w:val="-6"/>
          <w:sz w:val="20"/>
        </w:rPr>
        <w:t> </w:t>
      </w:r>
      <w:r>
        <w:rPr>
          <w:sz w:val="20"/>
        </w:rPr>
        <w:t>results</w:t>
      </w:r>
      <w:r>
        <w:rPr>
          <w:spacing w:val="-4"/>
          <w:sz w:val="20"/>
        </w:rPr>
        <w:t> </w:t>
      </w:r>
      <w:r>
        <w:rPr>
          <w:sz w:val="20"/>
        </w:rPr>
        <w:t>that</w:t>
      </w:r>
      <w:r>
        <w:rPr>
          <w:spacing w:val="-5"/>
          <w:sz w:val="20"/>
        </w:rPr>
        <w:t> </w:t>
      </w:r>
      <w:r>
        <w:rPr>
          <w:sz w:val="20"/>
        </w:rPr>
        <w:t>evidence</w:t>
      </w:r>
      <w:r>
        <w:rPr>
          <w:spacing w:val="-5"/>
          <w:sz w:val="20"/>
        </w:rPr>
        <w:t> </w:t>
      </w:r>
      <w:r>
        <w:rPr>
          <w:sz w:val="20"/>
        </w:rPr>
        <w:t>a</w:t>
      </w:r>
      <w:r>
        <w:rPr>
          <w:spacing w:val="-6"/>
          <w:sz w:val="20"/>
        </w:rPr>
        <w:t> </w:t>
      </w:r>
      <w:r>
        <w:rPr>
          <w:sz w:val="20"/>
        </w:rPr>
        <w:t>different</w:t>
      </w:r>
      <w:r>
        <w:rPr>
          <w:spacing w:val="-4"/>
          <w:sz w:val="20"/>
        </w:rPr>
        <w:t> </w:t>
      </w:r>
      <w:r>
        <w:rPr>
          <w:sz w:val="20"/>
        </w:rPr>
        <w:t>location</w:t>
      </w:r>
      <w:r>
        <w:rPr>
          <w:spacing w:val="-5"/>
          <w:sz w:val="20"/>
        </w:rPr>
        <w:t> </w:t>
      </w:r>
      <w:r>
        <w:rPr>
          <w:sz w:val="20"/>
        </w:rPr>
        <w:t>(such</w:t>
      </w:r>
      <w:r>
        <w:rPr>
          <w:spacing w:val="-5"/>
          <w:sz w:val="20"/>
        </w:rPr>
        <w:t> </w:t>
      </w:r>
      <w:r>
        <w:rPr>
          <w:sz w:val="20"/>
        </w:rPr>
        <w:t>as</w:t>
      </w:r>
      <w:r>
        <w:rPr>
          <w:spacing w:val="-2"/>
          <w:sz w:val="20"/>
        </w:rPr>
        <w:t> </w:t>
      </w:r>
      <w:r>
        <w:rPr>
          <w:sz w:val="20"/>
        </w:rPr>
        <w:t>where</w:t>
      </w:r>
      <w:r>
        <w:rPr>
          <w:spacing w:val="-3"/>
          <w:sz w:val="20"/>
        </w:rPr>
        <w:t> </w:t>
      </w:r>
      <w:r>
        <w:rPr>
          <w:sz w:val="20"/>
        </w:rPr>
        <w:t>a user travels abroad). If the recurring data evidences one jurisdiction for more than half of a year, this can be treated as</w:t>
      </w:r>
      <w:r>
        <w:rPr>
          <w:spacing w:val="-2"/>
          <w:sz w:val="20"/>
        </w:rPr>
        <w:t> </w:t>
      </w:r>
      <w:r>
        <w:rPr>
          <w:sz w:val="20"/>
        </w:rPr>
        <w:t>reliable.</w:t>
      </w:r>
    </w:p>
    <w:p>
      <w:pPr>
        <w:pStyle w:val="BodyText"/>
        <w:spacing w:before="4"/>
      </w:pPr>
    </w:p>
    <w:p>
      <w:pPr>
        <w:pStyle w:val="Heading8"/>
      </w:pPr>
      <w:bookmarkStart w:name="IP address" w:id="162"/>
      <w:bookmarkEnd w:id="162"/>
      <w:r>
        <w:rPr>
          <w:b w:val="0"/>
        </w:rPr>
      </w:r>
      <w:r>
        <w:rPr/>
        <w:t>IP address</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7" w:firstLine="0"/>
        <w:jc w:val="both"/>
        <w:rPr>
          <w:sz w:val="20"/>
        </w:rPr>
      </w:pPr>
      <w:r>
        <w:rPr>
          <w:sz w:val="20"/>
        </w:rPr>
        <w:t>The Internet Protocol (IP) address (based on </w:t>
      </w:r>
      <w:r>
        <w:rPr>
          <w:spacing w:val="2"/>
          <w:sz w:val="20"/>
        </w:rPr>
        <w:t>Wi-Fi </w:t>
      </w:r>
      <w:r>
        <w:rPr>
          <w:sz w:val="20"/>
        </w:rPr>
        <w:t>or cellular IP address, depending on how the user is connected to the Internet) can be used to locate the device of the user. It is the number that is assigned to each device connected to a computer network, meaning that every device connected to the Internet has an IP</w:t>
      </w:r>
      <w:r>
        <w:rPr>
          <w:spacing w:val="-3"/>
          <w:sz w:val="20"/>
        </w:rPr>
        <w:t> </w:t>
      </w:r>
      <w:r>
        <w:rPr>
          <w:sz w:val="20"/>
        </w:rPr>
        <w:t>address.</w:t>
      </w:r>
    </w:p>
    <w:p>
      <w:pPr>
        <w:pStyle w:val="ListParagraph"/>
        <w:numPr>
          <w:ilvl w:val="0"/>
          <w:numId w:val="13"/>
        </w:numPr>
        <w:tabs>
          <w:tab w:pos="1444" w:val="left" w:leader="none"/>
        </w:tabs>
        <w:spacing w:line="271" w:lineRule="auto" w:before="122" w:after="0"/>
        <w:ind w:left="723" w:right="484" w:firstLine="0"/>
        <w:jc w:val="both"/>
        <w:rPr>
          <w:sz w:val="20"/>
        </w:rPr>
      </w:pPr>
      <w:r>
        <w:rPr>
          <w:sz w:val="20"/>
        </w:rPr>
        <w:t>Although</w:t>
      </w:r>
      <w:r>
        <w:rPr>
          <w:spacing w:val="-8"/>
          <w:sz w:val="20"/>
        </w:rPr>
        <w:t> </w:t>
      </w:r>
      <w:r>
        <w:rPr>
          <w:sz w:val="20"/>
        </w:rPr>
        <w:t>an</w:t>
      </w:r>
      <w:r>
        <w:rPr>
          <w:spacing w:val="-9"/>
          <w:sz w:val="20"/>
        </w:rPr>
        <w:t> </w:t>
      </w:r>
      <w:r>
        <w:rPr>
          <w:sz w:val="20"/>
        </w:rPr>
        <w:t>IP</w:t>
      </w:r>
      <w:r>
        <w:rPr>
          <w:spacing w:val="-9"/>
          <w:sz w:val="20"/>
        </w:rPr>
        <w:t> </w:t>
      </w:r>
      <w:r>
        <w:rPr>
          <w:sz w:val="20"/>
        </w:rPr>
        <w:t>address</w:t>
      </w:r>
      <w:r>
        <w:rPr>
          <w:spacing w:val="-8"/>
          <w:sz w:val="20"/>
        </w:rPr>
        <w:t> </w:t>
      </w:r>
      <w:r>
        <w:rPr>
          <w:sz w:val="20"/>
        </w:rPr>
        <w:t>does</w:t>
      </w:r>
      <w:r>
        <w:rPr>
          <w:spacing w:val="-9"/>
          <w:sz w:val="20"/>
        </w:rPr>
        <w:t> </w:t>
      </w:r>
      <w:r>
        <w:rPr>
          <w:sz w:val="20"/>
        </w:rPr>
        <w:t>not</w:t>
      </w:r>
      <w:r>
        <w:rPr>
          <w:spacing w:val="-9"/>
          <w:sz w:val="20"/>
        </w:rPr>
        <w:t> </w:t>
      </w:r>
      <w:r>
        <w:rPr>
          <w:sz w:val="20"/>
        </w:rPr>
        <w:t>inherently</w:t>
      </w:r>
      <w:r>
        <w:rPr>
          <w:spacing w:val="-12"/>
          <w:sz w:val="20"/>
        </w:rPr>
        <w:t> </w:t>
      </w:r>
      <w:r>
        <w:rPr>
          <w:sz w:val="20"/>
        </w:rPr>
        <w:t>contain</w:t>
      </w:r>
      <w:r>
        <w:rPr>
          <w:spacing w:val="-9"/>
          <w:sz w:val="20"/>
        </w:rPr>
        <w:t> </w:t>
      </w:r>
      <w:r>
        <w:rPr>
          <w:sz w:val="20"/>
        </w:rPr>
        <w:t>the</w:t>
      </w:r>
      <w:r>
        <w:rPr>
          <w:spacing w:val="-7"/>
          <w:sz w:val="20"/>
        </w:rPr>
        <w:t> </w:t>
      </w:r>
      <w:r>
        <w:rPr>
          <w:sz w:val="20"/>
        </w:rPr>
        <w:t>location</w:t>
      </w:r>
      <w:r>
        <w:rPr>
          <w:spacing w:val="-7"/>
          <w:sz w:val="20"/>
        </w:rPr>
        <w:t> </w:t>
      </w:r>
      <w:r>
        <w:rPr>
          <w:sz w:val="20"/>
        </w:rPr>
        <w:t>of</w:t>
      </w:r>
      <w:r>
        <w:rPr>
          <w:spacing w:val="-8"/>
          <w:sz w:val="20"/>
        </w:rPr>
        <w:t> </w:t>
      </w:r>
      <w:r>
        <w:rPr>
          <w:sz w:val="20"/>
        </w:rPr>
        <w:t>the</w:t>
      </w:r>
      <w:r>
        <w:rPr>
          <w:spacing w:val="-9"/>
          <w:sz w:val="20"/>
        </w:rPr>
        <w:t> </w:t>
      </w:r>
      <w:r>
        <w:rPr>
          <w:sz w:val="20"/>
        </w:rPr>
        <w:t>user,</w:t>
      </w:r>
      <w:r>
        <w:rPr>
          <w:spacing w:val="-6"/>
          <w:sz w:val="20"/>
        </w:rPr>
        <w:t> </w:t>
      </w:r>
      <w:r>
        <w:rPr>
          <w:sz w:val="20"/>
        </w:rPr>
        <w:t>IP</w:t>
      </w:r>
      <w:r>
        <w:rPr>
          <w:spacing w:val="-8"/>
          <w:sz w:val="20"/>
        </w:rPr>
        <w:t> </w:t>
      </w:r>
      <w:r>
        <w:rPr>
          <w:sz w:val="20"/>
        </w:rPr>
        <w:t>address</w:t>
      </w:r>
      <w:r>
        <w:rPr>
          <w:spacing w:val="-8"/>
          <w:sz w:val="20"/>
        </w:rPr>
        <w:t> </w:t>
      </w:r>
      <w:r>
        <w:rPr>
          <w:sz w:val="20"/>
        </w:rPr>
        <w:t>databases are widely used by MNEs to determine the location of the user for business reasons. In such databases, certain ranges of IP addresses are assigned to certain jurisdictions, which allows the MNE to identify the jurisdiction from the IP address. The MNE can use different products or methods to track the IP address, all of which could be used for the purpose of apply the revenue sourcing</w:t>
      </w:r>
      <w:r>
        <w:rPr>
          <w:spacing w:val="-13"/>
          <w:sz w:val="20"/>
        </w:rPr>
        <w:t> </w:t>
      </w:r>
      <w:r>
        <w:rPr>
          <w:sz w:val="20"/>
        </w:rPr>
        <w:t>rules.</w:t>
      </w:r>
    </w:p>
    <w:p>
      <w:pPr>
        <w:pStyle w:val="ListParagraph"/>
        <w:numPr>
          <w:ilvl w:val="0"/>
          <w:numId w:val="13"/>
        </w:numPr>
        <w:tabs>
          <w:tab w:pos="1444" w:val="left" w:leader="none"/>
        </w:tabs>
        <w:spacing w:line="273" w:lineRule="auto" w:before="119" w:after="0"/>
        <w:ind w:left="723" w:right="492" w:firstLine="0"/>
        <w:jc w:val="both"/>
        <w:rPr>
          <w:sz w:val="20"/>
        </w:rPr>
      </w:pPr>
      <w:r>
        <w:rPr>
          <w:sz w:val="20"/>
        </w:rPr>
        <w:t>When the IP address appears as part of user profile information, the same considerations apply as set out in the discussion of geolocation data above for recurring data on IP</w:t>
      </w:r>
      <w:r>
        <w:rPr>
          <w:spacing w:val="-8"/>
          <w:sz w:val="20"/>
        </w:rPr>
        <w:t> </w:t>
      </w:r>
      <w:r>
        <w:rPr>
          <w:sz w:val="20"/>
        </w:rPr>
        <w:t>address.</w:t>
      </w:r>
    </w:p>
    <w:p>
      <w:pPr>
        <w:pStyle w:val="BodyText"/>
        <w:spacing w:before="11"/>
        <w:rPr>
          <w:sz w:val="19"/>
        </w:rPr>
      </w:pPr>
    </w:p>
    <w:p>
      <w:pPr>
        <w:pStyle w:val="Heading8"/>
      </w:pPr>
      <w:bookmarkStart w:name="VPN" w:id="163"/>
      <w:bookmarkEnd w:id="163"/>
      <w:r>
        <w:rPr>
          <w:b w:val="0"/>
        </w:rPr>
      </w:r>
      <w:r>
        <w:rPr/>
        <w:t>VPN</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It</w:t>
      </w:r>
      <w:r>
        <w:rPr>
          <w:spacing w:val="-5"/>
          <w:sz w:val="20"/>
        </w:rPr>
        <w:t> </w:t>
      </w:r>
      <w:r>
        <w:rPr>
          <w:sz w:val="20"/>
        </w:rPr>
        <w:t>is</w:t>
      </w:r>
      <w:r>
        <w:rPr>
          <w:spacing w:val="-4"/>
          <w:sz w:val="20"/>
        </w:rPr>
        <w:t> </w:t>
      </w:r>
      <w:r>
        <w:rPr>
          <w:sz w:val="20"/>
        </w:rPr>
        <w:t>possible</w:t>
      </w:r>
      <w:r>
        <w:rPr>
          <w:spacing w:val="-4"/>
          <w:sz w:val="20"/>
        </w:rPr>
        <w:t> </w:t>
      </w:r>
      <w:r>
        <w:rPr>
          <w:sz w:val="20"/>
        </w:rPr>
        <w:t>for</w:t>
      </w:r>
      <w:r>
        <w:rPr>
          <w:spacing w:val="-5"/>
          <w:sz w:val="20"/>
        </w:rPr>
        <w:t> </w:t>
      </w:r>
      <w:r>
        <w:rPr>
          <w:sz w:val="20"/>
        </w:rPr>
        <w:t>users</w:t>
      </w:r>
      <w:r>
        <w:rPr>
          <w:spacing w:val="-2"/>
          <w:sz w:val="20"/>
        </w:rPr>
        <w:t> </w:t>
      </w:r>
      <w:r>
        <w:rPr>
          <w:sz w:val="20"/>
        </w:rPr>
        <w:t>to</w:t>
      </w:r>
      <w:r>
        <w:rPr>
          <w:spacing w:val="-5"/>
          <w:sz w:val="20"/>
        </w:rPr>
        <w:t> </w:t>
      </w:r>
      <w:r>
        <w:rPr>
          <w:sz w:val="20"/>
        </w:rPr>
        <w:t>elect</w:t>
      </w:r>
      <w:r>
        <w:rPr>
          <w:spacing w:val="-4"/>
          <w:sz w:val="20"/>
        </w:rPr>
        <w:t> </w:t>
      </w:r>
      <w:r>
        <w:rPr>
          <w:sz w:val="20"/>
        </w:rPr>
        <w:t>to</w:t>
      </w:r>
      <w:r>
        <w:rPr>
          <w:spacing w:val="-5"/>
          <w:sz w:val="20"/>
        </w:rPr>
        <w:t> </w:t>
      </w:r>
      <w:r>
        <w:rPr>
          <w:sz w:val="20"/>
        </w:rPr>
        <w:t>change</w:t>
      </w:r>
      <w:r>
        <w:rPr>
          <w:spacing w:val="-4"/>
          <w:sz w:val="20"/>
        </w:rPr>
        <w:t> </w:t>
      </w:r>
      <w:r>
        <w:rPr>
          <w:sz w:val="20"/>
        </w:rPr>
        <w:t>the</w:t>
      </w:r>
      <w:r>
        <w:rPr>
          <w:spacing w:val="-4"/>
          <w:sz w:val="20"/>
        </w:rPr>
        <w:t> </w:t>
      </w:r>
      <w:r>
        <w:rPr>
          <w:sz w:val="20"/>
        </w:rPr>
        <w:t>location</w:t>
      </w:r>
      <w:r>
        <w:rPr>
          <w:spacing w:val="-5"/>
          <w:sz w:val="20"/>
        </w:rPr>
        <w:t> </w:t>
      </w:r>
      <w:r>
        <w:rPr>
          <w:sz w:val="20"/>
        </w:rPr>
        <w:t>associated</w:t>
      </w:r>
      <w:r>
        <w:rPr>
          <w:spacing w:val="-3"/>
          <w:sz w:val="20"/>
        </w:rPr>
        <w:t> </w:t>
      </w:r>
      <w:r>
        <w:rPr>
          <w:sz w:val="20"/>
        </w:rPr>
        <w:t>with</w:t>
      </w:r>
      <w:r>
        <w:rPr>
          <w:spacing w:val="-5"/>
          <w:sz w:val="20"/>
        </w:rPr>
        <w:t> </w:t>
      </w:r>
      <w:r>
        <w:rPr>
          <w:sz w:val="20"/>
        </w:rPr>
        <w:t>their</w:t>
      </w:r>
      <w:r>
        <w:rPr>
          <w:spacing w:val="-3"/>
          <w:sz w:val="20"/>
        </w:rPr>
        <w:t> </w:t>
      </w:r>
      <w:r>
        <w:rPr>
          <w:sz w:val="20"/>
        </w:rPr>
        <w:t>IP</w:t>
      </w:r>
      <w:r>
        <w:rPr>
          <w:spacing w:val="-4"/>
          <w:sz w:val="20"/>
        </w:rPr>
        <w:t> </w:t>
      </w:r>
      <w:r>
        <w:rPr>
          <w:sz w:val="20"/>
        </w:rPr>
        <w:t>address</w:t>
      </w:r>
      <w:r>
        <w:rPr>
          <w:spacing w:val="-3"/>
          <w:sz w:val="20"/>
        </w:rPr>
        <w:t> </w:t>
      </w:r>
      <w:r>
        <w:rPr>
          <w:sz w:val="20"/>
        </w:rPr>
        <w:t>through</w:t>
      </w:r>
      <w:r>
        <w:rPr>
          <w:spacing w:val="-6"/>
          <w:sz w:val="20"/>
        </w:rPr>
        <w:t> </w:t>
      </w:r>
      <w:r>
        <w:rPr>
          <w:sz w:val="20"/>
        </w:rPr>
        <w:t>the use of a VPN, which assigns a new IP address to the user in the country of their choosing (where a VPN server is located) and make it appear as an IP address in this other country. This can be done for privacy or security reasons, for business reasons, or to access specific content available in a given country. For example,</w:t>
      </w:r>
      <w:r>
        <w:rPr>
          <w:spacing w:val="-8"/>
          <w:sz w:val="20"/>
        </w:rPr>
        <w:t> </w:t>
      </w:r>
      <w:r>
        <w:rPr>
          <w:sz w:val="20"/>
        </w:rPr>
        <w:t>a</w:t>
      </w:r>
      <w:r>
        <w:rPr>
          <w:spacing w:val="-8"/>
          <w:sz w:val="20"/>
        </w:rPr>
        <w:t> </w:t>
      </w:r>
      <w:r>
        <w:rPr>
          <w:sz w:val="20"/>
        </w:rPr>
        <w:t>user</w:t>
      </w:r>
      <w:r>
        <w:rPr>
          <w:spacing w:val="-6"/>
          <w:sz w:val="20"/>
        </w:rPr>
        <w:t> </w:t>
      </w:r>
      <w:r>
        <w:rPr>
          <w:sz w:val="20"/>
        </w:rPr>
        <w:t>located</w:t>
      </w:r>
      <w:r>
        <w:rPr>
          <w:spacing w:val="-8"/>
          <w:sz w:val="20"/>
        </w:rPr>
        <w:t> </w:t>
      </w:r>
      <w:r>
        <w:rPr>
          <w:sz w:val="20"/>
        </w:rPr>
        <w:t>in</w:t>
      </w:r>
      <w:r>
        <w:rPr>
          <w:spacing w:val="-8"/>
          <w:sz w:val="20"/>
        </w:rPr>
        <w:t> </w:t>
      </w:r>
      <w:r>
        <w:rPr>
          <w:sz w:val="20"/>
        </w:rPr>
        <w:t>Country</w:t>
      </w:r>
      <w:r>
        <w:rPr>
          <w:spacing w:val="-10"/>
          <w:sz w:val="20"/>
        </w:rPr>
        <w:t> </w:t>
      </w:r>
      <w:r>
        <w:rPr>
          <w:sz w:val="20"/>
        </w:rPr>
        <w:t>X</w:t>
      </w:r>
      <w:r>
        <w:rPr>
          <w:spacing w:val="-9"/>
          <w:sz w:val="20"/>
        </w:rPr>
        <w:t> </w:t>
      </w:r>
      <w:r>
        <w:rPr>
          <w:sz w:val="20"/>
        </w:rPr>
        <w:t>may</w:t>
      </w:r>
      <w:r>
        <w:rPr>
          <w:spacing w:val="-10"/>
          <w:sz w:val="20"/>
        </w:rPr>
        <w:t> </w:t>
      </w:r>
      <w:r>
        <w:rPr>
          <w:sz w:val="20"/>
        </w:rPr>
        <w:t>decide</w:t>
      </w:r>
      <w:r>
        <w:rPr>
          <w:spacing w:val="-8"/>
          <w:sz w:val="20"/>
        </w:rPr>
        <w:t> </w:t>
      </w:r>
      <w:r>
        <w:rPr>
          <w:sz w:val="20"/>
        </w:rPr>
        <w:t>to</w:t>
      </w:r>
      <w:r>
        <w:rPr>
          <w:spacing w:val="-8"/>
          <w:sz w:val="20"/>
        </w:rPr>
        <w:t> </w:t>
      </w:r>
      <w:r>
        <w:rPr>
          <w:sz w:val="20"/>
        </w:rPr>
        <w:t>use</w:t>
      </w:r>
      <w:r>
        <w:rPr>
          <w:spacing w:val="-7"/>
          <w:sz w:val="20"/>
        </w:rPr>
        <w:t> </w:t>
      </w:r>
      <w:r>
        <w:rPr>
          <w:sz w:val="20"/>
        </w:rPr>
        <w:t>a</w:t>
      </w:r>
      <w:r>
        <w:rPr>
          <w:spacing w:val="-8"/>
          <w:sz w:val="20"/>
        </w:rPr>
        <w:t> </w:t>
      </w:r>
      <w:r>
        <w:rPr>
          <w:sz w:val="20"/>
        </w:rPr>
        <w:t>VPN</w:t>
      </w:r>
      <w:r>
        <w:rPr>
          <w:spacing w:val="-8"/>
          <w:sz w:val="20"/>
        </w:rPr>
        <w:t> </w:t>
      </w:r>
      <w:r>
        <w:rPr>
          <w:sz w:val="20"/>
        </w:rPr>
        <w:t>to</w:t>
      </w:r>
      <w:r>
        <w:rPr>
          <w:spacing w:val="-7"/>
          <w:sz w:val="20"/>
        </w:rPr>
        <w:t> </w:t>
      </w:r>
      <w:r>
        <w:rPr>
          <w:sz w:val="20"/>
        </w:rPr>
        <w:t>connect</w:t>
      </w:r>
      <w:r>
        <w:rPr>
          <w:spacing w:val="-8"/>
          <w:sz w:val="20"/>
        </w:rPr>
        <w:t> </w:t>
      </w:r>
      <w:r>
        <w:rPr>
          <w:sz w:val="20"/>
        </w:rPr>
        <w:t>to</w:t>
      </w:r>
      <w:r>
        <w:rPr>
          <w:spacing w:val="-7"/>
          <w:sz w:val="20"/>
        </w:rPr>
        <w:t> </w:t>
      </w:r>
      <w:r>
        <w:rPr>
          <w:sz w:val="20"/>
        </w:rPr>
        <w:t>Country</w:t>
      </w:r>
      <w:r>
        <w:rPr>
          <w:spacing w:val="-14"/>
          <w:sz w:val="20"/>
        </w:rPr>
        <w:t> </w:t>
      </w:r>
      <w:r>
        <w:rPr>
          <w:sz w:val="20"/>
        </w:rPr>
        <w:t>Z,</w:t>
      </w:r>
      <w:r>
        <w:rPr>
          <w:spacing w:val="-5"/>
          <w:sz w:val="20"/>
        </w:rPr>
        <w:t> </w:t>
      </w:r>
      <w:r>
        <w:rPr>
          <w:sz w:val="20"/>
        </w:rPr>
        <w:t>in</w:t>
      </w:r>
      <w:r>
        <w:rPr>
          <w:spacing w:val="-7"/>
          <w:sz w:val="20"/>
        </w:rPr>
        <w:t> </w:t>
      </w:r>
      <w:r>
        <w:rPr>
          <w:sz w:val="20"/>
        </w:rPr>
        <w:t>order</w:t>
      </w:r>
      <w:r>
        <w:rPr>
          <w:spacing w:val="-7"/>
          <w:sz w:val="20"/>
        </w:rPr>
        <w:t> </w:t>
      </w:r>
      <w:r>
        <w:rPr>
          <w:sz w:val="20"/>
        </w:rPr>
        <w:t>to</w:t>
      </w:r>
      <w:r>
        <w:rPr>
          <w:spacing w:val="-8"/>
          <w:sz w:val="20"/>
        </w:rPr>
        <w:t> </w:t>
      </w:r>
      <w:r>
        <w:rPr>
          <w:sz w:val="20"/>
        </w:rPr>
        <w:t>access desired content on a streaming platform. In this case, the location associated with the IP address </w:t>
      </w:r>
      <w:r>
        <w:rPr>
          <w:spacing w:val="2"/>
          <w:sz w:val="20"/>
        </w:rPr>
        <w:t>that </w:t>
      </w:r>
      <w:r>
        <w:rPr>
          <w:sz w:val="20"/>
        </w:rPr>
        <w:t>the user connected to the streaming platform with would be in Country Z, rather than Country</w:t>
      </w:r>
      <w:r>
        <w:rPr>
          <w:spacing w:val="-27"/>
          <w:sz w:val="20"/>
        </w:rPr>
        <w:t> </w:t>
      </w:r>
      <w:r>
        <w:rPr>
          <w:sz w:val="20"/>
        </w:rPr>
        <w:t>X.</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The use of the VPN can be more widespread in some jurisdictions than others. In some cases, although</w:t>
      </w:r>
      <w:r>
        <w:rPr>
          <w:spacing w:val="-7"/>
          <w:sz w:val="20"/>
        </w:rPr>
        <w:t> </w:t>
      </w:r>
      <w:r>
        <w:rPr>
          <w:sz w:val="20"/>
        </w:rPr>
        <w:t>far</w:t>
      </w:r>
      <w:r>
        <w:rPr>
          <w:spacing w:val="-7"/>
          <w:sz w:val="20"/>
        </w:rPr>
        <w:t> </w:t>
      </w:r>
      <w:r>
        <w:rPr>
          <w:sz w:val="20"/>
        </w:rPr>
        <w:t>from</w:t>
      </w:r>
      <w:r>
        <w:rPr>
          <w:spacing w:val="-2"/>
          <w:sz w:val="20"/>
        </w:rPr>
        <w:t> </w:t>
      </w:r>
      <w:r>
        <w:rPr>
          <w:sz w:val="20"/>
        </w:rPr>
        <w:t>a</w:t>
      </w:r>
      <w:r>
        <w:rPr>
          <w:spacing w:val="-7"/>
          <w:sz w:val="20"/>
        </w:rPr>
        <w:t> </w:t>
      </w:r>
      <w:r>
        <w:rPr>
          <w:sz w:val="20"/>
        </w:rPr>
        <w:t>standard</w:t>
      </w:r>
      <w:r>
        <w:rPr>
          <w:spacing w:val="-7"/>
          <w:sz w:val="20"/>
        </w:rPr>
        <w:t> </w:t>
      </w:r>
      <w:r>
        <w:rPr>
          <w:sz w:val="20"/>
        </w:rPr>
        <w:t>practice</w:t>
      </w:r>
      <w:r>
        <w:rPr>
          <w:spacing w:val="-7"/>
          <w:sz w:val="20"/>
        </w:rPr>
        <w:t> </w:t>
      </w:r>
      <w:r>
        <w:rPr>
          <w:sz w:val="20"/>
        </w:rPr>
        <w:t>or</w:t>
      </w:r>
      <w:r>
        <w:rPr>
          <w:spacing w:val="-6"/>
          <w:sz w:val="20"/>
        </w:rPr>
        <w:t> </w:t>
      </w:r>
      <w:r>
        <w:rPr>
          <w:sz w:val="20"/>
        </w:rPr>
        <w:t>commercial</w:t>
      </w:r>
      <w:r>
        <w:rPr>
          <w:spacing w:val="-8"/>
          <w:sz w:val="20"/>
        </w:rPr>
        <w:t> </w:t>
      </w:r>
      <w:r>
        <w:rPr>
          <w:sz w:val="20"/>
        </w:rPr>
        <w:t>requirement</w:t>
      </w:r>
      <w:r>
        <w:rPr>
          <w:spacing w:val="-6"/>
          <w:sz w:val="20"/>
        </w:rPr>
        <w:t> </w:t>
      </w:r>
      <w:r>
        <w:rPr>
          <w:sz w:val="20"/>
        </w:rPr>
        <w:t>for</w:t>
      </w:r>
      <w:r>
        <w:rPr>
          <w:spacing w:val="-6"/>
          <w:sz w:val="20"/>
        </w:rPr>
        <w:t> </w:t>
      </w:r>
      <w:r>
        <w:rPr>
          <w:sz w:val="20"/>
        </w:rPr>
        <w:t>all</w:t>
      </w:r>
      <w:r>
        <w:rPr>
          <w:spacing w:val="-5"/>
          <w:sz w:val="20"/>
        </w:rPr>
        <w:t> </w:t>
      </w:r>
      <w:r>
        <w:rPr>
          <w:sz w:val="20"/>
        </w:rPr>
        <w:t>ADS</w:t>
      </w:r>
      <w:r>
        <w:rPr>
          <w:spacing w:val="-7"/>
          <w:sz w:val="20"/>
        </w:rPr>
        <w:t> </w:t>
      </w:r>
      <w:r>
        <w:rPr>
          <w:sz w:val="20"/>
        </w:rPr>
        <w:t>providers,</w:t>
      </w:r>
      <w:r>
        <w:rPr>
          <w:spacing w:val="-6"/>
          <w:sz w:val="20"/>
        </w:rPr>
        <w:t> </w:t>
      </w:r>
      <w:r>
        <w:rPr>
          <w:sz w:val="20"/>
        </w:rPr>
        <w:t>“geoblocking”</w:t>
      </w:r>
      <w:r>
        <w:rPr>
          <w:spacing w:val="-6"/>
          <w:sz w:val="20"/>
        </w:rPr>
        <w:t> </w:t>
      </w:r>
      <w:r>
        <w:rPr>
          <w:sz w:val="20"/>
        </w:rPr>
        <w:t>may occur</w:t>
      </w:r>
      <w:r>
        <w:rPr>
          <w:spacing w:val="-6"/>
          <w:sz w:val="20"/>
        </w:rPr>
        <w:t> </w:t>
      </w:r>
      <w:r>
        <w:rPr>
          <w:sz w:val="20"/>
        </w:rPr>
        <w:t>(e.g.</w:t>
      </w:r>
      <w:r>
        <w:rPr>
          <w:spacing w:val="-6"/>
          <w:sz w:val="20"/>
        </w:rPr>
        <w:t> </w:t>
      </w:r>
      <w:r>
        <w:rPr>
          <w:sz w:val="20"/>
        </w:rPr>
        <w:t>as</w:t>
      </w:r>
      <w:r>
        <w:rPr>
          <w:spacing w:val="-3"/>
          <w:sz w:val="20"/>
        </w:rPr>
        <w:t> </w:t>
      </w:r>
      <w:r>
        <w:rPr>
          <w:sz w:val="20"/>
        </w:rPr>
        <w:t>a</w:t>
      </w:r>
      <w:r>
        <w:rPr>
          <w:spacing w:val="-5"/>
          <w:sz w:val="20"/>
        </w:rPr>
        <w:t> </w:t>
      </w:r>
      <w:r>
        <w:rPr>
          <w:sz w:val="20"/>
        </w:rPr>
        <w:t>way</w:t>
      </w:r>
      <w:r>
        <w:rPr>
          <w:spacing w:val="-10"/>
          <w:sz w:val="20"/>
        </w:rPr>
        <w:t> </w:t>
      </w:r>
      <w:r>
        <w:rPr>
          <w:sz w:val="20"/>
        </w:rPr>
        <w:t>for</w:t>
      </w:r>
      <w:r>
        <w:rPr>
          <w:spacing w:val="-5"/>
          <w:sz w:val="20"/>
        </w:rPr>
        <w:t> </w:t>
      </w:r>
      <w:r>
        <w:rPr>
          <w:sz w:val="20"/>
        </w:rPr>
        <w:t>the</w:t>
      </w:r>
      <w:r>
        <w:rPr>
          <w:spacing w:val="-5"/>
          <w:sz w:val="20"/>
        </w:rPr>
        <w:t> </w:t>
      </w:r>
      <w:r>
        <w:rPr>
          <w:sz w:val="20"/>
        </w:rPr>
        <w:t>MNE</w:t>
      </w:r>
      <w:r>
        <w:rPr>
          <w:spacing w:val="-5"/>
          <w:sz w:val="20"/>
        </w:rPr>
        <w:t> </w:t>
      </w:r>
      <w:r>
        <w:rPr>
          <w:sz w:val="20"/>
        </w:rPr>
        <w:t>to</w:t>
      </w:r>
      <w:r>
        <w:rPr>
          <w:spacing w:val="-4"/>
          <w:sz w:val="20"/>
        </w:rPr>
        <w:t> </w:t>
      </w:r>
      <w:r>
        <w:rPr>
          <w:sz w:val="20"/>
        </w:rPr>
        <w:t>protect</w:t>
      </w:r>
      <w:r>
        <w:rPr>
          <w:spacing w:val="-4"/>
          <w:sz w:val="20"/>
        </w:rPr>
        <w:t> </w:t>
      </w:r>
      <w:r>
        <w:rPr>
          <w:sz w:val="20"/>
        </w:rPr>
        <w:t>and</w:t>
      </w:r>
      <w:r>
        <w:rPr>
          <w:spacing w:val="-5"/>
          <w:sz w:val="20"/>
        </w:rPr>
        <w:t> </w:t>
      </w:r>
      <w:r>
        <w:rPr>
          <w:sz w:val="20"/>
        </w:rPr>
        <w:t>enforce</w:t>
      </w:r>
      <w:r>
        <w:rPr>
          <w:spacing w:val="-5"/>
          <w:sz w:val="20"/>
        </w:rPr>
        <w:t> </w:t>
      </w:r>
      <w:r>
        <w:rPr>
          <w:sz w:val="20"/>
        </w:rPr>
        <w:t>the</w:t>
      </w:r>
      <w:r>
        <w:rPr>
          <w:spacing w:val="-4"/>
          <w:sz w:val="20"/>
        </w:rPr>
        <w:t> </w:t>
      </w:r>
      <w:r>
        <w:rPr>
          <w:sz w:val="20"/>
        </w:rPr>
        <w:t>licensing</w:t>
      </w:r>
      <w:r>
        <w:rPr>
          <w:spacing w:val="-7"/>
          <w:sz w:val="20"/>
        </w:rPr>
        <w:t> </w:t>
      </w:r>
      <w:r>
        <w:rPr>
          <w:sz w:val="20"/>
        </w:rPr>
        <w:t>arrangements</w:t>
      </w:r>
      <w:r>
        <w:rPr>
          <w:spacing w:val="-4"/>
          <w:sz w:val="20"/>
        </w:rPr>
        <w:t> </w:t>
      </w:r>
      <w:r>
        <w:rPr>
          <w:sz w:val="20"/>
        </w:rPr>
        <w:t>it</w:t>
      </w:r>
      <w:r>
        <w:rPr>
          <w:spacing w:val="-4"/>
          <w:sz w:val="20"/>
        </w:rPr>
        <w:t> </w:t>
      </w:r>
      <w:r>
        <w:rPr>
          <w:sz w:val="20"/>
        </w:rPr>
        <w:t>has</w:t>
      </w:r>
      <w:r>
        <w:rPr>
          <w:spacing w:val="-6"/>
          <w:sz w:val="20"/>
        </w:rPr>
        <w:t> </w:t>
      </w:r>
      <w:r>
        <w:rPr>
          <w:sz w:val="20"/>
        </w:rPr>
        <w:t>in</w:t>
      </w:r>
      <w:r>
        <w:rPr>
          <w:spacing w:val="-7"/>
          <w:sz w:val="20"/>
        </w:rPr>
        <w:t> </w:t>
      </w:r>
      <w:r>
        <w:rPr>
          <w:sz w:val="20"/>
        </w:rPr>
        <w:t>place),</w:t>
      </w:r>
      <w:r>
        <w:rPr>
          <w:spacing w:val="-4"/>
          <w:sz w:val="20"/>
        </w:rPr>
        <w:t> </w:t>
      </w:r>
      <w:r>
        <w:rPr>
          <w:sz w:val="20"/>
        </w:rPr>
        <w:t>which means that the digital content available in such a market is limited. To have access to wider content available</w:t>
      </w:r>
      <w:r>
        <w:rPr>
          <w:spacing w:val="-8"/>
          <w:sz w:val="20"/>
        </w:rPr>
        <w:t> </w:t>
      </w:r>
      <w:r>
        <w:rPr>
          <w:sz w:val="20"/>
        </w:rPr>
        <w:t>in</w:t>
      </w:r>
      <w:r>
        <w:rPr>
          <w:spacing w:val="-7"/>
          <w:sz w:val="20"/>
        </w:rPr>
        <w:t> </w:t>
      </w:r>
      <w:r>
        <w:rPr>
          <w:sz w:val="20"/>
        </w:rPr>
        <w:t>other</w:t>
      </w:r>
      <w:r>
        <w:rPr>
          <w:spacing w:val="-6"/>
          <w:sz w:val="20"/>
        </w:rPr>
        <w:t> </w:t>
      </w:r>
      <w:r>
        <w:rPr>
          <w:sz w:val="20"/>
        </w:rPr>
        <w:t>markets,</w:t>
      </w:r>
      <w:r>
        <w:rPr>
          <w:spacing w:val="-9"/>
          <w:sz w:val="20"/>
        </w:rPr>
        <w:t> </w:t>
      </w:r>
      <w:r>
        <w:rPr>
          <w:sz w:val="20"/>
        </w:rPr>
        <w:t>users</w:t>
      </w:r>
      <w:r>
        <w:rPr>
          <w:spacing w:val="-7"/>
          <w:sz w:val="20"/>
        </w:rPr>
        <w:t> </w:t>
      </w:r>
      <w:r>
        <w:rPr>
          <w:sz w:val="20"/>
        </w:rPr>
        <w:t>might</w:t>
      </w:r>
      <w:r>
        <w:rPr>
          <w:spacing w:val="-6"/>
          <w:sz w:val="20"/>
        </w:rPr>
        <w:t> </w:t>
      </w:r>
      <w:r>
        <w:rPr>
          <w:sz w:val="20"/>
        </w:rPr>
        <w:t>be</w:t>
      </w:r>
      <w:r>
        <w:rPr>
          <w:spacing w:val="-6"/>
          <w:sz w:val="20"/>
        </w:rPr>
        <w:t> </w:t>
      </w:r>
      <w:r>
        <w:rPr>
          <w:sz w:val="20"/>
        </w:rPr>
        <w:t>willing</w:t>
      </w:r>
      <w:r>
        <w:rPr>
          <w:spacing w:val="-7"/>
          <w:sz w:val="20"/>
        </w:rPr>
        <w:t> </w:t>
      </w:r>
      <w:r>
        <w:rPr>
          <w:sz w:val="20"/>
        </w:rPr>
        <w:t>to</w:t>
      </w:r>
      <w:r>
        <w:rPr>
          <w:spacing w:val="-7"/>
          <w:sz w:val="20"/>
        </w:rPr>
        <w:t> </w:t>
      </w:r>
      <w:r>
        <w:rPr>
          <w:sz w:val="20"/>
        </w:rPr>
        <w:t>use</w:t>
      </w:r>
      <w:r>
        <w:rPr>
          <w:spacing w:val="-7"/>
          <w:sz w:val="20"/>
        </w:rPr>
        <w:t> </w:t>
      </w:r>
      <w:r>
        <w:rPr>
          <w:sz w:val="20"/>
        </w:rPr>
        <w:t>VPN</w:t>
      </w:r>
      <w:r>
        <w:rPr>
          <w:spacing w:val="-6"/>
          <w:sz w:val="20"/>
        </w:rPr>
        <w:t> </w:t>
      </w:r>
      <w:r>
        <w:rPr>
          <w:sz w:val="20"/>
        </w:rPr>
        <w:t>more</w:t>
      </w:r>
      <w:r>
        <w:rPr>
          <w:spacing w:val="-9"/>
          <w:sz w:val="20"/>
        </w:rPr>
        <w:t> </w:t>
      </w:r>
      <w:r>
        <w:rPr>
          <w:sz w:val="20"/>
        </w:rPr>
        <w:t>frequently.</w:t>
      </w:r>
      <w:r>
        <w:rPr>
          <w:spacing w:val="-6"/>
          <w:sz w:val="20"/>
        </w:rPr>
        <w:t> </w:t>
      </w:r>
      <w:r>
        <w:rPr>
          <w:sz w:val="20"/>
        </w:rPr>
        <w:t>Certain</w:t>
      </w:r>
      <w:r>
        <w:rPr>
          <w:spacing w:val="-5"/>
          <w:sz w:val="20"/>
        </w:rPr>
        <w:t> </w:t>
      </w:r>
      <w:r>
        <w:rPr>
          <w:sz w:val="20"/>
        </w:rPr>
        <w:t>ADS</w:t>
      </w:r>
      <w:r>
        <w:rPr>
          <w:spacing w:val="-7"/>
          <w:sz w:val="20"/>
        </w:rPr>
        <w:t> </w:t>
      </w:r>
      <w:r>
        <w:rPr>
          <w:sz w:val="20"/>
        </w:rPr>
        <w:t>providers</w:t>
      </w:r>
      <w:r>
        <w:rPr>
          <w:spacing w:val="-5"/>
          <w:sz w:val="20"/>
        </w:rPr>
        <w:t> </w:t>
      </w:r>
      <w:r>
        <w:rPr>
          <w:sz w:val="20"/>
        </w:rPr>
        <w:t>take specific steps to limit the access to their service via VPN. This involves testing the IP addresses of users accessing their service against information in databases listing known VPN addresses, and is more common for digital content services. However, it is not entirely accurate given that VPN addresses can change. In any case, attempting to break through a VPN is not technically feasible, and if it were so, it would contradict the purpose of the service provided, for example, where a commercial feature of cloud computing is to provide security of the computing</w:t>
      </w:r>
      <w:r>
        <w:rPr>
          <w:spacing w:val="-10"/>
          <w:sz w:val="20"/>
        </w:rPr>
        <w:t> </w:t>
      </w:r>
      <w:r>
        <w:rPr>
          <w:sz w:val="20"/>
        </w:rPr>
        <w:t>service.</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In</w:t>
      </w:r>
      <w:r>
        <w:rPr>
          <w:spacing w:val="-6"/>
          <w:sz w:val="20"/>
        </w:rPr>
        <w:t> </w:t>
      </w:r>
      <w:r>
        <w:rPr>
          <w:sz w:val="20"/>
        </w:rPr>
        <w:t>cases</w:t>
      </w:r>
      <w:r>
        <w:rPr>
          <w:spacing w:val="-2"/>
          <w:sz w:val="20"/>
        </w:rPr>
        <w:t> </w:t>
      </w:r>
      <w:r>
        <w:rPr>
          <w:sz w:val="20"/>
        </w:rPr>
        <w:t>where</w:t>
      </w:r>
      <w:r>
        <w:rPr>
          <w:spacing w:val="-4"/>
          <w:sz w:val="20"/>
        </w:rPr>
        <w:t> </w:t>
      </w:r>
      <w:r>
        <w:rPr>
          <w:sz w:val="20"/>
        </w:rPr>
        <w:t>an</w:t>
      </w:r>
      <w:r>
        <w:rPr>
          <w:spacing w:val="-2"/>
          <w:sz w:val="20"/>
        </w:rPr>
        <w:t> </w:t>
      </w:r>
      <w:r>
        <w:rPr>
          <w:sz w:val="20"/>
        </w:rPr>
        <w:t>MNE</w:t>
      </w:r>
      <w:r>
        <w:rPr>
          <w:spacing w:val="-4"/>
          <w:sz w:val="20"/>
        </w:rPr>
        <w:t> </w:t>
      </w:r>
      <w:r>
        <w:rPr>
          <w:sz w:val="20"/>
        </w:rPr>
        <w:t>has</w:t>
      </w:r>
      <w:r>
        <w:rPr>
          <w:spacing w:val="-4"/>
          <w:sz w:val="20"/>
        </w:rPr>
        <w:t> </w:t>
      </w:r>
      <w:r>
        <w:rPr>
          <w:sz w:val="20"/>
        </w:rPr>
        <w:t>the</w:t>
      </w:r>
      <w:r>
        <w:rPr>
          <w:spacing w:val="-4"/>
          <w:sz w:val="20"/>
        </w:rPr>
        <w:t> </w:t>
      </w:r>
      <w:r>
        <w:rPr>
          <w:sz w:val="20"/>
        </w:rPr>
        <w:t>ability</w:t>
      </w:r>
      <w:r>
        <w:rPr>
          <w:spacing w:val="-8"/>
          <w:sz w:val="20"/>
        </w:rPr>
        <w:t> </w:t>
      </w:r>
      <w:r>
        <w:rPr>
          <w:sz w:val="20"/>
        </w:rPr>
        <w:t>to</w:t>
      </w:r>
      <w:r>
        <w:rPr>
          <w:spacing w:val="-3"/>
          <w:sz w:val="20"/>
        </w:rPr>
        <w:t> </w:t>
      </w:r>
      <w:r>
        <w:rPr>
          <w:sz w:val="20"/>
        </w:rPr>
        <w:t>detect</w:t>
      </w:r>
      <w:r>
        <w:rPr>
          <w:spacing w:val="-3"/>
          <w:sz w:val="20"/>
        </w:rPr>
        <w:t> </w:t>
      </w:r>
      <w:r>
        <w:rPr>
          <w:sz w:val="20"/>
        </w:rPr>
        <w:t>VPN</w:t>
      </w:r>
      <w:r>
        <w:rPr>
          <w:spacing w:val="-2"/>
          <w:sz w:val="20"/>
        </w:rPr>
        <w:t> </w:t>
      </w:r>
      <w:r>
        <w:rPr>
          <w:sz w:val="20"/>
        </w:rPr>
        <w:t>usage</w:t>
      </w:r>
      <w:r>
        <w:rPr>
          <w:spacing w:val="-3"/>
          <w:sz w:val="20"/>
        </w:rPr>
        <w:t> </w:t>
      </w:r>
      <w:r>
        <w:rPr>
          <w:sz w:val="20"/>
        </w:rPr>
        <w:t>by</w:t>
      </w:r>
      <w:r>
        <w:rPr>
          <w:spacing w:val="-6"/>
          <w:sz w:val="20"/>
        </w:rPr>
        <w:t> </w:t>
      </w:r>
      <w:r>
        <w:rPr>
          <w:sz w:val="20"/>
        </w:rPr>
        <w:t>their</w:t>
      </w:r>
      <w:r>
        <w:rPr>
          <w:spacing w:val="-1"/>
          <w:sz w:val="20"/>
        </w:rPr>
        <w:t> </w:t>
      </w:r>
      <w:r>
        <w:rPr>
          <w:sz w:val="20"/>
        </w:rPr>
        <w:t>users,</w:t>
      </w:r>
      <w:r>
        <w:rPr>
          <w:spacing w:val="-3"/>
          <w:sz w:val="20"/>
        </w:rPr>
        <w:t> </w:t>
      </w:r>
      <w:r>
        <w:rPr>
          <w:sz w:val="20"/>
        </w:rPr>
        <w:t>it</w:t>
      </w:r>
      <w:r>
        <w:rPr>
          <w:spacing w:val="-5"/>
          <w:sz w:val="20"/>
        </w:rPr>
        <w:t> </w:t>
      </w:r>
      <w:r>
        <w:rPr>
          <w:sz w:val="20"/>
        </w:rPr>
        <w:t>may</w:t>
      </w:r>
      <w:r>
        <w:rPr>
          <w:spacing w:val="-6"/>
          <w:sz w:val="20"/>
        </w:rPr>
        <w:t> </w:t>
      </w:r>
      <w:r>
        <w:rPr>
          <w:sz w:val="20"/>
        </w:rPr>
        <w:t>still</w:t>
      </w:r>
      <w:r>
        <w:rPr>
          <w:spacing w:val="-3"/>
          <w:sz w:val="20"/>
        </w:rPr>
        <w:t> </w:t>
      </w:r>
      <w:r>
        <w:rPr>
          <w:sz w:val="20"/>
        </w:rPr>
        <w:t>be</w:t>
      </w:r>
      <w:r>
        <w:rPr>
          <w:spacing w:val="-3"/>
          <w:sz w:val="20"/>
        </w:rPr>
        <w:t> </w:t>
      </w:r>
      <w:r>
        <w:rPr>
          <w:sz w:val="20"/>
        </w:rPr>
        <w:t>possible for</w:t>
      </w:r>
      <w:r>
        <w:rPr>
          <w:spacing w:val="-6"/>
          <w:sz w:val="20"/>
        </w:rPr>
        <w:t> </w:t>
      </w:r>
      <w:r>
        <w:rPr>
          <w:sz w:val="20"/>
        </w:rPr>
        <w:t>it</w:t>
      </w:r>
      <w:r>
        <w:rPr>
          <w:spacing w:val="-5"/>
          <w:sz w:val="20"/>
        </w:rPr>
        <w:t> </w:t>
      </w:r>
      <w:r>
        <w:rPr>
          <w:sz w:val="20"/>
        </w:rPr>
        <w:t>to</w:t>
      </w:r>
      <w:r>
        <w:rPr>
          <w:spacing w:val="-8"/>
          <w:sz w:val="20"/>
        </w:rPr>
        <w:t> </w:t>
      </w:r>
      <w:r>
        <w:rPr>
          <w:sz w:val="20"/>
        </w:rPr>
        <w:t>make</w:t>
      </w:r>
      <w:r>
        <w:rPr>
          <w:spacing w:val="-7"/>
          <w:sz w:val="20"/>
        </w:rPr>
        <w:t> </w:t>
      </w:r>
      <w:r>
        <w:rPr>
          <w:sz w:val="20"/>
        </w:rPr>
        <w:t>an</w:t>
      </w:r>
      <w:r>
        <w:rPr>
          <w:spacing w:val="-6"/>
          <w:sz w:val="20"/>
        </w:rPr>
        <w:t> </w:t>
      </w:r>
      <w:r>
        <w:rPr>
          <w:sz w:val="20"/>
        </w:rPr>
        <w:t>assumption</w:t>
      </w:r>
      <w:r>
        <w:rPr>
          <w:spacing w:val="-6"/>
          <w:sz w:val="20"/>
        </w:rPr>
        <w:t> </w:t>
      </w:r>
      <w:r>
        <w:rPr>
          <w:sz w:val="20"/>
        </w:rPr>
        <w:t>of</w:t>
      </w:r>
      <w:r>
        <w:rPr>
          <w:spacing w:val="-5"/>
          <w:sz w:val="20"/>
        </w:rPr>
        <w:t> </w:t>
      </w:r>
      <w:r>
        <w:rPr>
          <w:sz w:val="20"/>
        </w:rPr>
        <w:t>the</w:t>
      </w:r>
      <w:r>
        <w:rPr>
          <w:spacing w:val="-6"/>
          <w:sz w:val="20"/>
        </w:rPr>
        <w:t> </w:t>
      </w:r>
      <w:r>
        <w:rPr>
          <w:sz w:val="20"/>
        </w:rPr>
        <w:t>user’s</w:t>
      </w:r>
      <w:r>
        <w:rPr>
          <w:spacing w:val="-5"/>
          <w:sz w:val="20"/>
        </w:rPr>
        <w:t> </w:t>
      </w:r>
      <w:r>
        <w:rPr>
          <w:sz w:val="20"/>
        </w:rPr>
        <w:t>location</w:t>
      </w:r>
      <w:r>
        <w:rPr>
          <w:spacing w:val="-5"/>
          <w:sz w:val="20"/>
        </w:rPr>
        <w:t> </w:t>
      </w:r>
      <w:r>
        <w:rPr>
          <w:sz w:val="20"/>
        </w:rPr>
        <w:t>based</w:t>
      </w:r>
      <w:r>
        <w:rPr>
          <w:spacing w:val="-6"/>
          <w:sz w:val="20"/>
        </w:rPr>
        <w:t> </w:t>
      </w:r>
      <w:r>
        <w:rPr>
          <w:sz w:val="20"/>
        </w:rPr>
        <w:t>on</w:t>
      </w:r>
      <w:r>
        <w:rPr>
          <w:spacing w:val="-6"/>
          <w:sz w:val="20"/>
        </w:rPr>
        <w:t> </w:t>
      </w:r>
      <w:r>
        <w:rPr>
          <w:sz w:val="20"/>
        </w:rPr>
        <w:t>historical</w:t>
      </w:r>
      <w:r>
        <w:rPr>
          <w:spacing w:val="-6"/>
          <w:sz w:val="20"/>
        </w:rPr>
        <w:t> </w:t>
      </w:r>
      <w:r>
        <w:rPr>
          <w:sz w:val="20"/>
        </w:rPr>
        <w:t>IP</w:t>
      </w:r>
      <w:r>
        <w:rPr>
          <w:spacing w:val="-7"/>
          <w:sz w:val="20"/>
        </w:rPr>
        <w:t> </w:t>
      </w:r>
      <w:r>
        <w:rPr>
          <w:sz w:val="20"/>
        </w:rPr>
        <w:t>address</w:t>
      </w:r>
      <w:r>
        <w:rPr>
          <w:spacing w:val="-4"/>
          <w:sz w:val="20"/>
        </w:rPr>
        <w:t> </w:t>
      </w:r>
      <w:r>
        <w:rPr>
          <w:sz w:val="20"/>
        </w:rPr>
        <w:t>data.</w:t>
      </w:r>
      <w:r>
        <w:rPr>
          <w:spacing w:val="-6"/>
          <w:sz w:val="20"/>
        </w:rPr>
        <w:t> </w:t>
      </w:r>
      <w:r>
        <w:rPr>
          <w:sz w:val="20"/>
        </w:rPr>
        <w:t>Users</w:t>
      </w:r>
      <w:r>
        <w:rPr>
          <w:spacing w:val="-5"/>
          <w:sz w:val="20"/>
        </w:rPr>
        <w:t> </w:t>
      </w:r>
      <w:r>
        <w:rPr>
          <w:sz w:val="20"/>
        </w:rPr>
        <w:t>may</w:t>
      </w:r>
      <w:r>
        <w:rPr>
          <w:spacing w:val="-11"/>
          <w:sz w:val="20"/>
        </w:rPr>
        <w:t> </w:t>
      </w:r>
      <w:r>
        <w:rPr>
          <w:sz w:val="20"/>
        </w:rPr>
        <w:t>not</w:t>
      </w:r>
      <w:r>
        <w:rPr>
          <w:spacing w:val="-5"/>
          <w:sz w:val="20"/>
        </w:rPr>
        <w:t> </w:t>
      </w:r>
      <w:r>
        <w:rPr>
          <w:sz w:val="20"/>
        </w:rPr>
        <w:t>use a</w:t>
      </w:r>
      <w:r>
        <w:rPr>
          <w:spacing w:val="-4"/>
          <w:sz w:val="20"/>
        </w:rPr>
        <w:t> </w:t>
      </w:r>
      <w:r>
        <w:rPr>
          <w:sz w:val="20"/>
        </w:rPr>
        <w:t>VPN</w:t>
      </w:r>
      <w:r>
        <w:rPr>
          <w:spacing w:val="-2"/>
          <w:sz w:val="20"/>
        </w:rPr>
        <w:t> </w:t>
      </w:r>
      <w:r>
        <w:rPr>
          <w:sz w:val="20"/>
        </w:rPr>
        <w:t>all</w:t>
      </w:r>
      <w:r>
        <w:rPr>
          <w:spacing w:val="-5"/>
          <w:sz w:val="20"/>
        </w:rPr>
        <w:t> </w:t>
      </w:r>
      <w:r>
        <w:rPr>
          <w:sz w:val="20"/>
        </w:rPr>
        <w:t>the</w:t>
      </w:r>
      <w:r>
        <w:rPr>
          <w:spacing w:val="-3"/>
          <w:sz w:val="20"/>
        </w:rPr>
        <w:t> </w:t>
      </w:r>
      <w:r>
        <w:rPr>
          <w:sz w:val="20"/>
        </w:rPr>
        <w:t>time</w:t>
      </w:r>
      <w:r>
        <w:rPr>
          <w:spacing w:val="-4"/>
          <w:sz w:val="20"/>
        </w:rPr>
        <w:t> </w:t>
      </w:r>
      <w:r>
        <w:rPr>
          <w:sz w:val="20"/>
        </w:rPr>
        <w:t>when</w:t>
      </w:r>
      <w:r>
        <w:rPr>
          <w:spacing w:val="-2"/>
          <w:sz w:val="20"/>
        </w:rPr>
        <w:t> </w:t>
      </w:r>
      <w:r>
        <w:rPr>
          <w:sz w:val="20"/>
        </w:rPr>
        <w:t>accessing</w:t>
      </w:r>
      <w:r>
        <w:rPr>
          <w:spacing w:val="-4"/>
          <w:sz w:val="20"/>
        </w:rPr>
        <w:t> </w:t>
      </w:r>
      <w:r>
        <w:rPr>
          <w:sz w:val="20"/>
        </w:rPr>
        <w:t>a</w:t>
      </w:r>
      <w:r>
        <w:rPr>
          <w:spacing w:val="-5"/>
          <w:sz w:val="20"/>
        </w:rPr>
        <w:t> </w:t>
      </w:r>
      <w:r>
        <w:rPr>
          <w:sz w:val="20"/>
        </w:rPr>
        <w:t>platform.</w:t>
      </w:r>
      <w:r>
        <w:rPr>
          <w:spacing w:val="-8"/>
          <w:sz w:val="20"/>
        </w:rPr>
        <w:t> </w:t>
      </w:r>
      <w:r>
        <w:rPr>
          <w:sz w:val="20"/>
        </w:rPr>
        <w:t>This</w:t>
      </w:r>
      <w:r>
        <w:rPr>
          <w:spacing w:val="-3"/>
          <w:sz w:val="20"/>
        </w:rPr>
        <w:t> </w:t>
      </w:r>
      <w:r>
        <w:rPr>
          <w:sz w:val="20"/>
        </w:rPr>
        <w:t>is</w:t>
      </w:r>
      <w:r>
        <w:rPr>
          <w:spacing w:val="-3"/>
          <w:sz w:val="20"/>
        </w:rPr>
        <w:t> </w:t>
      </w:r>
      <w:r>
        <w:rPr>
          <w:sz w:val="20"/>
        </w:rPr>
        <w:t>most</w:t>
      </w:r>
      <w:r>
        <w:rPr>
          <w:spacing w:val="-4"/>
          <w:sz w:val="20"/>
        </w:rPr>
        <w:t> </w:t>
      </w:r>
      <w:r>
        <w:rPr>
          <w:sz w:val="20"/>
        </w:rPr>
        <w:t>likely</w:t>
      </w:r>
      <w:r>
        <w:rPr>
          <w:spacing w:val="-7"/>
          <w:sz w:val="20"/>
        </w:rPr>
        <w:t> </w:t>
      </w:r>
      <w:r>
        <w:rPr>
          <w:sz w:val="20"/>
        </w:rPr>
        <w:t>due</w:t>
      </w:r>
      <w:r>
        <w:rPr>
          <w:spacing w:val="-4"/>
          <w:sz w:val="20"/>
        </w:rPr>
        <w:t> </w:t>
      </w:r>
      <w:r>
        <w:rPr>
          <w:sz w:val="20"/>
        </w:rPr>
        <w:t>to</w:t>
      </w:r>
      <w:r>
        <w:rPr>
          <w:spacing w:val="-4"/>
          <w:sz w:val="20"/>
        </w:rPr>
        <w:t> </w:t>
      </w:r>
      <w:r>
        <w:rPr>
          <w:sz w:val="20"/>
        </w:rPr>
        <w:t>the</w:t>
      </w:r>
      <w:r>
        <w:rPr>
          <w:spacing w:val="-4"/>
          <w:sz w:val="20"/>
        </w:rPr>
        <w:t> </w:t>
      </w:r>
      <w:r>
        <w:rPr>
          <w:sz w:val="20"/>
        </w:rPr>
        <w:t>disadvantages</w:t>
      </w:r>
      <w:r>
        <w:rPr>
          <w:spacing w:val="-3"/>
          <w:sz w:val="20"/>
        </w:rPr>
        <w:t> </w:t>
      </w:r>
      <w:r>
        <w:rPr>
          <w:sz w:val="20"/>
        </w:rPr>
        <w:t>of</w:t>
      </w:r>
      <w:r>
        <w:rPr>
          <w:spacing w:val="-2"/>
          <w:sz w:val="20"/>
        </w:rPr>
        <w:t> </w:t>
      </w:r>
      <w:r>
        <w:rPr>
          <w:sz w:val="20"/>
        </w:rPr>
        <w:t>VPNs,</w:t>
      </w:r>
      <w:r>
        <w:rPr>
          <w:spacing w:val="-3"/>
          <w:sz w:val="20"/>
        </w:rPr>
        <w:t> </w:t>
      </w:r>
      <w:r>
        <w:rPr>
          <w:sz w:val="20"/>
        </w:rPr>
        <w:t>such</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8"/>
        <w:jc w:val="both"/>
      </w:pPr>
      <w:r>
        <w:rPr/>
        <w:t>as</w:t>
      </w:r>
      <w:r>
        <w:rPr>
          <w:spacing w:val="-7"/>
        </w:rPr>
        <w:t> </w:t>
      </w:r>
      <w:r>
        <w:rPr/>
        <w:t>slower</w:t>
      </w:r>
      <w:r>
        <w:rPr>
          <w:spacing w:val="-7"/>
        </w:rPr>
        <w:t> </w:t>
      </w:r>
      <w:r>
        <w:rPr/>
        <w:t>connection</w:t>
      </w:r>
      <w:r>
        <w:rPr>
          <w:spacing w:val="-7"/>
        </w:rPr>
        <w:t> </w:t>
      </w:r>
      <w:r>
        <w:rPr/>
        <w:t>speed.</w:t>
      </w:r>
      <w:r>
        <w:rPr>
          <w:spacing w:val="-8"/>
        </w:rPr>
        <w:t> </w:t>
      </w:r>
      <w:r>
        <w:rPr/>
        <w:t>If</w:t>
      </w:r>
      <w:r>
        <w:rPr>
          <w:spacing w:val="-6"/>
        </w:rPr>
        <w:t> </w:t>
      </w:r>
      <w:r>
        <w:rPr/>
        <w:t>the</w:t>
      </w:r>
      <w:r>
        <w:rPr>
          <w:spacing w:val="-6"/>
        </w:rPr>
        <w:t> </w:t>
      </w:r>
      <w:r>
        <w:rPr/>
        <w:t>MNE</w:t>
      </w:r>
      <w:r>
        <w:rPr>
          <w:spacing w:val="-5"/>
        </w:rPr>
        <w:t> </w:t>
      </w:r>
      <w:r>
        <w:rPr/>
        <w:t>logs</w:t>
      </w:r>
      <w:r>
        <w:rPr>
          <w:spacing w:val="-7"/>
        </w:rPr>
        <w:t> </w:t>
      </w:r>
      <w:r>
        <w:rPr/>
        <w:t>IP</w:t>
      </w:r>
      <w:r>
        <w:rPr>
          <w:spacing w:val="-8"/>
        </w:rPr>
        <w:t> </w:t>
      </w:r>
      <w:r>
        <w:rPr/>
        <w:t>address</w:t>
      </w:r>
      <w:r>
        <w:rPr>
          <w:spacing w:val="-6"/>
        </w:rPr>
        <w:t> </w:t>
      </w:r>
      <w:r>
        <w:rPr/>
        <w:t>data</w:t>
      </w:r>
      <w:r>
        <w:rPr>
          <w:spacing w:val="-8"/>
        </w:rPr>
        <w:t> </w:t>
      </w:r>
      <w:r>
        <w:rPr/>
        <w:t>for</w:t>
      </w:r>
      <w:r>
        <w:rPr>
          <w:spacing w:val="-7"/>
        </w:rPr>
        <w:t> </w:t>
      </w:r>
      <w:r>
        <w:rPr/>
        <w:t>each</w:t>
      </w:r>
      <w:r>
        <w:rPr>
          <w:spacing w:val="-7"/>
        </w:rPr>
        <w:t> </w:t>
      </w:r>
      <w:r>
        <w:rPr/>
        <w:t>connection</w:t>
      </w:r>
      <w:r>
        <w:rPr>
          <w:spacing w:val="-6"/>
        </w:rPr>
        <w:t> </w:t>
      </w:r>
      <w:r>
        <w:rPr/>
        <w:t>a</w:t>
      </w:r>
      <w:r>
        <w:rPr>
          <w:spacing w:val="-8"/>
        </w:rPr>
        <w:t> </w:t>
      </w:r>
      <w:r>
        <w:rPr/>
        <w:t>user</w:t>
      </w:r>
      <w:r>
        <w:rPr>
          <w:spacing w:val="-6"/>
        </w:rPr>
        <w:t> </w:t>
      </w:r>
      <w:r>
        <w:rPr/>
        <w:t>makes,</w:t>
      </w:r>
      <w:r>
        <w:rPr>
          <w:spacing w:val="-8"/>
        </w:rPr>
        <w:t> </w:t>
      </w:r>
      <w:r>
        <w:rPr/>
        <w:t>it</w:t>
      </w:r>
      <w:r>
        <w:rPr>
          <w:spacing w:val="-9"/>
        </w:rPr>
        <w:t> </w:t>
      </w:r>
      <w:r>
        <w:rPr/>
        <w:t>may</w:t>
      </w:r>
      <w:r>
        <w:rPr>
          <w:spacing w:val="-11"/>
        </w:rPr>
        <w:t> </w:t>
      </w:r>
      <w:r>
        <w:rPr/>
        <w:t>be possible</w:t>
      </w:r>
      <w:r>
        <w:rPr>
          <w:spacing w:val="-4"/>
        </w:rPr>
        <w:t> </w:t>
      </w:r>
      <w:r>
        <w:rPr/>
        <w:t>for</w:t>
      </w:r>
      <w:r>
        <w:rPr>
          <w:spacing w:val="-4"/>
        </w:rPr>
        <w:t> </w:t>
      </w:r>
      <w:r>
        <w:rPr/>
        <w:t>the</w:t>
      </w:r>
      <w:r>
        <w:rPr>
          <w:spacing w:val="-4"/>
        </w:rPr>
        <w:t> </w:t>
      </w:r>
      <w:r>
        <w:rPr/>
        <w:t>MNE</w:t>
      </w:r>
      <w:r>
        <w:rPr>
          <w:spacing w:val="-4"/>
        </w:rPr>
        <w:t> </w:t>
      </w:r>
      <w:r>
        <w:rPr/>
        <w:t>to</w:t>
      </w:r>
      <w:r>
        <w:rPr>
          <w:spacing w:val="-4"/>
        </w:rPr>
        <w:t> </w:t>
      </w:r>
      <w:r>
        <w:rPr/>
        <w:t>make</w:t>
      </w:r>
      <w:r>
        <w:rPr>
          <w:spacing w:val="-4"/>
        </w:rPr>
        <w:t> </w:t>
      </w:r>
      <w:r>
        <w:rPr/>
        <w:t>a</w:t>
      </w:r>
      <w:r>
        <w:rPr>
          <w:spacing w:val="-5"/>
        </w:rPr>
        <w:t> </w:t>
      </w:r>
      <w:r>
        <w:rPr/>
        <w:t>reasonable</w:t>
      </w:r>
      <w:r>
        <w:rPr>
          <w:spacing w:val="-4"/>
        </w:rPr>
        <w:t> </w:t>
      </w:r>
      <w:r>
        <w:rPr/>
        <w:t>assumption</w:t>
      </w:r>
      <w:r>
        <w:rPr>
          <w:spacing w:val="-3"/>
        </w:rPr>
        <w:t> </w:t>
      </w:r>
      <w:r>
        <w:rPr/>
        <w:t>as</w:t>
      </w:r>
      <w:r>
        <w:rPr>
          <w:spacing w:val="-3"/>
        </w:rPr>
        <w:t> </w:t>
      </w:r>
      <w:r>
        <w:rPr/>
        <w:t>to</w:t>
      </w:r>
      <w:r>
        <w:rPr>
          <w:spacing w:val="-4"/>
        </w:rPr>
        <w:t> </w:t>
      </w:r>
      <w:r>
        <w:rPr/>
        <w:t>the</w:t>
      </w:r>
      <w:r>
        <w:rPr>
          <w:spacing w:val="-4"/>
        </w:rPr>
        <w:t> </w:t>
      </w:r>
      <w:r>
        <w:rPr/>
        <w:t>ordinary</w:t>
      </w:r>
      <w:r>
        <w:rPr>
          <w:spacing w:val="-9"/>
        </w:rPr>
        <w:t> </w:t>
      </w:r>
      <w:r>
        <w:rPr/>
        <w:t>residence</w:t>
      </w:r>
      <w:r>
        <w:rPr>
          <w:spacing w:val="-4"/>
        </w:rPr>
        <w:t> </w:t>
      </w:r>
      <w:r>
        <w:rPr/>
        <w:t>of</w:t>
      </w:r>
      <w:r>
        <w:rPr>
          <w:spacing w:val="-2"/>
        </w:rPr>
        <w:t> </w:t>
      </w:r>
      <w:r>
        <w:rPr/>
        <w:t>the</w:t>
      </w:r>
      <w:r>
        <w:rPr>
          <w:spacing w:val="-3"/>
        </w:rPr>
        <w:t> </w:t>
      </w:r>
      <w:r>
        <w:rPr/>
        <w:t>user,</w:t>
      </w:r>
      <w:r>
        <w:rPr>
          <w:spacing w:val="-4"/>
        </w:rPr>
        <w:t> </w:t>
      </w:r>
      <w:r>
        <w:rPr/>
        <w:t>provided the user does not connect to the platform using a VPN at all</w:t>
      </w:r>
      <w:r>
        <w:rPr>
          <w:spacing w:val="-9"/>
        </w:rPr>
        <w:t> </w:t>
      </w:r>
      <w:r>
        <w:rPr/>
        <w:t>times.</w:t>
      </w:r>
    </w:p>
    <w:p>
      <w:pPr>
        <w:pStyle w:val="ListParagraph"/>
        <w:numPr>
          <w:ilvl w:val="0"/>
          <w:numId w:val="13"/>
        </w:numPr>
        <w:tabs>
          <w:tab w:pos="1444" w:val="left" w:leader="none"/>
        </w:tabs>
        <w:spacing w:line="271" w:lineRule="auto" w:before="120" w:after="0"/>
        <w:ind w:left="723" w:right="492" w:firstLine="0"/>
        <w:jc w:val="both"/>
        <w:rPr>
          <w:sz w:val="20"/>
        </w:rPr>
      </w:pPr>
      <w:r>
        <w:rPr>
          <w:sz w:val="20"/>
        </w:rPr>
        <w:t>To balance the interest in accuracy with the recognition of the limit to which MNEs can address this issue reliably and efficiently, the revenue sourcing rules use a hierarchy of indicators that decrease the dependence of sourcing rules on IP address as an indicator of the location of the</w:t>
      </w:r>
      <w:r>
        <w:rPr>
          <w:spacing w:val="-20"/>
          <w:sz w:val="20"/>
        </w:rPr>
        <w:t> </w:t>
      </w:r>
      <w:r>
        <w:rPr>
          <w:sz w:val="20"/>
        </w:rPr>
        <w:t>user.</w:t>
      </w:r>
    </w:p>
    <w:p>
      <w:pPr>
        <w:pStyle w:val="ListParagraph"/>
        <w:numPr>
          <w:ilvl w:val="0"/>
          <w:numId w:val="13"/>
        </w:numPr>
        <w:tabs>
          <w:tab w:pos="1444" w:val="left" w:leader="none"/>
        </w:tabs>
        <w:spacing w:line="268" w:lineRule="auto" w:before="121" w:after="0"/>
        <w:ind w:left="723" w:right="486" w:firstLine="0"/>
        <w:jc w:val="both"/>
        <w:rPr>
          <w:sz w:val="20"/>
        </w:rPr>
      </w:pPr>
      <w:r>
        <w:rPr>
          <w:sz w:val="20"/>
        </w:rPr>
        <w:t>In</w:t>
      </w:r>
      <w:r>
        <w:rPr>
          <w:spacing w:val="-19"/>
          <w:sz w:val="20"/>
        </w:rPr>
        <w:t> </w:t>
      </w:r>
      <w:r>
        <w:rPr>
          <w:sz w:val="20"/>
        </w:rPr>
        <w:t>many</w:t>
      </w:r>
      <w:r>
        <w:rPr>
          <w:spacing w:val="-21"/>
          <w:sz w:val="20"/>
        </w:rPr>
        <w:t> </w:t>
      </w:r>
      <w:r>
        <w:rPr>
          <w:sz w:val="20"/>
        </w:rPr>
        <w:t>cases,</w:t>
      </w:r>
      <w:r>
        <w:rPr>
          <w:spacing w:val="-18"/>
          <w:sz w:val="20"/>
        </w:rPr>
        <w:t> </w:t>
      </w:r>
      <w:r>
        <w:rPr>
          <w:sz w:val="20"/>
        </w:rPr>
        <w:t>the</w:t>
      </w:r>
      <w:r>
        <w:rPr>
          <w:spacing w:val="-18"/>
          <w:sz w:val="20"/>
        </w:rPr>
        <w:t> </w:t>
      </w:r>
      <w:r>
        <w:rPr>
          <w:sz w:val="20"/>
        </w:rPr>
        <w:t>commercial</w:t>
      </w:r>
      <w:r>
        <w:rPr>
          <w:spacing w:val="-17"/>
          <w:sz w:val="20"/>
        </w:rPr>
        <w:t> </w:t>
      </w:r>
      <w:r>
        <w:rPr>
          <w:sz w:val="20"/>
        </w:rPr>
        <w:t>interest</w:t>
      </w:r>
      <w:r>
        <w:rPr>
          <w:spacing w:val="-15"/>
          <w:sz w:val="20"/>
        </w:rPr>
        <w:t> </w:t>
      </w:r>
      <w:r>
        <w:rPr>
          <w:sz w:val="20"/>
        </w:rPr>
        <w:t>of</w:t>
      </w:r>
      <w:r>
        <w:rPr>
          <w:spacing w:val="-17"/>
          <w:sz w:val="20"/>
        </w:rPr>
        <w:t> </w:t>
      </w:r>
      <w:r>
        <w:rPr>
          <w:sz w:val="20"/>
        </w:rPr>
        <w:t>the</w:t>
      </w:r>
      <w:r>
        <w:rPr>
          <w:spacing w:val="-16"/>
          <w:sz w:val="20"/>
        </w:rPr>
        <w:t> </w:t>
      </w:r>
      <w:r>
        <w:rPr>
          <w:sz w:val="20"/>
        </w:rPr>
        <w:t>MNE</w:t>
      </w:r>
      <w:r>
        <w:rPr>
          <w:spacing w:val="-16"/>
          <w:sz w:val="20"/>
        </w:rPr>
        <w:t> </w:t>
      </w:r>
      <w:r>
        <w:rPr>
          <w:sz w:val="20"/>
        </w:rPr>
        <w:t>is</w:t>
      </w:r>
      <w:r>
        <w:rPr>
          <w:spacing w:val="-15"/>
          <w:sz w:val="20"/>
        </w:rPr>
        <w:t> </w:t>
      </w:r>
      <w:r>
        <w:rPr>
          <w:sz w:val="20"/>
        </w:rPr>
        <w:t>to</w:t>
      </w:r>
      <w:r>
        <w:rPr>
          <w:spacing w:val="-14"/>
          <w:sz w:val="20"/>
        </w:rPr>
        <w:t> </w:t>
      </w:r>
      <w:r>
        <w:rPr>
          <w:sz w:val="20"/>
        </w:rPr>
        <w:t>have</w:t>
      </w:r>
      <w:r>
        <w:rPr>
          <w:spacing w:val="-15"/>
          <w:sz w:val="20"/>
        </w:rPr>
        <w:t> </w:t>
      </w:r>
      <w:r>
        <w:rPr>
          <w:sz w:val="20"/>
        </w:rPr>
        <w:t>a</w:t>
      </w:r>
      <w:r>
        <w:rPr>
          <w:spacing w:val="-16"/>
          <w:sz w:val="20"/>
        </w:rPr>
        <w:t> </w:t>
      </w:r>
      <w:r>
        <w:rPr>
          <w:sz w:val="20"/>
        </w:rPr>
        <w:t>high</w:t>
      </w:r>
      <w:r>
        <w:rPr>
          <w:spacing w:val="-15"/>
          <w:sz w:val="20"/>
        </w:rPr>
        <w:t> </w:t>
      </w:r>
      <w:r>
        <w:rPr>
          <w:sz w:val="20"/>
        </w:rPr>
        <w:t>degree</w:t>
      </w:r>
      <w:r>
        <w:rPr>
          <w:spacing w:val="-16"/>
          <w:sz w:val="20"/>
        </w:rPr>
        <w:t> </w:t>
      </w:r>
      <w:r>
        <w:rPr>
          <w:sz w:val="20"/>
        </w:rPr>
        <w:t>of</w:t>
      </w:r>
      <w:r>
        <w:rPr>
          <w:spacing w:val="-17"/>
          <w:sz w:val="20"/>
        </w:rPr>
        <w:t> </w:t>
      </w:r>
      <w:r>
        <w:rPr>
          <w:sz w:val="20"/>
        </w:rPr>
        <w:t>accurate</w:t>
      </w:r>
      <w:r>
        <w:rPr>
          <w:spacing w:val="-15"/>
          <w:sz w:val="20"/>
        </w:rPr>
        <w:t> </w:t>
      </w:r>
      <w:r>
        <w:rPr>
          <w:sz w:val="20"/>
        </w:rPr>
        <w:t>information about the user, for example, in order to be able to charge their customers a premium for serving the advertisements precisely to the intended audience. These MNEs should, as part of their business, be relying on more sophisticated information than the IP address, such as a range of user profile details or geolocation</w:t>
      </w:r>
      <w:r>
        <w:rPr>
          <w:spacing w:val="-5"/>
          <w:sz w:val="20"/>
        </w:rPr>
        <w:t> </w:t>
      </w:r>
      <w:r>
        <w:rPr>
          <w:sz w:val="20"/>
        </w:rPr>
        <w:t>information</w:t>
      </w:r>
      <w:r>
        <w:rPr>
          <w:spacing w:val="-6"/>
          <w:sz w:val="20"/>
        </w:rPr>
        <w:t> </w:t>
      </w:r>
      <w:r>
        <w:rPr>
          <w:sz w:val="20"/>
        </w:rPr>
        <w:t>and</w:t>
      </w:r>
      <w:r>
        <w:rPr>
          <w:spacing w:val="-3"/>
          <w:sz w:val="20"/>
        </w:rPr>
        <w:t> </w:t>
      </w:r>
      <w:r>
        <w:rPr>
          <w:sz w:val="20"/>
        </w:rPr>
        <w:t>would</w:t>
      </w:r>
      <w:r>
        <w:rPr>
          <w:spacing w:val="-5"/>
          <w:sz w:val="20"/>
        </w:rPr>
        <w:t> </w:t>
      </w:r>
      <w:r>
        <w:rPr>
          <w:sz w:val="20"/>
        </w:rPr>
        <w:t>be</w:t>
      </w:r>
      <w:r>
        <w:rPr>
          <w:spacing w:val="-4"/>
          <w:sz w:val="20"/>
        </w:rPr>
        <w:t> </w:t>
      </w:r>
      <w:r>
        <w:rPr>
          <w:sz w:val="20"/>
        </w:rPr>
        <w:t>expected</w:t>
      </w:r>
      <w:r>
        <w:rPr>
          <w:spacing w:val="-5"/>
          <w:sz w:val="20"/>
        </w:rPr>
        <w:t> </w:t>
      </w:r>
      <w:r>
        <w:rPr>
          <w:sz w:val="20"/>
        </w:rPr>
        <w:t>to</w:t>
      </w:r>
      <w:r>
        <w:rPr>
          <w:spacing w:val="-5"/>
          <w:sz w:val="20"/>
        </w:rPr>
        <w:t> </w:t>
      </w:r>
      <w:r>
        <w:rPr>
          <w:sz w:val="20"/>
        </w:rPr>
        <w:t>take</w:t>
      </w:r>
      <w:r>
        <w:rPr>
          <w:spacing w:val="-5"/>
          <w:sz w:val="20"/>
        </w:rPr>
        <w:t> </w:t>
      </w:r>
      <w:r>
        <w:rPr>
          <w:sz w:val="20"/>
        </w:rPr>
        <w:t>reasonable</w:t>
      </w:r>
      <w:r>
        <w:rPr>
          <w:spacing w:val="-5"/>
          <w:sz w:val="20"/>
        </w:rPr>
        <w:t> </w:t>
      </w:r>
      <w:r>
        <w:rPr>
          <w:sz w:val="20"/>
        </w:rPr>
        <w:t>steps</w:t>
      </w:r>
      <w:r>
        <w:rPr>
          <w:spacing w:val="-5"/>
          <w:sz w:val="20"/>
        </w:rPr>
        <w:t> </w:t>
      </w:r>
      <w:r>
        <w:rPr>
          <w:sz w:val="20"/>
        </w:rPr>
        <w:t>to</w:t>
      </w:r>
      <w:r>
        <w:rPr>
          <w:spacing w:val="-5"/>
          <w:sz w:val="20"/>
        </w:rPr>
        <w:t> </w:t>
      </w:r>
      <w:r>
        <w:rPr>
          <w:sz w:val="20"/>
        </w:rPr>
        <w:t>obtain</w:t>
      </w:r>
      <w:r>
        <w:rPr>
          <w:spacing w:val="1"/>
          <w:sz w:val="20"/>
        </w:rPr>
        <w:t> </w:t>
      </w:r>
      <w:r>
        <w:rPr>
          <w:sz w:val="20"/>
        </w:rPr>
        <w:t>this</w:t>
      </w:r>
      <w:r>
        <w:rPr>
          <w:spacing w:val="-4"/>
          <w:sz w:val="20"/>
        </w:rPr>
        <w:t> </w:t>
      </w:r>
      <w:r>
        <w:rPr>
          <w:sz w:val="20"/>
        </w:rPr>
        <w:t>information</w:t>
      </w:r>
      <w:r>
        <w:rPr>
          <w:spacing w:val="-6"/>
          <w:sz w:val="20"/>
        </w:rPr>
        <w:t> </w:t>
      </w:r>
      <w:r>
        <w:rPr>
          <w:sz w:val="20"/>
        </w:rPr>
        <w:t>(as</w:t>
      </w:r>
      <w:r>
        <w:rPr>
          <w:spacing w:val="-4"/>
          <w:sz w:val="20"/>
        </w:rPr>
        <w:t> </w:t>
      </w:r>
      <w:r>
        <w:rPr>
          <w:sz w:val="20"/>
        </w:rPr>
        <w:t>set out in the hierarchy relevant to the type of</w:t>
      </w:r>
      <w:r>
        <w:rPr>
          <w:spacing w:val="-7"/>
          <w:sz w:val="20"/>
        </w:rPr>
        <w:t> </w:t>
      </w:r>
      <w:r>
        <w:rPr>
          <w:sz w:val="20"/>
        </w:rPr>
        <w:t>service).</w:t>
      </w:r>
      <w:r>
        <w:rPr>
          <w:sz w:val="20"/>
          <w:vertAlign w:val="superscript"/>
        </w:rPr>
        <w:t>53</w:t>
      </w:r>
    </w:p>
    <w:p>
      <w:pPr>
        <w:pStyle w:val="BodyText"/>
        <w:spacing w:before="6"/>
        <w:rPr>
          <w:sz w:val="21"/>
        </w:rPr>
      </w:pPr>
    </w:p>
    <w:p>
      <w:pPr>
        <w:pStyle w:val="Heading8"/>
      </w:pPr>
      <w:bookmarkStart w:name="User profile information" w:id="164"/>
      <w:bookmarkEnd w:id="164"/>
      <w:r>
        <w:rPr>
          <w:b w:val="0"/>
        </w:rPr>
      </w:r>
      <w:r>
        <w:rPr/>
        <w:t>User profile information</w:t>
      </w:r>
    </w:p>
    <w:p>
      <w:pPr>
        <w:pStyle w:val="BodyText"/>
        <w:spacing w:before="9"/>
        <w:rPr>
          <w:b/>
          <w:sz w:val="18"/>
        </w:rPr>
      </w:pPr>
    </w:p>
    <w:p>
      <w:pPr>
        <w:pStyle w:val="ListParagraph"/>
        <w:numPr>
          <w:ilvl w:val="0"/>
          <w:numId w:val="13"/>
        </w:numPr>
        <w:tabs>
          <w:tab w:pos="1444" w:val="left" w:leader="none"/>
        </w:tabs>
        <w:spacing w:line="271" w:lineRule="auto" w:before="1" w:after="0"/>
        <w:ind w:left="723" w:right="485" w:firstLine="0"/>
        <w:jc w:val="both"/>
        <w:rPr>
          <w:sz w:val="20"/>
        </w:rPr>
      </w:pPr>
      <w:r>
        <w:rPr>
          <w:sz w:val="20"/>
        </w:rPr>
        <w:t>MNEs</w:t>
      </w:r>
      <w:r>
        <w:rPr>
          <w:spacing w:val="-13"/>
          <w:sz w:val="20"/>
        </w:rPr>
        <w:t> </w:t>
      </w:r>
      <w:r>
        <w:rPr>
          <w:sz w:val="20"/>
        </w:rPr>
        <w:t>that</w:t>
      </w:r>
      <w:r>
        <w:rPr>
          <w:spacing w:val="-11"/>
          <w:sz w:val="20"/>
        </w:rPr>
        <w:t> </w:t>
      </w:r>
      <w:r>
        <w:rPr>
          <w:sz w:val="20"/>
        </w:rPr>
        <w:t>derive</w:t>
      </w:r>
      <w:r>
        <w:rPr>
          <w:spacing w:val="-14"/>
          <w:sz w:val="20"/>
        </w:rPr>
        <w:t> </w:t>
      </w:r>
      <w:r>
        <w:rPr>
          <w:sz w:val="20"/>
        </w:rPr>
        <w:t>their</w:t>
      </w:r>
      <w:r>
        <w:rPr>
          <w:spacing w:val="-13"/>
          <w:sz w:val="20"/>
        </w:rPr>
        <w:t> </w:t>
      </w:r>
      <w:r>
        <w:rPr>
          <w:sz w:val="20"/>
        </w:rPr>
        <w:t>revenue</w:t>
      </w:r>
      <w:r>
        <w:rPr>
          <w:spacing w:val="-14"/>
          <w:sz w:val="20"/>
        </w:rPr>
        <w:t> </w:t>
      </w:r>
      <w:r>
        <w:rPr>
          <w:sz w:val="20"/>
        </w:rPr>
        <w:t>from</w:t>
      </w:r>
      <w:r>
        <w:rPr>
          <w:spacing w:val="-9"/>
          <w:sz w:val="20"/>
        </w:rPr>
        <w:t> </w:t>
      </w:r>
      <w:r>
        <w:rPr>
          <w:sz w:val="20"/>
        </w:rPr>
        <w:t>the</w:t>
      </w:r>
      <w:r>
        <w:rPr>
          <w:spacing w:val="-14"/>
          <w:sz w:val="20"/>
        </w:rPr>
        <w:t> </w:t>
      </w:r>
      <w:r>
        <w:rPr>
          <w:sz w:val="20"/>
        </w:rPr>
        <w:t>relevant</w:t>
      </w:r>
      <w:r>
        <w:rPr>
          <w:spacing w:val="-11"/>
          <w:sz w:val="20"/>
        </w:rPr>
        <w:t> </w:t>
      </w:r>
      <w:r>
        <w:rPr>
          <w:sz w:val="20"/>
        </w:rPr>
        <w:t>ADS</w:t>
      </w:r>
      <w:r>
        <w:rPr>
          <w:spacing w:val="-13"/>
          <w:sz w:val="20"/>
        </w:rPr>
        <w:t> </w:t>
      </w:r>
      <w:r>
        <w:rPr>
          <w:sz w:val="20"/>
        </w:rPr>
        <w:t>activities</w:t>
      </w:r>
      <w:r>
        <w:rPr>
          <w:spacing w:val="-13"/>
          <w:sz w:val="20"/>
        </w:rPr>
        <w:t> </w:t>
      </w:r>
      <w:r>
        <w:rPr>
          <w:sz w:val="20"/>
        </w:rPr>
        <w:t>often</w:t>
      </w:r>
      <w:r>
        <w:rPr>
          <w:spacing w:val="-12"/>
          <w:sz w:val="20"/>
        </w:rPr>
        <w:t> </w:t>
      </w:r>
      <w:r>
        <w:rPr>
          <w:sz w:val="20"/>
        </w:rPr>
        <w:t>collect</w:t>
      </w:r>
      <w:r>
        <w:rPr>
          <w:spacing w:val="-11"/>
          <w:sz w:val="20"/>
        </w:rPr>
        <w:t> </w:t>
      </w:r>
      <w:r>
        <w:rPr>
          <w:sz w:val="20"/>
        </w:rPr>
        <w:t>personal</w:t>
      </w:r>
      <w:r>
        <w:rPr>
          <w:spacing w:val="-12"/>
          <w:sz w:val="20"/>
        </w:rPr>
        <w:t> </w:t>
      </w:r>
      <w:r>
        <w:rPr>
          <w:sz w:val="20"/>
        </w:rPr>
        <w:t>data</w:t>
      </w:r>
      <w:r>
        <w:rPr>
          <w:spacing w:val="-14"/>
          <w:sz w:val="20"/>
        </w:rPr>
        <w:t> </w:t>
      </w:r>
      <w:r>
        <w:rPr>
          <w:sz w:val="20"/>
        </w:rPr>
        <w:t>on</w:t>
      </w:r>
      <w:r>
        <w:rPr>
          <w:spacing w:val="-14"/>
          <w:sz w:val="20"/>
        </w:rPr>
        <w:t> </w:t>
      </w:r>
      <w:r>
        <w:rPr>
          <w:sz w:val="20"/>
        </w:rPr>
        <w:t>their users, whether through a sign-up process or through remote automated monitoring of the users’ activity on the MNE’s platform or the Internet (e.g. through</w:t>
      </w:r>
      <w:r>
        <w:rPr>
          <w:spacing w:val="-6"/>
          <w:sz w:val="20"/>
        </w:rPr>
        <w:t> </w:t>
      </w:r>
      <w:r>
        <w:rPr>
          <w:sz w:val="20"/>
        </w:rPr>
        <w:t>cookies).</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There are two types of user profile information. The first one is created by the MNE, based on information it has available on the user. </w:t>
      </w:r>
      <w:r>
        <w:rPr>
          <w:spacing w:val="2"/>
          <w:sz w:val="20"/>
        </w:rPr>
        <w:t>The </w:t>
      </w:r>
      <w:r>
        <w:rPr>
          <w:sz w:val="20"/>
        </w:rPr>
        <w:t>second one is created by the user itself. A user profile can include information on the user’s historical location at different points in time, their usual residence, demographic characteristics (e.g. age, gender, nationality, or estimated income), as well behavioural characteristics (e.g. purchase history, Internet browsing data, or preferences derived from a user’s engagement on an MNE’s</w:t>
      </w:r>
      <w:r>
        <w:rPr>
          <w:spacing w:val="1"/>
          <w:sz w:val="20"/>
        </w:rPr>
        <w:t> </w:t>
      </w:r>
      <w:r>
        <w:rPr>
          <w:sz w:val="20"/>
        </w:rPr>
        <w:t>platform).</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In order to increase the value of the data, the MNE may create user profiles, which can then be used in targeting the MNE’s online advertising, or to create data sets that are then monetised with third parties by way of a sale or licensing user profile information. The information contained in a user profile will depend on the information an MNE collects during each user’s sign-up process and on the collection of data on the user’s interaction with the MNE’s platform or service. Some MNEs may for commercial reasons</w:t>
      </w:r>
      <w:r>
        <w:rPr>
          <w:spacing w:val="-4"/>
          <w:sz w:val="20"/>
        </w:rPr>
        <w:t> </w:t>
      </w:r>
      <w:r>
        <w:rPr>
          <w:sz w:val="20"/>
        </w:rPr>
        <w:t>refrain</w:t>
      </w:r>
      <w:r>
        <w:rPr>
          <w:spacing w:val="-3"/>
          <w:sz w:val="20"/>
        </w:rPr>
        <w:t> </w:t>
      </w:r>
      <w:r>
        <w:rPr>
          <w:sz w:val="20"/>
        </w:rPr>
        <w:t>from over-burdening</w:t>
      </w:r>
      <w:r>
        <w:rPr>
          <w:spacing w:val="-5"/>
          <w:sz w:val="20"/>
        </w:rPr>
        <w:t> </w:t>
      </w:r>
      <w:r>
        <w:rPr>
          <w:sz w:val="20"/>
        </w:rPr>
        <w:t>the</w:t>
      </w:r>
      <w:r>
        <w:rPr>
          <w:spacing w:val="-5"/>
          <w:sz w:val="20"/>
        </w:rPr>
        <w:t> </w:t>
      </w:r>
      <w:r>
        <w:rPr>
          <w:sz w:val="20"/>
        </w:rPr>
        <w:t>sign-up</w:t>
      </w:r>
      <w:r>
        <w:rPr>
          <w:spacing w:val="-3"/>
          <w:sz w:val="20"/>
        </w:rPr>
        <w:t> </w:t>
      </w:r>
      <w:r>
        <w:rPr>
          <w:sz w:val="20"/>
        </w:rPr>
        <w:t>process</w:t>
      </w:r>
      <w:r>
        <w:rPr>
          <w:spacing w:val="-3"/>
          <w:sz w:val="20"/>
        </w:rPr>
        <w:t> </w:t>
      </w:r>
      <w:r>
        <w:rPr>
          <w:sz w:val="20"/>
        </w:rPr>
        <w:t>so</w:t>
      </w:r>
      <w:r>
        <w:rPr>
          <w:spacing w:val="-4"/>
          <w:sz w:val="20"/>
        </w:rPr>
        <w:t> </w:t>
      </w:r>
      <w:r>
        <w:rPr>
          <w:sz w:val="20"/>
        </w:rPr>
        <w:t>as</w:t>
      </w:r>
      <w:r>
        <w:rPr>
          <w:spacing w:val="-3"/>
          <w:sz w:val="20"/>
        </w:rPr>
        <w:t> </w:t>
      </w:r>
      <w:r>
        <w:rPr>
          <w:sz w:val="20"/>
        </w:rPr>
        <w:t>to</w:t>
      </w:r>
      <w:r>
        <w:rPr>
          <w:spacing w:val="-6"/>
          <w:sz w:val="20"/>
        </w:rPr>
        <w:t> </w:t>
      </w:r>
      <w:r>
        <w:rPr>
          <w:sz w:val="20"/>
        </w:rPr>
        <w:t>make</w:t>
      </w:r>
      <w:r>
        <w:rPr>
          <w:spacing w:val="-4"/>
          <w:sz w:val="20"/>
        </w:rPr>
        <w:t> </w:t>
      </w:r>
      <w:r>
        <w:rPr>
          <w:sz w:val="20"/>
        </w:rPr>
        <w:t>customer</w:t>
      </w:r>
      <w:r>
        <w:rPr>
          <w:spacing w:val="-6"/>
          <w:sz w:val="20"/>
        </w:rPr>
        <w:t> </w:t>
      </w:r>
      <w:r>
        <w:rPr>
          <w:sz w:val="20"/>
        </w:rPr>
        <w:t>on-boarding</w:t>
      </w:r>
      <w:r>
        <w:rPr>
          <w:spacing w:val="-4"/>
          <w:sz w:val="20"/>
        </w:rPr>
        <w:t> </w:t>
      </w:r>
      <w:r>
        <w:rPr>
          <w:sz w:val="20"/>
        </w:rPr>
        <w:t>as</w:t>
      </w:r>
      <w:r>
        <w:rPr>
          <w:spacing w:val="-3"/>
          <w:sz w:val="20"/>
        </w:rPr>
        <w:t> </w:t>
      </w:r>
      <w:r>
        <w:rPr>
          <w:sz w:val="20"/>
        </w:rPr>
        <w:t>easy</w:t>
      </w:r>
      <w:r>
        <w:rPr>
          <w:spacing w:val="-7"/>
          <w:sz w:val="20"/>
        </w:rPr>
        <w:t> </w:t>
      </w:r>
      <w:r>
        <w:rPr>
          <w:sz w:val="20"/>
        </w:rPr>
        <w:t>as possible (e.g. digital content streaming), while others will obtain a lot of data as part of the nature of the service (e.g. social</w:t>
      </w:r>
      <w:r>
        <w:rPr>
          <w:spacing w:val="-6"/>
          <w:sz w:val="20"/>
        </w:rPr>
        <w:t> </w:t>
      </w:r>
      <w:r>
        <w:rPr>
          <w:sz w:val="20"/>
        </w:rPr>
        <w:t>media).</w:t>
      </w:r>
    </w:p>
    <w:p>
      <w:pPr>
        <w:pStyle w:val="ListParagraph"/>
        <w:numPr>
          <w:ilvl w:val="0"/>
          <w:numId w:val="13"/>
        </w:numPr>
        <w:tabs>
          <w:tab w:pos="1444" w:val="left" w:leader="none"/>
        </w:tabs>
        <w:spacing w:line="271" w:lineRule="auto" w:before="122" w:after="0"/>
        <w:ind w:left="723" w:right="486" w:firstLine="0"/>
        <w:jc w:val="both"/>
        <w:rPr>
          <w:sz w:val="20"/>
        </w:rPr>
      </w:pPr>
      <w:r>
        <w:rPr>
          <w:sz w:val="20"/>
        </w:rPr>
        <w:t>The MNE can also use the user profile information from the profile that was created by the user itself</w:t>
      </w:r>
      <w:r>
        <w:rPr>
          <w:spacing w:val="-4"/>
          <w:sz w:val="20"/>
        </w:rPr>
        <w:t> </w:t>
      </w:r>
      <w:r>
        <w:rPr>
          <w:sz w:val="20"/>
        </w:rPr>
        <w:t>(e.g.</w:t>
      </w:r>
      <w:r>
        <w:rPr>
          <w:spacing w:val="-4"/>
          <w:sz w:val="20"/>
        </w:rPr>
        <w:t> </w:t>
      </w:r>
      <w:r>
        <w:rPr>
          <w:sz w:val="20"/>
        </w:rPr>
        <w:t>for</w:t>
      </w:r>
      <w:r>
        <w:rPr>
          <w:spacing w:val="-6"/>
          <w:sz w:val="20"/>
        </w:rPr>
        <w:t> </w:t>
      </w:r>
      <w:r>
        <w:rPr>
          <w:sz w:val="20"/>
        </w:rPr>
        <w:t>creating</w:t>
      </w:r>
      <w:r>
        <w:rPr>
          <w:spacing w:val="-7"/>
          <w:sz w:val="20"/>
        </w:rPr>
        <w:t> </w:t>
      </w:r>
      <w:r>
        <w:rPr>
          <w:sz w:val="20"/>
        </w:rPr>
        <w:t>a</w:t>
      </w:r>
      <w:r>
        <w:rPr>
          <w:spacing w:val="-4"/>
          <w:sz w:val="20"/>
        </w:rPr>
        <w:t> </w:t>
      </w:r>
      <w:r>
        <w:rPr>
          <w:sz w:val="20"/>
        </w:rPr>
        <w:t>profile</w:t>
      </w:r>
      <w:r>
        <w:rPr>
          <w:spacing w:val="-7"/>
          <w:sz w:val="20"/>
        </w:rPr>
        <w:t> </w:t>
      </w:r>
      <w:r>
        <w:rPr>
          <w:sz w:val="20"/>
        </w:rPr>
        <w:t>on</w:t>
      </w:r>
      <w:r>
        <w:rPr>
          <w:spacing w:val="-5"/>
          <w:sz w:val="20"/>
        </w:rPr>
        <w:t> </w:t>
      </w:r>
      <w:r>
        <w:rPr>
          <w:sz w:val="20"/>
        </w:rPr>
        <w:t>a</w:t>
      </w:r>
      <w:r>
        <w:rPr>
          <w:spacing w:val="-7"/>
          <w:sz w:val="20"/>
        </w:rPr>
        <w:t> </w:t>
      </w:r>
      <w:r>
        <w:rPr>
          <w:sz w:val="20"/>
        </w:rPr>
        <w:t>social</w:t>
      </w:r>
      <w:r>
        <w:rPr>
          <w:spacing w:val="-5"/>
          <w:sz w:val="20"/>
        </w:rPr>
        <w:t> </w:t>
      </w:r>
      <w:r>
        <w:rPr>
          <w:sz w:val="20"/>
        </w:rPr>
        <w:t>media</w:t>
      </w:r>
      <w:r>
        <w:rPr>
          <w:spacing w:val="-7"/>
          <w:sz w:val="20"/>
        </w:rPr>
        <w:t> </w:t>
      </w:r>
      <w:r>
        <w:rPr>
          <w:sz w:val="20"/>
        </w:rPr>
        <w:t>platform).</w:t>
      </w:r>
      <w:r>
        <w:rPr>
          <w:spacing w:val="-6"/>
          <w:sz w:val="20"/>
        </w:rPr>
        <w:t> </w:t>
      </w:r>
      <w:r>
        <w:rPr>
          <w:sz w:val="20"/>
        </w:rPr>
        <w:t>Information</w:t>
      </w:r>
      <w:r>
        <w:rPr>
          <w:spacing w:val="-7"/>
          <w:sz w:val="20"/>
        </w:rPr>
        <w:t> </w:t>
      </w:r>
      <w:r>
        <w:rPr>
          <w:sz w:val="20"/>
        </w:rPr>
        <w:t>that</w:t>
      </w:r>
      <w:r>
        <w:rPr>
          <w:spacing w:val="-4"/>
          <w:sz w:val="20"/>
        </w:rPr>
        <w:t> </w:t>
      </w:r>
      <w:r>
        <w:rPr>
          <w:sz w:val="20"/>
        </w:rPr>
        <w:t>can</w:t>
      </w:r>
      <w:r>
        <w:rPr>
          <w:spacing w:val="-5"/>
          <w:sz w:val="20"/>
        </w:rPr>
        <w:t> </w:t>
      </w:r>
      <w:r>
        <w:rPr>
          <w:sz w:val="20"/>
        </w:rPr>
        <w:t>be</w:t>
      </w:r>
      <w:r>
        <w:rPr>
          <w:spacing w:val="-5"/>
          <w:sz w:val="20"/>
        </w:rPr>
        <w:t> </w:t>
      </w:r>
      <w:r>
        <w:rPr>
          <w:sz w:val="20"/>
        </w:rPr>
        <w:t>included</w:t>
      </w:r>
      <w:r>
        <w:rPr>
          <w:spacing w:val="-6"/>
          <w:sz w:val="20"/>
        </w:rPr>
        <w:t> </w:t>
      </w:r>
      <w:r>
        <w:rPr>
          <w:sz w:val="20"/>
        </w:rPr>
        <w:t>in</w:t>
      </w:r>
      <w:r>
        <w:rPr>
          <w:spacing w:val="-7"/>
          <w:sz w:val="20"/>
        </w:rPr>
        <w:t> </w:t>
      </w:r>
      <w:r>
        <w:rPr>
          <w:sz w:val="20"/>
        </w:rPr>
        <w:t>this</w:t>
      </w:r>
      <w:r>
        <w:rPr>
          <w:spacing w:val="-5"/>
          <w:sz w:val="20"/>
        </w:rPr>
        <w:t> </w:t>
      </w:r>
      <w:r>
        <w:rPr>
          <w:sz w:val="20"/>
        </w:rPr>
        <w:t>profile, in</w:t>
      </w:r>
      <w:r>
        <w:rPr>
          <w:spacing w:val="-7"/>
          <w:sz w:val="20"/>
        </w:rPr>
        <w:t> </w:t>
      </w:r>
      <w:r>
        <w:rPr>
          <w:sz w:val="20"/>
        </w:rPr>
        <w:t>addition</w:t>
      </w:r>
      <w:r>
        <w:rPr>
          <w:spacing w:val="-6"/>
          <w:sz w:val="20"/>
        </w:rPr>
        <w:t> </w:t>
      </w:r>
      <w:r>
        <w:rPr>
          <w:sz w:val="20"/>
        </w:rPr>
        <w:t>to</w:t>
      </w:r>
      <w:r>
        <w:rPr>
          <w:spacing w:val="-6"/>
          <w:sz w:val="20"/>
        </w:rPr>
        <w:t> </w:t>
      </w:r>
      <w:r>
        <w:rPr>
          <w:sz w:val="20"/>
        </w:rPr>
        <w:t>the</w:t>
      </w:r>
      <w:r>
        <w:rPr>
          <w:spacing w:val="-6"/>
          <w:sz w:val="20"/>
        </w:rPr>
        <w:t> </w:t>
      </w:r>
      <w:r>
        <w:rPr>
          <w:sz w:val="20"/>
        </w:rPr>
        <w:t>profile</w:t>
      </w:r>
      <w:r>
        <w:rPr>
          <w:spacing w:val="-8"/>
          <w:sz w:val="20"/>
        </w:rPr>
        <w:t> </w:t>
      </w:r>
      <w:r>
        <w:rPr>
          <w:sz w:val="20"/>
        </w:rPr>
        <w:t>created</w:t>
      </w:r>
      <w:r>
        <w:rPr>
          <w:spacing w:val="-6"/>
          <w:sz w:val="20"/>
        </w:rPr>
        <w:t> </w:t>
      </w:r>
      <w:r>
        <w:rPr>
          <w:sz w:val="20"/>
        </w:rPr>
        <w:t>by</w:t>
      </w:r>
      <w:r>
        <w:rPr>
          <w:spacing w:val="-11"/>
          <w:sz w:val="20"/>
        </w:rPr>
        <w:t> </w:t>
      </w:r>
      <w:r>
        <w:rPr>
          <w:sz w:val="20"/>
        </w:rPr>
        <w:t>the</w:t>
      </w:r>
      <w:r>
        <w:rPr>
          <w:spacing w:val="-6"/>
          <w:sz w:val="20"/>
        </w:rPr>
        <w:t> </w:t>
      </w:r>
      <w:r>
        <w:rPr>
          <w:sz w:val="20"/>
        </w:rPr>
        <w:t>MNE</w:t>
      </w:r>
      <w:r>
        <w:rPr>
          <w:spacing w:val="-7"/>
          <w:sz w:val="20"/>
        </w:rPr>
        <w:t> </w:t>
      </w:r>
      <w:r>
        <w:rPr>
          <w:sz w:val="20"/>
        </w:rPr>
        <w:t>itself,</w:t>
      </w:r>
      <w:r>
        <w:rPr>
          <w:spacing w:val="-8"/>
          <w:sz w:val="20"/>
        </w:rPr>
        <w:t> </w:t>
      </w:r>
      <w:r>
        <w:rPr>
          <w:sz w:val="20"/>
        </w:rPr>
        <w:t>can</w:t>
      </w:r>
      <w:r>
        <w:rPr>
          <w:spacing w:val="-4"/>
          <w:sz w:val="20"/>
        </w:rPr>
        <w:t> </w:t>
      </w:r>
      <w:r>
        <w:rPr>
          <w:sz w:val="20"/>
        </w:rPr>
        <w:t>be</w:t>
      </w:r>
      <w:r>
        <w:rPr>
          <w:spacing w:val="-8"/>
          <w:sz w:val="20"/>
        </w:rPr>
        <w:t> </w:t>
      </w:r>
      <w:r>
        <w:rPr>
          <w:sz w:val="20"/>
        </w:rPr>
        <w:t>home</w:t>
      </w:r>
      <w:r>
        <w:rPr>
          <w:spacing w:val="-8"/>
          <w:sz w:val="20"/>
        </w:rPr>
        <w:t> </w:t>
      </w:r>
      <w:r>
        <w:rPr>
          <w:sz w:val="20"/>
        </w:rPr>
        <w:t>address,</w:t>
      </w:r>
      <w:r>
        <w:rPr>
          <w:spacing w:val="-8"/>
          <w:sz w:val="20"/>
        </w:rPr>
        <w:t> </w:t>
      </w:r>
      <w:r>
        <w:rPr>
          <w:sz w:val="20"/>
        </w:rPr>
        <w:t>telephone</w:t>
      </w:r>
      <w:r>
        <w:rPr>
          <w:spacing w:val="-8"/>
          <w:sz w:val="20"/>
        </w:rPr>
        <w:t> </w:t>
      </w:r>
      <w:r>
        <w:rPr>
          <w:sz w:val="20"/>
        </w:rPr>
        <w:t>number</w:t>
      </w:r>
      <w:r>
        <w:rPr>
          <w:spacing w:val="-7"/>
          <w:sz w:val="20"/>
        </w:rPr>
        <w:t> </w:t>
      </w:r>
      <w:r>
        <w:rPr>
          <w:sz w:val="20"/>
        </w:rPr>
        <w:t>(for</w:t>
      </w:r>
      <w:r>
        <w:rPr>
          <w:spacing w:val="-7"/>
          <w:sz w:val="20"/>
        </w:rPr>
        <w:t> </w:t>
      </w:r>
      <w:r>
        <w:rPr>
          <w:sz w:val="20"/>
        </w:rPr>
        <w:t>which</w:t>
      </w:r>
      <w:r>
        <w:rPr>
          <w:spacing w:val="-7"/>
          <w:sz w:val="20"/>
        </w:rPr>
        <w:t> </w:t>
      </w:r>
      <w:r>
        <w:rPr>
          <w:sz w:val="20"/>
        </w:rPr>
        <w:t>the MNE</w:t>
      </w:r>
      <w:r>
        <w:rPr>
          <w:spacing w:val="-6"/>
          <w:sz w:val="20"/>
        </w:rPr>
        <w:t> </w:t>
      </w:r>
      <w:r>
        <w:rPr>
          <w:sz w:val="20"/>
        </w:rPr>
        <w:t>can</w:t>
      </w:r>
      <w:r>
        <w:rPr>
          <w:spacing w:val="-4"/>
          <w:sz w:val="20"/>
        </w:rPr>
        <w:t> </w:t>
      </w:r>
      <w:r>
        <w:rPr>
          <w:sz w:val="20"/>
        </w:rPr>
        <w:t>use</w:t>
      </w:r>
      <w:r>
        <w:rPr>
          <w:spacing w:val="-6"/>
          <w:sz w:val="20"/>
        </w:rPr>
        <w:t> </w:t>
      </w:r>
      <w:r>
        <w:rPr>
          <w:sz w:val="20"/>
        </w:rPr>
        <w:t>the</w:t>
      </w:r>
      <w:r>
        <w:rPr>
          <w:spacing w:val="-6"/>
          <w:sz w:val="20"/>
        </w:rPr>
        <w:t> </w:t>
      </w:r>
      <w:r>
        <w:rPr>
          <w:sz w:val="20"/>
        </w:rPr>
        <w:t>country</w:t>
      </w:r>
      <w:r>
        <w:rPr>
          <w:spacing w:val="-9"/>
          <w:sz w:val="20"/>
        </w:rPr>
        <w:t> </w:t>
      </w:r>
      <w:r>
        <w:rPr>
          <w:sz w:val="20"/>
        </w:rPr>
        <w:t>code</w:t>
      </w:r>
      <w:r>
        <w:rPr>
          <w:spacing w:val="-3"/>
          <w:sz w:val="20"/>
        </w:rPr>
        <w:t> </w:t>
      </w:r>
      <w:r>
        <w:rPr>
          <w:sz w:val="20"/>
        </w:rPr>
        <w:t>as</w:t>
      </w:r>
      <w:r>
        <w:rPr>
          <w:spacing w:val="-4"/>
          <w:sz w:val="20"/>
        </w:rPr>
        <w:t> </w:t>
      </w:r>
      <w:r>
        <w:rPr>
          <w:sz w:val="20"/>
        </w:rPr>
        <w:t>an</w:t>
      </w:r>
      <w:r>
        <w:rPr>
          <w:spacing w:val="-4"/>
          <w:sz w:val="20"/>
        </w:rPr>
        <w:t> </w:t>
      </w:r>
      <w:r>
        <w:rPr>
          <w:sz w:val="20"/>
        </w:rPr>
        <w:t>indicator</w:t>
      </w:r>
      <w:r>
        <w:rPr>
          <w:spacing w:val="-5"/>
          <w:sz w:val="20"/>
        </w:rPr>
        <w:t> </w:t>
      </w:r>
      <w:r>
        <w:rPr>
          <w:sz w:val="20"/>
        </w:rPr>
        <w:t>of</w:t>
      </w:r>
      <w:r>
        <w:rPr>
          <w:spacing w:val="-4"/>
          <w:sz w:val="20"/>
        </w:rPr>
        <w:t> </w:t>
      </w:r>
      <w:r>
        <w:rPr>
          <w:sz w:val="20"/>
        </w:rPr>
        <w:t>the</w:t>
      </w:r>
      <w:r>
        <w:rPr>
          <w:spacing w:val="-6"/>
          <w:sz w:val="20"/>
        </w:rPr>
        <w:t> </w:t>
      </w:r>
      <w:r>
        <w:rPr>
          <w:sz w:val="20"/>
        </w:rPr>
        <w:t>user’s</w:t>
      </w:r>
      <w:r>
        <w:rPr>
          <w:spacing w:val="-4"/>
          <w:sz w:val="20"/>
        </w:rPr>
        <w:t> </w:t>
      </w:r>
      <w:r>
        <w:rPr>
          <w:sz w:val="20"/>
        </w:rPr>
        <w:t>location)</w:t>
      </w:r>
      <w:r>
        <w:rPr>
          <w:spacing w:val="-5"/>
          <w:sz w:val="20"/>
        </w:rPr>
        <w:t> </w:t>
      </w:r>
      <w:r>
        <w:rPr>
          <w:sz w:val="20"/>
        </w:rPr>
        <w:t>and</w:t>
      </w:r>
      <w:r>
        <w:rPr>
          <w:spacing w:val="-6"/>
          <w:sz w:val="20"/>
        </w:rPr>
        <w:t> </w:t>
      </w:r>
      <w:r>
        <w:rPr>
          <w:sz w:val="20"/>
        </w:rPr>
        <w:t>the</w:t>
      </w:r>
      <w:r>
        <w:rPr>
          <w:spacing w:val="-3"/>
          <w:sz w:val="20"/>
        </w:rPr>
        <w:t> </w:t>
      </w:r>
      <w:r>
        <w:rPr>
          <w:sz w:val="20"/>
        </w:rPr>
        <w:t>location</w:t>
      </w:r>
      <w:r>
        <w:rPr>
          <w:spacing w:val="-4"/>
          <w:sz w:val="20"/>
        </w:rPr>
        <w:t> </w:t>
      </w:r>
      <w:r>
        <w:rPr>
          <w:sz w:val="20"/>
        </w:rPr>
        <w:t>of</w:t>
      </w:r>
      <w:r>
        <w:rPr>
          <w:spacing w:val="-4"/>
          <w:sz w:val="20"/>
        </w:rPr>
        <w:t> </w:t>
      </w:r>
      <w:r>
        <w:rPr>
          <w:sz w:val="20"/>
        </w:rPr>
        <w:t>the</w:t>
      </w:r>
      <w:r>
        <w:rPr>
          <w:spacing w:val="-3"/>
          <w:sz w:val="20"/>
        </w:rPr>
        <w:t> </w:t>
      </w:r>
      <w:r>
        <w:rPr>
          <w:sz w:val="20"/>
        </w:rPr>
        <w:t>bank</w:t>
      </w:r>
      <w:r>
        <w:rPr>
          <w:spacing w:val="-2"/>
          <w:sz w:val="20"/>
        </w:rPr>
        <w:t> </w:t>
      </w:r>
      <w:r>
        <w:rPr>
          <w:sz w:val="20"/>
        </w:rPr>
        <w:t>used</w:t>
      </w:r>
      <w:r>
        <w:rPr>
          <w:spacing w:val="-6"/>
          <w:sz w:val="20"/>
        </w:rPr>
        <w:t> </w:t>
      </w:r>
      <w:r>
        <w:rPr>
          <w:sz w:val="20"/>
        </w:rPr>
        <w:t>for the payment, to locate the</w:t>
      </w:r>
      <w:r>
        <w:rPr>
          <w:spacing w:val="-6"/>
          <w:sz w:val="20"/>
        </w:rPr>
        <w:t> </w:t>
      </w:r>
      <w:r>
        <w:rPr>
          <w:sz w:val="20"/>
        </w:rPr>
        <w:t>jurisdiction.</w:t>
      </w:r>
    </w:p>
    <w:p>
      <w:pPr>
        <w:pStyle w:val="ListParagraph"/>
        <w:numPr>
          <w:ilvl w:val="0"/>
          <w:numId w:val="13"/>
        </w:numPr>
        <w:tabs>
          <w:tab w:pos="1444" w:val="left" w:leader="none"/>
        </w:tabs>
        <w:spacing w:line="271" w:lineRule="auto" w:before="119" w:after="0"/>
        <w:ind w:left="723" w:right="485" w:firstLine="0"/>
        <w:jc w:val="both"/>
        <w:rPr>
          <w:sz w:val="20"/>
        </w:rPr>
      </w:pPr>
      <w:r>
        <w:rPr>
          <w:sz w:val="20"/>
        </w:rPr>
        <w:t>In the revenue sourcing rules, several indicators are listed under user profile information. These indicators refer to information that is contained within a user profile that is available to the MNE. When using user profile information for revenue sourcing, the MNE will first look to the indicators explicitly listed to determine a user’s ordinary residence, as set out in the hierarchy in the rules above, which prioritise user profile information created by the MNE. In cases where the MNE does not have information on the listed indicators available, or the indicators are unreliable, it may use “other available</w:t>
      </w:r>
      <w:r>
        <w:rPr>
          <w:spacing w:val="-15"/>
          <w:sz w:val="20"/>
        </w:rPr>
        <w:t> </w:t>
      </w:r>
      <w:r>
        <w:rPr>
          <w:sz w:val="20"/>
        </w:rPr>
        <w:t>information”</w:t>
      </w:r>
    </w:p>
    <w:p>
      <w:pPr>
        <w:pStyle w:val="BodyText"/>
        <w:rPr>
          <w:sz w:val="22"/>
        </w:rPr>
      </w:pPr>
      <w:r>
        <w:rPr/>
        <w:pict>
          <v:rect style="position:absolute;margin-left:65.183998pt;margin-top:14.617099pt;width:144.020004pt;height:.60004pt;mso-position-horizontal-relative:page;mso-position-vertical-relative:paragraph;z-index:-1567641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78" w:lineRule="auto" w:before="94" w:after="0"/>
        <w:ind w:left="723" w:right="482" w:firstLine="0"/>
        <w:jc w:val="left"/>
        <w:rPr>
          <w:sz w:val="18"/>
        </w:rPr>
      </w:pPr>
      <w:r>
        <w:rPr>
          <w:sz w:val="18"/>
        </w:rPr>
        <w:t>See section </w:t>
      </w:r>
      <w:r>
        <w:rPr>
          <w:b/>
          <w:sz w:val="18"/>
        </w:rPr>
        <w:t>Error! Reference source not found. </w:t>
      </w:r>
      <w:r>
        <w:rPr>
          <w:sz w:val="18"/>
        </w:rPr>
        <w:t>on “next steps” for further consideration of when the prevalence of VPNs would make an indicator</w:t>
      </w:r>
      <w:r>
        <w:rPr>
          <w:spacing w:val="-3"/>
          <w:sz w:val="18"/>
        </w:rPr>
        <w:t> </w:t>
      </w:r>
      <w:r>
        <w:rPr>
          <w:sz w:val="18"/>
        </w:rPr>
        <w:t>unreliable.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contained within the user profile, which can be used to determine the ordinary residence of the user. This recognises the fact that MNEs operating under different business models are collecting different data points</w:t>
      </w:r>
      <w:r>
        <w:rPr>
          <w:spacing w:val="-8"/>
        </w:rPr>
        <w:t> </w:t>
      </w:r>
      <w:r>
        <w:rPr/>
        <w:t>on</w:t>
      </w:r>
      <w:r>
        <w:rPr>
          <w:spacing w:val="-9"/>
        </w:rPr>
        <w:t> </w:t>
      </w:r>
      <w:r>
        <w:rPr/>
        <w:t>their</w:t>
      </w:r>
      <w:r>
        <w:rPr>
          <w:spacing w:val="-8"/>
        </w:rPr>
        <w:t> </w:t>
      </w:r>
      <w:r>
        <w:rPr/>
        <w:t>users</w:t>
      </w:r>
      <w:r>
        <w:rPr>
          <w:spacing w:val="-7"/>
        </w:rPr>
        <w:t> </w:t>
      </w:r>
      <w:r>
        <w:rPr/>
        <w:t>and</w:t>
      </w:r>
      <w:r>
        <w:rPr>
          <w:spacing w:val="-7"/>
        </w:rPr>
        <w:t> </w:t>
      </w:r>
      <w:r>
        <w:rPr/>
        <w:t>gives</w:t>
      </w:r>
      <w:r>
        <w:rPr>
          <w:spacing w:val="-8"/>
        </w:rPr>
        <w:t> </w:t>
      </w:r>
      <w:r>
        <w:rPr/>
        <w:t>the</w:t>
      </w:r>
      <w:r>
        <w:rPr>
          <w:spacing w:val="-8"/>
        </w:rPr>
        <w:t> </w:t>
      </w:r>
      <w:r>
        <w:rPr/>
        <w:t>MNE</w:t>
      </w:r>
      <w:r>
        <w:rPr>
          <w:spacing w:val="-9"/>
        </w:rPr>
        <w:t> </w:t>
      </w:r>
      <w:r>
        <w:rPr/>
        <w:t>the</w:t>
      </w:r>
      <w:r>
        <w:rPr>
          <w:spacing w:val="-9"/>
        </w:rPr>
        <w:t> </w:t>
      </w:r>
      <w:r>
        <w:rPr/>
        <w:t>flexibility</w:t>
      </w:r>
      <w:r>
        <w:rPr>
          <w:spacing w:val="-12"/>
        </w:rPr>
        <w:t> </w:t>
      </w:r>
      <w:r>
        <w:rPr/>
        <w:t>to</w:t>
      </w:r>
      <w:r>
        <w:rPr>
          <w:spacing w:val="-9"/>
        </w:rPr>
        <w:t> </w:t>
      </w:r>
      <w:r>
        <w:rPr/>
        <w:t>use</w:t>
      </w:r>
      <w:r>
        <w:rPr>
          <w:spacing w:val="-8"/>
        </w:rPr>
        <w:t> </w:t>
      </w:r>
      <w:r>
        <w:rPr/>
        <w:t>another</w:t>
      </w:r>
      <w:r>
        <w:rPr>
          <w:spacing w:val="-8"/>
        </w:rPr>
        <w:t> </w:t>
      </w:r>
      <w:r>
        <w:rPr/>
        <w:t>indicator</w:t>
      </w:r>
      <w:r>
        <w:rPr>
          <w:spacing w:val="-8"/>
        </w:rPr>
        <w:t> </w:t>
      </w:r>
      <w:r>
        <w:rPr/>
        <w:t>contained</w:t>
      </w:r>
      <w:r>
        <w:rPr>
          <w:spacing w:val="2"/>
        </w:rPr>
        <w:t> </w:t>
      </w:r>
      <w:r>
        <w:rPr/>
        <w:t>within</w:t>
      </w:r>
      <w:r>
        <w:rPr>
          <w:spacing w:val="-9"/>
        </w:rPr>
        <w:t> </w:t>
      </w:r>
      <w:r>
        <w:rPr/>
        <w:t>the</w:t>
      </w:r>
      <w:r>
        <w:rPr>
          <w:spacing w:val="-9"/>
        </w:rPr>
        <w:t> </w:t>
      </w:r>
      <w:r>
        <w:rPr/>
        <w:t>specific framework</w:t>
      </w:r>
      <w:r>
        <w:rPr>
          <w:spacing w:val="-2"/>
        </w:rPr>
        <w:t> </w:t>
      </w:r>
      <w:r>
        <w:rPr/>
        <w:t>of</w:t>
      </w:r>
      <w:r>
        <w:rPr>
          <w:spacing w:val="-3"/>
        </w:rPr>
        <w:t> </w:t>
      </w:r>
      <w:r>
        <w:rPr/>
        <w:t>the</w:t>
      </w:r>
      <w:r>
        <w:rPr>
          <w:spacing w:val="-5"/>
        </w:rPr>
        <w:t> </w:t>
      </w:r>
      <w:r>
        <w:rPr/>
        <w:t>user</w:t>
      </w:r>
      <w:r>
        <w:rPr>
          <w:spacing w:val="-5"/>
        </w:rPr>
        <w:t> </w:t>
      </w:r>
      <w:r>
        <w:rPr/>
        <w:t>profile</w:t>
      </w:r>
      <w:r>
        <w:rPr>
          <w:spacing w:val="-5"/>
        </w:rPr>
        <w:t> </w:t>
      </w:r>
      <w:r>
        <w:rPr/>
        <w:t>information</w:t>
      </w:r>
      <w:r>
        <w:rPr>
          <w:spacing w:val="-6"/>
        </w:rPr>
        <w:t> </w:t>
      </w:r>
      <w:r>
        <w:rPr/>
        <w:t>it</w:t>
      </w:r>
      <w:r>
        <w:rPr>
          <w:spacing w:val="-5"/>
        </w:rPr>
        <w:t> </w:t>
      </w:r>
      <w:r>
        <w:rPr/>
        <w:t>collects.</w:t>
      </w:r>
      <w:r>
        <w:rPr>
          <w:spacing w:val="-5"/>
        </w:rPr>
        <w:t> </w:t>
      </w:r>
      <w:r>
        <w:rPr/>
        <w:t>The</w:t>
      </w:r>
      <w:r>
        <w:rPr>
          <w:spacing w:val="-5"/>
        </w:rPr>
        <w:t> </w:t>
      </w:r>
      <w:r>
        <w:rPr/>
        <w:t>MNE</w:t>
      </w:r>
      <w:r>
        <w:rPr>
          <w:spacing w:val="-3"/>
        </w:rPr>
        <w:t> </w:t>
      </w:r>
      <w:r>
        <w:rPr/>
        <w:t>will</w:t>
      </w:r>
      <w:r>
        <w:rPr>
          <w:spacing w:val="-6"/>
        </w:rPr>
        <w:t> </w:t>
      </w:r>
      <w:r>
        <w:rPr/>
        <w:t>be</w:t>
      </w:r>
      <w:r>
        <w:rPr>
          <w:spacing w:val="-6"/>
        </w:rPr>
        <w:t> </w:t>
      </w:r>
      <w:r>
        <w:rPr/>
        <w:t>required</w:t>
      </w:r>
      <w:r>
        <w:rPr>
          <w:spacing w:val="-5"/>
        </w:rPr>
        <w:t> </w:t>
      </w:r>
      <w:r>
        <w:rPr/>
        <w:t>to</w:t>
      </w:r>
      <w:r>
        <w:rPr>
          <w:spacing w:val="-5"/>
        </w:rPr>
        <w:t> </w:t>
      </w:r>
      <w:r>
        <w:rPr/>
        <w:t>sufficiently</w:t>
      </w:r>
      <w:r>
        <w:rPr>
          <w:spacing w:val="-8"/>
        </w:rPr>
        <w:t> </w:t>
      </w:r>
      <w:r>
        <w:rPr/>
        <w:t>documents</w:t>
      </w:r>
      <w:r>
        <w:rPr>
          <w:spacing w:val="-4"/>
        </w:rPr>
        <w:t> </w:t>
      </w:r>
      <w:r>
        <w:rPr/>
        <w:t>its choice of indicator and demonstrate that its results are consistent with the relevant sourcing</w:t>
      </w:r>
      <w:r>
        <w:rPr>
          <w:spacing w:val="-32"/>
        </w:rPr>
        <w:t> </w:t>
      </w:r>
      <w:r>
        <w:rPr/>
        <w:t>rule.</w:t>
      </w:r>
    </w:p>
    <w:p>
      <w:pPr>
        <w:pStyle w:val="ListParagraph"/>
        <w:numPr>
          <w:ilvl w:val="0"/>
          <w:numId w:val="13"/>
        </w:numPr>
        <w:tabs>
          <w:tab w:pos="1444" w:val="left" w:leader="none"/>
        </w:tabs>
        <w:spacing w:line="271" w:lineRule="auto" w:before="119" w:after="0"/>
        <w:ind w:left="723" w:right="486" w:firstLine="0"/>
        <w:jc w:val="both"/>
        <w:rPr>
          <w:sz w:val="20"/>
        </w:rPr>
      </w:pPr>
      <w:r>
        <w:rPr>
          <w:sz w:val="20"/>
        </w:rPr>
        <w:t>Furthermore,</w:t>
      </w:r>
      <w:r>
        <w:rPr>
          <w:spacing w:val="-9"/>
          <w:sz w:val="20"/>
        </w:rPr>
        <w:t> </w:t>
      </w:r>
      <w:r>
        <w:rPr>
          <w:sz w:val="20"/>
        </w:rPr>
        <w:t>it</w:t>
      </w:r>
      <w:r>
        <w:rPr>
          <w:spacing w:val="-6"/>
          <w:sz w:val="20"/>
        </w:rPr>
        <w:t> </w:t>
      </w:r>
      <w:r>
        <w:rPr>
          <w:sz w:val="20"/>
        </w:rPr>
        <w:t>is</w:t>
      </w:r>
      <w:r>
        <w:rPr>
          <w:spacing w:val="-8"/>
          <w:sz w:val="20"/>
        </w:rPr>
        <w:t> </w:t>
      </w:r>
      <w:r>
        <w:rPr>
          <w:sz w:val="20"/>
        </w:rPr>
        <w:t>possible</w:t>
      </w:r>
      <w:r>
        <w:rPr>
          <w:spacing w:val="-9"/>
          <w:sz w:val="20"/>
        </w:rPr>
        <w:t> </w:t>
      </w:r>
      <w:r>
        <w:rPr>
          <w:sz w:val="20"/>
        </w:rPr>
        <w:t>for</w:t>
      </w:r>
      <w:r>
        <w:rPr>
          <w:spacing w:val="-8"/>
          <w:sz w:val="20"/>
        </w:rPr>
        <w:t> </w:t>
      </w:r>
      <w:r>
        <w:rPr>
          <w:sz w:val="20"/>
        </w:rPr>
        <w:t>certain</w:t>
      </w:r>
      <w:r>
        <w:rPr>
          <w:spacing w:val="-7"/>
          <w:sz w:val="20"/>
        </w:rPr>
        <w:t> </w:t>
      </w:r>
      <w:r>
        <w:rPr>
          <w:sz w:val="20"/>
        </w:rPr>
        <w:t>indicators</w:t>
      </w:r>
      <w:r>
        <w:rPr>
          <w:spacing w:val="-5"/>
          <w:sz w:val="20"/>
        </w:rPr>
        <w:t> </w:t>
      </w:r>
      <w:r>
        <w:rPr>
          <w:sz w:val="20"/>
        </w:rPr>
        <w:t>to</w:t>
      </w:r>
      <w:r>
        <w:rPr>
          <w:spacing w:val="-7"/>
          <w:sz w:val="20"/>
        </w:rPr>
        <w:t> </w:t>
      </w:r>
      <w:r>
        <w:rPr>
          <w:sz w:val="20"/>
        </w:rPr>
        <w:t>appear</w:t>
      </w:r>
      <w:r>
        <w:rPr>
          <w:spacing w:val="-8"/>
          <w:sz w:val="20"/>
        </w:rPr>
        <w:t> </w:t>
      </w:r>
      <w:r>
        <w:rPr>
          <w:sz w:val="20"/>
        </w:rPr>
        <w:t>more</w:t>
      </w:r>
      <w:r>
        <w:rPr>
          <w:spacing w:val="-9"/>
          <w:sz w:val="20"/>
        </w:rPr>
        <w:t> </w:t>
      </w:r>
      <w:r>
        <w:rPr>
          <w:sz w:val="20"/>
        </w:rPr>
        <w:t>than</w:t>
      </w:r>
      <w:r>
        <w:rPr>
          <w:spacing w:val="-7"/>
          <w:sz w:val="20"/>
        </w:rPr>
        <w:t> </w:t>
      </w:r>
      <w:r>
        <w:rPr>
          <w:sz w:val="20"/>
        </w:rPr>
        <w:t>once</w:t>
      </w:r>
      <w:r>
        <w:rPr>
          <w:spacing w:val="-7"/>
          <w:sz w:val="20"/>
        </w:rPr>
        <w:t> </w:t>
      </w:r>
      <w:r>
        <w:rPr>
          <w:sz w:val="20"/>
        </w:rPr>
        <w:t>in</w:t>
      </w:r>
      <w:r>
        <w:rPr>
          <w:spacing w:val="-9"/>
          <w:sz w:val="20"/>
        </w:rPr>
        <w:t> </w:t>
      </w:r>
      <w:r>
        <w:rPr>
          <w:sz w:val="20"/>
        </w:rPr>
        <w:t>the</w:t>
      </w:r>
      <w:r>
        <w:rPr>
          <w:spacing w:val="-7"/>
          <w:sz w:val="20"/>
        </w:rPr>
        <w:t> </w:t>
      </w:r>
      <w:r>
        <w:rPr>
          <w:sz w:val="20"/>
        </w:rPr>
        <w:t>revenue</w:t>
      </w:r>
      <w:r>
        <w:rPr>
          <w:spacing w:val="-7"/>
          <w:sz w:val="20"/>
        </w:rPr>
        <w:t> </w:t>
      </w:r>
      <w:r>
        <w:rPr>
          <w:sz w:val="20"/>
        </w:rPr>
        <w:t>sourcing rules. For example, the billing address can appear both as an indicator contained within user profile information and as a standalone indicator. This recognises that certain ADS business models may not be collecting user profile information at all, but may only keep data points related to specific transactions. Therefore, although an MNE may not have the billing address available as part of a more comprehensive user profile, it still may have billing addresses linked to individual transactions, which can be used for the purpose of revenue</w:t>
      </w:r>
      <w:r>
        <w:rPr>
          <w:spacing w:val="-1"/>
          <w:sz w:val="20"/>
        </w:rPr>
        <w:t> </w:t>
      </w:r>
      <w:r>
        <w:rPr>
          <w:sz w:val="20"/>
        </w:rPr>
        <w:t>sourcing.</w:t>
      </w:r>
    </w:p>
    <w:p>
      <w:pPr>
        <w:pStyle w:val="BodyText"/>
        <w:spacing w:before="6"/>
      </w:pPr>
    </w:p>
    <w:p>
      <w:pPr>
        <w:pStyle w:val="Heading8"/>
      </w:pPr>
      <w:bookmarkStart w:name="Billing address" w:id="165"/>
      <w:bookmarkEnd w:id="165"/>
      <w:r>
        <w:rPr>
          <w:b w:val="0"/>
        </w:rPr>
      </w:r>
      <w:r>
        <w:rPr/>
        <w:t>Billing address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93" w:firstLine="0"/>
        <w:jc w:val="both"/>
        <w:rPr>
          <w:sz w:val="20"/>
        </w:rPr>
      </w:pPr>
      <w:r>
        <w:rPr>
          <w:sz w:val="20"/>
        </w:rPr>
        <w:t>The billing address may identify where the purchaser usually resides. Its purpose is to pinpoint where the customer is established, has a permanent address or usually</w:t>
      </w:r>
      <w:r>
        <w:rPr>
          <w:spacing w:val="-17"/>
          <w:sz w:val="20"/>
        </w:rPr>
        <w:t> </w:t>
      </w:r>
      <w:r>
        <w:rPr>
          <w:sz w:val="20"/>
        </w:rPr>
        <w:t>resides.</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It is possible that the MNE will not have the billing information of the customer because the payment service is operated by a third party (e.g. PayPal or the App store). The MNE should take reasonable steps to obtain information from the payment service provider on the jurisdiction of billing address of the customer (e.g. on an aggregated level, without disclosing any personal information on the underlying customer). This may be feasible, for example, as payment service providers may provide a report to reconcile the payments it has collected on behalf of the MNE. Further information may therefore already</w:t>
      </w:r>
      <w:r>
        <w:rPr>
          <w:spacing w:val="-19"/>
          <w:sz w:val="20"/>
        </w:rPr>
        <w:t> </w:t>
      </w:r>
      <w:r>
        <w:rPr>
          <w:sz w:val="20"/>
        </w:rPr>
        <w:t>be</w:t>
      </w:r>
      <w:r>
        <w:rPr>
          <w:spacing w:val="-18"/>
          <w:sz w:val="20"/>
        </w:rPr>
        <w:t> </w:t>
      </w:r>
      <w:r>
        <w:rPr>
          <w:sz w:val="20"/>
        </w:rPr>
        <w:t>available</w:t>
      </w:r>
      <w:r>
        <w:rPr>
          <w:spacing w:val="-15"/>
          <w:sz w:val="20"/>
        </w:rPr>
        <w:t> </w:t>
      </w:r>
      <w:r>
        <w:rPr>
          <w:sz w:val="20"/>
        </w:rPr>
        <w:t>or</w:t>
      </w:r>
      <w:r>
        <w:rPr>
          <w:spacing w:val="-17"/>
          <w:sz w:val="20"/>
        </w:rPr>
        <w:t> </w:t>
      </w:r>
      <w:r>
        <w:rPr>
          <w:sz w:val="20"/>
        </w:rPr>
        <w:t>relatively</w:t>
      </w:r>
      <w:r>
        <w:rPr>
          <w:spacing w:val="-18"/>
          <w:sz w:val="20"/>
        </w:rPr>
        <w:t> </w:t>
      </w:r>
      <w:r>
        <w:rPr>
          <w:sz w:val="20"/>
        </w:rPr>
        <w:t>easy</w:t>
      </w:r>
      <w:r>
        <w:rPr>
          <w:spacing w:val="-21"/>
          <w:sz w:val="20"/>
        </w:rPr>
        <w:t> </w:t>
      </w:r>
      <w:r>
        <w:rPr>
          <w:sz w:val="20"/>
        </w:rPr>
        <w:t>to</w:t>
      </w:r>
      <w:r>
        <w:rPr>
          <w:spacing w:val="-16"/>
          <w:sz w:val="20"/>
        </w:rPr>
        <w:t> </w:t>
      </w:r>
      <w:r>
        <w:rPr>
          <w:sz w:val="20"/>
        </w:rPr>
        <w:t>add.</w:t>
      </w:r>
      <w:r>
        <w:rPr>
          <w:spacing w:val="-16"/>
          <w:sz w:val="20"/>
        </w:rPr>
        <w:t> </w:t>
      </w:r>
      <w:r>
        <w:rPr>
          <w:sz w:val="20"/>
        </w:rPr>
        <w:t>In</w:t>
      </w:r>
      <w:r>
        <w:rPr>
          <w:spacing w:val="-16"/>
          <w:sz w:val="20"/>
        </w:rPr>
        <w:t> </w:t>
      </w:r>
      <w:r>
        <w:rPr>
          <w:sz w:val="20"/>
        </w:rPr>
        <w:t>addition,</w:t>
      </w:r>
      <w:r>
        <w:rPr>
          <w:spacing w:val="-17"/>
          <w:sz w:val="20"/>
        </w:rPr>
        <w:t> </w:t>
      </w:r>
      <w:r>
        <w:rPr>
          <w:sz w:val="20"/>
        </w:rPr>
        <w:t>some</w:t>
      </w:r>
      <w:r>
        <w:rPr>
          <w:spacing w:val="-18"/>
          <w:sz w:val="20"/>
        </w:rPr>
        <w:t> </w:t>
      </w:r>
      <w:r>
        <w:rPr>
          <w:sz w:val="20"/>
        </w:rPr>
        <w:t>MNEs</w:t>
      </w:r>
      <w:r>
        <w:rPr>
          <w:spacing w:val="-15"/>
          <w:sz w:val="20"/>
        </w:rPr>
        <w:t> </w:t>
      </w:r>
      <w:r>
        <w:rPr>
          <w:sz w:val="20"/>
        </w:rPr>
        <w:t>are</w:t>
      </w:r>
      <w:r>
        <w:rPr>
          <w:spacing w:val="-17"/>
          <w:sz w:val="20"/>
        </w:rPr>
        <w:t> </w:t>
      </w:r>
      <w:r>
        <w:rPr>
          <w:sz w:val="20"/>
        </w:rPr>
        <w:t>already</w:t>
      </w:r>
      <w:r>
        <w:rPr>
          <w:spacing w:val="-18"/>
          <w:sz w:val="20"/>
        </w:rPr>
        <w:t> </w:t>
      </w:r>
      <w:r>
        <w:rPr>
          <w:sz w:val="20"/>
        </w:rPr>
        <w:t>obtaining</w:t>
      </w:r>
      <w:r>
        <w:rPr>
          <w:spacing w:val="-16"/>
          <w:sz w:val="20"/>
        </w:rPr>
        <w:t> </w:t>
      </w:r>
      <w:r>
        <w:rPr>
          <w:sz w:val="20"/>
        </w:rPr>
        <w:t>this</w:t>
      </w:r>
      <w:r>
        <w:rPr>
          <w:spacing w:val="-15"/>
          <w:sz w:val="20"/>
        </w:rPr>
        <w:t> </w:t>
      </w:r>
      <w:r>
        <w:rPr>
          <w:sz w:val="20"/>
        </w:rPr>
        <w:t>information for VAT purposes.</w:t>
      </w:r>
    </w:p>
    <w:p>
      <w:pPr>
        <w:pStyle w:val="ListParagraph"/>
        <w:numPr>
          <w:ilvl w:val="0"/>
          <w:numId w:val="13"/>
        </w:numPr>
        <w:tabs>
          <w:tab w:pos="1444" w:val="left" w:leader="none"/>
        </w:tabs>
        <w:spacing w:line="271" w:lineRule="auto" w:before="120" w:after="0"/>
        <w:ind w:left="723" w:right="488" w:firstLine="0"/>
        <w:jc w:val="both"/>
        <w:rPr>
          <w:sz w:val="20"/>
        </w:rPr>
      </w:pPr>
      <w:r>
        <w:rPr>
          <w:sz w:val="20"/>
        </w:rPr>
        <w:t>It is acknowledged that users can move jurisdictions and continue to pay for the service with a bank account that is tied to the former residence address. Because a customer cannot generally open a bank account without proof of address, the use of billing address will not be wholly unconnected from the person.</w:t>
      </w:r>
      <w:r>
        <w:rPr>
          <w:spacing w:val="-7"/>
          <w:sz w:val="20"/>
        </w:rPr>
        <w:t> </w:t>
      </w:r>
      <w:r>
        <w:rPr>
          <w:sz w:val="20"/>
        </w:rPr>
        <w:t>However,</w:t>
      </w:r>
      <w:r>
        <w:rPr>
          <w:spacing w:val="-6"/>
          <w:sz w:val="20"/>
        </w:rPr>
        <w:t> </w:t>
      </w:r>
      <w:r>
        <w:rPr>
          <w:sz w:val="20"/>
        </w:rPr>
        <w:t>if</w:t>
      </w:r>
      <w:r>
        <w:rPr>
          <w:spacing w:val="-4"/>
          <w:sz w:val="20"/>
        </w:rPr>
        <w:t> </w:t>
      </w:r>
      <w:r>
        <w:rPr>
          <w:sz w:val="20"/>
        </w:rPr>
        <w:t>the</w:t>
      </w:r>
      <w:r>
        <w:rPr>
          <w:spacing w:val="-8"/>
          <w:sz w:val="20"/>
        </w:rPr>
        <w:t> </w:t>
      </w:r>
      <w:r>
        <w:rPr>
          <w:sz w:val="20"/>
        </w:rPr>
        <w:t>MNE</w:t>
      </w:r>
      <w:r>
        <w:rPr>
          <w:spacing w:val="-7"/>
          <w:sz w:val="20"/>
        </w:rPr>
        <w:t> </w:t>
      </w:r>
      <w:r>
        <w:rPr>
          <w:sz w:val="20"/>
        </w:rPr>
        <w:t>has</w:t>
      </w:r>
      <w:r>
        <w:rPr>
          <w:spacing w:val="-5"/>
          <w:sz w:val="20"/>
        </w:rPr>
        <w:t> </w:t>
      </w:r>
      <w:r>
        <w:rPr>
          <w:sz w:val="20"/>
        </w:rPr>
        <w:t>reasons</w:t>
      </w:r>
      <w:r>
        <w:rPr>
          <w:spacing w:val="-6"/>
          <w:sz w:val="20"/>
        </w:rPr>
        <w:t> </w:t>
      </w:r>
      <w:r>
        <w:rPr>
          <w:sz w:val="20"/>
        </w:rPr>
        <w:t>to</w:t>
      </w:r>
      <w:r>
        <w:rPr>
          <w:spacing w:val="-7"/>
          <w:sz w:val="20"/>
        </w:rPr>
        <w:t> </w:t>
      </w:r>
      <w:r>
        <w:rPr>
          <w:sz w:val="20"/>
        </w:rPr>
        <w:t>believe</w:t>
      </w:r>
      <w:r>
        <w:rPr>
          <w:spacing w:val="-7"/>
          <w:sz w:val="20"/>
        </w:rPr>
        <w:t> </w:t>
      </w:r>
      <w:r>
        <w:rPr>
          <w:sz w:val="20"/>
        </w:rPr>
        <w:t>that</w:t>
      </w:r>
      <w:r>
        <w:rPr>
          <w:spacing w:val="-7"/>
          <w:sz w:val="20"/>
        </w:rPr>
        <w:t> </w:t>
      </w:r>
      <w:r>
        <w:rPr>
          <w:sz w:val="20"/>
        </w:rPr>
        <w:t>the</w:t>
      </w:r>
      <w:r>
        <w:rPr>
          <w:spacing w:val="-7"/>
          <w:sz w:val="20"/>
        </w:rPr>
        <w:t> </w:t>
      </w:r>
      <w:r>
        <w:rPr>
          <w:sz w:val="20"/>
        </w:rPr>
        <w:t>billing</w:t>
      </w:r>
      <w:r>
        <w:rPr>
          <w:spacing w:val="-8"/>
          <w:sz w:val="20"/>
        </w:rPr>
        <w:t> </w:t>
      </w:r>
      <w:r>
        <w:rPr>
          <w:sz w:val="20"/>
        </w:rPr>
        <w:t>address</w:t>
      </w:r>
      <w:r>
        <w:rPr>
          <w:spacing w:val="-5"/>
          <w:sz w:val="20"/>
        </w:rPr>
        <w:t> </w:t>
      </w:r>
      <w:r>
        <w:rPr>
          <w:sz w:val="20"/>
        </w:rPr>
        <w:t>is</w:t>
      </w:r>
      <w:r>
        <w:rPr>
          <w:spacing w:val="-5"/>
          <w:sz w:val="20"/>
        </w:rPr>
        <w:t> </w:t>
      </w:r>
      <w:r>
        <w:rPr>
          <w:sz w:val="20"/>
        </w:rPr>
        <w:t>unreliable,</w:t>
      </w:r>
      <w:r>
        <w:rPr>
          <w:spacing w:val="-8"/>
          <w:sz w:val="20"/>
        </w:rPr>
        <w:t> </w:t>
      </w:r>
      <w:r>
        <w:rPr>
          <w:sz w:val="20"/>
        </w:rPr>
        <w:t>it</w:t>
      </w:r>
      <w:r>
        <w:rPr>
          <w:spacing w:val="-6"/>
          <w:sz w:val="20"/>
        </w:rPr>
        <w:t> </w:t>
      </w:r>
      <w:r>
        <w:rPr>
          <w:sz w:val="20"/>
        </w:rPr>
        <w:t>should</w:t>
      </w:r>
      <w:r>
        <w:rPr>
          <w:spacing w:val="-7"/>
          <w:sz w:val="20"/>
        </w:rPr>
        <w:t> </w:t>
      </w:r>
      <w:r>
        <w:rPr>
          <w:sz w:val="20"/>
        </w:rPr>
        <w:t>use</w:t>
      </w:r>
      <w:r>
        <w:rPr>
          <w:spacing w:val="-7"/>
          <w:sz w:val="20"/>
        </w:rPr>
        <w:t> </w:t>
      </w:r>
      <w:r>
        <w:rPr>
          <w:sz w:val="20"/>
        </w:rPr>
        <w:t>the next indicator in the hierarchy of</w:t>
      </w:r>
      <w:r>
        <w:rPr>
          <w:spacing w:val="-7"/>
          <w:sz w:val="20"/>
        </w:rPr>
        <w:t> </w:t>
      </w:r>
      <w:r>
        <w:rPr>
          <w:sz w:val="20"/>
        </w:rPr>
        <w:t>indicators.</w:t>
      </w:r>
    </w:p>
    <w:p>
      <w:pPr>
        <w:pStyle w:val="ListParagraph"/>
        <w:numPr>
          <w:ilvl w:val="0"/>
          <w:numId w:val="13"/>
        </w:numPr>
        <w:tabs>
          <w:tab w:pos="1444" w:val="left" w:leader="none"/>
        </w:tabs>
        <w:spacing w:line="271" w:lineRule="auto" w:before="122" w:after="0"/>
        <w:ind w:left="723" w:right="492" w:firstLine="0"/>
        <w:jc w:val="both"/>
        <w:rPr>
          <w:sz w:val="20"/>
        </w:rPr>
      </w:pPr>
      <w:r>
        <w:rPr>
          <w:sz w:val="20"/>
        </w:rPr>
        <w:t>See the previous section above for an explanation of when a billing address may appear in the revenue sourcing rules under both user profile and as a standalone</w:t>
      </w:r>
      <w:r>
        <w:rPr>
          <w:spacing w:val="-16"/>
          <w:sz w:val="20"/>
        </w:rPr>
        <w:t> </w:t>
      </w:r>
      <w:r>
        <w:rPr>
          <w:sz w:val="20"/>
        </w:rPr>
        <w:t>indicator.</w:t>
      </w:r>
    </w:p>
    <w:p>
      <w:pPr>
        <w:pStyle w:val="BodyText"/>
        <w:spacing w:before="3"/>
      </w:pPr>
    </w:p>
    <w:p>
      <w:pPr>
        <w:pStyle w:val="Heading8"/>
      </w:pPr>
      <w:bookmarkStart w:name="Other" w:id="166"/>
      <w:bookmarkEnd w:id="166"/>
      <w:r>
        <w:rPr>
          <w:b w:val="0"/>
        </w:rPr>
      </w:r>
      <w:r>
        <w:rPr/>
        <w:t>Other</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The use of “other available information” as the indicator for revenue sourcing is generally applicable</w:t>
      </w:r>
      <w:r>
        <w:rPr>
          <w:spacing w:val="-12"/>
          <w:sz w:val="20"/>
        </w:rPr>
        <w:t> </w:t>
      </w:r>
      <w:r>
        <w:rPr>
          <w:sz w:val="20"/>
        </w:rPr>
        <w:t>for</w:t>
      </w:r>
      <w:r>
        <w:rPr>
          <w:spacing w:val="-10"/>
          <w:sz w:val="20"/>
        </w:rPr>
        <w:t> </w:t>
      </w:r>
      <w:r>
        <w:rPr>
          <w:sz w:val="20"/>
        </w:rPr>
        <w:t>cases</w:t>
      </w:r>
      <w:r>
        <w:rPr>
          <w:spacing w:val="-10"/>
          <w:sz w:val="20"/>
        </w:rPr>
        <w:t> </w:t>
      </w:r>
      <w:r>
        <w:rPr>
          <w:sz w:val="20"/>
        </w:rPr>
        <w:t>where</w:t>
      </w:r>
      <w:r>
        <w:rPr>
          <w:spacing w:val="-10"/>
          <w:sz w:val="20"/>
        </w:rPr>
        <w:t> </w:t>
      </w:r>
      <w:r>
        <w:rPr>
          <w:sz w:val="20"/>
        </w:rPr>
        <w:t>the</w:t>
      </w:r>
      <w:r>
        <w:rPr>
          <w:spacing w:val="-12"/>
          <w:sz w:val="20"/>
        </w:rPr>
        <w:t> </w:t>
      </w:r>
      <w:r>
        <w:rPr>
          <w:sz w:val="20"/>
        </w:rPr>
        <w:t>sourcing</w:t>
      </w:r>
      <w:r>
        <w:rPr>
          <w:spacing w:val="-12"/>
          <w:sz w:val="20"/>
        </w:rPr>
        <w:t> </w:t>
      </w:r>
      <w:r>
        <w:rPr>
          <w:sz w:val="20"/>
        </w:rPr>
        <w:t>rule</w:t>
      </w:r>
      <w:r>
        <w:rPr>
          <w:spacing w:val="-11"/>
          <w:sz w:val="20"/>
        </w:rPr>
        <w:t> </w:t>
      </w:r>
      <w:r>
        <w:rPr>
          <w:sz w:val="20"/>
        </w:rPr>
        <w:t>looks</w:t>
      </w:r>
      <w:r>
        <w:rPr>
          <w:spacing w:val="-10"/>
          <w:sz w:val="20"/>
        </w:rPr>
        <w:t> </w:t>
      </w:r>
      <w:r>
        <w:rPr>
          <w:sz w:val="20"/>
        </w:rPr>
        <w:t>to</w:t>
      </w:r>
      <w:r>
        <w:rPr>
          <w:spacing w:val="-12"/>
          <w:sz w:val="20"/>
        </w:rPr>
        <w:t> </w:t>
      </w:r>
      <w:r>
        <w:rPr>
          <w:sz w:val="20"/>
        </w:rPr>
        <w:t>the</w:t>
      </w:r>
      <w:r>
        <w:rPr>
          <w:spacing w:val="-12"/>
          <w:sz w:val="20"/>
        </w:rPr>
        <w:t> </w:t>
      </w:r>
      <w:r>
        <w:rPr>
          <w:sz w:val="20"/>
        </w:rPr>
        <w:t>real-time</w:t>
      </w:r>
      <w:r>
        <w:rPr>
          <w:spacing w:val="-11"/>
          <w:sz w:val="20"/>
        </w:rPr>
        <w:t> </w:t>
      </w:r>
      <w:r>
        <w:rPr>
          <w:sz w:val="20"/>
        </w:rPr>
        <w:t>location</w:t>
      </w:r>
      <w:r>
        <w:rPr>
          <w:spacing w:val="-12"/>
          <w:sz w:val="20"/>
        </w:rPr>
        <w:t> </w:t>
      </w:r>
      <w:r>
        <w:rPr>
          <w:sz w:val="20"/>
        </w:rPr>
        <w:t>of</w:t>
      </w:r>
      <w:r>
        <w:rPr>
          <w:spacing w:val="-9"/>
          <w:sz w:val="20"/>
        </w:rPr>
        <w:t> </w:t>
      </w:r>
      <w:r>
        <w:rPr>
          <w:sz w:val="20"/>
        </w:rPr>
        <w:t>users.</w:t>
      </w:r>
      <w:r>
        <w:rPr>
          <w:spacing w:val="-11"/>
          <w:sz w:val="20"/>
        </w:rPr>
        <w:t> </w:t>
      </w:r>
      <w:r>
        <w:rPr>
          <w:sz w:val="20"/>
        </w:rPr>
        <w:t>This</w:t>
      </w:r>
      <w:r>
        <w:rPr>
          <w:spacing w:val="-9"/>
          <w:sz w:val="20"/>
        </w:rPr>
        <w:t> </w:t>
      </w:r>
      <w:r>
        <w:rPr>
          <w:sz w:val="20"/>
        </w:rPr>
        <w:t>indicator</w:t>
      </w:r>
      <w:r>
        <w:rPr>
          <w:spacing w:val="-11"/>
          <w:sz w:val="20"/>
        </w:rPr>
        <w:t> </w:t>
      </w:r>
      <w:r>
        <w:rPr>
          <w:sz w:val="20"/>
        </w:rPr>
        <w:t>can</w:t>
      </w:r>
      <w:r>
        <w:rPr>
          <w:spacing w:val="-12"/>
          <w:sz w:val="20"/>
        </w:rPr>
        <w:t> </w:t>
      </w:r>
      <w:r>
        <w:rPr>
          <w:sz w:val="20"/>
        </w:rPr>
        <w:t>only be used in a last resort situation where the MNE could not obtain any other information included in the hierarchy of indicators, which would lead to a result consistent with the sourcing rule. In such cases, the MNE</w:t>
      </w:r>
      <w:r>
        <w:rPr>
          <w:spacing w:val="-7"/>
          <w:sz w:val="20"/>
        </w:rPr>
        <w:t> </w:t>
      </w:r>
      <w:r>
        <w:rPr>
          <w:sz w:val="20"/>
        </w:rPr>
        <w:t>should</w:t>
      </w:r>
      <w:r>
        <w:rPr>
          <w:spacing w:val="-7"/>
          <w:sz w:val="20"/>
        </w:rPr>
        <w:t> </w:t>
      </w:r>
      <w:r>
        <w:rPr>
          <w:sz w:val="20"/>
        </w:rPr>
        <w:t>adequately</w:t>
      </w:r>
      <w:r>
        <w:rPr>
          <w:spacing w:val="-12"/>
          <w:sz w:val="20"/>
        </w:rPr>
        <w:t> </w:t>
      </w:r>
      <w:r>
        <w:rPr>
          <w:sz w:val="20"/>
        </w:rPr>
        <w:t>document</w:t>
      </w:r>
      <w:r>
        <w:rPr>
          <w:spacing w:val="-9"/>
          <w:sz w:val="20"/>
        </w:rPr>
        <w:t> </w:t>
      </w:r>
      <w:r>
        <w:rPr>
          <w:sz w:val="20"/>
        </w:rPr>
        <w:t>the</w:t>
      </w:r>
      <w:r>
        <w:rPr>
          <w:spacing w:val="-8"/>
          <w:sz w:val="20"/>
        </w:rPr>
        <w:t> </w:t>
      </w:r>
      <w:r>
        <w:rPr>
          <w:sz w:val="20"/>
        </w:rPr>
        <w:t>reasons</w:t>
      </w:r>
      <w:r>
        <w:rPr>
          <w:spacing w:val="-5"/>
          <w:sz w:val="20"/>
        </w:rPr>
        <w:t> </w:t>
      </w:r>
      <w:r>
        <w:rPr>
          <w:sz w:val="20"/>
        </w:rPr>
        <w:t>why</w:t>
      </w:r>
      <w:r>
        <w:rPr>
          <w:spacing w:val="-10"/>
          <w:sz w:val="20"/>
        </w:rPr>
        <w:t> </w:t>
      </w:r>
      <w:r>
        <w:rPr>
          <w:sz w:val="20"/>
        </w:rPr>
        <w:t>other</w:t>
      </w:r>
      <w:r>
        <w:rPr>
          <w:spacing w:val="-8"/>
          <w:sz w:val="20"/>
        </w:rPr>
        <w:t> </w:t>
      </w:r>
      <w:r>
        <w:rPr>
          <w:sz w:val="20"/>
        </w:rPr>
        <w:t>indicators</w:t>
      </w:r>
      <w:r>
        <w:rPr>
          <w:spacing w:val="-5"/>
          <w:sz w:val="20"/>
        </w:rPr>
        <w:t> </w:t>
      </w:r>
      <w:r>
        <w:rPr>
          <w:sz w:val="20"/>
        </w:rPr>
        <w:t>were</w:t>
      </w:r>
      <w:r>
        <w:rPr>
          <w:spacing w:val="-7"/>
          <w:sz w:val="20"/>
        </w:rPr>
        <w:t> </w:t>
      </w:r>
      <w:r>
        <w:rPr>
          <w:sz w:val="20"/>
        </w:rPr>
        <w:t>not</w:t>
      </w:r>
      <w:r>
        <w:rPr>
          <w:spacing w:val="-6"/>
          <w:sz w:val="20"/>
        </w:rPr>
        <w:t> </w:t>
      </w:r>
      <w:r>
        <w:rPr>
          <w:sz w:val="20"/>
        </w:rPr>
        <w:t>available,</w:t>
      </w:r>
      <w:r>
        <w:rPr>
          <w:spacing w:val="-7"/>
          <w:sz w:val="20"/>
        </w:rPr>
        <w:t> </w:t>
      </w:r>
      <w:r>
        <w:rPr>
          <w:sz w:val="20"/>
        </w:rPr>
        <w:t>to</w:t>
      </w:r>
      <w:r>
        <w:rPr>
          <w:spacing w:val="-7"/>
          <w:sz w:val="20"/>
        </w:rPr>
        <w:t> </w:t>
      </w:r>
      <w:r>
        <w:rPr>
          <w:sz w:val="20"/>
        </w:rPr>
        <w:t>justify</w:t>
      </w:r>
      <w:r>
        <w:rPr>
          <w:spacing w:val="-10"/>
          <w:sz w:val="20"/>
        </w:rPr>
        <w:t> </w:t>
      </w:r>
      <w:r>
        <w:rPr>
          <w:sz w:val="20"/>
        </w:rPr>
        <w:t>its</w:t>
      </w:r>
      <w:r>
        <w:rPr>
          <w:spacing w:val="-5"/>
          <w:sz w:val="20"/>
        </w:rPr>
        <w:t> </w:t>
      </w:r>
      <w:r>
        <w:rPr>
          <w:sz w:val="20"/>
        </w:rPr>
        <w:t>use</w:t>
      </w:r>
      <w:r>
        <w:rPr>
          <w:spacing w:val="-9"/>
          <w:sz w:val="20"/>
        </w:rPr>
        <w:t> </w:t>
      </w:r>
      <w:r>
        <w:rPr>
          <w:sz w:val="20"/>
        </w:rPr>
        <w:t>of this</w:t>
      </w:r>
      <w:r>
        <w:rPr>
          <w:spacing w:val="-1"/>
          <w:sz w:val="20"/>
        </w:rPr>
        <w:t> </w:t>
      </w:r>
      <w:r>
        <w:rPr>
          <w:sz w:val="20"/>
        </w:rPr>
        <w:t>indicator.</w:t>
      </w:r>
    </w:p>
    <w:p>
      <w:pPr>
        <w:pStyle w:val="ListParagraph"/>
        <w:numPr>
          <w:ilvl w:val="0"/>
          <w:numId w:val="13"/>
        </w:numPr>
        <w:tabs>
          <w:tab w:pos="1444" w:val="left" w:leader="none"/>
        </w:tabs>
        <w:spacing w:line="240" w:lineRule="auto" w:before="121" w:after="0"/>
        <w:ind w:left="1443" w:right="0" w:hanging="721"/>
        <w:jc w:val="both"/>
        <w:rPr>
          <w:sz w:val="20"/>
        </w:rPr>
      </w:pPr>
      <w:r>
        <w:rPr>
          <w:sz w:val="20"/>
        </w:rPr>
        <w:t>A</w:t>
      </w:r>
      <w:r>
        <w:rPr>
          <w:spacing w:val="23"/>
          <w:sz w:val="20"/>
        </w:rPr>
        <w:t> </w:t>
      </w:r>
      <w:r>
        <w:rPr>
          <w:sz w:val="20"/>
        </w:rPr>
        <w:t>similar</w:t>
      </w:r>
      <w:r>
        <w:rPr>
          <w:spacing w:val="26"/>
          <w:sz w:val="20"/>
        </w:rPr>
        <w:t> </w:t>
      </w:r>
      <w:r>
        <w:rPr>
          <w:sz w:val="20"/>
        </w:rPr>
        <w:t>approach</w:t>
      </w:r>
      <w:r>
        <w:rPr>
          <w:spacing w:val="26"/>
          <w:sz w:val="20"/>
        </w:rPr>
        <w:t> </w:t>
      </w:r>
      <w:r>
        <w:rPr>
          <w:sz w:val="20"/>
        </w:rPr>
        <w:t>is</w:t>
      </w:r>
      <w:r>
        <w:rPr>
          <w:spacing w:val="26"/>
          <w:sz w:val="20"/>
        </w:rPr>
        <w:t> </w:t>
      </w:r>
      <w:r>
        <w:rPr>
          <w:sz w:val="20"/>
        </w:rPr>
        <w:t>taken</w:t>
      </w:r>
      <w:r>
        <w:rPr>
          <w:spacing w:val="24"/>
          <w:sz w:val="20"/>
        </w:rPr>
        <w:t> </w:t>
      </w:r>
      <w:r>
        <w:rPr>
          <w:sz w:val="20"/>
        </w:rPr>
        <w:t>with</w:t>
      </w:r>
      <w:r>
        <w:rPr>
          <w:spacing w:val="24"/>
          <w:sz w:val="20"/>
        </w:rPr>
        <w:t> </w:t>
      </w:r>
      <w:r>
        <w:rPr>
          <w:sz w:val="20"/>
        </w:rPr>
        <w:t>respect</w:t>
      </w:r>
      <w:r>
        <w:rPr>
          <w:spacing w:val="24"/>
          <w:sz w:val="20"/>
        </w:rPr>
        <w:t> </w:t>
      </w:r>
      <w:r>
        <w:rPr>
          <w:sz w:val="20"/>
        </w:rPr>
        <w:t>to</w:t>
      </w:r>
      <w:r>
        <w:rPr>
          <w:spacing w:val="24"/>
          <w:sz w:val="20"/>
        </w:rPr>
        <w:t> </w:t>
      </w:r>
      <w:r>
        <w:rPr>
          <w:sz w:val="20"/>
        </w:rPr>
        <w:t>“other</w:t>
      </w:r>
      <w:r>
        <w:rPr>
          <w:spacing w:val="25"/>
          <w:sz w:val="20"/>
        </w:rPr>
        <w:t> </w:t>
      </w:r>
      <w:r>
        <w:rPr>
          <w:sz w:val="20"/>
        </w:rPr>
        <w:t>available</w:t>
      </w:r>
      <w:r>
        <w:rPr>
          <w:spacing w:val="25"/>
          <w:sz w:val="20"/>
        </w:rPr>
        <w:t> </w:t>
      </w:r>
      <w:r>
        <w:rPr>
          <w:sz w:val="20"/>
        </w:rPr>
        <w:t>information”</w:t>
      </w:r>
      <w:r>
        <w:rPr>
          <w:spacing w:val="25"/>
          <w:sz w:val="20"/>
        </w:rPr>
        <w:t> </w:t>
      </w:r>
      <w:r>
        <w:rPr>
          <w:sz w:val="20"/>
        </w:rPr>
        <w:t>contained</w:t>
      </w:r>
      <w:r>
        <w:rPr>
          <w:spacing w:val="27"/>
          <w:sz w:val="20"/>
        </w:rPr>
        <w:t> </w:t>
      </w:r>
      <w:r>
        <w:rPr>
          <w:sz w:val="20"/>
        </w:rPr>
        <w:t>within</w:t>
      </w:r>
      <w:r>
        <w:rPr>
          <w:spacing w:val="24"/>
          <w:sz w:val="20"/>
        </w:rPr>
        <w:t> </w:t>
      </w:r>
      <w:r>
        <w:rPr>
          <w:sz w:val="20"/>
        </w:rPr>
        <w:t>user</w:t>
      </w:r>
    </w:p>
    <w:p>
      <w:pPr>
        <w:pStyle w:val="BodyText"/>
        <w:spacing w:before="29"/>
        <w:ind w:left="723"/>
        <w:jc w:val="both"/>
      </w:pPr>
      <w:r>
        <w:rPr/>
        <w:t>profile information.</w:t>
      </w:r>
    </w:p>
    <w:p>
      <w:pPr>
        <w:pStyle w:val="BodyText"/>
        <w:spacing w:before="10"/>
        <w:rPr>
          <w:sz w:val="22"/>
        </w:rPr>
      </w:pPr>
    </w:p>
    <w:p>
      <w:pPr>
        <w:pStyle w:val="Heading7"/>
        <w:rPr>
          <w:i/>
        </w:rPr>
      </w:pPr>
      <w:bookmarkStart w:name="Guidance on revenues from relevant in-sc" w:id="167"/>
      <w:bookmarkEnd w:id="167"/>
      <w:r>
        <w:rPr>
          <w:i w:val="0"/>
        </w:rPr>
      </w:r>
      <w:r>
        <w:rPr>
          <w:i/>
          <w:color w:val="616161"/>
        </w:rPr>
        <w:t>Guidance on revenues from relevant in-scope ADS activities</w:t>
      </w:r>
    </w:p>
    <w:p>
      <w:pPr>
        <w:pStyle w:val="ListParagraph"/>
        <w:numPr>
          <w:ilvl w:val="0"/>
          <w:numId w:val="13"/>
        </w:numPr>
        <w:tabs>
          <w:tab w:pos="1444" w:val="left" w:leader="none"/>
        </w:tabs>
        <w:spacing w:line="273" w:lineRule="auto" w:before="214" w:after="0"/>
        <w:ind w:left="723" w:right="483" w:firstLine="0"/>
        <w:jc w:val="both"/>
        <w:rPr>
          <w:sz w:val="20"/>
        </w:rPr>
      </w:pPr>
      <w:r>
        <w:rPr>
          <w:sz w:val="20"/>
        </w:rPr>
        <w:t>This</w:t>
      </w:r>
      <w:r>
        <w:rPr>
          <w:spacing w:val="-12"/>
          <w:sz w:val="20"/>
        </w:rPr>
        <w:t> </w:t>
      </w:r>
      <w:r>
        <w:rPr>
          <w:sz w:val="20"/>
        </w:rPr>
        <w:t>section</w:t>
      </w:r>
      <w:r>
        <w:rPr>
          <w:spacing w:val="-14"/>
          <w:sz w:val="20"/>
        </w:rPr>
        <w:t> </w:t>
      </w:r>
      <w:r>
        <w:rPr>
          <w:sz w:val="20"/>
        </w:rPr>
        <w:t>explains</w:t>
      </w:r>
      <w:r>
        <w:rPr>
          <w:spacing w:val="-13"/>
          <w:sz w:val="20"/>
        </w:rPr>
        <w:t> </w:t>
      </w:r>
      <w:r>
        <w:rPr>
          <w:sz w:val="20"/>
        </w:rPr>
        <w:t>the</w:t>
      </w:r>
      <w:r>
        <w:rPr>
          <w:spacing w:val="-14"/>
          <w:sz w:val="20"/>
        </w:rPr>
        <w:t> </w:t>
      </w:r>
      <w:r>
        <w:rPr>
          <w:sz w:val="20"/>
        </w:rPr>
        <w:t>relevant</w:t>
      </w:r>
      <w:r>
        <w:rPr>
          <w:spacing w:val="-14"/>
          <w:sz w:val="20"/>
        </w:rPr>
        <w:t> </w:t>
      </w:r>
      <w:r>
        <w:rPr>
          <w:sz w:val="20"/>
        </w:rPr>
        <w:t>business</w:t>
      </w:r>
      <w:r>
        <w:rPr>
          <w:spacing w:val="-12"/>
          <w:sz w:val="20"/>
        </w:rPr>
        <w:t> </w:t>
      </w:r>
      <w:r>
        <w:rPr>
          <w:sz w:val="20"/>
        </w:rPr>
        <w:t>models</w:t>
      </w:r>
      <w:r>
        <w:rPr>
          <w:spacing w:val="-12"/>
          <w:sz w:val="20"/>
        </w:rPr>
        <w:t> </w:t>
      </w:r>
      <w:r>
        <w:rPr>
          <w:sz w:val="20"/>
        </w:rPr>
        <w:t>and</w:t>
      </w:r>
      <w:r>
        <w:rPr>
          <w:spacing w:val="-12"/>
          <w:sz w:val="20"/>
        </w:rPr>
        <w:t> </w:t>
      </w:r>
      <w:r>
        <w:rPr>
          <w:sz w:val="20"/>
        </w:rPr>
        <w:t>the</w:t>
      </w:r>
      <w:r>
        <w:rPr>
          <w:spacing w:val="-14"/>
          <w:sz w:val="20"/>
        </w:rPr>
        <w:t> </w:t>
      </w:r>
      <w:r>
        <w:rPr>
          <w:sz w:val="20"/>
        </w:rPr>
        <w:t>rationale</w:t>
      </w:r>
      <w:r>
        <w:rPr>
          <w:spacing w:val="-13"/>
          <w:sz w:val="20"/>
        </w:rPr>
        <w:t> </w:t>
      </w:r>
      <w:r>
        <w:rPr>
          <w:sz w:val="20"/>
        </w:rPr>
        <w:t>for</w:t>
      </w:r>
      <w:r>
        <w:rPr>
          <w:spacing w:val="-13"/>
          <w:sz w:val="20"/>
        </w:rPr>
        <w:t> </w:t>
      </w:r>
      <w:r>
        <w:rPr>
          <w:sz w:val="20"/>
        </w:rPr>
        <w:t>the</w:t>
      </w:r>
      <w:r>
        <w:rPr>
          <w:spacing w:val="-14"/>
          <w:sz w:val="20"/>
        </w:rPr>
        <w:t> </w:t>
      </w:r>
      <w:r>
        <w:rPr>
          <w:sz w:val="20"/>
        </w:rPr>
        <w:t>sourcing</w:t>
      </w:r>
      <w:r>
        <w:rPr>
          <w:spacing w:val="-14"/>
          <w:sz w:val="20"/>
        </w:rPr>
        <w:t> </w:t>
      </w:r>
      <w:r>
        <w:rPr>
          <w:sz w:val="20"/>
        </w:rPr>
        <w:t>rule,</w:t>
      </w:r>
      <w:r>
        <w:rPr>
          <w:spacing w:val="-14"/>
          <w:sz w:val="20"/>
        </w:rPr>
        <w:t> </w:t>
      </w:r>
      <w:r>
        <w:rPr>
          <w:sz w:val="20"/>
        </w:rPr>
        <w:t>together with guidance on applying the associated</w:t>
      </w:r>
      <w:r>
        <w:rPr>
          <w:spacing w:val="-5"/>
          <w:sz w:val="20"/>
        </w:rPr>
        <w:t> </w:t>
      </w:r>
      <w:r>
        <w:rPr>
          <w:sz w:val="20"/>
        </w:rPr>
        <w:t>indicators.</w:t>
      </w:r>
    </w:p>
    <w:p>
      <w:pPr>
        <w:spacing w:after="0" w:line="273" w:lineRule="auto"/>
        <w:jc w:val="both"/>
        <w:rPr>
          <w:sz w:val="20"/>
        </w:rPr>
        <w:sectPr>
          <w:pgSz w:w="11910" w:h="16840"/>
          <w:pgMar w:header="1244" w:footer="1638" w:top="1500" w:bottom="1820" w:left="580" w:right="820"/>
        </w:sectPr>
      </w:pPr>
    </w:p>
    <w:p>
      <w:pPr>
        <w:pStyle w:val="BodyText"/>
        <w:spacing w:before="9"/>
        <w:rPr>
          <w:sz w:val="19"/>
        </w:rPr>
      </w:pPr>
    </w:p>
    <w:p>
      <w:pPr>
        <w:pStyle w:val="Heading8"/>
        <w:spacing w:before="93"/>
      </w:pPr>
      <w:bookmarkStart w:name="Revenue from online advertising services" w:id="168"/>
      <w:bookmarkEnd w:id="168"/>
      <w:r>
        <w:rPr>
          <w:b w:val="0"/>
        </w:rPr>
      </w:r>
      <w:r>
        <w:rPr/>
        <w:t>Revenue from online advertising services</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Revenue from online advertising services generally comes from fees paid by advertisers. However, the advertisements are directed to viewers, and often targeted using information about viewers collected</w:t>
      </w:r>
      <w:r>
        <w:rPr>
          <w:spacing w:val="-5"/>
          <w:sz w:val="20"/>
        </w:rPr>
        <w:t> </w:t>
      </w:r>
      <w:r>
        <w:rPr>
          <w:sz w:val="20"/>
        </w:rPr>
        <w:t>through</w:t>
      </w:r>
      <w:r>
        <w:rPr>
          <w:spacing w:val="-6"/>
          <w:sz w:val="20"/>
        </w:rPr>
        <w:t> </w:t>
      </w:r>
      <w:r>
        <w:rPr>
          <w:sz w:val="20"/>
        </w:rPr>
        <w:t>such</w:t>
      </w:r>
      <w:r>
        <w:rPr>
          <w:spacing w:val="-8"/>
          <w:sz w:val="20"/>
        </w:rPr>
        <w:t> </w:t>
      </w:r>
      <w:r>
        <w:rPr>
          <w:sz w:val="20"/>
        </w:rPr>
        <w:t>means</w:t>
      </w:r>
      <w:r>
        <w:rPr>
          <w:spacing w:val="-7"/>
          <w:sz w:val="20"/>
        </w:rPr>
        <w:t> </w:t>
      </w:r>
      <w:r>
        <w:rPr>
          <w:sz w:val="20"/>
        </w:rPr>
        <w:t>as</w:t>
      </w:r>
      <w:r>
        <w:rPr>
          <w:spacing w:val="-2"/>
          <w:sz w:val="20"/>
        </w:rPr>
        <w:t> </w:t>
      </w:r>
      <w:r>
        <w:rPr>
          <w:sz w:val="20"/>
        </w:rPr>
        <w:t>online</w:t>
      </w:r>
      <w:r>
        <w:rPr>
          <w:spacing w:val="-8"/>
          <w:sz w:val="20"/>
        </w:rPr>
        <w:t> </w:t>
      </w:r>
      <w:r>
        <w:rPr>
          <w:sz w:val="20"/>
        </w:rPr>
        <w:t>search</w:t>
      </w:r>
      <w:r>
        <w:rPr>
          <w:spacing w:val="-7"/>
          <w:sz w:val="20"/>
        </w:rPr>
        <w:t> </w:t>
      </w:r>
      <w:r>
        <w:rPr>
          <w:sz w:val="20"/>
        </w:rPr>
        <w:t>engines,</w:t>
      </w:r>
      <w:r>
        <w:rPr>
          <w:spacing w:val="-7"/>
          <w:sz w:val="20"/>
        </w:rPr>
        <w:t> </w:t>
      </w:r>
      <w:r>
        <w:rPr>
          <w:sz w:val="20"/>
        </w:rPr>
        <w:t>social</w:t>
      </w:r>
      <w:r>
        <w:rPr>
          <w:spacing w:val="-7"/>
          <w:sz w:val="20"/>
        </w:rPr>
        <w:t> </w:t>
      </w:r>
      <w:r>
        <w:rPr>
          <w:sz w:val="20"/>
        </w:rPr>
        <w:t>media</w:t>
      </w:r>
      <w:r>
        <w:rPr>
          <w:spacing w:val="-6"/>
          <w:sz w:val="20"/>
        </w:rPr>
        <w:t> </w:t>
      </w:r>
      <w:r>
        <w:rPr>
          <w:sz w:val="20"/>
        </w:rPr>
        <w:t>platforms</w:t>
      </w:r>
      <w:r>
        <w:rPr>
          <w:spacing w:val="-6"/>
          <w:sz w:val="20"/>
        </w:rPr>
        <w:t> </w:t>
      </w:r>
      <w:r>
        <w:rPr>
          <w:sz w:val="20"/>
        </w:rPr>
        <w:t>and</w:t>
      </w:r>
      <w:r>
        <w:rPr>
          <w:spacing w:val="-5"/>
          <w:sz w:val="20"/>
        </w:rPr>
        <w:t> </w:t>
      </w:r>
      <w:r>
        <w:rPr>
          <w:sz w:val="20"/>
        </w:rPr>
        <w:t>online</w:t>
      </w:r>
      <w:r>
        <w:rPr>
          <w:spacing w:val="-5"/>
          <w:sz w:val="20"/>
        </w:rPr>
        <w:t> </w:t>
      </w:r>
      <w:r>
        <w:rPr>
          <w:sz w:val="20"/>
        </w:rPr>
        <w:t>intermediation platforms, but also through apps, online games, news websites and blogs and Internet of things devices. The advertising can either be offered as part of an MNE’s service offering, or facilitated by third parties, such as through the process of real-time bidding. This category includes all online advertising, through all possible online platforms and services facilitating online</w:t>
      </w:r>
      <w:r>
        <w:rPr>
          <w:spacing w:val="-7"/>
          <w:sz w:val="20"/>
        </w:rPr>
        <w:t> </w:t>
      </w:r>
      <w:r>
        <w:rPr>
          <w:sz w:val="20"/>
        </w:rPr>
        <w:t>advertising.</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The revenue potential of the advertisement is connected to whether it attracts the attention of the viewer,</w:t>
      </w:r>
      <w:r>
        <w:rPr>
          <w:spacing w:val="-5"/>
          <w:sz w:val="20"/>
        </w:rPr>
        <w:t> </w:t>
      </w:r>
      <w:r>
        <w:rPr>
          <w:sz w:val="20"/>
        </w:rPr>
        <w:t>especially</w:t>
      </w:r>
      <w:r>
        <w:rPr>
          <w:spacing w:val="-8"/>
          <w:sz w:val="20"/>
        </w:rPr>
        <w:t> </w:t>
      </w:r>
      <w:r>
        <w:rPr>
          <w:sz w:val="20"/>
        </w:rPr>
        <w:t>if</w:t>
      </w:r>
      <w:r>
        <w:rPr>
          <w:spacing w:val="-2"/>
          <w:sz w:val="20"/>
        </w:rPr>
        <w:t> </w:t>
      </w:r>
      <w:r>
        <w:rPr>
          <w:sz w:val="20"/>
        </w:rPr>
        <w:t>it</w:t>
      </w:r>
      <w:r>
        <w:rPr>
          <w:spacing w:val="-5"/>
          <w:sz w:val="20"/>
        </w:rPr>
        <w:t> </w:t>
      </w:r>
      <w:r>
        <w:rPr>
          <w:sz w:val="20"/>
        </w:rPr>
        <w:t>is</w:t>
      </w:r>
      <w:r>
        <w:rPr>
          <w:spacing w:val="-3"/>
          <w:sz w:val="20"/>
        </w:rPr>
        <w:t> </w:t>
      </w:r>
      <w:r>
        <w:rPr>
          <w:sz w:val="20"/>
        </w:rPr>
        <w:t>tailored</w:t>
      </w:r>
      <w:r>
        <w:rPr>
          <w:spacing w:val="-4"/>
          <w:sz w:val="20"/>
        </w:rPr>
        <w:t> </w:t>
      </w:r>
      <w:r>
        <w:rPr>
          <w:sz w:val="20"/>
        </w:rPr>
        <w:t>to</w:t>
      </w:r>
      <w:r>
        <w:rPr>
          <w:spacing w:val="-5"/>
          <w:sz w:val="20"/>
        </w:rPr>
        <w:t> </w:t>
      </w:r>
      <w:r>
        <w:rPr>
          <w:sz w:val="20"/>
        </w:rPr>
        <w:t>that</w:t>
      </w:r>
      <w:r>
        <w:rPr>
          <w:spacing w:val="-6"/>
          <w:sz w:val="20"/>
        </w:rPr>
        <w:t> </w:t>
      </w:r>
      <w:r>
        <w:rPr>
          <w:sz w:val="20"/>
        </w:rPr>
        <w:t>viewer.</w:t>
      </w:r>
      <w:r>
        <w:rPr>
          <w:spacing w:val="-4"/>
          <w:sz w:val="20"/>
        </w:rPr>
        <w:t> </w:t>
      </w:r>
      <w:r>
        <w:rPr>
          <w:sz w:val="20"/>
        </w:rPr>
        <w:t>The</w:t>
      </w:r>
      <w:r>
        <w:rPr>
          <w:spacing w:val="-5"/>
          <w:sz w:val="20"/>
        </w:rPr>
        <w:t> </w:t>
      </w:r>
      <w:r>
        <w:rPr>
          <w:sz w:val="20"/>
        </w:rPr>
        <w:t>advertisement</w:t>
      </w:r>
      <w:r>
        <w:rPr>
          <w:spacing w:val="-4"/>
          <w:sz w:val="20"/>
        </w:rPr>
        <w:t> </w:t>
      </w:r>
      <w:r>
        <w:rPr>
          <w:sz w:val="20"/>
        </w:rPr>
        <w:t>can</w:t>
      </w:r>
      <w:r>
        <w:rPr>
          <w:spacing w:val="-6"/>
          <w:sz w:val="20"/>
        </w:rPr>
        <w:t> </w:t>
      </w:r>
      <w:r>
        <w:rPr>
          <w:sz w:val="20"/>
        </w:rPr>
        <w:t>either</w:t>
      </w:r>
      <w:r>
        <w:rPr>
          <w:spacing w:val="-3"/>
          <w:sz w:val="20"/>
        </w:rPr>
        <w:t> </w:t>
      </w:r>
      <w:r>
        <w:rPr>
          <w:sz w:val="20"/>
        </w:rPr>
        <w:t>be</w:t>
      </w:r>
      <w:r>
        <w:rPr>
          <w:spacing w:val="-4"/>
          <w:sz w:val="20"/>
        </w:rPr>
        <w:t> </w:t>
      </w:r>
      <w:r>
        <w:rPr>
          <w:sz w:val="20"/>
        </w:rPr>
        <w:t>viewed</w:t>
      </w:r>
      <w:r>
        <w:rPr>
          <w:spacing w:val="-6"/>
          <w:sz w:val="20"/>
        </w:rPr>
        <w:t> </w:t>
      </w:r>
      <w:r>
        <w:rPr>
          <w:sz w:val="20"/>
        </w:rPr>
        <w:t>or</w:t>
      </w:r>
      <w:r>
        <w:rPr>
          <w:spacing w:val="-4"/>
          <w:sz w:val="20"/>
        </w:rPr>
        <w:t> </w:t>
      </w:r>
      <w:r>
        <w:rPr>
          <w:sz w:val="20"/>
        </w:rPr>
        <w:t>clicked</w:t>
      </w:r>
      <w:r>
        <w:rPr>
          <w:spacing w:val="-5"/>
          <w:sz w:val="20"/>
        </w:rPr>
        <w:t> </w:t>
      </w:r>
      <w:r>
        <w:rPr>
          <w:sz w:val="20"/>
        </w:rPr>
        <w:t>on,</w:t>
      </w:r>
      <w:r>
        <w:rPr>
          <w:spacing w:val="-4"/>
          <w:sz w:val="20"/>
        </w:rPr>
        <w:t> </w:t>
      </w:r>
      <w:r>
        <w:rPr>
          <w:sz w:val="20"/>
        </w:rPr>
        <w:t>and as such, the MNE can earn revenue based on the views, the clicks, or a combination of the both. Regardless</w:t>
      </w:r>
      <w:r>
        <w:rPr>
          <w:spacing w:val="-13"/>
          <w:sz w:val="20"/>
        </w:rPr>
        <w:t> </w:t>
      </w:r>
      <w:r>
        <w:rPr>
          <w:sz w:val="20"/>
        </w:rPr>
        <w:t>of</w:t>
      </w:r>
      <w:r>
        <w:rPr>
          <w:spacing w:val="-14"/>
          <w:sz w:val="20"/>
        </w:rPr>
        <w:t> </w:t>
      </w:r>
      <w:r>
        <w:rPr>
          <w:sz w:val="20"/>
        </w:rPr>
        <w:t>how</w:t>
      </w:r>
      <w:r>
        <w:rPr>
          <w:spacing w:val="-16"/>
          <w:sz w:val="20"/>
        </w:rPr>
        <w:t> </w:t>
      </w:r>
      <w:r>
        <w:rPr>
          <w:sz w:val="20"/>
        </w:rPr>
        <w:t>the</w:t>
      </w:r>
      <w:r>
        <w:rPr>
          <w:spacing w:val="-14"/>
          <w:sz w:val="20"/>
        </w:rPr>
        <w:t> </w:t>
      </w:r>
      <w:r>
        <w:rPr>
          <w:sz w:val="20"/>
        </w:rPr>
        <w:t>advertisement</w:t>
      </w:r>
      <w:r>
        <w:rPr>
          <w:spacing w:val="-16"/>
          <w:sz w:val="20"/>
        </w:rPr>
        <w:t> </w:t>
      </w:r>
      <w:r>
        <w:rPr>
          <w:sz w:val="20"/>
        </w:rPr>
        <w:t>is</w:t>
      </w:r>
      <w:r>
        <w:rPr>
          <w:spacing w:val="-13"/>
          <w:sz w:val="20"/>
        </w:rPr>
        <w:t> </w:t>
      </w:r>
      <w:r>
        <w:rPr>
          <w:sz w:val="20"/>
        </w:rPr>
        <w:t>being</w:t>
      </w:r>
      <w:r>
        <w:rPr>
          <w:spacing w:val="-14"/>
          <w:sz w:val="20"/>
        </w:rPr>
        <w:t> </w:t>
      </w:r>
      <w:r>
        <w:rPr>
          <w:sz w:val="20"/>
        </w:rPr>
        <w:t>“used”,</w:t>
      </w:r>
      <w:r>
        <w:rPr>
          <w:spacing w:val="-14"/>
          <w:sz w:val="20"/>
        </w:rPr>
        <w:t> </w:t>
      </w:r>
      <w:r>
        <w:rPr>
          <w:sz w:val="20"/>
        </w:rPr>
        <w:t>the</w:t>
      </w:r>
      <w:r>
        <w:rPr>
          <w:spacing w:val="-16"/>
          <w:sz w:val="20"/>
        </w:rPr>
        <w:t> </w:t>
      </w:r>
      <w:r>
        <w:rPr>
          <w:sz w:val="20"/>
        </w:rPr>
        <w:t>sourcing</w:t>
      </w:r>
      <w:r>
        <w:rPr>
          <w:spacing w:val="-14"/>
          <w:sz w:val="20"/>
        </w:rPr>
        <w:t> </w:t>
      </w:r>
      <w:r>
        <w:rPr>
          <w:sz w:val="20"/>
        </w:rPr>
        <w:t>rule</w:t>
      </w:r>
      <w:r>
        <w:rPr>
          <w:spacing w:val="-14"/>
          <w:sz w:val="20"/>
        </w:rPr>
        <w:t> </w:t>
      </w:r>
      <w:r>
        <w:rPr>
          <w:sz w:val="20"/>
        </w:rPr>
        <w:t>is</w:t>
      </w:r>
      <w:r>
        <w:rPr>
          <w:spacing w:val="-16"/>
          <w:sz w:val="20"/>
        </w:rPr>
        <w:t> </w:t>
      </w:r>
      <w:r>
        <w:rPr>
          <w:sz w:val="20"/>
        </w:rPr>
        <w:t>based</w:t>
      </w:r>
      <w:r>
        <w:rPr>
          <w:spacing w:val="-14"/>
          <w:sz w:val="20"/>
        </w:rPr>
        <w:t> </w:t>
      </w:r>
      <w:r>
        <w:rPr>
          <w:sz w:val="20"/>
        </w:rPr>
        <w:t>on</w:t>
      </w:r>
      <w:r>
        <w:rPr>
          <w:spacing w:val="-14"/>
          <w:sz w:val="20"/>
        </w:rPr>
        <w:t> </w:t>
      </w:r>
      <w:r>
        <w:rPr>
          <w:sz w:val="20"/>
        </w:rPr>
        <w:t>the</w:t>
      </w:r>
      <w:r>
        <w:rPr>
          <w:spacing w:val="-17"/>
          <w:sz w:val="20"/>
        </w:rPr>
        <w:t> </w:t>
      </w:r>
      <w:r>
        <w:rPr>
          <w:sz w:val="20"/>
        </w:rPr>
        <w:t>“eyeballs”,</w:t>
      </w:r>
      <w:r>
        <w:rPr>
          <w:spacing w:val="-16"/>
          <w:sz w:val="20"/>
        </w:rPr>
        <w:t> </w:t>
      </w:r>
      <w:r>
        <w:rPr>
          <w:sz w:val="20"/>
        </w:rPr>
        <w:t>meaning that it identifies the location of the viewer of the advertisement, rather than the location of the company that is paying the fee for the advertisement. The MNE will need to monitor the extent to which the advertising has been shown, in order to report back to their customer on how the advertising budget has been spent, and as such it would have access to a range of information in order to do</w:t>
      </w:r>
      <w:r>
        <w:rPr>
          <w:spacing w:val="-30"/>
          <w:sz w:val="20"/>
        </w:rPr>
        <w:t> </w:t>
      </w:r>
      <w:r>
        <w:rPr>
          <w:sz w:val="20"/>
        </w:rPr>
        <w:t>this.</w:t>
      </w:r>
    </w:p>
    <w:p>
      <w:pPr>
        <w:pStyle w:val="ListParagraph"/>
        <w:numPr>
          <w:ilvl w:val="0"/>
          <w:numId w:val="13"/>
        </w:numPr>
        <w:tabs>
          <w:tab w:pos="1444" w:val="left" w:leader="none"/>
        </w:tabs>
        <w:spacing w:line="271" w:lineRule="auto" w:before="122" w:after="0"/>
        <w:ind w:left="723" w:right="485" w:firstLine="0"/>
        <w:jc w:val="both"/>
        <w:rPr>
          <w:sz w:val="20"/>
        </w:rPr>
      </w:pPr>
      <w:r>
        <w:rPr>
          <w:sz w:val="20"/>
        </w:rPr>
        <w:t>The</w:t>
      </w:r>
      <w:r>
        <w:rPr>
          <w:spacing w:val="-8"/>
          <w:sz w:val="20"/>
        </w:rPr>
        <w:t> </w:t>
      </w:r>
      <w:r>
        <w:rPr>
          <w:sz w:val="20"/>
        </w:rPr>
        <w:t>hierarchy</w:t>
      </w:r>
      <w:r>
        <w:rPr>
          <w:spacing w:val="-10"/>
          <w:sz w:val="20"/>
        </w:rPr>
        <w:t> </w:t>
      </w:r>
      <w:r>
        <w:rPr>
          <w:sz w:val="20"/>
        </w:rPr>
        <w:t>of</w:t>
      </w:r>
      <w:r>
        <w:rPr>
          <w:spacing w:val="-6"/>
          <w:sz w:val="20"/>
        </w:rPr>
        <w:t> </w:t>
      </w:r>
      <w:r>
        <w:rPr>
          <w:sz w:val="20"/>
        </w:rPr>
        <w:t>indicators</w:t>
      </w:r>
      <w:r>
        <w:rPr>
          <w:spacing w:val="-5"/>
          <w:sz w:val="20"/>
        </w:rPr>
        <w:t> </w:t>
      </w:r>
      <w:r>
        <w:rPr>
          <w:sz w:val="20"/>
        </w:rPr>
        <w:t>for</w:t>
      </w:r>
      <w:r>
        <w:rPr>
          <w:spacing w:val="-7"/>
          <w:sz w:val="20"/>
        </w:rPr>
        <w:t> </w:t>
      </w:r>
      <w:r>
        <w:rPr>
          <w:sz w:val="20"/>
        </w:rPr>
        <w:t>revenue</w:t>
      </w:r>
      <w:r>
        <w:rPr>
          <w:spacing w:val="-7"/>
          <w:sz w:val="20"/>
        </w:rPr>
        <w:t> </w:t>
      </w:r>
      <w:r>
        <w:rPr>
          <w:sz w:val="20"/>
        </w:rPr>
        <w:t>from</w:t>
      </w:r>
      <w:r>
        <w:rPr>
          <w:spacing w:val="-3"/>
          <w:sz w:val="20"/>
        </w:rPr>
        <w:t> </w:t>
      </w:r>
      <w:r>
        <w:rPr>
          <w:sz w:val="20"/>
        </w:rPr>
        <w:t>online</w:t>
      </w:r>
      <w:r>
        <w:rPr>
          <w:spacing w:val="-7"/>
          <w:sz w:val="20"/>
        </w:rPr>
        <w:t> </w:t>
      </w:r>
      <w:r>
        <w:rPr>
          <w:sz w:val="20"/>
        </w:rPr>
        <w:t>advertising</w:t>
      </w:r>
      <w:r>
        <w:rPr>
          <w:spacing w:val="-8"/>
          <w:sz w:val="20"/>
        </w:rPr>
        <w:t> </w:t>
      </w:r>
      <w:r>
        <w:rPr>
          <w:sz w:val="20"/>
        </w:rPr>
        <w:t>services</w:t>
      </w:r>
      <w:r>
        <w:rPr>
          <w:spacing w:val="-6"/>
          <w:sz w:val="20"/>
        </w:rPr>
        <w:t> </w:t>
      </w:r>
      <w:r>
        <w:rPr>
          <w:sz w:val="20"/>
        </w:rPr>
        <w:t>is</w:t>
      </w:r>
      <w:r>
        <w:rPr>
          <w:spacing w:val="-6"/>
          <w:sz w:val="20"/>
        </w:rPr>
        <w:t> </w:t>
      </w:r>
      <w:r>
        <w:rPr>
          <w:sz w:val="20"/>
        </w:rPr>
        <w:t>based</w:t>
      </w:r>
      <w:r>
        <w:rPr>
          <w:spacing w:val="-7"/>
          <w:sz w:val="20"/>
        </w:rPr>
        <w:t> </w:t>
      </w:r>
      <w:r>
        <w:rPr>
          <w:sz w:val="20"/>
        </w:rPr>
        <w:t>on</w:t>
      </w:r>
      <w:r>
        <w:rPr>
          <w:spacing w:val="-8"/>
          <w:sz w:val="20"/>
        </w:rPr>
        <w:t> </w:t>
      </w:r>
      <w:r>
        <w:rPr>
          <w:sz w:val="20"/>
        </w:rPr>
        <w:t>the</w:t>
      </w:r>
      <w:r>
        <w:rPr>
          <w:spacing w:val="-7"/>
          <w:sz w:val="20"/>
        </w:rPr>
        <w:t> </w:t>
      </w:r>
      <w:r>
        <w:rPr>
          <w:sz w:val="20"/>
        </w:rPr>
        <w:t>use</w:t>
      </w:r>
      <w:r>
        <w:rPr>
          <w:spacing w:val="-5"/>
          <w:sz w:val="20"/>
        </w:rPr>
        <w:t> </w:t>
      </w:r>
      <w:r>
        <w:rPr>
          <w:sz w:val="20"/>
        </w:rPr>
        <w:t>of</w:t>
      </w:r>
      <w:r>
        <w:rPr>
          <w:spacing w:val="-4"/>
          <w:sz w:val="20"/>
        </w:rPr>
        <w:t> </w:t>
      </w:r>
      <w:r>
        <w:rPr>
          <w:sz w:val="20"/>
        </w:rPr>
        <w:t>the most reliable information to determine the location of the user that is viewing the advertisement, in the context of that MNE’s business model. As MNEs make use of different information, or a combination of these, for providing online advertising services, the indicators selected by the MNE for the purpose of revenue sourcing can vary depending on the way the MNE targets its</w:t>
      </w:r>
      <w:r>
        <w:rPr>
          <w:spacing w:val="-18"/>
          <w:sz w:val="20"/>
        </w:rPr>
        <w:t> </w:t>
      </w:r>
      <w:r>
        <w:rPr>
          <w:sz w:val="20"/>
        </w:rPr>
        <w:t>advertisement.</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Where</w:t>
      </w:r>
      <w:r>
        <w:rPr>
          <w:spacing w:val="-9"/>
          <w:sz w:val="20"/>
        </w:rPr>
        <w:t> </w:t>
      </w:r>
      <w:r>
        <w:rPr>
          <w:sz w:val="20"/>
        </w:rPr>
        <w:t>the</w:t>
      </w:r>
      <w:r>
        <w:rPr>
          <w:spacing w:val="-9"/>
          <w:sz w:val="20"/>
        </w:rPr>
        <w:t> </w:t>
      </w:r>
      <w:r>
        <w:rPr>
          <w:sz w:val="20"/>
        </w:rPr>
        <w:t>targeting</w:t>
      </w:r>
      <w:r>
        <w:rPr>
          <w:spacing w:val="-9"/>
          <w:sz w:val="20"/>
        </w:rPr>
        <w:t> </w:t>
      </w:r>
      <w:r>
        <w:rPr>
          <w:sz w:val="20"/>
        </w:rPr>
        <w:t>of</w:t>
      </w:r>
      <w:r>
        <w:rPr>
          <w:spacing w:val="-6"/>
          <w:sz w:val="20"/>
        </w:rPr>
        <w:t> </w:t>
      </w:r>
      <w:r>
        <w:rPr>
          <w:sz w:val="20"/>
        </w:rPr>
        <w:t>an</w:t>
      </w:r>
      <w:r>
        <w:rPr>
          <w:spacing w:val="-9"/>
          <w:sz w:val="20"/>
        </w:rPr>
        <w:t> </w:t>
      </w:r>
      <w:r>
        <w:rPr>
          <w:sz w:val="20"/>
        </w:rPr>
        <w:t>advertisement</w:t>
      </w:r>
      <w:r>
        <w:rPr>
          <w:spacing w:val="-9"/>
          <w:sz w:val="20"/>
        </w:rPr>
        <w:t> </w:t>
      </w:r>
      <w:r>
        <w:rPr>
          <w:sz w:val="20"/>
        </w:rPr>
        <w:t>is</w:t>
      </w:r>
      <w:r>
        <w:rPr>
          <w:spacing w:val="-7"/>
          <w:sz w:val="20"/>
        </w:rPr>
        <w:t> </w:t>
      </w:r>
      <w:r>
        <w:rPr>
          <w:sz w:val="20"/>
        </w:rPr>
        <w:t>linked</w:t>
      </w:r>
      <w:r>
        <w:rPr>
          <w:spacing w:val="-9"/>
          <w:sz w:val="20"/>
        </w:rPr>
        <w:t> </w:t>
      </w:r>
      <w:r>
        <w:rPr>
          <w:sz w:val="20"/>
        </w:rPr>
        <w:t>to</w:t>
      </w:r>
      <w:r>
        <w:rPr>
          <w:spacing w:val="-9"/>
          <w:sz w:val="20"/>
        </w:rPr>
        <w:t> </w:t>
      </w:r>
      <w:r>
        <w:rPr>
          <w:sz w:val="20"/>
        </w:rPr>
        <w:t>the</w:t>
      </w:r>
      <w:r>
        <w:rPr>
          <w:spacing w:val="-9"/>
          <w:sz w:val="20"/>
        </w:rPr>
        <w:t> </w:t>
      </w:r>
      <w:r>
        <w:rPr>
          <w:sz w:val="20"/>
        </w:rPr>
        <w:t>real-time</w:t>
      </w:r>
      <w:r>
        <w:rPr>
          <w:spacing w:val="-9"/>
          <w:sz w:val="20"/>
        </w:rPr>
        <w:t> </w:t>
      </w:r>
      <w:r>
        <w:rPr>
          <w:sz w:val="20"/>
        </w:rPr>
        <w:t>location</w:t>
      </w:r>
      <w:r>
        <w:rPr>
          <w:spacing w:val="-9"/>
          <w:sz w:val="20"/>
        </w:rPr>
        <w:t> </w:t>
      </w:r>
      <w:r>
        <w:rPr>
          <w:sz w:val="20"/>
        </w:rPr>
        <w:t>of</w:t>
      </w:r>
      <w:r>
        <w:rPr>
          <w:spacing w:val="-6"/>
          <w:sz w:val="20"/>
        </w:rPr>
        <w:t> </w:t>
      </w:r>
      <w:r>
        <w:rPr>
          <w:sz w:val="20"/>
        </w:rPr>
        <w:t>the</w:t>
      </w:r>
      <w:r>
        <w:rPr>
          <w:spacing w:val="-7"/>
          <w:sz w:val="20"/>
        </w:rPr>
        <w:t> </w:t>
      </w:r>
      <w:r>
        <w:rPr>
          <w:sz w:val="20"/>
        </w:rPr>
        <w:t>viewer</w:t>
      </w:r>
      <w:r>
        <w:rPr>
          <w:spacing w:val="-8"/>
          <w:sz w:val="20"/>
        </w:rPr>
        <w:t> </w:t>
      </w:r>
      <w:r>
        <w:rPr>
          <w:sz w:val="20"/>
        </w:rPr>
        <w:t>(e.g.</w:t>
      </w:r>
      <w:r>
        <w:rPr>
          <w:spacing w:val="-6"/>
          <w:sz w:val="20"/>
        </w:rPr>
        <w:t> </w:t>
      </w:r>
      <w:r>
        <w:rPr>
          <w:sz w:val="20"/>
        </w:rPr>
        <w:t>when a local restaurant is targeting all users within a one kilometre radius, or when an advertisement is not targeted),</w:t>
      </w:r>
      <w:r>
        <w:rPr>
          <w:spacing w:val="-4"/>
          <w:sz w:val="20"/>
        </w:rPr>
        <w:t> </w:t>
      </w:r>
      <w:r>
        <w:rPr>
          <w:sz w:val="20"/>
        </w:rPr>
        <w:t>the</w:t>
      </w:r>
      <w:r>
        <w:rPr>
          <w:spacing w:val="-1"/>
          <w:sz w:val="20"/>
        </w:rPr>
        <w:t> </w:t>
      </w:r>
      <w:r>
        <w:rPr>
          <w:sz w:val="20"/>
        </w:rPr>
        <w:t>MNE</w:t>
      </w:r>
      <w:r>
        <w:rPr>
          <w:spacing w:val="-3"/>
          <w:sz w:val="20"/>
        </w:rPr>
        <w:t> </w:t>
      </w:r>
      <w:r>
        <w:rPr>
          <w:sz w:val="20"/>
        </w:rPr>
        <w:t>will</w:t>
      </w:r>
      <w:r>
        <w:rPr>
          <w:spacing w:val="-4"/>
          <w:sz w:val="20"/>
        </w:rPr>
        <w:t> </w:t>
      </w:r>
      <w:r>
        <w:rPr>
          <w:sz w:val="20"/>
        </w:rPr>
        <w:t>apply</w:t>
      </w:r>
      <w:r>
        <w:rPr>
          <w:spacing w:val="-4"/>
          <w:sz w:val="20"/>
        </w:rPr>
        <w:t> </w:t>
      </w:r>
      <w:r>
        <w:rPr>
          <w:sz w:val="20"/>
        </w:rPr>
        <w:t>the</w:t>
      </w:r>
      <w:r>
        <w:rPr>
          <w:spacing w:val="-3"/>
          <w:sz w:val="20"/>
        </w:rPr>
        <w:t> </w:t>
      </w:r>
      <w:r>
        <w:rPr>
          <w:sz w:val="20"/>
        </w:rPr>
        <w:t>sourcing</w:t>
      </w:r>
      <w:r>
        <w:rPr>
          <w:spacing w:val="-5"/>
          <w:sz w:val="20"/>
        </w:rPr>
        <w:t> </w:t>
      </w:r>
      <w:r>
        <w:rPr>
          <w:sz w:val="20"/>
        </w:rPr>
        <w:t>rule</w:t>
      </w:r>
      <w:r>
        <w:rPr>
          <w:spacing w:val="-3"/>
          <w:sz w:val="20"/>
        </w:rPr>
        <w:t> </w:t>
      </w:r>
      <w:r>
        <w:rPr>
          <w:sz w:val="20"/>
        </w:rPr>
        <w:t>that</w:t>
      </w:r>
      <w:r>
        <w:rPr>
          <w:spacing w:val="-3"/>
          <w:sz w:val="20"/>
        </w:rPr>
        <w:t> </w:t>
      </w:r>
      <w:r>
        <w:rPr>
          <w:sz w:val="20"/>
        </w:rPr>
        <w:t>looks</w:t>
      </w:r>
      <w:r>
        <w:rPr>
          <w:spacing w:val="-3"/>
          <w:sz w:val="20"/>
        </w:rPr>
        <w:t> </w:t>
      </w:r>
      <w:r>
        <w:rPr>
          <w:sz w:val="20"/>
        </w:rPr>
        <w:t>to</w:t>
      </w:r>
      <w:r>
        <w:rPr>
          <w:spacing w:val="-3"/>
          <w:sz w:val="20"/>
        </w:rPr>
        <w:t> </w:t>
      </w:r>
      <w:r>
        <w:rPr>
          <w:sz w:val="20"/>
        </w:rPr>
        <w:t>the</w:t>
      </w:r>
      <w:r>
        <w:rPr>
          <w:spacing w:val="-3"/>
          <w:sz w:val="20"/>
        </w:rPr>
        <w:t> </w:t>
      </w:r>
      <w:r>
        <w:rPr>
          <w:sz w:val="20"/>
        </w:rPr>
        <w:t>real-time</w:t>
      </w:r>
      <w:r>
        <w:rPr>
          <w:spacing w:val="-3"/>
          <w:sz w:val="20"/>
        </w:rPr>
        <w:t> </w:t>
      </w:r>
      <w:r>
        <w:rPr>
          <w:sz w:val="20"/>
        </w:rPr>
        <w:t>location</w:t>
      </w:r>
      <w:r>
        <w:rPr>
          <w:spacing w:val="-4"/>
          <w:sz w:val="20"/>
        </w:rPr>
        <w:t> </w:t>
      </w:r>
      <w:r>
        <w:rPr>
          <w:sz w:val="20"/>
        </w:rPr>
        <w:t>of</w:t>
      </w:r>
      <w:r>
        <w:rPr>
          <w:spacing w:val="-1"/>
          <w:sz w:val="20"/>
        </w:rPr>
        <w:t> </w:t>
      </w:r>
      <w:r>
        <w:rPr>
          <w:sz w:val="20"/>
        </w:rPr>
        <w:t>the</w:t>
      </w:r>
      <w:r>
        <w:rPr>
          <w:spacing w:val="-3"/>
          <w:sz w:val="20"/>
        </w:rPr>
        <w:t> </w:t>
      </w:r>
      <w:r>
        <w:rPr>
          <w:sz w:val="20"/>
        </w:rPr>
        <w:t>viewer</w:t>
      </w:r>
      <w:r>
        <w:rPr>
          <w:spacing w:val="-4"/>
          <w:sz w:val="20"/>
        </w:rPr>
        <w:t> </w:t>
      </w:r>
      <w:r>
        <w:rPr>
          <w:sz w:val="20"/>
        </w:rPr>
        <w:t>at</w:t>
      </w:r>
      <w:r>
        <w:rPr>
          <w:spacing w:val="-3"/>
          <w:sz w:val="20"/>
        </w:rPr>
        <w:t> </w:t>
      </w:r>
      <w:r>
        <w:rPr>
          <w:sz w:val="20"/>
        </w:rPr>
        <w:t>the</w:t>
      </w:r>
      <w:r>
        <w:rPr>
          <w:spacing w:val="-4"/>
          <w:sz w:val="20"/>
        </w:rPr>
        <w:t> </w:t>
      </w:r>
      <w:r>
        <w:rPr>
          <w:sz w:val="20"/>
        </w:rPr>
        <w:t>time they view the</w:t>
      </w:r>
      <w:r>
        <w:rPr>
          <w:spacing w:val="-5"/>
          <w:sz w:val="20"/>
        </w:rPr>
        <w:t> </w:t>
      </w:r>
      <w:r>
        <w:rPr>
          <w:sz w:val="20"/>
        </w:rPr>
        <w:t>advertisement.</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Geolocation</w:t>
      </w:r>
      <w:r>
        <w:rPr>
          <w:spacing w:val="-9"/>
          <w:sz w:val="20"/>
        </w:rPr>
        <w:t> </w:t>
      </w:r>
      <w:r>
        <w:rPr>
          <w:sz w:val="20"/>
        </w:rPr>
        <w:t>data</w:t>
      </w:r>
      <w:r>
        <w:rPr>
          <w:spacing w:val="-8"/>
          <w:sz w:val="20"/>
        </w:rPr>
        <w:t> </w:t>
      </w:r>
      <w:r>
        <w:rPr>
          <w:sz w:val="20"/>
        </w:rPr>
        <w:t>is</w:t>
      </w:r>
      <w:r>
        <w:rPr>
          <w:spacing w:val="-9"/>
          <w:sz w:val="20"/>
        </w:rPr>
        <w:t> </w:t>
      </w:r>
      <w:r>
        <w:rPr>
          <w:sz w:val="20"/>
        </w:rPr>
        <w:t>considered</w:t>
      </w:r>
      <w:r>
        <w:rPr>
          <w:spacing w:val="-11"/>
          <w:sz w:val="20"/>
        </w:rPr>
        <w:t> </w:t>
      </w:r>
      <w:r>
        <w:rPr>
          <w:sz w:val="20"/>
        </w:rPr>
        <w:t>the</w:t>
      </w:r>
      <w:r>
        <w:rPr>
          <w:spacing w:val="-12"/>
          <w:sz w:val="20"/>
        </w:rPr>
        <w:t> </w:t>
      </w:r>
      <w:r>
        <w:rPr>
          <w:sz w:val="20"/>
        </w:rPr>
        <w:t>most</w:t>
      </w:r>
      <w:r>
        <w:rPr>
          <w:spacing w:val="-10"/>
          <w:sz w:val="20"/>
        </w:rPr>
        <w:t> </w:t>
      </w:r>
      <w:r>
        <w:rPr>
          <w:sz w:val="20"/>
        </w:rPr>
        <w:t>reliable</w:t>
      </w:r>
      <w:r>
        <w:rPr>
          <w:spacing w:val="-8"/>
          <w:sz w:val="20"/>
        </w:rPr>
        <w:t> </w:t>
      </w:r>
      <w:r>
        <w:rPr>
          <w:sz w:val="20"/>
        </w:rPr>
        <w:t>indicator</w:t>
      </w:r>
      <w:r>
        <w:rPr>
          <w:spacing w:val="-10"/>
          <w:sz w:val="20"/>
        </w:rPr>
        <w:t> </w:t>
      </w:r>
      <w:r>
        <w:rPr>
          <w:sz w:val="20"/>
        </w:rPr>
        <w:t>for</w:t>
      </w:r>
      <w:r>
        <w:rPr>
          <w:spacing w:val="-11"/>
          <w:sz w:val="20"/>
        </w:rPr>
        <w:t> </w:t>
      </w:r>
      <w:r>
        <w:rPr>
          <w:sz w:val="20"/>
        </w:rPr>
        <w:t>the</w:t>
      </w:r>
      <w:r>
        <w:rPr>
          <w:spacing w:val="-9"/>
          <w:sz w:val="20"/>
        </w:rPr>
        <w:t> </w:t>
      </w:r>
      <w:r>
        <w:rPr>
          <w:sz w:val="20"/>
        </w:rPr>
        <w:t>real-time</w:t>
      </w:r>
      <w:r>
        <w:rPr>
          <w:spacing w:val="-11"/>
          <w:sz w:val="20"/>
        </w:rPr>
        <w:t> </w:t>
      </w:r>
      <w:r>
        <w:rPr>
          <w:sz w:val="20"/>
        </w:rPr>
        <w:t>location</w:t>
      </w:r>
      <w:r>
        <w:rPr>
          <w:spacing w:val="-8"/>
          <w:sz w:val="20"/>
        </w:rPr>
        <w:t> </w:t>
      </w:r>
      <w:r>
        <w:rPr>
          <w:sz w:val="20"/>
        </w:rPr>
        <w:t>of</w:t>
      </w:r>
      <w:r>
        <w:rPr>
          <w:spacing w:val="-9"/>
          <w:sz w:val="20"/>
        </w:rPr>
        <w:t> </w:t>
      </w:r>
      <w:r>
        <w:rPr>
          <w:sz w:val="20"/>
        </w:rPr>
        <w:t>the</w:t>
      </w:r>
      <w:r>
        <w:rPr>
          <w:spacing w:val="-8"/>
          <w:sz w:val="20"/>
        </w:rPr>
        <w:t> </w:t>
      </w:r>
      <w:r>
        <w:rPr>
          <w:sz w:val="20"/>
        </w:rPr>
        <w:t>user</w:t>
      </w:r>
      <w:r>
        <w:rPr>
          <w:spacing w:val="-7"/>
          <w:sz w:val="20"/>
        </w:rPr>
        <w:t> </w:t>
      </w:r>
      <w:r>
        <w:rPr>
          <w:sz w:val="20"/>
        </w:rPr>
        <w:t>and is</w:t>
      </w:r>
      <w:r>
        <w:rPr>
          <w:spacing w:val="-7"/>
          <w:sz w:val="20"/>
        </w:rPr>
        <w:t> </w:t>
      </w:r>
      <w:r>
        <w:rPr>
          <w:sz w:val="20"/>
        </w:rPr>
        <w:t>not</w:t>
      </w:r>
      <w:r>
        <w:rPr>
          <w:spacing w:val="-6"/>
          <w:sz w:val="20"/>
        </w:rPr>
        <w:t> </w:t>
      </w:r>
      <w:r>
        <w:rPr>
          <w:sz w:val="20"/>
        </w:rPr>
        <w:t>ordinarily</w:t>
      </w:r>
      <w:r>
        <w:rPr>
          <w:spacing w:val="-11"/>
          <w:sz w:val="20"/>
        </w:rPr>
        <w:t> </w:t>
      </w:r>
      <w:r>
        <w:rPr>
          <w:sz w:val="20"/>
        </w:rPr>
        <w:t>changed</w:t>
      </w:r>
      <w:r>
        <w:rPr>
          <w:spacing w:val="-6"/>
          <w:sz w:val="20"/>
        </w:rPr>
        <w:t> </w:t>
      </w:r>
      <w:r>
        <w:rPr>
          <w:sz w:val="20"/>
        </w:rPr>
        <w:t>in</w:t>
      </w:r>
      <w:r>
        <w:rPr>
          <w:spacing w:val="-3"/>
          <w:sz w:val="20"/>
        </w:rPr>
        <w:t> </w:t>
      </w:r>
      <w:r>
        <w:rPr>
          <w:sz w:val="20"/>
        </w:rPr>
        <w:t>the</w:t>
      </w:r>
      <w:r>
        <w:rPr>
          <w:spacing w:val="-6"/>
          <w:sz w:val="20"/>
        </w:rPr>
        <w:t> </w:t>
      </w:r>
      <w:r>
        <w:rPr>
          <w:sz w:val="20"/>
        </w:rPr>
        <w:t>way</w:t>
      </w:r>
      <w:r>
        <w:rPr>
          <w:spacing w:val="-9"/>
          <w:sz w:val="20"/>
        </w:rPr>
        <w:t> </w:t>
      </w:r>
      <w:r>
        <w:rPr>
          <w:sz w:val="20"/>
        </w:rPr>
        <w:t>that</w:t>
      </w:r>
      <w:r>
        <w:rPr>
          <w:spacing w:val="-6"/>
          <w:sz w:val="20"/>
        </w:rPr>
        <w:t> </w:t>
      </w:r>
      <w:r>
        <w:rPr>
          <w:sz w:val="20"/>
        </w:rPr>
        <w:t>an</w:t>
      </w:r>
      <w:r>
        <w:rPr>
          <w:spacing w:val="-8"/>
          <w:sz w:val="20"/>
        </w:rPr>
        <w:t> </w:t>
      </w:r>
      <w:r>
        <w:rPr>
          <w:sz w:val="20"/>
        </w:rPr>
        <w:t>IP</w:t>
      </w:r>
      <w:r>
        <w:rPr>
          <w:spacing w:val="-5"/>
          <w:sz w:val="20"/>
        </w:rPr>
        <w:t> </w:t>
      </w:r>
      <w:r>
        <w:rPr>
          <w:sz w:val="20"/>
        </w:rPr>
        <w:t>address</w:t>
      </w:r>
      <w:r>
        <w:rPr>
          <w:spacing w:val="-7"/>
          <w:sz w:val="20"/>
        </w:rPr>
        <w:t> </w:t>
      </w:r>
      <w:r>
        <w:rPr>
          <w:sz w:val="20"/>
        </w:rPr>
        <w:t>is</w:t>
      </w:r>
      <w:r>
        <w:rPr>
          <w:spacing w:val="-7"/>
          <w:sz w:val="20"/>
        </w:rPr>
        <w:t> </w:t>
      </w:r>
      <w:r>
        <w:rPr>
          <w:sz w:val="20"/>
        </w:rPr>
        <w:t>through</w:t>
      </w:r>
      <w:r>
        <w:rPr>
          <w:spacing w:val="-8"/>
          <w:sz w:val="20"/>
        </w:rPr>
        <w:t> </w:t>
      </w:r>
      <w:r>
        <w:rPr>
          <w:sz w:val="20"/>
        </w:rPr>
        <w:t>the</w:t>
      </w:r>
      <w:r>
        <w:rPr>
          <w:spacing w:val="-6"/>
          <w:sz w:val="20"/>
        </w:rPr>
        <w:t> </w:t>
      </w:r>
      <w:r>
        <w:rPr>
          <w:sz w:val="20"/>
        </w:rPr>
        <w:t>use</w:t>
      </w:r>
      <w:r>
        <w:rPr>
          <w:spacing w:val="-7"/>
          <w:sz w:val="20"/>
        </w:rPr>
        <w:t> </w:t>
      </w:r>
      <w:r>
        <w:rPr>
          <w:sz w:val="20"/>
        </w:rPr>
        <w:t>of</w:t>
      </w:r>
      <w:r>
        <w:rPr>
          <w:spacing w:val="-6"/>
          <w:sz w:val="20"/>
        </w:rPr>
        <w:t> </w:t>
      </w:r>
      <w:r>
        <w:rPr>
          <w:sz w:val="20"/>
        </w:rPr>
        <w:t>a</w:t>
      </w:r>
      <w:r>
        <w:rPr>
          <w:spacing w:val="-6"/>
          <w:sz w:val="20"/>
        </w:rPr>
        <w:t> </w:t>
      </w:r>
      <w:r>
        <w:rPr>
          <w:sz w:val="20"/>
        </w:rPr>
        <w:t>VPN.</w:t>
      </w:r>
      <w:r>
        <w:rPr>
          <w:position w:val="6"/>
          <w:sz w:val="13"/>
        </w:rPr>
        <w:t>54</w:t>
      </w:r>
      <w:r>
        <w:rPr>
          <w:spacing w:val="12"/>
          <w:position w:val="6"/>
          <w:sz w:val="13"/>
        </w:rPr>
        <w:t> </w:t>
      </w:r>
      <w:r>
        <w:rPr>
          <w:sz w:val="20"/>
        </w:rPr>
        <w:t>However,</w:t>
      </w:r>
      <w:r>
        <w:rPr>
          <w:spacing w:val="-5"/>
          <w:sz w:val="20"/>
        </w:rPr>
        <w:t> </w:t>
      </w:r>
      <w:r>
        <w:rPr>
          <w:sz w:val="20"/>
        </w:rPr>
        <w:t>users</w:t>
      </w:r>
      <w:r>
        <w:rPr>
          <w:spacing w:val="-5"/>
          <w:sz w:val="20"/>
        </w:rPr>
        <w:t> </w:t>
      </w:r>
      <w:r>
        <w:rPr>
          <w:sz w:val="20"/>
        </w:rPr>
        <w:t>may choose to disable geolocation services on their device, and this indicator may not always be available to the MNE. If the information required to use this indicator is not available, the MNE will use the IP address to determine the user’s</w:t>
      </w:r>
      <w:r>
        <w:rPr>
          <w:spacing w:val="-3"/>
          <w:sz w:val="20"/>
        </w:rPr>
        <w:t> </w:t>
      </w:r>
      <w:r>
        <w:rPr>
          <w:sz w:val="20"/>
        </w:rPr>
        <w:t>location.</w:t>
      </w:r>
    </w:p>
    <w:p>
      <w:pPr>
        <w:pStyle w:val="ListParagraph"/>
        <w:numPr>
          <w:ilvl w:val="0"/>
          <w:numId w:val="13"/>
        </w:numPr>
        <w:tabs>
          <w:tab w:pos="1444" w:val="left" w:leader="none"/>
        </w:tabs>
        <w:spacing w:line="268" w:lineRule="auto" w:before="121" w:after="0"/>
        <w:ind w:left="723" w:right="491" w:firstLine="0"/>
        <w:jc w:val="both"/>
        <w:rPr>
          <w:sz w:val="20"/>
        </w:rPr>
      </w:pPr>
      <w:r>
        <w:rPr>
          <w:sz w:val="20"/>
        </w:rPr>
        <w:t>The rule for location-based advertising is also used for advertising that is generic and is not targeted based on any parameters relating to specific location or user profiles. In this case, the indicators relating</w:t>
      </w:r>
      <w:r>
        <w:rPr>
          <w:spacing w:val="-7"/>
          <w:sz w:val="20"/>
        </w:rPr>
        <w:t> </w:t>
      </w:r>
      <w:r>
        <w:rPr>
          <w:sz w:val="20"/>
        </w:rPr>
        <w:t>to</w:t>
      </w:r>
      <w:r>
        <w:rPr>
          <w:spacing w:val="-7"/>
          <w:sz w:val="20"/>
        </w:rPr>
        <w:t> </w:t>
      </w:r>
      <w:r>
        <w:rPr>
          <w:sz w:val="20"/>
        </w:rPr>
        <w:t>the</w:t>
      </w:r>
      <w:r>
        <w:rPr>
          <w:spacing w:val="-9"/>
          <w:sz w:val="20"/>
        </w:rPr>
        <w:t> </w:t>
      </w:r>
      <w:r>
        <w:rPr>
          <w:sz w:val="20"/>
        </w:rPr>
        <w:t>geolocation</w:t>
      </w:r>
      <w:r>
        <w:rPr>
          <w:spacing w:val="-7"/>
          <w:sz w:val="20"/>
        </w:rPr>
        <w:t> </w:t>
      </w:r>
      <w:r>
        <w:rPr>
          <w:sz w:val="20"/>
        </w:rPr>
        <w:t>or</w:t>
      </w:r>
      <w:r>
        <w:rPr>
          <w:spacing w:val="-7"/>
          <w:sz w:val="20"/>
        </w:rPr>
        <w:t> </w:t>
      </w:r>
      <w:r>
        <w:rPr>
          <w:sz w:val="20"/>
        </w:rPr>
        <w:t>IP</w:t>
      </w:r>
      <w:r>
        <w:rPr>
          <w:spacing w:val="-7"/>
          <w:sz w:val="20"/>
        </w:rPr>
        <w:t> </w:t>
      </w:r>
      <w:r>
        <w:rPr>
          <w:sz w:val="20"/>
        </w:rPr>
        <w:t>address</w:t>
      </w:r>
      <w:r>
        <w:rPr>
          <w:spacing w:val="-8"/>
          <w:sz w:val="20"/>
        </w:rPr>
        <w:t> </w:t>
      </w:r>
      <w:r>
        <w:rPr>
          <w:sz w:val="20"/>
        </w:rPr>
        <w:t>at</w:t>
      </w:r>
      <w:r>
        <w:rPr>
          <w:spacing w:val="-9"/>
          <w:sz w:val="20"/>
        </w:rPr>
        <w:t> </w:t>
      </w:r>
      <w:r>
        <w:rPr>
          <w:sz w:val="20"/>
        </w:rPr>
        <w:t>the</w:t>
      </w:r>
      <w:r>
        <w:rPr>
          <w:spacing w:val="-7"/>
          <w:sz w:val="20"/>
        </w:rPr>
        <w:t> </w:t>
      </w:r>
      <w:r>
        <w:rPr>
          <w:sz w:val="20"/>
        </w:rPr>
        <w:t>time</w:t>
      </w:r>
      <w:r>
        <w:rPr>
          <w:spacing w:val="-8"/>
          <w:sz w:val="20"/>
        </w:rPr>
        <w:t> </w:t>
      </w:r>
      <w:r>
        <w:rPr>
          <w:sz w:val="20"/>
        </w:rPr>
        <w:t>of</w:t>
      </w:r>
      <w:r>
        <w:rPr>
          <w:spacing w:val="-7"/>
          <w:sz w:val="20"/>
        </w:rPr>
        <w:t> </w:t>
      </w:r>
      <w:r>
        <w:rPr>
          <w:sz w:val="20"/>
        </w:rPr>
        <w:t>viewing</w:t>
      </w:r>
      <w:r>
        <w:rPr>
          <w:spacing w:val="-7"/>
          <w:sz w:val="20"/>
        </w:rPr>
        <w:t> </w:t>
      </w:r>
      <w:r>
        <w:rPr>
          <w:sz w:val="20"/>
        </w:rPr>
        <w:t>the</w:t>
      </w:r>
      <w:r>
        <w:rPr>
          <w:spacing w:val="-9"/>
          <w:sz w:val="20"/>
        </w:rPr>
        <w:t> </w:t>
      </w:r>
      <w:r>
        <w:rPr>
          <w:sz w:val="20"/>
        </w:rPr>
        <w:t>advertisement</w:t>
      </w:r>
      <w:r>
        <w:rPr>
          <w:spacing w:val="-5"/>
          <w:sz w:val="20"/>
        </w:rPr>
        <w:t> </w:t>
      </w:r>
      <w:r>
        <w:rPr>
          <w:sz w:val="20"/>
        </w:rPr>
        <w:t>will</w:t>
      </w:r>
      <w:r>
        <w:rPr>
          <w:spacing w:val="-7"/>
          <w:sz w:val="20"/>
        </w:rPr>
        <w:t> </w:t>
      </w:r>
      <w:r>
        <w:rPr>
          <w:sz w:val="20"/>
        </w:rPr>
        <w:t>be</w:t>
      </w:r>
      <w:r>
        <w:rPr>
          <w:spacing w:val="-7"/>
          <w:sz w:val="20"/>
        </w:rPr>
        <w:t> </w:t>
      </w:r>
      <w:r>
        <w:rPr>
          <w:sz w:val="20"/>
        </w:rPr>
        <w:t>the</w:t>
      </w:r>
      <w:r>
        <w:rPr>
          <w:spacing w:val="-7"/>
          <w:sz w:val="20"/>
        </w:rPr>
        <w:t> </w:t>
      </w:r>
      <w:r>
        <w:rPr>
          <w:sz w:val="20"/>
        </w:rPr>
        <w:t>most</w:t>
      </w:r>
      <w:r>
        <w:rPr>
          <w:spacing w:val="-9"/>
          <w:sz w:val="20"/>
        </w:rPr>
        <w:t> </w:t>
      </w:r>
      <w:r>
        <w:rPr>
          <w:sz w:val="20"/>
        </w:rPr>
        <w:t>accurate and available</w:t>
      </w:r>
      <w:r>
        <w:rPr>
          <w:spacing w:val="1"/>
          <w:sz w:val="20"/>
        </w:rPr>
        <w:t> </w:t>
      </w:r>
      <w:r>
        <w:rPr>
          <w:sz w:val="20"/>
        </w:rPr>
        <w:t>information.</w:t>
      </w:r>
      <w:r>
        <w:rPr>
          <w:sz w:val="20"/>
          <w:vertAlign w:val="superscript"/>
        </w:rPr>
        <w:t>55</w:t>
      </w:r>
    </w:p>
    <w:p>
      <w:pPr>
        <w:pStyle w:val="ListParagraph"/>
        <w:numPr>
          <w:ilvl w:val="0"/>
          <w:numId w:val="13"/>
        </w:numPr>
        <w:tabs>
          <w:tab w:pos="1444" w:val="left" w:leader="none"/>
        </w:tabs>
        <w:spacing w:line="271" w:lineRule="auto" w:before="129" w:after="0"/>
        <w:ind w:left="723" w:right="487" w:firstLine="0"/>
        <w:jc w:val="both"/>
        <w:rPr>
          <w:sz w:val="20"/>
        </w:rPr>
      </w:pPr>
      <w:r>
        <w:rPr>
          <w:sz w:val="20"/>
        </w:rPr>
        <w:t>Where the content of the advertisement is directed to viewers based on anything other than the real-time location of the viewer, an MNE generally makes use of a broad set of information that may be contained</w:t>
      </w:r>
      <w:r>
        <w:rPr>
          <w:spacing w:val="5"/>
          <w:sz w:val="20"/>
        </w:rPr>
        <w:t> </w:t>
      </w:r>
      <w:r>
        <w:rPr>
          <w:sz w:val="20"/>
        </w:rPr>
        <w:t>in</w:t>
      </w:r>
      <w:r>
        <w:rPr>
          <w:spacing w:val="6"/>
          <w:sz w:val="20"/>
        </w:rPr>
        <w:t> </w:t>
      </w:r>
      <w:r>
        <w:rPr>
          <w:sz w:val="20"/>
        </w:rPr>
        <w:t>a</w:t>
      </w:r>
      <w:r>
        <w:rPr>
          <w:spacing w:val="5"/>
          <w:sz w:val="20"/>
        </w:rPr>
        <w:t> </w:t>
      </w:r>
      <w:r>
        <w:rPr>
          <w:sz w:val="20"/>
        </w:rPr>
        <w:t>user’s</w:t>
      </w:r>
      <w:r>
        <w:rPr>
          <w:spacing w:val="4"/>
          <w:sz w:val="20"/>
        </w:rPr>
        <w:t> </w:t>
      </w:r>
      <w:r>
        <w:rPr>
          <w:sz w:val="20"/>
        </w:rPr>
        <w:t>profile</w:t>
      </w:r>
      <w:r>
        <w:rPr>
          <w:spacing w:val="4"/>
          <w:sz w:val="20"/>
        </w:rPr>
        <w:t> </w:t>
      </w:r>
      <w:r>
        <w:rPr>
          <w:sz w:val="20"/>
        </w:rPr>
        <w:t>information</w:t>
      </w:r>
      <w:r>
        <w:rPr>
          <w:spacing w:val="4"/>
          <w:sz w:val="20"/>
        </w:rPr>
        <w:t> </w:t>
      </w:r>
      <w:r>
        <w:rPr>
          <w:sz w:val="20"/>
        </w:rPr>
        <w:t>in</w:t>
      </w:r>
      <w:r>
        <w:rPr>
          <w:spacing w:val="4"/>
          <w:sz w:val="20"/>
        </w:rPr>
        <w:t> </w:t>
      </w:r>
      <w:r>
        <w:rPr>
          <w:sz w:val="20"/>
        </w:rPr>
        <w:t>order</w:t>
      </w:r>
      <w:r>
        <w:rPr>
          <w:spacing w:val="4"/>
          <w:sz w:val="20"/>
        </w:rPr>
        <w:t> </w:t>
      </w:r>
      <w:r>
        <w:rPr>
          <w:sz w:val="20"/>
        </w:rPr>
        <w:t>to</w:t>
      </w:r>
      <w:r>
        <w:rPr>
          <w:spacing w:val="4"/>
          <w:sz w:val="20"/>
        </w:rPr>
        <w:t> </w:t>
      </w:r>
      <w:r>
        <w:rPr>
          <w:sz w:val="20"/>
        </w:rPr>
        <w:t>serve</w:t>
      </w:r>
      <w:r>
        <w:rPr>
          <w:spacing w:val="4"/>
          <w:sz w:val="20"/>
        </w:rPr>
        <w:t> </w:t>
      </w:r>
      <w:r>
        <w:rPr>
          <w:sz w:val="20"/>
        </w:rPr>
        <w:t>the</w:t>
      </w:r>
      <w:r>
        <w:rPr>
          <w:spacing w:val="4"/>
          <w:sz w:val="20"/>
        </w:rPr>
        <w:t> </w:t>
      </w:r>
      <w:r>
        <w:rPr>
          <w:sz w:val="20"/>
        </w:rPr>
        <w:t>advertisement</w:t>
      </w:r>
      <w:r>
        <w:rPr>
          <w:spacing w:val="4"/>
          <w:sz w:val="20"/>
        </w:rPr>
        <w:t> </w:t>
      </w:r>
      <w:r>
        <w:rPr>
          <w:sz w:val="20"/>
        </w:rPr>
        <w:t>to</w:t>
      </w:r>
      <w:r>
        <w:rPr>
          <w:spacing w:val="6"/>
          <w:sz w:val="20"/>
        </w:rPr>
        <w:t> </w:t>
      </w:r>
      <w:r>
        <w:rPr>
          <w:sz w:val="20"/>
        </w:rPr>
        <w:t>the</w:t>
      </w:r>
      <w:r>
        <w:rPr>
          <w:spacing w:val="3"/>
          <w:sz w:val="20"/>
        </w:rPr>
        <w:t> </w:t>
      </w:r>
      <w:r>
        <w:rPr>
          <w:sz w:val="20"/>
        </w:rPr>
        <w:t>users</w:t>
      </w:r>
      <w:r>
        <w:rPr>
          <w:spacing w:val="6"/>
          <w:sz w:val="20"/>
        </w:rPr>
        <w:t> </w:t>
      </w:r>
      <w:r>
        <w:rPr>
          <w:sz w:val="20"/>
        </w:rPr>
        <w:t>that</w:t>
      </w:r>
      <w:r>
        <w:rPr>
          <w:spacing w:val="5"/>
          <w:sz w:val="20"/>
        </w:rPr>
        <w:t> </w:t>
      </w:r>
      <w:r>
        <w:rPr>
          <w:sz w:val="20"/>
        </w:rPr>
        <w:t>a</w:t>
      </w:r>
      <w:r>
        <w:rPr>
          <w:spacing w:val="6"/>
          <w:sz w:val="20"/>
        </w:rPr>
        <w:t> </w:t>
      </w:r>
      <w:r>
        <w:rPr>
          <w:sz w:val="20"/>
        </w:rPr>
        <w:t>customer</w:t>
      </w:r>
    </w:p>
    <w:p>
      <w:pPr>
        <w:pStyle w:val="BodyText"/>
        <w:spacing w:before="5"/>
        <w:rPr>
          <w:sz w:val="18"/>
        </w:rPr>
      </w:pPr>
      <w:r>
        <w:rPr/>
        <w:pict>
          <v:rect style="position:absolute;margin-left:65.183998pt;margin-top:12.56163pt;width:144.020004pt;height:.60004pt;mso-position-horizontal-relative:page;mso-position-vertical-relative:paragraph;z-index:-1567590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3" w:val="left" w:leader="none"/>
        </w:tabs>
        <w:spacing w:line="278" w:lineRule="auto" w:before="94" w:after="0"/>
        <w:ind w:left="723" w:right="481" w:firstLine="0"/>
        <w:jc w:val="both"/>
        <w:rPr>
          <w:sz w:val="18"/>
        </w:rPr>
      </w:pPr>
      <w:r>
        <w:rPr>
          <w:sz w:val="18"/>
        </w:rPr>
        <w:t>It</w:t>
      </w:r>
      <w:r>
        <w:rPr>
          <w:spacing w:val="-7"/>
          <w:sz w:val="18"/>
        </w:rPr>
        <w:t> </w:t>
      </w:r>
      <w:r>
        <w:rPr>
          <w:sz w:val="18"/>
        </w:rPr>
        <w:t>is</w:t>
      </w:r>
      <w:r>
        <w:rPr>
          <w:spacing w:val="-7"/>
          <w:sz w:val="18"/>
        </w:rPr>
        <w:t> </w:t>
      </w:r>
      <w:r>
        <w:rPr>
          <w:sz w:val="18"/>
        </w:rPr>
        <w:t>possible</w:t>
      </w:r>
      <w:r>
        <w:rPr>
          <w:spacing w:val="-9"/>
          <w:sz w:val="18"/>
        </w:rPr>
        <w:t> </w:t>
      </w:r>
      <w:r>
        <w:rPr>
          <w:sz w:val="18"/>
        </w:rPr>
        <w:t>to</w:t>
      </w:r>
      <w:r>
        <w:rPr>
          <w:spacing w:val="-7"/>
          <w:sz w:val="18"/>
        </w:rPr>
        <w:t> </w:t>
      </w:r>
      <w:r>
        <w:rPr>
          <w:sz w:val="18"/>
        </w:rPr>
        <w:t>use</w:t>
      </w:r>
      <w:r>
        <w:rPr>
          <w:spacing w:val="-9"/>
          <w:sz w:val="18"/>
        </w:rPr>
        <w:t> </w:t>
      </w:r>
      <w:r>
        <w:rPr>
          <w:sz w:val="18"/>
        </w:rPr>
        <w:t>GPS</w:t>
      </w:r>
      <w:r>
        <w:rPr>
          <w:spacing w:val="-6"/>
          <w:sz w:val="18"/>
        </w:rPr>
        <w:t> </w:t>
      </w:r>
      <w:r>
        <w:rPr>
          <w:sz w:val="18"/>
        </w:rPr>
        <w:t>spoofing</w:t>
      </w:r>
      <w:r>
        <w:rPr>
          <w:spacing w:val="-8"/>
          <w:sz w:val="18"/>
        </w:rPr>
        <w:t> </w:t>
      </w:r>
      <w:r>
        <w:rPr>
          <w:sz w:val="18"/>
        </w:rPr>
        <w:t>software,</w:t>
      </w:r>
      <w:r>
        <w:rPr>
          <w:spacing w:val="-7"/>
          <w:sz w:val="18"/>
        </w:rPr>
        <w:t> </w:t>
      </w:r>
      <w:r>
        <w:rPr>
          <w:sz w:val="18"/>
        </w:rPr>
        <w:t>which</w:t>
      </w:r>
      <w:r>
        <w:rPr>
          <w:spacing w:val="-8"/>
          <w:sz w:val="18"/>
        </w:rPr>
        <w:t> </w:t>
      </w:r>
      <w:r>
        <w:rPr>
          <w:sz w:val="18"/>
        </w:rPr>
        <w:t>sets</w:t>
      </w:r>
      <w:r>
        <w:rPr>
          <w:spacing w:val="-6"/>
          <w:sz w:val="18"/>
        </w:rPr>
        <w:t> </w:t>
      </w:r>
      <w:r>
        <w:rPr>
          <w:sz w:val="18"/>
        </w:rPr>
        <w:t>up</w:t>
      </w:r>
      <w:r>
        <w:rPr>
          <w:spacing w:val="-5"/>
          <w:sz w:val="18"/>
        </w:rPr>
        <w:t> </w:t>
      </w:r>
      <w:r>
        <w:rPr>
          <w:sz w:val="18"/>
        </w:rPr>
        <w:t>a</w:t>
      </w:r>
      <w:r>
        <w:rPr>
          <w:spacing w:val="-9"/>
          <w:sz w:val="18"/>
        </w:rPr>
        <w:t> </w:t>
      </w:r>
      <w:r>
        <w:rPr>
          <w:sz w:val="18"/>
        </w:rPr>
        <w:t>fake</w:t>
      </w:r>
      <w:r>
        <w:rPr>
          <w:spacing w:val="-5"/>
          <w:sz w:val="18"/>
        </w:rPr>
        <w:t> </w:t>
      </w:r>
      <w:r>
        <w:rPr>
          <w:sz w:val="18"/>
        </w:rPr>
        <w:t>GPS</w:t>
      </w:r>
      <w:r>
        <w:rPr>
          <w:spacing w:val="-8"/>
          <w:sz w:val="18"/>
        </w:rPr>
        <w:t> </w:t>
      </w:r>
      <w:r>
        <w:rPr>
          <w:sz w:val="18"/>
        </w:rPr>
        <w:t>location</w:t>
      </w:r>
      <w:r>
        <w:rPr>
          <w:spacing w:val="-6"/>
          <w:sz w:val="18"/>
        </w:rPr>
        <w:t> </w:t>
      </w:r>
      <w:r>
        <w:rPr>
          <w:sz w:val="18"/>
        </w:rPr>
        <w:t>for</w:t>
      </w:r>
      <w:r>
        <w:rPr>
          <w:spacing w:val="-6"/>
          <w:sz w:val="18"/>
        </w:rPr>
        <w:t> </w:t>
      </w:r>
      <w:r>
        <w:rPr>
          <w:sz w:val="18"/>
        </w:rPr>
        <w:t>the</w:t>
      </w:r>
      <w:r>
        <w:rPr>
          <w:spacing w:val="-6"/>
          <w:sz w:val="18"/>
        </w:rPr>
        <w:t> </w:t>
      </w:r>
      <w:r>
        <w:rPr>
          <w:sz w:val="18"/>
        </w:rPr>
        <w:t>user.</w:t>
      </w:r>
      <w:r>
        <w:rPr>
          <w:spacing w:val="-10"/>
          <w:sz w:val="18"/>
        </w:rPr>
        <w:t> </w:t>
      </w:r>
      <w:r>
        <w:rPr>
          <w:sz w:val="18"/>
        </w:rPr>
        <w:t>Much</w:t>
      </w:r>
      <w:r>
        <w:rPr>
          <w:spacing w:val="-6"/>
          <w:sz w:val="18"/>
        </w:rPr>
        <w:t> </w:t>
      </w:r>
      <w:r>
        <w:rPr>
          <w:sz w:val="18"/>
        </w:rPr>
        <w:t>like</w:t>
      </w:r>
      <w:r>
        <w:rPr>
          <w:spacing w:val="-8"/>
          <w:sz w:val="18"/>
        </w:rPr>
        <w:t> </w:t>
      </w:r>
      <w:r>
        <w:rPr>
          <w:sz w:val="18"/>
        </w:rPr>
        <w:t>with</w:t>
      </w:r>
      <w:r>
        <w:rPr>
          <w:spacing w:val="3"/>
          <w:sz w:val="18"/>
        </w:rPr>
        <w:t> </w:t>
      </w:r>
      <w:r>
        <w:rPr>
          <w:sz w:val="18"/>
        </w:rPr>
        <w:t>the</w:t>
      </w:r>
      <w:r>
        <w:rPr>
          <w:spacing w:val="-5"/>
          <w:sz w:val="18"/>
        </w:rPr>
        <w:t> </w:t>
      </w:r>
      <w:r>
        <w:rPr>
          <w:sz w:val="18"/>
        </w:rPr>
        <w:t>VPN, users would appear to be in the location of their choosing, when using this software. However, unlike with the VPN, which can be used to access content in other jurisdictions, GPS spoofing is used solely as a privacy tool and its use does not seem to be as widespread as the use of a</w:t>
      </w:r>
      <w:r>
        <w:rPr>
          <w:spacing w:val="-9"/>
          <w:sz w:val="18"/>
        </w:rPr>
        <w:t> </w:t>
      </w:r>
      <w:r>
        <w:rPr>
          <w:sz w:val="18"/>
        </w:rPr>
        <w:t>VPN.</w:t>
      </w:r>
    </w:p>
    <w:p>
      <w:pPr>
        <w:pStyle w:val="ListParagraph"/>
        <w:numPr>
          <w:ilvl w:val="0"/>
          <w:numId w:val="14"/>
        </w:numPr>
        <w:tabs>
          <w:tab w:pos="931" w:val="left" w:leader="none"/>
        </w:tabs>
        <w:spacing w:line="278" w:lineRule="auto" w:before="77" w:after="0"/>
        <w:ind w:left="723" w:right="481" w:firstLine="0"/>
        <w:jc w:val="both"/>
        <w:rPr>
          <w:sz w:val="18"/>
        </w:rPr>
      </w:pPr>
      <w:r>
        <w:rPr>
          <w:sz w:val="18"/>
        </w:rPr>
        <w:t>Further consideration will be given to how the revenue sourcing rules apply for cases of generic advertising where the online advertising MNE may not be charging on a view or click basis but on a fixed fee basis, and whether such MNE may not have the relevant data on the</w:t>
      </w:r>
      <w:r>
        <w:rPr>
          <w:spacing w:val="-9"/>
          <w:sz w:val="18"/>
        </w:rPr>
        <w:t> </w:t>
      </w:r>
      <w:r>
        <w:rPr>
          <w:sz w:val="18"/>
        </w:rPr>
        <w:t>viewers.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wants to reach. This indicator is the starting point for the purpose of revenue sourcing for MNEs involved in online advertising and will be most relevant for advertisements that target users based on their usual residence, demographic and behavioural characteristics, </w:t>
      </w:r>
      <w:r>
        <w:rPr>
          <w:spacing w:val="2"/>
        </w:rPr>
        <w:t>or </w:t>
      </w:r>
      <w:r>
        <w:rPr/>
        <w:t>a combination thereof. In cases of last resort, if</w:t>
      </w:r>
      <w:r>
        <w:rPr>
          <w:spacing w:val="-12"/>
        </w:rPr>
        <w:t> </w:t>
      </w:r>
      <w:r>
        <w:rPr/>
        <w:t>the</w:t>
      </w:r>
      <w:r>
        <w:rPr>
          <w:spacing w:val="-13"/>
        </w:rPr>
        <w:t> </w:t>
      </w:r>
      <w:r>
        <w:rPr/>
        <w:t>MNE</w:t>
      </w:r>
      <w:r>
        <w:rPr>
          <w:spacing w:val="-15"/>
        </w:rPr>
        <w:t> </w:t>
      </w:r>
      <w:r>
        <w:rPr/>
        <w:t>does</w:t>
      </w:r>
      <w:r>
        <w:rPr>
          <w:spacing w:val="-11"/>
        </w:rPr>
        <w:t> </w:t>
      </w:r>
      <w:r>
        <w:rPr/>
        <w:t>not</w:t>
      </w:r>
      <w:r>
        <w:rPr>
          <w:spacing w:val="-11"/>
        </w:rPr>
        <w:t> </w:t>
      </w:r>
      <w:r>
        <w:rPr/>
        <w:t>have</w:t>
      </w:r>
      <w:r>
        <w:rPr>
          <w:spacing w:val="-13"/>
        </w:rPr>
        <w:t> </w:t>
      </w:r>
      <w:r>
        <w:rPr/>
        <w:t>this</w:t>
      </w:r>
      <w:r>
        <w:rPr>
          <w:spacing w:val="-13"/>
        </w:rPr>
        <w:t> </w:t>
      </w:r>
      <w:r>
        <w:rPr/>
        <w:t>information</w:t>
      </w:r>
      <w:r>
        <w:rPr>
          <w:spacing w:val="-13"/>
        </w:rPr>
        <w:t> </w:t>
      </w:r>
      <w:r>
        <w:rPr/>
        <w:t>available,</w:t>
      </w:r>
      <w:r>
        <w:rPr>
          <w:spacing w:val="-12"/>
        </w:rPr>
        <w:t> </w:t>
      </w:r>
      <w:r>
        <w:rPr/>
        <w:t>or</w:t>
      </w:r>
      <w:r>
        <w:rPr>
          <w:spacing w:val="-12"/>
        </w:rPr>
        <w:t> </w:t>
      </w:r>
      <w:r>
        <w:rPr/>
        <w:t>if</w:t>
      </w:r>
      <w:r>
        <w:rPr>
          <w:spacing w:val="-12"/>
        </w:rPr>
        <w:t> </w:t>
      </w:r>
      <w:r>
        <w:rPr/>
        <w:t>the</w:t>
      </w:r>
      <w:r>
        <w:rPr>
          <w:spacing w:val="-13"/>
        </w:rPr>
        <w:t> </w:t>
      </w:r>
      <w:r>
        <w:rPr/>
        <w:t>indicators</w:t>
      </w:r>
      <w:r>
        <w:rPr>
          <w:spacing w:val="-12"/>
        </w:rPr>
        <w:t> </w:t>
      </w:r>
      <w:r>
        <w:rPr/>
        <w:t>derived</w:t>
      </w:r>
      <w:r>
        <w:rPr>
          <w:spacing w:val="-13"/>
        </w:rPr>
        <w:t> </w:t>
      </w:r>
      <w:r>
        <w:rPr/>
        <w:t>from</w:t>
      </w:r>
      <w:r>
        <w:rPr>
          <w:spacing w:val="-10"/>
        </w:rPr>
        <w:t> </w:t>
      </w:r>
      <w:r>
        <w:rPr/>
        <w:t>user</w:t>
      </w:r>
      <w:r>
        <w:rPr>
          <w:spacing w:val="-14"/>
        </w:rPr>
        <w:t> </w:t>
      </w:r>
      <w:r>
        <w:rPr/>
        <w:t>profile</w:t>
      </w:r>
      <w:r>
        <w:rPr>
          <w:spacing w:val="-13"/>
        </w:rPr>
        <w:t> </w:t>
      </w:r>
      <w:r>
        <w:rPr/>
        <w:t>information are unreliable, it may use geolocation or IP address to determine the real-time location of the viewer instead. In such cases, the MNE should adequately document the reasons why other indicators were not available, to justify its use of these</w:t>
      </w:r>
      <w:r>
        <w:rPr>
          <w:spacing w:val="-8"/>
        </w:rPr>
        <w:t> </w:t>
      </w:r>
      <w:r>
        <w:rPr/>
        <w:t>indicators.</w:t>
      </w:r>
    </w:p>
    <w:p>
      <w:pPr>
        <w:pStyle w:val="ListParagraph"/>
        <w:numPr>
          <w:ilvl w:val="0"/>
          <w:numId w:val="13"/>
        </w:numPr>
        <w:tabs>
          <w:tab w:pos="1444" w:val="left" w:leader="none"/>
        </w:tabs>
        <w:spacing w:line="271" w:lineRule="auto" w:before="120" w:after="0"/>
        <w:ind w:left="723" w:right="485" w:firstLine="0"/>
        <w:jc w:val="both"/>
        <w:rPr>
          <w:sz w:val="20"/>
        </w:rPr>
      </w:pPr>
      <w:r>
        <w:rPr>
          <w:sz w:val="20"/>
        </w:rPr>
        <w:t>When the MNE uses a combination of information derived from a user profile and information on the real-time location of the user, the MNE should apply the sourcing rule that reflects the type of information which is in general more important for the type of advertising in question. On the other hand, when the MNE has, for example, one category of advertisements based on geolocation data and another based on other factors, different sourcing rules should generally be employed for</w:t>
      </w:r>
      <w:r>
        <w:rPr>
          <w:spacing w:val="-23"/>
          <w:sz w:val="20"/>
        </w:rPr>
        <w:t> </w:t>
      </w:r>
      <w:r>
        <w:rPr>
          <w:sz w:val="20"/>
        </w:rPr>
        <w:t>each.</w:t>
      </w:r>
    </w:p>
    <w:p>
      <w:pPr>
        <w:pStyle w:val="ListParagraph"/>
        <w:numPr>
          <w:ilvl w:val="0"/>
          <w:numId w:val="13"/>
        </w:numPr>
        <w:tabs>
          <w:tab w:pos="1444" w:val="left" w:leader="none"/>
        </w:tabs>
        <w:spacing w:line="271" w:lineRule="auto" w:before="122" w:after="0"/>
        <w:ind w:left="723" w:right="487" w:firstLine="0"/>
        <w:jc w:val="both"/>
        <w:rPr>
          <w:sz w:val="20"/>
        </w:rPr>
      </w:pPr>
      <w:r>
        <w:rPr>
          <w:sz w:val="20"/>
        </w:rPr>
        <w:t>Furthermore,</w:t>
      </w:r>
      <w:r>
        <w:rPr>
          <w:spacing w:val="-9"/>
          <w:sz w:val="20"/>
        </w:rPr>
        <w:t> </w:t>
      </w:r>
      <w:r>
        <w:rPr>
          <w:sz w:val="20"/>
        </w:rPr>
        <w:t>it</w:t>
      </w:r>
      <w:r>
        <w:rPr>
          <w:spacing w:val="-7"/>
          <w:sz w:val="20"/>
        </w:rPr>
        <w:t> </w:t>
      </w:r>
      <w:r>
        <w:rPr>
          <w:sz w:val="20"/>
        </w:rPr>
        <w:t>is</w:t>
      </w:r>
      <w:r>
        <w:rPr>
          <w:spacing w:val="-8"/>
          <w:sz w:val="20"/>
        </w:rPr>
        <w:t> </w:t>
      </w:r>
      <w:r>
        <w:rPr>
          <w:sz w:val="20"/>
        </w:rPr>
        <w:t>recognised</w:t>
      </w:r>
      <w:r>
        <w:rPr>
          <w:spacing w:val="-9"/>
          <w:sz w:val="20"/>
        </w:rPr>
        <w:t> </w:t>
      </w:r>
      <w:r>
        <w:rPr>
          <w:sz w:val="20"/>
        </w:rPr>
        <w:t>that</w:t>
      </w:r>
      <w:r>
        <w:rPr>
          <w:spacing w:val="-7"/>
          <w:sz w:val="20"/>
        </w:rPr>
        <w:t> </w:t>
      </w:r>
      <w:r>
        <w:rPr>
          <w:sz w:val="20"/>
        </w:rPr>
        <w:t>an</w:t>
      </w:r>
      <w:r>
        <w:rPr>
          <w:spacing w:val="-7"/>
          <w:sz w:val="20"/>
        </w:rPr>
        <w:t> </w:t>
      </w:r>
      <w:r>
        <w:rPr>
          <w:sz w:val="20"/>
        </w:rPr>
        <w:t>MNE</w:t>
      </w:r>
      <w:r>
        <w:rPr>
          <w:spacing w:val="-7"/>
          <w:sz w:val="20"/>
        </w:rPr>
        <w:t> </w:t>
      </w:r>
      <w:r>
        <w:rPr>
          <w:sz w:val="20"/>
        </w:rPr>
        <w:t>involved</w:t>
      </w:r>
      <w:r>
        <w:rPr>
          <w:spacing w:val="-6"/>
          <w:sz w:val="20"/>
        </w:rPr>
        <w:t> </w:t>
      </w:r>
      <w:r>
        <w:rPr>
          <w:sz w:val="20"/>
        </w:rPr>
        <w:t>in</w:t>
      </w:r>
      <w:r>
        <w:rPr>
          <w:spacing w:val="-7"/>
          <w:sz w:val="20"/>
        </w:rPr>
        <w:t> </w:t>
      </w:r>
      <w:r>
        <w:rPr>
          <w:sz w:val="20"/>
        </w:rPr>
        <w:t>the</w:t>
      </w:r>
      <w:r>
        <w:rPr>
          <w:spacing w:val="-7"/>
          <w:sz w:val="20"/>
        </w:rPr>
        <w:t> </w:t>
      </w:r>
      <w:r>
        <w:rPr>
          <w:sz w:val="20"/>
        </w:rPr>
        <w:t>provision</w:t>
      </w:r>
      <w:r>
        <w:rPr>
          <w:spacing w:val="-7"/>
          <w:sz w:val="20"/>
        </w:rPr>
        <w:t> </w:t>
      </w:r>
      <w:r>
        <w:rPr>
          <w:sz w:val="20"/>
        </w:rPr>
        <w:t>of</w:t>
      </w:r>
      <w:r>
        <w:rPr>
          <w:spacing w:val="-7"/>
          <w:sz w:val="20"/>
        </w:rPr>
        <w:t> </w:t>
      </w:r>
      <w:r>
        <w:rPr>
          <w:sz w:val="20"/>
        </w:rPr>
        <w:t>online</w:t>
      </w:r>
      <w:r>
        <w:rPr>
          <w:spacing w:val="-7"/>
          <w:sz w:val="20"/>
        </w:rPr>
        <w:t> </w:t>
      </w:r>
      <w:r>
        <w:rPr>
          <w:sz w:val="20"/>
        </w:rPr>
        <w:t>advertising</w:t>
      </w:r>
      <w:r>
        <w:rPr>
          <w:spacing w:val="-7"/>
          <w:sz w:val="20"/>
        </w:rPr>
        <w:t> </w:t>
      </w:r>
      <w:r>
        <w:rPr>
          <w:sz w:val="20"/>
        </w:rPr>
        <w:t>by</w:t>
      </w:r>
      <w:r>
        <w:rPr>
          <w:spacing w:val="-10"/>
          <w:sz w:val="20"/>
        </w:rPr>
        <w:t> </w:t>
      </w:r>
      <w:r>
        <w:rPr>
          <w:sz w:val="20"/>
        </w:rPr>
        <w:t>way</w:t>
      </w:r>
      <w:r>
        <w:rPr>
          <w:spacing w:val="-10"/>
          <w:sz w:val="20"/>
        </w:rPr>
        <w:t> </w:t>
      </w:r>
      <w:r>
        <w:rPr>
          <w:sz w:val="20"/>
        </w:rPr>
        <w:t>of real time bidding may be in scope as both an online advertising service and a service transmitting data about</w:t>
      </w:r>
      <w:r>
        <w:rPr>
          <w:spacing w:val="-10"/>
          <w:sz w:val="20"/>
        </w:rPr>
        <w:t> </w:t>
      </w:r>
      <w:r>
        <w:rPr>
          <w:sz w:val="20"/>
        </w:rPr>
        <w:t>users.</w:t>
      </w:r>
      <w:r>
        <w:rPr>
          <w:spacing w:val="-9"/>
          <w:sz w:val="20"/>
        </w:rPr>
        <w:t> </w:t>
      </w:r>
      <w:r>
        <w:rPr>
          <w:sz w:val="20"/>
        </w:rPr>
        <w:t>In</w:t>
      </w:r>
      <w:r>
        <w:rPr>
          <w:spacing w:val="-7"/>
          <w:sz w:val="20"/>
        </w:rPr>
        <w:t> </w:t>
      </w:r>
      <w:r>
        <w:rPr>
          <w:sz w:val="20"/>
        </w:rPr>
        <w:t>order</w:t>
      </w:r>
      <w:r>
        <w:rPr>
          <w:spacing w:val="-8"/>
          <w:sz w:val="20"/>
        </w:rPr>
        <w:t> </w:t>
      </w:r>
      <w:r>
        <w:rPr>
          <w:sz w:val="20"/>
        </w:rPr>
        <w:t>to</w:t>
      </w:r>
      <w:r>
        <w:rPr>
          <w:spacing w:val="-7"/>
          <w:sz w:val="20"/>
        </w:rPr>
        <w:t> </w:t>
      </w:r>
      <w:r>
        <w:rPr>
          <w:sz w:val="20"/>
        </w:rPr>
        <w:t>ensure</w:t>
      </w:r>
      <w:r>
        <w:rPr>
          <w:spacing w:val="-9"/>
          <w:sz w:val="20"/>
        </w:rPr>
        <w:t> </w:t>
      </w:r>
      <w:r>
        <w:rPr>
          <w:sz w:val="20"/>
        </w:rPr>
        <w:t>certainty</w:t>
      </w:r>
      <w:r>
        <w:rPr>
          <w:spacing w:val="-11"/>
          <w:sz w:val="20"/>
        </w:rPr>
        <w:t> </w:t>
      </w:r>
      <w:r>
        <w:rPr>
          <w:sz w:val="20"/>
        </w:rPr>
        <w:t>in</w:t>
      </w:r>
      <w:r>
        <w:rPr>
          <w:spacing w:val="-7"/>
          <w:sz w:val="20"/>
        </w:rPr>
        <w:t> </w:t>
      </w:r>
      <w:r>
        <w:rPr>
          <w:sz w:val="20"/>
        </w:rPr>
        <w:t>the</w:t>
      </w:r>
      <w:r>
        <w:rPr>
          <w:spacing w:val="-7"/>
          <w:sz w:val="20"/>
        </w:rPr>
        <w:t> </w:t>
      </w:r>
      <w:r>
        <w:rPr>
          <w:sz w:val="20"/>
        </w:rPr>
        <w:t>application</w:t>
      </w:r>
      <w:r>
        <w:rPr>
          <w:spacing w:val="-9"/>
          <w:sz w:val="20"/>
        </w:rPr>
        <w:t> </w:t>
      </w:r>
      <w:r>
        <w:rPr>
          <w:sz w:val="20"/>
        </w:rPr>
        <w:t>of</w:t>
      </w:r>
      <w:r>
        <w:rPr>
          <w:spacing w:val="-7"/>
          <w:sz w:val="20"/>
        </w:rPr>
        <w:t> </w:t>
      </w:r>
      <w:r>
        <w:rPr>
          <w:sz w:val="20"/>
        </w:rPr>
        <w:t>revenue</w:t>
      </w:r>
      <w:r>
        <w:rPr>
          <w:spacing w:val="-9"/>
          <w:sz w:val="20"/>
        </w:rPr>
        <w:t> </w:t>
      </w:r>
      <w:r>
        <w:rPr>
          <w:sz w:val="20"/>
        </w:rPr>
        <w:t>sourcing</w:t>
      </w:r>
      <w:r>
        <w:rPr>
          <w:spacing w:val="-10"/>
          <w:sz w:val="20"/>
        </w:rPr>
        <w:t> </w:t>
      </w:r>
      <w:r>
        <w:rPr>
          <w:sz w:val="20"/>
        </w:rPr>
        <w:t>rules,</w:t>
      </w:r>
      <w:r>
        <w:rPr>
          <w:spacing w:val="-9"/>
          <w:sz w:val="20"/>
        </w:rPr>
        <w:t> </w:t>
      </w:r>
      <w:r>
        <w:rPr>
          <w:sz w:val="20"/>
        </w:rPr>
        <w:t>the</w:t>
      </w:r>
      <w:r>
        <w:rPr>
          <w:spacing w:val="-9"/>
          <w:sz w:val="20"/>
        </w:rPr>
        <w:t> </w:t>
      </w:r>
      <w:r>
        <w:rPr>
          <w:sz w:val="20"/>
        </w:rPr>
        <w:t>sourcing</w:t>
      </w:r>
      <w:r>
        <w:rPr>
          <w:spacing w:val="-9"/>
          <w:sz w:val="20"/>
        </w:rPr>
        <w:t> </w:t>
      </w:r>
      <w:r>
        <w:rPr>
          <w:sz w:val="20"/>
        </w:rPr>
        <w:t>rules</w:t>
      </w:r>
      <w:r>
        <w:rPr>
          <w:spacing w:val="-8"/>
          <w:sz w:val="20"/>
        </w:rPr>
        <w:t> </w:t>
      </w:r>
      <w:r>
        <w:rPr>
          <w:sz w:val="20"/>
        </w:rPr>
        <w:t>for online advertising and services transmitting data about users are aligned, so that an MNE that finds itself in scope under both categories will use the same hierarchy of sourcing indicators under Amount</w:t>
      </w:r>
      <w:r>
        <w:rPr>
          <w:spacing w:val="-38"/>
          <w:sz w:val="20"/>
        </w:rPr>
        <w:t> </w:t>
      </w:r>
      <w:r>
        <w:rPr>
          <w:sz w:val="20"/>
        </w:rPr>
        <w:t>A.</w:t>
      </w:r>
    </w:p>
    <w:p>
      <w:pPr>
        <w:pStyle w:val="BodyText"/>
        <w:spacing w:before="2"/>
      </w:pPr>
    </w:p>
    <w:p>
      <w:pPr>
        <w:pStyle w:val="Heading8"/>
      </w:pPr>
      <w:bookmarkStart w:name="Revenue from sale or other alienation of" w:id="169"/>
      <w:bookmarkEnd w:id="169"/>
      <w:r>
        <w:rPr>
          <w:b w:val="0"/>
        </w:rPr>
      </w:r>
      <w:r>
        <w:rPr/>
        <w:t>Revenue from sale or other alienation of user data</w:t>
      </w:r>
    </w:p>
    <w:p>
      <w:pPr>
        <w:pStyle w:val="BodyText"/>
        <w:rPr>
          <w:b/>
          <w:sz w:val="19"/>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As more personal data has become available online, such as through the </w:t>
      </w:r>
      <w:r>
        <w:rPr>
          <w:spacing w:val="3"/>
          <w:sz w:val="20"/>
        </w:rPr>
        <w:t>use </w:t>
      </w:r>
      <w:r>
        <w:rPr>
          <w:sz w:val="20"/>
        </w:rPr>
        <w:t>of social media or through Internet connected devices, MNEs can be in the business of acquiring and monetising that personal</w:t>
      </w:r>
      <w:r>
        <w:rPr>
          <w:spacing w:val="-17"/>
          <w:sz w:val="20"/>
        </w:rPr>
        <w:t> </w:t>
      </w:r>
      <w:r>
        <w:rPr>
          <w:sz w:val="20"/>
        </w:rPr>
        <w:t>data.</w:t>
      </w:r>
      <w:r>
        <w:rPr>
          <w:spacing w:val="-16"/>
          <w:sz w:val="20"/>
        </w:rPr>
        <w:t> </w:t>
      </w:r>
      <w:r>
        <w:rPr>
          <w:sz w:val="20"/>
        </w:rPr>
        <w:t>This</w:t>
      </w:r>
      <w:r>
        <w:rPr>
          <w:spacing w:val="-15"/>
          <w:sz w:val="20"/>
        </w:rPr>
        <w:t> </w:t>
      </w:r>
      <w:r>
        <w:rPr>
          <w:sz w:val="20"/>
        </w:rPr>
        <w:t>is</w:t>
      </w:r>
      <w:r>
        <w:rPr>
          <w:spacing w:val="-16"/>
          <w:sz w:val="20"/>
        </w:rPr>
        <w:t> </w:t>
      </w:r>
      <w:r>
        <w:rPr>
          <w:sz w:val="20"/>
        </w:rPr>
        <w:t>commonly</w:t>
      </w:r>
      <w:r>
        <w:rPr>
          <w:spacing w:val="-18"/>
          <w:sz w:val="20"/>
        </w:rPr>
        <w:t> </w:t>
      </w:r>
      <w:r>
        <w:rPr>
          <w:sz w:val="20"/>
        </w:rPr>
        <w:t>used</w:t>
      </w:r>
      <w:r>
        <w:rPr>
          <w:spacing w:val="-16"/>
          <w:sz w:val="20"/>
        </w:rPr>
        <w:t> </w:t>
      </w:r>
      <w:r>
        <w:rPr>
          <w:sz w:val="20"/>
        </w:rPr>
        <w:t>for</w:t>
      </w:r>
      <w:r>
        <w:rPr>
          <w:spacing w:val="-17"/>
          <w:sz w:val="20"/>
        </w:rPr>
        <w:t> </w:t>
      </w:r>
      <w:r>
        <w:rPr>
          <w:sz w:val="20"/>
        </w:rPr>
        <w:t>sale</w:t>
      </w:r>
      <w:r>
        <w:rPr>
          <w:spacing w:val="-17"/>
          <w:sz w:val="20"/>
        </w:rPr>
        <w:t> </w:t>
      </w:r>
      <w:r>
        <w:rPr>
          <w:sz w:val="20"/>
        </w:rPr>
        <w:t>to</w:t>
      </w:r>
      <w:r>
        <w:rPr>
          <w:spacing w:val="-16"/>
          <w:sz w:val="20"/>
        </w:rPr>
        <w:t> </w:t>
      </w:r>
      <w:r>
        <w:rPr>
          <w:sz w:val="20"/>
        </w:rPr>
        <w:t>a</w:t>
      </w:r>
      <w:r>
        <w:rPr>
          <w:spacing w:val="-17"/>
          <w:sz w:val="20"/>
        </w:rPr>
        <w:t> </w:t>
      </w:r>
      <w:r>
        <w:rPr>
          <w:sz w:val="20"/>
        </w:rPr>
        <w:t>company</w:t>
      </w:r>
      <w:r>
        <w:rPr>
          <w:spacing w:val="-18"/>
          <w:sz w:val="20"/>
        </w:rPr>
        <w:t> </w:t>
      </w:r>
      <w:r>
        <w:rPr>
          <w:sz w:val="20"/>
        </w:rPr>
        <w:t>or</w:t>
      </w:r>
      <w:r>
        <w:rPr>
          <w:spacing w:val="-15"/>
          <w:sz w:val="20"/>
        </w:rPr>
        <w:t> </w:t>
      </w:r>
      <w:r>
        <w:rPr>
          <w:sz w:val="20"/>
        </w:rPr>
        <w:t>campaign</w:t>
      </w:r>
      <w:r>
        <w:rPr>
          <w:spacing w:val="-16"/>
          <w:sz w:val="20"/>
        </w:rPr>
        <w:t> </w:t>
      </w:r>
      <w:r>
        <w:rPr>
          <w:sz w:val="20"/>
        </w:rPr>
        <w:t>that</w:t>
      </w:r>
      <w:r>
        <w:rPr>
          <w:spacing w:val="-17"/>
          <w:sz w:val="20"/>
        </w:rPr>
        <w:t> </w:t>
      </w:r>
      <w:r>
        <w:rPr>
          <w:sz w:val="20"/>
        </w:rPr>
        <w:t>can</w:t>
      </w:r>
      <w:r>
        <w:rPr>
          <w:spacing w:val="-17"/>
          <w:sz w:val="20"/>
        </w:rPr>
        <w:t> </w:t>
      </w:r>
      <w:r>
        <w:rPr>
          <w:sz w:val="20"/>
        </w:rPr>
        <w:t>then</w:t>
      </w:r>
      <w:r>
        <w:rPr>
          <w:spacing w:val="-18"/>
          <w:sz w:val="20"/>
        </w:rPr>
        <w:t> </w:t>
      </w:r>
      <w:r>
        <w:rPr>
          <w:sz w:val="20"/>
        </w:rPr>
        <w:t>target</w:t>
      </w:r>
      <w:r>
        <w:rPr>
          <w:spacing w:val="-14"/>
          <w:sz w:val="20"/>
        </w:rPr>
        <w:t> </w:t>
      </w:r>
      <w:r>
        <w:rPr>
          <w:sz w:val="20"/>
        </w:rPr>
        <w:t>its</w:t>
      </w:r>
      <w:r>
        <w:rPr>
          <w:spacing w:val="-16"/>
          <w:sz w:val="20"/>
        </w:rPr>
        <w:t> </w:t>
      </w:r>
      <w:r>
        <w:rPr>
          <w:sz w:val="20"/>
        </w:rPr>
        <w:t>advertising to the most relevant users. As outlined in the guidance on online advertising, these companies are generally creating an “advertising profile” to facilitate targeted advertising. This profile contains a set of data,</w:t>
      </w:r>
      <w:r>
        <w:rPr>
          <w:spacing w:val="-4"/>
          <w:sz w:val="20"/>
        </w:rPr>
        <w:t> </w:t>
      </w:r>
      <w:r>
        <w:rPr>
          <w:sz w:val="20"/>
        </w:rPr>
        <w:t>which</w:t>
      </w:r>
      <w:r>
        <w:rPr>
          <w:spacing w:val="-6"/>
          <w:sz w:val="20"/>
        </w:rPr>
        <w:t> </w:t>
      </w:r>
      <w:r>
        <w:rPr>
          <w:sz w:val="20"/>
        </w:rPr>
        <w:t>contains</w:t>
      </w:r>
      <w:r>
        <w:rPr>
          <w:spacing w:val="-5"/>
          <w:sz w:val="20"/>
        </w:rPr>
        <w:t> </w:t>
      </w:r>
      <w:r>
        <w:rPr>
          <w:sz w:val="20"/>
        </w:rPr>
        <w:t>pieces</w:t>
      </w:r>
      <w:r>
        <w:rPr>
          <w:spacing w:val="-4"/>
          <w:sz w:val="20"/>
        </w:rPr>
        <w:t> </w:t>
      </w:r>
      <w:r>
        <w:rPr>
          <w:sz w:val="20"/>
        </w:rPr>
        <w:t>of</w:t>
      </w:r>
      <w:r>
        <w:rPr>
          <w:spacing w:val="-7"/>
          <w:sz w:val="20"/>
        </w:rPr>
        <w:t> </w:t>
      </w:r>
      <w:r>
        <w:rPr>
          <w:sz w:val="20"/>
        </w:rPr>
        <w:t>information</w:t>
      </w:r>
      <w:r>
        <w:rPr>
          <w:spacing w:val="-6"/>
          <w:sz w:val="20"/>
        </w:rPr>
        <w:t> </w:t>
      </w:r>
      <w:r>
        <w:rPr>
          <w:sz w:val="20"/>
        </w:rPr>
        <w:t>about</w:t>
      </w:r>
      <w:r>
        <w:rPr>
          <w:spacing w:val="-5"/>
          <w:sz w:val="20"/>
        </w:rPr>
        <w:t> </w:t>
      </w:r>
      <w:r>
        <w:rPr>
          <w:sz w:val="20"/>
        </w:rPr>
        <w:t>users</w:t>
      </w:r>
      <w:r>
        <w:rPr>
          <w:spacing w:val="-4"/>
          <w:sz w:val="20"/>
        </w:rPr>
        <w:t> </w:t>
      </w:r>
      <w:r>
        <w:rPr>
          <w:sz w:val="20"/>
        </w:rPr>
        <w:t>personal</w:t>
      </w:r>
      <w:r>
        <w:rPr>
          <w:spacing w:val="-6"/>
          <w:sz w:val="20"/>
        </w:rPr>
        <w:t> </w:t>
      </w:r>
      <w:r>
        <w:rPr>
          <w:sz w:val="20"/>
        </w:rPr>
        <w:t>attributes</w:t>
      </w:r>
      <w:r>
        <w:rPr>
          <w:spacing w:val="2"/>
          <w:sz w:val="20"/>
        </w:rPr>
        <w:t> </w:t>
      </w:r>
      <w:r>
        <w:rPr>
          <w:sz w:val="20"/>
        </w:rPr>
        <w:t>(such</w:t>
      </w:r>
      <w:r>
        <w:rPr>
          <w:spacing w:val="-9"/>
          <w:sz w:val="20"/>
        </w:rPr>
        <w:t> </w:t>
      </w:r>
      <w:r>
        <w:rPr>
          <w:sz w:val="20"/>
        </w:rPr>
        <w:t>as</w:t>
      </w:r>
      <w:r>
        <w:rPr>
          <w:spacing w:val="-4"/>
          <w:sz w:val="20"/>
        </w:rPr>
        <w:t> </w:t>
      </w:r>
      <w:r>
        <w:rPr>
          <w:sz w:val="20"/>
        </w:rPr>
        <w:t>age,</w:t>
      </w:r>
      <w:r>
        <w:rPr>
          <w:spacing w:val="-6"/>
          <w:sz w:val="20"/>
        </w:rPr>
        <w:t> </w:t>
      </w:r>
      <w:r>
        <w:rPr>
          <w:sz w:val="20"/>
        </w:rPr>
        <w:t>gender,</w:t>
      </w:r>
      <w:r>
        <w:rPr>
          <w:spacing w:val="-6"/>
          <w:sz w:val="20"/>
        </w:rPr>
        <w:t> </w:t>
      </w:r>
      <w:r>
        <w:rPr>
          <w:sz w:val="20"/>
        </w:rPr>
        <w:t>hobbies, place of residence, marital status, income level), or pieces of information about features of a consumer’s device (such as operating system, brand, model, installed software, and device’s localisation</w:t>
      </w:r>
      <w:r>
        <w:rPr>
          <w:spacing w:val="-36"/>
          <w:sz w:val="20"/>
        </w:rPr>
        <w:t> </w:t>
      </w:r>
      <w:r>
        <w:rPr>
          <w:sz w:val="20"/>
        </w:rPr>
        <w:t>data).</w:t>
      </w:r>
    </w:p>
    <w:p>
      <w:pPr>
        <w:pStyle w:val="ListParagraph"/>
        <w:numPr>
          <w:ilvl w:val="0"/>
          <w:numId w:val="13"/>
        </w:numPr>
        <w:tabs>
          <w:tab w:pos="1444" w:val="left" w:leader="none"/>
        </w:tabs>
        <w:spacing w:line="271" w:lineRule="auto" w:before="120" w:after="0"/>
        <w:ind w:left="723" w:right="479" w:firstLine="0"/>
        <w:jc w:val="both"/>
        <w:rPr>
          <w:sz w:val="20"/>
        </w:rPr>
      </w:pPr>
      <w:r>
        <w:rPr>
          <w:sz w:val="20"/>
        </w:rPr>
        <w:t>The sourcing rule is based on the information on either the ordinary residence or the real-time location of the users that are the subject of the data being transmitted. This recognises that the value of the data is derived from the information that is contained within the dataset, which could vary depending on what data points are being</w:t>
      </w:r>
      <w:r>
        <w:rPr>
          <w:spacing w:val="-5"/>
          <w:sz w:val="20"/>
        </w:rPr>
        <w:t> </w:t>
      </w:r>
      <w:r>
        <w:rPr>
          <w:sz w:val="20"/>
        </w:rPr>
        <w:t>collected.</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Therefore, if the data that is being transmitted is about the personal attributes of a user, the ordinary residence of the user is the most relevant sourcing rule, as this will reflect the contribution of that whole person’s profile and behaviour, which has been built over time primarily in the residence location. Conversely,</w:t>
      </w:r>
      <w:r>
        <w:rPr>
          <w:spacing w:val="-2"/>
          <w:sz w:val="20"/>
        </w:rPr>
        <w:t> </w:t>
      </w:r>
      <w:r>
        <w:rPr>
          <w:sz w:val="20"/>
        </w:rPr>
        <w:t>if</w:t>
      </w:r>
      <w:r>
        <w:rPr>
          <w:spacing w:val="-2"/>
          <w:sz w:val="20"/>
        </w:rPr>
        <w:t> </w:t>
      </w:r>
      <w:r>
        <w:rPr>
          <w:sz w:val="20"/>
        </w:rPr>
        <w:t>the</w:t>
      </w:r>
      <w:r>
        <w:rPr>
          <w:spacing w:val="-3"/>
          <w:sz w:val="20"/>
        </w:rPr>
        <w:t> </w:t>
      </w:r>
      <w:r>
        <w:rPr>
          <w:sz w:val="20"/>
        </w:rPr>
        <w:t>data</w:t>
      </w:r>
      <w:r>
        <w:rPr>
          <w:spacing w:val="-4"/>
          <w:sz w:val="20"/>
        </w:rPr>
        <w:t> </w:t>
      </w:r>
      <w:r>
        <w:rPr>
          <w:sz w:val="20"/>
        </w:rPr>
        <w:t>that</w:t>
      </w:r>
      <w:r>
        <w:rPr>
          <w:spacing w:val="-2"/>
          <w:sz w:val="20"/>
        </w:rPr>
        <w:t> </w:t>
      </w:r>
      <w:r>
        <w:rPr>
          <w:sz w:val="20"/>
        </w:rPr>
        <w:t>is</w:t>
      </w:r>
      <w:r>
        <w:rPr>
          <w:spacing w:val="-2"/>
          <w:sz w:val="20"/>
        </w:rPr>
        <w:t> </w:t>
      </w:r>
      <w:r>
        <w:rPr>
          <w:sz w:val="20"/>
        </w:rPr>
        <w:t>being</w:t>
      </w:r>
      <w:r>
        <w:rPr>
          <w:spacing w:val="-5"/>
          <w:sz w:val="20"/>
        </w:rPr>
        <w:t> </w:t>
      </w:r>
      <w:r>
        <w:rPr>
          <w:sz w:val="20"/>
        </w:rPr>
        <w:t>transmitted</w:t>
      </w:r>
      <w:r>
        <w:rPr>
          <w:spacing w:val="-3"/>
          <w:sz w:val="20"/>
        </w:rPr>
        <w:t> </w:t>
      </w:r>
      <w:r>
        <w:rPr>
          <w:sz w:val="20"/>
        </w:rPr>
        <w:t>is</w:t>
      </w:r>
      <w:r>
        <w:rPr>
          <w:spacing w:val="-3"/>
          <w:sz w:val="20"/>
        </w:rPr>
        <w:t> </w:t>
      </w:r>
      <w:r>
        <w:rPr>
          <w:sz w:val="20"/>
        </w:rPr>
        <w:t>only</w:t>
      </w:r>
      <w:r>
        <w:rPr>
          <w:spacing w:val="-4"/>
          <w:sz w:val="20"/>
        </w:rPr>
        <w:t> </w:t>
      </w:r>
      <w:r>
        <w:rPr>
          <w:sz w:val="20"/>
        </w:rPr>
        <w:t>about</w:t>
      </w:r>
      <w:r>
        <w:rPr>
          <w:spacing w:val="-4"/>
          <w:sz w:val="20"/>
        </w:rPr>
        <w:t> </w:t>
      </w:r>
      <w:r>
        <w:rPr>
          <w:sz w:val="20"/>
        </w:rPr>
        <w:t>the</w:t>
      </w:r>
      <w:r>
        <w:rPr>
          <w:spacing w:val="-3"/>
          <w:sz w:val="20"/>
        </w:rPr>
        <w:t> </w:t>
      </w:r>
      <w:r>
        <w:rPr>
          <w:sz w:val="20"/>
        </w:rPr>
        <w:t>real-time</w:t>
      </w:r>
      <w:r>
        <w:rPr>
          <w:spacing w:val="-4"/>
          <w:sz w:val="20"/>
        </w:rPr>
        <w:t> </w:t>
      </w:r>
      <w:r>
        <w:rPr>
          <w:sz w:val="20"/>
        </w:rPr>
        <w:t>location</w:t>
      </w:r>
      <w:r>
        <w:rPr>
          <w:spacing w:val="-2"/>
          <w:sz w:val="20"/>
        </w:rPr>
        <w:t> </w:t>
      </w:r>
      <w:r>
        <w:rPr>
          <w:sz w:val="20"/>
        </w:rPr>
        <w:t>of</w:t>
      </w:r>
      <w:r>
        <w:rPr>
          <w:spacing w:val="-1"/>
          <w:sz w:val="20"/>
        </w:rPr>
        <w:t> </w:t>
      </w:r>
      <w:r>
        <w:rPr>
          <w:sz w:val="20"/>
        </w:rPr>
        <w:t>the</w:t>
      </w:r>
      <w:r>
        <w:rPr>
          <w:spacing w:val="-4"/>
          <w:sz w:val="20"/>
        </w:rPr>
        <w:t> </w:t>
      </w:r>
      <w:r>
        <w:rPr>
          <w:sz w:val="20"/>
        </w:rPr>
        <w:t>user</w:t>
      </w:r>
      <w:r>
        <w:rPr>
          <w:spacing w:val="-3"/>
          <w:sz w:val="20"/>
        </w:rPr>
        <w:t> </w:t>
      </w:r>
      <w:r>
        <w:rPr>
          <w:sz w:val="20"/>
        </w:rPr>
        <w:t>at</w:t>
      </w:r>
      <w:r>
        <w:rPr>
          <w:spacing w:val="-4"/>
          <w:sz w:val="20"/>
        </w:rPr>
        <w:t> </w:t>
      </w:r>
      <w:r>
        <w:rPr>
          <w:sz w:val="20"/>
        </w:rPr>
        <w:t>the</w:t>
      </w:r>
      <w:r>
        <w:rPr>
          <w:spacing w:val="-4"/>
          <w:sz w:val="20"/>
        </w:rPr>
        <w:t> </w:t>
      </w:r>
      <w:r>
        <w:rPr>
          <w:sz w:val="20"/>
        </w:rPr>
        <w:t>point of data collection (rather than a more comprehensive user profile), the more relevant sourcing rule will be based on the real-time location of the user at the point of data</w:t>
      </w:r>
      <w:r>
        <w:rPr>
          <w:spacing w:val="-13"/>
          <w:sz w:val="20"/>
        </w:rPr>
        <w:t> </w:t>
      </w:r>
      <w:r>
        <w:rPr>
          <w:sz w:val="20"/>
        </w:rPr>
        <w:t>collection.</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In</w:t>
      </w:r>
      <w:r>
        <w:rPr>
          <w:spacing w:val="-7"/>
          <w:sz w:val="20"/>
        </w:rPr>
        <w:t> </w:t>
      </w:r>
      <w:r>
        <w:rPr>
          <w:sz w:val="20"/>
        </w:rPr>
        <w:t>cases</w:t>
      </w:r>
      <w:r>
        <w:rPr>
          <w:spacing w:val="-6"/>
          <w:sz w:val="20"/>
        </w:rPr>
        <w:t> </w:t>
      </w:r>
      <w:r>
        <w:rPr>
          <w:sz w:val="20"/>
        </w:rPr>
        <w:t>where</w:t>
      </w:r>
      <w:r>
        <w:rPr>
          <w:spacing w:val="-6"/>
          <w:sz w:val="20"/>
        </w:rPr>
        <w:t> </w:t>
      </w:r>
      <w:r>
        <w:rPr>
          <w:sz w:val="20"/>
        </w:rPr>
        <w:t>the</w:t>
      </w:r>
      <w:r>
        <w:rPr>
          <w:spacing w:val="-6"/>
          <w:sz w:val="20"/>
        </w:rPr>
        <w:t> </w:t>
      </w:r>
      <w:r>
        <w:rPr>
          <w:sz w:val="20"/>
        </w:rPr>
        <w:t>data</w:t>
      </w:r>
      <w:r>
        <w:rPr>
          <w:spacing w:val="-7"/>
          <w:sz w:val="20"/>
        </w:rPr>
        <w:t> </w:t>
      </w:r>
      <w:r>
        <w:rPr>
          <w:sz w:val="20"/>
        </w:rPr>
        <w:t>that</w:t>
      </w:r>
      <w:r>
        <w:rPr>
          <w:spacing w:val="-6"/>
          <w:sz w:val="20"/>
        </w:rPr>
        <w:t> </w:t>
      </w:r>
      <w:r>
        <w:rPr>
          <w:sz w:val="20"/>
        </w:rPr>
        <w:t>is</w:t>
      </w:r>
      <w:r>
        <w:rPr>
          <w:spacing w:val="-5"/>
          <w:sz w:val="20"/>
        </w:rPr>
        <w:t> </w:t>
      </w:r>
      <w:r>
        <w:rPr>
          <w:sz w:val="20"/>
        </w:rPr>
        <w:t>being</w:t>
      </w:r>
      <w:r>
        <w:rPr>
          <w:spacing w:val="-6"/>
          <w:sz w:val="20"/>
        </w:rPr>
        <w:t> </w:t>
      </w:r>
      <w:r>
        <w:rPr>
          <w:sz w:val="20"/>
        </w:rPr>
        <w:t>transmitted</w:t>
      </w:r>
      <w:r>
        <w:rPr>
          <w:spacing w:val="-7"/>
          <w:sz w:val="20"/>
        </w:rPr>
        <w:t> </w:t>
      </w:r>
      <w:r>
        <w:rPr>
          <w:sz w:val="20"/>
        </w:rPr>
        <w:t>reflects</w:t>
      </w:r>
      <w:r>
        <w:rPr>
          <w:spacing w:val="-5"/>
          <w:sz w:val="20"/>
        </w:rPr>
        <w:t> </w:t>
      </w:r>
      <w:r>
        <w:rPr>
          <w:sz w:val="20"/>
        </w:rPr>
        <w:t>a</w:t>
      </w:r>
      <w:r>
        <w:rPr>
          <w:spacing w:val="-7"/>
          <w:sz w:val="20"/>
        </w:rPr>
        <w:t> </w:t>
      </w:r>
      <w:r>
        <w:rPr>
          <w:sz w:val="20"/>
        </w:rPr>
        <w:t>dataset</w:t>
      </w:r>
      <w:r>
        <w:rPr>
          <w:spacing w:val="-6"/>
          <w:sz w:val="20"/>
        </w:rPr>
        <w:t> </w:t>
      </w:r>
      <w:r>
        <w:rPr>
          <w:sz w:val="20"/>
        </w:rPr>
        <w:t>that</w:t>
      </w:r>
      <w:r>
        <w:rPr>
          <w:spacing w:val="-4"/>
          <w:sz w:val="20"/>
        </w:rPr>
        <w:t> </w:t>
      </w:r>
      <w:r>
        <w:rPr>
          <w:sz w:val="20"/>
        </w:rPr>
        <w:t>is</w:t>
      </w:r>
      <w:r>
        <w:rPr>
          <w:spacing w:val="2"/>
          <w:sz w:val="20"/>
        </w:rPr>
        <w:t> </w:t>
      </w:r>
      <w:r>
        <w:rPr>
          <w:sz w:val="20"/>
        </w:rPr>
        <w:t>primarily</w:t>
      </w:r>
      <w:r>
        <w:rPr>
          <w:spacing w:val="-7"/>
          <w:sz w:val="20"/>
        </w:rPr>
        <w:t> </w:t>
      </w:r>
      <w:r>
        <w:rPr>
          <w:sz w:val="20"/>
        </w:rPr>
        <w:t>about</w:t>
      </w:r>
      <w:r>
        <w:rPr>
          <w:spacing w:val="-6"/>
          <w:sz w:val="20"/>
        </w:rPr>
        <w:t> </w:t>
      </w:r>
      <w:r>
        <w:rPr>
          <w:sz w:val="20"/>
        </w:rPr>
        <w:t>the</w:t>
      </w:r>
      <w:r>
        <w:rPr>
          <w:spacing w:val="-6"/>
          <w:sz w:val="20"/>
        </w:rPr>
        <w:t> </w:t>
      </w:r>
      <w:r>
        <w:rPr>
          <w:sz w:val="20"/>
        </w:rPr>
        <w:t>real- time location of the user, the MNE will use information on the geolocation of the user at the point of collection</w:t>
      </w:r>
      <w:r>
        <w:rPr>
          <w:spacing w:val="-13"/>
          <w:sz w:val="20"/>
        </w:rPr>
        <w:t> </w:t>
      </w:r>
      <w:r>
        <w:rPr>
          <w:sz w:val="20"/>
        </w:rPr>
        <w:t>of</w:t>
      </w:r>
      <w:r>
        <w:rPr>
          <w:spacing w:val="-12"/>
          <w:sz w:val="20"/>
        </w:rPr>
        <w:t> </w:t>
      </w:r>
      <w:r>
        <w:rPr>
          <w:sz w:val="20"/>
        </w:rPr>
        <w:t>the</w:t>
      </w:r>
      <w:r>
        <w:rPr>
          <w:spacing w:val="-14"/>
          <w:sz w:val="20"/>
        </w:rPr>
        <w:t> </w:t>
      </w:r>
      <w:r>
        <w:rPr>
          <w:sz w:val="20"/>
        </w:rPr>
        <w:t>data.</w:t>
      </w:r>
      <w:r>
        <w:rPr>
          <w:spacing w:val="-14"/>
          <w:sz w:val="20"/>
        </w:rPr>
        <w:t> </w:t>
      </w:r>
      <w:r>
        <w:rPr>
          <w:sz w:val="20"/>
        </w:rPr>
        <w:t>To</w:t>
      </w:r>
      <w:r>
        <w:rPr>
          <w:spacing w:val="-14"/>
          <w:sz w:val="20"/>
        </w:rPr>
        <w:t> </w:t>
      </w:r>
      <w:r>
        <w:rPr>
          <w:sz w:val="20"/>
        </w:rPr>
        <w:t>do</w:t>
      </w:r>
      <w:r>
        <w:rPr>
          <w:spacing w:val="-14"/>
          <w:sz w:val="20"/>
        </w:rPr>
        <w:t> </w:t>
      </w:r>
      <w:r>
        <w:rPr>
          <w:sz w:val="20"/>
        </w:rPr>
        <w:t>this,</w:t>
      </w:r>
      <w:r>
        <w:rPr>
          <w:spacing w:val="-14"/>
          <w:sz w:val="20"/>
        </w:rPr>
        <w:t> </w:t>
      </w:r>
      <w:r>
        <w:rPr>
          <w:sz w:val="20"/>
        </w:rPr>
        <w:t>the</w:t>
      </w:r>
      <w:r>
        <w:rPr>
          <w:spacing w:val="-14"/>
          <w:sz w:val="20"/>
        </w:rPr>
        <w:t> </w:t>
      </w:r>
      <w:r>
        <w:rPr>
          <w:sz w:val="20"/>
        </w:rPr>
        <w:t>MNE</w:t>
      </w:r>
      <w:r>
        <w:rPr>
          <w:spacing w:val="-12"/>
          <w:sz w:val="20"/>
        </w:rPr>
        <w:t> </w:t>
      </w:r>
      <w:r>
        <w:rPr>
          <w:sz w:val="20"/>
        </w:rPr>
        <w:t>will</w:t>
      </w:r>
      <w:r>
        <w:rPr>
          <w:spacing w:val="-15"/>
          <w:sz w:val="20"/>
        </w:rPr>
        <w:t> </w:t>
      </w:r>
      <w:r>
        <w:rPr>
          <w:sz w:val="20"/>
        </w:rPr>
        <w:t>prioritise</w:t>
      </w:r>
      <w:r>
        <w:rPr>
          <w:spacing w:val="-14"/>
          <w:sz w:val="20"/>
        </w:rPr>
        <w:t> </w:t>
      </w:r>
      <w:r>
        <w:rPr>
          <w:sz w:val="20"/>
        </w:rPr>
        <w:t>the</w:t>
      </w:r>
      <w:r>
        <w:rPr>
          <w:spacing w:val="-14"/>
          <w:sz w:val="20"/>
        </w:rPr>
        <w:t> </w:t>
      </w:r>
      <w:r>
        <w:rPr>
          <w:sz w:val="20"/>
        </w:rPr>
        <w:t>use</w:t>
      </w:r>
      <w:r>
        <w:rPr>
          <w:spacing w:val="-14"/>
          <w:sz w:val="20"/>
        </w:rPr>
        <w:t> </w:t>
      </w:r>
      <w:r>
        <w:rPr>
          <w:sz w:val="20"/>
        </w:rPr>
        <w:t>of</w:t>
      </w:r>
      <w:r>
        <w:rPr>
          <w:spacing w:val="-12"/>
          <w:sz w:val="20"/>
        </w:rPr>
        <w:t> </w:t>
      </w:r>
      <w:r>
        <w:rPr>
          <w:sz w:val="20"/>
        </w:rPr>
        <w:t>GPS,</w:t>
      </w:r>
      <w:r>
        <w:rPr>
          <w:spacing w:val="-14"/>
          <w:sz w:val="20"/>
        </w:rPr>
        <w:t> </w:t>
      </w:r>
      <w:r>
        <w:rPr>
          <w:sz w:val="20"/>
        </w:rPr>
        <w:t>or</w:t>
      </w:r>
      <w:r>
        <w:rPr>
          <w:spacing w:val="-13"/>
          <w:sz w:val="20"/>
        </w:rPr>
        <w:t> </w:t>
      </w:r>
      <w:r>
        <w:rPr>
          <w:sz w:val="20"/>
        </w:rPr>
        <w:t>other</w:t>
      </w:r>
      <w:r>
        <w:rPr>
          <w:spacing w:val="-13"/>
          <w:sz w:val="20"/>
        </w:rPr>
        <w:t> </w:t>
      </w:r>
      <w:r>
        <w:rPr>
          <w:sz w:val="20"/>
        </w:rPr>
        <w:t>geolocation</w:t>
      </w:r>
      <w:r>
        <w:rPr>
          <w:spacing w:val="-14"/>
          <w:sz w:val="20"/>
        </w:rPr>
        <w:t> </w:t>
      </w:r>
      <w:r>
        <w:rPr>
          <w:sz w:val="20"/>
        </w:rPr>
        <w:t>data</w:t>
      </w:r>
      <w:r>
        <w:rPr>
          <w:spacing w:val="-12"/>
          <w:sz w:val="20"/>
        </w:rPr>
        <w:t> </w:t>
      </w:r>
      <w:r>
        <w:rPr>
          <w:sz w:val="20"/>
        </w:rPr>
        <w:t>available, to determine the location of the user at the point of data collection. If this information is unavailable, the MNE</w:t>
      </w:r>
      <w:r>
        <w:rPr>
          <w:spacing w:val="-5"/>
          <w:sz w:val="20"/>
        </w:rPr>
        <w:t> </w:t>
      </w:r>
      <w:r>
        <w:rPr>
          <w:sz w:val="20"/>
        </w:rPr>
        <w:t>will</w:t>
      </w:r>
      <w:r>
        <w:rPr>
          <w:spacing w:val="-5"/>
          <w:sz w:val="20"/>
        </w:rPr>
        <w:t> </w:t>
      </w:r>
      <w:r>
        <w:rPr>
          <w:sz w:val="20"/>
        </w:rPr>
        <w:t>use</w:t>
      </w:r>
      <w:r>
        <w:rPr>
          <w:spacing w:val="-7"/>
          <w:sz w:val="20"/>
        </w:rPr>
        <w:t> </w:t>
      </w:r>
      <w:r>
        <w:rPr>
          <w:sz w:val="20"/>
        </w:rPr>
        <w:t>the</w:t>
      </w:r>
      <w:r>
        <w:rPr>
          <w:spacing w:val="-6"/>
          <w:sz w:val="20"/>
        </w:rPr>
        <w:t> </w:t>
      </w:r>
      <w:r>
        <w:rPr>
          <w:sz w:val="20"/>
        </w:rPr>
        <w:t>IP</w:t>
      </w:r>
      <w:r>
        <w:rPr>
          <w:spacing w:val="-4"/>
          <w:sz w:val="20"/>
        </w:rPr>
        <w:t> </w:t>
      </w:r>
      <w:r>
        <w:rPr>
          <w:sz w:val="20"/>
        </w:rPr>
        <w:t>address</w:t>
      </w:r>
      <w:r>
        <w:rPr>
          <w:spacing w:val="-5"/>
          <w:sz w:val="20"/>
        </w:rPr>
        <w:t> </w:t>
      </w:r>
      <w:r>
        <w:rPr>
          <w:sz w:val="20"/>
        </w:rPr>
        <w:t>of</w:t>
      </w:r>
      <w:r>
        <w:rPr>
          <w:spacing w:val="-5"/>
          <w:sz w:val="20"/>
        </w:rPr>
        <w:t> </w:t>
      </w:r>
      <w:r>
        <w:rPr>
          <w:sz w:val="20"/>
        </w:rPr>
        <w:t>the</w:t>
      </w:r>
      <w:r>
        <w:rPr>
          <w:spacing w:val="-7"/>
          <w:sz w:val="20"/>
        </w:rPr>
        <w:t> </w:t>
      </w:r>
      <w:r>
        <w:rPr>
          <w:sz w:val="20"/>
        </w:rPr>
        <w:t>user’s</w:t>
      </w:r>
      <w:r>
        <w:rPr>
          <w:spacing w:val="-4"/>
          <w:sz w:val="20"/>
        </w:rPr>
        <w:t> </w:t>
      </w:r>
      <w:r>
        <w:rPr>
          <w:sz w:val="20"/>
        </w:rPr>
        <w:t>device</w:t>
      </w:r>
      <w:r>
        <w:rPr>
          <w:spacing w:val="-5"/>
          <w:sz w:val="20"/>
        </w:rPr>
        <w:t> </w:t>
      </w:r>
      <w:r>
        <w:rPr>
          <w:sz w:val="20"/>
        </w:rPr>
        <w:t>to</w:t>
      </w:r>
      <w:r>
        <w:rPr>
          <w:spacing w:val="-4"/>
          <w:sz w:val="20"/>
        </w:rPr>
        <w:t> </w:t>
      </w:r>
      <w:r>
        <w:rPr>
          <w:sz w:val="20"/>
        </w:rPr>
        <w:t>determine</w:t>
      </w:r>
      <w:r>
        <w:rPr>
          <w:spacing w:val="-7"/>
          <w:sz w:val="20"/>
        </w:rPr>
        <w:t> </w:t>
      </w:r>
      <w:r>
        <w:rPr>
          <w:sz w:val="20"/>
        </w:rPr>
        <w:t>the</w:t>
      </w:r>
      <w:r>
        <w:rPr>
          <w:spacing w:val="-6"/>
          <w:sz w:val="20"/>
        </w:rPr>
        <w:t> </w:t>
      </w:r>
      <w:r>
        <w:rPr>
          <w:sz w:val="20"/>
        </w:rPr>
        <w:t>jurisdiction,</w:t>
      </w:r>
      <w:r>
        <w:rPr>
          <w:spacing w:val="-4"/>
          <w:sz w:val="20"/>
        </w:rPr>
        <w:t> </w:t>
      </w:r>
      <w:r>
        <w:rPr>
          <w:sz w:val="20"/>
        </w:rPr>
        <w:t>where</w:t>
      </w:r>
      <w:r>
        <w:rPr>
          <w:spacing w:val="-7"/>
          <w:sz w:val="20"/>
        </w:rPr>
        <w:t> </w:t>
      </w:r>
      <w:r>
        <w:rPr>
          <w:sz w:val="20"/>
        </w:rPr>
        <w:t>the</w:t>
      </w:r>
      <w:r>
        <w:rPr>
          <w:spacing w:val="-5"/>
          <w:sz w:val="20"/>
        </w:rPr>
        <w:t> </w:t>
      </w:r>
      <w:r>
        <w:rPr>
          <w:sz w:val="20"/>
        </w:rPr>
        <w:t>user</w:t>
      </w:r>
      <w:r>
        <w:rPr>
          <w:spacing w:val="-5"/>
          <w:sz w:val="20"/>
        </w:rPr>
        <w:t> </w:t>
      </w:r>
      <w:r>
        <w:rPr>
          <w:sz w:val="20"/>
        </w:rPr>
        <w:t>is</w:t>
      </w:r>
      <w:r>
        <w:rPr>
          <w:spacing w:val="-3"/>
          <w:sz w:val="20"/>
        </w:rPr>
        <w:t> </w:t>
      </w:r>
      <w:r>
        <w:rPr>
          <w:sz w:val="20"/>
        </w:rPr>
        <w:t>located</w:t>
      </w:r>
      <w:r>
        <w:rPr>
          <w:spacing w:val="-5"/>
          <w:sz w:val="20"/>
        </w:rPr>
        <w:t> </w:t>
      </w:r>
      <w:r>
        <w:rPr>
          <w:sz w:val="20"/>
        </w:rPr>
        <w:t>at the point of data</w:t>
      </w:r>
      <w:r>
        <w:rPr>
          <w:spacing w:val="-4"/>
          <w:sz w:val="20"/>
        </w:rPr>
        <w:t> </w:t>
      </w:r>
      <w:r>
        <w:rPr>
          <w:sz w:val="20"/>
        </w:rPr>
        <w:t>collection.</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When the data in question is based on anything other than the real-time location of the user, the sourcing</w:t>
      </w:r>
      <w:r>
        <w:rPr>
          <w:spacing w:val="-9"/>
          <w:sz w:val="20"/>
        </w:rPr>
        <w:t> </w:t>
      </w:r>
      <w:r>
        <w:rPr>
          <w:sz w:val="20"/>
        </w:rPr>
        <w:t>rule</w:t>
      </w:r>
      <w:r>
        <w:rPr>
          <w:spacing w:val="-7"/>
          <w:sz w:val="20"/>
        </w:rPr>
        <w:t> </w:t>
      </w:r>
      <w:r>
        <w:rPr>
          <w:sz w:val="20"/>
        </w:rPr>
        <w:t>is</w:t>
      </w:r>
      <w:r>
        <w:rPr>
          <w:spacing w:val="-8"/>
          <w:sz w:val="20"/>
        </w:rPr>
        <w:t> </w:t>
      </w:r>
      <w:r>
        <w:rPr>
          <w:sz w:val="20"/>
        </w:rPr>
        <w:t>the</w:t>
      </w:r>
      <w:r>
        <w:rPr>
          <w:spacing w:val="-9"/>
          <w:sz w:val="20"/>
        </w:rPr>
        <w:t> </w:t>
      </w:r>
      <w:r>
        <w:rPr>
          <w:sz w:val="20"/>
        </w:rPr>
        <w:t>jurisdiction</w:t>
      </w:r>
      <w:r>
        <w:rPr>
          <w:spacing w:val="-8"/>
          <w:sz w:val="20"/>
        </w:rPr>
        <w:t> </w:t>
      </w:r>
      <w:r>
        <w:rPr>
          <w:sz w:val="20"/>
        </w:rPr>
        <w:t>of</w:t>
      </w:r>
      <w:r>
        <w:rPr>
          <w:spacing w:val="-7"/>
          <w:sz w:val="20"/>
        </w:rPr>
        <w:t> </w:t>
      </w:r>
      <w:r>
        <w:rPr>
          <w:sz w:val="20"/>
        </w:rPr>
        <w:t>the</w:t>
      </w:r>
      <w:r>
        <w:rPr>
          <w:spacing w:val="-7"/>
          <w:sz w:val="20"/>
        </w:rPr>
        <w:t> </w:t>
      </w:r>
      <w:r>
        <w:rPr>
          <w:sz w:val="20"/>
        </w:rPr>
        <w:t>ordinary</w:t>
      </w:r>
      <w:r>
        <w:rPr>
          <w:spacing w:val="-12"/>
          <w:sz w:val="20"/>
        </w:rPr>
        <w:t> </w:t>
      </w:r>
      <w:r>
        <w:rPr>
          <w:sz w:val="20"/>
        </w:rPr>
        <w:t>residence</w:t>
      </w:r>
      <w:r>
        <w:rPr>
          <w:spacing w:val="-8"/>
          <w:sz w:val="20"/>
        </w:rPr>
        <w:t> </w:t>
      </w:r>
      <w:r>
        <w:rPr>
          <w:sz w:val="20"/>
        </w:rPr>
        <w:t>of</w:t>
      </w:r>
      <w:r>
        <w:rPr>
          <w:spacing w:val="-7"/>
          <w:sz w:val="20"/>
        </w:rPr>
        <w:t> </w:t>
      </w:r>
      <w:r>
        <w:rPr>
          <w:sz w:val="20"/>
        </w:rPr>
        <w:t>the</w:t>
      </w:r>
      <w:r>
        <w:rPr>
          <w:spacing w:val="-9"/>
          <w:sz w:val="20"/>
        </w:rPr>
        <w:t> </w:t>
      </w:r>
      <w:r>
        <w:rPr>
          <w:sz w:val="20"/>
        </w:rPr>
        <w:t>user.</w:t>
      </w:r>
      <w:r>
        <w:rPr>
          <w:spacing w:val="-8"/>
          <w:sz w:val="20"/>
        </w:rPr>
        <w:t> </w:t>
      </w:r>
      <w:r>
        <w:rPr>
          <w:sz w:val="20"/>
        </w:rPr>
        <w:t>The</w:t>
      </w:r>
      <w:r>
        <w:rPr>
          <w:spacing w:val="-8"/>
          <w:sz w:val="20"/>
        </w:rPr>
        <w:t> </w:t>
      </w:r>
      <w:r>
        <w:rPr>
          <w:sz w:val="20"/>
        </w:rPr>
        <w:t>primary</w:t>
      </w:r>
      <w:r>
        <w:rPr>
          <w:spacing w:val="-15"/>
          <w:sz w:val="20"/>
        </w:rPr>
        <w:t> </w:t>
      </w:r>
      <w:r>
        <w:rPr>
          <w:sz w:val="20"/>
        </w:rPr>
        <w:t>sourcing</w:t>
      </w:r>
      <w:r>
        <w:rPr>
          <w:spacing w:val="-7"/>
          <w:sz w:val="20"/>
        </w:rPr>
        <w:t> </w:t>
      </w:r>
      <w:r>
        <w:rPr>
          <w:sz w:val="20"/>
        </w:rPr>
        <w:t>indicator is</w:t>
      </w:r>
      <w:r>
        <w:rPr>
          <w:spacing w:val="-8"/>
          <w:sz w:val="20"/>
        </w:rPr>
        <w:t> </w:t>
      </w:r>
      <w:r>
        <w:rPr>
          <w:sz w:val="20"/>
        </w:rPr>
        <w:t>user profile</w:t>
      </w:r>
      <w:r>
        <w:rPr>
          <w:spacing w:val="11"/>
          <w:sz w:val="20"/>
        </w:rPr>
        <w:t> </w:t>
      </w:r>
      <w:r>
        <w:rPr>
          <w:sz w:val="20"/>
        </w:rPr>
        <w:t>information,</w:t>
      </w:r>
      <w:r>
        <w:rPr>
          <w:spacing w:val="12"/>
          <w:sz w:val="20"/>
        </w:rPr>
        <w:t> </w:t>
      </w:r>
      <w:r>
        <w:rPr>
          <w:sz w:val="20"/>
        </w:rPr>
        <w:t>as</w:t>
      </w:r>
      <w:r>
        <w:rPr>
          <w:spacing w:val="12"/>
          <w:sz w:val="20"/>
        </w:rPr>
        <w:t> </w:t>
      </w:r>
      <w:r>
        <w:rPr>
          <w:sz w:val="20"/>
        </w:rPr>
        <w:t>the</w:t>
      </w:r>
      <w:r>
        <w:rPr>
          <w:spacing w:val="11"/>
          <w:sz w:val="20"/>
        </w:rPr>
        <w:t> </w:t>
      </w:r>
      <w:r>
        <w:rPr>
          <w:sz w:val="20"/>
        </w:rPr>
        <w:t>revenue</w:t>
      </w:r>
      <w:r>
        <w:rPr>
          <w:spacing w:val="11"/>
          <w:sz w:val="20"/>
        </w:rPr>
        <w:t> </w:t>
      </w:r>
      <w:r>
        <w:rPr>
          <w:sz w:val="20"/>
        </w:rPr>
        <w:t>from</w:t>
      </w:r>
      <w:r>
        <w:rPr>
          <w:spacing w:val="16"/>
          <w:sz w:val="20"/>
        </w:rPr>
        <w:t> </w:t>
      </w:r>
      <w:r>
        <w:rPr>
          <w:sz w:val="20"/>
        </w:rPr>
        <w:t>transmitting</w:t>
      </w:r>
      <w:r>
        <w:rPr>
          <w:spacing w:val="11"/>
          <w:sz w:val="20"/>
        </w:rPr>
        <w:t> </w:t>
      </w:r>
      <w:r>
        <w:rPr>
          <w:sz w:val="20"/>
        </w:rPr>
        <w:t>the</w:t>
      </w:r>
      <w:r>
        <w:rPr>
          <w:spacing w:val="11"/>
          <w:sz w:val="20"/>
        </w:rPr>
        <w:t> </w:t>
      </w:r>
      <w:r>
        <w:rPr>
          <w:sz w:val="20"/>
        </w:rPr>
        <w:t>data</w:t>
      </w:r>
      <w:r>
        <w:rPr>
          <w:spacing w:val="11"/>
          <w:sz w:val="20"/>
        </w:rPr>
        <w:t> </w:t>
      </w:r>
      <w:r>
        <w:rPr>
          <w:sz w:val="20"/>
        </w:rPr>
        <w:t>is</w:t>
      </w:r>
      <w:r>
        <w:rPr>
          <w:spacing w:val="20"/>
          <w:sz w:val="20"/>
        </w:rPr>
        <w:t> </w:t>
      </w:r>
      <w:r>
        <w:rPr>
          <w:sz w:val="20"/>
        </w:rPr>
        <w:t>related</w:t>
      </w:r>
      <w:r>
        <w:rPr>
          <w:spacing w:val="11"/>
          <w:sz w:val="20"/>
        </w:rPr>
        <w:t> </w:t>
      </w:r>
      <w:r>
        <w:rPr>
          <w:sz w:val="20"/>
        </w:rPr>
        <w:t>to</w:t>
      </w:r>
      <w:r>
        <w:rPr>
          <w:spacing w:val="11"/>
          <w:sz w:val="20"/>
        </w:rPr>
        <w:t> </w:t>
      </w:r>
      <w:r>
        <w:rPr>
          <w:sz w:val="20"/>
        </w:rPr>
        <w:t>the</w:t>
      </w:r>
      <w:r>
        <w:rPr>
          <w:spacing w:val="11"/>
          <w:sz w:val="20"/>
        </w:rPr>
        <w:t> </w:t>
      </w:r>
      <w:r>
        <w:rPr>
          <w:sz w:val="20"/>
        </w:rPr>
        <w:t>user’s</w:t>
      </w:r>
      <w:r>
        <w:rPr>
          <w:spacing w:val="12"/>
          <w:sz w:val="20"/>
        </w:rPr>
        <w:t> </w:t>
      </w:r>
      <w:r>
        <w:rPr>
          <w:sz w:val="20"/>
        </w:rPr>
        <w:t>personal</w:t>
      </w:r>
      <w:r>
        <w:rPr>
          <w:spacing w:val="11"/>
          <w:sz w:val="20"/>
        </w:rPr>
        <w:t> </w:t>
      </w:r>
      <w:r>
        <w:rPr>
          <w:sz w:val="20"/>
        </w:rPr>
        <w:t>attributes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pPr>
      <w:r>
        <w:rPr/>
        <w:t>and characteristics. The indicators are obtained from the data that is being transmitted, or from any other information the MNE may have on the user that is subject to the data transmitted.</w:t>
      </w:r>
    </w:p>
    <w:p>
      <w:pPr>
        <w:pStyle w:val="BodyText"/>
        <w:spacing w:before="1"/>
      </w:pPr>
    </w:p>
    <w:p>
      <w:pPr>
        <w:pStyle w:val="Heading8"/>
      </w:pPr>
      <w:bookmarkStart w:name="Revenue from online search engines" w:id="170"/>
      <w:bookmarkEnd w:id="170"/>
      <w:r>
        <w:rPr>
          <w:b w:val="0"/>
        </w:rPr>
      </w:r>
      <w:r>
        <w:rPr/>
        <w:t>Revenue from online search engines</w:t>
      </w:r>
    </w:p>
    <w:p>
      <w:pPr>
        <w:pStyle w:val="BodyText"/>
        <w:spacing w:before="1"/>
        <w:rPr>
          <w:b/>
          <w:sz w:val="19"/>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Online search engines are websites that allow users to locate information on the Internet. The search service is free of charge to the user, but there are generally two ways that the provider monetises the</w:t>
      </w:r>
      <w:r>
        <w:rPr>
          <w:spacing w:val="-2"/>
          <w:sz w:val="20"/>
        </w:rPr>
        <w:t> </w:t>
      </w:r>
      <w:r>
        <w:rPr>
          <w:sz w:val="20"/>
        </w:rPr>
        <w:t>service.</w:t>
      </w:r>
    </w:p>
    <w:p>
      <w:pPr>
        <w:pStyle w:val="ListParagraph"/>
        <w:numPr>
          <w:ilvl w:val="0"/>
          <w:numId w:val="13"/>
        </w:numPr>
        <w:tabs>
          <w:tab w:pos="1444" w:val="left" w:leader="none"/>
        </w:tabs>
        <w:spacing w:line="271" w:lineRule="auto" w:before="120" w:after="0"/>
        <w:ind w:left="723" w:right="491" w:firstLine="0"/>
        <w:jc w:val="both"/>
        <w:rPr>
          <w:sz w:val="20"/>
        </w:rPr>
      </w:pPr>
      <w:r>
        <w:rPr>
          <w:sz w:val="20"/>
        </w:rPr>
        <w:t>One</w:t>
      </w:r>
      <w:r>
        <w:rPr>
          <w:spacing w:val="-8"/>
          <w:sz w:val="20"/>
        </w:rPr>
        <w:t> </w:t>
      </w:r>
      <w:r>
        <w:rPr>
          <w:sz w:val="20"/>
        </w:rPr>
        <w:t>is</w:t>
      </w:r>
      <w:r>
        <w:rPr>
          <w:spacing w:val="-3"/>
          <w:sz w:val="20"/>
        </w:rPr>
        <w:t> </w:t>
      </w:r>
      <w:r>
        <w:rPr>
          <w:sz w:val="20"/>
        </w:rPr>
        <w:t>by</w:t>
      </w:r>
      <w:r>
        <w:rPr>
          <w:spacing w:val="-10"/>
          <w:sz w:val="20"/>
        </w:rPr>
        <w:t> </w:t>
      </w:r>
      <w:r>
        <w:rPr>
          <w:sz w:val="20"/>
        </w:rPr>
        <w:t>selling</w:t>
      </w:r>
      <w:r>
        <w:rPr>
          <w:spacing w:val="-5"/>
          <w:sz w:val="20"/>
        </w:rPr>
        <w:t> </w:t>
      </w:r>
      <w:r>
        <w:rPr>
          <w:sz w:val="20"/>
        </w:rPr>
        <w:t>advertising</w:t>
      </w:r>
      <w:r>
        <w:rPr>
          <w:spacing w:val="-7"/>
          <w:sz w:val="20"/>
        </w:rPr>
        <w:t> </w:t>
      </w:r>
      <w:r>
        <w:rPr>
          <w:sz w:val="20"/>
        </w:rPr>
        <w:t>space</w:t>
      </w:r>
      <w:r>
        <w:rPr>
          <w:spacing w:val="-5"/>
          <w:sz w:val="20"/>
        </w:rPr>
        <w:t> </w:t>
      </w:r>
      <w:r>
        <w:rPr>
          <w:sz w:val="20"/>
        </w:rPr>
        <w:t>and</w:t>
      </w:r>
      <w:r>
        <w:rPr>
          <w:spacing w:val="-7"/>
          <w:sz w:val="20"/>
        </w:rPr>
        <w:t> </w:t>
      </w:r>
      <w:r>
        <w:rPr>
          <w:sz w:val="20"/>
        </w:rPr>
        <w:t>promoting</w:t>
      </w:r>
      <w:r>
        <w:rPr>
          <w:spacing w:val="-7"/>
          <w:sz w:val="20"/>
        </w:rPr>
        <w:t> </w:t>
      </w:r>
      <w:r>
        <w:rPr>
          <w:sz w:val="20"/>
        </w:rPr>
        <w:t>certain</w:t>
      </w:r>
      <w:r>
        <w:rPr>
          <w:spacing w:val="-3"/>
          <w:sz w:val="20"/>
        </w:rPr>
        <w:t> </w:t>
      </w:r>
      <w:r>
        <w:rPr>
          <w:sz w:val="20"/>
        </w:rPr>
        <w:t>websites</w:t>
      </w:r>
      <w:r>
        <w:rPr>
          <w:spacing w:val="-3"/>
          <w:sz w:val="20"/>
        </w:rPr>
        <w:t> </w:t>
      </w:r>
      <w:r>
        <w:rPr>
          <w:sz w:val="20"/>
        </w:rPr>
        <w:t>on</w:t>
      </w:r>
      <w:r>
        <w:rPr>
          <w:spacing w:val="-5"/>
          <w:sz w:val="20"/>
        </w:rPr>
        <w:t> </w:t>
      </w:r>
      <w:r>
        <w:rPr>
          <w:sz w:val="20"/>
        </w:rPr>
        <w:t>the</w:t>
      </w:r>
      <w:r>
        <w:rPr>
          <w:spacing w:val="-5"/>
          <w:sz w:val="20"/>
        </w:rPr>
        <w:t> </w:t>
      </w:r>
      <w:r>
        <w:rPr>
          <w:sz w:val="20"/>
        </w:rPr>
        <w:t>search</w:t>
      </w:r>
      <w:r>
        <w:rPr>
          <w:spacing w:val="-5"/>
          <w:sz w:val="20"/>
        </w:rPr>
        <w:t> </w:t>
      </w:r>
      <w:r>
        <w:rPr>
          <w:sz w:val="20"/>
        </w:rPr>
        <w:t>engine.</w:t>
      </w:r>
      <w:r>
        <w:rPr>
          <w:spacing w:val="-4"/>
          <w:sz w:val="20"/>
        </w:rPr>
        <w:t> </w:t>
      </w:r>
      <w:r>
        <w:rPr>
          <w:sz w:val="20"/>
        </w:rPr>
        <w:t>For</w:t>
      </w:r>
      <w:r>
        <w:rPr>
          <w:spacing w:val="-6"/>
          <w:sz w:val="20"/>
        </w:rPr>
        <w:t> </w:t>
      </w:r>
      <w:r>
        <w:rPr>
          <w:sz w:val="20"/>
        </w:rPr>
        <w:t>this type of revenue, the sourcing rules for revenue from online advertising services</w:t>
      </w:r>
      <w:r>
        <w:rPr>
          <w:spacing w:val="-19"/>
          <w:sz w:val="20"/>
        </w:rPr>
        <w:t> </w:t>
      </w:r>
      <w:r>
        <w:rPr>
          <w:sz w:val="20"/>
        </w:rPr>
        <w:t>apply.</w:t>
      </w:r>
    </w:p>
    <w:p>
      <w:pPr>
        <w:pStyle w:val="ListParagraph"/>
        <w:numPr>
          <w:ilvl w:val="0"/>
          <w:numId w:val="13"/>
        </w:numPr>
        <w:tabs>
          <w:tab w:pos="1444" w:val="left" w:leader="none"/>
        </w:tabs>
        <w:spacing w:line="271" w:lineRule="auto" w:before="119" w:after="0"/>
        <w:ind w:left="723" w:right="490" w:firstLine="0"/>
        <w:jc w:val="both"/>
        <w:rPr>
          <w:sz w:val="20"/>
        </w:rPr>
      </w:pPr>
      <w:r>
        <w:rPr>
          <w:sz w:val="20"/>
        </w:rPr>
        <w:t>The</w:t>
      </w:r>
      <w:r>
        <w:rPr>
          <w:spacing w:val="-9"/>
          <w:sz w:val="20"/>
        </w:rPr>
        <w:t> </w:t>
      </w:r>
      <w:r>
        <w:rPr>
          <w:sz w:val="20"/>
        </w:rPr>
        <w:t>second</w:t>
      </w:r>
      <w:r>
        <w:rPr>
          <w:spacing w:val="-9"/>
          <w:sz w:val="20"/>
        </w:rPr>
        <w:t> </w:t>
      </w:r>
      <w:r>
        <w:rPr>
          <w:sz w:val="20"/>
        </w:rPr>
        <w:t>type</w:t>
      </w:r>
      <w:r>
        <w:rPr>
          <w:spacing w:val="-6"/>
          <w:sz w:val="20"/>
        </w:rPr>
        <w:t> </w:t>
      </w:r>
      <w:r>
        <w:rPr>
          <w:sz w:val="20"/>
        </w:rPr>
        <w:t>is</w:t>
      </w:r>
      <w:r>
        <w:rPr>
          <w:spacing w:val="-8"/>
          <w:sz w:val="20"/>
        </w:rPr>
        <w:t> </w:t>
      </w:r>
      <w:r>
        <w:rPr>
          <w:sz w:val="20"/>
        </w:rPr>
        <w:t>collection</w:t>
      </w:r>
      <w:r>
        <w:rPr>
          <w:spacing w:val="-9"/>
          <w:sz w:val="20"/>
        </w:rPr>
        <w:t> </w:t>
      </w:r>
      <w:r>
        <w:rPr>
          <w:sz w:val="20"/>
        </w:rPr>
        <w:t>of</w:t>
      </w:r>
      <w:r>
        <w:rPr>
          <w:spacing w:val="-7"/>
          <w:sz w:val="20"/>
        </w:rPr>
        <w:t> </w:t>
      </w:r>
      <w:r>
        <w:rPr>
          <w:sz w:val="20"/>
        </w:rPr>
        <w:t>data</w:t>
      </w:r>
      <w:r>
        <w:rPr>
          <w:spacing w:val="-6"/>
          <w:sz w:val="20"/>
        </w:rPr>
        <w:t> </w:t>
      </w:r>
      <w:r>
        <w:rPr>
          <w:sz w:val="20"/>
        </w:rPr>
        <w:t>about</w:t>
      </w:r>
      <w:r>
        <w:rPr>
          <w:spacing w:val="-9"/>
          <w:sz w:val="20"/>
        </w:rPr>
        <w:t> </w:t>
      </w:r>
      <w:r>
        <w:rPr>
          <w:sz w:val="20"/>
        </w:rPr>
        <w:t>the</w:t>
      </w:r>
      <w:r>
        <w:rPr>
          <w:spacing w:val="-7"/>
          <w:sz w:val="20"/>
        </w:rPr>
        <w:t> </w:t>
      </w:r>
      <w:r>
        <w:rPr>
          <w:sz w:val="20"/>
        </w:rPr>
        <w:t>users</w:t>
      </w:r>
      <w:r>
        <w:rPr>
          <w:spacing w:val="-6"/>
          <w:sz w:val="20"/>
        </w:rPr>
        <w:t> </w:t>
      </w:r>
      <w:r>
        <w:rPr>
          <w:sz w:val="20"/>
        </w:rPr>
        <w:t>of</w:t>
      </w:r>
      <w:r>
        <w:rPr>
          <w:spacing w:val="-7"/>
          <w:sz w:val="20"/>
        </w:rPr>
        <w:t> </w:t>
      </w:r>
      <w:r>
        <w:rPr>
          <w:sz w:val="20"/>
        </w:rPr>
        <w:t>the</w:t>
      </w:r>
      <w:r>
        <w:rPr>
          <w:spacing w:val="-7"/>
          <w:sz w:val="20"/>
        </w:rPr>
        <w:t> </w:t>
      </w:r>
      <w:r>
        <w:rPr>
          <w:sz w:val="20"/>
        </w:rPr>
        <w:t>search</w:t>
      </w:r>
      <w:r>
        <w:rPr>
          <w:spacing w:val="-7"/>
          <w:sz w:val="20"/>
        </w:rPr>
        <w:t> </w:t>
      </w:r>
      <w:r>
        <w:rPr>
          <w:sz w:val="20"/>
        </w:rPr>
        <w:t>engine,</w:t>
      </w:r>
      <w:r>
        <w:rPr>
          <w:spacing w:val="-5"/>
          <w:sz w:val="20"/>
        </w:rPr>
        <w:t> </w:t>
      </w:r>
      <w:r>
        <w:rPr>
          <w:sz w:val="20"/>
        </w:rPr>
        <w:t>which</w:t>
      </w:r>
      <w:r>
        <w:rPr>
          <w:spacing w:val="-7"/>
          <w:sz w:val="20"/>
        </w:rPr>
        <w:t> </w:t>
      </w:r>
      <w:r>
        <w:rPr>
          <w:sz w:val="20"/>
        </w:rPr>
        <w:t>the</w:t>
      </w:r>
      <w:r>
        <w:rPr>
          <w:spacing w:val="-9"/>
          <w:sz w:val="20"/>
        </w:rPr>
        <w:t> </w:t>
      </w:r>
      <w:r>
        <w:rPr>
          <w:sz w:val="20"/>
        </w:rPr>
        <w:t>provider</w:t>
      </w:r>
      <w:r>
        <w:rPr>
          <w:spacing w:val="-5"/>
          <w:sz w:val="20"/>
        </w:rPr>
        <w:t> </w:t>
      </w:r>
      <w:r>
        <w:rPr>
          <w:sz w:val="20"/>
        </w:rPr>
        <w:t>can sell to advertisers. For this type of revenue, the sourcing rule for online search engines is the same as for revenue from the sale or other alienation of user</w:t>
      </w:r>
      <w:r>
        <w:rPr>
          <w:spacing w:val="-3"/>
          <w:sz w:val="20"/>
        </w:rPr>
        <w:t> </w:t>
      </w:r>
      <w:r>
        <w:rPr>
          <w:sz w:val="20"/>
        </w:rPr>
        <w:t>data.</w:t>
      </w:r>
    </w:p>
    <w:p>
      <w:pPr>
        <w:pStyle w:val="BodyText"/>
        <w:spacing w:before="3"/>
      </w:pPr>
    </w:p>
    <w:p>
      <w:pPr>
        <w:pStyle w:val="Heading8"/>
        <w:spacing w:before="1"/>
      </w:pPr>
      <w:bookmarkStart w:name="Revenue from social media platforms" w:id="171"/>
      <w:bookmarkEnd w:id="171"/>
      <w:r>
        <w:rPr>
          <w:b w:val="0"/>
        </w:rPr>
      </w:r>
      <w:r>
        <w:rPr/>
        <w:t>Revenue from social media platforms</w:t>
      </w:r>
    </w:p>
    <w:p>
      <w:pPr>
        <w:pStyle w:val="BodyText"/>
        <w:rPr>
          <w:b/>
          <w:sz w:val="19"/>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This</w:t>
      </w:r>
      <w:r>
        <w:rPr>
          <w:spacing w:val="-11"/>
          <w:sz w:val="20"/>
        </w:rPr>
        <w:t> </w:t>
      </w:r>
      <w:r>
        <w:rPr>
          <w:sz w:val="20"/>
        </w:rPr>
        <w:t>refers</w:t>
      </w:r>
      <w:r>
        <w:rPr>
          <w:spacing w:val="-10"/>
          <w:sz w:val="20"/>
        </w:rPr>
        <w:t> </w:t>
      </w:r>
      <w:r>
        <w:rPr>
          <w:sz w:val="20"/>
        </w:rPr>
        <w:t>to</w:t>
      </w:r>
      <w:r>
        <w:rPr>
          <w:spacing w:val="-12"/>
          <w:sz w:val="20"/>
        </w:rPr>
        <w:t> </w:t>
      </w:r>
      <w:r>
        <w:rPr>
          <w:sz w:val="20"/>
        </w:rPr>
        <w:t>platforms</w:t>
      </w:r>
      <w:r>
        <w:rPr>
          <w:spacing w:val="-10"/>
          <w:sz w:val="20"/>
        </w:rPr>
        <w:t> </w:t>
      </w:r>
      <w:r>
        <w:rPr>
          <w:sz w:val="20"/>
        </w:rPr>
        <w:t>that</w:t>
      </w:r>
      <w:r>
        <w:rPr>
          <w:spacing w:val="-11"/>
          <w:sz w:val="20"/>
        </w:rPr>
        <w:t> </w:t>
      </w:r>
      <w:r>
        <w:rPr>
          <w:sz w:val="20"/>
        </w:rPr>
        <w:t>promote</w:t>
      </w:r>
      <w:r>
        <w:rPr>
          <w:spacing w:val="-12"/>
          <w:sz w:val="20"/>
        </w:rPr>
        <w:t> </w:t>
      </w:r>
      <w:r>
        <w:rPr>
          <w:sz w:val="20"/>
        </w:rPr>
        <w:t>interaction</w:t>
      </w:r>
      <w:r>
        <w:rPr>
          <w:spacing w:val="-9"/>
          <w:sz w:val="20"/>
        </w:rPr>
        <w:t> </w:t>
      </w:r>
      <w:r>
        <w:rPr>
          <w:sz w:val="20"/>
        </w:rPr>
        <w:t>between</w:t>
      </w:r>
      <w:r>
        <w:rPr>
          <w:spacing w:val="-12"/>
          <w:sz w:val="20"/>
        </w:rPr>
        <w:t> </w:t>
      </w:r>
      <w:r>
        <w:rPr>
          <w:sz w:val="20"/>
        </w:rPr>
        <w:t>users.</w:t>
      </w:r>
      <w:r>
        <w:rPr>
          <w:spacing w:val="-11"/>
          <w:sz w:val="20"/>
        </w:rPr>
        <w:t> </w:t>
      </w:r>
      <w:r>
        <w:rPr>
          <w:sz w:val="20"/>
        </w:rPr>
        <w:t>The</w:t>
      </w:r>
      <w:r>
        <w:rPr>
          <w:spacing w:val="-13"/>
          <w:sz w:val="20"/>
        </w:rPr>
        <w:t> </w:t>
      </w:r>
      <w:r>
        <w:rPr>
          <w:sz w:val="20"/>
        </w:rPr>
        <w:t>service</w:t>
      </w:r>
      <w:r>
        <w:rPr>
          <w:spacing w:val="-12"/>
          <w:sz w:val="20"/>
        </w:rPr>
        <w:t> </w:t>
      </w:r>
      <w:r>
        <w:rPr>
          <w:sz w:val="20"/>
        </w:rPr>
        <w:t>is</w:t>
      </w:r>
      <w:r>
        <w:rPr>
          <w:spacing w:val="-10"/>
          <w:sz w:val="20"/>
        </w:rPr>
        <w:t> </w:t>
      </w:r>
      <w:r>
        <w:rPr>
          <w:sz w:val="20"/>
        </w:rPr>
        <w:t>often</w:t>
      </w:r>
      <w:r>
        <w:rPr>
          <w:spacing w:val="-12"/>
          <w:sz w:val="20"/>
        </w:rPr>
        <w:t> </w:t>
      </w:r>
      <w:r>
        <w:rPr>
          <w:sz w:val="20"/>
        </w:rPr>
        <w:t>free</w:t>
      </w:r>
      <w:r>
        <w:rPr>
          <w:spacing w:val="-12"/>
          <w:sz w:val="20"/>
        </w:rPr>
        <w:t> </w:t>
      </w:r>
      <w:r>
        <w:rPr>
          <w:sz w:val="20"/>
        </w:rPr>
        <w:t>of</w:t>
      </w:r>
      <w:r>
        <w:rPr>
          <w:spacing w:val="-9"/>
          <w:sz w:val="20"/>
        </w:rPr>
        <w:t> </w:t>
      </w:r>
      <w:r>
        <w:rPr>
          <w:sz w:val="20"/>
        </w:rPr>
        <w:t>charge to</w:t>
      </w:r>
      <w:r>
        <w:rPr>
          <w:spacing w:val="-4"/>
          <w:sz w:val="20"/>
        </w:rPr>
        <w:t> </w:t>
      </w:r>
      <w:r>
        <w:rPr>
          <w:sz w:val="20"/>
        </w:rPr>
        <w:t>the</w:t>
      </w:r>
      <w:r>
        <w:rPr>
          <w:spacing w:val="-2"/>
          <w:sz w:val="20"/>
        </w:rPr>
        <w:t> </w:t>
      </w:r>
      <w:r>
        <w:rPr>
          <w:sz w:val="20"/>
        </w:rPr>
        <w:t>user,</w:t>
      </w:r>
      <w:r>
        <w:rPr>
          <w:spacing w:val="-3"/>
          <w:sz w:val="20"/>
        </w:rPr>
        <w:t> </w:t>
      </w:r>
      <w:r>
        <w:rPr>
          <w:sz w:val="20"/>
        </w:rPr>
        <w:t>and</w:t>
      </w:r>
      <w:r>
        <w:rPr>
          <w:spacing w:val="-4"/>
          <w:sz w:val="20"/>
        </w:rPr>
        <w:t> </w:t>
      </w:r>
      <w:r>
        <w:rPr>
          <w:sz w:val="20"/>
        </w:rPr>
        <w:t>the</w:t>
      </w:r>
      <w:r>
        <w:rPr>
          <w:spacing w:val="-3"/>
          <w:sz w:val="20"/>
        </w:rPr>
        <w:t> </w:t>
      </w:r>
      <w:r>
        <w:rPr>
          <w:sz w:val="20"/>
        </w:rPr>
        <w:t>revenue</w:t>
      </w:r>
      <w:r>
        <w:rPr>
          <w:spacing w:val="-4"/>
          <w:sz w:val="20"/>
        </w:rPr>
        <w:t> </w:t>
      </w:r>
      <w:r>
        <w:rPr>
          <w:sz w:val="20"/>
        </w:rPr>
        <w:t>is</w:t>
      </w:r>
      <w:r>
        <w:rPr>
          <w:spacing w:val="-3"/>
          <w:sz w:val="20"/>
        </w:rPr>
        <w:t> </w:t>
      </w:r>
      <w:r>
        <w:rPr>
          <w:sz w:val="20"/>
        </w:rPr>
        <w:t>derived</w:t>
      </w:r>
      <w:r>
        <w:rPr>
          <w:spacing w:val="-4"/>
          <w:sz w:val="20"/>
        </w:rPr>
        <w:t> </w:t>
      </w:r>
      <w:r>
        <w:rPr>
          <w:sz w:val="20"/>
        </w:rPr>
        <w:t>from the</w:t>
      </w:r>
      <w:r>
        <w:rPr>
          <w:spacing w:val="-3"/>
          <w:sz w:val="20"/>
        </w:rPr>
        <w:t> </w:t>
      </w:r>
      <w:r>
        <w:rPr>
          <w:sz w:val="20"/>
        </w:rPr>
        <w:t>sale</w:t>
      </w:r>
      <w:r>
        <w:rPr>
          <w:spacing w:val="-4"/>
          <w:sz w:val="20"/>
        </w:rPr>
        <w:t> </w:t>
      </w:r>
      <w:r>
        <w:rPr>
          <w:sz w:val="20"/>
        </w:rPr>
        <w:t>of</w:t>
      </w:r>
      <w:r>
        <w:rPr>
          <w:spacing w:val="-2"/>
          <w:sz w:val="20"/>
        </w:rPr>
        <w:t> </w:t>
      </w:r>
      <w:r>
        <w:rPr>
          <w:sz w:val="20"/>
        </w:rPr>
        <w:t>advertising</w:t>
      </w:r>
      <w:r>
        <w:rPr>
          <w:spacing w:val="-4"/>
          <w:sz w:val="20"/>
        </w:rPr>
        <w:t> </w:t>
      </w:r>
      <w:r>
        <w:rPr>
          <w:sz w:val="20"/>
        </w:rPr>
        <w:t>or</w:t>
      </w:r>
      <w:r>
        <w:rPr>
          <w:spacing w:val="-4"/>
          <w:sz w:val="20"/>
        </w:rPr>
        <w:t> </w:t>
      </w:r>
      <w:r>
        <w:rPr>
          <w:sz w:val="20"/>
        </w:rPr>
        <w:t>the</w:t>
      </w:r>
      <w:r>
        <w:rPr>
          <w:spacing w:val="-4"/>
          <w:sz w:val="20"/>
        </w:rPr>
        <w:t> </w:t>
      </w:r>
      <w:r>
        <w:rPr>
          <w:sz w:val="20"/>
        </w:rPr>
        <w:t>sale</w:t>
      </w:r>
      <w:r>
        <w:rPr>
          <w:spacing w:val="-4"/>
          <w:sz w:val="20"/>
        </w:rPr>
        <w:t> </w:t>
      </w:r>
      <w:r>
        <w:rPr>
          <w:sz w:val="20"/>
        </w:rPr>
        <w:t>of</w:t>
      </w:r>
      <w:r>
        <w:rPr>
          <w:spacing w:val="-2"/>
          <w:sz w:val="20"/>
        </w:rPr>
        <w:t> </w:t>
      </w:r>
      <w:r>
        <w:rPr>
          <w:sz w:val="20"/>
        </w:rPr>
        <w:t>data</w:t>
      </w:r>
      <w:r>
        <w:rPr>
          <w:spacing w:val="-4"/>
          <w:sz w:val="20"/>
        </w:rPr>
        <w:t> </w:t>
      </w:r>
      <w:r>
        <w:rPr>
          <w:sz w:val="20"/>
        </w:rPr>
        <w:t>about</w:t>
      </w:r>
      <w:r>
        <w:rPr>
          <w:spacing w:val="-2"/>
          <w:sz w:val="20"/>
        </w:rPr>
        <w:t> </w:t>
      </w:r>
      <w:r>
        <w:rPr>
          <w:sz w:val="20"/>
        </w:rPr>
        <w:t>the</w:t>
      </w:r>
      <w:r>
        <w:rPr>
          <w:spacing w:val="-1"/>
          <w:sz w:val="20"/>
        </w:rPr>
        <w:t> </w:t>
      </w:r>
      <w:r>
        <w:rPr>
          <w:sz w:val="20"/>
        </w:rPr>
        <w:t>users.</w:t>
      </w:r>
      <w:r>
        <w:rPr>
          <w:spacing w:val="-4"/>
          <w:sz w:val="20"/>
        </w:rPr>
        <w:t> </w:t>
      </w:r>
      <w:r>
        <w:rPr>
          <w:sz w:val="20"/>
        </w:rPr>
        <w:t>As for online search engines, the revenue sourcing rule follows that for revenue from online advertising services or revenue from the sale or other alienation of user data, as</w:t>
      </w:r>
      <w:r>
        <w:rPr>
          <w:spacing w:val="-16"/>
          <w:sz w:val="20"/>
        </w:rPr>
        <w:t> </w:t>
      </w:r>
      <w:r>
        <w:rPr>
          <w:sz w:val="20"/>
        </w:rPr>
        <w:t>applicable.</w:t>
      </w:r>
    </w:p>
    <w:p>
      <w:pPr>
        <w:pStyle w:val="ListParagraph"/>
        <w:numPr>
          <w:ilvl w:val="0"/>
          <w:numId w:val="13"/>
        </w:numPr>
        <w:tabs>
          <w:tab w:pos="1444" w:val="left" w:leader="none"/>
        </w:tabs>
        <w:spacing w:line="271" w:lineRule="auto" w:before="120" w:after="0"/>
        <w:ind w:left="723" w:right="492" w:firstLine="0"/>
        <w:jc w:val="both"/>
        <w:rPr>
          <w:sz w:val="20"/>
        </w:rPr>
      </w:pPr>
      <w:r>
        <w:rPr>
          <w:sz w:val="20"/>
        </w:rPr>
        <w:t>If</w:t>
      </w:r>
      <w:r>
        <w:rPr>
          <w:spacing w:val="-7"/>
          <w:sz w:val="20"/>
        </w:rPr>
        <w:t> </w:t>
      </w:r>
      <w:r>
        <w:rPr>
          <w:sz w:val="20"/>
        </w:rPr>
        <w:t>the</w:t>
      </w:r>
      <w:r>
        <w:rPr>
          <w:spacing w:val="-8"/>
          <w:sz w:val="20"/>
        </w:rPr>
        <w:t> </w:t>
      </w:r>
      <w:r>
        <w:rPr>
          <w:sz w:val="20"/>
        </w:rPr>
        <w:t>service</w:t>
      </w:r>
      <w:r>
        <w:rPr>
          <w:spacing w:val="-6"/>
          <w:sz w:val="20"/>
        </w:rPr>
        <w:t> </w:t>
      </w:r>
      <w:r>
        <w:rPr>
          <w:sz w:val="20"/>
        </w:rPr>
        <w:t>is</w:t>
      </w:r>
      <w:r>
        <w:rPr>
          <w:spacing w:val="-7"/>
          <w:sz w:val="20"/>
        </w:rPr>
        <w:t> </w:t>
      </w:r>
      <w:r>
        <w:rPr>
          <w:sz w:val="20"/>
        </w:rPr>
        <w:t>provided</w:t>
      </w:r>
      <w:r>
        <w:rPr>
          <w:spacing w:val="-9"/>
          <w:sz w:val="20"/>
        </w:rPr>
        <w:t> </w:t>
      </w:r>
      <w:r>
        <w:rPr>
          <w:sz w:val="20"/>
        </w:rPr>
        <w:t>to</w:t>
      </w:r>
      <w:r>
        <w:rPr>
          <w:spacing w:val="-6"/>
          <w:sz w:val="20"/>
        </w:rPr>
        <w:t> </w:t>
      </w:r>
      <w:r>
        <w:rPr>
          <w:sz w:val="20"/>
        </w:rPr>
        <w:t>the</w:t>
      </w:r>
      <w:r>
        <w:rPr>
          <w:spacing w:val="-6"/>
          <w:sz w:val="20"/>
        </w:rPr>
        <w:t> </w:t>
      </w:r>
      <w:r>
        <w:rPr>
          <w:sz w:val="20"/>
        </w:rPr>
        <w:t>user</w:t>
      </w:r>
      <w:r>
        <w:rPr>
          <w:spacing w:val="-7"/>
          <w:sz w:val="20"/>
        </w:rPr>
        <w:t> </w:t>
      </w:r>
      <w:r>
        <w:rPr>
          <w:sz w:val="20"/>
        </w:rPr>
        <w:t>by</w:t>
      </w:r>
      <w:r>
        <w:rPr>
          <w:spacing w:val="-9"/>
          <w:sz w:val="20"/>
        </w:rPr>
        <w:t> </w:t>
      </w:r>
      <w:r>
        <w:rPr>
          <w:sz w:val="20"/>
        </w:rPr>
        <w:t>way</w:t>
      </w:r>
      <w:r>
        <w:rPr>
          <w:spacing w:val="-10"/>
          <w:sz w:val="20"/>
        </w:rPr>
        <w:t> </w:t>
      </w:r>
      <w:r>
        <w:rPr>
          <w:sz w:val="20"/>
        </w:rPr>
        <w:t>of</w:t>
      </w:r>
      <w:r>
        <w:rPr>
          <w:spacing w:val="-6"/>
          <w:sz w:val="20"/>
        </w:rPr>
        <w:t> </w:t>
      </w:r>
      <w:r>
        <w:rPr>
          <w:sz w:val="20"/>
        </w:rPr>
        <w:t>subscription</w:t>
      </w:r>
      <w:r>
        <w:rPr>
          <w:spacing w:val="-6"/>
          <w:sz w:val="20"/>
        </w:rPr>
        <w:t> </w:t>
      </w:r>
      <w:r>
        <w:rPr>
          <w:sz w:val="20"/>
        </w:rPr>
        <w:t>fees,</w:t>
      </w:r>
      <w:r>
        <w:rPr>
          <w:spacing w:val="-8"/>
          <w:sz w:val="20"/>
        </w:rPr>
        <w:t> </w:t>
      </w:r>
      <w:r>
        <w:rPr>
          <w:sz w:val="20"/>
        </w:rPr>
        <w:t>the</w:t>
      </w:r>
      <w:r>
        <w:rPr>
          <w:spacing w:val="-8"/>
          <w:sz w:val="20"/>
        </w:rPr>
        <w:t> </w:t>
      </w:r>
      <w:r>
        <w:rPr>
          <w:sz w:val="20"/>
        </w:rPr>
        <w:t>revenue</w:t>
      </w:r>
      <w:r>
        <w:rPr>
          <w:spacing w:val="-7"/>
          <w:sz w:val="20"/>
        </w:rPr>
        <w:t> </w:t>
      </w:r>
      <w:r>
        <w:rPr>
          <w:sz w:val="20"/>
        </w:rPr>
        <w:t>sourcing</w:t>
      </w:r>
      <w:r>
        <w:rPr>
          <w:spacing w:val="-6"/>
          <w:sz w:val="20"/>
        </w:rPr>
        <w:t> </w:t>
      </w:r>
      <w:r>
        <w:rPr>
          <w:sz w:val="20"/>
        </w:rPr>
        <w:t>rule</w:t>
      </w:r>
      <w:r>
        <w:rPr>
          <w:spacing w:val="-8"/>
          <w:sz w:val="20"/>
        </w:rPr>
        <w:t> </w:t>
      </w:r>
      <w:r>
        <w:rPr>
          <w:sz w:val="20"/>
        </w:rPr>
        <w:t>follows that for revenue from digital content</w:t>
      </w:r>
      <w:r>
        <w:rPr>
          <w:spacing w:val="-3"/>
          <w:sz w:val="20"/>
        </w:rPr>
        <w:t> </w:t>
      </w:r>
      <w:r>
        <w:rPr>
          <w:sz w:val="20"/>
        </w:rPr>
        <w:t>services.</w:t>
      </w:r>
    </w:p>
    <w:p>
      <w:pPr>
        <w:pStyle w:val="BodyText"/>
        <w:spacing w:before="3"/>
      </w:pPr>
    </w:p>
    <w:p>
      <w:pPr>
        <w:pStyle w:val="Heading8"/>
      </w:pPr>
      <w:bookmarkStart w:name="Revenue from online intermediation platf" w:id="172"/>
      <w:bookmarkEnd w:id="172"/>
      <w:r>
        <w:rPr>
          <w:b w:val="0"/>
        </w:rPr>
      </w:r>
      <w:r>
        <w:rPr/>
        <w:t>Revenue from online intermediation platforms</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Broadly, there are three revenue streams for Online Intermediation Platforms Services: (i) Online Advertising; (ii) Sale or Other Alienation of User Data; and (iii) commission / fees for intermediation services. The revenue sourcing rules follow the type of revenue generated. In respect of advertising, the online advertising services rule would apply, as above. For the sale or other alienation of user data, the respective</w:t>
      </w:r>
      <w:r>
        <w:rPr>
          <w:spacing w:val="-18"/>
          <w:sz w:val="20"/>
        </w:rPr>
        <w:t> </w:t>
      </w:r>
      <w:r>
        <w:rPr>
          <w:sz w:val="20"/>
        </w:rPr>
        <w:t>revenue</w:t>
      </w:r>
      <w:r>
        <w:rPr>
          <w:spacing w:val="-18"/>
          <w:sz w:val="20"/>
        </w:rPr>
        <w:t> </w:t>
      </w:r>
      <w:r>
        <w:rPr>
          <w:sz w:val="20"/>
        </w:rPr>
        <w:t>sourcing</w:t>
      </w:r>
      <w:r>
        <w:rPr>
          <w:spacing w:val="-17"/>
          <w:sz w:val="20"/>
        </w:rPr>
        <w:t> </w:t>
      </w:r>
      <w:r>
        <w:rPr>
          <w:sz w:val="20"/>
        </w:rPr>
        <w:t>rules</w:t>
      </w:r>
      <w:r>
        <w:rPr>
          <w:spacing w:val="-16"/>
          <w:sz w:val="20"/>
        </w:rPr>
        <w:t> </w:t>
      </w:r>
      <w:r>
        <w:rPr>
          <w:sz w:val="20"/>
        </w:rPr>
        <w:t>as</w:t>
      </w:r>
      <w:r>
        <w:rPr>
          <w:spacing w:val="-17"/>
          <w:sz w:val="20"/>
        </w:rPr>
        <w:t> </w:t>
      </w:r>
      <w:r>
        <w:rPr>
          <w:sz w:val="20"/>
        </w:rPr>
        <w:t>described</w:t>
      </w:r>
      <w:r>
        <w:rPr>
          <w:spacing w:val="-15"/>
          <w:sz w:val="20"/>
        </w:rPr>
        <w:t> </w:t>
      </w:r>
      <w:r>
        <w:rPr>
          <w:sz w:val="20"/>
        </w:rPr>
        <w:t>above</w:t>
      </w:r>
      <w:r>
        <w:rPr>
          <w:spacing w:val="-16"/>
          <w:sz w:val="20"/>
        </w:rPr>
        <w:t> </w:t>
      </w:r>
      <w:r>
        <w:rPr>
          <w:sz w:val="20"/>
        </w:rPr>
        <w:t>apply.</w:t>
      </w:r>
      <w:r>
        <w:rPr>
          <w:spacing w:val="-9"/>
          <w:sz w:val="20"/>
        </w:rPr>
        <w:t> </w:t>
      </w:r>
      <w:r>
        <w:rPr>
          <w:sz w:val="20"/>
        </w:rPr>
        <w:t>Commission</w:t>
      </w:r>
      <w:r>
        <w:rPr>
          <w:spacing w:val="-17"/>
          <w:sz w:val="20"/>
        </w:rPr>
        <w:t> </w:t>
      </w:r>
      <w:r>
        <w:rPr>
          <w:sz w:val="20"/>
        </w:rPr>
        <w:t>/</w:t>
      </w:r>
      <w:r>
        <w:rPr>
          <w:spacing w:val="-17"/>
          <w:sz w:val="20"/>
        </w:rPr>
        <w:t> </w:t>
      </w:r>
      <w:r>
        <w:rPr>
          <w:sz w:val="20"/>
        </w:rPr>
        <w:t>fees</w:t>
      </w:r>
      <w:r>
        <w:rPr>
          <w:spacing w:val="-16"/>
          <w:sz w:val="20"/>
        </w:rPr>
        <w:t> </w:t>
      </w:r>
      <w:r>
        <w:rPr>
          <w:sz w:val="20"/>
        </w:rPr>
        <w:t>for</w:t>
      </w:r>
      <w:r>
        <w:rPr>
          <w:spacing w:val="-16"/>
          <w:sz w:val="20"/>
        </w:rPr>
        <w:t> </w:t>
      </w:r>
      <w:r>
        <w:rPr>
          <w:sz w:val="20"/>
        </w:rPr>
        <w:t>intermediation</w:t>
      </w:r>
      <w:r>
        <w:rPr>
          <w:spacing w:val="-18"/>
          <w:sz w:val="20"/>
        </w:rPr>
        <w:t> </w:t>
      </w:r>
      <w:r>
        <w:rPr>
          <w:sz w:val="20"/>
        </w:rPr>
        <w:t>services can</w:t>
      </w:r>
      <w:r>
        <w:rPr>
          <w:spacing w:val="-7"/>
          <w:sz w:val="20"/>
        </w:rPr>
        <w:t> </w:t>
      </w:r>
      <w:r>
        <w:rPr>
          <w:sz w:val="20"/>
        </w:rPr>
        <w:t>be,</w:t>
      </w:r>
      <w:r>
        <w:rPr>
          <w:spacing w:val="-5"/>
          <w:sz w:val="20"/>
        </w:rPr>
        <w:t> </w:t>
      </w:r>
      <w:r>
        <w:rPr>
          <w:sz w:val="20"/>
        </w:rPr>
        <w:t>e.g.a</w:t>
      </w:r>
      <w:r>
        <w:rPr>
          <w:spacing w:val="-7"/>
          <w:sz w:val="20"/>
        </w:rPr>
        <w:t> </w:t>
      </w:r>
      <w:r>
        <w:rPr>
          <w:sz w:val="20"/>
        </w:rPr>
        <w:t>portion</w:t>
      </w:r>
      <w:r>
        <w:rPr>
          <w:spacing w:val="-6"/>
          <w:sz w:val="20"/>
        </w:rPr>
        <w:t> </w:t>
      </w:r>
      <w:r>
        <w:rPr>
          <w:sz w:val="20"/>
        </w:rPr>
        <w:t>of</w:t>
      </w:r>
      <w:r>
        <w:rPr>
          <w:spacing w:val="-5"/>
          <w:sz w:val="20"/>
        </w:rPr>
        <w:t> </w:t>
      </w:r>
      <w:r>
        <w:rPr>
          <w:sz w:val="20"/>
        </w:rPr>
        <w:t>the</w:t>
      </w:r>
      <w:r>
        <w:rPr>
          <w:spacing w:val="-6"/>
          <w:sz w:val="20"/>
        </w:rPr>
        <w:t> </w:t>
      </w:r>
      <w:r>
        <w:rPr>
          <w:sz w:val="20"/>
        </w:rPr>
        <w:t>sales</w:t>
      </w:r>
      <w:r>
        <w:rPr>
          <w:spacing w:val="-6"/>
          <w:sz w:val="20"/>
        </w:rPr>
        <w:t> </w:t>
      </w:r>
      <w:r>
        <w:rPr>
          <w:sz w:val="20"/>
        </w:rPr>
        <w:t>price</w:t>
      </w:r>
      <w:r>
        <w:rPr>
          <w:spacing w:val="-6"/>
          <w:sz w:val="20"/>
        </w:rPr>
        <w:t> </w:t>
      </w:r>
      <w:r>
        <w:rPr>
          <w:sz w:val="20"/>
        </w:rPr>
        <w:t>paid</w:t>
      </w:r>
      <w:r>
        <w:rPr>
          <w:spacing w:val="-6"/>
          <w:sz w:val="20"/>
        </w:rPr>
        <w:t> </w:t>
      </w:r>
      <w:r>
        <w:rPr>
          <w:sz w:val="20"/>
        </w:rPr>
        <w:t>by</w:t>
      </w:r>
      <w:r>
        <w:rPr>
          <w:spacing w:val="-10"/>
          <w:sz w:val="20"/>
        </w:rPr>
        <w:t> </w:t>
      </w:r>
      <w:r>
        <w:rPr>
          <w:sz w:val="20"/>
        </w:rPr>
        <w:t>the</w:t>
      </w:r>
      <w:r>
        <w:rPr>
          <w:spacing w:val="-6"/>
          <w:sz w:val="20"/>
        </w:rPr>
        <w:t> </w:t>
      </w:r>
      <w:r>
        <w:rPr>
          <w:sz w:val="20"/>
        </w:rPr>
        <w:t>purchaser,</w:t>
      </w:r>
      <w:r>
        <w:rPr>
          <w:spacing w:val="-5"/>
          <w:sz w:val="20"/>
        </w:rPr>
        <w:t> </w:t>
      </w:r>
      <w:r>
        <w:rPr>
          <w:sz w:val="20"/>
        </w:rPr>
        <w:t>or</w:t>
      </w:r>
      <w:r>
        <w:rPr>
          <w:spacing w:val="-6"/>
          <w:sz w:val="20"/>
        </w:rPr>
        <w:t> </w:t>
      </w:r>
      <w:r>
        <w:rPr>
          <w:sz w:val="20"/>
        </w:rPr>
        <w:t>a</w:t>
      </w:r>
      <w:r>
        <w:rPr>
          <w:spacing w:val="-6"/>
          <w:sz w:val="20"/>
        </w:rPr>
        <w:t> </w:t>
      </w:r>
      <w:r>
        <w:rPr>
          <w:sz w:val="20"/>
        </w:rPr>
        <w:t>fee</w:t>
      </w:r>
      <w:r>
        <w:rPr>
          <w:spacing w:val="-7"/>
          <w:sz w:val="20"/>
        </w:rPr>
        <w:t> </w:t>
      </w:r>
      <w:r>
        <w:rPr>
          <w:sz w:val="20"/>
        </w:rPr>
        <w:t>charged</w:t>
      </w:r>
      <w:r>
        <w:rPr>
          <w:spacing w:val="-6"/>
          <w:sz w:val="20"/>
        </w:rPr>
        <w:t> </w:t>
      </w:r>
      <w:r>
        <w:rPr>
          <w:sz w:val="20"/>
        </w:rPr>
        <w:t>to</w:t>
      </w:r>
      <w:r>
        <w:rPr>
          <w:spacing w:val="-7"/>
          <w:sz w:val="20"/>
        </w:rPr>
        <w:t> </w:t>
      </w:r>
      <w:r>
        <w:rPr>
          <w:sz w:val="20"/>
        </w:rPr>
        <w:t>the</w:t>
      </w:r>
      <w:r>
        <w:rPr>
          <w:spacing w:val="-6"/>
          <w:sz w:val="20"/>
        </w:rPr>
        <w:t> </w:t>
      </w:r>
      <w:r>
        <w:rPr>
          <w:sz w:val="20"/>
        </w:rPr>
        <w:t>seller</w:t>
      </w:r>
      <w:r>
        <w:rPr>
          <w:spacing w:val="-5"/>
          <w:sz w:val="20"/>
        </w:rPr>
        <w:t> </w:t>
      </w:r>
      <w:r>
        <w:rPr>
          <w:sz w:val="20"/>
        </w:rPr>
        <w:t>for</w:t>
      </w:r>
      <w:r>
        <w:rPr>
          <w:spacing w:val="-6"/>
          <w:sz w:val="20"/>
        </w:rPr>
        <w:t> </w:t>
      </w:r>
      <w:r>
        <w:rPr>
          <w:sz w:val="20"/>
        </w:rPr>
        <w:t>a</w:t>
      </w:r>
      <w:r>
        <w:rPr>
          <w:spacing w:val="-6"/>
          <w:sz w:val="20"/>
        </w:rPr>
        <w:t> </w:t>
      </w:r>
      <w:r>
        <w:rPr>
          <w:sz w:val="20"/>
        </w:rPr>
        <w:t>portion</w:t>
      </w:r>
      <w:r>
        <w:rPr>
          <w:spacing w:val="-7"/>
          <w:sz w:val="20"/>
        </w:rPr>
        <w:t> </w:t>
      </w:r>
      <w:r>
        <w:rPr>
          <w:sz w:val="20"/>
        </w:rPr>
        <w:t>of their sales on the</w:t>
      </w:r>
      <w:r>
        <w:rPr>
          <w:spacing w:val="-3"/>
          <w:sz w:val="20"/>
        </w:rPr>
        <w:t> </w:t>
      </w:r>
      <w:r>
        <w:rPr>
          <w:sz w:val="20"/>
        </w:rPr>
        <w:t>site.</w:t>
      </w:r>
      <w:r>
        <w:rPr>
          <w:sz w:val="20"/>
          <w:vertAlign w:val="superscript"/>
        </w:rPr>
        <w:t>56</w:t>
      </w:r>
    </w:p>
    <w:p>
      <w:pPr>
        <w:pStyle w:val="ListParagraph"/>
        <w:numPr>
          <w:ilvl w:val="0"/>
          <w:numId w:val="13"/>
        </w:numPr>
        <w:tabs>
          <w:tab w:pos="1444" w:val="left" w:leader="none"/>
        </w:tabs>
        <w:spacing w:line="271" w:lineRule="auto" w:before="120" w:after="0"/>
        <w:ind w:left="723" w:right="489" w:firstLine="0"/>
        <w:jc w:val="both"/>
        <w:rPr>
          <w:sz w:val="20"/>
        </w:rPr>
      </w:pPr>
      <w:r>
        <w:rPr>
          <w:sz w:val="20"/>
        </w:rPr>
        <w:t>For the revenue derived from commission / fees, the sourcing rule is a 50:50 split between the seller and the purchaser. This recognises that both the market and the provider of the goods have contributed to the possibility of the platform to generate its revenue. It is also more neutral as between different jurisdictions where a transaction is cross-border, as well as between business models that are essentially</w:t>
      </w:r>
      <w:r>
        <w:rPr>
          <w:spacing w:val="-7"/>
          <w:sz w:val="20"/>
        </w:rPr>
        <w:t> </w:t>
      </w:r>
      <w:r>
        <w:rPr>
          <w:sz w:val="20"/>
        </w:rPr>
        <w:t>similar in</w:t>
      </w:r>
      <w:r>
        <w:rPr>
          <w:spacing w:val="-3"/>
          <w:sz w:val="20"/>
        </w:rPr>
        <w:t> </w:t>
      </w:r>
      <w:r>
        <w:rPr>
          <w:sz w:val="20"/>
        </w:rPr>
        <w:t>substance</w:t>
      </w:r>
      <w:r>
        <w:rPr>
          <w:spacing w:val="-4"/>
          <w:sz w:val="20"/>
        </w:rPr>
        <w:t> </w:t>
      </w:r>
      <w:r>
        <w:rPr>
          <w:sz w:val="20"/>
        </w:rPr>
        <w:t>but</w:t>
      </w:r>
      <w:r>
        <w:rPr>
          <w:spacing w:val="-1"/>
          <w:sz w:val="20"/>
        </w:rPr>
        <w:t> </w:t>
      </w:r>
      <w:r>
        <w:rPr>
          <w:sz w:val="20"/>
        </w:rPr>
        <w:t>may</w:t>
      </w:r>
      <w:r>
        <w:rPr>
          <w:spacing w:val="-9"/>
          <w:sz w:val="20"/>
        </w:rPr>
        <w:t> </w:t>
      </w:r>
      <w:r>
        <w:rPr>
          <w:sz w:val="20"/>
        </w:rPr>
        <w:t>as</w:t>
      </w:r>
      <w:r>
        <w:rPr>
          <w:spacing w:val="-1"/>
          <w:sz w:val="20"/>
        </w:rPr>
        <w:t> </w:t>
      </w:r>
      <w:r>
        <w:rPr>
          <w:sz w:val="20"/>
        </w:rPr>
        <w:t>a</w:t>
      </w:r>
      <w:r>
        <w:rPr>
          <w:spacing w:val="-3"/>
          <w:sz w:val="20"/>
        </w:rPr>
        <w:t> </w:t>
      </w:r>
      <w:r>
        <w:rPr>
          <w:sz w:val="20"/>
        </w:rPr>
        <w:t>matter</w:t>
      </w:r>
      <w:r>
        <w:rPr>
          <w:spacing w:val="-3"/>
          <w:sz w:val="20"/>
        </w:rPr>
        <w:t> </w:t>
      </w:r>
      <w:r>
        <w:rPr>
          <w:sz w:val="20"/>
        </w:rPr>
        <w:t>of</w:t>
      </w:r>
      <w:r>
        <w:rPr>
          <w:spacing w:val="-2"/>
          <w:sz w:val="20"/>
        </w:rPr>
        <w:t> </w:t>
      </w:r>
      <w:r>
        <w:rPr>
          <w:sz w:val="20"/>
        </w:rPr>
        <w:t>form</w:t>
      </w:r>
      <w:r>
        <w:rPr>
          <w:spacing w:val="2"/>
          <w:sz w:val="20"/>
        </w:rPr>
        <w:t> </w:t>
      </w:r>
      <w:r>
        <w:rPr>
          <w:sz w:val="20"/>
        </w:rPr>
        <w:t>charge</w:t>
      </w:r>
      <w:r>
        <w:rPr>
          <w:spacing w:val="-4"/>
          <w:sz w:val="20"/>
        </w:rPr>
        <w:t> </w:t>
      </w:r>
      <w:r>
        <w:rPr>
          <w:sz w:val="20"/>
        </w:rPr>
        <w:t>differently</w:t>
      </w:r>
      <w:r>
        <w:rPr>
          <w:spacing w:val="-7"/>
          <w:sz w:val="20"/>
        </w:rPr>
        <w:t> </w:t>
      </w:r>
      <w:r>
        <w:rPr>
          <w:sz w:val="20"/>
        </w:rPr>
        <w:t>for</w:t>
      </w:r>
      <w:r>
        <w:rPr>
          <w:spacing w:val="-3"/>
          <w:sz w:val="20"/>
        </w:rPr>
        <w:t> </w:t>
      </w:r>
      <w:r>
        <w:rPr>
          <w:sz w:val="20"/>
        </w:rPr>
        <w:t>similar</w:t>
      </w:r>
      <w:r>
        <w:rPr>
          <w:spacing w:val="-3"/>
          <w:sz w:val="20"/>
        </w:rPr>
        <w:t> </w:t>
      </w:r>
      <w:r>
        <w:rPr>
          <w:sz w:val="20"/>
        </w:rPr>
        <w:t>transactions.</w:t>
      </w:r>
    </w:p>
    <w:p>
      <w:pPr>
        <w:pStyle w:val="ListParagraph"/>
        <w:numPr>
          <w:ilvl w:val="0"/>
          <w:numId w:val="13"/>
        </w:numPr>
        <w:tabs>
          <w:tab w:pos="1444" w:val="left" w:leader="none"/>
        </w:tabs>
        <w:spacing w:line="271" w:lineRule="auto" w:before="122" w:after="0"/>
        <w:ind w:left="723" w:right="488" w:firstLine="0"/>
        <w:jc w:val="both"/>
        <w:rPr>
          <w:sz w:val="20"/>
        </w:rPr>
      </w:pPr>
      <w:r>
        <w:rPr>
          <w:sz w:val="20"/>
        </w:rPr>
        <w:t>The sourcing rule with respect to the purchaser depends on the type of good / service being purchased.</w:t>
      </w:r>
    </w:p>
    <w:p>
      <w:pPr>
        <w:pStyle w:val="ListParagraph"/>
        <w:numPr>
          <w:ilvl w:val="0"/>
          <w:numId w:val="13"/>
        </w:numPr>
        <w:tabs>
          <w:tab w:pos="1444" w:val="left" w:leader="none"/>
        </w:tabs>
        <w:spacing w:line="271" w:lineRule="auto" w:before="121" w:after="0"/>
        <w:ind w:left="723" w:right="478" w:firstLine="0"/>
        <w:jc w:val="both"/>
        <w:rPr>
          <w:sz w:val="20"/>
        </w:rPr>
      </w:pPr>
      <w:r>
        <w:rPr>
          <w:sz w:val="20"/>
        </w:rPr>
        <w:t>For “tangible” goods, the sourcing rule is the ordinary residence of the purchaser, as this is the person that has developed the interest and ability to make the purchase. The indicators look first to the billing address, delivery address, and user profile as likely indicators of the ordinary residence, as these features</w:t>
      </w:r>
      <w:r>
        <w:rPr>
          <w:spacing w:val="11"/>
          <w:sz w:val="20"/>
        </w:rPr>
        <w:t> </w:t>
      </w:r>
      <w:r>
        <w:rPr>
          <w:sz w:val="20"/>
        </w:rPr>
        <w:t>have</w:t>
      </w:r>
      <w:r>
        <w:rPr>
          <w:spacing w:val="13"/>
          <w:sz w:val="20"/>
        </w:rPr>
        <w:t> </w:t>
      </w:r>
      <w:r>
        <w:rPr>
          <w:sz w:val="20"/>
        </w:rPr>
        <w:t>some</w:t>
      </w:r>
      <w:r>
        <w:rPr>
          <w:spacing w:val="11"/>
          <w:sz w:val="20"/>
        </w:rPr>
        <w:t> </w:t>
      </w:r>
      <w:r>
        <w:rPr>
          <w:sz w:val="20"/>
        </w:rPr>
        <w:t>degree</w:t>
      </w:r>
      <w:r>
        <w:rPr>
          <w:spacing w:val="11"/>
          <w:sz w:val="20"/>
        </w:rPr>
        <w:t> </w:t>
      </w:r>
      <w:r>
        <w:rPr>
          <w:sz w:val="20"/>
        </w:rPr>
        <w:t>of</w:t>
      </w:r>
      <w:r>
        <w:rPr>
          <w:spacing w:val="13"/>
          <w:sz w:val="20"/>
        </w:rPr>
        <w:t> </w:t>
      </w:r>
      <w:r>
        <w:rPr>
          <w:sz w:val="20"/>
        </w:rPr>
        <w:t>permanence</w:t>
      </w:r>
      <w:r>
        <w:rPr>
          <w:spacing w:val="11"/>
          <w:sz w:val="20"/>
        </w:rPr>
        <w:t> </w:t>
      </w:r>
      <w:r>
        <w:rPr>
          <w:sz w:val="20"/>
        </w:rPr>
        <w:t>of</w:t>
      </w:r>
      <w:r>
        <w:rPr>
          <w:spacing w:val="12"/>
          <w:sz w:val="20"/>
        </w:rPr>
        <w:t> </w:t>
      </w:r>
      <w:r>
        <w:rPr>
          <w:sz w:val="20"/>
        </w:rPr>
        <w:t>the</w:t>
      </w:r>
      <w:r>
        <w:rPr>
          <w:spacing w:val="13"/>
          <w:sz w:val="20"/>
        </w:rPr>
        <w:t> </w:t>
      </w:r>
      <w:r>
        <w:rPr>
          <w:sz w:val="20"/>
        </w:rPr>
        <w:t>connection</w:t>
      </w:r>
      <w:r>
        <w:rPr>
          <w:spacing w:val="13"/>
          <w:sz w:val="20"/>
        </w:rPr>
        <w:t> </w:t>
      </w:r>
      <w:r>
        <w:rPr>
          <w:sz w:val="20"/>
        </w:rPr>
        <w:t>of</w:t>
      </w:r>
      <w:r>
        <w:rPr>
          <w:spacing w:val="13"/>
          <w:sz w:val="20"/>
        </w:rPr>
        <w:t> </w:t>
      </w:r>
      <w:r>
        <w:rPr>
          <w:sz w:val="20"/>
        </w:rPr>
        <w:t>the</w:t>
      </w:r>
      <w:r>
        <w:rPr>
          <w:spacing w:val="13"/>
          <w:sz w:val="20"/>
        </w:rPr>
        <w:t> </w:t>
      </w:r>
      <w:r>
        <w:rPr>
          <w:sz w:val="20"/>
        </w:rPr>
        <w:t>purchaser</w:t>
      </w:r>
      <w:r>
        <w:rPr>
          <w:spacing w:val="14"/>
          <w:sz w:val="20"/>
        </w:rPr>
        <w:t> </w:t>
      </w:r>
      <w:r>
        <w:rPr>
          <w:sz w:val="20"/>
        </w:rPr>
        <w:t>to</w:t>
      </w:r>
      <w:r>
        <w:rPr>
          <w:spacing w:val="10"/>
          <w:sz w:val="20"/>
        </w:rPr>
        <w:t> </w:t>
      </w:r>
      <w:r>
        <w:rPr>
          <w:sz w:val="20"/>
        </w:rPr>
        <w:t>the</w:t>
      </w:r>
      <w:r>
        <w:rPr>
          <w:spacing w:val="11"/>
          <w:sz w:val="20"/>
        </w:rPr>
        <w:t> </w:t>
      </w:r>
      <w:r>
        <w:rPr>
          <w:sz w:val="20"/>
        </w:rPr>
        <w:t>jurisdiction.</w:t>
      </w:r>
      <w:r>
        <w:rPr>
          <w:spacing w:val="13"/>
          <w:sz w:val="20"/>
        </w:rPr>
        <w:t> </w:t>
      </w:r>
      <w:r>
        <w:rPr>
          <w:sz w:val="20"/>
        </w:rPr>
        <w:t>If</w:t>
      </w:r>
      <w:r>
        <w:rPr>
          <w:spacing w:val="13"/>
          <w:sz w:val="20"/>
        </w:rPr>
        <w:t> </w:t>
      </w:r>
      <w:r>
        <w:rPr>
          <w:sz w:val="20"/>
        </w:rPr>
        <w:t>this</w:t>
      </w:r>
    </w:p>
    <w:p>
      <w:pPr>
        <w:pStyle w:val="BodyText"/>
        <w:spacing w:before="4"/>
        <w:rPr>
          <w:sz w:val="18"/>
        </w:rPr>
      </w:pPr>
      <w:r>
        <w:rPr/>
        <w:pict>
          <v:rect style="position:absolute;margin-left:65.183998pt;margin-top:12.521249pt;width:144.020004pt;height:.60004pt;mso-position-horizontal-relative:page;mso-position-vertical-relative:paragraph;z-index:-1567539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6" w:val="left" w:leader="none"/>
        </w:tabs>
        <w:spacing w:line="278" w:lineRule="auto" w:before="94" w:after="0"/>
        <w:ind w:left="723" w:right="485" w:firstLine="0"/>
        <w:jc w:val="left"/>
        <w:rPr>
          <w:sz w:val="18"/>
        </w:rPr>
      </w:pPr>
      <w:r>
        <w:rPr>
          <w:sz w:val="18"/>
        </w:rPr>
        <w:t>Further</w:t>
      </w:r>
      <w:r>
        <w:rPr>
          <w:spacing w:val="-7"/>
          <w:sz w:val="18"/>
        </w:rPr>
        <w:t> </w:t>
      </w:r>
      <w:r>
        <w:rPr>
          <w:sz w:val="18"/>
        </w:rPr>
        <w:t>consideration</w:t>
      </w:r>
      <w:r>
        <w:rPr>
          <w:spacing w:val="-7"/>
          <w:sz w:val="18"/>
        </w:rPr>
        <w:t> </w:t>
      </w:r>
      <w:r>
        <w:rPr>
          <w:sz w:val="18"/>
        </w:rPr>
        <w:t>will</w:t>
      </w:r>
      <w:r>
        <w:rPr>
          <w:spacing w:val="-4"/>
          <w:sz w:val="18"/>
        </w:rPr>
        <w:t> </w:t>
      </w:r>
      <w:r>
        <w:rPr>
          <w:sz w:val="18"/>
        </w:rPr>
        <w:t>be</w:t>
      </w:r>
      <w:r>
        <w:rPr>
          <w:spacing w:val="-4"/>
          <w:sz w:val="18"/>
        </w:rPr>
        <w:t> </w:t>
      </w:r>
      <w:r>
        <w:rPr>
          <w:sz w:val="18"/>
        </w:rPr>
        <w:t>given</w:t>
      </w:r>
      <w:r>
        <w:rPr>
          <w:spacing w:val="-4"/>
          <w:sz w:val="18"/>
        </w:rPr>
        <w:t> </w:t>
      </w:r>
      <w:r>
        <w:rPr>
          <w:sz w:val="18"/>
        </w:rPr>
        <w:t>to</w:t>
      </w:r>
      <w:r>
        <w:rPr>
          <w:spacing w:val="-6"/>
          <w:sz w:val="18"/>
        </w:rPr>
        <w:t> </w:t>
      </w:r>
      <w:r>
        <w:rPr>
          <w:sz w:val="18"/>
        </w:rPr>
        <w:t>the</w:t>
      </w:r>
      <w:r>
        <w:rPr>
          <w:spacing w:val="-4"/>
          <w:sz w:val="18"/>
        </w:rPr>
        <w:t> </w:t>
      </w:r>
      <w:r>
        <w:rPr>
          <w:sz w:val="18"/>
        </w:rPr>
        <w:t>types</w:t>
      </w:r>
      <w:r>
        <w:rPr>
          <w:spacing w:val="-6"/>
          <w:sz w:val="18"/>
        </w:rPr>
        <w:t> </w:t>
      </w:r>
      <w:r>
        <w:rPr>
          <w:sz w:val="18"/>
        </w:rPr>
        <w:t>of</w:t>
      </w:r>
      <w:r>
        <w:rPr>
          <w:spacing w:val="-7"/>
          <w:sz w:val="18"/>
        </w:rPr>
        <w:t> </w:t>
      </w:r>
      <w:r>
        <w:rPr>
          <w:sz w:val="18"/>
        </w:rPr>
        <w:t>fees</w:t>
      </w:r>
      <w:r>
        <w:rPr>
          <w:spacing w:val="-3"/>
          <w:sz w:val="18"/>
        </w:rPr>
        <w:t> </w:t>
      </w:r>
      <w:r>
        <w:rPr>
          <w:sz w:val="18"/>
        </w:rPr>
        <w:t>that</w:t>
      </w:r>
      <w:r>
        <w:rPr>
          <w:spacing w:val="-6"/>
          <w:sz w:val="18"/>
        </w:rPr>
        <w:t> </w:t>
      </w:r>
      <w:r>
        <w:rPr>
          <w:sz w:val="18"/>
        </w:rPr>
        <w:t>may</w:t>
      </w:r>
      <w:r>
        <w:rPr>
          <w:spacing w:val="-6"/>
          <w:sz w:val="18"/>
        </w:rPr>
        <w:t> </w:t>
      </w:r>
      <w:r>
        <w:rPr>
          <w:sz w:val="18"/>
        </w:rPr>
        <w:t>be</w:t>
      </w:r>
      <w:r>
        <w:rPr>
          <w:spacing w:val="-6"/>
          <w:sz w:val="18"/>
        </w:rPr>
        <w:t> </w:t>
      </w:r>
      <w:r>
        <w:rPr>
          <w:sz w:val="18"/>
        </w:rPr>
        <w:t>charged</w:t>
      </w:r>
      <w:r>
        <w:rPr>
          <w:spacing w:val="-6"/>
          <w:sz w:val="18"/>
        </w:rPr>
        <w:t> </w:t>
      </w:r>
      <w:r>
        <w:rPr>
          <w:sz w:val="18"/>
        </w:rPr>
        <w:t>for</w:t>
      </w:r>
      <w:r>
        <w:rPr>
          <w:spacing w:val="-7"/>
          <w:sz w:val="18"/>
        </w:rPr>
        <w:t> </w:t>
      </w:r>
      <w:r>
        <w:rPr>
          <w:sz w:val="18"/>
        </w:rPr>
        <w:t>online</w:t>
      </w:r>
      <w:r>
        <w:rPr>
          <w:spacing w:val="-6"/>
          <w:sz w:val="18"/>
        </w:rPr>
        <w:t> </w:t>
      </w:r>
      <w:r>
        <w:rPr>
          <w:sz w:val="18"/>
        </w:rPr>
        <w:t>intermediation</w:t>
      </w:r>
      <w:r>
        <w:rPr>
          <w:spacing w:val="-6"/>
          <w:sz w:val="18"/>
        </w:rPr>
        <w:t> </w:t>
      </w:r>
      <w:r>
        <w:rPr>
          <w:sz w:val="18"/>
        </w:rPr>
        <w:t>services,</w:t>
      </w:r>
      <w:r>
        <w:rPr>
          <w:spacing w:val="-6"/>
          <w:sz w:val="18"/>
        </w:rPr>
        <w:t> </w:t>
      </w:r>
      <w:r>
        <w:rPr>
          <w:sz w:val="18"/>
        </w:rPr>
        <w:t>such as those that are not tied to transactions, and whether these should fall under the 50/50 revenue rule or be</w:t>
      </w:r>
      <w:r>
        <w:rPr>
          <w:spacing w:val="1"/>
          <w:sz w:val="18"/>
        </w:rPr>
        <w:t> </w:t>
      </w:r>
      <w:r>
        <w:rPr>
          <w:sz w:val="18"/>
        </w:rPr>
        <w:t>sourced,</w:t>
      </w:r>
    </w:p>
    <w:p>
      <w:pPr>
        <w:spacing w:before="0"/>
        <w:ind w:left="723" w:right="0" w:firstLine="0"/>
        <w:jc w:val="left"/>
        <w:rPr>
          <w:sz w:val="18"/>
        </w:rPr>
      </w:pPr>
      <w:r>
        <w:rPr>
          <w:sz w:val="18"/>
        </w:rPr>
        <w:t>e.g. as per the rule that applies for digital content services.</w:t>
      </w:r>
    </w:p>
    <w:p>
      <w:pPr>
        <w:spacing w:after="0"/>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93"/>
        <w:jc w:val="both"/>
      </w:pPr>
      <w:r>
        <w:rPr/>
        <w:t>information is not available, then geolocation or IP address is used, which will identify the location of the user at the point of sale. This may often, but not always, correlate to the usual residence, depending for example on how much the purchaser uses the service while travelling abroad.</w:t>
      </w:r>
    </w:p>
    <w:p>
      <w:pPr>
        <w:pStyle w:val="ListParagraph"/>
        <w:numPr>
          <w:ilvl w:val="0"/>
          <w:numId w:val="13"/>
        </w:numPr>
        <w:tabs>
          <w:tab w:pos="1444" w:val="left" w:leader="none"/>
        </w:tabs>
        <w:spacing w:line="271" w:lineRule="auto" w:before="120" w:after="0"/>
        <w:ind w:left="723" w:right="478" w:firstLine="0"/>
        <w:jc w:val="both"/>
        <w:rPr>
          <w:sz w:val="20"/>
        </w:rPr>
      </w:pPr>
      <w:r>
        <w:rPr>
          <w:sz w:val="20"/>
        </w:rPr>
        <w:t>For “tangible” services (such as hotel bookings or other short term location rentals, taxi rides, storage</w:t>
      </w:r>
      <w:r>
        <w:rPr>
          <w:spacing w:val="-7"/>
          <w:sz w:val="20"/>
        </w:rPr>
        <w:t> </w:t>
      </w:r>
      <w:r>
        <w:rPr>
          <w:sz w:val="20"/>
        </w:rPr>
        <w:t>services,</w:t>
      </w:r>
      <w:r>
        <w:rPr>
          <w:spacing w:val="-5"/>
          <w:sz w:val="20"/>
        </w:rPr>
        <w:t> </w:t>
      </w:r>
      <w:r>
        <w:rPr>
          <w:sz w:val="20"/>
        </w:rPr>
        <w:t>food</w:t>
      </w:r>
      <w:r>
        <w:rPr>
          <w:spacing w:val="-4"/>
          <w:sz w:val="20"/>
        </w:rPr>
        <w:t> </w:t>
      </w:r>
      <w:r>
        <w:rPr>
          <w:sz w:val="20"/>
        </w:rPr>
        <w:t>delivery</w:t>
      </w:r>
      <w:r>
        <w:rPr>
          <w:spacing w:val="-7"/>
          <w:sz w:val="20"/>
        </w:rPr>
        <w:t> </w:t>
      </w:r>
      <w:r>
        <w:rPr>
          <w:sz w:val="20"/>
        </w:rPr>
        <w:t>etc.),</w:t>
      </w:r>
      <w:r>
        <w:rPr>
          <w:spacing w:val="-3"/>
          <w:sz w:val="20"/>
        </w:rPr>
        <w:t> </w:t>
      </w:r>
      <w:r>
        <w:rPr>
          <w:sz w:val="20"/>
        </w:rPr>
        <w:t>the</w:t>
      </w:r>
      <w:r>
        <w:rPr>
          <w:spacing w:val="-7"/>
          <w:sz w:val="20"/>
        </w:rPr>
        <w:t> </w:t>
      </w:r>
      <w:r>
        <w:rPr>
          <w:sz w:val="20"/>
        </w:rPr>
        <w:t>sourcing</w:t>
      </w:r>
      <w:r>
        <w:rPr>
          <w:spacing w:val="-4"/>
          <w:sz w:val="20"/>
        </w:rPr>
        <w:t> </w:t>
      </w:r>
      <w:r>
        <w:rPr>
          <w:sz w:val="20"/>
        </w:rPr>
        <w:t>rule</w:t>
      </w:r>
      <w:r>
        <w:rPr>
          <w:spacing w:val="-6"/>
          <w:sz w:val="20"/>
        </w:rPr>
        <w:t> </w:t>
      </w:r>
      <w:r>
        <w:rPr>
          <w:sz w:val="20"/>
        </w:rPr>
        <w:t>is</w:t>
      </w:r>
      <w:r>
        <w:rPr>
          <w:spacing w:val="-4"/>
          <w:sz w:val="20"/>
        </w:rPr>
        <w:t> </w:t>
      </w:r>
      <w:r>
        <w:rPr>
          <w:sz w:val="20"/>
        </w:rPr>
        <w:t>the</w:t>
      </w:r>
      <w:r>
        <w:rPr>
          <w:spacing w:val="-6"/>
          <w:sz w:val="20"/>
        </w:rPr>
        <w:t> </w:t>
      </w:r>
      <w:r>
        <w:rPr>
          <w:sz w:val="20"/>
        </w:rPr>
        <w:t>real-time</w:t>
      </w:r>
      <w:r>
        <w:rPr>
          <w:spacing w:val="-6"/>
          <w:sz w:val="20"/>
        </w:rPr>
        <w:t> </w:t>
      </w:r>
      <w:r>
        <w:rPr>
          <w:sz w:val="20"/>
        </w:rPr>
        <w:t>location</w:t>
      </w:r>
      <w:r>
        <w:rPr>
          <w:spacing w:val="-5"/>
          <w:sz w:val="20"/>
        </w:rPr>
        <w:t> </w:t>
      </w:r>
      <w:r>
        <w:rPr>
          <w:sz w:val="20"/>
        </w:rPr>
        <w:t>of</w:t>
      </w:r>
      <w:r>
        <w:rPr>
          <w:spacing w:val="-4"/>
          <w:sz w:val="20"/>
        </w:rPr>
        <w:t> </w:t>
      </w:r>
      <w:r>
        <w:rPr>
          <w:sz w:val="20"/>
        </w:rPr>
        <w:t>the</w:t>
      </w:r>
      <w:r>
        <w:rPr>
          <w:spacing w:val="-6"/>
          <w:sz w:val="20"/>
        </w:rPr>
        <w:t> </w:t>
      </w:r>
      <w:r>
        <w:rPr>
          <w:sz w:val="20"/>
        </w:rPr>
        <w:t>purchaser</w:t>
      </w:r>
      <w:r>
        <w:rPr>
          <w:spacing w:val="1"/>
          <w:sz w:val="20"/>
        </w:rPr>
        <w:t> </w:t>
      </w:r>
      <w:r>
        <w:rPr>
          <w:sz w:val="20"/>
        </w:rPr>
        <w:t>at</w:t>
      </w:r>
      <w:r>
        <w:rPr>
          <w:spacing w:val="-6"/>
          <w:sz w:val="20"/>
        </w:rPr>
        <w:t> </w:t>
      </w:r>
      <w:r>
        <w:rPr>
          <w:sz w:val="20"/>
        </w:rPr>
        <w:t>the</w:t>
      </w:r>
      <w:r>
        <w:rPr>
          <w:spacing w:val="-7"/>
          <w:sz w:val="20"/>
        </w:rPr>
        <w:t> </w:t>
      </w:r>
      <w:r>
        <w:rPr>
          <w:sz w:val="20"/>
        </w:rPr>
        <w:t>time of purchase, as these services are generally for one-time use (unlike intangible services below), and this sourcing principle reflects the environment of the market jurisdiction where the purchaser has made the decision to purchase the service. The indicators look first to the geolocation of the purchaser, delivery address of the purchaser (if applicable, for services such as food delivery), and the IP address of the purchaser’s device, as these features reflect the jurisdiction of the location of the purchaser at the time of making the purchase. If this information is not available, then user profile information is used, which will identify the location where the user typically uses the service, which may often, but not always, correlate to the real-time location of the user at the point of sale. Although the sourcing principle is the same as for location based advertising and sale of user data, additional indicators are included in this rule, given that an online intermediation platform may have additional information given their role in intermediating transactions.</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For</w:t>
      </w:r>
      <w:r>
        <w:rPr>
          <w:spacing w:val="-6"/>
          <w:sz w:val="20"/>
        </w:rPr>
        <w:t> </w:t>
      </w:r>
      <w:r>
        <w:rPr>
          <w:sz w:val="20"/>
        </w:rPr>
        <w:t>intangible</w:t>
      </w:r>
      <w:r>
        <w:rPr>
          <w:spacing w:val="-7"/>
          <w:sz w:val="20"/>
        </w:rPr>
        <w:t> </w:t>
      </w:r>
      <w:r>
        <w:rPr>
          <w:sz w:val="20"/>
        </w:rPr>
        <w:t>goods</w:t>
      </w:r>
      <w:r>
        <w:rPr>
          <w:spacing w:val="-6"/>
          <w:sz w:val="20"/>
        </w:rPr>
        <w:t> </w:t>
      </w:r>
      <w:r>
        <w:rPr>
          <w:sz w:val="20"/>
        </w:rPr>
        <w:t>/</w:t>
      </w:r>
      <w:r>
        <w:rPr>
          <w:spacing w:val="-6"/>
          <w:sz w:val="20"/>
        </w:rPr>
        <w:t> </w:t>
      </w:r>
      <w:r>
        <w:rPr>
          <w:sz w:val="20"/>
        </w:rPr>
        <w:t>services</w:t>
      </w:r>
      <w:r>
        <w:rPr>
          <w:spacing w:val="-6"/>
          <w:sz w:val="20"/>
        </w:rPr>
        <w:t> </w:t>
      </w:r>
      <w:r>
        <w:rPr>
          <w:sz w:val="20"/>
        </w:rPr>
        <w:t>(such</w:t>
      </w:r>
      <w:r>
        <w:rPr>
          <w:spacing w:val="-7"/>
          <w:sz w:val="20"/>
        </w:rPr>
        <w:t> </w:t>
      </w:r>
      <w:r>
        <w:rPr>
          <w:sz w:val="20"/>
        </w:rPr>
        <w:t>as</w:t>
      </w:r>
      <w:r>
        <w:rPr>
          <w:spacing w:val="-6"/>
          <w:sz w:val="20"/>
        </w:rPr>
        <w:t> </w:t>
      </w:r>
      <w:r>
        <w:rPr>
          <w:sz w:val="20"/>
        </w:rPr>
        <w:t>the</w:t>
      </w:r>
      <w:r>
        <w:rPr>
          <w:spacing w:val="-6"/>
          <w:sz w:val="20"/>
        </w:rPr>
        <w:t> </w:t>
      </w:r>
      <w:r>
        <w:rPr>
          <w:sz w:val="20"/>
        </w:rPr>
        <w:t>sale</w:t>
      </w:r>
      <w:r>
        <w:rPr>
          <w:spacing w:val="-4"/>
          <w:sz w:val="20"/>
        </w:rPr>
        <w:t> </w:t>
      </w:r>
      <w:r>
        <w:rPr>
          <w:sz w:val="20"/>
        </w:rPr>
        <w:t>of</w:t>
      </w:r>
      <w:r>
        <w:rPr>
          <w:spacing w:val="-4"/>
          <w:sz w:val="20"/>
        </w:rPr>
        <w:t> </w:t>
      </w:r>
      <w:r>
        <w:rPr>
          <w:sz w:val="20"/>
        </w:rPr>
        <w:t>an</w:t>
      </w:r>
      <w:r>
        <w:rPr>
          <w:spacing w:val="-5"/>
          <w:sz w:val="20"/>
        </w:rPr>
        <w:t> </w:t>
      </w:r>
      <w:r>
        <w:rPr>
          <w:sz w:val="20"/>
        </w:rPr>
        <w:t>app,</w:t>
      </w:r>
      <w:r>
        <w:rPr>
          <w:spacing w:val="-7"/>
          <w:sz w:val="20"/>
        </w:rPr>
        <w:t> </w:t>
      </w:r>
      <w:r>
        <w:rPr>
          <w:sz w:val="20"/>
        </w:rPr>
        <w:t>software</w:t>
      </w:r>
      <w:r>
        <w:rPr>
          <w:spacing w:val="-4"/>
          <w:sz w:val="20"/>
        </w:rPr>
        <w:t> </w:t>
      </w:r>
      <w:r>
        <w:rPr>
          <w:sz w:val="20"/>
        </w:rPr>
        <w:t>or</w:t>
      </w:r>
      <w:r>
        <w:rPr>
          <w:spacing w:val="-6"/>
          <w:sz w:val="20"/>
        </w:rPr>
        <w:t> </w:t>
      </w:r>
      <w:r>
        <w:rPr>
          <w:sz w:val="20"/>
        </w:rPr>
        <w:t>a</w:t>
      </w:r>
      <w:r>
        <w:rPr>
          <w:spacing w:val="-7"/>
          <w:sz w:val="20"/>
        </w:rPr>
        <w:t> </w:t>
      </w:r>
      <w:r>
        <w:rPr>
          <w:sz w:val="20"/>
        </w:rPr>
        <w:t>movie</w:t>
      </w:r>
      <w:r>
        <w:rPr>
          <w:spacing w:val="-7"/>
          <w:sz w:val="20"/>
        </w:rPr>
        <w:t> </w:t>
      </w:r>
      <w:r>
        <w:rPr>
          <w:sz w:val="20"/>
        </w:rPr>
        <w:t>through</w:t>
      </w:r>
      <w:r>
        <w:rPr>
          <w:spacing w:val="-5"/>
          <w:sz w:val="20"/>
        </w:rPr>
        <w:t> </w:t>
      </w:r>
      <w:r>
        <w:rPr>
          <w:sz w:val="20"/>
        </w:rPr>
        <w:t>an</w:t>
      </w:r>
      <w:r>
        <w:rPr>
          <w:spacing w:val="-6"/>
          <w:sz w:val="20"/>
        </w:rPr>
        <w:t> </w:t>
      </w:r>
      <w:r>
        <w:rPr>
          <w:sz w:val="20"/>
        </w:rPr>
        <w:t>online intermediation</w:t>
      </w:r>
      <w:r>
        <w:rPr>
          <w:spacing w:val="-16"/>
          <w:sz w:val="20"/>
        </w:rPr>
        <w:t> </w:t>
      </w:r>
      <w:r>
        <w:rPr>
          <w:sz w:val="20"/>
        </w:rPr>
        <w:t>platform),</w:t>
      </w:r>
      <w:r>
        <w:rPr>
          <w:spacing w:val="-17"/>
          <w:sz w:val="20"/>
        </w:rPr>
        <w:t> </w:t>
      </w:r>
      <w:r>
        <w:rPr>
          <w:sz w:val="20"/>
        </w:rPr>
        <w:t>the</w:t>
      </w:r>
      <w:r>
        <w:rPr>
          <w:spacing w:val="-18"/>
          <w:sz w:val="20"/>
        </w:rPr>
        <w:t> </w:t>
      </w:r>
      <w:r>
        <w:rPr>
          <w:sz w:val="20"/>
        </w:rPr>
        <w:t>sourcing</w:t>
      </w:r>
      <w:r>
        <w:rPr>
          <w:spacing w:val="-18"/>
          <w:sz w:val="20"/>
        </w:rPr>
        <w:t> </w:t>
      </w:r>
      <w:r>
        <w:rPr>
          <w:sz w:val="20"/>
        </w:rPr>
        <w:t>rule</w:t>
      </w:r>
      <w:r>
        <w:rPr>
          <w:spacing w:val="-15"/>
          <w:sz w:val="20"/>
        </w:rPr>
        <w:t> </w:t>
      </w:r>
      <w:r>
        <w:rPr>
          <w:sz w:val="20"/>
        </w:rPr>
        <w:t>also</w:t>
      </w:r>
      <w:r>
        <w:rPr>
          <w:spacing w:val="-15"/>
          <w:sz w:val="20"/>
        </w:rPr>
        <w:t> </w:t>
      </w:r>
      <w:r>
        <w:rPr>
          <w:sz w:val="20"/>
        </w:rPr>
        <w:t>looks</w:t>
      </w:r>
      <w:r>
        <w:rPr>
          <w:spacing w:val="-17"/>
          <w:sz w:val="20"/>
        </w:rPr>
        <w:t> </w:t>
      </w:r>
      <w:r>
        <w:rPr>
          <w:sz w:val="20"/>
        </w:rPr>
        <w:t>to</w:t>
      </w:r>
      <w:r>
        <w:rPr>
          <w:spacing w:val="-17"/>
          <w:sz w:val="20"/>
        </w:rPr>
        <w:t> </w:t>
      </w:r>
      <w:r>
        <w:rPr>
          <w:sz w:val="20"/>
        </w:rPr>
        <w:t>the</w:t>
      </w:r>
      <w:r>
        <w:rPr>
          <w:spacing w:val="-13"/>
          <w:sz w:val="20"/>
        </w:rPr>
        <w:t> </w:t>
      </w:r>
      <w:r>
        <w:rPr>
          <w:sz w:val="20"/>
        </w:rPr>
        <w:t>ordinary</w:t>
      </w:r>
      <w:r>
        <w:rPr>
          <w:spacing w:val="-20"/>
          <w:sz w:val="20"/>
        </w:rPr>
        <w:t> </w:t>
      </w:r>
      <w:r>
        <w:rPr>
          <w:sz w:val="20"/>
        </w:rPr>
        <w:t>residence</w:t>
      </w:r>
      <w:r>
        <w:rPr>
          <w:spacing w:val="-13"/>
          <w:sz w:val="20"/>
        </w:rPr>
        <w:t> </w:t>
      </w:r>
      <w:r>
        <w:rPr>
          <w:sz w:val="20"/>
        </w:rPr>
        <w:t>of</w:t>
      </w:r>
      <w:r>
        <w:rPr>
          <w:spacing w:val="-16"/>
          <w:sz w:val="20"/>
        </w:rPr>
        <w:t> </w:t>
      </w:r>
      <w:r>
        <w:rPr>
          <w:sz w:val="20"/>
        </w:rPr>
        <w:t>the</w:t>
      </w:r>
      <w:r>
        <w:rPr>
          <w:spacing w:val="-18"/>
          <w:sz w:val="20"/>
        </w:rPr>
        <w:t> </w:t>
      </w:r>
      <w:r>
        <w:rPr>
          <w:sz w:val="20"/>
        </w:rPr>
        <w:t>purchaser.</w:t>
      </w:r>
      <w:r>
        <w:rPr>
          <w:spacing w:val="-15"/>
          <w:sz w:val="20"/>
        </w:rPr>
        <w:t> </w:t>
      </w:r>
      <w:r>
        <w:rPr>
          <w:sz w:val="20"/>
        </w:rPr>
        <w:t>Intangibles are</w:t>
      </w:r>
      <w:r>
        <w:rPr>
          <w:spacing w:val="-8"/>
          <w:sz w:val="20"/>
        </w:rPr>
        <w:t> </w:t>
      </w:r>
      <w:r>
        <w:rPr>
          <w:sz w:val="20"/>
        </w:rPr>
        <w:t>generally</w:t>
      </w:r>
      <w:r>
        <w:rPr>
          <w:spacing w:val="-8"/>
          <w:sz w:val="20"/>
        </w:rPr>
        <w:t> </w:t>
      </w:r>
      <w:r>
        <w:rPr>
          <w:sz w:val="20"/>
        </w:rPr>
        <w:t>used</w:t>
      </w:r>
      <w:r>
        <w:rPr>
          <w:spacing w:val="-6"/>
          <w:sz w:val="20"/>
        </w:rPr>
        <w:t> </w:t>
      </w:r>
      <w:r>
        <w:rPr>
          <w:sz w:val="20"/>
        </w:rPr>
        <w:t>over</w:t>
      </w:r>
      <w:r>
        <w:rPr>
          <w:spacing w:val="-5"/>
          <w:sz w:val="20"/>
        </w:rPr>
        <w:t> </w:t>
      </w:r>
      <w:r>
        <w:rPr>
          <w:sz w:val="20"/>
        </w:rPr>
        <w:t>a</w:t>
      </w:r>
      <w:r>
        <w:rPr>
          <w:spacing w:val="-6"/>
          <w:sz w:val="20"/>
        </w:rPr>
        <w:t> </w:t>
      </w:r>
      <w:r>
        <w:rPr>
          <w:sz w:val="20"/>
        </w:rPr>
        <w:t>period</w:t>
      </w:r>
      <w:r>
        <w:rPr>
          <w:spacing w:val="-6"/>
          <w:sz w:val="20"/>
        </w:rPr>
        <w:t> </w:t>
      </w:r>
      <w:r>
        <w:rPr>
          <w:sz w:val="20"/>
        </w:rPr>
        <w:t>of</w:t>
      </w:r>
      <w:r>
        <w:rPr>
          <w:spacing w:val="-7"/>
          <w:sz w:val="20"/>
        </w:rPr>
        <w:t> </w:t>
      </w:r>
      <w:r>
        <w:rPr>
          <w:sz w:val="20"/>
        </w:rPr>
        <w:t>time</w:t>
      </w:r>
      <w:r>
        <w:rPr>
          <w:spacing w:val="-8"/>
          <w:sz w:val="20"/>
        </w:rPr>
        <w:t> </w:t>
      </w:r>
      <w:r>
        <w:rPr>
          <w:sz w:val="20"/>
        </w:rPr>
        <w:t>rather</w:t>
      </w:r>
      <w:r>
        <w:rPr>
          <w:spacing w:val="-7"/>
          <w:sz w:val="20"/>
        </w:rPr>
        <w:t> </w:t>
      </w:r>
      <w:r>
        <w:rPr>
          <w:sz w:val="20"/>
        </w:rPr>
        <w:t>than</w:t>
      </w:r>
      <w:r>
        <w:rPr>
          <w:spacing w:val="-6"/>
          <w:sz w:val="20"/>
        </w:rPr>
        <w:t> </w:t>
      </w:r>
      <w:r>
        <w:rPr>
          <w:sz w:val="20"/>
        </w:rPr>
        <w:t>be</w:t>
      </w:r>
      <w:r>
        <w:rPr>
          <w:spacing w:val="-6"/>
          <w:sz w:val="20"/>
        </w:rPr>
        <w:t> </w:t>
      </w:r>
      <w:r>
        <w:rPr>
          <w:sz w:val="20"/>
        </w:rPr>
        <w:t>for</w:t>
      </w:r>
      <w:r>
        <w:rPr>
          <w:spacing w:val="-7"/>
          <w:sz w:val="20"/>
        </w:rPr>
        <w:t> </w:t>
      </w:r>
      <w:r>
        <w:rPr>
          <w:sz w:val="20"/>
        </w:rPr>
        <w:t>one-time</w:t>
      </w:r>
      <w:r>
        <w:rPr>
          <w:spacing w:val="-8"/>
          <w:sz w:val="20"/>
        </w:rPr>
        <w:t> </w:t>
      </w:r>
      <w:r>
        <w:rPr>
          <w:sz w:val="20"/>
        </w:rPr>
        <w:t>use</w:t>
      </w:r>
      <w:r>
        <w:rPr>
          <w:spacing w:val="-6"/>
          <w:sz w:val="20"/>
        </w:rPr>
        <w:t> </w:t>
      </w:r>
      <w:r>
        <w:rPr>
          <w:sz w:val="20"/>
        </w:rPr>
        <w:t>at</w:t>
      </w:r>
      <w:r>
        <w:rPr>
          <w:spacing w:val="-7"/>
          <w:sz w:val="20"/>
        </w:rPr>
        <w:t> </w:t>
      </w:r>
      <w:r>
        <w:rPr>
          <w:sz w:val="20"/>
        </w:rPr>
        <w:t>the</w:t>
      </w:r>
      <w:r>
        <w:rPr>
          <w:spacing w:val="-6"/>
          <w:sz w:val="20"/>
        </w:rPr>
        <w:t> </w:t>
      </w:r>
      <w:r>
        <w:rPr>
          <w:sz w:val="20"/>
        </w:rPr>
        <w:t>location</w:t>
      </w:r>
      <w:r>
        <w:rPr>
          <w:spacing w:val="-4"/>
          <w:sz w:val="20"/>
        </w:rPr>
        <w:t> </w:t>
      </w:r>
      <w:r>
        <w:rPr>
          <w:sz w:val="20"/>
        </w:rPr>
        <w:t>when</w:t>
      </w:r>
      <w:r>
        <w:rPr>
          <w:spacing w:val="-6"/>
          <w:sz w:val="20"/>
        </w:rPr>
        <w:t> </w:t>
      </w:r>
      <w:r>
        <w:rPr>
          <w:sz w:val="20"/>
        </w:rPr>
        <w:t>the</w:t>
      </w:r>
      <w:r>
        <w:rPr>
          <w:spacing w:val="-8"/>
          <w:sz w:val="20"/>
        </w:rPr>
        <w:t> </w:t>
      </w:r>
      <w:r>
        <w:rPr>
          <w:sz w:val="20"/>
        </w:rPr>
        <w:t>purchase is made, and the ordinary residence of the purchaser is most relevant. This is also consistent with the sourcing rule for other intangibles such as digital content services and cloud computing services. The indicators used are the same as for digital content</w:t>
      </w:r>
      <w:r>
        <w:rPr>
          <w:spacing w:val="-13"/>
          <w:sz w:val="20"/>
        </w:rPr>
        <w:t> </w:t>
      </w:r>
      <w:r>
        <w:rPr>
          <w:sz w:val="20"/>
        </w:rPr>
        <w:t>services.</w:t>
      </w:r>
    </w:p>
    <w:p>
      <w:pPr>
        <w:pStyle w:val="ListParagraph"/>
        <w:numPr>
          <w:ilvl w:val="0"/>
          <w:numId w:val="13"/>
        </w:numPr>
        <w:tabs>
          <w:tab w:pos="1444" w:val="left" w:leader="none"/>
        </w:tabs>
        <w:spacing w:line="271" w:lineRule="auto" w:before="120" w:after="0"/>
        <w:ind w:left="723" w:right="494" w:firstLine="0"/>
        <w:jc w:val="both"/>
        <w:rPr>
          <w:sz w:val="20"/>
        </w:rPr>
      </w:pPr>
      <w:r>
        <w:rPr>
          <w:sz w:val="20"/>
        </w:rPr>
        <w:t>The sourcing rule with respect to the seller also depends on the type of good/service being delivered.</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For tangible goods, the sourcing rule is the ordinary residence of the seller that is the contracting party to the sale. The residence of the seller is indicted by the business address (or, in cases where the seller is a natural person acting in a private capacity, the indicator used is the residential address of the seller).</w:t>
      </w:r>
      <w:r>
        <w:rPr>
          <w:spacing w:val="-5"/>
          <w:sz w:val="20"/>
        </w:rPr>
        <w:t> </w:t>
      </w:r>
      <w:r>
        <w:rPr>
          <w:sz w:val="20"/>
        </w:rPr>
        <w:t>If</w:t>
      </w:r>
      <w:r>
        <w:rPr>
          <w:spacing w:val="-3"/>
          <w:sz w:val="20"/>
        </w:rPr>
        <w:t> </w:t>
      </w:r>
      <w:r>
        <w:rPr>
          <w:sz w:val="20"/>
        </w:rPr>
        <w:t>this</w:t>
      </w:r>
      <w:r>
        <w:rPr>
          <w:spacing w:val="-3"/>
          <w:sz w:val="20"/>
        </w:rPr>
        <w:t> </w:t>
      </w:r>
      <w:r>
        <w:rPr>
          <w:sz w:val="20"/>
        </w:rPr>
        <w:t>information</w:t>
      </w:r>
      <w:r>
        <w:rPr>
          <w:spacing w:val="-6"/>
          <w:sz w:val="20"/>
        </w:rPr>
        <w:t> </w:t>
      </w:r>
      <w:r>
        <w:rPr>
          <w:sz w:val="20"/>
        </w:rPr>
        <w:t>is</w:t>
      </w:r>
      <w:r>
        <w:rPr>
          <w:spacing w:val="-1"/>
          <w:sz w:val="20"/>
        </w:rPr>
        <w:t> </w:t>
      </w:r>
      <w:r>
        <w:rPr>
          <w:sz w:val="20"/>
        </w:rPr>
        <w:t>unavailable</w:t>
      </w:r>
      <w:r>
        <w:rPr>
          <w:spacing w:val="-5"/>
          <w:sz w:val="20"/>
        </w:rPr>
        <w:t> </w:t>
      </w:r>
      <w:r>
        <w:rPr>
          <w:sz w:val="20"/>
        </w:rPr>
        <w:t>or</w:t>
      </w:r>
      <w:r>
        <w:rPr>
          <w:spacing w:val="-4"/>
          <w:sz w:val="20"/>
        </w:rPr>
        <w:t> </w:t>
      </w:r>
      <w:r>
        <w:rPr>
          <w:sz w:val="20"/>
        </w:rPr>
        <w:t>unreliable,</w:t>
      </w:r>
      <w:r>
        <w:rPr>
          <w:spacing w:val="-4"/>
          <w:sz w:val="20"/>
        </w:rPr>
        <w:t> </w:t>
      </w:r>
      <w:r>
        <w:rPr>
          <w:sz w:val="20"/>
        </w:rPr>
        <w:t>the</w:t>
      </w:r>
      <w:r>
        <w:rPr>
          <w:spacing w:val="-5"/>
          <w:sz w:val="20"/>
        </w:rPr>
        <w:t> </w:t>
      </w:r>
      <w:r>
        <w:rPr>
          <w:sz w:val="20"/>
        </w:rPr>
        <w:t>indicator</w:t>
      </w:r>
      <w:r>
        <w:rPr>
          <w:spacing w:val="-4"/>
          <w:sz w:val="20"/>
        </w:rPr>
        <w:t> </w:t>
      </w:r>
      <w:r>
        <w:rPr>
          <w:sz w:val="20"/>
        </w:rPr>
        <w:t>is</w:t>
      </w:r>
      <w:r>
        <w:rPr>
          <w:spacing w:val="-4"/>
          <w:sz w:val="20"/>
        </w:rPr>
        <w:t> </w:t>
      </w:r>
      <w:r>
        <w:rPr>
          <w:sz w:val="20"/>
        </w:rPr>
        <w:t>based</w:t>
      </w:r>
      <w:r>
        <w:rPr>
          <w:spacing w:val="-3"/>
          <w:sz w:val="20"/>
        </w:rPr>
        <w:t> </w:t>
      </w:r>
      <w:r>
        <w:rPr>
          <w:sz w:val="20"/>
        </w:rPr>
        <w:t>on</w:t>
      </w:r>
      <w:r>
        <w:rPr>
          <w:spacing w:val="-6"/>
          <w:sz w:val="20"/>
        </w:rPr>
        <w:t> </w:t>
      </w:r>
      <w:r>
        <w:rPr>
          <w:sz w:val="20"/>
        </w:rPr>
        <w:t>user</w:t>
      </w:r>
      <w:r>
        <w:rPr>
          <w:spacing w:val="-2"/>
          <w:sz w:val="20"/>
        </w:rPr>
        <w:t> </w:t>
      </w:r>
      <w:r>
        <w:rPr>
          <w:sz w:val="20"/>
        </w:rPr>
        <w:t>profile</w:t>
      </w:r>
      <w:r>
        <w:rPr>
          <w:spacing w:val="-2"/>
          <w:sz w:val="20"/>
        </w:rPr>
        <w:t> </w:t>
      </w:r>
      <w:r>
        <w:rPr>
          <w:sz w:val="20"/>
        </w:rPr>
        <w:t>information.</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For tangible services, the sourcing rule is the location where the service is performed. This is because</w:t>
      </w:r>
      <w:r>
        <w:rPr>
          <w:spacing w:val="-8"/>
          <w:sz w:val="20"/>
        </w:rPr>
        <w:t> </w:t>
      </w:r>
      <w:r>
        <w:rPr>
          <w:sz w:val="20"/>
        </w:rPr>
        <w:t>the</w:t>
      </w:r>
      <w:r>
        <w:rPr>
          <w:spacing w:val="-7"/>
          <w:sz w:val="20"/>
        </w:rPr>
        <w:t> </w:t>
      </w:r>
      <w:r>
        <w:rPr>
          <w:sz w:val="20"/>
        </w:rPr>
        <w:t>relevant</w:t>
      </w:r>
      <w:r>
        <w:rPr>
          <w:spacing w:val="-7"/>
          <w:sz w:val="20"/>
        </w:rPr>
        <w:t> </w:t>
      </w:r>
      <w:r>
        <w:rPr>
          <w:sz w:val="20"/>
        </w:rPr>
        <w:t>contributing</w:t>
      </w:r>
      <w:r>
        <w:rPr>
          <w:spacing w:val="-9"/>
          <w:sz w:val="20"/>
        </w:rPr>
        <w:t> </w:t>
      </w:r>
      <w:r>
        <w:rPr>
          <w:sz w:val="20"/>
        </w:rPr>
        <w:t>market</w:t>
      </w:r>
      <w:r>
        <w:rPr>
          <w:spacing w:val="-9"/>
          <w:sz w:val="20"/>
        </w:rPr>
        <w:t> </w:t>
      </w:r>
      <w:r>
        <w:rPr>
          <w:sz w:val="20"/>
        </w:rPr>
        <w:t>jurisdiction</w:t>
      </w:r>
      <w:r>
        <w:rPr>
          <w:spacing w:val="-7"/>
          <w:sz w:val="20"/>
        </w:rPr>
        <w:t> </w:t>
      </w:r>
      <w:r>
        <w:rPr>
          <w:sz w:val="20"/>
        </w:rPr>
        <w:t>is</w:t>
      </w:r>
      <w:r>
        <w:rPr>
          <w:spacing w:val="-5"/>
          <w:sz w:val="20"/>
        </w:rPr>
        <w:t> </w:t>
      </w:r>
      <w:r>
        <w:rPr>
          <w:sz w:val="20"/>
        </w:rPr>
        <w:t>the</w:t>
      </w:r>
      <w:r>
        <w:rPr>
          <w:spacing w:val="-7"/>
          <w:sz w:val="20"/>
        </w:rPr>
        <w:t> </w:t>
      </w:r>
      <w:r>
        <w:rPr>
          <w:sz w:val="20"/>
        </w:rPr>
        <w:t>place</w:t>
      </w:r>
      <w:r>
        <w:rPr>
          <w:spacing w:val="-5"/>
          <w:sz w:val="20"/>
        </w:rPr>
        <w:t> </w:t>
      </w:r>
      <w:r>
        <w:rPr>
          <w:sz w:val="20"/>
        </w:rPr>
        <w:t>where</w:t>
      </w:r>
      <w:r>
        <w:rPr>
          <w:spacing w:val="-9"/>
          <w:sz w:val="20"/>
        </w:rPr>
        <w:t> </w:t>
      </w:r>
      <w:r>
        <w:rPr>
          <w:sz w:val="20"/>
        </w:rPr>
        <w:t>the</w:t>
      </w:r>
      <w:r>
        <w:rPr>
          <w:spacing w:val="-7"/>
          <w:sz w:val="20"/>
        </w:rPr>
        <w:t> </w:t>
      </w:r>
      <w:r>
        <w:rPr>
          <w:sz w:val="20"/>
        </w:rPr>
        <w:t>purchaser</w:t>
      </w:r>
      <w:r>
        <w:rPr>
          <w:spacing w:val="-8"/>
          <w:sz w:val="20"/>
        </w:rPr>
        <w:t> </w:t>
      </w:r>
      <w:r>
        <w:rPr>
          <w:sz w:val="20"/>
        </w:rPr>
        <w:t>has</w:t>
      </w:r>
      <w:r>
        <w:rPr>
          <w:spacing w:val="-8"/>
          <w:sz w:val="20"/>
        </w:rPr>
        <w:t> </w:t>
      </w:r>
      <w:r>
        <w:rPr>
          <w:sz w:val="20"/>
        </w:rPr>
        <w:t>sought</w:t>
      </w:r>
      <w:r>
        <w:rPr>
          <w:spacing w:val="-7"/>
          <w:sz w:val="20"/>
        </w:rPr>
        <w:t> </w:t>
      </w:r>
      <w:r>
        <w:rPr>
          <w:sz w:val="20"/>
        </w:rPr>
        <w:t>to</w:t>
      </w:r>
      <w:r>
        <w:rPr>
          <w:spacing w:val="-7"/>
          <w:sz w:val="20"/>
        </w:rPr>
        <w:t> </w:t>
      </w:r>
      <w:r>
        <w:rPr>
          <w:sz w:val="20"/>
        </w:rPr>
        <w:t>make use of the service, and not where the owner or provider of the service is themselves located. This means that, for example, if an owner of a property is resident in Jurisdiction R, and the property is located in Jurisdiction</w:t>
      </w:r>
      <w:r>
        <w:rPr>
          <w:spacing w:val="-2"/>
          <w:sz w:val="20"/>
        </w:rPr>
        <w:t> </w:t>
      </w:r>
      <w:r>
        <w:rPr>
          <w:sz w:val="20"/>
        </w:rPr>
        <w:t>P,</w:t>
      </w:r>
      <w:r>
        <w:rPr>
          <w:spacing w:val="-6"/>
          <w:sz w:val="20"/>
        </w:rPr>
        <w:t> </w:t>
      </w:r>
      <w:r>
        <w:rPr>
          <w:sz w:val="20"/>
        </w:rPr>
        <w:t>and</w:t>
      </w:r>
      <w:r>
        <w:rPr>
          <w:spacing w:val="-7"/>
          <w:sz w:val="20"/>
        </w:rPr>
        <w:t> </w:t>
      </w:r>
      <w:r>
        <w:rPr>
          <w:sz w:val="20"/>
        </w:rPr>
        <w:t>the</w:t>
      </w:r>
      <w:r>
        <w:rPr>
          <w:spacing w:val="-8"/>
          <w:sz w:val="20"/>
        </w:rPr>
        <w:t> </w:t>
      </w:r>
      <w:r>
        <w:rPr>
          <w:sz w:val="20"/>
        </w:rPr>
        <w:t>property</w:t>
      </w:r>
      <w:r>
        <w:rPr>
          <w:spacing w:val="-9"/>
          <w:sz w:val="20"/>
        </w:rPr>
        <w:t> </w:t>
      </w:r>
      <w:r>
        <w:rPr>
          <w:sz w:val="20"/>
        </w:rPr>
        <w:t>is</w:t>
      </w:r>
      <w:r>
        <w:rPr>
          <w:spacing w:val="-6"/>
          <w:sz w:val="20"/>
        </w:rPr>
        <w:t> </w:t>
      </w:r>
      <w:r>
        <w:rPr>
          <w:sz w:val="20"/>
        </w:rPr>
        <w:t>rented</w:t>
      </w:r>
      <w:r>
        <w:rPr>
          <w:spacing w:val="-7"/>
          <w:sz w:val="20"/>
        </w:rPr>
        <w:t> </w:t>
      </w:r>
      <w:r>
        <w:rPr>
          <w:sz w:val="20"/>
        </w:rPr>
        <w:t>out</w:t>
      </w:r>
      <w:r>
        <w:rPr>
          <w:spacing w:val="-7"/>
          <w:sz w:val="20"/>
        </w:rPr>
        <w:t> </w:t>
      </w:r>
      <w:r>
        <w:rPr>
          <w:sz w:val="20"/>
        </w:rPr>
        <w:t>to</w:t>
      </w:r>
      <w:r>
        <w:rPr>
          <w:spacing w:val="-7"/>
          <w:sz w:val="20"/>
        </w:rPr>
        <w:t> </w:t>
      </w:r>
      <w:r>
        <w:rPr>
          <w:sz w:val="20"/>
        </w:rPr>
        <w:t>a</w:t>
      </w:r>
      <w:r>
        <w:rPr>
          <w:spacing w:val="-7"/>
          <w:sz w:val="20"/>
        </w:rPr>
        <w:t> </w:t>
      </w:r>
      <w:r>
        <w:rPr>
          <w:sz w:val="20"/>
        </w:rPr>
        <w:t>user</w:t>
      </w:r>
      <w:r>
        <w:rPr>
          <w:spacing w:val="-5"/>
          <w:sz w:val="20"/>
        </w:rPr>
        <w:t> </w:t>
      </w:r>
      <w:r>
        <w:rPr>
          <w:sz w:val="20"/>
        </w:rPr>
        <w:t>of</w:t>
      </w:r>
      <w:r>
        <w:rPr>
          <w:spacing w:val="-4"/>
          <w:sz w:val="20"/>
        </w:rPr>
        <w:t> </w:t>
      </w:r>
      <w:r>
        <w:rPr>
          <w:sz w:val="20"/>
        </w:rPr>
        <w:t>the</w:t>
      </w:r>
      <w:r>
        <w:rPr>
          <w:spacing w:val="-7"/>
          <w:sz w:val="20"/>
        </w:rPr>
        <w:t> </w:t>
      </w:r>
      <w:r>
        <w:rPr>
          <w:sz w:val="20"/>
        </w:rPr>
        <w:t>platform,</w:t>
      </w:r>
      <w:r>
        <w:rPr>
          <w:spacing w:val="-6"/>
          <w:sz w:val="20"/>
        </w:rPr>
        <w:t> </w:t>
      </w:r>
      <w:r>
        <w:rPr>
          <w:sz w:val="20"/>
        </w:rPr>
        <w:t>the</w:t>
      </w:r>
      <w:r>
        <w:rPr>
          <w:spacing w:val="-8"/>
          <w:sz w:val="20"/>
        </w:rPr>
        <w:t> </w:t>
      </w:r>
      <w:r>
        <w:rPr>
          <w:sz w:val="20"/>
        </w:rPr>
        <w:t>appropriate</w:t>
      </w:r>
      <w:r>
        <w:rPr>
          <w:spacing w:val="-7"/>
          <w:sz w:val="20"/>
        </w:rPr>
        <w:t> </w:t>
      </w:r>
      <w:r>
        <w:rPr>
          <w:sz w:val="20"/>
        </w:rPr>
        <w:t>sourcing</w:t>
      </w:r>
      <w:r>
        <w:rPr>
          <w:spacing w:val="-7"/>
          <w:sz w:val="20"/>
        </w:rPr>
        <w:t> </w:t>
      </w:r>
      <w:r>
        <w:rPr>
          <w:sz w:val="20"/>
        </w:rPr>
        <w:t>jurisdiction is Jurisdiction P. Further guidance will be provided in cases where the service is performed in more than on</w:t>
      </w:r>
      <w:r>
        <w:rPr>
          <w:spacing w:val="-8"/>
          <w:sz w:val="20"/>
        </w:rPr>
        <w:t> </w:t>
      </w:r>
      <w:r>
        <w:rPr>
          <w:sz w:val="20"/>
        </w:rPr>
        <w:t>jurisdiction,</w:t>
      </w:r>
      <w:r>
        <w:rPr>
          <w:spacing w:val="-8"/>
          <w:sz w:val="20"/>
        </w:rPr>
        <w:t> </w:t>
      </w:r>
      <w:r>
        <w:rPr>
          <w:sz w:val="20"/>
        </w:rPr>
        <w:t>such</w:t>
      </w:r>
      <w:r>
        <w:rPr>
          <w:spacing w:val="-4"/>
          <w:sz w:val="20"/>
        </w:rPr>
        <w:t> </w:t>
      </w:r>
      <w:r>
        <w:rPr>
          <w:sz w:val="20"/>
        </w:rPr>
        <w:t>as</w:t>
      </w:r>
      <w:r>
        <w:rPr>
          <w:spacing w:val="-6"/>
          <w:sz w:val="20"/>
        </w:rPr>
        <w:t> </w:t>
      </w:r>
      <w:r>
        <w:rPr>
          <w:sz w:val="20"/>
        </w:rPr>
        <w:t>airline</w:t>
      </w:r>
      <w:r>
        <w:rPr>
          <w:spacing w:val="-8"/>
          <w:sz w:val="20"/>
        </w:rPr>
        <w:t> </w:t>
      </w:r>
      <w:r>
        <w:rPr>
          <w:sz w:val="20"/>
        </w:rPr>
        <w:t>transportation</w:t>
      </w:r>
      <w:r>
        <w:rPr>
          <w:spacing w:val="-7"/>
          <w:sz w:val="20"/>
        </w:rPr>
        <w:t> </w:t>
      </w:r>
      <w:r>
        <w:rPr>
          <w:sz w:val="20"/>
        </w:rPr>
        <w:t>or</w:t>
      </w:r>
      <w:r>
        <w:rPr>
          <w:spacing w:val="-5"/>
          <w:sz w:val="20"/>
        </w:rPr>
        <w:t> </w:t>
      </w:r>
      <w:r>
        <w:rPr>
          <w:sz w:val="20"/>
        </w:rPr>
        <w:t>a</w:t>
      </w:r>
      <w:r>
        <w:rPr>
          <w:spacing w:val="-7"/>
          <w:sz w:val="20"/>
        </w:rPr>
        <w:t> </w:t>
      </w:r>
      <w:r>
        <w:rPr>
          <w:sz w:val="20"/>
        </w:rPr>
        <w:t>travel</w:t>
      </w:r>
      <w:r>
        <w:rPr>
          <w:spacing w:val="-5"/>
          <w:sz w:val="20"/>
        </w:rPr>
        <w:t> </w:t>
      </w:r>
      <w:r>
        <w:rPr>
          <w:sz w:val="20"/>
        </w:rPr>
        <w:t>package</w:t>
      </w:r>
      <w:r>
        <w:rPr>
          <w:spacing w:val="-8"/>
          <w:sz w:val="20"/>
        </w:rPr>
        <w:t> </w:t>
      </w:r>
      <w:r>
        <w:rPr>
          <w:sz w:val="20"/>
        </w:rPr>
        <w:t>involving</w:t>
      </w:r>
      <w:r>
        <w:rPr>
          <w:spacing w:val="-7"/>
          <w:sz w:val="20"/>
        </w:rPr>
        <w:t> </w:t>
      </w:r>
      <w:r>
        <w:rPr>
          <w:sz w:val="20"/>
        </w:rPr>
        <w:t>tourism</w:t>
      </w:r>
      <w:r>
        <w:rPr>
          <w:spacing w:val="-3"/>
          <w:sz w:val="20"/>
        </w:rPr>
        <w:t> </w:t>
      </w:r>
      <w:r>
        <w:rPr>
          <w:sz w:val="20"/>
        </w:rPr>
        <w:t>in</w:t>
      </w:r>
      <w:r>
        <w:rPr>
          <w:spacing w:val="-8"/>
          <w:sz w:val="20"/>
        </w:rPr>
        <w:t> </w:t>
      </w:r>
      <w:r>
        <w:rPr>
          <w:sz w:val="20"/>
        </w:rPr>
        <w:t>multiple</w:t>
      </w:r>
      <w:r>
        <w:rPr>
          <w:spacing w:val="-8"/>
          <w:sz w:val="20"/>
        </w:rPr>
        <w:t> </w:t>
      </w:r>
      <w:r>
        <w:rPr>
          <w:sz w:val="20"/>
        </w:rPr>
        <w:t>destinations.</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For</w:t>
      </w:r>
      <w:r>
        <w:rPr>
          <w:spacing w:val="-15"/>
          <w:sz w:val="20"/>
        </w:rPr>
        <w:t> </w:t>
      </w:r>
      <w:r>
        <w:rPr>
          <w:sz w:val="20"/>
        </w:rPr>
        <w:t>intangible</w:t>
      </w:r>
      <w:r>
        <w:rPr>
          <w:spacing w:val="-16"/>
          <w:sz w:val="20"/>
        </w:rPr>
        <w:t> </w:t>
      </w:r>
      <w:r>
        <w:rPr>
          <w:sz w:val="20"/>
        </w:rPr>
        <w:t>goods</w:t>
      </w:r>
      <w:r>
        <w:rPr>
          <w:spacing w:val="-14"/>
          <w:sz w:val="20"/>
        </w:rPr>
        <w:t> </w:t>
      </w:r>
      <w:r>
        <w:rPr>
          <w:sz w:val="20"/>
        </w:rPr>
        <w:t>/</w:t>
      </w:r>
      <w:r>
        <w:rPr>
          <w:spacing w:val="-14"/>
          <w:sz w:val="20"/>
        </w:rPr>
        <w:t> </w:t>
      </w:r>
      <w:r>
        <w:rPr>
          <w:sz w:val="20"/>
        </w:rPr>
        <w:t>services,</w:t>
      </w:r>
      <w:r>
        <w:rPr>
          <w:spacing w:val="-16"/>
          <w:sz w:val="20"/>
        </w:rPr>
        <w:t> </w:t>
      </w:r>
      <w:r>
        <w:rPr>
          <w:sz w:val="20"/>
        </w:rPr>
        <w:t>the</w:t>
      </w:r>
      <w:r>
        <w:rPr>
          <w:spacing w:val="-17"/>
          <w:sz w:val="20"/>
        </w:rPr>
        <w:t> </w:t>
      </w:r>
      <w:r>
        <w:rPr>
          <w:sz w:val="20"/>
        </w:rPr>
        <w:t>sourcing</w:t>
      </w:r>
      <w:r>
        <w:rPr>
          <w:spacing w:val="-16"/>
          <w:sz w:val="20"/>
        </w:rPr>
        <w:t> </w:t>
      </w:r>
      <w:r>
        <w:rPr>
          <w:sz w:val="20"/>
        </w:rPr>
        <w:t>rule</w:t>
      </w:r>
      <w:r>
        <w:rPr>
          <w:spacing w:val="-14"/>
          <w:sz w:val="20"/>
        </w:rPr>
        <w:t> </w:t>
      </w:r>
      <w:r>
        <w:rPr>
          <w:sz w:val="20"/>
        </w:rPr>
        <w:t>is</w:t>
      </w:r>
      <w:r>
        <w:rPr>
          <w:spacing w:val="-15"/>
          <w:sz w:val="20"/>
        </w:rPr>
        <w:t> </w:t>
      </w:r>
      <w:r>
        <w:rPr>
          <w:sz w:val="20"/>
        </w:rPr>
        <w:t>the</w:t>
      </w:r>
      <w:r>
        <w:rPr>
          <w:spacing w:val="-16"/>
          <w:sz w:val="20"/>
        </w:rPr>
        <w:t> </w:t>
      </w:r>
      <w:r>
        <w:rPr>
          <w:sz w:val="20"/>
        </w:rPr>
        <w:t>residence</w:t>
      </w:r>
      <w:r>
        <w:rPr>
          <w:spacing w:val="-16"/>
          <w:sz w:val="20"/>
        </w:rPr>
        <w:t> </w:t>
      </w:r>
      <w:r>
        <w:rPr>
          <w:sz w:val="20"/>
        </w:rPr>
        <w:t>of</w:t>
      </w:r>
      <w:r>
        <w:rPr>
          <w:spacing w:val="-14"/>
          <w:sz w:val="20"/>
        </w:rPr>
        <w:t> </w:t>
      </w:r>
      <w:r>
        <w:rPr>
          <w:sz w:val="20"/>
        </w:rPr>
        <w:t>the</w:t>
      </w:r>
      <w:r>
        <w:rPr>
          <w:spacing w:val="-16"/>
          <w:sz w:val="20"/>
        </w:rPr>
        <w:t> </w:t>
      </w:r>
      <w:r>
        <w:rPr>
          <w:sz w:val="20"/>
        </w:rPr>
        <w:t>seller.</w:t>
      </w:r>
      <w:r>
        <w:rPr>
          <w:spacing w:val="-15"/>
          <w:sz w:val="20"/>
        </w:rPr>
        <w:t> </w:t>
      </w:r>
      <w:r>
        <w:rPr>
          <w:sz w:val="20"/>
        </w:rPr>
        <w:t>This</w:t>
      </w:r>
      <w:r>
        <w:rPr>
          <w:spacing w:val="-15"/>
          <w:sz w:val="20"/>
        </w:rPr>
        <w:t> </w:t>
      </w:r>
      <w:r>
        <w:rPr>
          <w:sz w:val="20"/>
        </w:rPr>
        <w:t>is</w:t>
      </w:r>
      <w:r>
        <w:rPr>
          <w:spacing w:val="-15"/>
          <w:sz w:val="20"/>
        </w:rPr>
        <w:t> </w:t>
      </w:r>
      <w:r>
        <w:rPr>
          <w:sz w:val="20"/>
        </w:rPr>
        <w:t>an</w:t>
      </w:r>
      <w:r>
        <w:rPr>
          <w:spacing w:val="-17"/>
          <w:sz w:val="20"/>
        </w:rPr>
        <w:t> </w:t>
      </w:r>
      <w:r>
        <w:rPr>
          <w:sz w:val="20"/>
        </w:rPr>
        <w:t>equivalent rule</w:t>
      </w:r>
      <w:r>
        <w:rPr>
          <w:spacing w:val="-7"/>
          <w:sz w:val="20"/>
        </w:rPr>
        <w:t> </w:t>
      </w:r>
      <w:r>
        <w:rPr>
          <w:sz w:val="20"/>
        </w:rPr>
        <w:t>to</w:t>
      </w:r>
      <w:r>
        <w:rPr>
          <w:spacing w:val="-7"/>
          <w:sz w:val="20"/>
        </w:rPr>
        <w:t> </w:t>
      </w:r>
      <w:r>
        <w:rPr>
          <w:sz w:val="20"/>
        </w:rPr>
        <w:t>tangible</w:t>
      </w:r>
      <w:r>
        <w:rPr>
          <w:spacing w:val="-6"/>
          <w:sz w:val="20"/>
        </w:rPr>
        <w:t> </w:t>
      </w:r>
      <w:r>
        <w:rPr>
          <w:sz w:val="20"/>
        </w:rPr>
        <w:t>goods.</w:t>
      </w:r>
      <w:r>
        <w:rPr>
          <w:spacing w:val="-6"/>
          <w:sz w:val="20"/>
        </w:rPr>
        <w:t> </w:t>
      </w:r>
      <w:r>
        <w:rPr>
          <w:sz w:val="20"/>
        </w:rPr>
        <w:t>The</w:t>
      </w:r>
      <w:r>
        <w:rPr>
          <w:spacing w:val="-5"/>
          <w:sz w:val="20"/>
        </w:rPr>
        <w:t> </w:t>
      </w:r>
      <w:r>
        <w:rPr>
          <w:sz w:val="20"/>
        </w:rPr>
        <w:t>residence</w:t>
      </w:r>
      <w:r>
        <w:rPr>
          <w:spacing w:val="-4"/>
          <w:sz w:val="20"/>
        </w:rPr>
        <w:t> </w:t>
      </w:r>
      <w:r>
        <w:rPr>
          <w:sz w:val="20"/>
        </w:rPr>
        <w:t>of</w:t>
      </w:r>
      <w:r>
        <w:rPr>
          <w:spacing w:val="-5"/>
          <w:sz w:val="20"/>
        </w:rPr>
        <w:t> </w:t>
      </w:r>
      <w:r>
        <w:rPr>
          <w:sz w:val="20"/>
        </w:rPr>
        <w:t>the</w:t>
      </w:r>
      <w:r>
        <w:rPr>
          <w:spacing w:val="-7"/>
          <w:sz w:val="20"/>
        </w:rPr>
        <w:t> </w:t>
      </w:r>
      <w:r>
        <w:rPr>
          <w:sz w:val="20"/>
        </w:rPr>
        <w:t>seller</w:t>
      </w:r>
      <w:r>
        <w:rPr>
          <w:spacing w:val="-5"/>
          <w:sz w:val="20"/>
        </w:rPr>
        <w:t> </w:t>
      </w:r>
      <w:r>
        <w:rPr>
          <w:sz w:val="20"/>
        </w:rPr>
        <w:t>is</w:t>
      </w:r>
      <w:r>
        <w:rPr>
          <w:spacing w:val="-3"/>
          <w:sz w:val="20"/>
        </w:rPr>
        <w:t> </w:t>
      </w:r>
      <w:r>
        <w:rPr>
          <w:sz w:val="20"/>
        </w:rPr>
        <w:t>indicated</w:t>
      </w:r>
      <w:r>
        <w:rPr>
          <w:spacing w:val="-7"/>
          <w:sz w:val="20"/>
        </w:rPr>
        <w:t> </w:t>
      </w:r>
      <w:r>
        <w:rPr>
          <w:sz w:val="20"/>
        </w:rPr>
        <w:t>by</w:t>
      </w:r>
      <w:r>
        <w:rPr>
          <w:spacing w:val="-9"/>
          <w:sz w:val="20"/>
        </w:rPr>
        <w:t> </w:t>
      </w:r>
      <w:r>
        <w:rPr>
          <w:sz w:val="20"/>
        </w:rPr>
        <w:t>the</w:t>
      </w:r>
      <w:r>
        <w:rPr>
          <w:spacing w:val="-5"/>
          <w:sz w:val="20"/>
        </w:rPr>
        <w:t> </w:t>
      </w:r>
      <w:r>
        <w:rPr>
          <w:sz w:val="20"/>
        </w:rPr>
        <w:t>business</w:t>
      </w:r>
      <w:r>
        <w:rPr>
          <w:spacing w:val="-5"/>
          <w:sz w:val="20"/>
        </w:rPr>
        <w:t> </w:t>
      </w:r>
      <w:r>
        <w:rPr>
          <w:sz w:val="20"/>
        </w:rPr>
        <w:t>address</w:t>
      </w:r>
      <w:r>
        <w:rPr>
          <w:spacing w:val="-1"/>
          <w:sz w:val="20"/>
        </w:rPr>
        <w:t> </w:t>
      </w:r>
      <w:r>
        <w:rPr>
          <w:sz w:val="20"/>
        </w:rPr>
        <w:t>(or</w:t>
      </w:r>
      <w:r>
        <w:rPr>
          <w:spacing w:val="-5"/>
          <w:sz w:val="20"/>
        </w:rPr>
        <w:t> </w:t>
      </w:r>
      <w:r>
        <w:rPr>
          <w:sz w:val="20"/>
        </w:rPr>
        <w:t>in</w:t>
      </w:r>
      <w:r>
        <w:rPr>
          <w:spacing w:val="-7"/>
          <w:sz w:val="20"/>
        </w:rPr>
        <w:t> </w:t>
      </w:r>
      <w:r>
        <w:rPr>
          <w:sz w:val="20"/>
        </w:rPr>
        <w:t>cases</w:t>
      </w:r>
      <w:r>
        <w:rPr>
          <w:spacing w:val="-3"/>
          <w:sz w:val="20"/>
        </w:rPr>
        <w:t> </w:t>
      </w:r>
      <w:r>
        <w:rPr>
          <w:sz w:val="20"/>
        </w:rPr>
        <w:t>where the seller is a natural person, the indicator used is the residential address of the seller). If this information is unavailable or unreliable, the indicator is based on user profile</w:t>
      </w:r>
      <w:r>
        <w:rPr>
          <w:spacing w:val="-9"/>
          <w:sz w:val="20"/>
        </w:rPr>
        <w:t> </w:t>
      </w:r>
      <w:r>
        <w:rPr>
          <w:sz w:val="20"/>
        </w:rPr>
        <w:t>information.</w:t>
      </w:r>
    </w:p>
    <w:p>
      <w:pPr>
        <w:pStyle w:val="BodyText"/>
        <w:spacing w:before="5"/>
      </w:pPr>
    </w:p>
    <w:p>
      <w:pPr>
        <w:pStyle w:val="Heading8"/>
      </w:pPr>
      <w:bookmarkStart w:name="Revenue from digital content services" w:id="173"/>
      <w:bookmarkEnd w:id="173"/>
      <w:r>
        <w:rPr>
          <w:b w:val="0"/>
        </w:rPr>
      </w:r>
      <w:r>
        <w:rPr/>
        <w:t>Revenue from digital content services</w:t>
      </w:r>
    </w:p>
    <w:p>
      <w:pPr>
        <w:pStyle w:val="BodyText"/>
        <w:spacing w:before="9"/>
        <w:rPr>
          <w:b/>
          <w:sz w:val="18"/>
        </w:rPr>
      </w:pPr>
    </w:p>
    <w:p>
      <w:pPr>
        <w:pStyle w:val="ListParagraph"/>
        <w:numPr>
          <w:ilvl w:val="0"/>
          <w:numId w:val="13"/>
        </w:numPr>
        <w:tabs>
          <w:tab w:pos="1444" w:val="left" w:leader="none"/>
        </w:tabs>
        <w:spacing w:line="271" w:lineRule="auto" w:before="1" w:after="0"/>
        <w:ind w:left="723" w:right="489" w:firstLine="0"/>
        <w:jc w:val="both"/>
        <w:rPr>
          <w:sz w:val="20"/>
        </w:rPr>
      </w:pPr>
      <w:r>
        <w:rPr>
          <w:sz w:val="20"/>
        </w:rPr>
        <w:t>Digital</w:t>
      </w:r>
      <w:r>
        <w:rPr>
          <w:spacing w:val="-10"/>
          <w:sz w:val="20"/>
        </w:rPr>
        <w:t> </w:t>
      </w:r>
      <w:r>
        <w:rPr>
          <w:sz w:val="20"/>
        </w:rPr>
        <w:t>content</w:t>
      </w:r>
      <w:r>
        <w:rPr>
          <w:spacing w:val="-9"/>
          <w:sz w:val="20"/>
        </w:rPr>
        <w:t> </w:t>
      </w:r>
      <w:r>
        <w:rPr>
          <w:sz w:val="20"/>
        </w:rPr>
        <w:t>services,</w:t>
      </w:r>
      <w:r>
        <w:rPr>
          <w:spacing w:val="-8"/>
          <w:sz w:val="20"/>
        </w:rPr>
        <w:t> </w:t>
      </w:r>
      <w:r>
        <w:rPr>
          <w:sz w:val="20"/>
        </w:rPr>
        <w:t>such</w:t>
      </w:r>
      <w:r>
        <w:rPr>
          <w:spacing w:val="-9"/>
          <w:sz w:val="20"/>
        </w:rPr>
        <w:t> </w:t>
      </w:r>
      <w:r>
        <w:rPr>
          <w:sz w:val="20"/>
        </w:rPr>
        <w:t>as</w:t>
      </w:r>
      <w:r>
        <w:rPr>
          <w:spacing w:val="-8"/>
          <w:sz w:val="20"/>
        </w:rPr>
        <w:t> </w:t>
      </w:r>
      <w:r>
        <w:rPr>
          <w:sz w:val="20"/>
        </w:rPr>
        <w:t>the</w:t>
      </w:r>
      <w:r>
        <w:rPr>
          <w:spacing w:val="-8"/>
          <w:sz w:val="20"/>
        </w:rPr>
        <w:t> </w:t>
      </w:r>
      <w:r>
        <w:rPr>
          <w:sz w:val="20"/>
        </w:rPr>
        <w:t>online</w:t>
      </w:r>
      <w:r>
        <w:rPr>
          <w:spacing w:val="-7"/>
          <w:sz w:val="20"/>
        </w:rPr>
        <w:t> </w:t>
      </w:r>
      <w:r>
        <w:rPr>
          <w:sz w:val="20"/>
        </w:rPr>
        <w:t>access</w:t>
      </w:r>
      <w:r>
        <w:rPr>
          <w:spacing w:val="-8"/>
          <w:sz w:val="20"/>
        </w:rPr>
        <w:t> </w:t>
      </w:r>
      <w:r>
        <w:rPr>
          <w:sz w:val="20"/>
        </w:rPr>
        <w:t>to</w:t>
      </w:r>
      <w:r>
        <w:rPr>
          <w:spacing w:val="-8"/>
          <w:sz w:val="20"/>
        </w:rPr>
        <w:t> </w:t>
      </w:r>
      <w:r>
        <w:rPr>
          <w:sz w:val="20"/>
        </w:rPr>
        <w:t>films,</w:t>
      </w:r>
      <w:r>
        <w:rPr>
          <w:spacing w:val="-11"/>
          <w:sz w:val="20"/>
        </w:rPr>
        <w:t> </w:t>
      </w:r>
      <w:r>
        <w:rPr>
          <w:sz w:val="20"/>
        </w:rPr>
        <w:t>music</w:t>
      </w:r>
      <w:r>
        <w:rPr>
          <w:spacing w:val="-7"/>
          <w:sz w:val="20"/>
        </w:rPr>
        <w:t> </w:t>
      </w:r>
      <w:r>
        <w:rPr>
          <w:sz w:val="20"/>
        </w:rPr>
        <w:t>and</w:t>
      </w:r>
      <w:r>
        <w:rPr>
          <w:spacing w:val="-9"/>
          <w:sz w:val="20"/>
        </w:rPr>
        <w:t> </w:t>
      </w:r>
      <w:r>
        <w:rPr>
          <w:sz w:val="20"/>
        </w:rPr>
        <w:t>software</w:t>
      </w:r>
      <w:r>
        <w:rPr>
          <w:spacing w:val="-9"/>
          <w:sz w:val="20"/>
        </w:rPr>
        <w:t> </w:t>
      </w:r>
      <w:r>
        <w:rPr>
          <w:sz w:val="20"/>
        </w:rPr>
        <w:t>through</w:t>
      </w:r>
      <w:r>
        <w:rPr>
          <w:spacing w:val="-8"/>
          <w:sz w:val="20"/>
        </w:rPr>
        <w:t> </w:t>
      </w:r>
      <w:r>
        <w:rPr>
          <w:sz w:val="20"/>
        </w:rPr>
        <w:t>streaming or</w:t>
      </w:r>
      <w:r>
        <w:rPr>
          <w:spacing w:val="-8"/>
          <w:sz w:val="20"/>
        </w:rPr>
        <w:t> </w:t>
      </w:r>
      <w:r>
        <w:rPr>
          <w:sz w:val="20"/>
        </w:rPr>
        <w:t>downloading,</w:t>
      </w:r>
      <w:r>
        <w:rPr>
          <w:spacing w:val="-6"/>
          <w:sz w:val="20"/>
        </w:rPr>
        <w:t> </w:t>
      </w:r>
      <w:r>
        <w:rPr>
          <w:sz w:val="20"/>
        </w:rPr>
        <w:t>generally</w:t>
      </w:r>
      <w:r>
        <w:rPr>
          <w:spacing w:val="-9"/>
          <w:sz w:val="20"/>
        </w:rPr>
        <w:t> </w:t>
      </w:r>
      <w:r>
        <w:rPr>
          <w:sz w:val="20"/>
        </w:rPr>
        <w:t>generate</w:t>
      </w:r>
      <w:r>
        <w:rPr>
          <w:spacing w:val="-7"/>
          <w:sz w:val="20"/>
        </w:rPr>
        <w:t> </w:t>
      </w:r>
      <w:r>
        <w:rPr>
          <w:sz w:val="20"/>
        </w:rPr>
        <w:t>income</w:t>
      </w:r>
      <w:r>
        <w:rPr>
          <w:spacing w:val="-8"/>
          <w:sz w:val="20"/>
        </w:rPr>
        <w:t> </w:t>
      </w:r>
      <w:r>
        <w:rPr>
          <w:sz w:val="20"/>
        </w:rPr>
        <w:t>by</w:t>
      </w:r>
      <w:r>
        <w:rPr>
          <w:spacing w:val="-9"/>
          <w:sz w:val="20"/>
        </w:rPr>
        <w:t> </w:t>
      </w:r>
      <w:r>
        <w:rPr>
          <w:sz w:val="20"/>
        </w:rPr>
        <w:t>either</w:t>
      </w:r>
      <w:r>
        <w:rPr>
          <w:spacing w:val="-7"/>
          <w:sz w:val="20"/>
        </w:rPr>
        <w:t> </w:t>
      </w:r>
      <w:r>
        <w:rPr>
          <w:sz w:val="20"/>
        </w:rPr>
        <w:t>charging</w:t>
      </w:r>
      <w:r>
        <w:rPr>
          <w:spacing w:val="-7"/>
          <w:sz w:val="20"/>
        </w:rPr>
        <w:t> </w:t>
      </w:r>
      <w:r>
        <w:rPr>
          <w:sz w:val="20"/>
        </w:rPr>
        <w:t>a</w:t>
      </w:r>
      <w:r>
        <w:rPr>
          <w:spacing w:val="-8"/>
          <w:sz w:val="20"/>
        </w:rPr>
        <w:t> </w:t>
      </w:r>
      <w:r>
        <w:rPr>
          <w:sz w:val="20"/>
        </w:rPr>
        <w:t>fee</w:t>
      </w:r>
      <w:r>
        <w:rPr>
          <w:spacing w:val="-6"/>
          <w:sz w:val="20"/>
        </w:rPr>
        <w:t> </w:t>
      </w:r>
      <w:r>
        <w:rPr>
          <w:sz w:val="20"/>
        </w:rPr>
        <w:t>to</w:t>
      </w:r>
      <w:r>
        <w:rPr>
          <w:spacing w:val="-7"/>
          <w:sz w:val="20"/>
        </w:rPr>
        <w:t> </w:t>
      </w:r>
      <w:r>
        <w:rPr>
          <w:sz w:val="20"/>
        </w:rPr>
        <w:t>users</w:t>
      </w:r>
      <w:r>
        <w:rPr>
          <w:spacing w:val="-4"/>
          <w:sz w:val="20"/>
        </w:rPr>
        <w:t> </w:t>
      </w:r>
      <w:r>
        <w:rPr>
          <w:sz w:val="20"/>
        </w:rPr>
        <w:t>or</w:t>
      </w:r>
      <w:r>
        <w:rPr>
          <w:spacing w:val="-7"/>
          <w:sz w:val="20"/>
        </w:rPr>
        <w:t> </w:t>
      </w:r>
      <w:r>
        <w:rPr>
          <w:sz w:val="20"/>
        </w:rPr>
        <w:t>by</w:t>
      </w:r>
      <w:r>
        <w:rPr>
          <w:spacing w:val="-7"/>
          <w:sz w:val="20"/>
        </w:rPr>
        <w:t> </w:t>
      </w:r>
      <w:r>
        <w:rPr>
          <w:sz w:val="20"/>
        </w:rPr>
        <w:t>making</w:t>
      </w:r>
      <w:r>
        <w:rPr>
          <w:spacing w:val="-8"/>
          <w:sz w:val="20"/>
        </w:rPr>
        <w:t> </w:t>
      </w:r>
      <w:r>
        <w:rPr>
          <w:sz w:val="20"/>
        </w:rPr>
        <w:t>the</w:t>
      </w:r>
      <w:r>
        <w:rPr>
          <w:spacing w:val="-6"/>
          <w:sz w:val="20"/>
        </w:rPr>
        <w:t> </w:t>
      </w:r>
      <w:r>
        <w:rPr>
          <w:sz w:val="20"/>
        </w:rPr>
        <w:t>service</w:t>
      </w:r>
      <w:r>
        <w:rPr>
          <w:spacing w:val="-8"/>
          <w:sz w:val="20"/>
        </w:rPr>
        <w:t> </w:t>
      </w:r>
      <w:r>
        <w:rPr>
          <w:sz w:val="20"/>
        </w:rPr>
        <w:t>free to users but generating income for displaying advertising during use of the service and / or selling data about users of the service. In the two latter cases, the revenue sourcing rules for revenue from online advertising or revenue from sale or other alienation of user data would</w:t>
      </w:r>
      <w:r>
        <w:rPr>
          <w:spacing w:val="-9"/>
          <w:sz w:val="20"/>
        </w:rPr>
        <w:t> </w:t>
      </w:r>
      <w:r>
        <w:rPr>
          <w:sz w:val="20"/>
        </w:rPr>
        <w:t>apply.</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6" w:firstLine="0"/>
        <w:jc w:val="both"/>
        <w:rPr>
          <w:sz w:val="20"/>
        </w:rPr>
      </w:pPr>
      <w:r>
        <w:rPr>
          <w:sz w:val="20"/>
        </w:rPr>
        <w:t>Fee-based Digital Content Services are those where a fee is paid by the user to access services such as online gaming, certain social media platforms or any other type of online subscriptions such as databases. It also includes the sale of software such as mobile applications, computer programmes or games that are in scope of</w:t>
      </w:r>
      <w:r>
        <w:rPr>
          <w:spacing w:val="2"/>
          <w:sz w:val="20"/>
        </w:rPr>
        <w:t> </w:t>
      </w:r>
      <w:r>
        <w:rPr>
          <w:sz w:val="20"/>
        </w:rPr>
        <w:t>ADS.</w:t>
      </w:r>
    </w:p>
    <w:p>
      <w:pPr>
        <w:pStyle w:val="ListParagraph"/>
        <w:numPr>
          <w:ilvl w:val="0"/>
          <w:numId w:val="13"/>
        </w:numPr>
        <w:tabs>
          <w:tab w:pos="1444" w:val="left" w:leader="none"/>
        </w:tabs>
        <w:spacing w:line="271" w:lineRule="auto" w:before="120" w:after="0"/>
        <w:ind w:left="723" w:right="488" w:firstLine="0"/>
        <w:jc w:val="both"/>
        <w:rPr>
          <w:sz w:val="20"/>
        </w:rPr>
      </w:pPr>
      <w:r>
        <w:rPr>
          <w:sz w:val="20"/>
        </w:rPr>
        <w:t>Furthermore,</w:t>
      </w:r>
      <w:r>
        <w:rPr>
          <w:spacing w:val="-15"/>
          <w:sz w:val="20"/>
        </w:rPr>
        <w:t> </w:t>
      </w:r>
      <w:r>
        <w:rPr>
          <w:sz w:val="20"/>
        </w:rPr>
        <w:t>this</w:t>
      </w:r>
      <w:r>
        <w:rPr>
          <w:spacing w:val="-13"/>
          <w:sz w:val="20"/>
        </w:rPr>
        <w:t> </w:t>
      </w:r>
      <w:r>
        <w:rPr>
          <w:sz w:val="20"/>
        </w:rPr>
        <w:t>category</w:t>
      </w:r>
      <w:r>
        <w:rPr>
          <w:spacing w:val="-16"/>
          <w:sz w:val="20"/>
        </w:rPr>
        <w:t> </w:t>
      </w:r>
      <w:r>
        <w:rPr>
          <w:sz w:val="20"/>
        </w:rPr>
        <w:t>includes</w:t>
      </w:r>
      <w:r>
        <w:rPr>
          <w:spacing w:val="-14"/>
          <w:sz w:val="20"/>
        </w:rPr>
        <w:t> </w:t>
      </w:r>
      <w:r>
        <w:rPr>
          <w:sz w:val="20"/>
        </w:rPr>
        <w:t>revenue</w:t>
      </w:r>
      <w:r>
        <w:rPr>
          <w:spacing w:val="-15"/>
          <w:sz w:val="20"/>
        </w:rPr>
        <w:t> </w:t>
      </w:r>
      <w:r>
        <w:rPr>
          <w:sz w:val="20"/>
        </w:rPr>
        <w:t>from</w:t>
      </w:r>
      <w:r>
        <w:rPr>
          <w:spacing w:val="-10"/>
          <w:sz w:val="20"/>
        </w:rPr>
        <w:t> </w:t>
      </w:r>
      <w:r>
        <w:rPr>
          <w:sz w:val="20"/>
        </w:rPr>
        <w:t>other</w:t>
      </w:r>
      <w:r>
        <w:rPr>
          <w:spacing w:val="-12"/>
          <w:sz w:val="20"/>
        </w:rPr>
        <w:t> </w:t>
      </w:r>
      <w:r>
        <w:rPr>
          <w:sz w:val="20"/>
        </w:rPr>
        <w:t>online</w:t>
      </w:r>
      <w:r>
        <w:rPr>
          <w:spacing w:val="-13"/>
          <w:sz w:val="20"/>
        </w:rPr>
        <w:t> </w:t>
      </w:r>
      <w:r>
        <w:rPr>
          <w:sz w:val="20"/>
        </w:rPr>
        <w:t>purchases</w:t>
      </w:r>
      <w:r>
        <w:rPr>
          <w:spacing w:val="-14"/>
          <w:sz w:val="20"/>
        </w:rPr>
        <w:t> </w:t>
      </w:r>
      <w:r>
        <w:rPr>
          <w:sz w:val="20"/>
        </w:rPr>
        <w:t>that</w:t>
      </w:r>
      <w:r>
        <w:rPr>
          <w:spacing w:val="-12"/>
          <w:sz w:val="20"/>
        </w:rPr>
        <w:t> </w:t>
      </w:r>
      <w:r>
        <w:rPr>
          <w:sz w:val="20"/>
        </w:rPr>
        <w:t>the</w:t>
      </w:r>
      <w:r>
        <w:rPr>
          <w:spacing w:val="-14"/>
          <w:sz w:val="20"/>
        </w:rPr>
        <w:t> </w:t>
      </w:r>
      <w:r>
        <w:rPr>
          <w:sz w:val="20"/>
        </w:rPr>
        <w:t>customer</w:t>
      </w:r>
      <w:r>
        <w:rPr>
          <w:spacing w:val="-16"/>
          <w:sz w:val="20"/>
        </w:rPr>
        <w:t> </w:t>
      </w:r>
      <w:r>
        <w:rPr>
          <w:sz w:val="20"/>
        </w:rPr>
        <w:t>makes when using a service, and has options to make additional features available for a fee. For example, a customer may do this to access particular premium content or when it purchases additional options (for example more expensive articles on top of the monthly</w:t>
      </w:r>
      <w:r>
        <w:rPr>
          <w:spacing w:val="-7"/>
          <w:sz w:val="20"/>
        </w:rPr>
        <w:t> </w:t>
      </w:r>
      <w:r>
        <w:rPr>
          <w:sz w:val="20"/>
        </w:rPr>
        <w:t>subscription).</w:t>
      </w:r>
    </w:p>
    <w:p>
      <w:pPr>
        <w:pStyle w:val="ListParagraph"/>
        <w:numPr>
          <w:ilvl w:val="0"/>
          <w:numId w:val="13"/>
        </w:numPr>
        <w:tabs>
          <w:tab w:pos="1444" w:val="left" w:leader="none"/>
        </w:tabs>
        <w:spacing w:line="271" w:lineRule="auto" w:before="119" w:after="0"/>
        <w:ind w:left="723" w:right="480" w:firstLine="0"/>
        <w:jc w:val="both"/>
        <w:rPr>
          <w:sz w:val="20"/>
        </w:rPr>
      </w:pPr>
      <w:r>
        <w:rPr>
          <w:sz w:val="20"/>
        </w:rPr>
        <w:t>The sourcing rule for Digital Content Services is the place where the customer is ordinarily resident.</w:t>
      </w:r>
      <w:r>
        <w:rPr>
          <w:spacing w:val="-10"/>
          <w:sz w:val="20"/>
        </w:rPr>
        <w:t> </w:t>
      </w:r>
      <w:r>
        <w:rPr>
          <w:sz w:val="20"/>
        </w:rPr>
        <w:t>This</w:t>
      </w:r>
      <w:r>
        <w:rPr>
          <w:spacing w:val="-7"/>
          <w:sz w:val="20"/>
        </w:rPr>
        <w:t> </w:t>
      </w:r>
      <w:r>
        <w:rPr>
          <w:sz w:val="20"/>
        </w:rPr>
        <w:t>is</w:t>
      </w:r>
      <w:r>
        <w:rPr>
          <w:spacing w:val="-6"/>
          <w:sz w:val="20"/>
        </w:rPr>
        <w:t> </w:t>
      </w:r>
      <w:r>
        <w:rPr>
          <w:sz w:val="20"/>
        </w:rPr>
        <w:t>because</w:t>
      </w:r>
      <w:r>
        <w:rPr>
          <w:spacing w:val="-6"/>
          <w:sz w:val="20"/>
        </w:rPr>
        <w:t> </w:t>
      </w:r>
      <w:r>
        <w:rPr>
          <w:sz w:val="20"/>
        </w:rPr>
        <w:t>the</w:t>
      </w:r>
      <w:r>
        <w:rPr>
          <w:spacing w:val="-9"/>
          <w:sz w:val="20"/>
        </w:rPr>
        <w:t> </w:t>
      </w:r>
      <w:r>
        <w:rPr>
          <w:sz w:val="20"/>
        </w:rPr>
        <w:t>person</w:t>
      </w:r>
      <w:r>
        <w:rPr>
          <w:spacing w:val="-9"/>
          <w:sz w:val="20"/>
        </w:rPr>
        <w:t> </w:t>
      </w:r>
      <w:r>
        <w:rPr>
          <w:sz w:val="20"/>
        </w:rPr>
        <w:t>has</w:t>
      </w:r>
      <w:r>
        <w:rPr>
          <w:spacing w:val="-8"/>
          <w:sz w:val="20"/>
        </w:rPr>
        <w:t> </w:t>
      </w:r>
      <w:r>
        <w:rPr>
          <w:sz w:val="20"/>
        </w:rPr>
        <w:t>a</w:t>
      </w:r>
      <w:r>
        <w:rPr>
          <w:spacing w:val="-8"/>
          <w:sz w:val="20"/>
        </w:rPr>
        <w:t> </w:t>
      </w:r>
      <w:r>
        <w:rPr>
          <w:sz w:val="20"/>
        </w:rPr>
        <w:t>direct</w:t>
      </w:r>
      <w:r>
        <w:rPr>
          <w:spacing w:val="-9"/>
          <w:sz w:val="20"/>
        </w:rPr>
        <w:t> </w:t>
      </w:r>
      <w:r>
        <w:rPr>
          <w:sz w:val="20"/>
        </w:rPr>
        <w:t>customer</w:t>
      </w:r>
      <w:r>
        <w:rPr>
          <w:spacing w:val="-8"/>
          <w:sz w:val="20"/>
        </w:rPr>
        <w:t> </w:t>
      </w:r>
      <w:r>
        <w:rPr>
          <w:sz w:val="20"/>
        </w:rPr>
        <w:t>relationship</w:t>
      </w:r>
      <w:r>
        <w:rPr>
          <w:spacing w:val="-8"/>
          <w:sz w:val="20"/>
        </w:rPr>
        <w:t> </w:t>
      </w:r>
      <w:r>
        <w:rPr>
          <w:sz w:val="20"/>
        </w:rPr>
        <w:t>with</w:t>
      </w:r>
      <w:r>
        <w:rPr>
          <w:spacing w:val="-9"/>
          <w:sz w:val="20"/>
        </w:rPr>
        <w:t> </w:t>
      </w:r>
      <w:r>
        <w:rPr>
          <w:sz w:val="20"/>
        </w:rPr>
        <w:t>the</w:t>
      </w:r>
      <w:r>
        <w:rPr>
          <w:spacing w:val="-9"/>
          <w:sz w:val="20"/>
        </w:rPr>
        <w:t> </w:t>
      </w:r>
      <w:r>
        <w:rPr>
          <w:sz w:val="20"/>
        </w:rPr>
        <w:t>service</w:t>
      </w:r>
      <w:r>
        <w:rPr>
          <w:spacing w:val="-8"/>
          <w:sz w:val="20"/>
        </w:rPr>
        <w:t> </w:t>
      </w:r>
      <w:r>
        <w:rPr>
          <w:sz w:val="20"/>
        </w:rPr>
        <w:t>provider</w:t>
      </w:r>
      <w:r>
        <w:rPr>
          <w:spacing w:val="-8"/>
          <w:sz w:val="20"/>
        </w:rPr>
        <w:t> </w:t>
      </w:r>
      <w:r>
        <w:rPr>
          <w:sz w:val="20"/>
        </w:rPr>
        <w:t>as</w:t>
      </w:r>
      <w:r>
        <w:rPr>
          <w:spacing w:val="-7"/>
          <w:sz w:val="20"/>
        </w:rPr>
        <w:t> </w:t>
      </w:r>
      <w:r>
        <w:rPr>
          <w:sz w:val="20"/>
        </w:rPr>
        <w:t>it</w:t>
      </w:r>
      <w:r>
        <w:rPr>
          <w:spacing w:val="-6"/>
          <w:sz w:val="20"/>
        </w:rPr>
        <w:t> </w:t>
      </w:r>
      <w:r>
        <w:rPr>
          <w:sz w:val="20"/>
        </w:rPr>
        <w:t>pays the</w:t>
      </w:r>
      <w:r>
        <w:rPr>
          <w:spacing w:val="-4"/>
          <w:sz w:val="20"/>
        </w:rPr>
        <w:t> </w:t>
      </w:r>
      <w:r>
        <w:rPr>
          <w:sz w:val="20"/>
        </w:rPr>
        <w:t>subscription</w:t>
      </w:r>
      <w:r>
        <w:rPr>
          <w:spacing w:val="-4"/>
          <w:sz w:val="20"/>
        </w:rPr>
        <w:t> </w:t>
      </w:r>
      <w:r>
        <w:rPr>
          <w:sz w:val="20"/>
        </w:rPr>
        <w:t>fee</w:t>
      </w:r>
      <w:r>
        <w:rPr>
          <w:spacing w:val="-4"/>
          <w:sz w:val="20"/>
        </w:rPr>
        <w:t> </w:t>
      </w:r>
      <w:r>
        <w:rPr>
          <w:sz w:val="20"/>
        </w:rPr>
        <w:t>or</w:t>
      </w:r>
      <w:r>
        <w:rPr>
          <w:spacing w:val="-4"/>
          <w:sz w:val="20"/>
        </w:rPr>
        <w:t> </w:t>
      </w:r>
      <w:r>
        <w:rPr>
          <w:sz w:val="20"/>
        </w:rPr>
        <w:t>other</w:t>
      </w:r>
      <w:r>
        <w:rPr>
          <w:spacing w:val="-3"/>
          <w:sz w:val="20"/>
        </w:rPr>
        <w:t> </w:t>
      </w:r>
      <w:r>
        <w:rPr>
          <w:sz w:val="20"/>
        </w:rPr>
        <w:t>purchase</w:t>
      </w:r>
      <w:r>
        <w:rPr>
          <w:spacing w:val="-3"/>
          <w:sz w:val="20"/>
        </w:rPr>
        <w:t> </w:t>
      </w:r>
      <w:r>
        <w:rPr>
          <w:sz w:val="20"/>
        </w:rPr>
        <w:t>to</w:t>
      </w:r>
      <w:r>
        <w:rPr>
          <w:spacing w:val="-4"/>
          <w:sz w:val="20"/>
        </w:rPr>
        <w:t> </w:t>
      </w:r>
      <w:r>
        <w:rPr>
          <w:sz w:val="20"/>
        </w:rPr>
        <w:t>access</w:t>
      </w:r>
      <w:r>
        <w:rPr>
          <w:spacing w:val="-3"/>
          <w:sz w:val="20"/>
        </w:rPr>
        <w:t> </w:t>
      </w:r>
      <w:r>
        <w:rPr>
          <w:sz w:val="20"/>
        </w:rPr>
        <w:t>the</w:t>
      </w:r>
      <w:r>
        <w:rPr>
          <w:spacing w:val="-3"/>
          <w:sz w:val="20"/>
        </w:rPr>
        <w:t> </w:t>
      </w:r>
      <w:r>
        <w:rPr>
          <w:sz w:val="20"/>
        </w:rPr>
        <w:t>content,</w:t>
      </w:r>
      <w:r>
        <w:rPr>
          <w:spacing w:val="-4"/>
          <w:sz w:val="20"/>
        </w:rPr>
        <w:t> </w:t>
      </w:r>
      <w:r>
        <w:rPr>
          <w:sz w:val="20"/>
        </w:rPr>
        <w:t>and</w:t>
      </w:r>
      <w:r>
        <w:rPr>
          <w:spacing w:val="-4"/>
          <w:sz w:val="20"/>
        </w:rPr>
        <w:t> </w:t>
      </w:r>
      <w:r>
        <w:rPr>
          <w:sz w:val="20"/>
        </w:rPr>
        <w:t>so</w:t>
      </w:r>
      <w:r>
        <w:rPr>
          <w:spacing w:val="-3"/>
          <w:sz w:val="20"/>
        </w:rPr>
        <w:t> </w:t>
      </w:r>
      <w:r>
        <w:rPr>
          <w:sz w:val="20"/>
        </w:rPr>
        <w:t>it</w:t>
      </w:r>
      <w:r>
        <w:rPr>
          <w:spacing w:val="-2"/>
          <w:sz w:val="20"/>
        </w:rPr>
        <w:t> </w:t>
      </w:r>
      <w:r>
        <w:rPr>
          <w:sz w:val="20"/>
        </w:rPr>
        <w:t>is</w:t>
      </w:r>
      <w:r>
        <w:rPr>
          <w:spacing w:val="-3"/>
          <w:sz w:val="20"/>
        </w:rPr>
        <w:t> </w:t>
      </w:r>
      <w:r>
        <w:rPr>
          <w:sz w:val="20"/>
        </w:rPr>
        <w:t>the</w:t>
      </w:r>
      <w:r>
        <w:rPr>
          <w:spacing w:val="-3"/>
          <w:sz w:val="20"/>
        </w:rPr>
        <w:t> </w:t>
      </w:r>
      <w:r>
        <w:rPr>
          <w:sz w:val="20"/>
        </w:rPr>
        <w:t>connection</w:t>
      </w:r>
      <w:r>
        <w:rPr>
          <w:spacing w:val="-5"/>
          <w:sz w:val="20"/>
        </w:rPr>
        <w:t> </w:t>
      </w:r>
      <w:r>
        <w:rPr>
          <w:sz w:val="20"/>
        </w:rPr>
        <w:t>to</w:t>
      </w:r>
      <w:r>
        <w:rPr>
          <w:spacing w:val="-4"/>
          <w:sz w:val="20"/>
        </w:rPr>
        <w:t> </w:t>
      </w:r>
      <w:r>
        <w:rPr>
          <w:sz w:val="20"/>
        </w:rPr>
        <w:t>the</w:t>
      </w:r>
      <w:r>
        <w:rPr>
          <w:spacing w:val="5"/>
          <w:sz w:val="20"/>
        </w:rPr>
        <w:t> </w:t>
      </w:r>
      <w:r>
        <w:rPr>
          <w:sz w:val="20"/>
        </w:rPr>
        <w:t>customer’s daily life that represents the value in the market. Although the customer can enjoy the content in multiple locations (e.g. watching or listening while abroad) and one account can be used by multiple users and/or on multiple devices, in most instances the place of residence of the customer and the place of enjoyment will</w:t>
      </w:r>
      <w:r>
        <w:rPr>
          <w:spacing w:val="-13"/>
          <w:sz w:val="20"/>
        </w:rPr>
        <w:t> </w:t>
      </w:r>
      <w:r>
        <w:rPr>
          <w:sz w:val="20"/>
        </w:rPr>
        <w:t>be</w:t>
      </w:r>
      <w:r>
        <w:rPr>
          <w:spacing w:val="-13"/>
          <w:sz w:val="20"/>
        </w:rPr>
        <w:t> </w:t>
      </w:r>
      <w:r>
        <w:rPr>
          <w:sz w:val="20"/>
        </w:rPr>
        <w:t>the</w:t>
      </w:r>
      <w:r>
        <w:rPr>
          <w:spacing w:val="-13"/>
          <w:sz w:val="20"/>
        </w:rPr>
        <w:t> </w:t>
      </w:r>
      <w:r>
        <w:rPr>
          <w:sz w:val="20"/>
        </w:rPr>
        <w:t>same</w:t>
      </w:r>
      <w:r>
        <w:rPr>
          <w:spacing w:val="-13"/>
          <w:sz w:val="20"/>
        </w:rPr>
        <w:t> </w:t>
      </w:r>
      <w:r>
        <w:rPr>
          <w:sz w:val="20"/>
        </w:rPr>
        <w:t>in</w:t>
      </w:r>
      <w:r>
        <w:rPr>
          <w:spacing w:val="-13"/>
          <w:sz w:val="20"/>
        </w:rPr>
        <w:t> </w:t>
      </w:r>
      <w:r>
        <w:rPr>
          <w:sz w:val="20"/>
        </w:rPr>
        <w:t>any</w:t>
      </w:r>
      <w:r>
        <w:rPr>
          <w:spacing w:val="-16"/>
          <w:sz w:val="20"/>
        </w:rPr>
        <w:t> </w:t>
      </w:r>
      <w:r>
        <w:rPr>
          <w:sz w:val="20"/>
        </w:rPr>
        <w:t>case.</w:t>
      </w:r>
      <w:r>
        <w:rPr>
          <w:spacing w:val="-12"/>
          <w:sz w:val="20"/>
        </w:rPr>
        <w:t> </w:t>
      </w:r>
      <w:r>
        <w:rPr>
          <w:sz w:val="20"/>
        </w:rPr>
        <w:t>Further</w:t>
      </w:r>
      <w:r>
        <w:rPr>
          <w:spacing w:val="-10"/>
          <w:sz w:val="20"/>
        </w:rPr>
        <w:t> </w:t>
      </w:r>
      <w:r>
        <w:rPr>
          <w:sz w:val="20"/>
        </w:rPr>
        <w:t>sourcing</w:t>
      </w:r>
      <w:r>
        <w:rPr>
          <w:spacing w:val="-13"/>
          <w:sz w:val="20"/>
        </w:rPr>
        <w:t> </w:t>
      </w:r>
      <w:r>
        <w:rPr>
          <w:sz w:val="20"/>
        </w:rPr>
        <w:t>to</w:t>
      </w:r>
      <w:r>
        <w:rPr>
          <w:spacing w:val="-11"/>
          <w:sz w:val="20"/>
        </w:rPr>
        <w:t> </w:t>
      </w:r>
      <w:r>
        <w:rPr>
          <w:sz w:val="20"/>
        </w:rPr>
        <w:t>every</w:t>
      </w:r>
      <w:r>
        <w:rPr>
          <w:spacing w:val="-14"/>
          <w:sz w:val="20"/>
        </w:rPr>
        <w:t> </w:t>
      </w:r>
      <w:r>
        <w:rPr>
          <w:sz w:val="20"/>
        </w:rPr>
        <w:t>location</w:t>
      </w:r>
      <w:r>
        <w:rPr>
          <w:spacing w:val="-13"/>
          <w:sz w:val="20"/>
        </w:rPr>
        <w:t> </w:t>
      </w:r>
      <w:r>
        <w:rPr>
          <w:sz w:val="20"/>
        </w:rPr>
        <w:t>that</w:t>
      </w:r>
      <w:r>
        <w:rPr>
          <w:spacing w:val="-10"/>
          <w:sz w:val="20"/>
        </w:rPr>
        <w:t> </w:t>
      </w:r>
      <w:r>
        <w:rPr>
          <w:sz w:val="20"/>
        </w:rPr>
        <w:t>every</w:t>
      </w:r>
      <w:r>
        <w:rPr>
          <w:spacing w:val="-14"/>
          <w:sz w:val="20"/>
        </w:rPr>
        <w:t> </w:t>
      </w:r>
      <w:r>
        <w:rPr>
          <w:sz w:val="20"/>
        </w:rPr>
        <w:t>user</w:t>
      </w:r>
      <w:r>
        <w:rPr>
          <w:spacing w:val="-10"/>
          <w:sz w:val="20"/>
        </w:rPr>
        <w:t> </w:t>
      </w:r>
      <w:r>
        <w:rPr>
          <w:sz w:val="20"/>
        </w:rPr>
        <w:t>accessed</w:t>
      </w:r>
      <w:r>
        <w:rPr>
          <w:spacing w:val="-12"/>
          <w:sz w:val="20"/>
        </w:rPr>
        <w:t> </w:t>
      </w:r>
      <w:r>
        <w:rPr>
          <w:sz w:val="20"/>
        </w:rPr>
        <w:t>the</w:t>
      </w:r>
      <w:r>
        <w:rPr>
          <w:spacing w:val="-13"/>
          <w:sz w:val="20"/>
        </w:rPr>
        <w:t> </w:t>
      </w:r>
      <w:r>
        <w:rPr>
          <w:sz w:val="20"/>
        </w:rPr>
        <w:t>service</w:t>
      </w:r>
      <w:r>
        <w:rPr>
          <w:spacing w:val="-11"/>
          <w:sz w:val="20"/>
        </w:rPr>
        <w:t> </w:t>
      </w:r>
      <w:r>
        <w:rPr>
          <w:sz w:val="20"/>
        </w:rPr>
        <w:t>would also entail additional compliance</w:t>
      </w:r>
      <w:r>
        <w:rPr>
          <w:spacing w:val="-5"/>
          <w:sz w:val="20"/>
        </w:rPr>
        <w:t> </w:t>
      </w:r>
      <w:r>
        <w:rPr>
          <w:sz w:val="20"/>
        </w:rPr>
        <w:t>burdens.</w:t>
      </w:r>
    </w:p>
    <w:p>
      <w:pPr>
        <w:pStyle w:val="ListParagraph"/>
        <w:numPr>
          <w:ilvl w:val="0"/>
          <w:numId w:val="13"/>
        </w:numPr>
        <w:tabs>
          <w:tab w:pos="1444" w:val="left" w:leader="none"/>
        </w:tabs>
        <w:spacing w:line="271" w:lineRule="auto" w:before="123" w:after="0"/>
        <w:ind w:left="723" w:right="486" w:firstLine="0"/>
        <w:jc w:val="both"/>
        <w:rPr>
          <w:sz w:val="20"/>
        </w:rPr>
      </w:pPr>
      <w:r>
        <w:rPr>
          <w:sz w:val="20"/>
        </w:rPr>
        <w:t>The indicators look first to the user profile and billing address as likely indicators of the usual residence, as these features have some degree of permanence of the connection of the purchaser to the jurisdiction. If this information is not available, or is otherwise unreliable, the geolocation of the device or IP address is used, which will identify the location of the user at the point of sale. This may often, but not always, correlate to the usual residence, depending for example on how much the purchaser uses the service while travelling</w:t>
      </w:r>
      <w:r>
        <w:rPr>
          <w:spacing w:val="-2"/>
          <w:sz w:val="20"/>
        </w:rPr>
        <w:t> </w:t>
      </w:r>
      <w:r>
        <w:rPr>
          <w:sz w:val="20"/>
        </w:rPr>
        <w:t>abroad.</w:t>
      </w:r>
    </w:p>
    <w:p>
      <w:pPr>
        <w:pStyle w:val="BodyText"/>
        <w:spacing w:before="3"/>
      </w:pPr>
    </w:p>
    <w:p>
      <w:pPr>
        <w:pStyle w:val="Heading8"/>
      </w:pPr>
      <w:bookmarkStart w:name="Revenue from online gaming services" w:id="174"/>
      <w:bookmarkEnd w:id="174"/>
      <w:r>
        <w:rPr>
          <w:b w:val="0"/>
        </w:rPr>
      </w:r>
      <w:r>
        <w:rPr/>
        <w:t>Revenue from online gaming services</w:t>
      </w:r>
    </w:p>
    <w:p>
      <w:pPr>
        <w:pStyle w:val="BodyText"/>
        <w:spacing w:before="10"/>
        <w:rPr>
          <w:b/>
          <w:sz w:val="18"/>
        </w:rPr>
      </w:pPr>
    </w:p>
    <w:p>
      <w:pPr>
        <w:pStyle w:val="ListParagraph"/>
        <w:numPr>
          <w:ilvl w:val="0"/>
          <w:numId w:val="13"/>
        </w:numPr>
        <w:tabs>
          <w:tab w:pos="1444" w:val="left" w:leader="none"/>
        </w:tabs>
        <w:spacing w:line="273" w:lineRule="auto" w:before="0" w:after="0"/>
        <w:ind w:left="723" w:right="492" w:firstLine="0"/>
        <w:jc w:val="both"/>
        <w:rPr>
          <w:sz w:val="20"/>
        </w:rPr>
      </w:pPr>
      <w:r>
        <w:rPr>
          <w:sz w:val="20"/>
        </w:rPr>
        <w:t>Online Gaming Services allow users to interact with one another in the game being played. Broadly, there are three revenue streams relevant to online</w:t>
      </w:r>
      <w:r>
        <w:rPr>
          <w:spacing w:val="-5"/>
          <w:sz w:val="20"/>
        </w:rPr>
        <w:t> </w:t>
      </w:r>
      <w:r>
        <w:rPr>
          <w:sz w:val="20"/>
        </w:rPr>
        <w:t>gaming.</w:t>
      </w:r>
    </w:p>
    <w:p>
      <w:pPr>
        <w:pStyle w:val="ListParagraph"/>
        <w:numPr>
          <w:ilvl w:val="0"/>
          <w:numId w:val="13"/>
        </w:numPr>
        <w:tabs>
          <w:tab w:pos="1444" w:val="left" w:leader="none"/>
        </w:tabs>
        <w:spacing w:line="271" w:lineRule="auto" w:before="117" w:after="0"/>
        <w:ind w:left="723" w:right="489" w:firstLine="0"/>
        <w:jc w:val="both"/>
        <w:rPr>
          <w:sz w:val="20"/>
        </w:rPr>
      </w:pPr>
      <w:r>
        <w:rPr>
          <w:sz w:val="20"/>
        </w:rPr>
        <w:t>One is where the access to the game is free, but there will be advertising within the game. The sourcing rules for revenue from Online Advertising Services applies this</w:t>
      </w:r>
      <w:r>
        <w:rPr>
          <w:spacing w:val="-13"/>
          <w:sz w:val="20"/>
        </w:rPr>
        <w:t> </w:t>
      </w:r>
      <w:r>
        <w:rPr>
          <w:sz w:val="20"/>
        </w:rPr>
        <w:t>model.</w:t>
      </w:r>
    </w:p>
    <w:p>
      <w:pPr>
        <w:pStyle w:val="ListParagraph"/>
        <w:numPr>
          <w:ilvl w:val="0"/>
          <w:numId w:val="13"/>
        </w:numPr>
        <w:tabs>
          <w:tab w:pos="1444" w:val="left" w:leader="none"/>
        </w:tabs>
        <w:spacing w:line="271" w:lineRule="auto" w:before="121" w:after="0"/>
        <w:ind w:left="723" w:right="489" w:firstLine="0"/>
        <w:jc w:val="both"/>
        <w:rPr>
          <w:sz w:val="20"/>
        </w:rPr>
      </w:pPr>
      <w:r>
        <w:rPr>
          <w:sz w:val="20"/>
        </w:rPr>
        <w:t>The</w:t>
      </w:r>
      <w:r>
        <w:rPr>
          <w:spacing w:val="-7"/>
          <w:sz w:val="20"/>
        </w:rPr>
        <w:t> </w:t>
      </w:r>
      <w:r>
        <w:rPr>
          <w:sz w:val="20"/>
        </w:rPr>
        <w:t>second</w:t>
      </w:r>
      <w:r>
        <w:rPr>
          <w:spacing w:val="-7"/>
          <w:sz w:val="20"/>
        </w:rPr>
        <w:t> </w:t>
      </w:r>
      <w:r>
        <w:rPr>
          <w:sz w:val="20"/>
        </w:rPr>
        <w:t>is</w:t>
      </w:r>
      <w:r>
        <w:rPr>
          <w:spacing w:val="-4"/>
          <w:sz w:val="20"/>
        </w:rPr>
        <w:t> </w:t>
      </w:r>
      <w:r>
        <w:rPr>
          <w:sz w:val="20"/>
        </w:rPr>
        <w:t>collection</w:t>
      </w:r>
      <w:r>
        <w:rPr>
          <w:spacing w:val="-7"/>
          <w:sz w:val="20"/>
        </w:rPr>
        <w:t> </w:t>
      </w:r>
      <w:r>
        <w:rPr>
          <w:sz w:val="20"/>
        </w:rPr>
        <w:t>of</w:t>
      </w:r>
      <w:r>
        <w:rPr>
          <w:spacing w:val="-2"/>
          <w:sz w:val="20"/>
        </w:rPr>
        <w:t> </w:t>
      </w:r>
      <w:r>
        <w:rPr>
          <w:sz w:val="20"/>
        </w:rPr>
        <w:t>data</w:t>
      </w:r>
      <w:r>
        <w:rPr>
          <w:spacing w:val="-3"/>
          <w:sz w:val="20"/>
        </w:rPr>
        <w:t> </w:t>
      </w:r>
      <w:r>
        <w:rPr>
          <w:sz w:val="20"/>
        </w:rPr>
        <w:t>about</w:t>
      </w:r>
      <w:r>
        <w:rPr>
          <w:spacing w:val="-7"/>
          <w:sz w:val="20"/>
        </w:rPr>
        <w:t> </w:t>
      </w:r>
      <w:r>
        <w:rPr>
          <w:sz w:val="20"/>
        </w:rPr>
        <w:t>the</w:t>
      </w:r>
      <w:r>
        <w:rPr>
          <w:spacing w:val="-6"/>
          <w:sz w:val="20"/>
        </w:rPr>
        <w:t> </w:t>
      </w:r>
      <w:r>
        <w:rPr>
          <w:sz w:val="20"/>
        </w:rPr>
        <w:t>users</w:t>
      </w:r>
      <w:r>
        <w:rPr>
          <w:spacing w:val="-5"/>
          <w:sz w:val="20"/>
        </w:rPr>
        <w:t> </w:t>
      </w:r>
      <w:r>
        <w:rPr>
          <w:sz w:val="20"/>
        </w:rPr>
        <w:t>of</w:t>
      </w:r>
      <w:r>
        <w:rPr>
          <w:spacing w:val="-5"/>
          <w:sz w:val="20"/>
        </w:rPr>
        <w:t> </w:t>
      </w:r>
      <w:r>
        <w:rPr>
          <w:sz w:val="20"/>
        </w:rPr>
        <w:t>the</w:t>
      </w:r>
      <w:r>
        <w:rPr>
          <w:spacing w:val="-3"/>
          <w:sz w:val="20"/>
        </w:rPr>
        <w:t> </w:t>
      </w:r>
      <w:r>
        <w:rPr>
          <w:sz w:val="20"/>
        </w:rPr>
        <w:t>online</w:t>
      </w:r>
      <w:r>
        <w:rPr>
          <w:spacing w:val="-5"/>
          <w:sz w:val="20"/>
        </w:rPr>
        <w:t> </w:t>
      </w:r>
      <w:r>
        <w:rPr>
          <w:sz w:val="20"/>
        </w:rPr>
        <w:t>game,</w:t>
      </w:r>
      <w:r>
        <w:rPr>
          <w:spacing w:val="-7"/>
          <w:sz w:val="20"/>
        </w:rPr>
        <w:t> </w:t>
      </w:r>
      <w:r>
        <w:rPr>
          <w:sz w:val="20"/>
        </w:rPr>
        <w:t>which</w:t>
      </w:r>
      <w:r>
        <w:rPr>
          <w:spacing w:val="-6"/>
          <w:sz w:val="20"/>
        </w:rPr>
        <w:t> </w:t>
      </w:r>
      <w:r>
        <w:rPr>
          <w:sz w:val="20"/>
        </w:rPr>
        <w:t>the</w:t>
      </w:r>
      <w:r>
        <w:rPr>
          <w:spacing w:val="-7"/>
          <w:sz w:val="20"/>
        </w:rPr>
        <w:t> </w:t>
      </w:r>
      <w:r>
        <w:rPr>
          <w:sz w:val="20"/>
        </w:rPr>
        <w:t>provider</w:t>
      </w:r>
      <w:r>
        <w:rPr>
          <w:spacing w:val="-5"/>
          <w:sz w:val="20"/>
        </w:rPr>
        <w:t> </w:t>
      </w:r>
      <w:r>
        <w:rPr>
          <w:sz w:val="20"/>
        </w:rPr>
        <w:t>can</w:t>
      </w:r>
      <w:r>
        <w:rPr>
          <w:spacing w:val="-7"/>
          <w:sz w:val="20"/>
        </w:rPr>
        <w:t> </w:t>
      </w:r>
      <w:r>
        <w:rPr>
          <w:sz w:val="20"/>
        </w:rPr>
        <w:t>sell</w:t>
      </w:r>
      <w:r>
        <w:rPr>
          <w:spacing w:val="-6"/>
          <w:sz w:val="20"/>
        </w:rPr>
        <w:t> </w:t>
      </w:r>
      <w:r>
        <w:rPr>
          <w:sz w:val="20"/>
        </w:rPr>
        <w:t>to advertisers. For this type of revenue, the sourcing rule is the same as for revenue from Sale or Other Alienation of User</w:t>
      </w:r>
      <w:r>
        <w:rPr>
          <w:spacing w:val="-1"/>
          <w:sz w:val="20"/>
        </w:rPr>
        <w:t> </w:t>
      </w:r>
      <w:r>
        <w:rPr>
          <w:sz w:val="20"/>
        </w:rPr>
        <w:t>Data.</w:t>
      </w:r>
    </w:p>
    <w:p>
      <w:pPr>
        <w:pStyle w:val="ListParagraph"/>
        <w:numPr>
          <w:ilvl w:val="0"/>
          <w:numId w:val="13"/>
        </w:numPr>
        <w:tabs>
          <w:tab w:pos="1444" w:val="left" w:leader="none"/>
        </w:tabs>
        <w:spacing w:line="271" w:lineRule="auto" w:before="120" w:after="0"/>
        <w:ind w:left="723" w:right="487" w:firstLine="0"/>
        <w:jc w:val="both"/>
        <w:rPr>
          <w:sz w:val="20"/>
        </w:rPr>
      </w:pPr>
      <w:r>
        <w:rPr>
          <w:sz w:val="20"/>
        </w:rPr>
        <w:t>The</w:t>
      </w:r>
      <w:r>
        <w:rPr>
          <w:spacing w:val="-13"/>
          <w:sz w:val="20"/>
        </w:rPr>
        <w:t> </w:t>
      </w:r>
      <w:r>
        <w:rPr>
          <w:sz w:val="20"/>
        </w:rPr>
        <w:t>third</w:t>
      </w:r>
      <w:r>
        <w:rPr>
          <w:spacing w:val="-12"/>
          <w:sz w:val="20"/>
        </w:rPr>
        <w:t> </w:t>
      </w:r>
      <w:r>
        <w:rPr>
          <w:sz w:val="20"/>
        </w:rPr>
        <w:t>model</w:t>
      </w:r>
      <w:r>
        <w:rPr>
          <w:spacing w:val="-11"/>
          <w:sz w:val="20"/>
        </w:rPr>
        <w:t> </w:t>
      </w:r>
      <w:r>
        <w:rPr>
          <w:sz w:val="20"/>
        </w:rPr>
        <w:t>is</w:t>
      </w:r>
      <w:r>
        <w:rPr>
          <w:spacing w:val="-10"/>
          <w:sz w:val="20"/>
        </w:rPr>
        <w:t> </w:t>
      </w:r>
      <w:r>
        <w:rPr>
          <w:sz w:val="20"/>
        </w:rPr>
        <w:t>similar</w:t>
      </w:r>
      <w:r>
        <w:rPr>
          <w:spacing w:val="-12"/>
          <w:sz w:val="20"/>
        </w:rPr>
        <w:t> </w:t>
      </w:r>
      <w:r>
        <w:rPr>
          <w:sz w:val="20"/>
        </w:rPr>
        <w:t>to</w:t>
      </w:r>
      <w:r>
        <w:rPr>
          <w:spacing w:val="-9"/>
          <w:sz w:val="20"/>
        </w:rPr>
        <w:t> </w:t>
      </w:r>
      <w:r>
        <w:rPr>
          <w:sz w:val="20"/>
        </w:rPr>
        <w:t>Digital</w:t>
      </w:r>
      <w:r>
        <w:rPr>
          <w:spacing w:val="-13"/>
          <w:sz w:val="20"/>
        </w:rPr>
        <w:t> </w:t>
      </w:r>
      <w:r>
        <w:rPr>
          <w:sz w:val="20"/>
        </w:rPr>
        <w:t>Content</w:t>
      </w:r>
      <w:r>
        <w:rPr>
          <w:spacing w:val="-9"/>
          <w:sz w:val="20"/>
        </w:rPr>
        <w:t> </w:t>
      </w:r>
      <w:r>
        <w:rPr>
          <w:sz w:val="20"/>
        </w:rPr>
        <w:t>Services,</w:t>
      </w:r>
      <w:r>
        <w:rPr>
          <w:spacing w:val="-10"/>
          <w:sz w:val="20"/>
        </w:rPr>
        <w:t> </w:t>
      </w:r>
      <w:r>
        <w:rPr>
          <w:sz w:val="20"/>
        </w:rPr>
        <w:t>where</w:t>
      </w:r>
      <w:r>
        <w:rPr>
          <w:spacing w:val="-11"/>
          <w:sz w:val="20"/>
        </w:rPr>
        <w:t> </w:t>
      </w:r>
      <w:r>
        <w:rPr>
          <w:sz w:val="20"/>
        </w:rPr>
        <w:t>a</w:t>
      </w:r>
      <w:r>
        <w:rPr>
          <w:spacing w:val="-10"/>
          <w:sz w:val="20"/>
        </w:rPr>
        <w:t> </w:t>
      </w:r>
      <w:r>
        <w:rPr>
          <w:sz w:val="20"/>
        </w:rPr>
        <w:t>player</w:t>
      </w:r>
      <w:r>
        <w:rPr>
          <w:spacing w:val="-6"/>
          <w:sz w:val="20"/>
        </w:rPr>
        <w:t> </w:t>
      </w:r>
      <w:r>
        <w:rPr>
          <w:sz w:val="20"/>
        </w:rPr>
        <w:t>will</w:t>
      </w:r>
      <w:r>
        <w:rPr>
          <w:spacing w:val="-11"/>
          <w:sz w:val="20"/>
        </w:rPr>
        <w:t> </w:t>
      </w:r>
      <w:r>
        <w:rPr>
          <w:sz w:val="20"/>
        </w:rPr>
        <w:t>register</w:t>
      </w:r>
      <w:r>
        <w:rPr>
          <w:spacing w:val="-11"/>
          <w:sz w:val="20"/>
        </w:rPr>
        <w:t> </w:t>
      </w:r>
      <w:r>
        <w:rPr>
          <w:sz w:val="20"/>
        </w:rPr>
        <w:t>for</w:t>
      </w:r>
      <w:r>
        <w:rPr>
          <w:spacing w:val="-12"/>
          <w:sz w:val="20"/>
        </w:rPr>
        <w:t> </w:t>
      </w:r>
      <w:r>
        <w:rPr>
          <w:sz w:val="20"/>
        </w:rPr>
        <w:t>a</w:t>
      </w:r>
      <w:r>
        <w:rPr>
          <w:spacing w:val="-12"/>
          <w:sz w:val="20"/>
        </w:rPr>
        <w:t> </w:t>
      </w:r>
      <w:r>
        <w:rPr>
          <w:sz w:val="20"/>
        </w:rPr>
        <w:t>subscription and pay a fee to access the game. In addition, once the player is playing the game, there may be options to purchase additional features (“micro-transactions” such as access to new game levels, or game accessories). The sourcing rule for revenue from Digital Content Services applies to this</w:t>
      </w:r>
      <w:r>
        <w:rPr>
          <w:spacing w:val="-31"/>
          <w:sz w:val="20"/>
        </w:rPr>
        <w:t> </w:t>
      </w:r>
      <w:r>
        <w:rPr>
          <w:sz w:val="20"/>
        </w:rPr>
        <w:t>model.</w:t>
      </w:r>
    </w:p>
    <w:p>
      <w:pPr>
        <w:pStyle w:val="BodyText"/>
        <w:spacing w:before="2"/>
      </w:pPr>
    </w:p>
    <w:p>
      <w:pPr>
        <w:pStyle w:val="Heading8"/>
        <w:spacing w:before="1"/>
      </w:pPr>
      <w:bookmarkStart w:name="Revenue from standardised online teachin" w:id="175"/>
      <w:bookmarkEnd w:id="175"/>
      <w:r>
        <w:rPr>
          <w:b w:val="0"/>
        </w:rPr>
      </w:r>
      <w:r>
        <w:rPr/>
        <w:t>Revenue from standardised online teaching services</w:t>
      </w:r>
    </w:p>
    <w:p>
      <w:pPr>
        <w:pStyle w:val="BodyText"/>
        <w:spacing w:before="9"/>
        <w:rPr>
          <w:b/>
          <w:sz w:val="18"/>
        </w:rPr>
      </w:pPr>
    </w:p>
    <w:p>
      <w:pPr>
        <w:pStyle w:val="ListParagraph"/>
        <w:numPr>
          <w:ilvl w:val="0"/>
          <w:numId w:val="13"/>
        </w:numPr>
        <w:tabs>
          <w:tab w:pos="1444" w:val="left" w:leader="none"/>
        </w:tabs>
        <w:spacing w:line="271" w:lineRule="auto" w:before="1" w:after="0"/>
        <w:ind w:left="723" w:right="492" w:firstLine="0"/>
        <w:jc w:val="both"/>
        <w:rPr>
          <w:sz w:val="20"/>
        </w:rPr>
      </w:pPr>
      <w:r>
        <w:rPr>
          <w:sz w:val="20"/>
        </w:rPr>
        <w:t>Online teaching services that fall within the definition of ADS make available standardised educational material to a large number of potential users. Broadly, there are three revenue streams relevant to online teaching</w:t>
      </w:r>
      <w:r>
        <w:rPr>
          <w:spacing w:val="1"/>
          <w:sz w:val="20"/>
        </w:rPr>
        <w:t> </w:t>
      </w:r>
      <w:r>
        <w:rPr>
          <w:sz w:val="20"/>
        </w:rPr>
        <w:t>services.</w:t>
      </w:r>
    </w:p>
    <w:p>
      <w:pPr>
        <w:pStyle w:val="ListParagraph"/>
        <w:numPr>
          <w:ilvl w:val="0"/>
          <w:numId w:val="13"/>
        </w:numPr>
        <w:tabs>
          <w:tab w:pos="1444" w:val="left" w:leader="none"/>
        </w:tabs>
        <w:spacing w:line="273" w:lineRule="auto" w:before="120" w:after="0"/>
        <w:ind w:left="723" w:right="493" w:firstLine="0"/>
        <w:jc w:val="both"/>
        <w:rPr>
          <w:sz w:val="20"/>
        </w:rPr>
      </w:pPr>
      <w:r>
        <w:rPr>
          <w:sz w:val="20"/>
        </w:rPr>
        <w:t>One is where the access to the teaching material is free, but there will be advertising within the material. The sourcing rule for revenue from Online Advertising Services Applies for this</w:t>
      </w:r>
      <w:r>
        <w:rPr>
          <w:spacing w:val="-25"/>
          <w:sz w:val="20"/>
        </w:rPr>
        <w:t> </w:t>
      </w:r>
      <w:r>
        <w:rPr>
          <w:sz w:val="20"/>
        </w:rPr>
        <w:t>model.</w:t>
      </w:r>
    </w:p>
    <w:p>
      <w:pPr>
        <w:pStyle w:val="ListParagraph"/>
        <w:numPr>
          <w:ilvl w:val="0"/>
          <w:numId w:val="13"/>
        </w:numPr>
        <w:tabs>
          <w:tab w:pos="1444" w:val="left" w:leader="none"/>
        </w:tabs>
        <w:spacing w:line="271" w:lineRule="auto" w:before="116" w:after="0"/>
        <w:ind w:left="723" w:right="487" w:firstLine="0"/>
        <w:jc w:val="both"/>
        <w:rPr>
          <w:sz w:val="20"/>
        </w:rPr>
      </w:pPr>
      <w:r>
        <w:rPr>
          <w:sz w:val="20"/>
        </w:rPr>
        <w:t>The second is collection of data about the users of the service, which the provider can sell to advertisers or other third parties. For this type of revenue, the sourcing rule is the same as for revenue from Sale or Other Alienation of User</w:t>
      </w:r>
      <w:r>
        <w:rPr>
          <w:spacing w:val="-2"/>
          <w:sz w:val="20"/>
        </w:rPr>
        <w:t> </w:t>
      </w:r>
      <w:r>
        <w:rPr>
          <w:sz w:val="20"/>
        </w:rPr>
        <w:t>Data.</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6" w:firstLine="0"/>
        <w:jc w:val="both"/>
        <w:rPr>
          <w:sz w:val="20"/>
        </w:rPr>
      </w:pPr>
      <w:r>
        <w:rPr>
          <w:sz w:val="20"/>
        </w:rPr>
        <w:t>The</w:t>
      </w:r>
      <w:r>
        <w:rPr>
          <w:spacing w:val="-5"/>
          <w:sz w:val="20"/>
        </w:rPr>
        <w:t> </w:t>
      </w:r>
      <w:r>
        <w:rPr>
          <w:sz w:val="20"/>
        </w:rPr>
        <w:t>third</w:t>
      </w:r>
      <w:r>
        <w:rPr>
          <w:spacing w:val="-4"/>
          <w:sz w:val="20"/>
        </w:rPr>
        <w:t> </w:t>
      </w:r>
      <w:r>
        <w:rPr>
          <w:sz w:val="20"/>
        </w:rPr>
        <w:t>model</w:t>
      </w:r>
      <w:r>
        <w:rPr>
          <w:spacing w:val="-5"/>
          <w:sz w:val="20"/>
        </w:rPr>
        <w:t> </w:t>
      </w:r>
      <w:r>
        <w:rPr>
          <w:sz w:val="20"/>
        </w:rPr>
        <w:t>is</w:t>
      </w:r>
      <w:r>
        <w:rPr>
          <w:spacing w:val="-3"/>
          <w:sz w:val="20"/>
        </w:rPr>
        <w:t> </w:t>
      </w:r>
      <w:r>
        <w:rPr>
          <w:sz w:val="20"/>
        </w:rPr>
        <w:t>similar</w:t>
      </w:r>
      <w:r>
        <w:rPr>
          <w:spacing w:val="-4"/>
          <w:sz w:val="20"/>
        </w:rPr>
        <w:t> </w:t>
      </w:r>
      <w:r>
        <w:rPr>
          <w:sz w:val="20"/>
        </w:rPr>
        <w:t>to</w:t>
      </w:r>
      <w:r>
        <w:rPr>
          <w:spacing w:val="-4"/>
          <w:sz w:val="20"/>
        </w:rPr>
        <w:t> </w:t>
      </w:r>
      <w:r>
        <w:rPr>
          <w:sz w:val="20"/>
        </w:rPr>
        <w:t>Digital</w:t>
      </w:r>
      <w:r>
        <w:rPr>
          <w:spacing w:val="-5"/>
          <w:sz w:val="20"/>
        </w:rPr>
        <w:t> </w:t>
      </w:r>
      <w:r>
        <w:rPr>
          <w:sz w:val="20"/>
        </w:rPr>
        <w:t>Content</w:t>
      </w:r>
      <w:r>
        <w:rPr>
          <w:spacing w:val="-4"/>
          <w:sz w:val="20"/>
        </w:rPr>
        <w:t> </w:t>
      </w:r>
      <w:r>
        <w:rPr>
          <w:sz w:val="20"/>
        </w:rPr>
        <w:t>Services,</w:t>
      </w:r>
      <w:r>
        <w:rPr>
          <w:spacing w:val="-2"/>
          <w:sz w:val="20"/>
        </w:rPr>
        <w:t> </w:t>
      </w:r>
      <w:r>
        <w:rPr>
          <w:sz w:val="20"/>
        </w:rPr>
        <w:t>where</w:t>
      </w:r>
      <w:r>
        <w:rPr>
          <w:spacing w:val="-4"/>
          <w:sz w:val="20"/>
        </w:rPr>
        <w:t> </w:t>
      </w:r>
      <w:r>
        <w:rPr>
          <w:sz w:val="20"/>
        </w:rPr>
        <w:t>a</w:t>
      </w:r>
      <w:r>
        <w:rPr>
          <w:spacing w:val="-5"/>
          <w:sz w:val="20"/>
        </w:rPr>
        <w:t> </w:t>
      </w:r>
      <w:r>
        <w:rPr>
          <w:sz w:val="20"/>
        </w:rPr>
        <w:t>user</w:t>
      </w:r>
      <w:r>
        <w:rPr>
          <w:spacing w:val="-1"/>
          <w:sz w:val="20"/>
        </w:rPr>
        <w:t> </w:t>
      </w:r>
      <w:r>
        <w:rPr>
          <w:sz w:val="20"/>
        </w:rPr>
        <w:t>will</w:t>
      </w:r>
      <w:r>
        <w:rPr>
          <w:spacing w:val="-3"/>
          <w:sz w:val="20"/>
        </w:rPr>
        <w:t> </w:t>
      </w:r>
      <w:r>
        <w:rPr>
          <w:sz w:val="20"/>
        </w:rPr>
        <w:t>pay</w:t>
      </w:r>
      <w:r>
        <w:rPr>
          <w:spacing w:val="-8"/>
          <w:sz w:val="20"/>
        </w:rPr>
        <w:t> </w:t>
      </w:r>
      <w:r>
        <w:rPr>
          <w:sz w:val="20"/>
        </w:rPr>
        <w:t>to</w:t>
      </w:r>
      <w:r>
        <w:rPr>
          <w:spacing w:val="-4"/>
          <w:sz w:val="20"/>
        </w:rPr>
        <w:t> </w:t>
      </w:r>
      <w:r>
        <w:rPr>
          <w:sz w:val="20"/>
        </w:rPr>
        <w:t>access</w:t>
      </w:r>
      <w:r>
        <w:rPr>
          <w:spacing w:val="-3"/>
          <w:sz w:val="20"/>
        </w:rPr>
        <w:t> </w:t>
      </w:r>
      <w:r>
        <w:rPr>
          <w:sz w:val="20"/>
        </w:rPr>
        <w:t>the</w:t>
      </w:r>
      <w:r>
        <w:rPr>
          <w:spacing w:val="-4"/>
          <w:sz w:val="20"/>
        </w:rPr>
        <w:t> </w:t>
      </w:r>
      <w:r>
        <w:rPr>
          <w:sz w:val="20"/>
        </w:rPr>
        <w:t>service. The sourcing rule for revenue from Digital Content Services applies to this</w:t>
      </w:r>
      <w:r>
        <w:rPr>
          <w:spacing w:val="-17"/>
          <w:sz w:val="20"/>
        </w:rPr>
        <w:t> </w:t>
      </w:r>
      <w:r>
        <w:rPr>
          <w:sz w:val="20"/>
        </w:rPr>
        <w:t>model.</w:t>
      </w:r>
    </w:p>
    <w:p>
      <w:pPr>
        <w:pStyle w:val="BodyText"/>
        <w:spacing w:before="1"/>
      </w:pPr>
    </w:p>
    <w:p>
      <w:pPr>
        <w:pStyle w:val="Heading8"/>
      </w:pPr>
      <w:bookmarkStart w:name="Revenue from cloud computing services" w:id="176"/>
      <w:bookmarkEnd w:id="176"/>
      <w:r>
        <w:rPr>
          <w:b w:val="0"/>
        </w:rPr>
      </w:r>
      <w:r>
        <w:rPr/>
        <w:t>Revenue from cloud computing services</w:t>
      </w:r>
    </w:p>
    <w:p>
      <w:pPr>
        <w:pStyle w:val="BodyText"/>
        <w:spacing w:before="1"/>
        <w:rPr>
          <w:b/>
          <w:sz w:val="19"/>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Cloud computing is unlike other ADS above, because it is of most relevance to other businesses, although</w:t>
      </w:r>
      <w:r>
        <w:rPr>
          <w:spacing w:val="-10"/>
          <w:sz w:val="20"/>
        </w:rPr>
        <w:t> </w:t>
      </w:r>
      <w:r>
        <w:rPr>
          <w:sz w:val="20"/>
        </w:rPr>
        <w:t>these</w:t>
      </w:r>
      <w:r>
        <w:rPr>
          <w:spacing w:val="-9"/>
          <w:sz w:val="20"/>
        </w:rPr>
        <w:t> </w:t>
      </w:r>
      <w:r>
        <w:rPr>
          <w:sz w:val="20"/>
        </w:rPr>
        <w:t>services</w:t>
      </w:r>
      <w:r>
        <w:rPr>
          <w:spacing w:val="-9"/>
          <w:sz w:val="20"/>
        </w:rPr>
        <w:t> </w:t>
      </w:r>
      <w:r>
        <w:rPr>
          <w:sz w:val="20"/>
        </w:rPr>
        <w:t>can</w:t>
      </w:r>
      <w:r>
        <w:rPr>
          <w:spacing w:val="-9"/>
          <w:sz w:val="20"/>
        </w:rPr>
        <w:t> </w:t>
      </w:r>
      <w:r>
        <w:rPr>
          <w:sz w:val="20"/>
        </w:rPr>
        <w:t>be</w:t>
      </w:r>
      <w:r>
        <w:rPr>
          <w:spacing w:val="-7"/>
          <w:sz w:val="20"/>
        </w:rPr>
        <w:t> </w:t>
      </w:r>
      <w:r>
        <w:rPr>
          <w:sz w:val="20"/>
        </w:rPr>
        <w:t>directed</w:t>
      </w:r>
      <w:r>
        <w:rPr>
          <w:spacing w:val="-8"/>
          <w:sz w:val="20"/>
        </w:rPr>
        <w:t> </w:t>
      </w:r>
      <w:r>
        <w:rPr>
          <w:sz w:val="20"/>
        </w:rPr>
        <w:t>to</w:t>
      </w:r>
      <w:r>
        <w:rPr>
          <w:spacing w:val="-7"/>
          <w:sz w:val="20"/>
        </w:rPr>
        <w:t> </w:t>
      </w:r>
      <w:r>
        <w:rPr>
          <w:sz w:val="20"/>
        </w:rPr>
        <w:t>individual</w:t>
      </w:r>
      <w:r>
        <w:rPr>
          <w:spacing w:val="-11"/>
          <w:sz w:val="20"/>
        </w:rPr>
        <w:t> </w:t>
      </w:r>
      <w:r>
        <w:rPr>
          <w:sz w:val="20"/>
        </w:rPr>
        <w:t>consumers</w:t>
      </w:r>
      <w:r>
        <w:rPr>
          <w:spacing w:val="-7"/>
          <w:sz w:val="20"/>
        </w:rPr>
        <w:t> </w:t>
      </w:r>
      <w:r>
        <w:rPr>
          <w:sz w:val="20"/>
        </w:rPr>
        <w:t>(e.g.</w:t>
      </w:r>
      <w:r>
        <w:rPr>
          <w:spacing w:val="-10"/>
          <w:sz w:val="20"/>
        </w:rPr>
        <w:t> </w:t>
      </w:r>
      <w:r>
        <w:rPr>
          <w:sz w:val="20"/>
        </w:rPr>
        <w:t>for</w:t>
      </w:r>
      <w:r>
        <w:rPr>
          <w:spacing w:val="-8"/>
          <w:sz w:val="20"/>
        </w:rPr>
        <w:t> </w:t>
      </w:r>
      <w:r>
        <w:rPr>
          <w:sz w:val="20"/>
        </w:rPr>
        <w:t>storing</w:t>
      </w:r>
      <w:r>
        <w:rPr>
          <w:spacing w:val="-7"/>
          <w:sz w:val="20"/>
        </w:rPr>
        <w:t> </w:t>
      </w:r>
      <w:r>
        <w:rPr>
          <w:sz w:val="20"/>
        </w:rPr>
        <w:t>personal</w:t>
      </w:r>
      <w:r>
        <w:rPr>
          <w:spacing w:val="-9"/>
          <w:sz w:val="20"/>
        </w:rPr>
        <w:t> </w:t>
      </w:r>
      <w:r>
        <w:rPr>
          <w:sz w:val="20"/>
        </w:rPr>
        <w:t>files).</w:t>
      </w:r>
      <w:r>
        <w:rPr>
          <w:spacing w:val="-6"/>
          <w:sz w:val="20"/>
        </w:rPr>
        <w:t> </w:t>
      </w:r>
      <w:r>
        <w:rPr>
          <w:sz w:val="20"/>
        </w:rPr>
        <w:t>Examples of Cloud Computing Services include providing document management and storage services for a large professional services firm, providing computing power to other businesses, hosting the website through which another ADS provider delivers its services to users, and providing the software for data from highly technical</w:t>
      </w:r>
      <w:r>
        <w:rPr>
          <w:spacing w:val="-15"/>
          <w:sz w:val="20"/>
        </w:rPr>
        <w:t> </w:t>
      </w:r>
      <w:r>
        <w:rPr>
          <w:sz w:val="20"/>
        </w:rPr>
        <w:t>operating</w:t>
      </w:r>
      <w:r>
        <w:rPr>
          <w:spacing w:val="-14"/>
          <w:sz w:val="20"/>
        </w:rPr>
        <w:t> </w:t>
      </w:r>
      <w:r>
        <w:rPr>
          <w:sz w:val="20"/>
        </w:rPr>
        <w:t>machinery</w:t>
      </w:r>
      <w:r>
        <w:rPr>
          <w:spacing w:val="-19"/>
          <w:sz w:val="20"/>
        </w:rPr>
        <w:t> </w:t>
      </w:r>
      <w:r>
        <w:rPr>
          <w:sz w:val="20"/>
        </w:rPr>
        <w:t>such</w:t>
      </w:r>
      <w:r>
        <w:rPr>
          <w:spacing w:val="-14"/>
          <w:sz w:val="20"/>
        </w:rPr>
        <w:t> </w:t>
      </w:r>
      <w:r>
        <w:rPr>
          <w:sz w:val="20"/>
        </w:rPr>
        <w:t>as</w:t>
      </w:r>
      <w:r>
        <w:rPr>
          <w:spacing w:val="-13"/>
          <w:sz w:val="20"/>
        </w:rPr>
        <w:t> </w:t>
      </w:r>
      <w:r>
        <w:rPr>
          <w:sz w:val="20"/>
        </w:rPr>
        <w:t>aeroplanes</w:t>
      </w:r>
      <w:r>
        <w:rPr>
          <w:spacing w:val="-13"/>
          <w:sz w:val="20"/>
        </w:rPr>
        <w:t> </w:t>
      </w:r>
      <w:r>
        <w:rPr>
          <w:sz w:val="20"/>
        </w:rPr>
        <w:t>to</w:t>
      </w:r>
      <w:r>
        <w:rPr>
          <w:spacing w:val="-14"/>
          <w:sz w:val="20"/>
        </w:rPr>
        <w:t> </w:t>
      </w:r>
      <w:r>
        <w:rPr>
          <w:sz w:val="20"/>
        </w:rPr>
        <w:t>be</w:t>
      </w:r>
      <w:r>
        <w:rPr>
          <w:spacing w:val="-15"/>
          <w:sz w:val="20"/>
        </w:rPr>
        <w:t> </w:t>
      </w:r>
      <w:r>
        <w:rPr>
          <w:sz w:val="20"/>
        </w:rPr>
        <w:t>fed</w:t>
      </w:r>
      <w:r>
        <w:rPr>
          <w:spacing w:val="-14"/>
          <w:sz w:val="20"/>
        </w:rPr>
        <w:t> </w:t>
      </w:r>
      <w:r>
        <w:rPr>
          <w:sz w:val="20"/>
        </w:rPr>
        <w:t>into</w:t>
      </w:r>
      <w:r>
        <w:rPr>
          <w:spacing w:val="-14"/>
          <w:sz w:val="20"/>
        </w:rPr>
        <w:t> </w:t>
      </w:r>
      <w:r>
        <w:rPr>
          <w:sz w:val="20"/>
        </w:rPr>
        <w:t>a</w:t>
      </w:r>
      <w:r>
        <w:rPr>
          <w:spacing w:val="-16"/>
          <w:sz w:val="20"/>
        </w:rPr>
        <w:t> </w:t>
      </w:r>
      <w:r>
        <w:rPr>
          <w:sz w:val="20"/>
        </w:rPr>
        <w:t>central</w:t>
      </w:r>
      <w:r>
        <w:rPr>
          <w:spacing w:val="-17"/>
          <w:sz w:val="20"/>
        </w:rPr>
        <w:t> </w:t>
      </w:r>
      <w:r>
        <w:rPr>
          <w:sz w:val="20"/>
        </w:rPr>
        <w:t>base</w:t>
      </w:r>
      <w:r>
        <w:rPr>
          <w:spacing w:val="-8"/>
          <w:sz w:val="20"/>
        </w:rPr>
        <w:t> </w:t>
      </w:r>
      <w:r>
        <w:rPr>
          <w:sz w:val="20"/>
        </w:rPr>
        <w:t>for</w:t>
      </w:r>
      <w:r>
        <w:rPr>
          <w:spacing w:val="-13"/>
          <w:sz w:val="20"/>
        </w:rPr>
        <w:t> </w:t>
      </w:r>
      <w:r>
        <w:rPr>
          <w:sz w:val="20"/>
        </w:rPr>
        <w:t>analysis</w:t>
      </w:r>
      <w:r>
        <w:rPr>
          <w:spacing w:val="-12"/>
          <w:sz w:val="20"/>
        </w:rPr>
        <w:t> </w:t>
      </w:r>
      <w:r>
        <w:rPr>
          <w:sz w:val="20"/>
        </w:rPr>
        <w:t>and</w:t>
      </w:r>
      <w:r>
        <w:rPr>
          <w:spacing w:val="-16"/>
          <w:sz w:val="20"/>
        </w:rPr>
        <w:t> </w:t>
      </w:r>
      <w:r>
        <w:rPr>
          <w:sz w:val="20"/>
        </w:rPr>
        <w:t>monitoring. Cloud computing service providers can also derive revenues from advertising; in this case, the sourcing rule for revenue from online advertising services</w:t>
      </w:r>
      <w:r>
        <w:rPr>
          <w:spacing w:val="-4"/>
          <w:sz w:val="20"/>
        </w:rPr>
        <w:t> </w:t>
      </w:r>
      <w:r>
        <w:rPr>
          <w:sz w:val="20"/>
        </w:rPr>
        <w:t>applies.</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When the service is sold directly to individual users (such as personal data storage), the sourcing rule is the location of the purchaser. The cloud computing service provider has a more direct relationship with the user, and should be able to identify the ordinary residence of the purchaser, using user profile information or the billing address. If this information is unavailable or unreliable, the service provider may use</w:t>
      </w:r>
      <w:r>
        <w:rPr>
          <w:spacing w:val="-10"/>
          <w:sz w:val="20"/>
        </w:rPr>
        <w:t> </w:t>
      </w:r>
      <w:r>
        <w:rPr>
          <w:sz w:val="20"/>
        </w:rPr>
        <w:t>geolocation</w:t>
      </w:r>
      <w:r>
        <w:rPr>
          <w:spacing w:val="-8"/>
          <w:sz w:val="20"/>
        </w:rPr>
        <w:t> </w:t>
      </w:r>
      <w:r>
        <w:rPr>
          <w:sz w:val="20"/>
        </w:rPr>
        <w:t>or</w:t>
      </w:r>
      <w:r>
        <w:rPr>
          <w:spacing w:val="-10"/>
          <w:sz w:val="20"/>
        </w:rPr>
        <w:t> </w:t>
      </w:r>
      <w:r>
        <w:rPr>
          <w:sz w:val="20"/>
        </w:rPr>
        <w:t>IP</w:t>
      </w:r>
      <w:r>
        <w:rPr>
          <w:spacing w:val="-11"/>
          <w:sz w:val="20"/>
        </w:rPr>
        <w:t> </w:t>
      </w:r>
      <w:r>
        <w:rPr>
          <w:sz w:val="20"/>
        </w:rPr>
        <w:t>address</w:t>
      </w:r>
      <w:r>
        <w:rPr>
          <w:spacing w:val="-9"/>
          <w:sz w:val="20"/>
        </w:rPr>
        <w:t> </w:t>
      </w:r>
      <w:r>
        <w:rPr>
          <w:sz w:val="20"/>
        </w:rPr>
        <w:t>of</w:t>
      </w:r>
      <w:r>
        <w:rPr>
          <w:spacing w:val="-8"/>
          <w:sz w:val="20"/>
        </w:rPr>
        <w:t> </w:t>
      </w:r>
      <w:r>
        <w:rPr>
          <w:sz w:val="20"/>
        </w:rPr>
        <w:t>the</w:t>
      </w:r>
      <w:r>
        <w:rPr>
          <w:spacing w:val="-11"/>
          <w:sz w:val="20"/>
        </w:rPr>
        <w:t> </w:t>
      </w:r>
      <w:r>
        <w:rPr>
          <w:sz w:val="20"/>
        </w:rPr>
        <w:t>device</w:t>
      </w:r>
      <w:r>
        <w:rPr>
          <w:spacing w:val="-8"/>
          <w:sz w:val="20"/>
        </w:rPr>
        <w:t> </w:t>
      </w:r>
      <w:r>
        <w:rPr>
          <w:sz w:val="20"/>
        </w:rPr>
        <w:t>on</w:t>
      </w:r>
      <w:r>
        <w:rPr>
          <w:spacing w:val="-8"/>
          <w:sz w:val="20"/>
        </w:rPr>
        <w:t> </w:t>
      </w:r>
      <w:r>
        <w:rPr>
          <w:sz w:val="20"/>
        </w:rPr>
        <w:t>which</w:t>
      </w:r>
      <w:r>
        <w:rPr>
          <w:spacing w:val="-8"/>
          <w:sz w:val="20"/>
        </w:rPr>
        <w:t> </w:t>
      </w:r>
      <w:r>
        <w:rPr>
          <w:sz w:val="20"/>
        </w:rPr>
        <w:t>the</w:t>
      </w:r>
      <w:r>
        <w:rPr>
          <w:spacing w:val="-11"/>
          <w:sz w:val="20"/>
        </w:rPr>
        <w:t> </w:t>
      </w:r>
      <w:r>
        <w:rPr>
          <w:sz w:val="20"/>
        </w:rPr>
        <w:t>cloud</w:t>
      </w:r>
      <w:r>
        <w:rPr>
          <w:spacing w:val="-11"/>
          <w:sz w:val="20"/>
        </w:rPr>
        <w:t> </w:t>
      </w:r>
      <w:r>
        <w:rPr>
          <w:sz w:val="20"/>
        </w:rPr>
        <w:t>computing</w:t>
      </w:r>
      <w:r>
        <w:rPr>
          <w:spacing w:val="-11"/>
          <w:sz w:val="20"/>
        </w:rPr>
        <w:t> </w:t>
      </w:r>
      <w:r>
        <w:rPr>
          <w:sz w:val="20"/>
        </w:rPr>
        <w:t>service</w:t>
      </w:r>
      <w:r>
        <w:rPr>
          <w:spacing w:val="-8"/>
          <w:sz w:val="20"/>
        </w:rPr>
        <w:t> </w:t>
      </w:r>
      <w:r>
        <w:rPr>
          <w:sz w:val="20"/>
        </w:rPr>
        <w:t>is</w:t>
      </w:r>
      <w:r>
        <w:rPr>
          <w:spacing w:val="-9"/>
          <w:sz w:val="20"/>
        </w:rPr>
        <w:t> </w:t>
      </w:r>
      <w:r>
        <w:rPr>
          <w:sz w:val="20"/>
        </w:rPr>
        <w:t>being</w:t>
      </w:r>
      <w:r>
        <w:rPr>
          <w:spacing w:val="-8"/>
          <w:sz w:val="20"/>
        </w:rPr>
        <w:t> </w:t>
      </w:r>
      <w:r>
        <w:rPr>
          <w:sz w:val="20"/>
        </w:rPr>
        <w:t>used,</w:t>
      </w:r>
      <w:r>
        <w:rPr>
          <w:spacing w:val="-8"/>
          <w:sz w:val="20"/>
        </w:rPr>
        <w:t> </w:t>
      </w:r>
      <w:r>
        <w:rPr>
          <w:sz w:val="20"/>
        </w:rPr>
        <w:t>to</w:t>
      </w:r>
      <w:r>
        <w:rPr>
          <w:spacing w:val="-8"/>
          <w:sz w:val="20"/>
        </w:rPr>
        <w:t> </w:t>
      </w:r>
      <w:r>
        <w:rPr>
          <w:sz w:val="20"/>
        </w:rPr>
        <w:t>identify the real-time location of the user at the time of purchase of the</w:t>
      </w:r>
      <w:r>
        <w:rPr>
          <w:spacing w:val="-13"/>
          <w:sz w:val="20"/>
        </w:rPr>
        <w:t> </w:t>
      </w:r>
      <w:r>
        <w:rPr>
          <w:sz w:val="20"/>
        </w:rPr>
        <w:t>service.</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In respect of Cloud Computing Services designed for internal use by a business customer and its employees</w:t>
      </w:r>
      <w:r>
        <w:rPr>
          <w:spacing w:val="-14"/>
          <w:sz w:val="20"/>
        </w:rPr>
        <w:t> </w:t>
      </w:r>
      <w:r>
        <w:rPr>
          <w:sz w:val="20"/>
        </w:rPr>
        <w:t>only,</w:t>
      </w:r>
      <w:r>
        <w:rPr>
          <w:spacing w:val="-14"/>
          <w:sz w:val="20"/>
        </w:rPr>
        <w:t> </w:t>
      </w:r>
      <w:r>
        <w:rPr>
          <w:sz w:val="20"/>
        </w:rPr>
        <w:t>there</w:t>
      </w:r>
      <w:r>
        <w:rPr>
          <w:spacing w:val="-17"/>
          <w:sz w:val="20"/>
        </w:rPr>
        <w:t> </w:t>
      </w:r>
      <w:r>
        <w:rPr>
          <w:sz w:val="20"/>
        </w:rPr>
        <w:t>are</w:t>
      </w:r>
      <w:r>
        <w:rPr>
          <w:spacing w:val="-14"/>
          <w:sz w:val="20"/>
        </w:rPr>
        <w:t> </w:t>
      </w:r>
      <w:r>
        <w:rPr>
          <w:sz w:val="20"/>
        </w:rPr>
        <w:t>difficulties</w:t>
      </w:r>
      <w:r>
        <w:rPr>
          <w:spacing w:val="-16"/>
          <w:sz w:val="20"/>
        </w:rPr>
        <w:t> </w:t>
      </w:r>
      <w:r>
        <w:rPr>
          <w:sz w:val="20"/>
        </w:rPr>
        <w:t>in</w:t>
      </w:r>
      <w:r>
        <w:rPr>
          <w:spacing w:val="-16"/>
          <w:sz w:val="20"/>
        </w:rPr>
        <w:t> </w:t>
      </w:r>
      <w:r>
        <w:rPr>
          <w:sz w:val="20"/>
        </w:rPr>
        <w:t>identifying</w:t>
      </w:r>
      <w:r>
        <w:rPr>
          <w:spacing w:val="-15"/>
          <w:sz w:val="20"/>
        </w:rPr>
        <w:t> </w:t>
      </w:r>
      <w:r>
        <w:rPr>
          <w:sz w:val="20"/>
        </w:rPr>
        <w:t>the</w:t>
      </w:r>
      <w:r>
        <w:rPr>
          <w:spacing w:val="-17"/>
          <w:sz w:val="20"/>
        </w:rPr>
        <w:t> </w:t>
      </w:r>
      <w:r>
        <w:rPr>
          <w:sz w:val="20"/>
        </w:rPr>
        <w:t>end-users</w:t>
      </w:r>
      <w:r>
        <w:rPr>
          <w:spacing w:val="-15"/>
          <w:sz w:val="20"/>
        </w:rPr>
        <w:t> </w:t>
      </w:r>
      <w:r>
        <w:rPr>
          <w:sz w:val="20"/>
        </w:rPr>
        <w:t>of</w:t>
      </w:r>
      <w:r>
        <w:rPr>
          <w:spacing w:val="-15"/>
          <w:sz w:val="20"/>
        </w:rPr>
        <w:t> </w:t>
      </w:r>
      <w:r>
        <w:rPr>
          <w:sz w:val="20"/>
        </w:rPr>
        <w:t>the</w:t>
      </w:r>
      <w:r>
        <w:rPr>
          <w:spacing w:val="-15"/>
          <w:sz w:val="20"/>
        </w:rPr>
        <w:t> </w:t>
      </w:r>
      <w:r>
        <w:rPr>
          <w:sz w:val="20"/>
        </w:rPr>
        <w:t>service</w:t>
      </w:r>
      <w:r>
        <w:rPr>
          <w:spacing w:val="-15"/>
          <w:sz w:val="20"/>
        </w:rPr>
        <w:t> </w:t>
      </w:r>
      <w:r>
        <w:rPr>
          <w:sz w:val="20"/>
        </w:rPr>
        <w:t>with</w:t>
      </w:r>
      <w:r>
        <w:rPr>
          <w:spacing w:val="-16"/>
          <w:sz w:val="20"/>
        </w:rPr>
        <w:t> </w:t>
      </w:r>
      <w:r>
        <w:rPr>
          <w:sz w:val="20"/>
        </w:rPr>
        <w:t>precision.</w:t>
      </w:r>
      <w:r>
        <w:rPr>
          <w:spacing w:val="-17"/>
          <w:sz w:val="20"/>
        </w:rPr>
        <w:t> </w:t>
      </w:r>
      <w:r>
        <w:rPr>
          <w:sz w:val="20"/>
        </w:rPr>
        <w:t>For</w:t>
      </w:r>
      <w:r>
        <w:rPr>
          <w:spacing w:val="-14"/>
          <w:sz w:val="20"/>
        </w:rPr>
        <w:t> </w:t>
      </w:r>
      <w:r>
        <w:rPr>
          <w:sz w:val="20"/>
        </w:rPr>
        <w:t>example, the client businesses may procure their cloud computing service through one entity, and the service can then be configured for use by any number of employees throughout the world in conjunction with the business’ internal IT system, and the access to the service may be through a central VPN. The sourcing rule</w:t>
      </w:r>
      <w:r>
        <w:rPr>
          <w:spacing w:val="-7"/>
          <w:sz w:val="20"/>
        </w:rPr>
        <w:t> </w:t>
      </w:r>
      <w:r>
        <w:rPr>
          <w:sz w:val="20"/>
        </w:rPr>
        <w:t>is</w:t>
      </w:r>
      <w:r>
        <w:rPr>
          <w:spacing w:val="-5"/>
          <w:sz w:val="20"/>
        </w:rPr>
        <w:t> </w:t>
      </w:r>
      <w:r>
        <w:rPr>
          <w:sz w:val="20"/>
        </w:rPr>
        <w:t>the</w:t>
      </w:r>
      <w:r>
        <w:rPr>
          <w:spacing w:val="-6"/>
          <w:sz w:val="20"/>
        </w:rPr>
        <w:t> </w:t>
      </w:r>
      <w:r>
        <w:rPr>
          <w:sz w:val="20"/>
        </w:rPr>
        <w:t>location</w:t>
      </w:r>
      <w:r>
        <w:rPr>
          <w:spacing w:val="-5"/>
          <w:sz w:val="20"/>
        </w:rPr>
        <w:t> </w:t>
      </w:r>
      <w:r>
        <w:rPr>
          <w:sz w:val="20"/>
        </w:rPr>
        <w:t>where</w:t>
      </w:r>
      <w:r>
        <w:rPr>
          <w:spacing w:val="-6"/>
          <w:sz w:val="20"/>
        </w:rPr>
        <w:t> </w:t>
      </w:r>
      <w:r>
        <w:rPr>
          <w:sz w:val="20"/>
        </w:rPr>
        <w:t>the</w:t>
      </w:r>
      <w:r>
        <w:rPr>
          <w:spacing w:val="-8"/>
          <w:sz w:val="20"/>
        </w:rPr>
        <w:t> </w:t>
      </w:r>
      <w:r>
        <w:rPr>
          <w:sz w:val="20"/>
        </w:rPr>
        <w:t>business</w:t>
      </w:r>
      <w:r>
        <w:rPr>
          <w:spacing w:val="-8"/>
          <w:sz w:val="20"/>
        </w:rPr>
        <w:t> </w:t>
      </w:r>
      <w:r>
        <w:rPr>
          <w:sz w:val="20"/>
        </w:rPr>
        <w:t>customer</w:t>
      </w:r>
      <w:r>
        <w:rPr>
          <w:spacing w:val="-7"/>
          <w:sz w:val="20"/>
        </w:rPr>
        <w:t> </w:t>
      </w:r>
      <w:r>
        <w:rPr>
          <w:sz w:val="20"/>
        </w:rPr>
        <w:t>uses</w:t>
      </w:r>
      <w:r>
        <w:rPr>
          <w:spacing w:val="-8"/>
          <w:sz w:val="20"/>
        </w:rPr>
        <w:t> </w:t>
      </w:r>
      <w:r>
        <w:rPr>
          <w:sz w:val="20"/>
        </w:rPr>
        <w:t>the</w:t>
      </w:r>
      <w:r>
        <w:rPr>
          <w:spacing w:val="-8"/>
          <w:sz w:val="20"/>
        </w:rPr>
        <w:t> </w:t>
      </w:r>
      <w:r>
        <w:rPr>
          <w:sz w:val="20"/>
        </w:rPr>
        <w:t>service.</w:t>
      </w:r>
      <w:r>
        <w:rPr>
          <w:spacing w:val="-7"/>
          <w:sz w:val="20"/>
        </w:rPr>
        <w:t> </w:t>
      </w:r>
      <w:r>
        <w:rPr>
          <w:sz w:val="20"/>
        </w:rPr>
        <w:t>The</w:t>
      </w:r>
      <w:r>
        <w:rPr>
          <w:spacing w:val="-6"/>
          <w:sz w:val="20"/>
        </w:rPr>
        <w:t> </w:t>
      </w:r>
      <w:r>
        <w:rPr>
          <w:sz w:val="20"/>
        </w:rPr>
        <w:t>hierarchy</w:t>
      </w:r>
      <w:r>
        <w:rPr>
          <w:spacing w:val="-10"/>
          <w:sz w:val="20"/>
        </w:rPr>
        <w:t> </w:t>
      </w:r>
      <w:r>
        <w:rPr>
          <w:sz w:val="20"/>
        </w:rPr>
        <w:t>of</w:t>
      </w:r>
      <w:r>
        <w:rPr>
          <w:spacing w:val="-6"/>
          <w:sz w:val="20"/>
        </w:rPr>
        <w:t> </w:t>
      </w:r>
      <w:r>
        <w:rPr>
          <w:sz w:val="20"/>
        </w:rPr>
        <w:t>indicators</w:t>
      </w:r>
      <w:r>
        <w:rPr>
          <w:spacing w:val="-7"/>
          <w:sz w:val="20"/>
        </w:rPr>
        <w:t> </w:t>
      </w:r>
      <w:r>
        <w:rPr>
          <w:sz w:val="20"/>
        </w:rPr>
        <w:t>looks</w:t>
      </w:r>
      <w:r>
        <w:rPr>
          <w:spacing w:val="-7"/>
          <w:sz w:val="20"/>
        </w:rPr>
        <w:t> </w:t>
      </w:r>
      <w:r>
        <w:rPr>
          <w:sz w:val="20"/>
        </w:rPr>
        <w:t>first</w:t>
      </w:r>
      <w:r>
        <w:rPr>
          <w:spacing w:val="-9"/>
          <w:sz w:val="20"/>
        </w:rPr>
        <w:t> </w:t>
      </w:r>
      <w:r>
        <w:rPr>
          <w:sz w:val="20"/>
        </w:rPr>
        <w:t>to information reported by the customer, as this is likely to be the most reliable, and the most efficient, way of obtaining this</w:t>
      </w:r>
      <w:r>
        <w:rPr>
          <w:spacing w:val="-2"/>
          <w:sz w:val="20"/>
        </w:rPr>
        <w:t> </w:t>
      </w:r>
      <w:r>
        <w:rPr>
          <w:sz w:val="20"/>
        </w:rPr>
        <w:t>information.</w:t>
      </w:r>
    </w:p>
    <w:p>
      <w:pPr>
        <w:pStyle w:val="ListParagraph"/>
        <w:numPr>
          <w:ilvl w:val="0"/>
          <w:numId w:val="13"/>
        </w:numPr>
        <w:tabs>
          <w:tab w:pos="1444" w:val="left" w:leader="none"/>
        </w:tabs>
        <w:spacing w:line="271" w:lineRule="auto" w:before="122" w:after="0"/>
        <w:ind w:left="723" w:right="485" w:firstLine="0"/>
        <w:jc w:val="both"/>
        <w:rPr>
          <w:sz w:val="20"/>
        </w:rPr>
      </w:pPr>
      <w:r>
        <w:rPr>
          <w:sz w:val="20"/>
        </w:rPr>
        <w:t>Alternatively,</w:t>
      </w:r>
      <w:r>
        <w:rPr>
          <w:spacing w:val="-8"/>
          <w:sz w:val="20"/>
        </w:rPr>
        <w:t> </w:t>
      </w:r>
      <w:r>
        <w:rPr>
          <w:sz w:val="20"/>
        </w:rPr>
        <w:t>the</w:t>
      </w:r>
      <w:r>
        <w:rPr>
          <w:spacing w:val="-9"/>
          <w:sz w:val="20"/>
        </w:rPr>
        <w:t> </w:t>
      </w:r>
      <w:r>
        <w:rPr>
          <w:sz w:val="20"/>
        </w:rPr>
        <w:t>cloud</w:t>
      </w:r>
      <w:r>
        <w:rPr>
          <w:spacing w:val="-8"/>
          <w:sz w:val="20"/>
        </w:rPr>
        <w:t> </w:t>
      </w:r>
      <w:r>
        <w:rPr>
          <w:sz w:val="20"/>
        </w:rPr>
        <w:t>computing</w:t>
      </w:r>
      <w:r>
        <w:rPr>
          <w:spacing w:val="-7"/>
          <w:sz w:val="20"/>
        </w:rPr>
        <w:t> </w:t>
      </w:r>
      <w:r>
        <w:rPr>
          <w:sz w:val="20"/>
        </w:rPr>
        <w:t>service</w:t>
      </w:r>
      <w:r>
        <w:rPr>
          <w:spacing w:val="-8"/>
          <w:sz w:val="20"/>
        </w:rPr>
        <w:t> </w:t>
      </w:r>
      <w:r>
        <w:rPr>
          <w:sz w:val="20"/>
        </w:rPr>
        <w:t>provider</w:t>
      </w:r>
      <w:r>
        <w:rPr>
          <w:spacing w:val="-8"/>
          <w:sz w:val="20"/>
        </w:rPr>
        <w:t> </w:t>
      </w:r>
      <w:r>
        <w:rPr>
          <w:sz w:val="20"/>
        </w:rPr>
        <w:t>is</w:t>
      </w:r>
      <w:r>
        <w:rPr>
          <w:spacing w:val="-6"/>
          <w:sz w:val="20"/>
        </w:rPr>
        <w:t> </w:t>
      </w:r>
      <w:r>
        <w:rPr>
          <w:sz w:val="20"/>
        </w:rPr>
        <w:t>required</w:t>
      </w:r>
      <w:r>
        <w:rPr>
          <w:spacing w:val="-9"/>
          <w:sz w:val="20"/>
        </w:rPr>
        <w:t> </w:t>
      </w:r>
      <w:r>
        <w:rPr>
          <w:sz w:val="20"/>
        </w:rPr>
        <w:t>to</w:t>
      </w:r>
      <w:r>
        <w:rPr>
          <w:spacing w:val="-8"/>
          <w:sz w:val="20"/>
        </w:rPr>
        <w:t> </w:t>
      </w:r>
      <w:r>
        <w:rPr>
          <w:sz w:val="20"/>
        </w:rPr>
        <w:t>identify</w:t>
      </w:r>
      <w:r>
        <w:rPr>
          <w:spacing w:val="-12"/>
          <w:sz w:val="20"/>
        </w:rPr>
        <w:t> </w:t>
      </w:r>
      <w:r>
        <w:rPr>
          <w:sz w:val="20"/>
        </w:rPr>
        <w:t>the</w:t>
      </w:r>
      <w:r>
        <w:rPr>
          <w:spacing w:val="-3"/>
          <w:sz w:val="20"/>
        </w:rPr>
        <w:t> </w:t>
      </w:r>
      <w:r>
        <w:rPr>
          <w:sz w:val="20"/>
        </w:rPr>
        <w:t>jurisdiction</w:t>
      </w:r>
      <w:r>
        <w:rPr>
          <w:spacing w:val="-6"/>
          <w:sz w:val="20"/>
        </w:rPr>
        <w:t> </w:t>
      </w:r>
      <w:r>
        <w:rPr>
          <w:sz w:val="20"/>
        </w:rPr>
        <w:t>where</w:t>
      </w:r>
      <w:r>
        <w:rPr>
          <w:spacing w:val="-9"/>
          <w:sz w:val="20"/>
        </w:rPr>
        <w:t> </w:t>
      </w:r>
      <w:r>
        <w:rPr>
          <w:sz w:val="20"/>
        </w:rPr>
        <w:t>the business has operations, using information available from its business agreement with the customer and any</w:t>
      </w:r>
      <w:r>
        <w:rPr>
          <w:spacing w:val="-15"/>
          <w:sz w:val="20"/>
        </w:rPr>
        <w:t> </w:t>
      </w:r>
      <w:r>
        <w:rPr>
          <w:sz w:val="20"/>
        </w:rPr>
        <w:t>records</w:t>
      </w:r>
      <w:r>
        <w:rPr>
          <w:spacing w:val="-10"/>
          <w:sz w:val="20"/>
        </w:rPr>
        <w:t> </w:t>
      </w:r>
      <w:r>
        <w:rPr>
          <w:sz w:val="20"/>
        </w:rPr>
        <w:t>collected</w:t>
      </w:r>
      <w:r>
        <w:rPr>
          <w:spacing w:val="-11"/>
          <w:sz w:val="20"/>
        </w:rPr>
        <w:t> </w:t>
      </w:r>
      <w:r>
        <w:rPr>
          <w:sz w:val="20"/>
        </w:rPr>
        <w:t>for</w:t>
      </w:r>
      <w:r>
        <w:rPr>
          <w:spacing w:val="-11"/>
          <w:sz w:val="20"/>
        </w:rPr>
        <w:t> </w:t>
      </w:r>
      <w:r>
        <w:rPr>
          <w:sz w:val="20"/>
        </w:rPr>
        <w:t>tax</w:t>
      </w:r>
      <w:r>
        <w:rPr>
          <w:spacing w:val="-10"/>
          <w:sz w:val="20"/>
        </w:rPr>
        <w:t> </w:t>
      </w:r>
      <w:r>
        <w:rPr>
          <w:sz w:val="20"/>
        </w:rPr>
        <w:t>purposes</w:t>
      </w:r>
      <w:r>
        <w:rPr>
          <w:spacing w:val="-9"/>
          <w:sz w:val="20"/>
        </w:rPr>
        <w:t> </w:t>
      </w:r>
      <w:r>
        <w:rPr>
          <w:sz w:val="20"/>
        </w:rPr>
        <w:t>to</w:t>
      </w:r>
      <w:r>
        <w:rPr>
          <w:spacing w:val="-12"/>
          <w:sz w:val="20"/>
        </w:rPr>
        <w:t> </w:t>
      </w:r>
      <w:r>
        <w:rPr>
          <w:sz w:val="20"/>
        </w:rPr>
        <w:t>determine</w:t>
      </w:r>
      <w:r>
        <w:rPr>
          <w:spacing w:val="-11"/>
          <w:sz w:val="20"/>
        </w:rPr>
        <w:t> </w:t>
      </w:r>
      <w:r>
        <w:rPr>
          <w:sz w:val="20"/>
        </w:rPr>
        <w:t>the</w:t>
      </w:r>
      <w:r>
        <w:rPr>
          <w:spacing w:val="-9"/>
          <w:sz w:val="20"/>
        </w:rPr>
        <w:t> </w:t>
      </w:r>
      <w:r>
        <w:rPr>
          <w:sz w:val="20"/>
        </w:rPr>
        <w:t>jurisdiction(s).</w:t>
      </w:r>
      <w:r>
        <w:rPr>
          <w:spacing w:val="-16"/>
          <w:sz w:val="20"/>
        </w:rPr>
        <w:t> </w:t>
      </w:r>
      <w:r>
        <w:rPr>
          <w:sz w:val="20"/>
        </w:rPr>
        <w:t>Where</w:t>
      </w:r>
      <w:r>
        <w:rPr>
          <w:spacing w:val="-11"/>
          <w:sz w:val="20"/>
        </w:rPr>
        <w:t> </w:t>
      </w:r>
      <w:r>
        <w:rPr>
          <w:sz w:val="20"/>
        </w:rPr>
        <w:t>the</w:t>
      </w:r>
      <w:r>
        <w:rPr>
          <w:spacing w:val="-12"/>
          <w:sz w:val="20"/>
        </w:rPr>
        <w:t> </w:t>
      </w:r>
      <w:r>
        <w:rPr>
          <w:sz w:val="20"/>
        </w:rPr>
        <w:t>customer</w:t>
      </w:r>
      <w:r>
        <w:rPr>
          <w:spacing w:val="-10"/>
          <w:sz w:val="20"/>
        </w:rPr>
        <w:t> </w:t>
      </w:r>
      <w:r>
        <w:rPr>
          <w:sz w:val="20"/>
        </w:rPr>
        <w:t>has</w:t>
      </w:r>
      <w:r>
        <w:rPr>
          <w:spacing w:val="-10"/>
          <w:sz w:val="20"/>
        </w:rPr>
        <w:t> </w:t>
      </w:r>
      <w:r>
        <w:rPr>
          <w:sz w:val="20"/>
        </w:rPr>
        <w:t>operations in more than one jurisdiction, the MNE must make a fair and reasonable apportionment between those jurisdictions, for example, based on information on relative size of the operations. If this is not practical to do, an equal apportionment between each jurisdiction can be</w:t>
      </w:r>
      <w:r>
        <w:rPr>
          <w:spacing w:val="-11"/>
          <w:sz w:val="20"/>
        </w:rPr>
        <w:t> </w:t>
      </w:r>
      <w:r>
        <w:rPr>
          <w:sz w:val="20"/>
        </w:rPr>
        <w:t>used.</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If this information is not reasonably available, then the service provider can use other location information</w:t>
      </w:r>
      <w:r>
        <w:rPr>
          <w:spacing w:val="-12"/>
          <w:sz w:val="20"/>
        </w:rPr>
        <w:t> </w:t>
      </w:r>
      <w:r>
        <w:rPr>
          <w:sz w:val="20"/>
        </w:rPr>
        <w:t>that</w:t>
      </w:r>
      <w:r>
        <w:rPr>
          <w:spacing w:val="-8"/>
          <w:sz w:val="20"/>
        </w:rPr>
        <w:t> </w:t>
      </w:r>
      <w:r>
        <w:rPr>
          <w:sz w:val="20"/>
        </w:rPr>
        <w:t>can</w:t>
      </w:r>
      <w:r>
        <w:rPr>
          <w:spacing w:val="-9"/>
          <w:sz w:val="20"/>
        </w:rPr>
        <w:t> </w:t>
      </w:r>
      <w:r>
        <w:rPr>
          <w:sz w:val="20"/>
        </w:rPr>
        <w:t>be</w:t>
      </w:r>
      <w:r>
        <w:rPr>
          <w:spacing w:val="-9"/>
          <w:sz w:val="20"/>
        </w:rPr>
        <w:t> </w:t>
      </w:r>
      <w:r>
        <w:rPr>
          <w:sz w:val="20"/>
        </w:rPr>
        <w:t>used</w:t>
      </w:r>
      <w:r>
        <w:rPr>
          <w:spacing w:val="-11"/>
          <w:sz w:val="20"/>
        </w:rPr>
        <w:t> </w:t>
      </w:r>
      <w:r>
        <w:rPr>
          <w:sz w:val="20"/>
        </w:rPr>
        <w:t>to</w:t>
      </w:r>
      <w:r>
        <w:rPr>
          <w:spacing w:val="-8"/>
          <w:sz w:val="20"/>
        </w:rPr>
        <w:t> </w:t>
      </w:r>
      <w:r>
        <w:rPr>
          <w:sz w:val="20"/>
        </w:rPr>
        <w:t>locate</w:t>
      </w:r>
      <w:r>
        <w:rPr>
          <w:spacing w:val="-11"/>
          <w:sz w:val="20"/>
        </w:rPr>
        <w:t> </w:t>
      </w:r>
      <w:r>
        <w:rPr>
          <w:sz w:val="20"/>
        </w:rPr>
        <w:t>the</w:t>
      </w:r>
      <w:r>
        <w:rPr>
          <w:spacing w:val="-10"/>
          <w:sz w:val="20"/>
        </w:rPr>
        <w:t> </w:t>
      </w:r>
      <w:r>
        <w:rPr>
          <w:sz w:val="20"/>
        </w:rPr>
        <w:t>end-users</w:t>
      </w:r>
      <w:r>
        <w:rPr>
          <w:spacing w:val="-8"/>
          <w:sz w:val="20"/>
        </w:rPr>
        <w:t> </w:t>
      </w:r>
      <w:r>
        <w:rPr>
          <w:sz w:val="20"/>
        </w:rPr>
        <w:t>of</w:t>
      </w:r>
      <w:r>
        <w:rPr>
          <w:spacing w:val="-6"/>
          <w:sz w:val="20"/>
        </w:rPr>
        <w:t> </w:t>
      </w:r>
      <w:r>
        <w:rPr>
          <w:sz w:val="20"/>
        </w:rPr>
        <w:t>the</w:t>
      </w:r>
      <w:r>
        <w:rPr>
          <w:spacing w:val="-9"/>
          <w:sz w:val="20"/>
        </w:rPr>
        <w:t> </w:t>
      </w:r>
      <w:r>
        <w:rPr>
          <w:sz w:val="20"/>
        </w:rPr>
        <w:t>cloud</w:t>
      </w:r>
      <w:r>
        <w:rPr>
          <w:spacing w:val="-11"/>
          <w:sz w:val="20"/>
        </w:rPr>
        <w:t> </w:t>
      </w:r>
      <w:r>
        <w:rPr>
          <w:sz w:val="20"/>
        </w:rPr>
        <w:t>service,</w:t>
      </w:r>
      <w:r>
        <w:rPr>
          <w:spacing w:val="-9"/>
          <w:sz w:val="20"/>
        </w:rPr>
        <w:t> </w:t>
      </w:r>
      <w:r>
        <w:rPr>
          <w:sz w:val="20"/>
        </w:rPr>
        <w:t>namely</w:t>
      </w:r>
      <w:r>
        <w:rPr>
          <w:spacing w:val="-11"/>
          <w:sz w:val="20"/>
        </w:rPr>
        <w:t> </w:t>
      </w:r>
      <w:r>
        <w:rPr>
          <w:sz w:val="20"/>
        </w:rPr>
        <w:t>the</w:t>
      </w:r>
      <w:r>
        <w:rPr>
          <w:spacing w:val="-11"/>
          <w:sz w:val="20"/>
        </w:rPr>
        <w:t> </w:t>
      </w:r>
      <w:r>
        <w:rPr>
          <w:sz w:val="20"/>
        </w:rPr>
        <w:t>business’</w:t>
      </w:r>
      <w:r>
        <w:rPr>
          <w:spacing w:val="-11"/>
          <w:sz w:val="20"/>
        </w:rPr>
        <w:t> </w:t>
      </w:r>
      <w:r>
        <w:rPr>
          <w:sz w:val="20"/>
        </w:rPr>
        <w:t>employees that use the</w:t>
      </w:r>
      <w:r>
        <w:rPr>
          <w:spacing w:val="-2"/>
          <w:sz w:val="20"/>
        </w:rPr>
        <w:t> </w:t>
      </w:r>
      <w:r>
        <w:rPr>
          <w:sz w:val="20"/>
        </w:rPr>
        <w:t>service.</w:t>
      </w:r>
    </w:p>
    <w:p>
      <w:pPr>
        <w:pStyle w:val="BodyText"/>
        <w:spacing w:before="5"/>
        <w:rPr>
          <w:sz w:val="23"/>
        </w:rPr>
      </w:pPr>
    </w:p>
    <w:p>
      <w:pPr>
        <w:pStyle w:val="Heading6"/>
        <w:numPr>
          <w:ilvl w:val="2"/>
          <w:numId w:val="19"/>
        </w:numPr>
        <w:tabs>
          <w:tab w:pos="2015" w:val="left" w:leader="none"/>
        </w:tabs>
        <w:spacing w:line="240" w:lineRule="auto" w:before="1" w:after="0"/>
        <w:ind w:left="2014" w:right="0" w:hanging="613"/>
        <w:jc w:val="left"/>
        <w:rPr>
          <w:i/>
        </w:rPr>
      </w:pPr>
      <w:bookmarkStart w:name="4.3.3. Guidance on consumer-facing busin" w:id="177"/>
      <w:bookmarkEnd w:id="177"/>
      <w:r>
        <w:rPr>
          <w:b w:val="0"/>
          <w:i w:val="0"/>
        </w:rPr>
      </w:r>
      <w:bookmarkStart w:name="4.3.3. Guidance on consumer-facing busin" w:id="178"/>
      <w:bookmarkEnd w:id="178"/>
      <w:r>
        <w:rPr>
          <w:i/>
        </w:rPr>
        <w:t>Guida</w:t>
      </w:r>
      <w:r>
        <w:rPr>
          <w:i/>
        </w:rPr>
        <w:t>nce on consumer-facing</w:t>
      </w:r>
      <w:r>
        <w:rPr>
          <w:i/>
          <w:spacing w:val="-3"/>
        </w:rPr>
        <w:t> </w:t>
      </w:r>
      <w:r>
        <w:rPr>
          <w:i/>
        </w:rPr>
        <w:t>business</w:t>
      </w:r>
    </w:p>
    <w:p>
      <w:pPr>
        <w:pStyle w:val="BodyText"/>
        <w:spacing w:before="10"/>
        <w:rPr>
          <w:b/>
          <w:i/>
          <w:sz w:val="18"/>
        </w:rPr>
      </w:pPr>
    </w:p>
    <w:p>
      <w:pPr>
        <w:pStyle w:val="ListParagraph"/>
        <w:numPr>
          <w:ilvl w:val="0"/>
          <w:numId w:val="13"/>
        </w:numPr>
        <w:tabs>
          <w:tab w:pos="1444" w:val="left" w:leader="none"/>
        </w:tabs>
        <w:spacing w:line="273" w:lineRule="auto" w:before="0" w:after="0"/>
        <w:ind w:left="723" w:right="483" w:firstLine="0"/>
        <w:jc w:val="both"/>
        <w:rPr>
          <w:sz w:val="20"/>
        </w:rPr>
      </w:pPr>
      <w:r>
        <w:rPr>
          <w:sz w:val="20"/>
        </w:rPr>
        <w:t>This section of the Commentary provides a summary of the sourcing rules for CFB and sets out how the indicators</w:t>
      </w:r>
      <w:r>
        <w:rPr>
          <w:spacing w:val="-4"/>
          <w:sz w:val="20"/>
        </w:rPr>
        <w:t> </w:t>
      </w:r>
      <w:r>
        <w:rPr>
          <w:sz w:val="20"/>
        </w:rPr>
        <w:t>apply.</w:t>
      </w:r>
    </w:p>
    <w:p>
      <w:pPr>
        <w:pStyle w:val="BodyText"/>
        <w:spacing w:before="9"/>
        <w:rPr>
          <w:sz w:val="19"/>
        </w:rPr>
      </w:pPr>
    </w:p>
    <w:p>
      <w:pPr>
        <w:pStyle w:val="Heading7"/>
        <w:rPr>
          <w:i/>
        </w:rPr>
      </w:pPr>
      <w:bookmarkStart w:name="Revenue from consumer-facing goods sold " w:id="179"/>
      <w:bookmarkEnd w:id="179"/>
      <w:r>
        <w:rPr>
          <w:i w:val="0"/>
        </w:rPr>
      </w:r>
      <w:r>
        <w:rPr>
          <w:i/>
          <w:color w:val="616161"/>
        </w:rPr>
        <w:t>Revenue from consumer-facing goods sold directly to consumers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Consumer-facing goods are usually finished goods, but can also include component parts, if sold directly</w:t>
      </w:r>
      <w:r>
        <w:rPr>
          <w:spacing w:val="-16"/>
          <w:sz w:val="20"/>
        </w:rPr>
        <w:t> </w:t>
      </w:r>
      <w:r>
        <w:rPr>
          <w:sz w:val="20"/>
        </w:rPr>
        <w:t>by</w:t>
      </w:r>
      <w:r>
        <w:rPr>
          <w:spacing w:val="-16"/>
          <w:sz w:val="20"/>
        </w:rPr>
        <w:t> </w:t>
      </w:r>
      <w:r>
        <w:rPr>
          <w:sz w:val="20"/>
        </w:rPr>
        <w:t>the</w:t>
      </w:r>
      <w:r>
        <w:rPr>
          <w:spacing w:val="-13"/>
          <w:sz w:val="20"/>
        </w:rPr>
        <w:t> </w:t>
      </w:r>
      <w:r>
        <w:rPr>
          <w:sz w:val="20"/>
        </w:rPr>
        <w:t>MNE</w:t>
      </w:r>
      <w:r>
        <w:rPr>
          <w:spacing w:val="-13"/>
          <w:sz w:val="20"/>
        </w:rPr>
        <w:t> </w:t>
      </w:r>
      <w:r>
        <w:rPr>
          <w:sz w:val="20"/>
        </w:rPr>
        <w:t>to</w:t>
      </w:r>
      <w:r>
        <w:rPr>
          <w:spacing w:val="-13"/>
          <w:sz w:val="20"/>
        </w:rPr>
        <w:t> </w:t>
      </w:r>
      <w:r>
        <w:rPr>
          <w:sz w:val="20"/>
        </w:rPr>
        <w:t>the</w:t>
      </w:r>
      <w:r>
        <w:rPr>
          <w:spacing w:val="-13"/>
          <w:sz w:val="20"/>
        </w:rPr>
        <w:t> </w:t>
      </w:r>
      <w:r>
        <w:rPr>
          <w:sz w:val="20"/>
        </w:rPr>
        <w:t>end-customer</w:t>
      </w:r>
      <w:r>
        <w:rPr>
          <w:spacing w:val="-13"/>
          <w:sz w:val="20"/>
        </w:rPr>
        <w:t> </w:t>
      </w:r>
      <w:r>
        <w:rPr>
          <w:sz w:val="20"/>
        </w:rPr>
        <w:t>(e.g.</w:t>
      </w:r>
      <w:r>
        <w:rPr>
          <w:spacing w:val="-13"/>
          <w:sz w:val="20"/>
        </w:rPr>
        <w:t> </w:t>
      </w:r>
      <w:r>
        <w:rPr>
          <w:sz w:val="20"/>
        </w:rPr>
        <w:t>replacement</w:t>
      </w:r>
      <w:r>
        <w:rPr>
          <w:spacing w:val="-13"/>
          <w:sz w:val="20"/>
        </w:rPr>
        <w:t> </w:t>
      </w:r>
      <w:r>
        <w:rPr>
          <w:sz w:val="20"/>
        </w:rPr>
        <w:t>parts).</w:t>
      </w:r>
      <w:r>
        <w:rPr>
          <w:spacing w:val="-13"/>
          <w:sz w:val="20"/>
        </w:rPr>
        <w:t> </w:t>
      </w:r>
      <w:r>
        <w:rPr>
          <w:sz w:val="20"/>
        </w:rPr>
        <w:t>In</w:t>
      </w:r>
      <w:r>
        <w:rPr>
          <w:spacing w:val="-13"/>
          <w:sz w:val="20"/>
        </w:rPr>
        <w:t> </w:t>
      </w:r>
      <w:r>
        <w:rPr>
          <w:sz w:val="20"/>
        </w:rPr>
        <w:t>many</w:t>
      </w:r>
      <w:r>
        <w:rPr>
          <w:spacing w:val="-16"/>
          <w:sz w:val="20"/>
        </w:rPr>
        <w:t> </w:t>
      </w:r>
      <w:r>
        <w:rPr>
          <w:sz w:val="20"/>
        </w:rPr>
        <w:t>cases,</w:t>
      </w:r>
      <w:r>
        <w:rPr>
          <w:spacing w:val="-13"/>
          <w:sz w:val="20"/>
        </w:rPr>
        <w:t> </w:t>
      </w:r>
      <w:r>
        <w:rPr>
          <w:sz w:val="20"/>
        </w:rPr>
        <w:t>tangible</w:t>
      </w:r>
      <w:r>
        <w:rPr>
          <w:spacing w:val="-13"/>
          <w:sz w:val="20"/>
        </w:rPr>
        <w:t> </w:t>
      </w:r>
      <w:r>
        <w:rPr>
          <w:sz w:val="20"/>
        </w:rPr>
        <w:t>goods</w:t>
      </w:r>
      <w:r>
        <w:rPr>
          <w:spacing w:val="-11"/>
          <w:sz w:val="20"/>
        </w:rPr>
        <w:t> </w:t>
      </w:r>
      <w:r>
        <w:rPr>
          <w:sz w:val="20"/>
        </w:rPr>
        <w:t>are</w:t>
      </w:r>
      <w:r>
        <w:rPr>
          <w:spacing w:val="-12"/>
          <w:sz w:val="20"/>
        </w:rPr>
        <w:t> </w:t>
      </w:r>
      <w:r>
        <w:rPr>
          <w:sz w:val="20"/>
        </w:rPr>
        <w:t>made available to a customer directly through a retail store or by shipping directly to the customer. Consumer- facing goods can be made available directly at a storefront or can be purchased online and delivered to the customer’s delivery address. The sourcing rule is the place of final delivery to the</w:t>
      </w:r>
      <w:r>
        <w:rPr>
          <w:spacing w:val="-28"/>
          <w:sz w:val="20"/>
        </w:rPr>
        <w:t> </w:t>
      </w:r>
      <w:r>
        <w:rPr>
          <w:sz w:val="20"/>
        </w:rPr>
        <w:t>customer.</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79" w:firstLine="0"/>
        <w:jc w:val="both"/>
        <w:rPr>
          <w:sz w:val="20"/>
        </w:rPr>
      </w:pPr>
      <w:r>
        <w:rPr>
          <w:sz w:val="20"/>
        </w:rPr>
        <w:t>The indicators apply to two different circumstances. The first one is where the MNE sells through its</w:t>
      </w:r>
      <w:r>
        <w:rPr>
          <w:spacing w:val="-8"/>
          <w:sz w:val="20"/>
        </w:rPr>
        <w:t> </w:t>
      </w:r>
      <w:r>
        <w:rPr>
          <w:sz w:val="20"/>
        </w:rPr>
        <w:t>own</w:t>
      </w:r>
      <w:r>
        <w:rPr>
          <w:spacing w:val="-8"/>
          <w:sz w:val="20"/>
        </w:rPr>
        <w:t> </w:t>
      </w:r>
      <w:r>
        <w:rPr>
          <w:sz w:val="20"/>
        </w:rPr>
        <w:t>retail</w:t>
      </w:r>
      <w:r>
        <w:rPr>
          <w:spacing w:val="-9"/>
          <w:sz w:val="20"/>
        </w:rPr>
        <w:t> </w:t>
      </w:r>
      <w:r>
        <w:rPr>
          <w:sz w:val="20"/>
        </w:rPr>
        <w:t>store,</w:t>
      </w:r>
      <w:r>
        <w:rPr>
          <w:spacing w:val="-6"/>
          <w:sz w:val="20"/>
        </w:rPr>
        <w:t> </w:t>
      </w:r>
      <w:r>
        <w:rPr>
          <w:sz w:val="20"/>
        </w:rPr>
        <w:t>in</w:t>
      </w:r>
      <w:r>
        <w:rPr>
          <w:spacing w:val="-6"/>
          <w:sz w:val="20"/>
        </w:rPr>
        <w:t> </w:t>
      </w:r>
      <w:r>
        <w:rPr>
          <w:sz w:val="20"/>
        </w:rPr>
        <w:t>which</w:t>
      </w:r>
      <w:r>
        <w:rPr>
          <w:spacing w:val="-7"/>
          <w:sz w:val="20"/>
        </w:rPr>
        <w:t> </w:t>
      </w:r>
      <w:r>
        <w:rPr>
          <w:sz w:val="20"/>
        </w:rPr>
        <w:t>case</w:t>
      </w:r>
      <w:r>
        <w:rPr>
          <w:spacing w:val="-8"/>
          <w:sz w:val="20"/>
        </w:rPr>
        <w:t> </w:t>
      </w:r>
      <w:r>
        <w:rPr>
          <w:sz w:val="20"/>
        </w:rPr>
        <w:t>the</w:t>
      </w:r>
      <w:r>
        <w:rPr>
          <w:spacing w:val="-8"/>
          <w:sz w:val="20"/>
        </w:rPr>
        <w:t> </w:t>
      </w:r>
      <w:r>
        <w:rPr>
          <w:sz w:val="20"/>
        </w:rPr>
        <w:t>final</w:t>
      </w:r>
      <w:r>
        <w:rPr>
          <w:spacing w:val="-9"/>
          <w:sz w:val="20"/>
        </w:rPr>
        <w:t> </w:t>
      </w:r>
      <w:r>
        <w:rPr>
          <w:sz w:val="20"/>
        </w:rPr>
        <w:t>delivery</w:t>
      </w:r>
      <w:r>
        <w:rPr>
          <w:spacing w:val="-12"/>
          <w:sz w:val="20"/>
        </w:rPr>
        <w:t> </w:t>
      </w:r>
      <w:r>
        <w:rPr>
          <w:sz w:val="20"/>
        </w:rPr>
        <w:t>is</w:t>
      </w:r>
      <w:r>
        <w:rPr>
          <w:spacing w:val="-7"/>
          <w:sz w:val="20"/>
        </w:rPr>
        <w:t> </w:t>
      </w:r>
      <w:r>
        <w:rPr>
          <w:sz w:val="20"/>
        </w:rPr>
        <w:t>the</w:t>
      </w:r>
      <w:r>
        <w:rPr>
          <w:spacing w:val="-8"/>
          <w:sz w:val="20"/>
        </w:rPr>
        <w:t> </w:t>
      </w:r>
      <w:r>
        <w:rPr>
          <w:sz w:val="20"/>
        </w:rPr>
        <w:t>location</w:t>
      </w:r>
      <w:r>
        <w:rPr>
          <w:spacing w:val="-8"/>
          <w:sz w:val="20"/>
        </w:rPr>
        <w:t> </w:t>
      </w:r>
      <w:r>
        <w:rPr>
          <w:sz w:val="20"/>
        </w:rPr>
        <w:t>of</w:t>
      </w:r>
      <w:r>
        <w:rPr>
          <w:spacing w:val="-7"/>
          <w:sz w:val="20"/>
        </w:rPr>
        <w:t> </w:t>
      </w:r>
      <w:r>
        <w:rPr>
          <w:sz w:val="20"/>
        </w:rPr>
        <w:t>the</w:t>
      </w:r>
      <w:r>
        <w:rPr>
          <w:spacing w:val="-8"/>
          <w:sz w:val="20"/>
        </w:rPr>
        <w:t> </w:t>
      </w:r>
      <w:r>
        <w:rPr>
          <w:sz w:val="20"/>
        </w:rPr>
        <w:t>storefront</w:t>
      </w:r>
      <w:r>
        <w:rPr>
          <w:spacing w:val="-8"/>
          <w:sz w:val="20"/>
        </w:rPr>
        <w:t> </w:t>
      </w:r>
      <w:r>
        <w:rPr>
          <w:sz w:val="20"/>
        </w:rPr>
        <w:t>(being</w:t>
      </w:r>
      <w:r>
        <w:rPr>
          <w:spacing w:val="-9"/>
          <w:sz w:val="20"/>
        </w:rPr>
        <w:t> </w:t>
      </w:r>
      <w:r>
        <w:rPr>
          <w:sz w:val="20"/>
        </w:rPr>
        <w:t>the</w:t>
      </w:r>
      <w:r>
        <w:rPr>
          <w:spacing w:val="-8"/>
          <w:sz w:val="20"/>
        </w:rPr>
        <w:t> </w:t>
      </w:r>
      <w:r>
        <w:rPr>
          <w:sz w:val="20"/>
        </w:rPr>
        <w:t>location</w:t>
      </w:r>
      <w:r>
        <w:rPr>
          <w:spacing w:val="-8"/>
          <w:sz w:val="20"/>
        </w:rPr>
        <w:t> </w:t>
      </w:r>
      <w:r>
        <w:rPr>
          <w:sz w:val="20"/>
        </w:rPr>
        <w:t>of</w:t>
      </w:r>
      <w:r>
        <w:rPr>
          <w:spacing w:val="-7"/>
          <w:sz w:val="20"/>
        </w:rPr>
        <w:t> </w:t>
      </w:r>
      <w:r>
        <w:rPr>
          <w:sz w:val="20"/>
        </w:rPr>
        <w:t>the customer’s interaction with the MNE). The second one is where it delivers directly to the customer (e.g. through</w:t>
      </w:r>
      <w:r>
        <w:rPr>
          <w:spacing w:val="-9"/>
          <w:sz w:val="20"/>
        </w:rPr>
        <w:t> </w:t>
      </w:r>
      <w:r>
        <w:rPr>
          <w:sz w:val="20"/>
        </w:rPr>
        <w:t>an</w:t>
      </w:r>
      <w:r>
        <w:rPr>
          <w:spacing w:val="-9"/>
          <w:sz w:val="20"/>
        </w:rPr>
        <w:t> </w:t>
      </w:r>
      <w:r>
        <w:rPr>
          <w:sz w:val="20"/>
        </w:rPr>
        <w:t>online</w:t>
      </w:r>
      <w:r>
        <w:rPr>
          <w:spacing w:val="-8"/>
          <w:sz w:val="20"/>
        </w:rPr>
        <w:t> </w:t>
      </w:r>
      <w:r>
        <w:rPr>
          <w:sz w:val="20"/>
        </w:rPr>
        <w:t>shop),</w:t>
      </w:r>
      <w:r>
        <w:rPr>
          <w:spacing w:val="-9"/>
          <w:sz w:val="20"/>
        </w:rPr>
        <w:t> </w:t>
      </w:r>
      <w:r>
        <w:rPr>
          <w:sz w:val="20"/>
        </w:rPr>
        <w:t>in</w:t>
      </w:r>
      <w:r>
        <w:rPr>
          <w:spacing w:val="-6"/>
          <w:sz w:val="20"/>
        </w:rPr>
        <w:t> </w:t>
      </w:r>
      <w:r>
        <w:rPr>
          <w:sz w:val="20"/>
        </w:rPr>
        <w:t>which</w:t>
      </w:r>
      <w:r>
        <w:rPr>
          <w:spacing w:val="-9"/>
          <w:sz w:val="20"/>
        </w:rPr>
        <w:t> </w:t>
      </w:r>
      <w:r>
        <w:rPr>
          <w:sz w:val="20"/>
        </w:rPr>
        <w:t>case</w:t>
      </w:r>
      <w:r>
        <w:rPr>
          <w:spacing w:val="-8"/>
          <w:sz w:val="20"/>
        </w:rPr>
        <w:t> </w:t>
      </w:r>
      <w:r>
        <w:rPr>
          <w:sz w:val="20"/>
        </w:rPr>
        <w:t>the</w:t>
      </w:r>
      <w:r>
        <w:rPr>
          <w:spacing w:val="-9"/>
          <w:sz w:val="20"/>
        </w:rPr>
        <w:t> </w:t>
      </w:r>
      <w:r>
        <w:rPr>
          <w:sz w:val="20"/>
        </w:rPr>
        <w:t>final</w:t>
      </w:r>
      <w:r>
        <w:rPr>
          <w:spacing w:val="-9"/>
          <w:sz w:val="20"/>
        </w:rPr>
        <w:t> </w:t>
      </w:r>
      <w:r>
        <w:rPr>
          <w:sz w:val="20"/>
        </w:rPr>
        <w:t>delivery</w:t>
      </w:r>
      <w:r>
        <w:rPr>
          <w:spacing w:val="-10"/>
          <w:sz w:val="20"/>
        </w:rPr>
        <w:t> </w:t>
      </w:r>
      <w:r>
        <w:rPr>
          <w:sz w:val="20"/>
        </w:rPr>
        <w:t>is</w:t>
      </w:r>
      <w:r>
        <w:rPr>
          <w:spacing w:val="-7"/>
          <w:sz w:val="20"/>
        </w:rPr>
        <w:t> </w:t>
      </w:r>
      <w:r>
        <w:rPr>
          <w:sz w:val="20"/>
        </w:rPr>
        <w:t>the</w:t>
      </w:r>
      <w:r>
        <w:rPr>
          <w:spacing w:val="-7"/>
          <w:sz w:val="20"/>
        </w:rPr>
        <w:t> </w:t>
      </w:r>
      <w:r>
        <w:rPr>
          <w:sz w:val="20"/>
        </w:rPr>
        <w:t>location</w:t>
      </w:r>
      <w:r>
        <w:rPr>
          <w:spacing w:val="-8"/>
          <w:sz w:val="20"/>
        </w:rPr>
        <w:t> </w:t>
      </w:r>
      <w:r>
        <w:rPr>
          <w:sz w:val="20"/>
        </w:rPr>
        <w:t>of</w:t>
      </w:r>
      <w:r>
        <w:rPr>
          <w:spacing w:val="-7"/>
          <w:sz w:val="20"/>
        </w:rPr>
        <w:t> </w:t>
      </w:r>
      <w:r>
        <w:rPr>
          <w:sz w:val="20"/>
        </w:rPr>
        <w:t>the</w:t>
      </w:r>
      <w:r>
        <w:rPr>
          <w:spacing w:val="-8"/>
          <w:sz w:val="20"/>
        </w:rPr>
        <w:t> </w:t>
      </w:r>
      <w:r>
        <w:rPr>
          <w:sz w:val="20"/>
        </w:rPr>
        <w:t>customer’s</w:t>
      </w:r>
      <w:r>
        <w:rPr>
          <w:spacing w:val="-11"/>
          <w:sz w:val="20"/>
        </w:rPr>
        <w:t> </w:t>
      </w:r>
      <w:r>
        <w:rPr>
          <w:sz w:val="20"/>
        </w:rPr>
        <w:t>shipping</w:t>
      </w:r>
      <w:r>
        <w:rPr>
          <w:spacing w:val="-8"/>
          <w:sz w:val="20"/>
        </w:rPr>
        <w:t> </w:t>
      </w:r>
      <w:r>
        <w:rPr>
          <w:sz w:val="20"/>
        </w:rPr>
        <w:t>address. Given the direct relationship of the seller with the customer, the sourcing can be identified with relative ease</w:t>
      </w:r>
      <w:r>
        <w:rPr>
          <w:spacing w:val="-13"/>
          <w:sz w:val="20"/>
        </w:rPr>
        <w:t> </w:t>
      </w:r>
      <w:r>
        <w:rPr>
          <w:sz w:val="20"/>
        </w:rPr>
        <w:t>and</w:t>
      </w:r>
      <w:r>
        <w:rPr>
          <w:spacing w:val="-13"/>
          <w:sz w:val="20"/>
        </w:rPr>
        <w:t> </w:t>
      </w:r>
      <w:r>
        <w:rPr>
          <w:sz w:val="20"/>
        </w:rPr>
        <w:t>no</w:t>
      </w:r>
      <w:r>
        <w:rPr>
          <w:spacing w:val="-10"/>
          <w:sz w:val="20"/>
        </w:rPr>
        <w:t> </w:t>
      </w:r>
      <w:r>
        <w:rPr>
          <w:sz w:val="20"/>
        </w:rPr>
        <w:t>hierarchy</w:t>
      </w:r>
      <w:r>
        <w:rPr>
          <w:spacing w:val="-15"/>
          <w:sz w:val="20"/>
        </w:rPr>
        <w:t> </w:t>
      </w:r>
      <w:r>
        <w:rPr>
          <w:sz w:val="20"/>
        </w:rPr>
        <w:t>of</w:t>
      </w:r>
      <w:r>
        <w:rPr>
          <w:spacing w:val="-10"/>
          <w:sz w:val="20"/>
        </w:rPr>
        <w:t> </w:t>
      </w:r>
      <w:r>
        <w:rPr>
          <w:sz w:val="20"/>
        </w:rPr>
        <w:t>indicators</w:t>
      </w:r>
      <w:r>
        <w:rPr>
          <w:spacing w:val="-11"/>
          <w:sz w:val="20"/>
        </w:rPr>
        <w:t> </w:t>
      </w:r>
      <w:r>
        <w:rPr>
          <w:sz w:val="20"/>
        </w:rPr>
        <w:t>is</w:t>
      </w:r>
      <w:r>
        <w:rPr>
          <w:spacing w:val="-11"/>
          <w:sz w:val="20"/>
        </w:rPr>
        <w:t> </w:t>
      </w:r>
      <w:r>
        <w:rPr>
          <w:sz w:val="20"/>
        </w:rPr>
        <w:t>needed.</w:t>
      </w:r>
      <w:r>
        <w:rPr>
          <w:spacing w:val="-12"/>
          <w:sz w:val="20"/>
        </w:rPr>
        <w:t> </w:t>
      </w:r>
      <w:r>
        <w:rPr>
          <w:sz w:val="20"/>
        </w:rPr>
        <w:t>This</w:t>
      </w:r>
      <w:r>
        <w:rPr>
          <w:spacing w:val="-11"/>
          <w:sz w:val="20"/>
        </w:rPr>
        <w:t> </w:t>
      </w:r>
      <w:r>
        <w:rPr>
          <w:sz w:val="20"/>
        </w:rPr>
        <w:t>approach</w:t>
      </w:r>
      <w:r>
        <w:rPr>
          <w:spacing w:val="-13"/>
          <w:sz w:val="20"/>
        </w:rPr>
        <w:t> </w:t>
      </w:r>
      <w:r>
        <w:rPr>
          <w:sz w:val="20"/>
        </w:rPr>
        <w:t>applies</w:t>
      </w:r>
      <w:r>
        <w:rPr>
          <w:spacing w:val="-11"/>
          <w:sz w:val="20"/>
        </w:rPr>
        <w:t> </w:t>
      </w:r>
      <w:r>
        <w:rPr>
          <w:sz w:val="20"/>
        </w:rPr>
        <w:t>notwithstanding</w:t>
      </w:r>
      <w:r>
        <w:rPr>
          <w:spacing w:val="-12"/>
          <w:sz w:val="20"/>
        </w:rPr>
        <w:t> </w:t>
      </w:r>
      <w:r>
        <w:rPr>
          <w:sz w:val="20"/>
        </w:rPr>
        <w:t>that</w:t>
      </w:r>
      <w:r>
        <w:rPr>
          <w:spacing w:val="-12"/>
          <w:sz w:val="20"/>
        </w:rPr>
        <w:t> </w:t>
      </w:r>
      <w:r>
        <w:rPr>
          <w:sz w:val="20"/>
        </w:rPr>
        <w:t>different</w:t>
      </w:r>
      <w:r>
        <w:rPr>
          <w:spacing w:val="-13"/>
          <w:sz w:val="20"/>
        </w:rPr>
        <w:t> </w:t>
      </w:r>
      <w:r>
        <w:rPr>
          <w:sz w:val="20"/>
        </w:rPr>
        <w:t>entities in the MNE may be involved. As it is between the same MNE, the sourcing rules expect that the MNE will have information on the final delivery even if performed by another group</w:t>
      </w:r>
      <w:r>
        <w:rPr>
          <w:spacing w:val="-25"/>
          <w:sz w:val="20"/>
        </w:rPr>
        <w:t> </w:t>
      </w:r>
      <w:r>
        <w:rPr>
          <w:sz w:val="20"/>
        </w:rPr>
        <w:t>member.</w:t>
      </w:r>
    </w:p>
    <w:p>
      <w:pPr>
        <w:pStyle w:val="ListParagraph"/>
        <w:numPr>
          <w:ilvl w:val="0"/>
          <w:numId w:val="13"/>
        </w:numPr>
        <w:tabs>
          <w:tab w:pos="1444" w:val="left" w:leader="none"/>
        </w:tabs>
        <w:spacing w:line="271" w:lineRule="auto" w:before="119" w:after="0"/>
        <w:ind w:left="723" w:right="486" w:firstLine="0"/>
        <w:jc w:val="both"/>
        <w:rPr>
          <w:sz w:val="20"/>
        </w:rPr>
      </w:pPr>
      <w:r>
        <w:rPr>
          <w:sz w:val="20"/>
        </w:rPr>
        <w:t>Where a consumer purchases a good from a physical retail store, and asks the seller to ship it to a delivery address in a different jurisdiction, the revenue sourcing rule to be applied is the jurisdiction of the retail</w:t>
      </w:r>
      <w:r>
        <w:rPr>
          <w:spacing w:val="-4"/>
          <w:sz w:val="20"/>
        </w:rPr>
        <w:t> </w:t>
      </w:r>
      <w:r>
        <w:rPr>
          <w:sz w:val="20"/>
        </w:rPr>
        <w:t>store.</w:t>
      </w:r>
    </w:p>
    <w:p>
      <w:pPr>
        <w:pStyle w:val="BodyText"/>
        <w:spacing w:before="1"/>
      </w:pPr>
    </w:p>
    <w:p>
      <w:pPr>
        <w:pStyle w:val="Heading7"/>
        <w:spacing w:before="1"/>
        <w:ind w:left="1082" w:right="1477"/>
        <w:jc w:val="center"/>
        <w:rPr>
          <w:i/>
        </w:rPr>
      </w:pPr>
      <w:bookmarkStart w:name="Revenue from consumer-facing goods sold " w:id="180"/>
      <w:bookmarkEnd w:id="180"/>
      <w:r>
        <w:rPr>
          <w:i w:val="0"/>
        </w:rPr>
      </w:r>
      <w:r>
        <w:rPr>
          <w:i/>
          <w:color w:val="616161"/>
        </w:rPr>
        <w:t>Revenue from consumer-facing goods sold through independent distributor</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There are circumstances where the MNE sells and delivers tangible goods using an unrelated intermediary, such as through a distribution arrangement. This can arise in respect of ordinary consumer goods</w:t>
      </w:r>
      <w:r>
        <w:rPr>
          <w:spacing w:val="-10"/>
          <w:sz w:val="20"/>
        </w:rPr>
        <w:t> </w:t>
      </w:r>
      <w:r>
        <w:rPr>
          <w:sz w:val="20"/>
        </w:rPr>
        <w:t>that</w:t>
      </w:r>
      <w:r>
        <w:rPr>
          <w:spacing w:val="-9"/>
          <w:sz w:val="20"/>
        </w:rPr>
        <w:t> </w:t>
      </w:r>
      <w:r>
        <w:rPr>
          <w:sz w:val="20"/>
        </w:rPr>
        <w:t>are</w:t>
      </w:r>
      <w:r>
        <w:rPr>
          <w:spacing w:val="-7"/>
          <w:sz w:val="20"/>
        </w:rPr>
        <w:t> </w:t>
      </w:r>
      <w:r>
        <w:rPr>
          <w:sz w:val="20"/>
        </w:rPr>
        <w:t>in</w:t>
      </w:r>
      <w:r>
        <w:rPr>
          <w:spacing w:val="-11"/>
          <w:sz w:val="20"/>
        </w:rPr>
        <w:t> </w:t>
      </w:r>
      <w:r>
        <w:rPr>
          <w:sz w:val="20"/>
        </w:rPr>
        <w:t>scope</w:t>
      </w:r>
      <w:r>
        <w:rPr>
          <w:spacing w:val="-10"/>
          <w:sz w:val="20"/>
        </w:rPr>
        <w:t> </w:t>
      </w:r>
      <w:r>
        <w:rPr>
          <w:sz w:val="20"/>
        </w:rPr>
        <w:t>but</w:t>
      </w:r>
      <w:r>
        <w:rPr>
          <w:spacing w:val="-9"/>
          <w:sz w:val="20"/>
        </w:rPr>
        <w:t> </w:t>
      </w:r>
      <w:r>
        <w:rPr>
          <w:sz w:val="20"/>
        </w:rPr>
        <w:t>are</w:t>
      </w:r>
      <w:r>
        <w:rPr>
          <w:spacing w:val="-10"/>
          <w:sz w:val="20"/>
        </w:rPr>
        <w:t> </w:t>
      </w:r>
      <w:r>
        <w:rPr>
          <w:sz w:val="20"/>
        </w:rPr>
        <w:t>sold</w:t>
      </w:r>
      <w:r>
        <w:rPr>
          <w:spacing w:val="-12"/>
          <w:sz w:val="20"/>
        </w:rPr>
        <w:t> </w:t>
      </w:r>
      <w:r>
        <w:rPr>
          <w:sz w:val="20"/>
        </w:rPr>
        <w:t>through</w:t>
      </w:r>
      <w:r>
        <w:rPr>
          <w:spacing w:val="-8"/>
          <w:sz w:val="20"/>
        </w:rPr>
        <w:t> </w:t>
      </w:r>
      <w:r>
        <w:rPr>
          <w:sz w:val="20"/>
        </w:rPr>
        <w:t>a</w:t>
      </w:r>
      <w:r>
        <w:rPr>
          <w:spacing w:val="-9"/>
          <w:sz w:val="20"/>
        </w:rPr>
        <w:t> </w:t>
      </w:r>
      <w:r>
        <w:rPr>
          <w:sz w:val="20"/>
        </w:rPr>
        <w:t>distribution</w:t>
      </w:r>
      <w:r>
        <w:rPr>
          <w:spacing w:val="-11"/>
          <w:sz w:val="20"/>
        </w:rPr>
        <w:t> </w:t>
      </w:r>
      <w:r>
        <w:rPr>
          <w:sz w:val="20"/>
        </w:rPr>
        <w:t>arrangement</w:t>
      </w:r>
      <w:r>
        <w:rPr>
          <w:spacing w:val="-11"/>
          <w:sz w:val="20"/>
        </w:rPr>
        <w:t> </w:t>
      </w:r>
      <w:r>
        <w:rPr>
          <w:sz w:val="20"/>
        </w:rPr>
        <w:t>or</w:t>
      </w:r>
      <w:r>
        <w:rPr>
          <w:spacing w:val="-10"/>
          <w:sz w:val="20"/>
        </w:rPr>
        <w:t> </w:t>
      </w:r>
      <w:r>
        <w:rPr>
          <w:sz w:val="20"/>
        </w:rPr>
        <w:t>by</w:t>
      </w:r>
      <w:r>
        <w:rPr>
          <w:spacing w:val="-12"/>
          <w:sz w:val="20"/>
        </w:rPr>
        <w:t> </w:t>
      </w:r>
      <w:r>
        <w:rPr>
          <w:sz w:val="20"/>
        </w:rPr>
        <w:t>another</w:t>
      </w:r>
      <w:r>
        <w:rPr>
          <w:spacing w:val="-10"/>
          <w:sz w:val="20"/>
        </w:rPr>
        <w:t> </w:t>
      </w:r>
      <w:r>
        <w:rPr>
          <w:sz w:val="20"/>
        </w:rPr>
        <w:t>business</w:t>
      </w:r>
      <w:r>
        <w:rPr>
          <w:spacing w:val="-10"/>
          <w:sz w:val="20"/>
        </w:rPr>
        <w:t> </w:t>
      </w:r>
      <w:r>
        <w:rPr>
          <w:sz w:val="20"/>
        </w:rPr>
        <w:t>(e.g.</w:t>
      </w:r>
      <w:r>
        <w:rPr>
          <w:spacing w:val="-8"/>
          <w:sz w:val="20"/>
        </w:rPr>
        <w:t> </w:t>
      </w:r>
      <w:r>
        <w:rPr>
          <w:sz w:val="20"/>
        </w:rPr>
        <w:t>shoes sold by a distributor or shoes sold to a large retail chain that sells to</w:t>
      </w:r>
      <w:r>
        <w:rPr>
          <w:spacing w:val="-21"/>
          <w:sz w:val="20"/>
        </w:rPr>
        <w:t> </w:t>
      </w:r>
      <w:r>
        <w:rPr>
          <w:sz w:val="20"/>
        </w:rPr>
        <w:t>customers).</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Where</w:t>
      </w:r>
      <w:r>
        <w:rPr>
          <w:spacing w:val="-5"/>
          <w:sz w:val="20"/>
        </w:rPr>
        <w:t> </w:t>
      </w:r>
      <w:r>
        <w:rPr>
          <w:sz w:val="20"/>
        </w:rPr>
        <w:t>a</w:t>
      </w:r>
      <w:r>
        <w:rPr>
          <w:spacing w:val="-4"/>
          <w:sz w:val="20"/>
        </w:rPr>
        <w:t> </w:t>
      </w:r>
      <w:r>
        <w:rPr>
          <w:sz w:val="20"/>
        </w:rPr>
        <w:t>third</w:t>
      </w:r>
      <w:r>
        <w:rPr>
          <w:spacing w:val="-4"/>
          <w:sz w:val="20"/>
        </w:rPr>
        <w:t> </w:t>
      </w:r>
      <w:r>
        <w:rPr>
          <w:sz w:val="20"/>
        </w:rPr>
        <w:t>party</w:t>
      </w:r>
      <w:r>
        <w:rPr>
          <w:spacing w:val="-7"/>
          <w:sz w:val="20"/>
        </w:rPr>
        <w:t> </w:t>
      </w:r>
      <w:r>
        <w:rPr>
          <w:sz w:val="20"/>
        </w:rPr>
        <w:t>distributor</w:t>
      </w:r>
      <w:r>
        <w:rPr>
          <w:spacing w:val="-4"/>
          <w:sz w:val="20"/>
        </w:rPr>
        <w:t> </w:t>
      </w:r>
      <w:r>
        <w:rPr>
          <w:sz w:val="20"/>
        </w:rPr>
        <w:t>is</w:t>
      </w:r>
      <w:r>
        <w:rPr>
          <w:spacing w:val="-4"/>
          <w:sz w:val="20"/>
        </w:rPr>
        <w:t> </w:t>
      </w:r>
      <w:r>
        <w:rPr>
          <w:sz w:val="20"/>
        </w:rPr>
        <w:t>used,</w:t>
      </w:r>
      <w:r>
        <w:rPr>
          <w:spacing w:val="-4"/>
          <w:sz w:val="20"/>
        </w:rPr>
        <w:t> </w:t>
      </w:r>
      <w:r>
        <w:rPr>
          <w:sz w:val="20"/>
        </w:rPr>
        <w:t>it</w:t>
      </w:r>
      <w:r>
        <w:rPr>
          <w:spacing w:val="-4"/>
          <w:sz w:val="20"/>
        </w:rPr>
        <w:t> </w:t>
      </w:r>
      <w:r>
        <w:rPr>
          <w:sz w:val="20"/>
        </w:rPr>
        <w:t>may</w:t>
      </w:r>
      <w:r>
        <w:rPr>
          <w:spacing w:val="-9"/>
          <w:sz w:val="20"/>
        </w:rPr>
        <w:t> </w:t>
      </w:r>
      <w:r>
        <w:rPr>
          <w:sz w:val="20"/>
        </w:rPr>
        <w:t>resell</w:t>
      </w:r>
      <w:r>
        <w:rPr>
          <w:spacing w:val="-5"/>
          <w:sz w:val="20"/>
        </w:rPr>
        <w:t> </w:t>
      </w:r>
      <w:r>
        <w:rPr>
          <w:sz w:val="20"/>
        </w:rPr>
        <w:t>the</w:t>
      </w:r>
      <w:r>
        <w:rPr>
          <w:spacing w:val="-3"/>
          <w:sz w:val="20"/>
        </w:rPr>
        <w:t> </w:t>
      </w:r>
      <w:r>
        <w:rPr>
          <w:sz w:val="20"/>
        </w:rPr>
        <w:t>goods</w:t>
      </w:r>
      <w:r>
        <w:rPr>
          <w:spacing w:val="-4"/>
          <w:sz w:val="20"/>
        </w:rPr>
        <w:t> </w:t>
      </w:r>
      <w:r>
        <w:rPr>
          <w:sz w:val="20"/>
        </w:rPr>
        <w:t>to</w:t>
      </w:r>
      <w:r>
        <w:rPr>
          <w:spacing w:val="-4"/>
          <w:sz w:val="20"/>
        </w:rPr>
        <w:t> </w:t>
      </w:r>
      <w:r>
        <w:rPr>
          <w:sz w:val="20"/>
        </w:rPr>
        <w:t>consumers</w:t>
      </w:r>
      <w:r>
        <w:rPr>
          <w:spacing w:val="-5"/>
          <w:sz w:val="20"/>
        </w:rPr>
        <w:t> </w:t>
      </w:r>
      <w:r>
        <w:rPr>
          <w:sz w:val="20"/>
        </w:rPr>
        <w:t>(directly</w:t>
      </w:r>
      <w:r>
        <w:rPr>
          <w:spacing w:val="-5"/>
          <w:sz w:val="20"/>
        </w:rPr>
        <w:t> </w:t>
      </w:r>
      <w:r>
        <w:rPr>
          <w:sz w:val="20"/>
        </w:rPr>
        <w:t>or</w:t>
      </w:r>
      <w:r>
        <w:rPr>
          <w:spacing w:val="-4"/>
          <w:sz w:val="20"/>
        </w:rPr>
        <w:t> </w:t>
      </w:r>
      <w:r>
        <w:rPr>
          <w:sz w:val="20"/>
        </w:rPr>
        <w:t>indirectly) located</w:t>
      </w:r>
      <w:r>
        <w:rPr>
          <w:spacing w:val="-12"/>
          <w:sz w:val="20"/>
        </w:rPr>
        <w:t> </w:t>
      </w:r>
      <w:r>
        <w:rPr>
          <w:sz w:val="20"/>
        </w:rPr>
        <w:t>within</w:t>
      </w:r>
      <w:r>
        <w:rPr>
          <w:spacing w:val="-12"/>
          <w:sz w:val="20"/>
        </w:rPr>
        <w:t> </w:t>
      </w:r>
      <w:r>
        <w:rPr>
          <w:sz w:val="20"/>
        </w:rPr>
        <w:t>the</w:t>
      </w:r>
      <w:r>
        <w:rPr>
          <w:spacing w:val="-14"/>
          <w:sz w:val="20"/>
        </w:rPr>
        <w:t> </w:t>
      </w:r>
      <w:r>
        <w:rPr>
          <w:sz w:val="20"/>
        </w:rPr>
        <w:t>same</w:t>
      </w:r>
      <w:r>
        <w:rPr>
          <w:spacing w:val="-13"/>
          <w:sz w:val="20"/>
        </w:rPr>
        <w:t> </w:t>
      </w:r>
      <w:r>
        <w:rPr>
          <w:sz w:val="20"/>
        </w:rPr>
        <w:t>jurisdiction.</w:t>
      </w:r>
      <w:r>
        <w:rPr>
          <w:spacing w:val="-13"/>
          <w:sz w:val="20"/>
        </w:rPr>
        <w:t> </w:t>
      </w:r>
      <w:r>
        <w:rPr>
          <w:sz w:val="20"/>
        </w:rPr>
        <w:t>This</w:t>
      </w:r>
      <w:r>
        <w:rPr>
          <w:spacing w:val="-15"/>
          <w:sz w:val="20"/>
        </w:rPr>
        <w:t> </w:t>
      </w:r>
      <w:r>
        <w:rPr>
          <w:sz w:val="20"/>
        </w:rPr>
        <w:t>may</w:t>
      </w:r>
      <w:r>
        <w:rPr>
          <w:spacing w:val="-16"/>
          <w:sz w:val="20"/>
        </w:rPr>
        <w:t> </w:t>
      </w:r>
      <w:r>
        <w:rPr>
          <w:sz w:val="20"/>
        </w:rPr>
        <w:t>be</w:t>
      </w:r>
      <w:r>
        <w:rPr>
          <w:spacing w:val="-13"/>
          <w:sz w:val="20"/>
        </w:rPr>
        <w:t> </w:t>
      </w:r>
      <w:r>
        <w:rPr>
          <w:sz w:val="20"/>
        </w:rPr>
        <w:t>the</w:t>
      </w:r>
      <w:r>
        <w:rPr>
          <w:spacing w:val="-14"/>
          <w:sz w:val="20"/>
        </w:rPr>
        <w:t> </w:t>
      </w:r>
      <w:r>
        <w:rPr>
          <w:sz w:val="20"/>
        </w:rPr>
        <w:t>case</w:t>
      </w:r>
      <w:r>
        <w:rPr>
          <w:spacing w:val="-13"/>
          <w:sz w:val="20"/>
        </w:rPr>
        <w:t> </w:t>
      </w:r>
      <w:r>
        <w:rPr>
          <w:sz w:val="20"/>
        </w:rPr>
        <w:t>for</w:t>
      </w:r>
      <w:r>
        <w:rPr>
          <w:spacing w:val="-12"/>
          <w:sz w:val="20"/>
        </w:rPr>
        <w:t> </w:t>
      </w:r>
      <w:r>
        <w:rPr>
          <w:sz w:val="20"/>
        </w:rPr>
        <w:t>commercial</w:t>
      </w:r>
      <w:r>
        <w:rPr>
          <w:spacing w:val="-15"/>
          <w:sz w:val="20"/>
        </w:rPr>
        <w:t> </w:t>
      </w:r>
      <w:r>
        <w:rPr>
          <w:sz w:val="20"/>
        </w:rPr>
        <w:t>reasons,</w:t>
      </w:r>
      <w:r>
        <w:rPr>
          <w:spacing w:val="-10"/>
          <w:sz w:val="20"/>
        </w:rPr>
        <w:t> </w:t>
      </w:r>
      <w:r>
        <w:rPr>
          <w:sz w:val="20"/>
        </w:rPr>
        <w:t>such</w:t>
      </w:r>
      <w:r>
        <w:rPr>
          <w:spacing w:val="-13"/>
          <w:sz w:val="20"/>
        </w:rPr>
        <w:t> </w:t>
      </w:r>
      <w:r>
        <w:rPr>
          <w:sz w:val="20"/>
        </w:rPr>
        <w:t>as</w:t>
      </w:r>
      <w:r>
        <w:rPr>
          <w:spacing w:val="-13"/>
          <w:sz w:val="20"/>
        </w:rPr>
        <w:t> </w:t>
      </w:r>
      <w:r>
        <w:rPr>
          <w:sz w:val="20"/>
        </w:rPr>
        <w:t>where</w:t>
      </w:r>
      <w:r>
        <w:rPr>
          <w:spacing w:val="-12"/>
          <w:sz w:val="20"/>
        </w:rPr>
        <w:t> </w:t>
      </w:r>
      <w:r>
        <w:rPr>
          <w:sz w:val="20"/>
        </w:rPr>
        <w:t>the</w:t>
      </w:r>
      <w:r>
        <w:rPr>
          <w:spacing w:val="-14"/>
          <w:sz w:val="20"/>
        </w:rPr>
        <w:t> </w:t>
      </w:r>
      <w:r>
        <w:rPr>
          <w:sz w:val="20"/>
        </w:rPr>
        <w:t>MNE has selected a distributor that is close to the final destination to reduce shipping costs (particularly for perishable</w:t>
      </w:r>
      <w:r>
        <w:rPr>
          <w:spacing w:val="-12"/>
          <w:sz w:val="20"/>
        </w:rPr>
        <w:t> </w:t>
      </w:r>
      <w:r>
        <w:rPr>
          <w:sz w:val="20"/>
        </w:rPr>
        <w:t>goods),</w:t>
      </w:r>
      <w:r>
        <w:rPr>
          <w:spacing w:val="-10"/>
          <w:sz w:val="20"/>
        </w:rPr>
        <w:t> </w:t>
      </w:r>
      <w:r>
        <w:rPr>
          <w:sz w:val="20"/>
        </w:rPr>
        <w:t>or</w:t>
      </w:r>
      <w:r>
        <w:rPr>
          <w:spacing w:val="-7"/>
          <w:sz w:val="20"/>
        </w:rPr>
        <w:t> </w:t>
      </w:r>
      <w:r>
        <w:rPr>
          <w:sz w:val="20"/>
        </w:rPr>
        <w:t>where</w:t>
      </w:r>
      <w:r>
        <w:rPr>
          <w:spacing w:val="-11"/>
          <w:sz w:val="20"/>
        </w:rPr>
        <w:t> </w:t>
      </w:r>
      <w:r>
        <w:rPr>
          <w:sz w:val="20"/>
        </w:rPr>
        <w:t>a</w:t>
      </w:r>
      <w:r>
        <w:rPr>
          <w:spacing w:val="-8"/>
          <w:sz w:val="20"/>
        </w:rPr>
        <w:t> </w:t>
      </w:r>
      <w:r>
        <w:rPr>
          <w:sz w:val="20"/>
        </w:rPr>
        <w:t>distributor</w:t>
      </w:r>
      <w:r>
        <w:rPr>
          <w:spacing w:val="-7"/>
          <w:sz w:val="20"/>
        </w:rPr>
        <w:t> </w:t>
      </w:r>
      <w:r>
        <w:rPr>
          <w:sz w:val="20"/>
        </w:rPr>
        <w:t>is</w:t>
      </w:r>
      <w:r>
        <w:rPr>
          <w:spacing w:val="-9"/>
          <w:sz w:val="20"/>
        </w:rPr>
        <w:t> </w:t>
      </w:r>
      <w:r>
        <w:rPr>
          <w:sz w:val="20"/>
        </w:rPr>
        <w:t>given</w:t>
      </w:r>
      <w:r>
        <w:rPr>
          <w:spacing w:val="-10"/>
          <w:sz w:val="20"/>
        </w:rPr>
        <w:t> </w:t>
      </w:r>
      <w:r>
        <w:rPr>
          <w:sz w:val="20"/>
        </w:rPr>
        <w:t>the</w:t>
      </w:r>
      <w:r>
        <w:rPr>
          <w:spacing w:val="-11"/>
          <w:sz w:val="20"/>
        </w:rPr>
        <w:t> </w:t>
      </w:r>
      <w:r>
        <w:rPr>
          <w:sz w:val="20"/>
        </w:rPr>
        <w:t>right</w:t>
      </w:r>
      <w:r>
        <w:rPr>
          <w:spacing w:val="-8"/>
          <w:sz w:val="20"/>
        </w:rPr>
        <w:t> </w:t>
      </w:r>
      <w:r>
        <w:rPr>
          <w:sz w:val="20"/>
        </w:rPr>
        <w:t>to</w:t>
      </w:r>
      <w:r>
        <w:rPr>
          <w:spacing w:val="-8"/>
          <w:sz w:val="20"/>
        </w:rPr>
        <w:t> </w:t>
      </w:r>
      <w:r>
        <w:rPr>
          <w:sz w:val="20"/>
        </w:rPr>
        <w:t>a</w:t>
      </w:r>
      <w:r>
        <w:rPr>
          <w:spacing w:val="-11"/>
          <w:sz w:val="20"/>
        </w:rPr>
        <w:t> </w:t>
      </w:r>
      <w:r>
        <w:rPr>
          <w:sz w:val="20"/>
        </w:rPr>
        <w:t>sell</w:t>
      </w:r>
      <w:r>
        <w:rPr>
          <w:spacing w:val="-9"/>
          <w:sz w:val="20"/>
        </w:rPr>
        <w:t> </w:t>
      </w:r>
      <w:r>
        <w:rPr>
          <w:sz w:val="20"/>
        </w:rPr>
        <w:t>the</w:t>
      </w:r>
      <w:r>
        <w:rPr>
          <w:spacing w:val="-8"/>
          <w:sz w:val="20"/>
        </w:rPr>
        <w:t> </w:t>
      </w:r>
      <w:r>
        <w:rPr>
          <w:sz w:val="20"/>
        </w:rPr>
        <w:t>goods</w:t>
      </w:r>
      <w:r>
        <w:rPr>
          <w:spacing w:val="-10"/>
          <w:sz w:val="20"/>
        </w:rPr>
        <w:t> </w:t>
      </w:r>
      <w:r>
        <w:rPr>
          <w:sz w:val="20"/>
        </w:rPr>
        <w:t>only</w:t>
      </w:r>
      <w:r>
        <w:rPr>
          <w:spacing w:val="-9"/>
          <w:sz w:val="20"/>
        </w:rPr>
        <w:t> </w:t>
      </w:r>
      <w:r>
        <w:rPr>
          <w:sz w:val="20"/>
        </w:rPr>
        <w:t>within</w:t>
      </w:r>
      <w:r>
        <w:rPr>
          <w:spacing w:val="-8"/>
          <w:sz w:val="20"/>
        </w:rPr>
        <w:t> </w:t>
      </w:r>
      <w:r>
        <w:rPr>
          <w:sz w:val="20"/>
        </w:rPr>
        <w:t>a</w:t>
      </w:r>
      <w:r>
        <w:rPr>
          <w:spacing w:val="-8"/>
          <w:sz w:val="20"/>
        </w:rPr>
        <w:t> </w:t>
      </w:r>
      <w:r>
        <w:rPr>
          <w:sz w:val="20"/>
        </w:rPr>
        <w:t>specific</w:t>
      </w:r>
      <w:r>
        <w:rPr>
          <w:spacing w:val="-9"/>
          <w:sz w:val="20"/>
        </w:rPr>
        <w:t> </w:t>
      </w:r>
      <w:r>
        <w:rPr>
          <w:sz w:val="20"/>
        </w:rPr>
        <w:t>country.</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However,</w:t>
      </w:r>
      <w:r>
        <w:rPr>
          <w:spacing w:val="-15"/>
          <w:sz w:val="20"/>
        </w:rPr>
        <w:t> </w:t>
      </w:r>
      <w:r>
        <w:rPr>
          <w:sz w:val="20"/>
        </w:rPr>
        <w:t>in</w:t>
      </w:r>
      <w:r>
        <w:rPr>
          <w:spacing w:val="-16"/>
          <w:sz w:val="20"/>
        </w:rPr>
        <w:t> </w:t>
      </w:r>
      <w:r>
        <w:rPr>
          <w:sz w:val="20"/>
        </w:rPr>
        <w:t>some</w:t>
      </w:r>
      <w:r>
        <w:rPr>
          <w:spacing w:val="-16"/>
          <w:sz w:val="20"/>
        </w:rPr>
        <w:t> </w:t>
      </w:r>
      <w:r>
        <w:rPr>
          <w:sz w:val="20"/>
        </w:rPr>
        <w:t>cases</w:t>
      </w:r>
      <w:r>
        <w:rPr>
          <w:spacing w:val="-14"/>
          <w:sz w:val="20"/>
        </w:rPr>
        <w:t> </w:t>
      </w:r>
      <w:r>
        <w:rPr>
          <w:sz w:val="20"/>
        </w:rPr>
        <w:t>a</w:t>
      </w:r>
      <w:r>
        <w:rPr>
          <w:spacing w:val="-19"/>
          <w:sz w:val="20"/>
        </w:rPr>
        <w:t> </w:t>
      </w:r>
      <w:r>
        <w:rPr>
          <w:sz w:val="20"/>
        </w:rPr>
        <w:t>regional</w:t>
      </w:r>
      <w:r>
        <w:rPr>
          <w:spacing w:val="-17"/>
          <w:sz w:val="20"/>
        </w:rPr>
        <w:t> </w:t>
      </w:r>
      <w:r>
        <w:rPr>
          <w:sz w:val="20"/>
        </w:rPr>
        <w:t>third</w:t>
      </w:r>
      <w:r>
        <w:rPr>
          <w:spacing w:val="-15"/>
          <w:sz w:val="20"/>
        </w:rPr>
        <w:t> </w:t>
      </w:r>
      <w:r>
        <w:rPr>
          <w:sz w:val="20"/>
        </w:rPr>
        <w:t>party</w:t>
      </w:r>
      <w:r>
        <w:rPr>
          <w:spacing w:val="-19"/>
          <w:sz w:val="20"/>
        </w:rPr>
        <w:t> </w:t>
      </w:r>
      <w:r>
        <w:rPr>
          <w:sz w:val="20"/>
        </w:rPr>
        <w:t>distributor</w:t>
      </w:r>
      <w:r>
        <w:rPr>
          <w:spacing w:val="-17"/>
          <w:sz w:val="20"/>
        </w:rPr>
        <w:t> </w:t>
      </w:r>
      <w:r>
        <w:rPr>
          <w:sz w:val="20"/>
        </w:rPr>
        <w:t>may</w:t>
      </w:r>
      <w:r>
        <w:rPr>
          <w:spacing w:val="-22"/>
          <w:sz w:val="20"/>
        </w:rPr>
        <w:t> </w:t>
      </w:r>
      <w:r>
        <w:rPr>
          <w:sz w:val="20"/>
        </w:rPr>
        <w:t>be</w:t>
      </w:r>
      <w:r>
        <w:rPr>
          <w:spacing w:val="-13"/>
          <w:sz w:val="20"/>
        </w:rPr>
        <w:t> </w:t>
      </w:r>
      <w:r>
        <w:rPr>
          <w:sz w:val="20"/>
        </w:rPr>
        <w:t>established</w:t>
      </w:r>
      <w:r>
        <w:rPr>
          <w:spacing w:val="-17"/>
          <w:sz w:val="20"/>
        </w:rPr>
        <w:t> </w:t>
      </w:r>
      <w:r>
        <w:rPr>
          <w:sz w:val="20"/>
        </w:rPr>
        <w:t>in</w:t>
      </w:r>
      <w:r>
        <w:rPr>
          <w:spacing w:val="-16"/>
          <w:sz w:val="20"/>
        </w:rPr>
        <w:t> </w:t>
      </w:r>
      <w:r>
        <w:rPr>
          <w:sz w:val="20"/>
        </w:rPr>
        <w:t>one</w:t>
      </w:r>
      <w:r>
        <w:rPr>
          <w:spacing w:val="-14"/>
          <w:sz w:val="20"/>
        </w:rPr>
        <w:t> </w:t>
      </w:r>
      <w:r>
        <w:rPr>
          <w:sz w:val="20"/>
        </w:rPr>
        <w:t>central</w:t>
      </w:r>
      <w:r>
        <w:rPr>
          <w:spacing w:val="-16"/>
          <w:sz w:val="20"/>
        </w:rPr>
        <w:t> </w:t>
      </w:r>
      <w:r>
        <w:rPr>
          <w:sz w:val="20"/>
        </w:rPr>
        <w:t>location and</w:t>
      </w:r>
      <w:r>
        <w:rPr>
          <w:spacing w:val="-6"/>
          <w:sz w:val="20"/>
        </w:rPr>
        <w:t> </w:t>
      </w:r>
      <w:r>
        <w:rPr>
          <w:sz w:val="20"/>
        </w:rPr>
        <w:t>be</w:t>
      </w:r>
      <w:r>
        <w:rPr>
          <w:spacing w:val="-5"/>
          <w:sz w:val="20"/>
        </w:rPr>
        <w:t> </w:t>
      </w:r>
      <w:r>
        <w:rPr>
          <w:sz w:val="20"/>
        </w:rPr>
        <w:t>responsible</w:t>
      </w:r>
      <w:r>
        <w:rPr>
          <w:spacing w:val="-5"/>
          <w:sz w:val="20"/>
        </w:rPr>
        <w:t> </w:t>
      </w:r>
      <w:r>
        <w:rPr>
          <w:sz w:val="20"/>
        </w:rPr>
        <w:t>(direct</w:t>
      </w:r>
      <w:r>
        <w:rPr>
          <w:spacing w:val="-5"/>
          <w:sz w:val="20"/>
        </w:rPr>
        <w:t> </w:t>
      </w:r>
      <w:r>
        <w:rPr>
          <w:sz w:val="20"/>
        </w:rPr>
        <w:t>or</w:t>
      </w:r>
      <w:r>
        <w:rPr>
          <w:spacing w:val="-5"/>
          <w:sz w:val="20"/>
        </w:rPr>
        <w:t> </w:t>
      </w:r>
      <w:r>
        <w:rPr>
          <w:sz w:val="20"/>
        </w:rPr>
        <w:t>indirectly)</w:t>
      </w:r>
      <w:r>
        <w:rPr>
          <w:spacing w:val="-4"/>
          <w:sz w:val="20"/>
        </w:rPr>
        <w:t> </w:t>
      </w:r>
      <w:r>
        <w:rPr>
          <w:sz w:val="20"/>
        </w:rPr>
        <w:t>for</w:t>
      </w:r>
      <w:r>
        <w:rPr>
          <w:spacing w:val="-5"/>
          <w:sz w:val="20"/>
        </w:rPr>
        <w:t> </w:t>
      </w:r>
      <w:r>
        <w:rPr>
          <w:sz w:val="20"/>
        </w:rPr>
        <w:t>distribution</w:t>
      </w:r>
      <w:r>
        <w:rPr>
          <w:spacing w:val="-5"/>
          <w:sz w:val="20"/>
        </w:rPr>
        <w:t> </w:t>
      </w:r>
      <w:r>
        <w:rPr>
          <w:sz w:val="20"/>
        </w:rPr>
        <w:t>within</w:t>
      </w:r>
      <w:r>
        <w:rPr>
          <w:spacing w:val="-5"/>
          <w:sz w:val="20"/>
        </w:rPr>
        <w:t> </w:t>
      </w:r>
      <w:r>
        <w:rPr>
          <w:sz w:val="20"/>
        </w:rPr>
        <w:t>a</w:t>
      </w:r>
      <w:r>
        <w:rPr>
          <w:spacing w:val="-6"/>
          <w:sz w:val="20"/>
        </w:rPr>
        <w:t> </w:t>
      </w:r>
      <w:r>
        <w:rPr>
          <w:sz w:val="20"/>
        </w:rPr>
        <w:t>certain</w:t>
      </w:r>
      <w:r>
        <w:rPr>
          <w:spacing w:val="-3"/>
          <w:sz w:val="20"/>
        </w:rPr>
        <w:t> </w:t>
      </w:r>
      <w:r>
        <w:rPr>
          <w:sz w:val="20"/>
        </w:rPr>
        <w:t>geographic</w:t>
      </w:r>
      <w:r>
        <w:rPr>
          <w:spacing w:val="-3"/>
          <w:sz w:val="20"/>
        </w:rPr>
        <w:t> </w:t>
      </w:r>
      <w:r>
        <w:rPr>
          <w:sz w:val="20"/>
        </w:rPr>
        <w:t>region</w:t>
      </w:r>
      <w:r>
        <w:rPr>
          <w:spacing w:val="-5"/>
          <w:sz w:val="20"/>
        </w:rPr>
        <w:t> </w:t>
      </w:r>
      <w:r>
        <w:rPr>
          <w:sz w:val="20"/>
        </w:rPr>
        <w:t>(e.g.</w:t>
      </w:r>
      <w:r>
        <w:rPr>
          <w:spacing w:val="2"/>
          <w:sz w:val="20"/>
        </w:rPr>
        <w:t> </w:t>
      </w:r>
      <w:r>
        <w:rPr>
          <w:sz w:val="20"/>
        </w:rPr>
        <w:t>for</w:t>
      </w:r>
      <w:r>
        <w:rPr>
          <w:spacing w:val="-5"/>
          <w:sz w:val="20"/>
        </w:rPr>
        <w:t> </w:t>
      </w:r>
      <w:r>
        <w:rPr>
          <w:sz w:val="20"/>
        </w:rPr>
        <w:t>Europe, for the Asia Pacific region). Distribution arrangements are also in place where one MNE enters an agreement for another to sell its products, for example, beverages being sold by another MNE restaurant chain.</w:t>
      </w:r>
    </w:p>
    <w:p>
      <w:pPr>
        <w:pStyle w:val="ListParagraph"/>
        <w:numPr>
          <w:ilvl w:val="0"/>
          <w:numId w:val="13"/>
        </w:numPr>
        <w:tabs>
          <w:tab w:pos="1444" w:val="left" w:leader="none"/>
        </w:tabs>
        <w:spacing w:line="271" w:lineRule="auto" w:before="119" w:after="0"/>
        <w:ind w:left="723" w:right="484" w:firstLine="0"/>
        <w:jc w:val="both"/>
        <w:rPr>
          <w:sz w:val="20"/>
        </w:rPr>
      </w:pPr>
      <w:r>
        <w:rPr>
          <w:sz w:val="20"/>
        </w:rPr>
        <w:t>As</w:t>
      </w:r>
      <w:r>
        <w:rPr>
          <w:spacing w:val="-5"/>
          <w:sz w:val="20"/>
        </w:rPr>
        <w:t> </w:t>
      </w:r>
      <w:r>
        <w:rPr>
          <w:sz w:val="20"/>
        </w:rPr>
        <w:t>for</w:t>
      </w:r>
      <w:r>
        <w:rPr>
          <w:spacing w:val="-6"/>
          <w:sz w:val="20"/>
        </w:rPr>
        <w:t> </w:t>
      </w:r>
      <w:r>
        <w:rPr>
          <w:sz w:val="20"/>
        </w:rPr>
        <w:t>the</w:t>
      </w:r>
      <w:r>
        <w:rPr>
          <w:spacing w:val="-7"/>
          <w:sz w:val="20"/>
        </w:rPr>
        <w:t> </w:t>
      </w:r>
      <w:r>
        <w:rPr>
          <w:sz w:val="20"/>
        </w:rPr>
        <w:t>previous</w:t>
      </w:r>
      <w:r>
        <w:rPr>
          <w:spacing w:val="-6"/>
          <w:sz w:val="20"/>
        </w:rPr>
        <w:t> </w:t>
      </w:r>
      <w:r>
        <w:rPr>
          <w:sz w:val="20"/>
        </w:rPr>
        <w:t>category</w:t>
      </w:r>
      <w:r>
        <w:rPr>
          <w:spacing w:val="-10"/>
          <w:sz w:val="20"/>
        </w:rPr>
        <w:t> </w:t>
      </w:r>
      <w:r>
        <w:rPr>
          <w:sz w:val="20"/>
        </w:rPr>
        <w:t>revenue</w:t>
      </w:r>
      <w:r>
        <w:rPr>
          <w:spacing w:val="-6"/>
          <w:sz w:val="20"/>
        </w:rPr>
        <w:t> </w:t>
      </w:r>
      <w:r>
        <w:rPr>
          <w:sz w:val="20"/>
        </w:rPr>
        <w:t>from</w:t>
      </w:r>
      <w:r>
        <w:rPr>
          <w:spacing w:val="-2"/>
          <w:sz w:val="20"/>
        </w:rPr>
        <w:t> </w:t>
      </w:r>
      <w:r>
        <w:rPr>
          <w:sz w:val="20"/>
        </w:rPr>
        <w:t>consumer-facing</w:t>
      </w:r>
      <w:r>
        <w:rPr>
          <w:spacing w:val="-5"/>
          <w:sz w:val="20"/>
        </w:rPr>
        <w:t> </w:t>
      </w:r>
      <w:r>
        <w:rPr>
          <w:sz w:val="20"/>
        </w:rPr>
        <w:t>goods</w:t>
      </w:r>
      <w:r>
        <w:rPr>
          <w:spacing w:val="-6"/>
          <w:sz w:val="20"/>
        </w:rPr>
        <w:t> </w:t>
      </w:r>
      <w:r>
        <w:rPr>
          <w:sz w:val="20"/>
        </w:rPr>
        <w:t>sold</w:t>
      </w:r>
      <w:r>
        <w:rPr>
          <w:spacing w:val="-7"/>
          <w:sz w:val="20"/>
        </w:rPr>
        <w:t> </w:t>
      </w:r>
      <w:r>
        <w:rPr>
          <w:sz w:val="20"/>
        </w:rPr>
        <w:t>directly</w:t>
      </w:r>
      <w:r>
        <w:rPr>
          <w:spacing w:val="-10"/>
          <w:sz w:val="20"/>
        </w:rPr>
        <w:t> </w:t>
      </w:r>
      <w:r>
        <w:rPr>
          <w:sz w:val="20"/>
        </w:rPr>
        <w:t>to</w:t>
      </w:r>
      <w:r>
        <w:rPr>
          <w:spacing w:val="-6"/>
          <w:sz w:val="20"/>
        </w:rPr>
        <w:t> </w:t>
      </w:r>
      <w:r>
        <w:rPr>
          <w:sz w:val="20"/>
        </w:rPr>
        <w:t>consumers,</w:t>
      </w:r>
      <w:r>
        <w:rPr>
          <w:spacing w:val="-6"/>
          <w:sz w:val="20"/>
        </w:rPr>
        <w:t> </w:t>
      </w:r>
      <w:r>
        <w:rPr>
          <w:sz w:val="20"/>
        </w:rPr>
        <w:t>the sourcing</w:t>
      </w:r>
      <w:r>
        <w:rPr>
          <w:spacing w:val="-6"/>
          <w:sz w:val="20"/>
        </w:rPr>
        <w:t> </w:t>
      </w:r>
      <w:r>
        <w:rPr>
          <w:sz w:val="20"/>
        </w:rPr>
        <w:t>rule</w:t>
      </w:r>
      <w:r>
        <w:rPr>
          <w:spacing w:val="-4"/>
          <w:sz w:val="20"/>
        </w:rPr>
        <w:t> </w:t>
      </w:r>
      <w:r>
        <w:rPr>
          <w:sz w:val="20"/>
        </w:rPr>
        <w:t>is</w:t>
      </w:r>
      <w:r>
        <w:rPr>
          <w:spacing w:val="-3"/>
          <w:sz w:val="20"/>
        </w:rPr>
        <w:t> </w:t>
      </w:r>
      <w:r>
        <w:rPr>
          <w:sz w:val="20"/>
        </w:rPr>
        <w:t>the</w:t>
      </w:r>
      <w:r>
        <w:rPr>
          <w:spacing w:val="-5"/>
          <w:sz w:val="20"/>
        </w:rPr>
        <w:t> </w:t>
      </w:r>
      <w:r>
        <w:rPr>
          <w:sz w:val="20"/>
        </w:rPr>
        <w:t>place</w:t>
      </w:r>
      <w:r>
        <w:rPr>
          <w:spacing w:val="-4"/>
          <w:sz w:val="20"/>
        </w:rPr>
        <w:t> </w:t>
      </w:r>
      <w:r>
        <w:rPr>
          <w:sz w:val="20"/>
        </w:rPr>
        <w:t>of</w:t>
      </w:r>
      <w:r>
        <w:rPr>
          <w:spacing w:val="-2"/>
          <w:sz w:val="20"/>
        </w:rPr>
        <w:t> </w:t>
      </w:r>
      <w:r>
        <w:rPr>
          <w:sz w:val="20"/>
        </w:rPr>
        <w:t>final</w:t>
      </w:r>
      <w:r>
        <w:rPr>
          <w:spacing w:val="-6"/>
          <w:sz w:val="20"/>
        </w:rPr>
        <w:t> </w:t>
      </w:r>
      <w:r>
        <w:rPr>
          <w:sz w:val="20"/>
        </w:rPr>
        <w:t>delivery</w:t>
      </w:r>
      <w:r>
        <w:rPr>
          <w:spacing w:val="-8"/>
          <w:sz w:val="20"/>
        </w:rPr>
        <w:t> </w:t>
      </w:r>
      <w:r>
        <w:rPr>
          <w:sz w:val="20"/>
        </w:rPr>
        <w:t>of</w:t>
      </w:r>
      <w:r>
        <w:rPr>
          <w:spacing w:val="-2"/>
          <w:sz w:val="20"/>
        </w:rPr>
        <w:t> </w:t>
      </w:r>
      <w:r>
        <w:rPr>
          <w:sz w:val="20"/>
        </w:rPr>
        <w:t>the</w:t>
      </w:r>
      <w:r>
        <w:rPr>
          <w:spacing w:val="-4"/>
          <w:sz w:val="20"/>
        </w:rPr>
        <w:t> </w:t>
      </w:r>
      <w:r>
        <w:rPr>
          <w:sz w:val="20"/>
        </w:rPr>
        <w:t>good</w:t>
      </w:r>
      <w:r>
        <w:rPr>
          <w:spacing w:val="-1"/>
          <w:sz w:val="20"/>
        </w:rPr>
        <w:t> </w:t>
      </w:r>
      <w:r>
        <w:rPr>
          <w:sz w:val="20"/>
        </w:rPr>
        <w:t>to</w:t>
      </w:r>
      <w:r>
        <w:rPr>
          <w:spacing w:val="-2"/>
          <w:sz w:val="20"/>
        </w:rPr>
        <w:t> </w:t>
      </w:r>
      <w:r>
        <w:rPr>
          <w:sz w:val="20"/>
        </w:rPr>
        <w:t>the</w:t>
      </w:r>
      <w:r>
        <w:rPr>
          <w:spacing w:val="-5"/>
          <w:sz w:val="20"/>
        </w:rPr>
        <w:t> </w:t>
      </w:r>
      <w:r>
        <w:rPr>
          <w:sz w:val="20"/>
        </w:rPr>
        <w:t>consumer.</w:t>
      </w:r>
      <w:r>
        <w:rPr>
          <w:spacing w:val="-4"/>
          <w:sz w:val="20"/>
        </w:rPr>
        <w:t> </w:t>
      </w:r>
      <w:r>
        <w:rPr>
          <w:sz w:val="20"/>
        </w:rPr>
        <w:t>In</w:t>
      </w:r>
      <w:r>
        <w:rPr>
          <w:spacing w:val="-4"/>
          <w:sz w:val="20"/>
        </w:rPr>
        <w:t> </w:t>
      </w:r>
      <w:r>
        <w:rPr>
          <w:sz w:val="20"/>
        </w:rPr>
        <w:t>principle,</w:t>
      </w:r>
      <w:r>
        <w:rPr>
          <w:spacing w:val="-3"/>
          <w:sz w:val="20"/>
        </w:rPr>
        <w:t> </w:t>
      </w:r>
      <w:r>
        <w:rPr>
          <w:sz w:val="20"/>
        </w:rPr>
        <w:t>accuracy</w:t>
      </w:r>
      <w:r>
        <w:rPr>
          <w:spacing w:val="-8"/>
          <w:sz w:val="20"/>
        </w:rPr>
        <w:t> </w:t>
      </w:r>
      <w:r>
        <w:rPr>
          <w:sz w:val="20"/>
        </w:rPr>
        <w:t>of</w:t>
      </w:r>
      <w:r>
        <w:rPr>
          <w:spacing w:val="-2"/>
          <w:sz w:val="20"/>
        </w:rPr>
        <w:t> </w:t>
      </w:r>
      <w:r>
        <w:rPr>
          <w:sz w:val="20"/>
        </w:rPr>
        <w:t>identifying the market jurisdiction should be sought, to align the results where the MNE is itself fully responsible for the complete value chain of the good, or in the case that the distribution of the goods is contracted with third party (independent)</w:t>
      </w:r>
      <w:r>
        <w:rPr>
          <w:spacing w:val="-2"/>
          <w:sz w:val="20"/>
        </w:rPr>
        <w:t> </w:t>
      </w:r>
      <w:r>
        <w:rPr>
          <w:sz w:val="20"/>
        </w:rPr>
        <w:t>distributors.</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The</w:t>
      </w:r>
      <w:r>
        <w:rPr>
          <w:spacing w:val="-6"/>
          <w:sz w:val="20"/>
        </w:rPr>
        <w:t> </w:t>
      </w:r>
      <w:r>
        <w:rPr>
          <w:sz w:val="20"/>
        </w:rPr>
        <w:t>hierarchy</w:t>
      </w:r>
      <w:r>
        <w:rPr>
          <w:spacing w:val="-9"/>
          <w:sz w:val="20"/>
        </w:rPr>
        <w:t> </w:t>
      </w:r>
      <w:r>
        <w:rPr>
          <w:sz w:val="20"/>
        </w:rPr>
        <w:t>of</w:t>
      </w:r>
      <w:r>
        <w:rPr>
          <w:spacing w:val="-4"/>
          <w:sz w:val="20"/>
        </w:rPr>
        <w:t> </w:t>
      </w:r>
      <w:r>
        <w:rPr>
          <w:sz w:val="20"/>
        </w:rPr>
        <w:t>the</w:t>
      </w:r>
      <w:r>
        <w:rPr>
          <w:spacing w:val="-3"/>
          <w:sz w:val="20"/>
        </w:rPr>
        <w:t> </w:t>
      </w:r>
      <w:r>
        <w:rPr>
          <w:sz w:val="20"/>
        </w:rPr>
        <w:t>indicators</w:t>
      </w:r>
      <w:r>
        <w:rPr>
          <w:spacing w:val="-4"/>
          <w:sz w:val="20"/>
        </w:rPr>
        <w:t> </w:t>
      </w:r>
      <w:r>
        <w:rPr>
          <w:sz w:val="20"/>
        </w:rPr>
        <w:t>looks</w:t>
      </w:r>
      <w:r>
        <w:rPr>
          <w:spacing w:val="-3"/>
          <w:sz w:val="20"/>
        </w:rPr>
        <w:t> </w:t>
      </w:r>
      <w:r>
        <w:rPr>
          <w:sz w:val="20"/>
        </w:rPr>
        <w:t>first</w:t>
      </w:r>
      <w:r>
        <w:rPr>
          <w:spacing w:val="-5"/>
          <w:sz w:val="20"/>
        </w:rPr>
        <w:t> </w:t>
      </w:r>
      <w:r>
        <w:rPr>
          <w:sz w:val="20"/>
        </w:rPr>
        <w:t>to</w:t>
      </w:r>
      <w:r>
        <w:rPr>
          <w:spacing w:val="-6"/>
          <w:sz w:val="20"/>
        </w:rPr>
        <w:t> </w:t>
      </w:r>
      <w:r>
        <w:rPr>
          <w:sz w:val="20"/>
        </w:rPr>
        <w:t>the</w:t>
      </w:r>
      <w:r>
        <w:rPr>
          <w:spacing w:val="-6"/>
          <w:sz w:val="20"/>
        </w:rPr>
        <w:t> </w:t>
      </w:r>
      <w:r>
        <w:rPr>
          <w:sz w:val="20"/>
        </w:rPr>
        <w:t>information</w:t>
      </w:r>
      <w:r>
        <w:rPr>
          <w:spacing w:val="-4"/>
          <w:sz w:val="20"/>
        </w:rPr>
        <w:t> </w:t>
      </w:r>
      <w:r>
        <w:rPr>
          <w:sz w:val="20"/>
        </w:rPr>
        <w:t>reported</w:t>
      </w:r>
      <w:r>
        <w:rPr>
          <w:spacing w:val="-5"/>
          <w:sz w:val="20"/>
        </w:rPr>
        <w:t> </w:t>
      </w:r>
      <w:r>
        <w:rPr>
          <w:sz w:val="20"/>
        </w:rPr>
        <w:t>by</w:t>
      </w:r>
      <w:r>
        <w:rPr>
          <w:spacing w:val="-6"/>
          <w:sz w:val="20"/>
        </w:rPr>
        <w:t> </w:t>
      </w:r>
      <w:r>
        <w:rPr>
          <w:sz w:val="20"/>
        </w:rPr>
        <w:t>the</w:t>
      </w:r>
      <w:r>
        <w:rPr>
          <w:spacing w:val="-3"/>
          <w:sz w:val="20"/>
        </w:rPr>
        <w:t> </w:t>
      </w:r>
      <w:r>
        <w:rPr>
          <w:sz w:val="20"/>
        </w:rPr>
        <w:t>distributor</w:t>
      </w:r>
      <w:r>
        <w:rPr>
          <w:spacing w:val="-5"/>
          <w:sz w:val="20"/>
        </w:rPr>
        <w:t> </w:t>
      </w:r>
      <w:r>
        <w:rPr>
          <w:sz w:val="20"/>
        </w:rPr>
        <w:t>as</w:t>
      </w:r>
      <w:r>
        <w:rPr>
          <w:spacing w:val="-5"/>
          <w:sz w:val="20"/>
        </w:rPr>
        <w:t> </w:t>
      </w:r>
      <w:r>
        <w:rPr>
          <w:sz w:val="20"/>
        </w:rPr>
        <w:t>the</w:t>
      </w:r>
      <w:r>
        <w:rPr>
          <w:spacing w:val="-6"/>
          <w:sz w:val="20"/>
        </w:rPr>
        <w:t> </w:t>
      </w:r>
      <w:r>
        <w:rPr>
          <w:sz w:val="20"/>
        </w:rPr>
        <w:t>most reliable</w:t>
      </w:r>
      <w:r>
        <w:rPr>
          <w:spacing w:val="-8"/>
          <w:sz w:val="20"/>
        </w:rPr>
        <w:t> </w:t>
      </w:r>
      <w:r>
        <w:rPr>
          <w:sz w:val="20"/>
        </w:rPr>
        <w:t>and</w:t>
      </w:r>
      <w:r>
        <w:rPr>
          <w:spacing w:val="-7"/>
          <w:sz w:val="20"/>
        </w:rPr>
        <w:t> </w:t>
      </w:r>
      <w:r>
        <w:rPr>
          <w:sz w:val="20"/>
        </w:rPr>
        <w:t>accurate</w:t>
      </w:r>
      <w:r>
        <w:rPr>
          <w:spacing w:val="-5"/>
          <w:sz w:val="20"/>
        </w:rPr>
        <w:t> </w:t>
      </w:r>
      <w:r>
        <w:rPr>
          <w:sz w:val="20"/>
        </w:rPr>
        <w:t>indicator.</w:t>
      </w:r>
      <w:r>
        <w:rPr>
          <w:spacing w:val="-6"/>
          <w:sz w:val="20"/>
        </w:rPr>
        <w:t> </w:t>
      </w:r>
      <w:r>
        <w:rPr>
          <w:sz w:val="20"/>
        </w:rPr>
        <w:t>In</w:t>
      </w:r>
      <w:r>
        <w:rPr>
          <w:spacing w:val="-7"/>
          <w:sz w:val="20"/>
        </w:rPr>
        <w:t> </w:t>
      </w:r>
      <w:r>
        <w:rPr>
          <w:sz w:val="20"/>
        </w:rPr>
        <w:t>some</w:t>
      </w:r>
      <w:r>
        <w:rPr>
          <w:spacing w:val="-8"/>
          <w:sz w:val="20"/>
        </w:rPr>
        <w:t> </w:t>
      </w:r>
      <w:r>
        <w:rPr>
          <w:sz w:val="20"/>
        </w:rPr>
        <w:t>cases,</w:t>
      </w:r>
      <w:r>
        <w:rPr>
          <w:spacing w:val="-6"/>
          <w:sz w:val="20"/>
        </w:rPr>
        <w:t> </w:t>
      </w:r>
      <w:r>
        <w:rPr>
          <w:sz w:val="20"/>
        </w:rPr>
        <w:t>the</w:t>
      </w:r>
      <w:r>
        <w:rPr>
          <w:spacing w:val="-7"/>
          <w:sz w:val="20"/>
        </w:rPr>
        <w:t> </w:t>
      </w:r>
      <w:r>
        <w:rPr>
          <w:sz w:val="20"/>
        </w:rPr>
        <w:t>MNE</w:t>
      </w:r>
      <w:r>
        <w:rPr>
          <w:spacing w:val="-4"/>
          <w:sz w:val="20"/>
        </w:rPr>
        <w:t> </w:t>
      </w:r>
      <w:r>
        <w:rPr>
          <w:sz w:val="20"/>
        </w:rPr>
        <w:t>would</w:t>
      </w:r>
      <w:r>
        <w:rPr>
          <w:spacing w:val="-5"/>
          <w:sz w:val="20"/>
        </w:rPr>
        <w:t> </w:t>
      </w:r>
      <w:r>
        <w:rPr>
          <w:sz w:val="20"/>
        </w:rPr>
        <w:t>already</w:t>
      </w:r>
      <w:r>
        <w:rPr>
          <w:spacing w:val="-9"/>
          <w:sz w:val="20"/>
        </w:rPr>
        <w:t> </w:t>
      </w:r>
      <w:r>
        <w:rPr>
          <w:sz w:val="20"/>
        </w:rPr>
        <w:t>have</w:t>
      </w:r>
      <w:r>
        <w:rPr>
          <w:spacing w:val="-8"/>
          <w:sz w:val="20"/>
        </w:rPr>
        <w:t> </w:t>
      </w:r>
      <w:r>
        <w:rPr>
          <w:sz w:val="20"/>
        </w:rPr>
        <w:t>this</w:t>
      </w:r>
      <w:r>
        <w:rPr>
          <w:spacing w:val="-5"/>
          <w:sz w:val="20"/>
        </w:rPr>
        <w:t> </w:t>
      </w:r>
      <w:r>
        <w:rPr>
          <w:sz w:val="20"/>
        </w:rPr>
        <w:t>information</w:t>
      </w:r>
      <w:r>
        <w:rPr>
          <w:spacing w:val="-7"/>
          <w:sz w:val="20"/>
        </w:rPr>
        <w:t> </w:t>
      </w:r>
      <w:r>
        <w:rPr>
          <w:sz w:val="20"/>
        </w:rPr>
        <w:t>available,</w:t>
      </w:r>
      <w:r>
        <w:rPr>
          <w:spacing w:val="-7"/>
          <w:sz w:val="20"/>
        </w:rPr>
        <w:t> </w:t>
      </w:r>
      <w:r>
        <w:rPr>
          <w:sz w:val="20"/>
        </w:rPr>
        <w:t>for example because of regulatory requirements or for safety reasons, or for commercial interest in knowing the performance of its product in each market. In other cases, the MNE is expected to take reasonable steps to seek a change in the contractual arrangement with the distributor, which would require the distributor</w:t>
      </w:r>
      <w:r>
        <w:rPr>
          <w:spacing w:val="-7"/>
          <w:sz w:val="20"/>
        </w:rPr>
        <w:t> </w:t>
      </w:r>
      <w:r>
        <w:rPr>
          <w:sz w:val="20"/>
        </w:rPr>
        <w:t>to</w:t>
      </w:r>
      <w:r>
        <w:rPr>
          <w:spacing w:val="-8"/>
          <w:sz w:val="20"/>
        </w:rPr>
        <w:t> </w:t>
      </w:r>
      <w:r>
        <w:rPr>
          <w:sz w:val="20"/>
        </w:rPr>
        <w:t>report</w:t>
      </w:r>
      <w:r>
        <w:rPr>
          <w:spacing w:val="-6"/>
          <w:sz w:val="20"/>
        </w:rPr>
        <w:t> </w:t>
      </w:r>
      <w:r>
        <w:rPr>
          <w:sz w:val="20"/>
        </w:rPr>
        <w:t>the</w:t>
      </w:r>
      <w:r>
        <w:rPr>
          <w:spacing w:val="-7"/>
          <w:sz w:val="20"/>
        </w:rPr>
        <w:t> </w:t>
      </w:r>
      <w:r>
        <w:rPr>
          <w:sz w:val="20"/>
        </w:rPr>
        <w:t>information</w:t>
      </w:r>
      <w:r>
        <w:rPr>
          <w:spacing w:val="-9"/>
          <w:sz w:val="20"/>
        </w:rPr>
        <w:t> </w:t>
      </w:r>
      <w:r>
        <w:rPr>
          <w:sz w:val="20"/>
        </w:rPr>
        <w:t>on</w:t>
      </w:r>
      <w:r>
        <w:rPr>
          <w:spacing w:val="-7"/>
          <w:sz w:val="20"/>
        </w:rPr>
        <w:t> </w:t>
      </w:r>
      <w:r>
        <w:rPr>
          <w:sz w:val="20"/>
        </w:rPr>
        <w:t>the</w:t>
      </w:r>
      <w:r>
        <w:rPr>
          <w:spacing w:val="-7"/>
          <w:sz w:val="20"/>
        </w:rPr>
        <w:t> </w:t>
      </w:r>
      <w:r>
        <w:rPr>
          <w:sz w:val="20"/>
        </w:rPr>
        <w:t>aggregate</w:t>
      </w:r>
      <w:r>
        <w:rPr>
          <w:spacing w:val="-9"/>
          <w:sz w:val="20"/>
        </w:rPr>
        <w:t> </w:t>
      </w:r>
      <w:r>
        <w:rPr>
          <w:sz w:val="20"/>
        </w:rPr>
        <w:t>number</w:t>
      </w:r>
      <w:r>
        <w:rPr>
          <w:spacing w:val="-8"/>
          <w:sz w:val="20"/>
        </w:rPr>
        <w:t> </w:t>
      </w:r>
      <w:r>
        <w:rPr>
          <w:sz w:val="20"/>
        </w:rPr>
        <w:t>and</w:t>
      </w:r>
      <w:r>
        <w:rPr>
          <w:spacing w:val="-9"/>
          <w:sz w:val="20"/>
        </w:rPr>
        <w:t> </w:t>
      </w:r>
      <w:r>
        <w:rPr>
          <w:sz w:val="20"/>
        </w:rPr>
        <w:t>type</w:t>
      </w:r>
      <w:r>
        <w:rPr>
          <w:spacing w:val="-7"/>
          <w:sz w:val="20"/>
        </w:rPr>
        <w:t> </w:t>
      </w:r>
      <w:r>
        <w:rPr>
          <w:sz w:val="20"/>
        </w:rPr>
        <w:t>of</w:t>
      </w:r>
      <w:r>
        <w:rPr>
          <w:spacing w:val="-7"/>
          <w:sz w:val="20"/>
        </w:rPr>
        <w:t> </w:t>
      </w:r>
      <w:r>
        <w:rPr>
          <w:sz w:val="20"/>
        </w:rPr>
        <w:t>products</w:t>
      </w:r>
      <w:r>
        <w:rPr>
          <w:spacing w:val="-5"/>
          <w:sz w:val="20"/>
        </w:rPr>
        <w:t> </w:t>
      </w:r>
      <w:r>
        <w:rPr>
          <w:sz w:val="20"/>
        </w:rPr>
        <w:t>sold</w:t>
      </w:r>
      <w:r>
        <w:rPr>
          <w:spacing w:val="-7"/>
          <w:sz w:val="20"/>
        </w:rPr>
        <w:t> </w:t>
      </w:r>
      <w:r>
        <w:rPr>
          <w:sz w:val="20"/>
        </w:rPr>
        <w:t>to</w:t>
      </w:r>
      <w:r>
        <w:rPr>
          <w:spacing w:val="-7"/>
          <w:sz w:val="20"/>
        </w:rPr>
        <w:t> </w:t>
      </w:r>
      <w:r>
        <w:rPr>
          <w:sz w:val="20"/>
        </w:rPr>
        <w:t>each</w:t>
      </w:r>
      <w:r>
        <w:rPr>
          <w:spacing w:val="-7"/>
          <w:sz w:val="20"/>
        </w:rPr>
        <w:t> </w:t>
      </w:r>
      <w:r>
        <w:rPr>
          <w:sz w:val="20"/>
        </w:rPr>
        <w:t>jurisdiction (no</w:t>
      </w:r>
      <w:r>
        <w:rPr>
          <w:spacing w:val="-10"/>
          <w:sz w:val="20"/>
        </w:rPr>
        <w:t> </w:t>
      </w:r>
      <w:r>
        <w:rPr>
          <w:sz w:val="20"/>
        </w:rPr>
        <w:t>sensitive</w:t>
      </w:r>
      <w:r>
        <w:rPr>
          <w:spacing w:val="-8"/>
          <w:sz w:val="20"/>
        </w:rPr>
        <w:t> </w:t>
      </w:r>
      <w:r>
        <w:rPr>
          <w:sz w:val="20"/>
        </w:rPr>
        <w:t>commercial</w:t>
      </w:r>
      <w:r>
        <w:rPr>
          <w:spacing w:val="-9"/>
          <w:sz w:val="20"/>
        </w:rPr>
        <w:t> </w:t>
      </w:r>
      <w:r>
        <w:rPr>
          <w:sz w:val="20"/>
        </w:rPr>
        <w:t>information</w:t>
      </w:r>
      <w:r>
        <w:rPr>
          <w:spacing w:val="-10"/>
          <w:sz w:val="20"/>
        </w:rPr>
        <w:t> </w:t>
      </w:r>
      <w:r>
        <w:rPr>
          <w:sz w:val="20"/>
        </w:rPr>
        <w:t>such</w:t>
      </w:r>
      <w:r>
        <w:rPr>
          <w:spacing w:val="-8"/>
          <w:sz w:val="20"/>
        </w:rPr>
        <w:t> </w:t>
      </w:r>
      <w:r>
        <w:rPr>
          <w:sz w:val="20"/>
        </w:rPr>
        <w:t>as</w:t>
      </w:r>
      <w:r>
        <w:rPr>
          <w:spacing w:val="-8"/>
          <w:sz w:val="20"/>
        </w:rPr>
        <w:t> </w:t>
      </w:r>
      <w:r>
        <w:rPr>
          <w:sz w:val="20"/>
        </w:rPr>
        <w:t>pricing</w:t>
      </w:r>
      <w:r>
        <w:rPr>
          <w:spacing w:val="-8"/>
          <w:sz w:val="20"/>
        </w:rPr>
        <w:t> </w:t>
      </w:r>
      <w:r>
        <w:rPr>
          <w:sz w:val="20"/>
        </w:rPr>
        <w:t>information</w:t>
      </w:r>
      <w:r>
        <w:rPr>
          <w:spacing w:val="-10"/>
          <w:sz w:val="20"/>
        </w:rPr>
        <w:t> </w:t>
      </w:r>
      <w:r>
        <w:rPr>
          <w:sz w:val="20"/>
        </w:rPr>
        <w:t>or</w:t>
      </w:r>
      <w:r>
        <w:rPr>
          <w:spacing w:val="-9"/>
          <w:sz w:val="20"/>
        </w:rPr>
        <w:t> </w:t>
      </w:r>
      <w:r>
        <w:rPr>
          <w:sz w:val="20"/>
        </w:rPr>
        <w:t>specific</w:t>
      </w:r>
      <w:r>
        <w:rPr>
          <w:spacing w:val="-9"/>
          <w:sz w:val="20"/>
        </w:rPr>
        <w:t> </w:t>
      </w:r>
      <w:r>
        <w:rPr>
          <w:sz w:val="20"/>
        </w:rPr>
        <w:t>customer</w:t>
      </w:r>
      <w:r>
        <w:rPr>
          <w:spacing w:val="-8"/>
          <w:sz w:val="20"/>
        </w:rPr>
        <w:t> </w:t>
      </w:r>
      <w:r>
        <w:rPr>
          <w:sz w:val="20"/>
        </w:rPr>
        <w:t>addresses</w:t>
      </w:r>
      <w:r>
        <w:rPr>
          <w:spacing w:val="-7"/>
          <w:sz w:val="20"/>
        </w:rPr>
        <w:t> </w:t>
      </w:r>
      <w:r>
        <w:rPr>
          <w:sz w:val="20"/>
        </w:rPr>
        <w:t>would</w:t>
      </w:r>
      <w:r>
        <w:rPr>
          <w:spacing w:val="-8"/>
          <w:sz w:val="20"/>
        </w:rPr>
        <w:t> </w:t>
      </w:r>
      <w:r>
        <w:rPr>
          <w:sz w:val="20"/>
        </w:rPr>
        <w:t>be required). It is noted that such arrangements may take time to negotiate, and may come at a cost as a broader renegotiation of the</w:t>
      </w:r>
      <w:r>
        <w:rPr>
          <w:spacing w:val="-2"/>
          <w:sz w:val="20"/>
        </w:rPr>
        <w:t> </w:t>
      </w:r>
      <w:r>
        <w:rPr>
          <w:sz w:val="20"/>
        </w:rPr>
        <w:t>contract.</w:t>
      </w:r>
      <w:r>
        <w:rPr>
          <w:sz w:val="20"/>
          <w:vertAlign w:val="superscript"/>
        </w:rPr>
        <w:t>57</w:t>
      </w:r>
    </w:p>
    <w:p>
      <w:pPr>
        <w:pStyle w:val="BodyText"/>
      </w:pPr>
    </w:p>
    <w:p>
      <w:pPr>
        <w:pStyle w:val="BodyText"/>
      </w:pPr>
    </w:p>
    <w:p>
      <w:pPr>
        <w:pStyle w:val="BodyText"/>
        <w:spacing w:before="2"/>
        <w:rPr>
          <w:sz w:val="14"/>
        </w:rPr>
      </w:pPr>
      <w:r>
        <w:rPr/>
        <w:pict>
          <v:rect style="position:absolute;margin-left:65.183998pt;margin-top:10.112001pt;width:144.020004pt;height:.599980pt;mso-position-horizontal-relative:page;mso-position-vertical-relative:paragraph;z-index:-1567488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See section below on “next steps” for further</w:t>
      </w:r>
      <w:r>
        <w:rPr>
          <w:spacing w:val="-6"/>
          <w:sz w:val="18"/>
        </w:rPr>
        <w:t> </w:t>
      </w:r>
      <w:r>
        <w:rPr>
          <w:sz w:val="18"/>
        </w:rPr>
        <w:t>work.</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2" w:firstLine="0"/>
        <w:jc w:val="both"/>
        <w:rPr>
          <w:sz w:val="20"/>
        </w:rPr>
      </w:pPr>
      <w:r>
        <w:rPr>
          <w:sz w:val="20"/>
        </w:rPr>
        <w:t>Only if the MNE can demonstrate that it has taken reasonable steps to change the contract to obtain</w:t>
      </w:r>
      <w:r>
        <w:rPr>
          <w:spacing w:val="-10"/>
          <w:sz w:val="20"/>
        </w:rPr>
        <w:t> </w:t>
      </w:r>
      <w:r>
        <w:rPr>
          <w:sz w:val="20"/>
        </w:rPr>
        <w:t>the</w:t>
      </w:r>
      <w:r>
        <w:rPr>
          <w:spacing w:val="-10"/>
          <w:sz w:val="20"/>
        </w:rPr>
        <w:t> </w:t>
      </w:r>
      <w:r>
        <w:rPr>
          <w:sz w:val="20"/>
        </w:rPr>
        <w:t>information</w:t>
      </w:r>
      <w:r>
        <w:rPr>
          <w:spacing w:val="-9"/>
          <w:sz w:val="20"/>
        </w:rPr>
        <w:t> </w:t>
      </w:r>
      <w:r>
        <w:rPr>
          <w:sz w:val="20"/>
        </w:rPr>
        <w:t>directly</w:t>
      </w:r>
      <w:r>
        <w:rPr>
          <w:spacing w:val="-12"/>
          <w:sz w:val="20"/>
        </w:rPr>
        <w:t> </w:t>
      </w:r>
      <w:r>
        <w:rPr>
          <w:sz w:val="20"/>
        </w:rPr>
        <w:t>from</w:t>
      </w:r>
      <w:r>
        <w:rPr>
          <w:spacing w:val="-8"/>
          <w:sz w:val="20"/>
        </w:rPr>
        <w:t> </w:t>
      </w:r>
      <w:r>
        <w:rPr>
          <w:sz w:val="20"/>
        </w:rPr>
        <w:t>the</w:t>
      </w:r>
      <w:r>
        <w:rPr>
          <w:spacing w:val="-10"/>
          <w:sz w:val="20"/>
        </w:rPr>
        <w:t> </w:t>
      </w:r>
      <w:r>
        <w:rPr>
          <w:sz w:val="20"/>
        </w:rPr>
        <w:t>independent</w:t>
      </w:r>
      <w:r>
        <w:rPr>
          <w:spacing w:val="-9"/>
          <w:sz w:val="20"/>
        </w:rPr>
        <w:t> </w:t>
      </w:r>
      <w:r>
        <w:rPr>
          <w:sz w:val="20"/>
        </w:rPr>
        <w:t>distributor,</w:t>
      </w:r>
      <w:r>
        <w:rPr>
          <w:spacing w:val="-7"/>
          <w:sz w:val="20"/>
        </w:rPr>
        <w:t> </w:t>
      </w:r>
      <w:r>
        <w:rPr>
          <w:sz w:val="20"/>
        </w:rPr>
        <w:t>but</w:t>
      </w:r>
      <w:r>
        <w:rPr>
          <w:spacing w:val="-9"/>
          <w:sz w:val="20"/>
        </w:rPr>
        <w:t> </w:t>
      </w:r>
      <w:r>
        <w:rPr>
          <w:sz w:val="20"/>
        </w:rPr>
        <w:t>has</w:t>
      </w:r>
      <w:r>
        <w:rPr>
          <w:spacing w:val="-9"/>
          <w:sz w:val="20"/>
        </w:rPr>
        <w:t> </w:t>
      </w:r>
      <w:r>
        <w:rPr>
          <w:sz w:val="20"/>
        </w:rPr>
        <w:t>been</w:t>
      </w:r>
      <w:r>
        <w:rPr>
          <w:spacing w:val="-10"/>
          <w:sz w:val="20"/>
        </w:rPr>
        <w:t> </w:t>
      </w:r>
      <w:r>
        <w:rPr>
          <w:sz w:val="20"/>
        </w:rPr>
        <w:t>unsuccessful</w:t>
      </w:r>
      <w:r>
        <w:rPr>
          <w:spacing w:val="-10"/>
          <w:sz w:val="20"/>
        </w:rPr>
        <w:t> </w:t>
      </w:r>
      <w:r>
        <w:rPr>
          <w:sz w:val="20"/>
        </w:rPr>
        <w:t>in</w:t>
      </w:r>
      <w:r>
        <w:rPr>
          <w:spacing w:val="-10"/>
          <w:sz w:val="20"/>
        </w:rPr>
        <w:t> </w:t>
      </w:r>
      <w:r>
        <w:rPr>
          <w:sz w:val="20"/>
        </w:rPr>
        <w:t>doing</w:t>
      </w:r>
      <w:r>
        <w:rPr>
          <w:spacing w:val="-9"/>
          <w:sz w:val="20"/>
        </w:rPr>
        <w:t> </w:t>
      </w:r>
      <w:r>
        <w:rPr>
          <w:spacing w:val="3"/>
          <w:sz w:val="20"/>
        </w:rPr>
        <w:t>so,</w:t>
      </w:r>
      <w:r>
        <w:rPr>
          <w:spacing w:val="-10"/>
          <w:sz w:val="20"/>
        </w:rPr>
        <w:t> </w:t>
      </w:r>
      <w:r>
        <w:rPr>
          <w:sz w:val="20"/>
        </w:rPr>
        <w:t>the MNE would use information that is already available, such as market research for the purpose of management</w:t>
      </w:r>
      <w:r>
        <w:rPr>
          <w:spacing w:val="-9"/>
          <w:sz w:val="20"/>
        </w:rPr>
        <w:t> </w:t>
      </w:r>
      <w:r>
        <w:rPr>
          <w:sz w:val="20"/>
        </w:rPr>
        <w:t>reporting.</w:t>
      </w:r>
      <w:r>
        <w:rPr>
          <w:sz w:val="20"/>
          <w:vertAlign w:val="superscript"/>
        </w:rPr>
        <w:t>58</w:t>
      </w:r>
      <w:r>
        <w:rPr>
          <w:spacing w:val="-9"/>
          <w:sz w:val="20"/>
          <w:vertAlign w:val="baseline"/>
        </w:rPr>
        <w:t> </w:t>
      </w:r>
      <w:r>
        <w:rPr>
          <w:sz w:val="20"/>
          <w:vertAlign w:val="baseline"/>
        </w:rPr>
        <w:t>The</w:t>
      </w:r>
      <w:r>
        <w:rPr>
          <w:spacing w:val="-9"/>
          <w:sz w:val="20"/>
          <w:vertAlign w:val="baseline"/>
        </w:rPr>
        <w:t> </w:t>
      </w:r>
      <w:r>
        <w:rPr>
          <w:sz w:val="20"/>
          <w:vertAlign w:val="baseline"/>
        </w:rPr>
        <w:t>same</w:t>
      </w:r>
      <w:r>
        <w:rPr>
          <w:spacing w:val="-9"/>
          <w:sz w:val="20"/>
          <w:vertAlign w:val="baseline"/>
        </w:rPr>
        <w:t> </w:t>
      </w:r>
      <w:r>
        <w:rPr>
          <w:sz w:val="20"/>
          <w:vertAlign w:val="baseline"/>
        </w:rPr>
        <w:t>approach</w:t>
      </w:r>
      <w:r>
        <w:rPr>
          <w:spacing w:val="-8"/>
          <w:sz w:val="20"/>
          <w:vertAlign w:val="baseline"/>
        </w:rPr>
        <w:t> </w:t>
      </w:r>
      <w:r>
        <w:rPr>
          <w:sz w:val="20"/>
          <w:vertAlign w:val="baseline"/>
        </w:rPr>
        <w:t>would</w:t>
      </w:r>
      <w:r>
        <w:rPr>
          <w:spacing w:val="-7"/>
          <w:sz w:val="20"/>
          <w:vertAlign w:val="baseline"/>
        </w:rPr>
        <w:t> </w:t>
      </w:r>
      <w:r>
        <w:rPr>
          <w:sz w:val="20"/>
          <w:vertAlign w:val="baseline"/>
        </w:rPr>
        <w:t>apply</w:t>
      </w:r>
      <w:r>
        <w:rPr>
          <w:spacing w:val="-12"/>
          <w:sz w:val="20"/>
          <w:vertAlign w:val="baseline"/>
        </w:rPr>
        <w:t> </w:t>
      </w:r>
      <w:r>
        <w:rPr>
          <w:sz w:val="20"/>
          <w:vertAlign w:val="baseline"/>
        </w:rPr>
        <w:t>where</w:t>
      </w:r>
      <w:r>
        <w:rPr>
          <w:spacing w:val="-6"/>
          <w:sz w:val="20"/>
          <w:vertAlign w:val="baseline"/>
        </w:rPr>
        <w:t> </w:t>
      </w:r>
      <w:r>
        <w:rPr>
          <w:sz w:val="20"/>
          <w:vertAlign w:val="baseline"/>
        </w:rPr>
        <w:t>a</w:t>
      </w:r>
      <w:r>
        <w:rPr>
          <w:spacing w:val="-9"/>
          <w:sz w:val="20"/>
          <w:vertAlign w:val="baseline"/>
        </w:rPr>
        <w:t> </w:t>
      </w:r>
      <w:r>
        <w:rPr>
          <w:sz w:val="20"/>
          <w:vertAlign w:val="baseline"/>
        </w:rPr>
        <w:t>contract</w:t>
      </w:r>
      <w:r>
        <w:rPr>
          <w:spacing w:val="-9"/>
          <w:sz w:val="20"/>
          <w:vertAlign w:val="baseline"/>
        </w:rPr>
        <w:t> </w:t>
      </w:r>
      <w:r>
        <w:rPr>
          <w:sz w:val="20"/>
          <w:vertAlign w:val="baseline"/>
        </w:rPr>
        <w:t>has</w:t>
      </w:r>
      <w:r>
        <w:rPr>
          <w:spacing w:val="-8"/>
          <w:sz w:val="20"/>
          <w:vertAlign w:val="baseline"/>
        </w:rPr>
        <w:t> </w:t>
      </w:r>
      <w:r>
        <w:rPr>
          <w:sz w:val="20"/>
          <w:vertAlign w:val="baseline"/>
        </w:rPr>
        <w:t>been</w:t>
      </w:r>
      <w:r>
        <w:rPr>
          <w:spacing w:val="-9"/>
          <w:sz w:val="20"/>
          <w:vertAlign w:val="baseline"/>
        </w:rPr>
        <w:t> </w:t>
      </w:r>
      <w:r>
        <w:rPr>
          <w:sz w:val="20"/>
          <w:vertAlign w:val="baseline"/>
        </w:rPr>
        <w:t>amended,</w:t>
      </w:r>
      <w:r>
        <w:rPr>
          <w:spacing w:val="-7"/>
          <w:sz w:val="20"/>
          <w:vertAlign w:val="baseline"/>
        </w:rPr>
        <w:t> </w:t>
      </w:r>
      <w:r>
        <w:rPr>
          <w:sz w:val="20"/>
          <w:vertAlign w:val="baseline"/>
        </w:rPr>
        <w:t>but</w:t>
      </w:r>
      <w:r>
        <w:rPr>
          <w:spacing w:val="-9"/>
          <w:sz w:val="20"/>
          <w:vertAlign w:val="baseline"/>
        </w:rPr>
        <w:t> </w:t>
      </w:r>
      <w:r>
        <w:rPr>
          <w:sz w:val="20"/>
          <w:vertAlign w:val="baseline"/>
        </w:rPr>
        <w:t>there is a period of time before it becomes</w:t>
      </w:r>
      <w:r>
        <w:rPr>
          <w:spacing w:val="-6"/>
          <w:sz w:val="20"/>
          <w:vertAlign w:val="baseline"/>
        </w:rPr>
        <w:t> </w:t>
      </w:r>
      <w:r>
        <w:rPr>
          <w:sz w:val="20"/>
          <w:vertAlign w:val="baseline"/>
        </w:rPr>
        <w:t>operational.</w:t>
      </w:r>
    </w:p>
    <w:p>
      <w:pPr>
        <w:pStyle w:val="BodyText"/>
      </w:pPr>
    </w:p>
    <w:p>
      <w:pPr>
        <w:pStyle w:val="Heading7"/>
        <w:rPr>
          <w:i/>
        </w:rPr>
      </w:pPr>
      <w:bookmarkStart w:name="Revenue from consumer-facing services" w:id="181"/>
      <w:bookmarkEnd w:id="181"/>
      <w:r>
        <w:rPr>
          <w:i w:val="0"/>
        </w:rPr>
      </w:r>
      <w:r>
        <w:rPr>
          <w:i/>
          <w:color w:val="616161"/>
        </w:rPr>
        <w:t>Revenue from consumer-facing services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The relevant sourcing rule for consumer-facing services is the place of enjoyment or use of the service. This is because these types of services are generally consumed at the same time as and at the same place where they are physically performed, and the place that the consumer has sought the performance to take place represents the most accurate market jurisdiction. For example, in the case of tourism, it is the benefits offered by the jurisdiction being visited, rather than the residence of the tourist, that justifies a return to the market</w:t>
      </w:r>
      <w:r>
        <w:rPr>
          <w:spacing w:val="-5"/>
          <w:sz w:val="20"/>
        </w:rPr>
        <w:t> </w:t>
      </w:r>
      <w:r>
        <w:rPr>
          <w:sz w:val="20"/>
        </w:rPr>
        <w:t>jurisdiction.</w:t>
      </w:r>
    </w:p>
    <w:p>
      <w:pPr>
        <w:pStyle w:val="ListParagraph"/>
        <w:numPr>
          <w:ilvl w:val="0"/>
          <w:numId w:val="13"/>
        </w:numPr>
        <w:tabs>
          <w:tab w:pos="1444" w:val="left" w:leader="none"/>
        </w:tabs>
        <w:spacing w:line="271" w:lineRule="auto" w:before="121" w:after="0"/>
        <w:ind w:left="723" w:right="487" w:firstLine="0"/>
        <w:jc w:val="both"/>
        <w:rPr>
          <w:sz w:val="20"/>
        </w:rPr>
      </w:pPr>
      <w:r>
        <w:rPr>
          <w:sz w:val="20"/>
        </w:rPr>
        <w:t>The indicator for the place that the service is enjoyed or used is the address where the service is performed. In most cases this will be straightforward, such as the location of the hotel, the location of the tourist site, or the performance of the entertainment, as this will be a key term identified in the service agreement.</w:t>
      </w:r>
      <w:r>
        <w:rPr>
          <w:spacing w:val="-5"/>
          <w:sz w:val="20"/>
        </w:rPr>
        <w:t> </w:t>
      </w:r>
      <w:r>
        <w:rPr>
          <w:sz w:val="20"/>
        </w:rPr>
        <w:t>As</w:t>
      </w:r>
      <w:r>
        <w:rPr>
          <w:spacing w:val="-4"/>
          <w:sz w:val="20"/>
        </w:rPr>
        <w:t> </w:t>
      </w:r>
      <w:r>
        <w:rPr>
          <w:sz w:val="20"/>
        </w:rPr>
        <w:t>such,</w:t>
      </w:r>
      <w:r>
        <w:rPr>
          <w:spacing w:val="-5"/>
          <w:sz w:val="20"/>
        </w:rPr>
        <w:t> </w:t>
      </w:r>
      <w:r>
        <w:rPr>
          <w:sz w:val="20"/>
        </w:rPr>
        <w:t>the</w:t>
      </w:r>
      <w:r>
        <w:rPr>
          <w:spacing w:val="-5"/>
          <w:sz w:val="20"/>
        </w:rPr>
        <w:t> </w:t>
      </w:r>
      <w:r>
        <w:rPr>
          <w:sz w:val="20"/>
        </w:rPr>
        <w:t>sourcing</w:t>
      </w:r>
      <w:r>
        <w:rPr>
          <w:spacing w:val="-5"/>
          <w:sz w:val="20"/>
        </w:rPr>
        <w:t> </w:t>
      </w:r>
      <w:r>
        <w:rPr>
          <w:sz w:val="20"/>
        </w:rPr>
        <w:t>can</w:t>
      </w:r>
      <w:r>
        <w:rPr>
          <w:spacing w:val="-4"/>
          <w:sz w:val="20"/>
        </w:rPr>
        <w:t> </w:t>
      </w:r>
      <w:r>
        <w:rPr>
          <w:sz w:val="20"/>
        </w:rPr>
        <w:t>be</w:t>
      </w:r>
      <w:r>
        <w:rPr>
          <w:spacing w:val="-6"/>
          <w:sz w:val="20"/>
        </w:rPr>
        <w:t> </w:t>
      </w:r>
      <w:r>
        <w:rPr>
          <w:sz w:val="20"/>
        </w:rPr>
        <w:t>identified</w:t>
      </w:r>
      <w:r>
        <w:rPr>
          <w:spacing w:val="-2"/>
          <w:sz w:val="20"/>
        </w:rPr>
        <w:t> </w:t>
      </w:r>
      <w:r>
        <w:rPr>
          <w:sz w:val="20"/>
        </w:rPr>
        <w:t>with</w:t>
      </w:r>
      <w:r>
        <w:rPr>
          <w:spacing w:val="-5"/>
          <w:sz w:val="20"/>
        </w:rPr>
        <w:t> </w:t>
      </w:r>
      <w:r>
        <w:rPr>
          <w:sz w:val="20"/>
        </w:rPr>
        <w:t>relative</w:t>
      </w:r>
      <w:r>
        <w:rPr>
          <w:spacing w:val="-5"/>
          <w:sz w:val="20"/>
        </w:rPr>
        <w:t> </w:t>
      </w:r>
      <w:r>
        <w:rPr>
          <w:sz w:val="20"/>
        </w:rPr>
        <w:t>ease</w:t>
      </w:r>
      <w:r>
        <w:rPr>
          <w:spacing w:val="-4"/>
          <w:sz w:val="20"/>
        </w:rPr>
        <w:t> </w:t>
      </w:r>
      <w:r>
        <w:rPr>
          <w:sz w:val="20"/>
        </w:rPr>
        <w:t>and</w:t>
      </w:r>
      <w:r>
        <w:rPr>
          <w:spacing w:val="-5"/>
          <w:sz w:val="20"/>
        </w:rPr>
        <w:t> </w:t>
      </w:r>
      <w:r>
        <w:rPr>
          <w:sz w:val="20"/>
        </w:rPr>
        <w:t>no</w:t>
      </w:r>
      <w:r>
        <w:rPr>
          <w:spacing w:val="-3"/>
          <w:sz w:val="20"/>
        </w:rPr>
        <w:t> </w:t>
      </w:r>
      <w:r>
        <w:rPr>
          <w:sz w:val="20"/>
        </w:rPr>
        <w:t>other</w:t>
      </w:r>
      <w:r>
        <w:rPr>
          <w:spacing w:val="-3"/>
          <w:sz w:val="20"/>
        </w:rPr>
        <w:t> </w:t>
      </w:r>
      <w:r>
        <w:rPr>
          <w:sz w:val="20"/>
        </w:rPr>
        <w:t>indicators</w:t>
      </w:r>
      <w:r>
        <w:rPr>
          <w:spacing w:val="-3"/>
          <w:sz w:val="20"/>
        </w:rPr>
        <w:t> </w:t>
      </w:r>
      <w:r>
        <w:rPr>
          <w:sz w:val="20"/>
        </w:rPr>
        <w:t>are</w:t>
      </w:r>
      <w:r>
        <w:rPr>
          <w:spacing w:val="-5"/>
          <w:sz w:val="20"/>
        </w:rPr>
        <w:t> </w:t>
      </w:r>
      <w:r>
        <w:rPr>
          <w:sz w:val="20"/>
        </w:rPr>
        <w:t>needed.</w:t>
      </w:r>
    </w:p>
    <w:p>
      <w:pPr>
        <w:pStyle w:val="ListParagraph"/>
        <w:numPr>
          <w:ilvl w:val="0"/>
          <w:numId w:val="13"/>
        </w:numPr>
        <w:tabs>
          <w:tab w:pos="1444" w:val="left" w:leader="none"/>
        </w:tabs>
        <w:spacing w:line="273" w:lineRule="auto" w:before="120" w:after="0"/>
        <w:ind w:left="723" w:right="488" w:firstLine="0"/>
        <w:jc w:val="both"/>
        <w:rPr>
          <w:sz w:val="20"/>
        </w:rPr>
      </w:pPr>
      <w:r>
        <w:rPr>
          <w:sz w:val="20"/>
        </w:rPr>
        <w:t>In respect of consumer-facing services delivered online, the place of enjoyment is the ordinary residence of the consumer. The indicators are the same as for digital content</w:t>
      </w:r>
      <w:r>
        <w:rPr>
          <w:spacing w:val="-22"/>
          <w:sz w:val="20"/>
        </w:rPr>
        <w:t> </w:t>
      </w:r>
      <w:r>
        <w:rPr>
          <w:sz w:val="20"/>
        </w:rPr>
        <w:t>services.</w:t>
      </w:r>
    </w:p>
    <w:p>
      <w:pPr>
        <w:pStyle w:val="BodyText"/>
        <w:spacing w:before="9"/>
        <w:rPr>
          <w:sz w:val="19"/>
        </w:rPr>
      </w:pPr>
    </w:p>
    <w:p>
      <w:pPr>
        <w:pStyle w:val="Heading7"/>
        <w:rPr>
          <w:i/>
        </w:rPr>
      </w:pPr>
      <w:bookmarkStart w:name="Revenue from franchising and licensing" w:id="182"/>
      <w:bookmarkEnd w:id="182"/>
      <w:r>
        <w:rPr>
          <w:i w:val="0"/>
        </w:rPr>
      </w:r>
      <w:r>
        <w:rPr>
          <w:i/>
          <w:color w:val="616161"/>
        </w:rPr>
        <w:t>Revenue from franchising and licensing</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Licensing</w:t>
      </w:r>
      <w:r>
        <w:rPr>
          <w:spacing w:val="-8"/>
          <w:sz w:val="20"/>
        </w:rPr>
        <w:t> </w:t>
      </w:r>
      <w:r>
        <w:rPr>
          <w:sz w:val="20"/>
        </w:rPr>
        <w:t>and</w:t>
      </w:r>
      <w:r>
        <w:rPr>
          <w:spacing w:val="-8"/>
          <w:sz w:val="20"/>
        </w:rPr>
        <w:t> </w:t>
      </w:r>
      <w:r>
        <w:rPr>
          <w:sz w:val="20"/>
        </w:rPr>
        <w:t>franchising</w:t>
      </w:r>
      <w:r>
        <w:rPr>
          <w:spacing w:val="-10"/>
          <w:sz w:val="20"/>
        </w:rPr>
        <w:t> </w:t>
      </w:r>
      <w:r>
        <w:rPr>
          <w:sz w:val="20"/>
        </w:rPr>
        <w:t>arrangements</w:t>
      </w:r>
      <w:r>
        <w:rPr>
          <w:spacing w:val="-9"/>
          <w:sz w:val="20"/>
        </w:rPr>
        <w:t> </w:t>
      </w:r>
      <w:r>
        <w:rPr>
          <w:sz w:val="20"/>
        </w:rPr>
        <w:t>cover</w:t>
      </w:r>
      <w:r>
        <w:rPr>
          <w:spacing w:val="-9"/>
          <w:sz w:val="20"/>
        </w:rPr>
        <w:t> </w:t>
      </w:r>
      <w:r>
        <w:rPr>
          <w:sz w:val="20"/>
        </w:rPr>
        <w:t>situations</w:t>
      </w:r>
      <w:r>
        <w:rPr>
          <w:spacing w:val="-7"/>
          <w:sz w:val="20"/>
        </w:rPr>
        <w:t> </w:t>
      </w:r>
      <w:r>
        <w:rPr>
          <w:sz w:val="20"/>
        </w:rPr>
        <w:t>where</w:t>
      </w:r>
      <w:r>
        <w:rPr>
          <w:spacing w:val="-8"/>
          <w:sz w:val="20"/>
        </w:rPr>
        <w:t> </w:t>
      </w:r>
      <w:r>
        <w:rPr>
          <w:sz w:val="20"/>
        </w:rPr>
        <w:t>the</w:t>
      </w:r>
      <w:r>
        <w:rPr>
          <w:spacing w:val="-8"/>
          <w:sz w:val="20"/>
        </w:rPr>
        <w:t> </w:t>
      </w:r>
      <w:r>
        <w:rPr>
          <w:sz w:val="20"/>
        </w:rPr>
        <w:t>provider</w:t>
      </w:r>
      <w:r>
        <w:rPr>
          <w:spacing w:val="-7"/>
          <w:sz w:val="20"/>
        </w:rPr>
        <w:t> </w:t>
      </w:r>
      <w:r>
        <w:rPr>
          <w:sz w:val="20"/>
        </w:rPr>
        <w:t>of</w:t>
      </w:r>
      <w:r>
        <w:rPr>
          <w:spacing w:val="-8"/>
          <w:sz w:val="20"/>
        </w:rPr>
        <w:t> </w:t>
      </w:r>
      <w:r>
        <w:rPr>
          <w:sz w:val="20"/>
        </w:rPr>
        <w:t>a</w:t>
      </w:r>
      <w:r>
        <w:rPr>
          <w:spacing w:val="-9"/>
          <w:sz w:val="20"/>
        </w:rPr>
        <w:t> </w:t>
      </w:r>
      <w:r>
        <w:rPr>
          <w:sz w:val="20"/>
        </w:rPr>
        <w:t>consumer-facing good or intangible makes their product available through an unrelated third party that has the relationship with the customer. For example, a business licenses the global distribution rights for a portfolio of films to a third party distributor, which subsequently sub-licenses these films to its customers around the world. A similar example is a film or television content owner that licenses its content to a digital content service. Another example is franchising the rights to open a fast food restaurant to a regional franchisee, who in turn agrees the specific local restaurant sites. A fourth example is where an MNE enters an arrangement for its logo to be attached to clothing and sold by a large MNE</w:t>
      </w:r>
      <w:r>
        <w:rPr>
          <w:spacing w:val="-12"/>
          <w:sz w:val="20"/>
        </w:rPr>
        <w:t> </w:t>
      </w:r>
      <w:r>
        <w:rPr>
          <w:sz w:val="20"/>
        </w:rPr>
        <w:t>retailer.</w:t>
      </w:r>
    </w:p>
    <w:p>
      <w:pPr>
        <w:pStyle w:val="ListParagraph"/>
        <w:numPr>
          <w:ilvl w:val="0"/>
          <w:numId w:val="13"/>
        </w:numPr>
        <w:tabs>
          <w:tab w:pos="1444" w:val="left" w:leader="none"/>
        </w:tabs>
        <w:spacing w:line="271" w:lineRule="auto" w:before="119" w:after="0"/>
        <w:ind w:left="723" w:right="489" w:firstLine="0"/>
        <w:jc w:val="both"/>
        <w:rPr>
          <w:sz w:val="20"/>
        </w:rPr>
      </w:pPr>
      <w:r>
        <w:rPr>
          <w:sz w:val="20"/>
        </w:rPr>
        <w:t>The underlying supply will typically be used or consumed in the jurisdiction where the customers of the licensee / franchisee are located, which may be separate from where the licensor / franchisor is located.</w:t>
      </w:r>
      <w:r>
        <w:rPr>
          <w:spacing w:val="-7"/>
          <w:sz w:val="20"/>
        </w:rPr>
        <w:t> </w:t>
      </w:r>
      <w:r>
        <w:rPr>
          <w:sz w:val="20"/>
        </w:rPr>
        <w:t>The</w:t>
      </w:r>
      <w:r>
        <w:rPr>
          <w:spacing w:val="-4"/>
          <w:sz w:val="20"/>
        </w:rPr>
        <w:t> </w:t>
      </w:r>
      <w:r>
        <w:rPr>
          <w:sz w:val="20"/>
        </w:rPr>
        <w:t>licence</w:t>
      </w:r>
      <w:r>
        <w:rPr>
          <w:spacing w:val="-6"/>
          <w:sz w:val="20"/>
        </w:rPr>
        <w:t> </w:t>
      </w:r>
      <w:r>
        <w:rPr>
          <w:sz w:val="20"/>
        </w:rPr>
        <w:t>/</w:t>
      </w:r>
      <w:r>
        <w:rPr>
          <w:spacing w:val="-4"/>
          <w:sz w:val="20"/>
        </w:rPr>
        <w:t> </w:t>
      </w:r>
      <w:r>
        <w:rPr>
          <w:sz w:val="20"/>
        </w:rPr>
        <w:t>franchise</w:t>
      </w:r>
      <w:r>
        <w:rPr>
          <w:spacing w:val="-4"/>
          <w:sz w:val="20"/>
        </w:rPr>
        <w:t> </w:t>
      </w:r>
      <w:r>
        <w:rPr>
          <w:sz w:val="20"/>
        </w:rPr>
        <w:t>payments</w:t>
      </w:r>
      <w:r>
        <w:rPr>
          <w:spacing w:val="-2"/>
          <w:sz w:val="20"/>
        </w:rPr>
        <w:t> </w:t>
      </w:r>
      <w:r>
        <w:rPr>
          <w:sz w:val="20"/>
        </w:rPr>
        <w:t>will</w:t>
      </w:r>
      <w:r>
        <w:rPr>
          <w:spacing w:val="-5"/>
          <w:sz w:val="20"/>
        </w:rPr>
        <w:t> </w:t>
      </w:r>
      <w:r>
        <w:rPr>
          <w:sz w:val="20"/>
        </w:rPr>
        <w:t>be</w:t>
      </w:r>
      <w:r>
        <w:rPr>
          <w:spacing w:val="-7"/>
          <w:sz w:val="20"/>
        </w:rPr>
        <w:t> </w:t>
      </w:r>
      <w:r>
        <w:rPr>
          <w:sz w:val="20"/>
        </w:rPr>
        <w:t>made</w:t>
      </w:r>
      <w:r>
        <w:rPr>
          <w:spacing w:val="-4"/>
          <w:sz w:val="20"/>
        </w:rPr>
        <w:t> </w:t>
      </w:r>
      <w:r>
        <w:rPr>
          <w:sz w:val="20"/>
        </w:rPr>
        <w:t>to</w:t>
      </w:r>
      <w:r>
        <w:rPr>
          <w:spacing w:val="-4"/>
          <w:sz w:val="20"/>
        </w:rPr>
        <w:t> </w:t>
      </w:r>
      <w:r>
        <w:rPr>
          <w:sz w:val="20"/>
        </w:rPr>
        <w:t>the</w:t>
      </w:r>
      <w:r>
        <w:rPr>
          <w:spacing w:val="-5"/>
          <w:sz w:val="20"/>
        </w:rPr>
        <w:t> </w:t>
      </w:r>
      <w:r>
        <w:rPr>
          <w:sz w:val="20"/>
        </w:rPr>
        <w:t>licensor</w:t>
      </w:r>
      <w:r>
        <w:rPr>
          <w:spacing w:val="-5"/>
          <w:sz w:val="20"/>
        </w:rPr>
        <w:t> </w:t>
      </w:r>
      <w:r>
        <w:rPr>
          <w:sz w:val="20"/>
        </w:rPr>
        <w:t>/</w:t>
      </w:r>
      <w:r>
        <w:rPr>
          <w:spacing w:val="-4"/>
          <w:sz w:val="20"/>
        </w:rPr>
        <w:t> </w:t>
      </w:r>
      <w:r>
        <w:rPr>
          <w:sz w:val="20"/>
        </w:rPr>
        <w:t>franchisor</w:t>
      </w:r>
      <w:r>
        <w:rPr>
          <w:spacing w:val="-4"/>
          <w:sz w:val="20"/>
        </w:rPr>
        <w:t> </w:t>
      </w:r>
      <w:r>
        <w:rPr>
          <w:sz w:val="20"/>
        </w:rPr>
        <w:t>and</w:t>
      </w:r>
      <w:r>
        <w:rPr>
          <w:spacing w:val="-6"/>
          <w:sz w:val="20"/>
        </w:rPr>
        <w:t> </w:t>
      </w:r>
      <w:r>
        <w:rPr>
          <w:sz w:val="20"/>
        </w:rPr>
        <w:t>represents</w:t>
      </w:r>
      <w:r>
        <w:rPr>
          <w:spacing w:val="-5"/>
          <w:sz w:val="20"/>
        </w:rPr>
        <w:t> </w:t>
      </w:r>
      <w:r>
        <w:rPr>
          <w:sz w:val="20"/>
        </w:rPr>
        <w:t>a</w:t>
      </w:r>
      <w:r>
        <w:rPr>
          <w:spacing w:val="-6"/>
          <w:sz w:val="20"/>
        </w:rPr>
        <w:t> </w:t>
      </w:r>
      <w:r>
        <w:rPr>
          <w:sz w:val="20"/>
        </w:rPr>
        <w:t>return from the market</w:t>
      </w:r>
      <w:r>
        <w:rPr>
          <w:spacing w:val="-3"/>
          <w:sz w:val="20"/>
        </w:rPr>
        <w:t> </w:t>
      </w:r>
      <w:r>
        <w:rPr>
          <w:sz w:val="20"/>
        </w:rPr>
        <w:t>jurisdiction.</w:t>
      </w:r>
    </w:p>
    <w:p>
      <w:pPr>
        <w:pStyle w:val="ListParagraph"/>
        <w:numPr>
          <w:ilvl w:val="0"/>
          <w:numId w:val="13"/>
        </w:numPr>
        <w:tabs>
          <w:tab w:pos="1444" w:val="left" w:leader="none"/>
        </w:tabs>
        <w:spacing w:line="271" w:lineRule="auto" w:before="123" w:after="0"/>
        <w:ind w:left="723" w:right="478" w:firstLine="0"/>
        <w:jc w:val="both"/>
        <w:rPr>
          <w:sz w:val="20"/>
        </w:rPr>
      </w:pPr>
      <w:r>
        <w:rPr>
          <w:sz w:val="20"/>
        </w:rPr>
        <w:t>The sourcing principle for franchising a business selling consumer-facing goods or licensing an intangible that is attached to consumer-facing goods is similar to the ordinary sourcing rule for consumer- facing</w:t>
      </w:r>
      <w:r>
        <w:rPr>
          <w:spacing w:val="-14"/>
          <w:sz w:val="20"/>
        </w:rPr>
        <w:t> </w:t>
      </w:r>
      <w:r>
        <w:rPr>
          <w:sz w:val="20"/>
        </w:rPr>
        <w:t>goods,</w:t>
      </w:r>
      <w:r>
        <w:rPr>
          <w:spacing w:val="-9"/>
          <w:sz w:val="20"/>
        </w:rPr>
        <w:t> </w:t>
      </w:r>
      <w:r>
        <w:rPr>
          <w:sz w:val="20"/>
        </w:rPr>
        <w:t>which</w:t>
      </w:r>
      <w:r>
        <w:rPr>
          <w:spacing w:val="-12"/>
          <w:sz w:val="20"/>
        </w:rPr>
        <w:t> </w:t>
      </w:r>
      <w:r>
        <w:rPr>
          <w:sz w:val="20"/>
        </w:rPr>
        <w:t>is</w:t>
      </w:r>
      <w:r>
        <w:rPr>
          <w:spacing w:val="-10"/>
          <w:sz w:val="20"/>
        </w:rPr>
        <w:t> </w:t>
      </w:r>
      <w:r>
        <w:rPr>
          <w:sz w:val="20"/>
        </w:rPr>
        <w:t>the</w:t>
      </w:r>
      <w:r>
        <w:rPr>
          <w:spacing w:val="-12"/>
          <w:sz w:val="20"/>
        </w:rPr>
        <w:t> </w:t>
      </w:r>
      <w:r>
        <w:rPr>
          <w:sz w:val="20"/>
        </w:rPr>
        <w:t>place</w:t>
      </w:r>
      <w:r>
        <w:rPr>
          <w:spacing w:val="-12"/>
          <w:sz w:val="20"/>
        </w:rPr>
        <w:t> </w:t>
      </w:r>
      <w:r>
        <w:rPr>
          <w:sz w:val="20"/>
        </w:rPr>
        <w:t>of</w:t>
      </w:r>
      <w:r>
        <w:rPr>
          <w:spacing w:val="-12"/>
          <w:sz w:val="20"/>
        </w:rPr>
        <w:t> </w:t>
      </w:r>
      <w:r>
        <w:rPr>
          <w:sz w:val="20"/>
        </w:rPr>
        <w:t>delivery</w:t>
      </w:r>
      <w:r>
        <w:rPr>
          <w:spacing w:val="-14"/>
          <w:sz w:val="20"/>
        </w:rPr>
        <w:t> </w:t>
      </w:r>
      <w:r>
        <w:rPr>
          <w:sz w:val="20"/>
        </w:rPr>
        <w:t>of</w:t>
      </w:r>
      <w:r>
        <w:rPr>
          <w:spacing w:val="-12"/>
          <w:sz w:val="20"/>
        </w:rPr>
        <w:t> </w:t>
      </w:r>
      <w:r>
        <w:rPr>
          <w:sz w:val="20"/>
        </w:rPr>
        <w:t>the</w:t>
      </w:r>
      <w:r>
        <w:rPr>
          <w:spacing w:val="-12"/>
          <w:sz w:val="20"/>
        </w:rPr>
        <w:t> </w:t>
      </w:r>
      <w:r>
        <w:rPr>
          <w:sz w:val="20"/>
        </w:rPr>
        <w:t>good.</w:t>
      </w:r>
      <w:r>
        <w:rPr>
          <w:spacing w:val="-12"/>
          <w:sz w:val="20"/>
        </w:rPr>
        <w:t> </w:t>
      </w:r>
      <w:r>
        <w:rPr>
          <w:sz w:val="20"/>
        </w:rPr>
        <w:t>The</w:t>
      </w:r>
      <w:r>
        <w:rPr>
          <w:spacing w:val="-13"/>
          <w:sz w:val="20"/>
        </w:rPr>
        <w:t> </w:t>
      </w:r>
      <w:r>
        <w:rPr>
          <w:sz w:val="20"/>
        </w:rPr>
        <w:t>sourcing</w:t>
      </w:r>
      <w:r>
        <w:rPr>
          <w:spacing w:val="-12"/>
          <w:sz w:val="20"/>
        </w:rPr>
        <w:t> </w:t>
      </w:r>
      <w:r>
        <w:rPr>
          <w:sz w:val="20"/>
        </w:rPr>
        <w:t>rule</w:t>
      </w:r>
      <w:r>
        <w:rPr>
          <w:spacing w:val="-12"/>
          <w:sz w:val="20"/>
        </w:rPr>
        <w:t> </w:t>
      </w:r>
      <w:r>
        <w:rPr>
          <w:sz w:val="20"/>
        </w:rPr>
        <w:t>for</w:t>
      </w:r>
      <w:r>
        <w:rPr>
          <w:spacing w:val="-13"/>
          <w:sz w:val="20"/>
        </w:rPr>
        <w:t> </w:t>
      </w:r>
      <w:r>
        <w:rPr>
          <w:sz w:val="20"/>
        </w:rPr>
        <w:t>franchising</w:t>
      </w:r>
      <w:r>
        <w:rPr>
          <w:spacing w:val="-12"/>
          <w:sz w:val="20"/>
        </w:rPr>
        <w:t> </w:t>
      </w:r>
      <w:r>
        <w:rPr>
          <w:sz w:val="20"/>
        </w:rPr>
        <w:t>a</w:t>
      </w:r>
      <w:r>
        <w:rPr>
          <w:spacing w:val="-12"/>
          <w:sz w:val="20"/>
        </w:rPr>
        <w:t> </w:t>
      </w:r>
      <w:r>
        <w:rPr>
          <w:sz w:val="20"/>
        </w:rPr>
        <w:t>business</w:t>
      </w:r>
      <w:r>
        <w:rPr>
          <w:spacing w:val="-11"/>
          <w:sz w:val="20"/>
        </w:rPr>
        <w:t> </w:t>
      </w:r>
      <w:r>
        <w:rPr>
          <w:sz w:val="20"/>
        </w:rPr>
        <w:t>selling consumer-facing services or licensing an intangible that is enjoyed as a service is similar to the ordinary sourcing rule of consumer-facing services, which is place of performance of the service. In principle, accuracy</w:t>
      </w:r>
      <w:r>
        <w:rPr>
          <w:spacing w:val="2"/>
          <w:sz w:val="20"/>
        </w:rPr>
        <w:t> </w:t>
      </w:r>
      <w:r>
        <w:rPr>
          <w:sz w:val="20"/>
        </w:rPr>
        <w:t>of</w:t>
      </w:r>
      <w:r>
        <w:rPr>
          <w:spacing w:val="7"/>
          <w:sz w:val="20"/>
        </w:rPr>
        <w:t> </w:t>
      </w:r>
      <w:r>
        <w:rPr>
          <w:sz w:val="20"/>
        </w:rPr>
        <w:t>identifying</w:t>
      </w:r>
      <w:r>
        <w:rPr>
          <w:spacing w:val="7"/>
          <w:sz w:val="20"/>
        </w:rPr>
        <w:t> </w:t>
      </w:r>
      <w:r>
        <w:rPr>
          <w:sz w:val="20"/>
        </w:rPr>
        <w:t>the</w:t>
      </w:r>
      <w:r>
        <w:rPr>
          <w:spacing w:val="6"/>
          <w:sz w:val="20"/>
        </w:rPr>
        <w:t> </w:t>
      </w:r>
      <w:r>
        <w:rPr>
          <w:sz w:val="20"/>
        </w:rPr>
        <w:t>market</w:t>
      </w:r>
      <w:r>
        <w:rPr>
          <w:spacing w:val="4"/>
          <w:sz w:val="20"/>
        </w:rPr>
        <w:t> </w:t>
      </w:r>
      <w:r>
        <w:rPr>
          <w:sz w:val="20"/>
        </w:rPr>
        <w:t>jurisdiction</w:t>
      </w:r>
      <w:r>
        <w:rPr>
          <w:spacing w:val="7"/>
          <w:sz w:val="20"/>
        </w:rPr>
        <w:t> </w:t>
      </w:r>
      <w:r>
        <w:rPr>
          <w:sz w:val="20"/>
        </w:rPr>
        <w:t>should</w:t>
      </w:r>
      <w:r>
        <w:rPr>
          <w:spacing w:val="7"/>
          <w:sz w:val="20"/>
        </w:rPr>
        <w:t> </w:t>
      </w:r>
      <w:r>
        <w:rPr>
          <w:sz w:val="20"/>
        </w:rPr>
        <w:t>be</w:t>
      </w:r>
      <w:r>
        <w:rPr>
          <w:spacing w:val="5"/>
          <w:sz w:val="20"/>
        </w:rPr>
        <w:t> </w:t>
      </w:r>
      <w:r>
        <w:rPr>
          <w:sz w:val="20"/>
        </w:rPr>
        <w:t>sought,</w:t>
      </w:r>
      <w:r>
        <w:rPr>
          <w:spacing w:val="5"/>
          <w:sz w:val="20"/>
        </w:rPr>
        <w:t> </w:t>
      </w:r>
      <w:r>
        <w:rPr>
          <w:sz w:val="20"/>
        </w:rPr>
        <w:t>to</w:t>
      </w:r>
      <w:r>
        <w:rPr>
          <w:spacing w:val="8"/>
          <w:sz w:val="20"/>
        </w:rPr>
        <w:t> </w:t>
      </w:r>
      <w:r>
        <w:rPr>
          <w:sz w:val="20"/>
        </w:rPr>
        <w:t>align</w:t>
      </w:r>
      <w:r>
        <w:rPr>
          <w:spacing w:val="5"/>
          <w:sz w:val="20"/>
        </w:rPr>
        <w:t> </w:t>
      </w:r>
      <w:r>
        <w:rPr>
          <w:sz w:val="20"/>
        </w:rPr>
        <w:t>the</w:t>
      </w:r>
      <w:r>
        <w:rPr>
          <w:spacing w:val="7"/>
          <w:sz w:val="20"/>
        </w:rPr>
        <w:t> </w:t>
      </w:r>
      <w:r>
        <w:rPr>
          <w:sz w:val="20"/>
        </w:rPr>
        <w:t>results</w:t>
      </w:r>
      <w:r>
        <w:rPr>
          <w:spacing w:val="6"/>
          <w:sz w:val="20"/>
        </w:rPr>
        <w:t> </w:t>
      </w:r>
      <w:r>
        <w:rPr>
          <w:sz w:val="20"/>
        </w:rPr>
        <w:t>where</w:t>
      </w:r>
      <w:r>
        <w:rPr>
          <w:spacing w:val="6"/>
          <w:sz w:val="20"/>
        </w:rPr>
        <w:t> </w:t>
      </w:r>
      <w:r>
        <w:rPr>
          <w:sz w:val="20"/>
        </w:rPr>
        <w:t>the</w:t>
      </w:r>
      <w:r>
        <w:rPr>
          <w:spacing w:val="5"/>
          <w:sz w:val="20"/>
        </w:rPr>
        <w:t> </w:t>
      </w:r>
      <w:r>
        <w:rPr>
          <w:sz w:val="20"/>
        </w:rPr>
        <w:t>MNE</w:t>
      </w:r>
      <w:r>
        <w:rPr>
          <w:spacing w:val="7"/>
          <w:sz w:val="20"/>
        </w:rPr>
        <w:t> </w:t>
      </w:r>
      <w:r>
        <w:rPr>
          <w:sz w:val="20"/>
        </w:rPr>
        <w:t>is</w:t>
      </w:r>
      <w:r>
        <w:rPr>
          <w:spacing w:val="6"/>
          <w:sz w:val="20"/>
        </w:rPr>
        <w:t> </w:t>
      </w:r>
      <w:r>
        <w:rPr>
          <w:sz w:val="20"/>
        </w:rPr>
        <w:t>in</w:t>
      </w:r>
    </w:p>
    <w:p>
      <w:pPr>
        <w:pStyle w:val="BodyText"/>
      </w:pPr>
    </w:p>
    <w:p>
      <w:pPr>
        <w:pStyle w:val="BodyText"/>
        <w:spacing w:before="6"/>
        <w:rPr>
          <w:sz w:val="10"/>
        </w:rPr>
      </w:pPr>
      <w:r>
        <w:rPr/>
        <w:pict>
          <v:rect style="position:absolute;margin-left:65.183998pt;margin-top:8.020565pt;width:144.020004pt;height:.60004pt;mso-position-horizontal-relative:page;mso-position-vertical-relative:paragraph;z-index:-1567436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31" w:val="left" w:leader="none"/>
        </w:tabs>
        <w:spacing w:line="278" w:lineRule="auto" w:before="94" w:after="0"/>
        <w:ind w:left="723" w:right="483" w:firstLine="0"/>
        <w:jc w:val="both"/>
        <w:rPr>
          <w:sz w:val="18"/>
        </w:rPr>
      </w:pPr>
      <w:r>
        <w:rPr>
          <w:sz w:val="18"/>
        </w:rPr>
        <w:t>Given the proposed approach to nexus for CFB, sales that are below an agreed nexus amount could then also be excluded</w:t>
      </w:r>
      <w:r>
        <w:rPr>
          <w:spacing w:val="-15"/>
          <w:sz w:val="18"/>
        </w:rPr>
        <w:t> </w:t>
      </w:r>
      <w:r>
        <w:rPr>
          <w:sz w:val="18"/>
        </w:rPr>
        <w:t>from</w:t>
      </w:r>
      <w:r>
        <w:rPr>
          <w:spacing w:val="-15"/>
          <w:sz w:val="18"/>
        </w:rPr>
        <w:t> </w:t>
      </w:r>
      <w:r>
        <w:rPr>
          <w:sz w:val="18"/>
        </w:rPr>
        <w:t>the</w:t>
      </w:r>
      <w:r>
        <w:rPr>
          <w:spacing w:val="-16"/>
          <w:sz w:val="18"/>
        </w:rPr>
        <w:t> </w:t>
      </w:r>
      <w:r>
        <w:rPr>
          <w:sz w:val="18"/>
        </w:rPr>
        <w:t>need</w:t>
      </w:r>
      <w:r>
        <w:rPr>
          <w:spacing w:val="-15"/>
          <w:sz w:val="18"/>
        </w:rPr>
        <w:t> </w:t>
      </w:r>
      <w:r>
        <w:rPr>
          <w:sz w:val="18"/>
        </w:rPr>
        <w:t>to</w:t>
      </w:r>
      <w:r>
        <w:rPr>
          <w:spacing w:val="-14"/>
          <w:sz w:val="18"/>
        </w:rPr>
        <w:t> </w:t>
      </w:r>
      <w:r>
        <w:rPr>
          <w:sz w:val="18"/>
        </w:rPr>
        <w:t>determine</w:t>
      </w:r>
      <w:r>
        <w:rPr>
          <w:spacing w:val="-16"/>
          <w:sz w:val="18"/>
        </w:rPr>
        <w:t> </w:t>
      </w:r>
      <w:r>
        <w:rPr>
          <w:sz w:val="18"/>
        </w:rPr>
        <w:t>source.</w:t>
      </w:r>
      <w:r>
        <w:rPr>
          <w:spacing w:val="-11"/>
          <w:sz w:val="18"/>
        </w:rPr>
        <w:t> </w:t>
      </w:r>
      <w:r>
        <w:rPr>
          <w:sz w:val="18"/>
        </w:rPr>
        <w:t>This</w:t>
      </w:r>
      <w:r>
        <w:rPr>
          <w:spacing w:val="-13"/>
          <w:sz w:val="18"/>
        </w:rPr>
        <w:t> </w:t>
      </w:r>
      <w:r>
        <w:rPr>
          <w:sz w:val="18"/>
        </w:rPr>
        <w:t>would</w:t>
      </w:r>
      <w:r>
        <w:rPr>
          <w:spacing w:val="-16"/>
          <w:sz w:val="18"/>
        </w:rPr>
        <w:t> </w:t>
      </w:r>
      <w:r>
        <w:rPr>
          <w:sz w:val="18"/>
        </w:rPr>
        <w:t>be</w:t>
      </w:r>
      <w:r>
        <w:rPr>
          <w:spacing w:val="-15"/>
          <w:sz w:val="18"/>
        </w:rPr>
        <w:t> </w:t>
      </w:r>
      <w:r>
        <w:rPr>
          <w:sz w:val="18"/>
        </w:rPr>
        <w:t>the</w:t>
      </w:r>
      <w:r>
        <w:rPr>
          <w:spacing w:val="-14"/>
          <w:sz w:val="18"/>
        </w:rPr>
        <w:t> </w:t>
      </w:r>
      <w:r>
        <w:rPr>
          <w:sz w:val="18"/>
        </w:rPr>
        <w:t>case</w:t>
      </w:r>
      <w:r>
        <w:rPr>
          <w:spacing w:val="-16"/>
          <w:sz w:val="18"/>
        </w:rPr>
        <w:t> </w:t>
      </w:r>
      <w:r>
        <w:rPr>
          <w:sz w:val="18"/>
        </w:rPr>
        <w:t>where</w:t>
      </w:r>
      <w:r>
        <w:rPr>
          <w:spacing w:val="-15"/>
          <w:sz w:val="18"/>
        </w:rPr>
        <w:t> </w:t>
      </w:r>
      <w:r>
        <w:rPr>
          <w:sz w:val="18"/>
        </w:rPr>
        <w:t>an</w:t>
      </w:r>
      <w:r>
        <w:rPr>
          <w:spacing w:val="-16"/>
          <w:sz w:val="18"/>
        </w:rPr>
        <w:t> </w:t>
      </w:r>
      <w:r>
        <w:rPr>
          <w:sz w:val="18"/>
        </w:rPr>
        <w:t>MNE</w:t>
      </w:r>
      <w:r>
        <w:rPr>
          <w:spacing w:val="-15"/>
          <w:sz w:val="18"/>
        </w:rPr>
        <w:t> </w:t>
      </w:r>
      <w:r>
        <w:rPr>
          <w:sz w:val="18"/>
        </w:rPr>
        <w:t>had</w:t>
      </w:r>
      <w:r>
        <w:rPr>
          <w:spacing w:val="-14"/>
          <w:sz w:val="18"/>
        </w:rPr>
        <w:t> </w:t>
      </w:r>
      <w:r>
        <w:rPr>
          <w:sz w:val="18"/>
        </w:rPr>
        <w:t>information</w:t>
      </w:r>
      <w:r>
        <w:rPr>
          <w:spacing w:val="-17"/>
          <w:sz w:val="18"/>
        </w:rPr>
        <w:t> </w:t>
      </w:r>
      <w:r>
        <w:rPr>
          <w:sz w:val="18"/>
        </w:rPr>
        <w:t>on</w:t>
      </w:r>
      <w:r>
        <w:rPr>
          <w:spacing w:val="-14"/>
          <w:sz w:val="18"/>
        </w:rPr>
        <w:t> </w:t>
      </w:r>
      <w:r>
        <w:rPr>
          <w:sz w:val="18"/>
        </w:rPr>
        <w:t>the</w:t>
      </w:r>
      <w:r>
        <w:rPr>
          <w:spacing w:val="-16"/>
          <w:sz w:val="18"/>
        </w:rPr>
        <w:t> </w:t>
      </w:r>
      <w:r>
        <w:rPr>
          <w:sz w:val="18"/>
        </w:rPr>
        <w:t>jurisdictions of final delivery covering all but a small amount of sales revenue, and that remaining amount was below the nexus threshold.</w:t>
      </w:r>
      <w:r>
        <w:rPr>
          <w:spacing w:val="-9"/>
          <w:sz w:val="18"/>
        </w:rPr>
        <w:t> </w:t>
      </w:r>
      <w:r>
        <w:rPr>
          <w:sz w:val="18"/>
        </w:rPr>
        <w:t>For</w:t>
      </w:r>
      <w:r>
        <w:rPr>
          <w:spacing w:val="-12"/>
          <w:sz w:val="18"/>
        </w:rPr>
        <w:t> </w:t>
      </w:r>
      <w:r>
        <w:rPr>
          <w:sz w:val="18"/>
        </w:rPr>
        <w:t>such</w:t>
      </w:r>
      <w:r>
        <w:rPr>
          <w:spacing w:val="-11"/>
          <w:sz w:val="18"/>
        </w:rPr>
        <w:t> </w:t>
      </w:r>
      <w:r>
        <w:rPr>
          <w:sz w:val="18"/>
        </w:rPr>
        <w:t>cases,</w:t>
      </w:r>
      <w:r>
        <w:rPr>
          <w:spacing w:val="-10"/>
          <w:sz w:val="18"/>
        </w:rPr>
        <w:t> </w:t>
      </w:r>
      <w:r>
        <w:rPr>
          <w:sz w:val="18"/>
        </w:rPr>
        <w:t>this</w:t>
      </w:r>
      <w:r>
        <w:rPr>
          <w:spacing w:val="-13"/>
          <w:sz w:val="18"/>
        </w:rPr>
        <w:t> </w:t>
      </w:r>
      <w:r>
        <w:rPr>
          <w:sz w:val="18"/>
        </w:rPr>
        <w:t>would</w:t>
      </w:r>
      <w:r>
        <w:rPr>
          <w:spacing w:val="-9"/>
          <w:sz w:val="18"/>
        </w:rPr>
        <w:t> </w:t>
      </w:r>
      <w:r>
        <w:rPr>
          <w:sz w:val="18"/>
        </w:rPr>
        <w:t>in</w:t>
      </w:r>
      <w:r>
        <w:rPr>
          <w:spacing w:val="-10"/>
          <w:sz w:val="18"/>
        </w:rPr>
        <w:t> </w:t>
      </w:r>
      <w:r>
        <w:rPr>
          <w:sz w:val="18"/>
        </w:rPr>
        <w:t>practice</w:t>
      </w:r>
      <w:r>
        <w:rPr>
          <w:spacing w:val="-11"/>
          <w:sz w:val="18"/>
        </w:rPr>
        <w:t> </w:t>
      </w:r>
      <w:r>
        <w:rPr>
          <w:sz w:val="18"/>
        </w:rPr>
        <w:t>to</w:t>
      </w:r>
      <w:r>
        <w:rPr>
          <w:spacing w:val="-11"/>
          <w:sz w:val="18"/>
        </w:rPr>
        <w:t> </w:t>
      </w:r>
      <w:r>
        <w:rPr>
          <w:sz w:val="18"/>
        </w:rPr>
        <w:t>leave</w:t>
      </w:r>
      <w:r>
        <w:rPr>
          <w:spacing w:val="-10"/>
          <w:sz w:val="18"/>
        </w:rPr>
        <w:t> </w:t>
      </w:r>
      <w:r>
        <w:rPr>
          <w:sz w:val="18"/>
        </w:rPr>
        <w:t>very</w:t>
      </w:r>
      <w:r>
        <w:rPr>
          <w:spacing w:val="-13"/>
          <w:sz w:val="18"/>
        </w:rPr>
        <w:t> </w:t>
      </w:r>
      <w:r>
        <w:rPr>
          <w:sz w:val="18"/>
        </w:rPr>
        <w:t>few</w:t>
      </w:r>
      <w:r>
        <w:rPr>
          <w:spacing w:val="-12"/>
          <w:sz w:val="18"/>
        </w:rPr>
        <w:t> </w:t>
      </w:r>
      <w:r>
        <w:rPr>
          <w:sz w:val="18"/>
        </w:rPr>
        <w:t>situations</w:t>
      </w:r>
      <w:r>
        <w:rPr>
          <w:spacing w:val="-8"/>
          <w:sz w:val="18"/>
        </w:rPr>
        <w:t> </w:t>
      </w:r>
      <w:r>
        <w:rPr>
          <w:sz w:val="18"/>
        </w:rPr>
        <w:t>where</w:t>
      </w:r>
      <w:r>
        <w:rPr>
          <w:spacing w:val="-10"/>
          <w:sz w:val="18"/>
        </w:rPr>
        <w:t> </w:t>
      </w:r>
      <w:r>
        <w:rPr>
          <w:sz w:val="18"/>
        </w:rPr>
        <w:t>sourcing</w:t>
      </w:r>
      <w:r>
        <w:rPr>
          <w:spacing w:val="-13"/>
          <w:sz w:val="18"/>
        </w:rPr>
        <w:t> </w:t>
      </w:r>
      <w:r>
        <w:rPr>
          <w:sz w:val="18"/>
        </w:rPr>
        <w:t>of</w:t>
      </w:r>
      <w:r>
        <w:rPr>
          <w:spacing w:val="-9"/>
          <w:sz w:val="18"/>
        </w:rPr>
        <w:t> </w:t>
      </w:r>
      <w:r>
        <w:rPr>
          <w:sz w:val="18"/>
        </w:rPr>
        <w:t>consumer-facing</w:t>
      </w:r>
      <w:r>
        <w:rPr>
          <w:spacing w:val="-8"/>
          <w:sz w:val="18"/>
        </w:rPr>
        <w:t> </w:t>
      </w:r>
      <w:r>
        <w:rPr>
          <w:sz w:val="18"/>
        </w:rPr>
        <w:t>goods would be based on an</w:t>
      </w:r>
      <w:r>
        <w:rPr>
          <w:spacing w:val="-3"/>
          <w:sz w:val="18"/>
        </w:rPr>
        <w:t> </w:t>
      </w:r>
      <w:r>
        <w:rPr>
          <w:sz w:val="18"/>
        </w:rPr>
        <w:t>approximation.</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9"/>
        <w:jc w:val="both"/>
      </w:pPr>
      <w:r>
        <w:rPr/>
        <w:t>itself</w:t>
      </w:r>
      <w:r>
        <w:rPr>
          <w:spacing w:val="-11"/>
        </w:rPr>
        <w:t> </w:t>
      </w:r>
      <w:r>
        <w:rPr/>
        <w:t>fully</w:t>
      </w:r>
      <w:r>
        <w:rPr>
          <w:spacing w:val="-16"/>
        </w:rPr>
        <w:t> </w:t>
      </w:r>
      <w:r>
        <w:rPr/>
        <w:t>responsible</w:t>
      </w:r>
      <w:r>
        <w:rPr>
          <w:spacing w:val="-14"/>
        </w:rPr>
        <w:t> </w:t>
      </w:r>
      <w:r>
        <w:rPr/>
        <w:t>for</w:t>
      </w:r>
      <w:r>
        <w:rPr>
          <w:spacing w:val="-12"/>
        </w:rPr>
        <w:t> </w:t>
      </w:r>
      <w:r>
        <w:rPr/>
        <w:t>the</w:t>
      </w:r>
      <w:r>
        <w:rPr>
          <w:spacing w:val="-14"/>
        </w:rPr>
        <w:t> </w:t>
      </w:r>
      <w:r>
        <w:rPr/>
        <w:t>complete</w:t>
      </w:r>
      <w:r>
        <w:rPr>
          <w:spacing w:val="-13"/>
        </w:rPr>
        <w:t> </w:t>
      </w:r>
      <w:r>
        <w:rPr/>
        <w:t>value</w:t>
      </w:r>
      <w:r>
        <w:rPr>
          <w:spacing w:val="-14"/>
        </w:rPr>
        <w:t> </w:t>
      </w:r>
      <w:r>
        <w:rPr/>
        <w:t>chain</w:t>
      </w:r>
      <w:r>
        <w:rPr>
          <w:spacing w:val="-13"/>
        </w:rPr>
        <w:t> </w:t>
      </w:r>
      <w:r>
        <w:rPr/>
        <w:t>of</w:t>
      </w:r>
      <w:r>
        <w:rPr>
          <w:spacing w:val="-12"/>
        </w:rPr>
        <w:t> </w:t>
      </w:r>
      <w:r>
        <w:rPr/>
        <w:t>the</w:t>
      </w:r>
      <w:r>
        <w:rPr>
          <w:spacing w:val="-14"/>
        </w:rPr>
        <w:t> </w:t>
      </w:r>
      <w:r>
        <w:rPr/>
        <w:t>good</w:t>
      </w:r>
      <w:r>
        <w:rPr>
          <w:spacing w:val="-13"/>
        </w:rPr>
        <w:t> </w:t>
      </w:r>
      <w:r>
        <w:rPr/>
        <w:t>or</w:t>
      </w:r>
      <w:r>
        <w:rPr>
          <w:spacing w:val="-13"/>
        </w:rPr>
        <w:t> </w:t>
      </w:r>
      <w:r>
        <w:rPr/>
        <w:t>service,</w:t>
      </w:r>
      <w:r>
        <w:rPr>
          <w:spacing w:val="-13"/>
        </w:rPr>
        <w:t> </w:t>
      </w:r>
      <w:r>
        <w:rPr/>
        <w:t>or</w:t>
      </w:r>
      <w:r>
        <w:rPr>
          <w:spacing w:val="-13"/>
        </w:rPr>
        <w:t> </w:t>
      </w:r>
      <w:r>
        <w:rPr/>
        <w:t>in</w:t>
      </w:r>
      <w:r>
        <w:rPr>
          <w:spacing w:val="-13"/>
        </w:rPr>
        <w:t> </w:t>
      </w:r>
      <w:r>
        <w:rPr/>
        <w:t>the</w:t>
      </w:r>
      <w:r>
        <w:rPr>
          <w:spacing w:val="-14"/>
        </w:rPr>
        <w:t> </w:t>
      </w:r>
      <w:r>
        <w:rPr/>
        <w:t>case</w:t>
      </w:r>
      <w:r>
        <w:rPr>
          <w:spacing w:val="-13"/>
        </w:rPr>
        <w:t> </w:t>
      </w:r>
      <w:r>
        <w:rPr/>
        <w:t>that</w:t>
      </w:r>
      <w:r>
        <w:rPr>
          <w:spacing w:val="-13"/>
        </w:rPr>
        <w:t> </w:t>
      </w:r>
      <w:r>
        <w:rPr/>
        <w:t>the</w:t>
      </w:r>
      <w:r>
        <w:rPr>
          <w:spacing w:val="-14"/>
        </w:rPr>
        <w:t> </w:t>
      </w:r>
      <w:r>
        <w:rPr/>
        <w:t>distribution of the goods is contracted with third party unrelated licensees /</w:t>
      </w:r>
      <w:r>
        <w:rPr>
          <w:spacing w:val="-10"/>
        </w:rPr>
        <w:t> </w:t>
      </w:r>
      <w:r>
        <w:rPr/>
        <w:t>franchisees.</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The</w:t>
      </w:r>
      <w:r>
        <w:rPr>
          <w:spacing w:val="-13"/>
          <w:sz w:val="20"/>
        </w:rPr>
        <w:t> </w:t>
      </w:r>
      <w:r>
        <w:rPr>
          <w:sz w:val="20"/>
        </w:rPr>
        <w:t>most</w:t>
      </w:r>
      <w:r>
        <w:rPr>
          <w:spacing w:val="-9"/>
          <w:sz w:val="20"/>
        </w:rPr>
        <w:t> </w:t>
      </w:r>
      <w:r>
        <w:rPr>
          <w:sz w:val="20"/>
        </w:rPr>
        <w:t>accurate</w:t>
      </w:r>
      <w:r>
        <w:rPr>
          <w:spacing w:val="-9"/>
          <w:sz w:val="20"/>
        </w:rPr>
        <w:t> </w:t>
      </w:r>
      <w:r>
        <w:rPr>
          <w:sz w:val="20"/>
        </w:rPr>
        <w:t>indicator</w:t>
      </w:r>
      <w:r>
        <w:rPr>
          <w:spacing w:val="-7"/>
          <w:sz w:val="20"/>
        </w:rPr>
        <w:t> </w:t>
      </w:r>
      <w:r>
        <w:rPr>
          <w:sz w:val="20"/>
        </w:rPr>
        <w:t>is</w:t>
      </w:r>
      <w:r>
        <w:rPr>
          <w:spacing w:val="-8"/>
          <w:sz w:val="20"/>
        </w:rPr>
        <w:t> </w:t>
      </w:r>
      <w:r>
        <w:rPr>
          <w:sz w:val="20"/>
        </w:rPr>
        <w:t>therefore</w:t>
      </w:r>
      <w:r>
        <w:rPr>
          <w:spacing w:val="-9"/>
          <w:sz w:val="20"/>
        </w:rPr>
        <w:t> </w:t>
      </w:r>
      <w:r>
        <w:rPr>
          <w:sz w:val="20"/>
        </w:rPr>
        <w:t>the</w:t>
      </w:r>
      <w:r>
        <w:rPr>
          <w:spacing w:val="-10"/>
          <w:sz w:val="20"/>
        </w:rPr>
        <w:t> </w:t>
      </w:r>
      <w:r>
        <w:rPr>
          <w:sz w:val="20"/>
        </w:rPr>
        <w:t>information</w:t>
      </w:r>
      <w:r>
        <w:rPr>
          <w:spacing w:val="-7"/>
          <w:sz w:val="20"/>
        </w:rPr>
        <w:t> </w:t>
      </w:r>
      <w:r>
        <w:rPr>
          <w:sz w:val="20"/>
        </w:rPr>
        <w:t>reported</w:t>
      </w:r>
      <w:r>
        <w:rPr>
          <w:spacing w:val="-8"/>
          <w:sz w:val="20"/>
        </w:rPr>
        <w:t> </w:t>
      </w:r>
      <w:r>
        <w:rPr>
          <w:sz w:val="20"/>
        </w:rPr>
        <w:t>by</w:t>
      </w:r>
      <w:r>
        <w:rPr>
          <w:spacing w:val="-12"/>
          <w:sz w:val="20"/>
        </w:rPr>
        <w:t> </w:t>
      </w:r>
      <w:r>
        <w:rPr>
          <w:sz w:val="20"/>
        </w:rPr>
        <w:t>the</w:t>
      </w:r>
      <w:r>
        <w:rPr>
          <w:spacing w:val="-9"/>
          <w:sz w:val="20"/>
        </w:rPr>
        <w:t> </w:t>
      </w:r>
      <w:r>
        <w:rPr>
          <w:sz w:val="20"/>
        </w:rPr>
        <w:t>franchisee</w:t>
      </w:r>
      <w:r>
        <w:rPr>
          <w:spacing w:val="-7"/>
          <w:sz w:val="20"/>
        </w:rPr>
        <w:t> </w:t>
      </w:r>
      <w:r>
        <w:rPr>
          <w:sz w:val="20"/>
        </w:rPr>
        <w:t>or</w:t>
      </w:r>
      <w:r>
        <w:rPr>
          <w:spacing w:val="-9"/>
          <w:sz w:val="20"/>
        </w:rPr>
        <w:t> </w:t>
      </w:r>
      <w:r>
        <w:rPr>
          <w:sz w:val="20"/>
        </w:rPr>
        <w:t>licensee,</w:t>
      </w:r>
      <w:r>
        <w:rPr>
          <w:spacing w:val="-9"/>
          <w:sz w:val="20"/>
        </w:rPr>
        <w:t> </w:t>
      </w:r>
      <w:r>
        <w:rPr>
          <w:spacing w:val="3"/>
          <w:sz w:val="20"/>
        </w:rPr>
        <w:t>for </w:t>
      </w:r>
      <w:r>
        <w:rPr>
          <w:sz w:val="20"/>
        </w:rPr>
        <w:t>example as part of the franchising / licensing contract. Under existing contracts, many franchisors / licensors will have information about the location of final customers of their franchisees, such as where agreements contain territorial clauses that only permit the franchisee to sell in a designated area. In other cases,</w:t>
      </w:r>
      <w:r>
        <w:rPr>
          <w:spacing w:val="-5"/>
          <w:sz w:val="20"/>
        </w:rPr>
        <w:t> </w:t>
      </w:r>
      <w:r>
        <w:rPr>
          <w:sz w:val="20"/>
        </w:rPr>
        <w:t>the</w:t>
      </w:r>
      <w:r>
        <w:rPr>
          <w:spacing w:val="-4"/>
          <w:sz w:val="20"/>
        </w:rPr>
        <w:t> </w:t>
      </w:r>
      <w:r>
        <w:rPr>
          <w:sz w:val="20"/>
        </w:rPr>
        <w:t>MNE</w:t>
      </w:r>
      <w:r>
        <w:rPr>
          <w:spacing w:val="-5"/>
          <w:sz w:val="20"/>
        </w:rPr>
        <w:t> </w:t>
      </w:r>
      <w:r>
        <w:rPr>
          <w:sz w:val="20"/>
        </w:rPr>
        <w:t>is</w:t>
      </w:r>
      <w:r>
        <w:rPr>
          <w:spacing w:val="-3"/>
          <w:sz w:val="20"/>
        </w:rPr>
        <w:t> </w:t>
      </w:r>
      <w:r>
        <w:rPr>
          <w:sz w:val="20"/>
        </w:rPr>
        <w:t>expected</w:t>
      </w:r>
      <w:r>
        <w:rPr>
          <w:spacing w:val="-4"/>
          <w:sz w:val="20"/>
        </w:rPr>
        <w:t> </w:t>
      </w:r>
      <w:r>
        <w:rPr>
          <w:sz w:val="20"/>
        </w:rPr>
        <w:t>to</w:t>
      </w:r>
      <w:r>
        <w:rPr>
          <w:spacing w:val="-5"/>
          <w:sz w:val="20"/>
        </w:rPr>
        <w:t> </w:t>
      </w:r>
      <w:r>
        <w:rPr>
          <w:sz w:val="20"/>
        </w:rPr>
        <w:t>take</w:t>
      </w:r>
      <w:r>
        <w:rPr>
          <w:spacing w:val="-4"/>
          <w:sz w:val="20"/>
        </w:rPr>
        <w:t> </w:t>
      </w:r>
      <w:r>
        <w:rPr>
          <w:sz w:val="20"/>
        </w:rPr>
        <w:t>reasonable</w:t>
      </w:r>
      <w:r>
        <w:rPr>
          <w:spacing w:val="-4"/>
          <w:sz w:val="20"/>
        </w:rPr>
        <w:t> </w:t>
      </w:r>
      <w:r>
        <w:rPr>
          <w:sz w:val="20"/>
        </w:rPr>
        <w:t>steps</w:t>
      </w:r>
      <w:r>
        <w:rPr>
          <w:spacing w:val="-4"/>
          <w:sz w:val="20"/>
        </w:rPr>
        <w:t> </w:t>
      </w:r>
      <w:r>
        <w:rPr>
          <w:sz w:val="20"/>
        </w:rPr>
        <w:t>to</w:t>
      </w:r>
      <w:r>
        <w:rPr>
          <w:spacing w:val="-1"/>
          <w:sz w:val="20"/>
        </w:rPr>
        <w:t> </w:t>
      </w:r>
      <w:r>
        <w:rPr>
          <w:sz w:val="20"/>
        </w:rPr>
        <w:t>seek</w:t>
      </w:r>
      <w:r>
        <w:rPr>
          <w:spacing w:val="-1"/>
          <w:sz w:val="20"/>
        </w:rPr>
        <w:t> </w:t>
      </w:r>
      <w:r>
        <w:rPr>
          <w:sz w:val="20"/>
        </w:rPr>
        <w:t>to</w:t>
      </w:r>
      <w:r>
        <w:rPr>
          <w:spacing w:val="-4"/>
          <w:sz w:val="20"/>
        </w:rPr>
        <w:t> </w:t>
      </w:r>
      <w:r>
        <w:rPr>
          <w:sz w:val="20"/>
        </w:rPr>
        <w:t>change</w:t>
      </w:r>
      <w:r>
        <w:rPr>
          <w:spacing w:val="-5"/>
          <w:sz w:val="20"/>
        </w:rPr>
        <w:t> </w:t>
      </w:r>
      <w:r>
        <w:rPr>
          <w:sz w:val="20"/>
        </w:rPr>
        <w:t>the</w:t>
      </w:r>
      <w:r>
        <w:rPr>
          <w:spacing w:val="-5"/>
          <w:sz w:val="20"/>
        </w:rPr>
        <w:t> </w:t>
      </w:r>
      <w:r>
        <w:rPr>
          <w:sz w:val="20"/>
        </w:rPr>
        <w:t>contractual</w:t>
      </w:r>
      <w:r>
        <w:rPr>
          <w:spacing w:val="-5"/>
          <w:sz w:val="20"/>
        </w:rPr>
        <w:t> </w:t>
      </w:r>
      <w:r>
        <w:rPr>
          <w:sz w:val="20"/>
        </w:rPr>
        <w:t>arrangement</w:t>
      </w:r>
      <w:r>
        <w:rPr>
          <w:spacing w:val="-5"/>
          <w:sz w:val="20"/>
        </w:rPr>
        <w:t> </w:t>
      </w:r>
      <w:r>
        <w:rPr>
          <w:sz w:val="20"/>
        </w:rPr>
        <w:t>with the</w:t>
      </w:r>
      <w:r>
        <w:rPr>
          <w:spacing w:val="-4"/>
          <w:sz w:val="20"/>
        </w:rPr>
        <w:t> </w:t>
      </w:r>
      <w:r>
        <w:rPr>
          <w:sz w:val="20"/>
        </w:rPr>
        <w:t>licensee</w:t>
      </w:r>
      <w:r>
        <w:rPr>
          <w:spacing w:val="-4"/>
          <w:sz w:val="20"/>
        </w:rPr>
        <w:t> </w:t>
      </w:r>
      <w:r>
        <w:rPr>
          <w:sz w:val="20"/>
        </w:rPr>
        <w:t>/</w:t>
      </w:r>
      <w:r>
        <w:rPr>
          <w:spacing w:val="-3"/>
          <w:sz w:val="20"/>
        </w:rPr>
        <w:t> </w:t>
      </w:r>
      <w:r>
        <w:rPr>
          <w:sz w:val="20"/>
        </w:rPr>
        <w:t>franchisee,</w:t>
      </w:r>
      <w:r>
        <w:rPr>
          <w:spacing w:val="-2"/>
          <w:sz w:val="20"/>
        </w:rPr>
        <w:t> </w:t>
      </w:r>
      <w:r>
        <w:rPr>
          <w:sz w:val="20"/>
        </w:rPr>
        <w:t>and</w:t>
      </w:r>
      <w:r>
        <w:rPr>
          <w:spacing w:val="-4"/>
          <w:sz w:val="20"/>
        </w:rPr>
        <w:t> </w:t>
      </w:r>
      <w:r>
        <w:rPr>
          <w:sz w:val="20"/>
        </w:rPr>
        <w:t>require</w:t>
      </w:r>
      <w:r>
        <w:rPr>
          <w:spacing w:val="-4"/>
          <w:sz w:val="20"/>
        </w:rPr>
        <w:t> </w:t>
      </w:r>
      <w:r>
        <w:rPr>
          <w:sz w:val="20"/>
        </w:rPr>
        <w:t>them</w:t>
      </w:r>
      <w:r>
        <w:rPr>
          <w:spacing w:val="1"/>
          <w:sz w:val="20"/>
        </w:rPr>
        <w:t> </w:t>
      </w:r>
      <w:r>
        <w:rPr>
          <w:sz w:val="20"/>
        </w:rPr>
        <w:t>to</w:t>
      </w:r>
      <w:r>
        <w:rPr>
          <w:spacing w:val="-3"/>
          <w:sz w:val="20"/>
        </w:rPr>
        <w:t> </w:t>
      </w:r>
      <w:r>
        <w:rPr>
          <w:sz w:val="20"/>
        </w:rPr>
        <w:t>report</w:t>
      </w:r>
      <w:r>
        <w:rPr>
          <w:spacing w:val="-4"/>
          <w:sz w:val="20"/>
        </w:rPr>
        <w:t> </w:t>
      </w:r>
      <w:r>
        <w:rPr>
          <w:sz w:val="20"/>
        </w:rPr>
        <w:t>the</w:t>
      </w:r>
      <w:r>
        <w:rPr>
          <w:spacing w:val="-3"/>
          <w:sz w:val="20"/>
        </w:rPr>
        <w:t> </w:t>
      </w:r>
      <w:r>
        <w:rPr>
          <w:sz w:val="20"/>
        </w:rPr>
        <w:t>information</w:t>
      </w:r>
      <w:r>
        <w:rPr>
          <w:spacing w:val="-5"/>
          <w:sz w:val="20"/>
        </w:rPr>
        <w:t> </w:t>
      </w:r>
      <w:r>
        <w:rPr>
          <w:sz w:val="20"/>
        </w:rPr>
        <w:t>on</w:t>
      </w:r>
      <w:r>
        <w:rPr>
          <w:spacing w:val="-4"/>
          <w:sz w:val="20"/>
        </w:rPr>
        <w:t> </w:t>
      </w:r>
      <w:r>
        <w:rPr>
          <w:sz w:val="20"/>
        </w:rPr>
        <w:t>the</w:t>
      </w:r>
      <w:r>
        <w:rPr>
          <w:spacing w:val="-5"/>
          <w:sz w:val="20"/>
        </w:rPr>
        <w:t> </w:t>
      </w:r>
      <w:r>
        <w:rPr>
          <w:sz w:val="20"/>
        </w:rPr>
        <w:t>aggregate</w:t>
      </w:r>
      <w:r>
        <w:rPr>
          <w:spacing w:val="-4"/>
          <w:sz w:val="20"/>
        </w:rPr>
        <w:t> </w:t>
      </w:r>
      <w:r>
        <w:rPr>
          <w:sz w:val="20"/>
        </w:rPr>
        <w:t>number</w:t>
      </w:r>
      <w:r>
        <w:rPr>
          <w:spacing w:val="-3"/>
          <w:sz w:val="20"/>
        </w:rPr>
        <w:t> </w:t>
      </w:r>
      <w:r>
        <w:rPr>
          <w:sz w:val="20"/>
        </w:rPr>
        <w:t>and</w:t>
      </w:r>
      <w:r>
        <w:rPr>
          <w:spacing w:val="-4"/>
          <w:sz w:val="20"/>
        </w:rPr>
        <w:t> </w:t>
      </w:r>
      <w:r>
        <w:rPr>
          <w:sz w:val="20"/>
        </w:rPr>
        <w:t>type</w:t>
      </w:r>
      <w:r>
        <w:rPr>
          <w:spacing w:val="-3"/>
          <w:sz w:val="20"/>
        </w:rPr>
        <w:t> </w:t>
      </w:r>
      <w:r>
        <w:rPr>
          <w:sz w:val="20"/>
        </w:rPr>
        <w:t>of products</w:t>
      </w:r>
      <w:r>
        <w:rPr>
          <w:spacing w:val="-9"/>
          <w:sz w:val="20"/>
        </w:rPr>
        <w:t> </w:t>
      </w:r>
      <w:r>
        <w:rPr>
          <w:sz w:val="20"/>
        </w:rPr>
        <w:t>sold</w:t>
      </w:r>
      <w:r>
        <w:rPr>
          <w:spacing w:val="-10"/>
          <w:sz w:val="20"/>
        </w:rPr>
        <w:t> </w:t>
      </w:r>
      <w:r>
        <w:rPr>
          <w:sz w:val="20"/>
        </w:rPr>
        <w:t>/</w:t>
      </w:r>
      <w:r>
        <w:rPr>
          <w:spacing w:val="-8"/>
          <w:sz w:val="20"/>
        </w:rPr>
        <w:t> </w:t>
      </w:r>
      <w:r>
        <w:rPr>
          <w:sz w:val="20"/>
        </w:rPr>
        <w:t>services</w:t>
      </w:r>
      <w:r>
        <w:rPr>
          <w:spacing w:val="-9"/>
          <w:sz w:val="20"/>
        </w:rPr>
        <w:t> </w:t>
      </w:r>
      <w:r>
        <w:rPr>
          <w:sz w:val="20"/>
        </w:rPr>
        <w:t>delivered</w:t>
      </w:r>
      <w:r>
        <w:rPr>
          <w:spacing w:val="-8"/>
          <w:sz w:val="20"/>
        </w:rPr>
        <w:t> </w:t>
      </w:r>
      <w:r>
        <w:rPr>
          <w:sz w:val="20"/>
        </w:rPr>
        <w:t>to</w:t>
      </w:r>
      <w:r>
        <w:rPr>
          <w:spacing w:val="-8"/>
          <w:sz w:val="20"/>
        </w:rPr>
        <w:t> </w:t>
      </w:r>
      <w:r>
        <w:rPr>
          <w:sz w:val="20"/>
        </w:rPr>
        <w:t>each</w:t>
      </w:r>
      <w:r>
        <w:rPr>
          <w:spacing w:val="-8"/>
          <w:sz w:val="20"/>
        </w:rPr>
        <w:t> </w:t>
      </w:r>
      <w:r>
        <w:rPr>
          <w:sz w:val="20"/>
        </w:rPr>
        <w:t>jurisdiction</w:t>
      </w:r>
      <w:r>
        <w:rPr>
          <w:spacing w:val="-7"/>
          <w:sz w:val="20"/>
        </w:rPr>
        <w:t> </w:t>
      </w:r>
      <w:r>
        <w:rPr>
          <w:sz w:val="20"/>
        </w:rPr>
        <w:t>(no</w:t>
      </w:r>
      <w:r>
        <w:rPr>
          <w:spacing w:val="-10"/>
          <w:sz w:val="20"/>
        </w:rPr>
        <w:t> </w:t>
      </w:r>
      <w:r>
        <w:rPr>
          <w:sz w:val="20"/>
        </w:rPr>
        <w:t>sensitive</w:t>
      </w:r>
      <w:r>
        <w:rPr>
          <w:spacing w:val="-10"/>
          <w:sz w:val="20"/>
        </w:rPr>
        <w:t> </w:t>
      </w:r>
      <w:r>
        <w:rPr>
          <w:sz w:val="20"/>
        </w:rPr>
        <w:t>commercial</w:t>
      </w:r>
      <w:r>
        <w:rPr>
          <w:spacing w:val="-11"/>
          <w:sz w:val="20"/>
        </w:rPr>
        <w:t> </w:t>
      </w:r>
      <w:r>
        <w:rPr>
          <w:sz w:val="20"/>
        </w:rPr>
        <w:t>information</w:t>
      </w:r>
      <w:r>
        <w:rPr>
          <w:spacing w:val="-9"/>
          <w:sz w:val="20"/>
        </w:rPr>
        <w:t> </w:t>
      </w:r>
      <w:r>
        <w:rPr>
          <w:sz w:val="20"/>
        </w:rPr>
        <w:t>such</w:t>
      </w:r>
      <w:r>
        <w:rPr>
          <w:spacing w:val="-10"/>
          <w:sz w:val="20"/>
        </w:rPr>
        <w:t> </w:t>
      </w:r>
      <w:r>
        <w:rPr>
          <w:sz w:val="20"/>
        </w:rPr>
        <w:t>as</w:t>
      </w:r>
      <w:r>
        <w:rPr>
          <w:spacing w:val="-7"/>
          <w:sz w:val="20"/>
        </w:rPr>
        <w:t> </w:t>
      </w:r>
      <w:r>
        <w:rPr>
          <w:sz w:val="20"/>
        </w:rPr>
        <w:t>pricing information or specific customer addresses would be required). It is expected that most franchisors / licensors have the right to request this</w:t>
      </w:r>
      <w:r>
        <w:rPr>
          <w:spacing w:val="-1"/>
          <w:sz w:val="20"/>
        </w:rPr>
        <w:t> </w:t>
      </w:r>
      <w:r>
        <w:rPr>
          <w:sz w:val="20"/>
        </w:rPr>
        <w:t>information.</w:t>
      </w:r>
      <w:r>
        <w:rPr>
          <w:sz w:val="20"/>
          <w:vertAlign w:val="superscript"/>
        </w:rPr>
        <w:t>59</w:t>
      </w:r>
    </w:p>
    <w:p>
      <w:pPr>
        <w:pStyle w:val="ListParagraph"/>
        <w:numPr>
          <w:ilvl w:val="0"/>
          <w:numId w:val="13"/>
        </w:numPr>
        <w:tabs>
          <w:tab w:pos="1444" w:val="left" w:leader="none"/>
        </w:tabs>
        <w:spacing w:line="271" w:lineRule="auto" w:before="121" w:after="0"/>
        <w:ind w:left="723" w:right="486" w:firstLine="0"/>
        <w:jc w:val="both"/>
        <w:rPr>
          <w:sz w:val="20"/>
        </w:rPr>
      </w:pPr>
      <w:r>
        <w:rPr>
          <w:sz w:val="20"/>
        </w:rPr>
        <w:t>It</w:t>
      </w:r>
      <w:r>
        <w:rPr>
          <w:spacing w:val="-5"/>
          <w:sz w:val="20"/>
        </w:rPr>
        <w:t> </w:t>
      </w:r>
      <w:r>
        <w:rPr>
          <w:sz w:val="20"/>
        </w:rPr>
        <w:t>is</w:t>
      </w:r>
      <w:r>
        <w:rPr>
          <w:spacing w:val="-3"/>
          <w:sz w:val="20"/>
        </w:rPr>
        <w:t> </w:t>
      </w:r>
      <w:r>
        <w:rPr>
          <w:sz w:val="20"/>
        </w:rPr>
        <w:t>recognised</w:t>
      </w:r>
      <w:r>
        <w:rPr>
          <w:spacing w:val="-5"/>
          <w:sz w:val="20"/>
        </w:rPr>
        <w:t> </w:t>
      </w:r>
      <w:r>
        <w:rPr>
          <w:sz w:val="20"/>
        </w:rPr>
        <w:t>that</w:t>
      </w:r>
      <w:r>
        <w:rPr>
          <w:spacing w:val="-4"/>
          <w:sz w:val="20"/>
        </w:rPr>
        <w:t> </w:t>
      </w:r>
      <w:r>
        <w:rPr>
          <w:sz w:val="20"/>
        </w:rPr>
        <w:t>there</w:t>
      </w:r>
      <w:r>
        <w:rPr>
          <w:spacing w:val="-4"/>
          <w:sz w:val="20"/>
        </w:rPr>
        <w:t> </w:t>
      </w:r>
      <w:r>
        <w:rPr>
          <w:sz w:val="20"/>
        </w:rPr>
        <w:t>could</w:t>
      </w:r>
      <w:r>
        <w:rPr>
          <w:spacing w:val="-5"/>
          <w:sz w:val="20"/>
        </w:rPr>
        <w:t> </w:t>
      </w:r>
      <w:r>
        <w:rPr>
          <w:sz w:val="20"/>
        </w:rPr>
        <w:t>be</w:t>
      </w:r>
      <w:r>
        <w:rPr>
          <w:spacing w:val="-4"/>
          <w:sz w:val="20"/>
        </w:rPr>
        <w:t> </w:t>
      </w:r>
      <w:r>
        <w:rPr>
          <w:sz w:val="20"/>
        </w:rPr>
        <w:t>an</w:t>
      </w:r>
      <w:r>
        <w:rPr>
          <w:spacing w:val="-3"/>
          <w:sz w:val="20"/>
        </w:rPr>
        <w:t> </w:t>
      </w:r>
      <w:r>
        <w:rPr>
          <w:sz w:val="20"/>
        </w:rPr>
        <w:t>unrelated</w:t>
      </w:r>
      <w:r>
        <w:rPr>
          <w:spacing w:val="-4"/>
          <w:sz w:val="20"/>
        </w:rPr>
        <w:t> </w:t>
      </w:r>
      <w:r>
        <w:rPr>
          <w:sz w:val="20"/>
        </w:rPr>
        <w:t>party</w:t>
      </w:r>
      <w:r>
        <w:rPr>
          <w:spacing w:val="-7"/>
          <w:sz w:val="20"/>
        </w:rPr>
        <w:t> </w:t>
      </w:r>
      <w:r>
        <w:rPr>
          <w:sz w:val="20"/>
        </w:rPr>
        <w:t>involved</w:t>
      </w:r>
      <w:r>
        <w:rPr>
          <w:spacing w:val="-4"/>
          <w:sz w:val="20"/>
        </w:rPr>
        <w:t> </w:t>
      </w:r>
      <w:r>
        <w:rPr>
          <w:sz w:val="20"/>
        </w:rPr>
        <w:t>in</w:t>
      </w:r>
      <w:r>
        <w:rPr>
          <w:spacing w:val="-4"/>
          <w:sz w:val="20"/>
        </w:rPr>
        <w:t> </w:t>
      </w:r>
      <w:r>
        <w:rPr>
          <w:sz w:val="20"/>
        </w:rPr>
        <w:t>the</w:t>
      </w:r>
      <w:r>
        <w:rPr>
          <w:spacing w:val="-4"/>
          <w:sz w:val="20"/>
        </w:rPr>
        <w:t> </w:t>
      </w:r>
      <w:r>
        <w:rPr>
          <w:sz w:val="20"/>
        </w:rPr>
        <w:t>value</w:t>
      </w:r>
      <w:r>
        <w:rPr>
          <w:spacing w:val="-5"/>
          <w:sz w:val="20"/>
        </w:rPr>
        <w:t> </w:t>
      </w:r>
      <w:r>
        <w:rPr>
          <w:sz w:val="20"/>
        </w:rPr>
        <w:t>chain,</w:t>
      </w:r>
      <w:r>
        <w:rPr>
          <w:spacing w:val="-4"/>
          <w:sz w:val="20"/>
        </w:rPr>
        <w:t> </w:t>
      </w:r>
      <w:r>
        <w:rPr>
          <w:sz w:val="20"/>
        </w:rPr>
        <w:t>and</w:t>
      </w:r>
      <w:r>
        <w:rPr>
          <w:spacing w:val="-6"/>
          <w:sz w:val="20"/>
        </w:rPr>
        <w:t> </w:t>
      </w:r>
      <w:r>
        <w:rPr>
          <w:sz w:val="20"/>
        </w:rPr>
        <w:t>therefore</w:t>
      </w:r>
      <w:r>
        <w:rPr>
          <w:spacing w:val="-4"/>
          <w:sz w:val="20"/>
        </w:rPr>
        <w:t> </w:t>
      </w:r>
      <w:r>
        <w:rPr>
          <w:sz w:val="20"/>
        </w:rPr>
        <w:t>a hierarchy applies to the indicators to provide sufficient flexibility. Only if the MNE can demonstrate that it has taken reasonable steps to change the contract to obtain the information directly from the franchisee / licensee, but has been unsuccessful in doing so, the franchisor / licensor would need to provide an approximation based on available information. This could include information collected for internal management reporting, market research, or quality control purposes to comply with local legal requirements (such as censorship or food safety standards). This information could also include information on the location where the franchisee / licensee is performing its operations, under the franchising</w:t>
      </w:r>
      <w:r>
        <w:rPr>
          <w:spacing w:val="-8"/>
          <w:sz w:val="20"/>
        </w:rPr>
        <w:t> </w:t>
      </w:r>
      <w:r>
        <w:rPr>
          <w:sz w:val="20"/>
        </w:rPr>
        <w:t>/</w:t>
      </w:r>
      <w:r>
        <w:rPr>
          <w:spacing w:val="-5"/>
          <w:sz w:val="20"/>
        </w:rPr>
        <w:t> </w:t>
      </w:r>
      <w:r>
        <w:rPr>
          <w:sz w:val="20"/>
        </w:rPr>
        <w:t>licensing</w:t>
      </w:r>
      <w:r>
        <w:rPr>
          <w:spacing w:val="-7"/>
          <w:sz w:val="20"/>
        </w:rPr>
        <w:t> </w:t>
      </w:r>
      <w:r>
        <w:rPr>
          <w:sz w:val="20"/>
        </w:rPr>
        <w:t>agreement.</w:t>
      </w:r>
      <w:r>
        <w:rPr>
          <w:spacing w:val="-7"/>
          <w:sz w:val="20"/>
        </w:rPr>
        <w:t> </w:t>
      </w:r>
      <w:r>
        <w:rPr>
          <w:sz w:val="20"/>
        </w:rPr>
        <w:t>It</w:t>
      </w:r>
      <w:r>
        <w:rPr>
          <w:spacing w:val="-8"/>
          <w:sz w:val="20"/>
        </w:rPr>
        <w:t> </w:t>
      </w:r>
      <w:r>
        <w:rPr>
          <w:sz w:val="20"/>
        </w:rPr>
        <w:t>is</w:t>
      </w:r>
      <w:r>
        <w:rPr>
          <w:spacing w:val="-5"/>
          <w:sz w:val="20"/>
        </w:rPr>
        <w:t> </w:t>
      </w:r>
      <w:r>
        <w:rPr>
          <w:sz w:val="20"/>
        </w:rPr>
        <w:t>expected</w:t>
      </w:r>
      <w:r>
        <w:rPr>
          <w:spacing w:val="-8"/>
          <w:sz w:val="20"/>
        </w:rPr>
        <w:t> </w:t>
      </w:r>
      <w:r>
        <w:rPr>
          <w:sz w:val="20"/>
        </w:rPr>
        <w:t>that</w:t>
      </w:r>
      <w:r>
        <w:rPr>
          <w:spacing w:val="-7"/>
          <w:sz w:val="20"/>
        </w:rPr>
        <w:t> </w:t>
      </w:r>
      <w:r>
        <w:rPr>
          <w:sz w:val="20"/>
        </w:rPr>
        <w:t>the</w:t>
      </w:r>
      <w:r>
        <w:rPr>
          <w:spacing w:val="-8"/>
          <w:sz w:val="20"/>
        </w:rPr>
        <w:t> </w:t>
      </w:r>
      <w:r>
        <w:rPr>
          <w:sz w:val="20"/>
        </w:rPr>
        <w:t>franchisor</w:t>
      </w:r>
      <w:r>
        <w:rPr>
          <w:spacing w:val="-6"/>
          <w:sz w:val="20"/>
        </w:rPr>
        <w:t> </w:t>
      </w:r>
      <w:r>
        <w:rPr>
          <w:sz w:val="20"/>
        </w:rPr>
        <w:t>/</w:t>
      </w:r>
      <w:r>
        <w:rPr>
          <w:spacing w:val="-7"/>
          <w:sz w:val="20"/>
        </w:rPr>
        <w:t> </w:t>
      </w:r>
      <w:r>
        <w:rPr>
          <w:sz w:val="20"/>
        </w:rPr>
        <w:t>licensor</w:t>
      </w:r>
      <w:r>
        <w:rPr>
          <w:spacing w:val="-6"/>
          <w:sz w:val="20"/>
        </w:rPr>
        <w:t> </w:t>
      </w:r>
      <w:r>
        <w:rPr>
          <w:sz w:val="20"/>
        </w:rPr>
        <w:t>have</w:t>
      </w:r>
      <w:r>
        <w:rPr>
          <w:spacing w:val="-3"/>
          <w:sz w:val="20"/>
        </w:rPr>
        <w:t> </w:t>
      </w:r>
      <w:r>
        <w:rPr>
          <w:sz w:val="20"/>
        </w:rPr>
        <w:t>this</w:t>
      </w:r>
      <w:r>
        <w:rPr>
          <w:spacing w:val="-6"/>
          <w:sz w:val="20"/>
        </w:rPr>
        <w:t> </w:t>
      </w:r>
      <w:r>
        <w:rPr>
          <w:sz w:val="20"/>
        </w:rPr>
        <w:t>information</w:t>
      </w:r>
      <w:r>
        <w:rPr>
          <w:spacing w:val="-7"/>
          <w:sz w:val="20"/>
        </w:rPr>
        <w:t> </w:t>
      </w:r>
      <w:r>
        <w:rPr>
          <w:sz w:val="20"/>
        </w:rPr>
        <w:t>already available, or have the right to request this information. The same approach would apply where a contract has been amended, but there is a period of time before it becomes</w:t>
      </w:r>
      <w:r>
        <w:rPr>
          <w:spacing w:val="-22"/>
          <w:sz w:val="20"/>
        </w:rPr>
        <w:t> </w:t>
      </w:r>
      <w:r>
        <w:rPr>
          <w:sz w:val="20"/>
        </w:rPr>
        <w:t>operational.</w:t>
      </w:r>
    </w:p>
    <w:p>
      <w:pPr>
        <w:pStyle w:val="BodyText"/>
        <w:spacing w:before="7"/>
        <w:rPr>
          <w:sz w:val="23"/>
        </w:rPr>
      </w:pPr>
    </w:p>
    <w:p>
      <w:pPr>
        <w:pStyle w:val="Heading6"/>
        <w:numPr>
          <w:ilvl w:val="2"/>
          <w:numId w:val="19"/>
        </w:numPr>
        <w:tabs>
          <w:tab w:pos="2015" w:val="left" w:leader="none"/>
        </w:tabs>
        <w:spacing w:line="240" w:lineRule="auto" w:before="0" w:after="0"/>
        <w:ind w:left="2014" w:right="0" w:hanging="613"/>
        <w:jc w:val="left"/>
        <w:rPr>
          <w:i/>
        </w:rPr>
      </w:pPr>
      <w:bookmarkStart w:name="4.3.4. Documentation" w:id="183"/>
      <w:bookmarkEnd w:id="183"/>
      <w:r>
        <w:rPr>
          <w:b w:val="0"/>
          <w:i w:val="0"/>
        </w:rPr>
      </w:r>
      <w:bookmarkStart w:name="4.3.4. Documentation" w:id="184"/>
      <w:bookmarkEnd w:id="184"/>
      <w:r>
        <w:rPr>
          <w:i/>
        </w:rPr>
        <w:t>D</w:t>
      </w:r>
      <w:r>
        <w:rPr>
          <w:i/>
        </w:rPr>
        <w:t>ocumentation</w:t>
      </w:r>
    </w:p>
    <w:p>
      <w:pPr>
        <w:pStyle w:val="BodyText"/>
        <w:spacing w:before="3"/>
        <w:rPr>
          <w:b/>
          <w:i/>
          <w:sz w:val="23"/>
        </w:rPr>
      </w:pPr>
    </w:p>
    <w:p>
      <w:pPr>
        <w:pStyle w:val="Heading7"/>
        <w:spacing w:before="1"/>
        <w:rPr>
          <w:i/>
        </w:rPr>
      </w:pPr>
      <w:bookmarkStart w:name="Type of information" w:id="185"/>
      <w:bookmarkEnd w:id="185"/>
      <w:r>
        <w:rPr>
          <w:i w:val="0"/>
        </w:rPr>
      </w:r>
      <w:r>
        <w:rPr>
          <w:i/>
          <w:color w:val="616161"/>
        </w:rPr>
        <w:t>Type of information</w:t>
      </w:r>
    </w:p>
    <w:p>
      <w:pPr>
        <w:pStyle w:val="BodyText"/>
        <w:spacing w:before="10"/>
        <w:rPr>
          <w:i/>
          <w:sz w:val="18"/>
        </w:rPr>
      </w:pPr>
    </w:p>
    <w:p>
      <w:pPr>
        <w:pStyle w:val="ListParagraph"/>
        <w:numPr>
          <w:ilvl w:val="0"/>
          <w:numId w:val="13"/>
        </w:numPr>
        <w:tabs>
          <w:tab w:pos="1444" w:val="left" w:leader="none"/>
        </w:tabs>
        <w:spacing w:line="240" w:lineRule="auto" w:before="0" w:after="0"/>
        <w:ind w:left="1443" w:right="0" w:hanging="721"/>
        <w:jc w:val="both"/>
        <w:rPr>
          <w:sz w:val="20"/>
        </w:rPr>
      </w:pPr>
      <w:r>
        <w:rPr>
          <w:sz w:val="20"/>
        </w:rPr>
        <w:t>The MNE must retain documentation</w:t>
      </w:r>
      <w:r>
        <w:rPr>
          <w:spacing w:val="-8"/>
          <w:sz w:val="20"/>
        </w:rPr>
        <w:t> </w:t>
      </w:r>
      <w:r>
        <w:rPr>
          <w:sz w:val="20"/>
        </w:rPr>
        <w:t>evidencing:</w:t>
      </w:r>
    </w:p>
    <w:p>
      <w:pPr>
        <w:pStyle w:val="ListParagraph"/>
        <w:numPr>
          <w:ilvl w:val="0"/>
          <w:numId w:val="58"/>
        </w:numPr>
        <w:tabs>
          <w:tab w:pos="1402" w:val="left" w:leader="none"/>
          <w:tab w:pos="1403" w:val="left" w:leader="none"/>
        </w:tabs>
        <w:spacing w:line="240" w:lineRule="auto" w:before="129" w:after="0"/>
        <w:ind w:left="1402" w:right="0" w:hanging="339"/>
        <w:jc w:val="left"/>
        <w:rPr>
          <w:sz w:val="20"/>
        </w:rPr>
      </w:pPr>
      <w:r>
        <w:rPr>
          <w:sz w:val="20"/>
        </w:rPr>
        <w:t>The functioning of its internal control framework related to revenue</w:t>
      </w:r>
      <w:r>
        <w:rPr>
          <w:spacing w:val="-14"/>
          <w:sz w:val="20"/>
        </w:rPr>
        <w:t> </w:t>
      </w:r>
      <w:r>
        <w:rPr>
          <w:sz w:val="20"/>
        </w:rPr>
        <w:t>sourcing;</w:t>
      </w:r>
    </w:p>
    <w:p>
      <w:pPr>
        <w:pStyle w:val="ListParagraph"/>
        <w:numPr>
          <w:ilvl w:val="0"/>
          <w:numId w:val="58"/>
        </w:numPr>
        <w:tabs>
          <w:tab w:pos="1402" w:val="left" w:leader="none"/>
          <w:tab w:pos="1403" w:val="left" w:leader="none"/>
        </w:tabs>
        <w:spacing w:line="266" w:lineRule="auto" w:before="76" w:after="0"/>
        <w:ind w:left="1402" w:right="497" w:hanging="339"/>
        <w:jc w:val="left"/>
        <w:rPr>
          <w:sz w:val="20"/>
        </w:rPr>
      </w:pPr>
      <w:r>
        <w:rPr>
          <w:sz w:val="20"/>
        </w:rPr>
        <w:t>Aggregate and periodic information on results of applying the indicators, for each type of revenue and in each jurisdiction;</w:t>
      </w:r>
    </w:p>
    <w:p>
      <w:pPr>
        <w:pStyle w:val="ListParagraph"/>
        <w:numPr>
          <w:ilvl w:val="0"/>
          <w:numId w:val="58"/>
        </w:numPr>
        <w:tabs>
          <w:tab w:pos="1402" w:val="left" w:leader="none"/>
          <w:tab w:pos="1403" w:val="left" w:leader="none"/>
        </w:tabs>
        <w:spacing w:line="240" w:lineRule="auto" w:before="51" w:after="0"/>
        <w:ind w:left="1402" w:right="0" w:hanging="339"/>
        <w:jc w:val="left"/>
        <w:rPr>
          <w:sz w:val="20"/>
        </w:rPr>
      </w:pPr>
      <w:r>
        <w:rPr>
          <w:sz w:val="20"/>
        </w:rPr>
        <w:t>The specific indicator used for a given category of revenue;</w:t>
      </w:r>
      <w:r>
        <w:rPr>
          <w:spacing w:val="-11"/>
          <w:sz w:val="20"/>
        </w:rPr>
        <w:t> </w:t>
      </w:r>
      <w:r>
        <w:rPr>
          <w:sz w:val="20"/>
        </w:rPr>
        <w:t>and</w:t>
      </w:r>
    </w:p>
    <w:p>
      <w:pPr>
        <w:pStyle w:val="ListParagraph"/>
        <w:numPr>
          <w:ilvl w:val="0"/>
          <w:numId w:val="58"/>
        </w:numPr>
        <w:tabs>
          <w:tab w:pos="1403" w:val="left" w:leader="none"/>
        </w:tabs>
        <w:spacing w:line="268" w:lineRule="auto" w:before="77" w:after="0"/>
        <w:ind w:left="1402" w:right="494" w:hanging="339"/>
        <w:jc w:val="both"/>
        <w:rPr>
          <w:sz w:val="20"/>
        </w:rPr>
      </w:pPr>
      <w:r>
        <w:rPr>
          <w:sz w:val="20"/>
        </w:rPr>
        <w:t>The</w:t>
      </w:r>
      <w:r>
        <w:rPr>
          <w:spacing w:val="-6"/>
          <w:sz w:val="20"/>
        </w:rPr>
        <w:t> </w:t>
      </w:r>
      <w:r>
        <w:rPr>
          <w:sz w:val="20"/>
        </w:rPr>
        <w:t>circumstances</w:t>
      </w:r>
      <w:r>
        <w:rPr>
          <w:spacing w:val="-4"/>
          <w:sz w:val="20"/>
        </w:rPr>
        <w:t> </w:t>
      </w:r>
      <w:r>
        <w:rPr>
          <w:sz w:val="20"/>
        </w:rPr>
        <w:t>when</w:t>
      </w:r>
      <w:r>
        <w:rPr>
          <w:spacing w:val="-5"/>
          <w:sz w:val="20"/>
        </w:rPr>
        <w:t> </w:t>
      </w:r>
      <w:r>
        <w:rPr>
          <w:sz w:val="20"/>
        </w:rPr>
        <w:t>an</w:t>
      </w:r>
      <w:r>
        <w:rPr>
          <w:spacing w:val="-5"/>
          <w:sz w:val="20"/>
        </w:rPr>
        <w:t> </w:t>
      </w:r>
      <w:r>
        <w:rPr>
          <w:sz w:val="20"/>
        </w:rPr>
        <w:t>indicator</w:t>
      </w:r>
      <w:r>
        <w:rPr>
          <w:spacing w:val="-5"/>
          <w:sz w:val="20"/>
        </w:rPr>
        <w:t> </w:t>
      </w:r>
      <w:r>
        <w:rPr>
          <w:sz w:val="20"/>
        </w:rPr>
        <w:t>lower</w:t>
      </w:r>
      <w:r>
        <w:rPr>
          <w:spacing w:val="-1"/>
          <w:sz w:val="20"/>
        </w:rPr>
        <w:t> </w:t>
      </w:r>
      <w:r>
        <w:rPr>
          <w:sz w:val="20"/>
        </w:rPr>
        <w:t>in</w:t>
      </w:r>
      <w:r>
        <w:rPr>
          <w:spacing w:val="-5"/>
          <w:sz w:val="20"/>
        </w:rPr>
        <w:t> </w:t>
      </w:r>
      <w:r>
        <w:rPr>
          <w:sz w:val="20"/>
        </w:rPr>
        <w:t>the</w:t>
      </w:r>
      <w:r>
        <w:rPr>
          <w:spacing w:val="-4"/>
          <w:sz w:val="20"/>
        </w:rPr>
        <w:t> </w:t>
      </w:r>
      <w:r>
        <w:rPr>
          <w:sz w:val="20"/>
        </w:rPr>
        <w:t>hierarchy</w:t>
      </w:r>
      <w:r>
        <w:rPr>
          <w:spacing w:val="-5"/>
          <w:sz w:val="20"/>
        </w:rPr>
        <w:t> </w:t>
      </w:r>
      <w:r>
        <w:rPr>
          <w:sz w:val="20"/>
        </w:rPr>
        <w:t>was</w:t>
      </w:r>
      <w:r>
        <w:rPr>
          <w:spacing w:val="-4"/>
          <w:sz w:val="20"/>
        </w:rPr>
        <w:t> </w:t>
      </w:r>
      <w:r>
        <w:rPr>
          <w:sz w:val="20"/>
        </w:rPr>
        <w:t>used,</w:t>
      </w:r>
      <w:r>
        <w:rPr>
          <w:spacing w:val="-3"/>
          <w:sz w:val="20"/>
        </w:rPr>
        <w:t> </w:t>
      </w:r>
      <w:r>
        <w:rPr>
          <w:sz w:val="20"/>
        </w:rPr>
        <w:t>including</w:t>
      </w:r>
      <w:r>
        <w:rPr>
          <w:spacing w:val="-3"/>
          <w:sz w:val="20"/>
        </w:rPr>
        <w:t> </w:t>
      </w:r>
      <w:r>
        <w:rPr>
          <w:sz w:val="20"/>
        </w:rPr>
        <w:t>why</w:t>
      </w:r>
      <w:r>
        <w:rPr>
          <w:spacing w:val="-5"/>
          <w:sz w:val="20"/>
        </w:rPr>
        <w:t> </w:t>
      </w:r>
      <w:r>
        <w:rPr>
          <w:sz w:val="20"/>
        </w:rPr>
        <w:t>the</w:t>
      </w:r>
      <w:r>
        <w:rPr>
          <w:spacing w:val="-3"/>
          <w:sz w:val="20"/>
        </w:rPr>
        <w:t> </w:t>
      </w:r>
      <w:r>
        <w:rPr>
          <w:sz w:val="20"/>
        </w:rPr>
        <w:t>indicator higher in the hierarchy was not available (and the steps taken to obtain it) or not reliable (and the information available to confirm the presence of a more reliable</w:t>
      </w:r>
      <w:r>
        <w:rPr>
          <w:spacing w:val="-11"/>
          <w:sz w:val="20"/>
        </w:rPr>
        <w:t> </w:t>
      </w:r>
      <w:r>
        <w:rPr>
          <w:sz w:val="20"/>
        </w:rPr>
        <w:t>indicator).</w:t>
      </w:r>
    </w:p>
    <w:p>
      <w:pPr>
        <w:pStyle w:val="ListParagraph"/>
        <w:numPr>
          <w:ilvl w:val="0"/>
          <w:numId w:val="13"/>
        </w:numPr>
        <w:tabs>
          <w:tab w:pos="1444" w:val="left" w:leader="none"/>
        </w:tabs>
        <w:spacing w:line="271" w:lineRule="auto" w:before="131" w:after="0"/>
        <w:ind w:left="723" w:right="492" w:firstLine="0"/>
        <w:jc w:val="both"/>
        <w:rPr>
          <w:sz w:val="20"/>
        </w:rPr>
      </w:pPr>
      <w:r>
        <w:rPr>
          <w:sz w:val="20"/>
        </w:rPr>
        <w:t>This information is all systemic level data. For several reasons, including global privacy rules and administration limitations (considering the significant volume of this information), the MNE should not be expected to keep a record of all data points on the above indicators for every transaction or use of the service.</w:t>
      </w:r>
      <w:r>
        <w:rPr>
          <w:spacing w:val="-12"/>
          <w:sz w:val="20"/>
        </w:rPr>
        <w:t> </w:t>
      </w:r>
      <w:r>
        <w:rPr>
          <w:sz w:val="20"/>
        </w:rPr>
        <w:t>In</w:t>
      </w:r>
      <w:r>
        <w:rPr>
          <w:spacing w:val="-11"/>
          <w:sz w:val="20"/>
        </w:rPr>
        <w:t> </w:t>
      </w:r>
      <w:r>
        <w:rPr>
          <w:sz w:val="20"/>
        </w:rPr>
        <w:t>most</w:t>
      </w:r>
      <w:r>
        <w:rPr>
          <w:spacing w:val="-10"/>
          <w:sz w:val="20"/>
        </w:rPr>
        <w:t> </w:t>
      </w:r>
      <w:r>
        <w:rPr>
          <w:sz w:val="20"/>
        </w:rPr>
        <w:t>cases,</w:t>
      </w:r>
      <w:r>
        <w:rPr>
          <w:spacing w:val="-10"/>
          <w:sz w:val="20"/>
        </w:rPr>
        <w:t> </w:t>
      </w:r>
      <w:r>
        <w:rPr>
          <w:sz w:val="20"/>
        </w:rPr>
        <w:t>data</w:t>
      </w:r>
      <w:r>
        <w:rPr>
          <w:spacing w:val="-8"/>
          <w:sz w:val="20"/>
        </w:rPr>
        <w:t> </w:t>
      </w:r>
      <w:r>
        <w:rPr>
          <w:sz w:val="20"/>
        </w:rPr>
        <w:t>will</w:t>
      </w:r>
      <w:r>
        <w:rPr>
          <w:spacing w:val="-11"/>
          <w:sz w:val="20"/>
        </w:rPr>
        <w:t> </w:t>
      </w:r>
      <w:r>
        <w:rPr>
          <w:sz w:val="20"/>
        </w:rPr>
        <w:t>not</w:t>
      </w:r>
      <w:r>
        <w:rPr>
          <w:spacing w:val="-12"/>
          <w:sz w:val="20"/>
        </w:rPr>
        <w:t> </w:t>
      </w:r>
      <w:r>
        <w:rPr>
          <w:sz w:val="20"/>
        </w:rPr>
        <w:t>be</w:t>
      </w:r>
      <w:r>
        <w:rPr>
          <w:spacing w:val="-11"/>
          <w:sz w:val="20"/>
        </w:rPr>
        <w:t> </w:t>
      </w:r>
      <w:r>
        <w:rPr>
          <w:sz w:val="20"/>
        </w:rPr>
        <w:t>able</w:t>
      </w:r>
      <w:r>
        <w:rPr>
          <w:spacing w:val="-11"/>
          <w:sz w:val="20"/>
        </w:rPr>
        <w:t> </w:t>
      </w:r>
      <w:r>
        <w:rPr>
          <w:sz w:val="20"/>
        </w:rPr>
        <w:t>to</w:t>
      </w:r>
      <w:r>
        <w:rPr>
          <w:spacing w:val="-11"/>
          <w:sz w:val="20"/>
        </w:rPr>
        <w:t> </w:t>
      </w:r>
      <w:r>
        <w:rPr>
          <w:sz w:val="20"/>
        </w:rPr>
        <w:t>be</w:t>
      </w:r>
      <w:r>
        <w:rPr>
          <w:spacing w:val="-11"/>
          <w:sz w:val="20"/>
        </w:rPr>
        <w:t> </w:t>
      </w:r>
      <w:r>
        <w:rPr>
          <w:sz w:val="20"/>
        </w:rPr>
        <w:t>stored</w:t>
      </w:r>
      <w:r>
        <w:rPr>
          <w:spacing w:val="-8"/>
          <w:sz w:val="20"/>
        </w:rPr>
        <w:t> </w:t>
      </w:r>
      <w:r>
        <w:rPr>
          <w:sz w:val="20"/>
        </w:rPr>
        <w:t>long</w:t>
      </w:r>
      <w:r>
        <w:rPr>
          <w:spacing w:val="-11"/>
          <w:sz w:val="20"/>
        </w:rPr>
        <w:t> </w:t>
      </w:r>
      <w:r>
        <w:rPr>
          <w:sz w:val="20"/>
        </w:rPr>
        <w:t>enough</w:t>
      </w:r>
      <w:r>
        <w:rPr>
          <w:spacing w:val="-12"/>
          <w:sz w:val="20"/>
        </w:rPr>
        <w:t> </w:t>
      </w:r>
      <w:r>
        <w:rPr>
          <w:sz w:val="20"/>
        </w:rPr>
        <w:t>for</w:t>
      </w:r>
      <w:r>
        <w:rPr>
          <w:spacing w:val="-10"/>
          <w:sz w:val="20"/>
        </w:rPr>
        <w:t> </w:t>
      </w:r>
      <w:r>
        <w:rPr>
          <w:sz w:val="20"/>
        </w:rPr>
        <w:t>the</w:t>
      </w:r>
      <w:r>
        <w:rPr>
          <w:spacing w:val="-11"/>
          <w:sz w:val="20"/>
        </w:rPr>
        <w:t> </w:t>
      </w:r>
      <w:r>
        <w:rPr>
          <w:sz w:val="20"/>
        </w:rPr>
        <w:t>tax</w:t>
      </w:r>
      <w:r>
        <w:rPr>
          <w:spacing w:val="-9"/>
          <w:sz w:val="20"/>
        </w:rPr>
        <w:t> </w:t>
      </w:r>
      <w:r>
        <w:rPr>
          <w:sz w:val="20"/>
        </w:rPr>
        <w:t>administrations</w:t>
      </w:r>
      <w:r>
        <w:rPr>
          <w:spacing w:val="-9"/>
          <w:sz w:val="20"/>
        </w:rPr>
        <w:t> </w:t>
      </w:r>
      <w:r>
        <w:rPr>
          <w:sz w:val="20"/>
        </w:rPr>
        <w:t>to</w:t>
      </w:r>
      <w:r>
        <w:rPr>
          <w:spacing w:val="-9"/>
          <w:sz w:val="20"/>
        </w:rPr>
        <w:t> </w:t>
      </w:r>
      <w:r>
        <w:rPr>
          <w:sz w:val="20"/>
        </w:rPr>
        <w:t>perform a detailed tax</w:t>
      </w:r>
      <w:r>
        <w:rPr>
          <w:spacing w:val="-1"/>
          <w:sz w:val="20"/>
        </w:rPr>
        <w:t> </w:t>
      </w:r>
      <w:r>
        <w:rPr>
          <w:sz w:val="20"/>
        </w:rPr>
        <w:t>audit.</w:t>
      </w:r>
    </w:p>
    <w:p>
      <w:pPr>
        <w:pStyle w:val="ListParagraph"/>
        <w:numPr>
          <w:ilvl w:val="0"/>
          <w:numId w:val="13"/>
        </w:numPr>
        <w:tabs>
          <w:tab w:pos="1444" w:val="left" w:leader="none"/>
        </w:tabs>
        <w:spacing w:line="240" w:lineRule="auto" w:before="120" w:after="0"/>
        <w:ind w:left="1443" w:right="0" w:hanging="721"/>
        <w:jc w:val="both"/>
        <w:rPr>
          <w:sz w:val="20"/>
        </w:rPr>
      </w:pPr>
      <w:r>
        <w:rPr>
          <w:sz w:val="20"/>
        </w:rPr>
        <w:t>Therefore, it is proposed that the MNE need not keep a record of all individual user’s</w:t>
      </w:r>
      <w:r>
        <w:rPr>
          <w:spacing w:val="-20"/>
          <w:sz w:val="20"/>
        </w:rPr>
        <w:t> </w:t>
      </w:r>
      <w:r>
        <w:rPr>
          <w:sz w:val="20"/>
        </w:rPr>
        <w:t>geolocation</w:t>
      </w:r>
    </w:p>
    <w:p>
      <w:pPr>
        <w:pStyle w:val="BodyText"/>
        <w:spacing w:before="31"/>
        <w:ind w:left="723"/>
        <w:jc w:val="both"/>
      </w:pPr>
      <w:r>
        <w:rPr/>
        <w:t>information, IP addresses, and other information, provided that it has a robust internal control</w:t>
      </w:r>
      <w:r>
        <w:rPr>
          <w:spacing w:val="51"/>
        </w:rPr>
        <w:t> </w:t>
      </w:r>
      <w:r>
        <w:rPr/>
        <w:t>framework</w:t>
      </w:r>
    </w:p>
    <w:p>
      <w:pPr>
        <w:pStyle w:val="BodyText"/>
      </w:pPr>
    </w:p>
    <w:p>
      <w:pPr>
        <w:pStyle w:val="BodyText"/>
      </w:pPr>
    </w:p>
    <w:p>
      <w:pPr>
        <w:pStyle w:val="BodyText"/>
        <w:spacing w:before="5"/>
        <w:rPr>
          <w:sz w:val="17"/>
        </w:rPr>
      </w:pPr>
      <w:r>
        <w:rPr/>
        <w:pict>
          <v:rect style="position:absolute;margin-left:65.183998pt;margin-top:11.986728pt;width:144.020004pt;height:.60004pt;mso-position-horizontal-relative:page;mso-position-vertical-relative:paragraph;z-index:-1567385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See section </w:t>
      </w:r>
      <w:r>
        <w:rPr>
          <w:b/>
          <w:sz w:val="18"/>
        </w:rPr>
        <w:t>Error! Reference source not found. </w:t>
      </w:r>
      <w:r>
        <w:rPr>
          <w:sz w:val="18"/>
        </w:rPr>
        <w:t>on “next</w:t>
      </w:r>
      <w:r>
        <w:rPr>
          <w:spacing w:val="-3"/>
          <w:sz w:val="18"/>
        </w:rPr>
        <w:t> </w:t>
      </w:r>
      <w:r>
        <w:rPr>
          <w:sz w:val="18"/>
        </w:rPr>
        <w:t>steps”.</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on which the tax authorities can rely. As such, the MNE should document these internal controls, as well as keep a record of underlying indicators as set out below.</w:t>
      </w:r>
    </w:p>
    <w:p>
      <w:pPr>
        <w:pStyle w:val="ListParagraph"/>
        <w:numPr>
          <w:ilvl w:val="0"/>
          <w:numId w:val="13"/>
        </w:numPr>
        <w:tabs>
          <w:tab w:pos="1444" w:val="left" w:leader="none"/>
        </w:tabs>
        <w:spacing w:line="273" w:lineRule="auto" w:before="119" w:after="0"/>
        <w:ind w:left="723" w:right="483" w:firstLine="0"/>
        <w:jc w:val="both"/>
        <w:rPr>
          <w:sz w:val="20"/>
        </w:rPr>
      </w:pPr>
      <w:r>
        <w:rPr>
          <w:sz w:val="20"/>
        </w:rPr>
        <w:t>The system should be able to extract the aggregate information about the location – at a jurisdictional level – included in the several sources of</w:t>
      </w:r>
      <w:r>
        <w:rPr>
          <w:spacing w:val="-7"/>
          <w:sz w:val="20"/>
        </w:rPr>
        <w:t> </w:t>
      </w:r>
      <w:r>
        <w:rPr>
          <w:sz w:val="20"/>
        </w:rPr>
        <w:t>information.</w:t>
      </w:r>
    </w:p>
    <w:p>
      <w:pPr>
        <w:pStyle w:val="ListParagraph"/>
        <w:numPr>
          <w:ilvl w:val="0"/>
          <w:numId w:val="13"/>
        </w:numPr>
        <w:tabs>
          <w:tab w:pos="1444" w:val="left" w:leader="none"/>
        </w:tabs>
        <w:spacing w:line="271" w:lineRule="auto" w:before="116" w:after="0"/>
        <w:ind w:left="723" w:right="482" w:firstLine="0"/>
        <w:jc w:val="both"/>
        <w:rPr>
          <w:sz w:val="20"/>
        </w:rPr>
      </w:pPr>
      <w:r>
        <w:rPr>
          <w:sz w:val="20"/>
        </w:rPr>
        <w:t>The hierarchy of rules takes into account that information on the preferred indicator may be unavailable or unreliable. There are several reasons for this, as explained in the guidance above. In addition,</w:t>
      </w:r>
      <w:r>
        <w:rPr>
          <w:spacing w:val="-5"/>
          <w:sz w:val="20"/>
        </w:rPr>
        <w:t> </w:t>
      </w:r>
      <w:r>
        <w:rPr>
          <w:sz w:val="20"/>
        </w:rPr>
        <w:t>the</w:t>
      </w:r>
      <w:r>
        <w:rPr>
          <w:spacing w:val="-4"/>
          <w:sz w:val="20"/>
        </w:rPr>
        <w:t> </w:t>
      </w:r>
      <w:r>
        <w:rPr>
          <w:sz w:val="20"/>
        </w:rPr>
        <w:t>indicators</w:t>
      </w:r>
      <w:r>
        <w:rPr>
          <w:spacing w:val="-2"/>
          <w:sz w:val="20"/>
        </w:rPr>
        <w:t> </w:t>
      </w:r>
      <w:r>
        <w:rPr>
          <w:sz w:val="20"/>
        </w:rPr>
        <w:t>can</w:t>
      </w:r>
      <w:r>
        <w:rPr>
          <w:spacing w:val="-5"/>
          <w:sz w:val="20"/>
        </w:rPr>
        <w:t> </w:t>
      </w:r>
      <w:r>
        <w:rPr>
          <w:sz w:val="20"/>
        </w:rPr>
        <w:t>also</w:t>
      </w:r>
      <w:r>
        <w:rPr>
          <w:spacing w:val="-4"/>
          <w:sz w:val="20"/>
        </w:rPr>
        <w:t> </w:t>
      </w:r>
      <w:r>
        <w:rPr>
          <w:sz w:val="20"/>
        </w:rPr>
        <w:t>be</w:t>
      </w:r>
      <w:r>
        <w:rPr>
          <w:spacing w:val="-4"/>
          <w:sz w:val="20"/>
        </w:rPr>
        <w:t> </w:t>
      </w:r>
      <w:r>
        <w:rPr>
          <w:sz w:val="20"/>
        </w:rPr>
        <w:t>different</w:t>
      </w:r>
      <w:r>
        <w:rPr>
          <w:spacing w:val="-4"/>
          <w:sz w:val="20"/>
        </w:rPr>
        <w:t> </w:t>
      </w:r>
      <w:r>
        <w:rPr>
          <w:sz w:val="20"/>
        </w:rPr>
        <w:t>per</w:t>
      </w:r>
      <w:r>
        <w:rPr>
          <w:spacing w:val="-4"/>
          <w:sz w:val="20"/>
        </w:rPr>
        <w:t> </w:t>
      </w:r>
      <w:r>
        <w:rPr>
          <w:sz w:val="20"/>
        </w:rPr>
        <w:t>type</w:t>
      </w:r>
      <w:r>
        <w:rPr>
          <w:spacing w:val="-4"/>
          <w:sz w:val="20"/>
        </w:rPr>
        <w:t> </w:t>
      </w:r>
      <w:r>
        <w:rPr>
          <w:sz w:val="20"/>
        </w:rPr>
        <w:t>of</w:t>
      </w:r>
      <w:r>
        <w:rPr>
          <w:spacing w:val="-2"/>
          <w:sz w:val="20"/>
        </w:rPr>
        <w:t> </w:t>
      </w:r>
      <w:r>
        <w:rPr>
          <w:sz w:val="20"/>
        </w:rPr>
        <w:t>revenue</w:t>
      </w:r>
      <w:r>
        <w:rPr>
          <w:spacing w:val="-5"/>
          <w:sz w:val="20"/>
        </w:rPr>
        <w:t> </w:t>
      </w:r>
      <w:r>
        <w:rPr>
          <w:sz w:val="20"/>
        </w:rPr>
        <w:t>stream,</w:t>
      </w:r>
      <w:r>
        <w:rPr>
          <w:spacing w:val="-4"/>
          <w:sz w:val="20"/>
        </w:rPr>
        <w:t> </w:t>
      </w:r>
      <w:r>
        <w:rPr>
          <w:sz w:val="20"/>
        </w:rPr>
        <w:t>or</w:t>
      </w:r>
      <w:r>
        <w:rPr>
          <w:spacing w:val="-3"/>
          <w:sz w:val="20"/>
        </w:rPr>
        <w:t> </w:t>
      </w:r>
      <w:r>
        <w:rPr>
          <w:sz w:val="20"/>
        </w:rPr>
        <w:t>even</w:t>
      </w:r>
      <w:r>
        <w:rPr>
          <w:spacing w:val="-5"/>
          <w:sz w:val="20"/>
        </w:rPr>
        <w:t> </w:t>
      </w:r>
      <w:r>
        <w:rPr>
          <w:sz w:val="20"/>
        </w:rPr>
        <w:t>in</w:t>
      </w:r>
      <w:r>
        <w:rPr>
          <w:spacing w:val="-2"/>
          <w:sz w:val="20"/>
        </w:rPr>
        <w:t> </w:t>
      </w:r>
      <w:r>
        <w:rPr>
          <w:sz w:val="20"/>
        </w:rPr>
        <w:t>segments</w:t>
      </w:r>
      <w:r>
        <w:rPr>
          <w:spacing w:val="-3"/>
          <w:sz w:val="20"/>
        </w:rPr>
        <w:t> </w:t>
      </w:r>
      <w:r>
        <w:rPr>
          <w:sz w:val="20"/>
        </w:rPr>
        <w:t>of</w:t>
      </w:r>
      <w:r>
        <w:rPr>
          <w:spacing w:val="-2"/>
          <w:sz w:val="20"/>
        </w:rPr>
        <w:t> </w:t>
      </w:r>
      <w:r>
        <w:rPr>
          <w:sz w:val="20"/>
        </w:rPr>
        <w:t>the</w:t>
      </w:r>
      <w:r>
        <w:rPr>
          <w:spacing w:val="-5"/>
          <w:sz w:val="20"/>
        </w:rPr>
        <w:t> </w:t>
      </w:r>
      <w:r>
        <w:rPr>
          <w:sz w:val="20"/>
        </w:rPr>
        <w:t>same revenue stream, for example where different online advertising businesses will have different approaches to tracking users and maintaining their profiles. It also takes into account that business models may change.</w:t>
      </w:r>
    </w:p>
    <w:p>
      <w:pPr>
        <w:pStyle w:val="ListParagraph"/>
        <w:numPr>
          <w:ilvl w:val="0"/>
          <w:numId w:val="13"/>
        </w:numPr>
        <w:tabs>
          <w:tab w:pos="1444" w:val="left" w:leader="none"/>
        </w:tabs>
        <w:spacing w:line="271" w:lineRule="auto" w:before="121" w:after="0"/>
        <w:ind w:left="723" w:right="487" w:firstLine="0"/>
        <w:jc w:val="both"/>
        <w:rPr>
          <w:sz w:val="20"/>
        </w:rPr>
      </w:pPr>
      <w:r>
        <w:rPr>
          <w:sz w:val="20"/>
        </w:rPr>
        <w:t>If the MNE uses a different indicator than the preferred indicator, it should provide the tax administrations with additional information explaining and supporting why it used another indicator. If the reason for using another indicator lower in the hierarchy </w:t>
      </w:r>
      <w:r>
        <w:rPr>
          <w:spacing w:val="2"/>
          <w:sz w:val="20"/>
        </w:rPr>
        <w:t>is </w:t>
      </w:r>
      <w:r>
        <w:rPr>
          <w:sz w:val="20"/>
        </w:rPr>
        <w:t>that an indicator was unavailable, the documentation should include an explanation of steps taken to obtain the information and why it was unsuccessful.</w:t>
      </w:r>
      <w:r>
        <w:rPr>
          <w:spacing w:val="-11"/>
          <w:sz w:val="20"/>
        </w:rPr>
        <w:t> </w:t>
      </w:r>
      <w:r>
        <w:rPr>
          <w:sz w:val="20"/>
        </w:rPr>
        <w:t>If</w:t>
      </w:r>
      <w:r>
        <w:rPr>
          <w:spacing w:val="-10"/>
          <w:sz w:val="20"/>
        </w:rPr>
        <w:t> </w:t>
      </w:r>
      <w:r>
        <w:rPr>
          <w:sz w:val="20"/>
        </w:rPr>
        <w:t>the</w:t>
      </w:r>
      <w:r>
        <w:rPr>
          <w:spacing w:val="-10"/>
          <w:sz w:val="20"/>
        </w:rPr>
        <w:t> </w:t>
      </w:r>
      <w:r>
        <w:rPr>
          <w:sz w:val="20"/>
        </w:rPr>
        <w:t>reason</w:t>
      </w:r>
      <w:r>
        <w:rPr>
          <w:spacing w:val="-9"/>
          <w:sz w:val="20"/>
        </w:rPr>
        <w:t> </w:t>
      </w:r>
      <w:r>
        <w:rPr>
          <w:sz w:val="20"/>
        </w:rPr>
        <w:t>for</w:t>
      </w:r>
      <w:r>
        <w:rPr>
          <w:spacing w:val="-11"/>
          <w:sz w:val="20"/>
        </w:rPr>
        <w:t> </w:t>
      </w:r>
      <w:r>
        <w:rPr>
          <w:sz w:val="20"/>
        </w:rPr>
        <w:t>using</w:t>
      </w:r>
      <w:r>
        <w:rPr>
          <w:spacing w:val="-10"/>
          <w:sz w:val="20"/>
        </w:rPr>
        <w:t> </w:t>
      </w:r>
      <w:r>
        <w:rPr>
          <w:sz w:val="20"/>
        </w:rPr>
        <w:t>another</w:t>
      </w:r>
      <w:r>
        <w:rPr>
          <w:spacing w:val="-8"/>
          <w:sz w:val="20"/>
        </w:rPr>
        <w:t> </w:t>
      </w:r>
      <w:r>
        <w:rPr>
          <w:sz w:val="20"/>
        </w:rPr>
        <w:t>indicator</w:t>
      </w:r>
      <w:r>
        <w:rPr>
          <w:spacing w:val="-8"/>
          <w:sz w:val="20"/>
        </w:rPr>
        <w:t> </w:t>
      </w:r>
      <w:r>
        <w:rPr>
          <w:sz w:val="20"/>
        </w:rPr>
        <w:t>lower</w:t>
      </w:r>
      <w:r>
        <w:rPr>
          <w:spacing w:val="-8"/>
          <w:sz w:val="20"/>
        </w:rPr>
        <w:t> </w:t>
      </w:r>
      <w:r>
        <w:rPr>
          <w:sz w:val="20"/>
        </w:rPr>
        <w:t>in</w:t>
      </w:r>
      <w:r>
        <w:rPr>
          <w:spacing w:val="-9"/>
          <w:sz w:val="20"/>
        </w:rPr>
        <w:t> </w:t>
      </w:r>
      <w:r>
        <w:rPr>
          <w:sz w:val="20"/>
        </w:rPr>
        <w:t>the</w:t>
      </w:r>
      <w:r>
        <w:rPr>
          <w:spacing w:val="-10"/>
          <w:sz w:val="20"/>
        </w:rPr>
        <w:t> </w:t>
      </w:r>
      <w:r>
        <w:rPr>
          <w:sz w:val="20"/>
        </w:rPr>
        <w:t>hierarchy</w:t>
      </w:r>
      <w:r>
        <w:rPr>
          <w:spacing w:val="-12"/>
          <w:sz w:val="20"/>
        </w:rPr>
        <w:t> </w:t>
      </w:r>
      <w:r>
        <w:rPr>
          <w:sz w:val="20"/>
        </w:rPr>
        <w:t>is</w:t>
      </w:r>
      <w:r>
        <w:rPr>
          <w:spacing w:val="-10"/>
          <w:sz w:val="20"/>
        </w:rPr>
        <w:t> </w:t>
      </w:r>
      <w:r>
        <w:rPr>
          <w:sz w:val="20"/>
        </w:rPr>
        <w:t>that</w:t>
      </w:r>
      <w:r>
        <w:rPr>
          <w:spacing w:val="-9"/>
          <w:sz w:val="20"/>
        </w:rPr>
        <w:t> </w:t>
      </w:r>
      <w:r>
        <w:rPr>
          <w:sz w:val="20"/>
        </w:rPr>
        <w:t>a</w:t>
      </w:r>
      <w:r>
        <w:rPr>
          <w:spacing w:val="-9"/>
          <w:sz w:val="20"/>
        </w:rPr>
        <w:t> </w:t>
      </w:r>
      <w:r>
        <w:rPr>
          <w:sz w:val="20"/>
        </w:rPr>
        <w:t>primary</w:t>
      </w:r>
      <w:r>
        <w:rPr>
          <w:spacing w:val="-15"/>
          <w:sz w:val="20"/>
        </w:rPr>
        <w:t> </w:t>
      </w:r>
      <w:r>
        <w:rPr>
          <w:sz w:val="20"/>
        </w:rPr>
        <w:t>indicator</w:t>
      </w:r>
      <w:r>
        <w:rPr>
          <w:spacing w:val="-8"/>
          <w:sz w:val="20"/>
        </w:rPr>
        <w:t> </w:t>
      </w:r>
      <w:r>
        <w:rPr>
          <w:sz w:val="20"/>
        </w:rPr>
        <w:t>was unreliable, the other indicators that were available and corroborate the application of the secondary indicator as being reliable should be</w:t>
      </w:r>
      <w:r>
        <w:rPr>
          <w:spacing w:val="-5"/>
          <w:sz w:val="20"/>
        </w:rPr>
        <w:t> </w:t>
      </w:r>
      <w:r>
        <w:rPr>
          <w:sz w:val="20"/>
        </w:rPr>
        <w:t>documented.</w:t>
      </w:r>
    </w:p>
    <w:p>
      <w:pPr>
        <w:pStyle w:val="BodyText"/>
        <w:spacing w:before="1"/>
      </w:pPr>
    </w:p>
    <w:p>
      <w:pPr>
        <w:pStyle w:val="Heading7"/>
        <w:rPr>
          <w:i/>
        </w:rPr>
      </w:pPr>
      <w:bookmarkStart w:name="Review by tax administrations" w:id="186"/>
      <w:bookmarkEnd w:id="186"/>
      <w:r>
        <w:rPr>
          <w:i w:val="0"/>
        </w:rPr>
      </w:r>
      <w:r>
        <w:rPr>
          <w:i/>
          <w:color w:val="616161"/>
        </w:rPr>
        <w:t>Review by tax administrations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A</w:t>
      </w:r>
      <w:r>
        <w:rPr>
          <w:spacing w:val="-18"/>
          <w:sz w:val="20"/>
        </w:rPr>
        <w:t> </w:t>
      </w:r>
      <w:r>
        <w:rPr>
          <w:sz w:val="20"/>
        </w:rPr>
        <w:t>separate</w:t>
      </w:r>
      <w:r>
        <w:rPr>
          <w:spacing w:val="-17"/>
          <w:sz w:val="20"/>
        </w:rPr>
        <w:t> </w:t>
      </w:r>
      <w:r>
        <w:rPr>
          <w:sz w:val="20"/>
        </w:rPr>
        <w:t>review</w:t>
      </w:r>
      <w:r>
        <w:rPr>
          <w:spacing w:val="-18"/>
          <w:sz w:val="20"/>
        </w:rPr>
        <w:t> </w:t>
      </w:r>
      <w:r>
        <w:rPr>
          <w:sz w:val="20"/>
        </w:rPr>
        <w:t>of</w:t>
      </w:r>
      <w:r>
        <w:rPr>
          <w:spacing w:val="-14"/>
          <w:sz w:val="20"/>
        </w:rPr>
        <w:t> </w:t>
      </w:r>
      <w:r>
        <w:rPr>
          <w:sz w:val="20"/>
        </w:rPr>
        <w:t>an</w:t>
      </w:r>
      <w:r>
        <w:rPr>
          <w:spacing w:val="-15"/>
          <w:sz w:val="20"/>
        </w:rPr>
        <w:t> </w:t>
      </w:r>
      <w:r>
        <w:rPr>
          <w:sz w:val="20"/>
        </w:rPr>
        <w:t>MNE’s</w:t>
      </w:r>
      <w:r>
        <w:rPr>
          <w:spacing w:val="-15"/>
          <w:sz w:val="20"/>
        </w:rPr>
        <w:t> </w:t>
      </w:r>
      <w:r>
        <w:rPr>
          <w:sz w:val="20"/>
        </w:rPr>
        <w:t>revenue</w:t>
      </w:r>
      <w:r>
        <w:rPr>
          <w:spacing w:val="-17"/>
          <w:sz w:val="20"/>
        </w:rPr>
        <w:t> </w:t>
      </w:r>
      <w:r>
        <w:rPr>
          <w:sz w:val="20"/>
        </w:rPr>
        <w:t>sourcing</w:t>
      </w:r>
      <w:r>
        <w:rPr>
          <w:spacing w:val="-14"/>
          <w:sz w:val="20"/>
        </w:rPr>
        <w:t> </w:t>
      </w:r>
      <w:r>
        <w:rPr>
          <w:sz w:val="20"/>
        </w:rPr>
        <w:t>by</w:t>
      </w:r>
      <w:r>
        <w:rPr>
          <w:spacing w:val="-17"/>
          <w:sz w:val="20"/>
        </w:rPr>
        <w:t> </w:t>
      </w:r>
      <w:r>
        <w:rPr>
          <w:sz w:val="20"/>
        </w:rPr>
        <w:t>potentially</w:t>
      </w:r>
      <w:r>
        <w:rPr>
          <w:spacing w:val="-18"/>
          <w:sz w:val="20"/>
        </w:rPr>
        <w:t> </w:t>
      </w:r>
      <w:r>
        <w:rPr>
          <w:sz w:val="20"/>
        </w:rPr>
        <w:t>in</w:t>
      </w:r>
      <w:r>
        <w:rPr>
          <w:spacing w:val="-14"/>
          <w:sz w:val="20"/>
        </w:rPr>
        <w:t> </w:t>
      </w:r>
      <w:r>
        <w:rPr>
          <w:sz w:val="20"/>
        </w:rPr>
        <w:t>excess</w:t>
      </w:r>
      <w:r>
        <w:rPr>
          <w:spacing w:val="-15"/>
          <w:sz w:val="20"/>
        </w:rPr>
        <w:t> </w:t>
      </w:r>
      <w:r>
        <w:rPr>
          <w:sz w:val="20"/>
        </w:rPr>
        <w:t>of</w:t>
      </w:r>
      <w:r>
        <w:rPr>
          <w:spacing w:val="-8"/>
          <w:sz w:val="20"/>
        </w:rPr>
        <w:t> </w:t>
      </w:r>
      <w:r>
        <w:rPr>
          <w:sz w:val="20"/>
        </w:rPr>
        <w:t>100</w:t>
      </w:r>
      <w:r>
        <w:rPr>
          <w:spacing w:val="-16"/>
          <w:sz w:val="20"/>
        </w:rPr>
        <w:t> </w:t>
      </w:r>
      <w:r>
        <w:rPr>
          <w:sz w:val="20"/>
        </w:rPr>
        <w:t>jurisdictions</w:t>
      </w:r>
      <w:r>
        <w:rPr>
          <w:spacing w:val="-14"/>
          <w:sz w:val="20"/>
        </w:rPr>
        <w:t> </w:t>
      </w:r>
      <w:r>
        <w:rPr>
          <w:sz w:val="20"/>
        </w:rPr>
        <w:t>where it</w:t>
      </w:r>
      <w:r>
        <w:rPr>
          <w:spacing w:val="-7"/>
          <w:sz w:val="20"/>
        </w:rPr>
        <w:t> </w:t>
      </w:r>
      <w:r>
        <w:rPr>
          <w:sz w:val="20"/>
        </w:rPr>
        <w:t>has</w:t>
      </w:r>
      <w:r>
        <w:rPr>
          <w:spacing w:val="-8"/>
          <w:sz w:val="20"/>
        </w:rPr>
        <w:t> </w:t>
      </w:r>
      <w:r>
        <w:rPr>
          <w:sz w:val="20"/>
        </w:rPr>
        <w:t>operations</w:t>
      </w:r>
      <w:r>
        <w:rPr>
          <w:spacing w:val="-8"/>
          <w:sz w:val="20"/>
        </w:rPr>
        <w:t> </w:t>
      </w:r>
      <w:r>
        <w:rPr>
          <w:sz w:val="20"/>
        </w:rPr>
        <w:t>is</w:t>
      </w:r>
      <w:r>
        <w:rPr>
          <w:spacing w:val="-6"/>
          <w:sz w:val="20"/>
        </w:rPr>
        <w:t> </w:t>
      </w:r>
      <w:r>
        <w:rPr>
          <w:sz w:val="20"/>
        </w:rPr>
        <w:t>impractical</w:t>
      </w:r>
      <w:r>
        <w:rPr>
          <w:spacing w:val="-10"/>
          <w:sz w:val="20"/>
        </w:rPr>
        <w:t> </w:t>
      </w:r>
      <w:r>
        <w:rPr>
          <w:sz w:val="20"/>
        </w:rPr>
        <w:t>and</w:t>
      </w:r>
      <w:r>
        <w:rPr>
          <w:spacing w:val="-7"/>
          <w:sz w:val="20"/>
        </w:rPr>
        <w:t> </w:t>
      </w:r>
      <w:r>
        <w:rPr>
          <w:sz w:val="20"/>
        </w:rPr>
        <w:t>could</w:t>
      </w:r>
      <w:r>
        <w:rPr>
          <w:spacing w:val="-9"/>
          <w:sz w:val="20"/>
        </w:rPr>
        <w:t> </w:t>
      </w:r>
      <w:r>
        <w:rPr>
          <w:sz w:val="20"/>
        </w:rPr>
        <w:t>result</w:t>
      </w:r>
      <w:r>
        <w:rPr>
          <w:spacing w:val="-7"/>
          <w:sz w:val="20"/>
        </w:rPr>
        <w:t> </w:t>
      </w:r>
      <w:r>
        <w:rPr>
          <w:sz w:val="20"/>
        </w:rPr>
        <w:t>in</w:t>
      </w:r>
      <w:r>
        <w:rPr>
          <w:spacing w:val="-9"/>
          <w:sz w:val="20"/>
        </w:rPr>
        <w:t> </w:t>
      </w:r>
      <w:r>
        <w:rPr>
          <w:sz w:val="20"/>
        </w:rPr>
        <w:t>disputes</w:t>
      </w:r>
      <w:r>
        <w:rPr>
          <w:spacing w:val="-8"/>
          <w:sz w:val="20"/>
        </w:rPr>
        <w:t> </w:t>
      </w:r>
      <w:r>
        <w:rPr>
          <w:sz w:val="20"/>
        </w:rPr>
        <w:t>if</w:t>
      </w:r>
      <w:r>
        <w:rPr>
          <w:spacing w:val="-8"/>
          <w:sz w:val="20"/>
        </w:rPr>
        <w:t> </w:t>
      </w:r>
      <w:r>
        <w:rPr>
          <w:sz w:val="20"/>
        </w:rPr>
        <w:t>different</w:t>
      </w:r>
      <w:r>
        <w:rPr>
          <w:spacing w:val="-9"/>
          <w:sz w:val="20"/>
        </w:rPr>
        <w:t> </w:t>
      </w:r>
      <w:r>
        <w:rPr>
          <w:sz w:val="20"/>
        </w:rPr>
        <w:t>conclusions</w:t>
      </w:r>
      <w:r>
        <w:rPr>
          <w:spacing w:val="-5"/>
          <w:sz w:val="20"/>
        </w:rPr>
        <w:t> </w:t>
      </w:r>
      <w:r>
        <w:rPr>
          <w:sz w:val="20"/>
        </w:rPr>
        <w:t>are</w:t>
      </w:r>
      <w:r>
        <w:rPr>
          <w:spacing w:val="-9"/>
          <w:sz w:val="20"/>
        </w:rPr>
        <w:t> </w:t>
      </w:r>
      <w:r>
        <w:rPr>
          <w:sz w:val="20"/>
        </w:rPr>
        <w:t>reached</w:t>
      </w:r>
      <w:r>
        <w:rPr>
          <w:spacing w:val="3"/>
          <w:sz w:val="20"/>
        </w:rPr>
        <w:t> </w:t>
      </w:r>
      <w:r>
        <w:rPr>
          <w:sz w:val="20"/>
        </w:rPr>
        <w:t>by</w:t>
      </w:r>
      <w:r>
        <w:rPr>
          <w:spacing w:val="-10"/>
          <w:sz w:val="20"/>
        </w:rPr>
        <w:t> </w:t>
      </w:r>
      <w:r>
        <w:rPr>
          <w:sz w:val="20"/>
        </w:rPr>
        <w:t>different tax</w:t>
      </w:r>
      <w:r>
        <w:rPr>
          <w:spacing w:val="-13"/>
          <w:sz w:val="20"/>
        </w:rPr>
        <w:t> </w:t>
      </w:r>
      <w:r>
        <w:rPr>
          <w:sz w:val="20"/>
        </w:rPr>
        <w:t>administrations.</w:t>
      </w:r>
      <w:r>
        <w:rPr>
          <w:spacing w:val="-14"/>
          <w:sz w:val="20"/>
        </w:rPr>
        <w:t> </w:t>
      </w:r>
      <w:r>
        <w:rPr>
          <w:sz w:val="20"/>
        </w:rPr>
        <w:t>As</w:t>
      </w:r>
      <w:r>
        <w:rPr>
          <w:spacing w:val="-12"/>
          <w:sz w:val="20"/>
        </w:rPr>
        <w:t> </w:t>
      </w:r>
      <w:r>
        <w:rPr>
          <w:sz w:val="20"/>
        </w:rPr>
        <w:t>such,</w:t>
      </w:r>
      <w:r>
        <w:rPr>
          <w:spacing w:val="-14"/>
          <w:sz w:val="20"/>
        </w:rPr>
        <w:t> </w:t>
      </w:r>
      <w:r>
        <w:rPr>
          <w:sz w:val="20"/>
        </w:rPr>
        <w:t>Chapter</w:t>
      </w:r>
      <w:r>
        <w:rPr>
          <w:spacing w:val="-11"/>
          <w:sz w:val="20"/>
        </w:rPr>
        <w:t> </w:t>
      </w:r>
      <w:hyperlink w:history="true" w:anchor="_bookmark66">
        <w:r>
          <w:rPr>
            <w:sz w:val="20"/>
          </w:rPr>
          <w:t>9.</w:t>
        </w:r>
      </w:hyperlink>
      <w:r>
        <w:rPr>
          <w:spacing w:val="32"/>
          <w:sz w:val="20"/>
        </w:rPr>
        <w:t> </w:t>
      </w:r>
      <w:r>
        <w:rPr>
          <w:sz w:val="20"/>
        </w:rPr>
        <w:t>describes</w:t>
      </w:r>
      <w:r>
        <w:rPr>
          <w:spacing w:val="-12"/>
          <w:sz w:val="20"/>
        </w:rPr>
        <w:t> </w:t>
      </w:r>
      <w:r>
        <w:rPr>
          <w:sz w:val="20"/>
        </w:rPr>
        <w:t>a</w:t>
      </w:r>
      <w:r>
        <w:rPr>
          <w:spacing w:val="-14"/>
          <w:sz w:val="20"/>
        </w:rPr>
        <w:t> </w:t>
      </w:r>
      <w:r>
        <w:rPr>
          <w:sz w:val="20"/>
        </w:rPr>
        <w:t>multilateral</w:t>
      </w:r>
      <w:r>
        <w:rPr>
          <w:spacing w:val="-14"/>
          <w:sz w:val="20"/>
        </w:rPr>
        <w:t> </w:t>
      </w:r>
      <w:r>
        <w:rPr>
          <w:sz w:val="20"/>
        </w:rPr>
        <w:t>tax</w:t>
      </w:r>
      <w:r>
        <w:rPr>
          <w:spacing w:val="-13"/>
          <w:sz w:val="20"/>
        </w:rPr>
        <w:t> </w:t>
      </w:r>
      <w:r>
        <w:rPr>
          <w:sz w:val="20"/>
        </w:rPr>
        <w:t>certainty</w:t>
      </w:r>
      <w:r>
        <w:rPr>
          <w:spacing w:val="-16"/>
          <w:sz w:val="20"/>
        </w:rPr>
        <w:t> </w:t>
      </w:r>
      <w:r>
        <w:rPr>
          <w:sz w:val="20"/>
        </w:rPr>
        <w:t>process</w:t>
      </w:r>
      <w:r>
        <w:rPr>
          <w:spacing w:val="-12"/>
          <w:sz w:val="20"/>
        </w:rPr>
        <w:t> </w:t>
      </w:r>
      <w:r>
        <w:rPr>
          <w:sz w:val="20"/>
        </w:rPr>
        <w:t>for</w:t>
      </w:r>
      <w:r>
        <w:rPr>
          <w:spacing w:val="-13"/>
          <w:sz w:val="20"/>
        </w:rPr>
        <w:t> </w:t>
      </w:r>
      <w:r>
        <w:rPr>
          <w:sz w:val="20"/>
        </w:rPr>
        <w:t>Amount</w:t>
      </w:r>
      <w:r>
        <w:rPr>
          <w:spacing w:val="-14"/>
          <w:sz w:val="20"/>
        </w:rPr>
        <w:t> </w:t>
      </w:r>
      <w:r>
        <w:rPr>
          <w:sz w:val="20"/>
        </w:rPr>
        <w:t>A,</w:t>
      </w:r>
      <w:r>
        <w:rPr>
          <w:spacing w:val="-14"/>
          <w:sz w:val="20"/>
        </w:rPr>
        <w:t> </w:t>
      </w:r>
      <w:r>
        <w:rPr>
          <w:sz w:val="20"/>
        </w:rPr>
        <w:t>based on</w:t>
      </w:r>
      <w:r>
        <w:rPr>
          <w:spacing w:val="-9"/>
          <w:sz w:val="20"/>
        </w:rPr>
        <w:t> </w:t>
      </w:r>
      <w:r>
        <w:rPr>
          <w:sz w:val="20"/>
        </w:rPr>
        <w:t>a</w:t>
      </w:r>
      <w:r>
        <w:rPr>
          <w:spacing w:val="-6"/>
          <w:sz w:val="20"/>
        </w:rPr>
        <w:t> </w:t>
      </w:r>
      <w:r>
        <w:rPr>
          <w:sz w:val="20"/>
        </w:rPr>
        <w:t>substantive</w:t>
      </w:r>
      <w:r>
        <w:rPr>
          <w:spacing w:val="-7"/>
          <w:sz w:val="20"/>
        </w:rPr>
        <w:t> </w:t>
      </w:r>
      <w:r>
        <w:rPr>
          <w:sz w:val="20"/>
        </w:rPr>
        <w:t>review</w:t>
      </w:r>
      <w:r>
        <w:rPr>
          <w:spacing w:val="-8"/>
          <w:sz w:val="20"/>
        </w:rPr>
        <w:t> </w:t>
      </w:r>
      <w:r>
        <w:rPr>
          <w:sz w:val="20"/>
        </w:rPr>
        <w:t>of</w:t>
      </w:r>
      <w:r>
        <w:rPr>
          <w:spacing w:val="-5"/>
          <w:sz w:val="20"/>
        </w:rPr>
        <w:t> </w:t>
      </w:r>
      <w:r>
        <w:rPr>
          <w:sz w:val="20"/>
        </w:rPr>
        <w:t>an</w:t>
      </w:r>
      <w:r>
        <w:rPr>
          <w:spacing w:val="-9"/>
          <w:sz w:val="20"/>
        </w:rPr>
        <w:t> </w:t>
      </w:r>
      <w:r>
        <w:rPr>
          <w:sz w:val="20"/>
        </w:rPr>
        <w:t>MNE’s</w:t>
      </w:r>
      <w:r>
        <w:rPr>
          <w:spacing w:val="-7"/>
          <w:sz w:val="20"/>
        </w:rPr>
        <w:t> </w:t>
      </w:r>
      <w:r>
        <w:rPr>
          <w:sz w:val="20"/>
        </w:rPr>
        <w:t>self-assessment</w:t>
      </w:r>
      <w:r>
        <w:rPr>
          <w:spacing w:val="-9"/>
          <w:sz w:val="20"/>
        </w:rPr>
        <w:t> </w:t>
      </w:r>
      <w:r>
        <w:rPr>
          <w:sz w:val="20"/>
        </w:rPr>
        <w:t>of</w:t>
      </w:r>
      <w:r>
        <w:rPr>
          <w:spacing w:val="-6"/>
          <w:sz w:val="20"/>
        </w:rPr>
        <w:t> </w:t>
      </w:r>
      <w:r>
        <w:rPr>
          <w:sz w:val="20"/>
        </w:rPr>
        <w:t>Amount</w:t>
      </w:r>
      <w:r>
        <w:rPr>
          <w:spacing w:val="-9"/>
          <w:sz w:val="20"/>
        </w:rPr>
        <w:t> </w:t>
      </w:r>
      <w:r>
        <w:rPr>
          <w:sz w:val="20"/>
        </w:rPr>
        <w:t>A</w:t>
      </w:r>
      <w:r>
        <w:rPr>
          <w:spacing w:val="-6"/>
          <w:sz w:val="20"/>
        </w:rPr>
        <w:t> </w:t>
      </w:r>
      <w:r>
        <w:rPr>
          <w:sz w:val="20"/>
        </w:rPr>
        <w:t>by</w:t>
      </w:r>
      <w:r>
        <w:rPr>
          <w:spacing w:val="-10"/>
          <w:sz w:val="20"/>
        </w:rPr>
        <w:t> </w:t>
      </w:r>
      <w:r>
        <w:rPr>
          <w:sz w:val="20"/>
        </w:rPr>
        <w:t>a</w:t>
      </w:r>
      <w:r>
        <w:rPr>
          <w:spacing w:val="-8"/>
          <w:sz w:val="20"/>
        </w:rPr>
        <w:t> </w:t>
      </w:r>
      <w:r>
        <w:rPr>
          <w:sz w:val="20"/>
        </w:rPr>
        <w:t>review</w:t>
      </w:r>
      <w:r>
        <w:rPr>
          <w:spacing w:val="-8"/>
          <w:sz w:val="20"/>
        </w:rPr>
        <w:t> </w:t>
      </w:r>
      <w:r>
        <w:rPr>
          <w:sz w:val="20"/>
        </w:rPr>
        <w:t>panel</w:t>
      </w:r>
      <w:r>
        <w:rPr>
          <w:spacing w:val="-7"/>
          <w:sz w:val="20"/>
        </w:rPr>
        <w:t> </w:t>
      </w:r>
      <w:r>
        <w:rPr>
          <w:sz w:val="20"/>
        </w:rPr>
        <w:t>of</w:t>
      </w:r>
      <w:r>
        <w:rPr>
          <w:spacing w:val="-7"/>
          <w:sz w:val="20"/>
        </w:rPr>
        <w:t> </w:t>
      </w:r>
      <w:r>
        <w:rPr>
          <w:sz w:val="20"/>
        </w:rPr>
        <w:t>representative</w:t>
      </w:r>
      <w:r>
        <w:rPr>
          <w:spacing w:val="-8"/>
          <w:sz w:val="20"/>
        </w:rPr>
        <w:t> </w:t>
      </w:r>
      <w:r>
        <w:rPr>
          <w:sz w:val="20"/>
        </w:rPr>
        <w:t>tax administrations, which could include a review of relevant aspects of the group’s tax control framework. While voluntary on the part of MNEs, it is expected that in the first year(s) of applying Amount A, many of the</w:t>
      </w:r>
      <w:r>
        <w:rPr>
          <w:spacing w:val="-3"/>
          <w:sz w:val="20"/>
        </w:rPr>
        <w:t> </w:t>
      </w:r>
      <w:r>
        <w:rPr>
          <w:sz w:val="20"/>
        </w:rPr>
        <w:t>MNEs</w:t>
      </w:r>
      <w:r>
        <w:rPr>
          <w:spacing w:val="-2"/>
          <w:sz w:val="20"/>
        </w:rPr>
        <w:t> </w:t>
      </w:r>
      <w:r>
        <w:rPr>
          <w:sz w:val="20"/>
        </w:rPr>
        <w:t>within</w:t>
      </w:r>
      <w:r>
        <w:rPr>
          <w:spacing w:val="-4"/>
          <w:sz w:val="20"/>
        </w:rPr>
        <w:t> </w:t>
      </w:r>
      <w:r>
        <w:rPr>
          <w:sz w:val="20"/>
        </w:rPr>
        <w:t>scope</w:t>
      </w:r>
      <w:r>
        <w:rPr>
          <w:spacing w:val="-3"/>
          <w:sz w:val="20"/>
        </w:rPr>
        <w:t> </w:t>
      </w:r>
      <w:r>
        <w:rPr>
          <w:sz w:val="20"/>
        </w:rPr>
        <w:t>of</w:t>
      </w:r>
      <w:r>
        <w:rPr>
          <w:spacing w:val="-4"/>
          <w:sz w:val="20"/>
        </w:rPr>
        <w:t> </w:t>
      </w:r>
      <w:r>
        <w:rPr>
          <w:sz w:val="20"/>
        </w:rPr>
        <w:t>Amount</w:t>
      </w:r>
      <w:r>
        <w:rPr>
          <w:spacing w:val="-6"/>
          <w:sz w:val="20"/>
        </w:rPr>
        <w:t> </w:t>
      </w:r>
      <w:r>
        <w:rPr>
          <w:sz w:val="20"/>
        </w:rPr>
        <w:t>A</w:t>
      </w:r>
      <w:r>
        <w:rPr>
          <w:spacing w:val="-2"/>
          <w:sz w:val="20"/>
        </w:rPr>
        <w:t> </w:t>
      </w:r>
      <w:r>
        <w:rPr>
          <w:sz w:val="20"/>
        </w:rPr>
        <w:t>will</w:t>
      </w:r>
      <w:r>
        <w:rPr>
          <w:spacing w:val="-6"/>
          <w:sz w:val="20"/>
        </w:rPr>
        <w:t> </w:t>
      </w:r>
      <w:r>
        <w:rPr>
          <w:sz w:val="20"/>
        </w:rPr>
        <w:t>seek</w:t>
      </w:r>
      <w:r>
        <w:rPr>
          <w:spacing w:val="-2"/>
          <w:sz w:val="20"/>
        </w:rPr>
        <w:t> </w:t>
      </w:r>
      <w:r>
        <w:rPr>
          <w:sz w:val="20"/>
        </w:rPr>
        <w:t>to</w:t>
      </w:r>
      <w:r>
        <w:rPr>
          <w:spacing w:val="-5"/>
          <w:sz w:val="20"/>
        </w:rPr>
        <w:t> </w:t>
      </w:r>
      <w:r>
        <w:rPr>
          <w:sz w:val="20"/>
        </w:rPr>
        <w:t>make</w:t>
      </w:r>
      <w:r>
        <w:rPr>
          <w:spacing w:val="-8"/>
          <w:sz w:val="20"/>
        </w:rPr>
        <w:t> </w:t>
      </w:r>
      <w:r>
        <w:rPr>
          <w:sz w:val="20"/>
        </w:rPr>
        <w:t>use</w:t>
      </w:r>
      <w:r>
        <w:rPr>
          <w:spacing w:val="-5"/>
          <w:sz w:val="20"/>
        </w:rPr>
        <w:t> </w:t>
      </w:r>
      <w:r>
        <w:rPr>
          <w:sz w:val="20"/>
        </w:rPr>
        <w:t>of</w:t>
      </w:r>
      <w:r>
        <w:rPr>
          <w:spacing w:val="-4"/>
          <w:sz w:val="20"/>
        </w:rPr>
        <w:t> </w:t>
      </w:r>
      <w:r>
        <w:rPr>
          <w:sz w:val="20"/>
        </w:rPr>
        <w:t>this</w:t>
      </w:r>
      <w:r>
        <w:rPr>
          <w:spacing w:val="-4"/>
          <w:sz w:val="20"/>
        </w:rPr>
        <w:t> </w:t>
      </w:r>
      <w:r>
        <w:rPr>
          <w:sz w:val="20"/>
        </w:rPr>
        <w:t>process.</w:t>
      </w:r>
      <w:r>
        <w:rPr>
          <w:spacing w:val="-2"/>
          <w:sz w:val="20"/>
        </w:rPr>
        <w:t> </w:t>
      </w:r>
      <w:r>
        <w:rPr>
          <w:sz w:val="20"/>
        </w:rPr>
        <w:t>Where</w:t>
      </w:r>
      <w:r>
        <w:rPr>
          <w:spacing w:val="-5"/>
          <w:sz w:val="20"/>
        </w:rPr>
        <w:t> </w:t>
      </w:r>
      <w:r>
        <w:rPr>
          <w:sz w:val="20"/>
        </w:rPr>
        <w:t>an</w:t>
      </w:r>
      <w:r>
        <w:rPr>
          <w:spacing w:val="-6"/>
          <w:sz w:val="20"/>
        </w:rPr>
        <w:t> </w:t>
      </w:r>
      <w:r>
        <w:rPr>
          <w:sz w:val="20"/>
        </w:rPr>
        <w:t>MNE</w:t>
      </w:r>
      <w:r>
        <w:rPr>
          <w:spacing w:val="-3"/>
          <w:sz w:val="20"/>
        </w:rPr>
        <w:t> </w:t>
      </w:r>
      <w:r>
        <w:rPr>
          <w:sz w:val="20"/>
        </w:rPr>
        <w:t>does</w:t>
      </w:r>
      <w:r>
        <w:rPr>
          <w:spacing w:val="-5"/>
          <w:sz w:val="20"/>
        </w:rPr>
        <w:t> </w:t>
      </w:r>
      <w:r>
        <w:rPr>
          <w:sz w:val="20"/>
        </w:rPr>
        <w:t>not</w:t>
      </w:r>
      <w:r>
        <w:rPr>
          <w:spacing w:val="-3"/>
          <w:sz w:val="20"/>
        </w:rPr>
        <w:t> </w:t>
      </w:r>
      <w:r>
        <w:rPr>
          <w:sz w:val="20"/>
        </w:rPr>
        <w:t>make a</w:t>
      </w:r>
      <w:r>
        <w:rPr>
          <w:spacing w:val="-4"/>
          <w:sz w:val="20"/>
        </w:rPr>
        <w:t> </w:t>
      </w:r>
      <w:r>
        <w:rPr>
          <w:sz w:val="20"/>
        </w:rPr>
        <w:t>request</w:t>
      </w:r>
      <w:r>
        <w:rPr>
          <w:spacing w:val="-4"/>
          <w:sz w:val="20"/>
        </w:rPr>
        <w:t> </w:t>
      </w:r>
      <w:r>
        <w:rPr>
          <w:sz w:val="20"/>
        </w:rPr>
        <w:t>for</w:t>
      </w:r>
      <w:r>
        <w:rPr>
          <w:spacing w:val="-5"/>
          <w:sz w:val="20"/>
        </w:rPr>
        <w:t> </w:t>
      </w:r>
      <w:r>
        <w:rPr>
          <w:sz w:val="20"/>
        </w:rPr>
        <w:t>multilateral</w:t>
      </w:r>
      <w:r>
        <w:rPr>
          <w:spacing w:val="-5"/>
          <w:sz w:val="20"/>
        </w:rPr>
        <w:t> </w:t>
      </w:r>
      <w:r>
        <w:rPr>
          <w:sz w:val="20"/>
        </w:rPr>
        <w:t>certainty</w:t>
      </w:r>
      <w:r>
        <w:rPr>
          <w:spacing w:val="-6"/>
          <w:sz w:val="20"/>
        </w:rPr>
        <w:t> </w:t>
      </w:r>
      <w:r>
        <w:rPr>
          <w:sz w:val="20"/>
        </w:rPr>
        <w:t>and</w:t>
      </w:r>
      <w:r>
        <w:rPr>
          <w:spacing w:val="-4"/>
          <w:sz w:val="20"/>
        </w:rPr>
        <w:t> </w:t>
      </w:r>
      <w:r>
        <w:rPr>
          <w:sz w:val="20"/>
        </w:rPr>
        <w:t>seeks</w:t>
      </w:r>
      <w:r>
        <w:rPr>
          <w:spacing w:val="-3"/>
          <w:sz w:val="20"/>
        </w:rPr>
        <w:t> </w:t>
      </w:r>
      <w:r>
        <w:rPr>
          <w:sz w:val="20"/>
        </w:rPr>
        <w:t>to</w:t>
      </w:r>
      <w:r>
        <w:rPr>
          <w:spacing w:val="-3"/>
          <w:sz w:val="20"/>
        </w:rPr>
        <w:t> </w:t>
      </w:r>
      <w:r>
        <w:rPr>
          <w:sz w:val="20"/>
        </w:rPr>
        <w:t>rely</w:t>
      </w:r>
      <w:r>
        <w:rPr>
          <w:spacing w:val="-10"/>
          <w:sz w:val="20"/>
        </w:rPr>
        <w:t> </w:t>
      </w:r>
      <w:r>
        <w:rPr>
          <w:sz w:val="20"/>
        </w:rPr>
        <w:t>on</w:t>
      </w:r>
      <w:r>
        <w:rPr>
          <w:spacing w:val="-1"/>
          <w:sz w:val="20"/>
        </w:rPr>
        <w:t> </w:t>
      </w:r>
      <w:r>
        <w:rPr>
          <w:sz w:val="20"/>
        </w:rPr>
        <w:t>domestic</w:t>
      </w:r>
      <w:r>
        <w:rPr>
          <w:spacing w:val="-3"/>
          <w:sz w:val="20"/>
        </w:rPr>
        <w:t> </w:t>
      </w:r>
      <w:r>
        <w:rPr>
          <w:sz w:val="20"/>
        </w:rPr>
        <w:t>remedies,</w:t>
      </w:r>
      <w:r>
        <w:rPr>
          <w:spacing w:val="-4"/>
          <w:sz w:val="20"/>
        </w:rPr>
        <w:t> </w:t>
      </w:r>
      <w:r>
        <w:rPr>
          <w:sz w:val="20"/>
        </w:rPr>
        <w:t>the</w:t>
      </w:r>
      <w:r>
        <w:rPr>
          <w:spacing w:val="-3"/>
          <w:sz w:val="20"/>
        </w:rPr>
        <w:t> </w:t>
      </w:r>
      <w:r>
        <w:rPr>
          <w:sz w:val="20"/>
        </w:rPr>
        <w:t>references</w:t>
      </w:r>
      <w:r>
        <w:rPr>
          <w:spacing w:val="-3"/>
          <w:sz w:val="20"/>
        </w:rPr>
        <w:t> </w:t>
      </w:r>
      <w:r>
        <w:rPr>
          <w:sz w:val="20"/>
        </w:rPr>
        <w:t>below</w:t>
      </w:r>
      <w:r>
        <w:rPr>
          <w:spacing w:val="-6"/>
          <w:sz w:val="20"/>
        </w:rPr>
        <w:t> </w:t>
      </w:r>
      <w:r>
        <w:rPr>
          <w:sz w:val="20"/>
        </w:rPr>
        <w:t>to</w:t>
      </w:r>
      <w:r>
        <w:rPr>
          <w:spacing w:val="-3"/>
          <w:sz w:val="20"/>
        </w:rPr>
        <w:t> </w:t>
      </w:r>
      <w:r>
        <w:rPr>
          <w:sz w:val="20"/>
        </w:rPr>
        <w:t>how</w:t>
      </w:r>
      <w:r>
        <w:rPr>
          <w:spacing w:val="-6"/>
          <w:sz w:val="20"/>
        </w:rPr>
        <w:t> </w:t>
      </w:r>
      <w:r>
        <w:rPr>
          <w:sz w:val="20"/>
        </w:rPr>
        <w:t>a panel may gain comfort would apply equally to the separate reviews conducted unilaterally by tax administrations.</w:t>
      </w:r>
    </w:p>
    <w:p>
      <w:pPr>
        <w:pStyle w:val="ListParagraph"/>
        <w:numPr>
          <w:ilvl w:val="0"/>
          <w:numId w:val="13"/>
        </w:numPr>
        <w:tabs>
          <w:tab w:pos="1444" w:val="left" w:leader="none"/>
        </w:tabs>
        <w:spacing w:line="271" w:lineRule="auto" w:before="121" w:after="0"/>
        <w:ind w:left="723" w:right="478" w:firstLine="0"/>
        <w:jc w:val="both"/>
        <w:rPr>
          <w:sz w:val="20"/>
        </w:rPr>
      </w:pPr>
      <w:r>
        <w:rPr>
          <w:sz w:val="20"/>
        </w:rPr>
        <w:t>The review panel would have different options to perform a compliance review procedure. With respect</w:t>
      </w:r>
      <w:r>
        <w:rPr>
          <w:spacing w:val="-16"/>
          <w:sz w:val="20"/>
        </w:rPr>
        <w:t> </w:t>
      </w:r>
      <w:r>
        <w:rPr>
          <w:sz w:val="20"/>
        </w:rPr>
        <w:t>to</w:t>
      </w:r>
      <w:r>
        <w:rPr>
          <w:spacing w:val="-14"/>
          <w:sz w:val="20"/>
        </w:rPr>
        <w:t> </w:t>
      </w:r>
      <w:r>
        <w:rPr>
          <w:sz w:val="20"/>
        </w:rPr>
        <w:t>giving</w:t>
      </w:r>
      <w:r>
        <w:rPr>
          <w:spacing w:val="-15"/>
          <w:sz w:val="20"/>
        </w:rPr>
        <w:t> </w:t>
      </w:r>
      <w:r>
        <w:rPr>
          <w:sz w:val="20"/>
        </w:rPr>
        <w:t>certainty</w:t>
      </w:r>
      <w:r>
        <w:rPr>
          <w:spacing w:val="-17"/>
          <w:sz w:val="20"/>
        </w:rPr>
        <w:t> </w:t>
      </w:r>
      <w:r>
        <w:rPr>
          <w:sz w:val="20"/>
        </w:rPr>
        <w:t>with</w:t>
      </w:r>
      <w:r>
        <w:rPr>
          <w:spacing w:val="-14"/>
          <w:sz w:val="20"/>
        </w:rPr>
        <w:t> </w:t>
      </w:r>
      <w:r>
        <w:rPr>
          <w:sz w:val="20"/>
        </w:rPr>
        <w:t>respect</w:t>
      </w:r>
      <w:r>
        <w:rPr>
          <w:spacing w:val="-13"/>
          <w:sz w:val="20"/>
        </w:rPr>
        <w:t> </w:t>
      </w:r>
      <w:r>
        <w:rPr>
          <w:sz w:val="20"/>
        </w:rPr>
        <w:t>to</w:t>
      </w:r>
      <w:r>
        <w:rPr>
          <w:spacing w:val="-14"/>
          <w:sz w:val="20"/>
        </w:rPr>
        <w:t> </w:t>
      </w:r>
      <w:r>
        <w:rPr>
          <w:sz w:val="20"/>
        </w:rPr>
        <w:t>the</w:t>
      </w:r>
      <w:r>
        <w:rPr>
          <w:spacing w:val="-14"/>
          <w:sz w:val="20"/>
        </w:rPr>
        <w:t> </w:t>
      </w:r>
      <w:r>
        <w:rPr>
          <w:sz w:val="20"/>
        </w:rPr>
        <w:t>application</w:t>
      </w:r>
      <w:r>
        <w:rPr>
          <w:spacing w:val="-14"/>
          <w:sz w:val="20"/>
        </w:rPr>
        <w:t> </w:t>
      </w:r>
      <w:r>
        <w:rPr>
          <w:sz w:val="20"/>
        </w:rPr>
        <w:t>of</w:t>
      </w:r>
      <w:r>
        <w:rPr>
          <w:spacing w:val="-13"/>
          <w:sz w:val="20"/>
        </w:rPr>
        <w:t> </w:t>
      </w:r>
      <w:r>
        <w:rPr>
          <w:sz w:val="20"/>
        </w:rPr>
        <w:t>revenue</w:t>
      </w:r>
      <w:r>
        <w:rPr>
          <w:spacing w:val="-17"/>
          <w:sz w:val="20"/>
        </w:rPr>
        <w:t> </w:t>
      </w:r>
      <w:r>
        <w:rPr>
          <w:sz w:val="20"/>
        </w:rPr>
        <w:t>sourcing</w:t>
      </w:r>
      <w:r>
        <w:rPr>
          <w:spacing w:val="-15"/>
          <w:sz w:val="20"/>
        </w:rPr>
        <w:t> </w:t>
      </w:r>
      <w:r>
        <w:rPr>
          <w:sz w:val="20"/>
        </w:rPr>
        <w:t>rules,</w:t>
      </w:r>
      <w:r>
        <w:rPr>
          <w:spacing w:val="-11"/>
          <w:sz w:val="20"/>
        </w:rPr>
        <w:t> </w:t>
      </w:r>
      <w:r>
        <w:rPr>
          <w:sz w:val="20"/>
        </w:rPr>
        <w:t>and</w:t>
      </w:r>
      <w:r>
        <w:rPr>
          <w:spacing w:val="-14"/>
          <w:sz w:val="20"/>
        </w:rPr>
        <w:t> </w:t>
      </w:r>
      <w:r>
        <w:rPr>
          <w:sz w:val="20"/>
        </w:rPr>
        <w:t>in</w:t>
      </w:r>
      <w:r>
        <w:rPr>
          <w:spacing w:val="-14"/>
          <w:sz w:val="20"/>
        </w:rPr>
        <w:t> </w:t>
      </w:r>
      <w:r>
        <w:rPr>
          <w:sz w:val="20"/>
        </w:rPr>
        <w:t>light</w:t>
      </w:r>
      <w:r>
        <w:rPr>
          <w:spacing w:val="-13"/>
          <w:sz w:val="20"/>
        </w:rPr>
        <w:t> </w:t>
      </w:r>
      <w:r>
        <w:rPr>
          <w:sz w:val="20"/>
        </w:rPr>
        <w:t>of</w:t>
      </w:r>
      <w:r>
        <w:rPr>
          <w:spacing w:val="-14"/>
          <w:sz w:val="20"/>
        </w:rPr>
        <w:t> </w:t>
      </w:r>
      <w:r>
        <w:rPr>
          <w:sz w:val="20"/>
        </w:rPr>
        <w:t>the</w:t>
      </w:r>
      <w:r>
        <w:rPr>
          <w:spacing w:val="-14"/>
          <w:sz w:val="20"/>
        </w:rPr>
        <w:t> </w:t>
      </w:r>
      <w:r>
        <w:rPr>
          <w:sz w:val="20"/>
        </w:rPr>
        <w:t>above documentation requirements and limitations, it is likely that tax administrations on the review panel would generally look to the quality control systems in place to apply the revenue sourcing rules in an accurate way, rather than generally carrying out an audit of every particular</w:t>
      </w:r>
      <w:r>
        <w:rPr>
          <w:spacing w:val="-8"/>
          <w:sz w:val="20"/>
        </w:rPr>
        <w:t> </w:t>
      </w:r>
      <w:r>
        <w:rPr>
          <w:sz w:val="20"/>
        </w:rPr>
        <w:t>transaction.</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As a starting point, the overall compliance approach taken by the MNE could be part of the process, whereby the review panel would provide the MNE with certainty on the operation of its internal control framework for which it can then rely on the data being extracted by the system. Whenever substantial changes are made to the MNE’s control framework, a review by the panel may take place again.</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Additionally, or as part of this process, the review panel could perform an (IT) audit on the MNE’s internal control framework. This may need to be done on behalf of the review panel by the tax administration in the jurisdiction of the UPE, or jurisdiction of other member(s) of the MNE which has the relevant</w:t>
      </w:r>
      <w:r>
        <w:rPr>
          <w:spacing w:val="-16"/>
          <w:sz w:val="20"/>
        </w:rPr>
        <w:t> </w:t>
      </w:r>
      <w:r>
        <w:rPr>
          <w:sz w:val="20"/>
        </w:rPr>
        <w:t>data</w:t>
      </w:r>
      <w:r>
        <w:rPr>
          <w:spacing w:val="-15"/>
          <w:sz w:val="20"/>
        </w:rPr>
        <w:t> </w:t>
      </w:r>
      <w:r>
        <w:rPr>
          <w:sz w:val="20"/>
        </w:rPr>
        <w:t>in</w:t>
      </w:r>
      <w:r>
        <w:rPr>
          <w:spacing w:val="-16"/>
          <w:sz w:val="20"/>
        </w:rPr>
        <w:t> </w:t>
      </w:r>
      <w:r>
        <w:rPr>
          <w:sz w:val="20"/>
        </w:rPr>
        <w:t>its</w:t>
      </w:r>
      <w:r>
        <w:rPr>
          <w:spacing w:val="-16"/>
          <w:sz w:val="20"/>
        </w:rPr>
        <w:t> </w:t>
      </w:r>
      <w:r>
        <w:rPr>
          <w:sz w:val="20"/>
        </w:rPr>
        <w:t>possession</w:t>
      </w:r>
      <w:r>
        <w:rPr>
          <w:spacing w:val="-18"/>
          <w:sz w:val="20"/>
        </w:rPr>
        <w:t> </w:t>
      </w:r>
      <w:r>
        <w:rPr>
          <w:sz w:val="20"/>
        </w:rPr>
        <w:t>and</w:t>
      </w:r>
      <w:r>
        <w:rPr>
          <w:spacing w:val="-15"/>
          <w:sz w:val="20"/>
        </w:rPr>
        <w:t> </w:t>
      </w:r>
      <w:r>
        <w:rPr>
          <w:sz w:val="20"/>
        </w:rPr>
        <w:t>has</w:t>
      </w:r>
      <w:r>
        <w:rPr>
          <w:spacing w:val="-16"/>
          <w:sz w:val="20"/>
        </w:rPr>
        <w:t> </w:t>
      </w:r>
      <w:r>
        <w:rPr>
          <w:sz w:val="20"/>
        </w:rPr>
        <w:t>responsibility</w:t>
      </w:r>
      <w:r>
        <w:rPr>
          <w:spacing w:val="-19"/>
          <w:sz w:val="20"/>
        </w:rPr>
        <w:t> </w:t>
      </w:r>
      <w:r>
        <w:rPr>
          <w:sz w:val="20"/>
        </w:rPr>
        <w:t>for</w:t>
      </w:r>
      <w:r>
        <w:rPr>
          <w:spacing w:val="-16"/>
          <w:sz w:val="20"/>
        </w:rPr>
        <w:t> </w:t>
      </w:r>
      <w:r>
        <w:rPr>
          <w:sz w:val="20"/>
        </w:rPr>
        <w:t>the</w:t>
      </w:r>
      <w:r>
        <w:rPr>
          <w:spacing w:val="-18"/>
          <w:sz w:val="20"/>
        </w:rPr>
        <w:t> </w:t>
      </w:r>
      <w:r>
        <w:rPr>
          <w:sz w:val="20"/>
        </w:rPr>
        <w:t>compliance</w:t>
      </w:r>
      <w:r>
        <w:rPr>
          <w:spacing w:val="-17"/>
          <w:sz w:val="20"/>
        </w:rPr>
        <w:t> </w:t>
      </w:r>
      <w:r>
        <w:rPr>
          <w:sz w:val="20"/>
        </w:rPr>
        <w:t>process</w:t>
      </w:r>
      <w:r>
        <w:rPr>
          <w:spacing w:val="-16"/>
          <w:sz w:val="20"/>
        </w:rPr>
        <w:t> </w:t>
      </w:r>
      <w:r>
        <w:rPr>
          <w:sz w:val="20"/>
        </w:rPr>
        <w:t>and</w:t>
      </w:r>
      <w:r>
        <w:rPr>
          <w:spacing w:val="-11"/>
          <w:sz w:val="20"/>
        </w:rPr>
        <w:t> </w:t>
      </w:r>
      <w:r>
        <w:rPr>
          <w:sz w:val="20"/>
        </w:rPr>
        <w:t>whose</w:t>
      </w:r>
      <w:r>
        <w:rPr>
          <w:spacing w:val="-17"/>
          <w:sz w:val="20"/>
        </w:rPr>
        <w:t> </w:t>
      </w:r>
      <w:r>
        <w:rPr>
          <w:sz w:val="20"/>
        </w:rPr>
        <w:t>systems</w:t>
      </w:r>
      <w:r>
        <w:rPr>
          <w:spacing w:val="-16"/>
          <w:sz w:val="20"/>
        </w:rPr>
        <w:t> </w:t>
      </w:r>
      <w:r>
        <w:rPr>
          <w:sz w:val="20"/>
        </w:rPr>
        <w:t>would be audited, and outcomes of this audit would be subject to review and agreement by the</w:t>
      </w:r>
      <w:r>
        <w:rPr>
          <w:spacing w:val="-33"/>
          <w:sz w:val="20"/>
        </w:rPr>
        <w:t> </w:t>
      </w:r>
      <w:r>
        <w:rPr>
          <w:sz w:val="20"/>
        </w:rPr>
        <w:t>panel.</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7" w:firstLine="0"/>
        <w:jc w:val="both"/>
        <w:rPr>
          <w:sz w:val="20"/>
        </w:rPr>
      </w:pPr>
      <w:r>
        <w:rPr>
          <w:sz w:val="20"/>
        </w:rPr>
        <w:t>In their review, the review panel could additionally make use of sampling, whereby the auditor would only test a sample of the detailed data that was collected most recently and has therefore been stored</w:t>
      </w:r>
      <w:r>
        <w:rPr>
          <w:spacing w:val="-4"/>
          <w:sz w:val="20"/>
        </w:rPr>
        <w:t> </w:t>
      </w:r>
      <w:r>
        <w:rPr>
          <w:sz w:val="20"/>
        </w:rPr>
        <w:t>for</w:t>
      </w:r>
      <w:r>
        <w:rPr>
          <w:spacing w:val="-4"/>
          <w:sz w:val="20"/>
        </w:rPr>
        <w:t> </w:t>
      </w:r>
      <w:r>
        <w:rPr>
          <w:sz w:val="20"/>
        </w:rPr>
        <w:t>a</w:t>
      </w:r>
      <w:r>
        <w:rPr>
          <w:spacing w:val="-3"/>
          <w:sz w:val="20"/>
        </w:rPr>
        <w:t> </w:t>
      </w:r>
      <w:r>
        <w:rPr>
          <w:sz w:val="20"/>
        </w:rPr>
        <w:t>limited</w:t>
      </w:r>
      <w:r>
        <w:rPr>
          <w:spacing w:val="-4"/>
          <w:sz w:val="20"/>
        </w:rPr>
        <w:t> </w:t>
      </w:r>
      <w:r>
        <w:rPr>
          <w:sz w:val="20"/>
        </w:rPr>
        <w:t>period,</w:t>
      </w:r>
      <w:r>
        <w:rPr>
          <w:spacing w:val="-2"/>
          <w:sz w:val="20"/>
        </w:rPr>
        <w:t> </w:t>
      </w:r>
      <w:r>
        <w:rPr>
          <w:sz w:val="20"/>
        </w:rPr>
        <w:t>in</w:t>
      </w:r>
      <w:r>
        <w:rPr>
          <w:spacing w:val="-3"/>
          <w:sz w:val="20"/>
        </w:rPr>
        <w:t> </w:t>
      </w:r>
      <w:r>
        <w:rPr>
          <w:sz w:val="20"/>
        </w:rPr>
        <w:t>order</w:t>
      </w:r>
      <w:r>
        <w:rPr>
          <w:spacing w:val="-3"/>
          <w:sz w:val="20"/>
        </w:rPr>
        <w:t> </w:t>
      </w:r>
      <w:r>
        <w:rPr>
          <w:sz w:val="20"/>
        </w:rPr>
        <w:t>to</w:t>
      </w:r>
      <w:r>
        <w:rPr>
          <w:spacing w:val="-4"/>
          <w:sz w:val="20"/>
        </w:rPr>
        <w:t> </w:t>
      </w:r>
      <w:r>
        <w:rPr>
          <w:sz w:val="20"/>
        </w:rPr>
        <w:t>evaluate</w:t>
      </w:r>
      <w:r>
        <w:rPr>
          <w:spacing w:val="-2"/>
          <w:sz w:val="20"/>
        </w:rPr>
        <w:t> </w:t>
      </w:r>
      <w:r>
        <w:rPr>
          <w:sz w:val="20"/>
        </w:rPr>
        <w:t>whether the</w:t>
      </w:r>
      <w:r>
        <w:rPr>
          <w:spacing w:val="-2"/>
          <w:sz w:val="20"/>
        </w:rPr>
        <w:t> </w:t>
      </w:r>
      <w:r>
        <w:rPr>
          <w:sz w:val="20"/>
        </w:rPr>
        <w:t>MNE</w:t>
      </w:r>
      <w:r>
        <w:rPr>
          <w:spacing w:val="-2"/>
          <w:sz w:val="20"/>
        </w:rPr>
        <w:t> </w:t>
      </w:r>
      <w:r>
        <w:rPr>
          <w:sz w:val="20"/>
        </w:rPr>
        <w:t>collected</w:t>
      </w:r>
      <w:r>
        <w:rPr>
          <w:spacing w:val="-2"/>
          <w:sz w:val="20"/>
        </w:rPr>
        <w:t> </w:t>
      </w:r>
      <w:r>
        <w:rPr>
          <w:sz w:val="20"/>
        </w:rPr>
        <w:t>this</w:t>
      </w:r>
      <w:r>
        <w:rPr>
          <w:spacing w:val="-2"/>
          <w:sz w:val="20"/>
        </w:rPr>
        <w:t> </w:t>
      </w:r>
      <w:r>
        <w:rPr>
          <w:sz w:val="20"/>
        </w:rPr>
        <w:t>data</w:t>
      </w:r>
      <w:r>
        <w:rPr>
          <w:spacing w:val="-4"/>
          <w:sz w:val="20"/>
        </w:rPr>
        <w:t> </w:t>
      </w:r>
      <w:r>
        <w:rPr>
          <w:sz w:val="20"/>
        </w:rPr>
        <w:t>in</w:t>
      </w:r>
      <w:r>
        <w:rPr>
          <w:spacing w:val="-2"/>
          <w:sz w:val="20"/>
        </w:rPr>
        <w:t> </w:t>
      </w:r>
      <w:r>
        <w:rPr>
          <w:sz w:val="20"/>
        </w:rPr>
        <w:t>an</w:t>
      </w:r>
      <w:r>
        <w:rPr>
          <w:spacing w:val="-2"/>
          <w:sz w:val="20"/>
        </w:rPr>
        <w:t> </w:t>
      </w:r>
      <w:r>
        <w:rPr>
          <w:sz w:val="20"/>
        </w:rPr>
        <w:t>accurate</w:t>
      </w:r>
      <w:r>
        <w:rPr>
          <w:spacing w:val="-2"/>
          <w:sz w:val="20"/>
        </w:rPr>
        <w:t> </w:t>
      </w:r>
      <w:r>
        <w:rPr>
          <w:sz w:val="20"/>
        </w:rPr>
        <w:t>way.</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 domestic law issues, costs and benefits, efficiency and other relevant aspects of these approaches will be considered</w:t>
      </w:r>
      <w:r>
        <w:rPr>
          <w:spacing w:val="-4"/>
          <w:sz w:val="20"/>
        </w:rPr>
        <w:t> </w:t>
      </w:r>
      <w:r>
        <w:rPr>
          <w:sz w:val="20"/>
        </w:rPr>
        <w:t>further.</w:t>
      </w:r>
    </w:p>
    <w:p>
      <w:pPr>
        <w:pStyle w:val="BodyText"/>
      </w:pPr>
    </w:p>
    <w:p>
      <w:pPr>
        <w:pStyle w:val="Heading7"/>
        <w:rPr>
          <w:i/>
        </w:rPr>
      </w:pPr>
      <w:bookmarkStart w:name="Retention of documentation" w:id="187"/>
      <w:bookmarkEnd w:id="187"/>
      <w:r>
        <w:rPr>
          <w:i w:val="0"/>
        </w:rPr>
      </w:r>
      <w:r>
        <w:rPr>
          <w:i/>
          <w:color w:val="616161"/>
        </w:rPr>
        <w:t>Retention of</w:t>
      </w:r>
      <w:r>
        <w:rPr>
          <w:i/>
          <w:color w:val="616161"/>
          <w:spacing w:val="-18"/>
        </w:rPr>
        <w:t> </w:t>
      </w:r>
      <w:r>
        <w:rPr>
          <w:i/>
          <w:color w:val="616161"/>
        </w:rPr>
        <w:t>documentation</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MNE is not obliged to keep the underlying data stored. It should however keep the extracted reports</w:t>
      </w:r>
      <w:r>
        <w:rPr>
          <w:spacing w:val="-15"/>
          <w:sz w:val="20"/>
        </w:rPr>
        <w:t> </w:t>
      </w:r>
      <w:r>
        <w:rPr>
          <w:sz w:val="20"/>
        </w:rPr>
        <w:t>in</w:t>
      </w:r>
      <w:r>
        <w:rPr>
          <w:spacing w:val="-17"/>
          <w:sz w:val="20"/>
        </w:rPr>
        <w:t> </w:t>
      </w:r>
      <w:r>
        <w:rPr>
          <w:sz w:val="20"/>
        </w:rPr>
        <w:t>its</w:t>
      </w:r>
      <w:r>
        <w:rPr>
          <w:spacing w:val="-16"/>
          <w:sz w:val="20"/>
        </w:rPr>
        <w:t> </w:t>
      </w:r>
      <w:r>
        <w:rPr>
          <w:sz w:val="20"/>
        </w:rPr>
        <w:t>administration</w:t>
      </w:r>
      <w:r>
        <w:rPr>
          <w:spacing w:val="-17"/>
          <w:sz w:val="20"/>
        </w:rPr>
        <w:t> </w:t>
      </w:r>
      <w:r>
        <w:rPr>
          <w:sz w:val="20"/>
        </w:rPr>
        <w:t>for</w:t>
      </w:r>
      <w:r>
        <w:rPr>
          <w:spacing w:val="-14"/>
          <w:sz w:val="20"/>
        </w:rPr>
        <w:t> </w:t>
      </w:r>
      <w:r>
        <w:rPr>
          <w:sz w:val="20"/>
        </w:rPr>
        <w:t>the</w:t>
      </w:r>
      <w:r>
        <w:rPr>
          <w:spacing w:val="-16"/>
          <w:sz w:val="20"/>
        </w:rPr>
        <w:t> </w:t>
      </w:r>
      <w:r>
        <w:rPr>
          <w:sz w:val="20"/>
        </w:rPr>
        <w:t>period</w:t>
      </w:r>
      <w:r>
        <w:rPr>
          <w:spacing w:val="-18"/>
          <w:sz w:val="20"/>
        </w:rPr>
        <w:t> </w:t>
      </w:r>
      <w:r>
        <w:rPr>
          <w:sz w:val="20"/>
        </w:rPr>
        <w:t>consistent</w:t>
      </w:r>
      <w:r>
        <w:rPr>
          <w:spacing w:val="-15"/>
          <w:sz w:val="20"/>
        </w:rPr>
        <w:t> </w:t>
      </w:r>
      <w:r>
        <w:rPr>
          <w:sz w:val="20"/>
        </w:rPr>
        <w:t>with</w:t>
      </w:r>
      <w:r>
        <w:rPr>
          <w:spacing w:val="-15"/>
          <w:sz w:val="20"/>
        </w:rPr>
        <w:t> </w:t>
      </w:r>
      <w:r>
        <w:rPr>
          <w:sz w:val="20"/>
        </w:rPr>
        <w:t>the</w:t>
      </w:r>
      <w:r>
        <w:rPr>
          <w:spacing w:val="-18"/>
          <w:sz w:val="20"/>
        </w:rPr>
        <w:t> </w:t>
      </w:r>
      <w:r>
        <w:rPr>
          <w:sz w:val="20"/>
        </w:rPr>
        <w:t>requirements</w:t>
      </w:r>
      <w:r>
        <w:rPr>
          <w:spacing w:val="-15"/>
          <w:sz w:val="20"/>
        </w:rPr>
        <w:t> </w:t>
      </w:r>
      <w:r>
        <w:rPr>
          <w:sz w:val="20"/>
        </w:rPr>
        <w:t>of</w:t>
      </w:r>
      <w:r>
        <w:rPr>
          <w:spacing w:val="-15"/>
          <w:sz w:val="20"/>
        </w:rPr>
        <w:t> </w:t>
      </w:r>
      <w:r>
        <w:rPr>
          <w:sz w:val="20"/>
        </w:rPr>
        <w:t>domestic</w:t>
      </w:r>
      <w:r>
        <w:rPr>
          <w:spacing w:val="-16"/>
          <w:sz w:val="20"/>
        </w:rPr>
        <w:t> </w:t>
      </w:r>
      <w:r>
        <w:rPr>
          <w:sz w:val="20"/>
        </w:rPr>
        <w:t>law</w:t>
      </w:r>
      <w:r>
        <w:rPr>
          <w:spacing w:val="-15"/>
          <w:sz w:val="20"/>
        </w:rPr>
        <w:t> </w:t>
      </w:r>
      <w:r>
        <w:rPr>
          <w:sz w:val="20"/>
        </w:rPr>
        <w:t>of</w:t>
      </w:r>
      <w:r>
        <w:rPr>
          <w:spacing w:val="-15"/>
          <w:sz w:val="20"/>
        </w:rPr>
        <w:t> </w:t>
      </w:r>
      <w:r>
        <w:rPr>
          <w:sz w:val="20"/>
        </w:rPr>
        <w:t>the</w:t>
      </w:r>
      <w:r>
        <w:rPr>
          <w:spacing w:val="-18"/>
          <w:sz w:val="20"/>
        </w:rPr>
        <w:t> </w:t>
      </w:r>
      <w:r>
        <w:rPr>
          <w:sz w:val="20"/>
        </w:rPr>
        <w:t>respective jurisdictions.</w:t>
      </w:r>
      <w:r>
        <w:rPr>
          <w:spacing w:val="-16"/>
          <w:sz w:val="20"/>
        </w:rPr>
        <w:t> </w:t>
      </w:r>
      <w:r>
        <w:rPr>
          <w:sz w:val="20"/>
        </w:rPr>
        <w:t>It</w:t>
      </w:r>
      <w:r>
        <w:rPr>
          <w:spacing w:val="-16"/>
          <w:sz w:val="20"/>
        </w:rPr>
        <w:t> </w:t>
      </w:r>
      <w:r>
        <w:rPr>
          <w:sz w:val="20"/>
        </w:rPr>
        <w:t>must</w:t>
      </w:r>
      <w:r>
        <w:rPr>
          <w:spacing w:val="-16"/>
          <w:sz w:val="20"/>
        </w:rPr>
        <w:t> </w:t>
      </w:r>
      <w:r>
        <w:rPr>
          <w:sz w:val="20"/>
        </w:rPr>
        <w:t>be</w:t>
      </w:r>
      <w:r>
        <w:rPr>
          <w:spacing w:val="-16"/>
          <w:sz w:val="20"/>
        </w:rPr>
        <w:t> </w:t>
      </w:r>
      <w:r>
        <w:rPr>
          <w:sz w:val="20"/>
        </w:rPr>
        <w:t>available</w:t>
      </w:r>
      <w:r>
        <w:rPr>
          <w:spacing w:val="-16"/>
          <w:sz w:val="20"/>
        </w:rPr>
        <w:t> </w:t>
      </w:r>
      <w:r>
        <w:rPr>
          <w:sz w:val="20"/>
        </w:rPr>
        <w:t>to</w:t>
      </w:r>
      <w:r>
        <w:rPr>
          <w:spacing w:val="-16"/>
          <w:sz w:val="20"/>
        </w:rPr>
        <w:t> </w:t>
      </w:r>
      <w:r>
        <w:rPr>
          <w:sz w:val="20"/>
        </w:rPr>
        <w:t>the</w:t>
      </w:r>
      <w:r>
        <w:rPr>
          <w:spacing w:val="-17"/>
          <w:sz w:val="20"/>
        </w:rPr>
        <w:t> </w:t>
      </w:r>
      <w:r>
        <w:rPr>
          <w:sz w:val="20"/>
        </w:rPr>
        <w:t>tax</w:t>
      </w:r>
      <w:r>
        <w:rPr>
          <w:spacing w:val="-14"/>
          <w:sz w:val="20"/>
        </w:rPr>
        <w:t> </w:t>
      </w:r>
      <w:r>
        <w:rPr>
          <w:sz w:val="20"/>
        </w:rPr>
        <w:t>administrations</w:t>
      </w:r>
      <w:r>
        <w:rPr>
          <w:spacing w:val="-15"/>
          <w:sz w:val="20"/>
        </w:rPr>
        <w:t> </w:t>
      </w:r>
      <w:r>
        <w:rPr>
          <w:sz w:val="20"/>
        </w:rPr>
        <w:t>upon</w:t>
      </w:r>
      <w:r>
        <w:rPr>
          <w:spacing w:val="-14"/>
          <w:sz w:val="20"/>
        </w:rPr>
        <w:t> </w:t>
      </w:r>
      <w:r>
        <w:rPr>
          <w:sz w:val="20"/>
        </w:rPr>
        <w:t>request.</w:t>
      </w:r>
      <w:r>
        <w:rPr>
          <w:spacing w:val="-9"/>
          <w:sz w:val="20"/>
        </w:rPr>
        <w:t> </w:t>
      </w:r>
      <w:r>
        <w:rPr>
          <w:sz w:val="20"/>
        </w:rPr>
        <w:t>There</w:t>
      </w:r>
      <w:r>
        <w:rPr>
          <w:spacing w:val="-16"/>
          <w:sz w:val="20"/>
        </w:rPr>
        <w:t> </w:t>
      </w:r>
      <w:r>
        <w:rPr>
          <w:sz w:val="20"/>
        </w:rPr>
        <w:t>must</w:t>
      </w:r>
      <w:r>
        <w:rPr>
          <w:spacing w:val="-16"/>
          <w:sz w:val="20"/>
        </w:rPr>
        <w:t> </w:t>
      </w:r>
      <w:r>
        <w:rPr>
          <w:sz w:val="20"/>
        </w:rPr>
        <w:t>be</w:t>
      </w:r>
      <w:r>
        <w:rPr>
          <w:spacing w:val="-17"/>
          <w:sz w:val="20"/>
        </w:rPr>
        <w:t> </w:t>
      </w:r>
      <w:r>
        <w:rPr>
          <w:sz w:val="20"/>
        </w:rPr>
        <w:t>a</w:t>
      </w:r>
      <w:r>
        <w:rPr>
          <w:spacing w:val="-15"/>
          <w:sz w:val="20"/>
        </w:rPr>
        <w:t> </w:t>
      </w:r>
      <w:r>
        <w:rPr>
          <w:sz w:val="20"/>
        </w:rPr>
        <w:t>sufficient</w:t>
      </w:r>
      <w:r>
        <w:rPr>
          <w:spacing w:val="-16"/>
          <w:sz w:val="20"/>
        </w:rPr>
        <w:t> </w:t>
      </w:r>
      <w:r>
        <w:rPr>
          <w:sz w:val="20"/>
        </w:rPr>
        <w:t>sample of the underlying data available to tax administrations in order to be able to justify that the internal control framework is operating in a robust</w:t>
      </w:r>
      <w:r>
        <w:rPr>
          <w:spacing w:val="4"/>
          <w:sz w:val="20"/>
        </w:rPr>
        <w:t> </w:t>
      </w:r>
      <w:r>
        <w:rPr>
          <w:sz w:val="20"/>
        </w:rPr>
        <w:t>manner.</w:t>
      </w:r>
    </w:p>
    <w:p>
      <w:pPr>
        <w:pStyle w:val="BodyText"/>
        <w:rPr>
          <w:sz w:val="22"/>
        </w:rPr>
      </w:pPr>
    </w:p>
    <w:p>
      <w:pPr>
        <w:pStyle w:val="Heading4"/>
        <w:numPr>
          <w:ilvl w:val="1"/>
          <w:numId w:val="19"/>
        </w:numPr>
        <w:tabs>
          <w:tab w:pos="1192" w:val="left" w:leader="none"/>
        </w:tabs>
        <w:spacing w:line="240" w:lineRule="auto" w:before="194" w:after="0"/>
        <w:ind w:left="1191" w:right="0" w:hanging="469"/>
        <w:jc w:val="both"/>
        <w:rPr>
          <w:rFonts w:ascii="Arial"/>
        </w:rPr>
      </w:pPr>
      <w:bookmarkStart w:name="4.4. Next steps" w:id="188"/>
      <w:bookmarkEnd w:id="188"/>
      <w:r>
        <w:rPr>
          <w:b w:val="0"/>
        </w:rPr>
      </w:r>
      <w:bookmarkStart w:name="_bookmark23" w:id="189"/>
      <w:bookmarkEnd w:id="189"/>
      <w:r>
        <w:rPr>
          <w:b w:val="0"/>
        </w:rPr>
      </w:r>
      <w:bookmarkStart w:name="_bookmark23" w:id="190"/>
      <w:bookmarkEnd w:id="190"/>
      <w:r>
        <w:rPr>
          <w:rFonts w:ascii="Arial"/>
          <w:color w:val="4E81BD"/>
        </w:rPr>
        <w:t>Ne</w:t>
      </w:r>
      <w:r>
        <w:rPr>
          <w:rFonts w:ascii="Arial"/>
          <w:color w:val="4E81BD"/>
        </w:rPr>
        <w:t>xt steps</w:t>
      </w:r>
    </w:p>
    <w:p>
      <w:pPr>
        <w:pStyle w:val="BodyText"/>
        <w:spacing w:before="1"/>
        <w:rPr>
          <w:b/>
          <w:sz w:val="24"/>
        </w:rPr>
      </w:pPr>
    </w:p>
    <w:p>
      <w:pPr>
        <w:pStyle w:val="ListParagraph"/>
        <w:numPr>
          <w:ilvl w:val="0"/>
          <w:numId w:val="13"/>
        </w:numPr>
        <w:tabs>
          <w:tab w:pos="1444" w:val="left" w:leader="none"/>
        </w:tabs>
        <w:spacing w:line="271" w:lineRule="auto" w:before="0" w:after="0"/>
        <w:ind w:left="723" w:right="483" w:firstLine="0"/>
        <w:jc w:val="both"/>
        <w:rPr>
          <w:sz w:val="20"/>
        </w:rPr>
      </w:pPr>
      <w:bookmarkStart w:name="_bookmark24" w:id="191"/>
      <w:bookmarkEnd w:id="191"/>
      <w:r>
        <w:rPr/>
      </w:r>
      <w:bookmarkStart w:name="_bookmark24" w:id="192"/>
      <w:bookmarkEnd w:id="192"/>
      <w:r>
        <w:rPr>
          <w:sz w:val="20"/>
        </w:rPr>
        <w:t>T</w:t>
      </w:r>
      <w:r>
        <w:rPr>
          <w:sz w:val="20"/>
        </w:rPr>
        <w:t>he proposals above will be subject to further discussion and refinement, within the broader context of the pending discussions on scope, including further review of the proposed order of the indicators within each hierarchy, taking into account input on the compliance challenges for the affected businesses, and whether more specific indicators are required in respect of business customers. Specific open issues include sourcing the commission / fees from online intermediation platforms in respect of tangible services and the revenue sourcing rules for cloud</w:t>
      </w:r>
      <w:r>
        <w:rPr>
          <w:spacing w:val="-18"/>
          <w:sz w:val="20"/>
        </w:rPr>
        <w:t> </w:t>
      </w:r>
      <w:r>
        <w:rPr>
          <w:sz w:val="20"/>
        </w:rPr>
        <w:t>computing.</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In addition, further work will be undertaken to finalise guidance on the extent of the “reasonable steps” that are required to obtain information before it can be considered “unavailable.” This will need to provide objective guidelines in order to prevent disputes and could involve safe harbours. This could include, for example, asking the holder of the information (such as the customer or distributor), but would not</w:t>
      </w:r>
      <w:r>
        <w:rPr>
          <w:spacing w:val="-4"/>
          <w:sz w:val="20"/>
        </w:rPr>
        <w:t> </w:t>
      </w:r>
      <w:r>
        <w:rPr>
          <w:sz w:val="20"/>
        </w:rPr>
        <w:t>be</w:t>
      </w:r>
      <w:r>
        <w:rPr>
          <w:spacing w:val="-3"/>
          <w:sz w:val="20"/>
        </w:rPr>
        <w:t> </w:t>
      </w:r>
      <w:r>
        <w:rPr>
          <w:sz w:val="20"/>
        </w:rPr>
        <w:t>expected</w:t>
      </w:r>
      <w:r>
        <w:rPr>
          <w:spacing w:val="-7"/>
          <w:sz w:val="20"/>
        </w:rPr>
        <w:t> </w:t>
      </w:r>
      <w:r>
        <w:rPr>
          <w:sz w:val="20"/>
        </w:rPr>
        <w:t>to</w:t>
      </w:r>
      <w:r>
        <w:rPr>
          <w:spacing w:val="-3"/>
          <w:sz w:val="20"/>
        </w:rPr>
        <w:t> </w:t>
      </w:r>
      <w:r>
        <w:rPr>
          <w:sz w:val="20"/>
        </w:rPr>
        <w:t>include</w:t>
      </w:r>
      <w:r>
        <w:rPr>
          <w:spacing w:val="-1"/>
          <w:sz w:val="20"/>
        </w:rPr>
        <w:t> </w:t>
      </w:r>
      <w:r>
        <w:rPr>
          <w:sz w:val="20"/>
        </w:rPr>
        <w:t>a</w:t>
      </w:r>
      <w:r>
        <w:rPr>
          <w:spacing w:val="-6"/>
          <w:sz w:val="20"/>
        </w:rPr>
        <w:t> </w:t>
      </w:r>
      <w:r>
        <w:rPr>
          <w:sz w:val="20"/>
        </w:rPr>
        <w:t>requirement</w:t>
      </w:r>
      <w:r>
        <w:rPr>
          <w:spacing w:val="-5"/>
          <w:sz w:val="20"/>
        </w:rPr>
        <w:t> </w:t>
      </w:r>
      <w:r>
        <w:rPr>
          <w:sz w:val="20"/>
        </w:rPr>
        <w:t>to</w:t>
      </w:r>
      <w:r>
        <w:rPr>
          <w:spacing w:val="-3"/>
          <w:sz w:val="20"/>
        </w:rPr>
        <w:t> </w:t>
      </w:r>
      <w:r>
        <w:rPr>
          <w:sz w:val="20"/>
        </w:rPr>
        <w:t>incur</w:t>
      </w:r>
      <w:r>
        <w:rPr>
          <w:spacing w:val="-2"/>
          <w:sz w:val="20"/>
        </w:rPr>
        <w:t> </w:t>
      </w:r>
      <w:r>
        <w:rPr>
          <w:sz w:val="20"/>
        </w:rPr>
        <w:t>more</w:t>
      </w:r>
      <w:r>
        <w:rPr>
          <w:spacing w:val="-5"/>
          <w:sz w:val="20"/>
        </w:rPr>
        <w:t> </w:t>
      </w:r>
      <w:r>
        <w:rPr>
          <w:sz w:val="20"/>
        </w:rPr>
        <w:t>than</w:t>
      </w:r>
      <w:r>
        <w:rPr>
          <w:spacing w:val="-3"/>
          <w:sz w:val="20"/>
        </w:rPr>
        <w:t> </w:t>
      </w:r>
      <w:r>
        <w:rPr>
          <w:sz w:val="20"/>
        </w:rPr>
        <w:t>insignificant</w:t>
      </w:r>
      <w:r>
        <w:rPr>
          <w:spacing w:val="-5"/>
          <w:sz w:val="20"/>
        </w:rPr>
        <w:t> </w:t>
      </w:r>
      <w:r>
        <w:rPr>
          <w:sz w:val="20"/>
        </w:rPr>
        <w:t>costs</w:t>
      </w:r>
      <w:r>
        <w:rPr>
          <w:spacing w:val="-4"/>
          <w:sz w:val="20"/>
        </w:rPr>
        <w:t> </w:t>
      </w:r>
      <w:r>
        <w:rPr>
          <w:sz w:val="20"/>
        </w:rPr>
        <w:t>(such</w:t>
      </w:r>
      <w:r>
        <w:rPr>
          <w:spacing w:val="-7"/>
          <w:sz w:val="20"/>
        </w:rPr>
        <w:t> </w:t>
      </w:r>
      <w:r>
        <w:rPr>
          <w:sz w:val="20"/>
        </w:rPr>
        <w:t>as</w:t>
      </w:r>
      <w:r>
        <w:rPr>
          <w:spacing w:val="-5"/>
          <w:sz w:val="20"/>
        </w:rPr>
        <w:t> </w:t>
      </w:r>
      <w:r>
        <w:rPr>
          <w:sz w:val="20"/>
        </w:rPr>
        <w:t>a not</w:t>
      </w:r>
      <w:r>
        <w:rPr>
          <w:spacing w:val="-6"/>
          <w:sz w:val="20"/>
        </w:rPr>
        <w:t> </w:t>
      </w:r>
      <w:r>
        <w:rPr>
          <w:sz w:val="20"/>
        </w:rPr>
        <w:t>insignificant increase</w:t>
      </w:r>
      <w:r>
        <w:rPr>
          <w:spacing w:val="-15"/>
          <w:sz w:val="20"/>
        </w:rPr>
        <w:t> </w:t>
      </w:r>
      <w:r>
        <w:rPr>
          <w:sz w:val="20"/>
        </w:rPr>
        <w:t>in</w:t>
      </w:r>
      <w:r>
        <w:rPr>
          <w:spacing w:val="-14"/>
          <w:sz w:val="20"/>
        </w:rPr>
        <w:t> </w:t>
      </w:r>
      <w:r>
        <w:rPr>
          <w:sz w:val="20"/>
        </w:rPr>
        <w:t>price</w:t>
      </w:r>
      <w:r>
        <w:rPr>
          <w:spacing w:val="-13"/>
          <w:sz w:val="20"/>
        </w:rPr>
        <w:t> </w:t>
      </w:r>
      <w:r>
        <w:rPr>
          <w:sz w:val="20"/>
        </w:rPr>
        <w:t>as</w:t>
      </w:r>
      <w:r>
        <w:rPr>
          <w:spacing w:val="-13"/>
          <w:sz w:val="20"/>
        </w:rPr>
        <w:t> </w:t>
      </w:r>
      <w:r>
        <w:rPr>
          <w:sz w:val="20"/>
        </w:rPr>
        <w:t>part</w:t>
      </w:r>
      <w:r>
        <w:rPr>
          <w:spacing w:val="-15"/>
          <w:sz w:val="20"/>
        </w:rPr>
        <w:t> </w:t>
      </w:r>
      <w:r>
        <w:rPr>
          <w:sz w:val="20"/>
        </w:rPr>
        <w:t>of</w:t>
      </w:r>
      <w:r>
        <w:rPr>
          <w:spacing w:val="-12"/>
          <w:sz w:val="20"/>
        </w:rPr>
        <w:t> </w:t>
      </w:r>
      <w:r>
        <w:rPr>
          <w:sz w:val="20"/>
        </w:rPr>
        <w:t>a</w:t>
      </w:r>
      <w:r>
        <w:rPr>
          <w:spacing w:val="-9"/>
          <w:sz w:val="20"/>
        </w:rPr>
        <w:t> </w:t>
      </w:r>
      <w:r>
        <w:rPr>
          <w:sz w:val="20"/>
        </w:rPr>
        <w:t>renegotiation</w:t>
      </w:r>
      <w:r>
        <w:rPr>
          <w:spacing w:val="-15"/>
          <w:sz w:val="20"/>
        </w:rPr>
        <w:t> </w:t>
      </w:r>
      <w:r>
        <w:rPr>
          <w:sz w:val="20"/>
        </w:rPr>
        <w:t>of</w:t>
      </w:r>
      <w:r>
        <w:rPr>
          <w:spacing w:val="-12"/>
          <w:sz w:val="20"/>
        </w:rPr>
        <w:t> </w:t>
      </w:r>
      <w:r>
        <w:rPr>
          <w:sz w:val="20"/>
        </w:rPr>
        <w:t>a</w:t>
      </w:r>
      <w:r>
        <w:rPr>
          <w:spacing w:val="-15"/>
          <w:sz w:val="20"/>
        </w:rPr>
        <w:t> </w:t>
      </w:r>
      <w:r>
        <w:rPr>
          <w:sz w:val="20"/>
        </w:rPr>
        <w:t>contract).</w:t>
      </w:r>
      <w:r>
        <w:rPr>
          <w:spacing w:val="-11"/>
          <w:sz w:val="20"/>
        </w:rPr>
        <w:t> </w:t>
      </w:r>
      <w:r>
        <w:rPr>
          <w:sz w:val="20"/>
        </w:rPr>
        <w:t>In</w:t>
      </w:r>
      <w:r>
        <w:rPr>
          <w:spacing w:val="-15"/>
          <w:sz w:val="20"/>
        </w:rPr>
        <w:t> </w:t>
      </w:r>
      <w:r>
        <w:rPr>
          <w:sz w:val="20"/>
        </w:rPr>
        <w:t>particular,</w:t>
      </w:r>
      <w:r>
        <w:rPr>
          <w:spacing w:val="-13"/>
          <w:sz w:val="20"/>
        </w:rPr>
        <w:t> </w:t>
      </w:r>
      <w:r>
        <w:rPr>
          <w:sz w:val="20"/>
        </w:rPr>
        <w:t>some</w:t>
      </w:r>
      <w:r>
        <w:rPr>
          <w:spacing w:val="-15"/>
          <w:sz w:val="20"/>
        </w:rPr>
        <w:t> </w:t>
      </w:r>
      <w:r>
        <w:rPr>
          <w:sz w:val="20"/>
        </w:rPr>
        <w:t>jurisdictions</w:t>
      </w:r>
      <w:r>
        <w:rPr>
          <w:spacing w:val="-12"/>
          <w:sz w:val="20"/>
        </w:rPr>
        <w:t> </w:t>
      </w:r>
      <w:r>
        <w:rPr>
          <w:sz w:val="20"/>
        </w:rPr>
        <w:t>remain</w:t>
      </w:r>
      <w:r>
        <w:rPr>
          <w:spacing w:val="-15"/>
          <w:sz w:val="20"/>
        </w:rPr>
        <w:t> </w:t>
      </w:r>
      <w:r>
        <w:rPr>
          <w:sz w:val="20"/>
        </w:rPr>
        <w:t>concerned about the accuracy of information when an independent distributor is used, such as where multiple independent distributors are used and the distributor with a contract with the MNE may not have data on the ultimate delivery of the goods. Consideration is being given to the extent of steps that should be expected of an MNE to amend the contract with such intermediary to obtain information on the final destination of goods, and whether this creates undue burdens or any commercial competitive issues for either the MNE whose goods are being sold or the</w:t>
      </w:r>
      <w:r>
        <w:rPr>
          <w:spacing w:val="-8"/>
          <w:sz w:val="20"/>
        </w:rPr>
        <w:t> </w:t>
      </w:r>
      <w:r>
        <w:rPr>
          <w:sz w:val="20"/>
        </w:rPr>
        <w:t>distributor.</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Likewise, further work will be undertaken to finalise guidance on when an MNE can justify that an indicator is “unreliable.” As for the guidance mentioned above, this will likewise need to provide objective guidelines in order to prevent disputes. This could include, for example, more specific guidance in connection with the use of VPNs (such as where this can be detected and is above a certain threshold), situations where a delivery address should be considered unreliable (such as the address of a freight forwarder and possibly situations where a post office box is used) and whether safe harbours could be used (such as where an MNE has in its possession two or more additional data points that confirm the jurisdiction</w:t>
      </w:r>
      <w:r>
        <w:rPr>
          <w:spacing w:val="-13"/>
          <w:sz w:val="20"/>
        </w:rPr>
        <w:t> </w:t>
      </w:r>
      <w:r>
        <w:rPr>
          <w:sz w:val="20"/>
        </w:rPr>
        <w:t>of</w:t>
      </w:r>
      <w:r>
        <w:rPr>
          <w:spacing w:val="-9"/>
          <w:sz w:val="20"/>
        </w:rPr>
        <w:t> </w:t>
      </w:r>
      <w:r>
        <w:rPr>
          <w:sz w:val="20"/>
        </w:rPr>
        <w:t>the</w:t>
      </w:r>
      <w:r>
        <w:rPr>
          <w:spacing w:val="-12"/>
          <w:sz w:val="20"/>
        </w:rPr>
        <w:t> </w:t>
      </w:r>
      <w:r>
        <w:rPr>
          <w:sz w:val="20"/>
        </w:rPr>
        <w:t>first</w:t>
      </w:r>
      <w:r>
        <w:rPr>
          <w:spacing w:val="-12"/>
          <w:sz w:val="20"/>
        </w:rPr>
        <w:t> </w:t>
      </w:r>
      <w:r>
        <w:rPr>
          <w:sz w:val="20"/>
        </w:rPr>
        <w:t>indicator).</w:t>
      </w:r>
      <w:r>
        <w:rPr>
          <w:spacing w:val="-8"/>
          <w:sz w:val="20"/>
        </w:rPr>
        <w:t> </w:t>
      </w:r>
      <w:r>
        <w:rPr>
          <w:sz w:val="20"/>
        </w:rPr>
        <w:t>The</w:t>
      </w:r>
      <w:r>
        <w:rPr>
          <w:spacing w:val="-12"/>
          <w:sz w:val="20"/>
        </w:rPr>
        <w:t> </w:t>
      </w:r>
      <w:r>
        <w:rPr>
          <w:sz w:val="20"/>
        </w:rPr>
        <w:t>use</w:t>
      </w:r>
      <w:r>
        <w:rPr>
          <w:spacing w:val="-12"/>
          <w:sz w:val="20"/>
        </w:rPr>
        <w:t> </w:t>
      </w:r>
      <w:r>
        <w:rPr>
          <w:sz w:val="20"/>
        </w:rPr>
        <w:t>of</w:t>
      </w:r>
      <w:r>
        <w:rPr>
          <w:spacing w:val="-13"/>
          <w:sz w:val="20"/>
        </w:rPr>
        <w:t> </w:t>
      </w:r>
      <w:r>
        <w:rPr>
          <w:sz w:val="20"/>
        </w:rPr>
        <w:t>safe</w:t>
      </w:r>
      <w:r>
        <w:rPr>
          <w:spacing w:val="-12"/>
          <w:sz w:val="20"/>
        </w:rPr>
        <w:t> </w:t>
      </w:r>
      <w:r>
        <w:rPr>
          <w:sz w:val="20"/>
        </w:rPr>
        <w:t>harbours</w:t>
      </w:r>
      <w:r>
        <w:rPr>
          <w:spacing w:val="-9"/>
          <w:sz w:val="20"/>
        </w:rPr>
        <w:t> </w:t>
      </w:r>
      <w:r>
        <w:rPr>
          <w:sz w:val="20"/>
        </w:rPr>
        <w:t>could</w:t>
      </w:r>
      <w:r>
        <w:rPr>
          <w:spacing w:val="-12"/>
          <w:sz w:val="20"/>
        </w:rPr>
        <w:t> </w:t>
      </w:r>
      <w:r>
        <w:rPr>
          <w:sz w:val="20"/>
        </w:rPr>
        <w:t>be</w:t>
      </w:r>
      <w:r>
        <w:rPr>
          <w:spacing w:val="-10"/>
          <w:sz w:val="20"/>
        </w:rPr>
        <w:t> </w:t>
      </w:r>
      <w:r>
        <w:rPr>
          <w:sz w:val="20"/>
        </w:rPr>
        <w:t>a</w:t>
      </w:r>
      <w:r>
        <w:rPr>
          <w:spacing w:val="-11"/>
          <w:sz w:val="20"/>
        </w:rPr>
        <w:t> </w:t>
      </w:r>
      <w:r>
        <w:rPr>
          <w:sz w:val="20"/>
        </w:rPr>
        <w:t>particularly</w:t>
      </w:r>
      <w:r>
        <w:rPr>
          <w:spacing w:val="-15"/>
          <w:sz w:val="20"/>
        </w:rPr>
        <w:t> </w:t>
      </w:r>
      <w:r>
        <w:rPr>
          <w:sz w:val="20"/>
        </w:rPr>
        <w:t>important</w:t>
      </w:r>
      <w:r>
        <w:rPr>
          <w:spacing w:val="-10"/>
          <w:sz w:val="20"/>
        </w:rPr>
        <w:t> </w:t>
      </w:r>
      <w:r>
        <w:rPr>
          <w:sz w:val="20"/>
        </w:rPr>
        <w:t>way</w:t>
      </w:r>
      <w:r>
        <w:rPr>
          <w:spacing w:val="-15"/>
          <w:sz w:val="20"/>
        </w:rPr>
        <w:t> </w:t>
      </w:r>
      <w:r>
        <w:rPr>
          <w:sz w:val="20"/>
        </w:rPr>
        <w:t>of</w:t>
      </w:r>
      <w:r>
        <w:rPr>
          <w:spacing w:val="-9"/>
          <w:sz w:val="20"/>
        </w:rPr>
        <w:t> </w:t>
      </w:r>
      <w:r>
        <w:rPr>
          <w:sz w:val="20"/>
        </w:rPr>
        <w:t>reducing the potential for disputes, such as relating to whether information was available or</w:t>
      </w:r>
      <w:r>
        <w:rPr>
          <w:spacing w:val="-29"/>
          <w:sz w:val="20"/>
        </w:rPr>
        <w:t> </w:t>
      </w:r>
      <w:r>
        <w:rPr>
          <w:sz w:val="20"/>
        </w:rPr>
        <w:t>unreliable.</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In</w:t>
      </w:r>
      <w:r>
        <w:rPr>
          <w:spacing w:val="-10"/>
          <w:sz w:val="20"/>
        </w:rPr>
        <w:t> </w:t>
      </w:r>
      <w:r>
        <w:rPr>
          <w:sz w:val="20"/>
        </w:rPr>
        <w:t>addition,</w:t>
      </w:r>
      <w:r>
        <w:rPr>
          <w:spacing w:val="-7"/>
          <w:sz w:val="20"/>
        </w:rPr>
        <w:t> </w:t>
      </w:r>
      <w:r>
        <w:rPr>
          <w:sz w:val="20"/>
        </w:rPr>
        <w:t>more</w:t>
      </w:r>
      <w:r>
        <w:rPr>
          <w:spacing w:val="-9"/>
          <w:sz w:val="20"/>
        </w:rPr>
        <w:t> </w:t>
      </w:r>
      <w:r>
        <w:rPr>
          <w:sz w:val="20"/>
        </w:rPr>
        <w:t>detailed</w:t>
      </w:r>
      <w:r>
        <w:rPr>
          <w:spacing w:val="-7"/>
          <w:sz w:val="20"/>
        </w:rPr>
        <w:t> </w:t>
      </w:r>
      <w:r>
        <w:rPr>
          <w:sz w:val="20"/>
        </w:rPr>
        <w:t>guidance</w:t>
      </w:r>
      <w:r>
        <w:rPr>
          <w:spacing w:val="-7"/>
          <w:sz w:val="20"/>
        </w:rPr>
        <w:t> </w:t>
      </w:r>
      <w:r>
        <w:rPr>
          <w:sz w:val="20"/>
        </w:rPr>
        <w:t>will</w:t>
      </w:r>
      <w:r>
        <w:rPr>
          <w:spacing w:val="-7"/>
          <w:sz w:val="20"/>
        </w:rPr>
        <w:t> </w:t>
      </w:r>
      <w:r>
        <w:rPr>
          <w:sz w:val="20"/>
        </w:rPr>
        <w:t>be</w:t>
      </w:r>
      <w:r>
        <w:rPr>
          <w:spacing w:val="-7"/>
          <w:sz w:val="20"/>
        </w:rPr>
        <w:t> </w:t>
      </w:r>
      <w:r>
        <w:rPr>
          <w:sz w:val="20"/>
        </w:rPr>
        <w:t>developed</w:t>
      </w:r>
      <w:r>
        <w:rPr>
          <w:spacing w:val="-8"/>
          <w:sz w:val="20"/>
        </w:rPr>
        <w:t> </w:t>
      </w:r>
      <w:r>
        <w:rPr>
          <w:sz w:val="20"/>
        </w:rPr>
        <w:t>on</w:t>
      </w:r>
      <w:r>
        <w:rPr>
          <w:spacing w:val="-9"/>
          <w:sz w:val="20"/>
        </w:rPr>
        <w:t> </w:t>
      </w:r>
      <w:r>
        <w:rPr>
          <w:sz w:val="20"/>
        </w:rPr>
        <w:t>the</w:t>
      </w:r>
      <w:r>
        <w:rPr>
          <w:spacing w:val="-7"/>
          <w:sz w:val="20"/>
        </w:rPr>
        <w:t> </w:t>
      </w:r>
      <w:r>
        <w:rPr>
          <w:sz w:val="20"/>
        </w:rPr>
        <w:t>documentation</w:t>
      </w:r>
      <w:r>
        <w:rPr>
          <w:spacing w:val="-7"/>
          <w:sz w:val="20"/>
        </w:rPr>
        <w:t> </w:t>
      </w:r>
      <w:r>
        <w:rPr>
          <w:sz w:val="20"/>
        </w:rPr>
        <w:t>requirements</w:t>
      </w:r>
      <w:r>
        <w:rPr>
          <w:spacing w:val="-8"/>
          <w:sz w:val="20"/>
        </w:rPr>
        <w:t> </w:t>
      </w:r>
      <w:r>
        <w:rPr>
          <w:sz w:val="20"/>
        </w:rPr>
        <w:t>and</w:t>
      </w:r>
      <w:r>
        <w:rPr>
          <w:spacing w:val="-7"/>
          <w:sz w:val="20"/>
        </w:rPr>
        <w:t> </w:t>
      </w:r>
      <w:r>
        <w:rPr>
          <w:sz w:val="20"/>
        </w:rPr>
        <w:t>the definition of “robust internal control framework”, including taking into account the need to ensure privacy of users. In addition, consideration will be given to the action that a tax administration should take in the event of an MNE lacking the requisite internal control framework and</w:t>
      </w:r>
      <w:r>
        <w:rPr>
          <w:spacing w:val="-18"/>
          <w:sz w:val="20"/>
        </w:rPr>
        <w:t> </w:t>
      </w:r>
      <w:r>
        <w:rPr>
          <w:sz w:val="20"/>
        </w:rPr>
        <w:t>documentation.</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3" w:val="left" w:leader="none"/>
          <w:tab w:pos="1444" w:val="left" w:leader="none"/>
        </w:tabs>
        <w:spacing w:line="240" w:lineRule="auto" w:before="93" w:after="0"/>
        <w:ind w:left="1443" w:right="0" w:hanging="721"/>
        <w:jc w:val="left"/>
        <w:rPr>
          <w:sz w:val="20"/>
        </w:rPr>
      </w:pPr>
      <w:r>
        <w:rPr>
          <w:sz w:val="20"/>
        </w:rPr>
        <w:t>Finally, as the work on the in-scope activity progresses, the revenue sourcing rules will be</w:t>
      </w:r>
      <w:r>
        <w:rPr>
          <w:spacing w:val="-18"/>
          <w:sz w:val="20"/>
        </w:rPr>
        <w:t> </w:t>
      </w:r>
      <w:r>
        <w:rPr>
          <w:sz w:val="20"/>
        </w:rPr>
        <w:t>further</w:t>
      </w:r>
    </w:p>
    <w:p>
      <w:pPr>
        <w:pStyle w:val="BodyText"/>
        <w:spacing w:before="29"/>
        <w:ind w:left="723"/>
      </w:pPr>
      <w:r>
        <w:rPr/>
        <w:t>developed accordingly. For example, how to determine the categorisation of a service is a “dual</w:t>
      </w:r>
      <w:r>
        <w:rPr>
          <w:spacing w:val="-28"/>
        </w:rPr>
        <w:t> </w:t>
      </w:r>
      <w:r>
        <w:rPr/>
        <w:t>category</w:t>
      </w:r>
    </w:p>
    <w:p>
      <w:pPr>
        <w:pStyle w:val="BodyText"/>
        <w:spacing w:before="29"/>
        <w:ind w:left="723"/>
      </w:pPr>
      <w:r>
        <w:rPr/>
        <w:t>/</w:t>
      </w:r>
      <w:r>
        <w:rPr>
          <w:spacing w:val="26"/>
        </w:rPr>
        <w:t> </w:t>
      </w:r>
      <w:r>
        <w:rPr/>
        <w:t>bundled</w:t>
      </w:r>
      <w:r>
        <w:rPr>
          <w:spacing w:val="29"/>
        </w:rPr>
        <w:t> </w:t>
      </w:r>
      <w:r>
        <w:rPr/>
        <w:t>package”</w:t>
      </w:r>
      <w:r>
        <w:rPr>
          <w:spacing w:val="28"/>
        </w:rPr>
        <w:t> </w:t>
      </w:r>
      <w:r>
        <w:rPr/>
        <w:t>of</w:t>
      </w:r>
      <w:r>
        <w:rPr>
          <w:spacing w:val="28"/>
        </w:rPr>
        <w:t> </w:t>
      </w:r>
      <w:r>
        <w:rPr/>
        <w:t>multiple</w:t>
      </w:r>
      <w:r>
        <w:rPr>
          <w:spacing w:val="27"/>
        </w:rPr>
        <w:t> </w:t>
      </w:r>
      <w:r>
        <w:rPr/>
        <w:t>services</w:t>
      </w:r>
      <w:r>
        <w:rPr>
          <w:spacing w:val="30"/>
        </w:rPr>
        <w:t> </w:t>
      </w:r>
      <w:r>
        <w:rPr/>
        <w:t>or</w:t>
      </w:r>
      <w:r>
        <w:rPr>
          <w:spacing w:val="28"/>
        </w:rPr>
        <w:t> </w:t>
      </w:r>
      <w:r>
        <w:rPr/>
        <w:t>as</w:t>
      </w:r>
      <w:r>
        <w:rPr>
          <w:spacing w:val="28"/>
        </w:rPr>
        <w:t> </w:t>
      </w:r>
      <w:r>
        <w:rPr/>
        <w:t>a</w:t>
      </w:r>
      <w:r>
        <w:rPr>
          <w:spacing w:val="28"/>
        </w:rPr>
        <w:t> </w:t>
      </w:r>
      <w:r>
        <w:rPr/>
        <w:t>service</w:t>
      </w:r>
      <w:r>
        <w:rPr>
          <w:spacing w:val="27"/>
        </w:rPr>
        <w:t> </w:t>
      </w:r>
      <w:r>
        <w:rPr/>
        <w:t>and</w:t>
      </w:r>
      <w:r>
        <w:rPr>
          <w:spacing w:val="29"/>
        </w:rPr>
        <w:t> </w:t>
      </w:r>
      <w:r>
        <w:rPr/>
        <w:t>a</w:t>
      </w:r>
      <w:r>
        <w:rPr>
          <w:spacing w:val="27"/>
        </w:rPr>
        <w:t> </w:t>
      </w:r>
      <w:r>
        <w:rPr/>
        <w:t>good</w:t>
      </w:r>
      <w:r>
        <w:rPr>
          <w:spacing w:val="28"/>
        </w:rPr>
        <w:t> </w:t>
      </w:r>
      <w:r>
        <w:rPr/>
        <w:t>and</w:t>
      </w:r>
      <w:r>
        <w:rPr>
          <w:spacing w:val="27"/>
        </w:rPr>
        <w:t> </w:t>
      </w:r>
      <w:r>
        <w:rPr/>
        <w:t>the</w:t>
      </w:r>
      <w:r>
        <w:rPr>
          <w:spacing w:val="29"/>
        </w:rPr>
        <w:t> </w:t>
      </w:r>
      <w:r>
        <w:rPr/>
        <w:t>implications</w:t>
      </w:r>
      <w:r>
        <w:rPr>
          <w:spacing w:val="28"/>
        </w:rPr>
        <w:t> </w:t>
      </w:r>
      <w:r>
        <w:rPr/>
        <w:t>for</w:t>
      </w:r>
      <w:r>
        <w:rPr>
          <w:spacing w:val="28"/>
        </w:rPr>
        <w:t> </w:t>
      </w:r>
      <w:r>
        <w:rPr/>
        <w:t>revenue</w:t>
      </w:r>
    </w:p>
    <w:p>
      <w:pPr>
        <w:pStyle w:val="BodyText"/>
        <w:spacing w:before="32"/>
        <w:ind w:left="723"/>
      </w:pPr>
      <w:r>
        <w:rPr/>
        <w:t>sourcing, and to provide revenue sourcing rules for any new categories of ADS added to the positive list.</w:t>
      </w:r>
    </w:p>
    <w:p>
      <w:pPr>
        <w:spacing w:after="0"/>
        <w:sectPr>
          <w:pgSz w:w="11910" w:h="16840"/>
          <w:pgMar w:header="1244" w:footer="1638" w:top="1500" w:bottom="1820" w:left="580" w:right="82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35872" filled="true" fillcolor="#ffffff" stroked="false">
            <v:fill type="solid"/>
            <w10:wrap type="none"/>
          </v:rect>
        </w:pict>
      </w:r>
      <w:r>
        <w:rPr/>
        <w:pict>
          <v:rect style="position:absolute;margin-left:70.823997pt;margin-top:69.335754pt;width:59.279999pt;height:5.76pt;mso-position-horizontal-relative:page;mso-position-vertical-relative:paragraph;z-index:15784960" filled="true" fillcolor="#4e81bd" stroked="false">
            <v:fill type="solid"/>
            <w10:wrap type="none"/>
          </v:rect>
        </w:pict>
      </w:r>
      <w:bookmarkStart w:name="5.  Tax base determinations" w:id="193"/>
      <w:bookmarkEnd w:id="193"/>
      <w:r>
        <w:rPr>
          <w:b w:val="0"/>
        </w:rPr>
      </w:r>
      <w:bookmarkStart w:name="_bookmark25" w:id="194"/>
      <w:bookmarkEnd w:id="194"/>
      <w:r>
        <w:rPr>
          <w:b w:val="0"/>
        </w:rPr>
      </w:r>
      <w:r>
        <w:rPr>
          <w:color w:val="4E81BD"/>
          <w:sz w:val="130"/>
        </w:rPr>
        <w:t>5.</w:t>
        <w:tab/>
      </w:r>
      <w:r>
        <w:rPr>
          <w:color w:val="4E81BD"/>
        </w:rPr>
        <w:t>Tax base</w:t>
      </w:r>
      <w:r>
        <w:rPr>
          <w:color w:val="4E81BD"/>
          <w:spacing w:val="-4"/>
        </w:rPr>
        <w:t> </w:t>
      </w:r>
      <w:r>
        <w:rPr>
          <w:color w:val="4E81BD"/>
        </w:rPr>
        <w:t>determinations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4"/>
        <w:numPr>
          <w:ilvl w:val="1"/>
          <w:numId w:val="59"/>
        </w:numPr>
        <w:tabs>
          <w:tab w:pos="1192" w:val="left" w:leader="none"/>
        </w:tabs>
        <w:spacing w:line="240" w:lineRule="auto" w:before="93" w:after="0"/>
        <w:ind w:left="1191" w:right="0" w:hanging="469"/>
        <w:jc w:val="both"/>
        <w:rPr>
          <w:rFonts w:ascii="Arial"/>
        </w:rPr>
      </w:pPr>
      <w:bookmarkStart w:name="5.1. Overview" w:id="195"/>
      <w:bookmarkEnd w:id="195"/>
      <w:r>
        <w:rPr>
          <w:b w:val="0"/>
        </w:rPr>
      </w:r>
      <w:bookmarkStart w:name="_bookmark26" w:id="196"/>
      <w:bookmarkEnd w:id="196"/>
      <w:r>
        <w:rPr>
          <w:b w:val="0"/>
        </w:rPr>
      </w:r>
      <w:bookmarkStart w:name="_bookmark26" w:id="197"/>
      <w:bookmarkEnd w:id="197"/>
      <w:r>
        <w:rPr>
          <w:rFonts w:ascii="Arial"/>
          <w:color w:val="4E81BD"/>
        </w:rPr>
        <w:t>O</w:t>
      </w:r>
      <w:r>
        <w:rPr>
          <w:rFonts w:ascii="Arial"/>
          <w:color w:val="4E81BD"/>
        </w:rPr>
        <w:t>verview</w:t>
      </w:r>
    </w:p>
    <w:p>
      <w:pPr>
        <w:pStyle w:val="BodyText"/>
        <w:spacing w:before="3"/>
        <w:rPr>
          <w:b/>
          <w:sz w:val="24"/>
        </w:rPr>
      </w:pPr>
    </w:p>
    <w:p>
      <w:pPr>
        <w:pStyle w:val="ListParagraph"/>
        <w:numPr>
          <w:ilvl w:val="0"/>
          <w:numId w:val="13"/>
        </w:numPr>
        <w:tabs>
          <w:tab w:pos="1444" w:val="left" w:leader="none"/>
        </w:tabs>
        <w:spacing w:line="271" w:lineRule="auto" w:before="1" w:after="0"/>
        <w:ind w:left="723" w:right="481" w:firstLine="0"/>
        <w:jc w:val="both"/>
        <w:rPr>
          <w:sz w:val="20"/>
        </w:rPr>
      </w:pPr>
      <w:r>
        <w:rPr>
          <w:sz w:val="20"/>
        </w:rPr>
        <w:t>Amount</w:t>
      </w:r>
      <w:r>
        <w:rPr>
          <w:spacing w:val="-5"/>
          <w:sz w:val="20"/>
        </w:rPr>
        <w:t> </w:t>
      </w:r>
      <w:r>
        <w:rPr>
          <w:sz w:val="20"/>
        </w:rPr>
        <w:t>A</w:t>
      </w:r>
      <w:r>
        <w:rPr>
          <w:spacing w:val="-3"/>
          <w:sz w:val="20"/>
        </w:rPr>
        <w:t> </w:t>
      </w:r>
      <w:r>
        <w:rPr>
          <w:sz w:val="20"/>
        </w:rPr>
        <w:t>is</w:t>
      </w:r>
      <w:r>
        <w:rPr>
          <w:spacing w:val="-3"/>
          <w:sz w:val="20"/>
        </w:rPr>
        <w:t> </w:t>
      </w:r>
      <w:r>
        <w:rPr>
          <w:sz w:val="20"/>
        </w:rPr>
        <w:t>a</w:t>
      </w:r>
      <w:r>
        <w:rPr>
          <w:spacing w:val="-4"/>
          <w:sz w:val="20"/>
        </w:rPr>
        <w:t> </w:t>
      </w:r>
      <w:r>
        <w:rPr>
          <w:sz w:val="20"/>
        </w:rPr>
        <w:t>new</w:t>
      </w:r>
      <w:r>
        <w:rPr>
          <w:spacing w:val="-4"/>
          <w:sz w:val="20"/>
        </w:rPr>
        <w:t> </w:t>
      </w:r>
      <w:r>
        <w:rPr>
          <w:sz w:val="20"/>
        </w:rPr>
        <w:t>taxing</w:t>
      </w:r>
      <w:r>
        <w:rPr>
          <w:spacing w:val="-3"/>
          <w:sz w:val="20"/>
        </w:rPr>
        <w:t> </w:t>
      </w:r>
      <w:r>
        <w:rPr>
          <w:sz w:val="20"/>
        </w:rPr>
        <w:t>right</w:t>
      </w:r>
      <w:r>
        <w:rPr>
          <w:spacing w:val="-4"/>
          <w:sz w:val="20"/>
        </w:rPr>
        <w:t> </w:t>
      </w:r>
      <w:r>
        <w:rPr>
          <w:sz w:val="20"/>
        </w:rPr>
        <w:t>over</w:t>
      </w:r>
      <w:r>
        <w:rPr>
          <w:spacing w:val="-3"/>
          <w:sz w:val="20"/>
        </w:rPr>
        <w:t> </w:t>
      </w:r>
      <w:r>
        <w:rPr>
          <w:sz w:val="20"/>
        </w:rPr>
        <w:t>a</w:t>
      </w:r>
      <w:r>
        <w:rPr>
          <w:spacing w:val="-4"/>
          <w:sz w:val="20"/>
        </w:rPr>
        <w:t> </w:t>
      </w:r>
      <w:r>
        <w:rPr>
          <w:sz w:val="20"/>
        </w:rPr>
        <w:t>share</w:t>
      </w:r>
      <w:r>
        <w:rPr>
          <w:spacing w:val="-1"/>
          <w:sz w:val="20"/>
        </w:rPr>
        <w:t> </w:t>
      </w:r>
      <w:r>
        <w:rPr>
          <w:sz w:val="20"/>
        </w:rPr>
        <w:t>of</w:t>
      </w:r>
      <w:r>
        <w:rPr>
          <w:spacing w:val="-2"/>
          <w:sz w:val="20"/>
        </w:rPr>
        <w:t> </w:t>
      </w:r>
      <w:r>
        <w:rPr>
          <w:sz w:val="20"/>
        </w:rPr>
        <w:t>the</w:t>
      </w:r>
      <w:r>
        <w:rPr>
          <w:spacing w:val="-4"/>
          <w:sz w:val="20"/>
        </w:rPr>
        <w:t> </w:t>
      </w:r>
      <w:r>
        <w:rPr>
          <w:sz w:val="20"/>
        </w:rPr>
        <w:t>residual</w:t>
      </w:r>
      <w:r>
        <w:rPr>
          <w:spacing w:val="-4"/>
          <w:sz w:val="20"/>
        </w:rPr>
        <w:t> </w:t>
      </w:r>
      <w:r>
        <w:rPr>
          <w:sz w:val="20"/>
        </w:rPr>
        <w:t>profit</w:t>
      </w:r>
      <w:r>
        <w:rPr>
          <w:spacing w:val="-4"/>
          <w:sz w:val="20"/>
        </w:rPr>
        <w:t> </w:t>
      </w:r>
      <w:r>
        <w:rPr>
          <w:sz w:val="20"/>
        </w:rPr>
        <w:t>of</w:t>
      </w:r>
      <w:r>
        <w:rPr>
          <w:spacing w:val="-1"/>
          <w:sz w:val="20"/>
        </w:rPr>
        <w:t> </w:t>
      </w:r>
      <w:r>
        <w:rPr>
          <w:sz w:val="20"/>
        </w:rPr>
        <w:t>MNE</w:t>
      </w:r>
      <w:r>
        <w:rPr>
          <w:spacing w:val="-5"/>
          <w:sz w:val="20"/>
        </w:rPr>
        <w:t> </w:t>
      </w:r>
      <w:r>
        <w:rPr>
          <w:sz w:val="20"/>
        </w:rPr>
        <w:t>groups</w:t>
      </w:r>
      <w:r>
        <w:rPr>
          <w:spacing w:val="-2"/>
          <w:sz w:val="20"/>
        </w:rPr>
        <w:t> </w:t>
      </w:r>
      <w:r>
        <w:rPr>
          <w:sz w:val="20"/>
        </w:rPr>
        <w:t>that</w:t>
      </w:r>
      <w:r>
        <w:rPr>
          <w:spacing w:val="-4"/>
          <w:sz w:val="20"/>
        </w:rPr>
        <w:t> </w:t>
      </w:r>
      <w:r>
        <w:rPr>
          <w:sz w:val="20"/>
        </w:rPr>
        <w:t>fall</w:t>
      </w:r>
      <w:r>
        <w:rPr>
          <w:spacing w:val="-2"/>
          <w:sz w:val="20"/>
        </w:rPr>
        <w:t> </w:t>
      </w:r>
      <w:r>
        <w:rPr>
          <w:sz w:val="20"/>
        </w:rPr>
        <w:t>within</w:t>
      </w:r>
      <w:r>
        <w:rPr>
          <w:spacing w:val="-4"/>
          <w:sz w:val="20"/>
        </w:rPr>
        <w:t> </w:t>
      </w:r>
      <w:r>
        <w:rPr>
          <w:sz w:val="20"/>
        </w:rPr>
        <w:t>its defined scope. The tax base is therefore determined on the basis of the profits of a group (rather than on a separate entity basis), and it is necessary to start with consolidated group financial accounts. This approach raises three broad categories of issues for the determination of the Amount A tax base. First, there is the need to define a standardised measure of profit as a basis for Amount </w:t>
      </w:r>
      <w:r>
        <w:rPr>
          <w:spacing w:val="4"/>
          <w:sz w:val="20"/>
        </w:rPr>
        <w:t>A, </w:t>
      </w:r>
      <w:r>
        <w:rPr>
          <w:sz w:val="20"/>
        </w:rPr>
        <w:t>including the extent to which harmonisation adjustments are required to address divergences in existing financial accounting standards. Second, there is the need to address the rationale for, and technical feasibility of, computing Amount A using segmented accounts, on either a business line or geographic basis. Third, the design of loss carry-forward rules is required to ensure that losses are taken into account in the computation of Amount A. This chapter sets out a comprehensive set of rules and guidance for the Amount A tax base determination, taking into account the technical work undertaken thus far on these three broad aspects. These rules and guidance have been designed to minimise, where possible, the additional compliance costs for taxpayers and administrative burdens for tax</w:t>
      </w:r>
      <w:r>
        <w:rPr>
          <w:spacing w:val="-7"/>
          <w:sz w:val="20"/>
        </w:rPr>
        <w:t> </w:t>
      </w:r>
      <w:r>
        <w:rPr>
          <w:sz w:val="20"/>
        </w:rPr>
        <w:t>administrations.</w:t>
      </w:r>
    </w:p>
    <w:p>
      <w:pPr>
        <w:pStyle w:val="BodyText"/>
        <w:spacing w:before="6"/>
        <w:rPr>
          <w:sz w:val="23"/>
        </w:rPr>
      </w:pPr>
    </w:p>
    <w:p>
      <w:pPr>
        <w:pStyle w:val="Heading6"/>
        <w:ind w:left="1402" w:firstLine="0"/>
        <w:rPr>
          <w:i/>
        </w:rPr>
      </w:pPr>
      <w:bookmarkStart w:name="A PBT measure based on consolidated fina" w:id="198"/>
      <w:bookmarkEnd w:id="198"/>
      <w:r>
        <w:rPr>
          <w:b w:val="0"/>
          <w:i w:val="0"/>
        </w:rPr>
      </w:r>
      <w:r>
        <w:rPr>
          <w:i/>
        </w:rPr>
        <w:t>A PBT measure based on consolidated financial accounts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w:t>
      </w:r>
      <w:r>
        <w:rPr>
          <w:spacing w:val="-12"/>
          <w:sz w:val="20"/>
        </w:rPr>
        <w:t> </w:t>
      </w:r>
      <w:r>
        <w:rPr>
          <w:sz w:val="20"/>
        </w:rPr>
        <w:t>Amount</w:t>
      </w:r>
      <w:r>
        <w:rPr>
          <w:spacing w:val="-11"/>
          <w:sz w:val="20"/>
        </w:rPr>
        <w:t> </w:t>
      </w:r>
      <w:r>
        <w:rPr>
          <w:sz w:val="20"/>
        </w:rPr>
        <w:t>A</w:t>
      </w:r>
      <w:r>
        <w:rPr>
          <w:spacing w:val="-8"/>
          <w:sz w:val="20"/>
        </w:rPr>
        <w:t> </w:t>
      </w:r>
      <w:r>
        <w:rPr>
          <w:sz w:val="20"/>
        </w:rPr>
        <w:t>tax</w:t>
      </w:r>
      <w:r>
        <w:rPr>
          <w:spacing w:val="-9"/>
          <w:sz w:val="20"/>
        </w:rPr>
        <w:t> </w:t>
      </w:r>
      <w:r>
        <w:rPr>
          <w:sz w:val="20"/>
        </w:rPr>
        <w:t>base</w:t>
      </w:r>
      <w:r>
        <w:rPr>
          <w:spacing w:val="-8"/>
          <w:sz w:val="20"/>
        </w:rPr>
        <w:t> </w:t>
      </w:r>
      <w:r>
        <w:rPr>
          <w:sz w:val="20"/>
        </w:rPr>
        <w:t>will</w:t>
      </w:r>
      <w:r>
        <w:rPr>
          <w:spacing w:val="-10"/>
          <w:sz w:val="20"/>
        </w:rPr>
        <w:t> </w:t>
      </w:r>
      <w:r>
        <w:rPr>
          <w:sz w:val="20"/>
        </w:rPr>
        <w:t>be</w:t>
      </w:r>
      <w:r>
        <w:rPr>
          <w:spacing w:val="-11"/>
          <w:sz w:val="20"/>
        </w:rPr>
        <w:t> </w:t>
      </w:r>
      <w:r>
        <w:rPr>
          <w:sz w:val="20"/>
        </w:rPr>
        <w:t>quantified</w:t>
      </w:r>
      <w:r>
        <w:rPr>
          <w:spacing w:val="-9"/>
          <w:sz w:val="20"/>
        </w:rPr>
        <w:t> </w:t>
      </w:r>
      <w:r>
        <w:rPr>
          <w:sz w:val="20"/>
        </w:rPr>
        <w:t>using</w:t>
      </w:r>
      <w:r>
        <w:rPr>
          <w:spacing w:val="-8"/>
          <w:sz w:val="20"/>
        </w:rPr>
        <w:t> </w:t>
      </w:r>
      <w:r>
        <w:rPr>
          <w:sz w:val="20"/>
        </w:rPr>
        <w:t>an</w:t>
      </w:r>
      <w:r>
        <w:rPr>
          <w:spacing w:val="-9"/>
          <w:sz w:val="20"/>
        </w:rPr>
        <w:t> </w:t>
      </w:r>
      <w:r>
        <w:rPr>
          <w:sz w:val="20"/>
        </w:rPr>
        <w:t>adjusted</w:t>
      </w:r>
      <w:r>
        <w:rPr>
          <w:spacing w:val="-7"/>
          <w:sz w:val="20"/>
        </w:rPr>
        <w:t> </w:t>
      </w:r>
      <w:r>
        <w:rPr>
          <w:sz w:val="20"/>
        </w:rPr>
        <w:t>PBT</w:t>
      </w:r>
      <w:r>
        <w:rPr>
          <w:spacing w:val="-7"/>
          <w:sz w:val="20"/>
        </w:rPr>
        <w:t> </w:t>
      </w:r>
      <w:r>
        <w:rPr>
          <w:sz w:val="20"/>
        </w:rPr>
        <w:t>measure</w:t>
      </w:r>
      <w:r>
        <w:rPr>
          <w:spacing w:val="-9"/>
          <w:sz w:val="20"/>
        </w:rPr>
        <w:t> </w:t>
      </w:r>
      <w:r>
        <w:rPr>
          <w:sz w:val="20"/>
        </w:rPr>
        <w:t>that</w:t>
      </w:r>
      <w:r>
        <w:rPr>
          <w:spacing w:val="-9"/>
          <w:sz w:val="20"/>
        </w:rPr>
        <w:t> </w:t>
      </w:r>
      <w:r>
        <w:rPr>
          <w:sz w:val="20"/>
        </w:rPr>
        <w:t>will</w:t>
      </w:r>
      <w:r>
        <w:rPr>
          <w:spacing w:val="-9"/>
          <w:sz w:val="20"/>
        </w:rPr>
        <w:t> </w:t>
      </w:r>
      <w:r>
        <w:rPr>
          <w:sz w:val="20"/>
        </w:rPr>
        <w:t>be</w:t>
      </w:r>
      <w:r>
        <w:rPr>
          <w:spacing w:val="-11"/>
          <w:sz w:val="20"/>
        </w:rPr>
        <w:t> </w:t>
      </w:r>
      <w:r>
        <w:rPr>
          <w:sz w:val="20"/>
        </w:rPr>
        <w:t>derived</w:t>
      </w:r>
      <w:r>
        <w:rPr>
          <w:spacing w:val="-9"/>
          <w:sz w:val="20"/>
        </w:rPr>
        <w:t> </w:t>
      </w:r>
      <w:r>
        <w:rPr>
          <w:sz w:val="20"/>
        </w:rPr>
        <w:t>from the consolidated financial accounts of in-scope MNE groups. In practice, consolidated financial accounts prepared</w:t>
      </w:r>
      <w:r>
        <w:rPr>
          <w:spacing w:val="-16"/>
          <w:sz w:val="20"/>
        </w:rPr>
        <w:t> </w:t>
      </w:r>
      <w:r>
        <w:rPr>
          <w:sz w:val="20"/>
        </w:rPr>
        <w:t>under</w:t>
      </w:r>
      <w:r>
        <w:rPr>
          <w:spacing w:val="-14"/>
          <w:sz w:val="20"/>
        </w:rPr>
        <w:t> </w:t>
      </w:r>
      <w:r>
        <w:rPr>
          <w:sz w:val="20"/>
        </w:rPr>
        <w:t>GAAP</w:t>
      </w:r>
      <w:r>
        <w:rPr>
          <w:spacing w:val="-14"/>
          <w:sz w:val="20"/>
        </w:rPr>
        <w:t> </w:t>
      </w:r>
      <w:r>
        <w:rPr>
          <w:sz w:val="20"/>
        </w:rPr>
        <w:t>that</w:t>
      </w:r>
      <w:r>
        <w:rPr>
          <w:spacing w:val="-14"/>
          <w:sz w:val="20"/>
        </w:rPr>
        <w:t> </w:t>
      </w:r>
      <w:r>
        <w:rPr>
          <w:sz w:val="20"/>
        </w:rPr>
        <w:t>produce</w:t>
      </w:r>
      <w:r>
        <w:rPr>
          <w:spacing w:val="-13"/>
          <w:sz w:val="20"/>
        </w:rPr>
        <w:t> </w:t>
      </w:r>
      <w:r>
        <w:rPr>
          <w:sz w:val="20"/>
        </w:rPr>
        <w:t>equivalent</w:t>
      </w:r>
      <w:r>
        <w:rPr>
          <w:spacing w:val="-13"/>
          <w:sz w:val="20"/>
        </w:rPr>
        <w:t> </w:t>
      </w:r>
      <w:r>
        <w:rPr>
          <w:sz w:val="20"/>
        </w:rPr>
        <w:t>or</w:t>
      </w:r>
      <w:r>
        <w:rPr>
          <w:spacing w:val="-15"/>
          <w:sz w:val="20"/>
        </w:rPr>
        <w:t> </w:t>
      </w:r>
      <w:r>
        <w:rPr>
          <w:sz w:val="20"/>
        </w:rPr>
        <w:t>comparable</w:t>
      </w:r>
      <w:r>
        <w:rPr>
          <w:spacing w:val="-16"/>
          <w:sz w:val="20"/>
        </w:rPr>
        <w:t> </w:t>
      </w:r>
      <w:r>
        <w:rPr>
          <w:sz w:val="20"/>
        </w:rPr>
        <w:t>outcomes</w:t>
      </w:r>
      <w:r>
        <w:rPr>
          <w:spacing w:val="-12"/>
          <w:sz w:val="20"/>
        </w:rPr>
        <w:t> </w:t>
      </w:r>
      <w:r>
        <w:rPr>
          <w:sz w:val="20"/>
        </w:rPr>
        <w:t>to</w:t>
      </w:r>
      <w:r>
        <w:rPr>
          <w:spacing w:val="-16"/>
          <w:sz w:val="20"/>
        </w:rPr>
        <w:t> </w:t>
      </w:r>
      <w:r>
        <w:rPr>
          <w:sz w:val="20"/>
        </w:rPr>
        <w:t>consolidated</w:t>
      </w:r>
      <w:r>
        <w:rPr>
          <w:spacing w:val="-16"/>
          <w:sz w:val="20"/>
        </w:rPr>
        <w:t> </w:t>
      </w:r>
      <w:r>
        <w:rPr>
          <w:sz w:val="20"/>
        </w:rPr>
        <w:t>financial</w:t>
      </w:r>
      <w:r>
        <w:rPr>
          <w:spacing w:val="-14"/>
          <w:sz w:val="20"/>
        </w:rPr>
        <w:t> </w:t>
      </w:r>
      <w:r>
        <w:rPr>
          <w:sz w:val="20"/>
        </w:rPr>
        <w:t>accounts prepared under International Financial Reporting Standards (IFRS) – the “eligible GAAP” – will mainly be used.</w:t>
      </w:r>
      <w:r>
        <w:rPr>
          <w:sz w:val="20"/>
          <w:vertAlign w:val="superscript"/>
        </w:rPr>
        <w:t>60</w:t>
      </w:r>
      <w:r>
        <w:rPr>
          <w:spacing w:val="-15"/>
          <w:sz w:val="20"/>
          <w:vertAlign w:val="baseline"/>
        </w:rPr>
        <w:t> </w:t>
      </w:r>
      <w:r>
        <w:rPr>
          <w:sz w:val="20"/>
          <w:vertAlign w:val="baseline"/>
        </w:rPr>
        <w:t>Where</w:t>
      </w:r>
      <w:r>
        <w:rPr>
          <w:spacing w:val="-11"/>
          <w:sz w:val="20"/>
          <w:vertAlign w:val="baseline"/>
        </w:rPr>
        <w:t> </w:t>
      </w:r>
      <w:r>
        <w:rPr>
          <w:sz w:val="20"/>
          <w:vertAlign w:val="baseline"/>
        </w:rPr>
        <w:t>necessary,</w:t>
      </w:r>
      <w:r>
        <w:rPr>
          <w:spacing w:val="-10"/>
          <w:sz w:val="20"/>
          <w:vertAlign w:val="baseline"/>
        </w:rPr>
        <w:t> </w:t>
      </w:r>
      <w:r>
        <w:rPr>
          <w:sz w:val="20"/>
          <w:vertAlign w:val="baseline"/>
        </w:rPr>
        <w:t>other</w:t>
      </w:r>
      <w:r>
        <w:rPr>
          <w:spacing w:val="-8"/>
          <w:sz w:val="20"/>
          <w:vertAlign w:val="baseline"/>
        </w:rPr>
        <w:t> </w:t>
      </w:r>
      <w:r>
        <w:rPr>
          <w:sz w:val="20"/>
          <w:vertAlign w:val="baseline"/>
        </w:rPr>
        <w:t>GAAP</w:t>
      </w:r>
      <w:r>
        <w:rPr>
          <w:spacing w:val="-8"/>
          <w:sz w:val="20"/>
          <w:vertAlign w:val="baseline"/>
        </w:rPr>
        <w:t> </w:t>
      </w:r>
      <w:r>
        <w:rPr>
          <w:sz w:val="20"/>
          <w:vertAlign w:val="baseline"/>
        </w:rPr>
        <w:t>will</w:t>
      </w:r>
      <w:r>
        <w:rPr>
          <w:spacing w:val="-11"/>
          <w:sz w:val="20"/>
          <w:vertAlign w:val="baseline"/>
        </w:rPr>
        <w:t> </w:t>
      </w:r>
      <w:r>
        <w:rPr>
          <w:sz w:val="20"/>
          <w:vertAlign w:val="baseline"/>
        </w:rPr>
        <w:t>also</w:t>
      </w:r>
      <w:r>
        <w:rPr>
          <w:spacing w:val="-11"/>
          <w:sz w:val="20"/>
          <w:vertAlign w:val="baseline"/>
        </w:rPr>
        <w:t> </w:t>
      </w:r>
      <w:r>
        <w:rPr>
          <w:sz w:val="20"/>
          <w:vertAlign w:val="baseline"/>
        </w:rPr>
        <w:t>be</w:t>
      </w:r>
      <w:r>
        <w:rPr>
          <w:spacing w:val="-10"/>
          <w:sz w:val="20"/>
          <w:vertAlign w:val="baseline"/>
        </w:rPr>
        <w:t> </w:t>
      </w:r>
      <w:r>
        <w:rPr>
          <w:sz w:val="20"/>
          <w:vertAlign w:val="baseline"/>
        </w:rPr>
        <w:t>allowed</w:t>
      </w:r>
      <w:r>
        <w:rPr>
          <w:spacing w:val="-11"/>
          <w:sz w:val="20"/>
          <w:vertAlign w:val="baseline"/>
        </w:rPr>
        <w:t> </w:t>
      </w:r>
      <w:r>
        <w:rPr>
          <w:sz w:val="20"/>
          <w:vertAlign w:val="baseline"/>
        </w:rPr>
        <w:t>provided</w:t>
      </w:r>
      <w:r>
        <w:rPr>
          <w:spacing w:val="-11"/>
          <w:sz w:val="20"/>
          <w:vertAlign w:val="baseline"/>
        </w:rPr>
        <w:t> </w:t>
      </w:r>
      <w:r>
        <w:rPr>
          <w:sz w:val="20"/>
          <w:vertAlign w:val="baseline"/>
        </w:rPr>
        <w:t>their</w:t>
      </w:r>
      <w:r>
        <w:rPr>
          <w:spacing w:val="-9"/>
          <w:sz w:val="20"/>
          <w:vertAlign w:val="baseline"/>
        </w:rPr>
        <w:t> </w:t>
      </w:r>
      <w:r>
        <w:rPr>
          <w:sz w:val="20"/>
          <w:vertAlign w:val="baseline"/>
        </w:rPr>
        <w:t>use</w:t>
      </w:r>
      <w:r>
        <w:rPr>
          <w:spacing w:val="-10"/>
          <w:sz w:val="20"/>
          <w:vertAlign w:val="baseline"/>
        </w:rPr>
        <w:t> </w:t>
      </w:r>
      <w:r>
        <w:rPr>
          <w:sz w:val="20"/>
          <w:vertAlign w:val="baseline"/>
        </w:rPr>
        <w:t>is</w:t>
      </w:r>
      <w:r>
        <w:rPr>
          <w:spacing w:val="-8"/>
          <w:sz w:val="20"/>
          <w:vertAlign w:val="baseline"/>
        </w:rPr>
        <w:t> </w:t>
      </w:r>
      <w:r>
        <w:rPr>
          <w:sz w:val="20"/>
          <w:vertAlign w:val="baseline"/>
        </w:rPr>
        <w:t>permitted</w:t>
      </w:r>
      <w:r>
        <w:rPr>
          <w:spacing w:val="-11"/>
          <w:sz w:val="20"/>
          <w:vertAlign w:val="baseline"/>
        </w:rPr>
        <w:t> </w:t>
      </w:r>
      <w:r>
        <w:rPr>
          <w:sz w:val="20"/>
          <w:vertAlign w:val="baseline"/>
        </w:rPr>
        <w:t>by</w:t>
      </w:r>
      <w:r>
        <w:rPr>
          <w:spacing w:val="-14"/>
          <w:sz w:val="20"/>
          <w:vertAlign w:val="baseline"/>
        </w:rPr>
        <w:t> </w:t>
      </w:r>
      <w:r>
        <w:rPr>
          <w:sz w:val="20"/>
          <w:vertAlign w:val="baseline"/>
        </w:rPr>
        <w:t>the</w:t>
      </w:r>
      <w:r>
        <w:rPr>
          <w:spacing w:val="-11"/>
          <w:sz w:val="20"/>
          <w:vertAlign w:val="baseline"/>
        </w:rPr>
        <w:t> </w:t>
      </w:r>
      <w:r>
        <w:rPr>
          <w:sz w:val="20"/>
          <w:vertAlign w:val="baseline"/>
        </w:rPr>
        <w:t>body</w:t>
      </w:r>
      <w:r>
        <w:rPr>
          <w:spacing w:val="-13"/>
          <w:sz w:val="20"/>
          <w:vertAlign w:val="baseline"/>
        </w:rPr>
        <w:t> </w:t>
      </w:r>
      <w:r>
        <w:rPr>
          <w:sz w:val="20"/>
          <w:vertAlign w:val="baseline"/>
        </w:rPr>
        <w:t>with legal</w:t>
      </w:r>
      <w:r>
        <w:rPr>
          <w:spacing w:val="-6"/>
          <w:sz w:val="20"/>
          <w:vertAlign w:val="baseline"/>
        </w:rPr>
        <w:t> </w:t>
      </w:r>
      <w:r>
        <w:rPr>
          <w:sz w:val="20"/>
          <w:vertAlign w:val="baseline"/>
        </w:rPr>
        <w:t>authority</w:t>
      </w:r>
      <w:r>
        <w:rPr>
          <w:spacing w:val="-8"/>
          <w:sz w:val="20"/>
          <w:vertAlign w:val="baseline"/>
        </w:rPr>
        <w:t> </w:t>
      </w:r>
      <w:r>
        <w:rPr>
          <w:sz w:val="20"/>
          <w:vertAlign w:val="baseline"/>
        </w:rPr>
        <w:t>in</w:t>
      </w:r>
      <w:r>
        <w:rPr>
          <w:spacing w:val="-7"/>
          <w:sz w:val="20"/>
          <w:vertAlign w:val="baseline"/>
        </w:rPr>
        <w:t> </w:t>
      </w:r>
      <w:r>
        <w:rPr>
          <w:sz w:val="20"/>
          <w:vertAlign w:val="baseline"/>
        </w:rPr>
        <w:t>the</w:t>
      </w:r>
      <w:r>
        <w:rPr>
          <w:spacing w:val="-7"/>
          <w:sz w:val="20"/>
          <w:vertAlign w:val="baseline"/>
        </w:rPr>
        <w:t> </w:t>
      </w:r>
      <w:r>
        <w:rPr>
          <w:sz w:val="20"/>
          <w:vertAlign w:val="baseline"/>
        </w:rPr>
        <w:t>tax</w:t>
      </w:r>
      <w:r>
        <w:rPr>
          <w:spacing w:val="-7"/>
          <w:sz w:val="20"/>
          <w:vertAlign w:val="baseline"/>
        </w:rPr>
        <w:t> </w:t>
      </w:r>
      <w:r>
        <w:rPr>
          <w:sz w:val="20"/>
          <w:vertAlign w:val="baseline"/>
        </w:rPr>
        <w:t>jurisdiction</w:t>
      </w:r>
      <w:r>
        <w:rPr>
          <w:spacing w:val="-7"/>
          <w:sz w:val="20"/>
          <w:vertAlign w:val="baseline"/>
        </w:rPr>
        <w:t> </w:t>
      </w:r>
      <w:r>
        <w:rPr>
          <w:sz w:val="20"/>
          <w:vertAlign w:val="baseline"/>
        </w:rPr>
        <w:t>of</w:t>
      </w:r>
      <w:r>
        <w:rPr>
          <w:spacing w:val="-5"/>
          <w:sz w:val="20"/>
          <w:vertAlign w:val="baseline"/>
        </w:rPr>
        <w:t> </w:t>
      </w:r>
      <w:r>
        <w:rPr>
          <w:sz w:val="20"/>
          <w:vertAlign w:val="baseline"/>
        </w:rPr>
        <w:t>its</w:t>
      </w:r>
      <w:r>
        <w:rPr>
          <w:spacing w:val="-2"/>
          <w:sz w:val="20"/>
          <w:vertAlign w:val="baseline"/>
        </w:rPr>
        <w:t> </w:t>
      </w:r>
      <w:r>
        <w:rPr>
          <w:sz w:val="20"/>
          <w:vertAlign w:val="baseline"/>
        </w:rPr>
        <w:t>UPE</w:t>
      </w:r>
      <w:r>
        <w:rPr>
          <w:spacing w:val="-7"/>
          <w:sz w:val="20"/>
          <w:vertAlign w:val="baseline"/>
        </w:rPr>
        <w:t> </w:t>
      </w:r>
      <w:r>
        <w:rPr>
          <w:sz w:val="20"/>
          <w:vertAlign w:val="baseline"/>
        </w:rPr>
        <w:t>to</w:t>
      </w:r>
      <w:r>
        <w:rPr>
          <w:spacing w:val="-7"/>
          <w:sz w:val="20"/>
          <w:vertAlign w:val="baseline"/>
        </w:rPr>
        <w:t> </w:t>
      </w:r>
      <w:r>
        <w:rPr>
          <w:sz w:val="20"/>
          <w:vertAlign w:val="baseline"/>
        </w:rPr>
        <w:t>prescribe,</w:t>
      </w:r>
      <w:r>
        <w:rPr>
          <w:spacing w:val="-4"/>
          <w:sz w:val="20"/>
          <w:vertAlign w:val="baseline"/>
        </w:rPr>
        <w:t> </w:t>
      </w:r>
      <w:r>
        <w:rPr>
          <w:sz w:val="20"/>
          <w:vertAlign w:val="baseline"/>
        </w:rPr>
        <w:t>establish,</w:t>
      </w:r>
      <w:r>
        <w:rPr>
          <w:spacing w:val="-6"/>
          <w:sz w:val="20"/>
          <w:vertAlign w:val="baseline"/>
        </w:rPr>
        <w:t> </w:t>
      </w:r>
      <w:r>
        <w:rPr>
          <w:sz w:val="20"/>
          <w:vertAlign w:val="baseline"/>
        </w:rPr>
        <w:t>or</w:t>
      </w:r>
      <w:r>
        <w:rPr>
          <w:spacing w:val="-6"/>
          <w:sz w:val="20"/>
          <w:vertAlign w:val="baseline"/>
        </w:rPr>
        <w:t> </w:t>
      </w:r>
      <w:r>
        <w:rPr>
          <w:sz w:val="20"/>
          <w:vertAlign w:val="baseline"/>
        </w:rPr>
        <w:t>accept</w:t>
      </w:r>
      <w:r>
        <w:rPr>
          <w:spacing w:val="-4"/>
          <w:sz w:val="20"/>
          <w:vertAlign w:val="baseline"/>
        </w:rPr>
        <w:t> </w:t>
      </w:r>
      <w:r>
        <w:rPr>
          <w:sz w:val="20"/>
          <w:vertAlign w:val="baseline"/>
        </w:rPr>
        <w:t>accounting</w:t>
      </w:r>
      <w:r>
        <w:rPr>
          <w:spacing w:val="-7"/>
          <w:sz w:val="20"/>
          <w:vertAlign w:val="baseline"/>
        </w:rPr>
        <w:t> </w:t>
      </w:r>
      <w:r>
        <w:rPr>
          <w:sz w:val="20"/>
          <w:vertAlign w:val="baseline"/>
        </w:rPr>
        <w:t>standards</w:t>
      </w:r>
      <w:r>
        <w:rPr>
          <w:spacing w:val="-1"/>
          <w:sz w:val="20"/>
          <w:vertAlign w:val="baseline"/>
        </w:rPr>
        <w:t> </w:t>
      </w:r>
      <w:r>
        <w:rPr>
          <w:sz w:val="20"/>
          <w:vertAlign w:val="baseline"/>
        </w:rPr>
        <w:t>and that</w:t>
      </w:r>
      <w:r>
        <w:rPr>
          <w:spacing w:val="-12"/>
          <w:sz w:val="20"/>
          <w:vertAlign w:val="baseline"/>
        </w:rPr>
        <w:t> </w:t>
      </w:r>
      <w:r>
        <w:rPr>
          <w:sz w:val="20"/>
          <w:vertAlign w:val="baseline"/>
        </w:rPr>
        <w:t>its</w:t>
      </w:r>
      <w:r>
        <w:rPr>
          <w:spacing w:val="-10"/>
          <w:sz w:val="20"/>
          <w:vertAlign w:val="baseline"/>
        </w:rPr>
        <w:t> </w:t>
      </w:r>
      <w:r>
        <w:rPr>
          <w:sz w:val="20"/>
          <w:vertAlign w:val="baseline"/>
        </w:rPr>
        <w:t>use</w:t>
      </w:r>
      <w:r>
        <w:rPr>
          <w:spacing w:val="-12"/>
          <w:sz w:val="20"/>
          <w:vertAlign w:val="baseline"/>
        </w:rPr>
        <w:t> </w:t>
      </w:r>
      <w:r>
        <w:rPr>
          <w:sz w:val="20"/>
          <w:vertAlign w:val="baseline"/>
        </w:rPr>
        <w:t>does</w:t>
      </w:r>
      <w:r>
        <w:rPr>
          <w:spacing w:val="-11"/>
          <w:sz w:val="20"/>
          <w:vertAlign w:val="baseline"/>
        </w:rPr>
        <w:t> </w:t>
      </w:r>
      <w:r>
        <w:rPr>
          <w:sz w:val="20"/>
          <w:vertAlign w:val="baseline"/>
        </w:rPr>
        <w:t>not</w:t>
      </w:r>
      <w:r>
        <w:rPr>
          <w:spacing w:val="-11"/>
          <w:sz w:val="20"/>
          <w:vertAlign w:val="baseline"/>
        </w:rPr>
        <w:t> </w:t>
      </w:r>
      <w:r>
        <w:rPr>
          <w:sz w:val="20"/>
          <w:vertAlign w:val="baseline"/>
        </w:rPr>
        <w:t>result</w:t>
      </w:r>
      <w:r>
        <w:rPr>
          <w:spacing w:val="-11"/>
          <w:sz w:val="20"/>
          <w:vertAlign w:val="baseline"/>
        </w:rPr>
        <w:t> </w:t>
      </w:r>
      <w:r>
        <w:rPr>
          <w:sz w:val="20"/>
          <w:vertAlign w:val="baseline"/>
        </w:rPr>
        <w:t>in</w:t>
      </w:r>
      <w:r>
        <w:rPr>
          <w:spacing w:val="-14"/>
          <w:sz w:val="20"/>
          <w:vertAlign w:val="baseline"/>
        </w:rPr>
        <w:t> </w:t>
      </w:r>
      <w:r>
        <w:rPr>
          <w:sz w:val="20"/>
          <w:vertAlign w:val="baseline"/>
        </w:rPr>
        <w:t>material</w:t>
      </w:r>
      <w:r>
        <w:rPr>
          <w:spacing w:val="-12"/>
          <w:sz w:val="20"/>
          <w:vertAlign w:val="baseline"/>
        </w:rPr>
        <w:t> </w:t>
      </w:r>
      <w:r>
        <w:rPr>
          <w:sz w:val="20"/>
          <w:vertAlign w:val="baseline"/>
        </w:rPr>
        <w:t>competitive</w:t>
      </w:r>
      <w:r>
        <w:rPr>
          <w:spacing w:val="-12"/>
          <w:sz w:val="20"/>
          <w:vertAlign w:val="baseline"/>
        </w:rPr>
        <w:t> </w:t>
      </w:r>
      <w:r>
        <w:rPr>
          <w:sz w:val="20"/>
          <w:vertAlign w:val="baseline"/>
        </w:rPr>
        <w:t>distortions</w:t>
      </w:r>
      <w:r>
        <w:rPr>
          <w:spacing w:val="-11"/>
          <w:sz w:val="20"/>
          <w:vertAlign w:val="baseline"/>
        </w:rPr>
        <w:t> </w:t>
      </w:r>
      <w:r>
        <w:rPr>
          <w:sz w:val="20"/>
          <w:vertAlign w:val="baseline"/>
        </w:rPr>
        <w:t>in</w:t>
      </w:r>
      <w:r>
        <w:rPr>
          <w:spacing w:val="-12"/>
          <w:sz w:val="20"/>
          <w:vertAlign w:val="baseline"/>
        </w:rPr>
        <w:t> </w:t>
      </w:r>
      <w:r>
        <w:rPr>
          <w:sz w:val="20"/>
          <w:vertAlign w:val="baseline"/>
        </w:rPr>
        <w:t>the</w:t>
      </w:r>
      <w:r>
        <w:rPr>
          <w:spacing w:val="-12"/>
          <w:sz w:val="20"/>
          <w:vertAlign w:val="baseline"/>
        </w:rPr>
        <w:t> </w:t>
      </w:r>
      <w:r>
        <w:rPr>
          <w:sz w:val="20"/>
          <w:vertAlign w:val="baseline"/>
        </w:rPr>
        <w:t>application</w:t>
      </w:r>
      <w:r>
        <w:rPr>
          <w:spacing w:val="-12"/>
          <w:sz w:val="20"/>
          <w:vertAlign w:val="baseline"/>
        </w:rPr>
        <w:t> </w:t>
      </w:r>
      <w:r>
        <w:rPr>
          <w:sz w:val="20"/>
          <w:vertAlign w:val="baseline"/>
        </w:rPr>
        <w:t>of</w:t>
      </w:r>
      <w:r>
        <w:rPr>
          <w:spacing w:val="-10"/>
          <w:sz w:val="20"/>
          <w:vertAlign w:val="baseline"/>
        </w:rPr>
        <w:t> </w:t>
      </w:r>
      <w:r>
        <w:rPr>
          <w:sz w:val="20"/>
          <w:vertAlign w:val="baseline"/>
        </w:rPr>
        <w:t>Amount</w:t>
      </w:r>
      <w:r>
        <w:rPr>
          <w:spacing w:val="-12"/>
          <w:sz w:val="20"/>
          <w:vertAlign w:val="baseline"/>
        </w:rPr>
        <w:t> </w:t>
      </w:r>
      <w:r>
        <w:rPr>
          <w:spacing w:val="3"/>
          <w:sz w:val="20"/>
          <w:vertAlign w:val="baseline"/>
        </w:rPr>
        <w:t>A.</w:t>
      </w:r>
      <w:r>
        <w:rPr>
          <w:spacing w:val="-11"/>
          <w:sz w:val="20"/>
          <w:vertAlign w:val="baseline"/>
        </w:rPr>
        <w:t> </w:t>
      </w:r>
      <w:r>
        <w:rPr>
          <w:sz w:val="20"/>
          <w:vertAlign w:val="baseline"/>
        </w:rPr>
        <w:t>This</w:t>
      </w:r>
      <w:r>
        <w:rPr>
          <w:spacing w:val="-10"/>
          <w:sz w:val="20"/>
          <w:vertAlign w:val="baseline"/>
        </w:rPr>
        <w:t> </w:t>
      </w:r>
      <w:r>
        <w:rPr>
          <w:sz w:val="20"/>
          <w:vertAlign w:val="baseline"/>
        </w:rPr>
        <w:t>approach (including the assessment of GAAP equivalence) is aligned with Pillar Two, which has adopted a similar approach.</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Consistent with Pillar Two, no specific book-to-book harmonisation adjustments (to account for variances</w:t>
      </w:r>
      <w:r>
        <w:rPr>
          <w:spacing w:val="-7"/>
          <w:sz w:val="20"/>
        </w:rPr>
        <w:t> </w:t>
      </w:r>
      <w:r>
        <w:rPr>
          <w:sz w:val="20"/>
        </w:rPr>
        <w:t>between</w:t>
      </w:r>
      <w:r>
        <w:rPr>
          <w:spacing w:val="-5"/>
          <w:sz w:val="20"/>
        </w:rPr>
        <w:t> </w:t>
      </w:r>
      <w:r>
        <w:rPr>
          <w:sz w:val="20"/>
        </w:rPr>
        <w:t>different</w:t>
      </w:r>
      <w:r>
        <w:rPr>
          <w:spacing w:val="-7"/>
          <w:sz w:val="20"/>
        </w:rPr>
        <w:t> </w:t>
      </w:r>
      <w:r>
        <w:rPr>
          <w:sz w:val="20"/>
        </w:rPr>
        <w:t>GAAP)</w:t>
      </w:r>
      <w:r>
        <w:rPr>
          <w:spacing w:val="-7"/>
          <w:sz w:val="20"/>
        </w:rPr>
        <w:t> </w:t>
      </w:r>
      <w:r>
        <w:rPr>
          <w:sz w:val="20"/>
        </w:rPr>
        <w:t>are</w:t>
      </w:r>
      <w:r>
        <w:rPr>
          <w:spacing w:val="-6"/>
          <w:sz w:val="20"/>
        </w:rPr>
        <w:t> </w:t>
      </w:r>
      <w:r>
        <w:rPr>
          <w:sz w:val="20"/>
        </w:rPr>
        <w:t>considered</w:t>
      </w:r>
      <w:r>
        <w:rPr>
          <w:spacing w:val="-4"/>
          <w:sz w:val="20"/>
        </w:rPr>
        <w:t> </w:t>
      </w:r>
      <w:r>
        <w:rPr>
          <w:sz w:val="20"/>
        </w:rPr>
        <w:t>necessary</w:t>
      </w:r>
      <w:r>
        <w:rPr>
          <w:spacing w:val="-10"/>
          <w:sz w:val="20"/>
        </w:rPr>
        <w:t> </w:t>
      </w:r>
      <w:r>
        <w:rPr>
          <w:sz w:val="20"/>
        </w:rPr>
        <w:t>at</w:t>
      </w:r>
      <w:r>
        <w:rPr>
          <w:spacing w:val="-6"/>
          <w:sz w:val="20"/>
        </w:rPr>
        <w:t> </w:t>
      </w:r>
      <w:r>
        <w:rPr>
          <w:sz w:val="20"/>
        </w:rPr>
        <w:t>this</w:t>
      </w:r>
      <w:r>
        <w:rPr>
          <w:spacing w:val="-5"/>
          <w:sz w:val="20"/>
        </w:rPr>
        <w:t> </w:t>
      </w:r>
      <w:r>
        <w:rPr>
          <w:sz w:val="20"/>
        </w:rPr>
        <w:t>stage</w:t>
      </w:r>
      <w:r>
        <w:rPr>
          <w:spacing w:val="-5"/>
          <w:sz w:val="20"/>
        </w:rPr>
        <w:t> </w:t>
      </w:r>
      <w:r>
        <w:rPr>
          <w:sz w:val="20"/>
        </w:rPr>
        <w:t>given</w:t>
      </w:r>
      <w:r>
        <w:rPr>
          <w:spacing w:val="-7"/>
          <w:sz w:val="20"/>
        </w:rPr>
        <w:t> </w:t>
      </w:r>
      <w:r>
        <w:rPr>
          <w:sz w:val="20"/>
        </w:rPr>
        <w:t>the</w:t>
      </w:r>
      <w:r>
        <w:rPr>
          <w:spacing w:val="-8"/>
          <w:sz w:val="20"/>
        </w:rPr>
        <w:t> </w:t>
      </w:r>
      <w:r>
        <w:rPr>
          <w:sz w:val="20"/>
        </w:rPr>
        <w:t>significant</w:t>
      </w:r>
      <w:r>
        <w:rPr>
          <w:spacing w:val="-6"/>
          <w:sz w:val="20"/>
        </w:rPr>
        <w:t> </w:t>
      </w:r>
      <w:r>
        <w:rPr>
          <w:sz w:val="20"/>
        </w:rPr>
        <w:t>additional complexity their introduction would entail; however, the Amount A tax base may incorporate an on-going monitoring process to ensure discrepancies across accounting standards do not produce materially inconsistent outcomes among Amount A</w:t>
      </w:r>
      <w:r>
        <w:rPr>
          <w:spacing w:val="-2"/>
          <w:sz w:val="20"/>
        </w:rPr>
        <w:t> </w:t>
      </w:r>
      <w:r>
        <w:rPr>
          <w:sz w:val="20"/>
        </w:rPr>
        <w:t>taxpayers.</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For</w:t>
      </w:r>
      <w:r>
        <w:rPr>
          <w:spacing w:val="-18"/>
          <w:sz w:val="20"/>
        </w:rPr>
        <w:t> </w:t>
      </w:r>
      <w:r>
        <w:rPr>
          <w:sz w:val="20"/>
        </w:rPr>
        <w:t>ease</w:t>
      </w:r>
      <w:r>
        <w:rPr>
          <w:spacing w:val="-16"/>
          <w:sz w:val="20"/>
        </w:rPr>
        <w:t> </w:t>
      </w:r>
      <w:r>
        <w:rPr>
          <w:sz w:val="20"/>
        </w:rPr>
        <w:t>of</w:t>
      </w:r>
      <w:r>
        <w:rPr>
          <w:spacing w:val="-17"/>
          <w:sz w:val="20"/>
        </w:rPr>
        <w:t> </w:t>
      </w:r>
      <w:r>
        <w:rPr>
          <w:sz w:val="20"/>
        </w:rPr>
        <w:t>administration,</w:t>
      </w:r>
      <w:r>
        <w:rPr>
          <w:spacing w:val="-13"/>
          <w:sz w:val="20"/>
        </w:rPr>
        <w:t> </w:t>
      </w:r>
      <w:r>
        <w:rPr>
          <w:sz w:val="20"/>
        </w:rPr>
        <w:t>only</w:t>
      </w:r>
      <w:r>
        <w:rPr>
          <w:spacing w:val="-19"/>
          <w:sz w:val="20"/>
        </w:rPr>
        <w:t> </w:t>
      </w:r>
      <w:r>
        <w:rPr>
          <w:sz w:val="20"/>
        </w:rPr>
        <w:t>a</w:t>
      </w:r>
      <w:r>
        <w:rPr>
          <w:spacing w:val="-16"/>
          <w:sz w:val="20"/>
        </w:rPr>
        <w:t> </w:t>
      </w:r>
      <w:r>
        <w:rPr>
          <w:sz w:val="20"/>
        </w:rPr>
        <w:t>limited</w:t>
      </w:r>
      <w:r>
        <w:rPr>
          <w:spacing w:val="-16"/>
          <w:sz w:val="20"/>
        </w:rPr>
        <w:t> </w:t>
      </w:r>
      <w:r>
        <w:rPr>
          <w:sz w:val="20"/>
        </w:rPr>
        <w:t>number</w:t>
      </w:r>
      <w:r>
        <w:rPr>
          <w:spacing w:val="-18"/>
          <w:sz w:val="20"/>
        </w:rPr>
        <w:t> </w:t>
      </w:r>
      <w:r>
        <w:rPr>
          <w:sz w:val="20"/>
        </w:rPr>
        <w:t>of</w:t>
      </w:r>
      <w:r>
        <w:rPr>
          <w:spacing w:val="-17"/>
          <w:sz w:val="20"/>
        </w:rPr>
        <w:t> </w:t>
      </w:r>
      <w:r>
        <w:rPr>
          <w:sz w:val="20"/>
        </w:rPr>
        <w:t>book-to-tax</w:t>
      </w:r>
      <w:r>
        <w:rPr>
          <w:spacing w:val="-17"/>
          <w:sz w:val="20"/>
        </w:rPr>
        <w:t> </w:t>
      </w:r>
      <w:r>
        <w:rPr>
          <w:sz w:val="20"/>
        </w:rPr>
        <w:t>adjustments</w:t>
      </w:r>
      <w:r>
        <w:rPr>
          <w:spacing w:val="-17"/>
          <w:sz w:val="20"/>
        </w:rPr>
        <w:t> </w:t>
      </w:r>
      <w:r>
        <w:rPr>
          <w:sz w:val="20"/>
        </w:rPr>
        <w:t>will</w:t>
      </w:r>
      <w:r>
        <w:rPr>
          <w:spacing w:val="-17"/>
          <w:sz w:val="20"/>
        </w:rPr>
        <w:t> </w:t>
      </w:r>
      <w:r>
        <w:rPr>
          <w:sz w:val="20"/>
        </w:rPr>
        <w:t>apply</w:t>
      </w:r>
      <w:r>
        <w:rPr>
          <w:spacing w:val="-21"/>
          <w:sz w:val="20"/>
        </w:rPr>
        <w:t> </w:t>
      </w:r>
      <w:r>
        <w:rPr>
          <w:sz w:val="20"/>
        </w:rPr>
        <w:t>to</w:t>
      </w:r>
      <w:r>
        <w:rPr>
          <w:spacing w:val="-17"/>
          <w:sz w:val="20"/>
        </w:rPr>
        <w:t> </w:t>
      </w:r>
      <w:r>
        <w:rPr>
          <w:sz w:val="20"/>
        </w:rPr>
        <w:t>determine the</w:t>
      </w:r>
      <w:r>
        <w:rPr>
          <w:spacing w:val="-12"/>
          <w:sz w:val="20"/>
        </w:rPr>
        <w:t> </w:t>
      </w:r>
      <w:r>
        <w:rPr>
          <w:sz w:val="20"/>
        </w:rPr>
        <w:t>relevant</w:t>
      </w:r>
      <w:r>
        <w:rPr>
          <w:spacing w:val="-10"/>
          <w:sz w:val="20"/>
        </w:rPr>
        <w:t> </w:t>
      </w:r>
      <w:r>
        <w:rPr>
          <w:sz w:val="20"/>
        </w:rPr>
        <w:t>measure</w:t>
      </w:r>
      <w:r>
        <w:rPr>
          <w:spacing w:val="-10"/>
          <w:sz w:val="20"/>
        </w:rPr>
        <w:t> </w:t>
      </w:r>
      <w:r>
        <w:rPr>
          <w:sz w:val="20"/>
        </w:rPr>
        <w:t>of</w:t>
      </w:r>
      <w:r>
        <w:rPr>
          <w:spacing w:val="-9"/>
          <w:sz w:val="20"/>
        </w:rPr>
        <w:t> </w:t>
      </w:r>
      <w:r>
        <w:rPr>
          <w:sz w:val="20"/>
        </w:rPr>
        <w:t>PBT,</w:t>
      </w:r>
      <w:r>
        <w:rPr>
          <w:spacing w:val="-10"/>
          <w:sz w:val="20"/>
        </w:rPr>
        <w:t> </w:t>
      </w:r>
      <w:r>
        <w:rPr>
          <w:sz w:val="20"/>
        </w:rPr>
        <w:t>and</w:t>
      </w:r>
      <w:r>
        <w:rPr>
          <w:spacing w:val="-11"/>
          <w:sz w:val="20"/>
        </w:rPr>
        <w:t> </w:t>
      </w:r>
      <w:r>
        <w:rPr>
          <w:sz w:val="20"/>
        </w:rPr>
        <w:t>seek</w:t>
      </w:r>
      <w:r>
        <w:rPr>
          <w:spacing w:val="-5"/>
          <w:sz w:val="20"/>
        </w:rPr>
        <w:t> </w:t>
      </w:r>
      <w:r>
        <w:rPr>
          <w:sz w:val="20"/>
        </w:rPr>
        <w:t>alignment</w:t>
      </w:r>
      <w:r>
        <w:rPr>
          <w:spacing w:val="-10"/>
          <w:sz w:val="20"/>
        </w:rPr>
        <w:t> </w:t>
      </w:r>
      <w:r>
        <w:rPr>
          <w:sz w:val="20"/>
        </w:rPr>
        <w:t>of</w:t>
      </w:r>
      <w:r>
        <w:rPr>
          <w:spacing w:val="-8"/>
          <w:sz w:val="20"/>
        </w:rPr>
        <w:t> </w:t>
      </w:r>
      <w:r>
        <w:rPr>
          <w:sz w:val="20"/>
        </w:rPr>
        <w:t>the</w:t>
      </w:r>
      <w:r>
        <w:rPr>
          <w:spacing w:val="-12"/>
          <w:sz w:val="20"/>
        </w:rPr>
        <w:t> </w:t>
      </w:r>
      <w:r>
        <w:rPr>
          <w:sz w:val="20"/>
        </w:rPr>
        <w:t>tax</w:t>
      </w:r>
      <w:r>
        <w:rPr>
          <w:spacing w:val="-10"/>
          <w:sz w:val="20"/>
        </w:rPr>
        <w:t> </w:t>
      </w:r>
      <w:r>
        <w:rPr>
          <w:sz w:val="20"/>
        </w:rPr>
        <w:t>base</w:t>
      </w:r>
      <w:r>
        <w:rPr>
          <w:spacing w:val="-11"/>
          <w:sz w:val="20"/>
        </w:rPr>
        <w:t> </w:t>
      </w:r>
      <w:r>
        <w:rPr>
          <w:sz w:val="20"/>
        </w:rPr>
        <w:t>for</w:t>
      </w:r>
      <w:r>
        <w:rPr>
          <w:spacing w:val="-10"/>
          <w:sz w:val="20"/>
        </w:rPr>
        <w:t> </w:t>
      </w:r>
      <w:r>
        <w:rPr>
          <w:sz w:val="20"/>
        </w:rPr>
        <w:t>Amount</w:t>
      </w:r>
      <w:r>
        <w:rPr>
          <w:spacing w:val="-9"/>
          <w:sz w:val="20"/>
        </w:rPr>
        <w:t> </w:t>
      </w:r>
      <w:r>
        <w:rPr>
          <w:sz w:val="20"/>
        </w:rPr>
        <w:t>A</w:t>
      </w:r>
      <w:r>
        <w:rPr>
          <w:spacing w:val="-8"/>
          <w:sz w:val="20"/>
        </w:rPr>
        <w:t> </w:t>
      </w:r>
      <w:r>
        <w:rPr>
          <w:sz w:val="20"/>
        </w:rPr>
        <w:t>with</w:t>
      </w:r>
      <w:r>
        <w:rPr>
          <w:spacing w:val="-11"/>
          <w:sz w:val="20"/>
        </w:rPr>
        <w:t> </w:t>
      </w:r>
      <w:r>
        <w:rPr>
          <w:sz w:val="20"/>
        </w:rPr>
        <w:t>the</w:t>
      </w:r>
      <w:r>
        <w:rPr>
          <w:spacing w:val="-8"/>
          <w:sz w:val="20"/>
        </w:rPr>
        <w:t> </w:t>
      </w:r>
      <w:r>
        <w:rPr>
          <w:sz w:val="20"/>
        </w:rPr>
        <w:t>corporate</w:t>
      </w:r>
      <w:r>
        <w:rPr>
          <w:spacing w:val="-8"/>
          <w:sz w:val="20"/>
        </w:rPr>
        <w:t> </w:t>
      </w:r>
      <w:r>
        <w:rPr>
          <w:sz w:val="20"/>
        </w:rPr>
        <w:t>tax</w:t>
      </w:r>
      <w:r>
        <w:rPr>
          <w:spacing w:val="-10"/>
          <w:sz w:val="20"/>
        </w:rPr>
        <w:t> </w:t>
      </w:r>
      <w:r>
        <w:rPr>
          <w:sz w:val="20"/>
        </w:rPr>
        <w:t>base</w:t>
      </w:r>
    </w:p>
    <w:p>
      <w:pPr>
        <w:pStyle w:val="BodyText"/>
        <w:rPr>
          <w:sz w:val="13"/>
        </w:rPr>
      </w:pPr>
      <w:r>
        <w:rPr/>
        <w:pict>
          <v:rect style="position:absolute;margin-left:65.183998pt;margin-top:9.458163pt;width:144.020004pt;height:.60004pt;mso-position-horizontal-relative:page;mso-position-vertical-relative:paragraph;z-index:-1567334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33" w:val="left" w:leader="none"/>
        </w:tabs>
        <w:spacing w:line="278" w:lineRule="auto" w:before="94" w:after="0"/>
        <w:ind w:left="723" w:right="482" w:firstLine="0"/>
        <w:jc w:val="both"/>
        <w:rPr>
          <w:sz w:val="18"/>
        </w:rPr>
      </w:pPr>
      <w:r>
        <w:rPr>
          <w:sz w:val="18"/>
        </w:rPr>
        <w:t>These include, in addition to IFRS, the generally accepted accounting principles of Australia, Canada, Hong Kong (China),</w:t>
      </w:r>
      <w:r>
        <w:rPr>
          <w:spacing w:val="-10"/>
          <w:sz w:val="18"/>
        </w:rPr>
        <w:t> </w:t>
      </w:r>
      <w:r>
        <w:rPr>
          <w:sz w:val="18"/>
        </w:rPr>
        <w:t>Japan,</w:t>
      </w:r>
      <w:r>
        <w:rPr>
          <w:spacing w:val="-7"/>
          <w:sz w:val="18"/>
        </w:rPr>
        <w:t> </w:t>
      </w:r>
      <w:r>
        <w:rPr>
          <w:sz w:val="18"/>
        </w:rPr>
        <w:t>New</w:t>
      </w:r>
      <w:r>
        <w:rPr>
          <w:spacing w:val="-10"/>
          <w:sz w:val="18"/>
        </w:rPr>
        <w:t> </w:t>
      </w:r>
      <w:r>
        <w:rPr>
          <w:sz w:val="18"/>
        </w:rPr>
        <w:t>Zealand,</w:t>
      </w:r>
      <w:r>
        <w:rPr>
          <w:spacing w:val="-10"/>
          <w:sz w:val="18"/>
        </w:rPr>
        <w:t> </w:t>
      </w:r>
      <w:r>
        <w:rPr>
          <w:sz w:val="18"/>
        </w:rPr>
        <w:t>the</w:t>
      </w:r>
      <w:r>
        <w:rPr>
          <w:spacing w:val="-7"/>
          <w:sz w:val="18"/>
        </w:rPr>
        <w:t> </w:t>
      </w:r>
      <w:r>
        <w:rPr>
          <w:sz w:val="18"/>
        </w:rPr>
        <w:t>People’s</w:t>
      </w:r>
      <w:r>
        <w:rPr>
          <w:spacing w:val="-7"/>
          <w:sz w:val="18"/>
        </w:rPr>
        <w:t> </w:t>
      </w:r>
      <w:r>
        <w:rPr>
          <w:sz w:val="18"/>
        </w:rPr>
        <w:t>Republic</w:t>
      </w:r>
      <w:r>
        <w:rPr>
          <w:spacing w:val="-9"/>
          <w:sz w:val="18"/>
        </w:rPr>
        <w:t> </w:t>
      </w:r>
      <w:r>
        <w:rPr>
          <w:sz w:val="18"/>
        </w:rPr>
        <w:t>of</w:t>
      </w:r>
      <w:r>
        <w:rPr>
          <w:spacing w:val="-10"/>
          <w:sz w:val="18"/>
        </w:rPr>
        <w:t> </w:t>
      </w:r>
      <w:r>
        <w:rPr>
          <w:sz w:val="18"/>
        </w:rPr>
        <w:t>China,</w:t>
      </w:r>
      <w:r>
        <w:rPr>
          <w:spacing w:val="-4"/>
          <w:sz w:val="18"/>
        </w:rPr>
        <w:t> </w:t>
      </w:r>
      <w:r>
        <w:rPr>
          <w:sz w:val="18"/>
        </w:rPr>
        <w:t>the</w:t>
      </w:r>
      <w:r>
        <w:rPr>
          <w:spacing w:val="-10"/>
          <w:sz w:val="18"/>
        </w:rPr>
        <w:t> </w:t>
      </w:r>
      <w:r>
        <w:rPr>
          <w:sz w:val="18"/>
        </w:rPr>
        <w:t>Republic</w:t>
      </w:r>
      <w:r>
        <w:rPr>
          <w:spacing w:val="-9"/>
          <w:sz w:val="18"/>
        </w:rPr>
        <w:t> </w:t>
      </w:r>
      <w:r>
        <w:rPr>
          <w:sz w:val="18"/>
        </w:rPr>
        <w:t>of</w:t>
      </w:r>
      <w:r>
        <w:rPr>
          <w:spacing w:val="-10"/>
          <w:sz w:val="18"/>
        </w:rPr>
        <w:t> </w:t>
      </w:r>
      <w:r>
        <w:rPr>
          <w:sz w:val="18"/>
        </w:rPr>
        <w:t>India,</w:t>
      </w:r>
      <w:r>
        <w:rPr>
          <w:spacing w:val="-8"/>
          <w:sz w:val="18"/>
        </w:rPr>
        <w:t> </w:t>
      </w:r>
      <w:r>
        <w:rPr>
          <w:sz w:val="18"/>
        </w:rPr>
        <w:t>the</w:t>
      </w:r>
      <w:r>
        <w:rPr>
          <w:spacing w:val="-7"/>
          <w:sz w:val="18"/>
        </w:rPr>
        <w:t> </w:t>
      </w:r>
      <w:r>
        <w:rPr>
          <w:sz w:val="18"/>
        </w:rPr>
        <w:t>Republic</w:t>
      </w:r>
      <w:r>
        <w:rPr>
          <w:spacing w:val="-9"/>
          <w:sz w:val="18"/>
        </w:rPr>
        <w:t> </w:t>
      </w:r>
      <w:r>
        <w:rPr>
          <w:sz w:val="18"/>
        </w:rPr>
        <w:t>of</w:t>
      </w:r>
      <w:r>
        <w:rPr>
          <w:spacing w:val="-8"/>
          <w:sz w:val="18"/>
        </w:rPr>
        <w:t> </w:t>
      </w:r>
      <w:r>
        <w:rPr>
          <w:sz w:val="18"/>
        </w:rPr>
        <w:t>Korea,</w:t>
      </w:r>
      <w:r>
        <w:rPr>
          <w:spacing w:val="-10"/>
          <w:sz w:val="18"/>
        </w:rPr>
        <w:t> </w:t>
      </w:r>
      <w:r>
        <w:rPr>
          <w:sz w:val="18"/>
        </w:rPr>
        <w:t>Singapore and the United</w:t>
      </w:r>
      <w:r>
        <w:rPr>
          <w:spacing w:val="-1"/>
          <w:sz w:val="18"/>
        </w:rPr>
        <w:t> </w:t>
      </w:r>
      <w:r>
        <w:rPr>
          <w:sz w:val="18"/>
        </w:rPr>
        <w:t>States.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of Inclusive Framework members. These adjustments will include: exclusion of income tax expenses, exclusion of dividend income and gains or losses in connection with shares, and expenses not deductible for Corporate Income Tax (CIT) purposes in most Inclusive Framework jurisdictions for public policy reasons. These adjustments are consistent with the approach under Pillar Two, except potentially for income</w:t>
      </w:r>
      <w:r>
        <w:rPr>
          <w:spacing w:val="-13"/>
        </w:rPr>
        <w:t> </w:t>
      </w:r>
      <w:r>
        <w:rPr/>
        <w:t>derived</w:t>
      </w:r>
      <w:r>
        <w:rPr>
          <w:spacing w:val="-11"/>
        </w:rPr>
        <w:t> </w:t>
      </w:r>
      <w:r>
        <w:rPr/>
        <w:t>from</w:t>
      </w:r>
      <w:r>
        <w:rPr>
          <w:spacing w:val="-6"/>
        </w:rPr>
        <w:t> </w:t>
      </w:r>
      <w:r>
        <w:rPr/>
        <w:t>joint</w:t>
      </w:r>
      <w:r>
        <w:rPr>
          <w:spacing w:val="-13"/>
        </w:rPr>
        <w:t> </w:t>
      </w:r>
      <w:r>
        <w:rPr/>
        <w:t>ventures</w:t>
      </w:r>
      <w:r>
        <w:rPr>
          <w:spacing w:val="-9"/>
        </w:rPr>
        <w:t> </w:t>
      </w:r>
      <w:r>
        <w:rPr/>
        <w:t>and</w:t>
      </w:r>
      <w:r>
        <w:rPr>
          <w:spacing w:val="-10"/>
        </w:rPr>
        <w:t> </w:t>
      </w:r>
      <w:r>
        <w:rPr/>
        <w:t>interest</w:t>
      </w:r>
      <w:r>
        <w:rPr>
          <w:spacing w:val="-10"/>
        </w:rPr>
        <w:t> </w:t>
      </w:r>
      <w:r>
        <w:rPr/>
        <w:t>expenses</w:t>
      </w:r>
      <w:r>
        <w:rPr>
          <w:spacing w:val="-11"/>
        </w:rPr>
        <w:t> </w:t>
      </w:r>
      <w:r>
        <w:rPr/>
        <w:t>from</w:t>
      </w:r>
      <w:r>
        <w:rPr>
          <w:spacing w:val="-8"/>
        </w:rPr>
        <w:t> </w:t>
      </w:r>
      <w:r>
        <w:rPr/>
        <w:t>transactions</w:t>
      </w:r>
      <w:r>
        <w:rPr>
          <w:spacing w:val="-7"/>
        </w:rPr>
        <w:t> </w:t>
      </w:r>
      <w:r>
        <w:rPr/>
        <w:t>with</w:t>
      </w:r>
      <w:r>
        <w:rPr>
          <w:spacing w:val="-13"/>
        </w:rPr>
        <w:t> </w:t>
      </w:r>
      <w:r>
        <w:rPr/>
        <w:t>related</w:t>
      </w:r>
      <w:r>
        <w:rPr>
          <w:spacing w:val="-10"/>
        </w:rPr>
        <w:t> </w:t>
      </w:r>
      <w:r>
        <w:rPr/>
        <w:t>parties</w:t>
      </w:r>
      <w:r>
        <w:rPr>
          <w:spacing w:val="-10"/>
        </w:rPr>
        <w:t> </w:t>
      </w:r>
      <w:r>
        <w:rPr/>
        <w:t>that</w:t>
      </w:r>
      <w:r>
        <w:rPr>
          <w:spacing w:val="-10"/>
        </w:rPr>
        <w:t> </w:t>
      </w:r>
      <w:r>
        <w:rPr/>
        <w:t>do</w:t>
      </w:r>
      <w:r>
        <w:rPr>
          <w:spacing w:val="-11"/>
        </w:rPr>
        <w:t> </w:t>
      </w:r>
      <w:r>
        <w:rPr/>
        <w:t>not belong to the consolidated group under the relevant accounting standard (e.g. investment</w:t>
      </w:r>
      <w:r>
        <w:rPr>
          <w:spacing w:val="-30"/>
        </w:rPr>
        <w:t> </w:t>
      </w:r>
      <w:r>
        <w:rPr/>
        <w:t>entities).</w:t>
      </w:r>
    </w:p>
    <w:p>
      <w:pPr>
        <w:pStyle w:val="ListParagraph"/>
        <w:numPr>
          <w:ilvl w:val="0"/>
          <w:numId w:val="13"/>
        </w:numPr>
        <w:tabs>
          <w:tab w:pos="1444" w:val="left" w:leader="none"/>
        </w:tabs>
        <w:spacing w:line="271" w:lineRule="auto" w:before="121" w:after="0"/>
        <w:ind w:left="723" w:right="487" w:firstLine="0"/>
        <w:jc w:val="both"/>
        <w:rPr>
          <w:sz w:val="20"/>
        </w:rPr>
      </w:pPr>
      <w:r>
        <w:rPr>
          <w:sz w:val="20"/>
        </w:rPr>
        <w:t>Further work will be undertaken on the implementation of the proposed framework to use consolidated group financial accounts (e.g. introducing a monitoring mechanism), and to finalise some aspects of the standardised PBT measure (e.g. income from joint</w:t>
      </w:r>
      <w:r>
        <w:rPr>
          <w:spacing w:val="-8"/>
          <w:sz w:val="20"/>
        </w:rPr>
        <w:t> </w:t>
      </w:r>
      <w:r>
        <w:rPr>
          <w:sz w:val="20"/>
        </w:rPr>
        <w:t>ventures).</w:t>
      </w:r>
    </w:p>
    <w:p>
      <w:pPr>
        <w:pStyle w:val="BodyText"/>
        <w:spacing w:before="5"/>
        <w:rPr>
          <w:sz w:val="23"/>
        </w:rPr>
      </w:pPr>
    </w:p>
    <w:p>
      <w:pPr>
        <w:pStyle w:val="Heading6"/>
        <w:ind w:left="1402" w:firstLine="0"/>
        <w:rPr>
          <w:i/>
        </w:rPr>
      </w:pPr>
      <w:bookmarkStart w:name="The segmentation framework" w:id="199"/>
      <w:bookmarkEnd w:id="199"/>
      <w:r>
        <w:rPr>
          <w:b w:val="0"/>
          <w:i w:val="0"/>
        </w:rPr>
      </w:r>
      <w:r>
        <w:rPr>
          <w:i/>
        </w:rPr>
        <w:t>The segmentation framework</w:t>
      </w:r>
    </w:p>
    <w:p>
      <w:pPr>
        <w:pStyle w:val="ListParagraph"/>
        <w:numPr>
          <w:ilvl w:val="0"/>
          <w:numId w:val="13"/>
        </w:numPr>
        <w:tabs>
          <w:tab w:pos="1444" w:val="left" w:leader="none"/>
        </w:tabs>
        <w:spacing w:line="271" w:lineRule="auto" w:before="214" w:after="0"/>
        <w:ind w:left="723" w:right="482" w:firstLine="0"/>
        <w:jc w:val="both"/>
        <w:rPr>
          <w:sz w:val="20"/>
        </w:rPr>
      </w:pPr>
      <w:r>
        <w:rPr>
          <w:sz w:val="20"/>
        </w:rPr>
        <w:t>The </w:t>
      </w:r>
      <w:r>
        <w:rPr>
          <w:i/>
          <w:sz w:val="20"/>
        </w:rPr>
        <w:t>Outline </w:t>
      </w:r>
      <w:r>
        <w:rPr>
          <w:sz w:val="20"/>
        </w:rPr>
        <w:t>recognised that for some groups it may be necessary to compute the Amount A tax base on a segmented basis, but also recognised that using segmentation to determine the relevant PBT measure will create additional compliance costs for taxpayers and extra burdens for tax administrations who</w:t>
      </w:r>
      <w:r>
        <w:rPr>
          <w:spacing w:val="-14"/>
          <w:sz w:val="20"/>
        </w:rPr>
        <w:t> </w:t>
      </w:r>
      <w:r>
        <w:rPr>
          <w:sz w:val="20"/>
        </w:rPr>
        <w:t>will</w:t>
      </w:r>
      <w:r>
        <w:rPr>
          <w:spacing w:val="-13"/>
          <w:sz w:val="20"/>
        </w:rPr>
        <w:t> </w:t>
      </w:r>
      <w:r>
        <w:rPr>
          <w:sz w:val="20"/>
        </w:rPr>
        <w:t>need</w:t>
      </w:r>
      <w:r>
        <w:rPr>
          <w:spacing w:val="-15"/>
          <w:sz w:val="20"/>
        </w:rPr>
        <w:t> </w:t>
      </w:r>
      <w:r>
        <w:rPr>
          <w:sz w:val="20"/>
        </w:rPr>
        <w:t>to</w:t>
      </w:r>
      <w:r>
        <w:rPr>
          <w:spacing w:val="-15"/>
          <w:sz w:val="20"/>
        </w:rPr>
        <w:t> </w:t>
      </w:r>
      <w:r>
        <w:rPr>
          <w:sz w:val="20"/>
        </w:rPr>
        <w:t>review</w:t>
      </w:r>
      <w:r>
        <w:rPr>
          <w:spacing w:val="-17"/>
          <w:sz w:val="20"/>
        </w:rPr>
        <w:t> </w:t>
      </w:r>
      <w:r>
        <w:rPr>
          <w:sz w:val="20"/>
        </w:rPr>
        <w:t>these</w:t>
      </w:r>
      <w:r>
        <w:rPr>
          <w:spacing w:val="-15"/>
          <w:sz w:val="20"/>
        </w:rPr>
        <w:t> </w:t>
      </w:r>
      <w:r>
        <w:rPr>
          <w:sz w:val="20"/>
        </w:rPr>
        <w:t>segmented</w:t>
      </w:r>
      <w:r>
        <w:rPr>
          <w:spacing w:val="-13"/>
          <w:sz w:val="20"/>
        </w:rPr>
        <w:t> </w:t>
      </w:r>
      <w:r>
        <w:rPr>
          <w:sz w:val="20"/>
        </w:rPr>
        <w:t>accounts</w:t>
      </w:r>
      <w:r>
        <w:rPr>
          <w:spacing w:val="-13"/>
          <w:sz w:val="20"/>
        </w:rPr>
        <w:t> </w:t>
      </w:r>
      <w:r>
        <w:rPr>
          <w:sz w:val="20"/>
        </w:rPr>
        <w:t>as</w:t>
      </w:r>
      <w:r>
        <w:rPr>
          <w:spacing w:val="-14"/>
          <w:sz w:val="20"/>
        </w:rPr>
        <w:t> </w:t>
      </w:r>
      <w:r>
        <w:rPr>
          <w:sz w:val="20"/>
        </w:rPr>
        <w:t>part</w:t>
      </w:r>
      <w:r>
        <w:rPr>
          <w:spacing w:val="-14"/>
          <w:sz w:val="20"/>
        </w:rPr>
        <w:t> </w:t>
      </w:r>
      <w:r>
        <w:rPr>
          <w:sz w:val="20"/>
        </w:rPr>
        <w:t>of</w:t>
      </w:r>
      <w:r>
        <w:rPr>
          <w:spacing w:val="-8"/>
          <w:sz w:val="20"/>
        </w:rPr>
        <w:t> </w:t>
      </w:r>
      <w:r>
        <w:rPr>
          <w:sz w:val="20"/>
        </w:rPr>
        <w:t>any</w:t>
      </w:r>
      <w:r>
        <w:rPr>
          <w:spacing w:val="-18"/>
          <w:sz w:val="20"/>
        </w:rPr>
        <w:t> </w:t>
      </w:r>
      <w:r>
        <w:rPr>
          <w:sz w:val="20"/>
        </w:rPr>
        <w:t>compliance</w:t>
      </w:r>
      <w:r>
        <w:rPr>
          <w:spacing w:val="-15"/>
          <w:sz w:val="20"/>
        </w:rPr>
        <w:t> </w:t>
      </w:r>
      <w:r>
        <w:rPr>
          <w:sz w:val="20"/>
        </w:rPr>
        <w:t>activity</w:t>
      </w:r>
      <w:r>
        <w:rPr>
          <w:spacing w:val="-16"/>
          <w:sz w:val="20"/>
        </w:rPr>
        <w:t> </w:t>
      </w:r>
      <w:r>
        <w:rPr>
          <w:sz w:val="20"/>
        </w:rPr>
        <w:t>and</w:t>
      </w:r>
      <w:r>
        <w:rPr>
          <w:spacing w:val="-14"/>
          <w:sz w:val="20"/>
        </w:rPr>
        <w:t> </w:t>
      </w:r>
      <w:r>
        <w:rPr>
          <w:sz w:val="20"/>
        </w:rPr>
        <w:t>within</w:t>
      </w:r>
      <w:r>
        <w:rPr>
          <w:spacing w:val="-13"/>
          <w:sz w:val="20"/>
        </w:rPr>
        <w:t> </w:t>
      </w:r>
      <w:r>
        <w:rPr>
          <w:sz w:val="20"/>
        </w:rPr>
        <w:t>the</w:t>
      </w:r>
      <w:r>
        <w:rPr>
          <w:spacing w:val="-15"/>
          <w:sz w:val="20"/>
        </w:rPr>
        <w:t> </w:t>
      </w:r>
      <w:r>
        <w:rPr>
          <w:sz w:val="20"/>
        </w:rPr>
        <w:t>context of the tax certainty process. The segmentation framework for Amount A aims to provide a balance of the benefits</w:t>
      </w:r>
      <w:r>
        <w:rPr>
          <w:spacing w:val="-6"/>
          <w:sz w:val="20"/>
        </w:rPr>
        <w:t> </w:t>
      </w:r>
      <w:r>
        <w:rPr>
          <w:sz w:val="20"/>
        </w:rPr>
        <w:t>of</w:t>
      </w:r>
      <w:r>
        <w:rPr>
          <w:spacing w:val="-8"/>
          <w:sz w:val="20"/>
        </w:rPr>
        <w:t> </w:t>
      </w:r>
      <w:r>
        <w:rPr>
          <w:sz w:val="20"/>
        </w:rPr>
        <w:t>the</w:t>
      </w:r>
      <w:r>
        <w:rPr>
          <w:spacing w:val="-7"/>
          <w:sz w:val="20"/>
        </w:rPr>
        <w:t> </w:t>
      </w:r>
      <w:r>
        <w:rPr>
          <w:sz w:val="20"/>
        </w:rPr>
        <w:t>additional</w:t>
      </w:r>
      <w:r>
        <w:rPr>
          <w:spacing w:val="-8"/>
          <w:sz w:val="20"/>
        </w:rPr>
        <w:t> </w:t>
      </w:r>
      <w:r>
        <w:rPr>
          <w:sz w:val="20"/>
        </w:rPr>
        <w:t>accuracy</w:t>
      </w:r>
      <w:r>
        <w:rPr>
          <w:spacing w:val="-12"/>
          <w:sz w:val="20"/>
        </w:rPr>
        <w:t> </w:t>
      </w:r>
      <w:r>
        <w:rPr>
          <w:sz w:val="20"/>
        </w:rPr>
        <w:t>and</w:t>
      </w:r>
      <w:r>
        <w:rPr>
          <w:spacing w:val="-7"/>
          <w:sz w:val="20"/>
        </w:rPr>
        <w:t> </w:t>
      </w:r>
      <w:r>
        <w:rPr>
          <w:sz w:val="20"/>
        </w:rPr>
        <w:t>the</w:t>
      </w:r>
      <w:r>
        <w:rPr>
          <w:spacing w:val="-8"/>
          <w:sz w:val="20"/>
        </w:rPr>
        <w:t> </w:t>
      </w:r>
      <w:r>
        <w:rPr>
          <w:sz w:val="20"/>
        </w:rPr>
        <w:t>additional</w:t>
      </w:r>
      <w:r>
        <w:rPr>
          <w:spacing w:val="-7"/>
          <w:sz w:val="20"/>
        </w:rPr>
        <w:t> </w:t>
      </w:r>
      <w:r>
        <w:rPr>
          <w:sz w:val="20"/>
        </w:rPr>
        <w:t>complexity</w:t>
      </w:r>
      <w:r>
        <w:rPr>
          <w:spacing w:val="-11"/>
          <w:sz w:val="20"/>
        </w:rPr>
        <w:t> </w:t>
      </w:r>
      <w:r>
        <w:rPr>
          <w:sz w:val="20"/>
        </w:rPr>
        <w:t>and</w:t>
      </w:r>
      <w:r>
        <w:rPr>
          <w:spacing w:val="-9"/>
          <w:sz w:val="20"/>
        </w:rPr>
        <w:t> </w:t>
      </w:r>
      <w:r>
        <w:rPr>
          <w:sz w:val="20"/>
        </w:rPr>
        <w:t>costs</w:t>
      </w:r>
      <w:r>
        <w:rPr>
          <w:spacing w:val="-6"/>
          <w:sz w:val="20"/>
        </w:rPr>
        <w:t> </w:t>
      </w:r>
      <w:r>
        <w:rPr>
          <w:sz w:val="20"/>
        </w:rPr>
        <w:t>that</w:t>
      </w:r>
      <w:r>
        <w:rPr>
          <w:spacing w:val="-7"/>
          <w:sz w:val="20"/>
        </w:rPr>
        <w:t> </w:t>
      </w:r>
      <w:r>
        <w:rPr>
          <w:sz w:val="20"/>
        </w:rPr>
        <w:t>segmentation</w:t>
      </w:r>
      <w:r>
        <w:rPr>
          <w:spacing w:val="-6"/>
          <w:sz w:val="20"/>
        </w:rPr>
        <w:t> </w:t>
      </w:r>
      <w:r>
        <w:rPr>
          <w:sz w:val="20"/>
        </w:rPr>
        <w:t>would</w:t>
      </w:r>
      <w:r>
        <w:rPr>
          <w:spacing w:val="-7"/>
          <w:sz w:val="20"/>
        </w:rPr>
        <w:t> </w:t>
      </w:r>
      <w:r>
        <w:rPr>
          <w:sz w:val="20"/>
        </w:rPr>
        <w:t>bring.</w:t>
      </w:r>
    </w:p>
    <w:p>
      <w:pPr>
        <w:pStyle w:val="ListParagraph"/>
        <w:numPr>
          <w:ilvl w:val="0"/>
          <w:numId w:val="13"/>
        </w:numPr>
        <w:tabs>
          <w:tab w:pos="1444" w:val="left" w:leader="none"/>
        </w:tabs>
        <w:spacing w:line="271" w:lineRule="auto" w:before="124" w:after="0"/>
        <w:ind w:left="723" w:right="481" w:firstLine="0"/>
        <w:jc w:val="both"/>
        <w:rPr>
          <w:sz w:val="20"/>
        </w:rPr>
      </w:pPr>
      <w:r>
        <w:rPr>
          <w:sz w:val="20"/>
        </w:rPr>
        <w:t>The framework starts from an acknowledgement that though it is feasible for taxpayers to break down their revenue between ADS, CFB and out-of-scope, it may not be possible for them to compute separately the net profits attributable to these activities (i.e. segmentation of the tax base). Nevertheless, as Pillar One applies the principle of net, rather than gross, basis taxation it will still be necessary to only reallocate profits attributable to in-scope activities. The easiest way to achieve this would be to calculate the Amount A tax base on a consolidated basis and use the consolidated profit margin of the group as a proxy</w:t>
      </w:r>
      <w:r>
        <w:rPr>
          <w:spacing w:val="-18"/>
          <w:sz w:val="20"/>
        </w:rPr>
        <w:t> </w:t>
      </w:r>
      <w:r>
        <w:rPr>
          <w:sz w:val="20"/>
        </w:rPr>
        <w:t>for</w:t>
      </w:r>
      <w:r>
        <w:rPr>
          <w:spacing w:val="-15"/>
          <w:sz w:val="20"/>
        </w:rPr>
        <w:t> </w:t>
      </w:r>
      <w:r>
        <w:rPr>
          <w:sz w:val="20"/>
        </w:rPr>
        <w:t>the</w:t>
      </w:r>
      <w:r>
        <w:rPr>
          <w:spacing w:val="-13"/>
          <w:sz w:val="20"/>
        </w:rPr>
        <w:t> </w:t>
      </w:r>
      <w:r>
        <w:rPr>
          <w:sz w:val="20"/>
        </w:rPr>
        <w:t>in-scope</w:t>
      </w:r>
      <w:r>
        <w:rPr>
          <w:spacing w:val="-13"/>
          <w:sz w:val="20"/>
        </w:rPr>
        <w:t> </w:t>
      </w:r>
      <w:r>
        <w:rPr>
          <w:sz w:val="20"/>
        </w:rPr>
        <w:t>profit</w:t>
      </w:r>
      <w:r>
        <w:rPr>
          <w:spacing w:val="-13"/>
          <w:sz w:val="20"/>
        </w:rPr>
        <w:t> </w:t>
      </w:r>
      <w:r>
        <w:rPr>
          <w:sz w:val="20"/>
        </w:rPr>
        <w:t>margin,</w:t>
      </w:r>
      <w:r>
        <w:rPr>
          <w:spacing w:val="-15"/>
          <w:sz w:val="20"/>
        </w:rPr>
        <w:t> </w:t>
      </w:r>
      <w:r>
        <w:rPr>
          <w:sz w:val="20"/>
        </w:rPr>
        <w:t>applying</w:t>
      </w:r>
      <w:r>
        <w:rPr>
          <w:spacing w:val="-13"/>
          <w:sz w:val="20"/>
        </w:rPr>
        <w:t> </w:t>
      </w:r>
      <w:r>
        <w:rPr>
          <w:sz w:val="20"/>
        </w:rPr>
        <w:t>it</w:t>
      </w:r>
      <w:r>
        <w:rPr>
          <w:spacing w:val="-13"/>
          <w:sz w:val="20"/>
        </w:rPr>
        <w:t> </w:t>
      </w:r>
      <w:r>
        <w:rPr>
          <w:sz w:val="20"/>
        </w:rPr>
        <w:t>to</w:t>
      </w:r>
      <w:r>
        <w:rPr>
          <w:spacing w:val="-12"/>
          <w:sz w:val="20"/>
        </w:rPr>
        <w:t> </w:t>
      </w:r>
      <w:r>
        <w:rPr>
          <w:sz w:val="20"/>
        </w:rPr>
        <w:t>in-scope</w:t>
      </w:r>
      <w:r>
        <w:rPr>
          <w:spacing w:val="-15"/>
          <w:sz w:val="20"/>
        </w:rPr>
        <w:t> </w:t>
      </w:r>
      <w:r>
        <w:rPr>
          <w:sz w:val="20"/>
        </w:rPr>
        <w:t>revenues</w:t>
      </w:r>
      <w:r>
        <w:rPr>
          <w:spacing w:val="-14"/>
          <w:sz w:val="20"/>
        </w:rPr>
        <w:t> </w:t>
      </w:r>
      <w:r>
        <w:rPr>
          <w:sz w:val="20"/>
        </w:rPr>
        <w:t>to</w:t>
      </w:r>
      <w:r>
        <w:rPr>
          <w:spacing w:val="-13"/>
          <w:sz w:val="20"/>
        </w:rPr>
        <w:t> </w:t>
      </w:r>
      <w:r>
        <w:rPr>
          <w:sz w:val="20"/>
        </w:rPr>
        <w:t>produce</w:t>
      </w:r>
      <w:r>
        <w:rPr>
          <w:spacing w:val="-13"/>
          <w:sz w:val="20"/>
        </w:rPr>
        <w:t> </w:t>
      </w:r>
      <w:r>
        <w:rPr>
          <w:sz w:val="20"/>
        </w:rPr>
        <w:t>a</w:t>
      </w:r>
      <w:r>
        <w:rPr>
          <w:spacing w:val="-13"/>
          <w:sz w:val="20"/>
        </w:rPr>
        <w:t> </w:t>
      </w:r>
      <w:r>
        <w:rPr>
          <w:sz w:val="20"/>
        </w:rPr>
        <w:t>proxy</w:t>
      </w:r>
      <w:r>
        <w:rPr>
          <w:spacing w:val="-18"/>
          <w:sz w:val="20"/>
        </w:rPr>
        <w:t> </w:t>
      </w:r>
      <w:r>
        <w:rPr>
          <w:sz w:val="20"/>
        </w:rPr>
        <w:t>for</w:t>
      </w:r>
      <w:r>
        <w:rPr>
          <w:spacing w:val="-12"/>
          <w:sz w:val="20"/>
        </w:rPr>
        <w:t> </w:t>
      </w:r>
      <w:r>
        <w:rPr>
          <w:sz w:val="20"/>
        </w:rPr>
        <w:t>in-scope</w:t>
      </w:r>
      <w:r>
        <w:rPr>
          <w:spacing w:val="-14"/>
          <w:sz w:val="20"/>
        </w:rPr>
        <w:t> </w:t>
      </w:r>
      <w:r>
        <w:rPr>
          <w:sz w:val="20"/>
        </w:rPr>
        <w:t>profits. From this proxy, Amount A would be calculated and then allocated among market jurisdictions using the allocation formula.</w:t>
      </w:r>
      <w:r>
        <w:rPr>
          <w:sz w:val="20"/>
          <w:vertAlign w:val="superscript"/>
        </w:rPr>
        <w:t>61</w:t>
      </w:r>
      <w:r>
        <w:rPr>
          <w:sz w:val="20"/>
          <w:vertAlign w:val="baseline"/>
        </w:rPr>
        <w:t> Therefore, the segmentation framework will adopt this simplification as the default rule, while providing that in some circumstances, primarily to maintain a level playing field between taxpayers, the Amount A tax base will be computed on a segmented</w:t>
      </w:r>
      <w:r>
        <w:rPr>
          <w:spacing w:val="-6"/>
          <w:sz w:val="20"/>
          <w:vertAlign w:val="baseline"/>
        </w:rPr>
        <w:t> </w:t>
      </w:r>
      <w:r>
        <w:rPr>
          <w:sz w:val="20"/>
          <w:vertAlign w:val="baseline"/>
        </w:rPr>
        <w:t>basis.</w:t>
      </w:r>
    </w:p>
    <w:p>
      <w:pPr>
        <w:pStyle w:val="ListParagraph"/>
        <w:numPr>
          <w:ilvl w:val="0"/>
          <w:numId w:val="13"/>
        </w:numPr>
        <w:tabs>
          <w:tab w:pos="1444" w:val="left" w:leader="none"/>
        </w:tabs>
        <w:spacing w:line="240" w:lineRule="auto" w:before="123" w:after="0"/>
        <w:ind w:left="1443" w:right="0" w:hanging="721"/>
        <w:jc w:val="both"/>
        <w:rPr>
          <w:sz w:val="20"/>
        </w:rPr>
      </w:pPr>
      <w:r>
        <w:rPr>
          <w:sz w:val="20"/>
        </w:rPr>
        <w:t>The framework will be based on the following three-step</w:t>
      </w:r>
      <w:r>
        <w:rPr>
          <w:spacing w:val="-7"/>
          <w:sz w:val="20"/>
        </w:rPr>
        <w:t> </w:t>
      </w:r>
      <w:r>
        <w:rPr>
          <w:sz w:val="20"/>
        </w:rPr>
        <w:t>process:</w:t>
      </w:r>
    </w:p>
    <w:p>
      <w:pPr>
        <w:pStyle w:val="ListParagraph"/>
        <w:numPr>
          <w:ilvl w:val="1"/>
          <w:numId w:val="13"/>
        </w:numPr>
        <w:tabs>
          <w:tab w:pos="1403" w:val="left" w:leader="none"/>
        </w:tabs>
        <w:spacing w:line="266" w:lineRule="auto" w:before="128" w:after="0"/>
        <w:ind w:left="1402" w:right="487" w:hanging="339"/>
        <w:jc w:val="both"/>
        <w:rPr>
          <w:sz w:val="20"/>
        </w:rPr>
      </w:pPr>
      <w:r>
        <w:rPr>
          <w:sz w:val="20"/>
        </w:rPr>
        <w:t>First,</w:t>
      </w:r>
      <w:r>
        <w:rPr>
          <w:spacing w:val="-14"/>
          <w:sz w:val="20"/>
        </w:rPr>
        <w:t> </w:t>
      </w:r>
      <w:r>
        <w:rPr>
          <w:sz w:val="20"/>
        </w:rPr>
        <w:t>all</w:t>
      </w:r>
      <w:r>
        <w:rPr>
          <w:spacing w:val="-12"/>
          <w:sz w:val="20"/>
        </w:rPr>
        <w:t> </w:t>
      </w:r>
      <w:r>
        <w:rPr>
          <w:sz w:val="20"/>
        </w:rPr>
        <w:t>MNE</w:t>
      </w:r>
      <w:r>
        <w:rPr>
          <w:spacing w:val="-14"/>
          <w:sz w:val="20"/>
        </w:rPr>
        <w:t> </w:t>
      </w:r>
      <w:r>
        <w:rPr>
          <w:sz w:val="20"/>
        </w:rPr>
        <w:t>groups</w:t>
      </w:r>
      <w:r>
        <w:rPr>
          <w:spacing w:val="-9"/>
          <w:sz w:val="20"/>
        </w:rPr>
        <w:t> </w:t>
      </w:r>
      <w:r>
        <w:rPr>
          <w:sz w:val="20"/>
        </w:rPr>
        <w:t>in</w:t>
      </w:r>
      <w:r>
        <w:rPr>
          <w:spacing w:val="-13"/>
          <w:sz w:val="20"/>
        </w:rPr>
        <w:t> </w:t>
      </w:r>
      <w:r>
        <w:rPr>
          <w:sz w:val="20"/>
        </w:rPr>
        <w:t>scope</w:t>
      </w:r>
      <w:r>
        <w:rPr>
          <w:spacing w:val="-14"/>
          <w:sz w:val="20"/>
        </w:rPr>
        <w:t> </w:t>
      </w:r>
      <w:r>
        <w:rPr>
          <w:sz w:val="20"/>
        </w:rPr>
        <w:t>of</w:t>
      </w:r>
      <w:r>
        <w:rPr>
          <w:spacing w:val="-9"/>
          <w:sz w:val="20"/>
        </w:rPr>
        <w:t> </w:t>
      </w:r>
      <w:r>
        <w:rPr>
          <w:sz w:val="20"/>
        </w:rPr>
        <w:t>Amount</w:t>
      </w:r>
      <w:r>
        <w:rPr>
          <w:spacing w:val="-13"/>
          <w:sz w:val="20"/>
        </w:rPr>
        <w:t> </w:t>
      </w:r>
      <w:r>
        <w:rPr>
          <w:sz w:val="20"/>
        </w:rPr>
        <w:t>A</w:t>
      </w:r>
      <w:r>
        <w:rPr>
          <w:spacing w:val="-9"/>
          <w:sz w:val="20"/>
        </w:rPr>
        <w:t> </w:t>
      </w:r>
      <w:r>
        <w:rPr>
          <w:sz w:val="20"/>
        </w:rPr>
        <w:t>would</w:t>
      </w:r>
      <w:r>
        <w:rPr>
          <w:spacing w:val="-11"/>
          <w:sz w:val="20"/>
        </w:rPr>
        <w:t> </w:t>
      </w:r>
      <w:r>
        <w:rPr>
          <w:sz w:val="20"/>
        </w:rPr>
        <w:t>need</w:t>
      </w:r>
      <w:r>
        <w:rPr>
          <w:spacing w:val="-12"/>
          <w:sz w:val="20"/>
        </w:rPr>
        <w:t> </w:t>
      </w:r>
      <w:r>
        <w:rPr>
          <w:sz w:val="20"/>
        </w:rPr>
        <w:t>to</w:t>
      </w:r>
      <w:r>
        <w:rPr>
          <w:spacing w:val="-11"/>
          <w:sz w:val="20"/>
        </w:rPr>
        <w:t> </w:t>
      </w:r>
      <w:r>
        <w:rPr>
          <w:sz w:val="20"/>
        </w:rPr>
        <w:t>break</w:t>
      </w:r>
      <w:r>
        <w:rPr>
          <w:spacing w:val="-10"/>
          <w:sz w:val="20"/>
        </w:rPr>
        <w:t> </w:t>
      </w:r>
      <w:r>
        <w:rPr>
          <w:sz w:val="20"/>
        </w:rPr>
        <w:t>down</w:t>
      </w:r>
      <w:r>
        <w:rPr>
          <w:spacing w:val="-11"/>
          <w:sz w:val="20"/>
        </w:rPr>
        <w:t> </w:t>
      </w:r>
      <w:r>
        <w:rPr>
          <w:sz w:val="20"/>
        </w:rPr>
        <w:t>their</w:t>
      </w:r>
      <w:r>
        <w:rPr>
          <w:spacing w:val="-13"/>
          <w:sz w:val="20"/>
        </w:rPr>
        <w:t> </w:t>
      </w:r>
      <w:r>
        <w:rPr>
          <w:sz w:val="20"/>
        </w:rPr>
        <w:t>revenue</w:t>
      </w:r>
      <w:r>
        <w:rPr>
          <w:spacing w:val="-14"/>
          <w:sz w:val="20"/>
        </w:rPr>
        <w:t> </w:t>
      </w:r>
      <w:r>
        <w:rPr>
          <w:sz w:val="20"/>
        </w:rPr>
        <w:t>between</w:t>
      </w:r>
      <w:r>
        <w:rPr>
          <w:spacing w:val="-12"/>
          <w:sz w:val="20"/>
        </w:rPr>
        <w:t> </w:t>
      </w:r>
      <w:r>
        <w:rPr>
          <w:sz w:val="20"/>
        </w:rPr>
        <w:t>ADS, CFB and out-of-scope activities, as may be required for the scope and nexus</w:t>
      </w:r>
      <w:r>
        <w:rPr>
          <w:spacing w:val="-22"/>
          <w:sz w:val="20"/>
        </w:rPr>
        <w:t> </w:t>
      </w:r>
      <w:r>
        <w:rPr>
          <w:sz w:val="20"/>
        </w:rPr>
        <w:t>rules.</w:t>
      </w:r>
    </w:p>
    <w:p>
      <w:pPr>
        <w:pStyle w:val="ListParagraph"/>
        <w:numPr>
          <w:ilvl w:val="1"/>
          <w:numId w:val="13"/>
        </w:numPr>
        <w:tabs>
          <w:tab w:pos="1403" w:val="left" w:leader="none"/>
        </w:tabs>
        <w:spacing w:line="268" w:lineRule="auto" w:before="54" w:after="0"/>
        <w:ind w:left="1402" w:right="482" w:hanging="339"/>
        <w:jc w:val="both"/>
        <w:rPr>
          <w:sz w:val="20"/>
        </w:rPr>
      </w:pPr>
      <w:r>
        <w:rPr>
          <w:sz w:val="20"/>
        </w:rPr>
        <w:t>Second,</w:t>
      </w:r>
      <w:r>
        <w:rPr>
          <w:spacing w:val="-6"/>
          <w:sz w:val="20"/>
        </w:rPr>
        <w:t> </w:t>
      </w:r>
      <w:r>
        <w:rPr>
          <w:sz w:val="20"/>
        </w:rPr>
        <w:t>to</w:t>
      </w:r>
      <w:r>
        <w:rPr>
          <w:spacing w:val="-4"/>
          <w:sz w:val="20"/>
        </w:rPr>
        <w:t> </w:t>
      </w:r>
      <w:r>
        <w:rPr>
          <w:sz w:val="20"/>
        </w:rPr>
        <w:t>limit</w:t>
      </w:r>
      <w:r>
        <w:rPr>
          <w:spacing w:val="-4"/>
          <w:sz w:val="20"/>
        </w:rPr>
        <w:t> </w:t>
      </w:r>
      <w:r>
        <w:rPr>
          <w:sz w:val="20"/>
        </w:rPr>
        <w:t>the</w:t>
      </w:r>
      <w:r>
        <w:rPr>
          <w:spacing w:val="-4"/>
          <w:sz w:val="20"/>
        </w:rPr>
        <w:t> </w:t>
      </w:r>
      <w:r>
        <w:rPr>
          <w:sz w:val="20"/>
        </w:rPr>
        <w:t>number</w:t>
      </w:r>
      <w:r>
        <w:rPr>
          <w:spacing w:val="-3"/>
          <w:sz w:val="20"/>
        </w:rPr>
        <w:t> </w:t>
      </w:r>
      <w:r>
        <w:rPr>
          <w:sz w:val="20"/>
        </w:rPr>
        <w:t>of</w:t>
      </w:r>
      <w:r>
        <w:rPr>
          <w:spacing w:val="-2"/>
          <w:sz w:val="20"/>
        </w:rPr>
        <w:t> </w:t>
      </w:r>
      <w:r>
        <w:rPr>
          <w:sz w:val="20"/>
        </w:rPr>
        <w:t>MNE</w:t>
      </w:r>
      <w:r>
        <w:rPr>
          <w:spacing w:val="-5"/>
          <w:sz w:val="20"/>
        </w:rPr>
        <w:t> </w:t>
      </w:r>
      <w:r>
        <w:rPr>
          <w:sz w:val="20"/>
        </w:rPr>
        <w:t>groups</w:t>
      </w:r>
      <w:r>
        <w:rPr>
          <w:spacing w:val="-3"/>
          <w:sz w:val="20"/>
        </w:rPr>
        <w:t> </w:t>
      </w:r>
      <w:r>
        <w:rPr>
          <w:sz w:val="20"/>
        </w:rPr>
        <w:t>that</w:t>
      </w:r>
      <w:r>
        <w:rPr>
          <w:spacing w:val="-5"/>
          <w:sz w:val="20"/>
        </w:rPr>
        <w:t> </w:t>
      </w:r>
      <w:r>
        <w:rPr>
          <w:sz w:val="20"/>
        </w:rPr>
        <w:t>are</w:t>
      </w:r>
      <w:r>
        <w:rPr>
          <w:spacing w:val="-4"/>
          <w:sz w:val="20"/>
        </w:rPr>
        <w:t> </w:t>
      </w:r>
      <w:r>
        <w:rPr>
          <w:sz w:val="20"/>
        </w:rPr>
        <w:t>required</w:t>
      </w:r>
      <w:r>
        <w:rPr>
          <w:spacing w:val="-4"/>
          <w:sz w:val="20"/>
        </w:rPr>
        <w:t> </w:t>
      </w:r>
      <w:r>
        <w:rPr>
          <w:sz w:val="20"/>
        </w:rPr>
        <w:t>to</w:t>
      </w:r>
      <w:r>
        <w:rPr>
          <w:spacing w:val="-4"/>
          <w:sz w:val="20"/>
        </w:rPr>
        <w:t> </w:t>
      </w:r>
      <w:r>
        <w:rPr>
          <w:sz w:val="20"/>
        </w:rPr>
        <w:t>segment</w:t>
      </w:r>
      <w:r>
        <w:rPr>
          <w:spacing w:val="-5"/>
          <w:sz w:val="20"/>
        </w:rPr>
        <w:t> </w:t>
      </w:r>
      <w:r>
        <w:rPr>
          <w:sz w:val="20"/>
        </w:rPr>
        <w:t>their</w:t>
      </w:r>
      <w:r>
        <w:rPr>
          <w:spacing w:val="-3"/>
          <w:sz w:val="20"/>
        </w:rPr>
        <w:t> </w:t>
      </w:r>
      <w:r>
        <w:rPr>
          <w:sz w:val="20"/>
        </w:rPr>
        <w:t>Amount</w:t>
      </w:r>
      <w:r>
        <w:rPr>
          <w:spacing w:val="-5"/>
          <w:sz w:val="20"/>
        </w:rPr>
        <w:t> </w:t>
      </w:r>
      <w:r>
        <w:rPr>
          <w:sz w:val="20"/>
        </w:rPr>
        <w:t>A</w:t>
      </w:r>
      <w:r>
        <w:rPr>
          <w:spacing w:val="-4"/>
          <w:sz w:val="20"/>
        </w:rPr>
        <w:t> </w:t>
      </w:r>
      <w:r>
        <w:rPr>
          <w:sz w:val="20"/>
        </w:rPr>
        <w:t>tax</w:t>
      </w:r>
      <w:r>
        <w:rPr>
          <w:spacing w:val="-3"/>
          <w:sz w:val="20"/>
        </w:rPr>
        <w:t> </w:t>
      </w:r>
      <w:r>
        <w:rPr>
          <w:sz w:val="20"/>
        </w:rPr>
        <w:t>base, MNE groups with global revenue less than EUR [X] billion would benefit from a “segmentation exemption” which would require them to compute the Amount A tax base on a group basis.</w:t>
      </w:r>
      <w:r>
        <w:rPr>
          <w:sz w:val="20"/>
          <w:vertAlign w:val="superscript"/>
        </w:rPr>
        <w:t>62</w:t>
      </w:r>
      <w:r>
        <w:rPr>
          <w:spacing w:val="45"/>
          <w:sz w:val="20"/>
          <w:vertAlign w:val="baseline"/>
        </w:rPr>
        <w:t> </w:t>
      </w:r>
      <w:r>
        <w:rPr>
          <w:sz w:val="20"/>
          <w:vertAlign w:val="baseline"/>
        </w:rPr>
        <w:t>For</w:t>
      </w:r>
    </w:p>
    <w:p>
      <w:pPr>
        <w:pStyle w:val="BodyText"/>
      </w:pPr>
    </w:p>
    <w:p>
      <w:pPr>
        <w:pStyle w:val="BodyText"/>
        <w:spacing w:before="2"/>
        <w:rPr>
          <w:sz w:val="26"/>
        </w:rPr>
      </w:pPr>
      <w:r>
        <w:rPr/>
        <w:pict>
          <v:rect style="position:absolute;margin-left:65.183998pt;margin-top:17.041622pt;width:144.020004pt;height:.599980pt;mso-position-horizontal-relative:page;mso-position-vertical-relative:paragraph;z-index:-15671808;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1" w:val="left" w:leader="none"/>
        </w:tabs>
        <w:spacing w:line="278" w:lineRule="auto" w:before="95" w:after="0"/>
        <w:ind w:left="723" w:right="479" w:firstLine="0"/>
        <w:jc w:val="both"/>
        <w:rPr>
          <w:sz w:val="18"/>
        </w:rPr>
      </w:pPr>
      <w:r>
        <w:rPr>
          <w:sz w:val="18"/>
        </w:rPr>
        <w:t>The quantum of Amount A profits allocable to an eligible market jurisdiction will result from applying the Amount A formula (including the allocation key based on in-scope revenue) to the consolidated tax base. This would mean that even though the calculation of the Amount A tax base would not distinguish between in and out-of-scope activities, market jurisdictions would still not be allocated Amount A profits for out-of-scope activities. In effect, the group or segment profit margin would be used as a proxy for the profit margin of in-scope</w:t>
      </w:r>
      <w:r>
        <w:rPr>
          <w:spacing w:val="-16"/>
          <w:sz w:val="18"/>
        </w:rPr>
        <w:t> </w:t>
      </w:r>
      <w:r>
        <w:rPr>
          <w:sz w:val="18"/>
        </w:rPr>
        <w:t>activities.</w:t>
      </w:r>
    </w:p>
    <w:p>
      <w:pPr>
        <w:pStyle w:val="ListParagraph"/>
        <w:numPr>
          <w:ilvl w:val="0"/>
          <w:numId w:val="14"/>
        </w:numPr>
        <w:tabs>
          <w:tab w:pos="933" w:val="left" w:leader="none"/>
        </w:tabs>
        <w:spacing w:line="278" w:lineRule="auto" w:before="77" w:after="0"/>
        <w:ind w:left="723" w:right="476" w:firstLine="0"/>
        <w:jc w:val="both"/>
        <w:rPr>
          <w:sz w:val="18"/>
        </w:rPr>
      </w:pPr>
      <w:r>
        <w:rPr>
          <w:sz w:val="18"/>
        </w:rPr>
        <w:t>This safe harbour approach could, however, substantially increase the number of MNE groups that would elect to compute the Amount A tax base on a segmented basis, with ensuing administrative burdens for tax administrations. The</w:t>
      </w:r>
      <w:r>
        <w:rPr>
          <w:spacing w:val="-2"/>
          <w:sz w:val="18"/>
        </w:rPr>
        <w:t> </w:t>
      </w:r>
      <w:r>
        <w:rPr>
          <w:sz w:val="18"/>
        </w:rPr>
        <w:t>safe</w:t>
      </w:r>
      <w:r>
        <w:rPr>
          <w:spacing w:val="-3"/>
          <w:sz w:val="18"/>
        </w:rPr>
        <w:t> </w:t>
      </w:r>
      <w:r>
        <w:rPr>
          <w:sz w:val="18"/>
        </w:rPr>
        <w:t>harbour</w:t>
      </w:r>
      <w:r>
        <w:rPr>
          <w:spacing w:val="-5"/>
          <w:sz w:val="18"/>
        </w:rPr>
        <w:t> </w:t>
      </w:r>
      <w:r>
        <w:rPr>
          <w:sz w:val="18"/>
        </w:rPr>
        <w:t>approach</w:t>
      </w:r>
      <w:r>
        <w:rPr>
          <w:spacing w:val="-3"/>
          <w:sz w:val="18"/>
        </w:rPr>
        <w:t> </w:t>
      </w:r>
      <w:r>
        <w:rPr>
          <w:sz w:val="18"/>
        </w:rPr>
        <w:t>would</w:t>
      </w:r>
      <w:r>
        <w:rPr>
          <w:spacing w:val="-3"/>
          <w:sz w:val="18"/>
        </w:rPr>
        <w:t> </w:t>
      </w:r>
      <w:r>
        <w:rPr>
          <w:sz w:val="18"/>
        </w:rPr>
        <w:t>be</w:t>
      </w:r>
      <w:r>
        <w:rPr>
          <w:spacing w:val="-4"/>
          <w:sz w:val="18"/>
        </w:rPr>
        <w:t> </w:t>
      </w:r>
      <w:r>
        <w:rPr>
          <w:sz w:val="18"/>
        </w:rPr>
        <w:t>to</w:t>
      </w:r>
      <w:r>
        <w:rPr>
          <w:spacing w:val="-3"/>
          <w:sz w:val="18"/>
        </w:rPr>
        <w:t> </w:t>
      </w:r>
      <w:r>
        <w:rPr>
          <w:sz w:val="18"/>
        </w:rPr>
        <w:t>the</w:t>
      </w:r>
      <w:r>
        <w:rPr>
          <w:spacing w:val="-3"/>
          <w:sz w:val="18"/>
        </w:rPr>
        <w:t> </w:t>
      </w:r>
      <w:r>
        <w:rPr>
          <w:sz w:val="18"/>
        </w:rPr>
        <w:t>benefit</w:t>
      </w:r>
      <w:r>
        <w:rPr>
          <w:spacing w:val="-4"/>
          <w:sz w:val="18"/>
        </w:rPr>
        <w:t> </w:t>
      </w:r>
      <w:r>
        <w:rPr>
          <w:sz w:val="18"/>
        </w:rPr>
        <w:t>of</w:t>
      </w:r>
      <w:r>
        <w:rPr>
          <w:spacing w:val="-3"/>
          <w:sz w:val="18"/>
        </w:rPr>
        <w:t> </w:t>
      </w:r>
      <w:r>
        <w:rPr>
          <w:sz w:val="18"/>
        </w:rPr>
        <w:t>taxpayers,</w:t>
      </w:r>
      <w:r>
        <w:rPr>
          <w:spacing w:val="-3"/>
          <w:sz w:val="18"/>
        </w:rPr>
        <w:t> </w:t>
      </w:r>
      <w:r>
        <w:rPr>
          <w:sz w:val="18"/>
        </w:rPr>
        <w:t>as</w:t>
      </w:r>
      <w:r>
        <w:rPr>
          <w:spacing w:val="-4"/>
          <w:sz w:val="18"/>
        </w:rPr>
        <w:t> </w:t>
      </w:r>
      <w:r>
        <w:rPr>
          <w:sz w:val="18"/>
        </w:rPr>
        <w:t>it</w:t>
      </w:r>
      <w:r>
        <w:rPr>
          <w:spacing w:val="-3"/>
          <w:sz w:val="18"/>
        </w:rPr>
        <w:t> </w:t>
      </w:r>
      <w:r>
        <w:rPr>
          <w:sz w:val="18"/>
        </w:rPr>
        <w:t>would</w:t>
      </w:r>
      <w:r>
        <w:rPr>
          <w:spacing w:val="-3"/>
          <w:sz w:val="18"/>
        </w:rPr>
        <w:t> </w:t>
      </w:r>
      <w:r>
        <w:rPr>
          <w:sz w:val="18"/>
        </w:rPr>
        <w:t>allow</w:t>
      </w:r>
      <w:r>
        <w:rPr>
          <w:spacing w:val="-5"/>
          <w:sz w:val="18"/>
        </w:rPr>
        <w:t> </w:t>
      </w:r>
      <w:r>
        <w:rPr>
          <w:sz w:val="18"/>
        </w:rPr>
        <w:t>a</w:t>
      </w:r>
      <w:r>
        <w:rPr>
          <w:spacing w:val="-1"/>
          <w:sz w:val="18"/>
        </w:rPr>
        <w:t> </w:t>
      </w:r>
      <w:r>
        <w:rPr>
          <w:sz w:val="18"/>
        </w:rPr>
        <w:t>group</w:t>
      </w:r>
      <w:r>
        <w:rPr>
          <w:spacing w:val="3"/>
          <w:sz w:val="18"/>
        </w:rPr>
        <w:t> </w:t>
      </w:r>
      <w:r>
        <w:rPr>
          <w:sz w:val="18"/>
        </w:rPr>
        <w:t>with</w:t>
      </w:r>
      <w:r>
        <w:rPr>
          <w:spacing w:val="-1"/>
          <w:sz w:val="18"/>
        </w:rPr>
        <w:t> </w:t>
      </w:r>
      <w:r>
        <w:rPr>
          <w:sz w:val="18"/>
        </w:rPr>
        <w:t>a</w:t>
      </w:r>
      <w:r>
        <w:rPr>
          <w:spacing w:val="-1"/>
          <w:sz w:val="18"/>
        </w:rPr>
        <w:t> </w:t>
      </w:r>
      <w:r>
        <w:rPr>
          <w:sz w:val="18"/>
        </w:rPr>
        <w:t>high</w:t>
      </w:r>
      <w:r>
        <w:rPr>
          <w:spacing w:val="-4"/>
          <w:sz w:val="18"/>
        </w:rPr>
        <w:t> </w:t>
      </w:r>
      <w:r>
        <w:rPr>
          <w:sz w:val="18"/>
        </w:rPr>
        <w:t>profitability</w:t>
      </w:r>
      <w:r>
        <w:rPr>
          <w:spacing w:val="-2"/>
          <w:sz w:val="18"/>
        </w:rPr>
        <w:t> </w:t>
      </w:r>
      <w:r>
        <w:rPr>
          <w:sz w:val="18"/>
        </w:rPr>
        <w:t>out-</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3"/>
        <w:jc w:val="both"/>
      </w:pPr>
      <w:r>
        <w:rPr/>
        <w:t>ease of administration and transition, this threshold would initially be set at EUR [X] billion and reduced over a five-year transition period.</w:t>
      </w:r>
      <w:r>
        <w:rPr>
          <w:position w:val="6"/>
          <w:sz w:val="13"/>
        </w:rPr>
        <w:t>63 </w:t>
      </w:r>
      <w:r>
        <w:rPr/>
        <w:t>Alternatively, this exemption could be designed as a safe harbour, whereby MNE groups below the threshold would have the option to compute the Amount A tax base either on a group or on a segmented basis, subject to the constraints outlined in the third step below.</w:t>
      </w:r>
    </w:p>
    <w:p>
      <w:pPr>
        <w:pStyle w:val="ListParagraph"/>
        <w:numPr>
          <w:ilvl w:val="0"/>
          <w:numId w:val="60"/>
        </w:numPr>
        <w:tabs>
          <w:tab w:pos="1403" w:val="left" w:leader="none"/>
        </w:tabs>
        <w:spacing w:line="268" w:lineRule="auto" w:before="46" w:after="0"/>
        <w:ind w:left="1402" w:right="482" w:hanging="339"/>
        <w:jc w:val="both"/>
        <w:rPr>
          <w:sz w:val="20"/>
        </w:rPr>
      </w:pPr>
      <w:r>
        <w:rPr>
          <w:sz w:val="20"/>
        </w:rPr>
        <w:t>Third,</w:t>
      </w:r>
      <w:r>
        <w:rPr>
          <w:spacing w:val="-9"/>
          <w:sz w:val="20"/>
        </w:rPr>
        <w:t> </w:t>
      </w:r>
      <w:r>
        <w:rPr>
          <w:sz w:val="20"/>
        </w:rPr>
        <w:t>those</w:t>
      </w:r>
      <w:r>
        <w:rPr>
          <w:spacing w:val="-8"/>
          <w:sz w:val="20"/>
        </w:rPr>
        <w:t> </w:t>
      </w:r>
      <w:r>
        <w:rPr>
          <w:sz w:val="20"/>
        </w:rPr>
        <w:t>groups</w:t>
      </w:r>
      <w:r>
        <w:rPr>
          <w:spacing w:val="-6"/>
          <w:sz w:val="20"/>
        </w:rPr>
        <w:t> </w:t>
      </w:r>
      <w:r>
        <w:rPr>
          <w:sz w:val="20"/>
        </w:rPr>
        <w:t>not</w:t>
      </w:r>
      <w:r>
        <w:rPr>
          <w:spacing w:val="-6"/>
          <w:sz w:val="20"/>
        </w:rPr>
        <w:t> </w:t>
      </w:r>
      <w:r>
        <w:rPr>
          <w:sz w:val="20"/>
        </w:rPr>
        <w:t>eligible</w:t>
      </w:r>
      <w:r>
        <w:rPr>
          <w:spacing w:val="-7"/>
          <w:sz w:val="20"/>
        </w:rPr>
        <w:t> </w:t>
      </w:r>
      <w:r>
        <w:rPr>
          <w:sz w:val="20"/>
        </w:rPr>
        <w:t>for</w:t>
      </w:r>
      <w:r>
        <w:rPr>
          <w:spacing w:val="-8"/>
          <w:sz w:val="20"/>
        </w:rPr>
        <w:t> </w:t>
      </w:r>
      <w:r>
        <w:rPr>
          <w:sz w:val="20"/>
        </w:rPr>
        <w:t>the</w:t>
      </w:r>
      <w:r>
        <w:rPr>
          <w:spacing w:val="-7"/>
          <w:sz w:val="20"/>
        </w:rPr>
        <w:t> </w:t>
      </w:r>
      <w:r>
        <w:rPr>
          <w:sz w:val="20"/>
        </w:rPr>
        <w:t>exemption</w:t>
      </w:r>
      <w:r>
        <w:rPr>
          <w:spacing w:val="-3"/>
          <w:sz w:val="20"/>
        </w:rPr>
        <w:t> </w:t>
      </w:r>
      <w:r>
        <w:rPr>
          <w:sz w:val="20"/>
        </w:rPr>
        <w:t>or,</w:t>
      </w:r>
      <w:r>
        <w:rPr>
          <w:spacing w:val="-6"/>
          <w:sz w:val="20"/>
        </w:rPr>
        <w:t> </w:t>
      </w:r>
      <w:r>
        <w:rPr>
          <w:sz w:val="20"/>
        </w:rPr>
        <w:t>if</w:t>
      </w:r>
      <w:r>
        <w:rPr>
          <w:spacing w:val="-5"/>
          <w:sz w:val="20"/>
        </w:rPr>
        <w:t> </w:t>
      </w:r>
      <w:r>
        <w:rPr>
          <w:sz w:val="20"/>
        </w:rPr>
        <w:t>designed</w:t>
      </w:r>
      <w:r>
        <w:rPr>
          <w:spacing w:val="-7"/>
          <w:sz w:val="20"/>
        </w:rPr>
        <w:t> </w:t>
      </w:r>
      <w:r>
        <w:rPr>
          <w:sz w:val="20"/>
        </w:rPr>
        <w:t>as</w:t>
      </w:r>
      <w:r>
        <w:rPr>
          <w:spacing w:val="-6"/>
          <w:sz w:val="20"/>
        </w:rPr>
        <w:t> </w:t>
      </w:r>
      <w:r>
        <w:rPr>
          <w:sz w:val="20"/>
        </w:rPr>
        <w:t>a</w:t>
      </w:r>
      <w:r>
        <w:rPr>
          <w:spacing w:val="-7"/>
          <w:sz w:val="20"/>
        </w:rPr>
        <w:t> </w:t>
      </w:r>
      <w:r>
        <w:rPr>
          <w:sz w:val="20"/>
        </w:rPr>
        <w:t>safe</w:t>
      </w:r>
      <w:r>
        <w:rPr>
          <w:spacing w:val="-9"/>
          <w:sz w:val="20"/>
        </w:rPr>
        <w:t> </w:t>
      </w:r>
      <w:r>
        <w:rPr>
          <w:sz w:val="20"/>
        </w:rPr>
        <w:t>harbour</w:t>
      </w:r>
      <w:r>
        <w:rPr>
          <w:spacing w:val="-2"/>
          <w:sz w:val="20"/>
        </w:rPr>
        <w:t> </w:t>
      </w:r>
      <w:r>
        <w:rPr>
          <w:sz w:val="20"/>
        </w:rPr>
        <w:t>did</w:t>
      </w:r>
      <w:r>
        <w:rPr>
          <w:spacing w:val="-7"/>
          <w:sz w:val="20"/>
        </w:rPr>
        <w:t> </w:t>
      </w:r>
      <w:r>
        <w:rPr>
          <w:sz w:val="20"/>
        </w:rPr>
        <w:t>not</w:t>
      </w:r>
      <w:r>
        <w:rPr>
          <w:spacing w:val="-7"/>
          <w:sz w:val="20"/>
        </w:rPr>
        <w:t> </w:t>
      </w:r>
      <w:r>
        <w:rPr>
          <w:sz w:val="20"/>
        </w:rPr>
        <w:t>elect</w:t>
      </w:r>
      <w:r>
        <w:rPr>
          <w:spacing w:val="-6"/>
          <w:sz w:val="20"/>
        </w:rPr>
        <w:t> </w:t>
      </w:r>
      <w:r>
        <w:rPr>
          <w:sz w:val="20"/>
        </w:rPr>
        <w:t>for it, would then test whether they are required to segment their Amount A tax base and on what basis. Consideration is being given to an approach based on the following three</w:t>
      </w:r>
      <w:r>
        <w:rPr>
          <w:spacing w:val="-30"/>
          <w:sz w:val="20"/>
        </w:rPr>
        <w:t> </w:t>
      </w:r>
      <w:r>
        <w:rPr>
          <w:sz w:val="20"/>
        </w:rPr>
        <w:t>sub-steps:</w:t>
      </w:r>
    </w:p>
    <w:p>
      <w:pPr>
        <w:pStyle w:val="ListParagraph"/>
        <w:numPr>
          <w:ilvl w:val="1"/>
          <w:numId w:val="60"/>
        </w:numPr>
        <w:tabs>
          <w:tab w:pos="1744" w:val="left" w:leader="none"/>
        </w:tabs>
        <w:spacing w:line="261" w:lineRule="auto" w:before="64" w:after="0"/>
        <w:ind w:left="1743" w:right="483" w:hanging="341"/>
        <w:jc w:val="both"/>
        <w:rPr>
          <w:sz w:val="20"/>
        </w:rPr>
      </w:pPr>
      <w:r>
        <w:rPr>
          <w:sz w:val="20"/>
        </w:rPr>
        <w:t>MNE</w:t>
      </w:r>
      <w:r>
        <w:rPr>
          <w:spacing w:val="-7"/>
          <w:sz w:val="20"/>
        </w:rPr>
        <w:t> </w:t>
      </w:r>
      <w:r>
        <w:rPr>
          <w:sz w:val="20"/>
        </w:rPr>
        <w:t>groups</w:t>
      </w:r>
      <w:r>
        <w:rPr>
          <w:spacing w:val="-6"/>
          <w:sz w:val="20"/>
        </w:rPr>
        <w:t> </w:t>
      </w:r>
      <w:r>
        <w:rPr>
          <w:sz w:val="20"/>
        </w:rPr>
        <w:t>will</w:t>
      </w:r>
      <w:r>
        <w:rPr>
          <w:spacing w:val="-7"/>
          <w:sz w:val="20"/>
        </w:rPr>
        <w:t> </w:t>
      </w:r>
      <w:r>
        <w:rPr>
          <w:sz w:val="20"/>
        </w:rPr>
        <w:t>apply</w:t>
      </w:r>
      <w:r>
        <w:rPr>
          <w:spacing w:val="-11"/>
          <w:sz w:val="20"/>
        </w:rPr>
        <w:t> </w:t>
      </w:r>
      <w:r>
        <w:rPr>
          <w:sz w:val="20"/>
        </w:rPr>
        <w:t>the</w:t>
      </w:r>
      <w:r>
        <w:rPr>
          <w:spacing w:val="-9"/>
          <w:sz w:val="20"/>
        </w:rPr>
        <w:t> </w:t>
      </w:r>
      <w:r>
        <w:rPr>
          <w:sz w:val="20"/>
        </w:rPr>
        <w:t>“segmentation</w:t>
      </w:r>
      <w:r>
        <w:rPr>
          <w:spacing w:val="-6"/>
          <w:sz w:val="20"/>
        </w:rPr>
        <w:t> </w:t>
      </w:r>
      <w:r>
        <w:rPr>
          <w:sz w:val="20"/>
        </w:rPr>
        <w:t>hallmarks”</w:t>
      </w:r>
      <w:r>
        <w:rPr>
          <w:spacing w:val="-8"/>
          <w:sz w:val="20"/>
        </w:rPr>
        <w:t> </w:t>
      </w:r>
      <w:r>
        <w:rPr>
          <w:sz w:val="20"/>
        </w:rPr>
        <w:t>to</w:t>
      </w:r>
      <w:r>
        <w:rPr>
          <w:spacing w:val="-8"/>
          <w:sz w:val="20"/>
        </w:rPr>
        <w:t> </w:t>
      </w:r>
      <w:r>
        <w:rPr>
          <w:sz w:val="20"/>
        </w:rPr>
        <w:t>determine</w:t>
      </w:r>
      <w:r>
        <w:rPr>
          <w:spacing w:val="-7"/>
          <w:sz w:val="20"/>
        </w:rPr>
        <w:t> </w:t>
      </w:r>
      <w:r>
        <w:rPr>
          <w:sz w:val="20"/>
        </w:rPr>
        <w:t>whether</w:t>
      </w:r>
      <w:r>
        <w:rPr>
          <w:spacing w:val="-8"/>
          <w:sz w:val="20"/>
        </w:rPr>
        <w:t> </w:t>
      </w:r>
      <w:r>
        <w:rPr>
          <w:sz w:val="20"/>
        </w:rPr>
        <w:t>they</w:t>
      </w:r>
      <w:r>
        <w:rPr>
          <w:spacing w:val="-9"/>
          <w:sz w:val="20"/>
        </w:rPr>
        <w:t> </w:t>
      </w:r>
      <w:r>
        <w:rPr>
          <w:sz w:val="20"/>
        </w:rPr>
        <w:t>are</w:t>
      </w:r>
      <w:r>
        <w:rPr>
          <w:spacing w:val="-6"/>
          <w:sz w:val="20"/>
        </w:rPr>
        <w:t> </w:t>
      </w:r>
      <w:r>
        <w:rPr>
          <w:sz w:val="20"/>
        </w:rPr>
        <w:t>required</w:t>
      </w:r>
      <w:r>
        <w:rPr>
          <w:spacing w:val="-8"/>
          <w:sz w:val="20"/>
        </w:rPr>
        <w:t> </w:t>
      </w:r>
      <w:r>
        <w:rPr>
          <w:sz w:val="20"/>
        </w:rPr>
        <w:t>to segment their tax base. If they are not required to segment, they will compute their Amount A tax base on a group</w:t>
      </w:r>
      <w:r>
        <w:rPr>
          <w:spacing w:val="-2"/>
          <w:sz w:val="20"/>
        </w:rPr>
        <w:t> </w:t>
      </w:r>
      <w:r>
        <w:rPr>
          <w:sz w:val="20"/>
        </w:rPr>
        <w:t>basis.</w:t>
      </w:r>
    </w:p>
    <w:p>
      <w:pPr>
        <w:pStyle w:val="ListParagraph"/>
        <w:numPr>
          <w:ilvl w:val="1"/>
          <w:numId w:val="60"/>
        </w:numPr>
        <w:tabs>
          <w:tab w:pos="1744" w:val="left" w:leader="none"/>
        </w:tabs>
        <w:spacing w:line="266" w:lineRule="auto" w:before="70" w:after="0"/>
        <w:ind w:left="1743" w:right="484" w:hanging="341"/>
        <w:jc w:val="both"/>
        <w:rPr>
          <w:sz w:val="20"/>
        </w:rPr>
      </w:pPr>
      <w:r>
        <w:rPr>
          <w:sz w:val="20"/>
        </w:rPr>
        <w:t>For MNE groups that do display these segmentation hallmarks, the disclosed segments in the MNE group financial statements will be tested to ascertain whether they meet the agreed hallmarks. If so, Amount A tax base will be computed on the basis of these segments. There will be an exemption for groups whose disclosed segments have similar profit margins, which will also compute the Amount A tax base on a group</w:t>
      </w:r>
      <w:r>
        <w:rPr>
          <w:spacing w:val="-8"/>
          <w:sz w:val="20"/>
        </w:rPr>
        <w:t> </w:t>
      </w:r>
      <w:r>
        <w:rPr>
          <w:sz w:val="20"/>
        </w:rPr>
        <w:t>basis.</w:t>
      </w:r>
    </w:p>
    <w:p>
      <w:pPr>
        <w:pStyle w:val="ListParagraph"/>
        <w:numPr>
          <w:ilvl w:val="1"/>
          <w:numId w:val="60"/>
        </w:numPr>
        <w:tabs>
          <w:tab w:pos="1744" w:val="left" w:leader="none"/>
        </w:tabs>
        <w:spacing w:line="268" w:lineRule="auto" w:before="67" w:after="0"/>
        <w:ind w:left="1743" w:right="483" w:hanging="341"/>
        <w:jc w:val="both"/>
        <w:rPr>
          <w:sz w:val="20"/>
        </w:rPr>
      </w:pPr>
      <w:r>
        <w:rPr>
          <w:sz w:val="20"/>
        </w:rPr>
        <w:t>Finally, MNE groups that are not eligible to use their disclosed segments will be required to compute the Amount A tax base on the basis of alternative segments. This is expected to be relevant for only a small number of MNE groups. This alternative approach would be determined based on the definition of a segment for the purposes of Amount A. It would be expected that this alternative approach would in most instances merely require a group </w:t>
      </w:r>
      <w:r>
        <w:rPr>
          <w:spacing w:val="5"/>
          <w:sz w:val="20"/>
        </w:rPr>
        <w:t>to </w:t>
      </w:r>
      <w:r>
        <w:rPr>
          <w:sz w:val="20"/>
        </w:rPr>
        <w:t>further breakdown the profit or loss account of an existing segment or segments and that the group may have an existing internal reporting framework on which to base this alternative segmentation.</w:t>
      </w:r>
    </w:p>
    <w:p>
      <w:pPr>
        <w:pStyle w:val="ListParagraph"/>
        <w:numPr>
          <w:ilvl w:val="0"/>
          <w:numId w:val="13"/>
        </w:numPr>
        <w:tabs>
          <w:tab w:pos="1444" w:val="left" w:leader="none"/>
        </w:tabs>
        <w:spacing w:line="271" w:lineRule="auto" w:before="130" w:after="0"/>
        <w:ind w:left="723" w:right="484" w:firstLine="0"/>
        <w:jc w:val="both"/>
        <w:rPr>
          <w:sz w:val="20"/>
        </w:rPr>
      </w:pPr>
      <w:r>
        <w:rPr>
          <w:sz w:val="20"/>
        </w:rPr>
        <w:t>Further work will be undertaken to finalise specific aspects of the different steps of this segmentation</w:t>
      </w:r>
      <w:r>
        <w:rPr>
          <w:spacing w:val="-8"/>
          <w:sz w:val="20"/>
        </w:rPr>
        <w:t> </w:t>
      </w:r>
      <w:r>
        <w:rPr>
          <w:sz w:val="20"/>
        </w:rPr>
        <w:t>framework,</w:t>
      </w:r>
      <w:r>
        <w:rPr>
          <w:spacing w:val="-8"/>
          <w:sz w:val="20"/>
        </w:rPr>
        <w:t> </w:t>
      </w:r>
      <w:r>
        <w:rPr>
          <w:sz w:val="20"/>
        </w:rPr>
        <w:t>including</w:t>
      </w:r>
      <w:r>
        <w:rPr>
          <w:spacing w:val="-8"/>
          <w:sz w:val="20"/>
        </w:rPr>
        <w:t> </w:t>
      </w:r>
      <w:r>
        <w:rPr>
          <w:sz w:val="20"/>
        </w:rPr>
        <w:t>the</w:t>
      </w:r>
      <w:r>
        <w:rPr>
          <w:spacing w:val="-7"/>
          <w:sz w:val="20"/>
        </w:rPr>
        <w:t> </w:t>
      </w:r>
      <w:r>
        <w:rPr>
          <w:sz w:val="20"/>
        </w:rPr>
        <w:t>appropriateness</w:t>
      </w:r>
      <w:r>
        <w:rPr>
          <w:spacing w:val="-7"/>
          <w:sz w:val="20"/>
        </w:rPr>
        <w:t> </w:t>
      </w:r>
      <w:r>
        <w:rPr>
          <w:sz w:val="20"/>
        </w:rPr>
        <w:t>of</w:t>
      </w:r>
      <w:r>
        <w:rPr>
          <w:spacing w:val="-6"/>
          <w:sz w:val="20"/>
        </w:rPr>
        <w:t> </w:t>
      </w:r>
      <w:r>
        <w:rPr>
          <w:sz w:val="20"/>
        </w:rPr>
        <w:t>the</w:t>
      </w:r>
      <w:r>
        <w:rPr>
          <w:spacing w:val="-8"/>
          <w:sz w:val="20"/>
        </w:rPr>
        <w:t> </w:t>
      </w:r>
      <w:r>
        <w:rPr>
          <w:sz w:val="20"/>
        </w:rPr>
        <w:t>level</w:t>
      </w:r>
      <w:r>
        <w:rPr>
          <w:spacing w:val="-9"/>
          <w:sz w:val="20"/>
        </w:rPr>
        <w:t> </w:t>
      </w:r>
      <w:r>
        <w:rPr>
          <w:sz w:val="20"/>
        </w:rPr>
        <w:t>of</w:t>
      </w:r>
      <w:r>
        <w:rPr>
          <w:spacing w:val="-6"/>
          <w:sz w:val="20"/>
        </w:rPr>
        <w:t> </w:t>
      </w:r>
      <w:r>
        <w:rPr>
          <w:sz w:val="20"/>
        </w:rPr>
        <w:t>the</w:t>
      </w:r>
      <w:r>
        <w:rPr>
          <w:spacing w:val="-5"/>
          <w:sz w:val="20"/>
        </w:rPr>
        <w:t> </w:t>
      </w:r>
      <w:r>
        <w:rPr>
          <w:sz w:val="20"/>
        </w:rPr>
        <w:t>global</w:t>
      </w:r>
      <w:r>
        <w:rPr>
          <w:spacing w:val="-8"/>
          <w:sz w:val="20"/>
        </w:rPr>
        <w:t> </w:t>
      </w:r>
      <w:r>
        <w:rPr>
          <w:sz w:val="20"/>
        </w:rPr>
        <w:t>revenue</w:t>
      </w:r>
      <w:r>
        <w:rPr>
          <w:spacing w:val="-8"/>
          <w:sz w:val="20"/>
        </w:rPr>
        <w:t> </w:t>
      </w:r>
      <w:r>
        <w:rPr>
          <w:sz w:val="20"/>
        </w:rPr>
        <w:t>thresholds</w:t>
      </w:r>
      <w:r>
        <w:rPr>
          <w:spacing w:val="-7"/>
          <w:sz w:val="20"/>
        </w:rPr>
        <w:t> </w:t>
      </w:r>
      <w:r>
        <w:rPr>
          <w:sz w:val="20"/>
        </w:rPr>
        <w:t>(step 2), the definition of a segment based on the hallmarks (step 3) and the administration of the framework through the early certainty and dispute resolution process, and to explore potential simplifications to ease the administration of the</w:t>
      </w:r>
      <w:r>
        <w:rPr>
          <w:spacing w:val="-1"/>
          <w:sz w:val="20"/>
        </w:rPr>
        <w:t> </w:t>
      </w:r>
      <w:r>
        <w:rPr>
          <w:sz w:val="20"/>
        </w:rPr>
        <w:t>approach.</w:t>
      </w:r>
    </w:p>
    <w:p>
      <w:pPr>
        <w:pStyle w:val="BodyText"/>
        <w:spacing w:before="4"/>
        <w:rPr>
          <w:sz w:val="23"/>
        </w:rPr>
      </w:pPr>
    </w:p>
    <w:p>
      <w:pPr>
        <w:pStyle w:val="Heading6"/>
        <w:ind w:left="1402" w:firstLine="0"/>
        <w:jc w:val="both"/>
        <w:rPr>
          <w:i/>
        </w:rPr>
      </w:pPr>
      <w:bookmarkStart w:name="Loss carry-forward rules" w:id="200"/>
      <w:bookmarkEnd w:id="200"/>
      <w:r>
        <w:rPr>
          <w:b w:val="0"/>
          <w:i w:val="0"/>
        </w:rPr>
      </w:r>
      <w:r>
        <w:rPr>
          <w:i/>
        </w:rPr>
        <w:t>Loss carry-forward rules</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Loss-carry forward rules will apply through an earn-out mechanism at the level of the group or segment</w:t>
      </w:r>
      <w:r>
        <w:rPr>
          <w:spacing w:val="-6"/>
          <w:sz w:val="20"/>
        </w:rPr>
        <w:t> </w:t>
      </w:r>
      <w:r>
        <w:rPr>
          <w:sz w:val="20"/>
        </w:rPr>
        <w:t>(as</w:t>
      </w:r>
      <w:r>
        <w:rPr>
          <w:spacing w:val="-6"/>
          <w:sz w:val="20"/>
        </w:rPr>
        <w:t> </w:t>
      </w:r>
      <w:r>
        <w:rPr>
          <w:sz w:val="20"/>
        </w:rPr>
        <w:t>determined</w:t>
      </w:r>
      <w:r>
        <w:rPr>
          <w:spacing w:val="-4"/>
          <w:sz w:val="20"/>
        </w:rPr>
        <w:t> </w:t>
      </w:r>
      <w:r>
        <w:rPr>
          <w:sz w:val="20"/>
        </w:rPr>
        <w:t>by</w:t>
      </w:r>
      <w:r>
        <w:rPr>
          <w:spacing w:val="-7"/>
          <w:sz w:val="20"/>
        </w:rPr>
        <w:t> </w:t>
      </w:r>
      <w:r>
        <w:rPr>
          <w:sz w:val="20"/>
        </w:rPr>
        <w:t>the</w:t>
      </w:r>
      <w:r>
        <w:rPr>
          <w:spacing w:val="-7"/>
          <w:sz w:val="20"/>
        </w:rPr>
        <w:t> </w:t>
      </w:r>
      <w:r>
        <w:rPr>
          <w:sz w:val="20"/>
        </w:rPr>
        <w:t>segmentation</w:t>
      </w:r>
      <w:r>
        <w:rPr>
          <w:spacing w:val="-7"/>
          <w:sz w:val="20"/>
        </w:rPr>
        <w:t> </w:t>
      </w:r>
      <w:r>
        <w:rPr>
          <w:sz w:val="20"/>
        </w:rPr>
        <w:t>framework).</w:t>
      </w:r>
      <w:r>
        <w:rPr>
          <w:spacing w:val="-6"/>
          <w:sz w:val="20"/>
        </w:rPr>
        <w:t> </w:t>
      </w:r>
      <w:r>
        <w:rPr>
          <w:sz w:val="20"/>
        </w:rPr>
        <w:t>This</w:t>
      </w:r>
      <w:r>
        <w:rPr>
          <w:spacing w:val="-8"/>
          <w:sz w:val="20"/>
        </w:rPr>
        <w:t> </w:t>
      </w:r>
      <w:r>
        <w:rPr>
          <w:sz w:val="20"/>
        </w:rPr>
        <w:t>means</w:t>
      </w:r>
      <w:r>
        <w:rPr>
          <w:spacing w:val="-6"/>
          <w:sz w:val="20"/>
        </w:rPr>
        <w:t> </w:t>
      </w:r>
      <w:r>
        <w:rPr>
          <w:sz w:val="20"/>
        </w:rPr>
        <w:t>that</w:t>
      </w:r>
      <w:r>
        <w:rPr>
          <w:spacing w:val="-4"/>
          <w:sz w:val="20"/>
        </w:rPr>
        <w:t> </w:t>
      </w:r>
      <w:r>
        <w:rPr>
          <w:sz w:val="20"/>
        </w:rPr>
        <w:t>losses</w:t>
      </w:r>
      <w:r>
        <w:rPr>
          <w:spacing w:val="-3"/>
          <w:sz w:val="20"/>
        </w:rPr>
        <w:t> </w:t>
      </w:r>
      <w:r>
        <w:rPr>
          <w:sz w:val="20"/>
        </w:rPr>
        <w:t>generated</w:t>
      </w:r>
      <w:r>
        <w:rPr>
          <w:spacing w:val="-5"/>
          <w:sz w:val="20"/>
        </w:rPr>
        <w:t> </w:t>
      </w:r>
      <w:r>
        <w:rPr>
          <w:sz w:val="20"/>
        </w:rPr>
        <w:t>over</w:t>
      </w:r>
      <w:r>
        <w:rPr>
          <w:spacing w:val="-6"/>
          <w:sz w:val="20"/>
        </w:rPr>
        <w:t> </w:t>
      </w:r>
      <w:r>
        <w:rPr>
          <w:sz w:val="20"/>
        </w:rPr>
        <w:t>a</w:t>
      </w:r>
      <w:r>
        <w:rPr>
          <w:spacing w:val="-5"/>
          <w:sz w:val="20"/>
        </w:rPr>
        <w:t> </w:t>
      </w:r>
      <w:r>
        <w:rPr>
          <w:sz w:val="20"/>
        </w:rPr>
        <w:t>given tax</w:t>
      </w:r>
      <w:r>
        <w:rPr>
          <w:spacing w:val="-7"/>
          <w:sz w:val="20"/>
        </w:rPr>
        <w:t> </w:t>
      </w:r>
      <w:r>
        <w:rPr>
          <w:sz w:val="20"/>
        </w:rPr>
        <w:t>period</w:t>
      </w:r>
      <w:r>
        <w:rPr>
          <w:spacing w:val="-5"/>
          <w:sz w:val="20"/>
        </w:rPr>
        <w:t> </w:t>
      </w:r>
      <w:r>
        <w:rPr>
          <w:sz w:val="20"/>
        </w:rPr>
        <w:t>under</w:t>
      </w:r>
      <w:r>
        <w:rPr>
          <w:spacing w:val="-3"/>
          <w:sz w:val="20"/>
        </w:rPr>
        <w:t> </w:t>
      </w:r>
      <w:r>
        <w:rPr>
          <w:sz w:val="20"/>
        </w:rPr>
        <w:t>Amount</w:t>
      </w:r>
      <w:r>
        <w:rPr>
          <w:spacing w:val="-5"/>
          <w:sz w:val="20"/>
        </w:rPr>
        <w:t> </w:t>
      </w:r>
      <w:r>
        <w:rPr>
          <w:sz w:val="20"/>
        </w:rPr>
        <w:t>A,</w:t>
      </w:r>
      <w:r>
        <w:rPr>
          <w:spacing w:val="-4"/>
          <w:sz w:val="20"/>
        </w:rPr>
        <w:t> </w:t>
      </w:r>
      <w:r>
        <w:rPr>
          <w:sz w:val="20"/>
        </w:rPr>
        <w:t>unlike</w:t>
      </w:r>
      <w:r>
        <w:rPr>
          <w:spacing w:val="-7"/>
          <w:sz w:val="20"/>
        </w:rPr>
        <w:t> </w:t>
      </w:r>
      <w:r>
        <w:rPr>
          <w:sz w:val="20"/>
        </w:rPr>
        <w:t>profits,</w:t>
      </w:r>
      <w:r>
        <w:rPr>
          <w:spacing w:val="-5"/>
          <w:sz w:val="20"/>
        </w:rPr>
        <w:t> </w:t>
      </w:r>
      <w:r>
        <w:rPr>
          <w:sz w:val="20"/>
        </w:rPr>
        <w:t>will</w:t>
      </w:r>
      <w:r>
        <w:rPr>
          <w:spacing w:val="-5"/>
          <w:sz w:val="20"/>
        </w:rPr>
        <w:t> </w:t>
      </w:r>
      <w:r>
        <w:rPr>
          <w:sz w:val="20"/>
        </w:rPr>
        <w:t>not</w:t>
      </w:r>
      <w:r>
        <w:rPr>
          <w:spacing w:val="-4"/>
          <w:sz w:val="20"/>
        </w:rPr>
        <w:t> </w:t>
      </w:r>
      <w:r>
        <w:rPr>
          <w:sz w:val="20"/>
        </w:rPr>
        <w:t>be</w:t>
      </w:r>
      <w:r>
        <w:rPr>
          <w:spacing w:val="-5"/>
          <w:sz w:val="20"/>
        </w:rPr>
        <w:t> </w:t>
      </w:r>
      <w:r>
        <w:rPr>
          <w:sz w:val="20"/>
        </w:rPr>
        <w:t>allocated</w:t>
      </w:r>
      <w:r>
        <w:rPr>
          <w:spacing w:val="-5"/>
          <w:sz w:val="20"/>
        </w:rPr>
        <w:t> </w:t>
      </w:r>
      <w:r>
        <w:rPr>
          <w:sz w:val="20"/>
        </w:rPr>
        <w:t>to</w:t>
      </w:r>
      <w:r>
        <w:rPr>
          <w:spacing w:val="-5"/>
          <w:sz w:val="20"/>
        </w:rPr>
        <w:t> </w:t>
      </w:r>
      <w:r>
        <w:rPr>
          <w:sz w:val="20"/>
        </w:rPr>
        <w:t>market</w:t>
      </w:r>
      <w:r>
        <w:rPr>
          <w:spacing w:val="-7"/>
          <w:sz w:val="20"/>
        </w:rPr>
        <w:t> </w:t>
      </w:r>
      <w:r>
        <w:rPr>
          <w:sz w:val="20"/>
        </w:rPr>
        <w:t>jurisdictions.</w:t>
      </w:r>
      <w:r>
        <w:rPr>
          <w:spacing w:val="-6"/>
          <w:sz w:val="20"/>
        </w:rPr>
        <w:t> </w:t>
      </w:r>
      <w:r>
        <w:rPr>
          <w:sz w:val="20"/>
        </w:rPr>
        <w:t>Instead,</w:t>
      </w:r>
      <w:r>
        <w:rPr>
          <w:spacing w:val="-5"/>
          <w:sz w:val="20"/>
        </w:rPr>
        <w:t> </w:t>
      </w:r>
      <w:r>
        <w:rPr>
          <w:sz w:val="20"/>
        </w:rPr>
        <w:t>they</w:t>
      </w:r>
      <w:r>
        <w:rPr>
          <w:spacing w:val="-7"/>
          <w:sz w:val="20"/>
        </w:rPr>
        <w:t> </w:t>
      </w:r>
      <w:r>
        <w:rPr>
          <w:sz w:val="20"/>
        </w:rPr>
        <w:t>will</w:t>
      </w:r>
      <w:r>
        <w:rPr>
          <w:spacing w:val="-5"/>
          <w:sz w:val="20"/>
        </w:rPr>
        <w:t> </w:t>
      </w:r>
      <w:r>
        <w:rPr>
          <w:sz w:val="20"/>
        </w:rPr>
        <w:t>be pooled in a single account for the relevant segment and carried forward to subsequent years, with the result that no profit under Amount A would arise for that segment (and be reallocated to markets) until historic losses reported in that account have been fully absorbed. </w:t>
      </w:r>
      <w:r>
        <w:rPr>
          <w:spacing w:val="2"/>
          <w:sz w:val="20"/>
        </w:rPr>
        <w:t>This </w:t>
      </w:r>
      <w:r>
        <w:rPr>
          <w:sz w:val="20"/>
        </w:rPr>
        <w:t>carry-forward regime will be kept separate from any existing domestic loss carry-forward rules, and include specific rules to deal with business reorganisations (including changes of the segmentation</w:t>
      </w:r>
      <w:r>
        <w:rPr>
          <w:spacing w:val="-3"/>
          <w:sz w:val="20"/>
        </w:rPr>
        <w:t> </w:t>
      </w:r>
      <w:r>
        <w:rPr>
          <w:sz w:val="20"/>
        </w:rPr>
        <w:t>basis).</w:t>
      </w:r>
    </w:p>
    <w:p>
      <w:pPr>
        <w:pStyle w:val="BodyText"/>
      </w:pPr>
    </w:p>
    <w:p>
      <w:pPr>
        <w:pStyle w:val="BodyText"/>
        <w:spacing w:before="9"/>
        <w:rPr>
          <w:sz w:val="22"/>
        </w:rPr>
      </w:pPr>
      <w:r>
        <w:rPr/>
        <w:pict>
          <v:rect style="position:absolute;margin-left:65.183998pt;margin-top:15.061142pt;width:144.020004pt;height:.60004pt;mso-position-horizontal-relative:page;mso-position-vertical-relative:paragraph;z-index:-15671296;mso-wrap-distance-left:0;mso-wrap-distance-right:0" filled="true" fillcolor="#000000" stroked="false">
            <v:fill type="solid"/>
            <w10:wrap type="topAndBottom"/>
          </v:rect>
        </w:pict>
      </w:r>
    </w:p>
    <w:p>
      <w:pPr>
        <w:pStyle w:val="BodyText"/>
        <w:spacing w:before="1"/>
      </w:pPr>
    </w:p>
    <w:p>
      <w:pPr>
        <w:spacing w:line="278" w:lineRule="auto" w:before="94"/>
        <w:ind w:left="723" w:right="482" w:firstLine="0"/>
        <w:jc w:val="both"/>
        <w:rPr>
          <w:sz w:val="18"/>
        </w:rPr>
      </w:pPr>
      <w:r>
        <w:rPr>
          <w:sz w:val="18"/>
        </w:rPr>
        <w:t>of-scope</w:t>
      </w:r>
      <w:r>
        <w:rPr>
          <w:spacing w:val="-9"/>
          <w:sz w:val="18"/>
        </w:rPr>
        <w:t> </w:t>
      </w:r>
      <w:r>
        <w:rPr>
          <w:sz w:val="18"/>
        </w:rPr>
        <w:t>business</w:t>
      </w:r>
      <w:r>
        <w:rPr>
          <w:spacing w:val="-7"/>
          <w:sz w:val="18"/>
        </w:rPr>
        <w:t> </w:t>
      </w:r>
      <w:r>
        <w:rPr>
          <w:sz w:val="18"/>
        </w:rPr>
        <w:t>and</w:t>
      </w:r>
      <w:r>
        <w:rPr>
          <w:spacing w:val="-9"/>
          <w:sz w:val="18"/>
        </w:rPr>
        <w:t> </w:t>
      </w:r>
      <w:r>
        <w:rPr>
          <w:sz w:val="18"/>
        </w:rPr>
        <w:t>a</w:t>
      </w:r>
      <w:r>
        <w:rPr>
          <w:spacing w:val="-8"/>
          <w:sz w:val="18"/>
        </w:rPr>
        <w:t> </w:t>
      </w:r>
      <w:r>
        <w:rPr>
          <w:sz w:val="18"/>
        </w:rPr>
        <w:t>low</w:t>
      </w:r>
      <w:r>
        <w:rPr>
          <w:spacing w:val="-10"/>
          <w:sz w:val="18"/>
        </w:rPr>
        <w:t> </w:t>
      </w:r>
      <w:r>
        <w:rPr>
          <w:sz w:val="18"/>
        </w:rPr>
        <w:t>profitability</w:t>
      </w:r>
      <w:r>
        <w:rPr>
          <w:spacing w:val="-7"/>
          <w:sz w:val="18"/>
        </w:rPr>
        <w:t> </w:t>
      </w:r>
      <w:r>
        <w:rPr>
          <w:sz w:val="18"/>
        </w:rPr>
        <w:t>in-scope</w:t>
      </w:r>
      <w:r>
        <w:rPr>
          <w:spacing w:val="-9"/>
          <w:sz w:val="18"/>
        </w:rPr>
        <w:t> </w:t>
      </w:r>
      <w:r>
        <w:rPr>
          <w:sz w:val="18"/>
        </w:rPr>
        <w:t>business</w:t>
      </w:r>
      <w:r>
        <w:rPr>
          <w:spacing w:val="-5"/>
          <w:sz w:val="18"/>
        </w:rPr>
        <w:t> </w:t>
      </w:r>
      <w:r>
        <w:rPr>
          <w:sz w:val="18"/>
        </w:rPr>
        <w:t>to</w:t>
      </w:r>
      <w:r>
        <w:rPr>
          <w:spacing w:val="-9"/>
          <w:sz w:val="18"/>
        </w:rPr>
        <w:t> </w:t>
      </w:r>
      <w:r>
        <w:rPr>
          <w:sz w:val="18"/>
        </w:rPr>
        <w:t>elect</w:t>
      </w:r>
      <w:r>
        <w:rPr>
          <w:spacing w:val="-3"/>
          <w:sz w:val="18"/>
        </w:rPr>
        <w:t> </w:t>
      </w:r>
      <w:r>
        <w:rPr>
          <w:sz w:val="18"/>
        </w:rPr>
        <w:t>to</w:t>
      </w:r>
      <w:r>
        <w:rPr>
          <w:spacing w:val="-9"/>
          <w:sz w:val="18"/>
        </w:rPr>
        <w:t> </w:t>
      </w:r>
      <w:r>
        <w:rPr>
          <w:sz w:val="18"/>
        </w:rPr>
        <w:t>calculate</w:t>
      </w:r>
      <w:r>
        <w:rPr>
          <w:spacing w:val="-7"/>
          <w:sz w:val="18"/>
        </w:rPr>
        <w:t> </w:t>
      </w:r>
      <w:r>
        <w:rPr>
          <w:sz w:val="18"/>
        </w:rPr>
        <w:t>its</w:t>
      </w:r>
      <w:r>
        <w:rPr>
          <w:spacing w:val="-6"/>
          <w:sz w:val="18"/>
        </w:rPr>
        <w:t> </w:t>
      </w:r>
      <w:r>
        <w:rPr>
          <w:sz w:val="18"/>
        </w:rPr>
        <w:t>Amount</w:t>
      </w:r>
      <w:r>
        <w:rPr>
          <w:spacing w:val="-7"/>
          <w:sz w:val="18"/>
        </w:rPr>
        <w:t> </w:t>
      </w:r>
      <w:r>
        <w:rPr>
          <w:sz w:val="18"/>
        </w:rPr>
        <w:t>A</w:t>
      </w:r>
      <w:r>
        <w:rPr>
          <w:spacing w:val="-11"/>
          <w:sz w:val="18"/>
        </w:rPr>
        <w:t> </w:t>
      </w:r>
      <w:r>
        <w:rPr>
          <w:sz w:val="18"/>
        </w:rPr>
        <w:t>tax</w:t>
      </w:r>
      <w:r>
        <w:rPr>
          <w:spacing w:val="-10"/>
          <w:sz w:val="18"/>
        </w:rPr>
        <w:t> </w:t>
      </w:r>
      <w:r>
        <w:rPr>
          <w:sz w:val="18"/>
        </w:rPr>
        <w:t>base</w:t>
      </w:r>
      <w:r>
        <w:rPr>
          <w:spacing w:val="-9"/>
          <w:sz w:val="18"/>
        </w:rPr>
        <w:t> </w:t>
      </w:r>
      <w:r>
        <w:rPr>
          <w:sz w:val="18"/>
        </w:rPr>
        <w:t>on</w:t>
      </w:r>
      <w:r>
        <w:rPr>
          <w:spacing w:val="-8"/>
          <w:sz w:val="18"/>
        </w:rPr>
        <w:t> </w:t>
      </w:r>
      <w:r>
        <w:rPr>
          <w:sz w:val="18"/>
        </w:rPr>
        <w:t>a</w:t>
      </w:r>
      <w:r>
        <w:rPr>
          <w:spacing w:val="-9"/>
          <w:sz w:val="18"/>
        </w:rPr>
        <w:t> </w:t>
      </w:r>
      <w:r>
        <w:rPr>
          <w:sz w:val="18"/>
        </w:rPr>
        <w:t>segmented basis, thereby reducing its potential Amount A tax</w:t>
      </w:r>
      <w:r>
        <w:rPr>
          <w:spacing w:val="-11"/>
          <w:sz w:val="18"/>
        </w:rPr>
        <w:t> </w:t>
      </w:r>
      <w:r>
        <w:rPr>
          <w:sz w:val="18"/>
        </w:rPr>
        <w:t>liability.</w:t>
      </w:r>
    </w:p>
    <w:p>
      <w:pPr>
        <w:pStyle w:val="ListParagraph"/>
        <w:numPr>
          <w:ilvl w:val="0"/>
          <w:numId w:val="14"/>
        </w:numPr>
        <w:tabs>
          <w:tab w:pos="926" w:val="left" w:leader="none"/>
        </w:tabs>
        <w:spacing w:line="278" w:lineRule="auto" w:before="77" w:after="0"/>
        <w:ind w:left="723" w:right="479" w:firstLine="0"/>
        <w:jc w:val="both"/>
        <w:rPr>
          <w:sz w:val="18"/>
        </w:rPr>
      </w:pPr>
      <w:r>
        <w:rPr>
          <w:sz w:val="18"/>
        </w:rPr>
        <w:t>Where an MNE group is within the segmentation exemption but has one disclosed segment in scope of Amount A and one segment out of scope, it may be preferable to exclude the MNE group from the exemption. Further work will be undertaken on this</w:t>
      </w:r>
      <w:r>
        <w:rPr>
          <w:spacing w:val="-2"/>
          <w:sz w:val="18"/>
        </w:rPr>
        <w:t> </w:t>
      </w:r>
      <w:r>
        <w:rPr>
          <w:sz w:val="18"/>
        </w:rPr>
        <w:t>issue.</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0" w:firstLine="0"/>
        <w:jc w:val="both"/>
        <w:rPr>
          <w:sz w:val="20"/>
        </w:rPr>
      </w:pPr>
      <w:r>
        <w:rPr>
          <w:sz w:val="20"/>
        </w:rPr>
        <w:t>Some specific design aspects of the loss-carry forward rules will need to be refined. This will include considering a transitional regime for losses incurred prior to the introduction of Amount A (pre- regime</w:t>
      </w:r>
      <w:r>
        <w:rPr>
          <w:spacing w:val="-10"/>
          <w:sz w:val="20"/>
        </w:rPr>
        <w:t> </w:t>
      </w:r>
      <w:r>
        <w:rPr>
          <w:sz w:val="20"/>
        </w:rPr>
        <w:t>losses),</w:t>
      </w:r>
      <w:r>
        <w:rPr>
          <w:spacing w:val="-10"/>
          <w:sz w:val="20"/>
        </w:rPr>
        <w:t> </w:t>
      </w:r>
      <w:r>
        <w:rPr>
          <w:sz w:val="20"/>
        </w:rPr>
        <w:t>and</w:t>
      </w:r>
      <w:r>
        <w:rPr>
          <w:spacing w:val="-9"/>
          <w:sz w:val="20"/>
        </w:rPr>
        <w:t> </w:t>
      </w:r>
      <w:r>
        <w:rPr>
          <w:sz w:val="20"/>
        </w:rPr>
        <w:t>determining</w:t>
      </w:r>
      <w:r>
        <w:rPr>
          <w:spacing w:val="-6"/>
          <w:sz w:val="20"/>
        </w:rPr>
        <w:t> </w:t>
      </w:r>
      <w:r>
        <w:rPr>
          <w:sz w:val="20"/>
        </w:rPr>
        <w:t>whether</w:t>
      </w:r>
      <w:r>
        <w:rPr>
          <w:spacing w:val="-7"/>
          <w:sz w:val="20"/>
        </w:rPr>
        <w:t> </w:t>
      </w:r>
      <w:r>
        <w:rPr>
          <w:sz w:val="20"/>
        </w:rPr>
        <w:t>the</w:t>
      </w:r>
      <w:r>
        <w:rPr>
          <w:spacing w:val="-8"/>
          <w:sz w:val="20"/>
        </w:rPr>
        <w:t> </w:t>
      </w:r>
      <w:r>
        <w:rPr>
          <w:sz w:val="20"/>
        </w:rPr>
        <w:t>loss-carry</w:t>
      </w:r>
      <w:r>
        <w:rPr>
          <w:spacing w:val="-11"/>
          <w:sz w:val="20"/>
        </w:rPr>
        <w:t> </w:t>
      </w:r>
      <w:r>
        <w:rPr>
          <w:sz w:val="20"/>
        </w:rPr>
        <w:t>forward</w:t>
      </w:r>
      <w:r>
        <w:rPr>
          <w:spacing w:val="-8"/>
          <w:sz w:val="20"/>
        </w:rPr>
        <w:t> </w:t>
      </w:r>
      <w:r>
        <w:rPr>
          <w:sz w:val="20"/>
        </w:rPr>
        <w:t>regime</w:t>
      </w:r>
      <w:r>
        <w:rPr>
          <w:spacing w:val="-10"/>
          <w:sz w:val="20"/>
        </w:rPr>
        <w:t> </w:t>
      </w:r>
      <w:r>
        <w:rPr>
          <w:sz w:val="20"/>
        </w:rPr>
        <w:t>should</w:t>
      </w:r>
      <w:r>
        <w:rPr>
          <w:spacing w:val="-9"/>
          <w:sz w:val="20"/>
        </w:rPr>
        <w:t> </w:t>
      </w:r>
      <w:r>
        <w:rPr>
          <w:sz w:val="20"/>
        </w:rPr>
        <w:t>include</w:t>
      </w:r>
      <w:r>
        <w:rPr>
          <w:spacing w:val="-10"/>
          <w:sz w:val="20"/>
        </w:rPr>
        <w:t> </w:t>
      </w:r>
      <w:r>
        <w:rPr>
          <w:sz w:val="20"/>
        </w:rPr>
        <w:t>time</w:t>
      </w:r>
      <w:r>
        <w:rPr>
          <w:spacing w:val="-10"/>
          <w:sz w:val="20"/>
        </w:rPr>
        <w:t> </w:t>
      </w:r>
      <w:r>
        <w:rPr>
          <w:sz w:val="20"/>
        </w:rPr>
        <w:t>limitations</w:t>
      </w:r>
      <w:r>
        <w:rPr>
          <w:spacing w:val="-7"/>
          <w:sz w:val="20"/>
        </w:rPr>
        <w:t> </w:t>
      </w:r>
      <w:r>
        <w:rPr>
          <w:sz w:val="20"/>
        </w:rPr>
        <w:t>and anti-avoidance rules. There is also a separate issue on whether this regime should apply exclusively to economic</w:t>
      </w:r>
      <w:r>
        <w:rPr>
          <w:spacing w:val="-15"/>
          <w:sz w:val="20"/>
        </w:rPr>
        <w:t> </w:t>
      </w:r>
      <w:r>
        <w:rPr>
          <w:sz w:val="20"/>
        </w:rPr>
        <w:t>losses</w:t>
      </w:r>
      <w:r>
        <w:rPr>
          <w:spacing w:val="-14"/>
          <w:sz w:val="20"/>
        </w:rPr>
        <w:t> </w:t>
      </w:r>
      <w:r>
        <w:rPr>
          <w:sz w:val="20"/>
        </w:rPr>
        <w:t>or</w:t>
      </w:r>
      <w:r>
        <w:rPr>
          <w:spacing w:val="-12"/>
          <w:sz w:val="20"/>
        </w:rPr>
        <w:t> </w:t>
      </w:r>
      <w:r>
        <w:rPr>
          <w:sz w:val="20"/>
        </w:rPr>
        <w:t>be</w:t>
      </w:r>
      <w:r>
        <w:rPr>
          <w:spacing w:val="-13"/>
          <w:sz w:val="20"/>
        </w:rPr>
        <w:t> </w:t>
      </w:r>
      <w:r>
        <w:rPr>
          <w:sz w:val="20"/>
        </w:rPr>
        <w:t>extended</w:t>
      </w:r>
      <w:r>
        <w:rPr>
          <w:spacing w:val="-13"/>
          <w:sz w:val="20"/>
        </w:rPr>
        <w:t> </w:t>
      </w:r>
      <w:r>
        <w:rPr>
          <w:sz w:val="20"/>
        </w:rPr>
        <w:t>to</w:t>
      </w:r>
      <w:r>
        <w:rPr>
          <w:spacing w:val="-15"/>
          <w:sz w:val="20"/>
        </w:rPr>
        <w:t> </w:t>
      </w:r>
      <w:r>
        <w:rPr>
          <w:sz w:val="20"/>
        </w:rPr>
        <w:t>cover</w:t>
      </w:r>
      <w:r>
        <w:rPr>
          <w:spacing w:val="-13"/>
          <w:sz w:val="20"/>
        </w:rPr>
        <w:t> </w:t>
      </w:r>
      <w:r>
        <w:rPr>
          <w:sz w:val="20"/>
        </w:rPr>
        <w:t>profit</w:t>
      </w:r>
      <w:r>
        <w:rPr>
          <w:spacing w:val="-15"/>
          <w:sz w:val="20"/>
        </w:rPr>
        <w:t> </w:t>
      </w:r>
      <w:r>
        <w:rPr>
          <w:sz w:val="20"/>
        </w:rPr>
        <w:t>shortfalls</w:t>
      </w:r>
      <w:r>
        <w:rPr>
          <w:spacing w:val="-14"/>
          <w:sz w:val="20"/>
        </w:rPr>
        <w:t> </w:t>
      </w:r>
      <w:r>
        <w:rPr>
          <w:sz w:val="20"/>
        </w:rPr>
        <w:t>(where</w:t>
      </w:r>
      <w:r>
        <w:rPr>
          <w:spacing w:val="-13"/>
          <w:sz w:val="20"/>
        </w:rPr>
        <w:t> </w:t>
      </w:r>
      <w:r>
        <w:rPr>
          <w:sz w:val="20"/>
        </w:rPr>
        <w:t>the</w:t>
      </w:r>
      <w:r>
        <w:rPr>
          <w:spacing w:val="-15"/>
          <w:sz w:val="20"/>
        </w:rPr>
        <w:t> </w:t>
      </w:r>
      <w:r>
        <w:rPr>
          <w:sz w:val="20"/>
        </w:rPr>
        <w:t>profit</w:t>
      </w:r>
      <w:r>
        <w:rPr>
          <w:spacing w:val="-15"/>
          <w:sz w:val="20"/>
        </w:rPr>
        <w:t> </w:t>
      </w:r>
      <w:r>
        <w:rPr>
          <w:sz w:val="20"/>
        </w:rPr>
        <w:t>of</w:t>
      </w:r>
      <w:r>
        <w:rPr>
          <w:spacing w:val="-12"/>
          <w:sz w:val="20"/>
        </w:rPr>
        <w:t> </w:t>
      </w:r>
      <w:r>
        <w:rPr>
          <w:sz w:val="20"/>
        </w:rPr>
        <w:t>a</w:t>
      </w:r>
      <w:r>
        <w:rPr>
          <w:spacing w:val="-15"/>
          <w:sz w:val="20"/>
        </w:rPr>
        <w:t> </w:t>
      </w:r>
      <w:r>
        <w:rPr>
          <w:sz w:val="20"/>
        </w:rPr>
        <w:t>group</w:t>
      </w:r>
      <w:r>
        <w:rPr>
          <w:spacing w:val="-15"/>
          <w:sz w:val="20"/>
        </w:rPr>
        <w:t> </w:t>
      </w:r>
      <w:r>
        <w:rPr>
          <w:sz w:val="20"/>
        </w:rPr>
        <w:t>or</w:t>
      </w:r>
      <w:r>
        <w:rPr>
          <w:spacing w:val="-12"/>
          <w:sz w:val="20"/>
        </w:rPr>
        <w:t> </w:t>
      </w:r>
      <w:r>
        <w:rPr>
          <w:sz w:val="20"/>
        </w:rPr>
        <w:t>segment</w:t>
      </w:r>
      <w:r>
        <w:rPr>
          <w:spacing w:val="-15"/>
          <w:sz w:val="20"/>
        </w:rPr>
        <w:t> </w:t>
      </w:r>
      <w:r>
        <w:rPr>
          <w:sz w:val="20"/>
        </w:rPr>
        <w:t>falls</w:t>
      </w:r>
      <w:r>
        <w:rPr>
          <w:spacing w:val="-14"/>
          <w:sz w:val="20"/>
        </w:rPr>
        <w:t> </w:t>
      </w:r>
      <w:r>
        <w:rPr>
          <w:sz w:val="20"/>
        </w:rPr>
        <w:t>below the profitability threshold), which will be resolved as part of the discussion </w:t>
      </w:r>
      <w:r>
        <w:rPr>
          <w:spacing w:val="3"/>
          <w:sz w:val="20"/>
        </w:rPr>
        <w:t>of </w:t>
      </w:r>
      <w:r>
        <w:rPr>
          <w:sz w:val="20"/>
        </w:rPr>
        <w:t>the quantum of Amount A (see section</w:t>
      </w:r>
      <w:r>
        <w:rPr>
          <w:spacing w:val="-1"/>
          <w:sz w:val="20"/>
        </w:rPr>
        <w:t> </w:t>
      </w:r>
      <w:hyperlink w:history="true" w:anchor="_bookmark40">
        <w:r>
          <w:rPr>
            <w:sz w:val="20"/>
          </w:rPr>
          <w:t>6.2</w:t>
        </w:r>
      </w:hyperlink>
      <w:r>
        <w:rPr>
          <w:sz w:val="20"/>
        </w:rPr>
        <w:t>).</w:t>
      </w:r>
    </w:p>
    <w:p>
      <w:pPr>
        <w:pStyle w:val="BodyText"/>
        <w:rPr>
          <w:sz w:val="22"/>
        </w:rPr>
      </w:pPr>
    </w:p>
    <w:p>
      <w:pPr>
        <w:pStyle w:val="Heading4"/>
        <w:numPr>
          <w:ilvl w:val="1"/>
          <w:numId w:val="59"/>
        </w:numPr>
        <w:tabs>
          <w:tab w:pos="1192" w:val="left" w:leader="none"/>
        </w:tabs>
        <w:spacing w:line="240" w:lineRule="auto" w:before="192" w:after="0"/>
        <w:ind w:left="1191" w:right="0" w:hanging="469"/>
        <w:jc w:val="both"/>
        <w:rPr>
          <w:rFonts w:ascii="Arial"/>
        </w:rPr>
      </w:pPr>
      <w:bookmarkStart w:name="5.2. A PBT measure based on consolidated" w:id="201"/>
      <w:bookmarkEnd w:id="201"/>
      <w:r>
        <w:rPr>
          <w:b w:val="0"/>
        </w:rPr>
      </w:r>
      <w:bookmarkStart w:name="_bookmark27" w:id="202"/>
      <w:bookmarkEnd w:id="202"/>
      <w:r>
        <w:rPr>
          <w:b w:val="0"/>
        </w:rPr>
      </w:r>
      <w:bookmarkStart w:name="_bookmark27" w:id="203"/>
      <w:bookmarkEnd w:id="203"/>
      <w:r>
        <w:rPr>
          <w:rFonts w:ascii="Arial"/>
          <w:color w:val="4E81BD"/>
        </w:rPr>
        <w:t>A</w:t>
      </w:r>
      <w:r>
        <w:rPr>
          <w:rFonts w:ascii="Arial"/>
          <w:color w:val="4E81BD"/>
        </w:rPr>
        <w:t> PBT measure based on consolidated financial</w:t>
      </w:r>
      <w:r>
        <w:rPr>
          <w:rFonts w:ascii="Arial"/>
          <w:color w:val="4E81BD"/>
          <w:spacing w:val="-10"/>
        </w:rPr>
        <w:t> </w:t>
      </w:r>
      <w:r>
        <w:rPr>
          <w:rFonts w:ascii="Arial"/>
          <w:color w:val="4E81BD"/>
        </w:rPr>
        <w:t>accounts</w:t>
      </w:r>
    </w:p>
    <w:p>
      <w:pPr>
        <w:pStyle w:val="BodyText"/>
        <w:spacing w:before="10"/>
        <w:rPr>
          <w:b/>
          <w:sz w:val="26"/>
        </w:rPr>
      </w:pPr>
    </w:p>
    <w:p>
      <w:pPr>
        <w:pStyle w:val="Heading6"/>
        <w:numPr>
          <w:ilvl w:val="2"/>
          <w:numId w:val="59"/>
        </w:numPr>
        <w:tabs>
          <w:tab w:pos="2015" w:val="left" w:leader="none"/>
        </w:tabs>
        <w:spacing w:line="240" w:lineRule="auto" w:before="0" w:after="0"/>
        <w:ind w:left="2014" w:right="0" w:hanging="613"/>
        <w:jc w:val="left"/>
        <w:rPr>
          <w:i/>
        </w:rPr>
      </w:pPr>
      <w:bookmarkStart w:name="5.2.1. Eligible consolidated financial a" w:id="204"/>
      <w:bookmarkEnd w:id="204"/>
      <w:r>
        <w:rPr>
          <w:b w:val="0"/>
          <w:i w:val="0"/>
        </w:rPr>
      </w:r>
      <w:bookmarkStart w:name="_bookmark28" w:id="205"/>
      <w:bookmarkEnd w:id="205"/>
      <w:r>
        <w:rPr>
          <w:b w:val="0"/>
          <w:i w:val="0"/>
        </w:rPr>
      </w:r>
      <w:bookmarkStart w:name="_bookmark28" w:id="206"/>
      <w:bookmarkEnd w:id="206"/>
      <w:r>
        <w:rPr>
          <w:i/>
        </w:rPr>
        <w:t>E</w:t>
      </w:r>
      <w:r>
        <w:rPr>
          <w:i/>
        </w:rPr>
        <w:t>ligible consolidated financial</w:t>
      </w:r>
      <w:r>
        <w:rPr>
          <w:i/>
          <w:spacing w:val="-7"/>
        </w:rPr>
        <w:t> </w:t>
      </w:r>
      <w:r>
        <w:rPr>
          <w:i/>
        </w:rPr>
        <w:t>accounts</w:t>
      </w:r>
    </w:p>
    <w:p>
      <w:pPr>
        <w:pStyle w:val="BodyText"/>
        <w:spacing w:before="11"/>
        <w:rPr>
          <w:b/>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Given</w:t>
      </w:r>
      <w:r>
        <w:rPr>
          <w:spacing w:val="-12"/>
          <w:sz w:val="20"/>
        </w:rPr>
        <w:t> </w:t>
      </w:r>
      <w:r>
        <w:rPr>
          <w:sz w:val="20"/>
        </w:rPr>
        <w:t>that</w:t>
      </w:r>
      <w:r>
        <w:rPr>
          <w:spacing w:val="-11"/>
          <w:sz w:val="20"/>
        </w:rPr>
        <w:t> </w:t>
      </w:r>
      <w:r>
        <w:rPr>
          <w:sz w:val="20"/>
        </w:rPr>
        <w:t>Amount</w:t>
      </w:r>
      <w:r>
        <w:rPr>
          <w:spacing w:val="-12"/>
          <w:sz w:val="20"/>
        </w:rPr>
        <w:t> </w:t>
      </w:r>
      <w:r>
        <w:rPr>
          <w:sz w:val="20"/>
        </w:rPr>
        <w:t>A</w:t>
      </w:r>
      <w:r>
        <w:rPr>
          <w:spacing w:val="-8"/>
          <w:sz w:val="20"/>
        </w:rPr>
        <w:t> </w:t>
      </w:r>
      <w:r>
        <w:rPr>
          <w:sz w:val="20"/>
        </w:rPr>
        <w:t>is</w:t>
      </w:r>
      <w:r>
        <w:rPr>
          <w:spacing w:val="-10"/>
          <w:sz w:val="20"/>
        </w:rPr>
        <w:t> </w:t>
      </w:r>
      <w:r>
        <w:rPr>
          <w:sz w:val="20"/>
        </w:rPr>
        <w:t>a</w:t>
      </w:r>
      <w:r>
        <w:rPr>
          <w:spacing w:val="-12"/>
          <w:sz w:val="20"/>
        </w:rPr>
        <w:t> </w:t>
      </w:r>
      <w:r>
        <w:rPr>
          <w:sz w:val="20"/>
        </w:rPr>
        <w:t>new</w:t>
      </w:r>
      <w:r>
        <w:rPr>
          <w:spacing w:val="-13"/>
          <w:sz w:val="20"/>
        </w:rPr>
        <w:t> </w:t>
      </w:r>
      <w:r>
        <w:rPr>
          <w:sz w:val="20"/>
        </w:rPr>
        <w:t>taxing</w:t>
      </w:r>
      <w:r>
        <w:rPr>
          <w:spacing w:val="-11"/>
          <w:sz w:val="20"/>
        </w:rPr>
        <w:t> </w:t>
      </w:r>
      <w:r>
        <w:rPr>
          <w:sz w:val="20"/>
        </w:rPr>
        <w:t>right</w:t>
      </w:r>
      <w:r>
        <w:rPr>
          <w:spacing w:val="-9"/>
          <w:sz w:val="20"/>
        </w:rPr>
        <w:t> </w:t>
      </w:r>
      <w:r>
        <w:rPr>
          <w:sz w:val="20"/>
        </w:rPr>
        <w:t>that</w:t>
      </w:r>
      <w:r>
        <w:rPr>
          <w:spacing w:val="-9"/>
          <w:sz w:val="20"/>
        </w:rPr>
        <w:t> </w:t>
      </w:r>
      <w:r>
        <w:rPr>
          <w:sz w:val="20"/>
        </w:rPr>
        <w:t>is</w:t>
      </w:r>
      <w:r>
        <w:rPr>
          <w:spacing w:val="-10"/>
          <w:sz w:val="20"/>
        </w:rPr>
        <w:t> </w:t>
      </w:r>
      <w:r>
        <w:rPr>
          <w:sz w:val="20"/>
        </w:rPr>
        <w:t>determined</w:t>
      </w:r>
      <w:r>
        <w:rPr>
          <w:spacing w:val="-11"/>
          <w:sz w:val="20"/>
        </w:rPr>
        <w:t> </w:t>
      </w:r>
      <w:r>
        <w:rPr>
          <w:sz w:val="20"/>
        </w:rPr>
        <w:t>based</w:t>
      </w:r>
      <w:r>
        <w:rPr>
          <w:spacing w:val="-12"/>
          <w:sz w:val="20"/>
        </w:rPr>
        <w:t> </w:t>
      </w:r>
      <w:r>
        <w:rPr>
          <w:sz w:val="20"/>
        </w:rPr>
        <w:t>on</w:t>
      </w:r>
      <w:r>
        <w:rPr>
          <w:spacing w:val="-12"/>
          <w:sz w:val="20"/>
        </w:rPr>
        <w:t> </w:t>
      </w:r>
      <w:r>
        <w:rPr>
          <w:sz w:val="20"/>
        </w:rPr>
        <w:t>the</w:t>
      </w:r>
      <w:r>
        <w:rPr>
          <w:spacing w:val="-9"/>
          <w:sz w:val="20"/>
        </w:rPr>
        <w:t> </w:t>
      </w:r>
      <w:r>
        <w:rPr>
          <w:sz w:val="20"/>
        </w:rPr>
        <w:t>profits</w:t>
      </w:r>
      <w:r>
        <w:rPr>
          <w:spacing w:val="-9"/>
          <w:sz w:val="20"/>
        </w:rPr>
        <w:t> </w:t>
      </w:r>
      <w:r>
        <w:rPr>
          <w:sz w:val="20"/>
        </w:rPr>
        <w:t>of</w:t>
      </w:r>
      <w:r>
        <w:rPr>
          <w:spacing w:val="-12"/>
          <w:sz w:val="20"/>
        </w:rPr>
        <w:t> </w:t>
      </w:r>
      <w:r>
        <w:rPr>
          <w:sz w:val="20"/>
        </w:rPr>
        <w:t>a</w:t>
      </w:r>
      <w:r>
        <w:rPr>
          <w:spacing w:val="-12"/>
          <w:sz w:val="20"/>
        </w:rPr>
        <w:t> </w:t>
      </w:r>
      <w:r>
        <w:rPr>
          <w:sz w:val="20"/>
        </w:rPr>
        <w:t>group</w:t>
      </w:r>
      <w:r>
        <w:rPr>
          <w:spacing w:val="-11"/>
          <w:sz w:val="20"/>
        </w:rPr>
        <w:t> </w:t>
      </w:r>
      <w:r>
        <w:rPr>
          <w:sz w:val="20"/>
        </w:rPr>
        <w:t>(rather than</w:t>
      </w:r>
      <w:r>
        <w:rPr>
          <w:spacing w:val="-14"/>
          <w:sz w:val="20"/>
        </w:rPr>
        <w:t> </w:t>
      </w:r>
      <w:r>
        <w:rPr>
          <w:sz w:val="20"/>
        </w:rPr>
        <w:t>on</w:t>
      </w:r>
      <w:r>
        <w:rPr>
          <w:spacing w:val="-14"/>
          <w:sz w:val="20"/>
        </w:rPr>
        <w:t> </w:t>
      </w:r>
      <w:r>
        <w:rPr>
          <w:sz w:val="20"/>
        </w:rPr>
        <w:t>a</w:t>
      </w:r>
      <w:r>
        <w:rPr>
          <w:spacing w:val="-14"/>
          <w:sz w:val="20"/>
        </w:rPr>
        <w:t> </w:t>
      </w:r>
      <w:r>
        <w:rPr>
          <w:sz w:val="20"/>
        </w:rPr>
        <w:t>separate</w:t>
      </w:r>
      <w:r>
        <w:rPr>
          <w:spacing w:val="-14"/>
          <w:sz w:val="20"/>
        </w:rPr>
        <w:t> </w:t>
      </w:r>
      <w:r>
        <w:rPr>
          <w:sz w:val="20"/>
        </w:rPr>
        <w:t>entity</w:t>
      </w:r>
      <w:r>
        <w:rPr>
          <w:spacing w:val="-15"/>
          <w:sz w:val="20"/>
        </w:rPr>
        <w:t> </w:t>
      </w:r>
      <w:r>
        <w:rPr>
          <w:sz w:val="20"/>
        </w:rPr>
        <w:t>basis),</w:t>
      </w:r>
      <w:r>
        <w:rPr>
          <w:spacing w:val="-10"/>
          <w:sz w:val="20"/>
        </w:rPr>
        <w:t> </w:t>
      </w:r>
      <w:r>
        <w:rPr>
          <w:sz w:val="20"/>
        </w:rPr>
        <w:t>it</w:t>
      </w:r>
      <w:r>
        <w:rPr>
          <w:spacing w:val="-14"/>
          <w:sz w:val="20"/>
        </w:rPr>
        <w:t> </w:t>
      </w:r>
      <w:r>
        <w:rPr>
          <w:sz w:val="20"/>
        </w:rPr>
        <w:t>is</w:t>
      </w:r>
      <w:r>
        <w:rPr>
          <w:spacing w:val="-12"/>
          <w:sz w:val="20"/>
        </w:rPr>
        <w:t> </w:t>
      </w:r>
      <w:r>
        <w:rPr>
          <w:sz w:val="20"/>
        </w:rPr>
        <w:t>necessary</w:t>
      </w:r>
      <w:r>
        <w:rPr>
          <w:spacing w:val="-17"/>
          <w:sz w:val="20"/>
        </w:rPr>
        <w:t> </w:t>
      </w:r>
      <w:r>
        <w:rPr>
          <w:sz w:val="20"/>
        </w:rPr>
        <w:t>to</w:t>
      </w:r>
      <w:r>
        <w:rPr>
          <w:spacing w:val="-12"/>
          <w:sz w:val="20"/>
        </w:rPr>
        <w:t> </w:t>
      </w:r>
      <w:r>
        <w:rPr>
          <w:sz w:val="20"/>
        </w:rPr>
        <w:t>use</w:t>
      </w:r>
      <w:r>
        <w:rPr>
          <w:spacing w:val="-14"/>
          <w:sz w:val="20"/>
        </w:rPr>
        <w:t> </w:t>
      </w:r>
      <w:r>
        <w:rPr>
          <w:sz w:val="20"/>
        </w:rPr>
        <w:t>consolidated</w:t>
      </w:r>
      <w:r>
        <w:rPr>
          <w:spacing w:val="-10"/>
          <w:sz w:val="20"/>
        </w:rPr>
        <w:t> </w:t>
      </w:r>
      <w:r>
        <w:rPr>
          <w:sz w:val="20"/>
        </w:rPr>
        <w:t>group</w:t>
      </w:r>
      <w:r>
        <w:rPr>
          <w:spacing w:val="-13"/>
          <w:sz w:val="20"/>
        </w:rPr>
        <w:t> </w:t>
      </w:r>
      <w:r>
        <w:rPr>
          <w:sz w:val="20"/>
        </w:rPr>
        <w:t>financial</w:t>
      </w:r>
      <w:r>
        <w:rPr>
          <w:spacing w:val="-13"/>
          <w:sz w:val="20"/>
        </w:rPr>
        <w:t> </w:t>
      </w:r>
      <w:r>
        <w:rPr>
          <w:sz w:val="20"/>
        </w:rPr>
        <w:t>accounts</w:t>
      </w:r>
      <w:r>
        <w:rPr>
          <w:spacing w:val="-13"/>
          <w:sz w:val="20"/>
        </w:rPr>
        <w:t> </w:t>
      </w:r>
      <w:r>
        <w:rPr>
          <w:sz w:val="20"/>
        </w:rPr>
        <w:t>as</w:t>
      </w:r>
      <w:r>
        <w:rPr>
          <w:spacing w:val="-13"/>
          <w:sz w:val="20"/>
        </w:rPr>
        <w:t> </w:t>
      </w:r>
      <w:r>
        <w:rPr>
          <w:sz w:val="20"/>
        </w:rPr>
        <w:t>the</w:t>
      </w:r>
      <w:r>
        <w:rPr>
          <w:spacing w:val="-14"/>
          <w:sz w:val="20"/>
        </w:rPr>
        <w:t> </w:t>
      </w:r>
      <w:r>
        <w:rPr>
          <w:sz w:val="20"/>
        </w:rPr>
        <w:t>starting point for computing the Amount A tax base. This approach also has the advantage that the Amount A tax base is less affected by controlled transactions</w:t>
      </w:r>
      <w:r>
        <w:rPr>
          <w:position w:val="6"/>
          <w:sz w:val="13"/>
        </w:rPr>
        <w:t>64 </w:t>
      </w:r>
      <w:r>
        <w:rPr>
          <w:sz w:val="20"/>
        </w:rPr>
        <w:t>and, for large MNE groups, that it is based on financial statements that have been subject to external audit,</w:t>
      </w:r>
      <w:r>
        <w:rPr>
          <w:sz w:val="20"/>
          <w:vertAlign w:val="superscript"/>
        </w:rPr>
        <w:t>65</w:t>
      </w:r>
      <w:r>
        <w:rPr>
          <w:sz w:val="20"/>
          <w:vertAlign w:val="baseline"/>
        </w:rPr>
        <w:t> thus providing a reliable source of information that is normally readily available to tax</w:t>
      </w:r>
      <w:r>
        <w:rPr>
          <w:spacing w:val="-7"/>
          <w:sz w:val="20"/>
          <w:vertAlign w:val="baseline"/>
        </w:rPr>
        <w:t> </w:t>
      </w:r>
      <w:r>
        <w:rPr>
          <w:sz w:val="20"/>
          <w:vertAlign w:val="baseline"/>
        </w:rPr>
        <w:t>administrations.</w:t>
      </w:r>
    </w:p>
    <w:p>
      <w:pPr>
        <w:pStyle w:val="ListParagraph"/>
        <w:numPr>
          <w:ilvl w:val="0"/>
          <w:numId w:val="13"/>
        </w:numPr>
        <w:tabs>
          <w:tab w:pos="1444" w:val="left" w:leader="none"/>
        </w:tabs>
        <w:spacing w:line="271" w:lineRule="auto" w:before="121" w:after="0"/>
        <w:ind w:left="723" w:right="488" w:firstLine="0"/>
        <w:jc w:val="both"/>
        <w:rPr>
          <w:sz w:val="20"/>
        </w:rPr>
      </w:pPr>
      <w:r>
        <w:rPr>
          <w:sz w:val="20"/>
        </w:rPr>
        <w:t>In general, Amount A would not mandate MNE groups to produce consolidated accounts under a specific</w:t>
      </w:r>
      <w:r>
        <w:rPr>
          <w:spacing w:val="-11"/>
          <w:sz w:val="20"/>
        </w:rPr>
        <w:t> </w:t>
      </w:r>
      <w:r>
        <w:rPr>
          <w:sz w:val="20"/>
        </w:rPr>
        <w:t>accounting</w:t>
      </w:r>
      <w:r>
        <w:rPr>
          <w:spacing w:val="-13"/>
          <w:sz w:val="20"/>
        </w:rPr>
        <w:t> </w:t>
      </w:r>
      <w:r>
        <w:rPr>
          <w:sz w:val="20"/>
        </w:rPr>
        <w:t>standard.</w:t>
      </w:r>
      <w:r>
        <w:rPr>
          <w:spacing w:val="-9"/>
          <w:sz w:val="20"/>
        </w:rPr>
        <w:t> </w:t>
      </w:r>
      <w:r>
        <w:rPr>
          <w:sz w:val="20"/>
        </w:rPr>
        <w:t>The</w:t>
      </w:r>
      <w:r>
        <w:rPr>
          <w:spacing w:val="-13"/>
          <w:sz w:val="20"/>
        </w:rPr>
        <w:t> </w:t>
      </w:r>
      <w:r>
        <w:rPr>
          <w:sz w:val="20"/>
        </w:rPr>
        <w:t>relevant</w:t>
      </w:r>
      <w:r>
        <w:rPr>
          <w:spacing w:val="-11"/>
          <w:sz w:val="20"/>
        </w:rPr>
        <w:t> </w:t>
      </w:r>
      <w:r>
        <w:rPr>
          <w:sz w:val="20"/>
        </w:rPr>
        <w:t>financial</w:t>
      </w:r>
      <w:r>
        <w:rPr>
          <w:spacing w:val="-13"/>
          <w:sz w:val="20"/>
        </w:rPr>
        <w:t> </w:t>
      </w:r>
      <w:r>
        <w:rPr>
          <w:sz w:val="20"/>
        </w:rPr>
        <w:t>accounting</w:t>
      </w:r>
      <w:r>
        <w:rPr>
          <w:spacing w:val="-13"/>
          <w:sz w:val="20"/>
        </w:rPr>
        <w:t> </w:t>
      </w:r>
      <w:r>
        <w:rPr>
          <w:sz w:val="20"/>
        </w:rPr>
        <w:t>standard</w:t>
      </w:r>
      <w:r>
        <w:rPr>
          <w:spacing w:val="-12"/>
          <w:sz w:val="20"/>
        </w:rPr>
        <w:t> </w:t>
      </w:r>
      <w:r>
        <w:rPr>
          <w:sz w:val="20"/>
        </w:rPr>
        <w:t>for</w:t>
      </w:r>
      <w:r>
        <w:rPr>
          <w:spacing w:val="-12"/>
          <w:sz w:val="20"/>
        </w:rPr>
        <w:t> </w:t>
      </w:r>
      <w:r>
        <w:rPr>
          <w:sz w:val="20"/>
        </w:rPr>
        <w:t>computing</w:t>
      </w:r>
      <w:r>
        <w:rPr>
          <w:spacing w:val="-13"/>
          <w:sz w:val="20"/>
        </w:rPr>
        <w:t> </w:t>
      </w:r>
      <w:r>
        <w:rPr>
          <w:sz w:val="20"/>
        </w:rPr>
        <w:t>Amount</w:t>
      </w:r>
      <w:r>
        <w:rPr>
          <w:spacing w:val="-13"/>
          <w:sz w:val="20"/>
        </w:rPr>
        <w:t> </w:t>
      </w:r>
      <w:r>
        <w:rPr>
          <w:sz w:val="20"/>
        </w:rPr>
        <w:t>A</w:t>
      </w:r>
      <w:r>
        <w:rPr>
          <w:spacing w:val="-12"/>
          <w:sz w:val="20"/>
        </w:rPr>
        <w:t> </w:t>
      </w:r>
      <w:r>
        <w:rPr>
          <w:sz w:val="20"/>
        </w:rPr>
        <w:t>tax</w:t>
      </w:r>
      <w:r>
        <w:rPr>
          <w:spacing w:val="-12"/>
          <w:sz w:val="20"/>
        </w:rPr>
        <w:t> </w:t>
      </w:r>
      <w:r>
        <w:rPr>
          <w:sz w:val="20"/>
        </w:rPr>
        <w:t>base would</w:t>
      </w:r>
      <w:r>
        <w:rPr>
          <w:spacing w:val="-9"/>
          <w:sz w:val="20"/>
        </w:rPr>
        <w:t> </w:t>
      </w:r>
      <w:r>
        <w:rPr>
          <w:sz w:val="20"/>
        </w:rPr>
        <w:t>be</w:t>
      </w:r>
      <w:r>
        <w:rPr>
          <w:spacing w:val="-9"/>
          <w:sz w:val="20"/>
        </w:rPr>
        <w:t> </w:t>
      </w:r>
      <w:r>
        <w:rPr>
          <w:sz w:val="20"/>
        </w:rPr>
        <w:t>the</w:t>
      </w:r>
      <w:r>
        <w:rPr>
          <w:spacing w:val="-12"/>
          <w:sz w:val="20"/>
        </w:rPr>
        <w:t> </w:t>
      </w:r>
      <w:r>
        <w:rPr>
          <w:sz w:val="20"/>
        </w:rPr>
        <w:t>financial</w:t>
      </w:r>
      <w:r>
        <w:rPr>
          <w:spacing w:val="-10"/>
          <w:sz w:val="20"/>
        </w:rPr>
        <w:t> </w:t>
      </w:r>
      <w:r>
        <w:rPr>
          <w:sz w:val="20"/>
        </w:rPr>
        <w:t>accounting</w:t>
      </w:r>
      <w:r>
        <w:rPr>
          <w:spacing w:val="-10"/>
          <w:sz w:val="20"/>
        </w:rPr>
        <w:t> </w:t>
      </w:r>
      <w:r>
        <w:rPr>
          <w:sz w:val="20"/>
        </w:rPr>
        <w:t>standard</w:t>
      </w:r>
      <w:r>
        <w:rPr>
          <w:spacing w:val="-9"/>
          <w:sz w:val="20"/>
        </w:rPr>
        <w:t> </w:t>
      </w:r>
      <w:r>
        <w:rPr>
          <w:sz w:val="20"/>
        </w:rPr>
        <w:t>used</w:t>
      </w:r>
      <w:r>
        <w:rPr>
          <w:spacing w:val="-9"/>
          <w:sz w:val="20"/>
        </w:rPr>
        <w:t> </w:t>
      </w:r>
      <w:r>
        <w:rPr>
          <w:sz w:val="20"/>
        </w:rPr>
        <w:t>by</w:t>
      </w:r>
      <w:r>
        <w:rPr>
          <w:spacing w:val="-12"/>
          <w:sz w:val="20"/>
        </w:rPr>
        <w:t> </w:t>
      </w:r>
      <w:r>
        <w:rPr>
          <w:sz w:val="20"/>
        </w:rPr>
        <w:t>the</w:t>
      </w:r>
      <w:r>
        <w:rPr>
          <w:spacing w:val="-9"/>
          <w:sz w:val="20"/>
        </w:rPr>
        <w:t> </w:t>
      </w:r>
      <w:r>
        <w:rPr>
          <w:sz w:val="20"/>
        </w:rPr>
        <w:t>UPE</w:t>
      </w:r>
      <w:r>
        <w:rPr>
          <w:spacing w:val="-10"/>
          <w:sz w:val="20"/>
        </w:rPr>
        <w:t> </w:t>
      </w:r>
      <w:r>
        <w:rPr>
          <w:sz w:val="20"/>
        </w:rPr>
        <w:t>in</w:t>
      </w:r>
      <w:r>
        <w:rPr>
          <w:spacing w:val="-9"/>
          <w:sz w:val="20"/>
        </w:rPr>
        <w:t> </w:t>
      </w:r>
      <w:r>
        <w:rPr>
          <w:sz w:val="20"/>
        </w:rPr>
        <w:t>the</w:t>
      </w:r>
      <w:r>
        <w:rPr>
          <w:spacing w:val="-9"/>
          <w:sz w:val="20"/>
        </w:rPr>
        <w:t> </w:t>
      </w:r>
      <w:r>
        <w:rPr>
          <w:sz w:val="20"/>
        </w:rPr>
        <w:t>preparation</w:t>
      </w:r>
      <w:r>
        <w:rPr>
          <w:spacing w:val="-10"/>
          <w:sz w:val="20"/>
        </w:rPr>
        <w:t> </w:t>
      </w:r>
      <w:r>
        <w:rPr>
          <w:sz w:val="20"/>
        </w:rPr>
        <w:t>of</w:t>
      </w:r>
      <w:r>
        <w:rPr>
          <w:spacing w:val="-7"/>
          <w:sz w:val="20"/>
        </w:rPr>
        <w:t> </w:t>
      </w:r>
      <w:r>
        <w:rPr>
          <w:sz w:val="20"/>
        </w:rPr>
        <w:t>its</w:t>
      </w:r>
      <w:r>
        <w:rPr>
          <w:spacing w:val="-10"/>
          <w:sz w:val="20"/>
        </w:rPr>
        <w:t> </w:t>
      </w:r>
      <w:r>
        <w:rPr>
          <w:sz w:val="20"/>
        </w:rPr>
        <w:t>consolidated</w:t>
      </w:r>
      <w:r>
        <w:rPr>
          <w:spacing w:val="-10"/>
          <w:sz w:val="20"/>
        </w:rPr>
        <w:t> </w:t>
      </w:r>
      <w:r>
        <w:rPr>
          <w:sz w:val="20"/>
        </w:rPr>
        <w:t>financial statements.</w:t>
      </w:r>
    </w:p>
    <w:p>
      <w:pPr>
        <w:pStyle w:val="ListParagraph"/>
        <w:numPr>
          <w:ilvl w:val="0"/>
          <w:numId w:val="13"/>
        </w:numPr>
        <w:tabs>
          <w:tab w:pos="1444" w:val="left" w:leader="none"/>
        </w:tabs>
        <w:spacing w:line="271" w:lineRule="auto" w:before="119" w:after="0"/>
        <w:ind w:left="723" w:right="479" w:firstLine="0"/>
        <w:jc w:val="both"/>
        <w:rPr>
          <w:sz w:val="20"/>
        </w:rPr>
      </w:pPr>
      <w:r>
        <w:rPr>
          <w:sz w:val="20"/>
        </w:rPr>
        <w:t>At the same time, because MNE groups prepare consolidated financial accounts under different accounting</w:t>
      </w:r>
      <w:r>
        <w:rPr>
          <w:spacing w:val="-8"/>
          <w:sz w:val="20"/>
        </w:rPr>
        <w:t> </w:t>
      </w:r>
      <w:r>
        <w:rPr>
          <w:sz w:val="20"/>
        </w:rPr>
        <w:t>standards,</w:t>
      </w:r>
      <w:r>
        <w:rPr>
          <w:spacing w:val="-5"/>
          <w:sz w:val="20"/>
        </w:rPr>
        <w:t> </w:t>
      </w:r>
      <w:r>
        <w:rPr>
          <w:sz w:val="20"/>
        </w:rPr>
        <w:t>this</w:t>
      </w:r>
      <w:r>
        <w:rPr>
          <w:spacing w:val="-4"/>
          <w:sz w:val="20"/>
        </w:rPr>
        <w:t> </w:t>
      </w:r>
      <w:r>
        <w:rPr>
          <w:sz w:val="20"/>
        </w:rPr>
        <w:t>approach</w:t>
      </w:r>
      <w:r>
        <w:rPr>
          <w:spacing w:val="-8"/>
          <w:sz w:val="20"/>
        </w:rPr>
        <w:t> </w:t>
      </w:r>
      <w:r>
        <w:rPr>
          <w:sz w:val="20"/>
        </w:rPr>
        <w:t>requires</w:t>
      </w:r>
      <w:r>
        <w:rPr>
          <w:spacing w:val="-6"/>
          <w:sz w:val="20"/>
        </w:rPr>
        <w:t> </w:t>
      </w:r>
      <w:r>
        <w:rPr>
          <w:sz w:val="20"/>
        </w:rPr>
        <w:t>the</w:t>
      </w:r>
      <w:r>
        <w:rPr>
          <w:spacing w:val="-7"/>
          <w:sz w:val="20"/>
        </w:rPr>
        <w:t> </w:t>
      </w:r>
      <w:r>
        <w:rPr>
          <w:sz w:val="20"/>
        </w:rPr>
        <w:t>resolution</w:t>
      </w:r>
      <w:r>
        <w:rPr>
          <w:spacing w:val="-8"/>
          <w:sz w:val="20"/>
        </w:rPr>
        <w:t> </w:t>
      </w:r>
      <w:r>
        <w:rPr>
          <w:sz w:val="20"/>
        </w:rPr>
        <w:t>of</w:t>
      </w:r>
      <w:r>
        <w:rPr>
          <w:spacing w:val="-5"/>
          <w:sz w:val="20"/>
        </w:rPr>
        <w:t> </w:t>
      </w:r>
      <w:r>
        <w:rPr>
          <w:sz w:val="20"/>
        </w:rPr>
        <w:t>several</w:t>
      </w:r>
      <w:r>
        <w:rPr>
          <w:spacing w:val="-8"/>
          <w:sz w:val="20"/>
        </w:rPr>
        <w:t> </w:t>
      </w:r>
      <w:r>
        <w:rPr>
          <w:sz w:val="20"/>
        </w:rPr>
        <w:t>issues</w:t>
      </w:r>
      <w:r>
        <w:rPr>
          <w:spacing w:val="-6"/>
          <w:sz w:val="20"/>
        </w:rPr>
        <w:t> </w:t>
      </w:r>
      <w:r>
        <w:rPr>
          <w:sz w:val="20"/>
        </w:rPr>
        <w:t>to</w:t>
      </w:r>
      <w:r>
        <w:rPr>
          <w:spacing w:val="-8"/>
          <w:sz w:val="20"/>
        </w:rPr>
        <w:t> </w:t>
      </w:r>
      <w:r>
        <w:rPr>
          <w:sz w:val="20"/>
        </w:rPr>
        <w:t>ensure</w:t>
      </w:r>
      <w:r>
        <w:rPr>
          <w:spacing w:val="-6"/>
          <w:sz w:val="20"/>
        </w:rPr>
        <w:t> </w:t>
      </w:r>
      <w:r>
        <w:rPr>
          <w:sz w:val="20"/>
        </w:rPr>
        <w:t>that</w:t>
      </w:r>
      <w:r>
        <w:rPr>
          <w:spacing w:val="-7"/>
          <w:sz w:val="20"/>
        </w:rPr>
        <w:t> </w:t>
      </w:r>
      <w:r>
        <w:rPr>
          <w:sz w:val="20"/>
        </w:rPr>
        <w:t>the</w:t>
      </w:r>
      <w:r>
        <w:rPr>
          <w:spacing w:val="-4"/>
          <w:sz w:val="20"/>
        </w:rPr>
        <w:t> </w:t>
      </w:r>
      <w:r>
        <w:rPr>
          <w:sz w:val="20"/>
        </w:rPr>
        <w:t>Amount</w:t>
      </w:r>
      <w:r>
        <w:rPr>
          <w:spacing w:val="-8"/>
          <w:sz w:val="20"/>
        </w:rPr>
        <w:t> </w:t>
      </w:r>
      <w:r>
        <w:rPr>
          <w:sz w:val="20"/>
        </w:rPr>
        <w:t>A tax base determination produces comparable results when differing standards are used. These issues include</w:t>
      </w:r>
      <w:r>
        <w:rPr>
          <w:spacing w:val="-13"/>
          <w:sz w:val="20"/>
        </w:rPr>
        <w:t> </w:t>
      </w:r>
      <w:r>
        <w:rPr>
          <w:sz w:val="20"/>
        </w:rPr>
        <w:t>identifying</w:t>
      </w:r>
      <w:r>
        <w:rPr>
          <w:spacing w:val="-13"/>
          <w:sz w:val="20"/>
        </w:rPr>
        <w:t> </w:t>
      </w:r>
      <w:r>
        <w:rPr>
          <w:sz w:val="20"/>
        </w:rPr>
        <w:t>acceptable</w:t>
      </w:r>
      <w:r>
        <w:rPr>
          <w:spacing w:val="-11"/>
          <w:sz w:val="20"/>
        </w:rPr>
        <w:t> </w:t>
      </w:r>
      <w:r>
        <w:rPr>
          <w:sz w:val="20"/>
        </w:rPr>
        <w:t>accounting</w:t>
      </w:r>
      <w:r>
        <w:rPr>
          <w:spacing w:val="-15"/>
          <w:sz w:val="20"/>
        </w:rPr>
        <w:t> </w:t>
      </w:r>
      <w:r>
        <w:rPr>
          <w:sz w:val="20"/>
        </w:rPr>
        <w:t>standards</w:t>
      </w:r>
      <w:r>
        <w:rPr>
          <w:spacing w:val="-11"/>
          <w:sz w:val="20"/>
        </w:rPr>
        <w:t> </w:t>
      </w:r>
      <w:r>
        <w:rPr>
          <w:sz w:val="20"/>
        </w:rPr>
        <w:t>across</w:t>
      </w:r>
      <w:r>
        <w:rPr>
          <w:spacing w:val="-12"/>
          <w:sz w:val="20"/>
        </w:rPr>
        <w:t> </w:t>
      </w:r>
      <w:r>
        <w:rPr>
          <w:sz w:val="20"/>
        </w:rPr>
        <w:t>Inclusive</w:t>
      </w:r>
      <w:r>
        <w:rPr>
          <w:spacing w:val="-15"/>
          <w:sz w:val="20"/>
        </w:rPr>
        <w:t> </w:t>
      </w:r>
      <w:r>
        <w:rPr>
          <w:sz w:val="20"/>
        </w:rPr>
        <w:t>Framework</w:t>
      </w:r>
      <w:r>
        <w:rPr>
          <w:spacing w:val="-10"/>
          <w:sz w:val="20"/>
        </w:rPr>
        <w:t> </w:t>
      </w:r>
      <w:r>
        <w:rPr>
          <w:sz w:val="20"/>
        </w:rPr>
        <w:t>jurisdictions</w:t>
      </w:r>
      <w:r>
        <w:rPr>
          <w:spacing w:val="-12"/>
          <w:sz w:val="20"/>
        </w:rPr>
        <w:t> </w:t>
      </w:r>
      <w:r>
        <w:rPr>
          <w:sz w:val="20"/>
        </w:rPr>
        <w:t>that</w:t>
      </w:r>
      <w:r>
        <w:rPr>
          <w:spacing w:val="-14"/>
          <w:sz w:val="20"/>
        </w:rPr>
        <w:t> </w:t>
      </w:r>
      <w:r>
        <w:rPr>
          <w:sz w:val="20"/>
        </w:rPr>
        <w:t>produce sufficiently comparable and reliable results for computing Amount A, and clarifying whether specific harmonisation adjustments are required to deal with particular items of income or</w:t>
      </w:r>
      <w:r>
        <w:rPr>
          <w:spacing w:val="-10"/>
          <w:sz w:val="20"/>
        </w:rPr>
        <w:t> </w:t>
      </w:r>
      <w:r>
        <w:rPr>
          <w:sz w:val="20"/>
        </w:rPr>
        <w:t>expenses.</w:t>
      </w:r>
    </w:p>
    <w:p>
      <w:pPr>
        <w:pStyle w:val="BodyText"/>
        <w:spacing w:before="2"/>
      </w:pPr>
    </w:p>
    <w:p>
      <w:pPr>
        <w:pStyle w:val="Heading7"/>
        <w:rPr>
          <w:i/>
        </w:rPr>
      </w:pPr>
      <w:bookmarkStart w:name="Eligible GAAP" w:id="207"/>
      <w:bookmarkEnd w:id="207"/>
      <w:r>
        <w:rPr>
          <w:i w:val="0"/>
        </w:rPr>
      </w:r>
      <w:r>
        <w:rPr>
          <w:i/>
          <w:color w:val="616161"/>
        </w:rPr>
        <w:t>Eligible GAAP</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Although there are variations between different consolidated accounting standards, the GAAP of many Inclusive Framework members have far more commonalities than differences. To limit compliance costs, MNE groups will therefore be permitted to rely on the consolidated financial accounts produced by their</w:t>
      </w:r>
      <w:r>
        <w:rPr>
          <w:spacing w:val="39"/>
          <w:sz w:val="20"/>
        </w:rPr>
        <w:t> </w:t>
      </w:r>
      <w:r>
        <w:rPr>
          <w:sz w:val="20"/>
        </w:rPr>
        <w:t>UPE</w:t>
      </w:r>
      <w:r>
        <w:rPr>
          <w:spacing w:val="38"/>
          <w:sz w:val="20"/>
        </w:rPr>
        <w:t> </w:t>
      </w:r>
      <w:r>
        <w:rPr>
          <w:sz w:val="20"/>
        </w:rPr>
        <w:t>under</w:t>
      </w:r>
      <w:r>
        <w:rPr>
          <w:spacing w:val="37"/>
          <w:sz w:val="20"/>
        </w:rPr>
        <w:t> </w:t>
      </w:r>
      <w:r>
        <w:rPr>
          <w:sz w:val="20"/>
        </w:rPr>
        <w:t>any</w:t>
      </w:r>
      <w:r>
        <w:rPr>
          <w:spacing w:val="34"/>
          <w:sz w:val="20"/>
        </w:rPr>
        <w:t> </w:t>
      </w:r>
      <w:r>
        <w:rPr>
          <w:sz w:val="20"/>
        </w:rPr>
        <w:t>GAAP</w:t>
      </w:r>
      <w:r>
        <w:rPr>
          <w:spacing w:val="35"/>
          <w:sz w:val="20"/>
        </w:rPr>
        <w:t> </w:t>
      </w:r>
      <w:r>
        <w:rPr>
          <w:sz w:val="20"/>
        </w:rPr>
        <w:t>provided</w:t>
      </w:r>
      <w:r>
        <w:rPr>
          <w:spacing w:val="36"/>
          <w:sz w:val="20"/>
        </w:rPr>
        <w:t> </w:t>
      </w:r>
      <w:r>
        <w:rPr>
          <w:sz w:val="20"/>
        </w:rPr>
        <w:t>this</w:t>
      </w:r>
      <w:r>
        <w:rPr>
          <w:spacing w:val="37"/>
          <w:sz w:val="20"/>
        </w:rPr>
        <w:t> </w:t>
      </w:r>
      <w:r>
        <w:rPr>
          <w:sz w:val="20"/>
        </w:rPr>
        <w:t>standard</w:t>
      </w:r>
      <w:r>
        <w:rPr>
          <w:spacing w:val="45"/>
          <w:sz w:val="20"/>
        </w:rPr>
        <w:t> </w:t>
      </w:r>
      <w:r>
        <w:rPr>
          <w:sz w:val="20"/>
        </w:rPr>
        <w:t>produces</w:t>
      </w:r>
      <w:r>
        <w:rPr>
          <w:spacing w:val="41"/>
          <w:sz w:val="20"/>
        </w:rPr>
        <w:t> </w:t>
      </w:r>
      <w:r>
        <w:rPr>
          <w:sz w:val="20"/>
        </w:rPr>
        <w:t>equivalent</w:t>
      </w:r>
      <w:r>
        <w:rPr>
          <w:spacing w:val="38"/>
          <w:sz w:val="20"/>
        </w:rPr>
        <w:t> </w:t>
      </w:r>
      <w:r>
        <w:rPr>
          <w:sz w:val="20"/>
        </w:rPr>
        <w:t>or</w:t>
      </w:r>
      <w:r>
        <w:rPr>
          <w:spacing w:val="37"/>
          <w:sz w:val="20"/>
        </w:rPr>
        <w:t> </w:t>
      </w:r>
      <w:r>
        <w:rPr>
          <w:sz w:val="20"/>
        </w:rPr>
        <w:t>comparable</w:t>
      </w:r>
      <w:r>
        <w:rPr>
          <w:spacing w:val="36"/>
          <w:sz w:val="20"/>
        </w:rPr>
        <w:t> </w:t>
      </w:r>
      <w:r>
        <w:rPr>
          <w:sz w:val="20"/>
        </w:rPr>
        <w:t>outcomes</w:t>
      </w:r>
      <w:r>
        <w:rPr>
          <w:spacing w:val="38"/>
          <w:sz w:val="20"/>
        </w:rPr>
        <w:t> </w:t>
      </w:r>
      <w:r>
        <w:rPr>
          <w:sz w:val="20"/>
        </w:rPr>
        <w:t>to</w:t>
      </w:r>
    </w:p>
    <w:p>
      <w:pPr>
        <w:pStyle w:val="BodyText"/>
      </w:pPr>
    </w:p>
    <w:p>
      <w:pPr>
        <w:pStyle w:val="BodyText"/>
      </w:pPr>
    </w:p>
    <w:p>
      <w:pPr>
        <w:pStyle w:val="BodyText"/>
        <w:rPr>
          <w:sz w:val="28"/>
        </w:rPr>
      </w:pPr>
      <w:r>
        <w:rPr/>
        <w:pict>
          <v:rect style="position:absolute;margin-left:65.183998pt;margin-top:18.070332pt;width:144.020004pt;height:.599980pt;mso-position-horizontal-relative:page;mso-position-vertical-relative:paragraph;z-index:-15670784;mso-wrap-distance-left:0;mso-wrap-distance-right:0" filled="true" fillcolor="#000000" stroked="false">
            <v:fill type="solid"/>
            <w10:wrap type="topAndBottom"/>
          </v:rect>
        </w:pict>
      </w:r>
    </w:p>
    <w:p>
      <w:pPr>
        <w:pStyle w:val="BodyText"/>
        <w:spacing w:before="3"/>
        <w:rPr>
          <w:sz w:val="16"/>
        </w:rPr>
      </w:pPr>
    </w:p>
    <w:p>
      <w:pPr>
        <w:pStyle w:val="ListParagraph"/>
        <w:numPr>
          <w:ilvl w:val="0"/>
          <w:numId w:val="14"/>
        </w:numPr>
        <w:tabs>
          <w:tab w:pos="945" w:val="left" w:leader="none"/>
        </w:tabs>
        <w:spacing w:line="278" w:lineRule="auto" w:before="94" w:after="0"/>
        <w:ind w:left="723" w:right="484" w:firstLine="0"/>
        <w:jc w:val="both"/>
        <w:rPr>
          <w:sz w:val="18"/>
        </w:rPr>
      </w:pPr>
      <w:r>
        <w:rPr>
          <w:sz w:val="18"/>
        </w:rPr>
        <w:t>Not all transactions between associated enterprises as defined in Article 9 of the OECD Model Tax Convention (MTC) will necessarily be eliminated through the process of consolidation. The reason for that is that the definition of “control” for accounting purposes is typically narrower than the definition of associated enterprises under Article 9 of the OECD</w:t>
      </w:r>
      <w:r>
        <w:rPr>
          <w:spacing w:val="-2"/>
          <w:sz w:val="18"/>
        </w:rPr>
        <w:t> </w:t>
      </w:r>
      <w:r>
        <w:rPr>
          <w:sz w:val="18"/>
        </w:rPr>
        <w:t>MTC.</w:t>
      </w:r>
    </w:p>
    <w:p>
      <w:pPr>
        <w:pStyle w:val="ListParagraph"/>
        <w:numPr>
          <w:ilvl w:val="0"/>
          <w:numId w:val="14"/>
        </w:numPr>
        <w:tabs>
          <w:tab w:pos="950" w:val="left" w:leader="none"/>
        </w:tabs>
        <w:spacing w:line="278" w:lineRule="auto" w:before="77" w:after="0"/>
        <w:ind w:left="723" w:right="485" w:firstLine="0"/>
        <w:jc w:val="both"/>
        <w:rPr>
          <w:sz w:val="18"/>
        </w:rPr>
      </w:pPr>
      <w:r>
        <w:rPr>
          <w:sz w:val="18"/>
        </w:rPr>
        <w:t>Even where MNE groups are not required to prepare audited consolidated financial accounts, there are also a number of constraints associated with the financial reporting process (e.g. incentives, checks and balances) that contribute to the reliability of the information provided by the financial</w:t>
      </w:r>
      <w:r>
        <w:rPr>
          <w:spacing w:val="-11"/>
          <w:sz w:val="18"/>
        </w:rPr>
        <w:t> </w:t>
      </w:r>
      <w:r>
        <w:rPr>
          <w:sz w:val="18"/>
        </w:rPr>
        <w:t>accounts.</w:t>
      </w:r>
    </w:p>
    <w:p>
      <w:pPr>
        <w:spacing w:after="0" w:line="278" w:lineRule="auto"/>
        <w:jc w:val="both"/>
        <w:rPr>
          <w:sz w:val="18"/>
        </w:rPr>
        <w:sectPr>
          <w:pgSz w:w="11910" w:h="16840"/>
          <w:pgMar w:header="1244" w:footer="1638" w:top="1500" w:bottom="1820" w:left="580" w:right="820"/>
        </w:sectPr>
      </w:pPr>
    </w:p>
    <w:p>
      <w:pPr>
        <w:pStyle w:val="BodyText"/>
        <w:spacing w:before="10"/>
        <w:rPr>
          <w:sz w:val="17"/>
        </w:rPr>
      </w:pPr>
    </w:p>
    <w:p>
      <w:pPr>
        <w:pStyle w:val="BodyText"/>
        <w:spacing w:line="271" w:lineRule="auto" w:before="118"/>
        <w:ind w:left="723" w:right="481"/>
        <w:jc w:val="both"/>
      </w:pPr>
      <w:r>
        <w:rPr/>
        <w:t>consolidated financial accounts prepared under IFRS.</w:t>
      </w:r>
      <w:r>
        <w:rPr>
          <w:vertAlign w:val="superscript"/>
        </w:rPr>
        <w:t>66</w:t>
      </w:r>
      <w:r>
        <w:rPr>
          <w:vertAlign w:val="baseline"/>
        </w:rPr>
        <w:t> Equivalency with IFRS is to be assessed based on the work of the International Accounting Standards Board (IASB) as well as the work of securities regulators that allow other accounting standards in financial reports of publicly accountable companies, consistent with the assessment of GAAP equivalence under the Pillar Two. An initial assessment has shown the GAAP of Australia, Canada, Hong Kong (China), Japan, New Zealand, the People’s Republic of</w:t>
      </w:r>
      <w:r>
        <w:rPr>
          <w:spacing w:val="-10"/>
          <w:vertAlign w:val="baseline"/>
        </w:rPr>
        <w:t> </w:t>
      </w:r>
      <w:r>
        <w:rPr>
          <w:vertAlign w:val="baseline"/>
        </w:rPr>
        <w:t>China,</w:t>
      </w:r>
      <w:r>
        <w:rPr>
          <w:spacing w:val="-9"/>
          <w:vertAlign w:val="baseline"/>
        </w:rPr>
        <w:t> </w:t>
      </w:r>
      <w:r>
        <w:rPr>
          <w:vertAlign w:val="baseline"/>
        </w:rPr>
        <w:t>the</w:t>
      </w:r>
      <w:r>
        <w:rPr>
          <w:spacing w:val="-10"/>
          <w:vertAlign w:val="baseline"/>
        </w:rPr>
        <w:t> </w:t>
      </w:r>
      <w:r>
        <w:rPr>
          <w:vertAlign w:val="baseline"/>
        </w:rPr>
        <w:t>Republic</w:t>
      </w:r>
      <w:r>
        <w:rPr>
          <w:spacing w:val="-8"/>
          <w:vertAlign w:val="baseline"/>
        </w:rPr>
        <w:t> </w:t>
      </w:r>
      <w:r>
        <w:rPr>
          <w:vertAlign w:val="baseline"/>
        </w:rPr>
        <w:t>of</w:t>
      </w:r>
      <w:r>
        <w:rPr>
          <w:spacing w:val="-10"/>
          <w:vertAlign w:val="baseline"/>
        </w:rPr>
        <w:t> </w:t>
      </w:r>
      <w:r>
        <w:rPr>
          <w:vertAlign w:val="baseline"/>
        </w:rPr>
        <w:t>India,</w:t>
      </w:r>
      <w:r>
        <w:rPr>
          <w:spacing w:val="-9"/>
          <w:vertAlign w:val="baseline"/>
        </w:rPr>
        <w:t> </w:t>
      </w:r>
      <w:r>
        <w:rPr>
          <w:vertAlign w:val="baseline"/>
        </w:rPr>
        <w:t>the</w:t>
      </w:r>
      <w:r>
        <w:rPr>
          <w:spacing w:val="-12"/>
          <w:vertAlign w:val="baseline"/>
        </w:rPr>
        <w:t> </w:t>
      </w:r>
      <w:r>
        <w:rPr>
          <w:vertAlign w:val="baseline"/>
        </w:rPr>
        <w:t>Republic</w:t>
      </w:r>
      <w:r>
        <w:rPr>
          <w:spacing w:val="-10"/>
          <w:vertAlign w:val="baseline"/>
        </w:rPr>
        <w:t> </w:t>
      </w:r>
      <w:r>
        <w:rPr>
          <w:vertAlign w:val="baseline"/>
        </w:rPr>
        <w:t>of</w:t>
      </w:r>
      <w:r>
        <w:rPr>
          <w:spacing w:val="-7"/>
          <w:vertAlign w:val="baseline"/>
        </w:rPr>
        <w:t> </w:t>
      </w:r>
      <w:r>
        <w:rPr>
          <w:vertAlign w:val="baseline"/>
        </w:rPr>
        <w:t>Korea,</w:t>
      </w:r>
      <w:r>
        <w:rPr>
          <w:spacing w:val="-10"/>
          <w:vertAlign w:val="baseline"/>
        </w:rPr>
        <w:t> </w:t>
      </w:r>
      <w:r>
        <w:rPr>
          <w:vertAlign w:val="baseline"/>
        </w:rPr>
        <w:t>Singapore</w:t>
      </w:r>
      <w:r>
        <w:rPr>
          <w:spacing w:val="-8"/>
          <w:vertAlign w:val="baseline"/>
        </w:rPr>
        <w:t> </w:t>
      </w:r>
      <w:r>
        <w:rPr>
          <w:vertAlign w:val="baseline"/>
        </w:rPr>
        <w:t>and</w:t>
      </w:r>
      <w:r>
        <w:rPr>
          <w:spacing w:val="-12"/>
          <w:vertAlign w:val="baseline"/>
        </w:rPr>
        <w:t> </w:t>
      </w:r>
      <w:r>
        <w:rPr>
          <w:vertAlign w:val="baseline"/>
        </w:rPr>
        <w:t>the</w:t>
      </w:r>
      <w:r>
        <w:rPr>
          <w:spacing w:val="-9"/>
          <w:vertAlign w:val="baseline"/>
        </w:rPr>
        <w:t> </w:t>
      </w:r>
      <w:r>
        <w:rPr>
          <w:vertAlign w:val="baseline"/>
        </w:rPr>
        <w:t>United</w:t>
      </w:r>
      <w:r>
        <w:rPr>
          <w:spacing w:val="-10"/>
          <w:vertAlign w:val="baseline"/>
        </w:rPr>
        <w:t> </w:t>
      </w:r>
      <w:r>
        <w:rPr>
          <w:vertAlign w:val="baseline"/>
        </w:rPr>
        <w:t>States</w:t>
      </w:r>
      <w:r>
        <w:rPr>
          <w:spacing w:val="-7"/>
          <w:vertAlign w:val="baseline"/>
        </w:rPr>
        <w:t> </w:t>
      </w:r>
      <w:r>
        <w:rPr>
          <w:vertAlign w:val="baseline"/>
        </w:rPr>
        <w:t>are</w:t>
      </w:r>
      <w:r>
        <w:rPr>
          <w:spacing w:val="-9"/>
          <w:vertAlign w:val="baseline"/>
        </w:rPr>
        <w:t> </w:t>
      </w:r>
      <w:r>
        <w:rPr>
          <w:vertAlign w:val="baseline"/>
        </w:rPr>
        <w:t>eligible</w:t>
      </w:r>
      <w:r>
        <w:rPr>
          <w:spacing w:val="-11"/>
          <w:vertAlign w:val="baseline"/>
        </w:rPr>
        <w:t> </w:t>
      </w:r>
      <w:r>
        <w:rPr>
          <w:vertAlign w:val="baseline"/>
        </w:rPr>
        <w:t>GAAP. As illustrated in </w:t>
      </w:r>
      <w:hyperlink w:history="true" w:anchor="_bookmark29">
        <w:r>
          <w:rPr>
            <w:vertAlign w:val="baseline"/>
          </w:rPr>
          <w:t>Figure 5.1 </w:t>
        </w:r>
      </w:hyperlink>
      <w:r>
        <w:rPr>
          <w:vertAlign w:val="baseline"/>
        </w:rPr>
        <w:t>below, these eligible GAAP already cover roughly 90% of MNE groups with consolidated revenue above EUR 750 million and profitability above 10% in</w:t>
      </w:r>
      <w:r>
        <w:rPr>
          <w:spacing w:val="-5"/>
          <w:vertAlign w:val="baseline"/>
        </w:rPr>
        <w:t> </w:t>
      </w:r>
      <w:r>
        <w:rPr>
          <w:vertAlign w:val="baseline"/>
        </w:rPr>
        <w:t>2016.</w:t>
      </w:r>
    </w:p>
    <w:p>
      <w:pPr>
        <w:pStyle w:val="BodyText"/>
        <w:spacing w:before="3"/>
        <w:rPr>
          <w:sz w:val="29"/>
        </w:rPr>
      </w:pPr>
    </w:p>
    <w:p>
      <w:pPr>
        <w:pStyle w:val="Heading4"/>
        <w:spacing w:line="244" w:lineRule="auto"/>
        <w:ind w:left="723" w:right="1444"/>
        <w:jc w:val="left"/>
      </w:pPr>
      <w:bookmarkStart w:name="_bookmark29" w:id="208"/>
      <w:bookmarkEnd w:id="208"/>
      <w:r>
        <w:rPr>
          <w:b w:val="0"/>
        </w:rPr>
      </w:r>
      <w:r>
        <w:rPr>
          <w:color w:val="4E81BD"/>
        </w:rPr>
        <w:t>Figure 5.1. Accounting standards used by MNE groups with consolidated turnover above EUR 750 million and profitability above 10%</w:t>
      </w:r>
    </w:p>
    <w:p>
      <w:pPr>
        <w:pStyle w:val="BodyText"/>
        <w:spacing w:before="10"/>
        <w:rPr>
          <w:rFonts w:ascii="Arial Narrow"/>
          <w:b/>
          <w:sz w:val="12"/>
        </w:rPr>
      </w:pPr>
      <w:r>
        <w:rPr/>
        <w:pict>
          <v:group style="position:absolute;margin-left:80.977547pt;margin-top:9.389274pt;width:433.3pt;height:357.85pt;mso-position-horizontal-relative:page;mso-position-vertical-relative:paragraph;z-index:-15670272;mso-wrap-distance-left:0;mso-wrap-distance-right:0" coordorigin="1620,188" coordsize="8666,7157">
            <v:shape style="position:absolute;left:4700;top:1183;width:3644;height:5944" coordorigin="4701,1183" coordsize="3644,5944" path="m4701,2209l4701,7127m4701,1940l4701,2059m4701,1670l4701,1790m4701,1401l4701,1520m4701,1183l4701,1251m5420,1401l5420,1520m5420,1183l5420,1251m6155,1401l6155,1520m6155,1183l6155,1251m6875,1401l6875,1520m6875,1183l6875,1251m7609,1401l7609,1520m7609,1183l7609,1251m8344,1401l8344,1520m8344,1183l8344,1251e" filled="false" stroked="true" strokeweight=".749644pt" strokecolor="#e5e5e5">
              <v:path arrowok="t"/>
              <v:stroke dashstyle="solid"/>
            </v:shape>
            <v:rect style="position:absolute;left:3973;top:1250;width:4918;height:150" filled="true" fillcolor="#5b9bd5" stroked="false">
              <v:fill type="solid"/>
            </v:rect>
            <v:shape style="position:absolute;left:5420;top:1670;width:2924;height:5458" coordorigin="5420,1670" coordsize="2924,5458" path="m5420,1670l5420,7127m6155,1670l6155,7127m6875,1670l6875,7127m7609,1670l7609,7127m8344,1670l8344,7127e" filled="false" stroked="true" strokeweight=".749644pt" strokecolor="#e5e5e5">
              <v:path arrowok="t"/>
              <v:stroke dashstyle="solid"/>
            </v:shape>
            <v:shape style="position:absolute;left:3973;top:1520;width:4558;height:5540" coordorigin="3973,1520" coordsize="4558,5540" path="m4033,6910l3973,6910,3973,7060,4033,7060,4033,6910xm4033,6641l3973,6641,3973,6790,4033,6790,4033,6641xm4048,6371l3973,6371,3973,6521,4048,6521,4048,6371xm4048,6102l3973,6102,3973,6251,4048,6251,4048,6102xm4048,5832l3973,5832,3973,5982,4048,5982,4048,5832xm4063,5563l3973,5563,3973,5712,4063,5712,4063,5563xm4063,5293l3973,5293,3973,5443,4063,5443,4063,5293xm4063,5024l3973,5024,3973,5173,4063,5173,4063,5024xm4063,4754l3973,4754,3973,4904,4063,4904,4063,4754xm4063,4485l3973,4485,3973,4634,4063,4634,4063,4485xm4078,4215l3973,4215,3973,4365,4078,4365,4078,4215xm4108,3946l3973,3946,3973,4095,4108,4095,4108,3946xm4108,3676l3973,3676,3973,3826,4108,3826,4108,3676xm4123,3407l3973,3407,3973,3556,4123,3556,4123,3407xm4138,3137l3973,3137,3973,3287,4138,3287,4138,3137xm4228,2868l3973,2868,3973,3018,4228,3018,4228,2868xm4288,2598l3973,2598,3973,2748,4288,2748,4288,2598xm4378,2329l3973,2329,3973,2479,4378,2479,4378,2329xm5053,2059l3973,2059,3973,2209,5053,2209,5053,2059xm5383,1790l3973,1790,3973,1940,5383,1940,5383,1790xm8531,1520l3973,1520,3973,1670,8531,1670,8531,1520xe" filled="true" fillcolor="#5b9bd5" stroked="false">
              <v:path arrowok="t"/>
              <v:fill type="solid"/>
            </v:shape>
            <v:line style="position:absolute" from="3966,1183" to="3966,7127" stroked="true" strokeweight=".749644pt" strokecolor="#e5e5e5">
              <v:stroke dashstyle="solid"/>
            </v:line>
            <v:shape style="position:absolute;left:4235;top:2396;width:225;height:539" coordorigin="4236,2396" coordsize="225,539" path="m4371,2396l4371,2396,4461,2396m4296,2666l4296,2666,4386,2666m4236,2935l4251,2935,4341,2935e" filled="false" stroked="true" strokeweight=".749114pt" strokecolor="#bfbfbf">
              <v:path arrowok="t"/>
              <v:stroke dashstyle="solid"/>
            </v:shape>
            <v:shape style="position:absolute;left:9063;top:1183;width:735;height:5944" coordorigin="9063,1183" coordsize="735,5944" path="m9063,1183l9063,7127m9798,1183l9798,7127e" filled="false" stroked="true" strokeweight=".749114pt" strokecolor="#e5e5e5">
              <v:path arrowok="t"/>
              <v:stroke dashstyle="solid"/>
            </v:shape>
            <v:rect style="position:absolute;left:1627;top:195;width:8651;height:7142" filled="false" stroked="true" strokeweight=".749014pt" strokecolor="#e5e5e5">
              <v:stroke dashstyle="solid"/>
            </v:rect>
            <v:shape style="position:absolute;left:3545;top:402;width:6542;height:637" type="#_x0000_t202" filled="false" stroked="false">
              <v:textbox inset="0,0,0,0">
                <w:txbxContent>
                  <w:p>
                    <w:pPr>
                      <w:spacing w:line="289" w:lineRule="exact" w:before="0"/>
                      <w:ind w:left="0" w:right="0" w:firstLine="0"/>
                      <w:jc w:val="left"/>
                      <w:rPr>
                        <w:rFonts w:ascii="Calibri"/>
                        <w:sz w:val="28"/>
                      </w:rPr>
                    </w:pPr>
                    <w:r>
                      <w:rPr>
                        <w:rFonts w:ascii="Calibri"/>
                        <w:color w:val="7C7C7C"/>
                        <w:sz w:val="28"/>
                      </w:rPr>
                      <w:t>Most commonly used accouting standards</w:t>
                    </w:r>
                  </w:p>
                  <w:p>
                    <w:pPr>
                      <w:tabs>
                        <w:tab w:pos="924" w:val="left" w:leader="none"/>
                        <w:tab w:pos="1608" w:val="left" w:leader="none"/>
                      </w:tabs>
                      <w:spacing w:line="216" w:lineRule="exact" w:before="130"/>
                      <w:ind w:left="194" w:right="0" w:firstLine="0"/>
                      <w:jc w:val="left"/>
                      <w:rPr>
                        <w:rFonts w:ascii="Calibri"/>
                        <w:sz w:val="18"/>
                      </w:rPr>
                    </w:pPr>
                    <w:r>
                      <w:rPr>
                        <w:rFonts w:ascii="Calibri"/>
                        <w:color w:val="7C7C7C"/>
                        <w:sz w:val="18"/>
                      </w:rPr>
                      <w:t>0.00%</w:t>
                      <w:tab/>
                      <w:t>5.00%</w:t>
                      <w:tab/>
                      <w:t>10.00% 15.00% 20.00% 25.00% 30.00% 35.00%</w:t>
                    </w:r>
                    <w:r>
                      <w:rPr>
                        <w:rFonts w:ascii="Calibri"/>
                        <w:color w:val="7C7C7C"/>
                        <w:spacing w:val="11"/>
                        <w:sz w:val="18"/>
                      </w:rPr>
                      <w:t> </w:t>
                    </w:r>
                    <w:r>
                      <w:rPr>
                        <w:rFonts w:ascii="Calibri"/>
                        <w:color w:val="7C7C7C"/>
                        <w:sz w:val="18"/>
                      </w:rPr>
                      <w:t>40.00%</w:t>
                    </w:r>
                  </w:p>
                </w:txbxContent>
              </v:textbox>
              <w10:wrap type="none"/>
            </v:shape>
            <v:shape style="position:absolute;left:1758;top:1227;width:2066;height:5860" type="#_x0000_t202" filled="false" stroked="false">
              <v:textbox inset="0,0,0,0">
                <w:txbxContent>
                  <w:p>
                    <w:pPr>
                      <w:spacing w:line="183" w:lineRule="exact" w:before="0"/>
                      <w:ind w:left="0" w:right="25" w:firstLine="0"/>
                      <w:jc w:val="right"/>
                      <w:rPr>
                        <w:rFonts w:ascii="Calibri"/>
                        <w:sz w:val="18"/>
                      </w:rPr>
                    </w:pPr>
                    <w:r>
                      <w:rPr>
                        <w:rFonts w:ascii="Calibri"/>
                        <w:color w:val="7C7C7C"/>
                        <w:spacing w:val="-1"/>
                        <w:sz w:val="18"/>
                      </w:rPr>
                      <w:t>IFRS</w:t>
                    </w:r>
                  </w:p>
                  <w:p>
                    <w:pPr>
                      <w:spacing w:before="50"/>
                      <w:ind w:left="0" w:right="27" w:firstLine="0"/>
                      <w:jc w:val="right"/>
                      <w:rPr>
                        <w:rFonts w:ascii="Calibri"/>
                        <w:sz w:val="18"/>
                      </w:rPr>
                    </w:pPr>
                    <w:r>
                      <w:rPr>
                        <w:rFonts w:ascii="Calibri"/>
                        <w:color w:val="7C7C7C"/>
                        <w:sz w:val="18"/>
                      </w:rPr>
                      <w:t>United</w:t>
                    </w:r>
                    <w:r>
                      <w:rPr>
                        <w:rFonts w:ascii="Calibri"/>
                        <w:color w:val="7C7C7C"/>
                        <w:spacing w:val="-5"/>
                        <w:sz w:val="18"/>
                      </w:rPr>
                      <w:t> </w:t>
                    </w:r>
                    <w:r>
                      <w:rPr>
                        <w:rFonts w:ascii="Calibri"/>
                        <w:color w:val="7C7C7C"/>
                        <w:sz w:val="18"/>
                      </w:rPr>
                      <w:t>States</w:t>
                    </w:r>
                  </w:p>
                  <w:p>
                    <w:pPr>
                      <w:spacing w:line="295" w:lineRule="auto" w:before="51"/>
                      <w:ind w:left="0" w:right="20" w:firstLine="1619"/>
                      <w:jc w:val="right"/>
                      <w:rPr>
                        <w:rFonts w:ascii="Calibri"/>
                        <w:sz w:val="18"/>
                      </w:rPr>
                    </w:pPr>
                    <w:r>
                      <w:rPr>
                        <w:rFonts w:ascii="Calibri"/>
                        <w:color w:val="7C7C7C"/>
                        <w:sz w:val="18"/>
                      </w:rPr>
                      <w:t>Japan                     China (People's Republic</w:t>
                    </w:r>
                    <w:r>
                      <w:rPr>
                        <w:rFonts w:ascii="Calibri"/>
                        <w:color w:val="7C7C7C"/>
                        <w:spacing w:val="-14"/>
                        <w:sz w:val="18"/>
                      </w:rPr>
                      <w:t> </w:t>
                    </w:r>
                    <w:r>
                      <w:rPr>
                        <w:rFonts w:ascii="Calibri"/>
                        <w:color w:val="7C7C7C"/>
                        <w:sz w:val="18"/>
                      </w:rPr>
                      <w:t>of)</w:t>
                    </w:r>
                  </w:p>
                  <w:p>
                    <w:pPr>
                      <w:spacing w:before="1"/>
                      <w:ind w:left="0" w:right="31" w:firstLine="0"/>
                      <w:jc w:val="right"/>
                      <w:rPr>
                        <w:rFonts w:ascii="Calibri"/>
                        <w:sz w:val="18"/>
                      </w:rPr>
                    </w:pPr>
                    <w:r>
                      <w:rPr>
                        <w:rFonts w:ascii="Calibri"/>
                        <w:color w:val="7C7C7C"/>
                        <w:spacing w:val="-2"/>
                        <w:sz w:val="18"/>
                      </w:rPr>
                      <w:t>India</w:t>
                    </w:r>
                  </w:p>
                  <w:p>
                    <w:pPr>
                      <w:spacing w:line="295" w:lineRule="auto" w:before="50"/>
                      <w:ind w:left="980" w:right="18" w:firstLine="631"/>
                      <w:jc w:val="right"/>
                      <w:rPr>
                        <w:rFonts w:ascii="Calibri"/>
                        <w:sz w:val="18"/>
                      </w:rPr>
                    </w:pPr>
                    <w:r>
                      <w:rPr>
                        <w:rFonts w:ascii="Calibri"/>
                        <w:color w:val="7C7C7C"/>
                        <w:sz w:val="18"/>
                      </w:rPr>
                      <w:t>Korea Chinese</w:t>
                    </w:r>
                    <w:r>
                      <w:rPr>
                        <w:rFonts w:ascii="Calibri"/>
                        <w:color w:val="7C7C7C"/>
                        <w:spacing w:val="-3"/>
                        <w:sz w:val="18"/>
                      </w:rPr>
                      <w:t> </w:t>
                    </w:r>
                    <w:r>
                      <w:rPr>
                        <w:rFonts w:ascii="Calibri"/>
                        <w:color w:val="7C7C7C"/>
                        <w:sz w:val="18"/>
                      </w:rPr>
                      <w:t>Taipei</w:t>
                    </w:r>
                    <w:r>
                      <w:rPr>
                        <w:rFonts w:ascii="Calibri"/>
                        <w:color w:val="7C7C7C"/>
                        <w:w w:val="100"/>
                        <w:sz w:val="18"/>
                      </w:rPr>
                      <w:t> </w:t>
                    </w:r>
                    <w:r>
                      <w:rPr>
                        <w:rFonts w:ascii="Calibri"/>
                        <w:color w:val="7C7C7C"/>
                        <w:sz w:val="18"/>
                      </w:rPr>
                      <w:t>Switzerland </w:t>
                    </w:r>
                    <w:r>
                      <w:rPr>
                        <w:rFonts w:ascii="Calibri"/>
                        <w:color w:val="7C7C7C"/>
                        <w:spacing w:val="-1"/>
                        <w:sz w:val="18"/>
                      </w:rPr>
                      <w:t>Netherlands</w:t>
                    </w:r>
                  </w:p>
                  <w:p>
                    <w:pPr>
                      <w:spacing w:line="295" w:lineRule="auto" w:before="1"/>
                      <w:ind w:left="1366" w:right="22" w:firstLine="272"/>
                      <w:jc w:val="both"/>
                      <w:rPr>
                        <w:rFonts w:ascii="Calibri"/>
                        <w:sz w:val="18"/>
                      </w:rPr>
                    </w:pPr>
                    <w:r>
                      <w:rPr>
                        <w:rFonts w:ascii="Calibri"/>
                        <w:color w:val="7C7C7C"/>
                        <w:sz w:val="18"/>
                      </w:rPr>
                      <w:t>Spain Bermuda Germany Denmark Sweden</w:t>
                    </w:r>
                  </w:p>
                  <w:p>
                    <w:pPr>
                      <w:spacing w:before="1"/>
                      <w:ind w:left="0" w:right="31" w:firstLine="0"/>
                      <w:jc w:val="right"/>
                      <w:rPr>
                        <w:rFonts w:ascii="Calibri"/>
                        <w:sz w:val="18"/>
                      </w:rPr>
                    </w:pPr>
                    <w:r>
                      <w:rPr>
                        <w:rFonts w:ascii="Calibri"/>
                        <w:color w:val="7C7C7C"/>
                        <w:sz w:val="18"/>
                      </w:rPr>
                      <w:t>United</w:t>
                    </w:r>
                    <w:r>
                      <w:rPr>
                        <w:rFonts w:ascii="Calibri"/>
                        <w:color w:val="7C7C7C"/>
                        <w:spacing w:val="-11"/>
                        <w:sz w:val="18"/>
                      </w:rPr>
                      <w:t> </w:t>
                    </w:r>
                    <w:r>
                      <w:rPr>
                        <w:rFonts w:ascii="Calibri"/>
                        <w:color w:val="7C7C7C"/>
                        <w:sz w:val="18"/>
                      </w:rPr>
                      <w:t>Kingdom</w:t>
                    </w:r>
                  </w:p>
                  <w:p>
                    <w:pPr>
                      <w:spacing w:before="51"/>
                      <w:ind w:left="0" w:right="19" w:firstLine="0"/>
                      <w:jc w:val="right"/>
                      <w:rPr>
                        <w:rFonts w:ascii="Calibri"/>
                        <w:sz w:val="18"/>
                      </w:rPr>
                    </w:pPr>
                    <w:r>
                      <w:rPr>
                        <w:rFonts w:ascii="Calibri"/>
                        <w:color w:val="7C7C7C"/>
                        <w:sz w:val="18"/>
                      </w:rPr>
                      <w:t>Hong Kong</w:t>
                    </w:r>
                    <w:r>
                      <w:rPr>
                        <w:rFonts w:ascii="Calibri"/>
                        <w:color w:val="7C7C7C"/>
                        <w:spacing w:val="-3"/>
                        <w:sz w:val="18"/>
                      </w:rPr>
                      <w:t> </w:t>
                    </w:r>
                    <w:r>
                      <w:rPr>
                        <w:rFonts w:ascii="Calibri"/>
                        <w:color w:val="7C7C7C"/>
                        <w:sz w:val="18"/>
                      </w:rPr>
                      <w:t>(China)</w:t>
                    </w:r>
                  </w:p>
                  <w:p>
                    <w:pPr>
                      <w:spacing w:line="295" w:lineRule="auto" w:before="50"/>
                      <w:ind w:left="976" w:right="20" w:firstLine="547"/>
                      <w:jc w:val="right"/>
                      <w:rPr>
                        <w:rFonts w:ascii="Calibri"/>
                        <w:sz w:val="18"/>
                      </w:rPr>
                    </w:pPr>
                    <w:r>
                      <w:rPr>
                        <w:rFonts w:ascii="Calibri"/>
                        <w:color w:val="7C7C7C"/>
                        <w:spacing w:val="-1"/>
                        <w:sz w:val="18"/>
                      </w:rPr>
                      <w:t>Ireland </w:t>
                    </w:r>
                    <w:r>
                      <w:rPr>
                        <w:rFonts w:ascii="Calibri"/>
                        <w:color w:val="7C7C7C"/>
                        <w:sz w:val="18"/>
                      </w:rPr>
                      <w:t>Singapore</w:t>
                    </w:r>
                    <w:r>
                      <w:rPr>
                        <w:rFonts w:ascii="Calibri"/>
                        <w:color w:val="7C7C7C"/>
                        <w:w w:val="99"/>
                        <w:sz w:val="18"/>
                      </w:rPr>
                      <w:t> </w:t>
                    </w:r>
                    <w:r>
                      <w:rPr>
                        <w:rFonts w:ascii="Calibri"/>
                        <w:color w:val="7C7C7C"/>
                        <w:sz w:val="18"/>
                      </w:rPr>
                      <w:t>Cayman</w:t>
                    </w:r>
                    <w:r>
                      <w:rPr>
                        <w:rFonts w:ascii="Calibri"/>
                        <w:color w:val="7C7C7C"/>
                        <w:spacing w:val="-13"/>
                        <w:sz w:val="18"/>
                      </w:rPr>
                      <w:t> </w:t>
                    </w:r>
                    <w:r>
                      <w:rPr>
                        <w:rFonts w:ascii="Calibri"/>
                        <w:color w:val="7C7C7C"/>
                        <w:sz w:val="18"/>
                      </w:rPr>
                      <w:t>Island</w:t>
                    </w:r>
                  </w:p>
                  <w:p>
                    <w:pPr>
                      <w:spacing w:line="295" w:lineRule="auto" w:before="1"/>
                      <w:ind w:left="1638" w:right="24" w:hanging="135"/>
                      <w:jc w:val="right"/>
                      <w:rPr>
                        <w:rFonts w:ascii="Calibri"/>
                        <w:sz w:val="18"/>
                      </w:rPr>
                    </w:pPr>
                    <w:r>
                      <w:rPr>
                        <w:rFonts w:ascii="Calibri"/>
                        <w:color w:val="7C7C7C"/>
                        <w:spacing w:val="-2"/>
                        <w:sz w:val="18"/>
                      </w:rPr>
                      <w:t>Finland </w:t>
                    </w:r>
                    <w:r>
                      <w:rPr>
                        <w:rFonts w:ascii="Calibri"/>
                        <w:color w:val="7C7C7C"/>
                        <w:spacing w:val="-1"/>
                        <w:sz w:val="18"/>
                      </w:rPr>
                      <w:t>Brazil</w:t>
                    </w:r>
                  </w:p>
                  <w:p>
                    <w:pPr>
                      <w:spacing w:line="216" w:lineRule="exact" w:before="0"/>
                      <w:ind w:left="0" w:right="18" w:firstLine="0"/>
                      <w:jc w:val="right"/>
                      <w:rPr>
                        <w:rFonts w:ascii="Calibri"/>
                        <w:sz w:val="18"/>
                      </w:rPr>
                    </w:pPr>
                    <w:r>
                      <w:rPr>
                        <w:rFonts w:ascii="Calibri"/>
                        <w:color w:val="7C7C7C"/>
                        <w:sz w:val="18"/>
                      </w:rPr>
                      <w:t>Canada</w:t>
                    </w:r>
                  </w:p>
                </w:txbxContent>
              </v:textbox>
              <w10:wrap type="none"/>
            </v:shape>
            <v:shape style="position:absolute;left:8643;top:1238;width:912;height:451" type="#_x0000_t202" filled="false" stroked="false">
              <v:textbox inset="0,0,0,0">
                <w:txbxContent>
                  <w:p>
                    <w:pPr>
                      <w:spacing w:line="183" w:lineRule="exact" w:before="0"/>
                      <w:ind w:left="357" w:right="0" w:firstLine="0"/>
                      <w:jc w:val="left"/>
                      <w:rPr>
                        <w:rFonts w:ascii="Calibri"/>
                        <w:sz w:val="18"/>
                      </w:rPr>
                    </w:pPr>
                    <w:r>
                      <w:rPr>
                        <w:rFonts w:ascii="Calibri"/>
                        <w:color w:val="626262"/>
                        <w:sz w:val="18"/>
                      </w:rPr>
                      <w:t>33.75%</w:t>
                    </w:r>
                  </w:p>
                  <w:p>
                    <w:pPr>
                      <w:spacing w:line="216" w:lineRule="exact" w:before="50"/>
                      <w:ind w:left="0" w:right="0" w:firstLine="0"/>
                      <w:jc w:val="left"/>
                      <w:rPr>
                        <w:rFonts w:ascii="Calibri"/>
                        <w:sz w:val="18"/>
                      </w:rPr>
                    </w:pPr>
                    <w:r>
                      <w:rPr>
                        <w:rFonts w:ascii="Calibri"/>
                        <w:color w:val="626262"/>
                        <w:sz w:val="18"/>
                      </w:rPr>
                      <w:t>31.30%</w:t>
                    </w:r>
                  </w:p>
                </w:txbxContent>
              </v:textbox>
              <w10:wrap type="none"/>
            </v:shape>
            <v:shape style="position:absolute;left:5129;top:1799;width:758;height:430" type="#_x0000_t202" filled="false" stroked="false">
              <v:textbox inset="0,0,0,0">
                <w:txbxContent>
                  <w:p>
                    <w:pPr>
                      <w:spacing w:line="183" w:lineRule="exact" w:before="0"/>
                      <w:ind w:left="294" w:right="0" w:firstLine="0"/>
                      <w:jc w:val="left"/>
                      <w:rPr>
                        <w:rFonts w:ascii="Calibri"/>
                        <w:sz w:val="18"/>
                      </w:rPr>
                    </w:pPr>
                    <w:r>
                      <w:rPr>
                        <w:rFonts w:ascii="Calibri"/>
                        <w:color w:val="626262"/>
                        <w:sz w:val="18"/>
                      </w:rPr>
                      <w:t>9.72%</w:t>
                    </w:r>
                  </w:p>
                  <w:p>
                    <w:pPr>
                      <w:spacing w:line="216" w:lineRule="exact" w:before="30"/>
                      <w:ind w:left="0" w:right="0" w:firstLine="0"/>
                      <w:jc w:val="left"/>
                      <w:rPr>
                        <w:rFonts w:ascii="Calibri"/>
                        <w:sz w:val="18"/>
                      </w:rPr>
                    </w:pPr>
                    <w:r>
                      <w:rPr>
                        <w:rFonts w:ascii="Calibri"/>
                        <w:color w:val="626262"/>
                        <w:sz w:val="18"/>
                      </w:rPr>
                      <w:t>7.43%</w:t>
                    </w:r>
                  </w:p>
                </w:txbxContent>
              </v:textbox>
              <w10:wrap type="none"/>
            </v:shape>
            <v:shape style="position:absolute;left:4073;top:2319;width:902;height:4778" type="#_x0000_t202" filled="false" stroked="false">
              <v:textbox inset="0,0,0,0">
                <w:txbxContent>
                  <w:p>
                    <w:pPr>
                      <w:spacing w:line="183" w:lineRule="exact" w:before="0"/>
                      <w:ind w:left="435" w:right="0" w:firstLine="0"/>
                      <w:jc w:val="left"/>
                      <w:rPr>
                        <w:rFonts w:ascii="Calibri"/>
                        <w:sz w:val="18"/>
                      </w:rPr>
                    </w:pPr>
                    <w:r>
                      <w:rPr>
                        <w:rFonts w:ascii="Calibri"/>
                        <w:color w:val="626262"/>
                        <w:sz w:val="18"/>
                      </w:rPr>
                      <w:t>2.77%</w:t>
                    </w:r>
                  </w:p>
                  <w:p>
                    <w:pPr>
                      <w:spacing w:before="50"/>
                      <w:ind w:left="352" w:right="0" w:firstLine="0"/>
                      <w:jc w:val="left"/>
                      <w:rPr>
                        <w:rFonts w:ascii="Calibri"/>
                        <w:sz w:val="18"/>
                      </w:rPr>
                    </w:pPr>
                    <w:r>
                      <w:rPr>
                        <w:rFonts w:ascii="Calibri"/>
                        <w:color w:val="626262"/>
                        <w:sz w:val="18"/>
                      </w:rPr>
                      <w:t>2.21%</w:t>
                    </w:r>
                  </w:p>
                  <w:p>
                    <w:pPr>
                      <w:spacing w:before="51"/>
                      <w:ind w:left="310" w:right="0" w:firstLine="0"/>
                      <w:jc w:val="left"/>
                      <w:rPr>
                        <w:rFonts w:ascii="Calibri"/>
                        <w:sz w:val="18"/>
                      </w:rPr>
                    </w:pPr>
                    <w:r>
                      <w:rPr>
                        <w:rFonts w:ascii="Calibri"/>
                        <w:color w:val="626262"/>
                        <w:sz w:val="18"/>
                      </w:rPr>
                      <w:t>1.82%</w:t>
                    </w:r>
                  </w:p>
                  <w:p>
                    <w:pPr>
                      <w:spacing w:before="51"/>
                      <w:ind w:left="166" w:right="0" w:firstLine="0"/>
                      <w:jc w:val="left"/>
                      <w:rPr>
                        <w:rFonts w:ascii="Calibri"/>
                        <w:sz w:val="18"/>
                      </w:rPr>
                    </w:pPr>
                    <w:r>
                      <w:rPr>
                        <w:rFonts w:ascii="Calibri"/>
                        <w:color w:val="626262"/>
                        <w:sz w:val="18"/>
                      </w:rPr>
                      <w:t>1.19%</w:t>
                    </w:r>
                  </w:p>
                  <w:p>
                    <w:pPr>
                      <w:spacing w:before="51"/>
                      <w:ind w:left="145" w:right="0" w:firstLine="0"/>
                      <w:jc w:val="left"/>
                      <w:rPr>
                        <w:rFonts w:ascii="Calibri"/>
                        <w:sz w:val="18"/>
                      </w:rPr>
                    </w:pPr>
                    <w:r>
                      <w:rPr>
                        <w:rFonts w:ascii="Calibri"/>
                        <w:color w:val="626262"/>
                        <w:sz w:val="18"/>
                      </w:rPr>
                      <w:t>1.03%</w:t>
                    </w:r>
                  </w:p>
                  <w:p>
                    <w:pPr>
                      <w:spacing w:before="51"/>
                      <w:ind w:left="125" w:right="0" w:firstLine="0"/>
                      <w:jc w:val="left"/>
                      <w:rPr>
                        <w:rFonts w:ascii="Calibri"/>
                        <w:sz w:val="18"/>
                      </w:rPr>
                    </w:pPr>
                    <w:r>
                      <w:rPr>
                        <w:rFonts w:ascii="Calibri"/>
                        <w:color w:val="626262"/>
                        <w:sz w:val="18"/>
                      </w:rPr>
                      <w:t>0.95%</w:t>
                    </w:r>
                  </w:p>
                  <w:p>
                    <w:pPr>
                      <w:spacing w:before="50"/>
                      <w:ind w:left="125" w:right="0" w:firstLine="0"/>
                      <w:jc w:val="left"/>
                      <w:rPr>
                        <w:rFonts w:ascii="Calibri"/>
                        <w:sz w:val="18"/>
                      </w:rPr>
                    </w:pPr>
                    <w:r>
                      <w:rPr>
                        <w:rFonts w:ascii="Calibri"/>
                        <w:color w:val="626262"/>
                        <w:sz w:val="18"/>
                      </w:rPr>
                      <w:t>0.95%</w:t>
                    </w:r>
                  </w:p>
                  <w:p>
                    <w:pPr>
                      <w:spacing w:before="31"/>
                      <w:ind w:left="85" w:right="0" w:firstLine="0"/>
                      <w:jc w:val="left"/>
                      <w:rPr>
                        <w:rFonts w:ascii="Calibri"/>
                        <w:sz w:val="18"/>
                      </w:rPr>
                    </w:pPr>
                    <w:r>
                      <w:rPr>
                        <w:rFonts w:ascii="Calibri"/>
                        <w:color w:val="626262"/>
                        <w:sz w:val="18"/>
                      </w:rPr>
                      <w:t>0.79%</w:t>
                    </w:r>
                  </w:p>
                  <w:p>
                    <w:pPr>
                      <w:spacing w:before="71"/>
                      <w:ind w:left="0" w:right="0" w:firstLine="0"/>
                      <w:jc w:val="left"/>
                      <w:rPr>
                        <w:rFonts w:ascii="Calibri"/>
                        <w:sz w:val="18"/>
                      </w:rPr>
                    </w:pPr>
                    <w:r>
                      <w:rPr>
                        <w:rFonts w:ascii="Calibri"/>
                        <w:color w:val="626262"/>
                        <w:sz w:val="18"/>
                      </w:rPr>
                      <w:t>0.71%</w:t>
                    </w:r>
                  </w:p>
                  <w:p>
                    <w:pPr>
                      <w:spacing w:before="51"/>
                      <w:ind w:left="0" w:right="0" w:firstLine="0"/>
                      <w:jc w:val="left"/>
                      <w:rPr>
                        <w:rFonts w:ascii="Calibri"/>
                        <w:sz w:val="18"/>
                      </w:rPr>
                    </w:pPr>
                    <w:r>
                      <w:rPr>
                        <w:rFonts w:ascii="Calibri"/>
                        <w:color w:val="626262"/>
                        <w:sz w:val="18"/>
                      </w:rPr>
                      <w:t>0.71%</w:t>
                    </w:r>
                  </w:p>
                  <w:p>
                    <w:pPr>
                      <w:spacing w:before="50"/>
                      <w:ind w:left="0" w:right="0" w:firstLine="0"/>
                      <w:jc w:val="left"/>
                      <w:rPr>
                        <w:rFonts w:ascii="Calibri"/>
                        <w:sz w:val="18"/>
                      </w:rPr>
                    </w:pPr>
                    <w:r>
                      <w:rPr>
                        <w:rFonts w:ascii="Calibri"/>
                        <w:color w:val="626262"/>
                        <w:sz w:val="18"/>
                      </w:rPr>
                      <w:t>0.71%</w:t>
                    </w:r>
                  </w:p>
                  <w:p>
                    <w:pPr>
                      <w:spacing w:before="51"/>
                      <w:ind w:left="0" w:right="0" w:firstLine="0"/>
                      <w:jc w:val="left"/>
                      <w:rPr>
                        <w:rFonts w:ascii="Calibri"/>
                        <w:sz w:val="18"/>
                      </w:rPr>
                    </w:pPr>
                    <w:r>
                      <w:rPr>
                        <w:rFonts w:ascii="Calibri"/>
                        <w:color w:val="626262"/>
                        <w:sz w:val="18"/>
                      </w:rPr>
                      <w:t>0.71%</w:t>
                    </w:r>
                  </w:p>
                  <w:p>
                    <w:pPr>
                      <w:spacing w:before="51"/>
                      <w:ind w:left="0" w:right="0" w:firstLine="0"/>
                      <w:jc w:val="left"/>
                      <w:rPr>
                        <w:rFonts w:ascii="Calibri"/>
                        <w:sz w:val="18"/>
                      </w:rPr>
                    </w:pPr>
                    <w:r>
                      <w:rPr>
                        <w:rFonts w:ascii="Calibri"/>
                        <w:color w:val="626262"/>
                        <w:sz w:val="18"/>
                      </w:rPr>
                      <w:t>0.63%</w:t>
                    </w:r>
                  </w:p>
                  <w:p>
                    <w:pPr>
                      <w:spacing w:before="50"/>
                      <w:ind w:left="0" w:right="0" w:firstLine="0"/>
                      <w:jc w:val="left"/>
                      <w:rPr>
                        <w:rFonts w:ascii="Calibri"/>
                        <w:sz w:val="18"/>
                      </w:rPr>
                    </w:pPr>
                    <w:r>
                      <w:rPr>
                        <w:rFonts w:ascii="Calibri"/>
                        <w:color w:val="626262"/>
                        <w:sz w:val="18"/>
                      </w:rPr>
                      <w:t>0.55%</w:t>
                    </w:r>
                  </w:p>
                  <w:p>
                    <w:pPr>
                      <w:spacing w:before="51"/>
                      <w:ind w:left="0" w:right="0" w:firstLine="0"/>
                      <w:jc w:val="left"/>
                      <w:rPr>
                        <w:rFonts w:ascii="Calibri"/>
                        <w:sz w:val="18"/>
                      </w:rPr>
                    </w:pPr>
                    <w:r>
                      <w:rPr>
                        <w:rFonts w:ascii="Calibri"/>
                        <w:color w:val="626262"/>
                        <w:sz w:val="18"/>
                      </w:rPr>
                      <w:t>0.55%</w:t>
                    </w:r>
                  </w:p>
                  <w:p>
                    <w:pPr>
                      <w:spacing w:before="51"/>
                      <w:ind w:left="0" w:right="0" w:firstLine="0"/>
                      <w:jc w:val="left"/>
                      <w:rPr>
                        <w:rFonts w:ascii="Calibri"/>
                        <w:sz w:val="18"/>
                      </w:rPr>
                    </w:pPr>
                    <w:r>
                      <w:rPr>
                        <w:rFonts w:ascii="Calibri"/>
                        <w:color w:val="626262"/>
                        <w:sz w:val="18"/>
                      </w:rPr>
                      <w:t>0.55%</w:t>
                    </w:r>
                  </w:p>
                  <w:p>
                    <w:pPr>
                      <w:spacing w:before="50"/>
                      <w:ind w:left="0" w:right="0" w:firstLine="0"/>
                      <w:jc w:val="left"/>
                      <w:rPr>
                        <w:rFonts w:ascii="Calibri"/>
                        <w:sz w:val="18"/>
                      </w:rPr>
                    </w:pPr>
                    <w:r>
                      <w:rPr>
                        <w:rFonts w:ascii="Calibri"/>
                        <w:color w:val="626262"/>
                        <w:sz w:val="18"/>
                      </w:rPr>
                      <w:t>0.47%</w:t>
                    </w:r>
                  </w:p>
                  <w:p>
                    <w:pPr>
                      <w:spacing w:line="216" w:lineRule="exact" w:before="51"/>
                      <w:ind w:left="0" w:right="0" w:firstLine="0"/>
                      <w:jc w:val="left"/>
                      <w:rPr>
                        <w:rFonts w:ascii="Calibri"/>
                        <w:sz w:val="18"/>
                      </w:rPr>
                    </w:pPr>
                    <w:r>
                      <w:rPr>
                        <w:rFonts w:ascii="Calibri"/>
                        <w:color w:val="626262"/>
                        <w:sz w:val="18"/>
                      </w:rPr>
                      <w:t>0.47%</w:t>
                    </w:r>
                  </w:p>
                </w:txbxContent>
              </v:textbox>
              <w10:wrap type="none"/>
            </v:shape>
            <w10:wrap type="topAndBottom"/>
          </v:group>
        </w:pict>
      </w:r>
    </w:p>
    <w:p>
      <w:pPr>
        <w:pStyle w:val="BodyText"/>
        <w:spacing w:before="10"/>
        <w:rPr>
          <w:rFonts w:ascii="Arial Narrow"/>
          <w:b/>
          <w:sz w:val="10"/>
        </w:rPr>
      </w:pPr>
    </w:p>
    <w:p>
      <w:pPr>
        <w:spacing w:before="100"/>
        <w:ind w:left="723" w:right="0" w:firstLine="0"/>
        <w:jc w:val="left"/>
        <w:rPr>
          <w:rFonts w:ascii="Arial Narrow"/>
          <w:sz w:val="18"/>
        </w:rPr>
      </w:pPr>
      <w:r>
        <w:rPr>
          <w:rFonts w:ascii="Arial Narrow"/>
          <w:sz w:val="18"/>
        </w:rPr>
        <w:t>Source: Orbis - Bureau van Dijk and OECD Secretariat.</w:t>
      </w:r>
    </w:p>
    <w:p>
      <w:pPr>
        <w:pStyle w:val="BodyText"/>
        <w:rPr>
          <w:rFonts w:ascii="Arial Narrow"/>
        </w:rPr>
      </w:pPr>
    </w:p>
    <w:p>
      <w:pPr>
        <w:pStyle w:val="BodyText"/>
        <w:rPr>
          <w:rFonts w:ascii="Arial Narrow"/>
        </w:rPr>
      </w:pPr>
    </w:p>
    <w:p>
      <w:pPr>
        <w:pStyle w:val="BodyText"/>
        <w:spacing w:before="2"/>
        <w:rPr>
          <w:rFonts w:ascii="Arial Narrow"/>
          <w:sz w:val="29"/>
        </w:rPr>
      </w:pPr>
      <w:r>
        <w:rPr/>
        <w:pict>
          <v:rect style="position:absolute;margin-left:65.183998pt;margin-top:18.713297pt;width:144.020004pt;height:.60004pt;mso-position-horizontal-relative:page;mso-position-vertical-relative:paragraph;z-index:-15669760;mso-wrap-distance-left:0;mso-wrap-distance-right:0" filled="true" fillcolor="#000000" stroked="false">
            <v:fill type="solid"/>
            <w10:wrap type="topAndBottom"/>
          </v:rect>
        </w:pict>
      </w:r>
    </w:p>
    <w:p>
      <w:pPr>
        <w:pStyle w:val="BodyText"/>
        <w:spacing w:before="5"/>
        <w:rPr>
          <w:rFonts w:ascii="Arial Narrow"/>
          <w:sz w:val="16"/>
        </w:rPr>
      </w:pPr>
    </w:p>
    <w:p>
      <w:pPr>
        <w:pStyle w:val="ListParagraph"/>
        <w:numPr>
          <w:ilvl w:val="0"/>
          <w:numId w:val="14"/>
        </w:numPr>
        <w:tabs>
          <w:tab w:pos="931" w:val="left" w:leader="none"/>
        </w:tabs>
        <w:spacing w:line="278" w:lineRule="auto" w:before="94" w:after="0"/>
        <w:ind w:left="723" w:right="479" w:firstLine="0"/>
        <w:jc w:val="both"/>
        <w:rPr>
          <w:sz w:val="18"/>
        </w:rPr>
      </w:pPr>
      <w:r>
        <w:rPr>
          <w:sz w:val="18"/>
        </w:rPr>
        <w:t>IFRS is a set of accounting standards issued by the IFRS Foundation and the IASB. It is the most commonly used and accepted financial accounting standard worldwide (see</w:t>
      </w:r>
      <w:r>
        <w:rPr>
          <w:color w:val="0000FF"/>
          <w:sz w:val="18"/>
        </w:rPr>
        <w:t> </w:t>
      </w:r>
      <w:hyperlink r:id="rId34">
        <w:r>
          <w:rPr>
            <w:color w:val="0000FF"/>
            <w:sz w:val="18"/>
            <w:u w:val="single" w:color="0000FF"/>
          </w:rPr>
          <w:t>https://www.ifrs.org/use-around-the-world/use-of-ifrs-</w:t>
        </w:r>
      </w:hyperlink>
      <w:hyperlink r:id="rId34">
        <w:r>
          <w:rPr>
            <w:color w:val="0000FF"/>
            <w:sz w:val="18"/>
            <w:u w:val="single" w:color="0000FF"/>
          </w:rPr>
          <w:t> standards-by-jurisdiction/</w:t>
        </w:r>
      </w:hyperlink>
      <w:r>
        <w:rPr>
          <w:sz w:val="18"/>
        </w:rPr>
        <w:t>). This widespread use across the world makes it a useful and pragmatic reference point for assessing differences between local GAAP when computing the Amount A tax</w:t>
      </w:r>
      <w:r>
        <w:rPr>
          <w:spacing w:val="-5"/>
          <w:sz w:val="18"/>
        </w:rPr>
        <w:t> </w:t>
      </w:r>
      <w:r>
        <w:rPr>
          <w:sz w:val="18"/>
        </w:rPr>
        <w:t>base.</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1" w:firstLine="0"/>
        <w:jc w:val="both"/>
        <w:rPr>
          <w:sz w:val="20"/>
        </w:rPr>
      </w:pPr>
      <w:r>
        <w:rPr>
          <w:sz w:val="20"/>
        </w:rPr>
        <w:t>There will be some MNE groups in scope of Amount A whose consolidated financial reports are not prepared under eligible GAAP. Such MNE groups will however be allowed to use other GAAP as a basis</w:t>
      </w:r>
      <w:r>
        <w:rPr>
          <w:spacing w:val="-5"/>
          <w:sz w:val="20"/>
        </w:rPr>
        <w:t> </w:t>
      </w:r>
      <w:r>
        <w:rPr>
          <w:sz w:val="20"/>
        </w:rPr>
        <w:t>for</w:t>
      </w:r>
      <w:r>
        <w:rPr>
          <w:spacing w:val="-5"/>
          <w:sz w:val="20"/>
        </w:rPr>
        <w:t> </w:t>
      </w:r>
      <w:r>
        <w:rPr>
          <w:sz w:val="20"/>
        </w:rPr>
        <w:t>determining</w:t>
      </w:r>
      <w:r>
        <w:rPr>
          <w:spacing w:val="-6"/>
          <w:sz w:val="20"/>
        </w:rPr>
        <w:t> </w:t>
      </w:r>
      <w:r>
        <w:rPr>
          <w:sz w:val="20"/>
        </w:rPr>
        <w:t>the</w:t>
      </w:r>
      <w:r>
        <w:rPr>
          <w:spacing w:val="-6"/>
          <w:sz w:val="20"/>
        </w:rPr>
        <w:t> </w:t>
      </w:r>
      <w:r>
        <w:rPr>
          <w:sz w:val="20"/>
        </w:rPr>
        <w:t>Amount</w:t>
      </w:r>
      <w:r>
        <w:rPr>
          <w:spacing w:val="-6"/>
          <w:sz w:val="20"/>
        </w:rPr>
        <w:t> </w:t>
      </w:r>
      <w:r>
        <w:rPr>
          <w:sz w:val="20"/>
        </w:rPr>
        <w:t>A</w:t>
      </w:r>
      <w:r>
        <w:rPr>
          <w:spacing w:val="-7"/>
          <w:sz w:val="20"/>
        </w:rPr>
        <w:t> </w:t>
      </w:r>
      <w:r>
        <w:rPr>
          <w:sz w:val="20"/>
        </w:rPr>
        <w:t>tax</w:t>
      </w:r>
      <w:r>
        <w:rPr>
          <w:spacing w:val="-5"/>
          <w:sz w:val="20"/>
        </w:rPr>
        <w:t> </w:t>
      </w:r>
      <w:r>
        <w:rPr>
          <w:sz w:val="20"/>
        </w:rPr>
        <w:t>base</w:t>
      </w:r>
      <w:r>
        <w:rPr>
          <w:spacing w:val="-3"/>
          <w:sz w:val="20"/>
        </w:rPr>
        <w:t> </w:t>
      </w:r>
      <w:r>
        <w:rPr>
          <w:sz w:val="20"/>
        </w:rPr>
        <w:t>for</w:t>
      </w:r>
      <w:r>
        <w:rPr>
          <w:spacing w:val="-5"/>
          <w:sz w:val="20"/>
        </w:rPr>
        <w:t> </w:t>
      </w:r>
      <w:r>
        <w:rPr>
          <w:sz w:val="20"/>
        </w:rPr>
        <w:t>ease</w:t>
      </w:r>
      <w:r>
        <w:rPr>
          <w:spacing w:val="-7"/>
          <w:sz w:val="20"/>
        </w:rPr>
        <w:t> </w:t>
      </w:r>
      <w:r>
        <w:rPr>
          <w:sz w:val="20"/>
        </w:rPr>
        <w:t>of</w:t>
      </w:r>
      <w:r>
        <w:rPr>
          <w:spacing w:val="-4"/>
          <w:sz w:val="20"/>
        </w:rPr>
        <w:t> </w:t>
      </w:r>
      <w:r>
        <w:rPr>
          <w:sz w:val="20"/>
        </w:rPr>
        <w:t>administration.</w:t>
      </w:r>
      <w:r>
        <w:rPr>
          <w:spacing w:val="-5"/>
          <w:sz w:val="20"/>
        </w:rPr>
        <w:t> </w:t>
      </w:r>
      <w:r>
        <w:rPr>
          <w:sz w:val="20"/>
        </w:rPr>
        <w:t>These</w:t>
      </w:r>
      <w:r>
        <w:rPr>
          <w:spacing w:val="-6"/>
          <w:sz w:val="20"/>
        </w:rPr>
        <w:t> </w:t>
      </w:r>
      <w:r>
        <w:rPr>
          <w:sz w:val="20"/>
        </w:rPr>
        <w:t>are</w:t>
      </w:r>
      <w:r>
        <w:rPr>
          <w:spacing w:val="-6"/>
          <w:sz w:val="20"/>
        </w:rPr>
        <w:t> </w:t>
      </w:r>
      <w:r>
        <w:rPr>
          <w:sz w:val="20"/>
        </w:rPr>
        <w:t>GAAP</w:t>
      </w:r>
      <w:r>
        <w:rPr>
          <w:spacing w:val="-3"/>
          <w:sz w:val="20"/>
        </w:rPr>
        <w:t> </w:t>
      </w:r>
      <w:r>
        <w:rPr>
          <w:sz w:val="20"/>
        </w:rPr>
        <w:t>permitted</w:t>
      </w:r>
      <w:r>
        <w:rPr>
          <w:spacing w:val="-6"/>
          <w:sz w:val="20"/>
        </w:rPr>
        <w:t> </w:t>
      </w:r>
      <w:r>
        <w:rPr>
          <w:sz w:val="20"/>
        </w:rPr>
        <w:t>by</w:t>
      </w:r>
      <w:r>
        <w:rPr>
          <w:spacing w:val="-9"/>
          <w:sz w:val="20"/>
        </w:rPr>
        <w:t> </w:t>
      </w:r>
      <w:r>
        <w:rPr>
          <w:sz w:val="20"/>
        </w:rPr>
        <w:t>the relevant body with legal authority in the tax jurisdiction of its UPE to prescribe, establish, or accept accounting standards when their use does not result in material competitive distortions in the application of Amount A. This approach needs to be consistent with the determination of acceptable accounting standards</w:t>
      </w:r>
      <w:r>
        <w:rPr>
          <w:spacing w:val="-16"/>
          <w:sz w:val="20"/>
        </w:rPr>
        <w:t> </w:t>
      </w:r>
      <w:r>
        <w:rPr>
          <w:sz w:val="20"/>
        </w:rPr>
        <w:t>under</w:t>
      </w:r>
      <w:r>
        <w:rPr>
          <w:spacing w:val="-16"/>
          <w:sz w:val="20"/>
        </w:rPr>
        <w:t> </w:t>
      </w:r>
      <w:r>
        <w:rPr>
          <w:sz w:val="20"/>
        </w:rPr>
        <w:t>Pillar</w:t>
      </w:r>
      <w:r>
        <w:rPr>
          <w:spacing w:val="-15"/>
          <w:sz w:val="20"/>
        </w:rPr>
        <w:t> </w:t>
      </w:r>
      <w:r>
        <w:rPr>
          <w:sz w:val="20"/>
        </w:rPr>
        <w:t>Two.</w:t>
      </w:r>
      <w:r>
        <w:rPr>
          <w:sz w:val="20"/>
          <w:vertAlign w:val="superscript"/>
        </w:rPr>
        <w:t>67</w:t>
      </w:r>
      <w:r>
        <w:rPr>
          <w:spacing w:val="-17"/>
          <w:sz w:val="20"/>
          <w:vertAlign w:val="baseline"/>
        </w:rPr>
        <w:t> </w:t>
      </w:r>
      <w:r>
        <w:rPr>
          <w:sz w:val="20"/>
          <w:vertAlign w:val="baseline"/>
        </w:rPr>
        <w:t>Further</w:t>
      </w:r>
      <w:r>
        <w:rPr>
          <w:spacing w:val="-15"/>
          <w:sz w:val="20"/>
          <w:vertAlign w:val="baseline"/>
        </w:rPr>
        <w:t> </w:t>
      </w:r>
      <w:r>
        <w:rPr>
          <w:sz w:val="20"/>
          <w:vertAlign w:val="baseline"/>
        </w:rPr>
        <w:t>technical</w:t>
      </w:r>
      <w:r>
        <w:rPr>
          <w:spacing w:val="-16"/>
          <w:sz w:val="20"/>
          <w:vertAlign w:val="baseline"/>
        </w:rPr>
        <w:t> </w:t>
      </w:r>
      <w:r>
        <w:rPr>
          <w:sz w:val="20"/>
          <w:vertAlign w:val="baseline"/>
        </w:rPr>
        <w:t>work</w:t>
      </w:r>
      <w:r>
        <w:rPr>
          <w:spacing w:val="-13"/>
          <w:sz w:val="20"/>
          <w:vertAlign w:val="baseline"/>
        </w:rPr>
        <w:t> </w:t>
      </w:r>
      <w:r>
        <w:rPr>
          <w:sz w:val="20"/>
          <w:vertAlign w:val="baseline"/>
        </w:rPr>
        <w:t>is</w:t>
      </w:r>
      <w:r>
        <w:rPr>
          <w:spacing w:val="-15"/>
          <w:sz w:val="20"/>
          <w:vertAlign w:val="baseline"/>
        </w:rPr>
        <w:t> </w:t>
      </w:r>
      <w:r>
        <w:rPr>
          <w:sz w:val="20"/>
          <w:vertAlign w:val="baseline"/>
        </w:rPr>
        <w:t>required</w:t>
      </w:r>
      <w:r>
        <w:rPr>
          <w:spacing w:val="-17"/>
          <w:sz w:val="20"/>
          <w:vertAlign w:val="baseline"/>
        </w:rPr>
        <w:t> </w:t>
      </w:r>
      <w:r>
        <w:rPr>
          <w:sz w:val="20"/>
          <w:vertAlign w:val="baseline"/>
        </w:rPr>
        <w:t>to</w:t>
      </w:r>
      <w:r>
        <w:rPr>
          <w:spacing w:val="-16"/>
          <w:sz w:val="20"/>
          <w:vertAlign w:val="baseline"/>
        </w:rPr>
        <w:t> </w:t>
      </w:r>
      <w:r>
        <w:rPr>
          <w:sz w:val="20"/>
          <w:vertAlign w:val="baseline"/>
        </w:rPr>
        <w:t>define</w:t>
      </w:r>
      <w:r>
        <w:rPr>
          <w:spacing w:val="-17"/>
          <w:sz w:val="20"/>
          <w:vertAlign w:val="baseline"/>
        </w:rPr>
        <w:t> </w:t>
      </w:r>
      <w:r>
        <w:rPr>
          <w:sz w:val="20"/>
          <w:vertAlign w:val="baseline"/>
        </w:rPr>
        <w:t>and</w:t>
      </w:r>
      <w:r>
        <w:rPr>
          <w:spacing w:val="-16"/>
          <w:sz w:val="20"/>
          <w:vertAlign w:val="baseline"/>
        </w:rPr>
        <w:t> </w:t>
      </w:r>
      <w:r>
        <w:rPr>
          <w:sz w:val="20"/>
          <w:vertAlign w:val="baseline"/>
        </w:rPr>
        <w:t>measure</w:t>
      </w:r>
      <w:r>
        <w:rPr>
          <w:spacing w:val="-15"/>
          <w:sz w:val="20"/>
          <w:vertAlign w:val="baseline"/>
        </w:rPr>
        <w:t> </w:t>
      </w:r>
      <w:r>
        <w:rPr>
          <w:sz w:val="20"/>
          <w:vertAlign w:val="baseline"/>
        </w:rPr>
        <w:t>material</w:t>
      </w:r>
      <w:r>
        <w:rPr>
          <w:spacing w:val="-17"/>
          <w:sz w:val="20"/>
          <w:vertAlign w:val="baseline"/>
        </w:rPr>
        <w:t> </w:t>
      </w:r>
      <w:r>
        <w:rPr>
          <w:sz w:val="20"/>
          <w:vertAlign w:val="baseline"/>
        </w:rPr>
        <w:t>competitive distortions.</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Where an MNE group in scope of Amount A does not produce consolidated financial statements, it</w:t>
      </w:r>
      <w:r>
        <w:rPr>
          <w:spacing w:val="-6"/>
          <w:sz w:val="20"/>
        </w:rPr>
        <w:t> </w:t>
      </w:r>
      <w:r>
        <w:rPr>
          <w:sz w:val="20"/>
        </w:rPr>
        <w:t>would</w:t>
      </w:r>
      <w:r>
        <w:rPr>
          <w:spacing w:val="-7"/>
          <w:sz w:val="20"/>
        </w:rPr>
        <w:t> </w:t>
      </w:r>
      <w:r>
        <w:rPr>
          <w:sz w:val="20"/>
        </w:rPr>
        <w:t>need</w:t>
      </w:r>
      <w:r>
        <w:rPr>
          <w:spacing w:val="-8"/>
          <w:sz w:val="20"/>
        </w:rPr>
        <w:t> </w:t>
      </w:r>
      <w:r>
        <w:rPr>
          <w:sz w:val="20"/>
        </w:rPr>
        <w:t>to</w:t>
      </w:r>
      <w:r>
        <w:rPr>
          <w:spacing w:val="-6"/>
          <w:sz w:val="20"/>
        </w:rPr>
        <w:t> </w:t>
      </w:r>
      <w:r>
        <w:rPr>
          <w:sz w:val="20"/>
        </w:rPr>
        <w:t>prepare</w:t>
      </w:r>
      <w:r>
        <w:rPr>
          <w:spacing w:val="-9"/>
          <w:sz w:val="20"/>
        </w:rPr>
        <w:t> </w:t>
      </w:r>
      <w:r>
        <w:rPr>
          <w:sz w:val="20"/>
        </w:rPr>
        <w:t>consolidated</w:t>
      </w:r>
      <w:r>
        <w:rPr>
          <w:spacing w:val="-8"/>
          <w:sz w:val="20"/>
        </w:rPr>
        <w:t> </w:t>
      </w:r>
      <w:r>
        <w:rPr>
          <w:sz w:val="20"/>
        </w:rPr>
        <w:t>financial</w:t>
      </w:r>
      <w:r>
        <w:rPr>
          <w:spacing w:val="-10"/>
          <w:sz w:val="20"/>
        </w:rPr>
        <w:t> </w:t>
      </w:r>
      <w:r>
        <w:rPr>
          <w:sz w:val="20"/>
        </w:rPr>
        <w:t>accounts</w:t>
      </w:r>
      <w:r>
        <w:rPr>
          <w:spacing w:val="-7"/>
          <w:sz w:val="20"/>
        </w:rPr>
        <w:t> </w:t>
      </w:r>
      <w:r>
        <w:rPr>
          <w:sz w:val="20"/>
        </w:rPr>
        <w:t>and</w:t>
      </w:r>
      <w:r>
        <w:rPr>
          <w:spacing w:val="-9"/>
          <w:sz w:val="20"/>
        </w:rPr>
        <w:t> </w:t>
      </w:r>
      <w:r>
        <w:rPr>
          <w:sz w:val="20"/>
        </w:rPr>
        <w:t>to</w:t>
      </w:r>
      <w:r>
        <w:rPr>
          <w:spacing w:val="-8"/>
          <w:sz w:val="20"/>
        </w:rPr>
        <w:t> </w:t>
      </w:r>
      <w:r>
        <w:rPr>
          <w:sz w:val="20"/>
        </w:rPr>
        <w:t>compute</w:t>
      </w:r>
      <w:r>
        <w:rPr>
          <w:spacing w:val="-9"/>
          <w:sz w:val="20"/>
        </w:rPr>
        <w:t> </w:t>
      </w:r>
      <w:r>
        <w:rPr>
          <w:sz w:val="20"/>
        </w:rPr>
        <w:t>the</w:t>
      </w:r>
      <w:r>
        <w:rPr>
          <w:spacing w:val="-6"/>
          <w:sz w:val="20"/>
        </w:rPr>
        <w:t> </w:t>
      </w:r>
      <w:r>
        <w:rPr>
          <w:sz w:val="20"/>
        </w:rPr>
        <w:t>Amount</w:t>
      </w:r>
      <w:r>
        <w:rPr>
          <w:spacing w:val="-9"/>
          <w:sz w:val="20"/>
        </w:rPr>
        <w:t> </w:t>
      </w:r>
      <w:r>
        <w:rPr>
          <w:sz w:val="20"/>
        </w:rPr>
        <w:t>A</w:t>
      </w:r>
      <w:r>
        <w:rPr>
          <w:spacing w:val="-9"/>
          <w:sz w:val="20"/>
        </w:rPr>
        <w:t> </w:t>
      </w:r>
      <w:r>
        <w:rPr>
          <w:sz w:val="20"/>
        </w:rPr>
        <w:t>tax</w:t>
      </w:r>
      <w:r>
        <w:rPr>
          <w:spacing w:val="-7"/>
          <w:sz w:val="20"/>
        </w:rPr>
        <w:t> </w:t>
      </w:r>
      <w:r>
        <w:rPr>
          <w:sz w:val="20"/>
        </w:rPr>
        <w:t>base</w:t>
      </w:r>
      <w:r>
        <w:rPr>
          <w:spacing w:val="-7"/>
          <w:sz w:val="20"/>
        </w:rPr>
        <w:t> </w:t>
      </w:r>
      <w:r>
        <w:rPr>
          <w:sz w:val="20"/>
        </w:rPr>
        <w:t>under</w:t>
      </w:r>
      <w:r>
        <w:rPr>
          <w:spacing w:val="-7"/>
          <w:sz w:val="20"/>
        </w:rPr>
        <w:t> </w:t>
      </w:r>
      <w:r>
        <w:rPr>
          <w:sz w:val="20"/>
        </w:rPr>
        <w:t>the accounting standards permitted by the body with legal authority in the tax jurisdiction of its UPE to prescribe, establish, or accept accounting standards for financial reporting purposes, provided that those standards</w:t>
      </w:r>
      <w:r>
        <w:rPr>
          <w:spacing w:val="-11"/>
          <w:sz w:val="20"/>
        </w:rPr>
        <w:t> </w:t>
      </w:r>
      <w:r>
        <w:rPr>
          <w:sz w:val="20"/>
        </w:rPr>
        <w:t>qualify</w:t>
      </w:r>
      <w:r>
        <w:rPr>
          <w:spacing w:val="-15"/>
          <w:sz w:val="20"/>
        </w:rPr>
        <w:t> </w:t>
      </w:r>
      <w:r>
        <w:rPr>
          <w:sz w:val="20"/>
        </w:rPr>
        <w:t>as</w:t>
      </w:r>
      <w:r>
        <w:rPr>
          <w:spacing w:val="-13"/>
          <w:sz w:val="20"/>
        </w:rPr>
        <w:t> </w:t>
      </w:r>
      <w:r>
        <w:rPr>
          <w:sz w:val="20"/>
        </w:rPr>
        <w:t>eligible</w:t>
      </w:r>
      <w:r>
        <w:rPr>
          <w:spacing w:val="-12"/>
          <w:sz w:val="20"/>
        </w:rPr>
        <w:t> </w:t>
      </w:r>
      <w:r>
        <w:rPr>
          <w:sz w:val="20"/>
        </w:rPr>
        <w:t>or,</w:t>
      </w:r>
      <w:r>
        <w:rPr>
          <w:spacing w:val="-13"/>
          <w:sz w:val="20"/>
        </w:rPr>
        <w:t> </w:t>
      </w:r>
      <w:r>
        <w:rPr>
          <w:sz w:val="20"/>
        </w:rPr>
        <w:t>otherwise,</w:t>
      </w:r>
      <w:r>
        <w:rPr>
          <w:spacing w:val="-14"/>
          <w:sz w:val="20"/>
        </w:rPr>
        <w:t> </w:t>
      </w:r>
      <w:r>
        <w:rPr>
          <w:sz w:val="20"/>
        </w:rPr>
        <w:t>do</w:t>
      </w:r>
      <w:r>
        <w:rPr>
          <w:spacing w:val="-14"/>
          <w:sz w:val="20"/>
        </w:rPr>
        <w:t> </w:t>
      </w:r>
      <w:r>
        <w:rPr>
          <w:sz w:val="20"/>
        </w:rPr>
        <w:t>not</w:t>
      </w:r>
      <w:r>
        <w:rPr>
          <w:spacing w:val="-14"/>
          <w:sz w:val="20"/>
        </w:rPr>
        <w:t> </w:t>
      </w:r>
      <w:r>
        <w:rPr>
          <w:sz w:val="20"/>
        </w:rPr>
        <w:t>result</w:t>
      </w:r>
      <w:r>
        <w:rPr>
          <w:spacing w:val="-14"/>
          <w:sz w:val="20"/>
        </w:rPr>
        <w:t> </w:t>
      </w:r>
      <w:r>
        <w:rPr>
          <w:sz w:val="20"/>
        </w:rPr>
        <w:t>in</w:t>
      </w:r>
      <w:r>
        <w:rPr>
          <w:spacing w:val="-14"/>
          <w:sz w:val="20"/>
        </w:rPr>
        <w:t> </w:t>
      </w:r>
      <w:r>
        <w:rPr>
          <w:sz w:val="20"/>
        </w:rPr>
        <w:t>material</w:t>
      </w:r>
      <w:r>
        <w:rPr>
          <w:spacing w:val="-15"/>
          <w:sz w:val="20"/>
        </w:rPr>
        <w:t> </w:t>
      </w:r>
      <w:r>
        <w:rPr>
          <w:sz w:val="20"/>
        </w:rPr>
        <w:t>competitive</w:t>
      </w:r>
      <w:r>
        <w:rPr>
          <w:spacing w:val="-14"/>
          <w:sz w:val="20"/>
        </w:rPr>
        <w:t> </w:t>
      </w:r>
      <w:r>
        <w:rPr>
          <w:sz w:val="20"/>
        </w:rPr>
        <w:t>distortions</w:t>
      </w:r>
      <w:r>
        <w:rPr>
          <w:spacing w:val="-11"/>
          <w:sz w:val="20"/>
        </w:rPr>
        <w:t> </w:t>
      </w:r>
      <w:r>
        <w:rPr>
          <w:sz w:val="20"/>
        </w:rPr>
        <w:t>in</w:t>
      </w:r>
      <w:r>
        <w:rPr>
          <w:spacing w:val="-14"/>
          <w:sz w:val="20"/>
        </w:rPr>
        <w:t> </w:t>
      </w:r>
      <w:r>
        <w:rPr>
          <w:sz w:val="20"/>
        </w:rPr>
        <w:t>the</w:t>
      </w:r>
      <w:r>
        <w:rPr>
          <w:spacing w:val="-12"/>
          <w:sz w:val="20"/>
        </w:rPr>
        <w:t> </w:t>
      </w:r>
      <w:r>
        <w:rPr>
          <w:sz w:val="20"/>
        </w:rPr>
        <w:t>application of Amount</w:t>
      </w:r>
      <w:r>
        <w:rPr>
          <w:spacing w:val="-2"/>
          <w:sz w:val="20"/>
        </w:rPr>
        <w:t> </w:t>
      </w:r>
      <w:r>
        <w:rPr>
          <w:sz w:val="20"/>
        </w:rPr>
        <w:t>A.</w:t>
      </w:r>
    </w:p>
    <w:p>
      <w:pPr>
        <w:pStyle w:val="BodyText"/>
        <w:spacing w:before="2"/>
      </w:pPr>
    </w:p>
    <w:p>
      <w:pPr>
        <w:pStyle w:val="Heading7"/>
        <w:spacing w:before="1"/>
        <w:rPr>
          <w:i/>
        </w:rPr>
      </w:pPr>
      <w:bookmarkStart w:name="Book-to-book harmonisation adjustments" w:id="209"/>
      <w:bookmarkEnd w:id="209"/>
      <w:r>
        <w:rPr>
          <w:i w:val="0"/>
        </w:rPr>
      </w:r>
      <w:r>
        <w:rPr>
          <w:i/>
          <w:color w:val="616161"/>
        </w:rPr>
        <w:t>Book-to-book harmonisation adjustments</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2" w:firstLine="0"/>
        <w:jc w:val="both"/>
        <w:rPr>
          <w:sz w:val="20"/>
        </w:rPr>
      </w:pPr>
      <w:r>
        <w:rPr>
          <w:sz w:val="20"/>
        </w:rPr>
        <w:t>The Amount A tax base will not involve any specific harmonisation adjustments to account for differences between different GAAP that could affect the computation of the Amount A tax</w:t>
      </w:r>
      <w:r>
        <w:rPr>
          <w:spacing w:val="-20"/>
          <w:sz w:val="20"/>
        </w:rPr>
        <w:t> </w:t>
      </w:r>
      <w:r>
        <w:rPr>
          <w:sz w:val="20"/>
        </w:rPr>
        <w:t>base.</w:t>
      </w:r>
    </w:p>
    <w:p>
      <w:pPr>
        <w:pStyle w:val="ListParagraph"/>
        <w:numPr>
          <w:ilvl w:val="0"/>
          <w:numId w:val="13"/>
        </w:numPr>
        <w:tabs>
          <w:tab w:pos="1444" w:val="left" w:leader="none"/>
        </w:tabs>
        <w:spacing w:line="268" w:lineRule="auto" w:before="121" w:after="0"/>
        <w:ind w:left="723" w:right="484" w:firstLine="0"/>
        <w:jc w:val="both"/>
        <w:rPr>
          <w:sz w:val="20"/>
        </w:rPr>
      </w:pPr>
      <w:r>
        <w:rPr>
          <w:sz w:val="20"/>
        </w:rPr>
        <w:t>It is recognised that designing and administering harmonisation adjustments would be extremely complex, as the significance of discrepancies across standards varies widely across industries, and even from one MNE group to the next.</w:t>
      </w:r>
      <w:r>
        <w:rPr>
          <w:sz w:val="20"/>
          <w:vertAlign w:val="superscript"/>
        </w:rPr>
        <w:t>68</w:t>
      </w:r>
      <w:r>
        <w:rPr>
          <w:sz w:val="20"/>
          <w:vertAlign w:val="baseline"/>
        </w:rPr>
        <w:t> Examples of such, adjustments could</w:t>
      </w:r>
      <w:r>
        <w:rPr>
          <w:spacing w:val="-2"/>
          <w:sz w:val="20"/>
          <w:vertAlign w:val="baseline"/>
        </w:rPr>
        <w:t> </w:t>
      </w:r>
      <w:r>
        <w:rPr>
          <w:sz w:val="20"/>
          <w:vertAlign w:val="baseline"/>
        </w:rPr>
        <w:t>be:</w:t>
      </w:r>
    </w:p>
    <w:p>
      <w:pPr>
        <w:pStyle w:val="ListParagraph"/>
        <w:numPr>
          <w:ilvl w:val="1"/>
          <w:numId w:val="13"/>
        </w:numPr>
        <w:tabs>
          <w:tab w:pos="1403" w:val="left" w:leader="none"/>
        </w:tabs>
        <w:spacing w:line="271" w:lineRule="auto" w:before="106" w:after="0"/>
        <w:ind w:left="1402" w:right="482" w:hanging="339"/>
        <w:jc w:val="both"/>
        <w:rPr>
          <w:sz w:val="20"/>
        </w:rPr>
      </w:pPr>
      <w:r>
        <w:rPr>
          <w:b/>
          <w:sz w:val="20"/>
        </w:rPr>
        <w:t>Reversal of impairments</w:t>
      </w:r>
      <w:r>
        <w:rPr>
          <w:sz w:val="20"/>
        </w:rPr>
        <w:t>: IFRS requires impairment adjustments to be reversed when the reasons for the impairment no longer pertain, except for impairments of goodwill. On the contrary, other</w:t>
      </w:r>
      <w:r>
        <w:rPr>
          <w:spacing w:val="-15"/>
          <w:sz w:val="20"/>
        </w:rPr>
        <w:t> </w:t>
      </w:r>
      <w:r>
        <w:rPr>
          <w:sz w:val="20"/>
        </w:rPr>
        <w:t>GAAP</w:t>
      </w:r>
      <w:r>
        <w:rPr>
          <w:spacing w:val="-17"/>
          <w:sz w:val="20"/>
        </w:rPr>
        <w:t> </w:t>
      </w:r>
      <w:r>
        <w:rPr>
          <w:sz w:val="20"/>
        </w:rPr>
        <w:t>may</w:t>
      </w:r>
      <w:r>
        <w:rPr>
          <w:spacing w:val="-21"/>
          <w:sz w:val="20"/>
        </w:rPr>
        <w:t> </w:t>
      </w:r>
      <w:r>
        <w:rPr>
          <w:sz w:val="20"/>
        </w:rPr>
        <w:t>not</w:t>
      </w:r>
      <w:r>
        <w:rPr>
          <w:spacing w:val="-15"/>
          <w:sz w:val="20"/>
        </w:rPr>
        <w:t> </w:t>
      </w:r>
      <w:r>
        <w:rPr>
          <w:sz w:val="20"/>
        </w:rPr>
        <w:t>allow</w:t>
      </w:r>
      <w:r>
        <w:rPr>
          <w:spacing w:val="-18"/>
          <w:sz w:val="20"/>
        </w:rPr>
        <w:t> </w:t>
      </w:r>
      <w:r>
        <w:rPr>
          <w:sz w:val="20"/>
        </w:rPr>
        <w:t>for</w:t>
      </w:r>
      <w:r>
        <w:rPr>
          <w:spacing w:val="-17"/>
          <w:sz w:val="20"/>
        </w:rPr>
        <w:t> </w:t>
      </w:r>
      <w:r>
        <w:rPr>
          <w:sz w:val="20"/>
        </w:rPr>
        <w:t>the</w:t>
      </w:r>
      <w:r>
        <w:rPr>
          <w:spacing w:val="-19"/>
          <w:sz w:val="20"/>
        </w:rPr>
        <w:t> </w:t>
      </w:r>
      <w:r>
        <w:rPr>
          <w:sz w:val="20"/>
        </w:rPr>
        <w:t>reversal</w:t>
      </w:r>
      <w:r>
        <w:rPr>
          <w:spacing w:val="-16"/>
          <w:sz w:val="20"/>
        </w:rPr>
        <w:t> </w:t>
      </w:r>
      <w:r>
        <w:rPr>
          <w:sz w:val="20"/>
        </w:rPr>
        <w:t>of</w:t>
      </w:r>
      <w:r>
        <w:rPr>
          <w:spacing w:val="-16"/>
          <w:sz w:val="20"/>
        </w:rPr>
        <w:t> </w:t>
      </w:r>
      <w:r>
        <w:rPr>
          <w:sz w:val="20"/>
        </w:rPr>
        <w:t>certain</w:t>
      </w:r>
      <w:r>
        <w:rPr>
          <w:spacing w:val="-16"/>
          <w:sz w:val="20"/>
        </w:rPr>
        <w:t> </w:t>
      </w:r>
      <w:r>
        <w:rPr>
          <w:sz w:val="20"/>
        </w:rPr>
        <w:t>impairments</w:t>
      </w:r>
      <w:r>
        <w:rPr>
          <w:spacing w:val="-16"/>
          <w:sz w:val="20"/>
        </w:rPr>
        <w:t> </w:t>
      </w:r>
      <w:r>
        <w:rPr>
          <w:sz w:val="20"/>
        </w:rPr>
        <w:t>(e.g.</w:t>
      </w:r>
      <w:r>
        <w:rPr>
          <w:spacing w:val="-16"/>
          <w:sz w:val="20"/>
        </w:rPr>
        <w:t> </w:t>
      </w:r>
      <w:r>
        <w:rPr>
          <w:sz w:val="20"/>
        </w:rPr>
        <w:t>inventory,</w:t>
      </w:r>
      <w:r>
        <w:rPr>
          <w:spacing w:val="-16"/>
          <w:sz w:val="20"/>
        </w:rPr>
        <w:t> </w:t>
      </w:r>
      <w:r>
        <w:rPr>
          <w:sz w:val="20"/>
        </w:rPr>
        <w:t>long-lived</w:t>
      </w:r>
      <w:r>
        <w:rPr>
          <w:spacing w:val="-16"/>
          <w:sz w:val="20"/>
        </w:rPr>
        <w:t> </w:t>
      </w:r>
      <w:r>
        <w:rPr>
          <w:sz w:val="20"/>
        </w:rPr>
        <w:t>assets). This</w:t>
      </w:r>
      <w:r>
        <w:rPr>
          <w:spacing w:val="-8"/>
          <w:sz w:val="20"/>
        </w:rPr>
        <w:t> </w:t>
      </w:r>
      <w:r>
        <w:rPr>
          <w:sz w:val="20"/>
        </w:rPr>
        <w:t>could</w:t>
      </w:r>
      <w:r>
        <w:rPr>
          <w:spacing w:val="-9"/>
          <w:sz w:val="20"/>
        </w:rPr>
        <w:t> </w:t>
      </w:r>
      <w:r>
        <w:rPr>
          <w:sz w:val="20"/>
        </w:rPr>
        <w:t>give</w:t>
      </w:r>
      <w:r>
        <w:rPr>
          <w:spacing w:val="-8"/>
          <w:sz w:val="20"/>
        </w:rPr>
        <w:t> </w:t>
      </w:r>
      <w:r>
        <w:rPr>
          <w:sz w:val="20"/>
        </w:rPr>
        <w:t>rise</w:t>
      </w:r>
      <w:r>
        <w:rPr>
          <w:spacing w:val="-9"/>
          <w:sz w:val="20"/>
        </w:rPr>
        <w:t> </w:t>
      </w:r>
      <w:r>
        <w:rPr>
          <w:sz w:val="20"/>
        </w:rPr>
        <w:t>to</w:t>
      </w:r>
      <w:r>
        <w:rPr>
          <w:spacing w:val="-8"/>
          <w:sz w:val="20"/>
        </w:rPr>
        <w:t> </w:t>
      </w:r>
      <w:r>
        <w:rPr>
          <w:sz w:val="20"/>
        </w:rPr>
        <w:t>timing</w:t>
      </w:r>
      <w:r>
        <w:rPr>
          <w:spacing w:val="-9"/>
          <w:sz w:val="20"/>
        </w:rPr>
        <w:t> </w:t>
      </w:r>
      <w:r>
        <w:rPr>
          <w:sz w:val="20"/>
        </w:rPr>
        <w:t>differences,</w:t>
      </w:r>
      <w:r>
        <w:rPr>
          <w:spacing w:val="-8"/>
          <w:sz w:val="20"/>
        </w:rPr>
        <w:t> </w:t>
      </w:r>
      <w:r>
        <w:rPr>
          <w:sz w:val="20"/>
        </w:rPr>
        <w:t>which</w:t>
      </w:r>
      <w:r>
        <w:rPr>
          <w:spacing w:val="-9"/>
          <w:sz w:val="20"/>
        </w:rPr>
        <w:t> </w:t>
      </w:r>
      <w:r>
        <w:rPr>
          <w:sz w:val="20"/>
        </w:rPr>
        <w:t>could</w:t>
      </w:r>
      <w:r>
        <w:rPr>
          <w:spacing w:val="-8"/>
          <w:sz w:val="20"/>
        </w:rPr>
        <w:t> </w:t>
      </w:r>
      <w:r>
        <w:rPr>
          <w:sz w:val="20"/>
        </w:rPr>
        <w:t>be</w:t>
      </w:r>
      <w:r>
        <w:rPr>
          <w:spacing w:val="-9"/>
          <w:sz w:val="20"/>
        </w:rPr>
        <w:t> </w:t>
      </w:r>
      <w:r>
        <w:rPr>
          <w:sz w:val="20"/>
        </w:rPr>
        <w:t>nearly</w:t>
      </w:r>
      <w:r>
        <w:rPr>
          <w:spacing w:val="-9"/>
          <w:sz w:val="20"/>
        </w:rPr>
        <w:t> </w:t>
      </w:r>
      <w:r>
        <w:rPr>
          <w:sz w:val="20"/>
        </w:rPr>
        <w:t>permanent</w:t>
      </w:r>
      <w:r>
        <w:rPr>
          <w:spacing w:val="-9"/>
          <w:sz w:val="20"/>
        </w:rPr>
        <w:t> </w:t>
      </w:r>
      <w:r>
        <w:rPr>
          <w:sz w:val="20"/>
        </w:rPr>
        <w:t>ones</w:t>
      </w:r>
      <w:r>
        <w:rPr>
          <w:spacing w:val="-8"/>
          <w:sz w:val="20"/>
        </w:rPr>
        <w:t> </w:t>
      </w:r>
      <w:r>
        <w:rPr>
          <w:sz w:val="20"/>
        </w:rPr>
        <w:t>depending</w:t>
      </w:r>
      <w:r>
        <w:rPr>
          <w:spacing w:val="-8"/>
          <w:sz w:val="20"/>
        </w:rPr>
        <w:t> </w:t>
      </w:r>
      <w:r>
        <w:rPr>
          <w:sz w:val="20"/>
        </w:rPr>
        <w:t>on</w:t>
      </w:r>
      <w:r>
        <w:rPr>
          <w:spacing w:val="-9"/>
          <w:sz w:val="20"/>
        </w:rPr>
        <w:t> </w:t>
      </w:r>
      <w:r>
        <w:rPr>
          <w:sz w:val="20"/>
        </w:rPr>
        <w:t>the expected time that the underlying items remain in the balance sheet. This issue might be more relevant for industries with particularly long business</w:t>
      </w:r>
      <w:r>
        <w:rPr>
          <w:spacing w:val="-5"/>
          <w:sz w:val="20"/>
        </w:rPr>
        <w:t> </w:t>
      </w:r>
      <w:r>
        <w:rPr>
          <w:sz w:val="20"/>
        </w:rPr>
        <w:t>cycles.</w:t>
      </w:r>
    </w:p>
    <w:p>
      <w:pPr>
        <w:pStyle w:val="ListParagraph"/>
        <w:numPr>
          <w:ilvl w:val="1"/>
          <w:numId w:val="13"/>
        </w:numPr>
        <w:tabs>
          <w:tab w:pos="1403" w:val="left" w:leader="none"/>
        </w:tabs>
        <w:spacing w:line="271" w:lineRule="auto" w:before="44" w:after="0"/>
        <w:ind w:left="1402" w:right="481" w:hanging="339"/>
        <w:jc w:val="both"/>
        <w:rPr>
          <w:sz w:val="20"/>
        </w:rPr>
      </w:pPr>
      <w:r>
        <w:rPr>
          <w:b/>
          <w:sz w:val="20"/>
        </w:rPr>
        <w:t>Financial assets classification</w:t>
      </w:r>
      <w:r>
        <w:rPr>
          <w:sz w:val="20"/>
        </w:rPr>
        <w:t>: Accounting standards may resort to different criteria for classifying financial assets that can lead to permanent differences in profit measurement because classification affects recognition of income. For instance, under certain GAAP, the legal form of a debt instrument primarily determines classification. On the contrary, under IFRS the legal form does not determine classification of debt instruments. Rather, the nature of the cash flows of the instrument and the MNE group’s business model for managing the debt instruments are the key considerations for</w:t>
      </w:r>
      <w:r>
        <w:rPr>
          <w:spacing w:val="-2"/>
          <w:sz w:val="20"/>
        </w:rPr>
        <w:t> </w:t>
      </w:r>
      <w:r>
        <w:rPr>
          <w:sz w:val="20"/>
        </w:rPr>
        <w:t>classification.</w:t>
      </w:r>
    </w:p>
    <w:p>
      <w:pPr>
        <w:pStyle w:val="ListParagraph"/>
        <w:numPr>
          <w:ilvl w:val="0"/>
          <w:numId w:val="13"/>
        </w:numPr>
        <w:tabs>
          <w:tab w:pos="1444" w:val="left" w:leader="none"/>
        </w:tabs>
        <w:spacing w:line="271" w:lineRule="auto" w:before="124" w:after="0"/>
        <w:ind w:left="723" w:right="481" w:firstLine="0"/>
        <w:jc w:val="both"/>
        <w:rPr>
          <w:sz w:val="20"/>
        </w:rPr>
      </w:pPr>
      <w:r>
        <w:rPr>
          <w:sz w:val="20"/>
        </w:rPr>
        <w:t>Therefore,</w:t>
      </w:r>
      <w:r>
        <w:rPr>
          <w:spacing w:val="-16"/>
          <w:sz w:val="20"/>
        </w:rPr>
        <w:t> </w:t>
      </w:r>
      <w:r>
        <w:rPr>
          <w:sz w:val="20"/>
        </w:rPr>
        <w:t>not</w:t>
      </w:r>
      <w:r>
        <w:rPr>
          <w:spacing w:val="-16"/>
          <w:sz w:val="20"/>
        </w:rPr>
        <w:t> </w:t>
      </w:r>
      <w:r>
        <w:rPr>
          <w:sz w:val="20"/>
        </w:rPr>
        <w:t>requiring</w:t>
      </w:r>
      <w:r>
        <w:rPr>
          <w:spacing w:val="-16"/>
          <w:sz w:val="20"/>
        </w:rPr>
        <w:t> </w:t>
      </w:r>
      <w:r>
        <w:rPr>
          <w:sz w:val="20"/>
        </w:rPr>
        <w:t>any</w:t>
      </w:r>
      <w:r>
        <w:rPr>
          <w:spacing w:val="-17"/>
          <w:sz w:val="20"/>
        </w:rPr>
        <w:t> </w:t>
      </w:r>
      <w:r>
        <w:rPr>
          <w:sz w:val="20"/>
        </w:rPr>
        <w:t>book-to-book</w:t>
      </w:r>
      <w:r>
        <w:rPr>
          <w:spacing w:val="-12"/>
          <w:sz w:val="20"/>
        </w:rPr>
        <w:t> </w:t>
      </w:r>
      <w:r>
        <w:rPr>
          <w:sz w:val="20"/>
        </w:rPr>
        <w:t>harmonisation</w:t>
      </w:r>
      <w:r>
        <w:rPr>
          <w:spacing w:val="-16"/>
          <w:sz w:val="20"/>
        </w:rPr>
        <w:t> </w:t>
      </w:r>
      <w:r>
        <w:rPr>
          <w:sz w:val="20"/>
        </w:rPr>
        <w:t>adjustment</w:t>
      </w:r>
      <w:r>
        <w:rPr>
          <w:spacing w:val="-16"/>
          <w:sz w:val="20"/>
        </w:rPr>
        <w:t> </w:t>
      </w:r>
      <w:r>
        <w:rPr>
          <w:sz w:val="20"/>
        </w:rPr>
        <w:t>will</w:t>
      </w:r>
      <w:r>
        <w:rPr>
          <w:spacing w:val="-16"/>
          <w:sz w:val="20"/>
        </w:rPr>
        <w:t> </w:t>
      </w:r>
      <w:r>
        <w:rPr>
          <w:sz w:val="20"/>
        </w:rPr>
        <w:t>thus</w:t>
      </w:r>
      <w:r>
        <w:rPr>
          <w:spacing w:val="-14"/>
          <w:sz w:val="20"/>
        </w:rPr>
        <w:t> </w:t>
      </w:r>
      <w:r>
        <w:rPr>
          <w:sz w:val="20"/>
        </w:rPr>
        <w:t>significantly</w:t>
      </w:r>
      <w:r>
        <w:rPr>
          <w:spacing w:val="-19"/>
          <w:sz w:val="20"/>
        </w:rPr>
        <w:t> </w:t>
      </w:r>
      <w:r>
        <w:rPr>
          <w:sz w:val="20"/>
        </w:rPr>
        <w:t>facilitate compliance and administration, as well as be consistent with Pillar Two, and the existing CbCR requirement.</w:t>
      </w:r>
    </w:p>
    <w:p>
      <w:pPr>
        <w:pStyle w:val="ListParagraph"/>
        <w:numPr>
          <w:ilvl w:val="0"/>
          <w:numId w:val="13"/>
        </w:numPr>
        <w:tabs>
          <w:tab w:pos="1444" w:val="left" w:leader="none"/>
        </w:tabs>
        <w:spacing w:line="271" w:lineRule="auto" w:before="121" w:after="0"/>
        <w:ind w:left="723" w:right="478" w:firstLine="0"/>
        <w:jc w:val="both"/>
        <w:rPr>
          <w:sz w:val="20"/>
        </w:rPr>
      </w:pPr>
      <w:r>
        <w:rPr>
          <w:sz w:val="20"/>
        </w:rPr>
        <w:t>Instead of making book-to-book adjustments, the Amount A tax base may however incorporate some safeguards to ensure that discrepancies across accounting standards do not produce materially inconsistent outcomes among MNE groups after the introduction of Amount A. For example, an ongoing monitoring</w:t>
      </w:r>
      <w:r>
        <w:rPr>
          <w:spacing w:val="-18"/>
          <w:sz w:val="20"/>
        </w:rPr>
        <w:t> </w:t>
      </w:r>
      <w:r>
        <w:rPr>
          <w:sz w:val="20"/>
        </w:rPr>
        <w:t>mechanism</w:t>
      </w:r>
      <w:r>
        <w:rPr>
          <w:spacing w:val="-13"/>
          <w:sz w:val="20"/>
        </w:rPr>
        <w:t> </w:t>
      </w:r>
      <w:r>
        <w:rPr>
          <w:sz w:val="20"/>
        </w:rPr>
        <w:t>of</w:t>
      </w:r>
      <w:r>
        <w:rPr>
          <w:spacing w:val="-14"/>
          <w:sz w:val="20"/>
        </w:rPr>
        <w:t> </w:t>
      </w:r>
      <w:r>
        <w:rPr>
          <w:sz w:val="20"/>
        </w:rPr>
        <w:t>these</w:t>
      </w:r>
      <w:r>
        <w:rPr>
          <w:spacing w:val="-17"/>
          <w:sz w:val="20"/>
        </w:rPr>
        <w:t> </w:t>
      </w:r>
      <w:r>
        <w:rPr>
          <w:sz w:val="20"/>
        </w:rPr>
        <w:t>discrepancies</w:t>
      </w:r>
      <w:r>
        <w:rPr>
          <w:spacing w:val="-15"/>
          <w:sz w:val="20"/>
        </w:rPr>
        <w:t> </w:t>
      </w:r>
      <w:r>
        <w:rPr>
          <w:sz w:val="20"/>
        </w:rPr>
        <w:t>could</w:t>
      </w:r>
      <w:r>
        <w:rPr>
          <w:spacing w:val="-17"/>
          <w:sz w:val="20"/>
        </w:rPr>
        <w:t> </w:t>
      </w:r>
      <w:r>
        <w:rPr>
          <w:sz w:val="20"/>
        </w:rPr>
        <w:t>be</w:t>
      </w:r>
      <w:r>
        <w:rPr>
          <w:spacing w:val="-14"/>
          <w:sz w:val="20"/>
        </w:rPr>
        <w:t> </w:t>
      </w:r>
      <w:r>
        <w:rPr>
          <w:sz w:val="20"/>
        </w:rPr>
        <w:t>introduced</w:t>
      </w:r>
      <w:r>
        <w:rPr>
          <w:spacing w:val="-15"/>
          <w:sz w:val="20"/>
        </w:rPr>
        <w:t> </w:t>
      </w:r>
      <w:r>
        <w:rPr>
          <w:sz w:val="20"/>
        </w:rPr>
        <w:t>as</w:t>
      </w:r>
      <w:r>
        <w:rPr>
          <w:spacing w:val="-15"/>
          <w:sz w:val="20"/>
        </w:rPr>
        <w:t> </w:t>
      </w:r>
      <w:r>
        <w:rPr>
          <w:sz w:val="20"/>
        </w:rPr>
        <w:t>part</w:t>
      </w:r>
      <w:r>
        <w:rPr>
          <w:spacing w:val="-16"/>
          <w:sz w:val="20"/>
        </w:rPr>
        <w:t> </w:t>
      </w:r>
      <w:r>
        <w:rPr>
          <w:sz w:val="20"/>
        </w:rPr>
        <w:t>of</w:t>
      </w:r>
      <w:r>
        <w:rPr>
          <w:spacing w:val="-14"/>
          <w:sz w:val="20"/>
        </w:rPr>
        <w:t> </w:t>
      </w:r>
      <w:r>
        <w:rPr>
          <w:sz w:val="20"/>
        </w:rPr>
        <w:t>the</w:t>
      </w:r>
      <w:r>
        <w:rPr>
          <w:spacing w:val="-15"/>
          <w:sz w:val="20"/>
        </w:rPr>
        <w:t> </w:t>
      </w:r>
      <w:r>
        <w:rPr>
          <w:sz w:val="20"/>
        </w:rPr>
        <w:t>implementation</w:t>
      </w:r>
      <w:r>
        <w:rPr>
          <w:spacing w:val="-14"/>
          <w:sz w:val="20"/>
        </w:rPr>
        <w:t> </w:t>
      </w:r>
      <w:r>
        <w:rPr>
          <w:sz w:val="20"/>
        </w:rPr>
        <w:t>of</w:t>
      </w:r>
      <w:r>
        <w:rPr>
          <w:spacing w:val="-15"/>
          <w:sz w:val="20"/>
        </w:rPr>
        <w:t> </w:t>
      </w:r>
      <w:r>
        <w:rPr>
          <w:sz w:val="20"/>
        </w:rPr>
        <w:t>Amount</w:t>
      </w:r>
    </w:p>
    <w:p>
      <w:pPr>
        <w:pStyle w:val="BodyText"/>
        <w:spacing w:before="7"/>
        <w:rPr>
          <w:sz w:val="16"/>
        </w:rPr>
      </w:pPr>
      <w:r>
        <w:rPr/>
        <w:pict>
          <v:rect style="position:absolute;margin-left:65.183998pt;margin-top:11.541659pt;width:144.020004pt;height:.60004pt;mso-position-horizontal-relative:page;mso-position-vertical-relative:paragraph;z-index:-1566924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[Cross-reference to chapter 4 (section 4-7) of GloBE</w:t>
      </w:r>
      <w:r>
        <w:rPr>
          <w:spacing w:val="-11"/>
          <w:sz w:val="18"/>
        </w:rPr>
        <w:t> </w:t>
      </w:r>
      <w:r>
        <w:rPr>
          <w:sz w:val="18"/>
        </w:rPr>
        <w:t>rules].</w:t>
      </w:r>
    </w:p>
    <w:p>
      <w:pPr>
        <w:pStyle w:val="ListParagraph"/>
        <w:numPr>
          <w:ilvl w:val="0"/>
          <w:numId w:val="14"/>
        </w:numPr>
        <w:tabs>
          <w:tab w:pos="928" w:val="left" w:leader="none"/>
        </w:tabs>
        <w:spacing w:line="278" w:lineRule="auto" w:before="110" w:after="0"/>
        <w:ind w:left="723" w:right="484" w:firstLine="0"/>
        <w:jc w:val="left"/>
        <w:rPr>
          <w:sz w:val="18"/>
        </w:rPr>
      </w:pPr>
      <w:r>
        <w:rPr>
          <w:sz w:val="18"/>
        </w:rPr>
        <w:t>Furthermore, many of the potential differences between GAAP are of a qualitative nature, which would impede the quantification and the adjustment of such divergences in a reliable manner to compute Amount A tax</w:t>
      </w:r>
      <w:r>
        <w:rPr>
          <w:spacing w:val="-23"/>
          <w:sz w:val="18"/>
        </w:rPr>
        <w:t> </w:t>
      </w:r>
      <w:r>
        <w:rPr>
          <w:sz w:val="18"/>
        </w:rPr>
        <w:t>base.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A.</w:t>
      </w:r>
      <w:r>
        <w:rPr>
          <w:spacing w:val="-7"/>
        </w:rPr>
        <w:t> </w:t>
      </w:r>
      <w:r>
        <w:rPr/>
        <w:t>This</w:t>
      </w:r>
      <w:r>
        <w:rPr>
          <w:spacing w:val="-5"/>
        </w:rPr>
        <w:t> </w:t>
      </w:r>
      <w:r>
        <w:rPr/>
        <w:t>ongoing</w:t>
      </w:r>
      <w:r>
        <w:rPr>
          <w:spacing w:val="-5"/>
        </w:rPr>
        <w:t> </w:t>
      </w:r>
      <w:r>
        <w:rPr/>
        <w:t>monitoring</w:t>
      </w:r>
      <w:r>
        <w:rPr>
          <w:spacing w:val="-5"/>
        </w:rPr>
        <w:t> </w:t>
      </w:r>
      <w:r>
        <w:rPr/>
        <w:t>could</w:t>
      </w:r>
      <w:r>
        <w:rPr>
          <w:spacing w:val="-2"/>
        </w:rPr>
        <w:t> </w:t>
      </w:r>
      <w:r>
        <w:rPr/>
        <w:t>include</w:t>
      </w:r>
      <w:r>
        <w:rPr>
          <w:spacing w:val="-7"/>
        </w:rPr>
        <w:t> </w:t>
      </w:r>
      <w:r>
        <w:rPr/>
        <w:t>performing</w:t>
      </w:r>
      <w:r>
        <w:rPr>
          <w:spacing w:val="-7"/>
        </w:rPr>
        <w:t> </w:t>
      </w:r>
      <w:r>
        <w:rPr/>
        <w:t>comparisons</w:t>
      </w:r>
      <w:r>
        <w:rPr>
          <w:spacing w:val="-6"/>
        </w:rPr>
        <w:t> </w:t>
      </w:r>
      <w:r>
        <w:rPr/>
        <w:t>across</w:t>
      </w:r>
      <w:r>
        <w:rPr>
          <w:spacing w:val="-5"/>
        </w:rPr>
        <w:t> </w:t>
      </w:r>
      <w:r>
        <w:rPr/>
        <w:t>MNE</w:t>
      </w:r>
      <w:r>
        <w:rPr>
          <w:spacing w:val="-7"/>
        </w:rPr>
        <w:t> </w:t>
      </w:r>
      <w:r>
        <w:rPr/>
        <w:t>groups</w:t>
      </w:r>
      <w:r>
        <w:rPr>
          <w:spacing w:val="-1"/>
        </w:rPr>
        <w:t> </w:t>
      </w:r>
      <w:r>
        <w:rPr/>
        <w:t>in</w:t>
      </w:r>
      <w:r>
        <w:rPr>
          <w:spacing w:val="-6"/>
        </w:rPr>
        <w:t> </w:t>
      </w:r>
      <w:r>
        <w:rPr/>
        <w:t>scope</w:t>
      </w:r>
      <w:r>
        <w:rPr>
          <w:spacing w:val="-4"/>
        </w:rPr>
        <w:t> </w:t>
      </w:r>
      <w:r>
        <w:rPr/>
        <w:t>subject</w:t>
      </w:r>
      <w:r>
        <w:rPr>
          <w:spacing w:val="-6"/>
        </w:rPr>
        <w:t> </w:t>
      </w:r>
      <w:r>
        <w:rPr/>
        <w:t>to different</w:t>
      </w:r>
      <w:r>
        <w:rPr>
          <w:spacing w:val="-8"/>
        </w:rPr>
        <w:t> </w:t>
      </w:r>
      <w:r>
        <w:rPr/>
        <w:t>standards</w:t>
      </w:r>
      <w:r>
        <w:rPr>
          <w:spacing w:val="-6"/>
        </w:rPr>
        <w:t> </w:t>
      </w:r>
      <w:r>
        <w:rPr/>
        <w:t>to</w:t>
      </w:r>
      <w:r>
        <w:rPr>
          <w:spacing w:val="-4"/>
        </w:rPr>
        <w:t> </w:t>
      </w:r>
      <w:r>
        <w:rPr/>
        <w:t>identify</w:t>
      </w:r>
      <w:r>
        <w:rPr>
          <w:spacing w:val="-12"/>
        </w:rPr>
        <w:t> </w:t>
      </w:r>
      <w:r>
        <w:rPr/>
        <w:t>and</w:t>
      </w:r>
      <w:r>
        <w:rPr>
          <w:spacing w:val="-7"/>
        </w:rPr>
        <w:t> </w:t>
      </w:r>
      <w:r>
        <w:rPr/>
        <w:t>assess</w:t>
      </w:r>
      <w:r>
        <w:rPr>
          <w:spacing w:val="-5"/>
        </w:rPr>
        <w:t> </w:t>
      </w:r>
      <w:r>
        <w:rPr/>
        <w:t>the</w:t>
      </w:r>
      <w:r>
        <w:rPr>
          <w:spacing w:val="-7"/>
        </w:rPr>
        <w:t> </w:t>
      </w:r>
      <w:r>
        <w:rPr/>
        <w:t>actual</w:t>
      </w:r>
      <w:r>
        <w:rPr>
          <w:spacing w:val="-7"/>
        </w:rPr>
        <w:t> </w:t>
      </w:r>
      <w:r>
        <w:rPr/>
        <w:t>impact</w:t>
      </w:r>
      <w:r>
        <w:rPr>
          <w:spacing w:val="-6"/>
        </w:rPr>
        <w:t> </w:t>
      </w:r>
      <w:r>
        <w:rPr/>
        <w:t>of</w:t>
      </w:r>
      <w:r>
        <w:rPr>
          <w:spacing w:val="-6"/>
        </w:rPr>
        <w:t> </w:t>
      </w:r>
      <w:r>
        <w:rPr/>
        <w:t>accounting</w:t>
      </w:r>
      <w:r>
        <w:rPr>
          <w:spacing w:val="-7"/>
        </w:rPr>
        <w:t> </w:t>
      </w:r>
      <w:r>
        <w:rPr/>
        <w:t>differences</w:t>
      </w:r>
      <w:r>
        <w:rPr>
          <w:spacing w:val="2"/>
        </w:rPr>
        <w:t> </w:t>
      </w:r>
      <w:r>
        <w:rPr/>
        <w:t>on</w:t>
      </w:r>
      <w:r>
        <w:rPr>
          <w:spacing w:val="-7"/>
        </w:rPr>
        <w:t> </w:t>
      </w:r>
      <w:r>
        <w:rPr/>
        <w:t>the</w:t>
      </w:r>
      <w:r>
        <w:rPr>
          <w:spacing w:val="-5"/>
        </w:rPr>
        <w:t> </w:t>
      </w:r>
      <w:r>
        <w:rPr/>
        <w:t>Amount</w:t>
      </w:r>
      <w:r>
        <w:rPr>
          <w:spacing w:val="-7"/>
        </w:rPr>
        <w:t> </w:t>
      </w:r>
      <w:r>
        <w:rPr/>
        <w:t>A</w:t>
      </w:r>
      <w:r>
        <w:rPr>
          <w:spacing w:val="-7"/>
        </w:rPr>
        <w:t> </w:t>
      </w:r>
      <w:r>
        <w:rPr/>
        <w:t>tax base</w:t>
      </w:r>
      <w:r>
        <w:rPr>
          <w:spacing w:val="-10"/>
        </w:rPr>
        <w:t> </w:t>
      </w:r>
      <w:r>
        <w:rPr/>
        <w:t>over</w:t>
      </w:r>
      <w:r>
        <w:rPr>
          <w:spacing w:val="-6"/>
        </w:rPr>
        <w:t> </w:t>
      </w:r>
      <w:r>
        <w:rPr/>
        <w:t>time,</w:t>
      </w:r>
      <w:r>
        <w:rPr>
          <w:spacing w:val="-9"/>
        </w:rPr>
        <w:t> </w:t>
      </w:r>
      <w:r>
        <w:rPr/>
        <w:t>and</w:t>
      </w:r>
      <w:r>
        <w:rPr>
          <w:spacing w:val="-8"/>
        </w:rPr>
        <w:t> </w:t>
      </w:r>
      <w:r>
        <w:rPr/>
        <w:t>identify</w:t>
      </w:r>
      <w:r>
        <w:rPr>
          <w:spacing w:val="-10"/>
        </w:rPr>
        <w:t> </w:t>
      </w:r>
      <w:r>
        <w:rPr/>
        <w:t>any</w:t>
      </w:r>
      <w:r>
        <w:rPr>
          <w:spacing w:val="-11"/>
        </w:rPr>
        <w:t> </w:t>
      </w:r>
      <w:r>
        <w:rPr/>
        <w:t>material</w:t>
      </w:r>
      <w:r>
        <w:rPr>
          <w:spacing w:val="-8"/>
        </w:rPr>
        <w:t> </w:t>
      </w:r>
      <w:r>
        <w:rPr/>
        <w:t>competitive</w:t>
      </w:r>
      <w:r>
        <w:rPr>
          <w:spacing w:val="-8"/>
        </w:rPr>
        <w:t> </w:t>
      </w:r>
      <w:r>
        <w:rPr/>
        <w:t>distortions</w:t>
      </w:r>
      <w:r>
        <w:rPr>
          <w:spacing w:val="-3"/>
        </w:rPr>
        <w:t> </w:t>
      </w:r>
      <w:r>
        <w:rPr/>
        <w:t>derived</w:t>
      </w:r>
      <w:r>
        <w:rPr>
          <w:spacing w:val="-9"/>
        </w:rPr>
        <w:t> </w:t>
      </w:r>
      <w:r>
        <w:rPr/>
        <w:t>from</w:t>
      </w:r>
      <w:r>
        <w:rPr>
          <w:spacing w:val="-6"/>
        </w:rPr>
        <w:t> </w:t>
      </w:r>
      <w:r>
        <w:rPr/>
        <w:t>existing</w:t>
      </w:r>
      <w:r>
        <w:rPr>
          <w:spacing w:val="-9"/>
        </w:rPr>
        <w:t> </w:t>
      </w:r>
      <w:r>
        <w:rPr/>
        <w:t>or</w:t>
      </w:r>
      <w:r>
        <w:rPr>
          <w:spacing w:val="-7"/>
        </w:rPr>
        <w:t> </w:t>
      </w:r>
      <w:r>
        <w:rPr/>
        <w:t>future</w:t>
      </w:r>
      <w:r>
        <w:rPr>
          <w:spacing w:val="-9"/>
        </w:rPr>
        <w:t> </w:t>
      </w:r>
      <w:r>
        <w:rPr/>
        <w:t>differences across accounting standards that would require specific adjustments. Further technical work will be undertaken to design and explore appropriate</w:t>
      </w:r>
      <w:r>
        <w:rPr>
          <w:spacing w:val="-4"/>
        </w:rPr>
        <w:t> </w:t>
      </w:r>
      <w:r>
        <w:rPr/>
        <w:t>mechanisms.</w:t>
      </w:r>
    </w:p>
    <w:p>
      <w:pPr>
        <w:pStyle w:val="BodyText"/>
        <w:spacing w:before="4"/>
        <w:rPr>
          <w:sz w:val="23"/>
        </w:rPr>
      </w:pPr>
    </w:p>
    <w:p>
      <w:pPr>
        <w:pStyle w:val="ListParagraph"/>
        <w:numPr>
          <w:ilvl w:val="2"/>
          <w:numId w:val="59"/>
        </w:numPr>
        <w:tabs>
          <w:tab w:pos="2015" w:val="left" w:leader="none"/>
        </w:tabs>
        <w:spacing w:line="240" w:lineRule="auto" w:before="0" w:after="0"/>
        <w:ind w:left="2014" w:right="0" w:hanging="613"/>
        <w:jc w:val="left"/>
        <w:rPr>
          <w:b/>
          <w:i/>
          <w:sz w:val="22"/>
        </w:rPr>
      </w:pPr>
      <w:bookmarkStart w:name="5.2.2. The standardised PBT definition" w:id="210"/>
      <w:bookmarkEnd w:id="210"/>
      <w:r>
        <w:rPr/>
      </w:r>
      <w:bookmarkStart w:name="_bookmark30" w:id="211"/>
      <w:bookmarkEnd w:id="211"/>
      <w:r>
        <w:rPr/>
      </w:r>
      <w:bookmarkStart w:name="_bookmark30" w:id="212"/>
      <w:bookmarkEnd w:id="212"/>
      <w:r>
        <w:rPr>
          <w:b/>
          <w:i/>
          <w:sz w:val="22"/>
        </w:rPr>
        <w:t>T</w:t>
      </w:r>
      <w:r>
        <w:rPr>
          <w:b/>
          <w:i/>
          <w:sz w:val="22"/>
        </w:rPr>
        <w:t>he standardised PBT</w:t>
      </w:r>
      <w:r>
        <w:rPr>
          <w:b/>
          <w:i/>
          <w:spacing w:val="-5"/>
          <w:sz w:val="22"/>
        </w:rPr>
        <w:t> </w:t>
      </w:r>
      <w:r>
        <w:rPr>
          <w:b/>
          <w:i/>
          <w:sz w:val="22"/>
        </w:rPr>
        <w:t>definition</w:t>
      </w:r>
    </w:p>
    <w:p>
      <w:pPr>
        <w:pStyle w:val="BodyText"/>
        <w:rPr>
          <w:b/>
          <w:i/>
          <w:sz w:val="19"/>
        </w:rPr>
      </w:pPr>
    </w:p>
    <w:p>
      <w:pPr>
        <w:pStyle w:val="ListParagraph"/>
        <w:numPr>
          <w:ilvl w:val="0"/>
          <w:numId w:val="13"/>
        </w:numPr>
        <w:tabs>
          <w:tab w:pos="1444" w:val="left" w:leader="none"/>
        </w:tabs>
        <w:spacing w:line="271" w:lineRule="auto" w:before="1" w:after="0"/>
        <w:ind w:left="723" w:right="484" w:firstLine="0"/>
        <w:jc w:val="both"/>
        <w:rPr>
          <w:sz w:val="20"/>
        </w:rPr>
      </w:pPr>
      <w:r>
        <w:rPr>
          <w:sz w:val="20"/>
        </w:rPr>
        <w:t>Consistent with the decision to use a standardised PBT figure, the computation of the Amount A tax base will start from the total profit or loss figure from the “profit or loss” (P&amp;L) statement of the MNE group’s consolidated accounts. A number of adjustments will then be applied, including the elimination of income tax expenses, to address potential issues that might otherwise arise given the different objectives of</w:t>
      </w:r>
      <w:r>
        <w:rPr>
          <w:spacing w:val="-12"/>
          <w:sz w:val="20"/>
        </w:rPr>
        <w:t> </w:t>
      </w:r>
      <w:r>
        <w:rPr>
          <w:sz w:val="20"/>
        </w:rPr>
        <w:t>Amount</w:t>
      </w:r>
      <w:r>
        <w:rPr>
          <w:spacing w:val="-14"/>
          <w:sz w:val="20"/>
        </w:rPr>
        <w:t> </w:t>
      </w:r>
      <w:r>
        <w:rPr>
          <w:sz w:val="20"/>
        </w:rPr>
        <w:t>A</w:t>
      </w:r>
      <w:r>
        <w:rPr>
          <w:spacing w:val="-12"/>
          <w:sz w:val="20"/>
        </w:rPr>
        <w:t> </w:t>
      </w:r>
      <w:r>
        <w:rPr>
          <w:sz w:val="20"/>
        </w:rPr>
        <w:t>and</w:t>
      </w:r>
      <w:r>
        <w:rPr>
          <w:spacing w:val="-11"/>
          <w:sz w:val="20"/>
        </w:rPr>
        <w:t> </w:t>
      </w:r>
      <w:r>
        <w:rPr>
          <w:sz w:val="20"/>
        </w:rPr>
        <w:t>accounting</w:t>
      </w:r>
      <w:r>
        <w:rPr>
          <w:spacing w:val="-14"/>
          <w:sz w:val="20"/>
        </w:rPr>
        <w:t> </w:t>
      </w:r>
      <w:r>
        <w:rPr>
          <w:sz w:val="20"/>
        </w:rPr>
        <w:t>rules</w:t>
      </w:r>
      <w:r>
        <w:rPr>
          <w:spacing w:val="-10"/>
          <w:sz w:val="20"/>
        </w:rPr>
        <w:t> </w:t>
      </w:r>
      <w:r>
        <w:rPr>
          <w:sz w:val="20"/>
        </w:rPr>
        <w:t>(i.e.</w:t>
      </w:r>
      <w:r>
        <w:rPr>
          <w:spacing w:val="-13"/>
          <w:sz w:val="20"/>
        </w:rPr>
        <w:t> </w:t>
      </w:r>
      <w:r>
        <w:rPr>
          <w:sz w:val="20"/>
        </w:rPr>
        <w:t>book-to-tax</w:t>
      </w:r>
      <w:r>
        <w:rPr>
          <w:spacing w:val="-13"/>
          <w:sz w:val="20"/>
        </w:rPr>
        <w:t> </w:t>
      </w:r>
      <w:r>
        <w:rPr>
          <w:sz w:val="20"/>
        </w:rPr>
        <w:t>adjustments).</w:t>
      </w:r>
      <w:r>
        <w:rPr>
          <w:spacing w:val="-14"/>
          <w:sz w:val="20"/>
        </w:rPr>
        <w:t> </w:t>
      </w:r>
      <w:r>
        <w:rPr>
          <w:sz w:val="20"/>
        </w:rPr>
        <w:t>These</w:t>
      </w:r>
      <w:r>
        <w:rPr>
          <w:spacing w:val="-13"/>
          <w:sz w:val="20"/>
        </w:rPr>
        <w:t> </w:t>
      </w:r>
      <w:r>
        <w:rPr>
          <w:sz w:val="20"/>
        </w:rPr>
        <w:t>adjustments</w:t>
      </w:r>
      <w:r>
        <w:rPr>
          <w:spacing w:val="-13"/>
          <w:sz w:val="20"/>
        </w:rPr>
        <w:t> </w:t>
      </w:r>
      <w:r>
        <w:rPr>
          <w:sz w:val="20"/>
        </w:rPr>
        <w:t>will</w:t>
      </w:r>
      <w:r>
        <w:rPr>
          <w:spacing w:val="-13"/>
          <w:sz w:val="20"/>
        </w:rPr>
        <w:t> </w:t>
      </w:r>
      <w:r>
        <w:rPr>
          <w:sz w:val="20"/>
        </w:rPr>
        <w:t>be</w:t>
      </w:r>
      <w:r>
        <w:rPr>
          <w:spacing w:val="-14"/>
          <w:sz w:val="20"/>
        </w:rPr>
        <w:t> </w:t>
      </w:r>
      <w:r>
        <w:rPr>
          <w:sz w:val="20"/>
        </w:rPr>
        <w:t>consistent</w:t>
      </w:r>
      <w:r>
        <w:rPr>
          <w:spacing w:val="-9"/>
          <w:sz w:val="20"/>
        </w:rPr>
        <w:t> </w:t>
      </w:r>
      <w:r>
        <w:rPr>
          <w:sz w:val="20"/>
        </w:rPr>
        <w:t>with the approach adopted under Pillar Two, except potentially for income derived from joint ventures and interest</w:t>
      </w:r>
      <w:r>
        <w:rPr>
          <w:spacing w:val="-13"/>
          <w:sz w:val="20"/>
        </w:rPr>
        <w:t> </w:t>
      </w:r>
      <w:r>
        <w:rPr>
          <w:sz w:val="20"/>
        </w:rPr>
        <w:t>expenses</w:t>
      </w:r>
      <w:r>
        <w:rPr>
          <w:spacing w:val="-11"/>
          <w:sz w:val="20"/>
        </w:rPr>
        <w:t> </w:t>
      </w:r>
      <w:r>
        <w:rPr>
          <w:sz w:val="20"/>
        </w:rPr>
        <w:t>from</w:t>
      </w:r>
      <w:r>
        <w:rPr>
          <w:spacing w:val="-8"/>
          <w:sz w:val="20"/>
        </w:rPr>
        <w:t> </w:t>
      </w:r>
      <w:r>
        <w:rPr>
          <w:sz w:val="20"/>
        </w:rPr>
        <w:t>transactions</w:t>
      </w:r>
      <w:r>
        <w:rPr>
          <w:spacing w:val="-10"/>
          <w:sz w:val="20"/>
        </w:rPr>
        <w:t> </w:t>
      </w:r>
      <w:r>
        <w:rPr>
          <w:sz w:val="20"/>
        </w:rPr>
        <w:t>with</w:t>
      </w:r>
      <w:r>
        <w:rPr>
          <w:spacing w:val="-13"/>
          <w:sz w:val="20"/>
        </w:rPr>
        <w:t> </w:t>
      </w:r>
      <w:r>
        <w:rPr>
          <w:sz w:val="20"/>
        </w:rPr>
        <w:t>related</w:t>
      </w:r>
      <w:r>
        <w:rPr>
          <w:spacing w:val="-10"/>
          <w:sz w:val="20"/>
        </w:rPr>
        <w:t> </w:t>
      </w:r>
      <w:r>
        <w:rPr>
          <w:sz w:val="20"/>
        </w:rPr>
        <w:t>parties</w:t>
      </w:r>
      <w:r>
        <w:rPr>
          <w:spacing w:val="-12"/>
          <w:sz w:val="20"/>
        </w:rPr>
        <w:t> </w:t>
      </w:r>
      <w:r>
        <w:rPr>
          <w:sz w:val="20"/>
        </w:rPr>
        <w:t>that</w:t>
      </w:r>
      <w:r>
        <w:rPr>
          <w:spacing w:val="-12"/>
          <w:sz w:val="20"/>
        </w:rPr>
        <w:t> </w:t>
      </w:r>
      <w:r>
        <w:rPr>
          <w:sz w:val="20"/>
        </w:rPr>
        <w:t>do</w:t>
      </w:r>
      <w:r>
        <w:rPr>
          <w:spacing w:val="-10"/>
          <w:sz w:val="20"/>
        </w:rPr>
        <w:t> </w:t>
      </w:r>
      <w:r>
        <w:rPr>
          <w:sz w:val="20"/>
        </w:rPr>
        <w:t>not</w:t>
      </w:r>
      <w:r>
        <w:rPr>
          <w:spacing w:val="-12"/>
          <w:sz w:val="20"/>
        </w:rPr>
        <w:t> </w:t>
      </w:r>
      <w:r>
        <w:rPr>
          <w:sz w:val="20"/>
        </w:rPr>
        <w:t>belong</w:t>
      </w:r>
      <w:r>
        <w:rPr>
          <w:spacing w:val="-13"/>
          <w:sz w:val="20"/>
        </w:rPr>
        <w:t> </w:t>
      </w:r>
      <w:r>
        <w:rPr>
          <w:sz w:val="20"/>
        </w:rPr>
        <w:t>to</w:t>
      </w:r>
      <w:r>
        <w:rPr>
          <w:spacing w:val="-14"/>
          <w:sz w:val="20"/>
        </w:rPr>
        <w:t> </w:t>
      </w:r>
      <w:r>
        <w:rPr>
          <w:sz w:val="20"/>
        </w:rPr>
        <w:t>the</w:t>
      </w:r>
      <w:r>
        <w:rPr>
          <w:spacing w:val="-13"/>
          <w:sz w:val="20"/>
        </w:rPr>
        <w:t> </w:t>
      </w:r>
      <w:r>
        <w:rPr>
          <w:sz w:val="20"/>
        </w:rPr>
        <w:t>consolidated</w:t>
      </w:r>
      <w:r>
        <w:rPr>
          <w:spacing w:val="-13"/>
          <w:sz w:val="20"/>
        </w:rPr>
        <w:t> </w:t>
      </w:r>
      <w:r>
        <w:rPr>
          <w:sz w:val="20"/>
        </w:rPr>
        <w:t>group</w:t>
      </w:r>
      <w:r>
        <w:rPr>
          <w:spacing w:val="-13"/>
          <w:sz w:val="20"/>
        </w:rPr>
        <w:t> </w:t>
      </w:r>
      <w:r>
        <w:rPr>
          <w:sz w:val="20"/>
        </w:rPr>
        <w:t>under the relevant accounting standard (e.g. investment</w:t>
      </w:r>
      <w:r>
        <w:rPr>
          <w:spacing w:val="-3"/>
          <w:sz w:val="20"/>
        </w:rPr>
        <w:t> </w:t>
      </w:r>
      <w:r>
        <w:rPr>
          <w:sz w:val="20"/>
        </w:rPr>
        <w:t>entities).</w:t>
      </w:r>
    </w:p>
    <w:p>
      <w:pPr>
        <w:pStyle w:val="BodyText"/>
      </w:pPr>
    </w:p>
    <w:p>
      <w:pPr>
        <w:pStyle w:val="Heading7"/>
        <w:spacing w:before="1"/>
        <w:rPr>
          <w:i/>
        </w:rPr>
      </w:pPr>
      <w:bookmarkStart w:name="PBT as the selected measure of profit" w:id="213"/>
      <w:bookmarkEnd w:id="213"/>
      <w:r>
        <w:rPr>
          <w:i w:val="0"/>
        </w:rPr>
      </w:r>
      <w:r>
        <w:rPr>
          <w:i/>
          <w:color w:val="616161"/>
        </w:rPr>
        <w:t>PBT as the selected measure of profit</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2" w:firstLine="0"/>
        <w:jc w:val="both"/>
        <w:rPr>
          <w:sz w:val="20"/>
        </w:rPr>
      </w:pPr>
      <w:r>
        <w:rPr>
          <w:sz w:val="20"/>
        </w:rPr>
        <w:t>A</w:t>
      </w:r>
      <w:r>
        <w:rPr>
          <w:spacing w:val="-17"/>
          <w:sz w:val="20"/>
        </w:rPr>
        <w:t> </w:t>
      </w:r>
      <w:r>
        <w:rPr>
          <w:sz w:val="20"/>
        </w:rPr>
        <w:t>PBT</w:t>
      </w:r>
      <w:r>
        <w:rPr>
          <w:spacing w:val="-14"/>
          <w:sz w:val="20"/>
        </w:rPr>
        <w:t> </w:t>
      </w:r>
      <w:r>
        <w:rPr>
          <w:sz w:val="20"/>
        </w:rPr>
        <w:t>measure</w:t>
      </w:r>
      <w:r>
        <w:rPr>
          <w:spacing w:val="-16"/>
          <w:sz w:val="20"/>
        </w:rPr>
        <w:t> </w:t>
      </w:r>
      <w:r>
        <w:rPr>
          <w:sz w:val="20"/>
        </w:rPr>
        <w:t>will</w:t>
      </w:r>
      <w:r>
        <w:rPr>
          <w:spacing w:val="-16"/>
          <w:sz w:val="20"/>
        </w:rPr>
        <w:t> </w:t>
      </w:r>
      <w:r>
        <w:rPr>
          <w:sz w:val="20"/>
        </w:rPr>
        <w:t>be</w:t>
      </w:r>
      <w:r>
        <w:rPr>
          <w:spacing w:val="-16"/>
          <w:sz w:val="20"/>
        </w:rPr>
        <w:t> </w:t>
      </w:r>
      <w:r>
        <w:rPr>
          <w:sz w:val="20"/>
        </w:rPr>
        <w:t>used</w:t>
      </w:r>
      <w:r>
        <w:rPr>
          <w:spacing w:val="-16"/>
          <w:sz w:val="20"/>
        </w:rPr>
        <w:t> </w:t>
      </w:r>
      <w:r>
        <w:rPr>
          <w:sz w:val="20"/>
        </w:rPr>
        <w:t>as</w:t>
      </w:r>
      <w:r>
        <w:rPr>
          <w:spacing w:val="-15"/>
          <w:sz w:val="20"/>
        </w:rPr>
        <w:t> </w:t>
      </w:r>
      <w:r>
        <w:rPr>
          <w:sz w:val="20"/>
        </w:rPr>
        <w:t>the</w:t>
      </w:r>
      <w:r>
        <w:rPr>
          <w:spacing w:val="-16"/>
          <w:sz w:val="20"/>
        </w:rPr>
        <w:t> </w:t>
      </w:r>
      <w:r>
        <w:rPr>
          <w:sz w:val="20"/>
        </w:rPr>
        <w:t>basis</w:t>
      </w:r>
      <w:r>
        <w:rPr>
          <w:spacing w:val="-16"/>
          <w:sz w:val="20"/>
        </w:rPr>
        <w:t> </w:t>
      </w:r>
      <w:r>
        <w:rPr>
          <w:sz w:val="20"/>
        </w:rPr>
        <w:t>for</w:t>
      </w:r>
      <w:r>
        <w:rPr>
          <w:spacing w:val="-17"/>
          <w:sz w:val="20"/>
        </w:rPr>
        <w:t> </w:t>
      </w:r>
      <w:r>
        <w:rPr>
          <w:sz w:val="20"/>
        </w:rPr>
        <w:t>determining</w:t>
      </w:r>
      <w:r>
        <w:rPr>
          <w:spacing w:val="-16"/>
          <w:sz w:val="20"/>
        </w:rPr>
        <w:t> </w:t>
      </w:r>
      <w:r>
        <w:rPr>
          <w:sz w:val="20"/>
        </w:rPr>
        <w:t>Amount</w:t>
      </w:r>
      <w:r>
        <w:rPr>
          <w:spacing w:val="-16"/>
          <w:sz w:val="20"/>
        </w:rPr>
        <w:t> </w:t>
      </w:r>
      <w:r>
        <w:rPr>
          <w:sz w:val="20"/>
        </w:rPr>
        <w:t>A</w:t>
      </w:r>
      <w:r>
        <w:rPr>
          <w:spacing w:val="-14"/>
          <w:sz w:val="20"/>
        </w:rPr>
        <w:t> </w:t>
      </w:r>
      <w:r>
        <w:rPr>
          <w:sz w:val="20"/>
        </w:rPr>
        <w:t>as</w:t>
      </w:r>
      <w:r>
        <w:rPr>
          <w:spacing w:val="-15"/>
          <w:sz w:val="20"/>
        </w:rPr>
        <w:t> </w:t>
      </w:r>
      <w:r>
        <w:rPr>
          <w:sz w:val="20"/>
        </w:rPr>
        <w:t>it</w:t>
      </w:r>
      <w:r>
        <w:rPr>
          <w:spacing w:val="-15"/>
          <w:sz w:val="20"/>
        </w:rPr>
        <w:t> </w:t>
      </w:r>
      <w:r>
        <w:rPr>
          <w:sz w:val="20"/>
        </w:rPr>
        <w:t>approximates</w:t>
      </w:r>
      <w:r>
        <w:rPr>
          <w:spacing w:val="-17"/>
          <w:sz w:val="20"/>
        </w:rPr>
        <w:t> </w:t>
      </w:r>
      <w:r>
        <w:rPr>
          <w:sz w:val="20"/>
        </w:rPr>
        <w:t>the</w:t>
      </w:r>
      <w:r>
        <w:rPr>
          <w:spacing w:val="-16"/>
          <w:sz w:val="20"/>
        </w:rPr>
        <w:t> </w:t>
      </w:r>
      <w:r>
        <w:rPr>
          <w:sz w:val="20"/>
        </w:rPr>
        <w:t>measure of profit on which CIT is normally levied. Profit before tax is a comprehensive figure that generally comprises all income and expenses of an MNE group except the income tax expenses. It takes into account</w:t>
      </w:r>
      <w:r>
        <w:rPr>
          <w:spacing w:val="-6"/>
          <w:sz w:val="20"/>
        </w:rPr>
        <w:t> </w:t>
      </w:r>
      <w:r>
        <w:rPr>
          <w:sz w:val="20"/>
        </w:rPr>
        <w:t>all</w:t>
      </w:r>
      <w:r>
        <w:rPr>
          <w:spacing w:val="-5"/>
          <w:sz w:val="20"/>
        </w:rPr>
        <w:t> </w:t>
      </w:r>
      <w:r>
        <w:rPr>
          <w:sz w:val="20"/>
        </w:rPr>
        <w:t>the</w:t>
      </w:r>
      <w:r>
        <w:rPr>
          <w:spacing w:val="-6"/>
          <w:sz w:val="20"/>
        </w:rPr>
        <w:t> </w:t>
      </w:r>
      <w:r>
        <w:rPr>
          <w:sz w:val="20"/>
        </w:rPr>
        <w:t>real</w:t>
      </w:r>
      <w:r>
        <w:rPr>
          <w:spacing w:val="-3"/>
          <w:sz w:val="20"/>
        </w:rPr>
        <w:t> </w:t>
      </w:r>
      <w:r>
        <w:rPr>
          <w:sz w:val="20"/>
        </w:rPr>
        <w:t>costs</w:t>
      </w:r>
      <w:r>
        <w:rPr>
          <w:spacing w:val="-4"/>
          <w:sz w:val="20"/>
        </w:rPr>
        <w:t> </w:t>
      </w:r>
      <w:r>
        <w:rPr>
          <w:sz w:val="20"/>
        </w:rPr>
        <w:t>of</w:t>
      </w:r>
      <w:r>
        <w:rPr>
          <w:spacing w:val="-2"/>
          <w:sz w:val="20"/>
        </w:rPr>
        <w:t> </w:t>
      </w:r>
      <w:r>
        <w:rPr>
          <w:sz w:val="20"/>
        </w:rPr>
        <w:t>doing</w:t>
      </w:r>
      <w:r>
        <w:rPr>
          <w:spacing w:val="-5"/>
          <w:sz w:val="20"/>
        </w:rPr>
        <w:t> </w:t>
      </w:r>
      <w:r>
        <w:rPr>
          <w:sz w:val="20"/>
        </w:rPr>
        <w:t>business,</w:t>
      </w:r>
      <w:r>
        <w:rPr>
          <w:spacing w:val="-4"/>
          <w:sz w:val="20"/>
        </w:rPr>
        <w:t> </w:t>
      </w:r>
      <w:r>
        <w:rPr>
          <w:sz w:val="20"/>
        </w:rPr>
        <w:t>both</w:t>
      </w:r>
      <w:r>
        <w:rPr>
          <w:spacing w:val="-5"/>
          <w:sz w:val="20"/>
        </w:rPr>
        <w:t> </w:t>
      </w:r>
      <w:r>
        <w:rPr>
          <w:sz w:val="20"/>
        </w:rPr>
        <w:t>operating</w:t>
      </w:r>
      <w:r>
        <w:rPr>
          <w:spacing w:val="-4"/>
          <w:sz w:val="20"/>
        </w:rPr>
        <w:t> </w:t>
      </w:r>
      <w:r>
        <w:rPr>
          <w:sz w:val="20"/>
        </w:rPr>
        <w:t>and</w:t>
      </w:r>
      <w:r>
        <w:rPr>
          <w:spacing w:val="-2"/>
          <w:sz w:val="20"/>
        </w:rPr>
        <w:t> </w:t>
      </w:r>
      <w:r>
        <w:rPr>
          <w:sz w:val="20"/>
        </w:rPr>
        <w:t>non-operating</w:t>
      </w:r>
      <w:r>
        <w:rPr>
          <w:spacing w:val="-5"/>
          <w:sz w:val="20"/>
        </w:rPr>
        <w:t> </w:t>
      </w:r>
      <w:r>
        <w:rPr>
          <w:sz w:val="20"/>
        </w:rPr>
        <w:t>expenses</w:t>
      </w:r>
      <w:r>
        <w:rPr>
          <w:spacing w:val="-1"/>
          <w:sz w:val="20"/>
        </w:rPr>
        <w:t> </w:t>
      </w:r>
      <w:r>
        <w:rPr>
          <w:sz w:val="20"/>
        </w:rPr>
        <w:t>(such</w:t>
      </w:r>
      <w:r>
        <w:rPr>
          <w:spacing w:val="-5"/>
          <w:sz w:val="20"/>
        </w:rPr>
        <w:t> </w:t>
      </w:r>
      <w:r>
        <w:rPr>
          <w:sz w:val="20"/>
        </w:rPr>
        <w:t>as</w:t>
      </w:r>
      <w:r>
        <w:rPr>
          <w:spacing w:val="-3"/>
          <w:sz w:val="20"/>
        </w:rPr>
        <w:t> </w:t>
      </w:r>
      <w:r>
        <w:rPr>
          <w:sz w:val="20"/>
        </w:rPr>
        <w:t>finance costs), and is unaffected by the classification of specific items in different sections of the “profit or loss” statement. This makes it the most appropriate metric for use in the calculation of Amount A. Further, its resemblance to the existing CIT base has the advantage of minimising the risk of determining profit for Amount A purposes that is substantially different from the aggregated taxable profit reported by the members of the group under existing</w:t>
      </w:r>
      <w:r>
        <w:rPr>
          <w:spacing w:val="-1"/>
          <w:sz w:val="20"/>
        </w:rPr>
        <w:t> </w:t>
      </w:r>
      <w:r>
        <w:rPr>
          <w:sz w:val="20"/>
        </w:rPr>
        <w:t>rules.</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PBT is not defined in most GAAP, which typically provide guidance on how various income and expense items should be recognised for accounting purposes. This means that MNE groups have some discretion over which items to include in PBT, and the development for Amount A purposes of a standardised definition (with adjustments) will be necessary to ensure a consistent computation of the tax base across all in-scope groups, which is discussed in the next</w:t>
      </w:r>
      <w:r>
        <w:rPr>
          <w:spacing w:val="7"/>
          <w:sz w:val="20"/>
        </w:rPr>
        <w:t> </w:t>
      </w:r>
      <w:r>
        <w:rPr>
          <w:sz w:val="20"/>
        </w:rPr>
        <w:t>section.</w:t>
      </w:r>
    </w:p>
    <w:p>
      <w:pPr>
        <w:pStyle w:val="BodyText"/>
        <w:spacing w:before="2"/>
      </w:pPr>
    </w:p>
    <w:p>
      <w:pPr>
        <w:pStyle w:val="Heading7"/>
        <w:rPr>
          <w:i/>
        </w:rPr>
      </w:pPr>
      <w:bookmarkStart w:name="The determination of a standardised PBT " w:id="214"/>
      <w:bookmarkEnd w:id="214"/>
      <w:r>
        <w:rPr>
          <w:i w:val="0"/>
        </w:rPr>
      </w:r>
      <w:r>
        <w:rPr>
          <w:i/>
          <w:color w:val="616161"/>
        </w:rPr>
        <w:t>The determination of a standardised PBT measure</w:t>
      </w:r>
    </w:p>
    <w:p>
      <w:pPr>
        <w:pStyle w:val="ListParagraph"/>
        <w:numPr>
          <w:ilvl w:val="0"/>
          <w:numId w:val="13"/>
        </w:numPr>
        <w:tabs>
          <w:tab w:pos="1444" w:val="left" w:leader="none"/>
        </w:tabs>
        <w:spacing w:line="273" w:lineRule="auto" w:before="210" w:after="0"/>
        <w:ind w:left="723" w:right="484" w:firstLine="0"/>
        <w:jc w:val="both"/>
        <w:rPr>
          <w:sz w:val="20"/>
        </w:rPr>
      </w:pPr>
      <w:r>
        <w:rPr>
          <w:sz w:val="20"/>
        </w:rPr>
        <w:t>As a starting point, all items within the consolidated P&amp;L statement</w:t>
      </w:r>
      <w:r>
        <w:rPr>
          <w:sz w:val="20"/>
          <w:vertAlign w:val="superscript"/>
        </w:rPr>
        <w:t>69</w:t>
      </w:r>
      <w:r>
        <w:rPr>
          <w:sz w:val="20"/>
          <w:vertAlign w:val="baseline"/>
        </w:rPr>
        <w:t> will be taken into consideration.</w:t>
      </w:r>
      <w:r>
        <w:rPr>
          <w:spacing w:val="-24"/>
          <w:sz w:val="20"/>
          <w:vertAlign w:val="baseline"/>
        </w:rPr>
        <w:t> </w:t>
      </w:r>
      <w:r>
        <w:rPr>
          <w:sz w:val="20"/>
          <w:vertAlign w:val="superscript"/>
        </w:rPr>
        <w:t>70</w:t>
      </w:r>
      <w:r>
        <w:rPr>
          <w:spacing w:val="-13"/>
          <w:sz w:val="20"/>
          <w:vertAlign w:val="baseline"/>
        </w:rPr>
        <w:t> </w:t>
      </w:r>
      <w:r>
        <w:rPr>
          <w:sz w:val="20"/>
          <w:vertAlign w:val="baseline"/>
        </w:rPr>
        <w:t>This</w:t>
      </w:r>
      <w:r>
        <w:rPr>
          <w:spacing w:val="-11"/>
          <w:sz w:val="20"/>
          <w:vertAlign w:val="baseline"/>
        </w:rPr>
        <w:t> </w:t>
      </w:r>
      <w:r>
        <w:rPr>
          <w:sz w:val="20"/>
          <w:vertAlign w:val="baseline"/>
        </w:rPr>
        <w:t>means</w:t>
      </w:r>
      <w:r>
        <w:rPr>
          <w:spacing w:val="-12"/>
          <w:sz w:val="20"/>
          <w:vertAlign w:val="baseline"/>
        </w:rPr>
        <w:t> </w:t>
      </w:r>
      <w:r>
        <w:rPr>
          <w:sz w:val="20"/>
          <w:vertAlign w:val="baseline"/>
        </w:rPr>
        <w:t>the</w:t>
      </w:r>
      <w:r>
        <w:rPr>
          <w:spacing w:val="-13"/>
          <w:sz w:val="20"/>
          <w:vertAlign w:val="baseline"/>
        </w:rPr>
        <w:t> </w:t>
      </w:r>
      <w:r>
        <w:rPr>
          <w:sz w:val="20"/>
          <w:vertAlign w:val="baseline"/>
        </w:rPr>
        <w:t>computation</w:t>
      </w:r>
      <w:r>
        <w:rPr>
          <w:spacing w:val="-13"/>
          <w:sz w:val="20"/>
          <w:vertAlign w:val="baseline"/>
        </w:rPr>
        <w:t> </w:t>
      </w:r>
      <w:r>
        <w:rPr>
          <w:sz w:val="20"/>
          <w:vertAlign w:val="baseline"/>
        </w:rPr>
        <w:t>of</w:t>
      </w:r>
      <w:r>
        <w:rPr>
          <w:spacing w:val="-10"/>
          <w:sz w:val="20"/>
          <w:vertAlign w:val="baseline"/>
        </w:rPr>
        <w:t> </w:t>
      </w:r>
      <w:r>
        <w:rPr>
          <w:sz w:val="20"/>
          <w:vertAlign w:val="baseline"/>
        </w:rPr>
        <w:t>the</w:t>
      </w:r>
      <w:r>
        <w:rPr>
          <w:spacing w:val="-13"/>
          <w:sz w:val="20"/>
          <w:vertAlign w:val="baseline"/>
        </w:rPr>
        <w:t> </w:t>
      </w:r>
      <w:r>
        <w:rPr>
          <w:sz w:val="20"/>
          <w:vertAlign w:val="baseline"/>
        </w:rPr>
        <w:t>Amount</w:t>
      </w:r>
      <w:r>
        <w:rPr>
          <w:spacing w:val="-11"/>
          <w:sz w:val="20"/>
          <w:vertAlign w:val="baseline"/>
        </w:rPr>
        <w:t> </w:t>
      </w:r>
      <w:r>
        <w:rPr>
          <w:sz w:val="20"/>
          <w:vertAlign w:val="baseline"/>
        </w:rPr>
        <w:t>A</w:t>
      </w:r>
      <w:r>
        <w:rPr>
          <w:spacing w:val="-12"/>
          <w:sz w:val="20"/>
          <w:vertAlign w:val="baseline"/>
        </w:rPr>
        <w:t> </w:t>
      </w:r>
      <w:r>
        <w:rPr>
          <w:sz w:val="20"/>
          <w:vertAlign w:val="baseline"/>
        </w:rPr>
        <w:t>tax</w:t>
      </w:r>
      <w:r>
        <w:rPr>
          <w:spacing w:val="-10"/>
          <w:sz w:val="20"/>
          <w:vertAlign w:val="baseline"/>
        </w:rPr>
        <w:t> </w:t>
      </w:r>
      <w:r>
        <w:rPr>
          <w:sz w:val="20"/>
          <w:vertAlign w:val="baseline"/>
        </w:rPr>
        <w:t>base</w:t>
      </w:r>
      <w:r>
        <w:rPr>
          <w:spacing w:val="-10"/>
          <w:sz w:val="20"/>
          <w:vertAlign w:val="baseline"/>
        </w:rPr>
        <w:t> </w:t>
      </w:r>
      <w:r>
        <w:rPr>
          <w:sz w:val="20"/>
          <w:vertAlign w:val="baseline"/>
        </w:rPr>
        <w:t>will</w:t>
      </w:r>
      <w:r>
        <w:rPr>
          <w:spacing w:val="-13"/>
          <w:sz w:val="20"/>
          <w:vertAlign w:val="baseline"/>
        </w:rPr>
        <w:t> </w:t>
      </w:r>
      <w:r>
        <w:rPr>
          <w:sz w:val="20"/>
          <w:vertAlign w:val="baseline"/>
        </w:rPr>
        <w:t>start</w:t>
      </w:r>
      <w:r>
        <w:rPr>
          <w:spacing w:val="-12"/>
          <w:sz w:val="20"/>
          <w:vertAlign w:val="baseline"/>
        </w:rPr>
        <w:t> </w:t>
      </w:r>
      <w:r>
        <w:rPr>
          <w:sz w:val="20"/>
          <w:vertAlign w:val="baseline"/>
        </w:rPr>
        <w:t>from</w:t>
      </w:r>
      <w:r>
        <w:rPr>
          <w:spacing w:val="-11"/>
          <w:sz w:val="20"/>
          <w:vertAlign w:val="baseline"/>
        </w:rPr>
        <w:t> </w:t>
      </w:r>
      <w:r>
        <w:rPr>
          <w:sz w:val="20"/>
          <w:vertAlign w:val="baseline"/>
        </w:rPr>
        <w:t>the</w:t>
      </w:r>
      <w:r>
        <w:rPr>
          <w:spacing w:val="-11"/>
          <w:sz w:val="20"/>
          <w:vertAlign w:val="baseline"/>
        </w:rPr>
        <w:t> </w:t>
      </w:r>
      <w:r>
        <w:rPr>
          <w:sz w:val="20"/>
          <w:vertAlign w:val="baseline"/>
        </w:rPr>
        <w:t>bottom</w:t>
      </w:r>
      <w:r>
        <w:rPr>
          <w:spacing w:val="-8"/>
          <w:sz w:val="20"/>
          <w:vertAlign w:val="baseline"/>
        </w:rPr>
        <w:t> </w:t>
      </w:r>
      <w:r>
        <w:rPr>
          <w:sz w:val="20"/>
          <w:vertAlign w:val="baseline"/>
        </w:rPr>
        <w:t>line</w:t>
      </w:r>
      <w:r>
        <w:rPr>
          <w:spacing w:val="-12"/>
          <w:sz w:val="20"/>
          <w:vertAlign w:val="baseline"/>
        </w:rPr>
        <w:t> </w:t>
      </w:r>
      <w:r>
        <w:rPr>
          <w:sz w:val="20"/>
          <w:vertAlign w:val="baseline"/>
        </w:rPr>
        <w:t>figure</w:t>
      </w:r>
    </w:p>
    <w:p>
      <w:pPr>
        <w:pStyle w:val="BodyText"/>
        <w:spacing w:before="5"/>
        <w:rPr>
          <w:sz w:val="18"/>
        </w:rPr>
      </w:pPr>
      <w:r>
        <w:rPr/>
        <w:pict>
          <v:rect style="position:absolute;margin-left:65.183998pt;margin-top:12.580264pt;width:144.020004pt;height:.60004pt;mso-position-horizontal-relative:page;mso-position-vertical-relative:paragraph;z-index:-1566873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74" w:val="left" w:leader="none"/>
        </w:tabs>
        <w:spacing w:line="278" w:lineRule="auto" w:before="94" w:after="0"/>
        <w:ind w:left="723" w:right="480" w:firstLine="0"/>
        <w:jc w:val="both"/>
        <w:rPr>
          <w:sz w:val="18"/>
        </w:rPr>
      </w:pPr>
      <w:r>
        <w:rPr>
          <w:sz w:val="18"/>
        </w:rPr>
        <w:t>The statement of “profit or loss” is one of the five inter-related statements that comprise an MNE group’s consolidated</w:t>
      </w:r>
      <w:r>
        <w:rPr>
          <w:spacing w:val="-6"/>
          <w:sz w:val="18"/>
        </w:rPr>
        <w:t> </w:t>
      </w:r>
      <w:r>
        <w:rPr>
          <w:sz w:val="18"/>
        </w:rPr>
        <w:t>financial</w:t>
      </w:r>
      <w:r>
        <w:rPr>
          <w:spacing w:val="-6"/>
          <w:sz w:val="18"/>
        </w:rPr>
        <w:t> </w:t>
      </w:r>
      <w:r>
        <w:rPr>
          <w:sz w:val="18"/>
        </w:rPr>
        <w:t>accounts.</w:t>
      </w:r>
      <w:r>
        <w:rPr>
          <w:spacing w:val="-7"/>
          <w:sz w:val="18"/>
        </w:rPr>
        <w:t> </w:t>
      </w:r>
      <w:r>
        <w:rPr>
          <w:sz w:val="18"/>
        </w:rPr>
        <w:t>It</w:t>
      </w:r>
      <w:r>
        <w:rPr>
          <w:spacing w:val="-9"/>
          <w:sz w:val="18"/>
        </w:rPr>
        <w:t> </w:t>
      </w:r>
      <w:r>
        <w:rPr>
          <w:sz w:val="18"/>
        </w:rPr>
        <w:t>contains</w:t>
      </w:r>
      <w:r>
        <w:rPr>
          <w:spacing w:val="-7"/>
          <w:sz w:val="18"/>
        </w:rPr>
        <w:t> </w:t>
      </w:r>
      <w:r>
        <w:rPr>
          <w:sz w:val="18"/>
        </w:rPr>
        <w:t>at</w:t>
      </w:r>
      <w:r>
        <w:rPr>
          <w:spacing w:val="-7"/>
          <w:sz w:val="18"/>
        </w:rPr>
        <w:t> </w:t>
      </w:r>
      <w:r>
        <w:rPr>
          <w:sz w:val="18"/>
        </w:rPr>
        <w:t>the</w:t>
      </w:r>
      <w:r>
        <w:rPr>
          <w:spacing w:val="-9"/>
          <w:sz w:val="18"/>
        </w:rPr>
        <w:t> </w:t>
      </w:r>
      <w:r>
        <w:rPr>
          <w:sz w:val="18"/>
        </w:rPr>
        <w:t>bottom</w:t>
      </w:r>
      <w:r>
        <w:rPr>
          <w:spacing w:val="-6"/>
          <w:sz w:val="18"/>
        </w:rPr>
        <w:t> </w:t>
      </w:r>
      <w:r>
        <w:rPr>
          <w:sz w:val="18"/>
        </w:rPr>
        <w:t>a</w:t>
      </w:r>
      <w:r>
        <w:rPr>
          <w:spacing w:val="-9"/>
          <w:sz w:val="18"/>
        </w:rPr>
        <w:t> </w:t>
      </w:r>
      <w:r>
        <w:rPr>
          <w:sz w:val="18"/>
        </w:rPr>
        <w:t>total</w:t>
      </w:r>
      <w:r>
        <w:rPr>
          <w:spacing w:val="-5"/>
          <w:sz w:val="18"/>
        </w:rPr>
        <w:t> </w:t>
      </w:r>
      <w:r>
        <w:rPr>
          <w:sz w:val="18"/>
        </w:rPr>
        <w:t>for</w:t>
      </w:r>
      <w:r>
        <w:rPr>
          <w:spacing w:val="-7"/>
          <w:sz w:val="18"/>
        </w:rPr>
        <w:t> </w:t>
      </w:r>
      <w:r>
        <w:rPr>
          <w:sz w:val="18"/>
        </w:rPr>
        <w:t>“profit</w:t>
      </w:r>
      <w:r>
        <w:rPr>
          <w:spacing w:val="-9"/>
          <w:sz w:val="18"/>
        </w:rPr>
        <w:t> </w:t>
      </w:r>
      <w:r>
        <w:rPr>
          <w:sz w:val="18"/>
        </w:rPr>
        <w:t>or</w:t>
      </w:r>
      <w:r>
        <w:rPr>
          <w:spacing w:val="-7"/>
          <w:sz w:val="18"/>
        </w:rPr>
        <w:t> </w:t>
      </w:r>
      <w:r>
        <w:rPr>
          <w:sz w:val="18"/>
        </w:rPr>
        <w:t>loss”</w:t>
      </w:r>
      <w:r>
        <w:rPr>
          <w:spacing w:val="-7"/>
          <w:sz w:val="18"/>
        </w:rPr>
        <w:t> </w:t>
      </w:r>
      <w:r>
        <w:rPr>
          <w:sz w:val="18"/>
        </w:rPr>
        <w:t>that</w:t>
      </w:r>
      <w:r>
        <w:rPr>
          <w:spacing w:val="-6"/>
          <w:sz w:val="18"/>
        </w:rPr>
        <w:t> </w:t>
      </w:r>
      <w:r>
        <w:rPr>
          <w:sz w:val="18"/>
        </w:rPr>
        <w:t>includes,</w:t>
      </w:r>
      <w:r>
        <w:rPr>
          <w:spacing w:val="-9"/>
          <w:sz w:val="18"/>
        </w:rPr>
        <w:t> </w:t>
      </w:r>
      <w:r>
        <w:rPr>
          <w:sz w:val="18"/>
        </w:rPr>
        <w:t>in</w:t>
      </w:r>
      <w:r>
        <w:rPr>
          <w:spacing w:val="-6"/>
          <w:sz w:val="18"/>
        </w:rPr>
        <w:t> </w:t>
      </w:r>
      <w:r>
        <w:rPr>
          <w:sz w:val="18"/>
        </w:rPr>
        <w:t>principle,</w:t>
      </w:r>
      <w:r>
        <w:rPr>
          <w:spacing w:val="-9"/>
          <w:sz w:val="18"/>
        </w:rPr>
        <w:t> </w:t>
      </w:r>
      <w:r>
        <w:rPr>
          <w:sz w:val="18"/>
        </w:rPr>
        <w:t>all</w:t>
      </w:r>
      <w:r>
        <w:rPr>
          <w:spacing w:val="-8"/>
          <w:sz w:val="18"/>
        </w:rPr>
        <w:t> </w:t>
      </w:r>
      <w:r>
        <w:rPr>
          <w:sz w:val="18"/>
        </w:rPr>
        <w:t>income and expenses of an MNE group for a given period. The only exception being income and expenses presented in the “other comprehensive income”</w:t>
      </w:r>
      <w:r>
        <w:rPr>
          <w:spacing w:val="-6"/>
          <w:sz w:val="18"/>
        </w:rPr>
        <w:t> </w:t>
      </w:r>
      <w:r>
        <w:rPr>
          <w:sz w:val="18"/>
        </w:rPr>
        <w:t>statement.</w:t>
      </w:r>
    </w:p>
    <w:p>
      <w:pPr>
        <w:pStyle w:val="ListParagraph"/>
        <w:numPr>
          <w:ilvl w:val="0"/>
          <w:numId w:val="14"/>
        </w:numPr>
        <w:tabs>
          <w:tab w:pos="935" w:val="left" w:leader="none"/>
        </w:tabs>
        <w:spacing w:line="278" w:lineRule="auto" w:before="77" w:after="0"/>
        <w:ind w:left="723" w:right="482" w:firstLine="0"/>
        <w:jc w:val="both"/>
        <w:rPr>
          <w:sz w:val="18"/>
        </w:rPr>
      </w:pPr>
      <w:r>
        <w:rPr>
          <w:sz w:val="18"/>
        </w:rPr>
        <w:t>For instance, an unrealised accrued gain may be relevant for a group’s shareholders, but would typically not give rise</w:t>
      </w:r>
      <w:r>
        <w:rPr>
          <w:spacing w:val="-6"/>
          <w:sz w:val="18"/>
        </w:rPr>
        <w:t> </w:t>
      </w:r>
      <w:r>
        <w:rPr>
          <w:sz w:val="18"/>
        </w:rPr>
        <w:t>to</w:t>
      </w:r>
      <w:r>
        <w:rPr>
          <w:spacing w:val="-6"/>
          <w:sz w:val="18"/>
        </w:rPr>
        <w:t> </w:t>
      </w:r>
      <w:r>
        <w:rPr>
          <w:sz w:val="18"/>
        </w:rPr>
        <w:t>an</w:t>
      </w:r>
      <w:r>
        <w:rPr>
          <w:spacing w:val="-5"/>
          <w:sz w:val="18"/>
        </w:rPr>
        <w:t> </w:t>
      </w:r>
      <w:r>
        <w:rPr>
          <w:sz w:val="18"/>
        </w:rPr>
        <w:t>income</w:t>
      </w:r>
      <w:r>
        <w:rPr>
          <w:spacing w:val="-9"/>
          <w:sz w:val="18"/>
        </w:rPr>
        <w:t> </w:t>
      </w:r>
      <w:r>
        <w:rPr>
          <w:sz w:val="18"/>
        </w:rPr>
        <w:t>tax</w:t>
      </w:r>
      <w:r>
        <w:rPr>
          <w:spacing w:val="-10"/>
          <w:sz w:val="18"/>
        </w:rPr>
        <w:t> </w:t>
      </w:r>
      <w:r>
        <w:rPr>
          <w:sz w:val="18"/>
        </w:rPr>
        <w:t>charge</w:t>
      </w:r>
      <w:r>
        <w:rPr>
          <w:spacing w:val="-6"/>
          <w:sz w:val="18"/>
        </w:rPr>
        <w:t> </w:t>
      </w:r>
      <w:r>
        <w:rPr>
          <w:sz w:val="18"/>
        </w:rPr>
        <w:t>until</w:t>
      </w:r>
      <w:r>
        <w:rPr>
          <w:spacing w:val="-5"/>
          <w:sz w:val="18"/>
        </w:rPr>
        <w:t> </w:t>
      </w:r>
      <w:r>
        <w:rPr>
          <w:sz w:val="18"/>
        </w:rPr>
        <w:t>it</w:t>
      </w:r>
      <w:r>
        <w:rPr>
          <w:spacing w:val="-7"/>
          <w:sz w:val="18"/>
        </w:rPr>
        <w:t> </w:t>
      </w:r>
      <w:r>
        <w:rPr>
          <w:sz w:val="18"/>
        </w:rPr>
        <w:t>is</w:t>
      </w:r>
      <w:r>
        <w:rPr>
          <w:spacing w:val="-5"/>
          <w:sz w:val="18"/>
        </w:rPr>
        <w:t> </w:t>
      </w:r>
      <w:r>
        <w:rPr>
          <w:sz w:val="18"/>
        </w:rPr>
        <w:t>realised</w:t>
      </w:r>
      <w:r>
        <w:rPr>
          <w:spacing w:val="-1"/>
          <w:sz w:val="18"/>
        </w:rPr>
        <w:t> </w:t>
      </w:r>
      <w:r>
        <w:rPr>
          <w:sz w:val="18"/>
        </w:rPr>
        <w:t>and,</w:t>
      </w:r>
      <w:r>
        <w:rPr>
          <w:spacing w:val="-7"/>
          <w:sz w:val="18"/>
        </w:rPr>
        <w:t> </w:t>
      </w:r>
      <w:r>
        <w:rPr>
          <w:sz w:val="18"/>
        </w:rPr>
        <w:t>accordingly,</w:t>
      </w:r>
      <w:r>
        <w:rPr>
          <w:spacing w:val="-6"/>
          <w:sz w:val="18"/>
        </w:rPr>
        <w:t> </w:t>
      </w:r>
      <w:r>
        <w:rPr>
          <w:sz w:val="18"/>
        </w:rPr>
        <w:t>would</w:t>
      </w:r>
      <w:r>
        <w:rPr>
          <w:spacing w:val="-6"/>
          <w:sz w:val="18"/>
        </w:rPr>
        <w:t> </w:t>
      </w:r>
      <w:r>
        <w:rPr>
          <w:sz w:val="18"/>
        </w:rPr>
        <w:t>not</w:t>
      </w:r>
      <w:r>
        <w:rPr>
          <w:spacing w:val="-6"/>
          <w:sz w:val="18"/>
        </w:rPr>
        <w:t> </w:t>
      </w:r>
      <w:r>
        <w:rPr>
          <w:sz w:val="18"/>
        </w:rPr>
        <w:t>be</w:t>
      </w:r>
      <w:r>
        <w:rPr>
          <w:spacing w:val="-9"/>
          <w:sz w:val="18"/>
        </w:rPr>
        <w:t> </w:t>
      </w:r>
      <w:r>
        <w:rPr>
          <w:sz w:val="18"/>
        </w:rPr>
        <w:t>included</w:t>
      </w:r>
      <w:r>
        <w:rPr>
          <w:spacing w:val="-5"/>
          <w:sz w:val="18"/>
        </w:rPr>
        <w:t> </w:t>
      </w:r>
      <w:r>
        <w:rPr>
          <w:sz w:val="18"/>
        </w:rPr>
        <w:t>in</w:t>
      </w:r>
      <w:r>
        <w:rPr>
          <w:spacing w:val="-6"/>
          <w:sz w:val="18"/>
        </w:rPr>
        <w:t> </w:t>
      </w:r>
      <w:r>
        <w:rPr>
          <w:sz w:val="18"/>
        </w:rPr>
        <w:t>the</w:t>
      </w:r>
      <w:r>
        <w:rPr>
          <w:spacing w:val="-9"/>
          <w:sz w:val="18"/>
        </w:rPr>
        <w:t> </w:t>
      </w:r>
      <w:r>
        <w:rPr>
          <w:sz w:val="18"/>
        </w:rPr>
        <w:t>Amount</w:t>
      </w:r>
      <w:r>
        <w:rPr>
          <w:spacing w:val="-6"/>
          <w:sz w:val="18"/>
        </w:rPr>
        <w:t> </w:t>
      </w:r>
      <w:r>
        <w:rPr>
          <w:sz w:val="18"/>
        </w:rPr>
        <w:t>A</w:t>
      </w:r>
      <w:r>
        <w:rPr>
          <w:spacing w:val="-7"/>
          <w:sz w:val="18"/>
        </w:rPr>
        <w:t> </w:t>
      </w:r>
      <w:r>
        <w:rPr>
          <w:sz w:val="18"/>
        </w:rPr>
        <w:t>tax</w:t>
      </w:r>
      <w:r>
        <w:rPr>
          <w:spacing w:val="-10"/>
          <w:sz w:val="18"/>
        </w:rPr>
        <w:t> </w:t>
      </w:r>
      <w:r>
        <w:rPr>
          <w:sz w:val="18"/>
        </w:rPr>
        <w:t>base.</w:t>
      </w:r>
      <w:r>
        <w:rPr>
          <w:spacing w:val="-7"/>
          <w:sz w:val="18"/>
        </w:rPr>
        <w:t> </w:t>
      </w:r>
      <w:r>
        <w:rPr>
          <w:sz w:val="18"/>
        </w:rPr>
        <w:t>Most unrealised accrued gains are accounted for in the “other comprehensive income” statement and, therefore, not reflected into the “profit or loss” statement until the realisation of the gain. Therefore, MNE groups recognising unrealised accrued gains in the “other comprehensive income” statement would not need to make adjustments to compute the Amount A tax base, which would make the approach relatively simple to</w:t>
      </w:r>
      <w:r>
        <w:rPr>
          <w:spacing w:val="-22"/>
          <w:sz w:val="18"/>
        </w:rPr>
        <w:t> </w:t>
      </w:r>
      <w:r>
        <w:rPr>
          <w:sz w:val="18"/>
        </w:rPr>
        <w:t>apply.</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of the P&amp;L statement (i.e. the total for profit or loss). From this point, certain book-to-tax adjustments will be made (such as the deduction of certain items of income and the adding back of certain expenses) to arrive</w:t>
      </w:r>
      <w:r>
        <w:rPr>
          <w:spacing w:val="-6"/>
        </w:rPr>
        <w:t> </w:t>
      </w:r>
      <w:r>
        <w:rPr/>
        <w:t>at</w:t>
      </w:r>
      <w:r>
        <w:rPr>
          <w:spacing w:val="-5"/>
        </w:rPr>
        <w:t> </w:t>
      </w:r>
      <w:r>
        <w:rPr/>
        <w:t>a</w:t>
      </w:r>
      <w:r>
        <w:rPr>
          <w:spacing w:val="-6"/>
        </w:rPr>
        <w:t> </w:t>
      </w:r>
      <w:r>
        <w:rPr/>
        <w:t>standardised</w:t>
      </w:r>
      <w:r>
        <w:rPr>
          <w:spacing w:val="-4"/>
        </w:rPr>
        <w:t> </w:t>
      </w:r>
      <w:r>
        <w:rPr/>
        <w:t>PBT</w:t>
      </w:r>
      <w:r>
        <w:rPr>
          <w:spacing w:val="-4"/>
        </w:rPr>
        <w:t> </w:t>
      </w:r>
      <w:r>
        <w:rPr/>
        <w:t>figure.</w:t>
      </w:r>
      <w:r>
        <w:rPr>
          <w:spacing w:val="-6"/>
        </w:rPr>
        <w:t> </w:t>
      </w:r>
      <w:r>
        <w:rPr/>
        <w:t>For</w:t>
      </w:r>
      <w:r>
        <w:rPr>
          <w:spacing w:val="-5"/>
        </w:rPr>
        <w:t> </w:t>
      </w:r>
      <w:r>
        <w:rPr/>
        <w:t>ease</w:t>
      </w:r>
      <w:r>
        <w:rPr>
          <w:spacing w:val="-5"/>
        </w:rPr>
        <w:t> </w:t>
      </w:r>
      <w:r>
        <w:rPr/>
        <w:t>of</w:t>
      </w:r>
      <w:r>
        <w:rPr>
          <w:spacing w:val="-3"/>
        </w:rPr>
        <w:t> </w:t>
      </w:r>
      <w:r>
        <w:rPr/>
        <w:t>administration</w:t>
      </w:r>
      <w:r>
        <w:rPr>
          <w:spacing w:val="-6"/>
        </w:rPr>
        <w:t> </w:t>
      </w:r>
      <w:r>
        <w:rPr/>
        <w:t>and</w:t>
      </w:r>
      <w:r>
        <w:rPr>
          <w:spacing w:val="-6"/>
        </w:rPr>
        <w:t> </w:t>
      </w:r>
      <w:r>
        <w:rPr/>
        <w:t>compliance,</w:t>
      </w:r>
      <w:r>
        <w:rPr>
          <w:spacing w:val="-6"/>
        </w:rPr>
        <w:t> </w:t>
      </w:r>
      <w:r>
        <w:rPr/>
        <w:t>these</w:t>
      </w:r>
      <w:r>
        <w:rPr>
          <w:spacing w:val="-5"/>
        </w:rPr>
        <w:t> </w:t>
      </w:r>
      <w:r>
        <w:rPr/>
        <w:t>adjustments</w:t>
      </w:r>
      <w:r>
        <w:rPr>
          <w:spacing w:val="-4"/>
        </w:rPr>
        <w:t> </w:t>
      </w:r>
      <w:r>
        <w:rPr/>
        <w:t>will</w:t>
      </w:r>
      <w:r>
        <w:rPr>
          <w:spacing w:val="1"/>
        </w:rPr>
        <w:t> </w:t>
      </w:r>
      <w:r>
        <w:rPr/>
        <w:t>be kept to a minimum in order to limit complexity, and align with adjustments under Pillar</w:t>
      </w:r>
      <w:r>
        <w:rPr>
          <w:spacing w:val="-21"/>
        </w:rPr>
        <w:t> </w:t>
      </w:r>
      <w:r>
        <w:rPr/>
        <w:t>Two.</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The purpose of these adjustments is to align to the extent possible the Amount A tax base with the corporate tax base of Inclusive Framework jurisdictions. This will be achieved by excluding certain material items that are commonly excluded from the corporate tax base of Inclusive Framework jurisdictions. The exclusion of these items typically reflects the different objectives pursued by tax and accounting rules.</w:t>
      </w:r>
      <w:r>
        <w:rPr>
          <w:spacing w:val="-4"/>
          <w:sz w:val="20"/>
        </w:rPr>
        <w:t> </w:t>
      </w:r>
      <w:r>
        <w:rPr>
          <w:sz w:val="20"/>
        </w:rPr>
        <w:t>.</w:t>
      </w:r>
    </w:p>
    <w:p>
      <w:pPr>
        <w:pStyle w:val="BodyText"/>
        <w:spacing w:before="4"/>
      </w:pPr>
    </w:p>
    <w:p>
      <w:pPr>
        <w:pStyle w:val="Heading8"/>
      </w:pPr>
      <w:bookmarkStart w:name="Income tax expenses" w:id="215"/>
      <w:bookmarkEnd w:id="215"/>
      <w:r>
        <w:rPr>
          <w:b w:val="0"/>
        </w:rPr>
      </w:r>
      <w:r>
        <w:rPr/>
        <w:t>Income tax expenses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Income taxes are the most obvious expense that needs to be added back to determine the standardised PBT under Amount A. Income tax expenses are usually not deductible for CIT purposes in Inclusive Framework</w:t>
      </w:r>
      <w:r>
        <w:rPr>
          <w:spacing w:val="1"/>
          <w:sz w:val="20"/>
        </w:rPr>
        <w:t> </w:t>
      </w:r>
      <w:r>
        <w:rPr>
          <w:sz w:val="20"/>
        </w:rPr>
        <w:t>jurisdictions.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Financial accounting distinguishes between income taxes and other taxes. Income taxes, as defined for financial accounting purposes,</w:t>
      </w:r>
      <w:r>
        <w:rPr>
          <w:position w:val="6"/>
          <w:sz w:val="13"/>
        </w:rPr>
        <w:t>71 </w:t>
      </w:r>
      <w:r>
        <w:rPr>
          <w:sz w:val="20"/>
        </w:rPr>
        <w:t>are typically reported separately in the P&amp;L statement. Taxes that are not considered income taxes are treated like operating expenses and may not be separately identified in the income statement. Only taxes covered by the definition of income taxes for accounting purposes</w:t>
      </w:r>
      <w:r>
        <w:rPr>
          <w:spacing w:val="-8"/>
          <w:sz w:val="20"/>
        </w:rPr>
        <w:t> </w:t>
      </w:r>
      <w:r>
        <w:rPr>
          <w:sz w:val="20"/>
        </w:rPr>
        <w:t>would</w:t>
      </w:r>
      <w:r>
        <w:rPr>
          <w:spacing w:val="-12"/>
          <w:sz w:val="20"/>
        </w:rPr>
        <w:t> </w:t>
      </w:r>
      <w:r>
        <w:rPr>
          <w:sz w:val="20"/>
        </w:rPr>
        <w:t>be</w:t>
      </w:r>
      <w:r>
        <w:rPr>
          <w:spacing w:val="-9"/>
          <w:sz w:val="20"/>
        </w:rPr>
        <w:t> </w:t>
      </w:r>
      <w:r>
        <w:rPr>
          <w:sz w:val="20"/>
        </w:rPr>
        <w:t>extracted</w:t>
      </w:r>
      <w:r>
        <w:rPr>
          <w:spacing w:val="-12"/>
          <w:sz w:val="20"/>
        </w:rPr>
        <w:t> </w:t>
      </w:r>
      <w:r>
        <w:rPr>
          <w:sz w:val="20"/>
        </w:rPr>
        <w:t>from</w:t>
      </w:r>
      <w:r>
        <w:rPr>
          <w:spacing w:val="-7"/>
          <w:sz w:val="20"/>
        </w:rPr>
        <w:t> </w:t>
      </w:r>
      <w:r>
        <w:rPr>
          <w:sz w:val="20"/>
        </w:rPr>
        <w:t>the</w:t>
      </w:r>
      <w:r>
        <w:rPr>
          <w:spacing w:val="-12"/>
          <w:sz w:val="20"/>
        </w:rPr>
        <w:t> </w:t>
      </w:r>
      <w:r>
        <w:rPr>
          <w:sz w:val="20"/>
        </w:rPr>
        <w:t>“profit</w:t>
      </w:r>
      <w:r>
        <w:rPr>
          <w:spacing w:val="-11"/>
          <w:sz w:val="20"/>
        </w:rPr>
        <w:t> </w:t>
      </w:r>
      <w:r>
        <w:rPr>
          <w:sz w:val="20"/>
        </w:rPr>
        <w:t>or</w:t>
      </w:r>
      <w:r>
        <w:rPr>
          <w:spacing w:val="-10"/>
          <w:sz w:val="20"/>
        </w:rPr>
        <w:t> </w:t>
      </w:r>
      <w:r>
        <w:rPr>
          <w:sz w:val="20"/>
        </w:rPr>
        <w:t>loss”</w:t>
      </w:r>
      <w:r>
        <w:rPr>
          <w:spacing w:val="-10"/>
          <w:sz w:val="20"/>
        </w:rPr>
        <w:t> </w:t>
      </w:r>
      <w:r>
        <w:rPr>
          <w:sz w:val="20"/>
        </w:rPr>
        <w:t>statement,</w:t>
      </w:r>
      <w:r>
        <w:rPr>
          <w:spacing w:val="-11"/>
          <w:sz w:val="20"/>
        </w:rPr>
        <w:t> </w:t>
      </w:r>
      <w:r>
        <w:rPr>
          <w:sz w:val="20"/>
        </w:rPr>
        <w:t>and</w:t>
      </w:r>
      <w:r>
        <w:rPr>
          <w:spacing w:val="-12"/>
          <w:sz w:val="20"/>
        </w:rPr>
        <w:t> </w:t>
      </w:r>
      <w:r>
        <w:rPr>
          <w:sz w:val="20"/>
        </w:rPr>
        <w:t>added</w:t>
      </w:r>
      <w:r>
        <w:rPr>
          <w:spacing w:val="-12"/>
          <w:sz w:val="20"/>
        </w:rPr>
        <w:t> </w:t>
      </w:r>
      <w:r>
        <w:rPr>
          <w:sz w:val="20"/>
        </w:rPr>
        <w:t>back</w:t>
      </w:r>
      <w:r>
        <w:rPr>
          <w:spacing w:val="-8"/>
          <w:sz w:val="20"/>
        </w:rPr>
        <w:t> </w:t>
      </w:r>
      <w:r>
        <w:rPr>
          <w:sz w:val="20"/>
        </w:rPr>
        <w:t>in</w:t>
      </w:r>
      <w:r>
        <w:rPr>
          <w:spacing w:val="-5"/>
          <w:sz w:val="20"/>
        </w:rPr>
        <w:t> </w:t>
      </w:r>
      <w:r>
        <w:rPr>
          <w:sz w:val="20"/>
        </w:rPr>
        <w:t>to</w:t>
      </w:r>
      <w:r>
        <w:rPr>
          <w:spacing w:val="-11"/>
          <w:sz w:val="20"/>
        </w:rPr>
        <w:t> </w:t>
      </w:r>
      <w:r>
        <w:rPr>
          <w:sz w:val="20"/>
        </w:rPr>
        <w:t>compute</w:t>
      </w:r>
      <w:r>
        <w:rPr>
          <w:spacing w:val="-10"/>
          <w:sz w:val="20"/>
        </w:rPr>
        <w:t> </w:t>
      </w:r>
      <w:r>
        <w:rPr>
          <w:sz w:val="20"/>
        </w:rPr>
        <w:t>the</w:t>
      </w:r>
      <w:r>
        <w:rPr>
          <w:spacing w:val="-12"/>
          <w:sz w:val="20"/>
        </w:rPr>
        <w:t> </w:t>
      </w:r>
      <w:r>
        <w:rPr>
          <w:sz w:val="20"/>
        </w:rPr>
        <w:t>Amount A tax</w:t>
      </w:r>
      <w:r>
        <w:rPr>
          <w:spacing w:val="-2"/>
          <w:sz w:val="20"/>
        </w:rPr>
        <w:t> </w:t>
      </w:r>
      <w:r>
        <w:rPr>
          <w:sz w:val="20"/>
        </w:rPr>
        <w:t>base.</w:t>
      </w:r>
      <w:r>
        <w:rPr>
          <w:position w:val="6"/>
          <w:sz w:val="13"/>
        </w:rPr>
        <w:t>72</w:t>
      </w:r>
    </w:p>
    <w:p>
      <w:pPr>
        <w:pStyle w:val="BodyText"/>
        <w:spacing w:before="4"/>
      </w:pPr>
    </w:p>
    <w:p>
      <w:pPr>
        <w:pStyle w:val="Heading8"/>
        <w:spacing w:line="271" w:lineRule="auto"/>
        <w:ind w:right="1169"/>
      </w:pPr>
      <w:bookmarkStart w:name="Dividend income and gains or losses aris" w:id="216"/>
      <w:bookmarkEnd w:id="216"/>
      <w:r>
        <w:rPr>
          <w:b w:val="0"/>
        </w:rPr>
      </w:r>
      <w:r>
        <w:rPr/>
        <w:t>Dividend income and gains or losses arising in connection with shares, including income under the equity method</w:t>
      </w:r>
    </w:p>
    <w:p>
      <w:pPr>
        <w:pStyle w:val="ListParagraph"/>
        <w:numPr>
          <w:ilvl w:val="0"/>
          <w:numId w:val="13"/>
        </w:numPr>
        <w:tabs>
          <w:tab w:pos="1444" w:val="left" w:leader="none"/>
        </w:tabs>
        <w:spacing w:line="271" w:lineRule="auto" w:before="188" w:after="0"/>
        <w:ind w:left="723" w:right="484" w:firstLine="0"/>
        <w:jc w:val="both"/>
        <w:rPr>
          <w:sz w:val="20"/>
        </w:rPr>
      </w:pPr>
      <w:r>
        <w:rPr>
          <w:sz w:val="20"/>
        </w:rPr>
        <w:t>In</w:t>
      </w:r>
      <w:r>
        <w:rPr>
          <w:spacing w:val="-8"/>
          <w:sz w:val="20"/>
        </w:rPr>
        <w:t> </w:t>
      </w:r>
      <w:r>
        <w:rPr>
          <w:sz w:val="20"/>
        </w:rPr>
        <w:t>many</w:t>
      </w:r>
      <w:r>
        <w:rPr>
          <w:spacing w:val="-12"/>
          <w:sz w:val="20"/>
        </w:rPr>
        <w:t> </w:t>
      </w:r>
      <w:r>
        <w:rPr>
          <w:sz w:val="20"/>
        </w:rPr>
        <w:t>Inclusive</w:t>
      </w:r>
      <w:r>
        <w:rPr>
          <w:spacing w:val="-7"/>
          <w:sz w:val="20"/>
        </w:rPr>
        <w:t> </w:t>
      </w:r>
      <w:r>
        <w:rPr>
          <w:sz w:val="20"/>
        </w:rPr>
        <w:t>Framework</w:t>
      </w:r>
      <w:r>
        <w:rPr>
          <w:spacing w:val="-3"/>
          <w:sz w:val="20"/>
        </w:rPr>
        <w:t> </w:t>
      </w:r>
      <w:r>
        <w:rPr>
          <w:sz w:val="20"/>
        </w:rPr>
        <w:t>jurisdictions,</w:t>
      </w:r>
      <w:r>
        <w:rPr>
          <w:spacing w:val="-6"/>
          <w:sz w:val="20"/>
        </w:rPr>
        <w:t> </w:t>
      </w:r>
      <w:r>
        <w:rPr>
          <w:sz w:val="20"/>
        </w:rPr>
        <w:t>dividend</w:t>
      </w:r>
      <w:r>
        <w:rPr>
          <w:spacing w:val="-5"/>
          <w:sz w:val="20"/>
        </w:rPr>
        <w:t> </w:t>
      </w:r>
      <w:r>
        <w:rPr>
          <w:sz w:val="20"/>
        </w:rPr>
        <w:t>income</w:t>
      </w:r>
      <w:r>
        <w:rPr>
          <w:spacing w:val="-7"/>
          <w:sz w:val="20"/>
        </w:rPr>
        <w:t> </w:t>
      </w:r>
      <w:r>
        <w:rPr>
          <w:sz w:val="20"/>
        </w:rPr>
        <w:t>and</w:t>
      </w:r>
      <w:r>
        <w:rPr>
          <w:spacing w:val="-7"/>
          <w:sz w:val="20"/>
        </w:rPr>
        <w:t> </w:t>
      </w:r>
      <w:r>
        <w:rPr>
          <w:sz w:val="20"/>
        </w:rPr>
        <w:t>gains</w:t>
      </w:r>
      <w:r>
        <w:rPr>
          <w:spacing w:val="-6"/>
          <w:sz w:val="20"/>
        </w:rPr>
        <w:t> </w:t>
      </w:r>
      <w:r>
        <w:rPr>
          <w:sz w:val="20"/>
        </w:rPr>
        <w:t>or</w:t>
      </w:r>
      <w:r>
        <w:rPr>
          <w:spacing w:val="-7"/>
          <w:sz w:val="20"/>
        </w:rPr>
        <w:t> </w:t>
      </w:r>
      <w:r>
        <w:rPr>
          <w:sz w:val="20"/>
        </w:rPr>
        <w:t>losses</w:t>
      </w:r>
      <w:r>
        <w:rPr>
          <w:spacing w:val="-6"/>
          <w:sz w:val="20"/>
        </w:rPr>
        <w:t> </w:t>
      </w:r>
      <w:r>
        <w:rPr>
          <w:sz w:val="20"/>
        </w:rPr>
        <w:t>from</w:t>
      </w:r>
      <w:r>
        <w:rPr>
          <w:spacing w:val="-5"/>
          <w:sz w:val="20"/>
        </w:rPr>
        <w:t> </w:t>
      </w:r>
      <w:r>
        <w:rPr>
          <w:sz w:val="20"/>
        </w:rPr>
        <w:t>the</w:t>
      </w:r>
      <w:r>
        <w:rPr>
          <w:spacing w:val="-7"/>
          <w:sz w:val="20"/>
        </w:rPr>
        <w:t> </w:t>
      </w:r>
      <w:r>
        <w:rPr>
          <w:sz w:val="20"/>
        </w:rPr>
        <w:t>disposal of shares are excluded, in whole or in part, from the CIT base or benefit from tax relief (such as indirect credit for taxes paid). In some jurisdictions, the exclusion is conditioned on certain ownership and holding period</w:t>
      </w:r>
      <w:r>
        <w:rPr>
          <w:spacing w:val="-11"/>
          <w:sz w:val="20"/>
        </w:rPr>
        <w:t> </w:t>
      </w:r>
      <w:r>
        <w:rPr>
          <w:sz w:val="20"/>
        </w:rPr>
        <w:t>requirements.</w:t>
      </w:r>
      <w:r>
        <w:rPr>
          <w:spacing w:val="-10"/>
          <w:sz w:val="20"/>
        </w:rPr>
        <w:t> </w:t>
      </w:r>
      <w:r>
        <w:rPr>
          <w:sz w:val="20"/>
        </w:rPr>
        <w:t>In</w:t>
      </w:r>
      <w:r>
        <w:rPr>
          <w:spacing w:val="-8"/>
          <w:sz w:val="20"/>
        </w:rPr>
        <w:t> </w:t>
      </w:r>
      <w:r>
        <w:rPr>
          <w:sz w:val="20"/>
        </w:rPr>
        <w:t>other</w:t>
      </w:r>
      <w:r>
        <w:rPr>
          <w:spacing w:val="-9"/>
          <w:sz w:val="20"/>
        </w:rPr>
        <w:t> </w:t>
      </w:r>
      <w:r>
        <w:rPr>
          <w:sz w:val="20"/>
        </w:rPr>
        <w:t>jurisdictions,</w:t>
      </w:r>
      <w:r>
        <w:rPr>
          <w:spacing w:val="-8"/>
          <w:sz w:val="20"/>
        </w:rPr>
        <w:t> </w:t>
      </w:r>
      <w:r>
        <w:rPr>
          <w:sz w:val="20"/>
        </w:rPr>
        <w:t>the</w:t>
      </w:r>
      <w:r>
        <w:rPr>
          <w:spacing w:val="-8"/>
          <w:sz w:val="20"/>
        </w:rPr>
        <w:t> </w:t>
      </w:r>
      <w:r>
        <w:rPr>
          <w:sz w:val="20"/>
        </w:rPr>
        <w:t>exclusion</w:t>
      </w:r>
      <w:r>
        <w:rPr>
          <w:spacing w:val="-10"/>
          <w:sz w:val="20"/>
        </w:rPr>
        <w:t> </w:t>
      </w:r>
      <w:r>
        <w:rPr>
          <w:sz w:val="20"/>
        </w:rPr>
        <w:t>applies</w:t>
      </w:r>
      <w:r>
        <w:rPr>
          <w:spacing w:val="-1"/>
          <w:sz w:val="20"/>
        </w:rPr>
        <w:t> </w:t>
      </w:r>
      <w:r>
        <w:rPr>
          <w:sz w:val="20"/>
        </w:rPr>
        <w:t>without</w:t>
      </w:r>
      <w:r>
        <w:rPr>
          <w:spacing w:val="-9"/>
          <w:sz w:val="20"/>
        </w:rPr>
        <w:t> </w:t>
      </w:r>
      <w:r>
        <w:rPr>
          <w:sz w:val="20"/>
        </w:rPr>
        <w:t>restrictions.</w:t>
      </w:r>
      <w:r>
        <w:rPr>
          <w:spacing w:val="-10"/>
          <w:sz w:val="20"/>
        </w:rPr>
        <w:t> </w:t>
      </w:r>
      <w:r>
        <w:rPr>
          <w:sz w:val="20"/>
        </w:rPr>
        <w:t>These</w:t>
      </w:r>
      <w:r>
        <w:rPr>
          <w:spacing w:val="-10"/>
          <w:sz w:val="20"/>
        </w:rPr>
        <w:t> </w:t>
      </w:r>
      <w:r>
        <w:rPr>
          <w:sz w:val="20"/>
        </w:rPr>
        <w:t>exclusions</w:t>
      </w:r>
      <w:r>
        <w:rPr>
          <w:spacing w:val="-9"/>
          <w:sz w:val="20"/>
        </w:rPr>
        <w:t> </w:t>
      </w:r>
      <w:r>
        <w:rPr>
          <w:sz w:val="20"/>
        </w:rPr>
        <w:t>are often referred to as participation exemptions, and generally seek to eliminate the double taxation that otherwise</w:t>
      </w:r>
      <w:r>
        <w:rPr>
          <w:spacing w:val="-4"/>
          <w:sz w:val="20"/>
        </w:rPr>
        <w:t> </w:t>
      </w:r>
      <w:r>
        <w:rPr>
          <w:sz w:val="20"/>
        </w:rPr>
        <w:t>would</w:t>
      </w:r>
      <w:r>
        <w:rPr>
          <w:spacing w:val="-7"/>
          <w:sz w:val="20"/>
        </w:rPr>
        <w:t> </w:t>
      </w:r>
      <w:r>
        <w:rPr>
          <w:sz w:val="20"/>
        </w:rPr>
        <w:t>occur</w:t>
      </w:r>
      <w:r>
        <w:rPr>
          <w:spacing w:val="-6"/>
          <w:sz w:val="20"/>
        </w:rPr>
        <w:t> </w:t>
      </w:r>
      <w:r>
        <w:rPr>
          <w:sz w:val="20"/>
        </w:rPr>
        <w:t>if</w:t>
      </w:r>
      <w:r>
        <w:rPr>
          <w:spacing w:val="-4"/>
          <w:sz w:val="20"/>
        </w:rPr>
        <w:t> </w:t>
      </w:r>
      <w:r>
        <w:rPr>
          <w:sz w:val="20"/>
        </w:rPr>
        <w:t>the</w:t>
      </w:r>
      <w:r>
        <w:rPr>
          <w:spacing w:val="-7"/>
          <w:sz w:val="20"/>
        </w:rPr>
        <w:t> </w:t>
      </w:r>
      <w:r>
        <w:rPr>
          <w:sz w:val="20"/>
        </w:rPr>
        <w:t>profit</w:t>
      </w:r>
      <w:r>
        <w:rPr>
          <w:spacing w:val="-6"/>
          <w:sz w:val="20"/>
        </w:rPr>
        <w:t> </w:t>
      </w:r>
      <w:r>
        <w:rPr>
          <w:sz w:val="20"/>
        </w:rPr>
        <w:t>of</w:t>
      </w:r>
      <w:r>
        <w:rPr>
          <w:spacing w:val="-5"/>
          <w:sz w:val="20"/>
        </w:rPr>
        <w:t> </w:t>
      </w:r>
      <w:r>
        <w:rPr>
          <w:sz w:val="20"/>
        </w:rPr>
        <w:t>the</w:t>
      </w:r>
      <w:r>
        <w:rPr>
          <w:spacing w:val="-6"/>
          <w:sz w:val="20"/>
        </w:rPr>
        <w:t> </w:t>
      </w:r>
      <w:r>
        <w:rPr>
          <w:sz w:val="20"/>
        </w:rPr>
        <w:t>investee</w:t>
      </w:r>
      <w:r>
        <w:rPr>
          <w:spacing w:val="-2"/>
          <w:sz w:val="20"/>
        </w:rPr>
        <w:t> </w:t>
      </w:r>
      <w:r>
        <w:rPr>
          <w:sz w:val="20"/>
        </w:rPr>
        <w:t>(i.e.</w:t>
      </w:r>
      <w:r>
        <w:rPr>
          <w:spacing w:val="-5"/>
          <w:sz w:val="20"/>
        </w:rPr>
        <w:t> </w:t>
      </w:r>
      <w:r>
        <w:rPr>
          <w:sz w:val="20"/>
        </w:rPr>
        <w:t>the</w:t>
      </w:r>
      <w:r>
        <w:rPr>
          <w:spacing w:val="-7"/>
          <w:sz w:val="20"/>
        </w:rPr>
        <w:t> </w:t>
      </w:r>
      <w:r>
        <w:rPr>
          <w:sz w:val="20"/>
        </w:rPr>
        <w:t>distributing</w:t>
      </w:r>
      <w:r>
        <w:rPr>
          <w:spacing w:val="-5"/>
          <w:sz w:val="20"/>
        </w:rPr>
        <w:t> </w:t>
      </w:r>
      <w:r>
        <w:rPr>
          <w:sz w:val="20"/>
        </w:rPr>
        <w:t>entity</w:t>
      </w:r>
      <w:r>
        <w:rPr>
          <w:spacing w:val="-7"/>
          <w:sz w:val="20"/>
        </w:rPr>
        <w:t> </w:t>
      </w:r>
      <w:r>
        <w:rPr>
          <w:sz w:val="20"/>
        </w:rPr>
        <w:t>or</w:t>
      </w:r>
      <w:r>
        <w:rPr>
          <w:spacing w:val="-6"/>
          <w:sz w:val="20"/>
        </w:rPr>
        <w:t> </w:t>
      </w:r>
      <w:r>
        <w:rPr>
          <w:sz w:val="20"/>
        </w:rPr>
        <w:t>the</w:t>
      </w:r>
      <w:r>
        <w:rPr>
          <w:spacing w:val="-1"/>
          <w:sz w:val="20"/>
        </w:rPr>
        <w:t> </w:t>
      </w:r>
      <w:r>
        <w:rPr>
          <w:sz w:val="20"/>
        </w:rPr>
        <w:t>entity</w:t>
      </w:r>
      <w:r>
        <w:rPr>
          <w:spacing w:val="-7"/>
          <w:sz w:val="20"/>
        </w:rPr>
        <w:t> </w:t>
      </w:r>
      <w:r>
        <w:rPr>
          <w:sz w:val="20"/>
        </w:rPr>
        <w:t>whose</w:t>
      </w:r>
      <w:r>
        <w:rPr>
          <w:spacing w:val="-5"/>
          <w:sz w:val="20"/>
        </w:rPr>
        <w:t> </w:t>
      </w:r>
      <w:r>
        <w:rPr>
          <w:sz w:val="20"/>
        </w:rPr>
        <w:t>shares</w:t>
      </w:r>
      <w:r>
        <w:rPr>
          <w:spacing w:val="-3"/>
          <w:sz w:val="20"/>
        </w:rPr>
        <w:t> </w:t>
      </w:r>
      <w:r>
        <w:rPr>
          <w:sz w:val="20"/>
        </w:rPr>
        <w:t>are transferred) were to be taxed again at the level of the investor upon the distribution or</w:t>
      </w:r>
      <w:r>
        <w:rPr>
          <w:spacing w:val="-34"/>
          <w:sz w:val="20"/>
        </w:rPr>
        <w:t> </w:t>
      </w:r>
      <w:r>
        <w:rPr>
          <w:sz w:val="20"/>
        </w:rPr>
        <w:t>disposal.</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Recognising the broad nature of the participation exemptions </w:t>
      </w:r>
      <w:r>
        <w:rPr>
          <w:spacing w:val="3"/>
          <w:sz w:val="20"/>
        </w:rPr>
        <w:t>of </w:t>
      </w:r>
      <w:r>
        <w:rPr>
          <w:sz w:val="20"/>
        </w:rPr>
        <w:t>many Inclusive Framework jurisdictions, dividend income and gains or losses in connection with shares will be excluded from the Amount</w:t>
      </w:r>
      <w:r>
        <w:rPr>
          <w:spacing w:val="-13"/>
          <w:sz w:val="20"/>
        </w:rPr>
        <w:t> </w:t>
      </w:r>
      <w:r>
        <w:rPr>
          <w:sz w:val="20"/>
        </w:rPr>
        <w:t>A</w:t>
      </w:r>
      <w:r>
        <w:rPr>
          <w:spacing w:val="-11"/>
          <w:sz w:val="20"/>
        </w:rPr>
        <w:t> </w:t>
      </w:r>
      <w:r>
        <w:rPr>
          <w:sz w:val="20"/>
        </w:rPr>
        <w:t>tax</w:t>
      </w:r>
      <w:r>
        <w:rPr>
          <w:spacing w:val="-10"/>
          <w:sz w:val="20"/>
        </w:rPr>
        <w:t> </w:t>
      </w:r>
      <w:r>
        <w:rPr>
          <w:sz w:val="20"/>
        </w:rPr>
        <w:t>base,</w:t>
      </w:r>
      <w:r>
        <w:rPr>
          <w:spacing w:val="-11"/>
          <w:sz w:val="20"/>
        </w:rPr>
        <w:t> </w:t>
      </w:r>
      <w:r>
        <w:rPr>
          <w:sz w:val="20"/>
        </w:rPr>
        <w:t>consistent</w:t>
      </w:r>
      <w:r>
        <w:rPr>
          <w:spacing w:val="-9"/>
          <w:sz w:val="20"/>
        </w:rPr>
        <w:t> </w:t>
      </w:r>
      <w:r>
        <w:rPr>
          <w:sz w:val="20"/>
        </w:rPr>
        <w:t>with</w:t>
      </w:r>
      <w:r>
        <w:rPr>
          <w:spacing w:val="-13"/>
          <w:sz w:val="20"/>
        </w:rPr>
        <w:t> </w:t>
      </w:r>
      <w:r>
        <w:rPr>
          <w:sz w:val="20"/>
        </w:rPr>
        <w:t>the</w:t>
      </w:r>
      <w:r>
        <w:rPr>
          <w:spacing w:val="-11"/>
          <w:sz w:val="20"/>
        </w:rPr>
        <w:t> </w:t>
      </w:r>
      <w:r>
        <w:rPr>
          <w:sz w:val="20"/>
        </w:rPr>
        <w:t>approach</w:t>
      </w:r>
      <w:r>
        <w:rPr>
          <w:spacing w:val="-11"/>
          <w:sz w:val="20"/>
        </w:rPr>
        <w:t> </w:t>
      </w:r>
      <w:r>
        <w:rPr>
          <w:sz w:val="20"/>
        </w:rPr>
        <w:t>adopted</w:t>
      </w:r>
      <w:r>
        <w:rPr>
          <w:spacing w:val="-10"/>
          <w:sz w:val="20"/>
        </w:rPr>
        <w:t> </w:t>
      </w:r>
      <w:r>
        <w:rPr>
          <w:sz w:val="20"/>
        </w:rPr>
        <w:t>under</w:t>
      </w:r>
      <w:r>
        <w:rPr>
          <w:spacing w:val="-12"/>
          <w:sz w:val="20"/>
        </w:rPr>
        <w:t> </w:t>
      </w:r>
      <w:r>
        <w:rPr>
          <w:sz w:val="20"/>
        </w:rPr>
        <w:t>Pillar</w:t>
      </w:r>
      <w:r>
        <w:rPr>
          <w:spacing w:val="-10"/>
          <w:sz w:val="20"/>
        </w:rPr>
        <w:t> </w:t>
      </w:r>
      <w:r>
        <w:rPr>
          <w:sz w:val="20"/>
        </w:rPr>
        <w:t>Two.</w:t>
      </w:r>
      <w:r>
        <w:rPr>
          <w:sz w:val="20"/>
          <w:vertAlign w:val="superscript"/>
        </w:rPr>
        <w:t>73</w:t>
      </w:r>
      <w:r>
        <w:rPr>
          <w:spacing w:val="-13"/>
          <w:sz w:val="20"/>
          <w:vertAlign w:val="baseline"/>
        </w:rPr>
        <w:t> </w:t>
      </w:r>
      <w:r>
        <w:rPr>
          <w:sz w:val="20"/>
          <w:vertAlign w:val="baseline"/>
        </w:rPr>
        <w:t>This</w:t>
      </w:r>
      <w:r>
        <w:rPr>
          <w:spacing w:val="-10"/>
          <w:sz w:val="20"/>
          <w:vertAlign w:val="baseline"/>
        </w:rPr>
        <w:t> </w:t>
      </w:r>
      <w:r>
        <w:rPr>
          <w:sz w:val="20"/>
          <w:vertAlign w:val="baseline"/>
        </w:rPr>
        <w:t>exclusion</w:t>
      </w:r>
      <w:r>
        <w:rPr>
          <w:spacing w:val="-9"/>
          <w:sz w:val="20"/>
          <w:vertAlign w:val="baseline"/>
        </w:rPr>
        <w:t> </w:t>
      </w:r>
      <w:r>
        <w:rPr>
          <w:sz w:val="20"/>
          <w:vertAlign w:val="baseline"/>
        </w:rPr>
        <w:t>will</w:t>
      </w:r>
      <w:r>
        <w:rPr>
          <w:spacing w:val="-13"/>
          <w:sz w:val="20"/>
          <w:vertAlign w:val="baseline"/>
        </w:rPr>
        <w:t> </w:t>
      </w:r>
      <w:r>
        <w:rPr>
          <w:sz w:val="20"/>
          <w:vertAlign w:val="baseline"/>
        </w:rPr>
        <w:t>also</w:t>
      </w:r>
      <w:r>
        <w:rPr>
          <w:spacing w:val="-11"/>
          <w:sz w:val="20"/>
          <w:vertAlign w:val="baseline"/>
        </w:rPr>
        <w:t> </w:t>
      </w:r>
      <w:r>
        <w:rPr>
          <w:sz w:val="20"/>
          <w:vertAlign w:val="baseline"/>
        </w:rPr>
        <w:t>apply where, in the absence of any disposal, the P&amp;L statement accounts for gains (or losses) attributable to changes</w:t>
      </w:r>
      <w:r>
        <w:rPr>
          <w:spacing w:val="-9"/>
          <w:sz w:val="20"/>
          <w:vertAlign w:val="baseline"/>
        </w:rPr>
        <w:t> </w:t>
      </w:r>
      <w:r>
        <w:rPr>
          <w:sz w:val="20"/>
          <w:vertAlign w:val="baseline"/>
        </w:rPr>
        <w:t>in</w:t>
      </w:r>
      <w:r>
        <w:rPr>
          <w:spacing w:val="-12"/>
          <w:sz w:val="20"/>
          <w:vertAlign w:val="baseline"/>
        </w:rPr>
        <w:t> </w:t>
      </w:r>
      <w:r>
        <w:rPr>
          <w:sz w:val="20"/>
          <w:vertAlign w:val="baseline"/>
        </w:rPr>
        <w:t>the</w:t>
      </w:r>
      <w:r>
        <w:rPr>
          <w:spacing w:val="-9"/>
          <w:sz w:val="20"/>
          <w:vertAlign w:val="baseline"/>
        </w:rPr>
        <w:t> </w:t>
      </w:r>
      <w:r>
        <w:rPr>
          <w:sz w:val="20"/>
          <w:vertAlign w:val="baseline"/>
        </w:rPr>
        <w:t>value</w:t>
      </w:r>
      <w:r>
        <w:rPr>
          <w:spacing w:val="-12"/>
          <w:sz w:val="20"/>
          <w:vertAlign w:val="baseline"/>
        </w:rPr>
        <w:t> </w:t>
      </w:r>
      <w:r>
        <w:rPr>
          <w:sz w:val="20"/>
          <w:vertAlign w:val="baseline"/>
        </w:rPr>
        <w:t>of</w:t>
      </w:r>
      <w:r>
        <w:rPr>
          <w:spacing w:val="-9"/>
          <w:sz w:val="20"/>
          <w:vertAlign w:val="baseline"/>
        </w:rPr>
        <w:t> </w:t>
      </w:r>
      <w:r>
        <w:rPr>
          <w:sz w:val="20"/>
          <w:vertAlign w:val="baseline"/>
        </w:rPr>
        <w:t>shares</w:t>
      </w:r>
      <w:r>
        <w:rPr>
          <w:spacing w:val="-10"/>
          <w:sz w:val="20"/>
          <w:vertAlign w:val="baseline"/>
        </w:rPr>
        <w:t> </w:t>
      </w:r>
      <w:r>
        <w:rPr>
          <w:sz w:val="20"/>
          <w:vertAlign w:val="baseline"/>
        </w:rPr>
        <w:t>using</w:t>
      </w:r>
      <w:r>
        <w:rPr>
          <w:spacing w:val="-12"/>
          <w:sz w:val="20"/>
          <w:vertAlign w:val="baseline"/>
        </w:rPr>
        <w:t> </w:t>
      </w:r>
      <w:r>
        <w:rPr>
          <w:sz w:val="20"/>
          <w:vertAlign w:val="baseline"/>
        </w:rPr>
        <w:t>the</w:t>
      </w:r>
      <w:r>
        <w:rPr>
          <w:spacing w:val="-12"/>
          <w:sz w:val="20"/>
          <w:vertAlign w:val="baseline"/>
        </w:rPr>
        <w:t> </w:t>
      </w:r>
      <w:r>
        <w:rPr>
          <w:sz w:val="20"/>
          <w:vertAlign w:val="baseline"/>
        </w:rPr>
        <w:t>fair</w:t>
      </w:r>
      <w:r>
        <w:rPr>
          <w:spacing w:val="-9"/>
          <w:sz w:val="20"/>
          <w:vertAlign w:val="baseline"/>
        </w:rPr>
        <w:t> </w:t>
      </w:r>
      <w:r>
        <w:rPr>
          <w:sz w:val="20"/>
          <w:vertAlign w:val="baseline"/>
        </w:rPr>
        <w:t>value</w:t>
      </w:r>
      <w:r>
        <w:rPr>
          <w:spacing w:val="-10"/>
          <w:sz w:val="20"/>
          <w:vertAlign w:val="baseline"/>
        </w:rPr>
        <w:t> </w:t>
      </w:r>
      <w:r>
        <w:rPr>
          <w:sz w:val="20"/>
          <w:vertAlign w:val="baseline"/>
        </w:rPr>
        <w:t>method.</w:t>
      </w:r>
      <w:r>
        <w:rPr>
          <w:spacing w:val="-3"/>
          <w:sz w:val="20"/>
          <w:vertAlign w:val="baseline"/>
        </w:rPr>
        <w:t> </w:t>
      </w:r>
      <w:r>
        <w:rPr>
          <w:sz w:val="20"/>
          <w:vertAlign w:val="baseline"/>
        </w:rPr>
        <w:t>Some</w:t>
      </w:r>
      <w:r>
        <w:rPr>
          <w:spacing w:val="-12"/>
          <w:sz w:val="20"/>
          <w:vertAlign w:val="baseline"/>
        </w:rPr>
        <w:t> </w:t>
      </w:r>
      <w:r>
        <w:rPr>
          <w:sz w:val="20"/>
          <w:vertAlign w:val="baseline"/>
        </w:rPr>
        <w:t>aspects</w:t>
      </w:r>
      <w:r>
        <w:rPr>
          <w:spacing w:val="-10"/>
          <w:sz w:val="20"/>
          <w:vertAlign w:val="baseline"/>
        </w:rPr>
        <w:t> </w:t>
      </w:r>
      <w:r>
        <w:rPr>
          <w:sz w:val="20"/>
          <w:vertAlign w:val="baseline"/>
        </w:rPr>
        <w:t>of</w:t>
      </w:r>
      <w:r>
        <w:rPr>
          <w:spacing w:val="-10"/>
          <w:sz w:val="20"/>
          <w:vertAlign w:val="baseline"/>
        </w:rPr>
        <w:t> </w:t>
      </w:r>
      <w:r>
        <w:rPr>
          <w:sz w:val="20"/>
          <w:vertAlign w:val="baseline"/>
        </w:rPr>
        <w:t>this</w:t>
      </w:r>
      <w:r>
        <w:rPr>
          <w:spacing w:val="-10"/>
          <w:sz w:val="20"/>
          <w:vertAlign w:val="baseline"/>
        </w:rPr>
        <w:t> </w:t>
      </w:r>
      <w:r>
        <w:rPr>
          <w:sz w:val="20"/>
          <w:vertAlign w:val="baseline"/>
        </w:rPr>
        <w:t>adjustment</w:t>
      </w:r>
      <w:r>
        <w:rPr>
          <w:spacing w:val="-11"/>
          <w:sz w:val="20"/>
          <w:vertAlign w:val="baseline"/>
        </w:rPr>
        <w:t> </w:t>
      </w:r>
      <w:r>
        <w:rPr>
          <w:sz w:val="20"/>
          <w:vertAlign w:val="baseline"/>
        </w:rPr>
        <w:t>are</w:t>
      </w:r>
      <w:r>
        <w:rPr>
          <w:spacing w:val="-11"/>
          <w:sz w:val="20"/>
          <w:vertAlign w:val="baseline"/>
        </w:rPr>
        <w:t> </w:t>
      </w:r>
      <w:r>
        <w:rPr>
          <w:sz w:val="20"/>
          <w:vertAlign w:val="baseline"/>
        </w:rPr>
        <w:t>still</w:t>
      </w:r>
      <w:r>
        <w:rPr>
          <w:spacing w:val="-10"/>
          <w:sz w:val="20"/>
          <w:vertAlign w:val="baseline"/>
        </w:rPr>
        <w:t> </w:t>
      </w:r>
      <w:r>
        <w:rPr>
          <w:sz w:val="20"/>
          <w:vertAlign w:val="baseline"/>
        </w:rPr>
        <w:t>under</w:t>
      </w:r>
    </w:p>
    <w:p>
      <w:pPr>
        <w:pStyle w:val="BodyText"/>
        <w:spacing w:before="8"/>
        <w:rPr>
          <w:sz w:val="29"/>
        </w:rPr>
      </w:pPr>
      <w:r>
        <w:rPr/>
        <w:pict>
          <v:rect style="position:absolute;margin-left:65.183998pt;margin-top:19.044308pt;width:144.020004pt;height:.599980pt;mso-position-horizontal-relative:page;mso-position-vertical-relative:paragraph;z-index:-15668224;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8" w:val="left" w:leader="none"/>
        </w:tabs>
        <w:spacing w:line="278" w:lineRule="auto" w:before="95" w:after="0"/>
        <w:ind w:left="723" w:right="480" w:firstLine="0"/>
        <w:jc w:val="both"/>
        <w:rPr>
          <w:sz w:val="18"/>
        </w:rPr>
      </w:pPr>
      <w:r>
        <w:rPr>
          <w:sz w:val="18"/>
        </w:rPr>
        <w:t>IFRS defines “income taxes” for these purposes as including “</w:t>
      </w:r>
      <w:r>
        <w:rPr>
          <w:i/>
          <w:sz w:val="18"/>
        </w:rPr>
        <w:t>all domestic and foreign taxes which are based on </w:t>
      </w:r>
      <w:r>
        <w:rPr>
          <w:i/>
          <w:sz w:val="18"/>
        </w:rPr>
        <w:t>taxable profits. Income taxes also include taxes, such as withholding taxes, which are payable by a subsidiary, associate</w:t>
      </w:r>
      <w:r>
        <w:rPr>
          <w:i/>
          <w:spacing w:val="-11"/>
          <w:sz w:val="18"/>
        </w:rPr>
        <w:t> </w:t>
      </w:r>
      <w:r>
        <w:rPr>
          <w:i/>
          <w:sz w:val="18"/>
        </w:rPr>
        <w:t>or</w:t>
      </w:r>
      <w:r>
        <w:rPr>
          <w:i/>
          <w:spacing w:val="-12"/>
          <w:sz w:val="18"/>
        </w:rPr>
        <w:t> </w:t>
      </w:r>
      <w:r>
        <w:rPr>
          <w:i/>
          <w:sz w:val="18"/>
        </w:rPr>
        <w:t>joint</w:t>
      </w:r>
      <w:r>
        <w:rPr>
          <w:i/>
          <w:spacing w:val="-10"/>
          <w:sz w:val="18"/>
        </w:rPr>
        <w:t> </w:t>
      </w:r>
      <w:r>
        <w:rPr>
          <w:i/>
          <w:sz w:val="18"/>
        </w:rPr>
        <w:t>arrangement</w:t>
      </w:r>
      <w:r>
        <w:rPr>
          <w:i/>
          <w:spacing w:val="-14"/>
          <w:sz w:val="18"/>
        </w:rPr>
        <w:t> </w:t>
      </w:r>
      <w:r>
        <w:rPr>
          <w:i/>
          <w:sz w:val="18"/>
        </w:rPr>
        <w:t>on</w:t>
      </w:r>
      <w:r>
        <w:rPr>
          <w:i/>
          <w:spacing w:val="-8"/>
          <w:sz w:val="18"/>
        </w:rPr>
        <w:t> </w:t>
      </w:r>
      <w:r>
        <w:rPr>
          <w:i/>
          <w:sz w:val="18"/>
        </w:rPr>
        <w:t>distributions</w:t>
      </w:r>
      <w:r>
        <w:rPr>
          <w:i/>
          <w:spacing w:val="-11"/>
          <w:sz w:val="18"/>
        </w:rPr>
        <w:t> </w:t>
      </w:r>
      <w:r>
        <w:rPr>
          <w:i/>
          <w:sz w:val="18"/>
        </w:rPr>
        <w:t>to</w:t>
      </w:r>
      <w:r>
        <w:rPr>
          <w:i/>
          <w:spacing w:val="-8"/>
          <w:sz w:val="18"/>
        </w:rPr>
        <w:t> </w:t>
      </w:r>
      <w:r>
        <w:rPr>
          <w:i/>
          <w:sz w:val="18"/>
        </w:rPr>
        <w:t>the</w:t>
      </w:r>
      <w:r>
        <w:rPr>
          <w:i/>
          <w:spacing w:val="-10"/>
          <w:sz w:val="18"/>
        </w:rPr>
        <w:t> </w:t>
      </w:r>
      <w:r>
        <w:rPr>
          <w:i/>
          <w:sz w:val="18"/>
        </w:rPr>
        <w:t>reporting</w:t>
      </w:r>
      <w:r>
        <w:rPr>
          <w:i/>
          <w:spacing w:val="-11"/>
          <w:sz w:val="18"/>
        </w:rPr>
        <w:t> </w:t>
      </w:r>
      <w:r>
        <w:rPr>
          <w:i/>
          <w:sz w:val="18"/>
        </w:rPr>
        <w:t>entity</w:t>
      </w:r>
      <w:r>
        <w:rPr>
          <w:sz w:val="18"/>
        </w:rPr>
        <w:t>.”</w:t>
      </w:r>
      <w:r>
        <w:rPr>
          <w:spacing w:val="-10"/>
          <w:sz w:val="18"/>
        </w:rPr>
        <w:t> </w:t>
      </w:r>
      <w:r>
        <w:rPr>
          <w:sz w:val="18"/>
        </w:rPr>
        <w:t>For</w:t>
      </w:r>
      <w:r>
        <w:rPr>
          <w:spacing w:val="-12"/>
          <w:sz w:val="18"/>
        </w:rPr>
        <w:t> </w:t>
      </w:r>
      <w:r>
        <w:rPr>
          <w:sz w:val="18"/>
        </w:rPr>
        <w:t>instance,</w:t>
      </w:r>
      <w:r>
        <w:rPr>
          <w:spacing w:val="-10"/>
          <w:sz w:val="18"/>
        </w:rPr>
        <w:t> </w:t>
      </w:r>
      <w:r>
        <w:rPr>
          <w:sz w:val="18"/>
        </w:rPr>
        <w:t>in</w:t>
      </w:r>
      <w:r>
        <w:rPr>
          <w:spacing w:val="-11"/>
          <w:sz w:val="18"/>
        </w:rPr>
        <w:t> </w:t>
      </w:r>
      <w:r>
        <w:rPr>
          <w:sz w:val="18"/>
        </w:rPr>
        <w:t>the</w:t>
      </w:r>
      <w:r>
        <w:rPr>
          <w:spacing w:val="-11"/>
          <w:sz w:val="18"/>
        </w:rPr>
        <w:t> </w:t>
      </w:r>
      <w:r>
        <w:rPr>
          <w:sz w:val="18"/>
        </w:rPr>
        <w:t>specific</w:t>
      </w:r>
      <w:r>
        <w:rPr>
          <w:spacing w:val="-10"/>
          <w:sz w:val="18"/>
        </w:rPr>
        <w:t> </w:t>
      </w:r>
      <w:r>
        <w:rPr>
          <w:sz w:val="18"/>
        </w:rPr>
        <w:t>case</w:t>
      </w:r>
      <w:r>
        <w:rPr>
          <w:spacing w:val="-11"/>
          <w:sz w:val="18"/>
        </w:rPr>
        <w:t> </w:t>
      </w:r>
      <w:r>
        <w:rPr>
          <w:sz w:val="18"/>
        </w:rPr>
        <w:t>of</w:t>
      </w:r>
      <w:r>
        <w:rPr>
          <w:spacing w:val="-10"/>
          <w:sz w:val="18"/>
        </w:rPr>
        <w:t> </w:t>
      </w:r>
      <w:r>
        <w:rPr>
          <w:sz w:val="18"/>
        </w:rPr>
        <w:t>partnerships that are not subject to CIT, the tax expense would merely account for the withholding tax levied upon distribution of the profits to the</w:t>
      </w:r>
      <w:r>
        <w:rPr>
          <w:spacing w:val="-4"/>
          <w:sz w:val="18"/>
        </w:rPr>
        <w:t> </w:t>
      </w:r>
      <w:r>
        <w:rPr>
          <w:sz w:val="18"/>
        </w:rPr>
        <w:t>partners.</w:t>
      </w:r>
    </w:p>
    <w:p>
      <w:pPr>
        <w:pStyle w:val="ListParagraph"/>
        <w:numPr>
          <w:ilvl w:val="0"/>
          <w:numId w:val="14"/>
        </w:numPr>
        <w:tabs>
          <w:tab w:pos="928" w:val="left" w:leader="none"/>
        </w:tabs>
        <w:spacing w:line="240" w:lineRule="auto" w:before="77" w:after="0"/>
        <w:ind w:left="927" w:right="0" w:hanging="205"/>
        <w:jc w:val="both"/>
        <w:rPr>
          <w:sz w:val="18"/>
        </w:rPr>
      </w:pPr>
      <w:r>
        <w:rPr>
          <w:sz w:val="18"/>
        </w:rPr>
        <w:t>This includes income taxes on excluded income for the purposes of computing the Amount A tax</w:t>
      </w:r>
      <w:r>
        <w:rPr>
          <w:spacing w:val="-23"/>
          <w:sz w:val="18"/>
        </w:rPr>
        <w:t> </w:t>
      </w:r>
      <w:r>
        <w:rPr>
          <w:sz w:val="18"/>
        </w:rPr>
        <w:t>base.</w:t>
      </w:r>
    </w:p>
    <w:p>
      <w:pPr>
        <w:pStyle w:val="ListParagraph"/>
        <w:numPr>
          <w:ilvl w:val="0"/>
          <w:numId w:val="14"/>
        </w:numPr>
        <w:tabs>
          <w:tab w:pos="928" w:val="left" w:leader="none"/>
        </w:tabs>
        <w:spacing w:line="240" w:lineRule="auto" w:before="110" w:after="0"/>
        <w:ind w:left="927" w:right="0" w:hanging="205"/>
        <w:jc w:val="both"/>
        <w:rPr>
          <w:sz w:val="18"/>
        </w:rPr>
      </w:pPr>
      <w:r>
        <w:rPr>
          <w:sz w:val="18"/>
        </w:rPr>
        <w:t>[Cross-reference to chapter 4 (section 4-7) of GloBE</w:t>
      </w:r>
      <w:r>
        <w:rPr>
          <w:spacing w:val="-11"/>
          <w:sz w:val="18"/>
        </w:rPr>
        <w:t> </w:t>
      </w:r>
      <w:r>
        <w:rPr>
          <w:sz w:val="18"/>
        </w:rPr>
        <w:t>rules].</w:t>
      </w:r>
    </w:p>
    <w:p>
      <w:pPr>
        <w:spacing w:after="0" w:line="240"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discussion, however, such as the option of introducing some conditions or restrictions to this exclusion (e.g.</w:t>
      </w:r>
      <w:r>
        <w:rPr>
          <w:spacing w:val="-7"/>
        </w:rPr>
        <w:t> </w:t>
      </w:r>
      <w:r>
        <w:rPr/>
        <w:t>specific</w:t>
      </w:r>
      <w:r>
        <w:rPr>
          <w:spacing w:val="-6"/>
        </w:rPr>
        <w:t> </w:t>
      </w:r>
      <w:r>
        <w:rPr/>
        <w:t>percentage</w:t>
      </w:r>
      <w:r>
        <w:rPr>
          <w:spacing w:val="-8"/>
        </w:rPr>
        <w:t> </w:t>
      </w:r>
      <w:r>
        <w:rPr/>
        <w:t>of</w:t>
      </w:r>
      <w:r>
        <w:rPr>
          <w:spacing w:val="-6"/>
        </w:rPr>
        <w:t> </w:t>
      </w:r>
      <w:r>
        <w:rPr/>
        <w:t>ownership,</w:t>
      </w:r>
      <w:r>
        <w:rPr>
          <w:spacing w:val="-8"/>
        </w:rPr>
        <w:t> </w:t>
      </w:r>
      <w:r>
        <w:rPr/>
        <w:t>holding</w:t>
      </w:r>
      <w:r>
        <w:rPr>
          <w:spacing w:val="-8"/>
        </w:rPr>
        <w:t> </w:t>
      </w:r>
      <w:r>
        <w:rPr/>
        <w:t>period).</w:t>
      </w:r>
      <w:r>
        <w:rPr>
          <w:spacing w:val="-7"/>
        </w:rPr>
        <w:t> </w:t>
      </w:r>
      <w:r>
        <w:rPr/>
        <w:t>As</w:t>
      </w:r>
      <w:r>
        <w:rPr>
          <w:spacing w:val="-6"/>
        </w:rPr>
        <w:t> </w:t>
      </w:r>
      <w:r>
        <w:rPr/>
        <w:t>part</w:t>
      </w:r>
      <w:r>
        <w:rPr>
          <w:spacing w:val="-7"/>
        </w:rPr>
        <w:t> </w:t>
      </w:r>
      <w:r>
        <w:rPr/>
        <w:t>of</w:t>
      </w:r>
      <w:r>
        <w:rPr>
          <w:spacing w:val="-6"/>
        </w:rPr>
        <w:t> </w:t>
      </w:r>
      <w:r>
        <w:rPr/>
        <w:t>this,</w:t>
      </w:r>
      <w:r>
        <w:rPr>
          <w:spacing w:val="-6"/>
        </w:rPr>
        <w:t> </w:t>
      </w:r>
      <w:r>
        <w:rPr/>
        <w:t>the</w:t>
      </w:r>
      <w:r>
        <w:rPr>
          <w:spacing w:val="-8"/>
        </w:rPr>
        <w:t> </w:t>
      </w:r>
      <w:r>
        <w:rPr/>
        <w:t>treatment</w:t>
      </w:r>
      <w:r>
        <w:rPr>
          <w:spacing w:val="-7"/>
        </w:rPr>
        <w:t> </w:t>
      </w:r>
      <w:r>
        <w:rPr/>
        <w:t>of</w:t>
      </w:r>
      <w:r>
        <w:rPr>
          <w:spacing w:val="2"/>
        </w:rPr>
        <w:t> </w:t>
      </w:r>
      <w:r>
        <w:rPr/>
        <w:t>expenses</w:t>
      </w:r>
      <w:r>
        <w:rPr>
          <w:spacing w:val="-7"/>
        </w:rPr>
        <w:t> </w:t>
      </w:r>
      <w:r>
        <w:rPr/>
        <w:t>incurred in connection with dividend income or the generation of gains or losses from shares is also under discussion. This issue will require balancing the challenges associated with tracing these expenses in the financial</w:t>
      </w:r>
      <w:r>
        <w:rPr>
          <w:spacing w:val="-7"/>
        </w:rPr>
        <w:t> </w:t>
      </w:r>
      <w:r>
        <w:rPr/>
        <w:t>accounts</w:t>
      </w:r>
      <w:r>
        <w:rPr>
          <w:spacing w:val="-6"/>
        </w:rPr>
        <w:t> </w:t>
      </w:r>
      <w:r>
        <w:rPr/>
        <w:t>and</w:t>
      </w:r>
      <w:r>
        <w:rPr>
          <w:spacing w:val="-7"/>
        </w:rPr>
        <w:t> </w:t>
      </w:r>
      <w:r>
        <w:rPr/>
        <w:t>the</w:t>
      </w:r>
      <w:r>
        <w:rPr>
          <w:spacing w:val="-7"/>
        </w:rPr>
        <w:t> </w:t>
      </w:r>
      <w:r>
        <w:rPr/>
        <w:t>risk</w:t>
      </w:r>
      <w:r>
        <w:rPr>
          <w:spacing w:val="-3"/>
        </w:rPr>
        <w:t> </w:t>
      </w:r>
      <w:r>
        <w:rPr/>
        <w:t>of</w:t>
      </w:r>
      <w:r>
        <w:rPr>
          <w:spacing w:val="-5"/>
        </w:rPr>
        <w:t> </w:t>
      </w:r>
      <w:r>
        <w:rPr/>
        <w:t>erosion</w:t>
      </w:r>
      <w:r>
        <w:rPr>
          <w:spacing w:val="-7"/>
        </w:rPr>
        <w:t> </w:t>
      </w:r>
      <w:r>
        <w:rPr/>
        <w:t>of</w:t>
      </w:r>
      <w:r>
        <w:rPr>
          <w:spacing w:val="-5"/>
        </w:rPr>
        <w:t> </w:t>
      </w:r>
      <w:r>
        <w:rPr/>
        <w:t>Amount</w:t>
      </w:r>
      <w:r>
        <w:rPr>
          <w:spacing w:val="-7"/>
        </w:rPr>
        <w:t> </w:t>
      </w:r>
      <w:r>
        <w:rPr/>
        <w:t>A</w:t>
      </w:r>
      <w:r>
        <w:rPr>
          <w:spacing w:val="-7"/>
        </w:rPr>
        <w:t> </w:t>
      </w:r>
      <w:r>
        <w:rPr/>
        <w:t>tax</w:t>
      </w:r>
      <w:r>
        <w:rPr>
          <w:spacing w:val="-6"/>
        </w:rPr>
        <w:t> </w:t>
      </w:r>
      <w:r>
        <w:rPr/>
        <w:t>base</w:t>
      </w:r>
      <w:r>
        <w:rPr>
          <w:spacing w:val="-6"/>
        </w:rPr>
        <w:t> </w:t>
      </w:r>
      <w:r>
        <w:rPr/>
        <w:t>(e.g.</w:t>
      </w:r>
      <w:r>
        <w:rPr>
          <w:spacing w:val="-7"/>
        </w:rPr>
        <w:t> </w:t>
      </w:r>
      <w:r>
        <w:rPr/>
        <w:t>financial</w:t>
      </w:r>
      <w:r>
        <w:rPr>
          <w:spacing w:val="-7"/>
        </w:rPr>
        <w:t> </w:t>
      </w:r>
      <w:r>
        <w:rPr/>
        <w:t>expenses</w:t>
      </w:r>
      <w:r>
        <w:rPr>
          <w:spacing w:val="-6"/>
        </w:rPr>
        <w:t> </w:t>
      </w:r>
      <w:r>
        <w:rPr/>
        <w:t>related</w:t>
      </w:r>
      <w:r>
        <w:rPr>
          <w:spacing w:val="-7"/>
        </w:rPr>
        <w:t> </w:t>
      </w:r>
      <w:r>
        <w:rPr/>
        <w:t>to</w:t>
      </w:r>
      <w:r>
        <w:rPr>
          <w:spacing w:val="-7"/>
        </w:rPr>
        <w:t> </w:t>
      </w:r>
      <w:r>
        <w:rPr/>
        <w:t>funding acquisitions of shareholdings).</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As a corollary, any profit or loss derived from using the equity method of accounting will also be excluded, consistent with the approach adopted under Pillar Two.</w:t>
      </w:r>
      <w:r>
        <w:rPr>
          <w:position w:val="6"/>
          <w:sz w:val="13"/>
        </w:rPr>
        <w:t>74 </w:t>
      </w:r>
      <w:r>
        <w:rPr>
          <w:sz w:val="20"/>
        </w:rPr>
        <w:t>Generally, the equity method applies to investments in entities or arrangements in which the investor owns a substantial interest (generally between</w:t>
      </w:r>
      <w:r>
        <w:rPr>
          <w:spacing w:val="-6"/>
          <w:sz w:val="20"/>
        </w:rPr>
        <w:t> </w:t>
      </w:r>
      <w:r>
        <w:rPr>
          <w:sz w:val="20"/>
        </w:rPr>
        <w:t>20%</w:t>
      </w:r>
      <w:r>
        <w:rPr>
          <w:spacing w:val="-4"/>
          <w:sz w:val="20"/>
        </w:rPr>
        <w:t> </w:t>
      </w:r>
      <w:r>
        <w:rPr>
          <w:sz w:val="20"/>
        </w:rPr>
        <w:t>and</w:t>
      </w:r>
      <w:r>
        <w:rPr>
          <w:spacing w:val="-6"/>
          <w:sz w:val="20"/>
        </w:rPr>
        <w:t> </w:t>
      </w:r>
      <w:r>
        <w:rPr>
          <w:sz w:val="20"/>
        </w:rPr>
        <w:t>50%)</w:t>
      </w:r>
      <w:r>
        <w:rPr>
          <w:spacing w:val="-3"/>
          <w:sz w:val="20"/>
        </w:rPr>
        <w:t> </w:t>
      </w:r>
      <w:r>
        <w:rPr>
          <w:sz w:val="20"/>
        </w:rPr>
        <w:t>that</w:t>
      </w:r>
      <w:r>
        <w:rPr>
          <w:spacing w:val="-6"/>
          <w:sz w:val="20"/>
        </w:rPr>
        <w:t> </w:t>
      </w:r>
      <w:r>
        <w:rPr>
          <w:sz w:val="20"/>
        </w:rPr>
        <w:t>are</w:t>
      </w:r>
      <w:r>
        <w:rPr>
          <w:spacing w:val="-5"/>
          <w:sz w:val="20"/>
        </w:rPr>
        <w:t> </w:t>
      </w:r>
      <w:r>
        <w:rPr>
          <w:sz w:val="20"/>
        </w:rPr>
        <w:t>not</w:t>
      </w:r>
      <w:r>
        <w:rPr>
          <w:spacing w:val="-6"/>
          <w:sz w:val="20"/>
        </w:rPr>
        <w:t> </w:t>
      </w:r>
      <w:r>
        <w:rPr>
          <w:sz w:val="20"/>
        </w:rPr>
        <w:t>consolidated</w:t>
      </w:r>
      <w:r>
        <w:rPr>
          <w:spacing w:val="-5"/>
          <w:sz w:val="20"/>
        </w:rPr>
        <w:t> </w:t>
      </w:r>
      <w:r>
        <w:rPr>
          <w:sz w:val="20"/>
        </w:rPr>
        <w:t>under</w:t>
      </w:r>
      <w:r>
        <w:rPr>
          <w:spacing w:val="-7"/>
          <w:sz w:val="20"/>
        </w:rPr>
        <w:t> </w:t>
      </w:r>
      <w:r>
        <w:rPr>
          <w:sz w:val="20"/>
        </w:rPr>
        <w:t>financial</w:t>
      </w:r>
      <w:r>
        <w:rPr>
          <w:spacing w:val="-6"/>
          <w:sz w:val="20"/>
        </w:rPr>
        <w:t> </w:t>
      </w:r>
      <w:r>
        <w:rPr>
          <w:sz w:val="20"/>
        </w:rPr>
        <w:t>accounting</w:t>
      </w:r>
      <w:r>
        <w:rPr>
          <w:spacing w:val="-7"/>
          <w:sz w:val="20"/>
        </w:rPr>
        <w:t> </w:t>
      </w:r>
      <w:r>
        <w:rPr>
          <w:sz w:val="20"/>
        </w:rPr>
        <w:t>standards.</w:t>
      </w:r>
      <w:r>
        <w:rPr>
          <w:spacing w:val="-6"/>
          <w:sz w:val="20"/>
        </w:rPr>
        <w:t> </w:t>
      </w:r>
      <w:r>
        <w:rPr>
          <w:sz w:val="20"/>
        </w:rPr>
        <w:t>These</w:t>
      </w:r>
      <w:r>
        <w:rPr>
          <w:spacing w:val="1"/>
          <w:sz w:val="20"/>
        </w:rPr>
        <w:t> </w:t>
      </w:r>
      <w:r>
        <w:rPr>
          <w:sz w:val="20"/>
        </w:rPr>
        <w:t>ownership interests are effectively treated as transparent, recognising the investor’s proportionate share of the entity or</w:t>
      </w:r>
      <w:r>
        <w:rPr>
          <w:spacing w:val="-12"/>
          <w:sz w:val="20"/>
        </w:rPr>
        <w:t> </w:t>
      </w:r>
      <w:r>
        <w:rPr>
          <w:sz w:val="20"/>
        </w:rPr>
        <w:t>arrangement’s</w:t>
      </w:r>
      <w:r>
        <w:rPr>
          <w:spacing w:val="-10"/>
          <w:sz w:val="20"/>
        </w:rPr>
        <w:t> </w:t>
      </w:r>
      <w:r>
        <w:rPr>
          <w:sz w:val="20"/>
        </w:rPr>
        <w:t>after-tax</w:t>
      </w:r>
      <w:r>
        <w:rPr>
          <w:spacing w:val="-11"/>
          <w:sz w:val="20"/>
        </w:rPr>
        <w:t> </w:t>
      </w:r>
      <w:r>
        <w:rPr>
          <w:sz w:val="20"/>
        </w:rPr>
        <w:t>income</w:t>
      </w:r>
      <w:r>
        <w:rPr>
          <w:spacing w:val="-12"/>
          <w:sz w:val="20"/>
        </w:rPr>
        <w:t> </w:t>
      </w:r>
      <w:r>
        <w:rPr>
          <w:sz w:val="20"/>
        </w:rPr>
        <w:t>or</w:t>
      </w:r>
      <w:r>
        <w:rPr>
          <w:spacing w:val="-11"/>
          <w:sz w:val="20"/>
        </w:rPr>
        <w:t> </w:t>
      </w:r>
      <w:r>
        <w:rPr>
          <w:sz w:val="20"/>
        </w:rPr>
        <w:t>loss.</w:t>
      </w:r>
      <w:r>
        <w:rPr>
          <w:sz w:val="20"/>
          <w:vertAlign w:val="superscript"/>
        </w:rPr>
        <w:t>75</w:t>
      </w:r>
      <w:r>
        <w:rPr>
          <w:spacing w:val="-12"/>
          <w:sz w:val="20"/>
          <w:vertAlign w:val="baseline"/>
        </w:rPr>
        <w:t> </w:t>
      </w:r>
      <w:r>
        <w:rPr>
          <w:sz w:val="20"/>
          <w:vertAlign w:val="baseline"/>
        </w:rPr>
        <w:t>The</w:t>
      </w:r>
      <w:r>
        <w:rPr>
          <w:spacing w:val="-12"/>
          <w:sz w:val="20"/>
          <w:vertAlign w:val="baseline"/>
        </w:rPr>
        <w:t> </w:t>
      </w:r>
      <w:r>
        <w:rPr>
          <w:sz w:val="20"/>
          <w:vertAlign w:val="baseline"/>
        </w:rPr>
        <w:t>Inclusive</w:t>
      </w:r>
      <w:r>
        <w:rPr>
          <w:spacing w:val="-12"/>
          <w:sz w:val="20"/>
          <w:vertAlign w:val="baseline"/>
        </w:rPr>
        <w:t> </w:t>
      </w:r>
      <w:r>
        <w:rPr>
          <w:sz w:val="20"/>
          <w:vertAlign w:val="baseline"/>
        </w:rPr>
        <w:t>Framework</w:t>
      </w:r>
      <w:r>
        <w:rPr>
          <w:spacing w:val="-7"/>
          <w:sz w:val="20"/>
          <w:vertAlign w:val="baseline"/>
        </w:rPr>
        <w:t> </w:t>
      </w:r>
      <w:r>
        <w:rPr>
          <w:sz w:val="20"/>
          <w:vertAlign w:val="baseline"/>
        </w:rPr>
        <w:t>is,</w:t>
      </w:r>
      <w:r>
        <w:rPr>
          <w:spacing w:val="-11"/>
          <w:sz w:val="20"/>
          <w:vertAlign w:val="baseline"/>
        </w:rPr>
        <w:t> </w:t>
      </w:r>
      <w:r>
        <w:rPr>
          <w:sz w:val="20"/>
          <w:vertAlign w:val="baseline"/>
        </w:rPr>
        <w:t>however,</w:t>
      </w:r>
      <w:r>
        <w:rPr>
          <w:spacing w:val="-11"/>
          <w:sz w:val="20"/>
          <w:vertAlign w:val="baseline"/>
        </w:rPr>
        <w:t> </w:t>
      </w:r>
      <w:r>
        <w:rPr>
          <w:sz w:val="20"/>
          <w:vertAlign w:val="baseline"/>
        </w:rPr>
        <w:t>discussing</w:t>
      </w:r>
      <w:r>
        <w:rPr>
          <w:spacing w:val="-9"/>
          <w:sz w:val="20"/>
          <w:vertAlign w:val="baseline"/>
        </w:rPr>
        <w:t> </w:t>
      </w:r>
      <w:r>
        <w:rPr>
          <w:sz w:val="20"/>
          <w:vertAlign w:val="baseline"/>
        </w:rPr>
        <w:t>whether</w:t>
      </w:r>
      <w:r>
        <w:rPr>
          <w:spacing w:val="-12"/>
          <w:sz w:val="20"/>
          <w:vertAlign w:val="baseline"/>
        </w:rPr>
        <w:t> </w:t>
      </w:r>
      <w:r>
        <w:rPr>
          <w:sz w:val="20"/>
          <w:vertAlign w:val="baseline"/>
        </w:rPr>
        <w:t>this adjustment should not apply to income derived from joint ventures, in particular where that income does not represent retained earnings that have already been (or will be) subject to Amount A at the level of the entity or arrangement (e.g. because the revenue of the joint venture falls below the scope revenue thresholds).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This issue can be illustrated through the following example. Assume MNE Group A and </w:t>
      </w:r>
      <w:r>
        <w:rPr>
          <w:spacing w:val="2"/>
          <w:sz w:val="20"/>
        </w:rPr>
        <w:t>MNE </w:t>
      </w:r>
      <w:r>
        <w:rPr>
          <w:sz w:val="20"/>
        </w:rPr>
        <w:t>Group</w:t>
      </w:r>
      <w:r>
        <w:rPr>
          <w:spacing w:val="-8"/>
          <w:sz w:val="20"/>
        </w:rPr>
        <w:t> </w:t>
      </w:r>
      <w:r>
        <w:rPr>
          <w:sz w:val="20"/>
        </w:rPr>
        <w:t>B</w:t>
      </w:r>
      <w:r>
        <w:rPr>
          <w:spacing w:val="-9"/>
          <w:sz w:val="20"/>
        </w:rPr>
        <w:t> </w:t>
      </w:r>
      <w:r>
        <w:rPr>
          <w:sz w:val="20"/>
        </w:rPr>
        <w:t>constitute</w:t>
      </w:r>
      <w:r>
        <w:rPr>
          <w:spacing w:val="-7"/>
          <w:sz w:val="20"/>
        </w:rPr>
        <w:t> </w:t>
      </w:r>
      <w:r>
        <w:rPr>
          <w:sz w:val="20"/>
        </w:rPr>
        <w:t>a</w:t>
      </w:r>
      <w:r>
        <w:rPr>
          <w:spacing w:val="-7"/>
          <w:sz w:val="20"/>
        </w:rPr>
        <w:t> </w:t>
      </w:r>
      <w:r>
        <w:rPr>
          <w:sz w:val="20"/>
        </w:rPr>
        <w:t>joint</w:t>
      </w:r>
      <w:r>
        <w:rPr>
          <w:spacing w:val="-6"/>
          <w:sz w:val="20"/>
        </w:rPr>
        <w:t> </w:t>
      </w:r>
      <w:r>
        <w:rPr>
          <w:sz w:val="20"/>
        </w:rPr>
        <w:t>venture</w:t>
      </w:r>
      <w:r>
        <w:rPr>
          <w:spacing w:val="-4"/>
          <w:sz w:val="20"/>
        </w:rPr>
        <w:t> </w:t>
      </w:r>
      <w:r>
        <w:rPr>
          <w:sz w:val="20"/>
        </w:rPr>
        <w:t>where</w:t>
      </w:r>
      <w:r>
        <w:rPr>
          <w:spacing w:val="-6"/>
          <w:sz w:val="20"/>
        </w:rPr>
        <w:t> </w:t>
      </w:r>
      <w:r>
        <w:rPr>
          <w:sz w:val="20"/>
        </w:rPr>
        <w:t>each</w:t>
      </w:r>
      <w:r>
        <w:rPr>
          <w:spacing w:val="-7"/>
          <w:sz w:val="20"/>
        </w:rPr>
        <w:t> </w:t>
      </w:r>
      <w:r>
        <w:rPr>
          <w:sz w:val="20"/>
        </w:rPr>
        <w:t>group</w:t>
      </w:r>
      <w:r>
        <w:rPr>
          <w:spacing w:val="-7"/>
          <w:sz w:val="20"/>
        </w:rPr>
        <w:t> </w:t>
      </w:r>
      <w:r>
        <w:rPr>
          <w:sz w:val="20"/>
        </w:rPr>
        <w:t>owns</w:t>
      </w:r>
      <w:r>
        <w:rPr>
          <w:spacing w:val="-8"/>
          <w:sz w:val="20"/>
        </w:rPr>
        <w:t> </w:t>
      </w:r>
      <w:r>
        <w:rPr>
          <w:sz w:val="20"/>
        </w:rPr>
        <w:t>an</w:t>
      </w:r>
      <w:r>
        <w:rPr>
          <w:spacing w:val="-8"/>
          <w:sz w:val="20"/>
        </w:rPr>
        <w:t> </w:t>
      </w:r>
      <w:r>
        <w:rPr>
          <w:sz w:val="20"/>
        </w:rPr>
        <w:t>interest</w:t>
      </w:r>
      <w:r>
        <w:rPr>
          <w:spacing w:val="-9"/>
          <w:sz w:val="20"/>
        </w:rPr>
        <w:t> </w:t>
      </w:r>
      <w:r>
        <w:rPr>
          <w:sz w:val="20"/>
        </w:rPr>
        <w:t>of</w:t>
      </w:r>
      <w:r>
        <w:rPr>
          <w:spacing w:val="-7"/>
          <w:sz w:val="20"/>
        </w:rPr>
        <w:t> </w:t>
      </w:r>
      <w:r>
        <w:rPr>
          <w:sz w:val="20"/>
        </w:rPr>
        <w:t>50%.</w:t>
      </w:r>
      <w:r>
        <w:rPr>
          <w:spacing w:val="-6"/>
          <w:sz w:val="20"/>
        </w:rPr>
        <w:t> </w:t>
      </w:r>
      <w:r>
        <w:rPr>
          <w:sz w:val="20"/>
        </w:rPr>
        <w:t>The</w:t>
      </w:r>
      <w:r>
        <w:rPr>
          <w:spacing w:val="-9"/>
          <w:sz w:val="20"/>
        </w:rPr>
        <w:t> </w:t>
      </w:r>
      <w:r>
        <w:rPr>
          <w:sz w:val="20"/>
        </w:rPr>
        <w:t>joint</w:t>
      </w:r>
      <w:r>
        <w:rPr>
          <w:spacing w:val="-7"/>
          <w:sz w:val="20"/>
        </w:rPr>
        <w:t> </w:t>
      </w:r>
      <w:r>
        <w:rPr>
          <w:sz w:val="20"/>
        </w:rPr>
        <w:t>venture</w:t>
      </w:r>
      <w:r>
        <w:rPr>
          <w:spacing w:val="-7"/>
          <w:sz w:val="20"/>
        </w:rPr>
        <w:t> </w:t>
      </w:r>
      <w:r>
        <w:rPr>
          <w:sz w:val="20"/>
        </w:rPr>
        <w:t>generates revenue</w:t>
      </w:r>
      <w:r>
        <w:rPr>
          <w:spacing w:val="-12"/>
          <w:sz w:val="20"/>
        </w:rPr>
        <w:t> </w:t>
      </w:r>
      <w:r>
        <w:rPr>
          <w:sz w:val="20"/>
        </w:rPr>
        <w:t>below</w:t>
      </w:r>
      <w:r>
        <w:rPr>
          <w:spacing w:val="-13"/>
          <w:sz w:val="20"/>
        </w:rPr>
        <w:t> </w:t>
      </w:r>
      <w:r>
        <w:rPr>
          <w:sz w:val="20"/>
        </w:rPr>
        <w:t>the</w:t>
      </w:r>
      <w:r>
        <w:rPr>
          <w:spacing w:val="-12"/>
          <w:sz w:val="20"/>
        </w:rPr>
        <w:t> </w:t>
      </w:r>
      <w:r>
        <w:rPr>
          <w:sz w:val="20"/>
        </w:rPr>
        <w:t>Amount</w:t>
      </w:r>
      <w:r>
        <w:rPr>
          <w:spacing w:val="-8"/>
          <w:sz w:val="20"/>
        </w:rPr>
        <w:t> </w:t>
      </w:r>
      <w:r>
        <w:rPr>
          <w:sz w:val="20"/>
        </w:rPr>
        <w:t>A</w:t>
      </w:r>
      <w:r>
        <w:rPr>
          <w:spacing w:val="-12"/>
          <w:sz w:val="20"/>
        </w:rPr>
        <w:t> </w:t>
      </w:r>
      <w:r>
        <w:rPr>
          <w:sz w:val="20"/>
        </w:rPr>
        <w:t>revenue</w:t>
      </w:r>
      <w:r>
        <w:rPr>
          <w:spacing w:val="-12"/>
          <w:sz w:val="20"/>
        </w:rPr>
        <w:t> </w:t>
      </w:r>
      <w:r>
        <w:rPr>
          <w:sz w:val="20"/>
        </w:rPr>
        <w:t>threshold</w:t>
      </w:r>
      <w:r>
        <w:rPr>
          <w:spacing w:val="-12"/>
          <w:sz w:val="20"/>
        </w:rPr>
        <w:t> </w:t>
      </w:r>
      <w:r>
        <w:rPr>
          <w:sz w:val="20"/>
        </w:rPr>
        <w:t>and</w:t>
      </w:r>
      <w:r>
        <w:rPr>
          <w:spacing w:val="-11"/>
          <w:sz w:val="20"/>
        </w:rPr>
        <w:t> </w:t>
      </w:r>
      <w:r>
        <w:rPr>
          <w:sz w:val="20"/>
        </w:rPr>
        <w:t>is</w:t>
      </w:r>
      <w:r>
        <w:rPr>
          <w:spacing w:val="-10"/>
          <w:sz w:val="20"/>
        </w:rPr>
        <w:t> </w:t>
      </w:r>
      <w:r>
        <w:rPr>
          <w:sz w:val="20"/>
        </w:rPr>
        <w:t>therefore</w:t>
      </w:r>
      <w:r>
        <w:rPr>
          <w:spacing w:val="-11"/>
          <w:sz w:val="20"/>
        </w:rPr>
        <w:t> </w:t>
      </w:r>
      <w:r>
        <w:rPr>
          <w:sz w:val="20"/>
        </w:rPr>
        <w:t>not</w:t>
      </w:r>
      <w:r>
        <w:rPr>
          <w:spacing w:val="-3"/>
          <w:sz w:val="20"/>
        </w:rPr>
        <w:t> </w:t>
      </w:r>
      <w:r>
        <w:rPr>
          <w:sz w:val="20"/>
        </w:rPr>
        <w:t>in</w:t>
      </w:r>
      <w:r>
        <w:rPr>
          <w:spacing w:val="-11"/>
          <w:sz w:val="20"/>
        </w:rPr>
        <w:t> </w:t>
      </w:r>
      <w:r>
        <w:rPr>
          <w:sz w:val="20"/>
        </w:rPr>
        <w:t>scope</w:t>
      </w:r>
      <w:r>
        <w:rPr>
          <w:spacing w:val="-9"/>
          <w:sz w:val="20"/>
        </w:rPr>
        <w:t> </w:t>
      </w:r>
      <w:r>
        <w:rPr>
          <w:sz w:val="20"/>
        </w:rPr>
        <w:t>of</w:t>
      </w:r>
      <w:r>
        <w:rPr>
          <w:spacing w:val="-9"/>
          <w:sz w:val="20"/>
        </w:rPr>
        <w:t> </w:t>
      </w:r>
      <w:r>
        <w:rPr>
          <w:sz w:val="20"/>
        </w:rPr>
        <w:t>Amount</w:t>
      </w:r>
      <w:r>
        <w:rPr>
          <w:spacing w:val="-9"/>
          <w:sz w:val="20"/>
        </w:rPr>
        <w:t> </w:t>
      </w:r>
      <w:r>
        <w:rPr>
          <w:sz w:val="20"/>
        </w:rPr>
        <w:t>A.</w:t>
      </w:r>
      <w:r>
        <w:rPr>
          <w:spacing w:val="-10"/>
          <w:sz w:val="20"/>
        </w:rPr>
        <w:t> </w:t>
      </w:r>
      <w:r>
        <w:rPr>
          <w:sz w:val="20"/>
        </w:rPr>
        <w:t>Assume</w:t>
      </w:r>
      <w:r>
        <w:rPr>
          <w:spacing w:val="-12"/>
          <w:sz w:val="20"/>
        </w:rPr>
        <w:t> </w:t>
      </w:r>
      <w:r>
        <w:rPr>
          <w:sz w:val="20"/>
        </w:rPr>
        <w:t>further that</w:t>
      </w:r>
      <w:r>
        <w:rPr>
          <w:spacing w:val="-6"/>
          <w:sz w:val="20"/>
        </w:rPr>
        <w:t> </w:t>
      </w:r>
      <w:r>
        <w:rPr>
          <w:sz w:val="20"/>
        </w:rPr>
        <w:t>the</w:t>
      </w:r>
      <w:r>
        <w:rPr>
          <w:spacing w:val="-6"/>
          <w:sz w:val="20"/>
        </w:rPr>
        <w:t> </w:t>
      </w:r>
      <w:r>
        <w:rPr>
          <w:sz w:val="20"/>
        </w:rPr>
        <w:t>joint</w:t>
      </w:r>
      <w:r>
        <w:rPr>
          <w:spacing w:val="-6"/>
          <w:sz w:val="20"/>
        </w:rPr>
        <w:t> </w:t>
      </w:r>
      <w:r>
        <w:rPr>
          <w:sz w:val="20"/>
        </w:rPr>
        <w:t>venture</w:t>
      </w:r>
      <w:r>
        <w:rPr>
          <w:spacing w:val="-8"/>
          <w:sz w:val="20"/>
        </w:rPr>
        <w:t> </w:t>
      </w:r>
      <w:r>
        <w:rPr>
          <w:sz w:val="20"/>
        </w:rPr>
        <w:t>makes</w:t>
      </w:r>
      <w:r>
        <w:rPr>
          <w:spacing w:val="-9"/>
          <w:sz w:val="20"/>
        </w:rPr>
        <w:t> </w:t>
      </w:r>
      <w:r>
        <w:rPr>
          <w:sz w:val="20"/>
        </w:rPr>
        <w:t>a</w:t>
      </w:r>
      <w:r>
        <w:rPr>
          <w:spacing w:val="-5"/>
          <w:sz w:val="20"/>
        </w:rPr>
        <w:t> </w:t>
      </w:r>
      <w:r>
        <w:rPr>
          <w:sz w:val="20"/>
        </w:rPr>
        <w:t>profit</w:t>
      </w:r>
      <w:r>
        <w:rPr>
          <w:spacing w:val="-5"/>
          <w:sz w:val="20"/>
        </w:rPr>
        <w:t> </w:t>
      </w:r>
      <w:r>
        <w:rPr>
          <w:sz w:val="20"/>
        </w:rPr>
        <w:t>of</w:t>
      </w:r>
      <w:r>
        <w:rPr>
          <w:spacing w:val="-6"/>
          <w:sz w:val="20"/>
        </w:rPr>
        <w:t> </w:t>
      </w:r>
      <w:r>
        <w:rPr>
          <w:sz w:val="20"/>
        </w:rPr>
        <w:t>100</w:t>
      </w:r>
      <w:r>
        <w:rPr>
          <w:spacing w:val="-2"/>
          <w:sz w:val="20"/>
        </w:rPr>
        <w:t> </w:t>
      </w:r>
      <w:r>
        <w:rPr>
          <w:sz w:val="20"/>
        </w:rPr>
        <w:t>during</w:t>
      </w:r>
      <w:r>
        <w:rPr>
          <w:spacing w:val="-6"/>
          <w:sz w:val="20"/>
        </w:rPr>
        <w:t> </w:t>
      </w:r>
      <w:r>
        <w:rPr>
          <w:sz w:val="20"/>
        </w:rPr>
        <w:t>the</w:t>
      </w:r>
      <w:r>
        <w:rPr>
          <w:spacing w:val="-6"/>
          <w:sz w:val="20"/>
        </w:rPr>
        <w:t> </w:t>
      </w:r>
      <w:r>
        <w:rPr>
          <w:sz w:val="20"/>
        </w:rPr>
        <w:t>first</w:t>
      </w:r>
      <w:r>
        <w:rPr>
          <w:spacing w:val="-8"/>
          <w:sz w:val="20"/>
        </w:rPr>
        <w:t> </w:t>
      </w:r>
      <w:r>
        <w:rPr>
          <w:sz w:val="20"/>
        </w:rPr>
        <w:t>period</w:t>
      </w:r>
      <w:r>
        <w:rPr>
          <w:spacing w:val="-5"/>
          <w:sz w:val="20"/>
        </w:rPr>
        <w:t> </w:t>
      </w:r>
      <w:r>
        <w:rPr>
          <w:sz w:val="20"/>
        </w:rPr>
        <w:t>and</w:t>
      </w:r>
      <w:r>
        <w:rPr>
          <w:spacing w:val="-8"/>
          <w:sz w:val="20"/>
        </w:rPr>
        <w:t> </w:t>
      </w:r>
      <w:r>
        <w:rPr>
          <w:sz w:val="20"/>
        </w:rPr>
        <w:t>Group</w:t>
      </w:r>
      <w:r>
        <w:rPr>
          <w:spacing w:val="-6"/>
          <w:sz w:val="20"/>
        </w:rPr>
        <w:t> </w:t>
      </w:r>
      <w:r>
        <w:rPr>
          <w:sz w:val="20"/>
        </w:rPr>
        <w:t>A</w:t>
      </w:r>
      <w:r>
        <w:rPr>
          <w:spacing w:val="-6"/>
          <w:sz w:val="20"/>
        </w:rPr>
        <w:t> </w:t>
      </w:r>
      <w:r>
        <w:rPr>
          <w:sz w:val="20"/>
        </w:rPr>
        <w:t>and</w:t>
      </w:r>
      <w:r>
        <w:rPr>
          <w:spacing w:val="-6"/>
          <w:sz w:val="20"/>
        </w:rPr>
        <w:t> </w:t>
      </w:r>
      <w:r>
        <w:rPr>
          <w:sz w:val="20"/>
        </w:rPr>
        <w:t>Group</w:t>
      </w:r>
      <w:r>
        <w:rPr>
          <w:spacing w:val="2"/>
          <w:sz w:val="20"/>
        </w:rPr>
        <w:t> </w:t>
      </w:r>
      <w:r>
        <w:rPr>
          <w:sz w:val="20"/>
        </w:rPr>
        <w:t>B</w:t>
      </w:r>
      <w:r>
        <w:rPr>
          <w:spacing w:val="-6"/>
          <w:sz w:val="20"/>
        </w:rPr>
        <w:t> </w:t>
      </w:r>
      <w:r>
        <w:rPr>
          <w:sz w:val="20"/>
        </w:rPr>
        <w:t>account</w:t>
      </w:r>
      <w:r>
        <w:rPr>
          <w:spacing w:val="-7"/>
          <w:sz w:val="20"/>
        </w:rPr>
        <w:t> </w:t>
      </w:r>
      <w:r>
        <w:rPr>
          <w:sz w:val="20"/>
        </w:rPr>
        <w:t>for</w:t>
      </w:r>
      <w:r>
        <w:rPr>
          <w:spacing w:val="-5"/>
          <w:sz w:val="20"/>
        </w:rPr>
        <w:t> </w:t>
      </w:r>
      <w:r>
        <w:rPr>
          <w:sz w:val="20"/>
        </w:rPr>
        <w:t>50 profit each under the equity method. There is an argument to support the view that Group A and Group B income</w:t>
      </w:r>
      <w:r>
        <w:rPr>
          <w:spacing w:val="-11"/>
          <w:sz w:val="20"/>
        </w:rPr>
        <w:t> </w:t>
      </w:r>
      <w:r>
        <w:rPr>
          <w:sz w:val="20"/>
        </w:rPr>
        <w:t>under</w:t>
      </w:r>
      <w:r>
        <w:rPr>
          <w:spacing w:val="-10"/>
          <w:sz w:val="20"/>
        </w:rPr>
        <w:t> </w:t>
      </w:r>
      <w:r>
        <w:rPr>
          <w:sz w:val="20"/>
        </w:rPr>
        <w:t>the</w:t>
      </w:r>
      <w:r>
        <w:rPr>
          <w:spacing w:val="-8"/>
          <w:sz w:val="20"/>
        </w:rPr>
        <w:t> </w:t>
      </w:r>
      <w:r>
        <w:rPr>
          <w:sz w:val="20"/>
        </w:rPr>
        <w:t>equity</w:t>
      </w:r>
      <w:r>
        <w:rPr>
          <w:spacing w:val="-14"/>
          <w:sz w:val="20"/>
        </w:rPr>
        <w:t> </w:t>
      </w:r>
      <w:r>
        <w:rPr>
          <w:sz w:val="20"/>
        </w:rPr>
        <w:t>method</w:t>
      </w:r>
      <w:r>
        <w:rPr>
          <w:spacing w:val="-11"/>
          <w:sz w:val="20"/>
        </w:rPr>
        <w:t> </w:t>
      </w:r>
      <w:r>
        <w:rPr>
          <w:sz w:val="20"/>
        </w:rPr>
        <w:t>from</w:t>
      </w:r>
      <w:r>
        <w:rPr>
          <w:spacing w:val="-6"/>
          <w:sz w:val="20"/>
        </w:rPr>
        <w:t> </w:t>
      </w:r>
      <w:r>
        <w:rPr>
          <w:sz w:val="20"/>
        </w:rPr>
        <w:t>the</w:t>
      </w:r>
      <w:r>
        <w:rPr>
          <w:spacing w:val="-11"/>
          <w:sz w:val="20"/>
        </w:rPr>
        <w:t> </w:t>
      </w:r>
      <w:r>
        <w:rPr>
          <w:sz w:val="20"/>
        </w:rPr>
        <w:t>joint</w:t>
      </w:r>
      <w:r>
        <w:rPr>
          <w:spacing w:val="-11"/>
          <w:sz w:val="20"/>
        </w:rPr>
        <w:t> </w:t>
      </w:r>
      <w:r>
        <w:rPr>
          <w:sz w:val="20"/>
        </w:rPr>
        <w:t>venture</w:t>
      </w:r>
      <w:r>
        <w:rPr>
          <w:spacing w:val="-11"/>
          <w:sz w:val="20"/>
        </w:rPr>
        <w:t> </w:t>
      </w:r>
      <w:r>
        <w:rPr>
          <w:sz w:val="20"/>
        </w:rPr>
        <w:t>should</w:t>
      </w:r>
      <w:r>
        <w:rPr>
          <w:spacing w:val="-11"/>
          <w:sz w:val="20"/>
        </w:rPr>
        <w:t> </w:t>
      </w:r>
      <w:r>
        <w:rPr>
          <w:sz w:val="20"/>
        </w:rPr>
        <w:t>not</w:t>
      </w:r>
      <w:r>
        <w:rPr>
          <w:spacing w:val="-11"/>
          <w:sz w:val="20"/>
        </w:rPr>
        <w:t> </w:t>
      </w:r>
      <w:r>
        <w:rPr>
          <w:sz w:val="20"/>
        </w:rPr>
        <w:t>be</w:t>
      </w:r>
      <w:r>
        <w:rPr>
          <w:spacing w:val="-11"/>
          <w:sz w:val="20"/>
        </w:rPr>
        <w:t> </w:t>
      </w:r>
      <w:r>
        <w:rPr>
          <w:sz w:val="20"/>
        </w:rPr>
        <w:t>excluded</w:t>
      </w:r>
      <w:r>
        <w:rPr>
          <w:spacing w:val="-11"/>
          <w:sz w:val="20"/>
        </w:rPr>
        <w:t> </w:t>
      </w:r>
      <w:r>
        <w:rPr>
          <w:sz w:val="20"/>
        </w:rPr>
        <w:t>from</w:t>
      </w:r>
      <w:r>
        <w:rPr>
          <w:spacing w:val="-8"/>
          <w:sz w:val="20"/>
        </w:rPr>
        <w:t> </w:t>
      </w:r>
      <w:r>
        <w:rPr>
          <w:sz w:val="20"/>
        </w:rPr>
        <w:t>the</w:t>
      </w:r>
      <w:r>
        <w:rPr>
          <w:spacing w:val="-11"/>
          <w:sz w:val="20"/>
        </w:rPr>
        <w:t> </w:t>
      </w:r>
      <w:r>
        <w:rPr>
          <w:sz w:val="20"/>
        </w:rPr>
        <w:t>Amount</w:t>
      </w:r>
      <w:r>
        <w:rPr>
          <w:spacing w:val="-11"/>
          <w:sz w:val="20"/>
        </w:rPr>
        <w:t> </w:t>
      </w:r>
      <w:r>
        <w:rPr>
          <w:sz w:val="20"/>
        </w:rPr>
        <w:t>A</w:t>
      </w:r>
      <w:r>
        <w:rPr>
          <w:spacing w:val="-11"/>
          <w:sz w:val="20"/>
        </w:rPr>
        <w:t> </w:t>
      </w:r>
      <w:r>
        <w:rPr>
          <w:sz w:val="20"/>
        </w:rPr>
        <w:t>tax</w:t>
      </w:r>
      <w:r>
        <w:rPr>
          <w:spacing w:val="-9"/>
          <w:sz w:val="20"/>
        </w:rPr>
        <w:t> </w:t>
      </w:r>
      <w:r>
        <w:rPr>
          <w:sz w:val="20"/>
        </w:rPr>
        <w:t>base given that it represents a profit that is not subject to Amount A at the level of the joint venture. However, further work is required on this point to support the rationale of this adjustment and to address potential manipulation.</w:t>
      </w:r>
    </w:p>
    <w:p>
      <w:pPr>
        <w:pStyle w:val="BodyText"/>
        <w:spacing w:before="4"/>
      </w:pPr>
    </w:p>
    <w:p>
      <w:pPr>
        <w:pStyle w:val="Heading8"/>
        <w:ind w:left="1386" w:right="1307"/>
        <w:jc w:val="center"/>
      </w:pPr>
      <w:bookmarkStart w:name="Expenses that are typically non-deductib" w:id="217"/>
      <w:bookmarkEnd w:id="217"/>
      <w:r>
        <w:rPr>
          <w:b w:val="0"/>
        </w:rPr>
      </w:r>
      <w:r>
        <w:rPr/>
        <w:t>Expenses that are typically non-deductible or limited for public policy reasons</w:t>
      </w:r>
    </w:p>
    <w:p>
      <w:pPr>
        <w:pStyle w:val="BodyText"/>
        <w:spacing w:before="9"/>
        <w:rPr>
          <w:b/>
          <w:sz w:val="18"/>
        </w:rPr>
      </w:pPr>
    </w:p>
    <w:p>
      <w:pPr>
        <w:pStyle w:val="ListParagraph"/>
        <w:numPr>
          <w:ilvl w:val="0"/>
          <w:numId w:val="13"/>
        </w:numPr>
        <w:tabs>
          <w:tab w:pos="1444" w:val="left" w:leader="none"/>
        </w:tabs>
        <w:spacing w:line="271" w:lineRule="auto" w:before="1" w:after="0"/>
        <w:ind w:left="723" w:right="479" w:firstLine="0"/>
        <w:jc w:val="both"/>
        <w:rPr>
          <w:sz w:val="20"/>
        </w:rPr>
      </w:pPr>
      <w:r>
        <w:rPr>
          <w:sz w:val="20"/>
        </w:rPr>
        <w:t>A</w:t>
      </w:r>
      <w:r>
        <w:rPr>
          <w:spacing w:val="-10"/>
          <w:sz w:val="20"/>
        </w:rPr>
        <w:t> </w:t>
      </w:r>
      <w:r>
        <w:rPr>
          <w:sz w:val="20"/>
        </w:rPr>
        <w:t>number</w:t>
      </w:r>
      <w:r>
        <w:rPr>
          <w:spacing w:val="-9"/>
          <w:sz w:val="20"/>
        </w:rPr>
        <w:t> </w:t>
      </w:r>
      <w:r>
        <w:rPr>
          <w:sz w:val="20"/>
        </w:rPr>
        <w:t>of</w:t>
      </w:r>
      <w:r>
        <w:rPr>
          <w:spacing w:val="-8"/>
          <w:sz w:val="20"/>
        </w:rPr>
        <w:t> </w:t>
      </w:r>
      <w:r>
        <w:rPr>
          <w:sz w:val="20"/>
        </w:rPr>
        <w:t>items</w:t>
      </w:r>
      <w:r>
        <w:rPr>
          <w:spacing w:val="-8"/>
          <w:sz w:val="20"/>
        </w:rPr>
        <w:t> </w:t>
      </w:r>
      <w:r>
        <w:rPr>
          <w:sz w:val="20"/>
        </w:rPr>
        <w:t>treated</w:t>
      </w:r>
      <w:r>
        <w:rPr>
          <w:spacing w:val="-10"/>
          <w:sz w:val="20"/>
        </w:rPr>
        <w:t> </w:t>
      </w:r>
      <w:r>
        <w:rPr>
          <w:sz w:val="20"/>
        </w:rPr>
        <w:t>as</w:t>
      </w:r>
      <w:r>
        <w:rPr>
          <w:spacing w:val="-9"/>
          <w:sz w:val="20"/>
        </w:rPr>
        <w:t> </w:t>
      </w:r>
      <w:r>
        <w:rPr>
          <w:sz w:val="20"/>
        </w:rPr>
        <w:t>expenses</w:t>
      </w:r>
      <w:r>
        <w:rPr>
          <w:spacing w:val="-8"/>
          <w:sz w:val="20"/>
        </w:rPr>
        <w:t> </w:t>
      </w:r>
      <w:r>
        <w:rPr>
          <w:sz w:val="20"/>
        </w:rPr>
        <w:t>under</w:t>
      </w:r>
      <w:r>
        <w:rPr>
          <w:spacing w:val="-9"/>
          <w:sz w:val="20"/>
        </w:rPr>
        <w:t> </w:t>
      </w:r>
      <w:r>
        <w:rPr>
          <w:sz w:val="20"/>
        </w:rPr>
        <w:t>financial</w:t>
      </w:r>
      <w:r>
        <w:rPr>
          <w:spacing w:val="-8"/>
          <w:sz w:val="20"/>
        </w:rPr>
        <w:t> </w:t>
      </w:r>
      <w:r>
        <w:rPr>
          <w:sz w:val="20"/>
        </w:rPr>
        <w:t>accounting</w:t>
      </w:r>
      <w:r>
        <w:rPr>
          <w:spacing w:val="-10"/>
          <w:sz w:val="20"/>
        </w:rPr>
        <w:t> </w:t>
      </w:r>
      <w:r>
        <w:rPr>
          <w:sz w:val="20"/>
        </w:rPr>
        <w:t>rules</w:t>
      </w:r>
      <w:r>
        <w:rPr>
          <w:spacing w:val="-8"/>
          <w:sz w:val="20"/>
        </w:rPr>
        <w:t> </w:t>
      </w:r>
      <w:r>
        <w:rPr>
          <w:sz w:val="20"/>
        </w:rPr>
        <w:t>are</w:t>
      </w:r>
      <w:r>
        <w:rPr>
          <w:spacing w:val="-10"/>
          <w:sz w:val="20"/>
        </w:rPr>
        <w:t> </w:t>
      </w:r>
      <w:r>
        <w:rPr>
          <w:sz w:val="20"/>
        </w:rPr>
        <w:t>not</w:t>
      </w:r>
      <w:r>
        <w:rPr>
          <w:spacing w:val="-10"/>
          <w:sz w:val="20"/>
        </w:rPr>
        <w:t> </w:t>
      </w:r>
      <w:r>
        <w:rPr>
          <w:sz w:val="20"/>
        </w:rPr>
        <w:t>deductible</w:t>
      </w:r>
      <w:r>
        <w:rPr>
          <w:spacing w:val="-9"/>
          <w:sz w:val="20"/>
        </w:rPr>
        <w:t> </w:t>
      </w:r>
      <w:r>
        <w:rPr>
          <w:sz w:val="20"/>
        </w:rPr>
        <w:t>for</w:t>
      </w:r>
      <w:r>
        <w:rPr>
          <w:spacing w:val="-9"/>
          <w:sz w:val="20"/>
        </w:rPr>
        <w:t> </w:t>
      </w:r>
      <w:r>
        <w:rPr>
          <w:sz w:val="20"/>
        </w:rPr>
        <w:t>CIT purposes</w:t>
      </w:r>
      <w:r>
        <w:rPr>
          <w:spacing w:val="-12"/>
          <w:sz w:val="20"/>
        </w:rPr>
        <w:t> </w:t>
      </w:r>
      <w:r>
        <w:rPr>
          <w:sz w:val="20"/>
        </w:rPr>
        <w:t>in</w:t>
      </w:r>
      <w:r>
        <w:rPr>
          <w:spacing w:val="-13"/>
          <w:sz w:val="20"/>
        </w:rPr>
        <w:t> </w:t>
      </w:r>
      <w:r>
        <w:rPr>
          <w:sz w:val="20"/>
        </w:rPr>
        <w:t>most</w:t>
      </w:r>
      <w:r>
        <w:rPr>
          <w:spacing w:val="-12"/>
          <w:sz w:val="20"/>
        </w:rPr>
        <w:t> </w:t>
      </w:r>
      <w:r>
        <w:rPr>
          <w:sz w:val="20"/>
        </w:rPr>
        <w:t>Inclusive</w:t>
      </w:r>
      <w:r>
        <w:rPr>
          <w:spacing w:val="-10"/>
          <w:sz w:val="20"/>
        </w:rPr>
        <w:t> </w:t>
      </w:r>
      <w:r>
        <w:rPr>
          <w:sz w:val="20"/>
        </w:rPr>
        <w:t>Framework</w:t>
      </w:r>
      <w:r>
        <w:rPr>
          <w:spacing w:val="-8"/>
          <w:sz w:val="20"/>
        </w:rPr>
        <w:t> </w:t>
      </w:r>
      <w:r>
        <w:rPr>
          <w:sz w:val="20"/>
        </w:rPr>
        <w:t>jurisdictions</w:t>
      </w:r>
      <w:r>
        <w:rPr>
          <w:spacing w:val="-11"/>
          <w:sz w:val="20"/>
        </w:rPr>
        <w:t> </w:t>
      </w:r>
      <w:r>
        <w:rPr>
          <w:sz w:val="20"/>
        </w:rPr>
        <w:t>for</w:t>
      </w:r>
      <w:r>
        <w:rPr>
          <w:spacing w:val="-9"/>
          <w:sz w:val="20"/>
        </w:rPr>
        <w:t> </w:t>
      </w:r>
      <w:r>
        <w:rPr>
          <w:sz w:val="20"/>
        </w:rPr>
        <w:t>public</w:t>
      </w:r>
      <w:r>
        <w:rPr>
          <w:spacing w:val="-11"/>
          <w:sz w:val="20"/>
        </w:rPr>
        <w:t> </w:t>
      </w:r>
      <w:r>
        <w:rPr>
          <w:sz w:val="20"/>
        </w:rPr>
        <w:t>policy</w:t>
      </w:r>
      <w:r>
        <w:rPr>
          <w:spacing w:val="-17"/>
          <w:sz w:val="20"/>
        </w:rPr>
        <w:t> </w:t>
      </w:r>
      <w:r>
        <w:rPr>
          <w:sz w:val="20"/>
        </w:rPr>
        <w:t>reasons.</w:t>
      </w:r>
      <w:r>
        <w:rPr>
          <w:spacing w:val="-12"/>
          <w:sz w:val="20"/>
        </w:rPr>
        <w:t> </w:t>
      </w:r>
      <w:r>
        <w:rPr>
          <w:sz w:val="20"/>
        </w:rPr>
        <w:t>Those</w:t>
      </w:r>
      <w:r>
        <w:rPr>
          <w:spacing w:val="-13"/>
          <w:sz w:val="20"/>
        </w:rPr>
        <w:t> </w:t>
      </w:r>
      <w:r>
        <w:rPr>
          <w:sz w:val="20"/>
        </w:rPr>
        <w:t>expenses</w:t>
      </w:r>
      <w:r>
        <w:rPr>
          <w:spacing w:val="-11"/>
          <w:sz w:val="20"/>
        </w:rPr>
        <w:t> </w:t>
      </w:r>
      <w:r>
        <w:rPr>
          <w:sz w:val="20"/>
        </w:rPr>
        <w:t>are</w:t>
      </w:r>
      <w:r>
        <w:rPr>
          <w:spacing w:val="-12"/>
          <w:sz w:val="20"/>
        </w:rPr>
        <w:t> </w:t>
      </w:r>
      <w:r>
        <w:rPr>
          <w:sz w:val="20"/>
        </w:rPr>
        <w:t>typically associated with behaviours that governments regard as undesirable and will therefore be added back in computing the Amount A tax base. These adjustments would apply to bribes and other illegal payments, and fines and penalties that are due to a public authority for the breach of any legislation. Further work is required to explore whether the deduction of these expenses should be limited only where they exceed a certain amount to reduce the compliance</w:t>
      </w:r>
      <w:r>
        <w:rPr>
          <w:spacing w:val="-4"/>
          <w:sz w:val="20"/>
        </w:rPr>
        <w:t> </w:t>
      </w:r>
      <w:r>
        <w:rPr>
          <w:sz w:val="20"/>
        </w:rPr>
        <w:t>burden.</w:t>
      </w:r>
    </w:p>
    <w:p>
      <w:pPr>
        <w:pStyle w:val="BodyText"/>
        <w:spacing w:before="7"/>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2.3. Next steps" w:id="218"/>
      <w:bookmarkEnd w:id="218"/>
      <w:r>
        <w:rPr>
          <w:b w:val="0"/>
          <w:i w:val="0"/>
        </w:rPr>
      </w:r>
      <w:bookmarkStart w:name="5.2.3. Next steps" w:id="219"/>
      <w:bookmarkEnd w:id="219"/>
      <w:r>
        <w:rPr>
          <w:i/>
        </w:rPr>
        <w:t>N</w:t>
      </w:r>
      <w:r>
        <w:rPr>
          <w:i/>
        </w:rPr>
        <w:t>ext steps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As a next step, further work will be undertaken on the implementation of the proposed framework to use consolidated group financial accounts,</w:t>
      </w:r>
      <w:r>
        <w:rPr>
          <w:spacing w:val="-3"/>
          <w:sz w:val="20"/>
        </w:rPr>
        <w:t> </w:t>
      </w:r>
      <w:r>
        <w:rPr>
          <w:sz w:val="20"/>
        </w:rPr>
        <w:t>including:</w:t>
      </w:r>
    </w:p>
    <w:p>
      <w:pPr>
        <w:pStyle w:val="ListParagraph"/>
        <w:numPr>
          <w:ilvl w:val="1"/>
          <w:numId w:val="13"/>
        </w:numPr>
        <w:tabs>
          <w:tab w:pos="1403" w:val="left" w:leader="none"/>
        </w:tabs>
        <w:spacing w:line="268" w:lineRule="auto" w:before="101" w:after="0"/>
        <w:ind w:left="1402" w:right="482" w:hanging="339"/>
        <w:jc w:val="both"/>
        <w:rPr>
          <w:sz w:val="20"/>
        </w:rPr>
      </w:pPr>
      <w:r>
        <w:rPr>
          <w:sz w:val="20"/>
        </w:rPr>
        <w:t>Definition of an MNE group for consolidation purposes: the Amount A tax base will follow consolidation rules to delineate the composition of an MNE group in scope of Amount A. As a consequence,</w:t>
      </w:r>
      <w:r>
        <w:rPr>
          <w:spacing w:val="-7"/>
          <w:sz w:val="20"/>
        </w:rPr>
        <w:t> </w:t>
      </w:r>
      <w:r>
        <w:rPr>
          <w:sz w:val="20"/>
        </w:rPr>
        <w:t>entities</w:t>
      </w:r>
      <w:r>
        <w:rPr>
          <w:spacing w:val="-7"/>
          <w:sz w:val="20"/>
        </w:rPr>
        <w:t> </w:t>
      </w:r>
      <w:r>
        <w:rPr>
          <w:sz w:val="20"/>
        </w:rPr>
        <w:t>that</w:t>
      </w:r>
      <w:r>
        <w:rPr>
          <w:spacing w:val="-6"/>
          <w:sz w:val="20"/>
        </w:rPr>
        <w:t> </w:t>
      </w:r>
      <w:r>
        <w:rPr>
          <w:sz w:val="20"/>
        </w:rPr>
        <w:t>benefit</w:t>
      </w:r>
      <w:r>
        <w:rPr>
          <w:spacing w:val="-6"/>
          <w:sz w:val="20"/>
        </w:rPr>
        <w:t> </w:t>
      </w:r>
      <w:r>
        <w:rPr>
          <w:sz w:val="20"/>
        </w:rPr>
        <w:t>from</w:t>
      </w:r>
      <w:r>
        <w:rPr>
          <w:spacing w:val="-3"/>
          <w:sz w:val="20"/>
        </w:rPr>
        <w:t> </w:t>
      </w:r>
      <w:r>
        <w:rPr>
          <w:sz w:val="20"/>
        </w:rPr>
        <w:t>consolidation</w:t>
      </w:r>
      <w:r>
        <w:rPr>
          <w:spacing w:val="-6"/>
          <w:sz w:val="20"/>
        </w:rPr>
        <w:t> </w:t>
      </w:r>
      <w:r>
        <w:rPr>
          <w:sz w:val="20"/>
        </w:rPr>
        <w:t>exemptions,</w:t>
      </w:r>
      <w:r>
        <w:rPr>
          <w:spacing w:val="-8"/>
          <w:sz w:val="20"/>
        </w:rPr>
        <w:t> </w:t>
      </w:r>
      <w:r>
        <w:rPr>
          <w:sz w:val="20"/>
        </w:rPr>
        <w:t>such</w:t>
      </w:r>
      <w:r>
        <w:rPr>
          <w:spacing w:val="-6"/>
          <w:sz w:val="20"/>
        </w:rPr>
        <w:t> </w:t>
      </w:r>
      <w:r>
        <w:rPr>
          <w:sz w:val="20"/>
        </w:rPr>
        <w:t>as</w:t>
      </w:r>
      <w:r>
        <w:rPr>
          <w:spacing w:val="-4"/>
          <w:sz w:val="20"/>
        </w:rPr>
        <w:t> </w:t>
      </w:r>
      <w:r>
        <w:rPr>
          <w:sz w:val="20"/>
        </w:rPr>
        <w:t>investment</w:t>
      </w:r>
      <w:r>
        <w:rPr>
          <w:spacing w:val="-6"/>
          <w:sz w:val="20"/>
        </w:rPr>
        <w:t> </w:t>
      </w:r>
      <w:r>
        <w:rPr>
          <w:sz w:val="20"/>
        </w:rPr>
        <w:t>entities,</w:t>
      </w:r>
      <w:r>
        <w:rPr>
          <w:spacing w:val="-5"/>
          <w:sz w:val="20"/>
        </w:rPr>
        <w:t> </w:t>
      </w:r>
      <w:r>
        <w:rPr>
          <w:sz w:val="20"/>
        </w:rPr>
        <w:t>will</w:t>
      </w:r>
    </w:p>
    <w:p>
      <w:pPr>
        <w:pStyle w:val="BodyText"/>
        <w:spacing w:before="2"/>
        <w:rPr>
          <w:sz w:val="26"/>
        </w:rPr>
      </w:pPr>
      <w:r>
        <w:rPr/>
        <w:pict>
          <v:rect style="position:absolute;margin-left:65.183998pt;margin-top:17.014658pt;width:144.020004pt;height:.60004pt;mso-position-horizontal-relative:page;mso-position-vertical-relative:paragraph;z-index:-1566771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[Cross-reference to chapter 4 (section 4-7) of GloBE</w:t>
      </w:r>
      <w:r>
        <w:rPr>
          <w:spacing w:val="-11"/>
          <w:sz w:val="18"/>
        </w:rPr>
        <w:t> </w:t>
      </w:r>
      <w:r>
        <w:rPr>
          <w:sz w:val="18"/>
        </w:rPr>
        <w:t>rules].</w:t>
      </w:r>
    </w:p>
    <w:p>
      <w:pPr>
        <w:pStyle w:val="ListParagraph"/>
        <w:numPr>
          <w:ilvl w:val="0"/>
          <w:numId w:val="14"/>
        </w:numPr>
        <w:tabs>
          <w:tab w:pos="947" w:val="left" w:leader="none"/>
        </w:tabs>
        <w:spacing w:line="278" w:lineRule="auto" w:before="110" w:after="0"/>
        <w:ind w:left="723" w:right="479" w:firstLine="0"/>
        <w:jc w:val="left"/>
        <w:rPr>
          <w:sz w:val="18"/>
        </w:rPr>
      </w:pPr>
      <w:r>
        <w:rPr>
          <w:sz w:val="18"/>
        </w:rPr>
        <w:t>For more details on the equity method of accounting, see [Cross-reference to chapter 4 (section 4-7) of GloBE rules].</w:t>
      </w:r>
    </w:p>
    <w:p>
      <w:pPr>
        <w:spacing w:after="0" w:line="278" w:lineRule="auto"/>
        <w:jc w:val="left"/>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3"/>
        <w:jc w:val="both"/>
      </w:pPr>
      <w:r>
        <w:rPr/>
        <w:t>not be required to produce consolidated accounts for Amount A purposes. Including interaction with the accounting consolidation test under CbC rules and potential changes in the consolidation group derived from a decision by local accounting regulatory bodies.</w:t>
      </w:r>
    </w:p>
    <w:p>
      <w:pPr>
        <w:pStyle w:val="ListParagraph"/>
        <w:numPr>
          <w:ilvl w:val="0"/>
          <w:numId w:val="61"/>
        </w:numPr>
        <w:tabs>
          <w:tab w:pos="1403" w:val="left" w:leader="none"/>
        </w:tabs>
        <w:spacing w:line="268" w:lineRule="auto" w:before="47" w:after="0"/>
        <w:ind w:left="1402" w:right="488" w:hanging="339"/>
        <w:jc w:val="both"/>
        <w:rPr>
          <w:sz w:val="20"/>
        </w:rPr>
      </w:pPr>
      <w:r>
        <w:rPr>
          <w:sz w:val="20"/>
        </w:rPr>
        <w:t>Dual-headed MNE groups: this involves addressing any particular issues for the computation of the</w:t>
      </w:r>
      <w:r>
        <w:rPr>
          <w:spacing w:val="-17"/>
          <w:sz w:val="20"/>
        </w:rPr>
        <w:t> </w:t>
      </w:r>
      <w:r>
        <w:rPr>
          <w:sz w:val="20"/>
        </w:rPr>
        <w:t>Amount</w:t>
      </w:r>
      <w:r>
        <w:rPr>
          <w:spacing w:val="-15"/>
          <w:sz w:val="20"/>
        </w:rPr>
        <w:t> </w:t>
      </w:r>
      <w:r>
        <w:rPr>
          <w:sz w:val="20"/>
        </w:rPr>
        <w:t>A</w:t>
      </w:r>
      <w:r>
        <w:rPr>
          <w:spacing w:val="-17"/>
          <w:sz w:val="20"/>
        </w:rPr>
        <w:t> </w:t>
      </w:r>
      <w:r>
        <w:rPr>
          <w:sz w:val="20"/>
        </w:rPr>
        <w:t>tax</w:t>
      </w:r>
      <w:r>
        <w:rPr>
          <w:spacing w:val="-14"/>
          <w:sz w:val="20"/>
        </w:rPr>
        <w:t> </w:t>
      </w:r>
      <w:r>
        <w:rPr>
          <w:sz w:val="20"/>
        </w:rPr>
        <w:t>base</w:t>
      </w:r>
      <w:r>
        <w:rPr>
          <w:spacing w:val="-15"/>
          <w:sz w:val="20"/>
        </w:rPr>
        <w:t> </w:t>
      </w:r>
      <w:r>
        <w:rPr>
          <w:sz w:val="20"/>
        </w:rPr>
        <w:t>raised</w:t>
      </w:r>
      <w:r>
        <w:rPr>
          <w:spacing w:val="-19"/>
          <w:sz w:val="20"/>
        </w:rPr>
        <w:t> </w:t>
      </w:r>
      <w:r>
        <w:rPr>
          <w:sz w:val="20"/>
        </w:rPr>
        <w:t>by</w:t>
      </w:r>
      <w:r>
        <w:rPr>
          <w:spacing w:val="-18"/>
          <w:sz w:val="20"/>
        </w:rPr>
        <w:t> </w:t>
      </w:r>
      <w:r>
        <w:rPr>
          <w:sz w:val="20"/>
        </w:rPr>
        <w:t>dual-headed</w:t>
      </w:r>
      <w:r>
        <w:rPr>
          <w:spacing w:val="-16"/>
          <w:sz w:val="20"/>
        </w:rPr>
        <w:t> </w:t>
      </w:r>
      <w:r>
        <w:rPr>
          <w:sz w:val="20"/>
        </w:rPr>
        <w:t>structures</w:t>
      </w:r>
      <w:r>
        <w:rPr>
          <w:spacing w:val="-12"/>
          <w:sz w:val="20"/>
        </w:rPr>
        <w:t> </w:t>
      </w:r>
      <w:r>
        <w:rPr>
          <w:sz w:val="20"/>
        </w:rPr>
        <w:t>which</w:t>
      </w:r>
      <w:r>
        <w:rPr>
          <w:spacing w:val="-18"/>
          <w:sz w:val="20"/>
        </w:rPr>
        <w:t> </w:t>
      </w:r>
      <w:r>
        <w:rPr>
          <w:sz w:val="20"/>
        </w:rPr>
        <w:t>can</w:t>
      </w:r>
      <w:r>
        <w:rPr>
          <w:spacing w:val="-15"/>
          <w:sz w:val="20"/>
        </w:rPr>
        <w:t> </w:t>
      </w:r>
      <w:r>
        <w:rPr>
          <w:sz w:val="20"/>
        </w:rPr>
        <w:t>be</w:t>
      </w:r>
      <w:r>
        <w:rPr>
          <w:spacing w:val="-17"/>
          <w:sz w:val="20"/>
        </w:rPr>
        <w:t> </w:t>
      </w:r>
      <w:r>
        <w:rPr>
          <w:sz w:val="20"/>
        </w:rPr>
        <w:t>listed</w:t>
      </w:r>
      <w:r>
        <w:rPr>
          <w:spacing w:val="-16"/>
          <w:sz w:val="20"/>
        </w:rPr>
        <w:t> </w:t>
      </w:r>
      <w:r>
        <w:rPr>
          <w:sz w:val="20"/>
        </w:rPr>
        <w:t>on</w:t>
      </w:r>
      <w:r>
        <w:rPr>
          <w:spacing w:val="-15"/>
          <w:sz w:val="20"/>
        </w:rPr>
        <w:t> </w:t>
      </w:r>
      <w:r>
        <w:rPr>
          <w:sz w:val="20"/>
        </w:rPr>
        <w:t>different</w:t>
      </w:r>
      <w:r>
        <w:rPr>
          <w:spacing w:val="-16"/>
          <w:sz w:val="20"/>
        </w:rPr>
        <w:t> </w:t>
      </w:r>
      <w:r>
        <w:rPr>
          <w:sz w:val="20"/>
        </w:rPr>
        <w:t>exchanges and required to satisfy the accounting and regulatory frameworks of different</w:t>
      </w:r>
      <w:r>
        <w:rPr>
          <w:spacing w:val="-29"/>
          <w:sz w:val="20"/>
        </w:rPr>
        <w:t> </w:t>
      </w:r>
      <w:r>
        <w:rPr>
          <w:sz w:val="20"/>
        </w:rPr>
        <w:t>jurisdictions.</w:t>
      </w:r>
    </w:p>
    <w:p>
      <w:pPr>
        <w:pStyle w:val="ListParagraph"/>
        <w:numPr>
          <w:ilvl w:val="0"/>
          <w:numId w:val="61"/>
        </w:numPr>
        <w:tabs>
          <w:tab w:pos="1403" w:val="left" w:leader="none"/>
        </w:tabs>
        <w:spacing w:line="268" w:lineRule="auto" w:before="51" w:after="0"/>
        <w:ind w:left="1402" w:right="490" w:hanging="339"/>
        <w:jc w:val="both"/>
        <w:rPr>
          <w:sz w:val="20"/>
        </w:rPr>
      </w:pPr>
      <w:r>
        <w:rPr>
          <w:sz w:val="20"/>
        </w:rPr>
        <w:t>Changes</w:t>
      </w:r>
      <w:r>
        <w:rPr>
          <w:spacing w:val="-9"/>
          <w:sz w:val="20"/>
        </w:rPr>
        <w:t> </w:t>
      </w:r>
      <w:r>
        <w:rPr>
          <w:sz w:val="20"/>
        </w:rPr>
        <w:t>in</w:t>
      </w:r>
      <w:r>
        <w:rPr>
          <w:spacing w:val="-9"/>
          <w:sz w:val="20"/>
        </w:rPr>
        <w:t> </w:t>
      </w:r>
      <w:r>
        <w:rPr>
          <w:sz w:val="20"/>
        </w:rPr>
        <w:t>accounting</w:t>
      </w:r>
      <w:r>
        <w:rPr>
          <w:spacing w:val="-10"/>
          <w:sz w:val="20"/>
        </w:rPr>
        <w:t> </w:t>
      </w:r>
      <w:r>
        <w:rPr>
          <w:sz w:val="20"/>
        </w:rPr>
        <w:t>estimates</w:t>
      </w:r>
      <w:r>
        <w:rPr>
          <w:spacing w:val="-9"/>
          <w:sz w:val="20"/>
        </w:rPr>
        <w:t> </w:t>
      </w:r>
      <w:r>
        <w:rPr>
          <w:sz w:val="20"/>
        </w:rPr>
        <w:t>and</w:t>
      </w:r>
      <w:r>
        <w:rPr>
          <w:spacing w:val="-12"/>
          <w:sz w:val="20"/>
        </w:rPr>
        <w:t> </w:t>
      </w:r>
      <w:r>
        <w:rPr>
          <w:sz w:val="20"/>
        </w:rPr>
        <w:t>prior</w:t>
      </w:r>
      <w:r>
        <w:rPr>
          <w:spacing w:val="-11"/>
          <w:sz w:val="20"/>
        </w:rPr>
        <w:t> </w:t>
      </w:r>
      <w:r>
        <w:rPr>
          <w:sz w:val="20"/>
        </w:rPr>
        <w:t>period</w:t>
      </w:r>
      <w:r>
        <w:rPr>
          <w:spacing w:val="-9"/>
          <w:sz w:val="20"/>
        </w:rPr>
        <w:t> </w:t>
      </w:r>
      <w:r>
        <w:rPr>
          <w:sz w:val="20"/>
        </w:rPr>
        <w:t>errors:</w:t>
      </w:r>
      <w:r>
        <w:rPr>
          <w:spacing w:val="-11"/>
          <w:sz w:val="20"/>
        </w:rPr>
        <w:t> </w:t>
      </w:r>
      <w:r>
        <w:rPr>
          <w:sz w:val="20"/>
        </w:rPr>
        <w:t>this</w:t>
      </w:r>
      <w:r>
        <w:rPr>
          <w:spacing w:val="-10"/>
          <w:sz w:val="20"/>
        </w:rPr>
        <w:t> </w:t>
      </w:r>
      <w:r>
        <w:rPr>
          <w:sz w:val="20"/>
        </w:rPr>
        <w:t>relates</w:t>
      </w:r>
      <w:r>
        <w:rPr>
          <w:spacing w:val="-11"/>
          <w:sz w:val="20"/>
        </w:rPr>
        <w:t> </w:t>
      </w:r>
      <w:r>
        <w:rPr>
          <w:sz w:val="20"/>
        </w:rPr>
        <w:t>to</w:t>
      </w:r>
      <w:r>
        <w:rPr>
          <w:spacing w:val="-9"/>
          <w:sz w:val="20"/>
        </w:rPr>
        <w:t> </w:t>
      </w:r>
      <w:r>
        <w:rPr>
          <w:sz w:val="20"/>
        </w:rPr>
        <w:t>clarifying</w:t>
      </w:r>
      <w:r>
        <w:rPr>
          <w:spacing w:val="-12"/>
          <w:sz w:val="20"/>
        </w:rPr>
        <w:t> </w:t>
      </w:r>
      <w:r>
        <w:rPr>
          <w:sz w:val="20"/>
        </w:rPr>
        <w:t>the</w:t>
      </w:r>
      <w:r>
        <w:rPr>
          <w:spacing w:val="-12"/>
          <w:sz w:val="20"/>
        </w:rPr>
        <w:t> </w:t>
      </w:r>
      <w:r>
        <w:rPr>
          <w:sz w:val="20"/>
        </w:rPr>
        <w:t>impact</w:t>
      </w:r>
      <w:r>
        <w:rPr>
          <w:spacing w:val="-10"/>
          <w:sz w:val="20"/>
        </w:rPr>
        <w:t> </w:t>
      </w:r>
      <w:r>
        <w:rPr>
          <w:sz w:val="20"/>
        </w:rPr>
        <w:t>on</w:t>
      </w:r>
      <w:r>
        <w:rPr>
          <w:spacing w:val="-10"/>
          <w:sz w:val="20"/>
        </w:rPr>
        <w:t> </w:t>
      </w:r>
      <w:r>
        <w:rPr>
          <w:sz w:val="20"/>
        </w:rPr>
        <w:t>the Amount</w:t>
      </w:r>
      <w:r>
        <w:rPr>
          <w:spacing w:val="-8"/>
          <w:sz w:val="20"/>
        </w:rPr>
        <w:t> </w:t>
      </w:r>
      <w:r>
        <w:rPr>
          <w:sz w:val="20"/>
        </w:rPr>
        <w:t>A</w:t>
      </w:r>
      <w:r>
        <w:rPr>
          <w:spacing w:val="-6"/>
          <w:sz w:val="20"/>
        </w:rPr>
        <w:t> </w:t>
      </w:r>
      <w:r>
        <w:rPr>
          <w:sz w:val="20"/>
        </w:rPr>
        <w:t>tax</w:t>
      </w:r>
      <w:r>
        <w:rPr>
          <w:spacing w:val="-4"/>
          <w:sz w:val="20"/>
        </w:rPr>
        <w:t> </w:t>
      </w:r>
      <w:r>
        <w:rPr>
          <w:sz w:val="20"/>
        </w:rPr>
        <w:t>base</w:t>
      </w:r>
      <w:r>
        <w:rPr>
          <w:spacing w:val="-5"/>
          <w:sz w:val="20"/>
        </w:rPr>
        <w:t> </w:t>
      </w:r>
      <w:r>
        <w:rPr>
          <w:sz w:val="20"/>
        </w:rPr>
        <w:t>of</w:t>
      </w:r>
      <w:r>
        <w:rPr>
          <w:spacing w:val="-6"/>
          <w:sz w:val="20"/>
        </w:rPr>
        <w:t> </w:t>
      </w:r>
      <w:r>
        <w:rPr>
          <w:sz w:val="20"/>
        </w:rPr>
        <w:t>retrospective</w:t>
      </w:r>
      <w:r>
        <w:rPr>
          <w:spacing w:val="-8"/>
          <w:sz w:val="20"/>
        </w:rPr>
        <w:t> </w:t>
      </w:r>
      <w:r>
        <w:rPr>
          <w:sz w:val="20"/>
        </w:rPr>
        <w:t>corrections</w:t>
      </w:r>
      <w:r>
        <w:rPr>
          <w:spacing w:val="-3"/>
          <w:sz w:val="20"/>
        </w:rPr>
        <w:t> </w:t>
      </w:r>
      <w:r>
        <w:rPr>
          <w:sz w:val="20"/>
        </w:rPr>
        <w:t>of</w:t>
      </w:r>
      <w:r>
        <w:rPr>
          <w:spacing w:val="-6"/>
          <w:sz w:val="20"/>
        </w:rPr>
        <w:t> </w:t>
      </w:r>
      <w:r>
        <w:rPr>
          <w:sz w:val="20"/>
        </w:rPr>
        <w:t>material</w:t>
      </w:r>
      <w:r>
        <w:rPr>
          <w:spacing w:val="-6"/>
          <w:sz w:val="20"/>
        </w:rPr>
        <w:t> </w:t>
      </w:r>
      <w:r>
        <w:rPr>
          <w:sz w:val="20"/>
        </w:rPr>
        <w:t>“prior</w:t>
      </w:r>
      <w:r>
        <w:rPr>
          <w:spacing w:val="-7"/>
          <w:sz w:val="20"/>
        </w:rPr>
        <w:t> </w:t>
      </w:r>
      <w:r>
        <w:rPr>
          <w:sz w:val="20"/>
        </w:rPr>
        <w:t>period</w:t>
      </w:r>
      <w:r>
        <w:rPr>
          <w:spacing w:val="-4"/>
          <w:sz w:val="20"/>
        </w:rPr>
        <w:t> </w:t>
      </w:r>
      <w:r>
        <w:rPr>
          <w:sz w:val="20"/>
        </w:rPr>
        <w:t>errors”</w:t>
      </w:r>
      <w:r>
        <w:rPr>
          <w:spacing w:val="-7"/>
          <w:sz w:val="20"/>
        </w:rPr>
        <w:t> </w:t>
      </w:r>
      <w:r>
        <w:rPr>
          <w:sz w:val="20"/>
        </w:rPr>
        <w:t>in</w:t>
      </w:r>
      <w:r>
        <w:rPr>
          <w:spacing w:val="-3"/>
          <w:sz w:val="20"/>
        </w:rPr>
        <w:t> </w:t>
      </w:r>
      <w:r>
        <w:rPr>
          <w:sz w:val="20"/>
        </w:rPr>
        <w:t>the</w:t>
      </w:r>
      <w:r>
        <w:rPr>
          <w:spacing w:val="-7"/>
          <w:sz w:val="20"/>
        </w:rPr>
        <w:t> </w:t>
      </w:r>
      <w:r>
        <w:rPr>
          <w:sz w:val="20"/>
        </w:rPr>
        <w:t>consolidated financial accounts and designing a simple mechanism to adjust Amount A</w:t>
      </w:r>
      <w:r>
        <w:rPr>
          <w:spacing w:val="-23"/>
          <w:sz w:val="20"/>
        </w:rPr>
        <w:t> </w:t>
      </w:r>
      <w:r>
        <w:rPr>
          <w:sz w:val="20"/>
        </w:rPr>
        <w:t>computations.</w:t>
      </w:r>
    </w:p>
    <w:p>
      <w:pPr>
        <w:pStyle w:val="ListParagraph"/>
        <w:numPr>
          <w:ilvl w:val="0"/>
          <w:numId w:val="61"/>
        </w:numPr>
        <w:tabs>
          <w:tab w:pos="1403" w:val="left" w:leader="none"/>
        </w:tabs>
        <w:spacing w:line="266" w:lineRule="auto" w:before="50" w:after="0"/>
        <w:ind w:left="1402" w:right="495" w:hanging="339"/>
        <w:jc w:val="both"/>
        <w:rPr>
          <w:sz w:val="20"/>
        </w:rPr>
      </w:pPr>
      <w:r>
        <w:rPr>
          <w:sz w:val="20"/>
        </w:rPr>
        <w:t>Development of a monitoring mechanism to assess differences between GAAP that could lead to material competitive</w:t>
      </w:r>
      <w:r>
        <w:rPr>
          <w:spacing w:val="-2"/>
          <w:sz w:val="20"/>
        </w:rPr>
        <w:t> </w:t>
      </w:r>
      <w:r>
        <w:rPr>
          <w:sz w:val="20"/>
        </w:rPr>
        <w:t>distortions.</w:t>
      </w:r>
    </w:p>
    <w:p>
      <w:pPr>
        <w:pStyle w:val="ListParagraph"/>
        <w:numPr>
          <w:ilvl w:val="0"/>
          <w:numId w:val="13"/>
        </w:numPr>
        <w:tabs>
          <w:tab w:pos="1444" w:val="left" w:leader="none"/>
        </w:tabs>
        <w:spacing w:line="273" w:lineRule="auto" w:before="132" w:after="0"/>
        <w:ind w:left="723" w:right="488" w:firstLine="0"/>
        <w:jc w:val="both"/>
        <w:rPr>
          <w:sz w:val="20"/>
        </w:rPr>
      </w:pPr>
      <w:r>
        <w:rPr>
          <w:sz w:val="20"/>
        </w:rPr>
        <w:t>Further work will also be undertaken to finalise the determination of the standardised PBT measure. Specific areas for consideration include:</w:t>
      </w:r>
    </w:p>
    <w:p>
      <w:pPr>
        <w:pStyle w:val="ListParagraph"/>
        <w:numPr>
          <w:ilvl w:val="1"/>
          <w:numId w:val="13"/>
        </w:numPr>
        <w:tabs>
          <w:tab w:pos="1403" w:val="left" w:leader="none"/>
        </w:tabs>
        <w:spacing w:line="266" w:lineRule="auto" w:before="96" w:after="0"/>
        <w:ind w:left="1402" w:right="492" w:hanging="339"/>
        <w:jc w:val="both"/>
        <w:rPr>
          <w:sz w:val="20"/>
        </w:rPr>
      </w:pPr>
      <w:r>
        <w:rPr>
          <w:sz w:val="20"/>
        </w:rPr>
        <w:t>Whether</w:t>
      </w:r>
      <w:r>
        <w:rPr>
          <w:spacing w:val="-7"/>
          <w:sz w:val="20"/>
        </w:rPr>
        <w:t> </w:t>
      </w:r>
      <w:r>
        <w:rPr>
          <w:sz w:val="20"/>
        </w:rPr>
        <w:t>profit</w:t>
      </w:r>
      <w:r>
        <w:rPr>
          <w:spacing w:val="-6"/>
          <w:sz w:val="20"/>
        </w:rPr>
        <w:t> </w:t>
      </w:r>
      <w:r>
        <w:rPr>
          <w:sz w:val="20"/>
        </w:rPr>
        <w:t>or</w:t>
      </w:r>
      <w:r>
        <w:rPr>
          <w:spacing w:val="-7"/>
          <w:sz w:val="20"/>
        </w:rPr>
        <w:t> </w:t>
      </w:r>
      <w:r>
        <w:rPr>
          <w:sz w:val="20"/>
        </w:rPr>
        <w:t>loss</w:t>
      </w:r>
      <w:r>
        <w:rPr>
          <w:spacing w:val="-5"/>
          <w:sz w:val="20"/>
        </w:rPr>
        <w:t> </w:t>
      </w:r>
      <w:r>
        <w:rPr>
          <w:sz w:val="20"/>
        </w:rPr>
        <w:t>derived</w:t>
      </w:r>
      <w:r>
        <w:rPr>
          <w:spacing w:val="-8"/>
          <w:sz w:val="20"/>
        </w:rPr>
        <w:t> </w:t>
      </w:r>
      <w:r>
        <w:rPr>
          <w:sz w:val="20"/>
        </w:rPr>
        <w:t>from</w:t>
      </w:r>
      <w:r>
        <w:rPr>
          <w:spacing w:val="-2"/>
          <w:sz w:val="20"/>
        </w:rPr>
        <w:t> </w:t>
      </w:r>
      <w:r>
        <w:rPr>
          <w:sz w:val="20"/>
        </w:rPr>
        <w:t>joint</w:t>
      </w:r>
      <w:r>
        <w:rPr>
          <w:spacing w:val="-8"/>
          <w:sz w:val="20"/>
        </w:rPr>
        <w:t> </w:t>
      </w:r>
      <w:r>
        <w:rPr>
          <w:sz w:val="20"/>
        </w:rPr>
        <w:t>ventures</w:t>
      </w:r>
      <w:r>
        <w:rPr>
          <w:spacing w:val="-6"/>
          <w:sz w:val="20"/>
        </w:rPr>
        <w:t> </w:t>
      </w:r>
      <w:r>
        <w:rPr>
          <w:sz w:val="20"/>
        </w:rPr>
        <w:t>using</w:t>
      </w:r>
      <w:r>
        <w:rPr>
          <w:spacing w:val="-6"/>
          <w:sz w:val="20"/>
        </w:rPr>
        <w:t> </w:t>
      </w:r>
      <w:r>
        <w:rPr>
          <w:sz w:val="20"/>
        </w:rPr>
        <w:t>the</w:t>
      </w:r>
      <w:r>
        <w:rPr>
          <w:spacing w:val="-7"/>
          <w:sz w:val="20"/>
        </w:rPr>
        <w:t> </w:t>
      </w:r>
      <w:r>
        <w:rPr>
          <w:sz w:val="20"/>
        </w:rPr>
        <w:t>equity</w:t>
      </w:r>
      <w:r>
        <w:rPr>
          <w:spacing w:val="-10"/>
          <w:sz w:val="20"/>
        </w:rPr>
        <w:t> </w:t>
      </w:r>
      <w:r>
        <w:rPr>
          <w:sz w:val="20"/>
        </w:rPr>
        <w:t>method</w:t>
      </w:r>
      <w:r>
        <w:rPr>
          <w:spacing w:val="-8"/>
          <w:sz w:val="20"/>
        </w:rPr>
        <w:t> </w:t>
      </w:r>
      <w:r>
        <w:rPr>
          <w:sz w:val="20"/>
        </w:rPr>
        <w:t>of</w:t>
      </w:r>
      <w:r>
        <w:rPr>
          <w:spacing w:val="-5"/>
          <w:sz w:val="20"/>
        </w:rPr>
        <w:t> </w:t>
      </w:r>
      <w:r>
        <w:rPr>
          <w:sz w:val="20"/>
        </w:rPr>
        <w:t>accounting</w:t>
      </w:r>
      <w:r>
        <w:rPr>
          <w:spacing w:val="-8"/>
          <w:sz w:val="20"/>
        </w:rPr>
        <w:t> </w:t>
      </w:r>
      <w:r>
        <w:rPr>
          <w:sz w:val="20"/>
        </w:rPr>
        <w:t>should</w:t>
      </w:r>
      <w:r>
        <w:rPr>
          <w:spacing w:val="-4"/>
          <w:sz w:val="20"/>
        </w:rPr>
        <w:t> </w:t>
      </w:r>
      <w:r>
        <w:rPr>
          <w:sz w:val="20"/>
        </w:rPr>
        <w:t>be retained in Amount A tax</w:t>
      </w:r>
      <w:r>
        <w:rPr>
          <w:spacing w:val="-1"/>
          <w:sz w:val="20"/>
        </w:rPr>
        <w:t> </w:t>
      </w:r>
      <w:r>
        <w:rPr>
          <w:sz w:val="20"/>
        </w:rPr>
        <w:t>base.</w:t>
      </w:r>
    </w:p>
    <w:p>
      <w:pPr>
        <w:pStyle w:val="ListParagraph"/>
        <w:numPr>
          <w:ilvl w:val="1"/>
          <w:numId w:val="13"/>
        </w:numPr>
        <w:tabs>
          <w:tab w:pos="1403" w:val="left" w:leader="none"/>
        </w:tabs>
        <w:spacing w:line="271" w:lineRule="auto" w:before="54" w:after="0"/>
        <w:ind w:left="1402" w:right="487" w:hanging="339"/>
        <w:jc w:val="both"/>
        <w:rPr>
          <w:sz w:val="20"/>
        </w:rPr>
      </w:pPr>
      <w:r>
        <w:rPr>
          <w:sz w:val="20"/>
        </w:rPr>
        <w:t>Whether interest expenses from transactions with related parties that do not belong to the consolidated group under the accounting standard (for example an investment entity that controls an MNE group and advances funds to the group) present a risk of base erosion material enough to consider introducing a specific measure under Amount</w:t>
      </w:r>
      <w:r>
        <w:rPr>
          <w:spacing w:val="-14"/>
          <w:sz w:val="20"/>
        </w:rPr>
        <w:t> </w:t>
      </w:r>
      <w:r>
        <w:rPr>
          <w:sz w:val="20"/>
        </w:rPr>
        <w:t>A.</w:t>
      </w:r>
    </w:p>
    <w:p>
      <w:pPr>
        <w:pStyle w:val="ListParagraph"/>
        <w:numPr>
          <w:ilvl w:val="1"/>
          <w:numId w:val="13"/>
        </w:numPr>
        <w:tabs>
          <w:tab w:pos="1403" w:val="left" w:leader="none"/>
        </w:tabs>
        <w:spacing w:line="271" w:lineRule="auto" w:before="42" w:after="0"/>
        <w:ind w:left="1402" w:right="483" w:hanging="339"/>
        <w:jc w:val="both"/>
        <w:rPr>
          <w:sz w:val="20"/>
        </w:rPr>
      </w:pPr>
      <w:r>
        <w:rPr>
          <w:sz w:val="20"/>
        </w:rPr>
        <w:t>Whether gains and losses from exceptional and non-recurring items should be excluded from the Amount A tax base, noting that these items are generally not excluded from the CIT base in Inclusive Framework jurisdictions, nor under Pillar Two or the CbCR</w:t>
      </w:r>
      <w:r>
        <w:rPr>
          <w:spacing w:val="-7"/>
          <w:sz w:val="20"/>
        </w:rPr>
        <w:t> </w:t>
      </w:r>
      <w:r>
        <w:rPr>
          <w:sz w:val="20"/>
        </w:rPr>
        <w:t>requirement.</w:t>
      </w:r>
    </w:p>
    <w:p>
      <w:pPr>
        <w:pStyle w:val="ListParagraph"/>
        <w:numPr>
          <w:ilvl w:val="1"/>
          <w:numId w:val="13"/>
        </w:numPr>
        <w:tabs>
          <w:tab w:pos="1403" w:val="left" w:leader="none"/>
        </w:tabs>
        <w:spacing w:line="271" w:lineRule="auto" w:before="44" w:after="0"/>
        <w:ind w:left="1402" w:right="486" w:hanging="339"/>
        <w:jc w:val="both"/>
        <w:rPr>
          <w:sz w:val="20"/>
        </w:rPr>
      </w:pPr>
      <w:r>
        <w:rPr>
          <w:sz w:val="20"/>
        </w:rPr>
        <w:t>Whether items classified in the “other comprehensive statement”</w:t>
      </w:r>
      <w:r>
        <w:rPr>
          <w:sz w:val="20"/>
          <w:vertAlign w:val="superscript"/>
        </w:rPr>
        <w:t>76</w:t>
      </w:r>
      <w:r>
        <w:rPr>
          <w:sz w:val="20"/>
          <w:vertAlign w:val="baseline"/>
        </w:rPr>
        <w:t> should be included in the Amount A tax base, noting that these items are generally not added back to the CIT base in Inclusive Framework jurisdictions, nor under Pillar Two or the CbCR</w:t>
      </w:r>
      <w:r>
        <w:rPr>
          <w:spacing w:val="-8"/>
          <w:sz w:val="20"/>
          <w:vertAlign w:val="baseline"/>
        </w:rPr>
        <w:t> </w:t>
      </w:r>
      <w:r>
        <w:rPr>
          <w:sz w:val="20"/>
          <w:vertAlign w:val="baseline"/>
        </w:rPr>
        <w:t>requirement.</w:t>
      </w:r>
    </w:p>
    <w:p>
      <w:pPr>
        <w:pStyle w:val="ListParagraph"/>
        <w:numPr>
          <w:ilvl w:val="1"/>
          <w:numId w:val="13"/>
        </w:numPr>
        <w:tabs>
          <w:tab w:pos="1403" w:val="left" w:leader="none"/>
        </w:tabs>
        <w:spacing w:line="240" w:lineRule="auto" w:before="44" w:after="0"/>
        <w:ind w:left="1402" w:right="0" w:hanging="339"/>
        <w:jc w:val="both"/>
        <w:rPr>
          <w:sz w:val="20"/>
        </w:rPr>
      </w:pPr>
      <w:r>
        <w:rPr>
          <w:sz w:val="20"/>
        </w:rPr>
        <w:t>Whether minority interests should be accounted for in computing the Amount A tax</w:t>
      </w:r>
      <w:r>
        <w:rPr>
          <w:spacing w:val="-14"/>
          <w:sz w:val="20"/>
        </w:rPr>
        <w:t> </w:t>
      </w:r>
      <w:r>
        <w:rPr>
          <w:sz w:val="20"/>
        </w:rPr>
        <w:t>base.</w:t>
      </w:r>
    </w:p>
    <w:p>
      <w:pPr>
        <w:pStyle w:val="ListParagraph"/>
        <w:numPr>
          <w:ilvl w:val="0"/>
          <w:numId w:val="13"/>
        </w:numPr>
        <w:tabs>
          <w:tab w:pos="1444" w:val="left" w:leader="none"/>
        </w:tabs>
        <w:spacing w:line="273" w:lineRule="auto" w:before="154" w:after="0"/>
        <w:ind w:left="723" w:right="495" w:firstLine="0"/>
        <w:jc w:val="both"/>
        <w:rPr>
          <w:sz w:val="20"/>
        </w:rPr>
      </w:pPr>
      <w:r>
        <w:rPr>
          <w:sz w:val="20"/>
        </w:rPr>
        <w:t>Important considerations in this work will include simplicity of administration, the ease of compliance, and having a standardised and consistent approach across the two</w:t>
      </w:r>
      <w:r>
        <w:rPr>
          <w:spacing w:val="-21"/>
          <w:sz w:val="20"/>
        </w:rPr>
        <w:t> </w:t>
      </w:r>
      <w:r>
        <w:rPr>
          <w:sz w:val="20"/>
        </w:rPr>
        <w:t>Pillars.</w:t>
      </w:r>
    </w:p>
    <w:p>
      <w:pPr>
        <w:pStyle w:val="BodyText"/>
        <w:rPr>
          <w:sz w:val="22"/>
        </w:rPr>
      </w:pPr>
    </w:p>
    <w:p>
      <w:pPr>
        <w:pStyle w:val="Heading4"/>
        <w:numPr>
          <w:ilvl w:val="1"/>
          <w:numId w:val="59"/>
        </w:numPr>
        <w:tabs>
          <w:tab w:pos="1192" w:val="left" w:leader="none"/>
        </w:tabs>
        <w:spacing w:line="240" w:lineRule="auto" w:before="189" w:after="0"/>
        <w:ind w:left="1191" w:right="0" w:hanging="469"/>
        <w:jc w:val="both"/>
        <w:rPr>
          <w:rFonts w:ascii="Arial"/>
        </w:rPr>
      </w:pPr>
      <w:bookmarkStart w:name="5.3. The segmentation framework" w:id="220"/>
      <w:bookmarkEnd w:id="220"/>
      <w:r>
        <w:rPr>
          <w:b w:val="0"/>
        </w:rPr>
      </w:r>
      <w:bookmarkStart w:name="_bookmark31" w:id="221"/>
      <w:bookmarkEnd w:id="221"/>
      <w:r>
        <w:rPr>
          <w:b w:val="0"/>
        </w:rPr>
      </w:r>
      <w:bookmarkStart w:name="_bookmark31" w:id="222"/>
      <w:bookmarkEnd w:id="222"/>
      <w:r>
        <w:rPr>
          <w:rFonts w:ascii="Arial"/>
          <w:color w:val="4E81BD"/>
        </w:rPr>
        <w:t>Th</w:t>
      </w:r>
      <w:r>
        <w:rPr>
          <w:rFonts w:ascii="Arial"/>
          <w:color w:val="4E81BD"/>
        </w:rPr>
        <w:t>e segmentation framework</w:t>
      </w:r>
    </w:p>
    <w:p>
      <w:pPr>
        <w:pStyle w:val="BodyText"/>
        <w:spacing w:before="4"/>
        <w:rPr>
          <w:b/>
          <w:sz w:val="24"/>
        </w:rPr>
      </w:pPr>
    </w:p>
    <w:p>
      <w:pPr>
        <w:pStyle w:val="ListParagraph"/>
        <w:numPr>
          <w:ilvl w:val="0"/>
          <w:numId w:val="13"/>
        </w:numPr>
        <w:tabs>
          <w:tab w:pos="1444" w:val="left" w:leader="none"/>
        </w:tabs>
        <w:spacing w:line="271" w:lineRule="auto" w:before="0" w:after="0"/>
        <w:ind w:left="723" w:right="478" w:firstLine="0"/>
        <w:jc w:val="both"/>
        <w:rPr>
          <w:sz w:val="20"/>
        </w:rPr>
      </w:pPr>
      <w:r>
        <w:rPr>
          <w:sz w:val="20"/>
        </w:rPr>
        <w:t>The</w:t>
      </w:r>
      <w:r>
        <w:rPr>
          <w:spacing w:val="-4"/>
          <w:sz w:val="20"/>
        </w:rPr>
        <w:t> </w:t>
      </w:r>
      <w:r>
        <w:rPr>
          <w:sz w:val="20"/>
        </w:rPr>
        <w:t>primary</w:t>
      </w:r>
      <w:r>
        <w:rPr>
          <w:spacing w:val="-9"/>
          <w:sz w:val="20"/>
        </w:rPr>
        <w:t> </w:t>
      </w:r>
      <w:r>
        <w:rPr>
          <w:sz w:val="20"/>
        </w:rPr>
        <w:t>reason why</w:t>
      </w:r>
      <w:r>
        <w:rPr>
          <w:spacing w:val="-6"/>
          <w:sz w:val="20"/>
        </w:rPr>
        <w:t> </w:t>
      </w:r>
      <w:r>
        <w:rPr>
          <w:sz w:val="20"/>
        </w:rPr>
        <w:t>it</w:t>
      </w:r>
      <w:r>
        <w:rPr>
          <w:spacing w:val="-1"/>
          <w:sz w:val="20"/>
        </w:rPr>
        <w:t> </w:t>
      </w:r>
      <w:r>
        <w:rPr>
          <w:sz w:val="20"/>
        </w:rPr>
        <w:t>may</w:t>
      </w:r>
      <w:r>
        <w:rPr>
          <w:spacing w:val="-6"/>
          <w:sz w:val="20"/>
        </w:rPr>
        <w:t> </w:t>
      </w:r>
      <w:r>
        <w:rPr>
          <w:sz w:val="20"/>
        </w:rPr>
        <w:t>be</w:t>
      </w:r>
      <w:r>
        <w:rPr>
          <w:spacing w:val="-4"/>
          <w:sz w:val="20"/>
        </w:rPr>
        <w:t> </w:t>
      </w:r>
      <w:r>
        <w:rPr>
          <w:sz w:val="20"/>
        </w:rPr>
        <w:t>necessary</w:t>
      </w:r>
      <w:r>
        <w:rPr>
          <w:spacing w:val="-8"/>
          <w:sz w:val="20"/>
        </w:rPr>
        <w:t> </w:t>
      </w:r>
      <w:r>
        <w:rPr>
          <w:sz w:val="20"/>
        </w:rPr>
        <w:t>to</w:t>
      </w:r>
      <w:r>
        <w:rPr>
          <w:spacing w:val="-3"/>
          <w:sz w:val="20"/>
        </w:rPr>
        <w:t> </w:t>
      </w:r>
      <w:r>
        <w:rPr>
          <w:sz w:val="20"/>
        </w:rPr>
        <w:t>compute</w:t>
      </w:r>
      <w:r>
        <w:rPr>
          <w:spacing w:val="2"/>
          <w:sz w:val="20"/>
        </w:rPr>
        <w:t> </w:t>
      </w:r>
      <w:r>
        <w:rPr>
          <w:sz w:val="20"/>
        </w:rPr>
        <w:t>the Amount</w:t>
      </w:r>
      <w:r>
        <w:rPr>
          <w:spacing w:val="-4"/>
          <w:sz w:val="20"/>
        </w:rPr>
        <w:t> </w:t>
      </w:r>
      <w:r>
        <w:rPr>
          <w:sz w:val="20"/>
        </w:rPr>
        <w:t>A</w:t>
      </w:r>
      <w:r>
        <w:rPr>
          <w:spacing w:val="-3"/>
          <w:sz w:val="20"/>
        </w:rPr>
        <w:t> </w:t>
      </w:r>
      <w:r>
        <w:rPr>
          <w:sz w:val="20"/>
        </w:rPr>
        <w:t>tax</w:t>
      </w:r>
      <w:r>
        <w:rPr>
          <w:spacing w:val="-1"/>
          <w:sz w:val="20"/>
        </w:rPr>
        <w:t> </w:t>
      </w:r>
      <w:r>
        <w:rPr>
          <w:sz w:val="20"/>
        </w:rPr>
        <w:t>base</w:t>
      </w:r>
      <w:r>
        <w:rPr>
          <w:spacing w:val="-1"/>
          <w:sz w:val="20"/>
        </w:rPr>
        <w:t> </w:t>
      </w:r>
      <w:r>
        <w:rPr>
          <w:sz w:val="20"/>
        </w:rPr>
        <w:t>on</w:t>
      </w:r>
      <w:r>
        <w:rPr>
          <w:spacing w:val="-4"/>
          <w:sz w:val="20"/>
        </w:rPr>
        <w:t> </w:t>
      </w:r>
      <w:r>
        <w:rPr>
          <w:sz w:val="20"/>
        </w:rPr>
        <w:t>a</w:t>
      </w:r>
      <w:r>
        <w:rPr>
          <w:spacing w:val="-3"/>
          <w:sz w:val="20"/>
        </w:rPr>
        <w:t> </w:t>
      </w:r>
      <w:r>
        <w:rPr>
          <w:sz w:val="20"/>
        </w:rPr>
        <w:t>segmented basis is because Amount A will apply only to the profits that groups derive from carrying on in-scope activities. For example, the scope requirements for ADS distinguish between standardised cloud computing services, which would be in scope, and bespoke cloud services, which would not. A group that provides both types of services therefore needs an approach to segmentation that enables it to apply Amount A only to the profits derived from in-scope</w:t>
      </w:r>
      <w:r>
        <w:rPr>
          <w:spacing w:val="-12"/>
          <w:sz w:val="20"/>
        </w:rPr>
        <w:t> </w:t>
      </w:r>
      <w:r>
        <w:rPr>
          <w:sz w:val="20"/>
        </w:rPr>
        <w:t>activities.</w:t>
      </w:r>
    </w:p>
    <w:p>
      <w:pPr>
        <w:pStyle w:val="BodyText"/>
        <w:spacing w:before="3"/>
        <w:rPr>
          <w:sz w:val="19"/>
        </w:rPr>
      </w:pPr>
      <w:r>
        <w:rPr/>
        <w:pict>
          <v:rect style="position:absolute;margin-left:65.183998pt;margin-top:13.051064pt;width:144.020004pt;height:.599980pt;mso-position-horizontal-relative:page;mso-position-vertical-relative:paragraph;z-index:-1566720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8" w:val="left" w:leader="none"/>
        </w:tabs>
        <w:spacing w:line="278" w:lineRule="auto" w:before="94" w:after="0"/>
        <w:ind w:left="723" w:right="482" w:firstLine="0"/>
        <w:jc w:val="both"/>
        <w:rPr>
          <w:sz w:val="18"/>
        </w:rPr>
      </w:pPr>
      <w:r>
        <w:rPr>
          <w:sz w:val="18"/>
        </w:rPr>
        <w:t>Under IFRS and a number of GAAP, income and expenses are classified and included either in the statement of “profit</w:t>
      </w:r>
      <w:r>
        <w:rPr>
          <w:spacing w:val="-7"/>
          <w:sz w:val="18"/>
        </w:rPr>
        <w:t> </w:t>
      </w:r>
      <w:r>
        <w:rPr>
          <w:sz w:val="18"/>
        </w:rPr>
        <w:t>or</w:t>
      </w:r>
      <w:r>
        <w:rPr>
          <w:spacing w:val="-4"/>
          <w:sz w:val="18"/>
        </w:rPr>
        <w:t> </w:t>
      </w:r>
      <w:r>
        <w:rPr>
          <w:sz w:val="18"/>
        </w:rPr>
        <w:t>loss”</w:t>
      </w:r>
      <w:r>
        <w:rPr>
          <w:spacing w:val="-7"/>
          <w:sz w:val="18"/>
        </w:rPr>
        <w:t> </w:t>
      </w:r>
      <w:r>
        <w:rPr>
          <w:sz w:val="18"/>
        </w:rPr>
        <w:t>or</w:t>
      </w:r>
      <w:r>
        <w:rPr>
          <w:spacing w:val="-3"/>
          <w:sz w:val="18"/>
        </w:rPr>
        <w:t> </w:t>
      </w:r>
      <w:r>
        <w:rPr>
          <w:sz w:val="18"/>
        </w:rPr>
        <w:t>in</w:t>
      </w:r>
      <w:r>
        <w:rPr>
          <w:spacing w:val="-6"/>
          <w:sz w:val="18"/>
        </w:rPr>
        <w:t> </w:t>
      </w:r>
      <w:r>
        <w:rPr>
          <w:sz w:val="18"/>
        </w:rPr>
        <w:t>the</w:t>
      </w:r>
      <w:r>
        <w:rPr>
          <w:spacing w:val="-4"/>
          <w:sz w:val="18"/>
        </w:rPr>
        <w:t> </w:t>
      </w:r>
      <w:r>
        <w:rPr>
          <w:sz w:val="18"/>
        </w:rPr>
        <w:t>“other</w:t>
      </w:r>
      <w:r>
        <w:rPr>
          <w:spacing w:val="-6"/>
          <w:sz w:val="18"/>
        </w:rPr>
        <w:t> </w:t>
      </w:r>
      <w:r>
        <w:rPr>
          <w:sz w:val="18"/>
        </w:rPr>
        <w:t>comprehensive</w:t>
      </w:r>
      <w:r>
        <w:rPr>
          <w:spacing w:val="-4"/>
          <w:sz w:val="18"/>
        </w:rPr>
        <w:t> </w:t>
      </w:r>
      <w:r>
        <w:rPr>
          <w:sz w:val="18"/>
        </w:rPr>
        <w:t>income”</w:t>
      </w:r>
      <w:r>
        <w:rPr>
          <w:spacing w:val="-7"/>
          <w:sz w:val="18"/>
        </w:rPr>
        <w:t> </w:t>
      </w:r>
      <w:r>
        <w:rPr>
          <w:sz w:val="18"/>
        </w:rPr>
        <w:t>statement.</w:t>
      </w:r>
      <w:r>
        <w:rPr>
          <w:spacing w:val="1"/>
          <w:sz w:val="18"/>
        </w:rPr>
        <w:t> </w:t>
      </w:r>
      <w:r>
        <w:rPr>
          <w:sz w:val="18"/>
        </w:rPr>
        <w:t>As</w:t>
      </w:r>
      <w:r>
        <w:rPr>
          <w:spacing w:val="-5"/>
          <w:sz w:val="18"/>
        </w:rPr>
        <w:t> </w:t>
      </w:r>
      <w:r>
        <w:rPr>
          <w:sz w:val="18"/>
        </w:rPr>
        <w:t>a</w:t>
      </w:r>
      <w:r>
        <w:rPr>
          <w:spacing w:val="-4"/>
          <w:sz w:val="18"/>
        </w:rPr>
        <w:t> </w:t>
      </w:r>
      <w:r>
        <w:rPr>
          <w:sz w:val="18"/>
        </w:rPr>
        <w:t>general</w:t>
      </w:r>
      <w:r>
        <w:rPr>
          <w:spacing w:val="-4"/>
          <w:sz w:val="18"/>
        </w:rPr>
        <w:t> </w:t>
      </w:r>
      <w:r>
        <w:rPr>
          <w:sz w:val="18"/>
        </w:rPr>
        <w:t>rule,</w:t>
      </w:r>
      <w:r>
        <w:rPr>
          <w:spacing w:val="-4"/>
          <w:sz w:val="18"/>
        </w:rPr>
        <w:t> </w:t>
      </w:r>
      <w:r>
        <w:rPr>
          <w:sz w:val="18"/>
        </w:rPr>
        <w:t>non-realised</w:t>
      </w:r>
      <w:r>
        <w:rPr>
          <w:spacing w:val="-3"/>
          <w:sz w:val="18"/>
        </w:rPr>
        <w:t> </w:t>
      </w:r>
      <w:r>
        <w:rPr>
          <w:sz w:val="18"/>
        </w:rPr>
        <w:t>income</w:t>
      </w:r>
      <w:r>
        <w:rPr>
          <w:spacing w:val="-4"/>
          <w:sz w:val="18"/>
        </w:rPr>
        <w:t> </w:t>
      </w:r>
      <w:r>
        <w:rPr>
          <w:sz w:val="18"/>
        </w:rPr>
        <w:t>or</w:t>
      </w:r>
      <w:r>
        <w:rPr>
          <w:spacing w:val="-7"/>
          <w:sz w:val="18"/>
        </w:rPr>
        <w:t> </w:t>
      </w:r>
      <w:r>
        <w:rPr>
          <w:sz w:val="18"/>
        </w:rPr>
        <w:t>expenses are</w:t>
      </w:r>
      <w:r>
        <w:rPr>
          <w:spacing w:val="-6"/>
          <w:sz w:val="18"/>
        </w:rPr>
        <w:t> </w:t>
      </w:r>
      <w:r>
        <w:rPr>
          <w:sz w:val="18"/>
        </w:rPr>
        <w:t>recognised</w:t>
      </w:r>
      <w:r>
        <w:rPr>
          <w:spacing w:val="-9"/>
          <w:sz w:val="18"/>
        </w:rPr>
        <w:t> </w:t>
      </w:r>
      <w:r>
        <w:rPr>
          <w:sz w:val="18"/>
        </w:rPr>
        <w:t>in</w:t>
      </w:r>
      <w:r>
        <w:rPr>
          <w:spacing w:val="-6"/>
          <w:sz w:val="18"/>
        </w:rPr>
        <w:t> </w:t>
      </w:r>
      <w:r>
        <w:rPr>
          <w:sz w:val="18"/>
        </w:rPr>
        <w:t>the</w:t>
      </w:r>
      <w:r>
        <w:rPr>
          <w:spacing w:val="-6"/>
          <w:sz w:val="18"/>
        </w:rPr>
        <w:t> </w:t>
      </w:r>
      <w:r>
        <w:rPr>
          <w:sz w:val="18"/>
        </w:rPr>
        <w:t>“other</w:t>
      </w:r>
      <w:r>
        <w:rPr>
          <w:spacing w:val="-9"/>
          <w:sz w:val="18"/>
        </w:rPr>
        <w:t> </w:t>
      </w:r>
      <w:r>
        <w:rPr>
          <w:sz w:val="18"/>
        </w:rPr>
        <w:t>comprehensive</w:t>
      </w:r>
      <w:r>
        <w:rPr>
          <w:spacing w:val="-6"/>
          <w:sz w:val="18"/>
        </w:rPr>
        <w:t> </w:t>
      </w:r>
      <w:r>
        <w:rPr>
          <w:sz w:val="18"/>
        </w:rPr>
        <w:t>income”</w:t>
      </w:r>
      <w:r>
        <w:rPr>
          <w:spacing w:val="-7"/>
          <w:sz w:val="18"/>
        </w:rPr>
        <w:t> </w:t>
      </w:r>
      <w:r>
        <w:rPr>
          <w:sz w:val="18"/>
        </w:rPr>
        <w:t>statement</w:t>
      </w:r>
      <w:r>
        <w:rPr>
          <w:spacing w:val="-7"/>
          <w:sz w:val="18"/>
        </w:rPr>
        <w:t> </w:t>
      </w:r>
      <w:r>
        <w:rPr>
          <w:sz w:val="18"/>
        </w:rPr>
        <w:t>in</w:t>
      </w:r>
      <w:r>
        <w:rPr>
          <w:spacing w:val="-6"/>
          <w:sz w:val="18"/>
        </w:rPr>
        <w:t> </w:t>
      </w:r>
      <w:r>
        <w:rPr>
          <w:sz w:val="18"/>
        </w:rPr>
        <w:t>the</w:t>
      </w:r>
      <w:r>
        <w:rPr>
          <w:spacing w:val="-6"/>
          <w:sz w:val="18"/>
        </w:rPr>
        <w:t> </w:t>
      </w:r>
      <w:r>
        <w:rPr>
          <w:sz w:val="18"/>
        </w:rPr>
        <w:t>period</w:t>
      </w:r>
      <w:r>
        <w:rPr>
          <w:spacing w:val="-6"/>
          <w:sz w:val="18"/>
        </w:rPr>
        <w:t> </w:t>
      </w:r>
      <w:r>
        <w:rPr>
          <w:sz w:val="18"/>
        </w:rPr>
        <w:t>where</w:t>
      </w:r>
      <w:r>
        <w:rPr>
          <w:spacing w:val="-6"/>
          <w:sz w:val="18"/>
        </w:rPr>
        <w:t> </w:t>
      </w:r>
      <w:r>
        <w:rPr>
          <w:sz w:val="18"/>
        </w:rPr>
        <w:t>they</w:t>
      </w:r>
      <w:r>
        <w:rPr>
          <w:spacing w:val="-7"/>
          <w:sz w:val="18"/>
        </w:rPr>
        <w:t> </w:t>
      </w:r>
      <w:r>
        <w:rPr>
          <w:sz w:val="18"/>
        </w:rPr>
        <w:t>are</w:t>
      </w:r>
      <w:r>
        <w:rPr>
          <w:spacing w:val="-6"/>
          <w:sz w:val="18"/>
        </w:rPr>
        <w:t> </w:t>
      </w:r>
      <w:r>
        <w:rPr>
          <w:sz w:val="18"/>
        </w:rPr>
        <w:t>accrued.</w:t>
      </w:r>
      <w:r>
        <w:rPr>
          <w:spacing w:val="-7"/>
          <w:sz w:val="18"/>
        </w:rPr>
        <w:t> </w:t>
      </w:r>
      <w:r>
        <w:rPr>
          <w:sz w:val="18"/>
        </w:rPr>
        <w:t>These</w:t>
      </w:r>
      <w:r>
        <w:rPr>
          <w:spacing w:val="-6"/>
          <w:sz w:val="18"/>
        </w:rPr>
        <w:t> </w:t>
      </w:r>
      <w:r>
        <w:rPr>
          <w:sz w:val="18"/>
        </w:rPr>
        <w:t>items</w:t>
      </w:r>
      <w:r>
        <w:rPr>
          <w:spacing w:val="-6"/>
          <w:sz w:val="18"/>
        </w:rPr>
        <w:t> </w:t>
      </w:r>
      <w:r>
        <w:rPr>
          <w:sz w:val="18"/>
        </w:rPr>
        <w:t>are subsequently reclassified (“recycled”) from the “other comprehensive income” statement into the statement of “profit or loss” in a future period, usually when they are</w:t>
      </w:r>
      <w:r>
        <w:rPr>
          <w:spacing w:val="-12"/>
          <w:sz w:val="18"/>
        </w:rPr>
        <w:t> </w:t>
      </w:r>
      <w:r>
        <w:rPr>
          <w:sz w:val="18"/>
        </w:rPr>
        <w:t>realised.</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3" w:firstLine="0"/>
        <w:jc w:val="both"/>
        <w:rPr>
          <w:sz w:val="20"/>
        </w:rPr>
      </w:pPr>
      <w:r>
        <w:rPr>
          <w:sz w:val="20"/>
        </w:rPr>
        <w:t>For the scope and nexus rules, taxpayers will need to separate their revenue between that attributable to CFB, ADS and out-of-scope activities. It is reasonable to expect that a taxpayer could prepare, and tax administrations could review, a breakdown of revenue on this basis. However, it would be more complex for a taxpayer to segment these different types of activities to calculate a measure of PBT.</w:t>
      </w:r>
      <w:r>
        <w:rPr>
          <w:spacing w:val="-5"/>
          <w:sz w:val="20"/>
        </w:rPr>
        <w:t> </w:t>
      </w:r>
      <w:r>
        <w:rPr>
          <w:sz w:val="20"/>
        </w:rPr>
        <w:t>This</w:t>
      </w:r>
      <w:r>
        <w:rPr>
          <w:spacing w:val="-4"/>
          <w:sz w:val="20"/>
        </w:rPr>
        <w:t> </w:t>
      </w:r>
      <w:r>
        <w:rPr>
          <w:sz w:val="20"/>
        </w:rPr>
        <w:t>is</w:t>
      </w:r>
      <w:r>
        <w:rPr>
          <w:spacing w:val="-4"/>
          <w:sz w:val="20"/>
        </w:rPr>
        <w:t> </w:t>
      </w:r>
      <w:r>
        <w:rPr>
          <w:sz w:val="20"/>
        </w:rPr>
        <w:t>because</w:t>
      </w:r>
      <w:r>
        <w:rPr>
          <w:spacing w:val="-5"/>
          <w:sz w:val="20"/>
        </w:rPr>
        <w:t> </w:t>
      </w:r>
      <w:r>
        <w:rPr>
          <w:sz w:val="20"/>
        </w:rPr>
        <w:t>it</w:t>
      </w:r>
      <w:r>
        <w:rPr>
          <w:spacing w:val="-5"/>
          <w:sz w:val="20"/>
        </w:rPr>
        <w:t> </w:t>
      </w:r>
      <w:r>
        <w:rPr>
          <w:sz w:val="20"/>
        </w:rPr>
        <w:t>would</w:t>
      </w:r>
      <w:r>
        <w:rPr>
          <w:spacing w:val="-5"/>
          <w:sz w:val="20"/>
        </w:rPr>
        <w:t> </w:t>
      </w:r>
      <w:r>
        <w:rPr>
          <w:sz w:val="20"/>
        </w:rPr>
        <w:t>require</w:t>
      </w:r>
      <w:r>
        <w:rPr>
          <w:spacing w:val="-5"/>
          <w:sz w:val="20"/>
        </w:rPr>
        <w:t> </w:t>
      </w:r>
      <w:r>
        <w:rPr>
          <w:sz w:val="20"/>
        </w:rPr>
        <w:t>groups</w:t>
      </w:r>
      <w:r>
        <w:rPr>
          <w:spacing w:val="-4"/>
          <w:sz w:val="20"/>
        </w:rPr>
        <w:t> </w:t>
      </w:r>
      <w:r>
        <w:rPr>
          <w:sz w:val="20"/>
        </w:rPr>
        <w:t>to</w:t>
      </w:r>
      <w:r>
        <w:rPr>
          <w:spacing w:val="-5"/>
          <w:sz w:val="20"/>
        </w:rPr>
        <w:t> </w:t>
      </w:r>
      <w:r>
        <w:rPr>
          <w:sz w:val="20"/>
        </w:rPr>
        <w:t>apportion</w:t>
      </w:r>
      <w:r>
        <w:rPr>
          <w:spacing w:val="-6"/>
          <w:sz w:val="20"/>
        </w:rPr>
        <w:t> </w:t>
      </w:r>
      <w:r>
        <w:rPr>
          <w:sz w:val="20"/>
        </w:rPr>
        <w:t>costs</w:t>
      </w:r>
      <w:r>
        <w:rPr>
          <w:spacing w:val="-4"/>
          <w:sz w:val="20"/>
        </w:rPr>
        <w:t> </w:t>
      </w:r>
      <w:r>
        <w:rPr>
          <w:sz w:val="20"/>
        </w:rPr>
        <w:t>between</w:t>
      </w:r>
      <w:r>
        <w:rPr>
          <w:spacing w:val="-6"/>
          <w:sz w:val="20"/>
        </w:rPr>
        <w:t> </w:t>
      </w:r>
      <w:r>
        <w:rPr>
          <w:sz w:val="20"/>
        </w:rPr>
        <w:t>these</w:t>
      </w:r>
      <w:r>
        <w:rPr>
          <w:spacing w:val="-4"/>
          <w:sz w:val="20"/>
        </w:rPr>
        <w:t> </w:t>
      </w:r>
      <w:r>
        <w:rPr>
          <w:sz w:val="20"/>
        </w:rPr>
        <w:t>different</w:t>
      </w:r>
      <w:r>
        <w:rPr>
          <w:spacing w:val="-5"/>
          <w:sz w:val="20"/>
        </w:rPr>
        <w:t> </w:t>
      </w:r>
      <w:r>
        <w:rPr>
          <w:sz w:val="20"/>
        </w:rPr>
        <w:t>types</w:t>
      </w:r>
      <w:r>
        <w:rPr>
          <w:spacing w:val="-4"/>
          <w:sz w:val="20"/>
        </w:rPr>
        <w:t> </w:t>
      </w:r>
      <w:r>
        <w:rPr>
          <w:sz w:val="20"/>
        </w:rPr>
        <w:t>of</w:t>
      </w:r>
      <w:r>
        <w:rPr>
          <w:spacing w:val="-3"/>
          <w:sz w:val="20"/>
        </w:rPr>
        <w:t> </w:t>
      </w:r>
      <w:r>
        <w:rPr>
          <w:sz w:val="20"/>
        </w:rPr>
        <w:t>activities in</w:t>
      </w:r>
      <w:r>
        <w:rPr>
          <w:spacing w:val="-5"/>
          <w:sz w:val="20"/>
        </w:rPr>
        <w:t> </w:t>
      </w:r>
      <w:r>
        <w:rPr>
          <w:sz w:val="20"/>
        </w:rPr>
        <w:t>a</w:t>
      </w:r>
      <w:r>
        <w:rPr>
          <w:spacing w:val="-3"/>
          <w:sz w:val="20"/>
        </w:rPr>
        <w:t> </w:t>
      </w:r>
      <w:r>
        <w:rPr>
          <w:sz w:val="20"/>
        </w:rPr>
        <w:t>way</w:t>
      </w:r>
      <w:r>
        <w:rPr>
          <w:spacing w:val="-7"/>
          <w:sz w:val="20"/>
        </w:rPr>
        <w:t> </w:t>
      </w:r>
      <w:r>
        <w:rPr>
          <w:sz w:val="20"/>
        </w:rPr>
        <w:t>that</w:t>
      </w:r>
      <w:r>
        <w:rPr>
          <w:spacing w:val="-3"/>
          <w:sz w:val="20"/>
        </w:rPr>
        <w:t> </w:t>
      </w:r>
      <w:r>
        <w:rPr>
          <w:sz w:val="20"/>
        </w:rPr>
        <w:t>is</w:t>
      </w:r>
      <w:r>
        <w:rPr>
          <w:spacing w:val="-4"/>
          <w:sz w:val="20"/>
        </w:rPr>
        <w:t> </w:t>
      </w:r>
      <w:r>
        <w:rPr>
          <w:sz w:val="20"/>
        </w:rPr>
        <w:t>unlikely</w:t>
      </w:r>
      <w:r>
        <w:rPr>
          <w:spacing w:val="-7"/>
          <w:sz w:val="20"/>
        </w:rPr>
        <w:t> </w:t>
      </w:r>
      <w:r>
        <w:rPr>
          <w:sz w:val="20"/>
        </w:rPr>
        <w:t>to</w:t>
      </w:r>
      <w:r>
        <w:rPr>
          <w:spacing w:val="-4"/>
          <w:sz w:val="20"/>
        </w:rPr>
        <w:t> </w:t>
      </w:r>
      <w:r>
        <w:rPr>
          <w:sz w:val="20"/>
        </w:rPr>
        <w:t>reflect</w:t>
      </w:r>
      <w:r>
        <w:rPr>
          <w:spacing w:val="-4"/>
          <w:sz w:val="20"/>
        </w:rPr>
        <w:t> </w:t>
      </w:r>
      <w:r>
        <w:rPr>
          <w:sz w:val="20"/>
        </w:rPr>
        <w:t>their</w:t>
      </w:r>
      <w:r>
        <w:rPr>
          <w:spacing w:val="-3"/>
          <w:sz w:val="20"/>
        </w:rPr>
        <w:t> </w:t>
      </w:r>
      <w:r>
        <w:rPr>
          <w:sz w:val="20"/>
        </w:rPr>
        <w:t>existing</w:t>
      </w:r>
      <w:r>
        <w:rPr>
          <w:spacing w:val="-6"/>
          <w:sz w:val="20"/>
        </w:rPr>
        <w:t> </w:t>
      </w:r>
      <w:r>
        <w:rPr>
          <w:sz w:val="20"/>
        </w:rPr>
        <w:t>external</w:t>
      </w:r>
      <w:r>
        <w:rPr>
          <w:spacing w:val="-3"/>
          <w:sz w:val="20"/>
        </w:rPr>
        <w:t> </w:t>
      </w:r>
      <w:r>
        <w:rPr>
          <w:sz w:val="20"/>
        </w:rPr>
        <w:t>or</w:t>
      </w:r>
      <w:r>
        <w:rPr>
          <w:spacing w:val="-4"/>
          <w:sz w:val="20"/>
        </w:rPr>
        <w:t> </w:t>
      </w:r>
      <w:r>
        <w:rPr>
          <w:sz w:val="20"/>
        </w:rPr>
        <w:t>internal</w:t>
      </w:r>
      <w:r>
        <w:rPr>
          <w:spacing w:val="-5"/>
          <w:sz w:val="20"/>
        </w:rPr>
        <w:t> </w:t>
      </w:r>
      <w:r>
        <w:rPr>
          <w:sz w:val="20"/>
        </w:rPr>
        <w:t>reporting,</w:t>
      </w:r>
      <w:r>
        <w:rPr>
          <w:spacing w:val="-6"/>
          <w:sz w:val="20"/>
        </w:rPr>
        <w:t> </w:t>
      </w:r>
      <w:r>
        <w:rPr>
          <w:sz w:val="20"/>
        </w:rPr>
        <w:t>and</w:t>
      </w:r>
      <w:r>
        <w:rPr>
          <w:spacing w:val="-4"/>
          <w:sz w:val="20"/>
        </w:rPr>
        <w:t> </w:t>
      </w:r>
      <w:r>
        <w:rPr>
          <w:sz w:val="20"/>
        </w:rPr>
        <w:t>the</w:t>
      </w:r>
      <w:r>
        <w:rPr>
          <w:spacing w:val="-4"/>
          <w:sz w:val="20"/>
        </w:rPr>
        <w:t> </w:t>
      </w:r>
      <w:r>
        <w:rPr>
          <w:sz w:val="20"/>
        </w:rPr>
        <w:t>reliance</w:t>
      </w:r>
      <w:r>
        <w:rPr>
          <w:spacing w:val="-4"/>
          <w:sz w:val="20"/>
        </w:rPr>
        <w:t> </w:t>
      </w:r>
      <w:r>
        <w:rPr>
          <w:sz w:val="20"/>
        </w:rPr>
        <w:t>on</w:t>
      </w:r>
      <w:r>
        <w:rPr>
          <w:spacing w:val="-4"/>
          <w:sz w:val="20"/>
        </w:rPr>
        <w:t> </w:t>
      </w:r>
      <w:r>
        <w:rPr>
          <w:sz w:val="20"/>
        </w:rPr>
        <w:t>allocation keys for such an apportionment brings into question whether the segmented PBT for each of these separate activities would accurately reflect the underlying economic reality of each</w:t>
      </w:r>
      <w:r>
        <w:rPr>
          <w:spacing w:val="-20"/>
          <w:sz w:val="20"/>
        </w:rPr>
        <w:t> </w:t>
      </w:r>
      <w:r>
        <w:rPr>
          <w:sz w:val="20"/>
        </w:rPr>
        <w:t>business.</w:t>
      </w:r>
      <w:r>
        <w:rPr>
          <w:sz w:val="20"/>
          <w:vertAlign w:val="superscript"/>
        </w:rPr>
        <w:t>77</w:t>
      </w:r>
    </w:p>
    <w:p>
      <w:pPr>
        <w:pStyle w:val="ListParagraph"/>
        <w:numPr>
          <w:ilvl w:val="0"/>
          <w:numId w:val="13"/>
        </w:numPr>
        <w:tabs>
          <w:tab w:pos="1444" w:val="left" w:leader="none"/>
        </w:tabs>
        <w:spacing w:line="271" w:lineRule="auto" w:before="119" w:after="0"/>
        <w:ind w:left="723" w:right="484" w:firstLine="0"/>
        <w:jc w:val="both"/>
        <w:rPr>
          <w:sz w:val="20"/>
        </w:rPr>
      </w:pPr>
      <w:r>
        <w:rPr>
          <w:sz w:val="20"/>
        </w:rPr>
        <w:t>Nevertheless,</w:t>
      </w:r>
      <w:r>
        <w:rPr>
          <w:spacing w:val="-6"/>
          <w:sz w:val="20"/>
        </w:rPr>
        <w:t> </w:t>
      </w:r>
      <w:r>
        <w:rPr>
          <w:sz w:val="20"/>
        </w:rPr>
        <w:t>as</w:t>
      </w:r>
      <w:r>
        <w:rPr>
          <w:spacing w:val="-3"/>
          <w:sz w:val="20"/>
        </w:rPr>
        <w:t> </w:t>
      </w:r>
      <w:r>
        <w:rPr>
          <w:sz w:val="20"/>
        </w:rPr>
        <w:t>Pillar</w:t>
      </w:r>
      <w:r>
        <w:rPr>
          <w:spacing w:val="-5"/>
          <w:sz w:val="20"/>
        </w:rPr>
        <w:t> </w:t>
      </w:r>
      <w:r>
        <w:rPr>
          <w:sz w:val="20"/>
        </w:rPr>
        <w:t>One</w:t>
      </w:r>
      <w:r>
        <w:rPr>
          <w:spacing w:val="-2"/>
          <w:sz w:val="20"/>
        </w:rPr>
        <w:t> </w:t>
      </w:r>
      <w:r>
        <w:rPr>
          <w:sz w:val="20"/>
        </w:rPr>
        <w:t>applies</w:t>
      </w:r>
      <w:r>
        <w:rPr>
          <w:spacing w:val="-5"/>
          <w:sz w:val="20"/>
        </w:rPr>
        <w:t> </w:t>
      </w:r>
      <w:r>
        <w:rPr>
          <w:sz w:val="20"/>
        </w:rPr>
        <w:t>the</w:t>
      </w:r>
      <w:r>
        <w:rPr>
          <w:spacing w:val="-3"/>
          <w:sz w:val="20"/>
        </w:rPr>
        <w:t> </w:t>
      </w:r>
      <w:r>
        <w:rPr>
          <w:sz w:val="20"/>
        </w:rPr>
        <w:t>principle</w:t>
      </w:r>
      <w:r>
        <w:rPr>
          <w:spacing w:val="-5"/>
          <w:sz w:val="20"/>
        </w:rPr>
        <w:t> </w:t>
      </w:r>
      <w:r>
        <w:rPr>
          <w:sz w:val="20"/>
        </w:rPr>
        <w:t>of</w:t>
      </w:r>
      <w:r>
        <w:rPr>
          <w:spacing w:val="-3"/>
          <w:sz w:val="20"/>
        </w:rPr>
        <w:t> </w:t>
      </w:r>
      <w:r>
        <w:rPr>
          <w:sz w:val="20"/>
        </w:rPr>
        <w:t>net,</w:t>
      </w:r>
      <w:r>
        <w:rPr>
          <w:spacing w:val="-3"/>
          <w:sz w:val="20"/>
        </w:rPr>
        <w:t> </w:t>
      </w:r>
      <w:r>
        <w:rPr>
          <w:sz w:val="20"/>
        </w:rPr>
        <w:t>rather</w:t>
      </w:r>
      <w:r>
        <w:rPr>
          <w:spacing w:val="-6"/>
          <w:sz w:val="20"/>
        </w:rPr>
        <w:t> </w:t>
      </w:r>
      <w:r>
        <w:rPr>
          <w:sz w:val="20"/>
        </w:rPr>
        <w:t>than</w:t>
      </w:r>
      <w:r>
        <w:rPr>
          <w:spacing w:val="-4"/>
          <w:sz w:val="20"/>
        </w:rPr>
        <w:t> </w:t>
      </w:r>
      <w:r>
        <w:rPr>
          <w:sz w:val="20"/>
        </w:rPr>
        <w:t>gross,</w:t>
      </w:r>
      <w:r>
        <w:rPr>
          <w:spacing w:val="-5"/>
          <w:sz w:val="20"/>
        </w:rPr>
        <w:t> </w:t>
      </w:r>
      <w:r>
        <w:rPr>
          <w:sz w:val="20"/>
        </w:rPr>
        <w:t>basis</w:t>
      </w:r>
      <w:r>
        <w:rPr>
          <w:spacing w:val="-4"/>
          <w:sz w:val="20"/>
        </w:rPr>
        <w:t> </w:t>
      </w:r>
      <w:r>
        <w:rPr>
          <w:sz w:val="20"/>
        </w:rPr>
        <w:t>taxation</w:t>
      </w:r>
      <w:r>
        <w:rPr>
          <w:spacing w:val="-4"/>
          <w:sz w:val="20"/>
        </w:rPr>
        <w:t> </w:t>
      </w:r>
      <w:r>
        <w:rPr>
          <w:sz w:val="20"/>
        </w:rPr>
        <w:t>it</w:t>
      </w:r>
      <w:r>
        <w:rPr>
          <w:spacing w:val="-4"/>
          <w:sz w:val="20"/>
        </w:rPr>
        <w:t> </w:t>
      </w:r>
      <w:r>
        <w:rPr>
          <w:sz w:val="20"/>
        </w:rPr>
        <w:t>will</w:t>
      </w:r>
      <w:r>
        <w:rPr>
          <w:spacing w:val="-6"/>
          <w:sz w:val="20"/>
        </w:rPr>
        <w:t> </w:t>
      </w:r>
      <w:r>
        <w:rPr>
          <w:sz w:val="20"/>
        </w:rPr>
        <w:t>still be necessary to compute the profits attributable to in-scope activities. The easiest way to achieve this would be to calculate the Amount A tax base on a consolidated basis, and use the consolidated profit margin of the group as a proxy for the in-scope profit margin, applying it to in-scope revenues to produce a proxy for in-scope profits. From this proxy, Amount A would be calculated and then allocated among market jurisdictions using the allocation formula. Therefore, as the default a group should be able to compute the Amount A tax base on a group</w:t>
      </w:r>
      <w:r>
        <w:rPr>
          <w:spacing w:val="-4"/>
          <w:sz w:val="20"/>
        </w:rPr>
        <w:t> </w:t>
      </w:r>
      <w:r>
        <w:rPr>
          <w:sz w:val="20"/>
        </w:rPr>
        <w:t>basis.</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However, there are some circumstances where this would not seem appropriate, or where doing so</w:t>
      </w:r>
      <w:r>
        <w:rPr>
          <w:spacing w:val="-19"/>
          <w:sz w:val="20"/>
        </w:rPr>
        <w:t> </w:t>
      </w:r>
      <w:r>
        <w:rPr>
          <w:sz w:val="20"/>
        </w:rPr>
        <w:t>might</w:t>
      </w:r>
      <w:r>
        <w:rPr>
          <w:spacing w:val="-18"/>
          <w:sz w:val="20"/>
        </w:rPr>
        <w:t> </w:t>
      </w:r>
      <w:r>
        <w:rPr>
          <w:sz w:val="20"/>
        </w:rPr>
        <w:t>fail</w:t>
      </w:r>
      <w:r>
        <w:rPr>
          <w:spacing w:val="-17"/>
          <w:sz w:val="20"/>
        </w:rPr>
        <w:t> </w:t>
      </w:r>
      <w:r>
        <w:rPr>
          <w:sz w:val="20"/>
        </w:rPr>
        <w:t>to</w:t>
      </w:r>
      <w:r>
        <w:rPr>
          <w:spacing w:val="-18"/>
          <w:sz w:val="20"/>
        </w:rPr>
        <w:t> </w:t>
      </w:r>
      <w:r>
        <w:rPr>
          <w:sz w:val="20"/>
        </w:rPr>
        <w:t>maintain</w:t>
      </w:r>
      <w:r>
        <w:rPr>
          <w:spacing w:val="-16"/>
          <w:sz w:val="20"/>
        </w:rPr>
        <w:t> </w:t>
      </w:r>
      <w:r>
        <w:rPr>
          <w:sz w:val="20"/>
        </w:rPr>
        <w:t>a</w:t>
      </w:r>
      <w:r>
        <w:rPr>
          <w:spacing w:val="-16"/>
          <w:sz w:val="20"/>
        </w:rPr>
        <w:t> </w:t>
      </w:r>
      <w:r>
        <w:rPr>
          <w:sz w:val="20"/>
        </w:rPr>
        <w:t>level</w:t>
      </w:r>
      <w:r>
        <w:rPr>
          <w:spacing w:val="-19"/>
          <w:sz w:val="20"/>
        </w:rPr>
        <w:t> </w:t>
      </w:r>
      <w:r>
        <w:rPr>
          <w:sz w:val="20"/>
        </w:rPr>
        <w:t>playing</w:t>
      </w:r>
      <w:r>
        <w:rPr>
          <w:spacing w:val="-18"/>
          <w:sz w:val="20"/>
        </w:rPr>
        <w:t> </w:t>
      </w:r>
      <w:r>
        <w:rPr>
          <w:sz w:val="20"/>
        </w:rPr>
        <w:t>field</w:t>
      </w:r>
      <w:r>
        <w:rPr>
          <w:spacing w:val="-19"/>
          <w:sz w:val="20"/>
        </w:rPr>
        <w:t> </w:t>
      </w:r>
      <w:r>
        <w:rPr>
          <w:sz w:val="20"/>
        </w:rPr>
        <w:t>between</w:t>
      </w:r>
      <w:r>
        <w:rPr>
          <w:spacing w:val="-17"/>
          <w:sz w:val="20"/>
        </w:rPr>
        <w:t> </w:t>
      </w:r>
      <w:r>
        <w:rPr>
          <w:sz w:val="20"/>
        </w:rPr>
        <w:t>taxpayers.</w:t>
      </w:r>
      <w:r>
        <w:rPr>
          <w:spacing w:val="-17"/>
          <w:sz w:val="20"/>
        </w:rPr>
        <w:t> </w:t>
      </w:r>
      <w:r>
        <w:rPr>
          <w:sz w:val="20"/>
        </w:rPr>
        <w:t>For</w:t>
      </w:r>
      <w:r>
        <w:rPr>
          <w:spacing w:val="-15"/>
          <w:sz w:val="20"/>
        </w:rPr>
        <w:t> </w:t>
      </w:r>
      <w:r>
        <w:rPr>
          <w:sz w:val="20"/>
        </w:rPr>
        <w:t>example,</w:t>
      </w:r>
      <w:r>
        <w:rPr>
          <w:spacing w:val="-16"/>
          <w:sz w:val="20"/>
        </w:rPr>
        <w:t> </w:t>
      </w:r>
      <w:r>
        <w:rPr>
          <w:sz w:val="20"/>
        </w:rPr>
        <w:t>where</w:t>
      </w:r>
      <w:r>
        <w:rPr>
          <w:spacing w:val="-17"/>
          <w:sz w:val="20"/>
        </w:rPr>
        <w:t> </w:t>
      </w:r>
      <w:r>
        <w:rPr>
          <w:sz w:val="20"/>
        </w:rPr>
        <w:t>a</w:t>
      </w:r>
      <w:r>
        <w:rPr>
          <w:spacing w:val="-10"/>
          <w:sz w:val="20"/>
        </w:rPr>
        <w:t> </w:t>
      </w:r>
      <w:r>
        <w:rPr>
          <w:sz w:val="20"/>
        </w:rPr>
        <w:t>large</w:t>
      </w:r>
      <w:r>
        <w:rPr>
          <w:spacing w:val="-15"/>
          <w:sz w:val="20"/>
        </w:rPr>
        <w:t> </w:t>
      </w:r>
      <w:r>
        <w:rPr>
          <w:sz w:val="20"/>
        </w:rPr>
        <w:t>group</w:t>
      </w:r>
      <w:r>
        <w:rPr>
          <w:spacing w:val="-18"/>
          <w:sz w:val="20"/>
        </w:rPr>
        <w:t> </w:t>
      </w:r>
      <w:r>
        <w:rPr>
          <w:sz w:val="20"/>
        </w:rPr>
        <w:t>operates two</w:t>
      </w:r>
      <w:r>
        <w:rPr>
          <w:spacing w:val="-5"/>
          <w:sz w:val="20"/>
        </w:rPr>
        <w:t> </w:t>
      </w:r>
      <w:r>
        <w:rPr>
          <w:sz w:val="20"/>
        </w:rPr>
        <w:t>substantially</w:t>
      </w:r>
      <w:r>
        <w:rPr>
          <w:spacing w:val="-6"/>
          <w:sz w:val="20"/>
        </w:rPr>
        <w:t> </w:t>
      </w:r>
      <w:r>
        <w:rPr>
          <w:sz w:val="20"/>
        </w:rPr>
        <w:t>independent</w:t>
      </w:r>
      <w:r>
        <w:rPr>
          <w:spacing w:val="-6"/>
          <w:sz w:val="20"/>
        </w:rPr>
        <w:t> </w:t>
      </w:r>
      <w:r>
        <w:rPr>
          <w:sz w:val="20"/>
        </w:rPr>
        <w:t>businesses,</w:t>
      </w:r>
      <w:r>
        <w:rPr>
          <w:spacing w:val="-3"/>
          <w:sz w:val="20"/>
        </w:rPr>
        <w:t> </w:t>
      </w:r>
      <w:r>
        <w:rPr>
          <w:sz w:val="20"/>
        </w:rPr>
        <w:t>with</w:t>
      </w:r>
      <w:r>
        <w:rPr>
          <w:spacing w:val="-5"/>
          <w:sz w:val="20"/>
        </w:rPr>
        <w:t> </w:t>
      </w:r>
      <w:r>
        <w:rPr>
          <w:sz w:val="20"/>
        </w:rPr>
        <w:t>different</w:t>
      </w:r>
      <w:r>
        <w:rPr>
          <w:spacing w:val="-5"/>
          <w:sz w:val="20"/>
        </w:rPr>
        <w:t> </w:t>
      </w:r>
      <w:r>
        <w:rPr>
          <w:sz w:val="20"/>
        </w:rPr>
        <w:t>profit</w:t>
      </w:r>
      <w:r>
        <w:rPr>
          <w:spacing w:val="-5"/>
          <w:sz w:val="20"/>
        </w:rPr>
        <w:t> </w:t>
      </w:r>
      <w:r>
        <w:rPr>
          <w:sz w:val="20"/>
        </w:rPr>
        <w:t>margins,</w:t>
      </w:r>
      <w:r>
        <w:rPr>
          <w:spacing w:val="2"/>
          <w:sz w:val="20"/>
        </w:rPr>
        <w:t> </w:t>
      </w:r>
      <w:r>
        <w:rPr>
          <w:sz w:val="20"/>
        </w:rPr>
        <w:t>computing</w:t>
      </w:r>
      <w:r>
        <w:rPr>
          <w:spacing w:val="-4"/>
          <w:sz w:val="20"/>
        </w:rPr>
        <w:t> </w:t>
      </w:r>
      <w:r>
        <w:rPr>
          <w:sz w:val="20"/>
        </w:rPr>
        <w:t>the</w:t>
      </w:r>
      <w:r>
        <w:rPr>
          <w:spacing w:val="-5"/>
          <w:sz w:val="20"/>
        </w:rPr>
        <w:t> </w:t>
      </w:r>
      <w:r>
        <w:rPr>
          <w:sz w:val="20"/>
        </w:rPr>
        <w:t>Amount</w:t>
      </w:r>
      <w:r>
        <w:rPr>
          <w:spacing w:val="-3"/>
          <w:sz w:val="20"/>
        </w:rPr>
        <w:t> </w:t>
      </w:r>
      <w:r>
        <w:rPr>
          <w:sz w:val="20"/>
        </w:rPr>
        <w:t>A</w:t>
      </w:r>
      <w:r>
        <w:rPr>
          <w:spacing w:val="-5"/>
          <w:sz w:val="20"/>
        </w:rPr>
        <w:t> </w:t>
      </w:r>
      <w:r>
        <w:rPr>
          <w:sz w:val="20"/>
        </w:rPr>
        <w:t>tax</w:t>
      </w:r>
      <w:r>
        <w:rPr>
          <w:spacing w:val="-4"/>
          <w:sz w:val="20"/>
        </w:rPr>
        <w:t> </w:t>
      </w:r>
      <w:r>
        <w:rPr>
          <w:sz w:val="20"/>
        </w:rPr>
        <w:t>base on a segmented basis would ensure that a taxpayer cannot reduce or eliminate a potential Amount A tax liability</w:t>
      </w:r>
      <w:r>
        <w:rPr>
          <w:spacing w:val="-11"/>
          <w:sz w:val="20"/>
        </w:rPr>
        <w:t> </w:t>
      </w:r>
      <w:r>
        <w:rPr>
          <w:sz w:val="20"/>
        </w:rPr>
        <w:t>by</w:t>
      </w:r>
      <w:r>
        <w:rPr>
          <w:spacing w:val="-11"/>
          <w:sz w:val="20"/>
        </w:rPr>
        <w:t> </w:t>
      </w:r>
      <w:r>
        <w:rPr>
          <w:sz w:val="20"/>
        </w:rPr>
        <w:t>combining</w:t>
      </w:r>
      <w:r>
        <w:rPr>
          <w:spacing w:val="-8"/>
          <w:sz w:val="20"/>
        </w:rPr>
        <w:t> </w:t>
      </w:r>
      <w:r>
        <w:rPr>
          <w:sz w:val="20"/>
        </w:rPr>
        <w:t>profits</w:t>
      </w:r>
      <w:r>
        <w:rPr>
          <w:spacing w:val="-6"/>
          <w:sz w:val="20"/>
        </w:rPr>
        <w:t> </w:t>
      </w:r>
      <w:r>
        <w:rPr>
          <w:sz w:val="20"/>
        </w:rPr>
        <w:t>from</w:t>
      </w:r>
      <w:r>
        <w:rPr>
          <w:spacing w:val="-5"/>
          <w:sz w:val="20"/>
        </w:rPr>
        <w:t> </w:t>
      </w:r>
      <w:r>
        <w:rPr>
          <w:sz w:val="20"/>
        </w:rPr>
        <w:t>high</w:t>
      </w:r>
      <w:r>
        <w:rPr>
          <w:spacing w:val="-7"/>
          <w:sz w:val="20"/>
        </w:rPr>
        <w:t> </w:t>
      </w:r>
      <w:r>
        <w:rPr>
          <w:sz w:val="20"/>
        </w:rPr>
        <w:t>and</w:t>
      </w:r>
      <w:r>
        <w:rPr>
          <w:spacing w:val="-8"/>
          <w:sz w:val="20"/>
        </w:rPr>
        <w:t> </w:t>
      </w:r>
      <w:r>
        <w:rPr>
          <w:sz w:val="20"/>
        </w:rPr>
        <w:t>low</w:t>
      </w:r>
      <w:r>
        <w:rPr>
          <w:spacing w:val="-9"/>
          <w:sz w:val="20"/>
        </w:rPr>
        <w:t> </w:t>
      </w:r>
      <w:r>
        <w:rPr>
          <w:sz w:val="20"/>
        </w:rPr>
        <w:t>margin</w:t>
      </w:r>
      <w:r>
        <w:rPr>
          <w:spacing w:val="-9"/>
          <w:sz w:val="20"/>
        </w:rPr>
        <w:t> </w:t>
      </w:r>
      <w:r>
        <w:rPr>
          <w:sz w:val="20"/>
        </w:rPr>
        <w:t>activities.</w:t>
      </w:r>
      <w:r>
        <w:rPr>
          <w:spacing w:val="-6"/>
          <w:sz w:val="20"/>
        </w:rPr>
        <w:t> </w:t>
      </w:r>
      <w:r>
        <w:rPr>
          <w:sz w:val="20"/>
        </w:rPr>
        <w:t>In</w:t>
      </w:r>
      <w:r>
        <w:rPr>
          <w:spacing w:val="-7"/>
          <w:sz w:val="20"/>
        </w:rPr>
        <w:t> </w:t>
      </w:r>
      <w:r>
        <w:rPr>
          <w:sz w:val="20"/>
        </w:rPr>
        <w:t>these</w:t>
      </w:r>
      <w:r>
        <w:rPr>
          <w:spacing w:val="-8"/>
          <w:sz w:val="20"/>
        </w:rPr>
        <w:t> </w:t>
      </w:r>
      <w:r>
        <w:rPr>
          <w:sz w:val="20"/>
        </w:rPr>
        <w:t>circumstances,</w:t>
      </w:r>
      <w:r>
        <w:rPr>
          <w:spacing w:val="-9"/>
          <w:sz w:val="20"/>
        </w:rPr>
        <w:t> </w:t>
      </w:r>
      <w:r>
        <w:rPr>
          <w:sz w:val="20"/>
        </w:rPr>
        <w:t>the</w:t>
      </w:r>
      <w:r>
        <w:rPr>
          <w:spacing w:val="-8"/>
          <w:sz w:val="20"/>
        </w:rPr>
        <w:t> </w:t>
      </w:r>
      <w:r>
        <w:rPr>
          <w:sz w:val="20"/>
        </w:rPr>
        <w:t>segmentation framework could</w:t>
      </w:r>
      <w:r>
        <w:rPr>
          <w:spacing w:val="-4"/>
          <w:sz w:val="20"/>
        </w:rPr>
        <w:t> </w:t>
      </w:r>
      <w:r>
        <w:rPr>
          <w:sz w:val="20"/>
        </w:rPr>
        <w:t>require</w:t>
      </w:r>
      <w:r>
        <w:rPr>
          <w:spacing w:val="-4"/>
          <w:sz w:val="20"/>
        </w:rPr>
        <w:t> </w:t>
      </w:r>
      <w:r>
        <w:rPr>
          <w:sz w:val="20"/>
        </w:rPr>
        <w:t>a</w:t>
      </w:r>
      <w:r>
        <w:rPr>
          <w:spacing w:val="-3"/>
          <w:sz w:val="20"/>
        </w:rPr>
        <w:t> </w:t>
      </w:r>
      <w:r>
        <w:rPr>
          <w:sz w:val="20"/>
        </w:rPr>
        <w:t>taxpayer</w:t>
      </w:r>
      <w:r>
        <w:rPr>
          <w:spacing w:val="1"/>
          <w:sz w:val="20"/>
        </w:rPr>
        <w:t> </w:t>
      </w:r>
      <w:r>
        <w:rPr>
          <w:sz w:val="20"/>
        </w:rPr>
        <w:t>to</w:t>
      </w:r>
      <w:r>
        <w:rPr>
          <w:spacing w:val="-4"/>
          <w:sz w:val="20"/>
        </w:rPr>
        <w:t> </w:t>
      </w:r>
      <w:r>
        <w:rPr>
          <w:sz w:val="20"/>
        </w:rPr>
        <w:t>compute</w:t>
      </w:r>
      <w:r>
        <w:rPr>
          <w:spacing w:val="-4"/>
          <w:sz w:val="20"/>
        </w:rPr>
        <w:t> </w:t>
      </w:r>
      <w:r>
        <w:rPr>
          <w:sz w:val="20"/>
        </w:rPr>
        <w:t>the</w:t>
      </w:r>
      <w:r>
        <w:rPr>
          <w:spacing w:val="-5"/>
          <w:sz w:val="20"/>
        </w:rPr>
        <w:t> </w:t>
      </w:r>
      <w:r>
        <w:rPr>
          <w:sz w:val="20"/>
        </w:rPr>
        <w:t>relevant</w:t>
      </w:r>
      <w:r>
        <w:rPr>
          <w:spacing w:val="-5"/>
          <w:sz w:val="20"/>
        </w:rPr>
        <w:t> </w:t>
      </w:r>
      <w:r>
        <w:rPr>
          <w:sz w:val="20"/>
        </w:rPr>
        <w:t>measure</w:t>
      </w:r>
      <w:r>
        <w:rPr>
          <w:spacing w:val="-4"/>
          <w:sz w:val="20"/>
        </w:rPr>
        <w:t> </w:t>
      </w:r>
      <w:r>
        <w:rPr>
          <w:sz w:val="20"/>
        </w:rPr>
        <w:t>of</w:t>
      </w:r>
      <w:r>
        <w:rPr>
          <w:spacing w:val="-2"/>
          <w:sz w:val="20"/>
        </w:rPr>
        <w:t> </w:t>
      </w:r>
      <w:r>
        <w:rPr>
          <w:sz w:val="20"/>
        </w:rPr>
        <w:t>PBT</w:t>
      </w:r>
      <w:r>
        <w:rPr>
          <w:spacing w:val="1"/>
          <w:sz w:val="20"/>
        </w:rPr>
        <w:t> </w:t>
      </w:r>
      <w:r>
        <w:rPr>
          <w:sz w:val="20"/>
        </w:rPr>
        <w:t>using</w:t>
      </w:r>
      <w:r>
        <w:rPr>
          <w:spacing w:val="-4"/>
          <w:sz w:val="20"/>
        </w:rPr>
        <w:t> </w:t>
      </w:r>
      <w:r>
        <w:rPr>
          <w:sz w:val="20"/>
        </w:rPr>
        <w:t>segmented</w:t>
      </w:r>
      <w:r>
        <w:rPr>
          <w:spacing w:val="-4"/>
          <w:sz w:val="20"/>
        </w:rPr>
        <w:t> </w:t>
      </w:r>
      <w:r>
        <w:rPr>
          <w:sz w:val="20"/>
        </w:rPr>
        <w:t>accounts.</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The segmentation framework seeks to balance these competing pressures. In recognition of the need for an approach to Amount A that is as simple as possible, while retaining the integrity of the overall policy,</w:t>
      </w:r>
      <w:r>
        <w:rPr>
          <w:spacing w:val="-8"/>
          <w:sz w:val="20"/>
        </w:rPr>
        <w:t> </w:t>
      </w:r>
      <w:r>
        <w:rPr>
          <w:sz w:val="20"/>
        </w:rPr>
        <w:t>a</w:t>
      </w:r>
      <w:r>
        <w:rPr>
          <w:spacing w:val="-9"/>
          <w:sz w:val="20"/>
        </w:rPr>
        <w:t> </w:t>
      </w:r>
      <w:r>
        <w:rPr>
          <w:sz w:val="20"/>
        </w:rPr>
        <w:t>set</w:t>
      </w:r>
      <w:r>
        <w:rPr>
          <w:spacing w:val="-7"/>
          <w:sz w:val="20"/>
        </w:rPr>
        <w:t> </w:t>
      </w:r>
      <w:r>
        <w:rPr>
          <w:sz w:val="20"/>
        </w:rPr>
        <w:t>of</w:t>
      </w:r>
      <w:r>
        <w:rPr>
          <w:spacing w:val="-7"/>
          <w:sz w:val="20"/>
        </w:rPr>
        <w:t> </w:t>
      </w:r>
      <w:r>
        <w:rPr>
          <w:sz w:val="20"/>
        </w:rPr>
        <w:t>rules</w:t>
      </w:r>
      <w:r>
        <w:rPr>
          <w:spacing w:val="-8"/>
          <w:sz w:val="20"/>
        </w:rPr>
        <w:t> </w:t>
      </w:r>
      <w:r>
        <w:rPr>
          <w:sz w:val="20"/>
        </w:rPr>
        <w:t>to</w:t>
      </w:r>
      <w:r>
        <w:rPr>
          <w:spacing w:val="-7"/>
          <w:sz w:val="20"/>
        </w:rPr>
        <w:t> </w:t>
      </w:r>
      <w:r>
        <w:rPr>
          <w:sz w:val="20"/>
        </w:rPr>
        <w:t>determine</w:t>
      </w:r>
      <w:r>
        <w:rPr>
          <w:spacing w:val="-8"/>
          <w:sz w:val="20"/>
        </w:rPr>
        <w:t> </w:t>
      </w:r>
      <w:r>
        <w:rPr>
          <w:sz w:val="20"/>
        </w:rPr>
        <w:t>whether</w:t>
      </w:r>
      <w:r>
        <w:rPr>
          <w:spacing w:val="-6"/>
          <w:sz w:val="20"/>
        </w:rPr>
        <w:t> </w:t>
      </w:r>
      <w:r>
        <w:rPr>
          <w:sz w:val="20"/>
        </w:rPr>
        <w:t>segmentation</w:t>
      </w:r>
      <w:r>
        <w:rPr>
          <w:spacing w:val="-9"/>
          <w:sz w:val="20"/>
        </w:rPr>
        <w:t> </w:t>
      </w:r>
      <w:r>
        <w:rPr>
          <w:sz w:val="20"/>
        </w:rPr>
        <w:t>is</w:t>
      </w:r>
      <w:r>
        <w:rPr>
          <w:spacing w:val="-8"/>
          <w:sz w:val="20"/>
        </w:rPr>
        <w:t> </w:t>
      </w:r>
      <w:r>
        <w:rPr>
          <w:sz w:val="20"/>
        </w:rPr>
        <w:t>required,</w:t>
      </w:r>
      <w:r>
        <w:rPr>
          <w:spacing w:val="-6"/>
          <w:sz w:val="20"/>
        </w:rPr>
        <w:t> </w:t>
      </w:r>
      <w:r>
        <w:rPr>
          <w:sz w:val="20"/>
        </w:rPr>
        <w:t>and</w:t>
      </w:r>
      <w:r>
        <w:rPr>
          <w:spacing w:val="-7"/>
          <w:sz w:val="20"/>
        </w:rPr>
        <w:t> </w:t>
      </w:r>
      <w:r>
        <w:rPr>
          <w:sz w:val="20"/>
        </w:rPr>
        <w:t>where</w:t>
      </w:r>
      <w:r>
        <w:rPr>
          <w:spacing w:val="-7"/>
          <w:sz w:val="20"/>
        </w:rPr>
        <w:t> </w:t>
      </w:r>
      <w:r>
        <w:rPr>
          <w:sz w:val="20"/>
        </w:rPr>
        <w:t>applicable</w:t>
      </w:r>
      <w:r>
        <w:rPr>
          <w:spacing w:val="-9"/>
          <w:sz w:val="20"/>
        </w:rPr>
        <w:t> </w:t>
      </w:r>
      <w:r>
        <w:rPr>
          <w:sz w:val="20"/>
        </w:rPr>
        <w:t>how</w:t>
      </w:r>
      <w:r>
        <w:rPr>
          <w:spacing w:val="-11"/>
          <w:sz w:val="20"/>
        </w:rPr>
        <w:t> </w:t>
      </w:r>
      <w:r>
        <w:rPr>
          <w:sz w:val="20"/>
        </w:rPr>
        <w:t>to</w:t>
      </w:r>
      <w:r>
        <w:rPr>
          <w:spacing w:val="-9"/>
          <w:sz w:val="20"/>
        </w:rPr>
        <w:t> </w:t>
      </w:r>
      <w:r>
        <w:rPr>
          <w:sz w:val="20"/>
        </w:rPr>
        <w:t>arrive</w:t>
      </w:r>
      <w:r>
        <w:rPr>
          <w:spacing w:val="-7"/>
          <w:sz w:val="20"/>
        </w:rPr>
        <w:t> </w:t>
      </w:r>
      <w:r>
        <w:rPr>
          <w:sz w:val="20"/>
        </w:rPr>
        <w:t>at a segmented PBT, is outlined below. Further work will be undertaken to develop this segmentation framework,</w:t>
      </w:r>
      <w:r>
        <w:rPr>
          <w:sz w:val="20"/>
          <w:vertAlign w:val="superscript"/>
        </w:rPr>
        <w:t>78</w:t>
      </w:r>
      <w:r>
        <w:rPr>
          <w:sz w:val="20"/>
          <w:vertAlign w:val="baseline"/>
        </w:rPr>
        <w:t> and once agreement has been reached detailed guidelines will be published for taxpayers and tax</w:t>
      </w:r>
      <w:r>
        <w:rPr>
          <w:spacing w:val="-2"/>
          <w:sz w:val="20"/>
          <w:vertAlign w:val="baseline"/>
        </w:rPr>
        <w:t> </w:t>
      </w:r>
      <w:r>
        <w:rPr>
          <w:sz w:val="20"/>
          <w:vertAlign w:val="baseline"/>
        </w:rPr>
        <w:t>administrations.</w:t>
      </w:r>
    </w:p>
    <w:p>
      <w:pPr>
        <w:pStyle w:val="BodyText"/>
        <w:spacing w:before="6"/>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3.1. Overview of the different steps o" w:id="223"/>
      <w:bookmarkEnd w:id="223"/>
      <w:r>
        <w:rPr>
          <w:b w:val="0"/>
          <w:i w:val="0"/>
        </w:rPr>
      </w:r>
      <w:bookmarkStart w:name="5.3.1. Overview of the different steps o" w:id="224"/>
      <w:bookmarkEnd w:id="224"/>
      <w:r>
        <w:rPr>
          <w:i/>
        </w:rPr>
        <w:t>O</w:t>
      </w:r>
      <w:r>
        <w:rPr>
          <w:i/>
        </w:rPr>
        <w:t>verview of the different steps of the segmentation</w:t>
      </w:r>
      <w:r>
        <w:rPr>
          <w:i/>
          <w:spacing w:val="-13"/>
        </w:rPr>
        <w:t> </w:t>
      </w:r>
      <w:r>
        <w:rPr>
          <w:i/>
        </w:rPr>
        <w:t>framework</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w:t>
      </w:r>
      <w:r>
        <w:rPr>
          <w:spacing w:val="-12"/>
          <w:sz w:val="20"/>
        </w:rPr>
        <w:t> </w:t>
      </w:r>
      <w:r>
        <w:rPr>
          <w:sz w:val="20"/>
        </w:rPr>
        <w:t>segmentation</w:t>
      </w:r>
      <w:r>
        <w:rPr>
          <w:spacing w:val="-10"/>
          <w:sz w:val="20"/>
        </w:rPr>
        <w:t> </w:t>
      </w:r>
      <w:r>
        <w:rPr>
          <w:sz w:val="20"/>
        </w:rPr>
        <w:t>framework</w:t>
      </w:r>
      <w:r>
        <w:rPr>
          <w:spacing w:val="-7"/>
          <w:sz w:val="20"/>
        </w:rPr>
        <w:t> </w:t>
      </w:r>
      <w:r>
        <w:rPr>
          <w:sz w:val="20"/>
        </w:rPr>
        <w:t>seeks</w:t>
      </w:r>
      <w:r>
        <w:rPr>
          <w:spacing w:val="-10"/>
          <w:sz w:val="20"/>
        </w:rPr>
        <w:t> </w:t>
      </w:r>
      <w:r>
        <w:rPr>
          <w:sz w:val="20"/>
        </w:rPr>
        <w:t>to</w:t>
      </w:r>
      <w:r>
        <w:rPr>
          <w:spacing w:val="-11"/>
          <w:sz w:val="20"/>
        </w:rPr>
        <w:t> </w:t>
      </w:r>
      <w:r>
        <w:rPr>
          <w:sz w:val="20"/>
        </w:rPr>
        <w:t>provide</w:t>
      </w:r>
      <w:r>
        <w:rPr>
          <w:spacing w:val="-10"/>
          <w:sz w:val="20"/>
        </w:rPr>
        <w:t> </w:t>
      </w:r>
      <w:r>
        <w:rPr>
          <w:sz w:val="20"/>
        </w:rPr>
        <w:t>a</w:t>
      </w:r>
      <w:r>
        <w:rPr>
          <w:spacing w:val="-9"/>
          <w:sz w:val="20"/>
        </w:rPr>
        <w:t> </w:t>
      </w:r>
      <w:r>
        <w:rPr>
          <w:sz w:val="20"/>
        </w:rPr>
        <w:t>balance</w:t>
      </w:r>
      <w:r>
        <w:rPr>
          <w:spacing w:val="-11"/>
          <w:sz w:val="20"/>
        </w:rPr>
        <w:t> </w:t>
      </w:r>
      <w:r>
        <w:rPr>
          <w:sz w:val="20"/>
        </w:rPr>
        <w:t>between</w:t>
      </w:r>
      <w:r>
        <w:rPr>
          <w:spacing w:val="-12"/>
          <w:sz w:val="20"/>
        </w:rPr>
        <w:t> </w:t>
      </w:r>
      <w:r>
        <w:rPr>
          <w:sz w:val="20"/>
        </w:rPr>
        <w:t>the</w:t>
      </w:r>
      <w:r>
        <w:rPr>
          <w:spacing w:val="-8"/>
          <w:sz w:val="20"/>
        </w:rPr>
        <w:t> </w:t>
      </w:r>
      <w:r>
        <w:rPr>
          <w:sz w:val="20"/>
        </w:rPr>
        <w:t>additional</w:t>
      </w:r>
      <w:r>
        <w:rPr>
          <w:spacing w:val="-10"/>
          <w:sz w:val="20"/>
        </w:rPr>
        <w:t> </w:t>
      </w:r>
      <w:r>
        <w:rPr>
          <w:sz w:val="20"/>
        </w:rPr>
        <w:t>accuracy</w:t>
      </w:r>
      <w:r>
        <w:rPr>
          <w:spacing w:val="-14"/>
          <w:sz w:val="20"/>
        </w:rPr>
        <w:t> </w:t>
      </w:r>
      <w:r>
        <w:rPr>
          <w:sz w:val="20"/>
        </w:rPr>
        <w:t>and</w:t>
      </w:r>
      <w:r>
        <w:rPr>
          <w:spacing w:val="-2"/>
          <w:sz w:val="20"/>
        </w:rPr>
        <w:t> </w:t>
      </w:r>
      <w:r>
        <w:rPr>
          <w:sz w:val="20"/>
        </w:rPr>
        <w:t>the additional complexity brought by the segmentation of the tax base. It establishes the following three-step process to evaluate the basis for segmentation, including providing for exemptions to the requirement to segment for ease of administration and</w:t>
      </w:r>
      <w:r>
        <w:rPr>
          <w:spacing w:val="-1"/>
          <w:sz w:val="20"/>
        </w:rPr>
        <w:t> </w:t>
      </w:r>
      <w:r>
        <w:rPr>
          <w:sz w:val="20"/>
        </w:rPr>
        <w:t>compliance:</w:t>
      </w:r>
    </w:p>
    <w:p>
      <w:pPr>
        <w:pStyle w:val="ListParagraph"/>
        <w:numPr>
          <w:ilvl w:val="1"/>
          <w:numId w:val="13"/>
        </w:numPr>
        <w:tabs>
          <w:tab w:pos="1403" w:val="left" w:leader="none"/>
        </w:tabs>
        <w:spacing w:line="268" w:lineRule="auto" w:before="99" w:after="0"/>
        <w:ind w:left="1402" w:right="481" w:hanging="339"/>
        <w:jc w:val="both"/>
        <w:rPr>
          <w:sz w:val="20"/>
        </w:rPr>
      </w:pPr>
      <w:r>
        <w:rPr>
          <w:sz w:val="20"/>
        </w:rPr>
        <w:t>First, all MNE groups would break down their revenue between ADS, CFB and out-of-scope activities, as may required for the scope and nexus</w:t>
      </w:r>
      <w:r>
        <w:rPr>
          <w:spacing w:val="-11"/>
          <w:sz w:val="20"/>
        </w:rPr>
        <w:t> </w:t>
      </w:r>
      <w:r>
        <w:rPr>
          <w:sz w:val="20"/>
        </w:rPr>
        <w:t>rules;</w:t>
      </w:r>
    </w:p>
    <w:p>
      <w:pPr>
        <w:pStyle w:val="ListParagraph"/>
        <w:numPr>
          <w:ilvl w:val="1"/>
          <w:numId w:val="13"/>
        </w:numPr>
        <w:tabs>
          <w:tab w:pos="1403" w:val="left" w:leader="none"/>
        </w:tabs>
        <w:spacing w:line="266" w:lineRule="auto" w:before="49" w:after="0"/>
        <w:ind w:left="1402" w:right="483" w:hanging="339"/>
        <w:jc w:val="both"/>
        <w:rPr>
          <w:sz w:val="20"/>
        </w:rPr>
      </w:pPr>
      <w:r>
        <w:rPr>
          <w:sz w:val="20"/>
        </w:rPr>
        <w:t>Second,</w:t>
      </w:r>
      <w:r>
        <w:rPr>
          <w:spacing w:val="-14"/>
          <w:sz w:val="20"/>
        </w:rPr>
        <w:t> </w:t>
      </w:r>
      <w:r>
        <w:rPr>
          <w:sz w:val="20"/>
        </w:rPr>
        <w:t>to</w:t>
      </w:r>
      <w:r>
        <w:rPr>
          <w:spacing w:val="-12"/>
          <w:sz w:val="20"/>
        </w:rPr>
        <w:t> </w:t>
      </w:r>
      <w:r>
        <w:rPr>
          <w:sz w:val="20"/>
        </w:rPr>
        <w:t>limit</w:t>
      </w:r>
      <w:r>
        <w:rPr>
          <w:spacing w:val="-13"/>
          <w:sz w:val="20"/>
        </w:rPr>
        <w:t> </w:t>
      </w:r>
      <w:r>
        <w:rPr>
          <w:sz w:val="20"/>
        </w:rPr>
        <w:t>the</w:t>
      </w:r>
      <w:r>
        <w:rPr>
          <w:spacing w:val="-14"/>
          <w:sz w:val="20"/>
        </w:rPr>
        <w:t> </w:t>
      </w:r>
      <w:r>
        <w:rPr>
          <w:sz w:val="20"/>
        </w:rPr>
        <w:t>number</w:t>
      </w:r>
      <w:r>
        <w:rPr>
          <w:spacing w:val="-12"/>
          <w:sz w:val="20"/>
        </w:rPr>
        <w:t> </w:t>
      </w:r>
      <w:r>
        <w:rPr>
          <w:sz w:val="20"/>
        </w:rPr>
        <w:t>of</w:t>
      </w:r>
      <w:r>
        <w:rPr>
          <w:spacing w:val="-12"/>
          <w:sz w:val="20"/>
        </w:rPr>
        <w:t> </w:t>
      </w:r>
      <w:r>
        <w:rPr>
          <w:sz w:val="20"/>
        </w:rPr>
        <w:t>MNE</w:t>
      </w:r>
      <w:r>
        <w:rPr>
          <w:spacing w:val="-13"/>
          <w:sz w:val="20"/>
        </w:rPr>
        <w:t> </w:t>
      </w:r>
      <w:r>
        <w:rPr>
          <w:sz w:val="20"/>
        </w:rPr>
        <w:t>groups</w:t>
      </w:r>
      <w:r>
        <w:rPr>
          <w:spacing w:val="-13"/>
          <w:sz w:val="20"/>
        </w:rPr>
        <w:t> </w:t>
      </w:r>
      <w:r>
        <w:rPr>
          <w:sz w:val="20"/>
        </w:rPr>
        <w:t>that</w:t>
      </w:r>
      <w:r>
        <w:rPr>
          <w:spacing w:val="-11"/>
          <w:sz w:val="20"/>
        </w:rPr>
        <w:t> </w:t>
      </w:r>
      <w:r>
        <w:rPr>
          <w:sz w:val="20"/>
        </w:rPr>
        <w:t>are</w:t>
      </w:r>
      <w:r>
        <w:rPr>
          <w:spacing w:val="-12"/>
          <w:sz w:val="20"/>
        </w:rPr>
        <w:t> </w:t>
      </w:r>
      <w:r>
        <w:rPr>
          <w:sz w:val="20"/>
        </w:rPr>
        <w:t>required</w:t>
      </w:r>
      <w:r>
        <w:rPr>
          <w:spacing w:val="-12"/>
          <w:sz w:val="20"/>
        </w:rPr>
        <w:t> </w:t>
      </w:r>
      <w:r>
        <w:rPr>
          <w:sz w:val="20"/>
        </w:rPr>
        <w:t>to</w:t>
      </w:r>
      <w:r>
        <w:rPr>
          <w:spacing w:val="-13"/>
          <w:sz w:val="20"/>
        </w:rPr>
        <w:t> </w:t>
      </w:r>
      <w:r>
        <w:rPr>
          <w:sz w:val="20"/>
        </w:rPr>
        <w:t>segment,</w:t>
      </w:r>
      <w:r>
        <w:rPr>
          <w:spacing w:val="-14"/>
          <w:sz w:val="20"/>
        </w:rPr>
        <w:t> </w:t>
      </w:r>
      <w:r>
        <w:rPr>
          <w:sz w:val="20"/>
        </w:rPr>
        <w:t>MNE</w:t>
      </w:r>
      <w:r>
        <w:rPr>
          <w:spacing w:val="-12"/>
          <w:sz w:val="20"/>
        </w:rPr>
        <w:t> </w:t>
      </w:r>
      <w:r>
        <w:rPr>
          <w:sz w:val="20"/>
        </w:rPr>
        <w:t>groups</w:t>
      </w:r>
      <w:r>
        <w:rPr>
          <w:spacing w:val="-4"/>
          <w:sz w:val="20"/>
        </w:rPr>
        <w:t> </w:t>
      </w:r>
      <w:r>
        <w:rPr>
          <w:sz w:val="20"/>
        </w:rPr>
        <w:t>will</w:t>
      </w:r>
      <w:r>
        <w:rPr>
          <w:spacing w:val="-13"/>
          <w:sz w:val="20"/>
        </w:rPr>
        <w:t> </w:t>
      </w:r>
      <w:r>
        <w:rPr>
          <w:sz w:val="20"/>
        </w:rPr>
        <w:t>compute the</w:t>
      </w:r>
      <w:r>
        <w:rPr>
          <w:spacing w:val="-2"/>
          <w:sz w:val="20"/>
        </w:rPr>
        <w:t> </w:t>
      </w:r>
      <w:r>
        <w:rPr>
          <w:sz w:val="20"/>
        </w:rPr>
        <w:t>Amount</w:t>
      </w:r>
      <w:r>
        <w:rPr>
          <w:spacing w:val="-5"/>
          <w:sz w:val="20"/>
        </w:rPr>
        <w:t> </w:t>
      </w:r>
      <w:r>
        <w:rPr>
          <w:sz w:val="20"/>
        </w:rPr>
        <w:t>A</w:t>
      </w:r>
      <w:r>
        <w:rPr>
          <w:spacing w:val="-4"/>
          <w:sz w:val="20"/>
        </w:rPr>
        <w:t> </w:t>
      </w:r>
      <w:r>
        <w:rPr>
          <w:sz w:val="20"/>
        </w:rPr>
        <w:t>tax</w:t>
      </w:r>
      <w:r>
        <w:rPr>
          <w:spacing w:val="-2"/>
          <w:sz w:val="20"/>
        </w:rPr>
        <w:t> </w:t>
      </w:r>
      <w:r>
        <w:rPr>
          <w:sz w:val="20"/>
        </w:rPr>
        <w:t>base</w:t>
      </w:r>
      <w:r>
        <w:rPr>
          <w:spacing w:val="-2"/>
          <w:sz w:val="20"/>
        </w:rPr>
        <w:t> </w:t>
      </w:r>
      <w:r>
        <w:rPr>
          <w:sz w:val="20"/>
        </w:rPr>
        <w:t>on</w:t>
      </w:r>
      <w:r>
        <w:rPr>
          <w:spacing w:val="-3"/>
          <w:sz w:val="20"/>
        </w:rPr>
        <w:t> </w:t>
      </w:r>
      <w:r>
        <w:rPr>
          <w:sz w:val="20"/>
        </w:rPr>
        <w:t>a</w:t>
      </w:r>
      <w:r>
        <w:rPr>
          <w:spacing w:val="-4"/>
          <w:sz w:val="20"/>
        </w:rPr>
        <w:t> </w:t>
      </w:r>
      <w:r>
        <w:rPr>
          <w:sz w:val="20"/>
        </w:rPr>
        <w:t>group</w:t>
      </w:r>
      <w:r>
        <w:rPr>
          <w:spacing w:val="-3"/>
          <w:sz w:val="20"/>
        </w:rPr>
        <w:t> </w:t>
      </w:r>
      <w:r>
        <w:rPr>
          <w:sz w:val="20"/>
        </w:rPr>
        <w:t>basis</w:t>
      </w:r>
      <w:r>
        <w:rPr>
          <w:spacing w:val="3"/>
          <w:sz w:val="20"/>
        </w:rPr>
        <w:t> </w:t>
      </w:r>
      <w:r>
        <w:rPr>
          <w:sz w:val="20"/>
        </w:rPr>
        <w:t>when</w:t>
      </w:r>
      <w:r>
        <w:rPr>
          <w:spacing w:val="-4"/>
          <w:sz w:val="20"/>
        </w:rPr>
        <w:t> </w:t>
      </w:r>
      <w:r>
        <w:rPr>
          <w:sz w:val="20"/>
        </w:rPr>
        <w:t>their</w:t>
      </w:r>
      <w:r>
        <w:rPr>
          <w:spacing w:val="-3"/>
          <w:sz w:val="20"/>
        </w:rPr>
        <w:t> </w:t>
      </w:r>
      <w:r>
        <w:rPr>
          <w:sz w:val="20"/>
        </w:rPr>
        <w:t>revenue</w:t>
      </w:r>
      <w:r>
        <w:rPr>
          <w:spacing w:val="-5"/>
          <w:sz w:val="20"/>
        </w:rPr>
        <w:t> </w:t>
      </w:r>
      <w:r>
        <w:rPr>
          <w:sz w:val="20"/>
        </w:rPr>
        <w:t>falls</w:t>
      </w:r>
      <w:r>
        <w:rPr>
          <w:spacing w:val="-2"/>
          <w:sz w:val="20"/>
        </w:rPr>
        <w:t> </w:t>
      </w:r>
      <w:r>
        <w:rPr>
          <w:sz w:val="20"/>
        </w:rPr>
        <w:t>below</w:t>
      </w:r>
      <w:r>
        <w:rPr>
          <w:spacing w:val="-4"/>
          <w:sz w:val="20"/>
        </w:rPr>
        <w:t> </w:t>
      </w:r>
      <w:r>
        <w:rPr>
          <w:sz w:val="20"/>
        </w:rPr>
        <w:t>an</w:t>
      </w:r>
      <w:r>
        <w:rPr>
          <w:spacing w:val="-3"/>
          <w:sz w:val="20"/>
        </w:rPr>
        <w:t> </w:t>
      </w:r>
      <w:r>
        <w:rPr>
          <w:sz w:val="20"/>
        </w:rPr>
        <w:t>agreed</w:t>
      </w:r>
      <w:r>
        <w:rPr>
          <w:spacing w:val="-4"/>
          <w:sz w:val="20"/>
        </w:rPr>
        <w:t> </w:t>
      </w:r>
      <w:r>
        <w:rPr>
          <w:sz w:val="20"/>
        </w:rPr>
        <w:t>threshold;</w:t>
      </w:r>
      <w:r>
        <w:rPr>
          <w:spacing w:val="-1"/>
          <w:sz w:val="20"/>
        </w:rPr>
        <w:t> </w:t>
      </w:r>
      <w:r>
        <w:rPr>
          <w:sz w:val="20"/>
        </w:rPr>
        <w:t>and</w:t>
      </w:r>
    </w:p>
    <w:p>
      <w:pPr>
        <w:pStyle w:val="BodyText"/>
      </w:pPr>
    </w:p>
    <w:p>
      <w:pPr>
        <w:pStyle w:val="BodyText"/>
        <w:spacing w:before="8"/>
        <w:rPr>
          <w:sz w:val="11"/>
        </w:rPr>
      </w:pPr>
      <w:r>
        <w:rPr/>
        <w:pict>
          <v:rect style="position:absolute;margin-left:65.183998pt;margin-top:8.710897pt;width:144.020004pt;height:.60004pt;mso-position-horizontal-relative:page;mso-position-vertical-relative:paragraph;z-index:-1566668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31" w:val="left" w:leader="none"/>
        </w:tabs>
        <w:spacing w:line="278" w:lineRule="auto" w:before="94" w:after="0"/>
        <w:ind w:left="723" w:right="479" w:firstLine="0"/>
        <w:jc w:val="both"/>
        <w:rPr>
          <w:sz w:val="18"/>
        </w:rPr>
      </w:pPr>
      <w:r>
        <w:rPr>
          <w:sz w:val="18"/>
        </w:rPr>
        <w:t>To calculate the PBT attributable to standardised and bespoke cloud computing services would require a group </w:t>
      </w:r>
      <w:r>
        <w:rPr>
          <w:spacing w:val="6"/>
          <w:sz w:val="18"/>
        </w:rPr>
        <w:t>to </w:t>
      </w:r>
      <w:r>
        <w:rPr>
          <w:sz w:val="18"/>
        </w:rPr>
        <w:t>apportion substantial shared costs between these activities using allocation keys (likely including revenue). The reliance on allocation keys to apportion a potentially broad range of different costs brings into question whether the PBT that would be determined for each of these separate activities would accurately reflect the underlying economic reality of each business. It would also be challenging to verify such</w:t>
      </w:r>
      <w:r>
        <w:rPr>
          <w:spacing w:val="-15"/>
          <w:sz w:val="18"/>
        </w:rPr>
        <w:t> </w:t>
      </w:r>
      <w:r>
        <w:rPr>
          <w:sz w:val="18"/>
        </w:rPr>
        <w:t>allocations.</w:t>
      </w:r>
    </w:p>
    <w:p>
      <w:pPr>
        <w:pStyle w:val="ListParagraph"/>
        <w:numPr>
          <w:ilvl w:val="0"/>
          <w:numId w:val="14"/>
        </w:numPr>
        <w:tabs>
          <w:tab w:pos="933" w:val="left" w:leader="none"/>
        </w:tabs>
        <w:spacing w:line="278" w:lineRule="auto" w:before="77" w:after="0"/>
        <w:ind w:left="723" w:right="483" w:firstLine="0"/>
        <w:jc w:val="both"/>
        <w:rPr>
          <w:sz w:val="18"/>
        </w:rPr>
      </w:pPr>
      <w:r>
        <w:rPr>
          <w:sz w:val="18"/>
        </w:rPr>
        <w:t>This will include consideration of whether it may be appropriate to only require a taxpayer to segment its tax base between in and out-of-scope activities, in line with the scope of Amount</w:t>
      </w:r>
      <w:r>
        <w:rPr>
          <w:spacing w:val="-18"/>
          <w:sz w:val="18"/>
        </w:rPr>
        <w:t> </w:t>
      </w:r>
      <w:r>
        <w:rPr>
          <w:sz w:val="18"/>
        </w:rPr>
        <w:t>A.</w:t>
      </w:r>
    </w:p>
    <w:p>
      <w:pPr>
        <w:spacing w:after="0" w:line="278" w:lineRule="auto"/>
        <w:jc w:val="both"/>
        <w:rPr>
          <w:sz w:val="18"/>
        </w:rPr>
        <w:sectPr>
          <w:pgSz w:w="11910" w:h="16840"/>
          <w:pgMar w:header="1244" w:footer="1638" w:top="1500" w:bottom="1820" w:left="580" w:right="820"/>
        </w:sectPr>
      </w:pPr>
    </w:p>
    <w:p>
      <w:pPr>
        <w:pStyle w:val="BodyText"/>
        <w:spacing w:before="1"/>
        <w:rPr>
          <w:sz w:val="18"/>
        </w:rPr>
      </w:pPr>
    </w:p>
    <w:p>
      <w:pPr>
        <w:pStyle w:val="ListParagraph"/>
        <w:numPr>
          <w:ilvl w:val="0"/>
          <w:numId w:val="62"/>
        </w:numPr>
        <w:tabs>
          <w:tab w:pos="1403" w:val="left" w:leader="none"/>
        </w:tabs>
        <w:spacing w:line="266" w:lineRule="auto" w:before="99" w:after="0"/>
        <w:ind w:left="1402" w:right="488" w:hanging="339"/>
        <w:jc w:val="both"/>
        <w:rPr>
          <w:sz w:val="20"/>
        </w:rPr>
      </w:pPr>
      <w:r>
        <w:rPr>
          <w:sz w:val="20"/>
        </w:rPr>
        <w:t>Third,</w:t>
      </w:r>
      <w:r>
        <w:rPr>
          <w:spacing w:val="-13"/>
          <w:sz w:val="20"/>
        </w:rPr>
        <w:t> </w:t>
      </w:r>
      <w:r>
        <w:rPr>
          <w:sz w:val="20"/>
        </w:rPr>
        <w:t>any</w:t>
      </w:r>
      <w:r>
        <w:rPr>
          <w:spacing w:val="-14"/>
          <w:sz w:val="20"/>
        </w:rPr>
        <w:t> </w:t>
      </w:r>
      <w:r>
        <w:rPr>
          <w:sz w:val="20"/>
        </w:rPr>
        <w:t>remaining</w:t>
      </w:r>
      <w:r>
        <w:rPr>
          <w:spacing w:val="-12"/>
          <w:sz w:val="20"/>
        </w:rPr>
        <w:t> </w:t>
      </w:r>
      <w:r>
        <w:rPr>
          <w:sz w:val="20"/>
        </w:rPr>
        <w:t>groups</w:t>
      </w:r>
      <w:r>
        <w:rPr>
          <w:spacing w:val="-11"/>
          <w:sz w:val="20"/>
        </w:rPr>
        <w:t> </w:t>
      </w:r>
      <w:r>
        <w:rPr>
          <w:sz w:val="20"/>
        </w:rPr>
        <w:t>will</w:t>
      </w:r>
      <w:r>
        <w:rPr>
          <w:spacing w:val="-12"/>
          <w:sz w:val="20"/>
        </w:rPr>
        <w:t> </w:t>
      </w:r>
      <w:r>
        <w:rPr>
          <w:sz w:val="20"/>
        </w:rPr>
        <w:t>then</w:t>
      </w:r>
      <w:r>
        <w:rPr>
          <w:spacing w:val="-12"/>
          <w:sz w:val="20"/>
        </w:rPr>
        <w:t> </w:t>
      </w:r>
      <w:r>
        <w:rPr>
          <w:sz w:val="20"/>
        </w:rPr>
        <w:t>test</w:t>
      </w:r>
      <w:r>
        <w:rPr>
          <w:spacing w:val="-9"/>
          <w:sz w:val="20"/>
        </w:rPr>
        <w:t> </w:t>
      </w:r>
      <w:r>
        <w:rPr>
          <w:sz w:val="20"/>
        </w:rPr>
        <w:t>whether</w:t>
      </w:r>
      <w:r>
        <w:rPr>
          <w:spacing w:val="-11"/>
          <w:sz w:val="20"/>
        </w:rPr>
        <w:t> </w:t>
      </w:r>
      <w:r>
        <w:rPr>
          <w:sz w:val="20"/>
        </w:rPr>
        <w:t>they</w:t>
      </w:r>
      <w:r>
        <w:rPr>
          <w:spacing w:val="-12"/>
          <w:sz w:val="20"/>
        </w:rPr>
        <w:t> </w:t>
      </w:r>
      <w:r>
        <w:rPr>
          <w:sz w:val="20"/>
        </w:rPr>
        <w:t>should</w:t>
      </w:r>
      <w:r>
        <w:rPr>
          <w:spacing w:val="-12"/>
          <w:sz w:val="20"/>
        </w:rPr>
        <w:t> </w:t>
      </w:r>
      <w:r>
        <w:rPr>
          <w:sz w:val="20"/>
        </w:rPr>
        <w:t>be</w:t>
      </w:r>
      <w:r>
        <w:rPr>
          <w:spacing w:val="-12"/>
          <w:sz w:val="20"/>
        </w:rPr>
        <w:t> </w:t>
      </w:r>
      <w:r>
        <w:rPr>
          <w:sz w:val="20"/>
        </w:rPr>
        <w:t>required</w:t>
      </w:r>
      <w:r>
        <w:rPr>
          <w:spacing w:val="-12"/>
          <w:sz w:val="20"/>
        </w:rPr>
        <w:t> </w:t>
      </w:r>
      <w:r>
        <w:rPr>
          <w:sz w:val="20"/>
        </w:rPr>
        <w:t>to</w:t>
      </w:r>
      <w:r>
        <w:rPr>
          <w:spacing w:val="-12"/>
          <w:sz w:val="20"/>
        </w:rPr>
        <w:t> </w:t>
      </w:r>
      <w:r>
        <w:rPr>
          <w:sz w:val="20"/>
        </w:rPr>
        <w:t>segment</w:t>
      </w:r>
      <w:r>
        <w:rPr>
          <w:spacing w:val="-12"/>
          <w:sz w:val="20"/>
        </w:rPr>
        <w:t> </w:t>
      </w:r>
      <w:r>
        <w:rPr>
          <w:sz w:val="20"/>
        </w:rPr>
        <w:t>and</w:t>
      </w:r>
      <w:r>
        <w:rPr>
          <w:spacing w:val="-12"/>
          <w:sz w:val="20"/>
        </w:rPr>
        <w:t> </w:t>
      </w:r>
      <w:r>
        <w:rPr>
          <w:sz w:val="20"/>
        </w:rPr>
        <w:t>on</w:t>
      </w:r>
      <w:r>
        <w:rPr>
          <w:spacing w:val="-9"/>
          <w:sz w:val="20"/>
        </w:rPr>
        <w:t> </w:t>
      </w:r>
      <w:r>
        <w:rPr>
          <w:sz w:val="20"/>
        </w:rPr>
        <w:t>what basis. Consideration is being given to an approach based on the following three</w:t>
      </w:r>
      <w:r>
        <w:rPr>
          <w:spacing w:val="-30"/>
          <w:sz w:val="20"/>
        </w:rPr>
        <w:t> </w:t>
      </w:r>
      <w:r>
        <w:rPr>
          <w:sz w:val="20"/>
        </w:rPr>
        <w:t>sub-steps:</w:t>
      </w:r>
    </w:p>
    <w:p>
      <w:pPr>
        <w:pStyle w:val="ListParagraph"/>
        <w:numPr>
          <w:ilvl w:val="1"/>
          <w:numId w:val="62"/>
        </w:numPr>
        <w:tabs>
          <w:tab w:pos="1744" w:val="left" w:leader="none"/>
        </w:tabs>
        <w:spacing w:line="261" w:lineRule="auto" w:before="65" w:after="0"/>
        <w:ind w:left="1743" w:right="488" w:hanging="341"/>
        <w:jc w:val="both"/>
        <w:rPr>
          <w:sz w:val="20"/>
        </w:rPr>
      </w:pPr>
      <w:r>
        <w:rPr>
          <w:sz w:val="20"/>
        </w:rPr>
        <w:t>MNE</w:t>
      </w:r>
      <w:r>
        <w:rPr>
          <w:spacing w:val="-8"/>
          <w:sz w:val="20"/>
        </w:rPr>
        <w:t> </w:t>
      </w:r>
      <w:r>
        <w:rPr>
          <w:sz w:val="20"/>
        </w:rPr>
        <w:t>groups</w:t>
      </w:r>
      <w:r>
        <w:rPr>
          <w:spacing w:val="-6"/>
          <w:sz w:val="20"/>
        </w:rPr>
        <w:t> </w:t>
      </w:r>
      <w:r>
        <w:rPr>
          <w:sz w:val="20"/>
        </w:rPr>
        <w:t>will</w:t>
      </w:r>
      <w:r>
        <w:rPr>
          <w:spacing w:val="-7"/>
          <w:sz w:val="20"/>
        </w:rPr>
        <w:t> </w:t>
      </w:r>
      <w:r>
        <w:rPr>
          <w:sz w:val="20"/>
        </w:rPr>
        <w:t>apply</w:t>
      </w:r>
      <w:r>
        <w:rPr>
          <w:spacing w:val="-11"/>
          <w:sz w:val="20"/>
        </w:rPr>
        <w:t> </w:t>
      </w:r>
      <w:r>
        <w:rPr>
          <w:sz w:val="20"/>
        </w:rPr>
        <w:t>the</w:t>
      </w:r>
      <w:r>
        <w:rPr>
          <w:spacing w:val="-9"/>
          <w:sz w:val="20"/>
        </w:rPr>
        <w:t> </w:t>
      </w:r>
      <w:r>
        <w:rPr>
          <w:sz w:val="20"/>
        </w:rPr>
        <w:t>“segmentation</w:t>
      </w:r>
      <w:r>
        <w:rPr>
          <w:spacing w:val="-7"/>
          <w:sz w:val="20"/>
        </w:rPr>
        <w:t> </w:t>
      </w:r>
      <w:r>
        <w:rPr>
          <w:sz w:val="20"/>
        </w:rPr>
        <w:t>hallmarks”</w:t>
      </w:r>
      <w:r>
        <w:rPr>
          <w:spacing w:val="-8"/>
          <w:sz w:val="20"/>
        </w:rPr>
        <w:t> </w:t>
      </w:r>
      <w:r>
        <w:rPr>
          <w:sz w:val="20"/>
        </w:rPr>
        <w:t>to</w:t>
      </w:r>
      <w:r>
        <w:rPr>
          <w:spacing w:val="-9"/>
          <w:sz w:val="20"/>
        </w:rPr>
        <w:t> </w:t>
      </w:r>
      <w:r>
        <w:rPr>
          <w:sz w:val="20"/>
        </w:rPr>
        <w:t>determine</w:t>
      </w:r>
      <w:r>
        <w:rPr>
          <w:spacing w:val="-7"/>
          <w:sz w:val="20"/>
        </w:rPr>
        <w:t> </w:t>
      </w:r>
      <w:r>
        <w:rPr>
          <w:sz w:val="20"/>
        </w:rPr>
        <w:t>whether</w:t>
      </w:r>
      <w:r>
        <w:rPr>
          <w:spacing w:val="-8"/>
          <w:sz w:val="20"/>
        </w:rPr>
        <w:t> </w:t>
      </w:r>
      <w:r>
        <w:rPr>
          <w:sz w:val="20"/>
        </w:rPr>
        <w:t>they</w:t>
      </w:r>
      <w:r>
        <w:rPr>
          <w:spacing w:val="-10"/>
          <w:sz w:val="20"/>
        </w:rPr>
        <w:t> </w:t>
      </w:r>
      <w:r>
        <w:rPr>
          <w:sz w:val="20"/>
        </w:rPr>
        <w:t>are</w:t>
      </w:r>
      <w:r>
        <w:rPr>
          <w:spacing w:val="-6"/>
          <w:sz w:val="20"/>
        </w:rPr>
        <w:t> </w:t>
      </w:r>
      <w:r>
        <w:rPr>
          <w:sz w:val="20"/>
        </w:rPr>
        <w:t>required</w:t>
      </w:r>
      <w:r>
        <w:rPr>
          <w:spacing w:val="-9"/>
          <w:sz w:val="20"/>
        </w:rPr>
        <w:t> </w:t>
      </w:r>
      <w:r>
        <w:rPr>
          <w:sz w:val="20"/>
        </w:rPr>
        <w:t>to segment – the Amount A tax base will be computed on a group basis if they are not required to</w:t>
      </w:r>
      <w:r>
        <w:rPr>
          <w:spacing w:val="-2"/>
          <w:sz w:val="20"/>
        </w:rPr>
        <w:t> </w:t>
      </w:r>
      <w:r>
        <w:rPr>
          <w:sz w:val="20"/>
        </w:rPr>
        <w:t>segment.</w:t>
      </w:r>
    </w:p>
    <w:p>
      <w:pPr>
        <w:pStyle w:val="ListParagraph"/>
        <w:numPr>
          <w:ilvl w:val="1"/>
          <w:numId w:val="62"/>
        </w:numPr>
        <w:tabs>
          <w:tab w:pos="1744" w:val="left" w:leader="none"/>
        </w:tabs>
        <w:spacing w:line="264" w:lineRule="auto" w:before="70" w:after="0"/>
        <w:ind w:left="1743" w:right="484" w:hanging="341"/>
        <w:jc w:val="both"/>
        <w:rPr>
          <w:sz w:val="20"/>
        </w:rPr>
      </w:pPr>
      <w:r>
        <w:rPr>
          <w:sz w:val="20"/>
        </w:rPr>
        <w:t>For groups that do display these segmentation hallmarks, the disclosed segments in the consolidated financial accounts will be tested to ascertain whether they meet the agreed hallmarks. If so, the Amount A tax base will be computed on the basis of these segments, subject to an exemption where the disclosed segments have similar profit</w:t>
      </w:r>
      <w:r>
        <w:rPr>
          <w:spacing w:val="-20"/>
          <w:sz w:val="20"/>
        </w:rPr>
        <w:t> </w:t>
      </w:r>
      <w:r>
        <w:rPr>
          <w:sz w:val="20"/>
        </w:rPr>
        <w:t>margins.</w:t>
      </w:r>
    </w:p>
    <w:p>
      <w:pPr>
        <w:pStyle w:val="ListParagraph"/>
        <w:numPr>
          <w:ilvl w:val="1"/>
          <w:numId w:val="62"/>
        </w:numPr>
        <w:tabs>
          <w:tab w:pos="1744" w:val="left" w:leader="none"/>
        </w:tabs>
        <w:spacing w:line="264" w:lineRule="auto" w:before="72" w:after="0"/>
        <w:ind w:left="1743" w:right="487" w:hanging="341"/>
        <w:jc w:val="both"/>
        <w:rPr>
          <w:sz w:val="20"/>
        </w:rPr>
      </w:pPr>
      <w:r>
        <w:rPr>
          <w:sz w:val="20"/>
        </w:rPr>
        <w:t>MNE</w:t>
      </w:r>
      <w:r>
        <w:rPr>
          <w:spacing w:val="-5"/>
          <w:sz w:val="20"/>
        </w:rPr>
        <w:t> </w:t>
      </w:r>
      <w:r>
        <w:rPr>
          <w:sz w:val="20"/>
        </w:rPr>
        <w:t>groups</w:t>
      </w:r>
      <w:r>
        <w:rPr>
          <w:spacing w:val="-4"/>
          <w:sz w:val="20"/>
        </w:rPr>
        <w:t> </w:t>
      </w:r>
      <w:r>
        <w:rPr>
          <w:sz w:val="20"/>
        </w:rPr>
        <w:t>that</w:t>
      </w:r>
      <w:r>
        <w:rPr>
          <w:spacing w:val="-4"/>
          <w:sz w:val="20"/>
        </w:rPr>
        <w:t> </w:t>
      </w:r>
      <w:r>
        <w:rPr>
          <w:sz w:val="20"/>
        </w:rPr>
        <w:t>are</w:t>
      </w:r>
      <w:r>
        <w:rPr>
          <w:spacing w:val="-6"/>
          <w:sz w:val="20"/>
        </w:rPr>
        <w:t> </w:t>
      </w:r>
      <w:r>
        <w:rPr>
          <w:sz w:val="20"/>
        </w:rPr>
        <w:t>not</w:t>
      </w:r>
      <w:r>
        <w:rPr>
          <w:spacing w:val="-6"/>
          <w:sz w:val="20"/>
        </w:rPr>
        <w:t> </w:t>
      </w:r>
      <w:r>
        <w:rPr>
          <w:sz w:val="20"/>
        </w:rPr>
        <w:t>able</w:t>
      </w:r>
      <w:r>
        <w:rPr>
          <w:spacing w:val="-7"/>
          <w:sz w:val="20"/>
        </w:rPr>
        <w:t> </w:t>
      </w:r>
      <w:r>
        <w:rPr>
          <w:sz w:val="20"/>
        </w:rPr>
        <w:t>to</w:t>
      </w:r>
      <w:r>
        <w:rPr>
          <w:spacing w:val="-6"/>
          <w:sz w:val="20"/>
        </w:rPr>
        <w:t> </w:t>
      </w:r>
      <w:r>
        <w:rPr>
          <w:sz w:val="20"/>
        </w:rPr>
        <w:t>use</w:t>
      </w:r>
      <w:r>
        <w:rPr>
          <w:spacing w:val="-6"/>
          <w:sz w:val="20"/>
        </w:rPr>
        <w:t> </w:t>
      </w:r>
      <w:r>
        <w:rPr>
          <w:sz w:val="20"/>
        </w:rPr>
        <w:t>their</w:t>
      </w:r>
      <w:r>
        <w:rPr>
          <w:spacing w:val="-5"/>
          <w:sz w:val="20"/>
        </w:rPr>
        <w:t> </w:t>
      </w:r>
      <w:r>
        <w:rPr>
          <w:sz w:val="20"/>
        </w:rPr>
        <w:t>disclosed</w:t>
      </w:r>
      <w:r>
        <w:rPr>
          <w:spacing w:val="-7"/>
          <w:sz w:val="20"/>
        </w:rPr>
        <w:t> </w:t>
      </w:r>
      <w:r>
        <w:rPr>
          <w:sz w:val="20"/>
        </w:rPr>
        <w:t>segments</w:t>
      </w:r>
      <w:r>
        <w:rPr>
          <w:spacing w:val="-4"/>
          <w:sz w:val="20"/>
        </w:rPr>
        <w:t> </w:t>
      </w:r>
      <w:r>
        <w:rPr>
          <w:sz w:val="20"/>
        </w:rPr>
        <w:t>but</w:t>
      </w:r>
      <w:r>
        <w:rPr>
          <w:spacing w:val="-5"/>
          <w:sz w:val="20"/>
        </w:rPr>
        <w:t> </w:t>
      </w:r>
      <w:r>
        <w:rPr>
          <w:sz w:val="20"/>
        </w:rPr>
        <w:t>are</w:t>
      </w:r>
      <w:r>
        <w:rPr>
          <w:spacing w:val="-6"/>
          <w:sz w:val="20"/>
        </w:rPr>
        <w:t> </w:t>
      </w:r>
      <w:r>
        <w:rPr>
          <w:sz w:val="20"/>
        </w:rPr>
        <w:t>required</w:t>
      </w:r>
      <w:r>
        <w:rPr>
          <w:spacing w:val="-4"/>
          <w:sz w:val="20"/>
        </w:rPr>
        <w:t> </w:t>
      </w:r>
      <w:r>
        <w:rPr>
          <w:sz w:val="20"/>
        </w:rPr>
        <w:t>to</w:t>
      </w:r>
      <w:r>
        <w:rPr>
          <w:spacing w:val="-6"/>
          <w:sz w:val="20"/>
        </w:rPr>
        <w:t> </w:t>
      </w:r>
      <w:r>
        <w:rPr>
          <w:sz w:val="20"/>
        </w:rPr>
        <w:t>segment</w:t>
      </w:r>
      <w:r>
        <w:rPr>
          <w:spacing w:val="-6"/>
          <w:sz w:val="20"/>
        </w:rPr>
        <w:t> </w:t>
      </w:r>
      <w:r>
        <w:rPr>
          <w:sz w:val="20"/>
        </w:rPr>
        <w:t>will be required to compute the Amount A tax base on the basis of alternative segments. This is expected to be relevant for only a small number of in-scope MNE groups, as a consequence of the application of the earlier</w:t>
      </w:r>
      <w:r>
        <w:rPr>
          <w:spacing w:val="-3"/>
          <w:sz w:val="20"/>
        </w:rPr>
        <w:t> </w:t>
      </w:r>
      <w:r>
        <w:rPr>
          <w:sz w:val="20"/>
        </w:rPr>
        <w:t>steps.</w:t>
      </w:r>
    </w:p>
    <w:p>
      <w:pPr>
        <w:pStyle w:val="ListParagraph"/>
        <w:numPr>
          <w:ilvl w:val="0"/>
          <w:numId w:val="13"/>
        </w:numPr>
        <w:tabs>
          <w:tab w:pos="1444" w:val="left" w:leader="none"/>
        </w:tabs>
        <w:spacing w:line="240" w:lineRule="auto" w:before="138" w:after="0"/>
        <w:ind w:left="1443" w:right="0" w:hanging="721"/>
        <w:jc w:val="both"/>
        <w:rPr>
          <w:sz w:val="20"/>
        </w:rPr>
      </w:pPr>
      <w:r>
        <w:rPr>
          <w:sz w:val="20"/>
        </w:rPr>
        <w:t>The steps are outlined in detail</w:t>
      </w:r>
      <w:r>
        <w:rPr>
          <w:spacing w:val="-8"/>
          <w:sz w:val="20"/>
        </w:rPr>
        <w:t> </w:t>
      </w:r>
      <w:r>
        <w:rPr>
          <w:sz w:val="20"/>
        </w:rPr>
        <w:t>below.</w:t>
      </w:r>
    </w:p>
    <w:p>
      <w:pPr>
        <w:pStyle w:val="BodyText"/>
        <w:spacing w:before="10"/>
        <w:rPr>
          <w:sz w:val="25"/>
        </w:rPr>
      </w:pPr>
    </w:p>
    <w:p>
      <w:pPr>
        <w:pStyle w:val="Heading6"/>
        <w:numPr>
          <w:ilvl w:val="2"/>
          <w:numId w:val="59"/>
        </w:numPr>
        <w:tabs>
          <w:tab w:pos="2015" w:val="left" w:leader="none"/>
        </w:tabs>
        <w:spacing w:line="240" w:lineRule="auto" w:before="1" w:after="0"/>
        <w:ind w:left="2014" w:right="0" w:hanging="613"/>
        <w:jc w:val="left"/>
        <w:rPr>
          <w:i/>
        </w:rPr>
      </w:pPr>
      <w:bookmarkStart w:name="5.3.2. Step one: Separating revenue from" w:id="225"/>
      <w:bookmarkEnd w:id="225"/>
      <w:r>
        <w:rPr>
          <w:b w:val="0"/>
          <w:i w:val="0"/>
        </w:rPr>
      </w:r>
      <w:bookmarkStart w:name="5.3.2. Step one: Separating revenue from" w:id="226"/>
      <w:bookmarkEnd w:id="226"/>
      <w:r>
        <w:rPr>
          <w:i/>
        </w:rPr>
        <w:t>S</w:t>
      </w:r>
      <w:r>
        <w:rPr>
          <w:i/>
        </w:rPr>
        <w:t>tep one: Separating revenue from CFB, ADS and out-of-scope</w:t>
      </w:r>
      <w:r>
        <w:rPr>
          <w:i/>
          <w:spacing w:val="-17"/>
        </w:rPr>
        <w:t> </w:t>
      </w:r>
      <w:r>
        <w:rPr>
          <w:i/>
        </w:rPr>
        <w:t>activities</w:t>
      </w:r>
    </w:p>
    <w:p>
      <w:pPr>
        <w:pStyle w:val="BodyText"/>
        <w:rPr>
          <w:b/>
          <w:i/>
          <w:sz w:val="19"/>
        </w:rPr>
      </w:pPr>
    </w:p>
    <w:p>
      <w:pPr>
        <w:pStyle w:val="ListParagraph"/>
        <w:numPr>
          <w:ilvl w:val="0"/>
          <w:numId w:val="13"/>
        </w:numPr>
        <w:tabs>
          <w:tab w:pos="1444" w:val="left" w:leader="none"/>
        </w:tabs>
        <w:spacing w:line="271" w:lineRule="auto" w:before="1" w:after="0"/>
        <w:ind w:left="723" w:right="481" w:firstLine="0"/>
        <w:jc w:val="both"/>
        <w:rPr>
          <w:sz w:val="20"/>
        </w:rPr>
      </w:pPr>
      <w:r>
        <w:rPr>
          <w:sz w:val="20"/>
        </w:rPr>
        <w:t>As</w:t>
      </w:r>
      <w:r>
        <w:rPr>
          <w:spacing w:val="-13"/>
          <w:sz w:val="20"/>
        </w:rPr>
        <w:t> </w:t>
      </w:r>
      <w:r>
        <w:rPr>
          <w:sz w:val="20"/>
        </w:rPr>
        <w:t>a</w:t>
      </w:r>
      <w:r>
        <w:rPr>
          <w:spacing w:val="-15"/>
          <w:sz w:val="20"/>
        </w:rPr>
        <w:t> </w:t>
      </w:r>
      <w:r>
        <w:rPr>
          <w:sz w:val="20"/>
        </w:rPr>
        <w:t>simplification,</w:t>
      </w:r>
      <w:r>
        <w:rPr>
          <w:spacing w:val="-15"/>
          <w:sz w:val="20"/>
        </w:rPr>
        <w:t> </w:t>
      </w:r>
      <w:r>
        <w:rPr>
          <w:sz w:val="20"/>
        </w:rPr>
        <w:t>the</w:t>
      </w:r>
      <w:r>
        <w:rPr>
          <w:spacing w:val="-14"/>
          <w:sz w:val="20"/>
        </w:rPr>
        <w:t> </w:t>
      </w:r>
      <w:r>
        <w:rPr>
          <w:sz w:val="20"/>
        </w:rPr>
        <w:t>exclusion</w:t>
      </w:r>
      <w:r>
        <w:rPr>
          <w:spacing w:val="-15"/>
          <w:sz w:val="20"/>
        </w:rPr>
        <w:t> </w:t>
      </w:r>
      <w:r>
        <w:rPr>
          <w:sz w:val="20"/>
        </w:rPr>
        <w:t>of</w:t>
      </w:r>
      <w:r>
        <w:rPr>
          <w:spacing w:val="-13"/>
          <w:sz w:val="20"/>
        </w:rPr>
        <w:t> </w:t>
      </w:r>
      <w:r>
        <w:rPr>
          <w:sz w:val="20"/>
        </w:rPr>
        <w:t>profits</w:t>
      </w:r>
      <w:r>
        <w:rPr>
          <w:spacing w:val="-13"/>
          <w:sz w:val="20"/>
        </w:rPr>
        <w:t> </w:t>
      </w:r>
      <w:r>
        <w:rPr>
          <w:sz w:val="20"/>
        </w:rPr>
        <w:t>arising</w:t>
      </w:r>
      <w:r>
        <w:rPr>
          <w:spacing w:val="-15"/>
          <w:sz w:val="20"/>
        </w:rPr>
        <w:t> </w:t>
      </w:r>
      <w:r>
        <w:rPr>
          <w:sz w:val="20"/>
        </w:rPr>
        <w:t>from</w:t>
      </w:r>
      <w:r>
        <w:rPr>
          <w:spacing w:val="-13"/>
          <w:sz w:val="20"/>
        </w:rPr>
        <w:t> </w:t>
      </w:r>
      <w:r>
        <w:rPr>
          <w:sz w:val="20"/>
        </w:rPr>
        <w:t>out-of-scope</w:t>
      </w:r>
      <w:r>
        <w:rPr>
          <w:spacing w:val="-14"/>
          <w:sz w:val="20"/>
        </w:rPr>
        <w:t> </w:t>
      </w:r>
      <w:r>
        <w:rPr>
          <w:sz w:val="20"/>
        </w:rPr>
        <w:t>activities</w:t>
      </w:r>
      <w:r>
        <w:rPr>
          <w:spacing w:val="-11"/>
          <w:sz w:val="20"/>
        </w:rPr>
        <w:t> </w:t>
      </w:r>
      <w:r>
        <w:rPr>
          <w:sz w:val="20"/>
        </w:rPr>
        <w:t>will</w:t>
      </w:r>
      <w:r>
        <w:rPr>
          <w:spacing w:val="-14"/>
          <w:sz w:val="20"/>
        </w:rPr>
        <w:t> </w:t>
      </w:r>
      <w:r>
        <w:rPr>
          <w:sz w:val="20"/>
        </w:rPr>
        <w:t>in</w:t>
      </w:r>
      <w:r>
        <w:rPr>
          <w:spacing w:val="-15"/>
          <w:sz w:val="20"/>
        </w:rPr>
        <w:t> </w:t>
      </w:r>
      <w:r>
        <w:rPr>
          <w:sz w:val="20"/>
        </w:rPr>
        <w:t>most</w:t>
      </w:r>
      <w:r>
        <w:rPr>
          <w:spacing w:val="-14"/>
          <w:sz w:val="20"/>
        </w:rPr>
        <w:t> </w:t>
      </w:r>
      <w:r>
        <w:rPr>
          <w:sz w:val="20"/>
        </w:rPr>
        <w:t>instances be</w:t>
      </w:r>
      <w:r>
        <w:rPr>
          <w:spacing w:val="-9"/>
          <w:sz w:val="20"/>
        </w:rPr>
        <w:t> </w:t>
      </w:r>
      <w:r>
        <w:rPr>
          <w:sz w:val="20"/>
        </w:rPr>
        <w:t>delivered</w:t>
      </w:r>
      <w:r>
        <w:rPr>
          <w:spacing w:val="-7"/>
          <w:sz w:val="20"/>
        </w:rPr>
        <w:t> </w:t>
      </w:r>
      <w:r>
        <w:rPr>
          <w:sz w:val="20"/>
        </w:rPr>
        <w:t>through</w:t>
      </w:r>
      <w:r>
        <w:rPr>
          <w:spacing w:val="-7"/>
          <w:sz w:val="20"/>
        </w:rPr>
        <w:t> </w:t>
      </w:r>
      <w:r>
        <w:rPr>
          <w:sz w:val="20"/>
        </w:rPr>
        <w:t>the</w:t>
      </w:r>
      <w:r>
        <w:rPr>
          <w:spacing w:val="-9"/>
          <w:sz w:val="20"/>
        </w:rPr>
        <w:t> </w:t>
      </w:r>
      <w:r>
        <w:rPr>
          <w:sz w:val="20"/>
        </w:rPr>
        <w:t>revenue-based</w:t>
      </w:r>
      <w:r>
        <w:rPr>
          <w:spacing w:val="-7"/>
          <w:sz w:val="20"/>
        </w:rPr>
        <w:t> </w:t>
      </w:r>
      <w:r>
        <w:rPr>
          <w:sz w:val="20"/>
        </w:rPr>
        <w:t>allocation</w:t>
      </w:r>
      <w:r>
        <w:rPr>
          <w:spacing w:val="-7"/>
          <w:sz w:val="20"/>
        </w:rPr>
        <w:t> </w:t>
      </w:r>
      <w:r>
        <w:rPr>
          <w:sz w:val="20"/>
        </w:rPr>
        <w:t>key</w:t>
      </w:r>
      <w:r>
        <w:rPr>
          <w:spacing w:val="-9"/>
          <w:sz w:val="20"/>
        </w:rPr>
        <w:t> </w:t>
      </w:r>
      <w:r>
        <w:rPr>
          <w:sz w:val="20"/>
        </w:rPr>
        <w:t>of</w:t>
      </w:r>
      <w:r>
        <w:rPr>
          <w:spacing w:val="-7"/>
          <w:sz w:val="20"/>
        </w:rPr>
        <w:t> </w:t>
      </w:r>
      <w:r>
        <w:rPr>
          <w:sz w:val="20"/>
        </w:rPr>
        <w:t>the</w:t>
      </w:r>
      <w:r>
        <w:rPr>
          <w:spacing w:val="-7"/>
          <w:sz w:val="20"/>
        </w:rPr>
        <w:t> </w:t>
      </w:r>
      <w:r>
        <w:rPr>
          <w:sz w:val="20"/>
        </w:rPr>
        <w:t>Amount</w:t>
      </w:r>
      <w:r>
        <w:rPr>
          <w:spacing w:val="-7"/>
          <w:sz w:val="20"/>
        </w:rPr>
        <w:t> </w:t>
      </w:r>
      <w:r>
        <w:rPr>
          <w:sz w:val="20"/>
        </w:rPr>
        <w:t>A</w:t>
      </w:r>
      <w:r>
        <w:rPr>
          <w:spacing w:val="-9"/>
          <w:sz w:val="20"/>
        </w:rPr>
        <w:t> </w:t>
      </w:r>
      <w:r>
        <w:rPr>
          <w:sz w:val="20"/>
        </w:rPr>
        <w:t>formula</w:t>
      </w:r>
      <w:r>
        <w:rPr>
          <w:spacing w:val="-8"/>
          <w:sz w:val="20"/>
        </w:rPr>
        <w:t> </w:t>
      </w:r>
      <w:r>
        <w:rPr>
          <w:sz w:val="20"/>
        </w:rPr>
        <w:t>(see</w:t>
      </w:r>
      <w:r>
        <w:rPr>
          <w:spacing w:val="-5"/>
          <w:sz w:val="20"/>
        </w:rPr>
        <w:t> </w:t>
      </w:r>
      <w:r>
        <w:rPr>
          <w:sz w:val="20"/>
        </w:rPr>
        <w:t>section</w:t>
      </w:r>
      <w:r>
        <w:rPr>
          <w:spacing w:val="-6"/>
          <w:sz w:val="20"/>
        </w:rPr>
        <w:t> </w:t>
      </w:r>
      <w:hyperlink w:history="true" w:anchor="_bookmark44">
        <w:r>
          <w:rPr>
            <w:sz w:val="20"/>
          </w:rPr>
          <w:t>6.2.3</w:t>
        </w:r>
      </w:hyperlink>
      <w:r>
        <w:rPr>
          <w:sz w:val="20"/>
        </w:rPr>
        <w:t>),</w:t>
      </w:r>
      <w:r>
        <w:rPr>
          <w:spacing w:val="-9"/>
          <w:sz w:val="20"/>
        </w:rPr>
        <w:t> </w:t>
      </w:r>
      <w:r>
        <w:rPr>
          <w:sz w:val="20"/>
        </w:rPr>
        <w:t>rather than by requiring an MNE group to segment its accounts between in and out-of-scope activities to arrive at the relevant PBT measure. The Amount A formula is designed to ensure that only the portion of the Amount A tax base corresponding to in-scope revenue sourced in a given market jurisdiction is allocated to that market jurisdiction. This means that even in instances where the calculation of the Amount A tax base does not distinguish between in and out-of-scope activities, market jurisdictions will be allocated a proxy Amount A profits related to in-scope revenue sourced in their jurisdiction calculated by assuming that</w:t>
      </w:r>
      <w:r>
        <w:rPr>
          <w:spacing w:val="-9"/>
          <w:sz w:val="20"/>
        </w:rPr>
        <w:t> </w:t>
      </w:r>
      <w:r>
        <w:rPr>
          <w:sz w:val="20"/>
        </w:rPr>
        <w:t>the</w:t>
      </w:r>
      <w:r>
        <w:rPr>
          <w:spacing w:val="-8"/>
          <w:sz w:val="20"/>
        </w:rPr>
        <w:t> </w:t>
      </w:r>
      <w:r>
        <w:rPr>
          <w:sz w:val="20"/>
        </w:rPr>
        <w:t>profitability</w:t>
      </w:r>
      <w:r>
        <w:rPr>
          <w:spacing w:val="-10"/>
          <w:sz w:val="20"/>
        </w:rPr>
        <w:t> </w:t>
      </w:r>
      <w:r>
        <w:rPr>
          <w:sz w:val="20"/>
        </w:rPr>
        <w:t>of</w:t>
      </w:r>
      <w:r>
        <w:rPr>
          <w:spacing w:val="-7"/>
          <w:sz w:val="20"/>
        </w:rPr>
        <w:t> </w:t>
      </w:r>
      <w:r>
        <w:rPr>
          <w:sz w:val="20"/>
        </w:rPr>
        <w:t>in-scope</w:t>
      </w:r>
      <w:r>
        <w:rPr>
          <w:spacing w:val="-8"/>
          <w:sz w:val="20"/>
        </w:rPr>
        <w:t> </w:t>
      </w:r>
      <w:r>
        <w:rPr>
          <w:sz w:val="20"/>
        </w:rPr>
        <w:t>activity</w:t>
      </w:r>
      <w:r>
        <w:rPr>
          <w:spacing w:val="-11"/>
          <w:sz w:val="20"/>
        </w:rPr>
        <w:t> </w:t>
      </w:r>
      <w:r>
        <w:rPr>
          <w:sz w:val="20"/>
        </w:rPr>
        <w:t>is</w:t>
      </w:r>
      <w:r>
        <w:rPr>
          <w:spacing w:val="-8"/>
          <w:sz w:val="20"/>
        </w:rPr>
        <w:t> </w:t>
      </w:r>
      <w:r>
        <w:rPr>
          <w:sz w:val="20"/>
        </w:rPr>
        <w:t>equal</w:t>
      </w:r>
      <w:r>
        <w:rPr>
          <w:spacing w:val="-9"/>
          <w:sz w:val="20"/>
        </w:rPr>
        <w:t> </w:t>
      </w:r>
      <w:r>
        <w:rPr>
          <w:sz w:val="20"/>
        </w:rPr>
        <w:t>to</w:t>
      </w:r>
      <w:r>
        <w:rPr>
          <w:spacing w:val="-9"/>
          <w:sz w:val="20"/>
        </w:rPr>
        <w:t> </w:t>
      </w:r>
      <w:r>
        <w:rPr>
          <w:sz w:val="20"/>
        </w:rPr>
        <w:t>the</w:t>
      </w:r>
      <w:r>
        <w:rPr>
          <w:spacing w:val="-8"/>
          <w:sz w:val="20"/>
        </w:rPr>
        <w:t> </w:t>
      </w:r>
      <w:r>
        <w:rPr>
          <w:sz w:val="20"/>
        </w:rPr>
        <w:t>profitability</w:t>
      </w:r>
      <w:r>
        <w:rPr>
          <w:spacing w:val="-12"/>
          <w:sz w:val="20"/>
        </w:rPr>
        <w:t> </w:t>
      </w:r>
      <w:r>
        <w:rPr>
          <w:sz w:val="20"/>
        </w:rPr>
        <w:t>of</w:t>
      </w:r>
      <w:r>
        <w:rPr>
          <w:spacing w:val="-6"/>
          <w:sz w:val="20"/>
        </w:rPr>
        <w:t> </w:t>
      </w:r>
      <w:r>
        <w:rPr>
          <w:sz w:val="20"/>
        </w:rPr>
        <w:t>the</w:t>
      </w:r>
      <w:r>
        <w:rPr>
          <w:spacing w:val="-2"/>
          <w:sz w:val="20"/>
        </w:rPr>
        <w:t> </w:t>
      </w:r>
      <w:r>
        <w:rPr>
          <w:sz w:val="20"/>
        </w:rPr>
        <w:t>group</w:t>
      </w:r>
      <w:r>
        <w:rPr>
          <w:spacing w:val="-9"/>
          <w:sz w:val="20"/>
        </w:rPr>
        <w:t> </w:t>
      </w:r>
      <w:r>
        <w:rPr>
          <w:sz w:val="20"/>
        </w:rPr>
        <w:t>as</w:t>
      </w:r>
      <w:r>
        <w:rPr>
          <w:spacing w:val="-7"/>
          <w:sz w:val="20"/>
        </w:rPr>
        <w:t> </w:t>
      </w:r>
      <w:r>
        <w:rPr>
          <w:sz w:val="20"/>
        </w:rPr>
        <w:t>a</w:t>
      </w:r>
      <w:r>
        <w:rPr>
          <w:spacing w:val="-7"/>
          <w:sz w:val="20"/>
        </w:rPr>
        <w:t> </w:t>
      </w:r>
      <w:r>
        <w:rPr>
          <w:sz w:val="20"/>
        </w:rPr>
        <w:t>whole.</w:t>
      </w:r>
      <w:r>
        <w:rPr>
          <w:spacing w:val="-8"/>
          <w:sz w:val="20"/>
        </w:rPr>
        <w:t> </w:t>
      </w:r>
      <w:r>
        <w:rPr>
          <w:sz w:val="20"/>
        </w:rPr>
        <w:t>Further</w:t>
      </w:r>
      <w:r>
        <w:rPr>
          <w:spacing w:val="-6"/>
          <w:sz w:val="20"/>
        </w:rPr>
        <w:t> </w:t>
      </w:r>
      <w:r>
        <w:rPr>
          <w:sz w:val="20"/>
        </w:rPr>
        <w:t>work</w:t>
      </w:r>
      <w:r>
        <w:rPr>
          <w:spacing w:val="-5"/>
          <w:sz w:val="20"/>
        </w:rPr>
        <w:t> </w:t>
      </w:r>
      <w:r>
        <w:rPr>
          <w:sz w:val="20"/>
        </w:rPr>
        <w:t>will be undertaken to address potentially material distortions where, for instance, an MNE group has highly profitable or highly loss-making out-of-scope activities which could affect the reliability of the approach. This will include consideration of whether, in some circumstances, taxpayers should be required to calculate</w:t>
      </w:r>
      <w:r>
        <w:rPr>
          <w:spacing w:val="-5"/>
          <w:sz w:val="20"/>
        </w:rPr>
        <w:t> </w:t>
      </w:r>
      <w:r>
        <w:rPr>
          <w:sz w:val="20"/>
        </w:rPr>
        <w:t>net</w:t>
      </w:r>
      <w:r>
        <w:rPr>
          <w:spacing w:val="-4"/>
          <w:sz w:val="20"/>
        </w:rPr>
        <w:t> </w:t>
      </w:r>
      <w:r>
        <w:rPr>
          <w:sz w:val="20"/>
        </w:rPr>
        <w:t>profit</w:t>
      </w:r>
      <w:r>
        <w:rPr>
          <w:spacing w:val="-6"/>
          <w:sz w:val="20"/>
        </w:rPr>
        <w:t> </w:t>
      </w:r>
      <w:r>
        <w:rPr>
          <w:sz w:val="20"/>
        </w:rPr>
        <w:t>for</w:t>
      </w:r>
      <w:r>
        <w:rPr>
          <w:spacing w:val="-4"/>
          <w:sz w:val="20"/>
        </w:rPr>
        <w:t> </w:t>
      </w:r>
      <w:r>
        <w:rPr>
          <w:sz w:val="20"/>
        </w:rPr>
        <w:t>in-</w:t>
      </w:r>
      <w:r>
        <w:rPr>
          <w:spacing w:val="-3"/>
          <w:sz w:val="20"/>
        </w:rPr>
        <w:t> </w:t>
      </w:r>
      <w:r>
        <w:rPr>
          <w:sz w:val="20"/>
        </w:rPr>
        <w:t>and</w:t>
      </w:r>
      <w:r>
        <w:rPr>
          <w:spacing w:val="-7"/>
          <w:sz w:val="20"/>
        </w:rPr>
        <w:t> </w:t>
      </w:r>
      <w:r>
        <w:rPr>
          <w:sz w:val="20"/>
        </w:rPr>
        <w:t>out-of-scope</w:t>
      </w:r>
      <w:r>
        <w:rPr>
          <w:spacing w:val="-7"/>
          <w:sz w:val="20"/>
        </w:rPr>
        <w:t> </w:t>
      </w:r>
      <w:r>
        <w:rPr>
          <w:sz w:val="20"/>
        </w:rPr>
        <w:t>activities</w:t>
      </w:r>
      <w:r>
        <w:rPr>
          <w:spacing w:val="-6"/>
          <w:sz w:val="20"/>
        </w:rPr>
        <w:t> </w:t>
      </w:r>
      <w:r>
        <w:rPr>
          <w:sz w:val="20"/>
        </w:rPr>
        <w:t>(or</w:t>
      </w:r>
      <w:r>
        <w:rPr>
          <w:spacing w:val="-6"/>
          <w:sz w:val="20"/>
        </w:rPr>
        <w:t> </w:t>
      </w:r>
      <w:r>
        <w:rPr>
          <w:sz w:val="20"/>
        </w:rPr>
        <w:t>ADS,</w:t>
      </w:r>
      <w:r>
        <w:rPr>
          <w:spacing w:val="-6"/>
          <w:sz w:val="20"/>
        </w:rPr>
        <w:t> </w:t>
      </w:r>
      <w:r>
        <w:rPr>
          <w:sz w:val="20"/>
        </w:rPr>
        <w:t>CFB</w:t>
      </w:r>
      <w:r>
        <w:rPr>
          <w:spacing w:val="-7"/>
          <w:sz w:val="20"/>
        </w:rPr>
        <w:t> </w:t>
      </w:r>
      <w:r>
        <w:rPr>
          <w:sz w:val="20"/>
        </w:rPr>
        <w:t>and</w:t>
      </w:r>
      <w:r>
        <w:rPr>
          <w:spacing w:val="-5"/>
          <w:sz w:val="20"/>
        </w:rPr>
        <w:t> </w:t>
      </w:r>
      <w:r>
        <w:rPr>
          <w:sz w:val="20"/>
        </w:rPr>
        <w:t>out-of-scope</w:t>
      </w:r>
      <w:r>
        <w:rPr>
          <w:spacing w:val="-7"/>
          <w:sz w:val="20"/>
        </w:rPr>
        <w:t> </w:t>
      </w:r>
      <w:r>
        <w:rPr>
          <w:sz w:val="20"/>
        </w:rPr>
        <w:t>activities)</w:t>
      </w:r>
      <w:r>
        <w:rPr>
          <w:spacing w:val="-3"/>
          <w:sz w:val="20"/>
        </w:rPr>
        <w:t> </w:t>
      </w:r>
      <w:r>
        <w:rPr>
          <w:sz w:val="20"/>
        </w:rPr>
        <w:t>separately.</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To</w:t>
      </w:r>
      <w:r>
        <w:rPr>
          <w:spacing w:val="-15"/>
          <w:sz w:val="20"/>
        </w:rPr>
        <w:t> </w:t>
      </w:r>
      <w:r>
        <w:rPr>
          <w:sz w:val="20"/>
        </w:rPr>
        <w:t>apply</w:t>
      </w:r>
      <w:r>
        <w:rPr>
          <w:spacing w:val="-18"/>
          <w:sz w:val="20"/>
        </w:rPr>
        <w:t> </w:t>
      </w:r>
      <w:r>
        <w:rPr>
          <w:sz w:val="20"/>
        </w:rPr>
        <w:t>the</w:t>
      </w:r>
      <w:r>
        <w:rPr>
          <w:spacing w:val="-13"/>
          <w:sz w:val="20"/>
        </w:rPr>
        <w:t> </w:t>
      </w:r>
      <w:r>
        <w:rPr>
          <w:sz w:val="20"/>
        </w:rPr>
        <w:t>Amount</w:t>
      </w:r>
      <w:r>
        <w:rPr>
          <w:spacing w:val="-13"/>
          <w:sz w:val="20"/>
        </w:rPr>
        <w:t> </w:t>
      </w:r>
      <w:r>
        <w:rPr>
          <w:sz w:val="20"/>
        </w:rPr>
        <w:t>A</w:t>
      </w:r>
      <w:r>
        <w:rPr>
          <w:spacing w:val="-16"/>
          <w:sz w:val="20"/>
        </w:rPr>
        <w:t> </w:t>
      </w:r>
      <w:r>
        <w:rPr>
          <w:sz w:val="20"/>
        </w:rPr>
        <w:t>formula,</w:t>
      </w:r>
      <w:r>
        <w:rPr>
          <w:spacing w:val="-13"/>
          <w:sz w:val="20"/>
        </w:rPr>
        <w:t> </w:t>
      </w:r>
      <w:r>
        <w:rPr>
          <w:sz w:val="20"/>
        </w:rPr>
        <w:t>an</w:t>
      </w:r>
      <w:r>
        <w:rPr>
          <w:spacing w:val="-13"/>
          <w:sz w:val="20"/>
        </w:rPr>
        <w:t> </w:t>
      </w:r>
      <w:r>
        <w:rPr>
          <w:sz w:val="20"/>
        </w:rPr>
        <w:t>MNE</w:t>
      </w:r>
      <w:r>
        <w:rPr>
          <w:spacing w:val="-13"/>
          <w:sz w:val="20"/>
        </w:rPr>
        <w:t> </w:t>
      </w:r>
      <w:r>
        <w:rPr>
          <w:sz w:val="20"/>
        </w:rPr>
        <w:t>group</w:t>
      </w:r>
      <w:r>
        <w:rPr>
          <w:spacing w:val="-10"/>
          <w:sz w:val="20"/>
        </w:rPr>
        <w:t> </w:t>
      </w:r>
      <w:r>
        <w:rPr>
          <w:sz w:val="20"/>
        </w:rPr>
        <w:t>would</w:t>
      </w:r>
      <w:r>
        <w:rPr>
          <w:spacing w:val="-15"/>
          <w:sz w:val="20"/>
        </w:rPr>
        <w:t> </w:t>
      </w:r>
      <w:r>
        <w:rPr>
          <w:sz w:val="20"/>
        </w:rPr>
        <w:t>simply</w:t>
      </w:r>
      <w:r>
        <w:rPr>
          <w:spacing w:val="-18"/>
          <w:sz w:val="20"/>
        </w:rPr>
        <w:t> </w:t>
      </w:r>
      <w:r>
        <w:rPr>
          <w:sz w:val="20"/>
        </w:rPr>
        <w:t>need</w:t>
      </w:r>
      <w:r>
        <w:rPr>
          <w:spacing w:val="-15"/>
          <w:sz w:val="20"/>
        </w:rPr>
        <w:t> </w:t>
      </w:r>
      <w:r>
        <w:rPr>
          <w:sz w:val="20"/>
        </w:rPr>
        <w:t>to</w:t>
      </w:r>
      <w:r>
        <w:rPr>
          <w:spacing w:val="-14"/>
          <w:sz w:val="20"/>
        </w:rPr>
        <w:t> </w:t>
      </w:r>
      <w:r>
        <w:rPr>
          <w:sz w:val="20"/>
        </w:rPr>
        <w:t>separate</w:t>
      </w:r>
      <w:r>
        <w:rPr>
          <w:spacing w:val="-12"/>
          <w:sz w:val="20"/>
        </w:rPr>
        <w:t> </w:t>
      </w:r>
      <w:r>
        <w:rPr>
          <w:sz w:val="20"/>
        </w:rPr>
        <w:t>its</w:t>
      </w:r>
      <w:r>
        <w:rPr>
          <w:spacing w:val="-11"/>
          <w:sz w:val="20"/>
        </w:rPr>
        <w:t> </w:t>
      </w:r>
      <w:r>
        <w:rPr>
          <w:sz w:val="20"/>
        </w:rPr>
        <w:t>revenue</w:t>
      </w:r>
      <w:r>
        <w:rPr>
          <w:spacing w:val="-13"/>
          <w:sz w:val="20"/>
        </w:rPr>
        <w:t> </w:t>
      </w:r>
      <w:r>
        <w:rPr>
          <w:sz w:val="20"/>
        </w:rPr>
        <w:t>between that attributable to CFB, ADS and out-of-scope activities, noting that such break down would also be necessary to apply the Amount A rules on scope (see Chapter </w:t>
      </w:r>
      <w:hyperlink w:history="true" w:anchor="_bookmark6">
        <w:r>
          <w:rPr>
            <w:sz w:val="20"/>
          </w:rPr>
          <w:t>2. </w:t>
        </w:r>
      </w:hyperlink>
      <w:r>
        <w:rPr>
          <w:sz w:val="20"/>
        </w:rPr>
        <w:t>) and nexus (see Chapter </w:t>
      </w:r>
      <w:hyperlink w:history="true" w:anchor="_bookmark12">
        <w:r>
          <w:rPr>
            <w:sz w:val="20"/>
          </w:rPr>
          <w:t>3.</w:t>
        </w:r>
        <w:r>
          <w:rPr>
            <w:spacing w:val="-20"/>
            <w:sz w:val="20"/>
          </w:rPr>
          <w:t> </w:t>
        </w:r>
      </w:hyperlink>
      <w:r>
        <w:rPr>
          <w:sz w:val="20"/>
        </w:rPr>
        <w:t>).</w:t>
      </w:r>
    </w:p>
    <w:p>
      <w:pPr>
        <w:pStyle w:val="BodyText"/>
        <w:spacing w:before="5"/>
        <w:rPr>
          <w:sz w:val="23"/>
        </w:rPr>
      </w:pPr>
    </w:p>
    <w:p>
      <w:pPr>
        <w:pStyle w:val="Heading6"/>
        <w:numPr>
          <w:ilvl w:val="2"/>
          <w:numId w:val="59"/>
        </w:numPr>
        <w:tabs>
          <w:tab w:pos="2015" w:val="left" w:leader="none"/>
        </w:tabs>
        <w:spacing w:line="266" w:lineRule="auto" w:before="0" w:after="0"/>
        <w:ind w:left="1402" w:right="859" w:firstLine="0"/>
        <w:jc w:val="left"/>
      </w:pPr>
      <w:bookmarkStart w:name="5.3.3. Step two: Exemption or safe harbo" w:id="227"/>
      <w:bookmarkEnd w:id="227"/>
      <w:r>
        <w:rPr>
          <w:b w:val="0"/>
          <w:i w:val="0"/>
        </w:rPr>
      </w:r>
      <w:bookmarkStart w:name="_bookmark32" w:id="228"/>
      <w:bookmarkEnd w:id="228"/>
      <w:r>
        <w:rPr>
          <w:b w:val="0"/>
          <w:i w:val="0"/>
        </w:rPr>
      </w:r>
      <w:bookmarkStart w:name="_bookmark32" w:id="229"/>
      <w:bookmarkEnd w:id="229"/>
      <w:r>
        <w:rPr>
          <w:i/>
        </w:rPr>
        <w:t>S</w:t>
      </w:r>
      <w:r>
        <w:rPr>
          <w:i/>
        </w:rPr>
        <w:t>tep two: Exemption or safe harbour from segmentation based on global </w:t>
      </w:r>
      <w:r>
        <w:rPr/>
        <w:t>revenue</w:t>
      </w:r>
    </w:p>
    <w:p>
      <w:pPr>
        <w:pStyle w:val="ListParagraph"/>
        <w:numPr>
          <w:ilvl w:val="0"/>
          <w:numId w:val="13"/>
        </w:numPr>
        <w:tabs>
          <w:tab w:pos="1444" w:val="left" w:leader="none"/>
        </w:tabs>
        <w:spacing w:line="271" w:lineRule="auto" w:before="189" w:after="0"/>
        <w:ind w:left="723" w:right="481" w:firstLine="0"/>
        <w:jc w:val="both"/>
        <w:rPr>
          <w:sz w:val="20"/>
        </w:rPr>
      </w:pPr>
      <w:r>
        <w:rPr>
          <w:sz w:val="20"/>
        </w:rPr>
        <w:t>The segmentation framework for Amount A includes an exemption or safe harbour to limit the number of groups that will be required to calculate Amount A on a segmented basis. This will reduce compliance costs and ease the burden for tax administrations who will need to review a business’ segmentation as part of the tax certainty</w:t>
      </w:r>
      <w:r>
        <w:rPr>
          <w:spacing w:val="-1"/>
          <w:sz w:val="20"/>
        </w:rPr>
        <w:t> </w:t>
      </w:r>
      <w:r>
        <w:rPr>
          <w:sz w:val="20"/>
        </w:rPr>
        <w:t>process.</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The exemption would exempt smaller groups, with global revenue below an agreed amount, from applying Amount A on a segmented basis. This means that segmentation will be required only for large groups that are more likely to operate a number of largely independent businesses, with different profits margins and different geographic profiles. It is for these businesses, which earn the highest profits, that calculating</w:t>
      </w:r>
      <w:r>
        <w:rPr>
          <w:spacing w:val="-8"/>
          <w:sz w:val="20"/>
        </w:rPr>
        <w:t> </w:t>
      </w:r>
      <w:r>
        <w:rPr>
          <w:sz w:val="20"/>
        </w:rPr>
        <w:t>Amount</w:t>
      </w:r>
      <w:r>
        <w:rPr>
          <w:spacing w:val="-7"/>
          <w:sz w:val="20"/>
        </w:rPr>
        <w:t> </w:t>
      </w:r>
      <w:r>
        <w:rPr>
          <w:sz w:val="20"/>
        </w:rPr>
        <w:t>A</w:t>
      </w:r>
      <w:r>
        <w:rPr>
          <w:spacing w:val="-8"/>
          <w:sz w:val="20"/>
        </w:rPr>
        <w:t> </w:t>
      </w:r>
      <w:r>
        <w:rPr>
          <w:sz w:val="20"/>
        </w:rPr>
        <w:t>on</w:t>
      </w:r>
      <w:r>
        <w:rPr>
          <w:spacing w:val="-6"/>
          <w:sz w:val="20"/>
        </w:rPr>
        <w:t> </w:t>
      </w:r>
      <w:r>
        <w:rPr>
          <w:sz w:val="20"/>
        </w:rPr>
        <w:t>a</w:t>
      </w:r>
      <w:r>
        <w:rPr>
          <w:spacing w:val="-7"/>
          <w:sz w:val="20"/>
        </w:rPr>
        <w:t> </w:t>
      </w:r>
      <w:r>
        <w:rPr>
          <w:sz w:val="20"/>
        </w:rPr>
        <w:t>segmented</w:t>
      </w:r>
      <w:r>
        <w:rPr>
          <w:spacing w:val="-7"/>
          <w:sz w:val="20"/>
        </w:rPr>
        <w:t> </w:t>
      </w:r>
      <w:r>
        <w:rPr>
          <w:sz w:val="20"/>
        </w:rPr>
        <w:t>basis</w:t>
      </w:r>
      <w:r>
        <w:rPr>
          <w:spacing w:val="-4"/>
          <w:sz w:val="20"/>
        </w:rPr>
        <w:t> </w:t>
      </w:r>
      <w:r>
        <w:rPr>
          <w:sz w:val="20"/>
        </w:rPr>
        <w:t>will</w:t>
      </w:r>
      <w:r>
        <w:rPr>
          <w:spacing w:val="-8"/>
          <w:sz w:val="20"/>
        </w:rPr>
        <w:t> </w:t>
      </w:r>
      <w:r>
        <w:rPr>
          <w:sz w:val="20"/>
        </w:rPr>
        <w:t>have</w:t>
      </w:r>
      <w:r>
        <w:rPr>
          <w:spacing w:val="-7"/>
          <w:sz w:val="20"/>
        </w:rPr>
        <w:t> </w:t>
      </w:r>
      <w:r>
        <w:rPr>
          <w:sz w:val="20"/>
        </w:rPr>
        <w:t>the</w:t>
      </w:r>
      <w:r>
        <w:rPr>
          <w:spacing w:val="-8"/>
          <w:sz w:val="20"/>
        </w:rPr>
        <w:t> </w:t>
      </w:r>
      <w:r>
        <w:rPr>
          <w:sz w:val="20"/>
        </w:rPr>
        <w:t>greatest</w:t>
      </w:r>
      <w:r>
        <w:rPr>
          <w:spacing w:val="-6"/>
          <w:sz w:val="20"/>
        </w:rPr>
        <w:t> </w:t>
      </w:r>
      <w:r>
        <w:rPr>
          <w:sz w:val="20"/>
        </w:rPr>
        <w:t>tax</w:t>
      </w:r>
      <w:r>
        <w:rPr>
          <w:spacing w:val="-7"/>
          <w:sz w:val="20"/>
        </w:rPr>
        <w:t> </w:t>
      </w:r>
      <w:r>
        <w:rPr>
          <w:sz w:val="20"/>
        </w:rPr>
        <w:t>impact.</w:t>
      </w:r>
      <w:r>
        <w:rPr>
          <w:spacing w:val="-7"/>
          <w:sz w:val="20"/>
        </w:rPr>
        <w:t> </w:t>
      </w:r>
      <w:r>
        <w:rPr>
          <w:sz w:val="20"/>
        </w:rPr>
        <w:t>Consequently,</w:t>
      </w:r>
      <w:r>
        <w:rPr>
          <w:spacing w:val="-7"/>
          <w:sz w:val="20"/>
        </w:rPr>
        <w:t> </w:t>
      </w:r>
      <w:r>
        <w:rPr>
          <w:sz w:val="20"/>
        </w:rPr>
        <w:t>MNE</w:t>
      </w:r>
      <w:r>
        <w:rPr>
          <w:spacing w:val="-7"/>
          <w:sz w:val="20"/>
        </w:rPr>
        <w:t> </w:t>
      </w:r>
      <w:r>
        <w:rPr>
          <w:sz w:val="20"/>
        </w:rPr>
        <w:t>groups with</w:t>
      </w:r>
      <w:r>
        <w:rPr>
          <w:spacing w:val="-5"/>
          <w:sz w:val="20"/>
        </w:rPr>
        <w:t> </w:t>
      </w:r>
      <w:r>
        <w:rPr>
          <w:sz w:val="20"/>
        </w:rPr>
        <w:t>global</w:t>
      </w:r>
      <w:r>
        <w:rPr>
          <w:spacing w:val="-5"/>
          <w:sz w:val="20"/>
        </w:rPr>
        <w:t> </w:t>
      </w:r>
      <w:r>
        <w:rPr>
          <w:sz w:val="20"/>
        </w:rPr>
        <w:t>revenue</w:t>
      </w:r>
      <w:r>
        <w:rPr>
          <w:spacing w:val="-3"/>
          <w:sz w:val="20"/>
        </w:rPr>
        <w:t> </w:t>
      </w:r>
      <w:r>
        <w:rPr>
          <w:sz w:val="20"/>
        </w:rPr>
        <w:t>less</w:t>
      </w:r>
      <w:r>
        <w:rPr>
          <w:spacing w:val="-4"/>
          <w:sz w:val="20"/>
        </w:rPr>
        <w:t> </w:t>
      </w:r>
      <w:r>
        <w:rPr>
          <w:sz w:val="20"/>
        </w:rPr>
        <w:t>than</w:t>
      </w:r>
      <w:r>
        <w:rPr>
          <w:spacing w:val="-4"/>
          <w:sz w:val="20"/>
        </w:rPr>
        <w:t> </w:t>
      </w:r>
      <w:r>
        <w:rPr>
          <w:sz w:val="20"/>
        </w:rPr>
        <w:t>EUR</w:t>
      </w:r>
      <w:r>
        <w:rPr>
          <w:spacing w:val="-3"/>
          <w:sz w:val="20"/>
        </w:rPr>
        <w:t> </w:t>
      </w:r>
      <w:r>
        <w:rPr>
          <w:sz w:val="20"/>
        </w:rPr>
        <w:t>[X]</w:t>
      </w:r>
      <w:r>
        <w:rPr>
          <w:spacing w:val="-5"/>
          <w:sz w:val="20"/>
        </w:rPr>
        <w:t> </w:t>
      </w:r>
      <w:r>
        <w:rPr>
          <w:sz w:val="20"/>
        </w:rPr>
        <w:t>billion</w:t>
      </w:r>
      <w:r>
        <w:rPr>
          <w:spacing w:val="-2"/>
          <w:sz w:val="20"/>
        </w:rPr>
        <w:t> </w:t>
      </w:r>
      <w:r>
        <w:rPr>
          <w:sz w:val="20"/>
        </w:rPr>
        <w:t>would</w:t>
      </w:r>
      <w:r>
        <w:rPr>
          <w:spacing w:val="-4"/>
          <w:sz w:val="20"/>
        </w:rPr>
        <w:t> </w:t>
      </w:r>
      <w:r>
        <w:rPr>
          <w:sz w:val="20"/>
        </w:rPr>
        <w:t>compute</w:t>
      </w:r>
      <w:r>
        <w:rPr>
          <w:spacing w:val="-6"/>
          <w:sz w:val="20"/>
        </w:rPr>
        <w:t> </w:t>
      </w:r>
      <w:r>
        <w:rPr>
          <w:sz w:val="20"/>
        </w:rPr>
        <w:t>the</w:t>
      </w:r>
      <w:r>
        <w:rPr>
          <w:spacing w:val="-3"/>
          <w:sz w:val="20"/>
        </w:rPr>
        <w:t> </w:t>
      </w:r>
      <w:r>
        <w:rPr>
          <w:sz w:val="20"/>
        </w:rPr>
        <w:t>Amount</w:t>
      </w:r>
      <w:r>
        <w:rPr>
          <w:spacing w:val="-4"/>
          <w:sz w:val="20"/>
        </w:rPr>
        <w:t> </w:t>
      </w:r>
      <w:r>
        <w:rPr>
          <w:sz w:val="20"/>
        </w:rPr>
        <w:t>A</w:t>
      </w:r>
      <w:r>
        <w:rPr>
          <w:spacing w:val="-6"/>
          <w:sz w:val="20"/>
        </w:rPr>
        <w:t> </w:t>
      </w:r>
      <w:r>
        <w:rPr>
          <w:sz w:val="20"/>
        </w:rPr>
        <w:t>tax</w:t>
      </w:r>
      <w:r>
        <w:rPr>
          <w:spacing w:val="-5"/>
          <w:sz w:val="20"/>
        </w:rPr>
        <w:t> </w:t>
      </w:r>
      <w:r>
        <w:rPr>
          <w:sz w:val="20"/>
        </w:rPr>
        <w:t>base</w:t>
      </w:r>
      <w:r>
        <w:rPr>
          <w:spacing w:val="-6"/>
          <w:sz w:val="20"/>
        </w:rPr>
        <w:t> </w:t>
      </w:r>
      <w:r>
        <w:rPr>
          <w:sz w:val="20"/>
        </w:rPr>
        <w:t>on</w:t>
      </w:r>
      <w:r>
        <w:rPr>
          <w:spacing w:val="-5"/>
          <w:sz w:val="20"/>
        </w:rPr>
        <w:t> </w:t>
      </w:r>
      <w:r>
        <w:rPr>
          <w:sz w:val="20"/>
        </w:rPr>
        <w:t>a</w:t>
      </w:r>
      <w:r>
        <w:rPr>
          <w:spacing w:val="-4"/>
          <w:sz w:val="20"/>
        </w:rPr>
        <w:t> </w:t>
      </w:r>
      <w:r>
        <w:rPr>
          <w:sz w:val="20"/>
        </w:rPr>
        <w:t>group</w:t>
      </w:r>
      <w:r>
        <w:rPr>
          <w:spacing w:val="-3"/>
          <w:sz w:val="20"/>
        </w:rPr>
        <w:t> </w:t>
      </w:r>
      <w:r>
        <w:rPr>
          <w:sz w:val="20"/>
        </w:rPr>
        <w:t>basis</w:t>
      </w:r>
      <w:r>
        <w:rPr>
          <w:spacing w:val="2"/>
          <w:sz w:val="20"/>
        </w:rPr>
        <w:t> </w:t>
      </w:r>
      <w:r>
        <w:rPr>
          <w:sz w:val="20"/>
        </w:rPr>
        <w:t>(i.e.</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a “segmentation exemption” would apply). For ease of administration and transition, this threshold could initially be set a higher at EUR [X] billion and reduced over a transition period e.g. five years.</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Alternatively,</w:t>
      </w:r>
      <w:r>
        <w:rPr>
          <w:spacing w:val="-10"/>
          <w:sz w:val="20"/>
        </w:rPr>
        <w:t> </w:t>
      </w:r>
      <w:r>
        <w:rPr>
          <w:sz w:val="20"/>
        </w:rPr>
        <w:t>this</w:t>
      </w:r>
      <w:r>
        <w:rPr>
          <w:spacing w:val="-8"/>
          <w:sz w:val="20"/>
        </w:rPr>
        <w:t> </w:t>
      </w:r>
      <w:r>
        <w:rPr>
          <w:sz w:val="20"/>
        </w:rPr>
        <w:t>exemption</w:t>
      </w:r>
      <w:r>
        <w:rPr>
          <w:spacing w:val="-7"/>
          <w:sz w:val="20"/>
        </w:rPr>
        <w:t> </w:t>
      </w:r>
      <w:r>
        <w:rPr>
          <w:sz w:val="20"/>
        </w:rPr>
        <w:t>could</w:t>
      </w:r>
      <w:r>
        <w:rPr>
          <w:spacing w:val="-9"/>
          <w:sz w:val="20"/>
        </w:rPr>
        <w:t> </w:t>
      </w:r>
      <w:r>
        <w:rPr>
          <w:sz w:val="20"/>
        </w:rPr>
        <w:t>operate</w:t>
      </w:r>
      <w:r>
        <w:rPr>
          <w:spacing w:val="-8"/>
          <w:sz w:val="20"/>
        </w:rPr>
        <w:t> </w:t>
      </w:r>
      <w:r>
        <w:rPr>
          <w:sz w:val="20"/>
        </w:rPr>
        <w:t>as</w:t>
      </w:r>
      <w:r>
        <w:rPr>
          <w:spacing w:val="-7"/>
          <w:sz w:val="20"/>
        </w:rPr>
        <w:t> </w:t>
      </w:r>
      <w:r>
        <w:rPr>
          <w:sz w:val="20"/>
        </w:rPr>
        <w:t>a</w:t>
      </w:r>
      <w:r>
        <w:rPr>
          <w:spacing w:val="-9"/>
          <w:sz w:val="20"/>
        </w:rPr>
        <w:t> </w:t>
      </w:r>
      <w:r>
        <w:rPr>
          <w:sz w:val="20"/>
        </w:rPr>
        <w:t>safe</w:t>
      </w:r>
      <w:r>
        <w:rPr>
          <w:spacing w:val="-10"/>
          <w:sz w:val="20"/>
        </w:rPr>
        <w:t> </w:t>
      </w:r>
      <w:r>
        <w:rPr>
          <w:sz w:val="20"/>
        </w:rPr>
        <w:t>harbour.</w:t>
      </w:r>
      <w:r>
        <w:rPr>
          <w:spacing w:val="-9"/>
          <w:sz w:val="20"/>
        </w:rPr>
        <w:t> </w:t>
      </w:r>
      <w:r>
        <w:rPr>
          <w:sz w:val="20"/>
        </w:rPr>
        <w:t>This</w:t>
      </w:r>
      <w:r>
        <w:rPr>
          <w:spacing w:val="-8"/>
          <w:sz w:val="20"/>
        </w:rPr>
        <w:t> </w:t>
      </w:r>
      <w:r>
        <w:rPr>
          <w:sz w:val="20"/>
        </w:rPr>
        <w:t>means</w:t>
      </w:r>
      <w:r>
        <w:rPr>
          <w:spacing w:val="-9"/>
          <w:sz w:val="20"/>
        </w:rPr>
        <w:t> </w:t>
      </w:r>
      <w:r>
        <w:rPr>
          <w:sz w:val="20"/>
        </w:rPr>
        <w:t>that</w:t>
      </w:r>
      <w:r>
        <w:rPr>
          <w:spacing w:val="-7"/>
          <w:sz w:val="20"/>
        </w:rPr>
        <w:t> </w:t>
      </w:r>
      <w:r>
        <w:rPr>
          <w:sz w:val="20"/>
        </w:rPr>
        <w:t>MNE</w:t>
      </w:r>
      <w:r>
        <w:rPr>
          <w:spacing w:val="-10"/>
          <w:sz w:val="20"/>
        </w:rPr>
        <w:t> </w:t>
      </w:r>
      <w:r>
        <w:rPr>
          <w:sz w:val="20"/>
        </w:rPr>
        <w:t>groups</w:t>
      </w:r>
      <w:r>
        <w:rPr>
          <w:spacing w:val="-8"/>
          <w:sz w:val="20"/>
        </w:rPr>
        <w:t> </w:t>
      </w:r>
      <w:r>
        <w:rPr>
          <w:sz w:val="20"/>
        </w:rPr>
        <w:t>below the</w:t>
      </w:r>
      <w:r>
        <w:rPr>
          <w:spacing w:val="-18"/>
          <w:sz w:val="20"/>
        </w:rPr>
        <w:t> </w:t>
      </w:r>
      <w:r>
        <w:rPr>
          <w:sz w:val="20"/>
        </w:rPr>
        <w:t>threshold</w:t>
      </w:r>
      <w:r>
        <w:rPr>
          <w:spacing w:val="-14"/>
          <w:sz w:val="20"/>
        </w:rPr>
        <w:t> </w:t>
      </w:r>
      <w:r>
        <w:rPr>
          <w:sz w:val="20"/>
        </w:rPr>
        <w:t>would</w:t>
      </w:r>
      <w:r>
        <w:rPr>
          <w:spacing w:val="-15"/>
          <w:sz w:val="20"/>
        </w:rPr>
        <w:t> </w:t>
      </w:r>
      <w:r>
        <w:rPr>
          <w:sz w:val="20"/>
        </w:rPr>
        <w:t>have</w:t>
      </w:r>
      <w:r>
        <w:rPr>
          <w:spacing w:val="-15"/>
          <w:sz w:val="20"/>
        </w:rPr>
        <w:t> </w:t>
      </w:r>
      <w:r>
        <w:rPr>
          <w:sz w:val="20"/>
        </w:rPr>
        <w:t>the</w:t>
      </w:r>
      <w:r>
        <w:rPr>
          <w:spacing w:val="-18"/>
          <w:sz w:val="20"/>
        </w:rPr>
        <w:t> </w:t>
      </w:r>
      <w:r>
        <w:rPr>
          <w:sz w:val="20"/>
        </w:rPr>
        <w:t>option</w:t>
      </w:r>
      <w:r>
        <w:rPr>
          <w:spacing w:val="-17"/>
          <w:sz w:val="20"/>
        </w:rPr>
        <w:t> </w:t>
      </w:r>
      <w:r>
        <w:rPr>
          <w:sz w:val="20"/>
        </w:rPr>
        <w:t>to</w:t>
      </w:r>
      <w:r>
        <w:rPr>
          <w:spacing w:val="-18"/>
          <w:sz w:val="20"/>
        </w:rPr>
        <w:t> </w:t>
      </w:r>
      <w:r>
        <w:rPr>
          <w:sz w:val="20"/>
        </w:rPr>
        <w:t>compute</w:t>
      </w:r>
      <w:r>
        <w:rPr>
          <w:spacing w:val="-18"/>
          <w:sz w:val="20"/>
        </w:rPr>
        <w:t> </w:t>
      </w:r>
      <w:r>
        <w:rPr>
          <w:sz w:val="20"/>
        </w:rPr>
        <w:t>the</w:t>
      </w:r>
      <w:r>
        <w:rPr>
          <w:spacing w:val="-16"/>
          <w:sz w:val="20"/>
        </w:rPr>
        <w:t> </w:t>
      </w:r>
      <w:r>
        <w:rPr>
          <w:sz w:val="20"/>
        </w:rPr>
        <w:t>Amount</w:t>
      </w:r>
      <w:r>
        <w:rPr>
          <w:spacing w:val="-16"/>
          <w:sz w:val="20"/>
        </w:rPr>
        <w:t> </w:t>
      </w:r>
      <w:r>
        <w:rPr>
          <w:sz w:val="20"/>
        </w:rPr>
        <w:t>A</w:t>
      </w:r>
      <w:r>
        <w:rPr>
          <w:spacing w:val="-16"/>
          <w:sz w:val="20"/>
        </w:rPr>
        <w:t> </w:t>
      </w:r>
      <w:r>
        <w:rPr>
          <w:sz w:val="20"/>
        </w:rPr>
        <w:t>tax</w:t>
      </w:r>
      <w:r>
        <w:rPr>
          <w:spacing w:val="-14"/>
          <w:sz w:val="20"/>
        </w:rPr>
        <w:t> </w:t>
      </w:r>
      <w:r>
        <w:rPr>
          <w:sz w:val="20"/>
        </w:rPr>
        <w:t>base</w:t>
      </w:r>
      <w:r>
        <w:rPr>
          <w:spacing w:val="-16"/>
          <w:sz w:val="20"/>
        </w:rPr>
        <w:t> </w:t>
      </w:r>
      <w:r>
        <w:rPr>
          <w:sz w:val="20"/>
        </w:rPr>
        <w:t>either</w:t>
      </w:r>
      <w:r>
        <w:rPr>
          <w:spacing w:val="-14"/>
          <w:sz w:val="20"/>
        </w:rPr>
        <w:t> </w:t>
      </w:r>
      <w:r>
        <w:rPr>
          <w:sz w:val="20"/>
        </w:rPr>
        <w:t>on</w:t>
      </w:r>
      <w:r>
        <w:rPr>
          <w:spacing w:val="-16"/>
          <w:sz w:val="20"/>
        </w:rPr>
        <w:t> </w:t>
      </w:r>
      <w:r>
        <w:rPr>
          <w:sz w:val="20"/>
        </w:rPr>
        <w:t>a</w:t>
      </w:r>
      <w:r>
        <w:rPr>
          <w:spacing w:val="-15"/>
          <w:sz w:val="20"/>
        </w:rPr>
        <w:t> </w:t>
      </w:r>
      <w:r>
        <w:rPr>
          <w:sz w:val="20"/>
        </w:rPr>
        <w:t>group</w:t>
      </w:r>
      <w:r>
        <w:rPr>
          <w:spacing w:val="-16"/>
          <w:sz w:val="20"/>
        </w:rPr>
        <w:t> </w:t>
      </w:r>
      <w:r>
        <w:rPr>
          <w:sz w:val="20"/>
        </w:rPr>
        <w:t>or</w:t>
      </w:r>
      <w:r>
        <w:rPr>
          <w:spacing w:val="-17"/>
          <w:sz w:val="20"/>
        </w:rPr>
        <w:t> </w:t>
      </w:r>
      <w:r>
        <w:rPr>
          <w:sz w:val="20"/>
        </w:rPr>
        <w:t>on</w:t>
      </w:r>
      <w:r>
        <w:rPr>
          <w:spacing w:val="-15"/>
          <w:sz w:val="20"/>
        </w:rPr>
        <w:t> </w:t>
      </w:r>
      <w:r>
        <w:rPr>
          <w:sz w:val="20"/>
        </w:rPr>
        <w:t>a</w:t>
      </w:r>
      <w:r>
        <w:rPr>
          <w:spacing w:val="-18"/>
          <w:sz w:val="20"/>
        </w:rPr>
        <w:t> </w:t>
      </w:r>
      <w:r>
        <w:rPr>
          <w:sz w:val="20"/>
        </w:rPr>
        <w:t>segmented basis (subject to the constraints outlined in the third step below). Such optionality could however substantially increase the number of MNE groups that could compute the Amount A tax base on a segmented basis, including potentially situations where the costs of this segmentation process would largely outweigh the tax revenue at</w:t>
      </w:r>
      <w:r>
        <w:rPr>
          <w:spacing w:val="-5"/>
          <w:sz w:val="20"/>
        </w:rPr>
        <w:t> </w:t>
      </w:r>
      <w:r>
        <w:rPr>
          <w:sz w:val="20"/>
        </w:rPr>
        <w:t>stake.</w:t>
      </w:r>
    </w:p>
    <w:p>
      <w:pPr>
        <w:pStyle w:val="ListParagraph"/>
        <w:numPr>
          <w:ilvl w:val="0"/>
          <w:numId w:val="13"/>
        </w:numPr>
        <w:tabs>
          <w:tab w:pos="1444" w:val="left" w:leader="none"/>
        </w:tabs>
        <w:spacing w:line="271" w:lineRule="auto" w:before="120" w:after="0"/>
        <w:ind w:left="723" w:right="482" w:firstLine="0"/>
        <w:jc w:val="both"/>
        <w:rPr>
          <w:sz w:val="20"/>
        </w:rPr>
      </w:pPr>
      <w:bookmarkStart w:name="_bookmark33" w:id="230"/>
      <w:bookmarkEnd w:id="230"/>
      <w:r>
        <w:rPr/>
      </w:r>
      <w:bookmarkStart w:name="_bookmark33" w:id="231"/>
      <w:bookmarkEnd w:id="231"/>
      <w:r>
        <w:rPr>
          <w:sz w:val="20"/>
        </w:rPr>
        <w:t>T</w:t>
      </w:r>
      <w:r>
        <w:rPr>
          <w:sz w:val="20"/>
        </w:rPr>
        <w:t>he</w:t>
      </w:r>
      <w:r>
        <w:rPr>
          <w:spacing w:val="-18"/>
          <w:sz w:val="20"/>
        </w:rPr>
        <w:t> </w:t>
      </w:r>
      <w:r>
        <w:rPr>
          <w:sz w:val="20"/>
        </w:rPr>
        <w:t>Inclusive</w:t>
      </w:r>
      <w:r>
        <w:rPr>
          <w:spacing w:val="-17"/>
          <w:sz w:val="20"/>
        </w:rPr>
        <w:t> </w:t>
      </w:r>
      <w:r>
        <w:rPr>
          <w:sz w:val="20"/>
        </w:rPr>
        <w:t>Framework</w:t>
      </w:r>
      <w:r>
        <w:rPr>
          <w:spacing w:val="-13"/>
          <w:sz w:val="20"/>
        </w:rPr>
        <w:t> </w:t>
      </w:r>
      <w:r>
        <w:rPr>
          <w:sz w:val="20"/>
        </w:rPr>
        <w:t>will</w:t>
      </w:r>
      <w:r>
        <w:rPr>
          <w:spacing w:val="-18"/>
          <w:sz w:val="20"/>
        </w:rPr>
        <w:t> </w:t>
      </w:r>
      <w:r>
        <w:rPr>
          <w:sz w:val="20"/>
        </w:rPr>
        <w:t>consider</w:t>
      </w:r>
      <w:r>
        <w:rPr>
          <w:spacing w:val="-15"/>
          <w:sz w:val="20"/>
        </w:rPr>
        <w:t> </w:t>
      </w:r>
      <w:r>
        <w:rPr>
          <w:sz w:val="20"/>
        </w:rPr>
        <w:t>the</w:t>
      </w:r>
      <w:r>
        <w:rPr>
          <w:spacing w:val="-18"/>
          <w:sz w:val="20"/>
        </w:rPr>
        <w:t> </w:t>
      </w:r>
      <w:r>
        <w:rPr>
          <w:sz w:val="20"/>
        </w:rPr>
        <w:t>development</w:t>
      </w:r>
      <w:r>
        <w:rPr>
          <w:spacing w:val="-17"/>
          <w:sz w:val="20"/>
        </w:rPr>
        <w:t> </w:t>
      </w:r>
      <w:r>
        <w:rPr>
          <w:sz w:val="20"/>
        </w:rPr>
        <w:t>of</w:t>
      </w:r>
      <w:r>
        <w:rPr>
          <w:spacing w:val="-15"/>
          <w:sz w:val="20"/>
        </w:rPr>
        <w:t> </w:t>
      </w:r>
      <w:r>
        <w:rPr>
          <w:sz w:val="20"/>
        </w:rPr>
        <w:t>exceptions</w:t>
      </w:r>
      <w:r>
        <w:rPr>
          <w:spacing w:val="-16"/>
          <w:sz w:val="20"/>
        </w:rPr>
        <w:t> </w:t>
      </w:r>
      <w:r>
        <w:rPr>
          <w:sz w:val="20"/>
        </w:rPr>
        <w:t>or</w:t>
      </w:r>
      <w:r>
        <w:rPr>
          <w:spacing w:val="-10"/>
          <w:sz w:val="20"/>
        </w:rPr>
        <w:t> </w:t>
      </w:r>
      <w:r>
        <w:rPr>
          <w:sz w:val="20"/>
        </w:rPr>
        <w:t>safeguards</w:t>
      </w:r>
      <w:r>
        <w:rPr>
          <w:spacing w:val="-13"/>
          <w:sz w:val="20"/>
        </w:rPr>
        <w:t> </w:t>
      </w:r>
      <w:r>
        <w:rPr>
          <w:sz w:val="20"/>
        </w:rPr>
        <w:t>to</w:t>
      </w:r>
      <w:r>
        <w:rPr>
          <w:spacing w:val="-17"/>
          <w:sz w:val="20"/>
        </w:rPr>
        <w:t> </w:t>
      </w:r>
      <w:r>
        <w:rPr>
          <w:sz w:val="20"/>
        </w:rPr>
        <w:t>limit</w:t>
      </w:r>
      <w:r>
        <w:rPr>
          <w:spacing w:val="-17"/>
          <w:sz w:val="20"/>
        </w:rPr>
        <w:t> </w:t>
      </w:r>
      <w:r>
        <w:rPr>
          <w:sz w:val="20"/>
        </w:rPr>
        <w:t>access to the segmentation exemption or safe harbour in certain circumstances. For example, this could include excluding groups that have out-of-scope revenue in excess of [x%] of total revenue and a group profit margin below the agreed profitability threshold or where a group below the threshold has two disclosed operating segments, one that falls within scope of Amount A and one that falls</w:t>
      </w:r>
      <w:r>
        <w:rPr>
          <w:spacing w:val="-16"/>
          <w:sz w:val="20"/>
        </w:rPr>
        <w:t> </w:t>
      </w:r>
      <w:r>
        <w:rPr>
          <w:sz w:val="20"/>
        </w:rPr>
        <w:t>out-of-scope.</w:t>
      </w:r>
    </w:p>
    <w:p>
      <w:pPr>
        <w:pStyle w:val="BodyText"/>
        <w:spacing w:before="7"/>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3.4. Step three: Determining the relev" w:id="232"/>
      <w:bookmarkEnd w:id="232"/>
      <w:r>
        <w:rPr>
          <w:b w:val="0"/>
          <w:i w:val="0"/>
        </w:rPr>
      </w:r>
      <w:bookmarkStart w:name="5.3.4. Step three: Determining the relev" w:id="233"/>
      <w:bookmarkEnd w:id="233"/>
      <w:r>
        <w:rPr>
          <w:i/>
        </w:rPr>
        <w:t>S</w:t>
      </w:r>
      <w:r>
        <w:rPr>
          <w:i/>
        </w:rPr>
        <w:t>tep three: Determining the relevant PBT measure on a segmented</w:t>
      </w:r>
      <w:r>
        <w:rPr>
          <w:i/>
          <w:spacing w:val="-20"/>
        </w:rPr>
        <w:t> </w:t>
      </w:r>
      <w:r>
        <w:rPr>
          <w:i/>
        </w:rPr>
        <w:t>basis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Businesses</w:t>
      </w:r>
      <w:r>
        <w:rPr>
          <w:spacing w:val="-8"/>
          <w:sz w:val="20"/>
        </w:rPr>
        <w:t> </w:t>
      </w:r>
      <w:r>
        <w:rPr>
          <w:sz w:val="20"/>
        </w:rPr>
        <w:t>that</w:t>
      </w:r>
      <w:r>
        <w:rPr>
          <w:spacing w:val="-9"/>
          <w:sz w:val="20"/>
        </w:rPr>
        <w:t> </w:t>
      </w:r>
      <w:r>
        <w:rPr>
          <w:sz w:val="20"/>
        </w:rPr>
        <w:t>are</w:t>
      </w:r>
      <w:r>
        <w:rPr>
          <w:spacing w:val="-7"/>
          <w:sz w:val="20"/>
        </w:rPr>
        <w:t> </w:t>
      </w:r>
      <w:r>
        <w:rPr>
          <w:sz w:val="20"/>
        </w:rPr>
        <w:t>not</w:t>
      </w:r>
      <w:r>
        <w:rPr>
          <w:spacing w:val="-8"/>
          <w:sz w:val="20"/>
        </w:rPr>
        <w:t> </w:t>
      </w:r>
      <w:r>
        <w:rPr>
          <w:sz w:val="20"/>
        </w:rPr>
        <w:t>eligible</w:t>
      </w:r>
      <w:r>
        <w:rPr>
          <w:spacing w:val="-9"/>
          <w:sz w:val="20"/>
        </w:rPr>
        <w:t> </w:t>
      </w:r>
      <w:r>
        <w:rPr>
          <w:sz w:val="20"/>
        </w:rPr>
        <w:t>for</w:t>
      </w:r>
      <w:r>
        <w:rPr>
          <w:spacing w:val="-8"/>
          <w:sz w:val="20"/>
        </w:rPr>
        <w:t> </w:t>
      </w:r>
      <w:r>
        <w:rPr>
          <w:sz w:val="20"/>
        </w:rPr>
        <w:t>the</w:t>
      </w:r>
      <w:r>
        <w:rPr>
          <w:spacing w:val="-9"/>
          <w:sz w:val="20"/>
        </w:rPr>
        <w:t> </w:t>
      </w:r>
      <w:r>
        <w:rPr>
          <w:sz w:val="20"/>
        </w:rPr>
        <w:t>segmentation</w:t>
      </w:r>
      <w:r>
        <w:rPr>
          <w:spacing w:val="-7"/>
          <w:sz w:val="20"/>
        </w:rPr>
        <w:t> </w:t>
      </w:r>
      <w:r>
        <w:rPr>
          <w:sz w:val="20"/>
        </w:rPr>
        <w:t>exemption</w:t>
      </w:r>
      <w:r>
        <w:rPr>
          <w:spacing w:val="-5"/>
          <w:sz w:val="20"/>
        </w:rPr>
        <w:t> </w:t>
      </w:r>
      <w:r>
        <w:rPr>
          <w:sz w:val="20"/>
        </w:rPr>
        <w:t>or</w:t>
      </w:r>
      <w:r>
        <w:rPr>
          <w:spacing w:val="-8"/>
          <w:sz w:val="20"/>
        </w:rPr>
        <w:t> </w:t>
      </w:r>
      <w:r>
        <w:rPr>
          <w:sz w:val="20"/>
        </w:rPr>
        <w:t>safe</w:t>
      </w:r>
      <w:r>
        <w:rPr>
          <w:spacing w:val="-7"/>
          <w:sz w:val="20"/>
        </w:rPr>
        <w:t> </w:t>
      </w:r>
      <w:r>
        <w:rPr>
          <w:sz w:val="20"/>
        </w:rPr>
        <w:t>harbour</w:t>
      </w:r>
      <w:r>
        <w:rPr>
          <w:spacing w:val="-6"/>
          <w:sz w:val="20"/>
        </w:rPr>
        <w:t> </w:t>
      </w:r>
      <w:r>
        <w:rPr>
          <w:sz w:val="20"/>
        </w:rPr>
        <w:t>(under</w:t>
      </w:r>
      <w:r>
        <w:rPr>
          <w:spacing w:val="-8"/>
          <w:sz w:val="20"/>
        </w:rPr>
        <w:t> </w:t>
      </w:r>
      <w:r>
        <w:rPr>
          <w:sz w:val="20"/>
        </w:rPr>
        <w:t>Step</w:t>
      </w:r>
      <w:r>
        <w:rPr>
          <w:spacing w:val="-7"/>
          <w:sz w:val="20"/>
        </w:rPr>
        <w:t> </w:t>
      </w:r>
      <w:r>
        <w:rPr>
          <w:sz w:val="20"/>
        </w:rPr>
        <w:t>Two) may be required to compute the Amount A tax base on a segmented basis, though it is recognised that this will not be appropriate in all instances. Step Three will determine whether a taxpayer is required to compute the Amount A tax base on a segmented basis, and, where it is, define the relevant segments for which the relevant measure of profit or loss will be computed</w:t>
      </w:r>
      <w:r>
        <w:rPr>
          <w:spacing w:val="-14"/>
          <w:sz w:val="20"/>
        </w:rPr>
        <w:t> </w:t>
      </w:r>
      <w:r>
        <w:rPr>
          <w:sz w:val="20"/>
        </w:rPr>
        <w:t>separately.</w:t>
      </w:r>
    </w:p>
    <w:p>
      <w:pPr>
        <w:pStyle w:val="BodyText"/>
        <w:spacing w:before="2"/>
      </w:pPr>
    </w:p>
    <w:p>
      <w:pPr>
        <w:pStyle w:val="Heading7"/>
        <w:rPr>
          <w:i/>
        </w:rPr>
      </w:pPr>
      <w:bookmarkStart w:name="Step 3(a): Testing whether segmentation " w:id="234"/>
      <w:bookmarkEnd w:id="234"/>
      <w:r>
        <w:rPr>
          <w:i w:val="0"/>
        </w:rPr>
      </w:r>
      <w:r>
        <w:rPr>
          <w:i/>
          <w:color w:val="616161"/>
        </w:rPr>
        <w:t>Step 3(a): Testing whether segmentation is required</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It is expected that in most instances, it will be appropriate for a group that is required to segment its Amount A tax base to do so based on the operating segments it discloses for financial reporting purposes (see below). However, it is also recognised that the objectives of segmentation for financial reporting purposes differ from the objectives of applying Amount A on a segmented basis. In a financial reporting context, segmentation should enable the users of financial statements to better understand a group’s business. In contrast, segmentation for Amount A purposes should ensure the new taxing right delivers acceptable outcomes and ensures a level playing field for businesses in comparable circumstances. In addition, concerns have been raised that applying Amount A to disclosed operating segments could allow groups to influence or alter the application of Amount A by changing the way information is communicated to the chief operating decision maker, which under IFRS and US GAAP determines how segments should be</w:t>
      </w:r>
      <w:r>
        <w:rPr>
          <w:spacing w:val="-5"/>
          <w:sz w:val="20"/>
        </w:rPr>
        <w:t> </w:t>
      </w:r>
      <w:r>
        <w:rPr>
          <w:sz w:val="20"/>
        </w:rPr>
        <w:t>disclosed.</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Consequently, specific tests are being developed to determine if a group is required to compute its Amount A tax base on a segmented basis, or whether it would be more appropriate to compute its tax base on group basis. These tests will establish an objective and standardised definition of a segment for the purposes of Amount A based on “segmentation hallmarks”. Under one possible approach, this definition of a segment could be based on International Accounting Standard (IAS) 14, which preceded IFRS</w:t>
      </w:r>
      <w:r>
        <w:rPr>
          <w:spacing w:val="-6"/>
          <w:sz w:val="20"/>
        </w:rPr>
        <w:t> </w:t>
      </w:r>
      <w:r>
        <w:rPr>
          <w:sz w:val="20"/>
        </w:rPr>
        <w:t>8.</w:t>
      </w:r>
      <w:r>
        <w:rPr>
          <w:sz w:val="20"/>
          <w:vertAlign w:val="superscript"/>
        </w:rPr>
        <w:t>79</w:t>
      </w:r>
      <w:r>
        <w:rPr>
          <w:spacing w:val="-8"/>
          <w:sz w:val="20"/>
          <w:vertAlign w:val="baseline"/>
        </w:rPr>
        <w:t> </w:t>
      </w:r>
      <w:r>
        <w:rPr>
          <w:sz w:val="20"/>
          <w:vertAlign w:val="baseline"/>
        </w:rPr>
        <w:t>This</w:t>
      </w:r>
      <w:r>
        <w:rPr>
          <w:spacing w:val="-7"/>
          <w:sz w:val="20"/>
          <w:vertAlign w:val="baseline"/>
        </w:rPr>
        <w:t> </w:t>
      </w:r>
      <w:r>
        <w:rPr>
          <w:sz w:val="20"/>
          <w:vertAlign w:val="baseline"/>
        </w:rPr>
        <w:t>previous</w:t>
      </w:r>
      <w:r>
        <w:rPr>
          <w:spacing w:val="-7"/>
          <w:sz w:val="20"/>
          <w:vertAlign w:val="baseline"/>
        </w:rPr>
        <w:t> </w:t>
      </w:r>
      <w:r>
        <w:rPr>
          <w:sz w:val="20"/>
          <w:vertAlign w:val="baseline"/>
        </w:rPr>
        <w:t>accounting</w:t>
      </w:r>
      <w:r>
        <w:rPr>
          <w:spacing w:val="-6"/>
          <w:sz w:val="20"/>
          <w:vertAlign w:val="baseline"/>
        </w:rPr>
        <w:t> </w:t>
      </w:r>
      <w:r>
        <w:rPr>
          <w:sz w:val="20"/>
          <w:vertAlign w:val="baseline"/>
        </w:rPr>
        <w:t>standard</w:t>
      </w:r>
      <w:r>
        <w:rPr>
          <w:spacing w:val="-5"/>
          <w:sz w:val="20"/>
          <w:vertAlign w:val="baseline"/>
        </w:rPr>
        <w:t> </w:t>
      </w:r>
      <w:r>
        <w:rPr>
          <w:sz w:val="20"/>
          <w:vertAlign w:val="baseline"/>
        </w:rPr>
        <w:t>provides</w:t>
      </w:r>
      <w:r>
        <w:rPr>
          <w:spacing w:val="-7"/>
          <w:sz w:val="20"/>
          <w:vertAlign w:val="baseline"/>
        </w:rPr>
        <w:t> </w:t>
      </w:r>
      <w:r>
        <w:rPr>
          <w:sz w:val="20"/>
          <w:vertAlign w:val="baseline"/>
        </w:rPr>
        <w:t>a</w:t>
      </w:r>
      <w:r>
        <w:rPr>
          <w:spacing w:val="-4"/>
          <w:sz w:val="20"/>
          <w:vertAlign w:val="baseline"/>
        </w:rPr>
        <w:t> </w:t>
      </w:r>
      <w:r>
        <w:rPr>
          <w:sz w:val="20"/>
          <w:vertAlign w:val="baseline"/>
        </w:rPr>
        <w:t>useful</w:t>
      </w:r>
      <w:r>
        <w:rPr>
          <w:spacing w:val="-4"/>
          <w:sz w:val="20"/>
          <w:vertAlign w:val="baseline"/>
        </w:rPr>
        <w:t> </w:t>
      </w:r>
      <w:r>
        <w:rPr>
          <w:sz w:val="20"/>
          <w:vertAlign w:val="baseline"/>
        </w:rPr>
        <w:t>starting</w:t>
      </w:r>
      <w:r>
        <w:rPr>
          <w:spacing w:val="-6"/>
          <w:sz w:val="20"/>
          <w:vertAlign w:val="baseline"/>
        </w:rPr>
        <w:t> </w:t>
      </w:r>
      <w:r>
        <w:rPr>
          <w:sz w:val="20"/>
          <w:vertAlign w:val="baseline"/>
        </w:rPr>
        <w:t>point</w:t>
      </w:r>
      <w:r>
        <w:rPr>
          <w:spacing w:val="-6"/>
          <w:sz w:val="20"/>
          <w:vertAlign w:val="baseline"/>
        </w:rPr>
        <w:t> </w:t>
      </w:r>
      <w:r>
        <w:rPr>
          <w:sz w:val="20"/>
          <w:vertAlign w:val="baseline"/>
        </w:rPr>
        <w:t>for</w:t>
      </w:r>
      <w:r>
        <w:rPr>
          <w:spacing w:val="-6"/>
          <w:sz w:val="20"/>
          <w:vertAlign w:val="baseline"/>
        </w:rPr>
        <w:t> </w:t>
      </w:r>
      <w:r>
        <w:rPr>
          <w:sz w:val="20"/>
          <w:vertAlign w:val="baseline"/>
        </w:rPr>
        <w:t>defining</w:t>
      </w:r>
      <w:r>
        <w:rPr>
          <w:spacing w:val="-7"/>
          <w:sz w:val="20"/>
          <w:vertAlign w:val="baseline"/>
        </w:rPr>
        <w:t> </w:t>
      </w:r>
      <w:r>
        <w:rPr>
          <w:sz w:val="20"/>
          <w:vertAlign w:val="baseline"/>
        </w:rPr>
        <w:t>a</w:t>
      </w:r>
      <w:r>
        <w:rPr>
          <w:spacing w:val="-6"/>
          <w:sz w:val="20"/>
          <w:vertAlign w:val="baseline"/>
        </w:rPr>
        <w:t> </w:t>
      </w:r>
      <w:r>
        <w:rPr>
          <w:sz w:val="20"/>
          <w:vertAlign w:val="baseline"/>
        </w:rPr>
        <w:t>segment</w:t>
      </w:r>
      <w:r>
        <w:rPr>
          <w:spacing w:val="-8"/>
          <w:sz w:val="20"/>
          <w:vertAlign w:val="baseline"/>
        </w:rPr>
        <w:t> </w:t>
      </w:r>
      <w:r>
        <w:rPr>
          <w:sz w:val="20"/>
          <w:vertAlign w:val="baseline"/>
        </w:rPr>
        <w:t>for</w:t>
      </w:r>
      <w:r>
        <w:rPr>
          <w:spacing w:val="-7"/>
          <w:sz w:val="20"/>
          <w:vertAlign w:val="baseline"/>
        </w:rPr>
        <w:t> </w:t>
      </w:r>
      <w:r>
        <w:rPr>
          <w:sz w:val="20"/>
          <w:vertAlign w:val="baseline"/>
        </w:rPr>
        <w:t>the</w:t>
      </w:r>
    </w:p>
    <w:p>
      <w:pPr>
        <w:pStyle w:val="BodyText"/>
        <w:spacing w:before="9"/>
        <w:rPr>
          <w:sz w:val="16"/>
        </w:rPr>
      </w:pPr>
      <w:r>
        <w:rPr/>
        <w:pict>
          <v:rect style="position:absolute;margin-left:65.183998pt;margin-top:11.599765pt;width:144.020004pt;height:.60004pt;mso-position-horizontal-relative:page;mso-position-vertical-relative:paragraph;z-index:-1566617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3" w:val="left" w:leader="none"/>
        </w:tabs>
        <w:spacing w:line="278" w:lineRule="auto" w:before="94" w:after="0"/>
        <w:ind w:left="723" w:right="481" w:firstLine="0"/>
        <w:jc w:val="both"/>
        <w:rPr>
          <w:sz w:val="18"/>
        </w:rPr>
      </w:pPr>
      <w:r>
        <w:rPr>
          <w:sz w:val="18"/>
        </w:rPr>
        <w:t>An</w:t>
      </w:r>
      <w:r>
        <w:rPr>
          <w:spacing w:val="-6"/>
          <w:sz w:val="18"/>
        </w:rPr>
        <w:t> </w:t>
      </w:r>
      <w:r>
        <w:rPr>
          <w:sz w:val="18"/>
        </w:rPr>
        <w:t>operating</w:t>
      </w:r>
      <w:r>
        <w:rPr>
          <w:spacing w:val="-5"/>
          <w:sz w:val="18"/>
        </w:rPr>
        <w:t> </w:t>
      </w:r>
      <w:r>
        <w:rPr>
          <w:sz w:val="18"/>
        </w:rPr>
        <w:t>segment</w:t>
      </w:r>
      <w:r>
        <w:rPr>
          <w:spacing w:val="-7"/>
          <w:sz w:val="18"/>
        </w:rPr>
        <w:t> </w:t>
      </w:r>
      <w:r>
        <w:rPr>
          <w:sz w:val="18"/>
        </w:rPr>
        <w:t>is</w:t>
      </w:r>
      <w:r>
        <w:rPr>
          <w:spacing w:val="-5"/>
          <w:sz w:val="18"/>
        </w:rPr>
        <w:t> </w:t>
      </w:r>
      <w:r>
        <w:rPr>
          <w:sz w:val="18"/>
        </w:rPr>
        <w:t>defined</w:t>
      </w:r>
      <w:r>
        <w:rPr>
          <w:spacing w:val="-5"/>
          <w:sz w:val="18"/>
        </w:rPr>
        <w:t> </w:t>
      </w:r>
      <w:r>
        <w:rPr>
          <w:sz w:val="18"/>
        </w:rPr>
        <w:t>under</w:t>
      </w:r>
      <w:r>
        <w:rPr>
          <w:spacing w:val="-7"/>
          <w:sz w:val="18"/>
        </w:rPr>
        <w:t> </w:t>
      </w:r>
      <w:r>
        <w:rPr>
          <w:sz w:val="18"/>
        </w:rPr>
        <w:t>IFRS</w:t>
      </w:r>
      <w:r>
        <w:rPr>
          <w:spacing w:val="-6"/>
          <w:sz w:val="18"/>
        </w:rPr>
        <w:t> </w:t>
      </w:r>
      <w:r>
        <w:rPr>
          <w:sz w:val="18"/>
        </w:rPr>
        <w:t>8</w:t>
      </w:r>
      <w:r>
        <w:rPr>
          <w:spacing w:val="-6"/>
          <w:sz w:val="18"/>
        </w:rPr>
        <w:t> </w:t>
      </w:r>
      <w:r>
        <w:rPr>
          <w:sz w:val="18"/>
        </w:rPr>
        <w:t>as</w:t>
      </w:r>
      <w:r>
        <w:rPr>
          <w:spacing w:val="-5"/>
          <w:sz w:val="18"/>
        </w:rPr>
        <w:t> </w:t>
      </w:r>
      <w:r>
        <w:rPr>
          <w:sz w:val="18"/>
        </w:rPr>
        <w:t>the</w:t>
      </w:r>
      <w:r>
        <w:rPr>
          <w:spacing w:val="-5"/>
          <w:sz w:val="18"/>
        </w:rPr>
        <w:t> </w:t>
      </w:r>
      <w:r>
        <w:rPr>
          <w:sz w:val="18"/>
        </w:rPr>
        <w:t>“</w:t>
      </w:r>
      <w:r>
        <w:rPr>
          <w:i/>
          <w:sz w:val="18"/>
        </w:rPr>
        <w:t>component</w:t>
      </w:r>
      <w:r>
        <w:rPr>
          <w:i/>
          <w:spacing w:val="-7"/>
          <w:sz w:val="18"/>
        </w:rPr>
        <w:t> </w:t>
      </w:r>
      <w:r>
        <w:rPr>
          <w:i/>
          <w:sz w:val="18"/>
        </w:rPr>
        <w:t>of</w:t>
      </w:r>
      <w:r>
        <w:rPr>
          <w:i/>
          <w:spacing w:val="-6"/>
          <w:sz w:val="18"/>
        </w:rPr>
        <w:t> </w:t>
      </w:r>
      <w:r>
        <w:rPr>
          <w:i/>
          <w:sz w:val="18"/>
        </w:rPr>
        <w:t>an</w:t>
      </w:r>
      <w:r>
        <w:rPr>
          <w:i/>
          <w:spacing w:val="-6"/>
          <w:sz w:val="18"/>
        </w:rPr>
        <w:t> </w:t>
      </w:r>
      <w:r>
        <w:rPr>
          <w:i/>
          <w:sz w:val="18"/>
        </w:rPr>
        <w:t>entity</w:t>
      </w:r>
      <w:r>
        <w:rPr>
          <w:i/>
          <w:spacing w:val="-4"/>
          <w:sz w:val="18"/>
        </w:rPr>
        <w:t> </w:t>
      </w:r>
      <w:r>
        <w:rPr>
          <w:i/>
          <w:sz w:val="18"/>
        </w:rPr>
        <w:t>a)</w:t>
      </w:r>
      <w:r>
        <w:rPr>
          <w:i/>
          <w:spacing w:val="-6"/>
          <w:sz w:val="18"/>
        </w:rPr>
        <w:t> </w:t>
      </w:r>
      <w:r>
        <w:rPr>
          <w:i/>
          <w:sz w:val="18"/>
        </w:rPr>
        <w:t>that</w:t>
      </w:r>
      <w:r>
        <w:rPr>
          <w:i/>
          <w:spacing w:val="-7"/>
          <w:sz w:val="18"/>
        </w:rPr>
        <w:t> </w:t>
      </w:r>
      <w:r>
        <w:rPr>
          <w:i/>
          <w:sz w:val="18"/>
        </w:rPr>
        <w:t>engages</w:t>
      </w:r>
      <w:r>
        <w:rPr>
          <w:i/>
          <w:spacing w:val="-5"/>
          <w:sz w:val="18"/>
        </w:rPr>
        <w:t> </w:t>
      </w:r>
      <w:r>
        <w:rPr>
          <w:i/>
          <w:sz w:val="18"/>
        </w:rPr>
        <w:t>in</w:t>
      </w:r>
      <w:r>
        <w:rPr>
          <w:i/>
          <w:spacing w:val="-6"/>
          <w:sz w:val="18"/>
        </w:rPr>
        <w:t> </w:t>
      </w:r>
      <w:r>
        <w:rPr>
          <w:i/>
          <w:sz w:val="18"/>
        </w:rPr>
        <w:t>business</w:t>
      </w:r>
      <w:r>
        <w:rPr>
          <w:i/>
          <w:spacing w:val="-5"/>
          <w:sz w:val="18"/>
        </w:rPr>
        <w:t> </w:t>
      </w:r>
      <w:r>
        <w:rPr>
          <w:i/>
          <w:sz w:val="18"/>
        </w:rPr>
        <w:t>activities </w:t>
      </w:r>
      <w:r>
        <w:rPr>
          <w:i/>
          <w:sz w:val="18"/>
        </w:rPr>
        <w:t>from which it may earn revenues and incur expenses (including revenues and expenses relating to transactions with other</w:t>
      </w:r>
      <w:r>
        <w:rPr>
          <w:i/>
          <w:spacing w:val="-10"/>
          <w:sz w:val="18"/>
        </w:rPr>
        <w:t> </w:t>
      </w:r>
      <w:r>
        <w:rPr>
          <w:i/>
          <w:sz w:val="18"/>
        </w:rPr>
        <w:t>components</w:t>
      </w:r>
      <w:r>
        <w:rPr>
          <w:i/>
          <w:spacing w:val="-6"/>
          <w:sz w:val="18"/>
        </w:rPr>
        <w:t> </w:t>
      </w:r>
      <w:r>
        <w:rPr>
          <w:i/>
          <w:sz w:val="18"/>
        </w:rPr>
        <w:t>of</w:t>
      </w:r>
      <w:r>
        <w:rPr>
          <w:i/>
          <w:spacing w:val="-10"/>
          <w:sz w:val="18"/>
        </w:rPr>
        <w:t> </w:t>
      </w:r>
      <w:r>
        <w:rPr>
          <w:i/>
          <w:sz w:val="18"/>
        </w:rPr>
        <w:t>the</w:t>
      </w:r>
      <w:r>
        <w:rPr>
          <w:i/>
          <w:spacing w:val="-9"/>
          <w:sz w:val="18"/>
        </w:rPr>
        <w:t> </w:t>
      </w:r>
      <w:r>
        <w:rPr>
          <w:i/>
          <w:sz w:val="18"/>
        </w:rPr>
        <w:t>same</w:t>
      </w:r>
      <w:r>
        <w:rPr>
          <w:i/>
          <w:spacing w:val="-10"/>
          <w:sz w:val="18"/>
        </w:rPr>
        <w:t> </w:t>
      </w:r>
      <w:r>
        <w:rPr>
          <w:i/>
          <w:sz w:val="18"/>
        </w:rPr>
        <w:t>entity),</w:t>
      </w:r>
      <w:r>
        <w:rPr>
          <w:i/>
          <w:spacing w:val="-6"/>
          <w:sz w:val="18"/>
        </w:rPr>
        <w:t> </w:t>
      </w:r>
      <w:r>
        <w:rPr>
          <w:i/>
          <w:sz w:val="18"/>
        </w:rPr>
        <w:t>b)</w:t>
      </w:r>
      <w:r>
        <w:rPr>
          <w:i/>
          <w:spacing w:val="-8"/>
          <w:sz w:val="18"/>
        </w:rPr>
        <w:t> </w:t>
      </w:r>
      <w:r>
        <w:rPr>
          <w:i/>
          <w:sz w:val="18"/>
        </w:rPr>
        <w:t>whose</w:t>
      </w:r>
      <w:r>
        <w:rPr>
          <w:i/>
          <w:spacing w:val="-9"/>
          <w:sz w:val="18"/>
        </w:rPr>
        <w:t> </w:t>
      </w:r>
      <w:r>
        <w:rPr>
          <w:i/>
          <w:sz w:val="18"/>
        </w:rPr>
        <w:t>operating</w:t>
      </w:r>
      <w:r>
        <w:rPr>
          <w:i/>
          <w:spacing w:val="-6"/>
          <w:sz w:val="18"/>
        </w:rPr>
        <w:t> </w:t>
      </w:r>
      <w:r>
        <w:rPr>
          <w:i/>
          <w:sz w:val="18"/>
        </w:rPr>
        <w:t>results</w:t>
      </w:r>
      <w:r>
        <w:rPr>
          <w:i/>
          <w:spacing w:val="-9"/>
          <w:sz w:val="18"/>
        </w:rPr>
        <w:t> </w:t>
      </w:r>
      <w:r>
        <w:rPr>
          <w:i/>
          <w:sz w:val="18"/>
        </w:rPr>
        <w:t>are</w:t>
      </w:r>
      <w:r>
        <w:rPr>
          <w:i/>
          <w:spacing w:val="-6"/>
          <w:sz w:val="18"/>
        </w:rPr>
        <w:t> </w:t>
      </w:r>
      <w:r>
        <w:rPr>
          <w:i/>
          <w:sz w:val="18"/>
        </w:rPr>
        <w:t>regularly</w:t>
      </w:r>
      <w:r>
        <w:rPr>
          <w:i/>
          <w:spacing w:val="-7"/>
          <w:sz w:val="18"/>
        </w:rPr>
        <w:t> </w:t>
      </w:r>
      <w:r>
        <w:rPr>
          <w:i/>
          <w:sz w:val="18"/>
        </w:rPr>
        <w:t>reviewed</w:t>
      </w:r>
      <w:r>
        <w:rPr>
          <w:i/>
          <w:spacing w:val="-8"/>
          <w:sz w:val="18"/>
        </w:rPr>
        <w:t> </w:t>
      </w:r>
      <w:r>
        <w:rPr>
          <w:i/>
          <w:sz w:val="18"/>
        </w:rPr>
        <w:t>by</w:t>
      </w:r>
      <w:r>
        <w:rPr>
          <w:i/>
          <w:spacing w:val="-7"/>
          <w:sz w:val="18"/>
        </w:rPr>
        <w:t> </w:t>
      </w:r>
      <w:r>
        <w:rPr>
          <w:i/>
          <w:sz w:val="18"/>
        </w:rPr>
        <w:t>the</w:t>
      </w:r>
      <w:r>
        <w:rPr>
          <w:i/>
          <w:spacing w:val="-6"/>
          <w:sz w:val="18"/>
        </w:rPr>
        <w:t> </w:t>
      </w:r>
      <w:r>
        <w:rPr>
          <w:i/>
          <w:sz w:val="18"/>
        </w:rPr>
        <w:t>entity’s</w:t>
      </w:r>
      <w:r>
        <w:rPr>
          <w:i/>
          <w:spacing w:val="-7"/>
          <w:sz w:val="18"/>
        </w:rPr>
        <w:t> </w:t>
      </w:r>
      <w:r>
        <w:rPr>
          <w:i/>
          <w:sz w:val="18"/>
        </w:rPr>
        <w:t>chief</w:t>
      </w:r>
      <w:r>
        <w:rPr>
          <w:i/>
          <w:spacing w:val="-9"/>
          <w:sz w:val="18"/>
        </w:rPr>
        <w:t> </w:t>
      </w:r>
      <w:r>
        <w:rPr>
          <w:i/>
          <w:sz w:val="18"/>
        </w:rPr>
        <w:t>operating decision maker to make decisions about resources to be allocated to the segment and assess its performance, and for</w:t>
      </w:r>
      <w:r>
        <w:rPr>
          <w:i/>
          <w:spacing w:val="-9"/>
          <w:sz w:val="18"/>
        </w:rPr>
        <w:t> </w:t>
      </w:r>
      <w:r>
        <w:rPr>
          <w:i/>
          <w:sz w:val="18"/>
        </w:rPr>
        <w:t>which</w:t>
      </w:r>
      <w:r>
        <w:rPr>
          <w:i/>
          <w:spacing w:val="-7"/>
          <w:sz w:val="18"/>
        </w:rPr>
        <w:t> </w:t>
      </w:r>
      <w:r>
        <w:rPr>
          <w:i/>
          <w:sz w:val="18"/>
        </w:rPr>
        <w:t>discrete</w:t>
      </w:r>
      <w:r>
        <w:rPr>
          <w:i/>
          <w:spacing w:val="-7"/>
          <w:sz w:val="18"/>
        </w:rPr>
        <w:t> </w:t>
      </w:r>
      <w:r>
        <w:rPr>
          <w:i/>
          <w:sz w:val="18"/>
        </w:rPr>
        <w:t>financial</w:t>
      </w:r>
      <w:r>
        <w:rPr>
          <w:i/>
          <w:spacing w:val="-7"/>
          <w:sz w:val="18"/>
        </w:rPr>
        <w:t> </w:t>
      </w:r>
      <w:r>
        <w:rPr>
          <w:i/>
          <w:sz w:val="18"/>
        </w:rPr>
        <w:t>information</w:t>
      </w:r>
      <w:r>
        <w:rPr>
          <w:i/>
          <w:spacing w:val="-7"/>
          <w:sz w:val="18"/>
        </w:rPr>
        <w:t> </w:t>
      </w:r>
      <w:r>
        <w:rPr>
          <w:i/>
          <w:sz w:val="18"/>
        </w:rPr>
        <w:t>is</w:t>
      </w:r>
      <w:r>
        <w:rPr>
          <w:i/>
          <w:spacing w:val="-8"/>
          <w:sz w:val="18"/>
        </w:rPr>
        <w:t> </w:t>
      </w:r>
      <w:r>
        <w:rPr>
          <w:i/>
          <w:sz w:val="18"/>
        </w:rPr>
        <w:t>available</w:t>
      </w:r>
      <w:r>
        <w:rPr>
          <w:sz w:val="18"/>
        </w:rPr>
        <w:t>.”</w:t>
      </w:r>
      <w:r>
        <w:rPr>
          <w:spacing w:val="-7"/>
          <w:sz w:val="18"/>
        </w:rPr>
        <w:t> </w:t>
      </w:r>
      <w:r>
        <w:rPr>
          <w:sz w:val="18"/>
        </w:rPr>
        <w:t>International</w:t>
      </w:r>
      <w:r>
        <w:rPr>
          <w:spacing w:val="-7"/>
          <w:sz w:val="18"/>
        </w:rPr>
        <w:t> </w:t>
      </w:r>
      <w:r>
        <w:rPr>
          <w:sz w:val="18"/>
        </w:rPr>
        <w:t>Accounting</w:t>
      </w:r>
      <w:r>
        <w:rPr>
          <w:spacing w:val="-7"/>
          <w:sz w:val="18"/>
        </w:rPr>
        <w:t> </w:t>
      </w:r>
      <w:r>
        <w:rPr>
          <w:sz w:val="18"/>
        </w:rPr>
        <w:t>Standards</w:t>
      </w:r>
      <w:r>
        <w:rPr>
          <w:spacing w:val="-7"/>
          <w:sz w:val="18"/>
        </w:rPr>
        <w:t> </w:t>
      </w:r>
      <w:r>
        <w:rPr>
          <w:sz w:val="18"/>
        </w:rPr>
        <w:t>Board,</w:t>
      </w:r>
      <w:r>
        <w:rPr>
          <w:spacing w:val="-5"/>
          <w:sz w:val="18"/>
        </w:rPr>
        <w:t> </w:t>
      </w:r>
      <w:r>
        <w:rPr>
          <w:i/>
          <w:sz w:val="18"/>
        </w:rPr>
        <w:t>International</w:t>
      </w:r>
      <w:r>
        <w:rPr>
          <w:i/>
          <w:spacing w:val="-7"/>
          <w:sz w:val="18"/>
        </w:rPr>
        <w:t> </w:t>
      </w:r>
      <w:r>
        <w:rPr>
          <w:i/>
          <w:sz w:val="18"/>
        </w:rPr>
        <w:t>Financial </w:t>
      </w:r>
      <w:r>
        <w:rPr>
          <w:i/>
          <w:sz w:val="18"/>
        </w:rPr>
        <w:t>Reporting Standard 8: Operating Segments</w:t>
      </w:r>
      <w:r>
        <w:rPr>
          <w:sz w:val="18"/>
        </w:rPr>
        <w:t>, paragraph</w:t>
      </w:r>
      <w:r>
        <w:rPr>
          <w:spacing w:val="-5"/>
          <w:sz w:val="18"/>
        </w:rPr>
        <w:t> </w:t>
      </w:r>
      <w:r>
        <w:rPr>
          <w:sz w:val="18"/>
        </w:rPr>
        <w:t>5.</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before="93"/>
        <w:ind w:left="723"/>
      </w:pPr>
      <w:r>
        <w:rPr/>
        <w:t>purposes of Amount A, as it is based on the nature of a group’s business, rather than the basis on which</w:t>
      </w:r>
    </w:p>
    <w:p>
      <w:pPr>
        <w:pStyle w:val="BodyText"/>
        <w:spacing w:before="29"/>
        <w:ind w:left="723"/>
      </w:pPr>
      <w:r>
        <w:rPr/>
        <w:t>the chief operating decision maker reviews a business.</w:t>
      </w:r>
    </w:p>
    <w:p>
      <w:pPr>
        <w:pStyle w:val="ListParagraph"/>
        <w:numPr>
          <w:ilvl w:val="0"/>
          <w:numId w:val="13"/>
        </w:numPr>
        <w:tabs>
          <w:tab w:pos="1444" w:val="left" w:leader="none"/>
        </w:tabs>
        <w:spacing w:line="271" w:lineRule="auto" w:before="147" w:after="0"/>
        <w:ind w:left="723" w:right="491" w:firstLine="0"/>
        <w:jc w:val="both"/>
        <w:rPr>
          <w:i/>
          <w:sz w:val="20"/>
        </w:rPr>
      </w:pPr>
      <w:r>
        <w:rPr>
          <w:sz w:val="20"/>
        </w:rPr>
        <w:t>IAS 14 defines a business segment as </w:t>
      </w:r>
      <w:r>
        <w:rPr>
          <w:spacing w:val="2"/>
          <w:sz w:val="20"/>
        </w:rPr>
        <w:t>“</w:t>
      </w:r>
      <w:r>
        <w:rPr>
          <w:i/>
          <w:spacing w:val="2"/>
          <w:sz w:val="20"/>
        </w:rPr>
        <w:t>a </w:t>
      </w:r>
      <w:r>
        <w:rPr>
          <w:i/>
          <w:sz w:val="20"/>
        </w:rPr>
        <w:t>distinguishable component of an entity that is engaged </w:t>
      </w:r>
      <w:r>
        <w:rPr>
          <w:i/>
          <w:sz w:val="20"/>
        </w:rPr>
        <w:t>in providing an individual product or service or a group of related products or services and that is subject to risks and returns that are different from those of other business segments. Factors that shall be considered in determining whether products and services are related</w:t>
      </w:r>
      <w:r>
        <w:rPr>
          <w:i/>
          <w:spacing w:val="-9"/>
          <w:sz w:val="20"/>
        </w:rPr>
        <w:t> </w:t>
      </w:r>
      <w:r>
        <w:rPr>
          <w:i/>
          <w:sz w:val="20"/>
        </w:rPr>
        <w:t>include:</w:t>
      </w:r>
    </w:p>
    <w:p>
      <w:pPr>
        <w:pStyle w:val="ListParagraph"/>
        <w:numPr>
          <w:ilvl w:val="0"/>
          <w:numId w:val="63"/>
        </w:numPr>
        <w:tabs>
          <w:tab w:pos="1403" w:val="left" w:leader="none"/>
        </w:tabs>
        <w:spacing w:line="240" w:lineRule="auto" w:before="117" w:after="0"/>
        <w:ind w:left="1402" w:right="0" w:hanging="339"/>
        <w:jc w:val="left"/>
        <w:rPr>
          <w:i/>
          <w:sz w:val="20"/>
        </w:rPr>
      </w:pPr>
      <w:r>
        <w:rPr>
          <w:i/>
          <w:sz w:val="20"/>
        </w:rPr>
        <w:t>the nature of the products or</w:t>
      </w:r>
      <w:r>
        <w:rPr>
          <w:i/>
          <w:spacing w:val="-5"/>
          <w:sz w:val="20"/>
        </w:rPr>
        <w:t> </w:t>
      </w:r>
      <w:r>
        <w:rPr>
          <w:i/>
          <w:sz w:val="20"/>
        </w:rPr>
        <w:t>services;</w:t>
      </w:r>
    </w:p>
    <w:p>
      <w:pPr>
        <w:pStyle w:val="ListParagraph"/>
        <w:numPr>
          <w:ilvl w:val="0"/>
          <w:numId w:val="63"/>
        </w:numPr>
        <w:tabs>
          <w:tab w:pos="1403" w:val="left" w:leader="none"/>
        </w:tabs>
        <w:spacing w:line="240" w:lineRule="auto" w:before="90" w:after="0"/>
        <w:ind w:left="1402" w:right="0" w:hanging="339"/>
        <w:jc w:val="left"/>
        <w:rPr>
          <w:i/>
          <w:sz w:val="20"/>
        </w:rPr>
      </w:pPr>
      <w:r>
        <w:rPr>
          <w:i/>
          <w:sz w:val="20"/>
        </w:rPr>
        <w:t>the nature of the production</w:t>
      </w:r>
      <w:r>
        <w:rPr>
          <w:i/>
          <w:spacing w:val="-4"/>
          <w:sz w:val="20"/>
        </w:rPr>
        <w:t> </w:t>
      </w:r>
      <w:r>
        <w:rPr>
          <w:i/>
          <w:sz w:val="20"/>
        </w:rPr>
        <w:t>processes;</w:t>
      </w:r>
    </w:p>
    <w:p>
      <w:pPr>
        <w:pStyle w:val="ListParagraph"/>
        <w:numPr>
          <w:ilvl w:val="0"/>
          <w:numId w:val="63"/>
        </w:numPr>
        <w:tabs>
          <w:tab w:pos="1403" w:val="left" w:leader="none"/>
        </w:tabs>
        <w:spacing w:line="240" w:lineRule="auto" w:before="89" w:after="0"/>
        <w:ind w:left="1402" w:right="0" w:hanging="339"/>
        <w:jc w:val="left"/>
        <w:rPr>
          <w:i/>
          <w:sz w:val="20"/>
        </w:rPr>
      </w:pPr>
      <w:r>
        <w:rPr>
          <w:i/>
          <w:sz w:val="20"/>
        </w:rPr>
        <w:t>the type or class of customer for the products or</w:t>
      </w:r>
      <w:r>
        <w:rPr>
          <w:i/>
          <w:spacing w:val="-8"/>
          <w:sz w:val="20"/>
        </w:rPr>
        <w:t> </w:t>
      </w:r>
      <w:r>
        <w:rPr>
          <w:i/>
          <w:sz w:val="20"/>
        </w:rPr>
        <w:t>services;</w:t>
      </w:r>
    </w:p>
    <w:p>
      <w:pPr>
        <w:pStyle w:val="ListParagraph"/>
        <w:numPr>
          <w:ilvl w:val="0"/>
          <w:numId w:val="63"/>
        </w:numPr>
        <w:tabs>
          <w:tab w:pos="1403" w:val="left" w:leader="none"/>
        </w:tabs>
        <w:spacing w:line="240" w:lineRule="auto" w:before="91" w:after="0"/>
        <w:ind w:left="1402" w:right="0" w:hanging="339"/>
        <w:jc w:val="left"/>
        <w:rPr>
          <w:i/>
          <w:sz w:val="20"/>
        </w:rPr>
      </w:pPr>
      <w:r>
        <w:rPr>
          <w:i/>
          <w:sz w:val="20"/>
        </w:rPr>
        <w:t>the methods used to distribute the products or provide the services;</w:t>
      </w:r>
      <w:r>
        <w:rPr>
          <w:i/>
          <w:spacing w:val="-12"/>
          <w:sz w:val="20"/>
        </w:rPr>
        <w:t> </w:t>
      </w:r>
      <w:r>
        <w:rPr>
          <w:i/>
          <w:sz w:val="20"/>
        </w:rPr>
        <w:t>and</w:t>
      </w:r>
    </w:p>
    <w:p>
      <w:pPr>
        <w:pStyle w:val="ListParagraph"/>
        <w:numPr>
          <w:ilvl w:val="0"/>
          <w:numId w:val="63"/>
        </w:numPr>
        <w:tabs>
          <w:tab w:pos="1403" w:val="left" w:leader="none"/>
        </w:tabs>
        <w:spacing w:line="240" w:lineRule="auto" w:before="90" w:after="0"/>
        <w:ind w:left="1402" w:right="0" w:hanging="339"/>
        <w:jc w:val="left"/>
        <w:rPr>
          <w:i/>
          <w:sz w:val="20"/>
        </w:rPr>
      </w:pPr>
      <w:r>
        <w:rPr>
          <w:i/>
          <w:sz w:val="20"/>
        </w:rPr>
        <w:t>if applicable, the nature of the regulatory environment, for example, banking, insurance, or</w:t>
      </w:r>
      <w:r>
        <w:rPr>
          <w:i/>
          <w:spacing w:val="44"/>
          <w:sz w:val="20"/>
        </w:rPr>
        <w:t> </w:t>
      </w:r>
      <w:r>
        <w:rPr>
          <w:i/>
          <w:sz w:val="20"/>
        </w:rPr>
        <w:t>public</w:t>
      </w:r>
    </w:p>
    <w:p>
      <w:pPr>
        <w:spacing w:before="29"/>
        <w:ind w:left="1402" w:right="0" w:firstLine="0"/>
        <w:jc w:val="left"/>
        <w:rPr>
          <w:sz w:val="20"/>
        </w:rPr>
      </w:pPr>
      <w:r>
        <w:rPr>
          <w:i/>
          <w:sz w:val="20"/>
        </w:rPr>
        <w:t>utilities.”</w:t>
      </w:r>
      <w:r>
        <w:rPr>
          <w:sz w:val="20"/>
          <w:vertAlign w:val="superscript"/>
        </w:rPr>
        <w:t>80</w:t>
      </w:r>
    </w:p>
    <w:p>
      <w:pPr>
        <w:pStyle w:val="ListParagraph"/>
        <w:numPr>
          <w:ilvl w:val="0"/>
          <w:numId w:val="13"/>
        </w:numPr>
        <w:tabs>
          <w:tab w:pos="1444" w:val="left" w:leader="none"/>
        </w:tabs>
        <w:spacing w:line="271" w:lineRule="auto" w:before="159" w:after="0"/>
        <w:ind w:left="723" w:right="481" w:firstLine="0"/>
        <w:jc w:val="both"/>
        <w:rPr>
          <w:sz w:val="20"/>
        </w:rPr>
      </w:pPr>
      <w:r>
        <w:rPr>
          <w:sz w:val="20"/>
        </w:rPr>
        <w:t>For some businesses, notably those that are primarily managed on a regional basis, it may be appropriate to calculate the Amount A tax base on a regional basis. In order to permit this the “segmentation hallmarks” could also include an alternative or supplementary definition of a “geographical segment”.</w:t>
      </w:r>
      <w:r>
        <w:rPr>
          <w:sz w:val="20"/>
          <w:vertAlign w:val="superscript"/>
        </w:rPr>
        <w:t>81</w:t>
      </w:r>
      <w:r>
        <w:rPr>
          <w:sz w:val="20"/>
          <w:vertAlign w:val="baseline"/>
        </w:rPr>
        <w:t> However, it could also be argued that it is inconsistent with the nature of Amount A as an allocation of group-wide profits, with an agreed allocation key based on relative in-scope revenues in in each jurisdiction, to sub-divide in-scope businesses on a regional</w:t>
      </w:r>
      <w:r>
        <w:rPr>
          <w:spacing w:val="-8"/>
          <w:sz w:val="20"/>
          <w:vertAlign w:val="baseline"/>
        </w:rPr>
        <w:t> </w:t>
      </w:r>
      <w:r>
        <w:rPr>
          <w:sz w:val="20"/>
          <w:vertAlign w:val="baseline"/>
        </w:rPr>
        <w:t>basis.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For some MNE groups, particularly those that have a relatively homogenous business, the “segmentation hallmarks” may show that it would be most appropriate to compute the Amount A tax base on a group basis. For other groups, the “segmentation hallmarks” will show that they should calculate the Amount A tax base on a segmented basis, and further will define the most appropriate approach to segmentation.</w:t>
      </w:r>
    </w:p>
    <w:p>
      <w:pPr>
        <w:pStyle w:val="ListParagraph"/>
        <w:numPr>
          <w:ilvl w:val="0"/>
          <w:numId w:val="13"/>
        </w:numPr>
        <w:tabs>
          <w:tab w:pos="1444" w:val="left" w:leader="none"/>
        </w:tabs>
        <w:spacing w:line="271" w:lineRule="auto" w:before="119" w:after="0"/>
        <w:ind w:left="723" w:right="487" w:firstLine="0"/>
        <w:jc w:val="both"/>
        <w:rPr>
          <w:sz w:val="20"/>
        </w:rPr>
      </w:pPr>
      <w:r>
        <w:rPr>
          <w:sz w:val="20"/>
        </w:rPr>
        <w:t>As part of the implementation of this framework, and to help taxpayers applying this definition in practice, this definition will be supported by a commentary, including examples, in order to clarify areas that may create uncertainty or give rise to</w:t>
      </w:r>
      <w:r>
        <w:rPr>
          <w:spacing w:val="-10"/>
          <w:sz w:val="20"/>
        </w:rPr>
        <w:t> </w:t>
      </w:r>
      <w:r>
        <w:rPr>
          <w:sz w:val="20"/>
        </w:rPr>
        <w:t>dispute.</w:t>
      </w:r>
    </w:p>
    <w:p>
      <w:pPr>
        <w:pStyle w:val="BodyText"/>
        <w:spacing w:before="1"/>
      </w:pPr>
    </w:p>
    <w:p>
      <w:pPr>
        <w:pStyle w:val="Heading7"/>
        <w:spacing w:before="1"/>
        <w:rPr>
          <w:i/>
        </w:rPr>
      </w:pPr>
      <w:bookmarkStart w:name="Step 3(b): Computing Amount A based on d" w:id="235"/>
      <w:bookmarkEnd w:id="235"/>
      <w:r>
        <w:rPr>
          <w:i w:val="0"/>
        </w:rPr>
      </w:r>
      <w:r>
        <w:rPr>
          <w:i/>
          <w:color w:val="616161"/>
        </w:rPr>
        <w:t>Step 3(b): Computing Amount A based on disclosed segments</w:t>
      </w:r>
    </w:p>
    <w:p>
      <w:pPr>
        <w:pStyle w:val="BodyText"/>
        <w:spacing w:before="5"/>
        <w:rPr>
          <w:i/>
          <w:sz w:val="23"/>
        </w:rPr>
      </w:pPr>
    </w:p>
    <w:p>
      <w:pPr>
        <w:pStyle w:val="Heading8"/>
      </w:pPr>
      <w:bookmarkStart w:name="Using disclosed segments as a rebuttable" w:id="236"/>
      <w:bookmarkEnd w:id="236"/>
      <w:r>
        <w:rPr>
          <w:b w:val="0"/>
        </w:rPr>
      </w:r>
      <w:r>
        <w:rPr/>
        <w:t>Using disclosed segments as a rebuttable presumption</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It</w:t>
      </w:r>
      <w:r>
        <w:rPr>
          <w:spacing w:val="-6"/>
          <w:sz w:val="20"/>
        </w:rPr>
        <w:t> </w:t>
      </w:r>
      <w:r>
        <w:rPr>
          <w:sz w:val="20"/>
        </w:rPr>
        <w:t>is</w:t>
      </w:r>
      <w:r>
        <w:rPr>
          <w:spacing w:val="-4"/>
          <w:sz w:val="20"/>
        </w:rPr>
        <w:t> </w:t>
      </w:r>
      <w:r>
        <w:rPr>
          <w:sz w:val="20"/>
        </w:rPr>
        <w:t>expected</w:t>
      </w:r>
      <w:r>
        <w:rPr>
          <w:spacing w:val="-3"/>
          <w:sz w:val="20"/>
        </w:rPr>
        <w:t> </w:t>
      </w:r>
      <w:r>
        <w:rPr>
          <w:sz w:val="20"/>
        </w:rPr>
        <w:t>that</w:t>
      </w:r>
      <w:r>
        <w:rPr>
          <w:spacing w:val="-6"/>
          <w:sz w:val="20"/>
        </w:rPr>
        <w:t> </w:t>
      </w:r>
      <w:r>
        <w:rPr>
          <w:sz w:val="20"/>
        </w:rPr>
        <w:t>the</w:t>
      </w:r>
      <w:r>
        <w:rPr>
          <w:spacing w:val="-3"/>
          <w:sz w:val="20"/>
        </w:rPr>
        <w:t> </w:t>
      </w:r>
      <w:r>
        <w:rPr>
          <w:sz w:val="20"/>
        </w:rPr>
        <w:t>vast</w:t>
      </w:r>
      <w:r>
        <w:rPr>
          <w:spacing w:val="-3"/>
          <w:sz w:val="20"/>
        </w:rPr>
        <w:t> </w:t>
      </w:r>
      <w:r>
        <w:rPr>
          <w:sz w:val="20"/>
        </w:rPr>
        <w:t>majority</w:t>
      </w:r>
      <w:r>
        <w:rPr>
          <w:spacing w:val="-9"/>
          <w:sz w:val="20"/>
        </w:rPr>
        <w:t> </w:t>
      </w:r>
      <w:r>
        <w:rPr>
          <w:sz w:val="20"/>
        </w:rPr>
        <w:t>of</w:t>
      </w:r>
      <w:r>
        <w:rPr>
          <w:spacing w:val="-5"/>
          <w:sz w:val="20"/>
        </w:rPr>
        <w:t> </w:t>
      </w:r>
      <w:r>
        <w:rPr>
          <w:sz w:val="20"/>
        </w:rPr>
        <w:t>groups</w:t>
      </w:r>
      <w:r>
        <w:rPr>
          <w:spacing w:val="-4"/>
          <w:sz w:val="20"/>
        </w:rPr>
        <w:t> </w:t>
      </w:r>
      <w:r>
        <w:rPr>
          <w:sz w:val="20"/>
        </w:rPr>
        <w:t>that</w:t>
      </w:r>
      <w:r>
        <w:rPr>
          <w:spacing w:val="-4"/>
          <w:sz w:val="20"/>
        </w:rPr>
        <w:t> </w:t>
      </w:r>
      <w:r>
        <w:rPr>
          <w:sz w:val="20"/>
        </w:rPr>
        <w:t>are</w:t>
      </w:r>
      <w:r>
        <w:rPr>
          <w:spacing w:val="-6"/>
          <w:sz w:val="20"/>
        </w:rPr>
        <w:t> </w:t>
      </w:r>
      <w:r>
        <w:rPr>
          <w:sz w:val="20"/>
        </w:rPr>
        <w:t>required</w:t>
      </w:r>
      <w:r>
        <w:rPr>
          <w:spacing w:val="-6"/>
          <w:sz w:val="20"/>
        </w:rPr>
        <w:t> </w:t>
      </w:r>
      <w:r>
        <w:rPr>
          <w:sz w:val="20"/>
        </w:rPr>
        <w:t>to</w:t>
      </w:r>
      <w:r>
        <w:rPr>
          <w:spacing w:val="-6"/>
          <w:sz w:val="20"/>
        </w:rPr>
        <w:t> </w:t>
      </w:r>
      <w:r>
        <w:rPr>
          <w:sz w:val="20"/>
        </w:rPr>
        <w:t>compute</w:t>
      </w:r>
      <w:r>
        <w:rPr>
          <w:spacing w:val="-6"/>
          <w:sz w:val="20"/>
        </w:rPr>
        <w:t> </w:t>
      </w:r>
      <w:r>
        <w:rPr>
          <w:sz w:val="20"/>
        </w:rPr>
        <w:t>the</w:t>
      </w:r>
      <w:r>
        <w:rPr>
          <w:spacing w:val="-4"/>
          <w:sz w:val="20"/>
        </w:rPr>
        <w:t> </w:t>
      </w:r>
      <w:r>
        <w:rPr>
          <w:sz w:val="20"/>
        </w:rPr>
        <w:t>Amount</w:t>
      </w:r>
      <w:r>
        <w:rPr>
          <w:spacing w:val="-5"/>
          <w:sz w:val="20"/>
        </w:rPr>
        <w:t> </w:t>
      </w:r>
      <w:r>
        <w:rPr>
          <w:sz w:val="20"/>
        </w:rPr>
        <w:t>A</w:t>
      </w:r>
      <w:r>
        <w:rPr>
          <w:spacing w:val="-3"/>
          <w:sz w:val="20"/>
        </w:rPr>
        <w:t> </w:t>
      </w:r>
      <w:r>
        <w:rPr>
          <w:sz w:val="20"/>
        </w:rPr>
        <w:t>tax</w:t>
      </w:r>
      <w:r>
        <w:rPr>
          <w:spacing w:val="-4"/>
          <w:sz w:val="20"/>
        </w:rPr>
        <w:t> </w:t>
      </w:r>
      <w:r>
        <w:rPr>
          <w:sz w:val="20"/>
        </w:rPr>
        <w:t>base on</w:t>
      </w:r>
      <w:r>
        <w:rPr>
          <w:spacing w:val="-5"/>
          <w:sz w:val="20"/>
        </w:rPr>
        <w:t> </w:t>
      </w:r>
      <w:r>
        <w:rPr>
          <w:sz w:val="20"/>
        </w:rPr>
        <w:t>a</w:t>
      </w:r>
      <w:r>
        <w:rPr>
          <w:spacing w:val="-7"/>
          <w:sz w:val="20"/>
        </w:rPr>
        <w:t> </w:t>
      </w:r>
      <w:r>
        <w:rPr>
          <w:sz w:val="20"/>
        </w:rPr>
        <w:t>segmented</w:t>
      </w:r>
      <w:r>
        <w:rPr>
          <w:spacing w:val="-4"/>
          <w:sz w:val="20"/>
        </w:rPr>
        <w:t> </w:t>
      </w:r>
      <w:r>
        <w:rPr>
          <w:sz w:val="20"/>
        </w:rPr>
        <w:t>basis will</w:t>
      </w:r>
      <w:r>
        <w:rPr>
          <w:spacing w:val="-5"/>
          <w:sz w:val="20"/>
        </w:rPr>
        <w:t> </w:t>
      </w:r>
      <w:r>
        <w:rPr>
          <w:sz w:val="20"/>
        </w:rPr>
        <w:t>rely</w:t>
      </w:r>
      <w:r>
        <w:rPr>
          <w:spacing w:val="-7"/>
          <w:sz w:val="20"/>
        </w:rPr>
        <w:t> </w:t>
      </w:r>
      <w:r>
        <w:rPr>
          <w:sz w:val="20"/>
        </w:rPr>
        <w:t>on</w:t>
      </w:r>
      <w:r>
        <w:rPr>
          <w:spacing w:val="-4"/>
          <w:sz w:val="20"/>
        </w:rPr>
        <w:t> </w:t>
      </w:r>
      <w:r>
        <w:rPr>
          <w:sz w:val="20"/>
        </w:rPr>
        <w:t>the</w:t>
      </w:r>
      <w:r>
        <w:rPr>
          <w:spacing w:val="-5"/>
          <w:sz w:val="20"/>
        </w:rPr>
        <w:t> </w:t>
      </w:r>
      <w:r>
        <w:rPr>
          <w:sz w:val="20"/>
        </w:rPr>
        <w:t>disclosed</w:t>
      </w:r>
      <w:r>
        <w:rPr>
          <w:spacing w:val="-5"/>
          <w:sz w:val="20"/>
        </w:rPr>
        <w:t> </w:t>
      </w:r>
      <w:r>
        <w:rPr>
          <w:sz w:val="20"/>
        </w:rPr>
        <w:t>operating</w:t>
      </w:r>
      <w:r>
        <w:rPr>
          <w:spacing w:val="-7"/>
          <w:sz w:val="20"/>
        </w:rPr>
        <w:t> </w:t>
      </w:r>
      <w:r>
        <w:rPr>
          <w:sz w:val="20"/>
        </w:rPr>
        <w:t>segments</w:t>
      </w:r>
      <w:r>
        <w:rPr>
          <w:spacing w:val="-5"/>
          <w:sz w:val="20"/>
        </w:rPr>
        <w:t> </w:t>
      </w:r>
      <w:r>
        <w:rPr>
          <w:sz w:val="20"/>
        </w:rPr>
        <w:t>included</w:t>
      </w:r>
      <w:r>
        <w:rPr>
          <w:spacing w:val="-4"/>
          <w:sz w:val="20"/>
        </w:rPr>
        <w:t> </w:t>
      </w:r>
      <w:r>
        <w:rPr>
          <w:sz w:val="20"/>
        </w:rPr>
        <w:t>in</w:t>
      </w:r>
      <w:r>
        <w:rPr>
          <w:spacing w:val="-4"/>
          <w:sz w:val="20"/>
        </w:rPr>
        <w:t> </w:t>
      </w:r>
      <w:r>
        <w:rPr>
          <w:sz w:val="20"/>
        </w:rPr>
        <w:t>their</w:t>
      </w:r>
      <w:r>
        <w:rPr>
          <w:spacing w:val="-6"/>
          <w:sz w:val="20"/>
        </w:rPr>
        <w:t> </w:t>
      </w:r>
      <w:r>
        <w:rPr>
          <w:sz w:val="20"/>
        </w:rPr>
        <w:t>financial</w:t>
      </w:r>
      <w:r>
        <w:rPr>
          <w:spacing w:val="-6"/>
          <w:sz w:val="20"/>
        </w:rPr>
        <w:t> </w:t>
      </w:r>
      <w:r>
        <w:rPr>
          <w:sz w:val="20"/>
        </w:rPr>
        <w:t>statements. This reflects the fact that most groups will disclose operating segments in their financial statements that meet the “segmentation hallmarks” outlined above. Hence, there will be a rebuttable presumption that Amount A will be applied on this basis. This presumption could be rebutted by either the group itself or a tax administration (e.g. through the tax certainty process) and therefore when an MNE groups disclosed segments</w:t>
      </w:r>
      <w:r>
        <w:rPr>
          <w:spacing w:val="-11"/>
          <w:sz w:val="20"/>
        </w:rPr>
        <w:t> </w:t>
      </w:r>
      <w:r>
        <w:rPr>
          <w:sz w:val="20"/>
        </w:rPr>
        <w:t>do</w:t>
      </w:r>
      <w:r>
        <w:rPr>
          <w:spacing w:val="-13"/>
          <w:sz w:val="20"/>
        </w:rPr>
        <w:t> </w:t>
      </w:r>
      <w:r>
        <w:rPr>
          <w:sz w:val="20"/>
        </w:rPr>
        <w:t>not</w:t>
      </w:r>
      <w:r>
        <w:rPr>
          <w:spacing w:val="-13"/>
          <w:sz w:val="20"/>
        </w:rPr>
        <w:t> </w:t>
      </w:r>
      <w:r>
        <w:rPr>
          <w:sz w:val="20"/>
        </w:rPr>
        <w:t>meet</w:t>
      </w:r>
      <w:r>
        <w:rPr>
          <w:spacing w:val="-13"/>
          <w:sz w:val="20"/>
        </w:rPr>
        <w:t> </w:t>
      </w:r>
      <w:r>
        <w:rPr>
          <w:sz w:val="20"/>
        </w:rPr>
        <w:t>the</w:t>
      </w:r>
      <w:r>
        <w:rPr>
          <w:spacing w:val="-13"/>
          <w:sz w:val="20"/>
        </w:rPr>
        <w:t> </w:t>
      </w:r>
      <w:r>
        <w:rPr>
          <w:sz w:val="20"/>
        </w:rPr>
        <w:t>“segmentation</w:t>
      </w:r>
      <w:r>
        <w:rPr>
          <w:spacing w:val="-11"/>
          <w:sz w:val="20"/>
        </w:rPr>
        <w:t> </w:t>
      </w:r>
      <w:r>
        <w:rPr>
          <w:sz w:val="20"/>
        </w:rPr>
        <w:t>hallmarks”</w:t>
      </w:r>
      <w:r>
        <w:rPr>
          <w:spacing w:val="-8"/>
          <w:sz w:val="20"/>
        </w:rPr>
        <w:t> </w:t>
      </w:r>
      <w:r>
        <w:rPr>
          <w:sz w:val="20"/>
        </w:rPr>
        <w:t>it</w:t>
      </w:r>
      <w:r>
        <w:rPr>
          <w:spacing w:val="-10"/>
          <w:sz w:val="20"/>
        </w:rPr>
        <w:t> </w:t>
      </w:r>
      <w:r>
        <w:rPr>
          <w:sz w:val="20"/>
        </w:rPr>
        <w:t>would</w:t>
      </w:r>
      <w:r>
        <w:rPr>
          <w:spacing w:val="-13"/>
          <w:sz w:val="20"/>
        </w:rPr>
        <w:t> </w:t>
      </w:r>
      <w:r>
        <w:rPr>
          <w:sz w:val="20"/>
        </w:rPr>
        <w:t>not</w:t>
      </w:r>
      <w:r>
        <w:rPr>
          <w:spacing w:val="-11"/>
          <w:sz w:val="20"/>
        </w:rPr>
        <w:t> </w:t>
      </w:r>
      <w:r>
        <w:rPr>
          <w:sz w:val="20"/>
        </w:rPr>
        <w:t>be</w:t>
      </w:r>
      <w:r>
        <w:rPr>
          <w:spacing w:val="-11"/>
          <w:sz w:val="20"/>
        </w:rPr>
        <w:t> </w:t>
      </w:r>
      <w:r>
        <w:rPr>
          <w:sz w:val="20"/>
        </w:rPr>
        <w:t>able</w:t>
      </w:r>
      <w:r>
        <w:rPr>
          <w:spacing w:val="-11"/>
          <w:sz w:val="20"/>
        </w:rPr>
        <w:t> </w:t>
      </w:r>
      <w:r>
        <w:rPr>
          <w:sz w:val="20"/>
        </w:rPr>
        <w:t>to</w:t>
      </w:r>
      <w:r>
        <w:rPr>
          <w:spacing w:val="-13"/>
          <w:sz w:val="20"/>
        </w:rPr>
        <w:t> </w:t>
      </w:r>
      <w:r>
        <w:rPr>
          <w:sz w:val="20"/>
        </w:rPr>
        <w:t>calculate</w:t>
      </w:r>
      <w:r>
        <w:rPr>
          <w:spacing w:val="-13"/>
          <w:sz w:val="20"/>
        </w:rPr>
        <w:t> </w:t>
      </w:r>
      <w:r>
        <w:rPr>
          <w:sz w:val="20"/>
        </w:rPr>
        <w:t>its</w:t>
      </w:r>
      <w:r>
        <w:rPr>
          <w:spacing w:val="-12"/>
          <w:sz w:val="20"/>
        </w:rPr>
        <w:t> </w:t>
      </w:r>
      <w:r>
        <w:rPr>
          <w:sz w:val="20"/>
        </w:rPr>
        <w:t>Amount</w:t>
      </w:r>
      <w:r>
        <w:rPr>
          <w:spacing w:val="-11"/>
          <w:sz w:val="20"/>
        </w:rPr>
        <w:t> </w:t>
      </w:r>
      <w:r>
        <w:rPr>
          <w:sz w:val="20"/>
        </w:rPr>
        <w:t>A</w:t>
      </w:r>
      <w:r>
        <w:rPr>
          <w:spacing w:val="-13"/>
          <w:sz w:val="20"/>
        </w:rPr>
        <w:t> </w:t>
      </w:r>
      <w:r>
        <w:rPr>
          <w:sz w:val="20"/>
        </w:rPr>
        <w:t>tax</w:t>
      </w:r>
      <w:r>
        <w:rPr>
          <w:spacing w:val="-12"/>
          <w:sz w:val="20"/>
        </w:rPr>
        <w:t> </w:t>
      </w:r>
      <w:r>
        <w:rPr>
          <w:sz w:val="20"/>
        </w:rPr>
        <w:t>base on this</w:t>
      </w:r>
      <w:r>
        <w:rPr>
          <w:spacing w:val="-3"/>
          <w:sz w:val="20"/>
        </w:rPr>
        <w:t> </w:t>
      </w:r>
      <w:r>
        <w:rPr>
          <w:sz w:val="20"/>
        </w:rPr>
        <w:t>basis.</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This</w:t>
      </w:r>
      <w:r>
        <w:rPr>
          <w:spacing w:val="-11"/>
          <w:sz w:val="20"/>
        </w:rPr>
        <w:t> </w:t>
      </w:r>
      <w:r>
        <w:rPr>
          <w:sz w:val="20"/>
        </w:rPr>
        <w:t>approach</w:t>
      </w:r>
      <w:r>
        <w:rPr>
          <w:spacing w:val="-12"/>
          <w:sz w:val="20"/>
        </w:rPr>
        <w:t> </w:t>
      </w:r>
      <w:r>
        <w:rPr>
          <w:sz w:val="20"/>
        </w:rPr>
        <w:t>means</w:t>
      </w:r>
      <w:r>
        <w:rPr>
          <w:spacing w:val="-11"/>
          <w:sz w:val="20"/>
        </w:rPr>
        <w:t> </w:t>
      </w:r>
      <w:r>
        <w:rPr>
          <w:sz w:val="20"/>
        </w:rPr>
        <w:t>that</w:t>
      </w:r>
      <w:r>
        <w:rPr>
          <w:spacing w:val="-9"/>
          <w:sz w:val="20"/>
        </w:rPr>
        <w:t> </w:t>
      </w:r>
      <w:r>
        <w:rPr>
          <w:sz w:val="20"/>
        </w:rPr>
        <w:t>where</w:t>
      </w:r>
      <w:r>
        <w:rPr>
          <w:spacing w:val="-12"/>
          <w:sz w:val="20"/>
        </w:rPr>
        <w:t> </w:t>
      </w:r>
      <w:r>
        <w:rPr>
          <w:sz w:val="20"/>
        </w:rPr>
        <w:t>a</w:t>
      </w:r>
      <w:r>
        <w:rPr>
          <w:spacing w:val="-10"/>
          <w:sz w:val="20"/>
        </w:rPr>
        <w:t> </w:t>
      </w:r>
      <w:r>
        <w:rPr>
          <w:sz w:val="20"/>
        </w:rPr>
        <w:t>group</w:t>
      </w:r>
      <w:r>
        <w:rPr>
          <w:spacing w:val="-9"/>
          <w:sz w:val="20"/>
        </w:rPr>
        <w:t> </w:t>
      </w:r>
      <w:r>
        <w:rPr>
          <w:sz w:val="20"/>
        </w:rPr>
        <w:t>does</w:t>
      </w:r>
      <w:r>
        <w:rPr>
          <w:spacing w:val="-11"/>
          <w:sz w:val="20"/>
        </w:rPr>
        <w:t> </w:t>
      </w:r>
      <w:r>
        <w:rPr>
          <w:sz w:val="20"/>
        </w:rPr>
        <w:t>not</w:t>
      </w:r>
      <w:r>
        <w:rPr>
          <w:spacing w:val="-12"/>
          <w:sz w:val="20"/>
        </w:rPr>
        <w:t> </w:t>
      </w:r>
      <w:r>
        <w:rPr>
          <w:sz w:val="20"/>
        </w:rPr>
        <w:t>disclose</w:t>
      </w:r>
      <w:r>
        <w:rPr>
          <w:spacing w:val="-12"/>
          <w:sz w:val="20"/>
        </w:rPr>
        <w:t> </w:t>
      </w:r>
      <w:r>
        <w:rPr>
          <w:sz w:val="20"/>
        </w:rPr>
        <w:t>any</w:t>
      </w:r>
      <w:r>
        <w:rPr>
          <w:spacing w:val="-15"/>
          <w:sz w:val="20"/>
        </w:rPr>
        <w:t> </w:t>
      </w:r>
      <w:r>
        <w:rPr>
          <w:sz w:val="20"/>
        </w:rPr>
        <w:t>operating</w:t>
      </w:r>
      <w:r>
        <w:rPr>
          <w:spacing w:val="-13"/>
          <w:sz w:val="20"/>
        </w:rPr>
        <w:t> </w:t>
      </w:r>
      <w:r>
        <w:rPr>
          <w:sz w:val="20"/>
        </w:rPr>
        <w:t>segments</w:t>
      </w:r>
      <w:r>
        <w:rPr>
          <w:spacing w:val="-11"/>
          <w:sz w:val="20"/>
        </w:rPr>
        <w:t> </w:t>
      </w:r>
      <w:r>
        <w:rPr>
          <w:sz w:val="20"/>
        </w:rPr>
        <w:t>in</w:t>
      </w:r>
      <w:r>
        <w:rPr>
          <w:spacing w:val="-13"/>
          <w:sz w:val="20"/>
        </w:rPr>
        <w:t> </w:t>
      </w:r>
      <w:r>
        <w:rPr>
          <w:sz w:val="20"/>
        </w:rPr>
        <w:t>its</w:t>
      </w:r>
      <w:r>
        <w:rPr>
          <w:spacing w:val="-10"/>
          <w:sz w:val="20"/>
        </w:rPr>
        <w:t> </w:t>
      </w:r>
      <w:r>
        <w:rPr>
          <w:sz w:val="20"/>
        </w:rPr>
        <w:t>financial statements,</w:t>
      </w:r>
      <w:r>
        <w:rPr>
          <w:spacing w:val="15"/>
          <w:sz w:val="20"/>
        </w:rPr>
        <w:t> </w:t>
      </w:r>
      <w:r>
        <w:rPr>
          <w:sz w:val="20"/>
        </w:rPr>
        <w:t>there</w:t>
      </w:r>
      <w:r>
        <w:rPr>
          <w:spacing w:val="18"/>
          <w:sz w:val="20"/>
        </w:rPr>
        <w:t> </w:t>
      </w:r>
      <w:r>
        <w:rPr>
          <w:sz w:val="20"/>
        </w:rPr>
        <w:t>would</w:t>
      </w:r>
      <w:r>
        <w:rPr>
          <w:spacing w:val="15"/>
          <w:sz w:val="20"/>
        </w:rPr>
        <w:t> </w:t>
      </w:r>
      <w:r>
        <w:rPr>
          <w:sz w:val="20"/>
        </w:rPr>
        <w:t>be</w:t>
      </w:r>
      <w:r>
        <w:rPr>
          <w:spacing w:val="15"/>
          <w:sz w:val="20"/>
        </w:rPr>
        <w:t> </w:t>
      </w:r>
      <w:r>
        <w:rPr>
          <w:sz w:val="20"/>
        </w:rPr>
        <w:t>a</w:t>
      </w:r>
      <w:r>
        <w:rPr>
          <w:spacing w:val="15"/>
          <w:sz w:val="20"/>
        </w:rPr>
        <w:t> </w:t>
      </w:r>
      <w:r>
        <w:rPr>
          <w:sz w:val="20"/>
        </w:rPr>
        <w:t>presumption</w:t>
      </w:r>
      <w:r>
        <w:rPr>
          <w:spacing w:val="17"/>
          <w:sz w:val="20"/>
        </w:rPr>
        <w:t> </w:t>
      </w:r>
      <w:r>
        <w:rPr>
          <w:sz w:val="20"/>
        </w:rPr>
        <w:t>that</w:t>
      </w:r>
      <w:r>
        <w:rPr>
          <w:spacing w:val="17"/>
          <w:sz w:val="20"/>
        </w:rPr>
        <w:t> </w:t>
      </w:r>
      <w:r>
        <w:rPr>
          <w:sz w:val="20"/>
        </w:rPr>
        <w:t>Amount</w:t>
      </w:r>
      <w:r>
        <w:rPr>
          <w:spacing w:val="15"/>
          <w:sz w:val="20"/>
        </w:rPr>
        <w:t> </w:t>
      </w:r>
      <w:r>
        <w:rPr>
          <w:sz w:val="20"/>
        </w:rPr>
        <w:t>A</w:t>
      </w:r>
      <w:r>
        <w:rPr>
          <w:spacing w:val="16"/>
          <w:sz w:val="20"/>
        </w:rPr>
        <w:t> </w:t>
      </w:r>
      <w:r>
        <w:rPr>
          <w:sz w:val="20"/>
        </w:rPr>
        <w:t>should</w:t>
      </w:r>
      <w:r>
        <w:rPr>
          <w:spacing w:val="18"/>
          <w:sz w:val="20"/>
        </w:rPr>
        <w:t> </w:t>
      </w:r>
      <w:r>
        <w:rPr>
          <w:sz w:val="20"/>
        </w:rPr>
        <w:t>be</w:t>
      </w:r>
      <w:r>
        <w:rPr>
          <w:spacing w:val="14"/>
          <w:sz w:val="20"/>
        </w:rPr>
        <w:t> </w:t>
      </w:r>
      <w:r>
        <w:rPr>
          <w:sz w:val="20"/>
        </w:rPr>
        <w:t>applied</w:t>
      </w:r>
      <w:r>
        <w:rPr>
          <w:spacing w:val="15"/>
          <w:sz w:val="20"/>
        </w:rPr>
        <w:t> </w:t>
      </w:r>
      <w:r>
        <w:rPr>
          <w:sz w:val="20"/>
        </w:rPr>
        <w:t>on</w:t>
      </w:r>
      <w:r>
        <w:rPr>
          <w:spacing w:val="15"/>
          <w:sz w:val="20"/>
        </w:rPr>
        <w:t> </w:t>
      </w:r>
      <w:r>
        <w:rPr>
          <w:sz w:val="20"/>
        </w:rPr>
        <w:t>a</w:t>
      </w:r>
      <w:r>
        <w:rPr>
          <w:spacing w:val="15"/>
          <w:sz w:val="20"/>
        </w:rPr>
        <w:t> </w:t>
      </w:r>
      <w:r>
        <w:rPr>
          <w:sz w:val="20"/>
        </w:rPr>
        <w:t>group</w:t>
      </w:r>
      <w:r>
        <w:rPr>
          <w:spacing w:val="14"/>
          <w:sz w:val="20"/>
        </w:rPr>
        <w:t> </w:t>
      </w:r>
      <w:r>
        <w:rPr>
          <w:sz w:val="20"/>
        </w:rPr>
        <w:t>basis.</w:t>
      </w:r>
      <w:r>
        <w:rPr>
          <w:spacing w:val="23"/>
          <w:sz w:val="20"/>
        </w:rPr>
        <w:t> </w:t>
      </w:r>
      <w:r>
        <w:rPr>
          <w:sz w:val="20"/>
        </w:rPr>
        <w:t>Though</w:t>
      </w:r>
    </w:p>
    <w:p>
      <w:pPr>
        <w:pStyle w:val="BodyText"/>
        <w:spacing w:before="10"/>
        <w:rPr>
          <w:sz w:val="14"/>
        </w:rPr>
      </w:pPr>
      <w:r>
        <w:rPr/>
        <w:pict>
          <v:rect style="position:absolute;margin-left:65.183998pt;margin-top:10.513876pt;width:144.020004pt;height:.60004pt;mso-position-horizontal-relative:page;mso-position-vertical-relative:paragraph;z-index:-1566566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International Accounting Standards Board, </w:t>
      </w:r>
      <w:r>
        <w:rPr>
          <w:i/>
          <w:sz w:val="18"/>
        </w:rPr>
        <w:t>International Account Standard 14: Segment Reporting</w:t>
      </w:r>
      <w:r>
        <w:rPr>
          <w:sz w:val="18"/>
        </w:rPr>
        <w:t>, paragraph</w:t>
      </w:r>
      <w:r>
        <w:rPr>
          <w:spacing w:val="-21"/>
          <w:sz w:val="18"/>
        </w:rPr>
        <w:t> </w:t>
      </w:r>
      <w:r>
        <w:rPr>
          <w:sz w:val="18"/>
        </w:rPr>
        <w:t>9.</w:t>
      </w:r>
    </w:p>
    <w:p>
      <w:pPr>
        <w:pStyle w:val="ListParagraph"/>
        <w:numPr>
          <w:ilvl w:val="0"/>
          <w:numId w:val="14"/>
        </w:numPr>
        <w:tabs>
          <w:tab w:pos="967" w:val="left" w:leader="none"/>
        </w:tabs>
        <w:spacing w:line="278" w:lineRule="auto" w:before="110" w:after="0"/>
        <w:ind w:left="723" w:right="489" w:firstLine="0"/>
        <w:jc w:val="left"/>
        <w:rPr>
          <w:sz w:val="18"/>
        </w:rPr>
      </w:pPr>
      <w:r>
        <w:rPr>
          <w:i/>
          <w:sz w:val="18"/>
        </w:rPr>
        <w:t>International Account Standard 14: Segment Reporting</w:t>
      </w:r>
      <w:r>
        <w:rPr>
          <w:sz w:val="18"/>
        </w:rPr>
        <w:t>, paragraph 9 includes a definition of a “geographical segment” which may be relevant in developing this aspect of the “segmentation</w:t>
      </w:r>
      <w:r>
        <w:rPr>
          <w:spacing w:val="-15"/>
          <w:sz w:val="18"/>
        </w:rPr>
        <w:t> </w:t>
      </w:r>
      <w:r>
        <w:rPr>
          <w:sz w:val="18"/>
        </w:rPr>
        <w:t>hallmarks”.</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79"/>
        <w:jc w:val="both"/>
      </w:pPr>
      <w:r>
        <w:rPr/>
        <w:t>these groups would still need to show this approach is consistent with the “segmentation hallmarks”. Similarly, where a group discloses business line segments, there would be a presumption that Amount A should be applied on that basis. There remains an important outstanding question whether there will be a presumption</w:t>
      </w:r>
      <w:r>
        <w:rPr>
          <w:spacing w:val="-12"/>
        </w:rPr>
        <w:t> </w:t>
      </w:r>
      <w:r>
        <w:rPr/>
        <w:t>that</w:t>
      </w:r>
      <w:r>
        <w:rPr>
          <w:spacing w:val="-11"/>
        </w:rPr>
        <w:t> </w:t>
      </w:r>
      <w:r>
        <w:rPr/>
        <w:t>a</w:t>
      </w:r>
      <w:r>
        <w:rPr>
          <w:spacing w:val="-12"/>
        </w:rPr>
        <w:t> </w:t>
      </w:r>
      <w:r>
        <w:rPr/>
        <w:t>group</w:t>
      </w:r>
      <w:r>
        <w:rPr>
          <w:spacing w:val="-11"/>
        </w:rPr>
        <w:t> </w:t>
      </w:r>
      <w:r>
        <w:rPr/>
        <w:t>disclosing</w:t>
      </w:r>
      <w:r>
        <w:rPr>
          <w:spacing w:val="-12"/>
        </w:rPr>
        <w:t> </w:t>
      </w:r>
      <w:r>
        <w:rPr/>
        <w:t>regional</w:t>
      </w:r>
      <w:r>
        <w:rPr>
          <w:spacing w:val="-12"/>
        </w:rPr>
        <w:t> </w:t>
      </w:r>
      <w:r>
        <w:rPr/>
        <w:t>segments</w:t>
      </w:r>
      <w:r>
        <w:rPr>
          <w:spacing w:val="-10"/>
        </w:rPr>
        <w:t> </w:t>
      </w:r>
      <w:r>
        <w:rPr/>
        <w:t>should</w:t>
      </w:r>
      <w:r>
        <w:rPr>
          <w:spacing w:val="-12"/>
        </w:rPr>
        <w:t> </w:t>
      </w:r>
      <w:r>
        <w:rPr/>
        <w:t>apply</w:t>
      </w:r>
      <w:r>
        <w:rPr>
          <w:spacing w:val="-14"/>
        </w:rPr>
        <w:t> </w:t>
      </w:r>
      <w:r>
        <w:rPr/>
        <w:t>Amount</w:t>
      </w:r>
      <w:r>
        <w:rPr>
          <w:spacing w:val="-9"/>
        </w:rPr>
        <w:t> </w:t>
      </w:r>
      <w:r>
        <w:rPr/>
        <w:t>A</w:t>
      </w:r>
      <w:r>
        <w:rPr>
          <w:spacing w:val="-9"/>
        </w:rPr>
        <w:t> </w:t>
      </w:r>
      <w:r>
        <w:rPr/>
        <w:t>in</w:t>
      </w:r>
      <w:r>
        <w:rPr>
          <w:spacing w:val="-9"/>
        </w:rPr>
        <w:t> </w:t>
      </w:r>
      <w:r>
        <w:rPr/>
        <w:t>all</w:t>
      </w:r>
      <w:r>
        <w:rPr>
          <w:spacing w:val="-12"/>
        </w:rPr>
        <w:t> </w:t>
      </w:r>
      <w:r>
        <w:rPr/>
        <w:t>instances,</w:t>
      </w:r>
      <w:r>
        <w:rPr>
          <w:spacing w:val="-10"/>
        </w:rPr>
        <w:t> </w:t>
      </w:r>
      <w:r>
        <w:rPr/>
        <w:t>particularly for groups that also have large pools of unallocated central research and development (R&amp;D) or other costs. The final design of the definition of a segment for the purpose of Amount A will be particularly relevant for these businesses, which could allow businesses that operate on a regional basis to calculate their Amount A tax base on a regional</w:t>
      </w:r>
      <w:r>
        <w:rPr>
          <w:spacing w:val="-1"/>
        </w:rPr>
        <w:t> </w:t>
      </w:r>
      <w:r>
        <w:rPr/>
        <w:t>basis.</w:t>
      </w:r>
    </w:p>
    <w:p>
      <w:pPr>
        <w:pStyle w:val="BodyText"/>
        <w:spacing w:before="2"/>
      </w:pPr>
    </w:p>
    <w:p>
      <w:pPr>
        <w:pStyle w:val="Heading8"/>
      </w:pPr>
      <w:bookmarkStart w:name="Exemption for segments with comparable p" w:id="237"/>
      <w:bookmarkEnd w:id="237"/>
      <w:r>
        <w:rPr>
          <w:b w:val="0"/>
        </w:rPr>
      </w:r>
      <w:r>
        <w:rPr/>
        <w:t>Exemption for segments with comparable profit margins</w:t>
      </w:r>
    </w:p>
    <w:p>
      <w:pPr>
        <w:pStyle w:val="BodyText"/>
        <w:rPr>
          <w:b/>
          <w:sz w:val="19"/>
        </w:rPr>
      </w:pPr>
    </w:p>
    <w:p>
      <w:pPr>
        <w:pStyle w:val="ListParagraph"/>
        <w:numPr>
          <w:ilvl w:val="0"/>
          <w:numId w:val="13"/>
        </w:numPr>
        <w:tabs>
          <w:tab w:pos="1444" w:val="left" w:leader="none"/>
        </w:tabs>
        <w:spacing w:line="271" w:lineRule="auto" w:before="1" w:after="0"/>
        <w:ind w:left="723" w:right="479" w:firstLine="0"/>
        <w:jc w:val="both"/>
        <w:rPr>
          <w:sz w:val="20"/>
        </w:rPr>
      </w:pPr>
      <w:r>
        <w:rPr>
          <w:sz w:val="20"/>
        </w:rPr>
        <w:t>There may be some situations, notably where profit margins vary little across the segments of a group, where the tax impact of applying Amount A either on a group or segment basis will be minimal. In these instances, in order to minimise the compliance costs and administrative burdens associated with segmentation, taxpayers could be required to apply Amount A on a group basis. This exemption would apply</w:t>
      </w:r>
      <w:r>
        <w:rPr>
          <w:spacing w:val="-12"/>
          <w:sz w:val="20"/>
        </w:rPr>
        <w:t> </w:t>
      </w:r>
      <w:r>
        <w:rPr>
          <w:sz w:val="20"/>
        </w:rPr>
        <w:t>where</w:t>
      </w:r>
      <w:r>
        <w:rPr>
          <w:spacing w:val="-9"/>
          <w:sz w:val="20"/>
        </w:rPr>
        <w:t> </w:t>
      </w:r>
      <w:r>
        <w:rPr>
          <w:sz w:val="20"/>
        </w:rPr>
        <w:t>the</w:t>
      </w:r>
      <w:r>
        <w:rPr>
          <w:spacing w:val="-11"/>
          <w:sz w:val="20"/>
        </w:rPr>
        <w:t> </w:t>
      </w:r>
      <w:r>
        <w:rPr>
          <w:sz w:val="20"/>
        </w:rPr>
        <w:t>profit</w:t>
      </w:r>
      <w:r>
        <w:rPr>
          <w:spacing w:val="-11"/>
          <w:sz w:val="20"/>
        </w:rPr>
        <w:t> </w:t>
      </w:r>
      <w:r>
        <w:rPr>
          <w:sz w:val="20"/>
        </w:rPr>
        <w:t>margin</w:t>
      </w:r>
      <w:r>
        <w:rPr>
          <w:spacing w:val="-12"/>
          <w:sz w:val="20"/>
        </w:rPr>
        <w:t> </w:t>
      </w:r>
      <w:r>
        <w:rPr>
          <w:sz w:val="20"/>
        </w:rPr>
        <w:t>of</w:t>
      </w:r>
      <w:r>
        <w:rPr>
          <w:spacing w:val="-8"/>
          <w:sz w:val="20"/>
        </w:rPr>
        <w:t> </w:t>
      </w:r>
      <w:r>
        <w:rPr>
          <w:sz w:val="20"/>
        </w:rPr>
        <w:t>the</w:t>
      </w:r>
      <w:r>
        <w:rPr>
          <w:spacing w:val="-9"/>
          <w:sz w:val="20"/>
        </w:rPr>
        <w:t> </w:t>
      </w:r>
      <w:r>
        <w:rPr>
          <w:sz w:val="20"/>
        </w:rPr>
        <w:t>disclosed</w:t>
      </w:r>
      <w:r>
        <w:rPr>
          <w:spacing w:val="-12"/>
          <w:sz w:val="20"/>
        </w:rPr>
        <w:t> </w:t>
      </w:r>
      <w:r>
        <w:rPr>
          <w:sz w:val="20"/>
        </w:rPr>
        <w:t>segments</w:t>
      </w:r>
      <w:r>
        <w:rPr>
          <w:spacing w:val="-11"/>
          <w:sz w:val="20"/>
        </w:rPr>
        <w:t> </w:t>
      </w:r>
      <w:r>
        <w:rPr>
          <w:sz w:val="20"/>
        </w:rPr>
        <w:t>(at</w:t>
      </w:r>
      <w:r>
        <w:rPr>
          <w:spacing w:val="-12"/>
          <w:sz w:val="20"/>
        </w:rPr>
        <w:t> </w:t>
      </w:r>
      <w:r>
        <w:rPr>
          <w:sz w:val="20"/>
        </w:rPr>
        <w:t>the</w:t>
      </w:r>
      <w:r>
        <w:rPr>
          <w:spacing w:val="-11"/>
          <w:sz w:val="20"/>
        </w:rPr>
        <w:t> </w:t>
      </w:r>
      <w:r>
        <w:rPr>
          <w:sz w:val="20"/>
        </w:rPr>
        <w:t>profit</w:t>
      </w:r>
      <w:r>
        <w:rPr>
          <w:spacing w:val="-9"/>
          <w:sz w:val="20"/>
        </w:rPr>
        <w:t> </w:t>
      </w:r>
      <w:r>
        <w:rPr>
          <w:sz w:val="20"/>
        </w:rPr>
        <w:t>level</w:t>
      </w:r>
      <w:r>
        <w:rPr>
          <w:spacing w:val="-12"/>
          <w:sz w:val="20"/>
        </w:rPr>
        <w:t> </w:t>
      </w:r>
      <w:r>
        <w:rPr>
          <w:sz w:val="20"/>
        </w:rPr>
        <w:t>shown</w:t>
      </w:r>
      <w:r>
        <w:rPr>
          <w:spacing w:val="-8"/>
          <w:sz w:val="20"/>
        </w:rPr>
        <w:t> </w:t>
      </w:r>
      <w:r>
        <w:rPr>
          <w:sz w:val="20"/>
        </w:rPr>
        <w:t>in</w:t>
      </w:r>
      <w:r>
        <w:rPr>
          <w:spacing w:val="-9"/>
          <w:sz w:val="20"/>
        </w:rPr>
        <w:t> </w:t>
      </w:r>
      <w:r>
        <w:rPr>
          <w:sz w:val="20"/>
        </w:rPr>
        <w:t>the</w:t>
      </w:r>
      <w:r>
        <w:rPr>
          <w:spacing w:val="-12"/>
          <w:sz w:val="20"/>
        </w:rPr>
        <w:t> </w:t>
      </w:r>
      <w:r>
        <w:rPr>
          <w:sz w:val="20"/>
        </w:rPr>
        <w:t>financial</w:t>
      </w:r>
      <w:r>
        <w:rPr>
          <w:spacing w:val="-11"/>
          <w:sz w:val="20"/>
        </w:rPr>
        <w:t> </w:t>
      </w:r>
      <w:r>
        <w:rPr>
          <w:sz w:val="20"/>
        </w:rPr>
        <w:t>accounts, which may be at a gross or operating level) varies by less than an agreed number of percentage points. As with the exemption for segmentation based on global revenue, this exemption could be turned into a safe harbour and become</w:t>
      </w:r>
      <w:r>
        <w:rPr>
          <w:spacing w:val="-4"/>
          <w:sz w:val="20"/>
        </w:rPr>
        <w:t> </w:t>
      </w:r>
      <w:r>
        <w:rPr>
          <w:sz w:val="20"/>
        </w:rPr>
        <w:t>optional.</w:t>
      </w:r>
    </w:p>
    <w:p>
      <w:pPr>
        <w:pStyle w:val="BodyText"/>
        <w:spacing w:before="2"/>
      </w:pPr>
    </w:p>
    <w:p>
      <w:pPr>
        <w:pStyle w:val="Heading8"/>
      </w:pPr>
      <w:bookmarkStart w:name="Determining profit before tax on a segme" w:id="238"/>
      <w:bookmarkEnd w:id="238"/>
      <w:r>
        <w:rPr>
          <w:b w:val="0"/>
        </w:rPr>
      </w:r>
      <w:r>
        <w:rPr/>
        <w:t>Determining profit before tax on a segment basis</w:t>
      </w:r>
    </w:p>
    <w:p>
      <w:pPr>
        <w:pStyle w:val="BodyText"/>
        <w:rPr>
          <w:b/>
          <w:sz w:val="19"/>
        </w:rPr>
      </w:pPr>
    </w:p>
    <w:p>
      <w:pPr>
        <w:pStyle w:val="ListParagraph"/>
        <w:numPr>
          <w:ilvl w:val="0"/>
          <w:numId w:val="13"/>
        </w:numPr>
        <w:tabs>
          <w:tab w:pos="1444" w:val="left" w:leader="none"/>
        </w:tabs>
        <w:spacing w:line="271" w:lineRule="auto" w:before="1" w:after="0"/>
        <w:ind w:left="723" w:right="483" w:firstLine="0"/>
        <w:jc w:val="both"/>
        <w:rPr>
          <w:sz w:val="20"/>
        </w:rPr>
      </w:pPr>
      <w:r>
        <w:rPr>
          <w:sz w:val="20"/>
        </w:rPr>
        <w:t>Where a taxpayer computes the Amount A tax base on the basis of its disclosed segments it will still need to allocate a pool of central or unallocated costs between segments in order to arrive at the relevant PBT measure for each segment. In many instances, it may prove difficult, if not impossible, to allocate</w:t>
      </w:r>
      <w:r>
        <w:rPr>
          <w:spacing w:val="-13"/>
          <w:sz w:val="20"/>
        </w:rPr>
        <w:t> </w:t>
      </w:r>
      <w:r>
        <w:rPr>
          <w:sz w:val="20"/>
        </w:rPr>
        <w:t>these</w:t>
      </w:r>
      <w:r>
        <w:rPr>
          <w:spacing w:val="-12"/>
          <w:sz w:val="20"/>
        </w:rPr>
        <w:t> </w:t>
      </w:r>
      <w:r>
        <w:rPr>
          <w:sz w:val="20"/>
        </w:rPr>
        <w:t>costs</w:t>
      </w:r>
      <w:r>
        <w:rPr>
          <w:spacing w:val="-13"/>
          <w:sz w:val="20"/>
        </w:rPr>
        <w:t> </w:t>
      </w:r>
      <w:r>
        <w:rPr>
          <w:sz w:val="20"/>
        </w:rPr>
        <w:t>directly</w:t>
      </w:r>
      <w:r>
        <w:rPr>
          <w:spacing w:val="-15"/>
          <w:sz w:val="20"/>
        </w:rPr>
        <w:t> </w:t>
      </w:r>
      <w:r>
        <w:rPr>
          <w:sz w:val="20"/>
        </w:rPr>
        <w:t>between</w:t>
      </w:r>
      <w:r>
        <w:rPr>
          <w:spacing w:val="-12"/>
          <w:sz w:val="20"/>
        </w:rPr>
        <w:t> </w:t>
      </w:r>
      <w:r>
        <w:rPr>
          <w:sz w:val="20"/>
        </w:rPr>
        <w:t>segments.</w:t>
      </w:r>
      <w:r>
        <w:rPr>
          <w:spacing w:val="-14"/>
          <w:sz w:val="20"/>
        </w:rPr>
        <w:t> </w:t>
      </w:r>
      <w:r>
        <w:rPr>
          <w:sz w:val="20"/>
        </w:rPr>
        <w:t>Therefore,</w:t>
      </w:r>
      <w:r>
        <w:rPr>
          <w:spacing w:val="-14"/>
          <w:sz w:val="20"/>
        </w:rPr>
        <w:t> </w:t>
      </w:r>
      <w:r>
        <w:rPr>
          <w:sz w:val="20"/>
        </w:rPr>
        <w:t>again</w:t>
      </w:r>
      <w:r>
        <w:rPr>
          <w:spacing w:val="-12"/>
          <w:sz w:val="20"/>
        </w:rPr>
        <w:t> </w:t>
      </w:r>
      <w:r>
        <w:rPr>
          <w:sz w:val="20"/>
        </w:rPr>
        <w:t>as</w:t>
      </w:r>
      <w:r>
        <w:rPr>
          <w:spacing w:val="-13"/>
          <w:sz w:val="20"/>
        </w:rPr>
        <w:t> </w:t>
      </w:r>
      <w:r>
        <w:rPr>
          <w:sz w:val="20"/>
        </w:rPr>
        <w:t>a</w:t>
      </w:r>
      <w:r>
        <w:rPr>
          <w:spacing w:val="-14"/>
          <w:sz w:val="20"/>
        </w:rPr>
        <w:t> </w:t>
      </w:r>
      <w:r>
        <w:rPr>
          <w:sz w:val="20"/>
        </w:rPr>
        <w:t>rebuttable</w:t>
      </w:r>
      <w:r>
        <w:rPr>
          <w:spacing w:val="-12"/>
          <w:sz w:val="20"/>
        </w:rPr>
        <w:t> </w:t>
      </w:r>
      <w:r>
        <w:rPr>
          <w:sz w:val="20"/>
        </w:rPr>
        <w:t>presumption,</w:t>
      </w:r>
      <w:r>
        <w:rPr>
          <w:spacing w:val="-14"/>
          <w:sz w:val="20"/>
        </w:rPr>
        <w:t> </w:t>
      </w:r>
      <w:r>
        <w:rPr>
          <w:sz w:val="20"/>
        </w:rPr>
        <w:t>these</w:t>
      </w:r>
      <w:r>
        <w:rPr>
          <w:spacing w:val="-14"/>
          <w:sz w:val="20"/>
        </w:rPr>
        <w:t> </w:t>
      </w:r>
      <w:r>
        <w:rPr>
          <w:sz w:val="20"/>
        </w:rPr>
        <w:t>costs will be apportioned between segments using revenue as an allocation key. To prevent this rebuttable presumption giving rise to distortions, a safeguard rule could be introduced with the effect that the option of</w:t>
      </w:r>
      <w:r>
        <w:rPr>
          <w:spacing w:val="-4"/>
          <w:sz w:val="20"/>
        </w:rPr>
        <w:t> </w:t>
      </w:r>
      <w:r>
        <w:rPr>
          <w:sz w:val="20"/>
        </w:rPr>
        <w:t>using</w:t>
      </w:r>
      <w:r>
        <w:rPr>
          <w:spacing w:val="-5"/>
          <w:sz w:val="20"/>
        </w:rPr>
        <w:t> </w:t>
      </w:r>
      <w:r>
        <w:rPr>
          <w:sz w:val="20"/>
        </w:rPr>
        <w:t>a</w:t>
      </w:r>
      <w:r>
        <w:rPr>
          <w:spacing w:val="-6"/>
          <w:sz w:val="20"/>
        </w:rPr>
        <w:t> </w:t>
      </w:r>
      <w:r>
        <w:rPr>
          <w:sz w:val="20"/>
        </w:rPr>
        <w:t>revenue-based</w:t>
      </w:r>
      <w:r>
        <w:rPr>
          <w:spacing w:val="-6"/>
          <w:sz w:val="20"/>
        </w:rPr>
        <w:t> </w:t>
      </w:r>
      <w:r>
        <w:rPr>
          <w:sz w:val="20"/>
        </w:rPr>
        <w:t>allocation</w:t>
      </w:r>
      <w:r>
        <w:rPr>
          <w:spacing w:val="-5"/>
          <w:sz w:val="20"/>
        </w:rPr>
        <w:t> </w:t>
      </w:r>
      <w:r>
        <w:rPr>
          <w:sz w:val="20"/>
        </w:rPr>
        <w:t>of</w:t>
      </w:r>
      <w:r>
        <w:rPr>
          <w:spacing w:val="-3"/>
          <w:sz w:val="20"/>
        </w:rPr>
        <w:t> </w:t>
      </w:r>
      <w:r>
        <w:rPr>
          <w:sz w:val="20"/>
        </w:rPr>
        <w:t>costs</w:t>
      </w:r>
      <w:r>
        <w:rPr>
          <w:spacing w:val="-4"/>
          <w:sz w:val="20"/>
        </w:rPr>
        <w:t> </w:t>
      </w:r>
      <w:r>
        <w:rPr>
          <w:sz w:val="20"/>
        </w:rPr>
        <w:t>would</w:t>
      </w:r>
      <w:r>
        <w:rPr>
          <w:spacing w:val="-5"/>
          <w:sz w:val="20"/>
        </w:rPr>
        <w:t> </w:t>
      </w:r>
      <w:r>
        <w:rPr>
          <w:sz w:val="20"/>
        </w:rPr>
        <w:t>be</w:t>
      </w:r>
      <w:r>
        <w:rPr>
          <w:spacing w:val="-3"/>
          <w:sz w:val="20"/>
        </w:rPr>
        <w:t> </w:t>
      </w:r>
      <w:r>
        <w:rPr>
          <w:sz w:val="20"/>
        </w:rPr>
        <w:t>available</w:t>
      </w:r>
      <w:r>
        <w:rPr>
          <w:spacing w:val="-5"/>
          <w:sz w:val="20"/>
        </w:rPr>
        <w:t> </w:t>
      </w:r>
      <w:r>
        <w:rPr>
          <w:sz w:val="20"/>
        </w:rPr>
        <w:t>only</w:t>
      </w:r>
      <w:r>
        <w:rPr>
          <w:spacing w:val="-9"/>
          <w:sz w:val="20"/>
        </w:rPr>
        <w:t> </w:t>
      </w:r>
      <w:r>
        <w:rPr>
          <w:sz w:val="20"/>
        </w:rPr>
        <w:t>where</w:t>
      </w:r>
      <w:r>
        <w:rPr>
          <w:spacing w:val="-4"/>
          <w:sz w:val="20"/>
        </w:rPr>
        <w:t> </w:t>
      </w:r>
      <w:r>
        <w:rPr>
          <w:sz w:val="20"/>
        </w:rPr>
        <w:t>the</w:t>
      </w:r>
      <w:r>
        <w:rPr>
          <w:spacing w:val="-5"/>
          <w:sz w:val="20"/>
        </w:rPr>
        <w:t> </w:t>
      </w:r>
      <w:r>
        <w:rPr>
          <w:sz w:val="20"/>
        </w:rPr>
        <w:t>proportion</w:t>
      </w:r>
      <w:r>
        <w:rPr>
          <w:spacing w:val="-6"/>
          <w:sz w:val="20"/>
        </w:rPr>
        <w:t> </w:t>
      </w:r>
      <w:r>
        <w:rPr>
          <w:sz w:val="20"/>
        </w:rPr>
        <w:t>of</w:t>
      </w:r>
      <w:r>
        <w:rPr>
          <w:spacing w:val="-3"/>
          <w:sz w:val="20"/>
        </w:rPr>
        <w:t> </w:t>
      </w:r>
      <w:r>
        <w:rPr>
          <w:sz w:val="20"/>
        </w:rPr>
        <w:t>central</w:t>
      </w:r>
      <w:r>
        <w:rPr>
          <w:spacing w:val="-6"/>
          <w:sz w:val="20"/>
        </w:rPr>
        <w:t> </w:t>
      </w:r>
      <w:r>
        <w:rPr>
          <w:sz w:val="20"/>
        </w:rPr>
        <w:t>costs to be allocated between segments falls below a given percentage of total group or segment costs. Above this threshold, there would be a requirement to allocate costs using a more accurate, less approximate method. Where taxpayers compute their Amount A tax base on a segmented basis there will also be a requirement to reconcile the aggregated PBT (as calculated for the purposes of Amount A) at a segment level, with the PBT reported at a consolidated</w:t>
      </w:r>
      <w:r>
        <w:rPr>
          <w:spacing w:val="-1"/>
          <w:sz w:val="20"/>
        </w:rPr>
        <w:t> </w:t>
      </w:r>
      <w:r>
        <w:rPr>
          <w:sz w:val="20"/>
        </w:rPr>
        <w:t>level.</w:t>
      </w:r>
    </w:p>
    <w:p>
      <w:pPr>
        <w:pStyle w:val="ListParagraph"/>
        <w:numPr>
          <w:ilvl w:val="0"/>
          <w:numId w:val="13"/>
        </w:numPr>
        <w:tabs>
          <w:tab w:pos="1444" w:val="left" w:leader="none"/>
        </w:tabs>
        <w:spacing w:line="271" w:lineRule="auto" w:before="122" w:after="0"/>
        <w:ind w:left="723" w:right="479" w:firstLine="0"/>
        <w:jc w:val="both"/>
        <w:rPr>
          <w:sz w:val="20"/>
        </w:rPr>
      </w:pPr>
      <w:r>
        <w:rPr>
          <w:sz w:val="20"/>
        </w:rPr>
        <w:t>When applying Amount A on a segmented basis, the treatment of intersegmental transactions remains to be determined. There may be instances where groups recognise intersegmental transactions in their segmented financial statements, or where a specific approach to segmentation requires the recognition of intersegmental transactions. Intersegmental transactions will be eliminated as part of the preparation of consolidated financial accounts. However, these transactions may have a direct </w:t>
      </w:r>
      <w:r>
        <w:rPr>
          <w:spacing w:val="2"/>
          <w:sz w:val="20"/>
        </w:rPr>
        <w:t>impact </w:t>
      </w:r>
      <w:r>
        <w:rPr>
          <w:sz w:val="20"/>
        </w:rPr>
        <w:t>on the reported profitability of different segments. This could, where Amount A is applied on a segmented basis, create incentives for groups to use intersegmental transactions to shift profits to segments that are primarily</w:t>
      </w:r>
      <w:r>
        <w:rPr>
          <w:spacing w:val="-17"/>
          <w:sz w:val="20"/>
        </w:rPr>
        <w:t> </w:t>
      </w:r>
      <w:r>
        <w:rPr>
          <w:sz w:val="20"/>
        </w:rPr>
        <w:t>out-of-scope</w:t>
      </w:r>
      <w:r>
        <w:rPr>
          <w:spacing w:val="-13"/>
          <w:sz w:val="20"/>
        </w:rPr>
        <w:t> </w:t>
      </w:r>
      <w:r>
        <w:rPr>
          <w:sz w:val="20"/>
        </w:rPr>
        <w:t>of</w:t>
      </w:r>
      <w:r>
        <w:rPr>
          <w:spacing w:val="-13"/>
          <w:sz w:val="20"/>
        </w:rPr>
        <w:t> </w:t>
      </w:r>
      <w:r>
        <w:rPr>
          <w:sz w:val="20"/>
        </w:rPr>
        <w:t>Amount</w:t>
      </w:r>
      <w:r>
        <w:rPr>
          <w:spacing w:val="-14"/>
          <w:sz w:val="20"/>
        </w:rPr>
        <w:t> </w:t>
      </w:r>
      <w:r>
        <w:rPr>
          <w:sz w:val="20"/>
        </w:rPr>
        <w:t>A</w:t>
      </w:r>
      <w:r>
        <w:rPr>
          <w:spacing w:val="-14"/>
          <w:sz w:val="20"/>
        </w:rPr>
        <w:t> </w:t>
      </w:r>
      <w:r>
        <w:rPr>
          <w:sz w:val="20"/>
        </w:rPr>
        <w:t>(or</w:t>
      </w:r>
      <w:r>
        <w:rPr>
          <w:spacing w:val="-13"/>
          <w:sz w:val="20"/>
        </w:rPr>
        <w:t> </w:t>
      </w:r>
      <w:r>
        <w:rPr>
          <w:sz w:val="20"/>
        </w:rPr>
        <w:t>conversely</w:t>
      </w:r>
      <w:r>
        <w:rPr>
          <w:spacing w:val="-15"/>
          <w:sz w:val="20"/>
        </w:rPr>
        <w:t> </w:t>
      </w:r>
      <w:r>
        <w:rPr>
          <w:sz w:val="20"/>
        </w:rPr>
        <w:t>losses</w:t>
      </w:r>
      <w:r>
        <w:rPr>
          <w:spacing w:val="-13"/>
          <w:sz w:val="20"/>
        </w:rPr>
        <w:t> </w:t>
      </w:r>
      <w:r>
        <w:rPr>
          <w:sz w:val="20"/>
        </w:rPr>
        <w:t>to</w:t>
      </w:r>
      <w:r>
        <w:rPr>
          <w:spacing w:val="-14"/>
          <w:sz w:val="20"/>
        </w:rPr>
        <w:t> </w:t>
      </w:r>
      <w:r>
        <w:rPr>
          <w:sz w:val="20"/>
        </w:rPr>
        <w:t>segments</w:t>
      </w:r>
      <w:r>
        <w:rPr>
          <w:spacing w:val="-13"/>
          <w:sz w:val="20"/>
        </w:rPr>
        <w:t> </w:t>
      </w:r>
      <w:r>
        <w:rPr>
          <w:sz w:val="20"/>
        </w:rPr>
        <w:t>that</w:t>
      </w:r>
      <w:r>
        <w:rPr>
          <w:spacing w:val="-14"/>
          <w:sz w:val="20"/>
        </w:rPr>
        <w:t> </w:t>
      </w:r>
      <w:r>
        <w:rPr>
          <w:sz w:val="20"/>
        </w:rPr>
        <w:t>are</w:t>
      </w:r>
      <w:r>
        <w:rPr>
          <w:spacing w:val="-13"/>
          <w:sz w:val="20"/>
        </w:rPr>
        <w:t> </w:t>
      </w:r>
      <w:r>
        <w:rPr>
          <w:sz w:val="20"/>
        </w:rPr>
        <w:t>primarily</w:t>
      </w:r>
      <w:r>
        <w:rPr>
          <w:spacing w:val="-16"/>
          <w:sz w:val="20"/>
        </w:rPr>
        <w:t> </w:t>
      </w:r>
      <w:r>
        <w:rPr>
          <w:sz w:val="20"/>
        </w:rPr>
        <w:t>in</w:t>
      </w:r>
      <w:r>
        <w:rPr>
          <w:spacing w:val="-14"/>
          <w:sz w:val="20"/>
        </w:rPr>
        <w:t> </w:t>
      </w:r>
      <w:r>
        <w:rPr>
          <w:sz w:val="20"/>
        </w:rPr>
        <w:t>scope</w:t>
      </w:r>
      <w:r>
        <w:rPr>
          <w:spacing w:val="-13"/>
          <w:sz w:val="20"/>
        </w:rPr>
        <w:t> </w:t>
      </w:r>
      <w:r>
        <w:rPr>
          <w:sz w:val="20"/>
        </w:rPr>
        <w:t>of</w:t>
      </w:r>
      <w:r>
        <w:rPr>
          <w:spacing w:val="-13"/>
          <w:sz w:val="20"/>
        </w:rPr>
        <w:t> </w:t>
      </w:r>
      <w:r>
        <w:rPr>
          <w:sz w:val="20"/>
        </w:rPr>
        <w:t>Amount A).</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w:t>
      </w:r>
      <w:r>
        <w:rPr>
          <w:spacing w:val="-10"/>
          <w:sz w:val="20"/>
        </w:rPr>
        <w:t> </w:t>
      </w:r>
      <w:r>
        <w:rPr>
          <w:sz w:val="20"/>
        </w:rPr>
        <w:t>simplest</w:t>
      </w:r>
      <w:r>
        <w:rPr>
          <w:spacing w:val="-9"/>
          <w:sz w:val="20"/>
        </w:rPr>
        <w:t> </w:t>
      </w:r>
      <w:r>
        <w:rPr>
          <w:sz w:val="20"/>
        </w:rPr>
        <w:t>way</w:t>
      </w:r>
      <w:r>
        <w:rPr>
          <w:spacing w:val="-10"/>
          <w:sz w:val="20"/>
        </w:rPr>
        <w:t> </w:t>
      </w:r>
      <w:r>
        <w:rPr>
          <w:sz w:val="20"/>
        </w:rPr>
        <w:t>to</w:t>
      </w:r>
      <w:r>
        <w:rPr>
          <w:spacing w:val="-7"/>
          <w:sz w:val="20"/>
        </w:rPr>
        <w:t> </w:t>
      </w:r>
      <w:r>
        <w:rPr>
          <w:sz w:val="20"/>
        </w:rPr>
        <w:t>guard</w:t>
      </w:r>
      <w:r>
        <w:rPr>
          <w:spacing w:val="-5"/>
          <w:sz w:val="20"/>
        </w:rPr>
        <w:t> </w:t>
      </w:r>
      <w:r>
        <w:rPr>
          <w:sz w:val="20"/>
        </w:rPr>
        <w:t>against</w:t>
      </w:r>
      <w:r>
        <w:rPr>
          <w:spacing w:val="-9"/>
          <w:sz w:val="20"/>
        </w:rPr>
        <w:t> </w:t>
      </w:r>
      <w:r>
        <w:rPr>
          <w:sz w:val="20"/>
        </w:rPr>
        <w:t>this</w:t>
      </w:r>
      <w:r>
        <w:rPr>
          <w:spacing w:val="-8"/>
          <w:sz w:val="20"/>
        </w:rPr>
        <w:t> </w:t>
      </w:r>
      <w:r>
        <w:rPr>
          <w:sz w:val="20"/>
        </w:rPr>
        <w:t>risk</w:t>
      </w:r>
      <w:r>
        <w:rPr>
          <w:spacing w:val="-5"/>
          <w:sz w:val="20"/>
        </w:rPr>
        <w:t> </w:t>
      </w:r>
      <w:r>
        <w:rPr>
          <w:sz w:val="20"/>
        </w:rPr>
        <w:t>would</w:t>
      </w:r>
      <w:r>
        <w:rPr>
          <w:spacing w:val="-8"/>
          <w:sz w:val="20"/>
        </w:rPr>
        <w:t> </w:t>
      </w:r>
      <w:r>
        <w:rPr>
          <w:sz w:val="20"/>
        </w:rPr>
        <w:t>be</w:t>
      </w:r>
      <w:r>
        <w:rPr>
          <w:spacing w:val="-7"/>
          <w:sz w:val="20"/>
        </w:rPr>
        <w:t> </w:t>
      </w:r>
      <w:r>
        <w:rPr>
          <w:sz w:val="20"/>
        </w:rPr>
        <w:t>to</w:t>
      </w:r>
      <w:r>
        <w:rPr>
          <w:spacing w:val="-7"/>
          <w:sz w:val="20"/>
        </w:rPr>
        <w:t> </w:t>
      </w:r>
      <w:r>
        <w:rPr>
          <w:sz w:val="20"/>
        </w:rPr>
        <w:t>exclude</w:t>
      </w:r>
      <w:r>
        <w:rPr>
          <w:spacing w:val="-7"/>
          <w:sz w:val="20"/>
        </w:rPr>
        <w:t> </w:t>
      </w:r>
      <w:r>
        <w:rPr>
          <w:sz w:val="20"/>
        </w:rPr>
        <w:t>all</w:t>
      </w:r>
      <w:r>
        <w:rPr>
          <w:spacing w:val="-7"/>
          <w:sz w:val="20"/>
        </w:rPr>
        <w:t> </w:t>
      </w:r>
      <w:r>
        <w:rPr>
          <w:sz w:val="20"/>
        </w:rPr>
        <w:t>intersegmental</w:t>
      </w:r>
      <w:r>
        <w:rPr>
          <w:spacing w:val="-8"/>
          <w:sz w:val="20"/>
        </w:rPr>
        <w:t> </w:t>
      </w:r>
      <w:r>
        <w:rPr>
          <w:sz w:val="20"/>
        </w:rPr>
        <w:t>transactions</w:t>
      </w:r>
      <w:r>
        <w:rPr>
          <w:spacing w:val="-9"/>
          <w:sz w:val="20"/>
        </w:rPr>
        <w:t> </w:t>
      </w:r>
      <w:r>
        <w:rPr>
          <w:sz w:val="20"/>
        </w:rPr>
        <w:t>for the purposes of Amount A. However, in some instances this would result in the misallocation of profits between segments – e.g. where one segment incurs substantial costs in developing an intangible that is then profitably exploited in another segment. To address the challenges associated with intersegmental transactions, consideration is being given to requiring a group to combine relevant segments where intersegmental transactions exceed a given percentage of the revenue attributable to a</w:t>
      </w:r>
      <w:r>
        <w:rPr>
          <w:spacing w:val="-23"/>
          <w:sz w:val="20"/>
        </w:rPr>
        <w:t> </w:t>
      </w:r>
      <w:r>
        <w:rPr>
          <w:sz w:val="20"/>
        </w:rPr>
        <w:t>segment.</w:t>
      </w:r>
    </w:p>
    <w:p>
      <w:pPr>
        <w:spacing w:after="0" w:line="271" w:lineRule="auto"/>
        <w:jc w:val="both"/>
        <w:rPr>
          <w:sz w:val="20"/>
        </w:rPr>
        <w:sectPr>
          <w:pgSz w:w="11910" w:h="16840"/>
          <w:pgMar w:header="1244" w:footer="1638" w:top="1500" w:bottom="1820" w:left="580" w:right="820"/>
        </w:sectPr>
      </w:pPr>
    </w:p>
    <w:p>
      <w:pPr>
        <w:pStyle w:val="BodyText"/>
        <w:spacing w:before="7"/>
        <w:rPr>
          <w:sz w:val="19"/>
        </w:rPr>
      </w:pPr>
    </w:p>
    <w:p>
      <w:pPr>
        <w:pStyle w:val="Heading7"/>
        <w:spacing w:before="93"/>
        <w:rPr>
          <w:i/>
        </w:rPr>
      </w:pPr>
      <w:bookmarkStart w:name="Step 3(c): Computing Amount A based on a" w:id="239"/>
      <w:bookmarkEnd w:id="239"/>
      <w:r>
        <w:rPr>
          <w:i w:val="0"/>
        </w:rPr>
      </w:r>
      <w:r>
        <w:rPr>
          <w:i/>
          <w:color w:val="616161"/>
        </w:rPr>
        <w:t>Step 3(c): Computing Amount A based on alternative segments</w:t>
      </w:r>
    </w:p>
    <w:p>
      <w:pPr>
        <w:pStyle w:val="ListParagraph"/>
        <w:numPr>
          <w:ilvl w:val="0"/>
          <w:numId w:val="13"/>
        </w:numPr>
        <w:tabs>
          <w:tab w:pos="1444" w:val="left" w:leader="none"/>
        </w:tabs>
        <w:spacing w:line="271" w:lineRule="auto" w:before="215" w:after="0"/>
        <w:ind w:left="723" w:right="483" w:firstLine="0"/>
        <w:jc w:val="both"/>
        <w:rPr>
          <w:sz w:val="20"/>
        </w:rPr>
      </w:pPr>
      <w:r>
        <w:rPr>
          <w:sz w:val="20"/>
        </w:rPr>
        <w:t>The</w:t>
      </w:r>
      <w:r>
        <w:rPr>
          <w:spacing w:val="-8"/>
          <w:sz w:val="20"/>
        </w:rPr>
        <w:t> </w:t>
      </w:r>
      <w:r>
        <w:rPr>
          <w:sz w:val="20"/>
        </w:rPr>
        <w:t>few</w:t>
      </w:r>
      <w:r>
        <w:rPr>
          <w:spacing w:val="-7"/>
          <w:sz w:val="20"/>
        </w:rPr>
        <w:t> </w:t>
      </w:r>
      <w:r>
        <w:rPr>
          <w:sz w:val="20"/>
        </w:rPr>
        <w:t>groups</w:t>
      </w:r>
      <w:r>
        <w:rPr>
          <w:spacing w:val="-5"/>
          <w:sz w:val="20"/>
        </w:rPr>
        <w:t> </w:t>
      </w:r>
      <w:r>
        <w:rPr>
          <w:sz w:val="20"/>
        </w:rPr>
        <w:t>that</w:t>
      </w:r>
      <w:r>
        <w:rPr>
          <w:spacing w:val="-5"/>
          <w:sz w:val="20"/>
        </w:rPr>
        <w:t> </w:t>
      </w:r>
      <w:r>
        <w:rPr>
          <w:sz w:val="20"/>
        </w:rPr>
        <w:t>are</w:t>
      </w:r>
      <w:r>
        <w:rPr>
          <w:spacing w:val="-5"/>
          <w:sz w:val="20"/>
        </w:rPr>
        <w:t> </w:t>
      </w:r>
      <w:r>
        <w:rPr>
          <w:sz w:val="20"/>
        </w:rPr>
        <w:t>not</w:t>
      </w:r>
      <w:r>
        <w:rPr>
          <w:spacing w:val="-4"/>
          <w:sz w:val="20"/>
        </w:rPr>
        <w:t> </w:t>
      </w:r>
      <w:r>
        <w:rPr>
          <w:sz w:val="20"/>
        </w:rPr>
        <w:t>able</w:t>
      </w:r>
      <w:r>
        <w:rPr>
          <w:spacing w:val="-6"/>
          <w:sz w:val="20"/>
        </w:rPr>
        <w:t> </w:t>
      </w:r>
      <w:r>
        <w:rPr>
          <w:sz w:val="20"/>
        </w:rPr>
        <w:t>to</w:t>
      </w:r>
      <w:r>
        <w:rPr>
          <w:spacing w:val="-6"/>
          <w:sz w:val="20"/>
        </w:rPr>
        <w:t> </w:t>
      </w:r>
      <w:r>
        <w:rPr>
          <w:sz w:val="20"/>
        </w:rPr>
        <w:t>compute</w:t>
      </w:r>
      <w:r>
        <w:rPr>
          <w:spacing w:val="-6"/>
          <w:sz w:val="20"/>
        </w:rPr>
        <w:t> </w:t>
      </w:r>
      <w:r>
        <w:rPr>
          <w:sz w:val="20"/>
        </w:rPr>
        <w:t>the</w:t>
      </w:r>
      <w:r>
        <w:rPr>
          <w:spacing w:val="-6"/>
          <w:sz w:val="20"/>
        </w:rPr>
        <w:t> </w:t>
      </w:r>
      <w:r>
        <w:rPr>
          <w:sz w:val="20"/>
        </w:rPr>
        <w:t>Amount</w:t>
      </w:r>
      <w:r>
        <w:rPr>
          <w:spacing w:val="-6"/>
          <w:sz w:val="20"/>
        </w:rPr>
        <w:t> </w:t>
      </w:r>
      <w:r>
        <w:rPr>
          <w:sz w:val="20"/>
        </w:rPr>
        <w:t>A</w:t>
      </w:r>
      <w:r>
        <w:rPr>
          <w:spacing w:val="-6"/>
          <w:sz w:val="20"/>
        </w:rPr>
        <w:t> </w:t>
      </w:r>
      <w:r>
        <w:rPr>
          <w:sz w:val="20"/>
        </w:rPr>
        <w:t>tax</w:t>
      </w:r>
      <w:r>
        <w:rPr>
          <w:spacing w:val="-5"/>
          <w:sz w:val="20"/>
        </w:rPr>
        <w:t> </w:t>
      </w:r>
      <w:r>
        <w:rPr>
          <w:sz w:val="20"/>
        </w:rPr>
        <w:t>base</w:t>
      </w:r>
      <w:r>
        <w:rPr>
          <w:spacing w:val="-6"/>
          <w:sz w:val="20"/>
        </w:rPr>
        <w:t> </w:t>
      </w:r>
      <w:r>
        <w:rPr>
          <w:sz w:val="20"/>
        </w:rPr>
        <w:t>on</w:t>
      </w:r>
      <w:r>
        <w:rPr>
          <w:spacing w:val="-6"/>
          <w:sz w:val="20"/>
        </w:rPr>
        <w:t> </w:t>
      </w:r>
      <w:r>
        <w:rPr>
          <w:sz w:val="20"/>
        </w:rPr>
        <w:t>a</w:t>
      </w:r>
      <w:r>
        <w:rPr>
          <w:spacing w:val="-6"/>
          <w:sz w:val="20"/>
        </w:rPr>
        <w:t> </w:t>
      </w:r>
      <w:r>
        <w:rPr>
          <w:sz w:val="20"/>
        </w:rPr>
        <w:t>group</w:t>
      </w:r>
      <w:r>
        <w:rPr>
          <w:spacing w:val="-6"/>
          <w:sz w:val="20"/>
        </w:rPr>
        <w:t> </w:t>
      </w:r>
      <w:r>
        <w:rPr>
          <w:sz w:val="20"/>
        </w:rPr>
        <w:t>basis</w:t>
      </w:r>
      <w:r>
        <w:rPr>
          <w:spacing w:val="-4"/>
          <w:sz w:val="20"/>
        </w:rPr>
        <w:t> </w:t>
      </w:r>
      <w:r>
        <w:rPr>
          <w:sz w:val="20"/>
        </w:rPr>
        <w:t>or</w:t>
      </w:r>
      <w:r>
        <w:rPr>
          <w:spacing w:val="-5"/>
          <w:sz w:val="20"/>
        </w:rPr>
        <w:t> </w:t>
      </w:r>
      <w:r>
        <w:rPr>
          <w:sz w:val="20"/>
        </w:rPr>
        <w:t>based</w:t>
      </w:r>
      <w:r>
        <w:rPr>
          <w:spacing w:val="-6"/>
          <w:sz w:val="20"/>
        </w:rPr>
        <w:t> </w:t>
      </w:r>
      <w:r>
        <w:rPr>
          <w:sz w:val="20"/>
        </w:rPr>
        <w:t>on their disclosed segments could be required to perform that computation on the basis of alternative segments. This alternative approach would be determined based on the definition of a segment for the purposes of Amount A, as outlined above. It would be expected that this alternative approach would in most instances merely require a group to further break down the profit or loss account of an existing segment or segments and that the group may have an existing internal reporting framework on which to base this alternative</w:t>
      </w:r>
      <w:r>
        <w:rPr>
          <w:spacing w:val="-3"/>
          <w:sz w:val="20"/>
        </w:rPr>
        <w:t> </w:t>
      </w:r>
      <w:r>
        <w:rPr>
          <w:sz w:val="20"/>
        </w:rPr>
        <w:t>segmentation.</w:t>
      </w:r>
    </w:p>
    <w:p>
      <w:pPr>
        <w:pStyle w:val="ListParagraph"/>
        <w:numPr>
          <w:ilvl w:val="0"/>
          <w:numId w:val="13"/>
        </w:numPr>
        <w:tabs>
          <w:tab w:pos="1444" w:val="left" w:leader="none"/>
        </w:tabs>
        <w:spacing w:line="271" w:lineRule="auto" w:before="122" w:after="0"/>
        <w:ind w:left="723" w:right="488" w:firstLine="0"/>
        <w:jc w:val="both"/>
        <w:rPr>
          <w:sz w:val="20"/>
        </w:rPr>
      </w:pPr>
      <w:r>
        <w:rPr>
          <w:sz w:val="20"/>
        </w:rPr>
        <w:t>A</w:t>
      </w:r>
      <w:r>
        <w:rPr>
          <w:spacing w:val="-18"/>
          <w:sz w:val="20"/>
        </w:rPr>
        <w:t> </w:t>
      </w:r>
      <w:r>
        <w:rPr>
          <w:sz w:val="20"/>
        </w:rPr>
        <w:t>taxpayer</w:t>
      </w:r>
      <w:r>
        <w:rPr>
          <w:spacing w:val="-16"/>
          <w:sz w:val="20"/>
        </w:rPr>
        <w:t> </w:t>
      </w:r>
      <w:r>
        <w:rPr>
          <w:sz w:val="20"/>
        </w:rPr>
        <w:t>could</w:t>
      </w:r>
      <w:r>
        <w:rPr>
          <w:spacing w:val="-17"/>
          <w:sz w:val="20"/>
        </w:rPr>
        <w:t> </w:t>
      </w:r>
      <w:r>
        <w:rPr>
          <w:sz w:val="20"/>
        </w:rPr>
        <w:t>determine</w:t>
      </w:r>
      <w:r>
        <w:rPr>
          <w:spacing w:val="-18"/>
          <w:sz w:val="20"/>
        </w:rPr>
        <w:t> </w:t>
      </w:r>
      <w:r>
        <w:rPr>
          <w:sz w:val="20"/>
        </w:rPr>
        <w:t>(or</w:t>
      </w:r>
      <w:r>
        <w:rPr>
          <w:spacing w:val="-16"/>
          <w:sz w:val="20"/>
        </w:rPr>
        <w:t> </w:t>
      </w:r>
      <w:r>
        <w:rPr>
          <w:sz w:val="20"/>
        </w:rPr>
        <w:t>tax</w:t>
      </w:r>
      <w:r>
        <w:rPr>
          <w:spacing w:val="-16"/>
          <w:sz w:val="20"/>
        </w:rPr>
        <w:t> </w:t>
      </w:r>
      <w:r>
        <w:rPr>
          <w:sz w:val="20"/>
        </w:rPr>
        <w:t>administrations,</w:t>
      </w:r>
      <w:r>
        <w:rPr>
          <w:spacing w:val="-17"/>
          <w:sz w:val="20"/>
        </w:rPr>
        <w:t> </w:t>
      </w:r>
      <w:r>
        <w:rPr>
          <w:sz w:val="20"/>
        </w:rPr>
        <w:t>through</w:t>
      </w:r>
      <w:r>
        <w:rPr>
          <w:spacing w:val="-16"/>
          <w:sz w:val="20"/>
        </w:rPr>
        <w:t> </w:t>
      </w:r>
      <w:r>
        <w:rPr>
          <w:sz w:val="20"/>
        </w:rPr>
        <w:t>the</w:t>
      </w:r>
      <w:r>
        <w:rPr>
          <w:spacing w:val="-17"/>
          <w:sz w:val="20"/>
        </w:rPr>
        <w:t> </w:t>
      </w:r>
      <w:r>
        <w:rPr>
          <w:sz w:val="20"/>
        </w:rPr>
        <w:t>tax</w:t>
      </w:r>
      <w:r>
        <w:rPr>
          <w:spacing w:val="-16"/>
          <w:sz w:val="20"/>
        </w:rPr>
        <w:t> </w:t>
      </w:r>
      <w:r>
        <w:rPr>
          <w:sz w:val="20"/>
        </w:rPr>
        <w:t>certainty</w:t>
      </w:r>
      <w:r>
        <w:rPr>
          <w:spacing w:val="-20"/>
          <w:sz w:val="20"/>
        </w:rPr>
        <w:t> </w:t>
      </w:r>
      <w:r>
        <w:rPr>
          <w:sz w:val="20"/>
        </w:rPr>
        <w:t>process</w:t>
      </w:r>
      <w:r>
        <w:rPr>
          <w:spacing w:val="-16"/>
          <w:sz w:val="20"/>
        </w:rPr>
        <w:t> </w:t>
      </w:r>
      <w:r>
        <w:rPr>
          <w:sz w:val="20"/>
        </w:rPr>
        <w:t>could</w:t>
      </w:r>
      <w:r>
        <w:rPr>
          <w:spacing w:val="-17"/>
          <w:sz w:val="20"/>
        </w:rPr>
        <w:t> </w:t>
      </w:r>
      <w:r>
        <w:rPr>
          <w:sz w:val="20"/>
        </w:rPr>
        <w:t>require) that Amount A should be applied on the basis of an alternative segmentation. Hence, this option should deter</w:t>
      </w:r>
      <w:r>
        <w:rPr>
          <w:spacing w:val="-4"/>
          <w:sz w:val="20"/>
        </w:rPr>
        <w:t> </w:t>
      </w:r>
      <w:r>
        <w:rPr>
          <w:sz w:val="20"/>
        </w:rPr>
        <w:t>taxpayers</w:t>
      </w:r>
      <w:r>
        <w:rPr>
          <w:spacing w:val="-2"/>
          <w:sz w:val="20"/>
        </w:rPr>
        <w:t> </w:t>
      </w:r>
      <w:r>
        <w:rPr>
          <w:sz w:val="20"/>
        </w:rPr>
        <w:t>that</w:t>
      </w:r>
      <w:r>
        <w:rPr>
          <w:spacing w:val="-4"/>
          <w:sz w:val="20"/>
        </w:rPr>
        <w:t> </w:t>
      </w:r>
      <w:r>
        <w:rPr>
          <w:sz w:val="20"/>
        </w:rPr>
        <w:t>may</w:t>
      </w:r>
      <w:r>
        <w:rPr>
          <w:spacing w:val="-7"/>
          <w:sz w:val="20"/>
        </w:rPr>
        <w:t> </w:t>
      </w:r>
      <w:r>
        <w:rPr>
          <w:sz w:val="20"/>
        </w:rPr>
        <w:t>otherwise</w:t>
      </w:r>
      <w:r>
        <w:rPr>
          <w:spacing w:val="-4"/>
          <w:sz w:val="20"/>
        </w:rPr>
        <w:t> </w:t>
      </w:r>
      <w:r>
        <w:rPr>
          <w:sz w:val="20"/>
        </w:rPr>
        <w:t>seek to</w:t>
      </w:r>
      <w:r>
        <w:rPr>
          <w:spacing w:val="-4"/>
          <w:sz w:val="20"/>
        </w:rPr>
        <w:t> </w:t>
      </w:r>
      <w:r>
        <w:rPr>
          <w:sz w:val="20"/>
        </w:rPr>
        <w:t>use</w:t>
      </w:r>
      <w:r>
        <w:rPr>
          <w:spacing w:val="-4"/>
          <w:sz w:val="20"/>
        </w:rPr>
        <w:t> </w:t>
      </w:r>
      <w:r>
        <w:rPr>
          <w:sz w:val="20"/>
        </w:rPr>
        <w:t>their</w:t>
      </w:r>
      <w:r>
        <w:rPr>
          <w:spacing w:val="-2"/>
          <w:sz w:val="20"/>
        </w:rPr>
        <w:t> </w:t>
      </w:r>
      <w:r>
        <w:rPr>
          <w:sz w:val="20"/>
        </w:rPr>
        <w:t>approach</w:t>
      </w:r>
      <w:r>
        <w:rPr>
          <w:spacing w:val="-4"/>
          <w:sz w:val="20"/>
        </w:rPr>
        <w:t> </w:t>
      </w:r>
      <w:r>
        <w:rPr>
          <w:sz w:val="20"/>
        </w:rPr>
        <w:t>to</w:t>
      </w:r>
      <w:r>
        <w:rPr>
          <w:spacing w:val="-4"/>
          <w:sz w:val="20"/>
        </w:rPr>
        <w:t> </w:t>
      </w:r>
      <w:r>
        <w:rPr>
          <w:sz w:val="20"/>
        </w:rPr>
        <w:t>segmentation</w:t>
      </w:r>
      <w:r>
        <w:rPr>
          <w:spacing w:val="-1"/>
          <w:sz w:val="20"/>
        </w:rPr>
        <w:t> </w:t>
      </w:r>
      <w:r>
        <w:rPr>
          <w:sz w:val="20"/>
        </w:rPr>
        <w:t>as</w:t>
      </w:r>
      <w:r>
        <w:rPr>
          <w:spacing w:val="-3"/>
          <w:sz w:val="20"/>
        </w:rPr>
        <w:t> </w:t>
      </w:r>
      <w:r>
        <w:rPr>
          <w:sz w:val="20"/>
        </w:rPr>
        <w:t>a</w:t>
      </w:r>
      <w:r>
        <w:rPr>
          <w:spacing w:val="-5"/>
          <w:sz w:val="20"/>
        </w:rPr>
        <w:t> </w:t>
      </w:r>
      <w:r>
        <w:rPr>
          <w:sz w:val="20"/>
        </w:rPr>
        <w:t>tool</w:t>
      </w:r>
      <w:r>
        <w:rPr>
          <w:spacing w:val="-4"/>
          <w:sz w:val="20"/>
        </w:rPr>
        <w:t> </w:t>
      </w:r>
      <w:r>
        <w:rPr>
          <w:sz w:val="20"/>
        </w:rPr>
        <w:t>for</w:t>
      </w:r>
      <w:r>
        <w:rPr>
          <w:spacing w:val="-4"/>
          <w:sz w:val="20"/>
        </w:rPr>
        <w:t> </w:t>
      </w:r>
      <w:r>
        <w:rPr>
          <w:sz w:val="20"/>
        </w:rPr>
        <w:t>tax</w:t>
      </w:r>
      <w:r>
        <w:rPr>
          <w:spacing w:val="-3"/>
          <w:sz w:val="20"/>
        </w:rPr>
        <w:t> </w:t>
      </w:r>
      <w:r>
        <w:rPr>
          <w:sz w:val="20"/>
        </w:rPr>
        <w:t>planning.</w:t>
      </w:r>
    </w:p>
    <w:p>
      <w:pPr>
        <w:pStyle w:val="BodyText"/>
        <w:spacing w:before="6"/>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3.5. Next steps" w:id="240"/>
      <w:bookmarkEnd w:id="240"/>
      <w:r>
        <w:rPr>
          <w:b w:val="0"/>
          <w:i w:val="0"/>
        </w:rPr>
      </w:r>
      <w:bookmarkStart w:name="5.3.5. Next steps" w:id="241"/>
      <w:bookmarkEnd w:id="241"/>
      <w:r>
        <w:rPr>
          <w:i/>
        </w:rPr>
        <w:t>N</w:t>
      </w:r>
      <w:r>
        <w:rPr>
          <w:i/>
        </w:rPr>
        <w:t>ext steps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As a next step, further work will be undertaken to finalise the following specific areas of the segmentation framework:</w:t>
      </w:r>
    </w:p>
    <w:p>
      <w:pPr>
        <w:pStyle w:val="ListParagraph"/>
        <w:numPr>
          <w:ilvl w:val="0"/>
          <w:numId w:val="64"/>
        </w:numPr>
        <w:tabs>
          <w:tab w:pos="1403" w:val="left" w:leader="none"/>
        </w:tabs>
        <w:spacing w:line="240" w:lineRule="auto" w:before="100" w:after="0"/>
        <w:ind w:left="1402" w:right="0" w:hanging="339"/>
        <w:jc w:val="both"/>
        <w:rPr>
          <w:sz w:val="20"/>
        </w:rPr>
      </w:pPr>
      <w:r>
        <w:rPr>
          <w:sz w:val="20"/>
        </w:rPr>
        <w:t>The exemption from segmentation (step two),</w:t>
      </w:r>
      <w:r>
        <w:rPr>
          <w:spacing w:val="-4"/>
          <w:sz w:val="20"/>
        </w:rPr>
        <w:t> </w:t>
      </w:r>
      <w:r>
        <w:rPr>
          <w:sz w:val="20"/>
        </w:rPr>
        <w:t>especially:</w:t>
      </w:r>
    </w:p>
    <w:p>
      <w:pPr>
        <w:pStyle w:val="ListParagraph"/>
        <w:numPr>
          <w:ilvl w:val="1"/>
          <w:numId w:val="64"/>
        </w:numPr>
        <w:tabs>
          <w:tab w:pos="1744" w:val="left" w:leader="none"/>
        </w:tabs>
        <w:spacing w:line="264" w:lineRule="auto" w:before="88" w:after="0"/>
        <w:ind w:left="1743" w:right="482" w:hanging="341"/>
        <w:jc w:val="both"/>
        <w:rPr>
          <w:sz w:val="20"/>
        </w:rPr>
      </w:pPr>
      <w:r>
        <w:rPr>
          <w:sz w:val="20"/>
        </w:rPr>
        <w:t>The appropriateness of the level of the global revenue thresholds, including the threshold that would apply for the transitional period, informed by the data and analysis of </w:t>
      </w:r>
      <w:r>
        <w:rPr>
          <w:spacing w:val="3"/>
          <w:sz w:val="20"/>
        </w:rPr>
        <w:t>the </w:t>
      </w:r>
      <w:r>
        <w:rPr>
          <w:sz w:val="20"/>
        </w:rPr>
        <w:t>impact of the different</w:t>
      </w:r>
      <w:r>
        <w:rPr>
          <w:spacing w:val="-13"/>
          <w:sz w:val="20"/>
        </w:rPr>
        <w:t> </w:t>
      </w:r>
      <w:r>
        <w:rPr>
          <w:sz w:val="20"/>
        </w:rPr>
        <w:t>global</w:t>
      </w:r>
      <w:r>
        <w:rPr>
          <w:spacing w:val="-12"/>
          <w:sz w:val="20"/>
        </w:rPr>
        <w:t> </w:t>
      </w:r>
      <w:r>
        <w:rPr>
          <w:sz w:val="20"/>
        </w:rPr>
        <w:t>revenue</w:t>
      </w:r>
      <w:r>
        <w:rPr>
          <w:spacing w:val="-13"/>
          <w:sz w:val="20"/>
        </w:rPr>
        <w:t> </w:t>
      </w:r>
      <w:r>
        <w:rPr>
          <w:sz w:val="20"/>
        </w:rPr>
        <w:t>thresholds</w:t>
      </w:r>
      <w:r>
        <w:rPr>
          <w:spacing w:val="-10"/>
          <w:sz w:val="20"/>
        </w:rPr>
        <w:t> </w:t>
      </w:r>
      <w:r>
        <w:rPr>
          <w:sz w:val="20"/>
        </w:rPr>
        <w:t>on</w:t>
      </w:r>
      <w:r>
        <w:rPr>
          <w:spacing w:val="-13"/>
          <w:sz w:val="20"/>
        </w:rPr>
        <w:t> </w:t>
      </w:r>
      <w:r>
        <w:rPr>
          <w:sz w:val="20"/>
        </w:rPr>
        <w:t>the</w:t>
      </w:r>
      <w:r>
        <w:rPr>
          <w:spacing w:val="-12"/>
          <w:sz w:val="20"/>
        </w:rPr>
        <w:t> </w:t>
      </w:r>
      <w:r>
        <w:rPr>
          <w:sz w:val="20"/>
        </w:rPr>
        <w:t>number</w:t>
      </w:r>
      <w:r>
        <w:rPr>
          <w:spacing w:val="-10"/>
          <w:sz w:val="20"/>
        </w:rPr>
        <w:t> </w:t>
      </w:r>
      <w:r>
        <w:rPr>
          <w:sz w:val="20"/>
        </w:rPr>
        <w:t>of</w:t>
      </w:r>
      <w:r>
        <w:rPr>
          <w:spacing w:val="-13"/>
          <w:sz w:val="20"/>
        </w:rPr>
        <w:t> </w:t>
      </w:r>
      <w:r>
        <w:rPr>
          <w:sz w:val="20"/>
        </w:rPr>
        <w:t>groups</w:t>
      </w:r>
      <w:r>
        <w:rPr>
          <w:spacing w:val="-10"/>
          <w:sz w:val="20"/>
        </w:rPr>
        <w:t> </w:t>
      </w:r>
      <w:r>
        <w:rPr>
          <w:sz w:val="20"/>
        </w:rPr>
        <w:t>required</w:t>
      </w:r>
      <w:r>
        <w:rPr>
          <w:spacing w:val="-13"/>
          <w:sz w:val="20"/>
        </w:rPr>
        <w:t> </w:t>
      </w:r>
      <w:r>
        <w:rPr>
          <w:sz w:val="20"/>
        </w:rPr>
        <w:t>to</w:t>
      </w:r>
      <w:r>
        <w:rPr>
          <w:spacing w:val="-12"/>
          <w:sz w:val="20"/>
        </w:rPr>
        <w:t> </w:t>
      </w:r>
      <w:r>
        <w:rPr>
          <w:sz w:val="20"/>
        </w:rPr>
        <w:t>segment</w:t>
      </w:r>
      <w:r>
        <w:rPr>
          <w:spacing w:val="-12"/>
          <w:sz w:val="20"/>
        </w:rPr>
        <w:t> </w:t>
      </w:r>
      <w:r>
        <w:rPr>
          <w:sz w:val="20"/>
        </w:rPr>
        <w:t>their</w:t>
      </w:r>
      <w:r>
        <w:rPr>
          <w:spacing w:val="-10"/>
          <w:sz w:val="20"/>
        </w:rPr>
        <w:t> </w:t>
      </w:r>
      <w:r>
        <w:rPr>
          <w:sz w:val="20"/>
        </w:rPr>
        <w:t>tax</w:t>
      </w:r>
      <w:r>
        <w:rPr>
          <w:spacing w:val="-12"/>
          <w:sz w:val="20"/>
        </w:rPr>
        <w:t> </w:t>
      </w:r>
      <w:r>
        <w:rPr>
          <w:sz w:val="20"/>
        </w:rPr>
        <w:t>base (see </w:t>
      </w:r>
      <w:hyperlink w:history="true" w:anchor="_bookmark10">
        <w:r>
          <w:rPr>
            <w:sz w:val="20"/>
          </w:rPr>
          <w:t>Table</w:t>
        </w:r>
        <w:r>
          <w:rPr>
            <w:spacing w:val="-3"/>
            <w:sz w:val="20"/>
          </w:rPr>
          <w:t> </w:t>
        </w:r>
        <w:r>
          <w:rPr>
            <w:sz w:val="20"/>
          </w:rPr>
          <w:t>2.1</w:t>
        </w:r>
      </w:hyperlink>
      <w:r>
        <w:rPr>
          <w:sz w:val="20"/>
        </w:rPr>
        <w:t>).</w:t>
      </w:r>
    </w:p>
    <w:p>
      <w:pPr>
        <w:pStyle w:val="ListParagraph"/>
        <w:numPr>
          <w:ilvl w:val="1"/>
          <w:numId w:val="64"/>
        </w:numPr>
        <w:tabs>
          <w:tab w:pos="1744" w:val="left" w:leader="none"/>
        </w:tabs>
        <w:spacing w:line="254" w:lineRule="auto" w:before="70" w:after="0"/>
        <w:ind w:left="1743" w:right="490" w:hanging="341"/>
        <w:jc w:val="both"/>
        <w:rPr>
          <w:sz w:val="20"/>
        </w:rPr>
      </w:pPr>
      <w:r>
        <w:rPr>
          <w:sz w:val="20"/>
        </w:rPr>
        <w:t>The regime of this exception, and whether it should be mandatory (exemption) or optional (a safe</w:t>
      </w:r>
      <w:r>
        <w:rPr>
          <w:spacing w:val="-2"/>
          <w:sz w:val="20"/>
        </w:rPr>
        <w:t> </w:t>
      </w:r>
      <w:r>
        <w:rPr>
          <w:sz w:val="20"/>
        </w:rPr>
        <w:t>harbour).</w:t>
      </w:r>
    </w:p>
    <w:p>
      <w:pPr>
        <w:pStyle w:val="ListParagraph"/>
        <w:numPr>
          <w:ilvl w:val="1"/>
          <w:numId w:val="64"/>
        </w:numPr>
        <w:tabs>
          <w:tab w:pos="1744" w:val="left" w:leader="none"/>
        </w:tabs>
        <w:spacing w:line="266" w:lineRule="auto" w:before="75" w:after="0"/>
        <w:ind w:left="1743" w:right="483" w:hanging="341"/>
        <w:jc w:val="both"/>
        <w:rPr>
          <w:sz w:val="20"/>
        </w:rPr>
      </w:pPr>
      <w:r>
        <w:rPr>
          <w:sz w:val="20"/>
        </w:rPr>
        <w:t>Possible</w:t>
      </w:r>
      <w:r>
        <w:rPr>
          <w:spacing w:val="-13"/>
          <w:sz w:val="20"/>
        </w:rPr>
        <w:t> </w:t>
      </w:r>
      <w:r>
        <w:rPr>
          <w:sz w:val="20"/>
        </w:rPr>
        <w:t>additional</w:t>
      </w:r>
      <w:r>
        <w:rPr>
          <w:spacing w:val="-13"/>
          <w:sz w:val="20"/>
        </w:rPr>
        <w:t> </w:t>
      </w:r>
      <w:r>
        <w:rPr>
          <w:sz w:val="20"/>
        </w:rPr>
        <w:t>exceptions</w:t>
      </w:r>
      <w:r>
        <w:rPr>
          <w:spacing w:val="-10"/>
          <w:sz w:val="20"/>
        </w:rPr>
        <w:t> </w:t>
      </w:r>
      <w:r>
        <w:rPr>
          <w:sz w:val="20"/>
        </w:rPr>
        <w:t>or</w:t>
      </w:r>
      <w:r>
        <w:rPr>
          <w:spacing w:val="-12"/>
          <w:sz w:val="20"/>
        </w:rPr>
        <w:t> </w:t>
      </w:r>
      <w:r>
        <w:rPr>
          <w:sz w:val="20"/>
        </w:rPr>
        <w:t>safeguards</w:t>
      </w:r>
      <w:r>
        <w:rPr>
          <w:spacing w:val="-11"/>
          <w:sz w:val="20"/>
        </w:rPr>
        <w:t> </w:t>
      </w:r>
      <w:r>
        <w:rPr>
          <w:sz w:val="20"/>
        </w:rPr>
        <w:t>to</w:t>
      </w:r>
      <w:r>
        <w:rPr>
          <w:spacing w:val="-13"/>
          <w:sz w:val="20"/>
        </w:rPr>
        <w:t> </w:t>
      </w:r>
      <w:r>
        <w:rPr>
          <w:sz w:val="20"/>
        </w:rPr>
        <w:t>override</w:t>
      </w:r>
      <w:r>
        <w:rPr>
          <w:spacing w:val="-12"/>
          <w:sz w:val="20"/>
        </w:rPr>
        <w:t> </w:t>
      </w:r>
      <w:r>
        <w:rPr>
          <w:sz w:val="20"/>
        </w:rPr>
        <w:t>the</w:t>
      </w:r>
      <w:r>
        <w:rPr>
          <w:spacing w:val="-10"/>
          <w:sz w:val="20"/>
        </w:rPr>
        <w:t> </w:t>
      </w:r>
      <w:r>
        <w:rPr>
          <w:sz w:val="20"/>
        </w:rPr>
        <w:t>exemption</w:t>
      </w:r>
      <w:r>
        <w:rPr>
          <w:spacing w:val="-13"/>
          <w:sz w:val="20"/>
        </w:rPr>
        <w:t> </w:t>
      </w:r>
      <w:r>
        <w:rPr>
          <w:sz w:val="20"/>
        </w:rPr>
        <w:t>in</w:t>
      </w:r>
      <w:r>
        <w:rPr>
          <w:spacing w:val="-12"/>
          <w:sz w:val="20"/>
        </w:rPr>
        <w:t> </w:t>
      </w:r>
      <w:r>
        <w:rPr>
          <w:sz w:val="20"/>
        </w:rPr>
        <w:t>some</w:t>
      </w:r>
      <w:r>
        <w:rPr>
          <w:spacing w:val="-13"/>
          <w:sz w:val="20"/>
        </w:rPr>
        <w:t> </w:t>
      </w:r>
      <w:r>
        <w:rPr>
          <w:sz w:val="20"/>
        </w:rPr>
        <w:t>circumstances (e.g.</w:t>
      </w:r>
      <w:r>
        <w:rPr>
          <w:spacing w:val="-14"/>
          <w:sz w:val="20"/>
        </w:rPr>
        <w:t> </w:t>
      </w:r>
      <w:r>
        <w:rPr>
          <w:sz w:val="20"/>
        </w:rPr>
        <w:t>in</w:t>
      </w:r>
      <w:r>
        <w:rPr>
          <w:spacing w:val="-14"/>
          <w:sz w:val="20"/>
        </w:rPr>
        <w:t> </w:t>
      </w:r>
      <w:r>
        <w:rPr>
          <w:sz w:val="20"/>
        </w:rPr>
        <w:t>the</w:t>
      </w:r>
      <w:r>
        <w:rPr>
          <w:spacing w:val="-14"/>
          <w:sz w:val="20"/>
        </w:rPr>
        <w:t> </w:t>
      </w:r>
      <w:r>
        <w:rPr>
          <w:sz w:val="20"/>
        </w:rPr>
        <w:t>case</w:t>
      </w:r>
      <w:r>
        <w:rPr>
          <w:spacing w:val="-14"/>
          <w:sz w:val="20"/>
        </w:rPr>
        <w:t> </w:t>
      </w:r>
      <w:r>
        <w:rPr>
          <w:sz w:val="20"/>
        </w:rPr>
        <w:t>where</w:t>
      </w:r>
      <w:r>
        <w:rPr>
          <w:spacing w:val="-12"/>
          <w:sz w:val="20"/>
        </w:rPr>
        <w:t> </w:t>
      </w:r>
      <w:r>
        <w:rPr>
          <w:sz w:val="20"/>
        </w:rPr>
        <w:t>a</w:t>
      </w:r>
      <w:r>
        <w:rPr>
          <w:spacing w:val="-14"/>
          <w:sz w:val="20"/>
        </w:rPr>
        <w:t> </w:t>
      </w:r>
      <w:r>
        <w:rPr>
          <w:sz w:val="20"/>
        </w:rPr>
        <w:t>group</w:t>
      </w:r>
      <w:r>
        <w:rPr>
          <w:spacing w:val="-14"/>
          <w:sz w:val="20"/>
        </w:rPr>
        <w:t> </w:t>
      </w:r>
      <w:r>
        <w:rPr>
          <w:sz w:val="20"/>
        </w:rPr>
        <w:t>that</w:t>
      </w:r>
      <w:r>
        <w:rPr>
          <w:spacing w:val="-14"/>
          <w:sz w:val="20"/>
        </w:rPr>
        <w:t> </w:t>
      </w:r>
      <w:r>
        <w:rPr>
          <w:sz w:val="20"/>
        </w:rPr>
        <w:t>has</w:t>
      </w:r>
      <w:r>
        <w:rPr>
          <w:spacing w:val="-12"/>
          <w:sz w:val="20"/>
        </w:rPr>
        <w:t> </w:t>
      </w:r>
      <w:r>
        <w:rPr>
          <w:sz w:val="20"/>
        </w:rPr>
        <w:t>out-of-scope</w:t>
      </w:r>
      <w:r>
        <w:rPr>
          <w:spacing w:val="-14"/>
          <w:sz w:val="20"/>
        </w:rPr>
        <w:t> </w:t>
      </w:r>
      <w:r>
        <w:rPr>
          <w:sz w:val="20"/>
        </w:rPr>
        <w:t>revenue</w:t>
      </w:r>
      <w:r>
        <w:rPr>
          <w:spacing w:val="-12"/>
          <w:sz w:val="20"/>
        </w:rPr>
        <w:t> </w:t>
      </w:r>
      <w:r>
        <w:rPr>
          <w:sz w:val="20"/>
        </w:rPr>
        <w:t>in</w:t>
      </w:r>
      <w:r>
        <w:rPr>
          <w:spacing w:val="-14"/>
          <w:sz w:val="20"/>
        </w:rPr>
        <w:t> </w:t>
      </w:r>
      <w:r>
        <w:rPr>
          <w:sz w:val="20"/>
        </w:rPr>
        <w:t>excess</w:t>
      </w:r>
      <w:r>
        <w:rPr>
          <w:spacing w:val="-12"/>
          <w:sz w:val="20"/>
        </w:rPr>
        <w:t> </w:t>
      </w:r>
      <w:r>
        <w:rPr>
          <w:sz w:val="20"/>
        </w:rPr>
        <w:t>of</w:t>
      </w:r>
      <w:r>
        <w:rPr>
          <w:spacing w:val="-12"/>
          <w:sz w:val="20"/>
        </w:rPr>
        <w:t> </w:t>
      </w:r>
      <w:r>
        <w:rPr>
          <w:sz w:val="20"/>
        </w:rPr>
        <w:t>[x%]</w:t>
      </w:r>
      <w:r>
        <w:rPr>
          <w:spacing w:val="-13"/>
          <w:sz w:val="20"/>
        </w:rPr>
        <w:t> </w:t>
      </w:r>
      <w:r>
        <w:rPr>
          <w:sz w:val="20"/>
        </w:rPr>
        <w:t>of</w:t>
      </w:r>
      <w:r>
        <w:rPr>
          <w:spacing w:val="-14"/>
          <w:sz w:val="20"/>
        </w:rPr>
        <w:t> </w:t>
      </w:r>
      <w:r>
        <w:rPr>
          <w:sz w:val="20"/>
        </w:rPr>
        <w:t>total</w:t>
      </w:r>
      <w:r>
        <w:rPr>
          <w:spacing w:val="-14"/>
          <w:sz w:val="20"/>
        </w:rPr>
        <w:t> </w:t>
      </w:r>
      <w:r>
        <w:rPr>
          <w:sz w:val="20"/>
        </w:rPr>
        <w:t>revenue and</w:t>
      </w:r>
      <w:r>
        <w:rPr>
          <w:spacing w:val="-16"/>
          <w:sz w:val="20"/>
        </w:rPr>
        <w:t> </w:t>
      </w:r>
      <w:r>
        <w:rPr>
          <w:sz w:val="20"/>
        </w:rPr>
        <w:t>a</w:t>
      </w:r>
      <w:r>
        <w:rPr>
          <w:spacing w:val="-16"/>
          <w:sz w:val="20"/>
        </w:rPr>
        <w:t> </w:t>
      </w:r>
      <w:r>
        <w:rPr>
          <w:sz w:val="20"/>
        </w:rPr>
        <w:t>group</w:t>
      </w:r>
      <w:r>
        <w:rPr>
          <w:spacing w:val="-17"/>
          <w:sz w:val="20"/>
        </w:rPr>
        <w:t> </w:t>
      </w:r>
      <w:r>
        <w:rPr>
          <w:sz w:val="20"/>
        </w:rPr>
        <w:t>profit</w:t>
      </w:r>
      <w:r>
        <w:rPr>
          <w:spacing w:val="-16"/>
          <w:sz w:val="20"/>
        </w:rPr>
        <w:t> </w:t>
      </w:r>
      <w:r>
        <w:rPr>
          <w:sz w:val="20"/>
        </w:rPr>
        <w:t>margin</w:t>
      </w:r>
      <w:r>
        <w:rPr>
          <w:spacing w:val="-15"/>
          <w:sz w:val="20"/>
        </w:rPr>
        <w:t> </w:t>
      </w:r>
      <w:r>
        <w:rPr>
          <w:sz w:val="20"/>
        </w:rPr>
        <w:t>below</w:t>
      </w:r>
      <w:r>
        <w:rPr>
          <w:spacing w:val="-18"/>
          <w:sz w:val="20"/>
        </w:rPr>
        <w:t> </w:t>
      </w:r>
      <w:r>
        <w:rPr>
          <w:sz w:val="20"/>
        </w:rPr>
        <w:t>the</w:t>
      </w:r>
      <w:r>
        <w:rPr>
          <w:spacing w:val="-16"/>
          <w:sz w:val="20"/>
        </w:rPr>
        <w:t> </w:t>
      </w:r>
      <w:r>
        <w:rPr>
          <w:sz w:val="20"/>
        </w:rPr>
        <w:t>agreed</w:t>
      </w:r>
      <w:r>
        <w:rPr>
          <w:spacing w:val="-17"/>
          <w:sz w:val="20"/>
        </w:rPr>
        <w:t> </w:t>
      </w:r>
      <w:r>
        <w:rPr>
          <w:sz w:val="20"/>
        </w:rPr>
        <w:t>profitability</w:t>
      </w:r>
      <w:r>
        <w:rPr>
          <w:spacing w:val="-18"/>
          <w:sz w:val="20"/>
        </w:rPr>
        <w:t> </w:t>
      </w:r>
      <w:r>
        <w:rPr>
          <w:sz w:val="20"/>
        </w:rPr>
        <w:t>threshold</w:t>
      </w:r>
      <w:r>
        <w:rPr>
          <w:spacing w:val="-11"/>
          <w:sz w:val="20"/>
        </w:rPr>
        <w:t> </w:t>
      </w:r>
      <w:r>
        <w:rPr>
          <w:sz w:val="20"/>
        </w:rPr>
        <w:t>or</w:t>
      </w:r>
      <w:r>
        <w:rPr>
          <w:spacing w:val="-15"/>
          <w:sz w:val="20"/>
        </w:rPr>
        <w:t> </w:t>
      </w:r>
      <w:r>
        <w:rPr>
          <w:sz w:val="20"/>
        </w:rPr>
        <w:t>a</w:t>
      </w:r>
      <w:r>
        <w:rPr>
          <w:spacing w:val="-16"/>
          <w:sz w:val="20"/>
        </w:rPr>
        <w:t> </w:t>
      </w:r>
      <w:r>
        <w:rPr>
          <w:sz w:val="20"/>
        </w:rPr>
        <w:t>group</w:t>
      </w:r>
      <w:r>
        <w:rPr>
          <w:spacing w:val="-16"/>
          <w:sz w:val="20"/>
        </w:rPr>
        <w:t> </w:t>
      </w:r>
      <w:r>
        <w:rPr>
          <w:sz w:val="20"/>
        </w:rPr>
        <w:t>below</w:t>
      </w:r>
      <w:r>
        <w:rPr>
          <w:spacing w:val="-18"/>
          <w:sz w:val="20"/>
        </w:rPr>
        <w:t> </w:t>
      </w:r>
      <w:r>
        <w:rPr>
          <w:sz w:val="20"/>
        </w:rPr>
        <w:t>the</w:t>
      </w:r>
      <w:r>
        <w:rPr>
          <w:spacing w:val="-16"/>
          <w:sz w:val="20"/>
        </w:rPr>
        <w:t> </w:t>
      </w:r>
      <w:r>
        <w:rPr>
          <w:sz w:val="20"/>
        </w:rPr>
        <w:t>threshold has two disclosed operating segments, one that falls within scope of Amount A and one that falls out-of-scope).</w:t>
      </w:r>
    </w:p>
    <w:p>
      <w:pPr>
        <w:pStyle w:val="ListParagraph"/>
        <w:numPr>
          <w:ilvl w:val="0"/>
          <w:numId w:val="64"/>
        </w:numPr>
        <w:tabs>
          <w:tab w:pos="1403" w:val="left" w:leader="none"/>
        </w:tabs>
        <w:spacing w:line="240" w:lineRule="auto" w:before="54" w:after="0"/>
        <w:ind w:left="1402" w:right="0" w:hanging="339"/>
        <w:jc w:val="both"/>
        <w:rPr>
          <w:sz w:val="20"/>
        </w:rPr>
      </w:pPr>
      <w:r>
        <w:rPr>
          <w:sz w:val="20"/>
        </w:rPr>
        <w:t>The definition of a segment based on the hallmarks (step three),</w:t>
      </w:r>
      <w:r>
        <w:rPr>
          <w:spacing w:val="-14"/>
          <w:sz w:val="20"/>
        </w:rPr>
        <w:t> </w:t>
      </w:r>
      <w:r>
        <w:rPr>
          <w:sz w:val="20"/>
        </w:rPr>
        <w:t>especially:</w:t>
      </w:r>
    </w:p>
    <w:p>
      <w:pPr>
        <w:pStyle w:val="ListParagraph"/>
        <w:numPr>
          <w:ilvl w:val="1"/>
          <w:numId w:val="64"/>
        </w:numPr>
        <w:tabs>
          <w:tab w:pos="1744" w:val="left" w:leader="none"/>
        </w:tabs>
        <w:spacing w:line="252" w:lineRule="auto" w:before="88" w:after="0"/>
        <w:ind w:left="1743" w:right="490" w:hanging="341"/>
        <w:jc w:val="both"/>
        <w:rPr>
          <w:sz w:val="20"/>
        </w:rPr>
      </w:pPr>
      <w:r>
        <w:rPr>
          <w:sz w:val="20"/>
        </w:rPr>
        <w:t>Whether to include a third-party revenue requirement to prevent groups from using segments that consist primarily of revenue and costs generated by inter-group</w:t>
      </w:r>
      <w:r>
        <w:rPr>
          <w:spacing w:val="-19"/>
          <w:sz w:val="20"/>
        </w:rPr>
        <w:t> </w:t>
      </w:r>
      <w:r>
        <w:rPr>
          <w:sz w:val="20"/>
        </w:rPr>
        <w:t>transactions.</w:t>
      </w:r>
    </w:p>
    <w:p>
      <w:pPr>
        <w:pStyle w:val="ListParagraph"/>
        <w:numPr>
          <w:ilvl w:val="1"/>
          <w:numId w:val="64"/>
        </w:numPr>
        <w:tabs>
          <w:tab w:pos="1744" w:val="left" w:leader="none"/>
        </w:tabs>
        <w:spacing w:line="266" w:lineRule="auto" w:before="80" w:after="0"/>
        <w:ind w:left="1743" w:right="485" w:hanging="341"/>
        <w:jc w:val="both"/>
        <w:rPr>
          <w:sz w:val="20"/>
        </w:rPr>
      </w:pPr>
      <w:r>
        <w:rPr>
          <w:sz w:val="20"/>
        </w:rPr>
        <w:t>Whether to include a materiality threshold to ensure that the definition does not lead to a proliferation</w:t>
      </w:r>
      <w:r>
        <w:rPr>
          <w:spacing w:val="-11"/>
          <w:sz w:val="20"/>
        </w:rPr>
        <w:t> </w:t>
      </w:r>
      <w:r>
        <w:rPr>
          <w:sz w:val="20"/>
        </w:rPr>
        <w:t>of</w:t>
      </w:r>
      <w:r>
        <w:rPr>
          <w:spacing w:val="-10"/>
          <w:sz w:val="20"/>
        </w:rPr>
        <w:t> </w:t>
      </w:r>
      <w:r>
        <w:rPr>
          <w:sz w:val="20"/>
        </w:rPr>
        <w:t>small,</w:t>
      </w:r>
      <w:r>
        <w:rPr>
          <w:spacing w:val="-12"/>
          <w:sz w:val="20"/>
        </w:rPr>
        <w:t> </w:t>
      </w:r>
      <w:r>
        <w:rPr>
          <w:sz w:val="20"/>
        </w:rPr>
        <w:t>low-value</w:t>
      </w:r>
      <w:r>
        <w:rPr>
          <w:spacing w:val="-12"/>
          <w:sz w:val="20"/>
        </w:rPr>
        <w:t> </w:t>
      </w:r>
      <w:r>
        <w:rPr>
          <w:sz w:val="20"/>
        </w:rPr>
        <w:t>segments</w:t>
      </w:r>
      <w:r>
        <w:rPr>
          <w:spacing w:val="-11"/>
          <w:sz w:val="20"/>
        </w:rPr>
        <w:t> </w:t>
      </w:r>
      <w:r>
        <w:rPr>
          <w:sz w:val="20"/>
        </w:rPr>
        <w:t>(as</w:t>
      </w:r>
      <w:r>
        <w:rPr>
          <w:spacing w:val="-11"/>
          <w:sz w:val="20"/>
        </w:rPr>
        <w:t> </w:t>
      </w:r>
      <w:r>
        <w:rPr>
          <w:sz w:val="20"/>
        </w:rPr>
        <w:t>this</w:t>
      </w:r>
      <w:r>
        <w:rPr>
          <w:spacing w:val="-10"/>
          <w:sz w:val="20"/>
        </w:rPr>
        <w:t> </w:t>
      </w:r>
      <w:r>
        <w:rPr>
          <w:sz w:val="20"/>
        </w:rPr>
        <w:t>substantially</w:t>
      </w:r>
      <w:r>
        <w:rPr>
          <w:spacing w:val="-14"/>
          <w:sz w:val="20"/>
        </w:rPr>
        <w:t> </w:t>
      </w:r>
      <w:r>
        <w:rPr>
          <w:sz w:val="20"/>
        </w:rPr>
        <w:t>increases</w:t>
      </w:r>
      <w:r>
        <w:rPr>
          <w:spacing w:val="-11"/>
          <w:sz w:val="20"/>
        </w:rPr>
        <w:t> </w:t>
      </w:r>
      <w:r>
        <w:rPr>
          <w:sz w:val="20"/>
        </w:rPr>
        <w:t>the</w:t>
      </w:r>
      <w:r>
        <w:rPr>
          <w:spacing w:val="-13"/>
          <w:sz w:val="20"/>
        </w:rPr>
        <w:t> </w:t>
      </w:r>
      <w:r>
        <w:rPr>
          <w:sz w:val="20"/>
        </w:rPr>
        <w:t>compliance</w:t>
      </w:r>
      <w:r>
        <w:rPr>
          <w:spacing w:val="-13"/>
          <w:sz w:val="20"/>
        </w:rPr>
        <w:t> </w:t>
      </w:r>
      <w:r>
        <w:rPr>
          <w:sz w:val="20"/>
        </w:rPr>
        <w:t>costs and administrative burden associated with applying Amount A). For example, this materiality threshold could require a group to aggregate identified segments that generate less than an agreed</w:t>
      </w:r>
      <w:r>
        <w:rPr>
          <w:spacing w:val="-16"/>
          <w:sz w:val="20"/>
        </w:rPr>
        <w:t> </w:t>
      </w:r>
      <w:r>
        <w:rPr>
          <w:sz w:val="20"/>
        </w:rPr>
        <w:t>percentage</w:t>
      </w:r>
      <w:r>
        <w:rPr>
          <w:spacing w:val="-15"/>
          <w:sz w:val="20"/>
        </w:rPr>
        <w:t> </w:t>
      </w:r>
      <w:r>
        <w:rPr>
          <w:sz w:val="20"/>
        </w:rPr>
        <w:t>of</w:t>
      </w:r>
      <w:r>
        <w:rPr>
          <w:spacing w:val="-13"/>
          <w:sz w:val="20"/>
        </w:rPr>
        <w:t> </w:t>
      </w:r>
      <w:r>
        <w:rPr>
          <w:sz w:val="20"/>
        </w:rPr>
        <w:t>the</w:t>
      </w:r>
      <w:r>
        <w:rPr>
          <w:spacing w:val="-15"/>
          <w:sz w:val="20"/>
        </w:rPr>
        <w:t> </w:t>
      </w:r>
      <w:r>
        <w:rPr>
          <w:sz w:val="20"/>
        </w:rPr>
        <w:t>group’s</w:t>
      </w:r>
      <w:r>
        <w:rPr>
          <w:spacing w:val="-13"/>
          <w:sz w:val="20"/>
        </w:rPr>
        <w:t> </w:t>
      </w:r>
      <w:r>
        <w:rPr>
          <w:sz w:val="20"/>
        </w:rPr>
        <w:t>consolidated</w:t>
      </w:r>
      <w:r>
        <w:rPr>
          <w:spacing w:val="-15"/>
          <w:sz w:val="20"/>
        </w:rPr>
        <w:t> </w:t>
      </w:r>
      <w:r>
        <w:rPr>
          <w:sz w:val="20"/>
        </w:rPr>
        <w:t>revenue</w:t>
      </w:r>
      <w:r>
        <w:rPr>
          <w:spacing w:val="-13"/>
          <w:sz w:val="20"/>
        </w:rPr>
        <w:t> </w:t>
      </w:r>
      <w:r>
        <w:rPr>
          <w:sz w:val="20"/>
        </w:rPr>
        <w:t>and/or</w:t>
      </w:r>
      <w:r>
        <w:rPr>
          <w:spacing w:val="-14"/>
          <w:sz w:val="20"/>
        </w:rPr>
        <w:t> </w:t>
      </w:r>
      <w:r>
        <w:rPr>
          <w:sz w:val="20"/>
        </w:rPr>
        <w:t>an</w:t>
      </w:r>
      <w:r>
        <w:rPr>
          <w:spacing w:val="-13"/>
          <w:sz w:val="20"/>
        </w:rPr>
        <w:t> </w:t>
      </w:r>
      <w:r>
        <w:rPr>
          <w:sz w:val="20"/>
        </w:rPr>
        <w:t>absolute</w:t>
      </w:r>
      <w:r>
        <w:rPr>
          <w:spacing w:val="-14"/>
          <w:sz w:val="20"/>
        </w:rPr>
        <w:t> </w:t>
      </w:r>
      <w:r>
        <w:rPr>
          <w:sz w:val="20"/>
        </w:rPr>
        <w:t>amount</w:t>
      </w:r>
      <w:r>
        <w:rPr>
          <w:spacing w:val="-15"/>
          <w:sz w:val="20"/>
        </w:rPr>
        <w:t> </w:t>
      </w:r>
      <w:r>
        <w:rPr>
          <w:sz w:val="20"/>
        </w:rPr>
        <w:t>of</w:t>
      </w:r>
      <w:r>
        <w:rPr>
          <w:spacing w:val="-13"/>
          <w:sz w:val="20"/>
        </w:rPr>
        <w:t> </w:t>
      </w:r>
      <w:r>
        <w:rPr>
          <w:sz w:val="20"/>
        </w:rPr>
        <w:t>revenue.</w:t>
      </w:r>
    </w:p>
    <w:p>
      <w:pPr>
        <w:pStyle w:val="ListParagraph"/>
        <w:numPr>
          <w:ilvl w:val="0"/>
          <w:numId w:val="64"/>
        </w:numPr>
        <w:tabs>
          <w:tab w:pos="1403" w:val="left" w:leader="none"/>
        </w:tabs>
        <w:spacing w:line="271" w:lineRule="auto" w:before="51" w:after="0"/>
        <w:ind w:left="1402" w:right="486" w:hanging="339"/>
        <w:jc w:val="both"/>
        <w:rPr>
          <w:sz w:val="20"/>
        </w:rPr>
      </w:pPr>
      <w:r>
        <w:rPr>
          <w:sz w:val="20"/>
        </w:rPr>
        <w:t>The</w:t>
      </w:r>
      <w:r>
        <w:rPr>
          <w:spacing w:val="-7"/>
          <w:sz w:val="20"/>
        </w:rPr>
        <w:t> </w:t>
      </w:r>
      <w:r>
        <w:rPr>
          <w:sz w:val="20"/>
        </w:rPr>
        <w:t>computation</w:t>
      </w:r>
      <w:r>
        <w:rPr>
          <w:spacing w:val="-4"/>
          <w:sz w:val="20"/>
        </w:rPr>
        <w:t> </w:t>
      </w:r>
      <w:r>
        <w:rPr>
          <w:sz w:val="20"/>
        </w:rPr>
        <w:t>of</w:t>
      </w:r>
      <w:r>
        <w:rPr>
          <w:spacing w:val="-4"/>
          <w:sz w:val="20"/>
        </w:rPr>
        <w:t> </w:t>
      </w:r>
      <w:r>
        <w:rPr>
          <w:sz w:val="20"/>
        </w:rPr>
        <w:t>the</w:t>
      </w:r>
      <w:r>
        <w:rPr>
          <w:spacing w:val="-3"/>
          <w:sz w:val="20"/>
        </w:rPr>
        <w:t> </w:t>
      </w:r>
      <w:r>
        <w:rPr>
          <w:sz w:val="20"/>
        </w:rPr>
        <w:t>PBT</w:t>
      </w:r>
      <w:r>
        <w:rPr>
          <w:spacing w:val="-5"/>
          <w:sz w:val="20"/>
        </w:rPr>
        <w:t> </w:t>
      </w:r>
      <w:r>
        <w:rPr>
          <w:sz w:val="20"/>
        </w:rPr>
        <w:t>measure</w:t>
      </w:r>
      <w:r>
        <w:rPr>
          <w:spacing w:val="-5"/>
          <w:sz w:val="20"/>
        </w:rPr>
        <w:t> </w:t>
      </w:r>
      <w:r>
        <w:rPr>
          <w:sz w:val="20"/>
        </w:rPr>
        <w:t>on</w:t>
      </w:r>
      <w:r>
        <w:rPr>
          <w:spacing w:val="-5"/>
          <w:sz w:val="20"/>
        </w:rPr>
        <w:t> </w:t>
      </w:r>
      <w:r>
        <w:rPr>
          <w:sz w:val="20"/>
        </w:rPr>
        <w:t>a</w:t>
      </w:r>
      <w:r>
        <w:rPr>
          <w:spacing w:val="-6"/>
          <w:sz w:val="20"/>
        </w:rPr>
        <w:t> </w:t>
      </w:r>
      <w:r>
        <w:rPr>
          <w:sz w:val="20"/>
        </w:rPr>
        <w:t>segmented</w:t>
      </w:r>
      <w:r>
        <w:rPr>
          <w:spacing w:val="-4"/>
          <w:sz w:val="20"/>
        </w:rPr>
        <w:t> </w:t>
      </w:r>
      <w:r>
        <w:rPr>
          <w:sz w:val="20"/>
        </w:rPr>
        <w:t>basis</w:t>
      </w:r>
      <w:r>
        <w:rPr>
          <w:spacing w:val="-2"/>
          <w:sz w:val="20"/>
        </w:rPr>
        <w:t> </w:t>
      </w:r>
      <w:r>
        <w:rPr>
          <w:sz w:val="20"/>
        </w:rPr>
        <w:t>(step</w:t>
      </w:r>
      <w:r>
        <w:rPr>
          <w:spacing w:val="-4"/>
          <w:sz w:val="20"/>
        </w:rPr>
        <w:t> </w:t>
      </w:r>
      <w:r>
        <w:rPr>
          <w:sz w:val="20"/>
        </w:rPr>
        <w:t>three),</w:t>
      </w:r>
      <w:r>
        <w:rPr>
          <w:spacing w:val="-4"/>
          <w:sz w:val="20"/>
        </w:rPr>
        <w:t> </w:t>
      </w:r>
      <w:r>
        <w:rPr>
          <w:sz w:val="20"/>
        </w:rPr>
        <w:t>especially</w:t>
      </w:r>
      <w:r>
        <w:rPr>
          <w:spacing w:val="-6"/>
          <w:sz w:val="20"/>
        </w:rPr>
        <w:t> </w:t>
      </w:r>
      <w:r>
        <w:rPr>
          <w:sz w:val="20"/>
        </w:rPr>
        <w:t>the</w:t>
      </w:r>
      <w:r>
        <w:rPr>
          <w:spacing w:val="-6"/>
          <w:sz w:val="20"/>
        </w:rPr>
        <w:t> </w:t>
      </w:r>
      <w:r>
        <w:rPr>
          <w:sz w:val="20"/>
        </w:rPr>
        <w:t>treatment of regional segments disclosed in financial accounts, the use of a revenue-based allocation keys for indirect costs, and the treatment of intersegment</w:t>
      </w:r>
      <w:r>
        <w:rPr>
          <w:spacing w:val="-13"/>
          <w:sz w:val="20"/>
        </w:rPr>
        <w:t> </w:t>
      </w:r>
      <w:r>
        <w:rPr>
          <w:sz w:val="20"/>
        </w:rPr>
        <w:t>transactions.</w:t>
      </w:r>
    </w:p>
    <w:p>
      <w:pPr>
        <w:pStyle w:val="ListParagraph"/>
        <w:numPr>
          <w:ilvl w:val="0"/>
          <w:numId w:val="13"/>
        </w:numPr>
        <w:tabs>
          <w:tab w:pos="1444" w:val="left" w:leader="none"/>
        </w:tabs>
        <w:spacing w:line="273" w:lineRule="auto" w:before="124" w:after="0"/>
        <w:ind w:left="723" w:right="481" w:firstLine="0"/>
        <w:jc w:val="both"/>
        <w:rPr>
          <w:sz w:val="20"/>
        </w:rPr>
      </w:pPr>
      <w:r>
        <w:rPr>
          <w:sz w:val="20"/>
        </w:rPr>
        <w:t>In this work, important considerations will include simplicity of administration (and compliance costs) and ensuring a level playing field between</w:t>
      </w:r>
      <w:r>
        <w:rPr>
          <w:spacing w:val="-3"/>
          <w:sz w:val="20"/>
        </w:rPr>
        <w:t> </w:t>
      </w:r>
      <w:r>
        <w:rPr>
          <w:sz w:val="20"/>
        </w:rPr>
        <w:t>taxpayers.</w:t>
      </w:r>
    </w:p>
    <w:p>
      <w:pPr>
        <w:spacing w:after="0" w:line="273" w:lineRule="auto"/>
        <w:jc w:val="both"/>
        <w:rPr>
          <w:sz w:val="20"/>
        </w:rPr>
        <w:sectPr>
          <w:pgSz w:w="11910" w:h="16840"/>
          <w:pgMar w:header="1244" w:footer="1638" w:top="1500" w:bottom="1820" w:left="580" w:right="820"/>
        </w:sectPr>
      </w:pPr>
    </w:p>
    <w:p>
      <w:pPr>
        <w:pStyle w:val="BodyText"/>
        <w:spacing w:before="9"/>
      </w:pPr>
    </w:p>
    <w:p>
      <w:pPr>
        <w:pStyle w:val="Heading4"/>
        <w:numPr>
          <w:ilvl w:val="1"/>
          <w:numId w:val="59"/>
        </w:numPr>
        <w:tabs>
          <w:tab w:pos="1192" w:val="left" w:leader="none"/>
        </w:tabs>
        <w:spacing w:line="240" w:lineRule="auto" w:before="92" w:after="0"/>
        <w:ind w:left="1191" w:right="0" w:hanging="469"/>
        <w:jc w:val="both"/>
        <w:rPr>
          <w:rFonts w:ascii="Arial"/>
        </w:rPr>
      </w:pPr>
      <w:bookmarkStart w:name="5.4. Loss carry-forward rules" w:id="242"/>
      <w:bookmarkEnd w:id="242"/>
      <w:r>
        <w:rPr>
          <w:b w:val="0"/>
        </w:rPr>
      </w:r>
      <w:bookmarkStart w:name="_bookmark34" w:id="243"/>
      <w:bookmarkEnd w:id="243"/>
      <w:r>
        <w:rPr>
          <w:b w:val="0"/>
        </w:rPr>
      </w:r>
      <w:bookmarkStart w:name="_bookmark34" w:id="244"/>
      <w:bookmarkEnd w:id="244"/>
      <w:r>
        <w:rPr>
          <w:rFonts w:ascii="Arial"/>
          <w:color w:val="4E81BD"/>
        </w:rPr>
        <w:t>Loss</w:t>
      </w:r>
      <w:r>
        <w:rPr>
          <w:rFonts w:ascii="Arial"/>
          <w:color w:val="4E81BD"/>
        </w:rPr>
        <w:t> carry-forward</w:t>
      </w:r>
      <w:r>
        <w:rPr>
          <w:rFonts w:ascii="Arial"/>
          <w:color w:val="4E81BD"/>
          <w:spacing w:val="-1"/>
        </w:rPr>
        <w:t> </w:t>
      </w:r>
      <w:r>
        <w:rPr>
          <w:rFonts w:ascii="Arial"/>
          <w:color w:val="4E81BD"/>
        </w:rPr>
        <w:t>rules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To</w:t>
      </w:r>
      <w:r>
        <w:rPr>
          <w:spacing w:val="-7"/>
          <w:sz w:val="20"/>
        </w:rPr>
        <w:t> </w:t>
      </w:r>
      <w:r>
        <w:rPr>
          <w:sz w:val="20"/>
        </w:rPr>
        <w:t>account</w:t>
      </w:r>
      <w:r>
        <w:rPr>
          <w:spacing w:val="-6"/>
          <w:sz w:val="20"/>
        </w:rPr>
        <w:t> </w:t>
      </w:r>
      <w:r>
        <w:rPr>
          <w:sz w:val="20"/>
        </w:rPr>
        <w:t>for</w:t>
      </w:r>
      <w:r>
        <w:rPr>
          <w:spacing w:val="-5"/>
          <w:sz w:val="20"/>
        </w:rPr>
        <w:t> </w:t>
      </w:r>
      <w:r>
        <w:rPr>
          <w:sz w:val="20"/>
        </w:rPr>
        <w:t>losses,</w:t>
      </w:r>
      <w:r>
        <w:rPr>
          <w:spacing w:val="-5"/>
          <w:sz w:val="20"/>
        </w:rPr>
        <w:t> </w:t>
      </w:r>
      <w:r>
        <w:rPr>
          <w:sz w:val="20"/>
        </w:rPr>
        <w:t>the</w:t>
      </w:r>
      <w:r>
        <w:rPr>
          <w:spacing w:val="-8"/>
          <w:sz w:val="20"/>
        </w:rPr>
        <w:t> </w:t>
      </w:r>
      <w:r>
        <w:rPr>
          <w:sz w:val="20"/>
        </w:rPr>
        <w:t>Amount</w:t>
      </w:r>
      <w:r>
        <w:rPr>
          <w:spacing w:val="-6"/>
          <w:sz w:val="20"/>
        </w:rPr>
        <w:t> </w:t>
      </w:r>
      <w:r>
        <w:rPr>
          <w:sz w:val="20"/>
        </w:rPr>
        <w:t>A</w:t>
      </w:r>
      <w:r>
        <w:rPr>
          <w:spacing w:val="-6"/>
          <w:sz w:val="20"/>
        </w:rPr>
        <w:t> </w:t>
      </w:r>
      <w:r>
        <w:rPr>
          <w:sz w:val="20"/>
        </w:rPr>
        <w:t>tax</w:t>
      </w:r>
      <w:r>
        <w:rPr>
          <w:spacing w:val="-5"/>
          <w:sz w:val="20"/>
        </w:rPr>
        <w:t> </w:t>
      </w:r>
      <w:r>
        <w:rPr>
          <w:sz w:val="20"/>
        </w:rPr>
        <w:t>base</w:t>
      </w:r>
      <w:r>
        <w:rPr>
          <w:spacing w:val="-6"/>
          <w:sz w:val="20"/>
        </w:rPr>
        <w:t> </w:t>
      </w:r>
      <w:r>
        <w:rPr>
          <w:sz w:val="20"/>
        </w:rPr>
        <w:t>rules</w:t>
      </w:r>
      <w:r>
        <w:rPr>
          <w:spacing w:val="-5"/>
          <w:sz w:val="20"/>
        </w:rPr>
        <w:t> </w:t>
      </w:r>
      <w:r>
        <w:rPr>
          <w:sz w:val="20"/>
        </w:rPr>
        <w:t>will</w:t>
      </w:r>
      <w:r>
        <w:rPr>
          <w:spacing w:val="-2"/>
          <w:sz w:val="20"/>
        </w:rPr>
        <w:t> </w:t>
      </w:r>
      <w:r>
        <w:rPr>
          <w:sz w:val="20"/>
        </w:rPr>
        <w:t>apply</w:t>
      </w:r>
      <w:r>
        <w:rPr>
          <w:spacing w:val="-11"/>
          <w:sz w:val="20"/>
        </w:rPr>
        <w:t> </w:t>
      </w:r>
      <w:r>
        <w:rPr>
          <w:sz w:val="20"/>
        </w:rPr>
        <w:t>consistently</w:t>
      </w:r>
      <w:r>
        <w:rPr>
          <w:spacing w:val="-8"/>
          <w:sz w:val="20"/>
        </w:rPr>
        <w:t> </w:t>
      </w:r>
      <w:r>
        <w:rPr>
          <w:sz w:val="20"/>
        </w:rPr>
        <w:t>at</w:t>
      </w:r>
      <w:r>
        <w:rPr>
          <w:spacing w:val="-6"/>
          <w:sz w:val="20"/>
        </w:rPr>
        <w:t> </w:t>
      </w:r>
      <w:r>
        <w:rPr>
          <w:sz w:val="20"/>
        </w:rPr>
        <w:t>the</w:t>
      </w:r>
      <w:r>
        <w:rPr>
          <w:spacing w:val="-6"/>
          <w:sz w:val="20"/>
        </w:rPr>
        <w:t> </w:t>
      </w:r>
      <w:r>
        <w:rPr>
          <w:sz w:val="20"/>
        </w:rPr>
        <w:t>level</w:t>
      </w:r>
      <w:r>
        <w:rPr>
          <w:spacing w:val="-6"/>
          <w:sz w:val="20"/>
        </w:rPr>
        <w:t> </w:t>
      </w:r>
      <w:r>
        <w:rPr>
          <w:sz w:val="20"/>
        </w:rPr>
        <w:t>of</w:t>
      </w:r>
      <w:r>
        <w:rPr>
          <w:spacing w:val="-4"/>
          <w:sz w:val="20"/>
        </w:rPr>
        <w:t> </w:t>
      </w:r>
      <w:r>
        <w:rPr>
          <w:sz w:val="20"/>
        </w:rPr>
        <w:t>the</w:t>
      </w:r>
      <w:r>
        <w:rPr>
          <w:spacing w:val="-6"/>
          <w:sz w:val="20"/>
        </w:rPr>
        <w:t> </w:t>
      </w:r>
      <w:r>
        <w:rPr>
          <w:sz w:val="20"/>
        </w:rPr>
        <w:t>group or</w:t>
      </w:r>
      <w:r>
        <w:rPr>
          <w:spacing w:val="-11"/>
          <w:sz w:val="20"/>
        </w:rPr>
        <w:t> </w:t>
      </w:r>
      <w:r>
        <w:rPr>
          <w:sz w:val="20"/>
        </w:rPr>
        <w:t>segment</w:t>
      </w:r>
      <w:r>
        <w:rPr>
          <w:spacing w:val="-11"/>
          <w:sz w:val="20"/>
        </w:rPr>
        <w:t> </w:t>
      </w:r>
      <w:r>
        <w:rPr>
          <w:sz w:val="20"/>
        </w:rPr>
        <w:t>(where</w:t>
      </w:r>
      <w:r>
        <w:rPr>
          <w:spacing w:val="-11"/>
          <w:sz w:val="20"/>
        </w:rPr>
        <w:t> </w:t>
      </w:r>
      <w:r>
        <w:rPr>
          <w:sz w:val="20"/>
        </w:rPr>
        <w:t>relevant)</w:t>
      </w:r>
      <w:r>
        <w:rPr>
          <w:spacing w:val="-10"/>
          <w:sz w:val="20"/>
        </w:rPr>
        <w:t> </w:t>
      </w:r>
      <w:r>
        <w:rPr>
          <w:sz w:val="20"/>
        </w:rPr>
        <w:t>irrespective</w:t>
      </w:r>
      <w:r>
        <w:rPr>
          <w:spacing w:val="-9"/>
          <w:sz w:val="20"/>
        </w:rPr>
        <w:t> </w:t>
      </w:r>
      <w:r>
        <w:rPr>
          <w:sz w:val="20"/>
        </w:rPr>
        <w:t>of</w:t>
      </w:r>
      <w:r>
        <w:rPr>
          <w:spacing w:val="-8"/>
          <w:sz w:val="20"/>
        </w:rPr>
        <w:t> </w:t>
      </w:r>
      <w:r>
        <w:rPr>
          <w:sz w:val="20"/>
        </w:rPr>
        <w:t>whether</w:t>
      </w:r>
      <w:r>
        <w:rPr>
          <w:spacing w:val="-10"/>
          <w:sz w:val="20"/>
        </w:rPr>
        <w:t> </w:t>
      </w:r>
      <w:r>
        <w:rPr>
          <w:sz w:val="20"/>
        </w:rPr>
        <w:t>the</w:t>
      </w:r>
      <w:r>
        <w:rPr>
          <w:spacing w:val="-9"/>
          <w:sz w:val="20"/>
        </w:rPr>
        <w:t> </w:t>
      </w:r>
      <w:r>
        <w:rPr>
          <w:sz w:val="20"/>
        </w:rPr>
        <w:t>outcome</w:t>
      </w:r>
      <w:r>
        <w:rPr>
          <w:spacing w:val="-10"/>
          <w:sz w:val="20"/>
        </w:rPr>
        <w:t> </w:t>
      </w:r>
      <w:r>
        <w:rPr>
          <w:sz w:val="20"/>
        </w:rPr>
        <w:t>is</w:t>
      </w:r>
      <w:r>
        <w:rPr>
          <w:spacing w:val="-10"/>
          <w:sz w:val="20"/>
        </w:rPr>
        <w:t> </w:t>
      </w:r>
      <w:r>
        <w:rPr>
          <w:sz w:val="20"/>
        </w:rPr>
        <w:t>a</w:t>
      </w:r>
      <w:r>
        <w:rPr>
          <w:spacing w:val="-9"/>
          <w:sz w:val="20"/>
        </w:rPr>
        <w:t> </w:t>
      </w:r>
      <w:r>
        <w:rPr>
          <w:sz w:val="20"/>
        </w:rPr>
        <w:t>profit</w:t>
      </w:r>
      <w:r>
        <w:rPr>
          <w:spacing w:val="-11"/>
          <w:sz w:val="20"/>
        </w:rPr>
        <w:t> </w:t>
      </w:r>
      <w:r>
        <w:rPr>
          <w:sz w:val="20"/>
        </w:rPr>
        <w:t>or</w:t>
      </w:r>
      <w:r>
        <w:rPr>
          <w:spacing w:val="-8"/>
          <w:sz w:val="20"/>
        </w:rPr>
        <w:t> </w:t>
      </w:r>
      <w:r>
        <w:rPr>
          <w:sz w:val="20"/>
        </w:rPr>
        <w:t>loss.</w:t>
      </w:r>
      <w:r>
        <w:rPr>
          <w:spacing w:val="-9"/>
          <w:sz w:val="20"/>
        </w:rPr>
        <w:t> </w:t>
      </w:r>
      <w:r>
        <w:rPr>
          <w:sz w:val="20"/>
        </w:rPr>
        <w:t>Any</w:t>
      </w:r>
      <w:r>
        <w:rPr>
          <w:spacing w:val="-15"/>
          <w:sz w:val="20"/>
        </w:rPr>
        <w:t> </w:t>
      </w:r>
      <w:r>
        <w:rPr>
          <w:sz w:val="20"/>
        </w:rPr>
        <w:t>losses</w:t>
      </w:r>
      <w:r>
        <w:rPr>
          <w:spacing w:val="-10"/>
          <w:sz w:val="20"/>
        </w:rPr>
        <w:t> </w:t>
      </w:r>
      <w:r>
        <w:rPr>
          <w:sz w:val="20"/>
        </w:rPr>
        <w:t>arising</w:t>
      </w:r>
      <w:r>
        <w:rPr>
          <w:spacing w:val="-11"/>
          <w:sz w:val="20"/>
        </w:rPr>
        <w:t> </w:t>
      </w:r>
      <w:r>
        <w:rPr>
          <w:sz w:val="20"/>
        </w:rPr>
        <w:t>from a taxable period will be preserved and carried forward to subsequent years through an “earn-out” mechanism.</w:t>
      </w:r>
      <w:r>
        <w:rPr>
          <w:spacing w:val="-10"/>
          <w:sz w:val="20"/>
        </w:rPr>
        <w:t> </w:t>
      </w:r>
      <w:r>
        <w:rPr>
          <w:sz w:val="20"/>
        </w:rPr>
        <w:t>This</w:t>
      </w:r>
      <w:r>
        <w:rPr>
          <w:spacing w:val="-8"/>
          <w:sz w:val="20"/>
        </w:rPr>
        <w:t> </w:t>
      </w:r>
      <w:r>
        <w:rPr>
          <w:sz w:val="20"/>
        </w:rPr>
        <w:t>means</w:t>
      </w:r>
      <w:r>
        <w:rPr>
          <w:spacing w:val="-6"/>
          <w:sz w:val="20"/>
        </w:rPr>
        <w:t> </w:t>
      </w:r>
      <w:r>
        <w:rPr>
          <w:sz w:val="20"/>
        </w:rPr>
        <w:t>that</w:t>
      </w:r>
      <w:r>
        <w:rPr>
          <w:spacing w:val="-6"/>
          <w:sz w:val="20"/>
        </w:rPr>
        <w:t> </w:t>
      </w:r>
      <w:r>
        <w:rPr>
          <w:sz w:val="20"/>
        </w:rPr>
        <w:t>Amount</w:t>
      </w:r>
      <w:r>
        <w:rPr>
          <w:spacing w:val="-7"/>
          <w:sz w:val="20"/>
        </w:rPr>
        <w:t> </w:t>
      </w:r>
      <w:r>
        <w:rPr>
          <w:sz w:val="20"/>
        </w:rPr>
        <w:t>A</w:t>
      </w:r>
      <w:r>
        <w:rPr>
          <w:spacing w:val="-7"/>
          <w:sz w:val="20"/>
        </w:rPr>
        <w:t> </w:t>
      </w:r>
      <w:r>
        <w:rPr>
          <w:sz w:val="20"/>
        </w:rPr>
        <w:t>losses</w:t>
      </w:r>
      <w:r>
        <w:rPr>
          <w:spacing w:val="-4"/>
          <w:sz w:val="20"/>
        </w:rPr>
        <w:t> </w:t>
      </w:r>
      <w:r>
        <w:rPr>
          <w:sz w:val="20"/>
        </w:rPr>
        <w:t>will</w:t>
      </w:r>
      <w:r>
        <w:rPr>
          <w:spacing w:val="-4"/>
          <w:sz w:val="20"/>
        </w:rPr>
        <w:t> </w:t>
      </w:r>
      <w:r>
        <w:rPr>
          <w:sz w:val="20"/>
        </w:rPr>
        <w:t>be</w:t>
      </w:r>
      <w:r>
        <w:rPr>
          <w:spacing w:val="-7"/>
          <w:sz w:val="20"/>
        </w:rPr>
        <w:t> </w:t>
      </w:r>
      <w:r>
        <w:rPr>
          <w:sz w:val="20"/>
        </w:rPr>
        <w:t>reported</w:t>
      </w:r>
      <w:r>
        <w:rPr>
          <w:spacing w:val="-7"/>
          <w:sz w:val="20"/>
        </w:rPr>
        <w:t> </w:t>
      </w:r>
      <w:r>
        <w:rPr>
          <w:sz w:val="20"/>
        </w:rPr>
        <w:t>and</w:t>
      </w:r>
      <w:r>
        <w:rPr>
          <w:spacing w:val="-5"/>
          <w:sz w:val="20"/>
        </w:rPr>
        <w:t> </w:t>
      </w:r>
      <w:r>
        <w:rPr>
          <w:sz w:val="20"/>
        </w:rPr>
        <w:t>administered</w:t>
      </w:r>
      <w:r>
        <w:rPr>
          <w:spacing w:val="-7"/>
          <w:sz w:val="20"/>
        </w:rPr>
        <w:t> </w:t>
      </w:r>
      <w:r>
        <w:rPr>
          <w:sz w:val="20"/>
        </w:rPr>
        <w:t>through</w:t>
      </w:r>
      <w:r>
        <w:rPr>
          <w:spacing w:val="-4"/>
          <w:sz w:val="20"/>
        </w:rPr>
        <w:t> </w:t>
      </w:r>
      <w:r>
        <w:rPr>
          <w:sz w:val="20"/>
        </w:rPr>
        <w:t>a</w:t>
      </w:r>
      <w:r>
        <w:rPr>
          <w:spacing w:val="-7"/>
          <w:sz w:val="20"/>
        </w:rPr>
        <w:t> </w:t>
      </w:r>
      <w:r>
        <w:rPr>
          <w:sz w:val="20"/>
        </w:rPr>
        <w:t>single</w:t>
      </w:r>
      <w:r>
        <w:rPr>
          <w:spacing w:val="-7"/>
          <w:sz w:val="20"/>
        </w:rPr>
        <w:t> </w:t>
      </w:r>
      <w:r>
        <w:rPr>
          <w:sz w:val="20"/>
        </w:rPr>
        <w:t>account for</w:t>
      </w:r>
      <w:r>
        <w:rPr>
          <w:spacing w:val="-14"/>
          <w:sz w:val="20"/>
        </w:rPr>
        <w:t> </w:t>
      </w:r>
      <w:r>
        <w:rPr>
          <w:sz w:val="20"/>
        </w:rPr>
        <w:t>the</w:t>
      </w:r>
      <w:r>
        <w:rPr>
          <w:spacing w:val="-15"/>
          <w:sz w:val="20"/>
        </w:rPr>
        <w:t> </w:t>
      </w:r>
      <w:r>
        <w:rPr>
          <w:sz w:val="20"/>
        </w:rPr>
        <w:t>relevant</w:t>
      </w:r>
      <w:r>
        <w:rPr>
          <w:spacing w:val="-13"/>
          <w:sz w:val="20"/>
        </w:rPr>
        <w:t> </w:t>
      </w:r>
      <w:r>
        <w:rPr>
          <w:sz w:val="20"/>
        </w:rPr>
        <w:t>group</w:t>
      </w:r>
      <w:r>
        <w:rPr>
          <w:spacing w:val="-15"/>
          <w:sz w:val="20"/>
        </w:rPr>
        <w:t> </w:t>
      </w:r>
      <w:r>
        <w:rPr>
          <w:sz w:val="20"/>
        </w:rPr>
        <w:t>or</w:t>
      </w:r>
      <w:r>
        <w:rPr>
          <w:spacing w:val="-13"/>
          <w:sz w:val="20"/>
        </w:rPr>
        <w:t> </w:t>
      </w:r>
      <w:r>
        <w:rPr>
          <w:sz w:val="20"/>
        </w:rPr>
        <w:t>segment,</w:t>
      </w:r>
      <w:r>
        <w:rPr>
          <w:spacing w:val="-15"/>
          <w:sz w:val="20"/>
        </w:rPr>
        <w:t> </w:t>
      </w:r>
      <w:r>
        <w:rPr>
          <w:sz w:val="20"/>
        </w:rPr>
        <w:t>and</w:t>
      </w:r>
      <w:r>
        <w:rPr>
          <w:spacing w:val="-14"/>
          <w:sz w:val="20"/>
        </w:rPr>
        <w:t> </w:t>
      </w:r>
      <w:r>
        <w:rPr>
          <w:sz w:val="20"/>
        </w:rPr>
        <w:t>kept</w:t>
      </w:r>
      <w:r>
        <w:rPr>
          <w:spacing w:val="-14"/>
          <w:sz w:val="20"/>
        </w:rPr>
        <w:t> </w:t>
      </w:r>
      <w:r>
        <w:rPr>
          <w:sz w:val="20"/>
        </w:rPr>
        <w:t>separate</w:t>
      </w:r>
      <w:r>
        <w:rPr>
          <w:spacing w:val="-14"/>
          <w:sz w:val="20"/>
        </w:rPr>
        <w:t> </w:t>
      </w:r>
      <w:r>
        <w:rPr>
          <w:sz w:val="20"/>
        </w:rPr>
        <w:t>from</w:t>
      </w:r>
      <w:r>
        <w:rPr>
          <w:spacing w:val="-13"/>
          <w:sz w:val="20"/>
        </w:rPr>
        <w:t> </w:t>
      </w:r>
      <w:r>
        <w:rPr>
          <w:sz w:val="20"/>
        </w:rPr>
        <w:t>any</w:t>
      </w:r>
      <w:r>
        <w:rPr>
          <w:spacing w:val="-17"/>
          <w:sz w:val="20"/>
        </w:rPr>
        <w:t> </w:t>
      </w:r>
      <w:r>
        <w:rPr>
          <w:sz w:val="20"/>
        </w:rPr>
        <w:t>existing</w:t>
      </w:r>
      <w:r>
        <w:rPr>
          <w:spacing w:val="-15"/>
          <w:sz w:val="20"/>
        </w:rPr>
        <w:t> </w:t>
      </w:r>
      <w:r>
        <w:rPr>
          <w:sz w:val="20"/>
        </w:rPr>
        <w:t>domestic</w:t>
      </w:r>
      <w:r>
        <w:rPr>
          <w:spacing w:val="-12"/>
          <w:sz w:val="20"/>
        </w:rPr>
        <w:t> </w:t>
      </w:r>
      <w:r>
        <w:rPr>
          <w:sz w:val="20"/>
        </w:rPr>
        <w:t>loss</w:t>
      </w:r>
      <w:r>
        <w:rPr>
          <w:spacing w:val="-13"/>
          <w:sz w:val="20"/>
        </w:rPr>
        <w:t> </w:t>
      </w:r>
      <w:r>
        <w:rPr>
          <w:sz w:val="20"/>
        </w:rPr>
        <w:t>carry-forward</w:t>
      </w:r>
      <w:r>
        <w:rPr>
          <w:spacing w:val="-13"/>
          <w:sz w:val="20"/>
        </w:rPr>
        <w:t> </w:t>
      </w:r>
      <w:r>
        <w:rPr>
          <w:sz w:val="20"/>
        </w:rPr>
        <w:t>regime.</w:t>
      </w:r>
    </w:p>
    <w:p>
      <w:pPr>
        <w:pStyle w:val="BodyText"/>
        <w:spacing w:before="6"/>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4.1. Objectives" w:id="245"/>
      <w:bookmarkEnd w:id="245"/>
      <w:r>
        <w:rPr>
          <w:b w:val="0"/>
          <w:i w:val="0"/>
        </w:rPr>
      </w:r>
      <w:bookmarkStart w:name="5.4.1. Objectives" w:id="246"/>
      <w:bookmarkEnd w:id="246"/>
      <w:r>
        <w:rPr>
          <w:i/>
        </w:rPr>
        <w:t>Obje</w:t>
      </w:r>
      <w:r>
        <w:rPr>
          <w:i/>
        </w:rPr>
        <w:t>ctives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Consistent with the legislation of many Inclusive Framework member jurisdictions, the loss carry- forward regime will seek to ensure that Amount A is based on an appropriate measure of net profit.</w:t>
      </w:r>
      <w:r>
        <w:rPr>
          <w:sz w:val="20"/>
          <w:vertAlign w:val="superscript"/>
        </w:rPr>
        <w:t>82</w:t>
      </w:r>
      <w:r>
        <w:rPr>
          <w:sz w:val="20"/>
          <w:vertAlign w:val="baseline"/>
        </w:rPr>
        <w:t> It is necessary</w:t>
      </w:r>
      <w:r>
        <w:rPr>
          <w:spacing w:val="-8"/>
          <w:sz w:val="20"/>
          <w:vertAlign w:val="baseline"/>
        </w:rPr>
        <w:t> </w:t>
      </w:r>
      <w:r>
        <w:rPr>
          <w:sz w:val="20"/>
          <w:vertAlign w:val="baseline"/>
        </w:rPr>
        <w:t>to</w:t>
      </w:r>
      <w:r>
        <w:rPr>
          <w:spacing w:val="-5"/>
          <w:sz w:val="20"/>
          <w:vertAlign w:val="baseline"/>
        </w:rPr>
        <w:t> </w:t>
      </w:r>
      <w:r>
        <w:rPr>
          <w:sz w:val="20"/>
          <w:vertAlign w:val="baseline"/>
        </w:rPr>
        <w:t>offset</w:t>
      </w:r>
      <w:r>
        <w:rPr>
          <w:spacing w:val="-6"/>
          <w:sz w:val="20"/>
          <w:vertAlign w:val="baseline"/>
        </w:rPr>
        <w:t> </w:t>
      </w:r>
      <w:r>
        <w:rPr>
          <w:sz w:val="20"/>
          <w:vertAlign w:val="baseline"/>
        </w:rPr>
        <w:t>tax</w:t>
      </w:r>
      <w:r>
        <w:rPr>
          <w:spacing w:val="-4"/>
          <w:sz w:val="20"/>
          <w:vertAlign w:val="baseline"/>
        </w:rPr>
        <w:t> </w:t>
      </w:r>
      <w:r>
        <w:rPr>
          <w:sz w:val="20"/>
          <w:vertAlign w:val="baseline"/>
        </w:rPr>
        <w:t>losses</w:t>
      </w:r>
      <w:r>
        <w:rPr>
          <w:spacing w:val="-4"/>
          <w:sz w:val="20"/>
          <w:vertAlign w:val="baseline"/>
        </w:rPr>
        <w:t> </w:t>
      </w:r>
      <w:r>
        <w:rPr>
          <w:sz w:val="20"/>
          <w:vertAlign w:val="baseline"/>
        </w:rPr>
        <w:t>of</w:t>
      </w:r>
      <w:r>
        <w:rPr>
          <w:spacing w:val="-3"/>
          <w:sz w:val="20"/>
          <w:vertAlign w:val="baseline"/>
        </w:rPr>
        <w:t> </w:t>
      </w:r>
      <w:r>
        <w:rPr>
          <w:sz w:val="20"/>
          <w:vertAlign w:val="baseline"/>
        </w:rPr>
        <w:t>earlier</w:t>
      </w:r>
      <w:r>
        <w:rPr>
          <w:spacing w:val="-2"/>
          <w:sz w:val="20"/>
          <w:vertAlign w:val="baseline"/>
        </w:rPr>
        <w:t> </w:t>
      </w:r>
      <w:r>
        <w:rPr>
          <w:sz w:val="20"/>
          <w:vertAlign w:val="baseline"/>
        </w:rPr>
        <w:t>years</w:t>
      </w:r>
      <w:r>
        <w:rPr>
          <w:spacing w:val="-4"/>
          <w:sz w:val="20"/>
          <w:vertAlign w:val="baseline"/>
        </w:rPr>
        <w:t> </w:t>
      </w:r>
      <w:r>
        <w:rPr>
          <w:sz w:val="20"/>
          <w:vertAlign w:val="baseline"/>
        </w:rPr>
        <w:t>against</w:t>
      </w:r>
      <w:r>
        <w:rPr>
          <w:spacing w:val="-4"/>
          <w:sz w:val="20"/>
          <w:vertAlign w:val="baseline"/>
        </w:rPr>
        <w:t> </w:t>
      </w:r>
      <w:r>
        <w:rPr>
          <w:sz w:val="20"/>
          <w:vertAlign w:val="baseline"/>
        </w:rPr>
        <w:t>current</w:t>
      </w:r>
      <w:r>
        <w:rPr>
          <w:spacing w:val="-4"/>
          <w:sz w:val="20"/>
          <w:vertAlign w:val="baseline"/>
        </w:rPr>
        <w:t> </w:t>
      </w:r>
      <w:r>
        <w:rPr>
          <w:sz w:val="20"/>
          <w:vertAlign w:val="baseline"/>
        </w:rPr>
        <w:t>year</w:t>
      </w:r>
      <w:r>
        <w:rPr>
          <w:spacing w:val="-5"/>
          <w:sz w:val="20"/>
          <w:vertAlign w:val="baseline"/>
        </w:rPr>
        <w:t> </w:t>
      </w:r>
      <w:r>
        <w:rPr>
          <w:sz w:val="20"/>
          <w:vertAlign w:val="baseline"/>
        </w:rPr>
        <w:t>taxable</w:t>
      </w:r>
      <w:r>
        <w:rPr>
          <w:spacing w:val="-5"/>
          <w:sz w:val="20"/>
          <w:vertAlign w:val="baseline"/>
        </w:rPr>
        <w:t> </w:t>
      </w:r>
      <w:r>
        <w:rPr>
          <w:sz w:val="20"/>
          <w:vertAlign w:val="baseline"/>
        </w:rPr>
        <w:t>profits</w:t>
      </w:r>
      <w:r>
        <w:rPr>
          <w:spacing w:val="-4"/>
          <w:sz w:val="20"/>
          <w:vertAlign w:val="baseline"/>
        </w:rPr>
        <w:t> </w:t>
      </w:r>
      <w:r>
        <w:rPr>
          <w:sz w:val="20"/>
          <w:vertAlign w:val="baseline"/>
        </w:rPr>
        <w:t>to</w:t>
      </w:r>
      <w:r>
        <w:rPr>
          <w:spacing w:val="-5"/>
          <w:sz w:val="20"/>
          <w:vertAlign w:val="baseline"/>
        </w:rPr>
        <w:t> </w:t>
      </w:r>
      <w:r>
        <w:rPr>
          <w:sz w:val="20"/>
          <w:vertAlign w:val="baseline"/>
        </w:rPr>
        <w:t>enable</w:t>
      </w:r>
      <w:r>
        <w:rPr>
          <w:spacing w:val="-4"/>
          <w:sz w:val="20"/>
          <w:vertAlign w:val="baseline"/>
        </w:rPr>
        <w:t> </w:t>
      </w:r>
      <w:r>
        <w:rPr>
          <w:sz w:val="20"/>
          <w:vertAlign w:val="baseline"/>
        </w:rPr>
        <w:t>all</w:t>
      </w:r>
      <w:r>
        <w:rPr>
          <w:spacing w:val="-6"/>
          <w:sz w:val="20"/>
          <w:vertAlign w:val="baseline"/>
        </w:rPr>
        <w:t> </w:t>
      </w:r>
      <w:r>
        <w:rPr>
          <w:sz w:val="20"/>
          <w:vertAlign w:val="baseline"/>
        </w:rPr>
        <w:t>businesses to recoup losses reflecting costs of their investment, and place businesses with volatile profit in the same position</w:t>
      </w:r>
      <w:r>
        <w:rPr>
          <w:spacing w:val="-10"/>
          <w:sz w:val="20"/>
          <w:vertAlign w:val="baseline"/>
        </w:rPr>
        <w:t> </w:t>
      </w:r>
      <w:r>
        <w:rPr>
          <w:sz w:val="20"/>
          <w:vertAlign w:val="baseline"/>
        </w:rPr>
        <w:t>as</w:t>
      </w:r>
      <w:r>
        <w:rPr>
          <w:spacing w:val="-8"/>
          <w:sz w:val="20"/>
          <w:vertAlign w:val="baseline"/>
        </w:rPr>
        <w:t> </w:t>
      </w:r>
      <w:r>
        <w:rPr>
          <w:sz w:val="20"/>
          <w:vertAlign w:val="baseline"/>
        </w:rPr>
        <w:t>those</w:t>
      </w:r>
      <w:r>
        <w:rPr>
          <w:spacing w:val="-7"/>
          <w:sz w:val="20"/>
          <w:vertAlign w:val="baseline"/>
        </w:rPr>
        <w:t> </w:t>
      </w:r>
      <w:r>
        <w:rPr>
          <w:sz w:val="20"/>
          <w:vertAlign w:val="baseline"/>
        </w:rPr>
        <w:t>with</w:t>
      </w:r>
      <w:r>
        <w:rPr>
          <w:spacing w:val="-9"/>
          <w:sz w:val="20"/>
          <w:vertAlign w:val="baseline"/>
        </w:rPr>
        <w:t> </w:t>
      </w:r>
      <w:r>
        <w:rPr>
          <w:sz w:val="20"/>
          <w:vertAlign w:val="baseline"/>
        </w:rPr>
        <w:t>more</w:t>
      </w:r>
      <w:r>
        <w:rPr>
          <w:spacing w:val="-11"/>
          <w:sz w:val="20"/>
          <w:vertAlign w:val="baseline"/>
        </w:rPr>
        <w:t> </w:t>
      </w:r>
      <w:r>
        <w:rPr>
          <w:sz w:val="20"/>
          <w:vertAlign w:val="baseline"/>
        </w:rPr>
        <w:t>stable</w:t>
      </w:r>
      <w:r>
        <w:rPr>
          <w:spacing w:val="-8"/>
          <w:sz w:val="20"/>
          <w:vertAlign w:val="baseline"/>
        </w:rPr>
        <w:t> </w:t>
      </w:r>
      <w:r>
        <w:rPr>
          <w:sz w:val="20"/>
          <w:vertAlign w:val="baseline"/>
        </w:rPr>
        <w:t>profit.</w:t>
      </w:r>
      <w:r>
        <w:rPr>
          <w:spacing w:val="-9"/>
          <w:sz w:val="20"/>
          <w:vertAlign w:val="baseline"/>
        </w:rPr>
        <w:t> </w:t>
      </w:r>
      <w:r>
        <w:rPr>
          <w:sz w:val="20"/>
          <w:vertAlign w:val="baseline"/>
        </w:rPr>
        <w:t>This</w:t>
      </w:r>
      <w:r>
        <w:rPr>
          <w:spacing w:val="-5"/>
          <w:sz w:val="20"/>
          <w:vertAlign w:val="baseline"/>
        </w:rPr>
        <w:t> </w:t>
      </w:r>
      <w:r>
        <w:rPr>
          <w:sz w:val="20"/>
          <w:vertAlign w:val="baseline"/>
        </w:rPr>
        <w:t>is</w:t>
      </w:r>
      <w:r>
        <w:rPr>
          <w:spacing w:val="-9"/>
          <w:sz w:val="20"/>
          <w:vertAlign w:val="baseline"/>
        </w:rPr>
        <w:t> </w:t>
      </w:r>
      <w:r>
        <w:rPr>
          <w:sz w:val="20"/>
          <w:vertAlign w:val="baseline"/>
        </w:rPr>
        <w:t>consistent</w:t>
      </w:r>
      <w:r>
        <w:rPr>
          <w:spacing w:val="-6"/>
          <w:sz w:val="20"/>
          <w:vertAlign w:val="baseline"/>
        </w:rPr>
        <w:t> </w:t>
      </w:r>
      <w:r>
        <w:rPr>
          <w:sz w:val="20"/>
          <w:vertAlign w:val="baseline"/>
        </w:rPr>
        <w:t>with</w:t>
      </w:r>
      <w:r>
        <w:rPr>
          <w:spacing w:val="-9"/>
          <w:sz w:val="20"/>
          <w:vertAlign w:val="baseline"/>
        </w:rPr>
        <w:t> </w:t>
      </w:r>
      <w:r>
        <w:rPr>
          <w:sz w:val="20"/>
          <w:vertAlign w:val="baseline"/>
        </w:rPr>
        <w:t>the</w:t>
      </w:r>
      <w:r>
        <w:rPr>
          <w:spacing w:val="-8"/>
          <w:sz w:val="20"/>
          <w:vertAlign w:val="baseline"/>
        </w:rPr>
        <w:t> </w:t>
      </w:r>
      <w:r>
        <w:rPr>
          <w:sz w:val="20"/>
          <w:vertAlign w:val="baseline"/>
        </w:rPr>
        <w:t>objective</w:t>
      </w:r>
      <w:r>
        <w:rPr>
          <w:spacing w:val="-10"/>
          <w:sz w:val="20"/>
          <w:vertAlign w:val="baseline"/>
        </w:rPr>
        <w:t> </w:t>
      </w:r>
      <w:r>
        <w:rPr>
          <w:sz w:val="20"/>
          <w:vertAlign w:val="baseline"/>
        </w:rPr>
        <w:t>of</w:t>
      </w:r>
      <w:r>
        <w:rPr>
          <w:spacing w:val="-7"/>
          <w:sz w:val="20"/>
          <w:vertAlign w:val="baseline"/>
        </w:rPr>
        <w:t> </w:t>
      </w:r>
      <w:r>
        <w:rPr>
          <w:sz w:val="20"/>
          <w:vertAlign w:val="baseline"/>
        </w:rPr>
        <w:t>taxing</w:t>
      </w:r>
      <w:r>
        <w:rPr>
          <w:spacing w:val="-9"/>
          <w:sz w:val="20"/>
          <w:vertAlign w:val="baseline"/>
        </w:rPr>
        <w:t> </w:t>
      </w:r>
      <w:r>
        <w:rPr>
          <w:sz w:val="20"/>
          <w:vertAlign w:val="baseline"/>
        </w:rPr>
        <w:t>only</w:t>
      </w:r>
      <w:r>
        <w:rPr>
          <w:spacing w:val="-7"/>
          <w:sz w:val="20"/>
          <w:vertAlign w:val="baseline"/>
        </w:rPr>
        <w:t> </w:t>
      </w:r>
      <w:r>
        <w:rPr>
          <w:sz w:val="20"/>
          <w:vertAlign w:val="baseline"/>
        </w:rPr>
        <w:t>economic</w:t>
      </w:r>
      <w:r>
        <w:rPr>
          <w:spacing w:val="-9"/>
          <w:sz w:val="20"/>
          <w:vertAlign w:val="baseline"/>
        </w:rPr>
        <w:t> </w:t>
      </w:r>
      <w:r>
        <w:rPr>
          <w:sz w:val="20"/>
          <w:vertAlign w:val="baseline"/>
        </w:rPr>
        <w:t>profit (or ability to pay principle),</w:t>
      </w:r>
      <w:r>
        <w:rPr>
          <w:sz w:val="20"/>
          <w:vertAlign w:val="superscript"/>
        </w:rPr>
        <w:t>83</w:t>
      </w:r>
      <w:r>
        <w:rPr>
          <w:sz w:val="20"/>
          <w:vertAlign w:val="baseline"/>
        </w:rPr>
        <w:t> and improves the neutrality of Amount A by ensuring a proper matching of revenues and expenses for all types of business</w:t>
      </w:r>
      <w:r>
        <w:rPr>
          <w:spacing w:val="-4"/>
          <w:sz w:val="20"/>
          <w:vertAlign w:val="baseline"/>
        </w:rPr>
        <w:t> </w:t>
      </w:r>
      <w:r>
        <w:rPr>
          <w:sz w:val="20"/>
          <w:vertAlign w:val="baseline"/>
        </w:rPr>
        <w:t>activities.</w:t>
      </w:r>
      <w:r>
        <w:rPr>
          <w:sz w:val="20"/>
          <w:vertAlign w:val="superscript"/>
        </w:rPr>
        <w:t>84</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Loss</w:t>
      </w:r>
      <w:r>
        <w:rPr>
          <w:spacing w:val="-18"/>
          <w:sz w:val="20"/>
        </w:rPr>
        <w:t> </w:t>
      </w:r>
      <w:r>
        <w:rPr>
          <w:sz w:val="20"/>
        </w:rPr>
        <w:t>carry-forward</w:t>
      </w:r>
      <w:r>
        <w:rPr>
          <w:spacing w:val="-16"/>
          <w:sz w:val="20"/>
        </w:rPr>
        <w:t> </w:t>
      </w:r>
      <w:r>
        <w:rPr>
          <w:sz w:val="20"/>
        </w:rPr>
        <w:t>is</w:t>
      </w:r>
      <w:r>
        <w:rPr>
          <w:spacing w:val="-16"/>
          <w:sz w:val="20"/>
        </w:rPr>
        <w:t> </w:t>
      </w:r>
      <w:r>
        <w:rPr>
          <w:sz w:val="20"/>
        </w:rPr>
        <w:t>also</w:t>
      </w:r>
      <w:r>
        <w:rPr>
          <w:spacing w:val="-16"/>
          <w:sz w:val="20"/>
        </w:rPr>
        <w:t> </w:t>
      </w:r>
      <w:r>
        <w:rPr>
          <w:sz w:val="20"/>
        </w:rPr>
        <w:t>a</w:t>
      </w:r>
      <w:r>
        <w:rPr>
          <w:spacing w:val="-15"/>
          <w:sz w:val="20"/>
        </w:rPr>
        <w:t> </w:t>
      </w:r>
      <w:r>
        <w:rPr>
          <w:sz w:val="20"/>
        </w:rPr>
        <w:t>way</w:t>
      </w:r>
      <w:r>
        <w:rPr>
          <w:spacing w:val="-19"/>
          <w:sz w:val="20"/>
        </w:rPr>
        <w:t> </w:t>
      </w:r>
      <w:r>
        <w:rPr>
          <w:sz w:val="20"/>
        </w:rPr>
        <w:t>to</w:t>
      </w:r>
      <w:r>
        <w:rPr>
          <w:spacing w:val="-17"/>
          <w:sz w:val="20"/>
        </w:rPr>
        <w:t> </w:t>
      </w:r>
      <w:r>
        <w:rPr>
          <w:sz w:val="20"/>
        </w:rPr>
        <w:t>preserve</w:t>
      </w:r>
      <w:r>
        <w:rPr>
          <w:spacing w:val="-17"/>
          <w:sz w:val="20"/>
        </w:rPr>
        <w:t> </w:t>
      </w:r>
      <w:r>
        <w:rPr>
          <w:sz w:val="20"/>
        </w:rPr>
        <w:t>the</w:t>
      </w:r>
      <w:r>
        <w:rPr>
          <w:spacing w:val="-17"/>
          <w:sz w:val="20"/>
        </w:rPr>
        <w:t> </w:t>
      </w:r>
      <w:r>
        <w:rPr>
          <w:sz w:val="20"/>
        </w:rPr>
        <w:t>taxing</w:t>
      </w:r>
      <w:r>
        <w:rPr>
          <w:spacing w:val="-17"/>
          <w:sz w:val="20"/>
        </w:rPr>
        <w:t> </w:t>
      </w:r>
      <w:r>
        <w:rPr>
          <w:sz w:val="20"/>
        </w:rPr>
        <w:t>rights</w:t>
      </w:r>
      <w:r>
        <w:rPr>
          <w:spacing w:val="-18"/>
          <w:sz w:val="20"/>
        </w:rPr>
        <w:t> </w:t>
      </w:r>
      <w:r>
        <w:rPr>
          <w:sz w:val="20"/>
        </w:rPr>
        <w:t>of</w:t>
      </w:r>
      <w:r>
        <w:rPr>
          <w:spacing w:val="-13"/>
          <w:sz w:val="20"/>
        </w:rPr>
        <w:t> </w:t>
      </w:r>
      <w:r>
        <w:rPr>
          <w:sz w:val="20"/>
        </w:rPr>
        <w:t>residence</w:t>
      </w:r>
      <w:r>
        <w:rPr>
          <w:spacing w:val="-15"/>
          <w:sz w:val="20"/>
        </w:rPr>
        <w:t> </w:t>
      </w:r>
      <w:r>
        <w:rPr>
          <w:sz w:val="20"/>
        </w:rPr>
        <w:t>jurisdictions,</w:t>
      </w:r>
      <w:r>
        <w:rPr>
          <w:spacing w:val="-18"/>
          <w:sz w:val="20"/>
        </w:rPr>
        <w:t> </w:t>
      </w:r>
      <w:r>
        <w:rPr>
          <w:sz w:val="20"/>
        </w:rPr>
        <w:t>for</w:t>
      </w:r>
      <w:r>
        <w:rPr>
          <w:spacing w:val="-19"/>
          <w:sz w:val="20"/>
        </w:rPr>
        <w:t> </w:t>
      </w:r>
      <w:r>
        <w:rPr>
          <w:sz w:val="20"/>
        </w:rPr>
        <w:t>example because they have already accepted (and will continue to accept) the deduction of losses generated by a business under the existing ALP-based system. Accounting for losses ensures that the residence jurisdiction of a business bearing the initial downside of a business activity (e.g. at a start-up level) will be able to recover these losses before a portion of the profit generated by the same activity is allocated to another jurisdiction under Amount</w:t>
      </w:r>
      <w:r>
        <w:rPr>
          <w:spacing w:val="-2"/>
          <w:sz w:val="20"/>
        </w:rPr>
        <w:t> </w:t>
      </w:r>
      <w:r>
        <w:rPr>
          <w:sz w:val="20"/>
        </w:rPr>
        <w:t>A.</w:t>
      </w:r>
    </w:p>
    <w:p>
      <w:pPr>
        <w:pStyle w:val="BodyText"/>
        <w:spacing w:before="5"/>
        <w:rPr>
          <w:sz w:val="23"/>
        </w:rPr>
      </w:pPr>
    </w:p>
    <w:p>
      <w:pPr>
        <w:pStyle w:val="Heading6"/>
        <w:numPr>
          <w:ilvl w:val="2"/>
          <w:numId w:val="59"/>
        </w:numPr>
        <w:tabs>
          <w:tab w:pos="2015" w:val="left" w:leader="none"/>
        </w:tabs>
        <w:spacing w:line="240" w:lineRule="auto" w:before="1" w:after="0"/>
        <w:ind w:left="2014" w:right="0" w:hanging="613"/>
        <w:jc w:val="left"/>
        <w:rPr>
          <w:i/>
        </w:rPr>
      </w:pPr>
      <w:bookmarkStart w:name="5.4.2. Calculation of losses" w:id="247"/>
      <w:bookmarkEnd w:id="247"/>
      <w:r>
        <w:rPr>
          <w:b w:val="0"/>
          <w:i w:val="0"/>
        </w:rPr>
      </w:r>
      <w:bookmarkStart w:name="_bookmark35" w:id="248"/>
      <w:bookmarkEnd w:id="248"/>
      <w:r>
        <w:rPr>
          <w:b w:val="0"/>
          <w:i w:val="0"/>
        </w:rPr>
      </w:r>
      <w:bookmarkStart w:name="_bookmark35" w:id="249"/>
      <w:bookmarkEnd w:id="249"/>
      <w:r>
        <w:rPr>
          <w:i/>
        </w:rPr>
        <w:t>C</w:t>
      </w:r>
      <w:r>
        <w:rPr>
          <w:i/>
        </w:rPr>
        <w:t>alculation of</w:t>
      </w:r>
      <w:r>
        <w:rPr>
          <w:i/>
          <w:spacing w:val="-2"/>
        </w:rPr>
        <w:t> </w:t>
      </w:r>
      <w:r>
        <w:rPr>
          <w:i/>
        </w:rPr>
        <w:t>losses</w:t>
      </w:r>
    </w:p>
    <w:p>
      <w:pPr>
        <w:pStyle w:val="BodyText"/>
        <w:rPr>
          <w:b/>
          <w:i/>
          <w:sz w:val="19"/>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The Amount A tax base will be computed consistently whether a business earns profits or incurs losses (symmetry). This means that the calculation of “in-regime” losses (losses incurred after the introduction</w:t>
      </w:r>
      <w:r>
        <w:rPr>
          <w:spacing w:val="-15"/>
          <w:sz w:val="20"/>
        </w:rPr>
        <w:t> </w:t>
      </w:r>
      <w:r>
        <w:rPr>
          <w:sz w:val="20"/>
        </w:rPr>
        <w:t>of</w:t>
      </w:r>
      <w:r>
        <w:rPr>
          <w:spacing w:val="-13"/>
          <w:sz w:val="20"/>
        </w:rPr>
        <w:t> </w:t>
      </w:r>
      <w:r>
        <w:rPr>
          <w:sz w:val="20"/>
        </w:rPr>
        <w:t>Amount</w:t>
      </w:r>
      <w:r>
        <w:rPr>
          <w:spacing w:val="-15"/>
          <w:sz w:val="20"/>
        </w:rPr>
        <w:t> </w:t>
      </w:r>
      <w:r>
        <w:rPr>
          <w:sz w:val="20"/>
        </w:rPr>
        <w:t>A)</w:t>
      </w:r>
      <w:r>
        <w:rPr>
          <w:spacing w:val="-11"/>
          <w:sz w:val="20"/>
        </w:rPr>
        <w:t> </w:t>
      </w:r>
      <w:r>
        <w:rPr>
          <w:sz w:val="20"/>
        </w:rPr>
        <w:t>will</w:t>
      </w:r>
      <w:r>
        <w:rPr>
          <w:spacing w:val="-14"/>
          <w:sz w:val="20"/>
        </w:rPr>
        <w:t> </w:t>
      </w:r>
      <w:r>
        <w:rPr>
          <w:sz w:val="20"/>
        </w:rPr>
        <w:t>be</w:t>
      </w:r>
      <w:r>
        <w:rPr>
          <w:spacing w:val="-15"/>
          <w:sz w:val="20"/>
        </w:rPr>
        <w:t> </w:t>
      </w:r>
      <w:r>
        <w:rPr>
          <w:sz w:val="20"/>
        </w:rPr>
        <w:t>derived</w:t>
      </w:r>
      <w:r>
        <w:rPr>
          <w:spacing w:val="-14"/>
          <w:sz w:val="20"/>
        </w:rPr>
        <w:t> </w:t>
      </w:r>
      <w:r>
        <w:rPr>
          <w:sz w:val="20"/>
        </w:rPr>
        <w:t>from</w:t>
      </w:r>
      <w:r>
        <w:rPr>
          <w:spacing w:val="-10"/>
          <w:sz w:val="20"/>
        </w:rPr>
        <w:t> </w:t>
      </w:r>
      <w:r>
        <w:rPr>
          <w:sz w:val="20"/>
        </w:rPr>
        <w:t>the</w:t>
      </w:r>
      <w:r>
        <w:rPr>
          <w:spacing w:val="-15"/>
          <w:sz w:val="20"/>
        </w:rPr>
        <w:t> </w:t>
      </w:r>
      <w:r>
        <w:rPr>
          <w:sz w:val="20"/>
        </w:rPr>
        <w:t>consolidated</w:t>
      </w:r>
      <w:r>
        <w:rPr>
          <w:spacing w:val="-15"/>
          <w:sz w:val="20"/>
        </w:rPr>
        <w:t> </w:t>
      </w:r>
      <w:r>
        <w:rPr>
          <w:sz w:val="20"/>
        </w:rPr>
        <w:t>financial</w:t>
      </w:r>
      <w:r>
        <w:rPr>
          <w:spacing w:val="-13"/>
          <w:sz w:val="20"/>
        </w:rPr>
        <w:t> </w:t>
      </w:r>
      <w:r>
        <w:rPr>
          <w:sz w:val="20"/>
        </w:rPr>
        <w:t>accounts</w:t>
      </w:r>
      <w:r>
        <w:rPr>
          <w:spacing w:val="-13"/>
          <w:sz w:val="20"/>
        </w:rPr>
        <w:t> </w:t>
      </w:r>
      <w:r>
        <w:rPr>
          <w:sz w:val="20"/>
        </w:rPr>
        <w:t>after</w:t>
      </w:r>
      <w:r>
        <w:rPr>
          <w:spacing w:val="-8"/>
          <w:sz w:val="20"/>
        </w:rPr>
        <w:t> </w:t>
      </w:r>
      <w:r>
        <w:rPr>
          <w:sz w:val="20"/>
        </w:rPr>
        <w:t>making</w:t>
      </w:r>
      <w:r>
        <w:rPr>
          <w:spacing w:val="-14"/>
          <w:sz w:val="20"/>
        </w:rPr>
        <w:t> </w:t>
      </w:r>
      <w:r>
        <w:rPr>
          <w:sz w:val="20"/>
        </w:rPr>
        <w:t>the</w:t>
      </w:r>
      <w:r>
        <w:rPr>
          <w:spacing w:val="-15"/>
          <w:sz w:val="20"/>
        </w:rPr>
        <w:t> </w:t>
      </w:r>
      <w:r>
        <w:rPr>
          <w:sz w:val="20"/>
        </w:rPr>
        <w:t>relevant book-to-tax</w:t>
      </w:r>
      <w:r>
        <w:rPr>
          <w:spacing w:val="6"/>
          <w:sz w:val="20"/>
        </w:rPr>
        <w:t> </w:t>
      </w:r>
      <w:r>
        <w:rPr>
          <w:sz w:val="20"/>
        </w:rPr>
        <w:t>adjustments</w:t>
      </w:r>
      <w:r>
        <w:rPr>
          <w:spacing w:val="9"/>
          <w:sz w:val="20"/>
        </w:rPr>
        <w:t> </w:t>
      </w:r>
      <w:r>
        <w:rPr>
          <w:sz w:val="20"/>
        </w:rPr>
        <w:t>(see</w:t>
      </w:r>
      <w:r>
        <w:rPr>
          <w:spacing w:val="6"/>
          <w:sz w:val="20"/>
        </w:rPr>
        <w:t> </w:t>
      </w:r>
      <w:r>
        <w:rPr>
          <w:sz w:val="20"/>
        </w:rPr>
        <w:t>section</w:t>
      </w:r>
      <w:r>
        <w:rPr>
          <w:spacing w:val="10"/>
          <w:sz w:val="20"/>
        </w:rPr>
        <w:t> </w:t>
      </w:r>
      <w:hyperlink w:history="true" w:anchor="_bookmark30">
        <w:r>
          <w:rPr>
            <w:sz w:val="20"/>
          </w:rPr>
          <w:t>5.2.2</w:t>
        </w:r>
      </w:hyperlink>
      <w:r>
        <w:rPr>
          <w:sz w:val="20"/>
        </w:rPr>
        <w:t>).</w:t>
      </w:r>
      <w:r>
        <w:rPr>
          <w:spacing w:val="6"/>
          <w:sz w:val="20"/>
        </w:rPr>
        <w:t> </w:t>
      </w:r>
      <w:r>
        <w:rPr>
          <w:sz w:val="20"/>
        </w:rPr>
        <w:t>This</w:t>
      </w:r>
      <w:r>
        <w:rPr>
          <w:spacing w:val="7"/>
          <w:sz w:val="20"/>
        </w:rPr>
        <w:t> </w:t>
      </w:r>
      <w:r>
        <w:rPr>
          <w:sz w:val="20"/>
        </w:rPr>
        <w:t>may</w:t>
      </w:r>
      <w:r>
        <w:rPr>
          <w:spacing w:val="3"/>
          <w:sz w:val="20"/>
        </w:rPr>
        <w:t> </w:t>
      </w:r>
      <w:r>
        <w:rPr>
          <w:sz w:val="20"/>
        </w:rPr>
        <w:t>apply</w:t>
      </w:r>
      <w:r>
        <w:rPr>
          <w:spacing w:val="3"/>
          <w:sz w:val="20"/>
        </w:rPr>
        <w:t> </w:t>
      </w:r>
      <w:r>
        <w:rPr>
          <w:sz w:val="20"/>
        </w:rPr>
        <w:t>to</w:t>
      </w:r>
      <w:r>
        <w:rPr>
          <w:spacing w:val="8"/>
          <w:sz w:val="20"/>
        </w:rPr>
        <w:t> </w:t>
      </w:r>
      <w:r>
        <w:rPr>
          <w:sz w:val="20"/>
        </w:rPr>
        <w:t>the</w:t>
      </w:r>
      <w:r>
        <w:rPr>
          <w:spacing w:val="6"/>
          <w:sz w:val="20"/>
        </w:rPr>
        <w:t> </w:t>
      </w:r>
      <w:r>
        <w:rPr>
          <w:sz w:val="20"/>
        </w:rPr>
        <w:t>level</w:t>
      </w:r>
      <w:r>
        <w:rPr>
          <w:spacing w:val="7"/>
          <w:sz w:val="20"/>
        </w:rPr>
        <w:t> </w:t>
      </w:r>
      <w:r>
        <w:rPr>
          <w:sz w:val="20"/>
        </w:rPr>
        <w:t>of</w:t>
      </w:r>
      <w:r>
        <w:rPr>
          <w:spacing w:val="8"/>
          <w:sz w:val="20"/>
        </w:rPr>
        <w:t> </w:t>
      </w:r>
      <w:r>
        <w:rPr>
          <w:sz w:val="20"/>
        </w:rPr>
        <w:t>the</w:t>
      </w:r>
      <w:r>
        <w:rPr>
          <w:spacing w:val="8"/>
          <w:sz w:val="20"/>
        </w:rPr>
        <w:t> </w:t>
      </w:r>
      <w:r>
        <w:rPr>
          <w:sz w:val="20"/>
        </w:rPr>
        <w:t>adjusted</w:t>
      </w:r>
      <w:r>
        <w:rPr>
          <w:spacing w:val="6"/>
          <w:sz w:val="20"/>
        </w:rPr>
        <w:t> </w:t>
      </w:r>
      <w:r>
        <w:rPr>
          <w:sz w:val="20"/>
        </w:rPr>
        <w:t>group</w:t>
      </w:r>
      <w:r>
        <w:rPr>
          <w:spacing w:val="8"/>
          <w:sz w:val="20"/>
        </w:rPr>
        <w:t> </w:t>
      </w:r>
      <w:r>
        <w:rPr>
          <w:sz w:val="20"/>
        </w:rPr>
        <w:t>PBT</w:t>
      </w:r>
      <w:r>
        <w:rPr>
          <w:spacing w:val="10"/>
          <w:sz w:val="20"/>
        </w:rPr>
        <w:t> </w:t>
      </w:r>
      <w:r>
        <w:rPr>
          <w:sz w:val="20"/>
        </w:rPr>
        <w:t>as</w:t>
      </w:r>
      <w:r>
        <w:rPr>
          <w:spacing w:val="7"/>
          <w:sz w:val="20"/>
        </w:rPr>
        <w:t> </w:t>
      </w:r>
      <w:r>
        <w:rPr>
          <w:sz w:val="20"/>
        </w:rPr>
        <w:t>a</w:t>
      </w:r>
    </w:p>
    <w:p>
      <w:pPr>
        <w:pStyle w:val="BodyText"/>
        <w:rPr>
          <w:sz w:val="28"/>
        </w:rPr>
      </w:pPr>
      <w:r>
        <w:rPr/>
        <w:pict>
          <v:rect style="position:absolute;margin-left:65.183998pt;margin-top:18.063007pt;width:144.020004pt;height:.599980pt;mso-position-horizontal-relative:page;mso-position-vertical-relative:paragraph;z-index:-15665152;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43" w:val="left" w:leader="none"/>
        </w:tabs>
        <w:spacing w:line="278" w:lineRule="auto" w:before="94" w:after="0"/>
        <w:ind w:left="723" w:right="482" w:firstLine="0"/>
        <w:jc w:val="both"/>
        <w:rPr>
          <w:sz w:val="18"/>
        </w:rPr>
      </w:pPr>
      <w:r>
        <w:rPr>
          <w:sz w:val="18"/>
        </w:rPr>
        <w:t>Although some jurisdictions’ CIT legislation includes loss carry-back rules, whereby losses can be transferred to reduce</w:t>
      </w:r>
      <w:r>
        <w:rPr>
          <w:spacing w:val="-4"/>
          <w:sz w:val="18"/>
        </w:rPr>
        <w:t> </w:t>
      </w:r>
      <w:r>
        <w:rPr>
          <w:sz w:val="18"/>
        </w:rPr>
        <w:t>or</w:t>
      </w:r>
      <w:r>
        <w:rPr>
          <w:spacing w:val="-6"/>
          <w:sz w:val="18"/>
        </w:rPr>
        <w:t> </w:t>
      </w:r>
      <w:r>
        <w:rPr>
          <w:sz w:val="18"/>
        </w:rPr>
        <w:t>eliminate</w:t>
      </w:r>
      <w:r>
        <w:rPr>
          <w:spacing w:val="-5"/>
          <w:sz w:val="18"/>
        </w:rPr>
        <w:t> </w:t>
      </w:r>
      <w:r>
        <w:rPr>
          <w:sz w:val="18"/>
        </w:rPr>
        <w:t>the</w:t>
      </w:r>
      <w:r>
        <w:rPr>
          <w:spacing w:val="-2"/>
          <w:sz w:val="18"/>
        </w:rPr>
        <w:t> </w:t>
      </w:r>
      <w:r>
        <w:rPr>
          <w:sz w:val="18"/>
        </w:rPr>
        <w:t>CIT</w:t>
      </w:r>
      <w:r>
        <w:rPr>
          <w:spacing w:val="-5"/>
          <w:sz w:val="18"/>
        </w:rPr>
        <w:t> </w:t>
      </w:r>
      <w:r>
        <w:rPr>
          <w:sz w:val="18"/>
        </w:rPr>
        <w:t>paid</w:t>
      </w:r>
      <w:r>
        <w:rPr>
          <w:spacing w:val="-4"/>
          <w:sz w:val="18"/>
        </w:rPr>
        <w:t> </w:t>
      </w:r>
      <w:r>
        <w:rPr>
          <w:sz w:val="18"/>
        </w:rPr>
        <w:t>in</w:t>
      </w:r>
      <w:r>
        <w:rPr>
          <w:spacing w:val="-5"/>
          <w:sz w:val="18"/>
        </w:rPr>
        <w:t> </w:t>
      </w:r>
      <w:r>
        <w:rPr>
          <w:sz w:val="18"/>
        </w:rPr>
        <w:t>a</w:t>
      </w:r>
      <w:r>
        <w:rPr>
          <w:spacing w:val="-3"/>
          <w:sz w:val="18"/>
        </w:rPr>
        <w:t> </w:t>
      </w:r>
      <w:r>
        <w:rPr>
          <w:sz w:val="18"/>
        </w:rPr>
        <w:t>prior</w:t>
      </w:r>
      <w:r>
        <w:rPr>
          <w:spacing w:val="-4"/>
          <w:sz w:val="18"/>
        </w:rPr>
        <w:t> </w:t>
      </w:r>
      <w:r>
        <w:rPr>
          <w:sz w:val="18"/>
        </w:rPr>
        <w:t>tax</w:t>
      </w:r>
      <w:r>
        <w:rPr>
          <w:spacing w:val="-7"/>
          <w:sz w:val="18"/>
        </w:rPr>
        <w:t> </w:t>
      </w:r>
      <w:r>
        <w:rPr>
          <w:sz w:val="18"/>
        </w:rPr>
        <w:t>year,</w:t>
      </w:r>
      <w:r>
        <w:rPr>
          <w:spacing w:val="-3"/>
          <w:sz w:val="18"/>
        </w:rPr>
        <w:t> </w:t>
      </w:r>
      <w:r>
        <w:rPr>
          <w:sz w:val="18"/>
        </w:rPr>
        <w:t>such</w:t>
      </w:r>
      <w:r>
        <w:rPr>
          <w:spacing w:val="-6"/>
          <w:sz w:val="18"/>
        </w:rPr>
        <w:t> </w:t>
      </w:r>
      <w:r>
        <w:rPr>
          <w:sz w:val="18"/>
        </w:rPr>
        <w:t>rules</w:t>
      </w:r>
      <w:r>
        <w:rPr>
          <w:spacing w:val="-5"/>
          <w:sz w:val="18"/>
        </w:rPr>
        <w:t> </w:t>
      </w:r>
      <w:r>
        <w:rPr>
          <w:sz w:val="18"/>
        </w:rPr>
        <w:t>are</w:t>
      </w:r>
      <w:r>
        <w:rPr>
          <w:spacing w:val="-2"/>
          <w:sz w:val="18"/>
        </w:rPr>
        <w:t> </w:t>
      </w:r>
      <w:r>
        <w:rPr>
          <w:sz w:val="18"/>
        </w:rPr>
        <w:t>not</w:t>
      </w:r>
      <w:r>
        <w:rPr>
          <w:spacing w:val="-7"/>
          <w:sz w:val="18"/>
        </w:rPr>
        <w:t> </w:t>
      </w:r>
      <w:r>
        <w:rPr>
          <w:sz w:val="18"/>
        </w:rPr>
        <w:t>considered</w:t>
      </w:r>
      <w:r>
        <w:rPr>
          <w:spacing w:val="-5"/>
          <w:sz w:val="18"/>
        </w:rPr>
        <w:t> </w:t>
      </w:r>
      <w:r>
        <w:rPr>
          <w:sz w:val="18"/>
        </w:rPr>
        <w:t>in</w:t>
      </w:r>
      <w:r>
        <w:rPr>
          <w:spacing w:val="-3"/>
          <w:sz w:val="18"/>
        </w:rPr>
        <w:t> </w:t>
      </w:r>
      <w:r>
        <w:rPr>
          <w:sz w:val="18"/>
        </w:rPr>
        <w:t>the</w:t>
      </w:r>
      <w:r>
        <w:rPr>
          <w:spacing w:val="-6"/>
          <w:sz w:val="18"/>
        </w:rPr>
        <w:t> </w:t>
      </w:r>
      <w:r>
        <w:rPr>
          <w:sz w:val="18"/>
        </w:rPr>
        <w:t>context of</w:t>
      </w:r>
      <w:r>
        <w:rPr>
          <w:spacing w:val="-4"/>
          <w:sz w:val="18"/>
        </w:rPr>
        <w:t> </w:t>
      </w:r>
      <w:r>
        <w:rPr>
          <w:sz w:val="18"/>
        </w:rPr>
        <w:t>Amount</w:t>
      </w:r>
      <w:r>
        <w:rPr>
          <w:spacing w:val="-5"/>
          <w:sz w:val="18"/>
        </w:rPr>
        <w:t> </w:t>
      </w:r>
      <w:r>
        <w:rPr>
          <w:sz w:val="18"/>
        </w:rPr>
        <w:t>A</w:t>
      </w:r>
      <w:r>
        <w:rPr>
          <w:spacing w:val="-4"/>
          <w:sz w:val="18"/>
        </w:rPr>
        <w:t> </w:t>
      </w:r>
      <w:r>
        <w:rPr>
          <w:sz w:val="18"/>
        </w:rPr>
        <w:t>because of their complexity and uncertainty. Loss carry-back regimes have proven difficult to administer as they require reopening a taxpayer’s assessment for prior tax periods. They also make it difficult for jurisdictions to forecast tax revenue as they require the refunding (possibly in years of economic decline) of taxes paid in previous</w:t>
      </w:r>
      <w:r>
        <w:rPr>
          <w:spacing w:val="-32"/>
          <w:sz w:val="18"/>
        </w:rPr>
        <w:t> </w:t>
      </w:r>
      <w:r>
        <w:rPr>
          <w:sz w:val="18"/>
        </w:rPr>
        <w:t>years.</w:t>
      </w:r>
    </w:p>
    <w:p>
      <w:pPr>
        <w:pStyle w:val="ListParagraph"/>
        <w:numPr>
          <w:ilvl w:val="0"/>
          <w:numId w:val="14"/>
        </w:numPr>
        <w:tabs>
          <w:tab w:pos="945" w:val="left" w:leader="none"/>
        </w:tabs>
        <w:spacing w:line="278" w:lineRule="auto" w:before="77" w:after="0"/>
        <w:ind w:left="723" w:right="480" w:firstLine="0"/>
        <w:jc w:val="both"/>
        <w:rPr>
          <w:sz w:val="18"/>
        </w:rPr>
      </w:pPr>
      <w:r>
        <w:rPr>
          <w:sz w:val="18"/>
        </w:rPr>
        <w:t>In this Report, ability to pay refers to the ability of a taxpayer to pay its income tax without impairing its original investment.</w:t>
      </w:r>
    </w:p>
    <w:p>
      <w:pPr>
        <w:pStyle w:val="ListParagraph"/>
        <w:numPr>
          <w:ilvl w:val="0"/>
          <w:numId w:val="14"/>
        </w:numPr>
        <w:tabs>
          <w:tab w:pos="971" w:val="left" w:leader="none"/>
        </w:tabs>
        <w:spacing w:line="278" w:lineRule="auto" w:before="78" w:after="0"/>
        <w:ind w:left="723" w:right="481" w:firstLine="0"/>
        <w:jc w:val="both"/>
        <w:rPr>
          <w:sz w:val="18"/>
        </w:rPr>
      </w:pPr>
      <w:r>
        <w:rPr>
          <w:sz w:val="18"/>
        </w:rPr>
        <w:t>For example, this is relevant for high-risk business activities requiring heavy investments in innovation and technology, where the risk of making losses is greater than for other (low-risk) business activities. Many highly digitalised businesses start their business cycle with a “scale up” period during which they undertake substantial investment to develop their business model and launch their international growth to capture new markets. During this period, they can experience large losses even if in the long term they become efficient and highly profitable. Loss carry-forward is necessary to ensure that those risk-taking businesses with high fluctuations in profit can recoup the costs associated with their initial investments, and hence not be subject to a relatively higher income tax burden than other business activities with a faster route to</w:t>
      </w:r>
      <w:r>
        <w:rPr>
          <w:spacing w:val="-5"/>
          <w:sz w:val="18"/>
        </w:rPr>
        <w:t> </w:t>
      </w:r>
      <w:r>
        <w:rPr>
          <w:sz w:val="18"/>
        </w:rPr>
        <w:t>profit.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5"/>
        <w:jc w:val="both"/>
      </w:pPr>
      <w:r>
        <w:rPr/>
        <w:t>whole or, where the segmentation framework applies and Amount A will be measured at the level of the segment, to each segment (see section </w:t>
      </w:r>
      <w:hyperlink w:history="true" w:anchor="_bookmark31">
        <w:r>
          <w:rPr/>
          <w:t>5.3</w:t>
        </w:r>
      </w:hyperlink>
      <w:r>
        <w:rPr/>
        <w:t>).</w:t>
      </w:r>
    </w:p>
    <w:p>
      <w:pPr>
        <w:pStyle w:val="ListParagraph"/>
        <w:numPr>
          <w:ilvl w:val="0"/>
          <w:numId w:val="13"/>
        </w:numPr>
        <w:tabs>
          <w:tab w:pos="1444" w:val="left" w:leader="none"/>
        </w:tabs>
        <w:spacing w:line="268" w:lineRule="auto" w:before="114" w:after="0"/>
        <w:ind w:left="723" w:right="482" w:firstLine="0"/>
        <w:jc w:val="both"/>
        <w:rPr>
          <w:sz w:val="20"/>
        </w:rPr>
      </w:pPr>
      <w:r>
        <w:rPr>
          <w:sz w:val="20"/>
        </w:rPr>
        <w:t>Where there is no segmentation</w:t>
      </w:r>
      <w:r>
        <w:rPr>
          <w:sz w:val="20"/>
          <w:vertAlign w:val="superscript"/>
        </w:rPr>
        <w:t>85</w:t>
      </w:r>
      <w:r>
        <w:rPr>
          <w:sz w:val="20"/>
          <w:vertAlign w:val="baseline"/>
        </w:rPr>
        <w:t>, all profits and losses linked to different business activities (including potentially out-of-scope activities) within the group will be mixed within the same tax base for Amount</w:t>
      </w:r>
      <w:r>
        <w:rPr>
          <w:spacing w:val="-16"/>
          <w:sz w:val="20"/>
          <w:vertAlign w:val="baseline"/>
        </w:rPr>
        <w:t> </w:t>
      </w:r>
      <w:r>
        <w:rPr>
          <w:sz w:val="20"/>
          <w:vertAlign w:val="baseline"/>
        </w:rPr>
        <w:t>A</w:t>
      </w:r>
      <w:r>
        <w:rPr>
          <w:spacing w:val="-13"/>
          <w:sz w:val="20"/>
          <w:vertAlign w:val="baseline"/>
        </w:rPr>
        <w:t> </w:t>
      </w:r>
      <w:r>
        <w:rPr>
          <w:sz w:val="20"/>
          <w:vertAlign w:val="baseline"/>
        </w:rPr>
        <w:t>purposes.</w:t>
      </w:r>
      <w:r>
        <w:rPr>
          <w:sz w:val="20"/>
          <w:vertAlign w:val="superscript"/>
        </w:rPr>
        <w:t>86</w:t>
      </w:r>
      <w:r>
        <w:rPr>
          <w:spacing w:val="-15"/>
          <w:sz w:val="20"/>
          <w:vertAlign w:val="baseline"/>
        </w:rPr>
        <w:t> </w:t>
      </w:r>
      <w:r>
        <w:rPr>
          <w:sz w:val="20"/>
          <w:vertAlign w:val="baseline"/>
        </w:rPr>
        <w:t>In</w:t>
      </w:r>
      <w:r>
        <w:rPr>
          <w:spacing w:val="-13"/>
          <w:sz w:val="20"/>
          <w:vertAlign w:val="baseline"/>
        </w:rPr>
        <w:t> </w:t>
      </w:r>
      <w:r>
        <w:rPr>
          <w:sz w:val="20"/>
          <w:vertAlign w:val="baseline"/>
        </w:rPr>
        <w:t>contrast,</w:t>
      </w:r>
      <w:r>
        <w:rPr>
          <w:spacing w:val="-13"/>
          <w:sz w:val="20"/>
          <w:vertAlign w:val="baseline"/>
        </w:rPr>
        <w:t> </w:t>
      </w:r>
      <w:r>
        <w:rPr>
          <w:sz w:val="20"/>
          <w:vertAlign w:val="baseline"/>
        </w:rPr>
        <w:t>where</w:t>
      </w:r>
      <w:r>
        <w:rPr>
          <w:spacing w:val="-13"/>
          <w:sz w:val="20"/>
          <w:vertAlign w:val="baseline"/>
        </w:rPr>
        <w:t> </w:t>
      </w:r>
      <w:r>
        <w:rPr>
          <w:sz w:val="20"/>
          <w:vertAlign w:val="baseline"/>
        </w:rPr>
        <w:t>the</w:t>
      </w:r>
      <w:r>
        <w:rPr>
          <w:spacing w:val="-15"/>
          <w:sz w:val="20"/>
          <w:vertAlign w:val="baseline"/>
        </w:rPr>
        <w:t> </w:t>
      </w:r>
      <w:r>
        <w:rPr>
          <w:sz w:val="20"/>
          <w:vertAlign w:val="baseline"/>
        </w:rPr>
        <w:t>Amount</w:t>
      </w:r>
      <w:r>
        <w:rPr>
          <w:spacing w:val="-14"/>
          <w:sz w:val="20"/>
          <w:vertAlign w:val="baseline"/>
        </w:rPr>
        <w:t> </w:t>
      </w:r>
      <w:r>
        <w:rPr>
          <w:sz w:val="20"/>
          <w:vertAlign w:val="baseline"/>
        </w:rPr>
        <w:t>A</w:t>
      </w:r>
      <w:r>
        <w:rPr>
          <w:spacing w:val="-16"/>
          <w:sz w:val="20"/>
          <w:vertAlign w:val="baseline"/>
        </w:rPr>
        <w:t> </w:t>
      </w:r>
      <w:r>
        <w:rPr>
          <w:sz w:val="20"/>
          <w:vertAlign w:val="baseline"/>
        </w:rPr>
        <w:t>tax</w:t>
      </w:r>
      <w:r>
        <w:rPr>
          <w:spacing w:val="-14"/>
          <w:sz w:val="20"/>
          <w:vertAlign w:val="baseline"/>
        </w:rPr>
        <w:t> </w:t>
      </w:r>
      <w:r>
        <w:rPr>
          <w:sz w:val="20"/>
          <w:vertAlign w:val="baseline"/>
        </w:rPr>
        <w:t>base</w:t>
      </w:r>
      <w:r>
        <w:rPr>
          <w:spacing w:val="-13"/>
          <w:sz w:val="20"/>
          <w:vertAlign w:val="baseline"/>
        </w:rPr>
        <w:t> </w:t>
      </w:r>
      <w:r>
        <w:rPr>
          <w:sz w:val="20"/>
          <w:vertAlign w:val="baseline"/>
        </w:rPr>
        <w:t>is</w:t>
      </w:r>
      <w:r>
        <w:rPr>
          <w:spacing w:val="-14"/>
          <w:sz w:val="20"/>
          <w:vertAlign w:val="baseline"/>
        </w:rPr>
        <w:t> </w:t>
      </w:r>
      <w:r>
        <w:rPr>
          <w:sz w:val="20"/>
          <w:vertAlign w:val="baseline"/>
        </w:rPr>
        <w:t>segmented,</w:t>
      </w:r>
      <w:r>
        <w:rPr>
          <w:spacing w:val="-10"/>
          <w:sz w:val="20"/>
          <w:vertAlign w:val="baseline"/>
        </w:rPr>
        <w:t> </w:t>
      </w:r>
      <w:r>
        <w:rPr>
          <w:sz w:val="20"/>
          <w:vertAlign w:val="baseline"/>
        </w:rPr>
        <w:t>the</w:t>
      </w:r>
      <w:r>
        <w:rPr>
          <w:spacing w:val="-16"/>
          <w:sz w:val="20"/>
          <w:vertAlign w:val="baseline"/>
        </w:rPr>
        <w:t> </w:t>
      </w:r>
      <w:r>
        <w:rPr>
          <w:sz w:val="20"/>
          <w:vertAlign w:val="baseline"/>
        </w:rPr>
        <w:t>segmentation</w:t>
      </w:r>
      <w:r>
        <w:rPr>
          <w:spacing w:val="-13"/>
          <w:sz w:val="20"/>
          <w:vertAlign w:val="baseline"/>
        </w:rPr>
        <w:t> </w:t>
      </w:r>
      <w:r>
        <w:rPr>
          <w:sz w:val="20"/>
          <w:vertAlign w:val="baseline"/>
        </w:rPr>
        <w:t>approach will</w:t>
      </w:r>
      <w:r>
        <w:rPr>
          <w:spacing w:val="-18"/>
          <w:sz w:val="20"/>
          <w:vertAlign w:val="baseline"/>
        </w:rPr>
        <w:t> </w:t>
      </w:r>
      <w:r>
        <w:rPr>
          <w:sz w:val="20"/>
          <w:vertAlign w:val="baseline"/>
        </w:rPr>
        <w:t>require</w:t>
      </w:r>
      <w:r>
        <w:rPr>
          <w:spacing w:val="-16"/>
          <w:sz w:val="20"/>
          <w:vertAlign w:val="baseline"/>
        </w:rPr>
        <w:t> </w:t>
      </w:r>
      <w:r>
        <w:rPr>
          <w:sz w:val="20"/>
          <w:vertAlign w:val="baseline"/>
        </w:rPr>
        <w:t>that</w:t>
      </w:r>
      <w:r>
        <w:rPr>
          <w:spacing w:val="-15"/>
          <w:sz w:val="20"/>
          <w:vertAlign w:val="baseline"/>
        </w:rPr>
        <w:t> </w:t>
      </w:r>
      <w:r>
        <w:rPr>
          <w:sz w:val="20"/>
          <w:vertAlign w:val="baseline"/>
        </w:rPr>
        <w:t>losses</w:t>
      </w:r>
      <w:r>
        <w:rPr>
          <w:spacing w:val="-16"/>
          <w:sz w:val="20"/>
          <w:vertAlign w:val="baseline"/>
        </w:rPr>
        <w:t> </w:t>
      </w:r>
      <w:r>
        <w:rPr>
          <w:sz w:val="20"/>
          <w:vertAlign w:val="baseline"/>
        </w:rPr>
        <w:t>and</w:t>
      </w:r>
      <w:r>
        <w:rPr>
          <w:spacing w:val="-14"/>
          <w:sz w:val="20"/>
          <w:vertAlign w:val="baseline"/>
        </w:rPr>
        <w:t> </w:t>
      </w:r>
      <w:r>
        <w:rPr>
          <w:sz w:val="20"/>
          <w:vertAlign w:val="baseline"/>
        </w:rPr>
        <w:t>profits</w:t>
      </w:r>
      <w:r>
        <w:rPr>
          <w:spacing w:val="-16"/>
          <w:sz w:val="20"/>
          <w:vertAlign w:val="baseline"/>
        </w:rPr>
        <w:t> </w:t>
      </w:r>
      <w:r>
        <w:rPr>
          <w:sz w:val="20"/>
          <w:vertAlign w:val="baseline"/>
        </w:rPr>
        <w:t>incurred</w:t>
      </w:r>
      <w:r>
        <w:rPr>
          <w:spacing w:val="-17"/>
          <w:sz w:val="20"/>
          <w:vertAlign w:val="baseline"/>
        </w:rPr>
        <w:t> </w:t>
      </w:r>
      <w:r>
        <w:rPr>
          <w:sz w:val="20"/>
          <w:vertAlign w:val="baseline"/>
        </w:rPr>
        <w:t>by</w:t>
      </w:r>
      <w:r>
        <w:rPr>
          <w:spacing w:val="-19"/>
          <w:sz w:val="20"/>
          <w:vertAlign w:val="baseline"/>
        </w:rPr>
        <w:t> </w:t>
      </w:r>
      <w:r>
        <w:rPr>
          <w:sz w:val="20"/>
          <w:vertAlign w:val="baseline"/>
        </w:rPr>
        <w:t>different</w:t>
      </w:r>
      <w:r>
        <w:rPr>
          <w:spacing w:val="-17"/>
          <w:sz w:val="20"/>
          <w:vertAlign w:val="baseline"/>
        </w:rPr>
        <w:t> </w:t>
      </w:r>
      <w:r>
        <w:rPr>
          <w:sz w:val="20"/>
          <w:vertAlign w:val="baseline"/>
        </w:rPr>
        <w:t>segments</w:t>
      </w:r>
      <w:r>
        <w:rPr>
          <w:spacing w:val="-15"/>
          <w:sz w:val="20"/>
          <w:vertAlign w:val="baseline"/>
        </w:rPr>
        <w:t> </w:t>
      </w:r>
      <w:r>
        <w:rPr>
          <w:sz w:val="20"/>
          <w:vertAlign w:val="baseline"/>
        </w:rPr>
        <w:t>within</w:t>
      </w:r>
      <w:r>
        <w:rPr>
          <w:spacing w:val="-15"/>
          <w:sz w:val="20"/>
          <w:vertAlign w:val="baseline"/>
        </w:rPr>
        <w:t> </w:t>
      </w:r>
      <w:r>
        <w:rPr>
          <w:sz w:val="20"/>
          <w:vertAlign w:val="baseline"/>
        </w:rPr>
        <w:t>the</w:t>
      </w:r>
      <w:r>
        <w:rPr>
          <w:spacing w:val="-15"/>
          <w:sz w:val="20"/>
          <w:vertAlign w:val="baseline"/>
        </w:rPr>
        <w:t> </w:t>
      </w:r>
      <w:r>
        <w:rPr>
          <w:sz w:val="20"/>
          <w:vertAlign w:val="baseline"/>
        </w:rPr>
        <w:t>group</w:t>
      </w:r>
      <w:r>
        <w:rPr>
          <w:spacing w:val="-14"/>
          <w:sz w:val="20"/>
          <w:vertAlign w:val="baseline"/>
        </w:rPr>
        <w:t> </w:t>
      </w:r>
      <w:r>
        <w:rPr>
          <w:spacing w:val="2"/>
          <w:sz w:val="20"/>
          <w:vertAlign w:val="baseline"/>
        </w:rPr>
        <w:t>are</w:t>
      </w:r>
      <w:r>
        <w:rPr>
          <w:spacing w:val="-17"/>
          <w:sz w:val="20"/>
          <w:vertAlign w:val="baseline"/>
        </w:rPr>
        <w:t> </w:t>
      </w:r>
      <w:r>
        <w:rPr>
          <w:sz w:val="20"/>
          <w:vertAlign w:val="baseline"/>
        </w:rPr>
        <w:t>computed</w:t>
      </w:r>
      <w:r>
        <w:rPr>
          <w:spacing w:val="-17"/>
          <w:sz w:val="20"/>
          <w:vertAlign w:val="baseline"/>
        </w:rPr>
        <w:t> </w:t>
      </w:r>
      <w:r>
        <w:rPr>
          <w:sz w:val="20"/>
          <w:vertAlign w:val="baseline"/>
        </w:rPr>
        <w:t>separately, and that losses incurred by a segment are generally not available to reduce the profit of another segment (i.e. there will be no cross-segment blending of profits and losses). Additional work will be required to finalise specific aspects of these computation rules, such as identifying exceptions for business reorganisations (see section </w:t>
      </w:r>
      <w:hyperlink w:history="true" w:anchor="_bookmark36">
        <w:r>
          <w:rPr>
            <w:sz w:val="20"/>
            <w:vertAlign w:val="baseline"/>
          </w:rPr>
          <w:t>5.4.4</w:t>
        </w:r>
      </w:hyperlink>
      <w:r>
        <w:rPr>
          <w:sz w:val="20"/>
          <w:vertAlign w:val="baseline"/>
        </w:rPr>
        <w:t>), specific requirements to address the effects of inter-segment transactions (typically, to prevent abusive shifting </w:t>
      </w:r>
      <w:r>
        <w:rPr>
          <w:sz w:val="22"/>
          <w:vertAlign w:val="baseline"/>
        </w:rPr>
        <w:t>of </w:t>
      </w:r>
      <w:r>
        <w:rPr>
          <w:sz w:val="20"/>
          <w:vertAlign w:val="baseline"/>
        </w:rPr>
        <w:t>profits and losses, see section </w:t>
      </w:r>
      <w:hyperlink w:history="true" w:anchor="_bookmark33">
        <w:r>
          <w:rPr>
            <w:sz w:val="20"/>
            <w:vertAlign w:val="baseline"/>
          </w:rPr>
          <w:t>454</w:t>
        </w:r>
      </w:hyperlink>
      <w:r>
        <w:rPr>
          <w:sz w:val="20"/>
          <w:vertAlign w:val="baseline"/>
        </w:rPr>
        <w:t>), and other implications of symmetry in the application of the Amount A tax base</w:t>
      </w:r>
      <w:r>
        <w:rPr>
          <w:spacing w:val="-5"/>
          <w:sz w:val="20"/>
          <w:vertAlign w:val="baseline"/>
        </w:rPr>
        <w:t> </w:t>
      </w:r>
      <w:r>
        <w:rPr>
          <w:sz w:val="20"/>
          <w:vertAlign w:val="baseline"/>
        </w:rPr>
        <w:t>rules.</w:t>
      </w:r>
    </w:p>
    <w:p>
      <w:pPr>
        <w:pStyle w:val="ListParagraph"/>
        <w:numPr>
          <w:ilvl w:val="0"/>
          <w:numId w:val="13"/>
        </w:numPr>
        <w:tabs>
          <w:tab w:pos="1444" w:val="left" w:leader="none"/>
        </w:tabs>
        <w:spacing w:line="271" w:lineRule="auto" w:before="125" w:after="0"/>
        <w:ind w:left="723" w:right="479" w:firstLine="0"/>
        <w:jc w:val="both"/>
        <w:rPr>
          <w:sz w:val="20"/>
        </w:rPr>
      </w:pPr>
      <w:r>
        <w:rPr>
          <w:sz w:val="20"/>
        </w:rPr>
        <w:t>Consistent with the Outline and guiding principles established by the Inclusive Framework (see above section </w:t>
      </w:r>
      <w:hyperlink w:history="true" w:anchor="_bookmark3">
        <w:r>
          <w:rPr>
            <w:sz w:val="20"/>
          </w:rPr>
          <w:t>1.1</w:t>
        </w:r>
      </w:hyperlink>
      <w:r>
        <w:rPr>
          <w:sz w:val="20"/>
        </w:rPr>
        <w:t>), a transitional regime is being considered which would allow certain net pre-regime losses (losses incurred before the introduction of Amount A that exceed profits earned during that pre- regime</w:t>
      </w:r>
      <w:r>
        <w:rPr>
          <w:spacing w:val="-7"/>
          <w:sz w:val="20"/>
        </w:rPr>
        <w:t> </w:t>
      </w:r>
      <w:r>
        <w:rPr>
          <w:sz w:val="20"/>
        </w:rPr>
        <w:t>period)</w:t>
      </w:r>
      <w:r>
        <w:rPr>
          <w:spacing w:val="-5"/>
          <w:sz w:val="20"/>
        </w:rPr>
        <w:t> </w:t>
      </w:r>
      <w:r>
        <w:rPr>
          <w:sz w:val="20"/>
        </w:rPr>
        <w:t>to</w:t>
      </w:r>
      <w:r>
        <w:rPr>
          <w:spacing w:val="-5"/>
          <w:sz w:val="20"/>
        </w:rPr>
        <w:t> </w:t>
      </w:r>
      <w:r>
        <w:rPr>
          <w:sz w:val="20"/>
        </w:rPr>
        <w:t>be</w:t>
      </w:r>
      <w:r>
        <w:rPr>
          <w:spacing w:val="-7"/>
          <w:sz w:val="20"/>
        </w:rPr>
        <w:t> </w:t>
      </w:r>
      <w:r>
        <w:rPr>
          <w:sz w:val="20"/>
        </w:rPr>
        <w:t>preserved</w:t>
      </w:r>
      <w:r>
        <w:rPr>
          <w:spacing w:val="-4"/>
          <w:sz w:val="20"/>
        </w:rPr>
        <w:t> </w:t>
      </w:r>
      <w:r>
        <w:rPr>
          <w:sz w:val="20"/>
        </w:rPr>
        <w:t>and</w:t>
      </w:r>
      <w:r>
        <w:rPr>
          <w:spacing w:val="-4"/>
          <w:sz w:val="20"/>
        </w:rPr>
        <w:t> </w:t>
      </w:r>
      <w:r>
        <w:rPr>
          <w:sz w:val="20"/>
        </w:rPr>
        <w:t>deducted</w:t>
      </w:r>
      <w:r>
        <w:rPr>
          <w:spacing w:val="-7"/>
          <w:sz w:val="20"/>
        </w:rPr>
        <w:t> </w:t>
      </w:r>
      <w:r>
        <w:rPr>
          <w:sz w:val="20"/>
        </w:rPr>
        <w:t>against</w:t>
      </w:r>
      <w:r>
        <w:rPr>
          <w:spacing w:val="-4"/>
          <w:sz w:val="20"/>
        </w:rPr>
        <w:t> </w:t>
      </w:r>
      <w:r>
        <w:rPr>
          <w:sz w:val="20"/>
        </w:rPr>
        <w:t>Amount</w:t>
      </w:r>
      <w:r>
        <w:rPr>
          <w:spacing w:val="-7"/>
          <w:sz w:val="20"/>
        </w:rPr>
        <w:t> </w:t>
      </w:r>
      <w:r>
        <w:rPr>
          <w:sz w:val="20"/>
        </w:rPr>
        <w:t>A</w:t>
      </w:r>
      <w:r>
        <w:rPr>
          <w:spacing w:val="-7"/>
          <w:sz w:val="20"/>
        </w:rPr>
        <w:t> </w:t>
      </w:r>
      <w:r>
        <w:rPr>
          <w:sz w:val="20"/>
        </w:rPr>
        <w:t>in-regime</w:t>
      </w:r>
      <w:r>
        <w:rPr>
          <w:spacing w:val="-7"/>
          <w:sz w:val="20"/>
        </w:rPr>
        <w:t> </w:t>
      </w:r>
      <w:r>
        <w:rPr>
          <w:sz w:val="20"/>
        </w:rPr>
        <w:t>profits</w:t>
      </w:r>
      <w:r>
        <w:rPr>
          <w:spacing w:val="-5"/>
          <w:sz w:val="20"/>
        </w:rPr>
        <w:t> </w:t>
      </w:r>
      <w:r>
        <w:rPr>
          <w:sz w:val="20"/>
        </w:rPr>
        <w:t>up</w:t>
      </w:r>
      <w:r>
        <w:rPr>
          <w:spacing w:val="-7"/>
          <w:sz w:val="20"/>
        </w:rPr>
        <w:t> </w:t>
      </w:r>
      <w:r>
        <w:rPr>
          <w:sz w:val="20"/>
        </w:rPr>
        <w:t>to</w:t>
      </w:r>
      <w:r>
        <w:rPr>
          <w:spacing w:val="-7"/>
          <w:sz w:val="20"/>
        </w:rPr>
        <w:t> </w:t>
      </w:r>
      <w:r>
        <w:rPr>
          <w:sz w:val="20"/>
        </w:rPr>
        <w:t>a</w:t>
      </w:r>
      <w:r>
        <w:rPr>
          <w:spacing w:val="-7"/>
          <w:sz w:val="20"/>
        </w:rPr>
        <w:t> </w:t>
      </w:r>
      <w:r>
        <w:rPr>
          <w:sz w:val="20"/>
        </w:rPr>
        <w:t>certain</w:t>
      </w:r>
      <w:r>
        <w:rPr>
          <w:spacing w:val="-6"/>
          <w:sz w:val="20"/>
        </w:rPr>
        <w:t> </w:t>
      </w:r>
      <w:r>
        <w:rPr>
          <w:sz w:val="20"/>
        </w:rPr>
        <w:t>time</w:t>
      </w:r>
      <w:r>
        <w:rPr>
          <w:spacing w:val="-7"/>
          <w:sz w:val="20"/>
        </w:rPr>
        <w:t> </w:t>
      </w:r>
      <w:r>
        <w:rPr>
          <w:sz w:val="20"/>
        </w:rPr>
        <w:t>limit. To</w:t>
      </w:r>
      <w:r>
        <w:rPr>
          <w:spacing w:val="-13"/>
          <w:sz w:val="20"/>
        </w:rPr>
        <w:t> </w:t>
      </w:r>
      <w:r>
        <w:rPr>
          <w:sz w:val="20"/>
        </w:rPr>
        <w:t>avoid</w:t>
      </w:r>
      <w:r>
        <w:rPr>
          <w:spacing w:val="-9"/>
          <w:sz w:val="20"/>
        </w:rPr>
        <w:t> </w:t>
      </w:r>
      <w:r>
        <w:rPr>
          <w:sz w:val="20"/>
        </w:rPr>
        <w:t>complexity,</w:t>
      </w:r>
      <w:r>
        <w:rPr>
          <w:spacing w:val="-6"/>
          <w:sz w:val="20"/>
        </w:rPr>
        <w:t> </w:t>
      </w:r>
      <w:r>
        <w:rPr>
          <w:sz w:val="20"/>
        </w:rPr>
        <w:t>no</w:t>
      </w:r>
      <w:r>
        <w:rPr>
          <w:spacing w:val="-10"/>
          <w:sz w:val="20"/>
        </w:rPr>
        <w:t> </w:t>
      </w:r>
      <w:r>
        <w:rPr>
          <w:sz w:val="20"/>
        </w:rPr>
        <w:t>distinction</w:t>
      </w:r>
      <w:r>
        <w:rPr>
          <w:spacing w:val="-8"/>
          <w:sz w:val="20"/>
        </w:rPr>
        <w:t> </w:t>
      </w:r>
      <w:r>
        <w:rPr>
          <w:sz w:val="20"/>
        </w:rPr>
        <w:t>would</w:t>
      </w:r>
      <w:r>
        <w:rPr>
          <w:spacing w:val="-10"/>
          <w:sz w:val="20"/>
        </w:rPr>
        <w:t> </w:t>
      </w:r>
      <w:r>
        <w:rPr>
          <w:sz w:val="20"/>
        </w:rPr>
        <w:t>be</w:t>
      </w:r>
      <w:r>
        <w:rPr>
          <w:spacing w:val="-12"/>
          <w:sz w:val="20"/>
        </w:rPr>
        <w:t> </w:t>
      </w:r>
      <w:r>
        <w:rPr>
          <w:sz w:val="20"/>
        </w:rPr>
        <w:t>made</w:t>
      </w:r>
      <w:r>
        <w:rPr>
          <w:spacing w:val="-8"/>
          <w:sz w:val="20"/>
        </w:rPr>
        <w:t> </w:t>
      </w:r>
      <w:r>
        <w:rPr>
          <w:sz w:val="20"/>
        </w:rPr>
        <w:t>between</w:t>
      </w:r>
      <w:r>
        <w:rPr>
          <w:spacing w:val="-11"/>
          <w:sz w:val="20"/>
        </w:rPr>
        <w:t> </w:t>
      </w:r>
      <w:r>
        <w:rPr>
          <w:sz w:val="20"/>
        </w:rPr>
        <w:t>pre-regime</w:t>
      </w:r>
      <w:r>
        <w:rPr>
          <w:spacing w:val="-12"/>
          <w:sz w:val="20"/>
        </w:rPr>
        <w:t> </w:t>
      </w:r>
      <w:r>
        <w:rPr>
          <w:sz w:val="20"/>
        </w:rPr>
        <w:t>losses</w:t>
      </w:r>
      <w:r>
        <w:rPr>
          <w:spacing w:val="-11"/>
          <w:sz w:val="20"/>
        </w:rPr>
        <w:t> </w:t>
      </w:r>
      <w:r>
        <w:rPr>
          <w:sz w:val="20"/>
        </w:rPr>
        <w:t>and</w:t>
      </w:r>
      <w:r>
        <w:rPr>
          <w:spacing w:val="-10"/>
          <w:sz w:val="20"/>
        </w:rPr>
        <w:t> </w:t>
      </w:r>
      <w:r>
        <w:rPr>
          <w:sz w:val="20"/>
        </w:rPr>
        <w:t>in-regime</w:t>
      </w:r>
      <w:r>
        <w:rPr>
          <w:spacing w:val="-12"/>
          <w:sz w:val="20"/>
        </w:rPr>
        <w:t> </w:t>
      </w:r>
      <w:r>
        <w:rPr>
          <w:sz w:val="20"/>
        </w:rPr>
        <w:t>losses</w:t>
      </w:r>
      <w:r>
        <w:rPr>
          <w:spacing w:val="-9"/>
          <w:sz w:val="20"/>
        </w:rPr>
        <w:t> </w:t>
      </w:r>
      <w:r>
        <w:rPr>
          <w:sz w:val="20"/>
        </w:rPr>
        <w:t>under the carry-forward regime, i.e. the features of the carry-forward regime (including potential restrictions) would apply similarly to pre-regime and in-regime losses. This transitional regime would seek to allow groups to recover the costs of investment undertaken before the introduction of Amount A (i.e. distortions arising from the timing of introduction of the new taxing right), and prevent a reallocation of profit under Amount A where there is no economic profit. But it is recognised that this approach would also treat pre- regime losses and pre-regime profits differently, creating an asymmetry in the calculation of losses which would reduce the Amount A profit potentially reallocated to market jurisdictions. Some members of the Inclusive Framework consider that profit and losses should apply symmetrically and therefore, in principle are opposed to accommodating any pre-regime losses. They argue that in case pre-regime losses are considered, pre-regime profits of the relevant period must also be brought forward for distribution. In addition, retroactive identification and calculation of Amount A losses based on past financial accounts could present practical challenges. To address these challenges and to reduce compliance and administrative</w:t>
      </w:r>
      <w:r>
        <w:rPr>
          <w:spacing w:val="-7"/>
          <w:sz w:val="20"/>
        </w:rPr>
        <w:t> </w:t>
      </w:r>
      <w:r>
        <w:rPr>
          <w:sz w:val="20"/>
        </w:rPr>
        <w:t>costs,</w:t>
      </w:r>
      <w:r>
        <w:rPr>
          <w:spacing w:val="-6"/>
          <w:sz w:val="20"/>
        </w:rPr>
        <w:t> </w:t>
      </w:r>
      <w:r>
        <w:rPr>
          <w:sz w:val="20"/>
        </w:rPr>
        <w:t>a</w:t>
      </w:r>
      <w:r>
        <w:rPr>
          <w:spacing w:val="-7"/>
          <w:sz w:val="20"/>
        </w:rPr>
        <w:t> </w:t>
      </w:r>
      <w:r>
        <w:rPr>
          <w:sz w:val="20"/>
        </w:rPr>
        <w:t>time</w:t>
      </w:r>
      <w:r>
        <w:rPr>
          <w:spacing w:val="-7"/>
          <w:sz w:val="20"/>
        </w:rPr>
        <w:t> </w:t>
      </w:r>
      <w:r>
        <w:rPr>
          <w:sz w:val="20"/>
        </w:rPr>
        <w:t>limit</w:t>
      </w:r>
      <w:r>
        <w:rPr>
          <w:spacing w:val="-6"/>
          <w:sz w:val="20"/>
        </w:rPr>
        <w:t> </w:t>
      </w:r>
      <w:r>
        <w:rPr>
          <w:sz w:val="20"/>
        </w:rPr>
        <w:t>beyond</w:t>
      </w:r>
      <w:r>
        <w:rPr>
          <w:spacing w:val="-4"/>
          <w:sz w:val="20"/>
        </w:rPr>
        <w:t> </w:t>
      </w:r>
      <w:r>
        <w:rPr>
          <w:sz w:val="20"/>
        </w:rPr>
        <w:t>which</w:t>
      </w:r>
      <w:r>
        <w:rPr>
          <w:spacing w:val="-7"/>
          <w:sz w:val="20"/>
        </w:rPr>
        <w:t> </w:t>
      </w:r>
      <w:r>
        <w:rPr>
          <w:sz w:val="20"/>
        </w:rPr>
        <w:t>pre-regime</w:t>
      </w:r>
      <w:r>
        <w:rPr>
          <w:spacing w:val="-7"/>
          <w:sz w:val="20"/>
        </w:rPr>
        <w:t> </w:t>
      </w:r>
      <w:r>
        <w:rPr>
          <w:sz w:val="20"/>
        </w:rPr>
        <w:t>losses</w:t>
      </w:r>
      <w:r>
        <w:rPr>
          <w:spacing w:val="-5"/>
          <w:sz w:val="20"/>
        </w:rPr>
        <w:t> </w:t>
      </w:r>
      <w:r>
        <w:rPr>
          <w:sz w:val="20"/>
        </w:rPr>
        <w:t>would</w:t>
      </w:r>
      <w:r>
        <w:rPr>
          <w:spacing w:val="-7"/>
          <w:sz w:val="20"/>
        </w:rPr>
        <w:t> </w:t>
      </w:r>
      <w:r>
        <w:rPr>
          <w:sz w:val="20"/>
        </w:rPr>
        <w:t>no</w:t>
      </w:r>
      <w:r>
        <w:rPr>
          <w:spacing w:val="-4"/>
          <w:sz w:val="20"/>
        </w:rPr>
        <w:t> </w:t>
      </w:r>
      <w:r>
        <w:rPr>
          <w:sz w:val="20"/>
        </w:rPr>
        <w:t>longer</w:t>
      </w:r>
      <w:r>
        <w:rPr>
          <w:spacing w:val="-5"/>
          <w:sz w:val="20"/>
        </w:rPr>
        <w:t> </w:t>
      </w:r>
      <w:r>
        <w:rPr>
          <w:sz w:val="20"/>
        </w:rPr>
        <w:t>be</w:t>
      </w:r>
      <w:r>
        <w:rPr>
          <w:spacing w:val="-6"/>
          <w:sz w:val="20"/>
        </w:rPr>
        <w:t> </w:t>
      </w:r>
      <w:r>
        <w:rPr>
          <w:sz w:val="20"/>
        </w:rPr>
        <w:t>considered</w:t>
      </w:r>
      <w:r>
        <w:rPr>
          <w:spacing w:val="-6"/>
          <w:sz w:val="20"/>
        </w:rPr>
        <w:t> </w:t>
      </w:r>
      <w:r>
        <w:rPr>
          <w:sz w:val="20"/>
        </w:rPr>
        <w:t>could</w:t>
      </w:r>
      <w:r>
        <w:rPr>
          <w:spacing w:val="-6"/>
          <w:sz w:val="20"/>
        </w:rPr>
        <w:t> </w:t>
      </w:r>
      <w:r>
        <w:rPr>
          <w:sz w:val="20"/>
        </w:rPr>
        <w:t>be introduced. Along with other considerations regarding this approach, further work and discussion will be required to determine this</w:t>
      </w:r>
      <w:r>
        <w:rPr>
          <w:spacing w:val="-1"/>
          <w:sz w:val="20"/>
        </w:rPr>
        <w:t> </w:t>
      </w:r>
      <w:r>
        <w:rPr>
          <w:sz w:val="20"/>
        </w:rPr>
        <w:t>duration.</w:t>
      </w:r>
      <w:r>
        <w:rPr>
          <w:sz w:val="20"/>
          <w:vertAlign w:val="superscript"/>
        </w:rPr>
        <w:t>87</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Depending</w:t>
      </w:r>
      <w:r>
        <w:rPr>
          <w:spacing w:val="-7"/>
          <w:sz w:val="20"/>
        </w:rPr>
        <w:t> </w:t>
      </w:r>
      <w:r>
        <w:rPr>
          <w:sz w:val="20"/>
        </w:rPr>
        <w:t>on</w:t>
      </w:r>
      <w:r>
        <w:rPr>
          <w:spacing w:val="-7"/>
          <w:sz w:val="20"/>
        </w:rPr>
        <w:t> </w:t>
      </w:r>
      <w:r>
        <w:rPr>
          <w:sz w:val="20"/>
        </w:rPr>
        <w:t>the</w:t>
      </w:r>
      <w:r>
        <w:rPr>
          <w:spacing w:val="-7"/>
          <w:sz w:val="20"/>
        </w:rPr>
        <w:t> </w:t>
      </w:r>
      <w:r>
        <w:rPr>
          <w:sz w:val="20"/>
        </w:rPr>
        <w:t>length</w:t>
      </w:r>
      <w:r>
        <w:rPr>
          <w:spacing w:val="-7"/>
          <w:sz w:val="20"/>
        </w:rPr>
        <w:t> </w:t>
      </w:r>
      <w:r>
        <w:rPr>
          <w:sz w:val="20"/>
        </w:rPr>
        <w:t>of</w:t>
      </w:r>
      <w:r>
        <w:rPr>
          <w:spacing w:val="-6"/>
          <w:sz w:val="20"/>
        </w:rPr>
        <w:t> </w:t>
      </w:r>
      <w:r>
        <w:rPr>
          <w:sz w:val="20"/>
        </w:rPr>
        <w:t>this</w:t>
      </w:r>
      <w:r>
        <w:rPr>
          <w:spacing w:val="-5"/>
          <w:sz w:val="20"/>
        </w:rPr>
        <w:t> </w:t>
      </w:r>
      <w:r>
        <w:rPr>
          <w:sz w:val="20"/>
        </w:rPr>
        <w:t>period</w:t>
      </w:r>
      <w:r>
        <w:rPr>
          <w:spacing w:val="-9"/>
          <w:sz w:val="20"/>
        </w:rPr>
        <w:t> </w:t>
      </w:r>
      <w:r>
        <w:rPr>
          <w:sz w:val="20"/>
        </w:rPr>
        <w:t>for</w:t>
      </w:r>
      <w:r>
        <w:rPr>
          <w:spacing w:val="-8"/>
          <w:sz w:val="20"/>
        </w:rPr>
        <w:t> </w:t>
      </w:r>
      <w:r>
        <w:rPr>
          <w:sz w:val="20"/>
        </w:rPr>
        <w:t>pre-regime</w:t>
      </w:r>
      <w:r>
        <w:rPr>
          <w:spacing w:val="-8"/>
          <w:sz w:val="20"/>
        </w:rPr>
        <w:t> </w:t>
      </w:r>
      <w:r>
        <w:rPr>
          <w:sz w:val="20"/>
        </w:rPr>
        <w:t>losses,</w:t>
      </w:r>
      <w:r>
        <w:rPr>
          <w:spacing w:val="-9"/>
          <w:sz w:val="20"/>
        </w:rPr>
        <w:t> </w:t>
      </w:r>
      <w:r>
        <w:rPr>
          <w:sz w:val="20"/>
        </w:rPr>
        <w:t>and</w:t>
      </w:r>
      <w:r>
        <w:rPr>
          <w:spacing w:val="-7"/>
          <w:sz w:val="20"/>
        </w:rPr>
        <w:t> </w:t>
      </w:r>
      <w:r>
        <w:rPr>
          <w:sz w:val="20"/>
        </w:rPr>
        <w:t>the</w:t>
      </w:r>
      <w:r>
        <w:rPr>
          <w:spacing w:val="-7"/>
          <w:sz w:val="20"/>
        </w:rPr>
        <w:t> </w:t>
      </w:r>
      <w:r>
        <w:rPr>
          <w:sz w:val="20"/>
        </w:rPr>
        <w:t>availability</w:t>
      </w:r>
      <w:r>
        <w:rPr>
          <w:spacing w:val="-10"/>
          <w:sz w:val="20"/>
        </w:rPr>
        <w:t> </w:t>
      </w:r>
      <w:r>
        <w:rPr>
          <w:sz w:val="20"/>
        </w:rPr>
        <w:t>of</w:t>
      </w:r>
      <w:r>
        <w:rPr>
          <w:spacing w:val="-5"/>
          <w:sz w:val="20"/>
        </w:rPr>
        <w:t> </w:t>
      </w:r>
      <w:r>
        <w:rPr>
          <w:sz w:val="20"/>
        </w:rPr>
        <w:t>historical</w:t>
      </w:r>
      <w:r>
        <w:rPr>
          <w:spacing w:val="-7"/>
          <w:sz w:val="20"/>
        </w:rPr>
        <w:t> </w:t>
      </w:r>
      <w:r>
        <w:rPr>
          <w:sz w:val="20"/>
        </w:rPr>
        <w:t>data, some simplifications to the Amount A tax base rules (e.g. book-to-tax adjustments, segmentation rules), or to the rules developed for business reorganisations, may also need to be considered to facilitate administration. For example, if a lengthy period of pre-regime losses is accepted then it will be</w:t>
      </w:r>
      <w:r>
        <w:rPr>
          <w:spacing w:val="-29"/>
          <w:sz w:val="20"/>
        </w:rPr>
        <w:t> </w:t>
      </w:r>
      <w:r>
        <w:rPr>
          <w:sz w:val="20"/>
        </w:rPr>
        <w:t>necessary</w:t>
      </w:r>
    </w:p>
    <w:p>
      <w:pPr>
        <w:pStyle w:val="BodyText"/>
        <w:spacing w:before="1"/>
        <w:rPr>
          <w:sz w:val="14"/>
        </w:rPr>
      </w:pPr>
      <w:r>
        <w:rPr/>
        <w:pict>
          <v:rect style="position:absolute;margin-left:65.183998pt;margin-top:10.076924pt;width:144.020004pt;height:.599980pt;mso-position-horizontal-relative:page;mso-position-vertical-relative:paragraph;z-index:-1566464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1" w:val="left" w:leader="none"/>
        </w:tabs>
        <w:spacing w:line="278" w:lineRule="auto" w:before="94" w:after="0"/>
        <w:ind w:left="723" w:right="487" w:firstLine="0"/>
        <w:jc w:val="both"/>
        <w:rPr>
          <w:sz w:val="18"/>
        </w:rPr>
      </w:pPr>
      <w:r>
        <w:rPr>
          <w:sz w:val="18"/>
        </w:rPr>
        <w:t>As a result of the different exemptions available to determine whether segmentation is required, it is expected that only a limited number of MNEs in scope of Amount A would be required to segment their consolidated accounts for the purpose of computing the Amount A tax base (see section</w:t>
      </w:r>
      <w:r>
        <w:rPr>
          <w:spacing w:val="-6"/>
          <w:sz w:val="18"/>
        </w:rPr>
        <w:t> </w:t>
      </w:r>
      <w:hyperlink w:history="true" w:anchor="_bookmark32">
        <w:r>
          <w:rPr>
            <w:sz w:val="18"/>
          </w:rPr>
          <w:t>5.3.3</w:t>
        </w:r>
      </w:hyperlink>
      <w:r>
        <w:rPr>
          <w:sz w:val="18"/>
        </w:rPr>
        <w:t>).</w:t>
      </w:r>
    </w:p>
    <w:p>
      <w:pPr>
        <w:pStyle w:val="ListParagraph"/>
        <w:numPr>
          <w:ilvl w:val="0"/>
          <w:numId w:val="14"/>
        </w:numPr>
        <w:tabs>
          <w:tab w:pos="931" w:val="left" w:leader="none"/>
        </w:tabs>
        <w:spacing w:line="278" w:lineRule="auto" w:before="78" w:after="0"/>
        <w:ind w:left="723" w:right="480" w:firstLine="0"/>
        <w:jc w:val="both"/>
        <w:rPr>
          <w:sz w:val="18"/>
        </w:rPr>
      </w:pPr>
      <w:r>
        <w:rPr>
          <w:sz w:val="18"/>
        </w:rPr>
        <w:t>This means that if a profit margin-based approach is adopted (see section </w:t>
      </w:r>
      <w:hyperlink w:history="true" w:anchor="_bookmark47">
        <w:r>
          <w:rPr>
            <w:sz w:val="18"/>
          </w:rPr>
          <w:t>6.2.4</w:t>
        </w:r>
      </w:hyperlink>
      <w:r>
        <w:rPr>
          <w:sz w:val="18"/>
        </w:rPr>
        <w:t>), the MNE group will calculate the quantum of losses for Amount A purposes by multiplying its consolidated negative profit margin by its total in-scope revenue.</w:t>
      </w:r>
    </w:p>
    <w:p>
      <w:pPr>
        <w:pStyle w:val="ListParagraph"/>
        <w:numPr>
          <w:ilvl w:val="0"/>
          <w:numId w:val="14"/>
        </w:numPr>
        <w:tabs>
          <w:tab w:pos="943" w:val="left" w:leader="none"/>
        </w:tabs>
        <w:spacing w:line="278" w:lineRule="auto" w:before="77" w:after="0"/>
        <w:ind w:left="723" w:right="483" w:firstLine="0"/>
        <w:jc w:val="both"/>
        <w:rPr>
          <w:sz w:val="18"/>
        </w:rPr>
      </w:pPr>
      <w:r>
        <w:rPr>
          <w:sz w:val="18"/>
        </w:rPr>
        <w:t>This time limit on the calculation and reporting of losses incurred before the introduction of Amount A would not necessarily apply to the carry-forward of these pre-regime losses to subsequent years (see section</w:t>
      </w:r>
      <w:r>
        <w:rPr>
          <w:spacing w:val="-20"/>
          <w:sz w:val="18"/>
        </w:rPr>
        <w:t> </w:t>
      </w:r>
      <w:hyperlink w:history="true" w:anchor="_bookmark36">
        <w:r>
          <w:rPr>
            <w:sz w:val="18"/>
          </w:rPr>
          <w:t>5.4.4</w:t>
        </w:r>
      </w:hyperlink>
      <w:r>
        <w:rPr>
          <w:sz w:val="18"/>
        </w:rPr>
        <w: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to devise rules which deal with the impact of changing approaches to segmentation throughout such a period to ensure that an appropriate measure of pre-regime losses is available for offset against in-scope profits (e.g. using an allocation key based on revenue).</w:t>
      </w:r>
    </w:p>
    <w:p>
      <w:pPr>
        <w:pStyle w:val="BodyText"/>
        <w:spacing w:before="5"/>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4.3. Carry-forward regime" w:id="250"/>
      <w:bookmarkEnd w:id="250"/>
      <w:r>
        <w:rPr>
          <w:b w:val="0"/>
          <w:i w:val="0"/>
        </w:rPr>
      </w:r>
      <w:bookmarkStart w:name="5.4.3. Carry-forward regime" w:id="251"/>
      <w:bookmarkEnd w:id="251"/>
      <w:r>
        <w:rPr>
          <w:i/>
        </w:rPr>
        <w:t>C</w:t>
      </w:r>
      <w:r>
        <w:rPr>
          <w:i/>
        </w:rPr>
        <w:t>arry-forward</w:t>
      </w:r>
      <w:r>
        <w:rPr>
          <w:i/>
          <w:spacing w:val="-3"/>
        </w:rPr>
        <w:t> </w:t>
      </w:r>
      <w:r>
        <w:rPr>
          <w:i/>
        </w:rPr>
        <w:t>regime</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Unlike profits, losses generated over a given period will not be allocated to market jurisdictions through a formula. Allocating these losses to market jurisdictions would be complex and burdensome to administer,</w:t>
      </w:r>
      <w:r>
        <w:rPr>
          <w:sz w:val="20"/>
          <w:vertAlign w:val="superscript"/>
        </w:rPr>
        <w:t>88</w:t>
      </w:r>
      <w:r>
        <w:rPr>
          <w:spacing w:val="-12"/>
          <w:sz w:val="20"/>
          <w:vertAlign w:val="baseline"/>
        </w:rPr>
        <w:t> </w:t>
      </w:r>
      <w:r>
        <w:rPr>
          <w:sz w:val="20"/>
          <w:vertAlign w:val="baseline"/>
        </w:rPr>
        <w:t>and</w:t>
      </w:r>
      <w:r>
        <w:rPr>
          <w:spacing w:val="-8"/>
          <w:sz w:val="20"/>
          <w:vertAlign w:val="baseline"/>
        </w:rPr>
        <w:t> </w:t>
      </w:r>
      <w:r>
        <w:rPr>
          <w:sz w:val="20"/>
          <w:vertAlign w:val="baseline"/>
        </w:rPr>
        <w:t>could</w:t>
      </w:r>
      <w:r>
        <w:rPr>
          <w:spacing w:val="-8"/>
          <w:sz w:val="20"/>
          <w:vertAlign w:val="baseline"/>
        </w:rPr>
        <w:t> </w:t>
      </w:r>
      <w:r>
        <w:rPr>
          <w:sz w:val="20"/>
          <w:vertAlign w:val="baseline"/>
        </w:rPr>
        <w:t>produce</w:t>
      </w:r>
      <w:r>
        <w:rPr>
          <w:spacing w:val="-10"/>
          <w:sz w:val="20"/>
          <w:vertAlign w:val="baseline"/>
        </w:rPr>
        <w:t> </w:t>
      </w:r>
      <w:r>
        <w:rPr>
          <w:sz w:val="20"/>
          <w:vertAlign w:val="baseline"/>
        </w:rPr>
        <w:t>outcomes</w:t>
      </w:r>
      <w:r>
        <w:rPr>
          <w:spacing w:val="-9"/>
          <w:sz w:val="20"/>
          <w:vertAlign w:val="baseline"/>
        </w:rPr>
        <w:t> </w:t>
      </w:r>
      <w:r>
        <w:rPr>
          <w:sz w:val="20"/>
          <w:vertAlign w:val="baseline"/>
        </w:rPr>
        <w:t>that</w:t>
      </w:r>
      <w:r>
        <w:rPr>
          <w:spacing w:val="-8"/>
          <w:sz w:val="20"/>
          <w:vertAlign w:val="baseline"/>
        </w:rPr>
        <w:t> </w:t>
      </w:r>
      <w:r>
        <w:rPr>
          <w:sz w:val="20"/>
          <w:vertAlign w:val="baseline"/>
        </w:rPr>
        <w:t>are</w:t>
      </w:r>
      <w:r>
        <w:rPr>
          <w:spacing w:val="-9"/>
          <w:sz w:val="20"/>
          <w:vertAlign w:val="baseline"/>
        </w:rPr>
        <w:t> </w:t>
      </w:r>
      <w:r>
        <w:rPr>
          <w:sz w:val="20"/>
          <w:vertAlign w:val="baseline"/>
        </w:rPr>
        <w:t>difficult</w:t>
      </w:r>
      <w:r>
        <w:rPr>
          <w:spacing w:val="-10"/>
          <w:sz w:val="20"/>
          <w:vertAlign w:val="baseline"/>
        </w:rPr>
        <w:t> </w:t>
      </w:r>
      <w:r>
        <w:rPr>
          <w:sz w:val="20"/>
          <w:vertAlign w:val="baseline"/>
        </w:rPr>
        <w:t>to</w:t>
      </w:r>
      <w:r>
        <w:rPr>
          <w:spacing w:val="-11"/>
          <w:sz w:val="20"/>
          <w:vertAlign w:val="baseline"/>
        </w:rPr>
        <w:t> </w:t>
      </w:r>
      <w:r>
        <w:rPr>
          <w:sz w:val="20"/>
          <w:vertAlign w:val="baseline"/>
        </w:rPr>
        <w:t>rationalise.</w:t>
      </w:r>
      <w:r>
        <w:rPr>
          <w:spacing w:val="-7"/>
          <w:sz w:val="20"/>
          <w:vertAlign w:val="baseline"/>
        </w:rPr>
        <w:t> </w:t>
      </w:r>
      <w:r>
        <w:rPr>
          <w:sz w:val="20"/>
          <w:vertAlign w:val="baseline"/>
        </w:rPr>
        <w:t>For</w:t>
      </w:r>
      <w:r>
        <w:rPr>
          <w:spacing w:val="-7"/>
          <w:sz w:val="20"/>
          <w:vertAlign w:val="baseline"/>
        </w:rPr>
        <w:t> </w:t>
      </w:r>
      <w:r>
        <w:rPr>
          <w:sz w:val="20"/>
          <w:vertAlign w:val="baseline"/>
        </w:rPr>
        <w:t>example,</w:t>
      </w:r>
      <w:r>
        <w:rPr>
          <w:spacing w:val="-8"/>
          <w:sz w:val="20"/>
          <w:vertAlign w:val="baseline"/>
        </w:rPr>
        <w:t> </w:t>
      </w:r>
      <w:r>
        <w:rPr>
          <w:sz w:val="20"/>
          <w:vertAlign w:val="baseline"/>
        </w:rPr>
        <w:t>Amount</w:t>
      </w:r>
      <w:r>
        <w:rPr>
          <w:spacing w:val="-2"/>
          <w:sz w:val="20"/>
          <w:vertAlign w:val="baseline"/>
        </w:rPr>
        <w:t> </w:t>
      </w:r>
      <w:r>
        <w:rPr>
          <w:sz w:val="20"/>
          <w:vertAlign w:val="baseline"/>
        </w:rPr>
        <w:t>A</w:t>
      </w:r>
      <w:r>
        <w:rPr>
          <w:spacing w:val="-9"/>
          <w:sz w:val="20"/>
          <w:vertAlign w:val="baseline"/>
        </w:rPr>
        <w:t> </w:t>
      </w:r>
      <w:r>
        <w:rPr>
          <w:sz w:val="20"/>
          <w:vertAlign w:val="baseline"/>
        </w:rPr>
        <w:t>could</w:t>
      </w:r>
      <w:r>
        <w:rPr>
          <w:spacing w:val="-9"/>
          <w:sz w:val="20"/>
          <w:vertAlign w:val="baseline"/>
        </w:rPr>
        <w:t> </w:t>
      </w:r>
      <w:r>
        <w:rPr>
          <w:sz w:val="20"/>
          <w:vertAlign w:val="baseline"/>
        </w:rPr>
        <w:t>be allocated to new markets that a group has recently entered in profitable years, even if in previous years the</w:t>
      </w:r>
      <w:r>
        <w:rPr>
          <w:spacing w:val="-15"/>
          <w:sz w:val="20"/>
          <w:vertAlign w:val="baseline"/>
        </w:rPr>
        <w:t> </w:t>
      </w:r>
      <w:r>
        <w:rPr>
          <w:sz w:val="20"/>
          <w:vertAlign w:val="baseline"/>
        </w:rPr>
        <w:t>losses</w:t>
      </w:r>
      <w:r>
        <w:rPr>
          <w:spacing w:val="-13"/>
          <w:sz w:val="20"/>
          <w:vertAlign w:val="baseline"/>
        </w:rPr>
        <w:t> </w:t>
      </w:r>
      <w:r>
        <w:rPr>
          <w:sz w:val="20"/>
          <w:vertAlign w:val="baseline"/>
        </w:rPr>
        <w:t>incurred</w:t>
      </w:r>
      <w:r>
        <w:rPr>
          <w:spacing w:val="-15"/>
          <w:sz w:val="20"/>
          <w:vertAlign w:val="baseline"/>
        </w:rPr>
        <w:t> </w:t>
      </w:r>
      <w:r>
        <w:rPr>
          <w:sz w:val="20"/>
          <w:vertAlign w:val="baseline"/>
        </w:rPr>
        <w:t>(e.g.</w:t>
      </w:r>
      <w:r>
        <w:rPr>
          <w:spacing w:val="-14"/>
          <w:sz w:val="20"/>
          <w:vertAlign w:val="baseline"/>
        </w:rPr>
        <w:t> </w:t>
      </w:r>
      <w:r>
        <w:rPr>
          <w:sz w:val="20"/>
          <w:vertAlign w:val="baseline"/>
        </w:rPr>
        <w:t>in</w:t>
      </w:r>
      <w:r>
        <w:rPr>
          <w:spacing w:val="-13"/>
          <w:sz w:val="20"/>
          <w:vertAlign w:val="baseline"/>
        </w:rPr>
        <w:t> </w:t>
      </w:r>
      <w:r>
        <w:rPr>
          <w:sz w:val="20"/>
          <w:vertAlign w:val="baseline"/>
        </w:rPr>
        <w:t>developing</w:t>
      </w:r>
      <w:r>
        <w:rPr>
          <w:spacing w:val="-14"/>
          <w:sz w:val="20"/>
          <w:vertAlign w:val="baseline"/>
        </w:rPr>
        <w:t> </w:t>
      </w:r>
      <w:r>
        <w:rPr>
          <w:sz w:val="20"/>
          <w:vertAlign w:val="baseline"/>
        </w:rPr>
        <w:t>a</w:t>
      </w:r>
      <w:r>
        <w:rPr>
          <w:spacing w:val="-14"/>
          <w:sz w:val="20"/>
          <w:vertAlign w:val="baseline"/>
        </w:rPr>
        <w:t> </w:t>
      </w:r>
      <w:r>
        <w:rPr>
          <w:sz w:val="20"/>
          <w:vertAlign w:val="baseline"/>
        </w:rPr>
        <w:t>digital</w:t>
      </w:r>
      <w:r>
        <w:rPr>
          <w:spacing w:val="-16"/>
          <w:sz w:val="20"/>
          <w:vertAlign w:val="baseline"/>
        </w:rPr>
        <w:t> </w:t>
      </w:r>
      <w:r>
        <w:rPr>
          <w:sz w:val="20"/>
          <w:vertAlign w:val="baseline"/>
        </w:rPr>
        <w:t>platform)</w:t>
      </w:r>
      <w:r>
        <w:rPr>
          <w:spacing w:val="-15"/>
          <w:sz w:val="20"/>
          <w:vertAlign w:val="baseline"/>
        </w:rPr>
        <w:t> </w:t>
      </w:r>
      <w:r>
        <w:rPr>
          <w:sz w:val="20"/>
          <w:vertAlign w:val="baseline"/>
        </w:rPr>
        <w:t>were</w:t>
      </w:r>
      <w:r>
        <w:rPr>
          <w:spacing w:val="-14"/>
          <w:sz w:val="20"/>
          <w:vertAlign w:val="baseline"/>
        </w:rPr>
        <w:t> </w:t>
      </w:r>
      <w:r>
        <w:rPr>
          <w:sz w:val="20"/>
          <w:vertAlign w:val="baseline"/>
        </w:rPr>
        <w:t>allocated</w:t>
      </w:r>
      <w:r>
        <w:rPr>
          <w:spacing w:val="-16"/>
          <w:sz w:val="20"/>
          <w:vertAlign w:val="baseline"/>
        </w:rPr>
        <w:t> </w:t>
      </w:r>
      <w:r>
        <w:rPr>
          <w:sz w:val="20"/>
          <w:vertAlign w:val="baseline"/>
        </w:rPr>
        <w:t>to</w:t>
      </w:r>
      <w:r>
        <w:rPr>
          <w:spacing w:val="-14"/>
          <w:sz w:val="20"/>
          <w:vertAlign w:val="baseline"/>
        </w:rPr>
        <w:t> </w:t>
      </w:r>
      <w:r>
        <w:rPr>
          <w:sz w:val="20"/>
          <w:vertAlign w:val="baseline"/>
        </w:rPr>
        <w:t>other</w:t>
      </w:r>
      <w:r>
        <w:rPr>
          <w:spacing w:val="-14"/>
          <w:sz w:val="20"/>
          <w:vertAlign w:val="baseline"/>
        </w:rPr>
        <w:t> </w:t>
      </w:r>
      <w:r>
        <w:rPr>
          <w:sz w:val="20"/>
          <w:vertAlign w:val="baseline"/>
        </w:rPr>
        <w:t>markets</w:t>
      </w:r>
      <w:r>
        <w:rPr>
          <w:spacing w:val="-15"/>
          <w:sz w:val="20"/>
          <w:vertAlign w:val="baseline"/>
        </w:rPr>
        <w:t> </w:t>
      </w:r>
      <w:r>
        <w:rPr>
          <w:sz w:val="20"/>
          <w:vertAlign w:val="baseline"/>
        </w:rPr>
        <w:t>in</w:t>
      </w:r>
      <w:r>
        <w:rPr>
          <w:spacing w:val="-14"/>
          <w:sz w:val="20"/>
          <w:vertAlign w:val="baseline"/>
        </w:rPr>
        <w:t> </w:t>
      </w:r>
      <w:r>
        <w:rPr>
          <w:sz w:val="20"/>
          <w:vertAlign w:val="baseline"/>
        </w:rPr>
        <w:t>which</w:t>
      </w:r>
      <w:r>
        <w:rPr>
          <w:spacing w:val="-17"/>
          <w:sz w:val="20"/>
          <w:vertAlign w:val="baseline"/>
        </w:rPr>
        <w:t> </w:t>
      </w:r>
      <w:r>
        <w:rPr>
          <w:sz w:val="20"/>
          <w:vertAlign w:val="baseline"/>
        </w:rPr>
        <w:t>the</w:t>
      </w:r>
      <w:r>
        <w:rPr>
          <w:spacing w:val="-14"/>
          <w:sz w:val="20"/>
          <w:vertAlign w:val="baseline"/>
        </w:rPr>
        <w:t> </w:t>
      </w:r>
      <w:r>
        <w:rPr>
          <w:sz w:val="20"/>
          <w:vertAlign w:val="baseline"/>
        </w:rPr>
        <w:t>group has been operating for a longer period. Similarly, losses might be allocated to a market jurisdiction that cannot be offset later against any future profits of the group due to changes in the activity of the group in that market jurisdiction (e.g. lower sales activity in that jurisdiction, termination of the activity in that jurisdiction).</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To</w:t>
      </w:r>
      <w:r>
        <w:rPr>
          <w:spacing w:val="-9"/>
          <w:sz w:val="20"/>
        </w:rPr>
        <w:t> </w:t>
      </w:r>
      <w:r>
        <w:rPr>
          <w:sz w:val="20"/>
        </w:rPr>
        <w:t>avoid</w:t>
      </w:r>
      <w:r>
        <w:rPr>
          <w:spacing w:val="-8"/>
          <w:sz w:val="20"/>
        </w:rPr>
        <w:t> </w:t>
      </w:r>
      <w:r>
        <w:rPr>
          <w:sz w:val="20"/>
        </w:rPr>
        <w:t>such</w:t>
      </w:r>
      <w:r>
        <w:rPr>
          <w:spacing w:val="-9"/>
          <w:sz w:val="20"/>
        </w:rPr>
        <w:t> </w:t>
      </w:r>
      <w:r>
        <w:rPr>
          <w:sz w:val="20"/>
        </w:rPr>
        <w:t>difficulties</w:t>
      </w:r>
      <w:r>
        <w:rPr>
          <w:spacing w:val="-7"/>
          <w:sz w:val="20"/>
        </w:rPr>
        <w:t> </w:t>
      </w:r>
      <w:r>
        <w:rPr>
          <w:sz w:val="20"/>
        </w:rPr>
        <w:t>and</w:t>
      </w:r>
      <w:r>
        <w:rPr>
          <w:spacing w:val="-7"/>
          <w:sz w:val="20"/>
        </w:rPr>
        <w:t> </w:t>
      </w:r>
      <w:r>
        <w:rPr>
          <w:sz w:val="20"/>
        </w:rPr>
        <w:t>with</w:t>
      </w:r>
      <w:r>
        <w:rPr>
          <w:spacing w:val="-8"/>
          <w:sz w:val="20"/>
        </w:rPr>
        <w:t> </w:t>
      </w:r>
      <w:r>
        <w:rPr>
          <w:sz w:val="20"/>
        </w:rPr>
        <w:t>a</w:t>
      </w:r>
      <w:r>
        <w:rPr>
          <w:spacing w:val="-7"/>
          <w:sz w:val="20"/>
        </w:rPr>
        <w:t> </w:t>
      </w:r>
      <w:r>
        <w:rPr>
          <w:sz w:val="20"/>
        </w:rPr>
        <w:t>view</w:t>
      </w:r>
      <w:r>
        <w:rPr>
          <w:spacing w:val="-10"/>
          <w:sz w:val="20"/>
        </w:rPr>
        <w:t> </w:t>
      </w:r>
      <w:r>
        <w:rPr>
          <w:sz w:val="20"/>
        </w:rPr>
        <w:t>to</w:t>
      </w:r>
      <w:r>
        <w:rPr>
          <w:spacing w:val="-9"/>
          <w:sz w:val="20"/>
        </w:rPr>
        <w:t> </w:t>
      </w:r>
      <w:r>
        <w:rPr>
          <w:sz w:val="20"/>
        </w:rPr>
        <w:t>simplifying</w:t>
      </w:r>
      <w:r>
        <w:rPr>
          <w:spacing w:val="-8"/>
          <w:sz w:val="20"/>
        </w:rPr>
        <w:t> </w:t>
      </w:r>
      <w:r>
        <w:rPr>
          <w:sz w:val="20"/>
        </w:rPr>
        <w:t>the</w:t>
      </w:r>
      <w:r>
        <w:rPr>
          <w:spacing w:val="-8"/>
          <w:sz w:val="20"/>
        </w:rPr>
        <w:t> </w:t>
      </w:r>
      <w:r>
        <w:rPr>
          <w:sz w:val="20"/>
        </w:rPr>
        <w:t>process</w:t>
      </w:r>
      <w:r>
        <w:rPr>
          <w:spacing w:val="-8"/>
          <w:sz w:val="20"/>
        </w:rPr>
        <w:t> </w:t>
      </w:r>
      <w:r>
        <w:rPr>
          <w:sz w:val="20"/>
        </w:rPr>
        <w:t>of</w:t>
      </w:r>
      <w:r>
        <w:rPr>
          <w:spacing w:val="-6"/>
          <w:sz w:val="20"/>
        </w:rPr>
        <w:t> </w:t>
      </w:r>
      <w:r>
        <w:rPr>
          <w:sz w:val="20"/>
        </w:rPr>
        <w:t>dealing</w:t>
      </w:r>
      <w:r>
        <w:rPr>
          <w:spacing w:val="-7"/>
          <w:sz w:val="20"/>
        </w:rPr>
        <w:t> </w:t>
      </w:r>
      <w:r>
        <w:rPr>
          <w:sz w:val="20"/>
        </w:rPr>
        <w:t>with</w:t>
      </w:r>
      <w:r>
        <w:rPr>
          <w:spacing w:val="-6"/>
          <w:sz w:val="20"/>
        </w:rPr>
        <w:t> </w:t>
      </w:r>
      <w:r>
        <w:rPr>
          <w:sz w:val="20"/>
        </w:rPr>
        <w:t>losses,</w:t>
      </w:r>
      <w:r>
        <w:rPr>
          <w:spacing w:val="-9"/>
          <w:sz w:val="20"/>
        </w:rPr>
        <w:t> </w:t>
      </w:r>
      <w:r>
        <w:rPr>
          <w:sz w:val="20"/>
        </w:rPr>
        <w:t>Amount A losses will be preserved and pooled in a single account at the level of the group (or segment where relevant)</w:t>
      </w:r>
      <w:r>
        <w:rPr>
          <w:spacing w:val="-3"/>
          <w:sz w:val="20"/>
        </w:rPr>
        <w:t> </w:t>
      </w:r>
      <w:r>
        <w:rPr>
          <w:sz w:val="20"/>
        </w:rPr>
        <w:t>and</w:t>
      </w:r>
      <w:r>
        <w:rPr>
          <w:spacing w:val="-7"/>
          <w:sz w:val="20"/>
        </w:rPr>
        <w:t> </w:t>
      </w:r>
      <w:r>
        <w:rPr>
          <w:sz w:val="20"/>
        </w:rPr>
        <w:t>carried</w:t>
      </w:r>
      <w:r>
        <w:rPr>
          <w:spacing w:val="-4"/>
          <w:sz w:val="20"/>
        </w:rPr>
        <w:t> </w:t>
      </w:r>
      <w:r>
        <w:rPr>
          <w:sz w:val="20"/>
        </w:rPr>
        <w:t>forward</w:t>
      </w:r>
      <w:r>
        <w:rPr>
          <w:spacing w:val="-6"/>
          <w:sz w:val="20"/>
        </w:rPr>
        <w:t> </w:t>
      </w:r>
      <w:r>
        <w:rPr>
          <w:sz w:val="20"/>
        </w:rPr>
        <w:t>to</w:t>
      </w:r>
      <w:r>
        <w:rPr>
          <w:spacing w:val="-5"/>
          <w:sz w:val="20"/>
        </w:rPr>
        <w:t> </w:t>
      </w:r>
      <w:r>
        <w:rPr>
          <w:sz w:val="20"/>
        </w:rPr>
        <w:t>subsequent</w:t>
      </w:r>
      <w:r>
        <w:rPr>
          <w:spacing w:val="-2"/>
          <w:sz w:val="20"/>
        </w:rPr>
        <w:t> </w:t>
      </w:r>
      <w:r>
        <w:rPr>
          <w:sz w:val="20"/>
        </w:rPr>
        <w:t>years</w:t>
      </w:r>
      <w:r>
        <w:rPr>
          <w:spacing w:val="-4"/>
          <w:sz w:val="20"/>
        </w:rPr>
        <w:t> </w:t>
      </w:r>
      <w:r>
        <w:rPr>
          <w:sz w:val="20"/>
        </w:rPr>
        <w:t>through</w:t>
      </w:r>
      <w:r>
        <w:rPr>
          <w:spacing w:val="-5"/>
          <w:sz w:val="20"/>
        </w:rPr>
        <w:t> </w:t>
      </w:r>
      <w:r>
        <w:rPr>
          <w:sz w:val="20"/>
        </w:rPr>
        <w:t>an</w:t>
      </w:r>
      <w:r>
        <w:rPr>
          <w:spacing w:val="-5"/>
          <w:sz w:val="20"/>
        </w:rPr>
        <w:t> </w:t>
      </w:r>
      <w:r>
        <w:rPr>
          <w:sz w:val="20"/>
        </w:rPr>
        <w:t>“earn-out”</w:t>
      </w:r>
      <w:r>
        <w:rPr>
          <w:spacing w:val="-5"/>
          <w:sz w:val="20"/>
        </w:rPr>
        <w:t> </w:t>
      </w:r>
      <w:r>
        <w:rPr>
          <w:sz w:val="20"/>
        </w:rPr>
        <w:t>mechanism.</w:t>
      </w:r>
      <w:r>
        <w:rPr>
          <w:spacing w:val="-22"/>
          <w:sz w:val="20"/>
        </w:rPr>
        <w:t> </w:t>
      </w:r>
      <w:r>
        <w:rPr>
          <w:position w:val="6"/>
          <w:sz w:val="13"/>
        </w:rPr>
        <w:t>89</w:t>
      </w:r>
      <w:r>
        <w:rPr>
          <w:spacing w:val="13"/>
          <w:position w:val="6"/>
          <w:sz w:val="13"/>
        </w:rPr>
        <w:t> </w:t>
      </w:r>
      <w:r>
        <w:rPr>
          <w:sz w:val="20"/>
        </w:rPr>
        <w:t>This</w:t>
      </w:r>
      <w:r>
        <w:rPr>
          <w:spacing w:val="-4"/>
          <w:sz w:val="20"/>
        </w:rPr>
        <w:t> </w:t>
      </w:r>
      <w:r>
        <w:rPr>
          <w:sz w:val="20"/>
        </w:rPr>
        <w:t>means</w:t>
      </w:r>
      <w:r>
        <w:rPr>
          <w:spacing w:val="-6"/>
          <w:sz w:val="20"/>
        </w:rPr>
        <w:t> </w:t>
      </w:r>
      <w:r>
        <w:rPr>
          <w:sz w:val="20"/>
        </w:rPr>
        <w:t>that</w:t>
      </w:r>
      <w:r>
        <w:rPr>
          <w:spacing w:val="-3"/>
          <w:sz w:val="20"/>
        </w:rPr>
        <w:t> </w:t>
      </w:r>
      <w:r>
        <w:rPr>
          <w:sz w:val="20"/>
        </w:rPr>
        <w:t>a positive</w:t>
      </w:r>
      <w:r>
        <w:rPr>
          <w:spacing w:val="-14"/>
          <w:sz w:val="20"/>
        </w:rPr>
        <w:t> </w:t>
      </w:r>
      <w:r>
        <w:rPr>
          <w:sz w:val="20"/>
        </w:rPr>
        <w:t>tax</w:t>
      </w:r>
      <w:r>
        <w:rPr>
          <w:spacing w:val="-12"/>
          <w:sz w:val="20"/>
        </w:rPr>
        <w:t> </w:t>
      </w:r>
      <w:r>
        <w:rPr>
          <w:sz w:val="20"/>
        </w:rPr>
        <w:t>base</w:t>
      </w:r>
      <w:r>
        <w:rPr>
          <w:spacing w:val="-12"/>
          <w:sz w:val="20"/>
        </w:rPr>
        <w:t> </w:t>
      </w:r>
      <w:r>
        <w:rPr>
          <w:sz w:val="20"/>
        </w:rPr>
        <w:t>for</w:t>
      </w:r>
      <w:r>
        <w:rPr>
          <w:spacing w:val="-12"/>
          <w:sz w:val="20"/>
        </w:rPr>
        <w:t> </w:t>
      </w:r>
      <w:r>
        <w:rPr>
          <w:sz w:val="20"/>
        </w:rPr>
        <w:t>Amount</w:t>
      </w:r>
      <w:r>
        <w:rPr>
          <w:spacing w:val="-14"/>
          <w:sz w:val="20"/>
        </w:rPr>
        <w:t> </w:t>
      </w:r>
      <w:r>
        <w:rPr>
          <w:sz w:val="20"/>
        </w:rPr>
        <w:t>A</w:t>
      </w:r>
      <w:r>
        <w:rPr>
          <w:spacing w:val="-11"/>
          <w:sz w:val="20"/>
        </w:rPr>
        <w:t> </w:t>
      </w:r>
      <w:r>
        <w:rPr>
          <w:sz w:val="20"/>
        </w:rPr>
        <w:t>(in</w:t>
      </w:r>
      <w:r>
        <w:rPr>
          <w:spacing w:val="-12"/>
          <w:sz w:val="20"/>
        </w:rPr>
        <w:t> </w:t>
      </w:r>
      <w:r>
        <w:rPr>
          <w:sz w:val="20"/>
        </w:rPr>
        <w:t>excess</w:t>
      </w:r>
      <w:r>
        <w:rPr>
          <w:spacing w:val="-11"/>
          <w:sz w:val="20"/>
        </w:rPr>
        <w:t> </w:t>
      </w:r>
      <w:r>
        <w:rPr>
          <w:sz w:val="20"/>
        </w:rPr>
        <w:t>of</w:t>
      </w:r>
      <w:r>
        <w:rPr>
          <w:spacing w:val="-12"/>
          <w:sz w:val="20"/>
        </w:rPr>
        <w:t> </w:t>
      </w:r>
      <w:r>
        <w:rPr>
          <w:sz w:val="20"/>
        </w:rPr>
        <w:t>the</w:t>
      </w:r>
      <w:r>
        <w:rPr>
          <w:spacing w:val="-13"/>
          <w:sz w:val="20"/>
        </w:rPr>
        <w:t> </w:t>
      </w:r>
      <w:r>
        <w:rPr>
          <w:sz w:val="20"/>
        </w:rPr>
        <w:t>profitability</w:t>
      </w:r>
      <w:r>
        <w:rPr>
          <w:spacing w:val="-15"/>
          <w:sz w:val="20"/>
        </w:rPr>
        <w:t> </w:t>
      </w:r>
      <w:r>
        <w:rPr>
          <w:sz w:val="20"/>
        </w:rPr>
        <w:t>threshold</w:t>
      </w:r>
      <w:r>
        <w:rPr>
          <w:spacing w:val="-11"/>
          <w:sz w:val="20"/>
        </w:rPr>
        <w:t> </w:t>
      </w:r>
      <w:r>
        <w:rPr>
          <w:sz w:val="20"/>
        </w:rPr>
        <w:t>determined</w:t>
      </w:r>
      <w:r>
        <w:rPr>
          <w:spacing w:val="-12"/>
          <w:sz w:val="20"/>
        </w:rPr>
        <w:t> </w:t>
      </w:r>
      <w:r>
        <w:rPr>
          <w:sz w:val="20"/>
        </w:rPr>
        <w:t>under</w:t>
      </w:r>
      <w:r>
        <w:rPr>
          <w:spacing w:val="-12"/>
          <w:sz w:val="20"/>
        </w:rPr>
        <w:t> </w:t>
      </w:r>
      <w:r>
        <w:rPr>
          <w:sz w:val="20"/>
        </w:rPr>
        <w:t>the</w:t>
      </w:r>
      <w:r>
        <w:rPr>
          <w:spacing w:val="-12"/>
          <w:sz w:val="20"/>
        </w:rPr>
        <w:t> </w:t>
      </w:r>
      <w:r>
        <w:rPr>
          <w:sz w:val="20"/>
        </w:rPr>
        <w:t>formula)</w:t>
      </w:r>
      <w:r>
        <w:rPr>
          <w:spacing w:val="-10"/>
          <w:sz w:val="20"/>
        </w:rPr>
        <w:t> </w:t>
      </w:r>
      <w:r>
        <w:rPr>
          <w:sz w:val="20"/>
        </w:rPr>
        <w:t>would arise only after all historic losses accumulated in the loss account of the group (or segment where relevant)</w:t>
      </w:r>
      <w:r>
        <w:rPr>
          <w:sz w:val="20"/>
          <w:vertAlign w:val="superscript"/>
        </w:rPr>
        <w:t>90</w:t>
      </w:r>
      <w:r>
        <w:rPr>
          <w:sz w:val="20"/>
          <w:vertAlign w:val="baseline"/>
        </w:rPr>
        <w:t> have been absorbed through an earn-out</w:t>
      </w:r>
      <w:r>
        <w:rPr>
          <w:spacing w:val="-4"/>
          <w:sz w:val="20"/>
          <w:vertAlign w:val="baseline"/>
        </w:rPr>
        <w:t> </w:t>
      </w:r>
      <w:r>
        <w:rPr>
          <w:sz w:val="20"/>
          <w:vertAlign w:val="baseline"/>
        </w:rPr>
        <w:t>mechanism.</w:t>
      </w:r>
    </w:p>
    <w:p>
      <w:pPr>
        <w:pStyle w:val="BodyText"/>
        <w:spacing w:before="5"/>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4.4. Potential restrictions" w:id="252"/>
      <w:bookmarkEnd w:id="252"/>
      <w:r>
        <w:rPr>
          <w:b w:val="0"/>
          <w:i w:val="0"/>
        </w:rPr>
      </w:r>
      <w:bookmarkStart w:name="_bookmark36" w:id="253"/>
      <w:bookmarkEnd w:id="253"/>
      <w:r>
        <w:rPr>
          <w:b w:val="0"/>
          <w:i w:val="0"/>
        </w:rPr>
      </w:r>
      <w:bookmarkStart w:name="_bookmark36" w:id="254"/>
      <w:bookmarkEnd w:id="254"/>
      <w:r>
        <w:rPr>
          <w:i/>
        </w:rPr>
        <w:t>P</w:t>
      </w:r>
      <w:r>
        <w:rPr>
          <w:i/>
        </w:rPr>
        <w:t>otential</w:t>
      </w:r>
      <w:r>
        <w:rPr>
          <w:i/>
          <w:spacing w:val="-2"/>
        </w:rPr>
        <w:t> </w:t>
      </w:r>
      <w:r>
        <w:rPr>
          <w:i/>
        </w:rPr>
        <w:t>restrictions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Although loss carry-forward rules are an essential feature to tax net profits and avoid distortions, many Inclusive Framework jurisdictions restrict the deduction of some carry-forward losses for a number of</w:t>
      </w:r>
      <w:r>
        <w:rPr>
          <w:spacing w:val="-9"/>
          <w:sz w:val="20"/>
        </w:rPr>
        <w:t> </w:t>
      </w:r>
      <w:r>
        <w:rPr>
          <w:sz w:val="20"/>
        </w:rPr>
        <w:t>reasons</w:t>
      </w:r>
      <w:r>
        <w:rPr>
          <w:spacing w:val="-10"/>
          <w:sz w:val="20"/>
        </w:rPr>
        <w:t> </w:t>
      </w:r>
      <w:r>
        <w:rPr>
          <w:sz w:val="20"/>
        </w:rPr>
        <w:t>such</w:t>
      </w:r>
      <w:r>
        <w:rPr>
          <w:spacing w:val="-12"/>
          <w:sz w:val="20"/>
        </w:rPr>
        <w:t> </w:t>
      </w:r>
      <w:r>
        <w:rPr>
          <w:sz w:val="20"/>
        </w:rPr>
        <w:t>as</w:t>
      </w:r>
      <w:r>
        <w:rPr>
          <w:spacing w:val="-10"/>
          <w:sz w:val="20"/>
        </w:rPr>
        <w:t> </w:t>
      </w:r>
      <w:r>
        <w:rPr>
          <w:sz w:val="20"/>
        </w:rPr>
        <w:t>addressing</w:t>
      </w:r>
      <w:r>
        <w:rPr>
          <w:spacing w:val="-11"/>
          <w:sz w:val="20"/>
        </w:rPr>
        <w:t> </w:t>
      </w:r>
      <w:r>
        <w:rPr>
          <w:sz w:val="20"/>
        </w:rPr>
        <w:t>tax</w:t>
      </w:r>
      <w:r>
        <w:rPr>
          <w:spacing w:val="-10"/>
          <w:sz w:val="20"/>
        </w:rPr>
        <w:t> </w:t>
      </w:r>
      <w:r>
        <w:rPr>
          <w:sz w:val="20"/>
        </w:rPr>
        <w:t>planning</w:t>
      </w:r>
      <w:r>
        <w:rPr>
          <w:spacing w:val="-12"/>
          <w:sz w:val="20"/>
        </w:rPr>
        <w:t> </w:t>
      </w:r>
      <w:r>
        <w:rPr>
          <w:sz w:val="20"/>
        </w:rPr>
        <w:t>strategies</w:t>
      </w:r>
      <w:r>
        <w:rPr>
          <w:spacing w:val="-8"/>
          <w:sz w:val="20"/>
        </w:rPr>
        <w:t> </w:t>
      </w:r>
      <w:r>
        <w:rPr>
          <w:sz w:val="20"/>
        </w:rPr>
        <w:t>or</w:t>
      </w:r>
      <w:r>
        <w:rPr>
          <w:spacing w:val="-11"/>
          <w:sz w:val="20"/>
        </w:rPr>
        <w:t> </w:t>
      </w:r>
      <w:r>
        <w:rPr>
          <w:sz w:val="20"/>
        </w:rPr>
        <w:t>ease</w:t>
      </w:r>
      <w:r>
        <w:rPr>
          <w:spacing w:val="-11"/>
          <w:sz w:val="20"/>
        </w:rPr>
        <w:t> </w:t>
      </w:r>
      <w:r>
        <w:rPr>
          <w:sz w:val="20"/>
        </w:rPr>
        <w:t>of</w:t>
      </w:r>
      <w:r>
        <w:rPr>
          <w:spacing w:val="-9"/>
          <w:sz w:val="20"/>
        </w:rPr>
        <w:t> </w:t>
      </w:r>
      <w:r>
        <w:rPr>
          <w:sz w:val="20"/>
        </w:rPr>
        <w:t>administration</w:t>
      </w:r>
      <w:r>
        <w:rPr>
          <w:spacing w:val="-9"/>
          <w:sz w:val="20"/>
        </w:rPr>
        <w:t> </w:t>
      </w:r>
      <w:r>
        <w:rPr>
          <w:sz w:val="20"/>
        </w:rPr>
        <w:t>of</w:t>
      </w:r>
      <w:r>
        <w:rPr>
          <w:spacing w:val="-9"/>
          <w:sz w:val="20"/>
        </w:rPr>
        <w:t> </w:t>
      </w:r>
      <w:r>
        <w:rPr>
          <w:sz w:val="20"/>
        </w:rPr>
        <w:t>the</w:t>
      </w:r>
      <w:r>
        <w:rPr>
          <w:spacing w:val="-12"/>
          <w:sz w:val="20"/>
        </w:rPr>
        <w:t> </w:t>
      </w:r>
      <w:r>
        <w:rPr>
          <w:sz w:val="20"/>
        </w:rPr>
        <w:t>system.</w:t>
      </w:r>
      <w:r>
        <w:rPr>
          <w:spacing w:val="-11"/>
          <w:sz w:val="20"/>
        </w:rPr>
        <w:t> </w:t>
      </w:r>
      <w:r>
        <w:rPr>
          <w:sz w:val="20"/>
        </w:rPr>
        <w:t>For</w:t>
      </w:r>
      <w:r>
        <w:rPr>
          <w:spacing w:val="-10"/>
          <w:sz w:val="20"/>
        </w:rPr>
        <w:t> </w:t>
      </w:r>
      <w:r>
        <w:rPr>
          <w:sz w:val="20"/>
        </w:rPr>
        <w:t>Amount A, further work is required to assess the possibility of including time restrictions, and to develop specific rules for business reorganisations. In this work, relevant considerations will include the impact of these rules on complexity and administration, as well as on the allocation of taxing</w:t>
      </w:r>
      <w:r>
        <w:rPr>
          <w:spacing w:val="-14"/>
          <w:sz w:val="20"/>
        </w:rPr>
        <w:t> </w:t>
      </w:r>
      <w:r>
        <w:rPr>
          <w:sz w:val="20"/>
        </w:rPr>
        <w:t>rights.</w:t>
      </w:r>
    </w:p>
    <w:p>
      <w:pPr>
        <w:pStyle w:val="BodyText"/>
        <w:spacing w:before="2"/>
      </w:pPr>
    </w:p>
    <w:p>
      <w:pPr>
        <w:pStyle w:val="Heading7"/>
        <w:rPr>
          <w:i/>
        </w:rPr>
      </w:pPr>
      <w:bookmarkStart w:name="Time limitations" w:id="255"/>
      <w:bookmarkEnd w:id="255"/>
      <w:r>
        <w:rPr>
          <w:i w:val="0"/>
        </w:rPr>
      </w:r>
      <w:r>
        <w:rPr>
          <w:i/>
          <w:color w:val="616161"/>
        </w:rPr>
        <w:t>Time limitations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In the legislation of many Inclusive Framework members, the period over which carry-forward losses</w:t>
      </w:r>
      <w:r>
        <w:rPr>
          <w:spacing w:val="-10"/>
          <w:sz w:val="20"/>
        </w:rPr>
        <w:t> </w:t>
      </w:r>
      <w:r>
        <w:rPr>
          <w:sz w:val="20"/>
        </w:rPr>
        <w:t>can</w:t>
      </w:r>
      <w:r>
        <w:rPr>
          <w:spacing w:val="-9"/>
          <w:sz w:val="20"/>
        </w:rPr>
        <w:t> </w:t>
      </w:r>
      <w:r>
        <w:rPr>
          <w:sz w:val="20"/>
        </w:rPr>
        <w:t>be</w:t>
      </w:r>
      <w:r>
        <w:rPr>
          <w:spacing w:val="-10"/>
          <w:sz w:val="20"/>
        </w:rPr>
        <w:t> </w:t>
      </w:r>
      <w:r>
        <w:rPr>
          <w:sz w:val="20"/>
        </w:rPr>
        <w:t>used</w:t>
      </w:r>
      <w:r>
        <w:rPr>
          <w:spacing w:val="-10"/>
          <w:sz w:val="20"/>
        </w:rPr>
        <w:t> </w:t>
      </w:r>
      <w:r>
        <w:rPr>
          <w:sz w:val="20"/>
        </w:rPr>
        <w:t>is</w:t>
      </w:r>
      <w:r>
        <w:rPr>
          <w:spacing w:val="-7"/>
          <w:sz w:val="20"/>
        </w:rPr>
        <w:t> </w:t>
      </w:r>
      <w:r>
        <w:rPr>
          <w:sz w:val="20"/>
        </w:rPr>
        <w:t>limited;</w:t>
      </w:r>
      <w:r>
        <w:rPr>
          <w:spacing w:val="-9"/>
          <w:sz w:val="20"/>
        </w:rPr>
        <w:t> </w:t>
      </w:r>
      <w:r>
        <w:rPr>
          <w:sz w:val="20"/>
        </w:rPr>
        <w:t>after</w:t>
      </w:r>
      <w:r>
        <w:rPr>
          <w:spacing w:val="-11"/>
          <w:sz w:val="20"/>
        </w:rPr>
        <w:t> </w:t>
      </w:r>
      <w:r>
        <w:rPr>
          <w:sz w:val="20"/>
        </w:rPr>
        <w:t>a</w:t>
      </w:r>
      <w:r>
        <w:rPr>
          <w:spacing w:val="-9"/>
          <w:sz w:val="20"/>
        </w:rPr>
        <w:t> </w:t>
      </w:r>
      <w:r>
        <w:rPr>
          <w:sz w:val="20"/>
        </w:rPr>
        <w:t>certain</w:t>
      </w:r>
      <w:r>
        <w:rPr>
          <w:spacing w:val="-9"/>
          <w:sz w:val="20"/>
        </w:rPr>
        <w:t> </w:t>
      </w:r>
      <w:r>
        <w:rPr>
          <w:sz w:val="20"/>
        </w:rPr>
        <w:t>period,</w:t>
      </w:r>
      <w:r>
        <w:rPr>
          <w:spacing w:val="-8"/>
          <w:sz w:val="20"/>
        </w:rPr>
        <w:t> </w:t>
      </w:r>
      <w:r>
        <w:rPr>
          <w:sz w:val="20"/>
        </w:rPr>
        <w:t>the</w:t>
      </w:r>
      <w:r>
        <w:rPr>
          <w:spacing w:val="-9"/>
          <w:sz w:val="20"/>
        </w:rPr>
        <w:t> </w:t>
      </w:r>
      <w:r>
        <w:rPr>
          <w:sz w:val="20"/>
        </w:rPr>
        <w:t>taxpayer’s</w:t>
      </w:r>
      <w:r>
        <w:rPr>
          <w:spacing w:val="-10"/>
          <w:sz w:val="20"/>
        </w:rPr>
        <w:t> </w:t>
      </w:r>
      <w:r>
        <w:rPr>
          <w:sz w:val="20"/>
        </w:rPr>
        <w:t>right</w:t>
      </w:r>
      <w:r>
        <w:rPr>
          <w:spacing w:val="-12"/>
          <w:sz w:val="20"/>
        </w:rPr>
        <w:t> </w:t>
      </w:r>
      <w:r>
        <w:rPr>
          <w:sz w:val="20"/>
        </w:rPr>
        <w:t>to</w:t>
      </w:r>
      <w:r>
        <w:rPr>
          <w:spacing w:val="-8"/>
          <w:sz w:val="20"/>
        </w:rPr>
        <w:t> </w:t>
      </w:r>
      <w:r>
        <w:rPr>
          <w:sz w:val="20"/>
        </w:rPr>
        <w:t>offset</w:t>
      </w:r>
      <w:r>
        <w:rPr>
          <w:spacing w:val="-12"/>
          <w:sz w:val="20"/>
        </w:rPr>
        <w:t> </w:t>
      </w:r>
      <w:r>
        <w:rPr>
          <w:sz w:val="20"/>
        </w:rPr>
        <w:t>losses</w:t>
      </w:r>
      <w:r>
        <w:rPr>
          <w:spacing w:val="-4"/>
          <w:sz w:val="20"/>
        </w:rPr>
        <w:t> </w:t>
      </w:r>
      <w:r>
        <w:rPr>
          <w:sz w:val="20"/>
        </w:rPr>
        <w:t>against</w:t>
      </w:r>
      <w:r>
        <w:rPr>
          <w:spacing w:val="-11"/>
          <w:sz w:val="20"/>
        </w:rPr>
        <w:t> </w:t>
      </w:r>
      <w:r>
        <w:rPr>
          <w:sz w:val="20"/>
        </w:rPr>
        <w:t>profits</w:t>
      </w:r>
      <w:r>
        <w:rPr>
          <w:spacing w:val="-10"/>
          <w:sz w:val="20"/>
        </w:rPr>
        <w:t> </w:t>
      </w:r>
      <w:r>
        <w:rPr>
          <w:sz w:val="20"/>
        </w:rPr>
        <w:t>may</w:t>
      </w:r>
    </w:p>
    <w:p>
      <w:pPr>
        <w:pStyle w:val="BodyText"/>
        <w:spacing w:before="10"/>
        <w:rPr>
          <w:sz w:val="8"/>
        </w:rPr>
      </w:pPr>
      <w:r>
        <w:rPr/>
        <w:pict>
          <v:rect style="position:absolute;margin-left:65.183998pt;margin-top:7.06296pt;width:144.020004pt;height:.599980pt;mso-position-horizontal-relative:page;mso-position-vertical-relative:paragraph;z-index:-15664128;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33" w:val="left" w:leader="none"/>
        </w:tabs>
        <w:spacing w:line="278" w:lineRule="auto" w:before="94" w:after="0"/>
        <w:ind w:left="723" w:right="483" w:firstLine="0"/>
        <w:jc w:val="both"/>
        <w:rPr>
          <w:sz w:val="18"/>
        </w:rPr>
      </w:pPr>
      <w:r>
        <w:rPr>
          <w:sz w:val="18"/>
        </w:rPr>
        <w:t>An approach allocating losses to market jurisdictions would require the development in each market jurisdiction of loss</w:t>
      </w:r>
      <w:r>
        <w:rPr>
          <w:spacing w:val="-14"/>
          <w:sz w:val="18"/>
        </w:rPr>
        <w:t> </w:t>
      </w:r>
      <w:r>
        <w:rPr>
          <w:sz w:val="18"/>
        </w:rPr>
        <w:t>carry-forward</w:t>
      </w:r>
      <w:r>
        <w:rPr>
          <w:spacing w:val="-12"/>
          <w:sz w:val="18"/>
        </w:rPr>
        <w:t> </w:t>
      </w:r>
      <w:r>
        <w:rPr>
          <w:sz w:val="18"/>
        </w:rPr>
        <w:t>rules</w:t>
      </w:r>
      <w:r>
        <w:rPr>
          <w:spacing w:val="-13"/>
          <w:sz w:val="18"/>
        </w:rPr>
        <w:t> </w:t>
      </w:r>
      <w:r>
        <w:rPr>
          <w:sz w:val="18"/>
        </w:rPr>
        <w:t>for</w:t>
      </w:r>
      <w:r>
        <w:rPr>
          <w:spacing w:val="-15"/>
          <w:sz w:val="18"/>
        </w:rPr>
        <w:t> </w:t>
      </w:r>
      <w:r>
        <w:rPr>
          <w:sz w:val="18"/>
        </w:rPr>
        <w:t>Amount</w:t>
      </w:r>
      <w:r>
        <w:rPr>
          <w:spacing w:val="-15"/>
          <w:sz w:val="18"/>
        </w:rPr>
        <w:t> </w:t>
      </w:r>
      <w:r>
        <w:rPr>
          <w:sz w:val="18"/>
        </w:rPr>
        <w:t>A</w:t>
      </w:r>
      <w:r>
        <w:rPr>
          <w:spacing w:val="-12"/>
          <w:sz w:val="18"/>
        </w:rPr>
        <w:t> </w:t>
      </w:r>
      <w:r>
        <w:rPr>
          <w:sz w:val="18"/>
        </w:rPr>
        <w:t>purposes,</w:t>
      </w:r>
      <w:r>
        <w:rPr>
          <w:spacing w:val="-12"/>
          <w:sz w:val="18"/>
        </w:rPr>
        <w:t> </w:t>
      </w:r>
      <w:r>
        <w:rPr>
          <w:sz w:val="18"/>
        </w:rPr>
        <w:t>presumably</w:t>
      </w:r>
      <w:r>
        <w:rPr>
          <w:spacing w:val="-14"/>
          <w:sz w:val="18"/>
        </w:rPr>
        <w:t> </w:t>
      </w:r>
      <w:r>
        <w:rPr>
          <w:sz w:val="18"/>
        </w:rPr>
        <w:t>in</w:t>
      </w:r>
      <w:r>
        <w:rPr>
          <w:spacing w:val="-11"/>
          <w:sz w:val="18"/>
        </w:rPr>
        <w:t> </w:t>
      </w:r>
      <w:r>
        <w:rPr>
          <w:sz w:val="18"/>
        </w:rPr>
        <w:t>accordance</w:t>
      </w:r>
      <w:r>
        <w:rPr>
          <w:spacing w:val="-14"/>
          <w:sz w:val="18"/>
        </w:rPr>
        <w:t> </w:t>
      </w:r>
      <w:r>
        <w:rPr>
          <w:sz w:val="18"/>
        </w:rPr>
        <w:t>with</w:t>
      </w:r>
      <w:r>
        <w:rPr>
          <w:spacing w:val="-12"/>
          <w:sz w:val="18"/>
        </w:rPr>
        <w:t> </w:t>
      </w:r>
      <w:r>
        <w:rPr>
          <w:sz w:val="18"/>
        </w:rPr>
        <w:t>some</w:t>
      </w:r>
      <w:r>
        <w:rPr>
          <w:spacing w:val="-13"/>
          <w:sz w:val="18"/>
        </w:rPr>
        <w:t> </w:t>
      </w:r>
      <w:r>
        <w:rPr>
          <w:sz w:val="18"/>
        </w:rPr>
        <w:t>harmonised</w:t>
      </w:r>
      <w:r>
        <w:rPr>
          <w:spacing w:val="-15"/>
          <w:sz w:val="18"/>
        </w:rPr>
        <w:t> </w:t>
      </w:r>
      <w:r>
        <w:rPr>
          <w:sz w:val="18"/>
        </w:rPr>
        <w:t>standards</w:t>
      </w:r>
      <w:r>
        <w:rPr>
          <w:spacing w:val="-13"/>
          <w:sz w:val="18"/>
        </w:rPr>
        <w:t> </w:t>
      </w:r>
      <w:r>
        <w:rPr>
          <w:sz w:val="18"/>
        </w:rPr>
        <w:t>to</w:t>
      </w:r>
      <w:r>
        <w:rPr>
          <w:spacing w:val="-14"/>
          <w:sz w:val="18"/>
        </w:rPr>
        <w:t> </w:t>
      </w:r>
      <w:r>
        <w:rPr>
          <w:sz w:val="18"/>
        </w:rPr>
        <w:t>ensure that market jurisdictions are not able to render the loss allocation ineffective (e.g. through prohibitive time limits on relief). Taxpayers would need to administer the allocated losses in each market jurisdiction separately, and submit in each market jurisdiction a claim for tax relief once profit is allocated to that same jurisdiction under Amount A in subsequent</w:t>
      </w:r>
      <w:r>
        <w:rPr>
          <w:spacing w:val="-1"/>
          <w:sz w:val="18"/>
        </w:rPr>
        <w:t> </w:t>
      </w:r>
      <w:r>
        <w:rPr>
          <w:sz w:val="18"/>
        </w:rPr>
        <w:t>years.</w:t>
      </w:r>
    </w:p>
    <w:p>
      <w:pPr>
        <w:pStyle w:val="ListParagraph"/>
        <w:numPr>
          <w:ilvl w:val="0"/>
          <w:numId w:val="14"/>
        </w:numPr>
        <w:tabs>
          <w:tab w:pos="933" w:val="left" w:leader="none"/>
        </w:tabs>
        <w:spacing w:line="278" w:lineRule="auto" w:before="78" w:after="0"/>
        <w:ind w:left="723" w:right="486" w:firstLine="0"/>
        <w:jc w:val="both"/>
        <w:rPr>
          <w:sz w:val="18"/>
        </w:rPr>
      </w:pPr>
      <w:r>
        <w:rPr>
          <w:sz w:val="18"/>
        </w:rPr>
        <w:t>Comparable mechanisms are used in the legislation of different Inclusive Framework jurisdictions, such as for the treatment of certain investment vehicles (typically, to offset profit and losses generated by a portfolio of assets over multiple years before redistributing profit to the</w:t>
      </w:r>
      <w:r>
        <w:rPr>
          <w:spacing w:val="-8"/>
          <w:sz w:val="18"/>
        </w:rPr>
        <w:t> </w:t>
      </w:r>
      <w:r>
        <w:rPr>
          <w:sz w:val="18"/>
        </w:rPr>
        <w:t>investors).</w:t>
      </w:r>
    </w:p>
    <w:p>
      <w:pPr>
        <w:pStyle w:val="ListParagraph"/>
        <w:numPr>
          <w:ilvl w:val="0"/>
          <w:numId w:val="14"/>
        </w:numPr>
        <w:tabs>
          <w:tab w:pos="926" w:val="left" w:leader="none"/>
        </w:tabs>
        <w:spacing w:line="278" w:lineRule="auto" w:before="77" w:after="0"/>
        <w:ind w:left="723" w:right="486" w:firstLine="0"/>
        <w:jc w:val="both"/>
        <w:rPr>
          <w:sz w:val="18"/>
        </w:rPr>
      </w:pPr>
      <w:r>
        <w:rPr>
          <w:sz w:val="18"/>
        </w:rPr>
        <w:t>If</w:t>
      </w:r>
      <w:r>
        <w:rPr>
          <w:spacing w:val="-4"/>
          <w:sz w:val="18"/>
        </w:rPr>
        <w:t> </w:t>
      </w:r>
      <w:r>
        <w:rPr>
          <w:sz w:val="18"/>
        </w:rPr>
        <w:t>the</w:t>
      </w:r>
      <w:r>
        <w:rPr>
          <w:spacing w:val="-3"/>
          <w:sz w:val="18"/>
        </w:rPr>
        <w:t> </w:t>
      </w:r>
      <w:r>
        <w:rPr>
          <w:sz w:val="18"/>
        </w:rPr>
        <w:t>Amount</w:t>
      </w:r>
      <w:r>
        <w:rPr>
          <w:spacing w:val="-4"/>
          <w:sz w:val="18"/>
        </w:rPr>
        <w:t> </w:t>
      </w:r>
      <w:r>
        <w:rPr>
          <w:sz w:val="18"/>
        </w:rPr>
        <w:t>A</w:t>
      </w:r>
      <w:r>
        <w:rPr>
          <w:spacing w:val="-4"/>
          <w:sz w:val="18"/>
        </w:rPr>
        <w:t> </w:t>
      </w:r>
      <w:r>
        <w:rPr>
          <w:sz w:val="18"/>
        </w:rPr>
        <w:t>carry-forward</w:t>
      </w:r>
      <w:r>
        <w:rPr>
          <w:spacing w:val="-4"/>
          <w:sz w:val="18"/>
        </w:rPr>
        <w:t> </w:t>
      </w:r>
      <w:r>
        <w:rPr>
          <w:sz w:val="18"/>
        </w:rPr>
        <w:t>regime</w:t>
      </w:r>
      <w:r>
        <w:rPr>
          <w:spacing w:val="-3"/>
          <w:sz w:val="18"/>
        </w:rPr>
        <w:t> </w:t>
      </w:r>
      <w:r>
        <w:rPr>
          <w:sz w:val="18"/>
        </w:rPr>
        <w:t>is</w:t>
      </w:r>
      <w:r>
        <w:rPr>
          <w:spacing w:val="-3"/>
          <w:sz w:val="18"/>
        </w:rPr>
        <w:t> </w:t>
      </w:r>
      <w:r>
        <w:rPr>
          <w:sz w:val="18"/>
        </w:rPr>
        <w:t>extended</w:t>
      </w:r>
      <w:r>
        <w:rPr>
          <w:spacing w:val="-4"/>
          <w:sz w:val="18"/>
        </w:rPr>
        <w:t> </w:t>
      </w:r>
      <w:r>
        <w:rPr>
          <w:sz w:val="18"/>
        </w:rPr>
        <w:t>to</w:t>
      </w:r>
      <w:r>
        <w:rPr>
          <w:spacing w:val="-5"/>
          <w:sz w:val="18"/>
        </w:rPr>
        <w:t> </w:t>
      </w:r>
      <w:r>
        <w:rPr>
          <w:sz w:val="18"/>
        </w:rPr>
        <w:t>certain</w:t>
      </w:r>
      <w:r>
        <w:rPr>
          <w:spacing w:val="-3"/>
          <w:sz w:val="18"/>
        </w:rPr>
        <w:t> </w:t>
      </w:r>
      <w:r>
        <w:rPr>
          <w:sz w:val="18"/>
        </w:rPr>
        <w:t>pre-regime</w:t>
      </w:r>
      <w:r>
        <w:rPr>
          <w:spacing w:val="-4"/>
          <w:sz w:val="18"/>
        </w:rPr>
        <w:t> </w:t>
      </w:r>
      <w:r>
        <w:rPr>
          <w:sz w:val="18"/>
        </w:rPr>
        <w:t>losses,</w:t>
      </w:r>
      <w:r>
        <w:rPr>
          <w:spacing w:val="-3"/>
          <w:sz w:val="18"/>
        </w:rPr>
        <w:t> </w:t>
      </w:r>
      <w:r>
        <w:rPr>
          <w:sz w:val="18"/>
        </w:rPr>
        <w:t>the</w:t>
      </w:r>
      <w:r>
        <w:rPr>
          <w:spacing w:val="-4"/>
          <w:sz w:val="18"/>
        </w:rPr>
        <w:t> </w:t>
      </w:r>
      <w:r>
        <w:rPr>
          <w:sz w:val="18"/>
        </w:rPr>
        <w:t>loss</w:t>
      </w:r>
      <w:r>
        <w:rPr>
          <w:spacing w:val="-3"/>
          <w:sz w:val="18"/>
        </w:rPr>
        <w:t> </w:t>
      </w:r>
      <w:r>
        <w:rPr>
          <w:sz w:val="18"/>
        </w:rPr>
        <w:t>account</w:t>
      </w:r>
      <w:r>
        <w:rPr>
          <w:spacing w:val="-3"/>
          <w:sz w:val="18"/>
        </w:rPr>
        <w:t> </w:t>
      </w:r>
      <w:r>
        <w:rPr>
          <w:sz w:val="18"/>
        </w:rPr>
        <w:t>would</w:t>
      </w:r>
      <w:r>
        <w:rPr>
          <w:spacing w:val="-4"/>
          <w:sz w:val="18"/>
        </w:rPr>
        <w:t> </w:t>
      </w:r>
      <w:r>
        <w:rPr>
          <w:sz w:val="18"/>
        </w:rPr>
        <w:t>also</w:t>
      </w:r>
      <w:r>
        <w:rPr>
          <w:spacing w:val="-3"/>
          <w:sz w:val="18"/>
        </w:rPr>
        <w:t> </w:t>
      </w:r>
      <w:r>
        <w:rPr>
          <w:sz w:val="18"/>
        </w:rPr>
        <w:t>include those pre-regime</w:t>
      </w:r>
      <w:r>
        <w:rPr>
          <w:spacing w:val="-3"/>
          <w:sz w:val="18"/>
        </w:rPr>
        <w:t> </w:t>
      </w:r>
      <w:r>
        <w:rPr>
          <w:sz w:val="18"/>
        </w:rPr>
        <w:t>losses.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lapse, wholly or in part. Beyond revenue concerns, time limitations are imposed for practical and administrative</w:t>
      </w:r>
      <w:r>
        <w:rPr>
          <w:spacing w:val="-4"/>
        </w:rPr>
        <w:t> </w:t>
      </w:r>
      <w:r>
        <w:rPr/>
        <w:t>reasons,</w:t>
      </w:r>
      <w:r>
        <w:rPr>
          <w:spacing w:val="-4"/>
        </w:rPr>
        <w:t> </w:t>
      </w:r>
      <w:r>
        <w:rPr/>
        <w:t>such</w:t>
      </w:r>
      <w:r>
        <w:rPr>
          <w:spacing w:val="-5"/>
        </w:rPr>
        <w:t> </w:t>
      </w:r>
      <w:r>
        <w:rPr/>
        <w:t>as</w:t>
      </w:r>
      <w:r>
        <w:rPr>
          <w:spacing w:val="-3"/>
        </w:rPr>
        <w:t> </w:t>
      </w:r>
      <w:r>
        <w:rPr/>
        <w:t>the</w:t>
      </w:r>
      <w:r>
        <w:rPr>
          <w:spacing w:val="-5"/>
        </w:rPr>
        <w:t> </w:t>
      </w:r>
      <w:r>
        <w:rPr/>
        <w:t>difficulty</w:t>
      </w:r>
      <w:r>
        <w:rPr>
          <w:spacing w:val="-7"/>
        </w:rPr>
        <w:t> </w:t>
      </w:r>
      <w:r>
        <w:rPr/>
        <w:t>of</w:t>
      </w:r>
      <w:r>
        <w:rPr>
          <w:spacing w:val="-2"/>
        </w:rPr>
        <w:t> </w:t>
      </w:r>
      <w:r>
        <w:rPr/>
        <w:t>retaining</w:t>
      </w:r>
      <w:r>
        <w:rPr>
          <w:spacing w:val="-5"/>
        </w:rPr>
        <w:t> </w:t>
      </w:r>
      <w:r>
        <w:rPr/>
        <w:t>information</w:t>
      </w:r>
      <w:r>
        <w:rPr>
          <w:spacing w:val="-5"/>
        </w:rPr>
        <w:t> </w:t>
      </w:r>
      <w:r>
        <w:rPr/>
        <w:t>over</w:t>
      </w:r>
      <w:r>
        <w:rPr>
          <w:spacing w:val="-5"/>
        </w:rPr>
        <w:t> </w:t>
      </w:r>
      <w:r>
        <w:rPr/>
        <w:t>a</w:t>
      </w:r>
      <w:r>
        <w:rPr>
          <w:spacing w:val="-4"/>
        </w:rPr>
        <w:t> </w:t>
      </w:r>
      <w:r>
        <w:rPr/>
        <w:t>long</w:t>
      </w:r>
      <w:r>
        <w:rPr>
          <w:spacing w:val="-5"/>
        </w:rPr>
        <w:t> </w:t>
      </w:r>
      <w:r>
        <w:rPr/>
        <w:t>period</w:t>
      </w:r>
      <w:r>
        <w:rPr>
          <w:spacing w:val="-4"/>
        </w:rPr>
        <w:t> </w:t>
      </w:r>
      <w:r>
        <w:rPr/>
        <w:t>and to</w:t>
      </w:r>
      <w:r>
        <w:rPr>
          <w:spacing w:val="-4"/>
        </w:rPr>
        <w:t> </w:t>
      </w:r>
      <w:r>
        <w:rPr/>
        <w:t>simplify</w:t>
      </w:r>
      <w:r>
        <w:rPr>
          <w:spacing w:val="-7"/>
        </w:rPr>
        <w:t> </w:t>
      </w:r>
      <w:r>
        <w:rPr/>
        <w:t>tax administration</w:t>
      </w:r>
      <w:r>
        <w:rPr>
          <w:spacing w:val="-2"/>
        </w:rPr>
        <w:t> </w:t>
      </w:r>
      <w:r>
        <w:rPr/>
        <w:t>arrangements.</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For Amount A losses, a trade-off exists between the practical and administrative constraints that may justify the introduction of a time limitation, and the adverse impact that any limitation may have on appropriately measuring net profit (e.g. costs of investments made before the time limitation), delivering neutrality (e.g. business models with volatile profit) or on the allocation of taxing rights (e.g. residence jurisdictions that have accepted the deduction of unrelieved losses under the existing ALP-based system at an entity level). Further work is therefore required to assess the best approach to deal with this trade- off, interactions with provisions on statute of limitations (and tax audit), and determine whether unlimited carry-forward could be retained without creating excessive administrative</w:t>
      </w:r>
      <w:r>
        <w:rPr>
          <w:spacing w:val="-11"/>
          <w:sz w:val="20"/>
        </w:rPr>
        <w:t> </w:t>
      </w:r>
      <w:r>
        <w:rPr>
          <w:sz w:val="20"/>
        </w:rPr>
        <w:t>challenges.</w:t>
      </w:r>
      <w:r>
        <w:rPr>
          <w:sz w:val="20"/>
          <w:vertAlign w:val="superscript"/>
        </w:rPr>
        <w:t>91</w:t>
      </w:r>
    </w:p>
    <w:p>
      <w:pPr>
        <w:pStyle w:val="BodyText"/>
      </w:pPr>
    </w:p>
    <w:p>
      <w:pPr>
        <w:pStyle w:val="Heading7"/>
        <w:spacing w:before="1"/>
        <w:rPr>
          <w:i/>
        </w:rPr>
      </w:pPr>
      <w:bookmarkStart w:name="Business reorganisations" w:id="256"/>
      <w:bookmarkEnd w:id="256"/>
      <w:r>
        <w:rPr>
          <w:i w:val="0"/>
        </w:rPr>
      </w:r>
      <w:r>
        <w:rPr>
          <w:i/>
          <w:color w:val="616161"/>
        </w:rPr>
        <w:t>Business reorganisations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In legislation across the membership of the Inclusive Framework, loss carry-forward regimes include specific rules for business reorganisations within an MNE group or between different groups.</w:t>
      </w:r>
      <w:r>
        <w:rPr>
          <w:position w:val="6"/>
          <w:sz w:val="13"/>
        </w:rPr>
        <w:t>92</w:t>
      </w:r>
      <w:r>
        <w:rPr>
          <w:sz w:val="13"/>
        </w:rPr>
        <w:t> </w:t>
      </w:r>
      <w:r>
        <w:rPr>
          <w:sz w:val="20"/>
        </w:rPr>
        <w:t>These rules generally seek to prevent avoidance opportunities by ensuring that the business claiming the loss deduction is not economically different from the business that sustained the loss. Some of these restrictions are focused on changes of ownership, for example by providing that the right of a company to carry</w:t>
      </w:r>
      <w:r>
        <w:rPr>
          <w:spacing w:val="-17"/>
          <w:sz w:val="20"/>
        </w:rPr>
        <w:t> </w:t>
      </w:r>
      <w:r>
        <w:rPr>
          <w:sz w:val="20"/>
        </w:rPr>
        <w:t>forward</w:t>
      </w:r>
      <w:r>
        <w:rPr>
          <w:spacing w:val="-9"/>
          <w:sz w:val="20"/>
        </w:rPr>
        <w:t> </w:t>
      </w:r>
      <w:r>
        <w:rPr>
          <w:sz w:val="20"/>
        </w:rPr>
        <w:t>losses</w:t>
      </w:r>
      <w:r>
        <w:rPr>
          <w:spacing w:val="-9"/>
          <w:sz w:val="20"/>
        </w:rPr>
        <w:t> </w:t>
      </w:r>
      <w:r>
        <w:rPr>
          <w:sz w:val="20"/>
        </w:rPr>
        <w:t>is</w:t>
      </w:r>
      <w:r>
        <w:rPr>
          <w:spacing w:val="-10"/>
          <w:sz w:val="20"/>
        </w:rPr>
        <w:t> </w:t>
      </w:r>
      <w:r>
        <w:rPr>
          <w:sz w:val="20"/>
        </w:rPr>
        <w:t>forfeited</w:t>
      </w:r>
      <w:r>
        <w:rPr>
          <w:spacing w:val="-10"/>
          <w:sz w:val="20"/>
        </w:rPr>
        <w:t> </w:t>
      </w:r>
      <w:r>
        <w:rPr>
          <w:sz w:val="20"/>
        </w:rPr>
        <w:t>in</w:t>
      </w:r>
      <w:r>
        <w:rPr>
          <w:spacing w:val="-9"/>
          <w:sz w:val="20"/>
        </w:rPr>
        <w:t> </w:t>
      </w:r>
      <w:r>
        <w:rPr>
          <w:sz w:val="20"/>
        </w:rPr>
        <w:t>the</w:t>
      </w:r>
      <w:r>
        <w:rPr>
          <w:spacing w:val="-11"/>
          <w:sz w:val="20"/>
        </w:rPr>
        <w:t> </w:t>
      </w:r>
      <w:r>
        <w:rPr>
          <w:sz w:val="20"/>
        </w:rPr>
        <w:t>event</w:t>
      </w:r>
      <w:r>
        <w:rPr>
          <w:spacing w:val="-7"/>
          <w:sz w:val="20"/>
        </w:rPr>
        <w:t> </w:t>
      </w:r>
      <w:r>
        <w:rPr>
          <w:sz w:val="20"/>
        </w:rPr>
        <w:t>of</w:t>
      </w:r>
      <w:r>
        <w:rPr>
          <w:spacing w:val="-9"/>
          <w:sz w:val="20"/>
        </w:rPr>
        <w:t> </w:t>
      </w:r>
      <w:r>
        <w:rPr>
          <w:sz w:val="20"/>
        </w:rPr>
        <w:t>a</w:t>
      </w:r>
      <w:r>
        <w:rPr>
          <w:spacing w:val="-12"/>
          <w:sz w:val="20"/>
        </w:rPr>
        <w:t> </w:t>
      </w:r>
      <w:r>
        <w:rPr>
          <w:sz w:val="20"/>
        </w:rPr>
        <w:t>change</w:t>
      </w:r>
      <w:r>
        <w:rPr>
          <w:spacing w:val="-12"/>
          <w:sz w:val="20"/>
        </w:rPr>
        <w:t> </w:t>
      </w:r>
      <w:r>
        <w:rPr>
          <w:sz w:val="20"/>
        </w:rPr>
        <w:t>in</w:t>
      </w:r>
      <w:r>
        <w:rPr>
          <w:spacing w:val="-9"/>
          <w:sz w:val="20"/>
        </w:rPr>
        <w:t> </w:t>
      </w:r>
      <w:r>
        <w:rPr>
          <w:sz w:val="20"/>
        </w:rPr>
        <w:t>identity</w:t>
      </w:r>
      <w:r>
        <w:rPr>
          <w:spacing w:val="-15"/>
          <w:sz w:val="20"/>
        </w:rPr>
        <w:t> </w:t>
      </w:r>
      <w:r>
        <w:rPr>
          <w:sz w:val="20"/>
        </w:rPr>
        <w:t>of</w:t>
      </w:r>
      <w:r>
        <w:rPr>
          <w:spacing w:val="-7"/>
          <w:sz w:val="20"/>
        </w:rPr>
        <w:t> </w:t>
      </w:r>
      <w:r>
        <w:rPr>
          <w:sz w:val="20"/>
        </w:rPr>
        <w:t>its</w:t>
      </w:r>
      <w:r>
        <w:rPr>
          <w:spacing w:val="-10"/>
          <w:sz w:val="20"/>
        </w:rPr>
        <w:t> </w:t>
      </w:r>
      <w:r>
        <w:rPr>
          <w:sz w:val="20"/>
        </w:rPr>
        <w:t>controlling</w:t>
      </w:r>
      <w:r>
        <w:rPr>
          <w:spacing w:val="-9"/>
          <w:sz w:val="20"/>
        </w:rPr>
        <w:t> </w:t>
      </w:r>
      <w:r>
        <w:rPr>
          <w:sz w:val="20"/>
        </w:rPr>
        <w:t>shareholder</w:t>
      </w:r>
      <w:r>
        <w:rPr>
          <w:spacing w:val="-11"/>
          <w:sz w:val="20"/>
        </w:rPr>
        <w:t> </w:t>
      </w:r>
      <w:r>
        <w:rPr>
          <w:sz w:val="20"/>
        </w:rPr>
        <w:t>(e.g.</w:t>
      </w:r>
      <w:r>
        <w:rPr>
          <w:spacing w:val="-11"/>
          <w:sz w:val="20"/>
        </w:rPr>
        <w:t> </w:t>
      </w:r>
      <w:r>
        <w:rPr>
          <w:sz w:val="20"/>
        </w:rPr>
        <w:t>share transactions</w:t>
      </w:r>
      <w:r>
        <w:rPr>
          <w:spacing w:val="-13"/>
          <w:sz w:val="20"/>
        </w:rPr>
        <w:t> </w:t>
      </w:r>
      <w:r>
        <w:rPr>
          <w:sz w:val="20"/>
        </w:rPr>
        <w:t>leading</w:t>
      </w:r>
      <w:r>
        <w:rPr>
          <w:spacing w:val="-14"/>
          <w:sz w:val="20"/>
        </w:rPr>
        <w:t> </w:t>
      </w:r>
      <w:r>
        <w:rPr>
          <w:sz w:val="20"/>
        </w:rPr>
        <w:t>to</w:t>
      </w:r>
      <w:r>
        <w:rPr>
          <w:spacing w:val="-14"/>
          <w:sz w:val="20"/>
        </w:rPr>
        <w:t> </w:t>
      </w:r>
      <w:r>
        <w:rPr>
          <w:sz w:val="20"/>
        </w:rPr>
        <w:t>a</w:t>
      </w:r>
      <w:r>
        <w:rPr>
          <w:spacing w:val="-14"/>
          <w:sz w:val="20"/>
        </w:rPr>
        <w:t> </w:t>
      </w:r>
      <w:r>
        <w:rPr>
          <w:sz w:val="20"/>
        </w:rPr>
        <w:t>transfer</w:t>
      </w:r>
      <w:r>
        <w:rPr>
          <w:spacing w:val="-13"/>
          <w:sz w:val="20"/>
        </w:rPr>
        <w:t> </w:t>
      </w:r>
      <w:r>
        <w:rPr>
          <w:sz w:val="20"/>
        </w:rPr>
        <w:t>of</w:t>
      </w:r>
      <w:r>
        <w:rPr>
          <w:spacing w:val="-14"/>
          <w:sz w:val="20"/>
        </w:rPr>
        <w:t> </w:t>
      </w:r>
      <w:r>
        <w:rPr>
          <w:sz w:val="20"/>
        </w:rPr>
        <w:t>control).</w:t>
      </w:r>
      <w:r>
        <w:rPr>
          <w:spacing w:val="-14"/>
          <w:sz w:val="20"/>
        </w:rPr>
        <w:t> </w:t>
      </w:r>
      <w:r>
        <w:rPr>
          <w:sz w:val="20"/>
        </w:rPr>
        <w:t>Other</w:t>
      </w:r>
      <w:r>
        <w:rPr>
          <w:spacing w:val="-13"/>
          <w:sz w:val="20"/>
        </w:rPr>
        <w:t> </w:t>
      </w:r>
      <w:r>
        <w:rPr>
          <w:sz w:val="20"/>
        </w:rPr>
        <w:t>restrictions</w:t>
      </w:r>
      <w:r>
        <w:rPr>
          <w:spacing w:val="-13"/>
          <w:sz w:val="20"/>
        </w:rPr>
        <w:t> </w:t>
      </w:r>
      <w:r>
        <w:rPr>
          <w:sz w:val="20"/>
        </w:rPr>
        <w:t>are</w:t>
      </w:r>
      <w:r>
        <w:rPr>
          <w:spacing w:val="-13"/>
          <w:sz w:val="20"/>
        </w:rPr>
        <w:t> </w:t>
      </w:r>
      <w:r>
        <w:rPr>
          <w:sz w:val="20"/>
        </w:rPr>
        <w:t>focused</w:t>
      </w:r>
      <w:r>
        <w:rPr>
          <w:spacing w:val="-14"/>
          <w:sz w:val="20"/>
        </w:rPr>
        <w:t> </w:t>
      </w:r>
      <w:r>
        <w:rPr>
          <w:sz w:val="20"/>
        </w:rPr>
        <w:t>on</w:t>
      </w:r>
      <w:r>
        <w:rPr>
          <w:spacing w:val="-14"/>
          <w:sz w:val="20"/>
        </w:rPr>
        <w:t> </w:t>
      </w:r>
      <w:r>
        <w:rPr>
          <w:sz w:val="20"/>
        </w:rPr>
        <w:t>changes</w:t>
      </w:r>
      <w:r>
        <w:rPr>
          <w:spacing w:val="-12"/>
          <w:sz w:val="20"/>
        </w:rPr>
        <w:t> </w:t>
      </w:r>
      <w:r>
        <w:rPr>
          <w:sz w:val="20"/>
        </w:rPr>
        <w:t>in</w:t>
      </w:r>
      <w:r>
        <w:rPr>
          <w:spacing w:val="-14"/>
          <w:sz w:val="20"/>
        </w:rPr>
        <w:t> </w:t>
      </w:r>
      <w:r>
        <w:rPr>
          <w:sz w:val="20"/>
        </w:rPr>
        <w:t>business</w:t>
      </w:r>
      <w:r>
        <w:rPr>
          <w:spacing w:val="-12"/>
          <w:sz w:val="20"/>
        </w:rPr>
        <w:t> </w:t>
      </w:r>
      <w:r>
        <w:rPr>
          <w:sz w:val="20"/>
        </w:rPr>
        <w:t>activity, and impose what is essentially a “continuity of business enterprise” test by denying loss relief when the profit against which the deduction is claimed is not produced by substantially the same business activity that incurred the loss. Finally, some legislation includes a combination of both approaches. In all cases, these rules are complex and burdensome for taxpayers and tax administrations alike, with substantial variations in scope and impact (e.g. the definition of what constitutes a “change of ownership” or “change of business activity”). Such rules create a rich source of disputes and</w:t>
      </w:r>
      <w:r>
        <w:rPr>
          <w:spacing w:val="-6"/>
          <w:sz w:val="20"/>
        </w:rPr>
        <w:t> </w:t>
      </w:r>
      <w:r>
        <w:rPr>
          <w:sz w:val="20"/>
        </w:rPr>
        <w:t>uncertainty.</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For Amount A, specific rules will be developed to deal with the treatment of unrelieved losses in the context of business reorganisations (e.g. creation of a new business, modification of an existing business, sale (or purchase) of whole or part of a business to a third party). These rules would seek to ensure that unrelieved losses are transferred to (and carried forward in) the relevant group (or segment where relevant) where the relevant business activity is continued. They would also seek to prevent the trading</w:t>
      </w:r>
      <w:r>
        <w:rPr>
          <w:spacing w:val="-10"/>
          <w:sz w:val="20"/>
        </w:rPr>
        <w:t> </w:t>
      </w:r>
      <w:r>
        <w:rPr>
          <w:sz w:val="20"/>
        </w:rPr>
        <w:t>of</w:t>
      </w:r>
      <w:r>
        <w:rPr>
          <w:spacing w:val="-8"/>
          <w:sz w:val="20"/>
        </w:rPr>
        <w:t> </w:t>
      </w:r>
      <w:r>
        <w:rPr>
          <w:sz w:val="20"/>
        </w:rPr>
        <w:t>losses</w:t>
      </w:r>
      <w:r>
        <w:rPr>
          <w:spacing w:val="-7"/>
          <w:sz w:val="20"/>
        </w:rPr>
        <w:t> </w:t>
      </w:r>
      <w:r>
        <w:rPr>
          <w:sz w:val="20"/>
        </w:rPr>
        <w:t>and</w:t>
      </w:r>
      <w:r>
        <w:rPr>
          <w:spacing w:val="-9"/>
          <w:sz w:val="20"/>
        </w:rPr>
        <w:t> </w:t>
      </w:r>
      <w:r>
        <w:rPr>
          <w:sz w:val="20"/>
        </w:rPr>
        <w:t>related</w:t>
      </w:r>
      <w:r>
        <w:rPr>
          <w:spacing w:val="-10"/>
          <w:sz w:val="20"/>
        </w:rPr>
        <w:t> </w:t>
      </w:r>
      <w:r>
        <w:rPr>
          <w:sz w:val="20"/>
        </w:rPr>
        <w:t>tax</w:t>
      </w:r>
      <w:r>
        <w:rPr>
          <w:spacing w:val="-8"/>
          <w:sz w:val="20"/>
        </w:rPr>
        <w:t> </w:t>
      </w:r>
      <w:r>
        <w:rPr>
          <w:sz w:val="20"/>
        </w:rPr>
        <w:t>avoidance</w:t>
      </w:r>
      <w:r>
        <w:rPr>
          <w:spacing w:val="-10"/>
          <w:sz w:val="20"/>
        </w:rPr>
        <w:t> </w:t>
      </w:r>
      <w:r>
        <w:rPr>
          <w:sz w:val="20"/>
        </w:rPr>
        <w:t>arrangements.</w:t>
      </w:r>
      <w:r>
        <w:rPr>
          <w:spacing w:val="-9"/>
          <w:sz w:val="20"/>
        </w:rPr>
        <w:t> </w:t>
      </w:r>
      <w:r>
        <w:rPr>
          <w:sz w:val="20"/>
        </w:rPr>
        <w:t>Important</w:t>
      </w:r>
      <w:r>
        <w:rPr>
          <w:spacing w:val="-10"/>
          <w:sz w:val="20"/>
        </w:rPr>
        <w:t> </w:t>
      </w:r>
      <w:r>
        <w:rPr>
          <w:sz w:val="20"/>
        </w:rPr>
        <w:t>considerations</w:t>
      </w:r>
      <w:r>
        <w:rPr>
          <w:spacing w:val="-9"/>
          <w:sz w:val="20"/>
        </w:rPr>
        <w:t> </w:t>
      </w:r>
      <w:r>
        <w:rPr>
          <w:sz w:val="20"/>
        </w:rPr>
        <w:t>in</w:t>
      </w:r>
      <w:r>
        <w:rPr>
          <w:spacing w:val="-9"/>
          <w:sz w:val="20"/>
        </w:rPr>
        <w:t> </w:t>
      </w:r>
      <w:r>
        <w:rPr>
          <w:sz w:val="20"/>
        </w:rPr>
        <w:t>the</w:t>
      </w:r>
      <w:r>
        <w:rPr>
          <w:spacing w:val="-10"/>
          <w:sz w:val="20"/>
        </w:rPr>
        <w:t> </w:t>
      </w:r>
      <w:r>
        <w:rPr>
          <w:sz w:val="20"/>
        </w:rPr>
        <w:t>development</w:t>
      </w:r>
      <w:r>
        <w:rPr>
          <w:spacing w:val="-9"/>
          <w:sz w:val="20"/>
        </w:rPr>
        <w:t> </w:t>
      </w:r>
      <w:r>
        <w:rPr>
          <w:sz w:val="20"/>
        </w:rPr>
        <w:t>of these rules will include: complexity (and administration) issues; definitional issues; interactions with segmentation</w:t>
      </w:r>
      <w:r>
        <w:rPr>
          <w:spacing w:val="-11"/>
          <w:sz w:val="20"/>
        </w:rPr>
        <w:t> </w:t>
      </w:r>
      <w:r>
        <w:rPr>
          <w:sz w:val="20"/>
        </w:rPr>
        <w:t>rules</w:t>
      </w:r>
      <w:r>
        <w:rPr>
          <w:spacing w:val="-9"/>
          <w:sz w:val="20"/>
        </w:rPr>
        <w:t> </w:t>
      </w:r>
      <w:r>
        <w:rPr>
          <w:sz w:val="20"/>
        </w:rPr>
        <w:t>(including</w:t>
      </w:r>
      <w:r>
        <w:rPr>
          <w:spacing w:val="-12"/>
          <w:sz w:val="20"/>
        </w:rPr>
        <w:t> </w:t>
      </w:r>
      <w:r>
        <w:rPr>
          <w:sz w:val="20"/>
        </w:rPr>
        <w:t>changes</w:t>
      </w:r>
      <w:r>
        <w:rPr>
          <w:spacing w:val="-11"/>
          <w:sz w:val="20"/>
        </w:rPr>
        <w:t> </w:t>
      </w:r>
      <w:r>
        <w:rPr>
          <w:sz w:val="20"/>
        </w:rPr>
        <w:t>over</w:t>
      </w:r>
      <w:r>
        <w:rPr>
          <w:spacing w:val="-8"/>
          <w:sz w:val="20"/>
        </w:rPr>
        <w:t> </w:t>
      </w:r>
      <w:r>
        <w:rPr>
          <w:sz w:val="20"/>
        </w:rPr>
        <w:t>time</w:t>
      </w:r>
      <w:r>
        <w:rPr>
          <w:spacing w:val="-12"/>
          <w:sz w:val="20"/>
        </w:rPr>
        <w:t> </w:t>
      </w:r>
      <w:r>
        <w:rPr>
          <w:sz w:val="20"/>
        </w:rPr>
        <w:t>of</w:t>
      </w:r>
      <w:r>
        <w:rPr>
          <w:spacing w:val="-7"/>
          <w:sz w:val="20"/>
        </w:rPr>
        <w:t> </w:t>
      </w:r>
      <w:r>
        <w:rPr>
          <w:sz w:val="20"/>
        </w:rPr>
        <w:t>the</w:t>
      </w:r>
      <w:r>
        <w:rPr>
          <w:spacing w:val="-10"/>
          <w:sz w:val="20"/>
        </w:rPr>
        <w:t> </w:t>
      </w:r>
      <w:r>
        <w:rPr>
          <w:sz w:val="20"/>
        </w:rPr>
        <w:t>segmentation</w:t>
      </w:r>
      <w:r>
        <w:rPr>
          <w:spacing w:val="-12"/>
          <w:sz w:val="20"/>
        </w:rPr>
        <w:t> </w:t>
      </w:r>
      <w:r>
        <w:rPr>
          <w:sz w:val="20"/>
        </w:rPr>
        <w:t>basis)</w:t>
      </w:r>
      <w:r>
        <w:rPr>
          <w:spacing w:val="-9"/>
          <w:sz w:val="20"/>
        </w:rPr>
        <w:t> </w:t>
      </w:r>
      <w:r>
        <w:rPr>
          <w:sz w:val="20"/>
        </w:rPr>
        <w:t>and</w:t>
      </w:r>
      <w:r>
        <w:rPr>
          <w:spacing w:val="-9"/>
          <w:sz w:val="20"/>
        </w:rPr>
        <w:t> </w:t>
      </w:r>
      <w:r>
        <w:rPr>
          <w:sz w:val="20"/>
        </w:rPr>
        <w:t>the</w:t>
      </w:r>
      <w:r>
        <w:rPr>
          <w:spacing w:val="-12"/>
          <w:sz w:val="20"/>
        </w:rPr>
        <w:t> </w:t>
      </w:r>
      <w:r>
        <w:rPr>
          <w:sz w:val="20"/>
        </w:rPr>
        <w:t>need</w:t>
      </w:r>
      <w:r>
        <w:rPr>
          <w:spacing w:val="-12"/>
          <w:sz w:val="20"/>
        </w:rPr>
        <w:t> </w:t>
      </w:r>
      <w:r>
        <w:rPr>
          <w:sz w:val="20"/>
        </w:rPr>
        <w:t>to</w:t>
      </w:r>
      <w:r>
        <w:rPr>
          <w:spacing w:val="-12"/>
          <w:sz w:val="20"/>
        </w:rPr>
        <w:t> </w:t>
      </w:r>
      <w:r>
        <w:rPr>
          <w:sz w:val="20"/>
        </w:rPr>
        <w:t>guard</w:t>
      </w:r>
      <w:r>
        <w:rPr>
          <w:spacing w:val="-12"/>
          <w:sz w:val="20"/>
        </w:rPr>
        <w:t> </w:t>
      </w:r>
      <w:r>
        <w:rPr>
          <w:sz w:val="20"/>
        </w:rPr>
        <w:t>against tax</w:t>
      </w:r>
      <w:r>
        <w:rPr>
          <w:spacing w:val="-9"/>
          <w:sz w:val="20"/>
        </w:rPr>
        <w:t> </w:t>
      </w:r>
      <w:r>
        <w:rPr>
          <w:sz w:val="20"/>
        </w:rPr>
        <w:t>avoidance</w:t>
      </w:r>
      <w:r>
        <w:rPr>
          <w:spacing w:val="-9"/>
          <w:sz w:val="20"/>
        </w:rPr>
        <w:t> </w:t>
      </w:r>
      <w:r>
        <w:rPr>
          <w:sz w:val="20"/>
        </w:rPr>
        <w:t>arrangements;</w:t>
      </w:r>
      <w:r>
        <w:rPr>
          <w:spacing w:val="-9"/>
          <w:sz w:val="20"/>
        </w:rPr>
        <w:t> </w:t>
      </w:r>
      <w:r>
        <w:rPr>
          <w:sz w:val="20"/>
        </w:rPr>
        <w:t>and</w:t>
      </w:r>
      <w:r>
        <w:rPr>
          <w:spacing w:val="-9"/>
          <w:sz w:val="20"/>
        </w:rPr>
        <w:t> </w:t>
      </w:r>
      <w:r>
        <w:rPr>
          <w:sz w:val="20"/>
        </w:rPr>
        <w:t>possible</w:t>
      </w:r>
      <w:r>
        <w:rPr>
          <w:spacing w:val="-9"/>
          <w:sz w:val="20"/>
        </w:rPr>
        <w:t> </w:t>
      </w:r>
      <w:r>
        <w:rPr>
          <w:sz w:val="20"/>
        </w:rPr>
        <w:t>impact</w:t>
      </w:r>
      <w:r>
        <w:rPr>
          <w:spacing w:val="-9"/>
          <w:sz w:val="20"/>
        </w:rPr>
        <w:t> </w:t>
      </w:r>
      <w:r>
        <w:rPr>
          <w:sz w:val="20"/>
        </w:rPr>
        <w:t>on</w:t>
      </w:r>
      <w:r>
        <w:rPr>
          <w:spacing w:val="-10"/>
          <w:sz w:val="20"/>
        </w:rPr>
        <w:t> </w:t>
      </w:r>
      <w:r>
        <w:rPr>
          <w:sz w:val="20"/>
        </w:rPr>
        <w:t>the</w:t>
      </w:r>
      <w:r>
        <w:rPr>
          <w:spacing w:val="-9"/>
          <w:sz w:val="20"/>
        </w:rPr>
        <w:t> </w:t>
      </w:r>
      <w:r>
        <w:rPr>
          <w:sz w:val="20"/>
        </w:rPr>
        <w:t>allocation</w:t>
      </w:r>
      <w:r>
        <w:rPr>
          <w:spacing w:val="-7"/>
          <w:sz w:val="20"/>
        </w:rPr>
        <w:t> </w:t>
      </w:r>
      <w:r>
        <w:rPr>
          <w:sz w:val="20"/>
        </w:rPr>
        <w:t>of</w:t>
      </w:r>
      <w:r>
        <w:rPr>
          <w:spacing w:val="-7"/>
          <w:sz w:val="20"/>
        </w:rPr>
        <w:t> </w:t>
      </w:r>
      <w:r>
        <w:rPr>
          <w:sz w:val="20"/>
        </w:rPr>
        <w:t>taxing</w:t>
      </w:r>
      <w:r>
        <w:rPr>
          <w:spacing w:val="-9"/>
          <w:sz w:val="20"/>
        </w:rPr>
        <w:t> </w:t>
      </w:r>
      <w:r>
        <w:rPr>
          <w:sz w:val="20"/>
        </w:rPr>
        <w:t>rights.</w:t>
      </w:r>
      <w:r>
        <w:rPr>
          <w:spacing w:val="-7"/>
          <w:sz w:val="20"/>
        </w:rPr>
        <w:t> </w:t>
      </w:r>
      <w:r>
        <w:rPr>
          <w:sz w:val="20"/>
        </w:rPr>
        <w:t>Accordingly,</w:t>
      </w:r>
      <w:r>
        <w:rPr>
          <w:spacing w:val="-9"/>
          <w:sz w:val="20"/>
        </w:rPr>
        <w:t> </w:t>
      </w:r>
      <w:r>
        <w:rPr>
          <w:sz w:val="20"/>
        </w:rPr>
        <w:t>a</w:t>
      </w:r>
      <w:r>
        <w:rPr>
          <w:spacing w:val="-7"/>
          <w:sz w:val="20"/>
        </w:rPr>
        <w:t> </w:t>
      </w:r>
      <w:r>
        <w:rPr>
          <w:sz w:val="20"/>
        </w:rPr>
        <w:t>number</w:t>
      </w:r>
    </w:p>
    <w:p>
      <w:pPr>
        <w:pStyle w:val="BodyText"/>
      </w:pPr>
    </w:p>
    <w:p>
      <w:pPr>
        <w:pStyle w:val="BodyText"/>
        <w:spacing w:before="10"/>
        <w:rPr>
          <w:sz w:val="22"/>
        </w:rPr>
      </w:pPr>
      <w:r>
        <w:rPr/>
        <w:pict>
          <v:rect style="position:absolute;margin-left:65.183998pt;margin-top:15.130459pt;width:144.020004pt;height:.60004pt;mso-position-horizontal-relative:page;mso-position-vertical-relative:paragraph;z-index:-1566361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19" w:val="left" w:leader="none"/>
        </w:tabs>
        <w:spacing w:line="278" w:lineRule="auto" w:before="94" w:after="0"/>
        <w:ind w:left="723" w:right="481" w:firstLine="0"/>
        <w:jc w:val="both"/>
        <w:rPr>
          <w:sz w:val="18"/>
        </w:rPr>
      </w:pPr>
      <w:r>
        <w:rPr>
          <w:sz w:val="18"/>
        </w:rPr>
        <w:t>Some</w:t>
      </w:r>
      <w:r>
        <w:rPr>
          <w:spacing w:val="-11"/>
          <w:sz w:val="18"/>
        </w:rPr>
        <w:t> </w:t>
      </w:r>
      <w:r>
        <w:rPr>
          <w:sz w:val="18"/>
        </w:rPr>
        <w:t>members</w:t>
      </w:r>
      <w:r>
        <w:rPr>
          <w:spacing w:val="-9"/>
          <w:sz w:val="18"/>
        </w:rPr>
        <w:t> </w:t>
      </w:r>
      <w:r>
        <w:rPr>
          <w:sz w:val="18"/>
        </w:rPr>
        <w:t>of</w:t>
      </w:r>
      <w:r>
        <w:rPr>
          <w:spacing w:val="-11"/>
          <w:sz w:val="18"/>
        </w:rPr>
        <w:t> </w:t>
      </w:r>
      <w:r>
        <w:rPr>
          <w:sz w:val="18"/>
        </w:rPr>
        <w:t>the</w:t>
      </w:r>
      <w:r>
        <w:rPr>
          <w:spacing w:val="-10"/>
          <w:sz w:val="18"/>
        </w:rPr>
        <w:t> </w:t>
      </w:r>
      <w:r>
        <w:rPr>
          <w:sz w:val="18"/>
        </w:rPr>
        <w:t>Inclusive</w:t>
      </w:r>
      <w:r>
        <w:rPr>
          <w:spacing w:val="-10"/>
          <w:sz w:val="18"/>
        </w:rPr>
        <w:t> </w:t>
      </w:r>
      <w:r>
        <w:rPr>
          <w:sz w:val="18"/>
        </w:rPr>
        <w:t>Framework</w:t>
      </w:r>
      <w:r>
        <w:rPr>
          <w:spacing w:val="-8"/>
          <w:sz w:val="18"/>
        </w:rPr>
        <w:t> </w:t>
      </w:r>
      <w:r>
        <w:rPr>
          <w:sz w:val="18"/>
        </w:rPr>
        <w:t>consider</w:t>
      </w:r>
      <w:r>
        <w:rPr>
          <w:spacing w:val="-11"/>
          <w:sz w:val="18"/>
        </w:rPr>
        <w:t> </w:t>
      </w:r>
      <w:r>
        <w:rPr>
          <w:sz w:val="18"/>
        </w:rPr>
        <w:t>the</w:t>
      </w:r>
      <w:r>
        <w:rPr>
          <w:spacing w:val="-11"/>
          <w:sz w:val="18"/>
        </w:rPr>
        <w:t> </w:t>
      </w:r>
      <w:r>
        <w:rPr>
          <w:sz w:val="18"/>
        </w:rPr>
        <w:t>taxation</w:t>
      </w:r>
      <w:r>
        <w:rPr>
          <w:spacing w:val="-10"/>
          <w:sz w:val="18"/>
        </w:rPr>
        <w:t> </w:t>
      </w:r>
      <w:r>
        <w:rPr>
          <w:sz w:val="18"/>
        </w:rPr>
        <w:t>of</w:t>
      </w:r>
      <w:r>
        <w:rPr>
          <w:spacing w:val="-10"/>
          <w:sz w:val="18"/>
        </w:rPr>
        <w:t> </w:t>
      </w:r>
      <w:r>
        <w:rPr>
          <w:sz w:val="18"/>
        </w:rPr>
        <w:t>Amount</w:t>
      </w:r>
      <w:r>
        <w:rPr>
          <w:spacing w:val="-4"/>
          <w:sz w:val="18"/>
        </w:rPr>
        <w:t> </w:t>
      </w:r>
      <w:r>
        <w:rPr>
          <w:sz w:val="18"/>
        </w:rPr>
        <w:t>A</w:t>
      </w:r>
      <w:r>
        <w:rPr>
          <w:spacing w:val="-11"/>
          <w:sz w:val="18"/>
        </w:rPr>
        <w:t> </w:t>
      </w:r>
      <w:r>
        <w:rPr>
          <w:sz w:val="18"/>
        </w:rPr>
        <w:t>profit</w:t>
      </w:r>
      <w:r>
        <w:rPr>
          <w:spacing w:val="-11"/>
          <w:sz w:val="18"/>
        </w:rPr>
        <w:t> </w:t>
      </w:r>
      <w:r>
        <w:rPr>
          <w:sz w:val="18"/>
        </w:rPr>
        <w:t>net</w:t>
      </w:r>
      <w:r>
        <w:rPr>
          <w:spacing w:val="-10"/>
          <w:sz w:val="18"/>
        </w:rPr>
        <w:t> </w:t>
      </w:r>
      <w:r>
        <w:rPr>
          <w:sz w:val="18"/>
        </w:rPr>
        <w:t>of</w:t>
      </w:r>
      <w:r>
        <w:rPr>
          <w:spacing w:val="-10"/>
          <w:sz w:val="18"/>
        </w:rPr>
        <w:t> </w:t>
      </w:r>
      <w:r>
        <w:rPr>
          <w:sz w:val="18"/>
        </w:rPr>
        <w:t>any</w:t>
      </w:r>
      <w:r>
        <w:rPr>
          <w:spacing w:val="-13"/>
          <w:sz w:val="18"/>
        </w:rPr>
        <w:t> </w:t>
      </w:r>
      <w:r>
        <w:rPr>
          <w:sz w:val="18"/>
        </w:rPr>
        <w:t>losses</w:t>
      </w:r>
      <w:r>
        <w:rPr>
          <w:spacing w:val="-10"/>
          <w:sz w:val="18"/>
        </w:rPr>
        <w:t> </w:t>
      </w:r>
      <w:r>
        <w:rPr>
          <w:sz w:val="18"/>
        </w:rPr>
        <w:t>as</w:t>
      </w:r>
      <w:r>
        <w:rPr>
          <w:spacing w:val="-10"/>
          <w:sz w:val="18"/>
        </w:rPr>
        <w:t> </w:t>
      </w:r>
      <w:r>
        <w:rPr>
          <w:sz w:val="18"/>
        </w:rPr>
        <w:t>the</w:t>
      </w:r>
      <w:r>
        <w:rPr>
          <w:spacing w:val="-11"/>
          <w:sz w:val="18"/>
        </w:rPr>
        <w:t> </w:t>
      </w:r>
      <w:r>
        <w:rPr>
          <w:sz w:val="18"/>
        </w:rPr>
        <w:t>priority, and support unlimited carry-forward (typically, jurisdictions with no time limitations in their domestic carry-forward regimes). Other members are concerned about the administrative challenges created by unlimited carry forward, including the opportunities for manipulation and abuse. They therefore favour a time limit. These members also generally consider that the need for time limitations is proportionate to the amount of losses at stake, and hence that the possible inclusion of profit shortfalls should be considered in deciding this</w:t>
      </w:r>
      <w:r>
        <w:rPr>
          <w:spacing w:val="-10"/>
          <w:sz w:val="18"/>
        </w:rPr>
        <w:t> </w:t>
      </w:r>
      <w:r>
        <w:rPr>
          <w:sz w:val="18"/>
        </w:rPr>
        <w:t>issue.</w:t>
      </w:r>
    </w:p>
    <w:p>
      <w:pPr>
        <w:pStyle w:val="ListParagraph"/>
        <w:numPr>
          <w:ilvl w:val="0"/>
          <w:numId w:val="14"/>
        </w:numPr>
        <w:tabs>
          <w:tab w:pos="921" w:val="left" w:leader="none"/>
        </w:tabs>
        <w:spacing w:line="278" w:lineRule="auto" w:before="77" w:after="0"/>
        <w:ind w:left="723" w:right="485" w:firstLine="0"/>
        <w:jc w:val="both"/>
        <w:rPr>
          <w:sz w:val="18"/>
        </w:rPr>
      </w:pPr>
      <w:r>
        <w:rPr>
          <w:sz w:val="18"/>
        </w:rPr>
        <w:t>A</w:t>
      </w:r>
      <w:r>
        <w:rPr>
          <w:spacing w:val="-9"/>
          <w:sz w:val="18"/>
        </w:rPr>
        <w:t> </w:t>
      </w:r>
      <w:r>
        <w:rPr>
          <w:sz w:val="18"/>
        </w:rPr>
        <w:t>business</w:t>
      </w:r>
      <w:r>
        <w:rPr>
          <w:spacing w:val="-8"/>
          <w:sz w:val="18"/>
        </w:rPr>
        <w:t> </w:t>
      </w:r>
      <w:r>
        <w:rPr>
          <w:sz w:val="18"/>
        </w:rPr>
        <w:t>reorganisation</w:t>
      </w:r>
      <w:r>
        <w:rPr>
          <w:spacing w:val="-9"/>
          <w:sz w:val="18"/>
        </w:rPr>
        <w:t> </w:t>
      </w:r>
      <w:r>
        <w:rPr>
          <w:sz w:val="18"/>
        </w:rPr>
        <w:t>here</w:t>
      </w:r>
      <w:r>
        <w:rPr>
          <w:spacing w:val="-8"/>
          <w:sz w:val="18"/>
        </w:rPr>
        <w:t> </w:t>
      </w:r>
      <w:r>
        <w:rPr>
          <w:sz w:val="18"/>
        </w:rPr>
        <w:t>means</w:t>
      </w:r>
      <w:r>
        <w:rPr>
          <w:spacing w:val="-11"/>
          <w:sz w:val="18"/>
        </w:rPr>
        <w:t> </w:t>
      </w:r>
      <w:r>
        <w:rPr>
          <w:sz w:val="18"/>
        </w:rPr>
        <w:t>any</w:t>
      </w:r>
      <w:r>
        <w:rPr>
          <w:spacing w:val="-7"/>
          <w:sz w:val="18"/>
        </w:rPr>
        <w:t> </w:t>
      </w:r>
      <w:r>
        <w:rPr>
          <w:sz w:val="18"/>
        </w:rPr>
        <w:t>situation</w:t>
      </w:r>
      <w:r>
        <w:rPr>
          <w:spacing w:val="-7"/>
          <w:sz w:val="18"/>
        </w:rPr>
        <w:t> </w:t>
      </w:r>
      <w:r>
        <w:rPr>
          <w:sz w:val="18"/>
        </w:rPr>
        <w:t>where</w:t>
      </w:r>
      <w:r>
        <w:rPr>
          <w:spacing w:val="-9"/>
          <w:sz w:val="18"/>
        </w:rPr>
        <w:t> </w:t>
      </w:r>
      <w:r>
        <w:rPr>
          <w:sz w:val="18"/>
        </w:rPr>
        <w:t>one</w:t>
      </w:r>
      <w:r>
        <w:rPr>
          <w:spacing w:val="-9"/>
          <w:sz w:val="18"/>
        </w:rPr>
        <w:t> </w:t>
      </w:r>
      <w:r>
        <w:rPr>
          <w:sz w:val="18"/>
        </w:rPr>
        <w:t>or</w:t>
      </w:r>
      <w:r>
        <w:rPr>
          <w:spacing w:val="-11"/>
          <w:sz w:val="18"/>
        </w:rPr>
        <w:t> </w:t>
      </w:r>
      <w:r>
        <w:rPr>
          <w:sz w:val="18"/>
        </w:rPr>
        <w:t>more</w:t>
      </w:r>
      <w:r>
        <w:rPr>
          <w:spacing w:val="-11"/>
          <w:sz w:val="18"/>
        </w:rPr>
        <w:t> </w:t>
      </w:r>
      <w:r>
        <w:rPr>
          <w:sz w:val="18"/>
        </w:rPr>
        <w:t>members</w:t>
      </w:r>
      <w:r>
        <w:rPr>
          <w:spacing w:val="-7"/>
          <w:sz w:val="18"/>
        </w:rPr>
        <w:t> </w:t>
      </w:r>
      <w:r>
        <w:rPr>
          <w:sz w:val="18"/>
        </w:rPr>
        <w:t>of</w:t>
      </w:r>
      <w:r>
        <w:rPr>
          <w:spacing w:val="-11"/>
          <w:sz w:val="18"/>
        </w:rPr>
        <w:t> </w:t>
      </w:r>
      <w:r>
        <w:rPr>
          <w:sz w:val="18"/>
        </w:rPr>
        <w:t>the</w:t>
      </w:r>
      <w:r>
        <w:rPr>
          <w:spacing w:val="-9"/>
          <w:sz w:val="18"/>
        </w:rPr>
        <w:t> </w:t>
      </w:r>
      <w:r>
        <w:rPr>
          <w:sz w:val="18"/>
        </w:rPr>
        <w:t>MNE</w:t>
      </w:r>
      <w:r>
        <w:rPr>
          <w:spacing w:val="-9"/>
          <w:sz w:val="18"/>
        </w:rPr>
        <w:t> </w:t>
      </w:r>
      <w:r>
        <w:rPr>
          <w:sz w:val="18"/>
        </w:rPr>
        <w:t>group,</w:t>
      </w:r>
      <w:r>
        <w:rPr>
          <w:spacing w:val="-11"/>
          <w:sz w:val="18"/>
        </w:rPr>
        <w:t> </w:t>
      </w:r>
      <w:r>
        <w:rPr>
          <w:sz w:val="18"/>
        </w:rPr>
        <w:t>or</w:t>
      </w:r>
      <w:r>
        <w:rPr>
          <w:spacing w:val="-8"/>
          <w:sz w:val="18"/>
        </w:rPr>
        <w:t> </w:t>
      </w:r>
      <w:r>
        <w:rPr>
          <w:sz w:val="18"/>
        </w:rPr>
        <w:t>one</w:t>
      </w:r>
      <w:r>
        <w:rPr>
          <w:spacing w:val="-9"/>
          <w:sz w:val="18"/>
        </w:rPr>
        <w:t> </w:t>
      </w:r>
      <w:r>
        <w:rPr>
          <w:sz w:val="18"/>
        </w:rPr>
        <w:t>or</w:t>
      </w:r>
      <w:r>
        <w:rPr>
          <w:spacing w:val="-12"/>
          <w:sz w:val="18"/>
        </w:rPr>
        <w:t> </w:t>
      </w:r>
      <w:r>
        <w:rPr>
          <w:sz w:val="18"/>
        </w:rPr>
        <w:t>more business asset or branch within the group, are transferred and become part of another group, or another business or branch</w:t>
      </w:r>
      <w:r>
        <w:rPr>
          <w:spacing w:val="-10"/>
          <w:sz w:val="18"/>
        </w:rPr>
        <w:t> </w:t>
      </w:r>
      <w:r>
        <w:rPr>
          <w:sz w:val="18"/>
        </w:rPr>
        <w:t>within</w:t>
      </w:r>
      <w:r>
        <w:rPr>
          <w:spacing w:val="-9"/>
          <w:sz w:val="18"/>
        </w:rPr>
        <w:t> </w:t>
      </w:r>
      <w:r>
        <w:rPr>
          <w:sz w:val="18"/>
        </w:rPr>
        <w:t>the</w:t>
      </w:r>
      <w:r>
        <w:rPr>
          <w:spacing w:val="-11"/>
          <w:sz w:val="18"/>
        </w:rPr>
        <w:t> </w:t>
      </w:r>
      <w:r>
        <w:rPr>
          <w:sz w:val="18"/>
        </w:rPr>
        <w:t>same</w:t>
      </w:r>
      <w:r>
        <w:rPr>
          <w:spacing w:val="-9"/>
          <w:sz w:val="18"/>
        </w:rPr>
        <w:t> </w:t>
      </w:r>
      <w:r>
        <w:rPr>
          <w:sz w:val="18"/>
        </w:rPr>
        <w:t>group.</w:t>
      </w:r>
      <w:r>
        <w:rPr>
          <w:spacing w:val="-11"/>
          <w:sz w:val="18"/>
        </w:rPr>
        <w:t> </w:t>
      </w:r>
      <w:r>
        <w:rPr>
          <w:sz w:val="18"/>
        </w:rPr>
        <w:t>This</w:t>
      </w:r>
      <w:r>
        <w:rPr>
          <w:spacing w:val="-8"/>
          <w:sz w:val="18"/>
        </w:rPr>
        <w:t> </w:t>
      </w:r>
      <w:r>
        <w:rPr>
          <w:sz w:val="18"/>
        </w:rPr>
        <w:t>includes</w:t>
      </w:r>
      <w:r>
        <w:rPr>
          <w:spacing w:val="-8"/>
          <w:sz w:val="18"/>
        </w:rPr>
        <w:t> </w:t>
      </w:r>
      <w:r>
        <w:rPr>
          <w:sz w:val="18"/>
        </w:rPr>
        <w:t>therefore</w:t>
      </w:r>
      <w:r>
        <w:rPr>
          <w:spacing w:val="-9"/>
          <w:sz w:val="18"/>
        </w:rPr>
        <w:t> </w:t>
      </w:r>
      <w:r>
        <w:rPr>
          <w:sz w:val="18"/>
        </w:rPr>
        <w:t>changes</w:t>
      </w:r>
      <w:r>
        <w:rPr>
          <w:spacing w:val="-8"/>
          <w:sz w:val="18"/>
        </w:rPr>
        <w:t> </w:t>
      </w:r>
      <w:r>
        <w:rPr>
          <w:sz w:val="18"/>
        </w:rPr>
        <w:t>to</w:t>
      </w:r>
      <w:r>
        <w:rPr>
          <w:spacing w:val="-8"/>
          <w:sz w:val="18"/>
        </w:rPr>
        <w:t> </w:t>
      </w:r>
      <w:r>
        <w:rPr>
          <w:sz w:val="18"/>
        </w:rPr>
        <w:t>the</w:t>
      </w:r>
      <w:r>
        <w:rPr>
          <w:spacing w:val="-11"/>
          <w:sz w:val="18"/>
        </w:rPr>
        <w:t> </w:t>
      </w:r>
      <w:r>
        <w:rPr>
          <w:sz w:val="18"/>
        </w:rPr>
        <w:t>organisation</w:t>
      </w:r>
      <w:r>
        <w:rPr>
          <w:spacing w:val="-9"/>
          <w:sz w:val="18"/>
        </w:rPr>
        <w:t> </w:t>
      </w:r>
      <w:r>
        <w:rPr>
          <w:sz w:val="18"/>
        </w:rPr>
        <w:t>of</w:t>
      </w:r>
      <w:r>
        <w:rPr>
          <w:spacing w:val="-9"/>
          <w:sz w:val="18"/>
        </w:rPr>
        <w:t> </w:t>
      </w:r>
      <w:r>
        <w:rPr>
          <w:sz w:val="18"/>
        </w:rPr>
        <w:t>a</w:t>
      </w:r>
      <w:r>
        <w:rPr>
          <w:spacing w:val="-10"/>
          <w:sz w:val="18"/>
        </w:rPr>
        <w:t> </w:t>
      </w:r>
      <w:r>
        <w:rPr>
          <w:sz w:val="18"/>
        </w:rPr>
        <w:t>business</w:t>
      </w:r>
      <w:r>
        <w:rPr>
          <w:spacing w:val="-8"/>
          <w:sz w:val="18"/>
        </w:rPr>
        <w:t> </w:t>
      </w:r>
      <w:r>
        <w:rPr>
          <w:sz w:val="18"/>
        </w:rPr>
        <w:t>that</w:t>
      </w:r>
      <w:r>
        <w:rPr>
          <w:spacing w:val="-9"/>
          <w:sz w:val="18"/>
        </w:rPr>
        <w:t> </w:t>
      </w:r>
      <w:r>
        <w:rPr>
          <w:sz w:val="18"/>
        </w:rPr>
        <w:t>leads</w:t>
      </w:r>
      <w:r>
        <w:rPr>
          <w:spacing w:val="-8"/>
          <w:sz w:val="18"/>
        </w:rPr>
        <w:t> </w:t>
      </w:r>
      <w:r>
        <w:rPr>
          <w:sz w:val="18"/>
        </w:rPr>
        <w:t>to</w:t>
      </w:r>
      <w:r>
        <w:rPr>
          <w:spacing w:val="-8"/>
          <w:sz w:val="18"/>
        </w:rPr>
        <w:t> </w:t>
      </w:r>
      <w:r>
        <w:rPr>
          <w:sz w:val="18"/>
        </w:rPr>
        <w:t>changes to the segmentation basis (see section</w:t>
      </w:r>
      <w:r>
        <w:rPr>
          <w:spacing w:val="-2"/>
          <w:sz w:val="18"/>
        </w:rPr>
        <w:t> </w:t>
      </w:r>
      <w:hyperlink w:history="true" w:anchor="_bookmark31">
        <w:r>
          <w:rPr>
            <w:sz w:val="18"/>
          </w:rPr>
          <w:t>5.3</w:t>
        </w:r>
      </w:hyperlink>
      <w:r>
        <w:rPr>
          <w:sz w:val="18"/>
        </w:rPr>
        <w: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29"/>
      </w:pPr>
      <w:r>
        <w:rPr/>
        <w:t>of simplifications will be considered to deliver these results, including, for example, the use of allocation keys to allocate unrelieved losses.</w:t>
      </w:r>
    </w:p>
    <w:p>
      <w:pPr>
        <w:pStyle w:val="BodyText"/>
        <w:spacing w:before="3"/>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4.5. Interactions with domestic carry-" w:id="257"/>
      <w:bookmarkEnd w:id="257"/>
      <w:r>
        <w:rPr>
          <w:b w:val="0"/>
          <w:i w:val="0"/>
        </w:rPr>
      </w:r>
      <w:bookmarkStart w:name="5.4.5. Interactions with domestic carry-" w:id="258"/>
      <w:bookmarkEnd w:id="258"/>
      <w:r>
        <w:rPr>
          <w:i/>
        </w:rPr>
        <w:t>Intera</w:t>
      </w:r>
      <w:r>
        <w:rPr>
          <w:i/>
        </w:rPr>
        <w:t>ctions with domestic carry-forward</w:t>
      </w:r>
      <w:r>
        <w:rPr>
          <w:i/>
          <w:spacing w:val="-7"/>
        </w:rPr>
        <w:t> </w:t>
      </w:r>
      <w:r>
        <w:rPr>
          <w:i/>
        </w:rPr>
        <w:t>regimes</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Consistent with the features described above, and the fact that Amount A has its own tax base, the Amount A carry-forward regime will be kept separate from any existing domestic loss carry-forward regime. This means that losses generated at entity level under the ALP-based profit allocation system (“entity-level</w:t>
      </w:r>
      <w:r>
        <w:rPr>
          <w:spacing w:val="-8"/>
          <w:sz w:val="20"/>
        </w:rPr>
        <w:t> </w:t>
      </w:r>
      <w:r>
        <w:rPr>
          <w:sz w:val="20"/>
        </w:rPr>
        <w:t>losses”)</w:t>
      </w:r>
      <w:r>
        <w:rPr>
          <w:spacing w:val="-6"/>
          <w:sz w:val="20"/>
        </w:rPr>
        <w:t> </w:t>
      </w:r>
      <w:r>
        <w:rPr>
          <w:sz w:val="20"/>
        </w:rPr>
        <w:t>would</w:t>
      </w:r>
      <w:r>
        <w:rPr>
          <w:spacing w:val="-2"/>
          <w:sz w:val="20"/>
        </w:rPr>
        <w:t> </w:t>
      </w:r>
      <w:r>
        <w:rPr>
          <w:sz w:val="20"/>
        </w:rPr>
        <w:t>not</w:t>
      </w:r>
      <w:r>
        <w:rPr>
          <w:spacing w:val="-6"/>
          <w:sz w:val="20"/>
        </w:rPr>
        <w:t> </w:t>
      </w:r>
      <w:r>
        <w:rPr>
          <w:sz w:val="20"/>
        </w:rPr>
        <w:t>alter</w:t>
      </w:r>
      <w:r>
        <w:rPr>
          <w:spacing w:val="-6"/>
          <w:sz w:val="20"/>
        </w:rPr>
        <w:t> </w:t>
      </w:r>
      <w:r>
        <w:rPr>
          <w:sz w:val="20"/>
        </w:rPr>
        <w:t>the</w:t>
      </w:r>
      <w:r>
        <w:rPr>
          <w:spacing w:val="-6"/>
          <w:sz w:val="20"/>
        </w:rPr>
        <w:t> </w:t>
      </w:r>
      <w:r>
        <w:rPr>
          <w:sz w:val="20"/>
        </w:rPr>
        <w:t>Amount</w:t>
      </w:r>
      <w:r>
        <w:rPr>
          <w:spacing w:val="-7"/>
          <w:sz w:val="20"/>
        </w:rPr>
        <w:t> </w:t>
      </w:r>
      <w:r>
        <w:rPr>
          <w:sz w:val="20"/>
        </w:rPr>
        <w:t>A</w:t>
      </w:r>
      <w:r>
        <w:rPr>
          <w:spacing w:val="-7"/>
          <w:sz w:val="20"/>
        </w:rPr>
        <w:t> </w:t>
      </w:r>
      <w:r>
        <w:rPr>
          <w:sz w:val="20"/>
        </w:rPr>
        <w:t>tax</w:t>
      </w:r>
      <w:r>
        <w:rPr>
          <w:spacing w:val="-3"/>
          <w:sz w:val="20"/>
        </w:rPr>
        <w:t> </w:t>
      </w:r>
      <w:r>
        <w:rPr>
          <w:sz w:val="20"/>
        </w:rPr>
        <w:t>base,</w:t>
      </w:r>
      <w:r>
        <w:rPr>
          <w:spacing w:val="-7"/>
          <w:sz w:val="20"/>
        </w:rPr>
        <w:t> </w:t>
      </w:r>
      <w:r>
        <w:rPr>
          <w:sz w:val="20"/>
        </w:rPr>
        <w:t>nor</w:t>
      </w:r>
      <w:r>
        <w:rPr>
          <w:spacing w:val="-5"/>
          <w:sz w:val="20"/>
        </w:rPr>
        <w:t> </w:t>
      </w:r>
      <w:r>
        <w:rPr>
          <w:sz w:val="20"/>
        </w:rPr>
        <w:t>would</w:t>
      </w:r>
      <w:r>
        <w:rPr>
          <w:spacing w:val="-1"/>
          <w:sz w:val="20"/>
        </w:rPr>
        <w:t> </w:t>
      </w:r>
      <w:r>
        <w:rPr>
          <w:sz w:val="20"/>
        </w:rPr>
        <w:t>Amount</w:t>
      </w:r>
      <w:r>
        <w:rPr>
          <w:spacing w:val="-7"/>
          <w:sz w:val="20"/>
        </w:rPr>
        <w:t> </w:t>
      </w:r>
      <w:r>
        <w:rPr>
          <w:sz w:val="20"/>
        </w:rPr>
        <w:t>A</w:t>
      </w:r>
      <w:r>
        <w:rPr>
          <w:spacing w:val="-4"/>
          <w:sz w:val="20"/>
        </w:rPr>
        <w:t> </w:t>
      </w:r>
      <w:r>
        <w:rPr>
          <w:sz w:val="20"/>
        </w:rPr>
        <w:t>unrelieved</w:t>
      </w:r>
      <w:r>
        <w:rPr>
          <w:spacing w:val="-8"/>
          <w:sz w:val="20"/>
        </w:rPr>
        <w:t> </w:t>
      </w:r>
      <w:r>
        <w:rPr>
          <w:sz w:val="20"/>
        </w:rPr>
        <w:t>losses</w:t>
      </w:r>
      <w:r>
        <w:rPr>
          <w:spacing w:val="-6"/>
          <w:sz w:val="20"/>
        </w:rPr>
        <w:t> </w:t>
      </w:r>
      <w:r>
        <w:rPr>
          <w:sz w:val="20"/>
        </w:rPr>
        <w:t>affect the separate tax base of an MNE group entity determined in accordance with the ALP. In practice, this means</w:t>
      </w:r>
      <w:r>
        <w:rPr>
          <w:spacing w:val="-1"/>
          <w:sz w:val="20"/>
        </w:rPr>
        <w:t> </w:t>
      </w:r>
      <w:r>
        <w:rPr>
          <w:sz w:val="20"/>
        </w:rPr>
        <w:t>that:</w:t>
      </w:r>
    </w:p>
    <w:p>
      <w:pPr>
        <w:pStyle w:val="ListParagraph"/>
        <w:numPr>
          <w:ilvl w:val="1"/>
          <w:numId w:val="13"/>
        </w:numPr>
        <w:tabs>
          <w:tab w:pos="1402" w:val="left" w:leader="none"/>
          <w:tab w:pos="1403" w:val="left" w:leader="none"/>
        </w:tabs>
        <w:spacing w:line="266" w:lineRule="auto" w:before="100" w:after="0"/>
        <w:ind w:left="1402" w:right="494" w:hanging="339"/>
        <w:jc w:val="left"/>
        <w:rPr>
          <w:sz w:val="20"/>
        </w:rPr>
      </w:pPr>
      <w:r>
        <w:rPr>
          <w:sz w:val="20"/>
        </w:rPr>
        <w:t>A group entity liable to pay Amount A (or part of it) would not be able to reduce or eliminate that liability with entity-level</w:t>
      </w:r>
      <w:r>
        <w:rPr>
          <w:spacing w:val="-2"/>
          <w:sz w:val="20"/>
        </w:rPr>
        <w:t> </w:t>
      </w:r>
      <w:r>
        <w:rPr>
          <w:sz w:val="20"/>
        </w:rPr>
        <w:t>losses;</w:t>
      </w:r>
    </w:p>
    <w:p>
      <w:pPr>
        <w:pStyle w:val="ListParagraph"/>
        <w:numPr>
          <w:ilvl w:val="1"/>
          <w:numId w:val="13"/>
        </w:numPr>
        <w:tabs>
          <w:tab w:pos="1402" w:val="left" w:leader="none"/>
          <w:tab w:pos="1403" w:val="left" w:leader="none"/>
        </w:tabs>
        <w:spacing w:line="268" w:lineRule="auto" w:before="52" w:after="0"/>
        <w:ind w:left="1402" w:right="486" w:hanging="339"/>
        <w:jc w:val="left"/>
        <w:rPr>
          <w:sz w:val="20"/>
        </w:rPr>
      </w:pPr>
      <w:r>
        <w:rPr>
          <w:sz w:val="20"/>
        </w:rPr>
        <w:t>Amount A losses of a group (or segment where relevant) would not be offset against the profit of an entity determined under the ALP-based profit allocation system;</w:t>
      </w:r>
      <w:r>
        <w:rPr>
          <w:spacing w:val="-7"/>
          <w:sz w:val="20"/>
        </w:rPr>
        <w:t> </w:t>
      </w:r>
      <w:r>
        <w:rPr>
          <w:sz w:val="20"/>
        </w:rPr>
        <w:t>and</w:t>
      </w:r>
    </w:p>
    <w:p>
      <w:pPr>
        <w:pStyle w:val="ListParagraph"/>
        <w:numPr>
          <w:ilvl w:val="1"/>
          <w:numId w:val="13"/>
        </w:numPr>
        <w:tabs>
          <w:tab w:pos="1402" w:val="left" w:leader="none"/>
          <w:tab w:pos="1403" w:val="left" w:leader="none"/>
        </w:tabs>
        <w:spacing w:line="266" w:lineRule="auto" w:before="49" w:after="0"/>
        <w:ind w:left="1402" w:right="483" w:hanging="339"/>
        <w:jc w:val="left"/>
        <w:rPr>
          <w:sz w:val="20"/>
        </w:rPr>
      </w:pPr>
      <w:r>
        <w:rPr>
          <w:sz w:val="20"/>
        </w:rPr>
        <w:t>Entity-level losses under the ALP-based profit allocation system would generally not be affected by Amount A profit (or</w:t>
      </w:r>
      <w:r>
        <w:rPr>
          <w:spacing w:val="-4"/>
          <w:sz w:val="20"/>
        </w:rPr>
        <w:t> </w:t>
      </w:r>
      <w:r>
        <w:rPr>
          <w:sz w:val="20"/>
        </w:rPr>
        <w:t>tax).</w:t>
      </w:r>
      <w:r>
        <w:rPr>
          <w:sz w:val="20"/>
          <w:vertAlign w:val="superscript"/>
        </w:rPr>
        <w:t>93</w:t>
      </w:r>
    </w:p>
    <w:p>
      <w:pPr>
        <w:pStyle w:val="ListParagraph"/>
        <w:numPr>
          <w:ilvl w:val="0"/>
          <w:numId w:val="13"/>
        </w:numPr>
        <w:tabs>
          <w:tab w:pos="1444" w:val="left" w:leader="none"/>
        </w:tabs>
        <w:spacing w:line="271" w:lineRule="auto" w:before="134" w:after="0"/>
        <w:ind w:left="723" w:right="483" w:firstLine="0"/>
        <w:jc w:val="both"/>
        <w:rPr>
          <w:sz w:val="20"/>
        </w:rPr>
      </w:pPr>
      <w:r>
        <w:rPr>
          <w:sz w:val="20"/>
        </w:rPr>
        <w:t>There is a separate question whether entity-level losses, if not considered for computing the Amount A tax base, could be taken into account for determining the identity of the entity or entities in the group (or segment) that would bear the Amount A tax liability (for the purpose of eliminating double taxation). The mechanism to eliminate double taxation arising from Amount A is based on different steps (e.g. activity test, profitability test), and including in one of these steps the consideration of entity level losses is under consideration as part of the work on elimination of double taxation (see section</w:t>
      </w:r>
      <w:r>
        <w:rPr>
          <w:spacing w:val="-39"/>
          <w:sz w:val="20"/>
        </w:rPr>
        <w:t> </w:t>
      </w:r>
      <w:r>
        <w:rPr>
          <w:sz w:val="20"/>
        </w:rPr>
        <w:t>7.2.6.).</w:t>
      </w:r>
    </w:p>
    <w:p>
      <w:pPr>
        <w:pStyle w:val="BodyText"/>
        <w:spacing w:before="5"/>
        <w:rPr>
          <w:sz w:val="23"/>
        </w:rPr>
      </w:pPr>
    </w:p>
    <w:p>
      <w:pPr>
        <w:pStyle w:val="Heading6"/>
        <w:numPr>
          <w:ilvl w:val="2"/>
          <w:numId w:val="59"/>
        </w:numPr>
        <w:tabs>
          <w:tab w:pos="2015" w:val="left" w:leader="none"/>
        </w:tabs>
        <w:spacing w:line="240" w:lineRule="auto" w:before="1" w:after="0"/>
        <w:ind w:left="2014" w:right="0" w:hanging="613"/>
        <w:jc w:val="left"/>
        <w:rPr>
          <w:i/>
        </w:rPr>
      </w:pPr>
      <w:bookmarkStart w:name="5.4.6. Profit shortfalls" w:id="259"/>
      <w:bookmarkEnd w:id="259"/>
      <w:r>
        <w:rPr>
          <w:b w:val="0"/>
          <w:i w:val="0"/>
        </w:rPr>
      </w:r>
      <w:bookmarkStart w:name="_bookmark37" w:id="260"/>
      <w:bookmarkEnd w:id="260"/>
      <w:r>
        <w:rPr>
          <w:b w:val="0"/>
          <w:i w:val="0"/>
        </w:rPr>
      </w:r>
      <w:bookmarkStart w:name="_bookmark37" w:id="261"/>
      <w:bookmarkEnd w:id="261"/>
      <w:r>
        <w:rPr>
          <w:i/>
        </w:rPr>
        <w:t>Pro</w:t>
      </w:r>
      <w:r>
        <w:rPr>
          <w:i/>
        </w:rPr>
        <w:t>fit shortfalls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Some Inclusive Framework members proposed that the Amount A carry-forward regime should accommodate, in addition to economic losses, “profit shortfalls”. They consider that where the Amount A profit</w:t>
      </w:r>
      <w:r>
        <w:rPr>
          <w:spacing w:val="-16"/>
          <w:sz w:val="20"/>
        </w:rPr>
        <w:t> </w:t>
      </w:r>
      <w:r>
        <w:rPr>
          <w:sz w:val="20"/>
        </w:rPr>
        <w:t>of</w:t>
      </w:r>
      <w:r>
        <w:rPr>
          <w:spacing w:val="-13"/>
          <w:sz w:val="20"/>
        </w:rPr>
        <w:t> </w:t>
      </w:r>
      <w:r>
        <w:rPr>
          <w:sz w:val="20"/>
        </w:rPr>
        <w:t>a</w:t>
      </w:r>
      <w:r>
        <w:rPr>
          <w:spacing w:val="-12"/>
          <w:sz w:val="20"/>
        </w:rPr>
        <w:t> </w:t>
      </w:r>
      <w:r>
        <w:rPr>
          <w:sz w:val="20"/>
        </w:rPr>
        <w:t>group</w:t>
      </w:r>
      <w:r>
        <w:rPr>
          <w:spacing w:val="-13"/>
          <w:sz w:val="20"/>
        </w:rPr>
        <w:t> </w:t>
      </w:r>
      <w:r>
        <w:rPr>
          <w:sz w:val="20"/>
        </w:rPr>
        <w:t>(or</w:t>
      </w:r>
      <w:r>
        <w:rPr>
          <w:spacing w:val="-14"/>
          <w:sz w:val="20"/>
        </w:rPr>
        <w:t> </w:t>
      </w:r>
      <w:r>
        <w:rPr>
          <w:sz w:val="20"/>
        </w:rPr>
        <w:t>segment)</w:t>
      </w:r>
      <w:r>
        <w:rPr>
          <w:spacing w:val="-13"/>
          <w:sz w:val="20"/>
        </w:rPr>
        <w:t> </w:t>
      </w:r>
      <w:r>
        <w:rPr>
          <w:sz w:val="20"/>
        </w:rPr>
        <w:t>in</w:t>
      </w:r>
      <w:r>
        <w:rPr>
          <w:spacing w:val="-14"/>
          <w:sz w:val="20"/>
        </w:rPr>
        <w:t> </w:t>
      </w:r>
      <w:r>
        <w:rPr>
          <w:sz w:val="20"/>
        </w:rPr>
        <w:t>a</w:t>
      </w:r>
      <w:r>
        <w:rPr>
          <w:spacing w:val="-13"/>
          <w:sz w:val="20"/>
        </w:rPr>
        <w:t> </w:t>
      </w:r>
      <w:r>
        <w:rPr>
          <w:sz w:val="20"/>
        </w:rPr>
        <w:t>given</w:t>
      </w:r>
      <w:r>
        <w:rPr>
          <w:spacing w:val="-13"/>
          <w:sz w:val="20"/>
        </w:rPr>
        <w:t> </w:t>
      </w:r>
      <w:r>
        <w:rPr>
          <w:sz w:val="20"/>
        </w:rPr>
        <w:t>period</w:t>
      </w:r>
      <w:r>
        <w:rPr>
          <w:spacing w:val="-13"/>
          <w:sz w:val="20"/>
        </w:rPr>
        <w:t> </w:t>
      </w:r>
      <w:r>
        <w:rPr>
          <w:sz w:val="20"/>
        </w:rPr>
        <w:t>falls</w:t>
      </w:r>
      <w:r>
        <w:rPr>
          <w:spacing w:val="-14"/>
          <w:sz w:val="20"/>
        </w:rPr>
        <w:t> </w:t>
      </w:r>
      <w:r>
        <w:rPr>
          <w:sz w:val="20"/>
        </w:rPr>
        <w:t>below</w:t>
      </w:r>
      <w:r>
        <w:rPr>
          <w:spacing w:val="-15"/>
          <w:sz w:val="20"/>
        </w:rPr>
        <w:t> </w:t>
      </w:r>
      <w:r>
        <w:rPr>
          <w:sz w:val="20"/>
        </w:rPr>
        <w:t>the</w:t>
      </w:r>
      <w:r>
        <w:rPr>
          <w:spacing w:val="-14"/>
          <w:sz w:val="20"/>
        </w:rPr>
        <w:t> </w:t>
      </w:r>
      <w:r>
        <w:rPr>
          <w:sz w:val="20"/>
        </w:rPr>
        <w:t>agreed</w:t>
      </w:r>
      <w:r>
        <w:rPr>
          <w:spacing w:val="-13"/>
          <w:sz w:val="20"/>
        </w:rPr>
        <w:t> </w:t>
      </w:r>
      <w:r>
        <w:rPr>
          <w:sz w:val="20"/>
        </w:rPr>
        <w:t>profitability</w:t>
      </w:r>
      <w:r>
        <w:rPr>
          <w:spacing w:val="-18"/>
          <w:sz w:val="20"/>
        </w:rPr>
        <w:t> </w:t>
      </w:r>
      <w:r>
        <w:rPr>
          <w:sz w:val="20"/>
        </w:rPr>
        <w:t>threshold</w:t>
      </w:r>
      <w:r>
        <w:rPr>
          <w:spacing w:val="-9"/>
          <w:sz w:val="20"/>
        </w:rPr>
        <w:t> </w:t>
      </w:r>
      <w:r>
        <w:rPr>
          <w:sz w:val="20"/>
        </w:rPr>
        <w:t>of</w:t>
      </w:r>
      <w:r>
        <w:rPr>
          <w:spacing w:val="-13"/>
          <w:sz w:val="20"/>
        </w:rPr>
        <w:t> </w:t>
      </w:r>
      <w:r>
        <w:rPr>
          <w:sz w:val="20"/>
        </w:rPr>
        <w:t>the</w:t>
      </w:r>
      <w:r>
        <w:rPr>
          <w:spacing w:val="-14"/>
          <w:sz w:val="20"/>
        </w:rPr>
        <w:t> </w:t>
      </w:r>
      <w:r>
        <w:rPr>
          <w:sz w:val="20"/>
        </w:rPr>
        <w:t>Amount</w:t>
      </w:r>
      <w:r>
        <w:rPr>
          <w:spacing w:val="-1"/>
          <w:sz w:val="20"/>
        </w:rPr>
        <w:t> </w:t>
      </w:r>
      <w:r>
        <w:rPr>
          <w:sz w:val="20"/>
        </w:rPr>
        <w:t>A formula,</w:t>
      </w:r>
      <w:r>
        <w:rPr>
          <w:spacing w:val="-6"/>
          <w:sz w:val="20"/>
        </w:rPr>
        <w:t> </w:t>
      </w:r>
      <w:r>
        <w:rPr>
          <w:sz w:val="20"/>
        </w:rPr>
        <w:t>the</w:t>
      </w:r>
      <w:r>
        <w:rPr>
          <w:spacing w:val="-7"/>
          <w:sz w:val="20"/>
        </w:rPr>
        <w:t> </w:t>
      </w:r>
      <w:r>
        <w:rPr>
          <w:sz w:val="20"/>
        </w:rPr>
        <w:t>Amount</w:t>
      </w:r>
      <w:r>
        <w:rPr>
          <w:spacing w:val="-7"/>
          <w:sz w:val="20"/>
        </w:rPr>
        <w:t> </w:t>
      </w:r>
      <w:r>
        <w:rPr>
          <w:sz w:val="20"/>
        </w:rPr>
        <w:t>A</w:t>
      </w:r>
      <w:r>
        <w:rPr>
          <w:spacing w:val="-7"/>
          <w:sz w:val="20"/>
        </w:rPr>
        <w:t> </w:t>
      </w:r>
      <w:r>
        <w:rPr>
          <w:sz w:val="20"/>
        </w:rPr>
        <w:t>carry-forward</w:t>
      </w:r>
      <w:r>
        <w:rPr>
          <w:spacing w:val="-6"/>
          <w:sz w:val="20"/>
        </w:rPr>
        <w:t> </w:t>
      </w:r>
      <w:r>
        <w:rPr>
          <w:sz w:val="20"/>
        </w:rPr>
        <w:t>regime</w:t>
      </w:r>
      <w:r>
        <w:rPr>
          <w:spacing w:val="-7"/>
          <w:sz w:val="20"/>
        </w:rPr>
        <w:t> </w:t>
      </w:r>
      <w:r>
        <w:rPr>
          <w:sz w:val="20"/>
        </w:rPr>
        <w:t>should</w:t>
      </w:r>
      <w:r>
        <w:rPr>
          <w:spacing w:val="-7"/>
          <w:sz w:val="20"/>
        </w:rPr>
        <w:t> </w:t>
      </w:r>
      <w:r>
        <w:rPr>
          <w:sz w:val="20"/>
        </w:rPr>
        <w:t>treat</w:t>
      </w:r>
      <w:r>
        <w:rPr>
          <w:spacing w:val="-4"/>
          <w:sz w:val="20"/>
        </w:rPr>
        <w:t> </w:t>
      </w:r>
      <w:r>
        <w:rPr>
          <w:sz w:val="20"/>
        </w:rPr>
        <w:t>the</w:t>
      </w:r>
      <w:r>
        <w:rPr>
          <w:spacing w:val="-7"/>
          <w:sz w:val="20"/>
        </w:rPr>
        <w:t> </w:t>
      </w:r>
      <w:r>
        <w:rPr>
          <w:sz w:val="20"/>
        </w:rPr>
        <w:t>difference</w:t>
      </w:r>
      <w:r>
        <w:rPr>
          <w:spacing w:val="-7"/>
          <w:sz w:val="20"/>
        </w:rPr>
        <w:t> </w:t>
      </w:r>
      <w:r>
        <w:rPr>
          <w:sz w:val="20"/>
        </w:rPr>
        <w:t>between</w:t>
      </w:r>
      <w:r>
        <w:rPr>
          <w:spacing w:val="-7"/>
          <w:sz w:val="20"/>
        </w:rPr>
        <w:t> </w:t>
      </w:r>
      <w:r>
        <w:rPr>
          <w:sz w:val="20"/>
        </w:rPr>
        <w:t>this</w:t>
      </w:r>
      <w:r>
        <w:rPr>
          <w:spacing w:val="-5"/>
          <w:sz w:val="20"/>
        </w:rPr>
        <w:t> </w:t>
      </w:r>
      <w:r>
        <w:rPr>
          <w:sz w:val="20"/>
        </w:rPr>
        <w:t>profit</w:t>
      </w:r>
      <w:r>
        <w:rPr>
          <w:spacing w:val="-6"/>
          <w:sz w:val="20"/>
        </w:rPr>
        <w:t> </w:t>
      </w:r>
      <w:r>
        <w:rPr>
          <w:sz w:val="20"/>
        </w:rPr>
        <w:t>and</w:t>
      </w:r>
      <w:r>
        <w:rPr>
          <w:spacing w:val="-7"/>
          <w:sz w:val="20"/>
        </w:rPr>
        <w:t> </w:t>
      </w:r>
      <w:r>
        <w:rPr>
          <w:sz w:val="20"/>
        </w:rPr>
        <w:t>the</w:t>
      </w:r>
      <w:r>
        <w:rPr>
          <w:spacing w:val="-7"/>
          <w:sz w:val="20"/>
        </w:rPr>
        <w:t> </w:t>
      </w:r>
      <w:r>
        <w:rPr>
          <w:sz w:val="20"/>
        </w:rPr>
        <w:t>level</w:t>
      </w:r>
      <w:r>
        <w:rPr>
          <w:spacing w:val="-4"/>
          <w:sz w:val="20"/>
        </w:rPr>
        <w:t> </w:t>
      </w:r>
      <w:r>
        <w:rPr>
          <w:sz w:val="20"/>
        </w:rPr>
        <w:t>of the profitability threshold (i.e. profit shortfalls) as a “loss” that can be carried forward to the next taxable periods. Profit shortfalls would thus be preserved and potentially give rise to a tax relief in subsequent profitable years for Amount A purposes (see illustration in Annex C, Box</w:t>
      </w:r>
      <w:r>
        <w:rPr>
          <w:spacing w:val="-5"/>
          <w:sz w:val="20"/>
        </w:rPr>
        <w:t> </w:t>
      </w:r>
      <w:r>
        <w:rPr>
          <w:sz w:val="20"/>
        </w:rPr>
        <w:t>C.1.).</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For the proponents of this approach, a carry-forward regime that includes profit shortfalls would improve neutrality by ensuring that Amount A does not apply differently to taxpayers with volatile profits from one period to the next (see Group X and Y in the example in Annex C, Box C.1.).</w:t>
      </w:r>
      <w:r>
        <w:rPr>
          <w:position w:val="6"/>
          <w:sz w:val="13"/>
        </w:rPr>
        <w:t>94 </w:t>
      </w:r>
      <w:r>
        <w:rPr>
          <w:sz w:val="20"/>
        </w:rPr>
        <w:t>They note that in conventional</w:t>
      </w:r>
      <w:r>
        <w:rPr>
          <w:spacing w:val="-11"/>
          <w:sz w:val="20"/>
        </w:rPr>
        <w:t> </w:t>
      </w:r>
      <w:r>
        <w:rPr>
          <w:sz w:val="20"/>
        </w:rPr>
        <w:t>tax</w:t>
      </w:r>
      <w:r>
        <w:rPr>
          <w:spacing w:val="-9"/>
          <w:sz w:val="20"/>
        </w:rPr>
        <w:t> </w:t>
      </w:r>
      <w:r>
        <w:rPr>
          <w:sz w:val="20"/>
        </w:rPr>
        <w:t>systems</w:t>
      </w:r>
      <w:r>
        <w:rPr>
          <w:spacing w:val="-9"/>
          <w:sz w:val="20"/>
        </w:rPr>
        <w:t> </w:t>
      </w:r>
      <w:r>
        <w:rPr>
          <w:sz w:val="20"/>
        </w:rPr>
        <w:t>which</w:t>
      </w:r>
      <w:r>
        <w:rPr>
          <w:spacing w:val="-10"/>
          <w:sz w:val="20"/>
        </w:rPr>
        <w:t> </w:t>
      </w:r>
      <w:r>
        <w:rPr>
          <w:sz w:val="20"/>
        </w:rPr>
        <w:t>tax</w:t>
      </w:r>
      <w:r>
        <w:rPr>
          <w:spacing w:val="-9"/>
          <w:sz w:val="20"/>
        </w:rPr>
        <w:t> </w:t>
      </w:r>
      <w:r>
        <w:rPr>
          <w:sz w:val="20"/>
        </w:rPr>
        <w:t>the</w:t>
      </w:r>
      <w:r>
        <w:rPr>
          <w:spacing w:val="-10"/>
          <w:sz w:val="20"/>
        </w:rPr>
        <w:t> </w:t>
      </w:r>
      <w:r>
        <w:rPr>
          <w:sz w:val="20"/>
        </w:rPr>
        <w:t>first</w:t>
      </w:r>
      <w:r>
        <w:rPr>
          <w:spacing w:val="-10"/>
          <w:sz w:val="20"/>
        </w:rPr>
        <w:t> </w:t>
      </w:r>
      <w:r>
        <w:rPr>
          <w:sz w:val="20"/>
        </w:rPr>
        <w:t>unit</w:t>
      </w:r>
      <w:r>
        <w:rPr>
          <w:spacing w:val="-9"/>
          <w:sz w:val="20"/>
        </w:rPr>
        <w:t> </w:t>
      </w:r>
      <w:r>
        <w:rPr>
          <w:sz w:val="20"/>
        </w:rPr>
        <w:t>of</w:t>
      </w:r>
      <w:r>
        <w:rPr>
          <w:spacing w:val="-8"/>
          <w:sz w:val="20"/>
        </w:rPr>
        <w:t> </w:t>
      </w:r>
      <w:r>
        <w:rPr>
          <w:sz w:val="20"/>
        </w:rPr>
        <w:t>profit</w:t>
      </w:r>
      <w:r>
        <w:rPr>
          <w:spacing w:val="-10"/>
          <w:sz w:val="20"/>
        </w:rPr>
        <w:t> </w:t>
      </w:r>
      <w:r>
        <w:rPr>
          <w:sz w:val="20"/>
        </w:rPr>
        <w:t>above</w:t>
      </w:r>
      <w:r>
        <w:rPr>
          <w:spacing w:val="-8"/>
          <w:sz w:val="20"/>
        </w:rPr>
        <w:t> </w:t>
      </w:r>
      <w:r>
        <w:rPr>
          <w:sz w:val="20"/>
        </w:rPr>
        <w:t>zero,</w:t>
      </w:r>
      <w:r>
        <w:rPr>
          <w:spacing w:val="-7"/>
          <w:sz w:val="20"/>
        </w:rPr>
        <w:t> </w:t>
      </w:r>
      <w:r>
        <w:rPr>
          <w:sz w:val="20"/>
        </w:rPr>
        <w:t>zero</w:t>
      </w:r>
      <w:r>
        <w:rPr>
          <w:spacing w:val="-10"/>
          <w:sz w:val="20"/>
        </w:rPr>
        <w:t> </w:t>
      </w:r>
      <w:r>
        <w:rPr>
          <w:sz w:val="20"/>
        </w:rPr>
        <w:t>profitability</w:t>
      </w:r>
      <w:r>
        <w:rPr>
          <w:spacing w:val="-15"/>
          <w:sz w:val="20"/>
        </w:rPr>
        <w:t> </w:t>
      </w:r>
      <w:r>
        <w:rPr>
          <w:sz w:val="20"/>
        </w:rPr>
        <w:t>(where</w:t>
      </w:r>
      <w:r>
        <w:rPr>
          <w:spacing w:val="-10"/>
          <w:sz w:val="20"/>
        </w:rPr>
        <w:t> </w:t>
      </w:r>
      <w:r>
        <w:rPr>
          <w:sz w:val="20"/>
        </w:rPr>
        <w:t>losses</w:t>
      </w:r>
      <w:r>
        <w:rPr>
          <w:spacing w:val="-9"/>
          <w:sz w:val="20"/>
        </w:rPr>
        <w:t> </w:t>
      </w:r>
      <w:r>
        <w:rPr>
          <w:sz w:val="20"/>
        </w:rPr>
        <w:t>begin) is</w:t>
      </w:r>
      <w:r>
        <w:rPr>
          <w:spacing w:val="-15"/>
          <w:sz w:val="20"/>
        </w:rPr>
        <w:t> </w:t>
      </w:r>
      <w:r>
        <w:rPr>
          <w:sz w:val="20"/>
        </w:rPr>
        <w:t>the</w:t>
      </w:r>
      <w:r>
        <w:rPr>
          <w:spacing w:val="-14"/>
          <w:sz w:val="20"/>
        </w:rPr>
        <w:t> </w:t>
      </w:r>
      <w:r>
        <w:rPr>
          <w:sz w:val="20"/>
        </w:rPr>
        <w:t>"pivot</w:t>
      </w:r>
      <w:r>
        <w:rPr>
          <w:spacing w:val="-14"/>
          <w:sz w:val="20"/>
        </w:rPr>
        <w:t> </w:t>
      </w:r>
      <w:r>
        <w:rPr>
          <w:sz w:val="20"/>
        </w:rPr>
        <w:t>point"</w:t>
      </w:r>
      <w:r>
        <w:rPr>
          <w:spacing w:val="-15"/>
          <w:sz w:val="20"/>
        </w:rPr>
        <w:t> </w:t>
      </w:r>
      <w:r>
        <w:rPr>
          <w:sz w:val="20"/>
        </w:rPr>
        <w:t>for</w:t>
      </w:r>
      <w:r>
        <w:rPr>
          <w:spacing w:val="-15"/>
          <w:sz w:val="20"/>
        </w:rPr>
        <w:t> </w:t>
      </w:r>
      <w:r>
        <w:rPr>
          <w:sz w:val="20"/>
        </w:rPr>
        <w:t>carryovers.</w:t>
      </w:r>
      <w:r>
        <w:rPr>
          <w:spacing w:val="-15"/>
          <w:sz w:val="20"/>
        </w:rPr>
        <w:t> </w:t>
      </w:r>
      <w:r>
        <w:rPr>
          <w:sz w:val="20"/>
        </w:rPr>
        <w:t>They</w:t>
      </w:r>
      <w:r>
        <w:rPr>
          <w:spacing w:val="-19"/>
          <w:sz w:val="20"/>
        </w:rPr>
        <w:t> </w:t>
      </w:r>
      <w:r>
        <w:rPr>
          <w:sz w:val="20"/>
        </w:rPr>
        <w:t>suggest</w:t>
      </w:r>
      <w:r>
        <w:rPr>
          <w:spacing w:val="-16"/>
          <w:sz w:val="20"/>
        </w:rPr>
        <w:t> </w:t>
      </w:r>
      <w:r>
        <w:rPr>
          <w:sz w:val="20"/>
        </w:rPr>
        <w:t>that</w:t>
      </w:r>
      <w:r>
        <w:rPr>
          <w:spacing w:val="-13"/>
          <w:sz w:val="20"/>
        </w:rPr>
        <w:t> </w:t>
      </w:r>
      <w:r>
        <w:rPr>
          <w:sz w:val="20"/>
        </w:rPr>
        <w:t>in</w:t>
      </w:r>
      <w:r>
        <w:rPr>
          <w:spacing w:val="-14"/>
          <w:sz w:val="20"/>
        </w:rPr>
        <w:t> </w:t>
      </w:r>
      <w:r>
        <w:rPr>
          <w:sz w:val="20"/>
        </w:rPr>
        <w:t>a</w:t>
      </w:r>
      <w:r>
        <w:rPr>
          <w:spacing w:val="-14"/>
          <w:sz w:val="20"/>
        </w:rPr>
        <w:t> </w:t>
      </w:r>
      <w:r>
        <w:rPr>
          <w:sz w:val="20"/>
        </w:rPr>
        <w:t>system</w:t>
      </w:r>
      <w:r>
        <w:rPr>
          <w:spacing w:val="-12"/>
          <w:sz w:val="20"/>
        </w:rPr>
        <w:t> </w:t>
      </w:r>
      <w:r>
        <w:rPr>
          <w:sz w:val="20"/>
        </w:rPr>
        <w:t>like</w:t>
      </w:r>
      <w:r>
        <w:rPr>
          <w:spacing w:val="-16"/>
          <w:sz w:val="20"/>
        </w:rPr>
        <w:t> </w:t>
      </w:r>
      <w:r>
        <w:rPr>
          <w:sz w:val="20"/>
        </w:rPr>
        <w:t>Amount</w:t>
      </w:r>
      <w:r>
        <w:rPr>
          <w:spacing w:val="-16"/>
          <w:sz w:val="20"/>
        </w:rPr>
        <w:t> </w:t>
      </w:r>
      <w:r>
        <w:rPr>
          <w:sz w:val="20"/>
        </w:rPr>
        <w:t>A</w:t>
      </w:r>
      <w:r>
        <w:rPr>
          <w:spacing w:val="-13"/>
          <w:sz w:val="20"/>
        </w:rPr>
        <w:t> </w:t>
      </w:r>
      <w:r>
        <w:rPr>
          <w:sz w:val="20"/>
        </w:rPr>
        <w:t>that</w:t>
      </w:r>
      <w:r>
        <w:rPr>
          <w:spacing w:val="-14"/>
          <w:sz w:val="20"/>
        </w:rPr>
        <w:t> </w:t>
      </w:r>
      <w:r>
        <w:rPr>
          <w:sz w:val="20"/>
        </w:rPr>
        <w:t>only</w:t>
      </w:r>
      <w:r>
        <w:rPr>
          <w:spacing w:val="-19"/>
          <w:sz w:val="20"/>
        </w:rPr>
        <w:t> </w:t>
      </w:r>
      <w:r>
        <w:rPr>
          <w:sz w:val="20"/>
        </w:rPr>
        <w:t>reallocates</w:t>
      </w:r>
      <w:r>
        <w:rPr>
          <w:spacing w:val="-15"/>
          <w:sz w:val="20"/>
        </w:rPr>
        <w:t> </w:t>
      </w:r>
      <w:r>
        <w:rPr>
          <w:sz w:val="20"/>
        </w:rPr>
        <w:t>residual profits above a fixed positive profit threshold, neutrality requires that the pivot point for carryovers be the residual profit threshold. In addition, this approach would also allow Amount A to better adapt to unpredictable</w:t>
      </w:r>
      <w:r>
        <w:rPr>
          <w:spacing w:val="-8"/>
          <w:sz w:val="20"/>
        </w:rPr>
        <w:t> </w:t>
      </w:r>
      <w:r>
        <w:rPr>
          <w:sz w:val="20"/>
        </w:rPr>
        <w:t>economic</w:t>
      </w:r>
      <w:r>
        <w:rPr>
          <w:spacing w:val="-8"/>
          <w:sz w:val="20"/>
        </w:rPr>
        <w:t> </w:t>
      </w:r>
      <w:r>
        <w:rPr>
          <w:sz w:val="20"/>
        </w:rPr>
        <w:t>situation.</w:t>
      </w:r>
      <w:r>
        <w:rPr>
          <w:spacing w:val="-7"/>
          <w:sz w:val="20"/>
        </w:rPr>
        <w:t> </w:t>
      </w:r>
      <w:r>
        <w:rPr>
          <w:sz w:val="20"/>
        </w:rPr>
        <w:t>Some</w:t>
      </w:r>
      <w:r>
        <w:rPr>
          <w:spacing w:val="-9"/>
          <w:sz w:val="20"/>
        </w:rPr>
        <w:t> </w:t>
      </w:r>
      <w:r>
        <w:rPr>
          <w:sz w:val="20"/>
        </w:rPr>
        <w:t>of</w:t>
      </w:r>
      <w:r>
        <w:rPr>
          <w:spacing w:val="-8"/>
          <w:sz w:val="20"/>
        </w:rPr>
        <w:t> </w:t>
      </w:r>
      <w:r>
        <w:rPr>
          <w:sz w:val="20"/>
        </w:rPr>
        <w:t>these</w:t>
      </w:r>
      <w:r>
        <w:rPr>
          <w:spacing w:val="-9"/>
          <w:sz w:val="20"/>
        </w:rPr>
        <w:t> </w:t>
      </w:r>
      <w:r>
        <w:rPr>
          <w:sz w:val="20"/>
        </w:rPr>
        <w:t>members</w:t>
      </w:r>
      <w:r>
        <w:rPr>
          <w:spacing w:val="-8"/>
          <w:sz w:val="20"/>
        </w:rPr>
        <w:t> </w:t>
      </w:r>
      <w:r>
        <w:rPr>
          <w:sz w:val="20"/>
        </w:rPr>
        <w:t>note</w:t>
      </w:r>
      <w:r>
        <w:rPr>
          <w:spacing w:val="-9"/>
          <w:sz w:val="20"/>
        </w:rPr>
        <w:t> </w:t>
      </w:r>
      <w:r>
        <w:rPr>
          <w:sz w:val="20"/>
        </w:rPr>
        <w:t>that</w:t>
      </w:r>
      <w:r>
        <w:rPr>
          <w:spacing w:val="-9"/>
          <w:sz w:val="20"/>
        </w:rPr>
        <w:t> </w:t>
      </w:r>
      <w:r>
        <w:rPr>
          <w:sz w:val="20"/>
        </w:rPr>
        <w:t>transfer</w:t>
      </w:r>
      <w:r>
        <w:rPr>
          <w:spacing w:val="-9"/>
          <w:sz w:val="20"/>
        </w:rPr>
        <w:t> </w:t>
      </w:r>
      <w:r>
        <w:rPr>
          <w:sz w:val="20"/>
        </w:rPr>
        <w:t>pricing</w:t>
      </w:r>
      <w:r>
        <w:rPr>
          <w:spacing w:val="-9"/>
          <w:sz w:val="20"/>
        </w:rPr>
        <w:t> </w:t>
      </w:r>
      <w:r>
        <w:rPr>
          <w:sz w:val="20"/>
        </w:rPr>
        <w:t>methods,</w:t>
      </w:r>
      <w:r>
        <w:rPr>
          <w:spacing w:val="-9"/>
          <w:sz w:val="20"/>
        </w:rPr>
        <w:t> </w:t>
      </w:r>
      <w:r>
        <w:rPr>
          <w:sz w:val="20"/>
        </w:rPr>
        <w:t>such</w:t>
      </w:r>
      <w:r>
        <w:rPr>
          <w:spacing w:val="-10"/>
          <w:sz w:val="20"/>
        </w:rPr>
        <w:t> </w:t>
      </w:r>
      <w:r>
        <w:rPr>
          <w:sz w:val="20"/>
        </w:rPr>
        <w:t>as</w:t>
      </w:r>
      <w:r>
        <w:rPr>
          <w:spacing w:val="-8"/>
          <w:sz w:val="20"/>
        </w:rPr>
        <w:t> </w:t>
      </w:r>
      <w:r>
        <w:rPr>
          <w:sz w:val="20"/>
        </w:rPr>
        <w:t>the TNMM,</w:t>
      </w:r>
      <w:r>
        <w:rPr>
          <w:spacing w:val="22"/>
          <w:sz w:val="20"/>
        </w:rPr>
        <w:t> </w:t>
      </w:r>
      <w:r>
        <w:rPr>
          <w:sz w:val="20"/>
        </w:rPr>
        <w:t>rely</w:t>
      </w:r>
      <w:r>
        <w:rPr>
          <w:spacing w:val="19"/>
          <w:sz w:val="20"/>
        </w:rPr>
        <w:t> </w:t>
      </w:r>
      <w:r>
        <w:rPr>
          <w:sz w:val="20"/>
        </w:rPr>
        <w:t>on</w:t>
      </w:r>
      <w:r>
        <w:rPr>
          <w:spacing w:val="24"/>
          <w:sz w:val="20"/>
        </w:rPr>
        <w:t> </w:t>
      </w:r>
      <w:r>
        <w:rPr>
          <w:sz w:val="20"/>
        </w:rPr>
        <w:t>average</w:t>
      </w:r>
      <w:r>
        <w:rPr>
          <w:spacing w:val="22"/>
          <w:sz w:val="20"/>
        </w:rPr>
        <w:t> </w:t>
      </w:r>
      <w:r>
        <w:rPr>
          <w:sz w:val="20"/>
        </w:rPr>
        <w:t>financial</w:t>
      </w:r>
      <w:r>
        <w:rPr>
          <w:spacing w:val="23"/>
          <w:sz w:val="20"/>
        </w:rPr>
        <w:t> </w:t>
      </w:r>
      <w:r>
        <w:rPr>
          <w:sz w:val="20"/>
        </w:rPr>
        <w:t>data</w:t>
      </w:r>
      <w:r>
        <w:rPr>
          <w:spacing w:val="25"/>
          <w:sz w:val="20"/>
        </w:rPr>
        <w:t> </w:t>
      </w:r>
      <w:r>
        <w:rPr>
          <w:sz w:val="20"/>
        </w:rPr>
        <w:t>over</w:t>
      </w:r>
      <w:r>
        <w:rPr>
          <w:spacing w:val="23"/>
          <w:sz w:val="20"/>
        </w:rPr>
        <w:t> </w:t>
      </w:r>
      <w:r>
        <w:rPr>
          <w:sz w:val="20"/>
        </w:rPr>
        <w:t>a</w:t>
      </w:r>
      <w:r>
        <w:rPr>
          <w:spacing w:val="24"/>
          <w:sz w:val="20"/>
        </w:rPr>
        <w:t> </w:t>
      </w:r>
      <w:r>
        <w:rPr>
          <w:sz w:val="20"/>
        </w:rPr>
        <w:t>number</w:t>
      </w:r>
      <w:r>
        <w:rPr>
          <w:spacing w:val="24"/>
          <w:sz w:val="20"/>
        </w:rPr>
        <w:t> </w:t>
      </w:r>
      <w:r>
        <w:rPr>
          <w:sz w:val="20"/>
        </w:rPr>
        <w:t>of</w:t>
      </w:r>
      <w:r>
        <w:rPr>
          <w:spacing w:val="26"/>
          <w:sz w:val="20"/>
        </w:rPr>
        <w:t> </w:t>
      </w:r>
      <w:r>
        <w:rPr>
          <w:sz w:val="20"/>
        </w:rPr>
        <w:t>years;</w:t>
      </w:r>
      <w:r>
        <w:rPr>
          <w:spacing w:val="22"/>
          <w:sz w:val="20"/>
        </w:rPr>
        <w:t> </w:t>
      </w:r>
      <w:r>
        <w:rPr>
          <w:sz w:val="20"/>
        </w:rPr>
        <w:t>and</w:t>
      </w:r>
      <w:r>
        <w:rPr>
          <w:spacing w:val="23"/>
          <w:sz w:val="20"/>
        </w:rPr>
        <w:t> </w:t>
      </w:r>
      <w:r>
        <w:rPr>
          <w:sz w:val="20"/>
        </w:rPr>
        <w:t>that</w:t>
      </w:r>
      <w:r>
        <w:rPr>
          <w:spacing w:val="24"/>
          <w:sz w:val="20"/>
        </w:rPr>
        <w:t> </w:t>
      </w:r>
      <w:r>
        <w:rPr>
          <w:sz w:val="20"/>
        </w:rPr>
        <w:t>a</w:t>
      </w:r>
      <w:r>
        <w:rPr>
          <w:spacing w:val="31"/>
          <w:sz w:val="20"/>
        </w:rPr>
        <w:t> </w:t>
      </w:r>
      <w:r>
        <w:rPr>
          <w:sz w:val="20"/>
        </w:rPr>
        <w:t>carry-forward</w:t>
      </w:r>
      <w:r>
        <w:rPr>
          <w:spacing w:val="22"/>
          <w:sz w:val="20"/>
        </w:rPr>
        <w:t> </w:t>
      </w:r>
      <w:r>
        <w:rPr>
          <w:sz w:val="20"/>
        </w:rPr>
        <w:t>rule</w:t>
      </w:r>
      <w:r>
        <w:rPr>
          <w:spacing w:val="22"/>
          <w:sz w:val="20"/>
        </w:rPr>
        <w:t> </w:t>
      </w:r>
      <w:r>
        <w:rPr>
          <w:sz w:val="20"/>
        </w:rPr>
        <w:t>for</w:t>
      </w:r>
      <w:r>
        <w:rPr>
          <w:spacing w:val="23"/>
          <w:sz w:val="20"/>
        </w:rPr>
        <w:t> </w:t>
      </w:r>
      <w:r>
        <w:rPr>
          <w:sz w:val="20"/>
        </w:rPr>
        <w:t>profit</w:t>
      </w:r>
    </w:p>
    <w:p>
      <w:pPr>
        <w:pStyle w:val="BodyText"/>
        <w:spacing w:before="7"/>
        <w:rPr>
          <w:sz w:val="11"/>
        </w:rPr>
      </w:pPr>
      <w:r>
        <w:rPr/>
        <w:pict>
          <v:rect style="position:absolute;margin-left:65.183998pt;margin-top:8.644443pt;width:144.020004pt;height:.60004pt;mso-position-horizontal-relative:page;mso-position-vertical-relative:paragraph;z-index:-1566310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43" w:val="left" w:leader="none"/>
        </w:tabs>
        <w:spacing w:line="278" w:lineRule="auto" w:before="94" w:after="0"/>
        <w:ind w:left="723" w:right="482" w:firstLine="0"/>
        <w:jc w:val="left"/>
        <w:rPr>
          <w:sz w:val="18"/>
        </w:rPr>
      </w:pPr>
      <w:r>
        <w:rPr>
          <w:sz w:val="18"/>
        </w:rPr>
        <w:t>Members of the Inclusive Framework will remain free as a matter of domestic tax policy to reduce an Amount A allocation</w:t>
      </w:r>
      <w:r>
        <w:rPr>
          <w:spacing w:val="-13"/>
          <w:sz w:val="18"/>
        </w:rPr>
        <w:t> </w:t>
      </w:r>
      <w:r>
        <w:rPr>
          <w:sz w:val="18"/>
        </w:rPr>
        <w:t>to</w:t>
      </w:r>
      <w:r>
        <w:rPr>
          <w:spacing w:val="-13"/>
          <w:sz w:val="18"/>
        </w:rPr>
        <w:t> </w:t>
      </w:r>
      <w:r>
        <w:rPr>
          <w:sz w:val="18"/>
        </w:rPr>
        <w:t>their</w:t>
      </w:r>
      <w:r>
        <w:rPr>
          <w:spacing w:val="-12"/>
          <w:sz w:val="18"/>
        </w:rPr>
        <w:t> </w:t>
      </w:r>
      <w:r>
        <w:rPr>
          <w:sz w:val="18"/>
        </w:rPr>
        <w:t>jurisdiction</w:t>
      </w:r>
      <w:r>
        <w:rPr>
          <w:spacing w:val="-14"/>
          <w:sz w:val="18"/>
        </w:rPr>
        <w:t> </w:t>
      </w:r>
      <w:r>
        <w:rPr>
          <w:sz w:val="18"/>
        </w:rPr>
        <w:t>by</w:t>
      </w:r>
      <w:r>
        <w:rPr>
          <w:spacing w:val="-13"/>
          <w:sz w:val="18"/>
        </w:rPr>
        <w:t> </w:t>
      </w:r>
      <w:r>
        <w:rPr>
          <w:sz w:val="18"/>
        </w:rPr>
        <w:t>entity-level</w:t>
      </w:r>
      <w:r>
        <w:rPr>
          <w:spacing w:val="-13"/>
          <w:sz w:val="18"/>
        </w:rPr>
        <w:t> </w:t>
      </w:r>
      <w:r>
        <w:rPr>
          <w:sz w:val="18"/>
        </w:rPr>
        <w:t>losses</w:t>
      </w:r>
      <w:r>
        <w:rPr>
          <w:spacing w:val="-12"/>
          <w:sz w:val="18"/>
        </w:rPr>
        <w:t> </w:t>
      </w:r>
      <w:r>
        <w:rPr>
          <w:sz w:val="18"/>
        </w:rPr>
        <w:t>that</w:t>
      </w:r>
      <w:r>
        <w:rPr>
          <w:spacing w:val="-11"/>
          <w:sz w:val="18"/>
        </w:rPr>
        <w:t> </w:t>
      </w:r>
      <w:r>
        <w:rPr>
          <w:sz w:val="18"/>
        </w:rPr>
        <w:t>the</w:t>
      </w:r>
      <w:r>
        <w:rPr>
          <w:spacing w:val="-14"/>
          <w:sz w:val="18"/>
        </w:rPr>
        <w:t> </w:t>
      </w:r>
      <w:r>
        <w:rPr>
          <w:sz w:val="18"/>
        </w:rPr>
        <w:t>same</w:t>
      </w:r>
      <w:r>
        <w:rPr>
          <w:spacing w:val="-11"/>
          <w:sz w:val="18"/>
        </w:rPr>
        <w:t> </w:t>
      </w:r>
      <w:r>
        <w:rPr>
          <w:sz w:val="18"/>
        </w:rPr>
        <w:t>MNE</w:t>
      </w:r>
      <w:r>
        <w:rPr>
          <w:spacing w:val="-12"/>
          <w:sz w:val="18"/>
        </w:rPr>
        <w:t> </w:t>
      </w:r>
      <w:r>
        <w:rPr>
          <w:sz w:val="18"/>
        </w:rPr>
        <w:t>has</w:t>
      </w:r>
      <w:r>
        <w:rPr>
          <w:spacing w:val="-13"/>
          <w:sz w:val="18"/>
        </w:rPr>
        <w:t> </w:t>
      </w:r>
      <w:r>
        <w:rPr>
          <w:sz w:val="18"/>
        </w:rPr>
        <w:t>incurred</w:t>
      </w:r>
      <w:r>
        <w:rPr>
          <w:spacing w:val="-11"/>
          <w:sz w:val="18"/>
        </w:rPr>
        <w:t> </w:t>
      </w:r>
      <w:r>
        <w:rPr>
          <w:sz w:val="18"/>
        </w:rPr>
        <w:t>through</w:t>
      </w:r>
      <w:r>
        <w:rPr>
          <w:spacing w:val="-14"/>
          <w:sz w:val="18"/>
        </w:rPr>
        <w:t> </w:t>
      </w:r>
      <w:r>
        <w:rPr>
          <w:sz w:val="18"/>
        </w:rPr>
        <w:t>an</w:t>
      </w:r>
      <w:r>
        <w:rPr>
          <w:spacing w:val="-11"/>
          <w:sz w:val="18"/>
        </w:rPr>
        <w:t> </w:t>
      </w:r>
      <w:r>
        <w:rPr>
          <w:sz w:val="18"/>
        </w:rPr>
        <w:t>entity</w:t>
      </w:r>
      <w:r>
        <w:rPr>
          <w:spacing w:val="-14"/>
          <w:sz w:val="18"/>
        </w:rPr>
        <w:t> </w:t>
      </w:r>
      <w:r>
        <w:rPr>
          <w:sz w:val="18"/>
        </w:rPr>
        <w:t>in</w:t>
      </w:r>
      <w:r>
        <w:rPr>
          <w:spacing w:val="-14"/>
          <w:sz w:val="18"/>
        </w:rPr>
        <w:t> </w:t>
      </w:r>
      <w:r>
        <w:rPr>
          <w:sz w:val="18"/>
        </w:rPr>
        <w:t>that</w:t>
      </w:r>
      <w:r>
        <w:rPr>
          <w:spacing w:val="-14"/>
          <w:sz w:val="18"/>
        </w:rPr>
        <w:t> </w:t>
      </w:r>
      <w:r>
        <w:rPr>
          <w:sz w:val="18"/>
        </w:rPr>
        <w:t>jurisdiction.</w:t>
      </w:r>
    </w:p>
    <w:p>
      <w:pPr>
        <w:pStyle w:val="ListParagraph"/>
        <w:numPr>
          <w:ilvl w:val="0"/>
          <w:numId w:val="14"/>
        </w:numPr>
        <w:tabs>
          <w:tab w:pos="935" w:val="left" w:leader="none"/>
        </w:tabs>
        <w:spacing w:line="278" w:lineRule="auto" w:before="77" w:after="0"/>
        <w:ind w:left="723" w:right="492" w:firstLine="0"/>
        <w:jc w:val="left"/>
        <w:rPr>
          <w:sz w:val="18"/>
        </w:rPr>
      </w:pPr>
      <w:r>
        <w:rPr>
          <w:sz w:val="18"/>
        </w:rPr>
        <w:t>Volatility of profits may be the result of different factors in the context of Amount A, including timing differences in the treatment of revenue and expenses between different accounting standards (see section</w:t>
      </w:r>
      <w:r>
        <w:rPr>
          <w:spacing w:val="-8"/>
          <w:sz w:val="18"/>
        </w:rPr>
        <w:t> </w:t>
      </w:r>
      <w:hyperlink w:history="true" w:anchor="_bookmark28">
        <w:r>
          <w:rPr>
            <w:sz w:val="18"/>
          </w:rPr>
          <w:t>5.2.1</w:t>
        </w:r>
      </w:hyperlink>
      <w:r>
        <w:rPr>
          <w:sz w:val="18"/>
        </w:rPr>
        <w:t>).</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shortfalls</w:t>
      </w:r>
      <w:r>
        <w:rPr>
          <w:spacing w:val="-17"/>
        </w:rPr>
        <w:t> </w:t>
      </w:r>
      <w:r>
        <w:rPr/>
        <w:t>is</w:t>
      </w:r>
      <w:r>
        <w:rPr>
          <w:spacing w:val="-16"/>
        </w:rPr>
        <w:t> </w:t>
      </w:r>
      <w:r>
        <w:rPr/>
        <w:t>consistent</w:t>
      </w:r>
      <w:r>
        <w:rPr>
          <w:spacing w:val="-15"/>
        </w:rPr>
        <w:t> </w:t>
      </w:r>
      <w:r>
        <w:rPr/>
        <w:t>with</w:t>
      </w:r>
      <w:r>
        <w:rPr>
          <w:spacing w:val="-17"/>
        </w:rPr>
        <w:t> </w:t>
      </w:r>
      <w:r>
        <w:rPr/>
        <w:t>this</w:t>
      </w:r>
      <w:r>
        <w:rPr>
          <w:spacing w:val="-16"/>
        </w:rPr>
        <w:t> </w:t>
      </w:r>
      <w:r>
        <w:rPr/>
        <w:t>approach,</w:t>
      </w:r>
      <w:r>
        <w:rPr>
          <w:spacing w:val="-14"/>
        </w:rPr>
        <w:t> </w:t>
      </w:r>
      <w:r>
        <w:rPr/>
        <w:t>but</w:t>
      </w:r>
      <w:r>
        <w:rPr>
          <w:spacing w:val="-15"/>
        </w:rPr>
        <w:t> </w:t>
      </w:r>
      <w:r>
        <w:rPr/>
        <w:t>without</w:t>
      </w:r>
      <w:r>
        <w:rPr>
          <w:spacing w:val="-17"/>
        </w:rPr>
        <w:t> </w:t>
      </w:r>
      <w:r>
        <w:rPr/>
        <w:t>the</w:t>
      </w:r>
      <w:r>
        <w:rPr>
          <w:spacing w:val="-17"/>
        </w:rPr>
        <w:t> </w:t>
      </w:r>
      <w:r>
        <w:rPr/>
        <w:t>administrative</w:t>
      </w:r>
      <w:r>
        <w:rPr>
          <w:spacing w:val="-15"/>
        </w:rPr>
        <w:t> </w:t>
      </w:r>
      <w:r>
        <w:rPr/>
        <w:t>difficulties</w:t>
      </w:r>
      <w:r>
        <w:rPr>
          <w:spacing w:val="-16"/>
        </w:rPr>
        <w:t> </w:t>
      </w:r>
      <w:r>
        <w:rPr/>
        <w:t>of</w:t>
      </w:r>
      <w:r>
        <w:rPr>
          <w:spacing w:val="-15"/>
        </w:rPr>
        <w:t> </w:t>
      </w:r>
      <w:r>
        <w:rPr/>
        <w:t>an</w:t>
      </w:r>
      <w:r>
        <w:rPr>
          <w:spacing w:val="-18"/>
        </w:rPr>
        <w:t> </w:t>
      </w:r>
      <w:r>
        <w:rPr/>
        <w:t>averaging</w:t>
      </w:r>
      <w:r>
        <w:rPr>
          <w:spacing w:val="-18"/>
        </w:rPr>
        <w:t> </w:t>
      </w:r>
      <w:r>
        <w:rPr/>
        <w:t>method. In addition, they consider that this approach would improve the accuracy of the measure of residual profit subject to the Amount A formula, by ensuring that only profit in excess of the profitability threshold calculated over a longer period (and business cycle) is reallocated to market jurisdictions. It would thus contribute to preserving the taxing rights of residence jurisdictions over Amount A profits not only by recovering</w:t>
      </w:r>
      <w:r>
        <w:rPr>
          <w:spacing w:val="-14"/>
        </w:rPr>
        <w:t> </w:t>
      </w:r>
      <w:r>
        <w:rPr/>
        <w:t>previously</w:t>
      </w:r>
      <w:r>
        <w:rPr>
          <w:spacing w:val="-17"/>
        </w:rPr>
        <w:t> </w:t>
      </w:r>
      <w:r>
        <w:rPr/>
        <w:t>deducted</w:t>
      </w:r>
      <w:r>
        <w:rPr>
          <w:spacing w:val="-14"/>
        </w:rPr>
        <w:t> </w:t>
      </w:r>
      <w:r>
        <w:rPr/>
        <w:t>losses,</w:t>
      </w:r>
      <w:r>
        <w:rPr>
          <w:spacing w:val="-14"/>
        </w:rPr>
        <w:t> </w:t>
      </w:r>
      <w:r>
        <w:rPr/>
        <w:t>but</w:t>
      </w:r>
      <w:r>
        <w:rPr>
          <w:spacing w:val="-14"/>
        </w:rPr>
        <w:t> </w:t>
      </w:r>
      <w:r>
        <w:rPr/>
        <w:t>also</w:t>
      </w:r>
      <w:r>
        <w:rPr>
          <w:spacing w:val="-13"/>
        </w:rPr>
        <w:t> </w:t>
      </w:r>
      <w:r>
        <w:rPr/>
        <w:t>by</w:t>
      </w:r>
      <w:r>
        <w:rPr>
          <w:spacing w:val="-17"/>
        </w:rPr>
        <w:t> </w:t>
      </w:r>
      <w:r>
        <w:rPr/>
        <w:t>improving</w:t>
      </w:r>
      <w:r>
        <w:rPr>
          <w:spacing w:val="-14"/>
        </w:rPr>
        <w:t> </w:t>
      </w:r>
      <w:r>
        <w:rPr/>
        <w:t>the</w:t>
      </w:r>
      <w:r>
        <w:rPr>
          <w:spacing w:val="-14"/>
        </w:rPr>
        <w:t> </w:t>
      </w:r>
      <w:r>
        <w:rPr/>
        <w:t>measure</w:t>
      </w:r>
      <w:r>
        <w:rPr>
          <w:spacing w:val="-16"/>
        </w:rPr>
        <w:t> </w:t>
      </w:r>
      <w:r>
        <w:rPr/>
        <w:t>of</w:t>
      </w:r>
      <w:r>
        <w:rPr>
          <w:spacing w:val="-13"/>
        </w:rPr>
        <w:t> </w:t>
      </w:r>
      <w:r>
        <w:rPr/>
        <w:t>the</w:t>
      </w:r>
      <w:r>
        <w:rPr>
          <w:spacing w:val="-14"/>
        </w:rPr>
        <w:t> </w:t>
      </w:r>
      <w:r>
        <w:rPr/>
        <w:t>profit</w:t>
      </w:r>
      <w:r>
        <w:rPr>
          <w:spacing w:val="-8"/>
        </w:rPr>
        <w:t> </w:t>
      </w:r>
      <w:r>
        <w:rPr/>
        <w:t>that</w:t>
      </w:r>
      <w:r>
        <w:rPr>
          <w:spacing w:val="-16"/>
        </w:rPr>
        <w:t> </w:t>
      </w:r>
      <w:r>
        <w:rPr/>
        <w:t>remains</w:t>
      </w:r>
      <w:r>
        <w:rPr>
          <w:spacing w:val="-15"/>
        </w:rPr>
        <w:t> </w:t>
      </w:r>
      <w:r>
        <w:rPr/>
        <w:t>subject to</w:t>
      </w:r>
      <w:r>
        <w:rPr>
          <w:spacing w:val="-12"/>
        </w:rPr>
        <w:t> </w:t>
      </w:r>
      <w:r>
        <w:rPr/>
        <w:t>the</w:t>
      </w:r>
      <w:r>
        <w:rPr>
          <w:spacing w:val="-12"/>
        </w:rPr>
        <w:t> </w:t>
      </w:r>
      <w:r>
        <w:rPr/>
        <w:t>existing</w:t>
      </w:r>
      <w:r>
        <w:rPr>
          <w:spacing w:val="-12"/>
        </w:rPr>
        <w:t> </w:t>
      </w:r>
      <w:r>
        <w:rPr/>
        <w:t>ALP-based</w:t>
      </w:r>
      <w:r>
        <w:rPr>
          <w:spacing w:val="-8"/>
        </w:rPr>
        <w:t> </w:t>
      </w:r>
      <w:r>
        <w:rPr/>
        <w:t>allocation</w:t>
      </w:r>
      <w:r>
        <w:rPr>
          <w:spacing w:val="-12"/>
        </w:rPr>
        <w:t> </w:t>
      </w:r>
      <w:r>
        <w:rPr/>
        <w:t>system</w:t>
      </w:r>
      <w:r>
        <w:rPr>
          <w:spacing w:val="-7"/>
        </w:rPr>
        <w:t> </w:t>
      </w:r>
      <w:r>
        <w:rPr/>
        <w:t>(so-called</w:t>
      </w:r>
      <w:r>
        <w:rPr>
          <w:spacing w:val="-12"/>
        </w:rPr>
        <w:t> </w:t>
      </w:r>
      <w:r>
        <w:rPr/>
        <w:t>“deemed”</w:t>
      </w:r>
      <w:r>
        <w:rPr>
          <w:spacing w:val="-10"/>
        </w:rPr>
        <w:t> </w:t>
      </w:r>
      <w:r>
        <w:rPr/>
        <w:t>routine</w:t>
      </w:r>
      <w:r>
        <w:rPr>
          <w:spacing w:val="-9"/>
        </w:rPr>
        <w:t> </w:t>
      </w:r>
      <w:r>
        <w:rPr/>
        <w:t>profit</w:t>
      </w:r>
      <w:r>
        <w:rPr>
          <w:spacing w:val="-10"/>
        </w:rPr>
        <w:t> </w:t>
      </w:r>
      <w:r>
        <w:rPr/>
        <w:t>of</w:t>
      </w:r>
      <w:r>
        <w:rPr>
          <w:spacing w:val="-9"/>
        </w:rPr>
        <w:t> </w:t>
      </w:r>
      <w:r>
        <w:rPr/>
        <w:t>the</w:t>
      </w:r>
      <w:r>
        <w:rPr>
          <w:spacing w:val="-12"/>
        </w:rPr>
        <w:t> </w:t>
      </w:r>
      <w:r>
        <w:rPr/>
        <w:t>business,</w:t>
      </w:r>
      <w:r>
        <w:rPr>
          <w:spacing w:val="-11"/>
        </w:rPr>
        <w:t> </w:t>
      </w:r>
      <w:r>
        <w:rPr/>
        <w:t>see</w:t>
      </w:r>
      <w:r>
        <w:rPr>
          <w:spacing w:val="-8"/>
        </w:rPr>
        <w:t> </w:t>
      </w:r>
      <w:r>
        <w:rPr/>
        <w:t>section </w:t>
      </w:r>
      <w:hyperlink w:history="true" w:anchor="_bookmark41">
        <w:r>
          <w:rPr/>
          <w:t>6.2.1</w:t>
        </w:r>
      </w:hyperlink>
      <w:r>
        <w:rPr/>
        <w:t>). The residence jurisdiction where the business is bearing costs and taking risks would benefit for longer</w:t>
      </w:r>
      <w:r>
        <w:rPr>
          <w:spacing w:val="-9"/>
        </w:rPr>
        <w:t> </w:t>
      </w:r>
      <w:r>
        <w:rPr/>
        <w:t>from</w:t>
      </w:r>
      <w:r>
        <w:rPr>
          <w:spacing w:val="-4"/>
        </w:rPr>
        <w:t> </w:t>
      </w:r>
      <w:r>
        <w:rPr/>
        <w:t>its</w:t>
      </w:r>
      <w:r>
        <w:rPr>
          <w:spacing w:val="-8"/>
        </w:rPr>
        <w:t> </w:t>
      </w:r>
      <w:r>
        <w:rPr/>
        <w:t>taxing</w:t>
      </w:r>
      <w:r>
        <w:rPr>
          <w:spacing w:val="-9"/>
        </w:rPr>
        <w:t> </w:t>
      </w:r>
      <w:r>
        <w:rPr/>
        <w:t>right</w:t>
      </w:r>
      <w:r>
        <w:rPr>
          <w:spacing w:val="-9"/>
        </w:rPr>
        <w:t> </w:t>
      </w:r>
      <w:r>
        <w:rPr/>
        <w:t>under</w:t>
      </w:r>
      <w:r>
        <w:rPr>
          <w:spacing w:val="-8"/>
        </w:rPr>
        <w:t> </w:t>
      </w:r>
      <w:r>
        <w:rPr/>
        <w:t>existing</w:t>
      </w:r>
      <w:r>
        <w:rPr>
          <w:spacing w:val="-9"/>
        </w:rPr>
        <w:t> </w:t>
      </w:r>
      <w:r>
        <w:rPr/>
        <w:t>rules</w:t>
      </w:r>
      <w:r>
        <w:rPr>
          <w:spacing w:val="-8"/>
        </w:rPr>
        <w:t> </w:t>
      </w:r>
      <w:r>
        <w:rPr/>
        <w:t>on</w:t>
      </w:r>
      <w:r>
        <w:rPr>
          <w:spacing w:val="-9"/>
        </w:rPr>
        <w:t> </w:t>
      </w:r>
      <w:r>
        <w:rPr/>
        <w:t>the</w:t>
      </w:r>
      <w:r>
        <w:rPr>
          <w:spacing w:val="-7"/>
        </w:rPr>
        <w:t> </w:t>
      </w:r>
      <w:r>
        <w:rPr/>
        <w:t>approximation</w:t>
      </w:r>
      <w:r>
        <w:rPr>
          <w:spacing w:val="-10"/>
        </w:rPr>
        <w:t> </w:t>
      </w:r>
      <w:r>
        <w:rPr/>
        <w:t>of</w:t>
      </w:r>
      <w:r>
        <w:rPr>
          <w:spacing w:val="-7"/>
        </w:rPr>
        <w:t> </w:t>
      </w:r>
      <w:r>
        <w:rPr/>
        <w:t>routine</w:t>
      </w:r>
      <w:r>
        <w:rPr>
          <w:spacing w:val="-7"/>
        </w:rPr>
        <w:t> </w:t>
      </w:r>
      <w:r>
        <w:rPr/>
        <w:t>profit.</w:t>
      </w:r>
      <w:r>
        <w:rPr>
          <w:spacing w:val="-9"/>
        </w:rPr>
        <w:t> </w:t>
      </w:r>
      <w:r>
        <w:rPr/>
        <w:t>These</w:t>
      </w:r>
      <w:r>
        <w:rPr>
          <w:spacing w:val="-9"/>
        </w:rPr>
        <w:t> </w:t>
      </w:r>
      <w:r>
        <w:rPr/>
        <w:t>members</w:t>
      </w:r>
      <w:r>
        <w:rPr>
          <w:spacing w:val="-8"/>
        </w:rPr>
        <w:t> </w:t>
      </w:r>
      <w:r>
        <w:rPr/>
        <w:t>also generally consider that the same rules should apply to losses and profit shortfalls – a single carry-forward system (including for potential time restrictions) – and that this approach would not add any complexity and be easy to</w:t>
      </w:r>
      <w:r>
        <w:rPr>
          <w:spacing w:val="-7"/>
        </w:rPr>
        <w:t> </w:t>
      </w:r>
      <w:r>
        <w:rPr/>
        <w:t>administer.</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In contrast, for another group of members, accounting for profit shortfalls would not be justified in principle, and would also introduce a source of complexity and increase compliance and administrative burdens.</w:t>
      </w:r>
      <w:r>
        <w:rPr>
          <w:spacing w:val="-14"/>
          <w:sz w:val="20"/>
        </w:rPr>
        <w:t> </w:t>
      </w:r>
      <w:r>
        <w:rPr>
          <w:sz w:val="20"/>
        </w:rPr>
        <w:t>From</w:t>
      </w:r>
      <w:r>
        <w:rPr>
          <w:spacing w:val="-10"/>
          <w:sz w:val="20"/>
        </w:rPr>
        <w:t> </w:t>
      </w:r>
      <w:r>
        <w:rPr>
          <w:sz w:val="20"/>
        </w:rPr>
        <w:t>a</w:t>
      </w:r>
      <w:r>
        <w:rPr>
          <w:spacing w:val="-14"/>
          <w:sz w:val="20"/>
        </w:rPr>
        <w:t> </w:t>
      </w:r>
      <w:r>
        <w:rPr>
          <w:sz w:val="20"/>
        </w:rPr>
        <w:t>policy</w:t>
      </w:r>
      <w:r>
        <w:rPr>
          <w:spacing w:val="-16"/>
          <w:sz w:val="20"/>
        </w:rPr>
        <w:t> </w:t>
      </w:r>
      <w:r>
        <w:rPr>
          <w:sz w:val="20"/>
        </w:rPr>
        <w:t>standpoint,</w:t>
      </w:r>
      <w:r>
        <w:rPr>
          <w:spacing w:val="-14"/>
          <w:sz w:val="20"/>
        </w:rPr>
        <w:t> </w:t>
      </w:r>
      <w:r>
        <w:rPr>
          <w:sz w:val="20"/>
        </w:rPr>
        <w:t>these</w:t>
      </w:r>
      <w:r>
        <w:rPr>
          <w:spacing w:val="-14"/>
          <w:sz w:val="20"/>
        </w:rPr>
        <w:t> </w:t>
      </w:r>
      <w:r>
        <w:rPr>
          <w:sz w:val="20"/>
        </w:rPr>
        <w:t>members</w:t>
      </w:r>
      <w:r>
        <w:rPr>
          <w:spacing w:val="-12"/>
          <w:sz w:val="20"/>
        </w:rPr>
        <w:t> </w:t>
      </w:r>
      <w:r>
        <w:rPr>
          <w:sz w:val="20"/>
        </w:rPr>
        <w:t>note</w:t>
      </w:r>
      <w:r>
        <w:rPr>
          <w:spacing w:val="-14"/>
          <w:sz w:val="20"/>
        </w:rPr>
        <w:t> </w:t>
      </w:r>
      <w:r>
        <w:rPr>
          <w:sz w:val="20"/>
        </w:rPr>
        <w:t>that</w:t>
      </w:r>
      <w:r>
        <w:rPr>
          <w:spacing w:val="-14"/>
          <w:sz w:val="20"/>
        </w:rPr>
        <w:t> </w:t>
      </w:r>
      <w:r>
        <w:rPr>
          <w:sz w:val="20"/>
        </w:rPr>
        <w:t>most</w:t>
      </w:r>
      <w:r>
        <w:rPr>
          <w:spacing w:val="-14"/>
          <w:sz w:val="20"/>
        </w:rPr>
        <w:t> </w:t>
      </w:r>
      <w:r>
        <w:rPr>
          <w:sz w:val="20"/>
        </w:rPr>
        <w:t>existing</w:t>
      </w:r>
      <w:r>
        <w:rPr>
          <w:spacing w:val="-14"/>
          <w:sz w:val="20"/>
        </w:rPr>
        <w:t> </w:t>
      </w:r>
      <w:r>
        <w:rPr>
          <w:sz w:val="20"/>
        </w:rPr>
        <w:t>income</w:t>
      </w:r>
      <w:r>
        <w:rPr>
          <w:spacing w:val="-14"/>
          <w:sz w:val="20"/>
        </w:rPr>
        <w:t> </w:t>
      </w:r>
      <w:r>
        <w:rPr>
          <w:sz w:val="20"/>
        </w:rPr>
        <w:t>tax</w:t>
      </w:r>
      <w:r>
        <w:rPr>
          <w:spacing w:val="-13"/>
          <w:sz w:val="20"/>
        </w:rPr>
        <w:t> </w:t>
      </w:r>
      <w:r>
        <w:rPr>
          <w:sz w:val="20"/>
        </w:rPr>
        <w:t>rules</w:t>
      </w:r>
      <w:r>
        <w:rPr>
          <w:spacing w:val="-13"/>
          <w:sz w:val="20"/>
        </w:rPr>
        <w:t> </w:t>
      </w:r>
      <w:r>
        <w:rPr>
          <w:sz w:val="20"/>
        </w:rPr>
        <w:t>do</w:t>
      </w:r>
      <w:r>
        <w:rPr>
          <w:spacing w:val="-13"/>
          <w:sz w:val="20"/>
        </w:rPr>
        <w:t> </w:t>
      </w:r>
      <w:r>
        <w:rPr>
          <w:sz w:val="20"/>
        </w:rPr>
        <w:t>not</w:t>
      </w:r>
      <w:r>
        <w:rPr>
          <w:spacing w:val="-14"/>
          <w:sz w:val="20"/>
        </w:rPr>
        <w:t> </w:t>
      </w:r>
      <w:r>
        <w:rPr>
          <w:sz w:val="20"/>
        </w:rPr>
        <w:t>average profits over multiple years (including where there is a progressive tax rate), and also suggest that loss carry-forward regimes are designed only to enable taxpayers to recoup losses reflecting costs of their earlier investments. Because profit shortfalls are not a cost that impairs the ability of a group to recoup its past</w:t>
      </w:r>
      <w:r>
        <w:rPr>
          <w:spacing w:val="-6"/>
          <w:sz w:val="20"/>
        </w:rPr>
        <w:t> </w:t>
      </w:r>
      <w:r>
        <w:rPr>
          <w:sz w:val="20"/>
        </w:rPr>
        <w:t>investments,</w:t>
      </w:r>
      <w:r>
        <w:rPr>
          <w:spacing w:val="-6"/>
          <w:sz w:val="20"/>
        </w:rPr>
        <w:t> </w:t>
      </w:r>
      <w:r>
        <w:rPr>
          <w:sz w:val="20"/>
        </w:rPr>
        <w:t>they</w:t>
      </w:r>
      <w:r>
        <w:rPr>
          <w:spacing w:val="-9"/>
          <w:sz w:val="20"/>
        </w:rPr>
        <w:t> </w:t>
      </w:r>
      <w:r>
        <w:rPr>
          <w:sz w:val="20"/>
        </w:rPr>
        <w:t>see</w:t>
      </w:r>
      <w:r>
        <w:rPr>
          <w:spacing w:val="-4"/>
          <w:sz w:val="20"/>
        </w:rPr>
        <w:t> </w:t>
      </w:r>
      <w:r>
        <w:rPr>
          <w:sz w:val="20"/>
        </w:rPr>
        <w:t>them</w:t>
      </w:r>
      <w:r>
        <w:rPr>
          <w:spacing w:val="-2"/>
          <w:sz w:val="20"/>
        </w:rPr>
        <w:t> </w:t>
      </w:r>
      <w:r>
        <w:rPr>
          <w:sz w:val="20"/>
        </w:rPr>
        <w:t>as</w:t>
      </w:r>
      <w:r>
        <w:rPr>
          <w:spacing w:val="-5"/>
          <w:sz w:val="20"/>
        </w:rPr>
        <w:t> </w:t>
      </w:r>
      <w:r>
        <w:rPr>
          <w:sz w:val="20"/>
        </w:rPr>
        <w:t>fundamentally</w:t>
      </w:r>
      <w:r>
        <w:rPr>
          <w:spacing w:val="-10"/>
          <w:sz w:val="20"/>
        </w:rPr>
        <w:t> </w:t>
      </w:r>
      <w:r>
        <w:rPr>
          <w:sz w:val="20"/>
        </w:rPr>
        <w:t>different</w:t>
      </w:r>
      <w:r>
        <w:rPr>
          <w:spacing w:val="-5"/>
          <w:sz w:val="20"/>
        </w:rPr>
        <w:t> </w:t>
      </w:r>
      <w:r>
        <w:rPr>
          <w:sz w:val="20"/>
        </w:rPr>
        <w:t>from</w:t>
      </w:r>
      <w:r>
        <w:rPr>
          <w:spacing w:val="-2"/>
          <w:sz w:val="20"/>
        </w:rPr>
        <w:t> </w:t>
      </w:r>
      <w:r>
        <w:rPr>
          <w:sz w:val="20"/>
        </w:rPr>
        <w:t>losses,</w:t>
      </w:r>
      <w:r>
        <w:rPr>
          <w:spacing w:val="-6"/>
          <w:sz w:val="20"/>
        </w:rPr>
        <w:t> </w:t>
      </w:r>
      <w:r>
        <w:rPr>
          <w:sz w:val="20"/>
        </w:rPr>
        <w:t>and</w:t>
      </w:r>
      <w:r>
        <w:rPr>
          <w:spacing w:val="-3"/>
          <w:sz w:val="20"/>
        </w:rPr>
        <w:t> </w:t>
      </w:r>
      <w:r>
        <w:rPr>
          <w:sz w:val="20"/>
        </w:rPr>
        <w:t>take</w:t>
      </w:r>
      <w:r>
        <w:rPr>
          <w:spacing w:val="-7"/>
          <w:sz w:val="20"/>
        </w:rPr>
        <w:t> </w:t>
      </w:r>
      <w:r>
        <w:rPr>
          <w:sz w:val="20"/>
        </w:rPr>
        <w:t>the</w:t>
      </w:r>
      <w:r>
        <w:rPr>
          <w:spacing w:val="-4"/>
          <w:sz w:val="20"/>
        </w:rPr>
        <w:t> </w:t>
      </w:r>
      <w:r>
        <w:rPr>
          <w:sz w:val="20"/>
        </w:rPr>
        <w:t>view</w:t>
      </w:r>
      <w:r>
        <w:rPr>
          <w:spacing w:val="-5"/>
          <w:sz w:val="20"/>
        </w:rPr>
        <w:t> </w:t>
      </w:r>
      <w:r>
        <w:rPr>
          <w:sz w:val="20"/>
        </w:rPr>
        <w:t>that</w:t>
      </w:r>
      <w:r>
        <w:rPr>
          <w:spacing w:val="-7"/>
          <w:sz w:val="20"/>
        </w:rPr>
        <w:t> </w:t>
      </w:r>
      <w:r>
        <w:rPr>
          <w:sz w:val="20"/>
        </w:rPr>
        <w:t>there</w:t>
      </w:r>
      <w:r>
        <w:rPr>
          <w:spacing w:val="-3"/>
          <w:sz w:val="20"/>
        </w:rPr>
        <w:t> </w:t>
      </w:r>
      <w:r>
        <w:rPr>
          <w:sz w:val="20"/>
        </w:rPr>
        <w:t>is</w:t>
      </w:r>
      <w:r>
        <w:rPr>
          <w:spacing w:val="-5"/>
          <w:sz w:val="20"/>
        </w:rPr>
        <w:t> </w:t>
      </w:r>
      <w:r>
        <w:rPr>
          <w:sz w:val="20"/>
        </w:rPr>
        <w:t>no justification for allowing their carry-forward. These members also take the view that disregarding profit shortfalls has no or a limited impact on the tax burden of the taxpayer (depending on income tax rate differentials),</w:t>
      </w:r>
      <w:r>
        <w:rPr>
          <w:spacing w:val="-7"/>
          <w:sz w:val="20"/>
        </w:rPr>
        <w:t> </w:t>
      </w:r>
      <w:r>
        <w:rPr>
          <w:sz w:val="20"/>
        </w:rPr>
        <w:t>and</w:t>
      </w:r>
      <w:r>
        <w:rPr>
          <w:spacing w:val="-5"/>
          <w:sz w:val="20"/>
        </w:rPr>
        <w:t> </w:t>
      </w:r>
      <w:r>
        <w:rPr>
          <w:sz w:val="20"/>
        </w:rPr>
        <w:t>hence</w:t>
      </w:r>
      <w:r>
        <w:rPr>
          <w:spacing w:val="-6"/>
          <w:sz w:val="20"/>
        </w:rPr>
        <w:t> </w:t>
      </w:r>
      <w:r>
        <w:rPr>
          <w:sz w:val="20"/>
        </w:rPr>
        <w:t>on</w:t>
      </w:r>
      <w:r>
        <w:rPr>
          <w:spacing w:val="-5"/>
          <w:sz w:val="20"/>
        </w:rPr>
        <w:t> </w:t>
      </w:r>
      <w:r>
        <w:rPr>
          <w:sz w:val="20"/>
        </w:rPr>
        <w:t>neutrality,</w:t>
      </w:r>
      <w:r>
        <w:rPr>
          <w:spacing w:val="-6"/>
          <w:sz w:val="20"/>
        </w:rPr>
        <w:t> </w:t>
      </w:r>
      <w:r>
        <w:rPr>
          <w:sz w:val="20"/>
        </w:rPr>
        <w:t>as</w:t>
      </w:r>
      <w:r>
        <w:rPr>
          <w:spacing w:val="-6"/>
          <w:sz w:val="20"/>
        </w:rPr>
        <w:t> </w:t>
      </w:r>
      <w:r>
        <w:rPr>
          <w:sz w:val="20"/>
        </w:rPr>
        <w:t>it</w:t>
      </w:r>
      <w:r>
        <w:rPr>
          <w:spacing w:val="-5"/>
          <w:sz w:val="20"/>
        </w:rPr>
        <w:t> </w:t>
      </w:r>
      <w:r>
        <w:rPr>
          <w:sz w:val="20"/>
        </w:rPr>
        <w:t>only</w:t>
      </w:r>
      <w:r>
        <w:rPr>
          <w:spacing w:val="-11"/>
          <w:sz w:val="20"/>
        </w:rPr>
        <w:t> </w:t>
      </w:r>
      <w:r>
        <w:rPr>
          <w:sz w:val="20"/>
        </w:rPr>
        <w:t>changes</w:t>
      </w:r>
      <w:r>
        <w:rPr>
          <w:spacing w:val="-7"/>
          <w:sz w:val="20"/>
        </w:rPr>
        <w:t> </w:t>
      </w:r>
      <w:r>
        <w:rPr>
          <w:sz w:val="20"/>
        </w:rPr>
        <w:t>the</w:t>
      </w:r>
      <w:r>
        <w:rPr>
          <w:spacing w:val="-8"/>
          <w:sz w:val="20"/>
        </w:rPr>
        <w:t> </w:t>
      </w:r>
      <w:r>
        <w:rPr>
          <w:sz w:val="20"/>
        </w:rPr>
        <w:t>allocation</w:t>
      </w:r>
      <w:r>
        <w:rPr>
          <w:spacing w:val="-6"/>
          <w:sz w:val="20"/>
        </w:rPr>
        <w:t> </w:t>
      </w:r>
      <w:r>
        <w:rPr>
          <w:sz w:val="20"/>
        </w:rPr>
        <w:t>of</w:t>
      </w:r>
      <w:r>
        <w:rPr>
          <w:spacing w:val="-6"/>
          <w:sz w:val="20"/>
        </w:rPr>
        <w:t> </w:t>
      </w:r>
      <w:r>
        <w:rPr>
          <w:sz w:val="20"/>
        </w:rPr>
        <w:t>profit</w:t>
      </w:r>
      <w:r>
        <w:rPr>
          <w:spacing w:val="-7"/>
          <w:sz w:val="20"/>
        </w:rPr>
        <w:t> </w:t>
      </w:r>
      <w:r>
        <w:rPr>
          <w:sz w:val="20"/>
        </w:rPr>
        <w:t>(and</w:t>
      </w:r>
      <w:r>
        <w:rPr>
          <w:spacing w:val="-8"/>
          <w:sz w:val="20"/>
        </w:rPr>
        <w:t> </w:t>
      </w:r>
      <w:r>
        <w:rPr>
          <w:sz w:val="20"/>
        </w:rPr>
        <w:t>the</w:t>
      </w:r>
      <w:r>
        <w:rPr>
          <w:spacing w:val="-7"/>
          <w:sz w:val="20"/>
        </w:rPr>
        <w:t> </w:t>
      </w:r>
      <w:r>
        <w:rPr>
          <w:sz w:val="20"/>
        </w:rPr>
        <w:t>jurisdiction</w:t>
      </w:r>
      <w:r>
        <w:rPr>
          <w:spacing w:val="-4"/>
          <w:sz w:val="20"/>
        </w:rPr>
        <w:t> </w:t>
      </w:r>
      <w:r>
        <w:rPr>
          <w:sz w:val="20"/>
        </w:rPr>
        <w:t>where the taxpayer needs to pay its income tax). In addition, they consider this proposal inconsistent with the rationale of the Amount A profitability threshold, which is a simplified convention introduced to limit interactions</w:t>
      </w:r>
      <w:r>
        <w:rPr>
          <w:spacing w:val="-13"/>
          <w:sz w:val="20"/>
        </w:rPr>
        <w:t> </w:t>
      </w:r>
      <w:r>
        <w:rPr>
          <w:sz w:val="20"/>
        </w:rPr>
        <w:t>between</w:t>
      </w:r>
      <w:r>
        <w:rPr>
          <w:spacing w:val="-12"/>
          <w:sz w:val="20"/>
        </w:rPr>
        <w:t> </w:t>
      </w:r>
      <w:r>
        <w:rPr>
          <w:sz w:val="20"/>
        </w:rPr>
        <w:t>Amount</w:t>
      </w:r>
      <w:r>
        <w:rPr>
          <w:spacing w:val="-14"/>
          <w:sz w:val="20"/>
        </w:rPr>
        <w:t> </w:t>
      </w:r>
      <w:r>
        <w:rPr>
          <w:sz w:val="20"/>
        </w:rPr>
        <w:t>A</w:t>
      </w:r>
      <w:r>
        <w:rPr>
          <w:spacing w:val="-14"/>
          <w:sz w:val="20"/>
        </w:rPr>
        <w:t> </w:t>
      </w:r>
      <w:r>
        <w:rPr>
          <w:sz w:val="20"/>
        </w:rPr>
        <w:t>and</w:t>
      </w:r>
      <w:r>
        <w:rPr>
          <w:spacing w:val="-14"/>
          <w:sz w:val="20"/>
        </w:rPr>
        <w:t> </w:t>
      </w:r>
      <w:r>
        <w:rPr>
          <w:sz w:val="20"/>
        </w:rPr>
        <w:t>existing</w:t>
      </w:r>
      <w:r>
        <w:rPr>
          <w:spacing w:val="-14"/>
          <w:sz w:val="20"/>
        </w:rPr>
        <w:t> </w:t>
      </w:r>
      <w:r>
        <w:rPr>
          <w:sz w:val="20"/>
        </w:rPr>
        <w:t>profit</w:t>
      </w:r>
      <w:r>
        <w:rPr>
          <w:spacing w:val="-13"/>
          <w:sz w:val="20"/>
        </w:rPr>
        <w:t> </w:t>
      </w:r>
      <w:r>
        <w:rPr>
          <w:sz w:val="20"/>
        </w:rPr>
        <w:t>allocation</w:t>
      </w:r>
      <w:r>
        <w:rPr>
          <w:spacing w:val="-14"/>
          <w:sz w:val="20"/>
        </w:rPr>
        <w:t> </w:t>
      </w:r>
      <w:r>
        <w:rPr>
          <w:sz w:val="20"/>
        </w:rPr>
        <w:t>rules,</w:t>
      </w:r>
      <w:r>
        <w:rPr>
          <w:spacing w:val="-14"/>
          <w:sz w:val="20"/>
        </w:rPr>
        <w:t> </w:t>
      </w:r>
      <w:r>
        <w:rPr>
          <w:sz w:val="20"/>
        </w:rPr>
        <w:t>and</w:t>
      </w:r>
      <w:r>
        <w:rPr>
          <w:spacing w:val="-14"/>
          <w:sz w:val="20"/>
        </w:rPr>
        <w:t> </w:t>
      </w:r>
      <w:r>
        <w:rPr>
          <w:sz w:val="20"/>
        </w:rPr>
        <w:t>simplify</w:t>
      </w:r>
      <w:r>
        <w:rPr>
          <w:spacing w:val="-18"/>
          <w:sz w:val="20"/>
        </w:rPr>
        <w:t> </w:t>
      </w:r>
      <w:r>
        <w:rPr>
          <w:sz w:val="20"/>
        </w:rPr>
        <w:t>the</w:t>
      </w:r>
      <w:r>
        <w:rPr>
          <w:spacing w:val="-12"/>
          <w:sz w:val="20"/>
        </w:rPr>
        <w:t> </w:t>
      </w:r>
      <w:r>
        <w:rPr>
          <w:sz w:val="20"/>
        </w:rPr>
        <w:t>calculation</w:t>
      </w:r>
      <w:r>
        <w:rPr>
          <w:spacing w:val="-14"/>
          <w:sz w:val="20"/>
        </w:rPr>
        <w:t> </w:t>
      </w:r>
      <w:r>
        <w:rPr>
          <w:sz w:val="20"/>
        </w:rPr>
        <w:t>of</w:t>
      </w:r>
      <w:r>
        <w:rPr>
          <w:spacing w:val="-12"/>
          <w:sz w:val="20"/>
        </w:rPr>
        <w:t> </w:t>
      </w:r>
      <w:r>
        <w:rPr>
          <w:sz w:val="20"/>
        </w:rPr>
        <w:t>Amount</w:t>
      </w:r>
      <w:r>
        <w:rPr>
          <w:spacing w:val="-5"/>
          <w:sz w:val="20"/>
        </w:rPr>
        <w:t> </w:t>
      </w:r>
      <w:r>
        <w:rPr>
          <w:sz w:val="20"/>
        </w:rPr>
        <w:t>A profit. In their view, this threshold does not seek to replicate the concept of residual profit used in transfer pricing rules, is not intended to apply to the profit of an MNE group (or segment where relevant) over multiple</w:t>
      </w:r>
      <w:r>
        <w:rPr>
          <w:spacing w:val="-4"/>
          <w:sz w:val="20"/>
        </w:rPr>
        <w:t> </w:t>
      </w:r>
      <w:r>
        <w:rPr>
          <w:sz w:val="20"/>
        </w:rPr>
        <w:t>years,</w:t>
      </w:r>
      <w:r>
        <w:rPr>
          <w:spacing w:val="-7"/>
          <w:sz w:val="20"/>
        </w:rPr>
        <w:t> </w:t>
      </w:r>
      <w:r>
        <w:rPr>
          <w:sz w:val="20"/>
        </w:rPr>
        <w:t>and</w:t>
      </w:r>
      <w:r>
        <w:rPr>
          <w:spacing w:val="-7"/>
          <w:sz w:val="20"/>
        </w:rPr>
        <w:t> </w:t>
      </w:r>
      <w:r>
        <w:rPr>
          <w:sz w:val="20"/>
        </w:rPr>
        <w:t>involves</w:t>
      </w:r>
      <w:r>
        <w:rPr>
          <w:spacing w:val="-4"/>
          <w:sz w:val="20"/>
        </w:rPr>
        <w:t> </w:t>
      </w:r>
      <w:r>
        <w:rPr>
          <w:sz w:val="20"/>
        </w:rPr>
        <w:t>an</w:t>
      </w:r>
      <w:r>
        <w:rPr>
          <w:spacing w:val="-8"/>
          <w:sz w:val="20"/>
        </w:rPr>
        <w:t> </w:t>
      </w:r>
      <w:r>
        <w:rPr>
          <w:sz w:val="20"/>
        </w:rPr>
        <w:t>accepted</w:t>
      </w:r>
      <w:r>
        <w:rPr>
          <w:spacing w:val="-5"/>
          <w:sz w:val="20"/>
        </w:rPr>
        <w:t> </w:t>
      </w:r>
      <w:r>
        <w:rPr>
          <w:sz w:val="20"/>
        </w:rPr>
        <w:t>degree</w:t>
      </w:r>
      <w:r>
        <w:rPr>
          <w:spacing w:val="-5"/>
          <w:sz w:val="20"/>
        </w:rPr>
        <w:t> </w:t>
      </w:r>
      <w:r>
        <w:rPr>
          <w:sz w:val="20"/>
        </w:rPr>
        <w:t>of</w:t>
      </w:r>
      <w:r>
        <w:rPr>
          <w:spacing w:val="-5"/>
          <w:sz w:val="20"/>
        </w:rPr>
        <w:t> </w:t>
      </w:r>
      <w:r>
        <w:rPr>
          <w:sz w:val="20"/>
        </w:rPr>
        <w:t>approximation.</w:t>
      </w:r>
      <w:r>
        <w:rPr>
          <w:spacing w:val="-7"/>
          <w:sz w:val="20"/>
        </w:rPr>
        <w:t> </w:t>
      </w:r>
      <w:r>
        <w:rPr>
          <w:sz w:val="20"/>
        </w:rPr>
        <w:t>Finally,</w:t>
      </w:r>
      <w:r>
        <w:rPr>
          <w:spacing w:val="-7"/>
          <w:sz w:val="20"/>
        </w:rPr>
        <w:t> </w:t>
      </w:r>
      <w:r>
        <w:rPr>
          <w:sz w:val="20"/>
        </w:rPr>
        <w:t>these</w:t>
      </w:r>
      <w:r>
        <w:rPr>
          <w:spacing w:val="-8"/>
          <w:sz w:val="20"/>
        </w:rPr>
        <w:t> </w:t>
      </w:r>
      <w:r>
        <w:rPr>
          <w:sz w:val="20"/>
        </w:rPr>
        <w:t>members</w:t>
      </w:r>
      <w:r>
        <w:rPr>
          <w:spacing w:val="-6"/>
          <w:sz w:val="20"/>
        </w:rPr>
        <w:t> </w:t>
      </w:r>
      <w:r>
        <w:rPr>
          <w:sz w:val="20"/>
        </w:rPr>
        <w:t>are</w:t>
      </w:r>
      <w:r>
        <w:rPr>
          <w:spacing w:val="-7"/>
          <w:sz w:val="20"/>
        </w:rPr>
        <w:t> </w:t>
      </w:r>
      <w:r>
        <w:rPr>
          <w:sz w:val="20"/>
        </w:rPr>
        <w:t>concerned that this proposal would present practical difficulties. In their view, the different policy objective of “income averaging” would require a separate treatment of losses and profit shortfalls, and create the complexity of dealing with two distinct carry-forward regimes. Specifically, they consider that stricter time limits would need</w:t>
      </w:r>
      <w:r>
        <w:rPr>
          <w:spacing w:val="-13"/>
          <w:sz w:val="20"/>
        </w:rPr>
        <w:t> </w:t>
      </w:r>
      <w:r>
        <w:rPr>
          <w:sz w:val="20"/>
        </w:rPr>
        <w:t>to</w:t>
      </w:r>
      <w:r>
        <w:rPr>
          <w:spacing w:val="-12"/>
          <w:sz w:val="20"/>
        </w:rPr>
        <w:t> </w:t>
      </w:r>
      <w:r>
        <w:rPr>
          <w:sz w:val="20"/>
        </w:rPr>
        <w:t>apply</w:t>
      </w:r>
      <w:r>
        <w:rPr>
          <w:spacing w:val="-15"/>
          <w:sz w:val="20"/>
        </w:rPr>
        <w:t> </w:t>
      </w:r>
      <w:r>
        <w:rPr>
          <w:sz w:val="20"/>
        </w:rPr>
        <w:t>to</w:t>
      </w:r>
      <w:r>
        <w:rPr>
          <w:spacing w:val="-12"/>
          <w:sz w:val="20"/>
        </w:rPr>
        <w:t> </w:t>
      </w:r>
      <w:r>
        <w:rPr>
          <w:sz w:val="20"/>
        </w:rPr>
        <w:t>profit</w:t>
      </w:r>
      <w:r>
        <w:rPr>
          <w:spacing w:val="-14"/>
          <w:sz w:val="20"/>
        </w:rPr>
        <w:t> </w:t>
      </w:r>
      <w:r>
        <w:rPr>
          <w:sz w:val="20"/>
        </w:rPr>
        <w:t>shortfalls</w:t>
      </w:r>
      <w:r>
        <w:rPr>
          <w:spacing w:val="-12"/>
          <w:sz w:val="20"/>
        </w:rPr>
        <w:t> </w:t>
      </w:r>
      <w:r>
        <w:rPr>
          <w:sz w:val="20"/>
        </w:rPr>
        <w:t>compared</w:t>
      </w:r>
      <w:r>
        <w:rPr>
          <w:spacing w:val="-12"/>
          <w:sz w:val="20"/>
        </w:rPr>
        <w:t> </w:t>
      </w:r>
      <w:r>
        <w:rPr>
          <w:sz w:val="20"/>
        </w:rPr>
        <w:t>with</w:t>
      </w:r>
      <w:r>
        <w:rPr>
          <w:spacing w:val="-12"/>
          <w:sz w:val="20"/>
        </w:rPr>
        <w:t> </w:t>
      </w:r>
      <w:r>
        <w:rPr>
          <w:sz w:val="20"/>
        </w:rPr>
        <w:t>losses,</w:t>
      </w:r>
      <w:r>
        <w:rPr>
          <w:spacing w:val="-11"/>
          <w:sz w:val="20"/>
        </w:rPr>
        <w:t> </w:t>
      </w:r>
      <w:r>
        <w:rPr>
          <w:sz w:val="20"/>
        </w:rPr>
        <w:t>on</w:t>
      </w:r>
      <w:r>
        <w:rPr>
          <w:spacing w:val="-14"/>
          <w:sz w:val="20"/>
        </w:rPr>
        <w:t> </w:t>
      </w:r>
      <w:r>
        <w:rPr>
          <w:sz w:val="20"/>
        </w:rPr>
        <w:t>the</w:t>
      </w:r>
      <w:r>
        <w:rPr>
          <w:spacing w:val="-12"/>
          <w:sz w:val="20"/>
        </w:rPr>
        <w:t> </w:t>
      </w:r>
      <w:r>
        <w:rPr>
          <w:sz w:val="20"/>
        </w:rPr>
        <w:t>basis</w:t>
      </w:r>
      <w:r>
        <w:rPr>
          <w:spacing w:val="-5"/>
          <w:sz w:val="20"/>
        </w:rPr>
        <w:t> </w:t>
      </w:r>
      <w:r>
        <w:rPr>
          <w:sz w:val="20"/>
        </w:rPr>
        <w:t>that</w:t>
      </w:r>
      <w:r>
        <w:rPr>
          <w:spacing w:val="-11"/>
          <w:sz w:val="20"/>
        </w:rPr>
        <w:t> </w:t>
      </w:r>
      <w:r>
        <w:rPr>
          <w:sz w:val="20"/>
        </w:rPr>
        <w:t>accounting</w:t>
      </w:r>
      <w:r>
        <w:rPr>
          <w:spacing w:val="-12"/>
          <w:sz w:val="20"/>
        </w:rPr>
        <w:t> </w:t>
      </w:r>
      <w:r>
        <w:rPr>
          <w:sz w:val="20"/>
        </w:rPr>
        <w:t>for</w:t>
      </w:r>
      <w:r>
        <w:rPr>
          <w:spacing w:val="-13"/>
          <w:sz w:val="20"/>
        </w:rPr>
        <w:t> </w:t>
      </w:r>
      <w:r>
        <w:rPr>
          <w:sz w:val="20"/>
        </w:rPr>
        <w:t>profit</w:t>
      </w:r>
      <w:r>
        <w:rPr>
          <w:spacing w:val="-14"/>
          <w:sz w:val="20"/>
        </w:rPr>
        <w:t> </w:t>
      </w:r>
      <w:r>
        <w:rPr>
          <w:sz w:val="20"/>
        </w:rPr>
        <w:t>shortfalls</w:t>
      </w:r>
      <w:r>
        <w:rPr>
          <w:spacing w:val="-12"/>
          <w:sz w:val="20"/>
        </w:rPr>
        <w:t> </w:t>
      </w:r>
      <w:r>
        <w:rPr>
          <w:sz w:val="20"/>
        </w:rPr>
        <w:t>over an excessively long period would lead to inappropriate results. For example, a business with a low profit margin could accumulate unrelieved profit shortfalls over 10 or 15 years which would not be justified from a policy standpoint, and would create opportunities for tax planning. These members also note that profit shortfalls would increase the amount of losses administered by the Amount A carry-forward system, and hence</w:t>
      </w:r>
      <w:r>
        <w:rPr>
          <w:spacing w:val="-13"/>
          <w:sz w:val="20"/>
        </w:rPr>
        <w:t> </w:t>
      </w:r>
      <w:r>
        <w:rPr>
          <w:sz w:val="20"/>
        </w:rPr>
        <w:t>the</w:t>
      </w:r>
      <w:r>
        <w:rPr>
          <w:spacing w:val="-12"/>
          <w:sz w:val="20"/>
        </w:rPr>
        <w:t> </w:t>
      </w:r>
      <w:r>
        <w:rPr>
          <w:sz w:val="20"/>
        </w:rPr>
        <w:t>need</w:t>
      </w:r>
      <w:r>
        <w:rPr>
          <w:spacing w:val="-13"/>
          <w:sz w:val="20"/>
        </w:rPr>
        <w:t> </w:t>
      </w:r>
      <w:r>
        <w:rPr>
          <w:sz w:val="20"/>
        </w:rPr>
        <w:t>for</w:t>
      </w:r>
      <w:r>
        <w:rPr>
          <w:spacing w:val="-11"/>
          <w:sz w:val="20"/>
        </w:rPr>
        <w:t> </w:t>
      </w:r>
      <w:r>
        <w:rPr>
          <w:sz w:val="20"/>
        </w:rPr>
        <w:t>strict</w:t>
      </w:r>
      <w:r>
        <w:rPr>
          <w:spacing w:val="-12"/>
          <w:sz w:val="20"/>
        </w:rPr>
        <w:t> </w:t>
      </w:r>
      <w:r>
        <w:rPr>
          <w:sz w:val="20"/>
        </w:rPr>
        <w:t>and</w:t>
      </w:r>
      <w:r>
        <w:rPr>
          <w:spacing w:val="-12"/>
          <w:sz w:val="20"/>
        </w:rPr>
        <w:t> </w:t>
      </w:r>
      <w:r>
        <w:rPr>
          <w:sz w:val="20"/>
        </w:rPr>
        <w:t>complex</w:t>
      </w:r>
      <w:r>
        <w:rPr>
          <w:spacing w:val="-10"/>
          <w:sz w:val="20"/>
        </w:rPr>
        <w:t> </w:t>
      </w:r>
      <w:r>
        <w:rPr>
          <w:sz w:val="20"/>
        </w:rPr>
        <w:t>anti-avoidance</w:t>
      </w:r>
      <w:r>
        <w:rPr>
          <w:spacing w:val="-13"/>
          <w:sz w:val="20"/>
        </w:rPr>
        <w:t> </w:t>
      </w:r>
      <w:r>
        <w:rPr>
          <w:sz w:val="20"/>
        </w:rPr>
        <w:t>rules</w:t>
      </w:r>
      <w:r>
        <w:rPr>
          <w:spacing w:val="-10"/>
          <w:sz w:val="20"/>
        </w:rPr>
        <w:t> </w:t>
      </w:r>
      <w:r>
        <w:rPr>
          <w:sz w:val="20"/>
        </w:rPr>
        <w:t>to</w:t>
      </w:r>
      <w:r>
        <w:rPr>
          <w:spacing w:val="-13"/>
          <w:sz w:val="20"/>
        </w:rPr>
        <w:t> </w:t>
      </w:r>
      <w:r>
        <w:rPr>
          <w:sz w:val="20"/>
        </w:rPr>
        <w:t>prevent</w:t>
      </w:r>
      <w:r>
        <w:rPr>
          <w:spacing w:val="-12"/>
          <w:sz w:val="20"/>
        </w:rPr>
        <w:t> </w:t>
      </w:r>
      <w:r>
        <w:rPr>
          <w:sz w:val="20"/>
        </w:rPr>
        <w:t>the</w:t>
      </w:r>
      <w:r>
        <w:rPr>
          <w:spacing w:val="-12"/>
          <w:sz w:val="20"/>
        </w:rPr>
        <w:t> </w:t>
      </w:r>
      <w:r>
        <w:rPr>
          <w:sz w:val="20"/>
        </w:rPr>
        <w:t>trading</w:t>
      </w:r>
      <w:r>
        <w:rPr>
          <w:spacing w:val="-13"/>
          <w:sz w:val="20"/>
        </w:rPr>
        <w:t> </w:t>
      </w:r>
      <w:r>
        <w:rPr>
          <w:sz w:val="20"/>
        </w:rPr>
        <w:t>of</w:t>
      </w:r>
      <w:r>
        <w:rPr>
          <w:spacing w:val="-9"/>
          <w:sz w:val="20"/>
        </w:rPr>
        <w:t> </w:t>
      </w:r>
      <w:r>
        <w:rPr>
          <w:sz w:val="20"/>
        </w:rPr>
        <w:t>these</w:t>
      </w:r>
      <w:r>
        <w:rPr>
          <w:spacing w:val="-8"/>
          <w:sz w:val="20"/>
        </w:rPr>
        <w:t> </w:t>
      </w:r>
      <w:r>
        <w:rPr>
          <w:sz w:val="20"/>
        </w:rPr>
        <w:t>losses</w:t>
      </w:r>
      <w:r>
        <w:rPr>
          <w:spacing w:val="-11"/>
          <w:sz w:val="20"/>
        </w:rPr>
        <w:t> </w:t>
      </w:r>
      <w:r>
        <w:rPr>
          <w:sz w:val="20"/>
        </w:rPr>
        <w:t>(including in case of business reorganisations).</w:t>
      </w:r>
    </w:p>
    <w:p>
      <w:pPr>
        <w:pStyle w:val="ListParagraph"/>
        <w:numPr>
          <w:ilvl w:val="0"/>
          <w:numId w:val="13"/>
        </w:numPr>
        <w:tabs>
          <w:tab w:pos="1444" w:val="left" w:leader="none"/>
        </w:tabs>
        <w:spacing w:line="271" w:lineRule="auto" w:before="123" w:after="0"/>
        <w:ind w:left="723" w:right="480" w:firstLine="0"/>
        <w:jc w:val="both"/>
        <w:rPr>
          <w:sz w:val="20"/>
        </w:rPr>
      </w:pPr>
      <w:r>
        <w:rPr>
          <w:sz w:val="20"/>
        </w:rPr>
        <w:t>A</w:t>
      </w:r>
      <w:r>
        <w:rPr>
          <w:spacing w:val="-17"/>
          <w:sz w:val="20"/>
        </w:rPr>
        <w:t> </w:t>
      </w:r>
      <w:r>
        <w:rPr>
          <w:sz w:val="20"/>
        </w:rPr>
        <w:t>decision</w:t>
      </w:r>
      <w:r>
        <w:rPr>
          <w:spacing w:val="-14"/>
          <w:sz w:val="20"/>
        </w:rPr>
        <w:t> </w:t>
      </w:r>
      <w:r>
        <w:rPr>
          <w:sz w:val="20"/>
        </w:rPr>
        <w:t>will</w:t>
      </w:r>
      <w:r>
        <w:rPr>
          <w:spacing w:val="-14"/>
          <w:sz w:val="20"/>
        </w:rPr>
        <w:t> </w:t>
      </w:r>
      <w:r>
        <w:rPr>
          <w:sz w:val="20"/>
        </w:rPr>
        <w:t>be</w:t>
      </w:r>
      <w:r>
        <w:rPr>
          <w:spacing w:val="-13"/>
          <w:sz w:val="20"/>
        </w:rPr>
        <w:t> </w:t>
      </w:r>
      <w:r>
        <w:rPr>
          <w:sz w:val="20"/>
        </w:rPr>
        <w:t>necessary</w:t>
      </w:r>
      <w:r>
        <w:rPr>
          <w:spacing w:val="-17"/>
          <w:sz w:val="20"/>
        </w:rPr>
        <w:t> </w:t>
      </w:r>
      <w:r>
        <w:rPr>
          <w:sz w:val="20"/>
        </w:rPr>
        <w:t>to</w:t>
      </w:r>
      <w:r>
        <w:rPr>
          <w:spacing w:val="-11"/>
          <w:sz w:val="20"/>
        </w:rPr>
        <w:t> </w:t>
      </w:r>
      <w:r>
        <w:rPr>
          <w:sz w:val="20"/>
        </w:rPr>
        <w:t>determine</w:t>
      </w:r>
      <w:r>
        <w:rPr>
          <w:spacing w:val="-14"/>
          <w:sz w:val="20"/>
        </w:rPr>
        <w:t> </w:t>
      </w:r>
      <w:r>
        <w:rPr>
          <w:sz w:val="20"/>
        </w:rPr>
        <w:t>whether</w:t>
      </w:r>
      <w:r>
        <w:rPr>
          <w:spacing w:val="-15"/>
          <w:sz w:val="20"/>
        </w:rPr>
        <w:t> </w:t>
      </w:r>
      <w:r>
        <w:rPr>
          <w:sz w:val="20"/>
        </w:rPr>
        <w:t>the</w:t>
      </w:r>
      <w:r>
        <w:rPr>
          <w:spacing w:val="-13"/>
          <w:sz w:val="20"/>
        </w:rPr>
        <w:t> </w:t>
      </w:r>
      <w:r>
        <w:rPr>
          <w:sz w:val="20"/>
        </w:rPr>
        <w:t>Amount</w:t>
      </w:r>
      <w:r>
        <w:rPr>
          <w:spacing w:val="-16"/>
          <w:sz w:val="20"/>
        </w:rPr>
        <w:t> </w:t>
      </w:r>
      <w:r>
        <w:rPr>
          <w:sz w:val="20"/>
        </w:rPr>
        <w:t>A</w:t>
      </w:r>
      <w:r>
        <w:rPr>
          <w:spacing w:val="-17"/>
          <w:sz w:val="20"/>
        </w:rPr>
        <w:t> </w:t>
      </w:r>
      <w:r>
        <w:rPr>
          <w:sz w:val="20"/>
        </w:rPr>
        <w:t>carry-forward</w:t>
      </w:r>
      <w:r>
        <w:rPr>
          <w:spacing w:val="-15"/>
          <w:sz w:val="20"/>
        </w:rPr>
        <w:t> </w:t>
      </w:r>
      <w:r>
        <w:rPr>
          <w:sz w:val="20"/>
        </w:rPr>
        <w:t>should</w:t>
      </w:r>
      <w:r>
        <w:rPr>
          <w:spacing w:val="-14"/>
          <w:sz w:val="20"/>
        </w:rPr>
        <w:t> </w:t>
      </w:r>
      <w:r>
        <w:rPr>
          <w:sz w:val="20"/>
        </w:rPr>
        <w:t>be</w:t>
      </w:r>
      <w:r>
        <w:rPr>
          <w:spacing w:val="-14"/>
          <w:sz w:val="20"/>
        </w:rPr>
        <w:t> </w:t>
      </w:r>
      <w:r>
        <w:rPr>
          <w:sz w:val="20"/>
        </w:rPr>
        <w:t>extended to profit shortfalls. To facilitate this decision, further work will be conducted to estimate the impact of accounting</w:t>
      </w:r>
      <w:r>
        <w:rPr>
          <w:spacing w:val="-12"/>
          <w:sz w:val="20"/>
        </w:rPr>
        <w:t> </w:t>
      </w:r>
      <w:r>
        <w:rPr>
          <w:sz w:val="20"/>
        </w:rPr>
        <w:t>for</w:t>
      </w:r>
      <w:r>
        <w:rPr>
          <w:spacing w:val="-13"/>
          <w:sz w:val="20"/>
        </w:rPr>
        <w:t> </w:t>
      </w:r>
      <w:r>
        <w:rPr>
          <w:sz w:val="20"/>
        </w:rPr>
        <w:t>profit</w:t>
      </w:r>
      <w:r>
        <w:rPr>
          <w:spacing w:val="-13"/>
          <w:sz w:val="20"/>
        </w:rPr>
        <w:t> </w:t>
      </w:r>
      <w:r>
        <w:rPr>
          <w:sz w:val="20"/>
        </w:rPr>
        <w:t>shortfalls</w:t>
      </w:r>
      <w:r>
        <w:rPr>
          <w:spacing w:val="-12"/>
          <w:sz w:val="20"/>
        </w:rPr>
        <w:t> </w:t>
      </w:r>
      <w:r>
        <w:rPr>
          <w:sz w:val="20"/>
        </w:rPr>
        <w:t>on</w:t>
      </w:r>
      <w:r>
        <w:rPr>
          <w:spacing w:val="-11"/>
          <w:sz w:val="20"/>
        </w:rPr>
        <w:t> </w:t>
      </w:r>
      <w:r>
        <w:rPr>
          <w:sz w:val="20"/>
        </w:rPr>
        <w:t>the</w:t>
      </w:r>
      <w:r>
        <w:rPr>
          <w:spacing w:val="-12"/>
          <w:sz w:val="20"/>
        </w:rPr>
        <w:t> </w:t>
      </w:r>
      <w:r>
        <w:rPr>
          <w:sz w:val="20"/>
        </w:rPr>
        <w:t>amount</w:t>
      </w:r>
      <w:r>
        <w:rPr>
          <w:spacing w:val="-13"/>
          <w:sz w:val="20"/>
        </w:rPr>
        <w:t> </w:t>
      </w:r>
      <w:r>
        <w:rPr>
          <w:sz w:val="20"/>
        </w:rPr>
        <w:t>of</w:t>
      </w:r>
      <w:r>
        <w:rPr>
          <w:spacing w:val="-9"/>
          <w:sz w:val="20"/>
        </w:rPr>
        <w:t> </w:t>
      </w:r>
      <w:r>
        <w:rPr>
          <w:sz w:val="20"/>
        </w:rPr>
        <w:t>losses</w:t>
      </w:r>
      <w:r>
        <w:rPr>
          <w:spacing w:val="-12"/>
          <w:sz w:val="20"/>
        </w:rPr>
        <w:t> </w:t>
      </w:r>
      <w:r>
        <w:rPr>
          <w:sz w:val="20"/>
        </w:rPr>
        <w:t>administered</w:t>
      </w:r>
      <w:r>
        <w:rPr>
          <w:spacing w:val="-11"/>
          <w:sz w:val="20"/>
        </w:rPr>
        <w:t> </w:t>
      </w:r>
      <w:r>
        <w:rPr>
          <w:sz w:val="20"/>
        </w:rPr>
        <w:t>by</w:t>
      </w:r>
      <w:r>
        <w:rPr>
          <w:spacing w:val="-14"/>
          <w:sz w:val="20"/>
        </w:rPr>
        <w:t> </w:t>
      </w:r>
      <w:r>
        <w:rPr>
          <w:sz w:val="20"/>
        </w:rPr>
        <w:t>the</w:t>
      </w:r>
      <w:r>
        <w:rPr>
          <w:spacing w:val="-12"/>
          <w:sz w:val="20"/>
        </w:rPr>
        <w:t> </w:t>
      </w:r>
      <w:r>
        <w:rPr>
          <w:sz w:val="20"/>
        </w:rPr>
        <w:t>Amount</w:t>
      </w:r>
      <w:r>
        <w:rPr>
          <w:spacing w:val="-11"/>
          <w:sz w:val="20"/>
        </w:rPr>
        <w:t> </w:t>
      </w:r>
      <w:r>
        <w:rPr>
          <w:sz w:val="20"/>
        </w:rPr>
        <w:t>A</w:t>
      </w:r>
      <w:r>
        <w:rPr>
          <w:spacing w:val="-14"/>
          <w:sz w:val="20"/>
        </w:rPr>
        <w:t> </w:t>
      </w:r>
      <w:r>
        <w:rPr>
          <w:sz w:val="20"/>
        </w:rPr>
        <w:t>carry-forward</w:t>
      </w:r>
      <w:r>
        <w:rPr>
          <w:spacing w:val="-10"/>
          <w:sz w:val="20"/>
        </w:rPr>
        <w:t> </w:t>
      </w:r>
      <w:r>
        <w:rPr>
          <w:sz w:val="20"/>
        </w:rPr>
        <w:t>regime (and on the Amount A profit of in-scope MNE groups), and in turn on reducing the quantum of Amount A. Relevant</w:t>
      </w:r>
      <w:r>
        <w:rPr>
          <w:spacing w:val="-11"/>
          <w:sz w:val="20"/>
        </w:rPr>
        <w:t> </w:t>
      </w:r>
      <w:r>
        <w:rPr>
          <w:sz w:val="20"/>
        </w:rPr>
        <w:t>considerations</w:t>
      </w:r>
      <w:r>
        <w:rPr>
          <w:spacing w:val="-7"/>
          <w:sz w:val="20"/>
        </w:rPr>
        <w:t> </w:t>
      </w:r>
      <w:r>
        <w:rPr>
          <w:sz w:val="20"/>
        </w:rPr>
        <w:t>will</w:t>
      </w:r>
      <w:r>
        <w:rPr>
          <w:spacing w:val="-12"/>
          <w:sz w:val="20"/>
        </w:rPr>
        <w:t> </w:t>
      </w:r>
      <w:r>
        <w:rPr>
          <w:sz w:val="20"/>
        </w:rPr>
        <w:t>include</w:t>
      </w:r>
      <w:r>
        <w:rPr>
          <w:spacing w:val="-8"/>
          <w:sz w:val="20"/>
        </w:rPr>
        <w:t> </w:t>
      </w:r>
      <w:r>
        <w:rPr>
          <w:sz w:val="20"/>
        </w:rPr>
        <w:t>possible</w:t>
      </w:r>
      <w:r>
        <w:rPr>
          <w:spacing w:val="-11"/>
          <w:sz w:val="20"/>
        </w:rPr>
        <w:t> </w:t>
      </w:r>
      <w:r>
        <w:rPr>
          <w:sz w:val="20"/>
        </w:rPr>
        <w:t>implications</w:t>
      </w:r>
      <w:r>
        <w:rPr>
          <w:spacing w:val="-10"/>
          <w:sz w:val="20"/>
        </w:rPr>
        <w:t> </w:t>
      </w:r>
      <w:r>
        <w:rPr>
          <w:sz w:val="20"/>
        </w:rPr>
        <w:t>and</w:t>
      </w:r>
      <w:r>
        <w:rPr>
          <w:spacing w:val="-10"/>
          <w:sz w:val="20"/>
        </w:rPr>
        <w:t> </w:t>
      </w:r>
      <w:r>
        <w:rPr>
          <w:sz w:val="20"/>
        </w:rPr>
        <w:t>spill-overs</w:t>
      </w:r>
      <w:r>
        <w:rPr>
          <w:spacing w:val="-9"/>
          <w:sz w:val="20"/>
        </w:rPr>
        <w:t> </w:t>
      </w:r>
      <w:r>
        <w:rPr>
          <w:sz w:val="20"/>
        </w:rPr>
        <w:t>of</w:t>
      </w:r>
      <w:r>
        <w:rPr>
          <w:spacing w:val="-9"/>
          <w:sz w:val="20"/>
        </w:rPr>
        <w:t> </w:t>
      </w:r>
      <w:r>
        <w:rPr>
          <w:sz w:val="20"/>
        </w:rPr>
        <w:t>this</w:t>
      </w:r>
      <w:r>
        <w:rPr>
          <w:spacing w:val="-10"/>
          <w:sz w:val="20"/>
        </w:rPr>
        <w:t> </w:t>
      </w:r>
      <w:r>
        <w:rPr>
          <w:sz w:val="20"/>
        </w:rPr>
        <w:t>proposal</w:t>
      </w:r>
      <w:r>
        <w:rPr>
          <w:spacing w:val="-9"/>
          <w:sz w:val="20"/>
        </w:rPr>
        <w:t> </w:t>
      </w:r>
      <w:r>
        <w:rPr>
          <w:sz w:val="20"/>
        </w:rPr>
        <w:t>on</w:t>
      </w:r>
      <w:r>
        <w:rPr>
          <w:spacing w:val="-11"/>
          <w:sz w:val="20"/>
        </w:rPr>
        <w:t> </w:t>
      </w:r>
      <w:r>
        <w:rPr>
          <w:sz w:val="20"/>
        </w:rPr>
        <w:t>other</w:t>
      </w:r>
      <w:r>
        <w:rPr>
          <w:spacing w:val="-10"/>
          <w:sz w:val="20"/>
        </w:rPr>
        <w:t> </w:t>
      </w:r>
      <w:r>
        <w:rPr>
          <w:sz w:val="20"/>
        </w:rPr>
        <w:t>features of this carry-forward regime or of Amount A, such as time limitations for the use of losses (see section </w:t>
      </w:r>
      <w:hyperlink w:history="true" w:anchor="_bookmark36">
        <w:r>
          <w:rPr>
            <w:sz w:val="20"/>
          </w:rPr>
          <w:t>5.4.4</w:t>
        </w:r>
      </w:hyperlink>
      <w:r>
        <w:rPr>
          <w:sz w:val="20"/>
        </w:rPr>
        <w:t>), or the level of the profitability threshold in the Amount A formula (see section</w:t>
      </w:r>
      <w:r>
        <w:rPr>
          <w:spacing w:val="-16"/>
          <w:sz w:val="20"/>
        </w:rPr>
        <w:t> </w:t>
      </w:r>
      <w:hyperlink w:history="true" w:anchor="_bookmark41">
        <w:r>
          <w:rPr>
            <w:sz w:val="20"/>
          </w:rPr>
          <w:t>6.2.1</w:t>
        </w:r>
      </w:hyperlink>
      <w:r>
        <w:rPr>
          <w:sz w:val="20"/>
        </w:rPr>
        <w:t>).</w:t>
      </w:r>
    </w:p>
    <w:p>
      <w:pPr>
        <w:spacing w:after="0" w:line="271" w:lineRule="auto"/>
        <w:jc w:val="both"/>
        <w:rPr>
          <w:sz w:val="20"/>
        </w:rPr>
        <w:sectPr>
          <w:pgSz w:w="11910" w:h="16840"/>
          <w:pgMar w:header="1244" w:footer="1638" w:top="1500" w:bottom="1820" w:left="580" w:right="820"/>
        </w:sectPr>
      </w:pPr>
    </w:p>
    <w:p>
      <w:pPr>
        <w:pStyle w:val="BodyText"/>
        <w:spacing w:before="4"/>
        <w:rPr>
          <w:sz w:val="19"/>
        </w:rPr>
      </w:pPr>
    </w:p>
    <w:p>
      <w:pPr>
        <w:pStyle w:val="Heading6"/>
        <w:numPr>
          <w:ilvl w:val="2"/>
          <w:numId w:val="59"/>
        </w:numPr>
        <w:tabs>
          <w:tab w:pos="2015" w:val="left" w:leader="none"/>
        </w:tabs>
        <w:spacing w:line="240" w:lineRule="auto" w:before="94" w:after="0"/>
        <w:ind w:left="2014" w:right="0" w:hanging="613"/>
        <w:jc w:val="left"/>
        <w:rPr>
          <w:i/>
        </w:rPr>
      </w:pPr>
      <w:bookmarkStart w:name="5.4.7. Administration" w:id="262"/>
      <w:bookmarkEnd w:id="262"/>
      <w:r>
        <w:rPr>
          <w:b w:val="0"/>
          <w:i w:val="0"/>
        </w:rPr>
      </w:r>
      <w:bookmarkStart w:name="5.4.7. Administration" w:id="263"/>
      <w:bookmarkEnd w:id="263"/>
      <w:r>
        <w:rPr>
          <w:i/>
        </w:rPr>
        <w:t>A</w:t>
      </w:r>
      <w:r>
        <w:rPr>
          <w:i/>
        </w:rPr>
        <w:t>dministration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The approach under consideration requires potentially all MNE groups in scope of Amount A to compute</w:t>
      </w:r>
      <w:r>
        <w:rPr>
          <w:spacing w:val="-9"/>
          <w:sz w:val="20"/>
        </w:rPr>
        <w:t> </w:t>
      </w:r>
      <w:r>
        <w:rPr>
          <w:sz w:val="20"/>
        </w:rPr>
        <w:t>their</w:t>
      </w:r>
      <w:r>
        <w:rPr>
          <w:spacing w:val="-6"/>
          <w:sz w:val="20"/>
        </w:rPr>
        <w:t> </w:t>
      </w:r>
      <w:r>
        <w:rPr>
          <w:sz w:val="20"/>
        </w:rPr>
        <w:t>Amount</w:t>
      </w:r>
      <w:r>
        <w:rPr>
          <w:spacing w:val="-9"/>
          <w:sz w:val="20"/>
        </w:rPr>
        <w:t> </w:t>
      </w:r>
      <w:r>
        <w:rPr>
          <w:sz w:val="20"/>
        </w:rPr>
        <w:t>A</w:t>
      </w:r>
      <w:r>
        <w:rPr>
          <w:spacing w:val="-7"/>
          <w:sz w:val="20"/>
        </w:rPr>
        <w:t> </w:t>
      </w:r>
      <w:r>
        <w:rPr>
          <w:sz w:val="20"/>
        </w:rPr>
        <w:t>tax</w:t>
      </w:r>
      <w:r>
        <w:rPr>
          <w:spacing w:val="-8"/>
          <w:sz w:val="20"/>
        </w:rPr>
        <w:t> </w:t>
      </w:r>
      <w:r>
        <w:rPr>
          <w:sz w:val="20"/>
        </w:rPr>
        <w:t>base</w:t>
      </w:r>
      <w:r>
        <w:rPr>
          <w:spacing w:val="-7"/>
          <w:sz w:val="20"/>
        </w:rPr>
        <w:t> </w:t>
      </w:r>
      <w:r>
        <w:rPr>
          <w:sz w:val="20"/>
        </w:rPr>
        <w:t>to</w:t>
      </w:r>
      <w:r>
        <w:rPr>
          <w:spacing w:val="-5"/>
          <w:sz w:val="20"/>
        </w:rPr>
        <w:t> </w:t>
      </w:r>
      <w:r>
        <w:rPr>
          <w:sz w:val="20"/>
        </w:rPr>
        <w:t>identify</w:t>
      </w:r>
      <w:r>
        <w:rPr>
          <w:spacing w:val="-10"/>
          <w:sz w:val="20"/>
        </w:rPr>
        <w:t> </w:t>
      </w:r>
      <w:r>
        <w:rPr>
          <w:sz w:val="20"/>
        </w:rPr>
        <w:t>and</w:t>
      </w:r>
      <w:r>
        <w:rPr>
          <w:spacing w:val="-7"/>
          <w:sz w:val="20"/>
        </w:rPr>
        <w:t> </w:t>
      </w:r>
      <w:r>
        <w:rPr>
          <w:sz w:val="20"/>
        </w:rPr>
        <w:t>preserve</w:t>
      </w:r>
      <w:r>
        <w:rPr>
          <w:spacing w:val="-6"/>
          <w:sz w:val="20"/>
        </w:rPr>
        <w:t> </w:t>
      </w:r>
      <w:r>
        <w:rPr>
          <w:sz w:val="20"/>
        </w:rPr>
        <w:t>losses</w:t>
      </w:r>
      <w:r>
        <w:rPr>
          <w:spacing w:val="-8"/>
          <w:sz w:val="20"/>
        </w:rPr>
        <w:t> </w:t>
      </w:r>
      <w:r>
        <w:rPr>
          <w:sz w:val="20"/>
        </w:rPr>
        <w:t>incurred</w:t>
      </w:r>
      <w:r>
        <w:rPr>
          <w:spacing w:val="-7"/>
          <w:sz w:val="20"/>
        </w:rPr>
        <w:t> </w:t>
      </w:r>
      <w:r>
        <w:rPr>
          <w:sz w:val="20"/>
        </w:rPr>
        <w:t>over</w:t>
      </w:r>
      <w:r>
        <w:rPr>
          <w:spacing w:val="-8"/>
          <w:sz w:val="20"/>
        </w:rPr>
        <w:t> </w:t>
      </w:r>
      <w:r>
        <w:rPr>
          <w:sz w:val="20"/>
        </w:rPr>
        <w:t>a</w:t>
      </w:r>
      <w:r>
        <w:rPr>
          <w:spacing w:val="-7"/>
          <w:sz w:val="20"/>
        </w:rPr>
        <w:t> </w:t>
      </w:r>
      <w:r>
        <w:rPr>
          <w:sz w:val="20"/>
        </w:rPr>
        <w:t>given</w:t>
      </w:r>
      <w:r>
        <w:rPr>
          <w:spacing w:val="-7"/>
          <w:sz w:val="20"/>
        </w:rPr>
        <w:t> </w:t>
      </w:r>
      <w:r>
        <w:rPr>
          <w:sz w:val="20"/>
        </w:rPr>
        <w:t>period,</w:t>
      </w:r>
      <w:r>
        <w:rPr>
          <w:spacing w:val="-7"/>
          <w:sz w:val="20"/>
        </w:rPr>
        <w:t> </w:t>
      </w:r>
      <w:r>
        <w:rPr>
          <w:sz w:val="20"/>
        </w:rPr>
        <w:t>including</w:t>
      </w:r>
      <w:r>
        <w:rPr>
          <w:spacing w:val="-5"/>
          <w:sz w:val="20"/>
        </w:rPr>
        <w:t> </w:t>
      </w:r>
      <w:r>
        <w:rPr>
          <w:sz w:val="20"/>
        </w:rPr>
        <w:t>in periods where MNE groups may not foresee profit in the near or medium term that would be relevant for Amount</w:t>
      </w:r>
      <w:r>
        <w:rPr>
          <w:spacing w:val="-16"/>
          <w:sz w:val="20"/>
        </w:rPr>
        <w:t> </w:t>
      </w:r>
      <w:r>
        <w:rPr>
          <w:sz w:val="20"/>
        </w:rPr>
        <w:t>A</w:t>
      </w:r>
      <w:r>
        <w:rPr>
          <w:spacing w:val="-16"/>
          <w:sz w:val="20"/>
        </w:rPr>
        <w:t> </w:t>
      </w:r>
      <w:r>
        <w:rPr>
          <w:sz w:val="20"/>
        </w:rPr>
        <w:t>purposes</w:t>
      </w:r>
      <w:r>
        <w:rPr>
          <w:spacing w:val="-15"/>
          <w:sz w:val="20"/>
        </w:rPr>
        <w:t> </w:t>
      </w:r>
      <w:r>
        <w:rPr>
          <w:sz w:val="20"/>
        </w:rPr>
        <w:t>(in</w:t>
      </w:r>
      <w:r>
        <w:rPr>
          <w:spacing w:val="-16"/>
          <w:sz w:val="20"/>
        </w:rPr>
        <w:t> </w:t>
      </w:r>
      <w:r>
        <w:rPr>
          <w:sz w:val="20"/>
        </w:rPr>
        <w:t>excess</w:t>
      </w:r>
      <w:r>
        <w:rPr>
          <w:spacing w:val="-14"/>
          <w:sz w:val="20"/>
        </w:rPr>
        <w:t> </w:t>
      </w:r>
      <w:r>
        <w:rPr>
          <w:sz w:val="20"/>
        </w:rPr>
        <w:t>of</w:t>
      </w:r>
      <w:r>
        <w:rPr>
          <w:spacing w:val="-14"/>
          <w:sz w:val="20"/>
        </w:rPr>
        <w:t> </w:t>
      </w:r>
      <w:r>
        <w:rPr>
          <w:sz w:val="20"/>
        </w:rPr>
        <w:t>the</w:t>
      </w:r>
      <w:r>
        <w:rPr>
          <w:spacing w:val="-16"/>
          <w:sz w:val="20"/>
        </w:rPr>
        <w:t> </w:t>
      </w:r>
      <w:r>
        <w:rPr>
          <w:sz w:val="20"/>
        </w:rPr>
        <w:t>profitability</w:t>
      </w:r>
      <w:r>
        <w:rPr>
          <w:spacing w:val="-18"/>
          <w:sz w:val="20"/>
        </w:rPr>
        <w:t> </w:t>
      </w:r>
      <w:r>
        <w:rPr>
          <w:sz w:val="20"/>
        </w:rPr>
        <w:t>threshold).</w:t>
      </w:r>
      <w:r>
        <w:rPr>
          <w:position w:val="6"/>
          <w:sz w:val="13"/>
        </w:rPr>
        <w:t>95</w:t>
      </w:r>
      <w:r>
        <w:rPr>
          <w:spacing w:val="-10"/>
          <w:position w:val="6"/>
          <w:sz w:val="13"/>
        </w:rPr>
        <w:t> </w:t>
      </w:r>
      <w:r>
        <w:rPr>
          <w:sz w:val="20"/>
        </w:rPr>
        <w:t>To</w:t>
      </w:r>
      <w:r>
        <w:rPr>
          <w:spacing w:val="-18"/>
          <w:sz w:val="20"/>
        </w:rPr>
        <w:t> </w:t>
      </w:r>
      <w:r>
        <w:rPr>
          <w:sz w:val="20"/>
        </w:rPr>
        <w:t>manage</w:t>
      </w:r>
      <w:r>
        <w:rPr>
          <w:spacing w:val="-16"/>
          <w:sz w:val="20"/>
        </w:rPr>
        <w:t> </w:t>
      </w:r>
      <w:r>
        <w:rPr>
          <w:sz w:val="20"/>
        </w:rPr>
        <w:t>the</w:t>
      </w:r>
      <w:r>
        <w:rPr>
          <w:spacing w:val="-14"/>
          <w:sz w:val="20"/>
        </w:rPr>
        <w:t> </w:t>
      </w:r>
      <w:r>
        <w:rPr>
          <w:sz w:val="20"/>
        </w:rPr>
        <w:t>loss</w:t>
      </w:r>
      <w:r>
        <w:rPr>
          <w:spacing w:val="-14"/>
          <w:sz w:val="20"/>
        </w:rPr>
        <w:t> </w:t>
      </w:r>
      <w:r>
        <w:rPr>
          <w:sz w:val="20"/>
        </w:rPr>
        <w:t>account(s),</w:t>
      </w:r>
      <w:r>
        <w:rPr>
          <w:spacing w:val="-16"/>
          <w:sz w:val="20"/>
        </w:rPr>
        <w:t> </w:t>
      </w:r>
      <w:r>
        <w:rPr>
          <w:sz w:val="20"/>
        </w:rPr>
        <w:t>these</w:t>
      </w:r>
      <w:r>
        <w:rPr>
          <w:spacing w:val="-13"/>
          <w:sz w:val="20"/>
        </w:rPr>
        <w:t> </w:t>
      </w:r>
      <w:r>
        <w:rPr>
          <w:sz w:val="20"/>
        </w:rPr>
        <w:t>groups will also be subject to specific filing and documentation requirements, such as keeping records at group level (or segment where relevant) of carried-forward losses (including pre-regime losses) for each period from the introduction of the new taxing right. This compliance burden could, however, be substantially mitigated by the development of a simplified and centralised compliance framework for Amount A (including standardised filing requirements), where one entity in the group would be responsible for administration and compliance with Amount A (see section </w:t>
      </w:r>
      <w:hyperlink w:history="true" w:anchor="_bookmark75">
        <w:r>
          <w:rPr>
            <w:sz w:val="20"/>
          </w:rPr>
          <w:t>10.2.1</w:t>
        </w:r>
      </w:hyperlink>
      <w:r>
        <w:rPr>
          <w:sz w:val="20"/>
        </w:rPr>
        <w:t>). Further, other procedures developed to facilitate the administration of Amount A are likely to be relevant for the proposed loss carry-forward regime, such as the opportunity to obtain early certainty (e.g. calculation and allocation of pre-regime losses, impact on unrelieved losses of a business</w:t>
      </w:r>
      <w:r>
        <w:rPr>
          <w:spacing w:val="-10"/>
          <w:sz w:val="20"/>
        </w:rPr>
        <w:t> </w:t>
      </w:r>
      <w:r>
        <w:rPr>
          <w:sz w:val="20"/>
        </w:rPr>
        <w:t>reorganisation).</w:t>
      </w:r>
    </w:p>
    <w:p>
      <w:pPr>
        <w:pStyle w:val="BodyText"/>
        <w:spacing w:before="8"/>
        <w:rPr>
          <w:sz w:val="23"/>
        </w:rPr>
      </w:pPr>
    </w:p>
    <w:p>
      <w:pPr>
        <w:pStyle w:val="Heading6"/>
        <w:numPr>
          <w:ilvl w:val="2"/>
          <w:numId w:val="59"/>
        </w:numPr>
        <w:tabs>
          <w:tab w:pos="2015" w:val="left" w:leader="none"/>
        </w:tabs>
        <w:spacing w:line="240" w:lineRule="auto" w:before="0" w:after="0"/>
        <w:ind w:left="2014" w:right="0" w:hanging="613"/>
        <w:jc w:val="left"/>
        <w:rPr>
          <w:i/>
        </w:rPr>
      </w:pPr>
      <w:bookmarkStart w:name="5.4.8. Next steps" w:id="264"/>
      <w:bookmarkEnd w:id="264"/>
      <w:r>
        <w:rPr>
          <w:b w:val="0"/>
          <w:i w:val="0"/>
        </w:rPr>
      </w:r>
      <w:bookmarkStart w:name="5.4.8. Next steps" w:id="265"/>
      <w:bookmarkEnd w:id="265"/>
      <w:r>
        <w:rPr>
          <w:i/>
        </w:rPr>
        <w:t>N</w:t>
      </w:r>
      <w:r>
        <w:rPr>
          <w:i/>
        </w:rPr>
        <w:t>ext steps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As a next step, further work will be undertaken on the specific aspects of the loss carry-forward regime that need to be finalised,</w:t>
      </w:r>
      <w:r>
        <w:rPr>
          <w:spacing w:val="-3"/>
          <w:sz w:val="20"/>
        </w:rPr>
        <w:t> </w:t>
      </w:r>
      <w:r>
        <w:rPr>
          <w:sz w:val="20"/>
        </w:rPr>
        <w:t>including:</w:t>
      </w:r>
    </w:p>
    <w:p>
      <w:pPr>
        <w:pStyle w:val="ListParagraph"/>
        <w:numPr>
          <w:ilvl w:val="1"/>
          <w:numId w:val="13"/>
        </w:numPr>
        <w:tabs>
          <w:tab w:pos="1403" w:val="left" w:leader="none"/>
        </w:tabs>
        <w:spacing w:line="266" w:lineRule="auto" w:before="101" w:after="0"/>
        <w:ind w:left="1402" w:right="479" w:hanging="339"/>
        <w:jc w:val="both"/>
        <w:rPr>
          <w:sz w:val="20"/>
        </w:rPr>
      </w:pPr>
      <w:r>
        <w:rPr>
          <w:sz w:val="20"/>
        </w:rPr>
        <w:t>The issue of pre-regime losses, and what specific time limit, if any, would be needed to limit administration and compliance</w:t>
      </w:r>
      <w:r>
        <w:rPr>
          <w:spacing w:val="-5"/>
          <w:sz w:val="20"/>
        </w:rPr>
        <w:t> </w:t>
      </w:r>
      <w:r>
        <w:rPr>
          <w:sz w:val="20"/>
        </w:rPr>
        <w:t>costs.</w:t>
      </w:r>
    </w:p>
    <w:p>
      <w:pPr>
        <w:pStyle w:val="ListParagraph"/>
        <w:numPr>
          <w:ilvl w:val="1"/>
          <w:numId w:val="13"/>
        </w:numPr>
        <w:tabs>
          <w:tab w:pos="1403" w:val="left" w:leader="none"/>
        </w:tabs>
        <w:spacing w:line="268" w:lineRule="auto" w:before="51" w:after="0"/>
        <w:ind w:left="1402" w:right="483" w:hanging="339"/>
        <w:jc w:val="both"/>
        <w:rPr>
          <w:sz w:val="20"/>
        </w:rPr>
      </w:pPr>
      <w:r>
        <w:rPr>
          <w:sz w:val="20"/>
        </w:rPr>
        <w:t>The impact of business reorganisations (including changes over time of the segmentation basis), and the specific rules that need to be developed to prevent the trading of losses and related tax avoidance</w:t>
      </w:r>
      <w:r>
        <w:rPr>
          <w:spacing w:val="-2"/>
          <w:sz w:val="20"/>
        </w:rPr>
        <w:t> </w:t>
      </w:r>
      <w:r>
        <w:rPr>
          <w:sz w:val="20"/>
        </w:rPr>
        <w:t>arrangements.</w:t>
      </w:r>
    </w:p>
    <w:p>
      <w:pPr>
        <w:pStyle w:val="ListParagraph"/>
        <w:numPr>
          <w:ilvl w:val="1"/>
          <w:numId w:val="13"/>
        </w:numPr>
        <w:tabs>
          <w:tab w:pos="1403" w:val="left" w:leader="none"/>
        </w:tabs>
        <w:spacing w:line="240" w:lineRule="auto" w:before="50" w:after="0"/>
        <w:ind w:left="1402" w:right="0" w:hanging="339"/>
        <w:jc w:val="both"/>
        <w:rPr>
          <w:sz w:val="20"/>
        </w:rPr>
      </w:pPr>
      <w:r>
        <w:rPr>
          <w:sz w:val="20"/>
        </w:rPr>
        <w:t>The question of time limitations, and the implications of adopting unlimited</w:t>
      </w:r>
      <w:r>
        <w:rPr>
          <w:spacing w:val="-17"/>
          <w:sz w:val="20"/>
        </w:rPr>
        <w:t> </w:t>
      </w:r>
      <w:r>
        <w:rPr>
          <w:sz w:val="20"/>
        </w:rPr>
        <w:t>carry-forward.</w:t>
      </w:r>
    </w:p>
    <w:p>
      <w:pPr>
        <w:pStyle w:val="ListParagraph"/>
        <w:numPr>
          <w:ilvl w:val="0"/>
          <w:numId w:val="13"/>
        </w:numPr>
        <w:tabs>
          <w:tab w:pos="1444" w:val="left" w:leader="none"/>
        </w:tabs>
        <w:spacing w:line="271" w:lineRule="auto" w:before="158" w:after="0"/>
        <w:ind w:left="723" w:right="485" w:firstLine="0"/>
        <w:jc w:val="both"/>
        <w:rPr>
          <w:sz w:val="20"/>
        </w:rPr>
      </w:pPr>
      <w:r>
        <w:rPr>
          <w:sz w:val="20"/>
        </w:rPr>
        <w:t>In this discussion, important considerations will include simplicity of administration (and compliance costs), ensuring net-basis taxation, neutrality and the possible impact on the allocation of taxing rights.</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Separately, as part of the discussion on the quantum of Amount A (see section </w:t>
      </w:r>
      <w:hyperlink w:history="true" w:anchor="_bookmark50">
        <w:r>
          <w:rPr>
            <w:sz w:val="20"/>
          </w:rPr>
          <w:t>6.5</w:t>
        </w:r>
      </w:hyperlink>
      <w:r>
        <w:rPr>
          <w:sz w:val="20"/>
        </w:rPr>
        <w:t>), a decision will be necessary to determine whether this regime should apply exclusively to economic losses or be extended to cover profit</w:t>
      </w:r>
      <w:r>
        <w:rPr>
          <w:spacing w:val="-6"/>
          <w:sz w:val="20"/>
        </w:rPr>
        <w:t> </w:t>
      </w:r>
      <w:r>
        <w:rPr>
          <w:sz w:val="20"/>
        </w:rPr>
        <w:t>shortfalls.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r>
        <w:rPr/>
        <w:pict>
          <v:rect style="position:absolute;margin-left:65.183998pt;margin-top:19.056650pt;width:144.020004pt;height:.60004pt;mso-position-horizontal-relative:page;mso-position-vertical-relative:paragraph;z-index:-1566259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31" w:val="left" w:leader="none"/>
        </w:tabs>
        <w:spacing w:line="278" w:lineRule="auto" w:before="94" w:after="0"/>
        <w:ind w:left="723" w:right="481" w:firstLine="0"/>
        <w:jc w:val="both"/>
        <w:rPr>
          <w:sz w:val="18"/>
        </w:rPr>
      </w:pPr>
      <w:r>
        <w:rPr>
          <w:sz w:val="18"/>
        </w:rPr>
        <w:t>The treatment of losses incurred by MNE groups that are not in scope of Amount A because they fall below one of the two revenue thresholds (see section </w:t>
      </w:r>
      <w:hyperlink w:history="true" w:anchor="_bookmark9">
        <w:r>
          <w:rPr>
            <w:sz w:val="18"/>
          </w:rPr>
          <w:t>2.3</w:t>
        </w:r>
      </w:hyperlink>
      <w:r>
        <w:rPr>
          <w:sz w:val="18"/>
        </w:rPr>
        <w:t>) will also need to be considered. For example, the transitional regime developed to accommodate pre-regime losses (see section </w:t>
      </w:r>
      <w:hyperlink w:history="true" w:anchor="_bookmark35">
        <w:r>
          <w:rPr>
            <w:sz w:val="18"/>
          </w:rPr>
          <w:t>5.4.2</w:t>
        </w:r>
      </w:hyperlink>
      <w:r>
        <w:rPr>
          <w:sz w:val="18"/>
        </w:rPr>
        <w:t>) could be extended and apply similarly to losses incurred during periods where the MNE falls below the scope revenue</w:t>
      </w:r>
      <w:r>
        <w:rPr>
          <w:spacing w:val="-13"/>
          <w:sz w:val="18"/>
        </w:rPr>
        <w:t> </w:t>
      </w:r>
      <w:r>
        <w:rPr>
          <w:sz w:val="18"/>
        </w:rPr>
        <w:t>thresholds.</w:t>
      </w:r>
    </w:p>
    <w:p>
      <w:pPr>
        <w:spacing w:after="0" w:line="278" w:lineRule="auto"/>
        <w:jc w:val="both"/>
        <w:rPr>
          <w:sz w:val="18"/>
        </w:rPr>
        <w:sectPr>
          <w:pgSz w:w="11910" w:h="16840"/>
          <w:pgMar w:header="1244" w:footer="1638" w:top="1500" w:bottom="1820" w:left="580" w:right="82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25120" filled="true" fillcolor="#ffffff" stroked="false">
            <v:fill type="solid"/>
            <w10:wrap type="none"/>
          </v:rect>
        </w:pict>
      </w:r>
      <w:r>
        <w:rPr/>
        <w:pict>
          <v:rect style="position:absolute;margin-left:70.823997pt;margin-top:69.335754pt;width:59.279999pt;height:5.76pt;mso-position-horizontal-relative:page;mso-position-vertical-relative:paragraph;z-index:15795712" filled="true" fillcolor="#4e81bd" stroked="false">
            <v:fill type="solid"/>
            <w10:wrap type="none"/>
          </v:rect>
        </w:pict>
      </w:r>
      <w:bookmarkStart w:name="6.  Profit allocation" w:id="266"/>
      <w:bookmarkEnd w:id="266"/>
      <w:r>
        <w:rPr>
          <w:b w:val="0"/>
        </w:rPr>
      </w:r>
      <w:bookmarkStart w:name="_bookmark38" w:id="267"/>
      <w:bookmarkEnd w:id="267"/>
      <w:r>
        <w:rPr>
          <w:b w:val="0"/>
        </w:rPr>
      </w:r>
      <w:r>
        <w:rPr>
          <w:color w:val="4E81BD"/>
          <w:sz w:val="130"/>
        </w:rPr>
        <w:t>6.</w:t>
        <w:tab/>
      </w:r>
      <w:r>
        <w:rPr>
          <w:color w:val="4E81BD"/>
        </w:rPr>
        <w:t>Profit allocation</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4"/>
        <w:numPr>
          <w:ilvl w:val="1"/>
          <w:numId w:val="65"/>
        </w:numPr>
        <w:tabs>
          <w:tab w:pos="1192" w:val="left" w:leader="none"/>
        </w:tabs>
        <w:spacing w:line="240" w:lineRule="auto" w:before="93" w:after="0"/>
        <w:ind w:left="1191" w:right="0" w:hanging="469"/>
        <w:jc w:val="both"/>
        <w:rPr>
          <w:rFonts w:ascii="Arial"/>
        </w:rPr>
      </w:pPr>
      <w:bookmarkStart w:name="6.1. Overview" w:id="268"/>
      <w:bookmarkEnd w:id="268"/>
      <w:r>
        <w:rPr>
          <w:b w:val="0"/>
        </w:rPr>
      </w:r>
      <w:bookmarkStart w:name="_bookmark39" w:id="269"/>
      <w:bookmarkEnd w:id="269"/>
      <w:r>
        <w:rPr>
          <w:b w:val="0"/>
        </w:rPr>
      </w:r>
      <w:bookmarkStart w:name="_bookmark39" w:id="270"/>
      <w:bookmarkEnd w:id="270"/>
      <w:r>
        <w:rPr>
          <w:rFonts w:ascii="Arial"/>
          <w:color w:val="4E81BD"/>
        </w:rPr>
        <w:t>O</w:t>
      </w:r>
      <w:r>
        <w:rPr>
          <w:rFonts w:ascii="Arial"/>
          <w:color w:val="4E81BD"/>
        </w:rPr>
        <w:t>verview</w:t>
      </w:r>
    </w:p>
    <w:p>
      <w:pPr>
        <w:pStyle w:val="BodyText"/>
        <w:spacing w:before="5"/>
        <w:rPr>
          <w:b/>
          <w:sz w:val="28"/>
        </w:rPr>
      </w:pPr>
    </w:p>
    <w:p>
      <w:pPr>
        <w:pStyle w:val="Heading8"/>
        <w:spacing w:before="1"/>
        <w:ind w:left="1402"/>
      </w:pPr>
      <w:bookmarkStart w:name="The formula to determine the quantum of " w:id="271"/>
      <w:bookmarkEnd w:id="271"/>
      <w:r>
        <w:rPr>
          <w:b w:val="0"/>
        </w:rPr>
      </w:r>
      <w:r>
        <w:rPr/>
        <w:t>The formula to determine the quantum of Amount A</w:t>
      </w:r>
    </w:p>
    <w:p>
      <w:pPr>
        <w:pStyle w:val="BodyText"/>
        <w:spacing w:before="3"/>
        <w:rPr>
          <w:b/>
          <w:sz w:val="19"/>
        </w:rPr>
      </w:pPr>
    </w:p>
    <w:p>
      <w:pPr>
        <w:pStyle w:val="ListParagraph"/>
        <w:numPr>
          <w:ilvl w:val="0"/>
          <w:numId w:val="13"/>
        </w:numPr>
        <w:tabs>
          <w:tab w:pos="1444" w:val="left" w:leader="none"/>
        </w:tabs>
        <w:spacing w:line="271" w:lineRule="auto" w:before="0" w:after="0"/>
        <w:ind w:left="723" w:right="487" w:firstLine="0"/>
        <w:jc w:val="both"/>
        <w:rPr>
          <w:sz w:val="20"/>
        </w:rPr>
      </w:pPr>
      <w:r>
        <w:rPr>
          <w:sz w:val="20"/>
        </w:rPr>
        <w:t>The calculation and allocation of Amount A will be delivered through a formula that is not based on</w:t>
      </w:r>
      <w:r>
        <w:rPr>
          <w:spacing w:val="-9"/>
          <w:sz w:val="20"/>
        </w:rPr>
        <w:t> </w:t>
      </w:r>
      <w:r>
        <w:rPr>
          <w:sz w:val="20"/>
        </w:rPr>
        <w:t>the</w:t>
      </w:r>
      <w:r>
        <w:rPr>
          <w:spacing w:val="-7"/>
          <w:sz w:val="20"/>
        </w:rPr>
        <w:t> </w:t>
      </w:r>
      <w:r>
        <w:rPr>
          <w:sz w:val="20"/>
        </w:rPr>
        <w:t>ALP.</w:t>
      </w:r>
      <w:r>
        <w:rPr>
          <w:spacing w:val="-8"/>
          <w:sz w:val="20"/>
        </w:rPr>
        <w:t> </w:t>
      </w:r>
      <w:r>
        <w:rPr>
          <w:sz w:val="20"/>
        </w:rPr>
        <w:t>This</w:t>
      </w:r>
      <w:r>
        <w:rPr>
          <w:spacing w:val="-8"/>
          <w:sz w:val="20"/>
        </w:rPr>
        <w:t> </w:t>
      </w:r>
      <w:r>
        <w:rPr>
          <w:sz w:val="20"/>
        </w:rPr>
        <w:t>formula</w:t>
      </w:r>
      <w:r>
        <w:rPr>
          <w:spacing w:val="-8"/>
          <w:sz w:val="20"/>
        </w:rPr>
        <w:t> </w:t>
      </w:r>
      <w:r>
        <w:rPr>
          <w:sz w:val="20"/>
        </w:rPr>
        <w:t>will</w:t>
      </w:r>
      <w:r>
        <w:rPr>
          <w:spacing w:val="-10"/>
          <w:sz w:val="20"/>
        </w:rPr>
        <w:t> </w:t>
      </w:r>
      <w:r>
        <w:rPr>
          <w:sz w:val="20"/>
        </w:rPr>
        <w:t>apply</w:t>
      </w:r>
      <w:r>
        <w:rPr>
          <w:spacing w:val="-11"/>
          <w:sz w:val="20"/>
        </w:rPr>
        <w:t> </w:t>
      </w:r>
      <w:r>
        <w:rPr>
          <w:sz w:val="20"/>
        </w:rPr>
        <w:t>to</w:t>
      </w:r>
      <w:r>
        <w:rPr>
          <w:spacing w:val="-8"/>
          <w:sz w:val="20"/>
        </w:rPr>
        <w:t> </w:t>
      </w:r>
      <w:r>
        <w:rPr>
          <w:sz w:val="20"/>
        </w:rPr>
        <w:t>the</w:t>
      </w:r>
      <w:r>
        <w:rPr>
          <w:spacing w:val="-9"/>
          <w:sz w:val="20"/>
        </w:rPr>
        <w:t> </w:t>
      </w:r>
      <w:r>
        <w:rPr>
          <w:sz w:val="20"/>
        </w:rPr>
        <w:t>tax</w:t>
      </w:r>
      <w:r>
        <w:rPr>
          <w:spacing w:val="-7"/>
          <w:sz w:val="20"/>
        </w:rPr>
        <w:t> </w:t>
      </w:r>
      <w:r>
        <w:rPr>
          <w:sz w:val="20"/>
        </w:rPr>
        <w:t>base</w:t>
      </w:r>
      <w:r>
        <w:rPr>
          <w:spacing w:val="-9"/>
          <w:sz w:val="20"/>
        </w:rPr>
        <w:t> </w:t>
      </w:r>
      <w:r>
        <w:rPr>
          <w:sz w:val="20"/>
        </w:rPr>
        <w:t>of</w:t>
      </w:r>
      <w:r>
        <w:rPr>
          <w:spacing w:val="-6"/>
          <w:sz w:val="20"/>
        </w:rPr>
        <w:t> </w:t>
      </w:r>
      <w:r>
        <w:rPr>
          <w:sz w:val="20"/>
        </w:rPr>
        <w:t>a</w:t>
      </w:r>
      <w:r>
        <w:rPr>
          <w:spacing w:val="-7"/>
          <w:sz w:val="20"/>
        </w:rPr>
        <w:t> </w:t>
      </w:r>
      <w:r>
        <w:rPr>
          <w:sz w:val="20"/>
        </w:rPr>
        <w:t>group</w:t>
      </w:r>
      <w:r>
        <w:rPr>
          <w:spacing w:val="-9"/>
          <w:sz w:val="20"/>
        </w:rPr>
        <w:t> </w:t>
      </w:r>
      <w:r>
        <w:rPr>
          <w:sz w:val="20"/>
        </w:rPr>
        <w:t>(or</w:t>
      </w:r>
      <w:r>
        <w:rPr>
          <w:spacing w:val="-7"/>
          <w:sz w:val="20"/>
        </w:rPr>
        <w:t> </w:t>
      </w:r>
      <w:r>
        <w:rPr>
          <w:sz w:val="20"/>
        </w:rPr>
        <w:t>segment</w:t>
      </w:r>
      <w:r>
        <w:rPr>
          <w:spacing w:val="-6"/>
          <w:sz w:val="20"/>
        </w:rPr>
        <w:t> </w:t>
      </w:r>
      <w:r>
        <w:rPr>
          <w:sz w:val="20"/>
        </w:rPr>
        <w:t>where</w:t>
      </w:r>
      <w:r>
        <w:rPr>
          <w:spacing w:val="-8"/>
          <w:sz w:val="20"/>
        </w:rPr>
        <w:t> </w:t>
      </w:r>
      <w:r>
        <w:rPr>
          <w:sz w:val="20"/>
        </w:rPr>
        <w:t>relevant),</w:t>
      </w:r>
      <w:r>
        <w:rPr>
          <w:spacing w:val="-6"/>
          <w:sz w:val="20"/>
        </w:rPr>
        <w:t> </w:t>
      </w:r>
      <w:r>
        <w:rPr>
          <w:sz w:val="20"/>
        </w:rPr>
        <w:t>and</w:t>
      </w:r>
      <w:r>
        <w:rPr>
          <w:spacing w:val="-6"/>
          <w:sz w:val="20"/>
        </w:rPr>
        <w:t> </w:t>
      </w:r>
      <w:r>
        <w:rPr>
          <w:sz w:val="20"/>
        </w:rPr>
        <w:t>will</w:t>
      </w:r>
      <w:r>
        <w:rPr>
          <w:spacing w:val="-10"/>
          <w:sz w:val="20"/>
        </w:rPr>
        <w:t> </w:t>
      </w:r>
      <w:r>
        <w:rPr>
          <w:sz w:val="20"/>
        </w:rPr>
        <w:t>involve three distinct components represented in the steps</w:t>
      </w:r>
      <w:r>
        <w:rPr>
          <w:spacing w:val="-8"/>
          <w:sz w:val="20"/>
        </w:rPr>
        <w:t> </w:t>
      </w:r>
      <w:r>
        <w:rPr>
          <w:sz w:val="20"/>
        </w:rPr>
        <w:t>below:</w:t>
      </w:r>
    </w:p>
    <w:p>
      <w:pPr>
        <w:pStyle w:val="ListParagraph"/>
        <w:numPr>
          <w:ilvl w:val="1"/>
          <w:numId w:val="13"/>
        </w:numPr>
        <w:tabs>
          <w:tab w:pos="1785" w:val="left" w:leader="none"/>
        </w:tabs>
        <w:spacing w:line="271" w:lineRule="auto" w:before="100" w:after="0"/>
        <w:ind w:left="1784" w:right="487" w:hanging="360"/>
        <w:jc w:val="both"/>
        <w:rPr>
          <w:sz w:val="20"/>
        </w:rPr>
      </w:pPr>
      <w:r>
        <w:rPr>
          <w:b/>
          <w:sz w:val="20"/>
        </w:rPr>
        <w:t>Step 1: </w:t>
      </w:r>
      <w:r>
        <w:rPr>
          <w:sz w:val="20"/>
        </w:rPr>
        <w:t>A profitability threshold to isolate the residual profit potentially subject to reallocation, and limit any interactions between Amount A and the remuneration of routine activities under conventional transfer pricing rules. To avoid complexity, this threshold would be based on a simplifying convention, which will be a PBT to revenue</w:t>
      </w:r>
      <w:r>
        <w:rPr>
          <w:spacing w:val="-7"/>
          <w:sz w:val="20"/>
        </w:rPr>
        <w:t> </w:t>
      </w:r>
      <w:r>
        <w:rPr>
          <w:sz w:val="20"/>
        </w:rPr>
        <w:t>ratio.</w:t>
      </w:r>
    </w:p>
    <w:p>
      <w:pPr>
        <w:pStyle w:val="ListParagraph"/>
        <w:numPr>
          <w:ilvl w:val="1"/>
          <w:numId w:val="13"/>
        </w:numPr>
        <w:tabs>
          <w:tab w:pos="1785" w:val="left" w:leader="none"/>
        </w:tabs>
        <w:spacing w:line="271" w:lineRule="auto" w:before="42" w:after="0"/>
        <w:ind w:left="1784" w:right="487" w:hanging="360"/>
        <w:jc w:val="both"/>
        <w:rPr>
          <w:sz w:val="20"/>
        </w:rPr>
      </w:pPr>
      <w:r>
        <w:rPr>
          <w:b/>
          <w:sz w:val="20"/>
        </w:rPr>
        <w:t>Step</w:t>
      </w:r>
      <w:r>
        <w:rPr>
          <w:b/>
          <w:spacing w:val="-9"/>
          <w:sz w:val="20"/>
        </w:rPr>
        <w:t> </w:t>
      </w:r>
      <w:r>
        <w:rPr>
          <w:b/>
          <w:sz w:val="20"/>
        </w:rPr>
        <w:t>2:</w:t>
      </w:r>
      <w:r>
        <w:rPr>
          <w:b/>
          <w:spacing w:val="-9"/>
          <w:sz w:val="20"/>
        </w:rPr>
        <w:t> </w:t>
      </w:r>
      <w:r>
        <w:rPr>
          <w:sz w:val="20"/>
        </w:rPr>
        <w:t>A</w:t>
      </w:r>
      <w:r>
        <w:rPr>
          <w:spacing w:val="-9"/>
          <w:sz w:val="20"/>
        </w:rPr>
        <w:t> </w:t>
      </w:r>
      <w:r>
        <w:rPr>
          <w:sz w:val="20"/>
        </w:rPr>
        <w:t>reallocation</w:t>
      </w:r>
      <w:r>
        <w:rPr>
          <w:spacing w:val="-10"/>
          <w:sz w:val="20"/>
        </w:rPr>
        <w:t> </w:t>
      </w:r>
      <w:r>
        <w:rPr>
          <w:sz w:val="20"/>
        </w:rPr>
        <w:t>percentage</w:t>
      </w:r>
      <w:r>
        <w:rPr>
          <w:spacing w:val="-10"/>
          <w:sz w:val="20"/>
        </w:rPr>
        <w:t> </w:t>
      </w:r>
      <w:r>
        <w:rPr>
          <w:sz w:val="20"/>
        </w:rPr>
        <w:t>to</w:t>
      </w:r>
      <w:r>
        <w:rPr>
          <w:spacing w:val="-9"/>
          <w:sz w:val="20"/>
        </w:rPr>
        <w:t> </w:t>
      </w:r>
      <w:r>
        <w:rPr>
          <w:sz w:val="20"/>
        </w:rPr>
        <w:t>identify</w:t>
      </w:r>
      <w:r>
        <w:rPr>
          <w:spacing w:val="-10"/>
          <w:sz w:val="20"/>
        </w:rPr>
        <w:t> </w:t>
      </w:r>
      <w:r>
        <w:rPr>
          <w:sz w:val="20"/>
        </w:rPr>
        <w:t>an</w:t>
      </w:r>
      <w:r>
        <w:rPr>
          <w:spacing w:val="-9"/>
          <w:sz w:val="20"/>
        </w:rPr>
        <w:t> </w:t>
      </w:r>
      <w:r>
        <w:rPr>
          <w:sz w:val="20"/>
        </w:rPr>
        <w:t>appropriate</w:t>
      </w:r>
      <w:r>
        <w:rPr>
          <w:spacing w:val="-10"/>
          <w:sz w:val="20"/>
        </w:rPr>
        <w:t> </w:t>
      </w:r>
      <w:r>
        <w:rPr>
          <w:sz w:val="20"/>
        </w:rPr>
        <w:t>share</w:t>
      </w:r>
      <w:r>
        <w:rPr>
          <w:spacing w:val="-9"/>
          <w:sz w:val="20"/>
        </w:rPr>
        <w:t> </w:t>
      </w:r>
      <w:r>
        <w:rPr>
          <w:sz w:val="20"/>
        </w:rPr>
        <w:t>of</w:t>
      </w:r>
      <w:r>
        <w:rPr>
          <w:spacing w:val="-8"/>
          <w:sz w:val="20"/>
        </w:rPr>
        <w:t> </w:t>
      </w:r>
      <w:r>
        <w:rPr>
          <w:sz w:val="20"/>
        </w:rPr>
        <w:t>residual</w:t>
      </w:r>
      <w:r>
        <w:rPr>
          <w:spacing w:val="-11"/>
          <w:sz w:val="20"/>
        </w:rPr>
        <w:t> </w:t>
      </w:r>
      <w:r>
        <w:rPr>
          <w:sz w:val="20"/>
        </w:rPr>
        <w:t>profit</w:t>
      </w:r>
      <w:r>
        <w:rPr>
          <w:spacing w:val="-6"/>
          <w:sz w:val="20"/>
        </w:rPr>
        <w:t> </w:t>
      </w:r>
      <w:r>
        <w:rPr>
          <w:sz w:val="20"/>
        </w:rPr>
        <w:t>that</w:t>
      </w:r>
      <w:r>
        <w:rPr>
          <w:spacing w:val="-10"/>
          <w:sz w:val="20"/>
        </w:rPr>
        <w:t> </w:t>
      </w:r>
      <w:r>
        <w:rPr>
          <w:sz w:val="20"/>
        </w:rPr>
        <w:t>can</w:t>
      </w:r>
      <w:r>
        <w:rPr>
          <w:spacing w:val="-10"/>
          <w:sz w:val="20"/>
        </w:rPr>
        <w:t> </w:t>
      </w:r>
      <w:r>
        <w:rPr>
          <w:sz w:val="20"/>
        </w:rPr>
        <w:t>be allocated</w:t>
      </w:r>
      <w:r>
        <w:rPr>
          <w:spacing w:val="-8"/>
          <w:sz w:val="20"/>
        </w:rPr>
        <w:t> </w:t>
      </w:r>
      <w:r>
        <w:rPr>
          <w:sz w:val="20"/>
        </w:rPr>
        <w:t>to</w:t>
      </w:r>
      <w:r>
        <w:rPr>
          <w:spacing w:val="-8"/>
          <w:sz w:val="20"/>
        </w:rPr>
        <w:t> </w:t>
      </w:r>
      <w:r>
        <w:rPr>
          <w:sz w:val="20"/>
        </w:rPr>
        <w:t>market</w:t>
      </w:r>
      <w:r>
        <w:rPr>
          <w:spacing w:val="-7"/>
          <w:sz w:val="20"/>
        </w:rPr>
        <w:t> </w:t>
      </w:r>
      <w:r>
        <w:rPr>
          <w:sz w:val="20"/>
        </w:rPr>
        <w:t>jurisdictions</w:t>
      </w:r>
      <w:r>
        <w:rPr>
          <w:spacing w:val="-6"/>
          <w:sz w:val="20"/>
        </w:rPr>
        <w:t> </w:t>
      </w:r>
      <w:r>
        <w:rPr>
          <w:sz w:val="20"/>
        </w:rPr>
        <w:t>under</w:t>
      </w:r>
      <w:r>
        <w:rPr>
          <w:spacing w:val="-7"/>
          <w:sz w:val="20"/>
        </w:rPr>
        <w:t> </w:t>
      </w:r>
      <w:r>
        <w:rPr>
          <w:sz w:val="20"/>
        </w:rPr>
        <w:t>Amount</w:t>
      </w:r>
      <w:r>
        <w:rPr>
          <w:spacing w:val="-7"/>
          <w:sz w:val="20"/>
        </w:rPr>
        <w:t> </w:t>
      </w:r>
      <w:r>
        <w:rPr>
          <w:sz w:val="20"/>
        </w:rPr>
        <w:t>A</w:t>
      </w:r>
      <w:r>
        <w:rPr>
          <w:spacing w:val="-8"/>
          <w:sz w:val="20"/>
        </w:rPr>
        <w:t> </w:t>
      </w:r>
      <w:r>
        <w:rPr>
          <w:sz w:val="20"/>
        </w:rPr>
        <w:t>(hereafter,</w:t>
      </w:r>
      <w:r>
        <w:rPr>
          <w:spacing w:val="-7"/>
          <w:sz w:val="20"/>
        </w:rPr>
        <w:t> </w:t>
      </w:r>
      <w:r>
        <w:rPr>
          <w:sz w:val="20"/>
        </w:rPr>
        <w:t>the</w:t>
      </w:r>
      <w:r>
        <w:rPr>
          <w:spacing w:val="-7"/>
          <w:sz w:val="20"/>
        </w:rPr>
        <w:t> </w:t>
      </w:r>
      <w:r>
        <w:rPr>
          <w:sz w:val="20"/>
        </w:rPr>
        <w:t>“allocable</w:t>
      </w:r>
      <w:r>
        <w:rPr>
          <w:spacing w:val="-8"/>
          <w:sz w:val="20"/>
        </w:rPr>
        <w:t> </w:t>
      </w:r>
      <w:r>
        <w:rPr>
          <w:sz w:val="20"/>
        </w:rPr>
        <w:t>tax</w:t>
      </w:r>
      <w:r>
        <w:rPr>
          <w:spacing w:val="-7"/>
          <w:sz w:val="20"/>
        </w:rPr>
        <w:t> </w:t>
      </w:r>
      <w:r>
        <w:rPr>
          <w:sz w:val="20"/>
        </w:rPr>
        <w:t>base”).</w:t>
      </w:r>
      <w:r>
        <w:rPr>
          <w:spacing w:val="-6"/>
          <w:sz w:val="20"/>
        </w:rPr>
        <w:t> </w:t>
      </w:r>
      <w:r>
        <w:rPr>
          <w:sz w:val="20"/>
        </w:rPr>
        <w:t>This</w:t>
      </w:r>
      <w:r>
        <w:rPr>
          <w:spacing w:val="-6"/>
          <w:sz w:val="20"/>
        </w:rPr>
        <w:t> </w:t>
      </w:r>
      <w:r>
        <w:rPr>
          <w:sz w:val="20"/>
        </w:rPr>
        <w:t>will ensure that other factors such as trade intangibles, capital and risk, continue to be remunerated and allocated residual profit. To avoid complexity, this allocable tax base will be determined through a simplifying convention, which will be a fixed</w:t>
      </w:r>
      <w:r>
        <w:rPr>
          <w:spacing w:val="-19"/>
          <w:sz w:val="20"/>
        </w:rPr>
        <w:t> </w:t>
      </w:r>
      <w:r>
        <w:rPr>
          <w:sz w:val="20"/>
        </w:rPr>
        <w:t>percentage.</w:t>
      </w:r>
    </w:p>
    <w:p>
      <w:pPr>
        <w:pStyle w:val="ListParagraph"/>
        <w:numPr>
          <w:ilvl w:val="1"/>
          <w:numId w:val="13"/>
        </w:numPr>
        <w:tabs>
          <w:tab w:pos="1785" w:val="left" w:leader="none"/>
        </w:tabs>
        <w:spacing w:line="271" w:lineRule="auto" w:before="45" w:after="0"/>
        <w:ind w:left="1784" w:right="484" w:hanging="360"/>
        <w:jc w:val="both"/>
        <w:rPr>
          <w:sz w:val="20"/>
        </w:rPr>
      </w:pPr>
      <w:r>
        <w:rPr>
          <w:b/>
          <w:sz w:val="20"/>
        </w:rPr>
        <w:t>Step 3: </w:t>
      </w:r>
      <w:r>
        <w:rPr>
          <w:sz w:val="20"/>
        </w:rPr>
        <w:t>An allocation key to distribute the allocable tax base amongst the eligible market jurisdictions</w:t>
      </w:r>
      <w:r>
        <w:rPr>
          <w:spacing w:val="-6"/>
          <w:sz w:val="20"/>
        </w:rPr>
        <w:t> </w:t>
      </w:r>
      <w:r>
        <w:rPr>
          <w:sz w:val="20"/>
        </w:rPr>
        <w:t>(i.e.</w:t>
      </w:r>
      <w:r>
        <w:rPr>
          <w:spacing w:val="-4"/>
          <w:sz w:val="20"/>
        </w:rPr>
        <w:t> </w:t>
      </w:r>
      <w:r>
        <w:rPr>
          <w:sz w:val="20"/>
        </w:rPr>
        <w:t>where</w:t>
      </w:r>
      <w:r>
        <w:rPr>
          <w:spacing w:val="-5"/>
          <w:sz w:val="20"/>
        </w:rPr>
        <w:t> </w:t>
      </w:r>
      <w:r>
        <w:rPr>
          <w:sz w:val="20"/>
        </w:rPr>
        <w:t>nexus</w:t>
      </w:r>
      <w:r>
        <w:rPr>
          <w:spacing w:val="-6"/>
          <w:sz w:val="20"/>
        </w:rPr>
        <w:t> </w:t>
      </w:r>
      <w:r>
        <w:rPr>
          <w:sz w:val="20"/>
        </w:rPr>
        <w:t>is</w:t>
      </w:r>
      <w:r>
        <w:rPr>
          <w:spacing w:val="-5"/>
          <w:sz w:val="20"/>
        </w:rPr>
        <w:t> </w:t>
      </w:r>
      <w:r>
        <w:rPr>
          <w:sz w:val="20"/>
        </w:rPr>
        <w:t>established</w:t>
      </w:r>
      <w:r>
        <w:rPr>
          <w:spacing w:val="-4"/>
          <w:sz w:val="20"/>
        </w:rPr>
        <w:t> </w:t>
      </w:r>
      <w:r>
        <w:rPr>
          <w:sz w:val="20"/>
        </w:rPr>
        <w:t>for</w:t>
      </w:r>
      <w:r>
        <w:rPr>
          <w:spacing w:val="-6"/>
          <w:sz w:val="20"/>
        </w:rPr>
        <w:t> </w:t>
      </w:r>
      <w:r>
        <w:rPr>
          <w:sz w:val="20"/>
        </w:rPr>
        <w:t>Amount</w:t>
      </w:r>
      <w:r>
        <w:rPr>
          <w:spacing w:val="-6"/>
          <w:sz w:val="20"/>
        </w:rPr>
        <w:t> </w:t>
      </w:r>
      <w:r>
        <w:rPr>
          <w:sz w:val="20"/>
        </w:rPr>
        <w:t>A).</w:t>
      </w:r>
      <w:r>
        <w:rPr>
          <w:spacing w:val="-6"/>
          <w:sz w:val="20"/>
        </w:rPr>
        <w:t> </w:t>
      </w:r>
      <w:r>
        <w:rPr>
          <w:sz w:val="20"/>
        </w:rPr>
        <w:t>It</w:t>
      </w:r>
      <w:r>
        <w:rPr>
          <w:spacing w:val="-2"/>
          <w:sz w:val="20"/>
        </w:rPr>
        <w:t> </w:t>
      </w:r>
      <w:r>
        <w:rPr>
          <w:sz w:val="20"/>
        </w:rPr>
        <w:t>will</w:t>
      </w:r>
      <w:r>
        <w:rPr>
          <w:spacing w:val="-4"/>
          <w:sz w:val="20"/>
        </w:rPr>
        <w:t> </w:t>
      </w:r>
      <w:r>
        <w:rPr>
          <w:sz w:val="20"/>
        </w:rPr>
        <w:t>be</w:t>
      </w:r>
      <w:r>
        <w:rPr>
          <w:spacing w:val="-5"/>
          <w:sz w:val="20"/>
        </w:rPr>
        <w:t> </w:t>
      </w:r>
      <w:r>
        <w:rPr>
          <w:sz w:val="20"/>
        </w:rPr>
        <w:t>based</w:t>
      </w:r>
      <w:r>
        <w:rPr>
          <w:spacing w:val="-7"/>
          <w:sz w:val="20"/>
        </w:rPr>
        <w:t> </w:t>
      </w:r>
      <w:r>
        <w:rPr>
          <w:sz w:val="20"/>
        </w:rPr>
        <w:t>on</w:t>
      </w:r>
      <w:r>
        <w:rPr>
          <w:spacing w:val="-6"/>
          <w:sz w:val="20"/>
        </w:rPr>
        <w:t> </w:t>
      </w:r>
      <w:r>
        <w:rPr>
          <w:sz w:val="20"/>
        </w:rPr>
        <w:t>locally</w:t>
      </w:r>
      <w:r>
        <w:rPr>
          <w:spacing w:val="-10"/>
          <w:sz w:val="20"/>
        </w:rPr>
        <w:t> </w:t>
      </w:r>
      <w:r>
        <w:rPr>
          <w:sz w:val="20"/>
        </w:rPr>
        <w:t>sourced in-scope revenue determined by applying the rules on scope, nexus and revenue sourcing (see Chapter </w:t>
      </w:r>
      <w:hyperlink w:history="true" w:anchor="_bookmark19">
        <w:r>
          <w:rPr>
            <w:sz w:val="20"/>
          </w:rPr>
          <w:t>4. </w:t>
        </w:r>
      </w:hyperlink>
      <w:r>
        <w:rPr>
          <w:sz w:val="20"/>
        </w:rPr>
        <w:t>).</w:t>
      </w:r>
    </w:p>
    <w:p>
      <w:pPr>
        <w:pStyle w:val="ListParagraph"/>
        <w:numPr>
          <w:ilvl w:val="0"/>
          <w:numId w:val="13"/>
        </w:numPr>
        <w:tabs>
          <w:tab w:pos="1444" w:val="left" w:leader="none"/>
        </w:tabs>
        <w:spacing w:line="271" w:lineRule="auto" w:before="123" w:after="0"/>
        <w:ind w:left="723" w:right="482" w:firstLine="0"/>
        <w:jc w:val="both"/>
        <w:rPr>
          <w:sz w:val="20"/>
        </w:rPr>
      </w:pPr>
      <w:r>
        <w:rPr>
          <w:sz w:val="20"/>
        </w:rPr>
        <w:t>This three-step formula to determining the Amount A quantum could be delivered through two approaches: a profit-based approach or a profit margin-based approach. A profit-based approach would start the calculation with the Amount A tax base determined as a profit amount (e.g. an absolute profit of EUR</w:t>
      </w:r>
      <w:r>
        <w:rPr>
          <w:spacing w:val="-6"/>
          <w:sz w:val="20"/>
        </w:rPr>
        <w:t> </w:t>
      </w:r>
      <w:r>
        <w:rPr>
          <w:sz w:val="20"/>
        </w:rPr>
        <w:t>10</w:t>
      </w:r>
      <w:r>
        <w:rPr>
          <w:spacing w:val="-7"/>
          <w:sz w:val="20"/>
        </w:rPr>
        <w:t> </w:t>
      </w:r>
      <w:r>
        <w:rPr>
          <w:sz w:val="20"/>
        </w:rPr>
        <w:t>million),</w:t>
      </w:r>
      <w:r>
        <w:rPr>
          <w:spacing w:val="-5"/>
          <w:sz w:val="20"/>
        </w:rPr>
        <w:t> </w:t>
      </w:r>
      <w:r>
        <w:rPr>
          <w:sz w:val="20"/>
        </w:rPr>
        <w:t>whereas</w:t>
      </w:r>
      <w:r>
        <w:rPr>
          <w:spacing w:val="-3"/>
          <w:sz w:val="20"/>
        </w:rPr>
        <w:t> </w:t>
      </w:r>
      <w:r>
        <w:rPr>
          <w:sz w:val="20"/>
        </w:rPr>
        <w:t>a</w:t>
      </w:r>
      <w:r>
        <w:rPr>
          <w:spacing w:val="-5"/>
          <w:sz w:val="20"/>
        </w:rPr>
        <w:t> </w:t>
      </w:r>
      <w:r>
        <w:rPr>
          <w:sz w:val="20"/>
        </w:rPr>
        <w:t>profit-margin</w:t>
      </w:r>
      <w:r>
        <w:rPr>
          <w:spacing w:val="-7"/>
          <w:sz w:val="20"/>
        </w:rPr>
        <w:t> </w:t>
      </w:r>
      <w:r>
        <w:rPr>
          <w:sz w:val="20"/>
        </w:rPr>
        <w:t>approach</w:t>
      </w:r>
      <w:r>
        <w:rPr>
          <w:spacing w:val="-4"/>
          <w:sz w:val="20"/>
        </w:rPr>
        <w:t> </w:t>
      </w:r>
      <w:r>
        <w:rPr>
          <w:sz w:val="20"/>
        </w:rPr>
        <w:t>would</w:t>
      </w:r>
      <w:r>
        <w:rPr>
          <w:spacing w:val="-7"/>
          <w:sz w:val="20"/>
        </w:rPr>
        <w:t> </w:t>
      </w:r>
      <w:r>
        <w:rPr>
          <w:sz w:val="20"/>
        </w:rPr>
        <w:t>start</w:t>
      </w:r>
      <w:r>
        <w:rPr>
          <w:spacing w:val="-6"/>
          <w:sz w:val="20"/>
        </w:rPr>
        <w:t> </w:t>
      </w:r>
      <w:r>
        <w:rPr>
          <w:sz w:val="20"/>
        </w:rPr>
        <w:t>the</w:t>
      </w:r>
      <w:r>
        <w:rPr>
          <w:spacing w:val="-7"/>
          <w:sz w:val="20"/>
        </w:rPr>
        <w:t> </w:t>
      </w:r>
      <w:r>
        <w:rPr>
          <w:sz w:val="20"/>
        </w:rPr>
        <w:t>calculation</w:t>
      </w:r>
      <w:r>
        <w:rPr>
          <w:spacing w:val="-5"/>
          <w:sz w:val="20"/>
        </w:rPr>
        <w:t> </w:t>
      </w:r>
      <w:r>
        <w:rPr>
          <w:sz w:val="20"/>
        </w:rPr>
        <w:t>with</w:t>
      </w:r>
      <w:r>
        <w:rPr>
          <w:spacing w:val="-5"/>
          <w:sz w:val="20"/>
        </w:rPr>
        <w:t> </w:t>
      </w:r>
      <w:r>
        <w:rPr>
          <w:sz w:val="20"/>
        </w:rPr>
        <w:t>the</w:t>
      </w:r>
      <w:r>
        <w:rPr>
          <w:spacing w:val="-4"/>
          <w:sz w:val="20"/>
        </w:rPr>
        <w:t> </w:t>
      </w:r>
      <w:r>
        <w:rPr>
          <w:sz w:val="20"/>
        </w:rPr>
        <w:t>Amount</w:t>
      </w:r>
      <w:r>
        <w:rPr>
          <w:spacing w:val="-7"/>
          <w:sz w:val="20"/>
        </w:rPr>
        <w:t> </w:t>
      </w:r>
      <w:r>
        <w:rPr>
          <w:sz w:val="20"/>
        </w:rPr>
        <w:t>A</w:t>
      </w:r>
      <w:r>
        <w:rPr>
          <w:spacing w:val="-7"/>
          <w:sz w:val="20"/>
        </w:rPr>
        <w:t> </w:t>
      </w:r>
      <w:r>
        <w:rPr>
          <w:sz w:val="20"/>
        </w:rPr>
        <w:t>tax</w:t>
      </w:r>
      <w:r>
        <w:rPr>
          <w:spacing w:val="-6"/>
          <w:sz w:val="20"/>
        </w:rPr>
        <w:t> </w:t>
      </w:r>
      <w:r>
        <w:rPr>
          <w:sz w:val="20"/>
        </w:rPr>
        <w:t>base determined as a profit margin (e.g. a PBT to revenue of 15%). Both approaches would apply the three- steps of the allocation formula similarly, and hence would deliver the same quantum of Amount A taxable in each market jurisdiction. The administration of each approach may, however, present some variations (e.g. foreign currency exchanges), and these practical differences will inform the choice of the most appropriate approach to calculate and allocate Amount A. These two approaches are explored in more detail in Annex</w:t>
      </w:r>
      <w:r>
        <w:rPr>
          <w:spacing w:val="2"/>
          <w:sz w:val="20"/>
        </w:rPr>
        <w:t> </w:t>
      </w:r>
      <w:r>
        <w:rPr>
          <w:sz w:val="20"/>
        </w:rPr>
        <w:t>B.</w:t>
      </w:r>
    </w:p>
    <w:p>
      <w:pPr>
        <w:pStyle w:val="BodyText"/>
        <w:spacing w:before="5"/>
      </w:pPr>
    </w:p>
    <w:p>
      <w:pPr>
        <w:spacing w:before="0"/>
        <w:ind w:left="1402" w:right="0" w:firstLine="0"/>
        <w:jc w:val="left"/>
        <w:rPr>
          <w:i/>
          <w:sz w:val="22"/>
        </w:rPr>
      </w:pPr>
      <w:bookmarkStart w:name="Potential differentiation mechanisms" w:id="272"/>
      <w:bookmarkEnd w:id="272"/>
      <w:r>
        <w:rPr/>
      </w:r>
      <w:r>
        <w:rPr>
          <w:i/>
          <w:color w:val="616161"/>
          <w:sz w:val="22"/>
        </w:rPr>
        <w:t>Potential differentiation mechanisms</w:t>
      </w:r>
    </w:p>
    <w:p>
      <w:pPr>
        <w:pStyle w:val="ListParagraph"/>
        <w:numPr>
          <w:ilvl w:val="0"/>
          <w:numId w:val="13"/>
        </w:numPr>
        <w:tabs>
          <w:tab w:pos="1444" w:val="left" w:leader="none"/>
        </w:tabs>
        <w:spacing w:line="271" w:lineRule="auto" w:before="214" w:after="0"/>
        <w:ind w:left="723" w:right="484" w:firstLine="0"/>
        <w:jc w:val="both"/>
        <w:rPr>
          <w:sz w:val="20"/>
        </w:rPr>
      </w:pPr>
      <w:r>
        <w:rPr>
          <w:sz w:val="20"/>
        </w:rPr>
        <w:t>As part of the comprehensive agreement still needed, it will be necessary to determine whether the</w:t>
      </w:r>
      <w:r>
        <w:rPr>
          <w:spacing w:val="-8"/>
          <w:sz w:val="20"/>
        </w:rPr>
        <w:t> </w:t>
      </w:r>
      <w:r>
        <w:rPr>
          <w:sz w:val="20"/>
        </w:rPr>
        <w:t>formula</w:t>
      </w:r>
      <w:r>
        <w:rPr>
          <w:spacing w:val="-8"/>
          <w:sz w:val="20"/>
        </w:rPr>
        <w:t> </w:t>
      </w:r>
      <w:r>
        <w:rPr>
          <w:sz w:val="20"/>
        </w:rPr>
        <w:t>should</w:t>
      </w:r>
      <w:r>
        <w:rPr>
          <w:spacing w:val="-7"/>
          <w:sz w:val="20"/>
        </w:rPr>
        <w:t> </w:t>
      </w:r>
      <w:r>
        <w:rPr>
          <w:sz w:val="20"/>
        </w:rPr>
        <w:t>incorporate</w:t>
      </w:r>
      <w:r>
        <w:rPr>
          <w:spacing w:val="-8"/>
          <w:sz w:val="20"/>
        </w:rPr>
        <w:t> </w:t>
      </w:r>
      <w:r>
        <w:rPr>
          <w:sz w:val="20"/>
        </w:rPr>
        <w:t>any</w:t>
      </w:r>
      <w:r>
        <w:rPr>
          <w:spacing w:val="-10"/>
          <w:sz w:val="20"/>
        </w:rPr>
        <w:t> </w:t>
      </w:r>
      <w:r>
        <w:rPr>
          <w:sz w:val="20"/>
        </w:rPr>
        <w:t>“differentiation”</w:t>
      </w:r>
      <w:r>
        <w:rPr>
          <w:spacing w:val="-7"/>
          <w:sz w:val="20"/>
        </w:rPr>
        <w:t> </w:t>
      </w:r>
      <w:r>
        <w:rPr>
          <w:sz w:val="20"/>
        </w:rPr>
        <w:t>mechanism.</w:t>
      </w:r>
      <w:r>
        <w:rPr>
          <w:spacing w:val="-10"/>
          <w:sz w:val="20"/>
        </w:rPr>
        <w:t> </w:t>
      </w:r>
      <w:r>
        <w:rPr>
          <w:sz w:val="20"/>
        </w:rPr>
        <w:t>That</w:t>
      </w:r>
      <w:r>
        <w:rPr>
          <w:spacing w:val="-6"/>
          <w:sz w:val="20"/>
        </w:rPr>
        <w:t> </w:t>
      </w:r>
      <w:r>
        <w:rPr>
          <w:sz w:val="20"/>
        </w:rPr>
        <w:t>is,</w:t>
      </w:r>
      <w:r>
        <w:rPr>
          <w:spacing w:val="-7"/>
          <w:sz w:val="20"/>
        </w:rPr>
        <w:t> </w:t>
      </w:r>
      <w:r>
        <w:rPr>
          <w:sz w:val="20"/>
        </w:rPr>
        <w:t>whether</w:t>
      </w:r>
      <w:r>
        <w:rPr>
          <w:spacing w:val="-7"/>
          <w:sz w:val="20"/>
        </w:rPr>
        <w:t> </w:t>
      </w:r>
      <w:r>
        <w:rPr>
          <w:sz w:val="20"/>
        </w:rPr>
        <w:t>the</w:t>
      </w:r>
      <w:r>
        <w:rPr>
          <w:spacing w:val="-7"/>
          <w:sz w:val="20"/>
        </w:rPr>
        <w:t> </w:t>
      </w:r>
      <w:r>
        <w:rPr>
          <w:sz w:val="20"/>
        </w:rPr>
        <w:t>different</w:t>
      </w:r>
      <w:r>
        <w:rPr>
          <w:spacing w:val="-8"/>
          <w:sz w:val="20"/>
        </w:rPr>
        <w:t> </w:t>
      </w:r>
      <w:r>
        <w:rPr>
          <w:sz w:val="20"/>
        </w:rPr>
        <w:t>components of this formula should apply similarly in all circumstances, or whether some variations (for example the profitability threshold under step 1 and/or the reallocation percentage under step 2) should sometimes be applied to increase (or decrease) the quantum of profit reallocated to market jurisdictions for certain business activities. No agreement has yet been reached on either the policy merits of these variations</w:t>
      </w:r>
      <w:r>
        <w:rPr>
          <w:spacing w:val="23"/>
          <w:sz w:val="20"/>
        </w:rPr>
        <w:t> </w:t>
      </w:r>
      <w:r>
        <w:rPr>
          <w:sz w:val="20"/>
        </w:rPr>
        <w:t>or</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826"/>
      </w:pPr>
      <w:r>
        <w:rPr/>
        <w:t>their feasibility from a technical design perspective. There will also be some remaining issues around questions of regional and jurisdictional segmentation.</w:t>
      </w:r>
    </w:p>
    <w:p>
      <w:pPr>
        <w:pStyle w:val="BodyText"/>
        <w:spacing w:before="11"/>
        <w:rPr>
          <w:sz w:val="19"/>
        </w:rPr>
      </w:pPr>
    </w:p>
    <w:p>
      <w:pPr>
        <w:pStyle w:val="Heading7"/>
        <w:rPr>
          <w:i/>
        </w:rPr>
      </w:pPr>
      <w:bookmarkStart w:name="The issue of double counting" w:id="273"/>
      <w:bookmarkEnd w:id="273"/>
      <w:r>
        <w:rPr>
          <w:i w:val="0"/>
        </w:rPr>
      </w:r>
      <w:r>
        <w:rPr>
          <w:i/>
          <w:color w:val="616161"/>
        </w:rPr>
        <w:t>The issue of double counting</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Outline highlighted an important question as to whether the interactions between Amount A and existing taxing rights of market jurisdictions could, in some circumstances, result in a market jurisdiction</w:t>
      </w:r>
      <w:r>
        <w:rPr>
          <w:spacing w:val="-12"/>
          <w:sz w:val="20"/>
        </w:rPr>
        <w:t> </w:t>
      </w:r>
      <w:r>
        <w:rPr>
          <w:sz w:val="20"/>
        </w:rPr>
        <w:t>being</w:t>
      </w:r>
      <w:r>
        <w:rPr>
          <w:spacing w:val="-12"/>
          <w:sz w:val="20"/>
        </w:rPr>
        <w:t> </w:t>
      </w:r>
      <w:r>
        <w:rPr>
          <w:sz w:val="20"/>
        </w:rPr>
        <w:t>able</w:t>
      </w:r>
      <w:r>
        <w:rPr>
          <w:spacing w:val="-12"/>
          <w:sz w:val="20"/>
        </w:rPr>
        <w:t> </w:t>
      </w:r>
      <w:r>
        <w:rPr>
          <w:sz w:val="20"/>
        </w:rPr>
        <w:t>to</w:t>
      </w:r>
      <w:r>
        <w:rPr>
          <w:spacing w:val="-11"/>
          <w:sz w:val="20"/>
        </w:rPr>
        <w:t> </w:t>
      </w:r>
      <w:r>
        <w:rPr>
          <w:sz w:val="20"/>
        </w:rPr>
        <w:t>tax</w:t>
      </w:r>
      <w:r>
        <w:rPr>
          <w:spacing w:val="-8"/>
          <w:sz w:val="20"/>
        </w:rPr>
        <w:t> </w:t>
      </w:r>
      <w:r>
        <w:rPr>
          <w:sz w:val="20"/>
        </w:rPr>
        <w:t>twice</w:t>
      </w:r>
      <w:r>
        <w:rPr>
          <w:spacing w:val="-12"/>
          <w:sz w:val="20"/>
        </w:rPr>
        <w:t> </w:t>
      </w:r>
      <w:r>
        <w:rPr>
          <w:sz w:val="20"/>
        </w:rPr>
        <w:t>the</w:t>
      </w:r>
      <w:r>
        <w:rPr>
          <w:spacing w:val="-12"/>
          <w:sz w:val="20"/>
        </w:rPr>
        <w:t> </w:t>
      </w:r>
      <w:r>
        <w:rPr>
          <w:sz w:val="20"/>
        </w:rPr>
        <w:t>residual</w:t>
      </w:r>
      <w:r>
        <w:rPr>
          <w:spacing w:val="-9"/>
          <w:sz w:val="20"/>
        </w:rPr>
        <w:t> </w:t>
      </w:r>
      <w:r>
        <w:rPr>
          <w:sz w:val="20"/>
        </w:rPr>
        <w:t>profit</w:t>
      </w:r>
      <w:r>
        <w:rPr>
          <w:spacing w:val="-11"/>
          <w:sz w:val="20"/>
        </w:rPr>
        <w:t> </w:t>
      </w:r>
      <w:r>
        <w:rPr>
          <w:sz w:val="20"/>
        </w:rPr>
        <w:t>of</w:t>
      </w:r>
      <w:r>
        <w:rPr>
          <w:spacing w:val="-9"/>
          <w:sz w:val="20"/>
        </w:rPr>
        <w:t> </w:t>
      </w:r>
      <w:r>
        <w:rPr>
          <w:sz w:val="20"/>
        </w:rPr>
        <w:t>an</w:t>
      </w:r>
      <w:r>
        <w:rPr>
          <w:spacing w:val="-6"/>
          <w:sz w:val="20"/>
        </w:rPr>
        <w:t> </w:t>
      </w:r>
      <w:r>
        <w:rPr>
          <w:sz w:val="20"/>
        </w:rPr>
        <w:t>MNE</w:t>
      </w:r>
      <w:r>
        <w:rPr>
          <w:spacing w:val="-12"/>
          <w:sz w:val="20"/>
        </w:rPr>
        <w:t> </w:t>
      </w:r>
      <w:r>
        <w:rPr>
          <w:sz w:val="20"/>
        </w:rPr>
        <w:t>group:</w:t>
      </w:r>
      <w:r>
        <w:rPr>
          <w:spacing w:val="-8"/>
          <w:sz w:val="20"/>
        </w:rPr>
        <w:t> </w:t>
      </w:r>
      <w:r>
        <w:rPr>
          <w:sz w:val="20"/>
        </w:rPr>
        <w:t>once</w:t>
      </w:r>
      <w:r>
        <w:rPr>
          <w:spacing w:val="-9"/>
          <w:sz w:val="20"/>
        </w:rPr>
        <w:t> </w:t>
      </w:r>
      <w:r>
        <w:rPr>
          <w:sz w:val="20"/>
        </w:rPr>
        <w:t>under</w:t>
      </w:r>
      <w:r>
        <w:rPr>
          <w:spacing w:val="-11"/>
          <w:sz w:val="20"/>
        </w:rPr>
        <w:t> </w:t>
      </w:r>
      <w:r>
        <w:rPr>
          <w:sz w:val="20"/>
        </w:rPr>
        <w:t>its</w:t>
      </w:r>
      <w:r>
        <w:rPr>
          <w:spacing w:val="-10"/>
          <w:sz w:val="20"/>
        </w:rPr>
        <w:t> </w:t>
      </w:r>
      <w:r>
        <w:rPr>
          <w:sz w:val="20"/>
        </w:rPr>
        <w:t>existing</w:t>
      </w:r>
      <w:r>
        <w:rPr>
          <w:spacing w:val="-10"/>
          <w:sz w:val="20"/>
        </w:rPr>
        <w:t> </w:t>
      </w:r>
      <w:r>
        <w:rPr>
          <w:sz w:val="20"/>
        </w:rPr>
        <w:t>taxing</w:t>
      </w:r>
      <w:r>
        <w:rPr>
          <w:spacing w:val="-11"/>
          <w:sz w:val="20"/>
        </w:rPr>
        <w:t> </w:t>
      </w:r>
      <w:r>
        <w:rPr>
          <w:sz w:val="20"/>
        </w:rPr>
        <w:t>rights, and</w:t>
      </w:r>
      <w:r>
        <w:rPr>
          <w:spacing w:val="-5"/>
          <w:sz w:val="20"/>
        </w:rPr>
        <w:t> </w:t>
      </w:r>
      <w:r>
        <w:rPr>
          <w:sz w:val="20"/>
        </w:rPr>
        <w:t>again</w:t>
      </w:r>
      <w:r>
        <w:rPr>
          <w:spacing w:val="-5"/>
          <w:sz w:val="20"/>
        </w:rPr>
        <w:t> </w:t>
      </w:r>
      <w:r>
        <w:rPr>
          <w:sz w:val="20"/>
        </w:rPr>
        <w:t>through</w:t>
      </w:r>
      <w:r>
        <w:rPr>
          <w:spacing w:val="-5"/>
          <w:sz w:val="20"/>
        </w:rPr>
        <w:t> </w:t>
      </w:r>
      <w:r>
        <w:rPr>
          <w:sz w:val="20"/>
        </w:rPr>
        <w:t>Amount</w:t>
      </w:r>
      <w:r>
        <w:rPr>
          <w:spacing w:val="-3"/>
          <w:sz w:val="20"/>
        </w:rPr>
        <w:t> </w:t>
      </w:r>
      <w:r>
        <w:rPr>
          <w:sz w:val="20"/>
        </w:rPr>
        <w:t>A</w:t>
      </w:r>
      <w:r>
        <w:rPr>
          <w:spacing w:val="-5"/>
          <w:sz w:val="20"/>
        </w:rPr>
        <w:t> </w:t>
      </w:r>
      <w:r>
        <w:rPr>
          <w:sz w:val="20"/>
        </w:rPr>
        <w:t>(the</w:t>
      </w:r>
      <w:r>
        <w:rPr>
          <w:spacing w:val="-4"/>
          <w:sz w:val="20"/>
        </w:rPr>
        <w:t> </w:t>
      </w:r>
      <w:r>
        <w:rPr>
          <w:sz w:val="20"/>
        </w:rPr>
        <w:t>issue</w:t>
      </w:r>
      <w:r>
        <w:rPr>
          <w:spacing w:val="-6"/>
          <w:sz w:val="20"/>
        </w:rPr>
        <w:t> </w:t>
      </w:r>
      <w:r>
        <w:rPr>
          <w:sz w:val="20"/>
        </w:rPr>
        <w:t>of</w:t>
      </w:r>
      <w:r>
        <w:rPr>
          <w:spacing w:val="-3"/>
          <w:sz w:val="20"/>
        </w:rPr>
        <w:t> </w:t>
      </w:r>
      <w:r>
        <w:rPr>
          <w:sz w:val="20"/>
        </w:rPr>
        <w:t>“double</w:t>
      </w:r>
      <w:r>
        <w:rPr>
          <w:spacing w:val="-4"/>
          <w:sz w:val="20"/>
        </w:rPr>
        <w:t> </w:t>
      </w:r>
      <w:r>
        <w:rPr>
          <w:sz w:val="20"/>
        </w:rPr>
        <w:t>counting”).</w:t>
      </w:r>
      <w:r>
        <w:rPr>
          <w:spacing w:val="-5"/>
          <w:sz w:val="20"/>
        </w:rPr>
        <w:t> </w:t>
      </w:r>
      <w:r>
        <w:rPr>
          <w:sz w:val="20"/>
        </w:rPr>
        <w:t>The</w:t>
      </w:r>
      <w:r>
        <w:rPr>
          <w:spacing w:val="-6"/>
          <w:sz w:val="20"/>
        </w:rPr>
        <w:t> </w:t>
      </w:r>
      <w:r>
        <w:rPr>
          <w:sz w:val="20"/>
        </w:rPr>
        <w:t>issue</w:t>
      </w:r>
      <w:r>
        <w:rPr>
          <w:spacing w:val="-5"/>
          <w:sz w:val="20"/>
        </w:rPr>
        <w:t> </w:t>
      </w:r>
      <w:r>
        <w:rPr>
          <w:sz w:val="20"/>
        </w:rPr>
        <w:t>of</w:t>
      </w:r>
      <w:r>
        <w:rPr>
          <w:spacing w:val="-3"/>
          <w:sz w:val="20"/>
        </w:rPr>
        <w:t> </w:t>
      </w:r>
      <w:r>
        <w:rPr>
          <w:sz w:val="20"/>
        </w:rPr>
        <w:t>double</w:t>
      </w:r>
      <w:r>
        <w:rPr>
          <w:spacing w:val="-3"/>
          <w:sz w:val="20"/>
        </w:rPr>
        <w:t> </w:t>
      </w:r>
      <w:r>
        <w:rPr>
          <w:sz w:val="20"/>
        </w:rPr>
        <w:t>counting</w:t>
      </w:r>
      <w:r>
        <w:rPr>
          <w:spacing w:val="3"/>
          <w:sz w:val="20"/>
        </w:rPr>
        <w:t> </w:t>
      </w:r>
      <w:r>
        <w:rPr>
          <w:sz w:val="20"/>
        </w:rPr>
        <w:t>is</w:t>
      </w:r>
      <w:r>
        <w:rPr>
          <w:spacing w:val="-3"/>
          <w:sz w:val="20"/>
        </w:rPr>
        <w:t> </w:t>
      </w:r>
      <w:r>
        <w:rPr>
          <w:sz w:val="20"/>
        </w:rPr>
        <w:t>expected</w:t>
      </w:r>
      <w:r>
        <w:rPr>
          <w:spacing w:val="-5"/>
          <w:sz w:val="20"/>
        </w:rPr>
        <w:t> </w:t>
      </w:r>
      <w:r>
        <w:rPr>
          <w:sz w:val="20"/>
        </w:rPr>
        <w:t>to be addressed, at least partially, through the mechanism to eliminate double taxation (see Chapter </w:t>
      </w:r>
      <w:hyperlink w:history="true" w:anchor="_bookmark51">
        <w:r>
          <w:rPr>
            <w:sz w:val="20"/>
          </w:rPr>
          <w:t>7. </w:t>
        </w:r>
      </w:hyperlink>
      <w:r>
        <w:rPr>
          <w:sz w:val="20"/>
        </w:rPr>
        <w:t>). This</w:t>
      </w:r>
      <w:r>
        <w:rPr>
          <w:spacing w:val="-11"/>
          <w:sz w:val="20"/>
        </w:rPr>
        <w:t> </w:t>
      </w:r>
      <w:r>
        <w:rPr>
          <w:sz w:val="20"/>
        </w:rPr>
        <w:t>is</w:t>
      </w:r>
      <w:r>
        <w:rPr>
          <w:spacing w:val="-11"/>
          <w:sz w:val="20"/>
        </w:rPr>
        <w:t> </w:t>
      </w:r>
      <w:r>
        <w:rPr>
          <w:sz w:val="20"/>
        </w:rPr>
        <w:t>because</w:t>
      </w:r>
      <w:r>
        <w:rPr>
          <w:spacing w:val="-8"/>
          <w:sz w:val="20"/>
        </w:rPr>
        <w:t> </w:t>
      </w:r>
      <w:r>
        <w:rPr>
          <w:sz w:val="20"/>
        </w:rPr>
        <w:t>where</w:t>
      </w:r>
      <w:r>
        <w:rPr>
          <w:spacing w:val="-10"/>
          <w:sz w:val="20"/>
        </w:rPr>
        <w:t> </w:t>
      </w:r>
      <w:r>
        <w:rPr>
          <w:sz w:val="20"/>
        </w:rPr>
        <w:t>an</w:t>
      </w:r>
      <w:r>
        <w:rPr>
          <w:spacing w:val="-10"/>
          <w:sz w:val="20"/>
        </w:rPr>
        <w:t> </w:t>
      </w:r>
      <w:r>
        <w:rPr>
          <w:sz w:val="20"/>
        </w:rPr>
        <w:t>entity</w:t>
      </w:r>
      <w:r>
        <w:rPr>
          <w:spacing w:val="-12"/>
          <w:sz w:val="20"/>
        </w:rPr>
        <w:t> </w:t>
      </w:r>
      <w:r>
        <w:rPr>
          <w:sz w:val="20"/>
        </w:rPr>
        <w:t>is</w:t>
      </w:r>
      <w:r>
        <w:rPr>
          <w:spacing w:val="-11"/>
          <w:sz w:val="20"/>
        </w:rPr>
        <w:t> </w:t>
      </w:r>
      <w:r>
        <w:rPr>
          <w:sz w:val="20"/>
        </w:rPr>
        <w:t>allocated</w:t>
      </w:r>
      <w:r>
        <w:rPr>
          <w:spacing w:val="-10"/>
          <w:sz w:val="20"/>
        </w:rPr>
        <w:t> </w:t>
      </w:r>
      <w:r>
        <w:rPr>
          <w:sz w:val="20"/>
        </w:rPr>
        <w:t>significant</w:t>
      </w:r>
      <w:r>
        <w:rPr>
          <w:spacing w:val="-8"/>
          <w:sz w:val="20"/>
        </w:rPr>
        <w:t> </w:t>
      </w:r>
      <w:r>
        <w:rPr>
          <w:sz w:val="20"/>
        </w:rPr>
        <w:t>residual</w:t>
      </w:r>
      <w:r>
        <w:rPr>
          <w:spacing w:val="-11"/>
          <w:sz w:val="20"/>
        </w:rPr>
        <w:t> </w:t>
      </w:r>
      <w:r>
        <w:rPr>
          <w:sz w:val="20"/>
        </w:rPr>
        <w:t>profit</w:t>
      </w:r>
      <w:r>
        <w:rPr>
          <w:spacing w:val="-11"/>
          <w:sz w:val="20"/>
        </w:rPr>
        <w:t> </w:t>
      </w:r>
      <w:r>
        <w:rPr>
          <w:sz w:val="20"/>
        </w:rPr>
        <w:t>in</w:t>
      </w:r>
      <w:r>
        <w:rPr>
          <w:spacing w:val="-13"/>
          <w:sz w:val="20"/>
        </w:rPr>
        <w:t> </w:t>
      </w:r>
      <w:r>
        <w:rPr>
          <w:sz w:val="20"/>
        </w:rPr>
        <w:t>a</w:t>
      </w:r>
      <w:r>
        <w:rPr>
          <w:spacing w:val="-10"/>
          <w:sz w:val="20"/>
        </w:rPr>
        <w:t> </w:t>
      </w:r>
      <w:r>
        <w:rPr>
          <w:sz w:val="20"/>
        </w:rPr>
        <w:t>market</w:t>
      </w:r>
      <w:r>
        <w:rPr>
          <w:spacing w:val="-12"/>
          <w:sz w:val="20"/>
        </w:rPr>
        <w:t> </w:t>
      </w:r>
      <w:r>
        <w:rPr>
          <w:sz w:val="20"/>
        </w:rPr>
        <w:t>jurisdiction</w:t>
      </w:r>
      <w:r>
        <w:rPr>
          <w:spacing w:val="-10"/>
          <w:sz w:val="20"/>
        </w:rPr>
        <w:t> </w:t>
      </w:r>
      <w:r>
        <w:rPr>
          <w:sz w:val="20"/>
        </w:rPr>
        <w:t>under</w:t>
      </w:r>
      <w:r>
        <w:rPr>
          <w:spacing w:val="-12"/>
          <w:sz w:val="20"/>
        </w:rPr>
        <w:t> </w:t>
      </w:r>
      <w:r>
        <w:rPr>
          <w:sz w:val="20"/>
        </w:rPr>
        <w:t>existing profit allocation rules, this entity may be identified as a “paying entity” within the group for the purpose of eliminating</w:t>
      </w:r>
      <w:r>
        <w:rPr>
          <w:spacing w:val="-6"/>
          <w:sz w:val="20"/>
        </w:rPr>
        <w:t> </w:t>
      </w:r>
      <w:r>
        <w:rPr>
          <w:sz w:val="20"/>
        </w:rPr>
        <w:t>double</w:t>
      </w:r>
      <w:r>
        <w:rPr>
          <w:spacing w:val="-5"/>
          <w:sz w:val="20"/>
        </w:rPr>
        <w:t> </w:t>
      </w:r>
      <w:r>
        <w:rPr>
          <w:sz w:val="20"/>
        </w:rPr>
        <w:t>taxation</w:t>
      </w:r>
      <w:r>
        <w:rPr>
          <w:spacing w:val="-1"/>
          <w:sz w:val="20"/>
        </w:rPr>
        <w:t> </w:t>
      </w:r>
      <w:r>
        <w:rPr>
          <w:sz w:val="20"/>
        </w:rPr>
        <w:t>which</w:t>
      </w:r>
      <w:r>
        <w:rPr>
          <w:spacing w:val="-2"/>
          <w:sz w:val="20"/>
        </w:rPr>
        <w:t> </w:t>
      </w:r>
      <w:r>
        <w:rPr>
          <w:sz w:val="20"/>
        </w:rPr>
        <w:t>would</w:t>
      </w:r>
      <w:r>
        <w:rPr>
          <w:spacing w:val="-5"/>
          <w:sz w:val="20"/>
        </w:rPr>
        <w:t> </w:t>
      </w:r>
      <w:r>
        <w:rPr>
          <w:sz w:val="20"/>
        </w:rPr>
        <w:t>bear</w:t>
      </w:r>
      <w:r>
        <w:rPr>
          <w:spacing w:val="-4"/>
          <w:sz w:val="20"/>
        </w:rPr>
        <w:t> </w:t>
      </w:r>
      <w:r>
        <w:rPr>
          <w:sz w:val="20"/>
        </w:rPr>
        <w:t>a</w:t>
      </w:r>
      <w:r>
        <w:rPr>
          <w:spacing w:val="-5"/>
          <w:sz w:val="20"/>
        </w:rPr>
        <w:t> </w:t>
      </w:r>
      <w:r>
        <w:rPr>
          <w:sz w:val="20"/>
        </w:rPr>
        <w:t>portion</w:t>
      </w:r>
      <w:r>
        <w:rPr>
          <w:spacing w:val="-5"/>
          <w:sz w:val="20"/>
        </w:rPr>
        <w:t> </w:t>
      </w:r>
      <w:r>
        <w:rPr>
          <w:sz w:val="20"/>
        </w:rPr>
        <w:t>of</w:t>
      </w:r>
      <w:r>
        <w:rPr>
          <w:spacing w:val="-3"/>
          <w:sz w:val="20"/>
        </w:rPr>
        <w:t> </w:t>
      </w:r>
      <w:r>
        <w:rPr>
          <w:sz w:val="20"/>
        </w:rPr>
        <w:t>the</w:t>
      </w:r>
      <w:r>
        <w:rPr>
          <w:spacing w:val="-4"/>
          <w:sz w:val="20"/>
        </w:rPr>
        <w:t> </w:t>
      </w:r>
      <w:r>
        <w:rPr>
          <w:sz w:val="20"/>
        </w:rPr>
        <w:t>Amount</w:t>
      </w:r>
      <w:r>
        <w:rPr>
          <w:spacing w:val="-6"/>
          <w:sz w:val="20"/>
        </w:rPr>
        <w:t> </w:t>
      </w:r>
      <w:r>
        <w:rPr>
          <w:sz w:val="20"/>
        </w:rPr>
        <w:t>A</w:t>
      </w:r>
      <w:r>
        <w:rPr>
          <w:spacing w:val="-4"/>
          <w:sz w:val="20"/>
        </w:rPr>
        <w:t> </w:t>
      </w:r>
      <w:r>
        <w:rPr>
          <w:sz w:val="20"/>
        </w:rPr>
        <w:t>tax</w:t>
      </w:r>
      <w:r>
        <w:rPr>
          <w:spacing w:val="-4"/>
          <w:sz w:val="20"/>
        </w:rPr>
        <w:t> </w:t>
      </w:r>
      <w:r>
        <w:rPr>
          <w:sz w:val="20"/>
        </w:rPr>
        <w:t>liability</w:t>
      </w:r>
      <w:r>
        <w:rPr>
          <w:spacing w:val="-6"/>
          <w:sz w:val="20"/>
        </w:rPr>
        <w:t> </w:t>
      </w:r>
      <w:r>
        <w:rPr>
          <w:sz w:val="20"/>
        </w:rPr>
        <w:t>(resulting</w:t>
      </w:r>
      <w:r>
        <w:rPr>
          <w:spacing w:val="-3"/>
          <w:sz w:val="20"/>
        </w:rPr>
        <w:t> </w:t>
      </w:r>
      <w:r>
        <w:rPr>
          <w:sz w:val="20"/>
        </w:rPr>
        <w:t>in</w:t>
      </w:r>
      <w:r>
        <w:rPr>
          <w:spacing w:val="-5"/>
          <w:sz w:val="20"/>
        </w:rPr>
        <w:t> </w:t>
      </w:r>
      <w:r>
        <w:rPr>
          <w:sz w:val="20"/>
        </w:rPr>
        <w:t>a</w:t>
      </w:r>
      <w:r>
        <w:rPr>
          <w:spacing w:val="-6"/>
          <w:sz w:val="20"/>
        </w:rPr>
        <w:t> </w:t>
      </w:r>
      <w:r>
        <w:rPr>
          <w:sz w:val="20"/>
        </w:rPr>
        <w:t>“netting- off” effect). However, some members of the Inclusive Framework suggest that, on its</w:t>
      </w:r>
      <w:r>
        <w:rPr>
          <w:spacing w:val="-16"/>
          <w:sz w:val="20"/>
        </w:rPr>
        <w:t> </w:t>
      </w:r>
      <w:r>
        <w:rPr>
          <w:sz w:val="20"/>
        </w:rPr>
        <w:t>own:</w:t>
      </w:r>
    </w:p>
    <w:p>
      <w:pPr>
        <w:pStyle w:val="ListParagraph"/>
        <w:numPr>
          <w:ilvl w:val="1"/>
          <w:numId w:val="13"/>
        </w:numPr>
        <w:tabs>
          <w:tab w:pos="1785" w:val="left" w:leader="none"/>
        </w:tabs>
        <w:spacing w:line="271" w:lineRule="auto" w:before="101" w:after="0"/>
        <w:ind w:left="1784" w:right="483" w:hanging="360"/>
        <w:jc w:val="both"/>
        <w:rPr>
          <w:sz w:val="20"/>
        </w:rPr>
      </w:pPr>
      <w:r>
        <w:rPr>
          <w:sz w:val="20"/>
        </w:rPr>
        <w:t>This may not fit with the overall rationale for Pillar One (and Amount A specifically) which has always been to adapt the income tax system where businesses have an active and sustained engagement in a market jurisdiction, but the existing profit allocation rules do not give that jurisdiction taxing rights over residual profits generated in that market. So, if Amount A did apply to businesses that already realise residual profits in the market, the problem Pillar One is trying to solve may not seem to be</w:t>
      </w:r>
      <w:r>
        <w:rPr>
          <w:spacing w:val="-7"/>
          <w:sz w:val="20"/>
        </w:rPr>
        <w:t> </w:t>
      </w:r>
      <w:r>
        <w:rPr>
          <w:sz w:val="20"/>
        </w:rPr>
        <w:t>present.</w:t>
      </w:r>
    </w:p>
    <w:p>
      <w:pPr>
        <w:pStyle w:val="ListParagraph"/>
        <w:numPr>
          <w:ilvl w:val="1"/>
          <w:numId w:val="13"/>
        </w:numPr>
        <w:tabs>
          <w:tab w:pos="1785" w:val="left" w:leader="none"/>
        </w:tabs>
        <w:spacing w:line="271" w:lineRule="auto" w:before="44" w:after="0"/>
        <w:ind w:left="1784" w:right="476" w:hanging="360"/>
        <w:jc w:val="both"/>
        <w:rPr>
          <w:sz w:val="20"/>
        </w:rPr>
      </w:pPr>
      <w:r>
        <w:rPr>
          <w:sz w:val="20"/>
        </w:rPr>
        <w:t>Applying the mechanism to eliminate double taxation to decentralised businesses that realise residual</w:t>
      </w:r>
      <w:r>
        <w:rPr>
          <w:spacing w:val="-15"/>
          <w:sz w:val="20"/>
        </w:rPr>
        <w:t> </w:t>
      </w:r>
      <w:r>
        <w:rPr>
          <w:sz w:val="20"/>
        </w:rPr>
        <w:t>profits</w:t>
      </w:r>
      <w:r>
        <w:rPr>
          <w:spacing w:val="-10"/>
          <w:sz w:val="20"/>
        </w:rPr>
        <w:t> </w:t>
      </w:r>
      <w:r>
        <w:rPr>
          <w:sz w:val="20"/>
        </w:rPr>
        <w:t>in</w:t>
      </w:r>
      <w:r>
        <w:rPr>
          <w:spacing w:val="-12"/>
          <w:sz w:val="20"/>
        </w:rPr>
        <w:t> </w:t>
      </w:r>
      <w:r>
        <w:rPr>
          <w:sz w:val="20"/>
        </w:rPr>
        <w:t>a</w:t>
      </w:r>
      <w:r>
        <w:rPr>
          <w:spacing w:val="-14"/>
          <w:sz w:val="20"/>
        </w:rPr>
        <w:t> </w:t>
      </w:r>
      <w:r>
        <w:rPr>
          <w:sz w:val="20"/>
        </w:rPr>
        <w:t>large</w:t>
      </w:r>
      <w:r>
        <w:rPr>
          <w:spacing w:val="-12"/>
          <w:sz w:val="20"/>
        </w:rPr>
        <w:t> </w:t>
      </w:r>
      <w:r>
        <w:rPr>
          <w:sz w:val="20"/>
        </w:rPr>
        <w:t>number</w:t>
      </w:r>
      <w:r>
        <w:rPr>
          <w:spacing w:val="-13"/>
          <w:sz w:val="20"/>
        </w:rPr>
        <w:t> </w:t>
      </w:r>
      <w:r>
        <w:rPr>
          <w:sz w:val="20"/>
        </w:rPr>
        <w:t>of</w:t>
      </w:r>
      <w:r>
        <w:rPr>
          <w:spacing w:val="-12"/>
          <w:sz w:val="20"/>
        </w:rPr>
        <w:t> </w:t>
      </w:r>
      <w:r>
        <w:rPr>
          <w:sz w:val="20"/>
        </w:rPr>
        <w:t>entities</w:t>
      </w:r>
      <w:r>
        <w:rPr>
          <w:spacing w:val="-14"/>
          <w:sz w:val="20"/>
        </w:rPr>
        <w:t> </w:t>
      </w:r>
      <w:r>
        <w:rPr>
          <w:sz w:val="20"/>
        </w:rPr>
        <w:t>and</w:t>
      </w:r>
      <w:r>
        <w:rPr>
          <w:spacing w:val="-14"/>
          <w:sz w:val="20"/>
        </w:rPr>
        <w:t> </w:t>
      </w:r>
      <w:r>
        <w:rPr>
          <w:sz w:val="20"/>
        </w:rPr>
        <w:t>jurisdiction</w:t>
      </w:r>
      <w:r>
        <w:rPr>
          <w:spacing w:val="-12"/>
          <w:sz w:val="20"/>
        </w:rPr>
        <w:t> </w:t>
      </w:r>
      <w:r>
        <w:rPr>
          <w:sz w:val="20"/>
        </w:rPr>
        <w:t>will</w:t>
      </w:r>
      <w:r>
        <w:rPr>
          <w:spacing w:val="-12"/>
          <w:sz w:val="20"/>
        </w:rPr>
        <w:t> </w:t>
      </w:r>
      <w:r>
        <w:rPr>
          <w:sz w:val="20"/>
        </w:rPr>
        <w:t>be</w:t>
      </w:r>
      <w:r>
        <w:rPr>
          <w:spacing w:val="-14"/>
          <w:sz w:val="20"/>
        </w:rPr>
        <w:t> </w:t>
      </w:r>
      <w:r>
        <w:rPr>
          <w:sz w:val="20"/>
        </w:rPr>
        <w:t>complex.</w:t>
      </w:r>
      <w:r>
        <w:rPr>
          <w:spacing w:val="-7"/>
          <w:sz w:val="20"/>
        </w:rPr>
        <w:t> </w:t>
      </w:r>
      <w:r>
        <w:rPr>
          <w:sz w:val="20"/>
        </w:rPr>
        <w:t>Specifically,</w:t>
      </w:r>
      <w:r>
        <w:rPr>
          <w:spacing w:val="-11"/>
          <w:sz w:val="20"/>
        </w:rPr>
        <w:t> </w:t>
      </w:r>
      <w:r>
        <w:rPr>
          <w:sz w:val="20"/>
        </w:rPr>
        <w:t>it</w:t>
      </w:r>
      <w:r>
        <w:rPr>
          <w:spacing w:val="-15"/>
          <w:sz w:val="20"/>
        </w:rPr>
        <w:t> </w:t>
      </w:r>
      <w:r>
        <w:rPr>
          <w:sz w:val="20"/>
        </w:rPr>
        <w:t>may be difficult to calibrate this system to ensure that a full-risk distributor entitled to residual profit is identified as the paying entity for the Amount A allocated to the jurisdiction in which it is resident.</w:t>
      </w:r>
      <w:r>
        <w:rPr>
          <w:spacing w:val="-14"/>
          <w:sz w:val="20"/>
        </w:rPr>
        <w:t> </w:t>
      </w:r>
      <w:r>
        <w:rPr>
          <w:sz w:val="20"/>
        </w:rPr>
        <w:t>For</w:t>
      </w:r>
      <w:r>
        <w:rPr>
          <w:spacing w:val="-11"/>
          <w:sz w:val="20"/>
        </w:rPr>
        <w:t> </w:t>
      </w:r>
      <w:r>
        <w:rPr>
          <w:sz w:val="20"/>
        </w:rPr>
        <w:t>this</w:t>
      </w:r>
      <w:r>
        <w:rPr>
          <w:spacing w:val="-12"/>
          <w:sz w:val="20"/>
        </w:rPr>
        <w:t> </w:t>
      </w:r>
      <w:r>
        <w:rPr>
          <w:sz w:val="20"/>
        </w:rPr>
        <w:t>reason,</w:t>
      </w:r>
      <w:r>
        <w:rPr>
          <w:spacing w:val="-12"/>
          <w:sz w:val="20"/>
        </w:rPr>
        <w:t> </w:t>
      </w:r>
      <w:r>
        <w:rPr>
          <w:sz w:val="20"/>
        </w:rPr>
        <w:t>it</w:t>
      </w:r>
      <w:r>
        <w:rPr>
          <w:spacing w:val="-12"/>
          <w:sz w:val="20"/>
        </w:rPr>
        <w:t> </w:t>
      </w:r>
      <w:r>
        <w:rPr>
          <w:sz w:val="20"/>
        </w:rPr>
        <w:t>may</w:t>
      </w:r>
      <w:r>
        <w:rPr>
          <w:spacing w:val="-16"/>
          <w:sz w:val="20"/>
        </w:rPr>
        <w:t> </w:t>
      </w:r>
      <w:r>
        <w:rPr>
          <w:sz w:val="20"/>
        </w:rPr>
        <w:t>be</w:t>
      </w:r>
      <w:r>
        <w:rPr>
          <w:spacing w:val="-14"/>
          <w:sz w:val="20"/>
        </w:rPr>
        <w:t> </w:t>
      </w:r>
      <w:r>
        <w:rPr>
          <w:sz w:val="20"/>
        </w:rPr>
        <w:t>preferable</w:t>
      </w:r>
      <w:r>
        <w:rPr>
          <w:spacing w:val="-12"/>
          <w:sz w:val="20"/>
        </w:rPr>
        <w:t> </w:t>
      </w:r>
      <w:r>
        <w:rPr>
          <w:sz w:val="20"/>
        </w:rPr>
        <w:t>to</w:t>
      </w:r>
      <w:r>
        <w:rPr>
          <w:spacing w:val="-12"/>
          <w:sz w:val="20"/>
        </w:rPr>
        <w:t> </w:t>
      </w:r>
      <w:r>
        <w:rPr>
          <w:sz w:val="20"/>
        </w:rPr>
        <w:t>develop</w:t>
      </w:r>
      <w:r>
        <w:rPr>
          <w:spacing w:val="-14"/>
          <w:sz w:val="20"/>
        </w:rPr>
        <w:t> </w:t>
      </w:r>
      <w:r>
        <w:rPr>
          <w:sz w:val="20"/>
        </w:rPr>
        <w:t>a</w:t>
      </w:r>
      <w:r>
        <w:rPr>
          <w:spacing w:val="-12"/>
          <w:sz w:val="20"/>
        </w:rPr>
        <w:t> </w:t>
      </w:r>
      <w:r>
        <w:rPr>
          <w:sz w:val="20"/>
        </w:rPr>
        <w:t>method</w:t>
      </w:r>
      <w:r>
        <w:rPr>
          <w:spacing w:val="-14"/>
          <w:sz w:val="20"/>
        </w:rPr>
        <w:t> </w:t>
      </w:r>
      <w:r>
        <w:rPr>
          <w:sz w:val="20"/>
        </w:rPr>
        <w:t>that</w:t>
      </w:r>
      <w:r>
        <w:rPr>
          <w:spacing w:val="-11"/>
          <w:sz w:val="20"/>
        </w:rPr>
        <w:t> </w:t>
      </w:r>
      <w:r>
        <w:rPr>
          <w:sz w:val="20"/>
        </w:rPr>
        <w:t>would</w:t>
      </w:r>
      <w:r>
        <w:rPr>
          <w:spacing w:val="-12"/>
          <w:sz w:val="20"/>
        </w:rPr>
        <w:t> </w:t>
      </w:r>
      <w:r>
        <w:rPr>
          <w:sz w:val="20"/>
        </w:rPr>
        <w:t>reduce</w:t>
      </w:r>
      <w:r>
        <w:rPr>
          <w:spacing w:val="-6"/>
          <w:sz w:val="20"/>
        </w:rPr>
        <w:t> </w:t>
      </w:r>
      <w:r>
        <w:rPr>
          <w:sz w:val="20"/>
        </w:rPr>
        <w:t>pressure on</w:t>
      </w:r>
      <w:r>
        <w:rPr>
          <w:spacing w:val="-15"/>
          <w:sz w:val="20"/>
        </w:rPr>
        <w:t> </w:t>
      </w:r>
      <w:r>
        <w:rPr>
          <w:sz w:val="20"/>
        </w:rPr>
        <w:t>the</w:t>
      </w:r>
      <w:r>
        <w:rPr>
          <w:spacing w:val="-12"/>
          <w:sz w:val="20"/>
        </w:rPr>
        <w:t> </w:t>
      </w:r>
      <w:r>
        <w:rPr>
          <w:sz w:val="20"/>
        </w:rPr>
        <w:t>elimination</w:t>
      </w:r>
      <w:r>
        <w:rPr>
          <w:spacing w:val="-15"/>
          <w:sz w:val="20"/>
        </w:rPr>
        <w:t> </w:t>
      </w:r>
      <w:r>
        <w:rPr>
          <w:sz w:val="20"/>
        </w:rPr>
        <w:t>system,</w:t>
      </w:r>
      <w:r>
        <w:rPr>
          <w:spacing w:val="-14"/>
          <w:sz w:val="20"/>
        </w:rPr>
        <w:t> </w:t>
      </w:r>
      <w:r>
        <w:rPr>
          <w:sz w:val="20"/>
        </w:rPr>
        <w:t>allowing</w:t>
      </w:r>
      <w:r>
        <w:rPr>
          <w:spacing w:val="-14"/>
          <w:sz w:val="20"/>
        </w:rPr>
        <w:t> </w:t>
      </w:r>
      <w:r>
        <w:rPr>
          <w:sz w:val="20"/>
        </w:rPr>
        <w:t>this</w:t>
      </w:r>
      <w:r>
        <w:rPr>
          <w:spacing w:val="-13"/>
          <w:sz w:val="20"/>
        </w:rPr>
        <w:t> </w:t>
      </w:r>
      <w:r>
        <w:rPr>
          <w:sz w:val="20"/>
        </w:rPr>
        <w:t>system</w:t>
      </w:r>
      <w:r>
        <w:rPr>
          <w:spacing w:val="-9"/>
          <w:sz w:val="20"/>
        </w:rPr>
        <w:t> </w:t>
      </w:r>
      <w:r>
        <w:rPr>
          <w:sz w:val="20"/>
        </w:rPr>
        <w:t>to</w:t>
      </w:r>
      <w:r>
        <w:rPr>
          <w:spacing w:val="-15"/>
          <w:sz w:val="20"/>
        </w:rPr>
        <w:t> </w:t>
      </w:r>
      <w:r>
        <w:rPr>
          <w:sz w:val="20"/>
        </w:rPr>
        <w:t>focus</w:t>
      </w:r>
      <w:r>
        <w:rPr>
          <w:spacing w:val="-15"/>
          <w:sz w:val="20"/>
        </w:rPr>
        <w:t> </w:t>
      </w:r>
      <w:r>
        <w:rPr>
          <w:sz w:val="20"/>
        </w:rPr>
        <w:t>on</w:t>
      </w:r>
      <w:r>
        <w:rPr>
          <w:spacing w:val="-14"/>
          <w:sz w:val="20"/>
        </w:rPr>
        <w:t> </w:t>
      </w:r>
      <w:r>
        <w:rPr>
          <w:sz w:val="20"/>
        </w:rPr>
        <w:t>more</w:t>
      </w:r>
      <w:r>
        <w:rPr>
          <w:spacing w:val="-14"/>
          <w:sz w:val="20"/>
        </w:rPr>
        <w:t> </w:t>
      </w:r>
      <w:r>
        <w:rPr>
          <w:sz w:val="20"/>
        </w:rPr>
        <w:t>centralised</w:t>
      </w:r>
      <w:r>
        <w:rPr>
          <w:spacing w:val="-12"/>
          <w:sz w:val="20"/>
        </w:rPr>
        <w:t> </w:t>
      </w:r>
      <w:r>
        <w:rPr>
          <w:sz w:val="20"/>
        </w:rPr>
        <w:t>businesses</w:t>
      </w:r>
      <w:r>
        <w:rPr>
          <w:spacing w:val="-14"/>
          <w:sz w:val="20"/>
        </w:rPr>
        <w:t> </w:t>
      </w:r>
      <w:r>
        <w:rPr>
          <w:sz w:val="20"/>
        </w:rPr>
        <w:t>where it will be comparably easy to identify the paying</w:t>
      </w:r>
      <w:r>
        <w:rPr>
          <w:spacing w:val="-14"/>
          <w:sz w:val="20"/>
        </w:rPr>
        <w:t> </w:t>
      </w:r>
      <w:r>
        <w:rPr>
          <w:sz w:val="20"/>
        </w:rPr>
        <w:t>entities.</w:t>
      </w:r>
    </w:p>
    <w:p>
      <w:pPr>
        <w:pStyle w:val="ListParagraph"/>
        <w:numPr>
          <w:ilvl w:val="0"/>
          <w:numId w:val="13"/>
        </w:numPr>
        <w:tabs>
          <w:tab w:pos="1444" w:val="left" w:leader="none"/>
        </w:tabs>
        <w:spacing w:line="271" w:lineRule="auto" w:before="124" w:after="0"/>
        <w:ind w:left="723" w:right="481" w:firstLine="0"/>
        <w:jc w:val="both"/>
        <w:rPr>
          <w:sz w:val="20"/>
        </w:rPr>
      </w:pPr>
      <w:r>
        <w:rPr>
          <w:sz w:val="20"/>
        </w:rPr>
        <w:t>The marketing and distribution profits safe harbour described below is an approach that seeks to address these issues related to double counting, as well as a number of other issues expressed by Inclusive Framework members and stakeholders. It would be an additional step in the Amount A formula to adjust the quantum of Amount A allocated to eligible market jurisdictions in specific circumstances. Consideration is also being given to other approaches to deal (or alleviate) double counting beyond the mechanism to eliminate double taxation, such as a domestic business</w:t>
      </w:r>
      <w:r>
        <w:rPr>
          <w:spacing w:val="-6"/>
          <w:sz w:val="20"/>
        </w:rPr>
        <w:t> </w:t>
      </w:r>
      <w:r>
        <w:rPr>
          <w:sz w:val="20"/>
        </w:rPr>
        <w:t>exemption.</w:t>
      </w:r>
    </w:p>
    <w:p>
      <w:pPr>
        <w:pStyle w:val="BodyText"/>
        <w:spacing w:before="3"/>
      </w:pPr>
    </w:p>
    <w:p>
      <w:pPr>
        <w:pStyle w:val="Heading8"/>
      </w:pPr>
      <w:bookmarkStart w:name="Marketing and distribution profits safe " w:id="274"/>
      <w:bookmarkEnd w:id="274"/>
      <w:r>
        <w:rPr>
          <w:b w:val="0"/>
        </w:rPr>
      </w:r>
      <w:r>
        <w:rPr/>
        <w:t>Marketing and distribution profits safe harbour</w:t>
      </w:r>
    </w:p>
    <w:p>
      <w:pPr>
        <w:pStyle w:val="BodyText"/>
        <w:spacing w:before="1"/>
        <w:rPr>
          <w:b/>
          <w:sz w:val="19"/>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The premise of the “marketing and distribution profits safe harbour” is that Amount A should be allocated to a market jurisdiction that is not allocated residual profits under the existing profit allocation rules but should not be allocated to a market jurisdiction where (for its in-scope activities) an MNE group already leaves sufficient residual profit in the market. It would not be a traditional safe harbour, but would instead “cap” the allocation of Amount A to market jurisdictions that already have taxing rights over a group’s profits under existing tax rules. Conceptually, it would consider the income taxes payable in the market</w:t>
      </w:r>
      <w:r>
        <w:rPr>
          <w:spacing w:val="-8"/>
          <w:sz w:val="20"/>
        </w:rPr>
        <w:t> </w:t>
      </w:r>
      <w:r>
        <w:rPr>
          <w:sz w:val="20"/>
        </w:rPr>
        <w:t>jurisdiction</w:t>
      </w:r>
      <w:r>
        <w:rPr>
          <w:spacing w:val="-7"/>
          <w:sz w:val="20"/>
        </w:rPr>
        <w:t> </w:t>
      </w:r>
      <w:r>
        <w:rPr>
          <w:sz w:val="20"/>
        </w:rPr>
        <w:t>under</w:t>
      </w:r>
      <w:r>
        <w:rPr>
          <w:spacing w:val="-4"/>
          <w:sz w:val="20"/>
        </w:rPr>
        <w:t> </w:t>
      </w:r>
      <w:r>
        <w:rPr>
          <w:sz w:val="20"/>
        </w:rPr>
        <w:t>existing</w:t>
      </w:r>
      <w:r>
        <w:rPr>
          <w:spacing w:val="-8"/>
          <w:sz w:val="20"/>
        </w:rPr>
        <w:t> </w:t>
      </w:r>
      <w:r>
        <w:rPr>
          <w:sz w:val="20"/>
        </w:rPr>
        <w:t>taxing</w:t>
      </w:r>
      <w:r>
        <w:rPr>
          <w:spacing w:val="-5"/>
          <w:sz w:val="20"/>
        </w:rPr>
        <w:t> </w:t>
      </w:r>
      <w:r>
        <w:rPr>
          <w:sz w:val="20"/>
        </w:rPr>
        <w:t>rights</w:t>
      </w:r>
      <w:r>
        <w:rPr>
          <w:spacing w:val="-6"/>
          <w:sz w:val="20"/>
        </w:rPr>
        <w:t> </w:t>
      </w:r>
      <w:r>
        <w:rPr>
          <w:sz w:val="20"/>
        </w:rPr>
        <w:t>and</w:t>
      </w:r>
      <w:r>
        <w:rPr>
          <w:spacing w:val="-5"/>
          <w:sz w:val="20"/>
        </w:rPr>
        <w:t> </w:t>
      </w:r>
      <w:r>
        <w:rPr>
          <w:sz w:val="20"/>
        </w:rPr>
        <w:t>Amount</w:t>
      </w:r>
      <w:r>
        <w:rPr>
          <w:spacing w:val="-4"/>
          <w:sz w:val="20"/>
        </w:rPr>
        <w:t> </w:t>
      </w:r>
      <w:r>
        <w:rPr>
          <w:sz w:val="20"/>
        </w:rPr>
        <w:t>A</w:t>
      </w:r>
      <w:r>
        <w:rPr>
          <w:spacing w:val="-8"/>
          <w:sz w:val="20"/>
        </w:rPr>
        <w:t> </w:t>
      </w:r>
      <w:r>
        <w:rPr>
          <w:sz w:val="20"/>
        </w:rPr>
        <w:t>together,</w:t>
      </w:r>
      <w:r>
        <w:rPr>
          <w:spacing w:val="-4"/>
          <w:sz w:val="20"/>
        </w:rPr>
        <w:t> </w:t>
      </w:r>
      <w:r>
        <w:rPr>
          <w:sz w:val="20"/>
        </w:rPr>
        <w:t>and</w:t>
      </w:r>
      <w:r>
        <w:rPr>
          <w:spacing w:val="-5"/>
          <w:sz w:val="20"/>
        </w:rPr>
        <w:t> </w:t>
      </w:r>
      <w:r>
        <w:rPr>
          <w:sz w:val="20"/>
        </w:rPr>
        <w:t>adjust</w:t>
      </w:r>
      <w:r>
        <w:rPr>
          <w:spacing w:val="-5"/>
          <w:sz w:val="20"/>
        </w:rPr>
        <w:t> </w:t>
      </w:r>
      <w:r>
        <w:rPr>
          <w:sz w:val="20"/>
        </w:rPr>
        <w:t>the</w:t>
      </w:r>
      <w:r>
        <w:rPr>
          <w:spacing w:val="-7"/>
          <w:sz w:val="20"/>
        </w:rPr>
        <w:t> </w:t>
      </w:r>
      <w:r>
        <w:rPr>
          <w:sz w:val="20"/>
        </w:rPr>
        <w:t>quantum</w:t>
      </w:r>
      <w:r>
        <w:rPr>
          <w:spacing w:val="-3"/>
          <w:sz w:val="20"/>
        </w:rPr>
        <w:t> </w:t>
      </w:r>
      <w:r>
        <w:rPr>
          <w:sz w:val="20"/>
        </w:rPr>
        <w:t>of</w:t>
      </w:r>
      <w:r>
        <w:rPr>
          <w:spacing w:val="-5"/>
          <w:sz w:val="20"/>
        </w:rPr>
        <w:t> </w:t>
      </w:r>
      <w:r>
        <w:rPr>
          <w:sz w:val="20"/>
        </w:rPr>
        <w:t>Amount A taxable in a market jurisdiction, on the basis of limiting it where the residual profit of the MNE group is already taxed in that jurisdiction as a result of the application of the existing profit allocation rules. Where an MNE qualifies under the safe harbour in the market jurisdictions where it operates, it would need to calculate Amount A, but would otherwise remain subject to the existing rules including on transfer pricing and the elimination of double</w:t>
      </w:r>
      <w:r>
        <w:rPr>
          <w:spacing w:val="-4"/>
          <w:sz w:val="20"/>
        </w:rPr>
        <w:t> </w:t>
      </w:r>
      <w:r>
        <w:rPr>
          <w:sz w:val="20"/>
        </w:rPr>
        <w:t>taxation.</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79" w:firstLine="0"/>
        <w:jc w:val="both"/>
        <w:rPr>
          <w:sz w:val="20"/>
        </w:rPr>
      </w:pPr>
      <w:r>
        <w:rPr>
          <w:sz w:val="20"/>
        </w:rPr>
        <w:t>Under the safe harbour, where an MNE group has a taxable presence in a market jurisdiction conducting marketing and distribution activities connected to locally sourced in-scope revenue (either a resident</w:t>
      </w:r>
      <w:r>
        <w:rPr>
          <w:spacing w:val="-18"/>
          <w:sz w:val="20"/>
        </w:rPr>
        <w:t> </w:t>
      </w:r>
      <w:r>
        <w:rPr>
          <w:sz w:val="20"/>
        </w:rPr>
        <w:t>entity</w:t>
      </w:r>
      <w:r>
        <w:rPr>
          <w:spacing w:val="-19"/>
          <w:sz w:val="20"/>
        </w:rPr>
        <w:t> </w:t>
      </w:r>
      <w:r>
        <w:rPr>
          <w:sz w:val="20"/>
        </w:rPr>
        <w:t>or</w:t>
      </w:r>
      <w:r>
        <w:rPr>
          <w:spacing w:val="-18"/>
          <w:sz w:val="20"/>
        </w:rPr>
        <w:t> </w:t>
      </w:r>
      <w:r>
        <w:rPr>
          <w:sz w:val="20"/>
        </w:rPr>
        <w:t>a</w:t>
      </w:r>
      <w:r>
        <w:rPr>
          <w:spacing w:val="-16"/>
          <w:sz w:val="20"/>
        </w:rPr>
        <w:t> </w:t>
      </w:r>
      <w:r>
        <w:rPr>
          <w:sz w:val="20"/>
        </w:rPr>
        <w:t>permanent</w:t>
      </w:r>
      <w:r>
        <w:rPr>
          <w:spacing w:val="-19"/>
          <w:sz w:val="20"/>
        </w:rPr>
        <w:t> </w:t>
      </w:r>
      <w:r>
        <w:rPr>
          <w:sz w:val="20"/>
        </w:rPr>
        <w:t>establishment),</w:t>
      </w:r>
      <w:r>
        <w:rPr>
          <w:spacing w:val="-18"/>
          <w:sz w:val="20"/>
        </w:rPr>
        <w:t> </w:t>
      </w:r>
      <w:r>
        <w:rPr>
          <w:sz w:val="20"/>
        </w:rPr>
        <w:t>the</w:t>
      </w:r>
      <w:r>
        <w:rPr>
          <w:spacing w:val="-17"/>
          <w:sz w:val="20"/>
        </w:rPr>
        <w:t> </w:t>
      </w:r>
      <w:r>
        <w:rPr>
          <w:sz w:val="20"/>
        </w:rPr>
        <w:t>group</w:t>
      </w:r>
      <w:r>
        <w:rPr>
          <w:spacing w:val="-15"/>
          <w:sz w:val="20"/>
        </w:rPr>
        <w:t> </w:t>
      </w:r>
      <w:r>
        <w:rPr>
          <w:sz w:val="20"/>
        </w:rPr>
        <w:t>would</w:t>
      </w:r>
      <w:r>
        <w:rPr>
          <w:spacing w:val="-16"/>
          <w:sz w:val="20"/>
        </w:rPr>
        <w:t> </w:t>
      </w:r>
      <w:r>
        <w:rPr>
          <w:sz w:val="20"/>
        </w:rPr>
        <w:t>determine</w:t>
      </w:r>
      <w:r>
        <w:rPr>
          <w:spacing w:val="-19"/>
          <w:sz w:val="20"/>
        </w:rPr>
        <w:t> </w:t>
      </w:r>
      <w:r>
        <w:rPr>
          <w:sz w:val="20"/>
        </w:rPr>
        <w:t>the</w:t>
      </w:r>
      <w:r>
        <w:rPr>
          <w:spacing w:val="-17"/>
          <w:sz w:val="20"/>
        </w:rPr>
        <w:t> </w:t>
      </w:r>
      <w:r>
        <w:rPr>
          <w:sz w:val="20"/>
        </w:rPr>
        <w:t>profits</w:t>
      </w:r>
      <w:r>
        <w:rPr>
          <w:spacing w:val="-16"/>
          <w:sz w:val="20"/>
        </w:rPr>
        <w:t> </w:t>
      </w:r>
      <w:r>
        <w:rPr>
          <w:sz w:val="20"/>
        </w:rPr>
        <w:t>allocated</w:t>
      </w:r>
      <w:r>
        <w:rPr>
          <w:spacing w:val="-19"/>
          <w:sz w:val="20"/>
        </w:rPr>
        <w:t> </w:t>
      </w:r>
      <w:r>
        <w:rPr>
          <w:sz w:val="20"/>
        </w:rPr>
        <w:t>to</w:t>
      </w:r>
      <w:r>
        <w:rPr>
          <w:spacing w:val="-10"/>
          <w:sz w:val="20"/>
        </w:rPr>
        <w:t> </w:t>
      </w:r>
      <w:r>
        <w:rPr>
          <w:sz w:val="20"/>
        </w:rPr>
        <w:t>the</w:t>
      </w:r>
      <w:r>
        <w:rPr>
          <w:spacing w:val="-19"/>
          <w:sz w:val="20"/>
        </w:rPr>
        <w:t> </w:t>
      </w:r>
      <w:r>
        <w:rPr>
          <w:sz w:val="20"/>
        </w:rPr>
        <w:t>market jurisdiction under existing profit allocation rules for the performance of these marketing and distribution activities (the “existing marketing and distribution profit”).</w:t>
      </w:r>
      <w:r>
        <w:rPr>
          <w:position w:val="6"/>
          <w:sz w:val="13"/>
        </w:rPr>
        <w:t>96 </w:t>
      </w:r>
      <w:r>
        <w:rPr>
          <w:sz w:val="20"/>
        </w:rPr>
        <w:t>The MNE group would then compare this with the “safe harbour return”, which would be the sum of two</w:t>
      </w:r>
      <w:r>
        <w:rPr>
          <w:spacing w:val="-6"/>
          <w:sz w:val="20"/>
        </w:rPr>
        <w:t> </w:t>
      </w:r>
      <w:r>
        <w:rPr>
          <w:sz w:val="20"/>
        </w:rPr>
        <w:t>components:</w:t>
      </w:r>
    </w:p>
    <w:p>
      <w:pPr>
        <w:pStyle w:val="ListParagraph"/>
        <w:numPr>
          <w:ilvl w:val="0"/>
          <w:numId w:val="66"/>
        </w:numPr>
        <w:tabs>
          <w:tab w:pos="1444" w:val="left" w:leader="none"/>
        </w:tabs>
        <w:spacing w:line="240" w:lineRule="auto" w:before="100" w:after="0"/>
        <w:ind w:left="1443" w:right="0" w:hanging="361"/>
        <w:jc w:val="both"/>
        <w:rPr>
          <w:sz w:val="20"/>
        </w:rPr>
      </w:pPr>
      <w:r>
        <w:rPr>
          <w:sz w:val="20"/>
        </w:rPr>
        <w:t>Amount A, as computed under the Amount A formula;</w:t>
      </w:r>
      <w:r>
        <w:rPr>
          <w:spacing w:val="-4"/>
          <w:sz w:val="20"/>
        </w:rPr>
        <w:t> </w:t>
      </w:r>
      <w:r>
        <w:rPr>
          <w:sz w:val="20"/>
        </w:rPr>
        <w:t>and</w:t>
      </w:r>
    </w:p>
    <w:p>
      <w:pPr>
        <w:pStyle w:val="ListParagraph"/>
        <w:numPr>
          <w:ilvl w:val="0"/>
          <w:numId w:val="66"/>
        </w:numPr>
        <w:tabs>
          <w:tab w:pos="1444" w:val="left" w:leader="none"/>
        </w:tabs>
        <w:spacing w:line="266" w:lineRule="auto" w:before="74" w:after="0"/>
        <w:ind w:left="1443" w:right="484" w:hanging="360"/>
        <w:jc w:val="both"/>
        <w:rPr>
          <w:sz w:val="20"/>
        </w:rPr>
      </w:pPr>
      <w:r>
        <w:rPr>
          <w:sz w:val="20"/>
        </w:rPr>
        <w:t>A fixed return for in-country routine marketing and distribution activities, which could include a regional, and industry</w:t>
      </w:r>
      <w:r>
        <w:rPr>
          <w:spacing w:val="-6"/>
          <w:sz w:val="20"/>
        </w:rPr>
        <w:t> </w:t>
      </w:r>
      <w:r>
        <w:rPr>
          <w:sz w:val="20"/>
        </w:rPr>
        <w:t>uplift.</w:t>
      </w:r>
    </w:p>
    <w:p>
      <w:pPr>
        <w:pStyle w:val="ListParagraph"/>
        <w:numPr>
          <w:ilvl w:val="0"/>
          <w:numId w:val="13"/>
        </w:numPr>
        <w:tabs>
          <w:tab w:pos="1444" w:val="left" w:leader="none"/>
        </w:tabs>
        <w:spacing w:line="271" w:lineRule="auto" w:before="134" w:after="0"/>
        <w:ind w:left="723" w:right="488" w:firstLine="0"/>
        <w:jc w:val="both"/>
        <w:rPr>
          <w:sz w:val="20"/>
        </w:rPr>
      </w:pPr>
      <w:r>
        <w:rPr>
          <w:sz w:val="20"/>
        </w:rPr>
        <w:t>The safe harbour return represents the cap, by reference to which the quantum of Amount A allocated to a market jurisdiction would be adjusted. It would be applied by an MNE group separately to each market jurisdiction in which they operate and would give rise to three possible</w:t>
      </w:r>
      <w:r>
        <w:rPr>
          <w:spacing w:val="-25"/>
          <w:sz w:val="20"/>
        </w:rPr>
        <w:t> </w:t>
      </w:r>
      <w:r>
        <w:rPr>
          <w:sz w:val="20"/>
        </w:rPr>
        <w:t>outcomes:</w:t>
      </w:r>
    </w:p>
    <w:p>
      <w:pPr>
        <w:pStyle w:val="ListParagraph"/>
        <w:numPr>
          <w:ilvl w:val="1"/>
          <w:numId w:val="13"/>
        </w:numPr>
        <w:tabs>
          <w:tab w:pos="1403" w:val="left" w:leader="none"/>
        </w:tabs>
        <w:spacing w:line="266" w:lineRule="auto" w:before="101" w:after="0"/>
        <w:ind w:left="1402" w:right="481" w:hanging="339"/>
        <w:jc w:val="both"/>
        <w:rPr>
          <w:sz w:val="20"/>
        </w:rPr>
      </w:pPr>
      <w:r>
        <w:rPr>
          <w:sz w:val="20"/>
        </w:rPr>
        <w:t>Where the existing marketing and distribution profit is lower than the fixed return, the MNE group will not be eligible for the safe</w:t>
      </w:r>
      <w:r>
        <w:rPr>
          <w:spacing w:val="-11"/>
          <w:sz w:val="20"/>
        </w:rPr>
        <w:t> </w:t>
      </w:r>
      <w:r>
        <w:rPr>
          <w:sz w:val="20"/>
        </w:rPr>
        <w:t>harbour;</w:t>
      </w:r>
    </w:p>
    <w:p>
      <w:pPr>
        <w:pStyle w:val="ListParagraph"/>
        <w:numPr>
          <w:ilvl w:val="1"/>
          <w:numId w:val="13"/>
        </w:numPr>
        <w:tabs>
          <w:tab w:pos="1403" w:val="left" w:leader="none"/>
        </w:tabs>
        <w:spacing w:line="271" w:lineRule="auto" w:before="51" w:after="0"/>
        <w:ind w:left="1402" w:right="483" w:hanging="339"/>
        <w:jc w:val="both"/>
        <w:rPr>
          <w:sz w:val="20"/>
        </w:rPr>
      </w:pPr>
      <w:r>
        <w:rPr>
          <w:sz w:val="20"/>
        </w:rPr>
        <w:t>Where the existing marketing and distribution profits exceeds the fixed return, but falls below the safe harbour return, the quantum of Amount A allocated to that jurisdiction would be reduced to the difference between the safe harbour return and the profit already allocated to the local presence;</w:t>
      </w:r>
      <w:r>
        <w:rPr>
          <w:spacing w:val="-3"/>
          <w:sz w:val="20"/>
        </w:rPr>
        <w:t> </w:t>
      </w:r>
      <w:r>
        <w:rPr>
          <w:sz w:val="20"/>
        </w:rPr>
        <w:t>and</w:t>
      </w:r>
    </w:p>
    <w:p>
      <w:pPr>
        <w:pStyle w:val="ListParagraph"/>
        <w:numPr>
          <w:ilvl w:val="1"/>
          <w:numId w:val="13"/>
        </w:numPr>
        <w:tabs>
          <w:tab w:pos="1403" w:val="left" w:leader="none"/>
        </w:tabs>
        <w:spacing w:line="266" w:lineRule="auto" w:before="45" w:after="0"/>
        <w:ind w:left="1402" w:right="490" w:hanging="339"/>
        <w:jc w:val="both"/>
        <w:rPr>
          <w:sz w:val="20"/>
        </w:rPr>
      </w:pPr>
      <w:r>
        <w:rPr>
          <w:sz w:val="20"/>
        </w:rPr>
        <w:t>Where existing marketing and distribution profit exceeds the safe harbour return, no Amount A would be allocated to that</w:t>
      </w:r>
      <w:r>
        <w:rPr>
          <w:spacing w:val="-5"/>
          <w:sz w:val="20"/>
        </w:rPr>
        <w:t> </w:t>
      </w:r>
      <w:r>
        <w:rPr>
          <w:sz w:val="20"/>
        </w:rPr>
        <w:t>jurisdiction.</w:t>
      </w:r>
    </w:p>
    <w:p>
      <w:pPr>
        <w:pStyle w:val="ListParagraph"/>
        <w:numPr>
          <w:ilvl w:val="0"/>
          <w:numId w:val="13"/>
        </w:numPr>
        <w:tabs>
          <w:tab w:pos="1444" w:val="left" w:leader="none"/>
        </w:tabs>
        <w:spacing w:line="271" w:lineRule="auto" w:before="132" w:after="0"/>
        <w:ind w:left="723" w:right="483" w:firstLine="0"/>
        <w:jc w:val="both"/>
        <w:rPr>
          <w:sz w:val="20"/>
        </w:rPr>
      </w:pPr>
      <w:r>
        <w:rPr>
          <w:sz w:val="20"/>
        </w:rPr>
        <w:t>In-scope</w:t>
      </w:r>
      <w:r>
        <w:rPr>
          <w:spacing w:val="-17"/>
          <w:sz w:val="20"/>
        </w:rPr>
        <w:t> </w:t>
      </w:r>
      <w:r>
        <w:rPr>
          <w:sz w:val="20"/>
        </w:rPr>
        <w:t>MNE</w:t>
      </w:r>
      <w:r>
        <w:rPr>
          <w:spacing w:val="-18"/>
          <w:sz w:val="20"/>
        </w:rPr>
        <w:t> </w:t>
      </w:r>
      <w:r>
        <w:rPr>
          <w:sz w:val="20"/>
        </w:rPr>
        <w:t>groups</w:t>
      </w:r>
      <w:r>
        <w:rPr>
          <w:spacing w:val="-16"/>
          <w:sz w:val="20"/>
        </w:rPr>
        <w:t> </w:t>
      </w:r>
      <w:r>
        <w:rPr>
          <w:sz w:val="20"/>
        </w:rPr>
        <w:t>that</w:t>
      </w:r>
      <w:r>
        <w:rPr>
          <w:spacing w:val="-17"/>
          <w:sz w:val="20"/>
        </w:rPr>
        <w:t> </w:t>
      </w:r>
      <w:r>
        <w:rPr>
          <w:sz w:val="20"/>
        </w:rPr>
        <w:t>for</w:t>
      </w:r>
      <w:r>
        <w:rPr>
          <w:spacing w:val="-17"/>
          <w:sz w:val="20"/>
        </w:rPr>
        <w:t> </w:t>
      </w:r>
      <w:r>
        <w:rPr>
          <w:sz w:val="20"/>
        </w:rPr>
        <w:t>commercial</w:t>
      </w:r>
      <w:r>
        <w:rPr>
          <w:spacing w:val="-17"/>
          <w:sz w:val="20"/>
        </w:rPr>
        <w:t> </w:t>
      </w:r>
      <w:r>
        <w:rPr>
          <w:sz w:val="20"/>
        </w:rPr>
        <w:t>reasons</w:t>
      </w:r>
      <w:r>
        <w:rPr>
          <w:spacing w:val="-16"/>
          <w:sz w:val="20"/>
        </w:rPr>
        <w:t> </w:t>
      </w:r>
      <w:r>
        <w:rPr>
          <w:sz w:val="20"/>
        </w:rPr>
        <w:t>(given</w:t>
      </w:r>
      <w:r>
        <w:rPr>
          <w:spacing w:val="-18"/>
          <w:sz w:val="20"/>
        </w:rPr>
        <w:t> </w:t>
      </w:r>
      <w:r>
        <w:rPr>
          <w:sz w:val="20"/>
        </w:rPr>
        <w:t>their</w:t>
      </w:r>
      <w:r>
        <w:rPr>
          <w:spacing w:val="-16"/>
          <w:sz w:val="20"/>
        </w:rPr>
        <w:t> </w:t>
      </w:r>
      <w:r>
        <w:rPr>
          <w:sz w:val="20"/>
        </w:rPr>
        <w:t>particular</w:t>
      </w:r>
      <w:r>
        <w:rPr>
          <w:spacing w:val="-17"/>
          <w:sz w:val="20"/>
        </w:rPr>
        <w:t> </w:t>
      </w:r>
      <w:r>
        <w:rPr>
          <w:sz w:val="20"/>
        </w:rPr>
        <w:t>business</w:t>
      </w:r>
      <w:r>
        <w:rPr>
          <w:spacing w:val="-13"/>
          <w:sz w:val="20"/>
        </w:rPr>
        <w:t> </w:t>
      </w:r>
      <w:r>
        <w:rPr>
          <w:sz w:val="20"/>
        </w:rPr>
        <w:t>models)</w:t>
      </w:r>
      <w:r>
        <w:rPr>
          <w:spacing w:val="-16"/>
          <w:sz w:val="20"/>
        </w:rPr>
        <w:t> </w:t>
      </w:r>
      <w:r>
        <w:rPr>
          <w:sz w:val="20"/>
        </w:rPr>
        <w:t>operate without</w:t>
      </w:r>
      <w:r>
        <w:rPr>
          <w:spacing w:val="-6"/>
          <w:sz w:val="20"/>
        </w:rPr>
        <w:t> </w:t>
      </w:r>
      <w:r>
        <w:rPr>
          <w:sz w:val="20"/>
        </w:rPr>
        <w:t>an</w:t>
      </w:r>
      <w:r>
        <w:rPr>
          <w:spacing w:val="-7"/>
          <w:sz w:val="20"/>
        </w:rPr>
        <w:t> </w:t>
      </w:r>
      <w:r>
        <w:rPr>
          <w:sz w:val="20"/>
        </w:rPr>
        <w:t>existing</w:t>
      </w:r>
      <w:r>
        <w:rPr>
          <w:spacing w:val="-7"/>
          <w:sz w:val="20"/>
        </w:rPr>
        <w:t> </w:t>
      </w:r>
      <w:r>
        <w:rPr>
          <w:sz w:val="20"/>
        </w:rPr>
        <w:t>taxable</w:t>
      </w:r>
      <w:r>
        <w:rPr>
          <w:spacing w:val="-7"/>
          <w:sz w:val="20"/>
        </w:rPr>
        <w:t> </w:t>
      </w:r>
      <w:r>
        <w:rPr>
          <w:sz w:val="20"/>
        </w:rPr>
        <w:t>presence</w:t>
      </w:r>
      <w:r>
        <w:rPr>
          <w:spacing w:val="-7"/>
          <w:sz w:val="20"/>
        </w:rPr>
        <w:t> </w:t>
      </w:r>
      <w:r>
        <w:rPr>
          <w:sz w:val="20"/>
        </w:rPr>
        <w:t>in</w:t>
      </w:r>
      <w:r>
        <w:rPr>
          <w:spacing w:val="-7"/>
          <w:sz w:val="20"/>
        </w:rPr>
        <w:t> </w:t>
      </w:r>
      <w:r>
        <w:rPr>
          <w:sz w:val="20"/>
        </w:rPr>
        <w:t>a</w:t>
      </w:r>
      <w:r>
        <w:rPr>
          <w:spacing w:val="-7"/>
          <w:sz w:val="20"/>
        </w:rPr>
        <w:t> </w:t>
      </w:r>
      <w:r>
        <w:rPr>
          <w:sz w:val="20"/>
        </w:rPr>
        <w:t>market</w:t>
      </w:r>
      <w:r>
        <w:rPr>
          <w:spacing w:val="-7"/>
          <w:sz w:val="20"/>
        </w:rPr>
        <w:t> </w:t>
      </w:r>
      <w:r>
        <w:rPr>
          <w:sz w:val="20"/>
        </w:rPr>
        <w:t>jurisdiction</w:t>
      </w:r>
      <w:r>
        <w:rPr>
          <w:spacing w:val="-7"/>
          <w:sz w:val="20"/>
        </w:rPr>
        <w:t> </w:t>
      </w:r>
      <w:r>
        <w:rPr>
          <w:sz w:val="20"/>
        </w:rPr>
        <w:t>or</w:t>
      </w:r>
      <w:r>
        <w:rPr>
          <w:spacing w:val="-6"/>
          <w:sz w:val="20"/>
        </w:rPr>
        <w:t> </w:t>
      </w:r>
      <w:r>
        <w:rPr>
          <w:sz w:val="20"/>
        </w:rPr>
        <w:t>only</w:t>
      </w:r>
      <w:r>
        <w:rPr>
          <w:spacing w:val="-10"/>
          <w:sz w:val="20"/>
        </w:rPr>
        <w:t> </w:t>
      </w:r>
      <w:r>
        <w:rPr>
          <w:sz w:val="20"/>
        </w:rPr>
        <w:t>allocate</w:t>
      </w:r>
      <w:r>
        <w:rPr>
          <w:spacing w:val="-7"/>
          <w:sz w:val="20"/>
        </w:rPr>
        <w:t> </w:t>
      </w:r>
      <w:r>
        <w:rPr>
          <w:sz w:val="20"/>
        </w:rPr>
        <w:t>a</w:t>
      </w:r>
      <w:r>
        <w:rPr>
          <w:spacing w:val="-7"/>
          <w:sz w:val="20"/>
        </w:rPr>
        <w:t> </w:t>
      </w:r>
      <w:r>
        <w:rPr>
          <w:sz w:val="20"/>
        </w:rPr>
        <w:t>relatively</w:t>
      </w:r>
      <w:r>
        <w:rPr>
          <w:spacing w:val="-9"/>
          <w:sz w:val="20"/>
        </w:rPr>
        <w:t> </w:t>
      </w:r>
      <w:r>
        <w:rPr>
          <w:sz w:val="20"/>
        </w:rPr>
        <w:t>limited</w:t>
      </w:r>
      <w:r>
        <w:rPr>
          <w:spacing w:val="-7"/>
          <w:sz w:val="20"/>
        </w:rPr>
        <w:t> </w:t>
      </w:r>
      <w:r>
        <w:rPr>
          <w:sz w:val="20"/>
        </w:rPr>
        <w:t>return</w:t>
      </w:r>
      <w:r>
        <w:rPr>
          <w:spacing w:val="-7"/>
          <w:sz w:val="20"/>
        </w:rPr>
        <w:t> </w:t>
      </w:r>
      <w:r>
        <w:rPr>
          <w:sz w:val="20"/>
        </w:rPr>
        <w:t>(e.g. on a cost-plus basis) to local marketing and distribution activities would not come under the safe harbour rule</w:t>
      </w:r>
      <w:r>
        <w:rPr>
          <w:spacing w:val="-7"/>
          <w:sz w:val="20"/>
        </w:rPr>
        <w:t> </w:t>
      </w:r>
      <w:r>
        <w:rPr>
          <w:sz w:val="20"/>
        </w:rPr>
        <w:t>and</w:t>
      </w:r>
      <w:r>
        <w:rPr>
          <w:spacing w:val="-6"/>
          <w:sz w:val="20"/>
        </w:rPr>
        <w:t> </w:t>
      </w:r>
      <w:r>
        <w:rPr>
          <w:sz w:val="20"/>
        </w:rPr>
        <w:t>thus</w:t>
      </w:r>
      <w:r>
        <w:rPr>
          <w:spacing w:val="-4"/>
          <w:sz w:val="20"/>
        </w:rPr>
        <w:t> </w:t>
      </w:r>
      <w:r>
        <w:rPr>
          <w:sz w:val="20"/>
        </w:rPr>
        <w:t>would</w:t>
      </w:r>
      <w:r>
        <w:rPr>
          <w:spacing w:val="-8"/>
          <w:sz w:val="20"/>
        </w:rPr>
        <w:t> </w:t>
      </w:r>
      <w:r>
        <w:rPr>
          <w:sz w:val="20"/>
        </w:rPr>
        <w:t>pay</w:t>
      </w:r>
      <w:r>
        <w:rPr>
          <w:spacing w:val="-9"/>
          <w:sz w:val="20"/>
        </w:rPr>
        <w:t> </w:t>
      </w:r>
      <w:r>
        <w:rPr>
          <w:sz w:val="20"/>
        </w:rPr>
        <w:t>Amount</w:t>
      </w:r>
      <w:r>
        <w:rPr>
          <w:spacing w:val="-7"/>
          <w:sz w:val="20"/>
        </w:rPr>
        <w:t> </w:t>
      </w:r>
      <w:r>
        <w:rPr>
          <w:sz w:val="20"/>
        </w:rPr>
        <w:t>A</w:t>
      </w:r>
      <w:r>
        <w:rPr>
          <w:spacing w:val="-6"/>
          <w:sz w:val="20"/>
        </w:rPr>
        <w:t> </w:t>
      </w:r>
      <w:r>
        <w:rPr>
          <w:sz w:val="20"/>
        </w:rPr>
        <w:t>in</w:t>
      </w:r>
      <w:r>
        <w:rPr>
          <w:spacing w:val="-8"/>
          <w:sz w:val="20"/>
        </w:rPr>
        <w:t> </w:t>
      </w:r>
      <w:r>
        <w:rPr>
          <w:sz w:val="20"/>
        </w:rPr>
        <w:t>the</w:t>
      </w:r>
      <w:r>
        <w:rPr>
          <w:spacing w:val="-8"/>
          <w:sz w:val="20"/>
        </w:rPr>
        <w:t> </w:t>
      </w:r>
      <w:r>
        <w:rPr>
          <w:sz w:val="20"/>
        </w:rPr>
        <w:t>majority</w:t>
      </w:r>
      <w:r>
        <w:rPr>
          <w:spacing w:val="-9"/>
          <w:sz w:val="20"/>
        </w:rPr>
        <w:t> </w:t>
      </w:r>
      <w:r>
        <w:rPr>
          <w:sz w:val="20"/>
        </w:rPr>
        <w:t>of</w:t>
      </w:r>
      <w:r>
        <w:rPr>
          <w:spacing w:val="-6"/>
          <w:sz w:val="20"/>
        </w:rPr>
        <w:t> </w:t>
      </w:r>
      <w:r>
        <w:rPr>
          <w:sz w:val="20"/>
        </w:rPr>
        <w:t>market</w:t>
      </w:r>
      <w:r>
        <w:rPr>
          <w:spacing w:val="-8"/>
          <w:sz w:val="20"/>
        </w:rPr>
        <w:t> </w:t>
      </w:r>
      <w:r>
        <w:rPr>
          <w:sz w:val="20"/>
        </w:rPr>
        <w:t>jurisdictions</w:t>
      </w:r>
      <w:r>
        <w:rPr>
          <w:spacing w:val="-7"/>
          <w:sz w:val="20"/>
        </w:rPr>
        <w:t> </w:t>
      </w:r>
      <w:r>
        <w:rPr>
          <w:sz w:val="20"/>
        </w:rPr>
        <w:t>in</w:t>
      </w:r>
      <w:r>
        <w:rPr>
          <w:spacing w:val="-6"/>
          <w:sz w:val="20"/>
        </w:rPr>
        <w:t> </w:t>
      </w:r>
      <w:r>
        <w:rPr>
          <w:sz w:val="20"/>
        </w:rPr>
        <w:t>which</w:t>
      </w:r>
      <w:r>
        <w:rPr>
          <w:spacing w:val="-8"/>
          <w:sz w:val="20"/>
        </w:rPr>
        <w:t> </w:t>
      </w:r>
      <w:r>
        <w:rPr>
          <w:sz w:val="20"/>
        </w:rPr>
        <w:t>they</w:t>
      </w:r>
      <w:r>
        <w:rPr>
          <w:spacing w:val="-9"/>
          <w:sz w:val="20"/>
        </w:rPr>
        <w:t> </w:t>
      </w:r>
      <w:r>
        <w:rPr>
          <w:sz w:val="20"/>
        </w:rPr>
        <w:t>operate.</w:t>
      </w:r>
      <w:r>
        <w:rPr>
          <w:spacing w:val="-8"/>
          <w:sz w:val="20"/>
        </w:rPr>
        <w:t> </w:t>
      </w:r>
      <w:r>
        <w:rPr>
          <w:sz w:val="20"/>
        </w:rPr>
        <w:t>In</w:t>
      </w:r>
      <w:r>
        <w:rPr>
          <w:spacing w:val="-9"/>
          <w:sz w:val="20"/>
        </w:rPr>
        <w:t> </w:t>
      </w:r>
      <w:r>
        <w:rPr>
          <w:sz w:val="20"/>
        </w:rPr>
        <w:t>contrast, more traditional CFB businesses, particularly those with decentralised business models and full-risk distributors,</w:t>
      </w:r>
      <w:r>
        <w:rPr>
          <w:spacing w:val="-14"/>
          <w:sz w:val="20"/>
        </w:rPr>
        <w:t> </w:t>
      </w:r>
      <w:r>
        <w:rPr>
          <w:sz w:val="20"/>
        </w:rPr>
        <w:t>may</w:t>
      </w:r>
      <w:r>
        <w:rPr>
          <w:spacing w:val="-17"/>
          <w:sz w:val="20"/>
        </w:rPr>
        <w:t> </w:t>
      </w:r>
      <w:r>
        <w:rPr>
          <w:sz w:val="20"/>
        </w:rPr>
        <w:t>already</w:t>
      </w:r>
      <w:r>
        <w:rPr>
          <w:spacing w:val="-16"/>
          <w:sz w:val="20"/>
        </w:rPr>
        <w:t> </w:t>
      </w:r>
      <w:r>
        <w:rPr>
          <w:sz w:val="20"/>
        </w:rPr>
        <w:t>allocate</w:t>
      </w:r>
      <w:r>
        <w:rPr>
          <w:spacing w:val="-14"/>
          <w:sz w:val="20"/>
        </w:rPr>
        <w:t> </w:t>
      </w:r>
      <w:r>
        <w:rPr>
          <w:sz w:val="20"/>
        </w:rPr>
        <w:t>profits</w:t>
      </w:r>
      <w:r>
        <w:rPr>
          <w:spacing w:val="-12"/>
          <w:sz w:val="20"/>
        </w:rPr>
        <w:t> </w:t>
      </w:r>
      <w:r>
        <w:rPr>
          <w:sz w:val="20"/>
        </w:rPr>
        <w:t>to</w:t>
      </w:r>
      <w:r>
        <w:rPr>
          <w:spacing w:val="-14"/>
          <w:sz w:val="20"/>
        </w:rPr>
        <w:t> </w:t>
      </w:r>
      <w:r>
        <w:rPr>
          <w:sz w:val="20"/>
        </w:rPr>
        <w:t>market</w:t>
      </w:r>
      <w:r>
        <w:rPr>
          <w:spacing w:val="-14"/>
          <w:sz w:val="20"/>
        </w:rPr>
        <w:t> </w:t>
      </w:r>
      <w:r>
        <w:rPr>
          <w:sz w:val="20"/>
        </w:rPr>
        <w:t>jurisdictions</w:t>
      </w:r>
      <w:r>
        <w:rPr>
          <w:spacing w:val="-11"/>
          <w:sz w:val="20"/>
        </w:rPr>
        <w:t> </w:t>
      </w:r>
      <w:r>
        <w:rPr>
          <w:sz w:val="20"/>
        </w:rPr>
        <w:t>that</w:t>
      </w:r>
      <w:r>
        <w:rPr>
          <w:spacing w:val="-14"/>
          <w:sz w:val="20"/>
        </w:rPr>
        <w:t> </w:t>
      </w:r>
      <w:r>
        <w:rPr>
          <w:sz w:val="20"/>
        </w:rPr>
        <w:t>exceed</w:t>
      </w:r>
      <w:r>
        <w:rPr>
          <w:spacing w:val="-14"/>
          <w:sz w:val="20"/>
        </w:rPr>
        <w:t> </w:t>
      </w:r>
      <w:r>
        <w:rPr>
          <w:sz w:val="20"/>
        </w:rPr>
        <w:t>the</w:t>
      </w:r>
      <w:r>
        <w:rPr>
          <w:spacing w:val="-13"/>
          <w:sz w:val="20"/>
        </w:rPr>
        <w:t> </w:t>
      </w:r>
      <w:r>
        <w:rPr>
          <w:sz w:val="20"/>
        </w:rPr>
        <w:t>safe</w:t>
      </w:r>
      <w:r>
        <w:rPr>
          <w:spacing w:val="-14"/>
          <w:sz w:val="20"/>
        </w:rPr>
        <w:t> </w:t>
      </w:r>
      <w:r>
        <w:rPr>
          <w:sz w:val="20"/>
        </w:rPr>
        <w:t>harbour</w:t>
      </w:r>
      <w:r>
        <w:rPr>
          <w:spacing w:val="-13"/>
          <w:sz w:val="20"/>
        </w:rPr>
        <w:t> </w:t>
      </w:r>
      <w:r>
        <w:rPr>
          <w:sz w:val="20"/>
        </w:rPr>
        <w:t>return.</w:t>
      </w:r>
      <w:r>
        <w:rPr>
          <w:spacing w:val="-11"/>
          <w:sz w:val="20"/>
        </w:rPr>
        <w:t> </w:t>
      </w:r>
      <w:r>
        <w:rPr>
          <w:sz w:val="20"/>
        </w:rPr>
        <w:t>Hence, though these businesses would need to calculate Amount A (to determine that they have met the safe harbour), they would in many instances ultimately not need to pay Amount A or apply the mechanism to eliminate double</w:t>
      </w:r>
      <w:r>
        <w:rPr>
          <w:spacing w:val="-3"/>
          <w:sz w:val="20"/>
        </w:rPr>
        <w:t> </w:t>
      </w:r>
      <w:r>
        <w:rPr>
          <w:sz w:val="20"/>
        </w:rPr>
        <w:t>taxation.</w:t>
      </w:r>
    </w:p>
    <w:p>
      <w:pPr>
        <w:pStyle w:val="BodyText"/>
        <w:spacing w:before="4"/>
      </w:pPr>
    </w:p>
    <w:p>
      <w:pPr>
        <w:pStyle w:val="Heading8"/>
      </w:pPr>
      <w:bookmarkStart w:name="A domestic business exemption." w:id="275"/>
      <w:bookmarkEnd w:id="275"/>
      <w:r>
        <w:rPr>
          <w:b w:val="0"/>
        </w:rPr>
      </w:r>
      <w:r>
        <w:rPr/>
        <w:t>A domestic business exemption.</w:t>
      </w:r>
    </w:p>
    <w:p>
      <w:pPr>
        <w:pStyle w:val="BodyText"/>
        <w:rPr>
          <w:b/>
          <w:sz w:val="19"/>
        </w:rPr>
      </w:pPr>
    </w:p>
    <w:p>
      <w:pPr>
        <w:pStyle w:val="ListParagraph"/>
        <w:numPr>
          <w:ilvl w:val="0"/>
          <w:numId w:val="13"/>
        </w:numPr>
        <w:tabs>
          <w:tab w:pos="1444" w:val="left" w:leader="none"/>
        </w:tabs>
        <w:spacing w:line="271" w:lineRule="auto" w:before="0" w:after="0"/>
        <w:ind w:left="723" w:right="487" w:firstLine="0"/>
        <w:jc w:val="both"/>
        <w:rPr>
          <w:sz w:val="20"/>
        </w:rPr>
      </w:pPr>
      <w:r>
        <w:rPr>
          <w:sz w:val="20"/>
        </w:rPr>
        <w:t>This mechanism would exclude from the scope of Amount A profits derived by an ADS or CFB business in a market jurisdiction which can be seen as autonomous from the rest of the group, i.e. sale of goods or services that are developed, manufactured and sold in a single jurisdiction. As in this scenario residual profit is typically already allocated to the market, this exemption would prevent the risk of double counting in those</w:t>
      </w:r>
      <w:r>
        <w:rPr>
          <w:spacing w:val="-3"/>
          <w:sz w:val="20"/>
        </w:rPr>
        <w:t> </w:t>
      </w:r>
      <w:r>
        <w:rPr>
          <w:sz w:val="20"/>
        </w:rPr>
        <w:t>circumstances.</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Further work will be required to assess the effectiveness, the efficiency and the feasibility of the different options to deal with double counting, in close coordination with the work on the mechanism to eliminate double taxation and in light of the policy objective of Amount A (see Chapter </w:t>
      </w:r>
      <w:hyperlink w:history="true" w:anchor="_bookmark51">
        <w:r>
          <w:rPr>
            <w:sz w:val="20"/>
          </w:rPr>
          <w:t>7. </w:t>
        </w:r>
      </w:hyperlink>
      <w:r>
        <w:rPr>
          <w:sz w:val="20"/>
        </w:rPr>
        <w:t>). This will also include consideration of the interactions between Amount A and certain withholding taxes collected by market</w:t>
      </w:r>
      <w:r>
        <w:rPr>
          <w:spacing w:val="-5"/>
          <w:sz w:val="20"/>
        </w:rPr>
        <w:t> </w:t>
      </w:r>
      <w:r>
        <w:rPr>
          <w:sz w:val="20"/>
        </w:rPr>
        <w:t>jurisdictions.</w:t>
      </w:r>
    </w:p>
    <w:p>
      <w:pPr>
        <w:pStyle w:val="BodyText"/>
      </w:pPr>
    </w:p>
    <w:p>
      <w:pPr>
        <w:pStyle w:val="BodyText"/>
        <w:spacing w:before="5"/>
        <w:rPr>
          <w:sz w:val="19"/>
        </w:rPr>
      </w:pPr>
      <w:r>
        <w:rPr/>
        <w:pict>
          <v:rect style="position:absolute;margin-left:65.183998pt;margin-top:13.141122pt;width:144.020004pt;height:.60004pt;mso-position-horizontal-relative:page;mso-position-vertical-relative:paragraph;z-index:-1566105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23" w:val="left" w:leader="none"/>
        </w:tabs>
        <w:spacing w:line="278" w:lineRule="auto" w:before="94" w:after="0"/>
        <w:ind w:left="723" w:right="487" w:firstLine="0"/>
        <w:jc w:val="left"/>
        <w:rPr>
          <w:sz w:val="18"/>
        </w:rPr>
      </w:pPr>
      <w:r>
        <w:rPr>
          <w:sz w:val="18"/>
        </w:rPr>
        <w:t>Where a market jurisdiction is allocated profits for other activities, e.g. manufacturing, or marketing and distribution activities</w:t>
      </w:r>
      <w:r>
        <w:rPr>
          <w:spacing w:val="-4"/>
          <w:sz w:val="18"/>
        </w:rPr>
        <w:t> </w:t>
      </w:r>
      <w:r>
        <w:rPr>
          <w:sz w:val="18"/>
        </w:rPr>
        <w:t>relating</w:t>
      </w:r>
      <w:r>
        <w:rPr>
          <w:spacing w:val="-2"/>
          <w:sz w:val="18"/>
        </w:rPr>
        <w:t> </w:t>
      </w:r>
      <w:r>
        <w:rPr>
          <w:sz w:val="18"/>
        </w:rPr>
        <w:t>to</w:t>
      </w:r>
      <w:r>
        <w:rPr>
          <w:spacing w:val="-3"/>
          <w:sz w:val="18"/>
        </w:rPr>
        <w:t> </w:t>
      </w:r>
      <w:r>
        <w:rPr>
          <w:sz w:val="18"/>
        </w:rPr>
        <w:t>out-of-scope</w:t>
      </w:r>
      <w:r>
        <w:rPr>
          <w:spacing w:val="-2"/>
          <w:sz w:val="18"/>
        </w:rPr>
        <w:t> </w:t>
      </w:r>
      <w:r>
        <w:rPr>
          <w:sz w:val="18"/>
        </w:rPr>
        <w:t>revenue</w:t>
      </w:r>
      <w:r>
        <w:rPr>
          <w:spacing w:val="-1"/>
          <w:sz w:val="18"/>
        </w:rPr>
        <w:t> </w:t>
      </w:r>
      <w:r>
        <w:rPr>
          <w:sz w:val="18"/>
        </w:rPr>
        <w:t>this</w:t>
      </w:r>
      <w:r>
        <w:rPr>
          <w:spacing w:val="-1"/>
          <w:sz w:val="18"/>
        </w:rPr>
        <w:t> </w:t>
      </w:r>
      <w:r>
        <w:rPr>
          <w:sz w:val="18"/>
        </w:rPr>
        <w:t>would</w:t>
      </w:r>
      <w:r>
        <w:rPr>
          <w:spacing w:val="-3"/>
          <w:sz w:val="18"/>
        </w:rPr>
        <w:t> </w:t>
      </w:r>
      <w:r>
        <w:rPr>
          <w:sz w:val="18"/>
        </w:rPr>
        <w:t>not</w:t>
      </w:r>
      <w:r>
        <w:rPr>
          <w:spacing w:val="-4"/>
          <w:sz w:val="18"/>
        </w:rPr>
        <w:t> </w:t>
      </w:r>
      <w:r>
        <w:rPr>
          <w:sz w:val="18"/>
        </w:rPr>
        <w:t>be</w:t>
      </w:r>
      <w:r>
        <w:rPr>
          <w:spacing w:val="-1"/>
          <w:sz w:val="18"/>
        </w:rPr>
        <w:t> </w:t>
      </w:r>
      <w:r>
        <w:rPr>
          <w:sz w:val="18"/>
        </w:rPr>
        <w:t>taken</w:t>
      </w:r>
      <w:r>
        <w:rPr>
          <w:spacing w:val="-4"/>
          <w:sz w:val="18"/>
        </w:rPr>
        <w:t> </w:t>
      </w:r>
      <w:r>
        <w:rPr>
          <w:sz w:val="18"/>
        </w:rPr>
        <w:t>into</w:t>
      </w:r>
      <w:r>
        <w:rPr>
          <w:spacing w:val="-2"/>
          <w:sz w:val="18"/>
        </w:rPr>
        <w:t> </w:t>
      </w:r>
      <w:r>
        <w:rPr>
          <w:sz w:val="18"/>
        </w:rPr>
        <w:t>account</w:t>
      </w:r>
      <w:r>
        <w:rPr>
          <w:spacing w:val="-1"/>
          <w:sz w:val="18"/>
        </w:rPr>
        <w:t> </w:t>
      </w:r>
      <w:r>
        <w:rPr>
          <w:sz w:val="18"/>
        </w:rPr>
        <w:t>for</w:t>
      </w:r>
      <w:r>
        <w:rPr>
          <w:spacing w:val="-2"/>
          <w:sz w:val="18"/>
        </w:rPr>
        <w:t> </w:t>
      </w:r>
      <w:r>
        <w:rPr>
          <w:sz w:val="18"/>
        </w:rPr>
        <w:t>the</w:t>
      </w:r>
      <w:r>
        <w:rPr>
          <w:spacing w:val="-1"/>
          <w:sz w:val="18"/>
        </w:rPr>
        <w:t> </w:t>
      </w:r>
      <w:r>
        <w:rPr>
          <w:sz w:val="18"/>
        </w:rPr>
        <w:t>purposes</w:t>
      </w:r>
      <w:r>
        <w:rPr>
          <w:spacing w:val="-1"/>
          <w:sz w:val="18"/>
        </w:rPr>
        <w:t> </w:t>
      </w:r>
      <w:r>
        <w:rPr>
          <w:sz w:val="18"/>
        </w:rPr>
        <w:t>of</w:t>
      </w:r>
      <w:r>
        <w:rPr>
          <w:spacing w:val="-1"/>
          <w:sz w:val="18"/>
        </w:rPr>
        <w:t> </w:t>
      </w:r>
      <w:r>
        <w:rPr>
          <w:sz w:val="18"/>
        </w:rPr>
        <w:t>the</w:t>
      </w:r>
      <w:r>
        <w:rPr>
          <w:spacing w:val="-4"/>
          <w:sz w:val="18"/>
        </w:rPr>
        <w:t> </w:t>
      </w:r>
      <w:r>
        <w:rPr>
          <w:sz w:val="18"/>
        </w:rPr>
        <w:t>safe</w:t>
      </w:r>
      <w:r>
        <w:rPr>
          <w:spacing w:val="-3"/>
          <w:sz w:val="18"/>
        </w:rPr>
        <w:t> </w:t>
      </w:r>
      <w:r>
        <w:rPr>
          <w:sz w:val="18"/>
        </w:rPr>
        <w:t>harbour.</w:t>
      </w:r>
    </w:p>
    <w:p>
      <w:pPr>
        <w:spacing w:after="0" w:line="278" w:lineRule="auto"/>
        <w:jc w:val="left"/>
        <w:rPr>
          <w:sz w:val="18"/>
        </w:rPr>
        <w:sectPr>
          <w:pgSz w:w="11910" w:h="16840"/>
          <w:pgMar w:header="1244" w:footer="1638" w:top="1500" w:bottom="1820" w:left="580" w:right="820"/>
        </w:sectPr>
      </w:pPr>
    </w:p>
    <w:p>
      <w:pPr>
        <w:pStyle w:val="BodyText"/>
        <w:spacing w:before="9"/>
      </w:pPr>
    </w:p>
    <w:p>
      <w:pPr>
        <w:pStyle w:val="Heading4"/>
        <w:numPr>
          <w:ilvl w:val="1"/>
          <w:numId w:val="65"/>
        </w:numPr>
        <w:tabs>
          <w:tab w:pos="1192" w:val="left" w:leader="none"/>
        </w:tabs>
        <w:spacing w:line="240" w:lineRule="auto" w:before="92" w:after="0"/>
        <w:ind w:left="1191" w:right="0" w:hanging="469"/>
        <w:jc w:val="both"/>
        <w:rPr>
          <w:rFonts w:ascii="Arial"/>
        </w:rPr>
      </w:pPr>
      <w:bookmarkStart w:name="6.2. The formula to determine the quantu" w:id="276"/>
      <w:bookmarkEnd w:id="276"/>
      <w:r>
        <w:rPr>
          <w:b w:val="0"/>
        </w:rPr>
      </w:r>
      <w:bookmarkStart w:name="_bookmark40" w:id="277"/>
      <w:bookmarkEnd w:id="277"/>
      <w:r>
        <w:rPr>
          <w:b w:val="0"/>
        </w:rPr>
      </w:r>
      <w:bookmarkStart w:name="_bookmark40" w:id="278"/>
      <w:bookmarkEnd w:id="278"/>
      <w:r>
        <w:rPr>
          <w:rFonts w:ascii="Arial"/>
          <w:color w:val="4E81BD"/>
        </w:rPr>
        <w:t>The</w:t>
      </w:r>
      <w:r>
        <w:rPr>
          <w:rFonts w:ascii="Arial"/>
          <w:color w:val="4E81BD"/>
        </w:rPr>
        <w:t> formula to determine the quantum of Amount</w:t>
      </w:r>
      <w:r>
        <w:rPr>
          <w:rFonts w:ascii="Arial"/>
          <w:color w:val="4E81BD"/>
          <w:spacing w:val="-1"/>
        </w:rPr>
        <w:t> </w:t>
      </w:r>
      <w:r>
        <w:rPr>
          <w:rFonts w:ascii="Arial"/>
          <w:color w:val="4E81BD"/>
        </w:rPr>
        <w:t>A</w:t>
      </w:r>
    </w:p>
    <w:p>
      <w:pPr>
        <w:pStyle w:val="BodyText"/>
        <w:spacing w:before="10"/>
        <w:rPr>
          <w:b/>
          <w:sz w:val="26"/>
        </w:rPr>
      </w:pPr>
    </w:p>
    <w:p>
      <w:pPr>
        <w:pStyle w:val="Heading6"/>
        <w:numPr>
          <w:ilvl w:val="2"/>
          <w:numId w:val="65"/>
        </w:numPr>
        <w:tabs>
          <w:tab w:pos="2015" w:val="left" w:leader="none"/>
        </w:tabs>
        <w:spacing w:line="240" w:lineRule="auto" w:before="0" w:after="0"/>
        <w:ind w:left="2014" w:right="0" w:hanging="613"/>
        <w:jc w:val="left"/>
        <w:rPr>
          <w:i/>
        </w:rPr>
      </w:pPr>
      <w:bookmarkStart w:name="6.2.1. Step 1 – The profitability thresh" w:id="279"/>
      <w:bookmarkEnd w:id="279"/>
      <w:r>
        <w:rPr>
          <w:b w:val="0"/>
          <w:i w:val="0"/>
        </w:rPr>
      </w:r>
      <w:bookmarkStart w:name="_bookmark41" w:id="280"/>
      <w:bookmarkEnd w:id="280"/>
      <w:r>
        <w:rPr>
          <w:b w:val="0"/>
          <w:i w:val="0"/>
        </w:rPr>
      </w:r>
      <w:bookmarkStart w:name="_bookmark41" w:id="281"/>
      <w:bookmarkEnd w:id="281"/>
      <w:r>
        <w:rPr>
          <w:i/>
        </w:rPr>
        <w:t>S</w:t>
      </w:r>
      <w:r>
        <w:rPr>
          <w:i/>
        </w:rPr>
        <w:t>tep 1 – The profitability</w:t>
      </w:r>
      <w:r>
        <w:rPr>
          <w:i/>
          <w:spacing w:val="-4"/>
        </w:rPr>
        <w:t> </w:t>
      </w:r>
      <w:r>
        <w:rPr>
          <w:i/>
        </w:rPr>
        <w:t>threshold</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Amount A represents a simplified proxy of the portion of the residual profit of a business that can reasonably be associated with the sustained and significant participation of that business in the economy of a market jurisdiction. To isolate the residual profit of a business (group or segment where relevant) potentially subject to reallocation under Amount A, the formula includes a profitability threshold. This threshold is based on a simplified convention (i.e. a fixed percentage), and will apply to the Amount A tax base after the deduction of any available losses carried forward (see section</w:t>
      </w:r>
      <w:r>
        <w:rPr>
          <w:spacing w:val="-10"/>
          <w:sz w:val="20"/>
        </w:rPr>
        <w:t> </w:t>
      </w:r>
      <w:hyperlink w:history="true" w:anchor="_bookmark34">
        <w:r>
          <w:rPr>
            <w:sz w:val="20"/>
          </w:rPr>
          <w:t>5.4</w:t>
        </w:r>
      </w:hyperlink>
      <w:r>
        <w:rPr>
          <w:sz w:val="20"/>
        </w:rPr>
        <w:t>).</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One reason for introducing and using a fixed threshold, rather than a variable percentage based on facts and circumstances or related transfer pricing analysis, is to reduce complexity. The profitability threshold will materially reduce the scale of interactions of Amount A with conventional transfer pricing rules (e.g. remuneration of routine activities), and hence the complexity that these interactions create to eliminate double taxation (and double counting, see below Section </w:t>
      </w:r>
      <w:hyperlink w:history="true" w:anchor="_bookmark49">
        <w:r>
          <w:rPr>
            <w:sz w:val="20"/>
          </w:rPr>
          <w:t>6.4</w:t>
        </w:r>
      </w:hyperlink>
      <w:r>
        <w:rPr>
          <w:sz w:val="20"/>
        </w:rPr>
        <w:t>). This threshold will not alter the allocation</w:t>
      </w:r>
      <w:r>
        <w:rPr>
          <w:spacing w:val="-10"/>
          <w:sz w:val="20"/>
        </w:rPr>
        <w:t> </w:t>
      </w:r>
      <w:r>
        <w:rPr>
          <w:sz w:val="20"/>
        </w:rPr>
        <w:t>of</w:t>
      </w:r>
      <w:r>
        <w:rPr>
          <w:spacing w:val="-10"/>
          <w:sz w:val="20"/>
        </w:rPr>
        <w:t> </w:t>
      </w:r>
      <w:r>
        <w:rPr>
          <w:sz w:val="20"/>
        </w:rPr>
        <w:t>profit</w:t>
      </w:r>
      <w:r>
        <w:rPr>
          <w:spacing w:val="-12"/>
          <w:sz w:val="20"/>
        </w:rPr>
        <w:t> </w:t>
      </w:r>
      <w:r>
        <w:rPr>
          <w:sz w:val="20"/>
        </w:rPr>
        <w:t>derived</w:t>
      </w:r>
      <w:r>
        <w:rPr>
          <w:spacing w:val="-13"/>
          <w:sz w:val="20"/>
        </w:rPr>
        <w:t> </w:t>
      </w:r>
      <w:r>
        <w:rPr>
          <w:sz w:val="20"/>
        </w:rPr>
        <w:t>from</w:t>
      </w:r>
      <w:r>
        <w:rPr>
          <w:spacing w:val="-8"/>
          <w:sz w:val="20"/>
        </w:rPr>
        <w:t> </w:t>
      </w:r>
      <w:r>
        <w:rPr>
          <w:sz w:val="20"/>
        </w:rPr>
        <w:t>routine</w:t>
      </w:r>
      <w:r>
        <w:rPr>
          <w:spacing w:val="-13"/>
          <w:sz w:val="20"/>
        </w:rPr>
        <w:t> </w:t>
      </w:r>
      <w:r>
        <w:rPr>
          <w:sz w:val="20"/>
        </w:rPr>
        <w:t>activities</w:t>
      </w:r>
      <w:r>
        <w:rPr>
          <w:spacing w:val="-11"/>
          <w:sz w:val="20"/>
        </w:rPr>
        <w:t> </w:t>
      </w:r>
      <w:r>
        <w:rPr>
          <w:sz w:val="20"/>
        </w:rPr>
        <w:t>under</w:t>
      </w:r>
      <w:r>
        <w:rPr>
          <w:spacing w:val="-11"/>
          <w:sz w:val="20"/>
        </w:rPr>
        <w:t> </w:t>
      </w:r>
      <w:r>
        <w:rPr>
          <w:sz w:val="20"/>
        </w:rPr>
        <w:t>the</w:t>
      </w:r>
      <w:r>
        <w:rPr>
          <w:spacing w:val="-13"/>
          <w:sz w:val="20"/>
        </w:rPr>
        <w:t> </w:t>
      </w:r>
      <w:r>
        <w:rPr>
          <w:sz w:val="20"/>
        </w:rPr>
        <w:t>current</w:t>
      </w:r>
      <w:r>
        <w:rPr>
          <w:spacing w:val="-10"/>
          <w:sz w:val="20"/>
        </w:rPr>
        <w:t> </w:t>
      </w:r>
      <w:r>
        <w:rPr>
          <w:sz w:val="20"/>
        </w:rPr>
        <w:t>transfer</w:t>
      </w:r>
      <w:r>
        <w:rPr>
          <w:spacing w:val="-11"/>
          <w:sz w:val="20"/>
        </w:rPr>
        <w:t> </w:t>
      </w:r>
      <w:r>
        <w:rPr>
          <w:sz w:val="20"/>
        </w:rPr>
        <w:t>pricing</w:t>
      </w:r>
      <w:r>
        <w:rPr>
          <w:spacing w:val="-13"/>
          <w:sz w:val="20"/>
        </w:rPr>
        <w:t> </w:t>
      </w:r>
      <w:r>
        <w:rPr>
          <w:sz w:val="20"/>
        </w:rPr>
        <w:t>rules</w:t>
      </w:r>
      <w:r>
        <w:rPr>
          <w:spacing w:val="-11"/>
          <w:sz w:val="20"/>
        </w:rPr>
        <w:t> </w:t>
      </w:r>
      <w:r>
        <w:rPr>
          <w:sz w:val="20"/>
        </w:rPr>
        <w:t>(given</w:t>
      </w:r>
      <w:r>
        <w:rPr>
          <w:spacing w:val="-13"/>
          <w:sz w:val="20"/>
        </w:rPr>
        <w:t> </w:t>
      </w:r>
      <w:r>
        <w:rPr>
          <w:sz w:val="20"/>
        </w:rPr>
        <w:t>that</w:t>
      </w:r>
      <w:r>
        <w:rPr>
          <w:spacing w:val="-10"/>
          <w:sz w:val="20"/>
        </w:rPr>
        <w:t> </w:t>
      </w:r>
      <w:r>
        <w:rPr>
          <w:sz w:val="20"/>
        </w:rPr>
        <w:t>Amount A operates as an overlay to the existing profit allocation rules), but will simplify the identification and calculation of the residual profit subject to the new taxing</w:t>
      </w:r>
      <w:r>
        <w:rPr>
          <w:spacing w:val="-13"/>
          <w:sz w:val="20"/>
        </w:rPr>
        <w:t> </w:t>
      </w:r>
      <w:r>
        <w:rPr>
          <w:sz w:val="20"/>
        </w:rPr>
        <w:t>right.</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To achieve these results, the profitability threshold will be based on a simplifying convention (i.e. proxy). Consistent with the logic adopted for tax base determinations, and to facilitate both administration and compliance, the profitability of an MNE group (or segment) would be assessed through an Amount A PBT</w:t>
      </w:r>
      <w:r>
        <w:rPr>
          <w:spacing w:val="-11"/>
          <w:sz w:val="20"/>
        </w:rPr>
        <w:t> </w:t>
      </w:r>
      <w:r>
        <w:rPr>
          <w:sz w:val="20"/>
        </w:rPr>
        <w:t>to</w:t>
      </w:r>
      <w:r>
        <w:rPr>
          <w:spacing w:val="-14"/>
          <w:sz w:val="20"/>
        </w:rPr>
        <w:t> </w:t>
      </w:r>
      <w:r>
        <w:rPr>
          <w:sz w:val="20"/>
        </w:rPr>
        <w:t>revenue</w:t>
      </w:r>
      <w:r>
        <w:rPr>
          <w:spacing w:val="-14"/>
          <w:sz w:val="20"/>
        </w:rPr>
        <w:t> </w:t>
      </w:r>
      <w:r>
        <w:rPr>
          <w:sz w:val="20"/>
        </w:rPr>
        <w:t>ratio</w:t>
      </w:r>
      <w:r>
        <w:rPr>
          <w:spacing w:val="-13"/>
          <w:sz w:val="20"/>
        </w:rPr>
        <w:t> </w:t>
      </w:r>
      <w:r>
        <w:rPr>
          <w:sz w:val="20"/>
        </w:rPr>
        <w:t>(i.e.</w:t>
      </w:r>
      <w:r>
        <w:rPr>
          <w:spacing w:val="-12"/>
          <w:sz w:val="20"/>
        </w:rPr>
        <w:t> </w:t>
      </w:r>
      <w:r>
        <w:rPr>
          <w:sz w:val="20"/>
        </w:rPr>
        <w:t>a</w:t>
      </w:r>
      <w:r>
        <w:rPr>
          <w:spacing w:val="-12"/>
          <w:sz w:val="20"/>
        </w:rPr>
        <w:t> </w:t>
      </w:r>
      <w:r>
        <w:rPr>
          <w:sz w:val="20"/>
        </w:rPr>
        <w:t>percentage).</w:t>
      </w:r>
      <w:r>
        <w:rPr>
          <w:position w:val="6"/>
          <w:sz w:val="13"/>
        </w:rPr>
        <w:t>97</w:t>
      </w:r>
      <w:r>
        <w:rPr>
          <w:spacing w:val="6"/>
          <w:position w:val="6"/>
          <w:sz w:val="13"/>
        </w:rPr>
        <w:t> </w:t>
      </w:r>
      <w:r>
        <w:rPr>
          <w:sz w:val="20"/>
        </w:rPr>
        <w:t>The</w:t>
      </w:r>
      <w:r>
        <w:rPr>
          <w:spacing w:val="-14"/>
          <w:sz w:val="20"/>
        </w:rPr>
        <w:t> </w:t>
      </w:r>
      <w:r>
        <w:rPr>
          <w:sz w:val="20"/>
        </w:rPr>
        <w:t>determination</w:t>
      </w:r>
      <w:r>
        <w:rPr>
          <w:spacing w:val="-12"/>
          <w:sz w:val="20"/>
        </w:rPr>
        <w:t> </w:t>
      </w:r>
      <w:r>
        <w:rPr>
          <w:sz w:val="20"/>
        </w:rPr>
        <w:t>of</w:t>
      </w:r>
      <w:r>
        <w:rPr>
          <w:spacing w:val="-12"/>
          <w:sz w:val="20"/>
        </w:rPr>
        <w:t> </w:t>
      </w:r>
      <w:r>
        <w:rPr>
          <w:sz w:val="20"/>
        </w:rPr>
        <w:t>this</w:t>
      </w:r>
      <w:r>
        <w:rPr>
          <w:spacing w:val="-12"/>
          <w:sz w:val="20"/>
        </w:rPr>
        <w:t> </w:t>
      </w:r>
      <w:r>
        <w:rPr>
          <w:sz w:val="20"/>
        </w:rPr>
        <w:t>figure</w:t>
      </w:r>
      <w:r>
        <w:rPr>
          <w:spacing w:val="-13"/>
          <w:sz w:val="20"/>
        </w:rPr>
        <w:t> </w:t>
      </w:r>
      <w:r>
        <w:rPr>
          <w:sz w:val="20"/>
        </w:rPr>
        <w:t>will</w:t>
      </w:r>
      <w:r>
        <w:rPr>
          <w:spacing w:val="-12"/>
          <w:sz w:val="20"/>
        </w:rPr>
        <w:t> </w:t>
      </w:r>
      <w:r>
        <w:rPr>
          <w:sz w:val="20"/>
        </w:rPr>
        <w:t>not</w:t>
      </w:r>
      <w:r>
        <w:rPr>
          <w:spacing w:val="-14"/>
          <w:sz w:val="20"/>
        </w:rPr>
        <w:t> </w:t>
      </w:r>
      <w:r>
        <w:rPr>
          <w:sz w:val="20"/>
        </w:rPr>
        <w:t>rest</w:t>
      </w:r>
      <w:r>
        <w:rPr>
          <w:spacing w:val="-14"/>
          <w:sz w:val="20"/>
        </w:rPr>
        <w:t> </w:t>
      </w:r>
      <w:r>
        <w:rPr>
          <w:sz w:val="20"/>
        </w:rPr>
        <w:t>on</w:t>
      </w:r>
      <w:r>
        <w:rPr>
          <w:spacing w:val="-14"/>
          <w:sz w:val="20"/>
        </w:rPr>
        <w:t> </w:t>
      </w:r>
      <w:r>
        <w:rPr>
          <w:sz w:val="20"/>
        </w:rPr>
        <w:t>any</w:t>
      </w:r>
      <w:r>
        <w:rPr>
          <w:spacing w:val="-16"/>
          <w:sz w:val="20"/>
        </w:rPr>
        <w:t> </w:t>
      </w:r>
      <w:r>
        <w:rPr>
          <w:sz w:val="20"/>
        </w:rPr>
        <w:t>MNE-specific economic assessment nor necessarily correspond with underlying transfer pricing arrangements. The impact of different profitability thresholds is shown in the </w:t>
      </w:r>
      <w:hyperlink w:history="true" w:anchor="_bookmark42">
        <w:r>
          <w:rPr>
            <w:sz w:val="20"/>
          </w:rPr>
          <w:t>Table 6.1</w:t>
        </w:r>
        <w:r>
          <w:rPr>
            <w:spacing w:val="-9"/>
            <w:sz w:val="20"/>
          </w:rPr>
          <w:t> </w:t>
        </w:r>
      </w:hyperlink>
      <w:r>
        <w:rPr>
          <w:sz w:val="20"/>
        </w:rPr>
        <w:t>below.</w:t>
      </w:r>
    </w:p>
    <w:p>
      <w:pPr>
        <w:pStyle w:val="BodyText"/>
        <w:spacing w:before="10"/>
        <w:rPr>
          <w:sz w:val="28"/>
        </w:rPr>
      </w:pPr>
    </w:p>
    <w:p>
      <w:pPr>
        <w:pStyle w:val="Heading4"/>
        <w:spacing w:before="1"/>
        <w:ind w:left="723"/>
        <w:jc w:val="both"/>
      </w:pPr>
      <w:bookmarkStart w:name="_bookmark42" w:id="282"/>
      <w:bookmarkEnd w:id="282"/>
      <w:r>
        <w:rPr>
          <w:b w:val="0"/>
        </w:rPr>
      </w:r>
      <w:r>
        <w:rPr>
          <w:color w:val="4E81BD"/>
        </w:rPr>
        <w:t>Table 6.1. Estimated Impact of Different Profitability Thresholds</w:t>
      </w:r>
    </w:p>
    <w:p>
      <w:pPr>
        <w:spacing w:before="180"/>
        <w:ind w:left="1386" w:right="1152" w:firstLine="0"/>
        <w:jc w:val="center"/>
        <w:rPr>
          <w:rFonts w:ascii="Times New Roman"/>
          <w:sz w:val="18"/>
        </w:rPr>
      </w:pPr>
      <w:r>
        <w:rPr>
          <w:rFonts w:ascii="Times New Roman"/>
          <w:sz w:val="18"/>
        </w:rPr>
        <w:t>Number and share of MNE groups above the residual profit threshold.</w:t>
      </w:r>
    </w:p>
    <w:p>
      <w:pPr>
        <w:pStyle w:val="BodyText"/>
        <w:spacing w:before="6"/>
        <w:rPr>
          <w:rFonts w:ascii="Times New Roman"/>
          <w:sz w:val="13"/>
        </w:rPr>
      </w:pPr>
    </w:p>
    <w:tbl>
      <w:tblPr>
        <w:tblW w:w="0" w:type="auto"/>
        <w:jc w:val="left"/>
        <w:tblInd w:w="702"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061"/>
        <w:gridCol w:w="3382"/>
        <w:gridCol w:w="3512"/>
      </w:tblGrid>
      <w:tr>
        <w:trPr>
          <w:trHeight w:val="481" w:hRule="atLeast"/>
        </w:trPr>
        <w:tc>
          <w:tcPr>
            <w:tcW w:w="1061" w:type="dxa"/>
            <w:tcBorders>
              <w:left w:val="nil"/>
              <w:bottom w:val="single" w:sz="6" w:space="0" w:color="4E81BD"/>
              <w:right w:val="single" w:sz="6" w:space="0" w:color="D2D2D2"/>
            </w:tcBorders>
          </w:tcPr>
          <w:p>
            <w:pPr>
              <w:pStyle w:val="TableParagraph"/>
              <w:spacing w:line="240" w:lineRule="exact" w:before="6"/>
              <w:ind w:left="223" w:right="122" w:hanging="34"/>
              <w:jc w:val="left"/>
              <w:rPr>
                <w:sz w:val="18"/>
              </w:rPr>
            </w:pPr>
            <w:r>
              <w:rPr>
                <w:sz w:val="18"/>
              </w:rPr>
              <w:t>Profitability Threshold</w:t>
            </w:r>
          </w:p>
        </w:tc>
        <w:tc>
          <w:tcPr>
            <w:tcW w:w="3382" w:type="dxa"/>
            <w:tcBorders>
              <w:left w:val="single" w:sz="6" w:space="0" w:color="D2D2D2"/>
              <w:bottom w:val="single" w:sz="6" w:space="0" w:color="4E81BD"/>
              <w:right w:val="single" w:sz="6" w:space="0" w:color="D2D2D2"/>
            </w:tcBorders>
          </w:tcPr>
          <w:p>
            <w:pPr>
              <w:pStyle w:val="TableParagraph"/>
              <w:spacing w:before="30"/>
              <w:ind w:left="272" w:right="239"/>
              <w:rPr>
                <w:sz w:val="18"/>
              </w:rPr>
            </w:pPr>
            <w:r>
              <w:rPr>
                <w:sz w:val="18"/>
              </w:rPr>
              <w:t>Estimated number of MNE groups in scope</w:t>
            </w:r>
          </w:p>
        </w:tc>
        <w:tc>
          <w:tcPr>
            <w:tcW w:w="3512" w:type="dxa"/>
            <w:tcBorders>
              <w:left w:val="single" w:sz="6" w:space="0" w:color="D2D2D2"/>
              <w:bottom w:val="single" w:sz="6" w:space="0" w:color="4E81BD"/>
              <w:right w:val="nil"/>
            </w:tcBorders>
          </w:tcPr>
          <w:p>
            <w:pPr>
              <w:pStyle w:val="TableParagraph"/>
              <w:spacing w:before="30"/>
              <w:ind w:left="278" w:right="256"/>
              <w:rPr>
                <w:sz w:val="18"/>
              </w:rPr>
            </w:pPr>
            <w:r>
              <w:rPr>
                <w:sz w:val="18"/>
              </w:rPr>
              <w:t>Estimated Global residual profit (USD trillion)</w:t>
            </w:r>
          </w:p>
        </w:tc>
      </w:tr>
      <w:tr>
        <w:trPr>
          <w:trHeight w:val="234" w:hRule="atLeast"/>
        </w:trPr>
        <w:tc>
          <w:tcPr>
            <w:tcW w:w="1061" w:type="dxa"/>
            <w:tcBorders>
              <w:top w:val="single" w:sz="6" w:space="0" w:color="4E81BD"/>
              <w:left w:val="nil"/>
              <w:bottom w:val="single" w:sz="6" w:space="0" w:color="D2D2D2"/>
              <w:right w:val="single" w:sz="6" w:space="0" w:color="D2D2D2"/>
            </w:tcBorders>
          </w:tcPr>
          <w:p>
            <w:pPr>
              <w:pStyle w:val="TableParagraph"/>
              <w:spacing w:line="192" w:lineRule="exact" w:before="23"/>
              <w:ind w:left="382" w:right="336"/>
              <w:rPr>
                <w:sz w:val="18"/>
              </w:rPr>
            </w:pPr>
            <w:r>
              <w:rPr>
                <w:sz w:val="18"/>
              </w:rPr>
              <w:t>8%</w:t>
            </w:r>
          </w:p>
        </w:tc>
        <w:tc>
          <w:tcPr>
            <w:tcW w:w="3382" w:type="dxa"/>
            <w:tcBorders>
              <w:top w:val="single" w:sz="6" w:space="0" w:color="4E81BD"/>
              <w:left w:val="single" w:sz="6" w:space="0" w:color="D2D2D2"/>
              <w:bottom w:val="single" w:sz="6" w:space="0" w:color="D2D2D2"/>
              <w:right w:val="single" w:sz="6" w:space="0" w:color="D2D2D2"/>
            </w:tcBorders>
          </w:tcPr>
          <w:p>
            <w:pPr>
              <w:pStyle w:val="TableParagraph"/>
              <w:spacing w:line="192" w:lineRule="exact" w:before="23"/>
              <w:ind w:left="271" w:right="239"/>
              <w:rPr>
                <w:sz w:val="18"/>
              </w:rPr>
            </w:pPr>
            <w:r>
              <w:rPr>
                <w:sz w:val="18"/>
              </w:rPr>
              <w:t>~990</w:t>
            </w:r>
          </w:p>
        </w:tc>
        <w:tc>
          <w:tcPr>
            <w:tcW w:w="3512" w:type="dxa"/>
            <w:tcBorders>
              <w:top w:val="single" w:sz="6" w:space="0" w:color="4E81BD"/>
              <w:left w:val="single" w:sz="6" w:space="0" w:color="D2D2D2"/>
              <w:bottom w:val="single" w:sz="6" w:space="0" w:color="D2D2D2"/>
              <w:right w:val="nil"/>
            </w:tcBorders>
          </w:tcPr>
          <w:p>
            <w:pPr>
              <w:pStyle w:val="TableParagraph"/>
              <w:spacing w:line="192" w:lineRule="exact" w:before="23"/>
              <w:ind w:left="278" w:right="256"/>
              <w:rPr>
                <w:sz w:val="18"/>
              </w:rPr>
            </w:pPr>
            <w:r>
              <w:rPr>
                <w:sz w:val="18"/>
              </w:rPr>
              <w:t>0.60</w:t>
            </w:r>
          </w:p>
        </w:tc>
      </w:tr>
      <w:tr>
        <w:trPr>
          <w:trHeight w:val="239" w:hRule="atLeast"/>
        </w:trPr>
        <w:tc>
          <w:tcPr>
            <w:tcW w:w="1061" w:type="dxa"/>
            <w:tcBorders>
              <w:top w:val="single" w:sz="6" w:space="0" w:color="D2D2D2"/>
              <w:left w:val="nil"/>
              <w:bottom w:val="single" w:sz="6" w:space="0" w:color="D2D2D2"/>
              <w:right w:val="single" w:sz="6" w:space="0" w:color="D2D2D2"/>
            </w:tcBorders>
          </w:tcPr>
          <w:p>
            <w:pPr>
              <w:pStyle w:val="TableParagraph"/>
              <w:spacing w:line="192" w:lineRule="exact"/>
              <w:ind w:left="382" w:right="336"/>
              <w:rPr>
                <w:sz w:val="18"/>
              </w:rPr>
            </w:pPr>
            <w:r>
              <w:rPr>
                <w:sz w:val="18"/>
              </w:rPr>
              <w:t>10%</w:t>
            </w:r>
          </w:p>
        </w:tc>
        <w:tc>
          <w:tcPr>
            <w:tcW w:w="338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271" w:right="239"/>
              <w:rPr>
                <w:sz w:val="18"/>
              </w:rPr>
            </w:pPr>
            <w:r>
              <w:rPr>
                <w:sz w:val="18"/>
              </w:rPr>
              <w:t>~780</w:t>
            </w:r>
          </w:p>
        </w:tc>
        <w:tc>
          <w:tcPr>
            <w:tcW w:w="3512" w:type="dxa"/>
            <w:tcBorders>
              <w:top w:val="single" w:sz="6" w:space="0" w:color="D2D2D2"/>
              <w:left w:val="single" w:sz="6" w:space="0" w:color="D2D2D2"/>
              <w:bottom w:val="single" w:sz="6" w:space="0" w:color="D2D2D2"/>
              <w:right w:val="nil"/>
            </w:tcBorders>
          </w:tcPr>
          <w:p>
            <w:pPr>
              <w:pStyle w:val="TableParagraph"/>
              <w:spacing w:line="192" w:lineRule="exact"/>
              <w:ind w:left="278" w:right="256"/>
              <w:rPr>
                <w:sz w:val="18"/>
              </w:rPr>
            </w:pPr>
            <w:r>
              <w:rPr>
                <w:sz w:val="18"/>
              </w:rPr>
              <w:t>0.49</w:t>
            </w:r>
          </w:p>
        </w:tc>
      </w:tr>
      <w:tr>
        <w:trPr>
          <w:trHeight w:val="239" w:hRule="atLeast"/>
        </w:trPr>
        <w:tc>
          <w:tcPr>
            <w:tcW w:w="1061" w:type="dxa"/>
            <w:tcBorders>
              <w:top w:val="single" w:sz="6" w:space="0" w:color="D2D2D2"/>
              <w:left w:val="nil"/>
              <w:bottom w:val="single" w:sz="6" w:space="0" w:color="D2D2D2"/>
              <w:right w:val="single" w:sz="6" w:space="0" w:color="D2D2D2"/>
            </w:tcBorders>
          </w:tcPr>
          <w:p>
            <w:pPr>
              <w:pStyle w:val="TableParagraph"/>
              <w:spacing w:line="192" w:lineRule="exact"/>
              <w:ind w:left="382" w:right="336"/>
              <w:rPr>
                <w:sz w:val="18"/>
              </w:rPr>
            </w:pPr>
            <w:r>
              <w:rPr>
                <w:sz w:val="18"/>
              </w:rPr>
              <w:t>15%</w:t>
            </w:r>
          </w:p>
        </w:tc>
        <w:tc>
          <w:tcPr>
            <w:tcW w:w="338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271" w:right="239"/>
              <w:rPr>
                <w:sz w:val="18"/>
              </w:rPr>
            </w:pPr>
            <w:r>
              <w:rPr>
                <w:sz w:val="18"/>
              </w:rPr>
              <w:t>~430</w:t>
            </w:r>
          </w:p>
        </w:tc>
        <w:tc>
          <w:tcPr>
            <w:tcW w:w="3512" w:type="dxa"/>
            <w:tcBorders>
              <w:top w:val="single" w:sz="6" w:space="0" w:color="D2D2D2"/>
              <w:left w:val="single" w:sz="6" w:space="0" w:color="D2D2D2"/>
              <w:bottom w:val="single" w:sz="6" w:space="0" w:color="D2D2D2"/>
              <w:right w:val="nil"/>
            </w:tcBorders>
          </w:tcPr>
          <w:p>
            <w:pPr>
              <w:pStyle w:val="TableParagraph"/>
              <w:spacing w:line="192" w:lineRule="exact"/>
              <w:ind w:left="278" w:right="256"/>
              <w:rPr>
                <w:sz w:val="18"/>
              </w:rPr>
            </w:pPr>
            <w:r>
              <w:rPr>
                <w:sz w:val="18"/>
              </w:rPr>
              <w:t>0.29</w:t>
            </w:r>
          </w:p>
        </w:tc>
      </w:tr>
      <w:tr>
        <w:trPr>
          <w:trHeight w:val="241" w:hRule="atLeast"/>
        </w:trPr>
        <w:tc>
          <w:tcPr>
            <w:tcW w:w="1061" w:type="dxa"/>
            <w:tcBorders>
              <w:top w:val="single" w:sz="6" w:space="0" w:color="D2D2D2"/>
              <w:left w:val="nil"/>
              <w:bottom w:val="single" w:sz="6" w:space="0" w:color="D2D2D2"/>
              <w:right w:val="single" w:sz="6" w:space="0" w:color="D2D2D2"/>
            </w:tcBorders>
          </w:tcPr>
          <w:p>
            <w:pPr>
              <w:pStyle w:val="TableParagraph"/>
              <w:spacing w:line="192" w:lineRule="exact" w:before="30"/>
              <w:ind w:left="382" w:right="336"/>
              <w:rPr>
                <w:sz w:val="18"/>
              </w:rPr>
            </w:pPr>
            <w:r>
              <w:rPr>
                <w:sz w:val="18"/>
              </w:rPr>
              <w:t>20%</w:t>
            </w:r>
          </w:p>
        </w:tc>
        <w:tc>
          <w:tcPr>
            <w:tcW w:w="338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before="30"/>
              <w:ind w:left="271" w:right="239"/>
              <w:rPr>
                <w:sz w:val="18"/>
              </w:rPr>
            </w:pPr>
            <w:r>
              <w:rPr>
                <w:sz w:val="18"/>
              </w:rPr>
              <w:t>~240</w:t>
            </w:r>
          </w:p>
        </w:tc>
        <w:tc>
          <w:tcPr>
            <w:tcW w:w="3512" w:type="dxa"/>
            <w:tcBorders>
              <w:top w:val="single" w:sz="6" w:space="0" w:color="D2D2D2"/>
              <w:left w:val="single" w:sz="6" w:space="0" w:color="D2D2D2"/>
              <w:bottom w:val="single" w:sz="6" w:space="0" w:color="D2D2D2"/>
              <w:right w:val="nil"/>
            </w:tcBorders>
          </w:tcPr>
          <w:p>
            <w:pPr>
              <w:pStyle w:val="TableParagraph"/>
              <w:spacing w:line="192" w:lineRule="exact" w:before="30"/>
              <w:ind w:left="278" w:right="256"/>
              <w:rPr>
                <w:sz w:val="18"/>
              </w:rPr>
            </w:pPr>
            <w:r>
              <w:rPr>
                <w:sz w:val="18"/>
              </w:rPr>
              <w:t>0.17</w:t>
            </w:r>
          </w:p>
        </w:tc>
      </w:tr>
      <w:tr>
        <w:trPr>
          <w:trHeight w:val="239" w:hRule="atLeast"/>
        </w:trPr>
        <w:tc>
          <w:tcPr>
            <w:tcW w:w="1061" w:type="dxa"/>
            <w:tcBorders>
              <w:top w:val="single" w:sz="6" w:space="0" w:color="D2D2D2"/>
              <w:left w:val="nil"/>
              <w:right w:val="single" w:sz="6" w:space="0" w:color="D2D2D2"/>
            </w:tcBorders>
          </w:tcPr>
          <w:p>
            <w:pPr>
              <w:pStyle w:val="TableParagraph"/>
              <w:spacing w:line="191" w:lineRule="exact"/>
              <w:ind w:left="382" w:right="336"/>
              <w:rPr>
                <w:sz w:val="18"/>
              </w:rPr>
            </w:pPr>
            <w:r>
              <w:rPr>
                <w:sz w:val="18"/>
              </w:rPr>
              <w:t>25%</w:t>
            </w:r>
          </w:p>
        </w:tc>
        <w:tc>
          <w:tcPr>
            <w:tcW w:w="3382" w:type="dxa"/>
            <w:tcBorders>
              <w:top w:val="single" w:sz="6" w:space="0" w:color="D2D2D2"/>
              <w:left w:val="single" w:sz="6" w:space="0" w:color="D2D2D2"/>
              <w:right w:val="single" w:sz="6" w:space="0" w:color="D2D2D2"/>
            </w:tcBorders>
          </w:tcPr>
          <w:p>
            <w:pPr>
              <w:pStyle w:val="TableParagraph"/>
              <w:spacing w:line="191" w:lineRule="exact"/>
              <w:ind w:left="271" w:right="239"/>
              <w:rPr>
                <w:sz w:val="18"/>
              </w:rPr>
            </w:pPr>
            <w:r>
              <w:rPr>
                <w:sz w:val="18"/>
              </w:rPr>
              <w:t>~150</w:t>
            </w:r>
          </w:p>
        </w:tc>
        <w:tc>
          <w:tcPr>
            <w:tcW w:w="3512" w:type="dxa"/>
            <w:tcBorders>
              <w:top w:val="single" w:sz="6" w:space="0" w:color="D2D2D2"/>
              <w:left w:val="single" w:sz="6" w:space="0" w:color="D2D2D2"/>
              <w:right w:val="nil"/>
            </w:tcBorders>
          </w:tcPr>
          <w:p>
            <w:pPr>
              <w:pStyle w:val="TableParagraph"/>
              <w:spacing w:line="191" w:lineRule="exact"/>
              <w:ind w:left="278" w:right="256"/>
              <w:rPr>
                <w:sz w:val="18"/>
              </w:rPr>
            </w:pPr>
            <w:r>
              <w:rPr>
                <w:sz w:val="18"/>
              </w:rPr>
              <w:t>0.10</w:t>
            </w:r>
          </w:p>
        </w:tc>
      </w:tr>
    </w:tbl>
    <w:p>
      <w:pPr>
        <w:spacing w:line="254" w:lineRule="auto" w:before="129"/>
        <w:ind w:left="723" w:right="481" w:firstLine="0"/>
        <w:jc w:val="both"/>
        <w:rPr>
          <w:rFonts w:ascii="Arial Narrow" w:hAnsi="Arial Narrow"/>
          <w:sz w:val="18"/>
        </w:rPr>
      </w:pPr>
      <w:r>
        <w:rPr>
          <w:rFonts w:ascii="Arial Narrow" w:hAnsi="Arial Narrow"/>
          <w:sz w:val="18"/>
        </w:rPr>
        <w:t>Note:</w:t>
      </w:r>
      <w:r>
        <w:rPr>
          <w:rFonts w:ascii="Arial Narrow" w:hAnsi="Arial Narrow"/>
          <w:spacing w:val="-5"/>
          <w:sz w:val="18"/>
        </w:rPr>
        <w:t> </w:t>
      </w:r>
      <w:r>
        <w:rPr>
          <w:rFonts w:ascii="Arial Narrow" w:hAnsi="Arial Narrow"/>
          <w:sz w:val="18"/>
        </w:rPr>
        <w:t>Data</w:t>
      </w:r>
      <w:r>
        <w:rPr>
          <w:rFonts w:ascii="Arial Narrow" w:hAnsi="Arial Narrow"/>
          <w:spacing w:val="-7"/>
          <w:sz w:val="18"/>
        </w:rPr>
        <w:t> </w:t>
      </w:r>
      <w:r>
        <w:rPr>
          <w:rFonts w:ascii="Arial Narrow" w:hAnsi="Arial Narrow"/>
          <w:sz w:val="18"/>
        </w:rPr>
        <w:t>are</w:t>
      </w:r>
      <w:r>
        <w:rPr>
          <w:rFonts w:ascii="Arial Narrow" w:hAnsi="Arial Narrow"/>
          <w:spacing w:val="-7"/>
          <w:sz w:val="18"/>
        </w:rPr>
        <w:t> </w:t>
      </w:r>
      <w:r>
        <w:rPr>
          <w:rFonts w:ascii="Arial Narrow" w:hAnsi="Arial Narrow"/>
          <w:sz w:val="18"/>
        </w:rPr>
        <w:t>for</w:t>
      </w:r>
      <w:r>
        <w:rPr>
          <w:rFonts w:ascii="Arial Narrow" w:hAnsi="Arial Narrow"/>
          <w:spacing w:val="-8"/>
          <w:sz w:val="18"/>
        </w:rPr>
        <w:t> </w:t>
      </w:r>
      <w:r>
        <w:rPr>
          <w:rFonts w:ascii="Arial Narrow" w:hAnsi="Arial Narrow"/>
          <w:sz w:val="18"/>
        </w:rPr>
        <w:t>2016.</w:t>
      </w:r>
      <w:r>
        <w:rPr>
          <w:rFonts w:ascii="Arial Narrow" w:hAnsi="Arial Narrow"/>
          <w:spacing w:val="-7"/>
          <w:sz w:val="18"/>
        </w:rPr>
        <w:t> </w:t>
      </w:r>
      <w:r>
        <w:rPr>
          <w:rFonts w:ascii="Arial Narrow" w:hAnsi="Arial Narrow"/>
          <w:sz w:val="18"/>
        </w:rPr>
        <w:t>MNEs</w:t>
      </w:r>
      <w:r>
        <w:rPr>
          <w:rFonts w:ascii="Arial Narrow" w:hAnsi="Arial Narrow"/>
          <w:spacing w:val="-6"/>
          <w:sz w:val="18"/>
        </w:rPr>
        <w:t> </w:t>
      </w:r>
      <w:r>
        <w:rPr>
          <w:rFonts w:ascii="Arial Narrow" w:hAnsi="Arial Narrow"/>
          <w:sz w:val="18"/>
        </w:rPr>
        <w:t>with</w:t>
      </w:r>
      <w:r>
        <w:rPr>
          <w:rFonts w:ascii="Arial Narrow" w:hAnsi="Arial Narrow"/>
          <w:spacing w:val="-7"/>
          <w:sz w:val="18"/>
        </w:rPr>
        <w:t> </w:t>
      </w:r>
      <w:r>
        <w:rPr>
          <w:rFonts w:ascii="Arial Narrow" w:hAnsi="Arial Narrow"/>
          <w:sz w:val="18"/>
        </w:rPr>
        <w:t>consolidated</w:t>
      </w:r>
      <w:r>
        <w:rPr>
          <w:rFonts w:ascii="Arial Narrow" w:hAnsi="Arial Narrow"/>
          <w:spacing w:val="-7"/>
          <w:sz w:val="18"/>
        </w:rPr>
        <w:t> </w:t>
      </w:r>
      <w:r>
        <w:rPr>
          <w:rFonts w:ascii="Arial Narrow" w:hAnsi="Arial Narrow"/>
          <w:sz w:val="18"/>
        </w:rPr>
        <w:t>revenue</w:t>
      </w:r>
      <w:r>
        <w:rPr>
          <w:rFonts w:ascii="Arial Narrow" w:hAnsi="Arial Narrow"/>
          <w:spacing w:val="-7"/>
          <w:sz w:val="18"/>
        </w:rPr>
        <w:t> </w:t>
      </w:r>
      <w:r>
        <w:rPr>
          <w:rFonts w:ascii="Arial Narrow" w:hAnsi="Arial Narrow"/>
          <w:sz w:val="18"/>
        </w:rPr>
        <w:t>below</w:t>
      </w:r>
      <w:r>
        <w:rPr>
          <w:rFonts w:ascii="Arial Narrow" w:hAnsi="Arial Narrow"/>
          <w:spacing w:val="-7"/>
          <w:sz w:val="18"/>
        </w:rPr>
        <w:t> </w:t>
      </w:r>
      <w:r>
        <w:rPr>
          <w:rFonts w:ascii="Arial Narrow" w:hAnsi="Arial Narrow"/>
          <w:sz w:val="18"/>
        </w:rPr>
        <w:t>€750</w:t>
      </w:r>
      <w:r>
        <w:rPr>
          <w:rFonts w:ascii="Arial Narrow" w:hAnsi="Arial Narrow"/>
          <w:spacing w:val="-5"/>
          <w:sz w:val="18"/>
        </w:rPr>
        <w:t> </w:t>
      </w:r>
      <w:r>
        <w:rPr>
          <w:rFonts w:ascii="Arial Narrow" w:hAnsi="Arial Narrow"/>
          <w:sz w:val="18"/>
        </w:rPr>
        <w:t>million</w:t>
      </w:r>
      <w:r>
        <w:rPr>
          <w:rFonts w:ascii="Arial Narrow" w:hAnsi="Arial Narrow"/>
          <w:spacing w:val="-7"/>
          <w:sz w:val="18"/>
        </w:rPr>
        <w:t> </w:t>
      </w:r>
      <w:r>
        <w:rPr>
          <w:rFonts w:ascii="Arial Narrow" w:hAnsi="Arial Narrow"/>
          <w:sz w:val="18"/>
        </w:rPr>
        <w:t>are</w:t>
      </w:r>
      <w:r>
        <w:rPr>
          <w:rFonts w:ascii="Arial Narrow" w:hAnsi="Arial Narrow"/>
          <w:spacing w:val="-5"/>
          <w:sz w:val="18"/>
        </w:rPr>
        <w:t> </w:t>
      </w:r>
      <w:r>
        <w:rPr>
          <w:rFonts w:ascii="Arial Narrow" w:hAnsi="Arial Narrow"/>
          <w:sz w:val="18"/>
        </w:rPr>
        <w:t>excluded</w:t>
      </w:r>
      <w:r>
        <w:rPr>
          <w:rFonts w:ascii="Arial Narrow" w:hAnsi="Arial Narrow"/>
          <w:spacing w:val="-7"/>
          <w:sz w:val="18"/>
        </w:rPr>
        <w:t> </w:t>
      </w:r>
      <w:r>
        <w:rPr>
          <w:rFonts w:ascii="Arial Narrow" w:hAnsi="Arial Narrow"/>
          <w:sz w:val="18"/>
        </w:rPr>
        <w:t>from</w:t>
      </w:r>
      <w:r>
        <w:rPr>
          <w:rFonts w:ascii="Arial Narrow" w:hAnsi="Arial Narrow"/>
          <w:spacing w:val="-8"/>
          <w:sz w:val="18"/>
        </w:rPr>
        <w:t> </w:t>
      </w:r>
      <w:r>
        <w:rPr>
          <w:rFonts w:ascii="Arial Narrow" w:hAnsi="Arial Narrow"/>
          <w:sz w:val="18"/>
        </w:rPr>
        <w:t>this</w:t>
      </w:r>
      <w:r>
        <w:rPr>
          <w:rFonts w:ascii="Arial Narrow" w:hAnsi="Arial Narrow"/>
          <w:spacing w:val="-6"/>
          <w:sz w:val="18"/>
        </w:rPr>
        <w:t> </w:t>
      </w:r>
      <w:r>
        <w:rPr>
          <w:rFonts w:ascii="Arial Narrow" w:hAnsi="Arial Narrow"/>
          <w:sz w:val="18"/>
        </w:rPr>
        <w:t>estimate.</w:t>
      </w:r>
      <w:r>
        <w:rPr>
          <w:rFonts w:ascii="Arial Narrow" w:hAnsi="Arial Narrow"/>
          <w:spacing w:val="-5"/>
          <w:sz w:val="18"/>
        </w:rPr>
        <w:t> </w:t>
      </w:r>
      <w:r>
        <w:rPr>
          <w:rFonts w:ascii="Arial Narrow" w:hAnsi="Arial Narrow"/>
          <w:sz w:val="18"/>
        </w:rPr>
        <w:t>Only</w:t>
      </w:r>
      <w:r>
        <w:rPr>
          <w:rFonts w:ascii="Arial Narrow" w:hAnsi="Arial Narrow"/>
          <w:spacing w:val="-6"/>
          <w:sz w:val="18"/>
        </w:rPr>
        <w:t> </w:t>
      </w:r>
      <w:r>
        <w:rPr>
          <w:rFonts w:ascii="Arial Narrow" w:hAnsi="Arial Narrow"/>
          <w:sz w:val="18"/>
        </w:rPr>
        <w:t>MNEs</w:t>
      </w:r>
      <w:r>
        <w:rPr>
          <w:rFonts w:ascii="Arial Narrow" w:hAnsi="Arial Narrow"/>
          <w:spacing w:val="-6"/>
          <w:sz w:val="18"/>
        </w:rPr>
        <w:t> </w:t>
      </w:r>
      <w:r>
        <w:rPr>
          <w:rFonts w:ascii="Arial Narrow" w:hAnsi="Arial Narrow"/>
          <w:sz w:val="18"/>
        </w:rPr>
        <w:t>with</w:t>
      </w:r>
      <w:r>
        <w:rPr>
          <w:rFonts w:ascii="Arial Narrow" w:hAnsi="Arial Narrow"/>
          <w:spacing w:val="-7"/>
          <w:sz w:val="18"/>
        </w:rPr>
        <w:t> </w:t>
      </w:r>
      <w:r>
        <w:rPr>
          <w:rFonts w:ascii="Arial Narrow" w:hAnsi="Arial Narrow"/>
          <w:sz w:val="18"/>
        </w:rPr>
        <w:t>a</w:t>
      </w:r>
      <w:r>
        <w:rPr>
          <w:rFonts w:ascii="Arial Narrow" w:hAnsi="Arial Narrow"/>
          <w:spacing w:val="-6"/>
          <w:sz w:val="18"/>
        </w:rPr>
        <w:t> </w:t>
      </w:r>
      <w:r>
        <w:rPr>
          <w:rFonts w:ascii="Arial Narrow" w:hAnsi="Arial Narrow"/>
          <w:sz w:val="18"/>
        </w:rPr>
        <w:t>primary</w:t>
      </w:r>
      <w:r>
        <w:rPr>
          <w:rFonts w:ascii="Arial Narrow" w:hAnsi="Arial Narrow"/>
          <w:spacing w:val="-6"/>
          <w:sz w:val="18"/>
        </w:rPr>
        <w:t> </w:t>
      </w:r>
      <w:r>
        <w:rPr>
          <w:rFonts w:ascii="Arial Narrow" w:hAnsi="Arial Narrow"/>
          <w:sz w:val="18"/>
        </w:rPr>
        <w:t>activity in ADS and CFB sectors are included. The classification across sectors is based on the primary activity of each group. This estimate does not account for the scope threshold based on foreign source in-scope revenue, the fact that groups may have different business lines or units operating</w:t>
      </w:r>
      <w:r>
        <w:rPr>
          <w:rFonts w:ascii="Arial Narrow" w:hAnsi="Arial Narrow"/>
          <w:spacing w:val="-6"/>
          <w:sz w:val="18"/>
        </w:rPr>
        <w:t> </w:t>
      </w:r>
      <w:r>
        <w:rPr>
          <w:rFonts w:ascii="Arial Narrow" w:hAnsi="Arial Narrow"/>
          <w:sz w:val="18"/>
        </w:rPr>
        <w:t>in</w:t>
      </w:r>
      <w:r>
        <w:rPr>
          <w:rFonts w:ascii="Arial Narrow" w:hAnsi="Arial Narrow"/>
          <w:spacing w:val="-7"/>
          <w:sz w:val="18"/>
        </w:rPr>
        <w:t> </w:t>
      </w:r>
      <w:r>
        <w:rPr>
          <w:rFonts w:ascii="Arial Narrow" w:hAnsi="Arial Narrow"/>
          <w:sz w:val="18"/>
        </w:rPr>
        <w:t>different</w:t>
      </w:r>
      <w:r>
        <w:rPr>
          <w:rFonts w:ascii="Arial Narrow" w:hAnsi="Arial Narrow"/>
          <w:spacing w:val="-5"/>
          <w:sz w:val="18"/>
        </w:rPr>
        <w:t> </w:t>
      </w:r>
      <w:r>
        <w:rPr>
          <w:rFonts w:ascii="Arial Narrow" w:hAnsi="Arial Narrow"/>
          <w:sz w:val="18"/>
        </w:rPr>
        <w:t>sectors</w:t>
      </w:r>
      <w:r>
        <w:rPr>
          <w:rFonts w:ascii="Arial Narrow" w:hAnsi="Arial Narrow"/>
          <w:spacing w:val="-4"/>
          <w:sz w:val="18"/>
        </w:rPr>
        <w:t> </w:t>
      </w:r>
      <w:r>
        <w:rPr>
          <w:rFonts w:ascii="Arial Narrow" w:hAnsi="Arial Narrow"/>
          <w:sz w:val="18"/>
        </w:rPr>
        <w:t>(i.e.</w:t>
      </w:r>
      <w:r>
        <w:rPr>
          <w:rFonts w:ascii="Arial Narrow" w:hAnsi="Arial Narrow"/>
          <w:spacing w:val="-8"/>
          <w:sz w:val="18"/>
        </w:rPr>
        <w:t> </w:t>
      </w:r>
      <w:r>
        <w:rPr>
          <w:rFonts w:ascii="Arial Narrow" w:hAnsi="Arial Narrow"/>
          <w:sz w:val="18"/>
        </w:rPr>
        <w:t>impact</w:t>
      </w:r>
      <w:r>
        <w:rPr>
          <w:rFonts w:ascii="Arial Narrow" w:hAnsi="Arial Narrow"/>
          <w:spacing w:val="-7"/>
          <w:sz w:val="18"/>
        </w:rPr>
        <w:t> </w:t>
      </w:r>
      <w:r>
        <w:rPr>
          <w:rFonts w:ascii="Arial Narrow" w:hAnsi="Arial Narrow"/>
          <w:sz w:val="18"/>
        </w:rPr>
        <w:t>of</w:t>
      </w:r>
      <w:r>
        <w:rPr>
          <w:rFonts w:ascii="Arial Narrow" w:hAnsi="Arial Narrow"/>
          <w:spacing w:val="-7"/>
          <w:sz w:val="18"/>
        </w:rPr>
        <w:t> </w:t>
      </w:r>
      <w:r>
        <w:rPr>
          <w:rFonts w:ascii="Arial Narrow" w:hAnsi="Arial Narrow"/>
          <w:sz w:val="18"/>
        </w:rPr>
        <w:t>segmentation),</w:t>
      </w:r>
      <w:r>
        <w:rPr>
          <w:rFonts w:ascii="Arial Narrow" w:hAnsi="Arial Narrow"/>
          <w:spacing w:val="-7"/>
          <w:sz w:val="18"/>
        </w:rPr>
        <w:t> </w:t>
      </w:r>
      <w:r>
        <w:rPr>
          <w:rFonts w:ascii="Arial Narrow" w:hAnsi="Arial Narrow"/>
          <w:sz w:val="18"/>
        </w:rPr>
        <w:t>and</w:t>
      </w:r>
      <w:r>
        <w:rPr>
          <w:rFonts w:ascii="Arial Narrow" w:hAnsi="Arial Narrow"/>
          <w:spacing w:val="-7"/>
          <w:sz w:val="18"/>
        </w:rPr>
        <w:t> </w:t>
      </w:r>
      <w:r>
        <w:rPr>
          <w:rFonts w:ascii="Arial Narrow" w:hAnsi="Arial Narrow"/>
          <w:sz w:val="18"/>
        </w:rPr>
        <w:t>the</w:t>
      </w:r>
      <w:r>
        <w:rPr>
          <w:rFonts w:ascii="Arial Narrow" w:hAnsi="Arial Narrow"/>
          <w:spacing w:val="-7"/>
          <w:sz w:val="18"/>
        </w:rPr>
        <w:t> </w:t>
      </w:r>
      <w:r>
        <w:rPr>
          <w:rFonts w:ascii="Arial Narrow" w:hAnsi="Arial Narrow"/>
          <w:sz w:val="18"/>
        </w:rPr>
        <w:t>possible</w:t>
      </w:r>
      <w:r>
        <w:rPr>
          <w:rFonts w:ascii="Arial Narrow" w:hAnsi="Arial Narrow"/>
          <w:spacing w:val="-8"/>
          <w:sz w:val="18"/>
        </w:rPr>
        <w:t> </w:t>
      </w:r>
      <w:r>
        <w:rPr>
          <w:rFonts w:ascii="Arial Narrow" w:hAnsi="Arial Narrow"/>
          <w:sz w:val="18"/>
        </w:rPr>
        <w:t>impact</w:t>
      </w:r>
      <w:r>
        <w:rPr>
          <w:rFonts w:ascii="Arial Narrow" w:hAnsi="Arial Narrow"/>
          <w:spacing w:val="-7"/>
          <w:sz w:val="18"/>
        </w:rPr>
        <w:t> </w:t>
      </w:r>
      <w:r>
        <w:rPr>
          <w:rFonts w:ascii="Arial Narrow" w:hAnsi="Arial Narrow"/>
          <w:sz w:val="18"/>
        </w:rPr>
        <w:t>of</w:t>
      </w:r>
      <w:r>
        <w:rPr>
          <w:rFonts w:ascii="Arial Narrow" w:hAnsi="Arial Narrow"/>
          <w:spacing w:val="-5"/>
          <w:sz w:val="18"/>
        </w:rPr>
        <w:t> </w:t>
      </w:r>
      <w:r>
        <w:rPr>
          <w:rFonts w:ascii="Arial Narrow" w:hAnsi="Arial Narrow"/>
          <w:sz w:val="18"/>
        </w:rPr>
        <w:t>accounting</w:t>
      </w:r>
      <w:r>
        <w:rPr>
          <w:rFonts w:ascii="Arial Narrow" w:hAnsi="Arial Narrow"/>
          <w:spacing w:val="-5"/>
          <w:sz w:val="18"/>
        </w:rPr>
        <w:t> </w:t>
      </w:r>
      <w:r>
        <w:rPr>
          <w:rFonts w:ascii="Arial Narrow" w:hAnsi="Arial Narrow"/>
          <w:sz w:val="18"/>
        </w:rPr>
        <w:t>for</w:t>
      </w:r>
      <w:r>
        <w:rPr>
          <w:rFonts w:ascii="Arial Narrow" w:hAnsi="Arial Narrow"/>
          <w:spacing w:val="-6"/>
          <w:sz w:val="18"/>
        </w:rPr>
        <w:t> </w:t>
      </w:r>
      <w:r>
        <w:rPr>
          <w:rFonts w:ascii="Arial Narrow" w:hAnsi="Arial Narrow"/>
          <w:sz w:val="18"/>
        </w:rPr>
        <w:t>profit</w:t>
      </w:r>
      <w:r>
        <w:rPr>
          <w:rFonts w:ascii="Arial Narrow" w:hAnsi="Arial Narrow"/>
          <w:spacing w:val="-7"/>
          <w:sz w:val="18"/>
        </w:rPr>
        <w:t> </w:t>
      </w:r>
      <w:r>
        <w:rPr>
          <w:rFonts w:ascii="Arial Narrow" w:hAnsi="Arial Narrow"/>
          <w:sz w:val="18"/>
        </w:rPr>
        <w:t>shortfalls</w:t>
      </w:r>
      <w:r>
        <w:rPr>
          <w:rFonts w:ascii="Arial Narrow" w:hAnsi="Arial Narrow"/>
          <w:spacing w:val="-6"/>
          <w:sz w:val="18"/>
        </w:rPr>
        <w:t> </w:t>
      </w:r>
      <w:r>
        <w:rPr>
          <w:rFonts w:ascii="Arial Narrow" w:hAnsi="Arial Narrow"/>
          <w:sz w:val="18"/>
        </w:rPr>
        <w:t>in the</w:t>
      </w:r>
      <w:r>
        <w:rPr>
          <w:rFonts w:ascii="Arial Narrow" w:hAnsi="Arial Narrow"/>
          <w:spacing w:val="-7"/>
          <w:sz w:val="18"/>
        </w:rPr>
        <w:t> </w:t>
      </w:r>
      <w:r>
        <w:rPr>
          <w:rFonts w:ascii="Arial Narrow" w:hAnsi="Arial Narrow"/>
          <w:sz w:val="18"/>
        </w:rPr>
        <w:t>calculation</w:t>
      </w:r>
      <w:r>
        <w:rPr>
          <w:rFonts w:ascii="Arial Narrow" w:hAnsi="Arial Narrow"/>
          <w:spacing w:val="-8"/>
          <w:sz w:val="18"/>
        </w:rPr>
        <w:t> </w:t>
      </w:r>
      <w:r>
        <w:rPr>
          <w:rFonts w:ascii="Arial Narrow" w:hAnsi="Arial Narrow"/>
          <w:sz w:val="18"/>
        </w:rPr>
        <w:t>of</w:t>
      </w:r>
      <w:r>
        <w:rPr>
          <w:rFonts w:ascii="Arial Narrow" w:hAnsi="Arial Narrow"/>
          <w:spacing w:val="-7"/>
          <w:sz w:val="18"/>
        </w:rPr>
        <w:t> </w:t>
      </w:r>
      <w:r>
        <w:rPr>
          <w:rFonts w:ascii="Arial Narrow" w:hAnsi="Arial Narrow"/>
          <w:sz w:val="18"/>
        </w:rPr>
        <w:t>Amount A</w:t>
      </w:r>
      <w:r>
        <w:rPr>
          <w:rFonts w:ascii="Arial Narrow" w:hAnsi="Arial Narrow"/>
          <w:spacing w:val="-10"/>
          <w:sz w:val="18"/>
        </w:rPr>
        <w:t> </w:t>
      </w:r>
      <w:r>
        <w:rPr>
          <w:rFonts w:ascii="Arial Narrow" w:hAnsi="Arial Narrow"/>
          <w:sz w:val="18"/>
        </w:rPr>
        <w:t>profit</w:t>
      </w:r>
      <w:r>
        <w:rPr>
          <w:rFonts w:ascii="Arial Narrow" w:hAnsi="Arial Narrow"/>
          <w:spacing w:val="-9"/>
          <w:sz w:val="18"/>
        </w:rPr>
        <w:t> </w:t>
      </w:r>
      <w:r>
        <w:rPr>
          <w:rFonts w:ascii="Arial Narrow" w:hAnsi="Arial Narrow"/>
          <w:sz w:val="18"/>
        </w:rPr>
        <w:t>(see</w:t>
      </w:r>
      <w:r>
        <w:rPr>
          <w:rFonts w:ascii="Arial Narrow" w:hAnsi="Arial Narrow"/>
          <w:spacing w:val="-11"/>
          <w:sz w:val="18"/>
        </w:rPr>
        <w:t> </w:t>
      </w:r>
      <w:r>
        <w:rPr>
          <w:rFonts w:ascii="Arial Narrow" w:hAnsi="Arial Narrow"/>
          <w:sz w:val="18"/>
        </w:rPr>
        <w:t>section</w:t>
      </w:r>
      <w:r>
        <w:rPr>
          <w:rFonts w:ascii="Arial Narrow" w:hAnsi="Arial Narrow"/>
          <w:spacing w:val="-10"/>
          <w:sz w:val="18"/>
        </w:rPr>
        <w:t> </w:t>
      </w:r>
      <w:hyperlink w:history="true" w:anchor="_bookmark37">
        <w:r>
          <w:rPr>
            <w:rFonts w:ascii="Arial Narrow" w:hAnsi="Arial Narrow"/>
            <w:sz w:val="18"/>
          </w:rPr>
          <w:t>5.4.6)</w:t>
        </w:r>
      </w:hyperlink>
      <w:r>
        <w:rPr>
          <w:rFonts w:ascii="Arial Narrow" w:hAnsi="Arial Narrow"/>
          <w:sz w:val="18"/>
        </w:rPr>
        <w:t>.</w:t>
      </w:r>
      <w:r>
        <w:rPr>
          <w:rFonts w:ascii="Arial Narrow" w:hAnsi="Arial Narrow"/>
          <w:spacing w:val="-9"/>
          <w:sz w:val="18"/>
        </w:rPr>
        <w:t> </w:t>
      </w:r>
      <w:r>
        <w:rPr>
          <w:rFonts w:ascii="Arial Narrow" w:hAnsi="Arial Narrow"/>
          <w:sz w:val="18"/>
        </w:rPr>
        <w:t>This</w:t>
      </w:r>
      <w:r>
        <w:rPr>
          <w:rFonts w:ascii="Arial Narrow" w:hAnsi="Arial Narrow"/>
          <w:spacing w:val="-9"/>
          <w:sz w:val="18"/>
        </w:rPr>
        <w:t> </w:t>
      </w:r>
      <w:r>
        <w:rPr>
          <w:rFonts w:ascii="Arial Narrow" w:hAnsi="Arial Narrow"/>
          <w:sz w:val="18"/>
        </w:rPr>
        <w:t>suggests</w:t>
      </w:r>
      <w:r>
        <w:rPr>
          <w:rFonts w:ascii="Arial Narrow" w:hAnsi="Arial Narrow"/>
          <w:spacing w:val="-9"/>
          <w:sz w:val="18"/>
        </w:rPr>
        <w:t> </w:t>
      </w:r>
      <w:r>
        <w:rPr>
          <w:rFonts w:ascii="Arial Narrow" w:hAnsi="Arial Narrow"/>
          <w:sz w:val="18"/>
        </w:rPr>
        <w:t>that</w:t>
      </w:r>
      <w:r>
        <w:rPr>
          <w:rFonts w:ascii="Arial Narrow" w:hAnsi="Arial Narrow"/>
          <w:spacing w:val="-10"/>
          <w:sz w:val="18"/>
        </w:rPr>
        <w:t> </w:t>
      </w:r>
      <w:r>
        <w:rPr>
          <w:rFonts w:ascii="Arial Narrow" w:hAnsi="Arial Narrow"/>
          <w:sz w:val="18"/>
        </w:rPr>
        <w:t>the</w:t>
      </w:r>
      <w:r>
        <w:rPr>
          <w:rFonts w:ascii="Arial Narrow" w:hAnsi="Arial Narrow"/>
          <w:spacing w:val="-10"/>
          <w:sz w:val="18"/>
        </w:rPr>
        <w:t> </w:t>
      </w:r>
      <w:r>
        <w:rPr>
          <w:rFonts w:ascii="Arial Narrow" w:hAnsi="Arial Narrow"/>
          <w:sz w:val="18"/>
        </w:rPr>
        <w:t>total</w:t>
      </w:r>
      <w:r>
        <w:rPr>
          <w:rFonts w:ascii="Arial Narrow" w:hAnsi="Arial Narrow"/>
          <w:spacing w:val="-8"/>
          <w:sz w:val="18"/>
        </w:rPr>
        <w:t> </w:t>
      </w:r>
      <w:r>
        <w:rPr>
          <w:rFonts w:ascii="Arial Narrow" w:hAnsi="Arial Narrow"/>
          <w:sz w:val="18"/>
        </w:rPr>
        <w:t>amount</w:t>
      </w:r>
      <w:r>
        <w:rPr>
          <w:rFonts w:ascii="Arial Narrow" w:hAnsi="Arial Narrow"/>
          <w:spacing w:val="-10"/>
          <w:sz w:val="18"/>
        </w:rPr>
        <w:t> </w:t>
      </w:r>
      <w:r>
        <w:rPr>
          <w:rFonts w:ascii="Arial Narrow" w:hAnsi="Arial Narrow"/>
          <w:sz w:val="18"/>
        </w:rPr>
        <w:t>of</w:t>
      </w:r>
      <w:r>
        <w:rPr>
          <w:rFonts w:ascii="Arial Narrow" w:hAnsi="Arial Narrow"/>
          <w:spacing w:val="-11"/>
          <w:sz w:val="18"/>
        </w:rPr>
        <w:t> </w:t>
      </w:r>
      <w:r>
        <w:rPr>
          <w:rFonts w:ascii="Arial Narrow" w:hAnsi="Arial Narrow"/>
          <w:sz w:val="18"/>
        </w:rPr>
        <w:t>global</w:t>
      </w:r>
      <w:r>
        <w:rPr>
          <w:rFonts w:ascii="Arial Narrow" w:hAnsi="Arial Narrow"/>
          <w:spacing w:val="-9"/>
          <w:sz w:val="18"/>
        </w:rPr>
        <w:t> </w:t>
      </w:r>
      <w:r>
        <w:rPr>
          <w:rFonts w:ascii="Arial Narrow" w:hAnsi="Arial Narrow"/>
          <w:sz w:val="18"/>
        </w:rPr>
        <w:t>profit</w:t>
      </w:r>
      <w:r>
        <w:rPr>
          <w:rFonts w:ascii="Arial Narrow" w:hAnsi="Arial Narrow"/>
          <w:spacing w:val="-9"/>
          <w:sz w:val="18"/>
        </w:rPr>
        <w:t> </w:t>
      </w:r>
      <w:r>
        <w:rPr>
          <w:rFonts w:ascii="Arial Narrow" w:hAnsi="Arial Narrow"/>
          <w:sz w:val="18"/>
        </w:rPr>
        <w:t>designated</w:t>
      </w:r>
      <w:r>
        <w:rPr>
          <w:rFonts w:ascii="Arial Narrow" w:hAnsi="Arial Narrow"/>
          <w:spacing w:val="-11"/>
          <w:sz w:val="18"/>
        </w:rPr>
        <w:t> </w:t>
      </w:r>
      <w:r>
        <w:rPr>
          <w:rFonts w:ascii="Arial Narrow" w:hAnsi="Arial Narrow"/>
          <w:sz w:val="18"/>
        </w:rPr>
        <w:t>as</w:t>
      </w:r>
      <w:r>
        <w:rPr>
          <w:rFonts w:ascii="Arial Narrow" w:hAnsi="Arial Narrow"/>
          <w:spacing w:val="-9"/>
          <w:sz w:val="18"/>
        </w:rPr>
        <w:t> </w:t>
      </w:r>
      <w:r>
        <w:rPr>
          <w:rFonts w:ascii="Arial Narrow" w:hAnsi="Arial Narrow"/>
          <w:sz w:val="18"/>
        </w:rPr>
        <w:t>residual</w:t>
      </w:r>
      <w:r>
        <w:rPr>
          <w:rFonts w:ascii="Arial Narrow" w:hAnsi="Arial Narrow"/>
          <w:spacing w:val="-9"/>
          <w:sz w:val="18"/>
        </w:rPr>
        <w:t> </w:t>
      </w:r>
      <w:r>
        <w:rPr>
          <w:rFonts w:ascii="Arial Narrow" w:hAnsi="Arial Narrow"/>
          <w:sz w:val="18"/>
        </w:rPr>
        <w:t>profit</w:t>
      </w:r>
      <w:r>
        <w:rPr>
          <w:rFonts w:ascii="Arial Narrow" w:hAnsi="Arial Narrow"/>
          <w:spacing w:val="-10"/>
          <w:sz w:val="18"/>
        </w:rPr>
        <w:t> </w:t>
      </w:r>
      <w:r>
        <w:rPr>
          <w:rFonts w:ascii="Arial Narrow" w:hAnsi="Arial Narrow"/>
          <w:sz w:val="18"/>
        </w:rPr>
        <w:t>in</w:t>
      </w:r>
      <w:r>
        <w:rPr>
          <w:rFonts w:ascii="Arial Narrow" w:hAnsi="Arial Narrow"/>
          <w:spacing w:val="-9"/>
          <w:sz w:val="18"/>
        </w:rPr>
        <w:t> </w:t>
      </w:r>
      <w:r>
        <w:rPr>
          <w:rFonts w:ascii="Arial Narrow" w:hAnsi="Arial Narrow"/>
          <w:sz w:val="18"/>
        </w:rPr>
        <w:t>this</w:t>
      </w:r>
      <w:r>
        <w:rPr>
          <w:rFonts w:ascii="Arial Narrow" w:hAnsi="Arial Narrow"/>
          <w:spacing w:val="-10"/>
          <w:sz w:val="18"/>
        </w:rPr>
        <w:t> </w:t>
      </w:r>
      <w:r>
        <w:rPr>
          <w:rFonts w:ascii="Arial Narrow" w:hAnsi="Arial Narrow"/>
          <w:sz w:val="18"/>
        </w:rPr>
        <w:t>table</w:t>
      </w:r>
      <w:r>
        <w:rPr>
          <w:rFonts w:ascii="Arial Narrow" w:hAnsi="Arial Narrow"/>
          <w:spacing w:val="-9"/>
          <w:sz w:val="18"/>
        </w:rPr>
        <w:t> </w:t>
      </w:r>
      <w:r>
        <w:rPr>
          <w:rFonts w:ascii="Arial Narrow" w:hAnsi="Arial Narrow"/>
          <w:sz w:val="18"/>
        </w:rPr>
        <w:t>could</w:t>
      </w:r>
      <w:r>
        <w:rPr>
          <w:rFonts w:ascii="Arial Narrow" w:hAnsi="Arial Narrow"/>
          <w:spacing w:val="-9"/>
          <w:sz w:val="18"/>
        </w:rPr>
        <w:t> </w:t>
      </w:r>
      <w:r>
        <w:rPr>
          <w:rFonts w:ascii="Arial Narrow" w:hAnsi="Arial Narrow"/>
          <w:sz w:val="18"/>
        </w:rPr>
        <w:t>be</w:t>
      </w:r>
      <w:r>
        <w:rPr>
          <w:rFonts w:ascii="Arial Narrow" w:hAnsi="Arial Narrow"/>
          <w:spacing w:val="-11"/>
          <w:sz w:val="18"/>
        </w:rPr>
        <w:t> </w:t>
      </w:r>
      <w:r>
        <w:rPr>
          <w:rFonts w:ascii="Arial Narrow" w:hAnsi="Arial Narrow"/>
          <w:sz w:val="18"/>
        </w:rPr>
        <w:t>lower</w:t>
      </w:r>
      <w:r>
        <w:rPr>
          <w:rFonts w:ascii="Arial Narrow" w:hAnsi="Arial Narrow"/>
          <w:spacing w:val="-11"/>
          <w:sz w:val="18"/>
        </w:rPr>
        <w:t> </w:t>
      </w:r>
      <w:r>
        <w:rPr>
          <w:rFonts w:ascii="Arial Narrow" w:hAnsi="Arial Narrow"/>
          <w:sz w:val="18"/>
        </w:rPr>
        <w:t>in</w:t>
      </w:r>
      <w:r>
        <w:rPr>
          <w:rFonts w:ascii="Arial Narrow" w:hAnsi="Arial Narrow"/>
          <w:spacing w:val="-9"/>
          <w:sz w:val="18"/>
        </w:rPr>
        <w:t> </w:t>
      </w:r>
      <w:r>
        <w:rPr>
          <w:rFonts w:ascii="Arial Narrow" w:hAnsi="Arial Narrow"/>
          <w:sz w:val="18"/>
        </w:rPr>
        <w:t>practice. It does not take into account that groups may have different business lines or units operating in different</w:t>
      </w:r>
      <w:r>
        <w:rPr>
          <w:rFonts w:ascii="Arial Narrow" w:hAnsi="Arial Narrow"/>
          <w:spacing w:val="-16"/>
          <w:sz w:val="18"/>
        </w:rPr>
        <w:t> </w:t>
      </w:r>
      <w:r>
        <w:rPr>
          <w:rFonts w:ascii="Arial Narrow" w:hAnsi="Arial Narrow"/>
          <w:sz w:val="18"/>
        </w:rPr>
        <w:t>sectors.</w:t>
      </w:r>
    </w:p>
    <w:p>
      <w:pPr>
        <w:pStyle w:val="BodyText"/>
        <w:rPr>
          <w:rFonts w:ascii="Arial Narrow"/>
        </w:rPr>
      </w:pPr>
    </w:p>
    <w:p>
      <w:pPr>
        <w:pStyle w:val="BodyText"/>
        <w:rPr>
          <w:rFonts w:ascii="Arial Narrow"/>
        </w:rPr>
      </w:pPr>
    </w:p>
    <w:p>
      <w:pPr>
        <w:pStyle w:val="BodyText"/>
        <w:rPr>
          <w:rFonts w:ascii="Arial Narrow"/>
          <w:sz w:val="17"/>
        </w:rPr>
      </w:pPr>
      <w:r>
        <w:rPr/>
        <w:pict>
          <v:rect style="position:absolute;margin-left:65.183998pt;margin-top:11.75013pt;width:144.020004pt;height:.599980pt;mso-position-horizontal-relative:page;mso-position-vertical-relative:paragraph;z-index:-15660544;mso-wrap-distance-left:0;mso-wrap-distance-right:0" filled="true" fillcolor="#000000" stroked="false">
            <v:fill type="solid"/>
            <w10:wrap type="topAndBottom"/>
          </v:rect>
        </w:pict>
      </w:r>
    </w:p>
    <w:p>
      <w:pPr>
        <w:pStyle w:val="BodyText"/>
        <w:spacing w:before="3"/>
        <w:rPr>
          <w:rFonts w:ascii="Arial Narrow"/>
          <w:sz w:val="16"/>
        </w:rPr>
      </w:pPr>
    </w:p>
    <w:p>
      <w:pPr>
        <w:pStyle w:val="ListParagraph"/>
        <w:numPr>
          <w:ilvl w:val="0"/>
          <w:numId w:val="14"/>
        </w:numPr>
        <w:tabs>
          <w:tab w:pos="940" w:val="left" w:leader="none"/>
        </w:tabs>
        <w:spacing w:line="240" w:lineRule="auto" w:before="94" w:after="0"/>
        <w:ind w:left="939" w:right="0" w:hanging="217"/>
        <w:jc w:val="left"/>
        <w:rPr>
          <w:sz w:val="18"/>
        </w:rPr>
      </w:pPr>
      <w:r>
        <w:rPr>
          <w:sz w:val="18"/>
        </w:rPr>
        <w:t>For</w:t>
      </w:r>
      <w:r>
        <w:rPr>
          <w:spacing w:val="10"/>
          <w:sz w:val="18"/>
        </w:rPr>
        <w:t> </w:t>
      </w:r>
      <w:r>
        <w:rPr>
          <w:sz w:val="18"/>
        </w:rPr>
        <w:t>the</w:t>
      </w:r>
      <w:r>
        <w:rPr>
          <w:spacing w:val="10"/>
          <w:sz w:val="18"/>
        </w:rPr>
        <w:t> </w:t>
      </w:r>
      <w:r>
        <w:rPr>
          <w:sz w:val="18"/>
        </w:rPr>
        <w:t>purpose</w:t>
      </w:r>
      <w:r>
        <w:rPr>
          <w:spacing w:val="11"/>
          <w:sz w:val="18"/>
        </w:rPr>
        <w:t> </w:t>
      </w:r>
      <w:r>
        <w:rPr>
          <w:sz w:val="18"/>
        </w:rPr>
        <w:t>of</w:t>
      </w:r>
      <w:r>
        <w:rPr>
          <w:spacing w:val="8"/>
          <w:sz w:val="18"/>
        </w:rPr>
        <w:t> </w:t>
      </w:r>
      <w:r>
        <w:rPr>
          <w:sz w:val="18"/>
        </w:rPr>
        <w:t>calculating</w:t>
      </w:r>
      <w:r>
        <w:rPr>
          <w:spacing w:val="11"/>
          <w:sz w:val="18"/>
        </w:rPr>
        <w:t> </w:t>
      </w:r>
      <w:r>
        <w:rPr>
          <w:sz w:val="18"/>
        </w:rPr>
        <w:t>and</w:t>
      </w:r>
      <w:r>
        <w:rPr>
          <w:spacing w:val="8"/>
          <w:sz w:val="18"/>
        </w:rPr>
        <w:t> </w:t>
      </w:r>
      <w:r>
        <w:rPr>
          <w:sz w:val="18"/>
        </w:rPr>
        <w:t>applying</w:t>
      </w:r>
      <w:r>
        <w:rPr>
          <w:spacing w:val="11"/>
          <w:sz w:val="18"/>
        </w:rPr>
        <w:t> </w:t>
      </w:r>
      <w:r>
        <w:rPr>
          <w:sz w:val="18"/>
        </w:rPr>
        <w:t>Amount</w:t>
      </w:r>
      <w:r>
        <w:rPr>
          <w:spacing w:val="10"/>
          <w:sz w:val="18"/>
        </w:rPr>
        <w:t> </w:t>
      </w:r>
      <w:r>
        <w:rPr>
          <w:spacing w:val="2"/>
          <w:sz w:val="18"/>
        </w:rPr>
        <w:t>A,</w:t>
      </w:r>
      <w:r>
        <w:rPr>
          <w:spacing w:val="10"/>
          <w:sz w:val="18"/>
        </w:rPr>
        <w:t> </w:t>
      </w:r>
      <w:r>
        <w:rPr>
          <w:sz w:val="18"/>
        </w:rPr>
        <w:t>further</w:t>
      </w:r>
      <w:r>
        <w:rPr>
          <w:spacing w:val="11"/>
          <w:sz w:val="18"/>
        </w:rPr>
        <w:t> </w:t>
      </w:r>
      <w:r>
        <w:rPr>
          <w:sz w:val="18"/>
        </w:rPr>
        <w:t>work</w:t>
      </w:r>
      <w:r>
        <w:rPr>
          <w:spacing w:val="11"/>
          <w:sz w:val="18"/>
        </w:rPr>
        <w:t> </w:t>
      </w:r>
      <w:r>
        <w:rPr>
          <w:sz w:val="18"/>
        </w:rPr>
        <w:t>will</w:t>
      </w:r>
      <w:r>
        <w:rPr>
          <w:spacing w:val="11"/>
          <w:sz w:val="18"/>
        </w:rPr>
        <w:t> </w:t>
      </w:r>
      <w:r>
        <w:rPr>
          <w:sz w:val="18"/>
        </w:rPr>
        <w:t>be</w:t>
      </w:r>
      <w:r>
        <w:rPr>
          <w:spacing w:val="10"/>
          <w:sz w:val="18"/>
        </w:rPr>
        <w:t> </w:t>
      </w:r>
      <w:r>
        <w:rPr>
          <w:sz w:val="18"/>
        </w:rPr>
        <w:t>required</w:t>
      </w:r>
      <w:r>
        <w:rPr>
          <w:spacing w:val="10"/>
          <w:sz w:val="18"/>
        </w:rPr>
        <w:t> </w:t>
      </w:r>
      <w:r>
        <w:rPr>
          <w:sz w:val="18"/>
        </w:rPr>
        <w:t>to</w:t>
      </w:r>
      <w:r>
        <w:rPr>
          <w:spacing w:val="11"/>
          <w:sz w:val="18"/>
        </w:rPr>
        <w:t> </w:t>
      </w:r>
      <w:r>
        <w:rPr>
          <w:sz w:val="18"/>
        </w:rPr>
        <w:t>define</w:t>
      </w:r>
      <w:r>
        <w:rPr>
          <w:spacing w:val="8"/>
          <w:sz w:val="18"/>
        </w:rPr>
        <w:t> </w:t>
      </w:r>
      <w:r>
        <w:rPr>
          <w:sz w:val="18"/>
        </w:rPr>
        <w:t>the</w:t>
      </w:r>
      <w:r>
        <w:rPr>
          <w:spacing w:val="9"/>
          <w:sz w:val="18"/>
        </w:rPr>
        <w:t> </w:t>
      </w:r>
      <w:r>
        <w:rPr>
          <w:sz w:val="18"/>
        </w:rPr>
        <w:t>term</w:t>
      </w:r>
      <w:r>
        <w:rPr>
          <w:spacing w:val="9"/>
          <w:sz w:val="18"/>
        </w:rPr>
        <w:t> </w:t>
      </w:r>
      <w:r>
        <w:rPr>
          <w:sz w:val="18"/>
        </w:rPr>
        <w:t>“revenue”</w:t>
      </w:r>
    </w:p>
    <w:p>
      <w:pPr>
        <w:spacing w:before="33"/>
        <w:ind w:left="723" w:right="0" w:firstLine="0"/>
        <w:jc w:val="left"/>
        <w:rPr>
          <w:sz w:val="18"/>
        </w:rPr>
      </w:pPr>
      <w:r>
        <w:rPr>
          <w:sz w:val="18"/>
        </w:rPr>
        <w:t>(see paragr</w:t>
      </w:r>
      <w:hyperlink w:history="true" w:anchor="_bookmark45">
        <w:r>
          <w:rPr>
            <w:sz w:val="18"/>
          </w:rPr>
          <w:t>aph 515</w:t>
        </w:r>
      </w:hyperlink>
      <w:r>
        <w:rPr>
          <w:sz w:val="18"/>
        </w:rPr>
        <w:t>).</w:t>
      </w:r>
    </w:p>
    <w:p>
      <w:pPr>
        <w:spacing w:after="0"/>
        <w:jc w:val="left"/>
        <w:rPr>
          <w:sz w:val="18"/>
        </w:rPr>
        <w:sectPr>
          <w:pgSz w:w="11910" w:h="16840"/>
          <w:pgMar w:header="1244" w:footer="1638" w:top="1500" w:bottom="1820" w:left="580" w:right="820"/>
        </w:sectPr>
      </w:pPr>
    </w:p>
    <w:p>
      <w:pPr>
        <w:pStyle w:val="BodyText"/>
        <w:spacing w:before="2"/>
        <w:rPr>
          <w:sz w:val="18"/>
        </w:rPr>
      </w:pPr>
    </w:p>
    <w:p>
      <w:pPr>
        <w:spacing w:before="100"/>
        <w:ind w:left="723" w:right="0" w:firstLine="0"/>
        <w:jc w:val="left"/>
        <w:rPr>
          <w:rFonts w:ascii="Arial Narrow"/>
          <w:sz w:val="18"/>
        </w:rPr>
      </w:pPr>
      <w:r>
        <w:rPr>
          <w:rFonts w:ascii="Arial Narrow"/>
          <w:sz w:val="18"/>
        </w:rPr>
        <w:t>Source: Secretariat calculations. Further details are provided in CTPA/CFA/WP2/NOE2(2020)65 and CTPA/CFA/WP2/NOE2(2020)6.</w:t>
      </w:r>
    </w:p>
    <w:p>
      <w:pPr>
        <w:pStyle w:val="BodyText"/>
        <w:rPr>
          <w:rFonts w:ascii="Arial Narrow"/>
        </w:rPr>
      </w:pPr>
    </w:p>
    <w:p>
      <w:pPr>
        <w:pStyle w:val="ListParagraph"/>
        <w:numPr>
          <w:ilvl w:val="0"/>
          <w:numId w:val="13"/>
        </w:numPr>
        <w:tabs>
          <w:tab w:pos="1444" w:val="left" w:leader="none"/>
        </w:tabs>
        <w:spacing w:line="271" w:lineRule="auto" w:before="157" w:after="0"/>
        <w:ind w:left="723" w:right="481" w:firstLine="0"/>
        <w:jc w:val="both"/>
        <w:rPr>
          <w:sz w:val="20"/>
        </w:rPr>
      </w:pPr>
      <w:r>
        <w:rPr>
          <w:sz w:val="20"/>
        </w:rPr>
        <w:t>More data and analysis is available in the economic impact assessment.</w:t>
      </w:r>
      <w:r>
        <w:rPr>
          <w:sz w:val="20"/>
          <w:vertAlign w:val="superscript"/>
        </w:rPr>
        <w:t>98</w:t>
      </w:r>
      <w:r>
        <w:rPr>
          <w:sz w:val="20"/>
          <w:vertAlign w:val="baseline"/>
        </w:rPr>
        <w:t> With these estimates, Inclusive Framework members will be able to take an informed decision when setting the threshold. The decision</w:t>
      </w:r>
      <w:r>
        <w:rPr>
          <w:spacing w:val="-14"/>
          <w:sz w:val="20"/>
          <w:vertAlign w:val="baseline"/>
        </w:rPr>
        <w:t> </w:t>
      </w:r>
      <w:r>
        <w:rPr>
          <w:sz w:val="20"/>
          <w:vertAlign w:val="baseline"/>
        </w:rPr>
        <w:t>on</w:t>
      </w:r>
      <w:r>
        <w:rPr>
          <w:spacing w:val="-14"/>
          <w:sz w:val="20"/>
          <w:vertAlign w:val="baseline"/>
        </w:rPr>
        <w:t> </w:t>
      </w:r>
      <w:r>
        <w:rPr>
          <w:sz w:val="20"/>
          <w:vertAlign w:val="baseline"/>
        </w:rPr>
        <w:t>the</w:t>
      </w:r>
      <w:r>
        <w:rPr>
          <w:spacing w:val="-14"/>
          <w:sz w:val="20"/>
          <w:vertAlign w:val="baseline"/>
        </w:rPr>
        <w:t> </w:t>
      </w:r>
      <w:r>
        <w:rPr>
          <w:sz w:val="20"/>
          <w:vertAlign w:val="baseline"/>
        </w:rPr>
        <w:t>level</w:t>
      </w:r>
      <w:r>
        <w:rPr>
          <w:spacing w:val="-12"/>
          <w:sz w:val="20"/>
          <w:vertAlign w:val="baseline"/>
        </w:rPr>
        <w:t> </w:t>
      </w:r>
      <w:r>
        <w:rPr>
          <w:sz w:val="20"/>
          <w:vertAlign w:val="baseline"/>
        </w:rPr>
        <w:t>of</w:t>
      </w:r>
      <w:r>
        <w:rPr>
          <w:spacing w:val="-12"/>
          <w:sz w:val="20"/>
          <w:vertAlign w:val="baseline"/>
        </w:rPr>
        <w:t> </w:t>
      </w:r>
      <w:r>
        <w:rPr>
          <w:sz w:val="20"/>
          <w:vertAlign w:val="baseline"/>
        </w:rPr>
        <w:t>the</w:t>
      </w:r>
      <w:r>
        <w:rPr>
          <w:spacing w:val="-12"/>
          <w:sz w:val="20"/>
          <w:vertAlign w:val="baseline"/>
        </w:rPr>
        <w:t> </w:t>
      </w:r>
      <w:r>
        <w:rPr>
          <w:sz w:val="20"/>
          <w:vertAlign w:val="baseline"/>
        </w:rPr>
        <w:t>profitability</w:t>
      </w:r>
      <w:r>
        <w:rPr>
          <w:spacing w:val="-15"/>
          <w:sz w:val="20"/>
          <w:vertAlign w:val="baseline"/>
        </w:rPr>
        <w:t> </w:t>
      </w:r>
      <w:r>
        <w:rPr>
          <w:sz w:val="20"/>
          <w:vertAlign w:val="baseline"/>
        </w:rPr>
        <w:t>threshold</w:t>
      </w:r>
      <w:r>
        <w:rPr>
          <w:spacing w:val="-9"/>
          <w:sz w:val="20"/>
          <w:vertAlign w:val="baseline"/>
        </w:rPr>
        <w:t> </w:t>
      </w:r>
      <w:r>
        <w:rPr>
          <w:sz w:val="20"/>
          <w:vertAlign w:val="baseline"/>
        </w:rPr>
        <w:t>will</w:t>
      </w:r>
      <w:r>
        <w:rPr>
          <w:spacing w:val="-12"/>
          <w:sz w:val="20"/>
          <w:vertAlign w:val="baseline"/>
        </w:rPr>
        <w:t> </w:t>
      </w:r>
      <w:r>
        <w:rPr>
          <w:sz w:val="20"/>
          <w:vertAlign w:val="baseline"/>
        </w:rPr>
        <w:t>seek</w:t>
      </w:r>
      <w:r>
        <w:rPr>
          <w:spacing w:val="-9"/>
          <w:sz w:val="20"/>
          <w:vertAlign w:val="baseline"/>
        </w:rPr>
        <w:t> </w:t>
      </w:r>
      <w:r>
        <w:rPr>
          <w:sz w:val="20"/>
          <w:vertAlign w:val="baseline"/>
        </w:rPr>
        <w:t>to</w:t>
      </w:r>
      <w:r>
        <w:rPr>
          <w:spacing w:val="-14"/>
          <w:sz w:val="20"/>
          <w:vertAlign w:val="baseline"/>
        </w:rPr>
        <w:t> </w:t>
      </w:r>
      <w:r>
        <w:rPr>
          <w:sz w:val="20"/>
          <w:vertAlign w:val="baseline"/>
        </w:rPr>
        <w:t>combine</w:t>
      </w:r>
      <w:r>
        <w:rPr>
          <w:spacing w:val="-14"/>
          <w:sz w:val="20"/>
          <w:vertAlign w:val="baseline"/>
        </w:rPr>
        <w:t> </w:t>
      </w:r>
      <w:r>
        <w:rPr>
          <w:sz w:val="20"/>
          <w:vertAlign w:val="baseline"/>
        </w:rPr>
        <w:t>different</w:t>
      </w:r>
      <w:r>
        <w:rPr>
          <w:spacing w:val="-14"/>
          <w:sz w:val="20"/>
          <w:vertAlign w:val="baseline"/>
        </w:rPr>
        <w:t> </w:t>
      </w:r>
      <w:r>
        <w:rPr>
          <w:sz w:val="20"/>
          <w:vertAlign w:val="baseline"/>
        </w:rPr>
        <w:t>objectives,</w:t>
      </w:r>
      <w:r>
        <w:rPr>
          <w:spacing w:val="-13"/>
          <w:sz w:val="20"/>
          <w:vertAlign w:val="baseline"/>
        </w:rPr>
        <w:t> </w:t>
      </w:r>
      <w:r>
        <w:rPr>
          <w:sz w:val="20"/>
          <w:vertAlign w:val="baseline"/>
        </w:rPr>
        <w:t>such</w:t>
      </w:r>
      <w:r>
        <w:rPr>
          <w:spacing w:val="-12"/>
          <w:sz w:val="20"/>
          <w:vertAlign w:val="baseline"/>
        </w:rPr>
        <w:t> </w:t>
      </w:r>
      <w:r>
        <w:rPr>
          <w:sz w:val="20"/>
          <w:vertAlign w:val="baseline"/>
        </w:rPr>
        <w:t>as</w:t>
      </w:r>
      <w:r>
        <w:rPr>
          <w:spacing w:val="-13"/>
          <w:sz w:val="20"/>
          <w:vertAlign w:val="baseline"/>
        </w:rPr>
        <w:t> </w:t>
      </w:r>
      <w:r>
        <w:rPr>
          <w:sz w:val="20"/>
          <w:vertAlign w:val="baseline"/>
        </w:rPr>
        <w:t>ensuring the amount of profit to be reallocated is modest but meaningful, proportionate to compliance costs and administrative burden, and that the number of groups impacted is kept at an administrable level. For the purpose of illustration, it is noted that based on a 10% threshold of PBT to revenue, the above estimates in </w:t>
      </w:r>
      <w:hyperlink w:history="true" w:anchor="_bookmark10">
        <w:r>
          <w:rPr>
            <w:sz w:val="20"/>
            <w:vertAlign w:val="baseline"/>
          </w:rPr>
          <w:t>Table 2.1 </w:t>
        </w:r>
      </w:hyperlink>
      <w:r>
        <w:rPr>
          <w:sz w:val="20"/>
          <w:vertAlign w:val="baseline"/>
        </w:rPr>
        <w:t>suggest that about 780 MNE groups potentially in scope of Amount A would have residual profits. This would represent about 35% of MNE groups subject to CbCR with a primary activity in ADS and CFB sectors. Further, the combined residual profit of these MNE groups would be USD 0.51</w:t>
      </w:r>
      <w:r>
        <w:rPr>
          <w:spacing w:val="-40"/>
          <w:sz w:val="20"/>
          <w:vertAlign w:val="baseline"/>
        </w:rPr>
        <w:t> </w:t>
      </w:r>
      <w:r>
        <w:rPr>
          <w:sz w:val="20"/>
          <w:vertAlign w:val="baseline"/>
        </w:rPr>
        <w:t>trillion.</w:t>
      </w:r>
    </w:p>
    <w:p>
      <w:pPr>
        <w:pStyle w:val="BodyText"/>
        <w:spacing w:before="10"/>
        <w:rPr>
          <w:sz w:val="23"/>
        </w:rPr>
      </w:pPr>
    </w:p>
    <w:p>
      <w:pPr>
        <w:pStyle w:val="Heading6"/>
        <w:numPr>
          <w:ilvl w:val="2"/>
          <w:numId w:val="65"/>
        </w:numPr>
        <w:tabs>
          <w:tab w:pos="2015" w:val="left" w:leader="none"/>
        </w:tabs>
        <w:spacing w:line="240" w:lineRule="auto" w:before="0" w:after="0"/>
        <w:ind w:left="2014" w:right="0" w:hanging="613"/>
        <w:jc w:val="left"/>
        <w:rPr>
          <w:i/>
        </w:rPr>
      </w:pPr>
      <w:bookmarkStart w:name="6.2.2. Step 2 – The reallocation percent" w:id="283"/>
      <w:bookmarkEnd w:id="283"/>
      <w:r>
        <w:rPr>
          <w:b w:val="0"/>
          <w:i w:val="0"/>
        </w:rPr>
      </w:r>
      <w:bookmarkStart w:name="6.2.2. Step 2 – The reallocation percent" w:id="284"/>
      <w:bookmarkEnd w:id="284"/>
      <w:r>
        <w:rPr>
          <w:i/>
        </w:rPr>
        <w:t>S</w:t>
      </w:r>
      <w:r>
        <w:rPr>
          <w:i/>
        </w:rPr>
        <w:t>tep 2 – The reallocation</w:t>
      </w:r>
      <w:r>
        <w:rPr>
          <w:i/>
          <w:spacing w:val="-4"/>
        </w:rPr>
        <w:t> </w:t>
      </w:r>
      <w:r>
        <w:rPr>
          <w:i/>
        </w:rPr>
        <w:t>percentage</w:t>
      </w:r>
    </w:p>
    <w:p>
      <w:pPr>
        <w:pStyle w:val="BodyText"/>
        <w:spacing w:before="2"/>
        <w:rPr>
          <w:b/>
          <w:i/>
          <w:sz w:val="19"/>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Under Pillar One, only a portion of the residual profit of a group (or segment where relevant) is attributable to Amount A. This is because MNE groups perform a variety of activities unrelated to Amount A</w:t>
      </w:r>
      <w:r>
        <w:rPr>
          <w:spacing w:val="-18"/>
          <w:sz w:val="20"/>
        </w:rPr>
        <w:t> </w:t>
      </w:r>
      <w:r>
        <w:rPr>
          <w:sz w:val="20"/>
        </w:rPr>
        <w:t>that</w:t>
      </w:r>
      <w:r>
        <w:rPr>
          <w:spacing w:val="-16"/>
          <w:sz w:val="20"/>
        </w:rPr>
        <w:t> </w:t>
      </w:r>
      <w:r>
        <w:rPr>
          <w:sz w:val="20"/>
        </w:rPr>
        <w:t>generate</w:t>
      </w:r>
      <w:r>
        <w:rPr>
          <w:spacing w:val="-15"/>
          <w:sz w:val="20"/>
        </w:rPr>
        <w:t> </w:t>
      </w:r>
      <w:r>
        <w:rPr>
          <w:sz w:val="20"/>
        </w:rPr>
        <w:t>residual</w:t>
      </w:r>
      <w:r>
        <w:rPr>
          <w:spacing w:val="-16"/>
          <w:sz w:val="20"/>
        </w:rPr>
        <w:t> </w:t>
      </w:r>
      <w:r>
        <w:rPr>
          <w:sz w:val="20"/>
        </w:rPr>
        <w:t>profit,</w:t>
      </w:r>
      <w:r>
        <w:rPr>
          <w:spacing w:val="-16"/>
          <w:sz w:val="20"/>
        </w:rPr>
        <w:t> </w:t>
      </w:r>
      <w:r>
        <w:rPr>
          <w:sz w:val="20"/>
        </w:rPr>
        <w:t>and</w:t>
      </w:r>
      <w:r>
        <w:rPr>
          <w:spacing w:val="-16"/>
          <w:sz w:val="20"/>
        </w:rPr>
        <w:t> </w:t>
      </w:r>
      <w:r>
        <w:rPr>
          <w:sz w:val="20"/>
        </w:rPr>
        <w:t>hence</w:t>
      </w:r>
      <w:r>
        <w:rPr>
          <w:spacing w:val="-14"/>
          <w:sz w:val="20"/>
        </w:rPr>
        <w:t> </w:t>
      </w:r>
      <w:r>
        <w:rPr>
          <w:sz w:val="20"/>
        </w:rPr>
        <w:t>a</w:t>
      </w:r>
      <w:r>
        <w:rPr>
          <w:spacing w:val="-16"/>
          <w:sz w:val="20"/>
        </w:rPr>
        <w:t> </w:t>
      </w:r>
      <w:r>
        <w:rPr>
          <w:sz w:val="20"/>
        </w:rPr>
        <w:t>substantial</w:t>
      </w:r>
      <w:r>
        <w:rPr>
          <w:spacing w:val="-15"/>
          <w:sz w:val="20"/>
        </w:rPr>
        <w:t> </w:t>
      </w:r>
      <w:r>
        <w:rPr>
          <w:sz w:val="20"/>
        </w:rPr>
        <w:t>portion</w:t>
      </w:r>
      <w:r>
        <w:rPr>
          <w:spacing w:val="-16"/>
          <w:sz w:val="20"/>
        </w:rPr>
        <w:t> </w:t>
      </w:r>
      <w:r>
        <w:rPr>
          <w:sz w:val="20"/>
        </w:rPr>
        <w:t>of</w:t>
      </w:r>
      <w:r>
        <w:rPr>
          <w:spacing w:val="-14"/>
          <w:sz w:val="20"/>
        </w:rPr>
        <w:t> </w:t>
      </w:r>
      <w:r>
        <w:rPr>
          <w:sz w:val="20"/>
        </w:rPr>
        <w:t>the</w:t>
      </w:r>
      <w:r>
        <w:rPr>
          <w:spacing w:val="-14"/>
          <w:sz w:val="20"/>
        </w:rPr>
        <w:t> </w:t>
      </w:r>
      <w:r>
        <w:rPr>
          <w:sz w:val="20"/>
        </w:rPr>
        <w:t>group’s</w:t>
      </w:r>
      <w:r>
        <w:rPr>
          <w:spacing w:val="-15"/>
          <w:sz w:val="20"/>
        </w:rPr>
        <w:t> </w:t>
      </w:r>
      <w:r>
        <w:rPr>
          <w:sz w:val="20"/>
        </w:rPr>
        <w:t>residual</w:t>
      </w:r>
      <w:r>
        <w:rPr>
          <w:spacing w:val="-17"/>
          <w:sz w:val="20"/>
        </w:rPr>
        <w:t> </w:t>
      </w:r>
      <w:r>
        <w:rPr>
          <w:sz w:val="20"/>
        </w:rPr>
        <w:t>profit</w:t>
      </w:r>
      <w:r>
        <w:rPr>
          <w:spacing w:val="-17"/>
          <w:sz w:val="20"/>
        </w:rPr>
        <w:t> </w:t>
      </w:r>
      <w:r>
        <w:rPr>
          <w:sz w:val="20"/>
        </w:rPr>
        <w:t>should</w:t>
      </w:r>
      <w:r>
        <w:rPr>
          <w:spacing w:val="-16"/>
          <w:sz w:val="20"/>
        </w:rPr>
        <w:t> </w:t>
      </w:r>
      <w:r>
        <w:rPr>
          <w:sz w:val="20"/>
        </w:rPr>
        <w:t>continue to be allocated under existing rules to factors such as trade intangibles, capital and risk,</w:t>
      </w:r>
      <w:r>
        <w:rPr>
          <w:spacing w:val="-30"/>
          <w:sz w:val="20"/>
        </w:rPr>
        <w:t> </w:t>
      </w:r>
      <w:r>
        <w:rPr>
          <w:sz w:val="20"/>
        </w:rPr>
        <w:t>etc.</w:t>
      </w:r>
    </w:p>
    <w:p>
      <w:pPr>
        <w:pStyle w:val="ListParagraph"/>
        <w:numPr>
          <w:ilvl w:val="0"/>
          <w:numId w:val="13"/>
        </w:numPr>
        <w:tabs>
          <w:tab w:pos="1444" w:val="left" w:leader="none"/>
        </w:tabs>
        <w:spacing w:line="271" w:lineRule="auto" w:before="119" w:after="0"/>
        <w:ind w:left="723" w:right="483" w:firstLine="0"/>
        <w:jc w:val="both"/>
        <w:rPr>
          <w:sz w:val="20"/>
        </w:rPr>
      </w:pPr>
      <w:r>
        <w:rPr>
          <w:sz w:val="20"/>
        </w:rPr>
        <w:t>The formulaic calculation of Amount A thus requires an additional step: the reallocation percentage. For simplicity, the share of residual profit that is attributable to the market jurisdiction will be determined by a simplifying convention (i.e. proxy) not based on the particular circumstances of the MNE group or the ALP. Such a convention could be residual profit multiplied by a fixed percentage. Consistent with the estimates provided above in </w:t>
      </w:r>
      <w:hyperlink w:history="true" w:anchor="_bookmark42">
        <w:r>
          <w:rPr>
            <w:sz w:val="20"/>
          </w:rPr>
          <w:t>Table 6.1, </w:t>
        </w:r>
      </w:hyperlink>
      <w:r>
        <w:rPr>
          <w:sz w:val="20"/>
        </w:rPr>
        <w:t>some estimates of the impact of different reallocation percentages</w:t>
      </w:r>
      <w:r>
        <w:rPr>
          <w:spacing w:val="-16"/>
          <w:sz w:val="20"/>
        </w:rPr>
        <w:t> </w:t>
      </w:r>
      <w:r>
        <w:rPr>
          <w:sz w:val="20"/>
        </w:rPr>
        <w:t>(in</w:t>
      </w:r>
      <w:r>
        <w:rPr>
          <w:spacing w:val="-17"/>
          <w:sz w:val="20"/>
        </w:rPr>
        <w:t> </w:t>
      </w:r>
      <w:r>
        <w:rPr>
          <w:sz w:val="20"/>
        </w:rPr>
        <w:t>combination</w:t>
      </w:r>
      <w:r>
        <w:rPr>
          <w:spacing w:val="-15"/>
          <w:sz w:val="20"/>
        </w:rPr>
        <w:t> </w:t>
      </w:r>
      <w:r>
        <w:rPr>
          <w:sz w:val="20"/>
        </w:rPr>
        <w:t>with</w:t>
      </w:r>
      <w:r>
        <w:rPr>
          <w:spacing w:val="-17"/>
          <w:sz w:val="20"/>
        </w:rPr>
        <w:t> </w:t>
      </w:r>
      <w:r>
        <w:rPr>
          <w:sz w:val="20"/>
        </w:rPr>
        <w:t>different</w:t>
      </w:r>
      <w:r>
        <w:rPr>
          <w:spacing w:val="-17"/>
          <w:sz w:val="20"/>
        </w:rPr>
        <w:t> </w:t>
      </w:r>
      <w:r>
        <w:rPr>
          <w:sz w:val="20"/>
        </w:rPr>
        <w:t>possible</w:t>
      </w:r>
      <w:r>
        <w:rPr>
          <w:spacing w:val="-15"/>
          <w:sz w:val="20"/>
        </w:rPr>
        <w:t> </w:t>
      </w:r>
      <w:r>
        <w:rPr>
          <w:sz w:val="20"/>
        </w:rPr>
        <w:t>profitability</w:t>
      </w:r>
      <w:r>
        <w:rPr>
          <w:spacing w:val="-19"/>
          <w:sz w:val="20"/>
        </w:rPr>
        <w:t> </w:t>
      </w:r>
      <w:r>
        <w:rPr>
          <w:sz w:val="20"/>
        </w:rPr>
        <w:t>thresholds)</w:t>
      </w:r>
      <w:r>
        <w:rPr>
          <w:spacing w:val="-16"/>
          <w:sz w:val="20"/>
        </w:rPr>
        <w:t> </w:t>
      </w:r>
      <w:r>
        <w:rPr>
          <w:sz w:val="20"/>
        </w:rPr>
        <w:t>on</w:t>
      </w:r>
      <w:r>
        <w:rPr>
          <w:spacing w:val="-15"/>
          <w:sz w:val="20"/>
        </w:rPr>
        <w:t> </w:t>
      </w:r>
      <w:r>
        <w:rPr>
          <w:sz w:val="20"/>
        </w:rPr>
        <w:t>the</w:t>
      </w:r>
      <w:r>
        <w:rPr>
          <w:spacing w:val="-15"/>
          <w:sz w:val="20"/>
        </w:rPr>
        <w:t> </w:t>
      </w:r>
      <w:r>
        <w:rPr>
          <w:sz w:val="20"/>
        </w:rPr>
        <w:t>amount</w:t>
      </w:r>
      <w:r>
        <w:rPr>
          <w:spacing w:val="-17"/>
          <w:sz w:val="20"/>
        </w:rPr>
        <w:t> </w:t>
      </w:r>
      <w:r>
        <w:rPr>
          <w:sz w:val="20"/>
        </w:rPr>
        <w:t>of</w:t>
      </w:r>
      <w:r>
        <w:rPr>
          <w:spacing w:val="-14"/>
          <w:sz w:val="20"/>
        </w:rPr>
        <w:t> </w:t>
      </w:r>
      <w:r>
        <w:rPr>
          <w:sz w:val="20"/>
        </w:rPr>
        <w:t>global</w:t>
      </w:r>
      <w:r>
        <w:rPr>
          <w:spacing w:val="-18"/>
          <w:sz w:val="20"/>
        </w:rPr>
        <w:t> </w:t>
      </w:r>
      <w:r>
        <w:rPr>
          <w:sz w:val="20"/>
        </w:rPr>
        <w:t>residual profit allocable to market jurisdictions are shown in the </w:t>
      </w:r>
      <w:hyperlink w:history="true" w:anchor="_bookmark43">
        <w:r>
          <w:rPr>
            <w:sz w:val="20"/>
          </w:rPr>
          <w:t>Table 6.2</w:t>
        </w:r>
        <w:r>
          <w:rPr>
            <w:spacing w:val="-7"/>
            <w:sz w:val="20"/>
          </w:rPr>
          <w:t> </w:t>
        </w:r>
      </w:hyperlink>
      <w:r>
        <w:rPr>
          <w:sz w:val="20"/>
        </w:rPr>
        <w:t>below.</w:t>
      </w:r>
    </w:p>
    <w:p>
      <w:pPr>
        <w:pStyle w:val="BodyText"/>
        <w:rPr>
          <w:sz w:val="29"/>
        </w:rPr>
      </w:pPr>
    </w:p>
    <w:p>
      <w:pPr>
        <w:pStyle w:val="Heading4"/>
        <w:ind w:left="723"/>
        <w:jc w:val="left"/>
      </w:pPr>
      <w:bookmarkStart w:name="_bookmark43" w:id="285"/>
      <w:bookmarkEnd w:id="285"/>
      <w:r>
        <w:rPr>
          <w:b w:val="0"/>
        </w:rPr>
      </w:r>
      <w:r>
        <w:rPr>
          <w:color w:val="4E81BD"/>
        </w:rPr>
        <w:t>Table 6.2. Effect of profitability threshold and allocation percentage on residual profits</w:t>
      </w:r>
    </w:p>
    <w:p>
      <w:pPr>
        <w:pStyle w:val="BodyText"/>
        <w:spacing w:before="1"/>
        <w:rPr>
          <w:rFonts w:ascii="Arial Narrow"/>
          <w:b/>
          <w:sz w:val="16"/>
        </w:rPr>
      </w:pPr>
    </w:p>
    <w:tbl>
      <w:tblPr>
        <w:tblW w:w="0" w:type="auto"/>
        <w:jc w:val="left"/>
        <w:tblInd w:w="702"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979"/>
        <w:gridCol w:w="1702"/>
        <w:gridCol w:w="5274"/>
      </w:tblGrid>
      <w:tr>
        <w:trPr>
          <w:trHeight w:val="481" w:hRule="atLeast"/>
        </w:trPr>
        <w:tc>
          <w:tcPr>
            <w:tcW w:w="979" w:type="dxa"/>
            <w:tcBorders>
              <w:left w:val="nil"/>
              <w:bottom w:val="single" w:sz="6" w:space="0" w:color="4E81BD"/>
              <w:right w:val="single" w:sz="6" w:space="0" w:color="D2D2D2"/>
            </w:tcBorders>
          </w:tcPr>
          <w:p>
            <w:pPr>
              <w:pStyle w:val="TableParagraph"/>
              <w:spacing w:line="240" w:lineRule="exact" w:before="6"/>
              <w:ind w:left="182" w:right="81" w:hanging="34"/>
              <w:jc w:val="left"/>
              <w:rPr>
                <w:sz w:val="18"/>
              </w:rPr>
            </w:pPr>
            <w:r>
              <w:rPr>
                <w:sz w:val="18"/>
              </w:rPr>
              <w:t>Profitability Threshold</w:t>
            </w:r>
          </w:p>
        </w:tc>
        <w:tc>
          <w:tcPr>
            <w:tcW w:w="1702" w:type="dxa"/>
            <w:tcBorders>
              <w:left w:val="single" w:sz="6" w:space="0" w:color="D2D2D2"/>
              <w:bottom w:val="single" w:sz="6" w:space="0" w:color="4E81BD"/>
              <w:right w:val="single" w:sz="6" w:space="0" w:color="D2D2D2"/>
            </w:tcBorders>
          </w:tcPr>
          <w:p>
            <w:pPr>
              <w:pStyle w:val="TableParagraph"/>
              <w:spacing w:before="30"/>
              <w:ind w:left="117" w:right="93"/>
              <w:rPr>
                <w:sz w:val="18"/>
              </w:rPr>
            </w:pPr>
            <w:r>
              <w:rPr>
                <w:sz w:val="18"/>
              </w:rPr>
              <w:t>Allocation Percentage</w:t>
            </w:r>
          </w:p>
        </w:tc>
        <w:tc>
          <w:tcPr>
            <w:tcW w:w="5274" w:type="dxa"/>
            <w:tcBorders>
              <w:left w:val="single" w:sz="6" w:space="0" w:color="D2D2D2"/>
              <w:bottom w:val="single" w:sz="6" w:space="0" w:color="4E81BD"/>
              <w:right w:val="nil"/>
            </w:tcBorders>
          </w:tcPr>
          <w:p>
            <w:pPr>
              <w:pStyle w:val="TableParagraph"/>
              <w:spacing w:before="30"/>
              <w:ind w:left="168" w:right="152"/>
              <w:rPr>
                <w:sz w:val="18"/>
              </w:rPr>
            </w:pPr>
            <w:r>
              <w:rPr>
                <w:sz w:val="18"/>
              </w:rPr>
              <w:t>Estimated global residual profit allocable to market jurisdiction (USD billion)</w:t>
            </w:r>
          </w:p>
        </w:tc>
      </w:tr>
      <w:tr>
        <w:trPr>
          <w:trHeight w:val="234" w:hRule="atLeast"/>
        </w:trPr>
        <w:tc>
          <w:tcPr>
            <w:tcW w:w="979" w:type="dxa"/>
            <w:tcBorders>
              <w:top w:val="single" w:sz="6" w:space="0" w:color="4E81BD"/>
              <w:left w:val="nil"/>
              <w:bottom w:val="single" w:sz="6" w:space="0" w:color="D2D2D2"/>
              <w:right w:val="single" w:sz="6" w:space="0" w:color="D2D2D2"/>
            </w:tcBorders>
          </w:tcPr>
          <w:p>
            <w:pPr>
              <w:pStyle w:val="TableParagraph"/>
              <w:spacing w:line="192" w:lineRule="exact" w:before="23"/>
              <w:ind w:left="341" w:right="294"/>
              <w:rPr>
                <w:sz w:val="18"/>
              </w:rPr>
            </w:pPr>
            <w:r>
              <w:rPr>
                <w:sz w:val="18"/>
              </w:rPr>
              <w:t>8%</w:t>
            </w:r>
          </w:p>
        </w:tc>
        <w:tc>
          <w:tcPr>
            <w:tcW w:w="1702" w:type="dxa"/>
            <w:tcBorders>
              <w:top w:val="single" w:sz="6" w:space="0" w:color="4E81BD"/>
              <w:left w:val="single" w:sz="6" w:space="0" w:color="D2D2D2"/>
              <w:bottom w:val="single" w:sz="6" w:space="0" w:color="D2D2D2"/>
              <w:right w:val="single" w:sz="6" w:space="0" w:color="D2D2D2"/>
            </w:tcBorders>
          </w:tcPr>
          <w:p>
            <w:pPr>
              <w:pStyle w:val="TableParagraph"/>
              <w:spacing w:line="192" w:lineRule="exact" w:before="23"/>
              <w:ind w:left="117" w:right="90"/>
              <w:rPr>
                <w:sz w:val="18"/>
              </w:rPr>
            </w:pPr>
            <w:r>
              <w:rPr>
                <w:sz w:val="18"/>
              </w:rPr>
              <w:t>10%</w:t>
            </w:r>
          </w:p>
        </w:tc>
        <w:tc>
          <w:tcPr>
            <w:tcW w:w="5274" w:type="dxa"/>
            <w:tcBorders>
              <w:top w:val="single" w:sz="6" w:space="0" w:color="4E81BD"/>
              <w:left w:val="single" w:sz="6" w:space="0" w:color="D2D2D2"/>
              <w:bottom w:val="single" w:sz="6" w:space="0" w:color="D2D2D2"/>
              <w:right w:val="nil"/>
            </w:tcBorders>
          </w:tcPr>
          <w:p>
            <w:pPr>
              <w:pStyle w:val="TableParagraph"/>
              <w:spacing w:line="192" w:lineRule="exact" w:before="23"/>
              <w:ind w:left="168" w:right="149"/>
              <w:rPr>
                <w:sz w:val="18"/>
              </w:rPr>
            </w:pPr>
            <w:r>
              <w:rPr>
                <w:sz w:val="18"/>
              </w:rPr>
              <w:t>60</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20%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120</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30%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180</w:t>
            </w:r>
          </w:p>
        </w:tc>
      </w:tr>
      <w:tr>
        <w:trPr>
          <w:trHeight w:val="241" w:hRule="atLeast"/>
        </w:trPr>
        <w:tc>
          <w:tcPr>
            <w:tcW w:w="979" w:type="dxa"/>
            <w:tcBorders>
              <w:top w:val="single" w:sz="6" w:space="0" w:color="D2D2D2"/>
              <w:left w:val="nil"/>
              <w:bottom w:val="single" w:sz="6" w:space="0" w:color="D2D2D2"/>
              <w:right w:val="single" w:sz="6" w:space="0" w:color="D2D2D2"/>
            </w:tcBorders>
          </w:tcPr>
          <w:p>
            <w:pPr>
              <w:pStyle w:val="TableParagraph"/>
              <w:spacing w:line="192" w:lineRule="exact" w:before="30"/>
              <w:ind w:left="341" w:right="294"/>
              <w:rPr>
                <w:sz w:val="18"/>
              </w:rPr>
            </w:pPr>
            <w:r>
              <w:rPr>
                <w:sz w:val="18"/>
              </w:rPr>
              <w:t>10%</w:t>
            </w: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before="30"/>
              <w:ind w:left="117" w:right="90"/>
              <w:rPr>
                <w:sz w:val="18"/>
              </w:rPr>
            </w:pPr>
            <w:r>
              <w:rPr>
                <w:sz w:val="18"/>
              </w:rPr>
              <w:t>10%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before="30"/>
              <w:ind w:left="168" w:right="149"/>
              <w:rPr>
                <w:sz w:val="18"/>
              </w:rPr>
            </w:pPr>
            <w:r>
              <w:rPr>
                <w:sz w:val="18"/>
              </w:rPr>
              <w:t>49</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20%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98</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30%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147</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line="192" w:lineRule="exact"/>
              <w:ind w:left="341" w:right="294"/>
              <w:rPr>
                <w:sz w:val="18"/>
              </w:rPr>
            </w:pPr>
            <w:r>
              <w:rPr>
                <w:sz w:val="18"/>
              </w:rPr>
              <w:t>15%</w:t>
            </w: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10%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29</w:t>
            </w:r>
          </w:p>
        </w:tc>
      </w:tr>
      <w:tr>
        <w:trPr>
          <w:trHeight w:val="241"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before="30"/>
              <w:ind w:left="117" w:right="90"/>
              <w:rPr>
                <w:sz w:val="18"/>
              </w:rPr>
            </w:pPr>
            <w:r>
              <w:rPr>
                <w:sz w:val="18"/>
              </w:rPr>
              <w:t>20%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before="30"/>
              <w:ind w:left="168" w:right="149"/>
              <w:rPr>
                <w:sz w:val="18"/>
              </w:rPr>
            </w:pPr>
            <w:r>
              <w:rPr>
                <w:sz w:val="18"/>
              </w:rPr>
              <w:t>58</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30%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87</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line="192" w:lineRule="exact"/>
              <w:ind w:left="341" w:right="294"/>
              <w:rPr>
                <w:sz w:val="18"/>
              </w:rPr>
            </w:pPr>
            <w:r>
              <w:rPr>
                <w:sz w:val="18"/>
              </w:rPr>
              <w:t>20%</w:t>
            </w: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10%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17</w:t>
            </w:r>
          </w:p>
        </w:tc>
      </w:tr>
      <w:tr>
        <w:trPr>
          <w:trHeight w:val="240"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20%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34</w:t>
            </w:r>
          </w:p>
        </w:tc>
      </w:tr>
      <w:tr>
        <w:trPr>
          <w:trHeight w:val="241"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before="30"/>
              <w:ind w:left="117" w:right="90"/>
              <w:rPr>
                <w:sz w:val="18"/>
              </w:rPr>
            </w:pPr>
            <w:r>
              <w:rPr>
                <w:sz w:val="18"/>
              </w:rPr>
              <w:t>30%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before="30"/>
              <w:ind w:left="168" w:right="149"/>
              <w:rPr>
                <w:sz w:val="18"/>
              </w:rPr>
            </w:pPr>
            <w:r>
              <w:rPr>
                <w:sz w:val="18"/>
              </w:rPr>
              <w:t>51</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line="192" w:lineRule="exact"/>
              <w:ind w:left="341" w:right="294"/>
              <w:rPr>
                <w:sz w:val="18"/>
              </w:rPr>
            </w:pPr>
            <w:r>
              <w:rPr>
                <w:sz w:val="18"/>
              </w:rPr>
              <w:t>25%</w:t>
            </w: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10%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10</w:t>
            </w:r>
          </w:p>
        </w:tc>
      </w:tr>
      <w:tr>
        <w:trPr>
          <w:trHeight w:val="239" w:hRule="atLeast"/>
        </w:trPr>
        <w:tc>
          <w:tcPr>
            <w:tcW w:w="979" w:type="dxa"/>
            <w:tcBorders>
              <w:top w:val="single" w:sz="6" w:space="0" w:color="D2D2D2"/>
              <w:left w:val="nil"/>
              <w:bottom w:val="single" w:sz="6" w:space="0" w:color="D2D2D2"/>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bottom w:val="single" w:sz="6" w:space="0" w:color="D2D2D2"/>
              <w:right w:val="single" w:sz="6" w:space="0" w:color="D2D2D2"/>
            </w:tcBorders>
          </w:tcPr>
          <w:p>
            <w:pPr>
              <w:pStyle w:val="TableParagraph"/>
              <w:spacing w:line="192" w:lineRule="exact"/>
              <w:ind w:left="117" w:right="90"/>
              <w:rPr>
                <w:sz w:val="18"/>
              </w:rPr>
            </w:pPr>
            <w:r>
              <w:rPr>
                <w:sz w:val="18"/>
              </w:rPr>
              <w:t>20%</w:t>
            </w:r>
          </w:p>
        </w:tc>
        <w:tc>
          <w:tcPr>
            <w:tcW w:w="5274" w:type="dxa"/>
            <w:tcBorders>
              <w:top w:val="single" w:sz="6" w:space="0" w:color="D2D2D2"/>
              <w:left w:val="single" w:sz="6" w:space="0" w:color="D2D2D2"/>
              <w:bottom w:val="single" w:sz="6" w:space="0" w:color="D2D2D2"/>
              <w:right w:val="nil"/>
            </w:tcBorders>
          </w:tcPr>
          <w:p>
            <w:pPr>
              <w:pStyle w:val="TableParagraph"/>
              <w:spacing w:line="192" w:lineRule="exact"/>
              <w:ind w:left="168" w:right="149"/>
              <w:rPr>
                <w:sz w:val="18"/>
              </w:rPr>
            </w:pPr>
            <w:r>
              <w:rPr>
                <w:sz w:val="18"/>
              </w:rPr>
              <w:t>20</w:t>
            </w:r>
          </w:p>
        </w:tc>
      </w:tr>
      <w:tr>
        <w:trPr>
          <w:trHeight w:val="241" w:hRule="atLeast"/>
        </w:trPr>
        <w:tc>
          <w:tcPr>
            <w:tcW w:w="979" w:type="dxa"/>
            <w:tcBorders>
              <w:top w:val="single" w:sz="6" w:space="0" w:color="D2D2D2"/>
              <w:left w:val="nil"/>
              <w:right w:val="single" w:sz="6" w:space="0" w:color="D2D2D2"/>
            </w:tcBorders>
          </w:tcPr>
          <w:p>
            <w:pPr>
              <w:pStyle w:val="TableParagraph"/>
              <w:spacing w:before="0"/>
              <w:jc w:val="left"/>
              <w:rPr>
                <w:rFonts w:ascii="Times New Roman"/>
                <w:sz w:val="16"/>
              </w:rPr>
            </w:pPr>
          </w:p>
        </w:tc>
        <w:tc>
          <w:tcPr>
            <w:tcW w:w="1702" w:type="dxa"/>
            <w:tcBorders>
              <w:top w:val="single" w:sz="6" w:space="0" w:color="D2D2D2"/>
              <w:left w:val="single" w:sz="6" w:space="0" w:color="D2D2D2"/>
              <w:right w:val="single" w:sz="6" w:space="0" w:color="D2D2D2"/>
            </w:tcBorders>
          </w:tcPr>
          <w:p>
            <w:pPr>
              <w:pStyle w:val="TableParagraph"/>
              <w:spacing w:line="194" w:lineRule="exact"/>
              <w:ind w:left="117" w:right="90"/>
              <w:rPr>
                <w:sz w:val="18"/>
              </w:rPr>
            </w:pPr>
            <w:r>
              <w:rPr>
                <w:sz w:val="18"/>
              </w:rPr>
              <w:t>30%</w:t>
            </w:r>
          </w:p>
        </w:tc>
        <w:tc>
          <w:tcPr>
            <w:tcW w:w="5274" w:type="dxa"/>
            <w:tcBorders>
              <w:top w:val="single" w:sz="6" w:space="0" w:color="D2D2D2"/>
              <w:left w:val="single" w:sz="6" w:space="0" w:color="D2D2D2"/>
              <w:right w:val="nil"/>
            </w:tcBorders>
          </w:tcPr>
          <w:p>
            <w:pPr>
              <w:pStyle w:val="TableParagraph"/>
              <w:spacing w:line="194" w:lineRule="exact"/>
              <w:ind w:left="168" w:right="149"/>
              <w:rPr>
                <w:sz w:val="18"/>
              </w:rPr>
            </w:pPr>
            <w:r>
              <w:rPr>
                <w:sz w:val="18"/>
              </w:rPr>
              <w:t>30</w:t>
            </w:r>
          </w:p>
        </w:tc>
      </w:tr>
    </w:tbl>
    <w:p>
      <w:pPr>
        <w:spacing w:before="129"/>
        <w:ind w:left="723" w:right="0" w:firstLine="0"/>
        <w:jc w:val="left"/>
        <w:rPr>
          <w:rFonts w:ascii="Arial Narrow"/>
          <w:sz w:val="18"/>
        </w:rPr>
      </w:pPr>
      <w:r>
        <w:rPr>
          <w:rFonts w:ascii="Arial Narrow"/>
          <w:sz w:val="18"/>
        </w:rPr>
        <w:t>Note: Data are for 2016 (see above </w:t>
      </w:r>
      <w:hyperlink w:history="true" w:anchor="_bookmark42">
        <w:r>
          <w:rPr>
            <w:rFonts w:ascii="Arial Narrow"/>
            <w:sz w:val="18"/>
          </w:rPr>
          <w:t>Table 6.1</w:t>
        </w:r>
      </w:hyperlink>
      <w:r>
        <w:rPr>
          <w:rFonts w:ascii="Arial Narrow"/>
          <w:sz w:val="18"/>
        </w:rPr>
        <w:t>).</w:t>
      </w:r>
    </w:p>
    <w:p>
      <w:pPr>
        <w:pStyle w:val="BodyText"/>
        <w:spacing w:before="9"/>
        <w:rPr>
          <w:rFonts w:ascii="Arial Narrow"/>
          <w:sz w:val="13"/>
        </w:rPr>
      </w:pPr>
      <w:r>
        <w:rPr/>
        <w:pict>
          <v:rect style="position:absolute;margin-left:65.183998pt;margin-top:9.862817pt;width:144.020004pt;height:.60004pt;mso-position-horizontal-relative:page;mso-position-vertical-relative:paragraph;z-index:-15660032;mso-wrap-distance-left:0;mso-wrap-distance-right:0" filled="true" fillcolor="#000000" stroked="false">
            <v:fill type="solid"/>
            <w10:wrap type="topAndBottom"/>
          </v:rect>
        </w:pict>
      </w:r>
    </w:p>
    <w:p>
      <w:pPr>
        <w:pStyle w:val="BodyText"/>
        <w:spacing w:before="5"/>
        <w:rPr>
          <w:rFonts w:ascii="Arial Narrow"/>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see CTPA/CFA/WP2/NOE2(2020)10)</w:t>
      </w:r>
    </w:p>
    <w:p>
      <w:pPr>
        <w:spacing w:after="0" w:line="240" w:lineRule="auto"/>
        <w:jc w:val="left"/>
        <w:rPr>
          <w:sz w:val="18"/>
        </w:rPr>
        <w:sectPr>
          <w:pgSz w:w="11910" w:h="16840"/>
          <w:pgMar w:header="1244" w:footer="1638" w:top="1500" w:bottom="1820" w:left="580" w:right="820"/>
        </w:sectPr>
      </w:pPr>
    </w:p>
    <w:p>
      <w:pPr>
        <w:pStyle w:val="BodyText"/>
        <w:spacing w:before="2"/>
        <w:rPr>
          <w:sz w:val="18"/>
        </w:rPr>
      </w:pPr>
    </w:p>
    <w:p>
      <w:pPr>
        <w:spacing w:before="100"/>
        <w:ind w:left="723" w:right="0" w:firstLine="0"/>
        <w:jc w:val="left"/>
        <w:rPr>
          <w:rFonts w:ascii="Arial Narrow"/>
          <w:sz w:val="18"/>
        </w:rPr>
      </w:pPr>
      <w:r>
        <w:rPr>
          <w:rFonts w:ascii="Arial Narrow"/>
          <w:sz w:val="18"/>
        </w:rPr>
        <w:t>Source: Secretariat calculations (see abov</w:t>
      </w:r>
      <w:hyperlink w:history="true" w:anchor="_bookmark42">
        <w:r>
          <w:rPr>
            <w:rFonts w:ascii="Arial Narrow"/>
            <w:sz w:val="18"/>
          </w:rPr>
          <w:t>e Table 6.1</w:t>
        </w:r>
      </w:hyperlink>
      <w:r>
        <w:rPr>
          <w:rFonts w:ascii="Arial Narrow"/>
          <w:sz w:val="18"/>
        </w:rPr>
        <w:t>).</w:t>
      </w:r>
    </w:p>
    <w:p>
      <w:pPr>
        <w:pStyle w:val="BodyText"/>
        <w:rPr>
          <w:rFonts w:ascii="Arial Narrow"/>
        </w:rPr>
      </w:pPr>
    </w:p>
    <w:p>
      <w:pPr>
        <w:pStyle w:val="ListParagraph"/>
        <w:numPr>
          <w:ilvl w:val="0"/>
          <w:numId w:val="13"/>
        </w:numPr>
        <w:tabs>
          <w:tab w:pos="1444" w:val="left" w:leader="none"/>
        </w:tabs>
        <w:spacing w:line="271" w:lineRule="auto" w:before="157" w:after="0"/>
        <w:ind w:left="723" w:right="479" w:firstLine="0"/>
        <w:jc w:val="both"/>
        <w:rPr>
          <w:sz w:val="20"/>
        </w:rPr>
      </w:pPr>
      <w:r>
        <w:rPr>
          <w:sz w:val="20"/>
        </w:rPr>
        <w:t>More data and analysis is available in the economic impact assessment.</w:t>
      </w:r>
      <w:r>
        <w:rPr>
          <w:sz w:val="20"/>
          <w:vertAlign w:val="superscript"/>
        </w:rPr>
        <w:t>99</w:t>
      </w:r>
      <w:r>
        <w:rPr>
          <w:sz w:val="20"/>
          <w:vertAlign w:val="baseline"/>
        </w:rPr>
        <w:t> With these estimates, Inclusive Framework members will be able to take an informed decision on the reallocation percentage. This decision will seek to combine different objectives, such as ensuring that activities and factors generating</w:t>
      </w:r>
      <w:r>
        <w:rPr>
          <w:spacing w:val="-10"/>
          <w:sz w:val="20"/>
          <w:vertAlign w:val="baseline"/>
        </w:rPr>
        <w:t> </w:t>
      </w:r>
      <w:r>
        <w:rPr>
          <w:sz w:val="20"/>
          <w:vertAlign w:val="baseline"/>
        </w:rPr>
        <w:t>residual</w:t>
      </w:r>
      <w:r>
        <w:rPr>
          <w:spacing w:val="-8"/>
          <w:sz w:val="20"/>
          <w:vertAlign w:val="baseline"/>
        </w:rPr>
        <w:t> </w:t>
      </w:r>
      <w:r>
        <w:rPr>
          <w:sz w:val="20"/>
          <w:vertAlign w:val="baseline"/>
        </w:rPr>
        <w:t>profit</w:t>
      </w:r>
      <w:r>
        <w:rPr>
          <w:spacing w:val="-6"/>
          <w:sz w:val="20"/>
          <w:vertAlign w:val="baseline"/>
        </w:rPr>
        <w:t> </w:t>
      </w:r>
      <w:r>
        <w:rPr>
          <w:sz w:val="20"/>
          <w:vertAlign w:val="baseline"/>
        </w:rPr>
        <w:t>unrelated</w:t>
      </w:r>
      <w:r>
        <w:rPr>
          <w:spacing w:val="-7"/>
          <w:sz w:val="20"/>
          <w:vertAlign w:val="baseline"/>
        </w:rPr>
        <w:t> </w:t>
      </w:r>
      <w:r>
        <w:rPr>
          <w:sz w:val="20"/>
          <w:vertAlign w:val="baseline"/>
        </w:rPr>
        <w:t>to</w:t>
      </w:r>
      <w:r>
        <w:rPr>
          <w:spacing w:val="-7"/>
          <w:sz w:val="20"/>
          <w:vertAlign w:val="baseline"/>
        </w:rPr>
        <w:t> </w:t>
      </w:r>
      <w:r>
        <w:rPr>
          <w:sz w:val="20"/>
          <w:vertAlign w:val="baseline"/>
        </w:rPr>
        <w:t>Amount</w:t>
      </w:r>
      <w:r>
        <w:rPr>
          <w:spacing w:val="-7"/>
          <w:sz w:val="20"/>
          <w:vertAlign w:val="baseline"/>
        </w:rPr>
        <w:t> </w:t>
      </w:r>
      <w:r>
        <w:rPr>
          <w:sz w:val="20"/>
          <w:vertAlign w:val="baseline"/>
        </w:rPr>
        <w:t>A</w:t>
      </w:r>
      <w:r>
        <w:rPr>
          <w:spacing w:val="-8"/>
          <w:sz w:val="20"/>
          <w:vertAlign w:val="baseline"/>
        </w:rPr>
        <w:t> </w:t>
      </w:r>
      <w:r>
        <w:rPr>
          <w:sz w:val="20"/>
          <w:vertAlign w:val="baseline"/>
        </w:rPr>
        <w:t>would</w:t>
      </w:r>
      <w:r>
        <w:rPr>
          <w:spacing w:val="-7"/>
          <w:sz w:val="20"/>
          <w:vertAlign w:val="baseline"/>
        </w:rPr>
        <w:t> </w:t>
      </w:r>
      <w:r>
        <w:rPr>
          <w:sz w:val="20"/>
          <w:vertAlign w:val="baseline"/>
        </w:rPr>
        <w:t>continue</w:t>
      </w:r>
      <w:r>
        <w:rPr>
          <w:spacing w:val="-7"/>
          <w:sz w:val="20"/>
          <w:vertAlign w:val="baseline"/>
        </w:rPr>
        <w:t> </w:t>
      </w:r>
      <w:r>
        <w:rPr>
          <w:sz w:val="20"/>
          <w:vertAlign w:val="baseline"/>
        </w:rPr>
        <w:t>to</w:t>
      </w:r>
      <w:r>
        <w:rPr>
          <w:spacing w:val="-7"/>
          <w:sz w:val="20"/>
          <w:vertAlign w:val="baseline"/>
        </w:rPr>
        <w:t> </w:t>
      </w:r>
      <w:r>
        <w:rPr>
          <w:sz w:val="20"/>
          <w:vertAlign w:val="baseline"/>
        </w:rPr>
        <w:t>be</w:t>
      </w:r>
      <w:r>
        <w:rPr>
          <w:spacing w:val="-7"/>
          <w:sz w:val="20"/>
          <w:vertAlign w:val="baseline"/>
        </w:rPr>
        <w:t> </w:t>
      </w:r>
      <w:r>
        <w:rPr>
          <w:sz w:val="20"/>
          <w:vertAlign w:val="baseline"/>
        </w:rPr>
        <w:t>taxed</w:t>
      </w:r>
      <w:r>
        <w:rPr>
          <w:spacing w:val="-9"/>
          <w:sz w:val="20"/>
          <w:vertAlign w:val="baseline"/>
        </w:rPr>
        <w:t> </w:t>
      </w:r>
      <w:r>
        <w:rPr>
          <w:sz w:val="20"/>
          <w:vertAlign w:val="baseline"/>
        </w:rPr>
        <w:t>under</w:t>
      </w:r>
      <w:r>
        <w:rPr>
          <w:spacing w:val="-5"/>
          <w:sz w:val="20"/>
          <w:vertAlign w:val="baseline"/>
        </w:rPr>
        <w:t> </w:t>
      </w:r>
      <w:r>
        <w:rPr>
          <w:sz w:val="20"/>
          <w:vertAlign w:val="baseline"/>
        </w:rPr>
        <w:t>the</w:t>
      </w:r>
      <w:r>
        <w:rPr>
          <w:spacing w:val="-7"/>
          <w:sz w:val="20"/>
          <w:vertAlign w:val="baseline"/>
        </w:rPr>
        <w:t> </w:t>
      </w:r>
      <w:r>
        <w:rPr>
          <w:sz w:val="20"/>
          <w:vertAlign w:val="baseline"/>
        </w:rPr>
        <w:t>existing</w:t>
      </w:r>
      <w:r>
        <w:rPr>
          <w:spacing w:val="-7"/>
          <w:sz w:val="20"/>
          <w:vertAlign w:val="baseline"/>
        </w:rPr>
        <w:t> </w:t>
      </w:r>
      <w:r>
        <w:rPr>
          <w:sz w:val="20"/>
          <w:vertAlign w:val="baseline"/>
        </w:rPr>
        <w:t>ALP-based profit</w:t>
      </w:r>
      <w:r>
        <w:rPr>
          <w:spacing w:val="-16"/>
          <w:sz w:val="20"/>
          <w:vertAlign w:val="baseline"/>
        </w:rPr>
        <w:t> </w:t>
      </w:r>
      <w:r>
        <w:rPr>
          <w:sz w:val="20"/>
          <w:vertAlign w:val="baseline"/>
        </w:rPr>
        <w:t>allocation</w:t>
      </w:r>
      <w:r>
        <w:rPr>
          <w:spacing w:val="-14"/>
          <w:sz w:val="20"/>
          <w:vertAlign w:val="baseline"/>
        </w:rPr>
        <w:t> </w:t>
      </w:r>
      <w:r>
        <w:rPr>
          <w:sz w:val="20"/>
          <w:vertAlign w:val="baseline"/>
        </w:rPr>
        <w:t>system.</w:t>
      </w:r>
      <w:r>
        <w:rPr>
          <w:spacing w:val="-16"/>
          <w:sz w:val="20"/>
          <w:vertAlign w:val="baseline"/>
        </w:rPr>
        <w:t> </w:t>
      </w:r>
      <w:r>
        <w:rPr>
          <w:sz w:val="20"/>
          <w:vertAlign w:val="baseline"/>
        </w:rPr>
        <w:t>For</w:t>
      </w:r>
      <w:r>
        <w:rPr>
          <w:spacing w:val="-13"/>
          <w:sz w:val="20"/>
          <w:vertAlign w:val="baseline"/>
        </w:rPr>
        <w:t> </w:t>
      </w:r>
      <w:r>
        <w:rPr>
          <w:sz w:val="20"/>
          <w:vertAlign w:val="baseline"/>
        </w:rPr>
        <w:t>the</w:t>
      </w:r>
      <w:r>
        <w:rPr>
          <w:spacing w:val="-14"/>
          <w:sz w:val="20"/>
          <w:vertAlign w:val="baseline"/>
        </w:rPr>
        <w:t> </w:t>
      </w:r>
      <w:r>
        <w:rPr>
          <w:sz w:val="20"/>
          <w:vertAlign w:val="baseline"/>
        </w:rPr>
        <w:t>purpose</w:t>
      </w:r>
      <w:r>
        <w:rPr>
          <w:spacing w:val="-14"/>
          <w:sz w:val="20"/>
          <w:vertAlign w:val="baseline"/>
        </w:rPr>
        <w:t> </w:t>
      </w:r>
      <w:r>
        <w:rPr>
          <w:sz w:val="20"/>
          <w:vertAlign w:val="baseline"/>
        </w:rPr>
        <w:t>of</w:t>
      </w:r>
      <w:r>
        <w:rPr>
          <w:spacing w:val="-12"/>
          <w:sz w:val="20"/>
          <w:vertAlign w:val="baseline"/>
        </w:rPr>
        <w:t> </w:t>
      </w:r>
      <w:r>
        <w:rPr>
          <w:sz w:val="20"/>
          <w:vertAlign w:val="baseline"/>
        </w:rPr>
        <w:t>illustration,</w:t>
      </w:r>
      <w:r>
        <w:rPr>
          <w:spacing w:val="-14"/>
          <w:sz w:val="20"/>
          <w:vertAlign w:val="baseline"/>
        </w:rPr>
        <w:t> </w:t>
      </w:r>
      <w:r>
        <w:rPr>
          <w:sz w:val="20"/>
          <w:vertAlign w:val="baseline"/>
        </w:rPr>
        <w:t>it</w:t>
      </w:r>
      <w:r>
        <w:rPr>
          <w:spacing w:val="-14"/>
          <w:sz w:val="20"/>
          <w:vertAlign w:val="baseline"/>
        </w:rPr>
        <w:t> </w:t>
      </w:r>
      <w:r>
        <w:rPr>
          <w:sz w:val="20"/>
          <w:vertAlign w:val="baseline"/>
        </w:rPr>
        <w:t>is</w:t>
      </w:r>
      <w:r>
        <w:rPr>
          <w:spacing w:val="-12"/>
          <w:sz w:val="20"/>
          <w:vertAlign w:val="baseline"/>
        </w:rPr>
        <w:t> </w:t>
      </w:r>
      <w:r>
        <w:rPr>
          <w:sz w:val="20"/>
          <w:vertAlign w:val="baseline"/>
        </w:rPr>
        <w:t>noted</w:t>
      </w:r>
      <w:r>
        <w:rPr>
          <w:spacing w:val="-14"/>
          <w:sz w:val="20"/>
          <w:vertAlign w:val="baseline"/>
        </w:rPr>
        <w:t> </w:t>
      </w:r>
      <w:r>
        <w:rPr>
          <w:sz w:val="20"/>
          <w:vertAlign w:val="baseline"/>
        </w:rPr>
        <w:t>that</w:t>
      </w:r>
      <w:r>
        <w:rPr>
          <w:spacing w:val="-10"/>
          <w:sz w:val="20"/>
          <w:vertAlign w:val="baseline"/>
        </w:rPr>
        <w:t> </w:t>
      </w:r>
      <w:r>
        <w:rPr>
          <w:sz w:val="20"/>
          <w:vertAlign w:val="baseline"/>
        </w:rPr>
        <w:t>based</w:t>
      </w:r>
      <w:r>
        <w:rPr>
          <w:spacing w:val="-14"/>
          <w:sz w:val="20"/>
          <w:vertAlign w:val="baseline"/>
        </w:rPr>
        <w:t> </w:t>
      </w:r>
      <w:r>
        <w:rPr>
          <w:sz w:val="20"/>
          <w:vertAlign w:val="baseline"/>
        </w:rPr>
        <w:t>on</w:t>
      </w:r>
      <w:r>
        <w:rPr>
          <w:spacing w:val="-13"/>
          <w:sz w:val="20"/>
          <w:vertAlign w:val="baseline"/>
        </w:rPr>
        <w:t> </w:t>
      </w:r>
      <w:r>
        <w:rPr>
          <w:sz w:val="20"/>
          <w:vertAlign w:val="baseline"/>
        </w:rPr>
        <w:t>a</w:t>
      </w:r>
      <w:r>
        <w:rPr>
          <w:spacing w:val="-14"/>
          <w:sz w:val="20"/>
          <w:vertAlign w:val="baseline"/>
        </w:rPr>
        <w:t> </w:t>
      </w:r>
      <w:r>
        <w:rPr>
          <w:sz w:val="20"/>
          <w:vertAlign w:val="baseline"/>
        </w:rPr>
        <w:t>10%</w:t>
      </w:r>
      <w:r>
        <w:rPr>
          <w:spacing w:val="-15"/>
          <w:sz w:val="20"/>
          <w:vertAlign w:val="baseline"/>
        </w:rPr>
        <w:t> </w:t>
      </w:r>
      <w:r>
        <w:rPr>
          <w:sz w:val="20"/>
          <w:vertAlign w:val="baseline"/>
        </w:rPr>
        <w:t>profitability</w:t>
      </w:r>
      <w:r>
        <w:rPr>
          <w:spacing w:val="-16"/>
          <w:sz w:val="20"/>
          <w:vertAlign w:val="baseline"/>
        </w:rPr>
        <w:t> </w:t>
      </w:r>
      <w:r>
        <w:rPr>
          <w:sz w:val="20"/>
          <w:vertAlign w:val="baseline"/>
        </w:rPr>
        <w:t>threshold and 20% reallocation percentage, the above estimates in </w:t>
      </w:r>
      <w:hyperlink w:history="true" w:anchor="_bookmark43">
        <w:r>
          <w:rPr>
            <w:sz w:val="20"/>
            <w:vertAlign w:val="baseline"/>
          </w:rPr>
          <w:t>Table 6.2 </w:t>
        </w:r>
      </w:hyperlink>
      <w:r>
        <w:rPr>
          <w:sz w:val="20"/>
          <w:vertAlign w:val="baseline"/>
        </w:rPr>
        <w:t>suggests that using 2016 financials USD 98 billion would be allocated to market jurisdictions. Under this approach, 80% of the residual profit of</w:t>
      </w:r>
      <w:r>
        <w:rPr>
          <w:spacing w:val="-10"/>
          <w:sz w:val="20"/>
          <w:vertAlign w:val="baseline"/>
        </w:rPr>
        <w:t> </w:t>
      </w:r>
      <w:r>
        <w:rPr>
          <w:sz w:val="20"/>
          <w:vertAlign w:val="baseline"/>
        </w:rPr>
        <w:t>an</w:t>
      </w:r>
      <w:r>
        <w:rPr>
          <w:spacing w:val="-9"/>
          <w:sz w:val="20"/>
          <w:vertAlign w:val="baseline"/>
        </w:rPr>
        <w:t> </w:t>
      </w:r>
      <w:r>
        <w:rPr>
          <w:sz w:val="20"/>
          <w:vertAlign w:val="baseline"/>
        </w:rPr>
        <w:t>MNE</w:t>
      </w:r>
      <w:r>
        <w:rPr>
          <w:spacing w:val="-9"/>
          <w:sz w:val="20"/>
          <w:vertAlign w:val="baseline"/>
        </w:rPr>
        <w:t> </w:t>
      </w:r>
      <w:r>
        <w:rPr>
          <w:sz w:val="20"/>
          <w:vertAlign w:val="baseline"/>
        </w:rPr>
        <w:t>group</w:t>
      </w:r>
      <w:r>
        <w:rPr>
          <w:spacing w:val="-10"/>
          <w:sz w:val="20"/>
          <w:vertAlign w:val="baseline"/>
        </w:rPr>
        <w:t> </w:t>
      </w:r>
      <w:r>
        <w:rPr>
          <w:sz w:val="20"/>
          <w:vertAlign w:val="baseline"/>
        </w:rPr>
        <w:t>(or</w:t>
      </w:r>
      <w:r>
        <w:rPr>
          <w:spacing w:val="-11"/>
          <w:sz w:val="20"/>
          <w:vertAlign w:val="baseline"/>
        </w:rPr>
        <w:t> </w:t>
      </w:r>
      <w:r>
        <w:rPr>
          <w:sz w:val="20"/>
          <w:vertAlign w:val="baseline"/>
        </w:rPr>
        <w:t>segment</w:t>
      </w:r>
      <w:r>
        <w:rPr>
          <w:spacing w:val="-9"/>
          <w:sz w:val="20"/>
          <w:vertAlign w:val="baseline"/>
        </w:rPr>
        <w:t> </w:t>
      </w:r>
      <w:r>
        <w:rPr>
          <w:sz w:val="20"/>
          <w:vertAlign w:val="baseline"/>
        </w:rPr>
        <w:t>where</w:t>
      </w:r>
      <w:r>
        <w:rPr>
          <w:spacing w:val="-9"/>
          <w:sz w:val="20"/>
          <w:vertAlign w:val="baseline"/>
        </w:rPr>
        <w:t> </w:t>
      </w:r>
      <w:r>
        <w:rPr>
          <w:sz w:val="20"/>
          <w:vertAlign w:val="baseline"/>
        </w:rPr>
        <w:t>relevant)</w:t>
      </w:r>
      <w:r>
        <w:rPr>
          <w:spacing w:val="-11"/>
          <w:sz w:val="20"/>
          <w:vertAlign w:val="baseline"/>
        </w:rPr>
        <w:t> </w:t>
      </w:r>
      <w:r>
        <w:rPr>
          <w:sz w:val="20"/>
          <w:vertAlign w:val="baseline"/>
        </w:rPr>
        <w:t>calculated</w:t>
      </w:r>
      <w:r>
        <w:rPr>
          <w:spacing w:val="-12"/>
          <w:sz w:val="20"/>
          <w:vertAlign w:val="baseline"/>
        </w:rPr>
        <w:t> </w:t>
      </w:r>
      <w:r>
        <w:rPr>
          <w:sz w:val="20"/>
          <w:vertAlign w:val="baseline"/>
        </w:rPr>
        <w:t>for</w:t>
      </w:r>
      <w:r>
        <w:rPr>
          <w:spacing w:val="-11"/>
          <w:sz w:val="20"/>
          <w:vertAlign w:val="baseline"/>
        </w:rPr>
        <w:t> </w:t>
      </w:r>
      <w:r>
        <w:rPr>
          <w:sz w:val="20"/>
          <w:vertAlign w:val="baseline"/>
        </w:rPr>
        <w:t>the</w:t>
      </w:r>
      <w:r>
        <w:rPr>
          <w:spacing w:val="-12"/>
          <w:sz w:val="20"/>
          <w:vertAlign w:val="baseline"/>
        </w:rPr>
        <w:t> </w:t>
      </w:r>
      <w:r>
        <w:rPr>
          <w:sz w:val="20"/>
          <w:vertAlign w:val="baseline"/>
        </w:rPr>
        <w:t>purpose</w:t>
      </w:r>
      <w:r>
        <w:rPr>
          <w:spacing w:val="-9"/>
          <w:sz w:val="20"/>
          <w:vertAlign w:val="baseline"/>
        </w:rPr>
        <w:t> </w:t>
      </w:r>
      <w:r>
        <w:rPr>
          <w:sz w:val="20"/>
          <w:vertAlign w:val="baseline"/>
        </w:rPr>
        <w:t>of</w:t>
      </w:r>
      <w:r>
        <w:rPr>
          <w:spacing w:val="-9"/>
          <w:sz w:val="20"/>
          <w:vertAlign w:val="baseline"/>
        </w:rPr>
        <w:t> </w:t>
      </w:r>
      <w:r>
        <w:rPr>
          <w:sz w:val="20"/>
          <w:vertAlign w:val="baseline"/>
        </w:rPr>
        <w:t>Amount</w:t>
      </w:r>
      <w:r>
        <w:rPr>
          <w:spacing w:val="-9"/>
          <w:sz w:val="20"/>
          <w:vertAlign w:val="baseline"/>
        </w:rPr>
        <w:t> </w:t>
      </w:r>
      <w:r>
        <w:rPr>
          <w:sz w:val="20"/>
          <w:vertAlign w:val="baseline"/>
        </w:rPr>
        <w:t>A</w:t>
      </w:r>
      <w:r>
        <w:rPr>
          <w:spacing w:val="-7"/>
          <w:sz w:val="20"/>
          <w:vertAlign w:val="baseline"/>
        </w:rPr>
        <w:t> </w:t>
      </w:r>
      <w:r>
        <w:rPr>
          <w:sz w:val="20"/>
          <w:vertAlign w:val="baseline"/>
        </w:rPr>
        <w:t>would</w:t>
      </w:r>
      <w:r>
        <w:rPr>
          <w:spacing w:val="-9"/>
          <w:sz w:val="20"/>
          <w:vertAlign w:val="baseline"/>
        </w:rPr>
        <w:t> </w:t>
      </w:r>
      <w:r>
        <w:rPr>
          <w:sz w:val="20"/>
          <w:vertAlign w:val="baseline"/>
        </w:rPr>
        <w:t>thus</w:t>
      </w:r>
      <w:r>
        <w:rPr>
          <w:spacing w:val="-10"/>
          <w:sz w:val="20"/>
          <w:vertAlign w:val="baseline"/>
        </w:rPr>
        <w:t> </w:t>
      </w:r>
      <w:r>
        <w:rPr>
          <w:sz w:val="20"/>
          <w:vertAlign w:val="baseline"/>
        </w:rPr>
        <w:t>continue to be taxed in accordance with the existing ALP-based profit allocation system, and the other 20% would constitute the allocable tax base for Amount A</w:t>
      </w:r>
      <w:r>
        <w:rPr>
          <w:spacing w:val="-8"/>
          <w:sz w:val="20"/>
          <w:vertAlign w:val="baseline"/>
        </w:rPr>
        <w:t> </w:t>
      </w:r>
      <w:r>
        <w:rPr>
          <w:sz w:val="20"/>
          <w:vertAlign w:val="baseline"/>
        </w:rPr>
        <w:t>purposes.</w:t>
      </w:r>
    </w:p>
    <w:p>
      <w:pPr>
        <w:pStyle w:val="BodyText"/>
        <w:spacing w:before="1"/>
        <w:rPr>
          <w:sz w:val="24"/>
        </w:rPr>
      </w:pPr>
    </w:p>
    <w:p>
      <w:pPr>
        <w:pStyle w:val="Heading6"/>
        <w:numPr>
          <w:ilvl w:val="2"/>
          <w:numId w:val="65"/>
        </w:numPr>
        <w:tabs>
          <w:tab w:pos="2015" w:val="left" w:leader="none"/>
        </w:tabs>
        <w:spacing w:line="240" w:lineRule="auto" w:before="0" w:after="0"/>
        <w:ind w:left="2014" w:right="0" w:hanging="613"/>
        <w:jc w:val="left"/>
        <w:rPr>
          <w:i/>
        </w:rPr>
      </w:pPr>
      <w:bookmarkStart w:name="6.2.3. Step 3 – The allocation key" w:id="286"/>
      <w:bookmarkEnd w:id="286"/>
      <w:r>
        <w:rPr>
          <w:b w:val="0"/>
          <w:i w:val="0"/>
        </w:rPr>
      </w:r>
      <w:bookmarkStart w:name="_bookmark44" w:id="287"/>
      <w:bookmarkEnd w:id="287"/>
      <w:r>
        <w:rPr>
          <w:b w:val="0"/>
          <w:i w:val="0"/>
        </w:rPr>
      </w:r>
      <w:bookmarkStart w:name="_bookmark44" w:id="288"/>
      <w:bookmarkEnd w:id="288"/>
      <w:r>
        <w:rPr>
          <w:i/>
        </w:rPr>
        <w:t>S</w:t>
      </w:r>
      <w:r>
        <w:rPr>
          <w:i/>
        </w:rPr>
        <w:t>tep 3 – The allocation</w:t>
      </w:r>
      <w:r>
        <w:rPr>
          <w:i/>
          <w:spacing w:val="-7"/>
        </w:rPr>
        <w:t> </w:t>
      </w:r>
      <w:r>
        <w:rPr>
          <w:i/>
        </w:rPr>
        <w:t>key</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Once the calculation of the allocable tax base for Amount A is completed, that profit needs to be allocated</w:t>
      </w:r>
      <w:r>
        <w:rPr>
          <w:spacing w:val="-12"/>
          <w:sz w:val="20"/>
        </w:rPr>
        <w:t> </w:t>
      </w:r>
      <w:r>
        <w:rPr>
          <w:sz w:val="20"/>
        </w:rPr>
        <w:t>to</w:t>
      </w:r>
      <w:r>
        <w:rPr>
          <w:spacing w:val="-10"/>
          <w:sz w:val="20"/>
        </w:rPr>
        <w:t> </w:t>
      </w:r>
      <w:r>
        <w:rPr>
          <w:sz w:val="20"/>
        </w:rPr>
        <w:t>the</w:t>
      </w:r>
      <w:r>
        <w:rPr>
          <w:spacing w:val="-7"/>
          <w:sz w:val="20"/>
        </w:rPr>
        <w:t> </w:t>
      </w:r>
      <w:r>
        <w:rPr>
          <w:sz w:val="20"/>
        </w:rPr>
        <w:t>various</w:t>
      </w:r>
      <w:r>
        <w:rPr>
          <w:spacing w:val="-8"/>
          <w:sz w:val="20"/>
        </w:rPr>
        <w:t> </w:t>
      </w:r>
      <w:r>
        <w:rPr>
          <w:sz w:val="20"/>
        </w:rPr>
        <w:t>eligible</w:t>
      </w:r>
      <w:r>
        <w:rPr>
          <w:spacing w:val="-9"/>
          <w:sz w:val="20"/>
        </w:rPr>
        <w:t> </w:t>
      </w:r>
      <w:r>
        <w:rPr>
          <w:sz w:val="20"/>
        </w:rPr>
        <w:t>market</w:t>
      </w:r>
      <w:r>
        <w:rPr>
          <w:spacing w:val="-12"/>
          <w:sz w:val="20"/>
        </w:rPr>
        <w:t> </w:t>
      </w:r>
      <w:r>
        <w:rPr>
          <w:sz w:val="20"/>
        </w:rPr>
        <w:t>jurisdictions</w:t>
      </w:r>
      <w:r>
        <w:rPr>
          <w:spacing w:val="-9"/>
          <w:sz w:val="20"/>
        </w:rPr>
        <w:t> </w:t>
      </w:r>
      <w:r>
        <w:rPr>
          <w:sz w:val="20"/>
        </w:rPr>
        <w:t>based</w:t>
      </w:r>
      <w:r>
        <w:rPr>
          <w:spacing w:val="-9"/>
          <w:sz w:val="20"/>
        </w:rPr>
        <w:t> </w:t>
      </w:r>
      <w:r>
        <w:rPr>
          <w:sz w:val="20"/>
        </w:rPr>
        <w:t>on</w:t>
      </w:r>
      <w:r>
        <w:rPr>
          <w:spacing w:val="-10"/>
          <w:sz w:val="20"/>
        </w:rPr>
        <w:t> </w:t>
      </w:r>
      <w:r>
        <w:rPr>
          <w:sz w:val="20"/>
        </w:rPr>
        <w:t>an</w:t>
      </w:r>
      <w:r>
        <w:rPr>
          <w:spacing w:val="-10"/>
          <w:sz w:val="20"/>
        </w:rPr>
        <w:t> </w:t>
      </w:r>
      <w:r>
        <w:rPr>
          <w:sz w:val="20"/>
        </w:rPr>
        <w:t>allocation</w:t>
      </w:r>
      <w:r>
        <w:rPr>
          <w:spacing w:val="-10"/>
          <w:sz w:val="20"/>
        </w:rPr>
        <w:t> </w:t>
      </w:r>
      <w:r>
        <w:rPr>
          <w:sz w:val="20"/>
        </w:rPr>
        <w:t>key.</w:t>
      </w:r>
      <w:r>
        <w:rPr>
          <w:spacing w:val="-11"/>
          <w:sz w:val="20"/>
        </w:rPr>
        <w:t> </w:t>
      </w:r>
      <w:r>
        <w:rPr>
          <w:sz w:val="20"/>
        </w:rPr>
        <w:t>This</w:t>
      </w:r>
      <w:r>
        <w:rPr>
          <w:spacing w:val="-10"/>
          <w:sz w:val="20"/>
        </w:rPr>
        <w:t> </w:t>
      </w:r>
      <w:r>
        <w:rPr>
          <w:sz w:val="20"/>
        </w:rPr>
        <w:t>allocation</w:t>
      </w:r>
      <w:r>
        <w:rPr>
          <w:spacing w:val="-8"/>
          <w:sz w:val="20"/>
        </w:rPr>
        <w:t> </w:t>
      </w:r>
      <w:r>
        <w:rPr>
          <w:sz w:val="20"/>
        </w:rPr>
        <w:t>is</w:t>
      </w:r>
      <w:r>
        <w:rPr>
          <w:spacing w:val="-10"/>
          <w:sz w:val="20"/>
        </w:rPr>
        <w:t> </w:t>
      </w:r>
      <w:r>
        <w:rPr>
          <w:sz w:val="20"/>
        </w:rPr>
        <w:t>based</w:t>
      </w:r>
      <w:r>
        <w:rPr>
          <w:spacing w:val="-10"/>
          <w:sz w:val="20"/>
        </w:rPr>
        <w:t> </w:t>
      </w:r>
      <w:r>
        <w:rPr>
          <w:sz w:val="20"/>
        </w:rPr>
        <w:t>on in-scope revenue derived from each eligible market jurisdiction (for revenue sourcing rules, see Chapter </w:t>
      </w:r>
      <w:hyperlink w:history="true" w:anchor="_bookmark21">
        <w:r>
          <w:rPr>
            <w:sz w:val="20"/>
          </w:rPr>
          <w:t>4.2</w:t>
        </w:r>
      </w:hyperlink>
      <w:r>
        <w:rPr>
          <w:sz w:val="20"/>
        </w:rPr>
        <w:t>).</w:t>
      </w:r>
    </w:p>
    <w:p>
      <w:pPr>
        <w:pStyle w:val="ListParagraph"/>
        <w:numPr>
          <w:ilvl w:val="0"/>
          <w:numId w:val="13"/>
        </w:numPr>
        <w:tabs>
          <w:tab w:pos="1444" w:val="left" w:leader="none"/>
        </w:tabs>
        <w:spacing w:line="271" w:lineRule="auto" w:before="120" w:after="0"/>
        <w:ind w:left="723" w:right="479" w:firstLine="0"/>
        <w:jc w:val="both"/>
        <w:rPr>
          <w:sz w:val="20"/>
        </w:rPr>
      </w:pPr>
      <w:bookmarkStart w:name="_bookmark45" w:id="289"/>
      <w:bookmarkEnd w:id="289"/>
      <w:r>
        <w:rPr/>
      </w:r>
      <w:bookmarkStart w:name="_bookmark45" w:id="290"/>
      <w:bookmarkEnd w:id="290"/>
      <w:r>
        <w:rPr>
          <w:sz w:val="20"/>
        </w:rPr>
        <w:t>T</w:t>
      </w:r>
      <w:r>
        <w:rPr>
          <w:sz w:val="20"/>
        </w:rPr>
        <w:t>he application of this allocation key will require a clear definition of revenue. Under accounting standards, revenues are typically booked on a gross basis, net of certain types of taxes (including sales, use, value added and some excise taxes). Further work will be required to determine if the existing definitions of revenue provided by accounting standards and shown in financial statements (which are relied</w:t>
      </w:r>
      <w:r>
        <w:rPr>
          <w:spacing w:val="-7"/>
          <w:sz w:val="20"/>
        </w:rPr>
        <w:t> </w:t>
      </w:r>
      <w:r>
        <w:rPr>
          <w:sz w:val="20"/>
        </w:rPr>
        <w:t>upon</w:t>
      </w:r>
      <w:r>
        <w:rPr>
          <w:spacing w:val="-7"/>
          <w:sz w:val="20"/>
        </w:rPr>
        <w:t> </w:t>
      </w:r>
      <w:r>
        <w:rPr>
          <w:sz w:val="20"/>
        </w:rPr>
        <w:t>for</w:t>
      </w:r>
      <w:r>
        <w:rPr>
          <w:spacing w:val="-6"/>
          <w:sz w:val="20"/>
        </w:rPr>
        <w:t> </w:t>
      </w:r>
      <w:r>
        <w:rPr>
          <w:sz w:val="20"/>
        </w:rPr>
        <w:t>CbCR)</w:t>
      </w:r>
      <w:r>
        <w:rPr>
          <w:spacing w:val="-4"/>
          <w:sz w:val="20"/>
        </w:rPr>
        <w:t> </w:t>
      </w:r>
      <w:r>
        <w:rPr>
          <w:sz w:val="20"/>
        </w:rPr>
        <w:t>could</w:t>
      </w:r>
      <w:r>
        <w:rPr>
          <w:spacing w:val="-7"/>
          <w:sz w:val="20"/>
        </w:rPr>
        <w:t> </w:t>
      </w:r>
      <w:r>
        <w:rPr>
          <w:sz w:val="20"/>
        </w:rPr>
        <w:t>be</w:t>
      </w:r>
      <w:r>
        <w:rPr>
          <w:spacing w:val="-6"/>
          <w:sz w:val="20"/>
        </w:rPr>
        <w:t> </w:t>
      </w:r>
      <w:r>
        <w:rPr>
          <w:sz w:val="20"/>
        </w:rPr>
        <w:t>used</w:t>
      </w:r>
      <w:r>
        <w:rPr>
          <w:spacing w:val="-6"/>
          <w:sz w:val="20"/>
        </w:rPr>
        <w:t> </w:t>
      </w:r>
      <w:r>
        <w:rPr>
          <w:sz w:val="20"/>
        </w:rPr>
        <w:t>to</w:t>
      </w:r>
      <w:r>
        <w:rPr>
          <w:spacing w:val="-7"/>
          <w:sz w:val="20"/>
        </w:rPr>
        <w:t> </w:t>
      </w:r>
      <w:r>
        <w:rPr>
          <w:sz w:val="20"/>
        </w:rPr>
        <w:t>define</w:t>
      </w:r>
      <w:r>
        <w:rPr>
          <w:spacing w:val="-7"/>
          <w:sz w:val="20"/>
        </w:rPr>
        <w:t> </w:t>
      </w:r>
      <w:r>
        <w:rPr>
          <w:sz w:val="20"/>
        </w:rPr>
        <w:t>revenue</w:t>
      </w:r>
      <w:r>
        <w:rPr>
          <w:spacing w:val="-7"/>
          <w:sz w:val="20"/>
        </w:rPr>
        <w:t> </w:t>
      </w:r>
      <w:r>
        <w:rPr>
          <w:sz w:val="20"/>
        </w:rPr>
        <w:t>for</w:t>
      </w:r>
      <w:r>
        <w:rPr>
          <w:spacing w:val="-6"/>
          <w:sz w:val="20"/>
        </w:rPr>
        <w:t> </w:t>
      </w:r>
      <w:r>
        <w:rPr>
          <w:sz w:val="20"/>
        </w:rPr>
        <w:t>the</w:t>
      </w:r>
      <w:r>
        <w:rPr>
          <w:spacing w:val="-6"/>
          <w:sz w:val="20"/>
        </w:rPr>
        <w:t> </w:t>
      </w:r>
      <w:r>
        <w:rPr>
          <w:sz w:val="20"/>
        </w:rPr>
        <w:t>purposes</w:t>
      </w:r>
      <w:r>
        <w:rPr>
          <w:spacing w:val="-6"/>
          <w:sz w:val="20"/>
        </w:rPr>
        <w:t> </w:t>
      </w:r>
      <w:r>
        <w:rPr>
          <w:sz w:val="20"/>
        </w:rPr>
        <w:t>of</w:t>
      </w:r>
      <w:r>
        <w:rPr>
          <w:spacing w:val="-1"/>
          <w:sz w:val="20"/>
        </w:rPr>
        <w:t> </w:t>
      </w:r>
      <w:r>
        <w:rPr>
          <w:sz w:val="20"/>
        </w:rPr>
        <w:t>applying</w:t>
      </w:r>
      <w:r>
        <w:rPr>
          <w:spacing w:val="-7"/>
          <w:sz w:val="20"/>
        </w:rPr>
        <w:t> </w:t>
      </w:r>
      <w:r>
        <w:rPr>
          <w:sz w:val="20"/>
        </w:rPr>
        <w:t>the</w:t>
      </w:r>
      <w:r>
        <w:rPr>
          <w:spacing w:val="-4"/>
          <w:sz w:val="20"/>
        </w:rPr>
        <w:t> </w:t>
      </w:r>
      <w:r>
        <w:rPr>
          <w:sz w:val="20"/>
        </w:rPr>
        <w:t>Amount</w:t>
      </w:r>
      <w:r>
        <w:rPr>
          <w:spacing w:val="-7"/>
          <w:sz w:val="20"/>
        </w:rPr>
        <w:t> </w:t>
      </w:r>
      <w:r>
        <w:rPr>
          <w:sz w:val="20"/>
        </w:rPr>
        <w:t>A</w:t>
      </w:r>
      <w:r>
        <w:rPr>
          <w:spacing w:val="-6"/>
          <w:sz w:val="20"/>
        </w:rPr>
        <w:t> </w:t>
      </w:r>
      <w:r>
        <w:rPr>
          <w:sz w:val="20"/>
        </w:rPr>
        <w:t>formula (as well as to apply the threshold tests for scope, see section</w:t>
      </w:r>
      <w:r>
        <w:rPr>
          <w:spacing w:val="-7"/>
          <w:sz w:val="20"/>
        </w:rPr>
        <w:t> </w:t>
      </w:r>
      <w:hyperlink w:history="true" w:anchor="_bookmark9">
        <w:r>
          <w:rPr>
            <w:sz w:val="20"/>
          </w:rPr>
          <w:t>2.3</w:t>
        </w:r>
      </w:hyperlink>
      <w:r>
        <w:rPr>
          <w:sz w:val="20"/>
        </w:rPr>
        <w:t>).</w:t>
      </w:r>
    </w:p>
    <w:p>
      <w:pPr>
        <w:pStyle w:val="ListParagraph"/>
        <w:numPr>
          <w:ilvl w:val="0"/>
          <w:numId w:val="13"/>
        </w:numPr>
        <w:tabs>
          <w:tab w:pos="1444" w:val="left" w:leader="none"/>
        </w:tabs>
        <w:spacing w:line="271" w:lineRule="auto" w:before="120" w:after="0"/>
        <w:ind w:left="723" w:right="481" w:firstLine="0"/>
        <w:jc w:val="both"/>
        <w:rPr>
          <w:sz w:val="20"/>
        </w:rPr>
      </w:pPr>
      <w:bookmarkStart w:name="_bookmark46" w:id="291"/>
      <w:bookmarkEnd w:id="291"/>
      <w:r>
        <w:rPr/>
      </w:r>
      <w:bookmarkStart w:name="_bookmark46" w:id="292"/>
      <w:bookmarkEnd w:id="292"/>
      <w:r>
        <w:rPr>
          <w:sz w:val="20"/>
        </w:rPr>
        <w:t>T</w:t>
      </w:r>
      <w:r>
        <w:rPr>
          <w:sz w:val="20"/>
        </w:rPr>
        <w:t>he application of the revenue-based allocation key will differ depending on whether the formula is</w:t>
      </w:r>
      <w:r>
        <w:rPr>
          <w:spacing w:val="-16"/>
          <w:sz w:val="20"/>
        </w:rPr>
        <w:t> </w:t>
      </w:r>
      <w:r>
        <w:rPr>
          <w:sz w:val="20"/>
        </w:rPr>
        <w:t>implemented</w:t>
      </w:r>
      <w:r>
        <w:rPr>
          <w:spacing w:val="-17"/>
          <w:sz w:val="20"/>
        </w:rPr>
        <w:t> </w:t>
      </w:r>
      <w:r>
        <w:rPr>
          <w:sz w:val="20"/>
        </w:rPr>
        <w:t>through</w:t>
      </w:r>
      <w:r>
        <w:rPr>
          <w:spacing w:val="-16"/>
          <w:sz w:val="20"/>
        </w:rPr>
        <w:t> </w:t>
      </w:r>
      <w:r>
        <w:rPr>
          <w:sz w:val="20"/>
        </w:rPr>
        <w:t>a</w:t>
      </w:r>
      <w:r>
        <w:rPr>
          <w:spacing w:val="-14"/>
          <w:sz w:val="20"/>
        </w:rPr>
        <w:t> </w:t>
      </w:r>
      <w:r>
        <w:rPr>
          <w:sz w:val="20"/>
        </w:rPr>
        <w:t>profit-based</w:t>
      </w:r>
      <w:r>
        <w:rPr>
          <w:spacing w:val="-15"/>
          <w:sz w:val="20"/>
        </w:rPr>
        <w:t> </w:t>
      </w:r>
      <w:r>
        <w:rPr>
          <w:sz w:val="20"/>
        </w:rPr>
        <w:t>or</w:t>
      </w:r>
      <w:r>
        <w:rPr>
          <w:spacing w:val="-15"/>
          <w:sz w:val="20"/>
        </w:rPr>
        <w:t> </w:t>
      </w:r>
      <w:r>
        <w:rPr>
          <w:sz w:val="20"/>
        </w:rPr>
        <w:t>a</w:t>
      </w:r>
      <w:r>
        <w:rPr>
          <w:spacing w:val="-14"/>
          <w:sz w:val="20"/>
        </w:rPr>
        <w:t> </w:t>
      </w:r>
      <w:r>
        <w:rPr>
          <w:sz w:val="20"/>
        </w:rPr>
        <w:t>profit-margin</w:t>
      </w:r>
      <w:r>
        <w:rPr>
          <w:spacing w:val="-17"/>
          <w:sz w:val="20"/>
        </w:rPr>
        <w:t> </w:t>
      </w:r>
      <w:r>
        <w:rPr>
          <w:sz w:val="20"/>
        </w:rPr>
        <w:t>approach</w:t>
      </w:r>
      <w:r>
        <w:rPr>
          <w:spacing w:val="-16"/>
          <w:sz w:val="20"/>
        </w:rPr>
        <w:t> </w:t>
      </w:r>
      <w:r>
        <w:rPr>
          <w:sz w:val="20"/>
        </w:rPr>
        <w:t>(see</w:t>
      </w:r>
      <w:r>
        <w:rPr>
          <w:spacing w:val="-12"/>
          <w:sz w:val="20"/>
        </w:rPr>
        <w:t> </w:t>
      </w:r>
      <w:r>
        <w:rPr>
          <w:sz w:val="20"/>
        </w:rPr>
        <w:t>section</w:t>
      </w:r>
      <w:r>
        <w:rPr>
          <w:spacing w:val="-17"/>
          <w:sz w:val="20"/>
        </w:rPr>
        <w:t> </w:t>
      </w:r>
      <w:hyperlink w:history="true" w:anchor="_bookmark47">
        <w:r>
          <w:rPr>
            <w:sz w:val="20"/>
          </w:rPr>
          <w:t>6.2.4</w:t>
        </w:r>
      </w:hyperlink>
      <w:r>
        <w:rPr>
          <w:sz w:val="20"/>
        </w:rPr>
        <w:t>).</w:t>
      </w:r>
      <w:r>
        <w:rPr>
          <w:spacing w:val="-16"/>
          <w:sz w:val="20"/>
        </w:rPr>
        <w:t> </w:t>
      </w:r>
      <w:r>
        <w:rPr>
          <w:sz w:val="20"/>
        </w:rPr>
        <w:t>Under</w:t>
      </w:r>
      <w:r>
        <w:rPr>
          <w:spacing w:val="-15"/>
          <w:sz w:val="20"/>
        </w:rPr>
        <w:t> </w:t>
      </w:r>
      <w:r>
        <w:rPr>
          <w:sz w:val="20"/>
        </w:rPr>
        <w:t>a</w:t>
      </w:r>
      <w:r>
        <w:rPr>
          <w:spacing w:val="-14"/>
          <w:sz w:val="20"/>
        </w:rPr>
        <w:t> </w:t>
      </w:r>
      <w:r>
        <w:rPr>
          <w:sz w:val="20"/>
        </w:rPr>
        <w:t>profit-based approach, the allocable tax base (a profit amount, i.e. PBT) could be multiplied by the ratio of locally sourced in-scope revenue to total revenue of </w:t>
      </w:r>
      <w:r>
        <w:rPr>
          <w:spacing w:val="3"/>
          <w:sz w:val="20"/>
        </w:rPr>
        <w:t>an </w:t>
      </w:r>
      <w:r>
        <w:rPr>
          <w:sz w:val="20"/>
        </w:rPr>
        <w:t>MNE group (or segment where relevant) used in computing the tax base, including revenue from ineligible market jurisdictions (where no nexus would be established</w:t>
      </w:r>
      <w:r>
        <w:rPr>
          <w:spacing w:val="-15"/>
          <w:sz w:val="20"/>
        </w:rPr>
        <w:t> </w:t>
      </w:r>
      <w:r>
        <w:rPr>
          <w:sz w:val="20"/>
        </w:rPr>
        <w:t>for</w:t>
      </w:r>
      <w:r>
        <w:rPr>
          <w:spacing w:val="-14"/>
          <w:sz w:val="20"/>
        </w:rPr>
        <w:t> </w:t>
      </w:r>
      <w:r>
        <w:rPr>
          <w:sz w:val="20"/>
        </w:rPr>
        <w:t>Amount</w:t>
      </w:r>
      <w:r>
        <w:rPr>
          <w:spacing w:val="-15"/>
          <w:sz w:val="20"/>
        </w:rPr>
        <w:t> </w:t>
      </w:r>
      <w:r>
        <w:rPr>
          <w:sz w:val="20"/>
        </w:rPr>
        <w:t>A</w:t>
      </w:r>
      <w:r>
        <w:rPr>
          <w:spacing w:val="-15"/>
          <w:sz w:val="20"/>
        </w:rPr>
        <w:t> </w:t>
      </w:r>
      <w:r>
        <w:rPr>
          <w:sz w:val="20"/>
        </w:rPr>
        <w:t>purposes)</w:t>
      </w:r>
      <w:r>
        <w:rPr>
          <w:spacing w:val="-14"/>
          <w:sz w:val="20"/>
        </w:rPr>
        <w:t> </w:t>
      </w:r>
      <w:r>
        <w:rPr>
          <w:sz w:val="20"/>
        </w:rPr>
        <w:t>and</w:t>
      </w:r>
      <w:r>
        <w:rPr>
          <w:spacing w:val="-13"/>
          <w:sz w:val="20"/>
        </w:rPr>
        <w:t> </w:t>
      </w:r>
      <w:r>
        <w:rPr>
          <w:sz w:val="20"/>
        </w:rPr>
        <w:t>potentially</w:t>
      </w:r>
      <w:r>
        <w:rPr>
          <w:spacing w:val="-15"/>
          <w:sz w:val="20"/>
        </w:rPr>
        <w:t> </w:t>
      </w:r>
      <w:r>
        <w:rPr>
          <w:sz w:val="20"/>
        </w:rPr>
        <w:t>out-of-scope</w:t>
      </w:r>
      <w:r>
        <w:rPr>
          <w:spacing w:val="-14"/>
          <w:sz w:val="20"/>
        </w:rPr>
        <w:t> </w:t>
      </w:r>
      <w:r>
        <w:rPr>
          <w:sz w:val="20"/>
        </w:rPr>
        <w:t>revenue.</w:t>
      </w:r>
      <w:r>
        <w:rPr>
          <w:spacing w:val="-15"/>
          <w:sz w:val="20"/>
        </w:rPr>
        <w:t> </w:t>
      </w:r>
      <w:r>
        <w:rPr>
          <w:sz w:val="20"/>
        </w:rPr>
        <w:t>Under</w:t>
      </w:r>
      <w:r>
        <w:rPr>
          <w:spacing w:val="-14"/>
          <w:sz w:val="20"/>
        </w:rPr>
        <w:t> </w:t>
      </w:r>
      <w:r>
        <w:rPr>
          <w:sz w:val="20"/>
        </w:rPr>
        <w:t>a</w:t>
      </w:r>
      <w:r>
        <w:rPr>
          <w:spacing w:val="-14"/>
          <w:sz w:val="20"/>
        </w:rPr>
        <w:t> </w:t>
      </w:r>
      <w:r>
        <w:rPr>
          <w:sz w:val="20"/>
        </w:rPr>
        <w:t>profit-margin</w:t>
      </w:r>
      <w:r>
        <w:rPr>
          <w:spacing w:val="-15"/>
          <w:sz w:val="20"/>
        </w:rPr>
        <w:t> </w:t>
      </w:r>
      <w:r>
        <w:rPr>
          <w:sz w:val="20"/>
        </w:rPr>
        <w:t>approach, the allocable tax base (a profit ratio, i.e. PBT / revenue) could be multiplied by locally sourced in-scope revenue.</w:t>
      </w:r>
    </w:p>
    <w:p>
      <w:pPr>
        <w:pStyle w:val="ListParagraph"/>
        <w:numPr>
          <w:ilvl w:val="0"/>
          <w:numId w:val="13"/>
        </w:numPr>
        <w:tabs>
          <w:tab w:pos="1444" w:val="left" w:leader="none"/>
        </w:tabs>
        <w:spacing w:line="271" w:lineRule="auto" w:before="123" w:after="0"/>
        <w:ind w:left="723" w:right="482" w:firstLine="0"/>
        <w:jc w:val="both"/>
        <w:rPr>
          <w:sz w:val="20"/>
        </w:rPr>
      </w:pPr>
      <w:r>
        <w:rPr>
          <w:sz w:val="20"/>
        </w:rPr>
        <w:t>Both of these approaches would ensure that Amount A profits attributable to revenue sourced in ineligible market jurisdictions are not allocated to other eligible market jurisdictions, and remain instead taxed under the existing profit allocation system (a so-called “throwback” system). In practice, given the likely</w:t>
      </w:r>
      <w:r>
        <w:rPr>
          <w:spacing w:val="-18"/>
          <w:sz w:val="20"/>
        </w:rPr>
        <w:t> </w:t>
      </w:r>
      <w:r>
        <w:rPr>
          <w:sz w:val="20"/>
        </w:rPr>
        <w:t>level</w:t>
      </w:r>
      <w:r>
        <w:rPr>
          <w:spacing w:val="-17"/>
          <w:sz w:val="20"/>
        </w:rPr>
        <w:t> </w:t>
      </w:r>
      <w:r>
        <w:rPr>
          <w:sz w:val="20"/>
        </w:rPr>
        <w:t>of</w:t>
      </w:r>
      <w:r>
        <w:rPr>
          <w:spacing w:val="-14"/>
          <w:sz w:val="20"/>
        </w:rPr>
        <w:t> </w:t>
      </w:r>
      <w:r>
        <w:rPr>
          <w:sz w:val="20"/>
        </w:rPr>
        <w:t>the</w:t>
      </w:r>
      <w:r>
        <w:rPr>
          <w:spacing w:val="-15"/>
          <w:sz w:val="20"/>
        </w:rPr>
        <w:t> </w:t>
      </w:r>
      <w:r>
        <w:rPr>
          <w:sz w:val="20"/>
        </w:rPr>
        <w:t>nexus</w:t>
      </w:r>
      <w:r>
        <w:rPr>
          <w:spacing w:val="-15"/>
          <w:sz w:val="20"/>
        </w:rPr>
        <w:t> </w:t>
      </w:r>
      <w:r>
        <w:rPr>
          <w:sz w:val="20"/>
        </w:rPr>
        <w:t>revenue</w:t>
      </w:r>
      <w:r>
        <w:rPr>
          <w:spacing w:val="-17"/>
          <w:sz w:val="20"/>
        </w:rPr>
        <w:t> </w:t>
      </w:r>
      <w:r>
        <w:rPr>
          <w:sz w:val="20"/>
        </w:rPr>
        <w:t>thresholds,</w:t>
      </w:r>
      <w:r>
        <w:rPr>
          <w:spacing w:val="-16"/>
          <w:sz w:val="20"/>
        </w:rPr>
        <w:t> </w:t>
      </w:r>
      <w:r>
        <w:rPr>
          <w:sz w:val="20"/>
        </w:rPr>
        <w:t>(see</w:t>
      </w:r>
      <w:r>
        <w:rPr>
          <w:spacing w:val="-13"/>
          <w:sz w:val="20"/>
        </w:rPr>
        <w:t> </w:t>
      </w:r>
      <w:r>
        <w:rPr>
          <w:sz w:val="20"/>
        </w:rPr>
        <w:t>section</w:t>
      </w:r>
      <w:r>
        <w:rPr>
          <w:spacing w:val="-16"/>
          <w:sz w:val="20"/>
        </w:rPr>
        <w:t> </w:t>
      </w:r>
      <w:hyperlink w:history="true" w:anchor="_bookmark15">
        <w:r>
          <w:rPr>
            <w:sz w:val="20"/>
          </w:rPr>
          <w:t>3.2.1</w:t>
        </w:r>
      </w:hyperlink>
      <w:r>
        <w:rPr>
          <w:sz w:val="20"/>
        </w:rPr>
        <w:t>),</w:t>
      </w:r>
      <w:r>
        <w:rPr>
          <w:spacing w:val="-16"/>
          <w:sz w:val="20"/>
        </w:rPr>
        <w:t> </w:t>
      </w:r>
      <w:r>
        <w:rPr>
          <w:sz w:val="20"/>
        </w:rPr>
        <w:t>the</w:t>
      </w:r>
      <w:r>
        <w:rPr>
          <w:spacing w:val="-17"/>
          <w:sz w:val="20"/>
        </w:rPr>
        <w:t> </w:t>
      </w:r>
      <w:r>
        <w:rPr>
          <w:sz w:val="20"/>
        </w:rPr>
        <w:t>Amount</w:t>
      </w:r>
      <w:r>
        <w:rPr>
          <w:spacing w:val="-16"/>
          <w:sz w:val="20"/>
        </w:rPr>
        <w:t> </w:t>
      </w:r>
      <w:r>
        <w:rPr>
          <w:sz w:val="20"/>
        </w:rPr>
        <w:t>A</w:t>
      </w:r>
      <w:r>
        <w:rPr>
          <w:spacing w:val="-15"/>
          <w:sz w:val="20"/>
        </w:rPr>
        <w:t> </w:t>
      </w:r>
      <w:r>
        <w:rPr>
          <w:sz w:val="20"/>
        </w:rPr>
        <w:t>profit</w:t>
      </w:r>
      <w:r>
        <w:rPr>
          <w:spacing w:val="-14"/>
          <w:sz w:val="20"/>
        </w:rPr>
        <w:t> </w:t>
      </w:r>
      <w:r>
        <w:rPr>
          <w:sz w:val="20"/>
        </w:rPr>
        <w:t>attributable</w:t>
      </w:r>
      <w:r>
        <w:rPr>
          <w:spacing w:val="-14"/>
          <w:sz w:val="20"/>
        </w:rPr>
        <w:t> </w:t>
      </w:r>
      <w:r>
        <w:rPr>
          <w:sz w:val="20"/>
        </w:rPr>
        <w:t>to</w:t>
      </w:r>
      <w:r>
        <w:rPr>
          <w:spacing w:val="-17"/>
          <w:sz w:val="20"/>
        </w:rPr>
        <w:t> </w:t>
      </w:r>
      <w:r>
        <w:rPr>
          <w:sz w:val="20"/>
        </w:rPr>
        <w:t>ineligible market jurisdictions is likely to be small. Both approaches would also ensure that where the calculation of the Amount A tax base (at the level of a group or segment) includes profit from out-of-scope revenue, the portion of the Amount A tax base that relates to out-of-scope revenue will not be reallocated to market jurisdictions.</w:t>
      </w:r>
      <w:r>
        <w:rPr>
          <w:position w:val="6"/>
          <w:sz w:val="13"/>
        </w:rPr>
        <w:t>100</w:t>
      </w:r>
    </w:p>
    <w:p>
      <w:pPr>
        <w:pStyle w:val="BodyText"/>
        <w:spacing w:before="6"/>
        <w:rPr>
          <w:sz w:val="24"/>
        </w:rPr>
      </w:pPr>
      <w:r>
        <w:rPr/>
        <w:pict>
          <v:rect style="position:absolute;margin-left:65.183998pt;margin-top:16.09618pt;width:144.020004pt;height:.599980pt;mso-position-horizontal-relative:page;mso-position-vertical-relative:paragraph;z-index:-1565952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928" w:val="left" w:leader="none"/>
        </w:tabs>
        <w:spacing w:line="240" w:lineRule="auto" w:before="94" w:after="0"/>
        <w:ind w:left="927" w:right="0" w:hanging="205"/>
        <w:jc w:val="left"/>
        <w:rPr>
          <w:sz w:val="18"/>
        </w:rPr>
      </w:pPr>
      <w:r>
        <w:rPr>
          <w:sz w:val="18"/>
        </w:rPr>
        <w:t>see CTPA/CFA/WP2/NOE2(2020)10)</w:t>
      </w:r>
    </w:p>
    <w:p>
      <w:pPr>
        <w:pStyle w:val="ListParagraph"/>
        <w:numPr>
          <w:ilvl w:val="0"/>
          <w:numId w:val="14"/>
        </w:numPr>
        <w:tabs>
          <w:tab w:pos="998" w:val="left" w:leader="none"/>
        </w:tabs>
        <w:spacing w:line="278" w:lineRule="auto" w:before="111" w:after="0"/>
        <w:ind w:left="723" w:right="488" w:firstLine="0"/>
        <w:jc w:val="left"/>
        <w:rPr>
          <w:sz w:val="18"/>
        </w:rPr>
      </w:pPr>
      <w:r>
        <w:rPr>
          <w:sz w:val="18"/>
        </w:rPr>
        <w:t>For</w:t>
      </w:r>
      <w:r>
        <w:rPr>
          <w:spacing w:val="-9"/>
          <w:sz w:val="18"/>
        </w:rPr>
        <w:t> </w:t>
      </w:r>
      <w:r>
        <w:rPr>
          <w:sz w:val="18"/>
        </w:rPr>
        <w:t>example,</w:t>
      </w:r>
      <w:r>
        <w:rPr>
          <w:spacing w:val="-9"/>
          <w:sz w:val="18"/>
        </w:rPr>
        <w:t> </w:t>
      </w:r>
      <w:r>
        <w:rPr>
          <w:sz w:val="18"/>
        </w:rPr>
        <w:t>if</w:t>
      </w:r>
      <w:r>
        <w:rPr>
          <w:spacing w:val="-9"/>
          <w:sz w:val="18"/>
        </w:rPr>
        <w:t> </w:t>
      </w:r>
      <w:r>
        <w:rPr>
          <w:sz w:val="18"/>
        </w:rPr>
        <w:t>a</w:t>
      </w:r>
      <w:r>
        <w:rPr>
          <w:spacing w:val="-11"/>
          <w:sz w:val="18"/>
        </w:rPr>
        <w:t> </w:t>
      </w:r>
      <w:r>
        <w:rPr>
          <w:sz w:val="18"/>
        </w:rPr>
        <w:t>segment</w:t>
      </w:r>
      <w:r>
        <w:rPr>
          <w:spacing w:val="-9"/>
          <w:sz w:val="18"/>
        </w:rPr>
        <w:t> </w:t>
      </w:r>
      <w:r>
        <w:rPr>
          <w:sz w:val="18"/>
        </w:rPr>
        <w:t>had</w:t>
      </w:r>
      <w:r>
        <w:rPr>
          <w:spacing w:val="-11"/>
          <w:sz w:val="18"/>
        </w:rPr>
        <w:t> </w:t>
      </w:r>
      <w:r>
        <w:rPr>
          <w:sz w:val="18"/>
        </w:rPr>
        <w:t>total</w:t>
      </w:r>
      <w:r>
        <w:rPr>
          <w:spacing w:val="-9"/>
          <w:sz w:val="18"/>
        </w:rPr>
        <w:t> </w:t>
      </w:r>
      <w:r>
        <w:rPr>
          <w:sz w:val="18"/>
        </w:rPr>
        <w:t>in-scope</w:t>
      </w:r>
      <w:r>
        <w:rPr>
          <w:spacing w:val="-11"/>
          <w:sz w:val="18"/>
        </w:rPr>
        <w:t> </w:t>
      </w:r>
      <w:r>
        <w:rPr>
          <w:sz w:val="18"/>
        </w:rPr>
        <w:t>revenue</w:t>
      </w:r>
      <w:r>
        <w:rPr>
          <w:spacing w:val="-9"/>
          <w:sz w:val="18"/>
        </w:rPr>
        <w:t> </w:t>
      </w:r>
      <w:r>
        <w:rPr>
          <w:sz w:val="18"/>
        </w:rPr>
        <w:t>of</w:t>
      </w:r>
      <w:r>
        <w:rPr>
          <w:spacing w:val="-10"/>
          <w:sz w:val="18"/>
        </w:rPr>
        <w:t> </w:t>
      </w:r>
      <w:r>
        <w:rPr>
          <w:sz w:val="18"/>
        </w:rPr>
        <w:t>80</w:t>
      </w:r>
      <w:r>
        <w:rPr>
          <w:spacing w:val="-9"/>
          <w:sz w:val="18"/>
        </w:rPr>
        <w:t> </w:t>
      </w:r>
      <w:r>
        <w:rPr>
          <w:sz w:val="18"/>
        </w:rPr>
        <w:t>(all</w:t>
      </w:r>
      <w:r>
        <w:rPr>
          <w:spacing w:val="-9"/>
          <w:sz w:val="18"/>
        </w:rPr>
        <w:t> </w:t>
      </w:r>
      <w:r>
        <w:rPr>
          <w:sz w:val="18"/>
        </w:rPr>
        <w:t>of</w:t>
      </w:r>
      <w:r>
        <w:rPr>
          <w:spacing w:val="-11"/>
          <w:sz w:val="18"/>
        </w:rPr>
        <w:t> </w:t>
      </w:r>
      <w:r>
        <w:rPr>
          <w:sz w:val="18"/>
        </w:rPr>
        <w:t>which</w:t>
      </w:r>
      <w:r>
        <w:rPr>
          <w:spacing w:val="-9"/>
          <w:sz w:val="18"/>
        </w:rPr>
        <w:t> </w:t>
      </w:r>
      <w:r>
        <w:rPr>
          <w:sz w:val="18"/>
        </w:rPr>
        <w:t>was</w:t>
      </w:r>
      <w:r>
        <w:rPr>
          <w:spacing w:val="-11"/>
          <w:sz w:val="18"/>
        </w:rPr>
        <w:t> </w:t>
      </w:r>
      <w:r>
        <w:rPr>
          <w:sz w:val="18"/>
        </w:rPr>
        <w:t>sourced</w:t>
      </w:r>
      <w:r>
        <w:rPr>
          <w:spacing w:val="-11"/>
          <w:sz w:val="18"/>
        </w:rPr>
        <w:t> </w:t>
      </w:r>
      <w:r>
        <w:rPr>
          <w:sz w:val="18"/>
        </w:rPr>
        <w:t>to</w:t>
      </w:r>
      <w:r>
        <w:rPr>
          <w:spacing w:val="-11"/>
          <w:sz w:val="18"/>
        </w:rPr>
        <w:t> </w:t>
      </w:r>
      <w:r>
        <w:rPr>
          <w:sz w:val="18"/>
        </w:rPr>
        <w:t>eligible</w:t>
      </w:r>
      <w:r>
        <w:rPr>
          <w:spacing w:val="-10"/>
          <w:sz w:val="18"/>
        </w:rPr>
        <w:t> </w:t>
      </w:r>
      <w:r>
        <w:rPr>
          <w:sz w:val="18"/>
        </w:rPr>
        <w:t>market</w:t>
      </w:r>
      <w:r>
        <w:rPr>
          <w:spacing w:val="-11"/>
          <w:sz w:val="18"/>
        </w:rPr>
        <w:t> </w:t>
      </w:r>
      <w:r>
        <w:rPr>
          <w:sz w:val="18"/>
        </w:rPr>
        <w:t>jurisdictions under</w:t>
      </w:r>
      <w:r>
        <w:rPr>
          <w:spacing w:val="-7"/>
          <w:sz w:val="18"/>
        </w:rPr>
        <w:t> </w:t>
      </w:r>
      <w:r>
        <w:rPr>
          <w:sz w:val="18"/>
        </w:rPr>
        <w:t>the</w:t>
      </w:r>
      <w:r>
        <w:rPr>
          <w:spacing w:val="-5"/>
          <w:sz w:val="18"/>
        </w:rPr>
        <w:t> </w:t>
      </w:r>
      <w:r>
        <w:rPr>
          <w:sz w:val="18"/>
        </w:rPr>
        <w:t>nexus</w:t>
      </w:r>
      <w:r>
        <w:rPr>
          <w:spacing w:val="-2"/>
          <w:sz w:val="18"/>
        </w:rPr>
        <w:t> </w:t>
      </w:r>
      <w:r>
        <w:rPr>
          <w:sz w:val="18"/>
        </w:rPr>
        <w:t>rule)</w:t>
      </w:r>
      <w:r>
        <w:rPr>
          <w:spacing w:val="-7"/>
          <w:sz w:val="18"/>
        </w:rPr>
        <w:t> </w:t>
      </w:r>
      <w:r>
        <w:rPr>
          <w:sz w:val="18"/>
        </w:rPr>
        <w:t>and</w:t>
      </w:r>
      <w:r>
        <w:rPr>
          <w:spacing w:val="-5"/>
          <w:sz w:val="18"/>
        </w:rPr>
        <w:t> </w:t>
      </w:r>
      <w:r>
        <w:rPr>
          <w:sz w:val="18"/>
        </w:rPr>
        <w:t>100</w:t>
      </w:r>
      <w:r>
        <w:rPr>
          <w:spacing w:val="-8"/>
          <w:sz w:val="18"/>
        </w:rPr>
        <w:t> </w:t>
      </w:r>
      <w:r>
        <w:rPr>
          <w:sz w:val="18"/>
        </w:rPr>
        <w:t>total</w:t>
      </w:r>
      <w:r>
        <w:rPr>
          <w:spacing w:val="-4"/>
          <w:sz w:val="18"/>
        </w:rPr>
        <w:t> </w:t>
      </w:r>
      <w:r>
        <w:rPr>
          <w:sz w:val="18"/>
        </w:rPr>
        <w:t>revenue</w:t>
      </w:r>
      <w:r>
        <w:rPr>
          <w:spacing w:val="-5"/>
          <w:sz w:val="18"/>
        </w:rPr>
        <w:t> </w:t>
      </w:r>
      <w:r>
        <w:rPr>
          <w:sz w:val="18"/>
        </w:rPr>
        <w:t>(including</w:t>
      </w:r>
      <w:r>
        <w:rPr>
          <w:spacing w:val="-3"/>
          <w:sz w:val="18"/>
        </w:rPr>
        <w:t> </w:t>
      </w:r>
      <w:r>
        <w:rPr>
          <w:sz w:val="18"/>
        </w:rPr>
        <w:t>out</w:t>
      </w:r>
      <w:r>
        <w:rPr>
          <w:spacing w:val="-5"/>
          <w:sz w:val="18"/>
        </w:rPr>
        <w:t> </w:t>
      </w:r>
      <w:r>
        <w:rPr>
          <w:sz w:val="18"/>
        </w:rPr>
        <w:t>of</w:t>
      </w:r>
      <w:r>
        <w:rPr>
          <w:spacing w:val="-7"/>
          <w:sz w:val="18"/>
        </w:rPr>
        <w:t> </w:t>
      </w:r>
      <w:r>
        <w:rPr>
          <w:sz w:val="18"/>
        </w:rPr>
        <w:t>scope</w:t>
      </w:r>
      <w:r>
        <w:rPr>
          <w:spacing w:val="-3"/>
          <w:sz w:val="18"/>
        </w:rPr>
        <w:t> </w:t>
      </w:r>
      <w:r>
        <w:rPr>
          <w:sz w:val="18"/>
        </w:rPr>
        <w:t>revenue),</w:t>
      </w:r>
      <w:r>
        <w:rPr>
          <w:spacing w:val="-5"/>
          <w:sz w:val="18"/>
        </w:rPr>
        <w:t> </w:t>
      </w:r>
      <w:r>
        <w:rPr>
          <w:sz w:val="18"/>
        </w:rPr>
        <w:t>the</w:t>
      </w:r>
      <w:r>
        <w:rPr>
          <w:spacing w:val="-6"/>
          <w:sz w:val="18"/>
        </w:rPr>
        <w:t> </w:t>
      </w:r>
      <w:r>
        <w:rPr>
          <w:sz w:val="18"/>
        </w:rPr>
        <w:t>allocation</w:t>
      </w:r>
      <w:r>
        <w:rPr>
          <w:spacing w:val="-8"/>
          <w:sz w:val="18"/>
        </w:rPr>
        <w:t> </w:t>
      </w:r>
      <w:r>
        <w:rPr>
          <w:sz w:val="18"/>
        </w:rPr>
        <w:t>key</w:t>
      </w:r>
      <w:r>
        <w:rPr>
          <w:spacing w:val="-5"/>
          <w:sz w:val="18"/>
        </w:rPr>
        <w:t> </w:t>
      </w:r>
      <w:r>
        <w:rPr>
          <w:sz w:val="18"/>
        </w:rPr>
        <w:t>would</w:t>
      </w:r>
      <w:r>
        <w:rPr>
          <w:spacing w:val="-3"/>
          <w:sz w:val="18"/>
        </w:rPr>
        <w:t> </w:t>
      </w:r>
      <w:r>
        <w:rPr>
          <w:sz w:val="18"/>
        </w:rPr>
        <w:t>mean</w:t>
      </w:r>
      <w:r>
        <w:rPr>
          <w:spacing w:val="-4"/>
          <w:sz w:val="18"/>
        </w:rPr>
        <w:t> </w:t>
      </w:r>
      <w:r>
        <w:rPr>
          <w:sz w:val="18"/>
        </w:rPr>
        <w:t>that</w:t>
      </w:r>
      <w:r>
        <w:rPr>
          <w:spacing w:val="-6"/>
          <w:sz w:val="18"/>
        </w:rPr>
        <w:t> </w:t>
      </w:r>
      <w:r>
        <w:rPr>
          <w:sz w:val="18"/>
        </w:rPr>
        <w:t>only</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0" w:firstLine="0"/>
        <w:jc w:val="both"/>
        <w:rPr>
          <w:sz w:val="20"/>
        </w:rPr>
      </w:pPr>
      <w:r>
        <w:rPr>
          <w:sz w:val="20"/>
        </w:rPr>
        <w:t>Another possible approach would be to allocate the entire allocable tax base (as determined by steps 1 and 2) between eligible market jurisdictions, and allocate Amount A profits related to revenue sourced</w:t>
      </w:r>
      <w:r>
        <w:rPr>
          <w:spacing w:val="-6"/>
          <w:sz w:val="20"/>
        </w:rPr>
        <w:t> </w:t>
      </w:r>
      <w:r>
        <w:rPr>
          <w:sz w:val="20"/>
        </w:rPr>
        <w:t>in</w:t>
      </w:r>
      <w:r>
        <w:rPr>
          <w:spacing w:val="-5"/>
          <w:sz w:val="20"/>
        </w:rPr>
        <w:t> </w:t>
      </w:r>
      <w:r>
        <w:rPr>
          <w:sz w:val="20"/>
        </w:rPr>
        <w:t>ineligible</w:t>
      </w:r>
      <w:r>
        <w:rPr>
          <w:spacing w:val="-5"/>
          <w:sz w:val="20"/>
        </w:rPr>
        <w:t> </w:t>
      </w:r>
      <w:r>
        <w:rPr>
          <w:sz w:val="20"/>
        </w:rPr>
        <w:t>market</w:t>
      </w:r>
      <w:r>
        <w:rPr>
          <w:spacing w:val="-9"/>
          <w:sz w:val="20"/>
        </w:rPr>
        <w:t> </w:t>
      </w:r>
      <w:r>
        <w:rPr>
          <w:sz w:val="20"/>
        </w:rPr>
        <w:t>jurisdictions</w:t>
      </w:r>
      <w:r>
        <w:rPr>
          <w:spacing w:val="-3"/>
          <w:sz w:val="20"/>
        </w:rPr>
        <w:t> </w:t>
      </w:r>
      <w:r>
        <w:rPr>
          <w:sz w:val="20"/>
        </w:rPr>
        <w:t>to</w:t>
      </w:r>
      <w:r>
        <w:rPr>
          <w:spacing w:val="-5"/>
          <w:sz w:val="20"/>
        </w:rPr>
        <w:t> </w:t>
      </w:r>
      <w:r>
        <w:rPr>
          <w:sz w:val="20"/>
        </w:rPr>
        <w:t>eligible</w:t>
      </w:r>
      <w:r>
        <w:rPr>
          <w:spacing w:val="-5"/>
          <w:sz w:val="20"/>
        </w:rPr>
        <w:t> </w:t>
      </w:r>
      <w:r>
        <w:rPr>
          <w:sz w:val="20"/>
        </w:rPr>
        <w:t>market</w:t>
      </w:r>
      <w:r>
        <w:rPr>
          <w:spacing w:val="-7"/>
          <w:sz w:val="20"/>
        </w:rPr>
        <w:t> </w:t>
      </w:r>
      <w:r>
        <w:rPr>
          <w:sz w:val="20"/>
        </w:rPr>
        <w:t>jurisdictions</w:t>
      </w:r>
      <w:r>
        <w:rPr>
          <w:spacing w:val="-6"/>
          <w:sz w:val="20"/>
        </w:rPr>
        <w:t> </w:t>
      </w:r>
      <w:r>
        <w:rPr>
          <w:sz w:val="20"/>
        </w:rPr>
        <w:t>(the</w:t>
      </w:r>
      <w:r>
        <w:rPr>
          <w:spacing w:val="-5"/>
          <w:sz w:val="20"/>
        </w:rPr>
        <w:t> </w:t>
      </w:r>
      <w:r>
        <w:rPr>
          <w:sz w:val="20"/>
        </w:rPr>
        <w:t>“throw-in”</w:t>
      </w:r>
      <w:r>
        <w:rPr>
          <w:spacing w:val="-6"/>
          <w:sz w:val="20"/>
        </w:rPr>
        <w:t> </w:t>
      </w:r>
      <w:r>
        <w:rPr>
          <w:sz w:val="20"/>
        </w:rPr>
        <w:t>system).</w:t>
      </w:r>
      <w:r>
        <w:rPr>
          <w:spacing w:val="-6"/>
          <w:sz w:val="20"/>
        </w:rPr>
        <w:t> </w:t>
      </w:r>
      <w:r>
        <w:rPr>
          <w:sz w:val="20"/>
        </w:rPr>
        <w:t>This</w:t>
      </w:r>
      <w:r>
        <w:rPr>
          <w:spacing w:val="-5"/>
          <w:sz w:val="20"/>
        </w:rPr>
        <w:t> </w:t>
      </w:r>
      <w:r>
        <w:rPr>
          <w:sz w:val="20"/>
        </w:rPr>
        <w:t>would modify</w:t>
      </w:r>
      <w:r>
        <w:rPr>
          <w:spacing w:val="-12"/>
          <w:sz w:val="20"/>
        </w:rPr>
        <w:t> </w:t>
      </w:r>
      <w:r>
        <w:rPr>
          <w:sz w:val="20"/>
        </w:rPr>
        <w:t>the</w:t>
      </w:r>
      <w:r>
        <w:rPr>
          <w:spacing w:val="-9"/>
          <w:sz w:val="20"/>
        </w:rPr>
        <w:t> </w:t>
      </w:r>
      <w:r>
        <w:rPr>
          <w:sz w:val="20"/>
        </w:rPr>
        <w:t>application</w:t>
      </w:r>
      <w:r>
        <w:rPr>
          <w:spacing w:val="-7"/>
          <w:sz w:val="20"/>
        </w:rPr>
        <w:t> </w:t>
      </w:r>
      <w:r>
        <w:rPr>
          <w:sz w:val="20"/>
        </w:rPr>
        <w:t>of</w:t>
      </w:r>
      <w:r>
        <w:rPr>
          <w:spacing w:val="-7"/>
          <w:sz w:val="20"/>
        </w:rPr>
        <w:t> </w:t>
      </w:r>
      <w:r>
        <w:rPr>
          <w:sz w:val="20"/>
        </w:rPr>
        <w:t>the</w:t>
      </w:r>
      <w:r>
        <w:rPr>
          <w:spacing w:val="-9"/>
          <w:sz w:val="20"/>
        </w:rPr>
        <w:t> </w:t>
      </w:r>
      <w:r>
        <w:rPr>
          <w:sz w:val="20"/>
        </w:rPr>
        <w:t>revenue-based</w:t>
      </w:r>
      <w:r>
        <w:rPr>
          <w:spacing w:val="-9"/>
          <w:sz w:val="20"/>
        </w:rPr>
        <w:t> </w:t>
      </w:r>
      <w:r>
        <w:rPr>
          <w:sz w:val="20"/>
        </w:rPr>
        <w:t>allocation</w:t>
      </w:r>
      <w:r>
        <w:rPr>
          <w:spacing w:val="-7"/>
          <w:sz w:val="20"/>
        </w:rPr>
        <w:t> </w:t>
      </w:r>
      <w:r>
        <w:rPr>
          <w:sz w:val="20"/>
        </w:rPr>
        <w:t>key</w:t>
      </w:r>
      <w:r>
        <w:rPr>
          <w:spacing w:val="-15"/>
          <w:sz w:val="20"/>
        </w:rPr>
        <w:t> </w:t>
      </w:r>
      <w:r>
        <w:rPr>
          <w:sz w:val="20"/>
        </w:rPr>
        <w:t>described</w:t>
      </w:r>
      <w:r>
        <w:rPr>
          <w:spacing w:val="-7"/>
          <w:sz w:val="20"/>
        </w:rPr>
        <w:t> </w:t>
      </w:r>
      <w:r>
        <w:rPr>
          <w:sz w:val="20"/>
        </w:rPr>
        <w:t>above</w:t>
      </w:r>
      <w:r>
        <w:rPr>
          <w:spacing w:val="-9"/>
          <w:sz w:val="20"/>
        </w:rPr>
        <w:t> </w:t>
      </w:r>
      <w:r>
        <w:rPr>
          <w:sz w:val="20"/>
        </w:rPr>
        <w:t>in</w:t>
      </w:r>
      <w:r>
        <w:rPr>
          <w:spacing w:val="-9"/>
          <w:sz w:val="20"/>
        </w:rPr>
        <w:t> </w:t>
      </w:r>
      <w:r>
        <w:rPr>
          <w:sz w:val="20"/>
        </w:rPr>
        <w:t>paragraph</w:t>
      </w:r>
      <w:r>
        <w:rPr>
          <w:spacing w:val="-3"/>
          <w:sz w:val="20"/>
        </w:rPr>
        <w:t> </w:t>
      </w:r>
      <w:hyperlink w:history="true" w:anchor="_bookmark46">
        <w:r>
          <w:rPr>
            <w:sz w:val="20"/>
          </w:rPr>
          <w:t>516,</w:t>
        </w:r>
        <w:r>
          <w:rPr>
            <w:spacing w:val="-6"/>
            <w:sz w:val="20"/>
          </w:rPr>
          <w:t> </w:t>
        </w:r>
      </w:hyperlink>
      <w:r>
        <w:rPr>
          <w:sz w:val="20"/>
        </w:rPr>
        <w:t>and</w:t>
      </w:r>
      <w:r>
        <w:rPr>
          <w:spacing w:val="-7"/>
          <w:sz w:val="20"/>
        </w:rPr>
        <w:t> </w:t>
      </w:r>
      <w:r>
        <w:rPr>
          <w:sz w:val="20"/>
        </w:rPr>
        <w:t>require determining the source of all in-scope revenue (including revenue sourced in non-eligible market jurisdictions).</w:t>
      </w:r>
      <w:r>
        <w:rPr>
          <w:position w:val="6"/>
          <w:sz w:val="13"/>
        </w:rPr>
        <w:t>101</w:t>
      </w:r>
    </w:p>
    <w:p>
      <w:pPr>
        <w:pStyle w:val="BodyText"/>
        <w:spacing w:before="5"/>
        <w:rPr>
          <w:sz w:val="23"/>
        </w:rPr>
      </w:pPr>
    </w:p>
    <w:p>
      <w:pPr>
        <w:pStyle w:val="Heading6"/>
        <w:numPr>
          <w:ilvl w:val="2"/>
          <w:numId w:val="65"/>
        </w:numPr>
        <w:tabs>
          <w:tab w:pos="2015" w:val="left" w:leader="none"/>
        </w:tabs>
        <w:spacing w:line="240" w:lineRule="auto" w:before="1" w:after="0"/>
        <w:ind w:left="2014" w:right="0" w:hanging="613"/>
        <w:jc w:val="left"/>
        <w:rPr>
          <w:i/>
        </w:rPr>
      </w:pPr>
      <w:bookmarkStart w:name="6.2.4. Approaches to implement the formu" w:id="293"/>
      <w:bookmarkEnd w:id="293"/>
      <w:r>
        <w:rPr>
          <w:b w:val="0"/>
          <w:i w:val="0"/>
        </w:rPr>
      </w:r>
      <w:bookmarkStart w:name="_bookmark47" w:id="294"/>
      <w:bookmarkEnd w:id="294"/>
      <w:r>
        <w:rPr>
          <w:b w:val="0"/>
          <w:i w:val="0"/>
        </w:rPr>
      </w:r>
      <w:bookmarkStart w:name="_bookmark47" w:id="295"/>
      <w:bookmarkEnd w:id="295"/>
      <w:r>
        <w:rPr>
          <w:i/>
        </w:rPr>
        <w:t>A</w:t>
      </w:r>
      <w:r>
        <w:rPr>
          <w:i/>
        </w:rPr>
        <w:t>pproaches to implement the</w:t>
      </w:r>
      <w:r>
        <w:rPr>
          <w:i/>
          <w:spacing w:val="-4"/>
        </w:rPr>
        <w:t> </w:t>
      </w:r>
      <w:r>
        <w:rPr>
          <w:i/>
        </w:rPr>
        <w:t>formula</w:t>
      </w:r>
    </w:p>
    <w:p>
      <w:pPr>
        <w:pStyle w:val="BodyText"/>
        <w:spacing w:before="9"/>
        <w:rPr>
          <w:b/>
          <w:i/>
          <w:sz w:val="18"/>
        </w:rPr>
      </w:pPr>
    </w:p>
    <w:p>
      <w:pPr>
        <w:pStyle w:val="ListParagraph"/>
        <w:numPr>
          <w:ilvl w:val="0"/>
          <w:numId w:val="13"/>
        </w:numPr>
        <w:tabs>
          <w:tab w:pos="1444" w:val="left" w:leader="none"/>
        </w:tabs>
        <w:spacing w:line="271" w:lineRule="auto" w:before="1" w:after="0"/>
        <w:ind w:left="723" w:right="482" w:firstLine="0"/>
        <w:jc w:val="both"/>
        <w:rPr>
          <w:sz w:val="20"/>
        </w:rPr>
      </w:pPr>
      <w:r>
        <w:rPr>
          <w:sz w:val="20"/>
        </w:rPr>
        <w:t>To</w:t>
      </w:r>
      <w:r>
        <w:rPr>
          <w:spacing w:val="-12"/>
          <w:sz w:val="20"/>
        </w:rPr>
        <w:t> </w:t>
      </w:r>
      <w:r>
        <w:rPr>
          <w:sz w:val="20"/>
        </w:rPr>
        <w:t>summarise,</w:t>
      </w:r>
      <w:r>
        <w:rPr>
          <w:spacing w:val="-12"/>
          <w:sz w:val="20"/>
        </w:rPr>
        <w:t> </w:t>
      </w:r>
      <w:r>
        <w:rPr>
          <w:sz w:val="20"/>
        </w:rPr>
        <w:t>a</w:t>
      </w:r>
      <w:r>
        <w:rPr>
          <w:spacing w:val="-11"/>
          <w:sz w:val="20"/>
        </w:rPr>
        <w:t> </w:t>
      </w:r>
      <w:r>
        <w:rPr>
          <w:sz w:val="20"/>
        </w:rPr>
        <w:t>three-step</w:t>
      </w:r>
      <w:r>
        <w:rPr>
          <w:spacing w:val="-10"/>
          <w:sz w:val="20"/>
        </w:rPr>
        <w:t> </w:t>
      </w:r>
      <w:r>
        <w:rPr>
          <w:sz w:val="20"/>
        </w:rPr>
        <w:t>process</w:t>
      </w:r>
      <w:r>
        <w:rPr>
          <w:spacing w:val="-10"/>
          <w:sz w:val="20"/>
        </w:rPr>
        <w:t> </w:t>
      </w:r>
      <w:r>
        <w:rPr>
          <w:sz w:val="20"/>
        </w:rPr>
        <w:t>will</w:t>
      </w:r>
      <w:r>
        <w:rPr>
          <w:spacing w:val="-10"/>
          <w:sz w:val="20"/>
        </w:rPr>
        <w:t> </w:t>
      </w:r>
      <w:r>
        <w:rPr>
          <w:sz w:val="20"/>
        </w:rPr>
        <w:t>be</w:t>
      </w:r>
      <w:r>
        <w:rPr>
          <w:spacing w:val="-11"/>
          <w:sz w:val="20"/>
        </w:rPr>
        <w:t> </w:t>
      </w:r>
      <w:r>
        <w:rPr>
          <w:sz w:val="20"/>
        </w:rPr>
        <w:t>required</w:t>
      </w:r>
      <w:r>
        <w:rPr>
          <w:spacing w:val="-12"/>
          <w:sz w:val="20"/>
        </w:rPr>
        <w:t> </w:t>
      </w:r>
      <w:r>
        <w:rPr>
          <w:sz w:val="20"/>
        </w:rPr>
        <w:t>to</w:t>
      </w:r>
      <w:r>
        <w:rPr>
          <w:spacing w:val="-9"/>
          <w:sz w:val="20"/>
        </w:rPr>
        <w:t> </w:t>
      </w:r>
      <w:r>
        <w:rPr>
          <w:sz w:val="20"/>
        </w:rPr>
        <w:t>calculate</w:t>
      </w:r>
      <w:r>
        <w:rPr>
          <w:spacing w:val="-11"/>
          <w:sz w:val="20"/>
        </w:rPr>
        <w:t> </w:t>
      </w:r>
      <w:r>
        <w:rPr>
          <w:sz w:val="20"/>
        </w:rPr>
        <w:t>the</w:t>
      </w:r>
      <w:r>
        <w:rPr>
          <w:spacing w:val="-12"/>
          <w:sz w:val="20"/>
        </w:rPr>
        <w:t> </w:t>
      </w:r>
      <w:r>
        <w:rPr>
          <w:sz w:val="20"/>
        </w:rPr>
        <w:t>quantum</w:t>
      </w:r>
      <w:r>
        <w:rPr>
          <w:spacing w:val="-7"/>
          <w:sz w:val="20"/>
        </w:rPr>
        <w:t> </w:t>
      </w:r>
      <w:r>
        <w:rPr>
          <w:sz w:val="20"/>
        </w:rPr>
        <w:t>of</w:t>
      </w:r>
      <w:r>
        <w:rPr>
          <w:spacing w:val="-9"/>
          <w:sz w:val="20"/>
        </w:rPr>
        <w:t> </w:t>
      </w:r>
      <w:r>
        <w:rPr>
          <w:sz w:val="20"/>
        </w:rPr>
        <w:t>Amount</w:t>
      </w:r>
      <w:r>
        <w:rPr>
          <w:spacing w:val="-11"/>
          <w:sz w:val="20"/>
        </w:rPr>
        <w:t> </w:t>
      </w:r>
      <w:r>
        <w:rPr>
          <w:sz w:val="20"/>
        </w:rPr>
        <w:t>A</w:t>
      </w:r>
      <w:r>
        <w:rPr>
          <w:spacing w:val="-12"/>
          <w:sz w:val="20"/>
        </w:rPr>
        <w:t> </w:t>
      </w:r>
      <w:r>
        <w:rPr>
          <w:sz w:val="20"/>
        </w:rPr>
        <w:t>taxable in each eligible market jurisdiction. This process could be implemented by either using absolute amounts of profit (the “profit-based approach”) or, alternatively, profit ratios (the “profit margin-based approach”). A profit-based approach would start the calculation from the Amount A tax base determined as a profit amount (e.g. an absolute profit of EUR 10 million), whereas a profit-margin approach would start the calculation from the Amount A tax base determined as a profit margin (e.g. a PBT to revenue of 15%). Both approaches would apply the above-described steps without changes or variations, and hence would provide the same quantum of Amount A taxable in each market jurisdiction. As a next step, the Inclusive Framework will determine which approach will be used to implement the Amount A formula. The profit- based approach and profit margin-based approach are discussed in more detail in Annex</w:t>
      </w:r>
      <w:r>
        <w:rPr>
          <w:spacing w:val="-21"/>
          <w:sz w:val="20"/>
        </w:rPr>
        <w:t> </w:t>
      </w:r>
      <w:r>
        <w:rPr>
          <w:sz w:val="20"/>
        </w:rPr>
        <w:t>B.</w:t>
      </w:r>
    </w:p>
    <w:p>
      <w:pPr>
        <w:pStyle w:val="BodyText"/>
        <w:rPr>
          <w:sz w:val="22"/>
        </w:rPr>
      </w:pPr>
    </w:p>
    <w:p>
      <w:pPr>
        <w:pStyle w:val="Heading4"/>
        <w:numPr>
          <w:ilvl w:val="1"/>
          <w:numId w:val="65"/>
        </w:numPr>
        <w:tabs>
          <w:tab w:pos="1192" w:val="left" w:leader="none"/>
        </w:tabs>
        <w:spacing w:line="240" w:lineRule="auto" w:before="192" w:after="0"/>
        <w:ind w:left="1191" w:right="0" w:hanging="469"/>
        <w:jc w:val="both"/>
        <w:rPr>
          <w:rFonts w:ascii="Arial"/>
        </w:rPr>
      </w:pPr>
      <w:bookmarkStart w:name="6.3. Potential differentiation mechanism" w:id="296"/>
      <w:bookmarkEnd w:id="296"/>
      <w:r>
        <w:rPr>
          <w:b w:val="0"/>
        </w:rPr>
      </w:r>
      <w:bookmarkStart w:name="_bookmark48" w:id="297"/>
      <w:bookmarkEnd w:id="297"/>
      <w:r>
        <w:rPr>
          <w:b w:val="0"/>
        </w:rPr>
      </w:r>
      <w:bookmarkStart w:name="_bookmark48" w:id="298"/>
      <w:bookmarkEnd w:id="298"/>
      <w:r>
        <w:rPr>
          <w:rFonts w:ascii="Arial"/>
          <w:color w:val="4E81BD"/>
        </w:rPr>
        <w:t>Po</w:t>
      </w:r>
      <w:r>
        <w:rPr>
          <w:rFonts w:ascii="Arial"/>
          <w:color w:val="4E81BD"/>
        </w:rPr>
        <w:t>tential differentiation</w:t>
      </w:r>
      <w:r>
        <w:rPr>
          <w:rFonts w:ascii="Arial"/>
          <w:color w:val="4E81BD"/>
          <w:spacing w:val="-1"/>
        </w:rPr>
        <w:t> </w:t>
      </w:r>
      <w:r>
        <w:rPr>
          <w:rFonts w:ascii="Arial"/>
          <w:color w:val="4E81BD"/>
        </w:rPr>
        <w:t>mechanisms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The technical work has considered whether the different components </w:t>
      </w:r>
      <w:r>
        <w:rPr>
          <w:spacing w:val="3"/>
          <w:sz w:val="20"/>
        </w:rPr>
        <w:t>of </w:t>
      </w:r>
      <w:r>
        <w:rPr>
          <w:sz w:val="20"/>
        </w:rPr>
        <w:t>the formula described above should apply similarly in all circumstances, or whether some variations are necessary to increase (or decrease) the amount of profit reallocated to market jurisdictions in some cases (the “differentiation mechanisms”). Such variations could have a significant impact to the general application of the Amount A rules.</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Consistent with proposals formulated by some Inclusive Framework members, a differentiation mechanism could potentially be introduced</w:t>
      </w:r>
      <w:r>
        <w:rPr>
          <w:spacing w:val="-4"/>
          <w:sz w:val="20"/>
        </w:rPr>
        <w:t> </w:t>
      </w:r>
      <w:r>
        <w:rPr>
          <w:sz w:val="20"/>
        </w:rPr>
        <w:t>to:</w:t>
      </w:r>
    </w:p>
    <w:p>
      <w:pPr>
        <w:pStyle w:val="ListParagraph"/>
        <w:numPr>
          <w:ilvl w:val="1"/>
          <w:numId w:val="13"/>
        </w:numPr>
        <w:tabs>
          <w:tab w:pos="1403" w:val="left" w:leader="none"/>
        </w:tabs>
        <w:spacing w:line="271" w:lineRule="auto" w:before="98" w:after="0"/>
        <w:ind w:left="1402" w:right="483" w:hanging="339"/>
        <w:jc w:val="both"/>
        <w:rPr>
          <w:sz w:val="20"/>
        </w:rPr>
      </w:pPr>
      <w:r>
        <w:rPr>
          <w:sz w:val="20"/>
        </w:rPr>
        <w:t>Account for different degrees of digitalisation between in-scope business activities (e.g. based on the</w:t>
      </w:r>
      <w:r>
        <w:rPr>
          <w:spacing w:val="-10"/>
          <w:sz w:val="20"/>
        </w:rPr>
        <w:t> </w:t>
      </w:r>
      <w:r>
        <w:rPr>
          <w:sz w:val="20"/>
        </w:rPr>
        <w:t>ADS</w:t>
      </w:r>
      <w:r>
        <w:rPr>
          <w:spacing w:val="-8"/>
          <w:sz w:val="20"/>
        </w:rPr>
        <w:t> </w:t>
      </w:r>
      <w:r>
        <w:rPr>
          <w:sz w:val="20"/>
        </w:rPr>
        <w:t>definition</w:t>
      </w:r>
      <w:r>
        <w:rPr>
          <w:spacing w:val="-10"/>
          <w:sz w:val="20"/>
        </w:rPr>
        <w:t> </w:t>
      </w:r>
      <w:r>
        <w:rPr>
          <w:sz w:val="20"/>
        </w:rPr>
        <w:t>used</w:t>
      </w:r>
      <w:r>
        <w:rPr>
          <w:spacing w:val="-9"/>
          <w:sz w:val="20"/>
        </w:rPr>
        <w:t> </w:t>
      </w:r>
      <w:r>
        <w:rPr>
          <w:sz w:val="20"/>
        </w:rPr>
        <w:t>for</w:t>
      </w:r>
      <w:r>
        <w:rPr>
          <w:spacing w:val="-9"/>
          <w:sz w:val="20"/>
        </w:rPr>
        <w:t> </w:t>
      </w:r>
      <w:r>
        <w:rPr>
          <w:sz w:val="20"/>
        </w:rPr>
        <w:t>scope),</w:t>
      </w:r>
      <w:r>
        <w:rPr>
          <w:spacing w:val="-9"/>
          <w:sz w:val="20"/>
        </w:rPr>
        <w:t> </w:t>
      </w:r>
      <w:r>
        <w:rPr>
          <w:sz w:val="20"/>
        </w:rPr>
        <w:t>and</w:t>
      </w:r>
      <w:r>
        <w:rPr>
          <w:spacing w:val="-7"/>
          <w:sz w:val="20"/>
        </w:rPr>
        <w:t> </w:t>
      </w:r>
      <w:r>
        <w:rPr>
          <w:sz w:val="20"/>
        </w:rPr>
        <w:t>increase</w:t>
      </w:r>
      <w:r>
        <w:rPr>
          <w:spacing w:val="-8"/>
          <w:sz w:val="20"/>
        </w:rPr>
        <w:t> </w:t>
      </w:r>
      <w:r>
        <w:rPr>
          <w:sz w:val="20"/>
        </w:rPr>
        <w:t>the</w:t>
      </w:r>
      <w:r>
        <w:rPr>
          <w:spacing w:val="-8"/>
          <w:sz w:val="20"/>
        </w:rPr>
        <w:t> </w:t>
      </w:r>
      <w:r>
        <w:rPr>
          <w:sz w:val="20"/>
        </w:rPr>
        <w:t>quantum</w:t>
      </w:r>
      <w:r>
        <w:rPr>
          <w:spacing w:val="-6"/>
          <w:sz w:val="20"/>
        </w:rPr>
        <w:t> </w:t>
      </w:r>
      <w:r>
        <w:rPr>
          <w:sz w:val="20"/>
        </w:rPr>
        <w:t>of</w:t>
      </w:r>
      <w:r>
        <w:rPr>
          <w:spacing w:val="-8"/>
          <w:sz w:val="20"/>
        </w:rPr>
        <w:t> </w:t>
      </w:r>
      <w:r>
        <w:rPr>
          <w:sz w:val="20"/>
        </w:rPr>
        <w:t>profit</w:t>
      </w:r>
      <w:r>
        <w:rPr>
          <w:spacing w:val="-9"/>
          <w:sz w:val="20"/>
        </w:rPr>
        <w:t> </w:t>
      </w:r>
      <w:r>
        <w:rPr>
          <w:sz w:val="20"/>
        </w:rPr>
        <w:t>reallocated</w:t>
      </w:r>
      <w:r>
        <w:rPr>
          <w:spacing w:val="-10"/>
          <w:sz w:val="20"/>
        </w:rPr>
        <w:t> </w:t>
      </w:r>
      <w:r>
        <w:rPr>
          <w:sz w:val="20"/>
        </w:rPr>
        <w:t>for</w:t>
      </w:r>
      <w:r>
        <w:rPr>
          <w:spacing w:val="-9"/>
          <w:sz w:val="20"/>
        </w:rPr>
        <w:t> </w:t>
      </w:r>
      <w:r>
        <w:rPr>
          <w:sz w:val="20"/>
        </w:rPr>
        <w:t>certain</w:t>
      </w:r>
      <w:r>
        <w:rPr>
          <w:spacing w:val="-9"/>
          <w:sz w:val="20"/>
        </w:rPr>
        <w:t> </w:t>
      </w:r>
      <w:r>
        <w:rPr>
          <w:sz w:val="20"/>
        </w:rPr>
        <w:t>types of</w:t>
      </w:r>
      <w:r>
        <w:rPr>
          <w:spacing w:val="-6"/>
          <w:sz w:val="20"/>
        </w:rPr>
        <w:t> </w:t>
      </w:r>
      <w:r>
        <w:rPr>
          <w:sz w:val="20"/>
        </w:rPr>
        <w:t>business</w:t>
      </w:r>
      <w:r>
        <w:rPr>
          <w:spacing w:val="-6"/>
          <w:sz w:val="20"/>
        </w:rPr>
        <w:t> </w:t>
      </w:r>
      <w:r>
        <w:rPr>
          <w:sz w:val="20"/>
        </w:rPr>
        <w:t>activities</w:t>
      </w:r>
      <w:r>
        <w:rPr>
          <w:spacing w:val="-5"/>
          <w:sz w:val="20"/>
        </w:rPr>
        <w:t> </w:t>
      </w:r>
      <w:r>
        <w:rPr>
          <w:sz w:val="20"/>
        </w:rPr>
        <w:t>(hereafter,</w:t>
      </w:r>
      <w:r>
        <w:rPr>
          <w:spacing w:val="-7"/>
          <w:sz w:val="20"/>
        </w:rPr>
        <w:t> </w:t>
      </w:r>
      <w:r>
        <w:rPr>
          <w:sz w:val="20"/>
        </w:rPr>
        <w:t>“digital</w:t>
      </w:r>
      <w:r>
        <w:rPr>
          <w:spacing w:val="-8"/>
          <w:sz w:val="20"/>
        </w:rPr>
        <w:t> </w:t>
      </w:r>
      <w:r>
        <w:rPr>
          <w:sz w:val="20"/>
        </w:rPr>
        <w:t>differentiation”).</w:t>
      </w:r>
      <w:r>
        <w:rPr>
          <w:spacing w:val="-5"/>
          <w:sz w:val="20"/>
        </w:rPr>
        <w:t> </w:t>
      </w:r>
      <w:r>
        <w:rPr>
          <w:sz w:val="20"/>
        </w:rPr>
        <w:t>This</w:t>
      </w:r>
      <w:r>
        <w:rPr>
          <w:spacing w:val="-6"/>
          <w:sz w:val="20"/>
        </w:rPr>
        <w:t> </w:t>
      </w:r>
      <w:r>
        <w:rPr>
          <w:sz w:val="20"/>
        </w:rPr>
        <w:t>would</w:t>
      </w:r>
      <w:r>
        <w:rPr>
          <w:spacing w:val="-7"/>
          <w:sz w:val="20"/>
        </w:rPr>
        <w:t> </w:t>
      </w:r>
      <w:r>
        <w:rPr>
          <w:sz w:val="20"/>
        </w:rPr>
        <w:t>seek</w:t>
      </w:r>
      <w:r>
        <w:rPr>
          <w:spacing w:val="-5"/>
          <w:sz w:val="20"/>
        </w:rPr>
        <w:t> </w:t>
      </w:r>
      <w:r>
        <w:rPr>
          <w:sz w:val="20"/>
        </w:rPr>
        <w:t>to</w:t>
      </w:r>
      <w:r>
        <w:rPr>
          <w:spacing w:val="-7"/>
          <w:sz w:val="20"/>
        </w:rPr>
        <w:t> </w:t>
      </w:r>
      <w:r>
        <w:rPr>
          <w:sz w:val="20"/>
        </w:rPr>
        <w:t>target</w:t>
      </w:r>
      <w:r>
        <w:rPr>
          <w:spacing w:val="-6"/>
          <w:sz w:val="20"/>
        </w:rPr>
        <w:t> </w:t>
      </w:r>
      <w:r>
        <w:rPr>
          <w:sz w:val="20"/>
        </w:rPr>
        <w:t>businesses</w:t>
      </w:r>
      <w:r>
        <w:rPr>
          <w:spacing w:val="-5"/>
          <w:sz w:val="20"/>
        </w:rPr>
        <w:t> </w:t>
      </w:r>
      <w:r>
        <w:rPr>
          <w:sz w:val="20"/>
        </w:rPr>
        <w:t>with lower marginal costs that are seen as deriving greater benefits from scale without</w:t>
      </w:r>
      <w:r>
        <w:rPr>
          <w:spacing w:val="-20"/>
          <w:sz w:val="20"/>
        </w:rPr>
        <w:t> </w:t>
      </w:r>
      <w:r>
        <w:rPr>
          <w:sz w:val="20"/>
        </w:rPr>
        <w:t>mass.</w:t>
      </w:r>
    </w:p>
    <w:p>
      <w:pPr>
        <w:pStyle w:val="ListParagraph"/>
        <w:numPr>
          <w:ilvl w:val="1"/>
          <w:numId w:val="13"/>
        </w:numPr>
        <w:tabs>
          <w:tab w:pos="1403" w:val="left" w:leader="none"/>
        </w:tabs>
        <w:spacing w:line="271" w:lineRule="auto" w:before="45" w:after="0"/>
        <w:ind w:left="1402" w:right="489" w:hanging="339"/>
        <w:jc w:val="both"/>
        <w:rPr>
          <w:sz w:val="20"/>
        </w:rPr>
      </w:pPr>
      <w:r>
        <w:rPr>
          <w:sz w:val="20"/>
        </w:rPr>
        <w:t>Account for substantial variations in profitability between different market jurisdictions, and increase the quantum of profit reallocated to market jurisdictions where the profitability is significantly higher than the average profitability of the segment (hereafter, “jurisdictional differentiation”).</w:t>
      </w:r>
      <w:r>
        <w:rPr>
          <w:spacing w:val="29"/>
          <w:sz w:val="20"/>
        </w:rPr>
        <w:t> </w:t>
      </w:r>
      <w:r>
        <w:rPr>
          <w:sz w:val="20"/>
        </w:rPr>
        <w:t>Such</w:t>
      </w:r>
      <w:r>
        <w:rPr>
          <w:spacing w:val="29"/>
          <w:sz w:val="20"/>
        </w:rPr>
        <w:t> </w:t>
      </w:r>
      <w:r>
        <w:rPr>
          <w:sz w:val="20"/>
        </w:rPr>
        <w:t>differentiation</w:t>
      </w:r>
      <w:r>
        <w:rPr>
          <w:spacing w:val="28"/>
          <w:sz w:val="20"/>
        </w:rPr>
        <w:t> </w:t>
      </w:r>
      <w:r>
        <w:rPr>
          <w:sz w:val="20"/>
        </w:rPr>
        <w:t>could</w:t>
      </w:r>
      <w:r>
        <w:rPr>
          <w:spacing w:val="29"/>
          <w:sz w:val="20"/>
        </w:rPr>
        <w:t> </w:t>
      </w:r>
      <w:r>
        <w:rPr>
          <w:sz w:val="20"/>
        </w:rPr>
        <w:t>be</w:t>
      </w:r>
      <w:r>
        <w:rPr>
          <w:spacing w:val="30"/>
          <w:sz w:val="20"/>
        </w:rPr>
        <w:t> </w:t>
      </w:r>
      <w:r>
        <w:rPr>
          <w:sz w:val="20"/>
        </w:rPr>
        <w:t>a</w:t>
      </w:r>
      <w:r>
        <w:rPr>
          <w:spacing w:val="29"/>
          <w:sz w:val="20"/>
        </w:rPr>
        <w:t> </w:t>
      </w:r>
      <w:r>
        <w:rPr>
          <w:sz w:val="20"/>
        </w:rPr>
        <w:t>simplified</w:t>
      </w:r>
      <w:r>
        <w:rPr>
          <w:spacing w:val="28"/>
          <w:sz w:val="20"/>
        </w:rPr>
        <w:t> </w:t>
      </w:r>
      <w:r>
        <w:rPr>
          <w:sz w:val="20"/>
        </w:rPr>
        <w:t>alternative</w:t>
      </w:r>
      <w:r>
        <w:rPr>
          <w:spacing w:val="29"/>
          <w:sz w:val="20"/>
        </w:rPr>
        <w:t> </w:t>
      </w:r>
      <w:r>
        <w:rPr>
          <w:sz w:val="20"/>
        </w:rPr>
        <w:t>to</w:t>
      </w:r>
      <w:r>
        <w:rPr>
          <w:spacing w:val="29"/>
          <w:sz w:val="20"/>
        </w:rPr>
        <w:t> </w:t>
      </w:r>
      <w:r>
        <w:rPr>
          <w:sz w:val="20"/>
        </w:rPr>
        <w:t>the</w:t>
      </w:r>
      <w:r>
        <w:rPr>
          <w:spacing w:val="29"/>
          <w:sz w:val="20"/>
        </w:rPr>
        <w:t> </w:t>
      </w:r>
      <w:r>
        <w:rPr>
          <w:sz w:val="20"/>
        </w:rPr>
        <w:t>jurisdictional</w:t>
      </w:r>
    </w:p>
    <w:p>
      <w:pPr>
        <w:pStyle w:val="BodyText"/>
      </w:pPr>
    </w:p>
    <w:p>
      <w:pPr>
        <w:pStyle w:val="BodyText"/>
      </w:pPr>
    </w:p>
    <w:p>
      <w:pPr>
        <w:pStyle w:val="BodyText"/>
        <w:spacing w:before="3"/>
        <w:rPr>
          <w:sz w:val="15"/>
        </w:rPr>
      </w:pPr>
      <w:r>
        <w:rPr/>
        <w:pict>
          <v:rect style="position:absolute;margin-left:65.183998pt;margin-top:10.728378pt;width:144.020004pt;height:.60004pt;mso-position-horizontal-relative:page;mso-position-vertical-relative:paragraph;z-index:-15659008;mso-wrap-distance-left:0;mso-wrap-distance-right:0" filled="true" fillcolor="#000000" stroked="false">
            <v:fill type="solid"/>
            <w10:wrap type="topAndBottom"/>
          </v:rect>
        </w:pict>
      </w:r>
    </w:p>
    <w:p>
      <w:pPr>
        <w:pStyle w:val="BodyText"/>
        <w:spacing w:before="1"/>
      </w:pPr>
    </w:p>
    <w:p>
      <w:pPr>
        <w:spacing w:line="278" w:lineRule="auto" w:before="94"/>
        <w:ind w:left="723" w:right="490" w:firstLine="0"/>
        <w:jc w:val="both"/>
        <w:rPr>
          <w:sz w:val="18"/>
        </w:rPr>
      </w:pPr>
      <w:r>
        <w:rPr>
          <w:sz w:val="18"/>
        </w:rPr>
        <w:t>80% of the Amount A tax base would be allocated to market jurisdictions under Amount A. The 20% would remain unallocated because it relates to revenue derived from out of scope activities.</w:t>
      </w:r>
    </w:p>
    <w:p>
      <w:pPr>
        <w:pStyle w:val="ListParagraph"/>
        <w:numPr>
          <w:ilvl w:val="0"/>
          <w:numId w:val="14"/>
        </w:numPr>
        <w:tabs>
          <w:tab w:pos="1012" w:val="left" w:leader="none"/>
        </w:tabs>
        <w:spacing w:line="278" w:lineRule="auto" w:before="77" w:after="0"/>
        <w:ind w:left="723" w:right="481" w:firstLine="0"/>
        <w:jc w:val="both"/>
        <w:rPr>
          <w:sz w:val="18"/>
        </w:rPr>
      </w:pPr>
      <w:r>
        <w:rPr>
          <w:sz w:val="18"/>
        </w:rPr>
        <w:t>The calculation of Amount A already requires MNE groups to determine the total revenue used in computing the Amount A tax base (and where relevant attributable to each segment). Hence, only data on revenue sourced in one eligible jurisdiction would need to be verified to calculate a market specific Amount A tax liability under a throwback system. In contrast, under a throw-in system, the calculation would require verification of the revenue sourced in all market</w:t>
      </w:r>
      <w:r>
        <w:rPr>
          <w:spacing w:val="-1"/>
          <w:sz w:val="18"/>
        </w:rPr>
        <w:t> </w:t>
      </w:r>
      <w:r>
        <w:rPr>
          <w:sz w:val="18"/>
        </w:rPr>
        <w:t>jurisdictions.</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92"/>
        <w:jc w:val="both"/>
      </w:pPr>
      <w:r>
        <w:rPr/>
        <w:t>segmentation examined in the context of tax base determination, which in many instances raises questions about feasibility and administration (see section </w:t>
      </w:r>
      <w:hyperlink w:history="true" w:anchor="_bookmark31">
        <w:r>
          <w:rPr/>
          <w:t>5.3</w:t>
        </w:r>
      </w:hyperlink>
      <w:r>
        <w:rPr/>
        <w:t>).</w:t>
      </w:r>
    </w:p>
    <w:p>
      <w:pPr>
        <w:pStyle w:val="ListParagraph"/>
        <w:numPr>
          <w:ilvl w:val="0"/>
          <w:numId w:val="13"/>
        </w:numPr>
        <w:tabs>
          <w:tab w:pos="1444" w:val="left" w:leader="none"/>
        </w:tabs>
        <w:spacing w:line="271" w:lineRule="auto" w:before="126" w:after="0"/>
        <w:ind w:left="723" w:right="485" w:firstLine="0"/>
        <w:jc w:val="both"/>
        <w:rPr>
          <w:sz w:val="20"/>
        </w:rPr>
      </w:pPr>
      <w:r>
        <w:rPr>
          <w:sz w:val="20"/>
        </w:rPr>
        <w:t>Various mechanisms are available to provide for these types of differentiation. These include: (i) variations</w:t>
      </w:r>
      <w:r>
        <w:rPr>
          <w:spacing w:val="-16"/>
          <w:sz w:val="20"/>
        </w:rPr>
        <w:t> </w:t>
      </w:r>
      <w:r>
        <w:rPr>
          <w:sz w:val="20"/>
        </w:rPr>
        <w:t>to</w:t>
      </w:r>
      <w:r>
        <w:rPr>
          <w:spacing w:val="-17"/>
          <w:sz w:val="20"/>
        </w:rPr>
        <w:t> </w:t>
      </w:r>
      <w:r>
        <w:rPr>
          <w:sz w:val="20"/>
        </w:rPr>
        <w:t>the</w:t>
      </w:r>
      <w:r>
        <w:rPr>
          <w:spacing w:val="-18"/>
          <w:sz w:val="20"/>
        </w:rPr>
        <w:t> </w:t>
      </w:r>
      <w:r>
        <w:rPr>
          <w:sz w:val="20"/>
        </w:rPr>
        <w:t>calculation</w:t>
      </w:r>
      <w:r>
        <w:rPr>
          <w:spacing w:val="-14"/>
          <w:sz w:val="20"/>
        </w:rPr>
        <w:t> </w:t>
      </w:r>
      <w:r>
        <w:rPr>
          <w:sz w:val="20"/>
        </w:rPr>
        <w:t>of</w:t>
      </w:r>
      <w:r>
        <w:rPr>
          <w:spacing w:val="-15"/>
          <w:sz w:val="20"/>
        </w:rPr>
        <w:t> </w:t>
      </w:r>
      <w:r>
        <w:rPr>
          <w:sz w:val="20"/>
        </w:rPr>
        <w:t>the</w:t>
      </w:r>
      <w:r>
        <w:rPr>
          <w:spacing w:val="-18"/>
          <w:sz w:val="20"/>
        </w:rPr>
        <w:t> </w:t>
      </w:r>
      <w:r>
        <w:rPr>
          <w:sz w:val="20"/>
        </w:rPr>
        <w:t>allocable</w:t>
      </w:r>
      <w:r>
        <w:rPr>
          <w:spacing w:val="-16"/>
          <w:sz w:val="20"/>
        </w:rPr>
        <w:t> </w:t>
      </w:r>
      <w:r>
        <w:rPr>
          <w:sz w:val="20"/>
        </w:rPr>
        <w:t>tax</w:t>
      </w:r>
      <w:r>
        <w:rPr>
          <w:spacing w:val="-16"/>
          <w:sz w:val="20"/>
        </w:rPr>
        <w:t> </w:t>
      </w:r>
      <w:r>
        <w:rPr>
          <w:sz w:val="20"/>
        </w:rPr>
        <w:t>base,</w:t>
      </w:r>
      <w:r>
        <w:rPr>
          <w:spacing w:val="-17"/>
          <w:sz w:val="20"/>
        </w:rPr>
        <w:t> </w:t>
      </w:r>
      <w:r>
        <w:rPr>
          <w:sz w:val="20"/>
        </w:rPr>
        <w:t>for</w:t>
      </w:r>
      <w:r>
        <w:rPr>
          <w:spacing w:val="-14"/>
          <w:sz w:val="20"/>
        </w:rPr>
        <w:t> </w:t>
      </w:r>
      <w:r>
        <w:rPr>
          <w:sz w:val="20"/>
        </w:rPr>
        <w:t>example</w:t>
      </w:r>
      <w:r>
        <w:rPr>
          <w:spacing w:val="-17"/>
          <w:sz w:val="20"/>
        </w:rPr>
        <w:t> </w:t>
      </w:r>
      <w:r>
        <w:rPr>
          <w:sz w:val="20"/>
        </w:rPr>
        <w:t>by</w:t>
      </w:r>
      <w:r>
        <w:rPr>
          <w:spacing w:val="-17"/>
          <w:sz w:val="20"/>
        </w:rPr>
        <w:t> </w:t>
      </w:r>
      <w:r>
        <w:rPr>
          <w:sz w:val="20"/>
        </w:rPr>
        <w:t>increasing</w:t>
      </w:r>
      <w:r>
        <w:rPr>
          <w:spacing w:val="-18"/>
          <w:sz w:val="20"/>
        </w:rPr>
        <w:t> </w:t>
      </w:r>
      <w:r>
        <w:rPr>
          <w:sz w:val="20"/>
        </w:rPr>
        <w:t>the</w:t>
      </w:r>
      <w:r>
        <w:rPr>
          <w:spacing w:val="-16"/>
          <w:sz w:val="20"/>
        </w:rPr>
        <w:t> </w:t>
      </w:r>
      <w:r>
        <w:rPr>
          <w:sz w:val="20"/>
        </w:rPr>
        <w:t>reallocation</w:t>
      </w:r>
      <w:r>
        <w:rPr>
          <w:spacing w:val="-15"/>
          <w:sz w:val="20"/>
        </w:rPr>
        <w:t> </w:t>
      </w:r>
      <w:r>
        <w:rPr>
          <w:sz w:val="20"/>
        </w:rPr>
        <w:t>percentage (step 2) in specific circumstances; (ii) variations to the allocation key used to distribute the allocable tax base between market jurisdictions (step 3), for example by weighting the amount of revenue derived from market jurisdictions; and (iii) other variations, such as adding a specific “routine return” for certain digital activities (e.g. ADS) that can be conducted without any physical presence in market</w:t>
      </w:r>
      <w:r>
        <w:rPr>
          <w:spacing w:val="-31"/>
          <w:sz w:val="20"/>
        </w:rPr>
        <w:t> </w:t>
      </w:r>
      <w:r>
        <w:rPr>
          <w:sz w:val="20"/>
        </w:rPr>
        <w:t>jurisdictions.</w:t>
      </w:r>
    </w:p>
    <w:p>
      <w:pPr>
        <w:pStyle w:val="ListParagraph"/>
        <w:numPr>
          <w:ilvl w:val="0"/>
          <w:numId w:val="13"/>
        </w:numPr>
        <w:tabs>
          <w:tab w:pos="1444" w:val="left" w:leader="none"/>
        </w:tabs>
        <w:spacing w:line="273" w:lineRule="auto" w:before="121" w:after="0"/>
        <w:ind w:left="723" w:right="486" w:firstLine="0"/>
        <w:jc w:val="both"/>
        <w:rPr>
          <w:sz w:val="20"/>
        </w:rPr>
      </w:pPr>
      <w:r>
        <w:rPr>
          <w:sz w:val="20"/>
        </w:rPr>
        <w:t>The existing gaps between Inclusive Framework members on this policy issue will need to be resolved as part of the discussion of the quantum of Amount</w:t>
      </w:r>
      <w:r>
        <w:rPr>
          <w:spacing w:val="-6"/>
          <w:sz w:val="20"/>
        </w:rPr>
        <w:t> </w:t>
      </w:r>
      <w:r>
        <w:rPr>
          <w:sz w:val="20"/>
        </w:rPr>
        <w:t>A.</w:t>
      </w:r>
    </w:p>
    <w:p>
      <w:pPr>
        <w:pStyle w:val="BodyText"/>
        <w:spacing w:before="1"/>
        <w:rPr>
          <w:sz w:val="23"/>
        </w:rPr>
      </w:pPr>
    </w:p>
    <w:p>
      <w:pPr>
        <w:pStyle w:val="Heading6"/>
        <w:numPr>
          <w:ilvl w:val="2"/>
          <w:numId w:val="65"/>
        </w:numPr>
        <w:tabs>
          <w:tab w:pos="2015" w:val="left" w:leader="none"/>
        </w:tabs>
        <w:spacing w:line="240" w:lineRule="auto" w:before="0" w:after="0"/>
        <w:ind w:left="2014" w:right="0" w:hanging="613"/>
        <w:jc w:val="left"/>
        <w:rPr>
          <w:i/>
        </w:rPr>
      </w:pPr>
      <w:bookmarkStart w:name="6.3.1. Digital and other differentiation" w:id="299"/>
      <w:bookmarkEnd w:id="299"/>
      <w:r>
        <w:rPr>
          <w:b w:val="0"/>
          <w:i w:val="0"/>
        </w:rPr>
      </w:r>
      <w:bookmarkStart w:name="6.3.1. Digital and other differentiation" w:id="300"/>
      <w:bookmarkEnd w:id="300"/>
      <w:r>
        <w:rPr>
          <w:i/>
        </w:rPr>
        <w:t>D</w:t>
      </w:r>
      <w:r>
        <w:rPr>
          <w:i/>
        </w:rPr>
        <w:t>igital and other differentiation</w:t>
      </w:r>
      <w:r>
        <w:rPr>
          <w:i/>
          <w:spacing w:val="-1"/>
        </w:rPr>
        <w:t> </w:t>
      </w:r>
      <w:r>
        <w:rPr>
          <w:i/>
        </w:rPr>
        <w:t>mechanisms</w:t>
      </w:r>
    </w:p>
    <w:p>
      <w:pPr>
        <w:pStyle w:val="BodyText"/>
        <w:spacing w:before="10"/>
        <w:rPr>
          <w:b/>
          <w:i/>
          <w:sz w:val="18"/>
        </w:rPr>
      </w:pPr>
    </w:p>
    <w:p>
      <w:pPr>
        <w:pStyle w:val="ListParagraph"/>
        <w:numPr>
          <w:ilvl w:val="0"/>
          <w:numId w:val="13"/>
        </w:numPr>
        <w:tabs>
          <w:tab w:pos="1444" w:val="left" w:leader="none"/>
        </w:tabs>
        <w:spacing w:line="271" w:lineRule="auto" w:before="1" w:after="0"/>
        <w:ind w:left="723" w:right="480" w:firstLine="0"/>
        <w:jc w:val="both"/>
        <w:rPr>
          <w:sz w:val="20"/>
        </w:rPr>
      </w:pPr>
      <w:r>
        <w:rPr>
          <w:sz w:val="20"/>
        </w:rPr>
        <w:t>In the discussions so far, Inclusive Framework members have different views on whether some form of “digital differentiation” is necessary in the design of the Amount A formula. Accordingly, various options are under consideration,</w:t>
      </w:r>
      <w:r>
        <w:rPr>
          <w:spacing w:val="1"/>
          <w:sz w:val="20"/>
        </w:rPr>
        <w:t> </w:t>
      </w:r>
      <w:r>
        <w:rPr>
          <w:sz w:val="20"/>
        </w:rPr>
        <w:t>including:</w:t>
      </w:r>
    </w:p>
    <w:p>
      <w:pPr>
        <w:pStyle w:val="ListParagraph"/>
        <w:numPr>
          <w:ilvl w:val="1"/>
          <w:numId w:val="13"/>
        </w:numPr>
        <w:tabs>
          <w:tab w:pos="1785" w:val="left" w:leader="none"/>
        </w:tabs>
        <w:spacing w:line="268" w:lineRule="auto" w:before="99" w:after="0"/>
        <w:ind w:left="1784" w:right="482" w:hanging="360"/>
        <w:jc w:val="both"/>
        <w:rPr>
          <w:sz w:val="20"/>
        </w:rPr>
      </w:pPr>
      <w:r>
        <w:rPr>
          <w:b/>
          <w:sz w:val="20"/>
        </w:rPr>
        <w:t>No differentiation at all </w:t>
      </w:r>
      <w:r>
        <w:rPr>
          <w:sz w:val="20"/>
        </w:rPr>
        <w:t>– The Amount A formula would apply to all in-scope business activities in the same way, and in all</w:t>
      </w:r>
      <w:r>
        <w:rPr>
          <w:spacing w:val="-4"/>
          <w:sz w:val="20"/>
        </w:rPr>
        <w:t> </w:t>
      </w:r>
      <w:r>
        <w:rPr>
          <w:sz w:val="20"/>
        </w:rPr>
        <w:t>circumstances.</w:t>
      </w:r>
    </w:p>
    <w:p>
      <w:pPr>
        <w:pStyle w:val="ListParagraph"/>
        <w:numPr>
          <w:ilvl w:val="1"/>
          <w:numId w:val="13"/>
        </w:numPr>
        <w:tabs>
          <w:tab w:pos="1785" w:val="left" w:leader="none"/>
        </w:tabs>
        <w:spacing w:line="271" w:lineRule="auto" w:before="49" w:after="0"/>
        <w:ind w:left="1784" w:right="482" w:hanging="360"/>
        <w:jc w:val="both"/>
        <w:rPr>
          <w:sz w:val="20"/>
        </w:rPr>
      </w:pPr>
      <w:r>
        <w:rPr>
          <w:b/>
          <w:sz w:val="20"/>
        </w:rPr>
        <w:t>Digital differentiation through adjustments to Amount A </w:t>
      </w:r>
      <w:r>
        <w:rPr>
          <w:sz w:val="20"/>
        </w:rPr>
        <w:t>– A lower profitability threshold under step 1 of the formula, or a higher reallocation percentage under step </w:t>
      </w:r>
      <w:r>
        <w:rPr>
          <w:spacing w:val="3"/>
          <w:sz w:val="20"/>
        </w:rPr>
        <w:t>2, </w:t>
      </w:r>
      <w:r>
        <w:rPr>
          <w:sz w:val="20"/>
        </w:rPr>
        <w:t>would apply to MNE</w:t>
      </w:r>
      <w:r>
        <w:rPr>
          <w:spacing w:val="-8"/>
          <w:sz w:val="20"/>
        </w:rPr>
        <w:t> </w:t>
      </w:r>
      <w:r>
        <w:rPr>
          <w:sz w:val="20"/>
        </w:rPr>
        <w:t>groups</w:t>
      </w:r>
      <w:r>
        <w:rPr>
          <w:spacing w:val="-7"/>
          <w:sz w:val="20"/>
        </w:rPr>
        <w:t> </w:t>
      </w:r>
      <w:r>
        <w:rPr>
          <w:sz w:val="20"/>
        </w:rPr>
        <w:t>(or</w:t>
      </w:r>
      <w:r>
        <w:rPr>
          <w:spacing w:val="-7"/>
          <w:sz w:val="20"/>
        </w:rPr>
        <w:t> </w:t>
      </w:r>
      <w:r>
        <w:rPr>
          <w:sz w:val="20"/>
        </w:rPr>
        <w:t>segments</w:t>
      </w:r>
      <w:r>
        <w:rPr>
          <w:spacing w:val="-6"/>
          <w:sz w:val="20"/>
        </w:rPr>
        <w:t> </w:t>
      </w:r>
      <w:r>
        <w:rPr>
          <w:sz w:val="20"/>
        </w:rPr>
        <w:t>where</w:t>
      </w:r>
      <w:r>
        <w:rPr>
          <w:spacing w:val="-7"/>
          <w:sz w:val="20"/>
        </w:rPr>
        <w:t> </w:t>
      </w:r>
      <w:r>
        <w:rPr>
          <w:sz w:val="20"/>
        </w:rPr>
        <w:t>relevant)</w:t>
      </w:r>
      <w:r>
        <w:rPr>
          <w:spacing w:val="-6"/>
          <w:sz w:val="20"/>
        </w:rPr>
        <w:t> </w:t>
      </w:r>
      <w:r>
        <w:rPr>
          <w:sz w:val="20"/>
        </w:rPr>
        <w:t>providing</w:t>
      </w:r>
      <w:r>
        <w:rPr>
          <w:spacing w:val="-6"/>
          <w:sz w:val="20"/>
        </w:rPr>
        <w:t> </w:t>
      </w:r>
      <w:r>
        <w:rPr>
          <w:sz w:val="20"/>
        </w:rPr>
        <w:t>primarily</w:t>
      </w:r>
      <w:r>
        <w:rPr>
          <w:spacing w:val="-5"/>
          <w:sz w:val="20"/>
        </w:rPr>
        <w:t> </w:t>
      </w:r>
      <w:r>
        <w:rPr>
          <w:sz w:val="20"/>
        </w:rPr>
        <w:t>ADS.</w:t>
      </w:r>
      <w:r>
        <w:rPr>
          <w:spacing w:val="-7"/>
          <w:sz w:val="20"/>
        </w:rPr>
        <w:t> </w:t>
      </w:r>
      <w:r>
        <w:rPr>
          <w:sz w:val="20"/>
        </w:rPr>
        <w:t>Though</w:t>
      </w:r>
      <w:r>
        <w:rPr>
          <w:spacing w:val="-8"/>
          <w:sz w:val="20"/>
        </w:rPr>
        <w:t> </w:t>
      </w:r>
      <w:r>
        <w:rPr>
          <w:sz w:val="20"/>
        </w:rPr>
        <w:t>intuitively</w:t>
      </w:r>
      <w:r>
        <w:rPr>
          <w:spacing w:val="-10"/>
          <w:sz w:val="20"/>
        </w:rPr>
        <w:t> </w:t>
      </w:r>
      <w:r>
        <w:rPr>
          <w:sz w:val="20"/>
        </w:rPr>
        <w:t>simple, any such differentiation approach would also require exploration as regards its technical and conceptual feasibility considering issues related to businesses segmentation and implications for the respective scope</w:t>
      </w:r>
      <w:r>
        <w:rPr>
          <w:spacing w:val="-3"/>
          <w:sz w:val="20"/>
        </w:rPr>
        <w:t> </w:t>
      </w:r>
      <w:r>
        <w:rPr>
          <w:sz w:val="20"/>
        </w:rPr>
        <w:t>rules.</w:t>
      </w:r>
    </w:p>
    <w:p>
      <w:pPr>
        <w:pStyle w:val="ListParagraph"/>
        <w:numPr>
          <w:ilvl w:val="1"/>
          <w:numId w:val="13"/>
        </w:numPr>
        <w:tabs>
          <w:tab w:pos="1785" w:val="left" w:leader="none"/>
        </w:tabs>
        <w:spacing w:line="271" w:lineRule="auto" w:before="44" w:after="0"/>
        <w:ind w:left="1784" w:right="479" w:hanging="360"/>
        <w:jc w:val="both"/>
        <w:rPr>
          <w:sz w:val="20"/>
        </w:rPr>
      </w:pPr>
      <w:r>
        <w:rPr>
          <w:b/>
          <w:sz w:val="20"/>
        </w:rPr>
        <w:t>Differentiation of Amount A through a profit escalator </w:t>
      </w:r>
      <w:r>
        <w:rPr>
          <w:sz w:val="20"/>
        </w:rPr>
        <w:t>– A progressive reallocation percentage</w:t>
      </w:r>
      <w:r>
        <w:rPr>
          <w:spacing w:val="-7"/>
          <w:sz w:val="20"/>
        </w:rPr>
        <w:t> </w:t>
      </w:r>
      <w:r>
        <w:rPr>
          <w:sz w:val="20"/>
        </w:rPr>
        <w:t>under</w:t>
      </w:r>
      <w:r>
        <w:rPr>
          <w:spacing w:val="-7"/>
          <w:sz w:val="20"/>
        </w:rPr>
        <w:t> </w:t>
      </w:r>
      <w:r>
        <w:rPr>
          <w:sz w:val="20"/>
        </w:rPr>
        <w:t>step</w:t>
      </w:r>
      <w:r>
        <w:rPr>
          <w:spacing w:val="-7"/>
          <w:sz w:val="20"/>
        </w:rPr>
        <w:t> </w:t>
      </w:r>
      <w:r>
        <w:rPr>
          <w:sz w:val="20"/>
        </w:rPr>
        <w:t>2</w:t>
      </w:r>
      <w:r>
        <w:rPr>
          <w:spacing w:val="-6"/>
          <w:sz w:val="20"/>
        </w:rPr>
        <w:t> </w:t>
      </w:r>
      <w:r>
        <w:rPr>
          <w:sz w:val="20"/>
        </w:rPr>
        <w:t>of</w:t>
      </w:r>
      <w:r>
        <w:rPr>
          <w:spacing w:val="-7"/>
          <w:sz w:val="20"/>
        </w:rPr>
        <w:t> </w:t>
      </w:r>
      <w:r>
        <w:rPr>
          <w:sz w:val="20"/>
        </w:rPr>
        <w:t>the</w:t>
      </w:r>
      <w:r>
        <w:rPr>
          <w:spacing w:val="-8"/>
          <w:sz w:val="20"/>
        </w:rPr>
        <w:t> </w:t>
      </w:r>
      <w:r>
        <w:rPr>
          <w:sz w:val="20"/>
        </w:rPr>
        <w:t>formula</w:t>
      </w:r>
      <w:r>
        <w:rPr>
          <w:spacing w:val="-7"/>
          <w:sz w:val="20"/>
        </w:rPr>
        <w:t> </w:t>
      </w:r>
      <w:r>
        <w:rPr>
          <w:sz w:val="20"/>
        </w:rPr>
        <w:t>would</w:t>
      </w:r>
      <w:r>
        <w:rPr>
          <w:spacing w:val="-6"/>
          <w:sz w:val="20"/>
        </w:rPr>
        <w:t> </w:t>
      </w:r>
      <w:r>
        <w:rPr>
          <w:sz w:val="20"/>
        </w:rPr>
        <w:t>be</w:t>
      </w:r>
      <w:r>
        <w:rPr>
          <w:spacing w:val="-7"/>
          <w:sz w:val="20"/>
        </w:rPr>
        <w:t> </w:t>
      </w:r>
      <w:r>
        <w:rPr>
          <w:sz w:val="20"/>
        </w:rPr>
        <w:t>introduced</w:t>
      </w:r>
      <w:r>
        <w:rPr>
          <w:spacing w:val="-8"/>
          <w:sz w:val="20"/>
        </w:rPr>
        <w:t> </w:t>
      </w:r>
      <w:r>
        <w:rPr>
          <w:sz w:val="20"/>
        </w:rPr>
        <w:t>based</w:t>
      </w:r>
      <w:r>
        <w:rPr>
          <w:spacing w:val="-8"/>
          <w:sz w:val="20"/>
        </w:rPr>
        <w:t> </w:t>
      </w:r>
      <w:r>
        <w:rPr>
          <w:sz w:val="20"/>
        </w:rPr>
        <w:t>solely</w:t>
      </w:r>
      <w:r>
        <w:rPr>
          <w:spacing w:val="-10"/>
          <w:sz w:val="20"/>
        </w:rPr>
        <w:t> </w:t>
      </w:r>
      <w:r>
        <w:rPr>
          <w:sz w:val="20"/>
        </w:rPr>
        <w:t>on</w:t>
      </w:r>
      <w:r>
        <w:rPr>
          <w:spacing w:val="-6"/>
          <w:sz w:val="20"/>
        </w:rPr>
        <w:t> </w:t>
      </w:r>
      <w:r>
        <w:rPr>
          <w:sz w:val="20"/>
        </w:rPr>
        <w:t>the</w:t>
      </w:r>
      <w:r>
        <w:rPr>
          <w:spacing w:val="-7"/>
          <w:sz w:val="20"/>
        </w:rPr>
        <w:t> </w:t>
      </w:r>
      <w:r>
        <w:rPr>
          <w:sz w:val="20"/>
        </w:rPr>
        <w:t>profitability</w:t>
      </w:r>
      <w:r>
        <w:rPr>
          <w:spacing w:val="-10"/>
          <w:sz w:val="20"/>
        </w:rPr>
        <w:t> </w:t>
      </w:r>
      <w:r>
        <w:rPr>
          <w:sz w:val="20"/>
        </w:rPr>
        <w:t>of the</w:t>
      </w:r>
      <w:r>
        <w:rPr>
          <w:spacing w:val="-10"/>
          <w:sz w:val="20"/>
        </w:rPr>
        <w:t> </w:t>
      </w:r>
      <w:r>
        <w:rPr>
          <w:sz w:val="20"/>
        </w:rPr>
        <w:t>group</w:t>
      </w:r>
      <w:r>
        <w:rPr>
          <w:spacing w:val="-9"/>
          <w:sz w:val="20"/>
        </w:rPr>
        <w:t> </w:t>
      </w:r>
      <w:r>
        <w:rPr>
          <w:sz w:val="20"/>
        </w:rPr>
        <w:t>(or</w:t>
      </w:r>
      <w:r>
        <w:rPr>
          <w:spacing w:val="-8"/>
          <w:sz w:val="20"/>
        </w:rPr>
        <w:t> </w:t>
      </w:r>
      <w:r>
        <w:rPr>
          <w:sz w:val="20"/>
        </w:rPr>
        <w:t>segment</w:t>
      </w:r>
      <w:r>
        <w:rPr>
          <w:spacing w:val="-9"/>
          <w:sz w:val="20"/>
        </w:rPr>
        <w:t> </w:t>
      </w:r>
      <w:r>
        <w:rPr>
          <w:sz w:val="20"/>
        </w:rPr>
        <w:t>where</w:t>
      </w:r>
      <w:r>
        <w:rPr>
          <w:spacing w:val="-10"/>
          <w:sz w:val="20"/>
        </w:rPr>
        <w:t> </w:t>
      </w:r>
      <w:r>
        <w:rPr>
          <w:sz w:val="20"/>
        </w:rPr>
        <w:t>relevant).</w:t>
      </w:r>
      <w:r>
        <w:rPr>
          <w:spacing w:val="-5"/>
          <w:sz w:val="20"/>
        </w:rPr>
        <w:t> </w:t>
      </w:r>
      <w:r>
        <w:rPr>
          <w:sz w:val="20"/>
        </w:rPr>
        <w:t>This</w:t>
      </w:r>
      <w:r>
        <w:rPr>
          <w:spacing w:val="-10"/>
          <w:sz w:val="20"/>
        </w:rPr>
        <w:t> </w:t>
      </w:r>
      <w:r>
        <w:rPr>
          <w:sz w:val="20"/>
        </w:rPr>
        <w:t>mechanism</w:t>
      </w:r>
      <w:r>
        <w:rPr>
          <w:spacing w:val="-6"/>
          <w:sz w:val="20"/>
        </w:rPr>
        <w:t> </w:t>
      </w:r>
      <w:r>
        <w:rPr>
          <w:sz w:val="20"/>
        </w:rPr>
        <w:t>would</w:t>
      </w:r>
      <w:r>
        <w:rPr>
          <w:spacing w:val="-9"/>
          <w:sz w:val="20"/>
        </w:rPr>
        <w:t> </w:t>
      </w:r>
      <w:r>
        <w:rPr>
          <w:sz w:val="20"/>
        </w:rPr>
        <w:t>not</w:t>
      </w:r>
      <w:r>
        <w:rPr>
          <w:spacing w:val="-9"/>
          <w:sz w:val="20"/>
        </w:rPr>
        <w:t> </w:t>
      </w:r>
      <w:r>
        <w:rPr>
          <w:sz w:val="20"/>
        </w:rPr>
        <w:t>seek</w:t>
      </w:r>
      <w:r>
        <w:rPr>
          <w:spacing w:val="-6"/>
          <w:sz w:val="20"/>
        </w:rPr>
        <w:t> </w:t>
      </w:r>
      <w:r>
        <w:rPr>
          <w:sz w:val="20"/>
        </w:rPr>
        <w:t>to</w:t>
      </w:r>
      <w:r>
        <w:rPr>
          <w:spacing w:val="-9"/>
          <w:sz w:val="20"/>
        </w:rPr>
        <w:t> </w:t>
      </w:r>
      <w:r>
        <w:rPr>
          <w:sz w:val="20"/>
        </w:rPr>
        <w:t>directly</w:t>
      </w:r>
      <w:r>
        <w:rPr>
          <w:spacing w:val="-10"/>
          <w:sz w:val="20"/>
        </w:rPr>
        <w:t> </w:t>
      </w:r>
      <w:r>
        <w:rPr>
          <w:sz w:val="20"/>
        </w:rPr>
        <w:t>account</w:t>
      </w:r>
      <w:r>
        <w:rPr>
          <w:spacing w:val="-9"/>
          <w:sz w:val="20"/>
        </w:rPr>
        <w:t> </w:t>
      </w:r>
      <w:r>
        <w:rPr>
          <w:sz w:val="20"/>
        </w:rPr>
        <w:t>for different</w:t>
      </w:r>
      <w:r>
        <w:rPr>
          <w:spacing w:val="-10"/>
          <w:sz w:val="20"/>
        </w:rPr>
        <w:t> </w:t>
      </w:r>
      <w:r>
        <w:rPr>
          <w:sz w:val="20"/>
        </w:rPr>
        <w:t>degrees</w:t>
      </w:r>
      <w:r>
        <w:rPr>
          <w:spacing w:val="-8"/>
          <w:sz w:val="20"/>
        </w:rPr>
        <w:t> </w:t>
      </w:r>
      <w:r>
        <w:rPr>
          <w:sz w:val="20"/>
        </w:rPr>
        <w:t>of</w:t>
      </w:r>
      <w:r>
        <w:rPr>
          <w:spacing w:val="-8"/>
          <w:sz w:val="20"/>
        </w:rPr>
        <w:t> </w:t>
      </w:r>
      <w:r>
        <w:rPr>
          <w:sz w:val="20"/>
        </w:rPr>
        <w:t>digitalisation</w:t>
      </w:r>
      <w:r>
        <w:rPr>
          <w:spacing w:val="-10"/>
          <w:sz w:val="20"/>
        </w:rPr>
        <w:t> </w:t>
      </w:r>
      <w:r>
        <w:rPr>
          <w:sz w:val="20"/>
        </w:rPr>
        <w:t>between</w:t>
      </w:r>
      <w:r>
        <w:rPr>
          <w:spacing w:val="-7"/>
          <w:sz w:val="20"/>
        </w:rPr>
        <w:t> </w:t>
      </w:r>
      <w:r>
        <w:rPr>
          <w:sz w:val="20"/>
        </w:rPr>
        <w:t>in-scope</w:t>
      </w:r>
      <w:r>
        <w:rPr>
          <w:spacing w:val="-8"/>
          <w:sz w:val="20"/>
        </w:rPr>
        <w:t> </w:t>
      </w:r>
      <w:r>
        <w:rPr>
          <w:sz w:val="20"/>
        </w:rPr>
        <w:t>businesses,</w:t>
      </w:r>
      <w:r>
        <w:rPr>
          <w:spacing w:val="-9"/>
          <w:sz w:val="20"/>
        </w:rPr>
        <w:t> </w:t>
      </w:r>
      <w:r>
        <w:rPr>
          <w:sz w:val="20"/>
        </w:rPr>
        <w:t>but</w:t>
      </w:r>
      <w:r>
        <w:rPr>
          <w:spacing w:val="-8"/>
          <w:sz w:val="20"/>
        </w:rPr>
        <w:t> </w:t>
      </w:r>
      <w:r>
        <w:rPr>
          <w:sz w:val="20"/>
        </w:rPr>
        <w:t>would</w:t>
      </w:r>
      <w:r>
        <w:rPr>
          <w:spacing w:val="-7"/>
          <w:sz w:val="20"/>
        </w:rPr>
        <w:t> </w:t>
      </w:r>
      <w:r>
        <w:rPr>
          <w:sz w:val="20"/>
        </w:rPr>
        <w:t>be</w:t>
      </w:r>
      <w:r>
        <w:rPr>
          <w:spacing w:val="-10"/>
          <w:sz w:val="20"/>
        </w:rPr>
        <w:t> </w:t>
      </w:r>
      <w:r>
        <w:rPr>
          <w:sz w:val="20"/>
        </w:rPr>
        <w:t>premised</w:t>
      </w:r>
      <w:r>
        <w:rPr>
          <w:spacing w:val="-9"/>
          <w:sz w:val="20"/>
        </w:rPr>
        <w:t> </w:t>
      </w:r>
      <w:r>
        <w:rPr>
          <w:sz w:val="20"/>
        </w:rPr>
        <w:t>on</w:t>
      </w:r>
      <w:r>
        <w:rPr>
          <w:spacing w:val="-10"/>
          <w:sz w:val="20"/>
        </w:rPr>
        <w:t> </w:t>
      </w:r>
      <w:r>
        <w:rPr>
          <w:sz w:val="20"/>
        </w:rPr>
        <w:t>the assumption</w:t>
      </w:r>
      <w:r>
        <w:rPr>
          <w:spacing w:val="-7"/>
          <w:sz w:val="20"/>
        </w:rPr>
        <w:t> </w:t>
      </w:r>
      <w:r>
        <w:rPr>
          <w:sz w:val="20"/>
        </w:rPr>
        <w:t>that</w:t>
      </w:r>
      <w:r>
        <w:rPr>
          <w:spacing w:val="-6"/>
          <w:sz w:val="20"/>
        </w:rPr>
        <w:t> </w:t>
      </w:r>
      <w:r>
        <w:rPr>
          <w:sz w:val="20"/>
        </w:rPr>
        <w:t>higher</w:t>
      </w:r>
      <w:r>
        <w:rPr>
          <w:spacing w:val="-7"/>
          <w:sz w:val="20"/>
        </w:rPr>
        <w:t> </w:t>
      </w:r>
      <w:r>
        <w:rPr>
          <w:sz w:val="20"/>
        </w:rPr>
        <w:t>returns</w:t>
      </w:r>
      <w:r>
        <w:rPr>
          <w:spacing w:val="-6"/>
          <w:sz w:val="20"/>
        </w:rPr>
        <w:t> </w:t>
      </w:r>
      <w:r>
        <w:rPr>
          <w:sz w:val="20"/>
        </w:rPr>
        <w:t>reflect</w:t>
      </w:r>
      <w:r>
        <w:rPr>
          <w:spacing w:val="-6"/>
          <w:sz w:val="20"/>
        </w:rPr>
        <w:t> </w:t>
      </w:r>
      <w:r>
        <w:rPr>
          <w:sz w:val="20"/>
        </w:rPr>
        <w:t>at</w:t>
      </w:r>
      <w:r>
        <w:rPr>
          <w:spacing w:val="-7"/>
          <w:sz w:val="20"/>
        </w:rPr>
        <w:t> </w:t>
      </w:r>
      <w:r>
        <w:rPr>
          <w:sz w:val="20"/>
        </w:rPr>
        <w:t>some</w:t>
      </w:r>
      <w:r>
        <w:rPr>
          <w:spacing w:val="-7"/>
          <w:sz w:val="20"/>
        </w:rPr>
        <w:t> </w:t>
      </w:r>
      <w:r>
        <w:rPr>
          <w:sz w:val="20"/>
        </w:rPr>
        <w:t>point</w:t>
      </w:r>
      <w:r>
        <w:rPr>
          <w:spacing w:val="-5"/>
          <w:sz w:val="20"/>
        </w:rPr>
        <w:t> </w:t>
      </w:r>
      <w:r>
        <w:rPr>
          <w:sz w:val="20"/>
        </w:rPr>
        <w:t>a</w:t>
      </w:r>
      <w:r>
        <w:rPr>
          <w:spacing w:val="-7"/>
          <w:sz w:val="20"/>
        </w:rPr>
        <w:t> </w:t>
      </w:r>
      <w:r>
        <w:rPr>
          <w:sz w:val="20"/>
        </w:rPr>
        <w:t>greater</w:t>
      </w:r>
      <w:r>
        <w:rPr>
          <w:spacing w:val="-6"/>
          <w:sz w:val="20"/>
        </w:rPr>
        <w:t> </w:t>
      </w:r>
      <w:r>
        <w:rPr>
          <w:sz w:val="20"/>
        </w:rPr>
        <w:t>contribution</w:t>
      </w:r>
      <w:r>
        <w:rPr>
          <w:spacing w:val="-5"/>
          <w:sz w:val="20"/>
        </w:rPr>
        <w:t> </w:t>
      </w:r>
      <w:r>
        <w:rPr>
          <w:sz w:val="20"/>
        </w:rPr>
        <w:t>of</w:t>
      </w:r>
      <w:r>
        <w:rPr>
          <w:spacing w:val="-5"/>
          <w:sz w:val="20"/>
        </w:rPr>
        <w:t> </w:t>
      </w:r>
      <w:r>
        <w:rPr>
          <w:sz w:val="20"/>
        </w:rPr>
        <w:t>the</w:t>
      </w:r>
      <w:r>
        <w:rPr>
          <w:spacing w:val="-7"/>
          <w:sz w:val="20"/>
        </w:rPr>
        <w:t> </w:t>
      </w:r>
      <w:r>
        <w:rPr>
          <w:sz w:val="20"/>
        </w:rPr>
        <w:t>market</w:t>
      </w:r>
      <w:r>
        <w:rPr>
          <w:spacing w:val="-7"/>
          <w:sz w:val="20"/>
        </w:rPr>
        <w:t> </w:t>
      </w:r>
      <w:r>
        <w:rPr>
          <w:sz w:val="20"/>
        </w:rPr>
        <w:t>to</w:t>
      </w:r>
      <w:r>
        <w:rPr>
          <w:spacing w:val="-7"/>
          <w:sz w:val="20"/>
        </w:rPr>
        <w:t> </w:t>
      </w:r>
      <w:r>
        <w:rPr>
          <w:sz w:val="20"/>
        </w:rPr>
        <w:t>the profitability of the MNE group (e.g. monopolistic rents). The allocable tax base would thus be determined by reference to one or more bandings (e.g. X% for profit margins between a-b%, X+Y% for profit margins between b-c%, X+Y+Z% for profit margins in excess of c%), but without any distinction based on the underlying nature of the in-scope business</w:t>
      </w:r>
      <w:r>
        <w:rPr>
          <w:spacing w:val="-28"/>
          <w:sz w:val="20"/>
        </w:rPr>
        <w:t> </w:t>
      </w:r>
      <w:r>
        <w:rPr>
          <w:sz w:val="20"/>
        </w:rPr>
        <w:t>involved.</w:t>
      </w:r>
    </w:p>
    <w:p>
      <w:pPr>
        <w:pStyle w:val="ListParagraph"/>
        <w:numPr>
          <w:ilvl w:val="0"/>
          <w:numId w:val="13"/>
        </w:numPr>
        <w:tabs>
          <w:tab w:pos="1444" w:val="left" w:leader="none"/>
        </w:tabs>
        <w:spacing w:line="271" w:lineRule="auto" w:before="125" w:after="0"/>
        <w:ind w:left="723" w:right="479" w:firstLine="0"/>
        <w:jc w:val="both"/>
        <w:rPr>
          <w:sz w:val="20"/>
        </w:rPr>
      </w:pPr>
      <w:r>
        <w:rPr>
          <w:sz w:val="20"/>
        </w:rPr>
        <w:t>Further, some members consider that where ADS or CFB businesses make remote sales in a jurisdiction by using digital means to connect with customers, this jurisdiction should also receive an allocation</w:t>
      </w:r>
      <w:r>
        <w:rPr>
          <w:spacing w:val="-12"/>
          <w:sz w:val="20"/>
        </w:rPr>
        <w:t> </w:t>
      </w:r>
      <w:r>
        <w:rPr>
          <w:sz w:val="20"/>
        </w:rPr>
        <w:t>of</w:t>
      </w:r>
      <w:r>
        <w:rPr>
          <w:spacing w:val="-11"/>
          <w:sz w:val="20"/>
        </w:rPr>
        <w:t> </w:t>
      </w:r>
      <w:r>
        <w:rPr>
          <w:sz w:val="20"/>
        </w:rPr>
        <w:t>routine</w:t>
      </w:r>
      <w:r>
        <w:rPr>
          <w:spacing w:val="-12"/>
          <w:sz w:val="20"/>
        </w:rPr>
        <w:t> </w:t>
      </w:r>
      <w:r>
        <w:rPr>
          <w:sz w:val="20"/>
        </w:rPr>
        <w:t>profits</w:t>
      </w:r>
      <w:r>
        <w:rPr>
          <w:spacing w:val="-13"/>
          <w:sz w:val="20"/>
        </w:rPr>
        <w:t> </w:t>
      </w:r>
      <w:r>
        <w:rPr>
          <w:sz w:val="20"/>
        </w:rPr>
        <w:t>for</w:t>
      </w:r>
      <w:r>
        <w:rPr>
          <w:spacing w:val="-12"/>
          <w:sz w:val="20"/>
        </w:rPr>
        <w:t> </w:t>
      </w:r>
      <w:r>
        <w:rPr>
          <w:sz w:val="20"/>
        </w:rPr>
        <w:t>the</w:t>
      </w:r>
      <w:r>
        <w:rPr>
          <w:spacing w:val="-14"/>
          <w:sz w:val="20"/>
        </w:rPr>
        <w:t> </w:t>
      </w:r>
      <w:r>
        <w:rPr>
          <w:sz w:val="20"/>
        </w:rPr>
        <w:t>remote</w:t>
      </w:r>
      <w:r>
        <w:rPr>
          <w:spacing w:val="-14"/>
          <w:sz w:val="20"/>
        </w:rPr>
        <w:t> </w:t>
      </w:r>
      <w:r>
        <w:rPr>
          <w:sz w:val="20"/>
        </w:rPr>
        <w:t>performance</w:t>
      </w:r>
      <w:r>
        <w:rPr>
          <w:spacing w:val="-13"/>
          <w:sz w:val="20"/>
        </w:rPr>
        <w:t> </w:t>
      </w:r>
      <w:r>
        <w:rPr>
          <w:sz w:val="20"/>
        </w:rPr>
        <w:t>of</w:t>
      </w:r>
      <w:r>
        <w:rPr>
          <w:spacing w:val="-14"/>
          <w:sz w:val="20"/>
        </w:rPr>
        <w:t> </w:t>
      </w:r>
      <w:r>
        <w:rPr>
          <w:sz w:val="20"/>
        </w:rPr>
        <w:t>marketing</w:t>
      </w:r>
      <w:r>
        <w:rPr>
          <w:spacing w:val="-13"/>
          <w:sz w:val="20"/>
        </w:rPr>
        <w:t> </w:t>
      </w:r>
      <w:r>
        <w:rPr>
          <w:sz w:val="20"/>
        </w:rPr>
        <w:t>and</w:t>
      </w:r>
      <w:r>
        <w:rPr>
          <w:spacing w:val="-12"/>
          <w:sz w:val="20"/>
        </w:rPr>
        <w:t> </w:t>
      </w:r>
      <w:r>
        <w:rPr>
          <w:sz w:val="20"/>
        </w:rPr>
        <w:t>distribution</w:t>
      </w:r>
      <w:r>
        <w:rPr>
          <w:spacing w:val="-14"/>
          <w:sz w:val="20"/>
        </w:rPr>
        <w:t> </w:t>
      </w:r>
      <w:r>
        <w:rPr>
          <w:sz w:val="20"/>
        </w:rPr>
        <w:t>activities.</w:t>
      </w:r>
      <w:r>
        <w:rPr>
          <w:spacing w:val="-14"/>
          <w:sz w:val="20"/>
        </w:rPr>
        <w:t> </w:t>
      </w:r>
      <w:r>
        <w:rPr>
          <w:sz w:val="20"/>
        </w:rPr>
        <w:t>In</w:t>
      </w:r>
      <w:r>
        <w:rPr>
          <w:spacing w:val="-11"/>
          <w:sz w:val="20"/>
        </w:rPr>
        <w:t> </w:t>
      </w:r>
      <w:r>
        <w:rPr>
          <w:sz w:val="20"/>
        </w:rPr>
        <w:t>their</w:t>
      </w:r>
      <w:r>
        <w:rPr>
          <w:spacing w:val="-13"/>
          <w:sz w:val="20"/>
        </w:rPr>
        <w:t> </w:t>
      </w:r>
      <w:r>
        <w:rPr>
          <w:sz w:val="20"/>
        </w:rPr>
        <w:t>view, once the new nexus threshold under Amount A is reached, it is unfair to deny market jurisdictions taxing rights over businesses that thanks to digitalisation are able to participate in the economic life of their jurisdiction remotely (i.e. making sales, marketing and distributing their products, collecting payments and addressing customer grievances). These members consider that in addition to Amount A, for businesses that operate in a market remotely certain marketing and distribution activities should be seen as taking place in the market jurisdiction and that in such circumstances profits would be allocated to the market jurisdiction. Such reallocated profits could be determined as an agreed percentage (e.g. 30%) of the deemed routine profit margin or the actual profit margin of the MNE group (or segment, where relevant), whichever is lower, subject to a minimum return (e.g. x% of sales) for the deemed routine marketing and distribution</w:t>
      </w:r>
      <w:r>
        <w:rPr>
          <w:spacing w:val="-9"/>
          <w:sz w:val="20"/>
        </w:rPr>
        <w:t> </w:t>
      </w:r>
      <w:r>
        <w:rPr>
          <w:sz w:val="20"/>
        </w:rPr>
        <w:t>activities.</w:t>
      </w:r>
      <w:r>
        <w:rPr>
          <w:spacing w:val="-6"/>
          <w:sz w:val="20"/>
        </w:rPr>
        <w:t> </w:t>
      </w:r>
      <w:r>
        <w:rPr>
          <w:sz w:val="20"/>
        </w:rPr>
        <w:t>Members</w:t>
      </w:r>
      <w:r>
        <w:rPr>
          <w:spacing w:val="-7"/>
          <w:sz w:val="20"/>
        </w:rPr>
        <w:t> </w:t>
      </w:r>
      <w:r>
        <w:rPr>
          <w:sz w:val="20"/>
        </w:rPr>
        <w:t>that</w:t>
      </w:r>
      <w:r>
        <w:rPr>
          <w:spacing w:val="-7"/>
          <w:sz w:val="20"/>
        </w:rPr>
        <w:t> </w:t>
      </w:r>
      <w:r>
        <w:rPr>
          <w:sz w:val="20"/>
        </w:rPr>
        <w:t>favor</w:t>
      </w:r>
      <w:r>
        <w:rPr>
          <w:spacing w:val="-7"/>
          <w:sz w:val="20"/>
        </w:rPr>
        <w:t> </w:t>
      </w:r>
      <w:r>
        <w:rPr>
          <w:sz w:val="20"/>
        </w:rPr>
        <w:t>this</w:t>
      </w:r>
      <w:r>
        <w:rPr>
          <w:spacing w:val="-6"/>
          <w:sz w:val="20"/>
        </w:rPr>
        <w:t> </w:t>
      </w:r>
      <w:r>
        <w:rPr>
          <w:sz w:val="20"/>
        </w:rPr>
        <w:t>approach</w:t>
      </w:r>
      <w:r>
        <w:rPr>
          <w:spacing w:val="-5"/>
          <w:sz w:val="20"/>
        </w:rPr>
        <w:t> </w:t>
      </w:r>
      <w:r>
        <w:rPr>
          <w:sz w:val="20"/>
        </w:rPr>
        <w:t>recognizes</w:t>
      </w:r>
      <w:r>
        <w:rPr>
          <w:spacing w:val="-7"/>
          <w:sz w:val="20"/>
        </w:rPr>
        <w:t> </w:t>
      </w:r>
      <w:r>
        <w:rPr>
          <w:sz w:val="20"/>
        </w:rPr>
        <w:t>that</w:t>
      </w:r>
      <w:r>
        <w:rPr>
          <w:spacing w:val="-9"/>
          <w:sz w:val="20"/>
        </w:rPr>
        <w:t> </w:t>
      </w:r>
      <w:r>
        <w:rPr>
          <w:sz w:val="20"/>
        </w:rPr>
        <w:t>such</w:t>
      </w:r>
      <w:r>
        <w:rPr>
          <w:spacing w:val="-8"/>
          <w:sz w:val="20"/>
        </w:rPr>
        <w:t> </w:t>
      </w:r>
      <w:r>
        <w:rPr>
          <w:sz w:val="20"/>
        </w:rPr>
        <w:t>allocation</w:t>
      </w:r>
      <w:r>
        <w:rPr>
          <w:spacing w:val="-7"/>
          <w:sz w:val="20"/>
        </w:rPr>
        <w:t> </w:t>
      </w:r>
      <w:r>
        <w:rPr>
          <w:sz w:val="20"/>
        </w:rPr>
        <w:t>of</w:t>
      </w:r>
      <w:r>
        <w:rPr>
          <w:spacing w:val="-7"/>
          <w:sz w:val="20"/>
        </w:rPr>
        <w:t> </w:t>
      </w:r>
      <w:r>
        <w:rPr>
          <w:sz w:val="20"/>
        </w:rPr>
        <w:t>deemed</w:t>
      </w:r>
      <w:r>
        <w:rPr>
          <w:spacing w:val="-9"/>
          <w:sz w:val="20"/>
        </w:rPr>
        <w:t> </w:t>
      </w:r>
      <w:r>
        <w:rPr>
          <w:sz w:val="20"/>
        </w:rPr>
        <w:t>routine return for remote marketing and distribution activities needs to address the issue of double taxation. They are</w:t>
      </w:r>
      <w:r>
        <w:rPr>
          <w:spacing w:val="10"/>
          <w:sz w:val="20"/>
        </w:rPr>
        <w:t> </w:t>
      </w:r>
      <w:r>
        <w:rPr>
          <w:sz w:val="20"/>
        </w:rPr>
        <w:t>of</w:t>
      </w:r>
      <w:r>
        <w:rPr>
          <w:spacing w:val="13"/>
          <w:sz w:val="20"/>
        </w:rPr>
        <w:t> </w:t>
      </w:r>
      <w:r>
        <w:rPr>
          <w:sz w:val="20"/>
        </w:rPr>
        <w:t>the</w:t>
      </w:r>
      <w:r>
        <w:rPr>
          <w:spacing w:val="12"/>
          <w:sz w:val="20"/>
        </w:rPr>
        <w:t> </w:t>
      </w:r>
      <w:r>
        <w:rPr>
          <w:sz w:val="20"/>
        </w:rPr>
        <w:t>view,</w:t>
      </w:r>
      <w:r>
        <w:rPr>
          <w:spacing w:val="11"/>
          <w:sz w:val="20"/>
        </w:rPr>
        <w:t> </w:t>
      </w:r>
      <w:r>
        <w:rPr>
          <w:sz w:val="20"/>
        </w:rPr>
        <w:t>however,</w:t>
      </w:r>
      <w:r>
        <w:rPr>
          <w:spacing w:val="17"/>
          <w:sz w:val="20"/>
        </w:rPr>
        <w:t> </w:t>
      </w:r>
      <w:r>
        <w:rPr>
          <w:sz w:val="20"/>
        </w:rPr>
        <w:t>that</w:t>
      </w:r>
      <w:r>
        <w:rPr>
          <w:spacing w:val="10"/>
          <w:sz w:val="20"/>
        </w:rPr>
        <w:t> </w:t>
      </w:r>
      <w:r>
        <w:rPr>
          <w:sz w:val="20"/>
        </w:rPr>
        <w:t>such</w:t>
      </w:r>
      <w:r>
        <w:rPr>
          <w:spacing w:val="13"/>
          <w:sz w:val="20"/>
        </w:rPr>
        <w:t> </w:t>
      </w:r>
      <w:r>
        <w:rPr>
          <w:sz w:val="20"/>
        </w:rPr>
        <w:t>double</w:t>
      </w:r>
      <w:r>
        <w:rPr>
          <w:spacing w:val="11"/>
          <w:sz w:val="20"/>
        </w:rPr>
        <w:t> </w:t>
      </w:r>
      <w:r>
        <w:rPr>
          <w:sz w:val="20"/>
        </w:rPr>
        <w:t>taxation</w:t>
      </w:r>
      <w:r>
        <w:rPr>
          <w:spacing w:val="9"/>
          <w:sz w:val="20"/>
        </w:rPr>
        <w:t> </w:t>
      </w:r>
      <w:r>
        <w:rPr>
          <w:sz w:val="20"/>
        </w:rPr>
        <w:t>can</w:t>
      </w:r>
      <w:r>
        <w:rPr>
          <w:spacing w:val="10"/>
          <w:sz w:val="20"/>
        </w:rPr>
        <w:t> </w:t>
      </w:r>
      <w:r>
        <w:rPr>
          <w:sz w:val="20"/>
        </w:rPr>
        <w:t>be</w:t>
      </w:r>
      <w:r>
        <w:rPr>
          <w:spacing w:val="11"/>
          <w:sz w:val="20"/>
        </w:rPr>
        <w:t> </w:t>
      </w:r>
      <w:r>
        <w:rPr>
          <w:sz w:val="20"/>
        </w:rPr>
        <w:t>eliminated</w:t>
      </w:r>
      <w:r>
        <w:rPr>
          <w:spacing w:val="12"/>
          <w:sz w:val="20"/>
        </w:rPr>
        <w:t> </w:t>
      </w:r>
      <w:r>
        <w:rPr>
          <w:sz w:val="20"/>
        </w:rPr>
        <w:t>under</w:t>
      </w:r>
      <w:r>
        <w:rPr>
          <w:spacing w:val="12"/>
          <w:sz w:val="20"/>
        </w:rPr>
        <w:t> </w:t>
      </w:r>
      <w:r>
        <w:rPr>
          <w:sz w:val="20"/>
        </w:rPr>
        <w:t>the</w:t>
      </w:r>
      <w:r>
        <w:rPr>
          <w:spacing w:val="13"/>
          <w:sz w:val="20"/>
        </w:rPr>
        <w:t> </w:t>
      </w:r>
      <w:r>
        <w:rPr>
          <w:sz w:val="20"/>
        </w:rPr>
        <w:t>existing</w:t>
      </w:r>
      <w:r>
        <w:rPr>
          <w:spacing w:val="9"/>
          <w:sz w:val="20"/>
        </w:rPr>
        <w:t> </w:t>
      </w:r>
      <w:r>
        <w:rPr>
          <w:sz w:val="20"/>
        </w:rPr>
        <w:t>rules.</w:t>
      </w:r>
      <w:r>
        <w:rPr>
          <w:spacing w:val="11"/>
          <w:sz w:val="20"/>
        </w:rPr>
        <w:t> </w:t>
      </w:r>
      <w:r>
        <w:rPr>
          <w:sz w:val="20"/>
        </w:rPr>
        <w:t>Further,</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they</w:t>
      </w:r>
      <w:r>
        <w:rPr>
          <w:spacing w:val="-15"/>
        </w:rPr>
        <w:t> </w:t>
      </w:r>
      <w:r>
        <w:rPr/>
        <w:t>believe</w:t>
      </w:r>
      <w:r>
        <w:rPr>
          <w:spacing w:val="-8"/>
        </w:rPr>
        <w:t> </w:t>
      </w:r>
      <w:r>
        <w:rPr/>
        <w:t>it</w:t>
      </w:r>
      <w:r>
        <w:rPr>
          <w:spacing w:val="-9"/>
        </w:rPr>
        <w:t> </w:t>
      </w:r>
      <w:r>
        <w:rPr/>
        <w:t>is</w:t>
      </w:r>
      <w:r>
        <w:rPr>
          <w:spacing w:val="-10"/>
        </w:rPr>
        <w:t> </w:t>
      </w:r>
      <w:r>
        <w:rPr/>
        <w:t>important</w:t>
      </w:r>
      <w:r>
        <w:rPr>
          <w:spacing w:val="-8"/>
        </w:rPr>
        <w:t> </w:t>
      </w:r>
      <w:r>
        <w:rPr/>
        <w:t>to</w:t>
      </w:r>
      <w:r>
        <w:rPr>
          <w:spacing w:val="-12"/>
        </w:rPr>
        <w:t> </w:t>
      </w:r>
      <w:r>
        <w:rPr/>
        <w:t>reduce</w:t>
      </w:r>
      <w:r>
        <w:rPr>
          <w:spacing w:val="-11"/>
        </w:rPr>
        <w:t> </w:t>
      </w:r>
      <w:r>
        <w:rPr/>
        <w:t>the</w:t>
      </w:r>
      <w:r>
        <w:rPr>
          <w:spacing w:val="-9"/>
        </w:rPr>
        <w:t> </w:t>
      </w:r>
      <w:r>
        <w:rPr/>
        <w:t>incentives</w:t>
      </w:r>
      <w:r>
        <w:rPr>
          <w:spacing w:val="-4"/>
        </w:rPr>
        <w:t> </w:t>
      </w:r>
      <w:r>
        <w:rPr/>
        <w:t>MNE</w:t>
      </w:r>
      <w:r>
        <w:rPr>
          <w:spacing w:val="-11"/>
        </w:rPr>
        <w:t> </w:t>
      </w:r>
      <w:r>
        <w:rPr/>
        <w:t>groups</w:t>
      </w:r>
      <w:r>
        <w:rPr>
          <w:spacing w:val="-10"/>
        </w:rPr>
        <w:t> </w:t>
      </w:r>
      <w:r>
        <w:rPr/>
        <w:t>face</w:t>
      </w:r>
      <w:r>
        <w:rPr>
          <w:spacing w:val="-11"/>
        </w:rPr>
        <w:t> </w:t>
      </w:r>
      <w:r>
        <w:rPr/>
        <w:t>to</w:t>
      </w:r>
      <w:r>
        <w:rPr>
          <w:spacing w:val="-12"/>
        </w:rPr>
        <w:t> </w:t>
      </w:r>
      <w:r>
        <w:rPr/>
        <w:t>conduct</w:t>
      </w:r>
      <w:r>
        <w:rPr>
          <w:spacing w:val="-10"/>
        </w:rPr>
        <w:t> </w:t>
      </w:r>
      <w:r>
        <w:rPr/>
        <w:t>marketing</w:t>
      </w:r>
      <w:r>
        <w:rPr>
          <w:spacing w:val="-12"/>
        </w:rPr>
        <w:t> </w:t>
      </w:r>
      <w:r>
        <w:rPr/>
        <w:t>and</w:t>
      </w:r>
      <w:r>
        <w:rPr>
          <w:spacing w:val="-8"/>
        </w:rPr>
        <w:t> </w:t>
      </w:r>
      <w:r>
        <w:rPr/>
        <w:t>distribution remotely</w:t>
      </w:r>
      <w:r>
        <w:rPr>
          <w:spacing w:val="-19"/>
        </w:rPr>
        <w:t> </w:t>
      </w:r>
      <w:r>
        <w:rPr/>
        <w:t>from</w:t>
      </w:r>
      <w:r>
        <w:rPr>
          <w:spacing w:val="-12"/>
        </w:rPr>
        <w:t> </w:t>
      </w:r>
      <w:r>
        <w:rPr/>
        <w:t>a</w:t>
      </w:r>
      <w:r>
        <w:rPr>
          <w:spacing w:val="-16"/>
        </w:rPr>
        <w:t> </w:t>
      </w:r>
      <w:r>
        <w:rPr/>
        <w:t>lower</w:t>
      </w:r>
      <w:r>
        <w:rPr>
          <w:spacing w:val="-14"/>
        </w:rPr>
        <w:t> </w:t>
      </w:r>
      <w:r>
        <w:rPr/>
        <w:t>tax</w:t>
      </w:r>
      <w:r>
        <w:rPr>
          <w:spacing w:val="-15"/>
        </w:rPr>
        <w:t> </w:t>
      </w:r>
      <w:r>
        <w:rPr/>
        <w:t>jurisdiction</w:t>
      </w:r>
      <w:r>
        <w:rPr>
          <w:spacing w:val="-16"/>
        </w:rPr>
        <w:t> </w:t>
      </w:r>
      <w:r>
        <w:rPr/>
        <w:t>and</w:t>
      </w:r>
      <w:r>
        <w:rPr>
          <w:spacing w:val="-16"/>
        </w:rPr>
        <w:t> </w:t>
      </w:r>
      <w:r>
        <w:rPr/>
        <w:t>to</w:t>
      </w:r>
      <w:r>
        <w:rPr>
          <w:spacing w:val="-16"/>
        </w:rPr>
        <w:t> </w:t>
      </w:r>
      <w:r>
        <w:rPr/>
        <w:t>create</w:t>
      </w:r>
      <w:r>
        <w:rPr>
          <w:spacing w:val="-16"/>
        </w:rPr>
        <w:t> </w:t>
      </w:r>
      <w:r>
        <w:rPr/>
        <w:t>neutrality</w:t>
      </w:r>
      <w:r>
        <w:rPr>
          <w:spacing w:val="-18"/>
        </w:rPr>
        <w:t> </w:t>
      </w:r>
      <w:r>
        <w:rPr/>
        <w:t>between</w:t>
      </w:r>
      <w:r>
        <w:rPr>
          <w:spacing w:val="-17"/>
        </w:rPr>
        <w:t> </w:t>
      </w:r>
      <w:r>
        <w:rPr/>
        <w:t>marketing</w:t>
      </w:r>
      <w:r>
        <w:rPr>
          <w:spacing w:val="-16"/>
        </w:rPr>
        <w:t> </w:t>
      </w:r>
      <w:r>
        <w:rPr/>
        <w:t>and</w:t>
      </w:r>
      <w:r>
        <w:rPr>
          <w:spacing w:val="-16"/>
        </w:rPr>
        <w:t> </w:t>
      </w:r>
      <w:r>
        <w:rPr/>
        <w:t>distribution</w:t>
      </w:r>
      <w:r>
        <w:rPr>
          <w:spacing w:val="-17"/>
        </w:rPr>
        <w:t> </w:t>
      </w:r>
      <w:r>
        <w:rPr/>
        <w:t>conducted physically in a market jurisdiction and similar activities conducted remotely thanks to digital technologies. Other members take the view that there would be no case for reallocating both routine profit from distribution activities and residual</w:t>
      </w:r>
      <w:r>
        <w:rPr>
          <w:spacing w:val="-5"/>
        </w:rPr>
        <w:t> </w:t>
      </w:r>
      <w:r>
        <w:rPr/>
        <w:t>profit.</w:t>
      </w:r>
    </w:p>
    <w:p>
      <w:pPr>
        <w:pStyle w:val="BodyText"/>
        <w:spacing w:before="4"/>
        <w:rPr>
          <w:sz w:val="23"/>
        </w:rPr>
      </w:pPr>
    </w:p>
    <w:p>
      <w:pPr>
        <w:pStyle w:val="Heading6"/>
        <w:numPr>
          <w:ilvl w:val="2"/>
          <w:numId w:val="65"/>
        </w:numPr>
        <w:tabs>
          <w:tab w:pos="2015" w:val="left" w:leader="none"/>
        </w:tabs>
        <w:spacing w:line="240" w:lineRule="auto" w:before="0" w:after="0"/>
        <w:ind w:left="2014" w:right="0" w:hanging="613"/>
        <w:jc w:val="left"/>
        <w:rPr>
          <w:i/>
        </w:rPr>
      </w:pPr>
      <w:bookmarkStart w:name="6.3.2. Jurisdictional differentiation" w:id="301"/>
      <w:bookmarkEnd w:id="301"/>
      <w:r>
        <w:rPr>
          <w:b w:val="0"/>
          <w:i w:val="0"/>
        </w:rPr>
      </w:r>
      <w:bookmarkStart w:name="6.3.2. Jurisdictional differentiation" w:id="302"/>
      <w:bookmarkEnd w:id="302"/>
      <w:r>
        <w:rPr>
          <w:i/>
        </w:rPr>
        <w:t>Jur</w:t>
      </w:r>
      <w:r>
        <w:rPr>
          <w:i/>
        </w:rPr>
        <w:t>isdictional</w:t>
      </w:r>
      <w:r>
        <w:rPr>
          <w:i/>
          <w:spacing w:val="-2"/>
        </w:rPr>
        <w:t> </w:t>
      </w:r>
      <w:r>
        <w:rPr>
          <w:i/>
        </w:rPr>
        <w:t>differentiation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 </w:t>
      </w:r>
      <w:r>
        <w:rPr>
          <w:i/>
          <w:sz w:val="20"/>
        </w:rPr>
        <w:t>Outline </w:t>
      </w:r>
      <w:r>
        <w:rPr>
          <w:sz w:val="20"/>
        </w:rPr>
        <w:t>identified the need to explore the rationale and technical feasibility of jurisdictional or regional</w:t>
      </w:r>
      <w:r>
        <w:rPr>
          <w:spacing w:val="-14"/>
          <w:sz w:val="20"/>
        </w:rPr>
        <w:t> </w:t>
      </w:r>
      <w:r>
        <w:rPr>
          <w:sz w:val="20"/>
        </w:rPr>
        <w:t>segmentation</w:t>
      </w:r>
      <w:r>
        <w:rPr>
          <w:spacing w:val="-12"/>
          <w:sz w:val="20"/>
        </w:rPr>
        <w:t> </w:t>
      </w:r>
      <w:r>
        <w:rPr>
          <w:sz w:val="20"/>
        </w:rPr>
        <w:t>as</w:t>
      </w:r>
      <w:r>
        <w:rPr>
          <w:spacing w:val="-10"/>
          <w:sz w:val="20"/>
        </w:rPr>
        <w:t> </w:t>
      </w:r>
      <w:r>
        <w:rPr>
          <w:sz w:val="20"/>
        </w:rPr>
        <w:t>a</w:t>
      </w:r>
      <w:r>
        <w:rPr>
          <w:spacing w:val="-9"/>
          <w:sz w:val="20"/>
        </w:rPr>
        <w:t> </w:t>
      </w:r>
      <w:r>
        <w:rPr>
          <w:sz w:val="20"/>
        </w:rPr>
        <w:t>way</w:t>
      </w:r>
      <w:r>
        <w:rPr>
          <w:spacing w:val="-15"/>
          <w:sz w:val="20"/>
        </w:rPr>
        <w:t> </w:t>
      </w:r>
      <w:r>
        <w:rPr>
          <w:sz w:val="20"/>
        </w:rPr>
        <w:t>to</w:t>
      </w:r>
      <w:r>
        <w:rPr>
          <w:spacing w:val="-12"/>
          <w:sz w:val="20"/>
        </w:rPr>
        <w:t> </w:t>
      </w:r>
      <w:r>
        <w:rPr>
          <w:sz w:val="20"/>
        </w:rPr>
        <w:t>account</w:t>
      </w:r>
      <w:r>
        <w:rPr>
          <w:spacing w:val="-14"/>
          <w:sz w:val="20"/>
        </w:rPr>
        <w:t> </w:t>
      </w:r>
      <w:r>
        <w:rPr>
          <w:sz w:val="20"/>
        </w:rPr>
        <w:t>for</w:t>
      </w:r>
      <w:r>
        <w:rPr>
          <w:spacing w:val="-11"/>
          <w:sz w:val="20"/>
        </w:rPr>
        <w:t> </w:t>
      </w:r>
      <w:r>
        <w:rPr>
          <w:sz w:val="20"/>
        </w:rPr>
        <w:t>variations</w:t>
      </w:r>
      <w:r>
        <w:rPr>
          <w:spacing w:val="-12"/>
          <w:sz w:val="20"/>
        </w:rPr>
        <w:t> </w:t>
      </w:r>
      <w:r>
        <w:rPr>
          <w:sz w:val="20"/>
        </w:rPr>
        <w:t>in</w:t>
      </w:r>
      <w:r>
        <w:rPr>
          <w:spacing w:val="-11"/>
          <w:sz w:val="20"/>
        </w:rPr>
        <w:t> </w:t>
      </w:r>
      <w:r>
        <w:rPr>
          <w:sz w:val="20"/>
        </w:rPr>
        <w:t>profitability</w:t>
      </w:r>
      <w:r>
        <w:rPr>
          <w:spacing w:val="-15"/>
          <w:sz w:val="20"/>
        </w:rPr>
        <w:t> </w:t>
      </w:r>
      <w:r>
        <w:rPr>
          <w:sz w:val="20"/>
        </w:rPr>
        <w:t>across</w:t>
      </w:r>
      <w:r>
        <w:rPr>
          <w:spacing w:val="-12"/>
          <w:sz w:val="20"/>
        </w:rPr>
        <w:t> </w:t>
      </w:r>
      <w:r>
        <w:rPr>
          <w:sz w:val="20"/>
        </w:rPr>
        <w:t>regions.</w:t>
      </w:r>
      <w:r>
        <w:rPr>
          <w:spacing w:val="-14"/>
          <w:sz w:val="20"/>
        </w:rPr>
        <w:t> </w:t>
      </w:r>
      <w:r>
        <w:rPr>
          <w:sz w:val="20"/>
        </w:rPr>
        <w:t>For</w:t>
      </w:r>
      <w:r>
        <w:rPr>
          <w:spacing w:val="-11"/>
          <w:sz w:val="20"/>
        </w:rPr>
        <w:t> </w:t>
      </w:r>
      <w:r>
        <w:rPr>
          <w:sz w:val="20"/>
        </w:rPr>
        <w:t>businesses</w:t>
      </w:r>
      <w:r>
        <w:rPr>
          <w:spacing w:val="-13"/>
          <w:sz w:val="20"/>
        </w:rPr>
        <w:t> </w:t>
      </w:r>
      <w:r>
        <w:rPr>
          <w:sz w:val="20"/>
        </w:rPr>
        <w:t>that do not operate on a regional basis, regional segmentation would be technically challenging because, like segmenting between ADS, CFB and out-of-scope activities, it would require that potentially significant portions</w:t>
      </w:r>
      <w:r>
        <w:rPr>
          <w:spacing w:val="-19"/>
          <w:sz w:val="20"/>
        </w:rPr>
        <w:t> </w:t>
      </w:r>
      <w:r>
        <w:rPr>
          <w:sz w:val="20"/>
        </w:rPr>
        <w:t>of</w:t>
      </w:r>
      <w:r>
        <w:rPr>
          <w:spacing w:val="-18"/>
          <w:sz w:val="20"/>
        </w:rPr>
        <w:t> </w:t>
      </w:r>
      <w:r>
        <w:rPr>
          <w:sz w:val="20"/>
        </w:rPr>
        <w:t>central</w:t>
      </w:r>
      <w:r>
        <w:rPr>
          <w:spacing w:val="-20"/>
          <w:sz w:val="20"/>
        </w:rPr>
        <w:t> </w:t>
      </w:r>
      <w:r>
        <w:rPr>
          <w:sz w:val="20"/>
        </w:rPr>
        <w:t>costs</w:t>
      </w:r>
      <w:r>
        <w:rPr>
          <w:spacing w:val="-16"/>
          <w:sz w:val="20"/>
        </w:rPr>
        <w:t> </w:t>
      </w:r>
      <w:r>
        <w:rPr>
          <w:sz w:val="20"/>
        </w:rPr>
        <w:t>are</w:t>
      </w:r>
      <w:r>
        <w:rPr>
          <w:spacing w:val="-16"/>
          <w:sz w:val="20"/>
        </w:rPr>
        <w:t> </w:t>
      </w:r>
      <w:r>
        <w:rPr>
          <w:sz w:val="20"/>
        </w:rPr>
        <w:t>apportioned</w:t>
      </w:r>
      <w:r>
        <w:rPr>
          <w:spacing w:val="-16"/>
          <w:sz w:val="20"/>
        </w:rPr>
        <w:t> </w:t>
      </w:r>
      <w:r>
        <w:rPr>
          <w:sz w:val="20"/>
        </w:rPr>
        <w:t>among</w:t>
      </w:r>
      <w:r>
        <w:rPr>
          <w:spacing w:val="-18"/>
          <w:sz w:val="20"/>
        </w:rPr>
        <w:t> </w:t>
      </w:r>
      <w:r>
        <w:rPr>
          <w:sz w:val="20"/>
        </w:rPr>
        <w:t>different</w:t>
      </w:r>
      <w:r>
        <w:rPr>
          <w:spacing w:val="-20"/>
          <w:sz w:val="20"/>
        </w:rPr>
        <w:t> </w:t>
      </w:r>
      <w:r>
        <w:rPr>
          <w:sz w:val="20"/>
        </w:rPr>
        <w:t>regions</w:t>
      </w:r>
      <w:r>
        <w:rPr>
          <w:spacing w:val="-16"/>
          <w:sz w:val="20"/>
        </w:rPr>
        <w:t> </w:t>
      </w:r>
      <w:r>
        <w:rPr>
          <w:sz w:val="20"/>
        </w:rPr>
        <w:t>using</w:t>
      </w:r>
      <w:r>
        <w:rPr>
          <w:spacing w:val="-19"/>
          <w:sz w:val="20"/>
        </w:rPr>
        <w:t> </w:t>
      </w:r>
      <w:r>
        <w:rPr>
          <w:sz w:val="20"/>
        </w:rPr>
        <w:t>allocation</w:t>
      </w:r>
      <w:r>
        <w:rPr>
          <w:spacing w:val="-20"/>
          <w:sz w:val="20"/>
        </w:rPr>
        <w:t> </w:t>
      </w:r>
      <w:r>
        <w:rPr>
          <w:sz w:val="20"/>
        </w:rPr>
        <w:t>keys.</w:t>
      </w:r>
      <w:r>
        <w:rPr>
          <w:spacing w:val="-12"/>
          <w:sz w:val="20"/>
        </w:rPr>
        <w:t> </w:t>
      </w:r>
      <w:r>
        <w:rPr>
          <w:sz w:val="20"/>
        </w:rPr>
        <w:t>It</w:t>
      </w:r>
      <w:r>
        <w:rPr>
          <w:spacing w:val="-17"/>
          <w:sz w:val="20"/>
        </w:rPr>
        <w:t> </w:t>
      </w:r>
      <w:r>
        <w:rPr>
          <w:sz w:val="20"/>
        </w:rPr>
        <w:t>is</w:t>
      </w:r>
      <w:r>
        <w:rPr>
          <w:spacing w:val="-16"/>
          <w:sz w:val="20"/>
        </w:rPr>
        <w:t> </w:t>
      </w:r>
      <w:r>
        <w:rPr>
          <w:sz w:val="20"/>
        </w:rPr>
        <w:t>also</w:t>
      </w:r>
      <w:r>
        <w:rPr>
          <w:spacing w:val="-20"/>
          <w:sz w:val="20"/>
        </w:rPr>
        <w:t> </w:t>
      </w:r>
      <w:r>
        <w:rPr>
          <w:sz w:val="20"/>
        </w:rPr>
        <w:t>recognised that regional or jurisdictional differentiation is mainly a question for CFB businesses and not for ADS businesses.</w:t>
      </w:r>
      <w:r>
        <w:rPr>
          <w:position w:val="6"/>
          <w:sz w:val="13"/>
        </w:rPr>
        <w:t>102 </w:t>
      </w:r>
      <w:r>
        <w:rPr>
          <w:sz w:val="20"/>
        </w:rPr>
        <w:t>Whilst further technical work will be conducted on this issue, the work so far suggests that regional segmentation may not be sufficient to account for significant variations in profitability across jurisdictions</w:t>
      </w:r>
      <w:r>
        <w:rPr>
          <w:spacing w:val="-12"/>
          <w:sz w:val="20"/>
        </w:rPr>
        <w:t> </w:t>
      </w:r>
      <w:r>
        <w:rPr>
          <w:sz w:val="20"/>
        </w:rPr>
        <w:t>(which</w:t>
      </w:r>
      <w:r>
        <w:rPr>
          <w:spacing w:val="-10"/>
          <w:sz w:val="20"/>
        </w:rPr>
        <w:t> </w:t>
      </w:r>
      <w:r>
        <w:rPr>
          <w:sz w:val="20"/>
        </w:rPr>
        <w:t>are</w:t>
      </w:r>
      <w:r>
        <w:rPr>
          <w:spacing w:val="-12"/>
          <w:sz w:val="20"/>
        </w:rPr>
        <w:t> </w:t>
      </w:r>
      <w:r>
        <w:rPr>
          <w:sz w:val="20"/>
        </w:rPr>
        <w:t>particularly</w:t>
      </w:r>
      <w:r>
        <w:rPr>
          <w:spacing w:val="-15"/>
          <w:sz w:val="20"/>
        </w:rPr>
        <w:t> </w:t>
      </w:r>
      <w:r>
        <w:rPr>
          <w:sz w:val="20"/>
        </w:rPr>
        <w:t>significant</w:t>
      </w:r>
      <w:r>
        <w:rPr>
          <w:spacing w:val="-10"/>
          <w:sz w:val="20"/>
        </w:rPr>
        <w:t> </w:t>
      </w:r>
      <w:r>
        <w:rPr>
          <w:sz w:val="20"/>
        </w:rPr>
        <w:t>in</w:t>
      </w:r>
      <w:r>
        <w:rPr>
          <w:spacing w:val="-13"/>
          <w:sz w:val="20"/>
        </w:rPr>
        <w:t> </w:t>
      </w:r>
      <w:r>
        <w:rPr>
          <w:sz w:val="20"/>
        </w:rPr>
        <w:t>the</w:t>
      </w:r>
      <w:r>
        <w:rPr>
          <w:spacing w:val="-8"/>
          <w:sz w:val="20"/>
        </w:rPr>
        <w:t> </w:t>
      </w:r>
      <w:r>
        <w:rPr>
          <w:sz w:val="20"/>
        </w:rPr>
        <w:t>CFB</w:t>
      </w:r>
      <w:r>
        <w:rPr>
          <w:spacing w:val="-13"/>
          <w:sz w:val="20"/>
        </w:rPr>
        <w:t> </w:t>
      </w:r>
      <w:r>
        <w:rPr>
          <w:sz w:val="20"/>
        </w:rPr>
        <w:t>sector).</w:t>
      </w:r>
      <w:r>
        <w:rPr>
          <w:spacing w:val="-12"/>
          <w:sz w:val="20"/>
        </w:rPr>
        <w:t> </w:t>
      </w:r>
      <w:r>
        <w:rPr>
          <w:sz w:val="20"/>
        </w:rPr>
        <w:t>Consideration</w:t>
      </w:r>
      <w:r>
        <w:rPr>
          <w:spacing w:val="-13"/>
          <w:sz w:val="20"/>
        </w:rPr>
        <w:t> </w:t>
      </w:r>
      <w:r>
        <w:rPr>
          <w:sz w:val="20"/>
        </w:rPr>
        <w:t>has</w:t>
      </w:r>
      <w:r>
        <w:rPr>
          <w:spacing w:val="-11"/>
          <w:sz w:val="20"/>
        </w:rPr>
        <w:t> </w:t>
      </w:r>
      <w:r>
        <w:rPr>
          <w:sz w:val="20"/>
        </w:rPr>
        <w:t>been</w:t>
      </w:r>
      <w:r>
        <w:rPr>
          <w:spacing w:val="-13"/>
          <w:sz w:val="20"/>
        </w:rPr>
        <w:t> </w:t>
      </w:r>
      <w:r>
        <w:rPr>
          <w:sz w:val="20"/>
        </w:rPr>
        <w:t>given</w:t>
      </w:r>
      <w:r>
        <w:rPr>
          <w:spacing w:val="-13"/>
          <w:sz w:val="20"/>
        </w:rPr>
        <w:t> </w:t>
      </w:r>
      <w:r>
        <w:rPr>
          <w:sz w:val="20"/>
        </w:rPr>
        <w:t>to</w:t>
      </w:r>
      <w:r>
        <w:rPr>
          <w:spacing w:val="-10"/>
          <w:sz w:val="20"/>
        </w:rPr>
        <w:t> </w:t>
      </w:r>
      <w:r>
        <w:rPr>
          <w:sz w:val="20"/>
        </w:rPr>
        <w:t>whether the Amount A formula could be weighted to allocate more profits to more profitable markets. However, again</w:t>
      </w:r>
      <w:r>
        <w:rPr>
          <w:spacing w:val="-9"/>
          <w:sz w:val="20"/>
        </w:rPr>
        <w:t> </w:t>
      </w:r>
      <w:r>
        <w:rPr>
          <w:sz w:val="20"/>
        </w:rPr>
        <w:t>the</w:t>
      </w:r>
      <w:r>
        <w:rPr>
          <w:spacing w:val="-9"/>
          <w:sz w:val="20"/>
        </w:rPr>
        <w:t> </w:t>
      </w:r>
      <w:r>
        <w:rPr>
          <w:sz w:val="20"/>
        </w:rPr>
        <w:t>challenges</w:t>
      </w:r>
      <w:r>
        <w:rPr>
          <w:spacing w:val="-7"/>
          <w:sz w:val="20"/>
        </w:rPr>
        <w:t> </w:t>
      </w:r>
      <w:r>
        <w:rPr>
          <w:sz w:val="20"/>
        </w:rPr>
        <w:t>of</w:t>
      </w:r>
      <w:r>
        <w:rPr>
          <w:spacing w:val="-7"/>
          <w:sz w:val="20"/>
        </w:rPr>
        <w:t> </w:t>
      </w:r>
      <w:r>
        <w:rPr>
          <w:sz w:val="20"/>
        </w:rPr>
        <w:t>calculating</w:t>
      </w:r>
      <w:r>
        <w:rPr>
          <w:spacing w:val="-9"/>
          <w:sz w:val="20"/>
        </w:rPr>
        <w:t> </w:t>
      </w:r>
      <w:r>
        <w:rPr>
          <w:sz w:val="20"/>
        </w:rPr>
        <w:t>the</w:t>
      </w:r>
      <w:r>
        <w:rPr>
          <w:spacing w:val="-8"/>
          <w:sz w:val="20"/>
        </w:rPr>
        <w:t> </w:t>
      </w:r>
      <w:r>
        <w:rPr>
          <w:sz w:val="20"/>
        </w:rPr>
        <w:t>profits</w:t>
      </w:r>
      <w:r>
        <w:rPr>
          <w:spacing w:val="-8"/>
          <w:sz w:val="20"/>
        </w:rPr>
        <w:t> </w:t>
      </w:r>
      <w:r>
        <w:rPr>
          <w:sz w:val="20"/>
        </w:rPr>
        <w:t>attributable</w:t>
      </w:r>
      <w:r>
        <w:rPr>
          <w:spacing w:val="-9"/>
          <w:sz w:val="20"/>
        </w:rPr>
        <w:t> </w:t>
      </w:r>
      <w:r>
        <w:rPr>
          <w:sz w:val="20"/>
        </w:rPr>
        <w:t>to</w:t>
      </w:r>
      <w:r>
        <w:rPr>
          <w:spacing w:val="-8"/>
          <w:sz w:val="20"/>
        </w:rPr>
        <w:t> </w:t>
      </w:r>
      <w:r>
        <w:rPr>
          <w:sz w:val="20"/>
        </w:rPr>
        <w:t>a</w:t>
      </w:r>
      <w:r>
        <w:rPr>
          <w:spacing w:val="-9"/>
          <w:sz w:val="20"/>
        </w:rPr>
        <w:t> </w:t>
      </w:r>
      <w:r>
        <w:rPr>
          <w:sz w:val="20"/>
        </w:rPr>
        <w:t>market,</w:t>
      </w:r>
      <w:r>
        <w:rPr>
          <w:spacing w:val="-12"/>
          <w:sz w:val="20"/>
        </w:rPr>
        <w:t> </w:t>
      </w:r>
      <w:r>
        <w:rPr>
          <w:sz w:val="20"/>
        </w:rPr>
        <w:t>mean</w:t>
      </w:r>
      <w:r>
        <w:rPr>
          <w:spacing w:val="-8"/>
          <w:sz w:val="20"/>
        </w:rPr>
        <w:t> </w:t>
      </w:r>
      <w:r>
        <w:rPr>
          <w:sz w:val="20"/>
        </w:rPr>
        <w:t>it</w:t>
      </w:r>
      <w:r>
        <w:rPr>
          <w:spacing w:val="-9"/>
          <w:sz w:val="20"/>
        </w:rPr>
        <w:t> </w:t>
      </w:r>
      <w:r>
        <w:rPr>
          <w:sz w:val="20"/>
        </w:rPr>
        <w:t>can</w:t>
      </w:r>
      <w:r>
        <w:rPr>
          <w:spacing w:val="-8"/>
          <w:sz w:val="20"/>
        </w:rPr>
        <w:t> </w:t>
      </w:r>
      <w:r>
        <w:rPr>
          <w:sz w:val="20"/>
        </w:rPr>
        <w:t>be</w:t>
      </w:r>
      <w:r>
        <w:rPr>
          <w:spacing w:val="-9"/>
          <w:sz w:val="20"/>
        </w:rPr>
        <w:t> </w:t>
      </w:r>
      <w:r>
        <w:rPr>
          <w:sz w:val="20"/>
        </w:rPr>
        <w:t>difficult</w:t>
      </w:r>
      <w:r>
        <w:rPr>
          <w:spacing w:val="-9"/>
          <w:sz w:val="20"/>
        </w:rPr>
        <w:t> </w:t>
      </w:r>
      <w:r>
        <w:rPr>
          <w:sz w:val="20"/>
        </w:rPr>
        <w:t>to</w:t>
      </w:r>
      <w:r>
        <w:rPr>
          <w:spacing w:val="2"/>
          <w:sz w:val="20"/>
        </w:rPr>
        <w:t> </w:t>
      </w:r>
      <w:r>
        <w:rPr>
          <w:sz w:val="20"/>
        </w:rPr>
        <w:t>accurately identify more or less profitable</w:t>
      </w:r>
      <w:r>
        <w:rPr>
          <w:spacing w:val="-8"/>
          <w:sz w:val="20"/>
        </w:rPr>
        <w:t> </w:t>
      </w:r>
      <w:r>
        <w:rPr>
          <w:sz w:val="20"/>
        </w:rPr>
        <w:t>markets.</w:t>
      </w:r>
    </w:p>
    <w:p>
      <w:pPr>
        <w:pStyle w:val="ListParagraph"/>
        <w:numPr>
          <w:ilvl w:val="0"/>
          <w:numId w:val="13"/>
        </w:numPr>
        <w:tabs>
          <w:tab w:pos="1444" w:val="left" w:leader="none"/>
        </w:tabs>
        <w:spacing w:line="271" w:lineRule="auto" w:before="124" w:after="0"/>
        <w:ind w:left="723" w:right="481" w:firstLine="0"/>
        <w:jc w:val="both"/>
        <w:rPr>
          <w:sz w:val="20"/>
        </w:rPr>
      </w:pPr>
      <w:r>
        <w:rPr>
          <w:sz w:val="20"/>
        </w:rPr>
        <w:t>Conceptually, incorporating jurisdictional differentiation within the Amount A model is particularly challenging, because it is inconsistent with the overall approach which is to calculate the profits allocable to a market jurisdiction on a group or segment basis. However, there are a number of features of Amount A that will help ensure that its introduction does not result in profits from more profitable market jurisdictions, being reallocated to less profitable market</w:t>
      </w:r>
      <w:r>
        <w:rPr>
          <w:spacing w:val="-11"/>
          <w:sz w:val="20"/>
        </w:rPr>
        <w:t> </w:t>
      </w:r>
      <w:r>
        <w:rPr>
          <w:sz w:val="20"/>
        </w:rPr>
        <w:t>jurisdictions:</w:t>
      </w:r>
    </w:p>
    <w:p>
      <w:pPr>
        <w:pStyle w:val="ListParagraph"/>
        <w:numPr>
          <w:ilvl w:val="1"/>
          <w:numId w:val="13"/>
        </w:numPr>
        <w:tabs>
          <w:tab w:pos="1785" w:val="left" w:leader="none"/>
        </w:tabs>
        <w:spacing w:line="271" w:lineRule="auto" w:before="99" w:after="0"/>
        <w:ind w:left="1784" w:right="483" w:hanging="360"/>
        <w:jc w:val="both"/>
        <w:rPr>
          <w:sz w:val="20"/>
        </w:rPr>
      </w:pPr>
      <w:r>
        <w:rPr>
          <w:b/>
          <w:sz w:val="20"/>
        </w:rPr>
        <w:t>Mechanism</w:t>
      </w:r>
      <w:r>
        <w:rPr>
          <w:b/>
          <w:spacing w:val="-7"/>
          <w:sz w:val="20"/>
        </w:rPr>
        <w:t> </w:t>
      </w:r>
      <w:r>
        <w:rPr>
          <w:b/>
          <w:sz w:val="20"/>
        </w:rPr>
        <w:t>to</w:t>
      </w:r>
      <w:r>
        <w:rPr>
          <w:b/>
          <w:spacing w:val="-7"/>
          <w:sz w:val="20"/>
        </w:rPr>
        <w:t> </w:t>
      </w:r>
      <w:r>
        <w:rPr>
          <w:b/>
          <w:sz w:val="20"/>
        </w:rPr>
        <w:t>eliminate</w:t>
      </w:r>
      <w:r>
        <w:rPr>
          <w:b/>
          <w:spacing w:val="-8"/>
          <w:sz w:val="20"/>
        </w:rPr>
        <w:t> </w:t>
      </w:r>
      <w:r>
        <w:rPr>
          <w:b/>
          <w:sz w:val="20"/>
        </w:rPr>
        <w:t>double</w:t>
      </w:r>
      <w:r>
        <w:rPr>
          <w:b/>
          <w:spacing w:val="-8"/>
          <w:sz w:val="20"/>
        </w:rPr>
        <w:t> </w:t>
      </w:r>
      <w:r>
        <w:rPr>
          <w:b/>
          <w:sz w:val="20"/>
        </w:rPr>
        <w:t>taxation. </w:t>
      </w:r>
      <w:r>
        <w:rPr>
          <w:sz w:val="20"/>
        </w:rPr>
        <w:t>The</w:t>
      </w:r>
      <w:r>
        <w:rPr>
          <w:spacing w:val="-8"/>
          <w:sz w:val="20"/>
        </w:rPr>
        <w:t> </w:t>
      </w:r>
      <w:r>
        <w:rPr>
          <w:sz w:val="20"/>
        </w:rPr>
        <w:t>mechanism</w:t>
      </w:r>
      <w:r>
        <w:rPr>
          <w:spacing w:val="-3"/>
          <w:sz w:val="20"/>
        </w:rPr>
        <w:t> </w:t>
      </w:r>
      <w:r>
        <w:rPr>
          <w:sz w:val="20"/>
        </w:rPr>
        <w:t>to</w:t>
      </w:r>
      <w:r>
        <w:rPr>
          <w:spacing w:val="-8"/>
          <w:sz w:val="20"/>
        </w:rPr>
        <w:t> </w:t>
      </w:r>
      <w:r>
        <w:rPr>
          <w:sz w:val="20"/>
        </w:rPr>
        <w:t>eliminate</w:t>
      </w:r>
      <w:r>
        <w:rPr>
          <w:spacing w:val="-4"/>
          <w:sz w:val="20"/>
        </w:rPr>
        <w:t> </w:t>
      </w:r>
      <w:r>
        <w:rPr>
          <w:sz w:val="20"/>
        </w:rPr>
        <w:t>double</w:t>
      </w:r>
      <w:r>
        <w:rPr>
          <w:spacing w:val="-8"/>
          <w:sz w:val="20"/>
        </w:rPr>
        <w:t> </w:t>
      </w:r>
      <w:r>
        <w:rPr>
          <w:sz w:val="20"/>
        </w:rPr>
        <w:t>taxation</w:t>
      </w:r>
      <w:r>
        <w:rPr>
          <w:spacing w:val="-3"/>
          <w:sz w:val="20"/>
        </w:rPr>
        <w:t> </w:t>
      </w:r>
      <w:r>
        <w:rPr>
          <w:sz w:val="20"/>
        </w:rPr>
        <w:t>(see Chapter </w:t>
      </w:r>
      <w:hyperlink w:history="true" w:anchor="_bookmark51">
        <w:r>
          <w:rPr>
            <w:sz w:val="20"/>
          </w:rPr>
          <w:t>7. </w:t>
        </w:r>
      </w:hyperlink>
      <w:r>
        <w:rPr>
          <w:sz w:val="20"/>
        </w:rPr>
        <w:t>) could include an activities test and a market connection priority test. These two tests would significantly reduce the likelihood of the profits of in-market distributors being reallocated to other markets as a result of the introduction of Amount</w:t>
      </w:r>
      <w:r>
        <w:rPr>
          <w:spacing w:val="-12"/>
          <w:sz w:val="20"/>
        </w:rPr>
        <w:t> </w:t>
      </w:r>
      <w:r>
        <w:rPr>
          <w:sz w:val="20"/>
        </w:rPr>
        <w:t>A.</w:t>
      </w:r>
    </w:p>
    <w:p>
      <w:pPr>
        <w:pStyle w:val="ListParagraph"/>
        <w:numPr>
          <w:ilvl w:val="1"/>
          <w:numId w:val="13"/>
        </w:numPr>
        <w:tabs>
          <w:tab w:pos="1785" w:val="left" w:leader="none"/>
        </w:tabs>
        <w:spacing w:line="271" w:lineRule="auto" w:before="45" w:after="0"/>
        <w:ind w:left="1784" w:right="488" w:hanging="360"/>
        <w:jc w:val="both"/>
        <w:rPr>
          <w:sz w:val="20"/>
        </w:rPr>
      </w:pPr>
      <w:r>
        <w:rPr>
          <w:b/>
          <w:sz w:val="20"/>
        </w:rPr>
        <w:t>Domestic business exemption. </w:t>
      </w:r>
      <w:r>
        <w:rPr>
          <w:sz w:val="20"/>
        </w:rPr>
        <w:t>As explained in more detail below, a “domestic business exemption” could be developed to exclude profits derived from the sale of goods or services that</w:t>
      </w:r>
      <w:r>
        <w:rPr>
          <w:spacing w:val="-11"/>
          <w:sz w:val="20"/>
        </w:rPr>
        <w:t> </w:t>
      </w:r>
      <w:r>
        <w:rPr>
          <w:sz w:val="20"/>
        </w:rPr>
        <w:t>are</w:t>
      </w:r>
      <w:r>
        <w:rPr>
          <w:spacing w:val="-11"/>
          <w:sz w:val="20"/>
        </w:rPr>
        <w:t> </w:t>
      </w:r>
      <w:r>
        <w:rPr>
          <w:sz w:val="20"/>
        </w:rPr>
        <w:t>developed,</w:t>
      </w:r>
      <w:r>
        <w:rPr>
          <w:spacing w:val="-11"/>
          <w:sz w:val="20"/>
        </w:rPr>
        <w:t> </w:t>
      </w:r>
      <w:r>
        <w:rPr>
          <w:sz w:val="20"/>
        </w:rPr>
        <w:t>manufactured</w:t>
      </w:r>
      <w:r>
        <w:rPr>
          <w:spacing w:val="-11"/>
          <w:sz w:val="20"/>
        </w:rPr>
        <w:t> </w:t>
      </w:r>
      <w:r>
        <w:rPr>
          <w:sz w:val="20"/>
        </w:rPr>
        <w:t>and</w:t>
      </w:r>
      <w:r>
        <w:rPr>
          <w:spacing w:val="-11"/>
          <w:sz w:val="20"/>
        </w:rPr>
        <w:t> </w:t>
      </w:r>
      <w:r>
        <w:rPr>
          <w:sz w:val="20"/>
        </w:rPr>
        <w:t>sold</w:t>
      </w:r>
      <w:r>
        <w:rPr>
          <w:spacing w:val="-11"/>
          <w:sz w:val="20"/>
        </w:rPr>
        <w:t> </w:t>
      </w:r>
      <w:r>
        <w:rPr>
          <w:sz w:val="20"/>
        </w:rPr>
        <w:t>in</w:t>
      </w:r>
      <w:r>
        <w:rPr>
          <w:spacing w:val="-11"/>
          <w:sz w:val="20"/>
        </w:rPr>
        <w:t> </w:t>
      </w:r>
      <w:r>
        <w:rPr>
          <w:sz w:val="20"/>
        </w:rPr>
        <w:t>a</w:t>
      </w:r>
      <w:r>
        <w:rPr>
          <w:spacing w:val="-12"/>
          <w:sz w:val="20"/>
        </w:rPr>
        <w:t> </w:t>
      </w:r>
      <w:r>
        <w:rPr>
          <w:sz w:val="20"/>
        </w:rPr>
        <w:t>single</w:t>
      </w:r>
      <w:r>
        <w:rPr>
          <w:spacing w:val="-11"/>
          <w:sz w:val="20"/>
        </w:rPr>
        <w:t> </w:t>
      </w:r>
      <w:r>
        <w:rPr>
          <w:sz w:val="20"/>
        </w:rPr>
        <w:t>jurisdiction</w:t>
      </w:r>
      <w:r>
        <w:rPr>
          <w:spacing w:val="-11"/>
          <w:sz w:val="20"/>
        </w:rPr>
        <w:t> </w:t>
      </w:r>
      <w:r>
        <w:rPr>
          <w:sz w:val="20"/>
        </w:rPr>
        <w:t>from</w:t>
      </w:r>
      <w:r>
        <w:rPr>
          <w:spacing w:val="-7"/>
          <w:sz w:val="20"/>
        </w:rPr>
        <w:t> </w:t>
      </w:r>
      <w:r>
        <w:rPr>
          <w:sz w:val="20"/>
        </w:rPr>
        <w:t>the</w:t>
      </w:r>
      <w:r>
        <w:rPr>
          <w:spacing w:val="-11"/>
          <w:sz w:val="20"/>
        </w:rPr>
        <w:t> </w:t>
      </w:r>
      <w:r>
        <w:rPr>
          <w:sz w:val="20"/>
        </w:rPr>
        <w:t>Amount</w:t>
      </w:r>
      <w:r>
        <w:rPr>
          <w:spacing w:val="-11"/>
          <w:sz w:val="20"/>
        </w:rPr>
        <w:t> </w:t>
      </w:r>
      <w:r>
        <w:rPr>
          <w:sz w:val="20"/>
        </w:rPr>
        <w:t>A</w:t>
      </w:r>
      <w:r>
        <w:rPr>
          <w:spacing w:val="-12"/>
          <w:sz w:val="20"/>
        </w:rPr>
        <w:t> </w:t>
      </w:r>
      <w:r>
        <w:rPr>
          <w:sz w:val="20"/>
        </w:rPr>
        <w:t>tax</w:t>
      </w:r>
      <w:r>
        <w:rPr>
          <w:spacing w:val="-10"/>
          <w:sz w:val="20"/>
        </w:rPr>
        <w:t> </w:t>
      </w:r>
      <w:r>
        <w:rPr>
          <w:sz w:val="20"/>
        </w:rPr>
        <w:t>base. However, by requiring that profits from domestic businesses are excluded from the Amount A tax base, this exemption would add significant complexity to the determination of the Amount A tax</w:t>
      </w:r>
      <w:r>
        <w:rPr>
          <w:spacing w:val="-2"/>
          <w:sz w:val="20"/>
        </w:rPr>
        <w:t> </w:t>
      </w:r>
      <w:r>
        <w:rPr>
          <w:sz w:val="20"/>
        </w:rPr>
        <w:t>base.</w:t>
      </w:r>
    </w:p>
    <w:p>
      <w:pPr>
        <w:pStyle w:val="BodyText"/>
      </w:pPr>
    </w:p>
    <w:p>
      <w:pPr>
        <w:pStyle w:val="BodyText"/>
      </w:pPr>
    </w:p>
    <w:p>
      <w:pPr>
        <w:pStyle w:val="BodyText"/>
      </w:pPr>
    </w:p>
    <w:p>
      <w:pPr>
        <w:pStyle w:val="BodyText"/>
      </w:pPr>
    </w:p>
    <w:p>
      <w:pPr>
        <w:pStyle w:val="BodyText"/>
        <w:spacing w:before="4"/>
        <w:rPr>
          <w:sz w:val="28"/>
        </w:rPr>
      </w:pPr>
      <w:r>
        <w:rPr/>
        <w:pict>
          <v:rect style="position:absolute;margin-left:65.183998pt;margin-top:18.253065pt;width:144.020004pt;height:.599980pt;mso-position-horizontal-relative:page;mso-position-vertical-relative:paragraph;z-index:-15658496;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1010" w:val="left" w:leader="none"/>
        </w:tabs>
        <w:spacing w:line="278" w:lineRule="auto" w:before="94" w:after="0"/>
        <w:ind w:left="723" w:right="479" w:firstLine="0"/>
        <w:jc w:val="both"/>
        <w:rPr>
          <w:sz w:val="18"/>
        </w:rPr>
      </w:pPr>
      <w:r>
        <w:rPr>
          <w:sz w:val="18"/>
        </w:rPr>
        <w:t>Business models for MNE groups in ADS industries typically entail early and ongoing centralised development of intellectual property (IP) and the incurring of other costs aimed at developing the service offering as a whole, which then</w:t>
      </w:r>
      <w:r>
        <w:rPr>
          <w:spacing w:val="-10"/>
          <w:sz w:val="18"/>
        </w:rPr>
        <w:t> </w:t>
      </w:r>
      <w:r>
        <w:rPr>
          <w:sz w:val="18"/>
        </w:rPr>
        <w:t>may</w:t>
      </w:r>
      <w:r>
        <w:rPr>
          <w:spacing w:val="-8"/>
          <w:sz w:val="18"/>
        </w:rPr>
        <w:t> </w:t>
      </w:r>
      <w:r>
        <w:rPr>
          <w:sz w:val="18"/>
        </w:rPr>
        <w:t>be</w:t>
      </w:r>
      <w:r>
        <w:rPr>
          <w:spacing w:val="-6"/>
          <w:sz w:val="18"/>
        </w:rPr>
        <w:t> </w:t>
      </w:r>
      <w:r>
        <w:rPr>
          <w:sz w:val="18"/>
        </w:rPr>
        <w:t>rolled</w:t>
      </w:r>
      <w:r>
        <w:rPr>
          <w:spacing w:val="-6"/>
          <w:sz w:val="18"/>
        </w:rPr>
        <w:t> </w:t>
      </w:r>
      <w:r>
        <w:rPr>
          <w:sz w:val="18"/>
        </w:rPr>
        <w:t>out</w:t>
      </w:r>
      <w:r>
        <w:rPr>
          <w:spacing w:val="-7"/>
          <w:sz w:val="18"/>
        </w:rPr>
        <w:t> </w:t>
      </w:r>
      <w:r>
        <w:rPr>
          <w:sz w:val="18"/>
        </w:rPr>
        <w:t>to</w:t>
      </w:r>
      <w:r>
        <w:rPr>
          <w:spacing w:val="-5"/>
          <w:sz w:val="18"/>
        </w:rPr>
        <w:t> </w:t>
      </w:r>
      <w:r>
        <w:rPr>
          <w:sz w:val="18"/>
        </w:rPr>
        <w:t>new</w:t>
      </w:r>
      <w:r>
        <w:rPr>
          <w:spacing w:val="-11"/>
          <w:sz w:val="18"/>
        </w:rPr>
        <w:t> </w:t>
      </w:r>
      <w:r>
        <w:rPr>
          <w:sz w:val="18"/>
        </w:rPr>
        <w:t>markets</w:t>
      </w:r>
      <w:r>
        <w:rPr>
          <w:spacing w:val="-8"/>
          <w:sz w:val="18"/>
        </w:rPr>
        <w:t> </w:t>
      </w:r>
      <w:r>
        <w:rPr>
          <w:sz w:val="18"/>
        </w:rPr>
        <w:t>at</w:t>
      </w:r>
      <w:r>
        <w:rPr>
          <w:spacing w:val="-9"/>
          <w:sz w:val="18"/>
        </w:rPr>
        <w:t> </w:t>
      </w:r>
      <w:r>
        <w:rPr>
          <w:sz w:val="18"/>
        </w:rPr>
        <w:t>limited</w:t>
      </w:r>
      <w:r>
        <w:rPr>
          <w:spacing w:val="-9"/>
          <w:sz w:val="18"/>
        </w:rPr>
        <w:t> </w:t>
      </w:r>
      <w:r>
        <w:rPr>
          <w:sz w:val="18"/>
        </w:rPr>
        <w:t>marginal</w:t>
      </w:r>
      <w:r>
        <w:rPr>
          <w:spacing w:val="-6"/>
          <w:sz w:val="18"/>
        </w:rPr>
        <w:t> </w:t>
      </w:r>
      <w:r>
        <w:rPr>
          <w:sz w:val="18"/>
        </w:rPr>
        <w:t>cost.</w:t>
      </w:r>
      <w:r>
        <w:rPr>
          <w:spacing w:val="-6"/>
          <w:sz w:val="18"/>
        </w:rPr>
        <w:t> </w:t>
      </w:r>
      <w:r>
        <w:rPr>
          <w:sz w:val="18"/>
        </w:rPr>
        <w:t>Consequently,</w:t>
      </w:r>
      <w:r>
        <w:rPr>
          <w:spacing w:val="-9"/>
          <w:sz w:val="18"/>
        </w:rPr>
        <w:t> </w:t>
      </w:r>
      <w:r>
        <w:rPr>
          <w:sz w:val="18"/>
        </w:rPr>
        <w:t>significant</w:t>
      </w:r>
      <w:r>
        <w:rPr>
          <w:spacing w:val="-7"/>
          <w:sz w:val="18"/>
        </w:rPr>
        <w:t> </w:t>
      </w:r>
      <w:r>
        <w:rPr>
          <w:sz w:val="18"/>
        </w:rPr>
        <w:t>costs</w:t>
      </w:r>
      <w:r>
        <w:rPr>
          <w:spacing w:val="-9"/>
          <w:sz w:val="18"/>
        </w:rPr>
        <w:t> </w:t>
      </w:r>
      <w:r>
        <w:rPr>
          <w:sz w:val="18"/>
        </w:rPr>
        <w:t>are</w:t>
      </w:r>
      <w:r>
        <w:rPr>
          <w:spacing w:val="-9"/>
          <w:sz w:val="18"/>
        </w:rPr>
        <w:t> </w:t>
      </w:r>
      <w:r>
        <w:rPr>
          <w:sz w:val="18"/>
        </w:rPr>
        <w:t>centralised</w:t>
      </w:r>
      <w:r>
        <w:rPr>
          <w:spacing w:val="-9"/>
          <w:sz w:val="18"/>
        </w:rPr>
        <w:t> </w:t>
      </w:r>
      <w:r>
        <w:rPr>
          <w:sz w:val="18"/>
        </w:rPr>
        <w:t>and</w:t>
      </w:r>
      <w:r>
        <w:rPr>
          <w:spacing w:val="-9"/>
          <w:sz w:val="18"/>
        </w:rPr>
        <w:t> </w:t>
      </w:r>
      <w:r>
        <w:rPr>
          <w:sz w:val="18"/>
        </w:rPr>
        <w:t>the variation</w:t>
      </w:r>
      <w:r>
        <w:rPr>
          <w:spacing w:val="-11"/>
          <w:sz w:val="18"/>
        </w:rPr>
        <w:t> </w:t>
      </w:r>
      <w:r>
        <w:rPr>
          <w:sz w:val="18"/>
        </w:rPr>
        <w:t>of</w:t>
      </w:r>
      <w:r>
        <w:rPr>
          <w:spacing w:val="-9"/>
          <w:sz w:val="18"/>
        </w:rPr>
        <w:t> </w:t>
      </w:r>
      <w:r>
        <w:rPr>
          <w:sz w:val="18"/>
        </w:rPr>
        <w:t>profit</w:t>
      </w:r>
      <w:r>
        <w:rPr>
          <w:spacing w:val="-9"/>
          <w:sz w:val="18"/>
        </w:rPr>
        <w:t> </w:t>
      </w:r>
      <w:r>
        <w:rPr>
          <w:sz w:val="18"/>
        </w:rPr>
        <w:t>between</w:t>
      </w:r>
      <w:r>
        <w:rPr>
          <w:spacing w:val="-9"/>
          <w:sz w:val="18"/>
        </w:rPr>
        <w:t> </w:t>
      </w:r>
      <w:r>
        <w:rPr>
          <w:sz w:val="18"/>
        </w:rPr>
        <w:t>regions</w:t>
      </w:r>
      <w:r>
        <w:rPr>
          <w:spacing w:val="-8"/>
          <w:sz w:val="18"/>
        </w:rPr>
        <w:t> </w:t>
      </w:r>
      <w:r>
        <w:rPr>
          <w:sz w:val="18"/>
        </w:rPr>
        <w:t>and</w:t>
      </w:r>
      <w:r>
        <w:rPr>
          <w:spacing w:val="-8"/>
          <w:sz w:val="18"/>
        </w:rPr>
        <w:t> </w:t>
      </w:r>
      <w:r>
        <w:rPr>
          <w:sz w:val="18"/>
        </w:rPr>
        <w:t>jurisdictions</w:t>
      </w:r>
      <w:r>
        <w:rPr>
          <w:spacing w:val="-8"/>
          <w:sz w:val="18"/>
        </w:rPr>
        <w:t> </w:t>
      </w:r>
      <w:r>
        <w:rPr>
          <w:sz w:val="18"/>
        </w:rPr>
        <w:t>is</w:t>
      </w:r>
      <w:r>
        <w:rPr>
          <w:spacing w:val="-8"/>
          <w:sz w:val="18"/>
        </w:rPr>
        <w:t> </w:t>
      </w:r>
      <w:r>
        <w:rPr>
          <w:sz w:val="18"/>
        </w:rPr>
        <w:t>materially</w:t>
      </w:r>
      <w:r>
        <w:rPr>
          <w:spacing w:val="-11"/>
          <w:sz w:val="18"/>
        </w:rPr>
        <w:t> </w:t>
      </w:r>
      <w:r>
        <w:rPr>
          <w:sz w:val="18"/>
        </w:rPr>
        <w:t>affected</w:t>
      </w:r>
      <w:r>
        <w:rPr>
          <w:spacing w:val="-9"/>
          <w:sz w:val="18"/>
        </w:rPr>
        <w:t> </w:t>
      </w:r>
      <w:r>
        <w:rPr>
          <w:sz w:val="18"/>
        </w:rPr>
        <w:t>by</w:t>
      </w:r>
      <w:r>
        <w:rPr>
          <w:spacing w:val="-11"/>
          <w:sz w:val="18"/>
        </w:rPr>
        <w:t> </w:t>
      </w:r>
      <w:r>
        <w:rPr>
          <w:sz w:val="18"/>
        </w:rPr>
        <w:t>the</w:t>
      </w:r>
      <w:r>
        <w:rPr>
          <w:spacing w:val="-10"/>
          <w:sz w:val="18"/>
        </w:rPr>
        <w:t> </w:t>
      </w:r>
      <w:r>
        <w:rPr>
          <w:sz w:val="18"/>
        </w:rPr>
        <w:t>allocation</w:t>
      </w:r>
      <w:r>
        <w:rPr>
          <w:spacing w:val="-11"/>
          <w:sz w:val="18"/>
        </w:rPr>
        <w:t> </w:t>
      </w:r>
      <w:r>
        <w:rPr>
          <w:sz w:val="18"/>
        </w:rPr>
        <w:t>of</w:t>
      </w:r>
      <w:r>
        <w:rPr>
          <w:spacing w:val="-11"/>
          <w:sz w:val="18"/>
        </w:rPr>
        <w:t> </w:t>
      </w:r>
      <w:r>
        <w:rPr>
          <w:sz w:val="18"/>
        </w:rPr>
        <w:t>those</w:t>
      </w:r>
      <w:r>
        <w:rPr>
          <w:spacing w:val="-9"/>
          <w:sz w:val="18"/>
        </w:rPr>
        <w:t> </w:t>
      </w:r>
      <w:r>
        <w:rPr>
          <w:sz w:val="18"/>
        </w:rPr>
        <w:t>costs</w:t>
      </w:r>
      <w:r>
        <w:rPr>
          <w:spacing w:val="-8"/>
          <w:sz w:val="18"/>
        </w:rPr>
        <w:t> </w:t>
      </w:r>
      <w:r>
        <w:rPr>
          <w:sz w:val="18"/>
        </w:rPr>
        <w:t>to</w:t>
      </w:r>
      <w:r>
        <w:rPr>
          <w:spacing w:val="-8"/>
          <w:sz w:val="18"/>
        </w:rPr>
        <w:t> </w:t>
      </w:r>
      <w:r>
        <w:rPr>
          <w:sz w:val="18"/>
        </w:rPr>
        <w:t>entities</w:t>
      </w:r>
      <w:r>
        <w:rPr>
          <w:spacing w:val="-8"/>
          <w:sz w:val="18"/>
        </w:rPr>
        <w:t> </w:t>
      </w:r>
      <w:r>
        <w:rPr>
          <w:spacing w:val="2"/>
          <w:sz w:val="18"/>
        </w:rPr>
        <w:t>that </w:t>
      </w:r>
      <w:r>
        <w:rPr>
          <w:sz w:val="18"/>
        </w:rPr>
        <w:t>operate in the various market jurisdictions and that benefit from the initial and ongoing development. This implies that regional or jurisdictional differentiation will be less relevant for ADS</w:t>
      </w:r>
      <w:r>
        <w:rPr>
          <w:spacing w:val="-11"/>
          <w:sz w:val="18"/>
        </w:rPr>
        <w:t> </w:t>
      </w:r>
      <w:r>
        <w:rPr>
          <w:sz w:val="18"/>
        </w:rPr>
        <w:t>businesses.</w:t>
      </w:r>
    </w:p>
    <w:p>
      <w:pPr>
        <w:spacing w:after="0" w:line="278" w:lineRule="auto"/>
        <w:jc w:val="both"/>
        <w:rPr>
          <w:sz w:val="18"/>
        </w:rPr>
        <w:sectPr>
          <w:pgSz w:w="11910" w:h="16840"/>
          <w:pgMar w:header="1244" w:footer="1638" w:top="1500" w:bottom="1820" w:left="580" w:right="820"/>
        </w:sectPr>
      </w:pPr>
    </w:p>
    <w:p>
      <w:pPr>
        <w:pStyle w:val="BodyText"/>
        <w:spacing w:before="9"/>
      </w:pPr>
    </w:p>
    <w:p>
      <w:pPr>
        <w:pStyle w:val="Heading4"/>
        <w:numPr>
          <w:ilvl w:val="1"/>
          <w:numId w:val="65"/>
        </w:numPr>
        <w:tabs>
          <w:tab w:pos="1192" w:val="left" w:leader="none"/>
        </w:tabs>
        <w:spacing w:line="240" w:lineRule="auto" w:before="92" w:after="0"/>
        <w:ind w:left="1191" w:right="0" w:hanging="469"/>
        <w:jc w:val="both"/>
        <w:rPr>
          <w:rFonts w:ascii="Arial"/>
        </w:rPr>
      </w:pPr>
      <w:bookmarkStart w:name="6.4. The issue of double counting" w:id="303"/>
      <w:bookmarkEnd w:id="303"/>
      <w:r>
        <w:rPr>
          <w:b w:val="0"/>
        </w:rPr>
      </w:r>
      <w:bookmarkStart w:name="_bookmark49" w:id="304"/>
      <w:bookmarkEnd w:id="304"/>
      <w:r>
        <w:rPr>
          <w:b w:val="0"/>
        </w:rPr>
      </w:r>
      <w:bookmarkStart w:name="_bookmark49" w:id="305"/>
      <w:bookmarkEnd w:id="305"/>
      <w:r>
        <w:rPr>
          <w:rFonts w:ascii="Arial"/>
          <w:color w:val="4E81BD"/>
        </w:rPr>
        <w:t>The</w:t>
      </w:r>
      <w:r>
        <w:rPr>
          <w:rFonts w:ascii="Arial"/>
          <w:color w:val="4E81BD"/>
        </w:rPr>
        <w:t> issue of double</w:t>
      </w:r>
      <w:r>
        <w:rPr>
          <w:rFonts w:ascii="Arial"/>
          <w:color w:val="4E81BD"/>
          <w:spacing w:val="-2"/>
        </w:rPr>
        <w:t> </w:t>
      </w:r>
      <w:r>
        <w:rPr>
          <w:rFonts w:ascii="Arial"/>
          <w:color w:val="4E81BD"/>
        </w:rPr>
        <w:t>counting</w:t>
      </w:r>
    </w:p>
    <w:p>
      <w:pPr>
        <w:pStyle w:val="BodyText"/>
        <w:spacing w:before="4"/>
        <w:rPr>
          <w:b/>
          <w:sz w:val="24"/>
        </w:rPr>
      </w:pPr>
    </w:p>
    <w:p>
      <w:pPr>
        <w:pStyle w:val="ListParagraph"/>
        <w:numPr>
          <w:ilvl w:val="0"/>
          <w:numId w:val="13"/>
        </w:numPr>
        <w:tabs>
          <w:tab w:pos="1444" w:val="left" w:leader="none"/>
        </w:tabs>
        <w:spacing w:line="271" w:lineRule="auto" w:before="0" w:after="0"/>
        <w:ind w:left="723" w:right="479" w:firstLine="0"/>
        <w:jc w:val="both"/>
        <w:rPr>
          <w:sz w:val="20"/>
        </w:rPr>
      </w:pPr>
      <w:r>
        <w:rPr>
          <w:sz w:val="20"/>
        </w:rPr>
        <w:t>Amount A will be allocated as an overlay to the existing income tax system. This means interactions between Amount A and the existing income tax system are inevitable.</w:t>
      </w:r>
      <w:r>
        <w:rPr>
          <w:position w:val="6"/>
          <w:sz w:val="13"/>
        </w:rPr>
        <w:t>103 </w:t>
      </w:r>
      <w:r>
        <w:rPr>
          <w:sz w:val="20"/>
        </w:rPr>
        <w:t>The interactions between Amount A and the existing taxing rights of market jurisdictions on business profit, including withholding taxes, is conceptually challenging and an area where members have expressed different views. An important issue identified by the Outline is whether some of these interactions (i.e. between Amounts</w:t>
      </w:r>
      <w:r>
        <w:rPr>
          <w:spacing w:val="-12"/>
          <w:sz w:val="20"/>
        </w:rPr>
        <w:t> </w:t>
      </w:r>
      <w:r>
        <w:rPr>
          <w:sz w:val="20"/>
        </w:rPr>
        <w:t>A</w:t>
      </w:r>
      <w:r>
        <w:rPr>
          <w:spacing w:val="-11"/>
          <w:sz w:val="20"/>
        </w:rPr>
        <w:t> </w:t>
      </w:r>
      <w:r>
        <w:rPr>
          <w:sz w:val="20"/>
        </w:rPr>
        <w:t>and</w:t>
      </w:r>
      <w:r>
        <w:rPr>
          <w:spacing w:val="-12"/>
          <w:sz w:val="20"/>
        </w:rPr>
        <w:t> </w:t>
      </w:r>
      <w:r>
        <w:rPr>
          <w:sz w:val="20"/>
        </w:rPr>
        <w:t>existing</w:t>
      </w:r>
      <w:r>
        <w:rPr>
          <w:spacing w:val="-10"/>
          <w:sz w:val="20"/>
        </w:rPr>
        <w:t> </w:t>
      </w:r>
      <w:r>
        <w:rPr>
          <w:sz w:val="20"/>
        </w:rPr>
        <w:t>ALP-based</w:t>
      </w:r>
      <w:r>
        <w:rPr>
          <w:spacing w:val="-9"/>
          <w:sz w:val="20"/>
        </w:rPr>
        <w:t> </w:t>
      </w:r>
      <w:r>
        <w:rPr>
          <w:sz w:val="20"/>
        </w:rPr>
        <w:t>profit</w:t>
      </w:r>
      <w:r>
        <w:rPr>
          <w:spacing w:val="-11"/>
          <w:sz w:val="20"/>
        </w:rPr>
        <w:t> </w:t>
      </w:r>
      <w:r>
        <w:rPr>
          <w:sz w:val="20"/>
        </w:rPr>
        <w:t>allocation</w:t>
      </w:r>
      <w:r>
        <w:rPr>
          <w:spacing w:val="-12"/>
          <w:sz w:val="20"/>
        </w:rPr>
        <w:t> </w:t>
      </w:r>
      <w:r>
        <w:rPr>
          <w:sz w:val="20"/>
        </w:rPr>
        <w:t>rules)</w:t>
      </w:r>
      <w:r>
        <w:rPr>
          <w:spacing w:val="-7"/>
          <w:sz w:val="20"/>
        </w:rPr>
        <w:t> </w:t>
      </w:r>
      <w:r>
        <w:rPr>
          <w:sz w:val="20"/>
        </w:rPr>
        <w:t>could</w:t>
      </w:r>
      <w:r>
        <w:rPr>
          <w:spacing w:val="-12"/>
          <w:sz w:val="20"/>
        </w:rPr>
        <w:t> </w:t>
      </w:r>
      <w:r>
        <w:rPr>
          <w:sz w:val="20"/>
        </w:rPr>
        <w:t>result</w:t>
      </w:r>
      <w:r>
        <w:rPr>
          <w:spacing w:val="-9"/>
          <w:sz w:val="20"/>
        </w:rPr>
        <w:t> </w:t>
      </w:r>
      <w:r>
        <w:rPr>
          <w:sz w:val="20"/>
        </w:rPr>
        <w:t>in</w:t>
      </w:r>
      <w:r>
        <w:rPr>
          <w:spacing w:val="-12"/>
          <w:sz w:val="20"/>
        </w:rPr>
        <w:t> </w:t>
      </w:r>
      <w:r>
        <w:rPr>
          <w:sz w:val="20"/>
        </w:rPr>
        <w:t>a</w:t>
      </w:r>
      <w:r>
        <w:rPr>
          <w:spacing w:val="-9"/>
          <w:sz w:val="20"/>
        </w:rPr>
        <w:t> </w:t>
      </w:r>
      <w:r>
        <w:rPr>
          <w:sz w:val="20"/>
        </w:rPr>
        <w:t>duplicative</w:t>
      </w:r>
      <w:r>
        <w:rPr>
          <w:spacing w:val="-12"/>
          <w:sz w:val="20"/>
        </w:rPr>
        <w:t> </w:t>
      </w:r>
      <w:r>
        <w:rPr>
          <w:sz w:val="20"/>
        </w:rPr>
        <w:t>taxation</w:t>
      </w:r>
      <w:r>
        <w:rPr>
          <w:spacing w:val="-12"/>
          <w:sz w:val="20"/>
        </w:rPr>
        <w:t> </w:t>
      </w:r>
      <w:r>
        <w:rPr>
          <w:sz w:val="20"/>
        </w:rPr>
        <w:t>of</w:t>
      </w:r>
      <w:r>
        <w:rPr>
          <w:spacing w:val="-9"/>
          <w:sz w:val="20"/>
        </w:rPr>
        <w:t> </w:t>
      </w:r>
      <w:r>
        <w:rPr>
          <w:sz w:val="20"/>
        </w:rPr>
        <w:t>the</w:t>
      </w:r>
      <w:r>
        <w:rPr>
          <w:spacing w:val="-12"/>
          <w:sz w:val="20"/>
        </w:rPr>
        <w:t> </w:t>
      </w:r>
      <w:r>
        <w:rPr>
          <w:sz w:val="20"/>
        </w:rPr>
        <w:t>same profit of an MNE group in a particular market jurisdiction, which could be inconsistent with the policy intention of Pillar One (the issue of “double counting”). </w:t>
      </w:r>
      <w:r>
        <w:rPr>
          <w:position w:val="6"/>
          <w:sz w:val="13"/>
        </w:rPr>
        <w:t>104 </w:t>
      </w:r>
      <w:r>
        <w:rPr>
          <w:sz w:val="20"/>
        </w:rPr>
        <w:t>The concern is that the market jurisdiction may get to tax the same item of residual profit twice: once through an existing taxable presence under transfer pricing rules, and again through Amount A. The issue of double counting is expected to be addressed, at least partially, through the mechanism to eliminate double taxation (see Chapter </w:t>
      </w:r>
      <w:hyperlink w:history="true" w:anchor="_bookmark51">
        <w:r>
          <w:rPr>
            <w:sz w:val="20"/>
          </w:rPr>
          <w:t>7. </w:t>
        </w:r>
      </w:hyperlink>
      <w:r>
        <w:rPr>
          <w:sz w:val="20"/>
        </w:rPr>
        <w:t>). This is because where</w:t>
      </w:r>
      <w:r>
        <w:rPr>
          <w:spacing w:val="-8"/>
          <w:sz w:val="20"/>
        </w:rPr>
        <w:t> </w:t>
      </w:r>
      <w:r>
        <w:rPr>
          <w:sz w:val="20"/>
        </w:rPr>
        <w:t>an</w:t>
      </w:r>
      <w:r>
        <w:rPr>
          <w:spacing w:val="-8"/>
          <w:sz w:val="20"/>
        </w:rPr>
        <w:t> </w:t>
      </w:r>
      <w:r>
        <w:rPr>
          <w:sz w:val="20"/>
        </w:rPr>
        <w:t>entity</w:t>
      </w:r>
      <w:r>
        <w:rPr>
          <w:spacing w:val="-11"/>
          <w:sz w:val="20"/>
        </w:rPr>
        <w:t> </w:t>
      </w:r>
      <w:r>
        <w:rPr>
          <w:sz w:val="20"/>
        </w:rPr>
        <w:t>is</w:t>
      </w:r>
      <w:r>
        <w:rPr>
          <w:spacing w:val="-9"/>
          <w:sz w:val="20"/>
        </w:rPr>
        <w:t> </w:t>
      </w:r>
      <w:r>
        <w:rPr>
          <w:sz w:val="20"/>
        </w:rPr>
        <w:t>allocated</w:t>
      </w:r>
      <w:r>
        <w:rPr>
          <w:spacing w:val="-6"/>
          <w:sz w:val="20"/>
        </w:rPr>
        <w:t> </w:t>
      </w:r>
      <w:r>
        <w:rPr>
          <w:sz w:val="20"/>
        </w:rPr>
        <w:t>significant</w:t>
      </w:r>
      <w:r>
        <w:rPr>
          <w:spacing w:val="-10"/>
          <w:sz w:val="20"/>
        </w:rPr>
        <w:t> </w:t>
      </w:r>
      <w:r>
        <w:rPr>
          <w:sz w:val="20"/>
        </w:rPr>
        <w:t>residual</w:t>
      </w:r>
      <w:r>
        <w:rPr>
          <w:spacing w:val="-8"/>
          <w:sz w:val="20"/>
        </w:rPr>
        <w:t> </w:t>
      </w:r>
      <w:r>
        <w:rPr>
          <w:sz w:val="20"/>
        </w:rPr>
        <w:t>profit</w:t>
      </w:r>
      <w:r>
        <w:rPr>
          <w:spacing w:val="-7"/>
          <w:sz w:val="20"/>
        </w:rPr>
        <w:t> </w:t>
      </w:r>
      <w:r>
        <w:rPr>
          <w:sz w:val="20"/>
        </w:rPr>
        <w:t>in</w:t>
      </w:r>
      <w:r>
        <w:rPr>
          <w:spacing w:val="-9"/>
          <w:sz w:val="20"/>
        </w:rPr>
        <w:t> </w:t>
      </w:r>
      <w:r>
        <w:rPr>
          <w:sz w:val="20"/>
        </w:rPr>
        <w:t>a</w:t>
      </w:r>
      <w:r>
        <w:rPr>
          <w:spacing w:val="-10"/>
          <w:sz w:val="20"/>
        </w:rPr>
        <w:t> </w:t>
      </w:r>
      <w:r>
        <w:rPr>
          <w:sz w:val="20"/>
        </w:rPr>
        <w:t>market</w:t>
      </w:r>
      <w:r>
        <w:rPr>
          <w:spacing w:val="-9"/>
          <w:sz w:val="20"/>
        </w:rPr>
        <w:t> </w:t>
      </w:r>
      <w:r>
        <w:rPr>
          <w:sz w:val="20"/>
        </w:rPr>
        <w:t>jurisdiction</w:t>
      </w:r>
      <w:r>
        <w:rPr>
          <w:spacing w:val="-10"/>
          <w:sz w:val="20"/>
        </w:rPr>
        <w:t> </w:t>
      </w:r>
      <w:r>
        <w:rPr>
          <w:sz w:val="20"/>
        </w:rPr>
        <w:t>under</w:t>
      </w:r>
      <w:r>
        <w:rPr>
          <w:spacing w:val="-6"/>
          <w:sz w:val="20"/>
        </w:rPr>
        <w:t> </w:t>
      </w:r>
      <w:r>
        <w:rPr>
          <w:sz w:val="20"/>
        </w:rPr>
        <w:t>existing</w:t>
      </w:r>
      <w:r>
        <w:rPr>
          <w:spacing w:val="-10"/>
          <w:sz w:val="20"/>
        </w:rPr>
        <w:t> </w:t>
      </w:r>
      <w:r>
        <w:rPr>
          <w:sz w:val="20"/>
        </w:rPr>
        <w:t>profit</w:t>
      </w:r>
      <w:r>
        <w:rPr>
          <w:spacing w:val="-8"/>
          <w:sz w:val="20"/>
        </w:rPr>
        <w:t> </w:t>
      </w:r>
      <w:r>
        <w:rPr>
          <w:sz w:val="20"/>
        </w:rPr>
        <w:t>allocation rules,</w:t>
      </w:r>
      <w:r>
        <w:rPr>
          <w:spacing w:val="-14"/>
          <w:sz w:val="20"/>
        </w:rPr>
        <w:t> </w:t>
      </w:r>
      <w:r>
        <w:rPr>
          <w:sz w:val="20"/>
        </w:rPr>
        <w:t>this</w:t>
      </w:r>
      <w:r>
        <w:rPr>
          <w:spacing w:val="-9"/>
          <w:sz w:val="20"/>
        </w:rPr>
        <w:t> </w:t>
      </w:r>
      <w:r>
        <w:rPr>
          <w:sz w:val="20"/>
        </w:rPr>
        <w:t>entity</w:t>
      </w:r>
      <w:r>
        <w:rPr>
          <w:spacing w:val="-17"/>
          <w:sz w:val="20"/>
        </w:rPr>
        <w:t> </w:t>
      </w:r>
      <w:r>
        <w:rPr>
          <w:sz w:val="20"/>
        </w:rPr>
        <w:t>may</w:t>
      </w:r>
      <w:r>
        <w:rPr>
          <w:spacing w:val="-14"/>
          <w:sz w:val="20"/>
        </w:rPr>
        <w:t> </w:t>
      </w:r>
      <w:r>
        <w:rPr>
          <w:sz w:val="20"/>
        </w:rPr>
        <w:t>be</w:t>
      </w:r>
      <w:r>
        <w:rPr>
          <w:spacing w:val="-12"/>
          <w:sz w:val="20"/>
        </w:rPr>
        <w:t> </w:t>
      </w:r>
      <w:r>
        <w:rPr>
          <w:sz w:val="20"/>
        </w:rPr>
        <w:t>identified</w:t>
      </w:r>
      <w:r>
        <w:rPr>
          <w:spacing w:val="-11"/>
          <w:sz w:val="20"/>
        </w:rPr>
        <w:t> </w:t>
      </w:r>
      <w:r>
        <w:rPr>
          <w:sz w:val="20"/>
        </w:rPr>
        <w:t>as</w:t>
      </w:r>
      <w:r>
        <w:rPr>
          <w:spacing w:val="-10"/>
          <w:sz w:val="20"/>
        </w:rPr>
        <w:t> </w:t>
      </w:r>
      <w:r>
        <w:rPr>
          <w:sz w:val="20"/>
        </w:rPr>
        <w:t>a</w:t>
      </w:r>
      <w:r>
        <w:rPr>
          <w:spacing w:val="-13"/>
          <w:sz w:val="20"/>
        </w:rPr>
        <w:t> </w:t>
      </w:r>
      <w:r>
        <w:rPr>
          <w:sz w:val="20"/>
        </w:rPr>
        <w:t>“paying</w:t>
      </w:r>
      <w:r>
        <w:rPr>
          <w:spacing w:val="-11"/>
          <w:sz w:val="20"/>
        </w:rPr>
        <w:t> </w:t>
      </w:r>
      <w:r>
        <w:rPr>
          <w:sz w:val="20"/>
        </w:rPr>
        <w:t>entity”</w:t>
      </w:r>
      <w:r>
        <w:rPr>
          <w:spacing w:val="-10"/>
          <w:sz w:val="20"/>
        </w:rPr>
        <w:t> </w:t>
      </w:r>
      <w:r>
        <w:rPr>
          <w:sz w:val="20"/>
        </w:rPr>
        <w:t>within</w:t>
      </w:r>
      <w:r>
        <w:rPr>
          <w:spacing w:val="-13"/>
          <w:sz w:val="20"/>
        </w:rPr>
        <w:t> </w:t>
      </w:r>
      <w:r>
        <w:rPr>
          <w:sz w:val="20"/>
        </w:rPr>
        <w:t>the</w:t>
      </w:r>
      <w:r>
        <w:rPr>
          <w:spacing w:val="-12"/>
          <w:sz w:val="20"/>
        </w:rPr>
        <w:t> </w:t>
      </w:r>
      <w:r>
        <w:rPr>
          <w:sz w:val="20"/>
        </w:rPr>
        <w:t>group</w:t>
      </w:r>
      <w:r>
        <w:rPr>
          <w:spacing w:val="-13"/>
          <w:sz w:val="20"/>
        </w:rPr>
        <w:t> </w:t>
      </w:r>
      <w:r>
        <w:rPr>
          <w:sz w:val="20"/>
        </w:rPr>
        <w:t>for</w:t>
      </w:r>
      <w:r>
        <w:rPr>
          <w:spacing w:val="-13"/>
          <w:sz w:val="20"/>
        </w:rPr>
        <w:t> </w:t>
      </w:r>
      <w:r>
        <w:rPr>
          <w:sz w:val="20"/>
        </w:rPr>
        <w:t>the</w:t>
      </w:r>
      <w:r>
        <w:rPr>
          <w:spacing w:val="-13"/>
          <w:sz w:val="20"/>
        </w:rPr>
        <w:t> </w:t>
      </w:r>
      <w:r>
        <w:rPr>
          <w:sz w:val="20"/>
        </w:rPr>
        <w:t>purpose</w:t>
      </w:r>
      <w:r>
        <w:rPr>
          <w:spacing w:val="-14"/>
          <w:sz w:val="20"/>
        </w:rPr>
        <w:t> </w:t>
      </w:r>
      <w:r>
        <w:rPr>
          <w:sz w:val="20"/>
        </w:rPr>
        <w:t>of</w:t>
      </w:r>
      <w:r>
        <w:rPr>
          <w:spacing w:val="-11"/>
          <w:sz w:val="20"/>
        </w:rPr>
        <w:t> </w:t>
      </w:r>
      <w:r>
        <w:rPr>
          <w:sz w:val="20"/>
        </w:rPr>
        <w:t>eliminating</w:t>
      </w:r>
      <w:r>
        <w:rPr>
          <w:spacing w:val="-13"/>
          <w:sz w:val="20"/>
        </w:rPr>
        <w:t> </w:t>
      </w:r>
      <w:r>
        <w:rPr>
          <w:sz w:val="20"/>
        </w:rPr>
        <w:t>double taxation which would bear a portion of the Amount A tax liability (resulting in a “netting-off” effect). However,</w:t>
      </w:r>
      <w:r>
        <w:rPr>
          <w:spacing w:val="-6"/>
          <w:sz w:val="20"/>
        </w:rPr>
        <w:t> </w:t>
      </w:r>
      <w:r>
        <w:rPr>
          <w:sz w:val="20"/>
        </w:rPr>
        <w:t>some</w:t>
      </w:r>
      <w:r>
        <w:rPr>
          <w:spacing w:val="-12"/>
          <w:sz w:val="20"/>
        </w:rPr>
        <w:t> </w:t>
      </w:r>
      <w:r>
        <w:rPr>
          <w:sz w:val="20"/>
        </w:rPr>
        <w:t>members</w:t>
      </w:r>
      <w:r>
        <w:rPr>
          <w:spacing w:val="-7"/>
          <w:sz w:val="20"/>
        </w:rPr>
        <w:t> </w:t>
      </w:r>
      <w:r>
        <w:rPr>
          <w:sz w:val="20"/>
        </w:rPr>
        <w:t>of</w:t>
      </w:r>
      <w:r>
        <w:rPr>
          <w:spacing w:val="-7"/>
          <w:sz w:val="20"/>
        </w:rPr>
        <w:t> </w:t>
      </w:r>
      <w:r>
        <w:rPr>
          <w:sz w:val="20"/>
        </w:rPr>
        <w:t>the</w:t>
      </w:r>
      <w:r>
        <w:rPr>
          <w:spacing w:val="-9"/>
          <w:sz w:val="20"/>
        </w:rPr>
        <w:t> </w:t>
      </w:r>
      <w:r>
        <w:rPr>
          <w:sz w:val="20"/>
        </w:rPr>
        <w:t>Inclusive</w:t>
      </w:r>
      <w:r>
        <w:rPr>
          <w:spacing w:val="-7"/>
          <w:sz w:val="20"/>
        </w:rPr>
        <w:t> </w:t>
      </w:r>
      <w:r>
        <w:rPr>
          <w:sz w:val="20"/>
        </w:rPr>
        <w:t>Framework</w:t>
      </w:r>
      <w:r>
        <w:rPr>
          <w:spacing w:val="-4"/>
          <w:sz w:val="20"/>
        </w:rPr>
        <w:t> </w:t>
      </w:r>
      <w:r>
        <w:rPr>
          <w:sz w:val="20"/>
        </w:rPr>
        <w:t>suggest</w:t>
      </w:r>
      <w:r>
        <w:rPr>
          <w:spacing w:val="-7"/>
          <w:sz w:val="20"/>
        </w:rPr>
        <w:t> </w:t>
      </w:r>
      <w:r>
        <w:rPr>
          <w:sz w:val="20"/>
        </w:rPr>
        <w:t>that</w:t>
      </w:r>
      <w:r>
        <w:rPr>
          <w:spacing w:val="-3"/>
          <w:sz w:val="20"/>
        </w:rPr>
        <w:t> </w:t>
      </w:r>
      <w:r>
        <w:rPr>
          <w:sz w:val="20"/>
        </w:rPr>
        <w:t>this</w:t>
      </w:r>
      <w:r>
        <w:rPr>
          <w:spacing w:val="-5"/>
          <w:sz w:val="20"/>
        </w:rPr>
        <w:t> </w:t>
      </w:r>
      <w:r>
        <w:rPr>
          <w:sz w:val="20"/>
        </w:rPr>
        <w:t>approach</w:t>
      </w:r>
      <w:r>
        <w:rPr>
          <w:spacing w:val="-6"/>
          <w:sz w:val="20"/>
        </w:rPr>
        <w:t> </w:t>
      </w:r>
      <w:r>
        <w:rPr>
          <w:sz w:val="20"/>
        </w:rPr>
        <w:t>on</w:t>
      </w:r>
      <w:r>
        <w:rPr>
          <w:spacing w:val="-8"/>
          <w:sz w:val="20"/>
        </w:rPr>
        <w:t> </w:t>
      </w:r>
      <w:r>
        <w:rPr>
          <w:sz w:val="20"/>
        </w:rPr>
        <w:t>its</w:t>
      </w:r>
      <w:r>
        <w:rPr>
          <w:spacing w:val="-8"/>
          <w:sz w:val="20"/>
        </w:rPr>
        <w:t> </w:t>
      </w:r>
      <w:r>
        <w:rPr>
          <w:sz w:val="20"/>
        </w:rPr>
        <w:t>own</w:t>
      </w:r>
      <w:r>
        <w:rPr>
          <w:spacing w:val="-5"/>
          <w:sz w:val="20"/>
        </w:rPr>
        <w:t> </w:t>
      </w:r>
      <w:r>
        <w:rPr>
          <w:sz w:val="20"/>
        </w:rPr>
        <w:t>has</w:t>
      </w:r>
      <w:r>
        <w:rPr>
          <w:spacing w:val="-8"/>
          <w:sz w:val="20"/>
        </w:rPr>
        <w:t> </w:t>
      </w:r>
      <w:r>
        <w:rPr>
          <w:sz w:val="20"/>
        </w:rPr>
        <w:t>a</w:t>
      </w:r>
      <w:r>
        <w:rPr>
          <w:spacing w:val="-6"/>
          <w:sz w:val="20"/>
        </w:rPr>
        <w:t> </w:t>
      </w:r>
      <w:r>
        <w:rPr>
          <w:sz w:val="20"/>
        </w:rPr>
        <w:t>number of drawbacks:</w:t>
      </w:r>
    </w:p>
    <w:p>
      <w:pPr>
        <w:pStyle w:val="ListParagraph"/>
        <w:numPr>
          <w:ilvl w:val="1"/>
          <w:numId w:val="13"/>
        </w:numPr>
        <w:tabs>
          <w:tab w:pos="1785" w:val="left" w:leader="none"/>
        </w:tabs>
        <w:spacing w:line="271" w:lineRule="auto" w:before="101" w:after="0"/>
        <w:ind w:left="1784" w:right="485" w:hanging="360"/>
        <w:jc w:val="both"/>
        <w:rPr>
          <w:sz w:val="20"/>
        </w:rPr>
      </w:pPr>
      <w:r>
        <w:rPr>
          <w:sz w:val="20"/>
        </w:rPr>
        <w:t>It may seem counterintuitive. As explored below, the mechanism to eliminate double taxation may address this issue through a “netting-off” effect, but fundamentally Amount A would still be</w:t>
      </w:r>
      <w:r>
        <w:rPr>
          <w:spacing w:val="-17"/>
          <w:sz w:val="20"/>
        </w:rPr>
        <w:t> </w:t>
      </w:r>
      <w:r>
        <w:rPr>
          <w:sz w:val="20"/>
        </w:rPr>
        <w:t>allocated</w:t>
      </w:r>
      <w:r>
        <w:rPr>
          <w:spacing w:val="-17"/>
          <w:sz w:val="20"/>
        </w:rPr>
        <w:t> </w:t>
      </w:r>
      <w:r>
        <w:rPr>
          <w:sz w:val="20"/>
        </w:rPr>
        <w:t>to</w:t>
      </w:r>
      <w:r>
        <w:rPr>
          <w:spacing w:val="-16"/>
          <w:sz w:val="20"/>
        </w:rPr>
        <w:t> </w:t>
      </w:r>
      <w:r>
        <w:rPr>
          <w:sz w:val="20"/>
        </w:rPr>
        <w:t>a</w:t>
      </w:r>
      <w:r>
        <w:rPr>
          <w:spacing w:val="-16"/>
          <w:sz w:val="20"/>
        </w:rPr>
        <w:t> </w:t>
      </w:r>
      <w:r>
        <w:rPr>
          <w:sz w:val="20"/>
        </w:rPr>
        <w:t>market</w:t>
      </w:r>
      <w:r>
        <w:rPr>
          <w:spacing w:val="-18"/>
          <w:sz w:val="20"/>
        </w:rPr>
        <w:t> </w:t>
      </w:r>
      <w:r>
        <w:rPr>
          <w:sz w:val="20"/>
        </w:rPr>
        <w:t>jurisdiction</w:t>
      </w:r>
      <w:r>
        <w:rPr>
          <w:spacing w:val="-19"/>
          <w:sz w:val="20"/>
        </w:rPr>
        <w:t> </w:t>
      </w:r>
      <w:r>
        <w:rPr>
          <w:sz w:val="20"/>
        </w:rPr>
        <w:t>that</w:t>
      </w:r>
      <w:r>
        <w:rPr>
          <w:spacing w:val="-15"/>
          <w:sz w:val="20"/>
        </w:rPr>
        <w:t> </w:t>
      </w:r>
      <w:r>
        <w:rPr>
          <w:sz w:val="20"/>
        </w:rPr>
        <w:t>already</w:t>
      </w:r>
      <w:r>
        <w:rPr>
          <w:spacing w:val="-19"/>
          <w:sz w:val="20"/>
        </w:rPr>
        <w:t> </w:t>
      </w:r>
      <w:r>
        <w:rPr>
          <w:sz w:val="20"/>
        </w:rPr>
        <w:t>has</w:t>
      </w:r>
      <w:r>
        <w:rPr>
          <w:spacing w:val="-14"/>
          <w:sz w:val="20"/>
        </w:rPr>
        <w:t> </w:t>
      </w:r>
      <w:r>
        <w:rPr>
          <w:sz w:val="20"/>
        </w:rPr>
        <w:t>taxing</w:t>
      </w:r>
      <w:r>
        <w:rPr>
          <w:spacing w:val="-17"/>
          <w:sz w:val="20"/>
        </w:rPr>
        <w:t> </w:t>
      </w:r>
      <w:r>
        <w:rPr>
          <w:sz w:val="20"/>
        </w:rPr>
        <w:t>rights</w:t>
      </w:r>
      <w:r>
        <w:rPr>
          <w:spacing w:val="-14"/>
          <w:sz w:val="20"/>
        </w:rPr>
        <w:t> </w:t>
      </w:r>
      <w:r>
        <w:rPr>
          <w:sz w:val="20"/>
        </w:rPr>
        <w:t>over</w:t>
      </w:r>
      <w:r>
        <w:rPr>
          <w:spacing w:val="-18"/>
          <w:sz w:val="20"/>
        </w:rPr>
        <w:t> </w:t>
      </w:r>
      <w:r>
        <w:rPr>
          <w:sz w:val="20"/>
        </w:rPr>
        <w:t>an</w:t>
      </w:r>
      <w:r>
        <w:rPr>
          <w:spacing w:val="-15"/>
          <w:sz w:val="20"/>
        </w:rPr>
        <w:t> </w:t>
      </w:r>
      <w:r>
        <w:rPr>
          <w:sz w:val="20"/>
        </w:rPr>
        <w:t>MNE</w:t>
      </w:r>
      <w:r>
        <w:rPr>
          <w:spacing w:val="-17"/>
          <w:sz w:val="20"/>
        </w:rPr>
        <w:t> </w:t>
      </w:r>
      <w:r>
        <w:rPr>
          <w:sz w:val="20"/>
        </w:rPr>
        <w:t>group’s</w:t>
      </w:r>
      <w:r>
        <w:rPr>
          <w:spacing w:val="-17"/>
          <w:sz w:val="20"/>
        </w:rPr>
        <w:t> </w:t>
      </w:r>
      <w:r>
        <w:rPr>
          <w:sz w:val="20"/>
        </w:rPr>
        <w:t>residual profits.</w:t>
      </w:r>
    </w:p>
    <w:p>
      <w:pPr>
        <w:pStyle w:val="ListParagraph"/>
        <w:numPr>
          <w:ilvl w:val="1"/>
          <w:numId w:val="13"/>
        </w:numPr>
        <w:tabs>
          <w:tab w:pos="1785" w:val="left" w:leader="none"/>
        </w:tabs>
        <w:spacing w:line="271" w:lineRule="auto" w:before="45" w:after="0"/>
        <w:ind w:left="1784" w:right="481" w:hanging="360"/>
        <w:jc w:val="both"/>
        <w:rPr>
          <w:sz w:val="20"/>
        </w:rPr>
      </w:pPr>
      <w:r>
        <w:rPr>
          <w:sz w:val="20"/>
        </w:rPr>
        <w:t>It</w:t>
      </w:r>
      <w:r>
        <w:rPr>
          <w:spacing w:val="-16"/>
          <w:sz w:val="20"/>
        </w:rPr>
        <w:t> </w:t>
      </w:r>
      <w:r>
        <w:rPr>
          <w:sz w:val="20"/>
        </w:rPr>
        <w:t>may</w:t>
      </w:r>
      <w:r>
        <w:rPr>
          <w:spacing w:val="-19"/>
          <w:sz w:val="20"/>
        </w:rPr>
        <w:t> </w:t>
      </w:r>
      <w:r>
        <w:rPr>
          <w:sz w:val="20"/>
        </w:rPr>
        <w:t>be</w:t>
      </w:r>
      <w:r>
        <w:rPr>
          <w:spacing w:val="-14"/>
          <w:sz w:val="20"/>
        </w:rPr>
        <w:t> </w:t>
      </w:r>
      <w:r>
        <w:rPr>
          <w:sz w:val="20"/>
        </w:rPr>
        <w:t>inconsistent</w:t>
      </w:r>
      <w:r>
        <w:rPr>
          <w:spacing w:val="-10"/>
          <w:sz w:val="20"/>
        </w:rPr>
        <w:t> </w:t>
      </w:r>
      <w:r>
        <w:rPr>
          <w:sz w:val="20"/>
        </w:rPr>
        <w:t>with</w:t>
      </w:r>
      <w:r>
        <w:rPr>
          <w:spacing w:val="-16"/>
          <w:sz w:val="20"/>
        </w:rPr>
        <w:t> </w:t>
      </w:r>
      <w:r>
        <w:rPr>
          <w:sz w:val="20"/>
        </w:rPr>
        <w:t>the</w:t>
      </w:r>
      <w:r>
        <w:rPr>
          <w:spacing w:val="-17"/>
          <w:sz w:val="20"/>
        </w:rPr>
        <w:t> </w:t>
      </w:r>
      <w:r>
        <w:rPr>
          <w:sz w:val="20"/>
        </w:rPr>
        <w:t>overall</w:t>
      </w:r>
      <w:r>
        <w:rPr>
          <w:spacing w:val="-15"/>
          <w:sz w:val="20"/>
        </w:rPr>
        <w:t> </w:t>
      </w:r>
      <w:r>
        <w:rPr>
          <w:sz w:val="20"/>
        </w:rPr>
        <w:t>rationale</w:t>
      </w:r>
      <w:r>
        <w:rPr>
          <w:spacing w:val="-14"/>
          <w:sz w:val="20"/>
        </w:rPr>
        <w:t> </w:t>
      </w:r>
      <w:r>
        <w:rPr>
          <w:sz w:val="20"/>
        </w:rPr>
        <w:t>for</w:t>
      </w:r>
      <w:r>
        <w:rPr>
          <w:spacing w:val="-15"/>
          <w:sz w:val="20"/>
        </w:rPr>
        <w:t> </w:t>
      </w:r>
      <w:r>
        <w:rPr>
          <w:sz w:val="20"/>
        </w:rPr>
        <w:t>Pillar</w:t>
      </w:r>
      <w:r>
        <w:rPr>
          <w:spacing w:val="-14"/>
          <w:sz w:val="20"/>
        </w:rPr>
        <w:t> </w:t>
      </w:r>
      <w:r>
        <w:rPr>
          <w:sz w:val="20"/>
        </w:rPr>
        <w:t>One</w:t>
      </w:r>
      <w:r>
        <w:rPr>
          <w:spacing w:val="-13"/>
          <w:sz w:val="20"/>
        </w:rPr>
        <w:t> </w:t>
      </w:r>
      <w:r>
        <w:rPr>
          <w:sz w:val="20"/>
        </w:rPr>
        <w:t>(and</w:t>
      </w:r>
      <w:r>
        <w:rPr>
          <w:spacing w:val="-14"/>
          <w:sz w:val="20"/>
        </w:rPr>
        <w:t> </w:t>
      </w:r>
      <w:r>
        <w:rPr>
          <w:sz w:val="20"/>
        </w:rPr>
        <w:t>Amount</w:t>
      </w:r>
      <w:r>
        <w:rPr>
          <w:spacing w:val="-16"/>
          <w:sz w:val="20"/>
        </w:rPr>
        <w:t> </w:t>
      </w:r>
      <w:r>
        <w:rPr>
          <w:sz w:val="20"/>
        </w:rPr>
        <w:t>A</w:t>
      </w:r>
      <w:r>
        <w:rPr>
          <w:spacing w:val="-17"/>
          <w:sz w:val="20"/>
        </w:rPr>
        <w:t> </w:t>
      </w:r>
      <w:r>
        <w:rPr>
          <w:sz w:val="20"/>
        </w:rPr>
        <w:t>specifically)</w:t>
      </w:r>
      <w:r>
        <w:rPr>
          <w:spacing w:val="-10"/>
          <w:sz w:val="20"/>
        </w:rPr>
        <w:t> </w:t>
      </w:r>
      <w:r>
        <w:rPr>
          <w:sz w:val="20"/>
        </w:rPr>
        <w:t>which has</w:t>
      </w:r>
      <w:r>
        <w:rPr>
          <w:spacing w:val="-9"/>
          <w:sz w:val="20"/>
        </w:rPr>
        <w:t> </w:t>
      </w:r>
      <w:r>
        <w:rPr>
          <w:sz w:val="20"/>
        </w:rPr>
        <w:t>always</w:t>
      </w:r>
      <w:r>
        <w:rPr>
          <w:spacing w:val="-8"/>
          <w:sz w:val="20"/>
        </w:rPr>
        <w:t> </w:t>
      </w:r>
      <w:r>
        <w:rPr>
          <w:sz w:val="20"/>
        </w:rPr>
        <w:t>been</w:t>
      </w:r>
      <w:r>
        <w:rPr>
          <w:spacing w:val="-9"/>
          <w:sz w:val="20"/>
        </w:rPr>
        <w:t> </w:t>
      </w:r>
      <w:r>
        <w:rPr>
          <w:sz w:val="20"/>
        </w:rPr>
        <w:t>to</w:t>
      </w:r>
      <w:r>
        <w:rPr>
          <w:spacing w:val="-9"/>
          <w:sz w:val="20"/>
        </w:rPr>
        <w:t> </w:t>
      </w:r>
      <w:r>
        <w:rPr>
          <w:sz w:val="20"/>
        </w:rPr>
        <w:t>adapt</w:t>
      </w:r>
      <w:r>
        <w:rPr>
          <w:spacing w:val="-10"/>
          <w:sz w:val="20"/>
        </w:rPr>
        <w:t> </w:t>
      </w:r>
      <w:r>
        <w:rPr>
          <w:sz w:val="20"/>
        </w:rPr>
        <w:t>the</w:t>
      </w:r>
      <w:r>
        <w:rPr>
          <w:spacing w:val="-9"/>
          <w:sz w:val="20"/>
        </w:rPr>
        <w:t> </w:t>
      </w:r>
      <w:r>
        <w:rPr>
          <w:sz w:val="20"/>
        </w:rPr>
        <w:t>income</w:t>
      </w:r>
      <w:r>
        <w:rPr>
          <w:spacing w:val="-9"/>
          <w:sz w:val="20"/>
        </w:rPr>
        <w:t> </w:t>
      </w:r>
      <w:r>
        <w:rPr>
          <w:sz w:val="20"/>
        </w:rPr>
        <w:t>tax</w:t>
      </w:r>
      <w:r>
        <w:rPr>
          <w:spacing w:val="-8"/>
          <w:sz w:val="20"/>
        </w:rPr>
        <w:t> </w:t>
      </w:r>
      <w:r>
        <w:rPr>
          <w:sz w:val="20"/>
        </w:rPr>
        <w:t>system</w:t>
      </w:r>
      <w:r>
        <w:rPr>
          <w:spacing w:val="-6"/>
          <w:sz w:val="20"/>
        </w:rPr>
        <w:t> </w:t>
      </w:r>
      <w:r>
        <w:rPr>
          <w:sz w:val="20"/>
        </w:rPr>
        <w:t>where</w:t>
      </w:r>
      <w:r>
        <w:rPr>
          <w:spacing w:val="-9"/>
          <w:sz w:val="20"/>
        </w:rPr>
        <w:t> </w:t>
      </w:r>
      <w:r>
        <w:rPr>
          <w:sz w:val="20"/>
        </w:rPr>
        <w:t>businesses,</w:t>
      </w:r>
      <w:r>
        <w:rPr>
          <w:spacing w:val="-9"/>
          <w:sz w:val="20"/>
        </w:rPr>
        <w:t> </w:t>
      </w:r>
      <w:r>
        <w:rPr>
          <w:sz w:val="20"/>
        </w:rPr>
        <w:t>both</w:t>
      </w:r>
      <w:r>
        <w:rPr>
          <w:spacing w:val="-9"/>
          <w:sz w:val="20"/>
        </w:rPr>
        <w:t> </w:t>
      </w:r>
      <w:r>
        <w:rPr>
          <w:sz w:val="20"/>
        </w:rPr>
        <w:t>ADS</w:t>
      </w:r>
      <w:r>
        <w:rPr>
          <w:spacing w:val="-10"/>
          <w:sz w:val="20"/>
        </w:rPr>
        <w:t> </w:t>
      </w:r>
      <w:r>
        <w:rPr>
          <w:sz w:val="20"/>
        </w:rPr>
        <w:t>and</w:t>
      </w:r>
      <w:r>
        <w:rPr>
          <w:spacing w:val="-9"/>
          <w:sz w:val="20"/>
        </w:rPr>
        <w:t> </w:t>
      </w:r>
      <w:r>
        <w:rPr>
          <w:sz w:val="20"/>
        </w:rPr>
        <w:t>CFB,</w:t>
      </w:r>
      <w:r>
        <w:rPr>
          <w:spacing w:val="-2"/>
          <w:sz w:val="20"/>
        </w:rPr>
        <w:t> </w:t>
      </w:r>
      <w:r>
        <w:rPr>
          <w:sz w:val="20"/>
        </w:rPr>
        <w:t>have an active and sustained engagement in a market jurisdiction, but the existing profit allocation rules do not give that jurisdiction taxing rights over residual profits generated in that market. So, if Amount A did apply to businesses that already realise residual profits in the market, the problem Pillar 1 is trying to solve may not seem to be</w:t>
      </w:r>
      <w:r>
        <w:rPr>
          <w:spacing w:val="-7"/>
          <w:sz w:val="20"/>
        </w:rPr>
        <w:t> </w:t>
      </w:r>
      <w:r>
        <w:rPr>
          <w:sz w:val="20"/>
        </w:rPr>
        <w:t>present.</w:t>
      </w:r>
    </w:p>
    <w:p>
      <w:pPr>
        <w:pStyle w:val="ListParagraph"/>
        <w:numPr>
          <w:ilvl w:val="1"/>
          <w:numId w:val="13"/>
        </w:numPr>
        <w:tabs>
          <w:tab w:pos="1785" w:val="left" w:leader="none"/>
        </w:tabs>
        <w:spacing w:line="271" w:lineRule="auto" w:before="45" w:after="0"/>
        <w:ind w:left="1784" w:right="482" w:hanging="360"/>
        <w:jc w:val="both"/>
        <w:rPr>
          <w:sz w:val="20"/>
        </w:rPr>
      </w:pPr>
      <w:r>
        <w:rPr>
          <w:sz w:val="20"/>
        </w:rPr>
        <w:t>Applying the mechanism to eliminate double taxation (see Chapter </w:t>
      </w:r>
      <w:hyperlink w:history="true" w:anchor="_bookmark51">
        <w:r>
          <w:rPr>
            <w:sz w:val="20"/>
          </w:rPr>
          <w:t>7.</w:t>
        </w:r>
      </w:hyperlink>
      <w:r>
        <w:rPr>
          <w:sz w:val="20"/>
        </w:rPr>
        <w:t> ) to decentralised businesses that realise residual profits in a large number of entities and jurisdictions will be complex. Specifically, it may be difficult to calibrate this system to ensure that a full-risk distributor (already allocated residual profit) is identified as the paying entity for the Amount A allocated to the jurisdiction in which it is resident. For this reason, it may be preferable to develop</w:t>
      </w:r>
      <w:r>
        <w:rPr>
          <w:spacing w:val="-5"/>
          <w:sz w:val="20"/>
        </w:rPr>
        <w:t> </w:t>
      </w:r>
      <w:r>
        <w:rPr>
          <w:sz w:val="20"/>
        </w:rPr>
        <w:t>a</w:t>
      </w:r>
      <w:r>
        <w:rPr>
          <w:spacing w:val="-6"/>
          <w:sz w:val="20"/>
        </w:rPr>
        <w:t> </w:t>
      </w:r>
      <w:r>
        <w:rPr>
          <w:sz w:val="20"/>
        </w:rPr>
        <w:t>method</w:t>
      </w:r>
      <w:r>
        <w:rPr>
          <w:spacing w:val="-5"/>
          <w:sz w:val="20"/>
        </w:rPr>
        <w:t> </w:t>
      </w:r>
      <w:r>
        <w:rPr>
          <w:sz w:val="20"/>
        </w:rPr>
        <w:t>that</w:t>
      </w:r>
      <w:r>
        <w:rPr>
          <w:spacing w:val="-4"/>
          <w:sz w:val="20"/>
        </w:rPr>
        <w:t> </w:t>
      </w:r>
      <w:r>
        <w:rPr>
          <w:sz w:val="20"/>
        </w:rPr>
        <w:t>would</w:t>
      </w:r>
      <w:r>
        <w:rPr>
          <w:spacing w:val="-6"/>
          <w:sz w:val="20"/>
        </w:rPr>
        <w:t> </w:t>
      </w:r>
      <w:r>
        <w:rPr>
          <w:sz w:val="20"/>
        </w:rPr>
        <w:t>reduce</w:t>
      </w:r>
      <w:r>
        <w:rPr>
          <w:spacing w:val="-6"/>
          <w:sz w:val="20"/>
        </w:rPr>
        <w:t> </w:t>
      </w:r>
      <w:r>
        <w:rPr>
          <w:sz w:val="20"/>
        </w:rPr>
        <w:t>pressure</w:t>
      </w:r>
      <w:r>
        <w:rPr>
          <w:spacing w:val="-7"/>
          <w:sz w:val="20"/>
        </w:rPr>
        <w:t> </w:t>
      </w:r>
      <w:r>
        <w:rPr>
          <w:sz w:val="20"/>
        </w:rPr>
        <w:t>on</w:t>
      </w:r>
      <w:r>
        <w:rPr>
          <w:spacing w:val="-4"/>
          <w:sz w:val="20"/>
        </w:rPr>
        <w:t> </w:t>
      </w:r>
      <w:r>
        <w:rPr>
          <w:sz w:val="20"/>
        </w:rPr>
        <w:t>the</w:t>
      </w:r>
      <w:r>
        <w:rPr>
          <w:spacing w:val="-4"/>
          <w:sz w:val="20"/>
        </w:rPr>
        <w:t> </w:t>
      </w:r>
      <w:r>
        <w:rPr>
          <w:sz w:val="20"/>
        </w:rPr>
        <w:t>elimination</w:t>
      </w:r>
      <w:r>
        <w:rPr>
          <w:spacing w:val="-6"/>
          <w:sz w:val="20"/>
        </w:rPr>
        <w:t> </w:t>
      </w:r>
      <w:r>
        <w:rPr>
          <w:sz w:val="20"/>
        </w:rPr>
        <w:t>system,</w:t>
      </w:r>
      <w:r>
        <w:rPr>
          <w:spacing w:val="-6"/>
          <w:sz w:val="20"/>
        </w:rPr>
        <w:t> </w:t>
      </w:r>
      <w:r>
        <w:rPr>
          <w:sz w:val="20"/>
        </w:rPr>
        <w:t>allowing</w:t>
      </w:r>
      <w:r>
        <w:rPr>
          <w:spacing w:val="-6"/>
          <w:sz w:val="20"/>
        </w:rPr>
        <w:t> </w:t>
      </w:r>
      <w:r>
        <w:rPr>
          <w:sz w:val="20"/>
        </w:rPr>
        <w:t>this</w:t>
      </w:r>
      <w:r>
        <w:rPr>
          <w:spacing w:val="-5"/>
          <w:sz w:val="20"/>
        </w:rPr>
        <w:t> </w:t>
      </w:r>
      <w:r>
        <w:rPr>
          <w:sz w:val="20"/>
        </w:rPr>
        <w:t>system to</w:t>
      </w:r>
      <w:r>
        <w:rPr>
          <w:spacing w:val="-14"/>
          <w:sz w:val="20"/>
        </w:rPr>
        <w:t> </w:t>
      </w:r>
      <w:r>
        <w:rPr>
          <w:sz w:val="20"/>
        </w:rPr>
        <w:t>focus</w:t>
      </w:r>
      <w:r>
        <w:rPr>
          <w:spacing w:val="-13"/>
          <w:sz w:val="20"/>
        </w:rPr>
        <w:t> </w:t>
      </w:r>
      <w:r>
        <w:rPr>
          <w:sz w:val="20"/>
        </w:rPr>
        <w:t>on</w:t>
      </w:r>
      <w:r>
        <w:rPr>
          <w:spacing w:val="-16"/>
          <w:sz w:val="20"/>
        </w:rPr>
        <w:t> </w:t>
      </w:r>
      <w:r>
        <w:rPr>
          <w:sz w:val="20"/>
        </w:rPr>
        <w:t>more</w:t>
      </w:r>
      <w:r>
        <w:rPr>
          <w:spacing w:val="-13"/>
          <w:sz w:val="20"/>
        </w:rPr>
        <w:t> </w:t>
      </w:r>
      <w:r>
        <w:rPr>
          <w:sz w:val="20"/>
        </w:rPr>
        <w:t>centralised</w:t>
      </w:r>
      <w:r>
        <w:rPr>
          <w:spacing w:val="-13"/>
          <w:sz w:val="20"/>
        </w:rPr>
        <w:t> </w:t>
      </w:r>
      <w:r>
        <w:rPr>
          <w:sz w:val="20"/>
        </w:rPr>
        <w:t>businesses</w:t>
      </w:r>
      <w:r>
        <w:rPr>
          <w:spacing w:val="-13"/>
          <w:sz w:val="20"/>
        </w:rPr>
        <w:t> </w:t>
      </w:r>
      <w:r>
        <w:rPr>
          <w:sz w:val="20"/>
        </w:rPr>
        <w:t>where</w:t>
      </w:r>
      <w:r>
        <w:rPr>
          <w:spacing w:val="-14"/>
          <w:sz w:val="20"/>
        </w:rPr>
        <w:t> </w:t>
      </w:r>
      <w:r>
        <w:rPr>
          <w:sz w:val="20"/>
        </w:rPr>
        <w:t>it</w:t>
      </w:r>
      <w:r>
        <w:rPr>
          <w:spacing w:val="-10"/>
          <w:sz w:val="20"/>
        </w:rPr>
        <w:t> </w:t>
      </w:r>
      <w:r>
        <w:rPr>
          <w:sz w:val="20"/>
        </w:rPr>
        <w:t>will</w:t>
      </w:r>
      <w:r>
        <w:rPr>
          <w:spacing w:val="-14"/>
          <w:sz w:val="20"/>
        </w:rPr>
        <w:t> </w:t>
      </w:r>
      <w:r>
        <w:rPr>
          <w:sz w:val="20"/>
        </w:rPr>
        <w:t>be</w:t>
      </w:r>
      <w:r>
        <w:rPr>
          <w:spacing w:val="-14"/>
          <w:sz w:val="20"/>
        </w:rPr>
        <w:t> </w:t>
      </w:r>
      <w:r>
        <w:rPr>
          <w:sz w:val="20"/>
        </w:rPr>
        <w:t>comparably</w:t>
      </w:r>
      <w:r>
        <w:rPr>
          <w:spacing w:val="-16"/>
          <w:sz w:val="20"/>
        </w:rPr>
        <w:t> </w:t>
      </w:r>
      <w:r>
        <w:rPr>
          <w:sz w:val="20"/>
        </w:rPr>
        <w:t>easy</w:t>
      </w:r>
      <w:r>
        <w:rPr>
          <w:spacing w:val="-16"/>
          <w:sz w:val="20"/>
        </w:rPr>
        <w:t> </w:t>
      </w:r>
      <w:r>
        <w:rPr>
          <w:sz w:val="20"/>
        </w:rPr>
        <w:t>to</w:t>
      </w:r>
      <w:r>
        <w:rPr>
          <w:spacing w:val="-12"/>
          <w:sz w:val="20"/>
        </w:rPr>
        <w:t> </w:t>
      </w:r>
      <w:r>
        <w:rPr>
          <w:sz w:val="20"/>
        </w:rPr>
        <w:t>identify</w:t>
      </w:r>
      <w:r>
        <w:rPr>
          <w:spacing w:val="-15"/>
          <w:sz w:val="20"/>
        </w:rPr>
        <w:t> </w:t>
      </w:r>
      <w:r>
        <w:rPr>
          <w:sz w:val="20"/>
        </w:rPr>
        <w:t>the</w:t>
      </w:r>
      <w:r>
        <w:rPr>
          <w:spacing w:val="-11"/>
          <w:sz w:val="20"/>
        </w:rPr>
        <w:t> </w:t>
      </w:r>
      <w:r>
        <w:rPr>
          <w:sz w:val="20"/>
        </w:rPr>
        <w:t>paying entities.</w:t>
      </w:r>
    </w:p>
    <w:p>
      <w:pPr>
        <w:pStyle w:val="BodyText"/>
      </w:pPr>
    </w:p>
    <w:p>
      <w:pPr>
        <w:pStyle w:val="BodyText"/>
        <w:spacing w:before="6"/>
        <w:rPr>
          <w:sz w:val="12"/>
        </w:rPr>
      </w:pPr>
      <w:r>
        <w:rPr/>
        <w:pict>
          <v:rect style="position:absolute;margin-left:65.183998pt;margin-top:9.186855pt;width:144.020004pt;height:.60004pt;mso-position-horizontal-relative:page;mso-position-vertical-relative:paragraph;z-index:-1565798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95" w:val="left" w:leader="none"/>
        </w:tabs>
        <w:spacing w:line="278" w:lineRule="auto" w:before="94" w:after="0"/>
        <w:ind w:left="723" w:right="484" w:firstLine="0"/>
        <w:jc w:val="both"/>
        <w:rPr>
          <w:sz w:val="18"/>
        </w:rPr>
      </w:pPr>
      <w:r>
        <w:rPr>
          <w:sz w:val="18"/>
        </w:rPr>
        <w:t>As</w:t>
      </w:r>
      <w:r>
        <w:rPr>
          <w:spacing w:val="-12"/>
          <w:sz w:val="18"/>
        </w:rPr>
        <w:t> </w:t>
      </w:r>
      <w:r>
        <w:rPr>
          <w:sz w:val="18"/>
        </w:rPr>
        <w:t>noted</w:t>
      </w:r>
      <w:r>
        <w:rPr>
          <w:spacing w:val="-13"/>
          <w:sz w:val="18"/>
        </w:rPr>
        <w:t> </w:t>
      </w:r>
      <w:r>
        <w:rPr>
          <w:sz w:val="18"/>
        </w:rPr>
        <w:t>above,</w:t>
      </w:r>
      <w:r>
        <w:rPr>
          <w:spacing w:val="-11"/>
          <w:sz w:val="18"/>
        </w:rPr>
        <w:t> </w:t>
      </w:r>
      <w:r>
        <w:rPr>
          <w:sz w:val="18"/>
        </w:rPr>
        <w:t>the</w:t>
      </w:r>
      <w:r>
        <w:rPr>
          <w:spacing w:val="-11"/>
          <w:sz w:val="18"/>
        </w:rPr>
        <w:t> </w:t>
      </w:r>
      <w:r>
        <w:rPr>
          <w:sz w:val="18"/>
        </w:rPr>
        <w:t>profitability</w:t>
      </w:r>
      <w:r>
        <w:rPr>
          <w:spacing w:val="-13"/>
          <w:sz w:val="18"/>
        </w:rPr>
        <w:t> </w:t>
      </w:r>
      <w:r>
        <w:rPr>
          <w:sz w:val="18"/>
        </w:rPr>
        <w:t>threshold</w:t>
      </w:r>
      <w:r>
        <w:rPr>
          <w:spacing w:val="-13"/>
          <w:sz w:val="18"/>
        </w:rPr>
        <w:t> </w:t>
      </w:r>
      <w:r>
        <w:rPr>
          <w:sz w:val="18"/>
        </w:rPr>
        <w:t>of</w:t>
      </w:r>
      <w:r>
        <w:rPr>
          <w:spacing w:val="-14"/>
          <w:sz w:val="18"/>
        </w:rPr>
        <w:t> </w:t>
      </w:r>
      <w:r>
        <w:rPr>
          <w:sz w:val="18"/>
        </w:rPr>
        <w:t>the</w:t>
      </w:r>
      <w:r>
        <w:rPr>
          <w:spacing w:val="-11"/>
          <w:sz w:val="18"/>
        </w:rPr>
        <w:t> </w:t>
      </w:r>
      <w:r>
        <w:rPr>
          <w:sz w:val="18"/>
        </w:rPr>
        <w:t>Amount</w:t>
      </w:r>
      <w:r>
        <w:rPr>
          <w:spacing w:val="-11"/>
          <w:sz w:val="18"/>
        </w:rPr>
        <w:t> </w:t>
      </w:r>
      <w:r>
        <w:rPr>
          <w:sz w:val="18"/>
        </w:rPr>
        <w:t>A</w:t>
      </w:r>
      <w:r>
        <w:rPr>
          <w:spacing w:val="-14"/>
          <w:sz w:val="18"/>
        </w:rPr>
        <w:t> </w:t>
      </w:r>
      <w:r>
        <w:rPr>
          <w:sz w:val="18"/>
        </w:rPr>
        <w:t>formula</w:t>
      </w:r>
      <w:r>
        <w:rPr>
          <w:spacing w:val="-14"/>
          <w:sz w:val="18"/>
        </w:rPr>
        <w:t> </w:t>
      </w:r>
      <w:r>
        <w:rPr>
          <w:sz w:val="18"/>
        </w:rPr>
        <w:t>is</w:t>
      </w:r>
      <w:r>
        <w:rPr>
          <w:spacing w:val="-11"/>
          <w:sz w:val="18"/>
        </w:rPr>
        <w:t> </w:t>
      </w:r>
      <w:r>
        <w:rPr>
          <w:sz w:val="18"/>
        </w:rPr>
        <w:t>designed</w:t>
      </w:r>
      <w:r>
        <w:rPr>
          <w:spacing w:val="-13"/>
          <w:sz w:val="18"/>
        </w:rPr>
        <w:t> </w:t>
      </w:r>
      <w:r>
        <w:rPr>
          <w:spacing w:val="2"/>
          <w:sz w:val="18"/>
        </w:rPr>
        <w:t>to</w:t>
      </w:r>
      <w:r>
        <w:rPr>
          <w:spacing w:val="-13"/>
          <w:sz w:val="18"/>
        </w:rPr>
        <w:t> </w:t>
      </w:r>
      <w:r>
        <w:rPr>
          <w:sz w:val="18"/>
        </w:rPr>
        <w:t>limit</w:t>
      </w:r>
      <w:r>
        <w:rPr>
          <w:spacing w:val="-14"/>
          <w:sz w:val="18"/>
        </w:rPr>
        <w:t> </w:t>
      </w:r>
      <w:r>
        <w:rPr>
          <w:sz w:val="18"/>
        </w:rPr>
        <w:t>interactions</w:t>
      </w:r>
      <w:r>
        <w:rPr>
          <w:spacing w:val="-13"/>
          <w:sz w:val="18"/>
        </w:rPr>
        <w:t> </w:t>
      </w:r>
      <w:r>
        <w:rPr>
          <w:sz w:val="18"/>
        </w:rPr>
        <w:t>between</w:t>
      </w:r>
      <w:r>
        <w:rPr>
          <w:spacing w:val="-11"/>
          <w:sz w:val="18"/>
        </w:rPr>
        <w:t> </w:t>
      </w:r>
      <w:r>
        <w:rPr>
          <w:sz w:val="18"/>
        </w:rPr>
        <w:t>Amount A and existing taxing rights of market jurisdictions based on the</w:t>
      </w:r>
      <w:r>
        <w:rPr>
          <w:spacing w:val="-5"/>
          <w:sz w:val="18"/>
        </w:rPr>
        <w:t> </w:t>
      </w:r>
      <w:r>
        <w:rPr>
          <w:sz w:val="18"/>
        </w:rPr>
        <w:t>ALP.</w:t>
      </w:r>
    </w:p>
    <w:p>
      <w:pPr>
        <w:pStyle w:val="ListParagraph"/>
        <w:numPr>
          <w:ilvl w:val="0"/>
          <w:numId w:val="14"/>
        </w:numPr>
        <w:tabs>
          <w:tab w:pos="1022" w:val="left" w:leader="none"/>
        </w:tabs>
        <w:spacing w:line="278" w:lineRule="auto" w:before="78" w:after="0"/>
        <w:ind w:left="723" w:right="481" w:firstLine="0"/>
        <w:jc w:val="both"/>
        <w:rPr>
          <w:sz w:val="18"/>
        </w:rPr>
      </w:pPr>
      <w:r>
        <w:rPr>
          <w:sz w:val="18"/>
        </w:rPr>
        <w:t>It could also be argued that the interactions between Amount A and some withholding taxes could give rise to double counting, i.e. that a market jurisdiction would tax twice the same item of profit if they were allocated Amount A on</w:t>
      </w:r>
      <w:r>
        <w:rPr>
          <w:spacing w:val="-11"/>
          <w:sz w:val="18"/>
        </w:rPr>
        <w:t> </w:t>
      </w:r>
      <w:r>
        <w:rPr>
          <w:sz w:val="18"/>
        </w:rPr>
        <w:t>top</w:t>
      </w:r>
      <w:r>
        <w:rPr>
          <w:spacing w:val="-10"/>
          <w:sz w:val="18"/>
        </w:rPr>
        <w:t> </w:t>
      </w:r>
      <w:r>
        <w:rPr>
          <w:sz w:val="18"/>
        </w:rPr>
        <w:t>of</w:t>
      </w:r>
      <w:r>
        <w:rPr>
          <w:spacing w:val="-14"/>
          <w:sz w:val="18"/>
        </w:rPr>
        <w:t> </w:t>
      </w:r>
      <w:r>
        <w:rPr>
          <w:sz w:val="18"/>
        </w:rPr>
        <w:t>certain</w:t>
      </w:r>
      <w:r>
        <w:rPr>
          <w:spacing w:val="-10"/>
          <w:sz w:val="18"/>
        </w:rPr>
        <w:t> </w:t>
      </w:r>
      <w:r>
        <w:rPr>
          <w:sz w:val="18"/>
        </w:rPr>
        <w:t>existing</w:t>
      </w:r>
      <w:r>
        <w:rPr>
          <w:spacing w:val="-11"/>
          <w:sz w:val="18"/>
        </w:rPr>
        <w:t> </w:t>
      </w:r>
      <w:r>
        <w:rPr>
          <w:sz w:val="18"/>
        </w:rPr>
        <w:t>withholding</w:t>
      </w:r>
      <w:r>
        <w:rPr>
          <w:spacing w:val="-10"/>
          <w:sz w:val="18"/>
        </w:rPr>
        <w:t> </w:t>
      </w:r>
      <w:r>
        <w:rPr>
          <w:sz w:val="18"/>
        </w:rPr>
        <w:t>tax</w:t>
      </w:r>
      <w:r>
        <w:rPr>
          <w:spacing w:val="-14"/>
          <w:sz w:val="18"/>
        </w:rPr>
        <w:t> </w:t>
      </w:r>
      <w:r>
        <w:rPr>
          <w:sz w:val="18"/>
        </w:rPr>
        <w:t>liabilities.</w:t>
      </w:r>
      <w:r>
        <w:rPr>
          <w:spacing w:val="-7"/>
          <w:sz w:val="18"/>
        </w:rPr>
        <w:t> </w:t>
      </w:r>
      <w:r>
        <w:rPr>
          <w:sz w:val="18"/>
        </w:rPr>
        <w:t>For</w:t>
      </w:r>
      <w:r>
        <w:rPr>
          <w:spacing w:val="-13"/>
          <w:sz w:val="18"/>
        </w:rPr>
        <w:t> </w:t>
      </w:r>
      <w:r>
        <w:rPr>
          <w:sz w:val="18"/>
        </w:rPr>
        <w:t>example,</w:t>
      </w:r>
      <w:r>
        <w:rPr>
          <w:spacing w:val="-11"/>
          <w:sz w:val="18"/>
        </w:rPr>
        <w:t> </w:t>
      </w:r>
      <w:r>
        <w:rPr>
          <w:sz w:val="18"/>
        </w:rPr>
        <w:t>assume</w:t>
      </w:r>
      <w:r>
        <w:rPr>
          <w:spacing w:val="-10"/>
          <w:sz w:val="18"/>
        </w:rPr>
        <w:t> </w:t>
      </w:r>
      <w:r>
        <w:rPr>
          <w:sz w:val="18"/>
        </w:rPr>
        <w:t>an</w:t>
      </w:r>
      <w:r>
        <w:rPr>
          <w:spacing w:val="-11"/>
          <w:sz w:val="18"/>
        </w:rPr>
        <w:t> </w:t>
      </w:r>
      <w:r>
        <w:rPr>
          <w:sz w:val="18"/>
        </w:rPr>
        <w:t>entity</w:t>
      </w:r>
      <w:r>
        <w:rPr>
          <w:spacing w:val="-12"/>
          <w:sz w:val="18"/>
        </w:rPr>
        <w:t> </w:t>
      </w:r>
      <w:r>
        <w:rPr>
          <w:sz w:val="18"/>
        </w:rPr>
        <w:t>in</w:t>
      </w:r>
      <w:r>
        <w:rPr>
          <w:spacing w:val="-11"/>
          <w:sz w:val="18"/>
        </w:rPr>
        <w:t> </w:t>
      </w:r>
      <w:r>
        <w:rPr>
          <w:sz w:val="18"/>
        </w:rPr>
        <w:t>the</w:t>
      </w:r>
      <w:r>
        <w:rPr>
          <w:spacing w:val="-10"/>
          <w:sz w:val="18"/>
        </w:rPr>
        <w:t> </w:t>
      </w:r>
      <w:r>
        <w:rPr>
          <w:sz w:val="18"/>
        </w:rPr>
        <w:t>MNE</w:t>
      </w:r>
      <w:r>
        <w:rPr>
          <w:spacing w:val="-11"/>
          <w:sz w:val="18"/>
        </w:rPr>
        <w:t> </w:t>
      </w:r>
      <w:r>
        <w:rPr>
          <w:sz w:val="18"/>
        </w:rPr>
        <w:t>group</w:t>
      </w:r>
      <w:r>
        <w:rPr>
          <w:spacing w:val="-11"/>
          <w:sz w:val="18"/>
        </w:rPr>
        <w:t> </w:t>
      </w:r>
      <w:r>
        <w:rPr>
          <w:sz w:val="18"/>
        </w:rPr>
        <w:t>outside</w:t>
      </w:r>
      <w:r>
        <w:rPr>
          <w:spacing w:val="-10"/>
          <w:sz w:val="18"/>
        </w:rPr>
        <w:t> </w:t>
      </w:r>
      <w:r>
        <w:rPr>
          <w:sz w:val="18"/>
        </w:rPr>
        <w:t>the</w:t>
      </w:r>
      <w:r>
        <w:rPr>
          <w:spacing w:val="-14"/>
          <w:sz w:val="18"/>
        </w:rPr>
        <w:t> </w:t>
      </w:r>
      <w:r>
        <w:rPr>
          <w:sz w:val="18"/>
        </w:rPr>
        <w:t>market jurisdiction is receiving a royalty payment from an entity in the market jurisdiction for the use of branding or licensing rights in respect of sales in that jurisdiction. Assume the royalty is subject to withholding tax in the market jurisdiction. If the royalty is contributing to residual profits, then the market jurisdiction can be seen as already taxing a share of this</w:t>
      </w:r>
      <w:r>
        <w:rPr>
          <w:spacing w:val="-12"/>
          <w:sz w:val="18"/>
        </w:rPr>
        <w:t> </w:t>
      </w:r>
      <w:r>
        <w:rPr>
          <w:sz w:val="18"/>
        </w:rPr>
        <w:t>residual</w:t>
      </w:r>
      <w:r>
        <w:rPr>
          <w:spacing w:val="-11"/>
          <w:sz w:val="18"/>
        </w:rPr>
        <w:t> </w:t>
      </w:r>
      <w:r>
        <w:rPr>
          <w:sz w:val="18"/>
        </w:rPr>
        <w:t>via</w:t>
      </w:r>
      <w:r>
        <w:rPr>
          <w:spacing w:val="-11"/>
          <w:sz w:val="18"/>
        </w:rPr>
        <w:t> </w:t>
      </w:r>
      <w:r>
        <w:rPr>
          <w:sz w:val="18"/>
        </w:rPr>
        <w:t>the</w:t>
      </w:r>
      <w:r>
        <w:rPr>
          <w:spacing w:val="-11"/>
          <w:sz w:val="18"/>
        </w:rPr>
        <w:t> </w:t>
      </w:r>
      <w:r>
        <w:rPr>
          <w:sz w:val="18"/>
        </w:rPr>
        <w:t>withholding</w:t>
      </w:r>
      <w:r>
        <w:rPr>
          <w:spacing w:val="-11"/>
          <w:sz w:val="18"/>
        </w:rPr>
        <w:t> </w:t>
      </w:r>
      <w:r>
        <w:rPr>
          <w:sz w:val="18"/>
        </w:rPr>
        <w:t>tax.</w:t>
      </w:r>
      <w:r>
        <w:rPr>
          <w:spacing w:val="-8"/>
          <w:sz w:val="18"/>
        </w:rPr>
        <w:t> </w:t>
      </w:r>
      <w:r>
        <w:rPr>
          <w:sz w:val="18"/>
        </w:rPr>
        <w:t>It</w:t>
      </w:r>
      <w:r>
        <w:rPr>
          <w:spacing w:val="-11"/>
          <w:sz w:val="18"/>
        </w:rPr>
        <w:t> </w:t>
      </w:r>
      <w:r>
        <w:rPr>
          <w:sz w:val="18"/>
        </w:rPr>
        <w:t>is</w:t>
      </w:r>
      <w:r>
        <w:rPr>
          <w:spacing w:val="-11"/>
          <w:sz w:val="18"/>
        </w:rPr>
        <w:t> </w:t>
      </w:r>
      <w:r>
        <w:rPr>
          <w:sz w:val="18"/>
        </w:rPr>
        <w:t>important</w:t>
      </w:r>
      <w:r>
        <w:rPr>
          <w:spacing w:val="-11"/>
          <w:sz w:val="18"/>
        </w:rPr>
        <w:t> </w:t>
      </w:r>
      <w:r>
        <w:rPr>
          <w:sz w:val="18"/>
        </w:rPr>
        <w:t>to</w:t>
      </w:r>
      <w:r>
        <w:rPr>
          <w:spacing w:val="-11"/>
          <w:sz w:val="18"/>
        </w:rPr>
        <w:t> </w:t>
      </w:r>
      <w:r>
        <w:rPr>
          <w:sz w:val="18"/>
        </w:rPr>
        <w:t>emphasise</w:t>
      </w:r>
      <w:r>
        <w:rPr>
          <w:spacing w:val="-11"/>
          <w:sz w:val="18"/>
        </w:rPr>
        <w:t> </w:t>
      </w:r>
      <w:r>
        <w:rPr>
          <w:sz w:val="18"/>
        </w:rPr>
        <w:t>that</w:t>
      </w:r>
      <w:r>
        <w:rPr>
          <w:spacing w:val="-14"/>
          <w:sz w:val="18"/>
        </w:rPr>
        <w:t> </w:t>
      </w:r>
      <w:r>
        <w:rPr>
          <w:sz w:val="18"/>
        </w:rPr>
        <w:t>members</w:t>
      </w:r>
      <w:r>
        <w:rPr>
          <w:spacing w:val="-11"/>
          <w:sz w:val="18"/>
        </w:rPr>
        <w:t> </w:t>
      </w:r>
      <w:r>
        <w:rPr>
          <w:sz w:val="18"/>
        </w:rPr>
        <w:t>have</w:t>
      </w:r>
      <w:r>
        <w:rPr>
          <w:spacing w:val="-11"/>
          <w:sz w:val="18"/>
        </w:rPr>
        <w:t> </w:t>
      </w:r>
      <w:r>
        <w:rPr>
          <w:sz w:val="18"/>
        </w:rPr>
        <w:t>different</w:t>
      </w:r>
      <w:r>
        <w:rPr>
          <w:spacing w:val="-14"/>
          <w:sz w:val="18"/>
        </w:rPr>
        <w:t> </w:t>
      </w:r>
      <w:r>
        <w:rPr>
          <w:sz w:val="18"/>
        </w:rPr>
        <w:t>views</w:t>
      </w:r>
      <w:r>
        <w:rPr>
          <w:spacing w:val="-11"/>
          <w:sz w:val="18"/>
        </w:rPr>
        <w:t> </w:t>
      </w:r>
      <w:r>
        <w:rPr>
          <w:sz w:val="18"/>
        </w:rPr>
        <w:t>on</w:t>
      </w:r>
      <w:r>
        <w:rPr>
          <w:spacing w:val="-11"/>
          <w:sz w:val="18"/>
        </w:rPr>
        <w:t> </w:t>
      </w:r>
      <w:r>
        <w:rPr>
          <w:sz w:val="18"/>
        </w:rPr>
        <w:t>this</w:t>
      </w:r>
      <w:r>
        <w:rPr>
          <w:spacing w:val="-12"/>
          <w:sz w:val="18"/>
        </w:rPr>
        <w:t> </w:t>
      </w:r>
      <w:r>
        <w:rPr>
          <w:sz w:val="18"/>
        </w:rPr>
        <w:t>issue,</w:t>
      </w:r>
      <w:r>
        <w:rPr>
          <w:spacing w:val="-11"/>
          <w:sz w:val="18"/>
        </w:rPr>
        <w:t> </w:t>
      </w:r>
      <w:r>
        <w:rPr>
          <w:sz w:val="18"/>
        </w:rPr>
        <w:t>some consider that this interaction could give rise to double counting, whilst others argue that it does</w:t>
      </w:r>
      <w:r>
        <w:rPr>
          <w:spacing w:val="-23"/>
          <w:sz w:val="18"/>
        </w:rPr>
        <w:t> </w:t>
      </w:r>
      <w:r>
        <w:rPr>
          <w:sz w:val="18"/>
        </w:rPr>
        <w:t>not.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79" w:firstLine="0"/>
        <w:jc w:val="both"/>
        <w:rPr>
          <w:sz w:val="20"/>
        </w:rPr>
      </w:pPr>
      <w:r>
        <w:rPr>
          <w:sz w:val="20"/>
        </w:rPr>
        <w:t>These challenges are variations on the same theme. Amount A can be easily rationalised when it is applied to businesses (both ADS and CFB) that realise residual profit in a handful of jurisdictions, but may</w:t>
      </w:r>
      <w:r>
        <w:rPr>
          <w:spacing w:val="-13"/>
          <w:sz w:val="20"/>
        </w:rPr>
        <w:t> </w:t>
      </w:r>
      <w:r>
        <w:rPr>
          <w:sz w:val="20"/>
        </w:rPr>
        <w:t>be</w:t>
      </w:r>
      <w:r>
        <w:rPr>
          <w:spacing w:val="-9"/>
          <w:sz w:val="20"/>
        </w:rPr>
        <w:t> </w:t>
      </w:r>
      <w:r>
        <w:rPr>
          <w:sz w:val="20"/>
        </w:rPr>
        <w:t>more</w:t>
      </w:r>
      <w:r>
        <w:rPr>
          <w:spacing w:val="-8"/>
          <w:sz w:val="20"/>
        </w:rPr>
        <w:t> </w:t>
      </w:r>
      <w:r>
        <w:rPr>
          <w:sz w:val="20"/>
        </w:rPr>
        <w:t>difficult</w:t>
      </w:r>
      <w:r>
        <w:rPr>
          <w:spacing w:val="-9"/>
          <w:sz w:val="20"/>
        </w:rPr>
        <w:t> </w:t>
      </w:r>
      <w:r>
        <w:rPr>
          <w:sz w:val="20"/>
        </w:rPr>
        <w:t>to</w:t>
      </w:r>
      <w:r>
        <w:rPr>
          <w:spacing w:val="-9"/>
          <w:sz w:val="20"/>
        </w:rPr>
        <w:t> </w:t>
      </w:r>
      <w:r>
        <w:rPr>
          <w:sz w:val="20"/>
        </w:rPr>
        <w:t>rationalise</w:t>
      </w:r>
      <w:r>
        <w:rPr>
          <w:spacing w:val="-8"/>
          <w:sz w:val="20"/>
        </w:rPr>
        <w:t> </w:t>
      </w:r>
      <w:r>
        <w:rPr>
          <w:sz w:val="20"/>
        </w:rPr>
        <w:t>and</w:t>
      </w:r>
      <w:r>
        <w:rPr>
          <w:spacing w:val="-7"/>
          <w:sz w:val="20"/>
        </w:rPr>
        <w:t> </w:t>
      </w:r>
      <w:r>
        <w:rPr>
          <w:sz w:val="20"/>
        </w:rPr>
        <w:t>hence</w:t>
      </w:r>
      <w:r>
        <w:rPr>
          <w:spacing w:val="-7"/>
          <w:sz w:val="20"/>
        </w:rPr>
        <w:t> </w:t>
      </w:r>
      <w:r>
        <w:rPr>
          <w:sz w:val="20"/>
        </w:rPr>
        <w:t>design</w:t>
      </w:r>
      <w:r>
        <w:rPr>
          <w:spacing w:val="-3"/>
          <w:sz w:val="20"/>
        </w:rPr>
        <w:t> </w:t>
      </w:r>
      <w:r>
        <w:rPr>
          <w:sz w:val="20"/>
        </w:rPr>
        <w:t>when</w:t>
      </w:r>
      <w:r>
        <w:rPr>
          <w:spacing w:val="-8"/>
          <w:sz w:val="20"/>
        </w:rPr>
        <w:t> </w:t>
      </w:r>
      <w:r>
        <w:rPr>
          <w:sz w:val="20"/>
        </w:rPr>
        <w:t>it</w:t>
      </w:r>
      <w:r>
        <w:rPr>
          <w:spacing w:val="-9"/>
          <w:sz w:val="20"/>
        </w:rPr>
        <w:t> </w:t>
      </w:r>
      <w:r>
        <w:rPr>
          <w:sz w:val="20"/>
        </w:rPr>
        <w:t>is</w:t>
      </w:r>
      <w:r>
        <w:rPr>
          <w:spacing w:val="-7"/>
          <w:sz w:val="20"/>
        </w:rPr>
        <w:t> </w:t>
      </w:r>
      <w:r>
        <w:rPr>
          <w:sz w:val="20"/>
        </w:rPr>
        <w:t>applied</w:t>
      </w:r>
      <w:r>
        <w:rPr>
          <w:spacing w:val="-9"/>
          <w:sz w:val="20"/>
        </w:rPr>
        <w:t> </w:t>
      </w:r>
      <w:r>
        <w:rPr>
          <w:sz w:val="20"/>
        </w:rPr>
        <w:t>to</w:t>
      </w:r>
      <w:r>
        <w:rPr>
          <w:spacing w:val="-7"/>
          <w:sz w:val="20"/>
        </w:rPr>
        <w:t> </w:t>
      </w:r>
      <w:r>
        <w:rPr>
          <w:sz w:val="20"/>
        </w:rPr>
        <w:t>businesses</w:t>
      </w:r>
      <w:r>
        <w:rPr>
          <w:spacing w:val="-8"/>
          <w:sz w:val="20"/>
        </w:rPr>
        <w:t> </w:t>
      </w:r>
      <w:r>
        <w:rPr>
          <w:sz w:val="20"/>
        </w:rPr>
        <w:t>with</w:t>
      </w:r>
      <w:r>
        <w:rPr>
          <w:spacing w:val="-7"/>
          <w:sz w:val="20"/>
        </w:rPr>
        <w:t> </w:t>
      </w:r>
      <w:r>
        <w:rPr>
          <w:sz w:val="20"/>
        </w:rPr>
        <w:t>less</w:t>
      </w:r>
      <w:r>
        <w:rPr>
          <w:spacing w:val="-8"/>
          <w:sz w:val="20"/>
        </w:rPr>
        <w:t> </w:t>
      </w:r>
      <w:r>
        <w:rPr>
          <w:sz w:val="20"/>
        </w:rPr>
        <w:t>centralised business models that already leave residual profits in the market. It is also true that businesses have consistently pointed out that the ability to leverage off their existing systems that support their current in country distribution activities would seem simpler and would be very welcome. At the same time, discussions are ongoing on the issue of double counting, including on whether marketing and distribution profit</w:t>
      </w:r>
      <w:r>
        <w:rPr>
          <w:spacing w:val="-14"/>
          <w:sz w:val="20"/>
        </w:rPr>
        <w:t> </w:t>
      </w:r>
      <w:r>
        <w:rPr>
          <w:sz w:val="20"/>
        </w:rPr>
        <w:t>allocated</w:t>
      </w:r>
      <w:r>
        <w:rPr>
          <w:spacing w:val="-14"/>
          <w:sz w:val="20"/>
        </w:rPr>
        <w:t> </w:t>
      </w:r>
      <w:r>
        <w:rPr>
          <w:sz w:val="20"/>
        </w:rPr>
        <w:t>to</w:t>
      </w:r>
      <w:r>
        <w:rPr>
          <w:spacing w:val="-13"/>
          <w:sz w:val="20"/>
        </w:rPr>
        <w:t> </w:t>
      </w:r>
      <w:r>
        <w:rPr>
          <w:sz w:val="20"/>
        </w:rPr>
        <w:t>a</w:t>
      </w:r>
      <w:r>
        <w:rPr>
          <w:spacing w:val="-14"/>
          <w:sz w:val="20"/>
        </w:rPr>
        <w:t> </w:t>
      </w:r>
      <w:r>
        <w:rPr>
          <w:sz w:val="20"/>
        </w:rPr>
        <w:t>market</w:t>
      </w:r>
      <w:r>
        <w:rPr>
          <w:spacing w:val="-13"/>
          <w:sz w:val="20"/>
        </w:rPr>
        <w:t> </w:t>
      </w:r>
      <w:r>
        <w:rPr>
          <w:sz w:val="20"/>
        </w:rPr>
        <w:t>jurisdiction</w:t>
      </w:r>
      <w:r>
        <w:rPr>
          <w:spacing w:val="-14"/>
          <w:sz w:val="20"/>
        </w:rPr>
        <w:t> </w:t>
      </w:r>
      <w:r>
        <w:rPr>
          <w:sz w:val="20"/>
        </w:rPr>
        <w:t>under</w:t>
      </w:r>
      <w:r>
        <w:rPr>
          <w:spacing w:val="-13"/>
          <w:sz w:val="20"/>
        </w:rPr>
        <w:t> </w:t>
      </w:r>
      <w:r>
        <w:rPr>
          <w:sz w:val="20"/>
        </w:rPr>
        <w:t>the</w:t>
      </w:r>
      <w:r>
        <w:rPr>
          <w:spacing w:val="-13"/>
          <w:sz w:val="20"/>
        </w:rPr>
        <w:t> </w:t>
      </w:r>
      <w:r>
        <w:rPr>
          <w:sz w:val="20"/>
        </w:rPr>
        <w:t>ALP</w:t>
      </w:r>
      <w:r>
        <w:rPr>
          <w:spacing w:val="-12"/>
          <w:sz w:val="20"/>
        </w:rPr>
        <w:t> </w:t>
      </w:r>
      <w:r>
        <w:rPr>
          <w:sz w:val="20"/>
        </w:rPr>
        <w:t>in</w:t>
      </w:r>
      <w:r>
        <w:rPr>
          <w:spacing w:val="-12"/>
          <w:sz w:val="20"/>
        </w:rPr>
        <w:t> </w:t>
      </w:r>
      <w:r>
        <w:rPr>
          <w:sz w:val="20"/>
        </w:rPr>
        <w:t>excess</w:t>
      </w:r>
      <w:r>
        <w:rPr>
          <w:spacing w:val="-11"/>
          <w:sz w:val="20"/>
        </w:rPr>
        <w:t> </w:t>
      </w:r>
      <w:r>
        <w:rPr>
          <w:sz w:val="20"/>
        </w:rPr>
        <w:t>of</w:t>
      </w:r>
      <w:r>
        <w:rPr>
          <w:spacing w:val="-12"/>
          <w:sz w:val="20"/>
        </w:rPr>
        <w:t> </w:t>
      </w:r>
      <w:r>
        <w:rPr>
          <w:sz w:val="20"/>
        </w:rPr>
        <w:t>a</w:t>
      </w:r>
      <w:r>
        <w:rPr>
          <w:spacing w:val="-16"/>
          <w:sz w:val="20"/>
        </w:rPr>
        <w:t> </w:t>
      </w:r>
      <w:r>
        <w:rPr>
          <w:sz w:val="20"/>
        </w:rPr>
        <w:t>fixed</w:t>
      </w:r>
      <w:r>
        <w:rPr>
          <w:spacing w:val="-13"/>
          <w:sz w:val="20"/>
        </w:rPr>
        <w:t> </w:t>
      </w:r>
      <w:r>
        <w:rPr>
          <w:sz w:val="20"/>
        </w:rPr>
        <w:t>return</w:t>
      </w:r>
      <w:r>
        <w:rPr>
          <w:spacing w:val="-7"/>
          <w:sz w:val="20"/>
        </w:rPr>
        <w:t> </w:t>
      </w:r>
      <w:r>
        <w:rPr>
          <w:sz w:val="20"/>
        </w:rPr>
        <w:t>may</w:t>
      </w:r>
      <w:r>
        <w:rPr>
          <w:spacing w:val="-17"/>
          <w:sz w:val="20"/>
        </w:rPr>
        <w:t> </w:t>
      </w:r>
      <w:r>
        <w:rPr>
          <w:sz w:val="20"/>
        </w:rPr>
        <w:t>be</w:t>
      </w:r>
      <w:r>
        <w:rPr>
          <w:spacing w:val="-13"/>
          <w:sz w:val="20"/>
        </w:rPr>
        <w:t> </w:t>
      </w:r>
      <w:r>
        <w:rPr>
          <w:sz w:val="20"/>
        </w:rPr>
        <w:t>seen</w:t>
      </w:r>
      <w:r>
        <w:rPr>
          <w:spacing w:val="-14"/>
          <w:sz w:val="20"/>
        </w:rPr>
        <w:t> </w:t>
      </w:r>
      <w:r>
        <w:rPr>
          <w:sz w:val="20"/>
        </w:rPr>
        <w:t>as</w:t>
      </w:r>
      <w:r>
        <w:rPr>
          <w:spacing w:val="-12"/>
          <w:sz w:val="20"/>
        </w:rPr>
        <w:t> </w:t>
      </w:r>
      <w:r>
        <w:rPr>
          <w:sz w:val="20"/>
        </w:rPr>
        <w:t>duplicative with Amount A profit. This will include assessing the implications of considering the income taxes payable in the market jurisdiction under existing taxing rights and Amount A</w:t>
      </w:r>
      <w:r>
        <w:rPr>
          <w:spacing w:val="-19"/>
          <w:sz w:val="20"/>
        </w:rPr>
        <w:t> </w:t>
      </w:r>
      <w:r>
        <w:rPr>
          <w:sz w:val="20"/>
        </w:rPr>
        <w:t>together.</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Consequently, consideration is being given to different options to deal with issues of double counting</w:t>
      </w:r>
      <w:r>
        <w:rPr>
          <w:spacing w:val="-15"/>
          <w:sz w:val="20"/>
        </w:rPr>
        <w:t> </w:t>
      </w:r>
      <w:r>
        <w:rPr>
          <w:sz w:val="20"/>
        </w:rPr>
        <w:t>beyond</w:t>
      </w:r>
      <w:r>
        <w:rPr>
          <w:spacing w:val="-14"/>
          <w:sz w:val="20"/>
        </w:rPr>
        <w:t> </w:t>
      </w:r>
      <w:r>
        <w:rPr>
          <w:sz w:val="20"/>
        </w:rPr>
        <w:t>the</w:t>
      </w:r>
      <w:r>
        <w:rPr>
          <w:spacing w:val="-16"/>
          <w:sz w:val="20"/>
        </w:rPr>
        <w:t> </w:t>
      </w:r>
      <w:r>
        <w:rPr>
          <w:sz w:val="20"/>
        </w:rPr>
        <w:t>mechanism</w:t>
      </w:r>
      <w:r>
        <w:rPr>
          <w:spacing w:val="-12"/>
          <w:sz w:val="20"/>
        </w:rPr>
        <w:t> </w:t>
      </w:r>
      <w:r>
        <w:rPr>
          <w:sz w:val="20"/>
        </w:rPr>
        <w:t>to</w:t>
      </w:r>
      <w:r>
        <w:rPr>
          <w:spacing w:val="-16"/>
          <w:sz w:val="20"/>
        </w:rPr>
        <w:t> </w:t>
      </w:r>
      <w:r>
        <w:rPr>
          <w:sz w:val="20"/>
        </w:rPr>
        <w:t>eliminate</w:t>
      </w:r>
      <w:r>
        <w:rPr>
          <w:spacing w:val="-14"/>
          <w:sz w:val="20"/>
        </w:rPr>
        <w:t> </w:t>
      </w:r>
      <w:r>
        <w:rPr>
          <w:sz w:val="20"/>
        </w:rPr>
        <w:t>double</w:t>
      </w:r>
      <w:r>
        <w:rPr>
          <w:spacing w:val="-14"/>
          <w:sz w:val="20"/>
        </w:rPr>
        <w:t> </w:t>
      </w:r>
      <w:r>
        <w:rPr>
          <w:sz w:val="20"/>
        </w:rPr>
        <w:t>taxation,</w:t>
      </w:r>
      <w:r>
        <w:rPr>
          <w:spacing w:val="-14"/>
          <w:sz w:val="20"/>
        </w:rPr>
        <w:t> </w:t>
      </w:r>
      <w:r>
        <w:rPr>
          <w:sz w:val="20"/>
        </w:rPr>
        <w:t>such</w:t>
      </w:r>
      <w:r>
        <w:rPr>
          <w:spacing w:val="-14"/>
          <w:sz w:val="20"/>
        </w:rPr>
        <w:t> </w:t>
      </w:r>
      <w:r>
        <w:rPr>
          <w:sz w:val="20"/>
        </w:rPr>
        <w:t>as</w:t>
      </w:r>
      <w:r>
        <w:rPr>
          <w:spacing w:val="-15"/>
          <w:sz w:val="20"/>
        </w:rPr>
        <w:t> </w:t>
      </w:r>
      <w:r>
        <w:rPr>
          <w:sz w:val="20"/>
        </w:rPr>
        <w:t>the</w:t>
      </w:r>
      <w:r>
        <w:rPr>
          <w:spacing w:val="-16"/>
          <w:sz w:val="20"/>
        </w:rPr>
        <w:t> </w:t>
      </w:r>
      <w:r>
        <w:rPr>
          <w:sz w:val="20"/>
        </w:rPr>
        <w:t>marketing</w:t>
      </w:r>
      <w:r>
        <w:rPr>
          <w:spacing w:val="-16"/>
          <w:sz w:val="20"/>
        </w:rPr>
        <w:t> </w:t>
      </w:r>
      <w:r>
        <w:rPr>
          <w:sz w:val="20"/>
        </w:rPr>
        <w:t>and</w:t>
      </w:r>
      <w:r>
        <w:rPr>
          <w:spacing w:val="-15"/>
          <w:sz w:val="20"/>
        </w:rPr>
        <w:t> </w:t>
      </w:r>
      <w:r>
        <w:rPr>
          <w:sz w:val="20"/>
        </w:rPr>
        <w:t>distribution</w:t>
      </w:r>
      <w:r>
        <w:rPr>
          <w:spacing w:val="-14"/>
          <w:sz w:val="20"/>
        </w:rPr>
        <w:t> </w:t>
      </w:r>
      <w:r>
        <w:rPr>
          <w:sz w:val="20"/>
        </w:rPr>
        <w:t>profits safe harbour and the domestic business</w:t>
      </w:r>
      <w:r>
        <w:rPr>
          <w:spacing w:val="-6"/>
          <w:sz w:val="20"/>
        </w:rPr>
        <w:t> </w:t>
      </w:r>
      <w:r>
        <w:rPr>
          <w:sz w:val="20"/>
        </w:rPr>
        <w:t>exemption.</w:t>
      </w:r>
    </w:p>
    <w:p>
      <w:pPr>
        <w:pStyle w:val="BodyText"/>
        <w:spacing w:before="6"/>
        <w:rPr>
          <w:sz w:val="23"/>
        </w:rPr>
      </w:pPr>
    </w:p>
    <w:p>
      <w:pPr>
        <w:pStyle w:val="Heading6"/>
        <w:numPr>
          <w:ilvl w:val="2"/>
          <w:numId w:val="65"/>
        </w:numPr>
        <w:tabs>
          <w:tab w:pos="2015" w:val="left" w:leader="none"/>
        </w:tabs>
        <w:spacing w:line="240" w:lineRule="auto" w:before="0" w:after="0"/>
        <w:ind w:left="2014" w:right="0" w:hanging="613"/>
        <w:jc w:val="left"/>
        <w:rPr>
          <w:i/>
        </w:rPr>
      </w:pPr>
      <w:bookmarkStart w:name="6.4.1. The impact of the mechanism to el" w:id="306"/>
      <w:bookmarkEnd w:id="306"/>
      <w:r>
        <w:rPr>
          <w:b w:val="0"/>
          <w:i w:val="0"/>
        </w:rPr>
      </w:r>
      <w:bookmarkStart w:name="6.4.1. The impact of the mechanism to el" w:id="307"/>
      <w:bookmarkEnd w:id="307"/>
      <w:r>
        <w:rPr>
          <w:i/>
        </w:rPr>
        <w:t>T</w:t>
      </w:r>
      <w:r>
        <w:rPr>
          <w:i/>
        </w:rPr>
        <w:t>he impact of the mechanism to eliminate double</w:t>
      </w:r>
      <w:r>
        <w:rPr>
          <w:i/>
          <w:spacing w:val="-14"/>
        </w:rPr>
        <w:t> </w:t>
      </w:r>
      <w:r>
        <w:rPr>
          <w:i/>
        </w:rPr>
        <w:t>taxation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78" w:firstLine="0"/>
        <w:jc w:val="both"/>
        <w:rPr>
          <w:sz w:val="20"/>
        </w:rPr>
      </w:pPr>
      <w:r>
        <w:rPr>
          <w:sz w:val="20"/>
        </w:rPr>
        <w:t>The elimination of double taxation process is an important element in dealing with any potential double counting in the market jurisdiction, or at least materially reduce it. This is because where an entity is</w:t>
      </w:r>
      <w:r>
        <w:rPr>
          <w:spacing w:val="-11"/>
          <w:sz w:val="20"/>
        </w:rPr>
        <w:t> </w:t>
      </w:r>
      <w:r>
        <w:rPr>
          <w:sz w:val="20"/>
        </w:rPr>
        <w:t>allocated</w:t>
      </w:r>
      <w:r>
        <w:rPr>
          <w:spacing w:val="-11"/>
          <w:sz w:val="20"/>
        </w:rPr>
        <w:t> </w:t>
      </w:r>
      <w:r>
        <w:rPr>
          <w:sz w:val="20"/>
        </w:rPr>
        <w:t>significant</w:t>
      </w:r>
      <w:r>
        <w:rPr>
          <w:spacing w:val="-9"/>
          <w:sz w:val="20"/>
        </w:rPr>
        <w:t> </w:t>
      </w:r>
      <w:r>
        <w:rPr>
          <w:sz w:val="20"/>
        </w:rPr>
        <w:t>residual</w:t>
      </w:r>
      <w:r>
        <w:rPr>
          <w:spacing w:val="-11"/>
          <w:sz w:val="20"/>
        </w:rPr>
        <w:t> </w:t>
      </w:r>
      <w:r>
        <w:rPr>
          <w:sz w:val="20"/>
        </w:rPr>
        <w:t>profit</w:t>
      </w:r>
      <w:r>
        <w:rPr>
          <w:spacing w:val="-10"/>
          <w:sz w:val="20"/>
        </w:rPr>
        <w:t> </w:t>
      </w:r>
      <w:r>
        <w:rPr>
          <w:sz w:val="20"/>
        </w:rPr>
        <w:t>in</w:t>
      </w:r>
      <w:r>
        <w:rPr>
          <w:spacing w:val="-9"/>
          <w:sz w:val="20"/>
        </w:rPr>
        <w:t> </w:t>
      </w:r>
      <w:r>
        <w:rPr>
          <w:sz w:val="20"/>
        </w:rPr>
        <w:t>a</w:t>
      </w:r>
      <w:r>
        <w:rPr>
          <w:spacing w:val="-10"/>
          <w:sz w:val="20"/>
        </w:rPr>
        <w:t> </w:t>
      </w:r>
      <w:r>
        <w:rPr>
          <w:sz w:val="20"/>
        </w:rPr>
        <w:t>market</w:t>
      </w:r>
      <w:r>
        <w:rPr>
          <w:spacing w:val="-13"/>
          <w:sz w:val="20"/>
        </w:rPr>
        <w:t> </w:t>
      </w:r>
      <w:r>
        <w:rPr>
          <w:sz w:val="20"/>
        </w:rPr>
        <w:t>jurisdiction</w:t>
      </w:r>
      <w:r>
        <w:rPr>
          <w:spacing w:val="-10"/>
          <w:sz w:val="20"/>
        </w:rPr>
        <w:t> </w:t>
      </w:r>
      <w:r>
        <w:rPr>
          <w:sz w:val="20"/>
        </w:rPr>
        <w:t>under</w:t>
      </w:r>
      <w:r>
        <w:rPr>
          <w:spacing w:val="-9"/>
          <w:sz w:val="20"/>
        </w:rPr>
        <w:t> </w:t>
      </w:r>
      <w:r>
        <w:rPr>
          <w:sz w:val="20"/>
        </w:rPr>
        <w:t>existing</w:t>
      </w:r>
      <w:r>
        <w:rPr>
          <w:spacing w:val="-10"/>
          <w:sz w:val="20"/>
        </w:rPr>
        <w:t> </w:t>
      </w:r>
      <w:r>
        <w:rPr>
          <w:sz w:val="20"/>
        </w:rPr>
        <w:t>profit</w:t>
      </w:r>
      <w:r>
        <w:rPr>
          <w:spacing w:val="-11"/>
          <w:sz w:val="20"/>
        </w:rPr>
        <w:t> </w:t>
      </w:r>
      <w:r>
        <w:rPr>
          <w:sz w:val="20"/>
        </w:rPr>
        <w:t>allocation</w:t>
      </w:r>
      <w:r>
        <w:rPr>
          <w:spacing w:val="-13"/>
          <w:sz w:val="20"/>
        </w:rPr>
        <w:t> </w:t>
      </w:r>
      <w:r>
        <w:rPr>
          <w:sz w:val="20"/>
        </w:rPr>
        <w:t>rules,</w:t>
      </w:r>
      <w:r>
        <w:rPr>
          <w:spacing w:val="-9"/>
          <w:sz w:val="20"/>
        </w:rPr>
        <w:t> </w:t>
      </w:r>
      <w:r>
        <w:rPr>
          <w:sz w:val="20"/>
        </w:rPr>
        <w:t>this</w:t>
      </w:r>
      <w:r>
        <w:rPr>
          <w:spacing w:val="-11"/>
          <w:sz w:val="20"/>
        </w:rPr>
        <w:t> </w:t>
      </w:r>
      <w:r>
        <w:rPr>
          <w:sz w:val="20"/>
        </w:rPr>
        <w:t>entity may be identified as a “paying entity” within the group for the purpose of eliminating double taxation (see below Section </w:t>
      </w:r>
      <w:hyperlink w:history="true" w:anchor="_bookmark53">
        <w:r>
          <w:rPr>
            <w:sz w:val="20"/>
          </w:rPr>
          <w:t>7.2</w:t>
        </w:r>
      </w:hyperlink>
      <w:r>
        <w:rPr>
          <w:sz w:val="20"/>
        </w:rPr>
        <w:t>). Identifying this entity as a “paying entity” for Amount A purposes will, in turn, result in a</w:t>
      </w:r>
      <w:r>
        <w:rPr>
          <w:spacing w:val="-14"/>
          <w:sz w:val="20"/>
        </w:rPr>
        <w:t> </w:t>
      </w:r>
      <w:r>
        <w:rPr>
          <w:sz w:val="20"/>
        </w:rPr>
        <w:t>“netting-off”</w:t>
      </w:r>
      <w:r>
        <w:rPr>
          <w:spacing w:val="-13"/>
          <w:sz w:val="20"/>
        </w:rPr>
        <w:t> </w:t>
      </w:r>
      <w:r>
        <w:rPr>
          <w:sz w:val="20"/>
        </w:rPr>
        <w:t>effect:</w:t>
      </w:r>
      <w:r>
        <w:rPr>
          <w:spacing w:val="-14"/>
          <w:sz w:val="20"/>
        </w:rPr>
        <w:t> </w:t>
      </w:r>
      <w:r>
        <w:rPr>
          <w:sz w:val="20"/>
        </w:rPr>
        <w:t>the</w:t>
      </w:r>
      <w:r>
        <w:rPr>
          <w:spacing w:val="-14"/>
          <w:sz w:val="20"/>
        </w:rPr>
        <w:t> </w:t>
      </w:r>
      <w:r>
        <w:rPr>
          <w:sz w:val="20"/>
        </w:rPr>
        <w:t>residual</w:t>
      </w:r>
      <w:r>
        <w:rPr>
          <w:spacing w:val="-12"/>
          <w:sz w:val="20"/>
        </w:rPr>
        <w:t> </w:t>
      </w:r>
      <w:r>
        <w:rPr>
          <w:sz w:val="20"/>
        </w:rPr>
        <w:t>profit</w:t>
      </w:r>
      <w:r>
        <w:rPr>
          <w:spacing w:val="-14"/>
          <w:sz w:val="20"/>
        </w:rPr>
        <w:t> </w:t>
      </w:r>
      <w:r>
        <w:rPr>
          <w:sz w:val="20"/>
        </w:rPr>
        <w:t>allocated</w:t>
      </w:r>
      <w:r>
        <w:rPr>
          <w:spacing w:val="-12"/>
          <w:sz w:val="20"/>
        </w:rPr>
        <w:t> </w:t>
      </w:r>
      <w:r>
        <w:rPr>
          <w:sz w:val="20"/>
        </w:rPr>
        <w:t>under</w:t>
      </w:r>
      <w:r>
        <w:rPr>
          <w:spacing w:val="-10"/>
          <w:sz w:val="20"/>
        </w:rPr>
        <w:t> </w:t>
      </w:r>
      <w:r>
        <w:rPr>
          <w:sz w:val="20"/>
        </w:rPr>
        <w:t>existing</w:t>
      </w:r>
      <w:r>
        <w:rPr>
          <w:spacing w:val="-14"/>
          <w:sz w:val="20"/>
        </w:rPr>
        <w:t> </w:t>
      </w:r>
      <w:r>
        <w:rPr>
          <w:sz w:val="20"/>
        </w:rPr>
        <w:t>rules</w:t>
      </w:r>
      <w:r>
        <w:rPr>
          <w:spacing w:val="-13"/>
          <w:sz w:val="20"/>
        </w:rPr>
        <w:t> </w:t>
      </w:r>
      <w:r>
        <w:rPr>
          <w:sz w:val="20"/>
        </w:rPr>
        <w:t>to</w:t>
      </w:r>
      <w:r>
        <w:rPr>
          <w:spacing w:val="-12"/>
          <w:sz w:val="20"/>
        </w:rPr>
        <w:t> </w:t>
      </w:r>
      <w:r>
        <w:rPr>
          <w:sz w:val="20"/>
        </w:rPr>
        <w:t>the</w:t>
      </w:r>
      <w:r>
        <w:rPr>
          <w:spacing w:val="-14"/>
          <w:sz w:val="20"/>
        </w:rPr>
        <w:t> </w:t>
      </w:r>
      <w:r>
        <w:rPr>
          <w:sz w:val="20"/>
        </w:rPr>
        <w:t>market</w:t>
      </w:r>
      <w:r>
        <w:rPr>
          <w:spacing w:val="-13"/>
          <w:sz w:val="20"/>
        </w:rPr>
        <w:t> </w:t>
      </w:r>
      <w:r>
        <w:rPr>
          <w:sz w:val="20"/>
        </w:rPr>
        <w:t>jurisdiction</w:t>
      </w:r>
      <w:r>
        <w:rPr>
          <w:spacing w:val="-12"/>
          <w:sz w:val="20"/>
        </w:rPr>
        <w:t> </w:t>
      </w:r>
      <w:r>
        <w:rPr>
          <w:sz w:val="20"/>
        </w:rPr>
        <w:t>will,</w:t>
      </w:r>
      <w:r>
        <w:rPr>
          <w:spacing w:val="-11"/>
          <w:sz w:val="20"/>
        </w:rPr>
        <w:t> </w:t>
      </w:r>
      <w:r>
        <w:rPr>
          <w:sz w:val="20"/>
        </w:rPr>
        <w:t>in</w:t>
      </w:r>
      <w:r>
        <w:rPr>
          <w:spacing w:val="-12"/>
          <w:sz w:val="20"/>
        </w:rPr>
        <w:t> </w:t>
      </w:r>
      <w:r>
        <w:rPr>
          <w:sz w:val="20"/>
        </w:rPr>
        <w:t>effect, be reduced by the method used to relieve double taxation from Amount A (including Amount A allocated to other market jurisdictions). There is a question however as to whether this framework can deliver such netting-off effect in all cases, and hence whether it should be the sole basis to deal with double counting issues.</w:t>
      </w:r>
    </w:p>
    <w:p>
      <w:pPr>
        <w:pStyle w:val="ListParagraph"/>
        <w:numPr>
          <w:ilvl w:val="0"/>
          <w:numId w:val="13"/>
        </w:numPr>
        <w:tabs>
          <w:tab w:pos="1444" w:val="left" w:leader="none"/>
        </w:tabs>
        <w:spacing w:line="271" w:lineRule="auto" w:before="123" w:after="0"/>
        <w:ind w:left="723" w:right="479" w:firstLine="0"/>
        <w:jc w:val="both"/>
        <w:rPr>
          <w:sz w:val="20"/>
        </w:rPr>
      </w:pPr>
      <w:r>
        <w:rPr>
          <w:sz w:val="20"/>
        </w:rPr>
        <w:t>As illustrated in Annex C (see Box C.3.), the netting-off effect can be easily identified when it is applied to an MNE group with a centralised business model (both ADS and CFB) that allocates residual profit to a limited number of jurisdictions, but is more difficult to assess when applied to a group with a decentralised</w:t>
      </w:r>
      <w:r>
        <w:rPr>
          <w:spacing w:val="-10"/>
          <w:sz w:val="20"/>
        </w:rPr>
        <w:t> </w:t>
      </w:r>
      <w:r>
        <w:rPr>
          <w:sz w:val="20"/>
        </w:rPr>
        <w:t>business</w:t>
      </w:r>
      <w:r>
        <w:rPr>
          <w:spacing w:val="-8"/>
          <w:sz w:val="20"/>
        </w:rPr>
        <w:t> </w:t>
      </w:r>
      <w:r>
        <w:rPr>
          <w:sz w:val="20"/>
        </w:rPr>
        <w:t>model</w:t>
      </w:r>
      <w:r>
        <w:rPr>
          <w:spacing w:val="-8"/>
          <w:sz w:val="20"/>
        </w:rPr>
        <w:t> </w:t>
      </w:r>
      <w:r>
        <w:rPr>
          <w:sz w:val="20"/>
        </w:rPr>
        <w:t>that</w:t>
      </w:r>
      <w:r>
        <w:rPr>
          <w:spacing w:val="-9"/>
          <w:sz w:val="20"/>
        </w:rPr>
        <w:t> </w:t>
      </w:r>
      <w:r>
        <w:rPr>
          <w:sz w:val="20"/>
        </w:rPr>
        <w:t>leaves</w:t>
      </w:r>
      <w:r>
        <w:rPr>
          <w:spacing w:val="-9"/>
          <w:sz w:val="20"/>
        </w:rPr>
        <w:t> </w:t>
      </w:r>
      <w:r>
        <w:rPr>
          <w:sz w:val="20"/>
        </w:rPr>
        <w:t>residual</w:t>
      </w:r>
      <w:r>
        <w:rPr>
          <w:spacing w:val="-7"/>
          <w:sz w:val="20"/>
        </w:rPr>
        <w:t> </w:t>
      </w:r>
      <w:r>
        <w:rPr>
          <w:sz w:val="20"/>
        </w:rPr>
        <w:t>profit</w:t>
      </w:r>
      <w:r>
        <w:rPr>
          <w:spacing w:val="-10"/>
          <w:sz w:val="20"/>
        </w:rPr>
        <w:t> </w:t>
      </w:r>
      <w:r>
        <w:rPr>
          <w:sz w:val="20"/>
        </w:rPr>
        <w:t>in</w:t>
      </w:r>
      <w:r>
        <w:rPr>
          <w:spacing w:val="-9"/>
          <w:sz w:val="20"/>
        </w:rPr>
        <w:t> </w:t>
      </w:r>
      <w:r>
        <w:rPr>
          <w:sz w:val="20"/>
        </w:rPr>
        <w:t>multiple</w:t>
      </w:r>
      <w:r>
        <w:rPr>
          <w:spacing w:val="-8"/>
          <w:sz w:val="20"/>
        </w:rPr>
        <w:t> </w:t>
      </w:r>
      <w:r>
        <w:rPr>
          <w:sz w:val="20"/>
        </w:rPr>
        <w:t>market</w:t>
      </w:r>
      <w:r>
        <w:rPr>
          <w:spacing w:val="-9"/>
          <w:sz w:val="20"/>
        </w:rPr>
        <w:t> </w:t>
      </w:r>
      <w:r>
        <w:rPr>
          <w:sz w:val="20"/>
        </w:rPr>
        <w:t>jurisdictions</w:t>
      </w:r>
      <w:r>
        <w:rPr>
          <w:spacing w:val="-8"/>
          <w:sz w:val="20"/>
        </w:rPr>
        <w:t> </w:t>
      </w:r>
      <w:r>
        <w:rPr>
          <w:sz w:val="20"/>
        </w:rPr>
        <w:t>(see</w:t>
      </w:r>
      <w:r>
        <w:rPr>
          <w:spacing w:val="-8"/>
          <w:sz w:val="20"/>
        </w:rPr>
        <w:t> </w:t>
      </w:r>
      <w:r>
        <w:rPr>
          <w:sz w:val="20"/>
        </w:rPr>
        <w:t>Annex</w:t>
      </w:r>
      <w:r>
        <w:rPr>
          <w:spacing w:val="-8"/>
          <w:sz w:val="20"/>
        </w:rPr>
        <w:t> </w:t>
      </w:r>
      <w:r>
        <w:rPr>
          <w:sz w:val="20"/>
        </w:rPr>
        <w:t>C,</w:t>
      </w:r>
      <w:r>
        <w:rPr>
          <w:spacing w:val="-10"/>
          <w:sz w:val="20"/>
        </w:rPr>
        <w:t> </w:t>
      </w:r>
      <w:r>
        <w:rPr>
          <w:sz w:val="20"/>
        </w:rPr>
        <w:t>Box C.4.). For example, the proposed mechanism to eliminate double taxation may not identify an in-market full-risk distributor entitled to residual profit under existing rules as a paying entity (or allocate to it the full responsibility for relieving double tax) if it does not meet the profitability test articulated in section </w:t>
      </w:r>
      <w:hyperlink w:history="true" w:anchor="_bookmark54">
        <w:r>
          <w:rPr>
            <w:sz w:val="20"/>
          </w:rPr>
          <w:t>7.2.3,</w:t>
        </w:r>
      </w:hyperlink>
      <w:r>
        <w:rPr>
          <w:sz w:val="20"/>
        </w:rPr>
        <w:t> while other group entities (in different jurisdictions) would satisfy such test. Views differ as to the appropriate result in this situation. The efficiency of this approach on its own needs therefore to be further tested when applied to diverse situations, alongside with other approaches that could be developed in combination with this elimination of double taxation process to deal more effectively with double counting issues.</w:t>
      </w:r>
    </w:p>
    <w:p>
      <w:pPr>
        <w:pStyle w:val="BodyText"/>
        <w:spacing w:before="6"/>
        <w:rPr>
          <w:sz w:val="23"/>
        </w:rPr>
      </w:pPr>
    </w:p>
    <w:p>
      <w:pPr>
        <w:pStyle w:val="Heading6"/>
        <w:numPr>
          <w:ilvl w:val="2"/>
          <w:numId w:val="65"/>
        </w:numPr>
        <w:tabs>
          <w:tab w:pos="2015" w:val="left" w:leader="none"/>
        </w:tabs>
        <w:spacing w:line="240" w:lineRule="auto" w:before="1" w:after="0"/>
        <w:ind w:left="2014" w:right="0" w:hanging="613"/>
        <w:jc w:val="left"/>
        <w:rPr>
          <w:i/>
        </w:rPr>
      </w:pPr>
      <w:bookmarkStart w:name="6.4.2. The marketing and distribution pr" w:id="308"/>
      <w:bookmarkEnd w:id="308"/>
      <w:r>
        <w:rPr>
          <w:b w:val="0"/>
          <w:i w:val="0"/>
        </w:rPr>
      </w:r>
      <w:bookmarkStart w:name="6.4.2. The marketing and distribution pr" w:id="309"/>
      <w:bookmarkEnd w:id="309"/>
      <w:r>
        <w:rPr>
          <w:i/>
        </w:rPr>
        <w:t>T</w:t>
      </w:r>
      <w:r>
        <w:rPr>
          <w:i/>
        </w:rPr>
        <w:t>he marketing and distribution profits safe</w:t>
      </w:r>
      <w:r>
        <w:rPr>
          <w:i/>
          <w:spacing w:val="-10"/>
        </w:rPr>
        <w:t> </w:t>
      </w:r>
      <w:r>
        <w:rPr>
          <w:i/>
        </w:rPr>
        <w:t>harbour</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The “marketing and distribution profits safe harbour” would start from the premise that Amount A should be allocated to a market jurisdiction that is not allocated residual profits under existing profit allocation</w:t>
      </w:r>
      <w:r>
        <w:rPr>
          <w:spacing w:val="-6"/>
          <w:sz w:val="20"/>
        </w:rPr>
        <w:t> </w:t>
      </w:r>
      <w:r>
        <w:rPr>
          <w:sz w:val="20"/>
        </w:rPr>
        <w:t>rules,</w:t>
      </w:r>
      <w:r>
        <w:rPr>
          <w:spacing w:val="-4"/>
          <w:sz w:val="20"/>
        </w:rPr>
        <w:t> </w:t>
      </w:r>
      <w:r>
        <w:rPr>
          <w:sz w:val="20"/>
        </w:rPr>
        <w:t>but</w:t>
      </w:r>
      <w:r>
        <w:rPr>
          <w:spacing w:val="-3"/>
          <w:sz w:val="20"/>
        </w:rPr>
        <w:t> </w:t>
      </w:r>
      <w:r>
        <w:rPr>
          <w:sz w:val="20"/>
        </w:rPr>
        <w:t>where</w:t>
      </w:r>
      <w:r>
        <w:rPr>
          <w:spacing w:val="-3"/>
          <w:sz w:val="20"/>
        </w:rPr>
        <w:t> </w:t>
      </w:r>
      <w:r>
        <w:rPr>
          <w:sz w:val="20"/>
        </w:rPr>
        <w:t>a</w:t>
      </w:r>
      <w:r>
        <w:rPr>
          <w:spacing w:val="-4"/>
          <w:sz w:val="20"/>
        </w:rPr>
        <w:t> </w:t>
      </w:r>
      <w:r>
        <w:rPr>
          <w:sz w:val="20"/>
        </w:rPr>
        <w:t>group</w:t>
      </w:r>
      <w:r>
        <w:rPr>
          <w:spacing w:val="-5"/>
          <w:sz w:val="20"/>
        </w:rPr>
        <w:t> </w:t>
      </w:r>
      <w:r>
        <w:rPr>
          <w:sz w:val="20"/>
        </w:rPr>
        <w:t>already</w:t>
      </w:r>
      <w:r>
        <w:rPr>
          <w:spacing w:val="-7"/>
          <w:sz w:val="20"/>
        </w:rPr>
        <w:t> </w:t>
      </w:r>
      <w:r>
        <w:rPr>
          <w:sz w:val="20"/>
        </w:rPr>
        <w:t>allocates</w:t>
      </w:r>
      <w:r>
        <w:rPr>
          <w:spacing w:val="-4"/>
          <w:sz w:val="20"/>
        </w:rPr>
        <w:t> </w:t>
      </w:r>
      <w:r>
        <w:rPr>
          <w:sz w:val="20"/>
        </w:rPr>
        <w:t>and</w:t>
      </w:r>
      <w:r>
        <w:rPr>
          <w:spacing w:val="-5"/>
          <w:sz w:val="20"/>
        </w:rPr>
        <w:t> </w:t>
      </w:r>
      <w:r>
        <w:rPr>
          <w:sz w:val="20"/>
        </w:rPr>
        <w:t>actually</w:t>
      </w:r>
      <w:r>
        <w:rPr>
          <w:spacing w:val="-7"/>
          <w:sz w:val="20"/>
        </w:rPr>
        <w:t> </w:t>
      </w:r>
      <w:r>
        <w:rPr>
          <w:sz w:val="20"/>
        </w:rPr>
        <w:t>earns</w:t>
      </w:r>
      <w:r>
        <w:rPr>
          <w:spacing w:val="-4"/>
          <w:sz w:val="20"/>
        </w:rPr>
        <w:t> </w:t>
      </w:r>
      <w:r>
        <w:rPr>
          <w:sz w:val="20"/>
        </w:rPr>
        <w:t>residual</w:t>
      </w:r>
      <w:r>
        <w:rPr>
          <w:spacing w:val="-6"/>
          <w:sz w:val="20"/>
        </w:rPr>
        <w:t> </w:t>
      </w:r>
      <w:r>
        <w:rPr>
          <w:sz w:val="20"/>
        </w:rPr>
        <w:t>profit</w:t>
      </w:r>
      <w:r>
        <w:rPr>
          <w:spacing w:val="4"/>
          <w:sz w:val="20"/>
        </w:rPr>
        <w:t> </w:t>
      </w:r>
      <w:r>
        <w:rPr>
          <w:sz w:val="20"/>
        </w:rPr>
        <w:t>in</w:t>
      </w:r>
      <w:r>
        <w:rPr>
          <w:spacing w:val="-4"/>
          <w:sz w:val="20"/>
        </w:rPr>
        <w:t> </w:t>
      </w:r>
      <w:r>
        <w:rPr>
          <w:sz w:val="20"/>
        </w:rPr>
        <w:t>the</w:t>
      </w:r>
      <w:r>
        <w:rPr>
          <w:spacing w:val="-6"/>
          <w:sz w:val="20"/>
        </w:rPr>
        <w:t> </w:t>
      </w:r>
      <w:r>
        <w:rPr>
          <w:sz w:val="20"/>
        </w:rPr>
        <w:t>market</w:t>
      </w:r>
      <w:r>
        <w:rPr>
          <w:spacing w:val="-5"/>
          <w:sz w:val="20"/>
        </w:rPr>
        <w:t> </w:t>
      </w:r>
      <w:r>
        <w:rPr>
          <w:sz w:val="20"/>
        </w:rPr>
        <w:t>on</w:t>
      </w:r>
      <w:r>
        <w:rPr>
          <w:spacing w:val="-5"/>
          <w:sz w:val="20"/>
        </w:rPr>
        <w:t> </w:t>
      </w:r>
      <w:r>
        <w:rPr>
          <w:sz w:val="20"/>
        </w:rPr>
        <w:t>in- scope</w:t>
      </w:r>
      <w:r>
        <w:rPr>
          <w:spacing w:val="-6"/>
          <w:sz w:val="20"/>
        </w:rPr>
        <w:t> </w:t>
      </w:r>
      <w:r>
        <w:rPr>
          <w:sz w:val="20"/>
        </w:rPr>
        <w:t>revenue</w:t>
      </w:r>
      <w:r>
        <w:rPr>
          <w:spacing w:val="-6"/>
          <w:sz w:val="20"/>
        </w:rPr>
        <w:t> </w:t>
      </w:r>
      <w:r>
        <w:rPr>
          <w:sz w:val="20"/>
        </w:rPr>
        <w:t>then</w:t>
      </w:r>
      <w:r>
        <w:rPr>
          <w:spacing w:val="-7"/>
          <w:sz w:val="20"/>
        </w:rPr>
        <w:t> </w:t>
      </w:r>
      <w:r>
        <w:rPr>
          <w:sz w:val="20"/>
        </w:rPr>
        <w:t>there</w:t>
      </w:r>
      <w:r>
        <w:rPr>
          <w:spacing w:val="-6"/>
          <w:sz w:val="20"/>
        </w:rPr>
        <w:t> </w:t>
      </w:r>
      <w:r>
        <w:rPr>
          <w:sz w:val="20"/>
        </w:rPr>
        <w:t>should</w:t>
      </w:r>
      <w:r>
        <w:rPr>
          <w:spacing w:val="-7"/>
          <w:sz w:val="20"/>
        </w:rPr>
        <w:t> </w:t>
      </w:r>
      <w:r>
        <w:rPr>
          <w:sz w:val="20"/>
        </w:rPr>
        <w:t>be</w:t>
      </w:r>
      <w:r>
        <w:rPr>
          <w:spacing w:val="-6"/>
          <w:sz w:val="20"/>
        </w:rPr>
        <w:t> </w:t>
      </w:r>
      <w:r>
        <w:rPr>
          <w:sz w:val="20"/>
        </w:rPr>
        <w:t>no</w:t>
      </w:r>
      <w:r>
        <w:rPr>
          <w:spacing w:val="-6"/>
          <w:sz w:val="20"/>
        </w:rPr>
        <w:t> </w:t>
      </w:r>
      <w:r>
        <w:rPr>
          <w:sz w:val="20"/>
        </w:rPr>
        <w:t>Amount</w:t>
      </w:r>
      <w:r>
        <w:rPr>
          <w:spacing w:val="-5"/>
          <w:sz w:val="20"/>
        </w:rPr>
        <w:t> </w:t>
      </w:r>
      <w:r>
        <w:rPr>
          <w:sz w:val="20"/>
        </w:rPr>
        <w:t>A</w:t>
      </w:r>
      <w:r>
        <w:rPr>
          <w:spacing w:val="-6"/>
          <w:sz w:val="20"/>
        </w:rPr>
        <w:t> </w:t>
      </w:r>
      <w:r>
        <w:rPr>
          <w:sz w:val="20"/>
        </w:rPr>
        <w:t>allocation.</w:t>
      </w:r>
      <w:r>
        <w:rPr>
          <w:spacing w:val="-7"/>
          <w:sz w:val="20"/>
        </w:rPr>
        <w:t> </w:t>
      </w:r>
      <w:r>
        <w:rPr>
          <w:sz w:val="20"/>
        </w:rPr>
        <w:t>This</w:t>
      </w:r>
      <w:r>
        <w:rPr>
          <w:spacing w:val="-2"/>
          <w:sz w:val="20"/>
        </w:rPr>
        <w:t> </w:t>
      </w:r>
      <w:r>
        <w:rPr>
          <w:sz w:val="20"/>
        </w:rPr>
        <w:t>would</w:t>
      </w:r>
      <w:r>
        <w:rPr>
          <w:spacing w:val="-5"/>
          <w:sz w:val="20"/>
        </w:rPr>
        <w:t> </w:t>
      </w:r>
      <w:r>
        <w:rPr>
          <w:sz w:val="20"/>
        </w:rPr>
        <w:t>mean</w:t>
      </w:r>
      <w:r>
        <w:rPr>
          <w:spacing w:val="-6"/>
          <w:sz w:val="20"/>
        </w:rPr>
        <w:t> </w:t>
      </w:r>
      <w:r>
        <w:rPr>
          <w:sz w:val="20"/>
        </w:rPr>
        <w:t>an</w:t>
      </w:r>
      <w:r>
        <w:rPr>
          <w:spacing w:val="-5"/>
          <w:sz w:val="20"/>
        </w:rPr>
        <w:t> </w:t>
      </w:r>
      <w:r>
        <w:rPr>
          <w:sz w:val="20"/>
        </w:rPr>
        <w:t>MNE</w:t>
      </w:r>
      <w:r>
        <w:rPr>
          <w:spacing w:val="-4"/>
          <w:sz w:val="20"/>
        </w:rPr>
        <w:t> </w:t>
      </w:r>
      <w:r>
        <w:rPr>
          <w:sz w:val="20"/>
        </w:rPr>
        <w:t>group</w:t>
      </w:r>
      <w:r>
        <w:rPr>
          <w:spacing w:val="-2"/>
          <w:sz w:val="20"/>
        </w:rPr>
        <w:t> </w:t>
      </w:r>
      <w:r>
        <w:rPr>
          <w:sz w:val="20"/>
        </w:rPr>
        <w:t>would</w:t>
      </w:r>
      <w:r>
        <w:rPr>
          <w:spacing w:val="-4"/>
          <w:sz w:val="20"/>
        </w:rPr>
        <w:t> </w:t>
      </w:r>
      <w:r>
        <w:rPr>
          <w:sz w:val="20"/>
        </w:rPr>
        <w:t>have to</w:t>
      </w:r>
      <w:r>
        <w:rPr>
          <w:spacing w:val="-7"/>
          <w:sz w:val="20"/>
        </w:rPr>
        <w:t> </w:t>
      </w:r>
      <w:r>
        <w:rPr>
          <w:sz w:val="20"/>
        </w:rPr>
        <w:t>compute</w:t>
      </w:r>
      <w:r>
        <w:rPr>
          <w:spacing w:val="-3"/>
          <w:sz w:val="20"/>
        </w:rPr>
        <w:t> </w:t>
      </w:r>
      <w:r>
        <w:rPr>
          <w:sz w:val="20"/>
        </w:rPr>
        <w:t>Amount</w:t>
      </w:r>
      <w:r>
        <w:rPr>
          <w:spacing w:val="-7"/>
          <w:sz w:val="20"/>
        </w:rPr>
        <w:t> </w:t>
      </w:r>
      <w:r>
        <w:rPr>
          <w:sz w:val="20"/>
        </w:rPr>
        <w:t>A</w:t>
      </w:r>
      <w:r>
        <w:rPr>
          <w:spacing w:val="-4"/>
          <w:sz w:val="20"/>
        </w:rPr>
        <w:t> </w:t>
      </w:r>
      <w:r>
        <w:rPr>
          <w:sz w:val="20"/>
        </w:rPr>
        <w:t>under</w:t>
      </w:r>
      <w:r>
        <w:rPr>
          <w:spacing w:val="-6"/>
          <w:sz w:val="20"/>
        </w:rPr>
        <w:t> </w:t>
      </w:r>
      <w:r>
        <w:rPr>
          <w:sz w:val="20"/>
        </w:rPr>
        <w:t>the</w:t>
      </w:r>
      <w:r>
        <w:rPr>
          <w:spacing w:val="-4"/>
          <w:sz w:val="20"/>
        </w:rPr>
        <w:t> </w:t>
      </w:r>
      <w:r>
        <w:rPr>
          <w:sz w:val="20"/>
        </w:rPr>
        <w:t>above</w:t>
      </w:r>
      <w:r>
        <w:rPr>
          <w:spacing w:val="-7"/>
          <w:sz w:val="20"/>
        </w:rPr>
        <w:t> </w:t>
      </w:r>
      <w:r>
        <w:rPr>
          <w:sz w:val="20"/>
        </w:rPr>
        <w:t>rules,</w:t>
      </w:r>
      <w:r>
        <w:rPr>
          <w:spacing w:val="-3"/>
          <w:sz w:val="20"/>
        </w:rPr>
        <w:t> </w:t>
      </w:r>
      <w:r>
        <w:rPr>
          <w:sz w:val="20"/>
        </w:rPr>
        <w:t>but</w:t>
      </w:r>
      <w:r>
        <w:rPr>
          <w:spacing w:val="-2"/>
          <w:sz w:val="20"/>
        </w:rPr>
        <w:t> </w:t>
      </w:r>
      <w:r>
        <w:rPr>
          <w:sz w:val="20"/>
        </w:rPr>
        <w:t>would</w:t>
      </w:r>
      <w:r>
        <w:rPr>
          <w:spacing w:val="-5"/>
          <w:sz w:val="20"/>
        </w:rPr>
        <w:t> </w:t>
      </w:r>
      <w:r>
        <w:rPr>
          <w:sz w:val="20"/>
        </w:rPr>
        <w:t>not</w:t>
      </w:r>
      <w:r>
        <w:rPr>
          <w:spacing w:val="-3"/>
          <w:sz w:val="20"/>
        </w:rPr>
        <w:t> </w:t>
      </w:r>
      <w:r>
        <w:rPr>
          <w:sz w:val="20"/>
        </w:rPr>
        <w:t>allocate</w:t>
      </w:r>
      <w:r>
        <w:rPr>
          <w:spacing w:val="-5"/>
          <w:sz w:val="20"/>
        </w:rPr>
        <w:t> </w:t>
      </w:r>
      <w:r>
        <w:rPr>
          <w:sz w:val="20"/>
        </w:rPr>
        <w:t>it</w:t>
      </w:r>
      <w:r>
        <w:rPr>
          <w:spacing w:val="-3"/>
          <w:sz w:val="20"/>
        </w:rPr>
        <w:t> </w:t>
      </w:r>
      <w:r>
        <w:rPr>
          <w:sz w:val="20"/>
        </w:rPr>
        <w:t>to</w:t>
      </w:r>
      <w:r>
        <w:rPr>
          <w:spacing w:val="-5"/>
          <w:sz w:val="20"/>
        </w:rPr>
        <w:t> </w:t>
      </w:r>
      <w:r>
        <w:rPr>
          <w:sz w:val="20"/>
        </w:rPr>
        <w:t>a</w:t>
      </w:r>
      <w:r>
        <w:rPr>
          <w:spacing w:val="-4"/>
          <w:sz w:val="20"/>
        </w:rPr>
        <w:t> </w:t>
      </w:r>
      <w:r>
        <w:rPr>
          <w:sz w:val="20"/>
        </w:rPr>
        <w:t>market</w:t>
      </w:r>
      <w:r>
        <w:rPr>
          <w:spacing w:val="-7"/>
          <w:sz w:val="20"/>
        </w:rPr>
        <w:t> </w:t>
      </w:r>
      <w:r>
        <w:rPr>
          <w:sz w:val="20"/>
        </w:rPr>
        <w:t>jurisdiction</w:t>
      </w:r>
      <w:r>
        <w:rPr>
          <w:spacing w:val="-4"/>
          <w:sz w:val="20"/>
        </w:rPr>
        <w:t> </w:t>
      </w:r>
      <w:r>
        <w:rPr>
          <w:sz w:val="20"/>
        </w:rPr>
        <w:t>to</w:t>
      </w:r>
      <w:r>
        <w:rPr>
          <w:spacing w:val="-5"/>
          <w:sz w:val="20"/>
        </w:rPr>
        <w:t> </w:t>
      </w:r>
      <w:r>
        <w:rPr>
          <w:sz w:val="20"/>
        </w:rPr>
        <w:t>the</w:t>
      </w:r>
      <w:r>
        <w:rPr>
          <w:spacing w:val="-6"/>
          <w:sz w:val="20"/>
        </w:rPr>
        <w:t> </w:t>
      </w:r>
      <w:r>
        <w:rPr>
          <w:sz w:val="20"/>
        </w:rPr>
        <w:t>extent it already allocates and earns residual profit in that jurisdiction. </w:t>
      </w:r>
      <w:r>
        <w:rPr>
          <w:spacing w:val="3"/>
          <w:sz w:val="20"/>
        </w:rPr>
        <w:t>The </w:t>
      </w:r>
      <w:r>
        <w:rPr>
          <w:sz w:val="20"/>
        </w:rPr>
        <w:t>marketing and distribution profit safe harbour seeks to deliver this outcome. It would not be a traditional safe harbour, but would instead “cap” the</w:t>
      </w:r>
      <w:r>
        <w:rPr>
          <w:spacing w:val="16"/>
          <w:sz w:val="20"/>
        </w:rPr>
        <w:t> </w:t>
      </w:r>
      <w:r>
        <w:rPr>
          <w:sz w:val="20"/>
        </w:rPr>
        <w:t>allocation</w:t>
      </w:r>
      <w:r>
        <w:rPr>
          <w:spacing w:val="16"/>
          <w:sz w:val="20"/>
        </w:rPr>
        <w:t> </w:t>
      </w:r>
      <w:r>
        <w:rPr>
          <w:sz w:val="20"/>
        </w:rPr>
        <w:t>of</w:t>
      </w:r>
      <w:r>
        <w:rPr>
          <w:spacing w:val="19"/>
          <w:sz w:val="20"/>
        </w:rPr>
        <w:t> </w:t>
      </w:r>
      <w:r>
        <w:rPr>
          <w:sz w:val="20"/>
        </w:rPr>
        <w:t>Amount</w:t>
      </w:r>
      <w:r>
        <w:rPr>
          <w:spacing w:val="16"/>
          <w:sz w:val="20"/>
        </w:rPr>
        <w:t> </w:t>
      </w:r>
      <w:r>
        <w:rPr>
          <w:sz w:val="20"/>
        </w:rPr>
        <w:t>A</w:t>
      </w:r>
      <w:r>
        <w:rPr>
          <w:spacing w:val="18"/>
          <w:sz w:val="20"/>
        </w:rPr>
        <w:t> </w:t>
      </w:r>
      <w:r>
        <w:rPr>
          <w:sz w:val="20"/>
        </w:rPr>
        <w:t>to</w:t>
      </w:r>
      <w:r>
        <w:rPr>
          <w:spacing w:val="15"/>
          <w:sz w:val="20"/>
        </w:rPr>
        <w:t> </w:t>
      </w:r>
      <w:r>
        <w:rPr>
          <w:sz w:val="20"/>
        </w:rPr>
        <w:t>market</w:t>
      </w:r>
      <w:r>
        <w:rPr>
          <w:spacing w:val="16"/>
          <w:sz w:val="20"/>
        </w:rPr>
        <w:t> </w:t>
      </w:r>
      <w:r>
        <w:rPr>
          <w:sz w:val="20"/>
        </w:rPr>
        <w:t>jurisdictions</w:t>
      </w:r>
      <w:r>
        <w:rPr>
          <w:spacing w:val="18"/>
          <w:sz w:val="20"/>
        </w:rPr>
        <w:t> </w:t>
      </w:r>
      <w:r>
        <w:rPr>
          <w:sz w:val="20"/>
        </w:rPr>
        <w:t>that</w:t>
      </w:r>
      <w:r>
        <w:rPr>
          <w:spacing w:val="18"/>
          <w:sz w:val="20"/>
        </w:rPr>
        <w:t> </w:t>
      </w:r>
      <w:r>
        <w:rPr>
          <w:sz w:val="20"/>
        </w:rPr>
        <w:t>already</w:t>
      </w:r>
      <w:r>
        <w:rPr>
          <w:spacing w:val="13"/>
          <w:sz w:val="20"/>
        </w:rPr>
        <w:t> </w:t>
      </w:r>
      <w:r>
        <w:rPr>
          <w:sz w:val="20"/>
        </w:rPr>
        <w:t>have</w:t>
      </w:r>
      <w:r>
        <w:rPr>
          <w:spacing w:val="17"/>
          <w:sz w:val="20"/>
        </w:rPr>
        <w:t> </w:t>
      </w:r>
      <w:r>
        <w:rPr>
          <w:sz w:val="20"/>
        </w:rPr>
        <w:t>taxing</w:t>
      </w:r>
      <w:r>
        <w:rPr>
          <w:spacing w:val="16"/>
          <w:sz w:val="20"/>
        </w:rPr>
        <w:t> </w:t>
      </w:r>
      <w:r>
        <w:rPr>
          <w:sz w:val="20"/>
        </w:rPr>
        <w:t>rights</w:t>
      </w:r>
      <w:r>
        <w:rPr>
          <w:spacing w:val="18"/>
          <w:sz w:val="20"/>
        </w:rPr>
        <w:t> </w:t>
      </w:r>
      <w:r>
        <w:rPr>
          <w:sz w:val="20"/>
        </w:rPr>
        <w:t>over</w:t>
      </w:r>
      <w:r>
        <w:rPr>
          <w:spacing w:val="18"/>
          <w:sz w:val="20"/>
        </w:rPr>
        <w:t> </w:t>
      </w:r>
      <w:r>
        <w:rPr>
          <w:sz w:val="20"/>
        </w:rPr>
        <w:t>a</w:t>
      </w:r>
      <w:r>
        <w:rPr>
          <w:spacing w:val="16"/>
          <w:sz w:val="20"/>
        </w:rPr>
        <w:t> </w:t>
      </w:r>
      <w:r>
        <w:rPr>
          <w:sz w:val="20"/>
        </w:rPr>
        <w:t>group’s</w:t>
      </w:r>
      <w:r>
        <w:rPr>
          <w:spacing w:val="19"/>
          <w:sz w:val="20"/>
        </w:rPr>
        <w:t> </w:t>
      </w:r>
      <w:r>
        <w:rPr>
          <w:sz w:val="20"/>
        </w:rPr>
        <w:t>profits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under</w:t>
      </w:r>
      <w:r>
        <w:rPr>
          <w:spacing w:val="-13"/>
        </w:rPr>
        <w:t> </w:t>
      </w:r>
      <w:r>
        <w:rPr/>
        <w:t>existing</w:t>
      </w:r>
      <w:r>
        <w:rPr>
          <w:spacing w:val="-14"/>
        </w:rPr>
        <w:t> </w:t>
      </w:r>
      <w:r>
        <w:rPr/>
        <w:t>tax</w:t>
      </w:r>
      <w:r>
        <w:rPr>
          <w:spacing w:val="-14"/>
        </w:rPr>
        <w:t> </w:t>
      </w:r>
      <w:r>
        <w:rPr/>
        <w:t>rules.</w:t>
      </w:r>
      <w:r>
        <w:rPr>
          <w:spacing w:val="-16"/>
        </w:rPr>
        <w:t> </w:t>
      </w:r>
      <w:r>
        <w:rPr/>
        <w:t>Conceptually,</w:t>
      </w:r>
      <w:r>
        <w:rPr>
          <w:spacing w:val="-11"/>
        </w:rPr>
        <w:t> </w:t>
      </w:r>
      <w:r>
        <w:rPr/>
        <w:t>it</w:t>
      </w:r>
      <w:r>
        <w:rPr>
          <w:spacing w:val="-13"/>
        </w:rPr>
        <w:t> </w:t>
      </w:r>
      <w:r>
        <w:rPr/>
        <w:t>would</w:t>
      </w:r>
      <w:r>
        <w:rPr>
          <w:spacing w:val="-14"/>
        </w:rPr>
        <w:t> </w:t>
      </w:r>
      <w:r>
        <w:rPr/>
        <w:t>consider</w:t>
      </w:r>
      <w:r>
        <w:rPr>
          <w:spacing w:val="-15"/>
        </w:rPr>
        <w:t> </w:t>
      </w:r>
      <w:r>
        <w:rPr/>
        <w:t>the</w:t>
      </w:r>
      <w:r>
        <w:rPr>
          <w:spacing w:val="-13"/>
        </w:rPr>
        <w:t> </w:t>
      </w:r>
      <w:r>
        <w:rPr/>
        <w:t>income</w:t>
      </w:r>
      <w:r>
        <w:rPr>
          <w:spacing w:val="-16"/>
        </w:rPr>
        <w:t> </w:t>
      </w:r>
      <w:r>
        <w:rPr/>
        <w:t>taxes</w:t>
      </w:r>
      <w:r>
        <w:rPr>
          <w:spacing w:val="-14"/>
        </w:rPr>
        <w:t> </w:t>
      </w:r>
      <w:r>
        <w:rPr/>
        <w:t>payable</w:t>
      </w:r>
      <w:r>
        <w:rPr>
          <w:spacing w:val="-14"/>
        </w:rPr>
        <w:t> </w:t>
      </w:r>
      <w:r>
        <w:rPr/>
        <w:t>in</w:t>
      </w:r>
      <w:r>
        <w:rPr>
          <w:spacing w:val="-15"/>
        </w:rPr>
        <w:t> </w:t>
      </w:r>
      <w:r>
        <w:rPr/>
        <w:t>the</w:t>
      </w:r>
      <w:r>
        <w:rPr>
          <w:spacing w:val="-16"/>
        </w:rPr>
        <w:t> </w:t>
      </w:r>
      <w:r>
        <w:rPr/>
        <w:t>market</w:t>
      </w:r>
      <w:r>
        <w:rPr>
          <w:spacing w:val="-15"/>
        </w:rPr>
        <w:t> </w:t>
      </w:r>
      <w:r>
        <w:rPr/>
        <w:t>jurisdiction under existing taxing rights and Amount A together, and adjust the quantum of Amount A taxable in a market</w:t>
      </w:r>
      <w:r>
        <w:rPr>
          <w:spacing w:val="-9"/>
        </w:rPr>
        <w:t> </w:t>
      </w:r>
      <w:r>
        <w:rPr/>
        <w:t>jurisdiction,</w:t>
      </w:r>
      <w:r>
        <w:rPr>
          <w:spacing w:val="-7"/>
        </w:rPr>
        <w:t> </w:t>
      </w:r>
      <w:r>
        <w:rPr/>
        <w:t>on</w:t>
      </w:r>
      <w:r>
        <w:rPr>
          <w:spacing w:val="-6"/>
        </w:rPr>
        <w:t> </w:t>
      </w:r>
      <w:r>
        <w:rPr/>
        <w:t>the</w:t>
      </w:r>
      <w:r>
        <w:rPr>
          <w:spacing w:val="-5"/>
        </w:rPr>
        <w:t> </w:t>
      </w:r>
      <w:r>
        <w:rPr/>
        <w:t>basis</w:t>
      </w:r>
      <w:r>
        <w:rPr>
          <w:spacing w:val="-5"/>
        </w:rPr>
        <w:t> </w:t>
      </w:r>
      <w:r>
        <w:rPr/>
        <w:t>of</w:t>
      </w:r>
      <w:r>
        <w:rPr>
          <w:spacing w:val="-4"/>
        </w:rPr>
        <w:t> </w:t>
      </w:r>
      <w:r>
        <w:rPr/>
        <w:t>limiting</w:t>
      </w:r>
      <w:r>
        <w:rPr>
          <w:spacing w:val="-7"/>
        </w:rPr>
        <w:t> </w:t>
      </w:r>
      <w:r>
        <w:rPr/>
        <w:t>it</w:t>
      </w:r>
      <w:r>
        <w:rPr>
          <w:spacing w:val="-4"/>
        </w:rPr>
        <w:t> </w:t>
      </w:r>
      <w:r>
        <w:rPr/>
        <w:t>where</w:t>
      </w:r>
      <w:r>
        <w:rPr>
          <w:spacing w:val="-5"/>
        </w:rPr>
        <w:t> </w:t>
      </w:r>
      <w:r>
        <w:rPr/>
        <w:t>the</w:t>
      </w:r>
      <w:r>
        <w:rPr>
          <w:spacing w:val="-7"/>
        </w:rPr>
        <w:t> </w:t>
      </w:r>
      <w:r>
        <w:rPr/>
        <w:t>residual</w:t>
      </w:r>
      <w:r>
        <w:rPr>
          <w:spacing w:val="-5"/>
        </w:rPr>
        <w:t> </w:t>
      </w:r>
      <w:r>
        <w:rPr/>
        <w:t>profit</w:t>
      </w:r>
      <w:r>
        <w:rPr>
          <w:spacing w:val="-5"/>
        </w:rPr>
        <w:t> </w:t>
      </w:r>
      <w:r>
        <w:rPr/>
        <w:t>of</w:t>
      </w:r>
      <w:r>
        <w:rPr>
          <w:spacing w:val="-5"/>
        </w:rPr>
        <w:t> </w:t>
      </w:r>
      <w:r>
        <w:rPr/>
        <w:t>the</w:t>
      </w:r>
      <w:r>
        <w:rPr>
          <w:spacing w:val="-6"/>
        </w:rPr>
        <w:t> </w:t>
      </w:r>
      <w:r>
        <w:rPr/>
        <w:t>MNE</w:t>
      </w:r>
      <w:r>
        <w:rPr>
          <w:spacing w:val="-4"/>
        </w:rPr>
        <w:t> </w:t>
      </w:r>
      <w:r>
        <w:rPr/>
        <w:t>group</w:t>
      </w:r>
      <w:r>
        <w:rPr>
          <w:spacing w:val="-5"/>
        </w:rPr>
        <w:t> </w:t>
      </w:r>
      <w:r>
        <w:rPr/>
        <w:t>is</w:t>
      </w:r>
      <w:r>
        <w:rPr>
          <w:spacing w:val="-5"/>
        </w:rPr>
        <w:t> </w:t>
      </w:r>
      <w:r>
        <w:rPr/>
        <w:t>already</w:t>
      </w:r>
      <w:r>
        <w:rPr>
          <w:spacing w:val="-6"/>
        </w:rPr>
        <w:t> </w:t>
      </w:r>
      <w:r>
        <w:rPr/>
        <w:t>taxed</w:t>
      </w:r>
      <w:r>
        <w:rPr>
          <w:spacing w:val="5"/>
        </w:rPr>
        <w:t> </w:t>
      </w:r>
      <w:r>
        <w:rPr/>
        <w:t>in that jurisdiction as a result of the existing profit allocation</w:t>
      </w:r>
      <w:r>
        <w:rPr>
          <w:spacing w:val="-8"/>
        </w:rPr>
        <w:t> </w:t>
      </w:r>
      <w:r>
        <w:rPr/>
        <w:t>rules.</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Under this approach, the basic mechanics of Amount A would be retained, and the formula itself would remain unchanged. A safe harbour return would be determined which would combine </w:t>
      </w:r>
      <w:r>
        <w:rPr>
          <w:spacing w:val="4"/>
          <w:sz w:val="20"/>
        </w:rPr>
        <w:t>the </w:t>
      </w:r>
      <w:r>
        <w:rPr>
          <w:sz w:val="20"/>
        </w:rPr>
        <w:t>residual profit that an MNE group would be expected to allocate to a market jurisdiction, with an additional fixed return</w:t>
      </w:r>
      <w:r>
        <w:rPr>
          <w:spacing w:val="-9"/>
          <w:sz w:val="20"/>
        </w:rPr>
        <w:t> </w:t>
      </w:r>
      <w:r>
        <w:rPr>
          <w:sz w:val="20"/>
        </w:rPr>
        <w:t>to</w:t>
      </w:r>
      <w:r>
        <w:rPr>
          <w:spacing w:val="-9"/>
          <w:sz w:val="20"/>
        </w:rPr>
        <w:t> </w:t>
      </w:r>
      <w:r>
        <w:rPr>
          <w:sz w:val="20"/>
        </w:rPr>
        <w:t>compensate</w:t>
      </w:r>
      <w:r>
        <w:rPr>
          <w:spacing w:val="-7"/>
          <w:sz w:val="20"/>
        </w:rPr>
        <w:t> </w:t>
      </w:r>
      <w:r>
        <w:rPr>
          <w:sz w:val="20"/>
        </w:rPr>
        <w:t>the</w:t>
      </w:r>
      <w:r>
        <w:rPr>
          <w:spacing w:val="-7"/>
          <w:sz w:val="20"/>
        </w:rPr>
        <w:t> </w:t>
      </w:r>
      <w:r>
        <w:rPr>
          <w:sz w:val="20"/>
        </w:rPr>
        <w:t>local</w:t>
      </w:r>
      <w:r>
        <w:rPr>
          <w:spacing w:val="-10"/>
          <w:sz w:val="20"/>
        </w:rPr>
        <w:t> </w:t>
      </w:r>
      <w:r>
        <w:rPr>
          <w:sz w:val="20"/>
        </w:rPr>
        <w:t>marketing</w:t>
      </w:r>
      <w:r>
        <w:rPr>
          <w:spacing w:val="-7"/>
          <w:sz w:val="20"/>
        </w:rPr>
        <w:t> </w:t>
      </w:r>
      <w:r>
        <w:rPr>
          <w:sz w:val="20"/>
        </w:rPr>
        <w:t>and</w:t>
      </w:r>
      <w:r>
        <w:rPr>
          <w:spacing w:val="-7"/>
          <w:sz w:val="20"/>
        </w:rPr>
        <w:t> </w:t>
      </w:r>
      <w:r>
        <w:rPr>
          <w:sz w:val="20"/>
        </w:rPr>
        <w:t>distribution</w:t>
      </w:r>
      <w:r>
        <w:rPr>
          <w:spacing w:val="-8"/>
          <w:sz w:val="20"/>
        </w:rPr>
        <w:t> </w:t>
      </w:r>
      <w:r>
        <w:rPr>
          <w:sz w:val="20"/>
        </w:rPr>
        <w:t>presence</w:t>
      </w:r>
      <w:r>
        <w:rPr>
          <w:spacing w:val="-7"/>
          <w:sz w:val="20"/>
        </w:rPr>
        <w:t> </w:t>
      </w:r>
      <w:r>
        <w:rPr>
          <w:sz w:val="20"/>
        </w:rPr>
        <w:t>(more</w:t>
      </w:r>
      <w:r>
        <w:rPr>
          <w:spacing w:val="-9"/>
          <w:sz w:val="20"/>
        </w:rPr>
        <w:t> </w:t>
      </w:r>
      <w:r>
        <w:rPr>
          <w:sz w:val="20"/>
        </w:rPr>
        <w:t>below).</w:t>
      </w:r>
      <w:r>
        <w:rPr>
          <w:spacing w:val="-6"/>
          <w:sz w:val="20"/>
        </w:rPr>
        <w:t> </w:t>
      </w:r>
      <w:r>
        <w:rPr>
          <w:sz w:val="20"/>
        </w:rPr>
        <w:t>The</w:t>
      </w:r>
      <w:r>
        <w:rPr>
          <w:spacing w:val="-9"/>
          <w:sz w:val="20"/>
        </w:rPr>
        <w:t> </w:t>
      </w:r>
      <w:r>
        <w:rPr>
          <w:sz w:val="20"/>
        </w:rPr>
        <w:t>safe</w:t>
      </w:r>
      <w:r>
        <w:rPr>
          <w:spacing w:val="-9"/>
          <w:sz w:val="20"/>
        </w:rPr>
        <w:t> </w:t>
      </w:r>
      <w:r>
        <w:rPr>
          <w:sz w:val="20"/>
        </w:rPr>
        <w:t>harbour</w:t>
      </w:r>
      <w:r>
        <w:rPr>
          <w:spacing w:val="-6"/>
          <w:sz w:val="20"/>
        </w:rPr>
        <w:t> </w:t>
      </w:r>
      <w:r>
        <w:rPr>
          <w:sz w:val="20"/>
        </w:rPr>
        <w:t>would recognise that there are two ways that residual profits relevant to Amount A could be allocated to the market</w:t>
      </w:r>
      <w:r>
        <w:rPr>
          <w:spacing w:val="-14"/>
          <w:sz w:val="20"/>
        </w:rPr>
        <w:t> </w:t>
      </w:r>
      <w:r>
        <w:rPr>
          <w:sz w:val="20"/>
        </w:rPr>
        <w:t>jurisdictions.</w:t>
      </w:r>
      <w:r>
        <w:rPr>
          <w:spacing w:val="-10"/>
          <w:sz w:val="20"/>
        </w:rPr>
        <w:t> </w:t>
      </w:r>
      <w:r>
        <w:rPr>
          <w:sz w:val="20"/>
        </w:rPr>
        <w:t>All</w:t>
      </w:r>
      <w:r>
        <w:rPr>
          <w:spacing w:val="-10"/>
          <w:sz w:val="20"/>
        </w:rPr>
        <w:t> </w:t>
      </w:r>
      <w:r>
        <w:rPr>
          <w:sz w:val="20"/>
        </w:rPr>
        <w:t>MNE</w:t>
      </w:r>
      <w:r>
        <w:rPr>
          <w:spacing w:val="-12"/>
          <w:sz w:val="20"/>
        </w:rPr>
        <w:t> </w:t>
      </w:r>
      <w:r>
        <w:rPr>
          <w:sz w:val="20"/>
        </w:rPr>
        <w:t>groups</w:t>
      </w:r>
      <w:r>
        <w:rPr>
          <w:spacing w:val="-8"/>
          <w:sz w:val="20"/>
        </w:rPr>
        <w:t> </w:t>
      </w:r>
      <w:r>
        <w:rPr>
          <w:sz w:val="20"/>
        </w:rPr>
        <w:t>would</w:t>
      </w:r>
      <w:r>
        <w:rPr>
          <w:spacing w:val="-12"/>
          <w:sz w:val="20"/>
        </w:rPr>
        <w:t> </w:t>
      </w:r>
      <w:r>
        <w:rPr>
          <w:sz w:val="20"/>
        </w:rPr>
        <w:t>calculate</w:t>
      </w:r>
      <w:r>
        <w:rPr>
          <w:spacing w:val="-10"/>
          <w:sz w:val="20"/>
        </w:rPr>
        <w:t> </w:t>
      </w:r>
      <w:r>
        <w:rPr>
          <w:sz w:val="20"/>
        </w:rPr>
        <w:t>Amount</w:t>
      </w:r>
      <w:r>
        <w:rPr>
          <w:spacing w:val="-12"/>
          <w:sz w:val="20"/>
        </w:rPr>
        <w:t> </w:t>
      </w:r>
      <w:r>
        <w:rPr>
          <w:sz w:val="20"/>
        </w:rPr>
        <w:t>A</w:t>
      </w:r>
      <w:r>
        <w:rPr>
          <w:spacing w:val="-12"/>
          <w:sz w:val="20"/>
        </w:rPr>
        <w:t> </w:t>
      </w:r>
      <w:r>
        <w:rPr>
          <w:sz w:val="20"/>
        </w:rPr>
        <w:t>and</w:t>
      </w:r>
      <w:r>
        <w:rPr>
          <w:spacing w:val="-7"/>
          <w:sz w:val="20"/>
        </w:rPr>
        <w:t> </w:t>
      </w:r>
      <w:r>
        <w:rPr>
          <w:sz w:val="20"/>
        </w:rPr>
        <w:t>would</w:t>
      </w:r>
      <w:r>
        <w:rPr>
          <w:spacing w:val="-10"/>
          <w:sz w:val="20"/>
        </w:rPr>
        <w:t> </w:t>
      </w:r>
      <w:r>
        <w:rPr>
          <w:sz w:val="20"/>
        </w:rPr>
        <w:t>then</w:t>
      </w:r>
      <w:r>
        <w:rPr>
          <w:spacing w:val="-12"/>
          <w:sz w:val="20"/>
        </w:rPr>
        <w:t> </w:t>
      </w:r>
      <w:r>
        <w:rPr>
          <w:sz w:val="20"/>
        </w:rPr>
        <w:t>either</w:t>
      </w:r>
      <w:r>
        <w:rPr>
          <w:spacing w:val="-10"/>
          <w:sz w:val="20"/>
        </w:rPr>
        <w:t> </w:t>
      </w:r>
      <w:r>
        <w:rPr>
          <w:sz w:val="20"/>
        </w:rPr>
        <w:t>benefit</w:t>
      </w:r>
      <w:r>
        <w:rPr>
          <w:spacing w:val="-11"/>
          <w:sz w:val="20"/>
        </w:rPr>
        <w:t> </w:t>
      </w:r>
      <w:r>
        <w:rPr>
          <w:sz w:val="20"/>
        </w:rPr>
        <w:t>from</w:t>
      </w:r>
      <w:r>
        <w:rPr>
          <w:spacing w:val="-7"/>
          <w:sz w:val="20"/>
        </w:rPr>
        <w:t> </w:t>
      </w:r>
      <w:r>
        <w:rPr>
          <w:sz w:val="20"/>
        </w:rPr>
        <w:t>the</w:t>
      </w:r>
      <w:r>
        <w:rPr>
          <w:spacing w:val="-12"/>
          <w:sz w:val="20"/>
        </w:rPr>
        <w:t> </w:t>
      </w:r>
      <w:r>
        <w:rPr>
          <w:sz w:val="20"/>
        </w:rPr>
        <w:t>safe harbour or pay Amount A through the new Amount A</w:t>
      </w:r>
      <w:r>
        <w:rPr>
          <w:spacing w:val="-10"/>
          <w:sz w:val="20"/>
        </w:rPr>
        <w:t> </w:t>
      </w:r>
      <w:r>
        <w:rPr>
          <w:sz w:val="20"/>
        </w:rPr>
        <w:t>system.</w:t>
      </w:r>
    </w:p>
    <w:p>
      <w:pPr>
        <w:pStyle w:val="BodyText"/>
      </w:pPr>
    </w:p>
    <w:p>
      <w:pPr>
        <w:pStyle w:val="Heading7"/>
        <w:spacing w:before="1"/>
        <w:rPr>
          <w:i/>
        </w:rPr>
      </w:pPr>
      <w:bookmarkStart w:name="How would this safe harbour work in prac" w:id="310"/>
      <w:bookmarkEnd w:id="310"/>
      <w:r>
        <w:rPr>
          <w:i w:val="0"/>
        </w:rPr>
      </w:r>
      <w:r>
        <w:rPr>
          <w:i/>
          <w:color w:val="616161"/>
        </w:rPr>
        <w:t>How would this safe harbour work in practice?</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Where a group has a taxable presence in a market jurisdiction conducting marketing and distribution</w:t>
      </w:r>
      <w:r>
        <w:rPr>
          <w:spacing w:val="-15"/>
          <w:sz w:val="20"/>
        </w:rPr>
        <w:t> </w:t>
      </w:r>
      <w:r>
        <w:rPr>
          <w:sz w:val="20"/>
        </w:rPr>
        <w:t>activities</w:t>
      </w:r>
      <w:r>
        <w:rPr>
          <w:spacing w:val="-15"/>
          <w:sz w:val="20"/>
        </w:rPr>
        <w:t> </w:t>
      </w:r>
      <w:r>
        <w:rPr>
          <w:sz w:val="20"/>
        </w:rPr>
        <w:t>connected</w:t>
      </w:r>
      <w:r>
        <w:rPr>
          <w:spacing w:val="-16"/>
          <w:sz w:val="20"/>
        </w:rPr>
        <w:t> </w:t>
      </w:r>
      <w:r>
        <w:rPr>
          <w:sz w:val="20"/>
        </w:rPr>
        <w:t>to</w:t>
      </w:r>
      <w:r>
        <w:rPr>
          <w:spacing w:val="-14"/>
          <w:sz w:val="20"/>
        </w:rPr>
        <w:t> </w:t>
      </w:r>
      <w:r>
        <w:rPr>
          <w:sz w:val="20"/>
        </w:rPr>
        <w:t>locally</w:t>
      </w:r>
      <w:r>
        <w:rPr>
          <w:spacing w:val="-19"/>
          <w:sz w:val="20"/>
        </w:rPr>
        <w:t> </w:t>
      </w:r>
      <w:r>
        <w:rPr>
          <w:sz w:val="20"/>
        </w:rPr>
        <w:t>sourced</w:t>
      </w:r>
      <w:r>
        <w:rPr>
          <w:spacing w:val="-14"/>
          <w:sz w:val="20"/>
        </w:rPr>
        <w:t> </w:t>
      </w:r>
      <w:r>
        <w:rPr>
          <w:sz w:val="20"/>
        </w:rPr>
        <w:t>in-scope</w:t>
      </w:r>
      <w:r>
        <w:rPr>
          <w:spacing w:val="-16"/>
          <w:sz w:val="20"/>
        </w:rPr>
        <w:t> </w:t>
      </w:r>
      <w:r>
        <w:rPr>
          <w:sz w:val="20"/>
        </w:rPr>
        <w:t>revenue</w:t>
      </w:r>
      <w:r>
        <w:rPr>
          <w:spacing w:val="-14"/>
          <w:sz w:val="20"/>
        </w:rPr>
        <w:t> </w:t>
      </w:r>
      <w:r>
        <w:rPr>
          <w:sz w:val="20"/>
        </w:rPr>
        <w:t>(either</w:t>
      </w:r>
      <w:r>
        <w:rPr>
          <w:spacing w:val="-13"/>
          <w:sz w:val="20"/>
        </w:rPr>
        <w:t> </w:t>
      </w:r>
      <w:r>
        <w:rPr>
          <w:sz w:val="20"/>
        </w:rPr>
        <w:t>a</w:t>
      </w:r>
      <w:r>
        <w:rPr>
          <w:spacing w:val="-16"/>
          <w:sz w:val="20"/>
        </w:rPr>
        <w:t> </w:t>
      </w:r>
      <w:r>
        <w:rPr>
          <w:sz w:val="20"/>
        </w:rPr>
        <w:t>resident</w:t>
      </w:r>
      <w:r>
        <w:rPr>
          <w:spacing w:val="-16"/>
          <w:sz w:val="20"/>
        </w:rPr>
        <w:t> </w:t>
      </w:r>
      <w:r>
        <w:rPr>
          <w:sz w:val="20"/>
        </w:rPr>
        <w:t>entity</w:t>
      </w:r>
      <w:r>
        <w:rPr>
          <w:spacing w:val="-17"/>
          <w:sz w:val="20"/>
        </w:rPr>
        <w:t> </w:t>
      </w:r>
      <w:r>
        <w:rPr>
          <w:sz w:val="20"/>
        </w:rPr>
        <w:t>or</w:t>
      </w:r>
      <w:r>
        <w:rPr>
          <w:spacing w:val="-15"/>
          <w:sz w:val="20"/>
        </w:rPr>
        <w:t> </w:t>
      </w:r>
      <w:r>
        <w:rPr>
          <w:sz w:val="20"/>
        </w:rPr>
        <w:t>a</w:t>
      </w:r>
      <w:r>
        <w:rPr>
          <w:spacing w:val="-14"/>
          <w:sz w:val="20"/>
        </w:rPr>
        <w:t> </w:t>
      </w:r>
      <w:r>
        <w:rPr>
          <w:sz w:val="20"/>
        </w:rPr>
        <w:t>permanent establishment), the group would determine the profits allocated to the market jurisdiction under existing profit allocation rules for the performance of these marketing and distribution activities (the “existing marketing and distribution profit”).</w:t>
      </w:r>
      <w:r>
        <w:rPr>
          <w:position w:val="6"/>
          <w:sz w:val="13"/>
        </w:rPr>
        <w:t>105 </w:t>
      </w:r>
      <w:r>
        <w:rPr>
          <w:sz w:val="20"/>
        </w:rPr>
        <w:t>The MNE group would then compare the existing marketing and distribution profit with the “safe harbour return”, which would be the sum of two</w:t>
      </w:r>
      <w:r>
        <w:rPr>
          <w:spacing w:val="-22"/>
          <w:sz w:val="20"/>
        </w:rPr>
        <w:t> </w:t>
      </w:r>
      <w:r>
        <w:rPr>
          <w:sz w:val="20"/>
        </w:rPr>
        <w:t>components:</w:t>
      </w:r>
    </w:p>
    <w:p>
      <w:pPr>
        <w:pStyle w:val="ListParagraph"/>
        <w:numPr>
          <w:ilvl w:val="0"/>
          <w:numId w:val="67"/>
        </w:numPr>
        <w:tabs>
          <w:tab w:pos="1403" w:val="left" w:leader="none"/>
        </w:tabs>
        <w:spacing w:line="240" w:lineRule="auto" w:before="100" w:after="0"/>
        <w:ind w:left="1402" w:right="0" w:hanging="339"/>
        <w:jc w:val="both"/>
        <w:rPr>
          <w:sz w:val="20"/>
        </w:rPr>
      </w:pPr>
      <w:r>
        <w:rPr>
          <w:sz w:val="20"/>
        </w:rPr>
        <w:t>Amount A, as computed under the Amount A formula;</w:t>
      </w:r>
      <w:r>
        <w:rPr>
          <w:spacing w:val="-4"/>
          <w:sz w:val="20"/>
        </w:rPr>
        <w:t> </w:t>
      </w:r>
      <w:r>
        <w:rPr>
          <w:sz w:val="20"/>
        </w:rPr>
        <w:t>and</w:t>
      </w:r>
    </w:p>
    <w:p>
      <w:pPr>
        <w:pStyle w:val="ListParagraph"/>
        <w:numPr>
          <w:ilvl w:val="0"/>
          <w:numId w:val="67"/>
        </w:numPr>
        <w:tabs>
          <w:tab w:pos="1403" w:val="left" w:leader="none"/>
        </w:tabs>
        <w:spacing w:line="268" w:lineRule="auto" w:before="74" w:after="0"/>
        <w:ind w:left="1402" w:right="485" w:hanging="339"/>
        <w:jc w:val="both"/>
        <w:rPr>
          <w:sz w:val="20"/>
        </w:rPr>
      </w:pPr>
      <w:r>
        <w:rPr>
          <w:sz w:val="20"/>
        </w:rPr>
        <w:t>A fixed return for in-country routine marketing and distribution activities, which could include a regional, and industry</w:t>
      </w:r>
      <w:r>
        <w:rPr>
          <w:spacing w:val="-6"/>
          <w:sz w:val="20"/>
        </w:rPr>
        <w:t> </w:t>
      </w:r>
      <w:r>
        <w:rPr>
          <w:sz w:val="20"/>
        </w:rPr>
        <w:t>uplift.</w:t>
      </w:r>
    </w:p>
    <w:p>
      <w:pPr>
        <w:pStyle w:val="ListParagraph"/>
        <w:numPr>
          <w:ilvl w:val="0"/>
          <w:numId w:val="13"/>
        </w:numPr>
        <w:tabs>
          <w:tab w:pos="1444" w:val="left" w:leader="none"/>
        </w:tabs>
        <w:spacing w:line="271" w:lineRule="auto" w:before="130" w:after="0"/>
        <w:ind w:left="723" w:right="488" w:firstLine="0"/>
        <w:jc w:val="both"/>
        <w:rPr>
          <w:sz w:val="20"/>
        </w:rPr>
      </w:pPr>
      <w:r>
        <w:rPr>
          <w:sz w:val="20"/>
        </w:rPr>
        <w:t>The safe harbour return represents the cap, by reference to which the quantum of Amount A allocated to a market jurisdiction will potentially be adjusted. It would be applied by an MNE group on a market-by-market basis and would give rise to three possible</w:t>
      </w:r>
      <w:r>
        <w:rPr>
          <w:spacing w:val="-7"/>
          <w:sz w:val="20"/>
        </w:rPr>
        <w:t> </w:t>
      </w:r>
      <w:r>
        <w:rPr>
          <w:sz w:val="20"/>
        </w:rPr>
        <w:t>outcomes:</w:t>
      </w:r>
    </w:p>
    <w:p>
      <w:pPr>
        <w:pStyle w:val="ListParagraph"/>
        <w:numPr>
          <w:ilvl w:val="1"/>
          <w:numId w:val="13"/>
        </w:numPr>
        <w:tabs>
          <w:tab w:pos="1403" w:val="left" w:leader="none"/>
        </w:tabs>
        <w:spacing w:line="266" w:lineRule="auto" w:before="100" w:after="0"/>
        <w:ind w:left="1402" w:right="481" w:hanging="339"/>
        <w:jc w:val="both"/>
        <w:rPr>
          <w:sz w:val="20"/>
        </w:rPr>
      </w:pPr>
      <w:r>
        <w:rPr>
          <w:sz w:val="20"/>
        </w:rPr>
        <w:t>Where the existing marketing and distribution profit is lower than the fixed return, the MNE group will not be eligible for the safe</w:t>
      </w:r>
      <w:r>
        <w:rPr>
          <w:spacing w:val="-8"/>
          <w:sz w:val="20"/>
        </w:rPr>
        <w:t> </w:t>
      </w:r>
      <w:r>
        <w:rPr>
          <w:sz w:val="20"/>
        </w:rPr>
        <w:t>harbour;</w:t>
      </w:r>
    </w:p>
    <w:p>
      <w:pPr>
        <w:pStyle w:val="ListParagraph"/>
        <w:numPr>
          <w:ilvl w:val="1"/>
          <w:numId w:val="13"/>
        </w:numPr>
        <w:tabs>
          <w:tab w:pos="1403" w:val="left" w:leader="none"/>
        </w:tabs>
        <w:spacing w:line="271" w:lineRule="auto" w:before="54" w:after="0"/>
        <w:ind w:left="1402" w:right="483" w:hanging="339"/>
        <w:jc w:val="both"/>
        <w:rPr>
          <w:sz w:val="20"/>
        </w:rPr>
      </w:pPr>
      <w:r>
        <w:rPr>
          <w:sz w:val="20"/>
        </w:rPr>
        <w:t>Where the existing marketing and distribution profit exceeds the fixed return, but falls below the safe harbour return, the quantum of Amount A allocated to that jurisdiction would be reduced to the difference between the safe harbour return and the profit already allocated to the local presence;</w:t>
      </w:r>
      <w:r>
        <w:rPr>
          <w:spacing w:val="-3"/>
          <w:sz w:val="20"/>
        </w:rPr>
        <w:t> </w:t>
      </w:r>
      <w:r>
        <w:rPr>
          <w:sz w:val="20"/>
        </w:rPr>
        <w:t>and</w:t>
      </w:r>
    </w:p>
    <w:p>
      <w:pPr>
        <w:pStyle w:val="ListParagraph"/>
        <w:numPr>
          <w:ilvl w:val="1"/>
          <w:numId w:val="13"/>
        </w:numPr>
        <w:tabs>
          <w:tab w:pos="1403" w:val="left" w:leader="none"/>
        </w:tabs>
        <w:spacing w:line="266" w:lineRule="auto" w:before="42" w:after="0"/>
        <w:ind w:left="1402" w:right="486" w:hanging="339"/>
        <w:jc w:val="both"/>
        <w:rPr>
          <w:sz w:val="20"/>
        </w:rPr>
      </w:pPr>
      <w:r>
        <w:rPr>
          <w:sz w:val="20"/>
        </w:rPr>
        <w:t>Where</w:t>
      </w:r>
      <w:r>
        <w:rPr>
          <w:spacing w:val="-6"/>
          <w:sz w:val="20"/>
        </w:rPr>
        <w:t> </w:t>
      </w:r>
      <w:r>
        <w:rPr>
          <w:sz w:val="20"/>
        </w:rPr>
        <w:t>the</w:t>
      </w:r>
      <w:r>
        <w:rPr>
          <w:spacing w:val="-7"/>
          <w:sz w:val="20"/>
        </w:rPr>
        <w:t> </w:t>
      </w:r>
      <w:r>
        <w:rPr>
          <w:sz w:val="20"/>
        </w:rPr>
        <w:t>existing</w:t>
      </w:r>
      <w:r>
        <w:rPr>
          <w:spacing w:val="-7"/>
          <w:sz w:val="20"/>
        </w:rPr>
        <w:t> </w:t>
      </w:r>
      <w:r>
        <w:rPr>
          <w:sz w:val="20"/>
        </w:rPr>
        <w:t>marketing</w:t>
      </w:r>
      <w:r>
        <w:rPr>
          <w:spacing w:val="-7"/>
          <w:sz w:val="20"/>
        </w:rPr>
        <w:t> </w:t>
      </w:r>
      <w:r>
        <w:rPr>
          <w:sz w:val="20"/>
        </w:rPr>
        <w:t>and</w:t>
      </w:r>
      <w:r>
        <w:rPr>
          <w:spacing w:val="-7"/>
          <w:sz w:val="20"/>
        </w:rPr>
        <w:t> </w:t>
      </w:r>
      <w:r>
        <w:rPr>
          <w:sz w:val="20"/>
        </w:rPr>
        <w:t>distribution</w:t>
      </w:r>
      <w:r>
        <w:rPr>
          <w:spacing w:val="-7"/>
          <w:sz w:val="20"/>
        </w:rPr>
        <w:t> </w:t>
      </w:r>
      <w:r>
        <w:rPr>
          <w:sz w:val="20"/>
        </w:rPr>
        <w:t>profit</w:t>
      </w:r>
      <w:r>
        <w:rPr>
          <w:spacing w:val="-3"/>
          <w:sz w:val="20"/>
        </w:rPr>
        <w:t> </w:t>
      </w:r>
      <w:r>
        <w:rPr>
          <w:sz w:val="20"/>
        </w:rPr>
        <w:t>exceeds</w:t>
      </w:r>
      <w:r>
        <w:rPr>
          <w:spacing w:val="-5"/>
          <w:sz w:val="20"/>
        </w:rPr>
        <w:t> </w:t>
      </w:r>
      <w:r>
        <w:rPr>
          <w:sz w:val="20"/>
        </w:rPr>
        <w:t>the</w:t>
      </w:r>
      <w:r>
        <w:rPr>
          <w:spacing w:val="-7"/>
          <w:sz w:val="20"/>
        </w:rPr>
        <w:t> </w:t>
      </w:r>
      <w:r>
        <w:rPr>
          <w:sz w:val="20"/>
        </w:rPr>
        <w:t>safe</w:t>
      </w:r>
      <w:r>
        <w:rPr>
          <w:spacing w:val="-7"/>
          <w:sz w:val="20"/>
        </w:rPr>
        <w:t> </w:t>
      </w:r>
      <w:r>
        <w:rPr>
          <w:sz w:val="20"/>
        </w:rPr>
        <w:t>harbour</w:t>
      </w:r>
      <w:r>
        <w:rPr>
          <w:spacing w:val="-6"/>
          <w:sz w:val="20"/>
        </w:rPr>
        <w:t> </w:t>
      </w:r>
      <w:r>
        <w:rPr>
          <w:sz w:val="20"/>
        </w:rPr>
        <w:t>return,</w:t>
      </w:r>
      <w:r>
        <w:rPr>
          <w:spacing w:val="-7"/>
          <w:sz w:val="20"/>
        </w:rPr>
        <w:t> </w:t>
      </w:r>
      <w:r>
        <w:rPr>
          <w:sz w:val="20"/>
        </w:rPr>
        <w:t>no</w:t>
      </w:r>
      <w:r>
        <w:rPr>
          <w:spacing w:val="-7"/>
          <w:sz w:val="20"/>
        </w:rPr>
        <w:t> </w:t>
      </w:r>
      <w:r>
        <w:rPr>
          <w:sz w:val="20"/>
        </w:rPr>
        <w:t>Amount</w:t>
      </w:r>
      <w:r>
        <w:rPr>
          <w:spacing w:val="-7"/>
          <w:sz w:val="20"/>
        </w:rPr>
        <w:t> </w:t>
      </w:r>
      <w:r>
        <w:rPr>
          <w:sz w:val="20"/>
        </w:rPr>
        <w:t>A would be allocated to that</w:t>
      </w:r>
      <w:r>
        <w:rPr>
          <w:spacing w:val="-5"/>
          <w:sz w:val="20"/>
        </w:rPr>
        <w:t> </w:t>
      </w:r>
      <w:r>
        <w:rPr>
          <w:sz w:val="20"/>
        </w:rPr>
        <w:t>jurisdiction.</w:t>
      </w:r>
    </w:p>
    <w:p>
      <w:pPr>
        <w:pStyle w:val="ListParagraph"/>
        <w:numPr>
          <w:ilvl w:val="0"/>
          <w:numId w:val="13"/>
        </w:numPr>
        <w:tabs>
          <w:tab w:pos="1444" w:val="left" w:leader="none"/>
        </w:tabs>
        <w:spacing w:line="271" w:lineRule="auto" w:before="134" w:after="0"/>
        <w:ind w:left="723" w:right="481" w:firstLine="0"/>
        <w:jc w:val="both"/>
        <w:rPr>
          <w:sz w:val="20"/>
        </w:rPr>
      </w:pPr>
      <w:r>
        <w:rPr>
          <w:sz w:val="20"/>
        </w:rPr>
        <w:t>In situations where an MNE group is eligible for the safe harbour in a market jurisdiction (second and third scenario above), it should be noted that it is possible that an entity resident in that jurisdiction may</w:t>
      </w:r>
      <w:r>
        <w:rPr>
          <w:spacing w:val="-13"/>
          <w:sz w:val="20"/>
        </w:rPr>
        <w:t> </w:t>
      </w:r>
      <w:r>
        <w:rPr>
          <w:sz w:val="20"/>
        </w:rPr>
        <w:t>still</w:t>
      </w:r>
      <w:r>
        <w:rPr>
          <w:spacing w:val="-7"/>
          <w:sz w:val="20"/>
        </w:rPr>
        <w:t> </w:t>
      </w:r>
      <w:r>
        <w:rPr>
          <w:sz w:val="20"/>
        </w:rPr>
        <w:t>be</w:t>
      </w:r>
      <w:r>
        <w:rPr>
          <w:spacing w:val="-6"/>
          <w:sz w:val="20"/>
        </w:rPr>
        <w:t> </w:t>
      </w:r>
      <w:r>
        <w:rPr>
          <w:sz w:val="20"/>
        </w:rPr>
        <w:t>identified</w:t>
      </w:r>
      <w:r>
        <w:rPr>
          <w:spacing w:val="-7"/>
          <w:sz w:val="20"/>
        </w:rPr>
        <w:t> </w:t>
      </w:r>
      <w:r>
        <w:rPr>
          <w:sz w:val="20"/>
        </w:rPr>
        <w:t>as</w:t>
      </w:r>
      <w:r>
        <w:rPr>
          <w:spacing w:val="-6"/>
          <w:sz w:val="20"/>
        </w:rPr>
        <w:t> </w:t>
      </w:r>
      <w:r>
        <w:rPr>
          <w:sz w:val="20"/>
        </w:rPr>
        <w:t>a</w:t>
      </w:r>
      <w:r>
        <w:rPr>
          <w:spacing w:val="-6"/>
          <w:sz w:val="20"/>
        </w:rPr>
        <w:t> </w:t>
      </w:r>
      <w:r>
        <w:rPr>
          <w:sz w:val="20"/>
        </w:rPr>
        <w:t>paying</w:t>
      </w:r>
      <w:r>
        <w:rPr>
          <w:spacing w:val="-7"/>
          <w:sz w:val="20"/>
        </w:rPr>
        <w:t> </w:t>
      </w:r>
      <w:r>
        <w:rPr>
          <w:sz w:val="20"/>
        </w:rPr>
        <w:t>entity</w:t>
      </w:r>
      <w:r>
        <w:rPr>
          <w:spacing w:val="-11"/>
          <w:sz w:val="20"/>
        </w:rPr>
        <w:t> </w:t>
      </w:r>
      <w:r>
        <w:rPr>
          <w:sz w:val="20"/>
        </w:rPr>
        <w:t>for</w:t>
      </w:r>
      <w:r>
        <w:rPr>
          <w:spacing w:val="-6"/>
          <w:sz w:val="20"/>
        </w:rPr>
        <w:t> </w:t>
      </w:r>
      <w:r>
        <w:rPr>
          <w:sz w:val="20"/>
        </w:rPr>
        <w:t>Amount</w:t>
      </w:r>
      <w:r>
        <w:rPr>
          <w:spacing w:val="-7"/>
          <w:sz w:val="20"/>
        </w:rPr>
        <w:t> </w:t>
      </w:r>
      <w:r>
        <w:rPr>
          <w:sz w:val="20"/>
        </w:rPr>
        <w:t>A</w:t>
      </w:r>
      <w:r>
        <w:rPr>
          <w:spacing w:val="-6"/>
          <w:sz w:val="20"/>
        </w:rPr>
        <w:t> </w:t>
      </w:r>
      <w:r>
        <w:rPr>
          <w:sz w:val="20"/>
        </w:rPr>
        <w:t>allocated</w:t>
      </w:r>
      <w:r>
        <w:rPr>
          <w:spacing w:val="-7"/>
          <w:sz w:val="20"/>
        </w:rPr>
        <w:t> </w:t>
      </w:r>
      <w:r>
        <w:rPr>
          <w:sz w:val="20"/>
        </w:rPr>
        <w:t>to</w:t>
      </w:r>
      <w:r>
        <w:rPr>
          <w:spacing w:val="-7"/>
          <w:sz w:val="20"/>
        </w:rPr>
        <w:t> </w:t>
      </w:r>
      <w:r>
        <w:rPr>
          <w:sz w:val="20"/>
        </w:rPr>
        <w:t>other</w:t>
      </w:r>
      <w:r>
        <w:rPr>
          <w:spacing w:val="-7"/>
          <w:sz w:val="20"/>
        </w:rPr>
        <w:t> </w:t>
      </w:r>
      <w:r>
        <w:rPr>
          <w:sz w:val="20"/>
        </w:rPr>
        <w:t>jurisdictions</w:t>
      </w:r>
      <w:r>
        <w:rPr>
          <w:spacing w:val="1"/>
          <w:sz w:val="20"/>
        </w:rPr>
        <w:t> </w:t>
      </w:r>
      <w:r>
        <w:rPr>
          <w:sz w:val="20"/>
        </w:rPr>
        <w:t>under</w:t>
      </w:r>
      <w:r>
        <w:rPr>
          <w:spacing w:val="-8"/>
          <w:sz w:val="20"/>
        </w:rPr>
        <w:t> </w:t>
      </w:r>
      <w:r>
        <w:rPr>
          <w:sz w:val="20"/>
        </w:rPr>
        <w:t>the</w:t>
      </w:r>
      <w:r>
        <w:rPr>
          <w:spacing w:val="-7"/>
          <w:sz w:val="20"/>
        </w:rPr>
        <w:t> </w:t>
      </w:r>
      <w:r>
        <w:rPr>
          <w:sz w:val="20"/>
        </w:rPr>
        <w:t>mechanism to eliminate double taxation if the other rules and requirements articulated in the Section </w:t>
      </w:r>
      <w:hyperlink w:history="true" w:anchor="_bookmark53">
        <w:r>
          <w:rPr>
            <w:sz w:val="20"/>
          </w:rPr>
          <w:t>7.2, </w:t>
        </w:r>
      </w:hyperlink>
      <w:r>
        <w:rPr>
          <w:sz w:val="20"/>
        </w:rPr>
        <w:t>including potentially the market connection priority test, are</w:t>
      </w:r>
      <w:r>
        <w:rPr>
          <w:spacing w:val="-10"/>
          <w:sz w:val="20"/>
        </w:rPr>
        <w:t> </w:t>
      </w:r>
      <w:r>
        <w:rPr>
          <w:sz w:val="20"/>
        </w:rPr>
        <w:t>met.</w:t>
      </w:r>
    </w:p>
    <w:p>
      <w:pPr>
        <w:pStyle w:val="ListParagraph"/>
        <w:numPr>
          <w:ilvl w:val="0"/>
          <w:numId w:val="13"/>
        </w:numPr>
        <w:tabs>
          <w:tab w:pos="1444" w:val="left" w:leader="none"/>
        </w:tabs>
        <w:spacing w:line="273" w:lineRule="auto" w:before="120" w:after="0"/>
        <w:ind w:left="723" w:right="487" w:firstLine="0"/>
        <w:jc w:val="both"/>
        <w:rPr>
          <w:sz w:val="20"/>
        </w:rPr>
      </w:pPr>
      <w:r>
        <w:rPr>
          <w:sz w:val="20"/>
        </w:rPr>
        <w:t>Further, in-scope MNE groups that, for commercial reasons (given their particular business models), operate without an existing taxable presence in a market jurisdiction or only allocate a</w:t>
      </w:r>
      <w:r>
        <w:rPr>
          <w:spacing w:val="1"/>
          <w:sz w:val="20"/>
        </w:rPr>
        <w:t> </w:t>
      </w:r>
      <w:r>
        <w:rPr>
          <w:sz w:val="20"/>
        </w:rPr>
        <w:t>relatively</w:t>
      </w:r>
    </w:p>
    <w:p>
      <w:pPr>
        <w:pStyle w:val="BodyText"/>
        <w:spacing w:before="5"/>
        <w:rPr>
          <w:sz w:val="28"/>
        </w:rPr>
      </w:pPr>
      <w:r>
        <w:rPr/>
        <w:pict>
          <v:rect style="position:absolute;margin-left:65.183998pt;margin-top:18.34161pt;width:144.020004pt;height:.60004pt;mso-position-horizontal-relative:page;mso-position-vertical-relative:paragraph;z-index:-1565747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995" w:val="left" w:leader="none"/>
        </w:tabs>
        <w:spacing w:line="278" w:lineRule="auto" w:before="94" w:after="0"/>
        <w:ind w:left="723" w:right="480" w:firstLine="0"/>
        <w:jc w:val="both"/>
        <w:rPr>
          <w:sz w:val="18"/>
        </w:rPr>
      </w:pPr>
      <w:r>
        <w:rPr>
          <w:sz w:val="18"/>
        </w:rPr>
        <w:t>Where</w:t>
      </w:r>
      <w:r>
        <w:rPr>
          <w:spacing w:val="-9"/>
          <w:sz w:val="18"/>
        </w:rPr>
        <w:t> </w:t>
      </w:r>
      <w:r>
        <w:rPr>
          <w:sz w:val="18"/>
        </w:rPr>
        <w:t>a</w:t>
      </w:r>
      <w:r>
        <w:rPr>
          <w:spacing w:val="-9"/>
          <w:sz w:val="18"/>
        </w:rPr>
        <w:t> </w:t>
      </w:r>
      <w:r>
        <w:rPr>
          <w:sz w:val="18"/>
        </w:rPr>
        <w:t>market</w:t>
      </w:r>
      <w:r>
        <w:rPr>
          <w:spacing w:val="-7"/>
          <w:sz w:val="18"/>
        </w:rPr>
        <w:t> </w:t>
      </w:r>
      <w:r>
        <w:rPr>
          <w:sz w:val="18"/>
        </w:rPr>
        <w:t>jurisdiction</w:t>
      </w:r>
      <w:r>
        <w:rPr>
          <w:spacing w:val="-6"/>
          <w:sz w:val="18"/>
        </w:rPr>
        <w:t> </w:t>
      </w:r>
      <w:r>
        <w:rPr>
          <w:sz w:val="18"/>
        </w:rPr>
        <w:t>is</w:t>
      </w:r>
      <w:r>
        <w:rPr>
          <w:spacing w:val="-8"/>
          <w:sz w:val="18"/>
        </w:rPr>
        <w:t> </w:t>
      </w:r>
      <w:r>
        <w:rPr>
          <w:sz w:val="18"/>
        </w:rPr>
        <w:t>allocated</w:t>
      </w:r>
      <w:r>
        <w:rPr>
          <w:spacing w:val="-6"/>
          <w:sz w:val="18"/>
        </w:rPr>
        <w:t> </w:t>
      </w:r>
      <w:r>
        <w:rPr>
          <w:sz w:val="18"/>
        </w:rPr>
        <w:t>profits</w:t>
      </w:r>
      <w:r>
        <w:rPr>
          <w:spacing w:val="-6"/>
          <w:sz w:val="18"/>
        </w:rPr>
        <w:t> </w:t>
      </w:r>
      <w:r>
        <w:rPr>
          <w:sz w:val="18"/>
        </w:rPr>
        <w:t>for</w:t>
      </w:r>
      <w:r>
        <w:rPr>
          <w:spacing w:val="-9"/>
          <w:sz w:val="18"/>
        </w:rPr>
        <w:t> </w:t>
      </w:r>
      <w:r>
        <w:rPr>
          <w:sz w:val="18"/>
        </w:rPr>
        <w:t>other</w:t>
      </w:r>
      <w:r>
        <w:rPr>
          <w:spacing w:val="-7"/>
          <w:sz w:val="18"/>
        </w:rPr>
        <w:t> </w:t>
      </w:r>
      <w:r>
        <w:rPr>
          <w:sz w:val="18"/>
        </w:rPr>
        <w:t>activities,</w:t>
      </w:r>
      <w:r>
        <w:rPr>
          <w:spacing w:val="-9"/>
          <w:sz w:val="18"/>
        </w:rPr>
        <w:t> </w:t>
      </w:r>
      <w:r>
        <w:rPr>
          <w:sz w:val="18"/>
        </w:rPr>
        <w:t>e.g.</w:t>
      </w:r>
      <w:r>
        <w:rPr>
          <w:spacing w:val="-6"/>
          <w:sz w:val="18"/>
        </w:rPr>
        <w:t> </w:t>
      </w:r>
      <w:r>
        <w:rPr>
          <w:sz w:val="18"/>
        </w:rPr>
        <w:t>manufacturing,</w:t>
      </w:r>
      <w:r>
        <w:rPr>
          <w:spacing w:val="-7"/>
          <w:sz w:val="18"/>
        </w:rPr>
        <w:t> </w:t>
      </w:r>
      <w:r>
        <w:rPr>
          <w:sz w:val="18"/>
        </w:rPr>
        <w:t>or</w:t>
      </w:r>
      <w:r>
        <w:rPr>
          <w:spacing w:val="-9"/>
          <w:sz w:val="18"/>
        </w:rPr>
        <w:t> </w:t>
      </w:r>
      <w:r>
        <w:rPr>
          <w:sz w:val="18"/>
        </w:rPr>
        <w:t>marketing</w:t>
      </w:r>
      <w:r>
        <w:rPr>
          <w:spacing w:val="-6"/>
          <w:sz w:val="18"/>
        </w:rPr>
        <w:t> </w:t>
      </w:r>
      <w:r>
        <w:rPr>
          <w:sz w:val="18"/>
        </w:rPr>
        <w:t>and</w:t>
      </w:r>
      <w:r>
        <w:rPr>
          <w:spacing w:val="-6"/>
          <w:sz w:val="18"/>
        </w:rPr>
        <w:t> </w:t>
      </w:r>
      <w:r>
        <w:rPr>
          <w:sz w:val="18"/>
        </w:rPr>
        <w:t>distribution activities relating to out-of-scope revenue, this would not be taken into account for the purposes of the safe harbour. Further</w:t>
      </w:r>
      <w:r>
        <w:rPr>
          <w:spacing w:val="-13"/>
          <w:sz w:val="18"/>
        </w:rPr>
        <w:t> </w:t>
      </w:r>
      <w:r>
        <w:rPr>
          <w:sz w:val="18"/>
        </w:rPr>
        <w:t>rules</w:t>
      </w:r>
      <w:r>
        <w:rPr>
          <w:spacing w:val="-11"/>
          <w:sz w:val="18"/>
        </w:rPr>
        <w:t> </w:t>
      </w:r>
      <w:r>
        <w:rPr>
          <w:sz w:val="18"/>
        </w:rPr>
        <w:t>may</w:t>
      </w:r>
      <w:r>
        <w:rPr>
          <w:spacing w:val="-13"/>
          <w:sz w:val="18"/>
        </w:rPr>
        <w:t> </w:t>
      </w:r>
      <w:r>
        <w:rPr>
          <w:sz w:val="18"/>
        </w:rPr>
        <w:t>be</w:t>
      </w:r>
      <w:r>
        <w:rPr>
          <w:spacing w:val="-12"/>
          <w:sz w:val="18"/>
        </w:rPr>
        <w:t> </w:t>
      </w:r>
      <w:r>
        <w:rPr>
          <w:sz w:val="18"/>
        </w:rPr>
        <w:t>required</w:t>
      </w:r>
      <w:r>
        <w:rPr>
          <w:spacing w:val="-11"/>
          <w:sz w:val="18"/>
        </w:rPr>
        <w:t> </w:t>
      </w:r>
      <w:r>
        <w:rPr>
          <w:sz w:val="18"/>
        </w:rPr>
        <w:t>to</w:t>
      </w:r>
      <w:r>
        <w:rPr>
          <w:spacing w:val="-11"/>
          <w:sz w:val="18"/>
        </w:rPr>
        <w:t> </w:t>
      </w:r>
      <w:r>
        <w:rPr>
          <w:sz w:val="18"/>
        </w:rPr>
        <w:t>determine</w:t>
      </w:r>
      <w:r>
        <w:rPr>
          <w:spacing w:val="-11"/>
          <w:sz w:val="18"/>
        </w:rPr>
        <w:t> </w:t>
      </w:r>
      <w:r>
        <w:rPr>
          <w:sz w:val="18"/>
        </w:rPr>
        <w:t>the</w:t>
      </w:r>
      <w:r>
        <w:rPr>
          <w:spacing w:val="-11"/>
          <w:sz w:val="18"/>
        </w:rPr>
        <w:t> </w:t>
      </w:r>
      <w:r>
        <w:rPr>
          <w:sz w:val="18"/>
        </w:rPr>
        <w:t>existing</w:t>
      </w:r>
      <w:r>
        <w:rPr>
          <w:spacing w:val="-14"/>
          <w:sz w:val="18"/>
        </w:rPr>
        <w:t> </w:t>
      </w:r>
      <w:r>
        <w:rPr>
          <w:sz w:val="18"/>
        </w:rPr>
        <w:t>marketing</w:t>
      </w:r>
      <w:r>
        <w:rPr>
          <w:spacing w:val="-11"/>
          <w:sz w:val="18"/>
        </w:rPr>
        <w:t> </w:t>
      </w:r>
      <w:r>
        <w:rPr>
          <w:sz w:val="18"/>
        </w:rPr>
        <w:t>and</w:t>
      </w:r>
      <w:r>
        <w:rPr>
          <w:spacing w:val="-12"/>
          <w:sz w:val="18"/>
        </w:rPr>
        <w:t> </w:t>
      </w:r>
      <w:r>
        <w:rPr>
          <w:sz w:val="18"/>
        </w:rPr>
        <w:t>distribution</w:t>
      </w:r>
      <w:r>
        <w:rPr>
          <w:spacing w:val="-11"/>
          <w:sz w:val="18"/>
        </w:rPr>
        <w:t> </w:t>
      </w:r>
      <w:r>
        <w:rPr>
          <w:sz w:val="18"/>
        </w:rPr>
        <w:t>profit</w:t>
      </w:r>
      <w:r>
        <w:rPr>
          <w:spacing w:val="-8"/>
          <w:sz w:val="18"/>
        </w:rPr>
        <w:t> </w:t>
      </w:r>
      <w:r>
        <w:rPr>
          <w:sz w:val="18"/>
        </w:rPr>
        <w:t>(e.g.</w:t>
      </w:r>
      <w:r>
        <w:rPr>
          <w:spacing w:val="-14"/>
          <w:sz w:val="18"/>
        </w:rPr>
        <w:t> </w:t>
      </w:r>
      <w:r>
        <w:rPr>
          <w:sz w:val="18"/>
        </w:rPr>
        <w:t>book-to-tax</w:t>
      </w:r>
      <w:r>
        <w:rPr>
          <w:spacing w:val="-15"/>
          <w:sz w:val="18"/>
        </w:rPr>
        <w:t> </w:t>
      </w:r>
      <w:r>
        <w:rPr>
          <w:sz w:val="18"/>
        </w:rPr>
        <w:t>adjustments).</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limited</w:t>
      </w:r>
      <w:r>
        <w:rPr>
          <w:spacing w:val="-14"/>
        </w:rPr>
        <w:t> </w:t>
      </w:r>
      <w:r>
        <w:rPr/>
        <w:t>return</w:t>
      </w:r>
      <w:r>
        <w:rPr>
          <w:spacing w:val="-11"/>
        </w:rPr>
        <w:t> </w:t>
      </w:r>
      <w:r>
        <w:rPr/>
        <w:t>(e.g.</w:t>
      </w:r>
      <w:r>
        <w:rPr>
          <w:spacing w:val="-10"/>
        </w:rPr>
        <w:t> </w:t>
      </w:r>
      <w:r>
        <w:rPr/>
        <w:t>on</w:t>
      </w:r>
      <w:r>
        <w:rPr>
          <w:spacing w:val="-14"/>
        </w:rPr>
        <w:t> </w:t>
      </w:r>
      <w:r>
        <w:rPr/>
        <w:t>a</w:t>
      </w:r>
      <w:r>
        <w:rPr>
          <w:spacing w:val="-11"/>
        </w:rPr>
        <w:t> </w:t>
      </w:r>
      <w:r>
        <w:rPr/>
        <w:t>cost-plus</w:t>
      </w:r>
      <w:r>
        <w:rPr>
          <w:spacing w:val="-13"/>
        </w:rPr>
        <w:t> </w:t>
      </w:r>
      <w:r>
        <w:rPr/>
        <w:t>basis)</w:t>
      </w:r>
      <w:r>
        <w:rPr>
          <w:spacing w:val="-13"/>
        </w:rPr>
        <w:t> </w:t>
      </w:r>
      <w:r>
        <w:rPr/>
        <w:t>to</w:t>
      </w:r>
      <w:r>
        <w:rPr>
          <w:spacing w:val="-11"/>
        </w:rPr>
        <w:t> </w:t>
      </w:r>
      <w:r>
        <w:rPr/>
        <w:t>local</w:t>
      </w:r>
      <w:r>
        <w:rPr>
          <w:spacing w:val="-13"/>
        </w:rPr>
        <w:t> </w:t>
      </w:r>
      <w:r>
        <w:rPr/>
        <w:t>marketing</w:t>
      </w:r>
      <w:r>
        <w:rPr>
          <w:spacing w:val="-11"/>
        </w:rPr>
        <w:t> </w:t>
      </w:r>
      <w:r>
        <w:rPr/>
        <w:t>and</w:t>
      </w:r>
      <w:r>
        <w:rPr>
          <w:spacing w:val="-12"/>
        </w:rPr>
        <w:t> </w:t>
      </w:r>
      <w:r>
        <w:rPr/>
        <w:t>distribution</w:t>
      </w:r>
      <w:r>
        <w:rPr>
          <w:spacing w:val="-12"/>
        </w:rPr>
        <w:t> </w:t>
      </w:r>
      <w:r>
        <w:rPr/>
        <w:t>activities,</w:t>
      </w:r>
      <w:r>
        <w:rPr>
          <w:spacing w:val="-10"/>
        </w:rPr>
        <w:t> </w:t>
      </w:r>
      <w:r>
        <w:rPr/>
        <w:t>would</w:t>
      </w:r>
      <w:r>
        <w:rPr>
          <w:spacing w:val="-12"/>
        </w:rPr>
        <w:t> </w:t>
      </w:r>
      <w:r>
        <w:rPr/>
        <w:t>not</w:t>
      </w:r>
      <w:r>
        <w:rPr>
          <w:spacing w:val="-13"/>
        </w:rPr>
        <w:t> </w:t>
      </w:r>
      <w:r>
        <w:rPr/>
        <w:t>come</w:t>
      </w:r>
      <w:r>
        <w:rPr>
          <w:spacing w:val="-12"/>
        </w:rPr>
        <w:t> </w:t>
      </w:r>
      <w:r>
        <w:rPr/>
        <w:t>under the safe harbour rule and thus would pay Amount A in the majority of market jurisdictions in which they operate. In contrast, more traditional CFB businesses, particularly those with decentralised business models and full-risk distributors, may already allocate profits to market jurisdictions that exceed the safe harbour</w:t>
      </w:r>
      <w:r>
        <w:rPr>
          <w:spacing w:val="-11"/>
        </w:rPr>
        <w:t> </w:t>
      </w:r>
      <w:r>
        <w:rPr/>
        <w:t>return.</w:t>
      </w:r>
      <w:r>
        <w:rPr>
          <w:spacing w:val="-12"/>
        </w:rPr>
        <w:t> </w:t>
      </w:r>
      <w:r>
        <w:rPr/>
        <w:t>Hence,</w:t>
      </w:r>
      <w:r>
        <w:rPr>
          <w:spacing w:val="-12"/>
        </w:rPr>
        <w:t> </w:t>
      </w:r>
      <w:r>
        <w:rPr/>
        <w:t>though</w:t>
      </w:r>
      <w:r>
        <w:rPr>
          <w:spacing w:val="-12"/>
        </w:rPr>
        <w:t> </w:t>
      </w:r>
      <w:r>
        <w:rPr/>
        <w:t>these</w:t>
      </w:r>
      <w:r>
        <w:rPr>
          <w:spacing w:val="-9"/>
        </w:rPr>
        <w:t> </w:t>
      </w:r>
      <w:r>
        <w:rPr/>
        <w:t>businesses</w:t>
      </w:r>
      <w:r>
        <w:rPr>
          <w:spacing w:val="-10"/>
        </w:rPr>
        <w:t> </w:t>
      </w:r>
      <w:r>
        <w:rPr/>
        <w:t>would</w:t>
      </w:r>
      <w:r>
        <w:rPr>
          <w:spacing w:val="-9"/>
        </w:rPr>
        <w:t> </w:t>
      </w:r>
      <w:r>
        <w:rPr/>
        <w:t>need</w:t>
      </w:r>
      <w:r>
        <w:rPr>
          <w:spacing w:val="-12"/>
        </w:rPr>
        <w:t> </w:t>
      </w:r>
      <w:r>
        <w:rPr/>
        <w:t>to</w:t>
      </w:r>
      <w:r>
        <w:rPr>
          <w:spacing w:val="-12"/>
        </w:rPr>
        <w:t> </w:t>
      </w:r>
      <w:r>
        <w:rPr/>
        <w:t>calculate</w:t>
      </w:r>
      <w:r>
        <w:rPr>
          <w:spacing w:val="-12"/>
        </w:rPr>
        <w:t> </w:t>
      </w:r>
      <w:r>
        <w:rPr/>
        <w:t>Amount</w:t>
      </w:r>
      <w:r>
        <w:rPr>
          <w:spacing w:val="-12"/>
        </w:rPr>
        <w:t> </w:t>
      </w:r>
      <w:r>
        <w:rPr/>
        <w:t>A</w:t>
      </w:r>
      <w:r>
        <w:rPr>
          <w:spacing w:val="-10"/>
        </w:rPr>
        <w:t> </w:t>
      </w:r>
      <w:r>
        <w:rPr/>
        <w:t>(to</w:t>
      </w:r>
      <w:r>
        <w:rPr>
          <w:spacing w:val="-12"/>
        </w:rPr>
        <w:t> </w:t>
      </w:r>
      <w:r>
        <w:rPr/>
        <w:t>determine</w:t>
      </w:r>
      <w:r>
        <w:rPr>
          <w:spacing w:val="-12"/>
        </w:rPr>
        <w:t> </w:t>
      </w:r>
      <w:r>
        <w:rPr/>
        <w:t>that</w:t>
      </w:r>
      <w:r>
        <w:rPr>
          <w:spacing w:val="-11"/>
        </w:rPr>
        <w:t> </w:t>
      </w:r>
      <w:r>
        <w:rPr/>
        <w:t>they have met the safe harbour), they would in many instances ultimately not need to pay Amount A or apply the</w:t>
      </w:r>
      <w:r>
        <w:rPr>
          <w:spacing w:val="-8"/>
        </w:rPr>
        <w:t> </w:t>
      </w:r>
      <w:r>
        <w:rPr/>
        <w:t>mechanism</w:t>
      </w:r>
      <w:r>
        <w:rPr>
          <w:spacing w:val="-2"/>
        </w:rPr>
        <w:t> </w:t>
      </w:r>
      <w:r>
        <w:rPr/>
        <w:t>to</w:t>
      </w:r>
      <w:r>
        <w:rPr>
          <w:spacing w:val="-8"/>
        </w:rPr>
        <w:t> </w:t>
      </w:r>
      <w:r>
        <w:rPr/>
        <w:t>eliminate</w:t>
      </w:r>
      <w:r>
        <w:rPr>
          <w:spacing w:val="-5"/>
        </w:rPr>
        <w:t> </w:t>
      </w:r>
      <w:r>
        <w:rPr/>
        <w:t>double</w:t>
      </w:r>
      <w:r>
        <w:rPr>
          <w:spacing w:val="-6"/>
        </w:rPr>
        <w:t> </w:t>
      </w:r>
      <w:r>
        <w:rPr/>
        <w:t>taxation.</w:t>
      </w:r>
      <w:r>
        <w:rPr>
          <w:spacing w:val="-6"/>
        </w:rPr>
        <w:t> </w:t>
      </w:r>
      <w:r>
        <w:rPr/>
        <w:t>An</w:t>
      </w:r>
      <w:r>
        <w:rPr>
          <w:spacing w:val="-7"/>
        </w:rPr>
        <w:t> </w:t>
      </w:r>
      <w:r>
        <w:rPr/>
        <w:t>example</w:t>
      </w:r>
      <w:r>
        <w:rPr>
          <w:spacing w:val="-8"/>
        </w:rPr>
        <w:t> </w:t>
      </w:r>
      <w:r>
        <w:rPr/>
        <w:t>of</w:t>
      </w:r>
      <w:r>
        <w:rPr>
          <w:spacing w:val="-5"/>
        </w:rPr>
        <w:t> </w:t>
      </w:r>
      <w:r>
        <w:rPr/>
        <w:t>its</w:t>
      </w:r>
      <w:r>
        <w:rPr>
          <w:spacing w:val="-4"/>
        </w:rPr>
        <w:t> </w:t>
      </w:r>
      <w:r>
        <w:rPr/>
        <w:t>application</w:t>
      </w:r>
      <w:r>
        <w:rPr>
          <w:spacing w:val="-7"/>
        </w:rPr>
        <w:t> </w:t>
      </w:r>
      <w:r>
        <w:rPr/>
        <w:t>is</w:t>
      </w:r>
      <w:r>
        <w:rPr>
          <w:spacing w:val="-4"/>
        </w:rPr>
        <w:t> </w:t>
      </w:r>
      <w:r>
        <w:rPr/>
        <w:t>outlined</w:t>
      </w:r>
      <w:r>
        <w:rPr>
          <w:spacing w:val="-7"/>
        </w:rPr>
        <w:t> </w:t>
      </w:r>
      <w:r>
        <w:rPr/>
        <w:t>in Annex</w:t>
      </w:r>
      <w:r>
        <w:rPr>
          <w:spacing w:val="-6"/>
        </w:rPr>
        <w:t> </w:t>
      </w:r>
      <w:r>
        <w:rPr/>
        <w:t>C</w:t>
      </w:r>
      <w:r>
        <w:rPr>
          <w:spacing w:val="-6"/>
        </w:rPr>
        <w:t> </w:t>
      </w:r>
      <w:r>
        <w:rPr/>
        <w:t>(see</w:t>
      </w:r>
      <w:r>
        <w:rPr>
          <w:spacing w:val="-4"/>
        </w:rPr>
        <w:t> </w:t>
      </w:r>
      <w:r>
        <w:rPr/>
        <w:t>Box C.2.).</w:t>
      </w:r>
    </w:p>
    <w:p>
      <w:pPr>
        <w:pStyle w:val="ListParagraph"/>
        <w:numPr>
          <w:ilvl w:val="0"/>
          <w:numId w:val="13"/>
        </w:numPr>
        <w:tabs>
          <w:tab w:pos="1444" w:val="left" w:leader="none"/>
        </w:tabs>
        <w:spacing w:line="271" w:lineRule="auto" w:before="119" w:after="0"/>
        <w:ind w:left="723" w:right="483" w:firstLine="0"/>
        <w:jc w:val="both"/>
        <w:rPr>
          <w:sz w:val="20"/>
        </w:rPr>
      </w:pPr>
      <w:r>
        <w:rPr>
          <w:sz w:val="20"/>
        </w:rPr>
        <w:t>The safe harbour may be particularly relevant for decentralised businesses that realise residual profits</w:t>
      </w:r>
      <w:r>
        <w:rPr>
          <w:spacing w:val="-11"/>
          <w:sz w:val="20"/>
        </w:rPr>
        <w:t> </w:t>
      </w:r>
      <w:r>
        <w:rPr>
          <w:sz w:val="20"/>
        </w:rPr>
        <w:t>in</w:t>
      </w:r>
      <w:r>
        <w:rPr>
          <w:spacing w:val="-12"/>
          <w:sz w:val="20"/>
        </w:rPr>
        <w:t> </w:t>
      </w:r>
      <w:r>
        <w:rPr>
          <w:sz w:val="20"/>
        </w:rPr>
        <w:t>a</w:t>
      </w:r>
      <w:r>
        <w:rPr>
          <w:spacing w:val="-12"/>
          <w:sz w:val="20"/>
        </w:rPr>
        <w:t> </w:t>
      </w:r>
      <w:r>
        <w:rPr>
          <w:sz w:val="20"/>
        </w:rPr>
        <w:t>large</w:t>
      </w:r>
      <w:r>
        <w:rPr>
          <w:spacing w:val="-12"/>
          <w:sz w:val="20"/>
        </w:rPr>
        <w:t> </w:t>
      </w:r>
      <w:r>
        <w:rPr>
          <w:sz w:val="20"/>
        </w:rPr>
        <w:t>number</w:t>
      </w:r>
      <w:r>
        <w:rPr>
          <w:spacing w:val="-11"/>
          <w:sz w:val="20"/>
        </w:rPr>
        <w:t> </w:t>
      </w:r>
      <w:r>
        <w:rPr>
          <w:sz w:val="20"/>
        </w:rPr>
        <w:t>of</w:t>
      </w:r>
      <w:r>
        <w:rPr>
          <w:spacing w:val="-12"/>
          <w:sz w:val="20"/>
        </w:rPr>
        <w:t> </w:t>
      </w:r>
      <w:r>
        <w:rPr>
          <w:sz w:val="20"/>
        </w:rPr>
        <w:t>entities</w:t>
      </w:r>
      <w:r>
        <w:rPr>
          <w:spacing w:val="-10"/>
          <w:sz w:val="20"/>
        </w:rPr>
        <w:t> </w:t>
      </w:r>
      <w:r>
        <w:rPr>
          <w:sz w:val="20"/>
        </w:rPr>
        <w:t>and</w:t>
      </w:r>
      <w:r>
        <w:rPr>
          <w:spacing w:val="-12"/>
          <w:sz w:val="20"/>
        </w:rPr>
        <w:t> </w:t>
      </w:r>
      <w:r>
        <w:rPr>
          <w:sz w:val="20"/>
        </w:rPr>
        <w:t>jurisdictions,</w:t>
      </w:r>
      <w:r>
        <w:rPr>
          <w:spacing w:val="-10"/>
          <w:sz w:val="20"/>
        </w:rPr>
        <w:t> </w:t>
      </w:r>
      <w:r>
        <w:rPr>
          <w:sz w:val="20"/>
        </w:rPr>
        <w:t>where</w:t>
      </w:r>
      <w:r>
        <w:rPr>
          <w:spacing w:val="-11"/>
          <w:sz w:val="20"/>
        </w:rPr>
        <w:t> </w:t>
      </w:r>
      <w:r>
        <w:rPr>
          <w:sz w:val="20"/>
        </w:rPr>
        <w:t>it</w:t>
      </w:r>
      <w:r>
        <w:rPr>
          <w:spacing w:val="-11"/>
          <w:sz w:val="20"/>
        </w:rPr>
        <w:t> </w:t>
      </w:r>
      <w:r>
        <w:rPr>
          <w:sz w:val="20"/>
        </w:rPr>
        <w:t>is</w:t>
      </w:r>
      <w:r>
        <w:rPr>
          <w:spacing w:val="-10"/>
          <w:sz w:val="20"/>
        </w:rPr>
        <w:t> </w:t>
      </w:r>
      <w:r>
        <w:rPr>
          <w:sz w:val="20"/>
        </w:rPr>
        <w:t>conceptual</w:t>
      </w:r>
      <w:r>
        <w:rPr>
          <w:spacing w:val="-12"/>
          <w:sz w:val="20"/>
        </w:rPr>
        <w:t> </w:t>
      </w:r>
      <w:r>
        <w:rPr>
          <w:sz w:val="20"/>
        </w:rPr>
        <w:t>challenging</w:t>
      </w:r>
      <w:r>
        <w:rPr>
          <w:spacing w:val="-13"/>
          <w:sz w:val="20"/>
        </w:rPr>
        <w:t> </w:t>
      </w:r>
      <w:r>
        <w:rPr>
          <w:sz w:val="20"/>
        </w:rPr>
        <w:t>to</w:t>
      </w:r>
      <w:r>
        <w:rPr>
          <w:spacing w:val="-12"/>
          <w:sz w:val="20"/>
        </w:rPr>
        <w:t> </w:t>
      </w:r>
      <w:r>
        <w:rPr>
          <w:sz w:val="20"/>
        </w:rPr>
        <w:t>identify</w:t>
      </w:r>
      <w:r>
        <w:rPr>
          <w:spacing w:val="-17"/>
          <w:sz w:val="20"/>
        </w:rPr>
        <w:t> </w:t>
      </w:r>
      <w:r>
        <w:rPr>
          <w:sz w:val="20"/>
        </w:rPr>
        <w:t>the</w:t>
      </w:r>
      <w:r>
        <w:rPr>
          <w:spacing w:val="-12"/>
          <w:sz w:val="20"/>
        </w:rPr>
        <w:t> </w:t>
      </w:r>
      <w:r>
        <w:rPr>
          <w:sz w:val="20"/>
        </w:rPr>
        <w:t>entity or entities within the group that should bear the Amount A tax liability. The adoption of the safe harbour may</w:t>
      </w:r>
      <w:r>
        <w:rPr>
          <w:spacing w:val="-22"/>
          <w:sz w:val="20"/>
        </w:rPr>
        <w:t> </w:t>
      </w:r>
      <w:r>
        <w:rPr>
          <w:sz w:val="20"/>
        </w:rPr>
        <w:t>reduce</w:t>
      </w:r>
      <w:r>
        <w:rPr>
          <w:spacing w:val="-15"/>
          <w:sz w:val="20"/>
        </w:rPr>
        <w:t> </w:t>
      </w:r>
      <w:r>
        <w:rPr>
          <w:sz w:val="20"/>
        </w:rPr>
        <w:t>in</w:t>
      </w:r>
      <w:r>
        <w:rPr>
          <w:spacing w:val="-15"/>
          <w:sz w:val="20"/>
        </w:rPr>
        <w:t> </w:t>
      </w:r>
      <w:r>
        <w:rPr>
          <w:sz w:val="20"/>
        </w:rPr>
        <w:t>some</w:t>
      </w:r>
      <w:r>
        <w:rPr>
          <w:spacing w:val="-19"/>
          <w:sz w:val="20"/>
        </w:rPr>
        <w:t> </w:t>
      </w:r>
      <w:r>
        <w:rPr>
          <w:sz w:val="20"/>
        </w:rPr>
        <w:t>cases</w:t>
      </w:r>
      <w:r>
        <w:rPr>
          <w:spacing w:val="-16"/>
          <w:sz w:val="20"/>
        </w:rPr>
        <w:t> </w:t>
      </w:r>
      <w:r>
        <w:rPr>
          <w:sz w:val="20"/>
        </w:rPr>
        <w:t>the</w:t>
      </w:r>
      <w:r>
        <w:rPr>
          <w:spacing w:val="-16"/>
          <w:sz w:val="20"/>
        </w:rPr>
        <w:t> </w:t>
      </w:r>
      <w:r>
        <w:rPr>
          <w:sz w:val="20"/>
        </w:rPr>
        <w:t>pressure</w:t>
      </w:r>
      <w:r>
        <w:rPr>
          <w:spacing w:val="-18"/>
          <w:sz w:val="20"/>
        </w:rPr>
        <w:t> </w:t>
      </w:r>
      <w:r>
        <w:rPr>
          <w:sz w:val="20"/>
        </w:rPr>
        <w:t>of</w:t>
      </w:r>
      <w:r>
        <w:rPr>
          <w:spacing w:val="-17"/>
          <w:sz w:val="20"/>
        </w:rPr>
        <w:t> </w:t>
      </w:r>
      <w:r>
        <w:rPr>
          <w:sz w:val="20"/>
        </w:rPr>
        <w:t>the</w:t>
      </w:r>
      <w:r>
        <w:rPr>
          <w:spacing w:val="-18"/>
          <w:sz w:val="20"/>
        </w:rPr>
        <w:t> </w:t>
      </w:r>
      <w:r>
        <w:rPr>
          <w:sz w:val="20"/>
        </w:rPr>
        <w:t>mechanism</w:t>
      </w:r>
      <w:r>
        <w:rPr>
          <w:spacing w:val="-14"/>
          <w:sz w:val="20"/>
        </w:rPr>
        <w:t> </w:t>
      </w:r>
      <w:r>
        <w:rPr>
          <w:sz w:val="20"/>
        </w:rPr>
        <w:t>to</w:t>
      </w:r>
      <w:r>
        <w:rPr>
          <w:spacing w:val="-19"/>
          <w:sz w:val="20"/>
        </w:rPr>
        <w:t> </w:t>
      </w:r>
      <w:r>
        <w:rPr>
          <w:sz w:val="20"/>
        </w:rPr>
        <w:t>eliminate</w:t>
      </w:r>
      <w:r>
        <w:rPr>
          <w:spacing w:val="-16"/>
          <w:sz w:val="20"/>
        </w:rPr>
        <w:t> </w:t>
      </w:r>
      <w:r>
        <w:rPr>
          <w:sz w:val="20"/>
        </w:rPr>
        <w:t>double</w:t>
      </w:r>
      <w:r>
        <w:rPr>
          <w:spacing w:val="-19"/>
          <w:sz w:val="20"/>
        </w:rPr>
        <w:t> </w:t>
      </w:r>
      <w:r>
        <w:rPr>
          <w:sz w:val="20"/>
        </w:rPr>
        <w:t>taxation</w:t>
      </w:r>
      <w:r>
        <w:rPr>
          <w:spacing w:val="-16"/>
          <w:sz w:val="20"/>
        </w:rPr>
        <w:t> </w:t>
      </w:r>
      <w:r>
        <w:rPr>
          <w:sz w:val="20"/>
        </w:rPr>
        <w:t>arising</w:t>
      </w:r>
      <w:r>
        <w:rPr>
          <w:spacing w:val="-17"/>
          <w:sz w:val="20"/>
        </w:rPr>
        <w:t> </w:t>
      </w:r>
      <w:r>
        <w:rPr>
          <w:sz w:val="20"/>
        </w:rPr>
        <w:t>from</w:t>
      </w:r>
      <w:r>
        <w:rPr>
          <w:spacing w:val="-14"/>
          <w:sz w:val="20"/>
        </w:rPr>
        <w:t> </w:t>
      </w:r>
      <w:r>
        <w:rPr>
          <w:sz w:val="20"/>
        </w:rPr>
        <w:t>Amount A</w:t>
      </w:r>
      <w:r>
        <w:rPr>
          <w:spacing w:val="-10"/>
          <w:sz w:val="20"/>
        </w:rPr>
        <w:t> </w:t>
      </w:r>
      <w:r>
        <w:rPr>
          <w:sz w:val="20"/>
        </w:rPr>
        <w:t>and</w:t>
      </w:r>
      <w:r>
        <w:rPr>
          <w:spacing w:val="-9"/>
          <w:sz w:val="20"/>
        </w:rPr>
        <w:t> </w:t>
      </w:r>
      <w:r>
        <w:rPr>
          <w:sz w:val="20"/>
        </w:rPr>
        <w:t>could</w:t>
      </w:r>
      <w:r>
        <w:rPr>
          <w:spacing w:val="-7"/>
          <w:sz w:val="20"/>
        </w:rPr>
        <w:t> </w:t>
      </w:r>
      <w:r>
        <w:rPr>
          <w:sz w:val="20"/>
        </w:rPr>
        <w:t>allow</w:t>
      </w:r>
      <w:r>
        <w:rPr>
          <w:spacing w:val="-11"/>
          <w:sz w:val="20"/>
        </w:rPr>
        <w:t> </w:t>
      </w:r>
      <w:r>
        <w:rPr>
          <w:sz w:val="20"/>
        </w:rPr>
        <w:t>the</w:t>
      </w:r>
      <w:r>
        <w:rPr>
          <w:spacing w:val="-9"/>
          <w:sz w:val="20"/>
        </w:rPr>
        <w:t> </w:t>
      </w:r>
      <w:r>
        <w:rPr>
          <w:sz w:val="20"/>
        </w:rPr>
        <w:t>mechanism</w:t>
      </w:r>
      <w:r>
        <w:rPr>
          <w:spacing w:val="-5"/>
          <w:sz w:val="20"/>
        </w:rPr>
        <w:t> </w:t>
      </w:r>
      <w:r>
        <w:rPr>
          <w:sz w:val="20"/>
        </w:rPr>
        <w:t>to</w:t>
      </w:r>
      <w:r>
        <w:rPr>
          <w:spacing w:val="-9"/>
          <w:sz w:val="20"/>
        </w:rPr>
        <w:t> </w:t>
      </w:r>
      <w:r>
        <w:rPr>
          <w:sz w:val="20"/>
        </w:rPr>
        <w:t>eliminate</w:t>
      </w:r>
      <w:r>
        <w:rPr>
          <w:spacing w:val="-9"/>
          <w:sz w:val="20"/>
        </w:rPr>
        <w:t> </w:t>
      </w:r>
      <w:r>
        <w:rPr>
          <w:sz w:val="20"/>
        </w:rPr>
        <w:t>double</w:t>
      </w:r>
      <w:r>
        <w:rPr>
          <w:spacing w:val="-10"/>
          <w:sz w:val="20"/>
        </w:rPr>
        <w:t> </w:t>
      </w:r>
      <w:r>
        <w:rPr>
          <w:sz w:val="20"/>
        </w:rPr>
        <w:t>taxation</w:t>
      </w:r>
      <w:r>
        <w:rPr>
          <w:spacing w:val="-9"/>
          <w:sz w:val="20"/>
        </w:rPr>
        <w:t> </w:t>
      </w:r>
      <w:r>
        <w:rPr>
          <w:sz w:val="20"/>
        </w:rPr>
        <w:t>to</w:t>
      </w:r>
      <w:r>
        <w:rPr>
          <w:spacing w:val="-9"/>
          <w:sz w:val="20"/>
        </w:rPr>
        <w:t> </w:t>
      </w:r>
      <w:r>
        <w:rPr>
          <w:sz w:val="20"/>
        </w:rPr>
        <w:t>be</w:t>
      </w:r>
      <w:r>
        <w:rPr>
          <w:spacing w:val="-9"/>
          <w:sz w:val="20"/>
        </w:rPr>
        <w:t> </w:t>
      </w:r>
      <w:r>
        <w:rPr>
          <w:sz w:val="20"/>
        </w:rPr>
        <w:t>developed</w:t>
      </w:r>
      <w:r>
        <w:rPr>
          <w:spacing w:val="-7"/>
          <w:sz w:val="20"/>
        </w:rPr>
        <w:t> </w:t>
      </w:r>
      <w:r>
        <w:rPr>
          <w:sz w:val="20"/>
        </w:rPr>
        <w:t>with</w:t>
      </w:r>
      <w:r>
        <w:rPr>
          <w:spacing w:val="-10"/>
          <w:sz w:val="20"/>
        </w:rPr>
        <w:t> </w:t>
      </w:r>
      <w:r>
        <w:rPr>
          <w:sz w:val="20"/>
        </w:rPr>
        <w:t>a</w:t>
      </w:r>
      <w:r>
        <w:rPr>
          <w:spacing w:val="-9"/>
          <w:sz w:val="20"/>
        </w:rPr>
        <w:t> </w:t>
      </w:r>
      <w:r>
        <w:rPr>
          <w:sz w:val="20"/>
        </w:rPr>
        <w:t>focus</w:t>
      </w:r>
      <w:r>
        <w:rPr>
          <w:spacing w:val="-1"/>
          <w:sz w:val="20"/>
        </w:rPr>
        <w:t> </w:t>
      </w:r>
      <w:r>
        <w:rPr>
          <w:sz w:val="20"/>
        </w:rPr>
        <w:t>on</w:t>
      </w:r>
      <w:r>
        <w:rPr>
          <w:spacing w:val="-9"/>
          <w:sz w:val="20"/>
        </w:rPr>
        <w:t> </w:t>
      </w:r>
      <w:r>
        <w:rPr>
          <w:sz w:val="20"/>
        </w:rPr>
        <w:t>businesses with more centralised operating models that are less likely to be impacted by the safe</w:t>
      </w:r>
      <w:r>
        <w:rPr>
          <w:spacing w:val="-32"/>
          <w:sz w:val="20"/>
        </w:rPr>
        <w:t> </w:t>
      </w:r>
      <w:r>
        <w:rPr>
          <w:sz w:val="20"/>
        </w:rPr>
        <w:t>harbour.</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At the same time, the safe harbour would maintain the need to calculate Amount A, while introducing</w:t>
      </w:r>
      <w:r>
        <w:rPr>
          <w:spacing w:val="-8"/>
          <w:sz w:val="20"/>
        </w:rPr>
        <w:t> </w:t>
      </w:r>
      <w:r>
        <w:rPr>
          <w:sz w:val="20"/>
        </w:rPr>
        <w:t>new</w:t>
      </w:r>
      <w:r>
        <w:rPr>
          <w:spacing w:val="-9"/>
          <w:sz w:val="20"/>
        </w:rPr>
        <w:t> </w:t>
      </w:r>
      <w:r>
        <w:rPr>
          <w:sz w:val="20"/>
        </w:rPr>
        <w:t>rules</w:t>
      </w:r>
      <w:r>
        <w:rPr>
          <w:spacing w:val="-7"/>
          <w:sz w:val="20"/>
        </w:rPr>
        <w:t> </w:t>
      </w:r>
      <w:r>
        <w:rPr>
          <w:sz w:val="20"/>
        </w:rPr>
        <w:t>to</w:t>
      </w:r>
      <w:r>
        <w:rPr>
          <w:spacing w:val="-8"/>
          <w:sz w:val="20"/>
        </w:rPr>
        <w:t> </w:t>
      </w:r>
      <w:r>
        <w:rPr>
          <w:sz w:val="20"/>
        </w:rPr>
        <w:t>implement</w:t>
      </w:r>
      <w:r>
        <w:rPr>
          <w:spacing w:val="-4"/>
          <w:sz w:val="20"/>
        </w:rPr>
        <w:t> </w:t>
      </w:r>
      <w:r>
        <w:rPr>
          <w:sz w:val="20"/>
        </w:rPr>
        <w:t>and</w:t>
      </w:r>
      <w:r>
        <w:rPr>
          <w:spacing w:val="-6"/>
          <w:sz w:val="20"/>
        </w:rPr>
        <w:t> </w:t>
      </w:r>
      <w:r>
        <w:rPr>
          <w:sz w:val="20"/>
        </w:rPr>
        <w:t>administer</w:t>
      </w:r>
      <w:r>
        <w:rPr>
          <w:spacing w:val="-7"/>
          <w:sz w:val="20"/>
        </w:rPr>
        <w:t> </w:t>
      </w:r>
      <w:r>
        <w:rPr>
          <w:sz w:val="20"/>
        </w:rPr>
        <w:t>the</w:t>
      </w:r>
      <w:r>
        <w:rPr>
          <w:spacing w:val="-6"/>
          <w:sz w:val="20"/>
        </w:rPr>
        <w:t> </w:t>
      </w:r>
      <w:r>
        <w:rPr>
          <w:sz w:val="20"/>
        </w:rPr>
        <w:t>capping</w:t>
      </w:r>
      <w:r>
        <w:rPr>
          <w:spacing w:val="-8"/>
          <w:sz w:val="20"/>
        </w:rPr>
        <w:t> </w:t>
      </w:r>
      <w:r>
        <w:rPr>
          <w:sz w:val="20"/>
        </w:rPr>
        <w:t>mechanism.</w:t>
      </w:r>
      <w:r>
        <w:rPr>
          <w:spacing w:val="-5"/>
          <w:sz w:val="20"/>
        </w:rPr>
        <w:t> </w:t>
      </w:r>
      <w:r>
        <w:rPr>
          <w:sz w:val="20"/>
        </w:rPr>
        <w:t>Further,</w:t>
      </w:r>
      <w:r>
        <w:rPr>
          <w:spacing w:val="-7"/>
          <w:sz w:val="20"/>
        </w:rPr>
        <w:t> </w:t>
      </w:r>
      <w:r>
        <w:rPr>
          <w:sz w:val="20"/>
        </w:rPr>
        <w:t>the</w:t>
      </w:r>
      <w:r>
        <w:rPr>
          <w:spacing w:val="-8"/>
          <w:sz w:val="20"/>
        </w:rPr>
        <w:t> </w:t>
      </w:r>
      <w:r>
        <w:rPr>
          <w:sz w:val="20"/>
        </w:rPr>
        <w:t>application</w:t>
      </w:r>
      <w:r>
        <w:rPr>
          <w:spacing w:val="-6"/>
          <w:sz w:val="20"/>
        </w:rPr>
        <w:t> </w:t>
      </w:r>
      <w:r>
        <w:rPr>
          <w:sz w:val="20"/>
        </w:rPr>
        <w:t>of</w:t>
      </w:r>
      <w:r>
        <w:rPr>
          <w:spacing w:val="-6"/>
          <w:sz w:val="20"/>
        </w:rPr>
        <w:t> </w:t>
      </w:r>
      <w:r>
        <w:rPr>
          <w:sz w:val="20"/>
        </w:rPr>
        <w:t>the safe harbour would need to take into account any subsequent transfer pricing adjustments that changed marketing and distribution profits allocated to a market jurisdiction under the existing ALP-based profit allocation rules. For example, if a market jurisdiction made an upwards adjustment to the profits it was allocated</w:t>
      </w:r>
      <w:r>
        <w:rPr>
          <w:spacing w:val="-10"/>
          <w:sz w:val="20"/>
        </w:rPr>
        <w:t> </w:t>
      </w:r>
      <w:r>
        <w:rPr>
          <w:sz w:val="20"/>
        </w:rPr>
        <w:t>for</w:t>
      </w:r>
      <w:r>
        <w:rPr>
          <w:spacing w:val="-11"/>
          <w:sz w:val="20"/>
        </w:rPr>
        <w:t> </w:t>
      </w:r>
      <w:r>
        <w:rPr>
          <w:sz w:val="20"/>
        </w:rPr>
        <w:t>marketing</w:t>
      </w:r>
      <w:r>
        <w:rPr>
          <w:spacing w:val="-10"/>
          <w:sz w:val="20"/>
        </w:rPr>
        <w:t> </w:t>
      </w:r>
      <w:r>
        <w:rPr>
          <w:sz w:val="20"/>
        </w:rPr>
        <w:t>and</w:t>
      </w:r>
      <w:r>
        <w:rPr>
          <w:spacing w:val="-7"/>
          <w:sz w:val="20"/>
        </w:rPr>
        <w:t> </w:t>
      </w:r>
      <w:r>
        <w:rPr>
          <w:sz w:val="20"/>
        </w:rPr>
        <w:t>distribution</w:t>
      </w:r>
      <w:r>
        <w:rPr>
          <w:spacing w:val="-10"/>
          <w:sz w:val="20"/>
        </w:rPr>
        <w:t> </w:t>
      </w:r>
      <w:r>
        <w:rPr>
          <w:sz w:val="20"/>
        </w:rPr>
        <w:t>activities,</w:t>
      </w:r>
      <w:r>
        <w:rPr>
          <w:spacing w:val="-9"/>
          <w:sz w:val="20"/>
        </w:rPr>
        <w:t> </w:t>
      </w:r>
      <w:r>
        <w:rPr>
          <w:sz w:val="20"/>
        </w:rPr>
        <w:t>it</w:t>
      </w:r>
      <w:r>
        <w:rPr>
          <w:spacing w:val="-7"/>
          <w:sz w:val="20"/>
        </w:rPr>
        <w:t> </w:t>
      </w:r>
      <w:r>
        <w:rPr>
          <w:sz w:val="20"/>
        </w:rPr>
        <w:t>would</w:t>
      </w:r>
      <w:r>
        <w:rPr>
          <w:spacing w:val="-10"/>
          <w:sz w:val="20"/>
        </w:rPr>
        <w:t> </w:t>
      </w:r>
      <w:r>
        <w:rPr>
          <w:sz w:val="20"/>
        </w:rPr>
        <w:t>need</w:t>
      </w:r>
      <w:r>
        <w:rPr>
          <w:spacing w:val="-9"/>
          <w:sz w:val="20"/>
        </w:rPr>
        <w:t> </w:t>
      </w:r>
      <w:r>
        <w:rPr>
          <w:sz w:val="20"/>
        </w:rPr>
        <w:t>to</w:t>
      </w:r>
      <w:r>
        <w:rPr>
          <w:spacing w:val="-8"/>
          <w:sz w:val="20"/>
        </w:rPr>
        <w:t> </w:t>
      </w:r>
      <w:r>
        <w:rPr>
          <w:sz w:val="20"/>
        </w:rPr>
        <w:t>recalculate</w:t>
      </w:r>
      <w:r>
        <w:rPr>
          <w:spacing w:val="-7"/>
          <w:sz w:val="20"/>
        </w:rPr>
        <w:t> </w:t>
      </w:r>
      <w:r>
        <w:rPr>
          <w:sz w:val="20"/>
        </w:rPr>
        <w:t>whether</w:t>
      </w:r>
      <w:r>
        <w:rPr>
          <w:spacing w:val="-9"/>
          <w:sz w:val="20"/>
        </w:rPr>
        <w:t> </w:t>
      </w:r>
      <w:r>
        <w:rPr>
          <w:sz w:val="20"/>
        </w:rPr>
        <w:t>a</w:t>
      </w:r>
      <w:r>
        <w:rPr>
          <w:spacing w:val="-9"/>
          <w:sz w:val="20"/>
        </w:rPr>
        <w:t> </w:t>
      </w:r>
      <w:r>
        <w:rPr>
          <w:sz w:val="20"/>
        </w:rPr>
        <w:t>MNE</w:t>
      </w:r>
      <w:r>
        <w:rPr>
          <w:spacing w:val="-10"/>
          <w:sz w:val="20"/>
        </w:rPr>
        <w:t> </w:t>
      </w:r>
      <w:r>
        <w:rPr>
          <w:sz w:val="20"/>
        </w:rPr>
        <w:t>group</w:t>
      </w:r>
      <w:r>
        <w:rPr>
          <w:spacing w:val="-8"/>
          <w:sz w:val="20"/>
        </w:rPr>
        <w:t> </w:t>
      </w:r>
      <w:r>
        <w:rPr>
          <w:sz w:val="20"/>
        </w:rPr>
        <w:t>would be eligible for the safe harbour, with any additional tax due under the existing profit allocation rules being offset against the tax that would no longer be due under Amount</w:t>
      </w:r>
      <w:r>
        <w:rPr>
          <w:spacing w:val="-7"/>
          <w:sz w:val="20"/>
        </w:rPr>
        <w:t> </w:t>
      </w:r>
      <w:r>
        <w:rPr>
          <w:sz w:val="20"/>
        </w:rPr>
        <w:t>A.</w:t>
      </w:r>
    </w:p>
    <w:p>
      <w:pPr>
        <w:pStyle w:val="BodyText"/>
        <w:spacing w:before="2"/>
      </w:pPr>
    </w:p>
    <w:p>
      <w:pPr>
        <w:pStyle w:val="Heading7"/>
        <w:rPr>
          <w:i/>
        </w:rPr>
      </w:pPr>
      <w:bookmarkStart w:name="Determining the fixed return for the saf" w:id="311"/>
      <w:bookmarkEnd w:id="311"/>
      <w:r>
        <w:rPr>
          <w:i w:val="0"/>
        </w:rPr>
      </w:r>
      <w:r>
        <w:rPr>
          <w:i/>
          <w:color w:val="616161"/>
        </w:rPr>
        <w:t>Determining the fixed return for the safe harbour</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Under the marketing and distribution profits safe harbour, the formula for calculating Amount A would</w:t>
      </w:r>
      <w:r>
        <w:rPr>
          <w:spacing w:val="-14"/>
          <w:sz w:val="20"/>
        </w:rPr>
        <w:t> </w:t>
      </w:r>
      <w:r>
        <w:rPr>
          <w:sz w:val="20"/>
        </w:rPr>
        <w:t>remain</w:t>
      </w:r>
      <w:r>
        <w:rPr>
          <w:spacing w:val="-14"/>
          <w:sz w:val="20"/>
        </w:rPr>
        <w:t> </w:t>
      </w:r>
      <w:r>
        <w:rPr>
          <w:sz w:val="20"/>
        </w:rPr>
        <w:t>unchanged.</w:t>
      </w:r>
      <w:r>
        <w:rPr>
          <w:spacing w:val="-11"/>
          <w:sz w:val="20"/>
        </w:rPr>
        <w:t> </w:t>
      </w:r>
      <w:r>
        <w:rPr>
          <w:sz w:val="20"/>
        </w:rPr>
        <w:t>However,</w:t>
      </w:r>
      <w:r>
        <w:rPr>
          <w:spacing w:val="-13"/>
          <w:sz w:val="20"/>
        </w:rPr>
        <w:t> </w:t>
      </w:r>
      <w:r>
        <w:rPr>
          <w:sz w:val="20"/>
        </w:rPr>
        <w:t>it</w:t>
      </w:r>
      <w:r>
        <w:rPr>
          <w:spacing w:val="-12"/>
          <w:sz w:val="20"/>
        </w:rPr>
        <w:t> </w:t>
      </w:r>
      <w:r>
        <w:rPr>
          <w:sz w:val="20"/>
        </w:rPr>
        <w:t>would</w:t>
      </w:r>
      <w:r>
        <w:rPr>
          <w:spacing w:val="-12"/>
          <w:sz w:val="20"/>
        </w:rPr>
        <w:t> </w:t>
      </w:r>
      <w:r>
        <w:rPr>
          <w:sz w:val="20"/>
        </w:rPr>
        <w:t>be</w:t>
      </w:r>
      <w:r>
        <w:rPr>
          <w:spacing w:val="-14"/>
          <w:sz w:val="20"/>
        </w:rPr>
        <w:t> </w:t>
      </w:r>
      <w:r>
        <w:rPr>
          <w:sz w:val="20"/>
        </w:rPr>
        <w:t>necessary</w:t>
      </w:r>
      <w:r>
        <w:rPr>
          <w:spacing w:val="-16"/>
          <w:sz w:val="20"/>
        </w:rPr>
        <w:t> </w:t>
      </w:r>
      <w:r>
        <w:rPr>
          <w:sz w:val="20"/>
        </w:rPr>
        <w:t>to</w:t>
      </w:r>
      <w:r>
        <w:rPr>
          <w:spacing w:val="-14"/>
          <w:sz w:val="20"/>
        </w:rPr>
        <w:t> </w:t>
      </w:r>
      <w:r>
        <w:rPr>
          <w:sz w:val="20"/>
        </w:rPr>
        <w:t>determine</w:t>
      </w:r>
      <w:r>
        <w:rPr>
          <w:spacing w:val="-14"/>
          <w:sz w:val="20"/>
        </w:rPr>
        <w:t> </w:t>
      </w:r>
      <w:r>
        <w:rPr>
          <w:sz w:val="20"/>
        </w:rPr>
        <w:t>a</w:t>
      </w:r>
      <w:r>
        <w:rPr>
          <w:spacing w:val="-14"/>
          <w:sz w:val="20"/>
        </w:rPr>
        <w:t> </w:t>
      </w:r>
      <w:r>
        <w:rPr>
          <w:sz w:val="20"/>
        </w:rPr>
        <w:t>fixed</w:t>
      </w:r>
      <w:r>
        <w:rPr>
          <w:spacing w:val="-14"/>
          <w:sz w:val="20"/>
        </w:rPr>
        <w:t> </w:t>
      </w:r>
      <w:r>
        <w:rPr>
          <w:sz w:val="20"/>
        </w:rPr>
        <w:t>return</w:t>
      </w:r>
      <w:r>
        <w:rPr>
          <w:spacing w:val="-13"/>
          <w:sz w:val="20"/>
        </w:rPr>
        <w:t> </w:t>
      </w:r>
      <w:r>
        <w:rPr>
          <w:sz w:val="20"/>
        </w:rPr>
        <w:t>for</w:t>
      </w:r>
      <w:r>
        <w:rPr>
          <w:spacing w:val="-13"/>
          <w:sz w:val="20"/>
        </w:rPr>
        <w:t> </w:t>
      </w:r>
      <w:r>
        <w:rPr>
          <w:sz w:val="20"/>
        </w:rPr>
        <w:t>in-country</w:t>
      </w:r>
      <w:r>
        <w:rPr>
          <w:spacing w:val="-19"/>
          <w:sz w:val="20"/>
        </w:rPr>
        <w:t> </w:t>
      </w:r>
      <w:r>
        <w:rPr>
          <w:sz w:val="20"/>
        </w:rPr>
        <w:t>routine marketing and distribution activities. This will raise a number of technical and design challenges that will need to be addressed within the context of the safe</w:t>
      </w:r>
      <w:r>
        <w:rPr>
          <w:spacing w:val="-5"/>
          <w:sz w:val="20"/>
        </w:rPr>
        <w:t> </w:t>
      </w:r>
      <w:r>
        <w:rPr>
          <w:sz w:val="20"/>
        </w:rPr>
        <w:t>harbour.</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The fixed return would not necessarily seek to replicate an arm’s length return, nor would it limit the</w:t>
      </w:r>
      <w:r>
        <w:rPr>
          <w:spacing w:val="-8"/>
          <w:sz w:val="20"/>
        </w:rPr>
        <w:t> </w:t>
      </w:r>
      <w:r>
        <w:rPr>
          <w:sz w:val="20"/>
        </w:rPr>
        <w:t>profits</w:t>
      </w:r>
      <w:r>
        <w:rPr>
          <w:spacing w:val="-5"/>
          <w:sz w:val="20"/>
        </w:rPr>
        <w:t> </w:t>
      </w:r>
      <w:r>
        <w:rPr>
          <w:sz w:val="20"/>
        </w:rPr>
        <w:t>allocable</w:t>
      </w:r>
      <w:r>
        <w:rPr>
          <w:spacing w:val="-8"/>
          <w:sz w:val="20"/>
        </w:rPr>
        <w:t> </w:t>
      </w:r>
      <w:r>
        <w:rPr>
          <w:sz w:val="20"/>
        </w:rPr>
        <w:t>to</w:t>
      </w:r>
      <w:r>
        <w:rPr>
          <w:spacing w:val="-7"/>
          <w:sz w:val="20"/>
        </w:rPr>
        <w:t> </w:t>
      </w:r>
      <w:r>
        <w:rPr>
          <w:sz w:val="20"/>
        </w:rPr>
        <w:t>marketing</w:t>
      </w:r>
      <w:r>
        <w:rPr>
          <w:spacing w:val="-7"/>
          <w:sz w:val="20"/>
        </w:rPr>
        <w:t> </w:t>
      </w:r>
      <w:r>
        <w:rPr>
          <w:sz w:val="20"/>
        </w:rPr>
        <w:t>and</w:t>
      </w:r>
      <w:r>
        <w:rPr>
          <w:spacing w:val="-8"/>
          <w:sz w:val="20"/>
        </w:rPr>
        <w:t> </w:t>
      </w:r>
      <w:r>
        <w:rPr>
          <w:sz w:val="20"/>
        </w:rPr>
        <w:t>distribution</w:t>
      </w:r>
      <w:r>
        <w:rPr>
          <w:spacing w:val="-7"/>
          <w:sz w:val="20"/>
        </w:rPr>
        <w:t> </w:t>
      </w:r>
      <w:r>
        <w:rPr>
          <w:sz w:val="20"/>
        </w:rPr>
        <w:t>activities.</w:t>
      </w:r>
      <w:r>
        <w:rPr>
          <w:spacing w:val="-6"/>
          <w:sz w:val="20"/>
        </w:rPr>
        <w:t> </w:t>
      </w:r>
      <w:r>
        <w:rPr>
          <w:sz w:val="20"/>
        </w:rPr>
        <w:t>Jurisdictions</w:t>
      </w:r>
      <w:r>
        <w:rPr>
          <w:spacing w:val="-6"/>
          <w:sz w:val="20"/>
        </w:rPr>
        <w:t> </w:t>
      </w:r>
      <w:r>
        <w:rPr>
          <w:sz w:val="20"/>
        </w:rPr>
        <w:t>that</w:t>
      </w:r>
      <w:r>
        <w:rPr>
          <w:spacing w:val="-7"/>
          <w:sz w:val="20"/>
        </w:rPr>
        <w:t> </w:t>
      </w:r>
      <w:r>
        <w:rPr>
          <w:sz w:val="20"/>
        </w:rPr>
        <w:t>are</w:t>
      </w:r>
      <w:r>
        <w:rPr>
          <w:spacing w:val="-5"/>
          <w:sz w:val="20"/>
        </w:rPr>
        <w:t> </w:t>
      </w:r>
      <w:r>
        <w:rPr>
          <w:sz w:val="20"/>
        </w:rPr>
        <w:t>entitled</w:t>
      </w:r>
      <w:r>
        <w:rPr>
          <w:spacing w:val="-7"/>
          <w:sz w:val="20"/>
        </w:rPr>
        <w:t> </w:t>
      </w:r>
      <w:r>
        <w:rPr>
          <w:sz w:val="20"/>
        </w:rPr>
        <w:t>to</w:t>
      </w:r>
      <w:r>
        <w:rPr>
          <w:spacing w:val="-7"/>
          <w:sz w:val="20"/>
        </w:rPr>
        <w:t> </w:t>
      </w:r>
      <w:r>
        <w:rPr>
          <w:sz w:val="20"/>
        </w:rPr>
        <w:t>a</w:t>
      </w:r>
      <w:r>
        <w:rPr>
          <w:spacing w:val="-8"/>
          <w:sz w:val="20"/>
        </w:rPr>
        <w:t> </w:t>
      </w:r>
      <w:r>
        <w:rPr>
          <w:sz w:val="20"/>
        </w:rPr>
        <w:t>higher</w:t>
      </w:r>
      <w:r>
        <w:rPr>
          <w:spacing w:val="-6"/>
          <w:sz w:val="20"/>
        </w:rPr>
        <w:t> </w:t>
      </w:r>
      <w:r>
        <w:rPr>
          <w:sz w:val="20"/>
        </w:rPr>
        <w:t>return for the performance of marketing and distribution activities under the ALP would continue to be entitled to this return. Instead, this fixed return (which would only be relevant for large in-scope MNE groups) would act as a test to identify situations when allocating Amount A to a market jurisdiction would give rise to double</w:t>
      </w:r>
      <w:r>
        <w:rPr>
          <w:spacing w:val="-2"/>
          <w:sz w:val="20"/>
        </w:rPr>
        <w:t> </w:t>
      </w:r>
      <w:r>
        <w:rPr>
          <w:sz w:val="20"/>
        </w:rPr>
        <w:t>counting.</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For example, if the fixed return were set at a return on sales of 4%, it would mean that any profits allocated</w:t>
      </w:r>
      <w:r>
        <w:rPr>
          <w:spacing w:val="-10"/>
          <w:sz w:val="20"/>
        </w:rPr>
        <w:t> </w:t>
      </w:r>
      <w:r>
        <w:rPr>
          <w:sz w:val="20"/>
        </w:rPr>
        <w:t>to</w:t>
      </w:r>
      <w:r>
        <w:rPr>
          <w:spacing w:val="-9"/>
          <w:sz w:val="20"/>
        </w:rPr>
        <w:t> </w:t>
      </w:r>
      <w:r>
        <w:rPr>
          <w:sz w:val="20"/>
        </w:rPr>
        <w:t>a</w:t>
      </w:r>
      <w:r>
        <w:rPr>
          <w:spacing w:val="-9"/>
          <w:sz w:val="20"/>
        </w:rPr>
        <w:t> </w:t>
      </w:r>
      <w:r>
        <w:rPr>
          <w:sz w:val="20"/>
        </w:rPr>
        <w:t>market</w:t>
      </w:r>
      <w:r>
        <w:rPr>
          <w:spacing w:val="-9"/>
          <w:sz w:val="20"/>
        </w:rPr>
        <w:t> </w:t>
      </w:r>
      <w:r>
        <w:rPr>
          <w:sz w:val="20"/>
        </w:rPr>
        <w:t>jurisdiction</w:t>
      </w:r>
      <w:r>
        <w:rPr>
          <w:spacing w:val="-10"/>
          <w:sz w:val="20"/>
        </w:rPr>
        <w:t> </w:t>
      </w:r>
      <w:r>
        <w:rPr>
          <w:sz w:val="20"/>
        </w:rPr>
        <w:t>in</w:t>
      </w:r>
      <w:r>
        <w:rPr>
          <w:spacing w:val="-9"/>
          <w:sz w:val="20"/>
        </w:rPr>
        <w:t> </w:t>
      </w:r>
      <w:r>
        <w:rPr>
          <w:sz w:val="20"/>
        </w:rPr>
        <w:t>excess</w:t>
      </w:r>
      <w:r>
        <w:rPr>
          <w:spacing w:val="-8"/>
          <w:sz w:val="20"/>
        </w:rPr>
        <w:t> </w:t>
      </w:r>
      <w:r>
        <w:rPr>
          <w:sz w:val="20"/>
        </w:rPr>
        <w:t>of</w:t>
      </w:r>
      <w:r>
        <w:rPr>
          <w:spacing w:val="-8"/>
          <w:sz w:val="20"/>
        </w:rPr>
        <w:t> </w:t>
      </w:r>
      <w:r>
        <w:rPr>
          <w:sz w:val="20"/>
        </w:rPr>
        <w:t>this</w:t>
      </w:r>
      <w:r>
        <w:rPr>
          <w:spacing w:val="-8"/>
          <w:sz w:val="20"/>
        </w:rPr>
        <w:t> </w:t>
      </w:r>
      <w:r>
        <w:rPr>
          <w:sz w:val="20"/>
        </w:rPr>
        <w:t>return</w:t>
      </w:r>
      <w:r>
        <w:rPr>
          <w:spacing w:val="-9"/>
          <w:sz w:val="20"/>
        </w:rPr>
        <w:t> </w:t>
      </w:r>
      <w:r>
        <w:rPr>
          <w:sz w:val="20"/>
        </w:rPr>
        <w:t>would</w:t>
      </w:r>
      <w:r>
        <w:rPr>
          <w:spacing w:val="-9"/>
          <w:sz w:val="20"/>
        </w:rPr>
        <w:t> </w:t>
      </w:r>
      <w:r>
        <w:rPr>
          <w:sz w:val="20"/>
        </w:rPr>
        <w:t>be</w:t>
      </w:r>
      <w:r>
        <w:rPr>
          <w:spacing w:val="-5"/>
          <w:sz w:val="20"/>
        </w:rPr>
        <w:t> </w:t>
      </w:r>
      <w:r>
        <w:rPr>
          <w:sz w:val="20"/>
        </w:rPr>
        <w:t>deemed</w:t>
      </w:r>
      <w:r>
        <w:rPr>
          <w:spacing w:val="-9"/>
          <w:sz w:val="20"/>
        </w:rPr>
        <w:t> </w:t>
      </w:r>
      <w:r>
        <w:rPr>
          <w:sz w:val="20"/>
        </w:rPr>
        <w:t>to</w:t>
      </w:r>
      <w:r>
        <w:rPr>
          <w:spacing w:val="-10"/>
          <w:sz w:val="20"/>
        </w:rPr>
        <w:t> </w:t>
      </w:r>
      <w:r>
        <w:rPr>
          <w:sz w:val="20"/>
        </w:rPr>
        <w:t>duplicate</w:t>
      </w:r>
      <w:r>
        <w:rPr>
          <w:spacing w:val="-9"/>
          <w:sz w:val="20"/>
        </w:rPr>
        <w:t> </w:t>
      </w:r>
      <w:r>
        <w:rPr>
          <w:sz w:val="20"/>
        </w:rPr>
        <w:t>the</w:t>
      </w:r>
      <w:r>
        <w:rPr>
          <w:spacing w:val="-9"/>
          <w:sz w:val="20"/>
        </w:rPr>
        <w:t> </w:t>
      </w:r>
      <w:r>
        <w:rPr>
          <w:sz w:val="20"/>
        </w:rPr>
        <w:t>return</w:t>
      </w:r>
      <w:r>
        <w:rPr>
          <w:spacing w:val="-9"/>
          <w:sz w:val="20"/>
        </w:rPr>
        <w:t> </w:t>
      </w:r>
      <w:r>
        <w:rPr>
          <w:sz w:val="20"/>
        </w:rPr>
        <w:t>allocated to a market jurisdiction under Amount A. So, if a market jurisdiction were allocated a 3% return under existing profit allocation rules it would receive a full allocation of Amount A, but if it </w:t>
      </w:r>
      <w:r>
        <w:rPr>
          <w:spacing w:val="3"/>
          <w:sz w:val="20"/>
        </w:rPr>
        <w:t>were </w:t>
      </w:r>
      <w:r>
        <w:rPr>
          <w:sz w:val="20"/>
        </w:rPr>
        <w:t>allocated a 5% return, its allocation of Amount A would be reduced by 1% (the difference between the return it receives under the existing profit allocation rules and the fixed return). If a lower fixed return were agreed, the safe harbour</w:t>
      </w:r>
      <w:r>
        <w:rPr>
          <w:spacing w:val="-8"/>
          <w:sz w:val="20"/>
        </w:rPr>
        <w:t> </w:t>
      </w:r>
      <w:r>
        <w:rPr>
          <w:sz w:val="20"/>
        </w:rPr>
        <w:t>would</w:t>
      </w:r>
      <w:r>
        <w:rPr>
          <w:spacing w:val="-8"/>
          <w:sz w:val="20"/>
        </w:rPr>
        <w:t> </w:t>
      </w:r>
      <w:r>
        <w:rPr>
          <w:sz w:val="20"/>
        </w:rPr>
        <w:t>apply</w:t>
      </w:r>
      <w:r>
        <w:rPr>
          <w:spacing w:val="-12"/>
          <w:sz w:val="20"/>
        </w:rPr>
        <w:t> </w:t>
      </w:r>
      <w:r>
        <w:rPr>
          <w:sz w:val="20"/>
        </w:rPr>
        <w:t>to</w:t>
      </w:r>
      <w:r>
        <w:rPr>
          <w:spacing w:val="-11"/>
          <w:sz w:val="20"/>
        </w:rPr>
        <w:t> </w:t>
      </w:r>
      <w:r>
        <w:rPr>
          <w:sz w:val="20"/>
        </w:rPr>
        <w:t>cap</w:t>
      </w:r>
      <w:r>
        <w:rPr>
          <w:spacing w:val="-9"/>
          <w:sz w:val="20"/>
        </w:rPr>
        <w:t> </w:t>
      </w:r>
      <w:r>
        <w:rPr>
          <w:sz w:val="20"/>
        </w:rPr>
        <w:t>the</w:t>
      </w:r>
      <w:r>
        <w:rPr>
          <w:spacing w:val="-8"/>
          <w:sz w:val="20"/>
        </w:rPr>
        <w:t> </w:t>
      </w:r>
      <w:r>
        <w:rPr>
          <w:sz w:val="20"/>
        </w:rPr>
        <w:t>allocation</w:t>
      </w:r>
      <w:r>
        <w:rPr>
          <w:spacing w:val="-10"/>
          <w:sz w:val="20"/>
        </w:rPr>
        <w:t> </w:t>
      </w:r>
      <w:r>
        <w:rPr>
          <w:sz w:val="20"/>
        </w:rPr>
        <w:t>of</w:t>
      </w:r>
      <w:r>
        <w:rPr>
          <w:spacing w:val="-8"/>
          <w:sz w:val="20"/>
        </w:rPr>
        <w:t> </w:t>
      </w:r>
      <w:r>
        <w:rPr>
          <w:sz w:val="20"/>
        </w:rPr>
        <w:t>Amount</w:t>
      </w:r>
      <w:r>
        <w:rPr>
          <w:spacing w:val="-8"/>
          <w:sz w:val="20"/>
        </w:rPr>
        <w:t> </w:t>
      </w:r>
      <w:r>
        <w:rPr>
          <w:sz w:val="20"/>
        </w:rPr>
        <w:t>A</w:t>
      </w:r>
      <w:r>
        <w:rPr>
          <w:spacing w:val="-9"/>
          <w:sz w:val="20"/>
        </w:rPr>
        <w:t> </w:t>
      </w:r>
      <w:r>
        <w:rPr>
          <w:sz w:val="20"/>
        </w:rPr>
        <w:t>more</w:t>
      </w:r>
      <w:r>
        <w:rPr>
          <w:spacing w:val="-12"/>
          <w:sz w:val="20"/>
        </w:rPr>
        <w:t> </w:t>
      </w:r>
      <w:r>
        <w:rPr>
          <w:sz w:val="20"/>
        </w:rPr>
        <w:t>frequently</w:t>
      </w:r>
      <w:r>
        <w:rPr>
          <w:spacing w:val="-12"/>
          <w:sz w:val="20"/>
        </w:rPr>
        <w:t> </w:t>
      </w:r>
      <w:r>
        <w:rPr>
          <w:sz w:val="20"/>
        </w:rPr>
        <w:t>than</w:t>
      </w:r>
      <w:r>
        <w:rPr>
          <w:spacing w:val="-8"/>
          <w:sz w:val="20"/>
        </w:rPr>
        <w:t> </w:t>
      </w:r>
      <w:r>
        <w:rPr>
          <w:sz w:val="20"/>
        </w:rPr>
        <w:t>if</w:t>
      </w:r>
      <w:r>
        <w:rPr>
          <w:spacing w:val="-9"/>
          <w:sz w:val="20"/>
        </w:rPr>
        <w:t> </w:t>
      </w:r>
      <w:r>
        <w:rPr>
          <w:sz w:val="20"/>
        </w:rPr>
        <w:t>a</w:t>
      </w:r>
      <w:r>
        <w:rPr>
          <w:spacing w:val="-11"/>
          <w:sz w:val="20"/>
        </w:rPr>
        <w:t> </w:t>
      </w:r>
      <w:r>
        <w:rPr>
          <w:sz w:val="20"/>
        </w:rPr>
        <w:t>higher</w:t>
      </w:r>
      <w:r>
        <w:rPr>
          <w:spacing w:val="-9"/>
          <w:sz w:val="20"/>
        </w:rPr>
        <w:t> </w:t>
      </w:r>
      <w:r>
        <w:rPr>
          <w:sz w:val="20"/>
        </w:rPr>
        <w:t>return</w:t>
      </w:r>
      <w:r>
        <w:rPr>
          <w:spacing w:val="-9"/>
          <w:sz w:val="20"/>
        </w:rPr>
        <w:t> </w:t>
      </w:r>
      <w:r>
        <w:rPr>
          <w:sz w:val="20"/>
        </w:rPr>
        <w:t>were</w:t>
      </w:r>
      <w:r>
        <w:rPr>
          <w:spacing w:val="-10"/>
          <w:sz w:val="20"/>
        </w:rPr>
        <w:t> </w:t>
      </w:r>
      <w:r>
        <w:rPr>
          <w:sz w:val="20"/>
        </w:rPr>
        <w:t>agreed.</w:t>
      </w:r>
    </w:p>
    <w:p>
      <w:pPr>
        <w:pStyle w:val="ListParagraph"/>
        <w:numPr>
          <w:ilvl w:val="0"/>
          <w:numId w:val="13"/>
        </w:numPr>
        <w:tabs>
          <w:tab w:pos="1444" w:val="left" w:leader="none"/>
        </w:tabs>
        <w:spacing w:line="271" w:lineRule="auto" w:before="121" w:after="0"/>
        <w:ind w:left="723" w:right="477" w:firstLine="0"/>
        <w:jc w:val="both"/>
        <w:rPr>
          <w:sz w:val="20"/>
        </w:rPr>
      </w:pPr>
      <w:r>
        <w:rPr>
          <w:sz w:val="20"/>
        </w:rPr>
        <w:t>The fixed return could be computed in a variety of different ways, but perhaps the simplest approach</w:t>
      </w:r>
      <w:r>
        <w:rPr>
          <w:spacing w:val="-9"/>
          <w:sz w:val="20"/>
        </w:rPr>
        <w:t> </w:t>
      </w:r>
      <w:r>
        <w:rPr>
          <w:sz w:val="20"/>
        </w:rPr>
        <w:t>would</w:t>
      </w:r>
      <w:r>
        <w:rPr>
          <w:spacing w:val="-12"/>
          <w:sz w:val="20"/>
        </w:rPr>
        <w:t> </w:t>
      </w:r>
      <w:r>
        <w:rPr>
          <w:sz w:val="20"/>
        </w:rPr>
        <w:t>be</w:t>
      </w:r>
      <w:r>
        <w:rPr>
          <w:spacing w:val="-9"/>
          <w:sz w:val="20"/>
        </w:rPr>
        <w:t> </w:t>
      </w:r>
      <w:r>
        <w:rPr>
          <w:sz w:val="20"/>
        </w:rPr>
        <w:t>to</w:t>
      </w:r>
      <w:r>
        <w:rPr>
          <w:spacing w:val="-11"/>
          <w:sz w:val="20"/>
        </w:rPr>
        <w:t> </w:t>
      </w:r>
      <w:r>
        <w:rPr>
          <w:sz w:val="20"/>
        </w:rPr>
        <w:t>agree</w:t>
      </w:r>
      <w:r>
        <w:rPr>
          <w:spacing w:val="-9"/>
          <w:sz w:val="20"/>
        </w:rPr>
        <w:t> </w:t>
      </w:r>
      <w:r>
        <w:rPr>
          <w:sz w:val="20"/>
        </w:rPr>
        <w:t>a</w:t>
      </w:r>
      <w:r>
        <w:rPr>
          <w:spacing w:val="-11"/>
          <w:sz w:val="20"/>
        </w:rPr>
        <w:t> </w:t>
      </w:r>
      <w:r>
        <w:rPr>
          <w:sz w:val="20"/>
        </w:rPr>
        <w:t>single</w:t>
      </w:r>
      <w:r>
        <w:rPr>
          <w:spacing w:val="-12"/>
          <w:sz w:val="20"/>
        </w:rPr>
        <w:t> </w:t>
      </w:r>
      <w:r>
        <w:rPr>
          <w:sz w:val="20"/>
        </w:rPr>
        <w:t>fixed</w:t>
      </w:r>
      <w:r>
        <w:rPr>
          <w:spacing w:val="-11"/>
          <w:sz w:val="20"/>
        </w:rPr>
        <w:t> </w:t>
      </w:r>
      <w:r>
        <w:rPr>
          <w:sz w:val="20"/>
        </w:rPr>
        <w:t>return</w:t>
      </w:r>
      <w:r>
        <w:rPr>
          <w:spacing w:val="-9"/>
          <w:sz w:val="20"/>
        </w:rPr>
        <w:t> </w:t>
      </w:r>
      <w:r>
        <w:rPr>
          <w:sz w:val="20"/>
        </w:rPr>
        <w:t>on</w:t>
      </w:r>
      <w:r>
        <w:rPr>
          <w:spacing w:val="-11"/>
          <w:sz w:val="20"/>
        </w:rPr>
        <w:t> </w:t>
      </w:r>
      <w:r>
        <w:rPr>
          <w:sz w:val="20"/>
        </w:rPr>
        <w:t>sales</w:t>
      </w:r>
      <w:r>
        <w:rPr>
          <w:spacing w:val="-10"/>
          <w:sz w:val="20"/>
        </w:rPr>
        <w:t> </w:t>
      </w:r>
      <w:r>
        <w:rPr>
          <w:sz w:val="20"/>
        </w:rPr>
        <w:t>that</w:t>
      </w:r>
      <w:r>
        <w:rPr>
          <w:spacing w:val="-9"/>
          <w:sz w:val="20"/>
        </w:rPr>
        <w:t> </w:t>
      </w:r>
      <w:r>
        <w:rPr>
          <w:sz w:val="20"/>
        </w:rPr>
        <w:t>would</w:t>
      </w:r>
      <w:r>
        <w:rPr>
          <w:spacing w:val="-11"/>
          <w:sz w:val="20"/>
        </w:rPr>
        <w:t> </w:t>
      </w:r>
      <w:r>
        <w:rPr>
          <w:sz w:val="20"/>
        </w:rPr>
        <w:t>be</w:t>
      </w:r>
      <w:r>
        <w:rPr>
          <w:spacing w:val="-12"/>
          <w:sz w:val="20"/>
        </w:rPr>
        <w:t> </w:t>
      </w:r>
      <w:r>
        <w:rPr>
          <w:sz w:val="20"/>
        </w:rPr>
        <w:t>applied</w:t>
      </w:r>
      <w:r>
        <w:rPr>
          <w:spacing w:val="-11"/>
          <w:sz w:val="20"/>
        </w:rPr>
        <w:t> </w:t>
      </w:r>
      <w:r>
        <w:rPr>
          <w:sz w:val="20"/>
        </w:rPr>
        <w:t>to</w:t>
      </w:r>
      <w:r>
        <w:rPr>
          <w:spacing w:val="-12"/>
          <w:sz w:val="20"/>
        </w:rPr>
        <w:t> </w:t>
      </w:r>
      <w:r>
        <w:rPr>
          <w:sz w:val="20"/>
        </w:rPr>
        <w:t>in-scope</w:t>
      </w:r>
      <w:r>
        <w:rPr>
          <w:spacing w:val="-11"/>
          <w:sz w:val="20"/>
        </w:rPr>
        <w:t> </w:t>
      </w:r>
      <w:r>
        <w:rPr>
          <w:sz w:val="20"/>
        </w:rPr>
        <w:t>locally</w:t>
      </w:r>
      <w:r>
        <w:rPr>
          <w:spacing w:val="-16"/>
          <w:sz w:val="20"/>
        </w:rPr>
        <w:t> </w:t>
      </w:r>
      <w:r>
        <w:rPr>
          <w:sz w:val="20"/>
        </w:rPr>
        <w:t>sourced revenue (as determined under the revenue-sourcing rules). This approach would draw on an existing component of the Amount A formula and would therefore avoid some of the challenges that would arise under</w:t>
      </w:r>
      <w:r>
        <w:rPr>
          <w:spacing w:val="-10"/>
          <w:sz w:val="20"/>
        </w:rPr>
        <w:t> </w:t>
      </w:r>
      <w:r>
        <w:rPr>
          <w:sz w:val="20"/>
        </w:rPr>
        <w:t>a</w:t>
      </w:r>
      <w:r>
        <w:rPr>
          <w:spacing w:val="-9"/>
          <w:sz w:val="20"/>
        </w:rPr>
        <w:t> </w:t>
      </w:r>
      <w:r>
        <w:rPr>
          <w:sz w:val="20"/>
        </w:rPr>
        <w:t>different</w:t>
      </w:r>
      <w:r>
        <w:rPr>
          <w:spacing w:val="-12"/>
          <w:sz w:val="20"/>
        </w:rPr>
        <w:t> </w:t>
      </w:r>
      <w:r>
        <w:rPr>
          <w:sz w:val="20"/>
        </w:rPr>
        <w:t>approach,</w:t>
      </w:r>
      <w:r>
        <w:rPr>
          <w:spacing w:val="-8"/>
          <w:sz w:val="20"/>
        </w:rPr>
        <w:t> </w:t>
      </w:r>
      <w:r>
        <w:rPr>
          <w:sz w:val="20"/>
        </w:rPr>
        <w:t>specifically</w:t>
      </w:r>
      <w:r>
        <w:rPr>
          <w:spacing w:val="-15"/>
          <w:sz w:val="20"/>
        </w:rPr>
        <w:t> </w:t>
      </w:r>
      <w:r>
        <w:rPr>
          <w:sz w:val="20"/>
        </w:rPr>
        <w:t>in</w:t>
      </w:r>
      <w:r>
        <w:rPr>
          <w:spacing w:val="-12"/>
          <w:sz w:val="20"/>
        </w:rPr>
        <w:t> </w:t>
      </w:r>
      <w:r>
        <w:rPr>
          <w:sz w:val="20"/>
        </w:rPr>
        <w:t>defining</w:t>
      </w:r>
      <w:r>
        <w:rPr>
          <w:spacing w:val="-11"/>
          <w:sz w:val="20"/>
        </w:rPr>
        <w:t> </w:t>
      </w:r>
      <w:r>
        <w:rPr>
          <w:sz w:val="20"/>
        </w:rPr>
        <w:t>the</w:t>
      </w:r>
      <w:r>
        <w:rPr>
          <w:spacing w:val="-9"/>
          <w:sz w:val="20"/>
        </w:rPr>
        <w:t> </w:t>
      </w:r>
      <w:r>
        <w:rPr>
          <w:sz w:val="20"/>
        </w:rPr>
        <w:t>base</w:t>
      </w:r>
      <w:r>
        <w:rPr>
          <w:spacing w:val="-12"/>
          <w:sz w:val="20"/>
        </w:rPr>
        <w:t> </w:t>
      </w:r>
      <w:r>
        <w:rPr>
          <w:sz w:val="20"/>
        </w:rPr>
        <w:t>(e.g.</w:t>
      </w:r>
      <w:r>
        <w:rPr>
          <w:spacing w:val="-10"/>
          <w:sz w:val="20"/>
        </w:rPr>
        <w:t> </w:t>
      </w:r>
      <w:r>
        <w:rPr>
          <w:sz w:val="20"/>
        </w:rPr>
        <w:t>sales</w:t>
      </w:r>
      <w:r>
        <w:rPr>
          <w:spacing w:val="-10"/>
          <w:sz w:val="20"/>
        </w:rPr>
        <w:t> </w:t>
      </w:r>
      <w:r>
        <w:rPr>
          <w:sz w:val="20"/>
        </w:rPr>
        <w:t>or</w:t>
      </w:r>
      <w:r>
        <w:rPr>
          <w:spacing w:val="-11"/>
          <w:sz w:val="20"/>
        </w:rPr>
        <w:t> </w:t>
      </w:r>
      <w:r>
        <w:rPr>
          <w:sz w:val="20"/>
        </w:rPr>
        <w:t>costs)</w:t>
      </w:r>
      <w:r>
        <w:rPr>
          <w:spacing w:val="-10"/>
          <w:sz w:val="20"/>
        </w:rPr>
        <w:t> </w:t>
      </w:r>
      <w:r>
        <w:rPr>
          <w:sz w:val="20"/>
        </w:rPr>
        <w:t>to</w:t>
      </w:r>
      <w:r>
        <w:rPr>
          <w:spacing w:val="-11"/>
          <w:sz w:val="20"/>
        </w:rPr>
        <w:t> </w:t>
      </w:r>
      <w:r>
        <w:rPr>
          <w:sz w:val="20"/>
        </w:rPr>
        <w:t>which</w:t>
      </w:r>
      <w:r>
        <w:rPr>
          <w:spacing w:val="-12"/>
          <w:sz w:val="20"/>
        </w:rPr>
        <w:t> </w:t>
      </w:r>
      <w:r>
        <w:rPr>
          <w:sz w:val="20"/>
        </w:rPr>
        <w:t>a</w:t>
      </w:r>
      <w:r>
        <w:rPr>
          <w:spacing w:val="-11"/>
          <w:sz w:val="20"/>
        </w:rPr>
        <w:t> </w:t>
      </w:r>
      <w:r>
        <w:rPr>
          <w:sz w:val="20"/>
        </w:rPr>
        <w:t>margin</w:t>
      </w:r>
      <w:r>
        <w:rPr>
          <w:spacing w:val="-12"/>
          <w:sz w:val="20"/>
        </w:rPr>
        <w:t> </w:t>
      </w:r>
      <w:r>
        <w:rPr>
          <w:sz w:val="20"/>
        </w:rPr>
        <w:t>or</w:t>
      </w:r>
      <w:r>
        <w:rPr>
          <w:spacing w:val="-11"/>
          <w:sz w:val="20"/>
        </w:rPr>
        <w:t> </w:t>
      </w:r>
      <w:r>
        <w:rPr>
          <w:spacing w:val="2"/>
          <w:sz w:val="20"/>
        </w:rPr>
        <w:t>mark- </w:t>
      </w:r>
      <w:r>
        <w:rPr>
          <w:sz w:val="20"/>
        </w:rPr>
        <w:t>up would need to be</w:t>
      </w:r>
      <w:r>
        <w:rPr>
          <w:spacing w:val="-6"/>
          <w:sz w:val="20"/>
        </w:rPr>
        <w:t> </w:t>
      </w:r>
      <w:r>
        <w:rPr>
          <w:sz w:val="20"/>
        </w:rPr>
        <w:t>applied.</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4" w:firstLine="0"/>
        <w:jc w:val="both"/>
        <w:rPr>
          <w:sz w:val="20"/>
        </w:rPr>
      </w:pPr>
      <w:r>
        <w:rPr>
          <w:sz w:val="20"/>
        </w:rPr>
        <w:t>Although</w:t>
      </w:r>
      <w:r>
        <w:rPr>
          <w:spacing w:val="-7"/>
          <w:sz w:val="20"/>
        </w:rPr>
        <w:t> </w:t>
      </w:r>
      <w:r>
        <w:rPr>
          <w:sz w:val="20"/>
        </w:rPr>
        <w:t>the</w:t>
      </w:r>
      <w:r>
        <w:rPr>
          <w:spacing w:val="-6"/>
          <w:sz w:val="20"/>
        </w:rPr>
        <w:t> </w:t>
      </w:r>
      <w:r>
        <w:rPr>
          <w:sz w:val="20"/>
        </w:rPr>
        <w:t>fixed</w:t>
      </w:r>
      <w:r>
        <w:rPr>
          <w:spacing w:val="-6"/>
          <w:sz w:val="20"/>
        </w:rPr>
        <w:t> </w:t>
      </w:r>
      <w:r>
        <w:rPr>
          <w:sz w:val="20"/>
        </w:rPr>
        <w:t>return</w:t>
      </w:r>
      <w:r>
        <w:rPr>
          <w:spacing w:val="-3"/>
          <w:sz w:val="20"/>
        </w:rPr>
        <w:t> </w:t>
      </w:r>
      <w:r>
        <w:rPr>
          <w:sz w:val="20"/>
        </w:rPr>
        <w:t>would</w:t>
      </w:r>
      <w:r>
        <w:rPr>
          <w:spacing w:val="-6"/>
          <w:sz w:val="20"/>
        </w:rPr>
        <w:t> </w:t>
      </w:r>
      <w:r>
        <w:rPr>
          <w:sz w:val="20"/>
        </w:rPr>
        <w:t>not</w:t>
      </w:r>
      <w:r>
        <w:rPr>
          <w:spacing w:val="-5"/>
          <w:sz w:val="20"/>
        </w:rPr>
        <w:t> </w:t>
      </w:r>
      <w:r>
        <w:rPr>
          <w:sz w:val="20"/>
        </w:rPr>
        <w:t>seek</w:t>
      </w:r>
      <w:r>
        <w:rPr>
          <w:spacing w:val="-2"/>
          <w:sz w:val="20"/>
        </w:rPr>
        <w:t> </w:t>
      </w:r>
      <w:r>
        <w:rPr>
          <w:sz w:val="20"/>
        </w:rPr>
        <w:t>to</w:t>
      </w:r>
      <w:r>
        <w:rPr>
          <w:spacing w:val="-6"/>
          <w:sz w:val="20"/>
        </w:rPr>
        <w:t> </w:t>
      </w:r>
      <w:r>
        <w:rPr>
          <w:sz w:val="20"/>
        </w:rPr>
        <w:t>be</w:t>
      </w:r>
      <w:r>
        <w:rPr>
          <w:spacing w:val="-6"/>
          <w:sz w:val="20"/>
        </w:rPr>
        <w:t> </w:t>
      </w:r>
      <w:r>
        <w:rPr>
          <w:sz w:val="20"/>
        </w:rPr>
        <w:t>consistent</w:t>
      </w:r>
      <w:r>
        <w:rPr>
          <w:spacing w:val="-3"/>
          <w:sz w:val="20"/>
        </w:rPr>
        <w:t> </w:t>
      </w:r>
      <w:r>
        <w:rPr>
          <w:sz w:val="20"/>
        </w:rPr>
        <w:t>with</w:t>
      </w:r>
      <w:r>
        <w:rPr>
          <w:spacing w:val="-6"/>
          <w:sz w:val="20"/>
        </w:rPr>
        <w:t> </w:t>
      </w:r>
      <w:r>
        <w:rPr>
          <w:sz w:val="20"/>
        </w:rPr>
        <w:t>the</w:t>
      </w:r>
      <w:r>
        <w:rPr>
          <w:spacing w:val="-5"/>
          <w:sz w:val="20"/>
        </w:rPr>
        <w:t> </w:t>
      </w:r>
      <w:r>
        <w:rPr>
          <w:sz w:val="20"/>
        </w:rPr>
        <w:t>ALP,</w:t>
      </w:r>
      <w:r>
        <w:rPr>
          <w:spacing w:val="-5"/>
          <w:sz w:val="20"/>
        </w:rPr>
        <w:t> </w:t>
      </w:r>
      <w:r>
        <w:rPr>
          <w:sz w:val="20"/>
        </w:rPr>
        <w:t>it</w:t>
      </w:r>
      <w:r>
        <w:rPr>
          <w:spacing w:val="-5"/>
          <w:sz w:val="20"/>
        </w:rPr>
        <w:t> </w:t>
      </w:r>
      <w:r>
        <w:rPr>
          <w:sz w:val="20"/>
        </w:rPr>
        <w:t>could</w:t>
      </w:r>
      <w:r>
        <w:rPr>
          <w:spacing w:val="-6"/>
          <w:sz w:val="20"/>
        </w:rPr>
        <w:t> </w:t>
      </w:r>
      <w:r>
        <w:rPr>
          <w:sz w:val="20"/>
        </w:rPr>
        <w:t>be</w:t>
      </w:r>
      <w:r>
        <w:rPr>
          <w:spacing w:val="-6"/>
          <w:sz w:val="20"/>
        </w:rPr>
        <w:t> </w:t>
      </w:r>
      <w:r>
        <w:rPr>
          <w:sz w:val="20"/>
        </w:rPr>
        <w:t>agreed</w:t>
      </w:r>
      <w:r>
        <w:rPr>
          <w:spacing w:val="-6"/>
          <w:sz w:val="20"/>
        </w:rPr>
        <w:t> </w:t>
      </w:r>
      <w:r>
        <w:rPr>
          <w:sz w:val="20"/>
        </w:rPr>
        <w:t>that</w:t>
      </w:r>
      <w:r>
        <w:rPr>
          <w:spacing w:val="-6"/>
          <w:sz w:val="20"/>
        </w:rPr>
        <w:t> </w:t>
      </w:r>
      <w:r>
        <w:rPr>
          <w:sz w:val="20"/>
        </w:rPr>
        <w:t>the fixed</w:t>
      </w:r>
      <w:r>
        <w:rPr>
          <w:spacing w:val="-6"/>
          <w:sz w:val="20"/>
        </w:rPr>
        <w:t> </w:t>
      </w:r>
      <w:r>
        <w:rPr>
          <w:sz w:val="20"/>
        </w:rPr>
        <w:t>return</w:t>
      </w:r>
      <w:r>
        <w:rPr>
          <w:spacing w:val="-5"/>
          <w:sz w:val="20"/>
        </w:rPr>
        <w:t> </w:t>
      </w:r>
      <w:r>
        <w:rPr>
          <w:sz w:val="20"/>
        </w:rPr>
        <w:t>could</w:t>
      </w:r>
      <w:r>
        <w:rPr>
          <w:spacing w:val="-4"/>
          <w:sz w:val="20"/>
        </w:rPr>
        <w:t> </w:t>
      </w:r>
      <w:r>
        <w:rPr>
          <w:sz w:val="20"/>
        </w:rPr>
        <w:t>vary</w:t>
      </w:r>
      <w:r>
        <w:rPr>
          <w:spacing w:val="-5"/>
          <w:sz w:val="20"/>
        </w:rPr>
        <w:t> </w:t>
      </w:r>
      <w:r>
        <w:rPr>
          <w:sz w:val="20"/>
        </w:rPr>
        <w:t>by</w:t>
      </w:r>
      <w:r>
        <w:rPr>
          <w:spacing w:val="-9"/>
          <w:sz w:val="20"/>
        </w:rPr>
        <w:t> </w:t>
      </w:r>
      <w:r>
        <w:rPr>
          <w:sz w:val="20"/>
        </w:rPr>
        <w:t>region</w:t>
      </w:r>
      <w:r>
        <w:rPr>
          <w:spacing w:val="-5"/>
          <w:sz w:val="20"/>
        </w:rPr>
        <w:t> </w:t>
      </w:r>
      <w:r>
        <w:rPr>
          <w:sz w:val="20"/>
        </w:rPr>
        <w:t>or</w:t>
      </w:r>
      <w:r>
        <w:rPr>
          <w:spacing w:val="-3"/>
          <w:sz w:val="20"/>
        </w:rPr>
        <w:t> </w:t>
      </w:r>
      <w:r>
        <w:rPr>
          <w:sz w:val="20"/>
        </w:rPr>
        <w:t>industry</w:t>
      </w:r>
      <w:r>
        <w:rPr>
          <w:spacing w:val="-4"/>
          <w:sz w:val="20"/>
        </w:rPr>
        <w:t> </w:t>
      </w:r>
      <w:r>
        <w:rPr>
          <w:sz w:val="20"/>
        </w:rPr>
        <w:t>(but</w:t>
      </w:r>
      <w:r>
        <w:rPr>
          <w:spacing w:val="-3"/>
          <w:sz w:val="20"/>
        </w:rPr>
        <w:t> </w:t>
      </w:r>
      <w:r>
        <w:rPr>
          <w:sz w:val="20"/>
        </w:rPr>
        <w:t>probably</w:t>
      </w:r>
      <w:r>
        <w:rPr>
          <w:spacing w:val="-8"/>
          <w:sz w:val="20"/>
        </w:rPr>
        <w:t> </w:t>
      </w:r>
      <w:r>
        <w:rPr>
          <w:sz w:val="20"/>
        </w:rPr>
        <w:t>not</w:t>
      </w:r>
      <w:r>
        <w:rPr>
          <w:spacing w:val="-5"/>
          <w:sz w:val="20"/>
        </w:rPr>
        <w:t> </w:t>
      </w:r>
      <w:r>
        <w:rPr>
          <w:sz w:val="20"/>
        </w:rPr>
        <w:t>based</w:t>
      </w:r>
      <w:r>
        <w:rPr>
          <w:spacing w:val="-5"/>
          <w:sz w:val="20"/>
        </w:rPr>
        <w:t> </w:t>
      </w:r>
      <w:r>
        <w:rPr>
          <w:sz w:val="20"/>
        </w:rPr>
        <w:t>on</w:t>
      </w:r>
      <w:r>
        <w:rPr>
          <w:spacing w:val="-6"/>
          <w:sz w:val="20"/>
        </w:rPr>
        <w:t> </w:t>
      </w:r>
      <w:r>
        <w:rPr>
          <w:sz w:val="20"/>
        </w:rPr>
        <w:t>functions).</w:t>
      </w:r>
      <w:r>
        <w:rPr>
          <w:spacing w:val="-2"/>
          <w:sz w:val="20"/>
        </w:rPr>
        <w:t> </w:t>
      </w:r>
      <w:r>
        <w:rPr>
          <w:sz w:val="20"/>
        </w:rPr>
        <w:t>For</w:t>
      </w:r>
      <w:r>
        <w:rPr>
          <w:spacing w:val="-5"/>
          <w:sz w:val="20"/>
        </w:rPr>
        <w:t> </w:t>
      </w:r>
      <w:r>
        <w:rPr>
          <w:sz w:val="20"/>
        </w:rPr>
        <w:t>example,</w:t>
      </w:r>
      <w:r>
        <w:rPr>
          <w:spacing w:val="-5"/>
          <w:sz w:val="20"/>
        </w:rPr>
        <w:t> </w:t>
      </w:r>
      <w:r>
        <w:rPr>
          <w:sz w:val="20"/>
        </w:rPr>
        <w:t>it</w:t>
      </w:r>
      <w:r>
        <w:rPr>
          <w:spacing w:val="-5"/>
          <w:sz w:val="20"/>
        </w:rPr>
        <w:t> </w:t>
      </w:r>
      <w:r>
        <w:rPr>
          <w:sz w:val="20"/>
        </w:rPr>
        <w:t>may</w:t>
      </w:r>
      <w:r>
        <w:rPr>
          <w:spacing w:val="-8"/>
          <w:sz w:val="20"/>
        </w:rPr>
        <w:t> </w:t>
      </w:r>
      <w:r>
        <w:rPr>
          <w:sz w:val="20"/>
        </w:rPr>
        <w:t>be argued that as pharmaceutical distributors are typically allocated a higher return under the ALP, the fixed return for pharmaceutical businesses could also be higher under the safe harbour. This would mean that a</w:t>
      </w:r>
      <w:r>
        <w:rPr>
          <w:spacing w:val="-15"/>
          <w:sz w:val="20"/>
        </w:rPr>
        <w:t> </w:t>
      </w:r>
      <w:r>
        <w:rPr>
          <w:sz w:val="20"/>
        </w:rPr>
        <w:t>pharmaceutical</w:t>
      </w:r>
      <w:r>
        <w:rPr>
          <w:spacing w:val="-13"/>
          <w:sz w:val="20"/>
        </w:rPr>
        <w:t> </w:t>
      </w:r>
      <w:r>
        <w:rPr>
          <w:sz w:val="20"/>
        </w:rPr>
        <w:t>business</w:t>
      </w:r>
      <w:r>
        <w:rPr>
          <w:spacing w:val="-12"/>
          <w:sz w:val="20"/>
        </w:rPr>
        <w:t> </w:t>
      </w:r>
      <w:r>
        <w:rPr>
          <w:sz w:val="20"/>
        </w:rPr>
        <w:t>would</w:t>
      </w:r>
      <w:r>
        <w:rPr>
          <w:spacing w:val="-15"/>
          <w:sz w:val="20"/>
        </w:rPr>
        <w:t> </w:t>
      </w:r>
      <w:r>
        <w:rPr>
          <w:sz w:val="20"/>
        </w:rPr>
        <w:t>need</w:t>
      </w:r>
      <w:r>
        <w:rPr>
          <w:spacing w:val="-14"/>
          <w:sz w:val="20"/>
        </w:rPr>
        <w:t> </w:t>
      </w:r>
      <w:r>
        <w:rPr>
          <w:sz w:val="20"/>
        </w:rPr>
        <w:t>to</w:t>
      </w:r>
      <w:r>
        <w:rPr>
          <w:spacing w:val="-13"/>
          <w:sz w:val="20"/>
        </w:rPr>
        <w:t> </w:t>
      </w:r>
      <w:r>
        <w:rPr>
          <w:sz w:val="20"/>
        </w:rPr>
        <w:t>allocate</w:t>
      </w:r>
      <w:r>
        <w:rPr>
          <w:spacing w:val="-14"/>
          <w:sz w:val="20"/>
        </w:rPr>
        <w:t> </w:t>
      </w:r>
      <w:r>
        <w:rPr>
          <w:sz w:val="20"/>
        </w:rPr>
        <w:t>a</w:t>
      </w:r>
      <w:r>
        <w:rPr>
          <w:spacing w:val="-15"/>
          <w:sz w:val="20"/>
        </w:rPr>
        <w:t> </w:t>
      </w:r>
      <w:r>
        <w:rPr>
          <w:sz w:val="20"/>
        </w:rPr>
        <w:t>higher</w:t>
      </w:r>
      <w:r>
        <w:rPr>
          <w:spacing w:val="-14"/>
          <w:sz w:val="20"/>
        </w:rPr>
        <w:t> </w:t>
      </w:r>
      <w:r>
        <w:rPr>
          <w:sz w:val="20"/>
        </w:rPr>
        <w:t>return</w:t>
      </w:r>
      <w:r>
        <w:rPr>
          <w:spacing w:val="-14"/>
          <w:sz w:val="20"/>
        </w:rPr>
        <w:t> </w:t>
      </w:r>
      <w:r>
        <w:rPr>
          <w:sz w:val="20"/>
        </w:rPr>
        <w:t>to</w:t>
      </w:r>
      <w:r>
        <w:rPr>
          <w:spacing w:val="-13"/>
          <w:sz w:val="20"/>
        </w:rPr>
        <w:t> </w:t>
      </w:r>
      <w:r>
        <w:rPr>
          <w:sz w:val="20"/>
        </w:rPr>
        <w:t>a</w:t>
      </w:r>
      <w:r>
        <w:rPr>
          <w:spacing w:val="-14"/>
          <w:sz w:val="20"/>
        </w:rPr>
        <w:t> </w:t>
      </w:r>
      <w:r>
        <w:rPr>
          <w:sz w:val="20"/>
        </w:rPr>
        <w:t>market</w:t>
      </w:r>
      <w:r>
        <w:rPr>
          <w:spacing w:val="-15"/>
          <w:sz w:val="20"/>
        </w:rPr>
        <w:t> </w:t>
      </w:r>
      <w:r>
        <w:rPr>
          <w:sz w:val="20"/>
        </w:rPr>
        <w:t>jurisdiction</w:t>
      </w:r>
      <w:r>
        <w:rPr>
          <w:spacing w:val="-14"/>
          <w:sz w:val="20"/>
        </w:rPr>
        <w:t> </w:t>
      </w:r>
      <w:r>
        <w:rPr>
          <w:sz w:val="20"/>
        </w:rPr>
        <w:t>under</w:t>
      </w:r>
      <w:r>
        <w:rPr>
          <w:spacing w:val="-14"/>
          <w:sz w:val="20"/>
        </w:rPr>
        <w:t> </w:t>
      </w:r>
      <w:r>
        <w:rPr>
          <w:sz w:val="20"/>
        </w:rPr>
        <w:t>the</w:t>
      </w:r>
      <w:r>
        <w:rPr>
          <w:spacing w:val="-14"/>
          <w:sz w:val="20"/>
        </w:rPr>
        <w:t> </w:t>
      </w:r>
      <w:r>
        <w:rPr>
          <w:sz w:val="20"/>
        </w:rPr>
        <w:t>existing profit allocation rules than a comparable business in another sector to benefit from the safe harbour. However,</w:t>
      </w:r>
      <w:r>
        <w:rPr>
          <w:spacing w:val="-8"/>
          <w:sz w:val="20"/>
        </w:rPr>
        <w:t> </w:t>
      </w:r>
      <w:r>
        <w:rPr>
          <w:sz w:val="20"/>
        </w:rPr>
        <w:t>for</w:t>
      </w:r>
      <w:r>
        <w:rPr>
          <w:spacing w:val="-7"/>
          <w:sz w:val="20"/>
        </w:rPr>
        <w:t> </w:t>
      </w:r>
      <w:r>
        <w:rPr>
          <w:sz w:val="20"/>
        </w:rPr>
        <w:t>simplicity</w:t>
      </w:r>
      <w:r>
        <w:rPr>
          <w:spacing w:val="-10"/>
          <w:sz w:val="20"/>
        </w:rPr>
        <w:t> </w:t>
      </w:r>
      <w:r>
        <w:rPr>
          <w:sz w:val="20"/>
        </w:rPr>
        <w:t>it</w:t>
      </w:r>
      <w:r>
        <w:rPr>
          <w:spacing w:val="-6"/>
          <w:sz w:val="20"/>
        </w:rPr>
        <w:t> </w:t>
      </w:r>
      <w:r>
        <w:rPr>
          <w:sz w:val="20"/>
        </w:rPr>
        <w:t>could</w:t>
      </w:r>
      <w:r>
        <w:rPr>
          <w:spacing w:val="-7"/>
          <w:sz w:val="20"/>
        </w:rPr>
        <w:t> </w:t>
      </w:r>
      <w:r>
        <w:rPr>
          <w:sz w:val="20"/>
        </w:rPr>
        <w:t>also</w:t>
      </w:r>
      <w:r>
        <w:rPr>
          <w:spacing w:val="-8"/>
          <w:sz w:val="20"/>
        </w:rPr>
        <w:t> </w:t>
      </w:r>
      <w:r>
        <w:rPr>
          <w:sz w:val="20"/>
        </w:rPr>
        <w:t>be</w:t>
      </w:r>
      <w:r>
        <w:rPr>
          <w:spacing w:val="-9"/>
          <w:sz w:val="20"/>
        </w:rPr>
        <w:t> </w:t>
      </w:r>
      <w:r>
        <w:rPr>
          <w:sz w:val="20"/>
        </w:rPr>
        <w:t>agreed</w:t>
      </w:r>
      <w:r>
        <w:rPr>
          <w:spacing w:val="-8"/>
          <w:sz w:val="20"/>
        </w:rPr>
        <w:t> </w:t>
      </w:r>
      <w:r>
        <w:rPr>
          <w:sz w:val="20"/>
        </w:rPr>
        <w:t>that</w:t>
      </w:r>
      <w:r>
        <w:rPr>
          <w:spacing w:val="-7"/>
          <w:sz w:val="20"/>
        </w:rPr>
        <w:t> </w:t>
      </w:r>
      <w:r>
        <w:rPr>
          <w:sz w:val="20"/>
        </w:rPr>
        <w:t>there</w:t>
      </w:r>
      <w:r>
        <w:rPr>
          <w:spacing w:val="-8"/>
          <w:sz w:val="20"/>
        </w:rPr>
        <w:t> </w:t>
      </w:r>
      <w:r>
        <w:rPr>
          <w:sz w:val="20"/>
        </w:rPr>
        <w:t>should</w:t>
      </w:r>
      <w:r>
        <w:rPr>
          <w:spacing w:val="-7"/>
          <w:sz w:val="20"/>
        </w:rPr>
        <w:t> </w:t>
      </w:r>
      <w:r>
        <w:rPr>
          <w:sz w:val="20"/>
        </w:rPr>
        <w:t>be</w:t>
      </w:r>
      <w:r>
        <w:rPr>
          <w:spacing w:val="-8"/>
          <w:sz w:val="20"/>
        </w:rPr>
        <w:t> </w:t>
      </w:r>
      <w:r>
        <w:rPr>
          <w:sz w:val="20"/>
        </w:rPr>
        <w:t>a</w:t>
      </w:r>
      <w:r>
        <w:rPr>
          <w:spacing w:val="-7"/>
          <w:sz w:val="20"/>
        </w:rPr>
        <w:t> </w:t>
      </w:r>
      <w:r>
        <w:rPr>
          <w:sz w:val="20"/>
        </w:rPr>
        <w:t>single</w:t>
      </w:r>
      <w:r>
        <w:rPr>
          <w:spacing w:val="-8"/>
          <w:sz w:val="20"/>
        </w:rPr>
        <w:t> </w:t>
      </w:r>
      <w:r>
        <w:rPr>
          <w:sz w:val="20"/>
        </w:rPr>
        <w:t>fixed</w:t>
      </w:r>
      <w:r>
        <w:rPr>
          <w:spacing w:val="-9"/>
          <w:sz w:val="20"/>
        </w:rPr>
        <w:t> </w:t>
      </w:r>
      <w:r>
        <w:rPr>
          <w:sz w:val="20"/>
        </w:rPr>
        <w:t>rate</w:t>
      </w:r>
      <w:r>
        <w:rPr>
          <w:spacing w:val="-6"/>
          <w:sz w:val="20"/>
        </w:rPr>
        <w:t> </w:t>
      </w:r>
      <w:r>
        <w:rPr>
          <w:sz w:val="20"/>
        </w:rPr>
        <w:t>applicable</w:t>
      </w:r>
      <w:r>
        <w:rPr>
          <w:spacing w:val="-9"/>
          <w:sz w:val="20"/>
        </w:rPr>
        <w:t> </w:t>
      </w:r>
      <w:r>
        <w:rPr>
          <w:sz w:val="20"/>
        </w:rPr>
        <w:t>across</w:t>
      </w:r>
      <w:r>
        <w:rPr>
          <w:spacing w:val="-7"/>
          <w:sz w:val="20"/>
        </w:rPr>
        <w:t> </w:t>
      </w:r>
      <w:r>
        <w:rPr>
          <w:sz w:val="20"/>
        </w:rPr>
        <w:t>all regions and</w:t>
      </w:r>
      <w:r>
        <w:rPr>
          <w:spacing w:val="-2"/>
          <w:sz w:val="20"/>
        </w:rPr>
        <w:t> </w:t>
      </w:r>
      <w:r>
        <w:rPr>
          <w:sz w:val="20"/>
        </w:rPr>
        <w:t>industries.</w:t>
      </w:r>
      <w:r>
        <w:rPr>
          <w:position w:val="6"/>
          <w:sz w:val="13"/>
        </w:rPr>
        <w:t>106</w:t>
      </w:r>
    </w:p>
    <w:p>
      <w:pPr>
        <w:pStyle w:val="ListParagraph"/>
        <w:numPr>
          <w:ilvl w:val="0"/>
          <w:numId w:val="13"/>
        </w:numPr>
        <w:tabs>
          <w:tab w:pos="1444" w:val="left" w:leader="none"/>
        </w:tabs>
        <w:spacing w:line="273" w:lineRule="auto" w:before="119" w:after="0"/>
        <w:ind w:left="723" w:right="482" w:firstLine="0"/>
        <w:jc w:val="both"/>
        <w:rPr>
          <w:sz w:val="20"/>
        </w:rPr>
      </w:pPr>
      <w:r>
        <w:rPr>
          <w:sz w:val="20"/>
        </w:rPr>
        <w:t>Hence, further consideration of this safe harbour will require additional work on a number of challenges, including for defining the fixed return for routine marketing and distribution</w:t>
      </w:r>
      <w:r>
        <w:rPr>
          <w:spacing w:val="-30"/>
          <w:sz w:val="20"/>
        </w:rPr>
        <w:t> </w:t>
      </w:r>
      <w:r>
        <w:rPr>
          <w:sz w:val="20"/>
        </w:rPr>
        <w:t>activities.</w:t>
      </w:r>
    </w:p>
    <w:p>
      <w:pPr>
        <w:pStyle w:val="BodyText"/>
        <w:spacing w:before="1"/>
        <w:rPr>
          <w:sz w:val="23"/>
        </w:rPr>
      </w:pPr>
    </w:p>
    <w:p>
      <w:pPr>
        <w:pStyle w:val="Heading6"/>
        <w:numPr>
          <w:ilvl w:val="2"/>
          <w:numId w:val="65"/>
        </w:numPr>
        <w:tabs>
          <w:tab w:pos="2015" w:val="left" w:leader="none"/>
        </w:tabs>
        <w:spacing w:line="240" w:lineRule="auto" w:before="1" w:after="0"/>
        <w:ind w:left="2014" w:right="0" w:hanging="613"/>
        <w:jc w:val="left"/>
        <w:rPr>
          <w:i/>
        </w:rPr>
      </w:pPr>
      <w:bookmarkStart w:name="6.4.3. The domestic business exemption" w:id="312"/>
      <w:bookmarkEnd w:id="312"/>
      <w:r>
        <w:rPr>
          <w:b w:val="0"/>
          <w:i w:val="0"/>
        </w:rPr>
      </w:r>
      <w:bookmarkStart w:name="6.4.3. The domestic business exemption" w:id="313"/>
      <w:bookmarkEnd w:id="313"/>
      <w:r>
        <w:rPr>
          <w:i/>
        </w:rPr>
        <w:t>T</w:t>
      </w:r>
      <w:r>
        <w:rPr>
          <w:i/>
        </w:rPr>
        <w:t>he domestic business</w:t>
      </w:r>
      <w:r>
        <w:rPr>
          <w:i/>
          <w:spacing w:val="-6"/>
        </w:rPr>
        <w:t> </w:t>
      </w:r>
      <w:r>
        <w:rPr>
          <w:i/>
        </w:rPr>
        <w:t>exemption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The</w:t>
      </w:r>
      <w:r>
        <w:rPr>
          <w:spacing w:val="-15"/>
          <w:sz w:val="20"/>
        </w:rPr>
        <w:t> </w:t>
      </w:r>
      <w:r>
        <w:rPr>
          <w:sz w:val="20"/>
        </w:rPr>
        <w:t>development</w:t>
      </w:r>
      <w:r>
        <w:rPr>
          <w:spacing w:val="-14"/>
          <w:sz w:val="20"/>
        </w:rPr>
        <w:t> </w:t>
      </w:r>
      <w:r>
        <w:rPr>
          <w:sz w:val="20"/>
        </w:rPr>
        <w:t>of</w:t>
      </w:r>
      <w:r>
        <w:rPr>
          <w:spacing w:val="-12"/>
          <w:sz w:val="20"/>
        </w:rPr>
        <w:t> </w:t>
      </w:r>
      <w:r>
        <w:rPr>
          <w:sz w:val="20"/>
        </w:rPr>
        <w:t>a</w:t>
      </w:r>
      <w:r>
        <w:rPr>
          <w:spacing w:val="-15"/>
          <w:sz w:val="20"/>
        </w:rPr>
        <w:t> </w:t>
      </w:r>
      <w:r>
        <w:rPr>
          <w:sz w:val="20"/>
        </w:rPr>
        <w:t>“domestic</w:t>
      </w:r>
      <w:r>
        <w:rPr>
          <w:spacing w:val="-12"/>
          <w:sz w:val="20"/>
        </w:rPr>
        <w:t> </w:t>
      </w:r>
      <w:r>
        <w:rPr>
          <w:sz w:val="20"/>
        </w:rPr>
        <w:t>business</w:t>
      </w:r>
      <w:r>
        <w:rPr>
          <w:spacing w:val="-12"/>
          <w:sz w:val="20"/>
        </w:rPr>
        <w:t> </w:t>
      </w:r>
      <w:r>
        <w:rPr>
          <w:sz w:val="20"/>
        </w:rPr>
        <w:t>exemption"</w:t>
      </w:r>
      <w:r>
        <w:rPr>
          <w:spacing w:val="-11"/>
          <w:sz w:val="20"/>
        </w:rPr>
        <w:t> </w:t>
      </w:r>
      <w:r>
        <w:rPr>
          <w:sz w:val="20"/>
        </w:rPr>
        <w:t>to</w:t>
      </w:r>
      <w:r>
        <w:rPr>
          <w:spacing w:val="-14"/>
          <w:sz w:val="20"/>
        </w:rPr>
        <w:t> </w:t>
      </w:r>
      <w:r>
        <w:rPr>
          <w:sz w:val="20"/>
        </w:rPr>
        <w:t>reduce</w:t>
      </w:r>
      <w:r>
        <w:rPr>
          <w:spacing w:val="-13"/>
          <w:sz w:val="20"/>
        </w:rPr>
        <w:t> </w:t>
      </w:r>
      <w:r>
        <w:rPr>
          <w:sz w:val="20"/>
        </w:rPr>
        <w:t>the</w:t>
      </w:r>
      <w:r>
        <w:rPr>
          <w:spacing w:val="-14"/>
          <w:sz w:val="20"/>
        </w:rPr>
        <w:t> </w:t>
      </w:r>
      <w:r>
        <w:rPr>
          <w:sz w:val="20"/>
        </w:rPr>
        <w:t>instances</w:t>
      </w:r>
      <w:r>
        <w:rPr>
          <w:spacing w:val="-10"/>
          <w:sz w:val="20"/>
        </w:rPr>
        <w:t> </w:t>
      </w:r>
      <w:r>
        <w:rPr>
          <w:sz w:val="20"/>
        </w:rPr>
        <w:t>of</w:t>
      </w:r>
      <w:r>
        <w:rPr>
          <w:spacing w:val="-13"/>
          <w:sz w:val="20"/>
        </w:rPr>
        <w:t> </w:t>
      </w:r>
      <w:r>
        <w:rPr>
          <w:sz w:val="20"/>
        </w:rPr>
        <w:t>“double</w:t>
      </w:r>
      <w:r>
        <w:rPr>
          <w:spacing w:val="-14"/>
          <w:sz w:val="20"/>
        </w:rPr>
        <w:t> </w:t>
      </w:r>
      <w:r>
        <w:rPr>
          <w:sz w:val="20"/>
        </w:rPr>
        <w:t>counting” is also considered, together with the mechanism to eliminate double taxation and the safe harbour. There are two potential types of domestic business exemptions. The first, and simplest, would exclude from the scope</w:t>
      </w:r>
      <w:r>
        <w:rPr>
          <w:spacing w:val="-15"/>
          <w:sz w:val="20"/>
        </w:rPr>
        <w:t> </w:t>
      </w:r>
      <w:r>
        <w:rPr>
          <w:sz w:val="20"/>
        </w:rPr>
        <w:t>of</w:t>
      </w:r>
      <w:r>
        <w:rPr>
          <w:spacing w:val="-12"/>
          <w:sz w:val="20"/>
        </w:rPr>
        <w:t> </w:t>
      </w:r>
      <w:r>
        <w:rPr>
          <w:sz w:val="20"/>
        </w:rPr>
        <w:t>Amount</w:t>
      </w:r>
      <w:r>
        <w:rPr>
          <w:spacing w:val="-14"/>
          <w:sz w:val="20"/>
        </w:rPr>
        <w:t> </w:t>
      </w:r>
      <w:r>
        <w:rPr>
          <w:sz w:val="20"/>
        </w:rPr>
        <w:t>A</w:t>
      </w:r>
      <w:r>
        <w:rPr>
          <w:spacing w:val="-14"/>
          <w:sz w:val="20"/>
        </w:rPr>
        <w:t> </w:t>
      </w:r>
      <w:r>
        <w:rPr>
          <w:sz w:val="20"/>
        </w:rPr>
        <w:t>large,</w:t>
      </w:r>
      <w:r>
        <w:rPr>
          <w:spacing w:val="-14"/>
          <w:sz w:val="20"/>
        </w:rPr>
        <w:t> </w:t>
      </w:r>
      <w:r>
        <w:rPr>
          <w:sz w:val="20"/>
        </w:rPr>
        <w:t>domestically-focused</w:t>
      </w:r>
      <w:r>
        <w:rPr>
          <w:spacing w:val="-14"/>
          <w:sz w:val="20"/>
        </w:rPr>
        <w:t> </w:t>
      </w:r>
      <w:r>
        <w:rPr>
          <w:sz w:val="20"/>
        </w:rPr>
        <w:t>business</w:t>
      </w:r>
      <w:r>
        <w:rPr>
          <w:spacing w:val="-13"/>
          <w:sz w:val="20"/>
        </w:rPr>
        <w:t> </w:t>
      </w:r>
      <w:r>
        <w:rPr>
          <w:sz w:val="20"/>
        </w:rPr>
        <w:t>with</w:t>
      </w:r>
      <w:r>
        <w:rPr>
          <w:spacing w:val="-14"/>
          <w:sz w:val="20"/>
        </w:rPr>
        <w:t> </w:t>
      </w:r>
      <w:r>
        <w:rPr>
          <w:sz w:val="20"/>
        </w:rPr>
        <w:t>a</w:t>
      </w:r>
      <w:r>
        <w:rPr>
          <w:spacing w:val="-14"/>
          <w:sz w:val="20"/>
        </w:rPr>
        <w:t> </w:t>
      </w:r>
      <w:r>
        <w:rPr>
          <w:sz w:val="20"/>
        </w:rPr>
        <w:t>minimal</w:t>
      </w:r>
      <w:r>
        <w:rPr>
          <w:spacing w:val="-15"/>
          <w:sz w:val="20"/>
        </w:rPr>
        <w:t> </w:t>
      </w:r>
      <w:r>
        <w:rPr>
          <w:sz w:val="20"/>
        </w:rPr>
        <w:t>level</w:t>
      </w:r>
      <w:r>
        <w:rPr>
          <w:spacing w:val="-14"/>
          <w:sz w:val="20"/>
        </w:rPr>
        <w:t> </w:t>
      </w:r>
      <w:r>
        <w:rPr>
          <w:sz w:val="20"/>
        </w:rPr>
        <w:t>of</w:t>
      </w:r>
      <w:r>
        <w:rPr>
          <w:spacing w:val="-14"/>
          <w:sz w:val="20"/>
        </w:rPr>
        <w:t> </w:t>
      </w:r>
      <w:r>
        <w:rPr>
          <w:sz w:val="20"/>
        </w:rPr>
        <w:t>foreign</w:t>
      </w:r>
      <w:r>
        <w:rPr>
          <w:spacing w:val="-14"/>
          <w:sz w:val="20"/>
        </w:rPr>
        <w:t> </w:t>
      </w:r>
      <w:r>
        <w:rPr>
          <w:sz w:val="20"/>
        </w:rPr>
        <w:t>income.</w:t>
      </w:r>
      <w:r>
        <w:rPr>
          <w:spacing w:val="-15"/>
          <w:sz w:val="20"/>
        </w:rPr>
        <w:t> </w:t>
      </w:r>
      <w:r>
        <w:rPr>
          <w:sz w:val="20"/>
        </w:rPr>
        <w:t>This</w:t>
      </w:r>
      <w:r>
        <w:rPr>
          <w:spacing w:val="-15"/>
          <w:sz w:val="20"/>
        </w:rPr>
        <w:t> </w:t>
      </w:r>
      <w:r>
        <w:rPr>
          <w:sz w:val="20"/>
        </w:rPr>
        <w:t>would be implemented through the exemption of groups whose foreign source in-scope revenue falls below an agreed threshold from the scope of Amount A (see above section</w:t>
      </w:r>
      <w:r>
        <w:rPr>
          <w:spacing w:val="-6"/>
          <w:sz w:val="20"/>
        </w:rPr>
        <w:t> </w:t>
      </w:r>
      <w:hyperlink w:history="true" w:anchor="_bookmark11">
        <w:r>
          <w:rPr>
            <w:sz w:val="20"/>
          </w:rPr>
          <w:t>2.3.2</w:t>
        </w:r>
      </w:hyperlink>
      <w:r>
        <w:rPr>
          <w:sz w:val="20"/>
        </w:rPr>
        <w:t>).</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The second, more complex exemption, would seek to exclude from Amount A part of a group’s business that is primarily or solely carried on in a single jurisdiction. This may occur for instance, where a group acquires a business operating in another jurisdiction that it does not subsequently integrate within its broader operations. In this scenario, it may be difficult to justify why Amount A should apply to this portion of a group’s business, as it could result in the residual profits from this business, which are demonstrably only derived from one jurisdiction, being reallocated to other jurisdictions around the world. It could also result in residual profits generated from other parts of the business being allocated to the jurisdiction</w:t>
      </w:r>
      <w:r>
        <w:rPr>
          <w:spacing w:val="-7"/>
          <w:sz w:val="20"/>
        </w:rPr>
        <w:t> </w:t>
      </w:r>
      <w:r>
        <w:rPr>
          <w:sz w:val="20"/>
        </w:rPr>
        <w:t>in</w:t>
      </w:r>
      <w:r>
        <w:rPr>
          <w:spacing w:val="-7"/>
          <w:sz w:val="20"/>
        </w:rPr>
        <w:t> </w:t>
      </w:r>
      <w:r>
        <w:rPr>
          <w:sz w:val="20"/>
        </w:rPr>
        <w:t>question;</w:t>
      </w:r>
      <w:r>
        <w:rPr>
          <w:spacing w:val="-6"/>
          <w:sz w:val="20"/>
        </w:rPr>
        <w:t> </w:t>
      </w:r>
      <w:r>
        <w:rPr>
          <w:sz w:val="20"/>
        </w:rPr>
        <w:t>despite</w:t>
      </w:r>
      <w:r>
        <w:rPr>
          <w:spacing w:val="-5"/>
          <w:sz w:val="20"/>
        </w:rPr>
        <w:t> </w:t>
      </w:r>
      <w:r>
        <w:rPr>
          <w:sz w:val="20"/>
        </w:rPr>
        <w:t>the</w:t>
      </w:r>
      <w:r>
        <w:rPr>
          <w:spacing w:val="-6"/>
          <w:sz w:val="20"/>
        </w:rPr>
        <w:t> </w:t>
      </w:r>
      <w:r>
        <w:rPr>
          <w:sz w:val="20"/>
        </w:rPr>
        <w:t>fact</w:t>
      </w:r>
      <w:r>
        <w:rPr>
          <w:spacing w:val="-6"/>
          <w:sz w:val="20"/>
        </w:rPr>
        <w:t> </w:t>
      </w:r>
      <w:r>
        <w:rPr>
          <w:sz w:val="20"/>
        </w:rPr>
        <w:t>that</w:t>
      </w:r>
      <w:r>
        <w:rPr>
          <w:spacing w:val="-7"/>
          <w:sz w:val="20"/>
        </w:rPr>
        <w:t> </w:t>
      </w:r>
      <w:r>
        <w:rPr>
          <w:sz w:val="20"/>
        </w:rPr>
        <w:t>the</w:t>
      </w:r>
      <w:r>
        <w:rPr>
          <w:spacing w:val="-7"/>
          <w:sz w:val="20"/>
        </w:rPr>
        <w:t> </w:t>
      </w:r>
      <w:r>
        <w:rPr>
          <w:sz w:val="20"/>
        </w:rPr>
        <w:t>said</w:t>
      </w:r>
      <w:r>
        <w:rPr>
          <w:spacing w:val="-7"/>
          <w:sz w:val="20"/>
        </w:rPr>
        <w:t> </w:t>
      </w:r>
      <w:r>
        <w:rPr>
          <w:sz w:val="20"/>
        </w:rPr>
        <w:t>jurisdiction</w:t>
      </w:r>
      <w:r>
        <w:rPr>
          <w:spacing w:val="-5"/>
          <w:sz w:val="20"/>
        </w:rPr>
        <w:t> </w:t>
      </w:r>
      <w:r>
        <w:rPr>
          <w:sz w:val="20"/>
        </w:rPr>
        <w:t>already</w:t>
      </w:r>
      <w:r>
        <w:rPr>
          <w:spacing w:val="-10"/>
          <w:sz w:val="20"/>
        </w:rPr>
        <w:t> </w:t>
      </w:r>
      <w:r>
        <w:rPr>
          <w:sz w:val="20"/>
        </w:rPr>
        <w:t>has</w:t>
      </w:r>
      <w:r>
        <w:rPr>
          <w:spacing w:val="-5"/>
          <w:sz w:val="20"/>
        </w:rPr>
        <w:t> </w:t>
      </w:r>
      <w:r>
        <w:rPr>
          <w:sz w:val="20"/>
        </w:rPr>
        <w:t>taxing</w:t>
      </w:r>
      <w:r>
        <w:rPr>
          <w:spacing w:val="-2"/>
          <w:sz w:val="20"/>
        </w:rPr>
        <w:t> </w:t>
      </w:r>
      <w:r>
        <w:rPr>
          <w:sz w:val="20"/>
        </w:rPr>
        <w:t>rights</w:t>
      </w:r>
      <w:r>
        <w:rPr>
          <w:spacing w:val="-6"/>
          <w:sz w:val="20"/>
        </w:rPr>
        <w:t> </w:t>
      </w:r>
      <w:r>
        <w:rPr>
          <w:sz w:val="20"/>
        </w:rPr>
        <w:t>over</w:t>
      </w:r>
      <w:r>
        <w:rPr>
          <w:spacing w:val="-6"/>
          <w:sz w:val="20"/>
        </w:rPr>
        <w:t> </w:t>
      </w:r>
      <w:r>
        <w:rPr>
          <w:sz w:val="20"/>
        </w:rPr>
        <w:t>the</w:t>
      </w:r>
      <w:r>
        <w:rPr>
          <w:spacing w:val="-6"/>
          <w:sz w:val="20"/>
        </w:rPr>
        <w:t> </w:t>
      </w:r>
      <w:r>
        <w:rPr>
          <w:sz w:val="20"/>
        </w:rPr>
        <w:t>residual profits (to the extent they arise) associated with the relevant sales. Another possible view is that this is simply a logical consequence of the formulaic nature of Amount A applicable to the group as a</w:t>
      </w:r>
      <w:r>
        <w:rPr>
          <w:spacing w:val="-37"/>
          <w:sz w:val="20"/>
        </w:rPr>
        <w:t> </w:t>
      </w:r>
      <w:r>
        <w:rPr>
          <w:sz w:val="20"/>
        </w:rPr>
        <w:t>whole.</w:t>
      </w:r>
    </w:p>
    <w:p>
      <w:pPr>
        <w:pStyle w:val="ListParagraph"/>
        <w:numPr>
          <w:ilvl w:val="0"/>
          <w:numId w:val="13"/>
        </w:numPr>
        <w:tabs>
          <w:tab w:pos="1444" w:val="left" w:leader="none"/>
        </w:tabs>
        <w:spacing w:line="271" w:lineRule="auto" w:before="123" w:after="0"/>
        <w:ind w:left="723" w:right="488" w:firstLine="0"/>
        <w:jc w:val="both"/>
        <w:rPr>
          <w:sz w:val="20"/>
        </w:rPr>
      </w:pPr>
      <w:r>
        <w:rPr>
          <w:sz w:val="20"/>
        </w:rPr>
        <w:t>The “domestic business exemption” would address some instances of double counting by excluding from Amount A profits derived from the sale of goods or services that are developed, manufactured and sold in a single</w:t>
      </w:r>
      <w:r>
        <w:rPr>
          <w:spacing w:val="-5"/>
          <w:sz w:val="20"/>
        </w:rPr>
        <w:t> </w:t>
      </w:r>
      <w:r>
        <w:rPr>
          <w:sz w:val="20"/>
        </w:rPr>
        <w:t>jurisdiction.</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There are two challenges that would need to be overcome to develop this domestic business exemption. First, it would be necessary for a taxpayer to isolate and segment out the profits of this standalone domestic business from the other activities of the group. This would require a remodelling of the segmentation framework that would increase complexity and the associated compliance costs and administrative burden. That said, on the assumption that the business is operated on a standalone basis, it may be relatively easy for the taxpayer to perform this additional</w:t>
      </w:r>
      <w:r>
        <w:rPr>
          <w:spacing w:val="-20"/>
          <w:sz w:val="20"/>
        </w:rPr>
        <w:t> </w:t>
      </w:r>
      <w:r>
        <w:rPr>
          <w:sz w:val="20"/>
        </w:rPr>
        <w:t>segmentation.</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Second, it is unlikely that there are many examples of MNE groups with completely standalone domestic</w:t>
      </w:r>
      <w:r>
        <w:rPr>
          <w:spacing w:val="-15"/>
          <w:sz w:val="20"/>
        </w:rPr>
        <w:t> </w:t>
      </w:r>
      <w:r>
        <w:rPr>
          <w:sz w:val="20"/>
        </w:rPr>
        <w:t>businesses.</w:t>
      </w:r>
      <w:r>
        <w:rPr>
          <w:spacing w:val="-16"/>
          <w:sz w:val="20"/>
        </w:rPr>
        <w:t> </w:t>
      </w:r>
      <w:r>
        <w:rPr>
          <w:sz w:val="20"/>
        </w:rPr>
        <w:t>This</w:t>
      </w:r>
      <w:r>
        <w:rPr>
          <w:spacing w:val="-15"/>
          <w:sz w:val="20"/>
        </w:rPr>
        <w:t> </w:t>
      </w:r>
      <w:r>
        <w:rPr>
          <w:sz w:val="20"/>
        </w:rPr>
        <w:t>is</w:t>
      </w:r>
      <w:r>
        <w:rPr>
          <w:spacing w:val="-15"/>
          <w:sz w:val="20"/>
        </w:rPr>
        <w:t> </w:t>
      </w:r>
      <w:r>
        <w:rPr>
          <w:sz w:val="20"/>
        </w:rPr>
        <w:t>because</w:t>
      </w:r>
      <w:r>
        <w:rPr>
          <w:spacing w:val="-16"/>
          <w:sz w:val="20"/>
        </w:rPr>
        <w:t> </w:t>
      </w:r>
      <w:r>
        <w:rPr>
          <w:sz w:val="20"/>
        </w:rPr>
        <w:t>in</w:t>
      </w:r>
      <w:r>
        <w:rPr>
          <w:spacing w:val="-15"/>
          <w:sz w:val="20"/>
        </w:rPr>
        <w:t> </w:t>
      </w:r>
      <w:r>
        <w:rPr>
          <w:sz w:val="20"/>
        </w:rPr>
        <w:t>most</w:t>
      </w:r>
      <w:r>
        <w:rPr>
          <w:spacing w:val="-16"/>
          <w:sz w:val="20"/>
        </w:rPr>
        <w:t> </w:t>
      </w:r>
      <w:r>
        <w:rPr>
          <w:sz w:val="20"/>
        </w:rPr>
        <w:t>instances</w:t>
      </w:r>
      <w:r>
        <w:rPr>
          <w:spacing w:val="-15"/>
          <w:sz w:val="20"/>
        </w:rPr>
        <w:t> </w:t>
      </w:r>
      <w:r>
        <w:rPr>
          <w:sz w:val="20"/>
        </w:rPr>
        <w:t>these</w:t>
      </w:r>
      <w:r>
        <w:rPr>
          <w:spacing w:val="-16"/>
          <w:sz w:val="20"/>
        </w:rPr>
        <w:t> </w:t>
      </w:r>
      <w:r>
        <w:rPr>
          <w:sz w:val="20"/>
        </w:rPr>
        <w:t>businesses</w:t>
      </w:r>
      <w:r>
        <w:rPr>
          <w:spacing w:val="-13"/>
          <w:sz w:val="20"/>
        </w:rPr>
        <w:t> </w:t>
      </w:r>
      <w:r>
        <w:rPr>
          <w:sz w:val="20"/>
        </w:rPr>
        <w:t>will</w:t>
      </w:r>
      <w:r>
        <w:rPr>
          <w:spacing w:val="-14"/>
          <w:sz w:val="20"/>
        </w:rPr>
        <w:t> </w:t>
      </w:r>
      <w:r>
        <w:rPr>
          <w:sz w:val="20"/>
        </w:rPr>
        <w:t>be</w:t>
      </w:r>
      <w:r>
        <w:rPr>
          <w:spacing w:val="-13"/>
          <w:sz w:val="20"/>
        </w:rPr>
        <w:t> </w:t>
      </w:r>
      <w:r>
        <w:rPr>
          <w:sz w:val="20"/>
        </w:rPr>
        <w:t>integrated</w:t>
      </w:r>
      <w:r>
        <w:rPr>
          <w:spacing w:val="-17"/>
          <w:sz w:val="20"/>
        </w:rPr>
        <w:t> </w:t>
      </w:r>
      <w:r>
        <w:rPr>
          <w:sz w:val="20"/>
        </w:rPr>
        <w:t>to</w:t>
      </w:r>
      <w:r>
        <w:rPr>
          <w:spacing w:val="-16"/>
          <w:sz w:val="20"/>
        </w:rPr>
        <w:t> </w:t>
      </w:r>
      <w:r>
        <w:rPr>
          <w:sz w:val="20"/>
        </w:rPr>
        <w:t>some</w:t>
      </w:r>
      <w:r>
        <w:rPr>
          <w:spacing w:val="-16"/>
          <w:sz w:val="20"/>
        </w:rPr>
        <w:t> </w:t>
      </w:r>
      <w:r>
        <w:rPr>
          <w:sz w:val="20"/>
        </w:rPr>
        <w:t>extent in the broader activity of the group, whether through shared development of intellectual property (IP), intragroup financing activities, or other central services. For large CFB in particularly, royalty payments</w:t>
      </w:r>
      <w:r>
        <w:rPr>
          <w:spacing w:val="-24"/>
          <w:sz w:val="20"/>
        </w:rPr>
        <w:t> </w:t>
      </w:r>
      <w:r>
        <w:rPr>
          <w:sz w:val="20"/>
        </w:rPr>
        <w:t>in</w:t>
      </w:r>
    </w:p>
    <w:p>
      <w:pPr>
        <w:pStyle w:val="BodyText"/>
      </w:pPr>
    </w:p>
    <w:p>
      <w:pPr>
        <w:pStyle w:val="BodyText"/>
      </w:pPr>
    </w:p>
    <w:p>
      <w:pPr>
        <w:pStyle w:val="BodyText"/>
        <w:spacing w:before="4"/>
      </w:pPr>
    </w:p>
    <w:p>
      <w:pPr>
        <w:pStyle w:val="ListParagraph"/>
        <w:numPr>
          <w:ilvl w:val="0"/>
          <w:numId w:val="14"/>
        </w:numPr>
        <w:tabs>
          <w:tab w:pos="1019" w:val="left" w:leader="none"/>
        </w:tabs>
        <w:spacing w:line="278" w:lineRule="auto" w:before="0" w:after="0"/>
        <w:ind w:left="723" w:right="484" w:firstLine="0"/>
        <w:jc w:val="both"/>
        <w:rPr>
          <w:sz w:val="18"/>
        </w:rPr>
      </w:pPr>
      <w:r>
        <w:rPr>
          <w:sz w:val="18"/>
        </w:rPr>
        <w:t>The pharmaceutical industry typically has higher returns than most other industries and so even under a single fixed return approach, the total safe harbour return (i.e. Amount A plus the fixed return) would, when compared to other industries, still be relatively high for most pharmaceutical</w:t>
      </w:r>
      <w:r>
        <w:rPr>
          <w:spacing w:val="-15"/>
          <w:sz w:val="18"/>
        </w:rPr>
        <w:t> </w:t>
      </w:r>
      <w:r>
        <w:rPr>
          <w:sz w:val="18"/>
        </w:rPr>
        <w:t>groups.</w:t>
      </w:r>
    </w:p>
    <w:p>
      <w:pPr>
        <w:spacing w:after="0" w:line="278" w:lineRule="auto"/>
        <w:jc w:val="both"/>
        <w:rPr>
          <w:sz w:val="18"/>
        </w:rPr>
        <w:sectPr>
          <w:headerReference w:type="even" r:id="rId35"/>
          <w:headerReference w:type="default" r:id="rId36"/>
          <w:footerReference w:type="even" r:id="rId37"/>
          <w:footerReference w:type="default" r:id="rId38"/>
          <w:pgSz w:w="11910" w:h="16840"/>
          <w:pgMar w:header="1244" w:footer="1811" w:top="1500" w:bottom="2000" w:left="580" w:right="820"/>
          <w:pgNumType w:start="136"/>
        </w:sectPr>
      </w:pPr>
    </w:p>
    <w:p>
      <w:pPr>
        <w:pStyle w:val="BodyText"/>
        <w:spacing w:before="5"/>
      </w:pPr>
    </w:p>
    <w:p>
      <w:pPr>
        <w:pStyle w:val="BodyText"/>
        <w:spacing w:line="271" w:lineRule="auto" w:before="93"/>
        <w:ind w:left="723" w:right="487"/>
        <w:jc w:val="both"/>
      </w:pPr>
      <w:r>
        <w:rPr/>
        <w:t>relation to IP may be a significant expense in many market jurisdictions. Even where groups manufacture and sell goods in a single jurisdiction using local IP, these goods may include input purchased from a related party in another jurisdiction or produced using manufacturing know-how for which a licence fee is paid.</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For this reason, if the exemption were only available for a portion of a group’s business that was conducted</w:t>
      </w:r>
      <w:r>
        <w:rPr>
          <w:spacing w:val="-17"/>
          <w:sz w:val="20"/>
        </w:rPr>
        <w:t> </w:t>
      </w:r>
      <w:r>
        <w:rPr>
          <w:sz w:val="20"/>
        </w:rPr>
        <w:t>in</w:t>
      </w:r>
      <w:r>
        <w:rPr>
          <w:spacing w:val="-14"/>
          <w:sz w:val="20"/>
        </w:rPr>
        <w:t> </w:t>
      </w:r>
      <w:r>
        <w:rPr>
          <w:sz w:val="20"/>
        </w:rPr>
        <w:t>a</w:t>
      </w:r>
      <w:r>
        <w:rPr>
          <w:spacing w:val="-16"/>
          <w:sz w:val="20"/>
        </w:rPr>
        <w:t> </w:t>
      </w:r>
      <w:r>
        <w:rPr>
          <w:sz w:val="20"/>
        </w:rPr>
        <w:t>single</w:t>
      </w:r>
      <w:r>
        <w:rPr>
          <w:spacing w:val="-16"/>
          <w:sz w:val="20"/>
        </w:rPr>
        <w:t> </w:t>
      </w:r>
      <w:r>
        <w:rPr>
          <w:sz w:val="20"/>
        </w:rPr>
        <w:t>territory</w:t>
      </w:r>
      <w:r>
        <w:rPr>
          <w:spacing w:val="-19"/>
          <w:sz w:val="20"/>
        </w:rPr>
        <w:t> </w:t>
      </w:r>
      <w:r>
        <w:rPr>
          <w:sz w:val="20"/>
        </w:rPr>
        <w:t>and</w:t>
      </w:r>
      <w:r>
        <w:rPr>
          <w:spacing w:val="-14"/>
          <w:sz w:val="20"/>
        </w:rPr>
        <w:t> </w:t>
      </w:r>
      <w:r>
        <w:rPr>
          <w:sz w:val="20"/>
        </w:rPr>
        <w:t>had</w:t>
      </w:r>
      <w:r>
        <w:rPr>
          <w:spacing w:val="-14"/>
          <w:sz w:val="20"/>
        </w:rPr>
        <w:t> </w:t>
      </w:r>
      <w:r>
        <w:rPr>
          <w:sz w:val="20"/>
        </w:rPr>
        <w:t>no</w:t>
      </w:r>
      <w:r>
        <w:rPr>
          <w:spacing w:val="-14"/>
          <w:sz w:val="20"/>
        </w:rPr>
        <w:t> </w:t>
      </w:r>
      <w:r>
        <w:rPr>
          <w:sz w:val="20"/>
        </w:rPr>
        <w:t>transactions</w:t>
      </w:r>
      <w:r>
        <w:rPr>
          <w:spacing w:val="-13"/>
          <w:sz w:val="20"/>
        </w:rPr>
        <w:t> </w:t>
      </w:r>
      <w:r>
        <w:rPr>
          <w:sz w:val="20"/>
        </w:rPr>
        <w:t>with</w:t>
      </w:r>
      <w:r>
        <w:rPr>
          <w:spacing w:val="-14"/>
          <w:sz w:val="20"/>
        </w:rPr>
        <w:t> </w:t>
      </w:r>
      <w:r>
        <w:rPr>
          <w:sz w:val="20"/>
        </w:rPr>
        <w:t>related</w:t>
      </w:r>
      <w:r>
        <w:rPr>
          <w:spacing w:val="-14"/>
          <w:sz w:val="20"/>
        </w:rPr>
        <w:t> </w:t>
      </w:r>
      <w:r>
        <w:rPr>
          <w:sz w:val="20"/>
        </w:rPr>
        <w:t>parties</w:t>
      </w:r>
      <w:r>
        <w:rPr>
          <w:spacing w:val="-13"/>
          <w:sz w:val="20"/>
        </w:rPr>
        <w:t> </w:t>
      </w:r>
      <w:r>
        <w:rPr>
          <w:sz w:val="20"/>
        </w:rPr>
        <w:t>in</w:t>
      </w:r>
      <w:r>
        <w:rPr>
          <w:spacing w:val="-14"/>
          <w:sz w:val="20"/>
        </w:rPr>
        <w:t> </w:t>
      </w:r>
      <w:r>
        <w:rPr>
          <w:sz w:val="20"/>
        </w:rPr>
        <w:t>other</w:t>
      </w:r>
      <w:r>
        <w:rPr>
          <w:spacing w:val="-16"/>
          <w:sz w:val="20"/>
        </w:rPr>
        <w:t> </w:t>
      </w:r>
      <w:r>
        <w:rPr>
          <w:sz w:val="20"/>
        </w:rPr>
        <w:t>jurisdictions,</w:t>
      </w:r>
      <w:r>
        <w:rPr>
          <w:spacing w:val="-14"/>
          <w:sz w:val="20"/>
        </w:rPr>
        <w:t> </w:t>
      </w:r>
      <w:r>
        <w:rPr>
          <w:sz w:val="20"/>
        </w:rPr>
        <w:t>it</w:t>
      </w:r>
      <w:r>
        <w:rPr>
          <w:spacing w:val="-14"/>
          <w:sz w:val="20"/>
        </w:rPr>
        <w:t> </w:t>
      </w:r>
      <w:r>
        <w:rPr>
          <w:sz w:val="20"/>
        </w:rPr>
        <w:t>is</w:t>
      </w:r>
      <w:r>
        <w:rPr>
          <w:spacing w:val="-15"/>
          <w:sz w:val="20"/>
        </w:rPr>
        <w:t> </w:t>
      </w:r>
      <w:r>
        <w:rPr>
          <w:sz w:val="20"/>
        </w:rPr>
        <w:t>unlikely that</w:t>
      </w:r>
      <w:r>
        <w:rPr>
          <w:spacing w:val="-9"/>
          <w:sz w:val="20"/>
        </w:rPr>
        <w:t> </w:t>
      </w:r>
      <w:r>
        <w:rPr>
          <w:sz w:val="20"/>
        </w:rPr>
        <w:t>many,</w:t>
      </w:r>
      <w:r>
        <w:rPr>
          <w:spacing w:val="-9"/>
          <w:sz w:val="20"/>
        </w:rPr>
        <w:t> </w:t>
      </w:r>
      <w:r>
        <w:rPr>
          <w:sz w:val="20"/>
        </w:rPr>
        <w:t>if</w:t>
      </w:r>
      <w:r>
        <w:rPr>
          <w:spacing w:val="-9"/>
          <w:sz w:val="20"/>
        </w:rPr>
        <w:t> </w:t>
      </w:r>
      <w:r>
        <w:rPr>
          <w:sz w:val="20"/>
        </w:rPr>
        <w:t>any,</w:t>
      </w:r>
      <w:r>
        <w:rPr>
          <w:spacing w:val="-8"/>
          <w:sz w:val="20"/>
        </w:rPr>
        <w:t> </w:t>
      </w:r>
      <w:r>
        <w:rPr>
          <w:sz w:val="20"/>
        </w:rPr>
        <w:t>MNE</w:t>
      </w:r>
      <w:r>
        <w:rPr>
          <w:spacing w:val="-9"/>
          <w:sz w:val="20"/>
        </w:rPr>
        <w:t> </w:t>
      </w:r>
      <w:r>
        <w:rPr>
          <w:sz w:val="20"/>
        </w:rPr>
        <w:t>groups</w:t>
      </w:r>
      <w:r>
        <w:rPr>
          <w:spacing w:val="-8"/>
          <w:sz w:val="20"/>
        </w:rPr>
        <w:t> </w:t>
      </w:r>
      <w:r>
        <w:rPr>
          <w:sz w:val="20"/>
        </w:rPr>
        <w:t>would</w:t>
      </w:r>
      <w:r>
        <w:rPr>
          <w:spacing w:val="-8"/>
          <w:sz w:val="20"/>
        </w:rPr>
        <w:t> </w:t>
      </w:r>
      <w:r>
        <w:rPr>
          <w:sz w:val="20"/>
        </w:rPr>
        <w:t>be</w:t>
      </w:r>
      <w:r>
        <w:rPr>
          <w:spacing w:val="-9"/>
          <w:sz w:val="20"/>
        </w:rPr>
        <w:t> </w:t>
      </w:r>
      <w:r>
        <w:rPr>
          <w:sz w:val="20"/>
        </w:rPr>
        <w:t>able</w:t>
      </w:r>
      <w:r>
        <w:rPr>
          <w:spacing w:val="-12"/>
          <w:sz w:val="20"/>
        </w:rPr>
        <w:t> </w:t>
      </w:r>
      <w:r>
        <w:rPr>
          <w:sz w:val="20"/>
        </w:rPr>
        <w:t>to</w:t>
      </w:r>
      <w:r>
        <w:rPr>
          <w:spacing w:val="-8"/>
          <w:sz w:val="20"/>
        </w:rPr>
        <w:t> </w:t>
      </w:r>
      <w:r>
        <w:rPr>
          <w:sz w:val="20"/>
        </w:rPr>
        <w:t>utilise</w:t>
      </w:r>
      <w:r>
        <w:rPr>
          <w:spacing w:val="-7"/>
          <w:sz w:val="20"/>
        </w:rPr>
        <w:t> </w:t>
      </w:r>
      <w:r>
        <w:rPr>
          <w:sz w:val="20"/>
        </w:rPr>
        <w:t>it.</w:t>
      </w:r>
      <w:r>
        <w:rPr>
          <w:spacing w:val="-11"/>
          <w:sz w:val="20"/>
        </w:rPr>
        <w:t> </w:t>
      </w:r>
      <w:r>
        <w:rPr>
          <w:sz w:val="20"/>
        </w:rPr>
        <w:t>Therefore,</w:t>
      </w:r>
      <w:r>
        <w:rPr>
          <w:spacing w:val="-10"/>
          <w:sz w:val="20"/>
        </w:rPr>
        <w:t> </w:t>
      </w:r>
      <w:r>
        <w:rPr>
          <w:sz w:val="20"/>
        </w:rPr>
        <w:t>it</w:t>
      </w:r>
      <w:r>
        <w:rPr>
          <w:spacing w:val="-7"/>
          <w:sz w:val="20"/>
        </w:rPr>
        <w:t> </w:t>
      </w:r>
      <w:r>
        <w:rPr>
          <w:sz w:val="20"/>
        </w:rPr>
        <w:t>would</w:t>
      </w:r>
      <w:r>
        <w:rPr>
          <w:spacing w:val="-9"/>
          <w:sz w:val="20"/>
        </w:rPr>
        <w:t> </w:t>
      </w:r>
      <w:r>
        <w:rPr>
          <w:sz w:val="20"/>
        </w:rPr>
        <w:t>likely</w:t>
      </w:r>
      <w:r>
        <w:rPr>
          <w:spacing w:val="-14"/>
          <w:sz w:val="20"/>
        </w:rPr>
        <w:t> </w:t>
      </w:r>
      <w:r>
        <w:rPr>
          <w:sz w:val="20"/>
        </w:rPr>
        <w:t>be</w:t>
      </w:r>
      <w:r>
        <w:rPr>
          <w:spacing w:val="-12"/>
          <w:sz w:val="20"/>
        </w:rPr>
        <w:t> </w:t>
      </w:r>
      <w:r>
        <w:rPr>
          <w:sz w:val="20"/>
        </w:rPr>
        <w:t>necessary</w:t>
      </w:r>
      <w:r>
        <w:rPr>
          <w:spacing w:val="-14"/>
          <w:sz w:val="20"/>
        </w:rPr>
        <w:t> </w:t>
      </w:r>
      <w:r>
        <w:rPr>
          <w:sz w:val="20"/>
        </w:rPr>
        <w:t>to</w:t>
      </w:r>
      <w:r>
        <w:rPr>
          <w:spacing w:val="-9"/>
          <w:sz w:val="20"/>
        </w:rPr>
        <w:t> </w:t>
      </w:r>
      <w:r>
        <w:rPr>
          <w:sz w:val="20"/>
        </w:rPr>
        <w:t>develop a quantitative threshold to identify “domestic businesses” eligible for the exemption as those that retained over</w:t>
      </w:r>
      <w:r>
        <w:rPr>
          <w:spacing w:val="-4"/>
          <w:sz w:val="20"/>
        </w:rPr>
        <w:t> </w:t>
      </w:r>
      <w:r>
        <w:rPr>
          <w:sz w:val="20"/>
        </w:rPr>
        <w:t>a</w:t>
      </w:r>
      <w:r>
        <w:rPr>
          <w:spacing w:val="-3"/>
          <w:sz w:val="20"/>
        </w:rPr>
        <w:t> </w:t>
      </w:r>
      <w:r>
        <w:rPr>
          <w:sz w:val="20"/>
        </w:rPr>
        <w:t>given</w:t>
      </w:r>
      <w:r>
        <w:rPr>
          <w:spacing w:val="-4"/>
          <w:sz w:val="20"/>
        </w:rPr>
        <w:t> </w:t>
      </w:r>
      <w:r>
        <w:rPr>
          <w:sz w:val="20"/>
        </w:rPr>
        <w:t>percentage</w:t>
      </w:r>
      <w:r>
        <w:rPr>
          <w:spacing w:val="-4"/>
          <w:sz w:val="20"/>
        </w:rPr>
        <w:t> </w:t>
      </w:r>
      <w:r>
        <w:rPr>
          <w:sz w:val="20"/>
        </w:rPr>
        <w:t>(e.g.</w:t>
      </w:r>
      <w:r>
        <w:rPr>
          <w:spacing w:val="-7"/>
          <w:sz w:val="20"/>
        </w:rPr>
        <w:t> </w:t>
      </w:r>
      <w:r>
        <w:rPr>
          <w:sz w:val="20"/>
        </w:rPr>
        <w:t>90%)</w:t>
      </w:r>
      <w:r>
        <w:rPr>
          <w:spacing w:val="-5"/>
          <w:sz w:val="20"/>
        </w:rPr>
        <w:t> </w:t>
      </w:r>
      <w:r>
        <w:rPr>
          <w:sz w:val="20"/>
        </w:rPr>
        <w:t>of</w:t>
      </w:r>
      <w:r>
        <w:rPr>
          <w:spacing w:val="-4"/>
          <w:sz w:val="20"/>
        </w:rPr>
        <w:t> </w:t>
      </w:r>
      <w:r>
        <w:rPr>
          <w:sz w:val="20"/>
        </w:rPr>
        <w:t>the</w:t>
      </w:r>
      <w:r>
        <w:rPr>
          <w:spacing w:val="-7"/>
          <w:sz w:val="20"/>
        </w:rPr>
        <w:t> </w:t>
      </w:r>
      <w:r>
        <w:rPr>
          <w:sz w:val="20"/>
        </w:rPr>
        <w:t>total</w:t>
      </w:r>
      <w:r>
        <w:rPr>
          <w:spacing w:val="-4"/>
          <w:sz w:val="20"/>
        </w:rPr>
        <w:t> </w:t>
      </w:r>
      <w:r>
        <w:rPr>
          <w:sz w:val="20"/>
        </w:rPr>
        <w:t>profits</w:t>
      </w:r>
      <w:r>
        <w:rPr>
          <w:spacing w:val="-5"/>
          <w:sz w:val="20"/>
        </w:rPr>
        <w:t> </w:t>
      </w:r>
      <w:r>
        <w:rPr>
          <w:sz w:val="20"/>
        </w:rPr>
        <w:t>derived</w:t>
      </w:r>
      <w:r>
        <w:rPr>
          <w:spacing w:val="-6"/>
          <w:sz w:val="20"/>
        </w:rPr>
        <w:t> </w:t>
      </w:r>
      <w:r>
        <w:rPr>
          <w:sz w:val="20"/>
        </w:rPr>
        <w:t>from</w:t>
      </w:r>
      <w:r>
        <w:rPr>
          <w:spacing w:val="-2"/>
          <w:sz w:val="20"/>
        </w:rPr>
        <w:t> </w:t>
      </w:r>
      <w:r>
        <w:rPr>
          <w:sz w:val="20"/>
        </w:rPr>
        <w:t>a</w:t>
      </w:r>
      <w:r>
        <w:rPr>
          <w:spacing w:val="-6"/>
          <w:sz w:val="20"/>
        </w:rPr>
        <w:t> </w:t>
      </w:r>
      <w:r>
        <w:rPr>
          <w:sz w:val="20"/>
        </w:rPr>
        <w:t>market,</w:t>
      </w:r>
      <w:r>
        <w:rPr>
          <w:spacing w:val="-5"/>
          <w:sz w:val="20"/>
        </w:rPr>
        <w:t> </w:t>
      </w:r>
      <w:r>
        <w:rPr>
          <w:sz w:val="20"/>
        </w:rPr>
        <w:t>or</w:t>
      </w:r>
      <w:r>
        <w:rPr>
          <w:spacing w:val="-6"/>
          <w:sz w:val="20"/>
        </w:rPr>
        <w:t> </w:t>
      </w:r>
      <w:r>
        <w:rPr>
          <w:sz w:val="20"/>
        </w:rPr>
        <w:t>alternatively</w:t>
      </w:r>
      <w:r>
        <w:rPr>
          <w:spacing w:val="-6"/>
          <w:sz w:val="20"/>
        </w:rPr>
        <w:t> </w:t>
      </w:r>
      <w:r>
        <w:rPr>
          <w:sz w:val="20"/>
        </w:rPr>
        <w:t>as</w:t>
      </w:r>
      <w:r>
        <w:rPr>
          <w:spacing w:val="-5"/>
          <w:sz w:val="20"/>
        </w:rPr>
        <w:t> </w:t>
      </w:r>
      <w:r>
        <w:rPr>
          <w:sz w:val="20"/>
        </w:rPr>
        <w:t>those</w:t>
      </w:r>
      <w:r>
        <w:rPr>
          <w:spacing w:val="-7"/>
          <w:sz w:val="20"/>
        </w:rPr>
        <w:t> </w:t>
      </w:r>
      <w:r>
        <w:rPr>
          <w:sz w:val="20"/>
        </w:rPr>
        <w:t>that derive</w:t>
      </w:r>
      <w:r>
        <w:rPr>
          <w:spacing w:val="-6"/>
          <w:sz w:val="20"/>
        </w:rPr>
        <w:t> </w:t>
      </w:r>
      <w:r>
        <w:rPr>
          <w:sz w:val="20"/>
        </w:rPr>
        <w:t>only</w:t>
      </w:r>
      <w:r>
        <w:rPr>
          <w:spacing w:val="-10"/>
          <w:sz w:val="20"/>
        </w:rPr>
        <w:t> </w:t>
      </w:r>
      <w:r>
        <w:rPr>
          <w:sz w:val="20"/>
        </w:rPr>
        <w:t>revenue</w:t>
      </w:r>
      <w:r>
        <w:rPr>
          <w:spacing w:val="-5"/>
          <w:sz w:val="20"/>
        </w:rPr>
        <w:t> </w:t>
      </w:r>
      <w:r>
        <w:rPr>
          <w:sz w:val="20"/>
        </w:rPr>
        <w:t>sourced</w:t>
      </w:r>
      <w:r>
        <w:rPr>
          <w:spacing w:val="-7"/>
          <w:sz w:val="20"/>
        </w:rPr>
        <w:t> </w:t>
      </w:r>
      <w:r>
        <w:rPr>
          <w:sz w:val="20"/>
        </w:rPr>
        <w:t>in</w:t>
      </w:r>
      <w:r>
        <w:rPr>
          <w:spacing w:val="-7"/>
          <w:sz w:val="20"/>
        </w:rPr>
        <w:t> </w:t>
      </w:r>
      <w:r>
        <w:rPr>
          <w:sz w:val="20"/>
        </w:rPr>
        <w:t>their</w:t>
      </w:r>
      <w:r>
        <w:rPr>
          <w:spacing w:val="-6"/>
          <w:sz w:val="20"/>
        </w:rPr>
        <w:t> </w:t>
      </w:r>
      <w:r>
        <w:rPr>
          <w:sz w:val="20"/>
        </w:rPr>
        <w:t>domestic</w:t>
      </w:r>
      <w:r>
        <w:rPr>
          <w:spacing w:val="-5"/>
          <w:sz w:val="20"/>
        </w:rPr>
        <w:t> </w:t>
      </w:r>
      <w:r>
        <w:rPr>
          <w:sz w:val="20"/>
        </w:rPr>
        <w:t>market</w:t>
      </w:r>
      <w:r>
        <w:rPr>
          <w:spacing w:val="-3"/>
          <w:sz w:val="20"/>
        </w:rPr>
        <w:t> </w:t>
      </w:r>
      <w:r>
        <w:rPr>
          <w:sz w:val="20"/>
        </w:rPr>
        <w:t>and</w:t>
      </w:r>
      <w:r>
        <w:rPr>
          <w:spacing w:val="-7"/>
          <w:sz w:val="20"/>
        </w:rPr>
        <w:t> </w:t>
      </w:r>
      <w:r>
        <w:rPr>
          <w:sz w:val="20"/>
        </w:rPr>
        <w:t>have</w:t>
      </w:r>
      <w:r>
        <w:rPr>
          <w:spacing w:val="-6"/>
          <w:sz w:val="20"/>
        </w:rPr>
        <w:t> </w:t>
      </w:r>
      <w:r>
        <w:rPr>
          <w:sz w:val="20"/>
        </w:rPr>
        <w:t>no</w:t>
      </w:r>
      <w:r>
        <w:rPr>
          <w:spacing w:val="-7"/>
          <w:sz w:val="20"/>
        </w:rPr>
        <w:t> </w:t>
      </w:r>
      <w:r>
        <w:rPr>
          <w:sz w:val="20"/>
        </w:rPr>
        <w:t>or</w:t>
      </w:r>
      <w:r>
        <w:rPr>
          <w:spacing w:val="-6"/>
          <w:sz w:val="20"/>
        </w:rPr>
        <w:t> </w:t>
      </w:r>
      <w:r>
        <w:rPr>
          <w:sz w:val="20"/>
        </w:rPr>
        <w:t>only</w:t>
      </w:r>
      <w:r>
        <w:rPr>
          <w:spacing w:val="-6"/>
          <w:sz w:val="20"/>
        </w:rPr>
        <w:t> </w:t>
      </w:r>
      <w:r>
        <w:rPr>
          <w:sz w:val="20"/>
        </w:rPr>
        <w:t>limited</w:t>
      </w:r>
      <w:r>
        <w:rPr>
          <w:spacing w:val="-6"/>
          <w:sz w:val="20"/>
        </w:rPr>
        <w:t> </w:t>
      </w:r>
      <w:r>
        <w:rPr>
          <w:sz w:val="20"/>
        </w:rPr>
        <w:t>transactions</w:t>
      </w:r>
      <w:r>
        <w:rPr>
          <w:spacing w:val="-6"/>
          <w:sz w:val="20"/>
        </w:rPr>
        <w:t> </w:t>
      </w:r>
      <w:r>
        <w:rPr>
          <w:sz w:val="20"/>
        </w:rPr>
        <w:t>with</w:t>
      </w:r>
      <w:r>
        <w:rPr>
          <w:spacing w:val="-7"/>
          <w:sz w:val="20"/>
        </w:rPr>
        <w:t> </w:t>
      </w:r>
      <w:r>
        <w:rPr>
          <w:sz w:val="20"/>
        </w:rPr>
        <w:t>related parties</w:t>
      </w:r>
      <w:r>
        <w:rPr>
          <w:spacing w:val="-4"/>
          <w:sz w:val="20"/>
        </w:rPr>
        <w:t> </w:t>
      </w:r>
      <w:r>
        <w:rPr>
          <w:sz w:val="20"/>
        </w:rPr>
        <w:t>in</w:t>
      </w:r>
      <w:r>
        <w:rPr>
          <w:spacing w:val="-4"/>
          <w:sz w:val="20"/>
        </w:rPr>
        <w:t> </w:t>
      </w:r>
      <w:r>
        <w:rPr>
          <w:sz w:val="20"/>
        </w:rPr>
        <w:t>other</w:t>
      </w:r>
      <w:r>
        <w:rPr>
          <w:spacing w:val="-6"/>
          <w:sz w:val="20"/>
        </w:rPr>
        <w:t> </w:t>
      </w:r>
      <w:r>
        <w:rPr>
          <w:sz w:val="20"/>
        </w:rPr>
        <w:t>jurisdictions.</w:t>
      </w:r>
      <w:r>
        <w:rPr>
          <w:spacing w:val="-7"/>
          <w:sz w:val="20"/>
        </w:rPr>
        <w:t> </w:t>
      </w:r>
      <w:r>
        <w:rPr>
          <w:sz w:val="20"/>
        </w:rPr>
        <w:t>This</w:t>
      </w:r>
      <w:r>
        <w:rPr>
          <w:spacing w:val="-5"/>
          <w:sz w:val="20"/>
        </w:rPr>
        <w:t> </w:t>
      </w:r>
      <w:r>
        <w:rPr>
          <w:sz w:val="20"/>
        </w:rPr>
        <w:t>would</w:t>
      </w:r>
      <w:r>
        <w:rPr>
          <w:spacing w:val="-7"/>
          <w:sz w:val="20"/>
        </w:rPr>
        <w:t> </w:t>
      </w:r>
      <w:r>
        <w:rPr>
          <w:sz w:val="20"/>
        </w:rPr>
        <w:t>create</w:t>
      </w:r>
      <w:r>
        <w:rPr>
          <w:spacing w:val="-4"/>
          <w:sz w:val="20"/>
        </w:rPr>
        <w:t> </w:t>
      </w:r>
      <w:r>
        <w:rPr>
          <w:sz w:val="20"/>
        </w:rPr>
        <w:t>its</w:t>
      </w:r>
      <w:r>
        <w:rPr>
          <w:spacing w:val="-6"/>
          <w:sz w:val="20"/>
        </w:rPr>
        <w:t> </w:t>
      </w:r>
      <w:r>
        <w:rPr>
          <w:sz w:val="20"/>
        </w:rPr>
        <w:t>own</w:t>
      </w:r>
      <w:r>
        <w:rPr>
          <w:spacing w:val="-4"/>
          <w:sz w:val="20"/>
        </w:rPr>
        <w:t> </w:t>
      </w:r>
      <w:r>
        <w:rPr>
          <w:sz w:val="20"/>
        </w:rPr>
        <w:t>challenges.</w:t>
      </w:r>
      <w:r>
        <w:rPr>
          <w:spacing w:val="-6"/>
          <w:sz w:val="20"/>
        </w:rPr>
        <w:t> </w:t>
      </w:r>
      <w:r>
        <w:rPr>
          <w:sz w:val="20"/>
        </w:rPr>
        <w:t>It</w:t>
      </w:r>
      <w:r>
        <w:rPr>
          <w:spacing w:val="-5"/>
          <w:sz w:val="20"/>
        </w:rPr>
        <w:t> </w:t>
      </w:r>
      <w:r>
        <w:rPr>
          <w:sz w:val="20"/>
        </w:rPr>
        <w:t>would</w:t>
      </w:r>
      <w:r>
        <w:rPr>
          <w:spacing w:val="-7"/>
          <w:sz w:val="20"/>
        </w:rPr>
        <w:t> </w:t>
      </w:r>
      <w:r>
        <w:rPr>
          <w:sz w:val="20"/>
        </w:rPr>
        <w:t>be</w:t>
      </w:r>
      <w:r>
        <w:rPr>
          <w:spacing w:val="-7"/>
          <w:sz w:val="20"/>
        </w:rPr>
        <w:t> </w:t>
      </w:r>
      <w:r>
        <w:rPr>
          <w:sz w:val="20"/>
        </w:rPr>
        <w:t>difficult</w:t>
      </w:r>
      <w:r>
        <w:rPr>
          <w:spacing w:val="-6"/>
          <w:sz w:val="20"/>
        </w:rPr>
        <w:t> </w:t>
      </w:r>
      <w:r>
        <w:rPr>
          <w:sz w:val="20"/>
        </w:rPr>
        <w:t>to</w:t>
      </w:r>
      <w:r>
        <w:rPr>
          <w:spacing w:val="-7"/>
          <w:sz w:val="20"/>
        </w:rPr>
        <w:t> </w:t>
      </w:r>
      <w:r>
        <w:rPr>
          <w:sz w:val="20"/>
        </w:rPr>
        <w:t>reach</w:t>
      </w:r>
      <w:r>
        <w:rPr>
          <w:spacing w:val="-8"/>
          <w:sz w:val="20"/>
        </w:rPr>
        <w:t> </w:t>
      </w:r>
      <w:r>
        <w:rPr>
          <w:sz w:val="20"/>
        </w:rPr>
        <w:t>agreement on the percentage of profits that would need to be retained in the market for the “domestic business exemption” to apply. Agreeing a single threshold would create a cliff-edge effect where a business just above the threshold would be excluded from Amount A, but a business just below the threshold would be not be excluded. If this threshold was applied on an annual basis, the domestic business could move in and</w:t>
      </w:r>
      <w:r>
        <w:rPr>
          <w:spacing w:val="-6"/>
          <w:sz w:val="20"/>
        </w:rPr>
        <w:t> </w:t>
      </w:r>
      <w:r>
        <w:rPr>
          <w:sz w:val="20"/>
        </w:rPr>
        <w:t>out-of-scope</w:t>
      </w:r>
      <w:r>
        <w:rPr>
          <w:spacing w:val="-7"/>
          <w:sz w:val="20"/>
        </w:rPr>
        <w:t> </w:t>
      </w:r>
      <w:r>
        <w:rPr>
          <w:sz w:val="20"/>
        </w:rPr>
        <w:t>of</w:t>
      </w:r>
      <w:r>
        <w:rPr>
          <w:spacing w:val="-6"/>
          <w:sz w:val="20"/>
        </w:rPr>
        <w:t> </w:t>
      </w:r>
      <w:r>
        <w:rPr>
          <w:sz w:val="20"/>
        </w:rPr>
        <w:t>the</w:t>
      </w:r>
      <w:r>
        <w:rPr>
          <w:spacing w:val="-6"/>
          <w:sz w:val="20"/>
        </w:rPr>
        <w:t> </w:t>
      </w:r>
      <w:r>
        <w:rPr>
          <w:sz w:val="20"/>
        </w:rPr>
        <w:t>exemption,</w:t>
      </w:r>
      <w:r>
        <w:rPr>
          <w:spacing w:val="-7"/>
          <w:sz w:val="20"/>
        </w:rPr>
        <w:t> </w:t>
      </w:r>
      <w:r>
        <w:rPr>
          <w:sz w:val="20"/>
        </w:rPr>
        <w:t>creating</w:t>
      </w:r>
      <w:r>
        <w:rPr>
          <w:spacing w:val="-6"/>
          <w:sz w:val="20"/>
        </w:rPr>
        <w:t> </w:t>
      </w:r>
      <w:r>
        <w:rPr>
          <w:sz w:val="20"/>
        </w:rPr>
        <w:t>additional</w:t>
      </w:r>
      <w:r>
        <w:rPr>
          <w:spacing w:val="-6"/>
          <w:sz w:val="20"/>
        </w:rPr>
        <w:t> </w:t>
      </w:r>
      <w:r>
        <w:rPr>
          <w:sz w:val="20"/>
        </w:rPr>
        <w:t>complexity.</w:t>
      </w:r>
      <w:r>
        <w:rPr>
          <w:spacing w:val="-6"/>
          <w:sz w:val="20"/>
        </w:rPr>
        <w:t> </w:t>
      </w:r>
      <w:r>
        <w:rPr>
          <w:sz w:val="20"/>
        </w:rPr>
        <w:t>Even</w:t>
      </w:r>
      <w:r>
        <w:rPr>
          <w:spacing w:val="-6"/>
          <w:sz w:val="20"/>
        </w:rPr>
        <w:t> </w:t>
      </w:r>
      <w:r>
        <w:rPr>
          <w:sz w:val="20"/>
        </w:rPr>
        <w:t>calculating</w:t>
      </w:r>
      <w:r>
        <w:rPr>
          <w:spacing w:val="-5"/>
          <w:sz w:val="20"/>
        </w:rPr>
        <w:t> </w:t>
      </w:r>
      <w:r>
        <w:rPr>
          <w:sz w:val="20"/>
        </w:rPr>
        <w:t>whether</w:t>
      </w:r>
      <w:r>
        <w:rPr>
          <w:spacing w:val="-7"/>
          <w:sz w:val="20"/>
        </w:rPr>
        <w:t> </w:t>
      </w:r>
      <w:r>
        <w:rPr>
          <w:sz w:val="20"/>
        </w:rPr>
        <w:t>the</w:t>
      </w:r>
      <w:r>
        <w:rPr>
          <w:spacing w:val="-8"/>
          <w:sz w:val="20"/>
        </w:rPr>
        <w:t> </w:t>
      </w:r>
      <w:r>
        <w:rPr>
          <w:sz w:val="20"/>
        </w:rPr>
        <w:t>threshold had been met would be difficult, as to determine the profits generated from a market, it would also be necessary to identify all the costs incurred in relation to that market, recognising that some could be incurred</w:t>
      </w:r>
      <w:r>
        <w:rPr>
          <w:spacing w:val="-10"/>
          <w:sz w:val="20"/>
        </w:rPr>
        <w:t> </w:t>
      </w:r>
      <w:r>
        <w:rPr>
          <w:sz w:val="20"/>
        </w:rPr>
        <w:t>in</w:t>
      </w:r>
      <w:r>
        <w:rPr>
          <w:spacing w:val="-9"/>
          <w:sz w:val="20"/>
        </w:rPr>
        <w:t> </w:t>
      </w:r>
      <w:r>
        <w:rPr>
          <w:sz w:val="20"/>
        </w:rPr>
        <w:t>other</w:t>
      </w:r>
      <w:r>
        <w:rPr>
          <w:spacing w:val="-8"/>
          <w:sz w:val="20"/>
        </w:rPr>
        <w:t> </w:t>
      </w:r>
      <w:r>
        <w:rPr>
          <w:sz w:val="20"/>
        </w:rPr>
        <w:t>jurisdictions.</w:t>
      </w:r>
      <w:r>
        <w:rPr>
          <w:spacing w:val="-11"/>
          <w:sz w:val="20"/>
        </w:rPr>
        <w:t> </w:t>
      </w:r>
      <w:r>
        <w:rPr>
          <w:sz w:val="20"/>
        </w:rPr>
        <w:t>This</w:t>
      </w:r>
      <w:r>
        <w:rPr>
          <w:spacing w:val="-8"/>
          <w:sz w:val="20"/>
        </w:rPr>
        <w:t> </w:t>
      </w:r>
      <w:r>
        <w:rPr>
          <w:sz w:val="20"/>
        </w:rPr>
        <w:t>is</w:t>
      </w:r>
      <w:r>
        <w:rPr>
          <w:spacing w:val="-8"/>
          <w:sz w:val="20"/>
        </w:rPr>
        <w:t> </w:t>
      </w:r>
      <w:r>
        <w:rPr>
          <w:sz w:val="20"/>
        </w:rPr>
        <w:t>likely</w:t>
      </w:r>
      <w:r>
        <w:rPr>
          <w:spacing w:val="-12"/>
          <w:sz w:val="20"/>
        </w:rPr>
        <w:t> </w:t>
      </w:r>
      <w:r>
        <w:rPr>
          <w:sz w:val="20"/>
        </w:rPr>
        <w:t>to</w:t>
      </w:r>
      <w:r>
        <w:rPr>
          <w:spacing w:val="-9"/>
          <w:sz w:val="20"/>
        </w:rPr>
        <w:t> </w:t>
      </w:r>
      <w:r>
        <w:rPr>
          <w:sz w:val="20"/>
        </w:rPr>
        <w:t>give</w:t>
      </w:r>
      <w:r>
        <w:rPr>
          <w:spacing w:val="-10"/>
          <w:sz w:val="20"/>
        </w:rPr>
        <w:t> </w:t>
      </w:r>
      <w:r>
        <w:rPr>
          <w:sz w:val="20"/>
        </w:rPr>
        <w:t>rise</w:t>
      </w:r>
      <w:r>
        <w:rPr>
          <w:spacing w:val="-9"/>
          <w:sz w:val="20"/>
        </w:rPr>
        <w:t> </w:t>
      </w:r>
      <w:r>
        <w:rPr>
          <w:sz w:val="20"/>
        </w:rPr>
        <w:t>to</w:t>
      </w:r>
      <w:r>
        <w:rPr>
          <w:spacing w:val="-9"/>
          <w:sz w:val="20"/>
        </w:rPr>
        <w:t> </w:t>
      </w:r>
      <w:r>
        <w:rPr>
          <w:sz w:val="20"/>
        </w:rPr>
        <w:t>disputes</w:t>
      </w:r>
      <w:r>
        <w:rPr>
          <w:spacing w:val="-8"/>
          <w:sz w:val="20"/>
        </w:rPr>
        <w:t> </w:t>
      </w:r>
      <w:r>
        <w:rPr>
          <w:sz w:val="20"/>
        </w:rPr>
        <w:t>over</w:t>
      </w:r>
      <w:r>
        <w:rPr>
          <w:spacing w:val="-8"/>
          <w:sz w:val="20"/>
        </w:rPr>
        <w:t> </w:t>
      </w:r>
      <w:r>
        <w:rPr>
          <w:sz w:val="20"/>
        </w:rPr>
        <w:t>the</w:t>
      </w:r>
      <w:r>
        <w:rPr>
          <w:spacing w:val="-9"/>
          <w:sz w:val="20"/>
        </w:rPr>
        <w:t> </w:t>
      </w:r>
      <w:r>
        <w:rPr>
          <w:sz w:val="20"/>
        </w:rPr>
        <w:t>allocation</w:t>
      </w:r>
      <w:r>
        <w:rPr>
          <w:spacing w:val="-9"/>
          <w:sz w:val="20"/>
        </w:rPr>
        <w:t> </w:t>
      </w:r>
      <w:r>
        <w:rPr>
          <w:sz w:val="20"/>
        </w:rPr>
        <w:t>of</w:t>
      </w:r>
      <w:r>
        <w:rPr>
          <w:spacing w:val="-8"/>
          <w:sz w:val="20"/>
        </w:rPr>
        <w:t> </w:t>
      </w:r>
      <w:r>
        <w:rPr>
          <w:sz w:val="20"/>
        </w:rPr>
        <w:t>shared</w:t>
      </w:r>
      <w:r>
        <w:rPr>
          <w:spacing w:val="-9"/>
          <w:sz w:val="20"/>
        </w:rPr>
        <w:t> </w:t>
      </w:r>
      <w:r>
        <w:rPr>
          <w:sz w:val="20"/>
        </w:rPr>
        <w:t>costs,</w:t>
      </w:r>
      <w:r>
        <w:rPr>
          <w:spacing w:val="-9"/>
          <w:sz w:val="20"/>
        </w:rPr>
        <w:t> </w:t>
      </w:r>
      <w:r>
        <w:rPr>
          <w:sz w:val="20"/>
        </w:rPr>
        <w:t>such as</w:t>
      </w:r>
      <w:r>
        <w:rPr>
          <w:spacing w:val="-11"/>
          <w:sz w:val="20"/>
        </w:rPr>
        <w:t> </w:t>
      </w:r>
      <w:r>
        <w:rPr>
          <w:sz w:val="20"/>
        </w:rPr>
        <w:t>management</w:t>
      </w:r>
      <w:r>
        <w:rPr>
          <w:spacing w:val="-9"/>
          <w:sz w:val="20"/>
        </w:rPr>
        <w:t> </w:t>
      </w:r>
      <w:r>
        <w:rPr>
          <w:sz w:val="20"/>
        </w:rPr>
        <w:t>expenses</w:t>
      </w:r>
      <w:r>
        <w:rPr>
          <w:spacing w:val="-7"/>
          <w:sz w:val="20"/>
        </w:rPr>
        <w:t> </w:t>
      </w:r>
      <w:r>
        <w:rPr>
          <w:sz w:val="20"/>
        </w:rPr>
        <w:t>or</w:t>
      </w:r>
      <w:r>
        <w:rPr>
          <w:spacing w:val="-8"/>
          <w:sz w:val="20"/>
        </w:rPr>
        <w:t> </w:t>
      </w:r>
      <w:r>
        <w:rPr>
          <w:sz w:val="20"/>
        </w:rPr>
        <w:t>global</w:t>
      </w:r>
      <w:r>
        <w:rPr>
          <w:spacing w:val="-11"/>
          <w:sz w:val="20"/>
        </w:rPr>
        <w:t> </w:t>
      </w:r>
      <w:r>
        <w:rPr>
          <w:sz w:val="20"/>
        </w:rPr>
        <w:t>advertising</w:t>
      </w:r>
      <w:r>
        <w:rPr>
          <w:spacing w:val="-9"/>
          <w:sz w:val="20"/>
        </w:rPr>
        <w:t> </w:t>
      </w:r>
      <w:r>
        <w:rPr>
          <w:sz w:val="20"/>
        </w:rPr>
        <w:t>campaigns.</w:t>
      </w:r>
      <w:r>
        <w:rPr>
          <w:spacing w:val="-10"/>
          <w:sz w:val="20"/>
        </w:rPr>
        <w:t> </w:t>
      </w:r>
      <w:r>
        <w:rPr>
          <w:sz w:val="20"/>
        </w:rPr>
        <w:t>These</w:t>
      </w:r>
      <w:r>
        <w:rPr>
          <w:spacing w:val="-9"/>
          <w:sz w:val="20"/>
        </w:rPr>
        <w:t> </w:t>
      </w:r>
      <w:r>
        <w:rPr>
          <w:sz w:val="20"/>
        </w:rPr>
        <w:t>issues</w:t>
      </w:r>
      <w:r>
        <w:rPr>
          <w:spacing w:val="-9"/>
          <w:sz w:val="20"/>
        </w:rPr>
        <w:t> </w:t>
      </w:r>
      <w:r>
        <w:rPr>
          <w:sz w:val="20"/>
        </w:rPr>
        <w:t>mean</w:t>
      </w:r>
      <w:r>
        <w:rPr>
          <w:spacing w:val="-9"/>
          <w:sz w:val="20"/>
        </w:rPr>
        <w:t> </w:t>
      </w:r>
      <w:r>
        <w:rPr>
          <w:sz w:val="20"/>
        </w:rPr>
        <w:t>that</w:t>
      </w:r>
      <w:r>
        <w:rPr>
          <w:spacing w:val="-9"/>
          <w:sz w:val="20"/>
        </w:rPr>
        <w:t> </w:t>
      </w:r>
      <w:r>
        <w:rPr>
          <w:sz w:val="20"/>
        </w:rPr>
        <w:t>though</w:t>
      </w:r>
      <w:r>
        <w:rPr>
          <w:spacing w:val="-10"/>
          <w:sz w:val="20"/>
        </w:rPr>
        <w:t> </w:t>
      </w:r>
      <w:r>
        <w:rPr>
          <w:sz w:val="20"/>
        </w:rPr>
        <w:t>the</w:t>
      </w:r>
      <w:r>
        <w:rPr>
          <w:spacing w:val="-9"/>
          <w:sz w:val="20"/>
        </w:rPr>
        <w:t> </w:t>
      </w:r>
      <w:r>
        <w:rPr>
          <w:sz w:val="20"/>
        </w:rPr>
        <w:t>“domestic business exemption” is conceptually appealing, it may be very difficult to design in</w:t>
      </w:r>
      <w:r>
        <w:rPr>
          <w:spacing w:val="-22"/>
          <w:sz w:val="20"/>
        </w:rPr>
        <w:t> </w:t>
      </w:r>
      <w:r>
        <w:rPr>
          <w:sz w:val="20"/>
        </w:rPr>
        <w:t>practice.</w:t>
      </w:r>
    </w:p>
    <w:p>
      <w:pPr>
        <w:pStyle w:val="ListParagraph"/>
        <w:numPr>
          <w:ilvl w:val="0"/>
          <w:numId w:val="13"/>
        </w:numPr>
        <w:tabs>
          <w:tab w:pos="1444" w:val="left" w:leader="none"/>
        </w:tabs>
        <w:spacing w:line="271" w:lineRule="auto" w:before="123" w:after="0"/>
        <w:ind w:left="723" w:right="481" w:firstLine="0"/>
        <w:jc w:val="both"/>
        <w:rPr>
          <w:sz w:val="20"/>
        </w:rPr>
      </w:pPr>
      <w:r>
        <w:rPr>
          <w:sz w:val="20"/>
        </w:rPr>
        <w:t>Setting aside these challenges, it is also important to emphasise that the “domestic business exemption” would only reduce the occurrence of “double counting”. For example, it would not address situations where a market jurisdiction had taxing rights over the residual profits arising </w:t>
      </w:r>
      <w:r>
        <w:rPr>
          <w:spacing w:val="2"/>
          <w:sz w:val="20"/>
        </w:rPr>
        <w:t>from </w:t>
      </w:r>
      <w:r>
        <w:rPr>
          <w:sz w:val="20"/>
        </w:rPr>
        <w:t>the activities of a distributor not eligible for the “domestic business exemption”. Therefore, the “domestic business exemption”</w:t>
      </w:r>
      <w:r>
        <w:rPr>
          <w:spacing w:val="-4"/>
          <w:sz w:val="20"/>
        </w:rPr>
        <w:t> </w:t>
      </w:r>
      <w:r>
        <w:rPr>
          <w:sz w:val="20"/>
        </w:rPr>
        <w:t>could</w:t>
      </w:r>
      <w:r>
        <w:rPr>
          <w:spacing w:val="-5"/>
          <w:sz w:val="20"/>
        </w:rPr>
        <w:t> </w:t>
      </w:r>
      <w:r>
        <w:rPr>
          <w:sz w:val="20"/>
        </w:rPr>
        <w:t>only</w:t>
      </w:r>
      <w:r>
        <w:rPr>
          <w:spacing w:val="-8"/>
          <w:sz w:val="20"/>
        </w:rPr>
        <w:t> </w:t>
      </w:r>
      <w:r>
        <w:rPr>
          <w:sz w:val="20"/>
        </w:rPr>
        <w:t>be</w:t>
      </w:r>
      <w:r>
        <w:rPr>
          <w:spacing w:val="-5"/>
          <w:sz w:val="20"/>
        </w:rPr>
        <w:t> </w:t>
      </w:r>
      <w:r>
        <w:rPr>
          <w:sz w:val="20"/>
        </w:rPr>
        <w:t>developed</w:t>
      </w:r>
      <w:r>
        <w:rPr>
          <w:spacing w:val="-3"/>
          <w:sz w:val="20"/>
        </w:rPr>
        <w:t> </w:t>
      </w:r>
      <w:r>
        <w:rPr>
          <w:sz w:val="20"/>
        </w:rPr>
        <w:t>in</w:t>
      </w:r>
      <w:r>
        <w:rPr>
          <w:spacing w:val="-5"/>
          <w:sz w:val="20"/>
        </w:rPr>
        <w:t> </w:t>
      </w:r>
      <w:r>
        <w:rPr>
          <w:sz w:val="20"/>
        </w:rPr>
        <w:t>combination</w:t>
      </w:r>
      <w:r>
        <w:rPr>
          <w:spacing w:val="-3"/>
          <w:sz w:val="20"/>
        </w:rPr>
        <w:t> </w:t>
      </w:r>
      <w:r>
        <w:rPr>
          <w:sz w:val="20"/>
        </w:rPr>
        <w:t>with</w:t>
      </w:r>
      <w:r>
        <w:rPr>
          <w:spacing w:val="-5"/>
          <w:sz w:val="20"/>
        </w:rPr>
        <w:t> </w:t>
      </w:r>
      <w:r>
        <w:rPr>
          <w:sz w:val="20"/>
        </w:rPr>
        <w:t>another</w:t>
      </w:r>
      <w:r>
        <w:rPr>
          <w:spacing w:val="-5"/>
          <w:sz w:val="20"/>
        </w:rPr>
        <w:t> </w:t>
      </w:r>
      <w:r>
        <w:rPr>
          <w:sz w:val="20"/>
        </w:rPr>
        <w:t>mechanism to</w:t>
      </w:r>
      <w:r>
        <w:rPr>
          <w:spacing w:val="-5"/>
          <w:sz w:val="20"/>
        </w:rPr>
        <w:t> </w:t>
      </w:r>
      <w:r>
        <w:rPr>
          <w:sz w:val="20"/>
        </w:rPr>
        <w:t>address</w:t>
      </w:r>
      <w:r>
        <w:rPr>
          <w:spacing w:val="-4"/>
          <w:sz w:val="20"/>
        </w:rPr>
        <w:t> </w:t>
      </w:r>
      <w:r>
        <w:rPr>
          <w:sz w:val="20"/>
        </w:rPr>
        <w:t>double</w:t>
      </w:r>
      <w:r>
        <w:rPr>
          <w:spacing w:val="-5"/>
          <w:sz w:val="20"/>
        </w:rPr>
        <w:t> </w:t>
      </w:r>
      <w:r>
        <w:rPr>
          <w:sz w:val="20"/>
        </w:rPr>
        <w:t>counting.</w:t>
      </w:r>
    </w:p>
    <w:p>
      <w:pPr>
        <w:pStyle w:val="BodyText"/>
        <w:rPr>
          <w:sz w:val="22"/>
        </w:rPr>
      </w:pPr>
    </w:p>
    <w:p>
      <w:pPr>
        <w:pStyle w:val="Heading4"/>
        <w:numPr>
          <w:ilvl w:val="1"/>
          <w:numId w:val="65"/>
        </w:numPr>
        <w:tabs>
          <w:tab w:pos="1192" w:val="left" w:leader="none"/>
        </w:tabs>
        <w:spacing w:line="240" w:lineRule="auto" w:before="191" w:after="0"/>
        <w:ind w:left="1191" w:right="0" w:hanging="469"/>
        <w:jc w:val="both"/>
        <w:rPr>
          <w:rFonts w:ascii="Arial"/>
        </w:rPr>
      </w:pPr>
      <w:bookmarkStart w:name="6.5. Next steps" w:id="314"/>
      <w:bookmarkEnd w:id="314"/>
      <w:r>
        <w:rPr>
          <w:b w:val="0"/>
        </w:rPr>
      </w:r>
      <w:bookmarkStart w:name="_bookmark50" w:id="315"/>
      <w:bookmarkEnd w:id="315"/>
      <w:r>
        <w:rPr>
          <w:b w:val="0"/>
        </w:rPr>
      </w:r>
      <w:bookmarkStart w:name="_bookmark50" w:id="316"/>
      <w:bookmarkEnd w:id="316"/>
      <w:r>
        <w:rPr>
          <w:rFonts w:ascii="Arial"/>
          <w:color w:val="4E81BD"/>
        </w:rPr>
        <w:t>Ne</w:t>
      </w:r>
      <w:r>
        <w:rPr>
          <w:rFonts w:ascii="Arial"/>
          <w:color w:val="4E81BD"/>
        </w:rPr>
        <w:t>xt steps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As a first next step, drawing on the data and the analysis prepared as part of the impact assessment</w:t>
      </w:r>
      <w:r>
        <w:rPr>
          <w:spacing w:val="-7"/>
          <w:sz w:val="20"/>
        </w:rPr>
        <w:t> </w:t>
      </w:r>
      <w:r>
        <w:rPr>
          <w:sz w:val="20"/>
        </w:rPr>
        <w:t>of</w:t>
      </w:r>
      <w:r>
        <w:rPr>
          <w:spacing w:val="-5"/>
          <w:sz w:val="20"/>
        </w:rPr>
        <w:t> </w:t>
      </w:r>
      <w:r>
        <w:rPr>
          <w:sz w:val="20"/>
        </w:rPr>
        <w:t>different</w:t>
      </w:r>
      <w:r>
        <w:rPr>
          <w:spacing w:val="-7"/>
          <w:sz w:val="20"/>
        </w:rPr>
        <w:t> </w:t>
      </w:r>
      <w:r>
        <w:rPr>
          <w:sz w:val="20"/>
        </w:rPr>
        <w:t>percentages</w:t>
      </w:r>
      <w:r>
        <w:rPr>
          <w:spacing w:val="-7"/>
          <w:sz w:val="20"/>
        </w:rPr>
        <w:t> </w:t>
      </w:r>
      <w:r>
        <w:rPr>
          <w:sz w:val="20"/>
        </w:rPr>
        <w:t>for</w:t>
      </w:r>
      <w:r>
        <w:rPr>
          <w:spacing w:val="-6"/>
          <w:sz w:val="20"/>
        </w:rPr>
        <w:t> </w:t>
      </w:r>
      <w:r>
        <w:rPr>
          <w:sz w:val="20"/>
        </w:rPr>
        <w:t>the</w:t>
      </w:r>
      <w:r>
        <w:rPr>
          <w:spacing w:val="-7"/>
          <w:sz w:val="20"/>
        </w:rPr>
        <w:t> </w:t>
      </w:r>
      <w:r>
        <w:rPr>
          <w:sz w:val="20"/>
        </w:rPr>
        <w:t>profitability</w:t>
      </w:r>
      <w:r>
        <w:rPr>
          <w:spacing w:val="-7"/>
          <w:sz w:val="20"/>
        </w:rPr>
        <w:t> </w:t>
      </w:r>
      <w:r>
        <w:rPr>
          <w:sz w:val="20"/>
        </w:rPr>
        <w:t>threshold</w:t>
      </w:r>
      <w:r>
        <w:rPr>
          <w:spacing w:val="-7"/>
          <w:sz w:val="20"/>
        </w:rPr>
        <w:t> </w:t>
      </w:r>
      <w:r>
        <w:rPr>
          <w:sz w:val="20"/>
        </w:rPr>
        <w:t>(step</w:t>
      </w:r>
      <w:r>
        <w:rPr>
          <w:spacing w:val="-8"/>
          <w:sz w:val="20"/>
        </w:rPr>
        <w:t> </w:t>
      </w:r>
      <w:r>
        <w:rPr>
          <w:sz w:val="20"/>
        </w:rPr>
        <w:t>1)</w:t>
      </w:r>
      <w:r>
        <w:rPr>
          <w:spacing w:val="-6"/>
          <w:sz w:val="20"/>
        </w:rPr>
        <w:t> </w:t>
      </w:r>
      <w:r>
        <w:rPr>
          <w:sz w:val="20"/>
        </w:rPr>
        <w:t>and</w:t>
      </w:r>
      <w:r>
        <w:rPr>
          <w:spacing w:val="-7"/>
          <w:sz w:val="20"/>
        </w:rPr>
        <w:t> </w:t>
      </w:r>
      <w:r>
        <w:rPr>
          <w:sz w:val="20"/>
        </w:rPr>
        <w:t>the</w:t>
      </w:r>
      <w:r>
        <w:rPr>
          <w:spacing w:val="-7"/>
          <w:sz w:val="20"/>
        </w:rPr>
        <w:t> </w:t>
      </w:r>
      <w:r>
        <w:rPr>
          <w:sz w:val="20"/>
        </w:rPr>
        <w:t>reallocation</w:t>
      </w:r>
      <w:r>
        <w:rPr>
          <w:spacing w:val="-6"/>
          <w:sz w:val="20"/>
        </w:rPr>
        <w:t> </w:t>
      </w:r>
      <w:r>
        <w:rPr>
          <w:sz w:val="20"/>
        </w:rPr>
        <w:t>percentage (step 2), a decision of the Inclusive Framework members will be necessary to determine the quantum of Amount A, including whether the formula should incorporate any “differentiation mechanism”. Relevant considerations in this discussion will include, for example, the amount of residual profit to be reallocated (including proportionality to compliance costs and administrative burden), the possible impact on this amount of residual profit of accounting for profit shortfalls (see section </w:t>
      </w:r>
      <w:hyperlink w:history="true" w:anchor="_bookmark37">
        <w:r>
          <w:rPr>
            <w:sz w:val="20"/>
          </w:rPr>
          <w:t>5.4.6</w:t>
        </w:r>
      </w:hyperlink>
      <w:r>
        <w:rPr>
          <w:sz w:val="20"/>
        </w:rPr>
        <w:t>), and the number of MNE groups</w:t>
      </w:r>
      <w:r>
        <w:rPr>
          <w:spacing w:val="-10"/>
          <w:sz w:val="20"/>
        </w:rPr>
        <w:t> </w:t>
      </w:r>
      <w:r>
        <w:rPr>
          <w:sz w:val="20"/>
        </w:rPr>
        <w:t>impacted.</w:t>
      </w:r>
      <w:r>
        <w:rPr>
          <w:spacing w:val="-9"/>
          <w:sz w:val="20"/>
        </w:rPr>
        <w:t> </w:t>
      </w:r>
      <w:r>
        <w:rPr>
          <w:sz w:val="20"/>
        </w:rPr>
        <w:t>There</w:t>
      </w:r>
      <w:r>
        <w:rPr>
          <w:spacing w:val="-8"/>
          <w:sz w:val="20"/>
        </w:rPr>
        <w:t> </w:t>
      </w:r>
      <w:r>
        <w:rPr>
          <w:sz w:val="20"/>
        </w:rPr>
        <w:t>will</w:t>
      </w:r>
      <w:r>
        <w:rPr>
          <w:spacing w:val="-8"/>
          <w:sz w:val="20"/>
        </w:rPr>
        <w:t> </w:t>
      </w:r>
      <w:r>
        <w:rPr>
          <w:sz w:val="20"/>
        </w:rPr>
        <w:t>also</w:t>
      </w:r>
      <w:r>
        <w:rPr>
          <w:spacing w:val="-10"/>
          <w:sz w:val="20"/>
        </w:rPr>
        <w:t> </w:t>
      </w:r>
      <w:r>
        <w:rPr>
          <w:sz w:val="20"/>
        </w:rPr>
        <w:t>be</w:t>
      </w:r>
      <w:r>
        <w:rPr>
          <w:spacing w:val="-10"/>
          <w:sz w:val="20"/>
        </w:rPr>
        <w:t> </w:t>
      </w:r>
      <w:r>
        <w:rPr>
          <w:sz w:val="20"/>
        </w:rPr>
        <w:t>some</w:t>
      </w:r>
      <w:r>
        <w:rPr>
          <w:spacing w:val="-10"/>
          <w:sz w:val="20"/>
        </w:rPr>
        <w:t> </w:t>
      </w:r>
      <w:r>
        <w:rPr>
          <w:sz w:val="20"/>
        </w:rPr>
        <w:t>remaining</w:t>
      </w:r>
      <w:r>
        <w:rPr>
          <w:spacing w:val="-8"/>
          <w:sz w:val="20"/>
        </w:rPr>
        <w:t> </w:t>
      </w:r>
      <w:r>
        <w:rPr>
          <w:sz w:val="20"/>
        </w:rPr>
        <w:t>issues</w:t>
      </w:r>
      <w:r>
        <w:rPr>
          <w:spacing w:val="-9"/>
          <w:sz w:val="20"/>
        </w:rPr>
        <w:t> </w:t>
      </w:r>
      <w:r>
        <w:rPr>
          <w:sz w:val="20"/>
        </w:rPr>
        <w:t>around</w:t>
      </w:r>
      <w:r>
        <w:rPr>
          <w:spacing w:val="-10"/>
          <w:sz w:val="20"/>
        </w:rPr>
        <w:t> </w:t>
      </w:r>
      <w:r>
        <w:rPr>
          <w:sz w:val="20"/>
        </w:rPr>
        <w:t>questions</w:t>
      </w:r>
      <w:r>
        <w:rPr>
          <w:spacing w:val="-9"/>
          <w:sz w:val="20"/>
        </w:rPr>
        <w:t> </w:t>
      </w:r>
      <w:r>
        <w:rPr>
          <w:sz w:val="20"/>
        </w:rPr>
        <w:t>of</w:t>
      </w:r>
      <w:r>
        <w:rPr>
          <w:spacing w:val="-8"/>
          <w:sz w:val="20"/>
        </w:rPr>
        <w:t> </w:t>
      </w:r>
      <w:r>
        <w:rPr>
          <w:sz w:val="20"/>
        </w:rPr>
        <w:t>regional</w:t>
      </w:r>
      <w:r>
        <w:rPr>
          <w:spacing w:val="-8"/>
          <w:sz w:val="20"/>
        </w:rPr>
        <w:t> </w:t>
      </w:r>
      <w:r>
        <w:rPr>
          <w:sz w:val="20"/>
        </w:rPr>
        <w:t>and</w:t>
      </w:r>
      <w:r>
        <w:rPr>
          <w:spacing w:val="-10"/>
          <w:sz w:val="20"/>
        </w:rPr>
        <w:t> </w:t>
      </w:r>
      <w:r>
        <w:rPr>
          <w:sz w:val="20"/>
        </w:rPr>
        <w:t>jurisdictional segmentation.</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In</w:t>
      </w:r>
      <w:r>
        <w:rPr>
          <w:spacing w:val="-15"/>
          <w:sz w:val="20"/>
        </w:rPr>
        <w:t> </w:t>
      </w:r>
      <w:r>
        <w:rPr>
          <w:sz w:val="20"/>
        </w:rPr>
        <w:t>addition,</w:t>
      </w:r>
      <w:r>
        <w:rPr>
          <w:spacing w:val="-15"/>
          <w:sz w:val="20"/>
        </w:rPr>
        <w:t> </w:t>
      </w:r>
      <w:r>
        <w:rPr>
          <w:sz w:val="20"/>
        </w:rPr>
        <w:t>further</w:t>
      </w:r>
      <w:r>
        <w:rPr>
          <w:spacing w:val="-12"/>
          <w:sz w:val="20"/>
        </w:rPr>
        <w:t> </w:t>
      </w:r>
      <w:r>
        <w:rPr>
          <w:sz w:val="20"/>
        </w:rPr>
        <w:t>work</w:t>
      </w:r>
      <w:r>
        <w:rPr>
          <w:spacing w:val="-10"/>
          <w:sz w:val="20"/>
        </w:rPr>
        <w:t> </w:t>
      </w:r>
      <w:r>
        <w:rPr>
          <w:sz w:val="20"/>
        </w:rPr>
        <w:t>will</w:t>
      </w:r>
      <w:r>
        <w:rPr>
          <w:spacing w:val="-13"/>
          <w:sz w:val="20"/>
        </w:rPr>
        <w:t> </w:t>
      </w:r>
      <w:r>
        <w:rPr>
          <w:sz w:val="20"/>
        </w:rPr>
        <w:t>be</w:t>
      </w:r>
      <w:r>
        <w:rPr>
          <w:spacing w:val="-14"/>
          <w:sz w:val="20"/>
        </w:rPr>
        <w:t> </w:t>
      </w:r>
      <w:r>
        <w:rPr>
          <w:sz w:val="20"/>
        </w:rPr>
        <w:t>required</w:t>
      </w:r>
      <w:r>
        <w:rPr>
          <w:spacing w:val="-13"/>
          <w:sz w:val="20"/>
        </w:rPr>
        <w:t> </w:t>
      </w:r>
      <w:r>
        <w:rPr>
          <w:sz w:val="20"/>
        </w:rPr>
        <w:t>to</w:t>
      </w:r>
      <w:r>
        <w:rPr>
          <w:spacing w:val="-15"/>
          <w:sz w:val="20"/>
        </w:rPr>
        <w:t> </w:t>
      </w:r>
      <w:r>
        <w:rPr>
          <w:sz w:val="20"/>
        </w:rPr>
        <w:t>assess</w:t>
      </w:r>
      <w:r>
        <w:rPr>
          <w:spacing w:val="-12"/>
          <w:sz w:val="20"/>
        </w:rPr>
        <w:t> </w:t>
      </w:r>
      <w:r>
        <w:rPr>
          <w:sz w:val="20"/>
        </w:rPr>
        <w:t>the</w:t>
      </w:r>
      <w:r>
        <w:rPr>
          <w:spacing w:val="-11"/>
          <w:sz w:val="20"/>
        </w:rPr>
        <w:t> </w:t>
      </w:r>
      <w:r>
        <w:rPr>
          <w:sz w:val="20"/>
        </w:rPr>
        <w:t>different</w:t>
      </w:r>
      <w:r>
        <w:rPr>
          <w:spacing w:val="-15"/>
          <w:sz w:val="20"/>
        </w:rPr>
        <w:t> </w:t>
      </w:r>
      <w:r>
        <w:rPr>
          <w:sz w:val="20"/>
        </w:rPr>
        <w:t>options</w:t>
      </w:r>
      <w:r>
        <w:rPr>
          <w:spacing w:val="-12"/>
          <w:sz w:val="20"/>
        </w:rPr>
        <w:t> </w:t>
      </w:r>
      <w:r>
        <w:rPr>
          <w:sz w:val="20"/>
        </w:rPr>
        <w:t>to</w:t>
      </w:r>
      <w:r>
        <w:rPr>
          <w:spacing w:val="-13"/>
          <w:sz w:val="20"/>
        </w:rPr>
        <w:t> </w:t>
      </w:r>
      <w:r>
        <w:rPr>
          <w:sz w:val="20"/>
        </w:rPr>
        <w:t>deal</w:t>
      </w:r>
      <w:r>
        <w:rPr>
          <w:spacing w:val="-13"/>
          <w:sz w:val="20"/>
        </w:rPr>
        <w:t> </w:t>
      </w:r>
      <w:r>
        <w:rPr>
          <w:sz w:val="20"/>
        </w:rPr>
        <w:t>with</w:t>
      </w:r>
      <w:r>
        <w:rPr>
          <w:spacing w:val="-12"/>
          <w:sz w:val="20"/>
        </w:rPr>
        <w:t> </w:t>
      </w:r>
      <w:r>
        <w:rPr>
          <w:sz w:val="20"/>
        </w:rPr>
        <w:t>double</w:t>
      </w:r>
      <w:r>
        <w:rPr>
          <w:spacing w:val="-15"/>
          <w:sz w:val="20"/>
        </w:rPr>
        <w:t> </w:t>
      </w:r>
      <w:r>
        <w:rPr>
          <w:sz w:val="20"/>
        </w:rPr>
        <w:t>counting (and their possible combinations), in close coordination with the work on the mechanism to eliminate double taxation (see Chapter </w:t>
      </w:r>
      <w:hyperlink w:history="true" w:anchor="_bookmark51">
        <w:r>
          <w:rPr>
            <w:sz w:val="20"/>
          </w:rPr>
          <w:t>7. </w:t>
        </w:r>
      </w:hyperlink>
      <w:r>
        <w:rPr>
          <w:sz w:val="20"/>
        </w:rPr>
        <w:t>). This will also include consideration of the interactions between Amount A</w:t>
      </w:r>
      <w:r>
        <w:rPr>
          <w:spacing w:val="-18"/>
          <w:sz w:val="20"/>
        </w:rPr>
        <w:t> </w:t>
      </w:r>
      <w:r>
        <w:rPr>
          <w:sz w:val="20"/>
        </w:rPr>
        <w:t>and</w:t>
      </w:r>
      <w:r>
        <w:rPr>
          <w:spacing w:val="-16"/>
          <w:sz w:val="20"/>
        </w:rPr>
        <w:t> </w:t>
      </w:r>
      <w:r>
        <w:rPr>
          <w:sz w:val="20"/>
        </w:rPr>
        <w:t>certain</w:t>
      </w:r>
      <w:r>
        <w:rPr>
          <w:spacing w:val="-14"/>
          <w:sz w:val="20"/>
        </w:rPr>
        <w:t> </w:t>
      </w:r>
      <w:r>
        <w:rPr>
          <w:sz w:val="20"/>
        </w:rPr>
        <w:t>withholding</w:t>
      </w:r>
      <w:r>
        <w:rPr>
          <w:spacing w:val="-17"/>
          <w:sz w:val="20"/>
        </w:rPr>
        <w:t> </w:t>
      </w:r>
      <w:r>
        <w:rPr>
          <w:sz w:val="20"/>
        </w:rPr>
        <w:t>taxes</w:t>
      </w:r>
      <w:r>
        <w:rPr>
          <w:spacing w:val="-16"/>
          <w:sz w:val="20"/>
        </w:rPr>
        <w:t> </w:t>
      </w:r>
      <w:r>
        <w:rPr>
          <w:sz w:val="20"/>
        </w:rPr>
        <w:t>collected</w:t>
      </w:r>
      <w:r>
        <w:rPr>
          <w:spacing w:val="-16"/>
          <w:sz w:val="20"/>
        </w:rPr>
        <w:t> </w:t>
      </w:r>
      <w:r>
        <w:rPr>
          <w:sz w:val="20"/>
        </w:rPr>
        <w:t>by</w:t>
      </w:r>
      <w:r>
        <w:rPr>
          <w:spacing w:val="-19"/>
          <w:sz w:val="20"/>
        </w:rPr>
        <w:t> </w:t>
      </w:r>
      <w:r>
        <w:rPr>
          <w:sz w:val="20"/>
        </w:rPr>
        <w:t>market</w:t>
      </w:r>
      <w:r>
        <w:rPr>
          <w:spacing w:val="-16"/>
          <w:sz w:val="20"/>
        </w:rPr>
        <w:t> </w:t>
      </w:r>
      <w:r>
        <w:rPr>
          <w:sz w:val="20"/>
        </w:rPr>
        <w:t>jurisdictions.</w:t>
      </w:r>
      <w:r>
        <w:rPr>
          <w:spacing w:val="-11"/>
          <w:sz w:val="20"/>
        </w:rPr>
        <w:t> </w:t>
      </w:r>
      <w:r>
        <w:rPr>
          <w:sz w:val="20"/>
        </w:rPr>
        <w:t>For</w:t>
      </w:r>
      <w:r>
        <w:rPr>
          <w:spacing w:val="-15"/>
          <w:sz w:val="20"/>
        </w:rPr>
        <w:t> </w:t>
      </w:r>
      <w:r>
        <w:rPr>
          <w:sz w:val="20"/>
        </w:rPr>
        <w:t>the</w:t>
      </w:r>
      <w:r>
        <w:rPr>
          <w:spacing w:val="-17"/>
          <w:sz w:val="20"/>
        </w:rPr>
        <w:t> </w:t>
      </w:r>
      <w:r>
        <w:rPr>
          <w:sz w:val="20"/>
        </w:rPr>
        <w:t>safe</w:t>
      </w:r>
      <w:r>
        <w:rPr>
          <w:spacing w:val="-16"/>
          <w:sz w:val="20"/>
        </w:rPr>
        <w:t> </w:t>
      </w:r>
      <w:r>
        <w:rPr>
          <w:sz w:val="20"/>
        </w:rPr>
        <w:t>harbour,</w:t>
      </w:r>
      <w:r>
        <w:rPr>
          <w:spacing w:val="-17"/>
          <w:sz w:val="20"/>
        </w:rPr>
        <w:t> </w:t>
      </w:r>
      <w:r>
        <w:rPr>
          <w:sz w:val="20"/>
        </w:rPr>
        <w:t>issues</w:t>
      </w:r>
      <w:r>
        <w:rPr>
          <w:spacing w:val="-12"/>
          <w:sz w:val="20"/>
        </w:rPr>
        <w:t> </w:t>
      </w:r>
      <w:r>
        <w:rPr>
          <w:sz w:val="20"/>
        </w:rPr>
        <w:t>where</w:t>
      </w:r>
      <w:r>
        <w:rPr>
          <w:spacing w:val="-16"/>
          <w:sz w:val="20"/>
        </w:rPr>
        <w:t> </w:t>
      </w:r>
      <w:r>
        <w:rPr>
          <w:sz w:val="20"/>
        </w:rPr>
        <w:t>further work is required</w:t>
      </w:r>
      <w:r>
        <w:rPr>
          <w:spacing w:val="2"/>
          <w:sz w:val="20"/>
        </w:rPr>
        <w:t> </w:t>
      </w:r>
      <w:r>
        <w:rPr>
          <w:sz w:val="20"/>
        </w:rPr>
        <w:t>include:</w:t>
      </w:r>
    </w:p>
    <w:p>
      <w:pPr>
        <w:pStyle w:val="ListParagraph"/>
        <w:numPr>
          <w:ilvl w:val="1"/>
          <w:numId w:val="13"/>
        </w:numPr>
        <w:tabs>
          <w:tab w:pos="1785" w:val="left" w:leader="none"/>
        </w:tabs>
        <w:spacing w:line="271" w:lineRule="auto" w:before="101" w:after="0"/>
        <w:ind w:left="1784" w:right="482" w:hanging="360"/>
        <w:jc w:val="both"/>
        <w:rPr>
          <w:sz w:val="20"/>
        </w:rPr>
      </w:pPr>
      <w:r>
        <w:rPr>
          <w:sz w:val="20"/>
        </w:rPr>
        <w:t>Assessing the implications of considering the income taxes payable in the market jurisdiction under existing taxing rights and Amount A together (e.g. whether marketing and distribution profit allocated to a market jurisdiction under the ALP in excess of a fixed return may be seen as duplicative with Amount</w:t>
      </w:r>
      <w:r>
        <w:rPr>
          <w:spacing w:val="2"/>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785" w:val="left" w:leader="none"/>
        </w:tabs>
        <w:spacing w:line="266" w:lineRule="auto" w:before="99" w:after="0"/>
        <w:ind w:left="1784" w:right="490" w:hanging="360"/>
        <w:jc w:val="both"/>
        <w:rPr>
          <w:sz w:val="20"/>
        </w:rPr>
      </w:pPr>
      <w:r>
        <w:rPr>
          <w:sz w:val="20"/>
        </w:rPr>
        <w:t>Defining</w:t>
      </w:r>
      <w:r>
        <w:rPr>
          <w:spacing w:val="-7"/>
          <w:sz w:val="20"/>
        </w:rPr>
        <w:t> </w:t>
      </w:r>
      <w:r>
        <w:rPr>
          <w:sz w:val="20"/>
        </w:rPr>
        <w:t>the</w:t>
      </w:r>
      <w:r>
        <w:rPr>
          <w:spacing w:val="-6"/>
          <w:sz w:val="20"/>
        </w:rPr>
        <w:t> </w:t>
      </w:r>
      <w:r>
        <w:rPr>
          <w:sz w:val="20"/>
        </w:rPr>
        <w:t>fixed</w:t>
      </w:r>
      <w:r>
        <w:rPr>
          <w:spacing w:val="-7"/>
          <w:sz w:val="20"/>
        </w:rPr>
        <w:t> </w:t>
      </w:r>
      <w:r>
        <w:rPr>
          <w:sz w:val="20"/>
        </w:rPr>
        <w:t>return</w:t>
      </w:r>
      <w:r>
        <w:rPr>
          <w:spacing w:val="-6"/>
          <w:sz w:val="20"/>
        </w:rPr>
        <w:t> </w:t>
      </w:r>
      <w:r>
        <w:rPr>
          <w:sz w:val="20"/>
        </w:rPr>
        <w:t>for</w:t>
      </w:r>
      <w:r>
        <w:rPr>
          <w:spacing w:val="-6"/>
          <w:sz w:val="20"/>
        </w:rPr>
        <w:t> </w:t>
      </w:r>
      <w:r>
        <w:rPr>
          <w:sz w:val="20"/>
        </w:rPr>
        <w:t>routine</w:t>
      </w:r>
      <w:r>
        <w:rPr>
          <w:spacing w:val="-6"/>
          <w:sz w:val="20"/>
        </w:rPr>
        <w:t> </w:t>
      </w:r>
      <w:r>
        <w:rPr>
          <w:sz w:val="20"/>
        </w:rPr>
        <w:t>marketing</w:t>
      </w:r>
      <w:r>
        <w:rPr>
          <w:spacing w:val="-7"/>
          <w:sz w:val="20"/>
        </w:rPr>
        <w:t> </w:t>
      </w:r>
      <w:r>
        <w:rPr>
          <w:sz w:val="20"/>
        </w:rPr>
        <w:t>and</w:t>
      </w:r>
      <w:r>
        <w:rPr>
          <w:spacing w:val="-7"/>
          <w:sz w:val="20"/>
        </w:rPr>
        <w:t> </w:t>
      </w:r>
      <w:r>
        <w:rPr>
          <w:sz w:val="20"/>
        </w:rPr>
        <w:t>distribution</w:t>
      </w:r>
      <w:r>
        <w:rPr>
          <w:spacing w:val="-6"/>
          <w:sz w:val="20"/>
        </w:rPr>
        <w:t> </w:t>
      </w:r>
      <w:r>
        <w:rPr>
          <w:sz w:val="20"/>
        </w:rPr>
        <w:t>activities,</w:t>
      </w:r>
      <w:r>
        <w:rPr>
          <w:spacing w:val="-6"/>
          <w:sz w:val="20"/>
        </w:rPr>
        <w:t> </w:t>
      </w:r>
      <w:r>
        <w:rPr>
          <w:sz w:val="20"/>
        </w:rPr>
        <w:t>including</w:t>
      </w:r>
      <w:r>
        <w:rPr>
          <w:spacing w:val="-6"/>
          <w:sz w:val="20"/>
        </w:rPr>
        <w:t> </w:t>
      </w:r>
      <w:r>
        <w:rPr>
          <w:sz w:val="20"/>
        </w:rPr>
        <w:t>determining whether this return should vary by industry and/or</w:t>
      </w:r>
      <w:r>
        <w:rPr>
          <w:spacing w:val="-12"/>
          <w:sz w:val="20"/>
        </w:rPr>
        <w:t> </w:t>
      </w:r>
      <w:r>
        <w:rPr>
          <w:sz w:val="20"/>
        </w:rPr>
        <w:t>region;</w:t>
      </w:r>
    </w:p>
    <w:p>
      <w:pPr>
        <w:pStyle w:val="ListParagraph"/>
        <w:numPr>
          <w:ilvl w:val="1"/>
          <w:numId w:val="13"/>
        </w:numPr>
        <w:tabs>
          <w:tab w:pos="1785" w:val="left" w:leader="none"/>
        </w:tabs>
        <w:spacing w:line="268" w:lineRule="auto" w:before="51" w:after="0"/>
        <w:ind w:left="1784" w:right="490" w:hanging="360"/>
        <w:jc w:val="both"/>
        <w:rPr>
          <w:sz w:val="20"/>
        </w:rPr>
      </w:pPr>
      <w:r>
        <w:rPr>
          <w:sz w:val="20"/>
        </w:rPr>
        <w:t>Identifying and isolating the profit from marketing and distribution activities in the market jurisdiction that are covered by the safe harbour;</w:t>
      </w:r>
      <w:r>
        <w:rPr>
          <w:spacing w:val="-9"/>
          <w:sz w:val="20"/>
        </w:rPr>
        <w:t> </w:t>
      </w:r>
      <w:r>
        <w:rPr>
          <w:sz w:val="20"/>
        </w:rPr>
        <w:t>and</w:t>
      </w:r>
    </w:p>
    <w:p>
      <w:pPr>
        <w:pStyle w:val="ListParagraph"/>
        <w:numPr>
          <w:ilvl w:val="1"/>
          <w:numId w:val="13"/>
        </w:numPr>
        <w:tabs>
          <w:tab w:pos="1785" w:val="left" w:leader="none"/>
        </w:tabs>
        <w:spacing w:line="271" w:lineRule="auto" w:before="49" w:after="0"/>
        <w:ind w:left="1784" w:right="489" w:hanging="360"/>
        <w:jc w:val="both"/>
        <w:rPr>
          <w:sz w:val="20"/>
        </w:rPr>
      </w:pPr>
      <w:r>
        <w:rPr>
          <w:sz w:val="20"/>
        </w:rPr>
        <w:t>Developing a mechanism to deal with transfer pricing adjustments, lagged threshold permanent establishment claims or denial of deduction for shared costs that are made after the safe harbour has been applied in the market</w:t>
      </w:r>
      <w:r>
        <w:rPr>
          <w:spacing w:val="-12"/>
          <w:sz w:val="20"/>
        </w:rPr>
        <w:t> </w:t>
      </w:r>
      <w:r>
        <w:rPr>
          <w:sz w:val="20"/>
        </w:rPr>
        <w:t>jurisdiction.</w:t>
      </w:r>
    </w:p>
    <w:p>
      <w:pPr>
        <w:pStyle w:val="ListParagraph"/>
        <w:numPr>
          <w:ilvl w:val="1"/>
          <w:numId w:val="13"/>
        </w:numPr>
        <w:tabs>
          <w:tab w:pos="1785" w:val="left" w:leader="none"/>
        </w:tabs>
        <w:spacing w:line="271" w:lineRule="auto" w:before="44" w:after="0"/>
        <w:ind w:left="1784" w:right="490" w:hanging="360"/>
        <w:jc w:val="both"/>
        <w:rPr>
          <w:sz w:val="20"/>
        </w:rPr>
      </w:pPr>
      <w:r>
        <w:rPr>
          <w:sz w:val="20"/>
        </w:rPr>
        <w:t>Considering how common/prevalent the double counting issue is, and whether the practical and administrative challenges in designing the safe harbour are commensurate with this double counting issue;</w:t>
      </w:r>
      <w:r>
        <w:rPr>
          <w:spacing w:val="-2"/>
          <w:sz w:val="20"/>
        </w:rPr>
        <w:t> </w:t>
      </w:r>
      <w:r>
        <w:rPr>
          <w:sz w:val="20"/>
        </w:rPr>
        <w:t>and</w:t>
      </w:r>
    </w:p>
    <w:p>
      <w:pPr>
        <w:pStyle w:val="ListParagraph"/>
        <w:numPr>
          <w:ilvl w:val="1"/>
          <w:numId w:val="13"/>
        </w:numPr>
        <w:tabs>
          <w:tab w:pos="1785" w:val="left" w:leader="none"/>
        </w:tabs>
        <w:spacing w:line="240" w:lineRule="auto" w:before="43" w:after="0"/>
        <w:ind w:left="1784" w:right="0" w:hanging="361"/>
        <w:jc w:val="both"/>
        <w:rPr>
          <w:sz w:val="20"/>
        </w:rPr>
      </w:pPr>
      <w:r>
        <w:rPr>
          <w:sz w:val="20"/>
        </w:rPr>
        <w:t>Clarifying the treatment of withholding taxes collected by the market</w:t>
      </w:r>
      <w:r>
        <w:rPr>
          <w:spacing w:val="-16"/>
          <w:sz w:val="20"/>
        </w:rPr>
        <w:t> </w:t>
      </w:r>
      <w:r>
        <w:rPr>
          <w:sz w:val="20"/>
        </w:rPr>
        <w:t>jurisdiction.</w:t>
      </w:r>
    </w:p>
    <w:p>
      <w:pPr>
        <w:spacing w:after="0" w:line="240" w:lineRule="auto"/>
        <w:jc w:val="both"/>
        <w:rPr>
          <w:sz w:val="20"/>
        </w:rPr>
        <w:sectPr>
          <w:headerReference w:type="even" r:id="rId39"/>
          <w:headerReference w:type="default" r:id="rId40"/>
          <w:footerReference w:type="even" r:id="rId41"/>
          <w:footerReference w:type="default" r:id="rId42"/>
          <w:pgSz w:w="11910" w:h="16840"/>
          <w:pgMar w:header="1244" w:footer="1638" w:top="1500" w:bottom="1820" w:left="580" w:right="820"/>
          <w:pgNumType w:start="138"/>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19488" filled="true" fillcolor="#ffffff" stroked="false">
            <v:fill type="solid"/>
            <w10:wrap type="none"/>
          </v:rect>
        </w:pict>
      </w:r>
      <w:r>
        <w:rPr/>
        <w:pict>
          <v:rect style="position:absolute;margin-left:70.823997pt;margin-top:69.335754pt;width:59.279999pt;height:5.76pt;mso-position-horizontal-relative:page;mso-position-vertical-relative:paragraph;z-index:15801344" filled="true" fillcolor="#4e81bd" stroked="false">
            <v:fill type="solid"/>
            <w10:wrap type="none"/>
          </v:rect>
        </w:pict>
      </w:r>
      <w:bookmarkStart w:name="7.  Elimination of double taxation" w:id="317"/>
      <w:bookmarkEnd w:id="317"/>
      <w:r>
        <w:rPr>
          <w:b w:val="0"/>
        </w:rPr>
      </w:r>
      <w:bookmarkStart w:name="_bookmark51" w:id="318"/>
      <w:bookmarkEnd w:id="318"/>
      <w:r>
        <w:rPr>
          <w:b w:val="0"/>
        </w:rPr>
      </w:r>
      <w:r>
        <w:rPr>
          <w:color w:val="4E81BD"/>
          <w:sz w:val="130"/>
        </w:rPr>
        <w:t>7.</w:t>
        <w:tab/>
      </w:r>
      <w:r>
        <w:rPr>
          <w:color w:val="4E81BD"/>
        </w:rPr>
        <w:t>Elimination of double</w:t>
      </w:r>
      <w:r>
        <w:rPr>
          <w:color w:val="4E81BD"/>
          <w:spacing w:val="-3"/>
        </w:rPr>
        <w:t> </w:t>
      </w:r>
      <w:r>
        <w:rPr>
          <w:color w:val="4E81BD"/>
        </w:rPr>
        <w:t>taxation</w:t>
      </w: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3"/>
        <w:rPr>
          <w:rFonts w:ascii="Arial Narrow"/>
          <w:b/>
          <w:sz w:val="28"/>
        </w:rPr>
      </w:pPr>
    </w:p>
    <w:p>
      <w:pPr>
        <w:pStyle w:val="Heading4"/>
        <w:numPr>
          <w:ilvl w:val="1"/>
          <w:numId w:val="68"/>
        </w:numPr>
        <w:tabs>
          <w:tab w:pos="1192" w:val="left" w:leader="none"/>
        </w:tabs>
        <w:spacing w:line="240" w:lineRule="auto" w:before="92" w:after="0"/>
        <w:ind w:left="1191" w:right="0" w:hanging="469"/>
        <w:jc w:val="both"/>
        <w:rPr>
          <w:rFonts w:ascii="Arial"/>
        </w:rPr>
      </w:pPr>
      <w:bookmarkStart w:name="7.1. Overview" w:id="319"/>
      <w:bookmarkEnd w:id="319"/>
      <w:r>
        <w:rPr>
          <w:b w:val="0"/>
        </w:rPr>
      </w:r>
      <w:bookmarkStart w:name="_bookmark52" w:id="320"/>
      <w:bookmarkEnd w:id="320"/>
      <w:r>
        <w:rPr>
          <w:b w:val="0"/>
        </w:rPr>
      </w:r>
      <w:bookmarkStart w:name="_bookmark52" w:id="321"/>
      <w:bookmarkEnd w:id="321"/>
      <w:r>
        <w:rPr>
          <w:rFonts w:ascii="Arial"/>
          <w:color w:val="4E81BD"/>
        </w:rPr>
        <w:t>O</w:t>
      </w:r>
      <w:r>
        <w:rPr>
          <w:rFonts w:ascii="Arial"/>
          <w:color w:val="4E81BD"/>
        </w:rPr>
        <w:t>verview</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Amount A will apply as an overlay to the existing profit allocation rules. As the profit of an MNE group is already allocated under the existing profit allocation rules, a mechanism to reconcile the new taxing right (i.e. calculated at the level of a group or segment), and the existing profit allocation rules (i.e. calculated at an entity basis) is necessary to prevent double</w:t>
      </w:r>
      <w:r>
        <w:rPr>
          <w:spacing w:val="-14"/>
          <w:sz w:val="20"/>
        </w:rPr>
        <w:t> </w:t>
      </w:r>
      <w:r>
        <w:rPr>
          <w:sz w:val="20"/>
        </w:rPr>
        <w:t>taxation.</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This</w:t>
      </w:r>
      <w:r>
        <w:rPr>
          <w:spacing w:val="-10"/>
          <w:sz w:val="20"/>
        </w:rPr>
        <w:t> </w:t>
      </w:r>
      <w:r>
        <w:rPr>
          <w:sz w:val="20"/>
        </w:rPr>
        <w:t>is</w:t>
      </w:r>
      <w:r>
        <w:rPr>
          <w:spacing w:val="-10"/>
          <w:sz w:val="20"/>
        </w:rPr>
        <w:t> </w:t>
      </w:r>
      <w:r>
        <w:rPr>
          <w:sz w:val="20"/>
        </w:rPr>
        <w:t>the</w:t>
      </w:r>
      <w:r>
        <w:rPr>
          <w:spacing w:val="-12"/>
          <w:sz w:val="20"/>
        </w:rPr>
        <w:t> </w:t>
      </w:r>
      <w:r>
        <w:rPr>
          <w:sz w:val="20"/>
        </w:rPr>
        <w:t>purpose</w:t>
      </w:r>
      <w:r>
        <w:rPr>
          <w:spacing w:val="-12"/>
          <w:sz w:val="20"/>
        </w:rPr>
        <w:t> </w:t>
      </w:r>
      <w:r>
        <w:rPr>
          <w:sz w:val="20"/>
        </w:rPr>
        <w:t>of</w:t>
      </w:r>
      <w:r>
        <w:rPr>
          <w:spacing w:val="-9"/>
          <w:sz w:val="20"/>
        </w:rPr>
        <w:t> </w:t>
      </w:r>
      <w:r>
        <w:rPr>
          <w:sz w:val="20"/>
        </w:rPr>
        <w:t>the</w:t>
      </w:r>
      <w:r>
        <w:rPr>
          <w:spacing w:val="-12"/>
          <w:sz w:val="20"/>
        </w:rPr>
        <w:t> </w:t>
      </w:r>
      <w:r>
        <w:rPr>
          <w:sz w:val="20"/>
        </w:rPr>
        <w:t>mechanism</w:t>
      </w:r>
      <w:r>
        <w:rPr>
          <w:spacing w:val="-7"/>
          <w:sz w:val="20"/>
        </w:rPr>
        <w:t> </w:t>
      </w:r>
      <w:r>
        <w:rPr>
          <w:sz w:val="20"/>
        </w:rPr>
        <w:t>to</w:t>
      </w:r>
      <w:r>
        <w:rPr>
          <w:spacing w:val="-12"/>
          <w:sz w:val="20"/>
        </w:rPr>
        <w:t> </w:t>
      </w:r>
      <w:r>
        <w:rPr>
          <w:sz w:val="20"/>
        </w:rPr>
        <w:t>eliminate</w:t>
      </w:r>
      <w:r>
        <w:rPr>
          <w:spacing w:val="-11"/>
          <w:sz w:val="20"/>
        </w:rPr>
        <w:t> </w:t>
      </w:r>
      <w:r>
        <w:rPr>
          <w:sz w:val="20"/>
        </w:rPr>
        <w:t>double</w:t>
      </w:r>
      <w:r>
        <w:rPr>
          <w:spacing w:val="-12"/>
          <w:sz w:val="20"/>
        </w:rPr>
        <w:t> </w:t>
      </w:r>
      <w:r>
        <w:rPr>
          <w:sz w:val="20"/>
        </w:rPr>
        <w:t>taxation</w:t>
      </w:r>
      <w:r>
        <w:rPr>
          <w:spacing w:val="-12"/>
          <w:sz w:val="20"/>
        </w:rPr>
        <w:t> </w:t>
      </w:r>
      <w:r>
        <w:rPr>
          <w:sz w:val="20"/>
        </w:rPr>
        <w:t>from</w:t>
      </w:r>
      <w:r>
        <w:rPr>
          <w:spacing w:val="-7"/>
          <w:sz w:val="20"/>
        </w:rPr>
        <w:t> </w:t>
      </w:r>
      <w:r>
        <w:rPr>
          <w:sz w:val="20"/>
        </w:rPr>
        <w:t>Amount</w:t>
      </w:r>
      <w:r>
        <w:rPr>
          <w:spacing w:val="-12"/>
          <w:sz w:val="20"/>
        </w:rPr>
        <w:t> </w:t>
      </w:r>
      <w:r>
        <w:rPr>
          <w:sz w:val="20"/>
        </w:rPr>
        <w:t>A</w:t>
      </w:r>
      <w:r>
        <w:rPr>
          <w:spacing w:val="-8"/>
          <w:sz w:val="20"/>
        </w:rPr>
        <w:t> </w:t>
      </w:r>
      <w:r>
        <w:rPr>
          <w:sz w:val="20"/>
        </w:rPr>
        <w:t>described</w:t>
      </w:r>
      <w:r>
        <w:rPr>
          <w:spacing w:val="-12"/>
          <w:sz w:val="20"/>
        </w:rPr>
        <w:t> </w:t>
      </w:r>
      <w:r>
        <w:rPr>
          <w:sz w:val="20"/>
        </w:rPr>
        <w:t>in</w:t>
      </w:r>
      <w:r>
        <w:rPr>
          <w:spacing w:val="-12"/>
          <w:sz w:val="20"/>
        </w:rPr>
        <w:t> </w:t>
      </w:r>
      <w:r>
        <w:rPr>
          <w:sz w:val="20"/>
        </w:rPr>
        <w:t>this chapter. To reconcile the two profit allocation systems, it identifies which entity or entities within an MNE group</w:t>
      </w:r>
      <w:r>
        <w:rPr>
          <w:spacing w:val="-6"/>
          <w:sz w:val="20"/>
        </w:rPr>
        <w:t> </w:t>
      </w:r>
      <w:r>
        <w:rPr>
          <w:sz w:val="20"/>
        </w:rPr>
        <w:t>bears</w:t>
      </w:r>
      <w:r>
        <w:rPr>
          <w:spacing w:val="-6"/>
          <w:sz w:val="20"/>
        </w:rPr>
        <w:t> </w:t>
      </w:r>
      <w:r>
        <w:rPr>
          <w:sz w:val="20"/>
        </w:rPr>
        <w:t>the</w:t>
      </w:r>
      <w:r>
        <w:rPr>
          <w:spacing w:val="-5"/>
          <w:sz w:val="20"/>
        </w:rPr>
        <w:t> </w:t>
      </w:r>
      <w:r>
        <w:rPr>
          <w:sz w:val="20"/>
        </w:rPr>
        <w:t>Amount</w:t>
      </w:r>
      <w:r>
        <w:rPr>
          <w:spacing w:val="-8"/>
          <w:sz w:val="20"/>
        </w:rPr>
        <w:t> </w:t>
      </w:r>
      <w:r>
        <w:rPr>
          <w:sz w:val="20"/>
        </w:rPr>
        <w:t>A</w:t>
      </w:r>
      <w:r>
        <w:rPr>
          <w:spacing w:val="-5"/>
          <w:sz w:val="20"/>
        </w:rPr>
        <w:t> </w:t>
      </w:r>
      <w:r>
        <w:rPr>
          <w:sz w:val="20"/>
        </w:rPr>
        <w:t>tax</w:t>
      </w:r>
      <w:r>
        <w:rPr>
          <w:spacing w:val="-7"/>
          <w:sz w:val="20"/>
        </w:rPr>
        <w:t> </w:t>
      </w:r>
      <w:r>
        <w:rPr>
          <w:sz w:val="20"/>
        </w:rPr>
        <w:t>liability, which</w:t>
      </w:r>
      <w:r>
        <w:rPr>
          <w:spacing w:val="-5"/>
          <w:sz w:val="20"/>
        </w:rPr>
        <w:t> </w:t>
      </w:r>
      <w:r>
        <w:rPr>
          <w:sz w:val="20"/>
        </w:rPr>
        <w:t>effectively</w:t>
      </w:r>
      <w:r>
        <w:rPr>
          <w:spacing w:val="-8"/>
          <w:sz w:val="20"/>
        </w:rPr>
        <w:t> </w:t>
      </w:r>
      <w:r>
        <w:rPr>
          <w:sz w:val="20"/>
        </w:rPr>
        <w:t>determines</w:t>
      </w:r>
      <w:r>
        <w:rPr>
          <w:spacing w:val="-4"/>
          <w:sz w:val="20"/>
        </w:rPr>
        <w:t> </w:t>
      </w:r>
      <w:r>
        <w:rPr>
          <w:sz w:val="20"/>
        </w:rPr>
        <w:t>which</w:t>
      </w:r>
      <w:r>
        <w:rPr>
          <w:spacing w:val="-7"/>
          <w:sz w:val="20"/>
        </w:rPr>
        <w:t> </w:t>
      </w:r>
      <w:r>
        <w:rPr>
          <w:sz w:val="20"/>
        </w:rPr>
        <w:t>jurisdiction</w:t>
      </w:r>
      <w:r>
        <w:rPr>
          <w:spacing w:val="-8"/>
          <w:sz w:val="20"/>
        </w:rPr>
        <w:t> </w:t>
      </w:r>
      <w:r>
        <w:rPr>
          <w:sz w:val="20"/>
        </w:rPr>
        <w:t>or</w:t>
      </w:r>
      <w:r>
        <w:rPr>
          <w:spacing w:val="-7"/>
          <w:sz w:val="20"/>
        </w:rPr>
        <w:t> </w:t>
      </w:r>
      <w:r>
        <w:rPr>
          <w:sz w:val="20"/>
        </w:rPr>
        <w:t>jurisdictions</w:t>
      </w:r>
      <w:r>
        <w:rPr>
          <w:spacing w:val="-5"/>
          <w:sz w:val="20"/>
        </w:rPr>
        <w:t> </w:t>
      </w:r>
      <w:r>
        <w:rPr>
          <w:sz w:val="20"/>
        </w:rPr>
        <w:t>need to</w:t>
      </w:r>
      <w:r>
        <w:rPr>
          <w:spacing w:val="-9"/>
          <w:sz w:val="20"/>
        </w:rPr>
        <w:t> </w:t>
      </w:r>
      <w:r>
        <w:rPr>
          <w:sz w:val="20"/>
        </w:rPr>
        <w:t>relieve</w:t>
      </w:r>
      <w:r>
        <w:rPr>
          <w:spacing w:val="-7"/>
          <w:sz w:val="20"/>
        </w:rPr>
        <w:t> </w:t>
      </w:r>
      <w:r>
        <w:rPr>
          <w:sz w:val="20"/>
        </w:rPr>
        <w:t>the</w:t>
      </w:r>
      <w:r>
        <w:rPr>
          <w:spacing w:val="-9"/>
          <w:sz w:val="20"/>
        </w:rPr>
        <w:t> </w:t>
      </w:r>
      <w:r>
        <w:rPr>
          <w:sz w:val="20"/>
        </w:rPr>
        <w:t>double</w:t>
      </w:r>
      <w:r>
        <w:rPr>
          <w:spacing w:val="-7"/>
          <w:sz w:val="20"/>
        </w:rPr>
        <w:t> </w:t>
      </w:r>
      <w:r>
        <w:rPr>
          <w:sz w:val="20"/>
        </w:rPr>
        <w:t>taxation</w:t>
      </w:r>
      <w:r>
        <w:rPr>
          <w:spacing w:val="-9"/>
          <w:sz w:val="20"/>
        </w:rPr>
        <w:t> </w:t>
      </w:r>
      <w:r>
        <w:rPr>
          <w:sz w:val="20"/>
        </w:rPr>
        <w:t>arising</w:t>
      </w:r>
      <w:r>
        <w:rPr>
          <w:spacing w:val="-7"/>
          <w:sz w:val="20"/>
        </w:rPr>
        <w:t> </w:t>
      </w:r>
      <w:r>
        <w:rPr>
          <w:sz w:val="20"/>
        </w:rPr>
        <w:t>from</w:t>
      </w:r>
      <w:r>
        <w:rPr>
          <w:spacing w:val="-4"/>
          <w:sz w:val="20"/>
        </w:rPr>
        <w:t> </w:t>
      </w:r>
      <w:r>
        <w:rPr>
          <w:sz w:val="20"/>
        </w:rPr>
        <w:t>Amount</w:t>
      </w:r>
      <w:r>
        <w:rPr>
          <w:spacing w:val="-9"/>
          <w:sz w:val="20"/>
        </w:rPr>
        <w:t> </w:t>
      </w:r>
      <w:r>
        <w:rPr>
          <w:sz w:val="20"/>
        </w:rPr>
        <w:t>A.</w:t>
      </w:r>
      <w:r>
        <w:rPr>
          <w:spacing w:val="-9"/>
          <w:sz w:val="20"/>
        </w:rPr>
        <w:t> </w:t>
      </w:r>
      <w:r>
        <w:rPr>
          <w:sz w:val="20"/>
        </w:rPr>
        <w:t>This</w:t>
      </w:r>
      <w:r>
        <w:rPr>
          <w:spacing w:val="-7"/>
          <w:sz w:val="20"/>
        </w:rPr>
        <w:t> </w:t>
      </w:r>
      <w:r>
        <w:rPr>
          <w:sz w:val="20"/>
        </w:rPr>
        <w:t>mechanism</w:t>
      </w:r>
      <w:r>
        <w:rPr>
          <w:spacing w:val="-5"/>
          <w:sz w:val="20"/>
        </w:rPr>
        <w:t> </w:t>
      </w:r>
      <w:r>
        <w:rPr>
          <w:sz w:val="20"/>
        </w:rPr>
        <w:t>is</w:t>
      </w:r>
      <w:r>
        <w:rPr>
          <w:spacing w:val="-7"/>
          <w:sz w:val="20"/>
        </w:rPr>
        <w:t> </w:t>
      </w:r>
      <w:r>
        <w:rPr>
          <w:sz w:val="20"/>
        </w:rPr>
        <w:t>based</w:t>
      </w:r>
      <w:r>
        <w:rPr>
          <w:spacing w:val="-7"/>
          <w:sz w:val="20"/>
        </w:rPr>
        <w:t> </w:t>
      </w:r>
      <w:r>
        <w:rPr>
          <w:sz w:val="20"/>
        </w:rPr>
        <w:t>on</w:t>
      </w:r>
      <w:r>
        <w:rPr>
          <w:spacing w:val="-7"/>
          <w:sz w:val="20"/>
        </w:rPr>
        <w:t> </w:t>
      </w:r>
      <w:r>
        <w:rPr>
          <w:sz w:val="20"/>
        </w:rPr>
        <w:t>two</w:t>
      </w:r>
      <w:r>
        <w:rPr>
          <w:spacing w:val="-9"/>
          <w:sz w:val="20"/>
        </w:rPr>
        <w:t> </w:t>
      </w:r>
      <w:r>
        <w:rPr>
          <w:sz w:val="20"/>
        </w:rPr>
        <w:t>components:</w:t>
      </w:r>
      <w:r>
        <w:rPr>
          <w:spacing w:val="-7"/>
          <w:sz w:val="20"/>
        </w:rPr>
        <w:t> </w:t>
      </w:r>
      <w:r>
        <w:rPr>
          <w:spacing w:val="2"/>
          <w:sz w:val="20"/>
        </w:rPr>
        <w:t>(i)</w:t>
      </w:r>
      <w:r>
        <w:rPr>
          <w:spacing w:val="-8"/>
          <w:sz w:val="20"/>
        </w:rPr>
        <w:t> </w:t>
      </w:r>
      <w:r>
        <w:rPr>
          <w:sz w:val="20"/>
        </w:rPr>
        <w:t>the identification of the paying entity (or entities) within an MNE group (or segment, where relevant); and </w:t>
      </w:r>
      <w:r>
        <w:rPr>
          <w:spacing w:val="2"/>
          <w:sz w:val="20"/>
        </w:rPr>
        <w:t>(ii) </w:t>
      </w:r>
      <w:r>
        <w:rPr>
          <w:sz w:val="20"/>
        </w:rPr>
        <w:t>the methods to eliminate double</w:t>
      </w:r>
      <w:r>
        <w:rPr>
          <w:spacing w:val="-4"/>
          <w:sz w:val="20"/>
        </w:rPr>
        <w:t> </w:t>
      </w:r>
      <w:r>
        <w:rPr>
          <w:sz w:val="20"/>
        </w:rPr>
        <w:t>taxation.</w:t>
      </w:r>
      <w:r>
        <w:rPr>
          <w:position w:val="6"/>
          <w:sz w:val="13"/>
        </w:rPr>
        <w:t>107</w:t>
      </w:r>
    </w:p>
    <w:p>
      <w:pPr>
        <w:pStyle w:val="BodyText"/>
        <w:spacing w:before="2"/>
        <w:rPr>
          <w:sz w:val="25"/>
        </w:rPr>
      </w:pPr>
    </w:p>
    <w:p>
      <w:pPr>
        <w:pStyle w:val="Heading8"/>
        <w:ind w:left="1402"/>
      </w:pPr>
      <w:bookmarkStart w:name="Component 1: Identifying the paying enti" w:id="322"/>
      <w:bookmarkEnd w:id="322"/>
      <w:r>
        <w:rPr>
          <w:b w:val="0"/>
        </w:rPr>
      </w:r>
      <w:r>
        <w:rPr/>
        <w:t>Component 1: Identifying the paying entities</w:t>
      </w:r>
    </w:p>
    <w:p>
      <w:pPr>
        <w:pStyle w:val="BodyText"/>
        <w:spacing w:before="2"/>
        <w:rPr>
          <w:b/>
          <w:sz w:val="19"/>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Amount A will be calculated at a group or segment-level using a simple formula, incorporating a profitability threshold and reallocation percentage. For this reason, it could be argued that a similar formulaic</w:t>
      </w:r>
      <w:r>
        <w:rPr>
          <w:spacing w:val="-12"/>
          <w:sz w:val="20"/>
        </w:rPr>
        <w:t> </w:t>
      </w:r>
      <w:r>
        <w:rPr>
          <w:sz w:val="20"/>
        </w:rPr>
        <w:t>approach</w:t>
      </w:r>
      <w:r>
        <w:rPr>
          <w:spacing w:val="-14"/>
          <w:sz w:val="20"/>
        </w:rPr>
        <w:t> </w:t>
      </w:r>
      <w:r>
        <w:rPr>
          <w:sz w:val="20"/>
        </w:rPr>
        <w:t>should</w:t>
      </w:r>
      <w:r>
        <w:rPr>
          <w:spacing w:val="-12"/>
          <w:sz w:val="20"/>
        </w:rPr>
        <w:t> </w:t>
      </w:r>
      <w:r>
        <w:rPr>
          <w:sz w:val="20"/>
        </w:rPr>
        <w:t>be</w:t>
      </w:r>
      <w:r>
        <w:rPr>
          <w:spacing w:val="-14"/>
          <w:sz w:val="20"/>
        </w:rPr>
        <w:t> </w:t>
      </w:r>
      <w:r>
        <w:rPr>
          <w:sz w:val="20"/>
        </w:rPr>
        <w:t>adopted</w:t>
      </w:r>
      <w:r>
        <w:rPr>
          <w:spacing w:val="-13"/>
          <w:sz w:val="20"/>
        </w:rPr>
        <w:t> </w:t>
      </w:r>
      <w:r>
        <w:rPr>
          <w:sz w:val="20"/>
        </w:rPr>
        <w:t>to</w:t>
      </w:r>
      <w:r>
        <w:rPr>
          <w:spacing w:val="-12"/>
          <w:sz w:val="20"/>
        </w:rPr>
        <w:t> </w:t>
      </w:r>
      <w:r>
        <w:rPr>
          <w:sz w:val="20"/>
        </w:rPr>
        <w:t>identify</w:t>
      </w:r>
      <w:r>
        <w:rPr>
          <w:spacing w:val="-17"/>
          <w:sz w:val="20"/>
        </w:rPr>
        <w:t> </w:t>
      </w:r>
      <w:r>
        <w:rPr>
          <w:sz w:val="20"/>
        </w:rPr>
        <w:t>entities</w:t>
      </w:r>
      <w:r>
        <w:rPr>
          <w:spacing w:val="-11"/>
          <w:sz w:val="20"/>
        </w:rPr>
        <w:t> </w:t>
      </w:r>
      <w:r>
        <w:rPr>
          <w:sz w:val="20"/>
        </w:rPr>
        <w:t>that</w:t>
      </w:r>
      <w:r>
        <w:rPr>
          <w:spacing w:val="-11"/>
          <w:sz w:val="20"/>
        </w:rPr>
        <w:t> </w:t>
      </w:r>
      <w:r>
        <w:rPr>
          <w:sz w:val="20"/>
        </w:rPr>
        <w:t>will</w:t>
      </w:r>
      <w:r>
        <w:rPr>
          <w:spacing w:val="-14"/>
          <w:sz w:val="20"/>
        </w:rPr>
        <w:t> </w:t>
      </w:r>
      <w:r>
        <w:rPr>
          <w:sz w:val="20"/>
        </w:rPr>
        <w:t>bear</w:t>
      </w:r>
      <w:r>
        <w:rPr>
          <w:spacing w:val="-13"/>
          <w:sz w:val="20"/>
        </w:rPr>
        <w:t> </w:t>
      </w:r>
      <w:r>
        <w:rPr>
          <w:sz w:val="20"/>
        </w:rPr>
        <w:t>the</w:t>
      </w:r>
      <w:r>
        <w:rPr>
          <w:spacing w:val="-13"/>
          <w:sz w:val="20"/>
        </w:rPr>
        <w:t> </w:t>
      </w:r>
      <w:r>
        <w:rPr>
          <w:sz w:val="20"/>
        </w:rPr>
        <w:t>Amount</w:t>
      </w:r>
      <w:r>
        <w:rPr>
          <w:spacing w:val="-12"/>
          <w:sz w:val="20"/>
        </w:rPr>
        <w:t> </w:t>
      </w:r>
      <w:r>
        <w:rPr>
          <w:sz w:val="20"/>
        </w:rPr>
        <w:t>A</w:t>
      </w:r>
      <w:r>
        <w:rPr>
          <w:spacing w:val="-14"/>
          <w:sz w:val="20"/>
        </w:rPr>
        <w:t> </w:t>
      </w:r>
      <w:r>
        <w:rPr>
          <w:sz w:val="20"/>
        </w:rPr>
        <w:t>tax</w:t>
      </w:r>
      <w:r>
        <w:rPr>
          <w:spacing w:val="-13"/>
          <w:sz w:val="20"/>
        </w:rPr>
        <w:t> </w:t>
      </w:r>
      <w:r>
        <w:rPr>
          <w:sz w:val="20"/>
        </w:rPr>
        <w:t>liability</w:t>
      </w:r>
      <w:r>
        <w:rPr>
          <w:spacing w:val="-15"/>
          <w:sz w:val="20"/>
        </w:rPr>
        <w:t> </w:t>
      </w:r>
      <w:r>
        <w:rPr>
          <w:sz w:val="20"/>
        </w:rPr>
        <w:t>(the</w:t>
      </w:r>
      <w:r>
        <w:rPr>
          <w:spacing w:val="-14"/>
          <w:sz w:val="20"/>
        </w:rPr>
        <w:t> </w:t>
      </w:r>
      <w:r>
        <w:rPr>
          <w:sz w:val="20"/>
        </w:rPr>
        <w:t>paying entities</w:t>
      </w:r>
      <w:r>
        <w:rPr>
          <w:position w:val="6"/>
          <w:sz w:val="13"/>
        </w:rPr>
        <w:t>108</w:t>
      </w:r>
      <w:r>
        <w:rPr>
          <w:sz w:val="20"/>
        </w:rPr>
        <w:t>) for example, as those entities with a PBT to revenue ratio in excess of the agreed profitability threshold.</w:t>
      </w:r>
      <w:r>
        <w:rPr>
          <w:spacing w:val="-9"/>
          <w:sz w:val="20"/>
        </w:rPr>
        <w:t> </w:t>
      </w:r>
      <w:r>
        <w:rPr>
          <w:sz w:val="20"/>
        </w:rPr>
        <w:t>The</w:t>
      </w:r>
      <w:r>
        <w:rPr>
          <w:spacing w:val="-8"/>
          <w:sz w:val="20"/>
        </w:rPr>
        <w:t> </w:t>
      </w:r>
      <w:r>
        <w:rPr>
          <w:sz w:val="20"/>
        </w:rPr>
        <w:t>process</w:t>
      </w:r>
      <w:r>
        <w:rPr>
          <w:spacing w:val="-8"/>
          <w:sz w:val="20"/>
        </w:rPr>
        <w:t> </w:t>
      </w:r>
      <w:r>
        <w:rPr>
          <w:sz w:val="20"/>
        </w:rPr>
        <w:t>to</w:t>
      </w:r>
      <w:r>
        <w:rPr>
          <w:spacing w:val="-8"/>
          <w:sz w:val="20"/>
        </w:rPr>
        <w:t> </w:t>
      </w:r>
      <w:r>
        <w:rPr>
          <w:sz w:val="20"/>
        </w:rPr>
        <w:t>identify</w:t>
      </w:r>
      <w:r>
        <w:rPr>
          <w:spacing w:val="-9"/>
          <w:sz w:val="20"/>
        </w:rPr>
        <w:t> </w:t>
      </w:r>
      <w:r>
        <w:rPr>
          <w:sz w:val="20"/>
        </w:rPr>
        <w:t>the</w:t>
      </w:r>
      <w:r>
        <w:rPr>
          <w:spacing w:val="-7"/>
          <w:sz w:val="20"/>
        </w:rPr>
        <w:t> </w:t>
      </w:r>
      <w:r>
        <w:rPr>
          <w:sz w:val="20"/>
        </w:rPr>
        <w:t>paying</w:t>
      </w:r>
      <w:r>
        <w:rPr>
          <w:spacing w:val="-6"/>
          <w:sz w:val="20"/>
        </w:rPr>
        <w:t> </w:t>
      </w:r>
      <w:r>
        <w:rPr>
          <w:sz w:val="20"/>
        </w:rPr>
        <w:t>entities</w:t>
      </w:r>
      <w:r>
        <w:rPr>
          <w:spacing w:val="-6"/>
          <w:sz w:val="20"/>
        </w:rPr>
        <w:t> </w:t>
      </w:r>
      <w:r>
        <w:rPr>
          <w:sz w:val="20"/>
        </w:rPr>
        <w:t>will</w:t>
      </w:r>
      <w:r>
        <w:rPr>
          <w:spacing w:val="-9"/>
          <w:sz w:val="20"/>
        </w:rPr>
        <w:t> </w:t>
      </w:r>
      <w:r>
        <w:rPr>
          <w:sz w:val="20"/>
        </w:rPr>
        <w:t>include</w:t>
      </w:r>
      <w:r>
        <w:rPr>
          <w:spacing w:val="-8"/>
          <w:sz w:val="20"/>
        </w:rPr>
        <w:t> </w:t>
      </w:r>
      <w:r>
        <w:rPr>
          <w:sz w:val="20"/>
        </w:rPr>
        <w:t>a</w:t>
      </w:r>
      <w:r>
        <w:rPr>
          <w:spacing w:val="-7"/>
          <w:sz w:val="20"/>
        </w:rPr>
        <w:t> </w:t>
      </w:r>
      <w:r>
        <w:rPr>
          <w:sz w:val="20"/>
        </w:rPr>
        <w:t>profitability</w:t>
      </w:r>
      <w:r>
        <w:rPr>
          <w:spacing w:val="-11"/>
          <w:sz w:val="20"/>
        </w:rPr>
        <w:t> </w:t>
      </w:r>
      <w:r>
        <w:rPr>
          <w:sz w:val="20"/>
        </w:rPr>
        <w:t>test.</w:t>
      </w:r>
      <w:r>
        <w:rPr>
          <w:spacing w:val="-6"/>
          <w:sz w:val="20"/>
        </w:rPr>
        <w:t> </w:t>
      </w:r>
      <w:r>
        <w:rPr>
          <w:sz w:val="20"/>
        </w:rPr>
        <w:t>However,</w:t>
      </w:r>
      <w:r>
        <w:rPr>
          <w:spacing w:val="-8"/>
          <w:sz w:val="20"/>
        </w:rPr>
        <w:t> </w:t>
      </w:r>
      <w:r>
        <w:rPr>
          <w:sz w:val="20"/>
        </w:rPr>
        <w:t>there</w:t>
      </w:r>
      <w:r>
        <w:rPr>
          <w:spacing w:val="-6"/>
          <w:sz w:val="20"/>
        </w:rPr>
        <w:t> </w:t>
      </w:r>
      <w:r>
        <w:rPr>
          <w:sz w:val="20"/>
        </w:rPr>
        <w:t>are</w:t>
      </w:r>
      <w:r>
        <w:rPr>
          <w:spacing w:val="-7"/>
          <w:sz w:val="20"/>
        </w:rPr>
        <w:t> </w:t>
      </w:r>
      <w:r>
        <w:rPr>
          <w:sz w:val="20"/>
        </w:rPr>
        <w:t>two technical reasons why the profitability test applied at entity level cannot be the same test as that applied to the</w:t>
      </w:r>
      <w:r>
        <w:rPr>
          <w:spacing w:val="-3"/>
          <w:sz w:val="20"/>
        </w:rPr>
        <w:t> </w:t>
      </w:r>
      <w:r>
        <w:rPr>
          <w:sz w:val="20"/>
        </w:rPr>
        <w:t>group:</w:t>
      </w:r>
    </w:p>
    <w:p>
      <w:pPr>
        <w:pStyle w:val="ListParagraph"/>
        <w:numPr>
          <w:ilvl w:val="1"/>
          <w:numId w:val="13"/>
        </w:numPr>
        <w:tabs>
          <w:tab w:pos="1403" w:val="left" w:leader="none"/>
        </w:tabs>
        <w:spacing w:line="271" w:lineRule="auto" w:before="103" w:after="0"/>
        <w:ind w:left="1402" w:right="482" w:hanging="339"/>
        <w:jc w:val="both"/>
        <w:rPr>
          <w:sz w:val="20"/>
        </w:rPr>
      </w:pPr>
      <w:r>
        <w:rPr>
          <w:b/>
          <w:sz w:val="20"/>
        </w:rPr>
        <w:t>Using the same formula to calculate residual profit at a group and entity-level could be distortive:</w:t>
      </w:r>
      <w:r>
        <w:rPr>
          <w:b/>
          <w:spacing w:val="-12"/>
          <w:sz w:val="20"/>
        </w:rPr>
        <w:t> </w:t>
      </w:r>
      <w:r>
        <w:rPr>
          <w:sz w:val="20"/>
        </w:rPr>
        <w:t>The</w:t>
      </w:r>
      <w:r>
        <w:rPr>
          <w:spacing w:val="-16"/>
          <w:sz w:val="20"/>
        </w:rPr>
        <w:t> </w:t>
      </w:r>
      <w:r>
        <w:rPr>
          <w:sz w:val="20"/>
        </w:rPr>
        <w:t>most</w:t>
      </w:r>
      <w:r>
        <w:rPr>
          <w:spacing w:val="-13"/>
          <w:sz w:val="20"/>
        </w:rPr>
        <w:t> </w:t>
      </w:r>
      <w:r>
        <w:rPr>
          <w:sz w:val="20"/>
        </w:rPr>
        <w:t>logical</w:t>
      </w:r>
      <w:r>
        <w:rPr>
          <w:spacing w:val="-12"/>
          <w:sz w:val="20"/>
        </w:rPr>
        <w:t> </w:t>
      </w:r>
      <w:r>
        <w:rPr>
          <w:sz w:val="20"/>
        </w:rPr>
        <w:t>starting</w:t>
      </w:r>
      <w:r>
        <w:rPr>
          <w:spacing w:val="-13"/>
          <w:sz w:val="20"/>
        </w:rPr>
        <w:t> </w:t>
      </w:r>
      <w:r>
        <w:rPr>
          <w:sz w:val="20"/>
        </w:rPr>
        <w:t>point</w:t>
      </w:r>
      <w:r>
        <w:rPr>
          <w:spacing w:val="-13"/>
          <w:sz w:val="20"/>
        </w:rPr>
        <w:t> </w:t>
      </w:r>
      <w:r>
        <w:rPr>
          <w:sz w:val="20"/>
        </w:rPr>
        <w:t>for</w:t>
      </w:r>
      <w:r>
        <w:rPr>
          <w:spacing w:val="-12"/>
          <w:sz w:val="20"/>
        </w:rPr>
        <w:t> </w:t>
      </w:r>
      <w:r>
        <w:rPr>
          <w:sz w:val="20"/>
        </w:rPr>
        <w:t>this</w:t>
      </w:r>
      <w:r>
        <w:rPr>
          <w:spacing w:val="-12"/>
          <w:sz w:val="20"/>
        </w:rPr>
        <w:t> </w:t>
      </w:r>
      <w:r>
        <w:rPr>
          <w:sz w:val="20"/>
        </w:rPr>
        <w:t>profitability</w:t>
      </w:r>
      <w:r>
        <w:rPr>
          <w:spacing w:val="-16"/>
          <w:sz w:val="20"/>
        </w:rPr>
        <w:t> </w:t>
      </w:r>
      <w:r>
        <w:rPr>
          <w:sz w:val="20"/>
        </w:rPr>
        <w:t>test</w:t>
      </w:r>
      <w:r>
        <w:rPr>
          <w:spacing w:val="-10"/>
          <w:sz w:val="20"/>
        </w:rPr>
        <w:t> </w:t>
      </w:r>
      <w:r>
        <w:rPr>
          <w:sz w:val="20"/>
        </w:rPr>
        <w:t>would</w:t>
      </w:r>
      <w:r>
        <w:rPr>
          <w:spacing w:val="-13"/>
          <w:sz w:val="20"/>
        </w:rPr>
        <w:t> </w:t>
      </w:r>
      <w:r>
        <w:rPr>
          <w:sz w:val="20"/>
        </w:rPr>
        <w:t>be</w:t>
      </w:r>
      <w:r>
        <w:rPr>
          <w:spacing w:val="-13"/>
          <w:sz w:val="20"/>
        </w:rPr>
        <w:t> </w:t>
      </w:r>
      <w:r>
        <w:rPr>
          <w:sz w:val="20"/>
        </w:rPr>
        <w:t>to</w:t>
      </w:r>
      <w:r>
        <w:rPr>
          <w:spacing w:val="-13"/>
          <w:sz w:val="20"/>
        </w:rPr>
        <w:t> </w:t>
      </w:r>
      <w:r>
        <w:rPr>
          <w:sz w:val="20"/>
        </w:rPr>
        <w:t>use</w:t>
      </w:r>
      <w:r>
        <w:rPr>
          <w:spacing w:val="-13"/>
          <w:sz w:val="20"/>
        </w:rPr>
        <w:t> </w:t>
      </w:r>
      <w:r>
        <w:rPr>
          <w:sz w:val="20"/>
        </w:rPr>
        <w:t>the</w:t>
      </w:r>
      <w:r>
        <w:rPr>
          <w:spacing w:val="-13"/>
          <w:sz w:val="20"/>
        </w:rPr>
        <w:t> </w:t>
      </w:r>
      <w:r>
        <w:rPr>
          <w:sz w:val="20"/>
        </w:rPr>
        <w:t>same</w:t>
      </w:r>
      <w:r>
        <w:rPr>
          <w:spacing w:val="-15"/>
          <w:sz w:val="20"/>
        </w:rPr>
        <w:t> </w:t>
      </w:r>
      <w:r>
        <w:rPr>
          <w:sz w:val="20"/>
        </w:rPr>
        <w:t>formula used</w:t>
      </w:r>
      <w:r>
        <w:rPr>
          <w:spacing w:val="-17"/>
          <w:sz w:val="20"/>
        </w:rPr>
        <w:t> </w:t>
      </w:r>
      <w:r>
        <w:rPr>
          <w:sz w:val="20"/>
        </w:rPr>
        <w:t>to</w:t>
      </w:r>
      <w:r>
        <w:rPr>
          <w:spacing w:val="-16"/>
          <w:sz w:val="20"/>
        </w:rPr>
        <w:t> </w:t>
      </w:r>
      <w:r>
        <w:rPr>
          <w:sz w:val="20"/>
        </w:rPr>
        <w:t>calculate</w:t>
      </w:r>
      <w:r>
        <w:rPr>
          <w:spacing w:val="-14"/>
          <w:sz w:val="20"/>
        </w:rPr>
        <w:t> </w:t>
      </w:r>
      <w:r>
        <w:rPr>
          <w:sz w:val="20"/>
        </w:rPr>
        <w:t>Amount</w:t>
      </w:r>
      <w:r>
        <w:rPr>
          <w:spacing w:val="-16"/>
          <w:sz w:val="20"/>
        </w:rPr>
        <w:t> </w:t>
      </w:r>
      <w:r>
        <w:rPr>
          <w:sz w:val="20"/>
        </w:rPr>
        <w:t>A</w:t>
      </w:r>
      <w:r>
        <w:rPr>
          <w:spacing w:val="-14"/>
          <w:sz w:val="20"/>
        </w:rPr>
        <w:t> </w:t>
      </w:r>
      <w:r>
        <w:rPr>
          <w:sz w:val="20"/>
        </w:rPr>
        <w:t>at</w:t>
      </w:r>
      <w:r>
        <w:rPr>
          <w:spacing w:val="-16"/>
          <w:sz w:val="20"/>
        </w:rPr>
        <w:t> </w:t>
      </w:r>
      <w:r>
        <w:rPr>
          <w:sz w:val="20"/>
        </w:rPr>
        <w:t>a</w:t>
      </w:r>
      <w:r>
        <w:rPr>
          <w:spacing w:val="-16"/>
          <w:sz w:val="20"/>
        </w:rPr>
        <w:t> </w:t>
      </w:r>
      <w:r>
        <w:rPr>
          <w:sz w:val="20"/>
        </w:rPr>
        <w:t>group</w:t>
      </w:r>
      <w:r>
        <w:rPr>
          <w:spacing w:val="-14"/>
          <w:sz w:val="20"/>
        </w:rPr>
        <w:t> </w:t>
      </w:r>
      <w:r>
        <w:rPr>
          <w:sz w:val="20"/>
        </w:rPr>
        <w:t>or</w:t>
      </w:r>
      <w:r>
        <w:rPr>
          <w:spacing w:val="-14"/>
          <w:sz w:val="20"/>
        </w:rPr>
        <w:t> </w:t>
      </w:r>
      <w:r>
        <w:rPr>
          <w:sz w:val="20"/>
        </w:rPr>
        <w:t>segment</w:t>
      </w:r>
      <w:r>
        <w:rPr>
          <w:spacing w:val="-16"/>
          <w:sz w:val="20"/>
        </w:rPr>
        <w:t> </w:t>
      </w:r>
      <w:r>
        <w:rPr>
          <w:sz w:val="20"/>
        </w:rPr>
        <w:t>level</w:t>
      </w:r>
      <w:r>
        <w:rPr>
          <w:spacing w:val="-14"/>
          <w:sz w:val="20"/>
        </w:rPr>
        <w:t> </w:t>
      </w:r>
      <w:r>
        <w:rPr>
          <w:sz w:val="20"/>
        </w:rPr>
        <w:t>(PBT</w:t>
      </w:r>
      <w:r>
        <w:rPr>
          <w:spacing w:val="-13"/>
          <w:sz w:val="20"/>
        </w:rPr>
        <w:t> </w:t>
      </w:r>
      <w:r>
        <w:rPr>
          <w:sz w:val="20"/>
        </w:rPr>
        <w:t>/</w:t>
      </w:r>
      <w:r>
        <w:rPr>
          <w:spacing w:val="-16"/>
          <w:sz w:val="20"/>
        </w:rPr>
        <w:t> </w:t>
      </w:r>
      <w:r>
        <w:rPr>
          <w:sz w:val="20"/>
        </w:rPr>
        <w:t>revenue,</w:t>
      </w:r>
      <w:r>
        <w:rPr>
          <w:spacing w:val="-14"/>
          <w:sz w:val="20"/>
        </w:rPr>
        <w:t> </w:t>
      </w:r>
      <w:r>
        <w:rPr>
          <w:sz w:val="20"/>
        </w:rPr>
        <w:t>in</w:t>
      </w:r>
      <w:r>
        <w:rPr>
          <w:spacing w:val="-14"/>
          <w:sz w:val="20"/>
        </w:rPr>
        <w:t> </w:t>
      </w:r>
      <w:r>
        <w:rPr>
          <w:sz w:val="20"/>
        </w:rPr>
        <w:t>excess</w:t>
      </w:r>
      <w:r>
        <w:rPr>
          <w:spacing w:val="-15"/>
          <w:sz w:val="20"/>
        </w:rPr>
        <w:t> </w:t>
      </w:r>
      <w:r>
        <w:rPr>
          <w:sz w:val="20"/>
        </w:rPr>
        <w:t>of</w:t>
      </w:r>
      <w:r>
        <w:rPr>
          <w:spacing w:val="-16"/>
          <w:sz w:val="20"/>
        </w:rPr>
        <w:t> </w:t>
      </w:r>
      <w:r>
        <w:rPr>
          <w:sz w:val="20"/>
        </w:rPr>
        <w:t>x%).</w:t>
      </w:r>
      <w:r>
        <w:rPr>
          <w:spacing w:val="-16"/>
          <w:sz w:val="20"/>
        </w:rPr>
        <w:t> </w:t>
      </w:r>
      <w:r>
        <w:rPr>
          <w:sz w:val="20"/>
        </w:rPr>
        <w:t>However, there</w:t>
      </w:r>
      <w:r>
        <w:rPr>
          <w:spacing w:val="-8"/>
          <w:sz w:val="20"/>
        </w:rPr>
        <w:t> </w:t>
      </w:r>
      <w:r>
        <w:rPr>
          <w:sz w:val="20"/>
        </w:rPr>
        <w:t>are</w:t>
      </w:r>
      <w:r>
        <w:rPr>
          <w:spacing w:val="-7"/>
          <w:sz w:val="20"/>
        </w:rPr>
        <w:t> </w:t>
      </w:r>
      <w:r>
        <w:rPr>
          <w:sz w:val="20"/>
        </w:rPr>
        <w:t>two</w:t>
      </w:r>
      <w:r>
        <w:rPr>
          <w:spacing w:val="-7"/>
          <w:sz w:val="20"/>
        </w:rPr>
        <w:t> </w:t>
      </w:r>
      <w:r>
        <w:rPr>
          <w:sz w:val="20"/>
        </w:rPr>
        <w:t>reasons</w:t>
      </w:r>
      <w:r>
        <w:rPr>
          <w:spacing w:val="-4"/>
          <w:sz w:val="20"/>
        </w:rPr>
        <w:t> </w:t>
      </w:r>
      <w:r>
        <w:rPr>
          <w:sz w:val="20"/>
        </w:rPr>
        <w:t>why</w:t>
      </w:r>
      <w:r>
        <w:rPr>
          <w:spacing w:val="-11"/>
          <w:sz w:val="20"/>
        </w:rPr>
        <w:t> </w:t>
      </w:r>
      <w:r>
        <w:rPr>
          <w:sz w:val="20"/>
        </w:rPr>
        <w:t>this</w:t>
      </w:r>
      <w:r>
        <w:rPr>
          <w:spacing w:val="-5"/>
          <w:sz w:val="20"/>
        </w:rPr>
        <w:t> </w:t>
      </w:r>
      <w:r>
        <w:rPr>
          <w:sz w:val="20"/>
        </w:rPr>
        <w:t>approach</w:t>
      </w:r>
      <w:r>
        <w:rPr>
          <w:spacing w:val="-8"/>
          <w:sz w:val="20"/>
        </w:rPr>
        <w:t> </w:t>
      </w:r>
      <w:r>
        <w:rPr>
          <w:sz w:val="20"/>
        </w:rPr>
        <w:t>is</w:t>
      </w:r>
      <w:r>
        <w:rPr>
          <w:spacing w:val="-6"/>
          <w:sz w:val="20"/>
        </w:rPr>
        <w:t> </w:t>
      </w:r>
      <w:r>
        <w:rPr>
          <w:sz w:val="20"/>
        </w:rPr>
        <w:t>considered</w:t>
      </w:r>
      <w:r>
        <w:rPr>
          <w:spacing w:val="-5"/>
          <w:sz w:val="20"/>
        </w:rPr>
        <w:t> </w:t>
      </w:r>
      <w:r>
        <w:rPr>
          <w:sz w:val="20"/>
        </w:rPr>
        <w:t>not</w:t>
      </w:r>
      <w:r>
        <w:rPr>
          <w:spacing w:val="-7"/>
          <w:sz w:val="20"/>
        </w:rPr>
        <w:t> </w:t>
      </w:r>
      <w:r>
        <w:rPr>
          <w:sz w:val="20"/>
        </w:rPr>
        <w:t>appropriate.</w:t>
      </w:r>
      <w:r>
        <w:rPr>
          <w:spacing w:val="-7"/>
          <w:sz w:val="20"/>
        </w:rPr>
        <w:t> </w:t>
      </w:r>
      <w:r>
        <w:rPr>
          <w:sz w:val="20"/>
        </w:rPr>
        <w:t>First,</w:t>
      </w:r>
      <w:r>
        <w:rPr>
          <w:spacing w:val="-7"/>
          <w:sz w:val="20"/>
        </w:rPr>
        <w:t> </w:t>
      </w:r>
      <w:r>
        <w:rPr>
          <w:sz w:val="20"/>
        </w:rPr>
        <w:t>entity-level</w:t>
      </w:r>
      <w:r>
        <w:rPr>
          <w:spacing w:val="-8"/>
          <w:sz w:val="20"/>
        </w:rPr>
        <w:t> </w:t>
      </w:r>
      <w:r>
        <w:rPr>
          <w:sz w:val="20"/>
        </w:rPr>
        <w:t>accounts include intragroup transactions that are eliminated on consolidation. As a result, the</w:t>
      </w:r>
      <w:r>
        <w:rPr>
          <w:spacing w:val="11"/>
          <w:sz w:val="20"/>
        </w:rPr>
        <w:t> </w:t>
      </w:r>
      <w:r>
        <w:rPr>
          <w:sz w:val="20"/>
        </w:rPr>
        <w:t>consolidated</w:t>
      </w:r>
    </w:p>
    <w:p>
      <w:pPr>
        <w:pStyle w:val="BodyText"/>
        <w:spacing w:before="9"/>
        <w:rPr>
          <w:sz w:val="9"/>
        </w:rPr>
      </w:pPr>
      <w:r>
        <w:rPr/>
        <w:pict>
          <v:rect style="position:absolute;margin-left:65.183998pt;margin-top:7.592129pt;width:144.020004pt;height:.60004pt;mso-position-horizontal-relative:page;mso-position-vertical-relative:paragraph;z-index:-1565696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00" w:val="left" w:leader="none"/>
        </w:tabs>
        <w:spacing w:line="278" w:lineRule="auto" w:before="94" w:after="0"/>
        <w:ind w:left="723" w:right="481" w:firstLine="0"/>
        <w:jc w:val="both"/>
        <w:rPr>
          <w:sz w:val="18"/>
        </w:rPr>
      </w:pPr>
      <w:r>
        <w:rPr>
          <w:sz w:val="18"/>
        </w:rPr>
        <w:t>Under</w:t>
      </w:r>
      <w:r>
        <w:rPr>
          <w:spacing w:val="-7"/>
          <w:sz w:val="18"/>
        </w:rPr>
        <w:t> </w:t>
      </w:r>
      <w:r>
        <w:rPr>
          <w:sz w:val="18"/>
        </w:rPr>
        <w:t>the</w:t>
      </w:r>
      <w:r>
        <w:rPr>
          <w:spacing w:val="-7"/>
          <w:sz w:val="18"/>
        </w:rPr>
        <w:t> </w:t>
      </w:r>
      <w:r>
        <w:rPr>
          <w:sz w:val="18"/>
        </w:rPr>
        <w:t>marketing</w:t>
      </w:r>
      <w:r>
        <w:rPr>
          <w:spacing w:val="-6"/>
          <w:sz w:val="18"/>
        </w:rPr>
        <w:t> </w:t>
      </w:r>
      <w:r>
        <w:rPr>
          <w:sz w:val="18"/>
        </w:rPr>
        <w:t>and</w:t>
      </w:r>
      <w:r>
        <w:rPr>
          <w:spacing w:val="-6"/>
          <w:sz w:val="18"/>
        </w:rPr>
        <w:t> </w:t>
      </w:r>
      <w:r>
        <w:rPr>
          <w:sz w:val="18"/>
        </w:rPr>
        <w:t>distribution</w:t>
      </w:r>
      <w:r>
        <w:rPr>
          <w:spacing w:val="-6"/>
          <w:sz w:val="18"/>
        </w:rPr>
        <w:t> </w:t>
      </w:r>
      <w:r>
        <w:rPr>
          <w:sz w:val="18"/>
        </w:rPr>
        <w:t>profits</w:t>
      </w:r>
      <w:r>
        <w:rPr>
          <w:spacing w:val="-5"/>
          <w:sz w:val="18"/>
        </w:rPr>
        <w:t> </w:t>
      </w:r>
      <w:r>
        <w:rPr>
          <w:sz w:val="18"/>
        </w:rPr>
        <w:t>safe</w:t>
      </w:r>
      <w:r>
        <w:rPr>
          <w:spacing w:val="-6"/>
          <w:sz w:val="18"/>
        </w:rPr>
        <w:t> </w:t>
      </w:r>
      <w:r>
        <w:rPr>
          <w:sz w:val="18"/>
        </w:rPr>
        <w:t>harbour,</w:t>
      </w:r>
      <w:r>
        <w:rPr>
          <w:spacing w:val="-7"/>
          <w:sz w:val="18"/>
        </w:rPr>
        <w:t> </w:t>
      </w:r>
      <w:r>
        <w:rPr>
          <w:sz w:val="18"/>
        </w:rPr>
        <w:t>an</w:t>
      </w:r>
      <w:r>
        <w:rPr>
          <w:spacing w:val="-3"/>
          <w:sz w:val="18"/>
        </w:rPr>
        <w:t> </w:t>
      </w:r>
      <w:r>
        <w:rPr>
          <w:sz w:val="18"/>
        </w:rPr>
        <w:t>MNE</w:t>
      </w:r>
      <w:r>
        <w:rPr>
          <w:spacing w:val="-7"/>
          <w:sz w:val="18"/>
        </w:rPr>
        <w:t> </w:t>
      </w:r>
      <w:r>
        <w:rPr>
          <w:sz w:val="18"/>
        </w:rPr>
        <w:t>group</w:t>
      </w:r>
      <w:r>
        <w:rPr>
          <w:spacing w:val="-6"/>
          <w:sz w:val="18"/>
        </w:rPr>
        <w:t> </w:t>
      </w:r>
      <w:r>
        <w:rPr>
          <w:sz w:val="18"/>
        </w:rPr>
        <w:t>would</w:t>
      </w:r>
      <w:r>
        <w:rPr>
          <w:spacing w:val="-6"/>
          <w:sz w:val="18"/>
        </w:rPr>
        <w:t> </w:t>
      </w:r>
      <w:r>
        <w:rPr>
          <w:sz w:val="18"/>
        </w:rPr>
        <w:t>not</w:t>
      </w:r>
      <w:r>
        <w:rPr>
          <w:spacing w:val="-7"/>
          <w:sz w:val="18"/>
        </w:rPr>
        <w:t> </w:t>
      </w:r>
      <w:r>
        <w:rPr>
          <w:sz w:val="18"/>
        </w:rPr>
        <w:t>be</w:t>
      </w:r>
      <w:r>
        <w:rPr>
          <w:spacing w:val="-6"/>
          <w:sz w:val="18"/>
        </w:rPr>
        <w:t> </w:t>
      </w:r>
      <w:r>
        <w:rPr>
          <w:sz w:val="18"/>
        </w:rPr>
        <w:t>required</w:t>
      </w:r>
      <w:r>
        <w:rPr>
          <w:spacing w:val="-6"/>
          <w:sz w:val="18"/>
        </w:rPr>
        <w:t> </w:t>
      </w:r>
      <w:r>
        <w:rPr>
          <w:sz w:val="18"/>
        </w:rPr>
        <w:t>to</w:t>
      </w:r>
      <w:r>
        <w:rPr>
          <w:spacing w:val="-6"/>
          <w:sz w:val="18"/>
        </w:rPr>
        <w:t> </w:t>
      </w:r>
      <w:r>
        <w:rPr>
          <w:sz w:val="18"/>
        </w:rPr>
        <w:t>allocate</w:t>
      </w:r>
      <w:r>
        <w:rPr>
          <w:spacing w:val="-6"/>
          <w:sz w:val="18"/>
        </w:rPr>
        <w:t> </w:t>
      </w:r>
      <w:r>
        <w:rPr>
          <w:sz w:val="18"/>
        </w:rPr>
        <w:t>Amount A</w:t>
      </w:r>
      <w:r>
        <w:rPr>
          <w:spacing w:val="-3"/>
          <w:sz w:val="18"/>
        </w:rPr>
        <w:t> </w:t>
      </w:r>
      <w:r>
        <w:rPr>
          <w:sz w:val="18"/>
        </w:rPr>
        <w:t>to</w:t>
      </w:r>
      <w:r>
        <w:rPr>
          <w:spacing w:val="-4"/>
          <w:sz w:val="18"/>
        </w:rPr>
        <w:t> </w:t>
      </w:r>
      <w:r>
        <w:rPr>
          <w:sz w:val="18"/>
        </w:rPr>
        <w:t>market</w:t>
      </w:r>
      <w:r>
        <w:rPr>
          <w:spacing w:val="-2"/>
          <w:sz w:val="18"/>
        </w:rPr>
        <w:t> </w:t>
      </w:r>
      <w:r>
        <w:rPr>
          <w:sz w:val="18"/>
        </w:rPr>
        <w:t>jurisdictions,</w:t>
      </w:r>
      <w:r>
        <w:rPr>
          <w:spacing w:val="-4"/>
          <w:sz w:val="18"/>
        </w:rPr>
        <w:t> </w:t>
      </w:r>
      <w:r>
        <w:rPr>
          <w:sz w:val="18"/>
        </w:rPr>
        <w:t>where</w:t>
      </w:r>
      <w:r>
        <w:rPr>
          <w:spacing w:val="-3"/>
          <w:sz w:val="18"/>
        </w:rPr>
        <w:t> </w:t>
      </w:r>
      <w:r>
        <w:rPr>
          <w:sz w:val="18"/>
        </w:rPr>
        <w:t>doing</w:t>
      </w:r>
      <w:r>
        <w:rPr>
          <w:spacing w:val="-4"/>
          <w:sz w:val="18"/>
        </w:rPr>
        <w:t> </w:t>
      </w:r>
      <w:r>
        <w:rPr>
          <w:sz w:val="18"/>
        </w:rPr>
        <w:t>so</w:t>
      </w:r>
      <w:r>
        <w:rPr>
          <w:spacing w:val="-4"/>
          <w:sz w:val="18"/>
        </w:rPr>
        <w:t> </w:t>
      </w:r>
      <w:r>
        <w:rPr>
          <w:sz w:val="18"/>
        </w:rPr>
        <w:t>would</w:t>
      </w:r>
      <w:r>
        <w:rPr>
          <w:spacing w:val="-2"/>
          <w:sz w:val="18"/>
        </w:rPr>
        <w:t> </w:t>
      </w:r>
      <w:r>
        <w:rPr>
          <w:sz w:val="18"/>
        </w:rPr>
        <w:t>duplicate</w:t>
      </w:r>
      <w:r>
        <w:rPr>
          <w:spacing w:val="-2"/>
          <w:sz w:val="18"/>
        </w:rPr>
        <w:t> </w:t>
      </w:r>
      <w:r>
        <w:rPr>
          <w:sz w:val="18"/>
        </w:rPr>
        <w:t>a</w:t>
      </w:r>
      <w:r>
        <w:rPr>
          <w:spacing w:val="-4"/>
          <w:sz w:val="18"/>
        </w:rPr>
        <w:t> </w:t>
      </w:r>
      <w:r>
        <w:rPr>
          <w:sz w:val="18"/>
        </w:rPr>
        <w:t>jurisdiction’s</w:t>
      </w:r>
      <w:r>
        <w:rPr>
          <w:spacing w:val="-4"/>
          <w:sz w:val="18"/>
        </w:rPr>
        <w:t> </w:t>
      </w:r>
      <w:r>
        <w:rPr>
          <w:sz w:val="18"/>
        </w:rPr>
        <w:t>existing</w:t>
      </w:r>
      <w:r>
        <w:rPr>
          <w:spacing w:val="-4"/>
          <w:sz w:val="18"/>
        </w:rPr>
        <w:t> </w:t>
      </w:r>
      <w:r>
        <w:rPr>
          <w:sz w:val="18"/>
        </w:rPr>
        <w:t>taxing</w:t>
      </w:r>
      <w:r>
        <w:rPr>
          <w:spacing w:val="-2"/>
          <w:sz w:val="18"/>
        </w:rPr>
        <w:t> </w:t>
      </w:r>
      <w:r>
        <w:rPr>
          <w:sz w:val="18"/>
        </w:rPr>
        <w:t>rights</w:t>
      </w:r>
      <w:r>
        <w:rPr>
          <w:spacing w:val="-3"/>
          <w:sz w:val="18"/>
        </w:rPr>
        <w:t> </w:t>
      </w:r>
      <w:r>
        <w:rPr>
          <w:sz w:val="18"/>
        </w:rPr>
        <w:t>over</w:t>
      </w:r>
      <w:r>
        <w:rPr>
          <w:spacing w:val="-3"/>
          <w:sz w:val="18"/>
        </w:rPr>
        <w:t> </w:t>
      </w:r>
      <w:r>
        <w:rPr>
          <w:sz w:val="18"/>
        </w:rPr>
        <w:t>the</w:t>
      </w:r>
      <w:r>
        <w:rPr>
          <w:spacing w:val="-4"/>
          <w:sz w:val="18"/>
        </w:rPr>
        <w:t> </w:t>
      </w:r>
      <w:r>
        <w:rPr>
          <w:sz w:val="18"/>
        </w:rPr>
        <w:t>residual</w:t>
      </w:r>
      <w:r>
        <w:rPr>
          <w:spacing w:val="-4"/>
          <w:sz w:val="18"/>
        </w:rPr>
        <w:t> </w:t>
      </w:r>
      <w:r>
        <w:rPr>
          <w:sz w:val="18"/>
        </w:rPr>
        <w:t>profits of</w:t>
      </w:r>
      <w:r>
        <w:rPr>
          <w:spacing w:val="-9"/>
          <w:sz w:val="18"/>
        </w:rPr>
        <w:t> </w:t>
      </w:r>
      <w:r>
        <w:rPr>
          <w:sz w:val="18"/>
        </w:rPr>
        <w:t>the</w:t>
      </w:r>
      <w:r>
        <w:rPr>
          <w:spacing w:val="-8"/>
          <w:sz w:val="18"/>
        </w:rPr>
        <w:t> </w:t>
      </w:r>
      <w:r>
        <w:rPr>
          <w:sz w:val="18"/>
        </w:rPr>
        <w:t>group.</w:t>
      </w:r>
      <w:r>
        <w:rPr>
          <w:spacing w:val="-8"/>
          <w:sz w:val="18"/>
        </w:rPr>
        <w:t> </w:t>
      </w:r>
      <w:r>
        <w:rPr>
          <w:sz w:val="18"/>
        </w:rPr>
        <w:t>In</w:t>
      </w:r>
      <w:r>
        <w:rPr>
          <w:spacing w:val="-7"/>
          <w:sz w:val="18"/>
        </w:rPr>
        <w:t> </w:t>
      </w:r>
      <w:r>
        <w:rPr>
          <w:sz w:val="18"/>
        </w:rPr>
        <w:t>this</w:t>
      </w:r>
      <w:r>
        <w:rPr>
          <w:spacing w:val="-8"/>
          <w:sz w:val="18"/>
        </w:rPr>
        <w:t> </w:t>
      </w:r>
      <w:r>
        <w:rPr>
          <w:sz w:val="18"/>
        </w:rPr>
        <w:t>scenario,</w:t>
      </w:r>
      <w:r>
        <w:rPr>
          <w:spacing w:val="-8"/>
          <w:sz w:val="18"/>
        </w:rPr>
        <w:t> </w:t>
      </w:r>
      <w:r>
        <w:rPr>
          <w:sz w:val="18"/>
        </w:rPr>
        <w:t>there</w:t>
      </w:r>
      <w:r>
        <w:rPr>
          <w:spacing w:val="-8"/>
          <w:sz w:val="18"/>
        </w:rPr>
        <w:t> </w:t>
      </w:r>
      <w:r>
        <w:rPr>
          <w:sz w:val="18"/>
        </w:rPr>
        <w:t>would</w:t>
      </w:r>
      <w:r>
        <w:rPr>
          <w:spacing w:val="-8"/>
          <w:sz w:val="18"/>
        </w:rPr>
        <w:t> </w:t>
      </w:r>
      <w:r>
        <w:rPr>
          <w:sz w:val="18"/>
        </w:rPr>
        <w:t>be</w:t>
      </w:r>
      <w:r>
        <w:rPr>
          <w:spacing w:val="-9"/>
          <w:sz w:val="18"/>
        </w:rPr>
        <w:t> </w:t>
      </w:r>
      <w:r>
        <w:rPr>
          <w:sz w:val="18"/>
        </w:rPr>
        <w:t>no</w:t>
      </w:r>
      <w:r>
        <w:rPr>
          <w:spacing w:val="-8"/>
          <w:sz w:val="18"/>
        </w:rPr>
        <w:t> </w:t>
      </w:r>
      <w:r>
        <w:rPr>
          <w:sz w:val="18"/>
        </w:rPr>
        <w:t>allocation</w:t>
      </w:r>
      <w:r>
        <w:rPr>
          <w:spacing w:val="-10"/>
          <w:sz w:val="18"/>
        </w:rPr>
        <w:t> </w:t>
      </w:r>
      <w:r>
        <w:rPr>
          <w:sz w:val="18"/>
        </w:rPr>
        <w:t>of</w:t>
      </w:r>
      <w:r>
        <w:rPr>
          <w:spacing w:val="-10"/>
          <w:sz w:val="18"/>
        </w:rPr>
        <w:t> </w:t>
      </w:r>
      <w:r>
        <w:rPr>
          <w:sz w:val="18"/>
        </w:rPr>
        <w:t>Amount</w:t>
      </w:r>
      <w:r>
        <w:rPr>
          <w:spacing w:val="-8"/>
          <w:sz w:val="18"/>
        </w:rPr>
        <w:t> </w:t>
      </w:r>
      <w:r>
        <w:rPr>
          <w:sz w:val="18"/>
        </w:rPr>
        <w:t>A,</w:t>
      </w:r>
      <w:r>
        <w:rPr>
          <w:spacing w:val="-9"/>
          <w:sz w:val="18"/>
        </w:rPr>
        <w:t> </w:t>
      </w:r>
      <w:r>
        <w:rPr>
          <w:sz w:val="18"/>
        </w:rPr>
        <w:t>and</w:t>
      </w:r>
      <w:r>
        <w:rPr>
          <w:spacing w:val="-8"/>
          <w:sz w:val="18"/>
        </w:rPr>
        <w:t> </w:t>
      </w:r>
      <w:r>
        <w:rPr>
          <w:sz w:val="18"/>
        </w:rPr>
        <w:t>hence</w:t>
      </w:r>
      <w:r>
        <w:rPr>
          <w:spacing w:val="-8"/>
          <w:sz w:val="18"/>
        </w:rPr>
        <w:t> </w:t>
      </w:r>
      <w:r>
        <w:rPr>
          <w:sz w:val="18"/>
        </w:rPr>
        <w:t>the</w:t>
      </w:r>
      <w:r>
        <w:rPr>
          <w:spacing w:val="-10"/>
          <w:sz w:val="18"/>
        </w:rPr>
        <w:t> </w:t>
      </w:r>
      <w:r>
        <w:rPr>
          <w:sz w:val="18"/>
        </w:rPr>
        <w:t>mechanism</w:t>
      </w:r>
      <w:r>
        <w:rPr>
          <w:spacing w:val="-8"/>
          <w:sz w:val="18"/>
        </w:rPr>
        <w:t> </w:t>
      </w:r>
      <w:r>
        <w:rPr>
          <w:sz w:val="18"/>
        </w:rPr>
        <w:t>to</w:t>
      </w:r>
      <w:r>
        <w:rPr>
          <w:spacing w:val="-10"/>
          <w:sz w:val="18"/>
        </w:rPr>
        <w:t> </w:t>
      </w:r>
      <w:r>
        <w:rPr>
          <w:sz w:val="18"/>
        </w:rPr>
        <w:t>eliminate</w:t>
      </w:r>
      <w:r>
        <w:rPr>
          <w:spacing w:val="-7"/>
          <w:sz w:val="18"/>
        </w:rPr>
        <w:t> </w:t>
      </w:r>
      <w:r>
        <w:rPr>
          <w:sz w:val="18"/>
        </w:rPr>
        <w:t>double taxation</w:t>
      </w:r>
      <w:r>
        <w:rPr>
          <w:spacing w:val="-4"/>
          <w:sz w:val="18"/>
        </w:rPr>
        <w:t> </w:t>
      </w:r>
      <w:r>
        <w:rPr>
          <w:sz w:val="18"/>
        </w:rPr>
        <w:t>arising</w:t>
      </w:r>
      <w:r>
        <w:rPr>
          <w:spacing w:val="-3"/>
          <w:sz w:val="18"/>
        </w:rPr>
        <w:t> </w:t>
      </w:r>
      <w:r>
        <w:rPr>
          <w:sz w:val="18"/>
        </w:rPr>
        <w:t>from</w:t>
      </w:r>
      <w:r>
        <w:rPr>
          <w:spacing w:val="-3"/>
          <w:sz w:val="18"/>
        </w:rPr>
        <w:t> </w:t>
      </w:r>
      <w:r>
        <w:rPr>
          <w:sz w:val="18"/>
        </w:rPr>
        <w:t>Amount</w:t>
      </w:r>
      <w:r>
        <w:rPr>
          <w:spacing w:val="-3"/>
          <w:sz w:val="18"/>
        </w:rPr>
        <w:t> </w:t>
      </w:r>
      <w:r>
        <w:rPr>
          <w:sz w:val="18"/>
        </w:rPr>
        <w:t>A</w:t>
      </w:r>
      <w:r>
        <w:rPr>
          <w:spacing w:val="-7"/>
          <w:sz w:val="18"/>
        </w:rPr>
        <w:t> </w:t>
      </w:r>
      <w:r>
        <w:rPr>
          <w:sz w:val="18"/>
        </w:rPr>
        <w:t>would</w:t>
      </w:r>
      <w:r>
        <w:rPr>
          <w:spacing w:val="-3"/>
          <w:sz w:val="18"/>
        </w:rPr>
        <w:t> </w:t>
      </w:r>
      <w:r>
        <w:rPr>
          <w:sz w:val="18"/>
        </w:rPr>
        <w:t>not</w:t>
      </w:r>
      <w:r>
        <w:rPr>
          <w:spacing w:val="-4"/>
          <w:sz w:val="18"/>
        </w:rPr>
        <w:t> </w:t>
      </w:r>
      <w:r>
        <w:rPr>
          <w:sz w:val="18"/>
        </w:rPr>
        <w:t>apply.</w:t>
      </w:r>
      <w:r>
        <w:rPr>
          <w:spacing w:val="-3"/>
          <w:sz w:val="18"/>
        </w:rPr>
        <w:t> </w:t>
      </w:r>
      <w:r>
        <w:rPr>
          <w:sz w:val="18"/>
        </w:rPr>
        <w:t>Instead,</w:t>
      </w:r>
      <w:r>
        <w:rPr>
          <w:spacing w:val="-4"/>
          <w:sz w:val="18"/>
        </w:rPr>
        <w:t> </w:t>
      </w:r>
      <w:r>
        <w:rPr>
          <w:sz w:val="18"/>
        </w:rPr>
        <w:t>an</w:t>
      </w:r>
      <w:r>
        <w:rPr>
          <w:spacing w:val="-5"/>
          <w:sz w:val="18"/>
        </w:rPr>
        <w:t> </w:t>
      </w:r>
      <w:r>
        <w:rPr>
          <w:sz w:val="18"/>
        </w:rPr>
        <w:t>MNE</w:t>
      </w:r>
      <w:r>
        <w:rPr>
          <w:spacing w:val="-4"/>
          <w:sz w:val="18"/>
        </w:rPr>
        <w:t> </w:t>
      </w:r>
      <w:r>
        <w:rPr>
          <w:sz w:val="18"/>
        </w:rPr>
        <w:t>group</w:t>
      </w:r>
      <w:r>
        <w:rPr>
          <w:spacing w:val="-4"/>
          <w:sz w:val="18"/>
        </w:rPr>
        <w:t> </w:t>
      </w:r>
      <w:r>
        <w:rPr>
          <w:sz w:val="18"/>
        </w:rPr>
        <w:t>that</w:t>
      </w:r>
      <w:r>
        <w:rPr>
          <w:spacing w:val="-6"/>
          <w:sz w:val="18"/>
        </w:rPr>
        <w:t> </w:t>
      </w:r>
      <w:r>
        <w:rPr>
          <w:sz w:val="18"/>
        </w:rPr>
        <w:t>meets</w:t>
      </w:r>
      <w:r>
        <w:rPr>
          <w:spacing w:val="-3"/>
          <w:sz w:val="18"/>
        </w:rPr>
        <w:t> </w:t>
      </w:r>
      <w:r>
        <w:rPr>
          <w:sz w:val="18"/>
        </w:rPr>
        <w:t>the</w:t>
      </w:r>
      <w:r>
        <w:rPr>
          <w:spacing w:val="-3"/>
          <w:sz w:val="18"/>
        </w:rPr>
        <w:t> </w:t>
      </w:r>
      <w:r>
        <w:rPr>
          <w:sz w:val="18"/>
        </w:rPr>
        <w:t>safe-harbour</w:t>
      </w:r>
      <w:r>
        <w:rPr>
          <w:spacing w:val="-4"/>
          <w:sz w:val="18"/>
        </w:rPr>
        <w:t> </w:t>
      </w:r>
      <w:r>
        <w:rPr>
          <w:sz w:val="18"/>
        </w:rPr>
        <w:t>with</w:t>
      </w:r>
      <w:r>
        <w:rPr>
          <w:spacing w:val="-3"/>
          <w:sz w:val="18"/>
        </w:rPr>
        <w:t> </w:t>
      </w:r>
      <w:r>
        <w:rPr>
          <w:sz w:val="18"/>
        </w:rPr>
        <w:t>respect</w:t>
      </w:r>
      <w:r>
        <w:rPr>
          <w:spacing w:val="-7"/>
          <w:sz w:val="18"/>
        </w:rPr>
        <w:t> </w:t>
      </w:r>
      <w:r>
        <w:rPr>
          <w:sz w:val="18"/>
        </w:rPr>
        <w:t>to</w:t>
      </w:r>
      <w:r>
        <w:rPr>
          <w:spacing w:val="-3"/>
          <w:sz w:val="18"/>
        </w:rPr>
        <w:t> </w:t>
      </w:r>
      <w:r>
        <w:rPr>
          <w:sz w:val="18"/>
        </w:rPr>
        <w:t>a particular market jurisdiction remains subject to the existing profit allocation and nexus</w:t>
      </w:r>
      <w:r>
        <w:rPr>
          <w:spacing w:val="-16"/>
          <w:sz w:val="18"/>
        </w:rPr>
        <w:t> </w:t>
      </w:r>
      <w:r>
        <w:rPr>
          <w:sz w:val="18"/>
        </w:rPr>
        <w:t>rules.</w:t>
      </w:r>
    </w:p>
    <w:p>
      <w:pPr>
        <w:pStyle w:val="ListParagraph"/>
        <w:numPr>
          <w:ilvl w:val="0"/>
          <w:numId w:val="14"/>
        </w:numPr>
        <w:tabs>
          <w:tab w:pos="1015" w:val="left" w:leader="none"/>
        </w:tabs>
        <w:spacing w:line="278" w:lineRule="auto" w:before="77" w:after="0"/>
        <w:ind w:left="723" w:right="480" w:firstLine="0"/>
        <w:jc w:val="both"/>
        <w:rPr>
          <w:sz w:val="18"/>
        </w:rPr>
      </w:pPr>
      <w:r>
        <w:rPr>
          <w:sz w:val="18"/>
        </w:rPr>
        <w:t>The “paying entities” are the entities that will bear the Amount A tax liability and hence the jurisdictions in which they are resident will be required to relieve the double taxation arising from Amount </w:t>
      </w:r>
      <w:r>
        <w:rPr>
          <w:spacing w:val="5"/>
          <w:sz w:val="18"/>
        </w:rPr>
        <w:t>A. </w:t>
      </w:r>
      <w:r>
        <w:rPr>
          <w:sz w:val="18"/>
        </w:rPr>
        <w:t>These entities will not necessarily be required to physically pay the Amount A tax liability in each market jurisdiction, as the simplified administration system may allow a single entity within a group to pay the Amount A tax liability (as agent) to each market jurisdiction (see Chapter </w:t>
      </w:r>
      <w:hyperlink w:history="true" w:anchor="_bookmark72">
        <w:r>
          <w:rPr>
            <w:sz w:val="18"/>
          </w:rPr>
          <w:t>10.</w:t>
        </w:r>
        <w:r>
          <w:rPr>
            <w:spacing w:val="3"/>
            <w:sz w:val="18"/>
          </w:rPr>
          <w:t> </w:t>
        </w:r>
      </w:hyperlink>
      <w:r>
        <w:rPr>
          <w:spacing w:val="-3"/>
          <w:sz w:val="18"/>
        </w:rPr>
        <w:t>).</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402" w:right="484"/>
        <w:jc w:val="both"/>
      </w:pPr>
      <w:r>
        <w:rPr/>
        <w:t>revenue of a group will be less (potentially substantially less) than the total (unconsolidated) revenue of entities within the group. This means that where a group has a profit margin in excess of x%, it is at least theoretically possible that there will not be any entities within that group with a profit margin in excess of x%. Second, the inclusion in entity-level accounts of intragroup transactions means that an entity’s revenue and hence profit margin can be easily distorted or manipulated by the way intragroup transactions are structured.</w:t>
      </w:r>
    </w:p>
    <w:p>
      <w:pPr>
        <w:pStyle w:val="ListParagraph"/>
        <w:numPr>
          <w:ilvl w:val="0"/>
          <w:numId w:val="69"/>
        </w:numPr>
        <w:tabs>
          <w:tab w:pos="1403" w:val="left" w:leader="none"/>
        </w:tabs>
        <w:spacing w:line="271" w:lineRule="auto" w:before="48" w:after="0"/>
        <w:ind w:left="1402" w:right="483" w:hanging="339"/>
        <w:jc w:val="both"/>
        <w:rPr>
          <w:sz w:val="20"/>
        </w:rPr>
      </w:pPr>
      <w:r>
        <w:rPr>
          <w:b/>
          <w:sz w:val="20"/>
        </w:rPr>
        <w:t>Differences between local GAAPs of group entities: </w:t>
      </w:r>
      <w:r>
        <w:rPr>
          <w:sz w:val="20"/>
        </w:rPr>
        <w:t>At a group or segment-level, the use of consolidated accounts means that for most MNE groups the financial information necessary to compute the Amount A tax base and apply the Amount A formula will be readily available and prepared under a comparable accounting standard. In contrast, at an entity-level financial information will be less readily available, or may be prepared under local accounting standards, which means, even within the same group, the financial statements for different entities may not be comparable. That said, as discussed below, this issue could be overcome by using the entity- level accounts used by a group to prepare its consolidated group</w:t>
      </w:r>
      <w:r>
        <w:rPr>
          <w:spacing w:val="-14"/>
          <w:sz w:val="20"/>
        </w:rPr>
        <w:t> </w:t>
      </w:r>
      <w:r>
        <w:rPr>
          <w:sz w:val="20"/>
        </w:rPr>
        <w:t>accounts.</w:t>
      </w:r>
    </w:p>
    <w:p>
      <w:pPr>
        <w:pStyle w:val="ListParagraph"/>
        <w:numPr>
          <w:ilvl w:val="0"/>
          <w:numId w:val="13"/>
        </w:numPr>
        <w:tabs>
          <w:tab w:pos="1444" w:val="left" w:leader="none"/>
        </w:tabs>
        <w:spacing w:line="271" w:lineRule="auto" w:before="123" w:after="0"/>
        <w:ind w:left="723" w:right="480" w:firstLine="0"/>
        <w:jc w:val="both"/>
        <w:rPr>
          <w:sz w:val="20"/>
        </w:rPr>
      </w:pPr>
      <w:r>
        <w:rPr>
          <w:sz w:val="20"/>
        </w:rPr>
        <w:t>Conceptually,</w:t>
      </w:r>
      <w:r>
        <w:rPr>
          <w:spacing w:val="-8"/>
          <w:sz w:val="20"/>
        </w:rPr>
        <w:t> </w:t>
      </w:r>
      <w:r>
        <w:rPr>
          <w:sz w:val="20"/>
        </w:rPr>
        <w:t>different</w:t>
      </w:r>
      <w:r>
        <w:rPr>
          <w:spacing w:val="-10"/>
          <w:sz w:val="20"/>
        </w:rPr>
        <w:t> </w:t>
      </w:r>
      <w:r>
        <w:rPr>
          <w:sz w:val="20"/>
        </w:rPr>
        <w:t>approaches</w:t>
      </w:r>
      <w:r>
        <w:rPr>
          <w:spacing w:val="-9"/>
          <w:sz w:val="20"/>
        </w:rPr>
        <w:t> </w:t>
      </w:r>
      <w:r>
        <w:rPr>
          <w:sz w:val="20"/>
        </w:rPr>
        <w:t>can</w:t>
      </w:r>
      <w:r>
        <w:rPr>
          <w:spacing w:val="-8"/>
          <w:sz w:val="20"/>
        </w:rPr>
        <w:t> </w:t>
      </w:r>
      <w:r>
        <w:rPr>
          <w:sz w:val="20"/>
        </w:rPr>
        <w:t>be</w:t>
      </w:r>
      <w:r>
        <w:rPr>
          <w:spacing w:val="-8"/>
          <w:sz w:val="20"/>
        </w:rPr>
        <w:t> </w:t>
      </w:r>
      <w:r>
        <w:rPr>
          <w:sz w:val="20"/>
        </w:rPr>
        <w:t>considered.</w:t>
      </w:r>
      <w:r>
        <w:rPr>
          <w:spacing w:val="-8"/>
          <w:sz w:val="20"/>
        </w:rPr>
        <w:t> </w:t>
      </w:r>
      <w:r>
        <w:rPr>
          <w:sz w:val="20"/>
        </w:rPr>
        <w:t>For</w:t>
      </w:r>
      <w:r>
        <w:rPr>
          <w:spacing w:val="-9"/>
          <w:sz w:val="20"/>
        </w:rPr>
        <w:t> </w:t>
      </w:r>
      <w:r>
        <w:rPr>
          <w:sz w:val="20"/>
        </w:rPr>
        <w:t>example,</w:t>
      </w:r>
      <w:r>
        <w:rPr>
          <w:spacing w:val="-5"/>
          <w:sz w:val="20"/>
        </w:rPr>
        <w:t> </w:t>
      </w:r>
      <w:r>
        <w:rPr>
          <w:sz w:val="20"/>
        </w:rPr>
        <w:t>consistent</w:t>
      </w:r>
      <w:r>
        <w:rPr>
          <w:spacing w:val="-8"/>
          <w:sz w:val="20"/>
        </w:rPr>
        <w:t> </w:t>
      </w:r>
      <w:r>
        <w:rPr>
          <w:sz w:val="20"/>
        </w:rPr>
        <w:t>with</w:t>
      </w:r>
      <w:r>
        <w:rPr>
          <w:spacing w:val="-10"/>
          <w:sz w:val="20"/>
        </w:rPr>
        <w:t> </w:t>
      </w:r>
      <w:r>
        <w:rPr>
          <w:sz w:val="20"/>
        </w:rPr>
        <w:t>the</w:t>
      </w:r>
      <w:r>
        <w:rPr>
          <w:spacing w:val="-10"/>
          <w:sz w:val="20"/>
        </w:rPr>
        <w:t> </w:t>
      </w:r>
      <w:r>
        <w:rPr>
          <w:sz w:val="20"/>
        </w:rPr>
        <w:t>formulaic nature</w:t>
      </w:r>
      <w:r>
        <w:rPr>
          <w:spacing w:val="-13"/>
          <w:sz w:val="20"/>
        </w:rPr>
        <w:t> </w:t>
      </w:r>
      <w:r>
        <w:rPr>
          <w:sz w:val="20"/>
        </w:rPr>
        <w:t>of</w:t>
      </w:r>
      <w:r>
        <w:rPr>
          <w:spacing w:val="-14"/>
          <w:sz w:val="20"/>
        </w:rPr>
        <w:t> </w:t>
      </w:r>
      <w:r>
        <w:rPr>
          <w:sz w:val="20"/>
        </w:rPr>
        <w:t>Amount</w:t>
      </w:r>
      <w:r>
        <w:rPr>
          <w:spacing w:val="-16"/>
          <w:sz w:val="20"/>
        </w:rPr>
        <w:t> </w:t>
      </w:r>
      <w:r>
        <w:rPr>
          <w:sz w:val="20"/>
        </w:rPr>
        <w:t>A,</w:t>
      </w:r>
      <w:r>
        <w:rPr>
          <w:spacing w:val="-15"/>
          <w:sz w:val="20"/>
        </w:rPr>
        <w:t> </w:t>
      </w:r>
      <w:r>
        <w:rPr>
          <w:sz w:val="20"/>
        </w:rPr>
        <w:t>one</w:t>
      </w:r>
      <w:r>
        <w:rPr>
          <w:spacing w:val="-17"/>
          <w:sz w:val="20"/>
        </w:rPr>
        <w:t> </w:t>
      </w:r>
      <w:r>
        <w:rPr>
          <w:sz w:val="20"/>
        </w:rPr>
        <w:t>option</w:t>
      </w:r>
      <w:r>
        <w:rPr>
          <w:spacing w:val="-14"/>
          <w:sz w:val="20"/>
        </w:rPr>
        <w:t> </w:t>
      </w:r>
      <w:r>
        <w:rPr>
          <w:sz w:val="20"/>
        </w:rPr>
        <w:t>would</w:t>
      </w:r>
      <w:r>
        <w:rPr>
          <w:spacing w:val="-15"/>
          <w:sz w:val="20"/>
        </w:rPr>
        <w:t> </w:t>
      </w:r>
      <w:r>
        <w:rPr>
          <w:sz w:val="20"/>
        </w:rPr>
        <w:t>be</w:t>
      </w:r>
      <w:r>
        <w:rPr>
          <w:spacing w:val="-16"/>
          <w:sz w:val="20"/>
        </w:rPr>
        <w:t> </w:t>
      </w:r>
      <w:r>
        <w:rPr>
          <w:sz w:val="20"/>
        </w:rPr>
        <w:t>to</w:t>
      </w:r>
      <w:r>
        <w:rPr>
          <w:spacing w:val="-14"/>
          <w:sz w:val="20"/>
        </w:rPr>
        <w:t> </w:t>
      </w:r>
      <w:r>
        <w:rPr>
          <w:sz w:val="20"/>
        </w:rPr>
        <w:t>identify</w:t>
      </w:r>
      <w:r>
        <w:rPr>
          <w:spacing w:val="-18"/>
          <w:sz w:val="20"/>
        </w:rPr>
        <w:t> </w:t>
      </w:r>
      <w:r>
        <w:rPr>
          <w:sz w:val="20"/>
        </w:rPr>
        <w:t>the</w:t>
      </w:r>
      <w:r>
        <w:rPr>
          <w:spacing w:val="-14"/>
          <w:sz w:val="20"/>
        </w:rPr>
        <w:t> </w:t>
      </w:r>
      <w:r>
        <w:rPr>
          <w:sz w:val="20"/>
        </w:rPr>
        <w:t>paying</w:t>
      </w:r>
      <w:r>
        <w:rPr>
          <w:spacing w:val="-16"/>
          <w:sz w:val="20"/>
        </w:rPr>
        <w:t> </w:t>
      </w:r>
      <w:r>
        <w:rPr>
          <w:sz w:val="20"/>
        </w:rPr>
        <w:t>entities</w:t>
      </w:r>
      <w:r>
        <w:rPr>
          <w:spacing w:val="-12"/>
          <w:sz w:val="20"/>
        </w:rPr>
        <w:t> </w:t>
      </w:r>
      <w:r>
        <w:rPr>
          <w:sz w:val="20"/>
        </w:rPr>
        <w:t>using</w:t>
      </w:r>
      <w:r>
        <w:rPr>
          <w:spacing w:val="-17"/>
          <w:sz w:val="20"/>
        </w:rPr>
        <w:t> </w:t>
      </w:r>
      <w:r>
        <w:rPr>
          <w:sz w:val="20"/>
        </w:rPr>
        <w:t>a</w:t>
      </w:r>
      <w:r>
        <w:rPr>
          <w:spacing w:val="-13"/>
          <w:sz w:val="20"/>
        </w:rPr>
        <w:t> </w:t>
      </w:r>
      <w:r>
        <w:rPr>
          <w:sz w:val="20"/>
        </w:rPr>
        <w:t>quantitative</w:t>
      </w:r>
      <w:r>
        <w:rPr>
          <w:spacing w:val="-15"/>
          <w:sz w:val="20"/>
        </w:rPr>
        <w:t> </w:t>
      </w:r>
      <w:r>
        <w:rPr>
          <w:sz w:val="20"/>
        </w:rPr>
        <w:t>approach</w:t>
      </w:r>
      <w:r>
        <w:rPr>
          <w:spacing w:val="-14"/>
          <w:sz w:val="20"/>
        </w:rPr>
        <w:t> </w:t>
      </w:r>
      <w:r>
        <w:rPr>
          <w:sz w:val="20"/>
        </w:rPr>
        <w:t>similar to that used to calculate Amount A. This approach would prioritise simplicity, as it could limit the need to enter into detailed facts and circumstances functional and transactional analyses using transfer pricing concepts to identify the entities that should bear the Amount A tax liability. This would be consistent with the</w:t>
      </w:r>
      <w:r>
        <w:rPr>
          <w:spacing w:val="-10"/>
          <w:sz w:val="20"/>
        </w:rPr>
        <w:t> </w:t>
      </w:r>
      <w:r>
        <w:rPr>
          <w:sz w:val="20"/>
        </w:rPr>
        <w:t>fact</w:t>
      </w:r>
      <w:r>
        <w:rPr>
          <w:spacing w:val="-9"/>
          <w:sz w:val="20"/>
        </w:rPr>
        <w:t> </w:t>
      </w:r>
      <w:r>
        <w:rPr>
          <w:sz w:val="20"/>
        </w:rPr>
        <w:t>that</w:t>
      </w:r>
      <w:r>
        <w:rPr>
          <w:spacing w:val="-7"/>
          <w:sz w:val="20"/>
        </w:rPr>
        <w:t> </w:t>
      </w:r>
      <w:r>
        <w:rPr>
          <w:sz w:val="20"/>
        </w:rPr>
        <w:t>Amount</w:t>
      </w:r>
      <w:r>
        <w:rPr>
          <w:spacing w:val="-7"/>
          <w:sz w:val="20"/>
        </w:rPr>
        <w:t> </w:t>
      </w:r>
      <w:r>
        <w:rPr>
          <w:sz w:val="20"/>
        </w:rPr>
        <w:t>A</w:t>
      </w:r>
      <w:r>
        <w:rPr>
          <w:spacing w:val="-10"/>
          <w:sz w:val="20"/>
        </w:rPr>
        <w:t> </w:t>
      </w:r>
      <w:r>
        <w:rPr>
          <w:sz w:val="20"/>
        </w:rPr>
        <w:t>itself</w:t>
      </w:r>
      <w:r>
        <w:rPr>
          <w:spacing w:val="-7"/>
          <w:sz w:val="20"/>
        </w:rPr>
        <w:t> </w:t>
      </w:r>
      <w:r>
        <w:rPr>
          <w:sz w:val="20"/>
        </w:rPr>
        <w:t>is</w:t>
      </w:r>
      <w:r>
        <w:rPr>
          <w:spacing w:val="-8"/>
          <w:sz w:val="20"/>
        </w:rPr>
        <w:t> </w:t>
      </w:r>
      <w:r>
        <w:rPr>
          <w:sz w:val="20"/>
        </w:rPr>
        <w:t>designed</w:t>
      </w:r>
      <w:r>
        <w:rPr>
          <w:spacing w:val="-7"/>
          <w:sz w:val="20"/>
        </w:rPr>
        <w:t> </w:t>
      </w:r>
      <w:r>
        <w:rPr>
          <w:sz w:val="20"/>
        </w:rPr>
        <w:t>independently</w:t>
      </w:r>
      <w:r>
        <w:rPr>
          <w:spacing w:val="-10"/>
          <w:sz w:val="20"/>
        </w:rPr>
        <w:t> </w:t>
      </w:r>
      <w:r>
        <w:rPr>
          <w:sz w:val="20"/>
        </w:rPr>
        <w:t>of</w:t>
      </w:r>
      <w:r>
        <w:rPr>
          <w:spacing w:val="-8"/>
          <w:sz w:val="20"/>
        </w:rPr>
        <w:t> </w:t>
      </w:r>
      <w:r>
        <w:rPr>
          <w:sz w:val="20"/>
        </w:rPr>
        <w:t>these</w:t>
      </w:r>
      <w:r>
        <w:rPr>
          <w:spacing w:val="-9"/>
          <w:sz w:val="20"/>
        </w:rPr>
        <w:t> </w:t>
      </w:r>
      <w:r>
        <w:rPr>
          <w:sz w:val="20"/>
        </w:rPr>
        <w:t>considerations.</w:t>
      </w:r>
      <w:r>
        <w:rPr>
          <w:spacing w:val="-1"/>
          <w:sz w:val="20"/>
        </w:rPr>
        <w:t> </w:t>
      </w:r>
      <w:r>
        <w:rPr>
          <w:sz w:val="20"/>
        </w:rPr>
        <w:t>Another</w:t>
      </w:r>
      <w:r>
        <w:rPr>
          <w:spacing w:val="-5"/>
          <w:sz w:val="20"/>
        </w:rPr>
        <w:t> </w:t>
      </w:r>
      <w:r>
        <w:rPr>
          <w:sz w:val="20"/>
        </w:rPr>
        <w:t>option</w:t>
      </w:r>
      <w:r>
        <w:rPr>
          <w:spacing w:val="-5"/>
          <w:sz w:val="20"/>
        </w:rPr>
        <w:t> </w:t>
      </w:r>
      <w:r>
        <w:rPr>
          <w:sz w:val="20"/>
        </w:rPr>
        <w:t>would</w:t>
      </w:r>
      <w:r>
        <w:rPr>
          <w:spacing w:val="-9"/>
          <w:sz w:val="20"/>
        </w:rPr>
        <w:t> </w:t>
      </w:r>
      <w:r>
        <w:rPr>
          <w:sz w:val="20"/>
        </w:rPr>
        <w:t>start from</w:t>
      </w:r>
      <w:r>
        <w:rPr>
          <w:spacing w:val="-5"/>
          <w:sz w:val="20"/>
        </w:rPr>
        <w:t> </w:t>
      </w:r>
      <w:r>
        <w:rPr>
          <w:sz w:val="20"/>
        </w:rPr>
        <w:t>the</w:t>
      </w:r>
      <w:r>
        <w:rPr>
          <w:spacing w:val="-8"/>
          <w:sz w:val="20"/>
        </w:rPr>
        <w:t> </w:t>
      </w:r>
      <w:r>
        <w:rPr>
          <w:sz w:val="20"/>
        </w:rPr>
        <w:t>basis</w:t>
      </w:r>
      <w:r>
        <w:rPr>
          <w:spacing w:val="-8"/>
          <w:sz w:val="20"/>
        </w:rPr>
        <w:t> </w:t>
      </w:r>
      <w:r>
        <w:rPr>
          <w:sz w:val="20"/>
        </w:rPr>
        <w:t>that</w:t>
      </w:r>
      <w:r>
        <w:rPr>
          <w:spacing w:val="-8"/>
          <w:sz w:val="20"/>
        </w:rPr>
        <w:t> </w:t>
      </w:r>
      <w:r>
        <w:rPr>
          <w:sz w:val="20"/>
        </w:rPr>
        <w:t>conceptually,</w:t>
      </w:r>
      <w:r>
        <w:rPr>
          <w:spacing w:val="-6"/>
          <w:sz w:val="20"/>
        </w:rPr>
        <w:t> </w:t>
      </w:r>
      <w:r>
        <w:rPr>
          <w:sz w:val="20"/>
        </w:rPr>
        <w:t>the</w:t>
      </w:r>
      <w:r>
        <w:rPr>
          <w:spacing w:val="-9"/>
          <w:sz w:val="20"/>
        </w:rPr>
        <w:t> </w:t>
      </w:r>
      <w:r>
        <w:rPr>
          <w:sz w:val="20"/>
        </w:rPr>
        <w:t>different</w:t>
      </w:r>
      <w:r>
        <w:rPr>
          <w:spacing w:val="-9"/>
          <w:sz w:val="20"/>
        </w:rPr>
        <w:t> </w:t>
      </w:r>
      <w:r>
        <w:rPr>
          <w:sz w:val="20"/>
        </w:rPr>
        <w:t>features</w:t>
      </w:r>
      <w:r>
        <w:rPr>
          <w:spacing w:val="-5"/>
          <w:sz w:val="20"/>
        </w:rPr>
        <w:t> </w:t>
      </w:r>
      <w:r>
        <w:rPr>
          <w:sz w:val="20"/>
        </w:rPr>
        <w:t>of</w:t>
      </w:r>
      <w:r>
        <w:rPr>
          <w:spacing w:val="-6"/>
          <w:sz w:val="20"/>
        </w:rPr>
        <w:t> </w:t>
      </w:r>
      <w:r>
        <w:rPr>
          <w:sz w:val="20"/>
        </w:rPr>
        <w:t>Amount</w:t>
      </w:r>
      <w:r>
        <w:rPr>
          <w:spacing w:val="-9"/>
          <w:sz w:val="20"/>
        </w:rPr>
        <w:t> </w:t>
      </w:r>
      <w:r>
        <w:rPr>
          <w:sz w:val="20"/>
        </w:rPr>
        <w:t>A</w:t>
      </w:r>
      <w:r>
        <w:rPr>
          <w:spacing w:val="-9"/>
          <w:sz w:val="20"/>
        </w:rPr>
        <w:t> </w:t>
      </w:r>
      <w:r>
        <w:rPr>
          <w:sz w:val="20"/>
        </w:rPr>
        <w:t>suggest</w:t>
      </w:r>
      <w:r>
        <w:rPr>
          <w:spacing w:val="-9"/>
          <w:sz w:val="20"/>
        </w:rPr>
        <w:t> </w:t>
      </w:r>
      <w:r>
        <w:rPr>
          <w:sz w:val="20"/>
        </w:rPr>
        <w:t>that</w:t>
      </w:r>
      <w:r>
        <w:rPr>
          <w:spacing w:val="-6"/>
          <w:sz w:val="20"/>
        </w:rPr>
        <w:t> </w:t>
      </w:r>
      <w:r>
        <w:rPr>
          <w:sz w:val="20"/>
        </w:rPr>
        <w:t>paying</w:t>
      </w:r>
      <w:r>
        <w:rPr>
          <w:spacing w:val="-7"/>
          <w:sz w:val="20"/>
        </w:rPr>
        <w:t> </w:t>
      </w:r>
      <w:r>
        <w:rPr>
          <w:sz w:val="20"/>
        </w:rPr>
        <w:t>entities</w:t>
      </w:r>
      <w:r>
        <w:rPr>
          <w:spacing w:val="-7"/>
          <w:sz w:val="20"/>
        </w:rPr>
        <w:t> </w:t>
      </w:r>
      <w:r>
        <w:rPr>
          <w:sz w:val="20"/>
        </w:rPr>
        <w:t>should</w:t>
      </w:r>
      <w:r>
        <w:rPr>
          <w:spacing w:val="-7"/>
          <w:sz w:val="20"/>
        </w:rPr>
        <w:t> </w:t>
      </w:r>
      <w:r>
        <w:rPr>
          <w:sz w:val="20"/>
        </w:rPr>
        <w:t>not only be profitable, but should be those that (individually or collectively) make material and sustained contributions to an MNE group’s residual profits,</w:t>
      </w:r>
      <w:r>
        <w:rPr>
          <w:position w:val="6"/>
          <w:sz w:val="13"/>
        </w:rPr>
        <w:t>109 </w:t>
      </w:r>
      <w:r>
        <w:rPr>
          <w:sz w:val="20"/>
        </w:rPr>
        <w:t>rather than those that perform only activities that generate routine profits. In addition, from a conceptual standpoint it could be argued that a paying entity should perform activities that relate to an MNE group’s engagement in a market jurisdiction </w:t>
      </w:r>
      <w:r>
        <w:rPr>
          <w:spacing w:val="2"/>
          <w:sz w:val="20"/>
        </w:rPr>
        <w:t>for </w:t>
      </w:r>
      <w:r>
        <w:rPr>
          <w:sz w:val="20"/>
        </w:rPr>
        <w:t>which it bears</w:t>
      </w:r>
      <w:r>
        <w:rPr>
          <w:spacing w:val="-5"/>
          <w:sz w:val="20"/>
        </w:rPr>
        <w:t> </w:t>
      </w:r>
      <w:r>
        <w:rPr>
          <w:sz w:val="20"/>
        </w:rPr>
        <w:t>an</w:t>
      </w:r>
      <w:r>
        <w:rPr>
          <w:spacing w:val="-5"/>
          <w:sz w:val="20"/>
        </w:rPr>
        <w:t> </w:t>
      </w:r>
      <w:r>
        <w:rPr>
          <w:sz w:val="20"/>
        </w:rPr>
        <w:t>Amount</w:t>
      </w:r>
      <w:r>
        <w:rPr>
          <w:spacing w:val="-7"/>
          <w:sz w:val="20"/>
        </w:rPr>
        <w:t> </w:t>
      </w:r>
      <w:r>
        <w:rPr>
          <w:sz w:val="20"/>
        </w:rPr>
        <w:t>A</w:t>
      </w:r>
      <w:r>
        <w:rPr>
          <w:spacing w:val="-7"/>
          <w:sz w:val="20"/>
        </w:rPr>
        <w:t> </w:t>
      </w:r>
      <w:r>
        <w:rPr>
          <w:sz w:val="20"/>
        </w:rPr>
        <w:t>tax</w:t>
      </w:r>
      <w:r>
        <w:rPr>
          <w:spacing w:val="-6"/>
          <w:sz w:val="20"/>
        </w:rPr>
        <w:t> </w:t>
      </w:r>
      <w:r>
        <w:rPr>
          <w:sz w:val="20"/>
        </w:rPr>
        <w:t>liability,</w:t>
      </w:r>
      <w:r>
        <w:rPr>
          <w:spacing w:val="-6"/>
          <w:sz w:val="20"/>
        </w:rPr>
        <w:t> </w:t>
      </w:r>
      <w:r>
        <w:rPr>
          <w:sz w:val="20"/>
        </w:rPr>
        <w:t>as</w:t>
      </w:r>
      <w:r>
        <w:rPr>
          <w:spacing w:val="-6"/>
          <w:sz w:val="20"/>
        </w:rPr>
        <w:t> </w:t>
      </w:r>
      <w:r>
        <w:rPr>
          <w:sz w:val="20"/>
        </w:rPr>
        <w:t>opposed</w:t>
      </w:r>
      <w:r>
        <w:rPr>
          <w:spacing w:val="-7"/>
          <w:sz w:val="20"/>
        </w:rPr>
        <w:t> </w:t>
      </w:r>
      <w:r>
        <w:rPr>
          <w:sz w:val="20"/>
        </w:rPr>
        <w:t>to</w:t>
      </w:r>
      <w:r>
        <w:rPr>
          <w:spacing w:val="-7"/>
          <w:sz w:val="20"/>
        </w:rPr>
        <w:t> </w:t>
      </w:r>
      <w:r>
        <w:rPr>
          <w:sz w:val="20"/>
        </w:rPr>
        <w:t>non-market</w:t>
      </w:r>
      <w:r>
        <w:rPr>
          <w:spacing w:val="-7"/>
          <w:sz w:val="20"/>
        </w:rPr>
        <w:t> </w:t>
      </w:r>
      <w:r>
        <w:rPr>
          <w:sz w:val="20"/>
        </w:rPr>
        <w:t>related</w:t>
      </w:r>
      <w:r>
        <w:rPr>
          <w:spacing w:val="-7"/>
          <w:sz w:val="20"/>
        </w:rPr>
        <w:t> </w:t>
      </w:r>
      <w:r>
        <w:rPr>
          <w:sz w:val="20"/>
        </w:rPr>
        <w:t>activities</w:t>
      </w:r>
      <w:r>
        <w:rPr>
          <w:spacing w:val="-6"/>
          <w:sz w:val="20"/>
        </w:rPr>
        <w:t> </w:t>
      </w:r>
      <w:r>
        <w:rPr>
          <w:sz w:val="20"/>
        </w:rPr>
        <w:t>or</w:t>
      </w:r>
      <w:r>
        <w:rPr>
          <w:spacing w:val="-6"/>
          <w:sz w:val="20"/>
        </w:rPr>
        <w:t> </w:t>
      </w:r>
      <w:r>
        <w:rPr>
          <w:sz w:val="20"/>
        </w:rPr>
        <w:t>activities</w:t>
      </w:r>
      <w:r>
        <w:rPr>
          <w:spacing w:val="-6"/>
          <w:sz w:val="20"/>
        </w:rPr>
        <w:t> </w:t>
      </w:r>
      <w:r>
        <w:rPr>
          <w:sz w:val="20"/>
        </w:rPr>
        <w:t>that</w:t>
      </w:r>
      <w:r>
        <w:rPr>
          <w:spacing w:val="-5"/>
          <w:sz w:val="20"/>
        </w:rPr>
        <w:t> </w:t>
      </w:r>
      <w:r>
        <w:rPr>
          <w:sz w:val="20"/>
        </w:rPr>
        <w:t>relate</w:t>
      </w:r>
      <w:r>
        <w:rPr>
          <w:spacing w:val="-5"/>
          <w:sz w:val="20"/>
        </w:rPr>
        <w:t> </w:t>
      </w:r>
      <w:r>
        <w:rPr>
          <w:sz w:val="20"/>
        </w:rPr>
        <w:t>to</w:t>
      </w:r>
      <w:r>
        <w:rPr>
          <w:spacing w:val="-7"/>
          <w:sz w:val="20"/>
        </w:rPr>
        <w:t> </w:t>
      </w:r>
      <w:r>
        <w:rPr>
          <w:sz w:val="20"/>
        </w:rPr>
        <w:t>other markets. These options could also be combined, in a variety of different ways, as outlined in the four-step process discussed</w:t>
      </w:r>
      <w:r>
        <w:rPr>
          <w:spacing w:val="-3"/>
          <w:sz w:val="20"/>
        </w:rPr>
        <w:t> </w:t>
      </w:r>
      <w:r>
        <w:rPr>
          <w:sz w:val="20"/>
        </w:rPr>
        <w:t>below.</w:t>
      </w:r>
    </w:p>
    <w:p>
      <w:pPr>
        <w:pStyle w:val="ListParagraph"/>
        <w:numPr>
          <w:ilvl w:val="0"/>
          <w:numId w:val="13"/>
        </w:numPr>
        <w:tabs>
          <w:tab w:pos="1444" w:val="left" w:leader="none"/>
        </w:tabs>
        <w:spacing w:line="240" w:lineRule="auto" w:before="123" w:after="0"/>
        <w:ind w:left="1443" w:right="0" w:hanging="721"/>
        <w:jc w:val="both"/>
        <w:rPr>
          <w:sz w:val="20"/>
        </w:rPr>
      </w:pPr>
      <w:r>
        <w:rPr>
          <w:sz w:val="20"/>
        </w:rPr>
        <w:t>The process to identify the paying entities could have up to four steps.</w:t>
      </w:r>
      <w:r>
        <w:rPr>
          <w:position w:val="6"/>
          <w:sz w:val="13"/>
        </w:rPr>
        <w:t>110 </w:t>
      </w:r>
      <w:r>
        <w:rPr>
          <w:sz w:val="20"/>
        </w:rPr>
        <w:t>These are</w:t>
      </w:r>
      <w:r>
        <w:rPr>
          <w:spacing w:val="-33"/>
          <w:sz w:val="20"/>
        </w:rPr>
        <w:t> </w:t>
      </w:r>
      <w:r>
        <w:rPr>
          <w:sz w:val="20"/>
        </w:rPr>
        <w:t>to:</w:t>
      </w:r>
    </w:p>
    <w:p>
      <w:pPr>
        <w:pStyle w:val="ListParagraph"/>
        <w:numPr>
          <w:ilvl w:val="1"/>
          <w:numId w:val="13"/>
        </w:numPr>
        <w:tabs>
          <w:tab w:pos="1402" w:val="left" w:leader="none"/>
          <w:tab w:pos="1403" w:val="left" w:leader="none"/>
        </w:tabs>
        <w:spacing w:line="268" w:lineRule="auto" w:before="129" w:after="0"/>
        <w:ind w:left="1402" w:right="482" w:hanging="339"/>
        <w:jc w:val="left"/>
        <w:rPr>
          <w:sz w:val="20"/>
        </w:rPr>
      </w:pPr>
      <w:r>
        <w:rPr>
          <w:b/>
          <w:sz w:val="20"/>
        </w:rPr>
        <w:t>Step 1: </w:t>
      </w:r>
      <w:r>
        <w:rPr>
          <w:sz w:val="20"/>
        </w:rPr>
        <w:t>Identify the entities within an MNE group that perform activities that make a material and sustained contribution to the group’s ability to generate residual</w:t>
      </w:r>
      <w:r>
        <w:rPr>
          <w:spacing w:val="-10"/>
          <w:sz w:val="20"/>
        </w:rPr>
        <w:t> </w:t>
      </w:r>
      <w:r>
        <w:rPr>
          <w:sz w:val="20"/>
        </w:rPr>
        <w:t>profits.</w:t>
      </w:r>
    </w:p>
    <w:p>
      <w:pPr>
        <w:pStyle w:val="ListParagraph"/>
        <w:numPr>
          <w:ilvl w:val="1"/>
          <w:numId w:val="13"/>
        </w:numPr>
        <w:tabs>
          <w:tab w:pos="1402" w:val="left" w:leader="none"/>
          <w:tab w:pos="1403" w:val="left" w:leader="none"/>
        </w:tabs>
        <w:spacing w:line="266" w:lineRule="auto" w:before="48" w:after="0"/>
        <w:ind w:left="1402" w:right="490" w:hanging="339"/>
        <w:jc w:val="left"/>
        <w:rPr>
          <w:sz w:val="20"/>
        </w:rPr>
      </w:pPr>
      <w:r>
        <w:rPr>
          <w:b/>
          <w:sz w:val="20"/>
        </w:rPr>
        <w:t>Step 2: </w:t>
      </w:r>
      <w:r>
        <w:rPr>
          <w:sz w:val="20"/>
        </w:rPr>
        <w:t>Apply a profitability test to ensure the entities identified have the capacity to bear the Amount A tax</w:t>
      </w:r>
      <w:r>
        <w:rPr>
          <w:spacing w:val="-4"/>
          <w:sz w:val="20"/>
        </w:rPr>
        <w:t> </w:t>
      </w:r>
      <w:r>
        <w:rPr>
          <w:sz w:val="20"/>
        </w:rPr>
        <w:t>liability.</w:t>
      </w:r>
    </w:p>
    <w:p>
      <w:pPr>
        <w:pStyle w:val="ListParagraph"/>
        <w:numPr>
          <w:ilvl w:val="1"/>
          <w:numId w:val="13"/>
        </w:numPr>
        <w:tabs>
          <w:tab w:pos="1402" w:val="left" w:leader="none"/>
          <w:tab w:pos="1403" w:val="left" w:leader="none"/>
        </w:tabs>
        <w:spacing w:line="266" w:lineRule="auto" w:before="54" w:after="0"/>
        <w:ind w:left="1402" w:right="488" w:hanging="339"/>
        <w:jc w:val="left"/>
        <w:rPr>
          <w:sz w:val="20"/>
        </w:rPr>
      </w:pPr>
      <w:r>
        <w:rPr>
          <w:b/>
          <w:sz w:val="20"/>
        </w:rPr>
        <w:t>Step</w:t>
      </w:r>
      <w:r>
        <w:rPr>
          <w:b/>
          <w:spacing w:val="-8"/>
          <w:sz w:val="20"/>
        </w:rPr>
        <w:t> </w:t>
      </w:r>
      <w:r>
        <w:rPr>
          <w:b/>
          <w:sz w:val="20"/>
        </w:rPr>
        <w:t>3:</w:t>
      </w:r>
      <w:r>
        <w:rPr>
          <w:b/>
          <w:spacing w:val="-8"/>
          <w:sz w:val="20"/>
        </w:rPr>
        <w:t> </w:t>
      </w:r>
      <w:r>
        <w:rPr>
          <w:sz w:val="20"/>
        </w:rPr>
        <w:t>Allocate,</w:t>
      </w:r>
      <w:r>
        <w:rPr>
          <w:spacing w:val="-6"/>
          <w:sz w:val="20"/>
        </w:rPr>
        <w:t> </w:t>
      </w:r>
      <w:r>
        <w:rPr>
          <w:sz w:val="20"/>
        </w:rPr>
        <w:t>in</w:t>
      </w:r>
      <w:r>
        <w:rPr>
          <w:spacing w:val="-8"/>
          <w:sz w:val="20"/>
        </w:rPr>
        <w:t> </w:t>
      </w:r>
      <w:r>
        <w:rPr>
          <w:sz w:val="20"/>
        </w:rPr>
        <w:t>order</w:t>
      </w:r>
      <w:r>
        <w:rPr>
          <w:spacing w:val="-8"/>
          <w:sz w:val="20"/>
        </w:rPr>
        <w:t> </w:t>
      </w:r>
      <w:r>
        <w:rPr>
          <w:sz w:val="20"/>
        </w:rPr>
        <w:t>of</w:t>
      </w:r>
      <w:r>
        <w:rPr>
          <w:spacing w:val="-6"/>
          <w:sz w:val="20"/>
        </w:rPr>
        <w:t> </w:t>
      </w:r>
      <w:r>
        <w:rPr>
          <w:sz w:val="20"/>
        </w:rPr>
        <w:t>priority,</w:t>
      </w:r>
      <w:r>
        <w:rPr>
          <w:spacing w:val="-9"/>
          <w:sz w:val="20"/>
        </w:rPr>
        <w:t> </w:t>
      </w:r>
      <w:r>
        <w:rPr>
          <w:sz w:val="20"/>
        </w:rPr>
        <w:t>the</w:t>
      </w:r>
      <w:r>
        <w:rPr>
          <w:spacing w:val="-9"/>
          <w:sz w:val="20"/>
        </w:rPr>
        <w:t> </w:t>
      </w:r>
      <w:r>
        <w:rPr>
          <w:sz w:val="20"/>
        </w:rPr>
        <w:t>Amount</w:t>
      </w:r>
      <w:r>
        <w:rPr>
          <w:spacing w:val="-8"/>
          <w:sz w:val="20"/>
        </w:rPr>
        <w:t> </w:t>
      </w:r>
      <w:r>
        <w:rPr>
          <w:sz w:val="20"/>
        </w:rPr>
        <w:t>A</w:t>
      </w:r>
      <w:r>
        <w:rPr>
          <w:spacing w:val="-9"/>
          <w:sz w:val="20"/>
        </w:rPr>
        <w:t> </w:t>
      </w:r>
      <w:r>
        <w:rPr>
          <w:sz w:val="20"/>
        </w:rPr>
        <w:t>tax</w:t>
      </w:r>
      <w:r>
        <w:rPr>
          <w:spacing w:val="-7"/>
          <w:sz w:val="20"/>
        </w:rPr>
        <w:t> </w:t>
      </w:r>
      <w:r>
        <w:rPr>
          <w:sz w:val="20"/>
        </w:rPr>
        <w:t>liability</w:t>
      </w:r>
      <w:r>
        <w:rPr>
          <w:spacing w:val="-12"/>
          <w:sz w:val="20"/>
        </w:rPr>
        <w:t> </w:t>
      </w:r>
      <w:r>
        <w:rPr>
          <w:sz w:val="20"/>
        </w:rPr>
        <w:t>to</w:t>
      </w:r>
      <w:r>
        <w:rPr>
          <w:spacing w:val="-7"/>
          <w:sz w:val="20"/>
        </w:rPr>
        <w:t> </w:t>
      </w:r>
      <w:r>
        <w:rPr>
          <w:sz w:val="20"/>
        </w:rPr>
        <w:t>the</w:t>
      </w:r>
      <w:r>
        <w:rPr>
          <w:spacing w:val="-8"/>
          <w:sz w:val="20"/>
        </w:rPr>
        <w:t> </w:t>
      </w:r>
      <w:r>
        <w:rPr>
          <w:sz w:val="20"/>
        </w:rPr>
        <w:t>entities</w:t>
      </w:r>
      <w:r>
        <w:rPr>
          <w:spacing w:val="-8"/>
          <w:sz w:val="20"/>
        </w:rPr>
        <w:t> </w:t>
      </w:r>
      <w:r>
        <w:rPr>
          <w:sz w:val="20"/>
        </w:rPr>
        <w:t>that</w:t>
      </w:r>
      <w:r>
        <w:rPr>
          <w:spacing w:val="-8"/>
          <w:sz w:val="20"/>
        </w:rPr>
        <w:t> </w:t>
      </w:r>
      <w:r>
        <w:rPr>
          <w:sz w:val="20"/>
        </w:rPr>
        <w:t>have</w:t>
      </w:r>
      <w:r>
        <w:rPr>
          <w:spacing w:val="-9"/>
          <w:sz w:val="20"/>
        </w:rPr>
        <w:t> </w:t>
      </w:r>
      <w:r>
        <w:rPr>
          <w:sz w:val="20"/>
        </w:rPr>
        <w:t>a</w:t>
      </w:r>
      <w:r>
        <w:rPr>
          <w:spacing w:val="-9"/>
          <w:sz w:val="20"/>
        </w:rPr>
        <w:t> </w:t>
      </w:r>
      <w:r>
        <w:rPr>
          <w:sz w:val="20"/>
        </w:rPr>
        <w:t>connection with the market(s) where Amount A is</w:t>
      </w:r>
      <w:r>
        <w:rPr>
          <w:spacing w:val="-4"/>
          <w:sz w:val="20"/>
        </w:rPr>
        <w:t> </w:t>
      </w:r>
      <w:r>
        <w:rPr>
          <w:sz w:val="20"/>
        </w:rPr>
        <w:t>allocated.</w:t>
      </w:r>
    </w:p>
    <w:p>
      <w:pPr>
        <w:pStyle w:val="ListParagraph"/>
        <w:numPr>
          <w:ilvl w:val="1"/>
          <w:numId w:val="13"/>
        </w:numPr>
        <w:tabs>
          <w:tab w:pos="1402" w:val="left" w:leader="none"/>
          <w:tab w:pos="1403" w:val="left" w:leader="none"/>
        </w:tabs>
        <w:spacing w:line="268" w:lineRule="auto" w:before="51" w:after="0"/>
        <w:ind w:left="1402" w:right="491" w:hanging="339"/>
        <w:jc w:val="left"/>
        <w:rPr>
          <w:sz w:val="20"/>
        </w:rPr>
      </w:pPr>
      <w:r>
        <w:rPr>
          <w:b/>
          <w:sz w:val="20"/>
        </w:rPr>
        <w:t>Step 4: </w:t>
      </w:r>
      <w:r>
        <w:rPr>
          <w:sz w:val="20"/>
        </w:rPr>
        <w:t>Allocate, on a pro-rata basis, where no sufficiently strong connection(s) is (or are) found or where those with a market connection lack the necessary amount of</w:t>
      </w:r>
      <w:r>
        <w:rPr>
          <w:spacing w:val="-19"/>
          <w:sz w:val="20"/>
        </w:rPr>
        <w:t> </w:t>
      </w:r>
      <w:r>
        <w:rPr>
          <w:sz w:val="20"/>
        </w:rPr>
        <w:t>profit.</w:t>
      </w:r>
    </w:p>
    <w:p>
      <w:pPr>
        <w:pStyle w:val="BodyText"/>
      </w:pPr>
    </w:p>
    <w:p>
      <w:pPr>
        <w:pStyle w:val="BodyText"/>
        <w:spacing w:before="4"/>
        <w:rPr>
          <w:sz w:val="25"/>
        </w:rPr>
      </w:pPr>
      <w:r>
        <w:rPr/>
        <w:pict>
          <v:rect style="position:absolute;margin-left:65.183998pt;margin-top:16.528231pt;width:144.020004pt;height:.60004pt;mso-position-horizontal-relative:page;mso-position-vertical-relative:paragraph;z-index:-1565542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05" w:val="left" w:leader="none"/>
        </w:tabs>
        <w:spacing w:line="278" w:lineRule="auto" w:before="94" w:after="0"/>
        <w:ind w:left="723" w:right="484" w:firstLine="0"/>
        <w:jc w:val="both"/>
        <w:rPr>
          <w:sz w:val="18"/>
        </w:rPr>
      </w:pPr>
      <w:r>
        <w:rPr>
          <w:sz w:val="18"/>
        </w:rPr>
        <w:t>At the level of a group or segment, the term “residual profit” for Amount A purposes refers to profit in excess of an agreed</w:t>
      </w:r>
      <w:r>
        <w:rPr>
          <w:spacing w:val="-11"/>
          <w:sz w:val="18"/>
        </w:rPr>
        <w:t> </w:t>
      </w:r>
      <w:r>
        <w:rPr>
          <w:sz w:val="18"/>
        </w:rPr>
        <w:t>profitability</w:t>
      </w:r>
      <w:r>
        <w:rPr>
          <w:spacing w:val="-10"/>
          <w:sz w:val="18"/>
        </w:rPr>
        <w:t> </w:t>
      </w:r>
      <w:r>
        <w:rPr>
          <w:sz w:val="18"/>
        </w:rPr>
        <w:t>threshold</w:t>
      </w:r>
      <w:r>
        <w:rPr>
          <w:spacing w:val="-9"/>
          <w:sz w:val="18"/>
        </w:rPr>
        <w:t> </w:t>
      </w:r>
      <w:r>
        <w:rPr>
          <w:sz w:val="18"/>
        </w:rPr>
        <w:t>(see</w:t>
      </w:r>
      <w:r>
        <w:rPr>
          <w:spacing w:val="-9"/>
          <w:sz w:val="18"/>
        </w:rPr>
        <w:t> </w:t>
      </w:r>
      <w:r>
        <w:rPr>
          <w:sz w:val="18"/>
        </w:rPr>
        <w:t>above</w:t>
      </w:r>
      <w:r>
        <w:rPr>
          <w:spacing w:val="-6"/>
          <w:sz w:val="18"/>
        </w:rPr>
        <w:t> </w:t>
      </w:r>
      <w:r>
        <w:rPr>
          <w:sz w:val="18"/>
        </w:rPr>
        <w:t>Chapter</w:t>
      </w:r>
      <w:r>
        <w:rPr>
          <w:spacing w:val="-9"/>
          <w:sz w:val="18"/>
        </w:rPr>
        <w:t> </w:t>
      </w:r>
      <w:hyperlink w:history="true" w:anchor="_bookmark38">
        <w:r>
          <w:rPr>
            <w:sz w:val="18"/>
          </w:rPr>
          <w:t>6.</w:t>
        </w:r>
        <w:r>
          <w:rPr>
            <w:spacing w:val="-9"/>
            <w:sz w:val="18"/>
          </w:rPr>
          <w:t> </w:t>
        </w:r>
      </w:hyperlink>
      <w:r>
        <w:rPr>
          <w:sz w:val="18"/>
        </w:rPr>
        <w:t>).</w:t>
      </w:r>
      <w:r>
        <w:rPr>
          <w:spacing w:val="-9"/>
          <w:sz w:val="18"/>
        </w:rPr>
        <w:t> </w:t>
      </w:r>
      <w:r>
        <w:rPr>
          <w:sz w:val="18"/>
        </w:rPr>
        <w:t>This</w:t>
      </w:r>
      <w:r>
        <w:rPr>
          <w:spacing w:val="-8"/>
          <w:sz w:val="18"/>
        </w:rPr>
        <w:t> </w:t>
      </w:r>
      <w:r>
        <w:rPr>
          <w:sz w:val="18"/>
        </w:rPr>
        <w:t>differs</w:t>
      </w:r>
      <w:r>
        <w:rPr>
          <w:spacing w:val="-8"/>
          <w:sz w:val="18"/>
        </w:rPr>
        <w:t> </w:t>
      </w:r>
      <w:r>
        <w:rPr>
          <w:sz w:val="18"/>
        </w:rPr>
        <w:t>from</w:t>
      </w:r>
      <w:r>
        <w:rPr>
          <w:spacing w:val="-8"/>
          <w:sz w:val="18"/>
        </w:rPr>
        <w:t> </w:t>
      </w:r>
      <w:r>
        <w:rPr>
          <w:sz w:val="18"/>
        </w:rPr>
        <w:t>the</w:t>
      </w:r>
      <w:r>
        <w:rPr>
          <w:spacing w:val="-9"/>
          <w:sz w:val="18"/>
        </w:rPr>
        <w:t> </w:t>
      </w:r>
      <w:r>
        <w:rPr>
          <w:sz w:val="18"/>
        </w:rPr>
        <w:t>transfer</w:t>
      </w:r>
      <w:r>
        <w:rPr>
          <w:spacing w:val="-9"/>
          <w:sz w:val="18"/>
        </w:rPr>
        <w:t> </w:t>
      </w:r>
      <w:r>
        <w:rPr>
          <w:sz w:val="18"/>
        </w:rPr>
        <w:t>pricing</w:t>
      </w:r>
      <w:r>
        <w:rPr>
          <w:spacing w:val="-11"/>
          <w:sz w:val="18"/>
        </w:rPr>
        <w:t> </w:t>
      </w:r>
      <w:r>
        <w:rPr>
          <w:sz w:val="18"/>
        </w:rPr>
        <w:t>concept</w:t>
      </w:r>
      <w:r>
        <w:rPr>
          <w:spacing w:val="-9"/>
          <w:sz w:val="18"/>
        </w:rPr>
        <w:t> </w:t>
      </w:r>
      <w:r>
        <w:rPr>
          <w:sz w:val="18"/>
        </w:rPr>
        <w:t>of</w:t>
      </w:r>
      <w:r>
        <w:rPr>
          <w:spacing w:val="-9"/>
          <w:sz w:val="18"/>
        </w:rPr>
        <w:t> </w:t>
      </w:r>
      <w:r>
        <w:rPr>
          <w:sz w:val="18"/>
        </w:rPr>
        <w:t>“residual</w:t>
      </w:r>
      <w:r>
        <w:rPr>
          <w:spacing w:val="-9"/>
          <w:sz w:val="18"/>
        </w:rPr>
        <w:t> </w:t>
      </w:r>
      <w:r>
        <w:rPr>
          <w:sz w:val="18"/>
        </w:rPr>
        <w:t>profits”, which are the profits (or losses) that remain after remunerating activities that can be reliably benchmarked using comparables. Unless specifically noted, the term residual profits used in this chapter refers to profit in excess of the profitability threshold pursuant to the Amount A</w:t>
      </w:r>
      <w:r>
        <w:rPr>
          <w:spacing w:val="-9"/>
          <w:sz w:val="18"/>
        </w:rPr>
        <w:t> </w:t>
      </w:r>
      <w:r>
        <w:rPr>
          <w:sz w:val="18"/>
        </w:rPr>
        <w:t>formula.</w:t>
      </w:r>
    </w:p>
    <w:p>
      <w:pPr>
        <w:pStyle w:val="ListParagraph"/>
        <w:numPr>
          <w:ilvl w:val="0"/>
          <w:numId w:val="14"/>
        </w:numPr>
        <w:tabs>
          <w:tab w:pos="1003" w:val="left" w:leader="none"/>
        </w:tabs>
        <w:spacing w:line="278" w:lineRule="auto" w:before="77" w:after="0"/>
        <w:ind w:left="723" w:right="488" w:firstLine="0"/>
        <w:jc w:val="both"/>
        <w:rPr>
          <w:sz w:val="18"/>
        </w:rPr>
      </w:pPr>
      <w:r>
        <w:rPr>
          <w:sz w:val="18"/>
        </w:rPr>
        <w:t>For</w:t>
      </w:r>
      <w:r>
        <w:rPr>
          <w:spacing w:val="-5"/>
          <w:sz w:val="18"/>
        </w:rPr>
        <w:t> </w:t>
      </w:r>
      <w:r>
        <w:rPr>
          <w:sz w:val="18"/>
        </w:rPr>
        <w:t>ease</w:t>
      </w:r>
      <w:r>
        <w:rPr>
          <w:spacing w:val="-4"/>
          <w:sz w:val="18"/>
        </w:rPr>
        <w:t> </w:t>
      </w:r>
      <w:r>
        <w:rPr>
          <w:sz w:val="18"/>
        </w:rPr>
        <w:t>of</w:t>
      </w:r>
      <w:r>
        <w:rPr>
          <w:spacing w:val="-6"/>
          <w:sz w:val="18"/>
        </w:rPr>
        <w:t> </w:t>
      </w:r>
      <w:r>
        <w:rPr>
          <w:sz w:val="18"/>
        </w:rPr>
        <w:t>reference,</w:t>
      </w:r>
      <w:r>
        <w:rPr>
          <w:spacing w:val="-7"/>
          <w:sz w:val="18"/>
        </w:rPr>
        <w:t> </w:t>
      </w:r>
      <w:r>
        <w:rPr>
          <w:sz w:val="18"/>
        </w:rPr>
        <w:t>the</w:t>
      </w:r>
      <w:r>
        <w:rPr>
          <w:spacing w:val="-2"/>
          <w:sz w:val="18"/>
        </w:rPr>
        <w:t> </w:t>
      </w:r>
      <w:r>
        <w:rPr>
          <w:sz w:val="18"/>
        </w:rPr>
        <w:t>rest</w:t>
      </w:r>
      <w:r>
        <w:rPr>
          <w:spacing w:val="-6"/>
          <w:sz w:val="18"/>
        </w:rPr>
        <w:t> </w:t>
      </w:r>
      <w:r>
        <w:rPr>
          <w:sz w:val="18"/>
        </w:rPr>
        <w:t>of</w:t>
      </w:r>
      <w:r>
        <w:rPr>
          <w:spacing w:val="-4"/>
          <w:sz w:val="18"/>
        </w:rPr>
        <w:t> </w:t>
      </w:r>
      <w:r>
        <w:rPr>
          <w:sz w:val="18"/>
        </w:rPr>
        <w:t>this</w:t>
      </w:r>
      <w:r>
        <w:rPr>
          <w:spacing w:val="-6"/>
          <w:sz w:val="18"/>
        </w:rPr>
        <w:t> </w:t>
      </w:r>
      <w:r>
        <w:rPr>
          <w:sz w:val="18"/>
        </w:rPr>
        <w:t>Blueprint</w:t>
      </w:r>
      <w:r>
        <w:rPr>
          <w:spacing w:val="-4"/>
          <w:sz w:val="18"/>
        </w:rPr>
        <w:t> </w:t>
      </w:r>
      <w:r>
        <w:rPr>
          <w:sz w:val="18"/>
        </w:rPr>
        <w:t>will</w:t>
      </w:r>
      <w:r>
        <w:rPr>
          <w:spacing w:val="-5"/>
          <w:sz w:val="18"/>
        </w:rPr>
        <w:t> </w:t>
      </w:r>
      <w:r>
        <w:rPr>
          <w:sz w:val="18"/>
        </w:rPr>
        <w:t>refer</w:t>
      </w:r>
      <w:r>
        <w:rPr>
          <w:spacing w:val="-7"/>
          <w:sz w:val="18"/>
        </w:rPr>
        <w:t> </w:t>
      </w:r>
      <w:r>
        <w:rPr>
          <w:sz w:val="18"/>
        </w:rPr>
        <w:t>to</w:t>
      </w:r>
      <w:r>
        <w:rPr>
          <w:spacing w:val="-6"/>
          <w:sz w:val="18"/>
        </w:rPr>
        <w:t> </w:t>
      </w:r>
      <w:r>
        <w:rPr>
          <w:sz w:val="18"/>
        </w:rPr>
        <w:t>paying</w:t>
      </w:r>
      <w:r>
        <w:rPr>
          <w:spacing w:val="-4"/>
          <w:sz w:val="18"/>
        </w:rPr>
        <w:t> </w:t>
      </w:r>
      <w:r>
        <w:rPr>
          <w:sz w:val="18"/>
        </w:rPr>
        <w:t>entities</w:t>
      </w:r>
      <w:r>
        <w:rPr>
          <w:spacing w:val="-3"/>
          <w:sz w:val="18"/>
        </w:rPr>
        <w:t> </w:t>
      </w:r>
      <w:r>
        <w:rPr>
          <w:sz w:val="18"/>
        </w:rPr>
        <w:t>(in</w:t>
      </w:r>
      <w:r>
        <w:rPr>
          <w:spacing w:val="-6"/>
          <w:sz w:val="18"/>
        </w:rPr>
        <w:t> </w:t>
      </w:r>
      <w:r>
        <w:rPr>
          <w:sz w:val="18"/>
        </w:rPr>
        <w:t>the</w:t>
      </w:r>
      <w:r>
        <w:rPr>
          <w:spacing w:val="-6"/>
          <w:sz w:val="18"/>
        </w:rPr>
        <w:t> </w:t>
      </w:r>
      <w:r>
        <w:rPr>
          <w:sz w:val="18"/>
        </w:rPr>
        <w:t>plural),</w:t>
      </w:r>
      <w:r>
        <w:rPr>
          <w:spacing w:val="-6"/>
          <w:sz w:val="18"/>
        </w:rPr>
        <w:t> </w:t>
      </w:r>
      <w:r>
        <w:rPr>
          <w:sz w:val="18"/>
        </w:rPr>
        <w:t>though</w:t>
      </w:r>
      <w:r>
        <w:rPr>
          <w:spacing w:val="-6"/>
          <w:sz w:val="18"/>
        </w:rPr>
        <w:t> </w:t>
      </w:r>
      <w:r>
        <w:rPr>
          <w:sz w:val="18"/>
        </w:rPr>
        <w:t>in</w:t>
      </w:r>
      <w:r>
        <w:rPr>
          <w:spacing w:val="-6"/>
          <w:sz w:val="18"/>
        </w:rPr>
        <w:t> </w:t>
      </w:r>
      <w:r>
        <w:rPr>
          <w:sz w:val="18"/>
        </w:rPr>
        <w:t>some</w:t>
      </w:r>
      <w:r>
        <w:rPr>
          <w:spacing w:val="-4"/>
          <w:sz w:val="18"/>
        </w:rPr>
        <w:t> </w:t>
      </w:r>
      <w:r>
        <w:rPr>
          <w:sz w:val="18"/>
        </w:rPr>
        <w:t>instances there may be only one paying entity for a group or</w:t>
      </w:r>
      <w:r>
        <w:rPr>
          <w:spacing w:val="-18"/>
          <w:sz w:val="18"/>
        </w:rPr>
        <w:t> </w:t>
      </w:r>
      <w:r>
        <w:rPr>
          <w:sz w:val="18"/>
        </w:rPr>
        <w:t>segment.</w:t>
      </w:r>
    </w:p>
    <w:p>
      <w:pPr>
        <w:spacing w:after="0" w:line="278" w:lineRule="auto"/>
        <w:jc w:val="both"/>
        <w:rPr>
          <w:sz w:val="18"/>
        </w:rPr>
        <w:sectPr>
          <w:pgSz w:w="11910" w:h="16840"/>
          <w:pgMar w:header="1244" w:footer="1638" w:top="1500" w:bottom="1820" w:left="580" w:right="820"/>
        </w:sectPr>
      </w:pPr>
    </w:p>
    <w:p>
      <w:pPr>
        <w:pStyle w:val="BodyText"/>
        <w:spacing w:before="3"/>
        <w:rPr>
          <w:sz w:val="21"/>
        </w:rPr>
      </w:pPr>
    </w:p>
    <w:p>
      <w:pPr>
        <w:spacing w:before="93"/>
        <w:ind w:left="1402" w:right="0" w:firstLine="0"/>
        <w:jc w:val="left"/>
        <w:rPr>
          <w:b/>
          <w:sz w:val="20"/>
        </w:rPr>
      </w:pPr>
      <w:bookmarkStart w:name="Step 1: Activities test" w:id="323"/>
      <w:bookmarkEnd w:id="323"/>
      <w:r>
        <w:rPr/>
      </w:r>
      <w:r>
        <w:rPr>
          <w:b/>
          <w:color w:val="616161"/>
          <w:sz w:val="20"/>
        </w:rPr>
        <w:t>Step 1: Activities test</w:t>
      </w:r>
    </w:p>
    <w:p>
      <w:pPr>
        <w:pStyle w:val="BodyText"/>
        <w:rPr>
          <w:b/>
          <w:sz w:val="19"/>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An activities test would require that taxpayers undertake a qualitative assessment to identify the entities</w:t>
      </w:r>
      <w:r>
        <w:rPr>
          <w:spacing w:val="-2"/>
          <w:sz w:val="20"/>
        </w:rPr>
        <w:t> </w:t>
      </w:r>
      <w:r>
        <w:rPr>
          <w:sz w:val="20"/>
        </w:rPr>
        <w:t>within</w:t>
      </w:r>
      <w:r>
        <w:rPr>
          <w:spacing w:val="-4"/>
          <w:sz w:val="20"/>
        </w:rPr>
        <w:t> </w:t>
      </w:r>
      <w:r>
        <w:rPr>
          <w:sz w:val="20"/>
        </w:rPr>
        <w:t>the</w:t>
      </w:r>
      <w:r>
        <w:rPr>
          <w:spacing w:val="-4"/>
          <w:sz w:val="20"/>
        </w:rPr>
        <w:t> </w:t>
      </w:r>
      <w:r>
        <w:rPr>
          <w:sz w:val="20"/>
        </w:rPr>
        <w:t>MNE</w:t>
      </w:r>
      <w:r>
        <w:rPr>
          <w:spacing w:val="-6"/>
          <w:sz w:val="20"/>
        </w:rPr>
        <w:t> </w:t>
      </w:r>
      <w:r>
        <w:rPr>
          <w:sz w:val="20"/>
        </w:rPr>
        <w:t>group</w:t>
      </w:r>
      <w:r>
        <w:rPr>
          <w:spacing w:val="-5"/>
          <w:sz w:val="20"/>
        </w:rPr>
        <w:t> </w:t>
      </w:r>
      <w:r>
        <w:rPr>
          <w:sz w:val="20"/>
        </w:rPr>
        <w:t>that</w:t>
      </w:r>
      <w:r>
        <w:rPr>
          <w:spacing w:val="-5"/>
          <w:sz w:val="20"/>
        </w:rPr>
        <w:t> </w:t>
      </w:r>
      <w:r>
        <w:rPr>
          <w:sz w:val="20"/>
        </w:rPr>
        <w:t>make</w:t>
      </w:r>
      <w:r>
        <w:rPr>
          <w:spacing w:val="-7"/>
          <w:sz w:val="20"/>
        </w:rPr>
        <w:t> </w:t>
      </w:r>
      <w:r>
        <w:rPr>
          <w:sz w:val="20"/>
        </w:rPr>
        <w:t>material</w:t>
      </w:r>
      <w:r>
        <w:rPr>
          <w:spacing w:val="-5"/>
          <w:sz w:val="20"/>
        </w:rPr>
        <w:t> </w:t>
      </w:r>
      <w:r>
        <w:rPr>
          <w:sz w:val="20"/>
        </w:rPr>
        <w:t>and</w:t>
      </w:r>
      <w:r>
        <w:rPr>
          <w:spacing w:val="-3"/>
          <w:sz w:val="20"/>
        </w:rPr>
        <w:t> </w:t>
      </w:r>
      <w:r>
        <w:rPr>
          <w:sz w:val="20"/>
        </w:rPr>
        <w:t>sustained</w:t>
      </w:r>
      <w:r>
        <w:rPr>
          <w:spacing w:val="-4"/>
          <w:sz w:val="20"/>
        </w:rPr>
        <w:t> </w:t>
      </w:r>
      <w:r>
        <w:rPr>
          <w:sz w:val="20"/>
        </w:rPr>
        <w:t>contributions</w:t>
      </w:r>
      <w:r>
        <w:rPr>
          <w:spacing w:val="-3"/>
          <w:sz w:val="20"/>
        </w:rPr>
        <w:t> </w:t>
      </w:r>
      <w:r>
        <w:rPr>
          <w:sz w:val="20"/>
        </w:rPr>
        <w:t>to</w:t>
      </w:r>
      <w:r>
        <w:rPr>
          <w:spacing w:val="-4"/>
          <w:sz w:val="20"/>
        </w:rPr>
        <w:t> </w:t>
      </w:r>
      <w:r>
        <w:rPr>
          <w:sz w:val="20"/>
        </w:rPr>
        <w:t>a</w:t>
      </w:r>
      <w:r>
        <w:rPr>
          <w:spacing w:val="-3"/>
          <w:sz w:val="20"/>
        </w:rPr>
        <w:t> </w:t>
      </w:r>
      <w:r>
        <w:rPr>
          <w:sz w:val="20"/>
        </w:rPr>
        <w:t>group’s</w:t>
      </w:r>
      <w:r>
        <w:rPr>
          <w:spacing w:val="-3"/>
          <w:sz w:val="20"/>
        </w:rPr>
        <w:t> </w:t>
      </w:r>
      <w:r>
        <w:rPr>
          <w:sz w:val="20"/>
        </w:rPr>
        <w:t>residual</w:t>
      </w:r>
      <w:r>
        <w:rPr>
          <w:spacing w:val="-5"/>
          <w:sz w:val="20"/>
        </w:rPr>
        <w:t> </w:t>
      </w:r>
      <w:r>
        <w:rPr>
          <w:sz w:val="20"/>
        </w:rPr>
        <w:t>profits. This reflects the fact that conceptually, it is these entities within the MNE group collectively that should earn the residual profits corresponding to Amount A</w:t>
      </w:r>
      <w:r>
        <w:rPr>
          <w:spacing w:val="-6"/>
          <w:sz w:val="20"/>
        </w:rPr>
        <w:t> </w:t>
      </w:r>
      <w:r>
        <w:rPr>
          <w:sz w:val="20"/>
        </w:rPr>
        <w:t>profit.</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Practically, the activities test would include a general principle describing the type of relevant activities that a paying entity would be expected to perform, and this would be supplemented by a list of indicia</w:t>
      </w:r>
      <w:r>
        <w:rPr>
          <w:spacing w:val="-6"/>
          <w:sz w:val="20"/>
        </w:rPr>
        <w:t> </w:t>
      </w:r>
      <w:r>
        <w:rPr>
          <w:sz w:val="20"/>
        </w:rPr>
        <w:t>that</w:t>
      </w:r>
      <w:r>
        <w:rPr>
          <w:spacing w:val="-5"/>
          <w:sz w:val="20"/>
        </w:rPr>
        <w:t> </w:t>
      </w:r>
      <w:r>
        <w:rPr>
          <w:sz w:val="20"/>
        </w:rPr>
        <w:t>would</w:t>
      </w:r>
      <w:r>
        <w:rPr>
          <w:spacing w:val="-7"/>
          <w:sz w:val="20"/>
        </w:rPr>
        <w:t> </w:t>
      </w:r>
      <w:r>
        <w:rPr>
          <w:sz w:val="20"/>
        </w:rPr>
        <w:t>support</w:t>
      </w:r>
      <w:r>
        <w:rPr>
          <w:spacing w:val="-7"/>
          <w:sz w:val="20"/>
        </w:rPr>
        <w:t> </w:t>
      </w:r>
      <w:r>
        <w:rPr>
          <w:sz w:val="20"/>
        </w:rPr>
        <w:t>the</w:t>
      </w:r>
      <w:r>
        <w:rPr>
          <w:spacing w:val="-7"/>
          <w:sz w:val="20"/>
        </w:rPr>
        <w:t> </w:t>
      </w:r>
      <w:r>
        <w:rPr>
          <w:sz w:val="20"/>
        </w:rPr>
        <w:t>application</w:t>
      </w:r>
      <w:r>
        <w:rPr>
          <w:spacing w:val="-6"/>
          <w:sz w:val="20"/>
        </w:rPr>
        <w:t> </w:t>
      </w:r>
      <w:r>
        <w:rPr>
          <w:sz w:val="20"/>
        </w:rPr>
        <w:t>of</w:t>
      </w:r>
      <w:r>
        <w:rPr>
          <w:spacing w:val="-6"/>
          <w:sz w:val="20"/>
        </w:rPr>
        <w:t> </w:t>
      </w:r>
      <w:r>
        <w:rPr>
          <w:sz w:val="20"/>
        </w:rPr>
        <w:t>this</w:t>
      </w:r>
      <w:r>
        <w:rPr>
          <w:spacing w:val="-5"/>
          <w:sz w:val="20"/>
        </w:rPr>
        <w:t> </w:t>
      </w:r>
      <w:r>
        <w:rPr>
          <w:sz w:val="20"/>
        </w:rPr>
        <w:t>principle.</w:t>
      </w:r>
      <w:r>
        <w:rPr>
          <w:spacing w:val="-6"/>
          <w:sz w:val="20"/>
        </w:rPr>
        <w:t> </w:t>
      </w:r>
      <w:r>
        <w:rPr>
          <w:sz w:val="20"/>
        </w:rPr>
        <w:t>These</w:t>
      </w:r>
      <w:r>
        <w:rPr>
          <w:spacing w:val="-7"/>
          <w:sz w:val="20"/>
        </w:rPr>
        <w:t> </w:t>
      </w:r>
      <w:r>
        <w:rPr>
          <w:sz w:val="20"/>
        </w:rPr>
        <w:t>indicia</w:t>
      </w:r>
      <w:r>
        <w:rPr>
          <w:spacing w:val="-5"/>
          <w:sz w:val="20"/>
        </w:rPr>
        <w:t> </w:t>
      </w:r>
      <w:r>
        <w:rPr>
          <w:sz w:val="20"/>
        </w:rPr>
        <w:t>would</w:t>
      </w:r>
      <w:r>
        <w:rPr>
          <w:spacing w:val="-5"/>
          <w:sz w:val="20"/>
        </w:rPr>
        <w:t> </w:t>
      </w:r>
      <w:r>
        <w:rPr>
          <w:sz w:val="20"/>
        </w:rPr>
        <w:t>include</w:t>
      </w:r>
      <w:r>
        <w:rPr>
          <w:spacing w:val="-7"/>
          <w:sz w:val="20"/>
        </w:rPr>
        <w:t> </w:t>
      </w:r>
      <w:r>
        <w:rPr>
          <w:sz w:val="20"/>
        </w:rPr>
        <w:t>the</w:t>
      </w:r>
      <w:r>
        <w:rPr>
          <w:spacing w:val="-8"/>
          <w:sz w:val="20"/>
        </w:rPr>
        <w:t> </w:t>
      </w:r>
      <w:r>
        <w:rPr>
          <w:sz w:val="20"/>
        </w:rPr>
        <w:t>functions,</w:t>
      </w:r>
      <w:r>
        <w:rPr>
          <w:spacing w:val="-6"/>
          <w:sz w:val="20"/>
        </w:rPr>
        <w:t> </w:t>
      </w:r>
      <w:r>
        <w:rPr>
          <w:sz w:val="20"/>
        </w:rPr>
        <w:t>asset and</w:t>
      </w:r>
      <w:r>
        <w:rPr>
          <w:spacing w:val="-13"/>
          <w:sz w:val="20"/>
        </w:rPr>
        <w:t> </w:t>
      </w:r>
      <w:r>
        <w:rPr>
          <w:sz w:val="20"/>
        </w:rPr>
        <w:t>risk</w:t>
      </w:r>
      <w:r>
        <w:rPr>
          <w:spacing w:val="-9"/>
          <w:sz w:val="20"/>
        </w:rPr>
        <w:t> </w:t>
      </w:r>
      <w:r>
        <w:rPr>
          <w:sz w:val="20"/>
        </w:rPr>
        <w:t>(FAR)</w:t>
      </w:r>
      <w:r>
        <w:rPr>
          <w:spacing w:val="-10"/>
          <w:sz w:val="20"/>
        </w:rPr>
        <w:t> </w:t>
      </w:r>
      <w:r>
        <w:rPr>
          <w:sz w:val="20"/>
        </w:rPr>
        <w:t>profile</w:t>
      </w:r>
      <w:r>
        <w:rPr>
          <w:spacing w:val="-10"/>
          <w:sz w:val="20"/>
        </w:rPr>
        <w:t> </w:t>
      </w:r>
      <w:r>
        <w:rPr>
          <w:sz w:val="20"/>
        </w:rPr>
        <w:t>of</w:t>
      </w:r>
      <w:r>
        <w:rPr>
          <w:spacing w:val="-9"/>
          <w:sz w:val="20"/>
        </w:rPr>
        <w:t> </w:t>
      </w:r>
      <w:r>
        <w:rPr>
          <w:sz w:val="20"/>
        </w:rPr>
        <w:t>an</w:t>
      </w:r>
      <w:r>
        <w:rPr>
          <w:spacing w:val="-10"/>
          <w:sz w:val="20"/>
        </w:rPr>
        <w:t> </w:t>
      </w:r>
      <w:r>
        <w:rPr>
          <w:sz w:val="20"/>
        </w:rPr>
        <w:t>entity,</w:t>
      </w:r>
      <w:r>
        <w:rPr>
          <w:spacing w:val="-9"/>
          <w:sz w:val="20"/>
        </w:rPr>
        <w:t> </w:t>
      </w:r>
      <w:r>
        <w:rPr>
          <w:sz w:val="20"/>
        </w:rPr>
        <w:t>an</w:t>
      </w:r>
      <w:r>
        <w:rPr>
          <w:spacing w:val="-11"/>
          <w:sz w:val="20"/>
        </w:rPr>
        <w:t> </w:t>
      </w:r>
      <w:r>
        <w:rPr>
          <w:sz w:val="20"/>
        </w:rPr>
        <w:t>entity’s</w:t>
      </w:r>
      <w:r>
        <w:rPr>
          <w:spacing w:val="-9"/>
          <w:sz w:val="20"/>
        </w:rPr>
        <w:t> </w:t>
      </w:r>
      <w:r>
        <w:rPr>
          <w:sz w:val="20"/>
        </w:rPr>
        <w:t>characterisation</w:t>
      </w:r>
      <w:r>
        <w:rPr>
          <w:spacing w:val="-10"/>
          <w:sz w:val="20"/>
        </w:rPr>
        <w:t> </w:t>
      </w:r>
      <w:r>
        <w:rPr>
          <w:sz w:val="20"/>
        </w:rPr>
        <w:t>for</w:t>
      </w:r>
      <w:r>
        <w:rPr>
          <w:spacing w:val="-12"/>
          <w:sz w:val="20"/>
        </w:rPr>
        <w:t> </w:t>
      </w:r>
      <w:r>
        <w:rPr>
          <w:sz w:val="20"/>
        </w:rPr>
        <w:t>transfer</w:t>
      </w:r>
      <w:r>
        <w:rPr>
          <w:spacing w:val="-11"/>
          <w:sz w:val="20"/>
        </w:rPr>
        <w:t> </w:t>
      </w:r>
      <w:r>
        <w:rPr>
          <w:sz w:val="20"/>
        </w:rPr>
        <w:t>pricing</w:t>
      </w:r>
      <w:r>
        <w:rPr>
          <w:spacing w:val="-10"/>
          <w:sz w:val="20"/>
        </w:rPr>
        <w:t> </w:t>
      </w:r>
      <w:r>
        <w:rPr>
          <w:sz w:val="20"/>
        </w:rPr>
        <w:t>purposes</w:t>
      </w:r>
      <w:r>
        <w:rPr>
          <w:spacing w:val="-10"/>
          <w:sz w:val="20"/>
        </w:rPr>
        <w:t> </w:t>
      </w:r>
      <w:r>
        <w:rPr>
          <w:sz w:val="20"/>
        </w:rPr>
        <w:t>and</w:t>
      </w:r>
      <w:r>
        <w:rPr>
          <w:spacing w:val="-13"/>
          <w:sz w:val="20"/>
        </w:rPr>
        <w:t> </w:t>
      </w:r>
      <w:r>
        <w:rPr>
          <w:spacing w:val="3"/>
          <w:sz w:val="20"/>
        </w:rPr>
        <w:t>the</w:t>
      </w:r>
      <w:r>
        <w:rPr>
          <w:spacing w:val="-12"/>
          <w:sz w:val="20"/>
        </w:rPr>
        <w:t> </w:t>
      </w:r>
      <w:r>
        <w:rPr>
          <w:sz w:val="20"/>
        </w:rPr>
        <w:t>transfer pricing method used to determine the remuneration of an entity. Where possible, the documentation that taxpayers are already required to collect and report and that tax administrations already review will be used for this purpose.</w:t>
      </w:r>
      <w:r>
        <w:rPr>
          <w:position w:val="6"/>
          <w:sz w:val="13"/>
        </w:rPr>
        <w:t>111 </w:t>
      </w:r>
      <w:r>
        <w:rPr>
          <w:sz w:val="20"/>
        </w:rPr>
        <w:t>These existing documents and any additional documents that may be required would be included in the single standardised documentation package that would be submitted as part of the Amount A tax certainty process. This should limit any additional compliance costs and administrative burden arising from this</w:t>
      </w:r>
      <w:r>
        <w:rPr>
          <w:spacing w:val="-1"/>
          <w:sz w:val="20"/>
        </w:rPr>
        <w:t> </w:t>
      </w:r>
      <w:r>
        <w:rPr>
          <w:sz w:val="20"/>
        </w:rPr>
        <w:t>test.</w:t>
      </w:r>
    </w:p>
    <w:p>
      <w:pPr>
        <w:pStyle w:val="ListParagraph"/>
        <w:numPr>
          <w:ilvl w:val="0"/>
          <w:numId w:val="13"/>
        </w:numPr>
        <w:tabs>
          <w:tab w:pos="1444" w:val="left" w:leader="none"/>
        </w:tabs>
        <w:spacing w:line="271" w:lineRule="auto" w:before="121" w:after="0"/>
        <w:ind w:left="723" w:right="490" w:firstLine="0"/>
        <w:jc w:val="both"/>
        <w:rPr>
          <w:sz w:val="20"/>
        </w:rPr>
      </w:pPr>
      <w:r>
        <w:rPr>
          <w:sz w:val="20"/>
        </w:rPr>
        <w:t>As part of the activities test, where an MNE group computes the Amount A tax base on a segmented</w:t>
      </w:r>
      <w:r>
        <w:rPr>
          <w:spacing w:val="-17"/>
          <w:sz w:val="20"/>
        </w:rPr>
        <w:t> </w:t>
      </w:r>
      <w:r>
        <w:rPr>
          <w:sz w:val="20"/>
        </w:rPr>
        <w:t>basis,</w:t>
      </w:r>
      <w:r>
        <w:rPr>
          <w:spacing w:val="-13"/>
          <w:sz w:val="20"/>
        </w:rPr>
        <w:t> </w:t>
      </w:r>
      <w:r>
        <w:rPr>
          <w:sz w:val="20"/>
        </w:rPr>
        <w:t>it</w:t>
      </w:r>
      <w:r>
        <w:rPr>
          <w:spacing w:val="-11"/>
          <w:sz w:val="20"/>
        </w:rPr>
        <w:t> </w:t>
      </w:r>
      <w:r>
        <w:rPr>
          <w:sz w:val="20"/>
        </w:rPr>
        <w:t>would</w:t>
      </w:r>
      <w:r>
        <w:rPr>
          <w:spacing w:val="-14"/>
          <w:sz w:val="20"/>
        </w:rPr>
        <w:t> </w:t>
      </w:r>
      <w:r>
        <w:rPr>
          <w:sz w:val="20"/>
        </w:rPr>
        <w:t>be</w:t>
      </w:r>
      <w:r>
        <w:rPr>
          <w:spacing w:val="-15"/>
          <w:sz w:val="20"/>
        </w:rPr>
        <w:t> </w:t>
      </w:r>
      <w:r>
        <w:rPr>
          <w:sz w:val="20"/>
        </w:rPr>
        <w:t>necessary</w:t>
      </w:r>
      <w:r>
        <w:rPr>
          <w:spacing w:val="-17"/>
          <w:sz w:val="20"/>
        </w:rPr>
        <w:t> </w:t>
      </w:r>
      <w:r>
        <w:rPr>
          <w:sz w:val="20"/>
        </w:rPr>
        <w:t>to</w:t>
      </w:r>
      <w:r>
        <w:rPr>
          <w:spacing w:val="-13"/>
          <w:sz w:val="20"/>
        </w:rPr>
        <w:t> </w:t>
      </w:r>
      <w:r>
        <w:rPr>
          <w:sz w:val="20"/>
        </w:rPr>
        <w:t>identify</w:t>
      </w:r>
      <w:r>
        <w:rPr>
          <w:spacing w:val="-18"/>
          <w:sz w:val="20"/>
        </w:rPr>
        <w:t> </w:t>
      </w:r>
      <w:r>
        <w:rPr>
          <w:sz w:val="20"/>
        </w:rPr>
        <w:t>the</w:t>
      </w:r>
      <w:r>
        <w:rPr>
          <w:spacing w:val="-14"/>
          <w:sz w:val="20"/>
        </w:rPr>
        <w:t> </w:t>
      </w:r>
      <w:r>
        <w:rPr>
          <w:sz w:val="20"/>
        </w:rPr>
        <w:t>potential</w:t>
      </w:r>
      <w:r>
        <w:rPr>
          <w:spacing w:val="-13"/>
          <w:sz w:val="20"/>
        </w:rPr>
        <w:t> </w:t>
      </w:r>
      <w:r>
        <w:rPr>
          <w:sz w:val="20"/>
        </w:rPr>
        <w:t>paying</w:t>
      </w:r>
      <w:r>
        <w:rPr>
          <w:spacing w:val="-14"/>
          <w:sz w:val="20"/>
        </w:rPr>
        <w:t> </w:t>
      </w:r>
      <w:r>
        <w:rPr>
          <w:sz w:val="20"/>
        </w:rPr>
        <w:t>entities</w:t>
      </w:r>
      <w:r>
        <w:rPr>
          <w:spacing w:val="-14"/>
          <w:sz w:val="20"/>
        </w:rPr>
        <w:t> </w:t>
      </w:r>
      <w:r>
        <w:rPr>
          <w:sz w:val="20"/>
        </w:rPr>
        <w:t>that</w:t>
      </w:r>
      <w:r>
        <w:rPr>
          <w:spacing w:val="-14"/>
          <w:sz w:val="20"/>
        </w:rPr>
        <w:t> </w:t>
      </w:r>
      <w:r>
        <w:rPr>
          <w:sz w:val="20"/>
        </w:rPr>
        <w:t>relate</w:t>
      </w:r>
      <w:r>
        <w:rPr>
          <w:spacing w:val="-15"/>
          <w:sz w:val="20"/>
        </w:rPr>
        <w:t> </w:t>
      </w:r>
      <w:r>
        <w:rPr>
          <w:sz w:val="20"/>
        </w:rPr>
        <w:t>to</w:t>
      </w:r>
      <w:r>
        <w:rPr>
          <w:spacing w:val="-14"/>
          <w:sz w:val="20"/>
        </w:rPr>
        <w:t> </w:t>
      </w:r>
      <w:r>
        <w:rPr>
          <w:sz w:val="20"/>
        </w:rPr>
        <w:t>each</w:t>
      </w:r>
      <w:r>
        <w:rPr>
          <w:spacing w:val="-14"/>
          <w:sz w:val="20"/>
        </w:rPr>
        <w:t> </w:t>
      </w:r>
      <w:r>
        <w:rPr>
          <w:sz w:val="20"/>
        </w:rPr>
        <w:t>segment.</w:t>
      </w:r>
    </w:p>
    <w:p>
      <w:pPr>
        <w:pStyle w:val="BodyText"/>
        <w:spacing w:before="3"/>
      </w:pPr>
    </w:p>
    <w:p>
      <w:pPr>
        <w:pStyle w:val="Heading8"/>
      </w:pPr>
      <w:bookmarkStart w:name="Step 2: Profitability test" w:id="324"/>
      <w:bookmarkEnd w:id="324"/>
      <w:r>
        <w:rPr>
          <w:b w:val="0"/>
        </w:rPr>
      </w:r>
      <w:r>
        <w:rPr/>
        <w:t>Step 2: Profitability test</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 profitability test would ensure that the potential paying entities have the capacity to bear the Amount</w:t>
      </w:r>
      <w:r>
        <w:rPr>
          <w:spacing w:val="-9"/>
          <w:sz w:val="20"/>
        </w:rPr>
        <w:t> </w:t>
      </w:r>
      <w:r>
        <w:rPr>
          <w:sz w:val="20"/>
        </w:rPr>
        <w:t>A</w:t>
      </w:r>
      <w:r>
        <w:rPr>
          <w:spacing w:val="-9"/>
          <w:sz w:val="20"/>
        </w:rPr>
        <w:t> </w:t>
      </w:r>
      <w:r>
        <w:rPr>
          <w:sz w:val="20"/>
        </w:rPr>
        <w:t>tax</w:t>
      </w:r>
      <w:r>
        <w:rPr>
          <w:spacing w:val="-6"/>
          <w:sz w:val="20"/>
        </w:rPr>
        <w:t> </w:t>
      </w:r>
      <w:r>
        <w:rPr>
          <w:sz w:val="20"/>
        </w:rPr>
        <w:t>liability.</w:t>
      </w:r>
      <w:r>
        <w:rPr>
          <w:spacing w:val="-7"/>
          <w:sz w:val="20"/>
        </w:rPr>
        <w:t> </w:t>
      </w:r>
      <w:r>
        <w:rPr>
          <w:sz w:val="20"/>
        </w:rPr>
        <w:t>The</w:t>
      </w:r>
      <w:r>
        <w:rPr>
          <w:spacing w:val="-9"/>
          <w:sz w:val="20"/>
        </w:rPr>
        <w:t> </w:t>
      </w:r>
      <w:r>
        <w:rPr>
          <w:sz w:val="20"/>
        </w:rPr>
        <w:t>profitability</w:t>
      </w:r>
      <w:r>
        <w:rPr>
          <w:spacing w:val="-12"/>
          <w:sz w:val="20"/>
        </w:rPr>
        <w:t> </w:t>
      </w:r>
      <w:r>
        <w:rPr>
          <w:sz w:val="20"/>
        </w:rPr>
        <w:t>test</w:t>
      </w:r>
      <w:r>
        <w:rPr>
          <w:spacing w:val="-6"/>
          <w:sz w:val="20"/>
        </w:rPr>
        <w:t> </w:t>
      </w:r>
      <w:r>
        <w:rPr>
          <w:sz w:val="20"/>
        </w:rPr>
        <w:t>would</w:t>
      </w:r>
      <w:r>
        <w:rPr>
          <w:spacing w:val="-7"/>
          <w:sz w:val="20"/>
        </w:rPr>
        <w:t> </w:t>
      </w:r>
      <w:r>
        <w:rPr>
          <w:sz w:val="20"/>
        </w:rPr>
        <w:t>ensure</w:t>
      </w:r>
      <w:r>
        <w:rPr>
          <w:spacing w:val="-6"/>
          <w:sz w:val="20"/>
        </w:rPr>
        <w:t> </w:t>
      </w:r>
      <w:r>
        <w:rPr>
          <w:sz w:val="20"/>
        </w:rPr>
        <w:t>that</w:t>
      </w:r>
      <w:r>
        <w:rPr>
          <w:spacing w:val="-6"/>
          <w:sz w:val="20"/>
        </w:rPr>
        <w:t> </w:t>
      </w:r>
      <w:r>
        <w:rPr>
          <w:sz w:val="20"/>
        </w:rPr>
        <w:t>an</w:t>
      </w:r>
      <w:r>
        <w:rPr>
          <w:spacing w:val="-9"/>
          <w:sz w:val="20"/>
        </w:rPr>
        <w:t> </w:t>
      </w:r>
      <w:r>
        <w:rPr>
          <w:sz w:val="20"/>
        </w:rPr>
        <w:t>entity</w:t>
      </w:r>
      <w:r>
        <w:rPr>
          <w:spacing w:val="-12"/>
          <w:sz w:val="20"/>
        </w:rPr>
        <w:t> </w:t>
      </w:r>
      <w:r>
        <w:rPr>
          <w:sz w:val="20"/>
        </w:rPr>
        <w:t>making</w:t>
      </w:r>
      <w:r>
        <w:rPr>
          <w:spacing w:val="-9"/>
          <w:sz w:val="20"/>
        </w:rPr>
        <w:t> </w:t>
      </w:r>
      <w:r>
        <w:rPr>
          <w:sz w:val="20"/>
        </w:rPr>
        <w:t>routine,</w:t>
      </w:r>
      <w:r>
        <w:rPr>
          <w:spacing w:val="-9"/>
          <w:sz w:val="20"/>
        </w:rPr>
        <w:t> </w:t>
      </w:r>
      <w:r>
        <w:rPr>
          <w:sz w:val="20"/>
        </w:rPr>
        <w:t>low</w:t>
      </w:r>
      <w:r>
        <w:rPr>
          <w:spacing w:val="-8"/>
          <w:sz w:val="20"/>
        </w:rPr>
        <w:t> </w:t>
      </w:r>
      <w:r>
        <w:rPr>
          <w:sz w:val="20"/>
        </w:rPr>
        <w:t>profits</w:t>
      </w:r>
      <w:r>
        <w:rPr>
          <w:spacing w:val="-8"/>
          <w:sz w:val="20"/>
        </w:rPr>
        <w:t> </w:t>
      </w:r>
      <w:r>
        <w:rPr>
          <w:sz w:val="20"/>
        </w:rPr>
        <w:t>or</w:t>
      </w:r>
      <w:r>
        <w:rPr>
          <w:spacing w:val="-8"/>
          <w:sz w:val="20"/>
        </w:rPr>
        <w:t> </w:t>
      </w:r>
      <w:r>
        <w:rPr>
          <w:sz w:val="20"/>
        </w:rPr>
        <w:t>losses is not identified as a paying entity, and is consistent with the decision of the Inclusive Framework to limit the application of Amount A to in-scope MNE groups that earn residual profits, rather than all in-scope MNE groups irrespective of their profitability. For simplicity, this profitability test could be aligned with the substance carve-out that is being developed for Pillar Two, where there will be a combined payroll and tangible assets profitability</w:t>
      </w:r>
      <w:r>
        <w:rPr>
          <w:spacing w:val="-2"/>
          <w:sz w:val="20"/>
        </w:rPr>
        <w:t> </w:t>
      </w:r>
      <w:r>
        <w:rPr>
          <w:sz w:val="20"/>
        </w:rPr>
        <w:t>test.</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In</w:t>
      </w:r>
      <w:r>
        <w:rPr>
          <w:spacing w:val="-4"/>
          <w:sz w:val="20"/>
        </w:rPr>
        <w:t> </w:t>
      </w:r>
      <w:r>
        <w:rPr>
          <w:sz w:val="20"/>
        </w:rPr>
        <w:t>combination,</w:t>
      </w:r>
      <w:r>
        <w:rPr>
          <w:spacing w:val="-5"/>
          <w:sz w:val="20"/>
        </w:rPr>
        <w:t> </w:t>
      </w:r>
      <w:r>
        <w:rPr>
          <w:sz w:val="20"/>
        </w:rPr>
        <w:t>the</w:t>
      </w:r>
      <w:r>
        <w:rPr>
          <w:spacing w:val="-4"/>
          <w:sz w:val="20"/>
        </w:rPr>
        <w:t> </w:t>
      </w:r>
      <w:r>
        <w:rPr>
          <w:sz w:val="20"/>
        </w:rPr>
        <w:t>objective</w:t>
      </w:r>
      <w:r>
        <w:rPr>
          <w:spacing w:val="-3"/>
          <w:sz w:val="20"/>
        </w:rPr>
        <w:t> </w:t>
      </w:r>
      <w:r>
        <w:rPr>
          <w:sz w:val="20"/>
        </w:rPr>
        <w:t>of</w:t>
      </w:r>
      <w:r>
        <w:rPr>
          <w:spacing w:val="-2"/>
          <w:sz w:val="20"/>
        </w:rPr>
        <w:t> </w:t>
      </w:r>
      <w:r>
        <w:rPr>
          <w:sz w:val="20"/>
        </w:rPr>
        <w:t>the</w:t>
      </w:r>
      <w:r>
        <w:rPr>
          <w:spacing w:val="-4"/>
          <w:sz w:val="20"/>
        </w:rPr>
        <w:t> </w:t>
      </w:r>
      <w:r>
        <w:rPr>
          <w:sz w:val="20"/>
        </w:rPr>
        <w:t>activities</w:t>
      </w:r>
      <w:r>
        <w:rPr>
          <w:spacing w:val="-3"/>
          <w:sz w:val="20"/>
        </w:rPr>
        <w:t> </w:t>
      </w:r>
      <w:r>
        <w:rPr>
          <w:sz w:val="20"/>
        </w:rPr>
        <w:t>test</w:t>
      </w:r>
      <w:r>
        <w:rPr>
          <w:spacing w:val="-4"/>
          <w:sz w:val="20"/>
        </w:rPr>
        <w:t> </w:t>
      </w:r>
      <w:r>
        <w:rPr>
          <w:sz w:val="20"/>
        </w:rPr>
        <w:t>and</w:t>
      </w:r>
      <w:r>
        <w:rPr>
          <w:spacing w:val="-4"/>
          <w:sz w:val="20"/>
        </w:rPr>
        <w:t> </w:t>
      </w:r>
      <w:r>
        <w:rPr>
          <w:sz w:val="20"/>
        </w:rPr>
        <w:t>profitability</w:t>
      </w:r>
      <w:r>
        <w:rPr>
          <w:spacing w:val="-7"/>
          <w:sz w:val="20"/>
        </w:rPr>
        <w:t> </w:t>
      </w:r>
      <w:r>
        <w:rPr>
          <w:sz w:val="20"/>
        </w:rPr>
        <w:t>test</w:t>
      </w:r>
      <w:r>
        <w:rPr>
          <w:spacing w:val="-4"/>
          <w:sz w:val="20"/>
        </w:rPr>
        <w:t> </w:t>
      </w:r>
      <w:r>
        <w:rPr>
          <w:sz w:val="20"/>
        </w:rPr>
        <w:t>is</w:t>
      </w:r>
      <w:r>
        <w:rPr>
          <w:spacing w:val="-2"/>
          <w:sz w:val="20"/>
        </w:rPr>
        <w:t> </w:t>
      </w:r>
      <w:r>
        <w:rPr>
          <w:sz w:val="20"/>
        </w:rPr>
        <w:t>to</w:t>
      </w:r>
      <w:r>
        <w:rPr>
          <w:spacing w:val="-2"/>
          <w:sz w:val="20"/>
        </w:rPr>
        <w:t> </w:t>
      </w:r>
      <w:r>
        <w:rPr>
          <w:sz w:val="20"/>
        </w:rPr>
        <w:t>identify</w:t>
      </w:r>
      <w:r>
        <w:rPr>
          <w:spacing w:val="-7"/>
          <w:sz w:val="20"/>
        </w:rPr>
        <w:t> </w:t>
      </w:r>
      <w:r>
        <w:rPr>
          <w:sz w:val="20"/>
        </w:rPr>
        <w:t>the</w:t>
      </w:r>
      <w:r>
        <w:rPr>
          <w:spacing w:val="-5"/>
          <w:sz w:val="20"/>
        </w:rPr>
        <w:t> </w:t>
      </w:r>
      <w:r>
        <w:rPr>
          <w:sz w:val="20"/>
        </w:rPr>
        <w:t>entities</w:t>
      </w:r>
      <w:r>
        <w:rPr>
          <w:spacing w:val="-2"/>
          <w:sz w:val="20"/>
        </w:rPr>
        <w:t> </w:t>
      </w:r>
      <w:r>
        <w:rPr>
          <w:sz w:val="20"/>
        </w:rPr>
        <w:t>that earn residual profits relevant to Amount A (as calculated at a group or segment level). The activities test, by incorporating concepts imported from transfer pricing, will identify entities within a group that derive residual profits from the performance of non-routine activities that relate to the engagement of the group in market jurisdictions. The profitability test, like the Amount A formula, will be applied to financial, rather than tax accounts. This will mean that the entities identified through these two steps will perform non- routine activities and report residual profits in their financial</w:t>
      </w:r>
      <w:r>
        <w:rPr>
          <w:spacing w:val="-8"/>
          <w:sz w:val="20"/>
        </w:rPr>
        <w:t> </w:t>
      </w:r>
      <w:r>
        <w:rPr>
          <w:sz w:val="20"/>
        </w:rPr>
        <w:t>accounts.</w:t>
      </w:r>
    </w:p>
    <w:p>
      <w:pPr>
        <w:pStyle w:val="BodyText"/>
        <w:spacing w:before="5"/>
      </w:pPr>
    </w:p>
    <w:p>
      <w:pPr>
        <w:pStyle w:val="Heading8"/>
        <w:spacing w:before="1"/>
      </w:pPr>
      <w:bookmarkStart w:name="Step 3: Market connection priority test" w:id="325"/>
      <w:bookmarkEnd w:id="325"/>
      <w:r>
        <w:rPr>
          <w:b w:val="0"/>
        </w:rPr>
      </w:r>
      <w:r>
        <w:rPr/>
        <w:t>Step 3: Market connection priority test</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The application of the activities and profitability test (or the profitability test if applied on a standalone basis) will identify a pool of potential paying entities on an MNE group or segment basis (depending on the basis on which the Amount A tax base is calculated). However, there will be instances where these potential paying entities derive profits from only a limited number of market jurisdictions allocated</w:t>
      </w:r>
      <w:r>
        <w:rPr>
          <w:spacing w:val="-7"/>
          <w:sz w:val="20"/>
        </w:rPr>
        <w:t> </w:t>
      </w:r>
      <w:r>
        <w:rPr>
          <w:sz w:val="20"/>
        </w:rPr>
        <w:t>taxing</w:t>
      </w:r>
      <w:r>
        <w:rPr>
          <w:spacing w:val="-6"/>
          <w:sz w:val="20"/>
        </w:rPr>
        <w:t> </w:t>
      </w:r>
      <w:r>
        <w:rPr>
          <w:sz w:val="20"/>
        </w:rPr>
        <w:t>rights</w:t>
      </w:r>
      <w:r>
        <w:rPr>
          <w:spacing w:val="-4"/>
          <w:sz w:val="20"/>
        </w:rPr>
        <w:t> </w:t>
      </w:r>
      <w:r>
        <w:rPr>
          <w:sz w:val="20"/>
        </w:rPr>
        <w:t>over</w:t>
      </w:r>
      <w:r>
        <w:rPr>
          <w:spacing w:val="-4"/>
          <w:sz w:val="20"/>
        </w:rPr>
        <w:t> </w:t>
      </w:r>
      <w:r>
        <w:rPr>
          <w:sz w:val="20"/>
        </w:rPr>
        <w:t>Amount</w:t>
      </w:r>
      <w:r>
        <w:rPr>
          <w:spacing w:val="-6"/>
          <w:sz w:val="20"/>
        </w:rPr>
        <w:t> </w:t>
      </w:r>
      <w:r>
        <w:rPr>
          <w:sz w:val="20"/>
        </w:rPr>
        <w:t>A.</w:t>
      </w:r>
      <w:r>
        <w:rPr>
          <w:spacing w:val="-5"/>
          <w:sz w:val="20"/>
        </w:rPr>
        <w:t> </w:t>
      </w:r>
      <w:r>
        <w:rPr>
          <w:sz w:val="20"/>
        </w:rPr>
        <w:t>This</w:t>
      </w:r>
      <w:r>
        <w:rPr>
          <w:spacing w:val="-2"/>
          <w:sz w:val="20"/>
        </w:rPr>
        <w:t> </w:t>
      </w:r>
      <w:r>
        <w:rPr>
          <w:sz w:val="20"/>
        </w:rPr>
        <w:t>is</w:t>
      </w:r>
      <w:r>
        <w:rPr>
          <w:spacing w:val="-5"/>
          <w:sz w:val="20"/>
        </w:rPr>
        <w:t> </w:t>
      </w:r>
      <w:r>
        <w:rPr>
          <w:sz w:val="20"/>
        </w:rPr>
        <w:t>because</w:t>
      </w:r>
      <w:r>
        <w:rPr>
          <w:spacing w:val="-3"/>
          <w:sz w:val="20"/>
        </w:rPr>
        <w:t> </w:t>
      </w:r>
      <w:r>
        <w:rPr>
          <w:sz w:val="20"/>
        </w:rPr>
        <w:t>an</w:t>
      </w:r>
      <w:r>
        <w:rPr>
          <w:spacing w:val="-6"/>
          <w:sz w:val="20"/>
        </w:rPr>
        <w:t> </w:t>
      </w:r>
      <w:r>
        <w:rPr>
          <w:sz w:val="20"/>
        </w:rPr>
        <w:t>entity</w:t>
      </w:r>
      <w:r>
        <w:rPr>
          <w:spacing w:val="-9"/>
          <w:sz w:val="20"/>
        </w:rPr>
        <w:t> </w:t>
      </w:r>
      <w:r>
        <w:rPr>
          <w:sz w:val="20"/>
        </w:rPr>
        <w:t>should</w:t>
      </w:r>
      <w:r>
        <w:rPr>
          <w:spacing w:val="-7"/>
          <w:sz w:val="20"/>
        </w:rPr>
        <w:t> </w:t>
      </w:r>
      <w:r>
        <w:rPr>
          <w:sz w:val="20"/>
        </w:rPr>
        <w:t>only</w:t>
      </w:r>
      <w:r>
        <w:rPr>
          <w:spacing w:val="-6"/>
          <w:sz w:val="20"/>
        </w:rPr>
        <w:t> </w:t>
      </w:r>
      <w:r>
        <w:rPr>
          <w:sz w:val="20"/>
        </w:rPr>
        <w:t>bear</w:t>
      </w:r>
      <w:r>
        <w:rPr>
          <w:spacing w:val="-3"/>
          <w:sz w:val="20"/>
        </w:rPr>
        <w:t> </w:t>
      </w:r>
      <w:r>
        <w:rPr>
          <w:sz w:val="20"/>
        </w:rPr>
        <w:t>an</w:t>
      </w:r>
      <w:r>
        <w:rPr>
          <w:spacing w:val="-6"/>
          <w:sz w:val="20"/>
        </w:rPr>
        <w:t> </w:t>
      </w:r>
      <w:r>
        <w:rPr>
          <w:sz w:val="20"/>
        </w:rPr>
        <w:t>Amount</w:t>
      </w:r>
      <w:r>
        <w:rPr>
          <w:spacing w:val="-5"/>
          <w:sz w:val="20"/>
        </w:rPr>
        <w:t> </w:t>
      </w:r>
      <w:r>
        <w:rPr>
          <w:sz w:val="20"/>
        </w:rPr>
        <w:t>A</w:t>
      </w:r>
      <w:r>
        <w:rPr>
          <w:spacing w:val="-6"/>
          <w:sz w:val="20"/>
        </w:rPr>
        <w:t> </w:t>
      </w:r>
      <w:r>
        <w:rPr>
          <w:sz w:val="20"/>
        </w:rPr>
        <w:t>tax</w:t>
      </w:r>
      <w:r>
        <w:rPr>
          <w:spacing w:val="-2"/>
          <w:sz w:val="20"/>
        </w:rPr>
        <w:t> </w:t>
      </w:r>
      <w:r>
        <w:rPr>
          <w:sz w:val="20"/>
        </w:rPr>
        <w:t>liability</w:t>
      </w:r>
    </w:p>
    <w:p>
      <w:pPr>
        <w:pStyle w:val="BodyText"/>
        <w:spacing w:before="5"/>
        <w:rPr>
          <w:sz w:val="25"/>
        </w:rPr>
      </w:pPr>
      <w:r>
        <w:rPr/>
        <w:pict>
          <v:rect style="position:absolute;margin-left:65.183998pt;margin-top:16.576376pt;width:144.020004pt;height:.60004pt;mso-position-horizontal-relative:page;mso-position-vertical-relative:paragraph;z-index:-1565491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24" w:val="left" w:leader="none"/>
        </w:tabs>
        <w:spacing w:line="278" w:lineRule="auto" w:before="94" w:after="0"/>
        <w:ind w:left="723" w:right="485" w:firstLine="0"/>
        <w:jc w:val="both"/>
        <w:rPr>
          <w:sz w:val="18"/>
        </w:rPr>
      </w:pPr>
      <w:r>
        <w:rPr>
          <w:sz w:val="18"/>
        </w:rPr>
        <w:t>This will include a group’s master file, relevant local files, CbCR and other transfer pricing documentation that groups</w:t>
      </w:r>
      <w:r>
        <w:rPr>
          <w:spacing w:val="-12"/>
          <w:sz w:val="18"/>
        </w:rPr>
        <w:t> </w:t>
      </w:r>
      <w:r>
        <w:rPr>
          <w:sz w:val="18"/>
        </w:rPr>
        <w:t>may</w:t>
      </w:r>
      <w:r>
        <w:rPr>
          <w:spacing w:val="-11"/>
          <w:sz w:val="18"/>
        </w:rPr>
        <w:t> </w:t>
      </w:r>
      <w:r>
        <w:rPr>
          <w:sz w:val="18"/>
        </w:rPr>
        <w:t>already</w:t>
      </w:r>
      <w:r>
        <w:rPr>
          <w:spacing w:val="-11"/>
          <w:sz w:val="18"/>
        </w:rPr>
        <w:t> </w:t>
      </w:r>
      <w:r>
        <w:rPr>
          <w:sz w:val="18"/>
        </w:rPr>
        <w:t>prepare.</w:t>
      </w:r>
      <w:r>
        <w:rPr>
          <w:spacing w:val="-9"/>
          <w:sz w:val="18"/>
        </w:rPr>
        <w:t> </w:t>
      </w:r>
      <w:r>
        <w:rPr>
          <w:sz w:val="18"/>
        </w:rPr>
        <w:t>It</w:t>
      </w:r>
      <w:r>
        <w:rPr>
          <w:spacing w:val="-12"/>
          <w:sz w:val="18"/>
        </w:rPr>
        <w:t> </w:t>
      </w:r>
      <w:r>
        <w:rPr>
          <w:sz w:val="18"/>
        </w:rPr>
        <w:t>is</w:t>
      </w:r>
      <w:r>
        <w:rPr>
          <w:spacing w:val="-11"/>
          <w:sz w:val="18"/>
        </w:rPr>
        <w:t> </w:t>
      </w:r>
      <w:r>
        <w:rPr>
          <w:sz w:val="18"/>
        </w:rPr>
        <w:t>recognised</w:t>
      </w:r>
      <w:r>
        <w:rPr>
          <w:spacing w:val="-9"/>
          <w:sz w:val="18"/>
        </w:rPr>
        <w:t> </w:t>
      </w:r>
      <w:r>
        <w:rPr>
          <w:sz w:val="18"/>
        </w:rPr>
        <w:t>that</w:t>
      </w:r>
      <w:r>
        <w:rPr>
          <w:spacing w:val="-10"/>
          <w:sz w:val="18"/>
        </w:rPr>
        <w:t> </w:t>
      </w:r>
      <w:r>
        <w:rPr>
          <w:sz w:val="18"/>
        </w:rPr>
        <w:t>at</w:t>
      </w:r>
      <w:r>
        <w:rPr>
          <w:spacing w:val="-9"/>
          <w:sz w:val="18"/>
        </w:rPr>
        <w:t> </w:t>
      </w:r>
      <w:r>
        <w:rPr>
          <w:sz w:val="18"/>
        </w:rPr>
        <w:t>present</w:t>
      </w:r>
      <w:r>
        <w:rPr>
          <w:spacing w:val="-9"/>
          <w:sz w:val="18"/>
        </w:rPr>
        <w:t> </w:t>
      </w:r>
      <w:r>
        <w:rPr>
          <w:sz w:val="18"/>
        </w:rPr>
        <w:t>this</w:t>
      </w:r>
      <w:r>
        <w:rPr>
          <w:spacing w:val="-12"/>
          <w:sz w:val="18"/>
        </w:rPr>
        <w:t> </w:t>
      </w:r>
      <w:r>
        <w:rPr>
          <w:sz w:val="18"/>
        </w:rPr>
        <w:t>documentation</w:t>
      </w:r>
      <w:r>
        <w:rPr>
          <w:spacing w:val="-11"/>
          <w:sz w:val="18"/>
        </w:rPr>
        <w:t> </w:t>
      </w:r>
      <w:r>
        <w:rPr>
          <w:sz w:val="18"/>
        </w:rPr>
        <w:t>may</w:t>
      </w:r>
      <w:r>
        <w:rPr>
          <w:spacing w:val="-11"/>
          <w:sz w:val="18"/>
        </w:rPr>
        <w:t> </w:t>
      </w:r>
      <w:r>
        <w:rPr>
          <w:sz w:val="18"/>
        </w:rPr>
        <w:t>not</w:t>
      </w:r>
      <w:r>
        <w:rPr>
          <w:spacing w:val="-11"/>
          <w:sz w:val="18"/>
        </w:rPr>
        <w:t> </w:t>
      </w:r>
      <w:r>
        <w:rPr>
          <w:sz w:val="18"/>
        </w:rPr>
        <w:t>be</w:t>
      </w:r>
      <w:r>
        <w:rPr>
          <w:spacing w:val="-11"/>
          <w:sz w:val="18"/>
        </w:rPr>
        <w:t> </w:t>
      </w:r>
      <w:r>
        <w:rPr>
          <w:sz w:val="18"/>
        </w:rPr>
        <w:t>available</w:t>
      </w:r>
      <w:r>
        <w:rPr>
          <w:spacing w:val="-12"/>
          <w:sz w:val="18"/>
        </w:rPr>
        <w:t> </w:t>
      </w:r>
      <w:r>
        <w:rPr>
          <w:sz w:val="18"/>
        </w:rPr>
        <w:t>in</w:t>
      </w:r>
      <w:r>
        <w:rPr>
          <w:spacing w:val="-11"/>
          <w:sz w:val="18"/>
        </w:rPr>
        <w:t> </w:t>
      </w:r>
      <w:r>
        <w:rPr>
          <w:sz w:val="18"/>
        </w:rPr>
        <w:t>all</w:t>
      </w:r>
      <w:r>
        <w:rPr>
          <w:spacing w:val="-11"/>
          <w:sz w:val="18"/>
        </w:rPr>
        <w:t> </w:t>
      </w:r>
      <w:r>
        <w:rPr>
          <w:sz w:val="18"/>
        </w:rPr>
        <w:t>jurisdictions that would be impacted by Amount A, but this can be addressed within the context of the tax certainty process contemplated for Amount A (as discussed in Chapter</w:t>
      </w:r>
      <w:r>
        <w:rPr>
          <w:spacing w:val="-2"/>
          <w:sz w:val="18"/>
        </w:rPr>
        <w:t> </w:t>
      </w:r>
      <w:hyperlink w:history="true" w:anchor="_bookmark72">
        <w:r>
          <w:rPr>
            <w:sz w:val="18"/>
          </w:rPr>
          <w:t>10.</w:t>
        </w:r>
      </w:hyperlink>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that relates to a market jurisdiction(s) in which it is engaged. A market connection priority test could be introduced</w:t>
      </w:r>
      <w:r>
        <w:rPr>
          <w:spacing w:val="-14"/>
        </w:rPr>
        <w:t> </w:t>
      </w:r>
      <w:r>
        <w:rPr/>
        <w:t>to</w:t>
      </w:r>
      <w:r>
        <w:rPr>
          <w:spacing w:val="-14"/>
        </w:rPr>
        <w:t> </w:t>
      </w:r>
      <w:r>
        <w:rPr/>
        <w:t>require</w:t>
      </w:r>
      <w:r>
        <w:rPr>
          <w:spacing w:val="-13"/>
        </w:rPr>
        <w:t> </w:t>
      </w:r>
      <w:r>
        <w:rPr/>
        <w:t>that,</w:t>
      </w:r>
      <w:r>
        <w:rPr>
          <w:spacing w:val="-14"/>
        </w:rPr>
        <w:t> </w:t>
      </w:r>
      <w:r>
        <w:rPr/>
        <w:t>in</w:t>
      </w:r>
      <w:r>
        <w:rPr>
          <w:spacing w:val="-12"/>
        </w:rPr>
        <w:t> </w:t>
      </w:r>
      <w:r>
        <w:rPr/>
        <w:t>the</w:t>
      </w:r>
      <w:r>
        <w:rPr>
          <w:spacing w:val="-13"/>
        </w:rPr>
        <w:t> </w:t>
      </w:r>
      <w:r>
        <w:rPr/>
        <w:t>first</w:t>
      </w:r>
      <w:r>
        <w:rPr>
          <w:spacing w:val="-14"/>
        </w:rPr>
        <w:t> </w:t>
      </w:r>
      <w:r>
        <w:rPr/>
        <w:t>instance,</w:t>
      </w:r>
      <w:r>
        <w:rPr>
          <w:spacing w:val="-13"/>
        </w:rPr>
        <w:t> </w:t>
      </w:r>
      <w:r>
        <w:rPr/>
        <w:t>the</w:t>
      </w:r>
      <w:r>
        <w:rPr>
          <w:spacing w:val="-12"/>
        </w:rPr>
        <w:t> </w:t>
      </w:r>
      <w:r>
        <w:rPr/>
        <w:t>Amount</w:t>
      </w:r>
      <w:r>
        <w:rPr>
          <w:spacing w:val="-14"/>
        </w:rPr>
        <w:t> </w:t>
      </w:r>
      <w:r>
        <w:rPr/>
        <w:t>A</w:t>
      </w:r>
      <w:r>
        <w:rPr>
          <w:spacing w:val="-13"/>
        </w:rPr>
        <w:t> </w:t>
      </w:r>
      <w:r>
        <w:rPr/>
        <w:t>tax</w:t>
      </w:r>
      <w:r>
        <w:rPr>
          <w:spacing w:val="-13"/>
        </w:rPr>
        <w:t> </w:t>
      </w:r>
      <w:r>
        <w:rPr/>
        <w:t>liability</w:t>
      </w:r>
      <w:r>
        <w:rPr>
          <w:spacing w:val="-16"/>
        </w:rPr>
        <w:t> </w:t>
      </w:r>
      <w:r>
        <w:rPr/>
        <w:t>for</w:t>
      </w:r>
      <w:r>
        <w:rPr>
          <w:spacing w:val="-13"/>
        </w:rPr>
        <w:t> </w:t>
      </w:r>
      <w:r>
        <w:rPr/>
        <w:t>a</w:t>
      </w:r>
      <w:r>
        <w:rPr>
          <w:spacing w:val="-14"/>
        </w:rPr>
        <w:t> </w:t>
      </w:r>
      <w:r>
        <w:rPr/>
        <w:t>market</w:t>
      </w:r>
      <w:r>
        <w:rPr>
          <w:spacing w:val="-15"/>
        </w:rPr>
        <w:t> </w:t>
      </w:r>
      <w:r>
        <w:rPr/>
        <w:t>jurisdiction</w:t>
      </w:r>
      <w:r>
        <w:rPr>
          <w:spacing w:val="-14"/>
        </w:rPr>
        <w:t> </w:t>
      </w:r>
      <w:r>
        <w:rPr/>
        <w:t>is</w:t>
      </w:r>
      <w:r>
        <w:rPr>
          <w:spacing w:val="-11"/>
        </w:rPr>
        <w:t> </w:t>
      </w:r>
      <w:r>
        <w:rPr/>
        <w:t>allocated to a paying entity that is connected to a market jurisdiction through the performance of activities identified under the activities test. This test may establish a connection between a market jurisdiction and a single or multiple paying</w:t>
      </w:r>
      <w:r>
        <w:rPr>
          <w:spacing w:val="-1"/>
        </w:rPr>
        <w:t> </w:t>
      </w:r>
      <w:r>
        <w:rPr/>
        <w:t>entities.</w:t>
      </w:r>
    </w:p>
    <w:p>
      <w:pPr>
        <w:pStyle w:val="BodyText"/>
        <w:spacing w:before="2"/>
      </w:pPr>
    </w:p>
    <w:p>
      <w:pPr>
        <w:pStyle w:val="Heading8"/>
      </w:pPr>
      <w:bookmarkStart w:name="Step 4: Pro-rata allocation" w:id="326"/>
      <w:bookmarkEnd w:id="326"/>
      <w:r>
        <w:rPr>
          <w:b w:val="0"/>
        </w:rPr>
      </w:r>
      <w:r>
        <w:rPr/>
        <w:t>Step 4: Pro-rata allocation</w:t>
      </w:r>
    </w:p>
    <w:p>
      <w:pPr>
        <w:pStyle w:val="BodyText"/>
        <w:rPr>
          <w:b/>
          <w:sz w:val="19"/>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Where the entity or (entities) identified under the market connection priority test do not have sufficient</w:t>
      </w:r>
      <w:r>
        <w:rPr>
          <w:spacing w:val="-10"/>
          <w:sz w:val="20"/>
        </w:rPr>
        <w:t> </w:t>
      </w:r>
      <w:r>
        <w:rPr>
          <w:sz w:val="20"/>
        </w:rPr>
        <w:t>profits</w:t>
      </w:r>
      <w:r>
        <w:rPr>
          <w:spacing w:val="-9"/>
          <w:sz w:val="20"/>
        </w:rPr>
        <w:t> </w:t>
      </w:r>
      <w:r>
        <w:rPr>
          <w:sz w:val="20"/>
        </w:rPr>
        <w:t>to</w:t>
      </w:r>
      <w:r>
        <w:rPr>
          <w:spacing w:val="-9"/>
          <w:sz w:val="20"/>
        </w:rPr>
        <w:t> </w:t>
      </w:r>
      <w:r>
        <w:rPr>
          <w:sz w:val="20"/>
        </w:rPr>
        <w:t>bear</w:t>
      </w:r>
      <w:r>
        <w:rPr>
          <w:spacing w:val="-11"/>
          <w:sz w:val="20"/>
        </w:rPr>
        <w:t> </w:t>
      </w:r>
      <w:r>
        <w:rPr>
          <w:sz w:val="20"/>
        </w:rPr>
        <w:t>the</w:t>
      </w:r>
      <w:r>
        <w:rPr>
          <w:spacing w:val="-9"/>
          <w:sz w:val="20"/>
        </w:rPr>
        <w:t> </w:t>
      </w:r>
      <w:r>
        <w:rPr>
          <w:sz w:val="20"/>
        </w:rPr>
        <w:t>full</w:t>
      </w:r>
      <w:r>
        <w:rPr>
          <w:spacing w:val="-12"/>
          <w:sz w:val="20"/>
        </w:rPr>
        <w:t> </w:t>
      </w:r>
      <w:r>
        <w:rPr>
          <w:sz w:val="20"/>
        </w:rPr>
        <w:t>Amount</w:t>
      </w:r>
      <w:r>
        <w:rPr>
          <w:spacing w:val="-9"/>
          <w:sz w:val="20"/>
        </w:rPr>
        <w:t> </w:t>
      </w:r>
      <w:r>
        <w:rPr>
          <w:sz w:val="20"/>
        </w:rPr>
        <w:t>A</w:t>
      </w:r>
      <w:r>
        <w:rPr>
          <w:spacing w:val="-12"/>
          <w:sz w:val="20"/>
        </w:rPr>
        <w:t> </w:t>
      </w:r>
      <w:r>
        <w:rPr>
          <w:sz w:val="20"/>
        </w:rPr>
        <w:t>tax</w:t>
      </w:r>
      <w:r>
        <w:rPr>
          <w:spacing w:val="-10"/>
          <w:sz w:val="20"/>
        </w:rPr>
        <w:t> </w:t>
      </w:r>
      <w:r>
        <w:rPr>
          <w:sz w:val="20"/>
        </w:rPr>
        <w:t>liability</w:t>
      </w:r>
      <w:r>
        <w:rPr>
          <w:spacing w:val="-15"/>
          <w:sz w:val="20"/>
        </w:rPr>
        <w:t> </w:t>
      </w:r>
      <w:r>
        <w:rPr>
          <w:sz w:val="20"/>
        </w:rPr>
        <w:t>for</w:t>
      </w:r>
      <w:r>
        <w:rPr>
          <w:spacing w:val="-11"/>
          <w:sz w:val="20"/>
        </w:rPr>
        <w:t> </w:t>
      </w:r>
      <w:r>
        <w:rPr>
          <w:sz w:val="20"/>
        </w:rPr>
        <w:t>a</w:t>
      </w:r>
      <w:r>
        <w:rPr>
          <w:spacing w:val="-11"/>
          <w:sz w:val="20"/>
        </w:rPr>
        <w:t> </w:t>
      </w:r>
      <w:r>
        <w:rPr>
          <w:sz w:val="20"/>
        </w:rPr>
        <w:t>given</w:t>
      </w:r>
      <w:r>
        <w:rPr>
          <w:spacing w:val="-12"/>
          <w:sz w:val="20"/>
        </w:rPr>
        <w:t> </w:t>
      </w:r>
      <w:r>
        <w:rPr>
          <w:sz w:val="20"/>
        </w:rPr>
        <w:t>market</w:t>
      </w:r>
      <w:r>
        <w:rPr>
          <w:spacing w:val="-12"/>
          <w:sz w:val="20"/>
        </w:rPr>
        <w:t> </w:t>
      </w:r>
      <w:r>
        <w:rPr>
          <w:sz w:val="20"/>
        </w:rPr>
        <w:t>jurisdiction(s),</w:t>
      </w:r>
      <w:r>
        <w:rPr>
          <w:spacing w:val="-11"/>
          <w:sz w:val="20"/>
        </w:rPr>
        <w:t> </w:t>
      </w:r>
      <w:r>
        <w:rPr>
          <w:sz w:val="20"/>
        </w:rPr>
        <w:t>other</w:t>
      </w:r>
      <w:r>
        <w:rPr>
          <w:spacing w:val="-11"/>
          <w:sz w:val="20"/>
        </w:rPr>
        <w:t> </w:t>
      </w:r>
      <w:r>
        <w:rPr>
          <w:sz w:val="20"/>
        </w:rPr>
        <w:t>paying</w:t>
      </w:r>
      <w:r>
        <w:rPr>
          <w:spacing w:val="-12"/>
          <w:sz w:val="20"/>
        </w:rPr>
        <w:t> </w:t>
      </w:r>
      <w:r>
        <w:rPr>
          <w:sz w:val="20"/>
        </w:rPr>
        <w:t>entities within</w:t>
      </w:r>
      <w:r>
        <w:rPr>
          <w:spacing w:val="-12"/>
          <w:sz w:val="20"/>
        </w:rPr>
        <w:t> </w:t>
      </w:r>
      <w:r>
        <w:rPr>
          <w:sz w:val="20"/>
        </w:rPr>
        <w:t>the</w:t>
      </w:r>
      <w:r>
        <w:rPr>
          <w:spacing w:val="-12"/>
          <w:sz w:val="20"/>
        </w:rPr>
        <w:t> </w:t>
      </w:r>
      <w:r>
        <w:rPr>
          <w:sz w:val="20"/>
        </w:rPr>
        <w:t>group</w:t>
      </w:r>
      <w:r>
        <w:rPr>
          <w:spacing w:val="-9"/>
          <w:sz w:val="20"/>
        </w:rPr>
        <w:t> </w:t>
      </w:r>
      <w:r>
        <w:rPr>
          <w:sz w:val="20"/>
        </w:rPr>
        <w:t>or</w:t>
      </w:r>
      <w:r>
        <w:rPr>
          <w:spacing w:val="-10"/>
          <w:sz w:val="20"/>
        </w:rPr>
        <w:t> </w:t>
      </w:r>
      <w:r>
        <w:rPr>
          <w:sz w:val="20"/>
        </w:rPr>
        <w:t>segment</w:t>
      </w:r>
      <w:r>
        <w:rPr>
          <w:spacing w:val="-11"/>
          <w:sz w:val="20"/>
        </w:rPr>
        <w:t> </w:t>
      </w:r>
      <w:r>
        <w:rPr>
          <w:sz w:val="20"/>
        </w:rPr>
        <w:t>will</w:t>
      </w:r>
      <w:r>
        <w:rPr>
          <w:spacing w:val="-12"/>
          <w:sz w:val="20"/>
        </w:rPr>
        <w:t> </w:t>
      </w:r>
      <w:r>
        <w:rPr>
          <w:sz w:val="20"/>
        </w:rPr>
        <w:t>be</w:t>
      </w:r>
      <w:r>
        <w:rPr>
          <w:spacing w:val="-12"/>
          <w:sz w:val="20"/>
        </w:rPr>
        <w:t> </w:t>
      </w:r>
      <w:r>
        <w:rPr>
          <w:sz w:val="20"/>
        </w:rPr>
        <w:t>required</w:t>
      </w:r>
      <w:r>
        <w:rPr>
          <w:spacing w:val="-9"/>
          <w:sz w:val="20"/>
        </w:rPr>
        <w:t> </w:t>
      </w:r>
      <w:r>
        <w:rPr>
          <w:sz w:val="20"/>
        </w:rPr>
        <w:t>to</w:t>
      </w:r>
      <w:r>
        <w:rPr>
          <w:spacing w:val="-12"/>
          <w:sz w:val="20"/>
        </w:rPr>
        <w:t> </w:t>
      </w:r>
      <w:r>
        <w:rPr>
          <w:sz w:val="20"/>
        </w:rPr>
        <w:t>bear</w:t>
      </w:r>
      <w:r>
        <w:rPr>
          <w:spacing w:val="-10"/>
          <w:sz w:val="20"/>
        </w:rPr>
        <w:t> </w:t>
      </w:r>
      <w:r>
        <w:rPr>
          <w:sz w:val="20"/>
        </w:rPr>
        <w:t>the</w:t>
      </w:r>
      <w:r>
        <w:rPr>
          <w:spacing w:val="-9"/>
          <w:sz w:val="20"/>
        </w:rPr>
        <w:t> </w:t>
      </w:r>
      <w:r>
        <w:rPr>
          <w:sz w:val="20"/>
        </w:rPr>
        <w:t>remaining</w:t>
      </w:r>
      <w:r>
        <w:rPr>
          <w:spacing w:val="-11"/>
          <w:sz w:val="20"/>
        </w:rPr>
        <w:t> </w:t>
      </w:r>
      <w:r>
        <w:rPr>
          <w:sz w:val="20"/>
        </w:rPr>
        <w:t>portion</w:t>
      </w:r>
      <w:r>
        <w:rPr>
          <w:spacing w:val="-12"/>
          <w:sz w:val="20"/>
        </w:rPr>
        <w:t> </w:t>
      </w:r>
      <w:r>
        <w:rPr>
          <w:sz w:val="20"/>
        </w:rPr>
        <w:t>of</w:t>
      </w:r>
      <w:r>
        <w:rPr>
          <w:spacing w:val="-9"/>
          <w:sz w:val="20"/>
        </w:rPr>
        <w:t> </w:t>
      </w:r>
      <w:r>
        <w:rPr>
          <w:sz w:val="20"/>
        </w:rPr>
        <w:t>the</w:t>
      </w:r>
      <w:r>
        <w:rPr>
          <w:spacing w:val="-9"/>
          <w:sz w:val="20"/>
        </w:rPr>
        <w:t> </w:t>
      </w:r>
      <w:r>
        <w:rPr>
          <w:sz w:val="20"/>
        </w:rPr>
        <w:t>Amount</w:t>
      </w:r>
      <w:r>
        <w:rPr>
          <w:spacing w:val="-9"/>
          <w:sz w:val="20"/>
        </w:rPr>
        <w:t> </w:t>
      </w:r>
      <w:r>
        <w:rPr>
          <w:sz w:val="20"/>
        </w:rPr>
        <w:t>A</w:t>
      </w:r>
      <w:r>
        <w:rPr>
          <w:spacing w:val="-11"/>
          <w:sz w:val="20"/>
        </w:rPr>
        <w:t> </w:t>
      </w:r>
      <w:r>
        <w:rPr>
          <w:sz w:val="20"/>
        </w:rPr>
        <w:t>tax</w:t>
      </w:r>
      <w:r>
        <w:rPr>
          <w:spacing w:val="-8"/>
          <w:sz w:val="20"/>
        </w:rPr>
        <w:t> </w:t>
      </w:r>
      <w:r>
        <w:rPr>
          <w:sz w:val="20"/>
        </w:rPr>
        <w:t>liability.</w:t>
      </w:r>
      <w:r>
        <w:rPr>
          <w:spacing w:val="-9"/>
          <w:sz w:val="20"/>
        </w:rPr>
        <w:t> </w:t>
      </w:r>
      <w:r>
        <w:rPr>
          <w:sz w:val="20"/>
        </w:rPr>
        <w:t>This portion of the Amount A tax liability would be apportioned between these entities on a formulaic pro-rata basis.</w:t>
      </w:r>
      <w:r>
        <w:rPr>
          <w:spacing w:val="-10"/>
          <w:sz w:val="20"/>
        </w:rPr>
        <w:t> </w:t>
      </w:r>
      <w:r>
        <w:rPr>
          <w:sz w:val="20"/>
        </w:rPr>
        <w:t>This</w:t>
      </w:r>
      <w:r>
        <w:rPr>
          <w:spacing w:val="-9"/>
          <w:sz w:val="20"/>
        </w:rPr>
        <w:t> </w:t>
      </w:r>
      <w:r>
        <w:rPr>
          <w:sz w:val="20"/>
        </w:rPr>
        <w:t>would</w:t>
      </w:r>
      <w:r>
        <w:rPr>
          <w:spacing w:val="-10"/>
          <w:sz w:val="20"/>
        </w:rPr>
        <w:t> </w:t>
      </w:r>
      <w:r>
        <w:rPr>
          <w:sz w:val="20"/>
        </w:rPr>
        <w:t>provide</w:t>
      </w:r>
      <w:r>
        <w:rPr>
          <w:spacing w:val="-10"/>
          <w:sz w:val="20"/>
        </w:rPr>
        <w:t> </w:t>
      </w:r>
      <w:r>
        <w:rPr>
          <w:sz w:val="20"/>
        </w:rPr>
        <w:t>a</w:t>
      </w:r>
      <w:r>
        <w:rPr>
          <w:spacing w:val="-8"/>
          <w:sz w:val="20"/>
        </w:rPr>
        <w:t> </w:t>
      </w:r>
      <w:r>
        <w:rPr>
          <w:sz w:val="20"/>
        </w:rPr>
        <w:t>“back-stop”</w:t>
      </w:r>
      <w:r>
        <w:rPr>
          <w:spacing w:val="-8"/>
          <w:sz w:val="20"/>
        </w:rPr>
        <w:t> </w:t>
      </w:r>
      <w:r>
        <w:rPr>
          <w:sz w:val="20"/>
        </w:rPr>
        <w:t>position</w:t>
      </w:r>
      <w:r>
        <w:rPr>
          <w:spacing w:val="-8"/>
          <w:sz w:val="20"/>
        </w:rPr>
        <w:t> </w:t>
      </w:r>
      <w:r>
        <w:rPr>
          <w:sz w:val="20"/>
        </w:rPr>
        <w:t>where</w:t>
      </w:r>
      <w:r>
        <w:rPr>
          <w:spacing w:val="-8"/>
          <w:sz w:val="20"/>
        </w:rPr>
        <w:t> </w:t>
      </w:r>
      <w:r>
        <w:rPr>
          <w:sz w:val="20"/>
        </w:rPr>
        <w:t>it</w:t>
      </w:r>
      <w:r>
        <w:rPr>
          <w:spacing w:val="-10"/>
          <w:sz w:val="20"/>
        </w:rPr>
        <w:t> </w:t>
      </w:r>
      <w:r>
        <w:rPr>
          <w:sz w:val="20"/>
        </w:rPr>
        <w:t>is</w:t>
      </w:r>
      <w:r>
        <w:rPr>
          <w:spacing w:val="-9"/>
          <w:sz w:val="20"/>
        </w:rPr>
        <w:t> </w:t>
      </w:r>
      <w:r>
        <w:rPr>
          <w:sz w:val="20"/>
        </w:rPr>
        <w:t>not</w:t>
      </w:r>
      <w:r>
        <w:rPr>
          <w:spacing w:val="-10"/>
          <w:sz w:val="20"/>
        </w:rPr>
        <w:t> </w:t>
      </w:r>
      <w:r>
        <w:rPr>
          <w:sz w:val="20"/>
        </w:rPr>
        <w:t>possible</w:t>
      </w:r>
      <w:r>
        <w:rPr>
          <w:spacing w:val="-10"/>
          <w:sz w:val="20"/>
        </w:rPr>
        <w:t> </w:t>
      </w:r>
      <w:r>
        <w:rPr>
          <w:sz w:val="20"/>
        </w:rPr>
        <w:t>to</w:t>
      </w:r>
      <w:r>
        <w:rPr>
          <w:spacing w:val="-9"/>
          <w:sz w:val="20"/>
        </w:rPr>
        <w:t> </w:t>
      </w:r>
      <w:r>
        <w:rPr>
          <w:sz w:val="20"/>
        </w:rPr>
        <w:t>establish</w:t>
      </w:r>
      <w:r>
        <w:rPr>
          <w:spacing w:val="-8"/>
          <w:sz w:val="20"/>
        </w:rPr>
        <w:t> </w:t>
      </w:r>
      <w:r>
        <w:rPr>
          <w:sz w:val="20"/>
        </w:rPr>
        <w:t>a</w:t>
      </w:r>
      <w:r>
        <w:rPr>
          <w:spacing w:val="-10"/>
          <w:sz w:val="20"/>
        </w:rPr>
        <w:t> </w:t>
      </w:r>
      <w:r>
        <w:rPr>
          <w:sz w:val="20"/>
        </w:rPr>
        <w:t>sufficient</w:t>
      </w:r>
      <w:r>
        <w:rPr>
          <w:spacing w:val="-10"/>
          <w:sz w:val="20"/>
        </w:rPr>
        <w:t> </w:t>
      </w:r>
      <w:r>
        <w:rPr>
          <w:sz w:val="20"/>
        </w:rPr>
        <w:t>connection between</w:t>
      </w:r>
      <w:r>
        <w:rPr>
          <w:spacing w:val="-13"/>
          <w:sz w:val="20"/>
        </w:rPr>
        <w:t> </w:t>
      </w:r>
      <w:r>
        <w:rPr>
          <w:sz w:val="20"/>
        </w:rPr>
        <w:t>any</w:t>
      </w:r>
      <w:r>
        <w:rPr>
          <w:spacing w:val="-16"/>
          <w:sz w:val="20"/>
        </w:rPr>
        <w:t> </w:t>
      </w:r>
      <w:r>
        <w:rPr>
          <w:sz w:val="20"/>
        </w:rPr>
        <w:t>paying</w:t>
      </w:r>
      <w:r>
        <w:rPr>
          <w:spacing w:val="-14"/>
          <w:sz w:val="20"/>
        </w:rPr>
        <w:t> </w:t>
      </w:r>
      <w:r>
        <w:rPr>
          <w:sz w:val="20"/>
        </w:rPr>
        <w:t>entity</w:t>
      </w:r>
      <w:r>
        <w:rPr>
          <w:spacing w:val="-15"/>
          <w:sz w:val="20"/>
        </w:rPr>
        <w:t> </w:t>
      </w:r>
      <w:r>
        <w:rPr>
          <w:sz w:val="20"/>
        </w:rPr>
        <w:t>and</w:t>
      </w:r>
      <w:r>
        <w:rPr>
          <w:spacing w:val="-14"/>
          <w:sz w:val="20"/>
        </w:rPr>
        <w:t> </w:t>
      </w:r>
      <w:r>
        <w:rPr>
          <w:sz w:val="20"/>
        </w:rPr>
        <w:t>a</w:t>
      </w:r>
      <w:r>
        <w:rPr>
          <w:spacing w:val="-12"/>
          <w:sz w:val="20"/>
        </w:rPr>
        <w:t> </w:t>
      </w:r>
      <w:r>
        <w:rPr>
          <w:sz w:val="20"/>
        </w:rPr>
        <w:t>market</w:t>
      </w:r>
      <w:r>
        <w:rPr>
          <w:spacing w:val="-14"/>
          <w:sz w:val="20"/>
        </w:rPr>
        <w:t> </w:t>
      </w:r>
      <w:r>
        <w:rPr>
          <w:sz w:val="20"/>
        </w:rPr>
        <w:t>jurisdiction</w:t>
      </w:r>
      <w:r>
        <w:rPr>
          <w:spacing w:val="-12"/>
          <w:sz w:val="20"/>
        </w:rPr>
        <w:t> </w:t>
      </w:r>
      <w:r>
        <w:rPr>
          <w:sz w:val="20"/>
        </w:rPr>
        <w:t>allocated</w:t>
      </w:r>
      <w:r>
        <w:rPr>
          <w:spacing w:val="-12"/>
          <w:sz w:val="20"/>
        </w:rPr>
        <w:t> </w:t>
      </w:r>
      <w:r>
        <w:rPr>
          <w:sz w:val="20"/>
        </w:rPr>
        <w:t>Amount</w:t>
      </w:r>
      <w:r>
        <w:rPr>
          <w:spacing w:val="-14"/>
          <w:sz w:val="20"/>
        </w:rPr>
        <w:t> </w:t>
      </w:r>
      <w:r>
        <w:rPr>
          <w:sz w:val="20"/>
        </w:rPr>
        <w:t>A.</w:t>
      </w:r>
      <w:r>
        <w:rPr>
          <w:spacing w:val="-10"/>
          <w:sz w:val="20"/>
        </w:rPr>
        <w:t> </w:t>
      </w:r>
      <w:r>
        <w:rPr>
          <w:sz w:val="20"/>
        </w:rPr>
        <w:t>Consideration</w:t>
      </w:r>
      <w:r>
        <w:rPr>
          <w:spacing w:val="-12"/>
          <w:sz w:val="20"/>
        </w:rPr>
        <w:t> </w:t>
      </w:r>
      <w:r>
        <w:rPr>
          <w:sz w:val="20"/>
        </w:rPr>
        <w:t>could</w:t>
      </w:r>
      <w:r>
        <w:rPr>
          <w:spacing w:val="-14"/>
          <w:sz w:val="20"/>
        </w:rPr>
        <w:t> </w:t>
      </w:r>
      <w:r>
        <w:rPr>
          <w:sz w:val="20"/>
        </w:rPr>
        <w:t>also</w:t>
      </w:r>
      <w:r>
        <w:rPr>
          <w:spacing w:val="-12"/>
          <w:sz w:val="20"/>
        </w:rPr>
        <w:t> </w:t>
      </w:r>
      <w:r>
        <w:rPr>
          <w:sz w:val="20"/>
        </w:rPr>
        <w:t>be</w:t>
      </w:r>
      <w:r>
        <w:rPr>
          <w:spacing w:val="-14"/>
          <w:sz w:val="20"/>
        </w:rPr>
        <w:t> </w:t>
      </w:r>
      <w:r>
        <w:rPr>
          <w:sz w:val="20"/>
        </w:rPr>
        <w:t>given to alternative “back-stop” positions, as discussed in more detail</w:t>
      </w:r>
      <w:r>
        <w:rPr>
          <w:spacing w:val="-13"/>
          <w:sz w:val="20"/>
        </w:rPr>
        <w:t> </w:t>
      </w:r>
      <w:r>
        <w:rPr>
          <w:sz w:val="20"/>
        </w:rPr>
        <w:t>below.</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Under</w:t>
      </w:r>
      <w:r>
        <w:rPr>
          <w:spacing w:val="-3"/>
          <w:sz w:val="20"/>
        </w:rPr>
        <w:t> </w:t>
      </w:r>
      <w:r>
        <w:rPr>
          <w:sz w:val="20"/>
        </w:rPr>
        <w:t>a</w:t>
      </w:r>
      <w:r>
        <w:rPr>
          <w:spacing w:val="-7"/>
          <w:sz w:val="20"/>
        </w:rPr>
        <w:t> </w:t>
      </w:r>
      <w:r>
        <w:rPr>
          <w:sz w:val="20"/>
        </w:rPr>
        <w:t>two-step</w:t>
      </w:r>
      <w:r>
        <w:rPr>
          <w:spacing w:val="-5"/>
          <w:sz w:val="20"/>
        </w:rPr>
        <w:t> </w:t>
      </w:r>
      <w:r>
        <w:rPr>
          <w:sz w:val="20"/>
        </w:rPr>
        <w:t>approach</w:t>
      </w:r>
      <w:r>
        <w:rPr>
          <w:spacing w:val="-4"/>
          <w:sz w:val="20"/>
        </w:rPr>
        <w:t> </w:t>
      </w:r>
      <w:r>
        <w:rPr>
          <w:sz w:val="20"/>
        </w:rPr>
        <w:t>relying</w:t>
      </w:r>
      <w:r>
        <w:rPr>
          <w:spacing w:val="-5"/>
          <w:sz w:val="20"/>
        </w:rPr>
        <w:t> </w:t>
      </w:r>
      <w:r>
        <w:rPr>
          <w:sz w:val="20"/>
        </w:rPr>
        <w:t>primarily</w:t>
      </w:r>
      <w:r>
        <w:rPr>
          <w:spacing w:val="-7"/>
          <w:sz w:val="20"/>
        </w:rPr>
        <w:t> </w:t>
      </w:r>
      <w:r>
        <w:rPr>
          <w:sz w:val="20"/>
        </w:rPr>
        <w:t>on</w:t>
      </w:r>
      <w:r>
        <w:rPr>
          <w:spacing w:val="-4"/>
          <w:sz w:val="20"/>
        </w:rPr>
        <w:t> </w:t>
      </w:r>
      <w:r>
        <w:rPr>
          <w:sz w:val="20"/>
        </w:rPr>
        <w:t>the</w:t>
      </w:r>
      <w:r>
        <w:rPr>
          <w:spacing w:val="-7"/>
          <w:sz w:val="20"/>
        </w:rPr>
        <w:t> </w:t>
      </w:r>
      <w:r>
        <w:rPr>
          <w:sz w:val="20"/>
        </w:rPr>
        <w:t>profitability</w:t>
      </w:r>
      <w:r>
        <w:rPr>
          <w:spacing w:val="-9"/>
          <w:sz w:val="20"/>
        </w:rPr>
        <w:t> </w:t>
      </w:r>
      <w:r>
        <w:rPr>
          <w:sz w:val="20"/>
        </w:rPr>
        <w:t>test,</w:t>
      </w:r>
      <w:r>
        <w:rPr>
          <w:spacing w:val="-4"/>
          <w:sz w:val="20"/>
        </w:rPr>
        <w:t> </w:t>
      </w:r>
      <w:r>
        <w:rPr>
          <w:sz w:val="20"/>
        </w:rPr>
        <w:t>where</w:t>
      </w:r>
      <w:r>
        <w:rPr>
          <w:spacing w:val="-4"/>
          <w:sz w:val="20"/>
        </w:rPr>
        <w:t> </w:t>
      </w:r>
      <w:r>
        <w:rPr>
          <w:sz w:val="20"/>
        </w:rPr>
        <w:t>more</w:t>
      </w:r>
      <w:r>
        <w:rPr>
          <w:spacing w:val="-5"/>
          <w:sz w:val="20"/>
        </w:rPr>
        <w:t> </w:t>
      </w:r>
      <w:r>
        <w:rPr>
          <w:sz w:val="20"/>
        </w:rPr>
        <w:t>than</w:t>
      </w:r>
      <w:r>
        <w:rPr>
          <w:spacing w:val="-7"/>
          <w:sz w:val="20"/>
        </w:rPr>
        <w:t> </w:t>
      </w:r>
      <w:r>
        <w:rPr>
          <w:sz w:val="20"/>
        </w:rPr>
        <w:t>one</w:t>
      </w:r>
      <w:r>
        <w:rPr>
          <w:spacing w:val="-5"/>
          <w:sz w:val="20"/>
        </w:rPr>
        <w:t> </w:t>
      </w:r>
      <w:r>
        <w:rPr>
          <w:sz w:val="20"/>
        </w:rPr>
        <w:t>entity</w:t>
      </w:r>
      <w:r>
        <w:rPr>
          <w:spacing w:val="-6"/>
          <w:sz w:val="20"/>
        </w:rPr>
        <w:t> </w:t>
      </w:r>
      <w:r>
        <w:rPr>
          <w:sz w:val="20"/>
        </w:rPr>
        <w:t>is found to meet the test, the Amount A tax liability would be apportioned among them on a pro-rata basis according to the amount of profits earned by each entity that exceeds the agreed profitability</w:t>
      </w:r>
      <w:r>
        <w:rPr>
          <w:spacing w:val="-32"/>
          <w:sz w:val="20"/>
        </w:rPr>
        <w:t> </w:t>
      </w:r>
      <w:r>
        <w:rPr>
          <w:sz w:val="20"/>
        </w:rPr>
        <w:t>test.</w:t>
      </w:r>
    </w:p>
    <w:p>
      <w:pPr>
        <w:pStyle w:val="BodyText"/>
        <w:spacing w:before="3"/>
      </w:pPr>
    </w:p>
    <w:p>
      <w:pPr>
        <w:pStyle w:val="Heading8"/>
      </w:pPr>
      <w:bookmarkStart w:name="Other issues" w:id="327"/>
      <w:bookmarkEnd w:id="327"/>
      <w:r>
        <w:rPr>
          <w:b w:val="0"/>
        </w:rPr>
      </w:r>
      <w:r>
        <w:rPr/>
        <w:t>Other issues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In</w:t>
      </w:r>
      <w:r>
        <w:rPr>
          <w:spacing w:val="-7"/>
          <w:sz w:val="20"/>
        </w:rPr>
        <w:t> </w:t>
      </w:r>
      <w:r>
        <w:rPr>
          <w:sz w:val="20"/>
        </w:rPr>
        <w:t>addition,</w:t>
      </w:r>
      <w:r>
        <w:rPr>
          <w:spacing w:val="-4"/>
          <w:sz w:val="20"/>
        </w:rPr>
        <w:t> </w:t>
      </w:r>
      <w:r>
        <w:rPr>
          <w:sz w:val="20"/>
        </w:rPr>
        <w:t>when</w:t>
      </w:r>
      <w:r>
        <w:rPr>
          <w:spacing w:val="-5"/>
          <w:sz w:val="20"/>
        </w:rPr>
        <w:t> </w:t>
      </w:r>
      <w:r>
        <w:rPr>
          <w:sz w:val="20"/>
        </w:rPr>
        <w:t>identifying</w:t>
      </w:r>
      <w:r>
        <w:rPr>
          <w:spacing w:val="-6"/>
          <w:sz w:val="20"/>
        </w:rPr>
        <w:t> </w:t>
      </w:r>
      <w:r>
        <w:rPr>
          <w:sz w:val="20"/>
        </w:rPr>
        <w:t>the</w:t>
      </w:r>
      <w:r>
        <w:rPr>
          <w:spacing w:val="-4"/>
          <w:sz w:val="20"/>
        </w:rPr>
        <w:t> </w:t>
      </w:r>
      <w:r>
        <w:rPr>
          <w:sz w:val="20"/>
        </w:rPr>
        <w:t>paying</w:t>
      </w:r>
      <w:r>
        <w:rPr>
          <w:spacing w:val="-6"/>
          <w:sz w:val="20"/>
        </w:rPr>
        <w:t> </w:t>
      </w:r>
      <w:r>
        <w:rPr>
          <w:sz w:val="20"/>
        </w:rPr>
        <w:t>entity,</w:t>
      </w:r>
      <w:r>
        <w:rPr>
          <w:spacing w:val="-4"/>
          <w:sz w:val="20"/>
        </w:rPr>
        <w:t> </w:t>
      </w:r>
      <w:r>
        <w:rPr>
          <w:sz w:val="20"/>
        </w:rPr>
        <w:t>it</w:t>
      </w:r>
      <w:r>
        <w:rPr>
          <w:spacing w:val="-5"/>
          <w:sz w:val="20"/>
        </w:rPr>
        <w:t> </w:t>
      </w:r>
      <w:r>
        <w:rPr>
          <w:sz w:val="20"/>
        </w:rPr>
        <w:t>may</w:t>
      </w:r>
      <w:r>
        <w:rPr>
          <w:spacing w:val="-10"/>
          <w:sz w:val="20"/>
        </w:rPr>
        <w:t> </w:t>
      </w:r>
      <w:r>
        <w:rPr>
          <w:sz w:val="20"/>
        </w:rPr>
        <w:t>in</w:t>
      </w:r>
      <w:r>
        <w:rPr>
          <w:spacing w:val="-6"/>
          <w:sz w:val="20"/>
        </w:rPr>
        <w:t> </w:t>
      </w:r>
      <w:r>
        <w:rPr>
          <w:spacing w:val="2"/>
          <w:sz w:val="20"/>
        </w:rPr>
        <w:t>some</w:t>
      </w:r>
      <w:r>
        <w:rPr>
          <w:spacing w:val="-6"/>
          <w:sz w:val="20"/>
        </w:rPr>
        <w:t> </w:t>
      </w:r>
      <w:r>
        <w:rPr>
          <w:sz w:val="20"/>
        </w:rPr>
        <w:t>circumstances</w:t>
      </w:r>
      <w:r>
        <w:rPr>
          <w:spacing w:val="-6"/>
          <w:sz w:val="20"/>
        </w:rPr>
        <w:t> </w:t>
      </w:r>
      <w:r>
        <w:rPr>
          <w:sz w:val="20"/>
        </w:rPr>
        <w:t>be</w:t>
      </w:r>
      <w:r>
        <w:rPr>
          <w:spacing w:val="-6"/>
          <w:sz w:val="20"/>
        </w:rPr>
        <w:t> </w:t>
      </w:r>
      <w:r>
        <w:rPr>
          <w:sz w:val="20"/>
        </w:rPr>
        <w:t>necessary</w:t>
      </w:r>
      <w:r>
        <w:rPr>
          <w:spacing w:val="-10"/>
          <w:sz w:val="20"/>
        </w:rPr>
        <w:t> </w:t>
      </w:r>
      <w:r>
        <w:rPr>
          <w:sz w:val="20"/>
        </w:rPr>
        <w:t>to</w:t>
      </w:r>
      <w:r>
        <w:rPr>
          <w:spacing w:val="-6"/>
          <w:sz w:val="20"/>
        </w:rPr>
        <w:t> </w:t>
      </w:r>
      <w:r>
        <w:rPr>
          <w:sz w:val="20"/>
        </w:rPr>
        <w:t>take into</w:t>
      </w:r>
      <w:r>
        <w:rPr>
          <w:spacing w:val="-11"/>
          <w:sz w:val="20"/>
        </w:rPr>
        <w:t> </w:t>
      </w:r>
      <w:r>
        <w:rPr>
          <w:sz w:val="20"/>
        </w:rPr>
        <w:t>account</w:t>
      </w:r>
      <w:r>
        <w:rPr>
          <w:spacing w:val="-10"/>
          <w:sz w:val="20"/>
        </w:rPr>
        <w:t> </w:t>
      </w:r>
      <w:r>
        <w:rPr>
          <w:sz w:val="20"/>
        </w:rPr>
        <w:t>transfer</w:t>
      </w:r>
      <w:r>
        <w:rPr>
          <w:spacing w:val="-11"/>
          <w:sz w:val="20"/>
        </w:rPr>
        <w:t> </w:t>
      </w:r>
      <w:r>
        <w:rPr>
          <w:sz w:val="20"/>
        </w:rPr>
        <w:t>pricing</w:t>
      </w:r>
      <w:r>
        <w:rPr>
          <w:spacing w:val="-11"/>
          <w:sz w:val="20"/>
        </w:rPr>
        <w:t> </w:t>
      </w:r>
      <w:r>
        <w:rPr>
          <w:sz w:val="20"/>
        </w:rPr>
        <w:t>adjustments</w:t>
      </w:r>
      <w:r>
        <w:rPr>
          <w:spacing w:val="-11"/>
          <w:sz w:val="20"/>
        </w:rPr>
        <w:t> </w:t>
      </w:r>
      <w:r>
        <w:rPr>
          <w:sz w:val="20"/>
        </w:rPr>
        <w:t>and</w:t>
      </w:r>
      <w:r>
        <w:rPr>
          <w:spacing w:val="-9"/>
          <w:sz w:val="20"/>
        </w:rPr>
        <w:t> </w:t>
      </w:r>
      <w:r>
        <w:rPr>
          <w:sz w:val="20"/>
        </w:rPr>
        <w:t>entity-level</w:t>
      </w:r>
      <w:r>
        <w:rPr>
          <w:spacing w:val="-11"/>
          <w:sz w:val="20"/>
        </w:rPr>
        <w:t> </w:t>
      </w:r>
      <w:r>
        <w:rPr>
          <w:sz w:val="20"/>
        </w:rPr>
        <w:t>losses</w:t>
      </w:r>
      <w:r>
        <w:rPr>
          <w:spacing w:val="-9"/>
          <w:sz w:val="20"/>
        </w:rPr>
        <w:t> </w:t>
      </w:r>
      <w:r>
        <w:rPr>
          <w:sz w:val="20"/>
        </w:rPr>
        <w:t>as</w:t>
      </w:r>
      <w:r>
        <w:rPr>
          <w:spacing w:val="-11"/>
          <w:sz w:val="20"/>
        </w:rPr>
        <w:t> </w:t>
      </w:r>
      <w:r>
        <w:rPr>
          <w:sz w:val="20"/>
        </w:rPr>
        <w:t>determined</w:t>
      </w:r>
      <w:r>
        <w:rPr>
          <w:spacing w:val="-9"/>
          <w:sz w:val="20"/>
        </w:rPr>
        <w:t> </w:t>
      </w:r>
      <w:r>
        <w:rPr>
          <w:sz w:val="20"/>
        </w:rPr>
        <w:t>under</w:t>
      </w:r>
      <w:r>
        <w:rPr>
          <w:spacing w:val="-11"/>
          <w:sz w:val="20"/>
        </w:rPr>
        <w:t> </w:t>
      </w:r>
      <w:r>
        <w:rPr>
          <w:sz w:val="20"/>
        </w:rPr>
        <w:t>domestic</w:t>
      </w:r>
      <w:r>
        <w:rPr>
          <w:spacing w:val="-11"/>
          <w:sz w:val="20"/>
        </w:rPr>
        <w:t> </w:t>
      </w:r>
      <w:r>
        <w:rPr>
          <w:sz w:val="20"/>
        </w:rPr>
        <w:t>entity-level loss carry-forward</w:t>
      </w:r>
      <w:r>
        <w:rPr>
          <w:spacing w:val="-2"/>
          <w:sz w:val="20"/>
        </w:rPr>
        <w:t> </w:t>
      </w:r>
      <w:r>
        <w:rPr>
          <w:sz w:val="20"/>
        </w:rPr>
        <w:t>regimes.</w:t>
      </w:r>
    </w:p>
    <w:p>
      <w:pPr>
        <w:pStyle w:val="BodyText"/>
        <w:spacing w:before="1"/>
      </w:pPr>
    </w:p>
    <w:p>
      <w:pPr>
        <w:spacing w:before="1"/>
        <w:ind w:left="1402" w:right="0" w:firstLine="0"/>
        <w:jc w:val="left"/>
        <w:rPr>
          <w:i/>
          <w:sz w:val="22"/>
        </w:rPr>
      </w:pPr>
      <w:bookmarkStart w:name="Component 2: Methods to eliminate double" w:id="328"/>
      <w:bookmarkEnd w:id="328"/>
      <w:r>
        <w:rPr/>
      </w:r>
      <w:r>
        <w:rPr>
          <w:i/>
          <w:color w:val="616161"/>
          <w:sz w:val="22"/>
        </w:rPr>
        <w:t>Component 2: Methods to eliminate double taxation</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1" w:firstLine="0"/>
        <w:jc w:val="both"/>
        <w:rPr>
          <w:sz w:val="20"/>
        </w:rPr>
      </w:pPr>
      <w:r>
        <w:rPr>
          <w:sz w:val="20"/>
        </w:rPr>
        <w:t>The second component of the mechanism to eliminate double taxation deals with the methods to eliminate double taxation. The application of these methods will ensure that a paying entity is not subject to tax twice on the same profits in different jurisdictions, once under the current CIT rules and once under the</w:t>
      </w:r>
      <w:r>
        <w:rPr>
          <w:spacing w:val="-4"/>
          <w:sz w:val="20"/>
        </w:rPr>
        <w:t> </w:t>
      </w:r>
      <w:r>
        <w:rPr>
          <w:sz w:val="20"/>
        </w:rPr>
        <w:t>new</w:t>
      </w:r>
      <w:r>
        <w:rPr>
          <w:spacing w:val="-3"/>
          <w:sz w:val="20"/>
        </w:rPr>
        <w:t> </w:t>
      </w:r>
      <w:r>
        <w:rPr>
          <w:sz w:val="20"/>
        </w:rPr>
        <w:t>Amount</w:t>
      </w:r>
      <w:r>
        <w:rPr>
          <w:spacing w:val="-7"/>
          <w:sz w:val="20"/>
        </w:rPr>
        <w:t> </w:t>
      </w:r>
      <w:r>
        <w:rPr>
          <w:sz w:val="20"/>
        </w:rPr>
        <w:t>A</w:t>
      </w:r>
      <w:r>
        <w:rPr>
          <w:spacing w:val="-4"/>
          <w:sz w:val="20"/>
        </w:rPr>
        <w:t> </w:t>
      </w:r>
      <w:r>
        <w:rPr>
          <w:sz w:val="20"/>
        </w:rPr>
        <w:t>system.</w:t>
      </w:r>
      <w:r>
        <w:rPr>
          <w:spacing w:val="-5"/>
          <w:sz w:val="20"/>
        </w:rPr>
        <w:t> </w:t>
      </w:r>
      <w:r>
        <w:rPr>
          <w:sz w:val="20"/>
        </w:rPr>
        <w:t>Today,</w:t>
      </w:r>
      <w:r>
        <w:rPr>
          <w:spacing w:val="-5"/>
          <w:sz w:val="20"/>
        </w:rPr>
        <w:t> </w:t>
      </w:r>
      <w:r>
        <w:rPr>
          <w:sz w:val="20"/>
        </w:rPr>
        <w:t>jurisdictions</w:t>
      </w:r>
      <w:r>
        <w:rPr>
          <w:spacing w:val="-3"/>
          <w:sz w:val="20"/>
        </w:rPr>
        <w:t> </w:t>
      </w:r>
      <w:r>
        <w:rPr>
          <w:sz w:val="20"/>
        </w:rPr>
        <w:t>apply</w:t>
      </w:r>
      <w:r>
        <w:rPr>
          <w:spacing w:val="-9"/>
          <w:sz w:val="20"/>
        </w:rPr>
        <w:t> </w:t>
      </w:r>
      <w:r>
        <w:rPr>
          <w:sz w:val="20"/>
        </w:rPr>
        <w:t>two</w:t>
      </w:r>
      <w:r>
        <w:rPr>
          <w:spacing w:val="-6"/>
          <w:sz w:val="20"/>
        </w:rPr>
        <w:t> </w:t>
      </w:r>
      <w:r>
        <w:rPr>
          <w:sz w:val="20"/>
        </w:rPr>
        <w:t>main</w:t>
      </w:r>
      <w:r>
        <w:rPr>
          <w:spacing w:val="-7"/>
          <w:sz w:val="20"/>
        </w:rPr>
        <w:t> </w:t>
      </w:r>
      <w:r>
        <w:rPr>
          <w:sz w:val="20"/>
        </w:rPr>
        <w:t>methods</w:t>
      </w:r>
      <w:r>
        <w:rPr>
          <w:spacing w:val="-2"/>
          <w:sz w:val="20"/>
        </w:rPr>
        <w:t> </w:t>
      </w:r>
      <w:r>
        <w:rPr>
          <w:sz w:val="20"/>
        </w:rPr>
        <w:t>to</w:t>
      </w:r>
      <w:r>
        <w:rPr>
          <w:spacing w:val="-4"/>
          <w:sz w:val="20"/>
        </w:rPr>
        <w:t> </w:t>
      </w:r>
      <w:r>
        <w:rPr>
          <w:sz w:val="20"/>
        </w:rPr>
        <w:t>eliminate</w:t>
      </w:r>
      <w:r>
        <w:rPr>
          <w:spacing w:val="-5"/>
          <w:sz w:val="20"/>
        </w:rPr>
        <w:t> </w:t>
      </w:r>
      <w:r>
        <w:rPr>
          <w:sz w:val="20"/>
        </w:rPr>
        <w:t>international</w:t>
      </w:r>
      <w:r>
        <w:rPr>
          <w:spacing w:val="-6"/>
          <w:sz w:val="20"/>
        </w:rPr>
        <w:t> </w:t>
      </w:r>
      <w:r>
        <w:rPr>
          <w:sz w:val="20"/>
        </w:rPr>
        <w:t>juridical double taxation, the exemption method and the credit method. Under the exemption method, a paying entity would simply exempt from taxation the portion of its profits that had been allocated to market jurisdictions under Amount A. Under the credit method, the residence jurisdiction of a paying entity would provide a credit against its own tax for the tax paid in another</w:t>
      </w:r>
      <w:r>
        <w:rPr>
          <w:spacing w:val="-13"/>
          <w:sz w:val="20"/>
        </w:rPr>
        <w:t> </w:t>
      </w:r>
      <w:r>
        <w:rPr>
          <w:sz w:val="20"/>
        </w:rPr>
        <w:t>jurisdiction.</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The</w:t>
      </w:r>
      <w:r>
        <w:rPr>
          <w:spacing w:val="-7"/>
          <w:sz w:val="20"/>
        </w:rPr>
        <w:t> </w:t>
      </w:r>
      <w:r>
        <w:rPr>
          <w:sz w:val="20"/>
        </w:rPr>
        <w:t>Blueprint</w:t>
      </w:r>
      <w:r>
        <w:rPr>
          <w:spacing w:val="-6"/>
          <w:sz w:val="20"/>
        </w:rPr>
        <w:t> </w:t>
      </w:r>
      <w:r>
        <w:rPr>
          <w:sz w:val="20"/>
        </w:rPr>
        <w:t>contemplates</w:t>
      </w:r>
      <w:r>
        <w:rPr>
          <w:spacing w:val="-5"/>
          <w:sz w:val="20"/>
        </w:rPr>
        <w:t> </w:t>
      </w:r>
      <w:r>
        <w:rPr>
          <w:sz w:val="20"/>
        </w:rPr>
        <w:t>that</w:t>
      </w:r>
      <w:r>
        <w:rPr>
          <w:spacing w:val="-6"/>
          <w:sz w:val="20"/>
        </w:rPr>
        <w:t> </w:t>
      </w:r>
      <w:r>
        <w:rPr>
          <w:sz w:val="20"/>
        </w:rPr>
        <w:t>tax</w:t>
      </w:r>
      <w:r>
        <w:rPr>
          <w:spacing w:val="-6"/>
          <w:sz w:val="20"/>
        </w:rPr>
        <w:t> </w:t>
      </w:r>
      <w:r>
        <w:rPr>
          <w:sz w:val="20"/>
        </w:rPr>
        <w:t>on</w:t>
      </w:r>
      <w:r>
        <w:rPr>
          <w:spacing w:val="-5"/>
          <w:sz w:val="20"/>
        </w:rPr>
        <w:t> </w:t>
      </w:r>
      <w:r>
        <w:rPr>
          <w:sz w:val="20"/>
        </w:rPr>
        <w:t>Amount</w:t>
      </w:r>
      <w:r>
        <w:rPr>
          <w:spacing w:val="-6"/>
          <w:sz w:val="20"/>
        </w:rPr>
        <w:t> </w:t>
      </w:r>
      <w:r>
        <w:rPr>
          <w:sz w:val="20"/>
        </w:rPr>
        <w:t>A</w:t>
      </w:r>
      <w:r>
        <w:rPr>
          <w:spacing w:val="-7"/>
          <w:sz w:val="20"/>
        </w:rPr>
        <w:t> </w:t>
      </w:r>
      <w:r>
        <w:rPr>
          <w:sz w:val="20"/>
        </w:rPr>
        <w:t>could</w:t>
      </w:r>
      <w:r>
        <w:rPr>
          <w:spacing w:val="-5"/>
          <w:sz w:val="20"/>
        </w:rPr>
        <w:t> </w:t>
      </w:r>
      <w:r>
        <w:rPr>
          <w:sz w:val="20"/>
        </w:rPr>
        <w:t>be</w:t>
      </w:r>
      <w:r>
        <w:rPr>
          <w:spacing w:val="-7"/>
          <w:sz w:val="20"/>
        </w:rPr>
        <w:t> </w:t>
      </w:r>
      <w:r>
        <w:rPr>
          <w:sz w:val="20"/>
        </w:rPr>
        <w:t>relieved</w:t>
      </w:r>
      <w:r>
        <w:rPr>
          <w:spacing w:val="-7"/>
          <w:sz w:val="20"/>
        </w:rPr>
        <w:t> </w:t>
      </w:r>
      <w:r>
        <w:rPr>
          <w:sz w:val="20"/>
        </w:rPr>
        <w:t>by</w:t>
      </w:r>
      <w:r>
        <w:rPr>
          <w:spacing w:val="-9"/>
          <w:sz w:val="20"/>
        </w:rPr>
        <w:t> </w:t>
      </w:r>
      <w:r>
        <w:rPr>
          <w:sz w:val="20"/>
        </w:rPr>
        <w:t>paying</w:t>
      </w:r>
      <w:r>
        <w:rPr>
          <w:spacing w:val="-7"/>
          <w:sz w:val="20"/>
        </w:rPr>
        <w:t> </w:t>
      </w:r>
      <w:r>
        <w:rPr>
          <w:sz w:val="20"/>
        </w:rPr>
        <w:t>entities</w:t>
      </w:r>
      <w:r>
        <w:rPr>
          <w:spacing w:val="-6"/>
          <w:sz w:val="20"/>
        </w:rPr>
        <w:t> </w:t>
      </w:r>
      <w:r>
        <w:rPr>
          <w:sz w:val="20"/>
        </w:rPr>
        <w:t>using</w:t>
      </w:r>
      <w:r>
        <w:rPr>
          <w:spacing w:val="-5"/>
          <w:sz w:val="20"/>
        </w:rPr>
        <w:t> </w:t>
      </w:r>
      <w:r>
        <w:rPr>
          <w:sz w:val="20"/>
        </w:rPr>
        <w:t>either the exemption method or the credit method. Given the current tax rates in market jurisdictions, both methods may ultimately deliver the same</w:t>
      </w:r>
      <w:r>
        <w:rPr>
          <w:spacing w:val="-11"/>
          <w:sz w:val="20"/>
        </w:rPr>
        <w:t> </w:t>
      </w:r>
      <w:r>
        <w:rPr>
          <w:sz w:val="20"/>
        </w:rPr>
        <w:t>outcome.</w:t>
      </w:r>
    </w:p>
    <w:p>
      <w:pPr>
        <w:pStyle w:val="BodyText"/>
        <w:rPr>
          <w:sz w:val="22"/>
        </w:rPr>
      </w:pPr>
    </w:p>
    <w:p>
      <w:pPr>
        <w:pStyle w:val="Heading4"/>
        <w:numPr>
          <w:ilvl w:val="1"/>
          <w:numId w:val="68"/>
        </w:numPr>
        <w:tabs>
          <w:tab w:pos="1192" w:val="left" w:leader="none"/>
        </w:tabs>
        <w:spacing w:line="240" w:lineRule="auto" w:before="192" w:after="0"/>
        <w:ind w:left="1191" w:right="0" w:hanging="469"/>
        <w:jc w:val="both"/>
        <w:rPr>
          <w:rFonts w:ascii="Arial"/>
        </w:rPr>
      </w:pPr>
      <w:bookmarkStart w:name="7.2. Component 1: Identifying the paying" w:id="329"/>
      <w:bookmarkEnd w:id="329"/>
      <w:r>
        <w:rPr>
          <w:b w:val="0"/>
        </w:rPr>
      </w:r>
      <w:bookmarkStart w:name="_bookmark53" w:id="330"/>
      <w:bookmarkEnd w:id="330"/>
      <w:r>
        <w:rPr>
          <w:b w:val="0"/>
        </w:rPr>
      </w:r>
      <w:bookmarkStart w:name="_bookmark53" w:id="331"/>
      <w:bookmarkEnd w:id="331"/>
      <w:r>
        <w:rPr>
          <w:rFonts w:ascii="Arial"/>
          <w:color w:val="4E81BD"/>
        </w:rPr>
        <w:t>Componen</w:t>
      </w:r>
      <w:r>
        <w:rPr>
          <w:rFonts w:ascii="Arial"/>
          <w:color w:val="4E81BD"/>
        </w:rPr>
        <w:t>t 1: Identifying the paying</w:t>
      </w:r>
      <w:r>
        <w:rPr>
          <w:rFonts w:ascii="Arial"/>
          <w:color w:val="4E81BD"/>
          <w:spacing w:val="-1"/>
        </w:rPr>
        <w:t> </w:t>
      </w:r>
      <w:r>
        <w:rPr>
          <w:rFonts w:ascii="Arial"/>
          <w:color w:val="4E81BD"/>
        </w:rPr>
        <w:t>entities</w:t>
      </w:r>
    </w:p>
    <w:p>
      <w:pPr>
        <w:pStyle w:val="BodyText"/>
        <w:spacing w:before="2"/>
        <w:rPr>
          <w:b/>
          <w:sz w:val="24"/>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Amount A will be calculated at a group or segment level using a simple formula, incorporating a profitability threshold and reallocation percentage. This section explains how this calculation of residual profit at a group or segment level (which is allocated to market jurisdictions under Amount A) is broken down</w:t>
      </w:r>
      <w:r>
        <w:rPr>
          <w:spacing w:val="-13"/>
          <w:sz w:val="20"/>
        </w:rPr>
        <w:t> </w:t>
      </w:r>
      <w:r>
        <w:rPr>
          <w:sz w:val="20"/>
        </w:rPr>
        <w:t>to</w:t>
      </w:r>
      <w:r>
        <w:rPr>
          <w:spacing w:val="-10"/>
          <w:sz w:val="20"/>
        </w:rPr>
        <w:t> </w:t>
      </w:r>
      <w:r>
        <w:rPr>
          <w:sz w:val="20"/>
        </w:rPr>
        <w:t>an</w:t>
      </w:r>
      <w:r>
        <w:rPr>
          <w:spacing w:val="-12"/>
          <w:sz w:val="20"/>
        </w:rPr>
        <w:t> </w:t>
      </w:r>
      <w:r>
        <w:rPr>
          <w:sz w:val="20"/>
        </w:rPr>
        <w:t>entity</w:t>
      </w:r>
      <w:r>
        <w:rPr>
          <w:spacing w:val="-15"/>
          <w:sz w:val="20"/>
        </w:rPr>
        <w:t> </w:t>
      </w:r>
      <w:r>
        <w:rPr>
          <w:sz w:val="20"/>
        </w:rPr>
        <w:t>level.</w:t>
      </w:r>
      <w:r>
        <w:rPr>
          <w:spacing w:val="-12"/>
          <w:sz w:val="20"/>
        </w:rPr>
        <w:t> </w:t>
      </w:r>
      <w:r>
        <w:rPr>
          <w:sz w:val="20"/>
        </w:rPr>
        <w:t>This</w:t>
      </w:r>
      <w:r>
        <w:rPr>
          <w:spacing w:val="-10"/>
          <w:sz w:val="20"/>
        </w:rPr>
        <w:t> </w:t>
      </w:r>
      <w:r>
        <w:rPr>
          <w:sz w:val="20"/>
        </w:rPr>
        <w:t>is</w:t>
      </w:r>
      <w:r>
        <w:rPr>
          <w:spacing w:val="-11"/>
          <w:sz w:val="20"/>
        </w:rPr>
        <w:t> </w:t>
      </w:r>
      <w:r>
        <w:rPr>
          <w:sz w:val="20"/>
        </w:rPr>
        <w:t>necessary</w:t>
      </w:r>
      <w:r>
        <w:rPr>
          <w:spacing w:val="-15"/>
          <w:sz w:val="20"/>
        </w:rPr>
        <w:t> </w:t>
      </w:r>
      <w:r>
        <w:rPr>
          <w:sz w:val="20"/>
        </w:rPr>
        <w:t>as</w:t>
      </w:r>
      <w:r>
        <w:rPr>
          <w:spacing w:val="-10"/>
          <w:sz w:val="20"/>
        </w:rPr>
        <w:t> </w:t>
      </w:r>
      <w:r>
        <w:rPr>
          <w:sz w:val="20"/>
        </w:rPr>
        <w:t>the</w:t>
      </w:r>
      <w:r>
        <w:rPr>
          <w:spacing w:val="-13"/>
          <w:sz w:val="20"/>
        </w:rPr>
        <w:t> </w:t>
      </w:r>
      <w:r>
        <w:rPr>
          <w:sz w:val="20"/>
        </w:rPr>
        <w:t>mechanism</w:t>
      </w:r>
      <w:r>
        <w:rPr>
          <w:spacing w:val="-8"/>
          <w:sz w:val="20"/>
        </w:rPr>
        <w:t> </w:t>
      </w:r>
      <w:r>
        <w:rPr>
          <w:sz w:val="20"/>
        </w:rPr>
        <w:t>to</w:t>
      </w:r>
      <w:r>
        <w:rPr>
          <w:spacing w:val="-12"/>
          <w:sz w:val="20"/>
        </w:rPr>
        <w:t> </w:t>
      </w:r>
      <w:r>
        <w:rPr>
          <w:sz w:val="20"/>
        </w:rPr>
        <w:t>relieve</w:t>
      </w:r>
      <w:r>
        <w:rPr>
          <w:spacing w:val="-12"/>
          <w:sz w:val="20"/>
        </w:rPr>
        <w:t> </w:t>
      </w:r>
      <w:r>
        <w:rPr>
          <w:sz w:val="20"/>
        </w:rPr>
        <w:t>double</w:t>
      </w:r>
      <w:r>
        <w:rPr>
          <w:spacing w:val="-13"/>
          <w:sz w:val="20"/>
        </w:rPr>
        <w:t> </w:t>
      </w:r>
      <w:r>
        <w:rPr>
          <w:sz w:val="20"/>
        </w:rPr>
        <w:t>taxation</w:t>
      </w:r>
      <w:r>
        <w:rPr>
          <w:spacing w:val="-12"/>
          <w:sz w:val="20"/>
        </w:rPr>
        <w:t> </w:t>
      </w:r>
      <w:r>
        <w:rPr>
          <w:sz w:val="20"/>
        </w:rPr>
        <w:t>arising</w:t>
      </w:r>
      <w:r>
        <w:rPr>
          <w:spacing w:val="-13"/>
          <w:sz w:val="20"/>
        </w:rPr>
        <w:t> </w:t>
      </w:r>
      <w:r>
        <w:rPr>
          <w:sz w:val="20"/>
        </w:rPr>
        <w:t>from</w:t>
      </w:r>
      <w:r>
        <w:rPr>
          <w:spacing w:val="-7"/>
          <w:sz w:val="20"/>
        </w:rPr>
        <w:t> </w:t>
      </w:r>
      <w:r>
        <w:rPr>
          <w:sz w:val="20"/>
        </w:rPr>
        <w:t>Amount A</w:t>
      </w:r>
      <w:r>
        <w:rPr>
          <w:spacing w:val="-17"/>
          <w:sz w:val="20"/>
        </w:rPr>
        <w:t> </w:t>
      </w:r>
      <w:r>
        <w:rPr>
          <w:sz w:val="20"/>
        </w:rPr>
        <w:t>operates</w:t>
      </w:r>
      <w:r>
        <w:rPr>
          <w:spacing w:val="-15"/>
          <w:sz w:val="20"/>
        </w:rPr>
        <w:t> </w:t>
      </w:r>
      <w:r>
        <w:rPr>
          <w:sz w:val="20"/>
        </w:rPr>
        <w:t>at</w:t>
      </w:r>
      <w:r>
        <w:rPr>
          <w:spacing w:val="-15"/>
          <w:sz w:val="20"/>
        </w:rPr>
        <w:t> </w:t>
      </w:r>
      <w:r>
        <w:rPr>
          <w:sz w:val="20"/>
        </w:rPr>
        <w:t>an</w:t>
      </w:r>
      <w:r>
        <w:rPr>
          <w:spacing w:val="-16"/>
          <w:sz w:val="20"/>
        </w:rPr>
        <w:t> </w:t>
      </w:r>
      <w:r>
        <w:rPr>
          <w:sz w:val="20"/>
        </w:rPr>
        <w:t>entity</w:t>
      </w:r>
      <w:r>
        <w:rPr>
          <w:spacing w:val="-21"/>
          <w:sz w:val="20"/>
        </w:rPr>
        <w:t> </w:t>
      </w:r>
      <w:r>
        <w:rPr>
          <w:sz w:val="20"/>
        </w:rPr>
        <w:t>rather</w:t>
      </w:r>
      <w:r>
        <w:rPr>
          <w:spacing w:val="-14"/>
          <w:sz w:val="20"/>
        </w:rPr>
        <w:t> </w:t>
      </w:r>
      <w:r>
        <w:rPr>
          <w:sz w:val="20"/>
        </w:rPr>
        <w:t>than</w:t>
      </w:r>
      <w:r>
        <w:rPr>
          <w:spacing w:val="-16"/>
          <w:sz w:val="20"/>
        </w:rPr>
        <w:t> </w:t>
      </w:r>
      <w:r>
        <w:rPr>
          <w:sz w:val="20"/>
        </w:rPr>
        <w:t>a</w:t>
      </w:r>
      <w:r>
        <w:rPr>
          <w:spacing w:val="-15"/>
          <w:sz w:val="20"/>
        </w:rPr>
        <w:t> </w:t>
      </w:r>
      <w:r>
        <w:rPr>
          <w:sz w:val="20"/>
        </w:rPr>
        <w:t>group</w:t>
      </w:r>
      <w:r>
        <w:rPr>
          <w:spacing w:val="-17"/>
          <w:sz w:val="20"/>
        </w:rPr>
        <w:t> </w:t>
      </w:r>
      <w:r>
        <w:rPr>
          <w:sz w:val="20"/>
        </w:rPr>
        <w:t>or</w:t>
      </w:r>
      <w:r>
        <w:rPr>
          <w:spacing w:val="-14"/>
          <w:sz w:val="20"/>
        </w:rPr>
        <w:t> </w:t>
      </w:r>
      <w:r>
        <w:rPr>
          <w:sz w:val="20"/>
        </w:rPr>
        <w:t>segment</w:t>
      </w:r>
      <w:r>
        <w:rPr>
          <w:spacing w:val="-16"/>
          <w:sz w:val="20"/>
        </w:rPr>
        <w:t> </w:t>
      </w:r>
      <w:r>
        <w:rPr>
          <w:sz w:val="20"/>
        </w:rPr>
        <w:t>level.</w:t>
      </w:r>
      <w:r>
        <w:rPr>
          <w:spacing w:val="-16"/>
          <w:sz w:val="20"/>
        </w:rPr>
        <w:t> </w:t>
      </w:r>
      <w:r>
        <w:rPr>
          <w:sz w:val="20"/>
        </w:rPr>
        <w:t>The</w:t>
      </w:r>
      <w:r>
        <w:rPr>
          <w:spacing w:val="-16"/>
          <w:sz w:val="20"/>
        </w:rPr>
        <w:t> </w:t>
      </w:r>
      <w:r>
        <w:rPr>
          <w:sz w:val="20"/>
        </w:rPr>
        <w:t>Blueprint</w:t>
      </w:r>
      <w:r>
        <w:rPr>
          <w:spacing w:val="-16"/>
          <w:sz w:val="20"/>
        </w:rPr>
        <w:t> </w:t>
      </w:r>
      <w:r>
        <w:rPr>
          <w:sz w:val="20"/>
        </w:rPr>
        <w:t>uses</w:t>
      </w:r>
      <w:r>
        <w:rPr>
          <w:spacing w:val="-14"/>
          <w:sz w:val="20"/>
        </w:rPr>
        <w:t> </w:t>
      </w:r>
      <w:r>
        <w:rPr>
          <w:sz w:val="20"/>
        </w:rPr>
        <w:t>an</w:t>
      </w:r>
      <w:r>
        <w:rPr>
          <w:spacing w:val="-17"/>
          <w:sz w:val="20"/>
        </w:rPr>
        <w:t> </w:t>
      </w:r>
      <w:r>
        <w:rPr>
          <w:sz w:val="20"/>
        </w:rPr>
        <w:t>approach</w:t>
      </w:r>
      <w:r>
        <w:rPr>
          <w:spacing w:val="-15"/>
          <w:sz w:val="20"/>
        </w:rPr>
        <w:t> </w:t>
      </w:r>
      <w:r>
        <w:rPr>
          <w:sz w:val="20"/>
        </w:rPr>
        <w:t>that</w:t>
      </w:r>
      <w:r>
        <w:rPr>
          <w:spacing w:val="-16"/>
          <w:sz w:val="20"/>
        </w:rPr>
        <w:t> </w:t>
      </w:r>
      <w:r>
        <w:rPr>
          <w:sz w:val="20"/>
        </w:rPr>
        <w:t>combines tax and accounting concepts, as well as simplifying conventions, to identify the entities within the MNE group</w:t>
      </w:r>
      <w:r>
        <w:rPr>
          <w:spacing w:val="-17"/>
          <w:sz w:val="20"/>
        </w:rPr>
        <w:t> </w:t>
      </w:r>
      <w:r>
        <w:rPr>
          <w:sz w:val="20"/>
        </w:rPr>
        <w:t>that</w:t>
      </w:r>
      <w:r>
        <w:rPr>
          <w:spacing w:val="-16"/>
          <w:sz w:val="20"/>
        </w:rPr>
        <w:t> </w:t>
      </w:r>
      <w:r>
        <w:rPr>
          <w:sz w:val="20"/>
        </w:rPr>
        <w:t>earn</w:t>
      </w:r>
      <w:r>
        <w:rPr>
          <w:spacing w:val="-16"/>
          <w:sz w:val="20"/>
        </w:rPr>
        <w:t> </w:t>
      </w:r>
      <w:r>
        <w:rPr>
          <w:sz w:val="20"/>
        </w:rPr>
        <w:t>the</w:t>
      </w:r>
      <w:r>
        <w:rPr>
          <w:spacing w:val="-17"/>
          <w:sz w:val="20"/>
        </w:rPr>
        <w:t> </w:t>
      </w:r>
      <w:r>
        <w:rPr>
          <w:sz w:val="20"/>
        </w:rPr>
        <w:t>residual</w:t>
      </w:r>
      <w:r>
        <w:rPr>
          <w:spacing w:val="-14"/>
          <w:sz w:val="20"/>
        </w:rPr>
        <w:t> </w:t>
      </w:r>
      <w:r>
        <w:rPr>
          <w:sz w:val="20"/>
        </w:rPr>
        <w:t>profit</w:t>
      </w:r>
      <w:r>
        <w:rPr>
          <w:spacing w:val="-15"/>
          <w:sz w:val="20"/>
        </w:rPr>
        <w:t> </w:t>
      </w:r>
      <w:r>
        <w:rPr>
          <w:sz w:val="20"/>
        </w:rPr>
        <w:t>under</w:t>
      </w:r>
      <w:r>
        <w:rPr>
          <w:spacing w:val="-15"/>
          <w:sz w:val="20"/>
        </w:rPr>
        <w:t> </w:t>
      </w:r>
      <w:r>
        <w:rPr>
          <w:sz w:val="20"/>
        </w:rPr>
        <w:t>existing</w:t>
      </w:r>
      <w:r>
        <w:rPr>
          <w:spacing w:val="-16"/>
          <w:sz w:val="20"/>
        </w:rPr>
        <w:t> </w:t>
      </w:r>
      <w:r>
        <w:rPr>
          <w:sz w:val="20"/>
        </w:rPr>
        <w:t>tax</w:t>
      </w:r>
      <w:r>
        <w:rPr>
          <w:spacing w:val="-16"/>
          <w:sz w:val="20"/>
        </w:rPr>
        <w:t> </w:t>
      </w:r>
      <w:r>
        <w:rPr>
          <w:sz w:val="20"/>
        </w:rPr>
        <w:t>rules</w:t>
      </w:r>
      <w:r>
        <w:rPr>
          <w:spacing w:val="-15"/>
          <w:sz w:val="20"/>
        </w:rPr>
        <w:t> </w:t>
      </w:r>
      <w:r>
        <w:rPr>
          <w:sz w:val="20"/>
        </w:rPr>
        <w:t>corresponding</w:t>
      </w:r>
      <w:r>
        <w:rPr>
          <w:spacing w:val="-16"/>
          <w:sz w:val="20"/>
        </w:rPr>
        <w:t> </w:t>
      </w:r>
      <w:r>
        <w:rPr>
          <w:sz w:val="20"/>
        </w:rPr>
        <w:t>to</w:t>
      </w:r>
      <w:r>
        <w:rPr>
          <w:spacing w:val="-16"/>
          <w:sz w:val="20"/>
        </w:rPr>
        <w:t> </w:t>
      </w:r>
      <w:r>
        <w:rPr>
          <w:sz w:val="20"/>
        </w:rPr>
        <w:t>Amount</w:t>
      </w:r>
      <w:r>
        <w:rPr>
          <w:spacing w:val="-15"/>
          <w:sz w:val="20"/>
        </w:rPr>
        <w:t> </w:t>
      </w:r>
      <w:r>
        <w:rPr>
          <w:sz w:val="20"/>
        </w:rPr>
        <w:t>A</w:t>
      </w:r>
      <w:r>
        <w:rPr>
          <w:spacing w:val="-16"/>
          <w:sz w:val="20"/>
        </w:rPr>
        <w:t> </w:t>
      </w:r>
      <w:r>
        <w:rPr>
          <w:sz w:val="20"/>
        </w:rPr>
        <w:t>and</w:t>
      </w:r>
      <w:r>
        <w:rPr>
          <w:spacing w:val="-16"/>
          <w:sz w:val="20"/>
        </w:rPr>
        <w:t> </w:t>
      </w:r>
      <w:r>
        <w:rPr>
          <w:sz w:val="20"/>
        </w:rPr>
        <w:t>that</w:t>
      </w:r>
      <w:r>
        <w:rPr>
          <w:spacing w:val="-16"/>
          <w:sz w:val="20"/>
        </w:rPr>
        <w:t> </w:t>
      </w:r>
      <w:r>
        <w:rPr>
          <w:sz w:val="20"/>
        </w:rPr>
        <w:t>are</w:t>
      </w:r>
      <w:r>
        <w:rPr>
          <w:spacing w:val="-16"/>
          <w:sz w:val="20"/>
        </w:rPr>
        <w:t> </w:t>
      </w:r>
      <w:r>
        <w:rPr>
          <w:sz w:val="20"/>
        </w:rPr>
        <w:t>therefore designated as paying entities for the purposes of Amount</w:t>
      </w:r>
      <w:r>
        <w:rPr>
          <w:spacing w:val="-6"/>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2" w:firstLine="0"/>
        <w:jc w:val="both"/>
        <w:rPr>
          <w:sz w:val="20"/>
        </w:rPr>
      </w:pPr>
      <w:r>
        <w:rPr>
          <w:sz w:val="20"/>
        </w:rPr>
        <w:t>It could be argued that the same or a similar formulaic approach used to determine Amount A should be adopted to identify entities that will bear the Amount A tax liability – the paying entities – for example as those entities with a PBT to revenue ratio in excess of the agreed profitability</w:t>
      </w:r>
      <w:r>
        <w:rPr>
          <w:spacing w:val="-35"/>
          <w:sz w:val="20"/>
        </w:rPr>
        <w:t> </w:t>
      </w:r>
      <w:r>
        <w:rPr>
          <w:sz w:val="20"/>
        </w:rPr>
        <w:t>threshold.</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The most logical starting point for this profitability test would be to use the same formula used to calculate</w:t>
      </w:r>
      <w:r>
        <w:rPr>
          <w:spacing w:val="-4"/>
          <w:sz w:val="20"/>
        </w:rPr>
        <w:t> </w:t>
      </w:r>
      <w:r>
        <w:rPr>
          <w:sz w:val="20"/>
        </w:rPr>
        <w:t>Amount</w:t>
      </w:r>
      <w:r>
        <w:rPr>
          <w:spacing w:val="-7"/>
          <w:sz w:val="20"/>
        </w:rPr>
        <w:t> </w:t>
      </w:r>
      <w:r>
        <w:rPr>
          <w:sz w:val="20"/>
        </w:rPr>
        <w:t>A</w:t>
      </w:r>
      <w:r>
        <w:rPr>
          <w:spacing w:val="-7"/>
          <w:sz w:val="20"/>
        </w:rPr>
        <w:t> </w:t>
      </w:r>
      <w:r>
        <w:rPr>
          <w:sz w:val="20"/>
        </w:rPr>
        <w:t>at</w:t>
      </w:r>
      <w:r>
        <w:rPr>
          <w:spacing w:val="-4"/>
          <w:sz w:val="20"/>
        </w:rPr>
        <w:t> </w:t>
      </w:r>
      <w:r>
        <w:rPr>
          <w:sz w:val="20"/>
        </w:rPr>
        <w:t>a</w:t>
      </w:r>
      <w:r>
        <w:rPr>
          <w:spacing w:val="-7"/>
          <w:sz w:val="20"/>
        </w:rPr>
        <w:t> </w:t>
      </w:r>
      <w:r>
        <w:rPr>
          <w:sz w:val="20"/>
        </w:rPr>
        <w:t>group</w:t>
      </w:r>
      <w:r>
        <w:rPr>
          <w:spacing w:val="-7"/>
          <w:sz w:val="20"/>
        </w:rPr>
        <w:t> </w:t>
      </w:r>
      <w:r>
        <w:rPr>
          <w:sz w:val="20"/>
        </w:rPr>
        <w:t>or</w:t>
      </w:r>
      <w:r>
        <w:rPr>
          <w:spacing w:val="-5"/>
          <w:sz w:val="20"/>
        </w:rPr>
        <w:t> </w:t>
      </w:r>
      <w:r>
        <w:rPr>
          <w:sz w:val="20"/>
        </w:rPr>
        <w:t>segment</w:t>
      </w:r>
      <w:r>
        <w:rPr>
          <w:spacing w:val="-6"/>
          <w:sz w:val="20"/>
        </w:rPr>
        <w:t> </w:t>
      </w:r>
      <w:r>
        <w:rPr>
          <w:sz w:val="20"/>
        </w:rPr>
        <w:t>level</w:t>
      </w:r>
      <w:r>
        <w:rPr>
          <w:spacing w:val="-7"/>
          <w:sz w:val="20"/>
        </w:rPr>
        <w:t> </w:t>
      </w:r>
      <w:r>
        <w:rPr>
          <w:sz w:val="20"/>
        </w:rPr>
        <w:t>(PBT</w:t>
      </w:r>
      <w:r>
        <w:rPr>
          <w:spacing w:val="-3"/>
          <w:sz w:val="20"/>
        </w:rPr>
        <w:t> </w:t>
      </w:r>
      <w:r>
        <w:rPr>
          <w:sz w:val="20"/>
        </w:rPr>
        <w:t>/</w:t>
      </w:r>
      <w:r>
        <w:rPr>
          <w:spacing w:val="-5"/>
          <w:sz w:val="20"/>
        </w:rPr>
        <w:t> </w:t>
      </w:r>
      <w:r>
        <w:rPr>
          <w:sz w:val="20"/>
        </w:rPr>
        <w:t>revenue,</w:t>
      </w:r>
      <w:r>
        <w:rPr>
          <w:spacing w:val="-4"/>
          <w:sz w:val="20"/>
        </w:rPr>
        <w:t> </w:t>
      </w:r>
      <w:r>
        <w:rPr>
          <w:sz w:val="20"/>
        </w:rPr>
        <w:t>in</w:t>
      </w:r>
      <w:r>
        <w:rPr>
          <w:spacing w:val="-4"/>
          <w:sz w:val="20"/>
        </w:rPr>
        <w:t> </w:t>
      </w:r>
      <w:r>
        <w:rPr>
          <w:sz w:val="20"/>
        </w:rPr>
        <w:t>excess</w:t>
      </w:r>
      <w:r>
        <w:rPr>
          <w:spacing w:val="-5"/>
          <w:sz w:val="20"/>
        </w:rPr>
        <w:t> </w:t>
      </w:r>
      <w:r>
        <w:rPr>
          <w:sz w:val="20"/>
        </w:rPr>
        <w:t>of</w:t>
      </w:r>
      <w:r>
        <w:rPr>
          <w:spacing w:val="-5"/>
          <w:sz w:val="20"/>
        </w:rPr>
        <w:t> </w:t>
      </w:r>
      <w:r>
        <w:rPr>
          <w:sz w:val="20"/>
        </w:rPr>
        <w:t>x%).</w:t>
      </w:r>
      <w:r>
        <w:rPr>
          <w:spacing w:val="-8"/>
          <w:sz w:val="20"/>
        </w:rPr>
        <w:t> </w:t>
      </w:r>
      <w:r>
        <w:rPr>
          <w:sz w:val="20"/>
        </w:rPr>
        <w:t>However,</w:t>
      </w:r>
      <w:r>
        <w:rPr>
          <w:spacing w:val="-6"/>
          <w:sz w:val="20"/>
        </w:rPr>
        <w:t> </w:t>
      </w:r>
      <w:r>
        <w:rPr>
          <w:sz w:val="20"/>
        </w:rPr>
        <w:t>there</w:t>
      </w:r>
      <w:r>
        <w:rPr>
          <w:spacing w:val="-7"/>
          <w:sz w:val="20"/>
        </w:rPr>
        <w:t> </w:t>
      </w:r>
      <w:r>
        <w:rPr>
          <w:sz w:val="20"/>
        </w:rPr>
        <w:t>are</w:t>
      </w:r>
      <w:r>
        <w:rPr>
          <w:spacing w:val="-3"/>
          <w:sz w:val="20"/>
        </w:rPr>
        <w:t> </w:t>
      </w:r>
      <w:r>
        <w:rPr>
          <w:sz w:val="20"/>
        </w:rPr>
        <w:t>two reasons why this approach is not considered appropriate. First, entity-level accounts include intragroup transactions that are eliminated on consolidation. </w:t>
      </w:r>
      <w:r>
        <w:rPr>
          <w:spacing w:val="2"/>
          <w:sz w:val="20"/>
        </w:rPr>
        <w:t>As </w:t>
      </w:r>
      <w:r>
        <w:rPr>
          <w:sz w:val="20"/>
        </w:rPr>
        <w:t>a result, the consolidated revenue of a group will be less</w:t>
      </w:r>
      <w:r>
        <w:rPr>
          <w:spacing w:val="-11"/>
          <w:sz w:val="20"/>
        </w:rPr>
        <w:t> </w:t>
      </w:r>
      <w:r>
        <w:rPr>
          <w:sz w:val="20"/>
        </w:rPr>
        <w:t>(potentially</w:t>
      </w:r>
      <w:r>
        <w:rPr>
          <w:spacing w:val="-15"/>
          <w:sz w:val="20"/>
        </w:rPr>
        <w:t> </w:t>
      </w:r>
      <w:r>
        <w:rPr>
          <w:sz w:val="20"/>
        </w:rPr>
        <w:t>substantially</w:t>
      </w:r>
      <w:r>
        <w:rPr>
          <w:spacing w:val="-13"/>
          <w:sz w:val="20"/>
        </w:rPr>
        <w:t> </w:t>
      </w:r>
      <w:r>
        <w:rPr>
          <w:sz w:val="20"/>
        </w:rPr>
        <w:t>less)</w:t>
      </w:r>
      <w:r>
        <w:rPr>
          <w:spacing w:val="-11"/>
          <w:sz w:val="20"/>
        </w:rPr>
        <w:t> </w:t>
      </w:r>
      <w:r>
        <w:rPr>
          <w:sz w:val="20"/>
        </w:rPr>
        <w:t>than</w:t>
      </w:r>
      <w:r>
        <w:rPr>
          <w:spacing w:val="-12"/>
          <w:sz w:val="20"/>
        </w:rPr>
        <w:t> </w:t>
      </w:r>
      <w:r>
        <w:rPr>
          <w:sz w:val="20"/>
        </w:rPr>
        <w:t>the</w:t>
      </w:r>
      <w:r>
        <w:rPr>
          <w:spacing w:val="-13"/>
          <w:sz w:val="20"/>
        </w:rPr>
        <w:t> </w:t>
      </w:r>
      <w:r>
        <w:rPr>
          <w:sz w:val="20"/>
        </w:rPr>
        <w:t>total</w:t>
      </w:r>
      <w:r>
        <w:rPr>
          <w:spacing w:val="-12"/>
          <w:sz w:val="20"/>
        </w:rPr>
        <w:t> </w:t>
      </w:r>
      <w:r>
        <w:rPr>
          <w:sz w:val="20"/>
        </w:rPr>
        <w:t>(unconsolidated)</w:t>
      </w:r>
      <w:r>
        <w:rPr>
          <w:spacing w:val="-12"/>
          <w:sz w:val="20"/>
        </w:rPr>
        <w:t> </w:t>
      </w:r>
      <w:r>
        <w:rPr>
          <w:sz w:val="20"/>
        </w:rPr>
        <w:t>revenue</w:t>
      </w:r>
      <w:r>
        <w:rPr>
          <w:spacing w:val="-10"/>
          <w:sz w:val="20"/>
        </w:rPr>
        <w:t> </w:t>
      </w:r>
      <w:r>
        <w:rPr>
          <w:sz w:val="20"/>
        </w:rPr>
        <w:t>of</w:t>
      </w:r>
      <w:r>
        <w:rPr>
          <w:spacing w:val="-9"/>
          <w:sz w:val="20"/>
        </w:rPr>
        <w:t> </w:t>
      </w:r>
      <w:r>
        <w:rPr>
          <w:sz w:val="20"/>
        </w:rPr>
        <w:t>entities</w:t>
      </w:r>
      <w:r>
        <w:rPr>
          <w:spacing w:val="-11"/>
          <w:sz w:val="20"/>
        </w:rPr>
        <w:t> </w:t>
      </w:r>
      <w:r>
        <w:rPr>
          <w:sz w:val="20"/>
        </w:rPr>
        <w:t>within</w:t>
      </w:r>
      <w:r>
        <w:rPr>
          <w:spacing w:val="-13"/>
          <w:sz w:val="20"/>
        </w:rPr>
        <w:t> </w:t>
      </w:r>
      <w:r>
        <w:rPr>
          <w:sz w:val="20"/>
        </w:rPr>
        <w:t>the</w:t>
      </w:r>
      <w:r>
        <w:rPr>
          <w:spacing w:val="-12"/>
          <w:sz w:val="20"/>
        </w:rPr>
        <w:t> </w:t>
      </w:r>
      <w:r>
        <w:rPr>
          <w:sz w:val="20"/>
        </w:rPr>
        <w:t>group.</w:t>
      </w:r>
      <w:r>
        <w:rPr>
          <w:spacing w:val="-13"/>
          <w:sz w:val="20"/>
        </w:rPr>
        <w:t> </w:t>
      </w:r>
      <w:r>
        <w:rPr>
          <w:sz w:val="20"/>
        </w:rPr>
        <w:t>This means</w:t>
      </w:r>
      <w:r>
        <w:rPr>
          <w:spacing w:val="-8"/>
          <w:sz w:val="20"/>
        </w:rPr>
        <w:t> </w:t>
      </w:r>
      <w:r>
        <w:rPr>
          <w:sz w:val="20"/>
        </w:rPr>
        <w:t>that</w:t>
      </w:r>
      <w:r>
        <w:rPr>
          <w:spacing w:val="-9"/>
          <w:sz w:val="20"/>
        </w:rPr>
        <w:t> </w:t>
      </w:r>
      <w:r>
        <w:rPr>
          <w:sz w:val="20"/>
        </w:rPr>
        <w:t>where</w:t>
      </w:r>
      <w:r>
        <w:rPr>
          <w:spacing w:val="-8"/>
          <w:sz w:val="20"/>
        </w:rPr>
        <w:t> </w:t>
      </w:r>
      <w:r>
        <w:rPr>
          <w:sz w:val="20"/>
        </w:rPr>
        <w:t>a</w:t>
      </w:r>
      <w:r>
        <w:rPr>
          <w:spacing w:val="-7"/>
          <w:sz w:val="20"/>
        </w:rPr>
        <w:t> </w:t>
      </w:r>
      <w:r>
        <w:rPr>
          <w:sz w:val="20"/>
        </w:rPr>
        <w:t>group</w:t>
      </w:r>
      <w:r>
        <w:rPr>
          <w:spacing w:val="-6"/>
          <w:sz w:val="20"/>
        </w:rPr>
        <w:t> </w:t>
      </w:r>
      <w:r>
        <w:rPr>
          <w:sz w:val="20"/>
        </w:rPr>
        <w:t>has</w:t>
      </w:r>
      <w:r>
        <w:rPr>
          <w:spacing w:val="-8"/>
          <w:sz w:val="20"/>
        </w:rPr>
        <w:t> </w:t>
      </w:r>
      <w:r>
        <w:rPr>
          <w:sz w:val="20"/>
        </w:rPr>
        <w:t>a</w:t>
      </w:r>
      <w:r>
        <w:rPr>
          <w:spacing w:val="-8"/>
          <w:sz w:val="20"/>
        </w:rPr>
        <w:t> </w:t>
      </w:r>
      <w:r>
        <w:rPr>
          <w:sz w:val="20"/>
        </w:rPr>
        <w:t>profit</w:t>
      </w:r>
      <w:r>
        <w:rPr>
          <w:spacing w:val="-9"/>
          <w:sz w:val="20"/>
        </w:rPr>
        <w:t> </w:t>
      </w:r>
      <w:r>
        <w:rPr>
          <w:sz w:val="20"/>
        </w:rPr>
        <w:t>margin</w:t>
      </w:r>
      <w:r>
        <w:rPr>
          <w:spacing w:val="-8"/>
          <w:sz w:val="20"/>
        </w:rPr>
        <w:t> </w:t>
      </w:r>
      <w:r>
        <w:rPr>
          <w:sz w:val="20"/>
        </w:rPr>
        <w:t>in</w:t>
      </w:r>
      <w:r>
        <w:rPr>
          <w:spacing w:val="-7"/>
          <w:sz w:val="20"/>
        </w:rPr>
        <w:t> </w:t>
      </w:r>
      <w:r>
        <w:rPr>
          <w:sz w:val="20"/>
        </w:rPr>
        <w:t>excess</w:t>
      </w:r>
      <w:r>
        <w:rPr>
          <w:spacing w:val="-8"/>
          <w:sz w:val="20"/>
        </w:rPr>
        <w:t> </w:t>
      </w:r>
      <w:r>
        <w:rPr>
          <w:sz w:val="20"/>
        </w:rPr>
        <w:t>of</w:t>
      </w:r>
      <w:r>
        <w:rPr>
          <w:spacing w:val="-6"/>
          <w:sz w:val="20"/>
        </w:rPr>
        <w:t> </w:t>
      </w:r>
      <w:r>
        <w:rPr>
          <w:sz w:val="20"/>
        </w:rPr>
        <w:t>x%,</w:t>
      </w:r>
      <w:r>
        <w:rPr>
          <w:spacing w:val="-8"/>
          <w:sz w:val="20"/>
        </w:rPr>
        <w:t> </w:t>
      </w:r>
      <w:r>
        <w:rPr>
          <w:sz w:val="20"/>
        </w:rPr>
        <w:t>it</w:t>
      </w:r>
      <w:r>
        <w:rPr>
          <w:spacing w:val="-8"/>
          <w:sz w:val="20"/>
        </w:rPr>
        <w:t> </w:t>
      </w:r>
      <w:r>
        <w:rPr>
          <w:sz w:val="20"/>
        </w:rPr>
        <w:t>is</w:t>
      </w:r>
      <w:r>
        <w:rPr>
          <w:spacing w:val="-8"/>
          <w:sz w:val="20"/>
        </w:rPr>
        <w:t> </w:t>
      </w:r>
      <w:r>
        <w:rPr>
          <w:sz w:val="20"/>
        </w:rPr>
        <w:t>at</w:t>
      </w:r>
      <w:r>
        <w:rPr>
          <w:spacing w:val="-8"/>
          <w:sz w:val="20"/>
        </w:rPr>
        <w:t> </w:t>
      </w:r>
      <w:r>
        <w:rPr>
          <w:sz w:val="20"/>
        </w:rPr>
        <w:t>least</w:t>
      </w:r>
      <w:r>
        <w:rPr>
          <w:spacing w:val="-9"/>
          <w:sz w:val="20"/>
        </w:rPr>
        <w:t> </w:t>
      </w:r>
      <w:r>
        <w:rPr>
          <w:sz w:val="20"/>
        </w:rPr>
        <w:t>theoretically</w:t>
      </w:r>
      <w:r>
        <w:rPr>
          <w:spacing w:val="-11"/>
          <w:sz w:val="20"/>
        </w:rPr>
        <w:t> </w:t>
      </w:r>
      <w:r>
        <w:rPr>
          <w:sz w:val="20"/>
        </w:rPr>
        <w:t>possible</w:t>
      </w:r>
      <w:r>
        <w:rPr>
          <w:spacing w:val="-7"/>
          <w:sz w:val="20"/>
        </w:rPr>
        <w:t> </w:t>
      </w:r>
      <w:r>
        <w:rPr>
          <w:sz w:val="20"/>
        </w:rPr>
        <w:t>that</w:t>
      </w:r>
      <w:r>
        <w:rPr>
          <w:spacing w:val="-8"/>
          <w:sz w:val="20"/>
        </w:rPr>
        <w:t> </w:t>
      </w:r>
      <w:r>
        <w:rPr>
          <w:sz w:val="20"/>
        </w:rPr>
        <w:t>there will</w:t>
      </w:r>
      <w:r>
        <w:rPr>
          <w:spacing w:val="-14"/>
          <w:sz w:val="20"/>
        </w:rPr>
        <w:t> </w:t>
      </w:r>
      <w:r>
        <w:rPr>
          <w:sz w:val="20"/>
        </w:rPr>
        <w:t>not</w:t>
      </w:r>
      <w:r>
        <w:rPr>
          <w:spacing w:val="-13"/>
          <w:sz w:val="20"/>
        </w:rPr>
        <w:t> </w:t>
      </w:r>
      <w:r>
        <w:rPr>
          <w:sz w:val="20"/>
        </w:rPr>
        <w:t>be</w:t>
      </w:r>
      <w:r>
        <w:rPr>
          <w:spacing w:val="-12"/>
          <w:sz w:val="20"/>
        </w:rPr>
        <w:t> </w:t>
      </w:r>
      <w:r>
        <w:rPr>
          <w:sz w:val="20"/>
        </w:rPr>
        <w:t>any</w:t>
      </w:r>
      <w:r>
        <w:rPr>
          <w:spacing w:val="-16"/>
          <w:sz w:val="20"/>
        </w:rPr>
        <w:t> </w:t>
      </w:r>
      <w:r>
        <w:rPr>
          <w:sz w:val="20"/>
        </w:rPr>
        <w:t>entities</w:t>
      </w:r>
      <w:r>
        <w:rPr>
          <w:spacing w:val="-9"/>
          <w:sz w:val="20"/>
        </w:rPr>
        <w:t> </w:t>
      </w:r>
      <w:r>
        <w:rPr>
          <w:sz w:val="20"/>
        </w:rPr>
        <w:t>within</w:t>
      </w:r>
      <w:r>
        <w:rPr>
          <w:spacing w:val="-14"/>
          <w:sz w:val="20"/>
        </w:rPr>
        <w:t> </w:t>
      </w:r>
      <w:r>
        <w:rPr>
          <w:sz w:val="20"/>
        </w:rPr>
        <w:t>that</w:t>
      </w:r>
      <w:r>
        <w:rPr>
          <w:spacing w:val="-10"/>
          <w:sz w:val="20"/>
        </w:rPr>
        <w:t> </w:t>
      </w:r>
      <w:r>
        <w:rPr>
          <w:sz w:val="20"/>
        </w:rPr>
        <w:t>group</w:t>
      </w:r>
      <w:r>
        <w:rPr>
          <w:spacing w:val="-12"/>
          <w:sz w:val="20"/>
        </w:rPr>
        <w:t> </w:t>
      </w:r>
      <w:r>
        <w:rPr>
          <w:sz w:val="20"/>
        </w:rPr>
        <w:t>with</w:t>
      </w:r>
      <w:r>
        <w:rPr>
          <w:spacing w:val="-13"/>
          <w:sz w:val="20"/>
        </w:rPr>
        <w:t> </w:t>
      </w:r>
      <w:r>
        <w:rPr>
          <w:sz w:val="20"/>
        </w:rPr>
        <w:t>a</w:t>
      </w:r>
      <w:r>
        <w:rPr>
          <w:spacing w:val="-12"/>
          <w:sz w:val="20"/>
        </w:rPr>
        <w:t> </w:t>
      </w:r>
      <w:r>
        <w:rPr>
          <w:sz w:val="20"/>
        </w:rPr>
        <w:t>profit</w:t>
      </w:r>
      <w:r>
        <w:rPr>
          <w:spacing w:val="-13"/>
          <w:sz w:val="20"/>
        </w:rPr>
        <w:t> </w:t>
      </w:r>
      <w:r>
        <w:rPr>
          <w:sz w:val="20"/>
        </w:rPr>
        <w:t>margin</w:t>
      </w:r>
      <w:r>
        <w:rPr>
          <w:spacing w:val="-11"/>
          <w:sz w:val="20"/>
        </w:rPr>
        <w:t> </w:t>
      </w:r>
      <w:r>
        <w:rPr>
          <w:sz w:val="20"/>
        </w:rPr>
        <w:t>in</w:t>
      </w:r>
      <w:r>
        <w:rPr>
          <w:spacing w:val="-14"/>
          <w:sz w:val="20"/>
        </w:rPr>
        <w:t> </w:t>
      </w:r>
      <w:r>
        <w:rPr>
          <w:sz w:val="20"/>
        </w:rPr>
        <w:t>excess</w:t>
      </w:r>
      <w:r>
        <w:rPr>
          <w:spacing w:val="-11"/>
          <w:sz w:val="20"/>
        </w:rPr>
        <w:t> </w:t>
      </w:r>
      <w:r>
        <w:rPr>
          <w:sz w:val="20"/>
        </w:rPr>
        <w:t>of</w:t>
      </w:r>
      <w:r>
        <w:rPr>
          <w:spacing w:val="-12"/>
          <w:sz w:val="20"/>
        </w:rPr>
        <w:t> </w:t>
      </w:r>
      <w:r>
        <w:rPr>
          <w:sz w:val="20"/>
        </w:rPr>
        <w:t>x%.</w:t>
      </w:r>
      <w:r>
        <w:rPr>
          <w:spacing w:val="-12"/>
          <w:sz w:val="20"/>
        </w:rPr>
        <w:t> </w:t>
      </w:r>
      <w:r>
        <w:rPr>
          <w:sz w:val="20"/>
        </w:rPr>
        <w:t>Second,</w:t>
      </w:r>
      <w:r>
        <w:rPr>
          <w:spacing w:val="-13"/>
          <w:sz w:val="20"/>
        </w:rPr>
        <w:t> </w:t>
      </w:r>
      <w:r>
        <w:rPr>
          <w:sz w:val="20"/>
        </w:rPr>
        <w:t>the</w:t>
      </w:r>
      <w:r>
        <w:rPr>
          <w:spacing w:val="-12"/>
          <w:sz w:val="20"/>
        </w:rPr>
        <w:t> </w:t>
      </w:r>
      <w:r>
        <w:rPr>
          <w:sz w:val="20"/>
        </w:rPr>
        <w:t>inclusion</w:t>
      </w:r>
      <w:r>
        <w:rPr>
          <w:spacing w:val="-13"/>
          <w:sz w:val="20"/>
        </w:rPr>
        <w:t> </w:t>
      </w:r>
      <w:r>
        <w:rPr>
          <w:sz w:val="20"/>
        </w:rPr>
        <w:t>in</w:t>
      </w:r>
      <w:r>
        <w:rPr>
          <w:spacing w:val="-14"/>
          <w:sz w:val="20"/>
        </w:rPr>
        <w:t> </w:t>
      </w:r>
      <w:r>
        <w:rPr>
          <w:sz w:val="20"/>
        </w:rPr>
        <w:t>entity- level accounts of intragroup transactions means that an entity’s revenue and hence profit margin can be easily distorted or manipulated by the way intragroup transactions are</w:t>
      </w:r>
      <w:r>
        <w:rPr>
          <w:spacing w:val="-19"/>
          <w:sz w:val="20"/>
        </w:rPr>
        <w:t> </w:t>
      </w:r>
      <w:r>
        <w:rPr>
          <w:sz w:val="20"/>
        </w:rPr>
        <w:t>structured.</w:t>
      </w:r>
    </w:p>
    <w:p>
      <w:pPr>
        <w:pStyle w:val="ListParagraph"/>
        <w:numPr>
          <w:ilvl w:val="0"/>
          <w:numId w:val="13"/>
        </w:numPr>
        <w:tabs>
          <w:tab w:pos="1444" w:val="left" w:leader="none"/>
        </w:tabs>
        <w:spacing w:line="271" w:lineRule="auto" w:before="122" w:after="0"/>
        <w:ind w:left="723" w:right="480" w:firstLine="0"/>
        <w:jc w:val="both"/>
        <w:rPr>
          <w:sz w:val="20"/>
        </w:rPr>
      </w:pPr>
      <w:r>
        <w:rPr>
          <w:sz w:val="20"/>
        </w:rPr>
        <w:t>In addition, at a group or segment level, the use of consolidated accounts means that for most MNE</w:t>
      </w:r>
      <w:r>
        <w:rPr>
          <w:spacing w:val="-7"/>
          <w:sz w:val="20"/>
        </w:rPr>
        <w:t> </w:t>
      </w:r>
      <w:r>
        <w:rPr>
          <w:sz w:val="20"/>
        </w:rPr>
        <w:t>groups</w:t>
      </w:r>
      <w:r>
        <w:rPr>
          <w:spacing w:val="-8"/>
          <w:sz w:val="20"/>
        </w:rPr>
        <w:t> </w:t>
      </w:r>
      <w:r>
        <w:rPr>
          <w:sz w:val="20"/>
        </w:rPr>
        <w:t>the</w:t>
      </w:r>
      <w:r>
        <w:rPr>
          <w:spacing w:val="-6"/>
          <w:sz w:val="20"/>
        </w:rPr>
        <w:t> </w:t>
      </w:r>
      <w:r>
        <w:rPr>
          <w:sz w:val="20"/>
        </w:rPr>
        <w:t>financial</w:t>
      </w:r>
      <w:r>
        <w:rPr>
          <w:spacing w:val="-8"/>
          <w:sz w:val="20"/>
        </w:rPr>
        <w:t> </w:t>
      </w:r>
      <w:r>
        <w:rPr>
          <w:sz w:val="20"/>
        </w:rPr>
        <w:t>information</w:t>
      </w:r>
      <w:r>
        <w:rPr>
          <w:spacing w:val="-8"/>
          <w:sz w:val="20"/>
        </w:rPr>
        <w:t> </w:t>
      </w:r>
      <w:r>
        <w:rPr>
          <w:sz w:val="20"/>
        </w:rPr>
        <w:t>necessary</w:t>
      </w:r>
      <w:r>
        <w:rPr>
          <w:spacing w:val="-9"/>
          <w:sz w:val="20"/>
        </w:rPr>
        <w:t> </w:t>
      </w:r>
      <w:r>
        <w:rPr>
          <w:sz w:val="20"/>
        </w:rPr>
        <w:t>to</w:t>
      </w:r>
      <w:r>
        <w:rPr>
          <w:spacing w:val="-9"/>
          <w:sz w:val="20"/>
        </w:rPr>
        <w:t> </w:t>
      </w:r>
      <w:r>
        <w:rPr>
          <w:sz w:val="20"/>
        </w:rPr>
        <w:t>compute</w:t>
      </w:r>
      <w:r>
        <w:rPr>
          <w:spacing w:val="-6"/>
          <w:sz w:val="20"/>
        </w:rPr>
        <w:t> </w:t>
      </w:r>
      <w:r>
        <w:rPr>
          <w:sz w:val="20"/>
        </w:rPr>
        <w:t>the</w:t>
      </w:r>
      <w:r>
        <w:rPr>
          <w:spacing w:val="-7"/>
          <w:sz w:val="20"/>
        </w:rPr>
        <w:t> </w:t>
      </w:r>
      <w:r>
        <w:rPr>
          <w:sz w:val="20"/>
        </w:rPr>
        <w:t>Amount</w:t>
      </w:r>
      <w:r>
        <w:rPr>
          <w:spacing w:val="-7"/>
          <w:sz w:val="20"/>
        </w:rPr>
        <w:t> </w:t>
      </w:r>
      <w:r>
        <w:rPr>
          <w:sz w:val="20"/>
        </w:rPr>
        <w:t>A</w:t>
      </w:r>
      <w:r>
        <w:rPr>
          <w:spacing w:val="-8"/>
          <w:sz w:val="20"/>
        </w:rPr>
        <w:t> </w:t>
      </w:r>
      <w:r>
        <w:rPr>
          <w:sz w:val="20"/>
        </w:rPr>
        <w:t>tax</w:t>
      </w:r>
      <w:r>
        <w:rPr>
          <w:spacing w:val="-6"/>
          <w:sz w:val="20"/>
        </w:rPr>
        <w:t> </w:t>
      </w:r>
      <w:r>
        <w:rPr>
          <w:sz w:val="20"/>
        </w:rPr>
        <w:t>base</w:t>
      </w:r>
      <w:r>
        <w:rPr>
          <w:spacing w:val="-6"/>
          <w:sz w:val="20"/>
        </w:rPr>
        <w:t> </w:t>
      </w:r>
      <w:r>
        <w:rPr>
          <w:sz w:val="20"/>
        </w:rPr>
        <w:t>and</w:t>
      </w:r>
      <w:r>
        <w:rPr>
          <w:spacing w:val="-7"/>
          <w:sz w:val="20"/>
        </w:rPr>
        <w:t> </w:t>
      </w:r>
      <w:r>
        <w:rPr>
          <w:sz w:val="20"/>
        </w:rPr>
        <w:t>apply</w:t>
      </w:r>
      <w:r>
        <w:rPr>
          <w:spacing w:val="-11"/>
          <w:sz w:val="20"/>
        </w:rPr>
        <w:t> </w:t>
      </w:r>
      <w:r>
        <w:rPr>
          <w:sz w:val="20"/>
        </w:rPr>
        <w:t>the</w:t>
      </w:r>
      <w:r>
        <w:rPr>
          <w:spacing w:val="1"/>
          <w:sz w:val="20"/>
        </w:rPr>
        <w:t> </w:t>
      </w:r>
      <w:r>
        <w:rPr>
          <w:sz w:val="20"/>
        </w:rPr>
        <w:t>Amount A formula will be readily available and prepared under a comparable accounting standard. In contrast, at an</w:t>
      </w:r>
      <w:r>
        <w:rPr>
          <w:spacing w:val="-19"/>
          <w:sz w:val="20"/>
        </w:rPr>
        <w:t> </w:t>
      </w:r>
      <w:r>
        <w:rPr>
          <w:sz w:val="20"/>
        </w:rPr>
        <w:t>entity-level,</w:t>
      </w:r>
      <w:r>
        <w:rPr>
          <w:spacing w:val="-17"/>
          <w:sz w:val="20"/>
        </w:rPr>
        <w:t> </w:t>
      </w:r>
      <w:r>
        <w:rPr>
          <w:sz w:val="20"/>
        </w:rPr>
        <w:t>financial</w:t>
      </w:r>
      <w:r>
        <w:rPr>
          <w:spacing w:val="-16"/>
          <w:sz w:val="20"/>
        </w:rPr>
        <w:t> </w:t>
      </w:r>
      <w:r>
        <w:rPr>
          <w:sz w:val="20"/>
        </w:rPr>
        <w:t>information</w:t>
      </w:r>
      <w:r>
        <w:rPr>
          <w:spacing w:val="-15"/>
          <w:sz w:val="20"/>
        </w:rPr>
        <w:t> </w:t>
      </w:r>
      <w:r>
        <w:rPr>
          <w:sz w:val="20"/>
        </w:rPr>
        <w:t>will</w:t>
      </w:r>
      <w:r>
        <w:rPr>
          <w:spacing w:val="-18"/>
          <w:sz w:val="20"/>
        </w:rPr>
        <w:t> </w:t>
      </w:r>
      <w:r>
        <w:rPr>
          <w:sz w:val="20"/>
        </w:rPr>
        <w:t>be</w:t>
      </w:r>
      <w:r>
        <w:rPr>
          <w:spacing w:val="-17"/>
          <w:sz w:val="20"/>
        </w:rPr>
        <w:t> </w:t>
      </w:r>
      <w:r>
        <w:rPr>
          <w:sz w:val="20"/>
        </w:rPr>
        <w:t>less</w:t>
      </w:r>
      <w:r>
        <w:rPr>
          <w:spacing w:val="-17"/>
          <w:sz w:val="20"/>
        </w:rPr>
        <w:t> </w:t>
      </w:r>
      <w:r>
        <w:rPr>
          <w:sz w:val="20"/>
        </w:rPr>
        <w:t>readily</w:t>
      </w:r>
      <w:r>
        <w:rPr>
          <w:spacing w:val="-20"/>
          <w:sz w:val="20"/>
        </w:rPr>
        <w:t> </w:t>
      </w:r>
      <w:r>
        <w:rPr>
          <w:sz w:val="20"/>
        </w:rPr>
        <w:t>available</w:t>
      </w:r>
      <w:r>
        <w:rPr>
          <w:spacing w:val="-17"/>
          <w:sz w:val="20"/>
        </w:rPr>
        <w:t> </w:t>
      </w:r>
      <w:r>
        <w:rPr>
          <w:sz w:val="20"/>
        </w:rPr>
        <w:t>or</w:t>
      </w:r>
      <w:r>
        <w:rPr>
          <w:spacing w:val="-16"/>
          <w:sz w:val="20"/>
        </w:rPr>
        <w:t> </w:t>
      </w:r>
      <w:r>
        <w:rPr>
          <w:sz w:val="20"/>
        </w:rPr>
        <w:t>may</w:t>
      </w:r>
      <w:r>
        <w:rPr>
          <w:spacing w:val="-22"/>
          <w:sz w:val="20"/>
        </w:rPr>
        <w:t> </w:t>
      </w:r>
      <w:r>
        <w:rPr>
          <w:sz w:val="20"/>
        </w:rPr>
        <w:t>be</w:t>
      </w:r>
      <w:r>
        <w:rPr>
          <w:spacing w:val="-18"/>
          <w:sz w:val="20"/>
        </w:rPr>
        <w:t> </w:t>
      </w:r>
      <w:r>
        <w:rPr>
          <w:sz w:val="20"/>
        </w:rPr>
        <w:t>prepared</w:t>
      </w:r>
      <w:r>
        <w:rPr>
          <w:spacing w:val="-16"/>
          <w:sz w:val="20"/>
        </w:rPr>
        <w:t> </w:t>
      </w:r>
      <w:r>
        <w:rPr>
          <w:sz w:val="20"/>
        </w:rPr>
        <w:t>under</w:t>
      </w:r>
      <w:r>
        <w:rPr>
          <w:spacing w:val="-16"/>
          <w:sz w:val="20"/>
        </w:rPr>
        <w:t> </w:t>
      </w:r>
      <w:r>
        <w:rPr>
          <w:sz w:val="20"/>
        </w:rPr>
        <w:t>local</w:t>
      </w:r>
      <w:r>
        <w:rPr>
          <w:spacing w:val="-18"/>
          <w:sz w:val="20"/>
        </w:rPr>
        <w:t> </w:t>
      </w:r>
      <w:r>
        <w:rPr>
          <w:sz w:val="20"/>
        </w:rPr>
        <w:t>accounting standards, which means that even within the same group, the financial statements for different entities may</w:t>
      </w:r>
      <w:r>
        <w:rPr>
          <w:spacing w:val="-10"/>
          <w:sz w:val="20"/>
        </w:rPr>
        <w:t> </w:t>
      </w:r>
      <w:r>
        <w:rPr>
          <w:sz w:val="20"/>
        </w:rPr>
        <w:t>not</w:t>
      </w:r>
      <w:r>
        <w:rPr>
          <w:spacing w:val="-5"/>
          <w:sz w:val="20"/>
        </w:rPr>
        <w:t> </w:t>
      </w:r>
      <w:r>
        <w:rPr>
          <w:sz w:val="20"/>
        </w:rPr>
        <w:t>be</w:t>
      </w:r>
      <w:r>
        <w:rPr>
          <w:spacing w:val="-7"/>
          <w:sz w:val="20"/>
        </w:rPr>
        <w:t> </w:t>
      </w:r>
      <w:r>
        <w:rPr>
          <w:sz w:val="20"/>
        </w:rPr>
        <w:t>comparable.</w:t>
      </w:r>
      <w:r>
        <w:rPr>
          <w:spacing w:val="-6"/>
          <w:sz w:val="20"/>
        </w:rPr>
        <w:t> </w:t>
      </w:r>
      <w:r>
        <w:rPr>
          <w:sz w:val="20"/>
        </w:rPr>
        <w:t>That</w:t>
      </w:r>
      <w:r>
        <w:rPr>
          <w:spacing w:val="-5"/>
          <w:sz w:val="20"/>
        </w:rPr>
        <w:t> </w:t>
      </w:r>
      <w:r>
        <w:rPr>
          <w:sz w:val="20"/>
        </w:rPr>
        <w:t>said,</w:t>
      </w:r>
      <w:r>
        <w:rPr>
          <w:spacing w:val="-5"/>
          <w:sz w:val="20"/>
        </w:rPr>
        <w:t> </w:t>
      </w:r>
      <w:r>
        <w:rPr>
          <w:sz w:val="20"/>
        </w:rPr>
        <w:t>as</w:t>
      </w:r>
      <w:r>
        <w:rPr>
          <w:spacing w:val="-5"/>
          <w:sz w:val="20"/>
        </w:rPr>
        <w:t> </w:t>
      </w:r>
      <w:r>
        <w:rPr>
          <w:sz w:val="20"/>
        </w:rPr>
        <w:t>discussed</w:t>
      </w:r>
      <w:r>
        <w:rPr>
          <w:spacing w:val="-7"/>
          <w:sz w:val="20"/>
        </w:rPr>
        <w:t> </w:t>
      </w:r>
      <w:r>
        <w:rPr>
          <w:sz w:val="20"/>
        </w:rPr>
        <w:t>below,</w:t>
      </w:r>
      <w:r>
        <w:rPr>
          <w:spacing w:val="-5"/>
          <w:sz w:val="20"/>
        </w:rPr>
        <w:t> </w:t>
      </w:r>
      <w:r>
        <w:rPr>
          <w:sz w:val="20"/>
        </w:rPr>
        <w:t>this</w:t>
      </w:r>
      <w:r>
        <w:rPr>
          <w:spacing w:val="-5"/>
          <w:sz w:val="20"/>
        </w:rPr>
        <w:t> </w:t>
      </w:r>
      <w:r>
        <w:rPr>
          <w:sz w:val="20"/>
        </w:rPr>
        <w:t>issue</w:t>
      </w:r>
      <w:r>
        <w:rPr>
          <w:spacing w:val="-6"/>
          <w:sz w:val="20"/>
        </w:rPr>
        <w:t> </w:t>
      </w:r>
      <w:r>
        <w:rPr>
          <w:sz w:val="20"/>
        </w:rPr>
        <w:t>could</w:t>
      </w:r>
      <w:r>
        <w:rPr>
          <w:spacing w:val="-3"/>
          <w:sz w:val="20"/>
        </w:rPr>
        <w:t> </w:t>
      </w:r>
      <w:r>
        <w:rPr>
          <w:sz w:val="20"/>
        </w:rPr>
        <w:t>be</w:t>
      </w:r>
      <w:r>
        <w:rPr>
          <w:spacing w:val="-7"/>
          <w:sz w:val="20"/>
        </w:rPr>
        <w:t> </w:t>
      </w:r>
      <w:r>
        <w:rPr>
          <w:sz w:val="20"/>
        </w:rPr>
        <w:t>addressed</w:t>
      </w:r>
      <w:r>
        <w:rPr>
          <w:spacing w:val="-6"/>
          <w:sz w:val="20"/>
        </w:rPr>
        <w:t> </w:t>
      </w:r>
      <w:r>
        <w:rPr>
          <w:sz w:val="20"/>
        </w:rPr>
        <w:t>by</w:t>
      </w:r>
      <w:r>
        <w:rPr>
          <w:spacing w:val="-7"/>
          <w:sz w:val="20"/>
        </w:rPr>
        <w:t> </w:t>
      </w:r>
      <w:r>
        <w:rPr>
          <w:sz w:val="20"/>
        </w:rPr>
        <w:t>using</w:t>
      </w:r>
      <w:r>
        <w:rPr>
          <w:spacing w:val="-6"/>
          <w:sz w:val="20"/>
        </w:rPr>
        <w:t> </w:t>
      </w:r>
      <w:r>
        <w:rPr>
          <w:sz w:val="20"/>
        </w:rPr>
        <w:t>the</w:t>
      </w:r>
      <w:r>
        <w:rPr>
          <w:spacing w:val="-6"/>
          <w:sz w:val="20"/>
        </w:rPr>
        <w:t> </w:t>
      </w:r>
      <w:r>
        <w:rPr>
          <w:sz w:val="20"/>
        </w:rPr>
        <w:t>entity- level accounts used by a group to prepare its consolidated group accounts. These factors mean that the test</w:t>
      </w:r>
      <w:r>
        <w:rPr>
          <w:spacing w:val="-17"/>
          <w:sz w:val="20"/>
        </w:rPr>
        <w:t> </w:t>
      </w:r>
      <w:r>
        <w:rPr>
          <w:sz w:val="20"/>
        </w:rPr>
        <w:t>of</w:t>
      </w:r>
      <w:r>
        <w:rPr>
          <w:spacing w:val="-15"/>
          <w:sz w:val="20"/>
        </w:rPr>
        <w:t> </w:t>
      </w:r>
      <w:r>
        <w:rPr>
          <w:sz w:val="20"/>
        </w:rPr>
        <w:t>profitability</w:t>
      </w:r>
      <w:r>
        <w:rPr>
          <w:spacing w:val="-19"/>
          <w:sz w:val="20"/>
        </w:rPr>
        <w:t> </w:t>
      </w:r>
      <w:r>
        <w:rPr>
          <w:sz w:val="20"/>
        </w:rPr>
        <w:t>used</w:t>
      </w:r>
      <w:r>
        <w:rPr>
          <w:spacing w:val="-17"/>
          <w:sz w:val="20"/>
        </w:rPr>
        <w:t> </w:t>
      </w:r>
      <w:r>
        <w:rPr>
          <w:sz w:val="20"/>
        </w:rPr>
        <w:t>at</w:t>
      </w:r>
      <w:r>
        <w:rPr>
          <w:spacing w:val="-17"/>
          <w:sz w:val="20"/>
        </w:rPr>
        <w:t> </w:t>
      </w:r>
      <w:r>
        <w:rPr>
          <w:sz w:val="20"/>
        </w:rPr>
        <w:t>entity</w:t>
      </w:r>
      <w:r>
        <w:rPr>
          <w:spacing w:val="-19"/>
          <w:sz w:val="20"/>
        </w:rPr>
        <w:t> </w:t>
      </w:r>
      <w:r>
        <w:rPr>
          <w:sz w:val="20"/>
        </w:rPr>
        <w:t>level</w:t>
      </w:r>
      <w:r>
        <w:rPr>
          <w:spacing w:val="-17"/>
          <w:sz w:val="20"/>
        </w:rPr>
        <w:t> </w:t>
      </w:r>
      <w:r>
        <w:rPr>
          <w:sz w:val="20"/>
        </w:rPr>
        <w:t>in</w:t>
      </w:r>
      <w:r>
        <w:rPr>
          <w:spacing w:val="-17"/>
          <w:sz w:val="20"/>
        </w:rPr>
        <w:t> </w:t>
      </w:r>
      <w:r>
        <w:rPr>
          <w:sz w:val="20"/>
        </w:rPr>
        <w:t>designating</w:t>
      </w:r>
      <w:r>
        <w:rPr>
          <w:spacing w:val="-16"/>
          <w:sz w:val="20"/>
        </w:rPr>
        <w:t> </w:t>
      </w:r>
      <w:r>
        <w:rPr>
          <w:sz w:val="20"/>
        </w:rPr>
        <w:t>paying</w:t>
      </w:r>
      <w:r>
        <w:rPr>
          <w:spacing w:val="-18"/>
          <w:sz w:val="20"/>
        </w:rPr>
        <w:t> </w:t>
      </w:r>
      <w:r>
        <w:rPr>
          <w:sz w:val="20"/>
        </w:rPr>
        <w:t>entities</w:t>
      </w:r>
      <w:r>
        <w:rPr>
          <w:spacing w:val="-15"/>
          <w:sz w:val="20"/>
        </w:rPr>
        <w:t> </w:t>
      </w:r>
      <w:r>
        <w:rPr>
          <w:sz w:val="20"/>
        </w:rPr>
        <w:t>must</w:t>
      </w:r>
      <w:r>
        <w:rPr>
          <w:spacing w:val="-17"/>
          <w:sz w:val="20"/>
        </w:rPr>
        <w:t> </w:t>
      </w:r>
      <w:r>
        <w:rPr>
          <w:sz w:val="20"/>
        </w:rPr>
        <w:t>be</w:t>
      </w:r>
      <w:r>
        <w:rPr>
          <w:spacing w:val="-17"/>
          <w:sz w:val="20"/>
        </w:rPr>
        <w:t> </w:t>
      </w:r>
      <w:r>
        <w:rPr>
          <w:sz w:val="20"/>
        </w:rPr>
        <w:t>structured</w:t>
      </w:r>
      <w:r>
        <w:rPr>
          <w:spacing w:val="-18"/>
          <w:sz w:val="20"/>
        </w:rPr>
        <w:t> </w:t>
      </w:r>
      <w:r>
        <w:rPr>
          <w:sz w:val="20"/>
        </w:rPr>
        <w:t>somewhat</w:t>
      </w:r>
      <w:r>
        <w:rPr>
          <w:spacing w:val="-16"/>
          <w:sz w:val="20"/>
        </w:rPr>
        <w:t> </w:t>
      </w:r>
      <w:r>
        <w:rPr>
          <w:sz w:val="20"/>
        </w:rPr>
        <w:t>differently from that applied at group level in the determination of Amount</w:t>
      </w:r>
      <w:r>
        <w:rPr>
          <w:spacing w:val="-9"/>
          <w:sz w:val="20"/>
        </w:rPr>
        <w:t> </w:t>
      </w:r>
      <w:r>
        <w:rPr>
          <w:spacing w:val="2"/>
          <w:sz w:val="20"/>
        </w:rPr>
        <w:t>A.</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Conceptually,</w:t>
      </w:r>
      <w:r>
        <w:rPr>
          <w:spacing w:val="-7"/>
          <w:sz w:val="20"/>
        </w:rPr>
        <w:t> </w:t>
      </w:r>
      <w:r>
        <w:rPr>
          <w:sz w:val="20"/>
        </w:rPr>
        <w:t>different</w:t>
      </w:r>
      <w:r>
        <w:rPr>
          <w:spacing w:val="-10"/>
          <w:sz w:val="20"/>
        </w:rPr>
        <w:t> </w:t>
      </w:r>
      <w:r>
        <w:rPr>
          <w:sz w:val="20"/>
        </w:rPr>
        <w:t>approaches</w:t>
      </w:r>
      <w:r>
        <w:rPr>
          <w:spacing w:val="-9"/>
          <w:sz w:val="20"/>
        </w:rPr>
        <w:t> </w:t>
      </w:r>
      <w:r>
        <w:rPr>
          <w:sz w:val="20"/>
        </w:rPr>
        <w:t>can</w:t>
      </w:r>
      <w:r>
        <w:rPr>
          <w:spacing w:val="-8"/>
          <w:sz w:val="20"/>
        </w:rPr>
        <w:t> </w:t>
      </w:r>
      <w:r>
        <w:rPr>
          <w:sz w:val="20"/>
        </w:rPr>
        <w:t>be</w:t>
      </w:r>
      <w:r>
        <w:rPr>
          <w:spacing w:val="-8"/>
          <w:sz w:val="20"/>
        </w:rPr>
        <w:t> </w:t>
      </w:r>
      <w:r>
        <w:rPr>
          <w:sz w:val="20"/>
        </w:rPr>
        <w:t>considered.</w:t>
      </w:r>
      <w:r>
        <w:rPr>
          <w:spacing w:val="-7"/>
          <w:sz w:val="20"/>
        </w:rPr>
        <w:t> </w:t>
      </w:r>
      <w:r>
        <w:rPr>
          <w:sz w:val="20"/>
        </w:rPr>
        <w:t>For</w:t>
      </w:r>
      <w:r>
        <w:rPr>
          <w:spacing w:val="-8"/>
          <w:sz w:val="20"/>
        </w:rPr>
        <w:t> </w:t>
      </w:r>
      <w:r>
        <w:rPr>
          <w:sz w:val="20"/>
        </w:rPr>
        <w:t>example,</w:t>
      </w:r>
      <w:r>
        <w:rPr>
          <w:spacing w:val="-10"/>
          <w:sz w:val="20"/>
        </w:rPr>
        <w:t> </w:t>
      </w:r>
      <w:r>
        <w:rPr>
          <w:sz w:val="20"/>
        </w:rPr>
        <w:t>consistent</w:t>
      </w:r>
      <w:r>
        <w:rPr>
          <w:spacing w:val="-7"/>
          <w:sz w:val="20"/>
        </w:rPr>
        <w:t> </w:t>
      </w:r>
      <w:r>
        <w:rPr>
          <w:sz w:val="20"/>
        </w:rPr>
        <w:t>with</w:t>
      </w:r>
      <w:r>
        <w:rPr>
          <w:spacing w:val="-10"/>
          <w:sz w:val="20"/>
        </w:rPr>
        <w:t> </w:t>
      </w:r>
      <w:r>
        <w:rPr>
          <w:sz w:val="20"/>
        </w:rPr>
        <w:t>the</w:t>
      </w:r>
      <w:r>
        <w:rPr>
          <w:spacing w:val="-9"/>
          <w:sz w:val="20"/>
        </w:rPr>
        <w:t> </w:t>
      </w:r>
      <w:r>
        <w:rPr>
          <w:sz w:val="20"/>
        </w:rPr>
        <w:t>formulaic nature</w:t>
      </w:r>
      <w:r>
        <w:rPr>
          <w:spacing w:val="-13"/>
          <w:sz w:val="20"/>
        </w:rPr>
        <w:t> </w:t>
      </w:r>
      <w:r>
        <w:rPr>
          <w:sz w:val="20"/>
        </w:rPr>
        <w:t>of</w:t>
      </w:r>
      <w:r>
        <w:rPr>
          <w:spacing w:val="-14"/>
          <w:sz w:val="20"/>
        </w:rPr>
        <w:t> </w:t>
      </w:r>
      <w:r>
        <w:rPr>
          <w:sz w:val="20"/>
        </w:rPr>
        <w:t>Amount</w:t>
      </w:r>
      <w:r>
        <w:rPr>
          <w:spacing w:val="-16"/>
          <w:sz w:val="20"/>
        </w:rPr>
        <w:t> </w:t>
      </w:r>
      <w:r>
        <w:rPr>
          <w:sz w:val="20"/>
        </w:rPr>
        <w:t>A,</w:t>
      </w:r>
      <w:r>
        <w:rPr>
          <w:spacing w:val="-16"/>
          <w:sz w:val="20"/>
        </w:rPr>
        <w:t> </w:t>
      </w:r>
      <w:r>
        <w:rPr>
          <w:sz w:val="20"/>
        </w:rPr>
        <w:t>one</w:t>
      </w:r>
      <w:r>
        <w:rPr>
          <w:spacing w:val="-17"/>
          <w:sz w:val="20"/>
        </w:rPr>
        <w:t> </w:t>
      </w:r>
      <w:r>
        <w:rPr>
          <w:sz w:val="20"/>
        </w:rPr>
        <w:t>option</w:t>
      </w:r>
      <w:r>
        <w:rPr>
          <w:spacing w:val="-14"/>
          <w:sz w:val="20"/>
        </w:rPr>
        <w:t> </w:t>
      </w:r>
      <w:r>
        <w:rPr>
          <w:sz w:val="20"/>
        </w:rPr>
        <w:t>would</w:t>
      </w:r>
      <w:r>
        <w:rPr>
          <w:spacing w:val="-15"/>
          <w:sz w:val="20"/>
        </w:rPr>
        <w:t> </w:t>
      </w:r>
      <w:r>
        <w:rPr>
          <w:sz w:val="20"/>
        </w:rPr>
        <w:t>be</w:t>
      </w:r>
      <w:r>
        <w:rPr>
          <w:spacing w:val="-16"/>
          <w:sz w:val="20"/>
        </w:rPr>
        <w:t> </w:t>
      </w:r>
      <w:r>
        <w:rPr>
          <w:sz w:val="20"/>
        </w:rPr>
        <w:t>to</w:t>
      </w:r>
      <w:r>
        <w:rPr>
          <w:spacing w:val="-14"/>
          <w:sz w:val="20"/>
        </w:rPr>
        <w:t> </w:t>
      </w:r>
      <w:r>
        <w:rPr>
          <w:sz w:val="20"/>
        </w:rPr>
        <w:t>identify</w:t>
      </w:r>
      <w:r>
        <w:rPr>
          <w:spacing w:val="-19"/>
          <w:sz w:val="20"/>
        </w:rPr>
        <w:t> </w:t>
      </w:r>
      <w:r>
        <w:rPr>
          <w:sz w:val="20"/>
        </w:rPr>
        <w:t>the</w:t>
      </w:r>
      <w:r>
        <w:rPr>
          <w:spacing w:val="-14"/>
          <w:sz w:val="20"/>
        </w:rPr>
        <w:t> </w:t>
      </w:r>
      <w:r>
        <w:rPr>
          <w:sz w:val="20"/>
        </w:rPr>
        <w:t>paying</w:t>
      </w:r>
      <w:r>
        <w:rPr>
          <w:spacing w:val="-15"/>
          <w:sz w:val="20"/>
        </w:rPr>
        <w:t> </w:t>
      </w:r>
      <w:r>
        <w:rPr>
          <w:sz w:val="20"/>
        </w:rPr>
        <w:t>entities</w:t>
      </w:r>
      <w:r>
        <w:rPr>
          <w:spacing w:val="-15"/>
          <w:sz w:val="20"/>
        </w:rPr>
        <w:t> </w:t>
      </w:r>
      <w:r>
        <w:rPr>
          <w:sz w:val="20"/>
        </w:rPr>
        <w:t>using</w:t>
      </w:r>
      <w:r>
        <w:rPr>
          <w:spacing w:val="-17"/>
          <w:sz w:val="20"/>
        </w:rPr>
        <w:t> </w:t>
      </w:r>
      <w:r>
        <w:rPr>
          <w:sz w:val="20"/>
        </w:rPr>
        <w:t>a</w:t>
      </w:r>
      <w:r>
        <w:rPr>
          <w:spacing w:val="-14"/>
          <w:sz w:val="20"/>
        </w:rPr>
        <w:t> </w:t>
      </w:r>
      <w:r>
        <w:rPr>
          <w:sz w:val="20"/>
        </w:rPr>
        <w:t>quantitative</w:t>
      </w:r>
      <w:r>
        <w:rPr>
          <w:spacing w:val="-16"/>
          <w:sz w:val="20"/>
        </w:rPr>
        <w:t> </w:t>
      </w:r>
      <w:r>
        <w:rPr>
          <w:sz w:val="20"/>
        </w:rPr>
        <w:t>approach</w:t>
      </w:r>
      <w:r>
        <w:rPr>
          <w:spacing w:val="-16"/>
          <w:sz w:val="20"/>
        </w:rPr>
        <w:t> </w:t>
      </w:r>
      <w:r>
        <w:rPr>
          <w:sz w:val="20"/>
        </w:rPr>
        <w:t>similar to that used to calculate Amount A. This approach would prioritise simplicity, as it could limit the need to enter into detailed facts and circumstances functional and transactional analyses using transfer pricing concepts to identify the entities that should bear the Amount A tax liability. This would be consistent with the</w:t>
      </w:r>
      <w:r>
        <w:rPr>
          <w:spacing w:val="-10"/>
          <w:sz w:val="20"/>
        </w:rPr>
        <w:t> </w:t>
      </w:r>
      <w:r>
        <w:rPr>
          <w:sz w:val="20"/>
        </w:rPr>
        <w:t>fact</w:t>
      </w:r>
      <w:r>
        <w:rPr>
          <w:spacing w:val="-9"/>
          <w:sz w:val="20"/>
        </w:rPr>
        <w:t> </w:t>
      </w:r>
      <w:r>
        <w:rPr>
          <w:sz w:val="20"/>
        </w:rPr>
        <w:t>that</w:t>
      </w:r>
      <w:r>
        <w:rPr>
          <w:spacing w:val="-7"/>
          <w:sz w:val="20"/>
        </w:rPr>
        <w:t> </w:t>
      </w:r>
      <w:r>
        <w:rPr>
          <w:sz w:val="20"/>
        </w:rPr>
        <w:t>Amount</w:t>
      </w:r>
      <w:r>
        <w:rPr>
          <w:spacing w:val="-8"/>
          <w:sz w:val="20"/>
        </w:rPr>
        <w:t> </w:t>
      </w:r>
      <w:r>
        <w:rPr>
          <w:sz w:val="20"/>
        </w:rPr>
        <w:t>A</w:t>
      </w:r>
      <w:r>
        <w:rPr>
          <w:spacing w:val="-9"/>
          <w:sz w:val="20"/>
        </w:rPr>
        <w:t> </w:t>
      </w:r>
      <w:r>
        <w:rPr>
          <w:sz w:val="20"/>
        </w:rPr>
        <w:t>itself</w:t>
      </w:r>
      <w:r>
        <w:rPr>
          <w:spacing w:val="-7"/>
          <w:sz w:val="20"/>
        </w:rPr>
        <w:t> </w:t>
      </w:r>
      <w:r>
        <w:rPr>
          <w:sz w:val="20"/>
        </w:rPr>
        <w:t>is</w:t>
      </w:r>
      <w:r>
        <w:rPr>
          <w:spacing w:val="-7"/>
          <w:sz w:val="20"/>
        </w:rPr>
        <w:t> </w:t>
      </w:r>
      <w:r>
        <w:rPr>
          <w:sz w:val="20"/>
        </w:rPr>
        <w:t>designed</w:t>
      </w:r>
      <w:r>
        <w:rPr>
          <w:spacing w:val="-7"/>
          <w:sz w:val="20"/>
        </w:rPr>
        <w:t> </w:t>
      </w:r>
      <w:r>
        <w:rPr>
          <w:sz w:val="20"/>
        </w:rPr>
        <w:t>independently</w:t>
      </w:r>
      <w:r>
        <w:rPr>
          <w:spacing w:val="-10"/>
          <w:sz w:val="20"/>
        </w:rPr>
        <w:t> </w:t>
      </w:r>
      <w:r>
        <w:rPr>
          <w:sz w:val="20"/>
        </w:rPr>
        <w:t>of</w:t>
      </w:r>
      <w:r>
        <w:rPr>
          <w:spacing w:val="-7"/>
          <w:sz w:val="20"/>
        </w:rPr>
        <w:t> </w:t>
      </w:r>
      <w:r>
        <w:rPr>
          <w:sz w:val="20"/>
        </w:rPr>
        <w:t>these</w:t>
      </w:r>
      <w:r>
        <w:rPr>
          <w:spacing w:val="-10"/>
          <w:sz w:val="20"/>
        </w:rPr>
        <w:t> </w:t>
      </w:r>
      <w:r>
        <w:rPr>
          <w:sz w:val="20"/>
        </w:rPr>
        <w:t>considerations.</w:t>
      </w:r>
      <w:r>
        <w:rPr>
          <w:spacing w:val="-6"/>
          <w:sz w:val="20"/>
        </w:rPr>
        <w:t> </w:t>
      </w:r>
      <w:r>
        <w:rPr>
          <w:sz w:val="20"/>
        </w:rPr>
        <w:t>Another</w:t>
      </w:r>
      <w:r>
        <w:rPr>
          <w:spacing w:val="-7"/>
          <w:sz w:val="20"/>
        </w:rPr>
        <w:t> </w:t>
      </w:r>
      <w:r>
        <w:rPr>
          <w:sz w:val="20"/>
        </w:rPr>
        <w:t>option</w:t>
      </w:r>
      <w:r>
        <w:rPr>
          <w:spacing w:val="-5"/>
          <w:sz w:val="20"/>
        </w:rPr>
        <w:t> </w:t>
      </w:r>
      <w:r>
        <w:rPr>
          <w:sz w:val="20"/>
        </w:rPr>
        <w:t>would</w:t>
      </w:r>
      <w:r>
        <w:rPr>
          <w:spacing w:val="-9"/>
          <w:sz w:val="20"/>
        </w:rPr>
        <w:t> </w:t>
      </w:r>
      <w:r>
        <w:rPr>
          <w:sz w:val="20"/>
        </w:rPr>
        <w:t>start from</w:t>
      </w:r>
      <w:r>
        <w:rPr>
          <w:spacing w:val="-4"/>
          <w:sz w:val="20"/>
        </w:rPr>
        <w:t> </w:t>
      </w:r>
      <w:r>
        <w:rPr>
          <w:sz w:val="20"/>
        </w:rPr>
        <w:t>the</w:t>
      </w:r>
      <w:r>
        <w:rPr>
          <w:spacing w:val="-9"/>
          <w:sz w:val="20"/>
        </w:rPr>
        <w:t> </w:t>
      </w:r>
      <w:r>
        <w:rPr>
          <w:sz w:val="20"/>
        </w:rPr>
        <w:t>basis</w:t>
      </w:r>
      <w:r>
        <w:rPr>
          <w:spacing w:val="-8"/>
          <w:sz w:val="20"/>
        </w:rPr>
        <w:t> </w:t>
      </w:r>
      <w:r>
        <w:rPr>
          <w:sz w:val="20"/>
        </w:rPr>
        <w:t>that</w:t>
      </w:r>
      <w:r>
        <w:rPr>
          <w:spacing w:val="-9"/>
          <w:sz w:val="20"/>
        </w:rPr>
        <w:t> </w:t>
      </w:r>
      <w:r>
        <w:rPr>
          <w:sz w:val="20"/>
        </w:rPr>
        <w:t>conceptually,</w:t>
      </w:r>
      <w:r>
        <w:rPr>
          <w:spacing w:val="-5"/>
          <w:sz w:val="20"/>
        </w:rPr>
        <w:t> </w:t>
      </w:r>
      <w:r>
        <w:rPr>
          <w:sz w:val="20"/>
        </w:rPr>
        <w:t>the</w:t>
      </w:r>
      <w:r>
        <w:rPr>
          <w:spacing w:val="-9"/>
          <w:sz w:val="20"/>
        </w:rPr>
        <w:t> </w:t>
      </w:r>
      <w:r>
        <w:rPr>
          <w:sz w:val="20"/>
        </w:rPr>
        <w:t>different</w:t>
      </w:r>
      <w:r>
        <w:rPr>
          <w:spacing w:val="-9"/>
          <w:sz w:val="20"/>
        </w:rPr>
        <w:t> </w:t>
      </w:r>
      <w:r>
        <w:rPr>
          <w:sz w:val="20"/>
        </w:rPr>
        <w:t>features</w:t>
      </w:r>
      <w:r>
        <w:rPr>
          <w:spacing w:val="-5"/>
          <w:sz w:val="20"/>
        </w:rPr>
        <w:t> </w:t>
      </w:r>
      <w:r>
        <w:rPr>
          <w:sz w:val="20"/>
        </w:rPr>
        <w:t>of</w:t>
      </w:r>
      <w:r>
        <w:rPr>
          <w:spacing w:val="-6"/>
          <w:sz w:val="20"/>
        </w:rPr>
        <w:t> </w:t>
      </w:r>
      <w:r>
        <w:rPr>
          <w:sz w:val="20"/>
        </w:rPr>
        <w:t>Amount</w:t>
      </w:r>
      <w:r>
        <w:rPr>
          <w:spacing w:val="-9"/>
          <w:sz w:val="20"/>
        </w:rPr>
        <w:t> </w:t>
      </w:r>
      <w:r>
        <w:rPr>
          <w:sz w:val="20"/>
        </w:rPr>
        <w:t>A</w:t>
      </w:r>
      <w:r>
        <w:rPr>
          <w:spacing w:val="-9"/>
          <w:sz w:val="20"/>
        </w:rPr>
        <w:t> </w:t>
      </w:r>
      <w:r>
        <w:rPr>
          <w:sz w:val="20"/>
        </w:rPr>
        <w:t>suggest</w:t>
      </w:r>
      <w:r>
        <w:rPr>
          <w:spacing w:val="-8"/>
          <w:sz w:val="20"/>
        </w:rPr>
        <w:t> </w:t>
      </w:r>
      <w:r>
        <w:rPr>
          <w:sz w:val="20"/>
        </w:rPr>
        <w:t>that</w:t>
      </w:r>
      <w:r>
        <w:rPr>
          <w:spacing w:val="-6"/>
          <w:sz w:val="20"/>
        </w:rPr>
        <w:t> </w:t>
      </w:r>
      <w:r>
        <w:rPr>
          <w:sz w:val="20"/>
        </w:rPr>
        <w:t>paying</w:t>
      </w:r>
      <w:r>
        <w:rPr>
          <w:spacing w:val="-7"/>
          <w:sz w:val="20"/>
        </w:rPr>
        <w:t> </w:t>
      </w:r>
      <w:r>
        <w:rPr>
          <w:sz w:val="20"/>
        </w:rPr>
        <w:t>entities</w:t>
      </w:r>
      <w:r>
        <w:rPr>
          <w:spacing w:val="-8"/>
          <w:sz w:val="20"/>
        </w:rPr>
        <w:t> </w:t>
      </w:r>
      <w:r>
        <w:rPr>
          <w:sz w:val="20"/>
        </w:rPr>
        <w:t>should</w:t>
      </w:r>
      <w:r>
        <w:rPr>
          <w:spacing w:val="-7"/>
          <w:sz w:val="20"/>
        </w:rPr>
        <w:t> </w:t>
      </w:r>
      <w:r>
        <w:rPr>
          <w:sz w:val="20"/>
        </w:rPr>
        <w:t>not only be profitable, but should be those that (individually or collectively) make material and sustained contributions</w:t>
      </w:r>
      <w:r>
        <w:rPr>
          <w:spacing w:val="-11"/>
          <w:sz w:val="20"/>
        </w:rPr>
        <w:t> </w:t>
      </w:r>
      <w:r>
        <w:rPr>
          <w:sz w:val="20"/>
        </w:rPr>
        <w:t>to</w:t>
      </w:r>
      <w:r>
        <w:rPr>
          <w:spacing w:val="-13"/>
          <w:sz w:val="20"/>
        </w:rPr>
        <w:t> </w:t>
      </w:r>
      <w:r>
        <w:rPr>
          <w:sz w:val="20"/>
        </w:rPr>
        <w:t>an</w:t>
      </w:r>
      <w:r>
        <w:rPr>
          <w:spacing w:val="-13"/>
          <w:sz w:val="20"/>
        </w:rPr>
        <w:t> </w:t>
      </w:r>
      <w:r>
        <w:rPr>
          <w:sz w:val="20"/>
        </w:rPr>
        <w:t>MNE</w:t>
      </w:r>
      <w:r>
        <w:rPr>
          <w:spacing w:val="-13"/>
          <w:sz w:val="20"/>
        </w:rPr>
        <w:t> </w:t>
      </w:r>
      <w:r>
        <w:rPr>
          <w:sz w:val="20"/>
        </w:rPr>
        <w:t>group’s</w:t>
      </w:r>
      <w:r>
        <w:rPr>
          <w:spacing w:val="-11"/>
          <w:sz w:val="20"/>
        </w:rPr>
        <w:t> </w:t>
      </w:r>
      <w:r>
        <w:rPr>
          <w:sz w:val="20"/>
        </w:rPr>
        <w:t>residual</w:t>
      </w:r>
      <w:r>
        <w:rPr>
          <w:spacing w:val="-10"/>
          <w:sz w:val="20"/>
        </w:rPr>
        <w:t> </w:t>
      </w:r>
      <w:r>
        <w:rPr>
          <w:sz w:val="20"/>
        </w:rPr>
        <w:t>profits,</w:t>
      </w:r>
      <w:r>
        <w:rPr>
          <w:spacing w:val="-28"/>
          <w:sz w:val="20"/>
        </w:rPr>
        <w:t> </w:t>
      </w:r>
      <w:r>
        <w:rPr>
          <w:sz w:val="20"/>
        </w:rPr>
        <w:t>rather</w:t>
      </w:r>
      <w:r>
        <w:rPr>
          <w:spacing w:val="-12"/>
          <w:sz w:val="20"/>
        </w:rPr>
        <w:t> </w:t>
      </w:r>
      <w:r>
        <w:rPr>
          <w:sz w:val="20"/>
        </w:rPr>
        <w:t>than</w:t>
      </w:r>
      <w:r>
        <w:rPr>
          <w:spacing w:val="-13"/>
          <w:sz w:val="20"/>
        </w:rPr>
        <w:t> </w:t>
      </w:r>
      <w:r>
        <w:rPr>
          <w:sz w:val="20"/>
        </w:rPr>
        <w:t>those</w:t>
      </w:r>
      <w:r>
        <w:rPr>
          <w:spacing w:val="-12"/>
          <w:sz w:val="20"/>
        </w:rPr>
        <w:t> </w:t>
      </w:r>
      <w:r>
        <w:rPr>
          <w:sz w:val="20"/>
        </w:rPr>
        <w:t>that</w:t>
      </w:r>
      <w:r>
        <w:rPr>
          <w:spacing w:val="-12"/>
          <w:sz w:val="20"/>
        </w:rPr>
        <w:t> </w:t>
      </w:r>
      <w:r>
        <w:rPr>
          <w:sz w:val="20"/>
        </w:rPr>
        <w:t>perform</w:t>
      </w:r>
      <w:r>
        <w:rPr>
          <w:spacing w:val="-8"/>
          <w:sz w:val="20"/>
        </w:rPr>
        <w:t> </w:t>
      </w:r>
      <w:r>
        <w:rPr>
          <w:sz w:val="20"/>
        </w:rPr>
        <w:t>only</w:t>
      </w:r>
      <w:r>
        <w:rPr>
          <w:spacing w:val="-13"/>
          <w:sz w:val="20"/>
        </w:rPr>
        <w:t> </w:t>
      </w:r>
      <w:r>
        <w:rPr>
          <w:sz w:val="20"/>
        </w:rPr>
        <w:t>activities</w:t>
      </w:r>
      <w:r>
        <w:rPr>
          <w:spacing w:val="-11"/>
          <w:sz w:val="20"/>
        </w:rPr>
        <w:t> </w:t>
      </w:r>
      <w:r>
        <w:rPr>
          <w:sz w:val="20"/>
        </w:rPr>
        <w:t>that</w:t>
      </w:r>
      <w:r>
        <w:rPr>
          <w:spacing w:val="-12"/>
          <w:sz w:val="20"/>
        </w:rPr>
        <w:t> </w:t>
      </w:r>
      <w:r>
        <w:rPr>
          <w:sz w:val="20"/>
        </w:rPr>
        <w:t>generate routine profits. In addition, from a conceptual standpoint it could be argued that a paying entity should perform activities that relate to an MNE group’s engagement in a market jurisdiction for which it bears an Amount</w:t>
      </w:r>
      <w:r>
        <w:rPr>
          <w:spacing w:val="-7"/>
          <w:sz w:val="20"/>
        </w:rPr>
        <w:t> </w:t>
      </w:r>
      <w:r>
        <w:rPr>
          <w:sz w:val="20"/>
        </w:rPr>
        <w:t>A</w:t>
      </w:r>
      <w:r>
        <w:rPr>
          <w:spacing w:val="-7"/>
          <w:sz w:val="20"/>
        </w:rPr>
        <w:t> </w:t>
      </w:r>
      <w:r>
        <w:rPr>
          <w:sz w:val="20"/>
        </w:rPr>
        <w:t>tax</w:t>
      </w:r>
      <w:r>
        <w:rPr>
          <w:spacing w:val="-6"/>
          <w:sz w:val="20"/>
        </w:rPr>
        <w:t> </w:t>
      </w:r>
      <w:r>
        <w:rPr>
          <w:sz w:val="20"/>
        </w:rPr>
        <w:t>liability,</w:t>
      </w:r>
      <w:r>
        <w:rPr>
          <w:spacing w:val="-4"/>
          <w:sz w:val="20"/>
        </w:rPr>
        <w:t> </w:t>
      </w:r>
      <w:r>
        <w:rPr>
          <w:sz w:val="20"/>
        </w:rPr>
        <w:t>as</w:t>
      </w:r>
      <w:r>
        <w:rPr>
          <w:spacing w:val="-6"/>
          <w:sz w:val="20"/>
        </w:rPr>
        <w:t> </w:t>
      </w:r>
      <w:r>
        <w:rPr>
          <w:sz w:val="20"/>
        </w:rPr>
        <w:t>opposed</w:t>
      </w:r>
      <w:r>
        <w:rPr>
          <w:spacing w:val="-7"/>
          <w:sz w:val="20"/>
        </w:rPr>
        <w:t> </w:t>
      </w:r>
      <w:r>
        <w:rPr>
          <w:sz w:val="20"/>
        </w:rPr>
        <w:t>to</w:t>
      </w:r>
      <w:r>
        <w:rPr>
          <w:spacing w:val="-7"/>
          <w:sz w:val="20"/>
        </w:rPr>
        <w:t> </w:t>
      </w:r>
      <w:r>
        <w:rPr>
          <w:sz w:val="20"/>
        </w:rPr>
        <w:t>non-market</w:t>
      </w:r>
      <w:r>
        <w:rPr>
          <w:spacing w:val="-7"/>
          <w:sz w:val="20"/>
        </w:rPr>
        <w:t> </w:t>
      </w:r>
      <w:r>
        <w:rPr>
          <w:sz w:val="20"/>
        </w:rPr>
        <w:t>related</w:t>
      </w:r>
      <w:r>
        <w:rPr>
          <w:spacing w:val="-7"/>
          <w:sz w:val="20"/>
        </w:rPr>
        <w:t> </w:t>
      </w:r>
      <w:r>
        <w:rPr>
          <w:sz w:val="20"/>
        </w:rPr>
        <w:t>activities</w:t>
      </w:r>
      <w:r>
        <w:rPr>
          <w:spacing w:val="-3"/>
          <w:sz w:val="20"/>
        </w:rPr>
        <w:t> </w:t>
      </w:r>
      <w:r>
        <w:rPr>
          <w:sz w:val="20"/>
        </w:rPr>
        <w:t>or</w:t>
      </w:r>
      <w:r>
        <w:rPr>
          <w:spacing w:val="-6"/>
          <w:sz w:val="20"/>
        </w:rPr>
        <w:t> </w:t>
      </w:r>
      <w:r>
        <w:rPr>
          <w:sz w:val="20"/>
        </w:rPr>
        <w:t>activities</w:t>
      </w:r>
      <w:r>
        <w:rPr>
          <w:spacing w:val="-6"/>
          <w:sz w:val="20"/>
        </w:rPr>
        <w:t> </w:t>
      </w:r>
      <w:r>
        <w:rPr>
          <w:sz w:val="20"/>
        </w:rPr>
        <w:t>that</w:t>
      </w:r>
      <w:r>
        <w:rPr>
          <w:spacing w:val="-4"/>
          <w:sz w:val="20"/>
        </w:rPr>
        <w:t> </w:t>
      </w:r>
      <w:r>
        <w:rPr>
          <w:sz w:val="20"/>
        </w:rPr>
        <w:t>relate</w:t>
      </w:r>
      <w:r>
        <w:rPr>
          <w:spacing w:val="-6"/>
          <w:sz w:val="20"/>
        </w:rPr>
        <w:t> </w:t>
      </w:r>
      <w:r>
        <w:rPr>
          <w:sz w:val="20"/>
        </w:rPr>
        <w:t>to</w:t>
      </w:r>
      <w:r>
        <w:rPr>
          <w:spacing w:val="-4"/>
          <w:sz w:val="20"/>
        </w:rPr>
        <w:t> </w:t>
      </w:r>
      <w:r>
        <w:rPr>
          <w:sz w:val="20"/>
        </w:rPr>
        <w:t>other</w:t>
      </w:r>
      <w:r>
        <w:rPr>
          <w:spacing w:val="-6"/>
          <w:sz w:val="20"/>
        </w:rPr>
        <w:t> </w:t>
      </w:r>
      <w:r>
        <w:rPr>
          <w:sz w:val="20"/>
        </w:rPr>
        <w:t>markets.</w:t>
      </w:r>
    </w:p>
    <w:p>
      <w:pPr>
        <w:pStyle w:val="BodyText"/>
        <w:spacing w:before="7"/>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2.1. The process to identify the payin" w:id="332"/>
      <w:bookmarkEnd w:id="332"/>
      <w:r>
        <w:rPr>
          <w:b w:val="0"/>
          <w:i w:val="0"/>
        </w:rPr>
      </w:r>
      <w:bookmarkStart w:name="7.2.1. The process to identify the payin" w:id="333"/>
      <w:bookmarkEnd w:id="333"/>
      <w:r>
        <w:rPr>
          <w:i/>
        </w:rPr>
        <w:t>T</w:t>
      </w:r>
      <w:r>
        <w:rPr>
          <w:i/>
        </w:rPr>
        <w:t>he process to identify the paying</w:t>
      </w:r>
      <w:r>
        <w:rPr>
          <w:i/>
          <w:spacing w:val="-12"/>
        </w:rPr>
        <w:t> </w:t>
      </w:r>
      <w:r>
        <w:rPr>
          <w:i/>
        </w:rPr>
        <w:t>entities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There will be a process with potentially up to four steps to identify the paying entities. Step 1 will be an activities test that will identify entities within a group or segment that perform activities that make material and sustained contributions to an MNE group’s ability to generate residual profits. Under </w:t>
      </w:r>
      <w:r>
        <w:rPr>
          <w:spacing w:val="3"/>
          <w:sz w:val="20"/>
        </w:rPr>
        <w:t>Step </w:t>
      </w:r>
      <w:r>
        <w:rPr>
          <w:sz w:val="20"/>
        </w:rPr>
        <w:t>2, an MNE group will apply a profitability test to ensure the entities identified under Step 1 have the capacity to bear the Amount A tax liability. Step 3 will require that these paying entities have a connection with the market jurisdictions allocated Amount A, and that as a priority rule, the Amount A tax liability for these jurisdictions is relieved against the profits of these entities. Finally, if the entities connected to a market jurisdiction</w:t>
      </w:r>
      <w:r>
        <w:rPr>
          <w:spacing w:val="-5"/>
          <w:sz w:val="20"/>
        </w:rPr>
        <w:t> </w:t>
      </w:r>
      <w:r>
        <w:rPr>
          <w:sz w:val="20"/>
        </w:rPr>
        <w:t>do</w:t>
      </w:r>
      <w:r>
        <w:rPr>
          <w:spacing w:val="-4"/>
          <w:sz w:val="20"/>
        </w:rPr>
        <w:t> </w:t>
      </w:r>
      <w:r>
        <w:rPr>
          <w:sz w:val="20"/>
        </w:rPr>
        <w:t>not</w:t>
      </w:r>
      <w:r>
        <w:rPr>
          <w:spacing w:val="-5"/>
          <w:sz w:val="20"/>
        </w:rPr>
        <w:t> </w:t>
      </w:r>
      <w:r>
        <w:rPr>
          <w:sz w:val="20"/>
        </w:rPr>
        <w:t>have</w:t>
      </w:r>
      <w:r>
        <w:rPr>
          <w:spacing w:val="-4"/>
          <w:sz w:val="20"/>
        </w:rPr>
        <w:t> </w:t>
      </w:r>
      <w:r>
        <w:rPr>
          <w:sz w:val="20"/>
        </w:rPr>
        <w:t>sufficient</w:t>
      </w:r>
      <w:r>
        <w:rPr>
          <w:spacing w:val="-4"/>
          <w:sz w:val="20"/>
        </w:rPr>
        <w:t> </w:t>
      </w:r>
      <w:r>
        <w:rPr>
          <w:sz w:val="20"/>
        </w:rPr>
        <w:t>profits</w:t>
      </w:r>
      <w:r>
        <w:rPr>
          <w:spacing w:val="-3"/>
          <w:sz w:val="20"/>
        </w:rPr>
        <w:t> </w:t>
      </w:r>
      <w:r>
        <w:rPr>
          <w:sz w:val="20"/>
        </w:rPr>
        <w:t>to</w:t>
      </w:r>
      <w:r>
        <w:rPr>
          <w:spacing w:val="-4"/>
          <w:sz w:val="20"/>
        </w:rPr>
        <w:t> </w:t>
      </w:r>
      <w:r>
        <w:rPr>
          <w:sz w:val="20"/>
        </w:rPr>
        <w:t>relieve</w:t>
      </w:r>
      <w:r>
        <w:rPr>
          <w:spacing w:val="-5"/>
          <w:sz w:val="20"/>
        </w:rPr>
        <w:t> </w:t>
      </w:r>
      <w:r>
        <w:rPr>
          <w:sz w:val="20"/>
        </w:rPr>
        <w:t>the</w:t>
      </w:r>
      <w:r>
        <w:rPr>
          <w:spacing w:val="-5"/>
          <w:sz w:val="20"/>
        </w:rPr>
        <w:t> </w:t>
      </w:r>
      <w:r>
        <w:rPr>
          <w:sz w:val="20"/>
        </w:rPr>
        <w:t>full</w:t>
      </w:r>
      <w:r>
        <w:rPr>
          <w:spacing w:val="-3"/>
          <w:sz w:val="20"/>
        </w:rPr>
        <w:t> </w:t>
      </w:r>
      <w:r>
        <w:rPr>
          <w:sz w:val="20"/>
        </w:rPr>
        <w:t>Amount</w:t>
      </w:r>
      <w:r>
        <w:rPr>
          <w:spacing w:val="-5"/>
          <w:sz w:val="20"/>
        </w:rPr>
        <w:t> </w:t>
      </w:r>
      <w:r>
        <w:rPr>
          <w:sz w:val="20"/>
        </w:rPr>
        <w:t>A</w:t>
      </w:r>
      <w:r>
        <w:rPr>
          <w:spacing w:val="-4"/>
          <w:sz w:val="20"/>
        </w:rPr>
        <w:t> </w:t>
      </w:r>
      <w:r>
        <w:rPr>
          <w:sz w:val="20"/>
        </w:rPr>
        <w:t>tax</w:t>
      </w:r>
      <w:r>
        <w:rPr>
          <w:spacing w:val="-3"/>
          <w:sz w:val="20"/>
        </w:rPr>
        <w:t> </w:t>
      </w:r>
      <w:r>
        <w:rPr>
          <w:sz w:val="20"/>
        </w:rPr>
        <w:t>liability,</w:t>
      </w:r>
      <w:r>
        <w:rPr>
          <w:spacing w:val="-4"/>
          <w:sz w:val="20"/>
        </w:rPr>
        <w:t> </w:t>
      </w:r>
      <w:r>
        <w:rPr>
          <w:sz w:val="20"/>
        </w:rPr>
        <w:t>then</w:t>
      </w:r>
      <w:r>
        <w:rPr>
          <w:spacing w:val="-5"/>
          <w:sz w:val="20"/>
        </w:rPr>
        <w:t> </w:t>
      </w:r>
      <w:r>
        <w:rPr>
          <w:sz w:val="20"/>
        </w:rPr>
        <w:t>the</w:t>
      </w:r>
      <w:r>
        <w:rPr>
          <w:spacing w:val="-5"/>
          <w:sz w:val="20"/>
        </w:rPr>
        <w:t> </w:t>
      </w:r>
      <w:r>
        <w:rPr>
          <w:sz w:val="20"/>
        </w:rPr>
        <w:t>remainder</w:t>
      </w:r>
      <w:r>
        <w:rPr>
          <w:spacing w:val="-1"/>
          <w:sz w:val="20"/>
        </w:rPr>
        <w:t> </w:t>
      </w:r>
      <w:r>
        <w:rPr>
          <w:sz w:val="20"/>
        </w:rPr>
        <w:t>will</w:t>
      </w:r>
      <w:r>
        <w:rPr>
          <w:spacing w:val="-5"/>
          <w:sz w:val="20"/>
        </w:rPr>
        <w:t> </w:t>
      </w:r>
      <w:r>
        <w:rPr>
          <w:sz w:val="20"/>
        </w:rPr>
        <w:t>be apportioned</w:t>
      </w:r>
      <w:r>
        <w:rPr>
          <w:spacing w:val="-13"/>
          <w:sz w:val="20"/>
        </w:rPr>
        <w:t> </w:t>
      </w:r>
      <w:r>
        <w:rPr>
          <w:sz w:val="20"/>
        </w:rPr>
        <w:t>on</w:t>
      </w:r>
      <w:r>
        <w:rPr>
          <w:spacing w:val="-12"/>
          <w:sz w:val="20"/>
        </w:rPr>
        <w:t> </w:t>
      </w:r>
      <w:r>
        <w:rPr>
          <w:sz w:val="20"/>
        </w:rPr>
        <w:t>a</w:t>
      </w:r>
      <w:r>
        <w:rPr>
          <w:spacing w:val="-12"/>
          <w:sz w:val="20"/>
        </w:rPr>
        <w:t> </w:t>
      </w:r>
      <w:r>
        <w:rPr>
          <w:sz w:val="20"/>
        </w:rPr>
        <w:t>pro-rata</w:t>
      </w:r>
      <w:r>
        <w:rPr>
          <w:spacing w:val="-12"/>
          <w:sz w:val="20"/>
        </w:rPr>
        <w:t> </w:t>
      </w:r>
      <w:r>
        <w:rPr>
          <w:sz w:val="20"/>
        </w:rPr>
        <w:t>basis</w:t>
      </w:r>
      <w:r>
        <w:rPr>
          <w:spacing w:val="-12"/>
          <w:sz w:val="20"/>
        </w:rPr>
        <w:t> </w:t>
      </w:r>
      <w:r>
        <w:rPr>
          <w:sz w:val="20"/>
        </w:rPr>
        <w:t>between</w:t>
      </w:r>
      <w:r>
        <w:rPr>
          <w:spacing w:val="-15"/>
          <w:sz w:val="20"/>
        </w:rPr>
        <w:t> </w:t>
      </w:r>
      <w:r>
        <w:rPr>
          <w:sz w:val="20"/>
        </w:rPr>
        <w:t>other</w:t>
      </w:r>
      <w:r>
        <w:rPr>
          <w:spacing w:val="-10"/>
          <w:sz w:val="20"/>
        </w:rPr>
        <w:t> </w:t>
      </w:r>
      <w:r>
        <w:rPr>
          <w:sz w:val="20"/>
        </w:rPr>
        <w:t>paying</w:t>
      </w:r>
      <w:r>
        <w:rPr>
          <w:spacing w:val="-12"/>
          <w:sz w:val="20"/>
        </w:rPr>
        <w:t> </w:t>
      </w:r>
      <w:r>
        <w:rPr>
          <w:sz w:val="20"/>
        </w:rPr>
        <w:t>entities</w:t>
      </w:r>
      <w:r>
        <w:rPr>
          <w:spacing w:val="-10"/>
          <w:sz w:val="20"/>
        </w:rPr>
        <w:t> </w:t>
      </w:r>
      <w:r>
        <w:rPr>
          <w:sz w:val="20"/>
        </w:rPr>
        <w:t>within</w:t>
      </w:r>
      <w:r>
        <w:rPr>
          <w:spacing w:val="-13"/>
          <w:sz w:val="20"/>
        </w:rPr>
        <w:t> </w:t>
      </w:r>
      <w:r>
        <w:rPr>
          <w:sz w:val="20"/>
        </w:rPr>
        <w:t>the</w:t>
      </w:r>
      <w:r>
        <w:rPr>
          <w:spacing w:val="-12"/>
          <w:sz w:val="20"/>
        </w:rPr>
        <w:t> </w:t>
      </w:r>
      <w:r>
        <w:rPr>
          <w:sz w:val="20"/>
        </w:rPr>
        <w:t>group</w:t>
      </w:r>
      <w:r>
        <w:rPr>
          <w:spacing w:val="-12"/>
          <w:sz w:val="20"/>
        </w:rPr>
        <w:t> </w:t>
      </w:r>
      <w:r>
        <w:rPr>
          <w:sz w:val="20"/>
        </w:rPr>
        <w:t>or</w:t>
      </w:r>
      <w:r>
        <w:rPr>
          <w:spacing w:val="-13"/>
          <w:sz w:val="20"/>
        </w:rPr>
        <w:t> </w:t>
      </w:r>
      <w:r>
        <w:rPr>
          <w:sz w:val="20"/>
        </w:rPr>
        <w:t>segment</w:t>
      </w:r>
      <w:r>
        <w:rPr>
          <w:spacing w:val="-14"/>
          <w:sz w:val="20"/>
        </w:rPr>
        <w:t> </w:t>
      </w:r>
      <w:r>
        <w:rPr>
          <w:sz w:val="20"/>
        </w:rPr>
        <w:t>that</w:t>
      </w:r>
      <w:r>
        <w:rPr>
          <w:spacing w:val="-11"/>
          <w:sz w:val="20"/>
        </w:rPr>
        <w:t> </w:t>
      </w:r>
      <w:r>
        <w:rPr>
          <w:sz w:val="20"/>
        </w:rPr>
        <w:t>do</w:t>
      </w:r>
      <w:r>
        <w:rPr>
          <w:spacing w:val="-13"/>
          <w:sz w:val="20"/>
        </w:rPr>
        <w:t> </w:t>
      </w:r>
      <w:r>
        <w:rPr>
          <w:sz w:val="20"/>
        </w:rPr>
        <w:t>not</w:t>
      </w:r>
      <w:r>
        <w:rPr>
          <w:spacing w:val="-11"/>
          <w:sz w:val="20"/>
        </w:rPr>
        <w:t> </w:t>
      </w:r>
      <w:r>
        <w:rPr>
          <w:sz w:val="20"/>
        </w:rPr>
        <w:t>have a connection to the relevant market jurisdiction. This will in effect provide a “back stop” where it is not possible to establish a “sufficient connection” between a market jurisdiction, allocated Amount A, and a paying entity with sufficient profits to bear the Amount A tax</w:t>
      </w:r>
      <w:r>
        <w:rPr>
          <w:spacing w:val="-10"/>
          <w:sz w:val="20"/>
        </w:rPr>
        <w:t> </w:t>
      </w:r>
      <w:r>
        <w:rPr>
          <w:sz w:val="20"/>
        </w:rPr>
        <w:t>liability.</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1" w:firstLine="0"/>
        <w:jc w:val="both"/>
        <w:rPr>
          <w:sz w:val="20"/>
        </w:rPr>
      </w:pPr>
      <w:r>
        <w:rPr>
          <w:sz w:val="20"/>
        </w:rPr>
        <w:t>A</w:t>
      </w:r>
      <w:r>
        <w:rPr>
          <w:spacing w:val="-9"/>
          <w:sz w:val="20"/>
        </w:rPr>
        <w:t> </w:t>
      </w:r>
      <w:r>
        <w:rPr>
          <w:sz w:val="20"/>
        </w:rPr>
        <w:t>two-step</w:t>
      </w:r>
      <w:r>
        <w:rPr>
          <w:spacing w:val="-7"/>
          <w:sz w:val="20"/>
        </w:rPr>
        <w:t> </w:t>
      </w:r>
      <w:r>
        <w:rPr>
          <w:sz w:val="20"/>
        </w:rPr>
        <w:t>process</w:t>
      </w:r>
      <w:r>
        <w:rPr>
          <w:spacing w:val="-8"/>
          <w:sz w:val="20"/>
        </w:rPr>
        <w:t> </w:t>
      </w:r>
      <w:r>
        <w:rPr>
          <w:sz w:val="20"/>
        </w:rPr>
        <w:t>could</w:t>
      </w:r>
      <w:r>
        <w:rPr>
          <w:spacing w:val="-5"/>
          <w:sz w:val="20"/>
        </w:rPr>
        <w:t> </w:t>
      </w:r>
      <w:r>
        <w:rPr>
          <w:sz w:val="20"/>
        </w:rPr>
        <w:t>also</w:t>
      </w:r>
      <w:r>
        <w:rPr>
          <w:spacing w:val="-9"/>
          <w:sz w:val="20"/>
        </w:rPr>
        <w:t> </w:t>
      </w:r>
      <w:r>
        <w:rPr>
          <w:sz w:val="20"/>
        </w:rPr>
        <w:t>be</w:t>
      </w:r>
      <w:r>
        <w:rPr>
          <w:spacing w:val="-7"/>
          <w:sz w:val="20"/>
        </w:rPr>
        <w:t> </w:t>
      </w:r>
      <w:r>
        <w:rPr>
          <w:sz w:val="20"/>
        </w:rPr>
        <w:t>envisaged,</w:t>
      </w:r>
      <w:r>
        <w:rPr>
          <w:spacing w:val="-7"/>
          <w:sz w:val="20"/>
        </w:rPr>
        <w:t> </w:t>
      </w:r>
      <w:r>
        <w:rPr>
          <w:sz w:val="20"/>
        </w:rPr>
        <w:t>whereby:</w:t>
      </w:r>
      <w:r>
        <w:rPr>
          <w:spacing w:val="-4"/>
          <w:sz w:val="20"/>
        </w:rPr>
        <w:t> </w:t>
      </w:r>
      <w:r>
        <w:rPr>
          <w:sz w:val="20"/>
        </w:rPr>
        <w:t>a</w:t>
      </w:r>
      <w:r>
        <w:rPr>
          <w:spacing w:val="-9"/>
          <w:sz w:val="20"/>
        </w:rPr>
        <w:t> </w:t>
      </w:r>
      <w:r>
        <w:rPr>
          <w:sz w:val="20"/>
        </w:rPr>
        <w:t>profitability</w:t>
      </w:r>
      <w:r>
        <w:rPr>
          <w:spacing w:val="-8"/>
          <w:sz w:val="20"/>
        </w:rPr>
        <w:t> </w:t>
      </w:r>
      <w:r>
        <w:rPr>
          <w:sz w:val="20"/>
        </w:rPr>
        <w:t>test</w:t>
      </w:r>
      <w:r>
        <w:rPr>
          <w:spacing w:val="-6"/>
          <w:sz w:val="20"/>
        </w:rPr>
        <w:t> </w:t>
      </w:r>
      <w:r>
        <w:rPr>
          <w:sz w:val="20"/>
        </w:rPr>
        <w:t>would</w:t>
      </w:r>
      <w:r>
        <w:rPr>
          <w:spacing w:val="-7"/>
          <w:sz w:val="20"/>
        </w:rPr>
        <w:t> </w:t>
      </w:r>
      <w:r>
        <w:rPr>
          <w:sz w:val="20"/>
        </w:rPr>
        <w:t>be</w:t>
      </w:r>
      <w:r>
        <w:rPr>
          <w:spacing w:val="-5"/>
          <w:sz w:val="20"/>
        </w:rPr>
        <w:t> </w:t>
      </w:r>
      <w:r>
        <w:rPr>
          <w:sz w:val="20"/>
        </w:rPr>
        <w:t>used</w:t>
      </w:r>
      <w:r>
        <w:rPr>
          <w:spacing w:val="-8"/>
          <w:sz w:val="20"/>
        </w:rPr>
        <w:t> </w:t>
      </w:r>
      <w:r>
        <w:rPr>
          <w:sz w:val="20"/>
        </w:rPr>
        <w:t>to</w:t>
      </w:r>
      <w:r>
        <w:rPr>
          <w:spacing w:val="-7"/>
          <w:sz w:val="20"/>
        </w:rPr>
        <w:t> </w:t>
      </w:r>
      <w:r>
        <w:rPr>
          <w:sz w:val="20"/>
        </w:rPr>
        <w:t>identify entities in the group that earn residual profits; and where more than one entity is found to meet the test, the</w:t>
      </w:r>
      <w:r>
        <w:rPr>
          <w:spacing w:val="-12"/>
          <w:sz w:val="20"/>
        </w:rPr>
        <w:t> </w:t>
      </w:r>
      <w:r>
        <w:rPr>
          <w:sz w:val="20"/>
        </w:rPr>
        <w:t>Amount</w:t>
      </w:r>
      <w:r>
        <w:rPr>
          <w:spacing w:val="-12"/>
          <w:sz w:val="20"/>
        </w:rPr>
        <w:t> </w:t>
      </w:r>
      <w:r>
        <w:rPr>
          <w:sz w:val="20"/>
        </w:rPr>
        <w:t>A</w:t>
      </w:r>
      <w:r>
        <w:rPr>
          <w:spacing w:val="-14"/>
          <w:sz w:val="20"/>
        </w:rPr>
        <w:t> </w:t>
      </w:r>
      <w:r>
        <w:rPr>
          <w:sz w:val="20"/>
        </w:rPr>
        <w:t>liability</w:t>
      </w:r>
      <w:r>
        <w:rPr>
          <w:spacing w:val="-14"/>
          <w:sz w:val="20"/>
        </w:rPr>
        <w:t> </w:t>
      </w:r>
      <w:r>
        <w:rPr>
          <w:sz w:val="20"/>
        </w:rPr>
        <w:t>would</w:t>
      </w:r>
      <w:r>
        <w:rPr>
          <w:spacing w:val="-11"/>
          <w:sz w:val="20"/>
        </w:rPr>
        <w:t> </w:t>
      </w:r>
      <w:r>
        <w:rPr>
          <w:sz w:val="20"/>
        </w:rPr>
        <w:t>be</w:t>
      </w:r>
      <w:r>
        <w:rPr>
          <w:spacing w:val="-12"/>
          <w:sz w:val="20"/>
        </w:rPr>
        <w:t> </w:t>
      </w:r>
      <w:r>
        <w:rPr>
          <w:sz w:val="20"/>
        </w:rPr>
        <w:t>apportioned</w:t>
      </w:r>
      <w:r>
        <w:rPr>
          <w:spacing w:val="-9"/>
          <w:sz w:val="20"/>
        </w:rPr>
        <w:t> </w:t>
      </w:r>
      <w:r>
        <w:rPr>
          <w:sz w:val="20"/>
        </w:rPr>
        <w:t>among</w:t>
      </w:r>
      <w:r>
        <w:rPr>
          <w:spacing w:val="-14"/>
          <w:sz w:val="20"/>
        </w:rPr>
        <w:t> </w:t>
      </w:r>
      <w:r>
        <w:rPr>
          <w:sz w:val="20"/>
        </w:rPr>
        <w:t>each</w:t>
      </w:r>
      <w:r>
        <w:rPr>
          <w:spacing w:val="-14"/>
          <w:sz w:val="20"/>
        </w:rPr>
        <w:t> </w:t>
      </w:r>
      <w:r>
        <w:rPr>
          <w:sz w:val="20"/>
        </w:rPr>
        <w:t>entity</w:t>
      </w:r>
      <w:r>
        <w:rPr>
          <w:spacing w:val="-13"/>
          <w:sz w:val="20"/>
        </w:rPr>
        <w:t> </w:t>
      </w:r>
      <w:r>
        <w:rPr>
          <w:sz w:val="20"/>
        </w:rPr>
        <w:t>on</w:t>
      </w:r>
      <w:r>
        <w:rPr>
          <w:spacing w:val="-11"/>
          <w:sz w:val="20"/>
        </w:rPr>
        <w:t> </w:t>
      </w:r>
      <w:r>
        <w:rPr>
          <w:sz w:val="20"/>
        </w:rPr>
        <w:t>a</w:t>
      </w:r>
      <w:r>
        <w:rPr>
          <w:spacing w:val="-12"/>
          <w:sz w:val="20"/>
        </w:rPr>
        <w:t> </w:t>
      </w:r>
      <w:r>
        <w:rPr>
          <w:sz w:val="20"/>
        </w:rPr>
        <w:t>pro-rata</w:t>
      </w:r>
      <w:r>
        <w:rPr>
          <w:spacing w:val="-12"/>
          <w:sz w:val="20"/>
        </w:rPr>
        <w:t> </w:t>
      </w:r>
      <w:r>
        <w:rPr>
          <w:sz w:val="20"/>
        </w:rPr>
        <w:t>basis</w:t>
      </w:r>
      <w:r>
        <w:rPr>
          <w:spacing w:val="-7"/>
          <w:sz w:val="20"/>
        </w:rPr>
        <w:t> </w:t>
      </w:r>
      <w:r>
        <w:rPr>
          <w:sz w:val="20"/>
        </w:rPr>
        <w:t>according</w:t>
      </w:r>
      <w:r>
        <w:rPr>
          <w:spacing w:val="-12"/>
          <w:sz w:val="20"/>
        </w:rPr>
        <w:t> </w:t>
      </w:r>
      <w:r>
        <w:rPr>
          <w:sz w:val="20"/>
        </w:rPr>
        <w:t>to</w:t>
      </w:r>
      <w:r>
        <w:rPr>
          <w:spacing w:val="-12"/>
          <w:sz w:val="20"/>
        </w:rPr>
        <w:t> </w:t>
      </w:r>
      <w:r>
        <w:rPr>
          <w:sz w:val="20"/>
        </w:rPr>
        <w:t>the</w:t>
      </w:r>
      <w:r>
        <w:rPr>
          <w:spacing w:val="-14"/>
          <w:sz w:val="20"/>
        </w:rPr>
        <w:t> </w:t>
      </w:r>
      <w:r>
        <w:rPr>
          <w:sz w:val="20"/>
        </w:rPr>
        <w:t>amount of profits earned by each that exceeds the agreed profitability</w:t>
      </w:r>
      <w:r>
        <w:rPr>
          <w:spacing w:val="-10"/>
          <w:sz w:val="20"/>
        </w:rPr>
        <w:t> </w:t>
      </w:r>
      <w:r>
        <w:rPr>
          <w:sz w:val="20"/>
        </w:rPr>
        <w:t>threshold.</w:t>
      </w:r>
    </w:p>
    <w:p>
      <w:pPr>
        <w:pStyle w:val="BodyText"/>
        <w:rPr>
          <w:sz w:val="22"/>
        </w:rPr>
      </w:pPr>
    </w:p>
    <w:p>
      <w:pPr>
        <w:pStyle w:val="BodyText"/>
        <w:rPr>
          <w:sz w:val="22"/>
        </w:rPr>
      </w:pPr>
    </w:p>
    <w:p>
      <w:pPr>
        <w:pStyle w:val="Heading6"/>
        <w:numPr>
          <w:ilvl w:val="2"/>
          <w:numId w:val="68"/>
        </w:numPr>
        <w:tabs>
          <w:tab w:pos="2015" w:val="left" w:leader="none"/>
        </w:tabs>
        <w:spacing w:line="240" w:lineRule="auto" w:before="176" w:after="0"/>
        <w:ind w:left="2014" w:right="0" w:hanging="613"/>
        <w:jc w:val="left"/>
        <w:rPr>
          <w:i/>
        </w:rPr>
      </w:pPr>
      <w:bookmarkStart w:name="7.2.2. Step 1: Activities test" w:id="334"/>
      <w:bookmarkEnd w:id="334"/>
      <w:r>
        <w:rPr>
          <w:b w:val="0"/>
          <w:i w:val="0"/>
        </w:rPr>
      </w:r>
      <w:bookmarkStart w:name="7.2.2. Step 1: Activities test" w:id="335"/>
      <w:bookmarkEnd w:id="335"/>
      <w:r>
        <w:rPr>
          <w:i/>
        </w:rPr>
        <w:t>S</w:t>
      </w:r>
      <w:r>
        <w:rPr>
          <w:i/>
        </w:rPr>
        <w:t>tep 1: Activities</w:t>
      </w:r>
      <w:r>
        <w:rPr>
          <w:i/>
          <w:spacing w:val="-4"/>
        </w:rPr>
        <w:t> </w:t>
      </w:r>
      <w:r>
        <w:rPr>
          <w:i/>
        </w:rPr>
        <w:t>test</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An activities test would require that taxpayers undertake a qualitative assessment to identify entities within the group that make material and sustained contributions to an MNE group’s ability to generate</w:t>
      </w:r>
      <w:r>
        <w:rPr>
          <w:spacing w:val="-7"/>
          <w:sz w:val="20"/>
        </w:rPr>
        <w:t> </w:t>
      </w:r>
      <w:r>
        <w:rPr>
          <w:sz w:val="20"/>
        </w:rPr>
        <w:t>residual</w:t>
      </w:r>
      <w:r>
        <w:rPr>
          <w:spacing w:val="-7"/>
          <w:sz w:val="20"/>
        </w:rPr>
        <w:t> </w:t>
      </w:r>
      <w:r>
        <w:rPr>
          <w:sz w:val="20"/>
        </w:rPr>
        <w:t>profits.</w:t>
      </w:r>
      <w:r>
        <w:rPr>
          <w:spacing w:val="-6"/>
          <w:sz w:val="20"/>
        </w:rPr>
        <w:t> </w:t>
      </w:r>
      <w:r>
        <w:rPr>
          <w:sz w:val="20"/>
        </w:rPr>
        <w:t>This</w:t>
      </w:r>
      <w:r>
        <w:rPr>
          <w:spacing w:val="-5"/>
          <w:sz w:val="20"/>
        </w:rPr>
        <w:t> </w:t>
      </w:r>
      <w:r>
        <w:rPr>
          <w:sz w:val="20"/>
        </w:rPr>
        <w:t>reflects</w:t>
      </w:r>
      <w:r>
        <w:rPr>
          <w:spacing w:val="-5"/>
          <w:sz w:val="20"/>
        </w:rPr>
        <w:t> </w:t>
      </w:r>
      <w:r>
        <w:rPr>
          <w:sz w:val="20"/>
        </w:rPr>
        <w:t>the</w:t>
      </w:r>
      <w:r>
        <w:rPr>
          <w:spacing w:val="-7"/>
          <w:sz w:val="20"/>
        </w:rPr>
        <w:t> </w:t>
      </w:r>
      <w:r>
        <w:rPr>
          <w:sz w:val="20"/>
        </w:rPr>
        <w:t>fact</w:t>
      </w:r>
      <w:r>
        <w:rPr>
          <w:spacing w:val="-6"/>
          <w:sz w:val="20"/>
        </w:rPr>
        <w:t> </w:t>
      </w:r>
      <w:r>
        <w:rPr>
          <w:sz w:val="20"/>
        </w:rPr>
        <w:t>that</w:t>
      </w:r>
      <w:r>
        <w:rPr>
          <w:spacing w:val="-7"/>
          <w:sz w:val="20"/>
        </w:rPr>
        <w:t> </w:t>
      </w:r>
      <w:r>
        <w:rPr>
          <w:sz w:val="20"/>
        </w:rPr>
        <w:t>conceptually</w:t>
      </w:r>
      <w:r>
        <w:rPr>
          <w:spacing w:val="-9"/>
          <w:sz w:val="20"/>
        </w:rPr>
        <w:t> </w:t>
      </w:r>
      <w:r>
        <w:rPr>
          <w:sz w:val="20"/>
        </w:rPr>
        <w:t>these are</w:t>
      </w:r>
      <w:r>
        <w:rPr>
          <w:spacing w:val="-4"/>
          <w:sz w:val="20"/>
        </w:rPr>
        <w:t> </w:t>
      </w:r>
      <w:r>
        <w:rPr>
          <w:sz w:val="20"/>
        </w:rPr>
        <w:t>the</w:t>
      </w:r>
      <w:r>
        <w:rPr>
          <w:spacing w:val="-5"/>
          <w:sz w:val="20"/>
        </w:rPr>
        <w:t> </w:t>
      </w:r>
      <w:r>
        <w:rPr>
          <w:sz w:val="20"/>
        </w:rPr>
        <w:t>entities</w:t>
      </w:r>
      <w:r>
        <w:rPr>
          <w:spacing w:val="-6"/>
          <w:sz w:val="20"/>
        </w:rPr>
        <w:t> </w:t>
      </w:r>
      <w:r>
        <w:rPr>
          <w:sz w:val="20"/>
        </w:rPr>
        <w:t>that</w:t>
      </w:r>
      <w:r>
        <w:rPr>
          <w:spacing w:val="-6"/>
          <w:sz w:val="20"/>
        </w:rPr>
        <w:t> </w:t>
      </w:r>
      <w:r>
        <w:rPr>
          <w:sz w:val="20"/>
        </w:rPr>
        <w:t>should</w:t>
      </w:r>
      <w:r>
        <w:rPr>
          <w:spacing w:val="-4"/>
          <w:sz w:val="20"/>
        </w:rPr>
        <w:t> </w:t>
      </w:r>
      <w:r>
        <w:rPr>
          <w:sz w:val="20"/>
        </w:rPr>
        <w:t>bear</w:t>
      </w:r>
      <w:r>
        <w:rPr>
          <w:spacing w:val="-6"/>
          <w:sz w:val="20"/>
        </w:rPr>
        <w:t> </w:t>
      </w:r>
      <w:r>
        <w:rPr>
          <w:sz w:val="20"/>
        </w:rPr>
        <w:t>the Amount</w:t>
      </w:r>
      <w:r>
        <w:rPr>
          <w:spacing w:val="-6"/>
          <w:sz w:val="20"/>
        </w:rPr>
        <w:t> </w:t>
      </w:r>
      <w:r>
        <w:rPr>
          <w:sz w:val="20"/>
        </w:rPr>
        <w:t>A</w:t>
      </w:r>
      <w:r>
        <w:rPr>
          <w:spacing w:val="-4"/>
          <w:sz w:val="20"/>
        </w:rPr>
        <w:t> </w:t>
      </w:r>
      <w:r>
        <w:rPr>
          <w:sz w:val="20"/>
        </w:rPr>
        <w:t>tax</w:t>
      </w:r>
      <w:r>
        <w:rPr>
          <w:spacing w:val="-2"/>
          <w:sz w:val="20"/>
        </w:rPr>
        <w:t> </w:t>
      </w:r>
      <w:r>
        <w:rPr>
          <w:sz w:val="20"/>
        </w:rPr>
        <w:t>liability</w:t>
      </w:r>
      <w:r>
        <w:rPr>
          <w:spacing w:val="-5"/>
          <w:sz w:val="20"/>
        </w:rPr>
        <w:t> </w:t>
      </w:r>
      <w:r>
        <w:rPr>
          <w:sz w:val="20"/>
        </w:rPr>
        <w:t>It</w:t>
      </w:r>
      <w:r>
        <w:rPr>
          <w:spacing w:val="-3"/>
          <w:sz w:val="20"/>
        </w:rPr>
        <w:t> </w:t>
      </w:r>
      <w:r>
        <w:rPr>
          <w:sz w:val="20"/>
        </w:rPr>
        <w:t>is</w:t>
      </w:r>
      <w:r>
        <w:rPr>
          <w:spacing w:val="-2"/>
          <w:sz w:val="20"/>
        </w:rPr>
        <w:t> </w:t>
      </w:r>
      <w:r>
        <w:rPr>
          <w:sz w:val="20"/>
        </w:rPr>
        <w:t>important</w:t>
      </w:r>
      <w:r>
        <w:rPr>
          <w:spacing w:val="-5"/>
          <w:sz w:val="20"/>
        </w:rPr>
        <w:t> </w:t>
      </w:r>
      <w:r>
        <w:rPr>
          <w:sz w:val="20"/>
        </w:rPr>
        <w:t>that</w:t>
      </w:r>
      <w:r>
        <w:rPr>
          <w:spacing w:val="-3"/>
          <w:sz w:val="20"/>
        </w:rPr>
        <w:t> </w:t>
      </w:r>
      <w:r>
        <w:rPr>
          <w:sz w:val="20"/>
        </w:rPr>
        <w:t>the</w:t>
      </w:r>
      <w:r>
        <w:rPr>
          <w:spacing w:val="-4"/>
          <w:sz w:val="20"/>
        </w:rPr>
        <w:t> </w:t>
      </w:r>
      <w:r>
        <w:rPr>
          <w:sz w:val="20"/>
        </w:rPr>
        <w:t>activities</w:t>
      </w:r>
      <w:r>
        <w:rPr>
          <w:spacing w:val="-2"/>
          <w:sz w:val="20"/>
        </w:rPr>
        <w:t> </w:t>
      </w:r>
      <w:r>
        <w:rPr>
          <w:sz w:val="20"/>
        </w:rPr>
        <w:t>test</w:t>
      </w:r>
      <w:r>
        <w:rPr>
          <w:spacing w:val="-5"/>
          <w:sz w:val="20"/>
        </w:rPr>
        <w:t> </w:t>
      </w:r>
      <w:r>
        <w:rPr>
          <w:sz w:val="20"/>
        </w:rPr>
        <w:t>is</w:t>
      </w:r>
      <w:r>
        <w:rPr>
          <w:spacing w:val="-2"/>
          <w:sz w:val="20"/>
        </w:rPr>
        <w:t> </w:t>
      </w:r>
      <w:r>
        <w:rPr>
          <w:sz w:val="20"/>
        </w:rPr>
        <w:t>developed</w:t>
      </w:r>
      <w:r>
        <w:rPr>
          <w:spacing w:val="-4"/>
          <w:sz w:val="20"/>
        </w:rPr>
        <w:t> </w:t>
      </w:r>
      <w:r>
        <w:rPr>
          <w:sz w:val="20"/>
        </w:rPr>
        <w:t>in</w:t>
      </w:r>
      <w:r>
        <w:rPr>
          <w:spacing w:val="-3"/>
          <w:sz w:val="20"/>
        </w:rPr>
        <w:t> </w:t>
      </w:r>
      <w:r>
        <w:rPr>
          <w:sz w:val="20"/>
        </w:rPr>
        <w:t>a</w:t>
      </w:r>
      <w:r>
        <w:rPr>
          <w:spacing w:val="-4"/>
          <w:sz w:val="20"/>
        </w:rPr>
        <w:t> </w:t>
      </w:r>
      <w:r>
        <w:rPr>
          <w:sz w:val="20"/>
        </w:rPr>
        <w:t>way</w:t>
      </w:r>
      <w:r>
        <w:rPr>
          <w:spacing w:val="-5"/>
          <w:sz w:val="20"/>
        </w:rPr>
        <w:t> </w:t>
      </w:r>
      <w:r>
        <w:rPr>
          <w:sz w:val="20"/>
        </w:rPr>
        <w:t>that</w:t>
      </w:r>
      <w:r>
        <w:rPr>
          <w:spacing w:val="-4"/>
          <w:sz w:val="20"/>
        </w:rPr>
        <w:t> </w:t>
      </w:r>
      <w:r>
        <w:rPr>
          <w:sz w:val="20"/>
        </w:rPr>
        <w:t>is</w:t>
      </w:r>
      <w:r>
        <w:rPr>
          <w:spacing w:val="-4"/>
          <w:sz w:val="20"/>
        </w:rPr>
        <w:t> </w:t>
      </w:r>
      <w:r>
        <w:rPr>
          <w:sz w:val="20"/>
        </w:rPr>
        <w:t>clear</w:t>
      </w:r>
      <w:r>
        <w:rPr>
          <w:spacing w:val="-5"/>
          <w:sz w:val="20"/>
        </w:rPr>
        <w:t> </w:t>
      </w:r>
      <w:r>
        <w:rPr>
          <w:sz w:val="20"/>
        </w:rPr>
        <w:t>and</w:t>
      </w:r>
      <w:r>
        <w:rPr>
          <w:spacing w:val="-4"/>
          <w:sz w:val="20"/>
        </w:rPr>
        <w:t> </w:t>
      </w:r>
      <w:r>
        <w:rPr>
          <w:sz w:val="20"/>
        </w:rPr>
        <w:t>simple</w:t>
      </w:r>
      <w:r>
        <w:rPr>
          <w:spacing w:val="-6"/>
          <w:sz w:val="20"/>
        </w:rPr>
        <w:t> </w:t>
      </w:r>
      <w:r>
        <w:rPr>
          <w:sz w:val="20"/>
        </w:rPr>
        <w:t>to apply</w:t>
      </w:r>
      <w:r>
        <w:rPr>
          <w:spacing w:val="-10"/>
          <w:sz w:val="20"/>
        </w:rPr>
        <w:t> </w:t>
      </w:r>
      <w:r>
        <w:rPr>
          <w:sz w:val="20"/>
        </w:rPr>
        <w:t>in</w:t>
      </w:r>
      <w:r>
        <w:rPr>
          <w:spacing w:val="-9"/>
          <w:sz w:val="20"/>
        </w:rPr>
        <w:t> </w:t>
      </w:r>
      <w:r>
        <w:rPr>
          <w:sz w:val="20"/>
        </w:rPr>
        <w:t>practice,</w:t>
      </w:r>
      <w:r>
        <w:rPr>
          <w:spacing w:val="-7"/>
          <w:sz w:val="20"/>
        </w:rPr>
        <w:t> </w:t>
      </w:r>
      <w:r>
        <w:rPr>
          <w:sz w:val="20"/>
        </w:rPr>
        <w:t>and</w:t>
      </w:r>
      <w:r>
        <w:rPr>
          <w:spacing w:val="-7"/>
          <w:sz w:val="20"/>
        </w:rPr>
        <w:t> </w:t>
      </w:r>
      <w:r>
        <w:rPr>
          <w:sz w:val="20"/>
        </w:rPr>
        <w:t>draws</w:t>
      </w:r>
      <w:r>
        <w:rPr>
          <w:spacing w:val="-7"/>
          <w:sz w:val="20"/>
        </w:rPr>
        <w:t> </w:t>
      </w:r>
      <w:r>
        <w:rPr>
          <w:sz w:val="20"/>
        </w:rPr>
        <w:t>on</w:t>
      </w:r>
      <w:r>
        <w:rPr>
          <w:spacing w:val="-9"/>
          <w:sz w:val="20"/>
        </w:rPr>
        <w:t> </w:t>
      </w:r>
      <w:r>
        <w:rPr>
          <w:sz w:val="20"/>
        </w:rPr>
        <w:t>the</w:t>
      </w:r>
      <w:r>
        <w:rPr>
          <w:spacing w:val="-7"/>
          <w:sz w:val="20"/>
        </w:rPr>
        <w:t> </w:t>
      </w:r>
      <w:r>
        <w:rPr>
          <w:sz w:val="20"/>
        </w:rPr>
        <w:t>existing</w:t>
      </w:r>
      <w:r>
        <w:rPr>
          <w:spacing w:val="-7"/>
          <w:sz w:val="20"/>
        </w:rPr>
        <w:t> </w:t>
      </w:r>
      <w:r>
        <w:rPr>
          <w:sz w:val="20"/>
        </w:rPr>
        <w:t>transfer</w:t>
      </w:r>
      <w:r>
        <w:rPr>
          <w:spacing w:val="-8"/>
          <w:sz w:val="20"/>
        </w:rPr>
        <w:t> </w:t>
      </w:r>
      <w:r>
        <w:rPr>
          <w:sz w:val="20"/>
        </w:rPr>
        <w:t>pricing</w:t>
      </w:r>
      <w:r>
        <w:rPr>
          <w:spacing w:val="-7"/>
          <w:sz w:val="20"/>
        </w:rPr>
        <w:t> </w:t>
      </w:r>
      <w:r>
        <w:rPr>
          <w:sz w:val="20"/>
        </w:rPr>
        <w:t>analysis</w:t>
      </w:r>
      <w:r>
        <w:rPr>
          <w:spacing w:val="-7"/>
          <w:sz w:val="20"/>
        </w:rPr>
        <w:t> </w:t>
      </w:r>
      <w:r>
        <w:rPr>
          <w:sz w:val="20"/>
        </w:rPr>
        <w:t>and</w:t>
      </w:r>
      <w:r>
        <w:rPr>
          <w:spacing w:val="-7"/>
          <w:sz w:val="20"/>
        </w:rPr>
        <w:t> </w:t>
      </w:r>
      <w:r>
        <w:rPr>
          <w:sz w:val="20"/>
        </w:rPr>
        <w:t>documentation</w:t>
      </w:r>
      <w:r>
        <w:rPr>
          <w:spacing w:val="-9"/>
          <w:sz w:val="20"/>
        </w:rPr>
        <w:t> </w:t>
      </w:r>
      <w:r>
        <w:rPr>
          <w:sz w:val="20"/>
        </w:rPr>
        <w:t>prepared</w:t>
      </w:r>
      <w:r>
        <w:rPr>
          <w:spacing w:val="-7"/>
          <w:sz w:val="20"/>
        </w:rPr>
        <w:t> </w:t>
      </w:r>
      <w:r>
        <w:rPr>
          <w:sz w:val="20"/>
        </w:rPr>
        <w:t>by</w:t>
      </w:r>
      <w:r>
        <w:rPr>
          <w:spacing w:val="-10"/>
          <w:sz w:val="20"/>
        </w:rPr>
        <w:t> </w:t>
      </w:r>
      <w:r>
        <w:rPr>
          <w:sz w:val="20"/>
        </w:rPr>
        <w:t>MNE groups.</w:t>
      </w:r>
      <w:r>
        <w:rPr>
          <w:spacing w:val="-16"/>
          <w:sz w:val="20"/>
        </w:rPr>
        <w:t> </w:t>
      </w:r>
      <w:r>
        <w:rPr>
          <w:sz w:val="20"/>
        </w:rPr>
        <w:t>By</w:t>
      </w:r>
      <w:r>
        <w:rPr>
          <w:spacing w:val="-19"/>
          <w:sz w:val="20"/>
        </w:rPr>
        <w:t> </w:t>
      </w:r>
      <w:r>
        <w:rPr>
          <w:sz w:val="20"/>
        </w:rPr>
        <w:t>doing</w:t>
      </w:r>
      <w:r>
        <w:rPr>
          <w:spacing w:val="-17"/>
          <w:sz w:val="20"/>
        </w:rPr>
        <w:t> </w:t>
      </w:r>
      <w:r>
        <w:rPr>
          <w:sz w:val="20"/>
        </w:rPr>
        <w:t>so</w:t>
      </w:r>
      <w:r>
        <w:rPr>
          <w:spacing w:val="-16"/>
          <w:sz w:val="20"/>
        </w:rPr>
        <w:t> </w:t>
      </w:r>
      <w:r>
        <w:rPr>
          <w:sz w:val="20"/>
        </w:rPr>
        <w:t>it</w:t>
      </w:r>
      <w:r>
        <w:rPr>
          <w:spacing w:val="-16"/>
          <w:sz w:val="20"/>
        </w:rPr>
        <w:t> </w:t>
      </w:r>
      <w:r>
        <w:rPr>
          <w:sz w:val="20"/>
        </w:rPr>
        <w:t>will</w:t>
      </w:r>
      <w:r>
        <w:rPr>
          <w:spacing w:val="-17"/>
          <w:sz w:val="20"/>
        </w:rPr>
        <w:t> </w:t>
      </w:r>
      <w:r>
        <w:rPr>
          <w:sz w:val="20"/>
        </w:rPr>
        <w:t>limit</w:t>
      </w:r>
      <w:r>
        <w:rPr>
          <w:spacing w:val="-18"/>
          <w:sz w:val="20"/>
        </w:rPr>
        <w:t> </w:t>
      </w:r>
      <w:r>
        <w:rPr>
          <w:sz w:val="20"/>
        </w:rPr>
        <w:t>the</w:t>
      </w:r>
      <w:r>
        <w:rPr>
          <w:spacing w:val="-18"/>
          <w:sz w:val="20"/>
        </w:rPr>
        <w:t> </w:t>
      </w:r>
      <w:r>
        <w:rPr>
          <w:sz w:val="20"/>
        </w:rPr>
        <w:t>additional</w:t>
      </w:r>
      <w:r>
        <w:rPr>
          <w:spacing w:val="-19"/>
          <w:sz w:val="20"/>
        </w:rPr>
        <w:t> </w:t>
      </w:r>
      <w:r>
        <w:rPr>
          <w:sz w:val="20"/>
        </w:rPr>
        <w:t>compliance</w:t>
      </w:r>
      <w:r>
        <w:rPr>
          <w:spacing w:val="-19"/>
          <w:sz w:val="20"/>
        </w:rPr>
        <w:t> </w:t>
      </w:r>
      <w:r>
        <w:rPr>
          <w:sz w:val="20"/>
        </w:rPr>
        <w:t>costs</w:t>
      </w:r>
      <w:r>
        <w:rPr>
          <w:spacing w:val="-17"/>
          <w:sz w:val="20"/>
        </w:rPr>
        <w:t> </w:t>
      </w:r>
      <w:r>
        <w:rPr>
          <w:sz w:val="20"/>
        </w:rPr>
        <w:t>of</w:t>
      </w:r>
      <w:r>
        <w:rPr>
          <w:spacing w:val="-17"/>
          <w:sz w:val="20"/>
        </w:rPr>
        <w:t> </w:t>
      </w:r>
      <w:r>
        <w:rPr>
          <w:sz w:val="20"/>
        </w:rPr>
        <w:t>MNE</w:t>
      </w:r>
      <w:r>
        <w:rPr>
          <w:spacing w:val="-17"/>
          <w:sz w:val="20"/>
        </w:rPr>
        <w:t> </w:t>
      </w:r>
      <w:r>
        <w:rPr>
          <w:sz w:val="20"/>
        </w:rPr>
        <w:t>groups.</w:t>
      </w:r>
      <w:r>
        <w:rPr>
          <w:spacing w:val="-17"/>
          <w:sz w:val="20"/>
        </w:rPr>
        <w:t> </w:t>
      </w:r>
      <w:r>
        <w:rPr>
          <w:sz w:val="20"/>
        </w:rPr>
        <w:t>Nevertheless,</w:t>
      </w:r>
      <w:r>
        <w:rPr>
          <w:spacing w:val="-18"/>
          <w:sz w:val="20"/>
        </w:rPr>
        <w:t> </w:t>
      </w:r>
      <w:r>
        <w:rPr>
          <w:sz w:val="20"/>
        </w:rPr>
        <w:t>any</w:t>
      </w:r>
      <w:r>
        <w:rPr>
          <w:spacing w:val="-19"/>
          <w:sz w:val="20"/>
        </w:rPr>
        <w:t> </w:t>
      </w:r>
      <w:r>
        <w:rPr>
          <w:sz w:val="20"/>
        </w:rPr>
        <w:t>additional documents that may be required would be included in the standard Amount A documentation required for the tax certainty process. At the outset, it is important to emphasise that Amount A would only apply to large MNE groups, that meet or exceed a number of threshold tests and have in-scope revenue. This section outlines the concepts that could underpin the activities test and explains how this test could be applied in</w:t>
      </w:r>
      <w:r>
        <w:rPr>
          <w:spacing w:val="-3"/>
          <w:sz w:val="20"/>
        </w:rPr>
        <w:t> </w:t>
      </w:r>
      <w:r>
        <w:rPr>
          <w:sz w:val="20"/>
        </w:rPr>
        <w:t>practice.</w:t>
      </w:r>
    </w:p>
    <w:p>
      <w:pPr>
        <w:pStyle w:val="ListParagraph"/>
        <w:numPr>
          <w:ilvl w:val="0"/>
          <w:numId w:val="13"/>
        </w:numPr>
        <w:tabs>
          <w:tab w:pos="1444" w:val="left" w:leader="none"/>
        </w:tabs>
        <w:spacing w:line="271" w:lineRule="auto" w:before="120" w:after="0"/>
        <w:ind w:left="723" w:right="477" w:firstLine="0"/>
        <w:jc w:val="both"/>
        <w:rPr>
          <w:sz w:val="20"/>
        </w:rPr>
      </w:pPr>
      <w:r>
        <w:rPr>
          <w:sz w:val="20"/>
        </w:rPr>
        <w:t>The transfer pricing master file and relevant local files prepared by MNE groups provide a first point</w:t>
      </w:r>
      <w:r>
        <w:rPr>
          <w:spacing w:val="-16"/>
          <w:sz w:val="20"/>
        </w:rPr>
        <w:t> </w:t>
      </w:r>
      <w:r>
        <w:rPr>
          <w:sz w:val="20"/>
        </w:rPr>
        <w:t>of</w:t>
      </w:r>
      <w:r>
        <w:rPr>
          <w:spacing w:val="-15"/>
          <w:sz w:val="20"/>
        </w:rPr>
        <w:t> </w:t>
      </w:r>
      <w:r>
        <w:rPr>
          <w:sz w:val="20"/>
        </w:rPr>
        <w:t>reference</w:t>
      </w:r>
      <w:r>
        <w:rPr>
          <w:spacing w:val="-15"/>
          <w:sz w:val="20"/>
        </w:rPr>
        <w:t> </w:t>
      </w:r>
      <w:r>
        <w:rPr>
          <w:sz w:val="20"/>
        </w:rPr>
        <w:t>for</w:t>
      </w:r>
      <w:r>
        <w:rPr>
          <w:spacing w:val="-15"/>
          <w:sz w:val="20"/>
        </w:rPr>
        <w:t> </w:t>
      </w:r>
      <w:r>
        <w:rPr>
          <w:sz w:val="20"/>
        </w:rPr>
        <w:t>the</w:t>
      </w:r>
      <w:r>
        <w:rPr>
          <w:spacing w:val="-16"/>
          <w:sz w:val="20"/>
        </w:rPr>
        <w:t> </w:t>
      </w:r>
      <w:r>
        <w:rPr>
          <w:sz w:val="20"/>
        </w:rPr>
        <w:t>application</w:t>
      </w:r>
      <w:r>
        <w:rPr>
          <w:spacing w:val="-16"/>
          <w:sz w:val="20"/>
        </w:rPr>
        <w:t> </w:t>
      </w:r>
      <w:r>
        <w:rPr>
          <w:sz w:val="20"/>
        </w:rPr>
        <w:t>of</w:t>
      </w:r>
      <w:r>
        <w:rPr>
          <w:spacing w:val="-14"/>
          <w:sz w:val="20"/>
        </w:rPr>
        <w:t> </w:t>
      </w:r>
      <w:r>
        <w:rPr>
          <w:sz w:val="20"/>
        </w:rPr>
        <w:t>the</w:t>
      </w:r>
      <w:r>
        <w:rPr>
          <w:spacing w:val="-15"/>
          <w:sz w:val="20"/>
        </w:rPr>
        <w:t> </w:t>
      </w:r>
      <w:r>
        <w:rPr>
          <w:sz w:val="20"/>
        </w:rPr>
        <w:t>activities</w:t>
      </w:r>
      <w:r>
        <w:rPr>
          <w:spacing w:val="-15"/>
          <w:sz w:val="20"/>
        </w:rPr>
        <w:t> </w:t>
      </w:r>
      <w:r>
        <w:rPr>
          <w:sz w:val="20"/>
        </w:rPr>
        <w:t>test,</w:t>
      </w:r>
      <w:r>
        <w:rPr>
          <w:spacing w:val="-16"/>
          <w:sz w:val="20"/>
        </w:rPr>
        <w:t> </w:t>
      </w:r>
      <w:r>
        <w:rPr>
          <w:sz w:val="20"/>
        </w:rPr>
        <w:t>taking</w:t>
      </w:r>
      <w:r>
        <w:rPr>
          <w:spacing w:val="-16"/>
          <w:sz w:val="20"/>
        </w:rPr>
        <w:t> </w:t>
      </w:r>
      <w:r>
        <w:rPr>
          <w:sz w:val="20"/>
        </w:rPr>
        <w:t>into</w:t>
      </w:r>
      <w:r>
        <w:rPr>
          <w:spacing w:val="-16"/>
          <w:sz w:val="20"/>
        </w:rPr>
        <w:t> </w:t>
      </w:r>
      <w:r>
        <w:rPr>
          <w:sz w:val="20"/>
        </w:rPr>
        <w:t>account</w:t>
      </w:r>
      <w:r>
        <w:rPr>
          <w:spacing w:val="-16"/>
          <w:sz w:val="20"/>
        </w:rPr>
        <w:t> </w:t>
      </w:r>
      <w:r>
        <w:rPr>
          <w:sz w:val="20"/>
        </w:rPr>
        <w:t>that</w:t>
      </w:r>
      <w:r>
        <w:rPr>
          <w:spacing w:val="-16"/>
          <w:sz w:val="20"/>
        </w:rPr>
        <w:t> </w:t>
      </w:r>
      <w:r>
        <w:rPr>
          <w:sz w:val="20"/>
        </w:rPr>
        <w:t>this</w:t>
      </w:r>
      <w:r>
        <w:rPr>
          <w:spacing w:val="-15"/>
          <w:sz w:val="20"/>
        </w:rPr>
        <w:t> </w:t>
      </w:r>
      <w:r>
        <w:rPr>
          <w:sz w:val="20"/>
        </w:rPr>
        <w:t>documentation</w:t>
      </w:r>
      <w:r>
        <w:rPr>
          <w:spacing w:val="-17"/>
          <w:sz w:val="20"/>
        </w:rPr>
        <w:t> </w:t>
      </w:r>
      <w:r>
        <w:rPr>
          <w:sz w:val="20"/>
        </w:rPr>
        <w:t>should describe</w:t>
      </w:r>
      <w:r>
        <w:rPr>
          <w:spacing w:val="-7"/>
          <w:sz w:val="20"/>
        </w:rPr>
        <w:t> </w:t>
      </w:r>
      <w:r>
        <w:rPr>
          <w:sz w:val="20"/>
        </w:rPr>
        <w:t>an</w:t>
      </w:r>
      <w:r>
        <w:rPr>
          <w:spacing w:val="-7"/>
          <w:sz w:val="20"/>
        </w:rPr>
        <w:t> </w:t>
      </w:r>
      <w:r>
        <w:rPr>
          <w:sz w:val="20"/>
        </w:rPr>
        <w:t>arm’s</w:t>
      </w:r>
      <w:r>
        <w:rPr>
          <w:spacing w:val="-7"/>
          <w:sz w:val="20"/>
        </w:rPr>
        <w:t> </w:t>
      </w:r>
      <w:r>
        <w:rPr>
          <w:sz w:val="20"/>
        </w:rPr>
        <w:t>length</w:t>
      </w:r>
      <w:r>
        <w:rPr>
          <w:spacing w:val="-8"/>
          <w:sz w:val="20"/>
        </w:rPr>
        <w:t> </w:t>
      </w:r>
      <w:r>
        <w:rPr>
          <w:sz w:val="20"/>
        </w:rPr>
        <w:t>allocation</w:t>
      </w:r>
      <w:r>
        <w:rPr>
          <w:spacing w:val="-9"/>
          <w:sz w:val="20"/>
        </w:rPr>
        <w:t> </w:t>
      </w:r>
      <w:r>
        <w:rPr>
          <w:sz w:val="20"/>
        </w:rPr>
        <w:t>of</w:t>
      </w:r>
      <w:r>
        <w:rPr>
          <w:spacing w:val="-6"/>
          <w:sz w:val="20"/>
        </w:rPr>
        <w:t> </w:t>
      </w:r>
      <w:r>
        <w:rPr>
          <w:sz w:val="20"/>
        </w:rPr>
        <w:t>assets</w:t>
      </w:r>
      <w:r>
        <w:rPr>
          <w:spacing w:val="-8"/>
          <w:sz w:val="20"/>
        </w:rPr>
        <w:t> </w:t>
      </w:r>
      <w:r>
        <w:rPr>
          <w:sz w:val="20"/>
        </w:rPr>
        <w:t>and</w:t>
      </w:r>
      <w:r>
        <w:rPr>
          <w:spacing w:val="-7"/>
          <w:sz w:val="20"/>
        </w:rPr>
        <w:t> </w:t>
      </w:r>
      <w:r>
        <w:rPr>
          <w:sz w:val="20"/>
        </w:rPr>
        <w:t>risks</w:t>
      </w:r>
      <w:r>
        <w:rPr>
          <w:spacing w:val="-9"/>
          <w:sz w:val="20"/>
        </w:rPr>
        <w:t> </w:t>
      </w:r>
      <w:r>
        <w:rPr>
          <w:sz w:val="20"/>
        </w:rPr>
        <w:t>based</w:t>
      </w:r>
      <w:r>
        <w:rPr>
          <w:spacing w:val="-6"/>
          <w:sz w:val="20"/>
        </w:rPr>
        <w:t> </w:t>
      </w:r>
      <w:r>
        <w:rPr>
          <w:sz w:val="20"/>
        </w:rPr>
        <w:t>on</w:t>
      </w:r>
      <w:r>
        <w:rPr>
          <w:spacing w:val="-7"/>
          <w:sz w:val="20"/>
        </w:rPr>
        <w:t> </w:t>
      </w:r>
      <w:r>
        <w:rPr>
          <w:sz w:val="20"/>
        </w:rPr>
        <w:t>the</w:t>
      </w:r>
      <w:r>
        <w:rPr>
          <w:spacing w:val="-7"/>
          <w:sz w:val="20"/>
        </w:rPr>
        <w:t> </w:t>
      </w:r>
      <w:r>
        <w:rPr>
          <w:sz w:val="20"/>
        </w:rPr>
        <w:t>functional</w:t>
      </w:r>
      <w:r>
        <w:rPr>
          <w:spacing w:val="-6"/>
          <w:sz w:val="20"/>
        </w:rPr>
        <w:t> </w:t>
      </w:r>
      <w:r>
        <w:rPr>
          <w:sz w:val="20"/>
        </w:rPr>
        <w:t>analysis</w:t>
      </w:r>
      <w:r>
        <w:rPr>
          <w:spacing w:val="-5"/>
          <w:sz w:val="20"/>
        </w:rPr>
        <w:t> </w:t>
      </w:r>
      <w:r>
        <w:rPr>
          <w:sz w:val="20"/>
        </w:rPr>
        <w:t>of</w:t>
      </w:r>
      <w:r>
        <w:rPr>
          <w:spacing w:val="-6"/>
          <w:sz w:val="20"/>
        </w:rPr>
        <w:t> </w:t>
      </w:r>
      <w:r>
        <w:rPr>
          <w:sz w:val="20"/>
        </w:rPr>
        <w:t>the</w:t>
      </w:r>
      <w:r>
        <w:rPr>
          <w:spacing w:val="-7"/>
          <w:sz w:val="20"/>
        </w:rPr>
        <w:t> </w:t>
      </w:r>
      <w:r>
        <w:rPr>
          <w:sz w:val="20"/>
        </w:rPr>
        <w:t>MNE</w:t>
      </w:r>
      <w:r>
        <w:rPr>
          <w:spacing w:val="-8"/>
          <w:sz w:val="20"/>
        </w:rPr>
        <w:t> </w:t>
      </w:r>
      <w:r>
        <w:rPr>
          <w:sz w:val="20"/>
        </w:rPr>
        <w:t>group. For</w:t>
      </w:r>
      <w:r>
        <w:rPr>
          <w:spacing w:val="-11"/>
          <w:sz w:val="20"/>
        </w:rPr>
        <w:t> </w:t>
      </w:r>
      <w:r>
        <w:rPr>
          <w:sz w:val="20"/>
        </w:rPr>
        <w:t>many</w:t>
      </w:r>
      <w:r>
        <w:rPr>
          <w:spacing w:val="-14"/>
          <w:sz w:val="20"/>
        </w:rPr>
        <w:t> </w:t>
      </w:r>
      <w:r>
        <w:rPr>
          <w:sz w:val="20"/>
        </w:rPr>
        <w:t>groups,</w:t>
      </w:r>
      <w:r>
        <w:rPr>
          <w:spacing w:val="-9"/>
          <w:sz w:val="20"/>
        </w:rPr>
        <w:t> </w:t>
      </w:r>
      <w:r>
        <w:rPr>
          <w:sz w:val="20"/>
        </w:rPr>
        <w:t>particularly</w:t>
      </w:r>
      <w:r>
        <w:rPr>
          <w:spacing w:val="-11"/>
          <w:sz w:val="20"/>
        </w:rPr>
        <w:t> </w:t>
      </w:r>
      <w:r>
        <w:rPr>
          <w:sz w:val="20"/>
        </w:rPr>
        <w:t>those</w:t>
      </w:r>
      <w:r>
        <w:rPr>
          <w:spacing w:val="-9"/>
          <w:sz w:val="20"/>
        </w:rPr>
        <w:t> </w:t>
      </w:r>
      <w:r>
        <w:rPr>
          <w:sz w:val="20"/>
        </w:rPr>
        <w:t>with</w:t>
      </w:r>
      <w:r>
        <w:rPr>
          <w:spacing w:val="-11"/>
          <w:sz w:val="20"/>
        </w:rPr>
        <w:t> </w:t>
      </w:r>
      <w:r>
        <w:rPr>
          <w:sz w:val="20"/>
        </w:rPr>
        <w:t>centralised</w:t>
      </w:r>
      <w:r>
        <w:rPr>
          <w:spacing w:val="-10"/>
          <w:sz w:val="20"/>
        </w:rPr>
        <w:t> </w:t>
      </w:r>
      <w:r>
        <w:rPr>
          <w:sz w:val="20"/>
        </w:rPr>
        <w:t>operating</w:t>
      </w:r>
      <w:r>
        <w:rPr>
          <w:spacing w:val="-11"/>
          <w:sz w:val="20"/>
        </w:rPr>
        <w:t> </w:t>
      </w:r>
      <w:r>
        <w:rPr>
          <w:sz w:val="20"/>
        </w:rPr>
        <w:t>models</w:t>
      </w:r>
      <w:r>
        <w:rPr>
          <w:spacing w:val="-8"/>
          <w:sz w:val="20"/>
        </w:rPr>
        <w:t> </w:t>
      </w:r>
      <w:r>
        <w:rPr>
          <w:sz w:val="20"/>
        </w:rPr>
        <w:t>that</w:t>
      </w:r>
      <w:r>
        <w:rPr>
          <w:spacing w:val="-8"/>
          <w:sz w:val="20"/>
        </w:rPr>
        <w:t> </w:t>
      </w:r>
      <w:r>
        <w:rPr>
          <w:sz w:val="20"/>
        </w:rPr>
        <w:t>perform</w:t>
      </w:r>
      <w:r>
        <w:rPr>
          <w:spacing w:val="-9"/>
          <w:sz w:val="20"/>
        </w:rPr>
        <w:t> </w:t>
      </w:r>
      <w:r>
        <w:rPr>
          <w:sz w:val="20"/>
        </w:rPr>
        <w:t>the</w:t>
      </w:r>
      <w:r>
        <w:rPr>
          <w:spacing w:val="-8"/>
          <w:sz w:val="20"/>
        </w:rPr>
        <w:t> </w:t>
      </w:r>
      <w:r>
        <w:rPr>
          <w:sz w:val="20"/>
        </w:rPr>
        <w:t>activities</w:t>
      </w:r>
      <w:r>
        <w:rPr>
          <w:spacing w:val="-8"/>
          <w:sz w:val="20"/>
        </w:rPr>
        <w:t> </w:t>
      </w:r>
      <w:r>
        <w:rPr>
          <w:sz w:val="20"/>
        </w:rPr>
        <w:t>that</w:t>
      </w:r>
      <w:r>
        <w:rPr>
          <w:spacing w:val="-8"/>
          <w:sz w:val="20"/>
        </w:rPr>
        <w:t> </w:t>
      </w:r>
      <w:r>
        <w:rPr>
          <w:sz w:val="20"/>
        </w:rPr>
        <w:t>make material</w:t>
      </w:r>
      <w:r>
        <w:rPr>
          <w:spacing w:val="-12"/>
          <w:sz w:val="20"/>
        </w:rPr>
        <w:t> </w:t>
      </w:r>
      <w:r>
        <w:rPr>
          <w:sz w:val="20"/>
        </w:rPr>
        <w:t>and</w:t>
      </w:r>
      <w:r>
        <w:rPr>
          <w:spacing w:val="-12"/>
          <w:sz w:val="20"/>
        </w:rPr>
        <w:t> </w:t>
      </w:r>
      <w:r>
        <w:rPr>
          <w:sz w:val="20"/>
        </w:rPr>
        <w:t>sustained</w:t>
      </w:r>
      <w:r>
        <w:rPr>
          <w:spacing w:val="-12"/>
          <w:sz w:val="20"/>
        </w:rPr>
        <w:t> </w:t>
      </w:r>
      <w:r>
        <w:rPr>
          <w:sz w:val="20"/>
        </w:rPr>
        <w:t>contributions</w:t>
      </w:r>
      <w:r>
        <w:rPr>
          <w:spacing w:val="-10"/>
          <w:sz w:val="20"/>
        </w:rPr>
        <w:t> </w:t>
      </w:r>
      <w:r>
        <w:rPr>
          <w:sz w:val="20"/>
        </w:rPr>
        <w:t>to</w:t>
      </w:r>
      <w:r>
        <w:rPr>
          <w:spacing w:val="-12"/>
          <w:sz w:val="20"/>
        </w:rPr>
        <w:t> </w:t>
      </w:r>
      <w:r>
        <w:rPr>
          <w:sz w:val="20"/>
        </w:rPr>
        <w:t>an</w:t>
      </w:r>
      <w:r>
        <w:rPr>
          <w:spacing w:val="-5"/>
          <w:sz w:val="20"/>
        </w:rPr>
        <w:t> </w:t>
      </w:r>
      <w:r>
        <w:rPr>
          <w:sz w:val="20"/>
        </w:rPr>
        <w:t>MNE</w:t>
      </w:r>
      <w:r>
        <w:rPr>
          <w:spacing w:val="-12"/>
          <w:sz w:val="20"/>
        </w:rPr>
        <w:t> </w:t>
      </w:r>
      <w:r>
        <w:rPr>
          <w:sz w:val="20"/>
        </w:rPr>
        <w:t>group’s</w:t>
      </w:r>
      <w:r>
        <w:rPr>
          <w:spacing w:val="-9"/>
          <w:sz w:val="20"/>
        </w:rPr>
        <w:t> </w:t>
      </w:r>
      <w:r>
        <w:rPr>
          <w:sz w:val="20"/>
        </w:rPr>
        <w:t>ability</w:t>
      </w:r>
      <w:r>
        <w:rPr>
          <w:spacing w:val="-14"/>
          <w:sz w:val="20"/>
        </w:rPr>
        <w:t> </w:t>
      </w:r>
      <w:r>
        <w:rPr>
          <w:sz w:val="20"/>
        </w:rPr>
        <w:t>to</w:t>
      </w:r>
      <w:r>
        <w:rPr>
          <w:spacing w:val="-12"/>
          <w:sz w:val="20"/>
        </w:rPr>
        <w:t> </w:t>
      </w:r>
      <w:r>
        <w:rPr>
          <w:sz w:val="20"/>
        </w:rPr>
        <w:t>generate</w:t>
      </w:r>
      <w:r>
        <w:rPr>
          <w:spacing w:val="-12"/>
          <w:sz w:val="20"/>
        </w:rPr>
        <w:t> </w:t>
      </w:r>
      <w:r>
        <w:rPr>
          <w:sz w:val="20"/>
        </w:rPr>
        <w:t>residual</w:t>
      </w:r>
      <w:r>
        <w:rPr>
          <w:spacing w:val="-10"/>
          <w:sz w:val="20"/>
        </w:rPr>
        <w:t> </w:t>
      </w:r>
      <w:r>
        <w:rPr>
          <w:sz w:val="20"/>
        </w:rPr>
        <w:t>profits</w:t>
      </w:r>
      <w:r>
        <w:rPr>
          <w:spacing w:val="-10"/>
          <w:sz w:val="20"/>
        </w:rPr>
        <w:t> </w:t>
      </w:r>
      <w:r>
        <w:rPr>
          <w:sz w:val="20"/>
        </w:rPr>
        <w:t>in</w:t>
      </w:r>
      <w:r>
        <w:rPr>
          <w:spacing w:val="-12"/>
          <w:sz w:val="20"/>
        </w:rPr>
        <w:t> </w:t>
      </w:r>
      <w:r>
        <w:rPr>
          <w:sz w:val="20"/>
        </w:rPr>
        <w:t>only</w:t>
      </w:r>
      <w:r>
        <w:rPr>
          <w:spacing w:val="-15"/>
          <w:sz w:val="20"/>
        </w:rPr>
        <w:t> </w:t>
      </w:r>
      <w:r>
        <w:rPr>
          <w:sz w:val="20"/>
        </w:rPr>
        <w:t>a</w:t>
      </w:r>
      <w:r>
        <w:rPr>
          <w:spacing w:val="-9"/>
          <w:sz w:val="20"/>
        </w:rPr>
        <w:t> </w:t>
      </w:r>
      <w:r>
        <w:rPr>
          <w:sz w:val="20"/>
        </w:rPr>
        <w:t>handful of locations, the application of this test should be straightforward. For groups with a comparatively decentralised operating model, more entities may be identified under this test. However, where activities that make material and sustained contributions to an MNE group’s ability to generate residual profits are performed</w:t>
      </w:r>
      <w:r>
        <w:rPr>
          <w:spacing w:val="-13"/>
          <w:sz w:val="20"/>
        </w:rPr>
        <w:t> </w:t>
      </w:r>
      <w:r>
        <w:rPr>
          <w:sz w:val="20"/>
        </w:rPr>
        <w:t>in</w:t>
      </w:r>
      <w:r>
        <w:rPr>
          <w:spacing w:val="-12"/>
          <w:sz w:val="20"/>
        </w:rPr>
        <w:t> </w:t>
      </w:r>
      <w:r>
        <w:rPr>
          <w:sz w:val="20"/>
        </w:rPr>
        <w:t>market</w:t>
      </w:r>
      <w:r>
        <w:rPr>
          <w:spacing w:val="-12"/>
          <w:sz w:val="20"/>
        </w:rPr>
        <w:t> </w:t>
      </w:r>
      <w:r>
        <w:rPr>
          <w:sz w:val="20"/>
        </w:rPr>
        <w:t>jurisdictions,</w:t>
      </w:r>
      <w:r>
        <w:rPr>
          <w:spacing w:val="-11"/>
          <w:sz w:val="20"/>
        </w:rPr>
        <w:t> </w:t>
      </w:r>
      <w:r>
        <w:rPr>
          <w:sz w:val="20"/>
        </w:rPr>
        <w:t>the</w:t>
      </w:r>
      <w:r>
        <w:rPr>
          <w:spacing w:val="-10"/>
          <w:sz w:val="20"/>
        </w:rPr>
        <w:t> </w:t>
      </w:r>
      <w:r>
        <w:rPr>
          <w:sz w:val="20"/>
        </w:rPr>
        <w:t>application</w:t>
      </w:r>
      <w:r>
        <w:rPr>
          <w:spacing w:val="-9"/>
          <w:sz w:val="20"/>
        </w:rPr>
        <w:t> </w:t>
      </w:r>
      <w:r>
        <w:rPr>
          <w:sz w:val="20"/>
        </w:rPr>
        <w:t>of</w:t>
      </w:r>
      <w:r>
        <w:rPr>
          <w:spacing w:val="-10"/>
          <w:sz w:val="20"/>
        </w:rPr>
        <w:t> </w:t>
      </w:r>
      <w:r>
        <w:rPr>
          <w:sz w:val="20"/>
        </w:rPr>
        <w:t>the</w:t>
      </w:r>
      <w:r>
        <w:rPr>
          <w:spacing w:val="-9"/>
          <w:sz w:val="20"/>
        </w:rPr>
        <w:t> </w:t>
      </w:r>
      <w:r>
        <w:rPr>
          <w:sz w:val="20"/>
        </w:rPr>
        <w:t>marketing</w:t>
      </w:r>
      <w:r>
        <w:rPr>
          <w:spacing w:val="-12"/>
          <w:sz w:val="20"/>
        </w:rPr>
        <w:t> </w:t>
      </w:r>
      <w:r>
        <w:rPr>
          <w:sz w:val="20"/>
        </w:rPr>
        <w:t>and</w:t>
      </w:r>
      <w:r>
        <w:rPr>
          <w:spacing w:val="-12"/>
          <w:sz w:val="20"/>
        </w:rPr>
        <w:t> </w:t>
      </w:r>
      <w:r>
        <w:rPr>
          <w:sz w:val="20"/>
        </w:rPr>
        <w:t>distribution</w:t>
      </w:r>
      <w:r>
        <w:rPr>
          <w:spacing w:val="-11"/>
          <w:sz w:val="20"/>
        </w:rPr>
        <w:t> </w:t>
      </w:r>
      <w:r>
        <w:rPr>
          <w:sz w:val="20"/>
        </w:rPr>
        <w:t>profits</w:t>
      </w:r>
      <w:r>
        <w:rPr>
          <w:spacing w:val="-9"/>
          <w:sz w:val="20"/>
        </w:rPr>
        <w:t> </w:t>
      </w:r>
      <w:r>
        <w:rPr>
          <w:sz w:val="20"/>
        </w:rPr>
        <w:t>safe</w:t>
      </w:r>
      <w:r>
        <w:rPr>
          <w:spacing w:val="-12"/>
          <w:sz w:val="20"/>
        </w:rPr>
        <w:t> </w:t>
      </w:r>
      <w:r>
        <w:rPr>
          <w:sz w:val="20"/>
        </w:rPr>
        <w:t>harbour</w:t>
      </w:r>
      <w:r>
        <w:rPr>
          <w:spacing w:val="-12"/>
          <w:sz w:val="20"/>
        </w:rPr>
        <w:t> </w:t>
      </w:r>
      <w:r>
        <w:rPr>
          <w:sz w:val="20"/>
        </w:rPr>
        <w:t>may mean that these groups do not need to apply the mechanism to eliminate double taxation, or only need to do so for a limited number of jurisdictions. In any case, the application of the activities test, alongside all other parts of the mechanism to eliminate double taxation, will be covered by the Amount A tax certainty process.</w:t>
      </w:r>
      <w:r>
        <w:rPr>
          <w:spacing w:val="-18"/>
          <w:sz w:val="20"/>
        </w:rPr>
        <w:t> </w:t>
      </w:r>
      <w:r>
        <w:rPr>
          <w:sz w:val="20"/>
        </w:rPr>
        <w:t>Within</w:t>
      </w:r>
      <w:r>
        <w:rPr>
          <w:spacing w:val="-14"/>
          <w:sz w:val="20"/>
        </w:rPr>
        <w:t> </w:t>
      </w:r>
      <w:r>
        <w:rPr>
          <w:sz w:val="20"/>
        </w:rPr>
        <w:t>the</w:t>
      </w:r>
      <w:r>
        <w:rPr>
          <w:spacing w:val="-13"/>
          <w:sz w:val="20"/>
        </w:rPr>
        <w:t> </w:t>
      </w:r>
      <w:r>
        <w:rPr>
          <w:sz w:val="20"/>
        </w:rPr>
        <w:t>Amount</w:t>
      </w:r>
      <w:r>
        <w:rPr>
          <w:spacing w:val="-14"/>
          <w:sz w:val="20"/>
        </w:rPr>
        <w:t> </w:t>
      </w:r>
      <w:r>
        <w:rPr>
          <w:sz w:val="20"/>
        </w:rPr>
        <w:t>A</w:t>
      </w:r>
      <w:r>
        <w:rPr>
          <w:spacing w:val="-14"/>
          <w:sz w:val="20"/>
        </w:rPr>
        <w:t> </w:t>
      </w:r>
      <w:r>
        <w:rPr>
          <w:sz w:val="20"/>
        </w:rPr>
        <w:t>tax</w:t>
      </w:r>
      <w:r>
        <w:rPr>
          <w:spacing w:val="-13"/>
          <w:sz w:val="20"/>
        </w:rPr>
        <w:t> </w:t>
      </w:r>
      <w:r>
        <w:rPr>
          <w:sz w:val="20"/>
        </w:rPr>
        <w:t>certainty</w:t>
      </w:r>
      <w:r>
        <w:rPr>
          <w:spacing w:val="-15"/>
          <w:sz w:val="20"/>
        </w:rPr>
        <w:t> </w:t>
      </w:r>
      <w:r>
        <w:rPr>
          <w:sz w:val="20"/>
        </w:rPr>
        <w:t>process,</w:t>
      </w:r>
      <w:r>
        <w:rPr>
          <w:spacing w:val="-14"/>
          <w:sz w:val="20"/>
        </w:rPr>
        <w:t> </w:t>
      </w:r>
      <w:r>
        <w:rPr>
          <w:sz w:val="20"/>
        </w:rPr>
        <w:t>tax</w:t>
      </w:r>
      <w:r>
        <w:rPr>
          <w:spacing w:val="-11"/>
          <w:sz w:val="20"/>
        </w:rPr>
        <w:t> </w:t>
      </w:r>
      <w:r>
        <w:rPr>
          <w:sz w:val="20"/>
        </w:rPr>
        <w:t>administrations</w:t>
      </w:r>
      <w:r>
        <w:rPr>
          <w:spacing w:val="-11"/>
          <w:sz w:val="20"/>
        </w:rPr>
        <w:t> </w:t>
      </w:r>
      <w:r>
        <w:rPr>
          <w:sz w:val="20"/>
        </w:rPr>
        <w:t>would</w:t>
      </w:r>
      <w:r>
        <w:rPr>
          <w:spacing w:val="-14"/>
          <w:sz w:val="20"/>
        </w:rPr>
        <w:t> </w:t>
      </w:r>
      <w:r>
        <w:rPr>
          <w:sz w:val="20"/>
        </w:rPr>
        <w:t>be</w:t>
      </w:r>
      <w:r>
        <w:rPr>
          <w:spacing w:val="-14"/>
          <w:sz w:val="20"/>
        </w:rPr>
        <w:t> </w:t>
      </w:r>
      <w:r>
        <w:rPr>
          <w:sz w:val="20"/>
        </w:rPr>
        <w:t>able</w:t>
      </w:r>
      <w:r>
        <w:rPr>
          <w:spacing w:val="-14"/>
          <w:sz w:val="20"/>
        </w:rPr>
        <w:t> </w:t>
      </w:r>
      <w:r>
        <w:rPr>
          <w:sz w:val="20"/>
        </w:rPr>
        <w:t>to</w:t>
      </w:r>
      <w:r>
        <w:rPr>
          <w:spacing w:val="-14"/>
          <w:sz w:val="20"/>
        </w:rPr>
        <w:t> </w:t>
      </w:r>
      <w:r>
        <w:rPr>
          <w:sz w:val="20"/>
        </w:rPr>
        <w:t>request</w:t>
      </w:r>
      <w:r>
        <w:rPr>
          <w:spacing w:val="-11"/>
          <w:sz w:val="20"/>
        </w:rPr>
        <w:t> </w:t>
      </w:r>
      <w:r>
        <w:rPr>
          <w:sz w:val="20"/>
        </w:rPr>
        <w:t>additional information</w:t>
      </w:r>
      <w:r>
        <w:rPr>
          <w:spacing w:val="-10"/>
          <w:sz w:val="20"/>
        </w:rPr>
        <w:t> </w:t>
      </w:r>
      <w:r>
        <w:rPr>
          <w:sz w:val="20"/>
        </w:rPr>
        <w:t>from</w:t>
      </w:r>
      <w:r>
        <w:rPr>
          <w:spacing w:val="-5"/>
          <w:sz w:val="20"/>
        </w:rPr>
        <w:t> </w:t>
      </w:r>
      <w:r>
        <w:rPr>
          <w:sz w:val="20"/>
        </w:rPr>
        <w:t>taxpayers</w:t>
      </w:r>
      <w:r>
        <w:rPr>
          <w:spacing w:val="-6"/>
          <w:sz w:val="20"/>
        </w:rPr>
        <w:t> </w:t>
      </w:r>
      <w:r>
        <w:rPr>
          <w:sz w:val="20"/>
        </w:rPr>
        <w:t>and</w:t>
      </w:r>
      <w:r>
        <w:rPr>
          <w:spacing w:val="-10"/>
          <w:sz w:val="20"/>
        </w:rPr>
        <w:t> </w:t>
      </w:r>
      <w:r>
        <w:rPr>
          <w:sz w:val="20"/>
        </w:rPr>
        <w:t>challenge</w:t>
      </w:r>
      <w:r>
        <w:rPr>
          <w:spacing w:val="-10"/>
          <w:sz w:val="20"/>
        </w:rPr>
        <w:t> </w:t>
      </w:r>
      <w:r>
        <w:rPr>
          <w:sz w:val="20"/>
        </w:rPr>
        <w:t>their</w:t>
      </w:r>
      <w:r>
        <w:rPr>
          <w:spacing w:val="-9"/>
          <w:sz w:val="20"/>
        </w:rPr>
        <w:t> </w:t>
      </w:r>
      <w:r>
        <w:rPr>
          <w:sz w:val="20"/>
        </w:rPr>
        <w:t>self-assessed</w:t>
      </w:r>
      <w:r>
        <w:rPr>
          <w:spacing w:val="-9"/>
          <w:sz w:val="20"/>
        </w:rPr>
        <w:t> </w:t>
      </w:r>
      <w:r>
        <w:rPr>
          <w:sz w:val="20"/>
        </w:rPr>
        <w:t>application</w:t>
      </w:r>
      <w:r>
        <w:rPr>
          <w:spacing w:val="-8"/>
          <w:sz w:val="20"/>
        </w:rPr>
        <w:t> </w:t>
      </w:r>
      <w:r>
        <w:rPr>
          <w:sz w:val="20"/>
        </w:rPr>
        <w:t>of</w:t>
      </w:r>
      <w:r>
        <w:rPr>
          <w:spacing w:val="-8"/>
          <w:sz w:val="20"/>
        </w:rPr>
        <w:t> </w:t>
      </w:r>
      <w:r>
        <w:rPr>
          <w:sz w:val="20"/>
        </w:rPr>
        <w:t>the</w:t>
      </w:r>
      <w:r>
        <w:rPr>
          <w:spacing w:val="-10"/>
          <w:sz w:val="20"/>
        </w:rPr>
        <w:t> </w:t>
      </w:r>
      <w:r>
        <w:rPr>
          <w:sz w:val="20"/>
        </w:rPr>
        <w:t>activities</w:t>
      </w:r>
      <w:r>
        <w:rPr>
          <w:spacing w:val="-9"/>
          <w:sz w:val="20"/>
        </w:rPr>
        <w:t> </w:t>
      </w:r>
      <w:r>
        <w:rPr>
          <w:sz w:val="20"/>
        </w:rPr>
        <w:t>test.</w:t>
      </w:r>
      <w:r>
        <w:rPr>
          <w:spacing w:val="-5"/>
          <w:sz w:val="20"/>
        </w:rPr>
        <w:t> </w:t>
      </w:r>
      <w:r>
        <w:rPr>
          <w:sz w:val="20"/>
        </w:rPr>
        <w:t>The</w:t>
      </w:r>
      <w:r>
        <w:rPr>
          <w:spacing w:val="-9"/>
          <w:sz w:val="20"/>
        </w:rPr>
        <w:t> </w:t>
      </w:r>
      <w:r>
        <w:rPr>
          <w:sz w:val="20"/>
        </w:rPr>
        <w:t>Amount A</w:t>
      </w:r>
      <w:r>
        <w:rPr>
          <w:spacing w:val="-10"/>
          <w:sz w:val="20"/>
        </w:rPr>
        <w:t> </w:t>
      </w:r>
      <w:r>
        <w:rPr>
          <w:sz w:val="20"/>
        </w:rPr>
        <w:t>tax</w:t>
      </w:r>
      <w:r>
        <w:rPr>
          <w:spacing w:val="-8"/>
          <w:sz w:val="20"/>
        </w:rPr>
        <w:t> </w:t>
      </w:r>
      <w:r>
        <w:rPr>
          <w:sz w:val="20"/>
        </w:rPr>
        <w:t>certainty</w:t>
      </w:r>
      <w:r>
        <w:rPr>
          <w:spacing w:val="-11"/>
          <w:sz w:val="20"/>
        </w:rPr>
        <w:t> </w:t>
      </w:r>
      <w:r>
        <w:rPr>
          <w:sz w:val="20"/>
        </w:rPr>
        <w:t>process</w:t>
      </w:r>
      <w:r>
        <w:rPr>
          <w:spacing w:val="-7"/>
          <w:sz w:val="20"/>
        </w:rPr>
        <w:t> </w:t>
      </w:r>
      <w:r>
        <w:rPr>
          <w:sz w:val="20"/>
        </w:rPr>
        <w:t>will</w:t>
      </w:r>
      <w:r>
        <w:rPr>
          <w:spacing w:val="-7"/>
          <w:sz w:val="20"/>
        </w:rPr>
        <w:t> </w:t>
      </w:r>
      <w:r>
        <w:rPr>
          <w:sz w:val="20"/>
        </w:rPr>
        <w:t>be</w:t>
      </w:r>
      <w:r>
        <w:rPr>
          <w:spacing w:val="-9"/>
          <w:sz w:val="20"/>
        </w:rPr>
        <w:t> </w:t>
      </w:r>
      <w:r>
        <w:rPr>
          <w:sz w:val="20"/>
        </w:rPr>
        <w:t>important</w:t>
      </w:r>
      <w:r>
        <w:rPr>
          <w:spacing w:val="-9"/>
          <w:sz w:val="20"/>
        </w:rPr>
        <w:t> </w:t>
      </w:r>
      <w:r>
        <w:rPr>
          <w:sz w:val="20"/>
        </w:rPr>
        <w:t>to</w:t>
      </w:r>
      <w:r>
        <w:rPr>
          <w:spacing w:val="-7"/>
          <w:sz w:val="20"/>
        </w:rPr>
        <w:t> </w:t>
      </w:r>
      <w:r>
        <w:rPr>
          <w:sz w:val="20"/>
        </w:rPr>
        <w:t>ensure</w:t>
      </w:r>
      <w:r>
        <w:rPr>
          <w:spacing w:val="-9"/>
          <w:sz w:val="20"/>
        </w:rPr>
        <w:t> </w:t>
      </w:r>
      <w:r>
        <w:rPr>
          <w:sz w:val="20"/>
        </w:rPr>
        <w:t>that</w:t>
      </w:r>
      <w:r>
        <w:rPr>
          <w:spacing w:val="-6"/>
          <w:sz w:val="20"/>
        </w:rPr>
        <w:t> </w:t>
      </w:r>
      <w:r>
        <w:rPr>
          <w:sz w:val="20"/>
        </w:rPr>
        <w:t>any</w:t>
      </w:r>
      <w:r>
        <w:rPr>
          <w:spacing w:val="-10"/>
          <w:sz w:val="20"/>
        </w:rPr>
        <w:t> </w:t>
      </w:r>
      <w:r>
        <w:rPr>
          <w:sz w:val="20"/>
        </w:rPr>
        <w:t>disputes</w:t>
      </w:r>
      <w:r>
        <w:rPr>
          <w:spacing w:val="-8"/>
          <w:sz w:val="20"/>
        </w:rPr>
        <w:t> </w:t>
      </w:r>
      <w:r>
        <w:rPr>
          <w:sz w:val="20"/>
        </w:rPr>
        <w:t>arising</w:t>
      </w:r>
      <w:r>
        <w:rPr>
          <w:spacing w:val="-9"/>
          <w:sz w:val="20"/>
        </w:rPr>
        <w:t> </w:t>
      </w:r>
      <w:r>
        <w:rPr>
          <w:sz w:val="20"/>
        </w:rPr>
        <w:t>from</w:t>
      </w:r>
      <w:r>
        <w:rPr>
          <w:spacing w:val="-6"/>
          <w:sz w:val="20"/>
        </w:rPr>
        <w:t> </w:t>
      </w:r>
      <w:r>
        <w:rPr>
          <w:sz w:val="20"/>
        </w:rPr>
        <w:t>the</w:t>
      </w:r>
      <w:r>
        <w:rPr>
          <w:spacing w:val="-9"/>
          <w:sz w:val="20"/>
        </w:rPr>
        <w:t> </w:t>
      </w:r>
      <w:r>
        <w:rPr>
          <w:sz w:val="20"/>
        </w:rPr>
        <w:t>application</w:t>
      </w:r>
      <w:r>
        <w:rPr>
          <w:spacing w:val="-9"/>
          <w:sz w:val="20"/>
        </w:rPr>
        <w:t> </w:t>
      </w:r>
      <w:r>
        <w:rPr>
          <w:sz w:val="20"/>
        </w:rPr>
        <w:t>of</w:t>
      </w:r>
      <w:r>
        <w:rPr>
          <w:spacing w:val="-7"/>
          <w:sz w:val="20"/>
        </w:rPr>
        <w:t> </w:t>
      </w:r>
      <w:r>
        <w:rPr>
          <w:sz w:val="20"/>
        </w:rPr>
        <w:t>this</w:t>
      </w:r>
      <w:r>
        <w:rPr>
          <w:spacing w:val="-8"/>
          <w:sz w:val="20"/>
        </w:rPr>
        <w:t> </w:t>
      </w:r>
      <w:r>
        <w:rPr>
          <w:sz w:val="20"/>
        </w:rPr>
        <w:t>test are resolved in a timely manner and do not give rise to unrelieved double</w:t>
      </w:r>
      <w:r>
        <w:rPr>
          <w:spacing w:val="-22"/>
          <w:sz w:val="20"/>
        </w:rPr>
        <w:t> </w:t>
      </w:r>
      <w:r>
        <w:rPr>
          <w:sz w:val="20"/>
        </w:rPr>
        <w:t>taxation.</w:t>
      </w:r>
    </w:p>
    <w:p>
      <w:pPr>
        <w:pStyle w:val="BodyText"/>
        <w:spacing w:before="5"/>
      </w:pPr>
    </w:p>
    <w:p>
      <w:pPr>
        <w:pStyle w:val="Heading7"/>
        <w:rPr>
          <w:i/>
        </w:rPr>
      </w:pPr>
      <w:bookmarkStart w:name="Determining the activities" w:id="336"/>
      <w:bookmarkEnd w:id="336"/>
      <w:r>
        <w:rPr>
          <w:i w:val="0"/>
        </w:rPr>
      </w:r>
      <w:r>
        <w:rPr>
          <w:i/>
          <w:color w:val="616161"/>
        </w:rPr>
        <w:t>Determining the activities</w:t>
      </w:r>
    </w:p>
    <w:p>
      <w:pPr>
        <w:pStyle w:val="ListParagraph"/>
        <w:numPr>
          <w:ilvl w:val="0"/>
          <w:numId w:val="13"/>
        </w:numPr>
        <w:tabs>
          <w:tab w:pos="1444" w:val="left" w:leader="none"/>
        </w:tabs>
        <w:spacing w:line="271" w:lineRule="auto" w:before="215" w:after="0"/>
        <w:ind w:left="723" w:right="480" w:firstLine="0"/>
        <w:jc w:val="both"/>
        <w:rPr>
          <w:sz w:val="20"/>
        </w:rPr>
      </w:pPr>
      <w:r>
        <w:rPr>
          <w:sz w:val="20"/>
        </w:rPr>
        <w:t>The conceptual development of the activities test requires the identification of the set of activities that</w:t>
      </w:r>
      <w:r>
        <w:rPr>
          <w:spacing w:val="-6"/>
          <w:sz w:val="20"/>
        </w:rPr>
        <w:t> </w:t>
      </w:r>
      <w:r>
        <w:rPr>
          <w:sz w:val="20"/>
        </w:rPr>
        <w:t>are</w:t>
      </w:r>
      <w:r>
        <w:rPr>
          <w:spacing w:val="-5"/>
          <w:sz w:val="20"/>
        </w:rPr>
        <w:t> </w:t>
      </w:r>
      <w:r>
        <w:rPr>
          <w:sz w:val="20"/>
        </w:rPr>
        <w:t>likely</w:t>
      </w:r>
      <w:r>
        <w:rPr>
          <w:spacing w:val="-9"/>
          <w:sz w:val="20"/>
        </w:rPr>
        <w:t> </w:t>
      </w:r>
      <w:r>
        <w:rPr>
          <w:sz w:val="20"/>
        </w:rPr>
        <w:t>to</w:t>
      </w:r>
      <w:r>
        <w:rPr>
          <w:spacing w:val="-7"/>
          <w:sz w:val="20"/>
        </w:rPr>
        <w:t> </w:t>
      </w:r>
      <w:r>
        <w:rPr>
          <w:sz w:val="20"/>
        </w:rPr>
        <w:t>make</w:t>
      </w:r>
      <w:r>
        <w:rPr>
          <w:spacing w:val="-8"/>
          <w:sz w:val="20"/>
        </w:rPr>
        <w:t> </w:t>
      </w:r>
      <w:r>
        <w:rPr>
          <w:sz w:val="20"/>
        </w:rPr>
        <w:t>a</w:t>
      </w:r>
      <w:r>
        <w:rPr>
          <w:spacing w:val="-8"/>
          <w:sz w:val="20"/>
        </w:rPr>
        <w:t> </w:t>
      </w:r>
      <w:r>
        <w:rPr>
          <w:sz w:val="20"/>
        </w:rPr>
        <w:t>material</w:t>
      </w:r>
      <w:r>
        <w:rPr>
          <w:spacing w:val="-9"/>
          <w:sz w:val="20"/>
        </w:rPr>
        <w:t> </w:t>
      </w:r>
      <w:r>
        <w:rPr>
          <w:sz w:val="20"/>
        </w:rPr>
        <w:t>and</w:t>
      </w:r>
      <w:r>
        <w:rPr>
          <w:spacing w:val="-8"/>
          <w:sz w:val="20"/>
        </w:rPr>
        <w:t> </w:t>
      </w:r>
      <w:r>
        <w:rPr>
          <w:sz w:val="20"/>
        </w:rPr>
        <w:t>sustained</w:t>
      </w:r>
      <w:r>
        <w:rPr>
          <w:spacing w:val="-8"/>
          <w:sz w:val="20"/>
        </w:rPr>
        <w:t> </w:t>
      </w:r>
      <w:r>
        <w:rPr>
          <w:sz w:val="20"/>
        </w:rPr>
        <w:t>contribution</w:t>
      </w:r>
      <w:r>
        <w:rPr>
          <w:spacing w:val="-9"/>
          <w:sz w:val="20"/>
        </w:rPr>
        <w:t> </w:t>
      </w:r>
      <w:r>
        <w:rPr>
          <w:sz w:val="20"/>
        </w:rPr>
        <w:t>to</w:t>
      </w:r>
      <w:r>
        <w:rPr>
          <w:spacing w:val="-8"/>
          <w:sz w:val="20"/>
        </w:rPr>
        <w:t> </w:t>
      </w:r>
      <w:r>
        <w:rPr>
          <w:sz w:val="20"/>
        </w:rPr>
        <w:t>an</w:t>
      </w:r>
      <w:r>
        <w:rPr>
          <w:spacing w:val="-8"/>
          <w:sz w:val="20"/>
        </w:rPr>
        <w:t> </w:t>
      </w:r>
      <w:r>
        <w:rPr>
          <w:sz w:val="20"/>
        </w:rPr>
        <w:t>MNE</w:t>
      </w:r>
      <w:r>
        <w:rPr>
          <w:spacing w:val="-6"/>
          <w:sz w:val="20"/>
        </w:rPr>
        <w:t> </w:t>
      </w:r>
      <w:r>
        <w:rPr>
          <w:sz w:val="20"/>
        </w:rPr>
        <w:t>group’s</w:t>
      </w:r>
      <w:r>
        <w:rPr>
          <w:spacing w:val="-5"/>
          <w:sz w:val="20"/>
        </w:rPr>
        <w:t> </w:t>
      </w:r>
      <w:r>
        <w:rPr>
          <w:sz w:val="20"/>
        </w:rPr>
        <w:t>ability</w:t>
      </w:r>
      <w:r>
        <w:rPr>
          <w:spacing w:val="-3"/>
          <w:sz w:val="20"/>
        </w:rPr>
        <w:t> </w:t>
      </w:r>
      <w:r>
        <w:rPr>
          <w:sz w:val="20"/>
        </w:rPr>
        <w:t>to</w:t>
      </w:r>
      <w:r>
        <w:rPr>
          <w:spacing w:val="-8"/>
          <w:sz w:val="20"/>
        </w:rPr>
        <w:t> </w:t>
      </w:r>
      <w:r>
        <w:rPr>
          <w:sz w:val="20"/>
        </w:rPr>
        <w:t>generate</w:t>
      </w:r>
      <w:r>
        <w:rPr>
          <w:spacing w:val="-9"/>
          <w:sz w:val="20"/>
        </w:rPr>
        <w:t> </w:t>
      </w:r>
      <w:r>
        <w:rPr>
          <w:sz w:val="20"/>
        </w:rPr>
        <w:t>residual profits, and potentially to specifically to identify the activities that relate to their engagement in market jurisdictions.</w:t>
      </w:r>
      <w:r>
        <w:rPr>
          <w:spacing w:val="-13"/>
          <w:sz w:val="20"/>
        </w:rPr>
        <w:t> </w:t>
      </w:r>
      <w:r>
        <w:rPr>
          <w:sz w:val="20"/>
        </w:rPr>
        <w:t>The</w:t>
      </w:r>
      <w:r>
        <w:rPr>
          <w:spacing w:val="-13"/>
          <w:sz w:val="20"/>
        </w:rPr>
        <w:t> </w:t>
      </w:r>
      <w:r>
        <w:rPr>
          <w:sz w:val="20"/>
        </w:rPr>
        <w:t>activities</w:t>
      </w:r>
      <w:r>
        <w:rPr>
          <w:spacing w:val="-10"/>
          <w:sz w:val="20"/>
        </w:rPr>
        <w:t> </w:t>
      </w:r>
      <w:r>
        <w:rPr>
          <w:sz w:val="20"/>
        </w:rPr>
        <w:t>that</w:t>
      </w:r>
      <w:r>
        <w:rPr>
          <w:spacing w:val="-15"/>
          <w:sz w:val="20"/>
        </w:rPr>
        <w:t> </w:t>
      </w:r>
      <w:r>
        <w:rPr>
          <w:sz w:val="20"/>
        </w:rPr>
        <w:t>relate</w:t>
      </w:r>
      <w:r>
        <w:rPr>
          <w:spacing w:val="-12"/>
          <w:sz w:val="20"/>
        </w:rPr>
        <w:t> </w:t>
      </w:r>
      <w:r>
        <w:rPr>
          <w:sz w:val="20"/>
        </w:rPr>
        <w:t>to</w:t>
      </w:r>
      <w:r>
        <w:rPr>
          <w:spacing w:val="-13"/>
          <w:sz w:val="20"/>
        </w:rPr>
        <w:t> </w:t>
      </w:r>
      <w:r>
        <w:rPr>
          <w:sz w:val="20"/>
        </w:rPr>
        <w:t>an</w:t>
      </w:r>
      <w:r>
        <w:rPr>
          <w:spacing w:val="-12"/>
          <w:sz w:val="20"/>
        </w:rPr>
        <w:t> </w:t>
      </w:r>
      <w:r>
        <w:rPr>
          <w:sz w:val="20"/>
        </w:rPr>
        <w:t>MNE</w:t>
      </w:r>
      <w:r>
        <w:rPr>
          <w:spacing w:val="-13"/>
          <w:sz w:val="20"/>
        </w:rPr>
        <w:t> </w:t>
      </w:r>
      <w:r>
        <w:rPr>
          <w:sz w:val="20"/>
        </w:rPr>
        <w:t>group’s</w:t>
      </w:r>
      <w:r>
        <w:rPr>
          <w:spacing w:val="-12"/>
          <w:sz w:val="20"/>
        </w:rPr>
        <w:t> </w:t>
      </w:r>
      <w:r>
        <w:rPr>
          <w:sz w:val="20"/>
        </w:rPr>
        <w:t>engagement</w:t>
      </w:r>
      <w:r>
        <w:rPr>
          <w:spacing w:val="-12"/>
          <w:sz w:val="20"/>
        </w:rPr>
        <w:t> </w:t>
      </w:r>
      <w:r>
        <w:rPr>
          <w:sz w:val="20"/>
        </w:rPr>
        <w:t>in</w:t>
      </w:r>
      <w:r>
        <w:rPr>
          <w:spacing w:val="-12"/>
          <w:sz w:val="20"/>
        </w:rPr>
        <w:t> </w:t>
      </w:r>
      <w:r>
        <w:rPr>
          <w:sz w:val="20"/>
        </w:rPr>
        <w:t>a</w:t>
      </w:r>
      <w:r>
        <w:rPr>
          <w:spacing w:val="-13"/>
          <w:sz w:val="20"/>
        </w:rPr>
        <w:t> </w:t>
      </w:r>
      <w:r>
        <w:rPr>
          <w:sz w:val="20"/>
        </w:rPr>
        <w:t>market</w:t>
      </w:r>
      <w:r>
        <w:rPr>
          <w:spacing w:val="-14"/>
          <w:sz w:val="20"/>
        </w:rPr>
        <w:t> </w:t>
      </w:r>
      <w:r>
        <w:rPr>
          <w:sz w:val="20"/>
        </w:rPr>
        <w:t>jurisdiction</w:t>
      </w:r>
      <w:r>
        <w:rPr>
          <w:spacing w:val="-11"/>
          <w:sz w:val="20"/>
        </w:rPr>
        <w:t> </w:t>
      </w:r>
      <w:r>
        <w:rPr>
          <w:sz w:val="20"/>
        </w:rPr>
        <w:t>would</w:t>
      </w:r>
      <w:r>
        <w:rPr>
          <w:spacing w:val="-14"/>
          <w:sz w:val="20"/>
        </w:rPr>
        <w:t> </w:t>
      </w:r>
      <w:r>
        <w:rPr>
          <w:sz w:val="20"/>
        </w:rPr>
        <w:t>extend beyond</w:t>
      </w:r>
      <w:r>
        <w:rPr>
          <w:spacing w:val="-11"/>
          <w:sz w:val="20"/>
        </w:rPr>
        <w:t> </w:t>
      </w:r>
      <w:r>
        <w:rPr>
          <w:sz w:val="20"/>
        </w:rPr>
        <w:t>the</w:t>
      </w:r>
      <w:r>
        <w:rPr>
          <w:spacing w:val="-10"/>
          <w:sz w:val="20"/>
        </w:rPr>
        <w:t> </w:t>
      </w:r>
      <w:r>
        <w:rPr>
          <w:sz w:val="20"/>
        </w:rPr>
        <w:t>ownership</w:t>
      </w:r>
      <w:r>
        <w:rPr>
          <w:spacing w:val="-13"/>
          <w:sz w:val="20"/>
        </w:rPr>
        <w:t> </w:t>
      </w:r>
      <w:r>
        <w:rPr>
          <w:sz w:val="20"/>
        </w:rPr>
        <w:t>of</w:t>
      </w:r>
      <w:r>
        <w:rPr>
          <w:spacing w:val="-11"/>
          <w:sz w:val="20"/>
        </w:rPr>
        <w:t> </w:t>
      </w:r>
      <w:r>
        <w:rPr>
          <w:sz w:val="20"/>
        </w:rPr>
        <w:t>(or</w:t>
      </w:r>
      <w:r>
        <w:rPr>
          <w:spacing w:val="-12"/>
          <w:sz w:val="20"/>
        </w:rPr>
        <w:t> </w:t>
      </w:r>
      <w:r>
        <w:rPr>
          <w:sz w:val="20"/>
        </w:rPr>
        <w:t>entitlement</w:t>
      </w:r>
      <w:r>
        <w:rPr>
          <w:spacing w:val="-12"/>
          <w:sz w:val="20"/>
        </w:rPr>
        <w:t> </w:t>
      </w:r>
      <w:r>
        <w:rPr>
          <w:sz w:val="20"/>
        </w:rPr>
        <w:t>to</w:t>
      </w:r>
      <w:r>
        <w:rPr>
          <w:spacing w:val="-11"/>
          <w:sz w:val="20"/>
        </w:rPr>
        <w:t> </w:t>
      </w:r>
      <w:r>
        <w:rPr>
          <w:sz w:val="20"/>
        </w:rPr>
        <w:t>income</w:t>
      </w:r>
      <w:r>
        <w:rPr>
          <w:spacing w:val="-13"/>
          <w:sz w:val="20"/>
        </w:rPr>
        <w:t> </w:t>
      </w:r>
      <w:r>
        <w:rPr>
          <w:sz w:val="20"/>
        </w:rPr>
        <w:t>derived</w:t>
      </w:r>
      <w:r>
        <w:rPr>
          <w:spacing w:val="-13"/>
          <w:sz w:val="20"/>
        </w:rPr>
        <w:t> </w:t>
      </w:r>
      <w:r>
        <w:rPr>
          <w:sz w:val="20"/>
        </w:rPr>
        <w:t>from)</w:t>
      </w:r>
      <w:r>
        <w:rPr>
          <w:spacing w:val="-9"/>
          <w:sz w:val="20"/>
        </w:rPr>
        <w:t> </w:t>
      </w:r>
      <w:r>
        <w:rPr>
          <w:sz w:val="20"/>
        </w:rPr>
        <w:t>relevant</w:t>
      </w:r>
      <w:r>
        <w:rPr>
          <w:spacing w:val="-12"/>
          <w:sz w:val="20"/>
        </w:rPr>
        <w:t> </w:t>
      </w:r>
      <w:r>
        <w:rPr>
          <w:sz w:val="20"/>
        </w:rPr>
        <w:t>marketing</w:t>
      </w:r>
      <w:r>
        <w:rPr>
          <w:spacing w:val="-13"/>
          <w:sz w:val="20"/>
        </w:rPr>
        <w:t> </w:t>
      </w:r>
      <w:r>
        <w:rPr>
          <w:sz w:val="20"/>
        </w:rPr>
        <w:t>intangibles</w:t>
      </w:r>
      <w:r>
        <w:rPr>
          <w:spacing w:val="-11"/>
          <w:sz w:val="20"/>
        </w:rPr>
        <w:t> </w:t>
      </w:r>
      <w:r>
        <w:rPr>
          <w:sz w:val="20"/>
        </w:rPr>
        <w:t>and</w:t>
      </w:r>
      <w:r>
        <w:rPr>
          <w:spacing w:val="-8"/>
          <w:sz w:val="20"/>
        </w:rPr>
        <w:t> </w:t>
      </w:r>
      <w:r>
        <w:rPr>
          <w:sz w:val="20"/>
        </w:rPr>
        <w:t>would, for example, include the ownership of (or entitlement to income derived from) product or technology intangibles that help to support sales as well as the oversight/control of economically significant risks and decisions relating to the business. As set out in more detail in section </w:t>
      </w:r>
      <w:hyperlink w:history="true" w:anchor="_bookmark55">
        <w:r>
          <w:rPr>
            <w:sz w:val="20"/>
          </w:rPr>
          <w:t>7.2.4 </w:t>
        </w:r>
      </w:hyperlink>
      <w:r>
        <w:rPr>
          <w:sz w:val="20"/>
        </w:rPr>
        <w:t>the activities performed by an entity may relate to its engagement in a market jurisdiction, even where there is no direct transactional connection between a market jurisdiction and an</w:t>
      </w:r>
      <w:r>
        <w:rPr>
          <w:spacing w:val="-5"/>
          <w:sz w:val="20"/>
        </w:rPr>
        <w:t> </w:t>
      </w:r>
      <w:r>
        <w:rPr>
          <w:sz w:val="20"/>
        </w:rPr>
        <w:t>entity.</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2" w:firstLine="0"/>
        <w:jc w:val="both"/>
        <w:rPr>
          <w:sz w:val="20"/>
        </w:rPr>
      </w:pPr>
      <w:r>
        <w:rPr>
          <w:sz w:val="20"/>
        </w:rPr>
        <w:t>The</w:t>
      </w:r>
      <w:r>
        <w:rPr>
          <w:spacing w:val="-5"/>
          <w:sz w:val="20"/>
        </w:rPr>
        <w:t> </w:t>
      </w:r>
      <w:r>
        <w:rPr>
          <w:sz w:val="20"/>
        </w:rPr>
        <w:t>OECD</w:t>
      </w:r>
      <w:r>
        <w:rPr>
          <w:spacing w:val="-4"/>
          <w:sz w:val="20"/>
        </w:rPr>
        <w:t> </w:t>
      </w:r>
      <w:r>
        <w:rPr>
          <w:sz w:val="20"/>
        </w:rPr>
        <w:t>Transfer</w:t>
      </w:r>
      <w:r>
        <w:rPr>
          <w:spacing w:val="-4"/>
          <w:sz w:val="20"/>
        </w:rPr>
        <w:t> </w:t>
      </w:r>
      <w:r>
        <w:rPr>
          <w:sz w:val="20"/>
        </w:rPr>
        <w:t>Pricing</w:t>
      </w:r>
      <w:r>
        <w:rPr>
          <w:spacing w:val="-2"/>
          <w:sz w:val="20"/>
        </w:rPr>
        <w:t> </w:t>
      </w:r>
      <w:r>
        <w:rPr>
          <w:sz w:val="20"/>
        </w:rPr>
        <w:t>Guidelines</w:t>
      </w:r>
      <w:r>
        <w:rPr>
          <w:spacing w:val="-3"/>
          <w:sz w:val="20"/>
        </w:rPr>
        <w:t> </w:t>
      </w:r>
      <w:r>
        <w:rPr>
          <w:sz w:val="20"/>
        </w:rPr>
        <w:t>(TPG)</w:t>
      </w:r>
      <w:r>
        <w:rPr>
          <w:spacing w:val="-3"/>
          <w:sz w:val="20"/>
        </w:rPr>
        <w:t> </w:t>
      </w:r>
      <w:r>
        <w:rPr>
          <w:sz w:val="20"/>
        </w:rPr>
        <w:t>identify</w:t>
      </w:r>
      <w:r>
        <w:rPr>
          <w:spacing w:val="-7"/>
          <w:sz w:val="20"/>
        </w:rPr>
        <w:t> </w:t>
      </w:r>
      <w:r>
        <w:rPr>
          <w:sz w:val="20"/>
        </w:rPr>
        <w:t>a</w:t>
      </w:r>
      <w:r>
        <w:rPr>
          <w:spacing w:val="-2"/>
          <w:sz w:val="20"/>
        </w:rPr>
        <w:t> </w:t>
      </w:r>
      <w:r>
        <w:rPr>
          <w:sz w:val="20"/>
        </w:rPr>
        <w:t>series</w:t>
      </w:r>
      <w:r>
        <w:rPr>
          <w:spacing w:val="-3"/>
          <w:sz w:val="20"/>
        </w:rPr>
        <w:t> </w:t>
      </w:r>
      <w:r>
        <w:rPr>
          <w:sz w:val="20"/>
        </w:rPr>
        <w:t>of</w:t>
      </w:r>
      <w:r>
        <w:rPr>
          <w:spacing w:val="-5"/>
          <w:sz w:val="20"/>
        </w:rPr>
        <w:t> </w:t>
      </w:r>
      <w:r>
        <w:rPr>
          <w:sz w:val="20"/>
        </w:rPr>
        <w:t>factors</w:t>
      </w:r>
      <w:r>
        <w:rPr>
          <w:spacing w:val="-2"/>
          <w:sz w:val="20"/>
        </w:rPr>
        <w:t> </w:t>
      </w:r>
      <w:r>
        <w:rPr>
          <w:sz w:val="20"/>
        </w:rPr>
        <w:t>that may</w:t>
      </w:r>
      <w:r>
        <w:rPr>
          <w:spacing w:val="-10"/>
          <w:sz w:val="20"/>
        </w:rPr>
        <w:t> </w:t>
      </w:r>
      <w:r>
        <w:rPr>
          <w:sz w:val="20"/>
        </w:rPr>
        <w:t>entitle</w:t>
      </w:r>
      <w:r>
        <w:rPr>
          <w:spacing w:val="-4"/>
          <w:sz w:val="20"/>
        </w:rPr>
        <w:t> </w:t>
      </w:r>
      <w:r>
        <w:rPr>
          <w:sz w:val="20"/>
        </w:rPr>
        <w:t>an</w:t>
      </w:r>
      <w:r>
        <w:rPr>
          <w:spacing w:val="-2"/>
          <w:sz w:val="20"/>
        </w:rPr>
        <w:t> </w:t>
      </w:r>
      <w:r>
        <w:rPr>
          <w:sz w:val="20"/>
        </w:rPr>
        <w:t>entity to</w:t>
      </w:r>
      <w:r>
        <w:rPr>
          <w:spacing w:val="-5"/>
          <w:sz w:val="20"/>
        </w:rPr>
        <w:t> </w:t>
      </w:r>
      <w:r>
        <w:rPr>
          <w:sz w:val="20"/>
        </w:rPr>
        <w:t>participate</w:t>
      </w:r>
      <w:r>
        <w:rPr>
          <w:spacing w:val="-2"/>
          <w:sz w:val="20"/>
        </w:rPr>
        <w:t> </w:t>
      </w:r>
      <w:r>
        <w:rPr>
          <w:sz w:val="20"/>
        </w:rPr>
        <w:t>in</w:t>
      </w:r>
      <w:r>
        <w:rPr>
          <w:spacing w:val="-4"/>
          <w:sz w:val="20"/>
        </w:rPr>
        <w:t> </w:t>
      </w:r>
      <w:r>
        <w:rPr>
          <w:sz w:val="20"/>
        </w:rPr>
        <w:t>the</w:t>
      </w:r>
      <w:r>
        <w:rPr>
          <w:spacing w:val="-4"/>
          <w:sz w:val="20"/>
        </w:rPr>
        <w:t> </w:t>
      </w:r>
      <w:r>
        <w:rPr>
          <w:sz w:val="20"/>
        </w:rPr>
        <w:t>residual</w:t>
      </w:r>
      <w:r>
        <w:rPr>
          <w:spacing w:val="-3"/>
          <w:sz w:val="20"/>
        </w:rPr>
        <w:t> </w:t>
      </w:r>
      <w:r>
        <w:rPr>
          <w:sz w:val="20"/>
        </w:rPr>
        <w:t>profits</w:t>
      </w:r>
      <w:r>
        <w:rPr>
          <w:spacing w:val="-3"/>
          <w:sz w:val="20"/>
        </w:rPr>
        <w:t> </w:t>
      </w:r>
      <w:r>
        <w:rPr>
          <w:sz w:val="20"/>
        </w:rPr>
        <w:t>generated</w:t>
      </w:r>
      <w:r>
        <w:rPr>
          <w:spacing w:val="-2"/>
          <w:sz w:val="20"/>
        </w:rPr>
        <w:t> </w:t>
      </w:r>
      <w:r>
        <w:rPr>
          <w:sz w:val="20"/>
        </w:rPr>
        <w:t>by</w:t>
      </w:r>
      <w:r>
        <w:rPr>
          <w:spacing w:val="-5"/>
          <w:sz w:val="20"/>
        </w:rPr>
        <w:t> </w:t>
      </w:r>
      <w:r>
        <w:rPr>
          <w:sz w:val="20"/>
        </w:rPr>
        <w:t>an</w:t>
      </w:r>
      <w:r>
        <w:rPr>
          <w:spacing w:val="-5"/>
          <w:sz w:val="20"/>
        </w:rPr>
        <w:t> </w:t>
      </w:r>
      <w:r>
        <w:rPr>
          <w:sz w:val="20"/>
        </w:rPr>
        <w:t>MNE</w:t>
      </w:r>
      <w:r>
        <w:rPr>
          <w:spacing w:val="-4"/>
          <w:sz w:val="20"/>
        </w:rPr>
        <w:t> </w:t>
      </w:r>
      <w:r>
        <w:rPr>
          <w:sz w:val="20"/>
        </w:rPr>
        <w:t>group</w:t>
      </w:r>
      <w:r>
        <w:rPr>
          <w:spacing w:val="-5"/>
          <w:sz w:val="20"/>
        </w:rPr>
        <w:t> </w:t>
      </w:r>
      <w:r>
        <w:rPr>
          <w:sz w:val="20"/>
        </w:rPr>
        <w:t>for</w:t>
      </w:r>
      <w:r>
        <w:rPr>
          <w:spacing w:val="-4"/>
          <w:sz w:val="20"/>
        </w:rPr>
        <w:t> </w:t>
      </w:r>
      <w:r>
        <w:rPr>
          <w:sz w:val="20"/>
        </w:rPr>
        <w:t>transfer</w:t>
      </w:r>
      <w:r>
        <w:rPr>
          <w:spacing w:val="-4"/>
          <w:sz w:val="20"/>
        </w:rPr>
        <w:t> </w:t>
      </w:r>
      <w:r>
        <w:rPr>
          <w:sz w:val="20"/>
        </w:rPr>
        <w:t>pricing</w:t>
      </w:r>
      <w:r>
        <w:rPr>
          <w:spacing w:val="-4"/>
          <w:sz w:val="20"/>
        </w:rPr>
        <w:t> </w:t>
      </w:r>
      <w:r>
        <w:rPr>
          <w:sz w:val="20"/>
        </w:rPr>
        <w:t>purposes</w:t>
      </w:r>
      <w:r>
        <w:rPr>
          <w:spacing w:val="-3"/>
          <w:sz w:val="20"/>
        </w:rPr>
        <w:t> </w:t>
      </w:r>
      <w:r>
        <w:rPr>
          <w:sz w:val="20"/>
        </w:rPr>
        <w:t>that</w:t>
      </w:r>
      <w:r>
        <w:rPr>
          <w:spacing w:val="-2"/>
          <w:sz w:val="20"/>
        </w:rPr>
        <w:t> </w:t>
      </w:r>
      <w:r>
        <w:rPr>
          <w:sz w:val="20"/>
        </w:rPr>
        <w:t>will</w:t>
      </w:r>
      <w:r>
        <w:rPr>
          <w:spacing w:val="-5"/>
          <w:sz w:val="20"/>
        </w:rPr>
        <w:t> </w:t>
      </w:r>
      <w:r>
        <w:rPr>
          <w:sz w:val="20"/>
        </w:rPr>
        <w:t>also be relevant for identifying the paying entities. These include the</w:t>
      </w:r>
      <w:r>
        <w:rPr>
          <w:spacing w:val="-15"/>
          <w:sz w:val="20"/>
        </w:rPr>
        <w:t> </w:t>
      </w:r>
      <w:r>
        <w:rPr>
          <w:sz w:val="20"/>
        </w:rPr>
        <w:t>following:</w:t>
      </w:r>
      <w:r>
        <w:rPr>
          <w:position w:val="6"/>
          <w:sz w:val="13"/>
        </w:rPr>
        <w:t>112</w:t>
      </w:r>
    </w:p>
    <w:p>
      <w:pPr>
        <w:pStyle w:val="ListParagraph"/>
        <w:numPr>
          <w:ilvl w:val="1"/>
          <w:numId w:val="13"/>
        </w:numPr>
        <w:tabs>
          <w:tab w:pos="1403" w:val="left" w:leader="none"/>
        </w:tabs>
        <w:spacing w:line="271" w:lineRule="auto" w:before="100" w:after="0"/>
        <w:ind w:left="1402" w:right="480" w:hanging="339"/>
        <w:jc w:val="both"/>
        <w:rPr>
          <w:sz w:val="20"/>
        </w:rPr>
      </w:pPr>
      <w:r>
        <w:rPr>
          <w:sz w:val="20"/>
        </w:rPr>
        <w:t>First, the paying entity should oversee some of the core strategic and operational activities that generate</w:t>
      </w:r>
      <w:r>
        <w:rPr>
          <w:spacing w:val="-8"/>
          <w:sz w:val="20"/>
        </w:rPr>
        <w:t> </w:t>
      </w:r>
      <w:r>
        <w:rPr>
          <w:sz w:val="20"/>
        </w:rPr>
        <w:t>residual</w:t>
      </w:r>
      <w:r>
        <w:rPr>
          <w:spacing w:val="-7"/>
          <w:sz w:val="20"/>
        </w:rPr>
        <w:t> </w:t>
      </w:r>
      <w:r>
        <w:rPr>
          <w:sz w:val="20"/>
        </w:rPr>
        <w:t>profits</w:t>
      </w:r>
      <w:r>
        <w:rPr>
          <w:spacing w:val="-5"/>
          <w:sz w:val="20"/>
        </w:rPr>
        <w:t> </w:t>
      </w:r>
      <w:r>
        <w:rPr>
          <w:sz w:val="20"/>
        </w:rPr>
        <w:t>for</w:t>
      </w:r>
      <w:r>
        <w:rPr>
          <w:spacing w:val="-7"/>
          <w:sz w:val="20"/>
        </w:rPr>
        <w:t> </w:t>
      </w:r>
      <w:r>
        <w:rPr>
          <w:sz w:val="20"/>
        </w:rPr>
        <w:t>the</w:t>
      </w:r>
      <w:r>
        <w:rPr>
          <w:spacing w:val="-7"/>
          <w:sz w:val="20"/>
        </w:rPr>
        <w:t> </w:t>
      </w:r>
      <w:r>
        <w:rPr>
          <w:sz w:val="20"/>
        </w:rPr>
        <w:t>MNE</w:t>
      </w:r>
      <w:r>
        <w:rPr>
          <w:spacing w:val="-4"/>
          <w:sz w:val="20"/>
        </w:rPr>
        <w:t> </w:t>
      </w:r>
      <w:r>
        <w:rPr>
          <w:sz w:val="20"/>
        </w:rPr>
        <w:t>group,</w:t>
      </w:r>
      <w:r>
        <w:rPr>
          <w:spacing w:val="-6"/>
          <w:sz w:val="20"/>
        </w:rPr>
        <w:t> </w:t>
      </w:r>
      <w:r>
        <w:rPr>
          <w:sz w:val="20"/>
        </w:rPr>
        <w:t>and</w:t>
      </w:r>
      <w:r>
        <w:rPr>
          <w:spacing w:val="-8"/>
          <w:sz w:val="20"/>
        </w:rPr>
        <w:t> </w:t>
      </w:r>
      <w:r>
        <w:rPr>
          <w:sz w:val="20"/>
        </w:rPr>
        <w:t>specifically</w:t>
      </w:r>
      <w:r>
        <w:rPr>
          <w:spacing w:val="-10"/>
          <w:sz w:val="20"/>
        </w:rPr>
        <w:t> </w:t>
      </w:r>
      <w:r>
        <w:rPr>
          <w:sz w:val="20"/>
        </w:rPr>
        <w:t>exercise</w:t>
      </w:r>
      <w:r>
        <w:rPr>
          <w:spacing w:val="-7"/>
          <w:sz w:val="20"/>
        </w:rPr>
        <w:t> </w:t>
      </w:r>
      <w:r>
        <w:rPr>
          <w:sz w:val="20"/>
        </w:rPr>
        <w:t>control</w:t>
      </w:r>
      <w:r>
        <w:rPr>
          <w:spacing w:val="-5"/>
          <w:sz w:val="20"/>
        </w:rPr>
        <w:t> </w:t>
      </w:r>
      <w:r>
        <w:rPr>
          <w:sz w:val="20"/>
        </w:rPr>
        <w:t>and</w:t>
      </w:r>
      <w:r>
        <w:rPr>
          <w:spacing w:val="-6"/>
          <w:sz w:val="20"/>
        </w:rPr>
        <w:t> </w:t>
      </w:r>
      <w:r>
        <w:rPr>
          <w:sz w:val="20"/>
        </w:rPr>
        <w:t>decision-making authority</w:t>
      </w:r>
      <w:r>
        <w:rPr>
          <w:spacing w:val="-15"/>
          <w:sz w:val="20"/>
        </w:rPr>
        <w:t> </w:t>
      </w:r>
      <w:r>
        <w:rPr>
          <w:sz w:val="20"/>
        </w:rPr>
        <w:t>over</w:t>
      </w:r>
      <w:r>
        <w:rPr>
          <w:spacing w:val="-10"/>
          <w:sz w:val="20"/>
        </w:rPr>
        <w:t> </w:t>
      </w:r>
      <w:r>
        <w:rPr>
          <w:sz w:val="20"/>
        </w:rPr>
        <w:t>key</w:t>
      </w:r>
      <w:r>
        <w:rPr>
          <w:spacing w:val="-14"/>
          <w:sz w:val="20"/>
        </w:rPr>
        <w:t> </w:t>
      </w:r>
      <w:r>
        <w:rPr>
          <w:sz w:val="20"/>
        </w:rPr>
        <w:t>aspects</w:t>
      </w:r>
      <w:r>
        <w:rPr>
          <w:spacing w:val="-9"/>
          <w:sz w:val="20"/>
        </w:rPr>
        <w:t> </w:t>
      </w:r>
      <w:r>
        <w:rPr>
          <w:sz w:val="20"/>
        </w:rPr>
        <w:t>of</w:t>
      </w:r>
      <w:r>
        <w:rPr>
          <w:spacing w:val="-8"/>
          <w:sz w:val="20"/>
        </w:rPr>
        <w:t> </w:t>
      </w:r>
      <w:r>
        <w:rPr>
          <w:sz w:val="20"/>
        </w:rPr>
        <w:t>those</w:t>
      </w:r>
      <w:r>
        <w:rPr>
          <w:spacing w:val="-12"/>
          <w:sz w:val="20"/>
        </w:rPr>
        <w:t> </w:t>
      </w:r>
      <w:r>
        <w:rPr>
          <w:sz w:val="20"/>
        </w:rPr>
        <w:t>activities.</w:t>
      </w:r>
      <w:r>
        <w:rPr>
          <w:spacing w:val="-10"/>
          <w:sz w:val="20"/>
        </w:rPr>
        <w:t> </w:t>
      </w:r>
      <w:r>
        <w:rPr>
          <w:sz w:val="20"/>
        </w:rPr>
        <w:t>The</w:t>
      </w:r>
      <w:r>
        <w:rPr>
          <w:spacing w:val="-11"/>
          <w:sz w:val="20"/>
        </w:rPr>
        <w:t> </w:t>
      </w:r>
      <w:r>
        <w:rPr>
          <w:sz w:val="20"/>
        </w:rPr>
        <w:t>activities</w:t>
      </w:r>
      <w:r>
        <w:rPr>
          <w:spacing w:val="-9"/>
          <w:sz w:val="20"/>
        </w:rPr>
        <w:t> </w:t>
      </w:r>
      <w:r>
        <w:rPr>
          <w:sz w:val="20"/>
        </w:rPr>
        <w:t>identified</w:t>
      </w:r>
      <w:r>
        <w:rPr>
          <w:spacing w:val="-11"/>
          <w:sz w:val="20"/>
        </w:rPr>
        <w:t> </w:t>
      </w:r>
      <w:r>
        <w:rPr>
          <w:sz w:val="20"/>
        </w:rPr>
        <w:t>should</w:t>
      </w:r>
      <w:r>
        <w:rPr>
          <w:spacing w:val="-12"/>
          <w:sz w:val="20"/>
        </w:rPr>
        <w:t> </w:t>
      </w:r>
      <w:r>
        <w:rPr>
          <w:sz w:val="20"/>
        </w:rPr>
        <w:t>also</w:t>
      </w:r>
      <w:r>
        <w:rPr>
          <w:spacing w:val="-11"/>
          <w:sz w:val="20"/>
        </w:rPr>
        <w:t> </w:t>
      </w:r>
      <w:r>
        <w:rPr>
          <w:sz w:val="20"/>
        </w:rPr>
        <w:t>relate</w:t>
      </w:r>
      <w:r>
        <w:rPr>
          <w:spacing w:val="-11"/>
          <w:sz w:val="20"/>
        </w:rPr>
        <w:t> </w:t>
      </w:r>
      <w:r>
        <w:rPr>
          <w:sz w:val="20"/>
        </w:rPr>
        <w:t>to</w:t>
      </w:r>
      <w:r>
        <w:rPr>
          <w:spacing w:val="-8"/>
          <w:sz w:val="20"/>
        </w:rPr>
        <w:t> </w:t>
      </w:r>
      <w:r>
        <w:rPr>
          <w:sz w:val="20"/>
        </w:rPr>
        <w:t>the</w:t>
      </w:r>
      <w:r>
        <w:rPr>
          <w:spacing w:val="-9"/>
          <w:sz w:val="20"/>
        </w:rPr>
        <w:t> </w:t>
      </w:r>
      <w:r>
        <w:rPr>
          <w:spacing w:val="3"/>
          <w:sz w:val="20"/>
        </w:rPr>
        <w:t>MNE </w:t>
      </w:r>
      <w:r>
        <w:rPr>
          <w:sz w:val="20"/>
        </w:rPr>
        <w:t>group’s engagement with the</w:t>
      </w:r>
      <w:r>
        <w:rPr>
          <w:spacing w:val="-3"/>
          <w:sz w:val="20"/>
        </w:rPr>
        <w:t> </w:t>
      </w:r>
      <w:r>
        <w:rPr>
          <w:sz w:val="20"/>
        </w:rPr>
        <w:t>market.</w:t>
      </w:r>
    </w:p>
    <w:p>
      <w:pPr>
        <w:pStyle w:val="ListParagraph"/>
        <w:numPr>
          <w:ilvl w:val="1"/>
          <w:numId w:val="13"/>
        </w:numPr>
        <w:tabs>
          <w:tab w:pos="1403" w:val="left" w:leader="none"/>
        </w:tabs>
        <w:spacing w:line="271" w:lineRule="auto" w:before="42" w:after="0"/>
        <w:ind w:left="1402" w:right="486" w:hanging="339"/>
        <w:jc w:val="both"/>
        <w:rPr>
          <w:sz w:val="20"/>
        </w:rPr>
      </w:pPr>
      <w:r>
        <w:rPr>
          <w:sz w:val="20"/>
        </w:rPr>
        <w:t>Second,</w:t>
      </w:r>
      <w:r>
        <w:rPr>
          <w:spacing w:val="-7"/>
          <w:sz w:val="20"/>
        </w:rPr>
        <w:t> </w:t>
      </w:r>
      <w:r>
        <w:rPr>
          <w:sz w:val="20"/>
        </w:rPr>
        <w:t>the</w:t>
      </w:r>
      <w:r>
        <w:rPr>
          <w:spacing w:val="-7"/>
          <w:sz w:val="20"/>
        </w:rPr>
        <w:t> </w:t>
      </w:r>
      <w:r>
        <w:rPr>
          <w:sz w:val="20"/>
        </w:rPr>
        <w:t>activities</w:t>
      </w:r>
      <w:r>
        <w:rPr>
          <w:spacing w:val="-6"/>
          <w:sz w:val="20"/>
        </w:rPr>
        <w:t> </w:t>
      </w:r>
      <w:r>
        <w:rPr>
          <w:sz w:val="20"/>
        </w:rPr>
        <w:t>of</w:t>
      </w:r>
      <w:r>
        <w:rPr>
          <w:spacing w:val="-4"/>
          <w:sz w:val="20"/>
        </w:rPr>
        <w:t> </w:t>
      </w:r>
      <w:r>
        <w:rPr>
          <w:sz w:val="20"/>
        </w:rPr>
        <w:t>the</w:t>
      </w:r>
      <w:r>
        <w:rPr>
          <w:spacing w:val="-7"/>
          <w:sz w:val="20"/>
        </w:rPr>
        <w:t> </w:t>
      </w:r>
      <w:r>
        <w:rPr>
          <w:sz w:val="20"/>
        </w:rPr>
        <w:t>paying</w:t>
      </w:r>
      <w:r>
        <w:rPr>
          <w:spacing w:val="-7"/>
          <w:sz w:val="20"/>
        </w:rPr>
        <w:t> </w:t>
      </w:r>
      <w:r>
        <w:rPr>
          <w:sz w:val="20"/>
        </w:rPr>
        <w:t>entity</w:t>
      </w:r>
      <w:r>
        <w:rPr>
          <w:spacing w:val="-6"/>
          <w:sz w:val="20"/>
        </w:rPr>
        <w:t> </w:t>
      </w:r>
      <w:r>
        <w:rPr>
          <w:sz w:val="20"/>
        </w:rPr>
        <w:t>will</w:t>
      </w:r>
      <w:r>
        <w:rPr>
          <w:spacing w:val="-7"/>
          <w:sz w:val="20"/>
        </w:rPr>
        <w:t> </w:t>
      </w:r>
      <w:r>
        <w:rPr>
          <w:sz w:val="20"/>
        </w:rPr>
        <w:t>likely</w:t>
      </w:r>
      <w:r>
        <w:rPr>
          <w:spacing w:val="-10"/>
          <w:sz w:val="20"/>
        </w:rPr>
        <w:t> </w:t>
      </w:r>
      <w:r>
        <w:rPr>
          <w:sz w:val="20"/>
        </w:rPr>
        <w:t>consist</w:t>
      </w:r>
      <w:r>
        <w:rPr>
          <w:spacing w:val="-5"/>
          <w:sz w:val="20"/>
        </w:rPr>
        <w:t> </w:t>
      </w:r>
      <w:r>
        <w:rPr>
          <w:sz w:val="20"/>
        </w:rPr>
        <w:t>of</w:t>
      </w:r>
      <w:r>
        <w:rPr>
          <w:spacing w:val="-5"/>
          <w:sz w:val="20"/>
        </w:rPr>
        <w:t> </w:t>
      </w:r>
      <w:r>
        <w:rPr>
          <w:sz w:val="20"/>
        </w:rPr>
        <w:t>the</w:t>
      </w:r>
      <w:r>
        <w:rPr>
          <w:spacing w:val="-7"/>
          <w:sz w:val="20"/>
        </w:rPr>
        <w:t> </w:t>
      </w:r>
      <w:r>
        <w:rPr>
          <w:sz w:val="20"/>
        </w:rPr>
        <w:t>performance</w:t>
      </w:r>
      <w:r>
        <w:rPr>
          <w:spacing w:val="-7"/>
          <w:sz w:val="20"/>
        </w:rPr>
        <w:t> </w:t>
      </w:r>
      <w:r>
        <w:rPr>
          <w:sz w:val="20"/>
        </w:rPr>
        <w:t>of</w:t>
      </w:r>
      <w:r>
        <w:rPr>
          <w:spacing w:val="-3"/>
          <w:sz w:val="20"/>
        </w:rPr>
        <w:t> </w:t>
      </w:r>
      <w:r>
        <w:rPr>
          <w:sz w:val="20"/>
        </w:rPr>
        <w:t>some</w:t>
      </w:r>
      <w:r>
        <w:rPr>
          <w:spacing w:val="-7"/>
          <w:sz w:val="20"/>
        </w:rPr>
        <w:t> </w:t>
      </w:r>
      <w:r>
        <w:rPr>
          <w:sz w:val="20"/>
        </w:rPr>
        <w:t>or</w:t>
      </w:r>
      <w:r>
        <w:rPr>
          <w:spacing w:val="-6"/>
          <w:sz w:val="20"/>
        </w:rPr>
        <w:t> </w:t>
      </w:r>
      <w:r>
        <w:rPr>
          <w:sz w:val="20"/>
        </w:rPr>
        <w:t>all</w:t>
      </w:r>
      <w:r>
        <w:rPr>
          <w:spacing w:val="-7"/>
          <w:sz w:val="20"/>
        </w:rPr>
        <w:t> </w:t>
      </w:r>
      <w:r>
        <w:rPr>
          <w:sz w:val="20"/>
        </w:rPr>
        <w:t>of</w:t>
      </w:r>
      <w:r>
        <w:rPr>
          <w:spacing w:val="-4"/>
          <w:sz w:val="20"/>
        </w:rPr>
        <w:t> </w:t>
      </w:r>
      <w:r>
        <w:rPr>
          <w:sz w:val="20"/>
        </w:rPr>
        <w:t>the important functions related to the development, enhancement, maintenance, protection and exploitation of intangible assets of the MNE group that are specific to the MNE group’s market engagement. This would include intangibles related to technology that facilitates market engagement, such as technology used in the ADS businesses to gather user data and content contributions.</w:t>
      </w:r>
    </w:p>
    <w:p>
      <w:pPr>
        <w:pStyle w:val="ListParagraph"/>
        <w:numPr>
          <w:ilvl w:val="1"/>
          <w:numId w:val="13"/>
        </w:numPr>
        <w:tabs>
          <w:tab w:pos="1403" w:val="left" w:leader="none"/>
        </w:tabs>
        <w:spacing w:line="271" w:lineRule="auto" w:before="45" w:after="0"/>
        <w:ind w:left="1402" w:right="482" w:hanging="339"/>
        <w:jc w:val="both"/>
        <w:rPr>
          <w:sz w:val="13"/>
        </w:rPr>
      </w:pPr>
      <w:r>
        <w:rPr>
          <w:sz w:val="20"/>
        </w:rPr>
        <w:t>Third, a paying entity would perform the activities that would mean it should have the entitlement to some or all of the residual profits arising from valuable intangible assets that relate to the engagement</w:t>
      </w:r>
      <w:r>
        <w:rPr>
          <w:spacing w:val="-6"/>
          <w:sz w:val="20"/>
        </w:rPr>
        <w:t> </w:t>
      </w:r>
      <w:r>
        <w:rPr>
          <w:sz w:val="20"/>
        </w:rPr>
        <w:t>of</w:t>
      </w:r>
      <w:r>
        <w:rPr>
          <w:spacing w:val="-4"/>
          <w:sz w:val="20"/>
        </w:rPr>
        <w:t> </w:t>
      </w:r>
      <w:r>
        <w:rPr>
          <w:sz w:val="20"/>
        </w:rPr>
        <w:t>the</w:t>
      </w:r>
      <w:r>
        <w:rPr>
          <w:spacing w:val="-4"/>
          <w:sz w:val="20"/>
        </w:rPr>
        <w:t> </w:t>
      </w:r>
      <w:r>
        <w:rPr>
          <w:sz w:val="20"/>
        </w:rPr>
        <w:t>MNE</w:t>
      </w:r>
      <w:r>
        <w:rPr>
          <w:spacing w:val="-3"/>
          <w:sz w:val="20"/>
        </w:rPr>
        <w:t> </w:t>
      </w:r>
      <w:r>
        <w:rPr>
          <w:sz w:val="20"/>
        </w:rPr>
        <w:t>group</w:t>
      </w:r>
      <w:r>
        <w:rPr>
          <w:spacing w:val="-1"/>
          <w:sz w:val="20"/>
        </w:rPr>
        <w:t> </w:t>
      </w:r>
      <w:r>
        <w:rPr>
          <w:sz w:val="20"/>
        </w:rPr>
        <w:t>with</w:t>
      </w:r>
      <w:r>
        <w:rPr>
          <w:spacing w:val="-5"/>
          <w:sz w:val="20"/>
        </w:rPr>
        <w:t> </w:t>
      </w:r>
      <w:r>
        <w:rPr>
          <w:sz w:val="20"/>
        </w:rPr>
        <w:t>the</w:t>
      </w:r>
      <w:r>
        <w:rPr>
          <w:spacing w:val="-4"/>
          <w:sz w:val="20"/>
        </w:rPr>
        <w:t> </w:t>
      </w:r>
      <w:r>
        <w:rPr>
          <w:sz w:val="20"/>
        </w:rPr>
        <w:t>market</w:t>
      </w:r>
      <w:r>
        <w:rPr>
          <w:spacing w:val="-6"/>
          <w:sz w:val="20"/>
        </w:rPr>
        <w:t> </w:t>
      </w:r>
      <w:r>
        <w:rPr>
          <w:sz w:val="20"/>
        </w:rPr>
        <w:t>where</w:t>
      </w:r>
      <w:r>
        <w:rPr>
          <w:spacing w:val="1"/>
          <w:sz w:val="20"/>
        </w:rPr>
        <w:t> </w:t>
      </w:r>
      <w:r>
        <w:rPr>
          <w:sz w:val="20"/>
        </w:rPr>
        <w:t>they</w:t>
      </w:r>
      <w:r>
        <w:rPr>
          <w:spacing w:val="-6"/>
          <w:sz w:val="20"/>
        </w:rPr>
        <w:t> </w:t>
      </w:r>
      <w:r>
        <w:rPr>
          <w:sz w:val="20"/>
        </w:rPr>
        <w:t>have</w:t>
      </w:r>
      <w:r>
        <w:rPr>
          <w:spacing w:val="-4"/>
          <w:sz w:val="20"/>
        </w:rPr>
        <w:t> </w:t>
      </w:r>
      <w:r>
        <w:rPr>
          <w:sz w:val="20"/>
        </w:rPr>
        <w:t>been</w:t>
      </w:r>
      <w:r>
        <w:rPr>
          <w:spacing w:val="-3"/>
          <w:sz w:val="20"/>
        </w:rPr>
        <w:t> </w:t>
      </w:r>
      <w:r>
        <w:rPr>
          <w:sz w:val="20"/>
        </w:rPr>
        <w:t>acquired</w:t>
      </w:r>
      <w:r>
        <w:rPr>
          <w:spacing w:val="-4"/>
          <w:sz w:val="20"/>
        </w:rPr>
        <w:t> </w:t>
      </w:r>
      <w:r>
        <w:rPr>
          <w:sz w:val="20"/>
        </w:rPr>
        <w:t>and</w:t>
      </w:r>
      <w:r>
        <w:rPr>
          <w:spacing w:val="-3"/>
          <w:sz w:val="20"/>
        </w:rPr>
        <w:t> </w:t>
      </w:r>
      <w:r>
        <w:rPr>
          <w:sz w:val="20"/>
        </w:rPr>
        <w:t>were</w:t>
      </w:r>
      <w:r>
        <w:rPr>
          <w:spacing w:val="-3"/>
          <w:sz w:val="20"/>
        </w:rPr>
        <w:t> </w:t>
      </w:r>
      <w:r>
        <w:rPr>
          <w:sz w:val="20"/>
        </w:rPr>
        <w:t>not</w:t>
      </w:r>
      <w:r>
        <w:rPr>
          <w:spacing w:val="-5"/>
          <w:sz w:val="20"/>
        </w:rPr>
        <w:t> </w:t>
      </w:r>
      <w:r>
        <w:rPr>
          <w:sz w:val="20"/>
        </w:rPr>
        <w:t>self- developed.</w:t>
      </w:r>
      <w:r>
        <w:rPr>
          <w:position w:val="6"/>
          <w:sz w:val="13"/>
        </w:rPr>
        <w:t>113</w:t>
      </w:r>
    </w:p>
    <w:p>
      <w:pPr>
        <w:pStyle w:val="ListParagraph"/>
        <w:numPr>
          <w:ilvl w:val="1"/>
          <w:numId w:val="13"/>
        </w:numPr>
        <w:tabs>
          <w:tab w:pos="1403" w:val="left" w:leader="none"/>
        </w:tabs>
        <w:spacing w:line="271" w:lineRule="auto" w:before="42" w:after="0"/>
        <w:ind w:left="1402" w:right="484" w:hanging="339"/>
        <w:jc w:val="both"/>
        <w:rPr>
          <w:sz w:val="20"/>
        </w:rPr>
      </w:pPr>
      <w:r>
        <w:rPr>
          <w:sz w:val="20"/>
        </w:rPr>
        <w:t>Fourth, the paying entity should both assume economically significant risks that relate to the MNE group’s engagement in the market, and exercise decision-making functions and control over the assumption of those economically significant risks.</w:t>
      </w:r>
      <w:r>
        <w:rPr>
          <w:position w:val="6"/>
          <w:sz w:val="13"/>
        </w:rPr>
        <w:t>114 </w:t>
      </w:r>
      <w:r>
        <w:rPr>
          <w:sz w:val="20"/>
        </w:rPr>
        <w:t>This would at least include (i) the capability to make decisions to take on, lay off, or decline a risk-bearing opportunity,</w:t>
      </w:r>
      <w:r>
        <w:rPr>
          <w:position w:val="6"/>
          <w:sz w:val="13"/>
        </w:rPr>
        <w:t>115 </w:t>
      </w:r>
      <w:r>
        <w:rPr>
          <w:sz w:val="20"/>
        </w:rPr>
        <w:t>together with the actual performance of that decision-making function, and (ii) the capability to make decisions on whether and how to respond to the risks associated with the opportunity, together with the actual performance</w:t>
      </w:r>
      <w:r>
        <w:rPr>
          <w:spacing w:val="-11"/>
          <w:sz w:val="20"/>
        </w:rPr>
        <w:t> </w:t>
      </w:r>
      <w:r>
        <w:rPr>
          <w:sz w:val="20"/>
        </w:rPr>
        <w:t>of</w:t>
      </w:r>
      <w:r>
        <w:rPr>
          <w:spacing w:val="-8"/>
          <w:sz w:val="20"/>
        </w:rPr>
        <w:t> </w:t>
      </w:r>
      <w:r>
        <w:rPr>
          <w:sz w:val="20"/>
        </w:rPr>
        <w:t>that</w:t>
      </w:r>
      <w:r>
        <w:rPr>
          <w:spacing w:val="-7"/>
          <w:sz w:val="20"/>
        </w:rPr>
        <w:t> </w:t>
      </w:r>
      <w:r>
        <w:rPr>
          <w:sz w:val="20"/>
        </w:rPr>
        <w:t>decision-making</w:t>
      </w:r>
      <w:r>
        <w:rPr>
          <w:spacing w:val="-11"/>
          <w:sz w:val="20"/>
        </w:rPr>
        <w:t> </w:t>
      </w:r>
      <w:r>
        <w:rPr>
          <w:sz w:val="20"/>
        </w:rPr>
        <w:t>function.</w:t>
      </w:r>
      <w:r>
        <w:rPr>
          <w:spacing w:val="-7"/>
          <w:sz w:val="20"/>
        </w:rPr>
        <w:t> </w:t>
      </w:r>
      <w:r>
        <w:rPr>
          <w:sz w:val="20"/>
        </w:rPr>
        <w:t>It</w:t>
      </w:r>
      <w:r>
        <w:rPr>
          <w:spacing w:val="-8"/>
          <w:sz w:val="20"/>
        </w:rPr>
        <w:t> </w:t>
      </w:r>
      <w:r>
        <w:rPr>
          <w:sz w:val="20"/>
        </w:rPr>
        <w:t>may</w:t>
      </w:r>
      <w:r>
        <w:rPr>
          <w:spacing w:val="-13"/>
          <w:sz w:val="20"/>
        </w:rPr>
        <w:t> </w:t>
      </w:r>
      <w:r>
        <w:rPr>
          <w:sz w:val="20"/>
        </w:rPr>
        <w:t>also</w:t>
      </w:r>
      <w:r>
        <w:rPr>
          <w:spacing w:val="-11"/>
          <w:sz w:val="20"/>
        </w:rPr>
        <w:t> </w:t>
      </w:r>
      <w:r>
        <w:rPr>
          <w:sz w:val="20"/>
        </w:rPr>
        <w:t>include</w:t>
      </w:r>
      <w:r>
        <w:rPr>
          <w:spacing w:val="-10"/>
          <w:sz w:val="20"/>
        </w:rPr>
        <w:t> </w:t>
      </w:r>
      <w:r>
        <w:rPr>
          <w:sz w:val="20"/>
        </w:rPr>
        <w:t>(iii)</w:t>
      </w:r>
      <w:r>
        <w:rPr>
          <w:spacing w:val="-9"/>
          <w:sz w:val="20"/>
        </w:rPr>
        <w:t> </w:t>
      </w:r>
      <w:r>
        <w:rPr>
          <w:sz w:val="20"/>
        </w:rPr>
        <w:t>the</w:t>
      </w:r>
      <w:r>
        <w:rPr>
          <w:spacing w:val="-10"/>
          <w:sz w:val="20"/>
        </w:rPr>
        <w:t> </w:t>
      </w:r>
      <w:r>
        <w:rPr>
          <w:sz w:val="20"/>
        </w:rPr>
        <w:t>capability</w:t>
      </w:r>
      <w:r>
        <w:rPr>
          <w:spacing w:val="-10"/>
          <w:sz w:val="20"/>
        </w:rPr>
        <w:t> </w:t>
      </w:r>
      <w:r>
        <w:rPr>
          <w:sz w:val="20"/>
        </w:rPr>
        <w:t>to</w:t>
      </w:r>
      <w:r>
        <w:rPr>
          <w:spacing w:val="-8"/>
          <w:sz w:val="20"/>
        </w:rPr>
        <w:t> </w:t>
      </w:r>
      <w:r>
        <w:rPr>
          <w:sz w:val="20"/>
        </w:rPr>
        <w:t>mitigate</w:t>
      </w:r>
      <w:r>
        <w:rPr>
          <w:spacing w:val="-10"/>
          <w:sz w:val="20"/>
        </w:rPr>
        <w:t> </w:t>
      </w:r>
      <w:r>
        <w:rPr>
          <w:sz w:val="20"/>
        </w:rPr>
        <w:t>risk, meaning the capability to take measures that affect risk outcomes, together with the actual performance of such risk</w:t>
      </w:r>
      <w:r>
        <w:rPr>
          <w:spacing w:val="-2"/>
          <w:sz w:val="20"/>
        </w:rPr>
        <w:t> </w:t>
      </w:r>
      <w:r>
        <w:rPr>
          <w:sz w:val="20"/>
        </w:rPr>
        <w:t>mitigation.</w:t>
      </w:r>
    </w:p>
    <w:p>
      <w:pPr>
        <w:pStyle w:val="ListParagraph"/>
        <w:numPr>
          <w:ilvl w:val="0"/>
          <w:numId w:val="13"/>
        </w:numPr>
        <w:tabs>
          <w:tab w:pos="1444" w:val="left" w:leader="none"/>
        </w:tabs>
        <w:spacing w:line="271" w:lineRule="auto" w:before="126" w:after="0"/>
        <w:ind w:left="723" w:right="484" w:firstLine="0"/>
        <w:jc w:val="both"/>
        <w:rPr>
          <w:sz w:val="20"/>
        </w:rPr>
      </w:pPr>
      <w:r>
        <w:rPr>
          <w:sz w:val="20"/>
        </w:rPr>
        <w:t>It</w:t>
      </w:r>
      <w:r>
        <w:rPr>
          <w:spacing w:val="-16"/>
          <w:sz w:val="20"/>
        </w:rPr>
        <w:t> </w:t>
      </w:r>
      <w:r>
        <w:rPr>
          <w:sz w:val="20"/>
        </w:rPr>
        <w:t>may</w:t>
      </w:r>
      <w:r>
        <w:rPr>
          <w:spacing w:val="-17"/>
          <w:sz w:val="20"/>
        </w:rPr>
        <w:t> </w:t>
      </w:r>
      <w:r>
        <w:rPr>
          <w:sz w:val="20"/>
        </w:rPr>
        <w:t>be</w:t>
      </w:r>
      <w:r>
        <w:rPr>
          <w:spacing w:val="-14"/>
          <w:sz w:val="20"/>
        </w:rPr>
        <w:t> </w:t>
      </w:r>
      <w:r>
        <w:rPr>
          <w:sz w:val="20"/>
        </w:rPr>
        <w:t>considered</w:t>
      </w:r>
      <w:r>
        <w:rPr>
          <w:spacing w:val="-13"/>
          <w:sz w:val="20"/>
        </w:rPr>
        <w:t> </w:t>
      </w:r>
      <w:r>
        <w:rPr>
          <w:sz w:val="20"/>
        </w:rPr>
        <w:t>that</w:t>
      </w:r>
      <w:r>
        <w:rPr>
          <w:spacing w:val="-13"/>
          <w:sz w:val="20"/>
        </w:rPr>
        <w:t> </w:t>
      </w:r>
      <w:r>
        <w:rPr>
          <w:sz w:val="20"/>
        </w:rPr>
        <w:t>the</w:t>
      </w:r>
      <w:r>
        <w:rPr>
          <w:spacing w:val="-14"/>
          <w:sz w:val="20"/>
        </w:rPr>
        <w:t> </w:t>
      </w:r>
      <w:r>
        <w:rPr>
          <w:sz w:val="20"/>
        </w:rPr>
        <w:t>provision</w:t>
      </w:r>
      <w:r>
        <w:rPr>
          <w:spacing w:val="-14"/>
          <w:sz w:val="20"/>
        </w:rPr>
        <w:t> </w:t>
      </w:r>
      <w:r>
        <w:rPr>
          <w:sz w:val="20"/>
        </w:rPr>
        <w:t>of</w:t>
      </w:r>
      <w:r>
        <w:rPr>
          <w:spacing w:val="-12"/>
          <w:sz w:val="20"/>
        </w:rPr>
        <w:t> </w:t>
      </w:r>
      <w:r>
        <w:rPr>
          <w:sz w:val="20"/>
        </w:rPr>
        <w:t>intragroup</w:t>
      </w:r>
      <w:r>
        <w:rPr>
          <w:spacing w:val="-14"/>
          <w:sz w:val="20"/>
        </w:rPr>
        <w:t> </w:t>
      </w:r>
      <w:r>
        <w:rPr>
          <w:sz w:val="20"/>
        </w:rPr>
        <w:t>financing</w:t>
      </w:r>
      <w:r>
        <w:rPr>
          <w:spacing w:val="-14"/>
          <w:sz w:val="20"/>
        </w:rPr>
        <w:t> </w:t>
      </w:r>
      <w:r>
        <w:rPr>
          <w:sz w:val="20"/>
        </w:rPr>
        <w:t>is</w:t>
      </w:r>
      <w:r>
        <w:rPr>
          <w:spacing w:val="-12"/>
          <w:sz w:val="20"/>
        </w:rPr>
        <w:t> </w:t>
      </w:r>
      <w:r>
        <w:rPr>
          <w:sz w:val="20"/>
        </w:rPr>
        <w:t>not</w:t>
      </w:r>
      <w:r>
        <w:rPr>
          <w:spacing w:val="-14"/>
          <w:sz w:val="20"/>
        </w:rPr>
        <w:t> </w:t>
      </w:r>
      <w:r>
        <w:rPr>
          <w:sz w:val="20"/>
        </w:rPr>
        <w:t>an</w:t>
      </w:r>
      <w:r>
        <w:rPr>
          <w:spacing w:val="-14"/>
          <w:sz w:val="20"/>
        </w:rPr>
        <w:t> </w:t>
      </w:r>
      <w:r>
        <w:rPr>
          <w:sz w:val="20"/>
        </w:rPr>
        <w:t>activity</w:t>
      </w:r>
      <w:r>
        <w:rPr>
          <w:spacing w:val="-16"/>
          <w:sz w:val="20"/>
        </w:rPr>
        <w:t> </w:t>
      </w:r>
      <w:r>
        <w:rPr>
          <w:sz w:val="20"/>
        </w:rPr>
        <w:t>that</w:t>
      </w:r>
      <w:r>
        <w:rPr>
          <w:spacing w:val="-14"/>
          <w:sz w:val="20"/>
        </w:rPr>
        <w:t> </w:t>
      </w:r>
      <w:r>
        <w:rPr>
          <w:sz w:val="20"/>
        </w:rPr>
        <w:t>makes</w:t>
      </w:r>
      <w:r>
        <w:rPr>
          <w:spacing w:val="-15"/>
          <w:sz w:val="20"/>
        </w:rPr>
        <w:t> </w:t>
      </w:r>
      <w:r>
        <w:rPr>
          <w:sz w:val="20"/>
        </w:rPr>
        <w:t>material and sustained contributions an ADS or CFB business’ ability to generate residual profits, specifically as it relates to their engagement in market jurisdictions. Therefore, the provision of intragroup financing alone would not be sufficient to identify an entity as a paying entity. The provision of an intercompany loan or guarantee,</w:t>
      </w:r>
      <w:r>
        <w:rPr>
          <w:spacing w:val="-8"/>
          <w:sz w:val="20"/>
        </w:rPr>
        <w:t> </w:t>
      </w:r>
      <w:r>
        <w:rPr>
          <w:sz w:val="20"/>
        </w:rPr>
        <w:t>while</w:t>
      </w:r>
      <w:r>
        <w:rPr>
          <w:spacing w:val="-10"/>
          <w:sz w:val="20"/>
        </w:rPr>
        <w:t> </w:t>
      </w:r>
      <w:r>
        <w:rPr>
          <w:sz w:val="20"/>
        </w:rPr>
        <w:t>representing</w:t>
      </w:r>
      <w:r>
        <w:rPr>
          <w:spacing w:val="-10"/>
          <w:sz w:val="20"/>
        </w:rPr>
        <w:t> </w:t>
      </w:r>
      <w:r>
        <w:rPr>
          <w:sz w:val="20"/>
        </w:rPr>
        <w:t>an</w:t>
      </w:r>
      <w:r>
        <w:rPr>
          <w:spacing w:val="-8"/>
          <w:sz w:val="20"/>
        </w:rPr>
        <w:t> </w:t>
      </w:r>
      <w:r>
        <w:rPr>
          <w:sz w:val="20"/>
        </w:rPr>
        <w:t>activity</w:t>
      </w:r>
      <w:r>
        <w:rPr>
          <w:spacing w:val="-13"/>
          <w:sz w:val="20"/>
        </w:rPr>
        <w:t> </w:t>
      </w:r>
      <w:r>
        <w:rPr>
          <w:sz w:val="20"/>
        </w:rPr>
        <w:t>that</w:t>
      </w:r>
      <w:r>
        <w:rPr>
          <w:spacing w:val="-8"/>
          <w:sz w:val="20"/>
        </w:rPr>
        <w:t> </w:t>
      </w:r>
      <w:r>
        <w:rPr>
          <w:sz w:val="20"/>
        </w:rPr>
        <w:t>would</w:t>
      </w:r>
      <w:r>
        <w:rPr>
          <w:spacing w:val="-10"/>
          <w:sz w:val="20"/>
        </w:rPr>
        <w:t> </w:t>
      </w:r>
      <w:r>
        <w:rPr>
          <w:sz w:val="20"/>
        </w:rPr>
        <w:t>result</w:t>
      </w:r>
      <w:r>
        <w:rPr>
          <w:spacing w:val="-10"/>
          <w:sz w:val="20"/>
        </w:rPr>
        <w:t> </w:t>
      </w:r>
      <w:r>
        <w:rPr>
          <w:sz w:val="20"/>
        </w:rPr>
        <w:t>in</w:t>
      </w:r>
      <w:r>
        <w:rPr>
          <w:spacing w:val="-10"/>
          <w:sz w:val="20"/>
        </w:rPr>
        <w:t> </w:t>
      </w:r>
      <w:r>
        <w:rPr>
          <w:sz w:val="20"/>
        </w:rPr>
        <w:t>the</w:t>
      </w:r>
      <w:r>
        <w:rPr>
          <w:spacing w:val="-10"/>
          <w:sz w:val="20"/>
        </w:rPr>
        <w:t> </w:t>
      </w:r>
      <w:r>
        <w:rPr>
          <w:sz w:val="20"/>
        </w:rPr>
        <w:t>assumption</w:t>
      </w:r>
      <w:r>
        <w:rPr>
          <w:spacing w:val="-10"/>
          <w:sz w:val="20"/>
        </w:rPr>
        <w:t> </w:t>
      </w:r>
      <w:r>
        <w:rPr>
          <w:sz w:val="20"/>
        </w:rPr>
        <w:t>of</w:t>
      </w:r>
      <w:r>
        <w:rPr>
          <w:spacing w:val="-8"/>
          <w:sz w:val="20"/>
        </w:rPr>
        <w:t> </w:t>
      </w:r>
      <w:r>
        <w:rPr>
          <w:sz w:val="20"/>
        </w:rPr>
        <w:t>an</w:t>
      </w:r>
      <w:r>
        <w:rPr>
          <w:spacing w:val="-8"/>
          <w:sz w:val="20"/>
        </w:rPr>
        <w:t> </w:t>
      </w:r>
      <w:r>
        <w:rPr>
          <w:sz w:val="20"/>
        </w:rPr>
        <w:t>economically</w:t>
      </w:r>
      <w:r>
        <w:rPr>
          <w:spacing w:val="-13"/>
          <w:sz w:val="20"/>
        </w:rPr>
        <w:t> </w:t>
      </w:r>
      <w:r>
        <w:rPr>
          <w:sz w:val="20"/>
        </w:rPr>
        <w:t>significant risk,</w:t>
      </w:r>
      <w:r>
        <w:rPr>
          <w:spacing w:val="-18"/>
          <w:sz w:val="20"/>
        </w:rPr>
        <w:t> </w:t>
      </w:r>
      <w:r>
        <w:rPr>
          <w:sz w:val="20"/>
        </w:rPr>
        <w:t>relates</w:t>
      </w:r>
      <w:r>
        <w:rPr>
          <w:spacing w:val="-17"/>
          <w:sz w:val="20"/>
        </w:rPr>
        <w:t> </w:t>
      </w:r>
      <w:r>
        <w:rPr>
          <w:sz w:val="20"/>
        </w:rPr>
        <w:t>solely</w:t>
      </w:r>
      <w:r>
        <w:rPr>
          <w:spacing w:val="-19"/>
          <w:sz w:val="20"/>
        </w:rPr>
        <w:t> </w:t>
      </w:r>
      <w:r>
        <w:rPr>
          <w:sz w:val="20"/>
        </w:rPr>
        <w:t>to</w:t>
      </w:r>
      <w:r>
        <w:rPr>
          <w:spacing w:val="-16"/>
          <w:sz w:val="20"/>
        </w:rPr>
        <w:t> </w:t>
      </w:r>
      <w:r>
        <w:rPr>
          <w:sz w:val="20"/>
        </w:rPr>
        <w:t>the</w:t>
      </w:r>
      <w:r>
        <w:rPr>
          <w:spacing w:val="-17"/>
          <w:sz w:val="20"/>
        </w:rPr>
        <w:t> </w:t>
      </w:r>
      <w:r>
        <w:rPr>
          <w:sz w:val="20"/>
        </w:rPr>
        <w:t>assumption</w:t>
      </w:r>
      <w:r>
        <w:rPr>
          <w:spacing w:val="-19"/>
          <w:sz w:val="20"/>
        </w:rPr>
        <w:t> </w:t>
      </w:r>
      <w:r>
        <w:rPr>
          <w:sz w:val="20"/>
        </w:rPr>
        <w:t>of</w:t>
      </w:r>
      <w:r>
        <w:rPr>
          <w:spacing w:val="-17"/>
          <w:sz w:val="20"/>
        </w:rPr>
        <w:t> </w:t>
      </w:r>
      <w:r>
        <w:rPr>
          <w:sz w:val="20"/>
        </w:rPr>
        <w:t>financial</w:t>
      </w:r>
      <w:r>
        <w:rPr>
          <w:spacing w:val="-19"/>
          <w:sz w:val="20"/>
        </w:rPr>
        <w:t> </w:t>
      </w:r>
      <w:r>
        <w:rPr>
          <w:sz w:val="20"/>
        </w:rPr>
        <w:t>risks</w:t>
      </w:r>
      <w:r>
        <w:rPr>
          <w:spacing w:val="-17"/>
          <w:sz w:val="20"/>
        </w:rPr>
        <w:t> </w:t>
      </w:r>
      <w:r>
        <w:rPr>
          <w:sz w:val="20"/>
        </w:rPr>
        <w:t>and</w:t>
      </w:r>
      <w:r>
        <w:rPr>
          <w:spacing w:val="-19"/>
          <w:sz w:val="20"/>
        </w:rPr>
        <w:t> </w:t>
      </w:r>
      <w:r>
        <w:rPr>
          <w:sz w:val="20"/>
        </w:rPr>
        <w:t>results</w:t>
      </w:r>
      <w:r>
        <w:rPr>
          <w:spacing w:val="-17"/>
          <w:sz w:val="20"/>
        </w:rPr>
        <w:t> </w:t>
      </w:r>
      <w:r>
        <w:rPr>
          <w:sz w:val="20"/>
        </w:rPr>
        <w:t>in</w:t>
      </w:r>
      <w:r>
        <w:rPr>
          <w:spacing w:val="-19"/>
          <w:sz w:val="20"/>
        </w:rPr>
        <w:t> </w:t>
      </w:r>
      <w:r>
        <w:rPr>
          <w:sz w:val="20"/>
        </w:rPr>
        <w:t>residual</w:t>
      </w:r>
      <w:r>
        <w:rPr>
          <w:spacing w:val="-17"/>
          <w:sz w:val="20"/>
        </w:rPr>
        <w:t> </w:t>
      </w:r>
      <w:r>
        <w:rPr>
          <w:sz w:val="20"/>
        </w:rPr>
        <w:t>profits</w:t>
      </w:r>
      <w:r>
        <w:rPr>
          <w:spacing w:val="-17"/>
          <w:sz w:val="20"/>
        </w:rPr>
        <w:t> </w:t>
      </w:r>
      <w:r>
        <w:rPr>
          <w:sz w:val="20"/>
        </w:rPr>
        <w:t>associated</w:t>
      </w:r>
      <w:r>
        <w:rPr>
          <w:spacing w:val="-14"/>
          <w:sz w:val="20"/>
        </w:rPr>
        <w:t> </w:t>
      </w:r>
      <w:r>
        <w:rPr>
          <w:sz w:val="20"/>
        </w:rPr>
        <w:t>with</w:t>
      </w:r>
      <w:r>
        <w:rPr>
          <w:spacing w:val="-19"/>
          <w:sz w:val="20"/>
        </w:rPr>
        <w:t> </w:t>
      </w:r>
      <w:r>
        <w:rPr>
          <w:sz w:val="20"/>
        </w:rPr>
        <w:t>financial risks being generated. This return is typically fixed and does not vary after the instrument/guarantee is entered</w:t>
      </w:r>
      <w:r>
        <w:rPr>
          <w:spacing w:val="36"/>
          <w:sz w:val="20"/>
        </w:rPr>
        <w:t> </w:t>
      </w:r>
      <w:r>
        <w:rPr>
          <w:sz w:val="20"/>
        </w:rPr>
        <w:t>into.</w:t>
      </w:r>
      <w:r>
        <w:rPr>
          <w:spacing w:val="38"/>
          <w:sz w:val="20"/>
        </w:rPr>
        <w:t> </w:t>
      </w:r>
      <w:r>
        <w:rPr>
          <w:sz w:val="20"/>
        </w:rPr>
        <w:t>Further,</w:t>
      </w:r>
      <w:r>
        <w:rPr>
          <w:spacing w:val="38"/>
          <w:sz w:val="20"/>
        </w:rPr>
        <w:t> </w:t>
      </w:r>
      <w:r>
        <w:rPr>
          <w:sz w:val="20"/>
        </w:rPr>
        <w:t>the</w:t>
      </w:r>
      <w:r>
        <w:rPr>
          <w:spacing w:val="38"/>
          <w:sz w:val="20"/>
        </w:rPr>
        <w:t> </w:t>
      </w:r>
      <w:r>
        <w:rPr>
          <w:sz w:val="20"/>
        </w:rPr>
        <w:t>return</w:t>
      </w:r>
      <w:r>
        <w:rPr>
          <w:spacing w:val="37"/>
          <w:sz w:val="20"/>
        </w:rPr>
        <w:t> </w:t>
      </w:r>
      <w:r>
        <w:rPr>
          <w:sz w:val="20"/>
        </w:rPr>
        <w:t>does</w:t>
      </w:r>
      <w:r>
        <w:rPr>
          <w:spacing w:val="37"/>
          <w:sz w:val="20"/>
        </w:rPr>
        <w:t> </w:t>
      </w:r>
      <w:r>
        <w:rPr>
          <w:sz w:val="20"/>
        </w:rPr>
        <w:t>not</w:t>
      </w:r>
      <w:r>
        <w:rPr>
          <w:spacing w:val="36"/>
          <w:sz w:val="20"/>
        </w:rPr>
        <w:t> </w:t>
      </w:r>
      <w:r>
        <w:rPr>
          <w:sz w:val="20"/>
        </w:rPr>
        <w:t>sufficiently</w:t>
      </w:r>
      <w:r>
        <w:rPr>
          <w:spacing w:val="36"/>
          <w:sz w:val="20"/>
        </w:rPr>
        <w:t> </w:t>
      </w:r>
      <w:r>
        <w:rPr>
          <w:sz w:val="20"/>
        </w:rPr>
        <w:t>relate</w:t>
      </w:r>
      <w:r>
        <w:rPr>
          <w:spacing w:val="38"/>
          <w:sz w:val="20"/>
        </w:rPr>
        <w:t> </w:t>
      </w:r>
      <w:r>
        <w:rPr>
          <w:sz w:val="20"/>
        </w:rPr>
        <w:t>to</w:t>
      </w:r>
      <w:r>
        <w:rPr>
          <w:spacing w:val="39"/>
          <w:sz w:val="20"/>
        </w:rPr>
        <w:t> </w:t>
      </w:r>
      <w:r>
        <w:rPr>
          <w:sz w:val="20"/>
        </w:rPr>
        <w:t>the</w:t>
      </w:r>
      <w:r>
        <w:rPr>
          <w:spacing w:val="38"/>
          <w:sz w:val="20"/>
        </w:rPr>
        <w:t> </w:t>
      </w:r>
      <w:r>
        <w:rPr>
          <w:sz w:val="20"/>
        </w:rPr>
        <w:t>performance</w:t>
      </w:r>
      <w:r>
        <w:rPr>
          <w:spacing w:val="36"/>
          <w:sz w:val="20"/>
        </w:rPr>
        <w:t> </w:t>
      </w:r>
      <w:r>
        <w:rPr>
          <w:sz w:val="20"/>
        </w:rPr>
        <w:t>of</w:t>
      </w:r>
      <w:r>
        <w:rPr>
          <w:spacing w:val="39"/>
          <w:sz w:val="20"/>
        </w:rPr>
        <w:t> </w:t>
      </w:r>
      <w:r>
        <w:rPr>
          <w:sz w:val="20"/>
        </w:rPr>
        <w:t>functions</w:t>
      </w:r>
      <w:r>
        <w:rPr>
          <w:spacing w:val="37"/>
          <w:sz w:val="20"/>
        </w:rPr>
        <w:t> </w:t>
      </w:r>
      <w:r>
        <w:rPr>
          <w:sz w:val="20"/>
        </w:rPr>
        <w:t>and</w:t>
      </w:r>
      <w:r>
        <w:rPr>
          <w:spacing w:val="39"/>
          <w:sz w:val="20"/>
        </w:rPr>
        <w:t> </w:t>
      </w:r>
      <w:r>
        <w:rPr>
          <w:sz w:val="20"/>
        </w:rPr>
        <w:t>the</w:t>
      </w:r>
    </w:p>
    <w:p>
      <w:pPr>
        <w:pStyle w:val="BodyText"/>
        <w:spacing w:before="10"/>
        <w:rPr>
          <w:sz w:val="22"/>
        </w:rPr>
      </w:pPr>
      <w:r>
        <w:rPr/>
        <w:pict>
          <v:rect style="position:absolute;margin-left:65.183998pt;margin-top:15.103877pt;width:144.020004pt;height:.599980pt;mso-position-horizontal-relative:page;mso-position-vertical-relative:paragraph;z-index:-1565440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14"/>
        </w:numPr>
        <w:tabs>
          <w:tab w:pos="1024" w:val="left" w:leader="none"/>
        </w:tabs>
        <w:spacing w:line="278" w:lineRule="auto" w:before="94" w:after="0"/>
        <w:ind w:left="723" w:right="483" w:firstLine="0"/>
        <w:jc w:val="both"/>
        <w:rPr>
          <w:sz w:val="18"/>
        </w:rPr>
      </w:pPr>
      <w:r>
        <w:rPr>
          <w:sz w:val="18"/>
        </w:rPr>
        <w:t>OECD (2017), </w:t>
      </w:r>
      <w:r>
        <w:rPr>
          <w:i/>
          <w:sz w:val="18"/>
        </w:rPr>
        <w:t>Transfer Pricing Guidelines for Multinational Enterprises and Tax Administrations</w:t>
      </w:r>
      <w:r>
        <w:rPr>
          <w:sz w:val="18"/>
        </w:rPr>
        <w:t>, OECD Paris, paragraphs 1.60, 1.61, 6.51 and 6.56 constitute primary sources of reference, together with further examples derived from the concepts</w:t>
      </w:r>
      <w:r>
        <w:rPr>
          <w:spacing w:val="-1"/>
          <w:sz w:val="18"/>
        </w:rPr>
        <w:t> </w:t>
      </w:r>
      <w:r>
        <w:rPr>
          <w:sz w:val="18"/>
        </w:rPr>
        <w:t>outlined.</w:t>
      </w:r>
    </w:p>
    <w:p>
      <w:pPr>
        <w:pStyle w:val="ListParagraph"/>
        <w:numPr>
          <w:ilvl w:val="0"/>
          <w:numId w:val="14"/>
        </w:numPr>
        <w:tabs>
          <w:tab w:pos="1022" w:val="left" w:leader="none"/>
        </w:tabs>
        <w:spacing w:line="278" w:lineRule="auto" w:before="78" w:after="0"/>
        <w:ind w:left="723" w:right="483" w:firstLine="0"/>
        <w:jc w:val="both"/>
        <w:rPr>
          <w:sz w:val="18"/>
        </w:rPr>
      </w:pPr>
      <w:r>
        <w:rPr>
          <w:sz w:val="18"/>
        </w:rPr>
        <w:t>The ownership of assets and/or provision of funding alone is not sufficient in this sense, but the entitlement to residual profits from exploiting intangible assets that have been acquired </w:t>
      </w:r>
      <w:r>
        <w:rPr>
          <w:spacing w:val="2"/>
          <w:sz w:val="18"/>
        </w:rPr>
        <w:t>is </w:t>
      </w:r>
      <w:r>
        <w:rPr>
          <w:sz w:val="18"/>
        </w:rPr>
        <w:t>an indicator of the performance of the value-adding activities, including the DEMPE</w:t>
      </w:r>
      <w:r>
        <w:rPr>
          <w:spacing w:val="-7"/>
          <w:sz w:val="18"/>
        </w:rPr>
        <w:t> </w:t>
      </w:r>
      <w:r>
        <w:rPr>
          <w:sz w:val="18"/>
        </w:rPr>
        <w:t>functions.</w:t>
      </w:r>
    </w:p>
    <w:p>
      <w:pPr>
        <w:pStyle w:val="ListParagraph"/>
        <w:numPr>
          <w:ilvl w:val="0"/>
          <w:numId w:val="14"/>
        </w:numPr>
        <w:tabs>
          <w:tab w:pos="1022" w:val="left" w:leader="none"/>
        </w:tabs>
        <w:spacing w:line="278" w:lineRule="auto" w:before="77" w:after="0"/>
        <w:ind w:left="723" w:right="486" w:firstLine="0"/>
        <w:jc w:val="both"/>
        <w:rPr>
          <w:sz w:val="18"/>
        </w:rPr>
      </w:pPr>
      <w:r>
        <w:rPr>
          <w:sz w:val="18"/>
        </w:rPr>
        <w:t>Risk is not considered in isolation, but is directly associated with decision-making authority over the potentially residual profit-generating activities of the</w:t>
      </w:r>
      <w:r>
        <w:rPr>
          <w:spacing w:val="-3"/>
          <w:sz w:val="18"/>
        </w:rPr>
        <w:t> </w:t>
      </w:r>
      <w:r>
        <w:rPr>
          <w:sz w:val="18"/>
        </w:rPr>
        <w:t>group.</w:t>
      </w:r>
    </w:p>
    <w:p>
      <w:pPr>
        <w:pStyle w:val="ListParagraph"/>
        <w:numPr>
          <w:ilvl w:val="0"/>
          <w:numId w:val="14"/>
        </w:numPr>
        <w:tabs>
          <w:tab w:pos="1005" w:val="left" w:leader="none"/>
        </w:tabs>
        <w:spacing w:line="240" w:lineRule="auto" w:before="78" w:after="0"/>
        <w:ind w:left="1004" w:right="0" w:hanging="282"/>
        <w:jc w:val="both"/>
        <w:rPr>
          <w:sz w:val="18"/>
        </w:rPr>
      </w:pPr>
      <w:r>
        <w:rPr>
          <w:sz w:val="18"/>
        </w:rPr>
        <w:t>Inclusive of the deployment of capital in relation to the</w:t>
      </w:r>
      <w:r>
        <w:rPr>
          <w:spacing w:val="-11"/>
          <w:sz w:val="18"/>
        </w:rPr>
        <w:t> </w:t>
      </w:r>
      <w:r>
        <w:rPr>
          <w:sz w:val="18"/>
        </w:rPr>
        <w:t>same.</w:t>
      </w:r>
    </w:p>
    <w:p>
      <w:pPr>
        <w:spacing w:after="0" w:line="240"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materialisation of risks related to non-routine activities in the market itself.</w:t>
      </w:r>
      <w:r>
        <w:rPr>
          <w:position w:val="6"/>
          <w:sz w:val="13"/>
        </w:rPr>
        <w:t>116 </w:t>
      </w:r>
      <w:r>
        <w:rPr/>
        <w:t>Alternatively, it could be argued</w:t>
      </w:r>
      <w:r>
        <w:rPr>
          <w:spacing w:val="-7"/>
        </w:rPr>
        <w:t> </w:t>
      </w:r>
      <w:r>
        <w:rPr/>
        <w:t>that</w:t>
      </w:r>
      <w:r>
        <w:rPr>
          <w:spacing w:val="-6"/>
        </w:rPr>
        <w:t> </w:t>
      </w:r>
      <w:r>
        <w:rPr/>
        <w:t>the</w:t>
      </w:r>
      <w:r>
        <w:rPr>
          <w:spacing w:val="-8"/>
        </w:rPr>
        <w:t> </w:t>
      </w:r>
      <w:r>
        <w:rPr/>
        <w:t>provision</w:t>
      </w:r>
      <w:r>
        <w:rPr>
          <w:spacing w:val="-5"/>
        </w:rPr>
        <w:t> </w:t>
      </w:r>
      <w:r>
        <w:rPr/>
        <w:t>of</w:t>
      </w:r>
      <w:r>
        <w:rPr>
          <w:spacing w:val="-6"/>
        </w:rPr>
        <w:t> </w:t>
      </w:r>
      <w:r>
        <w:rPr/>
        <w:t>intragroup</w:t>
      </w:r>
      <w:r>
        <w:rPr>
          <w:spacing w:val="-7"/>
        </w:rPr>
        <w:t> </w:t>
      </w:r>
      <w:r>
        <w:rPr/>
        <w:t>financing</w:t>
      </w:r>
      <w:r>
        <w:rPr>
          <w:spacing w:val="-8"/>
        </w:rPr>
        <w:t> </w:t>
      </w:r>
      <w:r>
        <w:rPr/>
        <w:t>alone</w:t>
      </w:r>
      <w:r>
        <w:rPr>
          <w:spacing w:val="-4"/>
        </w:rPr>
        <w:t> </w:t>
      </w:r>
      <w:r>
        <w:rPr/>
        <w:t>should</w:t>
      </w:r>
      <w:r>
        <w:rPr>
          <w:spacing w:val="-8"/>
        </w:rPr>
        <w:t> </w:t>
      </w:r>
      <w:r>
        <w:rPr/>
        <w:t>be</w:t>
      </w:r>
      <w:r>
        <w:rPr>
          <w:spacing w:val="-7"/>
        </w:rPr>
        <w:t> </w:t>
      </w:r>
      <w:r>
        <w:rPr/>
        <w:t>sufficient</w:t>
      </w:r>
      <w:r>
        <w:rPr>
          <w:spacing w:val="-7"/>
        </w:rPr>
        <w:t> </w:t>
      </w:r>
      <w:r>
        <w:rPr/>
        <w:t>to</w:t>
      </w:r>
      <w:r>
        <w:rPr>
          <w:spacing w:val="-4"/>
        </w:rPr>
        <w:t> </w:t>
      </w:r>
      <w:r>
        <w:rPr/>
        <w:t>identify</w:t>
      </w:r>
      <w:r>
        <w:rPr>
          <w:spacing w:val="-12"/>
        </w:rPr>
        <w:t> </w:t>
      </w:r>
      <w:r>
        <w:rPr/>
        <w:t>an</w:t>
      </w:r>
      <w:r>
        <w:rPr>
          <w:spacing w:val="-6"/>
        </w:rPr>
        <w:t> </w:t>
      </w:r>
      <w:r>
        <w:rPr/>
        <w:t>entity</w:t>
      </w:r>
      <w:r>
        <w:rPr>
          <w:spacing w:val="-7"/>
        </w:rPr>
        <w:t> </w:t>
      </w:r>
      <w:r>
        <w:rPr/>
        <w:t>as</w:t>
      </w:r>
      <w:r>
        <w:rPr>
          <w:spacing w:val="-7"/>
        </w:rPr>
        <w:t> </w:t>
      </w:r>
      <w:r>
        <w:rPr/>
        <w:t>a</w:t>
      </w:r>
      <w:r>
        <w:rPr>
          <w:spacing w:val="-7"/>
        </w:rPr>
        <w:t> </w:t>
      </w:r>
      <w:r>
        <w:rPr/>
        <w:t>paying entity and that adopting this approach would require the design of the activities test to be</w:t>
      </w:r>
      <w:r>
        <w:rPr>
          <w:spacing w:val="-31"/>
        </w:rPr>
        <w:t> </w:t>
      </w:r>
      <w:r>
        <w:rPr/>
        <w:t>revisited.</w:t>
      </w:r>
    </w:p>
    <w:p>
      <w:pPr>
        <w:pStyle w:val="BodyText"/>
        <w:spacing w:before="1"/>
      </w:pPr>
    </w:p>
    <w:p>
      <w:pPr>
        <w:pStyle w:val="Heading7"/>
        <w:rPr>
          <w:i/>
        </w:rPr>
      </w:pPr>
      <w:bookmarkStart w:name="Practical application of the activities " w:id="337"/>
      <w:bookmarkEnd w:id="337"/>
      <w:r>
        <w:rPr>
          <w:i w:val="0"/>
        </w:rPr>
      </w:r>
      <w:r>
        <w:rPr>
          <w:i/>
          <w:color w:val="616161"/>
        </w:rPr>
        <w:t>Practical application of the activities test</w:t>
      </w:r>
    </w:p>
    <w:p>
      <w:pPr>
        <w:pStyle w:val="ListParagraph"/>
        <w:numPr>
          <w:ilvl w:val="0"/>
          <w:numId w:val="13"/>
        </w:numPr>
        <w:tabs>
          <w:tab w:pos="1444" w:val="left" w:leader="none"/>
        </w:tabs>
        <w:spacing w:line="271" w:lineRule="auto" w:before="215" w:after="0"/>
        <w:ind w:left="723" w:right="481" w:firstLine="0"/>
        <w:jc w:val="both"/>
        <w:rPr>
          <w:sz w:val="20"/>
        </w:rPr>
      </w:pPr>
      <w:r>
        <w:rPr>
          <w:sz w:val="20"/>
        </w:rPr>
        <w:t>To facilitate ease of compliance and reduce complexity, the activities test is structured as follows. A</w:t>
      </w:r>
      <w:r>
        <w:rPr>
          <w:spacing w:val="-19"/>
          <w:sz w:val="20"/>
        </w:rPr>
        <w:t> </w:t>
      </w:r>
      <w:r>
        <w:rPr>
          <w:sz w:val="20"/>
        </w:rPr>
        <w:t>general</w:t>
      </w:r>
      <w:r>
        <w:rPr>
          <w:spacing w:val="-18"/>
          <w:sz w:val="20"/>
        </w:rPr>
        <w:t> </w:t>
      </w:r>
      <w:r>
        <w:rPr>
          <w:sz w:val="20"/>
        </w:rPr>
        <w:t>principle</w:t>
      </w:r>
      <w:r>
        <w:rPr>
          <w:spacing w:val="-17"/>
          <w:sz w:val="20"/>
        </w:rPr>
        <w:t> </w:t>
      </w:r>
      <w:r>
        <w:rPr>
          <w:sz w:val="20"/>
        </w:rPr>
        <w:t>derived</w:t>
      </w:r>
      <w:r>
        <w:rPr>
          <w:spacing w:val="-18"/>
          <w:sz w:val="20"/>
        </w:rPr>
        <w:t> </w:t>
      </w:r>
      <w:r>
        <w:rPr>
          <w:sz w:val="20"/>
        </w:rPr>
        <w:t>from</w:t>
      </w:r>
      <w:r>
        <w:rPr>
          <w:spacing w:val="-15"/>
          <w:sz w:val="20"/>
        </w:rPr>
        <w:t> </w:t>
      </w:r>
      <w:r>
        <w:rPr>
          <w:sz w:val="20"/>
        </w:rPr>
        <w:t>the</w:t>
      </w:r>
      <w:r>
        <w:rPr>
          <w:spacing w:val="-18"/>
          <w:sz w:val="20"/>
        </w:rPr>
        <w:t> </w:t>
      </w:r>
      <w:r>
        <w:rPr>
          <w:sz w:val="20"/>
        </w:rPr>
        <w:t>activities</w:t>
      </w:r>
      <w:r>
        <w:rPr>
          <w:spacing w:val="-17"/>
          <w:sz w:val="20"/>
        </w:rPr>
        <w:t> </w:t>
      </w:r>
      <w:r>
        <w:rPr>
          <w:sz w:val="20"/>
        </w:rPr>
        <w:t>identified</w:t>
      </w:r>
      <w:r>
        <w:rPr>
          <w:spacing w:val="-17"/>
          <w:sz w:val="20"/>
        </w:rPr>
        <w:t> </w:t>
      </w:r>
      <w:r>
        <w:rPr>
          <w:sz w:val="20"/>
        </w:rPr>
        <w:t>above</w:t>
      </w:r>
      <w:r>
        <w:rPr>
          <w:spacing w:val="-15"/>
          <w:sz w:val="20"/>
        </w:rPr>
        <w:t> </w:t>
      </w:r>
      <w:r>
        <w:rPr>
          <w:sz w:val="20"/>
        </w:rPr>
        <w:t>will</w:t>
      </w:r>
      <w:r>
        <w:rPr>
          <w:spacing w:val="-18"/>
          <w:sz w:val="20"/>
        </w:rPr>
        <w:t> </w:t>
      </w:r>
      <w:r>
        <w:rPr>
          <w:sz w:val="20"/>
        </w:rPr>
        <w:t>govern</w:t>
      </w:r>
      <w:r>
        <w:rPr>
          <w:spacing w:val="-18"/>
          <w:sz w:val="20"/>
        </w:rPr>
        <w:t> </w:t>
      </w:r>
      <w:r>
        <w:rPr>
          <w:sz w:val="20"/>
        </w:rPr>
        <w:t>the</w:t>
      </w:r>
      <w:r>
        <w:rPr>
          <w:spacing w:val="-17"/>
          <w:sz w:val="20"/>
        </w:rPr>
        <w:t> </w:t>
      </w:r>
      <w:r>
        <w:rPr>
          <w:sz w:val="20"/>
        </w:rPr>
        <w:t>identification</w:t>
      </w:r>
      <w:r>
        <w:rPr>
          <w:spacing w:val="-18"/>
          <w:sz w:val="20"/>
        </w:rPr>
        <w:t> </w:t>
      </w:r>
      <w:r>
        <w:rPr>
          <w:sz w:val="20"/>
        </w:rPr>
        <w:t>of</w:t>
      </w:r>
      <w:r>
        <w:rPr>
          <w:spacing w:val="-15"/>
          <w:sz w:val="20"/>
        </w:rPr>
        <w:t> </w:t>
      </w:r>
      <w:r>
        <w:rPr>
          <w:sz w:val="20"/>
        </w:rPr>
        <w:t>paying</w:t>
      </w:r>
      <w:r>
        <w:rPr>
          <w:spacing w:val="-18"/>
          <w:sz w:val="20"/>
        </w:rPr>
        <w:t> </w:t>
      </w:r>
      <w:r>
        <w:rPr>
          <w:sz w:val="20"/>
        </w:rPr>
        <w:t>entities and will assist with clarifying the expected FAR profile of a paying entity. The application of this general principle,</w:t>
      </w:r>
      <w:r>
        <w:rPr>
          <w:spacing w:val="-14"/>
          <w:sz w:val="20"/>
        </w:rPr>
        <w:t> </w:t>
      </w:r>
      <w:r>
        <w:rPr>
          <w:sz w:val="20"/>
        </w:rPr>
        <w:t>which</w:t>
      </w:r>
      <w:r>
        <w:rPr>
          <w:spacing w:val="-14"/>
          <w:sz w:val="20"/>
        </w:rPr>
        <w:t> </w:t>
      </w:r>
      <w:r>
        <w:rPr>
          <w:sz w:val="20"/>
        </w:rPr>
        <w:t>will</w:t>
      </w:r>
      <w:r>
        <w:rPr>
          <w:spacing w:val="-16"/>
          <w:sz w:val="20"/>
        </w:rPr>
        <w:t> </w:t>
      </w:r>
      <w:r>
        <w:rPr>
          <w:sz w:val="20"/>
        </w:rPr>
        <w:t>be</w:t>
      </w:r>
      <w:r>
        <w:rPr>
          <w:spacing w:val="-14"/>
          <w:sz w:val="20"/>
        </w:rPr>
        <w:t> </w:t>
      </w:r>
      <w:r>
        <w:rPr>
          <w:sz w:val="20"/>
        </w:rPr>
        <w:t>based</w:t>
      </w:r>
      <w:r>
        <w:rPr>
          <w:spacing w:val="-15"/>
          <w:sz w:val="20"/>
        </w:rPr>
        <w:t> </w:t>
      </w:r>
      <w:r>
        <w:rPr>
          <w:sz w:val="20"/>
        </w:rPr>
        <w:t>on</w:t>
      </w:r>
      <w:r>
        <w:rPr>
          <w:spacing w:val="-17"/>
          <w:sz w:val="20"/>
        </w:rPr>
        <w:t> </w:t>
      </w:r>
      <w:r>
        <w:rPr>
          <w:sz w:val="20"/>
        </w:rPr>
        <w:t>concepts</w:t>
      </w:r>
      <w:r>
        <w:rPr>
          <w:spacing w:val="-15"/>
          <w:sz w:val="20"/>
        </w:rPr>
        <w:t> </w:t>
      </w:r>
      <w:r>
        <w:rPr>
          <w:sz w:val="20"/>
        </w:rPr>
        <w:t>already</w:t>
      </w:r>
      <w:r>
        <w:rPr>
          <w:spacing w:val="-16"/>
          <w:sz w:val="20"/>
        </w:rPr>
        <w:t> </w:t>
      </w:r>
      <w:r>
        <w:rPr>
          <w:sz w:val="20"/>
        </w:rPr>
        <w:t>included</w:t>
      </w:r>
      <w:r>
        <w:rPr>
          <w:spacing w:val="-14"/>
          <w:sz w:val="20"/>
        </w:rPr>
        <w:t> </w:t>
      </w:r>
      <w:r>
        <w:rPr>
          <w:sz w:val="20"/>
        </w:rPr>
        <w:t>in</w:t>
      </w:r>
      <w:r>
        <w:rPr>
          <w:spacing w:val="-15"/>
          <w:sz w:val="20"/>
        </w:rPr>
        <w:t> </w:t>
      </w:r>
      <w:r>
        <w:rPr>
          <w:sz w:val="20"/>
        </w:rPr>
        <w:t>the</w:t>
      </w:r>
      <w:r>
        <w:rPr>
          <w:spacing w:val="-17"/>
          <w:sz w:val="20"/>
        </w:rPr>
        <w:t> </w:t>
      </w:r>
      <w:r>
        <w:rPr>
          <w:sz w:val="20"/>
        </w:rPr>
        <w:t>TPG,</w:t>
      </w:r>
      <w:r>
        <w:rPr>
          <w:spacing w:val="-13"/>
          <w:sz w:val="20"/>
        </w:rPr>
        <w:t> </w:t>
      </w:r>
      <w:r>
        <w:rPr>
          <w:sz w:val="20"/>
        </w:rPr>
        <w:t>will</w:t>
      </w:r>
      <w:r>
        <w:rPr>
          <w:spacing w:val="-14"/>
          <w:sz w:val="20"/>
        </w:rPr>
        <w:t> </w:t>
      </w:r>
      <w:r>
        <w:rPr>
          <w:sz w:val="20"/>
        </w:rPr>
        <w:t>be</w:t>
      </w:r>
      <w:r>
        <w:rPr>
          <w:spacing w:val="-16"/>
          <w:sz w:val="20"/>
        </w:rPr>
        <w:t> </w:t>
      </w:r>
      <w:r>
        <w:rPr>
          <w:sz w:val="20"/>
        </w:rPr>
        <w:t>supported</w:t>
      </w:r>
      <w:r>
        <w:rPr>
          <w:spacing w:val="-16"/>
          <w:sz w:val="20"/>
        </w:rPr>
        <w:t> </w:t>
      </w:r>
      <w:r>
        <w:rPr>
          <w:sz w:val="20"/>
        </w:rPr>
        <w:t>by</w:t>
      </w:r>
      <w:r>
        <w:rPr>
          <w:spacing w:val="-16"/>
          <w:sz w:val="20"/>
        </w:rPr>
        <w:t> </w:t>
      </w:r>
      <w:r>
        <w:rPr>
          <w:sz w:val="20"/>
        </w:rPr>
        <w:t>a</w:t>
      </w:r>
      <w:r>
        <w:rPr>
          <w:spacing w:val="-16"/>
          <w:sz w:val="20"/>
        </w:rPr>
        <w:t> </w:t>
      </w:r>
      <w:r>
        <w:rPr>
          <w:sz w:val="20"/>
        </w:rPr>
        <w:t>more</w:t>
      </w:r>
      <w:r>
        <w:rPr>
          <w:spacing w:val="-7"/>
          <w:sz w:val="20"/>
        </w:rPr>
        <w:t> </w:t>
      </w:r>
      <w:r>
        <w:rPr>
          <w:sz w:val="20"/>
        </w:rPr>
        <w:t>specific list</w:t>
      </w:r>
      <w:r>
        <w:rPr>
          <w:spacing w:val="-11"/>
          <w:sz w:val="20"/>
        </w:rPr>
        <w:t> </w:t>
      </w:r>
      <w:r>
        <w:rPr>
          <w:sz w:val="20"/>
        </w:rPr>
        <w:t>of</w:t>
      </w:r>
      <w:r>
        <w:rPr>
          <w:spacing w:val="-9"/>
          <w:sz w:val="20"/>
        </w:rPr>
        <w:t> </w:t>
      </w:r>
      <w:r>
        <w:rPr>
          <w:sz w:val="20"/>
        </w:rPr>
        <w:t>indicia</w:t>
      </w:r>
      <w:r>
        <w:rPr>
          <w:spacing w:val="-12"/>
          <w:sz w:val="20"/>
        </w:rPr>
        <w:t> </w:t>
      </w:r>
      <w:r>
        <w:rPr>
          <w:sz w:val="20"/>
        </w:rPr>
        <w:t>that</w:t>
      </w:r>
      <w:r>
        <w:rPr>
          <w:spacing w:val="-9"/>
          <w:sz w:val="20"/>
        </w:rPr>
        <w:t> </w:t>
      </w:r>
      <w:r>
        <w:rPr>
          <w:sz w:val="20"/>
        </w:rPr>
        <w:t>will</w:t>
      </w:r>
      <w:r>
        <w:rPr>
          <w:spacing w:val="-12"/>
          <w:sz w:val="20"/>
        </w:rPr>
        <w:t> </w:t>
      </w:r>
      <w:r>
        <w:rPr>
          <w:sz w:val="20"/>
        </w:rPr>
        <w:t>either</w:t>
      </w:r>
      <w:r>
        <w:rPr>
          <w:spacing w:val="-11"/>
          <w:sz w:val="20"/>
        </w:rPr>
        <w:t> </w:t>
      </w:r>
      <w:r>
        <w:rPr>
          <w:sz w:val="20"/>
        </w:rPr>
        <w:t>positively</w:t>
      </w:r>
      <w:r>
        <w:rPr>
          <w:spacing w:val="-14"/>
          <w:sz w:val="20"/>
        </w:rPr>
        <w:t> </w:t>
      </w:r>
      <w:r>
        <w:rPr>
          <w:sz w:val="20"/>
        </w:rPr>
        <w:t>identify</w:t>
      </w:r>
      <w:r>
        <w:rPr>
          <w:spacing w:val="-15"/>
          <w:sz w:val="20"/>
        </w:rPr>
        <w:t> </w:t>
      </w:r>
      <w:r>
        <w:rPr>
          <w:sz w:val="20"/>
        </w:rPr>
        <w:t>features</w:t>
      </w:r>
      <w:r>
        <w:rPr>
          <w:spacing w:val="-8"/>
          <w:sz w:val="20"/>
        </w:rPr>
        <w:t> </w:t>
      </w:r>
      <w:r>
        <w:rPr>
          <w:sz w:val="20"/>
        </w:rPr>
        <w:t>associated</w:t>
      </w:r>
      <w:r>
        <w:rPr>
          <w:spacing w:val="-9"/>
          <w:sz w:val="20"/>
        </w:rPr>
        <w:t> </w:t>
      </w:r>
      <w:r>
        <w:rPr>
          <w:sz w:val="20"/>
        </w:rPr>
        <w:t>with</w:t>
      </w:r>
      <w:r>
        <w:rPr>
          <w:spacing w:val="-9"/>
          <w:sz w:val="20"/>
        </w:rPr>
        <w:t> </w:t>
      </w:r>
      <w:r>
        <w:rPr>
          <w:sz w:val="20"/>
        </w:rPr>
        <w:t>a</w:t>
      </w:r>
      <w:r>
        <w:rPr>
          <w:spacing w:val="-11"/>
          <w:sz w:val="20"/>
        </w:rPr>
        <w:t> </w:t>
      </w:r>
      <w:r>
        <w:rPr>
          <w:sz w:val="20"/>
        </w:rPr>
        <w:t>paying</w:t>
      </w:r>
      <w:r>
        <w:rPr>
          <w:spacing w:val="-10"/>
          <w:sz w:val="20"/>
        </w:rPr>
        <w:t> </w:t>
      </w:r>
      <w:r>
        <w:rPr>
          <w:sz w:val="20"/>
        </w:rPr>
        <w:t>entity,</w:t>
      </w:r>
      <w:r>
        <w:rPr>
          <w:spacing w:val="-11"/>
          <w:sz w:val="20"/>
        </w:rPr>
        <w:t> </w:t>
      </w:r>
      <w:r>
        <w:rPr>
          <w:sz w:val="20"/>
        </w:rPr>
        <w:t>or</w:t>
      </w:r>
      <w:r>
        <w:rPr>
          <w:spacing w:val="-8"/>
          <w:sz w:val="20"/>
        </w:rPr>
        <w:t> </w:t>
      </w:r>
      <w:r>
        <w:rPr>
          <w:sz w:val="20"/>
        </w:rPr>
        <w:t>negatively</w:t>
      </w:r>
      <w:r>
        <w:rPr>
          <w:spacing w:val="-15"/>
          <w:sz w:val="20"/>
        </w:rPr>
        <w:t> </w:t>
      </w:r>
      <w:r>
        <w:rPr>
          <w:sz w:val="20"/>
        </w:rPr>
        <w:t>identify features</w:t>
      </w:r>
      <w:r>
        <w:rPr>
          <w:spacing w:val="-11"/>
          <w:sz w:val="20"/>
        </w:rPr>
        <w:t> </w:t>
      </w:r>
      <w:r>
        <w:rPr>
          <w:sz w:val="20"/>
        </w:rPr>
        <w:t>not</w:t>
      </w:r>
      <w:r>
        <w:rPr>
          <w:spacing w:val="-10"/>
          <w:sz w:val="20"/>
        </w:rPr>
        <w:t> </w:t>
      </w:r>
      <w:r>
        <w:rPr>
          <w:sz w:val="20"/>
        </w:rPr>
        <w:t>associated</w:t>
      </w:r>
      <w:r>
        <w:rPr>
          <w:spacing w:val="-9"/>
          <w:sz w:val="20"/>
        </w:rPr>
        <w:t> </w:t>
      </w:r>
      <w:r>
        <w:rPr>
          <w:sz w:val="20"/>
        </w:rPr>
        <w:t>with</w:t>
      </w:r>
      <w:r>
        <w:rPr>
          <w:spacing w:val="-13"/>
          <w:sz w:val="20"/>
        </w:rPr>
        <w:t> </w:t>
      </w:r>
      <w:r>
        <w:rPr>
          <w:sz w:val="20"/>
        </w:rPr>
        <w:t>a</w:t>
      </w:r>
      <w:r>
        <w:rPr>
          <w:spacing w:val="-12"/>
          <w:sz w:val="20"/>
        </w:rPr>
        <w:t> </w:t>
      </w:r>
      <w:r>
        <w:rPr>
          <w:sz w:val="20"/>
        </w:rPr>
        <w:t>paying</w:t>
      </w:r>
      <w:r>
        <w:rPr>
          <w:spacing w:val="-13"/>
          <w:sz w:val="20"/>
        </w:rPr>
        <w:t> </w:t>
      </w:r>
      <w:r>
        <w:rPr>
          <w:sz w:val="20"/>
        </w:rPr>
        <w:t>entity.</w:t>
      </w:r>
      <w:r>
        <w:rPr>
          <w:spacing w:val="-11"/>
          <w:sz w:val="20"/>
        </w:rPr>
        <w:t> </w:t>
      </w:r>
      <w:r>
        <w:rPr>
          <w:sz w:val="20"/>
        </w:rPr>
        <w:t>The</w:t>
      </w:r>
      <w:r>
        <w:rPr>
          <w:spacing w:val="-10"/>
          <w:sz w:val="20"/>
        </w:rPr>
        <w:t> </w:t>
      </w:r>
      <w:r>
        <w:rPr>
          <w:sz w:val="20"/>
        </w:rPr>
        <w:t>identification</w:t>
      </w:r>
      <w:r>
        <w:rPr>
          <w:spacing w:val="-9"/>
          <w:sz w:val="20"/>
        </w:rPr>
        <w:t> </w:t>
      </w:r>
      <w:r>
        <w:rPr>
          <w:sz w:val="20"/>
        </w:rPr>
        <w:t>itself</w:t>
      </w:r>
      <w:r>
        <w:rPr>
          <w:spacing w:val="-8"/>
          <w:sz w:val="20"/>
        </w:rPr>
        <w:t> </w:t>
      </w:r>
      <w:r>
        <w:rPr>
          <w:sz w:val="20"/>
        </w:rPr>
        <w:t>will</w:t>
      </w:r>
      <w:r>
        <w:rPr>
          <w:spacing w:val="-13"/>
          <w:sz w:val="20"/>
        </w:rPr>
        <w:t> </w:t>
      </w:r>
      <w:r>
        <w:rPr>
          <w:sz w:val="20"/>
        </w:rPr>
        <w:t>primarily</w:t>
      </w:r>
      <w:r>
        <w:rPr>
          <w:spacing w:val="-15"/>
          <w:sz w:val="20"/>
        </w:rPr>
        <w:t> </w:t>
      </w:r>
      <w:r>
        <w:rPr>
          <w:sz w:val="20"/>
        </w:rPr>
        <w:t>leverage</w:t>
      </w:r>
      <w:r>
        <w:rPr>
          <w:spacing w:val="-12"/>
          <w:sz w:val="20"/>
        </w:rPr>
        <w:t> </w:t>
      </w:r>
      <w:r>
        <w:rPr>
          <w:sz w:val="20"/>
        </w:rPr>
        <w:t>from</w:t>
      </w:r>
      <w:r>
        <w:rPr>
          <w:spacing w:val="-8"/>
          <w:sz w:val="20"/>
        </w:rPr>
        <w:t> </w:t>
      </w:r>
      <w:r>
        <w:rPr>
          <w:sz w:val="20"/>
        </w:rPr>
        <w:t>the</w:t>
      </w:r>
      <w:r>
        <w:rPr>
          <w:spacing w:val="-12"/>
          <w:sz w:val="20"/>
        </w:rPr>
        <w:t> </w:t>
      </w:r>
      <w:r>
        <w:rPr>
          <w:sz w:val="20"/>
        </w:rPr>
        <w:t>transfer pricing master file and local files of an in-scope MNE</w:t>
      </w:r>
      <w:r>
        <w:rPr>
          <w:spacing w:val="-4"/>
          <w:sz w:val="20"/>
        </w:rPr>
        <w:t> </w:t>
      </w:r>
      <w:r>
        <w:rPr>
          <w:sz w:val="20"/>
        </w:rPr>
        <w:t>group.</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The proposed general principle is to identify paying entities as “</w:t>
      </w:r>
      <w:r>
        <w:rPr>
          <w:i/>
          <w:sz w:val="20"/>
        </w:rPr>
        <w:t>the member or members of an </w:t>
      </w:r>
      <w:r>
        <w:rPr>
          <w:i/>
          <w:sz w:val="20"/>
        </w:rPr>
        <w:t>MNE group (or segment) that perform functions, use or own assets and/or assume risks that are economically significant, for which they are allocated residual profits relevant to Amount </w:t>
      </w:r>
      <w:r>
        <w:rPr>
          <w:i/>
          <w:spacing w:val="3"/>
          <w:sz w:val="20"/>
        </w:rPr>
        <w:t>A</w:t>
      </w:r>
      <w:r>
        <w:rPr>
          <w:spacing w:val="3"/>
          <w:sz w:val="20"/>
        </w:rPr>
        <w:t>”. </w:t>
      </w:r>
      <w:r>
        <w:rPr>
          <w:sz w:val="20"/>
        </w:rPr>
        <w:t>This principle seeks to reflect the types of activities that would be regarded as giving an entity the right to participate in a</w:t>
      </w:r>
      <w:r>
        <w:rPr>
          <w:spacing w:val="-8"/>
          <w:sz w:val="20"/>
        </w:rPr>
        <w:t> </w:t>
      </w:r>
      <w:r>
        <w:rPr>
          <w:sz w:val="20"/>
        </w:rPr>
        <w:t>group’s</w:t>
      </w:r>
      <w:r>
        <w:rPr>
          <w:spacing w:val="-4"/>
          <w:sz w:val="20"/>
        </w:rPr>
        <w:t> </w:t>
      </w:r>
      <w:r>
        <w:rPr>
          <w:sz w:val="20"/>
        </w:rPr>
        <w:t>residual</w:t>
      </w:r>
      <w:r>
        <w:rPr>
          <w:spacing w:val="-5"/>
          <w:sz w:val="20"/>
        </w:rPr>
        <w:t> </w:t>
      </w:r>
      <w:r>
        <w:rPr>
          <w:sz w:val="20"/>
        </w:rPr>
        <w:t>profit.</w:t>
      </w:r>
      <w:r>
        <w:rPr>
          <w:spacing w:val="-5"/>
          <w:sz w:val="20"/>
        </w:rPr>
        <w:t> </w:t>
      </w:r>
      <w:r>
        <w:rPr>
          <w:sz w:val="20"/>
        </w:rPr>
        <w:t>As</w:t>
      </w:r>
      <w:r>
        <w:rPr>
          <w:spacing w:val="-4"/>
          <w:sz w:val="20"/>
        </w:rPr>
        <w:t> </w:t>
      </w:r>
      <w:r>
        <w:rPr>
          <w:sz w:val="20"/>
        </w:rPr>
        <w:t>noted</w:t>
      </w:r>
      <w:r>
        <w:rPr>
          <w:spacing w:val="-6"/>
          <w:sz w:val="20"/>
        </w:rPr>
        <w:t> </w:t>
      </w:r>
      <w:r>
        <w:rPr>
          <w:sz w:val="20"/>
        </w:rPr>
        <w:t>above,</w:t>
      </w:r>
      <w:r>
        <w:rPr>
          <w:spacing w:val="-6"/>
          <w:sz w:val="20"/>
        </w:rPr>
        <w:t> </w:t>
      </w:r>
      <w:r>
        <w:rPr>
          <w:sz w:val="20"/>
        </w:rPr>
        <w:t>this</w:t>
      </w:r>
      <w:r>
        <w:rPr>
          <w:spacing w:val="-4"/>
          <w:sz w:val="20"/>
        </w:rPr>
        <w:t> </w:t>
      </w:r>
      <w:r>
        <w:rPr>
          <w:sz w:val="20"/>
        </w:rPr>
        <w:t>general</w:t>
      </w:r>
      <w:r>
        <w:rPr>
          <w:spacing w:val="-3"/>
          <w:sz w:val="20"/>
        </w:rPr>
        <w:t> </w:t>
      </w:r>
      <w:r>
        <w:rPr>
          <w:sz w:val="20"/>
        </w:rPr>
        <w:t>principle</w:t>
      </w:r>
      <w:r>
        <w:rPr>
          <w:spacing w:val="-6"/>
          <w:sz w:val="20"/>
        </w:rPr>
        <w:t> </w:t>
      </w:r>
      <w:r>
        <w:rPr>
          <w:sz w:val="20"/>
        </w:rPr>
        <w:t>draws</w:t>
      </w:r>
      <w:r>
        <w:rPr>
          <w:spacing w:val="-3"/>
          <w:sz w:val="20"/>
        </w:rPr>
        <w:t> </w:t>
      </w:r>
      <w:r>
        <w:rPr>
          <w:sz w:val="20"/>
        </w:rPr>
        <w:t>on</w:t>
      </w:r>
      <w:r>
        <w:rPr>
          <w:spacing w:val="-6"/>
          <w:sz w:val="20"/>
        </w:rPr>
        <w:t> </w:t>
      </w:r>
      <w:r>
        <w:rPr>
          <w:sz w:val="20"/>
        </w:rPr>
        <w:t>a</w:t>
      </w:r>
      <w:r>
        <w:rPr>
          <w:spacing w:val="-7"/>
          <w:sz w:val="20"/>
        </w:rPr>
        <w:t> </w:t>
      </w:r>
      <w:r>
        <w:rPr>
          <w:sz w:val="20"/>
        </w:rPr>
        <w:t>series</w:t>
      </w:r>
      <w:r>
        <w:rPr>
          <w:spacing w:val="-4"/>
          <w:sz w:val="20"/>
        </w:rPr>
        <w:t> </w:t>
      </w:r>
      <w:r>
        <w:rPr>
          <w:sz w:val="20"/>
        </w:rPr>
        <w:t>of</w:t>
      </w:r>
      <w:r>
        <w:rPr>
          <w:spacing w:val="-6"/>
          <w:sz w:val="20"/>
        </w:rPr>
        <w:t> </w:t>
      </w:r>
      <w:r>
        <w:rPr>
          <w:sz w:val="20"/>
        </w:rPr>
        <w:t>concepts</w:t>
      </w:r>
      <w:r>
        <w:rPr>
          <w:spacing w:val="-6"/>
          <w:sz w:val="20"/>
        </w:rPr>
        <w:t> </w:t>
      </w:r>
      <w:r>
        <w:rPr>
          <w:sz w:val="20"/>
        </w:rPr>
        <w:t>that</w:t>
      </w:r>
      <w:r>
        <w:rPr>
          <w:spacing w:val="-5"/>
          <w:sz w:val="20"/>
        </w:rPr>
        <w:t> </w:t>
      </w:r>
      <w:r>
        <w:rPr>
          <w:sz w:val="20"/>
        </w:rPr>
        <w:t>already form part of transfer pricing today.</w:t>
      </w:r>
    </w:p>
    <w:p>
      <w:pPr>
        <w:pStyle w:val="ListParagraph"/>
        <w:numPr>
          <w:ilvl w:val="0"/>
          <w:numId w:val="13"/>
        </w:numPr>
        <w:tabs>
          <w:tab w:pos="1444" w:val="left" w:leader="none"/>
        </w:tabs>
        <w:spacing w:line="271" w:lineRule="auto" w:before="124" w:after="0"/>
        <w:ind w:left="723" w:right="485" w:firstLine="0"/>
        <w:jc w:val="both"/>
        <w:rPr>
          <w:sz w:val="20"/>
        </w:rPr>
      </w:pPr>
      <w:r>
        <w:rPr>
          <w:sz w:val="20"/>
        </w:rPr>
        <w:t>The application of this general principle will be supported by a list of indicia that would make it easier</w:t>
      </w:r>
      <w:r>
        <w:rPr>
          <w:spacing w:val="-4"/>
          <w:sz w:val="20"/>
        </w:rPr>
        <w:t> </w:t>
      </w:r>
      <w:r>
        <w:rPr>
          <w:sz w:val="20"/>
        </w:rPr>
        <w:t>for</w:t>
      </w:r>
      <w:r>
        <w:rPr>
          <w:spacing w:val="-5"/>
          <w:sz w:val="20"/>
        </w:rPr>
        <w:t> </w:t>
      </w:r>
      <w:r>
        <w:rPr>
          <w:sz w:val="20"/>
        </w:rPr>
        <w:t>taxpayers</w:t>
      </w:r>
      <w:r>
        <w:rPr>
          <w:spacing w:val="-3"/>
          <w:sz w:val="20"/>
        </w:rPr>
        <w:t> </w:t>
      </w:r>
      <w:r>
        <w:rPr>
          <w:sz w:val="20"/>
        </w:rPr>
        <w:t>and</w:t>
      </w:r>
      <w:r>
        <w:rPr>
          <w:spacing w:val="-4"/>
          <w:sz w:val="20"/>
        </w:rPr>
        <w:t> </w:t>
      </w:r>
      <w:r>
        <w:rPr>
          <w:sz w:val="20"/>
        </w:rPr>
        <w:t>tax</w:t>
      </w:r>
      <w:r>
        <w:rPr>
          <w:spacing w:val="-4"/>
          <w:sz w:val="20"/>
        </w:rPr>
        <w:t> </w:t>
      </w:r>
      <w:r>
        <w:rPr>
          <w:sz w:val="20"/>
        </w:rPr>
        <w:t>administrations</w:t>
      </w:r>
      <w:r>
        <w:rPr>
          <w:spacing w:val="-3"/>
          <w:sz w:val="20"/>
        </w:rPr>
        <w:t> </w:t>
      </w:r>
      <w:r>
        <w:rPr>
          <w:sz w:val="20"/>
        </w:rPr>
        <w:t>to</w:t>
      </w:r>
      <w:r>
        <w:rPr>
          <w:spacing w:val="-5"/>
          <w:sz w:val="20"/>
        </w:rPr>
        <w:t> </w:t>
      </w:r>
      <w:r>
        <w:rPr>
          <w:sz w:val="20"/>
        </w:rPr>
        <w:t>apply</w:t>
      </w:r>
      <w:r>
        <w:rPr>
          <w:spacing w:val="-8"/>
          <w:sz w:val="20"/>
        </w:rPr>
        <w:t> </w:t>
      </w:r>
      <w:r>
        <w:rPr>
          <w:sz w:val="20"/>
        </w:rPr>
        <w:t>this</w:t>
      </w:r>
      <w:r>
        <w:rPr>
          <w:spacing w:val="-3"/>
          <w:sz w:val="20"/>
        </w:rPr>
        <w:t> </w:t>
      </w:r>
      <w:r>
        <w:rPr>
          <w:sz w:val="20"/>
        </w:rPr>
        <w:t>general</w:t>
      </w:r>
      <w:r>
        <w:rPr>
          <w:spacing w:val="-6"/>
          <w:sz w:val="20"/>
        </w:rPr>
        <w:t> </w:t>
      </w:r>
      <w:r>
        <w:rPr>
          <w:sz w:val="20"/>
        </w:rPr>
        <w:t>principle</w:t>
      </w:r>
      <w:r>
        <w:rPr>
          <w:spacing w:val="-4"/>
          <w:sz w:val="20"/>
        </w:rPr>
        <w:t> </w:t>
      </w:r>
      <w:r>
        <w:rPr>
          <w:sz w:val="20"/>
        </w:rPr>
        <w:t>in</w:t>
      </w:r>
      <w:r>
        <w:rPr>
          <w:spacing w:val="-5"/>
          <w:sz w:val="20"/>
        </w:rPr>
        <w:t> </w:t>
      </w:r>
      <w:r>
        <w:rPr>
          <w:sz w:val="20"/>
        </w:rPr>
        <w:t>practice.</w:t>
      </w:r>
      <w:r>
        <w:rPr>
          <w:spacing w:val="-5"/>
          <w:sz w:val="20"/>
        </w:rPr>
        <w:t> </w:t>
      </w:r>
      <w:r>
        <w:rPr>
          <w:sz w:val="20"/>
        </w:rPr>
        <w:t>To</w:t>
      </w:r>
      <w:r>
        <w:rPr>
          <w:spacing w:val="-5"/>
          <w:sz w:val="20"/>
        </w:rPr>
        <w:t> </w:t>
      </w:r>
      <w:r>
        <w:rPr>
          <w:sz w:val="20"/>
        </w:rPr>
        <w:t>limit</w:t>
      </w:r>
      <w:r>
        <w:rPr>
          <w:spacing w:val="-5"/>
          <w:sz w:val="20"/>
        </w:rPr>
        <w:t> </w:t>
      </w:r>
      <w:r>
        <w:rPr>
          <w:sz w:val="20"/>
        </w:rPr>
        <w:t>compliance costs associated with applying these indicia, they will be based on information that taxpayers are already required to collect and report and that tax administrations already review. In particular, a group’s master file</w:t>
      </w:r>
      <w:r>
        <w:rPr>
          <w:spacing w:val="-9"/>
          <w:sz w:val="20"/>
        </w:rPr>
        <w:t> </w:t>
      </w:r>
      <w:r>
        <w:rPr>
          <w:sz w:val="20"/>
        </w:rPr>
        <w:t>and</w:t>
      </w:r>
      <w:r>
        <w:rPr>
          <w:spacing w:val="-8"/>
          <w:sz w:val="20"/>
        </w:rPr>
        <w:t> </w:t>
      </w:r>
      <w:r>
        <w:rPr>
          <w:sz w:val="20"/>
        </w:rPr>
        <w:t>local</w:t>
      </w:r>
      <w:r>
        <w:rPr>
          <w:spacing w:val="-8"/>
          <w:sz w:val="20"/>
        </w:rPr>
        <w:t> </w:t>
      </w:r>
      <w:r>
        <w:rPr>
          <w:sz w:val="20"/>
        </w:rPr>
        <w:t>file</w:t>
      </w:r>
      <w:r>
        <w:rPr>
          <w:spacing w:val="-7"/>
          <w:sz w:val="20"/>
        </w:rPr>
        <w:t> </w:t>
      </w:r>
      <w:r>
        <w:rPr>
          <w:sz w:val="20"/>
        </w:rPr>
        <w:t>already</w:t>
      </w:r>
      <w:r>
        <w:rPr>
          <w:spacing w:val="-10"/>
          <w:sz w:val="20"/>
        </w:rPr>
        <w:t> </w:t>
      </w:r>
      <w:r>
        <w:rPr>
          <w:sz w:val="20"/>
        </w:rPr>
        <w:t>include</w:t>
      </w:r>
      <w:r>
        <w:rPr>
          <w:spacing w:val="-8"/>
          <w:sz w:val="20"/>
        </w:rPr>
        <w:t> </w:t>
      </w:r>
      <w:r>
        <w:rPr>
          <w:sz w:val="20"/>
        </w:rPr>
        <w:t>information</w:t>
      </w:r>
      <w:r>
        <w:rPr>
          <w:spacing w:val="-8"/>
          <w:sz w:val="20"/>
        </w:rPr>
        <w:t> </w:t>
      </w:r>
      <w:r>
        <w:rPr>
          <w:sz w:val="20"/>
        </w:rPr>
        <w:t>on</w:t>
      </w:r>
      <w:r>
        <w:rPr>
          <w:spacing w:val="-8"/>
          <w:sz w:val="20"/>
        </w:rPr>
        <w:t> </w:t>
      </w:r>
      <w:r>
        <w:rPr>
          <w:sz w:val="20"/>
        </w:rPr>
        <w:t>the</w:t>
      </w:r>
      <w:r>
        <w:rPr>
          <w:spacing w:val="-9"/>
          <w:sz w:val="20"/>
        </w:rPr>
        <w:t> </w:t>
      </w:r>
      <w:r>
        <w:rPr>
          <w:sz w:val="20"/>
        </w:rPr>
        <w:t>functions</w:t>
      </w:r>
      <w:r>
        <w:rPr>
          <w:spacing w:val="-6"/>
          <w:sz w:val="20"/>
        </w:rPr>
        <w:t> </w:t>
      </w:r>
      <w:r>
        <w:rPr>
          <w:sz w:val="20"/>
        </w:rPr>
        <w:t>performed,</w:t>
      </w:r>
      <w:r>
        <w:rPr>
          <w:spacing w:val="-9"/>
          <w:sz w:val="20"/>
        </w:rPr>
        <w:t> </w:t>
      </w:r>
      <w:r>
        <w:rPr>
          <w:sz w:val="20"/>
        </w:rPr>
        <w:t>assets</w:t>
      </w:r>
      <w:r>
        <w:rPr>
          <w:spacing w:val="-8"/>
          <w:sz w:val="20"/>
        </w:rPr>
        <w:t> </w:t>
      </w:r>
      <w:r>
        <w:rPr>
          <w:sz w:val="20"/>
        </w:rPr>
        <w:t>used</w:t>
      </w:r>
      <w:r>
        <w:rPr>
          <w:spacing w:val="-9"/>
          <w:sz w:val="20"/>
        </w:rPr>
        <w:t> </w:t>
      </w:r>
      <w:r>
        <w:rPr>
          <w:sz w:val="20"/>
        </w:rPr>
        <w:t>and</w:t>
      </w:r>
      <w:r>
        <w:rPr>
          <w:spacing w:val="-9"/>
          <w:sz w:val="20"/>
        </w:rPr>
        <w:t> </w:t>
      </w:r>
      <w:r>
        <w:rPr>
          <w:sz w:val="20"/>
        </w:rPr>
        <w:t>risk</w:t>
      </w:r>
      <w:r>
        <w:rPr>
          <w:spacing w:val="-5"/>
          <w:sz w:val="20"/>
        </w:rPr>
        <w:t> </w:t>
      </w:r>
      <w:r>
        <w:rPr>
          <w:sz w:val="20"/>
        </w:rPr>
        <w:t>assumed</w:t>
      </w:r>
      <w:r>
        <w:rPr>
          <w:spacing w:val="-9"/>
          <w:sz w:val="20"/>
        </w:rPr>
        <w:t> </w:t>
      </w:r>
      <w:r>
        <w:rPr>
          <w:sz w:val="20"/>
        </w:rPr>
        <w:t>by most</w:t>
      </w:r>
      <w:r>
        <w:rPr>
          <w:spacing w:val="-16"/>
          <w:sz w:val="20"/>
        </w:rPr>
        <w:t> </w:t>
      </w:r>
      <w:r>
        <w:rPr>
          <w:sz w:val="20"/>
        </w:rPr>
        <w:t>entities</w:t>
      </w:r>
      <w:r>
        <w:rPr>
          <w:spacing w:val="-13"/>
          <w:sz w:val="20"/>
        </w:rPr>
        <w:t> </w:t>
      </w:r>
      <w:r>
        <w:rPr>
          <w:sz w:val="20"/>
        </w:rPr>
        <w:t>in</w:t>
      </w:r>
      <w:r>
        <w:rPr>
          <w:spacing w:val="-16"/>
          <w:sz w:val="20"/>
        </w:rPr>
        <w:t> </w:t>
      </w:r>
      <w:r>
        <w:rPr>
          <w:sz w:val="20"/>
        </w:rPr>
        <w:t>an</w:t>
      </w:r>
      <w:r>
        <w:rPr>
          <w:spacing w:val="-16"/>
          <w:sz w:val="20"/>
        </w:rPr>
        <w:t> </w:t>
      </w:r>
      <w:r>
        <w:rPr>
          <w:sz w:val="20"/>
        </w:rPr>
        <w:t>MNE</w:t>
      </w:r>
      <w:r>
        <w:rPr>
          <w:spacing w:val="-14"/>
          <w:sz w:val="20"/>
        </w:rPr>
        <w:t> </w:t>
      </w:r>
      <w:r>
        <w:rPr>
          <w:sz w:val="20"/>
        </w:rPr>
        <w:t>group.</w:t>
      </w:r>
      <w:r>
        <w:rPr>
          <w:position w:val="6"/>
          <w:sz w:val="13"/>
        </w:rPr>
        <w:t>117</w:t>
      </w:r>
      <w:r>
        <w:rPr>
          <w:spacing w:val="5"/>
          <w:position w:val="6"/>
          <w:sz w:val="13"/>
        </w:rPr>
        <w:t> </w:t>
      </w:r>
      <w:r>
        <w:rPr>
          <w:sz w:val="20"/>
        </w:rPr>
        <w:t>These</w:t>
      </w:r>
      <w:r>
        <w:rPr>
          <w:spacing w:val="-16"/>
          <w:sz w:val="20"/>
        </w:rPr>
        <w:t> </w:t>
      </w:r>
      <w:r>
        <w:rPr>
          <w:sz w:val="20"/>
        </w:rPr>
        <w:t>documents</w:t>
      </w:r>
      <w:r>
        <w:rPr>
          <w:spacing w:val="-15"/>
          <w:sz w:val="20"/>
        </w:rPr>
        <w:t> </w:t>
      </w:r>
      <w:r>
        <w:rPr>
          <w:sz w:val="20"/>
        </w:rPr>
        <w:t>typically</w:t>
      </w:r>
      <w:r>
        <w:rPr>
          <w:spacing w:val="-18"/>
          <w:sz w:val="20"/>
        </w:rPr>
        <w:t> </w:t>
      </w:r>
      <w:r>
        <w:rPr>
          <w:sz w:val="20"/>
        </w:rPr>
        <w:t>characterise</w:t>
      </w:r>
      <w:r>
        <w:rPr>
          <w:spacing w:val="-14"/>
          <w:sz w:val="20"/>
        </w:rPr>
        <w:t> </w:t>
      </w:r>
      <w:r>
        <w:rPr>
          <w:sz w:val="20"/>
        </w:rPr>
        <w:t>the</w:t>
      </w:r>
      <w:r>
        <w:rPr>
          <w:spacing w:val="-14"/>
          <w:sz w:val="20"/>
        </w:rPr>
        <w:t> </w:t>
      </w:r>
      <w:r>
        <w:rPr>
          <w:sz w:val="20"/>
        </w:rPr>
        <w:t>primary</w:t>
      </w:r>
      <w:r>
        <w:rPr>
          <w:spacing w:val="-17"/>
          <w:sz w:val="20"/>
        </w:rPr>
        <w:t> </w:t>
      </w:r>
      <w:r>
        <w:rPr>
          <w:sz w:val="20"/>
        </w:rPr>
        <w:t>activities</w:t>
      </w:r>
      <w:r>
        <w:rPr>
          <w:spacing w:val="-15"/>
          <w:sz w:val="20"/>
        </w:rPr>
        <w:t> </w:t>
      </w:r>
      <w:r>
        <w:rPr>
          <w:sz w:val="20"/>
        </w:rPr>
        <w:t>of</w:t>
      </w:r>
      <w:r>
        <w:rPr>
          <w:spacing w:val="-13"/>
          <w:sz w:val="20"/>
        </w:rPr>
        <w:t> </w:t>
      </w:r>
      <w:r>
        <w:rPr>
          <w:sz w:val="20"/>
        </w:rPr>
        <w:t>an</w:t>
      </w:r>
      <w:r>
        <w:rPr>
          <w:spacing w:val="-14"/>
          <w:sz w:val="20"/>
        </w:rPr>
        <w:t> </w:t>
      </w:r>
      <w:r>
        <w:rPr>
          <w:sz w:val="20"/>
        </w:rPr>
        <w:t>entity, information that is also collated for CbCR purposes. Finally, transfer pricing documentation identifies the transfer</w:t>
      </w:r>
      <w:r>
        <w:rPr>
          <w:spacing w:val="-5"/>
          <w:sz w:val="20"/>
        </w:rPr>
        <w:t> </w:t>
      </w:r>
      <w:r>
        <w:rPr>
          <w:sz w:val="20"/>
        </w:rPr>
        <w:t>pricing</w:t>
      </w:r>
      <w:r>
        <w:rPr>
          <w:spacing w:val="-5"/>
          <w:sz w:val="20"/>
        </w:rPr>
        <w:t> </w:t>
      </w:r>
      <w:r>
        <w:rPr>
          <w:sz w:val="20"/>
        </w:rPr>
        <w:t>method</w:t>
      </w:r>
      <w:r>
        <w:rPr>
          <w:spacing w:val="-6"/>
          <w:sz w:val="20"/>
        </w:rPr>
        <w:t> </w:t>
      </w:r>
      <w:r>
        <w:rPr>
          <w:sz w:val="20"/>
        </w:rPr>
        <w:t>(or</w:t>
      </w:r>
      <w:r>
        <w:rPr>
          <w:spacing w:val="-4"/>
          <w:sz w:val="20"/>
        </w:rPr>
        <w:t> </w:t>
      </w:r>
      <w:r>
        <w:rPr>
          <w:sz w:val="20"/>
        </w:rPr>
        <w:t>methods)</w:t>
      </w:r>
      <w:r>
        <w:rPr>
          <w:spacing w:val="-3"/>
          <w:sz w:val="20"/>
        </w:rPr>
        <w:t> </w:t>
      </w:r>
      <w:r>
        <w:rPr>
          <w:sz w:val="20"/>
        </w:rPr>
        <w:t>that</w:t>
      </w:r>
      <w:r>
        <w:rPr>
          <w:spacing w:val="-6"/>
          <w:sz w:val="20"/>
        </w:rPr>
        <w:t> </w:t>
      </w:r>
      <w:r>
        <w:rPr>
          <w:sz w:val="20"/>
        </w:rPr>
        <w:t>is</w:t>
      </w:r>
      <w:r>
        <w:rPr>
          <w:spacing w:val="-3"/>
          <w:sz w:val="20"/>
        </w:rPr>
        <w:t> </w:t>
      </w:r>
      <w:r>
        <w:rPr>
          <w:sz w:val="20"/>
        </w:rPr>
        <w:t>used</w:t>
      </w:r>
      <w:r>
        <w:rPr>
          <w:spacing w:val="-5"/>
          <w:sz w:val="20"/>
        </w:rPr>
        <w:t> </w:t>
      </w:r>
      <w:r>
        <w:rPr>
          <w:sz w:val="20"/>
        </w:rPr>
        <w:t>to</w:t>
      </w:r>
      <w:r>
        <w:rPr>
          <w:spacing w:val="-5"/>
          <w:sz w:val="20"/>
        </w:rPr>
        <w:t> </w:t>
      </w:r>
      <w:r>
        <w:rPr>
          <w:sz w:val="20"/>
        </w:rPr>
        <w:t>establish</w:t>
      </w:r>
      <w:r>
        <w:rPr>
          <w:spacing w:val="-2"/>
          <w:sz w:val="20"/>
        </w:rPr>
        <w:t> </w:t>
      </w:r>
      <w:r>
        <w:rPr>
          <w:sz w:val="20"/>
        </w:rPr>
        <w:t>whether</w:t>
      </w:r>
      <w:r>
        <w:rPr>
          <w:spacing w:val="-4"/>
          <w:sz w:val="20"/>
        </w:rPr>
        <w:t> </w:t>
      </w:r>
      <w:r>
        <w:rPr>
          <w:sz w:val="20"/>
        </w:rPr>
        <w:t>the</w:t>
      </w:r>
      <w:r>
        <w:rPr>
          <w:spacing w:val="-4"/>
          <w:sz w:val="20"/>
        </w:rPr>
        <w:t> </w:t>
      </w:r>
      <w:r>
        <w:rPr>
          <w:sz w:val="20"/>
        </w:rPr>
        <w:t>profits</w:t>
      </w:r>
      <w:r>
        <w:rPr>
          <w:spacing w:val="-4"/>
          <w:sz w:val="20"/>
        </w:rPr>
        <w:t> </w:t>
      </w:r>
      <w:r>
        <w:rPr>
          <w:sz w:val="20"/>
        </w:rPr>
        <w:t>allocated</w:t>
      </w:r>
      <w:r>
        <w:rPr>
          <w:spacing w:val="-4"/>
          <w:sz w:val="20"/>
        </w:rPr>
        <w:t> </w:t>
      </w:r>
      <w:r>
        <w:rPr>
          <w:sz w:val="20"/>
        </w:rPr>
        <w:t>to</w:t>
      </w:r>
      <w:r>
        <w:rPr>
          <w:spacing w:val="-4"/>
          <w:sz w:val="20"/>
        </w:rPr>
        <w:t> </w:t>
      </w:r>
      <w:r>
        <w:rPr>
          <w:sz w:val="20"/>
        </w:rPr>
        <w:t>an</w:t>
      </w:r>
      <w:r>
        <w:rPr>
          <w:spacing w:val="-5"/>
          <w:sz w:val="20"/>
        </w:rPr>
        <w:t> </w:t>
      </w:r>
      <w:r>
        <w:rPr>
          <w:sz w:val="20"/>
        </w:rPr>
        <w:t>entity</w:t>
      </w:r>
      <w:r>
        <w:rPr>
          <w:spacing w:val="-7"/>
          <w:sz w:val="20"/>
        </w:rPr>
        <w:t> </w:t>
      </w:r>
      <w:r>
        <w:rPr>
          <w:sz w:val="20"/>
        </w:rPr>
        <w:t>are arm’s</w:t>
      </w:r>
      <w:r>
        <w:rPr>
          <w:spacing w:val="-8"/>
          <w:sz w:val="20"/>
        </w:rPr>
        <w:t> </w:t>
      </w:r>
      <w:r>
        <w:rPr>
          <w:sz w:val="20"/>
        </w:rPr>
        <w:t>length</w:t>
      </w:r>
      <w:r>
        <w:rPr>
          <w:spacing w:val="-7"/>
          <w:sz w:val="20"/>
        </w:rPr>
        <w:t> </w:t>
      </w:r>
      <w:r>
        <w:rPr>
          <w:sz w:val="20"/>
        </w:rPr>
        <w:t>given</w:t>
      </w:r>
      <w:r>
        <w:rPr>
          <w:spacing w:val="-7"/>
          <w:sz w:val="20"/>
        </w:rPr>
        <w:t> </w:t>
      </w:r>
      <w:r>
        <w:rPr>
          <w:sz w:val="20"/>
        </w:rPr>
        <w:t>its</w:t>
      </w:r>
      <w:r>
        <w:rPr>
          <w:spacing w:val="-6"/>
          <w:sz w:val="20"/>
        </w:rPr>
        <w:t> </w:t>
      </w:r>
      <w:r>
        <w:rPr>
          <w:sz w:val="20"/>
        </w:rPr>
        <w:t>FAR</w:t>
      </w:r>
      <w:r>
        <w:rPr>
          <w:spacing w:val="-4"/>
          <w:sz w:val="20"/>
        </w:rPr>
        <w:t> </w:t>
      </w:r>
      <w:r>
        <w:rPr>
          <w:sz w:val="20"/>
        </w:rPr>
        <w:t>profile.</w:t>
      </w:r>
      <w:r>
        <w:rPr>
          <w:spacing w:val="-7"/>
          <w:sz w:val="20"/>
        </w:rPr>
        <w:t> </w:t>
      </w:r>
      <w:r>
        <w:rPr>
          <w:sz w:val="20"/>
        </w:rPr>
        <w:t>Hence,</w:t>
      </w:r>
      <w:r>
        <w:rPr>
          <w:spacing w:val="-9"/>
          <w:sz w:val="20"/>
        </w:rPr>
        <w:t> </w:t>
      </w:r>
      <w:r>
        <w:rPr>
          <w:sz w:val="20"/>
        </w:rPr>
        <w:t>there</w:t>
      </w:r>
      <w:r>
        <w:rPr>
          <w:spacing w:val="-7"/>
          <w:sz w:val="20"/>
        </w:rPr>
        <w:t> </w:t>
      </w:r>
      <w:r>
        <w:rPr>
          <w:sz w:val="20"/>
        </w:rPr>
        <w:t>are</w:t>
      </w:r>
      <w:r>
        <w:rPr>
          <w:spacing w:val="-6"/>
          <w:sz w:val="20"/>
        </w:rPr>
        <w:t> </w:t>
      </w:r>
      <w:r>
        <w:rPr>
          <w:sz w:val="20"/>
        </w:rPr>
        <w:t>at</w:t>
      </w:r>
      <w:r>
        <w:rPr>
          <w:spacing w:val="-7"/>
          <w:sz w:val="20"/>
        </w:rPr>
        <w:t> </w:t>
      </w:r>
      <w:r>
        <w:rPr>
          <w:sz w:val="20"/>
        </w:rPr>
        <w:t>least</w:t>
      </w:r>
      <w:r>
        <w:rPr>
          <w:spacing w:val="-9"/>
          <w:sz w:val="20"/>
        </w:rPr>
        <w:t> </w:t>
      </w:r>
      <w:r>
        <w:rPr>
          <w:sz w:val="20"/>
        </w:rPr>
        <w:t>three</w:t>
      </w:r>
      <w:r>
        <w:rPr>
          <w:spacing w:val="-7"/>
          <w:sz w:val="20"/>
        </w:rPr>
        <w:t> </w:t>
      </w:r>
      <w:r>
        <w:rPr>
          <w:sz w:val="20"/>
        </w:rPr>
        <w:t>indicia</w:t>
      </w:r>
      <w:r>
        <w:rPr>
          <w:spacing w:val="-7"/>
          <w:sz w:val="20"/>
        </w:rPr>
        <w:t> </w:t>
      </w:r>
      <w:r>
        <w:rPr>
          <w:sz w:val="20"/>
        </w:rPr>
        <w:t>that</w:t>
      </w:r>
      <w:r>
        <w:rPr>
          <w:spacing w:val="-7"/>
          <w:sz w:val="20"/>
        </w:rPr>
        <w:t> </w:t>
      </w:r>
      <w:r>
        <w:rPr>
          <w:sz w:val="20"/>
        </w:rPr>
        <w:t>could</w:t>
      </w:r>
      <w:r>
        <w:rPr>
          <w:spacing w:val="-7"/>
          <w:sz w:val="20"/>
        </w:rPr>
        <w:t> </w:t>
      </w:r>
      <w:r>
        <w:rPr>
          <w:sz w:val="20"/>
        </w:rPr>
        <w:t>readily</w:t>
      </w:r>
      <w:r>
        <w:rPr>
          <w:spacing w:val="-10"/>
          <w:sz w:val="20"/>
        </w:rPr>
        <w:t> </w:t>
      </w:r>
      <w:r>
        <w:rPr>
          <w:sz w:val="20"/>
        </w:rPr>
        <w:t>be</w:t>
      </w:r>
      <w:r>
        <w:rPr>
          <w:spacing w:val="-7"/>
          <w:sz w:val="20"/>
        </w:rPr>
        <w:t> </w:t>
      </w:r>
      <w:r>
        <w:rPr>
          <w:sz w:val="20"/>
        </w:rPr>
        <w:t>used</w:t>
      </w:r>
      <w:r>
        <w:rPr>
          <w:spacing w:val="-9"/>
          <w:sz w:val="20"/>
        </w:rPr>
        <w:t> </w:t>
      </w:r>
      <w:r>
        <w:rPr>
          <w:sz w:val="20"/>
        </w:rPr>
        <w:t>as</w:t>
      </w:r>
      <w:r>
        <w:rPr>
          <w:spacing w:val="-6"/>
          <w:sz w:val="20"/>
        </w:rPr>
        <w:t> </w:t>
      </w:r>
      <w:r>
        <w:rPr>
          <w:sz w:val="20"/>
        </w:rPr>
        <w:t>part of the activities test. These</w:t>
      </w:r>
      <w:r>
        <w:rPr>
          <w:spacing w:val="-1"/>
          <w:sz w:val="20"/>
        </w:rPr>
        <w:t> </w:t>
      </w:r>
      <w:r>
        <w:rPr>
          <w:sz w:val="20"/>
        </w:rPr>
        <w:t>are:</w:t>
      </w:r>
    </w:p>
    <w:p>
      <w:pPr>
        <w:pStyle w:val="ListParagraph"/>
        <w:numPr>
          <w:ilvl w:val="0"/>
          <w:numId w:val="70"/>
        </w:numPr>
        <w:tabs>
          <w:tab w:pos="1402" w:val="left" w:leader="none"/>
          <w:tab w:pos="1403" w:val="left" w:leader="none"/>
        </w:tabs>
        <w:spacing w:line="240" w:lineRule="auto" w:before="100" w:after="0"/>
        <w:ind w:left="1402" w:right="0" w:hanging="339"/>
        <w:jc w:val="left"/>
        <w:rPr>
          <w:sz w:val="20"/>
        </w:rPr>
      </w:pPr>
      <w:r>
        <w:rPr>
          <w:sz w:val="20"/>
        </w:rPr>
        <w:t>The functions performed, the assets used and risks assumed by an</w:t>
      </w:r>
      <w:r>
        <w:rPr>
          <w:spacing w:val="-14"/>
          <w:sz w:val="20"/>
        </w:rPr>
        <w:t> </w:t>
      </w:r>
      <w:r>
        <w:rPr>
          <w:sz w:val="20"/>
        </w:rPr>
        <w:t>entity;</w:t>
      </w:r>
    </w:p>
    <w:p>
      <w:pPr>
        <w:pStyle w:val="ListParagraph"/>
        <w:numPr>
          <w:ilvl w:val="0"/>
          <w:numId w:val="70"/>
        </w:numPr>
        <w:tabs>
          <w:tab w:pos="1402" w:val="left" w:leader="none"/>
          <w:tab w:pos="1403" w:val="left" w:leader="none"/>
        </w:tabs>
        <w:spacing w:line="240" w:lineRule="auto" w:before="74" w:after="0"/>
        <w:ind w:left="1402" w:right="0" w:hanging="339"/>
        <w:jc w:val="left"/>
        <w:rPr>
          <w:sz w:val="20"/>
        </w:rPr>
      </w:pPr>
      <w:r>
        <w:rPr>
          <w:sz w:val="20"/>
        </w:rPr>
        <w:t>The characterisation of an entity, derived from existing transfer pricing documentation;</w:t>
      </w:r>
      <w:r>
        <w:rPr>
          <w:spacing w:val="-18"/>
          <w:sz w:val="20"/>
        </w:rPr>
        <w:t> </w:t>
      </w:r>
      <w:r>
        <w:rPr>
          <w:sz w:val="20"/>
        </w:rPr>
        <w:t>and</w:t>
      </w:r>
    </w:p>
    <w:p>
      <w:pPr>
        <w:pStyle w:val="ListParagraph"/>
        <w:numPr>
          <w:ilvl w:val="0"/>
          <w:numId w:val="70"/>
        </w:numPr>
        <w:tabs>
          <w:tab w:pos="1402" w:val="left" w:leader="none"/>
          <w:tab w:pos="1403" w:val="left" w:leader="none"/>
        </w:tabs>
        <w:spacing w:line="240" w:lineRule="auto" w:before="77" w:after="0"/>
        <w:ind w:left="1402" w:right="0" w:hanging="339"/>
        <w:jc w:val="left"/>
        <w:rPr>
          <w:sz w:val="20"/>
        </w:rPr>
      </w:pPr>
      <w:r>
        <w:rPr>
          <w:sz w:val="20"/>
        </w:rPr>
        <w:t>The transfer pricing method used to determine an entity’s arm’s length</w:t>
      </w:r>
      <w:r>
        <w:rPr>
          <w:spacing w:val="-18"/>
          <w:sz w:val="20"/>
        </w:rPr>
        <w:t> </w:t>
      </w:r>
      <w:r>
        <w:rPr>
          <w:sz w:val="20"/>
        </w:rPr>
        <w:t>profits.</w:t>
      </w:r>
    </w:p>
    <w:p>
      <w:pPr>
        <w:pStyle w:val="ListParagraph"/>
        <w:numPr>
          <w:ilvl w:val="0"/>
          <w:numId w:val="13"/>
        </w:numPr>
        <w:tabs>
          <w:tab w:pos="1444" w:val="left" w:leader="none"/>
        </w:tabs>
        <w:spacing w:line="271" w:lineRule="auto" w:before="154" w:after="0"/>
        <w:ind w:left="723" w:right="484" w:firstLine="0"/>
        <w:jc w:val="both"/>
        <w:rPr>
          <w:sz w:val="20"/>
        </w:rPr>
      </w:pPr>
      <w:r>
        <w:rPr>
          <w:sz w:val="20"/>
        </w:rPr>
        <w:t>How would these indicia be applied in practice? An entity that is entitled to the entrepreneurial profit</w:t>
      </w:r>
      <w:r>
        <w:rPr>
          <w:spacing w:val="-6"/>
          <w:sz w:val="20"/>
        </w:rPr>
        <w:t> </w:t>
      </w:r>
      <w:r>
        <w:rPr>
          <w:sz w:val="20"/>
        </w:rPr>
        <w:t>from exploiting</w:t>
      </w:r>
      <w:r>
        <w:rPr>
          <w:spacing w:val="-7"/>
          <w:sz w:val="20"/>
        </w:rPr>
        <w:t> </w:t>
      </w:r>
      <w:r>
        <w:rPr>
          <w:sz w:val="20"/>
        </w:rPr>
        <w:t>key</w:t>
      </w:r>
      <w:r>
        <w:rPr>
          <w:spacing w:val="-8"/>
          <w:sz w:val="20"/>
        </w:rPr>
        <w:t> </w:t>
      </w:r>
      <w:r>
        <w:rPr>
          <w:sz w:val="20"/>
        </w:rPr>
        <w:t>intangibles,</w:t>
      </w:r>
      <w:r>
        <w:rPr>
          <w:spacing w:val="-5"/>
          <w:sz w:val="20"/>
        </w:rPr>
        <w:t> </w:t>
      </w:r>
      <w:r>
        <w:rPr>
          <w:sz w:val="20"/>
        </w:rPr>
        <w:t>from</w:t>
      </w:r>
      <w:r>
        <w:rPr>
          <w:spacing w:val="-1"/>
          <w:sz w:val="20"/>
        </w:rPr>
        <w:t> </w:t>
      </w:r>
      <w:r>
        <w:rPr>
          <w:sz w:val="20"/>
        </w:rPr>
        <w:t>assuming</w:t>
      </w:r>
      <w:r>
        <w:rPr>
          <w:spacing w:val="-6"/>
          <w:sz w:val="20"/>
        </w:rPr>
        <w:t> </w:t>
      </w:r>
      <w:r>
        <w:rPr>
          <w:sz w:val="20"/>
        </w:rPr>
        <w:t>economically</w:t>
      </w:r>
      <w:r>
        <w:rPr>
          <w:spacing w:val="-8"/>
          <w:sz w:val="20"/>
        </w:rPr>
        <w:t> </w:t>
      </w:r>
      <w:r>
        <w:rPr>
          <w:sz w:val="20"/>
        </w:rPr>
        <w:t>significant</w:t>
      </w:r>
      <w:r>
        <w:rPr>
          <w:spacing w:val="-5"/>
          <w:sz w:val="20"/>
        </w:rPr>
        <w:t> </w:t>
      </w:r>
      <w:r>
        <w:rPr>
          <w:sz w:val="20"/>
        </w:rPr>
        <w:t>risks;</w:t>
      </w:r>
      <w:r>
        <w:rPr>
          <w:spacing w:val="-5"/>
          <w:sz w:val="20"/>
        </w:rPr>
        <w:t> </w:t>
      </w:r>
      <w:r>
        <w:rPr>
          <w:sz w:val="20"/>
        </w:rPr>
        <w:t>which</w:t>
      </w:r>
      <w:r>
        <w:rPr>
          <w:spacing w:val="-6"/>
          <w:sz w:val="20"/>
        </w:rPr>
        <w:t> </w:t>
      </w:r>
      <w:r>
        <w:rPr>
          <w:sz w:val="20"/>
        </w:rPr>
        <w:t>is</w:t>
      </w:r>
      <w:r>
        <w:rPr>
          <w:spacing w:val="-4"/>
          <w:sz w:val="20"/>
        </w:rPr>
        <w:t> </w:t>
      </w:r>
      <w:r>
        <w:rPr>
          <w:sz w:val="20"/>
        </w:rPr>
        <w:t>characterised as</w:t>
      </w:r>
      <w:r>
        <w:rPr>
          <w:spacing w:val="-9"/>
          <w:sz w:val="20"/>
        </w:rPr>
        <w:t> </w:t>
      </w:r>
      <w:r>
        <w:rPr>
          <w:sz w:val="20"/>
        </w:rPr>
        <w:t>an</w:t>
      </w:r>
      <w:r>
        <w:rPr>
          <w:spacing w:val="-10"/>
          <w:sz w:val="20"/>
        </w:rPr>
        <w:t> </w:t>
      </w:r>
      <w:r>
        <w:rPr>
          <w:sz w:val="20"/>
        </w:rPr>
        <w:t>entrepreneurial</w:t>
      </w:r>
      <w:r>
        <w:rPr>
          <w:spacing w:val="-11"/>
          <w:sz w:val="20"/>
        </w:rPr>
        <w:t> </w:t>
      </w:r>
      <w:r>
        <w:rPr>
          <w:sz w:val="20"/>
        </w:rPr>
        <w:t>principal</w:t>
      </w:r>
      <w:r>
        <w:rPr>
          <w:spacing w:val="-11"/>
          <w:sz w:val="20"/>
        </w:rPr>
        <w:t> </w:t>
      </w:r>
      <w:r>
        <w:rPr>
          <w:sz w:val="20"/>
        </w:rPr>
        <w:t>entity;</w:t>
      </w:r>
      <w:r>
        <w:rPr>
          <w:spacing w:val="-10"/>
          <w:sz w:val="20"/>
        </w:rPr>
        <w:t> </w:t>
      </w:r>
      <w:r>
        <w:rPr>
          <w:sz w:val="20"/>
        </w:rPr>
        <w:t>and</w:t>
      </w:r>
      <w:r>
        <w:rPr>
          <w:spacing w:val="-8"/>
          <w:sz w:val="20"/>
        </w:rPr>
        <w:t> </w:t>
      </w:r>
      <w:r>
        <w:rPr>
          <w:sz w:val="20"/>
        </w:rPr>
        <w:t>which</w:t>
      </w:r>
      <w:r>
        <w:rPr>
          <w:spacing w:val="-10"/>
          <w:sz w:val="20"/>
        </w:rPr>
        <w:t> </w:t>
      </w:r>
      <w:r>
        <w:rPr>
          <w:sz w:val="20"/>
        </w:rPr>
        <w:t>should</w:t>
      </w:r>
      <w:r>
        <w:rPr>
          <w:spacing w:val="-8"/>
          <w:sz w:val="20"/>
        </w:rPr>
        <w:t> </w:t>
      </w:r>
      <w:r>
        <w:rPr>
          <w:sz w:val="20"/>
        </w:rPr>
        <w:t>receive</w:t>
      </w:r>
      <w:r>
        <w:rPr>
          <w:spacing w:val="-10"/>
          <w:sz w:val="20"/>
        </w:rPr>
        <w:t> </w:t>
      </w:r>
      <w:r>
        <w:rPr>
          <w:sz w:val="20"/>
        </w:rPr>
        <w:t>the</w:t>
      </w:r>
      <w:r>
        <w:rPr>
          <w:spacing w:val="-10"/>
          <w:sz w:val="20"/>
        </w:rPr>
        <w:t> </w:t>
      </w:r>
      <w:r>
        <w:rPr>
          <w:sz w:val="20"/>
        </w:rPr>
        <w:t>residual</w:t>
      </w:r>
      <w:r>
        <w:rPr>
          <w:spacing w:val="-10"/>
          <w:sz w:val="20"/>
        </w:rPr>
        <w:t> </w:t>
      </w:r>
      <w:r>
        <w:rPr>
          <w:sz w:val="20"/>
        </w:rPr>
        <w:t>profit</w:t>
      </w:r>
      <w:r>
        <w:rPr>
          <w:spacing w:val="-10"/>
          <w:sz w:val="20"/>
        </w:rPr>
        <w:t> </w:t>
      </w:r>
      <w:r>
        <w:rPr>
          <w:sz w:val="20"/>
        </w:rPr>
        <w:t>according</w:t>
      </w:r>
      <w:r>
        <w:rPr>
          <w:spacing w:val="-10"/>
          <w:sz w:val="20"/>
        </w:rPr>
        <w:t> </w:t>
      </w:r>
      <w:r>
        <w:rPr>
          <w:sz w:val="20"/>
        </w:rPr>
        <w:t>to</w:t>
      </w:r>
      <w:r>
        <w:rPr>
          <w:spacing w:val="-10"/>
          <w:sz w:val="20"/>
        </w:rPr>
        <w:t> </w:t>
      </w:r>
      <w:r>
        <w:rPr>
          <w:sz w:val="20"/>
        </w:rPr>
        <w:t>the</w:t>
      </w:r>
      <w:r>
        <w:rPr>
          <w:spacing w:val="-10"/>
          <w:sz w:val="20"/>
        </w:rPr>
        <w:t> </w:t>
      </w:r>
      <w:r>
        <w:rPr>
          <w:sz w:val="20"/>
        </w:rPr>
        <w:t>transfer pricing</w:t>
      </w:r>
      <w:r>
        <w:rPr>
          <w:spacing w:val="-15"/>
          <w:sz w:val="20"/>
        </w:rPr>
        <w:t> </w:t>
      </w:r>
      <w:r>
        <w:rPr>
          <w:sz w:val="20"/>
        </w:rPr>
        <w:t>method</w:t>
      </w:r>
      <w:r>
        <w:rPr>
          <w:spacing w:val="-14"/>
          <w:sz w:val="20"/>
        </w:rPr>
        <w:t> </w:t>
      </w:r>
      <w:r>
        <w:rPr>
          <w:sz w:val="20"/>
        </w:rPr>
        <w:t>(typically,</w:t>
      </w:r>
      <w:r>
        <w:rPr>
          <w:spacing w:val="-12"/>
          <w:sz w:val="20"/>
        </w:rPr>
        <w:t> </w:t>
      </w:r>
      <w:r>
        <w:rPr>
          <w:sz w:val="20"/>
        </w:rPr>
        <w:t>but</w:t>
      </w:r>
      <w:r>
        <w:rPr>
          <w:spacing w:val="-14"/>
          <w:sz w:val="20"/>
        </w:rPr>
        <w:t> </w:t>
      </w:r>
      <w:r>
        <w:rPr>
          <w:sz w:val="20"/>
        </w:rPr>
        <w:t>not</w:t>
      </w:r>
      <w:r>
        <w:rPr>
          <w:spacing w:val="-12"/>
          <w:sz w:val="20"/>
        </w:rPr>
        <w:t> </w:t>
      </w:r>
      <w:r>
        <w:rPr>
          <w:sz w:val="20"/>
        </w:rPr>
        <w:t>always,</w:t>
      </w:r>
      <w:r>
        <w:rPr>
          <w:spacing w:val="-11"/>
          <w:sz w:val="20"/>
        </w:rPr>
        <w:t> </w:t>
      </w:r>
      <w:r>
        <w:rPr>
          <w:sz w:val="20"/>
        </w:rPr>
        <w:t>in</w:t>
      </w:r>
      <w:r>
        <w:rPr>
          <w:spacing w:val="-13"/>
          <w:sz w:val="20"/>
        </w:rPr>
        <w:t> </w:t>
      </w:r>
      <w:r>
        <w:rPr>
          <w:sz w:val="20"/>
        </w:rPr>
        <w:t>the</w:t>
      </w:r>
      <w:r>
        <w:rPr>
          <w:spacing w:val="-14"/>
          <w:sz w:val="20"/>
        </w:rPr>
        <w:t> </w:t>
      </w:r>
      <w:r>
        <w:rPr>
          <w:sz w:val="20"/>
        </w:rPr>
        <w:t>form</w:t>
      </w:r>
      <w:r>
        <w:rPr>
          <w:spacing w:val="-10"/>
          <w:sz w:val="20"/>
        </w:rPr>
        <w:t> </w:t>
      </w:r>
      <w:r>
        <w:rPr>
          <w:sz w:val="20"/>
        </w:rPr>
        <w:t>of</w:t>
      </w:r>
      <w:r>
        <w:rPr>
          <w:spacing w:val="-12"/>
          <w:sz w:val="20"/>
        </w:rPr>
        <w:t> </w:t>
      </w:r>
      <w:r>
        <w:rPr>
          <w:sz w:val="20"/>
        </w:rPr>
        <w:t>a</w:t>
      </w:r>
      <w:r>
        <w:rPr>
          <w:spacing w:val="-16"/>
          <w:sz w:val="20"/>
        </w:rPr>
        <w:t> </w:t>
      </w:r>
      <w:r>
        <w:rPr>
          <w:sz w:val="20"/>
        </w:rPr>
        <w:t>variable</w:t>
      </w:r>
      <w:r>
        <w:rPr>
          <w:spacing w:val="-14"/>
          <w:sz w:val="20"/>
        </w:rPr>
        <w:t> </w:t>
      </w:r>
      <w:r>
        <w:rPr>
          <w:sz w:val="20"/>
        </w:rPr>
        <w:t>return),</w:t>
      </w:r>
      <w:r>
        <w:rPr>
          <w:spacing w:val="-14"/>
          <w:sz w:val="20"/>
        </w:rPr>
        <w:t> </w:t>
      </w:r>
      <w:r>
        <w:rPr>
          <w:sz w:val="20"/>
        </w:rPr>
        <w:t>from</w:t>
      </w:r>
      <w:r>
        <w:rPr>
          <w:spacing w:val="-10"/>
          <w:sz w:val="20"/>
        </w:rPr>
        <w:t> </w:t>
      </w:r>
      <w:r>
        <w:rPr>
          <w:sz w:val="20"/>
        </w:rPr>
        <w:t>a</w:t>
      </w:r>
      <w:r>
        <w:rPr>
          <w:spacing w:val="-14"/>
          <w:sz w:val="20"/>
        </w:rPr>
        <w:t> </w:t>
      </w:r>
      <w:r>
        <w:rPr>
          <w:sz w:val="20"/>
        </w:rPr>
        <w:t>group’s</w:t>
      </w:r>
      <w:r>
        <w:rPr>
          <w:spacing w:val="-10"/>
          <w:sz w:val="20"/>
        </w:rPr>
        <w:t> </w:t>
      </w:r>
      <w:r>
        <w:rPr>
          <w:sz w:val="20"/>
        </w:rPr>
        <w:t>value</w:t>
      </w:r>
      <w:r>
        <w:rPr>
          <w:spacing w:val="-15"/>
          <w:sz w:val="20"/>
        </w:rPr>
        <w:t> </w:t>
      </w:r>
      <w:r>
        <w:rPr>
          <w:sz w:val="20"/>
        </w:rPr>
        <w:t>chain</w:t>
      </w:r>
      <w:r>
        <w:rPr>
          <w:spacing w:val="-12"/>
          <w:sz w:val="20"/>
        </w:rPr>
        <w:t> </w:t>
      </w:r>
      <w:r>
        <w:rPr>
          <w:sz w:val="20"/>
        </w:rPr>
        <w:t>would, under</w:t>
      </w:r>
      <w:r>
        <w:rPr>
          <w:spacing w:val="-4"/>
          <w:sz w:val="20"/>
        </w:rPr>
        <w:t> </w:t>
      </w:r>
      <w:r>
        <w:rPr>
          <w:sz w:val="20"/>
        </w:rPr>
        <w:t>a</w:t>
      </w:r>
      <w:r>
        <w:rPr>
          <w:spacing w:val="-7"/>
          <w:sz w:val="20"/>
        </w:rPr>
        <w:t> </w:t>
      </w:r>
      <w:r>
        <w:rPr>
          <w:sz w:val="20"/>
        </w:rPr>
        <w:t>positive</w:t>
      </w:r>
      <w:r>
        <w:rPr>
          <w:spacing w:val="-5"/>
          <w:sz w:val="20"/>
        </w:rPr>
        <w:t> </w:t>
      </w:r>
      <w:r>
        <w:rPr>
          <w:sz w:val="20"/>
        </w:rPr>
        <w:t>approach,</w:t>
      </w:r>
      <w:r>
        <w:rPr>
          <w:spacing w:val="-5"/>
          <w:sz w:val="20"/>
        </w:rPr>
        <w:t> </w:t>
      </w:r>
      <w:r>
        <w:rPr>
          <w:sz w:val="20"/>
        </w:rPr>
        <w:t>be</w:t>
      </w:r>
      <w:r>
        <w:rPr>
          <w:spacing w:val="-7"/>
          <w:sz w:val="20"/>
        </w:rPr>
        <w:t> </w:t>
      </w:r>
      <w:r>
        <w:rPr>
          <w:sz w:val="20"/>
        </w:rPr>
        <w:t>identified</w:t>
      </w:r>
      <w:r>
        <w:rPr>
          <w:spacing w:val="-5"/>
          <w:sz w:val="20"/>
        </w:rPr>
        <w:t> </w:t>
      </w:r>
      <w:r>
        <w:rPr>
          <w:sz w:val="20"/>
        </w:rPr>
        <w:t>as</w:t>
      </w:r>
      <w:r>
        <w:rPr>
          <w:spacing w:val="-7"/>
          <w:sz w:val="20"/>
        </w:rPr>
        <w:t> </w:t>
      </w:r>
      <w:r>
        <w:rPr>
          <w:sz w:val="20"/>
        </w:rPr>
        <w:t>a</w:t>
      </w:r>
      <w:r>
        <w:rPr>
          <w:spacing w:val="-7"/>
          <w:sz w:val="20"/>
        </w:rPr>
        <w:t> </w:t>
      </w:r>
      <w:r>
        <w:rPr>
          <w:sz w:val="20"/>
        </w:rPr>
        <w:t>potential</w:t>
      </w:r>
      <w:r>
        <w:rPr>
          <w:spacing w:val="-5"/>
          <w:sz w:val="20"/>
        </w:rPr>
        <w:t> </w:t>
      </w:r>
      <w:r>
        <w:rPr>
          <w:sz w:val="20"/>
        </w:rPr>
        <w:t>paying</w:t>
      </w:r>
      <w:r>
        <w:rPr>
          <w:spacing w:val="-8"/>
          <w:sz w:val="20"/>
        </w:rPr>
        <w:t> </w:t>
      </w:r>
      <w:r>
        <w:rPr>
          <w:sz w:val="20"/>
        </w:rPr>
        <w:t>entity. In</w:t>
      </w:r>
      <w:r>
        <w:rPr>
          <w:spacing w:val="-7"/>
          <w:sz w:val="20"/>
        </w:rPr>
        <w:t> </w:t>
      </w:r>
      <w:r>
        <w:rPr>
          <w:sz w:val="20"/>
        </w:rPr>
        <w:t>this</w:t>
      </w:r>
      <w:r>
        <w:rPr>
          <w:spacing w:val="-6"/>
          <w:sz w:val="20"/>
        </w:rPr>
        <w:t> </w:t>
      </w:r>
      <w:r>
        <w:rPr>
          <w:sz w:val="20"/>
        </w:rPr>
        <w:t>context,</w:t>
      </w:r>
      <w:r>
        <w:rPr>
          <w:spacing w:val="-7"/>
          <w:sz w:val="20"/>
        </w:rPr>
        <w:t> </w:t>
      </w:r>
      <w:r>
        <w:rPr>
          <w:sz w:val="20"/>
        </w:rPr>
        <w:t>the</w:t>
      </w:r>
      <w:r>
        <w:rPr>
          <w:spacing w:val="-7"/>
          <w:sz w:val="20"/>
        </w:rPr>
        <w:t> </w:t>
      </w:r>
      <w:r>
        <w:rPr>
          <w:sz w:val="20"/>
        </w:rPr>
        <w:t>characterisation</w:t>
      </w:r>
      <w:r>
        <w:rPr>
          <w:spacing w:val="-7"/>
          <w:sz w:val="20"/>
        </w:rPr>
        <w:t> </w:t>
      </w:r>
      <w:r>
        <w:rPr>
          <w:sz w:val="20"/>
        </w:rPr>
        <w:t>of</w:t>
      </w:r>
    </w:p>
    <w:p>
      <w:pPr>
        <w:pStyle w:val="BodyText"/>
      </w:pPr>
    </w:p>
    <w:p>
      <w:pPr>
        <w:pStyle w:val="BodyText"/>
        <w:spacing w:before="7"/>
        <w:rPr>
          <w:sz w:val="10"/>
        </w:rPr>
      </w:pPr>
      <w:r>
        <w:rPr/>
        <w:pict>
          <v:rect style="position:absolute;margin-left:65.183998pt;margin-top:8.064444pt;width:144.020004pt;height:.60004pt;mso-position-horizontal-relative:page;mso-position-vertical-relative:paragraph;z-index:-1565388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03" w:val="left" w:leader="none"/>
        </w:tabs>
        <w:spacing w:line="278" w:lineRule="auto" w:before="94" w:after="0"/>
        <w:ind w:left="723" w:right="483" w:firstLine="0"/>
        <w:jc w:val="both"/>
        <w:rPr>
          <w:sz w:val="18"/>
        </w:rPr>
      </w:pPr>
      <w:r>
        <w:rPr>
          <w:sz w:val="18"/>
        </w:rPr>
        <w:t>The</w:t>
      </w:r>
      <w:r>
        <w:rPr>
          <w:spacing w:val="-4"/>
          <w:sz w:val="18"/>
        </w:rPr>
        <w:t> </w:t>
      </w:r>
      <w:r>
        <w:rPr>
          <w:sz w:val="18"/>
        </w:rPr>
        <w:t>return</w:t>
      </w:r>
      <w:r>
        <w:rPr>
          <w:spacing w:val="-3"/>
          <w:sz w:val="18"/>
        </w:rPr>
        <w:t> </w:t>
      </w:r>
      <w:r>
        <w:rPr>
          <w:sz w:val="18"/>
        </w:rPr>
        <w:t>to</w:t>
      </w:r>
      <w:r>
        <w:rPr>
          <w:spacing w:val="-4"/>
          <w:sz w:val="18"/>
        </w:rPr>
        <w:t> </w:t>
      </w:r>
      <w:r>
        <w:rPr>
          <w:sz w:val="18"/>
        </w:rPr>
        <w:t>financing</w:t>
      </w:r>
      <w:r>
        <w:rPr>
          <w:spacing w:val="-3"/>
          <w:sz w:val="18"/>
        </w:rPr>
        <w:t> </w:t>
      </w:r>
      <w:r>
        <w:rPr>
          <w:sz w:val="18"/>
        </w:rPr>
        <w:t>activities</w:t>
      </w:r>
      <w:r>
        <w:rPr>
          <w:spacing w:val="-3"/>
          <w:sz w:val="18"/>
        </w:rPr>
        <w:t> </w:t>
      </w:r>
      <w:r>
        <w:rPr>
          <w:sz w:val="18"/>
        </w:rPr>
        <w:t>is</w:t>
      </w:r>
      <w:r>
        <w:rPr>
          <w:spacing w:val="-2"/>
          <w:sz w:val="18"/>
        </w:rPr>
        <w:t> </w:t>
      </w:r>
      <w:r>
        <w:rPr>
          <w:sz w:val="18"/>
        </w:rPr>
        <w:t>affected</w:t>
      </w:r>
      <w:r>
        <w:rPr>
          <w:spacing w:val="-4"/>
          <w:sz w:val="18"/>
        </w:rPr>
        <w:t> </w:t>
      </w:r>
      <w:r>
        <w:rPr>
          <w:sz w:val="18"/>
        </w:rPr>
        <w:t>by</w:t>
      </w:r>
      <w:r>
        <w:rPr>
          <w:spacing w:val="-5"/>
          <w:sz w:val="18"/>
        </w:rPr>
        <w:t> </w:t>
      </w:r>
      <w:r>
        <w:rPr>
          <w:sz w:val="18"/>
        </w:rPr>
        <w:t>the</w:t>
      </w:r>
      <w:r>
        <w:rPr>
          <w:spacing w:val="-4"/>
          <w:sz w:val="18"/>
        </w:rPr>
        <w:t> </w:t>
      </w:r>
      <w:r>
        <w:rPr>
          <w:sz w:val="18"/>
        </w:rPr>
        <w:t>performance</w:t>
      </w:r>
      <w:r>
        <w:rPr>
          <w:spacing w:val="-3"/>
          <w:sz w:val="18"/>
        </w:rPr>
        <w:t> </w:t>
      </w:r>
      <w:r>
        <w:rPr>
          <w:sz w:val="18"/>
        </w:rPr>
        <w:t>of</w:t>
      </w:r>
      <w:r>
        <w:rPr>
          <w:spacing w:val="-3"/>
          <w:sz w:val="18"/>
        </w:rPr>
        <w:t> </w:t>
      </w:r>
      <w:r>
        <w:rPr>
          <w:sz w:val="18"/>
        </w:rPr>
        <w:t>activities</w:t>
      </w:r>
      <w:r>
        <w:rPr>
          <w:spacing w:val="-6"/>
          <w:sz w:val="18"/>
        </w:rPr>
        <w:t> </w:t>
      </w:r>
      <w:r>
        <w:rPr>
          <w:sz w:val="18"/>
        </w:rPr>
        <w:t>in</w:t>
      </w:r>
      <w:r>
        <w:rPr>
          <w:spacing w:val="-3"/>
          <w:sz w:val="18"/>
        </w:rPr>
        <w:t> </w:t>
      </w:r>
      <w:r>
        <w:rPr>
          <w:sz w:val="18"/>
        </w:rPr>
        <w:t>the</w:t>
      </w:r>
      <w:r>
        <w:rPr>
          <w:spacing w:val="-6"/>
          <w:sz w:val="18"/>
        </w:rPr>
        <w:t> </w:t>
      </w:r>
      <w:r>
        <w:rPr>
          <w:sz w:val="18"/>
        </w:rPr>
        <w:t>market</w:t>
      </w:r>
      <w:r>
        <w:rPr>
          <w:spacing w:val="-3"/>
          <w:sz w:val="18"/>
        </w:rPr>
        <w:t> </w:t>
      </w:r>
      <w:r>
        <w:rPr>
          <w:sz w:val="18"/>
        </w:rPr>
        <w:t>if</w:t>
      </w:r>
      <w:r>
        <w:rPr>
          <w:spacing w:val="-6"/>
          <w:sz w:val="18"/>
        </w:rPr>
        <w:t> </w:t>
      </w:r>
      <w:r>
        <w:rPr>
          <w:sz w:val="18"/>
        </w:rPr>
        <w:t>the</w:t>
      </w:r>
      <w:r>
        <w:rPr>
          <w:spacing w:val="-3"/>
          <w:sz w:val="18"/>
        </w:rPr>
        <w:t> </w:t>
      </w:r>
      <w:r>
        <w:rPr>
          <w:sz w:val="18"/>
        </w:rPr>
        <w:t>performance</w:t>
      </w:r>
      <w:r>
        <w:rPr>
          <w:spacing w:val="-3"/>
          <w:sz w:val="18"/>
        </w:rPr>
        <w:t> </w:t>
      </w:r>
      <w:r>
        <w:rPr>
          <w:sz w:val="18"/>
        </w:rPr>
        <w:t>of</w:t>
      </w:r>
      <w:r>
        <w:rPr>
          <w:spacing w:val="-4"/>
          <w:sz w:val="18"/>
        </w:rPr>
        <w:t> </w:t>
      </w:r>
      <w:r>
        <w:rPr>
          <w:sz w:val="18"/>
        </w:rPr>
        <w:t>the borrower in the market is such that a default or other credit event materialises; however, the financing activity does not sufficiently relate to the actual performance of the in-market borrower. This is to be distinguished from situations where an entity provides decision-making control over commercial and operational functions and the assumption of risks that drive the performance of the in-market</w:t>
      </w:r>
      <w:r>
        <w:rPr>
          <w:spacing w:val="-5"/>
          <w:sz w:val="18"/>
        </w:rPr>
        <w:t> </w:t>
      </w:r>
      <w:r>
        <w:rPr>
          <w:sz w:val="18"/>
        </w:rPr>
        <w:t>entity.</w:t>
      </w:r>
    </w:p>
    <w:p>
      <w:pPr>
        <w:pStyle w:val="ListParagraph"/>
        <w:numPr>
          <w:ilvl w:val="0"/>
          <w:numId w:val="14"/>
        </w:numPr>
        <w:tabs>
          <w:tab w:pos="1055" w:val="left" w:leader="none"/>
        </w:tabs>
        <w:spacing w:line="278" w:lineRule="auto" w:before="77" w:after="0"/>
        <w:ind w:left="723" w:right="487" w:firstLine="0"/>
        <w:jc w:val="both"/>
        <w:rPr>
          <w:sz w:val="18"/>
        </w:rPr>
      </w:pPr>
      <w:r>
        <w:rPr>
          <w:sz w:val="18"/>
        </w:rPr>
        <w:t>It is recognised that not all jurisdictions require taxpayers to file this information with tax administrations contemporaneously, however, in most instances it would still be expect that they would hold much of the information required on file</w:t>
      </w:r>
      <w:r>
        <w:rPr>
          <w:spacing w:val="-1"/>
          <w:sz w:val="18"/>
        </w:rPr>
        <w:t> </w:t>
      </w:r>
      <w:r>
        <w:rPr>
          <w:sz w:val="18"/>
        </w:rPr>
        <w:t>internally.</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an entity and the transfer pricing method used to determine its arm’s length profits should reflect and will be indicators of its FAR profile.</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For example, an entity that makes unique and valuable contributions to activities that generate residual</w:t>
      </w:r>
      <w:r>
        <w:rPr>
          <w:spacing w:val="-6"/>
          <w:sz w:val="20"/>
        </w:rPr>
        <w:t> </w:t>
      </w:r>
      <w:r>
        <w:rPr>
          <w:sz w:val="20"/>
        </w:rPr>
        <w:t>profits</w:t>
      </w:r>
      <w:r>
        <w:rPr>
          <w:spacing w:val="-4"/>
          <w:sz w:val="20"/>
        </w:rPr>
        <w:t> </w:t>
      </w:r>
      <w:r>
        <w:rPr>
          <w:sz w:val="20"/>
        </w:rPr>
        <w:t>for</w:t>
      </w:r>
      <w:r>
        <w:rPr>
          <w:spacing w:val="-4"/>
          <w:sz w:val="20"/>
        </w:rPr>
        <w:t> </w:t>
      </w:r>
      <w:r>
        <w:rPr>
          <w:sz w:val="20"/>
        </w:rPr>
        <w:t>the</w:t>
      </w:r>
      <w:r>
        <w:rPr>
          <w:spacing w:val="-5"/>
          <w:sz w:val="20"/>
        </w:rPr>
        <w:t> </w:t>
      </w:r>
      <w:r>
        <w:rPr>
          <w:sz w:val="20"/>
        </w:rPr>
        <w:t>MNE</w:t>
      </w:r>
      <w:r>
        <w:rPr>
          <w:spacing w:val="-3"/>
          <w:sz w:val="20"/>
        </w:rPr>
        <w:t> </w:t>
      </w:r>
      <w:r>
        <w:rPr>
          <w:sz w:val="20"/>
        </w:rPr>
        <w:t>group,</w:t>
      </w:r>
      <w:r>
        <w:rPr>
          <w:spacing w:val="-4"/>
          <w:sz w:val="20"/>
        </w:rPr>
        <w:t> </w:t>
      </w:r>
      <w:r>
        <w:rPr>
          <w:sz w:val="20"/>
        </w:rPr>
        <w:t>and/or</w:t>
      </w:r>
      <w:r>
        <w:rPr>
          <w:spacing w:val="-4"/>
          <w:sz w:val="20"/>
        </w:rPr>
        <w:t> </w:t>
      </w:r>
      <w:r>
        <w:rPr>
          <w:sz w:val="20"/>
        </w:rPr>
        <w:t>is</w:t>
      </w:r>
      <w:r>
        <w:rPr>
          <w:spacing w:val="-4"/>
          <w:sz w:val="20"/>
        </w:rPr>
        <w:t> </w:t>
      </w:r>
      <w:r>
        <w:rPr>
          <w:sz w:val="20"/>
        </w:rPr>
        <w:t>entitled</w:t>
      </w:r>
      <w:r>
        <w:rPr>
          <w:spacing w:val="-5"/>
          <w:sz w:val="20"/>
        </w:rPr>
        <w:t> </w:t>
      </w:r>
      <w:r>
        <w:rPr>
          <w:sz w:val="20"/>
        </w:rPr>
        <w:t>under</w:t>
      </w:r>
      <w:r>
        <w:rPr>
          <w:spacing w:val="-4"/>
          <w:sz w:val="20"/>
        </w:rPr>
        <w:t> </w:t>
      </w:r>
      <w:r>
        <w:rPr>
          <w:sz w:val="20"/>
        </w:rPr>
        <w:t>the</w:t>
      </w:r>
      <w:r>
        <w:rPr>
          <w:spacing w:val="-1"/>
          <w:sz w:val="20"/>
        </w:rPr>
        <w:t> </w:t>
      </w:r>
      <w:r>
        <w:rPr>
          <w:sz w:val="20"/>
        </w:rPr>
        <w:t>ALP</w:t>
      </w:r>
      <w:r>
        <w:rPr>
          <w:spacing w:val="-6"/>
          <w:sz w:val="20"/>
        </w:rPr>
        <w:t> </w:t>
      </w:r>
      <w:r>
        <w:rPr>
          <w:sz w:val="20"/>
        </w:rPr>
        <w:t>to</w:t>
      </w:r>
      <w:r>
        <w:rPr>
          <w:spacing w:val="-4"/>
          <w:sz w:val="20"/>
        </w:rPr>
        <w:t> </w:t>
      </w:r>
      <w:r>
        <w:rPr>
          <w:sz w:val="20"/>
        </w:rPr>
        <w:t>exploit</w:t>
      </w:r>
      <w:r>
        <w:rPr>
          <w:spacing w:val="-5"/>
          <w:sz w:val="20"/>
        </w:rPr>
        <w:t> </w:t>
      </w:r>
      <w:r>
        <w:rPr>
          <w:sz w:val="20"/>
        </w:rPr>
        <w:t>and</w:t>
      </w:r>
      <w:r>
        <w:rPr>
          <w:spacing w:val="-3"/>
          <w:sz w:val="20"/>
        </w:rPr>
        <w:t> </w:t>
      </w:r>
      <w:r>
        <w:rPr>
          <w:sz w:val="20"/>
        </w:rPr>
        <w:t>derive</w:t>
      </w:r>
      <w:r>
        <w:rPr>
          <w:spacing w:val="-4"/>
          <w:sz w:val="20"/>
        </w:rPr>
        <w:t> </w:t>
      </w:r>
      <w:r>
        <w:rPr>
          <w:sz w:val="20"/>
        </w:rPr>
        <w:t>non-routine</w:t>
      </w:r>
      <w:r>
        <w:rPr>
          <w:spacing w:val="-6"/>
          <w:sz w:val="20"/>
        </w:rPr>
        <w:t> </w:t>
      </w:r>
      <w:r>
        <w:rPr>
          <w:sz w:val="20"/>
        </w:rPr>
        <w:t>profit from intangible assets, and/or assumes or shares the assumption of economically significant risks, would be caught under the first indicator. In the transfer pricing documentation, it would likely be characterised as</w:t>
      </w:r>
      <w:r>
        <w:rPr>
          <w:spacing w:val="-9"/>
          <w:sz w:val="20"/>
        </w:rPr>
        <w:t> </w:t>
      </w:r>
      <w:r>
        <w:rPr>
          <w:sz w:val="20"/>
        </w:rPr>
        <w:t>an</w:t>
      </w:r>
      <w:r>
        <w:rPr>
          <w:spacing w:val="-9"/>
          <w:sz w:val="20"/>
        </w:rPr>
        <w:t> </w:t>
      </w:r>
      <w:r>
        <w:rPr>
          <w:sz w:val="20"/>
        </w:rPr>
        <w:t>entrepreneurial</w:t>
      </w:r>
      <w:r>
        <w:rPr>
          <w:spacing w:val="-10"/>
          <w:sz w:val="20"/>
        </w:rPr>
        <w:t> </w:t>
      </w:r>
      <w:r>
        <w:rPr>
          <w:sz w:val="20"/>
        </w:rPr>
        <w:t>principal</w:t>
      </w:r>
      <w:r>
        <w:rPr>
          <w:spacing w:val="-10"/>
          <w:sz w:val="20"/>
        </w:rPr>
        <w:t> </w:t>
      </w:r>
      <w:r>
        <w:rPr>
          <w:sz w:val="20"/>
        </w:rPr>
        <w:t>entity,</w:t>
      </w:r>
      <w:r>
        <w:rPr>
          <w:spacing w:val="-9"/>
          <w:sz w:val="20"/>
        </w:rPr>
        <w:t> </w:t>
      </w:r>
      <w:r>
        <w:rPr>
          <w:sz w:val="20"/>
        </w:rPr>
        <w:t>thus</w:t>
      </w:r>
      <w:r>
        <w:rPr>
          <w:spacing w:val="-8"/>
          <w:sz w:val="20"/>
        </w:rPr>
        <w:t> </w:t>
      </w:r>
      <w:r>
        <w:rPr>
          <w:sz w:val="20"/>
        </w:rPr>
        <w:t>meeting</w:t>
      </w:r>
      <w:r>
        <w:rPr>
          <w:spacing w:val="-9"/>
          <w:sz w:val="20"/>
        </w:rPr>
        <w:t> </w:t>
      </w:r>
      <w:r>
        <w:rPr>
          <w:sz w:val="20"/>
        </w:rPr>
        <w:t>the</w:t>
      </w:r>
      <w:r>
        <w:rPr>
          <w:spacing w:val="-9"/>
          <w:sz w:val="20"/>
        </w:rPr>
        <w:t> </w:t>
      </w:r>
      <w:r>
        <w:rPr>
          <w:sz w:val="20"/>
        </w:rPr>
        <w:t>second</w:t>
      </w:r>
      <w:r>
        <w:rPr>
          <w:spacing w:val="-9"/>
          <w:sz w:val="20"/>
        </w:rPr>
        <w:t> </w:t>
      </w:r>
      <w:r>
        <w:rPr>
          <w:sz w:val="20"/>
        </w:rPr>
        <w:t>indicator.</w:t>
      </w:r>
      <w:r>
        <w:rPr>
          <w:spacing w:val="-8"/>
          <w:sz w:val="20"/>
        </w:rPr>
        <w:t> </w:t>
      </w:r>
      <w:r>
        <w:rPr>
          <w:sz w:val="20"/>
        </w:rPr>
        <w:t>The</w:t>
      </w:r>
      <w:r>
        <w:rPr>
          <w:spacing w:val="-9"/>
          <w:sz w:val="20"/>
        </w:rPr>
        <w:t> </w:t>
      </w:r>
      <w:r>
        <w:rPr>
          <w:sz w:val="20"/>
        </w:rPr>
        <w:t>third</w:t>
      </w:r>
      <w:r>
        <w:rPr>
          <w:spacing w:val="-9"/>
          <w:sz w:val="20"/>
        </w:rPr>
        <w:t> </w:t>
      </w:r>
      <w:r>
        <w:rPr>
          <w:sz w:val="20"/>
        </w:rPr>
        <w:t>indicator</w:t>
      </w:r>
      <w:r>
        <w:rPr>
          <w:spacing w:val="-8"/>
          <w:sz w:val="20"/>
        </w:rPr>
        <w:t> </w:t>
      </w:r>
      <w:r>
        <w:rPr>
          <w:sz w:val="20"/>
        </w:rPr>
        <w:t>may</w:t>
      </w:r>
      <w:r>
        <w:rPr>
          <w:spacing w:val="-15"/>
          <w:sz w:val="20"/>
        </w:rPr>
        <w:t> </w:t>
      </w:r>
      <w:r>
        <w:rPr>
          <w:sz w:val="20"/>
        </w:rPr>
        <w:t>show</w:t>
      </w:r>
      <w:r>
        <w:rPr>
          <w:spacing w:val="-11"/>
          <w:sz w:val="20"/>
        </w:rPr>
        <w:t> </w:t>
      </w:r>
      <w:r>
        <w:rPr>
          <w:sz w:val="20"/>
        </w:rPr>
        <w:t>that the</w:t>
      </w:r>
      <w:r>
        <w:rPr>
          <w:spacing w:val="-5"/>
          <w:sz w:val="20"/>
        </w:rPr>
        <w:t> </w:t>
      </w:r>
      <w:r>
        <w:rPr>
          <w:sz w:val="20"/>
        </w:rPr>
        <w:t>remuneration</w:t>
      </w:r>
      <w:r>
        <w:rPr>
          <w:spacing w:val="-4"/>
          <w:sz w:val="20"/>
        </w:rPr>
        <w:t> </w:t>
      </w:r>
      <w:r>
        <w:rPr>
          <w:sz w:val="20"/>
        </w:rPr>
        <w:t>for</w:t>
      </w:r>
      <w:r>
        <w:rPr>
          <w:spacing w:val="-4"/>
          <w:sz w:val="20"/>
        </w:rPr>
        <w:t> </w:t>
      </w:r>
      <w:r>
        <w:rPr>
          <w:sz w:val="20"/>
        </w:rPr>
        <w:t>such</w:t>
      </w:r>
      <w:r>
        <w:rPr>
          <w:spacing w:val="-5"/>
          <w:sz w:val="20"/>
        </w:rPr>
        <w:t> </w:t>
      </w:r>
      <w:r>
        <w:rPr>
          <w:sz w:val="20"/>
        </w:rPr>
        <w:t>an</w:t>
      </w:r>
      <w:r>
        <w:rPr>
          <w:spacing w:val="-4"/>
          <w:sz w:val="20"/>
        </w:rPr>
        <w:t> </w:t>
      </w:r>
      <w:r>
        <w:rPr>
          <w:sz w:val="20"/>
        </w:rPr>
        <w:t>entity</w:t>
      </w:r>
      <w:r>
        <w:rPr>
          <w:spacing w:val="-7"/>
          <w:sz w:val="20"/>
        </w:rPr>
        <w:t> </w:t>
      </w:r>
      <w:r>
        <w:rPr>
          <w:sz w:val="20"/>
        </w:rPr>
        <w:t>is</w:t>
      </w:r>
      <w:r>
        <w:rPr>
          <w:spacing w:val="-4"/>
          <w:sz w:val="20"/>
        </w:rPr>
        <w:t> </w:t>
      </w:r>
      <w:r>
        <w:rPr>
          <w:sz w:val="20"/>
        </w:rPr>
        <w:t>determined</w:t>
      </w:r>
      <w:r>
        <w:rPr>
          <w:spacing w:val="-4"/>
          <w:sz w:val="20"/>
        </w:rPr>
        <w:t> </w:t>
      </w:r>
      <w:r>
        <w:rPr>
          <w:sz w:val="20"/>
        </w:rPr>
        <w:t>through</w:t>
      </w:r>
      <w:r>
        <w:rPr>
          <w:spacing w:val="-5"/>
          <w:sz w:val="20"/>
        </w:rPr>
        <w:t> </w:t>
      </w:r>
      <w:r>
        <w:rPr>
          <w:sz w:val="20"/>
        </w:rPr>
        <w:t>a</w:t>
      </w:r>
      <w:r>
        <w:rPr>
          <w:spacing w:val="-5"/>
          <w:sz w:val="20"/>
        </w:rPr>
        <w:t> </w:t>
      </w:r>
      <w:r>
        <w:rPr>
          <w:sz w:val="20"/>
        </w:rPr>
        <w:t>transactional</w:t>
      </w:r>
      <w:r>
        <w:rPr>
          <w:spacing w:val="-6"/>
          <w:sz w:val="20"/>
        </w:rPr>
        <w:t> </w:t>
      </w:r>
      <w:r>
        <w:rPr>
          <w:sz w:val="20"/>
        </w:rPr>
        <w:t>profit</w:t>
      </w:r>
      <w:r>
        <w:rPr>
          <w:spacing w:val="-4"/>
          <w:sz w:val="20"/>
        </w:rPr>
        <w:t> </w:t>
      </w:r>
      <w:r>
        <w:rPr>
          <w:sz w:val="20"/>
        </w:rPr>
        <w:t>split</w:t>
      </w:r>
      <w:r>
        <w:rPr>
          <w:spacing w:val="-6"/>
          <w:sz w:val="20"/>
        </w:rPr>
        <w:t> </w:t>
      </w:r>
      <w:r>
        <w:rPr>
          <w:sz w:val="20"/>
        </w:rPr>
        <w:t>method</w:t>
      </w:r>
      <w:r>
        <w:rPr>
          <w:spacing w:val="-5"/>
          <w:sz w:val="20"/>
        </w:rPr>
        <w:t> </w:t>
      </w:r>
      <w:r>
        <w:rPr>
          <w:sz w:val="20"/>
        </w:rPr>
        <w:t>(TPSM)</w:t>
      </w:r>
      <w:r>
        <w:rPr>
          <w:spacing w:val="-5"/>
          <w:sz w:val="20"/>
        </w:rPr>
        <w:t> </w:t>
      </w:r>
      <w:r>
        <w:rPr>
          <w:sz w:val="20"/>
        </w:rPr>
        <w:t>or</w:t>
      </w:r>
      <w:r>
        <w:rPr>
          <w:spacing w:val="-3"/>
          <w:sz w:val="20"/>
        </w:rPr>
        <w:t> </w:t>
      </w:r>
      <w:r>
        <w:rPr>
          <w:sz w:val="20"/>
        </w:rPr>
        <w:t>by taking residual profits after remunerating a routine-function, limited-risk entity through the TNMM or other methods.</w:t>
      </w:r>
      <w:r>
        <w:rPr>
          <w:spacing w:val="-9"/>
          <w:sz w:val="20"/>
        </w:rPr>
        <w:t> </w:t>
      </w:r>
      <w:r>
        <w:rPr>
          <w:sz w:val="20"/>
        </w:rPr>
        <w:t>Such</w:t>
      </w:r>
      <w:r>
        <w:rPr>
          <w:spacing w:val="-7"/>
          <w:sz w:val="20"/>
        </w:rPr>
        <w:t> </w:t>
      </w:r>
      <w:r>
        <w:rPr>
          <w:sz w:val="20"/>
        </w:rPr>
        <w:t>an</w:t>
      </w:r>
      <w:r>
        <w:rPr>
          <w:spacing w:val="-7"/>
          <w:sz w:val="20"/>
        </w:rPr>
        <w:t> </w:t>
      </w:r>
      <w:r>
        <w:rPr>
          <w:sz w:val="20"/>
        </w:rPr>
        <w:t>entity</w:t>
      </w:r>
      <w:r>
        <w:rPr>
          <w:spacing w:val="-9"/>
          <w:sz w:val="20"/>
        </w:rPr>
        <w:t> </w:t>
      </w:r>
      <w:r>
        <w:rPr>
          <w:sz w:val="20"/>
        </w:rPr>
        <w:t>would</w:t>
      </w:r>
      <w:r>
        <w:rPr>
          <w:spacing w:val="-7"/>
          <w:sz w:val="20"/>
        </w:rPr>
        <w:t> </w:t>
      </w:r>
      <w:r>
        <w:rPr>
          <w:sz w:val="20"/>
        </w:rPr>
        <w:t>be</w:t>
      </w:r>
      <w:r>
        <w:rPr>
          <w:spacing w:val="-7"/>
          <w:sz w:val="20"/>
        </w:rPr>
        <w:t> </w:t>
      </w:r>
      <w:r>
        <w:rPr>
          <w:sz w:val="20"/>
        </w:rPr>
        <w:t>identified</w:t>
      </w:r>
      <w:r>
        <w:rPr>
          <w:spacing w:val="-7"/>
          <w:sz w:val="20"/>
        </w:rPr>
        <w:t> </w:t>
      </w:r>
      <w:r>
        <w:rPr>
          <w:sz w:val="20"/>
        </w:rPr>
        <w:t>as</w:t>
      </w:r>
      <w:r>
        <w:rPr>
          <w:spacing w:val="-8"/>
          <w:sz w:val="20"/>
        </w:rPr>
        <w:t> </w:t>
      </w:r>
      <w:r>
        <w:rPr>
          <w:sz w:val="20"/>
        </w:rPr>
        <w:t>a</w:t>
      </w:r>
      <w:r>
        <w:rPr>
          <w:spacing w:val="-7"/>
          <w:sz w:val="20"/>
        </w:rPr>
        <w:t> </w:t>
      </w:r>
      <w:r>
        <w:rPr>
          <w:sz w:val="20"/>
        </w:rPr>
        <w:t>potential</w:t>
      </w:r>
      <w:r>
        <w:rPr>
          <w:spacing w:val="-7"/>
          <w:sz w:val="20"/>
        </w:rPr>
        <w:t> </w:t>
      </w:r>
      <w:r>
        <w:rPr>
          <w:sz w:val="20"/>
        </w:rPr>
        <w:t>paying</w:t>
      </w:r>
      <w:r>
        <w:rPr>
          <w:spacing w:val="-7"/>
          <w:sz w:val="20"/>
        </w:rPr>
        <w:t> </w:t>
      </w:r>
      <w:r>
        <w:rPr>
          <w:sz w:val="20"/>
        </w:rPr>
        <w:t>entity</w:t>
      </w:r>
      <w:r>
        <w:rPr>
          <w:spacing w:val="-12"/>
          <w:sz w:val="20"/>
        </w:rPr>
        <w:t> </w:t>
      </w:r>
      <w:r>
        <w:rPr>
          <w:sz w:val="20"/>
        </w:rPr>
        <w:t>and</w:t>
      </w:r>
      <w:r>
        <w:rPr>
          <w:spacing w:val="-8"/>
          <w:sz w:val="20"/>
        </w:rPr>
        <w:t> </w:t>
      </w:r>
      <w:r>
        <w:rPr>
          <w:sz w:val="20"/>
        </w:rPr>
        <w:t>so</w:t>
      </w:r>
      <w:r>
        <w:rPr>
          <w:spacing w:val="-7"/>
          <w:sz w:val="20"/>
        </w:rPr>
        <w:t> </w:t>
      </w:r>
      <w:r>
        <w:rPr>
          <w:sz w:val="20"/>
        </w:rPr>
        <w:t>would,</w:t>
      </w:r>
      <w:r>
        <w:rPr>
          <w:spacing w:val="-9"/>
          <w:sz w:val="20"/>
        </w:rPr>
        <w:t> </w:t>
      </w:r>
      <w:r>
        <w:rPr>
          <w:sz w:val="20"/>
        </w:rPr>
        <w:t>through</w:t>
      </w:r>
      <w:r>
        <w:rPr>
          <w:spacing w:val="-9"/>
          <w:sz w:val="20"/>
        </w:rPr>
        <w:t> </w:t>
      </w:r>
      <w:r>
        <w:rPr>
          <w:sz w:val="20"/>
        </w:rPr>
        <w:t>the</w:t>
      </w:r>
      <w:r>
        <w:rPr>
          <w:spacing w:val="-6"/>
          <w:sz w:val="20"/>
        </w:rPr>
        <w:t> </w:t>
      </w:r>
      <w:r>
        <w:rPr>
          <w:sz w:val="20"/>
        </w:rPr>
        <w:t>positive approach, be included in the pool of potential paying</w:t>
      </w:r>
      <w:r>
        <w:rPr>
          <w:spacing w:val="-11"/>
          <w:sz w:val="20"/>
        </w:rPr>
        <w:t> </w:t>
      </w:r>
      <w:r>
        <w:rPr>
          <w:sz w:val="20"/>
        </w:rPr>
        <w:t>entities.</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In contrast, an entity that does not own key intangibles or manage economically significant risks; is characterised as a limited risk entity or contract service provider (such as, a sales agent); and receives a</w:t>
      </w:r>
      <w:r>
        <w:rPr>
          <w:spacing w:val="-12"/>
          <w:sz w:val="20"/>
        </w:rPr>
        <w:t> </w:t>
      </w:r>
      <w:r>
        <w:rPr>
          <w:sz w:val="20"/>
        </w:rPr>
        <w:t>fixed,</w:t>
      </w:r>
      <w:r>
        <w:rPr>
          <w:spacing w:val="-11"/>
          <w:sz w:val="20"/>
        </w:rPr>
        <w:t> </w:t>
      </w:r>
      <w:r>
        <w:rPr>
          <w:sz w:val="20"/>
        </w:rPr>
        <w:t>benchmarked</w:t>
      </w:r>
      <w:r>
        <w:rPr>
          <w:spacing w:val="-12"/>
          <w:sz w:val="20"/>
        </w:rPr>
        <w:t> </w:t>
      </w:r>
      <w:r>
        <w:rPr>
          <w:sz w:val="20"/>
        </w:rPr>
        <w:t>return</w:t>
      </w:r>
      <w:r>
        <w:rPr>
          <w:spacing w:val="-12"/>
          <w:sz w:val="20"/>
        </w:rPr>
        <w:t> </w:t>
      </w:r>
      <w:r>
        <w:rPr>
          <w:sz w:val="20"/>
        </w:rPr>
        <w:t>determined</w:t>
      </w:r>
      <w:r>
        <w:rPr>
          <w:spacing w:val="-12"/>
          <w:sz w:val="20"/>
        </w:rPr>
        <w:t> </w:t>
      </w:r>
      <w:r>
        <w:rPr>
          <w:sz w:val="20"/>
        </w:rPr>
        <w:t>using,</w:t>
      </w:r>
      <w:r>
        <w:rPr>
          <w:spacing w:val="-11"/>
          <w:sz w:val="20"/>
        </w:rPr>
        <w:t> </w:t>
      </w:r>
      <w:r>
        <w:rPr>
          <w:sz w:val="20"/>
        </w:rPr>
        <w:t>say,</w:t>
      </w:r>
      <w:r>
        <w:rPr>
          <w:spacing w:val="-10"/>
          <w:sz w:val="20"/>
        </w:rPr>
        <w:t> </w:t>
      </w:r>
      <w:r>
        <w:rPr>
          <w:sz w:val="20"/>
        </w:rPr>
        <w:t>the</w:t>
      </w:r>
      <w:r>
        <w:rPr>
          <w:spacing w:val="-12"/>
          <w:sz w:val="20"/>
        </w:rPr>
        <w:t> </w:t>
      </w:r>
      <w:r>
        <w:rPr>
          <w:sz w:val="20"/>
        </w:rPr>
        <w:t>TNMM</w:t>
      </w:r>
      <w:r>
        <w:rPr>
          <w:spacing w:val="-12"/>
          <w:sz w:val="20"/>
        </w:rPr>
        <w:t> </w:t>
      </w:r>
      <w:r>
        <w:rPr>
          <w:sz w:val="20"/>
        </w:rPr>
        <w:t>or</w:t>
      </w:r>
      <w:r>
        <w:rPr>
          <w:spacing w:val="-11"/>
          <w:sz w:val="20"/>
        </w:rPr>
        <w:t> </w:t>
      </w:r>
      <w:r>
        <w:rPr>
          <w:sz w:val="20"/>
        </w:rPr>
        <w:t>cost-plus</w:t>
      </w:r>
      <w:r>
        <w:rPr>
          <w:spacing w:val="-10"/>
          <w:sz w:val="20"/>
        </w:rPr>
        <w:t> </w:t>
      </w:r>
      <w:r>
        <w:rPr>
          <w:sz w:val="20"/>
        </w:rPr>
        <w:t>method</w:t>
      </w:r>
      <w:r>
        <w:rPr>
          <w:spacing w:val="-9"/>
          <w:sz w:val="20"/>
        </w:rPr>
        <w:t> </w:t>
      </w:r>
      <w:r>
        <w:rPr>
          <w:sz w:val="20"/>
        </w:rPr>
        <w:t>would</w:t>
      </w:r>
      <w:r>
        <w:rPr>
          <w:spacing w:val="-9"/>
          <w:sz w:val="20"/>
        </w:rPr>
        <w:t> </w:t>
      </w:r>
      <w:r>
        <w:rPr>
          <w:sz w:val="20"/>
        </w:rPr>
        <w:t>not</w:t>
      </w:r>
      <w:r>
        <w:rPr>
          <w:spacing w:val="-9"/>
          <w:sz w:val="20"/>
        </w:rPr>
        <w:t> </w:t>
      </w:r>
      <w:r>
        <w:rPr>
          <w:sz w:val="20"/>
        </w:rPr>
        <w:t>be</w:t>
      </w:r>
      <w:r>
        <w:rPr>
          <w:spacing w:val="-9"/>
          <w:sz w:val="20"/>
        </w:rPr>
        <w:t> </w:t>
      </w:r>
      <w:r>
        <w:rPr>
          <w:sz w:val="20"/>
        </w:rPr>
        <w:t>identified as a potential paying entity and so would on a negative approach, be excluded from the pool of potential paying</w:t>
      </w:r>
      <w:r>
        <w:rPr>
          <w:spacing w:val="-2"/>
          <w:sz w:val="20"/>
        </w:rPr>
        <w:t> </w:t>
      </w:r>
      <w:r>
        <w:rPr>
          <w:sz w:val="20"/>
        </w:rPr>
        <w:t>entities.</w:t>
      </w:r>
    </w:p>
    <w:p>
      <w:pPr>
        <w:pStyle w:val="ListParagraph"/>
        <w:numPr>
          <w:ilvl w:val="0"/>
          <w:numId w:val="13"/>
        </w:numPr>
        <w:tabs>
          <w:tab w:pos="1444" w:val="left" w:leader="none"/>
        </w:tabs>
        <w:spacing w:line="271" w:lineRule="auto" w:before="122" w:after="0"/>
        <w:ind w:left="723" w:right="484" w:firstLine="0"/>
        <w:jc w:val="both"/>
        <w:rPr>
          <w:sz w:val="20"/>
        </w:rPr>
      </w:pPr>
      <w:r>
        <w:rPr>
          <w:sz w:val="20"/>
        </w:rPr>
        <w:t>As part of the activities test, where an MNE group computes the Amount A tax base on a segmented basis it will be necessary to determine the segments within which a potential paying entity is part of. For example, if a pharmaceutical group applied Amount A separately for its pharmaceutical and consumer healthcare segments, then it will need to identify its paying entities on the same</w:t>
      </w:r>
      <w:r>
        <w:rPr>
          <w:spacing w:val="-35"/>
          <w:sz w:val="20"/>
        </w:rPr>
        <w:t> </w:t>
      </w:r>
      <w:r>
        <w:rPr>
          <w:sz w:val="20"/>
        </w:rPr>
        <w:t>basis.</w:t>
      </w:r>
    </w:p>
    <w:p>
      <w:pPr>
        <w:pStyle w:val="ListParagraph"/>
        <w:numPr>
          <w:ilvl w:val="0"/>
          <w:numId w:val="13"/>
        </w:numPr>
        <w:tabs>
          <w:tab w:pos="1444" w:val="left" w:leader="none"/>
        </w:tabs>
        <w:spacing w:line="271" w:lineRule="auto" w:before="119" w:after="0"/>
        <w:ind w:left="723" w:right="480" w:firstLine="0"/>
        <w:jc w:val="both"/>
        <w:rPr>
          <w:sz w:val="20"/>
        </w:rPr>
      </w:pPr>
      <w:r>
        <w:rPr>
          <w:sz w:val="20"/>
        </w:rPr>
        <w:t>Further work will be undertaken by the Inclusive Framework to refine the activities test and, specifically, the general principle and list of indicia on which basis it would be applied. This will include determining</w:t>
      </w:r>
      <w:r>
        <w:rPr>
          <w:spacing w:val="-7"/>
          <w:sz w:val="20"/>
        </w:rPr>
        <w:t> </w:t>
      </w:r>
      <w:r>
        <w:rPr>
          <w:sz w:val="20"/>
        </w:rPr>
        <w:t>the</w:t>
      </w:r>
      <w:r>
        <w:rPr>
          <w:spacing w:val="-9"/>
          <w:sz w:val="20"/>
        </w:rPr>
        <w:t> </w:t>
      </w:r>
      <w:r>
        <w:rPr>
          <w:sz w:val="20"/>
        </w:rPr>
        <w:t>types</w:t>
      </w:r>
      <w:r>
        <w:rPr>
          <w:spacing w:val="-7"/>
          <w:sz w:val="20"/>
        </w:rPr>
        <w:t> </w:t>
      </w:r>
      <w:r>
        <w:rPr>
          <w:sz w:val="20"/>
        </w:rPr>
        <w:t>of</w:t>
      </w:r>
      <w:r>
        <w:rPr>
          <w:spacing w:val="-7"/>
          <w:sz w:val="20"/>
        </w:rPr>
        <w:t> </w:t>
      </w:r>
      <w:r>
        <w:rPr>
          <w:sz w:val="20"/>
        </w:rPr>
        <w:t>activities</w:t>
      </w:r>
      <w:r>
        <w:rPr>
          <w:spacing w:val="-8"/>
          <w:sz w:val="20"/>
        </w:rPr>
        <w:t> </w:t>
      </w:r>
      <w:r>
        <w:rPr>
          <w:sz w:val="20"/>
        </w:rPr>
        <w:t>that</w:t>
      </w:r>
      <w:r>
        <w:rPr>
          <w:spacing w:val="-8"/>
          <w:sz w:val="20"/>
        </w:rPr>
        <w:t> </w:t>
      </w:r>
      <w:r>
        <w:rPr>
          <w:sz w:val="20"/>
        </w:rPr>
        <w:t>a</w:t>
      </w:r>
      <w:r>
        <w:rPr>
          <w:spacing w:val="-7"/>
          <w:sz w:val="20"/>
        </w:rPr>
        <w:t> </w:t>
      </w:r>
      <w:r>
        <w:rPr>
          <w:sz w:val="20"/>
        </w:rPr>
        <w:t>paying</w:t>
      </w:r>
      <w:r>
        <w:rPr>
          <w:spacing w:val="-7"/>
          <w:sz w:val="20"/>
        </w:rPr>
        <w:t> </w:t>
      </w:r>
      <w:r>
        <w:rPr>
          <w:sz w:val="20"/>
        </w:rPr>
        <w:t>entity</w:t>
      </w:r>
      <w:r>
        <w:rPr>
          <w:spacing w:val="-11"/>
          <w:sz w:val="20"/>
        </w:rPr>
        <w:t> </w:t>
      </w:r>
      <w:r>
        <w:rPr>
          <w:sz w:val="20"/>
        </w:rPr>
        <w:t>should</w:t>
      </w:r>
      <w:r>
        <w:rPr>
          <w:spacing w:val="-7"/>
          <w:sz w:val="20"/>
        </w:rPr>
        <w:t> </w:t>
      </w:r>
      <w:r>
        <w:rPr>
          <w:sz w:val="20"/>
        </w:rPr>
        <w:t>perform</w:t>
      </w:r>
      <w:r>
        <w:rPr>
          <w:spacing w:val="-4"/>
          <w:sz w:val="20"/>
        </w:rPr>
        <w:t> </w:t>
      </w:r>
      <w:r>
        <w:rPr>
          <w:sz w:val="20"/>
        </w:rPr>
        <w:t>or</w:t>
      </w:r>
      <w:r>
        <w:rPr>
          <w:spacing w:val="-7"/>
          <w:sz w:val="20"/>
        </w:rPr>
        <w:t> </w:t>
      </w:r>
      <w:r>
        <w:rPr>
          <w:sz w:val="20"/>
        </w:rPr>
        <w:t>the</w:t>
      </w:r>
      <w:r>
        <w:rPr>
          <w:spacing w:val="-7"/>
          <w:sz w:val="20"/>
        </w:rPr>
        <w:t> </w:t>
      </w:r>
      <w:r>
        <w:rPr>
          <w:sz w:val="20"/>
        </w:rPr>
        <w:t>intangibles</w:t>
      </w:r>
      <w:r>
        <w:rPr>
          <w:spacing w:val="-6"/>
          <w:sz w:val="20"/>
        </w:rPr>
        <w:t> </w:t>
      </w:r>
      <w:r>
        <w:rPr>
          <w:sz w:val="20"/>
        </w:rPr>
        <w:t>it</w:t>
      </w:r>
      <w:r>
        <w:rPr>
          <w:spacing w:val="-9"/>
          <w:sz w:val="20"/>
        </w:rPr>
        <w:t> </w:t>
      </w:r>
      <w:r>
        <w:rPr>
          <w:sz w:val="20"/>
        </w:rPr>
        <w:t>should</w:t>
      </w:r>
      <w:r>
        <w:rPr>
          <w:spacing w:val="-6"/>
          <w:sz w:val="20"/>
        </w:rPr>
        <w:t> </w:t>
      </w:r>
      <w:r>
        <w:rPr>
          <w:sz w:val="20"/>
        </w:rPr>
        <w:t>own.</w:t>
      </w:r>
      <w:r>
        <w:rPr>
          <w:spacing w:val="-3"/>
          <w:sz w:val="20"/>
        </w:rPr>
        <w:t> </w:t>
      </w:r>
      <w:r>
        <w:rPr>
          <w:sz w:val="20"/>
        </w:rPr>
        <w:t>This will include further work on specific issues,</w:t>
      </w:r>
      <w:r>
        <w:rPr>
          <w:spacing w:val="-5"/>
          <w:sz w:val="20"/>
        </w:rPr>
        <w:t> </w:t>
      </w:r>
      <w:r>
        <w:rPr>
          <w:sz w:val="20"/>
        </w:rPr>
        <w:t>including:</w:t>
      </w:r>
    </w:p>
    <w:p>
      <w:pPr>
        <w:pStyle w:val="ListParagraph"/>
        <w:numPr>
          <w:ilvl w:val="1"/>
          <w:numId w:val="13"/>
        </w:numPr>
        <w:tabs>
          <w:tab w:pos="1403" w:val="left" w:leader="none"/>
        </w:tabs>
        <w:spacing w:line="268" w:lineRule="auto" w:before="102" w:after="0"/>
        <w:ind w:left="1402" w:right="486" w:hanging="339"/>
        <w:jc w:val="both"/>
        <w:rPr>
          <w:sz w:val="20"/>
        </w:rPr>
      </w:pPr>
      <w:r>
        <w:rPr>
          <w:sz w:val="20"/>
        </w:rPr>
        <w:t>The guidance that should be included alongside the list of indicia, to facilitate the application of these</w:t>
      </w:r>
      <w:r>
        <w:rPr>
          <w:spacing w:val="-13"/>
          <w:sz w:val="20"/>
        </w:rPr>
        <w:t> </w:t>
      </w:r>
      <w:r>
        <w:rPr>
          <w:sz w:val="20"/>
        </w:rPr>
        <w:t>indicia</w:t>
      </w:r>
      <w:r>
        <w:rPr>
          <w:spacing w:val="-12"/>
          <w:sz w:val="20"/>
        </w:rPr>
        <w:t> </w:t>
      </w:r>
      <w:r>
        <w:rPr>
          <w:sz w:val="20"/>
        </w:rPr>
        <w:t>by</w:t>
      </w:r>
      <w:r>
        <w:rPr>
          <w:spacing w:val="-17"/>
          <w:sz w:val="20"/>
        </w:rPr>
        <w:t> </w:t>
      </w:r>
      <w:r>
        <w:rPr>
          <w:sz w:val="20"/>
        </w:rPr>
        <w:t>taxpayers,</w:t>
      </w:r>
      <w:r>
        <w:rPr>
          <w:spacing w:val="-15"/>
          <w:sz w:val="20"/>
        </w:rPr>
        <w:t> </w:t>
      </w:r>
      <w:r>
        <w:rPr>
          <w:sz w:val="20"/>
        </w:rPr>
        <w:t>including</w:t>
      </w:r>
      <w:r>
        <w:rPr>
          <w:spacing w:val="-12"/>
          <w:sz w:val="20"/>
        </w:rPr>
        <w:t> </w:t>
      </w:r>
      <w:r>
        <w:rPr>
          <w:sz w:val="20"/>
        </w:rPr>
        <w:t>the</w:t>
      </w:r>
      <w:r>
        <w:rPr>
          <w:spacing w:val="-14"/>
          <w:sz w:val="20"/>
        </w:rPr>
        <w:t> </w:t>
      </w:r>
      <w:r>
        <w:rPr>
          <w:sz w:val="20"/>
        </w:rPr>
        <w:t>interactions</w:t>
      </w:r>
      <w:r>
        <w:rPr>
          <w:spacing w:val="-10"/>
          <w:sz w:val="20"/>
        </w:rPr>
        <w:t> </w:t>
      </w:r>
      <w:r>
        <w:rPr>
          <w:sz w:val="20"/>
        </w:rPr>
        <w:t>between</w:t>
      </w:r>
      <w:r>
        <w:rPr>
          <w:spacing w:val="-12"/>
          <w:sz w:val="20"/>
        </w:rPr>
        <w:t> </w:t>
      </w:r>
      <w:r>
        <w:rPr>
          <w:sz w:val="20"/>
        </w:rPr>
        <w:t>the</w:t>
      </w:r>
      <w:r>
        <w:rPr>
          <w:spacing w:val="-14"/>
          <w:sz w:val="20"/>
        </w:rPr>
        <w:t> </w:t>
      </w:r>
      <w:r>
        <w:rPr>
          <w:sz w:val="20"/>
        </w:rPr>
        <w:t>general</w:t>
      </w:r>
      <w:r>
        <w:rPr>
          <w:spacing w:val="-14"/>
          <w:sz w:val="20"/>
        </w:rPr>
        <w:t> </w:t>
      </w:r>
      <w:r>
        <w:rPr>
          <w:sz w:val="20"/>
        </w:rPr>
        <w:t>principle</w:t>
      </w:r>
      <w:r>
        <w:rPr>
          <w:spacing w:val="-10"/>
          <w:sz w:val="20"/>
        </w:rPr>
        <w:t> </w:t>
      </w:r>
      <w:r>
        <w:rPr>
          <w:sz w:val="20"/>
        </w:rPr>
        <w:t>and</w:t>
      </w:r>
      <w:r>
        <w:rPr>
          <w:spacing w:val="-14"/>
          <w:sz w:val="20"/>
        </w:rPr>
        <w:t> </w:t>
      </w:r>
      <w:r>
        <w:rPr>
          <w:sz w:val="20"/>
        </w:rPr>
        <w:t>the</w:t>
      </w:r>
      <w:r>
        <w:rPr>
          <w:spacing w:val="-12"/>
          <w:sz w:val="20"/>
        </w:rPr>
        <w:t> </w:t>
      </w:r>
      <w:r>
        <w:rPr>
          <w:sz w:val="20"/>
        </w:rPr>
        <w:t>positive and negative</w:t>
      </w:r>
      <w:r>
        <w:rPr>
          <w:spacing w:val="1"/>
          <w:sz w:val="20"/>
        </w:rPr>
        <w:t> </w:t>
      </w:r>
      <w:r>
        <w:rPr>
          <w:sz w:val="20"/>
        </w:rPr>
        <w:t>lists.</w:t>
      </w:r>
    </w:p>
    <w:p>
      <w:pPr>
        <w:pStyle w:val="ListParagraph"/>
        <w:numPr>
          <w:ilvl w:val="1"/>
          <w:numId w:val="13"/>
        </w:numPr>
        <w:tabs>
          <w:tab w:pos="1403" w:val="left" w:leader="none"/>
        </w:tabs>
        <w:spacing w:line="271" w:lineRule="auto" w:before="51" w:after="0"/>
        <w:ind w:left="1402" w:right="479" w:hanging="339"/>
        <w:jc w:val="both"/>
        <w:rPr>
          <w:sz w:val="20"/>
        </w:rPr>
      </w:pPr>
      <w:r>
        <w:rPr>
          <w:sz w:val="20"/>
        </w:rPr>
        <w:t>The type of documentation that could be used to develop and ultimately apply the list of indicia, which will include the identification of any additional or improvements to documentation that may be requested as part of the standard Amount A documentation included within the tax certainty process and how this documentation can be shared through appropriate exchange of information (EOI)</w:t>
      </w:r>
      <w:r>
        <w:rPr>
          <w:spacing w:val="-1"/>
          <w:sz w:val="20"/>
        </w:rPr>
        <w:t> </w:t>
      </w:r>
      <w:r>
        <w:rPr>
          <w:sz w:val="20"/>
        </w:rPr>
        <w:t>agreements.</w:t>
      </w:r>
    </w:p>
    <w:p>
      <w:pPr>
        <w:pStyle w:val="ListParagraph"/>
        <w:numPr>
          <w:ilvl w:val="1"/>
          <w:numId w:val="13"/>
        </w:numPr>
        <w:tabs>
          <w:tab w:pos="1403" w:val="left" w:leader="none"/>
        </w:tabs>
        <w:spacing w:line="268" w:lineRule="auto" w:before="42" w:after="0"/>
        <w:ind w:left="1402" w:right="491" w:hanging="339"/>
        <w:jc w:val="both"/>
        <w:rPr>
          <w:sz w:val="20"/>
        </w:rPr>
      </w:pPr>
      <w:r>
        <w:rPr>
          <w:sz w:val="20"/>
        </w:rPr>
        <w:t>The feasibility and additional guidance that will be required to facilitate the segmentation on the basis of entity-level accounts, where</w:t>
      </w:r>
      <w:r>
        <w:rPr>
          <w:spacing w:val="-5"/>
          <w:sz w:val="20"/>
        </w:rPr>
        <w:t> </w:t>
      </w:r>
      <w:r>
        <w:rPr>
          <w:sz w:val="20"/>
        </w:rPr>
        <w:t>required.</w:t>
      </w:r>
    </w:p>
    <w:p>
      <w:pPr>
        <w:pStyle w:val="ListParagraph"/>
        <w:numPr>
          <w:ilvl w:val="1"/>
          <w:numId w:val="13"/>
        </w:numPr>
        <w:tabs>
          <w:tab w:pos="1403" w:val="left" w:leader="none"/>
        </w:tabs>
        <w:spacing w:line="271" w:lineRule="auto" w:before="48" w:after="0"/>
        <w:ind w:left="1402" w:right="484" w:hanging="339"/>
        <w:jc w:val="both"/>
        <w:rPr>
          <w:sz w:val="20"/>
        </w:rPr>
      </w:pPr>
      <w:r>
        <w:rPr>
          <w:sz w:val="20"/>
        </w:rPr>
        <w:t>The interactions between the application of the activities test and existing ALP-based profit allocation rules. For example, that there would be a requirement for taxpayers to take consistent positions for the purposes of the activities test and the application of ALP-based profit allocation rules, and whether tax administrations would retain the option to take inconsistent</w:t>
      </w:r>
      <w:r>
        <w:rPr>
          <w:spacing w:val="-27"/>
          <w:sz w:val="20"/>
        </w:rPr>
        <w:t> </w:t>
      </w:r>
      <w:r>
        <w:rPr>
          <w:sz w:val="20"/>
        </w:rPr>
        <w:t>positions.</w:t>
      </w:r>
    </w:p>
    <w:p>
      <w:pPr>
        <w:pStyle w:val="BodyText"/>
        <w:spacing w:before="9"/>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2.3. Step 2: Profitability test" w:id="338"/>
      <w:bookmarkEnd w:id="338"/>
      <w:r>
        <w:rPr>
          <w:b w:val="0"/>
          <w:i w:val="0"/>
        </w:rPr>
      </w:r>
      <w:bookmarkStart w:name="_bookmark54" w:id="339"/>
      <w:bookmarkEnd w:id="339"/>
      <w:r>
        <w:rPr>
          <w:b w:val="0"/>
          <w:i w:val="0"/>
        </w:rPr>
      </w:r>
      <w:bookmarkStart w:name="_bookmark54" w:id="340"/>
      <w:bookmarkEnd w:id="340"/>
      <w:r>
        <w:rPr>
          <w:i/>
        </w:rPr>
        <w:t>S</w:t>
      </w:r>
      <w:r>
        <w:rPr>
          <w:i/>
        </w:rPr>
        <w:t>tep 2: Profitability</w:t>
      </w:r>
      <w:r>
        <w:rPr>
          <w:i/>
          <w:spacing w:val="-4"/>
        </w:rPr>
        <w:t> </w:t>
      </w:r>
      <w:r>
        <w:rPr>
          <w:i/>
        </w:rPr>
        <w:t>test</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 profitability test would ensure that the potential paying entities have the capacity to bear the Amount</w:t>
      </w:r>
      <w:r>
        <w:rPr>
          <w:spacing w:val="-7"/>
          <w:sz w:val="20"/>
        </w:rPr>
        <w:t> </w:t>
      </w:r>
      <w:r>
        <w:rPr>
          <w:sz w:val="20"/>
        </w:rPr>
        <w:t>A</w:t>
      </w:r>
      <w:r>
        <w:rPr>
          <w:spacing w:val="-5"/>
          <w:sz w:val="20"/>
        </w:rPr>
        <w:t> </w:t>
      </w:r>
      <w:r>
        <w:rPr>
          <w:sz w:val="20"/>
        </w:rPr>
        <w:t>tax</w:t>
      </w:r>
      <w:r>
        <w:rPr>
          <w:spacing w:val="-2"/>
          <w:sz w:val="20"/>
        </w:rPr>
        <w:t> </w:t>
      </w:r>
      <w:r>
        <w:rPr>
          <w:sz w:val="20"/>
        </w:rPr>
        <w:t>liability.</w:t>
      </w:r>
      <w:r>
        <w:rPr>
          <w:spacing w:val="-6"/>
          <w:sz w:val="20"/>
        </w:rPr>
        <w:t> </w:t>
      </w:r>
      <w:r>
        <w:rPr>
          <w:sz w:val="20"/>
        </w:rPr>
        <w:t>The</w:t>
      </w:r>
      <w:r>
        <w:rPr>
          <w:spacing w:val="-5"/>
          <w:sz w:val="20"/>
        </w:rPr>
        <w:t> </w:t>
      </w:r>
      <w:r>
        <w:rPr>
          <w:sz w:val="20"/>
        </w:rPr>
        <w:t>profitability</w:t>
      </w:r>
      <w:r>
        <w:rPr>
          <w:spacing w:val="-6"/>
          <w:sz w:val="20"/>
        </w:rPr>
        <w:t> </w:t>
      </w:r>
      <w:r>
        <w:rPr>
          <w:sz w:val="20"/>
        </w:rPr>
        <w:t>test</w:t>
      </w:r>
      <w:r>
        <w:rPr>
          <w:spacing w:val="-2"/>
          <w:sz w:val="20"/>
        </w:rPr>
        <w:t> </w:t>
      </w:r>
      <w:r>
        <w:rPr>
          <w:sz w:val="20"/>
        </w:rPr>
        <w:t>would</w:t>
      </w:r>
      <w:r>
        <w:rPr>
          <w:spacing w:val="-4"/>
          <w:sz w:val="20"/>
        </w:rPr>
        <w:t> </w:t>
      </w:r>
      <w:r>
        <w:rPr>
          <w:sz w:val="20"/>
        </w:rPr>
        <w:t>ensure</w:t>
      </w:r>
      <w:r>
        <w:rPr>
          <w:spacing w:val="-7"/>
          <w:sz w:val="20"/>
        </w:rPr>
        <w:t> </w:t>
      </w:r>
      <w:r>
        <w:rPr>
          <w:sz w:val="20"/>
        </w:rPr>
        <w:t>that</w:t>
      </w:r>
      <w:r>
        <w:rPr>
          <w:spacing w:val="-6"/>
          <w:sz w:val="20"/>
        </w:rPr>
        <w:t> </w:t>
      </w:r>
      <w:r>
        <w:rPr>
          <w:sz w:val="20"/>
        </w:rPr>
        <w:t>an</w:t>
      </w:r>
      <w:r>
        <w:rPr>
          <w:spacing w:val="-3"/>
          <w:sz w:val="20"/>
        </w:rPr>
        <w:t> </w:t>
      </w:r>
      <w:r>
        <w:rPr>
          <w:sz w:val="20"/>
        </w:rPr>
        <w:t>entity</w:t>
      </w:r>
      <w:r>
        <w:rPr>
          <w:spacing w:val="-10"/>
          <w:sz w:val="20"/>
        </w:rPr>
        <w:t> </w:t>
      </w:r>
      <w:r>
        <w:rPr>
          <w:sz w:val="20"/>
        </w:rPr>
        <w:t>making</w:t>
      </w:r>
      <w:r>
        <w:rPr>
          <w:spacing w:val="-4"/>
          <w:sz w:val="20"/>
        </w:rPr>
        <w:t> </w:t>
      </w:r>
      <w:r>
        <w:rPr>
          <w:sz w:val="20"/>
        </w:rPr>
        <w:t>low</w:t>
      </w:r>
      <w:r>
        <w:rPr>
          <w:spacing w:val="-6"/>
          <w:sz w:val="20"/>
        </w:rPr>
        <w:t> </w:t>
      </w:r>
      <w:r>
        <w:rPr>
          <w:sz w:val="20"/>
        </w:rPr>
        <w:t>profits</w:t>
      </w:r>
      <w:r>
        <w:rPr>
          <w:spacing w:val="-4"/>
          <w:sz w:val="20"/>
        </w:rPr>
        <w:t> </w:t>
      </w:r>
      <w:r>
        <w:rPr>
          <w:sz w:val="20"/>
        </w:rPr>
        <w:t>(or</w:t>
      </w:r>
      <w:r>
        <w:rPr>
          <w:spacing w:val="-4"/>
          <w:sz w:val="20"/>
        </w:rPr>
        <w:t> </w:t>
      </w:r>
      <w:r>
        <w:rPr>
          <w:sz w:val="20"/>
        </w:rPr>
        <w:t>losses)</w:t>
      </w:r>
      <w:r>
        <w:rPr>
          <w:spacing w:val="-6"/>
          <w:sz w:val="20"/>
        </w:rPr>
        <w:t> </w:t>
      </w:r>
      <w:r>
        <w:rPr>
          <w:sz w:val="20"/>
        </w:rPr>
        <w:t>is</w:t>
      </w:r>
      <w:r>
        <w:rPr>
          <w:spacing w:val="-2"/>
          <w:sz w:val="20"/>
        </w:rPr>
        <w:t> </w:t>
      </w:r>
      <w:r>
        <w:rPr>
          <w:sz w:val="20"/>
        </w:rPr>
        <w:t>not identified as a paying entity, and is consistent with the decision of the Inclusive Framework to limit the application of Amount A to in-scope MNE groups that earn residual profits (rather than all in-scope MNE groups).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0" w:firstLine="0"/>
        <w:jc w:val="both"/>
        <w:rPr>
          <w:sz w:val="20"/>
        </w:rPr>
      </w:pPr>
      <w:r>
        <w:rPr>
          <w:sz w:val="20"/>
        </w:rPr>
        <w:t>In combination with the activities test, the objective of </w:t>
      </w:r>
      <w:r>
        <w:rPr>
          <w:spacing w:val="2"/>
          <w:sz w:val="20"/>
        </w:rPr>
        <w:t>the </w:t>
      </w:r>
      <w:r>
        <w:rPr>
          <w:sz w:val="20"/>
        </w:rPr>
        <w:t>profitability test is to identify the entities that earn residual profits relevant to Amount A (as calculated at a group or segment level). The activities test,</w:t>
      </w:r>
      <w:r>
        <w:rPr>
          <w:spacing w:val="-14"/>
          <w:sz w:val="20"/>
        </w:rPr>
        <w:t> </w:t>
      </w:r>
      <w:r>
        <w:rPr>
          <w:sz w:val="20"/>
        </w:rPr>
        <w:t>by</w:t>
      </w:r>
      <w:r>
        <w:rPr>
          <w:spacing w:val="-15"/>
          <w:sz w:val="20"/>
        </w:rPr>
        <w:t> </w:t>
      </w:r>
      <w:r>
        <w:rPr>
          <w:sz w:val="20"/>
        </w:rPr>
        <w:t>incorporating</w:t>
      </w:r>
      <w:r>
        <w:rPr>
          <w:spacing w:val="-14"/>
          <w:sz w:val="20"/>
        </w:rPr>
        <w:t> </w:t>
      </w:r>
      <w:r>
        <w:rPr>
          <w:sz w:val="20"/>
        </w:rPr>
        <w:t>concepts</w:t>
      </w:r>
      <w:r>
        <w:rPr>
          <w:spacing w:val="-13"/>
          <w:sz w:val="20"/>
        </w:rPr>
        <w:t> </w:t>
      </w:r>
      <w:r>
        <w:rPr>
          <w:sz w:val="20"/>
        </w:rPr>
        <w:t>imported</w:t>
      </w:r>
      <w:r>
        <w:rPr>
          <w:spacing w:val="-14"/>
          <w:sz w:val="20"/>
        </w:rPr>
        <w:t> </w:t>
      </w:r>
      <w:r>
        <w:rPr>
          <w:sz w:val="20"/>
        </w:rPr>
        <w:t>from</w:t>
      </w:r>
      <w:r>
        <w:rPr>
          <w:spacing w:val="-9"/>
          <w:sz w:val="20"/>
        </w:rPr>
        <w:t> </w:t>
      </w:r>
      <w:r>
        <w:rPr>
          <w:sz w:val="20"/>
        </w:rPr>
        <w:t>transfer</w:t>
      </w:r>
      <w:r>
        <w:rPr>
          <w:spacing w:val="-13"/>
          <w:sz w:val="20"/>
        </w:rPr>
        <w:t> </w:t>
      </w:r>
      <w:r>
        <w:rPr>
          <w:sz w:val="20"/>
        </w:rPr>
        <w:t>pricing,</w:t>
      </w:r>
      <w:r>
        <w:rPr>
          <w:spacing w:val="-10"/>
          <w:sz w:val="20"/>
        </w:rPr>
        <w:t> </w:t>
      </w:r>
      <w:r>
        <w:rPr>
          <w:sz w:val="20"/>
        </w:rPr>
        <w:t>will</w:t>
      </w:r>
      <w:r>
        <w:rPr>
          <w:spacing w:val="-12"/>
          <w:sz w:val="20"/>
        </w:rPr>
        <w:t> </w:t>
      </w:r>
      <w:r>
        <w:rPr>
          <w:sz w:val="20"/>
        </w:rPr>
        <w:t>identify</w:t>
      </w:r>
      <w:r>
        <w:rPr>
          <w:spacing w:val="-16"/>
          <w:sz w:val="20"/>
        </w:rPr>
        <w:t> </w:t>
      </w:r>
      <w:r>
        <w:rPr>
          <w:sz w:val="20"/>
        </w:rPr>
        <w:t>entities</w:t>
      </w:r>
      <w:r>
        <w:rPr>
          <w:spacing w:val="-11"/>
          <w:sz w:val="20"/>
        </w:rPr>
        <w:t> </w:t>
      </w:r>
      <w:r>
        <w:rPr>
          <w:sz w:val="20"/>
        </w:rPr>
        <w:t>within</w:t>
      </w:r>
      <w:r>
        <w:rPr>
          <w:spacing w:val="-12"/>
          <w:sz w:val="20"/>
        </w:rPr>
        <w:t> </w:t>
      </w:r>
      <w:r>
        <w:rPr>
          <w:sz w:val="20"/>
        </w:rPr>
        <w:t>a</w:t>
      </w:r>
      <w:r>
        <w:rPr>
          <w:spacing w:val="-12"/>
          <w:sz w:val="20"/>
        </w:rPr>
        <w:t> </w:t>
      </w:r>
      <w:r>
        <w:rPr>
          <w:sz w:val="20"/>
        </w:rPr>
        <w:t>group</w:t>
      </w:r>
      <w:r>
        <w:rPr>
          <w:spacing w:val="-12"/>
          <w:sz w:val="20"/>
        </w:rPr>
        <w:t> </w:t>
      </w:r>
      <w:r>
        <w:rPr>
          <w:sz w:val="20"/>
        </w:rPr>
        <w:t>that</w:t>
      </w:r>
      <w:r>
        <w:rPr>
          <w:spacing w:val="-14"/>
          <w:sz w:val="20"/>
        </w:rPr>
        <w:t> </w:t>
      </w:r>
      <w:r>
        <w:rPr>
          <w:sz w:val="20"/>
        </w:rPr>
        <w:t>derive residual profits from the performance of non-routine activities that relate to the engagement of the group in market jurisdictions. The profitability test, like the Amount A formula, will be applied to financial, rather than tax accounts. This will mean that the entities identified through these two steps will perform non- routine activities and report residual profits in their financial</w:t>
      </w:r>
      <w:r>
        <w:rPr>
          <w:spacing w:val="-8"/>
          <w:sz w:val="20"/>
        </w:rPr>
        <w:t> </w:t>
      </w:r>
      <w:r>
        <w:rPr>
          <w:sz w:val="20"/>
        </w:rPr>
        <w:t>accounts.</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The Inclusive Framework is considering a profitability test aligned with the substance carve-out that is being developed for Pillar Two, which is based on expenditures for payroll and tangible assets (calculated by reference to depreciation expenses for certain assets including land).</w:t>
      </w:r>
      <w:r>
        <w:rPr>
          <w:sz w:val="20"/>
          <w:vertAlign w:val="superscript"/>
        </w:rPr>
        <w:t>118</w:t>
      </w:r>
      <w:r>
        <w:rPr>
          <w:sz w:val="20"/>
          <w:vertAlign w:val="baseline"/>
        </w:rPr>
        <w:t> In a Pillar Two context, the policy objective behind the carve-out is to exclude a fixed percentage of income from substantive activities within a jurisdiction. The use of payroll and tangible assets as indicators of substantive activities is justified because these factors are generally expected to be less mobile and </w:t>
      </w:r>
      <w:r>
        <w:rPr>
          <w:spacing w:val="2"/>
          <w:sz w:val="20"/>
          <w:vertAlign w:val="baseline"/>
        </w:rPr>
        <w:t>less </w:t>
      </w:r>
      <w:r>
        <w:rPr>
          <w:sz w:val="20"/>
          <w:vertAlign w:val="baseline"/>
        </w:rPr>
        <w:t>susceptible to lead to tax induced distortions. Conceptually, excluding a fixed percentage of income from substantive activities focuses Pillar Two on “excess income”, such as intangible-related income, which is most susceptible to remaining BEPS risks. This objective may also be relevant when identifying the potential</w:t>
      </w:r>
      <w:r>
        <w:rPr>
          <w:spacing w:val="-8"/>
          <w:sz w:val="20"/>
          <w:vertAlign w:val="baseline"/>
        </w:rPr>
        <w:t> </w:t>
      </w:r>
      <w:r>
        <w:rPr>
          <w:sz w:val="20"/>
          <w:vertAlign w:val="baseline"/>
        </w:rPr>
        <w:t>paying</w:t>
      </w:r>
      <w:r>
        <w:rPr>
          <w:spacing w:val="-7"/>
          <w:sz w:val="20"/>
          <w:vertAlign w:val="baseline"/>
        </w:rPr>
        <w:t> </w:t>
      </w:r>
      <w:r>
        <w:rPr>
          <w:sz w:val="20"/>
          <w:vertAlign w:val="baseline"/>
        </w:rPr>
        <w:t>entities</w:t>
      </w:r>
      <w:r>
        <w:rPr>
          <w:spacing w:val="-6"/>
          <w:sz w:val="20"/>
          <w:vertAlign w:val="baseline"/>
        </w:rPr>
        <w:t> </w:t>
      </w:r>
      <w:r>
        <w:rPr>
          <w:sz w:val="20"/>
          <w:vertAlign w:val="baseline"/>
        </w:rPr>
        <w:t>for</w:t>
      </w:r>
      <w:r>
        <w:rPr>
          <w:spacing w:val="-6"/>
          <w:sz w:val="20"/>
          <w:vertAlign w:val="baseline"/>
        </w:rPr>
        <w:t> </w:t>
      </w:r>
      <w:r>
        <w:rPr>
          <w:sz w:val="20"/>
          <w:vertAlign w:val="baseline"/>
        </w:rPr>
        <w:t>Amount</w:t>
      </w:r>
      <w:r>
        <w:rPr>
          <w:spacing w:val="-7"/>
          <w:sz w:val="20"/>
          <w:vertAlign w:val="baseline"/>
        </w:rPr>
        <w:t> </w:t>
      </w:r>
      <w:r>
        <w:rPr>
          <w:sz w:val="20"/>
          <w:vertAlign w:val="baseline"/>
        </w:rPr>
        <w:t>A,</w:t>
      </w:r>
      <w:r>
        <w:rPr>
          <w:spacing w:val="-6"/>
          <w:sz w:val="20"/>
          <w:vertAlign w:val="baseline"/>
        </w:rPr>
        <w:t> </w:t>
      </w:r>
      <w:r>
        <w:rPr>
          <w:sz w:val="20"/>
          <w:vertAlign w:val="baseline"/>
        </w:rPr>
        <w:t>as</w:t>
      </w:r>
      <w:r>
        <w:rPr>
          <w:spacing w:val="-6"/>
          <w:sz w:val="20"/>
          <w:vertAlign w:val="baseline"/>
        </w:rPr>
        <w:t> </w:t>
      </w:r>
      <w:r>
        <w:rPr>
          <w:sz w:val="20"/>
          <w:vertAlign w:val="baseline"/>
        </w:rPr>
        <w:t>Amount</w:t>
      </w:r>
      <w:r>
        <w:rPr>
          <w:spacing w:val="-6"/>
          <w:sz w:val="20"/>
          <w:vertAlign w:val="baseline"/>
        </w:rPr>
        <w:t> </w:t>
      </w:r>
      <w:r>
        <w:rPr>
          <w:sz w:val="20"/>
          <w:vertAlign w:val="baseline"/>
        </w:rPr>
        <w:t>A</w:t>
      </w:r>
      <w:r>
        <w:rPr>
          <w:spacing w:val="-4"/>
          <w:sz w:val="20"/>
          <w:vertAlign w:val="baseline"/>
        </w:rPr>
        <w:t> </w:t>
      </w:r>
      <w:r>
        <w:rPr>
          <w:sz w:val="20"/>
          <w:vertAlign w:val="baseline"/>
        </w:rPr>
        <w:t>has</w:t>
      </w:r>
      <w:r>
        <w:rPr>
          <w:spacing w:val="-5"/>
          <w:sz w:val="20"/>
          <w:vertAlign w:val="baseline"/>
        </w:rPr>
        <w:t> </w:t>
      </w:r>
      <w:r>
        <w:rPr>
          <w:sz w:val="20"/>
          <w:vertAlign w:val="baseline"/>
        </w:rPr>
        <w:t>been</w:t>
      </w:r>
      <w:r>
        <w:rPr>
          <w:spacing w:val="-7"/>
          <w:sz w:val="20"/>
          <w:vertAlign w:val="baseline"/>
        </w:rPr>
        <w:t> </w:t>
      </w:r>
      <w:r>
        <w:rPr>
          <w:sz w:val="20"/>
          <w:vertAlign w:val="baseline"/>
        </w:rPr>
        <w:t>designed</w:t>
      </w:r>
      <w:r>
        <w:rPr>
          <w:spacing w:val="-7"/>
          <w:sz w:val="20"/>
          <w:vertAlign w:val="baseline"/>
        </w:rPr>
        <w:t> </w:t>
      </w:r>
      <w:r>
        <w:rPr>
          <w:sz w:val="20"/>
          <w:vertAlign w:val="baseline"/>
        </w:rPr>
        <w:t>to</w:t>
      </w:r>
      <w:r>
        <w:rPr>
          <w:spacing w:val="-7"/>
          <w:sz w:val="20"/>
          <w:vertAlign w:val="baseline"/>
        </w:rPr>
        <w:t> </w:t>
      </w:r>
      <w:r>
        <w:rPr>
          <w:sz w:val="20"/>
          <w:vertAlign w:val="baseline"/>
        </w:rPr>
        <w:t>allow</w:t>
      </w:r>
      <w:r>
        <w:rPr>
          <w:spacing w:val="-8"/>
          <w:sz w:val="20"/>
          <w:vertAlign w:val="baseline"/>
        </w:rPr>
        <w:t> </w:t>
      </w:r>
      <w:r>
        <w:rPr>
          <w:sz w:val="20"/>
          <w:vertAlign w:val="baseline"/>
        </w:rPr>
        <w:t>jurisdictions</w:t>
      </w:r>
      <w:r>
        <w:rPr>
          <w:spacing w:val="-6"/>
          <w:sz w:val="20"/>
          <w:vertAlign w:val="baseline"/>
        </w:rPr>
        <w:t> </w:t>
      </w:r>
      <w:r>
        <w:rPr>
          <w:sz w:val="20"/>
          <w:vertAlign w:val="baseline"/>
        </w:rPr>
        <w:t>to</w:t>
      </w:r>
      <w:r>
        <w:rPr>
          <w:spacing w:val="-7"/>
          <w:sz w:val="20"/>
          <w:vertAlign w:val="baseline"/>
        </w:rPr>
        <w:t> </w:t>
      </w:r>
      <w:r>
        <w:rPr>
          <w:sz w:val="20"/>
          <w:vertAlign w:val="baseline"/>
        </w:rPr>
        <w:t>retain</w:t>
      </w:r>
      <w:r>
        <w:rPr>
          <w:spacing w:val="-6"/>
          <w:sz w:val="20"/>
          <w:vertAlign w:val="baseline"/>
        </w:rPr>
        <w:t> </w:t>
      </w:r>
      <w:r>
        <w:rPr>
          <w:sz w:val="20"/>
          <w:vertAlign w:val="baseline"/>
        </w:rPr>
        <w:t>sole taxing rights over the routine (or non-Amount A profits) of entities resident in their</w:t>
      </w:r>
      <w:r>
        <w:rPr>
          <w:spacing w:val="-23"/>
          <w:sz w:val="20"/>
          <w:vertAlign w:val="baseline"/>
        </w:rPr>
        <w:t> </w:t>
      </w:r>
      <w:r>
        <w:rPr>
          <w:sz w:val="20"/>
          <w:vertAlign w:val="baseline"/>
        </w:rPr>
        <w:t>jurisdiction.</w:t>
      </w:r>
    </w:p>
    <w:p>
      <w:pPr>
        <w:pStyle w:val="ListParagraph"/>
        <w:numPr>
          <w:ilvl w:val="0"/>
          <w:numId w:val="13"/>
        </w:numPr>
        <w:tabs>
          <w:tab w:pos="1444" w:val="left" w:leader="none"/>
        </w:tabs>
        <w:spacing w:line="271" w:lineRule="auto" w:before="123" w:after="0"/>
        <w:ind w:left="723" w:right="480" w:firstLine="0"/>
        <w:jc w:val="both"/>
        <w:rPr>
          <w:sz w:val="20"/>
        </w:rPr>
      </w:pPr>
      <w:r>
        <w:rPr>
          <w:sz w:val="20"/>
        </w:rPr>
        <w:t>In an Amount A context, a profitability test would identify entities that earn income in excess of a fixed return for payroll and tangible assets. A combined test based on payroll and tangible assets would take</w:t>
      </w:r>
      <w:r>
        <w:rPr>
          <w:spacing w:val="-15"/>
          <w:sz w:val="20"/>
        </w:rPr>
        <w:t> </w:t>
      </w:r>
      <w:r>
        <w:rPr>
          <w:sz w:val="20"/>
        </w:rPr>
        <w:t>into</w:t>
      </w:r>
      <w:r>
        <w:rPr>
          <w:spacing w:val="-14"/>
          <w:sz w:val="20"/>
        </w:rPr>
        <w:t> </w:t>
      </w:r>
      <w:r>
        <w:rPr>
          <w:sz w:val="20"/>
        </w:rPr>
        <w:t>account</w:t>
      </w:r>
      <w:r>
        <w:rPr>
          <w:spacing w:val="-11"/>
          <w:sz w:val="20"/>
        </w:rPr>
        <w:t> </w:t>
      </w:r>
      <w:r>
        <w:rPr>
          <w:sz w:val="20"/>
        </w:rPr>
        <w:t>the</w:t>
      </w:r>
      <w:r>
        <w:rPr>
          <w:spacing w:val="-13"/>
          <w:sz w:val="20"/>
        </w:rPr>
        <w:t> </w:t>
      </w:r>
      <w:r>
        <w:rPr>
          <w:sz w:val="20"/>
        </w:rPr>
        <w:t>varying</w:t>
      </w:r>
      <w:r>
        <w:rPr>
          <w:spacing w:val="-14"/>
          <w:sz w:val="20"/>
        </w:rPr>
        <w:t> </w:t>
      </w:r>
      <w:r>
        <w:rPr>
          <w:sz w:val="20"/>
        </w:rPr>
        <w:t>substance</w:t>
      </w:r>
      <w:r>
        <w:rPr>
          <w:spacing w:val="-12"/>
          <w:sz w:val="20"/>
        </w:rPr>
        <w:t> </w:t>
      </w:r>
      <w:r>
        <w:rPr>
          <w:sz w:val="20"/>
        </w:rPr>
        <w:t>profiles</w:t>
      </w:r>
      <w:r>
        <w:rPr>
          <w:spacing w:val="-11"/>
          <w:sz w:val="20"/>
        </w:rPr>
        <w:t> </w:t>
      </w:r>
      <w:r>
        <w:rPr>
          <w:sz w:val="20"/>
        </w:rPr>
        <w:t>of</w:t>
      </w:r>
      <w:r>
        <w:rPr>
          <w:spacing w:val="-12"/>
          <w:sz w:val="20"/>
        </w:rPr>
        <w:t> </w:t>
      </w:r>
      <w:r>
        <w:rPr>
          <w:sz w:val="20"/>
        </w:rPr>
        <w:t>different</w:t>
      </w:r>
      <w:r>
        <w:rPr>
          <w:spacing w:val="-14"/>
          <w:sz w:val="20"/>
        </w:rPr>
        <w:t> </w:t>
      </w:r>
      <w:r>
        <w:rPr>
          <w:sz w:val="20"/>
        </w:rPr>
        <w:t>types</w:t>
      </w:r>
      <w:r>
        <w:rPr>
          <w:spacing w:val="-13"/>
          <w:sz w:val="20"/>
        </w:rPr>
        <w:t> </w:t>
      </w:r>
      <w:r>
        <w:rPr>
          <w:sz w:val="20"/>
        </w:rPr>
        <w:t>of</w:t>
      </w:r>
      <w:r>
        <w:rPr>
          <w:spacing w:val="-10"/>
          <w:sz w:val="20"/>
        </w:rPr>
        <w:t> </w:t>
      </w:r>
      <w:r>
        <w:rPr>
          <w:sz w:val="20"/>
        </w:rPr>
        <w:t>entities,</w:t>
      </w:r>
      <w:r>
        <w:rPr>
          <w:spacing w:val="-11"/>
          <w:sz w:val="20"/>
        </w:rPr>
        <w:t> </w:t>
      </w:r>
      <w:r>
        <w:rPr>
          <w:sz w:val="20"/>
        </w:rPr>
        <w:t>including</w:t>
      </w:r>
      <w:r>
        <w:rPr>
          <w:spacing w:val="-13"/>
          <w:sz w:val="20"/>
        </w:rPr>
        <w:t> </w:t>
      </w:r>
      <w:r>
        <w:rPr>
          <w:sz w:val="20"/>
        </w:rPr>
        <w:t>labour-intensive</w:t>
      </w:r>
      <w:r>
        <w:rPr>
          <w:spacing w:val="-12"/>
          <w:sz w:val="20"/>
        </w:rPr>
        <w:t> </w:t>
      </w:r>
      <w:r>
        <w:rPr>
          <w:sz w:val="20"/>
        </w:rPr>
        <w:t>and asset-intensive businesses. It would level the playing field by acknowledging the contributions of both employees</w:t>
      </w:r>
      <w:r>
        <w:rPr>
          <w:spacing w:val="-13"/>
          <w:sz w:val="20"/>
        </w:rPr>
        <w:t> </w:t>
      </w:r>
      <w:r>
        <w:rPr>
          <w:sz w:val="20"/>
        </w:rPr>
        <w:t>and</w:t>
      </w:r>
      <w:r>
        <w:rPr>
          <w:spacing w:val="-15"/>
          <w:sz w:val="20"/>
        </w:rPr>
        <w:t> </w:t>
      </w:r>
      <w:r>
        <w:rPr>
          <w:sz w:val="20"/>
        </w:rPr>
        <w:t>tangible</w:t>
      </w:r>
      <w:r>
        <w:rPr>
          <w:spacing w:val="-16"/>
          <w:sz w:val="20"/>
        </w:rPr>
        <w:t> </w:t>
      </w:r>
      <w:r>
        <w:rPr>
          <w:sz w:val="20"/>
        </w:rPr>
        <w:t>assets</w:t>
      </w:r>
      <w:r>
        <w:rPr>
          <w:spacing w:val="-15"/>
          <w:sz w:val="20"/>
        </w:rPr>
        <w:t> </w:t>
      </w:r>
      <w:r>
        <w:rPr>
          <w:sz w:val="20"/>
        </w:rPr>
        <w:t>to</w:t>
      </w:r>
      <w:r>
        <w:rPr>
          <w:spacing w:val="-15"/>
          <w:sz w:val="20"/>
        </w:rPr>
        <w:t> </w:t>
      </w:r>
      <w:r>
        <w:rPr>
          <w:sz w:val="20"/>
        </w:rPr>
        <w:t>an</w:t>
      </w:r>
      <w:r>
        <w:rPr>
          <w:spacing w:val="-14"/>
          <w:sz w:val="20"/>
        </w:rPr>
        <w:t> </w:t>
      </w:r>
      <w:r>
        <w:rPr>
          <w:sz w:val="20"/>
        </w:rPr>
        <w:t>entity’s</w:t>
      </w:r>
      <w:r>
        <w:rPr>
          <w:spacing w:val="-16"/>
          <w:sz w:val="20"/>
        </w:rPr>
        <w:t> </w:t>
      </w:r>
      <w:r>
        <w:rPr>
          <w:sz w:val="20"/>
        </w:rPr>
        <w:t>routine</w:t>
      </w:r>
      <w:r>
        <w:rPr>
          <w:spacing w:val="-14"/>
          <w:sz w:val="20"/>
        </w:rPr>
        <w:t> </w:t>
      </w:r>
      <w:r>
        <w:rPr>
          <w:sz w:val="20"/>
        </w:rPr>
        <w:t>profits.</w:t>
      </w:r>
      <w:r>
        <w:rPr>
          <w:spacing w:val="-17"/>
          <w:sz w:val="20"/>
        </w:rPr>
        <w:t> </w:t>
      </w:r>
      <w:r>
        <w:rPr>
          <w:sz w:val="20"/>
        </w:rPr>
        <w:t>Such</w:t>
      </w:r>
      <w:r>
        <w:rPr>
          <w:spacing w:val="-16"/>
          <w:sz w:val="20"/>
        </w:rPr>
        <w:t> </w:t>
      </w:r>
      <w:r>
        <w:rPr>
          <w:sz w:val="20"/>
        </w:rPr>
        <w:t>an</w:t>
      </w:r>
      <w:r>
        <w:rPr>
          <w:spacing w:val="-16"/>
          <w:sz w:val="20"/>
        </w:rPr>
        <w:t> </w:t>
      </w:r>
      <w:r>
        <w:rPr>
          <w:sz w:val="20"/>
        </w:rPr>
        <w:t>approach</w:t>
      </w:r>
      <w:r>
        <w:rPr>
          <w:spacing w:val="-7"/>
          <w:sz w:val="20"/>
        </w:rPr>
        <w:t> </w:t>
      </w:r>
      <w:r>
        <w:rPr>
          <w:sz w:val="20"/>
        </w:rPr>
        <w:t>is</w:t>
      </w:r>
      <w:r>
        <w:rPr>
          <w:spacing w:val="-16"/>
          <w:sz w:val="20"/>
        </w:rPr>
        <w:t> </w:t>
      </w:r>
      <w:r>
        <w:rPr>
          <w:sz w:val="20"/>
        </w:rPr>
        <w:t>preferable</w:t>
      </w:r>
      <w:r>
        <w:rPr>
          <w:spacing w:val="-16"/>
          <w:sz w:val="20"/>
        </w:rPr>
        <w:t> </w:t>
      </w:r>
      <w:r>
        <w:rPr>
          <w:sz w:val="20"/>
        </w:rPr>
        <w:t>to</w:t>
      </w:r>
      <w:r>
        <w:rPr>
          <w:spacing w:val="-16"/>
          <w:sz w:val="20"/>
        </w:rPr>
        <w:t> </w:t>
      </w:r>
      <w:r>
        <w:rPr>
          <w:sz w:val="20"/>
        </w:rPr>
        <w:t>a</w:t>
      </w:r>
      <w:r>
        <w:rPr>
          <w:spacing w:val="-15"/>
          <w:sz w:val="20"/>
        </w:rPr>
        <w:t> </w:t>
      </w:r>
      <w:r>
        <w:rPr>
          <w:sz w:val="20"/>
        </w:rPr>
        <w:t>profitability test based on a single factor, either payroll or tangible assets, given that a single factor approach would favour</w:t>
      </w:r>
      <w:r>
        <w:rPr>
          <w:spacing w:val="-11"/>
          <w:sz w:val="20"/>
        </w:rPr>
        <w:t> </w:t>
      </w:r>
      <w:r>
        <w:rPr>
          <w:sz w:val="20"/>
        </w:rPr>
        <w:t>entities</w:t>
      </w:r>
      <w:r>
        <w:rPr>
          <w:spacing w:val="-8"/>
          <w:sz w:val="20"/>
        </w:rPr>
        <w:t> </w:t>
      </w:r>
      <w:r>
        <w:rPr>
          <w:sz w:val="20"/>
        </w:rPr>
        <w:t>performing</w:t>
      </w:r>
      <w:r>
        <w:rPr>
          <w:spacing w:val="-13"/>
          <w:sz w:val="20"/>
        </w:rPr>
        <w:t> </w:t>
      </w:r>
      <w:r>
        <w:rPr>
          <w:sz w:val="20"/>
        </w:rPr>
        <w:t>one</w:t>
      </w:r>
      <w:r>
        <w:rPr>
          <w:spacing w:val="-12"/>
          <w:sz w:val="20"/>
        </w:rPr>
        <w:t> </w:t>
      </w:r>
      <w:r>
        <w:rPr>
          <w:sz w:val="20"/>
        </w:rPr>
        <w:t>type</w:t>
      </w:r>
      <w:r>
        <w:rPr>
          <w:spacing w:val="-12"/>
          <w:sz w:val="20"/>
        </w:rPr>
        <w:t> </w:t>
      </w:r>
      <w:r>
        <w:rPr>
          <w:sz w:val="20"/>
        </w:rPr>
        <w:t>of</w:t>
      </w:r>
      <w:r>
        <w:rPr>
          <w:spacing w:val="-10"/>
          <w:sz w:val="20"/>
        </w:rPr>
        <w:t> </w:t>
      </w:r>
      <w:r>
        <w:rPr>
          <w:sz w:val="20"/>
        </w:rPr>
        <w:t>activities</w:t>
      </w:r>
      <w:r>
        <w:rPr>
          <w:spacing w:val="-10"/>
          <w:sz w:val="20"/>
        </w:rPr>
        <w:t> </w:t>
      </w:r>
      <w:r>
        <w:rPr>
          <w:sz w:val="20"/>
        </w:rPr>
        <w:t>over</w:t>
      </w:r>
      <w:r>
        <w:rPr>
          <w:spacing w:val="-12"/>
          <w:sz w:val="20"/>
        </w:rPr>
        <w:t> </w:t>
      </w:r>
      <w:r>
        <w:rPr>
          <w:sz w:val="20"/>
        </w:rPr>
        <w:t>another,</w:t>
      </w:r>
      <w:r>
        <w:rPr>
          <w:spacing w:val="-9"/>
          <w:sz w:val="20"/>
        </w:rPr>
        <w:t> </w:t>
      </w:r>
      <w:r>
        <w:rPr>
          <w:sz w:val="20"/>
        </w:rPr>
        <w:t>though</w:t>
      </w:r>
      <w:r>
        <w:rPr>
          <w:spacing w:val="-10"/>
          <w:sz w:val="20"/>
        </w:rPr>
        <w:t> </w:t>
      </w:r>
      <w:r>
        <w:rPr>
          <w:sz w:val="20"/>
        </w:rPr>
        <w:t>the</w:t>
      </w:r>
      <w:r>
        <w:rPr>
          <w:spacing w:val="-10"/>
          <w:sz w:val="20"/>
        </w:rPr>
        <w:t> </w:t>
      </w:r>
      <w:r>
        <w:rPr>
          <w:sz w:val="20"/>
        </w:rPr>
        <w:t>Inclusive</w:t>
      </w:r>
      <w:r>
        <w:rPr>
          <w:spacing w:val="-10"/>
          <w:sz w:val="20"/>
        </w:rPr>
        <w:t> </w:t>
      </w:r>
      <w:r>
        <w:rPr>
          <w:sz w:val="20"/>
        </w:rPr>
        <w:t>Framework</w:t>
      </w:r>
      <w:r>
        <w:rPr>
          <w:spacing w:val="-7"/>
          <w:sz w:val="20"/>
        </w:rPr>
        <w:t> </w:t>
      </w:r>
      <w:r>
        <w:rPr>
          <w:sz w:val="20"/>
        </w:rPr>
        <w:t>will</w:t>
      </w:r>
      <w:r>
        <w:rPr>
          <w:spacing w:val="-12"/>
          <w:sz w:val="20"/>
        </w:rPr>
        <w:t> </w:t>
      </w:r>
      <w:r>
        <w:rPr>
          <w:sz w:val="20"/>
        </w:rPr>
        <w:t>continue to explore other potential profitability</w:t>
      </w:r>
      <w:r>
        <w:rPr>
          <w:spacing w:val="-3"/>
          <w:sz w:val="20"/>
        </w:rPr>
        <w:t> </w:t>
      </w:r>
      <w:r>
        <w:rPr>
          <w:sz w:val="20"/>
        </w:rPr>
        <w:t>tests.</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There are two sources of readily available financial information that could be used to apply the profitability test outlined above, namely tax accounts and financial accounts. It would not be appropriate, however,</w:t>
      </w:r>
      <w:r>
        <w:rPr>
          <w:spacing w:val="-9"/>
          <w:sz w:val="20"/>
        </w:rPr>
        <w:t> </w:t>
      </w:r>
      <w:r>
        <w:rPr>
          <w:sz w:val="20"/>
        </w:rPr>
        <w:t>to</w:t>
      </w:r>
      <w:r>
        <w:rPr>
          <w:spacing w:val="-10"/>
          <w:sz w:val="20"/>
        </w:rPr>
        <w:t> </w:t>
      </w:r>
      <w:r>
        <w:rPr>
          <w:sz w:val="20"/>
        </w:rPr>
        <w:t>apply</w:t>
      </w:r>
      <w:r>
        <w:rPr>
          <w:spacing w:val="-13"/>
          <w:sz w:val="20"/>
        </w:rPr>
        <w:t> </w:t>
      </w:r>
      <w:r>
        <w:rPr>
          <w:sz w:val="20"/>
        </w:rPr>
        <w:t>this</w:t>
      </w:r>
      <w:r>
        <w:rPr>
          <w:spacing w:val="-8"/>
          <w:sz w:val="20"/>
        </w:rPr>
        <w:t> </w:t>
      </w:r>
      <w:r>
        <w:rPr>
          <w:sz w:val="20"/>
        </w:rPr>
        <w:t>test</w:t>
      </w:r>
      <w:r>
        <w:rPr>
          <w:spacing w:val="-10"/>
          <w:sz w:val="20"/>
        </w:rPr>
        <w:t> </w:t>
      </w:r>
      <w:r>
        <w:rPr>
          <w:sz w:val="20"/>
        </w:rPr>
        <w:t>using</w:t>
      </w:r>
      <w:r>
        <w:rPr>
          <w:spacing w:val="-10"/>
          <w:sz w:val="20"/>
        </w:rPr>
        <w:t> </w:t>
      </w:r>
      <w:r>
        <w:rPr>
          <w:sz w:val="20"/>
        </w:rPr>
        <w:t>tax</w:t>
      </w:r>
      <w:r>
        <w:rPr>
          <w:spacing w:val="-12"/>
          <w:sz w:val="20"/>
        </w:rPr>
        <w:t> </w:t>
      </w:r>
      <w:r>
        <w:rPr>
          <w:sz w:val="20"/>
        </w:rPr>
        <w:t>accounts.</w:t>
      </w:r>
      <w:r>
        <w:rPr>
          <w:spacing w:val="-11"/>
          <w:sz w:val="20"/>
        </w:rPr>
        <w:t> </w:t>
      </w:r>
      <w:r>
        <w:rPr>
          <w:sz w:val="20"/>
        </w:rPr>
        <w:t>This</w:t>
      </w:r>
      <w:r>
        <w:rPr>
          <w:spacing w:val="-9"/>
          <w:sz w:val="20"/>
        </w:rPr>
        <w:t> </w:t>
      </w:r>
      <w:r>
        <w:rPr>
          <w:sz w:val="20"/>
        </w:rPr>
        <w:t>is</w:t>
      </w:r>
      <w:r>
        <w:rPr>
          <w:spacing w:val="-11"/>
          <w:sz w:val="20"/>
        </w:rPr>
        <w:t> </w:t>
      </w:r>
      <w:r>
        <w:rPr>
          <w:sz w:val="20"/>
        </w:rPr>
        <w:t>because</w:t>
      </w:r>
      <w:r>
        <w:rPr>
          <w:spacing w:val="-12"/>
          <w:sz w:val="20"/>
        </w:rPr>
        <w:t> </w:t>
      </w:r>
      <w:r>
        <w:rPr>
          <w:sz w:val="20"/>
        </w:rPr>
        <w:t>there</w:t>
      </w:r>
      <w:r>
        <w:rPr>
          <w:spacing w:val="-10"/>
          <w:sz w:val="20"/>
        </w:rPr>
        <w:t> </w:t>
      </w:r>
      <w:r>
        <w:rPr>
          <w:sz w:val="20"/>
        </w:rPr>
        <w:t>are</w:t>
      </w:r>
      <w:r>
        <w:rPr>
          <w:spacing w:val="-10"/>
          <w:sz w:val="20"/>
        </w:rPr>
        <w:t> </w:t>
      </w:r>
      <w:r>
        <w:rPr>
          <w:sz w:val="20"/>
        </w:rPr>
        <w:t>significant</w:t>
      </w:r>
      <w:r>
        <w:rPr>
          <w:spacing w:val="-10"/>
          <w:sz w:val="20"/>
        </w:rPr>
        <w:t> </w:t>
      </w:r>
      <w:r>
        <w:rPr>
          <w:sz w:val="20"/>
        </w:rPr>
        <w:t>jurisdictional</w:t>
      </w:r>
      <w:r>
        <w:rPr>
          <w:spacing w:val="-10"/>
          <w:sz w:val="20"/>
        </w:rPr>
        <w:t> </w:t>
      </w:r>
      <w:r>
        <w:rPr>
          <w:sz w:val="20"/>
        </w:rPr>
        <w:t>variations in</w:t>
      </w:r>
      <w:r>
        <w:rPr>
          <w:spacing w:val="-7"/>
          <w:sz w:val="20"/>
        </w:rPr>
        <w:t> </w:t>
      </w:r>
      <w:r>
        <w:rPr>
          <w:sz w:val="20"/>
        </w:rPr>
        <w:t>how</w:t>
      </w:r>
      <w:r>
        <w:rPr>
          <w:spacing w:val="-8"/>
          <w:sz w:val="20"/>
        </w:rPr>
        <w:t> </w:t>
      </w:r>
      <w:r>
        <w:rPr>
          <w:sz w:val="20"/>
        </w:rPr>
        <w:t>tax</w:t>
      </w:r>
      <w:r>
        <w:rPr>
          <w:spacing w:val="-5"/>
          <w:sz w:val="20"/>
        </w:rPr>
        <w:t> </w:t>
      </w:r>
      <w:r>
        <w:rPr>
          <w:sz w:val="20"/>
        </w:rPr>
        <w:t>bases</w:t>
      </w:r>
      <w:r>
        <w:rPr>
          <w:spacing w:val="-3"/>
          <w:sz w:val="20"/>
        </w:rPr>
        <w:t> </w:t>
      </w:r>
      <w:r>
        <w:rPr>
          <w:sz w:val="20"/>
        </w:rPr>
        <w:t>are</w:t>
      </w:r>
      <w:r>
        <w:rPr>
          <w:spacing w:val="-6"/>
          <w:sz w:val="20"/>
        </w:rPr>
        <w:t> </w:t>
      </w:r>
      <w:r>
        <w:rPr>
          <w:sz w:val="20"/>
        </w:rPr>
        <w:t>determined,</w:t>
      </w:r>
      <w:r>
        <w:rPr>
          <w:spacing w:val="-4"/>
          <w:sz w:val="20"/>
        </w:rPr>
        <w:t> </w:t>
      </w:r>
      <w:r>
        <w:rPr>
          <w:sz w:val="20"/>
        </w:rPr>
        <w:t>which</w:t>
      </w:r>
      <w:r>
        <w:rPr>
          <w:spacing w:val="-5"/>
          <w:sz w:val="20"/>
        </w:rPr>
        <w:t> </w:t>
      </w:r>
      <w:r>
        <w:rPr>
          <w:sz w:val="20"/>
        </w:rPr>
        <w:t>means</w:t>
      </w:r>
      <w:r>
        <w:rPr>
          <w:spacing w:val="-6"/>
          <w:sz w:val="20"/>
        </w:rPr>
        <w:t> </w:t>
      </w:r>
      <w:r>
        <w:rPr>
          <w:sz w:val="20"/>
        </w:rPr>
        <w:t>that,</w:t>
      </w:r>
      <w:r>
        <w:rPr>
          <w:spacing w:val="-4"/>
          <w:sz w:val="20"/>
        </w:rPr>
        <w:t> </w:t>
      </w:r>
      <w:r>
        <w:rPr>
          <w:sz w:val="20"/>
        </w:rPr>
        <w:t>as</w:t>
      </w:r>
      <w:r>
        <w:rPr>
          <w:spacing w:val="-4"/>
          <w:sz w:val="20"/>
        </w:rPr>
        <w:t> </w:t>
      </w:r>
      <w:r>
        <w:rPr>
          <w:sz w:val="20"/>
        </w:rPr>
        <w:t>an</w:t>
      </w:r>
      <w:r>
        <w:rPr>
          <w:spacing w:val="-7"/>
          <w:sz w:val="20"/>
        </w:rPr>
        <w:t> </w:t>
      </w:r>
      <w:r>
        <w:rPr>
          <w:sz w:val="20"/>
        </w:rPr>
        <w:t>example,</w:t>
      </w:r>
      <w:r>
        <w:rPr>
          <w:spacing w:val="-6"/>
          <w:sz w:val="20"/>
        </w:rPr>
        <w:t> </w:t>
      </w:r>
      <w:r>
        <w:rPr>
          <w:sz w:val="20"/>
        </w:rPr>
        <w:t>the</w:t>
      </w:r>
      <w:r>
        <w:rPr>
          <w:spacing w:val="-5"/>
          <w:sz w:val="20"/>
        </w:rPr>
        <w:t> </w:t>
      </w:r>
      <w:r>
        <w:rPr>
          <w:sz w:val="20"/>
        </w:rPr>
        <w:t>design</w:t>
      </w:r>
      <w:r>
        <w:rPr>
          <w:spacing w:val="-7"/>
          <w:sz w:val="20"/>
        </w:rPr>
        <w:t> </w:t>
      </w:r>
      <w:r>
        <w:rPr>
          <w:sz w:val="20"/>
        </w:rPr>
        <w:t>of</w:t>
      </w:r>
      <w:r>
        <w:rPr>
          <w:spacing w:val="-2"/>
          <w:sz w:val="20"/>
        </w:rPr>
        <w:t> </w:t>
      </w:r>
      <w:r>
        <w:rPr>
          <w:sz w:val="20"/>
        </w:rPr>
        <w:t>a</w:t>
      </w:r>
      <w:r>
        <w:rPr>
          <w:spacing w:val="-6"/>
          <w:sz w:val="20"/>
        </w:rPr>
        <w:t> </w:t>
      </w:r>
      <w:r>
        <w:rPr>
          <w:sz w:val="20"/>
        </w:rPr>
        <w:t>jurisdiction’s</w:t>
      </w:r>
      <w:r>
        <w:rPr>
          <w:spacing w:val="-5"/>
          <w:sz w:val="20"/>
        </w:rPr>
        <w:t> </w:t>
      </w:r>
      <w:r>
        <w:rPr>
          <w:sz w:val="20"/>
        </w:rPr>
        <w:t>R&amp;D</w:t>
      </w:r>
      <w:r>
        <w:rPr>
          <w:spacing w:val="-6"/>
          <w:sz w:val="20"/>
        </w:rPr>
        <w:t> </w:t>
      </w:r>
      <w:r>
        <w:rPr>
          <w:sz w:val="20"/>
        </w:rPr>
        <w:t>tax incentives would impact the reported profitability of an entity. Therefore, and to align with Pillar Two, the profitability test will apply based on entity-level financial accounts used by a group to prepare its consolidated</w:t>
      </w:r>
      <w:r>
        <w:rPr>
          <w:spacing w:val="-12"/>
          <w:sz w:val="20"/>
        </w:rPr>
        <w:t> </w:t>
      </w:r>
      <w:r>
        <w:rPr>
          <w:sz w:val="20"/>
        </w:rPr>
        <w:t>accounts.</w:t>
      </w:r>
      <w:r>
        <w:rPr>
          <w:spacing w:val="-12"/>
          <w:sz w:val="20"/>
        </w:rPr>
        <w:t> </w:t>
      </w:r>
      <w:r>
        <w:rPr>
          <w:sz w:val="20"/>
        </w:rPr>
        <w:t>These</w:t>
      </w:r>
      <w:r>
        <w:rPr>
          <w:spacing w:val="-12"/>
          <w:sz w:val="20"/>
        </w:rPr>
        <w:t> </w:t>
      </w:r>
      <w:r>
        <w:rPr>
          <w:sz w:val="20"/>
        </w:rPr>
        <w:t>accounts</w:t>
      </w:r>
      <w:r>
        <w:rPr>
          <w:spacing w:val="-11"/>
          <w:sz w:val="20"/>
        </w:rPr>
        <w:t> </w:t>
      </w:r>
      <w:r>
        <w:rPr>
          <w:sz w:val="20"/>
        </w:rPr>
        <w:t>will</w:t>
      </w:r>
      <w:r>
        <w:rPr>
          <w:spacing w:val="-12"/>
          <w:sz w:val="20"/>
        </w:rPr>
        <w:t> </w:t>
      </w:r>
      <w:r>
        <w:rPr>
          <w:sz w:val="20"/>
        </w:rPr>
        <w:t>be</w:t>
      </w:r>
      <w:r>
        <w:rPr>
          <w:spacing w:val="-12"/>
          <w:sz w:val="20"/>
        </w:rPr>
        <w:t> </w:t>
      </w:r>
      <w:r>
        <w:rPr>
          <w:sz w:val="20"/>
        </w:rPr>
        <w:t>prepared</w:t>
      </w:r>
      <w:r>
        <w:rPr>
          <w:spacing w:val="-12"/>
          <w:sz w:val="20"/>
        </w:rPr>
        <w:t> </w:t>
      </w:r>
      <w:r>
        <w:rPr>
          <w:sz w:val="20"/>
        </w:rPr>
        <w:t>under</w:t>
      </w:r>
      <w:r>
        <w:rPr>
          <w:spacing w:val="-10"/>
          <w:sz w:val="20"/>
        </w:rPr>
        <w:t> </w:t>
      </w:r>
      <w:r>
        <w:rPr>
          <w:sz w:val="20"/>
        </w:rPr>
        <w:t>IFRS</w:t>
      </w:r>
      <w:r>
        <w:rPr>
          <w:spacing w:val="-12"/>
          <w:sz w:val="20"/>
        </w:rPr>
        <w:t> </w:t>
      </w:r>
      <w:r>
        <w:rPr>
          <w:sz w:val="20"/>
        </w:rPr>
        <w:t>or</w:t>
      </w:r>
      <w:r>
        <w:rPr>
          <w:spacing w:val="-11"/>
          <w:sz w:val="20"/>
        </w:rPr>
        <w:t> </w:t>
      </w:r>
      <w:r>
        <w:rPr>
          <w:sz w:val="20"/>
        </w:rPr>
        <w:t>a</w:t>
      </w:r>
      <w:r>
        <w:rPr>
          <w:spacing w:val="-12"/>
          <w:sz w:val="20"/>
        </w:rPr>
        <w:t> </w:t>
      </w:r>
      <w:r>
        <w:rPr>
          <w:sz w:val="20"/>
        </w:rPr>
        <w:t>comparable</w:t>
      </w:r>
      <w:r>
        <w:rPr>
          <w:spacing w:val="-12"/>
          <w:sz w:val="20"/>
        </w:rPr>
        <w:t> </w:t>
      </w:r>
      <w:r>
        <w:rPr>
          <w:sz w:val="20"/>
        </w:rPr>
        <w:t>accounting</w:t>
      </w:r>
      <w:r>
        <w:rPr>
          <w:spacing w:val="-12"/>
          <w:sz w:val="20"/>
        </w:rPr>
        <w:t> </w:t>
      </w:r>
      <w:r>
        <w:rPr>
          <w:sz w:val="20"/>
        </w:rPr>
        <w:t>standard used by the group to prepare its consolidated accounts. Such an approach will be more consistent than reliance on entity-level accounts prepared under domestic accounting standards (where there can be significant variation between</w:t>
      </w:r>
      <w:r>
        <w:rPr>
          <w:spacing w:val="-4"/>
          <w:sz w:val="20"/>
        </w:rPr>
        <w:t> </w:t>
      </w:r>
      <w:r>
        <w:rPr>
          <w:sz w:val="20"/>
        </w:rPr>
        <w:t>jurisdictions).</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Where</w:t>
      </w:r>
      <w:r>
        <w:rPr>
          <w:spacing w:val="-6"/>
          <w:sz w:val="20"/>
        </w:rPr>
        <w:t> </w:t>
      </w:r>
      <w:r>
        <w:rPr>
          <w:sz w:val="20"/>
        </w:rPr>
        <w:t>a</w:t>
      </w:r>
      <w:r>
        <w:rPr>
          <w:spacing w:val="-7"/>
          <w:sz w:val="20"/>
        </w:rPr>
        <w:t> </w:t>
      </w:r>
      <w:r>
        <w:rPr>
          <w:sz w:val="20"/>
        </w:rPr>
        <w:t>potential</w:t>
      </w:r>
      <w:r>
        <w:rPr>
          <w:spacing w:val="-5"/>
          <w:sz w:val="20"/>
        </w:rPr>
        <w:t> </w:t>
      </w:r>
      <w:r>
        <w:rPr>
          <w:sz w:val="20"/>
        </w:rPr>
        <w:t>paying</w:t>
      </w:r>
      <w:r>
        <w:rPr>
          <w:spacing w:val="-7"/>
          <w:sz w:val="20"/>
        </w:rPr>
        <w:t> </w:t>
      </w:r>
      <w:r>
        <w:rPr>
          <w:sz w:val="20"/>
        </w:rPr>
        <w:t>entity</w:t>
      </w:r>
      <w:r>
        <w:rPr>
          <w:spacing w:val="-10"/>
          <w:sz w:val="20"/>
        </w:rPr>
        <w:t> </w:t>
      </w:r>
      <w:r>
        <w:rPr>
          <w:sz w:val="20"/>
        </w:rPr>
        <w:t>derives</w:t>
      </w:r>
      <w:r>
        <w:rPr>
          <w:spacing w:val="-6"/>
          <w:sz w:val="20"/>
        </w:rPr>
        <w:t> </w:t>
      </w:r>
      <w:r>
        <w:rPr>
          <w:sz w:val="20"/>
        </w:rPr>
        <w:t>profits</w:t>
      </w:r>
      <w:r>
        <w:rPr>
          <w:spacing w:val="-5"/>
          <w:sz w:val="20"/>
        </w:rPr>
        <w:t> </w:t>
      </w:r>
      <w:r>
        <w:rPr>
          <w:sz w:val="20"/>
        </w:rPr>
        <w:t>from</w:t>
      </w:r>
      <w:r>
        <w:rPr>
          <w:spacing w:val="-4"/>
          <w:sz w:val="20"/>
        </w:rPr>
        <w:t> </w:t>
      </w:r>
      <w:r>
        <w:rPr>
          <w:sz w:val="20"/>
        </w:rPr>
        <w:t>more</w:t>
      </w:r>
      <w:r>
        <w:rPr>
          <w:spacing w:val="-7"/>
          <w:sz w:val="20"/>
        </w:rPr>
        <w:t> </w:t>
      </w:r>
      <w:r>
        <w:rPr>
          <w:sz w:val="20"/>
        </w:rPr>
        <w:t>than</w:t>
      </w:r>
      <w:r>
        <w:rPr>
          <w:spacing w:val="-5"/>
          <w:sz w:val="20"/>
        </w:rPr>
        <w:t> </w:t>
      </w:r>
      <w:r>
        <w:rPr>
          <w:sz w:val="20"/>
        </w:rPr>
        <w:t>one</w:t>
      </w:r>
      <w:r>
        <w:rPr>
          <w:spacing w:val="-6"/>
          <w:sz w:val="20"/>
        </w:rPr>
        <w:t> </w:t>
      </w:r>
      <w:r>
        <w:rPr>
          <w:sz w:val="20"/>
        </w:rPr>
        <w:t>segment</w:t>
      </w:r>
      <w:r>
        <w:rPr>
          <w:spacing w:val="-6"/>
          <w:sz w:val="20"/>
        </w:rPr>
        <w:t> </w:t>
      </w:r>
      <w:r>
        <w:rPr>
          <w:sz w:val="20"/>
        </w:rPr>
        <w:t>(as</w:t>
      </w:r>
      <w:r>
        <w:rPr>
          <w:spacing w:val="-6"/>
          <w:sz w:val="20"/>
        </w:rPr>
        <w:t> </w:t>
      </w:r>
      <w:r>
        <w:rPr>
          <w:sz w:val="20"/>
        </w:rPr>
        <w:t>defined</w:t>
      </w:r>
      <w:r>
        <w:rPr>
          <w:spacing w:val="-7"/>
          <w:sz w:val="20"/>
        </w:rPr>
        <w:t> </w:t>
      </w:r>
      <w:r>
        <w:rPr>
          <w:sz w:val="20"/>
        </w:rPr>
        <w:t>under</w:t>
      </w:r>
      <w:r>
        <w:rPr>
          <w:spacing w:val="-6"/>
          <w:sz w:val="20"/>
        </w:rPr>
        <w:t> </w:t>
      </w:r>
      <w:r>
        <w:rPr>
          <w:sz w:val="20"/>
        </w:rPr>
        <w:t>the Amount A segmentation framework) it will be necessary to subdivide the entity-level accounts between these two or more segments in order to apply the profitability test. This is necessary to ensure that the different segments are not pooled together, which could result in an entity being inappropriately identified or</w:t>
      </w:r>
      <w:r>
        <w:rPr>
          <w:spacing w:val="-5"/>
          <w:sz w:val="20"/>
        </w:rPr>
        <w:t> </w:t>
      </w:r>
      <w:r>
        <w:rPr>
          <w:sz w:val="20"/>
        </w:rPr>
        <w:t>not</w:t>
      </w:r>
      <w:r>
        <w:rPr>
          <w:spacing w:val="-5"/>
          <w:sz w:val="20"/>
        </w:rPr>
        <w:t> </w:t>
      </w:r>
      <w:r>
        <w:rPr>
          <w:sz w:val="20"/>
        </w:rPr>
        <w:t>identified</w:t>
      </w:r>
      <w:r>
        <w:rPr>
          <w:spacing w:val="-5"/>
          <w:sz w:val="20"/>
        </w:rPr>
        <w:t> </w:t>
      </w:r>
      <w:r>
        <w:rPr>
          <w:sz w:val="20"/>
        </w:rPr>
        <w:t>at</w:t>
      </w:r>
      <w:r>
        <w:rPr>
          <w:spacing w:val="-5"/>
          <w:sz w:val="20"/>
        </w:rPr>
        <w:t> </w:t>
      </w:r>
      <w:r>
        <w:rPr>
          <w:sz w:val="20"/>
        </w:rPr>
        <w:t>alas</w:t>
      </w:r>
      <w:r>
        <w:rPr>
          <w:spacing w:val="-3"/>
          <w:sz w:val="20"/>
        </w:rPr>
        <w:t> </w:t>
      </w:r>
      <w:r>
        <w:rPr>
          <w:sz w:val="20"/>
        </w:rPr>
        <w:t>a</w:t>
      </w:r>
      <w:r>
        <w:rPr>
          <w:spacing w:val="-5"/>
          <w:sz w:val="20"/>
        </w:rPr>
        <w:t> </w:t>
      </w:r>
      <w:r>
        <w:rPr>
          <w:sz w:val="20"/>
        </w:rPr>
        <w:t>paying</w:t>
      </w:r>
      <w:r>
        <w:rPr>
          <w:spacing w:val="-4"/>
          <w:sz w:val="20"/>
        </w:rPr>
        <w:t> </w:t>
      </w:r>
      <w:r>
        <w:rPr>
          <w:sz w:val="20"/>
        </w:rPr>
        <w:t>entity.</w:t>
      </w:r>
      <w:r>
        <w:rPr>
          <w:spacing w:val="-4"/>
          <w:sz w:val="20"/>
        </w:rPr>
        <w:t> </w:t>
      </w:r>
      <w:r>
        <w:rPr>
          <w:sz w:val="20"/>
        </w:rPr>
        <w:t>Further,</w:t>
      </w:r>
      <w:r>
        <w:rPr>
          <w:spacing w:val="-4"/>
          <w:sz w:val="20"/>
        </w:rPr>
        <w:t> </w:t>
      </w:r>
      <w:r>
        <w:rPr>
          <w:sz w:val="20"/>
        </w:rPr>
        <w:t>the</w:t>
      </w:r>
      <w:r>
        <w:rPr>
          <w:spacing w:val="-4"/>
          <w:sz w:val="20"/>
        </w:rPr>
        <w:t> </w:t>
      </w:r>
      <w:r>
        <w:rPr>
          <w:sz w:val="20"/>
        </w:rPr>
        <w:t>definition</w:t>
      </w:r>
      <w:r>
        <w:rPr>
          <w:spacing w:val="-5"/>
          <w:sz w:val="20"/>
        </w:rPr>
        <w:t> </w:t>
      </w:r>
      <w:r>
        <w:rPr>
          <w:sz w:val="20"/>
        </w:rPr>
        <w:t>of</w:t>
      </w:r>
      <w:r>
        <w:rPr>
          <w:spacing w:val="-2"/>
          <w:sz w:val="20"/>
        </w:rPr>
        <w:t> </w:t>
      </w:r>
      <w:r>
        <w:rPr>
          <w:sz w:val="20"/>
        </w:rPr>
        <w:t>PBT</w:t>
      </w:r>
      <w:r>
        <w:rPr>
          <w:spacing w:val="-1"/>
          <w:sz w:val="20"/>
        </w:rPr>
        <w:t> </w:t>
      </w:r>
      <w:r>
        <w:rPr>
          <w:sz w:val="20"/>
        </w:rPr>
        <w:t>developed</w:t>
      </w:r>
      <w:r>
        <w:rPr>
          <w:spacing w:val="-4"/>
          <w:sz w:val="20"/>
        </w:rPr>
        <w:t> </w:t>
      </w:r>
      <w:r>
        <w:rPr>
          <w:sz w:val="20"/>
        </w:rPr>
        <w:t>to</w:t>
      </w:r>
      <w:r>
        <w:rPr>
          <w:spacing w:val="-2"/>
          <w:sz w:val="20"/>
        </w:rPr>
        <w:t> </w:t>
      </w:r>
      <w:r>
        <w:rPr>
          <w:sz w:val="20"/>
        </w:rPr>
        <w:t>compute</w:t>
      </w:r>
      <w:r>
        <w:rPr>
          <w:spacing w:val="-4"/>
          <w:sz w:val="20"/>
        </w:rPr>
        <w:t> </w:t>
      </w:r>
      <w:r>
        <w:rPr>
          <w:spacing w:val="2"/>
          <w:sz w:val="20"/>
        </w:rPr>
        <w:t>the</w:t>
      </w:r>
      <w:r>
        <w:rPr>
          <w:spacing w:val="-3"/>
          <w:sz w:val="20"/>
        </w:rPr>
        <w:t> </w:t>
      </w:r>
      <w:r>
        <w:rPr>
          <w:sz w:val="20"/>
        </w:rPr>
        <w:t>Amount</w:t>
      </w:r>
      <w:r>
        <w:rPr>
          <w:spacing w:val="-5"/>
          <w:sz w:val="20"/>
        </w:rPr>
        <w:t> </w:t>
      </w:r>
      <w:r>
        <w:rPr>
          <w:sz w:val="20"/>
        </w:rPr>
        <w:t>A tax base, will exclude dividend income and gains or losses from the disposal of shares, and may also exclude</w:t>
      </w:r>
      <w:r>
        <w:rPr>
          <w:spacing w:val="34"/>
          <w:sz w:val="20"/>
        </w:rPr>
        <w:t> </w:t>
      </w:r>
      <w:r>
        <w:rPr>
          <w:sz w:val="20"/>
        </w:rPr>
        <w:t>other</w:t>
      </w:r>
      <w:r>
        <w:rPr>
          <w:spacing w:val="33"/>
          <w:sz w:val="20"/>
        </w:rPr>
        <w:t> </w:t>
      </w:r>
      <w:r>
        <w:rPr>
          <w:sz w:val="20"/>
        </w:rPr>
        <w:t>types</w:t>
      </w:r>
      <w:r>
        <w:rPr>
          <w:spacing w:val="33"/>
          <w:sz w:val="20"/>
        </w:rPr>
        <w:t> </w:t>
      </w:r>
      <w:r>
        <w:rPr>
          <w:sz w:val="20"/>
        </w:rPr>
        <w:t>of</w:t>
      </w:r>
      <w:r>
        <w:rPr>
          <w:spacing w:val="34"/>
          <w:sz w:val="20"/>
        </w:rPr>
        <w:t> </w:t>
      </w:r>
      <w:r>
        <w:rPr>
          <w:sz w:val="20"/>
        </w:rPr>
        <w:t>income.</w:t>
      </w:r>
      <w:r>
        <w:rPr>
          <w:spacing w:val="29"/>
          <w:sz w:val="20"/>
        </w:rPr>
        <w:t> </w:t>
      </w:r>
      <w:r>
        <w:rPr>
          <w:sz w:val="20"/>
        </w:rPr>
        <w:t>To</w:t>
      </w:r>
      <w:r>
        <w:rPr>
          <w:spacing w:val="32"/>
          <w:sz w:val="20"/>
        </w:rPr>
        <w:t> </w:t>
      </w:r>
      <w:r>
        <w:rPr>
          <w:sz w:val="20"/>
        </w:rPr>
        <w:t>ensure</w:t>
      </w:r>
      <w:r>
        <w:rPr>
          <w:spacing w:val="33"/>
          <w:sz w:val="20"/>
        </w:rPr>
        <w:t> </w:t>
      </w:r>
      <w:r>
        <w:rPr>
          <w:sz w:val="20"/>
        </w:rPr>
        <w:t>symmetry</w:t>
      </w:r>
      <w:r>
        <w:rPr>
          <w:spacing w:val="29"/>
          <w:sz w:val="20"/>
        </w:rPr>
        <w:t> </w:t>
      </w:r>
      <w:r>
        <w:rPr>
          <w:sz w:val="20"/>
        </w:rPr>
        <w:t>between</w:t>
      </w:r>
      <w:r>
        <w:rPr>
          <w:spacing w:val="32"/>
          <w:sz w:val="20"/>
        </w:rPr>
        <w:t> </w:t>
      </w:r>
      <w:r>
        <w:rPr>
          <w:sz w:val="20"/>
        </w:rPr>
        <w:t>the</w:t>
      </w:r>
      <w:r>
        <w:rPr>
          <w:spacing w:val="33"/>
          <w:sz w:val="20"/>
        </w:rPr>
        <w:t> </w:t>
      </w:r>
      <w:r>
        <w:rPr>
          <w:sz w:val="20"/>
        </w:rPr>
        <w:t>computation</w:t>
      </w:r>
      <w:r>
        <w:rPr>
          <w:spacing w:val="34"/>
          <w:sz w:val="20"/>
        </w:rPr>
        <w:t> </w:t>
      </w:r>
      <w:r>
        <w:rPr>
          <w:sz w:val="20"/>
        </w:rPr>
        <w:t>of</w:t>
      </w:r>
      <w:r>
        <w:rPr>
          <w:spacing w:val="34"/>
          <w:sz w:val="20"/>
        </w:rPr>
        <w:t> </w:t>
      </w:r>
      <w:r>
        <w:rPr>
          <w:sz w:val="20"/>
        </w:rPr>
        <w:t>Amount</w:t>
      </w:r>
      <w:r>
        <w:rPr>
          <w:spacing w:val="32"/>
          <w:sz w:val="20"/>
        </w:rPr>
        <w:t> </w:t>
      </w:r>
      <w:r>
        <w:rPr>
          <w:sz w:val="20"/>
        </w:rPr>
        <w:t>A</w:t>
      </w:r>
      <w:r>
        <w:rPr>
          <w:spacing w:val="32"/>
          <w:sz w:val="20"/>
        </w:rPr>
        <w:t> </w:t>
      </w:r>
      <w:r>
        <w:rPr>
          <w:sz w:val="20"/>
        </w:rPr>
        <w:t>and</w:t>
      </w:r>
      <w:r>
        <w:rPr>
          <w:spacing w:val="32"/>
          <w:sz w:val="20"/>
        </w:rPr>
        <w:t> </w:t>
      </w:r>
      <w:r>
        <w:rPr>
          <w:sz w:val="20"/>
        </w:rPr>
        <w:t>the</w:t>
      </w:r>
    </w:p>
    <w:p>
      <w:pPr>
        <w:pStyle w:val="BodyText"/>
      </w:pPr>
    </w:p>
    <w:p>
      <w:pPr>
        <w:pStyle w:val="BodyText"/>
      </w:pPr>
    </w:p>
    <w:p>
      <w:pPr>
        <w:pStyle w:val="BodyText"/>
        <w:spacing w:before="11"/>
        <w:rPr>
          <w:sz w:val="14"/>
        </w:rPr>
      </w:pPr>
      <w:r>
        <w:rPr/>
        <w:pict>
          <v:rect style="position:absolute;margin-left:65.183998pt;margin-top:10.56954pt;width:144.020004pt;height:.60004pt;mso-position-horizontal-relative:page;mso-position-vertical-relative:paragraph;z-index:-1565337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05" w:val="left" w:leader="none"/>
        </w:tabs>
        <w:spacing w:line="240" w:lineRule="auto" w:before="94" w:after="0"/>
        <w:ind w:left="1004" w:right="0" w:hanging="282"/>
        <w:jc w:val="left"/>
        <w:rPr>
          <w:sz w:val="18"/>
        </w:rPr>
      </w:pPr>
      <w:r>
        <w:rPr>
          <w:sz w:val="18"/>
        </w:rPr>
        <w:t>[Cross-reference to chapter 3 (section 3.7) of GloBE</w:t>
      </w:r>
      <w:r>
        <w:rPr>
          <w:spacing w:val="-11"/>
          <w:sz w:val="18"/>
        </w:rPr>
        <w:t> </w:t>
      </w:r>
      <w:r>
        <w:rPr>
          <w:sz w:val="18"/>
        </w:rPr>
        <w:t>rules].</w:t>
      </w:r>
    </w:p>
    <w:p>
      <w:pPr>
        <w:spacing w:after="0" w:line="240"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identification</w:t>
      </w:r>
      <w:r>
        <w:rPr>
          <w:spacing w:val="-6"/>
        </w:rPr>
        <w:t> </w:t>
      </w:r>
      <w:r>
        <w:rPr/>
        <w:t>of</w:t>
      </w:r>
      <w:r>
        <w:rPr>
          <w:spacing w:val="-2"/>
        </w:rPr>
        <w:t> </w:t>
      </w:r>
      <w:r>
        <w:rPr/>
        <w:t>the</w:t>
      </w:r>
      <w:r>
        <w:rPr>
          <w:spacing w:val="-4"/>
        </w:rPr>
        <w:t> </w:t>
      </w:r>
      <w:r>
        <w:rPr/>
        <w:t>paying</w:t>
      </w:r>
      <w:r>
        <w:rPr>
          <w:spacing w:val="-4"/>
        </w:rPr>
        <w:t> </w:t>
      </w:r>
      <w:r>
        <w:rPr/>
        <w:t>entities,</w:t>
      </w:r>
      <w:r>
        <w:rPr>
          <w:spacing w:val="-4"/>
        </w:rPr>
        <w:t> </w:t>
      </w:r>
      <w:r>
        <w:rPr/>
        <w:t>the</w:t>
      </w:r>
      <w:r>
        <w:rPr>
          <w:spacing w:val="-4"/>
        </w:rPr>
        <w:t> </w:t>
      </w:r>
      <w:r>
        <w:rPr/>
        <w:t>profitability</w:t>
      </w:r>
      <w:r>
        <w:rPr>
          <w:spacing w:val="-7"/>
        </w:rPr>
        <w:t> </w:t>
      </w:r>
      <w:r>
        <w:rPr/>
        <w:t>test</w:t>
      </w:r>
      <w:r>
        <w:rPr>
          <w:spacing w:val="-2"/>
        </w:rPr>
        <w:t> </w:t>
      </w:r>
      <w:r>
        <w:rPr/>
        <w:t>will</w:t>
      </w:r>
      <w:r>
        <w:rPr>
          <w:spacing w:val="-6"/>
        </w:rPr>
        <w:t> </w:t>
      </w:r>
      <w:r>
        <w:rPr/>
        <w:t>need</w:t>
      </w:r>
      <w:r>
        <w:rPr>
          <w:spacing w:val="-4"/>
        </w:rPr>
        <w:t> </w:t>
      </w:r>
      <w:r>
        <w:rPr/>
        <w:t>to</w:t>
      </w:r>
      <w:r>
        <w:rPr>
          <w:spacing w:val="-4"/>
        </w:rPr>
        <w:t> </w:t>
      </w:r>
      <w:r>
        <w:rPr/>
        <w:t>be</w:t>
      </w:r>
      <w:r>
        <w:rPr>
          <w:spacing w:val="-4"/>
        </w:rPr>
        <w:t> </w:t>
      </w:r>
      <w:r>
        <w:rPr/>
        <w:t>based</w:t>
      </w:r>
      <w:r>
        <w:rPr>
          <w:spacing w:val="-5"/>
        </w:rPr>
        <w:t> </w:t>
      </w:r>
      <w:r>
        <w:rPr/>
        <w:t>on</w:t>
      </w:r>
      <w:r>
        <w:rPr>
          <w:spacing w:val="-6"/>
        </w:rPr>
        <w:t> </w:t>
      </w:r>
      <w:r>
        <w:rPr/>
        <w:t>a</w:t>
      </w:r>
      <w:r>
        <w:rPr>
          <w:spacing w:val="-2"/>
        </w:rPr>
        <w:t> </w:t>
      </w:r>
      <w:r>
        <w:rPr/>
        <w:t>comparable</w:t>
      </w:r>
      <w:r>
        <w:rPr>
          <w:spacing w:val="-4"/>
        </w:rPr>
        <w:t> </w:t>
      </w:r>
      <w:r>
        <w:rPr/>
        <w:t>measure</w:t>
      </w:r>
      <w:r>
        <w:rPr>
          <w:spacing w:val="-4"/>
        </w:rPr>
        <w:t> </w:t>
      </w:r>
      <w:r>
        <w:rPr/>
        <w:t>of PBT.</w:t>
      </w:r>
    </w:p>
    <w:p>
      <w:pPr>
        <w:pStyle w:val="ListParagraph"/>
        <w:numPr>
          <w:ilvl w:val="0"/>
          <w:numId w:val="13"/>
        </w:numPr>
        <w:tabs>
          <w:tab w:pos="1444" w:val="left" w:leader="none"/>
        </w:tabs>
        <w:spacing w:line="271" w:lineRule="auto" w:before="119" w:after="0"/>
        <w:ind w:left="723" w:right="484" w:firstLine="0"/>
        <w:jc w:val="both"/>
        <w:rPr>
          <w:sz w:val="20"/>
        </w:rPr>
      </w:pPr>
      <w:r>
        <w:rPr>
          <w:sz w:val="20"/>
        </w:rPr>
        <w:t>The Inclusive Framework will further review the relevance and application of the Pillar Two substance-based</w:t>
      </w:r>
      <w:r>
        <w:rPr>
          <w:spacing w:val="-12"/>
          <w:sz w:val="20"/>
        </w:rPr>
        <w:t> </w:t>
      </w:r>
      <w:r>
        <w:rPr>
          <w:sz w:val="20"/>
        </w:rPr>
        <w:t>carve</w:t>
      </w:r>
      <w:r>
        <w:rPr>
          <w:spacing w:val="-12"/>
          <w:sz w:val="20"/>
        </w:rPr>
        <w:t> </w:t>
      </w:r>
      <w:r>
        <w:rPr>
          <w:sz w:val="20"/>
        </w:rPr>
        <w:t>out,</w:t>
      </w:r>
      <w:r>
        <w:rPr>
          <w:spacing w:val="-9"/>
          <w:sz w:val="20"/>
        </w:rPr>
        <w:t> </w:t>
      </w:r>
      <w:r>
        <w:rPr>
          <w:sz w:val="20"/>
        </w:rPr>
        <w:t>in</w:t>
      </w:r>
      <w:r>
        <w:rPr>
          <w:spacing w:val="-12"/>
          <w:sz w:val="20"/>
        </w:rPr>
        <w:t> </w:t>
      </w:r>
      <w:r>
        <w:rPr>
          <w:sz w:val="20"/>
        </w:rPr>
        <w:t>the</w:t>
      </w:r>
      <w:r>
        <w:rPr>
          <w:spacing w:val="-11"/>
          <w:sz w:val="20"/>
        </w:rPr>
        <w:t> </w:t>
      </w:r>
      <w:r>
        <w:rPr>
          <w:sz w:val="20"/>
        </w:rPr>
        <w:t>context</w:t>
      </w:r>
      <w:r>
        <w:rPr>
          <w:spacing w:val="-11"/>
          <w:sz w:val="20"/>
        </w:rPr>
        <w:t> </w:t>
      </w:r>
      <w:r>
        <w:rPr>
          <w:sz w:val="20"/>
        </w:rPr>
        <w:t>of</w:t>
      </w:r>
      <w:r>
        <w:rPr>
          <w:spacing w:val="-9"/>
          <w:sz w:val="20"/>
        </w:rPr>
        <w:t> </w:t>
      </w:r>
      <w:r>
        <w:rPr>
          <w:sz w:val="20"/>
        </w:rPr>
        <w:t>Pillar</w:t>
      </w:r>
      <w:r>
        <w:rPr>
          <w:spacing w:val="-11"/>
          <w:sz w:val="20"/>
        </w:rPr>
        <w:t> </w:t>
      </w:r>
      <w:r>
        <w:rPr>
          <w:sz w:val="20"/>
        </w:rPr>
        <w:t>One,</w:t>
      </w:r>
      <w:r>
        <w:rPr>
          <w:spacing w:val="-9"/>
          <w:sz w:val="20"/>
        </w:rPr>
        <w:t> </w:t>
      </w:r>
      <w:r>
        <w:rPr>
          <w:sz w:val="20"/>
        </w:rPr>
        <w:t>to</w:t>
      </w:r>
      <w:r>
        <w:rPr>
          <w:spacing w:val="-11"/>
          <w:sz w:val="20"/>
        </w:rPr>
        <w:t> </w:t>
      </w:r>
      <w:r>
        <w:rPr>
          <w:sz w:val="20"/>
        </w:rPr>
        <w:t>determine</w:t>
      </w:r>
      <w:r>
        <w:rPr>
          <w:spacing w:val="-9"/>
          <w:sz w:val="20"/>
        </w:rPr>
        <w:t> </w:t>
      </w:r>
      <w:r>
        <w:rPr>
          <w:sz w:val="20"/>
        </w:rPr>
        <w:t>whether</w:t>
      </w:r>
      <w:r>
        <w:rPr>
          <w:spacing w:val="-10"/>
          <w:sz w:val="20"/>
        </w:rPr>
        <w:t> </w:t>
      </w:r>
      <w:r>
        <w:rPr>
          <w:sz w:val="20"/>
        </w:rPr>
        <w:t>any</w:t>
      </w:r>
      <w:r>
        <w:rPr>
          <w:spacing w:val="-12"/>
          <w:sz w:val="20"/>
        </w:rPr>
        <w:t> </w:t>
      </w:r>
      <w:r>
        <w:rPr>
          <w:sz w:val="20"/>
        </w:rPr>
        <w:t>modifications</w:t>
      </w:r>
      <w:r>
        <w:rPr>
          <w:spacing w:val="-10"/>
          <w:sz w:val="20"/>
        </w:rPr>
        <w:t> </w:t>
      </w:r>
      <w:r>
        <w:rPr>
          <w:sz w:val="20"/>
        </w:rPr>
        <w:t>to</w:t>
      </w:r>
      <w:r>
        <w:rPr>
          <w:spacing w:val="-4"/>
          <w:sz w:val="20"/>
        </w:rPr>
        <w:t> </w:t>
      </w:r>
      <w:r>
        <w:rPr>
          <w:sz w:val="20"/>
        </w:rPr>
        <w:t>this</w:t>
      </w:r>
      <w:r>
        <w:rPr>
          <w:spacing w:val="-10"/>
          <w:sz w:val="20"/>
        </w:rPr>
        <w:t> </w:t>
      </w:r>
      <w:r>
        <w:rPr>
          <w:sz w:val="20"/>
        </w:rPr>
        <w:t>test are</w:t>
      </w:r>
      <w:r>
        <w:rPr>
          <w:spacing w:val="-7"/>
          <w:sz w:val="20"/>
        </w:rPr>
        <w:t> </w:t>
      </w:r>
      <w:r>
        <w:rPr>
          <w:sz w:val="20"/>
        </w:rPr>
        <w:t>required.</w:t>
      </w:r>
      <w:r>
        <w:rPr>
          <w:spacing w:val="-6"/>
          <w:sz w:val="20"/>
        </w:rPr>
        <w:t> </w:t>
      </w:r>
      <w:r>
        <w:rPr>
          <w:sz w:val="20"/>
        </w:rPr>
        <w:t>It</w:t>
      </w:r>
      <w:r>
        <w:rPr>
          <w:spacing w:val="-5"/>
          <w:sz w:val="20"/>
        </w:rPr>
        <w:t> </w:t>
      </w:r>
      <w:r>
        <w:rPr>
          <w:sz w:val="20"/>
        </w:rPr>
        <w:t>will</w:t>
      </w:r>
      <w:r>
        <w:rPr>
          <w:spacing w:val="-7"/>
          <w:sz w:val="20"/>
        </w:rPr>
        <w:t> </w:t>
      </w:r>
      <w:r>
        <w:rPr>
          <w:sz w:val="20"/>
        </w:rPr>
        <w:t>also</w:t>
      </w:r>
      <w:r>
        <w:rPr>
          <w:spacing w:val="-8"/>
          <w:sz w:val="20"/>
        </w:rPr>
        <w:t> </w:t>
      </w:r>
      <w:r>
        <w:rPr>
          <w:sz w:val="20"/>
        </w:rPr>
        <w:t>continue</w:t>
      </w:r>
      <w:r>
        <w:rPr>
          <w:spacing w:val="-7"/>
          <w:sz w:val="20"/>
        </w:rPr>
        <w:t> </w:t>
      </w:r>
      <w:r>
        <w:rPr>
          <w:sz w:val="20"/>
        </w:rPr>
        <w:t>to</w:t>
      </w:r>
      <w:r>
        <w:rPr>
          <w:spacing w:val="-7"/>
          <w:sz w:val="20"/>
        </w:rPr>
        <w:t> </w:t>
      </w:r>
      <w:r>
        <w:rPr>
          <w:sz w:val="20"/>
        </w:rPr>
        <w:t>consider</w:t>
      </w:r>
      <w:r>
        <w:rPr>
          <w:spacing w:val="-7"/>
          <w:sz w:val="20"/>
        </w:rPr>
        <w:t> </w:t>
      </w:r>
      <w:r>
        <w:rPr>
          <w:sz w:val="20"/>
        </w:rPr>
        <w:t>other</w:t>
      </w:r>
      <w:r>
        <w:rPr>
          <w:spacing w:val="-6"/>
          <w:sz w:val="20"/>
        </w:rPr>
        <w:t> </w:t>
      </w:r>
      <w:r>
        <w:rPr>
          <w:sz w:val="20"/>
        </w:rPr>
        <w:t>quantitative</w:t>
      </w:r>
      <w:r>
        <w:rPr>
          <w:spacing w:val="-8"/>
          <w:sz w:val="20"/>
        </w:rPr>
        <w:t> </w:t>
      </w:r>
      <w:r>
        <w:rPr>
          <w:sz w:val="20"/>
        </w:rPr>
        <w:t>methods</w:t>
      </w:r>
      <w:r>
        <w:rPr>
          <w:spacing w:val="-5"/>
          <w:sz w:val="20"/>
        </w:rPr>
        <w:t> </w:t>
      </w:r>
      <w:r>
        <w:rPr>
          <w:sz w:val="20"/>
        </w:rPr>
        <w:t>that</w:t>
      </w:r>
      <w:r>
        <w:rPr>
          <w:spacing w:val="-7"/>
          <w:sz w:val="20"/>
        </w:rPr>
        <w:t> </w:t>
      </w:r>
      <w:r>
        <w:rPr>
          <w:sz w:val="20"/>
        </w:rPr>
        <w:t>could</w:t>
      </w:r>
      <w:r>
        <w:rPr>
          <w:spacing w:val="-5"/>
          <w:sz w:val="20"/>
        </w:rPr>
        <w:t> </w:t>
      </w:r>
      <w:r>
        <w:rPr>
          <w:sz w:val="20"/>
        </w:rPr>
        <w:t>be</w:t>
      </w:r>
      <w:r>
        <w:rPr>
          <w:spacing w:val="-7"/>
          <w:sz w:val="20"/>
        </w:rPr>
        <w:t> </w:t>
      </w:r>
      <w:r>
        <w:rPr>
          <w:sz w:val="20"/>
        </w:rPr>
        <w:t>used</w:t>
      </w:r>
      <w:r>
        <w:rPr>
          <w:spacing w:val="-8"/>
          <w:sz w:val="20"/>
        </w:rPr>
        <w:t> </w:t>
      </w:r>
      <w:r>
        <w:rPr>
          <w:sz w:val="20"/>
        </w:rPr>
        <w:t>in</w:t>
      </w:r>
      <w:r>
        <w:rPr>
          <w:spacing w:val="-7"/>
          <w:sz w:val="20"/>
        </w:rPr>
        <w:t> </w:t>
      </w:r>
      <w:r>
        <w:rPr>
          <w:sz w:val="20"/>
        </w:rPr>
        <w:t>combination with, or as an alternative to the profitability test outlined above. This includes a proposal to identify paying entities as those that earn in excess of an agreed percentage of an MNE group’s profit, either on an individual or aggregate</w:t>
      </w:r>
      <w:r>
        <w:rPr>
          <w:spacing w:val="-2"/>
          <w:sz w:val="20"/>
        </w:rPr>
        <w:t> </w:t>
      </w:r>
      <w:r>
        <w:rPr>
          <w:sz w:val="20"/>
        </w:rPr>
        <w:t>basis.</w:t>
      </w:r>
    </w:p>
    <w:p>
      <w:pPr>
        <w:pStyle w:val="BodyText"/>
        <w:spacing w:before="5"/>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2.4. Step 3: Market connection priorit" w:id="341"/>
      <w:bookmarkEnd w:id="341"/>
      <w:r>
        <w:rPr>
          <w:b w:val="0"/>
          <w:i w:val="0"/>
        </w:rPr>
      </w:r>
      <w:bookmarkStart w:name="_bookmark55" w:id="342"/>
      <w:bookmarkEnd w:id="342"/>
      <w:r>
        <w:rPr>
          <w:b w:val="0"/>
          <w:i w:val="0"/>
        </w:rPr>
      </w:r>
      <w:bookmarkStart w:name="_bookmark55" w:id="343"/>
      <w:bookmarkEnd w:id="343"/>
      <w:r>
        <w:rPr>
          <w:i/>
        </w:rPr>
        <w:t>S</w:t>
      </w:r>
      <w:r>
        <w:rPr>
          <w:i/>
        </w:rPr>
        <w:t>tep 3: Market connection priority</w:t>
      </w:r>
      <w:r>
        <w:rPr>
          <w:i/>
          <w:spacing w:val="-9"/>
        </w:rPr>
        <w:t> </w:t>
      </w:r>
      <w:r>
        <w:rPr>
          <w:i/>
        </w:rPr>
        <w:t>test</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w:t>
      </w:r>
      <w:r>
        <w:rPr>
          <w:spacing w:val="-17"/>
          <w:sz w:val="20"/>
        </w:rPr>
        <w:t> </w:t>
      </w:r>
      <w:r>
        <w:rPr>
          <w:sz w:val="20"/>
        </w:rPr>
        <w:t>application</w:t>
      </w:r>
      <w:r>
        <w:rPr>
          <w:spacing w:val="-14"/>
          <w:sz w:val="20"/>
        </w:rPr>
        <w:t> </w:t>
      </w:r>
      <w:r>
        <w:rPr>
          <w:sz w:val="20"/>
        </w:rPr>
        <w:t>of</w:t>
      </w:r>
      <w:r>
        <w:rPr>
          <w:spacing w:val="-14"/>
          <w:sz w:val="20"/>
        </w:rPr>
        <w:t> </w:t>
      </w:r>
      <w:r>
        <w:rPr>
          <w:sz w:val="20"/>
        </w:rPr>
        <w:t>the</w:t>
      </w:r>
      <w:r>
        <w:rPr>
          <w:spacing w:val="-15"/>
          <w:sz w:val="20"/>
        </w:rPr>
        <w:t> </w:t>
      </w:r>
      <w:r>
        <w:rPr>
          <w:sz w:val="20"/>
        </w:rPr>
        <w:t>activities</w:t>
      </w:r>
      <w:r>
        <w:rPr>
          <w:spacing w:val="-15"/>
          <w:sz w:val="20"/>
        </w:rPr>
        <w:t> </w:t>
      </w:r>
      <w:r>
        <w:rPr>
          <w:sz w:val="20"/>
        </w:rPr>
        <w:t>and</w:t>
      </w:r>
      <w:r>
        <w:rPr>
          <w:spacing w:val="-14"/>
          <w:sz w:val="20"/>
        </w:rPr>
        <w:t> </w:t>
      </w:r>
      <w:r>
        <w:rPr>
          <w:sz w:val="20"/>
        </w:rPr>
        <w:t>profitability</w:t>
      </w:r>
      <w:r>
        <w:rPr>
          <w:spacing w:val="-18"/>
          <w:sz w:val="20"/>
        </w:rPr>
        <w:t> </w:t>
      </w:r>
      <w:r>
        <w:rPr>
          <w:sz w:val="20"/>
        </w:rPr>
        <w:t>test</w:t>
      </w:r>
      <w:r>
        <w:rPr>
          <w:spacing w:val="-14"/>
          <w:sz w:val="20"/>
        </w:rPr>
        <w:t> </w:t>
      </w:r>
      <w:r>
        <w:rPr>
          <w:sz w:val="20"/>
        </w:rPr>
        <w:t>would</w:t>
      </w:r>
      <w:r>
        <w:rPr>
          <w:spacing w:val="-16"/>
          <w:sz w:val="20"/>
        </w:rPr>
        <w:t> </w:t>
      </w:r>
      <w:r>
        <w:rPr>
          <w:sz w:val="20"/>
        </w:rPr>
        <w:t>identify</w:t>
      </w:r>
      <w:r>
        <w:rPr>
          <w:spacing w:val="-16"/>
          <w:sz w:val="20"/>
        </w:rPr>
        <w:t> </w:t>
      </w:r>
      <w:r>
        <w:rPr>
          <w:sz w:val="20"/>
        </w:rPr>
        <w:t>a</w:t>
      </w:r>
      <w:r>
        <w:rPr>
          <w:spacing w:val="-16"/>
          <w:sz w:val="20"/>
        </w:rPr>
        <w:t> </w:t>
      </w:r>
      <w:r>
        <w:rPr>
          <w:sz w:val="20"/>
        </w:rPr>
        <w:t>pool</w:t>
      </w:r>
      <w:r>
        <w:rPr>
          <w:spacing w:val="-15"/>
          <w:sz w:val="20"/>
        </w:rPr>
        <w:t> </w:t>
      </w:r>
      <w:r>
        <w:rPr>
          <w:sz w:val="20"/>
        </w:rPr>
        <w:t>of</w:t>
      </w:r>
      <w:r>
        <w:rPr>
          <w:spacing w:val="-14"/>
          <w:sz w:val="20"/>
        </w:rPr>
        <w:t> </w:t>
      </w:r>
      <w:r>
        <w:rPr>
          <w:sz w:val="20"/>
        </w:rPr>
        <w:t>potential</w:t>
      </w:r>
      <w:r>
        <w:rPr>
          <w:spacing w:val="-13"/>
          <w:sz w:val="20"/>
        </w:rPr>
        <w:t> </w:t>
      </w:r>
      <w:r>
        <w:rPr>
          <w:sz w:val="20"/>
        </w:rPr>
        <w:t>paying</w:t>
      </w:r>
      <w:r>
        <w:rPr>
          <w:spacing w:val="-16"/>
          <w:sz w:val="20"/>
        </w:rPr>
        <w:t> </w:t>
      </w:r>
      <w:r>
        <w:rPr>
          <w:sz w:val="20"/>
        </w:rPr>
        <w:t>entities on</w:t>
      </w:r>
      <w:r>
        <w:rPr>
          <w:spacing w:val="-18"/>
          <w:sz w:val="20"/>
        </w:rPr>
        <w:t> </w:t>
      </w:r>
      <w:r>
        <w:rPr>
          <w:sz w:val="20"/>
        </w:rPr>
        <w:t>an</w:t>
      </w:r>
      <w:r>
        <w:rPr>
          <w:spacing w:val="-14"/>
          <w:sz w:val="20"/>
        </w:rPr>
        <w:t> </w:t>
      </w:r>
      <w:r>
        <w:rPr>
          <w:sz w:val="20"/>
        </w:rPr>
        <w:t>MNE</w:t>
      </w:r>
      <w:r>
        <w:rPr>
          <w:spacing w:val="-14"/>
          <w:sz w:val="20"/>
        </w:rPr>
        <w:t> </w:t>
      </w:r>
      <w:r>
        <w:rPr>
          <w:sz w:val="20"/>
        </w:rPr>
        <w:t>group</w:t>
      </w:r>
      <w:r>
        <w:rPr>
          <w:spacing w:val="-14"/>
          <w:sz w:val="20"/>
        </w:rPr>
        <w:t> </w:t>
      </w:r>
      <w:r>
        <w:rPr>
          <w:sz w:val="20"/>
        </w:rPr>
        <w:t>or</w:t>
      </w:r>
      <w:r>
        <w:rPr>
          <w:spacing w:val="-16"/>
          <w:sz w:val="20"/>
        </w:rPr>
        <w:t> </w:t>
      </w:r>
      <w:r>
        <w:rPr>
          <w:sz w:val="20"/>
        </w:rPr>
        <w:t>segment</w:t>
      </w:r>
      <w:r>
        <w:rPr>
          <w:spacing w:val="-16"/>
          <w:sz w:val="20"/>
        </w:rPr>
        <w:t> </w:t>
      </w:r>
      <w:r>
        <w:rPr>
          <w:sz w:val="20"/>
        </w:rPr>
        <w:t>basis</w:t>
      </w:r>
      <w:r>
        <w:rPr>
          <w:spacing w:val="-15"/>
          <w:sz w:val="20"/>
        </w:rPr>
        <w:t> </w:t>
      </w:r>
      <w:r>
        <w:rPr>
          <w:sz w:val="20"/>
        </w:rPr>
        <w:t>(depending</w:t>
      </w:r>
      <w:r>
        <w:rPr>
          <w:spacing w:val="-17"/>
          <w:sz w:val="20"/>
        </w:rPr>
        <w:t> </w:t>
      </w:r>
      <w:r>
        <w:rPr>
          <w:sz w:val="20"/>
        </w:rPr>
        <w:t>on</w:t>
      </w:r>
      <w:r>
        <w:rPr>
          <w:spacing w:val="-17"/>
          <w:sz w:val="20"/>
        </w:rPr>
        <w:t> </w:t>
      </w:r>
      <w:r>
        <w:rPr>
          <w:sz w:val="20"/>
        </w:rPr>
        <w:t>the</w:t>
      </w:r>
      <w:r>
        <w:rPr>
          <w:spacing w:val="-14"/>
          <w:sz w:val="20"/>
        </w:rPr>
        <w:t> </w:t>
      </w:r>
      <w:r>
        <w:rPr>
          <w:sz w:val="20"/>
        </w:rPr>
        <w:t>basis</w:t>
      </w:r>
      <w:r>
        <w:rPr>
          <w:spacing w:val="-15"/>
          <w:sz w:val="20"/>
        </w:rPr>
        <w:t> </w:t>
      </w:r>
      <w:r>
        <w:rPr>
          <w:sz w:val="20"/>
        </w:rPr>
        <w:t>on</w:t>
      </w:r>
      <w:r>
        <w:rPr>
          <w:spacing w:val="-15"/>
          <w:sz w:val="20"/>
        </w:rPr>
        <w:t> </w:t>
      </w:r>
      <w:r>
        <w:rPr>
          <w:sz w:val="20"/>
        </w:rPr>
        <w:t>which</w:t>
      </w:r>
      <w:r>
        <w:rPr>
          <w:spacing w:val="-16"/>
          <w:sz w:val="20"/>
        </w:rPr>
        <w:t> </w:t>
      </w:r>
      <w:r>
        <w:rPr>
          <w:sz w:val="20"/>
        </w:rPr>
        <w:t>the</w:t>
      </w:r>
      <w:r>
        <w:rPr>
          <w:spacing w:val="-16"/>
          <w:sz w:val="20"/>
        </w:rPr>
        <w:t> </w:t>
      </w:r>
      <w:r>
        <w:rPr>
          <w:sz w:val="20"/>
        </w:rPr>
        <w:t>Amount</w:t>
      </w:r>
      <w:r>
        <w:rPr>
          <w:spacing w:val="-14"/>
          <w:sz w:val="20"/>
        </w:rPr>
        <w:t> </w:t>
      </w:r>
      <w:r>
        <w:rPr>
          <w:sz w:val="20"/>
        </w:rPr>
        <w:t>A</w:t>
      </w:r>
      <w:r>
        <w:rPr>
          <w:spacing w:val="-17"/>
          <w:sz w:val="20"/>
        </w:rPr>
        <w:t> </w:t>
      </w:r>
      <w:r>
        <w:rPr>
          <w:sz w:val="20"/>
        </w:rPr>
        <w:t>tax</w:t>
      </w:r>
      <w:r>
        <w:rPr>
          <w:spacing w:val="-15"/>
          <w:sz w:val="20"/>
        </w:rPr>
        <w:t> </w:t>
      </w:r>
      <w:r>
        <w:rPr>
          <w:sz w:val="20"/>
        </w:rPr>
        <w:t>base</w:t>
      </w:r>
      <w:r>
        <w:rPr>
          <w:spacing w:val="-15"/>
          <w:sz w:val="20"/>
        </w:rPr>
        <w:t> </w:t>
      </w:r>
      <w:r>
        <w:rPr>
          <w:sz w:val="20"/>
        </w:rPr>
        <w:t>is</w:t>
      </w:r>
      <w:r>
        <w:rPr>
          <w:spacing w:val="-15"/>
          <w:sz w:val="20"/>
        </w:rPr>
        <w:t> </w:t>
      </w:r>
      <w:r>
        <w:rPr>
          <w:sz w:val="20"/>
        </w:rPr>
        <w:t>calculated). There will be instances where these potential paying entities derive profits from only a limited number of market jurisdictions allocated taxing rights over Amount A. A simple example is a group that has two regional principals that are entitled to all the residual profits derived from their region. In this scenario, it could be argued that each regional principal should only bear the Amount A tax liability that arises in respect of the market jurisdictions from which it derives residual profits. Therefore, a market connection priority test could be introduced, whereby, in the first instance an Amount A tax liability for a given market jurisdiction would be relieved against the profits of a paying entity that performs, in relation to a given market, the activities identified as part of the activities</w:t>
      </w:r>
      <w:r>
        <w:rPr>
          <w:spacing w:val="-6"/>
          <w:sz w:val="20"/>
        </w:rPr>
        <w:t> </w:t>
      </w:r>
      <w:r>
        <w:rPr>
          <w:sz w:val="20"/>
        </w:rPr>
        <w:t>test.</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As Amount A will apply on a group or segment basis, without taking into account the profitability of</w:t>
      </w:r>
      <w:r>
        <w:rPr>
          <w:spacing w:val="-11"/>
          <w:sz w:val="20"/>
        </w:rPr>
        <w:t> </w:t>
      </w:r>
      <w:r>
        <w:rPr>
          <w:sz w:val="20"/>
        </w:rPr>
        <w:t>different</w:t>
      </w:r>
      <w:r>
        <w:rPr>
          <w:spacing w:val="-13"/>
          <w:sz w:val="20"/>
        </w:rPr>
        <w:t> </w:t>
      </w:r>
      <w:r>
        <w:rPr>
          <w:sz w:val="20"/>
        </w:rPr>
        <w:t>regions</w:t>
      </w:r>
      <w:r>
        <w:rPr>
          <w:spacing w:val="-11"/>
          <w:sz w:val="20"/>
        </w:rPr>
        <w:t> </w:t>
      </w:r>
      <w:r>
        <w:rPr>
          <w:sz w:val="20"/>
        </w:rPr>
        <w:t>or</w:t>
      </w:r>
      <w:r>
        <w:rPr>
          <w:spacing w:val="-13"/>
          <w:sz w:val="20"/>
        </w:rPr>
        <w:t> </w:t>
      </w:r>
      <w:r>
        <w:rPr>
          <w:sz w:val="20"/>
        </w:rPr>
        <w:t>sub-segments,</w:t>
      </w:r>
      <w:r>
        <w:rPr>
          <w:spacing w:val="-12"/>
          <w:sz w:val="20"/>
        </w:rPr>
        <w:t> </w:t>
      </w:r>
      <w:r>
        <w:rPr>
          <w:sz w:val="20"/>
        </w:rPr>
        <w:t>this</w:t>
      </w:r>
      <w:r>
        <w:rPr>
          <w:spacing w:val="-11"/>
          <w:sz w:val="20"/>
        </w:rPr>
        <w:t> </w:t>
      </w:r>
      <w:r>
        <w:rPr>
          <w:sz w:val="20"/>
        </w:rPr>
        <w:t>approach</w:t>
      </w:r>
      <w:r>
        <w:rPr>
          <w:spacing w:val="-13"/>
          <w:sz w:val="20"/>
        </w:rPr>
        <w:t> </w:t>
      </w:r>
      <w:r>
        <w:rPr>
          <w:sz w:val="20"/>
        </w:rPr>
        <w:t>could</w:t>
      </w:r>
      <w:r>
        <w:rPr>
          <w:spacing w:val="-14"/>
          <w:sz w:val="20"/>
        </w:rPr>
        <w:t> </w:t>
      </w:r>
      <w:r>
        <w:rPr>
          <w:sz w:val="20"/>
        </w:rPr>
        <w:t>result</w:t>
      </w:r>
      <w:r>
        <w:rPr>
          <w:spacing w:val="-10"/>
          <w:sz w:val="20"/>
        </w:rPr>
        <w:t> </w:t>
      </w:r>
      <w:r>
        <w:rPr>
          <w:sz w:val="20"/>
        </w:rPr>
        <w:t>in</w:t>
      </w:r>
      <w:r>
        <w:rPr>
          <w:spacing w:val="-13"/>
          <w:sz w:val="20"/>
        </w:rPr>
        <w:t> </w:t>
      </w:r>
      <w:r>
        <w:rPr>
          <w:sz w:val="20"/>
        </w:rPr>
        <w:t>situations</w:t>
      </w:r>
      <w:r>
        <w:rPr>
          <w:spacing w:val="-12"/>
          <w:sz w:val="20"/>
        </w:rPr>
        <w:t> </w:t>
      </w:r>
      <w:r>
        <w:rPr>
          <w:sz w:val="20"/>
        </w:rPr>
        <w:t>arising</w:t>
      </w:r>
      <w:r>
        <w:rPr>
          <w:spacing w:val="-11"/>
          <w:sz w:val="20"/>
        </w:rPr>
        <w:t> </w:t>
      </w:r>
      <w:r>
        <w:rPr>
          <w:sz w:val="20"/>
        </w:rPr>
        <w:t>where</w:t>
      </w:r>
      <w:r>
        <w:rPr>
          <w:spacing w:val="-12"/>
          <w:sz w:val="20"/>
        </w:rPr>
        <w:t> </w:t>
      </w:r>
      <w:r>
        <w:rPr>
          <w:sz w:val="20"/>
        </w:rPr>
        <w:t>it</w:t>
      </w:r>
      <w:r>
        <w:rPr>
          <w:spacing w:val="-11"/>
          <w:sz w:val="20"/>
        </w:rPr>
        <w:t> </w:t>
      </w:r>
      <w:r>
        <w:rPr>
          <w:sz w:val="20"/>
        </w:rPr>
        <w:t>is</w:t>
      </w:r>
      <w:r>
        <w:rPr>
          <w:spacing w:val="-11"/>
          <w:sz w:val="20"/>
        </w:rPr>
        <w:t> </w:t>
      </w:r>
      <w:r>
        <w:rPr>
          <w:sz w:val="20"/>
        </w:rPr>
        <w:t>not</w:t>
      </w:r>
      <w:r>
        <w:rPr>
          <w:spacing w:val="-12"/>
          <w:sz w:val="20"/>
        </w:rPr>
        <w:t> </w:t>
      </w:r>
      <w:r>
        <w:rPr>
          <w:sz w:val="20"/>
        </w:rPr>
        <w:t>possible to identify a paying entity that meets the profitability test. Returning to the example outlined above, there could</w:t>
      </w:r>
      <w:r>
        <w:rPr>
          <w:spacing w:val="-6"/>
          <w:sz w:val="20"/>
        </w:rPr>
        <w:t> </w:t>
      </w:r>
      <w:r>
        <w:rPr>
          <w:sz w:val="20"/>
        </w:rPr>
        <w:t>be</w:t>
      </w:r>
      <w:r>
        <w:rPr>
          <w:spacing w:val="-5"/>
          <w:sz w:val="20"/>
        </w:rPr>
        <w:t> </w:t>
      </w:r>
      <w:r>
        <w:rPr>
          <w:sz w:val="20"/>
        </w:rPr>
        <w:t>instances</w:t>
      </w:r>
      <w:r>
        <w:rPr>
          <w:spacing w:val="-3"/>
          <w:sz w:val="20"/>
        </w:rPr>
        <w:t> </w:t>
      </w:r>
      <w:r>
        <w:rPr>
          <w:sz w:val="20"/>
        </w:rPr>
        <w:t>where</w:t>
      </w:r>
      <w:r>
        <w:rPr>
          <w:spacing w:val="-5"/>
          <w:sz w:val="20"/>
        </w:rPr>
        <w:t> </w:t>
      </w:r>
      <w:r>
        <w:rPr>
          <w:sz w:val="20"/>
        </w:rPr>
        <w:t>one</w:t>
      </w:r>
      <w:r>
        <w:rPr>
          <w:spacing w:val="-7"/>
          <w:sz w:val="20"/>
        </w:rPr>
        <w:t> </w:t>
      </w:r>
      <w:r>
        <w:rPr>
          <w:sz w:val="20"/>
        </w:rPr>
        <w:t>regional</w:t>
      </w:r>
      <w:r>
        <w:rPr>
          <w:spacing w:val="-3"/>
          <w:sz w:val="20"/>
        </w:rPr>
        <w:t> </w:t>
      </w:r>
      <w:r>
        <w:rPr>
          <w:sz w:val="20"/>
        </w:rPr>
        <w:t>principal</w:t>
      </w:r>
      <w:r>
        <w:rPr>
          <w:spacing w:val="-6"/>
          <w:sz w:val="20"/>
        </w:rPr>
        <w:t> </w:t>
      </w:r>
      <w:r>
        <w:rPr>
          <w:sz w:val="20"/>
        </w:rPr>
        <w:t>does</w:t>
      </w:r>
      <w:r>
        <w:rPr>
          <w:spacing w:val="-4"/>
          <w:sz w:val="20"/>
        </w:rPr>
        <w:t> </w:t>
      </w:r>
      <w:r>
        <w:rPr>
          <w:sz w:val="20"/>
        </w:rPr>
        <w:t>not</w:t>
      </w:r>
      <w:r>
        <w:rPr>
          <w:spacing w:val="-6"/>
          <w:sz w:val="20"/>
        </w:rPr>
        <w:t> </w:t>
      </w:r>
      <w:r>
        <w:rPr>
          <w:sz w:val="20"/>
        </w:rPr>
        <w:t>by</w:t>
      </w:r>
      <w:r>
        <w:rPr>
          <w:spacing w:val="-7"/>
          <w:sz w:val="20"/>
        </w:rPr>
        <w:t> </w:t>
      </w:r>
      <w:r>
        <w:rPr>
          <w:sz w:val="20"/>
        </w:rPr>
        <w:t>itself</w:t>
      </w:r>
      <w:r>
        <w:rPr>
          <w:spacing w:val="-4"/>
          <w:sz w:val="20"/>
        </w:rPr>
        <w:t> </w:t>
      </w:r>
      <w:r>
        <w:rPr>
          <w:sz w:val="20"/>
        </w:rPr>
        <w:t>earn</w:t>
      </w:r>
      <w:r>
        <w:rPr>
          <w:spacing w:val="-6"/>
          <w:sz w:val="20"/>
        </w:rPr>
        <w:t> </w:t>
      </w:r>
      <w:r>
        <w:rPr>
          <w:sz w:val="20"/>
        </w:rPr>
        <w:t>the</w:t>
      </w:r>
      <w:r>
        <w:rPr>
          <w:spacing w:val="-6"/>
          <w:sz w:val="20"/>
        </w:rPr>
        <w:t> </w:t>
      </w:r>
      <w:r>
        <w:rPr>
          <w:sz w:val="20"/>
        </w:rPr>
        <w:t>necessary</w:t>
      </w:r>
      <w:r>
        <w:rPr>
          <w:spacing w:val="-9"/>
          <w:sz w:val="20"/>
        </w:rPr>
        <w:t> </w:t>
      </w:r>
      <w:r>
        <w:rPr>
          <w:sz w:val="20"/>
        </w:rPr>
        <w:t>quantum</w:t>
      </w:r>
      <w:r>
        <w:rPr>
          <w:spacing w:val="-3"/>
          <w:sz w:val="20"/>
        </w:rPr>
        <w:t> </w:t>
      </w:r>
      <w:r>
        <w:rPr>
          <w:sz w:val="20"/>
        </w:rPr>
        <w:t>of</w:t>
      </w:r>
      <w:r>
        <w:rPr>
          <w:spacing w:val="-5"/>
          <w:sz w:val="20"/>
        </w:rPr>
        <w:t> </w:t>
      </w:r>
      <w:r>
        <w:rPr>
          <w:sz w:val="20"/>
        </w:rPr>
        <w:t>Amount</w:t>
      </w:r>
    </w:p>
    <w:p>
      <w:pPr>
        <w:pStyle w:val="BodyText"/>
        <w:spacing w:line="273" w:lineRule="auto"/>
        <w:ind w:left="723" w:right="497"/>
        <w:jc w:val="both"/>
      </w:pPr>
      <w:r>
        <w:rPr/>
        <w:t>A. In this scenario, other paying entities within a group or segment will be required to bear the remaining portion of the Amount A tax liability (see </w:t>
      </w:r>
      <w:hyperlink w:history="true" w:anchor="_bookmark57">
        <w:r>
          <w:rPr/>
          <w:t>Step 4: Pro-rata allocation </w:t>
        </w:r>
      </w:hyperlink>
      <w:r>
        <w:rPr/>
        <w:t>below).</w:t>
      </w:r>
    </w:p>
    <w:p>
      <w:pPr>
        <w:pStyle w:val="ListParagraph"/>
        <w:numPr>
          <w:ilvl w:val="0"/>
          <w:numId w:val="13"/>
        </w:numPr>
        <w:tabs>
          <w:tab w:pos="1444" w:val="left" w:leader="none"/>
        </w:tabs>
        <w:spacing w:line="271" w:lineRule="auto" w:before="117" w:after="0"/>
        <w:ind w:left="723" w:right="485" w:firstLine="0"/>
        <w:jc w:val="both"/>
        <w:rPr>
          <w:sz w:val="20"/>
        </w:rPr>
      </w:pPr>
      <w:r>
        <w:rPr>
          <w:sz w:val="20"/>
        </w:rPr>
        <w:t>For</w:t>
      </w:r>
      <w:r>
        <w:rPr>
          <w:spacing w:val="-9"/>
          <w:sz w:val="20"/>
        </w:rPr>
        <w:t> </w:t>
      </w:r>
      <w:r>
        <w:rPr>
          <w:sz w:val="20"/>
        </w:rPr>
        <w:t>each</w:t>
      </w:r>
      <w:r>
        <w:rPr>
          <w:spacing w:val="-9"/>
          <w:sz w:val="20"/>
        </w:rPr>
        <w:t> </w:t>
      </w:r>
      <w:r>
        <w:rPr>
          <w:sz w:val="20"/>
        </w:rPr>
        <w:t>market</w:t>
      </w:r>
      <w:r>
        <w:rPr>
          <w:spacing w:val="-9"/>
          <w:sz w:val="20"/>
        </w:rPr>
        <w:t> </w:t>
      </w:r>
      <w:r>
        <w:rPr>
          <w:sz w:val="20"/>
        </w:rPr>
        <w:t>jurisdiction</w:t>
      </w:r>
      <w:r>
        <w:rPr>
          <w:spacing w:val="-8"/>
          <w:sz w:val="20"/>
        </w:rPr>
        <w:t> </w:t>
      </w:r>
      <w:r>
        <w:rPr>
          <w:sz w:val="20"/>
        </w:rPr>
        <w:t>allocated</w:t>
      </w:r>
      <w:r>
        <w:rPr>
          <w:spacing w:val="-7"/>
          <w:sz w:val="20"/>
        </w:rPr>
        <w:t> </w:t>
      </w:r>
      <w:r>
        <w:rPr>
          <w:sz w:val="20"/>
        </w:rPr>
        <w:t>Amount</w:t>
      </w:r>
      <w:r>
        <w:rPr>
          <w:spacing w:val="-9"/>
          <w:sz w:val="20"/>
        </w:rPr>
        <w:t> </w:t>
      </w:r>
      <w:r>
        <w:rPr>
          <w:sz w:val="20"/>
        </w:rPr>
        <w:t>A,</w:t>
      </w:r>
      <w:r>
        <w:rPr>
          <w:spacing w:val="-7"/>
          <w:sz w:val="20"/>
        </w:rPr>
        <w:t> </w:t>
      </w:r>
      <w:r>
        <w:rPr>
          <w:sz w:val="20"/>
        </w:rPr>
        <w:t>a</w:t>
      </w:r>
      <w:r>
        <w:rPr>
          <w:spacing w:val="-9"/>
          <w:sz w:val="20"/>
        </w:rPr>
        <w:t> </w:t>
      </w:r>
      <w:r>
        <w:rPr>
          <w:sz w:val="20"/>
        </w:rPr>
        <w:t>taxpayer</w:t>
      </w:r>
      <w:r>
        <w:rPr>
          <w:spacing w:val="-6"/>
          <w:sz w:val="20"/>
        </w:rPr>
        <w:t> </w:t>
      </w:r>
      <w:r>
        <w:rPr>
          <w:sz w:val="20"/>
        </w:rPr>
        <w:t>will</w:t>
      </w:r>
      <w:r>
        <w:rPr>
          <w:spacing w:val="-8"/>
          <w:sz w:val="20"/>
        </w:rPr>
        <w:t> </w:t>
      </w:r>
      <w:r>
        <w:rPr>
          <w:sz w:val="20"/>
        </w:rPr>
        <w:t>be</w:t>
      </w:r>
      <w:r>
        <w:rPr>
          <w:spacing w:val="-9"/>
          <w:sz w:val="20"/>
        </w:rPr>
        <w:t> </w:t>
      </w:r>
      <w:r>
        <w:rPr>
          <w:sz w:val="20"/>
        </w:rPr>
        <w:t>required</w:t>
      </w:r>
      <w:r>
        <w:rPr>
          <w:spacing w:val="-9"/>
          <w:sz w:val="20"/>
        </w:rPr>
        <w:t> </w:t>
      </w:r>
      <w:r>
        <w:rPr>
          <w:sz w:val="20"/>
        </w:rPr>
        <w:t>to</w:t>
      </w:r>
      <w:r>
        <w:rPr>
          <w:spacing w:val="-9"/>
          <w:sz w:val="20"/>
        </w:rPr>
        <w:t> </w:t>
      </w:r>
      <w:r>
        <w:rPr>
          <w:sz w:val="20"/>
        </w:rPr>
        <w:t>determine</w:t>
      </w:r>
      <w:r>
        <w:rPr>
          <w:spacing w:val="-8"/>
          <w:sz w:val="20"/>
        </w:rPr>
        <w:t> </w:t>
      </w:r>
      <w:r>
        <w:rPr>
          <w:sz w:val="20"/>
        </w:rPr>
        <w:t>which</w:t>
      </w:r>
      <w:r>
        <w:rPr>
          <w:spacing w:val="-9"/>
          <w:sz w:val="20"/>
        </w:rPr>
        <w:t> </w:t>
      </w:r>
      <w:r>
        <w:rPr>
          <w:sz w:val="20"/>
        </w:rPr>
        <w:t>(if any)</w:t>
      </w:r>
      <w:r>
        <w:rPr>
          <w:spacing w:val="-11"/>
          <w:sz w:val="20"/>
        </w:rPr>
        <w:t> </w:t>
      </w:r>
      <w:r>
        <w:rPr>
          <w:sz w:val="20"/>
        </w:rPr>
        <w:t>of</w:t>
      </w:r>
      <w:r>
        <w:rPr>
          <w:spacing w:val="-9"/>
          <w:sz w:val="20"/>
        </w:rPr>
        <w:t> </w:t>
      </w:r>
      <w:r>
        <w:rPr>
          <w:sz w:val="20"/>
        </w:rPr>
        <w:t>the</w:t>
      </w:r>
      <w:r>
        <w:rPr>
          <w:spacing w:val="-12"/>
          <w:sz w:val="20"/>
        </w:rPr>
        <w:t> </w:t>
      </w:r>
      <w:r>
        <w:rPr>
          <w:sz w:val="20"/>
        </w:rPr>
        <w:t>potential</w:t>
      </w:r>
      <w:r>
        <w:rPr>
          <w:spacing w:val="-12"/>
          <w:sz w:val="20"/>
        </w:rPr>
        <w:t> </w:t>
      </w:r>
      <w:r>
        <w:rPr>
          <w:sz w:val="20"/>
        </w:rPr>
        <w:t>paying</w:t>
      </w:r>
      <w:r>
        <w:rPr>
          <w:spacing w:val="-10"/>
          <w:sz w:val="20"/>
        </w:rPr>
        <w:t> </w:t>
      </w:r>
      <w:r>
        <w:rPr>
          <w:sz w:val="20"/>
        </w:rPr>
        <w:t>entities</w:t>
      </w:r>
      <w:r>
        <w:rPr>
          <w:spacing w:val="-10"/>
          <w:sz w:val="20"/>
        </w:rPr>
        <w:t> </w:t>
      </w:r>
      <w:r>
        <w:rPr>
          <w:sz w:val="20"/>
        </w:rPr>
        <w:t>identified</w:t>
      </w:r>
      <w:r>
        <w:rPr>
          <w:spacing w:val="-12"/>
          <w:sz w:val="20"/>
        </w:rPr>
        <w:t> </w:t>
      </w:r>
      <w:r>
        <w:rPr>
          <w:sz w:val="20"/>
        </w:rPr>
        <w:t>have</w:t>
      </w:r>
      <w:r>
        <w:rPr>
          <w:spacing w:val="-12"/>
          <w:sz w:val="20"/>
        </w:rPr>
        <w:t> </w:t>
      </w:r>
      <w:r>
        <w:rPr>
          <w:sz w:val="20"/>
        </w:rPr>
        <w:t>a</w:t>
      </w:r>
      <w:r>
        <w:rPr>
          <w:spacing w:val="-12"/>
          <w:sz w:val="20"/>
        </w:rPr>
        <w:t> </w:t>
      </w:r>
      <w:r>
        <w:rPr>
          <w:sz w:val="20"/>
        </w:rPr>
        <w:t>sufficient</w:t>
      </w:r>
      <w:r>
        <w:rPr>
          <w:spacing w:val="-11"/>
          <w:sz w:val="20"/>
        </w:rPr>
        <w:t> </w:t>
      </w:r>
      <w:r>
        <w:rPr>
          <w:sz w:val="20"/>
        </w:rPr>
        <w:t>connection</w:t>
      </w:r>
      <w:r>
        <w:rPr>
          <w:spacing w:val="-13"/>
          <w:sz w:val="20"/>
        </w:rPr>
        <w:t> </w:t>
      </w:r>
      <w:r>
        <w:rPr>
          <w:sz w:val="20"/>
        </w:rPr>
        <w:t>to</w:t>
      </w:r>
      <w:r>
        <w:rPr>
          <w:spacing w:val="-12"/>
          <w:sz w:val="20"/>
        </w:rPr>
        <w:t> </w:t>
      </w:r>
      <w:r>
        <w:rPr>
          <w:sz w:val="20"/>
        </w:rPr>
        <w:t>be</w:t>
      </w:r>
      <w:r>
        <w:rPr>
          <w:spacing w:val="-12"/>
          <w:sz w:val="20"/>
        </w:rPr>
        <w:t> </w:t>
      </w:r>
      <w:r>
        <w:rPr>
          <w:sz w:val="20"/>
        </w:rPr>
        <w:t>identified</w:t>
      </w:r>
      <w:r>
        <w:rPr>
          <w:spacing w:val="-12"/>
          <w:sz w:val="20"/>
        </w:rPr>
        <w:t> </w:t>
      </w:r>
      <w:r>
        <w:rPr>
          <w:sz w:val="20"/>
        </w:rPr>
        <w:t>as</w:t>
      </w:r>
      <w:r>
        <w:rPr>
          <w:spacing w:val="-10"/>
          <w:sz w:val="20"/>
        </w:rPr>
        <w:t> </w:t>
      </w:r>
      <w:r>
        <w:rPr>
          <w:sz w:val="20"/>
        </w:rPr>
        <w:t>a</w:t>
      </w:r>
      <w:r>
        <w:rPr>
          <w:spacing w:val="-12"/>
          <w:sz w:val="20"/>
        </w:rPr>
        <w:t> </w:t>
      </w:r>
      <w:r>
        <w:rPr>
          <w:sz w:val="20"/>
        </w:rPr>
        <w:t>paying</w:t>
      </w:r>
      <w:r>
        <w:rPr>
          <w:spacing w:val="-12"/>
          <w:sz w:val="20"/>
        </w:rPr>
        <w:t> </w:t>
      </w:r>
      <w:r>
        <w:rPr>
          <w:sz w:val="20"/>
        </w:rPr>
        <w:t>entity for that market jurisdiction. It will be possible to establish a direct or indirect connection between a market jurisdiction and a variety of different entities within a group. For example, an entity may sell goods or services</w:t>
      </w:r>
      <w:r>
        <w:rPr>
          <w:spacing w:val="-7"/>
          <w:sz w:val="20"/>
        </w:rPr>
        <w:t> </w:t>
      </w:r>
      <w:r>
        <w:rPr>
          <w:sz w:val="20"/>
        </w:rPr>
        <w:t>to</w:t>
      </w:r>
      <w:r>
        <w:rPr>
          <w:spacing w:val="-7"/>
          <w:sz w:val="20"/>
        </w:rPr>
        <w:t> </w:t>
      </w:r>
      <w:r>
        <w:rPr>
          <w:sz w:val="20"/>
        </w:rPr>
        <w:t>related</w:t>
      </w:r>
      <w:r>
        <w:rPr>
          <w:spacing w:val="-5"/>
          <w:sz w:val="20"/>
        </w:rPr>
        <w:t> </w:t>
      </w:r>
      <w:r>
        <w:rPr>
          <w:sz w:val="20"/>
        </w:rPr>
        <w:t>or</w:t>
      </w:r>
      <w:r>
        <w:rPr>
          <w:spacing w:val="-6"/>
          <w:sz w:val="20"/>
        </w:rPr>
        <w:t> </w:t>
      </w:r>
      <w:r>
        <w:rPr>
          <w:sz w:val="20"/>
        </w:rPr>
        <w:t>unrelated</w:t>
      </w:r>
      <w:r>
        <w:rPr>
          <w:spacing w:val="-6"/>
          <w:sz w:val="20"/>
        </w:rPr>
        <w:t> </w:t>
      </w:r>
      <w:r>
        <w:rPr>
          <w:sz w:val="20"/>
        </w:rPr>
        <w:t>parties</w:t>
      </w:r>
      <w:r>
        <w:rPr>
          <w:spacing w:val="-6"/>
          <w:sz w:val="20"/>
        </w:rPr>
        <w:t> </w:t>
      </w:r>
      <w:r>
        <w:rPr>
          <w:sz w:val="20"/>
        </w:rPr>
        <w:t>resident</w:t>
      </w:r>
      <w:r>
        <w:rPr>
          <w:spacing w:val="-5"/>
          <w:sz w:val="20"/>
        </w:rPr>
        <w:t> </w:t>
      </w:r>
      <w:r>
        <w:rPr>
          <w:sz w:val="20"/>
        </w:rPr>
        <w:t>in</w:t>
      </w:r>
      <w:r>
        <w:rPr>
          <w:spacing w:val="-5"/>
          <w:sz w:val="20"/>
        </w:rPr>
        <w:t> </w:t>
      </w:r>
      <w:r>
        <w:rPr>
          <w:sz w:val="20"/>
        </w:rPr>
        <w:t>that</w:t>
      </w:r>
      <w:r>
        <w:rPr>
          <w:spacing w:val="-4"/>
          <w:sz w:val="20"/>
        </w:rPr>
        <w:t> </w:t>
      </w:r>
      <w:r>
        <w:rPr>
          <w:sz w:val="20"/>
        </w:rPr>
        <w:t>market;</w:t>
      </w:r>
      <w:r>
        <w:rPr>
          <w:spacing w:val="-7"/>
          <w:sz w:val="20"/>
        </w:rPr>
        <w:t> </w:t>
      </w:r>
      <w:r>
        <w:rPr>
          <w:sz w:val="20"/>
        </w:rPr>
        <w:t>or,</w:t>
      </w:r>
      <w:r>
        <w:rPr>
          <w:spacing w:val="-7"/>
          <w:sz w:val="20"/>
        </w:rPr>
        <w:t> </w:t>
      </w:r>
      <w:r>
        <w:rPr>
          <w:sz w:val="20"/>
        </w:rPr>
        <w:t>it</w:t>
      </w:r>
      <w:r>
        <w:rPr>
          <w:spacing w:val="-4"/>
          <w:sz w:val="20"/>
        </w:rPr>
        <w:t> </w:t>
      </w:r>
      <w:r>
        <w:rPr>
          <w:sz w:val="20"/>
        </w:rPr>
        <w:t>may</w:t>
      </w:r>
      <w:r>
        <w:rPr>
          <w:spacing w:val="-3"/>
          <w:sz w:val="20"/>
        </w:rPr>
        <w:t> </w:t>
      </w:r>
      <w:r>
        <w:rPr>
          <w:sz w:val="20"/>
        </w:rPr>
        <w:t>license</w:t>
      </w:r>
      <w:r>
        <w:rPr>
          <w:spacing w:val="-5"/>
          <w:sz w:val="20"/>
        </w:rPr>
        <w:t> </w:t>
      </w:r>
      <w:r>
        <w:rPr>
          <w:sz w:val="20"/>
        </w:rPr>
        <w:t>intangible</w:t>
      </w:r>
      <w:r>
        <w:rPr>
          <w:spacing w:val="-5"/>
          <w:sz w:val="20"/>
        </w:rPr>
        <w:t> </w:t>
      </w:r>
      <w:r>
        <w:rPr>
          <w:sz w:val="20"/>
        </w:rPr>
        <w:t>assets</w:t>
      </w:r>
      <w:r>
        <w:rPr>
          <w:spacing w:val="-6"/>
          <w:sz w:val="20"/>
        </w:rPr>
        <w:t> </w:t>
      </w:r>
      <w:r>
        <w:rPr>
          <w:sz w:val="20"/>
        </w:rPr>
        <w:t>that</w:t>
      </w:r>
      <w:r>
        <w:rPr>
          <w:spacing w:val="-5"/>
          <w:sz w:val="20"/>
        </w:rPr>
        <w:t> </w:t>
      </w:r>
      <w:r>
        <w:rPr>
          <w:sz w:val="20"/>
        </w:rPr>
        <w:t>are subsequently exploited in that jurisdiction. For the purpose of this test, it cannot be assumed that any connection</w:t>
      </w:r>
      <w:r>
        <w:rPr>
          <w:spacing w:val="-7"/>
          <w:sz w:val="20"/>
        </w:rPr>
        <w:t> </w:t>
      </w:r>
      <w:r>
        <w:rPr>
          <w:sz w:val="20"/>
        </w:rPr>
        <w:t>between</w:t>
      </w:r>
      <w:r>
        <w:rPr>
          <w:spacing w:val="-9"/>
          <w:sz w:val="20"/>
        </w:rPr>
        <w:t> </w:t>
      </w:r>
      <w:r>
        <w:rPr>
          <w:sz w:val="20"/>
        </w:rPr>
        <w:t>a</w:t>
      </w:r>
      <w:r>
        <w:rPr>
          <w:spacing w:val="-6"/>
          <w:sz w:val="20"/>
        </w:rPr>
        <w:t> </w:t>
      </w:r>
      <w:r>
        <w:rPr>
          <w:sz w:val="20"/>
        </w:rPr>
        <w:t>paying</w:t>
      </w:r>
      <w:r>
        <w:rPr>
          <w:spacing w:val="-9"/>
          <w:sz w:val="20"/>
        </w:rPr>
        <w:t> </w:t>
      </w:r>
      <w:r>
        <w:rPr>
          <w:sz w:val="20"/>
        </w:rPr>
        <w:t>entity</w:t>
      </w:r>
      <w:r>
        <w:rPr>
          <w:spacing w:val="-9"/>
          <w:sz w:val="20"/>
        </w:rPr>
        <w:t> </w:t>
      </w:r>
      <w:r>
        <w:rPr>
          <w:sz w:val="20"/>
        </w:rPr>
        <w:t>and</w:t>
      </w:r>
      <w:r>
        <w:rPr>
          <w:spacing w:val="-9"/>
          <w:sz w:val="20"/>
        </w:rPr>
        <w:t> </w:t>
      </w:r>
      <w:r>
        <w:rPr>
          <w:sz w:val="20"/>
        </w:rPr>
        <w:t>a</w:t>
      </w:r>
      <w:r>
        <w:rPr>
          <w:spacing w:val="-6"/>
          <w:sz w:val="20"/>
        </w:rPr>
        <w:t> </w:t>
      </w:r>
      <w:r>
        <w:rPr>
          <w:sz w:val="20"/>
        </w:rPr>
        <w:t>jurisdiction</w:t>
      </w:r>
      <w:r>
        <w:rPr>
          <w:spacing w:val="-5"/>
          <w:sz w:val="20"/>
        </w:rPr>
        <w:t> </w:t>
      </w:r>
      <w:r>
        <w:rPr>
          <w:sz w:val="20"/>
        </w:rPr>
        <w:t>will</w:t>
      </w:r>
      <w:r>
        <w:rPr>
          <w:spacing w:val="-10"/>
          <w:sz w:val="20"/>
        </w:rPr>
        <w:t> </w:t>
      </w:r>
      <w:r>
        <w:rPr>
          <w:sz w:val="20"/>
        </w:rPr>
        <w:t>be</w:t>
      </w:r>
      <w:r>
        <w:rPr>
          <w:spacing w:val="-8"/>
          <w:sz w:val="20"/>
        </w:rPr>
        <w:t> </w:t>
      </w:r>
      <w:r>
        <w:rPr>
          <w:sz w:val="20"/>
        </w:rPr>
        <w:t>sufficient</w:t>
      </w:r>
      <w:r>
        <w:rPr>
          <w:spacing w:val="-9"/>
          <w:sz w:val="20"/>
        </w:rPr>
        <w:t> </w:t>
      </w:r>
      <w:r>
        <w:rPr>
          <w:sz w:val="20"/>
        </w:rPr>
        <w:t>to</w:t>
      </w:r>
      <w:r>
        <w:rPr>
          <w:spacing w:val="-8"/>
          <w:sz w:val="20"/>
        </w:rPr>
        <w:t> </w:t>
      </w:r>
      <w:r>
        <w:rPr>
          <w:sz w:val="20"/>
        </w:rPr>
        <w:t>establish</w:t>
      </w:r>
      <w:r>
        <w:rPr>
          <w:spacing w:val="-7"/>
          <w:sz w:val="20"/>
        </w:rPr>
        <w:t> </w:t>
      </w:r>
      <w:r>
        <w:rPr>
          <w:sz w:val="20"/>
        </w:rPr>
        <w:t>a</w:t>
      </w:r>
      <w:r>
        <w:rPr>
          <w:spacing w:val="-8"/>
          <w:sz w:val="20"/>
        </w:rPr>
        <w:t> </w:t>
      </w:r>
      <w:r>
        <w:rPr>
          <w:sz w:val="20"/>
        </w:rPr>
        <w:t>connection</w:t>
      </w:r>
      <w:r>
        <w:rPr>
          <w:spacing w:val="-9"/>
          <w:sz w:val="20"/>
        </w:rPr>
        <w:t> </w:t>
      </w:r>
      <w:r>
        <w:rPr>
          <w:sz w:val="20"/>
        </w:rPr>
        <w:t>for</w:t>
      </w:r>
      <w:r>
        <w:rPr>
          <w:spacing w:val="-5"/>
          <w:sz w:val="20"/>
        </w:rPr>
        <w:t> </w:t>
      </w:r>
      <w:r>
        <w:rPr>
          <w:sz w:val="20"/>
        </w:rPr>
        <w:t>Step</w:t>
      </w:r>
      <w:r>
        <w:rPr>
          <w:spacing w:val="-7"/>
          <w:sz w:val="20"/>
        </w:rPr>
        <w:t> </w:t>
      </w:r>
      <w:r>
        <w:rPr>
          <w:sz w:val="20"/>
        </w:rPr>
        <w:t>3. Instead, this connection should be linked to the activities identified as part of the activities</w:t>
      </w:r>
      <w:r>
        <w:rPr>
          <w:spacing w:val="-28"/>
          <w:sz w:val="20"/>
        </w:rPr>
        <w:t> </w:t>
      </w:r>
      <w:r>
        <w:rPr>
          <w:sz w:val="20"/>
        </w:rPr>
        <w:t>test.</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For many groups it will be relatively straightforward to identify the paying entities connected to different markets. For example, where a single entity within the group has the global rights to exploit intangible assets and receives residual profits from every market jurisdiction, it will have a sufficient connection to every market jurisdiction. In contrast, where a group has a regionally centralised operating model, where different entities within the group have the right to exploit intangible assets and receive residual profits from the market jurisdictions within its region, then each of these entities will have a sufficient connection with the market jurisdictions in their region (but will not have a sufficient connection to market jurisdictions in other</w:t>
      </w:r>
      <w:r>
        <w:rPr>
          <w:spacing w:val="-4"/>
          <w:sz w:val="20"/>
        </w:rPr>
        <w:t> </w:t>
      </w:r>
      <w:r>
        <w:rPr>
          <w:sz w:val="20"/>
        </w:rPr>
        <w:t>regions).</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As a result, in many instances it should be relatively easy to establish a sufficient connection between</w:t>
      </w:r>
      <w:r>
        <w:rPr>
          <w:spacing w:val="-6"/>
          <w:sz w:val="20"/>
        </w:rPr>
        <w:t> </w:t>
      </w:r>
      <w:r>
        <w:rPr>
          <w:sz w:val="20"/>
        </w:rPr>
        <w:t>a</w:t>
      </w:r>
      <w:r>
        <w:rPr>
          <w:spacing w:val="-5"/>
          <w:sz w:val="20"/>
        </w:rPr>
        <w:t> </w:t>
      </w:r>
      <w:r>
        <w:rPr>
          <w:sz w:val="20"/>
        </w:rPr>
        <w:t>paying</w:t>
      </w:r>
      <w:r>
        <w:rPr>
          <w:spacing w:val="-3"/>
          <w:sz w:val="20"/>
        </w:rPr>
        <w:t> </w:t>
      </w:r>
      <w:r>
        <w:rPr>
          <w:sz w:val="20"/>
        </w:rPr>
        <w:t>entity</w:t>
      </w:r>
      <w:r>
        <w:rPr>
          <w:spacing w:val="-7"/>
          <w:sz w:val="20"/>
        </w:rPr>
        <w:t> </w:t>
      </w:r>
      <w:r>
        <w:rPr>
          <w:sz w:val="20"/>
        </w:rPr>
        <w:t>and</w:t>
      </w:r>
      <w:r>
        <w:rPr>
          <w:spacing w:val="-4"/>
          <w:sz w:val="20"/>
        </w:rPr>
        <w:t> </w:t>
      </w:r>
      <w:r>
        <w:rPr>
          <w:sz w:val="20"/>
        </w:rPr>
        <w:t>a</w:t>
      </w:r>
      <w:r>
        <w:rPr>
          <w:spacing w:val="-5"/>
          <w:sz w:val="20"/>
        </w:rPr>
        <w:t> </w:t>
      </w:r>
      <w:r>
        <w:rPr>
          <w:sz w:val="20"/>
        </w:rPr>
        <w:t>market</w:t>
      </w:r>
      <w:r>
        <w:rPr>
          <w:spacing w:val="-7"/>
          <w:sz w:val="20"/>
        </w:rPr>
        <w:t> </w:t>
      </w:r>
      <w:r>
        <w:rPr>
          <w:sz w:val="20"/>
        </w:rPr>
        <w:t>jurisdiction.</w:t>
      </w:r>
      <w:r>
        <w:rPr>
          <w:spacing w:val="-4"/>
          <w:sz w:val="20"/>
        </w:rPr>
        <w:t> </w:t>
      </w:r>
      <w:r>
        <w:rPr>
          <w:sz w:val="20"/>
        </w:rPr>
        <w:t>This is</w:t>
      </w:r>
      <w:r>
        <w:rPr>
          <w:spacing w:val="-3"/>
          <w:sz w:val="20"/>
        </w:rPr>
        <w:t> </w:t>
      </w:r>
      <w:r>
        <w:rPr>
          <w:sz w:val="20"/>
        </w:rPr>
        <w:t>because</w:t>
      </w:r>
      <w:r>
        <w:rPr>
          <w:spacing w:val="-5"/>
          <w:sz w:val="20"/>
        </w:rPr>
        <w:t> </w:t>
      </w:r>
      <w:r>
        <w:rPr>
          <w:sz w:val="20"/>
        </w:rPr>
        <w:t>most</w:t>
      </w:r>
      <w:r>
        <w:rPr>
          <w:spacing w:val="-4"/>
          <w:sz w:val="20"/>
        </w:rPr>
        <w:t> </w:t>
      </w:r>
      <w:r>
        <w:rPr>
          <w:sz w:val="20"/>
        </w:rPr>
        <w:t>MNE</w:t>
      </w:r>
      <w:r>
        <w:rPr>
          <w:spacing w:val="-4"/>
          <w:sz w:val="20"/>
        </w:rPr>
        <w:t> </w:t>
      </w:r>
      <w:r>
        <w:rPr>
          <w:sz w:val="20"/>
        </w:rPr>
        <w:t>groups</w:t>
      </w:r>
      <w:r>
        <w:rPr>
          <w:spacing w:val="-3"/>
          <w:sz w:val="20"/>
        </w:rPr>
        <w:t> </w:t>
      </w:r>
      <w:r>
        <w:rPr>
          <w:sz w:val="20"/>
        </w:rPr>
        <w:t>will</w:t>
      </w:r>
      <w:r>
        <w:rPr>
          <w:spacing w:val="-3"/>
          <w:sz w:val="20"/>
        </w:rPr>
        <w:t> </w:t>
      </w:r>
      <w:r>
        <w:rPr>
          <w:sz w:val="20"/>
        </w:rPr>
        <w:t>have</w:t>
      </w:r>
      <w:r>
        <w:rPr>
          <w:spacing w:val="-4"/>
          <w:sz w:val="20"/>
        </w:rPr>
        <w:t> </w:t>
      </w:r>
      <w:r>
        <w:rPr>
          <w:sz w:val="20"/>
        </w:rPr>
        <w:t>legal</w:t>
      </w:r>
      <w:r>
        <w:rPr>
          <w:spacing w:val="-5"/>
          <w:sz w:val="20"/>
        </w:rPr>
        <w:t> </w:t>
      </w:r>
      <w:r>
        <w:rPr>
          <w:sz w:val="20"/>
        </w:rPr>
        <w:t>entity structures</w:t>
      </w:r>
      <w:r>
        <w:rPr>
          <w:spacing w:val="-10"/>
          <w:sz w:val="20"/>
        </w:rPr>
        <w:t> </w:t>
      </w:r>
      <w:r>
        <w:rPr>
          <w:sz w:val="20"/>
        </w:rPr>
        <w:t>and</w:t>
      </w:r>
      <w:r>
        <w:rPr>
          <w:spacing w:val="-9"/>
          <w:sz w:val="20"/>
        </w:rPr>
        <w:t> </w:t>
      </w:r>
      <w:r>
        <w:rPr>
          <w:sz w:val="20"/>
        </w:rPr>
        <w:t>legal</w:t>
      </w:r>
      <w:r>
        <w:rPr>
          <w:spacing w:val="-12"/>
          <w:sz w:val="20"/>
        </w:rPr>
        <w:t> </w:t>
      </w:r>
      <w:r>
        <w:rPr>
          <w:sz w:val="20"/>
        </w:rPr>
        <w:t>agreements</w:t>
      </w:r>
      <w:r>
        <w:rPr>
          <w:spacing w:val="-10"/>
          <w:sz w:val="20"/>
        </w:rPr>
        <w:t> </w:t>
      </w:r>
      <w:r>
        <w:rPr>
          <w:sz w:val="20"/>
        </w:rPr>
        <w:t>that</w:t>
      </w:r>
      <w:r>
        <w:rPr>
          <w:spacing w:val="-11"/>
          <w:sz w:val="20"/>
        </w:rPr>
        <w:t> </w:t>
      </w:r>
      <w:r>
        <w:rPr>
          <w:sz w:val="20"/>
        </w:rPr>
        <w:t>clearly</w:t>
      </w:r>
      <w:r>
        <w:rPr>
          <w:spacing w:val="-12"/>
          <w:sz w:val="20"/>
        </w:rPr>
        <w:t> </w:t>
      </w:r>
      <w:r>
        <w:rPr>
          <w:sz w:val="20"/>
        </w:rPr>
        <w:t>document</w:t>
      </w:r>
      <w:r>
        <w:rPr>
          <w:spacing w:val="-9"/>
          <w:sz w:val="20"/>
        </w:rPr>
        <w:t> </w:t>
      </w:r>
      <w:r>
        <w:rPr>
          <w:sz w:val="20"/>
        </w:rPr>
        <w:t>which</w:t>
      </w:r>
      <w:r>
        <w:rPr>
          <w:spacing w:val="-11"/>
          <w:sz w:val="20"/>
        </w:rPr>
        <w:t> </w:t>
      </w:r>
      <w:r>
        <w:rPr>
          <w:sz w:val="20"/>
        </w:rPr>
        <w:t>entities</w:t>
      </w:r>
      <w:r>
        <w:rPr>
          <w:spacing w:val="-8"/>
          <w:sz w:val="20"/>
        </w:rPr>
        <w:t> </w:t>
      </w:r>
      <w:r>
        <w:rPr>
          <w:sz w:val="20"/>
        </w:rPr>
        <w:t>in</w:t>
      </w:r>
      <w:r>
        <w:rPr>
          <w:spacing w:val="-9"/>
          <w:sz w:val="20"/>
        </w:rPr>
        <w:t> </w:t>
      </w:r>
      <w:r>
        <w:rPr>
          <w:sz w:val="20"/>
        </w:rPr>
        <w:t>the</w:t>
      </w:r>
      <w:r>
        <w:rPr>
          <w:spacing w:val="-10"/>
          <w:sz w:val="20"/>
        </w:rPr>
        <w:t> </w:t>
      </w:r>
      <w:r>
        <w:rPr>
          <w:sz w:val="20"/>
        </w:rPr>
        <w:t>group</w:t>
      </w:r>
      <w:r>
        <w:rPr>
          <w:spacing w:val="-9"/>
          <w:sz w:val="20"/>
        </w:rPr>
        <w:t> </w:t>
      </w:r>
      <w:r>
        <w:rPr>
          <w:sz w:val="20"/>
        </w:rPr>
        <w:t>have</w:t>
      </w:r>
      <w:r>
        <w:rPr>
          <w:spacing w:val="-12"/>
          <w:sz w:val="20"/>
        </w:rPr>
        <w:t> </w:t>
      </w:r>
      <w:r>
        <w:rPr>
          <w:sz w:val="20"/>
        </w:rPr>
        <w:t>the</w:t>
      </w:r>
      <w:r>
        <w:rPr>
          <w:spacing w:val="-12"/>
          <w:sz w:val="20"/>
        </w:rPr>
        <w:t> </w:t>
      </w:r>
      <w:r>
        <w:rPr>
          <w:sz w:val="20"/>
        </w:rPr>
        <w:t>rights</w:t>
      </w:r>
      <w:r>
        <w:rPr>
          <w:spacing w:val="-8"/>
          <w:sz w:val="20"/>
        </w:rPr>
        <w:t> </w:t>
      </w:r>
      <w:r>
        <w:rPr>
          <w:sz w:val="20"/>
        </w:rPr>
        <w:t>to</w:t>
      </w:r>
      <w:r>
        <w:rPr>
          <w:spacing w:val="-9"/>
          <w:sz w:val="20"/>
        </w:rPr>
        <w:t> </w:t>
      </w:r>
      <w:r>
        <w:rPr>
          <w:sz w:val="20"/>
        </w:rPr>
        <w:t>exploit specific intangible assets in and receive residual profits from specific markets. For example, a legal agreement</w:t>
      </w:r>
      <w:r>
        <w:rPr>
          <w:spacing w:val="31"/>
          <w:sz w:val="20"/>
        </w:rPr>
        <w:t> </w:t>
      </w:r>
      <w:r>
        <w:rPr>
          <w:sz w:val="20"/>
        </w:rPr>
        <w:t>giving</w:t>
      </w:r>
      <w:r>
        <w:rPr>
          <w:spacing w:val="32"/>
          <w:sz w:val="20"/>
        </w:rPr>
        <w:t> </w:t>
      </w:r>
      <w:r>
        <w:rPr>
          <w:sz w:val="20"/>
        </w:rPr>
        <w:t>an</w:t>
      </w:r>
      <w:r>
        <w:rPr>
          <w:spacing w:val="32"/>
          <w:sz w:val="20"/>
        </w:rPr>
        <w:t> </w:t>
      </w:r>
      <w:r>
        <w:rPr>
          <w:sz w:val="20"/>
        </w:rPr>
        <w:t>entity</w:t>
      </w:r>
      <w:r>
        <w:rPr>
          <w:spacing w:val="31"/>
          <w:sz w:val="20"/>
        </w:rPr>
        <w:t> </w:t>
      </w:r>
      <w:r>
        <w:rPr>
          <w:sz w:val="20"/>
        </w:rPr>
        <w:t>the</w:t>
      </w:r>
      <w:r>
        <w:rPr>
          <w:spacing w:val="32"/>
          <w:sz w:val="20"/>
        </w:rPr>
        <w:t> </w:t>
      </w:r>
      <w:r>
        <w:rPr>
          <w:sz w:val="20"/>
        </w:rPr>
        <w:t>right</w:t>
      </w:r>
      <w:r>
        <w:rPr>
          <w:spacing w:val="32"/>
          <w:sz w:val="20"/>
        </w:rPr>
        <w:t> </w:t>
      </w:r>
      <w:r>
        <w:rPr>
          <w:sz w:val="20"/>
        </w:rPr>
        <w:t>to</w:t>
      </w:r>
      <w:r>
        <w:rPr>
          <w:spacing w:val="34"/>
          <w:sz w:val="20"/>
        </w:rPr>
        <w:t> </w:t>
      </w:r>
      <w:r>
        <w:rPr>
          <w:sz w:val="20"/>
        </w:rPr>
        <w:t>exploit</w:t>
      </w:r>
      <w:r>
        <w:rPr>
          <w:spacing w:val="32"/>
          <w:sz w:val="20"/>
        </w:rPr>
        <w:t> </w:t>
      </w:r>
      <w:r>
        <w:rPr>
          <w:sz w:val="20"/>
        </w:rPr>
        <w:t>an</w:t>
      </w:r>
      <w:r>
        <w:rPr>
          <w:spacing w:val="32"/>
          <w:sz w:val="20"/>
        </w:rPr>
        <w:t> </w:t>
      </w:r>
      <w:r>
        <w:rPr>
          <w:sz w:val="20"/>
        </w:rPr>
        <w:t>intangible</w:t>
      </w:r>
      <w:r>
        <w:rPr>
          <w:spacing w:val="32"/>
          <w:sz w:val="20"/>
        </w:rPr>
        <w:t> </w:t>
      </w:r>
      <w:r>
        <w:rPr>
          <w:sz w:val="20"/>
        </w:rPr>
        <w:t>in</w:t>
      </w:r>
      <w:r>
        <w:rPr>
          <w:spacing w:val="32"/>
          <w:sz w:val="20"/>
        </w:rPr>
        <w:t> </w:t>
      </w:r>
      <w:r>
        <w:rPr>
          <w:sz w:val="20"/>
        </w:rPr>
        <w:t>a</w:t>
      </w:r>
      <w:r>
        <w:rPr>
          <w:spacing w:val="32"/>
          <w:sz w:val="20"/>
        </w:rPr>
        <w:t> </w:t>
      </w:r>
      <w:r>
        <w:rPr>
          <w:sz w:val="20"/>
        </w:rPr>
        <w:t>region</w:t>
      </w:r>
      <w:r>
        <w:rPr>
          <w:spacing w:val="34"/>
          <w:sz w:val="20"/>
        </w:rPr>
        <w:t> </w:t>
      </w:r>
      <w:r>
        <w:rPr>
          <w:sz w:val="20"/>
        </w:rPr>
        <w:t>would</w:t>
      </w:r>
      <w:r>
        <w:rPr>
          <w:spacing w:val="34"/>
          <w:sz w:val="20"/>
        </w:rPr>
        <w:t> </w:t>
      </w:r>
      <w:r>
        <w:rPr>
          <w:sz w:val="20"/>
        </w:rPr>
        <w:t>provide</w:t>
      </w:r>
      <w:r>
        <w:rPr>
          <w:spacing w:val="34"/>
          <w:sz w:val="20"/>
        </w:rPr>
        <w:t> </w:t>
      </w:r>
      <w:r>
        <w:rPr>
          <w:sz w:val="20"/>
        </w:rPr>
        <w:t>evidence</w:t>
      </w:r>
      <w:r>
        <w:rPr>
          <w:spacing w:val="32"/>
          <w:sz w:val="20"/>
        </w:rPr>
        <w:t> </w:t>
      </w:r>
      <w:r>
        <w:rPr>
          <w:sz w:val="20"/>
        </w:rPr>
        <w:t>of</w:t>
      </w:r>
      <w:r>
        <w:rPr>
          <w:spacing w:val="34"/>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connection between that entity and market jurisdictions in that region. Similarly, the direct license of an intangible from an entity to a market jurisdiction would also provide evidence of a connection between a paying entity and a market. In many instances, this information will already be available to tax administrations through a group’s master file or other transfer pricing documentation.</w:t>
      </w:r>
    </w:p>
    <w:p>
      <w:pPr>
        <w:pStyle w:val="ListParagraph"/>
        <w:numPr>
          <w:ilvl w:val="0"/>
          <w:numId w:val="13"/>
        </w:numPr>
        <w:tabs>
          <w:tab w:pos="1444" w:val="left" w:leader="none"/>
        </w:tabs>
        <w:spacing w:line="240" w:lineRule="auto" w:before="120" w:after="0"/>
        <w:ind w:left="1443" w:right="0" w:hanging="721"/>
        <w:jc w:val="both"/>
        <w:rPr>
          <w:sz w:val="20"/>
        </w:rPr>
      </w:pPr>
      <w:r>
        <w:rPr>
          <w:sz w:val="20"/>
        </w:rPr>
        <w:t>In</w:t>
      </w:r>
      <w:r>
        <w:rPr>
          <w:spacing w:val="-8"/>
          <w:sz w:val="20"/>
        </w:rPr>
        <w:t> </w:t>
      </w:r>
      <w:r>
        <w:rPr>
          <w:sz w:val="20"/>
        </w:rPr>
        <w:t>the</w:t>
      </w:r>
      <w:r>
        <w:rPr>
          <w:spacing w:val="-8"/>
          <w:sz w:val="20"/>
        </w:rPr>
        <w:t> </w:t>
      </w:r>
      <w:r>
        <w:rPr>
          <w:sz w:val="20"/>
        </w:rPr>
        <w:t>development</w:t>
      </w:r>
      <w:r>
        <w:rPr>
          <w:spacing w:val="-7"/>
          <w:sz w:val="20"/>
        </w:rPr>
        <w:t> </w:t>
      </w:r>
      <w:r>
        <w:rPr>
          <w:sz w:val="20"/>
        </w:rPr>
        <w:t>of</w:t>
      </w:r>
      <w:r>
        <w:rPr>
          <w:spacing w:val="-6"/>
          <w:sz w:val="20"/>
        </w:rPr>
        <w:t> </w:t>
      </w:r>
      <w:r>
        <w:rPr>
          <w:sz w:val="20"/>
        </w:rPr>
        <w:t>this</w:t>
      </w:r>
      <w:r>
        <w:rPr>
          <w:spacing w:val="-7"/>
          <w:sz w:val="20"/>
        </w:rPr>
        <w:t> </w:t>
      </w:r>
      <w:r>
        <w:rPr>
          <w:sz w:val="20"/>
        </w:rPr>
        <w:t>priority</w:t>
      </w:r>
      <w:r>
        <w:rPr>
          <w:spacing w:val="-10"/>
          <w:sz w:val="20"/>
        </w:rPr>
        <w:t> </w:t>
      </w:r>
      <w:r>
        <w:rPr>
          <w:sz w:val="20"/>
        </w:rPr>
        <w:t>rule</w:t>
      </w:r>
      <w:r>
        <w:rPr>
          <w:spacing w:val="-8"/>
          <w:sz w:val="20"/>
        </w:rPr>
        <w:t> </w:t>
      </w:r>
      <w:r>
        <w:rPr>
          <w:sz w:val="20"/>
        </w:rPr>
        <w:t>it</w:t>
      </w:r>
      <w:r>
        <w:rPr>
          <w:spacing w:val="-8"/>
          <w:sz w:val="20"/>
        </w:rPr>
        <w:t> </w:t>
      </w:r>
      <w:r>
        <w:rPr>
          <w:sz w:val="20"/>
        </w:rPr>
        <w:t>is</w:t>
      </w:r>
      <w:r>
        <w:rPr>
          <w:spacing w:val="-3"/>
          <w:sz w:val="20"/>
        </w:rPr>
        <w:t> </w:t>
      </w:r>
      <w:r>
        <w:rPr>
          <w:sz w:val="20"/>
        </w:rPr>
        <w:t>important</w:t>
      </w:r>
      <w:r>
        <w:rPr>
          <w:spacing w:val="-8"/>
          <w:sz w:val="20"/>
        </w:rPr>
        <w:t> </w:t>
      </w:r>
      <w:r>
        <w:rPr>
          <w:sz w:val="20"/>
        </w:rPr>
        <w:t>to</w:t>
      </w:r>
      <w:r>
        <w:rPr>
          <w:spacing w:val="-6"/>
          <w:sz w:val="20"/>
        </w:rPr>
        <w:t> </w:t>
      </w:r>
      <w:r>
        <w:rPr>
          <w:sz w:val="20"/>
        </w:rPr>
        <w:t>highlight</w:t>
      </w:r>
      <w:r>
        <w:rPr>
          <w:spacing w:val="-5"/>
          <w:sz w:val="20"/>
        </w:rPr>
        <w:t> </w:t>
      </w:r>
      <w:r>
        <w:rPr>
          <w:sz w:val="20"/>
        </w:rPr>
        <w:t>a</w:t>
      </w:r>
      <w:r>
        <w:rPr>
          <w:spacing w:val="-8"/>
          <w:sz w:val="20"/>
        </w:rPr>
        <w:t> </w:t>
      </w:r>
      <w:r>
        <w:rPr>
          <w:sz w:val="20"/>
        </w:rPr>
        <w:t>number</w:t>
      </w:r>
      <w:r>
        <w:rPr>
          <w:spacing w:val="-7"/>
          <w:sz w:val="20"/>
        </w:rPr>
        <w:t> </w:t>
      </w:r>
      <w:r>
        <w:rPr>
          <w:sz w:val="20"/>
        </w:rPr>
        <w:t>of</w:t>
      </w:r>
      <w:r>
        <w:rPr>
          <w:spacing w:val="-5"/>
          <w:sz w:val="20"/>
        </w:rPr>
        <w:t> </w:t>
      </w:r>
      <w:r>
        <w:rPr>
          <w:sz w:val="20"/>
        </w:rPr>
        <w:t>design</w:t>
      </w:r>
      <w:r>
        <w:rPr>
          <w:spacing w:val="-8"/>
          <w:sz w:val="20"/>
        </w:rPr>
        <w:t> </w:t>
      </w:r>
      <w:r>
        <w:rPr>
          <w:sz w:val="20"/>
        </w:rPr>
        <w:t>principles</w:t>
      </w:r>
      <w:r>
        <w:rPr>
          <w:spacing w:val="-7"/>
          <w:sz w:val="20"/>
        </w:rPr>
        <w:t> </w:t>
      </w:r>
      <w:r>
        <w:rPr>
          <w:sz w:val="20"/>
        </w:rPr>
        <w:t>that</w:t>
      </w:r>
    </w:p>
    <w:p>
      <w:pPr>
        <w:pStyle w:val="BodyText"/>
        <w:spacing w:before="29"/>
        <w:ind w:left="723"/>
        <w:jc w:val="both"/>
      </w:pPr>
      <w:r>
        <w:rPr/>
        <w:t>will be relevant when defining what constitutes a “sufficient connection”:</w:t>
      </w:r>
    </w:p>
    <w:p>
      <w:pPr>
        <w:pStyle w:val="ListParagraph"/>
        <w:numPr>
          <w:ilvl w:val="1"/>
          <w:numId w:val="13"/>
        </w:numPr>
        <w:tabs>
          <w:tab w:pos="1403" w:val="left" w:leader="none"/>
        </w:tabs>
        <w:spacing w:line="271" w:lineRule="auto" w:before="131" w:after="0"/>
        <w:ind w:left="1402" w:right="484" w:hanging="339"/>
        <w:jc w:val="both"/>
        <w:rPr>
          <w:sz w:val="20"/>
        </w:rPr>
      </w:pPr>
      <w:r>
        <w:rPr>
          <w:sz w:val="20"/>
        </w:rPr>
        <w:t>The transactions that give rise to the connection should be linked to the activities identified under the</w:t>
      </w:r>
      <w:r>
        <w:rPr>
          <w:spacing w:val="-4"/>
          <w:sz w:val="20"/>
        </w:rPr>
        <w:t> </w:t>
      </w:r>
      <w:r>
        <w:rPr>
          <w:sz w:val="20"/>
        </w:rPr>
        <w:t>activities</w:t>
      </w:r>
      <w:r>
        <w:rPr>
          <w:spacing w:val="-6"/>
          <w:sz w:val="20"/>
        </w:rPr>
        <w:t> </w:t>
      </w:r>
      <w:r>
        <w:rPr>
          <w:sz w:val="20"/>
        </w:rPr>
        <w:t>test.</w:t>
      </w:r>
      <w:r>
        <w:rPr>
          <w:spacing w:val="-7"/>
          <w:sz w:val="20"/>
        </w:rPr>
        <w:t> </w:t>
      </w:r>
      <w:r>
        <w:rPr>
          <w:sz w:val="20"/>
        </w:rPr>
        <w:t>For</w:t>
      </w:r>
      <w:r>
        <w:rPr>
          <w:spacing w:val="-6"/>
          <w:sz w:val="20"/>
        </w:rPr>
        <w:t> </w:t>
      </w:r>
      <w:r>
        <w:rPr>
          <w:sz w:val="20"/>
        </w:rPr>
        <w:t>example,</w:t>
      </w:r>
      <w:r>
        <w:rPr>
          <w:spacing w:val="-5"/>
          <w:sz w:val="20"/>
        </w:rPr>
        <w:t> </w:t>
      </w:r>
      <w:r>
        <w:rPr>
          <w:sz w:val="20"/>
        </w:rPr>
        <w:t>if</w:t>
      </w:r>
      <w:r>
        <w:rPr>
          <w:spacing w:val="-4"/>
          <w:sz w:val="20"/>
        </w:rPr>
        <w:t> </w:t>
      </w:r>
      <w:r>
        <w:rPr>
          <w:sz w:val="20"/>
        </w:rPr>
        <w:t>an</w:t>
      </w:r>
      <w:r>
        <w:rPr>
          <w:spacing w:val="-5"/>
          <w:sz w:val="20"/>
        </w:rPr>
        <w:t> </w:t>
      </w:r>
      <w:r>
        <w:rPr>
          <w:sz w:val="20"/>
        </w:rPr>
        <w:t>entity</w:t>
      </w:r>
      <w:r>
        <w:rPr>
          <w:spacing w:val="-6"/>
          <w:sz w:val="20"/>
        </w:rPr>
        <w:t> </w:t>
      </w:r>
      <w:r>
        <w:rPr>
          <w:sz w:val="20"/>
        </w:rPr>
        <w:t>performs</w:t>
      </w:r>
      <w:r>
        <w:rPr>
          <w:spacing w:val="-5"/>
          <w:sz w:val="20"/>
        </w:rPr>
        <w:t> </w:t>
      </w:r>
      <w:r>
        <w:rPr>
          <w:sz w:val="20"/>
        </w:rPr>
        <w:t>certain</w:t>
      </w:r>
      <w:r>
        <w:rPr>
          <w:spacing w:val="-7"/>
          <w:sz w:val="20"/>
        </w:rPr>
        <w:t> </w:t>
      </w:r>
      <w:r>
        <w:rPr>
          <w:sz w:val="20"/>
        </w:rPr>
        <w:t>routine</w:t>
      </w:r>
      <w:r>
        <w:rPr>
          <w:spacing w:val="-5"/>
          <w:sz w:val="20"/>
        </w:rPr>
        <w:t> </w:t>
      </w:r>
      <w:r>
        <w:rPr>
          <w:sz w:val="20"/>
        </w:rPr>
        <w:t>support</w:t>
      </w:r>
      <w:r>
        <w:rPr>
          <w:spacing w:val="-6"/>
          <w:sz w:val="20"/>
        </w:rPr>
        <w:t> </w:t>
      </w:r>
      <w:r>
        <w:rPr>
          <w:sz w:val="20"/>
        </w:rPr>
        <w:t>services,</w:t>
      </w:r>
      <w:r>
        <w:rPr>
          <w:spacing w:val="-6"/>
          <w:sz w:val="20"/>
        </w:rPr>
        <w:t> </w:t>
      </w:r>
      <w:r>
        <w:rPr>
          <w:sz w:val="20"/>
        </w:rPr>
        <w:t>in</w:t>
      </w:r>
      <w:r>
        <w:rPr>
          <w:spacing w:val="-5"/>
          <w:sz w:val="20"/>
        </w:rPr>
        <w:t> </w:t>
      </w:r>
      <w:r>
        <w:rPr>
          <w:sz w:val="20"/>
        </w:rPr>
        <w:t>addition</w:t>
      </w:r>
      <w:r>
        <w:rPr>
          <w:spacing w:val="-6"/>
          <w:sz w:val="20"/>
        </w:rPr>
        <w:t> </w:t>
      </w:r>
      <w:r>
        <w:rPr>
          <w:sz w:val="20"/>
        </w:rPr>
        <w:t>to non-routine activities that result in it being identified as a paying entity, there would not be a sufficient</w:t>
      </w:r>
      <w:r>
        <w:rPr>
          <w:spacing w:val="-17"/>
          <w:sz w:val="20"/>
        </w:rPr>
        <w:t> </w:t>
      </w:r>
      <w:r>
        <w:rPr>
          <w:sz w:val="20"/>
        </w:rPr>
        <w:t>connection</w:t>
      </w:r>
      <w:r>
        <w:rPr>
          <w:spacing w:val="-17"/>
          <w:sz w:val="20"/>
        </w:rPr>
        <w:t> </w:t>
      </w:r>
      <w:r>
        <w:rPr>
          <w:sz w:val="20"/>
        </w:rPr>
        <w:t>between</w:t>
      </w:r>
      <w:r>
        <w:rPr>
          <w:spacing w:val="-17"/>
          <w:sz w:val="20"/>
        </w:rPr>
        <w:t> </w:t>
      </w:r>
      <w:r>
        <w:rPr>
          <w:sz w:val="20"/>
        </w:rPr>
        <w:t>that</w:t>
      </w:r>
      <w:r>
        <w:rPr>
          <w:spacing w:val="-16"/>
          <w:sz w:val="20"/>
        </w:rPr>
        <w:t> </w:t>
      </w:r>
      <w:r>
        <w:rPr>
          <w:sz w:val="20"/>
        </w:rPr>
        <w:t>entity</w:t>
      </w:r>
      <w:r>
        <w:rPr>
          <w:spacing w:val="-19"/>
          <w:sz w:val="20"/>
        </w:rPr>
        <w:t> </w:t>
      </w:r>
      <w:r>
        <w:rPr>
          <w:sz w:val="20"/>
        </w:rPr>
        <w:t>and</w:t>
      </w:r>
      <w:r>
        <w:rPr>
          <w:spacing w:val="-16"/>
          <w:sz w:val="20"/>
        </w:rPr>
        <w:t> </w:t>
      </w:r>
      <w:r>
        <w:rPr>
          <w:sz w:val="20"/>
        </w:rPr>
        <w:t>a</w:t>
      </w:r>
      <w:r>
        <w:rPr>
          <w:spacing w:val="-17"/>
          <w:sz w:val="20"/>
        </w:rPr>
        <w:t> </w:t>
      </w:r>
      <w:r>
        <w:rPr>
          <w:sz w:val="20"/>
        </w:rPr>
        <w:t>market</w:t>
      </w:r>
      <w:r>
        <w:rPr>
          <w:spacing w:val="-16"/>
          <w:sz w:val="20"/>
        </w:rPr>
        <w:t> </w:t>
      </w:r>
      <w:r>
        <w:rPr>
          <w:sz w:val="20"/>
        </w:rPr>
        <w:t>jurisdiction</w:t>
      </w:r>
      <w:r>
        <w:rPr>
          <w:spacing w:val="-17"/>
          <w:sz w:val="20"/>
        </w:rPr>
        <w:t> </w:t>
      </w:r>
      <w:r>
        <w:rPr>
          <w:sz w:val="20"/>
        </w:rPr>
        <w:t>that</w:t>
      </w:r>
      <w:r>
        <w:rPr>
          <w:spacing w:val="-16"/>
          <w:sz w:val="20"/>
        </w:rPr>
        <w:t> </w:t>
      </w:r>
      <w:r>
        <w:rPr>
          <w:sz w:val="20"/>
        </w:rPr>
        <w:t>received</w:t>
      </w:r>
      <w:r>
        <w:rPr>
          <w:spacing w:val="-17"/>
          <w:sz w:val="20"/>
        </w:rPr>
        <w:t> </w:t>
      </w:r>
      <w:r>
        <w:rPr>
          <w:sz w:val="20"/>
        </w:rPr>
        <w:t>only</w:t>
      </w:r>
      <w:r>
        <w:rPr>
          <w:spacing w:val="-19"/>
          <w:sz w:val="20"/>
        </w:rPr>
        <w:t> </w:t>
      </w:r>
      <w:r>
        <w:rPr>
          <w:sz w:val="20"/>
        </w:rPr>
        <w:t>routine</w:t>
      </w:r>
      <w:r>
        <w:rPr>
          <w:spacing w:val="-18"/>
          <w:sz w:val="20"/>
        </w:rPr>
        <w:t> </w:t>
      </w:r>
      <w:r>
        <w:rPr>
          <w:sz w:val="20"/>
        </w:rPr>
        <w:t>support services.</w:t>
      </w:r>
      <w:r>
        <w:rPr>
          <w:spacing w:val="-17"/>
          <w:sz w:val="20"/>
        </w:rPr>
        <w:t> </w:t>
      </w:r>
      <w:r>
        <w:rPr>
          <w:sz w:val="20"/>
        </w:rPr>
        <w:t>Similarly,</w:t>
      </w:r>
      <w:r>
        <w:rPr>
          <w:spacing w:val="-16"/>
          <w:sz w:val="20"/>
        </w:rPr>
        <w:t> </w:t>
      </w:r>
      <w:r>
        <w:rPr>
          <w:sz w:val="20"/>
        </w:rPr>
        <w:t>the</w:t>
      </w:r>
      <w:r>
        <w:rPr>
          <w:spacing w:val="-16"/>
          <w:sz w:val="20"/>
        </w:rPr>
        <w:t> </w:t>
      </w:r>
      <w:r>
        <w:rPr>
          <w:sz w:val="20"/>
        </w:rPr>
        <w:t>provision</w:t>
      </w:r>
      <w:r>
        <w:rPr>
          <w:spacing w:val="-17"/>
          <w:sz w:val="20"/>
        </w:rPr>
        <w:t> </w:t>
      </w:r>
      <w:r>
        <w:rPr>
          <w:sz w:val="20"/>
        </w:rPr>
        <w:t>of</w:t>
      </w:r>
      <w:r>
        <w:rPr>
          <w:spacing w:val="-14"/>
          <w:sz w:val="20"/>
        </w:rPr>
        <w:t> </w:t>
      </w:r>
      <w:r>
        <w:rPr>
          <w:sz w:val="20"/>
        </w:rPr>
        <w:t>intra-group</w:t>
      </w:r>
      <w:r>
        <w:rPr>
          <w:spacing w:val="-16"/>
          <w:sz w:val="20"/>
        </w:rPr>
        <w:t> </w:t>
      </w:r>
      <w:r>
        <w:rPr>
          <w:sz w:val="20"/>
        </w:rPr>
        <w:t>financing</w:t>
      </w:r>
      <w:r>
        <w:rPr>
          <w:spacing w:val="-15"/>
          <w:sz w:val="20"/>
        </w:rPr>
        <w:t> </w:t>
      </w:r>
      <w:r>
        <w:rPr>
          <w:sz w:val="20"/>
        </w:rPr>
        <w:t>to</w:t>
      </w:r>
      <w:r>
        <w:rPr>
          <w:spacing w:val="-16"/>
          <w:sz w:val="20"/>
        </w:rPr>
        <w:t> </w:t>
      </w:r>
      <w:r>
        <w:rPr>
          <w:sz w:val="20"/>
        </w:rPr>
        <w:t>an</w:t>
      </w:r>
      <w:r>
        <w:rPr>
          <w:spacing w:val="-17"/>
          <w:sz w:val="20"/>
        </w:rPr>
        <w:t> </w:t>
      </w:r>
      <w:r>
        <w:rPr>
          <w:sz w:val="20"/>
        </w:rPr>
        <w:t>entity</w:t>
      </w:r>
      <w:r>
        <w:rPr>
          <w:spacing w:val="-19"/>
          <w:sz w:val="20"/>
        </w:rPr>
        <w:t> </w:t>
      </w:r>
      <w:r>
        <w:rPr>
          <w:sz w:val="20"/>
        </w:rPr>
        <w:t>resident</w:t>
      </w:r>
      <w:r>
        <w:rPr>
          <w:spacing w:val="-16"/>
          <w:sz w:val="20"/>
        </w:rPr>
        <w:t> </w:t>
      </w:r>
      <w:r>
        <w:rPr>
          <w:sz w:val="20"/>
        </w:rPr>
        <w:t>in</w:t>
      </w:r>
      <w:r>
        <w:rPr>
          <w:spacing w:val="-16"/>
          <w:sz w:val="20"/>
        </w:rPr>
        <w:t> </w:t>
      </w:r>
      <w:r>
        <w:rPr>
          <w:sz w:val="20"/>
        </w:rPr>
        <w:t>a</w:t>
      </w:r>
      <w:r>
        <w:rPr>
          <w:spacing w:val="-16"/>
          <w:sz w:val="20"/>
        </w:rPr>
        <w:t> </w:t>
      </w:r>
      <w:r>
        <w:rPr>
          <w:sz w:val="20"/>
        </w:rPr>
        <w:t>market</w:t>
      </w:r>
      <w:r>
        <w:rPr>
          <w:spacing w:val="-16"/>
          <w:sz w:val="20"/>
        </w:rPr>
        <w:t> </w:t>
      </w:r>
      <w:r>
        <w:rPr>
          <w:sz w:val="20"/>
        </w:rPr>
        <w:t>jurisdiction would not be sufficient to establish a connection, as the performance of intra-group financing activities is not sufficient to identify an entity as a paying</w:t>
      </w:r>
      <w:r>
        <w:rPr>
          <w:spacing w:val="-17"/>
          <w:sz w:val="20"/>
        </w:rPr>
        <w:t> </w:t>
      </w:r>
      <w:r>
        <w:rPr>
          <w:sz w:val="20"/>
        </w:rPr>
        <w:t>entity.</w:t>
      </w:r>
    </w:p>
    <w:p>
      <w:pPr>
        <w:pStyle w:val="ListParagraph"/>
        <w:numPr>
          <w:ilvl w:val="1"/>
          <w:numId w:val="13"/>
        </w:numPr>
        <w:tabs>
          <w:tab w:pos="1403" w:val="left" w:leader="none"/>
        </w:tabs>
        <w:spacing w:line="271" w:lineRule="auto" w:before="44" w:after="0"/>
        <w:ind w:left="1402" w:right="487" w:hanging="339"/>
        <w:jc w:val="both"/>
        <w:rPr>
          <w:sz w:val="20"/>
        </w:rPr>
      </w:pPr>
      <w:r>
        <w:rPr>
          <w:sz w:val="20"/>
        </w:rPr>
        <w:t>A paying entity should derive profits that are ultimately connected to sales to third parties in a particular market jurisdiction. For example, if an entity receives a fee for the provision of manufacturing support services from a related party manufacturer, this would not be sufficient to establish a connection between the entity that receives the fee and the jurisdiction in which the manufacturer is resident (which may also be a market</w:t>
      </w:r>
      <w:r>
        <w:rPr>
          <w:spacing w:val="-16"/>
          <w:sz w:val="20"/>
        </w:rPr>
        <w:t> </w:t>
      </w:r>
      <w:r>
        <w:rPr>
          <w:sz w:val="20"/>
        </w:rPr>
        <w:t>jurisdiction).</w:t>
      </w:r>
    </w:p>
    <w:p>
      <w:pPr>
        <w:pStyle w:val="ListParagraph"/>
        <w:numPr>
          <w:ilvl w:val="1"/>
          <w:numId w:val="13"/>
        </w:numPr>
        <w:tabs>
          <w:tab w:pos="1403" w:val="left" w:leader="none"/>
        </w:tabs>
        <w:spacing w:line="271" w:lineRule="auto" w:before="44" w:after="0"/>
        <w:ind w:left="1402" w:right="485" w:hanging="339"/>
        <w:jc w:val="both"/>
        <w:rPr>
          <w:sz w:val="20"/>
        </w:rPr>
      </w:pPr>
      <w:r>
        <w:rPr>
          <w:sz w:val="20"/>
        </w:rPr>
        <w:t>It</w:t>
      </w:r>
      <w:r>
        <w:rPr>
          <w:spacing w:val="-11"/>
          <w:sz w:val="20"/>
        </w:rPr>
        <w:t> </w:t>
      </w:r>
      <w:r>
        <w:rPr>
          <w:sz w:val="20"/>
        </w:rPr>
        <w:t>would</w:t>
      </w:r>
      <w:r>
        <w:rPr>
          <w:spacing w:val="-11"/>
          <w:sz w:val="20"/>
        </w:rPr>
        <w:t> </w:t>
      </w:r>
      <w:r>
        <w:rPr>
          <w:sz w:val="20"/>
        </w:rPr>
        <w:t>not</w:t>
      </w:r>
      <w:r>
        <w:rPr>
          <w:spacing w:val="-10"/>
          <w:sz w:val="20"/>
        </w:rPr>
        <w:t> </w:t>
      </w:r>
      <w:r>
        <w:rPr>
          <w:sz w:val="20"/>
        </w:rPr>
        <w:t>be</w:t>
      </w:r>
      <w:r>
        <w:rPr>
          <w:spacing w:val="-13"/>
          <w:sz w:val="20"/>
        </w:rPr>
        <w:t> </w:t>
      </w:r>
      <w:r>
        <w:rPr>
          <w:sz w:val="20"/>
        </w:rPr>
        <w:t>necessary</w:t>
      </w:r>
      <w:r>
        <w:rPr>
          <w:spacing w:val="-16"/>
          <w:sz w:val="20"/>
        </w:rPr>
        <w:t> </w:t>
      </w:r>
      <w:r>
        <w:rPr>
          <w:sz w:val="20"/>
        </w:rPr>
        <w:t>for</w:t>
      </w:r>
      <w:r>
        <w:rPr>
          <w:spacing w:val="-12"/>
          <w:sz w:val="20"/>
        </w:rPr>
        <w:t> </w:t>
      </w:r>
      <w:r>
        <w:rPr>
          <w:sz w:val="20"/>
        </w:rPr>
        <w:t>a</w:t>
      </w:r>
      <w:r>
        <w:rPr>
          <w:spacing w:val="-13"/>
          <w:sz w:val="20"/>
        </w:rPr>
        <w:t> </w:t>
      </w:r>
      <w:r>
        <w:rPr>
          <w:sz w:val="20"/>
        </w:rPr>
        <w:t>paying</w:t>
      </w:r>
      <w:r>
        <w:rPr>
          <w:spacing w:val="-13"/>
          <w:sz w:val="20"/>
        </w:rPr>
        <w:t> </w:t>
      </w:r>
      <w:r>
        <w:rPr>
          <w:sz w:val="20"/>
        </w:rPr>
        <w:t>entity</w:t>
      </w:r>
      <w:r>
        <w:rPr>
          <w:spacing w:val="-14"/>
          <w:sz w:val="20"/>
        </w:rPr>
        <w:t> </w:t>
      </w:r>
      <w:r>
        <w:rPr>
          <w:sz w:val="20"/>
        </w:rPr>
        <w:t>to</w:t>
      </w:r>
      <w:r>
        <w:rPr>
          <w:spacing w:val="-13"/>
          <w:sz w:val="20"/>
        </w:rPr>
        <w:t> </w:t>
      </w:r>
      <w:r>
        <w:rPr>
          <w:sz w:val="20"/>
        </w:rPr>
        <w:t>have</w:t>
      </w:r>
      <w:r>
        <w:rPr>
          <w:spacing w:val="-14"/>
          <w:sz w:val="20"/>
        </w:rPr>
        <w:t> </w:t>
      </w:r>
      <w:r>
        <w:rPr>
          <w:sz w:val="20"/>
        </w:rPr>
        <w:t>a</w:t>
      </w:r>
      <w:r>
        <w:rPr>
          <w:spacing w:val="-11"/>
          <w:sz w:val="20"/>
        </w:rPr>
        <w:t> </w:t>
      </w:r>
      <w:r>
        <w:rPr>
          <w:sz w:val="20"/>
        </w:rPr>
        <w:t>direct</w:t>
      </w:r>
      <w:r>
        <w:rPr>
          <w:spacing w:val="-13"/>
          <w:sz w:val="20"/>
        </w:rPr>
        <w:t> </w:t>
      </w:r>
      <w:r>
        <w:rPr>
          <w:sz w:val="20"/>
        </w:rPr>
        <w:t>transactional</w:t>
      </w:r>
      <w:r>
        <w:rPr>
          <w:spacing w:val="-13"/>
          <w:sz w:val="20"/>
        </w:rPr>
        <w:t> </w:t>
      </w:r>
      <w:r>
        <w:rPr>
          <w:sz w:val="20"/>
        </w:rPr>
        <w:t>connection</w:t>
      </w:r>
      <w:r>
        <w:rPr>
          <w:spacing w:val="-11"/>
          <w:sz w:val="20"/>
        </w:rPr>
        <w:t> </w:t>
      </w:r>
      <w:r>
        <w:rPr>
          <w:sz w:val="20"/>
        </w:rPr>
        <w:t>with</w:t>
      </w:r>
      <w:r>
        <w:rPr>
          <w:spacing w:val="-13"/>
          <w:sz w:val="20"/>
        </w:rPr>
        <w:t> </w:t>
      </w:r>
      <w:r>
        <w:rPr>
          <w:sz w:val="20"/>
        </w:rPr>
        <w:t>a</w:t>
      </w:r>
      <w:r>
        <w:rPr>
          <w:spacing w:val="-13"/>
          <w:sz w:val="20"/>
        </w:rPr>
        <w:t> </w:t>
      </w:r>
      <w:r>
        <w:rPr>
          <w:sz w:val="20"/>
        </w:rPr>
        <w:t>market jurisdiction. For example, where a royalty payment is made from a market jurisdiction to a conduit entity</w:t>
      </w:r>
      <w:r>
        <w:rPr>
          <w:spacing w:val="-12"/>
          <w:sz w:val="20"/>
        </w:rPr>
        <w:t> </w:t>
      </w:r>
      <w:r>
        <w:rPr>
          <w:sz w:val="20"/>
        </w:rPr>
        <w:t>(that</w:t>
      </w:r>
      <w:r>
        <w:rPr>
          <w:spacing w:val="-6"/>
          <w:sz w:val="20"/>
        </w:rPr>
        <w:t> </w:t>
      </w:r>
      <w:r>
        <w:rPr>
          <w:sz w:val="20"/>
        </w:rPr>
        <w:t>bundles</w:t>
      </w:r>
      <w:r>
        <w:rPr>
          <w:spacing w:val="-8"/>
          <w:sz w:val="20"/>
        </w:rPr>
        <w:t> </w:t>
      </w:r>
      <w:r>
        <w:rPr>
          <w:sz w:val="20"/>
        </w:rPr>
        <w:t>together</w:t>
      </w:r>
      <w:r>
        <w:rPr>
          <w:spacing w:val="-7"/>
          <w:sz w:val="20"/>
        </w:rPr>
        <w:t> </w:t>
      </w:r>
      <w:r>
        <w:rPr>
          <w:sz w:val="20"/>
        </w:rPr>
        <w:t>royalty</w:t>
      </w:r>
      <w:r>
        <w:rPr>
          <w:spacing w:val="-9"/>
          <w:sz w:val="20"/>
        </w:rPr>
        <w:t> </w:t>
      </w:r>
      <w:r>
        <w:rPr>
          <w:sz w:val="20"/>
        </w:rPr>
        <w:t>payments</w:t>
      </w:r>
      <w:r>
        <w:rPr>
          <w:spacing w:val="-8"/>
          <w:sz w:val="20"/>
        </w:rPr>
        <w:t> </w:t>
      </w:r>
      <w:r>
        <w:rPr>
          <w:sz w:val="20"/>
        </w:rPr>
        <w:t>from</w:t>
      </w:r>
      <w:r>
        <w:rPr>
          <w:spacing w:val="-4"/>
          <w:sz w:val="20"/>
        </w:rPr>
        <w:t> </w:t>
      </w:r>
      <w:r>
        <w:rPr>
          <w:sz w:val="20"/>
        </w:rPr>
        <w:t>a</w:t>
      </w:r>
      <w:r>
        <w:rPr>
          <w:spacing w:val="-8"/>
          <w:sz w:val="20"/>
        </w:rPr>
        <w:t> </w:t>
      </w:r>
      <w:r>
        <w:rPr>
          <w:sz w:val="20"/>
        </w:rPr>
        <w:t>variety</w:t>
      </w:r>
      <w:r>
        <w:rPr>
          <w:spacing w:val="-10"/>
          <w:sz w:val="20"/>
        </w:rPr>
        <w:t> </w:t>
      </w:r>
      <w:r>
        <w:rPr>
          <w:sz w:val="20"/>
        </w:rPr>
        <w:t>of</w:t>
      </w:r>
      <w:r>
        <w:rPr>
          <w:spacing w:val="-6"/>
          <w:sz w:val="20"/>
        </w:rPr>
        <w:t> </w:t>
      </w:r>
      <w:r>
        <w:rPr>
          <w:sz w:val="20"/>
        </w:rPr>
        <w:t>markets)</w:t>
      </w:r>
      <w:r>
        <w:rPr>
          <w:spacing w:val="-8"/>
          <w:sz w:val="20"/>
        </w:rPr>
        <w:t> </w:t>
      </w:r>
      <w:r>
        <w:rPr>
          <w:sz w:val="20"/>
        </w:rPr>
        <w:t>and</w:t>
      </w:r>
      <w:r>
        <w:rPr>
          <w:spacing w:val="-6"/>
          <w:sz w:val="20"/>
        </w:rPr>
        <w:t> </w:t>
      </w:r>
      <w:r>
        <w:rPr>
          <w:sz w:val="20"/>
        </w:rPr>
        <w:t>then</w:t>
      </w:r>
      <w:r>
        <w:rPr>
          <w:spacing w:val="-6"/>
          <w:sz w:val="20"/>
        </w:rPr>
        <w:t> </w:t>
      </w:r>
      <w:r>
        <w:rPr>
          <w:sz w:val="20"/>
        </w:rPr>
        <w:t>pays</w:t>
      </w:r>
      <w:r>
        <w:rPr>
          <w:spacing w:val="-5"/>
          <w:sz w:val="20"/>
        </w:rPr>
        <w:t> </w:t>
      </w:r>
      <w:r>
        <w:rPr>
          <w:sz w:val="20"/>
        </w:rPr>
        <w:t>them</w:t>
      </w:r>
      <w:r>
        <w:rPr>
          <w:spacing w:val="-4"/>
          <w:sz w:val="20"/>
        </w:rPr>
        <w:t> </w:t>
      </w:r>
      <w:r>
        <w:rPr>
          <w:sz w:val="20"/>
        </w:rPr>
        <w:t>to</w:t>
      </w:r>
      <w:r>
        <w:rPr>
          <w:spacing w:val="-6"/>
          <w:sz w:val="20"/>
        </w:rPr>
        <w:t> </w:t>
      </w:r>
      <w:r>
        <w:rPr>
          <w:sz w:val="20"/>
        </w:rPr>
        <w:t>an ultimate recipient, there could be a sufficient connection between the market jurisdiction and the ultimate recipient. The same would be true in the event of a chain of conduit</w:t>
      </w:r>
      <w:r>
        <w:rPr>
          <w:spacing w:val="-30"/>
          <w:sz w:val="20"/>
        </w:rPr>
        <w:t> </w:t>
      </w:r>
      <w:r>
        <w:rPr>
          <w:sz w:val="20"/>
        </w:rPr>
        <w:t>entities.</w:t>
      </w:r>
    </w:p>
    <w:p>
      <w:pPr>
        <w:pStyle w:val="ListParagraph"/>
        <w:numPr>
          <w:ilvl w:val="0"/>
          <w:numId w:val="13"/>
        </w:numPr>
        <w:tabs>
          <w:tab w:pos="1444" w:val="left" w:leader="none"/>
        </w:tabs>
        <w:spacing w:line="271" w:lineRule="auto" w:before="123" w:after="0"/>
        <w:ind w:left="723" w:right="479" w:firstLine="0"/>
        <w:jc w:val="both"/>
        <w:rPr>
          <w:sz w:val="20"/>
        </w:rPr>
      </w:pPr>
      <w:r>
        <w:rPr>
          <w:sz w:val="20"/>
        </w:rPr>
        <w:t>The Inclusive Framework will undertake further work to develop this test and seek to analyse the types of arrangements and transactions that could be used to establish a sufficient connection between a paying entity and a market jurisdiction and the evidential basis through which </w:t>
      </w:r>
      <w:r>
        <w:rPr>
          <w:spacing w:val="2"/>
          <w:sz w:val="20"/>
        </w:rPr>
        <w:t>these </w:t>
      </w:r>
      <w:r>
        <w:rPr>
          <w:sz w:val="20"/>
        </w:rPr>
        <w:t>arrangements and transactions</w:t>
      </w:r>
      <w:r>
        <w:rPr>
          <w:spacing w:val="-11"/>
          <w:sz w:val="20"/>
        </w:rPr>
        <w:t> </w:t>
      </w:r>
      <w:r>
        <w:rPr>
          <w:sz w:val="20"/>
        </w:rPr>
        <w:t>could</w:t>
      </w:r>
      <w:r>
        <w:rPr>
          <w:spacing w:val="-9"/>
          <w:sz w:val="20"/>
        </w:rPr>
        <w:t> </w:t>
      </w:r>
      <w:r>
        <w:rPr>
          <w:sz w:val="20"/>
        </w:rPr>
        <w:t>be</w:t>
      </w:r>
      <w:r>
        <w:rPr>
          <w:spacing w:val="-9"/>
          <w:sz w:val="20"/>
        </w:rPr>
        <w:t> </w:t>
      </w:r>
      <w:r>
        <w:rPr>
          <w:sz w:val="20"/>
        </w:rPr>
        <w:t>identified.</w:t>
      </w:r>
      <w:r>
        <w:rPr>
          <w:spacing w:val="-8"/>
          <w:sz w:val="20"/>
        </w:rPr>
        <w:t> </w:t>
      </w:r>
      <w:r>
        <w:rPr>
          <w:sz w:val="20"/>
        </w:rPr>
        <w:t>It</w:t>
      </w:r>
      <w:r>
        <w:rPr>
          <w:spacing w:val="-7"/>
          <w:sz w:val="20"/>
        </w:rPr>
        <w:t> </w:t>
      </w:r>
      <w:r>
        <w:rPr>
          <w:sz w:val="20"/>
        </w:rPr>
        <w:t>will</w:t>
      </w:r>
      <w:r>
        <w:rPr>
          <w:spacing w:val="-10"/>
          <w:sz w:val="20"/>
        </w:rPr>
        <w:t> </w:t>
      </w:r>
      <w:r>
        <w:rPr>
          <w:sz w:val="20"/>
        </w:rPr>
        <w:t>also</w:t>
      </w:r>
      <w:r>
        <w:rPr>
          <w:spacing w:val="-12"/>
          <w:sz w:val="20"/>
        </w:rPr>
        <w:t> </w:t>
      </w:r>
      <w:r>
        <w:rPr>
          <w:sz w:val="20"/>
        </w:rPr>
        <w:t>look</w:t>
      </w:r>
      <w:r>
        <w:rPr>
          <w:spacing w:val="-8"/>
          <w:sz w:val="20"/>
        </w:rPr>
        <w:t> </w:t>
      </w:r>
      <w:r>
        <w:rPr>
          <w:sz w:val="20"/>
        </w:rPr>
        <w:t>at</w:t>
      </w:r>
      <w:r>
        <w:rPr>
          <w:spacing w:val="-12"/>
          <w:sz w:val="20"/>
        </w:rPr>
        <w:t> </w:t>
      </w:r>
      <w:r>
        <w:rPr>
          <w:sz w:val="20"/>
        </w:rPr>
        <w:t>situations</w:t>
      </w:r>
      <w:r>
        <w:rPr>
          <w:spacing w:val="-8"/>
          <w:sz w:val="20"/>
        </w:rPr>
        <w:t> </w:t>
      </w:r>
      <w:r>
        <w:rPr>
          <w:sz w:val="20"/>
        </w:rPr>
        <w:t>where</w:t>
      </w:r>
      <w:r>
        <w:rPr>
          <w:spacing w:val="-10"/>
          <w:sz w:val="20"/>
        </w:rPr>
        <w:t> </w:t>
      </w:r>
      <w:r>
        <w:rPr>
          <w:sz w:val="20"/>
        </w:rPr>
        <w:t>a</w:t>
      </w:r>
      <w:r>
        <w:rPr>
          <w:spacing w:val="-11"/>
          <w:sz w:val="20"/>
        </w:rPr>
        <w:t> </w:t>
      </w:r>
      <w:r>
        <w:rPr>
          <w:sz w:val="20"/>
        </w:rPr>
        <w:t>market</w:t>
      </w:r>
      <w:r>
        <w:rPr>
          <w:spacing w:val="-12"/>
          <w:sz w:val="20"/>
        </w:rPr>
        <w:t> </w:t>
      </w:r>
      <w:r>
        <w:rPr>
          <w:sz w:val="20"/>
        </w:rPr>
        <w:t>jurisdiction</w:t>
      </w:r>
      <w:r>
        <w:rPr>
          <w:spacing w:val="-10"/>
          <w:sz w:val="20"/>
        </w:rPr>
        <w:t> </w:t>
      </w:r>
      <w:r>
        <w:rPr>
          <w:sz w:val="20"/>
        </w:rPr>
        <w:t>may</w:t>
      </w:r>
      <w:r>
        <w:rPr>
          <w:spacing w:val="-15"/>
          <w:sz w:val="20"/>
        </w:rPr>
        <w:t> </w:t>
      </w:r>
      <w:r>
        <w:rPr>
          <w:sz w:val="20"/>
        </w:rPr>
        <w:t>be</w:t>
      </w:r>
      <w:r>
        <w:rPr>
          <w:spacing w:val="-10"/>
          <w:sz w:val="20"/>
        </w:rPr>
        <w:t> </w:t>
      </w:r>
      <w:r>
        <w:rPr>
          <w:sz w:val="20"/>
        </w:rPr>
        <w:t>sufficiently connected</w:t>
      </w:r>
      <w:r>
        <w:rPr>
          <w:spacing w:val="-15"/>
          <w:sz w:val="20"/>
        </w:rPr>
        <w:t> </w:t>
      </w:r>
      <w:r>
        <w:rPr>
          <w:sz w:val="20"/>
        </w:rPr>
        <w:t>with</w:t>
      </w:r>
      <w:r>
        <w:rPr>
          <w:spacing w:val="-16"/>
          <w:sz w:val="20"/>
        </w:rPr>
        <w:t> </w:t>
      </w:r>
      <w:r>
        <w:rPr>
          <w:sz w:val="20"/>
        </w:rPr>
        <w:t>multiple</w:t>
      </w:r>
      <w:r>
        <w:rPr>
          <w:spacing w:val="-16"/>
          <w:sz w:val="20"/>
        </w:rPr>
        <w:t> </w:t>
      </w:r>
      <w:r>
        <w:rPr>
          <w:sz w:val="20"/>
        </w:rPr>
        <w:t>paying</w:t>
      </w:r>
      <w:r>
        <w:rPr>
          <w:spacing w:val="-14"/>
          <w:sz w:val="20"/>
        </w:rPr>
        <w:t> </w:t>
      </w:r>
      <w:r>
        <w:rPr>
          <w:sz w:val="20"/>
        </w:rPr>
        <w:t>entities</w:t>
      </w:r>
      <w:r>
        <w:rPr>
          <w:spacing w:val="-16"/>
          <w:sz w:val="20"/>
        </w:rPr>
        <w:t> </w:t>
      </w:r>
      <w:r>
        <w:rPr>
          <w:sz w:val="20"/>
        </w:rPr>
        <w:t>and</w:t>
      </w:r>
      <w:r>
        <w:rPr>
          <w:spacing w:val="-14"/>
          <w:sz w:val="20"/>
        </w:rPr>
        <w:t> </w:t>
      </w:r>
      <w:r>
        <w:rPr>
          <w:sz w:val="20"/>
        </w:rPr>
        <w:t>explore</w:t>
      </w:r>
      <w:r>
        <w:rPr>
          <w:spacing w:val="-13"/>
          <w:sz w:val="20"/>
        </w:rPr>
        <w:t> </w:t>
      </w:r>
      <w:r>
        <w:rPr>
          <w:sz w:val="20"/>
        </w:rPr>
        <w:t>whether</w:t>
      </w:r>
      <w:r>
        <w:rPr>
          <w:spacing w:val="-16"/>
          <w:sz w:val="20"/>
        </w:rPr>
        <w:t> </w:t>
      </w:r>
      <w:r>
        <w:rPr>
          <w:sz w:val="20"/>
        </w:rPr>
        <w:t>there</w:t>
      </w:r>
      <w:r>
        <w:rPr>
          <w:spacing w:val="-16"/>
          <w:sz w:val="20"/>
        </w:rPr>
        <w:t> </w:t>
      </w:r>
      <w:r>
        <w:rPr>
          <w:sz w:val="20"/>
        </w:rPr>
        <w:t>should</w:t>
      </w:r>
      <w:r>
        <w:rPr>
          <w:spacing w:val="-14"/>
          <w:sz w:val="20"/>
        </w:rPr>
        <w:t> </w:t>
      </w:r>
      <w:r>
        <w:rPr>
          <w:sz w:val="20"/>
        </w:rPr>
        <w:t>be</w:t>
      </w:r>
      <w:r>
        <w:rPr>
          <w:spacing w:val="-12"/>
          <w:sz w:val="20"/>
        </w:rPr>
        <w:t> </w:t>
      </w:r>
      <w:r>
        <w:rPr>
          <w:sz w:val="20"/>
        </w:rPr>
        <w:t>a</w:t>
      </w:r>
      <w:r>
        <w:rPr>
          <w:spacing w:val="-14"/>
          <w:sz w:val="20"/>
        </w:rPr>
        <w:t> </w:t>
      </w:r>
      <w:r>
        <w:rPr>
          <w:sz w:val="20"/>
        </w:rPr>
        <w:t>hierarchy</w:t>
      </w:r>
      <w:r>
        <w:rPr>
          <w:spacing w:val="-19"/>
          <w:sz w:val="20"/>
        </w:rPr>
        <w:t> </w:t>
      </w:r>
      <w:r>
        <w:rPr>
          <w:sz w:val="20"/>
        </w:rPr>
        <w:t>so</w:t>
      </w:r>
      <w:r>
        <w:rPr>
          <w:spacing w:val="-16"/>
          <w:sz w:val="20"/>
        </w:rPr>
        <w:t> </w:t>
      </w:r>
      <w:r>
        <w:rPr>
          <w:sz w:val="20"/>
        </w:rPr>
        <w:t>that</w:t>
      </w:r>
      <w:r>
        <w:rPr>
          <w:spacing w:val="-16"/>
          <w:sz w:val="20"/>
        </w:rPr>
        <w:t> </w:t>
      </w:r>
      <w:r>
        <w:rPr>
          <w:sz w:val="20"/>
        </w:rPr>
        <w:t>the</w:t>
      </w:r>
      <w:r>
        <w:rPr>
          <w:spacing w:val="-16"/>
          <w:sz w:val="20"/>
        </w:rPr>
        <w:t> </w:t>
      </w:r>
      <w:r>
        <w:rPr>
          <w:sz w:val="20"/>
        </w:rPr>
        <w:t>Amount A tax liability would first be allocated to the paying entity with a direct or otherwise the “strongest” connection. To the extent that this paying entity did not have sufficient profits</w:t>
      </w:r>
      <w:r>
        <w:rPr>
          <w:position w:val="6"/>
          <w:sz w:val="13"/>
        </w:rPr>
        <w:t>119 </w:t>
      </w:r>
      <w:r>
        <w:rPr>
          <w:sz w:val="20"/>
        </w:rPr>
        <w:t>to bear the full Amount A tax liability, it would then be allocated to the entity with an indirect or otherwise less “strong” connection until the tax liability had been fully allocated. Conversely, the Inclusive Framework will also consider whether in this scenario, the fairest and simplest approach would be to apportion the relevant Amount A tax liability between the paying entities with a sufficient connection to a market jurisdiction on a pro-rata basis (as explored in more detail in section</w:t>
      </w:r>
      <w:r>
        <w:rPr>
          <w:spacing w:val="2"/>
          <w:sz w:val="20"/>
        </w:rPr>
        <w:t> </w:t>
      </w:r>
      <w:hyperlink w:history="true" w:anchor="_bookmark57">
        <w:r>
          <w:rPr>
            <w:sz w:val="20"/>
          </w:rPr>
          <w:t>7.2.5</w:t>
        </w:r>
      </w:hyperlink>
      <w:r>
        <w:rPr>
          <w:sz w:val="20"/>
        </w:rPr>
        <w:t>).</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These</w:t>
      </w:r>
      <w:r>
        <w:rPr>
          <w:spacing w:val="-15"/>
          <w:sz w:val="20"/>
        </w:rPr>
        <w:t> </w:t>
      </w:r>
      <w:r>
        <w:rPr>
          <w:sz w:val="20"/>
        </w:rPr>
        <w:t>two</w:t>
      </w:r>
      <w:r>
        <w:rPr>
          <w:spacing w:val="-14"/>
          <w:sz w:val="20"/>
        </w:rPr>
        <w:t> </w:t>
      </w:r>
      <w:r>
        <w:rPr>
          <w:sz w:val="20"/>
        </w:rPr>
        <w:t>approaches</w:t>
      </w:r>
      <w:r>
        <w:rPr>
          <w:spacing w:val="-13"/>
          <w:sz w:val="20"/>
        </w:rPr>
        <w:t> </w:t>
      </w:r>
      <w:r>
        <w:rPr>
          <w:sz w:val="20"/>
        </w:rPr>
        <w:t>would</w:t>
      </w:r>
      <w:r>
        <w:rPr>
          <w:spacing w:val="-15"/>
          <w:sz w:val="20"/>
        </w:rPr>
        <w:t> </w:t>
      </w:r>
      <w:r>
        <w:rPr>
          <w:sz w:val="20"/>
        </w:rPr>
        <w:t>deliver</w:t>
      </w:r>
      <w:r>
        <w:rPr>
          <w:spacing w:val="-13"/>
          <w:sz w:val="20"/>
        </w:rPr>
        <w:t> </w:t>
      </w:r>
      <w:r>
        <w:rPr>
          <w:sz w:val="20"/>
        </w:rPr>
        <w:t>different</w:t>
      </w:r>
      <w:r>
        <w:rPr>
          <w:spacing w:val="-14"/>
          <w:sz w:val="20"/>
        </w:rPr>
        <w:t> </w:t>
      </w:r>
      <w:r>
        <w:rPr>
          <w:sz w:val="20"/>
        </w:rPr>
        <w:t>outcomes.</w:t>
      </w:r>
      <w:r>
        <w:rPr>
          <w:spacing w:val="-15"/>
          <w:sz w:val="20"/>
        </w:rPr>
        <w:t> </w:t>
      </w:r>
      <w:r>
        <w:rPr>
          <w:sz w:val="20"/>
        </w:rPr>
        <w:t>For</w:t>
      </w:r>
      <w:r>
        <w:rPr>
          <w:spacing w:val="-13"/>
          <w:sz w:val="20"/>
        </w:rPr>
        <w:t> </w:t>
      </w:r>
      <w:r>
        <w:rPr>
          <w:sz w:val="20"/>
        </w:rPr>
        <w:t>example,</w:t>
      </w:r>
      <w:r>
        <w:rPr>
          <w:spacing w:val="-14"/>
          <w:sz w:val="20"/>
        </w:rPr>
        <w:t> </w:t>
      </w:r>
      <w:r>
        <w:rPr>
          <w:sz w:val="20"/>
        </w:rPr>
        <w:t>assume</w:t>
      </w:r>
      <w:r>
        <w:rPr>
          <w:spacing w:val="-14"/>
          <w:sz w:val="20"/>
        </w:rPr>
        <w:t> </w:t>
      </w:r>
      <w:r>
        <w:rPr>
          <w:sz w:val="20"/>
        </w:rPr>
        <w:t>that</w:t>
      </w:r>
      <w:r>
        <w:rPr>
          <w:spacing w:val="-15"/>
          <w:sz w:val="20"/>
        </w:rPr>
        <w:t> </w:t>
      </w:r>
      <w:r>
        <w:rPr>
          <w:sz w:val="20"/>
        </w:rPr>
        <w:t>an</w:t>
      </w:r>
      <w:r>
        <w:rPr>
          <w:spacing w:val="-14"/>
          <w:sz w:val="20"/>
        </w:rPr>
        <w:t> </w:t>
      </w:r>
      <w:r>
        <w:rPr>
          <w:sz w:val="20"/>
        </w:rPr>
        <w:t>MNE</w:t>
      </w:r>
      <w:r>
        <w:rPr>
          <w:spacing w:val="-14"/>
          <w:sz w:val="20"/>
        </w:rPr>
        <w:t> </w:t>
      </w:r>
      <w:r>
        <w:rPr>
          <w:sz w:val="20"/>
        </w:rPr>
        <w:t>group has an operating model where a regional trading principal in Country A is entitled to the majority of the residual</w:t>
      </w:r>
      <w:r>
        <w:rPr>
          <w:spacing w:val="-17"/>
          <w:sz w:val="20"/>
        </w:rPr>
        <w:t> </w:t>
      </w:r>
      <w:r>
        <w:rPr>
          <w:sz w:val="20"/>
        </w:rPr>
        <w:t>profits</w:t>
      </w:r>
      <w:r>
        <w:rPr>
          <w:spacing w:val="-17"/>
          <w:sz w:val="20"/>
        </w:rPr>
        <w:t> </w:t>
      </w:r>
      <w:r>
        <w:rPr>
          <w:sz w:val="20"/>
        </w:rPr>
        <w:t>from</w:t>
      </w:r>
      <w:r>
        <w:rPr>
          <w:spacing w:val="-13"/>
          <w:sz w:val="20"/>
        </w:rPr>
        <w:t> </w:t>
      </w:r>
      <w:r>
        <w:rPr>
          <w:sz w:val="20"/>
        </w:rPr>
        <w:t>a</w:t>
      </w:r>
      <w:r>
        <w:rPr>
          <w:spacing w:val="-19"/>
          <w:sz w:val="20"/>
        </w:rPr>
        <w:t> </w:t>
      </w:r>
      <w:r>
        <w:rPr>
          <w:sz w:val="20"/>
        </w:rPr>
        <w:t>market</w:t>
      </w:r>
      <w:r>
        <w:rPr>
          <w:spacing w:val="-19"/>
          <w:sz w:val="20"/>
        </w:rPr>
        <w:t> </w:t>
      </w:r>
      <w:r>
        <w:rPr>
          <w:sz w:val="20"/>
        </w:rPr>
        <w:t>jurisdiction</w:t>
      </w:r>
      <w:r>
        <w:rPr>
          <w:spacing w:val="-14"/>
          <w:sz w:val="20"/>
        </w:rPr>
        <w:t> </w:t>
      </w:r>
      <w:r>
        <w:rPr>
          <w:sz w:val="20"/>
        </w:rPr>
        <w:t>and</w:t>
      </w:r>
      <w:r>
        <w:rPr>
          <w:spacing w:val="-16"/>
          <w:sz w:val="20"/>
        </w:rPr>
        <w:t> </w:t>
      </w:r>
      <w:r>
        <w:rPr>
          <w:sz w:val="20"/>
        </w:rPr>
        <w:t>is</w:t>
      </w:r>
      <w:r>
        <w:rPr>
          <w:spacing w:val="-15"/>
          <w:sz w:val="20"/>
        </w:rPr>
        <w:t> </w:t>
      </w:r>
      <w:r>
        <w:rPr>
          <w:sz w:val="20"/>
        </w:rPr>
        <w:t>determined</w:t>
      </w:r>
      <w:r>
        <w:rPr>
          <w:spacing w:val="-16"/>
          <w:sz w:val="20"/>
        </w:rPr>
        <w:t> </w:t>
      </w:r>
      <w:r>
        <w:rPr>
          <w:sz w:val="20"/>
        </w:rPr>
        <w:t>to</w:t>
      </w:r>
      <w:r>
        <w:rPr>
          <w:spacing w:val="-17"/>
          <w:sz w:val="20"/>
        </w:rPr>
        <w:t> </w:t>
      </w:r>
      <w:r>
        <w:rPr>
          <w:sz w:val="20"/>
        </w:rPr>
        <w:t>have</w:t>
      </w:r>
      <w:r>
        <w:rPr>
          <w:spacing w:val="-14"/>
          <w:sz w:val="20"/>
        </w:rPr>
        <w:t> </w:t>
      </w:r>
      <w:r>
        <w:rPr>
          <w:sz w:val="20"/>
        </w:rPr>
        <w:t>the</w:t>
      </w:r>
      <w:r>
        <w:rPr>
          <w:spacing w:val="-19"/>
          <w:sz w:val="20"/>
        </w:rPr>
        <w:t> </w:t>
      </w:r>
      <w:r>
        <w:rPr>
          <w:sz w:val="20"/>
        </w:rPr>
        <w:t>strongest</w:t>
      </w:r>
      <w:r>
        <w:rPr>
          <w:spacing w:val="-17"/>
          <w:sz w:val="20"/>
        </w:rPr>
        <w:t> </w:t>
      </w:r>
      <w:r>
        <w:rPr>
          <w:sz w:val="20"/>
        </w:rPr>
        <w:t>connection</w:t>
      </w:r>
      <w:r>
        <w:rPr>
          <w:spacing w:val="-17"/>
          <w:sz w:val="20"/>
        </w:rPr>
        <w:t> </w:t>
      </w:r>
      <w:r>
        <w:rPr>
          <w:sz w:val="20"/>
        </w:rPr>
        <w:t>to</w:t>
      </w:r>
      <w:r>
        <w:rPr>
          <w:spacing w:val="-13"/>
          <w:sz w:val="20"/>
        </w:rPr>
        <w:t> </w:t>
      </w:r>
      <w:r>
        <w:rPr>
          <w:sz w:val="20"/>
        </w:rPr>
        <w:t>that</w:t>
      </w:r>
      <w:r>
        <w:rPr>
          <w:spacing w:val="-18"/>
          <w:sz w:val="20"/>
        </w:rPr>
        <w:t> </w:t>
      </w:r>
      <w:r>
        <w:rPr>
          <w:sz w:val="20"/>
        </w:rPr>
        <w:t>market, but</w:t>
      </w:r>
      <w:r>
        <w:rPr>
          <w:spacing w:val="-16"/>
          <w:sz w:val="20"/>
        </w:rPr>
        <w:t> </w:t>
      </w:r>
      <w:r>
        <w:rPr>
          <w:sz w:val="20"/>
        </w:rPr>
        <w:t>the</w:t>
      </w:r>
      <w:r>
        <w:rPr>
          <w:spacing w:val="-13"/>
          <w:sz w:val="20"/>
        </w:rPr>
        <w:t> </w:t>
      </w:r>
      <w:r>
        <w:rPr>
          <w:sz w:val="20"/>
        </w:rPr>
        <w:t>ultimate</w:t>
      </w:r>
      <w:r>
        <w:rPr>
          <w:spacing w:val="-16"/>
          <w:sz w:val="20"/>
        </w:rPr>
        <w:t> </w:t>
      </w:r>
      <w:r>
        <w:rPr>
          <w:sz w:val="20"/>
        </w:rPr>
        <w:t>parent</w:t>
      </w:r>
      <w:r>
        <w:rPr>
          <w:spacing w:val="-13"/>
          <w:sz w:val="20"/>
        </w:rPr>
        <w:t> </w:t>
      </w:r>
      <w:r>
        <w:rPr>
          <w:sz w:val="20"/>
        </w:rPr>
        <w:t>entity</w:t>
      </w:r>
      <w:r>
        <w:rPr>
          <w:spacing w:val="-17"/>
          <w:sz w:val="20"/>
        </w:rPr>
        <w:t> </w:t>
      </w:r>
      <w:r>
        <w:rPr>
          <w:sz w:val="20"/>
        </w:rPr>
        <w:t>in</w:t>
      </w:r>
      <w:r>
        <w:rPr>
          <w:spacing w:val="-15"/>
          <w:sz w:val="20"/>
        </w:rPr>
        <w:t> </w:t>
      </w:r>
      <w:r>
        <w:rPr>
          <w:sz w:val="20"/>
        </w:rPr>
        <w:t>Country</w:t>
      </w:r>
      <w:r>
        <w:rPr>
          <w:spacing w:val="-16"/>
          <w:sz w:val="20"/>
        </w:rPr>
        <w:t> </w:t>
      </w:r>
      <w:r>
        <w:rPr>
          <w:sz w:val="20"/>
        </w:rPr>
        <w:t>B</w:t>
      </w:r>
      <w:r>
        <w:rPr>
          <w:spacing w:val="-14"/>
          <w:sz w:val="20"/>
        </w:rPr>
        <w:t> </w:t>
      </w:r>
      <w:r>
        <w:rPr>
          <w:sz w:val="20"/>
        </w:rPr>
        <w:t>(which</w:t>
      </w:r>
      <w:r>
        <w:rPr>
          <w:spacing w:val="-13"/>
          <w:sz w:val="20"/>
        </w:rPr>
        <w:t> </w:t>
      </w:r>
      <w:r>
        <w:rPr>
          <w:sz w:val="20"/>
        </w:rPr>
        <w:t>performs</w:t>
      </w:r>
      <w:r>
        <w:rPr>
          <w:spacing w:val="-15"/>
          <w:sz w:val="20"/>
        </w:rPr>
        <w:t> </w:t>
      </w:r>
      <w:r>
        <w:rPr>
          <w:sz w:val="20"/>
        </w:rPr>
        <w:t>some</w:t>
      </w:r>
      <w:r>
        <w:rPr>
          <w:spacing w:val="-14"/>
          <w:sz w:val="20"/>
        </w:rPr>
        <w:t> </w:t>
      </w:r>
      <w:r>
        <w:rPr>
          <w:sz w:val="20"/>
        </w:rPr>
        <w:t>DEMPE</w:t>
      </w:r>
      <w:r>
        <w:rPr>
          <w:spacing w:val="-17"/>
          <w:sz w:val="20"/>
        </w:rPr>
        <w:t> </w:t>
      </w:r>
      <w:r>
        <w:rPr>
          <w:sz w:val="20"/>
        </w:rPr>
        <w:t>functions</w:t>
      </w:r>
      <w:r>
        <w:rPr>
          <w:spacing w:val="-11"/>
          <w:sz w:val="20"/>
        </w:rPr>
        <w:t> </w:t>
      </w:r>
      <w:r>
        <w:rPr>
          <w:sz w:val="20"/>
        </w:rPr>
        <w:t>in</w:t>
      </w:r>
      <w:r>
        <w:rPr>
          <w:spacing w:val="-16"/>
          <w:sz w:val="20"/>
        </w:rPr>
        <w:t> </w:t>
      </w:r>
      <w:r>
        <w:rPr>
          <w:sz w:val="20"/>
        </w:rPr>
        <w:t>relation</w:t>
      </w:r>
      <w:r>
        <w:rPr>
          <w:spacing w:val="-15"/>
          <w:sz w:val="20"/>
        </w:rPr>
        <w:t> </w:t>
      </w:r>
      <w:r>
        <w:rPr>
          <w:sz w:val="20"/>
        </w:rPr>
        <w:t>to</w:t>
      </w:r>
      <w:r>
        <w:rPr>
          <w:spacing w:val="-13"/>
          <w:sz w:val="20"/>
        </w:rPr>
        <w:t> </w:t>
      </w:r>
      <w:r>
        <w:rPr>
          <w:sz w:val="20"/>
        </w:rPr>
        <w:t>intangibles owned and exploited by the regional trading principal) retains an entitlement to a small proportion of the residual profits from the relevant market jurisdiction. Under a hierarchical approach, the relevant Amount A tax liability would first be allocated to regional principal and would only be allocated to the parent</w:t>
      </w:r>
      <w:r>
        <w:rPr>
          <w:spacing w:val="5"/>
          <w:sz w:val="20"/>
        </w:rPr>
        <w:t> </w:t>
      </w:r>
      <w:r>
        <w:rPr>
          <w:sz w:val="20"/>
        </w:rPr>
        <w:t>entity</w:t>
      </w:r>
    </w:p>
    <w:p>
      <w:pPr>
        <w:pStyle w:val="BodyText"/>
        <w:spacing w:before="6"/>
        <w:rPr>
          <w:sz w:val="25"/>
        </w:rPr>
      </w:pPr>
      <w:r>
        <w:rPr/>
        <w:pict>
          <v:rect style="position:absolute;margin-left:65.183998pt;margin-top:16.652109pt;width:144.020004pt;height:.60004pt;mso-position-horizontal-relative:page;mso-position-vertical-relative:paragraph;z-index:-1565286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12" w:val="left" w:leader="none"/>
        </w:tabs>
        <w:spacing w:line="278" w:lineRule="auto" w:before="94" w:after="0"/>
        <w:ind w:left="723" w:right="484" w:firstLine="0"/>
        <w:jc w:val="both"/>
        <w:rPr>
          <w:sz w:val="18"/>
        </w:rPr>
      </w:pPr>
      <w:r>
        <w:rPr>
          <w:sz w:val="18"/>
        </w:rPr>
        <w:t>It is not intended that under Amount A, taxing rights over an entity’s entire profits would be allocated to a market jurisdiction. Instead, as discussed further in paragraph </w:t>
      </w:r>
      <w:hyperlink w:history="true" w:anchor="_bookmark58">
        <w:r>
          <w:rPr>
            <w:sz w:val="18"/>
          </w:rPr>
          <w:t>608 </w:t>
        </w:r>
      </w:hyperlink>
      <w:r>
        <w:rPr>
          <w:sz w:val="18"/>
        </w:rPr>
        <w:t>at a minimum a resident jurisdiction should retain taxing rights over an entity’s routine profits, as determined under the profitability</w:t>
      </w:r>
      <w:r>
        <w:rPr>
          <w:spacing w:val="-9"/>
          <w:sz w:val="18"/>
        </w:rPr>
        <w:t> </w:t>
      </w:r>
      <w:r>
        <w:rPr>
          <w:sz w:val="18"/>
        </w:rPr>
        <w:t>test.</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where</w:t>
      </w:r>
      <w:r>
        <w:rPr>
          <w:spacing w:val="-7"/>
        </w:rPr>
        <w:t> </w:t>
      </w:r>
      <w:r>
        <w:rPr/>
        <w:t>the</w:t>
      </w:r>
      <w:r>
        <w:rPr>
          <w:spacing w:val="-7"/>
        </w:rPr>
        <w:t> </w:t>
      </w:r>
      <w:r>
        <w:rPr/>
        <w:t>regional</w:t>
      </w:r>
      <w:r>
        <w:rPr>
          <w:spacing w:val="-7"/>
        </w:rPr>
        <w:t> </w:t>
      </w:r>
      <w:r>
        <w:rPr/>
        <w:t>principal</w:t>
      </w:r>
      <w:r>
        <w:rPr>
          <w:spacing w:val="-8"/>
        </w:rPr>
        <w:t> </w:t>
      </w:r>
      <w:r>
        <w:rPr/>
        <w:t>did</w:t>
      </w:r>
      <w:r>
        <w:rPr>
          <w:spacing w:val="-9"/>
        </w:rPr>
        <w:t> </w:t>
      </w:r>
      <w:r>
        <w:rPr/>
        <w:t>not</w:t>
      </w:r>
      <w:r>
        <w:rPr>
          <w:spacing w:val="-7"/>
        </w:rPr>
        <w:t> </w:t>
      </w:r>
      <w:r>
        <w:rPr/>
        <w:t>have</w:t>
      </w:r>
      <w:r>
        <w:rPr>
          <w:spacing w:val="-7"/>
        </w:rPr>
        <w:t> </w:t>
      </w:r>
      <w:r>
        <w:rPr/>
        <w:t>sufficient</w:t>
      </w:r>
      <w:r>
        <w:rPr>
          <w:spacing w:val="-9"/>
        </w:rPr>
        <w:t> </w:t>
      </w:r>
      <w:r>
        <w:rPr/>
        <w:t>profits</w:t>
      </w:r>
      <w:r>
        <w:rPr>
          <w:spacing w:val="-8"/>
        </w:rPr>
        <w:t> </w:t>
      </w:r>
      <w:r>
        <w:rPr/>
        <w:t>to</w:t>
      </w:r>
      <w:r>
        <w:rPr>
          <w:spacing w:val="-7"/>
        </w:rPr>
        <w:t> </w:t>
      </w:r>
      <w:r>
        <w:rPr/>
        <w:t>bear</w:t>
      </w:r>
      <w:r>
        <w:rPr>
          <w:spacing w:val="-6"/>
        </w:rPr>
        <w:t> </w:t>
      </w:r>
      <w:r>
        <w:rPr/>
        <w:t>the</w:t>
      </w:r>
      <w:r>
        <w:rPr>
          <w:spacing w:val="-7"/>
        </w:rPr>
        <w:t> </w:t>
      </w:r>
      <w:r>
        <w:rPr/>
        <w:t>full</w:t>
      </w:r>
      <w:r>
        <w:rPr>
          <w:spacing w:val="-1"/>
        </w:rPr>
        <w:t> </w:t>
      </w:r>
      <w:r>
        <w:rPr/>
        <w:t>Amount</w:t>
      </w:r>
      <w:r>
        <w:rPr>
          <w:spacing w:val="-7"/>
        </w:rPr>
        <w:t> </w:t>
      </w:r>
      <w:r>
        <w:rPr/>
        <w:t>A</w:t>
      </w:r>
      <w:r>
        <w:rPr>
          <w:spacing w:val="-7"/>
        </w:rPr>
        <w:t> </w:t>
      </w:r>
      <w:r>
        <w:rPr/>
        <w:t>tax</w:t>
      </w:r>
      <w:r>
        <w:rPr>
          <w:spacing w:val="-8"/>
        </w:rPr>
        <w:t> </w:t>
      </w:r>
      <w:r>
        <w:rPr/>
        <w:t>liability.</w:t>
      </w:r>
      <w:r>
        <w:rPr>
          <w:spacing w:val="-9"/>
        </w:rPr>
        <w:t> </w:t>
      </w:r>
      <w:r>
        <w:rPr/>
        <w:t>In</w:t>
      </w:r>
      <w:r>
        <w:rPr>
          <w:spacing w:val="-9"/>
        </w:rPr>
        <w:t> </w:t>
      </w:r>
      <w:r>
        <w:rPr/>
        <w:t>contrast, under a pro-rata approach the relevant Amount A tax liability would simply be apportioned between the regional principal and parent entity on a formulaic basis assuming both have a sufficient connection with the relevant market</w:t>
      </w:r>
      <w:r>
        <w:rPr>
          <w:spacing w:val="-3"/>
        </w:rPr>
        <w:t> </w:t>
      </w:r>
      <w:r>
        <w:rPr/>
        <w:t>jurisdiction.</w:t>
      </w:r>
    </w:p>
    <w:p>
      <w:pPr>
        <w:pStyle w:val="ListParagraph"/>
        <w:numPr>
          <w:ilvl w:val="0"/>
          <w:numId w:val="13"/>
        </w:numPr>
        <w:tabs>
          <w:tab w:pos="1444" w:val="left" w:leader="none"/>
        </w:tabs>
        <w:spacing w:line="271" w:lineRule="auto" w:before="120" w:after="0"/>
        <w:ind w:left="723" w:right="478" w:firstLine="0"/>
        <w:jc w:val="both"/>
        <w:rPr>
          <w:sz w:val="20"/>
        </w:rPr>
      </w:pPr>
      <w:bookmarkStart w:name="_bookmark56" w:id="344"/>
      <w:bookmarkEnd w:id="344"/>
      <w:r>
        <w:rPr/>
      </w:r>
      <w:bookmarkStart w:name="_bookmark56" w:id="345"/>
      <w:bookmarkEnd w:id="345"/>
      <w:r>
        <w:rPr>
          <w:sz w:val="20"/>
        </w:rPr>
        <w:t>So</w:t>
      </w:r>
      <w:r>
        <w:rPr>
          <w:sz w:val="20"/>
        </w:rPr>
        <w:t>me Inclusive Framework members believe that there is a tension between calculating Amount A on a global basis and then requiring that profit allocated to a market jurisdiction to be paid by entities with</w:t>
      </w:r>
      <w:r>
        <w:rPr>
          <w:spacing w:val="-3"/>
          <w:sz w:val="20"/>
        </w:rPr>
        <w:t> </w:t>
      </w:r>
      <w:r>
        <w:rPr>
          <w:sz w:val="20"/>
        </w:rPr>
        <w:t>which</w:t>
      </w:r>
      <w:r>
        <w:rPr>
          <w:spacing w:val="-6"/>
          <w:sz w:val="20"/>
        </w:rPr>
        <w:t> </w:t>
      </w:r>
      <w:r>
        <w:rPr>
          <w:sz w:val="20"/>
        </w:rPr>
        <w:t>there</w:t>
      </w:r>
      <w:r>
        <w:rPr>
          <w:spacing w:val="-4"/>
          <w:sz w:val="20"/>
        </w:rPr>
        <w:t> </w:t>
      </w:r>
      <w:r>
        <w:rPr>
          <w:sz w:val="20"/>
        </w:rPr>
        <w:t>is</w:t>
      </w:r>
      <w:r>
        <w:rPr>
          <w:spacing w:val="-5"/>
          <w:sz w:val="20"/>
        </w:rPr>
        <w:t> </w:t>
      </w:r>
      <w:r>
        <w:rPr>
          <w:sz w:val="20"/>
        </w:rPr>
        <w:t>a</w:t>
      </w:r>
      <w:r>
        <w:rPr>
          <w:spacing w:val="-7"/>
          <w:sz w:val="20"/>
        </w:rPr>
        <w:t> </w:t>
      </w:r>
      <w:r>
        <w:rPr>
          <w:sz w:val="20"/>
        </w:rPr>
        <w:t>market</w:t>
      </w:r>
      <w:r>
        <w:rPr>
          <w:spacing w:val="-6"/>
          <w:sz w:val="20"/>
        </w:rPr>
        <w:t> </w:t>
      </w:r>
      <w:r>
        <w:rPr>
          <w:sz w:val="20"/>
        </w:rPr>
        <w:t>connection.</w:t>
      </w:r>
      <w:r>
        <w:rPr>
          <w:spacing w:val="-6"/>
          <w:sz w:val="20"/>
        </w:rPr>
        <w:t> </w:t>
      </w:r>
      <w:r>
        <w:rPr>
          <w:sz w:val="20"/>
        </w:rPr>
        <w:t>These</w:t>
      </w:r>
      <w:r>
        <w:rPr>
          <w:spacing w:val="-7"/>
          <w:sz w:val="20"/>
        </w:rPr>
        <w:t> </w:t>
      </w:r>
      <w:r>
        <w:rPr>
          <w:sz w:val="20"/>
        </w:rPr>
        <w:t>members</w:t>
      </w:r>
      <w:r>
        <w:rPr>
          <w:spacing w:val="-5"/>
          <w:sz w:val="20"/>
        </w:rPr>
        <w:t> </w:t>
      </w:r>
      <w:r>
        <w:rPr>
          <w:sz w:val="20"/>
        </w:rPr>
        <w:t>support</w:t>
      </w:r>
      <w:r>
        <w:rPr>
          <w:spacing w:val="-6"/>
          <w:sz w:val="20"/>
        </w:rPr>
        <w:t> </w:t>
      </w:r>
      <w:r>
        <w:rPr>
          <w:sz w:val="20"/>
        </w:rPr>
        <w:t>removing</w:t>
      </w:r>
      <w:r>
        <w:rPr>
          <w:spacing w:val="-5"/>
          <w:sz w:val="20"/>
        </w:rPr>
        <w:t> </w:t>
      </w:r>
      <w:r>
        <w:rPr>
          <w:sz w:val="20"/>
        </w:rPr>
        <w:t>the</w:t>
      </w:r>
      <w:r>
        <w:rPr>
          <w:spacing w:val="-5"/>
          <w:sz w:val="20"/>
        </w:rPr>
        <w:t> </w:t>
      </w:r>
      <w:r>
        <w:rPr>
          <w:sz w:val="20"/>
        </w:rPr>
        <w:t>market</w:t>
      </w:r>
      <w:r>
        <w:rPr>
          <w:spacing w:val="-6"/>
          <w:sz w:val="20"/>
        </w:rPr>
        <w:t> </w:t>
      </w:r>
      <w:r>
        <w:rPr>
          <w:sz w:val="20"/>
        </w:rPr>
        <w:t>connection</w:t>
      </w:r>
      <w:r>
        <w:rPr>
          <w:spacing w:val="-2"/>
          <w:sz w:val="20"/>
        </w:rPr>
        <w:t> </w:t>
      </w:r>
      <w:r>
        <w:rPr>
          <w:sz w:val="20"/>
        </w:rPr>
        <w:t>priority test</w:t>
      </w:r>
      <w:r>
        <w:rPr>
          <w:spacing w:val="-11"/>
          <w:sz w:val="20"/>
        </w:rPr>
        <w:t> </w:t>
      </w:r>
      <w:r>
        <w:rPr>
          <w:sz w:val="20"/>
        </w:rPr>
        <w:t>and</w:t>
      </w:r>
      <w:r>
        <w:rPr>
          <w:spacing w:val="-11"/>
          <w:sz w:val="20"/>
        </w:rPr>
        <w:t> </w:t>
      </w:r>
      <w:r>
        <w:rPr>
          <w:sz w:val="20"/>
        </w:rPr>
        <w:t>apportioning</w:t>
      </w:r>
      <w:r>
        <w:rPr>
          <w:spacing w:val="-9"/>
          <w:sz w:val="20"/>
        </w:rPr>
        <w:t> </w:t>
      </w:r>
      <w:r>
        <w:rPr>
          <w:sz w:val="20"/>
        </w:rPr>
        <w:t>the</w:t>
      </w:r>
      <w:r>
        <w:rPr>
          <w:spacing w:val="-10"/>
          <w:sz w:val="20"/>
        </w:rPr>
        <w:t> </w:t>
      </w:r>
      <w:r>
        <w:rPr>
          <w:sz w:val="20"/>
        </w:rPr>
        <w:t>Amount</w:t>
      </w:r>
      <w:r>
        <w:rPr>
          <w:spacing w:val="-11"/>
          <w:sz w:val="20"/>
        </w:rPr>
        <w:t> </w:t>
      </w:r>
      <w:r>
        <w:rPr>
          <w:sz w:val="20"/>
        </w:rPr>
        <w:t>A</w:t>
      </w:r>
      <w:r>
        <w:rPr>
          <w:spacing w:val="-11"/>
          <w:sz w:val="20"/>
        </w:rPr>
        <w:t> </w:t>
      </w:r>
      <w:r>
        <w:rPr>
          <w:sz w:val="20"/>
        </w:rPr>
        <w:t>liability</w:t>
      </w:r>
      <w:r>
        <w:rPr>
          <w:spacing w:val="-14"/>
          <w:sz w:val="20"/>
        </w:rPr>
        <w:t> </w:t>
      </w:r>
      <w:r>
        <w:rPr>
          <w:sz w:val="20"/>
        </w:rPr>
        <w:t>between</w:t>
      </w:r>
      <w:r>
        <w:rPr>
          <w:spacing w:val="-11"/>
          <w:sz w:val="20"/>
        </w:rPr>
        <w:t> </w:t>
      </w:r>
      <w:r>
        <w:rPr>
          <w:sz w:val="20"/>
        </w:rPr>
        <w:t>entities</w:t>
      </w:r>
      <w:r>
        <w:rPr>
          <w:spacing w:val="-9"/>
          <w:sz w:val="20"/>
        </w:rPr>
        <w:t> </w:t>
      </w:r>
      <w:r>
        <w:rPr>
          <w:sz w:val="20"/>
        </w:rPr>
        <w:t>identified</w:t>
      </w:r>
      <w:r>
        <w:rPr>
          <w:spacing w:val="-10"/>
          <w:sz w:val="20"/>
        </w:rPr>
        <w:t> </w:t>
      </w:r>
      <w:r>
        <w:rPr>
          <w:sz w:val="20"/>
        </w:rPr>
        <w:t>in</w:t>
      </w:r>
      <w:r>
        <w:rPr>
          <w:spacing w:val="-8"/>
          <w:sz w:val="20"/>
        </w:rPr>
        <w:t> </w:t>
      </w:r>
      <w:r>
        <w:rPr>
          <w:sz w:val="20"/>
        </w:rPr>
        <w:t>Steps</w:t>
      </w:r>
      <w:r>
        <w:rPr>
          <w:spacing w:val="-9"/>
          <w:sz w:val="20"/>
        </w:rPr>
        <w:t> </w:t>
      </w:r>
      <w:r>
        <w:rPr>
          <w:sz w:val="20"/>
        </w:rPr>
        <w:t>1</w:t>
      </w:r>
      <w:r>
        <w:rPr>
          <w:spacing w:val="-9"/>
          <w:sz w:val="20"/>
        </w:rPr>
        <w:t> </w:t>
      </w:r>
      <w:r>
        <w:rPr>
          <w:sz w:val="20"/>
        </w:rPr>
        <w:t>and</w:t>
      </w:r>
      <w:r>
        <w:rPr>
          <w:spacing w:val="-11"/>
          <w:sz w:val="20"/>
        </w:rPr>
        <w:t> </w:t>
      </w:r>
      <w:r>
        <w:rPr>
          <w:sz w:val="20"/>
        </w:rPr>
        <w:t>2</w:t>
      </w:r>
      <w:r>
        <w:rPr>
          <w:spacing w:val="-8"/>
          <w:sz w:val="20"/>
        </w:rPr>
        <w:t> </w:t>
      </w:r>
      <w:r>
        <w:rPr>
          <w:sz w:val="20"/>
        </w:rPr>
        <w:t>on</w:t>
      </w:r>
      <w:r>
        <w:rPr>
          <w:spacing w:val="-9"/>
          <w:sz w:val="20"/>
        </w:rPr>
        <w:t> </w:t>
      </w:r>
      <w:r>
        <w:rPr>
          <w:sz w:val="20"/>
        </w:rPr>
        <w:t>a</w:t>
      </w:r>
      <w:r>
        <w:rPr>
          <w:spacing w:val="-11"/>
          <w:sz w:val="20"/>
        </w:rPr>
        <w:t> </w:t>
      </w:r>
      <w:r>
        <w:rPr>
          <w:sz w:val="20"/>
        </w:rPr>
        <w:t>pro-rata</w:t>
      </w:r>
      <w:r>
        <w:rPr>
          <w:spacing w:val="-9"/>
          <w:sz w:val="20"/>
        </w:rPr>
        <w:t> </w:t>
      </w:r>
      <w:r>
        <w:rPr>
          <w:sz w:val="20"/>
        </w:rPr>
        <w:t>basis, as outlined under Step 4. To the extent that there are concerns about the profits of a regional principal being allocated to markets with which the regional principal has no transactional connection, these members think that these concerns should be considered as part of the debate on regional</w:t>
      </w:r>
      <w:r>
        <w:rPr>
          <w:spacing w:val="-21"/>
          <w:sz w:val="20"/>
        </w:rPr>
        <w:t> </w:t>
      </w:r>
      <w:r>
        <w:rPr>
          <w:sz w:val="20"/>
        </w:rPr>
        <w:t>segmentation</w:t>
      </w:r>
    </w:p>
    <w:p>
      <w:pPr>
        <w:pStyle w:val="BodyText"/>
        <w:ind w:left="723"/>
        <w:jc w:val="both"/>
      </w:pPr>
      <w:r>
        <w:rPr/>
        <w:t>i.e. whether Amount A should operate on a geographically segmented basis in certain situations.</w:t>
      </w:r>
    </w:p>
    <w:p>
      <w:pPr>
        <w:pStyle w:val="BodyText"/>
        <w:spacing w:before="2"/>
        <w:rPr>
          <w:sz w:val="26"/>
        </w:rPr>
      </w:pPr>
    </w:p>
    <w:p>
      <w:pPr>
        <w:pStyle w:val="Heading6"/>
        <w:numPr>
          <w:ilvl w:val="2"/>
          <w:numId w:val="68"/>
        </w:numPr>
        <w:tabs>
          <w:tab w:pos="2015" w:val="left" w:leader="none"/>
        </w:tabs>
        <w:spacing w:line="240" w:lineRule="auto" w:before="0" w:after="0"/>
        <w:ind w:left="2014" w:right="0" w:hanging="613"/>
        <w:jc w:val="left"/>
        <w:rPr>
          <w:i/>
        </w:rPr>
      </w:pPr>
      <w:bookmarkStart w:name="7.2.5. Step 4: Pro-rata allocation" w:id="346"/>
      <w:bookmarkEnd w:id="346"/>
      <w:r>
        <w:rPr>
          <w:b w:val="0"/>
          <w:i w:val="0"/>
        </w:rPr>
      </w:r>
      <w:bookmarkStart w:name="_bookmark57" w:id="347"/>
      <w:bookmarkEnd w:id="347"/>
      <w:r>
        <w:rPr>
          <w:b w:val="0"/>
          <w:i w:val="0"/>
        </w:rPr>
      </w:r>
      <w:bookmarkStart w:name="_bookmark57" w:id="348"/>
      <w:bookmarkEnd w:id="348"/>
      <w:r>
        <w:rPr>
          <w:i/>
        </w:rPr>
        <w:t>S</w:t>
      </w:r>
      <w:r>
        <w:rPr>
          <w:i/>
        </w:rPr>
        <w:t>tep 4: Pro-rata</w:t>
      </w:r>
      <w:r>
        <w:rPr>
          <w:i/>
          <w:spacing w:val="-4"/>
        </w:rPr>
        <w:t> </w:t>
      </w:r>
      <w:r>
        <w:rPr>
          <w:i/>
        </w:rPr>
        <w:t>allocation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bookmarkStart w:name="_bookmark58" w:id="349"/>
      <w:bookmarkEnd w:id="349"/>
      <w:r>
        <w:rPr/>
      </w:r>
      <w:bookmarkStart w:name="_bookmark58" w:id="350"/>
      <w:bookmarkEnd w:id="350"/>
      <w:r>
        <w:rPr>
          <w:sz w:val="20"/>
        </w:rPr>
        <w:t>A</w:t>
      </w:r>
      <w:r>
        <w:rPr>
          <w:sz w:val="20"/>
        </w:rPr>
        <w:t>s paying entities will only be entities that earn above a routine return, as defined under the Step 2 profitability test, it can be argued that after applying the mechanism to eliminate double taxation a residence jurisdiction should, at a minimum, retain taxing rights over this portion of routine profit. This is consistent</w:t>
      </w:r>
      <w:r>
        <w:rPr>
          <w:spacing w:val="-7"/>
          <w:sz w:val="20"/>
        </w:rPr>
        <w:t> </w:t>
      </w:r>
      <w:r>
        <w:rPr>
          <w:sz w:val="20"/>
        </w:rPr>
        <w:t>with</w:t>
      </w:r>
      <w:r>
        <w:rPr>
          <w:spacing w:val="-10"/>
          <w:sz w:val="20"/>
        </w:rPr>
        <w:t> </w:t>
      </w:r>
      <w:r>
        <w:rPr>
          <w:sz w:val="20"/>
        </w:rPr>
        <w:t>the</w:t>
      </w:r>
      <w:r>
        <w:rPr>
          <w:spacing w:val="-9"/>
          <w:sz w:val="20"/>
        </w:rPr>
        <w:t> </w:t>
      </w:r>
      <w:r>
        <w:rPr>
          <w:sz w:val="20"/>
        </w:rPr>
        <w:t>rationale</w:t>
      </w:r>
      <w:r>
        <w:rPr>
          <w:spacing w:val="-8"/>
          <w:sz w:val="20"/>
        </w:rPr>
        <w:t> </w:t>
      </w:r>
      <w:r>
        <w:rPr>
          <w:sz w:val="20"/>
        </w:rPr>
        <w:t>underpinning</w:t>
      </w:r>
      <w:r>
        <w:rPr>
          <w:spacing w:val="-9"/>
          <w:sz w:val="20"/>
        </w:rPr>
        <w:t> </w:t>
      </w:r>
      <w:r>
        <w:rPr>
          <w:sz w:val="20"/>
        </w:rPr>
        <w:t>the</w:t>
      </w:r>
      <w:r>
        <w:rPr>
          <w:spacing w:val="-8"/>
          <w:sz w:val="20"/>
        </w:rPr>
        <w:t> </w:t>
      </w:r>
      <w:r>
        <w:rPr>
          <w:sz w:val="20"/>
        </w:rPr>
        <w:t>inclusion</w:t>
      </w:r>
      <w:r>
        <w:rPr>
          <w:spacing w:val="-8"/>
          <w:sz w:val="20"/>
        </w:rPr>
        <w:t> </w:t>
      </w:r>
      <w:r>
        <w:rPr>
          <w:sz w:val="20"/>
        </w:rPr>
        <w:t>of</w:t>
      </w:r>
      <w:r>
        <w:rPr>
          <w:spacing w:val="-7"/>
          <w:sz w:val="20"/>
        </w:rPr>
        <w:t> </w:t>
      </w:r>
      <w:r>
        <w:rPr>
          <w:sz w:val="20"/>
        </w:rPr>
        <w:t>a</w:t>
      </w:r>
      <w:r>
        <w:rPr>
          <w:spacing w:val="-10"/>
          <w:sz w:val="20"/>
        </w:rPr>
        <w:t> </w:t>
      </w:r>
      <w:r>
        <w:rPr>
          <w:sz w:val="20"/>
        </w:rPr>
        <w:t>profitability</w:t>
      </w:r>
      <w:r>
        <w:rPr>
          <w:spacing w:val="-12"/>
          <w:sz w:val="20"/>
        </w:rPr>
        <w:t> </w:t>
      </w:r>
      <w:r>
        <w:rPr>
          <w:sz w:val="20"/>
        </w:rPr>
        <w:t>threshold</w:t>
      </w:r>
      <w:r>
        <w:rPr>
          <w:spacing w:val="-8"/>
          <w:sz w:val="20"/>
        </w:rPr>
        <w:t> </w:t>
      </w:r>
      <w:r>
        <w:rPr>
          <w:sz w:val="20"/>
        </w:rPr>
        <w:t>in</w:t>
      </w:r>
      <w:r>
        <w:rPr>
          <w:spacing w:val="-7"/>
          <w:sz w:val="20"/>
        </w:rPr>
        <w:t> </w:t>
      </w:r>
      <w:r>
        <w:rPr>
          <w:sz w:val="20"/>
        </w:rPr>
        <w:t>the</w:t>
      </w:r>
      <w:r>
        <w:rPr>
          <w:spacing w:val="-10"/>
          <w:sz w:val="20"/>
        </w:rPr>
        <w:t> </w:t>
      </w:r>
      <w:r>
        <w:rPr>
          <w:sz w:val="20"/>
        </w:rPr>
        <w:t>Amount</w:t>
      </w:r>
      <w:r>
        <w:rPr>
          <w:spacing w:val="-9"/>
          <w:sz w:val="20"/>
        </w:rPr>
        <w:t> </w:t>
      </w:r>
      <w:r>
        <w:rPr>
          <w:sz w:val="20"/>
        </w:rPr>
        <w:t>A</w:t>
      </w:r>
      <w:r>
        <w:rPr>
          <w:spacing w:val="-10"/>
          <w:sz w:val="20"/>
        </w:rPr>
        <w:t> </w:t>
      </w:r>
      <w:r>
        <w:rPr>
          <w:sz w:val="20"/>
        </w:rPr>
        <w:t>formula. Therefore, a paying entity will be deemed to have no profits to bear a further Amount A tax liability, once the taxing rights of the residence jurisdiction have been reduced to a routine return, as defined under the profitability</w:t>
      </w:r>
      <w:r>
        <w:rPr>
          <w:spacing w:val="-3"/>
          <w:sz w:val="20"/>
        </w:rPr>
        <w:t> </w:t>
      </w:r>
      <w:r>
        <w:rPr>
          <w:sz w:val="20"/>
        </w:rPr>
        <w:t>test.</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There is a risk that in some circumstances the paying entities that are sufficiently connected to a market jurisdiction (through the market connection priority test) will have insufficient profits to bear the full Amount A tax liability. This is in addition </w:t>
      </w:r>
      <w:r>
        <w:rPr>
          <w:spacing w:val="3"/>
          <w:sz w:val="20"/>
        </w:rPr>
        <w:t>to </w:t>
      </w:r>
      <w:r>
        <w:rPr>
          <w:sz w:val="20"/>
        </w:rPr>
        <w:t>situations (such as that outlined in the example above) where it</w:t>
      </w:r>
      <w:r>
        <w:rPr>
          <w:spacing w:val="-11"/>
          <w:sz w:val="20"/>
        </w:rPr>
        <w:t> </w:t>
      </w:r>
      <w:r>
        <w:rPr>
          <w:sz w:val="20"/>
        </w:rPr>
        <w:t>may</w:t>
      </w:r>
      <w:r>
        <w:rPr>
          <w:spacing w:val="-14"/>
          <w:sz w:val="20"/>
        </w:rPr>
        <w:t> </w:t>
      </w:r>
      <w:r>
        <w:rPr>
          <w:sz w:val="20"/>
        </w:rPr>
        <w:t>not</w:t>
      </w:r>
      <w:r>
        <w:rPr>
          <w:spacing w:val="-8"/>
          <w:sz w:val="20"/>
        </w:rPr>
        <w:t> </w:t>
      </w:r>
      <w:r>
        <w:rPr>
          <w:sz w:val="20"/>
        </w:rPr>
        <w:t>be</w:t>
      </w:r>
      <w:r>
        <w:rPr>
          <w:spacing w:val="-8"/>
          <w:sz w:val="20"/>
        </w:rPr>
        <w:t> </w:t>
      </w:r>
      <w:r>
        <w:rPr>
          <w:sz w:val="20"/>
        </w:rPr>
        <w:t>possible</w:t>
      </w:r>
      <w:r>
        <w:rPr>
          <w:spacing w:val="-11"/>
          <w:sz w:val="20"/>
        </w:rPr>
        <w:t> </w:t>
      </w:r>
      <w:r>
        <w:rPr>
          <w:sz w:val="20"/>
        </w:rPr>
        <w:t>to</w:t>
      </w:r>
      <w:r>
        <w:rPr>
          <w:spacing w:val="-12"/>
          <w:sz w:val="20"/>
        </w:rPr>
        <w:t> </w:t>
      </w:r>
      <w:r>
        <w:rPr>
          <w:sz w:val="20"/>
        </w:rPr>
        <w:t>identify</w:t>
      </w:r>
      <w:r>
        <w:rPr>
          <w:spacing w:val="-14"/>
          <w:sz w:val="20"/>
        </w:rPr>
        <w:t> </w:t>
      </w:r>
      <w:r>
        <w:rPr>
          <w:sz w:val="20"/>
        </w:rPr>
        <w:t>a</w:t>
      </w:r>
      <w:r>
        <w:rPr>
          <w:spacing w:val="-8"/>
          <w:sz w:val="20"/>
        </w:rPr>
        <w:t> </w:t>
      </w:r>
      <w:r>
        <w:rPr>
          <w:sz w:val="20"/>
        </w:rPr>
        <w:t>connection</w:t>
      </w:r>
      <w:r>
        <w:rPr>
          <w:spacing w:val="-11"/>
          <w:sz w:val="20"/>
        </w:rPr>
        <w:t> </w:t>
      </w:r>
      <w:r>
        <w:rPr>
          <w:sz w:val="20"/>
        </w:rPr>
        <w:t>between</w:t>
      </w:r>
      <w:r>
        <w:rPr>
          <w:spacing w:val="-8"/>
          <w:sz w:val="20"/>
        </w:rPr>
        <w:t> </w:t>
      </w:r>
      <w:r>
        <w:rPr>
          <w:sz w:val="20"/>
        </w:rPr>
        <w:t>any</w:t>
      </w:r>
      <w:r>
        <w:rPr>
          <w:spacing w:val="-12"/>
          <w:sz w:val="20"/>
        </w:rPr>
        <w:t> </w:t>
      </w:r>
      <w:r>
        <w:rPr>
          <w:sz w:val="20"/>
        </w:rPr>
        <w:t>paying</w:t>
      </w:r>
      <w:r>
        <w:rPr>
          <w:spacing w:val="-8"/>
          <w:sz w:val="20"/>
        </w:rPr>
        <w:t> </w:t>
      </w:r>
      <w:r>
        <w:rPr>
          <w:sz w:val="20"/>
        </w:rPr>
        <w:t>entity</w:t>
      </w:r>
      <w:r>
        <w:rPr>
          <w:spacing w:val="-11"/>
          <w:sz w:val="20"/>
        </w:rPr>
        <w:t> </w:t>
      </w:r>
      <w:r>
        <w:rPr>
          <w:sz w:val="20"/>
        </w:rPr>
        <w:t>and</w:t>
      </w:r>
      <w:r>
        <w:rPr>
          <w:spacing w:val="-11"/>
          <w:sz w:val="20"/>
        </w:rPr>
        <w:t> </w:t>
      </w:r>
      <w:r>
        <w:rPr>
          <w:sz w:val="20"/>
        </w:rPr>
        <w:t>a</w:t>
      </w:r>
      <w:r>
        <w:rPr>
          <w:spacing w:val="-11"/>
          <w:sz w:val="20"/>
        </w:rPr>
        <w:t> </w:t>
      </w:r>
      <w:r>
        <w:rPr>
          <w:sz w:val="20"/>
        </w:rPr>
        <w:t>market</w:t>
      </w:r>
      <w:r>
        <w:rPr>
          <w:spacing w:val="-11"/>
          <w:sz w:val="20"/>
        </w:rPr>
        <w:t> </w:t>
      </w:r>
      <w:r>
        <w:rPr>
          <w:sz w:val="20"/>
        </w:rPr>
        <w:t>jurisdiction.</w:t>
      </w:r>
      <w:r>
        <w:rPr>
          <w:spacing w:val="-11"/>
          <w:sz w:val="20"/>
        </w:rPr>
        <w:t> </w:t>
      </w:r>
      <w:r>
        <w:rPr>
          <w:sz w:val="20"/>
        </w:rPr>
        <w:t>In</w:t>
      </w:r>
      <w:r>
        <w:rPr>
          <w:spacing w:val="-11"/>
          <w:sz w:val="20"/>
        </w:rPr>
        <w:t> </w:t>
      </w:r>
      <w:r>
        <w:rPr>
          <w:sz w:val="20"/>
        </w:rPr>
        <w:t>order to ensure that the Amount A does not lead to double taxation, if the paying entities connected to a market do not have sufficient profits to bear the full Amount A tax liability, then as a “back-stop” any outstanding liability will be apportioned between all other potential paying entities within a</w:t>
      </w:r>
      <w:r>
        <w:rPr>
          <w:spacing w:val="-19"/>
          <w:sz w:val="20"/>
        </w:rPr>
        <w:t> </w:t>
      </w:r>
      <w:r>
        <w:rPr>
          <w:sz w:val="20"/>
        </w:rPr>
        <w:t>segment.</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This step could also be designed so that the residence jurisdiction retains taxing rights over a portion of a resident entity’s residual profits. This could be delivered through this step, for example by deeming</w:t>
      </w:r>
      <w:r>
        <w:rPr>
          <w:spacing w:val="-5"/>
          <w:sz w:val="20"/>
        </w:rPr>
        <w:t> </w:t>
      </w:r>
      <w:r>
        <w:rPr>
          <w:sz w:val="20"/>
        </w:rPr>
        <w:t>a</w:t>
      </w:r>
      <w:r>
        <w:rPr>
          <w:spacing w:val="-4"/>
          <w:sz w:val="20"/>
        </w:rPr>
        <w:t> </w:t>
      </w:r>
      <w:r>
        <w:rPr>
          <w:sz w:val="20"/>
        </w:rPr>
        <w:t>paying</w:t>
      </w:r>
      <w:r>
        <w:rPr>
          <w:spacing w:val="-3"/>
          <w:sz w:val="20"/>
        </w:rPr>
        <w:t> </w:t>
      </w:r>
      <w:r>
        <w:rPr>
          <w:sz w:val="20"/>
        </w:rPr>
        <w:t>entity</w:t>
      </w:r>
      <w:r>
        <w:rPr>
          <w:spacing w:val="-6"/>
          <w:sz w:val="20"/>
        </w:rPr>
        <w:t> </w:t>
      </w:r>
      <w:r>
        <w:rPr>
          <w:sz w:val="20"/>
        </w:rPr>
        <w:t>to</w:t>
      </w:r>
      <w:r>
        <w:rPr>
          <w:spacing w:val="-1"/>
          <w:sz w:val="20"/>
        </w:rPr>
        <w:t> </w:t>
      </w:r>
      <w:r>
        <w:rPr>
          <w:sz w:val="20"/>
        </w:rPr>
        <w:t>have no</w:t>
      </w:r>
      <w:r>
        <w:rPr>
          <w:spacing w:val="-2"/>
          <w:sz w:val="20"/>
        </w:rPr>
        <w:t> </w:t>
      </w:r>
      <w:r>
        <w:rPr>
          <w:sz w:val="20"/>
        </w:rPr>
        <w:t>profits</w:t>
      </w:r>
      <w:r>
        <w:rPr>
          <w:spacing w:val="-2"/>
          <w:sz w:val="20"/>
        </w:rPr>
        <w:t> </w:t>
      </w:r>
      <w:r>
        <w:rPr>
          <w:sz w:val="20"/>
        </w:rPr>
        <w:t>to</w:t>
      </w:r>
      <w:r>
        <w:rPr>
          <w:spacing w:val="-3"/>
          <w:sz w:val="20"/>
        </w:rPr>
        <w:t> </w:t>
      </w:r>
      <w:r>
        <w:rPr>
          <w:sz w:val="20"/>
        </w:rPr>
        <w:t>bear</w:t>
      </w:r>
      <w:r>
        <w:rPr>
          <w:spacing w:val="-2"/>
          <w:sz w:val="20"/>
        </w:rPr>
        <w:t> </w:t>
      </w:r>
      <w:r>
        <w:rPr>
          <w:sz w:val="20"/>
        </w:rPr>
        <w:t>a</w:t>
      </w:r>
      <w:r>
        <w:rPr>
          <w:spacing w:val="-4"/>
          <w:sz w:val="20"/>
        </w:rPr>
        <w:t> </w:t>
      </w:r>
      <w:r>
        <w:rPr>
          <w:sz w:val="20"/>
        </w:rPr>
        <w:t>further</w:t>
      </w:r>
      <w:r>
        <w:rPr>
          <w:spacing w:val="-4"/>
          <w:sz w:val="20"/>
        </w:rPr>
        <w:t> </w:t>
      </w:r>
      <w:r>
        <w:rPr>
          <w:sz w:val="20"/>
        </w:rPr>
        <w:t>Amount</w:t>
      </w:r>
      <w:r>
        <w:rPr>
          <w:spacing w:val="-4"/>
          <w:sz w:val="20"/>
        </w:rPr>
        <w:t> </w:t>
      </w:r>
      <w:r>
        <w:rPr>
          <w:sz w:val="20"/>
        </w:rPr>
        <w:t>A</w:t>
      </w:r>
      <w:r>
        <w:rPr>
          <w:spacing w:val="-1"/>
          <w:sz w:val="20"/>
        </w:rPr>
        <w:t> </w:t>
      </w:r>
      <w:r>
        <w:rPr>
          <w:sz w:val="20"/>
        </w:rPr>
        <w:t>tax</w:t>
      </w:r>
      <w:r>
        <w:rPr>
          <w:spacing w:val="-2"/>
          <w:sz w:val="20"/>
        </w:rPr>
        <w:t> </w:t>
      </w:r>
      <w:r>
        <w:rPr>
          <w:sz w:val="20"/>
        </w:rPr>
        <w:t>liability</w:t>
      </w:r>
      <w:r>
        <w:rPr>
          <w:spacing w:val="-6"/>
          <w:sz w:val="20"/>
        </w:rPr>
        <w:t> </w:t>
      </w:r>
      <w:r>
        <w:rPr>
          <w:sz w:val="20"/>
        </w:rPr>
        <w:t>after</w:t>
      </w:r>
      <w:r>
        <w:rPr>
          <w:spacing w:val="-3"/>
          <w:sz w:val="20"/>
        </w:rPr>
        <w:t> </w:t>
      </w:r>
      <w:r>
        <w:rPr>
          <w:sz w:val="20"/>
        </w:rPr>
        <w:t>x%</w:t>
      </w:r>
      <w:r>
        <w:rPr>
          <w:spacing w:val="-3"/>
          <w:sz w:val="20"/>
        </w:rPr>
        <w:t> </w:t>
      </w:r>
      <w:r>
        <w:rPr>
          <w:sz w:val="20"/>
        </w:rPr>
        <w:t>of</w:t>
      </w:r>
      <w:r>
        <w:rPr>
          <w:spacing w:val="-2"/>
          <w:sz w:val="20"/>
        </w:rPr>
        <w:t> </w:t>
      </w:r>
      <w:r>
        <w:rPr>
          <w:sz w:val="20"/>
        </w:rPr>
        <w:t>their</w:t>
      </w:r>
      <w:r>
        <w:rPr>
          <w:spacing w:val="-2"/>
          <w:sz w:val="20"/>
        </w:rPr>
        <w:t> </w:t>
      </w:r>
      <w:r>
        <w:rPr>
          <w:sz w:val="20"/>
        </w:rPr>
        <w:t>residual profits (as defined through the application of Step 2) had been allocated to market jurisdictions under Amount</w:t>
      </w:r>
      <w:r>
        <w:rPr>
          <w:spacing w:val="-3"/>
          <w:sz w:val="20"/>
        </w:rPr>
        <w:t> </w:t>
      </w:r>
      <w:r>
        <w:rPr>
          <w:sz w:val="20"/>
        </w:rPr>
        <w:t>A.</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Under either approach, the apportionment will be on a formulaic pro-rata basis. This formula will based</w:t>
      </w:r>
      <w:r>
        <w:rPr>
          <w:spacing w:val="-10"/>
          <w:sz w:val="20"/>
        </w:rPr>
        <w:t> </w:t>
      </w:r>
      <w:r>
        <w:rPr>
          <w:sz w:val="20"/>
        </w:rPr>
        <w:t>on</w:t>
      </w:r>
      <w:r>
        <w:rPr>
          <w:spacing w:val="-9"/>
          <w:sz w:val="20"/>
        </w:rPr>
        <w:t> </w:t>
      </w:r>
      <w:r>
        <w:rPr>
          <w:sz w:val="20"/>
        </w:rPr>
        <w:t>a</w:t>
      </w:r>
      <w:r>
        <w:rPr>
          <w:spacing w:val="-9"/>
          <w:sz w:val="20"/>
        </w:rPr>
        <w:t> </w:t>
      </w:r>
      <w:r>
        <w:rPr>
          <w:sz w:val="20"/>
        </w:rPr>
        <w:t>paying</w:t>
      </w:r>
      <w:r>
        <w:rPr>
          <w:spacing w:val="-7"/>
          <w:sz w:val="20"/>
        </w:rPr>
        <w:t> </w:t>
      </w:r>
      <w:r>
        <w:rPr>
          <w:sz w:val="20"/>
        </w:rPr>
        <w:t>entity’s</w:t>
      </w:r>
      <w:r>
        <w:rPr>
          <w:spacing w:val="-6"/>
          <w:sz w:val="20"/>
        </w:rPr>
        <w:t> </w:t>
      </w:r>
      <w:r>
        <w:rPr>
          <w:sz w:val="20"/>
        </w:rPr>
        <w:t>PBT</w:t>
      </w:r>
      <w:r>
        <w:rPr>
          <w:spacing w:val="-6"/>
          <w:sz w:val="20"/>
        </w:rPr>
        <w:t> </w:t>
      </w:r>
      <w:r>
        <w:rPr>
          <w:sz w:val="20"/>
        </w:rPr>
        <w:t>in</w:t>
      </w:r>
      <w:r>
        <w:rPr>
          <w:spacing w:val="-9"/>
          <w:sz w:val="20"/>
        </w:rPr>
        <w:t> </w:t>
      </w:r>
      <w:r>
        <w:rPr>
          <w:sz w:val="20"/>
        </w:rPr>
        <w:t>excess</w:t>
      </w:r>
      <w:r>
        <w:rPr>
          <w:spacing w:val="-9"/>
          <w:sz w:val="20"/>
        </w:rPr>
        <w:t> </w:t>
      </w:r>
      <w:r>
        <w:rPr>
          <w:sz w:val="20"/>
        </w:rPr>
        <w:t>of</w:t>
      </w:r>
      <w:r>
        <w:rPr>
          <w:spacing w:val="-7"/>
          <w:sz w:val="20"/>
        </w:rPr>
        <w:t> </w:t>
      </w:r>
      <w:r>
        <w:rPr>
          <w:sz w:val="20"/>
        </w:rPr>
        <w:t>routine</w:t>
      </w:r>
      <w:r>
        <w:rPr>
          <w:spacing w:val="-7"/>
          <w:sz w:val="20"/>
        </w:rPr>
        <w:t> </w:t>
      </w:r>
      <w:r>
        <w:rPr>
          <w:sz w:val="20"/>
        </w:rPr>
        <w:t>profit</w:t>
      </w:r>
      <w:r>
        <w:rPr>
          <w:spacing w:val="-9"/>
          <w:sz w:val="20"/>
        </w:rPr>
        <w:t> </w:t>
      </w:r>
      <w:r>
        <w:rPr>
          <w:sz w:val="20"/>
        </w:rPr>
        <w:t>(as</w:t>
      </w:r>
      <w:r>
        <w:rPr>
          <w:spacing w:val="-9"/>
          <w:sz w:val="20"/>
        </w:rPr>
        <w:t> </w:t>
      </w:r>
      <w:r>
        <w:rPr>
          <w:sz w:val="20"/>
        </w:rPr>
        <w:t>defined</w:t>
      </w:r>
      <w:r>
        <w:rPr>
          <w:spacing w:val="-9"/>
          <w:sz w:val="20"/>
        </w:rPr>
        <w:t> </w:t>
      </w:r>
      <w:r>
        <w:rPr>
          <w:sz w:val="20"/>
        </w:rPr>
        <w:t>under</w:t>
      </w:r>
      <w:r>
        <w:rPr>
          <w:spacing w:val="-3"/>
          <w:sz w:val="20"/>
        </w:rPr>
        <w:t> </w:t>
      </w:r>
      <w:r>
        <w:rPr>
          <w:sz w:val="20"/>
        </w:rPr>
        <w:t>the</w:t>
      </w:r>
      <w:r>
        <w:rPr>
          <w:spacing w:val="-10"/>
          <w:sz w:val="20"/>
        </w:rPr>
        <w:t> </w:t>
      </w:r>
      <w:r>
        <w:rPr>
          <w:sz w:val="20"/>
        </w:rPr>
        <w:t>profitability</w:t>
      </w:r>
      <w:r>
        <w:rPr>
          <w:spacing w:val="-12"/>
          <w:sz w:val="20"/>
        </w:rPr>
        <w:t> </w:t>
      </w:r>
      <w:r>
        <w:rPr>
          <w:sz w:val="20"/>
        </w:rPr>
        <w:t>test)</w:t>
      </w:r>
      <w:r>
        <w:rPr>
          <w:spacing w:val="-8"/>
          <w:sz w:val="20"/>
        </w:rPr>
        <w:t> </w:t>
      </w:r>
      <w:r>
        <w:rPr>
          <w:sz w:val="20"/>
        </w:rPr>
        <w:t>and/or</w:t>
      </w:r>
      <w:r>
        <w:rPr>
          <w:spacing w:val="-8"/>
          <w:sz w:val="20"/>
        </w:rPr>
        <w:t> </w:t>
      </w:r>
      <w:r>
        <w:rPr>
          <w:sz w:val="20"/>
        </w:rPr>
        <w:t>the profitability of the entity (i.e. PBT / revenue). Both of these approaches would be designed so that the apportionment of the Amount A tax liability between paying entities will ensure that at a minimum the relevant residence jurisdictions retain taxing rights over the profits earned by any paying entity that are attributable to routine activities. Again, a paying entity will be deemed to have no profits to bear a further Amount A tax liability, once the taxing rights of the residence jurisdiction have been reduced to a routine return. If the market connection priority test were not adopted, due to perceived tensions with the global nature of Amount A, this pro-rata allocation could be used as the only method to apportion an Amount A tax liability between multiple paying</w:t>
      </w:r>
      <w:r>
        <w:rPr>
          <w:spacing w:val="-5"/>
          <w:sz w:val="20"/>
        </w:rPr>
        <w:t> </w:t>
      </w:r>
      <w:r>
        <w:rPr>
          <w:sz w:val="20"/>
        </w:rPr>
        <w:t>entities.</w:t>
      </w:r>
    </w:p>
    <w:p>
      <w:pPr>
        <w:pStyle w:val="ListParagraph"/>
        <w:numPr>
          <w:ilvl w:val="0"/>
          <w:numId w:val="13"/>
        </w:numPr>
        <w:tabs>
          <w:tab w:pos="1444" w:val="left" w:leader="none"/>
        </w:tabs>
        <w:spacing w:line="271" w:lineRule="auto" w:before="124" w:after="0"/>
        <w:ind w:left="723" w:right="481" w:firstLine="0"/>
        <w:jc w:val="both"/>
        <w:rPr>
          <w:sz w:val="20"/>
        </w:rPr>
      </w:pPr>
      <w:r>
        <w:rPr>
          <w:sz w:val="20"/>
        </w:rPr>
        <w:t>This formulaic pro-rata approach (including the application of the market connection priority test) can be illustrated through two simple examples. First, assume for a given market jurisdiction two paying entities are identified under Step 3 with an equally strong connection to the relevant market and that after allocating</w:t>
      </w:r>
      <w:r>
        <w:rPr>
          <w:spacing w:val="-7"/>
          <w:sz w:val="20"/>
        </w:rPr>
        <w:t> </w:t>
      </w:r>
      <w:r>
        <w:rPr>
          <w:sz w:val="20"/>
        </w:rPr>
        <w:t>each</w:t>
      </w:r>
      <w:r>
        <w:rPr>
          <w:spacing w:val="-7"/>
          <w:sz w:val="20"/>
        </w:rPr>
        <w:t> </w:t>
      </w:r>
      <w:r>
        <w:rPr>
          <w:sz w:val="20"/>
        </w:rPr>
        <w:t>entity</w:t>
      </w:r>
      <w:r>
        <w:rPr>
          <w:spacing w:val="-10"/>
          <w:sz w:val="20"/>
        </w:rPr>
        <w:t> </w:t>
      </w:r>
      <w:r>
        <w:rPr>
          <w:sz w:val="20"/>
        </w:rPr>
        <w:t>a</w:t>
      </w:r>
      <w:r>
        <w:rPr>
          <w:spacing w:val="-7"/>
          <w:sz w:val="20"/>
        </w:rPr>
        <w:t> </w:t>
      </w:r>
      <w:r>
        <w:rPr>
          <w:sz w:val="20"/>
        </w:rPr>
        <w:t>routine</w:t>
      </w:r>
      <w:r>
        <w:rPr>
          <w:spacing w:val="-7"/>
          <w:sz w:val="20"/>
        </w:rPr>
        <w:t> </w:t>
      </w:r>
      <w:r>
        <w:rPr>
          <w:sz w:val="20"/>
        </w:rPr>
        <w:t>return</w:t>
      </w:r>
      <w:r>
        <w:rPr>
          <w:spacing w:val="-5"/>
          <w:sz w:val="20"/>
        </w:rPr>
        <w:t> </w:t>
      </w:r>
      <w:r>
        <w:rPr>
          <w:sz w:val="20"/>
        </w:rPr>
        <w:t>(based</w:t>
      </w:r>
      <w:r>
        <w:rPr>
          <w:spacing w:val="-7"/>
          <w:sz w:val="20"/>
        </w:rPr>
        <w:t> </w:t>
      </w:r>
      <w:r>
        <w:rPr>
          <w:sz w:val="20"/>
        </w:rPr>
        <w:t>on</w:t>
      </w:r>
      <w:r>
        <w:rPr>
          <w:spacing w:val="-7"/>
          <w:sz w:val="20"/>
        </w:rPr>
        <w:t> </w:t>
      </w:r>
      <w:r>
        <w:rPr>
          <w:sz w:val="20"/>
        </w:rPr>
        <w:t>the</w:t>
      </w:r>
      <w:r>
        <w:rPr>
          <w:spacing w:val="-7"/>
          <w:sz w:val="20"/>
        </w:rPr>
        <w:t> </w:t>
      </w:r>
      <w:r>
        <w:rPr>
          <w:sz w:val="20"/>
        </w:rPr>
        <w:t>profitability</w:t>
      </w:r>
      <w:r>
        <w:rPr>
          <w:spacing w:val="-10"/>
          <w:sz w:val="20"/>
        </w:rPr>
        <w:t> </w:t>
      </w:r>
      <w:r>
        <w:rPr>
          <w:sz w:val="20"/>
        </w:rPr>
        <w:t>test)</w:t>
      </w:r>
      <w:r>
        <w:rPr>
          <w:spacing w:val="-6"/>
          <w:sz w:val="20"/>
        </w:rPr>
        <w:t> </w:t>
      </w:r>
      <w:r>
        <w:rPr>
          <w:sz w:val="20"/>
        </w:rPr>
        <w:t>the</w:t>
      </w:r>
      <w:r>
        <w:rPr>
          <w:spacing w:val="-6"/>
          <w:sz w:val="20"/>
        </w:rPr>
        <w:t> </w:t>
      </w:r>
      <w:r>
        <w:rPr>
          <w:sz w:val="20"/>
        </w:rPr>
        <w:t>entities</w:t>
      </w:r>
      <w:r>
        <w:rPr>
          <w:spacing w:val="-6"/>
          <w:sz w:val="20"/>
        </w:rPr>
        <w:t> </w:t>
      </w:r>
      <w:r>
        <w:rPr>
          <w:sz w:val="20"/>
        </w:rPr>
        <w:t>earn</w:t>
      </w:r>
      <w:r>
        <w:rPr>
          <w:spacing w:val="1"/>
          <w:sz w:val="20"/>
        </w:rPr>
        <w:t> </w:t>
      </w:r>
      <w:r>
        <w:rPr>
          <w:sz w:val="20"/>
        </w:rPr>
        <w:t>residual</w:t>
      </w:r>
      <w:r>
        <w:rPr>
          <w:spacing w:val="-6"/>
          <w:sz w:val="20"/>
        </w:rPr>
        <w:t> </w:t>
      </w:r>
      <w:r>
        <w:rPr>
          <w:sz w:val="20"/>
        </w:rPr>
        <w:t>profits</w:t>
      </w:r>
      <w:r>
        <w:rPr>
          <w:spacing w:val="-5"/>
          <w:sz w:val="20"/>
        </w:rPr>
        <w:t> </w:t>
      </w:r>
      <w:r>
        <w:rPr>
          <w:sz w:val="20"/>
        </w:rPr>
        <w:t>of</w:t>
      </w:r>
      <w:r>
        <w:rPr>
          <w:spacing w:val="-4"/>
          <w:sz w:val="20"/>
        </w:rPr>
        <w:t> </w:t>
      </w:r>
      <w:r>
        <w:rPr>
          <w:sz w:val="20"/>
        </w:rPr>
        <w:t>60</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0"/>
        <w:jc w:val="both"/>
      </w:pPr>
      <w:r>
        <w:rPr/>
        <w:t>and 40 respectively. The first paying entity would bear 60% of the Amount A tax liability and the second paying</w:t>
      </w:r>
      <w:r>
        <w:rPr>
          <w:spacing w:val="-7"/>
        </w:rPr>
        <w:t> </w:t>
      </w:r>
      <w:r>
        <w:rPr/>
        <w:t>entity</w:t>
      </w:r>
      <w:r>
        <w:rPr>
          <w:spacing w:val="-7"/>
        </w:rPr>
        <w:t> </w:t>
      </w:r>
      <w:r>
        <w:rPr/>
        <w:t>would</w:t>
      </w:r>
      <w:r>
        <w:rPr>
          <w:spacing w:val="-4"/>
        </w:rPr>
        <w:t> </w:t>
      </w:r>
      <w:r>
        <w:rPr/>
        <w:t>bear</w:t>
      </w:r>
      <w:r>
        <w:rPr>
          <w:spacing w:val="-6"/>
        </w:rPr>
        <w:t> </w:t>
      </w:r>
      <w:r>
        <w:rPr/>
        <w:t>40%</w:t>
      </w:r>
      <w:r>
        <w:rPr>
          <w:spacing w:val="-6"/>
        </w:rPr>
        <w:t> </w:t>
      </w:r>
      <w:r>
        <w:rPr/>
        <w:t>of</w:t>
      </w:r>
      <w:r>
        <w:rPr>
          <w:spacing w:val="-4"/>
        </w:rPr>
        <w:t> </w:t>
      </w:r>
      <w:r>
        <w:rPr/>
        <w:t>the</w:t>
      </w:r>
      <w:r>
        <w:rPr>
          <w:spacing w:val="-5"/>
        </w:rPr>
        <w:t> </w:t>
      </w:r>
      <w:r>
        <w:rPr/>
        <w:t>Amount</w:t>
      </w:r>
      <w:r>
        <w:rPr>
          <w:spacing w:val="-5"/>
        </w:rPr>
        <w:t> </w:t>
      </w:r>
      <w:r>
        <w:rPr/>
        <w:t>A</w:t>
      </w:r>
      <w:r>
        <w:rPr>
          <w:spacing w:val="-3"/>
        </w:rPr>
        <w:t> </w:t>
      </w:r>
      <w:r>
        <w:rPr/>
        <w:t>tax</w:t>
      </w:r>
      <w:r>
        <w:rPr>
          <w:spacing w:val="-3"/>
        </w:rPr>
        <w:t> </w:t>
      </w:r>
      <w:r>
        <w:rPr/>
        <w:t>liability</w:t>
      </w:r>
      <w:r>
        <w:rPr>
          <w:spacing w:val="-9"/>
        </w:rPr>
        <w:t> </w:t>
      </w:r>
      <w:r>
        <w:rPr/>
        <w:t>for</w:t>
      </w:r>
      <w:r>
        <w:rPr>
          <w:spacing w:val="-4"/>
        </w:rPr>
        <w:t> </w:t>
      </w:r>
      <w:r>
        <w:rPr/>
        <w:t>the</w:t>
      </w:r>
      <w:r>
        <w:rPr>
          <w:spacing w:val="-5"/>
        </w:rPr>
        <w:t> </w:t>
      </w:r>
      <w:r>
        <w:rPr/>
        <w:t>jurisdiction</w:t>
      </w:r>
      <w:r>
        <w:rPr>
          <w:spacing w:val="2"/>
        </w:rPr>
        <w:t> </w:t>
      </w:r>
      <w:r>
        <w:rPr/>
        <w:t>in</w:t>
      </w:r>
      <w:r>
        <w:rPr>
          <w:spacing w:val="-4"/>
        </w:rPr>
        <w:t> </w:t>
      </w:r>
      <w:r>
        <w:rPr/>
        <w:t>question.</w:t>
      </w:r>
      <w:r>
        <w:rPr>
          <w:spacing w:val="-2"/>
        </w:rPr>
        <w:t> </w:t>
      </w:r>
      <w:r>
        <w:rPr/>
        <w:t>Second,</w:t>
      </w:r>
      <w:r>
        <w:rPr>
          <w:spacing w:val="-5"/>
        </w:rPr>
        <w:t> </w:t>
      </w:r>
      <w:r>
        <w:rPr/>
        <w:t>assume that</w:t>
      </w:r>
      <w:r>
        <w:rPr>
          <w:spacing w:val="-4"/>
        </w:rPr>
        <w:t> </w:t>
      </w:r>
      <w:r>
        <w:rPr/>
        <w:t>for</w:t>
      </w:r>
      <w:r>
        <w:rPr>
          <w:spacing w:val="-4"/>
        </w:rPr>
        <w:t> </w:t>
      </w:r>
      <w:r>
        <w:rPr/>
        <w:t>a</w:t>
      </w:r>
      <w:r>
        <w:rPr>
          <w:spacing w:val="-4"/>
        </w:rPr>
        <w:t> </w:t>
      </w:r>
      <w:r>
        <w:rPr/>
        <w:t>given</w:t>
      </w:r>
      <w:r>
        <w:rPr>
          <w:spacing w:val="-4"/>
        </w:rPr>
        <w:t> </w:t>
      </w:r>
      <w:r>
        <w:rPr/>
        <w:t>market</w:t>
      </w:r>
      <w:r>
        <w:rPr>
          <w:spacing w:val="-5"/>
        </w:rPr>
        <w:t> </w:t>
      </w:r>
      <w:r>
        <w:rPr/>
        <w:t>jurisdiction</w:t>
      </w:r>
      <w:r>
        <w:rPr>
          <w:spacing w:val="-5"/>
        </w:rPr>
        <w:t> </w:t>
      </w:r>
      <w:r>
        <w:rPr/>
        <w:t>a</w:t>
      </w:r>
      <w:r>
        <w:rPr>
          <w:spacing w:val="-5"/>
        </w:rPr>
        <w:t> </w:t>
      </w:r>
      <w:r>
        <w:rPr/>
        <w:t>single</w:t>
      </w:r>
      <w:r>
        <w:rPr>
          <w:spacing w:val="-4"/>
        </w:rPr>
        <w:t> </w:t>
      </w:r>
      <w:r>
        <w:rPr/>
        <w:t>paying</w:t>
      </w:r>
      <w:r>
        <w:rPr>
          <w:spacing w:val="-4"/>
        </w:rPr>
        <w:t> </w:t>
      </w:r>
      <w:r>
        <w:rPr/>
        <w:t>entity</w:t>
      </w:r>
      <w:r>
        <w:rPr>
          <w:spacing w:val="-5"/>
        </w:rPr>
        <w:t> </w:t>
      </w:r>
      <w:r>
        <w:rPr/>
        <w:t>is</w:t>
      </w:r>
      <w:r>
        <w:rPr>
          <w:spacing w:val="-3"/>
        </w:rPr>
        <w:t> </w:t>
      </w:r>
      <w:r>
        <w:rPr/>
        <w:t>identified</w:t>
      </w:r>
      <w:r>
        <w:rPr>
          <w:spacing w:val="-3"/>
        </w:rPr>
        <w:t> </w:t>
      </w:r>
      <w:r>
        <w:rPr/>
        <w:t>under</w:t>
      </w:r>
      <w:r>
        <w:rPr>
          <w:spacing w:val="-4"/>
        </w:rPr>
        <w:t> </w:t>
      </w:r>
      <w:r>
        <w:rPr/>
        <w:t>Step</w:t>
      </w:r>
      <w:r>
        <w:rPr>
          <w:spacing w:val="-5"/>
        </w:rPr>
        <w:t> </w:t>
      </w:r>
      <w:r>
        <w:rPr/>
        <w:t>3,</w:t>
      </w:r>
      <w:r>
        <w:rPr>
          <w:spacing w:val="-2"/>
        </w:rPr>
        <w:t> </w:t>
      </w:r>
      <w:r>
        <w:rPr/>
        <w:t>but</w:t>
      </w:r>
      <w:r>
        <w:rPr>
          <w:spacing w:val="-4"/>
        </w:rPr>
        <w:t> </w:t>
      </w:r>
      <w:r>
        <w:rPr/>
        <w:t>that</w:t>
      </w:r>
      <w:r>
        <w:rPr>
          <w:spacing w:val="-5"/>
        </w:rPr>
        <w:t> </w:t>
      </w:r>
      <w:r>
        <w:rPr/>
        <w:t>after</w:t>
      </w:r>
      <w:r>
        <w:rPr>
          <w:spacing w:val="-3"/>
        </w:rPr>
        <w:t> </w:t>
      </w:r>
      <w:r>
        <w:rPr/>
        <w:t>allocating this entity a routine return (based on the Step 2 profitability test) it has insufficient profits to bear the full Amount A tax liability of the market jurisdiction in question. In this scenario, the paying entity identified under Step 3 would bear the portion of Amount A tax liability that would reduce the taxing rights of the jurisdiction</w:t>
      </w:r>
      <w:r>
        <w:rPr>
          <w:spacing w:val="-8"/>
        </w:rPr>
        <w:t> </w:t>
      </w:r>
      <w:r>
        <w:rPr/>
        <w:t>in</w:t>
      </w:r>
      <w:r>
        <w:rPr>
          <w:spacing w:val="-4"/>
        </w:rPr>
        <w:t> </w:t>
      </w:r>
      <w:r>
        <w:rPr/>
        <w:t>which</w:t>
      </w:r>
      <w:r>
        <w:rPr>
          <w:spacing w:val="-5"/>
        </w:rPr>
        <w:t> </w:t>
      </w:r>
      <w:r>
        <w:rPr/>
        <w:t>it</w:t>
      </w:r>
      <w:r>
        <w:rPr>
          <w:spacing w:val="-4"/>
        </w:rPr>
        <w:t> </w:t>
      </w:r>
      <w:r>
        <w:rPr/>
        <w:t>was</w:t>
      </w:r>
      <w:r>
        <w:rPr>
          <w:spacing w:val="-7"/>
        </w:rPr>
        <w:t> </w:t>
      </w:r>
      <w:r>
        <w:rPr/>
        <w:t>resident</w:t>
      </w:r>
      <w:r>
        <w:rPr>
          <w:spacing w:val="-6"/>
        </w:rPr>
        <w:t> </w:t>
      </w:r>
      <w:r>
        <w:rPr/>
        <w:t>to</w:t>
      </w:r>
      <w:r>
        <w:rPr>
          <w:spacing w:val="-5"/>
        </w:rPr>
        <w:t> </w:t>
      </w:r>
      <w:r>
        <w:rPr/>
        <w:t>the</w:t>
      </w:r>
      <w:r>
        <w:rPr>
          <w:spacing w:val="-6"/>
        </w:rPr>
        <w:t> </w:t>
      </w:r>
      <w:r>
        <w:rPr/>
        <w:t>routine</w:t>
      </w:r>
      <w:r>
        <w:rPr>
          <w:spacing w:val="-5"/>
        </w:rPr>
        <w:t> </w:t>
      </w:r>
      <w:r>
        <w:rPr/>
        <w:t>profits</w:t>
      </w:r>
      <w:r>
        <w:rPr>
          <w:spacing w:val="-6"/>
        </w:rPr>
        <w:t> </w:t>
      </w:r>
      <w:r>
        <w:rPr/>
        <w:t>attributable</w:t>
      </w:r>
      <w:r>
        <w:rPr>
          <w:spacing w:val="-4"/>
        </w:rPr>
        <w:t> </w:t>
      </w:r>
      <w:r>
        <w:rPr/>
        <w:t>to</w:t>
      </w:r>
      <w:r>
        <w:rPr>
          <w:spacing w:val="-8"/>
        </w:rPr>
        <w:t> </w:t>
      </w:r>
      <w:r>
        <w:rPr/>
        <w:t>the</w:t>
      </w:r>
      <w:r>
        <w:rPr>
          <w:spacing w:val="-7"/>
        </w:rPr>
        <w:t> </w:t>
      </w:r>
      <w:r>
        <w:rPr/>
        <w:t>entity.</w:t>
      </w:r>
      <w:r>
        <w:rPr>
          <w:spacing w:val="-4"/>
        </w:rPr>
        <w:t> </w:t>
      </w:r>
      <w:r>
        <w:rPr/>
        <w:t>The</w:t>
      </w:r>
      <w:r>
        <w:rPr>
          <w:spacing w:val="-8"/>
        </w:rPr>
        <w:t> </w:t>
      </w:r>
      <w:r>
        <w:rPr/>
        <w:t>remaining</w:t>
      </w:r>
      <w:r>
        <w:rPr>
          <w:spacing w:val="-4"/>
        </w:rPr>
        <w:t> </w:t>
      </w:r>
      <w:r>
        <w:rPr/>
        <w:t>Amount</w:t>
      </w:r>
      <w:r>
        <w:rPr>
          <w:spacing w:val="-7"/>
        </w:rPr>
        <w:t> </w:t>
      </w:r>
      <w:r>
        <w:rPr/>
        <w:t>A tax</w:t>
      </w:r>
      <w:r>
        <w:rPr>
          <w:spacing w:val="-12"/>
        </w:rPr>
        <w:t> </w:t>
      </w:r>
      <w:r>
        <w:rPr/>
        <w:t>liability</w:t>
      </w:r>
      <w:r>
        <w:rPr>
          <w:spacing w:val="-12"/>
        </w:rPr>
        <w:t> </w:t>
      </w:r>
      <w:r>
        <w:rPr/>
        <w:t>would</w:t>
      </w:r>
      <w:r>
        <w:rPr>
          <w:spacing w:val="-10"/>
        </w:rPr>
        <w:t> </w:t>
      </w:r>
      <w:r>
        <w:rPr/>
        <w:t>then</w:t>
      </w:r>
      <w:r>
        <w:rPr>
          <w:spacing w:val="-11"/>
        </w:rPr>
        <w:t> </w:t>
      </w:r>
      <w:r>
        <w:rPr/>
        <w:t>be</w:t>
      </w:r>
      <w:r>
        <w:rPr>
          <w:spacing w:val="-10"/>
        </w:rPr>
        <w:t> </w:t>
      </w:r>
      <w:r>
        <w:rPr/>
        <w:t>apportioned</w:t>
      </w:r>
      <w:r>
        <w:rPr>
          <w:spacing w:val="-11"/>
        </w:rPr>
        <w:t> </w:t>
      </w:r>
      <w:r>
        <w:rPr/>
        <w:t>between</w:t>
      </w:r>
      <w:r>
        <w:rPr>
          <w:spacing w:val="-9"/>
        </w:rPr>
        <w:t> </w:t>
      </w:r>
      <w:r>
        <w:rPr/>
        <w:t>other</w:t>
      </w:r>
      <w:r>
        <w:rPr>
          <w:spacing w:val="-9"/>
        </w:rPr>
        <w:t> </w:t>
      </w:r>
      <w:r>
        <w:rPr/>
        <w:t>paying</w:t>
      </w:r>
      <w:r>
        <w:rPr>
          <w:spacing w:val="-10"/>
        </w:rPr>
        <w:t> </w:t>
      </w:r>
      <w:r>
        <w:rPr/>
        <w:t>entities</w:t>
      </w:r>
      <w:r>
        <w:rPr>
          <w:spacing w:val="-7"/>
        </w:rPr>
        <w:t> </w:t>
      </w:r>
      <w:r>
        <w:rPr/>
        <w:t>within</w:t>
      </w:r>
      <w:r>
        <w:rPr>
          <w:spacing w:val="-13"/>
        </w:rPr>
        <w:t> </w:t>
      </w:r>
      <w:r>
        <w:rPr/>
        <w:t>the</w:t>
      </w:r>
      <w:r>
        <w:rPr>
          <w:spacing w:val="-10"/>
        </w:rPr>
        <w:t> </w:t>
      </w:r>
      <w:r>
        <w:rPr/>
        <w:t>group</w:t>
      </w:r>
      <w:r>
        <w:rPr>
          <w:spacing w:val="-10"/>
        </w:rPr>
        <w:t> </w:t>
      </w:r>
      <w:r>
        <w:rPr/>
        <w:t>or</w:t>
      </w:r>
      <w:r>
        <w:rPr>
          <w:spacing w:val="-11"/>
        </w:rPr>
        <w:t> </w:t>
      </w:r>
      <w:r>
        <w:rPr/>
        <w:t>segment</w:t>
      </w:r>
      <w:r>
        <w:rPr>
          <w:spacing w:val="-1"/>
        </w:rPr>
        <w:t> </w:t>
      </w:r>
      <w:r>
        <w:rPr/>
        <w:t>that</w:t>
      </w:r>
      <w:r>
        <w:rPr>
          <w:spacing w:val="-7"/>
        </w:rPr>
        <w:t> </w:t>
      </w:r>
      <w:r>
        <w:rPr/>
        <w:t>were not identified as having a connection to the market under Step 3 on a pro-rata</w:t>
      </w:r>
      <w:r>
        <w:rPr>
          <w:spacing w:val="-20"/>
        </w:rPr>
        <w:t> </w:t>
      </w:r>
      <w:r>
        <w:rPr/>
        <w:t>basis.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There are other alternative or additional “back-stop” rules that could be considered and on which Inclusive Framework members have different views. One approach would be that where it is not possible to</w:t>
      </w:r>
      <w:r>
        <w:rPr>
          <w:spacing w:val="-8"/>
          <w:sz w:val="20"/>
        </w:rPr>
        <w:t> </w:t>
      </w:r>
      <w:r>
        <w:rPr>
          <w:sz w:val="20"/>
        </w:rPr>
        <w:t>identify</w:t>
      </w:r>
      <w:r>
        <w:rPr>
          <w:spacing w:val="-8"/>
          <w:sz w:val="20"/>
        </w:rPr>
        <w:t> </w:t>
      </w:r>
      <w:r>
        <w:rPr>
          <w:sz w:val="20"/>
        </w:rPr>
        <w:t>a</w:t>
      </w:r>
      <w:r>
        <w:rPr>
          <w:spacing w:val="-8"/>
          <w:sz w:val="20"/>
        </w:rPr>
        <w:t> </w:t>
      </w:r>
      <w:r>
        <w:rPr>
          <w:sz w:val="20"/>
        </w:rPr>
        <w:t>paying</w:t>
      </w:r>
      <w:r>
        <w:rPr>
          <w:spacing w:val="-5"/>
          <w:sz w:val="20"/>
        </w:rPr>
        <w:t> </w:t>
      </w:r>
      <w:r>
        <w:rPr>
          <w:sz w:val="20"/>
        </w:rPr>
        <w:t>entity</w:t>
      </w:r>
      <w:r>
        <w:rPr>
          <w:spacing w:val="-11"/>
          <w:sz w:val="20"/>
        </w:rPr>
        <w:t> </w:t>
      </w:r>
      <w:r>
        <w:rPr>
          <w:sz w:val="20"/>
        </w:rPr>
        <w:t>connected</w:t>
      </w:r>
      <w:r>
        <w:rPr>
          <w:spacing w:val="-7"/>
          <w:sz w:val="20"/>
        </w:rPr>
        <w:t> </w:t>
      </w:r>
      <w:r>
        <w:rPr>
          <w:sz w:val="20"/>
        </w:rPr>
        <w:t>to</w:t>
      </w:r>
      <w:r>
        <w:rPr>
          <w:spacing w:val="-6"/>
          <w:sz w:val="20"/>
        </w:rPr>
        <w:t> </w:t>
      </w:r>
      <w:r>
        <w:rPr>
          <w:sz w:val="20"/>
        </w:rPr>
        <w:t>a</w:t>
      </w:r>
      <w:r>
        <w:rPr>
          <w:spacing w:val="-7"/>
          <w:sz w:val="20"/>
        </w:rPr>
        <w:t> </w:t>
      </w:r>
      <w:r>
        <w:rPr>
          <w:sz w:val="20"/>
        </w:rPr>
        <w:t>market</w:t>
      </w:r>
      <w:r>
        <w:rPr>
          <w:spacing w:val="-7"/>
          <w:sz w:val="20"/>
        </w:rPr>
        <w:t> </w:t>
      </w:r>
      <w:r>
        <w:rPr>
          <w:sz w:val="20"/>
        </w:rPr>
        <w:t>with</w:t>
      </w:r>
      <w:r>
        <w:rPr>
          <w:spacing w:val="-8"/>
          <w:sz w:val="20"/>
        </w:rPr>
        <w:t> </w:t>
      </w:r>
      <w:r>
        <w:rPr>
          <w:sz w:val="20"/>
        </w:rPr>
        <w:t>sufficient</w:t>
      </w:r>
      <w:r>
        <w:rPr>
          <w:spacing w:val="-4"/>
          <w:sz w:val="20"/>
        </w:rPr>
        <w:t> </w:t>
      </w:r>
      <w:r>
        <w:rPr>
          <w:sz w:val="20"/>
        </w:rPr>
        <w:t>profits</w:t>
      </w:r>
      <w:r>
        <w:rPr>
          <w:spacing w:val="-7"/>
          <w:sz w:val="20"/>
        </w:rPr>
        <w:t> </w:t>
      </w:r>
      <w:r>
        <w:rPr>
          <w:sz w:val="20"/>
        </w:rPr>
        <w:t>to</w:t>
      </w:r>
      <w:r>
        <w:rPr>
          <w:spacing w:val="-5"/>
          <w:sz w:val="20"/>
        </w:rPr>
        <w:t> </w:t>
      </w:r>
      <w:r>
        <w:rPr>
          <w:sz w:val="20"/>
        </w:rPr>
        <w:t>bear</w:t>
      </w:r>
      <w:r>
        <w:rPr>
          <w:spacing w:val="-7"/>
          <w:sz w:val="20"/>
        </w:rPr>
        <w:t> </w:t>
      </w:r>
      <w:r>
        <w:rPr>
          <w:sz w:val="20"/>
        </w:rPr>
        <w:t>the</w:t>
      </w:r>
      <w:r>
        <w:rPr>
          <w:spacing w:val="-7"/>
          <w:sz w:val="20"/>
        </w:rPr>
        <w:t> </w:t>
      </w:r>
      <w:r>
        <w:rPr>
          <w:sz w:val="20"/>
        </w:rPr>
        <w:t>full</w:t>
      </w:r>
      <w:r>
        <w:rPr>
          <w:spacing w:val="-9"/>
          <w:sz w:val="20"/>
        </w:rPr>
        <w:t> </w:t>
      </w:r>
      <w:r>
        <w:rPr>
          <w:sz w:val="20"/>
        </w:rPr>
        <w:t>Amount</w:t>
      </w:r>
      <w:r>
        <w:rPr>
          <w:spacing w:val="-5"/>
          <w:sz w:val="20"/>
        </w:rPr>
        <w:t> </w:t>
      </w:r>
      <w:r>
        <w:rPr>
          <w:sz w:val="20"/>
        </w:rPr>
        <w:t>A</w:t>
      </w:r>
      <w:r>
        <w:rPr>
          <w:spacing w:val="-8"/>
          <w:sz w:val="20"/>
        </w:rPr>
        <w:t> </w:t>
      </w:r>
      <w:r>
        <w:rPr>
          <w:sz w:val="20"/>
        </w:rPr>
        <w:t>tax</w:t>
      </w:r>
      <w:r>
        <w:rPr>
          <w:spacing w:val="-6"/>
          <w:sz w:val="20"/>
        </w:rPr>
        <w:t> </w:t>
      </w:r>
      <w:r>
        <w:rPr>
          <w:sz w:val="20"/>
        </w:rPr>
        <w:t>liability, the</w:t>
      </w:r>
      <w:r>
        <w:rPr>
          <w:spacing w:val="-13"/>
          <w:sz w:val="20"/>
        </w:rPr>
        <w:t> </w:t>
      </w:r>
      <w:r>
        <w:rPr>
          <w:sz w:val="20"/>
        </w:rPr>
        <w:t>Amount</w:t>
      </w:r>
      <w:r>
        <w:rPr>
          <w:spacing w:val="-12"/>
          <w:sz w:val="20"/>
        </w:rPr>
        <w:t> </w:t>
      </w:r>
      <w:r>
        <w:rPr>
          <w:sz w:val="20"/>
        </w:rPr>
        <w:t>A</w:t>
      </w:r>
      <w:r>
        <w:rPr>
          <w:spacing w:val="-9"/>
          <w:sz w:val="20"/>
        </w:rPr>
        <w:t> </w:t>
      </w:r>
      <w:r>
        <w:rPr>
          <w:sz w:val="20"/>
        </w:rPr>
        <w:t>allocation</w:t>
      </w:r>
      <w:r>
        <w:rPr>
          <w:spacing w:val="-12"/>
          <w:sz w:val="20"/>
        </w:rPr>
        <w:t> </w:t>
      </w:r>
      <w:r>
        <w:rPr>
          <w:sz w:val="20"/>
        </w:rPr>
        <w:t>to</w:t>
      </w:r>
      <w:r>
        <w:rPr>
          <w:spacing w:val="-9"/>
          <w:sz w:val="20"/>
        </w:rPr>
        <w:t> </w:t>
      </w:r>
      <w:r>
        <w:rPr>
          <w:sz w:val="20"/>
        </w:rPr>
        <w:t>a</w:t>
      </w:r>
      <w:r>
        <w:rPr>
          <w:spacing w:val="-12"/>
          <w:sz w:val="20"/>
        </w:rPr>
        <w:t> </w:t>
      </w:r>
      <w:r>
        <w:rPr>
          <w:sz w:val="20"/>
        </w:rPr>
        <w:t>market</w:t>
      </w:r>
      <w:r>
        <w:rPr>
          <w:spacing w:val="-14"/>
          <w:sz w:val="20"/>
        </w:rPr>
        <w:t> </w:t>
      </w:r>
      <w:r>
        <w:rPr>
          <w:sz w:val="20"/>
        </w:rPr>
        <w:t>jurisdiction</w:t>
      </w:r>
      <w:r>
        <w:rPr>
          <w:spacing w:val="-12"/>
          <w:sz w:val="20"/>
        </w:rPr>
        <w:t> </w:t>
      </w:r>
      <w:r>
        <w:rPr>
          <w:sz w:val="20"/>
        </w:rPr>
        <w:t>could</w:t>
      </w:r>
      <w:r>
        <w:rPr>
          <w:spacing w:val="-12"/>
          <w:sz w:val="20"/>
        </w:rPr>
        <w:t> </w:t>
      </w:r>
      <w:r>
        <w:rPr>
          <w:sz w:val="20"/>
        </w:rPr>
        <w:t>be</w:t>
      </w:r>
      <w:r>
        <w:rPr>
          <w:spacing w:val="-7"/>
          <w:sz w:val="20"/>
        </w:rPr>
        <w:t> </w:t>
      </w:r>
      <w:r>
        <w:rPr>
          <w:sz w:val="20"/>
        </w:rPr>
        <w:t>reduced</w:t>
      </w:r>
      <w:r>
        <w:rPr>
          <w:spacing w:val="-10"/>
          <w:sz w:val="20"/>
        </w:rPr>
        <w:t> </w:t>
      </w:r>
      <w:r>
        <w:rPr>
          <w:sz w:val="20"/>
        </w:rPr>
        <w:t>or</w:t>
      </w:r>
      <w:r>
        <w:rPr>
          <w:spacing w:val="-11"/>
          <w:sz w:val="20"/>
        </w:rPr>
        <w:t> </w:t>
      </w:r>
      <w:r>
        <w:rPr>
          <w:sz w:val="20"/>
        </w:rPr>
        <w:t>eliminated.</w:t>
      </w:r>
      <w:r>
        <w:rPr>
          <w:spacing w:val="-11"/>
          <w:sz w:val="20"/>
        </w:rPr>
        <w:t> </w:t>
      </w:r>
      <w:r>
        <w:rPr>
          <w:sz w:val="20"/>
        </w:rPr>
        <w:t>However,</w:t>
      </w:r>
      <w:r>
        <w:rPr>
          <w:spacing w:val="-11"/>
          <w:sz w:val="20"/>
        </w:rPr>
        <w:t> </w:t>
      </w:r>
      <w:r>
        <w:rPr>
          <w:sz w:val="20"/>
        </w:rPr>
        <w:t>others</w:t>
      </w:r>
      <w:r>
        <w:rPr>
          <w:spacing w:val="-12"/>
          <w:sz w:val="20"/>
        </w:rPr>
        <w:t> </w:t>
      </w:r>
      <w:r>
        <w:rPr>
          <w:sz w:val="20"/>
        </w:rPr>
        <w:t>members consider that this would be conceptually inconsistent with the Amount A nexus and profit allocation rules, which would apply alongside and on an equal basis to the existing rules. Further, these members argue that</w:t>
      </w:r>
      <w:r>
        <w:rPr>
          <w:spacing w:val="-7"/>
          <w:sz w:val="20"/>
        </w:rPr>
        <w:t> </w:t>
      </w:r>
      <w:r>
        <w:rPr>
          <w:sz w:val="20"/>
        </w:rPr>
        <w:t>this</w:t>
      </w:r>
      <w:r>
        <w:rPr>
          <w:spacing w:val="-5"/>
          <w:sz w:val="20"/>
        </w:rPr>
        <w:t> </w:t>
      </w:r>
      <w:r>
        <w:rPr>
          <w:sz w:val="20"/>
        </w:rPr>
        <w:t>approach</w:t>
      </w:r>
      <w:r>
        <w:rPr>
          <w:spacing w:val="-4"/>
          <w:sz w:val="20"/>
        </w:rPr>
        <w:t> </w:t>
      </w:r>
      <w:r>
        <w:rPr>
          <w:sz w:val="20"/>
        </w:rPr>
        <w:t>would</w:t>
      </w:r>
      <w:r>
        <w:rPr>
          <w:spacing w:val="-5"/>
          <w:sz w:val="20"/>
        </w:rPr>
        <w:t> </w:t>
      </w:r>
      <w:r>
        <w:rPr>
          <w:sz w:val="20"/>
        </w:rPr>
        <w:t>place</w:t>
      </w:r>
      <w:r>
        <w:rPr>
          <w:spacing w:val="-7"/>
          <w:sz w:val="20"/>
        </w:rPr>
        <w:t> </w:t>
      </w:r>
      <w:r>
        <w:rPr>
          <w:sz w:val="20"/>
        </w:rPr>
        <w:t>significant</w:t>
      </w:r>
      <w:r>
        <w:rPr>
          <w:spacing w:val="-6"/>
          <w:sz w:val="20"/>
        </w:rPr>
        <w:t> </w:t>
      </w:r>
      <w:r>
        <w:rPr>
          <w:sz w:val="20"/>
        </w:rPr>
        <w:t>additional</w:t>
      </w:r>
      <w:r>
        <w:rPr>
          <w:spacing w:val="-7"/>
          <w:sz w:val="20"/>
        </w:rPr>
        <w:t> </w:t>
      </w:r>
      <w:r>
        <w:rPr>
          <w:sz w:val="20"/>
        </w:rPr>
        <w:t>pressure</w:t>
      </w:r>
      <w:r>
        <w:rPr>
          <w:spacing w:val="-6"/>
          <w:sz w:val="20"/>
        </w:rPr>
        <w:t> </w:t>
      </w:r>
      <w:r>
        <w:rPr>
          <w:sz w:val="20"/>
        </w:rPr>
        <w:t>on</w:t>
      </w:r>
      <w:r>
        <w:rPr>
          <w:spacing w:val="-8"/>
          <w:sz w:val="20"/>
        </w:rPr>
        <w:t> </w:t>
      </w:r>
      <w:r>
        <w:rPr>
          <w:sz w:val="20"/>
        </w:rPr>
        <w:t>the</w:t>
      </w:r>
      <w:r>
        <w:rPr>
          <w:spacing w:val="-7"/>
          <w:sz w:val="20"/>
        </w:rPr>
        <w:t> </w:t>
      </w:r>
      <w:r>
        <w:rPr>
          <w:sz w:val="20"/>
        </w:rPr>
        <w:t>application</w:t>
      </w:r>
      <w:r>
        <w:rPr>
          <w:spacing w:val="-5"/>
          <w:sz w:val="20"/>
        </w:rPr>
        <w:t> </w:t>
      </w:r>
      <w:r>
        <w:rPr>
          <w:sz w:val="20"/>
        </w:rPr>
        <w:t>of</w:t>
      </w:r>
      <w:r>
        <w:rPr>
          <w:spacing w:val="-5"/>
          <w:sz w:val="20"/>
        </w:rPr>
        <w:t> </w:t>
      </w:r>
      <w:r>
        <w:rPr>
          <w:sz w:val="20"/>
        </w:rPr>
        <w:t>Step</w:t>
      </w:r>
      <w:r>
        <w:rPr>
          <w:spacing w:val="-7"/>
          <w:sz w:val="20"/>
        </w:rPr>
        <w:t> </w:t>
      </w:r>
      <w:r>
        <w:rPr>
          <w:sz w:val="20"/>
        </w:rPr>
        <w:t>3</w:t>
      </w:r>
      <w:r>
        <w:rPr>
          <w:spacing w:val="-8"/>
          <w:sz w:val="20"/>
        </w:rPr>
        <w:t> </w:t>
      </w:r>
      <w:r>
        <w:rPr>
          <w:sz w:val="20"/>
        </w:rPr>
        <w:t>and</w:t>
      </w:r>
      <w:r>
        <w:rPr>
          <w:spacing w:val="-5"/>
          <w:sz w:val="20"/>
        </w:rPr>
        <w:t> </w:t>
      </w:r>
      <w:r>
        <w:rPr>
          <w:sz w:val="20"/>
        </w:rPr>
        <w:t>would</w:t>
      </w:r>
      <w:r>
        <w:rPr>
          <w:spacing w:val="-4"/>
          <w:sz w:val="20"/>
        </w:rPr>
        <w:t> </w:t>
      </w:r>
      <w:r>
        <w:rPr>
          <w:sz w:val="20"/>
        </w:rPr>
        <w:t>likely significantly increase the controversy surrounding the application of this step. An alternative could be that in</w:t>
      </w:r>
      <w:r>
        <w:rPr>
          <w:spacing w:val="-16"/>
          <w:sz w:val="20"/>
        </w:rPr>
        <w:t> </w:t>
      </w:r>
      <w:r>
        <w:rPr>
          <w:sz w:val="20"/>
        </w:rPr>
        <w:t>this</w:t>
      </w:r>
      <w:r>
        <w:rPr>
          <w:spacing w:val="-15"/>
          <w:sz w:val="20"/>
        </w:rPr>
        <w:t> </w:t>
      </w:r>
      <w:r>
        <w:rPr>
          <w:sz w:val="20"/>
        </w:rPr>
        <w:t>scenario</w:t>
      </w:r>
      <w:r>
        <w:rPr>
          <w:spacing w:val="-16"/>
          <w:sz w:val="20"/>
        </w:rPr>
        <w:t> </w:t>
      </w:r>
      <w:r>
        <w:rPr>
          <w:sz w:val="20"/>
        </w:rPr>
        <w:t>the</w:t>
      </w:r>
      <w:r>
        <w:rPr>
          <w:spacing w:val="-15"/>
          <w:sz w:val="20"/>
        </w:rPr>
        <w:t> </w:t>
      </w:r>
      <w:r>
        <w:rPr>
          <w:sz w:val="20"/>
        </w:rPr>
        <w:t>Amount</w:t>
      </w:r>
      <w:r>
        <w:rPr>
          <w:spacing w:val="-14"/>
          <w:sz w:val="20"/>
        </w:rPr>
        <w:t> </w:t>
      </w:r>
      <w:r>
        <w:rPr>
          <w:sz w:val="20"/>
        </w:rPr>
        <w:t>A</w:t>
      </w:r>
      <w:r>
        <w:rPr>
          <w:spacing w:val="-17"/>
          <w:sz w:val="20"/>
        </w:rPr>
        <w:t> </w:t>
      </w:r>
      <w:r>
        <w:rPr>
          <w:sz w:val="20"/>
        </w:rPr>
        <w:t>tax</w:t>
      </w:r>
      <w:r>
        <w:rPr>
          <w:spacing w:val="-14"/>
          <w:sz w:val="20"/>
        </w:rPr>
        <w:t> </w:t>
      </w:r>
      <w:r>
        <w:rPr>
          <w:sz w:val="20"/>
        </w:rPr>
        <w:t>liability</w:t>
      </w:r>
      <w:r>
        <w:rPr>
          <w:spacing w:val="-19"/>
          <w:sz w:val="20"/>
        </w:rPr>
        <w:t> </w:t>
      </w:r>
      <w:r>
        <w:rPr>
          <w:sz w:val="20"/>
        </w:rPr>
        <w:t>could</w:t>
      </w:r>
      <w:r>
        <w:rPr>
          <w:spacing w:val="-14"/>
          <w:sz w:val="20"/>
        </w:rPr>
        <w:t> </w:t>
      </w:r>
      <w:r>
        <w:rPr>
          <w:sz w:val="20"/>
        </w:rPr>
        <w:t>also</w:t>
      </w:r>
      <w:r>
        <w:rPr>
          <w:spacing w:val="-14"/>
          <w:sz w:val="20"/>
        </w:rPr>
        <w:t> </w:t>
      </w:r>
      <w:r>
        <w:rPr>
          <w:sz w:val="20"/>
        </w:rPr>
        <w:t>be</w:t>
      </w:r>
      <w:r>
        <w:rPr>
          <w:spacing w:val="-16"/>
          <w:sz w:val="20"/>
        </w:rPr>
        <w:t> </w:t>
      </w:r>
      <w:r>
        <w:rPr>
          <w:sz w:val="20"/>
        </w:rPr>
        <w:t>relieved</w:t>
      </w:r>
      <w:r>
        <w:rPr>
          <w:spacing w:val="-9"/>
          <w:sz w:val="20"/>
        </w:rPr>
        <w:t> </w:t>
      </w:r>
      <w:r>
        <w:rPr>
          <w:sz w:val="20"/>
        </w:rPr>
        <w:t>against</w:t>
      </w:r>
      <w:r>
        <w:rPr>
          <w:spacing w:val="-16"/>
          <w:sz w:val="20"/>
        </w:rPr>
        <w:t> </w:t>
      </w:r>
      <w:r>
        <w:rPr>
          <w:sz w:val="20"/>
        </w:rPr>
        <w:t>the</w:t>
      </w:r>
      <w:r>
        <w:rPr>
          <w:spacing w:val="-17"/>
          <w:sz w:val="20"/>
        </w:rPr>
        <w:t> </w:t>
      </w:r>
      <w:r>
        <w:rPr>
          <w:sz w:val="20"/>
        </w:rPr>
        <w:t>routine</w:t>
      </w:r>
      <w:r>
        <w:rPr>
          <w:spacing w:val="-15"/>
          <w:sz w:val="20"/>
        </w:rPr>
        <w:t> </w:t>
      </w:r>
      <w:r>
        <w:rPr>
          <w:sz w:val="20"/>
        </w:rPr>
        <w:t>profits</w:t>
      </w:r>
      <w:r>
        <w:rPr>
          <w:spacing w:val="-15"/>
          <w:sz w:val="20"/>
        </w:rPr>
        <w:t> </w:t>
      </w:r>
      <w:r>
        <w:rPr>
          <w:sz w:val="20"/>
        </w:rPr>
        <w:t>that</w:t>
      </w:r>
      <w:r>
        <w:rPr>
          <w:spacing w:val="-14"/>
          <w:sz w:val="20"/>
        </w:rPr>
        <w:t> </w:t>
      </w:r>
      <w:r>
        <w:rPr>
          <w:sz w:val="20"/>
        </w:rPr>
        <w:t>would</w:t>
      </w:r>
      <w:r>
        <w:rPr>
          <w:spacing w:val="-15"/>
          <w:sz w:val="20"/>
        </w:rPr>
        <w:t> </w:t>
      </w:r>
      <w:r>
        <w:rPr>
          <w:sz w:val="20"/>
        </w:rPr>
        <w:t>usually remain</w:t>
      </w:r>
      <w:r>
        <w:rPr>
          <w:spacing w:val="-7"/>
          <w:sz w:val="20"/>
        </w:rPr>
        <w:t> </w:t>
      </w:r>
      <w:r>
        <w:rPr>
          <w:sz w:val="20"/>
        </w:rPr>
        <w:t>taxable</w:t>
      </w:r>
      <w:r>
        <w:rPr>
          <w:spacing w:val="-7"/>
          <w:sz w:val="20"/>
        </w:rPr>
        <w:t> </w:t>
      </w:r>
      <w:r>
        <w:rPr>
          <w:sz w:val="20"/>
        </w:rPr>
        <w:t>in</w:t>
      </w:r>
      <w:r>
        <w:rPr>
          <w:spacing w:val="-6"/>
          <w:sz w:val="20"/>
        </w:rPr>
        <w:t> </w:t>
      </w:r>
      <w:r>
        <w:rPr>
          <w:sz w:val="20"/>
        </w:rPr>
        <w:t>the</w:t>
      </w:r>
      <w:r>
        <w:rPr>
          <w:spacing w:val="-7"/>
          <w:sz w:val="20"/>
        </w:rPr>
        <w:t> </w:t>
      </w:r>
      <w:r>
        <w:rPr>
          <w:sz w:val="20"/>
        </w:rPr>
        <w:t>residence</w:t>
      </w:r>
      <w:r>
        <w:rPr>
          <w:spacing w:val="-6"/>
          <w:sz w:val="20"/>
        </w:rPr>
        <w:t> </w:t>
      </w:r>
      <w:r>
        <w:rPr>
          <w:sz w:val="20"/>
        </w:rPr>
        <w:t>jurisdiction,</w:t>
      </w:r>
      <w:r>
        <w:rPr>
          <w:spacing w:val="-4"/>
          <w:sz w:val="20"/>
        </w:rPr>
        <w:t> </w:t>
      </w:r>
      <w:r>
        <w:rPr>
          <w:sz w:val="20"/>
        </w:rPr>
        <w:t>or</w:t>
      </w:r>
      <w:r>
        <w:rPr>
          <w:spacing w:val="-6"/>
          <w:sz w:val="20"/>
        </w:rPr>
        <w:t> </w:t>
      </w:r>
      <w:r>
        <w:rPr>
          <w:sz w:val="20"/>
        </w:rPr>
        <w:t>that</w:t>
      </w:r>
      <w:r>
        <w:rPr>
          <w:spacing w:val="-6"/>
          <w:sz w:val="20"/>
        </w:rPr>
        <w:t> </w:t>
      </w:r>
      <w:r>
        <w:rPr>
          <w:sz w:val="20"/>
        </w:rPr>
        <w:t>the</w:t>
      </w:r>
      <w:r>
        <w:rPr>
          <w:spacing w:val="-5"/>
          <w:sz w:val="20"/>
        </w:rPr>
        <w:t> </w:t>
      </w:r>
      <w:r>
        <w:rPr>
          <w:sz w:val="20"/>
        </w:rPr>
        <w:t>Amount</w:t>
      </w:r>
      <w:r>
        <w:rPr>
          <w:spacing w:val="-6"/>
          <w:sz w:val="20"/>
        </w:rPr>
        <w:t> </w:t>
      </w:r>
      <w:r>
        <w:rPr>
          <w:sz w:val="20"/>
        </w:rPr>
        <w:t>A</w:t>
      </w:r>
      <w:r>
        <w:rPr>
          <w:spacing w:val="-7"/>
          <w:sz w:val="20"/>
        </w:rPr>
        <w:t> </w:t>
      </w:r>
      <w:r>
        <w:rPr>
          <w:sz w:val="20"/>
        </w:rPr>
        <w:t>tax</w:t>
      </w:r>
      <w:r>
        <w:rPr>
          <w:spacing w:val="-6"/>
          <w:sz w:val="20"/>
        </w:rPr>
        <w:t> </w:t>
      </w:r>
      <w:r>
        <w:rPr>
          <w:sz w:val="20"/>
        </w:rPr>
        <w:t>liability</w:t>
      </w:r>
      <w:r>
        <w:rPr>
          <w:spacing w:val="-6"/>
          <w:sz w:val="20"/>
        </w:rPr>
        <w:t> </w:t>
      </w:r>
      <w:r>
        <w:rPr>
          <w:sz w:val="20"/>
        </w:rPr>
        <w:t>would</w:t>
      </w:r>
      <w:r>
        <w:rPr>
          <w:spacing w:val="-5"/>
          <w:sz w:val="20"/>
        </w:rPr>
        <w:t> </w:t>
      </w:r>
      <w:r>
        <w:rPr>
          <w:sz w:val="20"/>
        </w:rPr>
        <w:t>be</w:t>
      </w:r>
      <w:r>
        <w:rPr>
          <w:spacing w:val="-6"/>
          <w:sz w:val="20"/>
        </w:rPr>
        <w:t> </w:t>
      </w:r>
      <w:r>
        <w:rPr>
          <w:sz w:val="20"/>
        </w:rPr>
        <w:t>carried</w:t>
      </w:r>
      <w:r>
        <w:rPr>
          <w:spacing w:val="-7"/>
          <w:sz w:val="20"/>
        </w:rPr>
        <w:t> </w:t>
      </w:r>
      <w:r>
        <w:rPr>
          <w:sz w:val="20"/>
        </w:rPr>
        <w:t>forward</w:t>
      </w:r>
      <w:r>
        <w:rPr>
          <w:spacing w:val="-5"/>
          <w:sz w:val="20"/>
        </w:rPr>
        <w:t> </w:t>
      </w:r>
      <w:r>
        <w:rPr>
          <w:sz w:val="20"/>
        </w:rPr>
        <w:t>and would only become payable in a market jurisdiction in future years when a paying entity connected to a market had sufficient profits to bear the outstanding liability. It is acknowledged however that this would exacerbate</w:t>
      </w:r>
      <w:r>
        <w:rPr>
          <w:spacing w:val="-9"/>
          <w:sz w:val="20"/>
        </w:rPr>
        <w:t> </w:t>
      </w:r>
      <w:r>
        <w:rPr>
          <w:sz w:val="20"/>
        </w:rPr>
        <w:t>the</w:t>
      </w:r>
      <w:r>
        <w:rPr>
          <w:spacing w:val="-9"/>
          <w:sz w:val="20"/>
        </w:rPr>
        <w:t> </w:t>
      </w:r>
      <w:r>
        <w:rPr>
          <w:sz w:val="20"/>
        </w:rPr>
        <w:t>tensions</w:t>
      </w:r>
      <w:r>
        <w:rPr>
          <w:spacing w:val="-7"/>
          <w:sz w:val="20"/>
        </w:rPr>
        <w:t> </w:t>
      </w:r>
      <w:r>
        <w:rPr>
          <w:sz w:val="20"/>
        </w:rPr>
        <w:t>that</w:t>
      </w:r>
      <w:r>
        <w:rPr>
          <w:spacing w:val="-9"/>
          <w:sz w:val="20"/>
        </w:rPr>
        <w:t> </w:t>
      </w:r>
      <w:r>
        <w:rPr>
          <w:sz w:val="20"/>
        </w:rPr>
        <w:t>some</w:t>
      </w:r>
      <w:r>
        <w:rPr>
          <w:spacing w:val="-11"/>
          <w:sz w:val="20"/>
        </w:rPr>
        <w:t> </w:t>
      </w:r>
      <w:r>
        <w:rPr>
          <w:sz w:val="20"/>
        </w:rPr>
        <w:t>members</w:t>
      </w:r>
      <w:r>
        <w:rPr>
          <w:spacing w:val="-8"/>
          <w:sz w:val="20"/>
        </w:rPr>
        <w:t> </w:t>
      </w:r>
      <w:r>
        <w:rPr>
          <w:sz w:val="20"/>
        </w:rPr>
        <w:t>perceive</w:t>
      </w:r>
      <w:r>
        <w:rPr>
          <w:spacing w:val="-9"/>
          <w:sz w:val="20"/>
        </w:rPr>
        <w:t> </w:t>
      </w:r>
      <w:r>
        <w:rPr>
          <w:sz w:val="20"/>
        </w:rPr>
        <w:t>to</w:t>
      </w:r>
      <w:r>
        <w:rPr>
          <w:spacing w:val="-8"/>
          <w:sz w:val="20"/>
        </w:rPr>
        <w:t> </w:t>
      </w:r>
      <w:r>
        <w:rPr>
          <w:sz w:val="20"/>
        </w:rPr>
        <w:t>exist</w:t>
      </w:r>
      <w:r>
        <w:rPr>
          <w:spacing w:val="-9"/>
          <w:sz w:val="20"/>
        </w:rPr>
        <w:t> </w:t>
      </w:r>
      <w:r>
        <w:rPr>
          <w:sz w:val="20"/>
        </w:rPr>
        <w:t>between</w:t>
      </w:r>
      <w:r>
        <w:rPr>
          <w:spacing w:val="-9"/>
          <w:sz w:val="20"/>
        </w:rPr>
        <w:t> </w:t>
      </w:r>
      <w:r>
        <w:rPr>
          <w:sz w:val="20"/>
        </w:rPr>
        <w:t>the</w:t>
      </w:r>
      <w:r>
        <w:rPr>
          <w:spacing w:val="-8"/>
          <w:sz w:val="20"/>
        </w:rPr>
        <w:t> </w:t>
      </w:r>
      <w:r>
        <w:rPr>
          <w:sz w:val="20"/>
        </w:rPr>
        <w:t>market</w:t>
      </w:r>
      <w:r>
        <w:rPr>
          <w:spacing w:val="-12"/>
          <w:sz w:val="20"/>
        </w:rPr>
        <w:t> </w:t>
      </w:r>
      <w:r>
        <w:rPr>
          <w:sz w:val="20"/>
        </w:rPr>
        <w:t>connection</w:t>
      </w:r>
      <w:r>
        <w:rPr>
          <w:spacing w:val="-8"/>
          <w:sz w:val="20"/>
        </w:rPr>
        <w:t> </w:t>
      </w:r>
      <w:r>
        <w:rPr>
          <w:sz w:val="20"/>
        </w:rPr>
        <w:t>test</w:t>
      </w:r>
      <w:r>
        <w:rPr>
          <w:spacing w:val="-9"/>
          <w:sz w:val="20"/>
        </w:rPr>
        <w:t> </w:t>
      </w:r>
      <w:r>
        <w:rPr>
          <w:sz w:val="20"/>
        </w:rPr>
        <w:t>and</w:t>
      </w:r>
      <w:r>
        <w:rPr>
          <w:spacing w:val="-9"/>
          <w:sz w:val="20"/>
        </w:rPr>
        <w:t> </w:t>
      </w:r>
      <w:r>
        <w:rPr>
          <w:sz w:val="20"/>
        </w:rPr>
        <w:t>the global</w:t>
      </w:r>
      <w:r>
        <w:rPr>
          <w:spacing w:val="-4"/>
          <w:sz w:val="20"/>
        </w:rPr>
        <w:t> </w:t>
      </w:r>
      <w:r>
        <w:rPr>
          <w:sz w:val="20"/>
        </w:rPr>
        <w:t>basis</w:t>
      </w:r>
      <w:r>
        <w:rPr>
          <w:spacing w:val="-4"/>
          <w:sz w:val="20"/>
        </w:rPr>
        <w:t> </w:t>
      </w:r>
      <w:r>
        <w:rPr>
          <w:sz w:val="20"/>
        </w:rPr>
        <w:t>for</w:t>
      </w:r>
      <w:r>
        <w:rPr>
          <w:spacing w:val="-4"/>
          <w:sz w:val="20"/>
        </w:rPr>
        <w:t> </w:t>
      </w:r>
      <w:r>
        <w:rPr>
          <w:sz w:val="20"/>
        </w:rPr>
        <w:t>calculating</w:t>
      </w:r>
      <w:r>
        <w:rPr>
          <w:spacing w:val="-4"/>
          <w:sz w:val="20"/>
        </w:rPr>
        <w:t> </w:t>
      </w:r>
      <w:r>
        <w:rPr>
          <w:sz w:val="20"/>
        </w:rPr>
        <w:t>Amount</w:t>
      </w:r>
      <w:r>
        <w:rPr>
          <w:spacing w:val="-5"/>
          <w:sz w:val="20"/>
        </w:rPr>
        <w:t> </w:t>
      </w:r>
      <w:r>
        <w:rPr>
          <w:sz w:val="20"/>
        </w:rPr>
        <w:t>A,</w:t>
      </w:r>
      <w:r>
        <w:rPr>
          <w:spacing w:val="-4"/>
          <w:sz w:val="20"/>
        </w:rPr>
        <w:t> </w:t>
      </w:r>
      <w:r>
        <w:rPr>
          <w:sz w:val="20"/>
        </w:rPr>
        <w:t>as</w:t>
      </w:r>
      <w:r>
        <w:rPr>
          <w:spacing w:val="-4"/>
          <w:sz w:val="20"/>
        </w:rPr>
        <w:t> </w:t>
      </w:r>
      <w:r>
        <w:rPr>
          <w:sz w:val="20"/>
        </w:rPr>
        <w:t>referred</w:t>
      </w:r>
      <w:r>
        <w:rPr>
          <w:spacing w:val="-5"/>
          <w:sz w:val="20"/>
        </w:rPr>
        <w:t> </w:t>
      </w:r>
      <w:r>
        <w:rPr>
          <w:sz w:val="20"/>
        </w:rPr>
        <w:t>to</w:t>
      </w:r>
      <w:r>
        <w:rPr>
          <w:spacing w:val="-5"/>
          <w:sz w:val="20"/>
        </w:rPr>
        <w:t> </w:t>
      </w:r>
      <w:r>
        <w:rPr>
          <w:sz w:val="20"/>
        </w:rPr>
        <w:t>in</w:t>
      </w:r>
      <w:r>
        <w:rPr>
          <w:spacing w:val="-3"/>
          <w:sz w:val="20"/>
        </w:rPr>
        <w:t> </w:t>
      </w:r>
      <w:hyperlink w:history="true" w:anchor="_bookmark56">
        <w:r>
          <w:rPr>
            <w:sz w:val="20"/>
          </w:rPr>
          <w:t>607.</w:t>
        </w:r>
        <w:r>
          <w:rPr>
            <w:spacing w:val="-3"/>
            <w:sz w:val="20"/>
          </w:rPr>
          <w:t> </w:t>
        </w:r>
      </w:hyperlink>
      <w:r>
        <w:rPr>
          <w:sz w:val="20"/>
        </w:rPr>
        <w:t>A</w:t>
      </w:r>
      <w:r>
        <w:rPr>
          <w:spacing w:val="-5"/>
          <w:sz w:val="20"/>
        </w:rPr>
        <w:t> </w:t>
      </w:r>
      <w:r>
        <w:rPr>
          <w:sz w:val="20"/>
        </w:rPr>
        <w:t>further</w:t>
      </w:r>
      <w:r>
        <w:rPr>
          <w:spacing w:val="-4"/>
          <w:sz w:val="20"/>
        </w:rPr>
        <w:t> </w:t>
      </w:r>
      <w:r>
        <w:rPr>
          <w:sz w:val="20"/>
        </w:rPr>
        <w:t>alternative</w:t>
      </w:r>
      <w:r>
        <w:rPr>
          <w:spacing w:val="-3"/>
          <w:sz w:val="20"/>
        </w:rPr>
        <w:t> </w:t>
      </w:r>
      <w:r>
        <w:rPr>
          <w:sz w:val="20"/>
        </w:rPr>
        <w:t>would</w:t>
      </w:r>
      <w:r>
        <w:rPr>
          <w:spacing w:val="-4"/>
          <w:sz w:val="20"/>
        </w:rPr>
        <w:t> </w:t>
      </w:r>
      <w:r>
        <w:rPr>
          <w:sz w:val="20"/>
        </w:rPr>
        <w:t>be</w:t>
      </w:r>
      <w:r>
        <w:rPr>
          <w:spacing w:val="-5"/>
          <w:sz w:val="20"/>
        </w:rPr>
        <w:t> </w:t>
      </w:r>
      <w:r>
        <w:rPr>
          <w:sz w:val="20"/>
        </w:rPr>
        <w:t>to</w:t>
      </w:r>
      <w:r>
        <w:rPr>
          <w:spacing w:val="-4"/>
          <w:sz w:val="20"/>
        </w:rPr>
        <w:t> </w:t>
      </w:r>
      <w:r>
        <w:rPr>
          <w:sz w:val="20"/>
        </w:rPr>
        <w:t>designate</w:t>
      </w:r>
      <w:r>
        <w:rPr>
          <w:spacing w:val="-4"/>
          <w:sz w:val="20"/>
        </w:rPr>
        <w:t> </w:t>
      </w:r>
      <w:r>
        <w:rPr>
          <w:sz w:val="20"/>
        </w:rPr>
        <w:t>an entity</w:t>
      </w:r>
      <w:r>
        <w:rPr>
          <w:spacing w:val="-15"/>
          <w:sz w:val="20"/>
        </w:rPr>
        <w:t> </w:t>
      </w:r>
      <w:r>
        <w:rPr>
          <w:sz w:val="20"/>
        </w:rPr>
        <w:t>(or</w:t>
      </w:r>
      <w:r>
        <w:rPr>
          <w:spacing w:val="-10"/>
          <w:sz w:val="20"/>
        </w:rPr>
        <w:t> </w:t>
      </w:r>
      <w:r>
        <w:rPr>
          <w:sz w:val="20"/>
        </w:rPr>
        <w:t>entities)</w:t>
      </w:r>
      <w:r>
        <w:rPr>
          <w:spacing w:val="-7"/>
          <w:sz w:val="20"/>
        </w:rPr>
        <w:t> </w:t>
      </w:r>
      <w:r>
        <w:rPr>
          <w:sz w:val="20"/>
        </w:rPr>
        <w:t>within</w:t>
      </w:r>
      <w:r>
        <w:rPr>
          <w:spacing w:val="-11"/>
          <w:sz w:val="20"/>
        </w:rPr>
        <w:t> </w:t>
      </w:r>
      <w:r>
        <w:rPr>
          <w:sz w:val="20"/>
        </w:rPr>
        <w:t>the</w:t>
      </w:r>
      <w:r>
        <w:rPr>
          <w:spacing w:val="-9"/>
          <w:sz w:val="20"/>
        </w:rPr>
        <w:t> </w:t>
      </w:r>
      <w:r>
        <w:rPr>
          <w:sz w:val="20"/>
        </w:rPr>
        <w:t>group</w:t>
      </w:r>
      <w:r>
        <w:rPr>
          <w:spacing w:val="-8"/>
          <w:sz w:val="20"/>
        </w:rPr>
        <w:t> </w:t>
      </w:r>
      <w:r>
        <w:rPr>
          <w:sz w:val="20"/>
        </w:rPr>
        <w:t>as</w:t>
      </w:r>
      <w:r>
        <w:rPr>
          <w:spacing w:val="-9"/>
          <w:sz w:val="20"/>
        </w:rPr>
        <w:t> </w:t>
      </w:r>
      <w:r>
        <w:rPr>
          <w:sz w:val="20"/>
        </w:rPr>
        <w:t>the</w:t>
      </w:r>
      <w:r>
        <w:rPr>
          <w:spacing w:val="-11"/>
          <w:sz w:val="20"/>
        </w:rPr>
        <w:t> </w:t>
      </w:r>
      <w:r>
        <w:rPr>
          <w:sz w:val="20"/>
        </w:rPr>
        <w:t>paying</w:t>
      </w:r>
      <w:r>
        <w:rPr>
          <w:spacing w:val="-11"/>
          <w:sz w:val="20"/>
        </w:rPr>
        <w:t> </w:t>
      </w:r>
      <w:r>
        <w:rPr>
          <w:sz w:val="20"/>
        </w:rPr>
        <w:t>entity</w:t>
      </w:r>
      <w:r>
        <w:rPr>
          <w:spacing w:val="-12"/>
          <w:sz w:val="20"/>
        </w:rPr>
        <w:t> </w:t>
      </w:r>
      <w:r>
        <w:rPr>
          <w:sz w:val="20"/>
        </w:rPr>
        <w:t>of</w:t>
      </w:r>
      <w:r>
        <w:rPr>
          <w:spacing w:val="-8"/>
          <w:sz w:val="20"/>
        </w:rPr>
        <w:t> </w:t>
      </w:r>
      <w:r>
        <w:rPr>
          <w:sz w:val="20"/>
        </w:rPr>
        <w:t>last</w:t>
      </w:r>
      <w:r>
        <w:rPr>
          <w:spacing w:val="-10"/>
          <w:sz w:val="20"/>
        </w:rPr>
        <w:t> </w:t>
      </w:r>
      <w:r>
        <w:rPr>
          <w:sz w:val="20"/>
        </w:rPr>
        <w:t>resort.</w:t>
      </w:r>
      <w:r>
        <w:rPr>
          <w:spacing w:val="-10"/>
          <w:sz w:val="20"/>
        </w:rPr>
        <w:t> </w:t>
      </w:r>
      <w:r>
        <w:rPr>
          <w:sz w:val="20"/>
        </w:rPr>
        <w:t>This</w:t>
      </w:r>
      <w:r>
        <w:rPr>
          <w:spacing w:val="-3"/>
          <w:sz w:val="20"/>
        </w:rPr>
        <w:t> </w:t>
      </w:r>
      <w:r>
        <w:rPr>
          <w:sz w:val="20"/>
        </w:rPr>
        <w:t>could</w:t>
      </w:r>
      <w:r>
        <w:rPr>
          <w:spacing w:val="-11"/>
          <w:sz w:val="20"/>
        </w:rPr>
        <w:t> </w:t>
      </w:r>
      <w:r>
        <w:rPr>
          <w:sz w:val="20"/>
        </w:rPr>
        <w:t>for</w:t>
      </w:r>
      <w:r>
        <w:rPr>
          <w:spacing w:val="-10"/>
          <w:sz w:val="20"/>
        </w:rPr>
        <w:t> </w:t>
      </w:r>
      <w:r>
        <w:rPr>
          <w:sz w:val="20"/>
        </w:rPr>
        <w:t>example</w:t>
      </w:r>
      <w:r>
        <w:rPr>
          <w:spacing w:val="-11"/>
          <w:sz w:val="20"/>
        </w:rPr>
        <w:t> </w:t>
      </w:r>
      <w:r>
        <w:rPr>
          <w:sz w:val="20"/>
        </w:rPr>
        <w:t>be</w:t>
      </w:r>
      <w:r>
        <w:rPr>
          <w:spacing w:val="-12"/>
          <w:sz w:val="20"/>
        </w:rPr>
        <w:t> </w:t>
      </w:r>
      <w:r>
        <w:rPr>
          <w:sz w:val="20"/>
        </w:rPr>
        <w:t>the</w:t>
      </w:r>
      <w:r>
        <w:rPr>
          <w:spacing w:val="-6"/>
          <w:sz w:val="20"/>
        </w:rPr>
        <w:t> </w:t>
      </w:r>
      <w:r>
        <w:rPr>
          <w:sz w:val="20"/>
        </w:rPr>
        <w:t>ultimate parent entity or an entity identified under the Global Anti-base Erosion Proposal (GloBE) as being subject to</w:t>
      </w:r>
      <w:r>
        <w:rPr>
          <w:spacing w:val="-9"/>
          <w:sz w:val="20"/>
        </w:rPr>
        <w:t> </w:t>
      </w:r>
      <w:r>
        <w:rPr>
          <w:sz w:val="20"/>
        </w:rPr>
        <w:t>below</w:t>
      </w:r>
      <w:r>
        <w:rPr>
          <w:spacing w:val="-10"/>
          <w:sz w:val="20"/>
        </w:rPr>
        <w:t> </w:t>
      </w:r>
      <w:r>
        <w:rPr>
          <w:sz w:val="20"/>
        </w:rPr>
        <w:t>an</w:t>
      </w:r>
      <w:r>
        <w:rPr>
          <w:spacing w:val="-6"/>
          <w:sz w:val="20"/>
        </w:rPr>
        <w:t> </w:t>
      </w:r>
      <w:r>
        <w:rPr>
          <w:sz w:val="20"/>
        </w:rPr>
        <w:t>agreed</w:t>
      </w:r>
      <w:r>
        <w:rPr>
          <w:spacing w:val="-8"/>
          <w:sz w:val="20"/>
        </w:rPr>
        <w:t> </w:t>
      </w:r>
      <w:r>
        <w:rPr>
          <w:sz w:val="20"/>
        </w:rPr>
        <w:t>minimum</w:t>
      </w:r>
      <w:r>
        <w:rPr>
          <w:spacing w:val="-4"/>
          <w:sz w:val="20"/>
        </w:rPr>
        <w:t> </w:t>
      </w:r>
      <w:r>
        <w:rPr>
          <w:sz w:val="20"/>
        </w:rPr>
        <w:t>level</w:t>
      </w:r>
      <w:r>
        <w:rPr>
          <w:spacing w:val="-7"/>
          <w:sz w:val="20"/>
        </w:rPr>
        <w:t> </w:t>
      </w:r>
      <w:r>
        <w:rPr>
          <w:sz w:val="20"/>
        </w:rPr>
        <w:t>of</w:t>
      </w:r>
      <w:r>
        <w:rPr>
          <w:spacing w:val="-7"/>
          <w:sz w:val="20"/>
        </w:rPr>
        <w:t> </w:t>
      </w:r>
      <w:r>
        <w:rPr>
          <w:sz w:val="20"/>
        </w:rPr>
        <w:t>taxation.</w:t>
      </w:r>
      <w:r>
        <w:rPr>
          <w:spacing w:val="-8"/>
          <w:sz w:val="20"/>
        </w:rPr>
        <w:t> </w:t>
      </w:r>
      <w:r>
        <w:rPr>
          <w:sz w:val="20"/>
        </w:rPr>
        <w:t>This</w:t>
      </w:r>
      <w:r>
        <w:rPr>
          <w:spacing w:val="-7"/>
          <w:sz w:val="20"/>
        </w:rPr>
        <w:t> </w:t>
      </w:r>
      <w:r>
        <w:rPr>
          <w:sz w:val="20"/>
        </w:rPr>
        <w:t>approach</w:t>
      </w:r>
      <w:r>
        <w:rPr>
          <w:spacing w:val="-8"/>
          <w:sz w:val="20"/>
        </w:rPr>
        <w:t> </w:t>
      </w:r>
      <w:r>
        <w:rPr>
          <w:sz w:val="20"/>
        </w:rPr>
        <w:t>could</w:t>
      </w:r>
      <w:r>
        <w:rPr>
          <w:spacing w:val="-6"/>
          <w:sz w:val="20"/>
        </w:rPr>
        <w:t> </w:t>
      </w:r>
      <w:r>
        <w:rPr>
          <w:sz w:val="20"/>
        </w:rPr>
        <w:t>also</w:t>
      </w:r>
      <w:r>
        <w:rPr>
          <w:spacing w:val="-6"/>
          <w:sz w:val="20"/>
        </w:rPr>
        <w:t> </w:t>
      </w:r>
      <w:r>
        <w:rPr>
          <w:sz w:val="20"/>
        </w:rPr>
        <w:t>be</w:t>
      </w:r>
      <w:r>
        <w:rPr>
          <w:spacing w:val="-6"/>
          <w:sz w:val="20"/>
        </w:rPr>
        <w:t> </w:t>
      </w:r>
      <w:r>
        <w:rPr>
          <w:sz w:val="20"/>
        </w:rPr>
        <w:t>used</w:t>
      </w:r>
      <w:r>
        <w:rPr>
          <w:spacing w:val="-7"/>
          <w:sz w:val="20"/>
        </w:rPr>
        <w:t> </w:t>
      </w:r>
      <w:r>
        <w:rPr>
          <w:sz w:val="20"/>
        </w:rPr>
        <w:t>to</w:t>
      </w:r>
      <w:r>
        <w:rPr>
          <w:spacing w:val="-8"/>
          <w:sz w:val="20"/>
        </w:rPr>
        <w:t> </w:t>
      </w:r>
      <w:r>
        <w:rPr>
          <w:sz w:val="20"/>
        </w:rPr>
        <w:t>identify</w:t>
      </w:r>
      <w:r>
        <w:rPr>
          <w:spacing w:val="-9"/>
          <w:sz w:val="20"/>
        </w:rPr>
        <w:t> </w:t>
      </w:r>
      <w:r>
        <w:rPr>
          <w:sz w:val="20"/>
        </w:rPr>
        <w:t>a</w:t>
      </w:r>
      <w:r>
        <w:rPr>
          <w:spacing w:val="-8"/>
          <w:sz w:val="20"/>
        </w:rPr>
        <w:t> </w:t>
      </w:r>
      <w:r>
        <w:rPr>
          <w:sz w:val="20"/>
        </w:rPr>
        <w:t>paying</w:t>
      </w:r>
      <w:r>
        <w:rPr>
          <w:spacing w:val="-8"/>
          <w:sz w:val="20"/>
        </w:rPr>
        <w:t> </w:t>
      </w:r>
      <w:r>
        <w:rPr>
          <w:sz w:val="20"/>
        </w:rPr>
        <w:t>entity in</w:t>
      </w:r>
      <w:r>
        <w:rPr>
          <w:spacing w:val="-8"/>
          <w:sz w:val="20"/>
        </w:rPr>
        <w:t> </w:t>
      </w:r>
      <w:r>
        <w:rPr>
          <w:sz w:val="20"/>
        </w:rPr>
        <w:t>the</w:t>
      </w:r>
      <w:r>
        <w:rPr>
          <w:spacing w:val="-7"/>
          <w:sz w:val="20"/>
        </w:rPr>
        <w:t> </w:t>
      </w:r>
      <w:r>
        <w:rPr>
          <w:sz w:val="20"/>
        </w:rPr>
        <w:t>unlikely</w:t>
      </w:r>
      <w:r>
        <w:rPr>
          <w:spacing w:val="-10"/>
          <w:sz w:val="20"/>
        </w:rPr>
        <w:t> </w:t>
      </w:r>
      <w:r>
        <w:rPr>
          <w:sz w:val="20"/>
        </w:rPr>
        <w:t>event</w:t>
      </w:r>
      <w:r>
        <w:rPr>
          <w:spacing w:val="-7"/>
          <w:sz w:val="20"/>
        </w:rPr>
        <w:t> </w:t>
      </w:r>
      <w:r>
        <w:rPr>
          <w:sz w:val="20"/>
        </w:rPr>
        <w:t>that</w:t>
      </w:r>
      <w:r>
        <w:rPr>
          <w:spacing w:val="-3"/>
          <w:sz w:val="20"/>
        </w:rPr>
        <w:t> </w:t>
      </w:r>
      <w:r>
        <w:rPr>
          <w:sz w:val="20"/>
        </w:rPr>
        <w:t>no</w:t>
      </w:r>
      <w:r>
        <w:rPr>
          <w:spacing w:val="-5"/>
          <w:sz w:val="20"/>
        </w:rPr>
        <w:t> </w:t>
      </w:r>
      <w:r>
        <w:rPr>
          <w:sz w:val="20"/>
        </w:rPr>
        <w:t>potential</w:t>
      </w:r>
      <w:r>
        <w:rPr>
          <w:spacing w:val="-6"/>
          <w:sz w:val="20"/>
        </w:rPr>
        <w:t> </w:t>
      </w:r>
      <w:r>
        <w:rPr>
          <w:sz w:val="20"/>
        </w:rPr>
        <w:t>paying</w:t>
      </w:r>
      <w:r>
        <w:rPr>
          <w:spacing w:val="-7"/>
          <w:sz w:val="20"/>
        </w:rPr>
        <w:t> </w:t>
      </w:r>
      <w:r>
        <w:rPr>
          <w:sz w:val="20"/>
        </w:rPr>
        <w:t>entities</w:t>
      </w:r>
      <w:r>
        <w:rPr>
          <w:spacing w:val="-4"/>
          <w:sz w:val="20"/>
        </w:rPr>
        <w:t> </w:t>
      </w:r>
      <w:r>
        <w:rPr>
          <w:sz w:val="20"/>
        </w:rPr>
        <w:t>were</w:t>
      </w:r>
      <w:r>
        <w:rPr>
          <w:spacing w:val="-7"/>
          <w:sz w:val="20"/>
        </w:rPr>
        <w:t> </w:t>
      </w:r>
      <w:r>
        <w:rPr>
          <w:sz w:val="20"/>
        </w:rPr>
        <w:t>identified</w:t>
      </w:r>
      <w:r>
        <w:rPr>
          <w:spacing w:val="-7"/>
          <w:sz w:val="20"/>
        </w:rPr>
        <w:t> </w:t>
      </w:r>
      <w:r>
        <w:rPr>
          <w:sz w:val="20"/>
        </w:rPr>
        <w:t>following</w:t>
      </w:r>
      <w:r>
        <w:rPr>
          <w:spacing w:val="-5"/>
          <w:sz w:val="20"/>
        </w:rPr>
        <w:t> </w:t>
      </w:r>
      <w:r>
        <w:rPr>
          <w:sz w:val="20"/>
        </w:rPr>
        <w:t>the</w:t>
      </w:r>
      <w:r>
        <w:rPr>
          <w:spacing w:val="-5"/>
          <w:sz w:val="20"/>
        </w:rPr>
        <w:t> </w:t>
      </w:r>
      <w:r>
        <w:rPr>
          <w:sz w:val="20"/>
        </w:rPr>
        <w:t>application</w:t>
      </w:r>
      <w:r>
        <w:rPr>
          <w:spacing w:val="-5"/>
          <w:sz w:val="20"/>
        </w:rPr>
        <w:t> </w:t>
      </w:r>
      <w:r>
        <w:rPr>
          <w:sz w:val="20"/>
        </w:rPr>
        <w:t>of</w:t>
      </w:r>
      <w:r>
        <w:rPr>
          <w:spacing w:val="-6"/>
          <w:sz w:val="20"/>
        </w:rPr>
        <w:t> </w:t>
      </w:r>
      <w:r>
        <w:rPr>
          <w:sz w:val="20"/>
        </w:rPr>
        <w:t>Step</w:t>
      </w:r>
      <w:r>
        <w:rPr>
          <w:spacing w:val="-4"/>
          <w:sz w:val="20"/>
        </w:rPr>
        <w:t> </w:t>
      </w:r>
      <w:r>
        <w:rPr>
          <w:sz w:val="20"/>
        </w:rPr>
        <w:t>1</w:t>
      </w:r>
      <w:r>
        <w:rPr>
          <w:spacing w:val="-7"/>
          <w:sz w:val="20"/>
        </w:rPr>
        <w:t> </w:t>
      </w:r>
      <w:r>
        <w:rPr>
          <w:sz w:val="20"/>
        </w:rPr>
        <w:t>and Step 2 (outlined above). Alternatively, consideration could be given to the design of the steps before the pro-rata allocation which ensures that identified entities always have sufficient profits to bear the Amount A tax liability. If the development of such process is achieved, back-stop rules would not be</w:t>
      </w:r>
      <w:r>
        <w:rPr>
          <w:spacing w:val="-34"/>
          <w:sz w:val="20"/>
        </w:rPr>
        <w:t> </w:t>
      </w:r>
      <w:r>
        <w:rPr>
          <w:sz w:val="20"/>
        </w:rPr>
        <w:t>needed.</w:t>
      </w:r>
    </w:p>
    <w:p>
      <w:pPr>
        <w:pStyle w:val="BodyText"/>
        <w:spacing w:before="8"/>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2.6. Other issues" w:id="351"/>
      <w:bookmarkEnd w:id="351"/>
      <w:r>
        <w:rPr>
          <w:b w:val="0"/>
          <w:i w:val="0"/>
        </w:rPr>
      </w:r>
      <w:bookmarkStart w:name="7.2.6. Other issues" w:id="352"/>
      <w:bookmarkEnd w:id="352"/>
      <w:r>
        <w:rPr>
          <w:i/>
        </w:rPr>
        <w:t>Oth</w:t>
      </w:r>
      <w:r>
        <w:rPr>
          <w:i/>
        </w:rPr>
        <w:t>er</w:t>
      </w:r>
      <w:r>
        <w:rPr>
          <w:i/>
          <w:spacing w:val="-2"/>
        </w:rPr>
        <w:t> </w:t>
      </w:r>
      <w:r>
        <w:rPr>
          <w:i/>
        </w:rPr>
        <w:t>issues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Discussions in the Inclusive Framework are ongoing on various other issues notably transfer pricing adjustments and entity-level losses. These discussions reflect some of the challenges that arise from integrating the new Amount A tax right into the existing tax</w:t>
      </w:r>
      <w:r>
        <w:rPr>
          <w:spacing w:val="-8"/>
          <w:sz w:val="20"/>
        </w:rPr>
        <w:t> </w:t>
      </w:r>
      <w:r>
        <w:rPr>
          <w:sz w:val="20"/>
        </w:rPr>
        <w:t>system.</w:t>
      </w:r>
    </w:p>
    <w:p>
      <w:pPr>
        <w:pStyle w:val="BodyText"/>
        <w:spacing w:before="1"/>
      </w:pPr>
    </w:p>
    <w:p>
      <w:pPr>
        <w:pStyle w:val="Heading7"/>
        <w:spacing w:before="1"/>
        <w:rPr>
          <w:i/>
        </w:rPr>
      </w:pPr>
      <w:bookmarkStart w:name="Transfer pricing adjustments" w:id="353"/>
      <w:bookmarkEnd w:id="353"/>
      <w:r>
        <w:rPr>
          <w:i w:val="0"/>
        </w:rPr>
      </w:r>
      <w:r>
        <w:rPr>
          <w:i/>
          <w:color w:val="616161"/>
        </w:rPr>
        <w:t>Transfer pricing adjustments</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4" w:firstLine="0"/>
        <w:jc w:val="both"/>
        <w:rPr>
          <w:sz w:val="20"/>
        </w:rPr>
      </w:pPr>
      <w:r>
        <w:rPr>
          <w:sz w:val="20"/>
        </w:rPr>
        <w:t>Tax administrations can make transfer pricing adjustments to increase the profits allocated to an entity to reflect the profits that would have been earned at arm’s length. Typically, it can take tax administrations three to five years to make transfer pricing adjustments, due to the detailed audit work required</w:t>
      </w:r>
      <w:r>
        <w:rPr>
          <w:spacing w:val="-18"/>
          <w:sz w:val="20"/>
        </w:rPr>
        <w:t> </w:t>
      </w:r>
      <w:r>
        <w:rPr>
          <w:sz w:val="20"/>
        </w:rPr>
        <w:t>to</w:t>
      </w:r>
      <w:r>
        <w:rPr>
          <w:spacing w:val="-18"/>
          <w:sz w:val="20"/>
        </w:rPr>
        <w:t> </w:t>
      </w:r>
      <w:r>
        <w:rPr>
          <w:sz w:val="20"/>
        </w:rPr>
        <w:t>make</w:t>
      </w:r>
      <w:r>
        <w:rPr>
          <w:spacing w:val="-18"/>
          <w:sz w:val="20"/>
        </w:rPr>
        <w:t> </w:t>
      </w:r>
      <w:r>
        <w:rPr>
          <w:sz w:val="20"/>
        </w:rPr>
        <w:t>an</w:t>
      </w:r>
      <w:r>
        <w:rPr>
          <w:spacing w:val="-18"/>
          <w:sz w:val="20"/>
        </w:rPr>
        <w:t> </w:t>
      </w:r>
      <w:r>
        <w:rPr>
          <w:sz w:val="20"/>
        </w:rPr>
        <w:t>adjustment.</w:t>
      </w:r>
      <w:r>
        <w:rPr>
          <w:spacing w:val="-21"/>
          <w:sz w:val="20"/>
        </w:rPr>
        <w:t> </w:t>
      </w:r>
      <w:r>
        <w:rPr>
          <w:sz w:val="20"/>
        </w:rPr>
        <w:t>When</w:t>
      </w:r>
      <w:r>
        <w:rPr>
          <w:spacing w:val="-18"/>
          <w:sz w:val="20"/>
        </w:rPr>
        <w:t> </w:t>
      </w:r>
      <w:r>
        <w:rPr>
          <w:sz w:val="20"/>
        </w:rPr>
        <w:t>a</w:t>
      </w:r>
      <w:r>
        <w:rPr>
          <w:spacing w:val="-18"/>
          <w:sz w:val="20"/>
        </w:rPr>
        <w:t> </w:t>
      </w:r>
      <w:r>
        <w:rPr>
          <w:sz w:val="20"/>
        </w:rPr>
        <w:t>tax</w:t>
      </w:r>
      <w:r>
        <w:rPr>
          <w:spacing w:val="-14"/>
          <w:sz w:val="20"/>
        </w:rPr>
        <w:t> </w:t>
      </w:r>
      <w:r>
        <w:rPr>
          <w:sz w:val="20"/>
        </w:rPr>
        <w:t>administration</w:t>
      </w:r>
      <w:r>
        <w:rPr>
          <w:spacing w:val="-18"/>
          <w:sz w:val="20"/>
        </w:rPr>
        <w:t> </w:t>
      </w:r>
      <w:r>
        <w:rPr>
          <w:sz w:val="20"/>
        </w:rPr>
        <w:t>makes</w:t>
      </w:r>
      <w:r>
        <w:rPr>
          <w:spacing w:val="-17"/>
          <w:sz w:val="20"/>
        </w:rPr>
        <w:t> </w:t>
      </w:r>
      <w:r>
        <w:rPr>
          <w:sz w:val="20"/>
        </w:rPr>
        <w:t>a</w:t>
      </w:r>
      <w:r>
        <w:rPr>
          <w:spacing w:val="-18"/>
          <w:sz w:val="20"/>
        </w:rPr>
        <w:t> </w:t>
      </w:r>
      <w:r>
        <w:rPr>
          <w:sz w:val="20"/>
        </w:rPr>
        <w:t>transfer</w:t>
      </w:r>
      <w:r>
        <w:rPr>
          <w:spacing w:val="-17"/>
          <w:sz w:val="20"/>
        </w:rPr>
        <w:t> </w:t>
      </w:r>
      <w:r>
        <w:rPr>
          <w:sz w:val="20"/>
        </w:rPr>
        <w:t>pricing</w:t>
      </w:r>
      <w:r>
        <w:rPr>
          <w:spacing w:val="-17"/>
          <w:sz w:val="20"/>
        </w:rPr>
        <w:t> </w:t>
      </w:r>
      <w:r>
        <w:rPr>
          <w:sz w:val="20"/>
        </w:rPr>
        <w:t>adjustment,</w:t>
      </w:r>
      <w:r>
        <w:rPr>
          <w:spacing w:val="-18"/>
          <w:sz w:val="20"/>
        </w:rPr>
        <w:t> </w:t>
      </w:r>
      <w:r>
        <w:rPr>
          <w:sz w:val="20"/>
        </w:rPr>
        <w:t>a</w:t>
      </w:r>
      <w:r>
        <w:rPr>
          <w:spacing w:val="-18"/>
          <w:sz w:val="20"/>
        </w:rPr>
        <w:t> </w:t>
      </w:r>
      <w:r>
        <w:rPr>
          <w:sz w:val="20"/>
        </w:rPr>
        <w:t>taxpayer can request, through the MAP, that a corresponding adjustment is made to reduce the taxable profits of the counterparty entity in another jurisdiction. The MAP process can again take a number of years to complete. This means there may be situations where a paying entity has its profits reduced through a corresponding adjustment. This may reduce its capacity to bear the Amount A tax liability (as determined under</w:t>
      </w:r>
      <w:r>
        <w:rPr>
          <w:spacing w:val="-6"/>
          <w:sz w:val="20"/>
        </w:rPr>
        <w:t> </w:t>
      </w:r>
      <w:r>
        <w:rPr>
          <w:sz w:val="20"/>
        </w:rPr>
        <w:t>Step</w:t>
      </w:r>
      <w:r>
        <w:rPr>
          <w:spacing w:val="-6"/>
          <w:sz w:val="20"/>
        </w:rPr>
        <w:t> </w:t>
      </w:r>
      <w:r>
        <w:rPr>
          <w:sz w:val="20"/>
        </w:rPr>
        <w:t>3</w:t>
      </w:r>
      <w:r>
        <w:rPr>
          <w:spacing w:val="-8"/>
          <w:sz w:val="20"/>
        </w:rPr>
        <w:t> </w:t>
      </w:r>
      <w:r>
        <w:rPr>
          <w:sz w:val="20"/>
        </w:rPr>
        <w:t>or</w:t>
      </w:r>
      <w:r>
        <w:rPr>
          <w:spacing w:val="-5"/>
          <w:sz w:val="20"/>
        </w:rPr>
        <w:t> </w:t>
      </w:r>
      <w:r>
        <w:rPr>
          <w:sz w:val="20"/>
        </w:rPr>
        <w:t>4),</w:t>
      </w:r>
      <w:r>
        <w:rPr>
          <w:spacing w:val="-7"/>
          <w:sz w:val="20"/>
        </w:rPr>
        <w:t> </w:t>
      </w:r>
      <w:r>
        <w:rPr>
          <w:sz w:val="20"/>
        </w:rPr>
        <w:t>or,</w:t>
      </w:r>
      <w:r>
        <w:rPr>
          <w:spacing w:val="-6"/>
          <w:sz w:val="20"/>
        </w:rPr>
        <w:t> </w:t>
      </w:r>
      <w:r>
        <w:rPr>
          <w:sz w:val="20"/>
        </w:rPr>
        <w:t>in</w:t>
      </w:r>
      <w:r>
        <w:rPr>
          <w:spacing w:val="-6"/>
          <w:sz w:val="20"/>
        </w:rPr>
        <w:t> </w:t>
      </w:r>
      <w:r>
        <w:rPr>
          <w:sz w:val="20"/>
        </w:rPr>
        <w:t>extreme</w:t>
      </w:r>
      <w:r>
        <w:rPr>
          <w:spacing w:val="-8"/>
          <w:sz w:val="20"/>
        </w:rPr>
        <w:t> </w:t>
      </w:r>
      <w:r>
        <w:rPr>
          <w:sz w:val="20"/>
        </w:rPr>
        <w:t>cases,</w:t>
      </w:r>
      <w:r>
        <w:rPr>
          <w:spacing w:val="-10"/>
          <w:sz w:val="20"/>
        </w:rPr>
        <w:t> </w:t>
      </w:r>
      <w:r>
        <w:rPr>
          <w:sz w:val="20"/>
        </w:rPr>
        <w:t>may</w:t>
      </w:r>
      <w:r>
        <w:rPr>
          <w:spacing w:val="-14"/>
          <w:sz w:val="20"/>
        </w:rPr>
        <w:t> </w:t>
      </w:r>
      <w:r>
        <w:rPr>
          <w:sz w:val="20"/>
        </w:rPr>
        <w:t>mean</w:t>
      </w:r>
      <w:r>
        <w:rPr>
          <w:spacing w:val="-6"/>
          <w:sz w:val="20"/>
        </w:rPr>
        <w:t> </w:t>
      </w:r>
      <w:r>
        <w:rPr>
          <w:sz w:val="20"/>
        </w:rPr>
        <w:t>it</w:t>
      </w:r>
      <w:r>
        <w:rPr>
          <w:spacing w:val="-8"/>
          <w:sz w:val="20"/>
        </w:rPr>
        <w:t> </w:t>
      </w:r>
      <w:r>
        <w:rPr>
          <w:sz w:val="20"/>
        </w:rPr>
        <w:t>no</w:t>
      </w:r>
      <w:r>
        <w:rPr>
          <w:spacing w:val="-8"/>
          <w:sz w:val="20"/>
        </w:rPr>
        <w:t> </w:t>
      </w:r>
      <w:r>
        <w:rPr>
          <w:sz w:val="20"/>
        </w:rPr>
        <w:t>longer</w:t>
      </w:r>
      <w:r>
        <w:rPr>
          <w:spacing w:val="-7"/>
          <w:sz w:val="20"/>
        </w:rPr>
        <w:t> </w:t>
      </w:r>
      <w:r>
        <w:rPr>
          <w:sz w:val="20"/>
        </w:rPr>
        <w:t>satisfies</w:t>
      </w:r>
      <w:r>
        <w:rPr>
          <w:spacing w:val="-7"/>
          <w:sz w:val="20"/>
        </w:rPr>
        <w:t> </w:t>
      </w:r>
      <w:r>
        <w:rPr>
          <w:sz w:val="20"/>
        </w:rPr>
        <w:t>the</w:t>
      </w:r>
      <w:r>
        <w:rPr>
          <w:spacing w:val="-9"/>
          <w:sz w:val="20"/>
        </w:rPr>
        <w:t> </w:t>
      </w:r>
      <w:r>
        <w:rPr>
          <w:sz w:val="20"/>
        </w:rPr>
        <w:t>conditions</w:t>
      </w:r>
      <w:r>
        <w:rPr>
          <w:spacing w:val="-7"/>
          <w:sz w:val="20"/>
        </w:rPr>
        <w:t> </w:t>
      </w:r>
      <w:r>
        <w:rPr>
          <w:sz w:val="20"/>
        </w:rPr>
        <w:t>required</w:t>
      </w:r>
      <w:r>
        <w:rPr>
          <w:spacing w:val="-6"/>
          <w:sz w:val="20"/>
        </w:rPr>
        <w:t> </w:t>
      </w:r>
      <w:r>
        <w:rPr>
          <w:sz w:val="20"/>
        </w:rPr>
        <w:t>to</w:t>
      </w:r>
      <w:r>
        <w:rPr>
          <w:spacing w:val="-6"/>
          <w:sz w:val="20"/>
        </w:rPr>
        <w:t> </w:t>
      </w:r>
      <w:r>
        <w:rPr>
          <w:sz w:val="20"/>
        </w:rPr>
        <w:t>identify</w:t>
      </w:r>
    </w:p>
    <w:p>
      <w:pPr>
        <w:spacing w:after="0" w:line="271" w:lineRule="auto"/>
        <w:jc w:val="both"/>
        <w:rPr>
          <w:sz w:val="20"/>
        </w:rPr>
        <w:sectPr>
          <w:pgSz w:w="11910" w:h="16840"/>
          <w:pgMar w:header="1244" w:footer="1638" w:top="1500" w:bottom="1820" w:left="580" w:right="820"/>
        </w:sectPr>
      </w:pPr>
    </w:p>
    <w:p>
      <w:pPr>
        <w:pStyle w:val="BodyText"/>
        <w:spacing w:before="10"/>
        <w:rPr>
          <w:sz w:val="17"/>
        </w:rPr>
      </w:pPr>
    </w:p>
    <w:p>
      <w:pPr>
        <w:pStyle w:val="BodyText"/>
        <w:spacing w:line="273" w:lineRule="auto" w:before="118"/>
        <w:ind w:left="723" w:right="492"/>
        <w:jc w:val="both"/>
      </w:pPr>
      <w:r>
        <w:rPr/>
        <w:t>it</w:t>
      </w:r>
      <w:r>
        <w:rPr>
          <w:spacing w:val="-5"/>
        </w:rPr>
        <w:t> </w:t>
      </w:r>
      <w:r>
        <w:rPr/>
        <w:t>as</w:t>
      </w:r>
      <w:r>
        <w:rPr>
          <w:spacing w:val="-5"/>
        </w:rPr>
        <w:t> </w:t>
      </w:r>
      <w:r>
        <w:rPr/>
        <w:t>a</w:t>
      </w:r>
      <w:r>
        <w:rPr>
          <w:spacing w:val="-3"/>
        </w:rPr>
        <w:t> </w:t>
      </w:r>
      <w:r>
        <w:rPr/>
        <w:t>paying</w:t>
      </w:r>
      <w:r>
        <w:rPr>
          <w:spacing w:val="-3"/>
        </w:rPr>
        <w:t> </w:t>
      </w:r>
      <w:r>
        <w:rPr/>
        <w:t>entity.</w:t>
      </w:r>
      <w:r>
        <w:rPr>
          <w:spacing w:val="-16"/>
        </w:rPr>
        <w:t> </w:t>
      </w:r>
      <w:r>
        <w:rPr>
          <w:vertAlign w:val="superscript"/>
        </w:rPr>
        <w:t>120</w:t>
      </w:r>
      <w:r>
        <w:rPr>
          <w:spacing w:val="-5"/>
          <w:vertAlign w:val="baseline"/>
        </w:rPr>
        <w:t> </w:t>
      </w:r>
      <w:r>
        <w:rPr>
          <w:vertAlign w:val="baseline"/>
        </w:rPr>
        <w:t>Transfer</w:t>
      </w:r>
      <w:r>
        <w:rPr>
          <w:spacing w:val="-5"/>
          <w:vertAlign w:val="baseline"/>
        </w:rPr>
        <w:t> </w:t>
      </w:r>
      <w:r>
        <w:rPr>
          <w:vertAlign w:val="baseline"/>
        </w:rPr>
        <w:t>pricing</w:t>
      </w:r>
      <w:r>
        <w:rPr>
          <w:spacing w:val="-6"/>
          <w:vertAlign w:val="baseline"/>
        </w:rPr>
        <w:t> </w:t>
      </w:r>
      <w:r>
        <w:rPr>
          <w:vertAlign w:val="baseline"/>
        </w:rPr>
        <w:t>audits</w:t>
      </w:r>
      <w:r>
        <w:rPr>
          <w:spacing w:val="-3"/>
          <w:vertAlign w:val="baseline"/>
        </w:rPr>
        <w:t> </w:t>
      </w:r>
      <w:r>
        <w:rPr>
          <w:vertAlign w:val="baseline"/>
        </w:rPr>
        <w:t>may</w:t>
      </w:r>
      <w:r>
        <w:rPr>
          <w:spacing w:val="-11"/>
          <w:vertAlign w:val="baseline"/>
        </w:rPr>
        <w:t> </w:t>
      </w:r>
      <w:r>
        <w:rPr>
          <w:vertAlign w:val="baseline"/>
        </w:rPr>
        <w:t>also</w:t>
      </w:r>
      <w:r>
        <w:rPr>
          <w:spacing w:val="-3"/>
          <w:vertAlign w:val="baseline"/>
        </w:rPr>
        <w:t> </w:t>
      </w:r>
      <w:r>
        <w:rPr>
          <w:vertAlign w:val="baseline"/>
        </w:rPr>
        <w:t>lead</w:t>
      </w:r>
      <w:r>
        <w:rPr>
          <w:spacing w:val="-5"/>
          <w:vertAlign w:val="baseline"/>
        </w:rPr>
        <w:t> </w:t>
      </w:r>
      <w:r>
        <w:rPr>
          <w:vertAlign w:val="baseline"/>
        </w:rPr>
        <w:t>to</w:t>
      </w:r>
      <w:r>
        <w:rPr>
          <w:spacing w:val="-6"/>
          <w:vertAlign w:val="baseline"/>
        </w:rPr>
        <w:t> </w:t>
      </w:r>
      <w:r>
        <w:rPr>
          <w:vertAlign w:val="baseline"/>
        </w:rPr>
        <w:t>a</w:t>
      </w:r>
      <w:r>
        <w:rPr>
          <w:spacing w:val="-5"/>
          <w:vertAlign w:val="baseline"/>
        </w:rPr>
        <w:t> </w:t>
      </w:r>
      <w:r>
        <w:rPr>
          <w:vertAlign w:val="baseline"/>
        </w:rPr>
        <w:t>reassessment</w:t>
      </w:r>
      <w:r>
        <w:rPr>
          <w:spacing w:val="-5"/>
          <w:vertAlign w:val="baseline"/>
        </w:rPr>
        <w:t> </w:t>
      </w:r>
      <w:r>
        <w:rPr>
          <w:vertAlign w:val="baseline"/>
        </w:rPr>
        <w:t>of</w:t>
      </w:r>
      <w:r>
        <w:rPr>
          <w:spacing w:val="-4"/>
          <w:vertAlign w:val="baseline"/>
        </w:rPr>
        <w:t> </w:t>
      </w:r>
      <w:r>
        <w:rPr>
          <w:vertAlign w:val="baseline"/>
        </w:rPr>
        <w:t>an</w:t>
      </w:r>
      <w:r>
        <w:rPr>
          <w:spacing w:val="-6"/>
          <w:vertAlign w:val="baseline"/>
        </w:rPr>
        <w:t> </w:t>
      </w:r>
      <w:r>
        <w:rPr>
          <w:vertAlign w:val="baseline"/>
        </w:rPr>
        <w:t>entity’s</w:t>
      </w:r>
      <w:r>
        <w:rPr>
          <w:spacing w:val="-3"/>
          <w:vertAlign w:val="baseline"/>
        </w:rPr>
        <w:t> </w:t>
      </w:r>
      <w:r>
        <w:rPr>
          <w:vertAlign w:val="baseline"/>
        </w:rPr>
        <w:t>FAR</w:t>
      </w:r>
      <w:r>
        <w:rPr>
          <w:spacing w:val="-5"/>
          <w:vertAlign w:val="baseline"/>
        </w:rPr>
        <w:t> </w:t>
      </w:r>
      <w:r>
        <w:rPr>
          <w:vertAlign w:val="baseline"/>
        </w:rPr>
        <w:t>profile, its characterisation for transfer pricing purposes and the transfer pricing method used to determine its arm’s length profits, which may have an impact on whether the entity has been correctly identified (or not identified) as a paying</w:t>
      </w:r>
      <w:r>
        <w:rPr>
          <w:spacing w:val="-2"/>
          <w:vertAlign w:val="baseline"/>
        </w:rPr>
        <w:t> </w:t>
      </w:r>
      <w:r>
        <w:rPr>
          <w:vertAlign w:val="baseline"/>
        </w:rPr>
        <w:t>entity.</w:t>
      </w:r>
    </w:p>
    <w:p>
      <w:pPr>
        <w:pStyle w:val="ListParagraph"/>
        <w:numPr>
          <w:ilvl w:val="0"/>
          <w:numId w:val="13"/>
        </w:numPr>
        <w:tabs>
          <w:tab w:pos="1444" w:val="left" w:leader="none"/>
        </w:tabs>
        <w:spacing w:line="271" w:lineRule="auto" w:before="115" w:after="0"/>
        <w:ind w:left="723" w:right="481" w:firstLine="0"/>
        <w:jc w:val="both"/>
        <w:rPr>
          <w:sz w:val="20"/>
        </w:rPr>
      </w:pPr>
      <w:r>
        <w:rPr>
          <w:sz w:val="20"/>
        </w:rPr>
        <w:t>In many instances, reductions to an entity’s profits as a result of a corresponding adjustment will be</w:t>
      </w:r>
      <w:r>
        <w:rPr>
          <w:spacing w:val="-17"/>
          <w:sz w:val="20"/>
        </w:rPr>
        <w:t> </w:t>
      </w:r>
      <w:r>
        <w:rPr>
          <w:sz w:val="20"/>
        </w:rPr>
        <w:t>small</w:t>
      </w:r>
      <w:r>
        <w:rPr>
          <w:spacing w:val="-16"/>
          <w:sz w:val="20"/>
        </w:rPr>
        <w:t> </w:t>
      </w:r>
      <w:r>
        <w:rPr>
          <w:sz w:val="20"/>
        </w:rPr>
        <w:t>in</w:t>
      </w:r>
      <w:r>
        <w:rPr>
          <w:spacing w:val="-15"/>
          <w:sz w:val="20"/>
        </w:rPr>
        <w:t> </w:t>
      </w:r>
      <w:r>
        <w:rPr>
          <w:sz w:val="20"/>
        </w:rPr>
        <w:t>relative</w:t>
      </w:r>
      <w:r>
        <w:rPr>
          <w:spacing w:val="-16"/>
          <w:sz w:val="20"/>
        </w:rPr>
        <w:t> </w:t>
      </w:r>
      <w:r>
        <w:rPr>
          <w:sz w:val="20"/>
        </w:rPr>
        <w:t>terms,</w:t>
      </w:r>
      <w:r>
        <w:rPr>
          <w:spacing w:val="-15"/>
          <w:sz w:val="20"/>
        </w:rPr>
        <w:t> </w:t>
      </w:r>
      <w:r>
        <w:rPr>
          <w:sz w:val="20"/>
        </w:rPr>
        <w:t>and</w:t>
      </w:r>
      <w:r>
        <w:rPr>
          <w:spacing w:val="-16"/>
          <w:sz w:val="20"/>
        </w:rPr>
        <w:t> </w:t>
      </w:r>
      <w:r>
        <w:rPr>
          <w:sz w:val="20"/>
        </w:rPr>
        <w:t>it</w:t>
      </w:r>
      <w:r>
        <w:rPr>
          <w:spacing w:val="-14"/>
          <w:sz w:val="20"/>
        </w:rPr>
        <w:t> </w:t>
      </w:r>
      <w:r>
        <w:rPr>
          <w:sz w:val="20"/>
        </w:rPr>
        <w:t>will</w:t>
      </w:r>
      <w:r>
        <w:rPr>
          <w:spacing w:val="-16"/>
          <w:sz w:val="20"/>
        </w:rPr>
        <w:t> </w:t>
      </w:r>
      <w:r>
        <w:rPr>
          <w:sz w:val="20"/>
        </w:rPr>
        <w:t>not</w:t>
      </w:r>
      <w:r>
        <w:rPr>
          <w:spacing w:val="-15"/>
          <w:sz w:val="20"/>
        </w:rPr>
        <w:t> </w:t>
      </w:r>
      <w:r>
        <w:rPr>
          <w:sz w:val="20"/>
        </w:rPr>
        <w:t>be</w:t>
      </w:r>
      <w:r>
        <w:rPr>
          <w:spacing w:val="-17"/>
          <w:sz w:val="20"/>
        </w:rPr>
        <w:t> </w:t>
      </w:r>
      <w:r>
        <w:rPr>
          <w:sz w:val="20"/>
        </w:rPr>
        <w:t>necessary</w:t>
      </w:r>
      <w:r>
        <w:rPr>
          <w:spacing w:val="-18"/>
          <w:sz w:val="20"/>
        </w:rPr>
        <w:t> </w:t>
      </w:r>
      <w:r>
        <w:rPr>
          <w:sz w:val="20"/>
        </w:rPr>
        <w:t>to</w:t>
      </w:r>
      <w:r>
        <w:rPr>
          <w:spacing w:val="-13"/>
          <w:sz w:val="20"/>
        </w:rPr>
        <w:t> </w:t>
      </w:r>
      <w:r>
        <w:rPr>
          <w:sz w:val="20"/>
        </w:rPr>
        <w:t>take</w:t>
      </w:r>
      <w:r>
        <w:rPr>
          <w:spacing w:val="-16"/>
          <w:sz w:val="20"/>
        </w:rPr>
        <w:t> </w:t>
      </w:r>
      <w:r>
        <w:rPr>
          <w:sz w:val="20"/>
        </w:rPr>
        <w:t>account</w:t>
      </w:r>
      <w:r>
        <w:rPr>
          <w:spacing w:val="-15"/>
          <w:sz w:val="20"/>
        </w:rPr>
        <w:t> </w:t>
      </w:r>
      <w:r>
        <w:rPr>
          <w:sz w:val="20"/>
        </w:rPr>
        <w:t>of</w:t>
      </w:r>
      <w:r>
        <w:rPr>
          <w:spacing w:val="-13"/>
          <w:sz w:val="20"/>
        </w:rPr>
        <w:t> </w:t>
      </w:r>
      <w:r>
        <w:rPr>
          <w:sz w:val="20"/>
        </w:rPr>
        <w:t>these</w:t>
      </w:r>
      <w:r>
        <w:rPr>
          <w:spacing w:val="-16"/>
          <w:sz w:val="20"/>
        </w:rPr>
        <w:t> </w:t>
      </w:r>
      <w:r>
        <w:rPr>
          <w:sz w:val="20"/>
        </w:rPr>
        <w:t>adjustments</w:t>
      </w:r>
      <w:r>
        <w:rPr>
          <w:spacing w:val="-16"/>
          <w:sz w:val="20"/>
        </w:rPr>
        <w:t> </w:t>
      </w:r>
      <w:r>
        <w:rPr>
          <w:sz w:val="20"/>
        </w:rPr>
        <w:t>for</w:t>
      </w:r>
      <w:r>
        <w:rPr>
          <w:spacing w:val="-15"/>
          <w:sz w:val="20"/>
        </w:rPr>
        <w:t> </w:t>
      </w:r>
      <w:r>
        <w:rPr>
          <w:sz w:val="20"/>
        </w:rPr>
        <w:t>the</w:t>
      </w:r>
      <w:r>
        <w:rPr>
          <w:spacing w:val="-16"/>
          <w:sz w:val="20"/>
        </w:rPr>
        <w:t> </w:t>
      </w:r>
      <w:r>
        <w:rPr>
          <w:sz w:val="20"/>
        </w:rPr>
        <w:t>purposes of Amount A. In addition, as part of the Amount A tax certainty process, the Inclusive Framework is considering how existing compliance processes could be used to reduce the likelihood of transfer pricing adjustments being made that have a significant impact on the identification of the paying entity </w:t>
      </w:r>
      <w:r>
        <w:rPr>
          <w:spacing w:val="2"/>
          <w:sz w:val="20"/>
        </w:rPr>
        <w:t>(see </w:t>
      </w:r>
      <w:r>
        <w:rPr>
          <w:sz w:val="20"/>
        </w:rPr>
        <w:t>Chapter </w:t>
      </w:r>
      <w:hyperlink w:history="true" w:anchor="_bookmark66">
        <w:r>
          <w:rPr>
            <w:sz w:val="20"/>
          </w:rPr>
          <w:t>9.</w:t>
        </w:r>
      </w:hyperlink>
      <w:r>
        <w:rPr>
          <w:sz w:val="20"/>
        </w:rPr>
        <w:t> ). However, where these adjustments are “material”, the mechanism to eliminate double taxation under Amount A will take this into account. It would be very challenging to make retrospective changes to the elimination of double taxation arising from Amount A, because this would require the reopening of the tax certainty process and the reassessment of the application of Amount A. However, it may</w:t>
      </w:r>
      <w:r>
        <w:rPr>
          <w:spacing w:val="-21"/>
          <w:sz w:val="20"/>
        </w:rPr>
        <w:t> </w:t>
      </w:r>
      <w:r>
        <w:rPr>
          <w:sz w:val="20"/>
        </w:rPr>
        <w:t>be</w:t>
      </w:r>
      <w:r>
        <w:rPr>
          <w:spacing w:val="-18"/>
          <w:sz w:val="20"/>
        </w:rPr>
        <w:t> </w:t>
      </w:r>
      <w:r>
        <w:rPr>
          <w:sz w:val="20"/>
        </w:rPr>
        <w:t>possible</w:t>
      </w:r>
      <w:r>
        <w:rPr>
          <w:spacing w:val="-14"/>
          <w:sz w:val="20"/>
        </w:rPr>
        <w:t> </w:t>
      </w:r>
      <w:r>
        <w:rPr>
          <w:sz w:val="20"/>
        </w:rPr>
        <w:t>to</w:t>
      </w:r>
      <w:r>
        <w:rPr>
          <w:spacing w:val="-18"/>
          <w:sz w:val="20"/>
        </w:rPr>
        <w:t> </w:t>
      </w:r>
      <w:r>
        <w:rPr>
          <w:sz w:val="20"/>
        </w:rPr>
        <w:t>make</w:t>
      </w:r>
      <w:r>
        <w:rPr>
          <w:spacing w:val="-17"/>
          <w:sz w:val="20"/>
        </w:rPr>
        <w:t> </w:t>
      </w:r>
      <w:r>
        <w:rPr>
          <w:sz w:val="20"/>
        </w:rPr>
        <w:t>prospective</w:t>
      </w:r>
      <w:r>
        <w:rPr>
          <w:spacing w:val="-15"/>
          <w:sz w:val="20"/>
        </w:rPr>
        <w:t> </w:t>
      </w:r>
      <w:r>
        <w:rPr>
          <w:sz w:val="20"/>
        </w:rPr>
        <w:t>adjustments,</w:t>
      </w:r>
      <w:r>
        <w:rPr>
          <w:spacing w:val="-17"/>
          <w:sz w:val="20"/>
        </w:rPr>
        <w:t> </w:t>
      </w:r>
      <w:r>
        <w:rPr>
          <w:sz w:val="20"/>
        </w:rPr>
        <w:t>for</w:t>
      </w:r>
      <w:r>
        <w:rPr>
          <w:spacing w:val="-16"/>
          <w:sz w:val="20"/>
        </w:rPr>
        <w:t> </w:t>
      </w:r>
      <w:r>
        <w:rPr>
          <w:sz w:val="20"/>
        </w:rPr>
        <w:t>example</w:t>
      </w:r>
      <w:r>
        <w:rPr>
          <w:spacing w:val="-18"/>
          <w:sz w:val="20"/>
        </w:rPr>
        <w:t> </w:t>
      </w:r>
      <w:r>
        <w:rPr>
          <w:sz w:val="20"/>
        </w:rPr>
        <w:t>by</w:t>
      </w:r>
      <w:r>
        <w:rPr>
          <w:spacing w:val="-18"/>
          <w:sz w:val="20"/>
        </w:rPr>
        <w:t> </w:t>
      </w:r>
      <w:r>
        <w:rPr>
          <w:sz w:val="20"/>
        </w:rPr>
        <w:t>adjusting</w:t>
      </w:r>
      <w:r>
        <w:rPr>
          <w:spacing w:val="-15"/>
          <w:sz w:val="20"/>
        </w:rPr>
        <w:t> </w:t>
      </w:r>
      <w:r>
        <w:rPr>
          <w:sz w:val="20"/>
        </w:rPr>
        <w:t>the</w:t>
      </w:r>
      <w:r>
        <w:rPr>
          <w:spacing w:val="-18"/>
          <w:sz w:val="20"/>
        </w:rPr>
        <w:t> </w:t>
      </w:r>
      <w:r>
        <w:rPr>
          <w:sz w:val="20"/>
        </w:rPr>
        <w:t>future</w:t>
      </w:r>
      <w:r>
        <w:rPr>
          <w:spacing w:val="-17"/>
          <w:sz w:val="20"/>
        </w:rPr>
        <w:t> </w:t>
      </w:r>
      <w:r>
        <w:rPr>
          <w:sz w:val="20"/>
        </w:rPr>
        <w:t>Amount</w:t>
      </w:r>
      <w:r>
        <w:rPr>
          <w:spacing w:val="-15"/>
          <w:sz w:val="20"/>
        </w:rPr>
        <w:t> </w:t>
      </w:r>
      <w:r>
        <w:rPr>
          <w:sz w:val="20"/>
        </w:rPr>
        <w:t>A</w:t>
      </w:r>
      <w:r>
        <w:rPr>
          <w:spacing w:val="-18"/>
          <w:sz w:val="20"/>
        </w:rPr>
        <w:t> </w:t>
      </w:r>
      <w:r>
        <w:rPr>
          <w:sz w:val="20"/>
        </w:rPr>
        <w:t>tax</w:t>
      </w:r>
      <w:r>
        <w:rPr>
          <w:spacing w:val="-14"/>
          <w:sz w:val="20"/>
        </w:rPr>
        <w:t> </w:t>
      </w:r>
      <w:r>
        <w:rPr>
          <w:sz w:val="20"/>
        </w:rPr>
        <w:t>liability of</w:t>
      </w:r>
      <w:r>
        <w:rPr>
          <w:spacing w:val="-7"/>
          <w:sz w:val="20"/>
        </w:rPr>
        <w:t> </w:t>
      </w:r>
      <w:r>
        <w:rPr>
          <w:sz w:val="20"/>
        </w:rPr>
        <w:t>a</w:t>
      </w:r>
      <w:r>
        <w:rPr>
          <w:spacing w:val="-9"/>
          <w:sz w:val="20"/>
        </w:rPr>
        <w:t> </w:t>
      </w:r>
      <w:r>
        <w:rPr>
          <w:sz w:val="20"/>
        </w:rPr>
        <w:t>paying</w:t>
      </w:r>
      <w:r>
        <w:rPr>
          <w:spacing w:val="-9"/>
          <w:sz w:val="20"/>
        </w:rPr>
        <w:t> </w:t>
      </w:r>
      <w:r>
        <w:rPr>
          <w:sz w:val="20"/>
        </w:rPr>
        <w:t>entity</w:t>
      </w:r>
      <w:r>
        <w:rPr>
          <w:spacing w:val="-12"/>
          <w:sz w:val="20"/>
        </w:rPr>
        <w:t> </w:t>
      </w:r>
      <w:r>
        <w:rPr>
          <w:sz w:val="20"/>
        </w:rPr>
        <w:t>based</w:t>
      </w:r>
      <w:r>
        <w:rPr>
          <w:spacing w:val="-8"/>
          <w:sz w:val="20"/>
        </w:rPr>
        <w:t> </w:t>
      </w:r>
      <w:r>
        <w:rPr>
          <w:sz w:val="20"/>
        </w:rPr>
        <w:t>on</w:t>
      </w:r>
      <w:r>
        <w:rPr>
          <w:spacing w:val="-7"/>
          <w:sz w:val="20"/>
        </w:rPr>
        <w:t> </w:t>
      </w:r>
      <w:r>
        <w:rPr>
          <w:sz w:val="20"/>
        </w:rPr>
        <w:t>a</w:t>
      </w:r>
      <w:r>
        <w:rPr>
          <w:spacing w:val="-9"/>
          <w:sz w:val="20"/>
        </w:rPr>
        <w:t> </w:t>
      </w:r>
      <w:r>
        <w:rPr>
          <w:sz w:val="20"/>
        </w:rPr>
        <w:t>transfer</w:t>
      </w:r>
      <w:r>
        <w:rPr>
          <w:spacing w:val="-8"/>
          <w:sz w:val="20"/>
        </w:rPr>
        <w:t> </w:t>
      </w:r>
      <w:r>
        <w:rPr>
          <w:sz w:val="20"/>
        </w:rPr>
        <w:t>pricing</w:t>
      </w:r>
      <w:r>
        <w:rPr>
          <w:spacing w:val="-9"/>
          <w:sz w:val="20"/>
        </w:rPr>
        <w:t> </w:t>
      </w:r>
      <w:r>
        <w:rPr>
          <w:sz w:val="20"/>
        </w:rPr>
        <w:t>adjustment</w:t>
      </w:r>
      <w:r>
        <w:rPr>
          <w:spacing w:val="-9"/>
          <w:sz w:val="20"/>
        </w:rPr>
        <w:t> </w:t>
      </w:r>
      <w:r>
        <w:rPr>
          <w:sz w:val="20"/>
        </w:rPr>
        <w:t>for</w:t>
      </w:r>
      <w:r>
        <w:rPr>
          <w:spacing w:val="-7"/>
          <w:sz w:val="20"/>
        </w:rPr>
        <w:t> </w:t>
      </w:r>
      <w:r>
        <w:rPr>
          <w:sz w:val="20"/>
        </w:rPr>
        <w:t>a</w:t>
      </w:r>
      <w:r>
        <w:rPr>
          <w:spacing w:val="-9"/>
          <w:sz w:val="20"/>
        </w:rPr>
        <w:t> </w:t>
      </w:r>
      <w:r>
        <w:rPr>
          <w:sz w:val="20"/>
        </w:rPr>
        <w:t>past</w:t>
      </w:r>
      <w:r>
        <w:rPr>
          <w:spacing w:val="-9"/>
          <w:sz w:val="20"/>
        </w:rPr>
        <w:t> </w:t>
      </w:r>
      <w:r>
        <w:rPr>
          <w:sz w:val="20"/>
        </w:rPr>
        <w:t>period. Alternatively,</w:t>
      </w:r>
      <w:r>
        <w:rPr>
          <w:spacing w:val="-6"/>
          <w:sz w:val="20"/>
        </w:rPr>
        <w:t> </w:t>
      </w:r>
      <w:r>
        <w:rPr>
          <w:sz w:val="20"/>
        </w:rPr>
        <w:t>in</w:t>
      </w:r>
      <w:r>
        <w:rPr>
          <w:spacing w:val="-9"/>
          <w:sz w:val="20"/>
        </w:rPr>
        <w:t> </w:t>
      </w:r>
      <w:r>
        <w:rPr>
          <w:sz w:val="20"/>
        </w:rPr>
        <w:t>some</w:t>
      </w:r>
      <w:r>
        <w:rPr>
          <w:spacing w:val="-9"/>
          <w:sz w:val="20"/>
        </w:rPr>
        <w:t> </w:t>
      </w:r>
      <w:r>
        <w:rPr>
          <w:sz w:val="20"/>
        </w:rPr>
        <w:t>instances it may be possible to consider whether the apportionment of the Amount A tax liability could be taken into account</w:t>
      </w:r>
      <w:r>
        <w:rPr>
          <w:spacing w:val="-9"/>
          <w:sz w:val="20"/>
        </w:rPr>
        <w:t> </w:t>
      </w:r>
      <w:r>
        <w:rPr>
          <w:sz w:val="20"/>
        </w:rPr>
        <w:t>as</w:t>
      </w:r>
      <w:r>
        <w:rPr>
          <w:spacing w:val="-8"/>
          <w:sz w:val="20"/>
        </w:rPr>
        <w:t> </w:t>
      </w:r>
      <w:r>
        <w:rPr>
          <w:sz w:val="20"/>
        </w:rPr>
        <w:t>part</w:t>
      </w:r>
      <w:r>
        <w:rPr>
          <w:spacing w:val="-8"/>
          <w:sz w:val="20"/>
        </w:rPr>
        <w:t> </w:t>
      </w:r>
      <w:r>
        <w:rPr>
          <w:sz w:val="20"/>
        </w:rPr>
        <w:t>of</w:t>
      </w:r>
      <w:r>
        <w:rPr>
          <w:spacing w:val="-7"/>
          <w:sz w:val="20"/>
        </w:rPr>
        <w:t> </w:t>
      </w:r>
      <w:r>
        <w:rPr>
          <w:sz w:val="20"/>
        </w:rPr>
        <w:t>the</w:t>
      </w:r>
      <w:r>
        <w:rPr>
          <w:spacing w:val="-9"/>
          <w:sz w:val="20"/>
        </w:rPr>
        <w:t> </w:t>
      </w:r>
      <w:r>
        <w:rPr>
          <w:sz w:val="20"/>
        </w:rPr>
        <w:t>MAP,</w:t>
      </w:r>
      <w:r>
        <w:rPr>
          <w:spacing w:val="-7"/>
          <w:sz w:val="20"/>
        </w:rPr>
        <w:t> </w:t>
      </w:r>
      <w:r>
        <w:rPr>
          <w:sz w:val="20"/>
        </w:rPr>
        <w:t>where</w:t>
      </w:r>
      <w:r>
        <w:rPr>
          <w:spacing w:val="-9"/>
          <w:sz w:val="20"/>
        </w:rPr>
        <w:t> </w:t>
      </w:r>
      <w:r>
        <w:rPr>
          <w:sz w:val="20"/>
        </w:rPr>
        <w:t>for</w:t>
      </w:r>
      <w:r>
        <w:rPr>
          <w:spacing w:val="-8"/>
          <w:sz w:val="20"/>
        </w:rPr>
        <w:t> </w:t>
      </w:r>
      <w:r>
        <w:rPr>
          <w:sz w:val="20"/>
        </w:rPr>
        <w:t>example</w:t>
      </w:r>
      <w:r>
        <w:rPr>
          <w:spacing w:val="-9"/>
          <w:sz w:val="20"/>
        </w:rPr>
        <w:t> </w:t>
      </w:r>
      <w:r>
        <w:rPr>
          <w:sz w:val="20"/>
        </w:rPr>
        <w:t>a</w:t>
      </w:r>
      <w:r>
        <w:rPr>
          <w:spacing w:val="-9"/>
          <w:sz w:val="20"/>
        </w:rPr>
        <w:t> </w:t>
      </w:r>
      <w:r>
        <w:rPr>
          <w:sz w:val="20"/>
        </w:rPr>
        <w:t>transfer</w:t>
      </w:r>
      <w:r>
        <w:rPr>
          <w:spacing w:val="-8"/>
          <w:sz w:val="20"/>
        </w:rPr>
        <w:t> </w:t>
      </w:r>
      <w:r>
        <w:rPr>
          <w:sz w:val="20"/>
        </w:rPr>
        <w:t>pricing</w:t>
      </w:r>
      <w:r>
        <w:rPr>
          <w:spacing w:val="-9"/>
          <w:sz w:val="20"/>
        </w:rPr>
        <w:t> </w:t>
      </w:r>
      <w:r>
        <w:rPr>
          <w:sz w:val="20"/>
        </w:rPr>
        <w:t>adjustment</w:t>
      </w:r>
      <w:r>
        <w:rPr>
          <w:spacing w:val="-9"/>
          <w:sz w:val="20"/>
        </w:rPr>
        <w:t> </w:t>
      </w:r>
      <w:r>
        <w:rPr>
          <w:sz w:val="20"/>
        </w:rPr>
        <w:t>results</w:t>
      </w:r>
      <w:r>
        <w:rPr>
          <w:spacing w:val="-8"/>
          <w:sz w:val="20"/>
        </w:rPr>
        <w:t> </w:t>
      </w:r>
      <w:r>
        <w:rPr>
          <w:sz w:val="20"/>
        </w:rPr>
        <w:t>in</w:t>
      </w:r>
      <w:r>
        <w:rPr>
          <w:spacing w:val="-8"/>
          <w:sz w:val="20"/>
        </w:rPr>
        <w:t> </w:t>
      </w:r>
      <w:r>
        <w:rPr>
          <w:sz w:val="20"/>
        </w:rPr>
        <w:t>the</w:t>
      </w:r>
      <w:r>
        <w:rPr>
          <w:spacing w:val="-9"/>
          <w:sz w:val="20"/>
        </w:rPr>
        <w:t> </w:t>
      </w:r>
      <w:r>
        <w:rPr>
          <w:sz w:val="20"/>
        </w:rPr>
        <w:t>transfer</w:t>
      </w:r>
      <w:r>
        <w:rPr>
          <w:spacing w:val="-8"/>
          <w:sz w:val="20"/>
        </w:rPr>
        <w:t> </w:t>
      </w:r>
      <w:r>
        <w:rPr>
          <w:sz w:val="20"/>
        </w:rPr>
        <w:t>of</w:t>
      </w:r>
      <w:r>
        <w:rPr>
          <w:spacing w:val="-7"/>
          <w:sz w:val="20"/>
        </w:rPr>
        <w:t> </w:t>
      </w:r>
      <w:r>
        <w:rPr>
          <w:sz w:val="20"/>
        </w:rPr>
        <w:t>profit between two paying entities. The Inclusive Framework will undertake further work to develop this mechanism, including a definition of what constitutes a “material” adjustment, (which may be framed as a relative threshold or an absolute amount – for example, a “material” adjustment may exceed x% of an entity’s</w:t>
      </w:r>
      <w:r>
        <w:rPr>
          <w:spacing w:val="-8"/>
          <w:sz w:val="20"/>
        </w:rPr>
        <w:t> </w:t>
      </w:r>
      <w:r>
        <w:rPr>
          <w:sz w:val="20"/>
        </w:rPr>
        <w:t>profits</w:t>
      </w:r>
      <w:r>
        <w:rPr>
          <w:spacing w:val="-8"/>
          <w:sz w:val="20"/>
        </w:rPr>
        <w:t> </w:t>
      </w:r>
      <w:r>
        <w:rPr>
          <w:sz w:val="20"/>
        </w:rPr>
        <w:t>or</w:t>
      </w:r>
      <w:r>
        <w:rPr>
          <w:spacing w:val="-8"/>
          <w:sz w:val="20"/>
        </w:rPr>
        <w:t> </w:t>
      </w:r>
      <w:r>
        <w:rPr>
          <w:sz w:val="20"/>
        </w:rPr>
        <w:t>EUR</w:t>
      </w:r>
      <w:r>
        <w:rPr>
          <w:spacing w:val="-8"/>
          <w:sz w:val="20"/>
        </w:rPr>
        <w:t> </w:t>
      </w:r>
      <w:r>
        <w:rPr>
          <w:sz w:val="20"/>
        </w:rPr>
        <w:t>Xm).</w:t>
      </w:r>
      <w:r>
        <w:rPr>
          <w:spacing w:val="-9"/>
          <w:sz w:val="20"/>
        </w:rPr>
        <w:t> </w:t>
      </w:r>
      <w:r>
        <w:rPr>
          <w:sz w:val="20"/>
        </w:rPr>
        <w:t>This</w:t>
      </w:r>
      <w:r>
        <w:rPr>
          <w:spacing w:val="-10"/>
          <w:sz w:val="20"/>
        </w:rPr>
        <w:t> </w:t>
      </w:r>
      <w:r>
        <w:rPr>
          <w:sz w:val="20"/>
        </w:rPr>
        <w:t>work</w:t>
      </w:r>
      <w:r>
        <w:rPr>
          <w:spacing w:val="-7"/>
          <w:sz w:val="20"/>
        </w:rPr>
        <w:t> </w:t>
      </w:r>
      <w:r>
        <w:rPr>
          <w:sz w:val="20"/>
        </w:rPr>
        <w:t>will</w:t>
      </w:r>
      <w:r>
        <w:rPr>
          <w:spacing w:val="-10"/>
          <w:sz w:val="20"/>
        </w:rPr>
        <w:t> </w:t>
      </w:r>
      <w:r>
        <w:rPr>
          <w:sz w:val="20"/>
        </w:rPr>
        <w:t>also</w:t>
      </w:r>
      <w:r>
        <w:rPr>
          <w:spacing w:val="-12"/>
          <w:sz w:val="20"/>
        </w:rPr>
        <w:t> </w:t>
      </w:r>
      <w:r>
        <w:rPr>
          <w:sz w:val="20"/>
        </w:rPr>
        <w:t>consider</w:t>
      </w:r>
      <w:r>
        <w:rPr>
          <w:spacing w:val="-8"/>
          <w:sz w:val="20"/>
        </w:rPr>
        <w:t> </w:t>
      </w:r>
      <w:r>
        <w:rPr>
          <w:sz w:val="20"/>
        </w:rPr>
        <w:t>how</w:t>
      </w:r>
      <w:r>
        <w:rPr>
          <w:spacing w:val="-10"/>
          <w:sz w:val="20"/>
        </w:rPr>
        <w:t> </w:t>
      </w:r>
      <w:r>
        <w:rPr>
          <w:sz w:val="20"/>
        </w:rPr>
        <w:t>transfer</w:t>
      </w:r>
      <w:r>
        <w:rPr>
          <w:spacing w:val="-11"/>
          <w:sz w:val="20"/>
        </w:rPr>
        <w:t> </w:t>
      </w:r>
      <w:r>
        <w:rPr>
          <w:sz w:val="20"/>
        </w:rPr>
        <w:t>pricing</w:t>
      </w:r>
      <w:r>
        <w:rPr>
          <w:spacing w:val="-10"/>
          <w:sz w:val="20"/>
        </w:rPr>
        <w:t> </w:t>
      </w:r>
      <w:r>
        <w:rPr>
          <w:sz w:val="20"/>
        </w:rPr>
        <w:t>adjustments</w:t>
      </w:r>
      <w:r>
        <w:rPr>
          <w:spacing w:val="-10"/>
          <w:sz w:val="20"/>
        </w:rPr>
        <w:t> </w:t>
      </w:r>
      <w:r>
        <w:rPr>
          <w:sz w:val="20"/>
        </w:rPr>
        <w:t>can</w:t>
      </w:r>
      <w:r>
        <w:rPr>
          <w:spacing w:val="-11"/>
          <w:sz w:val="20"/>
        </w:rPr>
        <w:t> </w:t>
      </w:r>
      <w:r>
        <w:rPr>
          <w:sz w:val="20"/>
        </w:rPr>
        <w:t>be</w:t>
      </w:r>
      <w:r>
        <w:rPr>
          <w:spacing w:val="-10"/>
          <w:sz w:val="20"/>
        </w:rPr>
        <w:t> </w:t>
      </w:r>
      <w:r>
        <w:rPr>
          <w:sz w:val="20"/>
        </w:rPr>
        <w:t>taken</w:t>
      </w:r>
      <w:r>
        <w:rPr>
          <w:spacing w:val="-9"/>
          <w:sz w:val="20"/>
        </w:rPr>
        <w:t> </w:t>
      </w:r>
      <w:r>
        <w:rPr>
          <w:sz w:val="20"/>
        </w:rPr>
        <w:t>into account where changes are made to an entity’s tax accounts, but not their financial</w:t>
      </w:r>
      <w:r>
        <w:rPr>
          <w:spacing w:val="-29"/>
          <w:sz w:val="20"/>
        </w:rPr>
        <w:t> </w:t>
      </w:r>
      <w:r>
        <w:rPr>
          <w:sz w:val="20"/>
        </w:rPr>
        <w:t>accounts.</w:t>
      </w:r>
    </w:p>
    <w:p>
      <w:pPr>
        <w:pStyle w:val="BodyText"/>
        <w:spacing w:before="3"/>
      </w:pPr>
    </w:p>
    <w:p>
      <w:pPr>
        <w:pStyle w:val="Heading7"/>
        <w:spacing w:before="1"/>
        <w:rPr>
          <w:i/>
        </w:rPr>
      </w:pPr>
      <w:bookmarkStart w:name="Entity-level carried forward losses" w:id="354"/>
      <w:bookmarkEnd w:id="354"/>
      <w:r>
        <w:rPr>
          <w:i w:val="0"/>
        </w:rPr>
      </w:r>
      <w:r>
        <w:rPr>
          <w:i/>
          <w:color w:val="616161"/>
        </w:rPr>
        <w:t>Entity-level carried forward losses</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0" w:firstLine="0"/>
        <w:jc w:val="both"/>
        <w:rPr>
          <w:sz w:val="20"/>
        </w:rPr>
      </w:pPr>
      <w:r>
        <w:rPr>
          <w:sz w:val="20"/>
        </w:rPr>
        <w:t>The rules to compute the Amount A tax base will incorporate loss carry-forward rules that will be separate</w:t>
      </w:r>
      <w:r>
        <w:rPr>
          <w:spacing w:val="-16"/>
          <w:sz w:val="20"/>
        </w:rPr>
        <w:t> </w:t>
      </w:r>
      <w:r>
        <w:rPr>
          <w:sz w:val="20"/>
        </w:rPr>
        <w:t>from</w:t>
      </w:r>
      <w:r>
        <w:rPr>
          <w:spacing w:val="-13"/>
          <w:sz w:val="20"/>
        </w:rPr>
        <w:t> </w:t>
      </w:r>
      <w:r>
        <w:rPr>
          <w:sz w:val="20"/>
        </w:rPr>
        <w:t>existing</w:t>
      </w:r>
      <w:r>
        <w:rPr>
          <w:spacing w:val="-16"/>
          <w:sz w:val="20"/>
        </w:rPr>
        <w:t> </w:t>
      </w:r>
      <w:r>
        <w:rPr>
          <w:sz w:val="20"/>
        </w:rPr>
        <w:t>domestic</w:t>
      </w:r>
      <w:r>
        <w:rPr>
          <w:spacing w:val="-13"/>
          <w:sz w:val="20"/>
        </w:rPr>
        <w:t> </w:t>
      </w:r>
      <w:r>
        <w:rPr>
          <w:sz w:val="20"/>
        </w:rPr>
        <w:t>loss</w:t>
      </w:r>
      <w:r>
        <w:rPr>
          <w:spacing w:val="-14"/>
          <w:sz w:val="20"/>
        </w:rPr>
        <w:t> </w:t>
      </w:r>
      <w:r>
        <w:rPr>
          <w:sz w:val="20"/>
        </w:rPr>
        <w:t>carry-forward</w:t>
      </w:r>
      <w:r>
        <w:rPr>
          <w:spacing w:val="-14"/>
          <w:sz w:val="20"/>
        </w:rPr>
        <w:t> </w:t>
      </w:r>
      <w:r>
        <w:rPr>
          <w:sz w:val="20"/>
        </w:rPr>
        <w:t>rules.</w:t>
      </w:r>
      <w:r>
        <w:rPr>
          <w:spacing w:val="-17"/>
          <w:sz w:val="20"/>
        </w:rPr>
        <w:t> </w:t>
      </w:r>
      <w:r>
        <w:rPr>
          <w:sz w:val="20"/>
        </w:rPr>
        <w:t>This</w:t>
      </w:r>
      <w:r>
        <w:rPr>
          <w:spacing w:val="-14"/>
          <w:sz w:val="20"/>
        </w:rPr>
        <w:t> </w:t>
      </w:r>
      <w:r>
        <w:rPr>
          <w:sz w:val="20"/>
        </w:rPr>
        <w:t>group-level</w:t>
      </w:r>
      <w:r>
        <w:rPr>
          <w:spacing w:val="-15"/>
          <w:sz w:val="20"/>
        </w:rPr>
        <w:t> </w:t>
      </w:r>
      <w:r>
        <w:rPr>
          <w:sz w:val="20"/>
        </w:rPr>
        <w:t>loss</w:t>
      </w:r>
      <w:r>
        <w:rPr>
          <w:spacing w:val="-14"/>
          <w:sz w:val="20"/>
        </w:rPr>
        <w:t> </w:t>
      </w:r>
      <w:r>
        <w:rPr>
          <w:sz w:val="20"/>
        </w:rPr>
        <w:t>carry</w:t>
      </w:r>
      <w:r>
        <w:rPr>
          <w:spacing w:val="-18"/>
          <w:sz w:val="20"/>
        </w:rPr>
        <w:t> </w:t>
      </w:r>
      <w:r>
        <w:rPr>
          <w:sz w:val="20"/>
        </w:rPr>
        <w:t>forward</w:t>
      </w:r>
      <w:r>
        <w:rPr>
          <w:spacing w:val="-14"/>
          <w:sz w:val="20"/>
        </w:rPr>
        <w:t> </w:t>
      </w:r>
      <w:r>
        <w:rPr>
          <w:sz w:val="20"/>
        </w:rPr>
        <w:t>regime</w:t>
      </w:r>
      <w:r>
        <w:rPr>
          <w:spacing w:val="-16"/>
          <w:sz w:val="20"/>
        </w:rPr>
        <w:t> </w:t>
      </w:r>
      <w:r>
        <w:rPr>
          <w:sz w:val="20"/>
        </w:rPr>
        <w:t>should ensure</w:t>
      </w:r>
      <w:r>
        <w:rPr>
          <w:spacing w:val="-12"/>
          <w:sz w:val="20"/>
        </w:rPr>
        <w:t> </w:t>
      </w:r>
      <w:r>
        <w:rPr>
          <w:sz w:val="20"/>
        </w:rPr>
        <w:t>that</w:t>
      </w:r>
      <w:r>
        <w:rPr>
          <w:spacing w:val="-11"/>
          <w:sz w:val="20"/>
        </w:rPr>
        <w:t> </w:t>
      </w:r>
      <w:r>
        <w:rPr>
          <w:sz w:val="20"/>
        </w:rPr>
        <w:t>most</w:t>
      </w:r>
      <w:r>
        <w:rPr>
          <w:spacing w:val="-11"/>
          <w:sz w:val="20"/>
        </w:rPr>
        <w:t> </w:t>
      </w:r>
      <w:r>
        <w:rPr>
          <w:sz w:val="20"/>
        </w:rPr>
        <w:t>taxpayers</w:t>
      </w:r>
      <w:r>
        <w:rPr>
          <w:spacing w:val="-8"/>
          <w:sz w:val="20"/>
        </w:rPr>
        <w:t> </w:t>
      </w:r>
      <w:r>
        <w:rPr>
          <w:sz w:val="20"/>
        </w:rPr>
        <w:t>continue</w:t>
      </w:r>
      <w:r>
        <w:rPr>
          <w:spacing w:val="-9"/>
          <w:sz w:val="20"/>
        </w:rPr>
        <w:t> </w:t>
      </w:r>
      <w:r>
        <w:rPr>
          <w:sz w:val="20"/>
        </w:rPr>
        <w:t>to</w:t>
      </w:r>
      <w:r>
        <w:rPr>
          <w:spacing w:val="-10"/>
          <w:sz w:val="20"/>
        </w:rPr>
        <w:t> </w:t>
      </w:r>
      <w:r>
        <w:rPr>
          <w:sz w:val="20"/>
        </w:rPr>
        <w:t>benefit</w:t>
      </w:r>
      <w:r>
        <w:rPr>
          <w:spacing w:val="-11"/>
          <w:sz w:val="20"/>
        </w:rPr>
        <w:t> </w:t>
      </w:r>
      <w:r>
        <w:rPr>
          <w:sz w:val="20"/>
        </w:rPr>
        <w:t>from</w:t>
      </w:r>
      <w:r>
        <w:rPr>
          <w:spacing w:val="-8"/>
          <w:sz w:val="20"/>
        </w:rPr>
        <w:t> </w:t>
      </w:r>
      <w:r>
        <w:rPr>
          <w:sz w:val="20"/>
        </w:rPr>
        <w:t>domestic</w:t>
      </w:r>
      <w:r>
        <w:rPr>
          <w:spacing w:val="-10"/>
          <w:sz w:val="20"/>
        </w:rPr>
        <w:t> </w:t>
      </w:r>
      <w:r>
        <w:rPr>
          <w:sz w:val="20"/>
        </w:rPr>
        <w:t>loss</w:t>
      </w:r>
      <w:r>
        <w:rPr>
          <w:spacing w:val="-10"/>
          <w:sz w:val="20"/>
        </w:rPr>
        <w:t> </w:t>
      </w:r>
      <w:r>
        <w:rPr>
          <w:sz w:val="20"/>
        </w:rPr>
        <w:t>carry-forward</w:t>
      </w:r>
      <w:r>
        <w:rPr>
          <w:spacing w:val="-10"/>
          <w:sz w:val="20"/>
        </w:rPr>
        <w:t> </w:t>
      </w:r>
      <w:r>
        <w:rPr>
          <w:sz w:val="20"/>
        </w:rPr>
        <w:t>regimes</w:t>
      </w:r>
      <w:r>
        <w:rPr>
          <w:spacing w:val="-10"/>
          <w:sz w:val="20"/>
        </w:rPr>
        <w:t> </w:t>
      </w:r>
      <w:r>
        <w:rPr>
          <w:sz w:val="20"/>
        </w:rPr>
        <w:t>at</w:t>
      </w:r>
      <w:r>
        <w:rPr>
          <w:spacing w:val="-12"/>
          <w:sz w:val="20"/>
        </w:rPr>
        <w:t> </w:t>
      </w:r>
      <w:r>
        <w:rPr>
          <w:sz w:val="20"/>
        </w:rPr>
        <w:t>an</w:t>
      </w:r>
      <w:r>
        <w:rPr>
          <w:spacing w:val="-10"/>
          <w:sz w:val="20"/>
        </w:rPr>
        <w:t> </w:t>
      </w:r>
      <w:r>
        <w:rPr>
          <w:sz w:val="20"/>
        </w:rPr>
        <w:t>entity-level. However, there may be situations where groups are required to allocate Amount A profits to market jurisdictions, even when some paying entities within the group have carried-forward losses under existing domestic rules. This may arise where a jurisdiction’s domestic loss regime provides for the accelerated expensing of depreciation or amortisation expenses, or simply because there are some loss-making principal entities within a group that are profitable on a consolidated</w:t>
      </w:r>
      <w:r>
        <w:rPr>
          <w:spacing w:val="-10"/>
          <w:sz w:val="20"/>
        </w:rPr>
        <w:t> </w:t>
      </w:r>
      <w:r>
        <w:rPr>
          <w:sz w:val="20"/>
        </w:rPr>
        <w:t>level.</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To address these situations, it could be argued that domestic carry-forward losses should be accounted for when determining the paying entities for the purposes of Amount A. This would require a modification</w:t>
      </w:r>
      <w:r>
        <w:rPr>
          <w:spacing w:val="-9"/>
          <w:sz w:val="20"/>
        </w:rPr>
        <w:t> </w:t>
      </w:r>
      <w:r>
        <w:rPr>
          <w:sz w:val="20"/>
        </w:rPr>
        <w:t>of</w:t>
      </w:r>
      <w:r>
        <w:rPr>
          <w:spacing w:val="-7"/>
          <w:sz w:val="20"/>
        </w:rPr>
        <w:t> </w:t>
      </w:r>
      <w:r>
        <w:rPr>
          <w:sz w:val="20"/>
        </w:rPr>
        <w:t>Steps</w:t>
      </w:r>
      <w:r>
        <w:rPr>
          <w:spacing w:val="-8"/>
          <w:sz w:val="20"/>
        </w:rPr>
        <w:t> </w:t>
      </w:r>
      <w:r>
        <w:rPr>
          <w:sz w:val="20"/>
        </w:rPr>
        <w:t>3</w:t>
      </w:r>
      <w:r>
        <w:rPr>
          <w:spacing w:val="-7"/>
          <w:sz w:val="20"/>
        </w:rPr>
        <w:t> </w:t>
      </w:r>
      <w:r>
        <w:rPr>
          <w:sz w:val="20"/>
        </w:rPr>
        <w:t>and</w:t>
      </w:r>
      <w:r>
        <w:rPr>
          <w:spacing w:val="-7"/>
          <w:sz w:val="20"/>
        </w:rPr>
        <w:t> </w:t>
      </w:r>
      <w:r>
        <w:rPr>
          <w:sz w:val="20"/>
        </w:rPr>
        <w:t>4,</w:t>
      </w:r>
      <w:r>
        <w:rPr>
          <w:spacing w:val="-9"/>
          <w:sz w:val="20"/>
        </w:rPr>
        <w:t> </w:t>
      </w:r>
      <w:r>
        <w:rPr>
          <w:sz w:val="20"/>
        </w:rPr>
        <w:t>to</w:t>
      </w:r>
      <w:r>
        <w:rPr>
          <w:spacing w:val="-8"/>
          <w:sz w:val="20"/>
        </w:rPr>
        <w:t> </w:t>
      </w:r>
      <w:r>
        <w:rPr>
          <w:sz w:val="20"/>
        </w:rPr>
        <w:t>deem</w:t>
      </w:r>
      <w:r>
        <w:rPr>
          <w:spacing w:val="-4"/>
          <w:sz w:val="20"/>
        </w:rPr>
        <w:t> </w:t>
      </w:r>
      <w:r>
        <w:rPr>
          <w:sz w:val="20"/>
        </w:rPr>
        <w:t>an</w:t>
      </w:r>
      <w:r>
        <w:rPr>
          <w:spacing w:val="-9"/>
          <w:sz w:val="20"/>
        </w:rPr>
        <w:t> </w:t>
      </w:r>
      <w:r>
        <w:rPr>
          <w:sz w:val="20"/>
        </w:rPr>
        <w:t>entity</w:t>
      </w:r>
      <w:r>
        <w:rPr>
          <w:spacing w:val="-12"/>
          <w:sz w:val="20"/>
        </w:rPr>
        <w:t> </w:t>
      </w:r>
      <w:r>
        <w:rPr>
          <w:sz w:val="20"/>
        </w:rPr>
        <w:t>to</w:t>
      </w:r>
      <w:r>
        <w:rPr>
          <w:spacing w:val="-7"/>
          <w:sz w:val="20"/>
        </w:rPr>
        <w:t> </w:t>
      </w:r>
      <w:r>
        <w:rPr>
          <w:sz w:val="20"/>
        </w:rPr>
        <w:t>have</w:t>
      </w:r>
      <w:r>
        <w:rPr>
          <w:spacing w:val="-7"/>
          <w:sz w:val="20"/>
        </w:rPr>
        <w:t> </w:t>
      </w:r>
      <w:r>
        <w:rPr>
          <w:sz w:val="20"/>
        </w:rPr>
        <w:t>insufficient</w:t>
      </w:r>
      <w:r>
        <w:rPr>
          <w:spacing w:val="-8"/>
          <w:sz w:val="20"/>
        </w:rPr>
        <w:t> </w:t>
      </w:r>
      <w:r>
        <w:rPr>
          <w:sz w:val="20"/>
        </w:rPr>
        <w:t>profits</w:t>
      </w:r>
      <w:r>
        <w:rPr>
          <w:spacing w:val="-8"/>
          <w:sz w:val="20"/>
        </w:rPr>
        <w:t> </w:t>
      </w:r>
      <w:r>
        <w:rPr>
          <w:sz w:val="20"/>
        </w:rPr>
        <w:t>to</w:t>
      </w:r>
      <w:r>
        <w:rPr>
          <w:spacing w:val="-9"/>
          <w:sz w:val="20"/>
        </w:rPr>
        <w:t> </w:t>
      </w:r>
      <w:r>
        <w:rPr>
          <w:sz w:val="20"/>
        </w:rPr>
        <w:t>bear</w:t>
      </w:r>
      <w:r>
        <w:rPr>
          <w:spacing w:val="-8"/>
          <w:sz w:val="20"/>
        </w:rPr>
        <w:t> </w:t>
      </w:r>
      <w:r>
        <w:rPr>
          <w:sz w:val="20"/>
        </w:rPr>
        <w:t>an</w:t>
      </w:r>
      <w:r>
        <w:rPr>
          <w:spacing w:val="-3"/>
          <w:sz w:val="20"/>
        </w:rPr>
        <w:t> </w:t>
      </w:r>
      <w:r>
        <w:rPr>
          <w:sz w:val="20"/>
        </w:rPr>
        <w:t>Amount</w:t>
      </w:r>
      <w:r>
        <w:rPr>
          <w:spacing w:val="-9"/>
          <w:sz w:val="20"/>
        </w:rPr>
        <w:t> </w:t>
      </w:r>
      <w:r>
        <w:rPr>
          <w:sz w:val="20"/>
        </w:rPr>
        <w:t>A</w:t>
      </w:r>
      <w:r>
        <w:rPr>
          <w:spacing w:val="-9"/>
          <w:sz w:val="20"/>
        </w:rPr>
        <w:t> </w:t>
      </w:r>
      <w:r>
        <w:rPr>
          <w:sz w:val="20"/>
        </w:rPr>
        <w:t>tax</w:t>
      </w:r>
      <w:r>
        <w:rPr>
          <w:spacing w:val="-6"/>
          <w:sz w:val="20"/>
        </w:rPr>
        <w:t> </w:t>
      </w:r>
      <w:r>
        <w:rPr>
          <w:sz w:val="20"/>
        </w:rPr>
        <w:t>liability when it has domestic carried-forward losses. This would avoid the risk that an entity bears an Amount A tax liability, even when it does not pay tax in the jurisdiction where it is resident due to domestic carry- forward losses. This outcome could be perceived as inequitable as it would, in effect, give market jurisdictions</w:t>
      </w:r>
      <w:r>
        <w:rPr>
          <w:spacing w:val="-4"/>
          <w:sz w:val="20"/>
        </w:rPr>
        <w:t> </w:t>
      </w:r>
      <w:r>
        <w:rPr>
          <w:sz w:val="20"/>
        </w:rPr>
        <w:t>taxing</w:t>
      </w:r>
      <w:r>
        <w:rPr>
          <w:spacing w:val="-5"/>
          <w:sz w:val="20"/>
        </w:rPr>
        <w:t> </w:t>
      </w:r>
      <w:r>
        <w:rPr>
          <w:sz w:val="20"/>
        </w:rPr>
        <w:t>rights</w:t>
      </w:r>
      <w:r>
        <w:rPr>
          <w:spacing w:val="-3"/>
          <w:sz w:val="20"/>
        </w:rPr>
        <w:t> </w:t>
      </w:r>
      <w:r>
        <w:rPr>
          <w:sz w:val="20"/>
        </w:rPr>
        <w:t>over</w:t>
      </w:r>
      <w:r>
        <w:rPr>
          <w:spacing w:val="-5"/>
          <w:sz w:val="20"/>
        </w:rPr>
        <w:t> </w:t>
      </w:r>
      <w:r>
        <w:rPr>
          <w:sz w:val="20"/>
        </w:rPr>
        <w:t>an</w:t>
      </w:r>
      <w:r>
        <w:rPr>
          <w:spacing w:val="-4"/>
          <w:sz w:val="20"/>
        </w:rPr>
        <w:t> </w:t>
      </w:r>
      <w:r>
        <w:rPr>
          <w:sz w:val="20"/>
        </w:rPr>
        <w:t>entity,</w:t>
      </w:r>
      <w:r>
        <w:rPr>
          <w:spacing w:val="-5"/>
          <w:sz w:val="20"/>
        </w:rPr>
        <w:t> </w:t>
      </w:r>
      <w:r>
        <w:rPr>
          <w:sz w:val="20"/>
        </w:rPr>
        <w:t>before</w:t>
      </w:r>
      <w:r>
        <w:rPr>
          <w:spacing w:val="-4"/>
          <w:sz w:val="20"/>
        </w:rPr>
        <w:t> </w:t>
      </w:r>
      <w:r>
        <w:rPr>
          <w:sz w:val="20"/>
        </w:rPr>
        <w:t>a</w:t>
      </w:r>
      <w:r>
        <w:rPr>
          <w:spacing w:val="-4"/>
          <w:sz w:val="20"/>
        </w:rPr>
        <w:t> </w:t>
      </w:r>
      <w:r>
        <w:rPr>
          <w:sz w:val="20"/>
        </w:rPr>
        <w:t>resident</w:t>
      </w:r>
      <w:r>
        <w:rPr>
          <w:spacing w:val="-6"/>
          <w:sz w:val="20"/>
        </w:rPr>
        <w:t> </w:t>
      </w:r>
      <w:r>
        <w:rPr>
          <w:sz w:val="20"/>
        </w:rPr>
        <w:t>jurisdiction.</w:t>
      </w:r>
      <w:r>
        <w:rPr>
          <w:spacing w:val="-4"/>
          <w:sz w:val="20"/>
        </w:rPr>
        <w:t> </w:t>
      </w:r>
      <w:r>
        <w:rPr>
          <w:sz w:val="20"/>
        </w:rPr>
        <w:t>It</w:t>
      </w:r>
      <w:r>
        <w:rPr>
          <w:spacing w:val="-3"/>
          <w:sz w:val="20"/>
        </w:rPr>
        <w:t> </w:t>
      </w:r>
      <w:r>
        <w:rPr>
          <w:sz w:val="20"/>
        </w:rPr>
        <w:t>would</w:t>
      </w:r>
      <w:r>
        <w:rPr>
          <w:spacing w:val="-3"/>
          <w:sz w:val="20"/>
        </w:rPr>
        <w:t> </w:t>
      </w:r>
      <w:r>
        <w:rPr>
          <w:sz w:val="20"/>
        </w:rPr>
        <w:t>also</w:t>
      </w:r>
      <w:r>
        <w:rPr>
          <w:spacing w:val="-2"/>
          <w:sz w:val="20"/>
        </w:rPr>
        <w:t> </w:t>
      </w:r>
      <w:r>
        <w:rPr>
          <w:sz w:val="20"/>
        </w:rPr>
        <w:t>reduce</w:t>
      </w:r>
      <w:r>
        <w:rPr>
          <w:spacing w:val="-5"/>
          <w:sz w:val="20"/>
        </w:rPr>
        <w:t> </w:t>
      </w:r>
      <w:r>
        <w:rPr>
          <w:sz w:val="20"/>
        </w:rPr>
        <w:t>the</w:t>
      </w:r>
      <w:r>
        <w:rPr>
          <w:spacing w:val="-4"/>
          <w:sz w:val="20"/>
        </w:rPr>
        <w:t> </w:t>
      </w:r>
      <w:r>
        <w:rPr>
          <w:sz w:val="20"/>
        </w:rPr>
        <w:t>value</w:t>
      </w:r>
      <w:r>
        <w:rPr>
          <w:spacing w:val="-6"/>
          <w:sz w:val="20"/>
        </w:rPr>
        <w:t> </w:t>
      </w:r>
      <w:r>
        <w:rPr>
          <w:sz w:val="20"/>
        </w:rPr>
        <w:t>to</w:t>
      </w:r>
      <w:r>
        <w:rPr>
          <w:spacing w:val="-2"/>
          <w:sz w:val="20"/>
        </w:rPr>
        <w:t> </w:t>
      </w:r>
      <w:r>
        <w:rPr>
          <w:sz w:val="20"/>
        </w:rPr>
        <w:t>an MNE group of carry-forward losses, potentially discouraging</w:t>
      </w:r>
      <w:r>
        <w:rPr>
          <w:spacing w:val="-8"/>
          <w:sz w:val="20"/>
        </w:rPr>
        <w:t> </w:t>
      </w:r>
      <w:r>
        <w:rPr>
          <w:sz w:val="20"/>
        </w:rPr>
        <w:t>investment.</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However, developing rules to account for entity-level losses specifically would equally create fairness</w:t>
      </w:r>
      <w:r>
        <w:rPr>
          <w:spacing w:val="-3"/>
          <w:sz w:val="20"/>
        </w:rPr>
        <w:t> </w:t>
      </w:r>
      <w:r>
        <w:rPr>
          <w:sz w:val="20"/>
        </w:rPr>
        <w:t>concerns</w:t>
      </w:r>
      <w:r>
        <w:rPr>
          <w:spacing w:val="-3"/>
          <w:sz w:val="20"/>
        </w:rPr>
        <w:t> </w:t>
      </w:r>
      <w:r>
        <w:rPr>
          <w:sz w:val="20"/>
        </w:rPr>
        <w:t>if</w:t>
      </w:r>
      <w:r>
        <w:rPr>
          <w:spacing w:val="-2"/>
          <w:sz w:val="20"/>
        </w:rPr>
        <w:t> </w:t>
      </w:r>
      <w:r>
        <w:rPr>
          <w:sz w:val="20"/>
        </w:rPr>
        <w:t>it</w:t>
      </w:r>
      <w:r>
        <w:rPr>
          <w:spacing w:val="-4"/>
          <w:sz w:val="20"/>
        </w:rPr>
        <w:t> </w:t>
      </w:r>
      <w:r>
        <w:rPr>
          <w:sz w:val="20"/>
        </w:rPr>
        <w:t>resulted</w:t>
      </w:r>
      <w:r>
        <w:rPr>
          <w:spacing w:val="-5"/>
          <w:sz w:val="20"/>
        </w:rPr>
        <w:t> </w:t>
      </w:r>
      <w:r>
        <w:rPr>
          <w:sz w:val="20"/>
        </w:rPr>
        <w:t>in</w:t>
      </w:r>
      <w:r>
        <w:rPr>
          <w:spacing w:val="-4"/>
          <w:sz w:val="20"/>
        </w:rPr>
        <w:t> </w:t>
      </w:r>
      <w:r>
        <w:rPr>
          <w:sz w:val="20"/>
        </w:rPr>
        <w:t>a</w:t>
      </w:r>
      <w:r>
        <w:rPr>
          <w:spacing w:val="-5"/>
          <w:sz w:val="20"/>
        </w:rPr>
        <w:t> </w:t>
      </w:r>
      <w:r>
        <w:rPr>
          <w:sz w:val="20"/>
        </w:rPr>
        <w:t>paying</w:t>
      </w:r>
      <w:r>
        <w:rPr>
          <w:spacing w:val="-4"/>
          <w:sz w:val="20"/>
        </w:rPr>
        <w:t> </w:t>
      </w:r>
      <w:r>
        <w:rPr>
          <w:sz w:val="20"/>
        </w:rPr>
        <w:t>entity</w:t>
      </w:r>
      <w:r>
        <w:rPr>
          <w:spacing w:val="-6"/>
          <w:sz w:val="20"/>
        </w:rPr>
        <w:t> </w:t>
      </w:r>
      <w:r>
        <w:rPr>
          <w:sz w:val="20"/>
        </w:rPr>
        <w:t>in</w:t>
      </w:r>
      <w:r>
        <w:rPr>
          <w:spacing w:val="-4"/>
          <w:sz w:val="20"/>
        </w:rPr>
        <w:t> </w:t>
      </w:r>
      <w:r>
        <w:rPr>
          <w:sz w:val="20"/>
        </w:rPr>
        <w:t>one</w:t>
      </w:r>
      <w:r>
        <w:rPr>
          <w:spacing w:val="-2"/>
          <w:sz w:val="20"/>
        </w:rPr>
        <w:t> </w:t>
      </w:r>
      <w:r>
        <w:rPr>
          <w:sz w:val="20"/>
        </w:rPr>
        <w:t>jurisdiction</w:t>
      </w:r>
      <w:r>
        <w:rPr>
          <w:spacing w:val="-4"/>
          <w:sz w:val="20"/>
        </w:rPr>
        <w:t> </w:t>
      </w:r>
      <w:r>
        <w:rPr>
          <w:sz w:val="20"/>
        </w:rPr>
        <w:t>bearing</w:t>
      </w:r>
      <w:r>
        <w:rPr>
          <w:spacing w:val="-4"/>
          <w:sz w:val="20"/>
        </w:rPr>
        <w:t> </w:t>
      </w:r>
      <w:r>
        <w:rPr>
          <w:sz w:val="20"/>
        </w:rPr>
        <w:t>the</w:t>
      </w:r>
      <w:r>
        <w:rPr>
          <w:spacing w:val="-4"/>
          <w:sz w:val="20"/>
        </w:rPr>
        <w:t> </w:t>
      </w:r>
      <w:r>
        <w:rPr>
          <w:sz w:val="20"/>
        </w:rPr>
        <w:t>full</w:t>
      </w:r>
      <w:r>
        <w:rPr>
          <w:spacing w:val="-3"/>
          <w:sz w:val="20"/>
        </w:rPr>
        <w:t> </w:t>
      </w:r>
      <w:r>
        <w:rPr>
          <w:sz w:val="20"/>
        </w:rPr>
        <w:t>Amount</w:t>
      </w:r>
      <w:r>
        <w:rPr>
          <w:spacing w:val="-5"/>
          <w:sz w:val="20"/>
        </w:rPr>
        <w:t> </w:t>
      </w:r>
      <w:r>
        <w:rPr>
          <w:sz w:val="20"/>
        </w:rPr>
        <w:t>A</w:t>
      </w:r>
      <w:r>
        <w:rPr>
          <w:spacing w:val="-4"/>
          <w:sz w:val="20"/>
        </w:rPr>
        <w:t> </w:t>
      </w:r>
      <w:r>
        <w:rPr>
          <w:sz w:val="20"/>
        </w:rPr>
        <w:t>tax</w:t>
      </w:r>
      <w:r>
        <w:rPr>
          <w:spacing w:val="-1"/>
          <w:sz w:val="20"/>
        </w:rPr>
        <w:t> </w:t>
      </w:r>
      <w:r>
        <w:rPr>
          <w:sz w:val="20"/>
        </w:rPr>
        <w:t>liability</w:t>
      </w:r>
      <w:r>
        <w:rPr>
          <w:spacing w:val="-6"/>
          <w:sz w:val="20"/>
        </w:rPr>
        <w:t> </w:t>
      </w:r>
      <w:r>
        <w:rPr>
          <w:sz w:val="20"/>
        </w:rPr>
        <w:t>of a group, because a paying entity in another jurisdiction has large amounts of carried forward</w:t>
      </w:r>
      <w:r>
        <w:rPr>
          <w:spacing w:val="-30"/>
          <w:sz w:val="20"/>
        </w:rPr>
        <w:t> </w:t>
      </w:r>
      <w:r>
        <w:rPr>
          <w:sz w:val="20"/>
        </w:rPr>
        <w:t>losses,</w:t>
      </w:r>
    </w:p>
    <w:p>
      <w:pPr>
        <w:pStyle w:val="BodyText"/>
        <w:spacing w:before="9"/>
        <w:rPr>
          <w:sz w:val="28"/>
        </w:rPr>
      </w:pPr>
      <w:r>
        <w:rPr/>
        <w:pict>
          <v:rect style="position:absolute;margin-left:65.183998pt;margin-top:18.523203pt;width:144.020004pt;height:.60004pt;mso-position-horizontal-relative:page;mso-position-vertical-relative:paragraph;z-index:-1565235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17" w:val="left" w:leader="none"/>
        </w:tabs>
        <w:spacing w:line="278" w:lineRule="auto" w:before="94" w:after="0"/>
        <w:ind w:left="723" w:right="494" w:firstLine="0"/>
        <w:jc w:val="left"/>
        <w:rPr>
          <w:sz w:val="18"/>
        </w:rPr>
      </w:pPr>
      <w:r>
        <w:rPr>
          <w:sz w:val="18"/>
        </w:rPr>
        <w:t>While the profitability test starts with the financial accounts, corresponding (or tax) adjustments will typically be made in the tax account. Further work is therefore required to align this</w:t>
      </w:r>
      <w:r>
        <w:rPr>
          <w:spacing w:val="-5"/>
          <w:sz w:val="18"/>
        </w:rPr>
        <w:t> </w:t>
      </w:r>
      <w:r>
        <w:rPr>
          <w:sz w:val="18"/>
        </w:rPr>
        <w:t>issue.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especially where the difference is simply the result of different loss carry forward rules in the two jurisdictions</w:t>
      </w:r>
      <w:r>
        <w:rPr>
          <w:spacing w:val="-7"/>
        </w:rPr>
        <w:t> </w:t>
      </w:r>
      <w:r>
        <w:rPr/>
        <w:t>concerned.</w:t>
      </w:r>
      <w:r>
        <w:rPr>
          <w:spacing w:val="-7"/>
        </w:rPr>
        <w:t> </w:t>
      </w:r>
      <w:r>
        <w:rPr/>
        <w:t>It</w:t>
      </w:r>
      <w:r>
        <w:rPr>
          <w:spacing w:val="-4"/>
        </w:rPr>
        <w:t> </w:t>
      </w:r>
      <w:r>
        <w:rPr/>
        <w:t>could</w:t>
      </w:r>
      <w:r>
        <w:rPr>
          <w:spacing w:val="-8"/>
        </w:rPr>
        <w:t> </w:t>
      </w:r>
      <w:r>
        <w:rPr/>
        <w:t>also</w:t>
      </w:r>
      <w:r>
        <w:rPr>
          <w:spacing w:val="-7"/>
        </w:rPr>
        <w:t> </w:t>
      </w:r>
      <w:r>
        <w:rPr/>
        <w:t>create</w:t>
      </w:r>
      <w:r>
        <w:rPr>
          <w:spacing w:val="-8"/>
        </w:rPr>
        <w:t> </w:t>
      </w:r>
      <w:r>
        <w:rPr/>
        <w:t>opportunities</w:t>
      </w:r>
      <w:r>
        <w:rPr>
          <w:spacing w:val="-6"/>
        </w:rPr>
        <w:t> </w:t>
      </w:r>
      <w:r>
        <w:rPr/>
        <w:t>for</w:t>
      </w:r>
      <w:r>
        <w:rPr>
          <w:spacing w:val="-9"/>
        </w:rPr>
        <w:t> </w:t>
      </w:r>
      <w:r>
        <w:rPr/>
        <w:t>manipulation.</w:t>
      </w:r>
      <w:r>
        <w:rPr>
          <w:spacing w:val="-4"/>
        </w:rPr>
        <w:t> </w:t>
      </w:r>
      <w:r>
        <w:rPr/>
        <w:t>The</w:t>
      </w:r>
      <w:r>
        <w:rPr>
          <w:spacing w:val="-8"/>
        </w:rPr>
        <w:t> </w:t>
      </w:r>
      <w:r>
        <w:rPr/>
        <w:t>risk</w:t>
      </w:r>
      <w:r>
        <w:rPr>
          <w:spacing w:val="-3"/>
        </w:rPr>
        <w:t> </w:t>
      </w:r>
      <w:r>
        <w:rPr/>
        <w:t>of</w:t>
      </w:r>
      <w:r>
        <w:rPr>
          <w:spacing w:val="-8"/>
        </w:rPr>
        <w:t> </w:t>
      </w:r>
      <w:r>
        <w:rPr/>
        <w:t>manipulation</w:t>
      </w:r>
      <w:r>
        <w:rPr>
          <w:spacing w:val="-6"/>
        </w:rPr>
        <w:t> </w:t>
      </w:r>
      <w:r>
        <w:rPr/>
        <w:t>arises because there are situations where MNE groups can artificially generate carry-forward losses at an entity level.</w:t>
      </w:r>
      <w:r>
        <w:rPr>
          <w:spacing w:val="-10"/>
        </w:rPr>
        <w:t> </w:t>
      </w:r>
      <w:r>
        <w:rPr/>
        <w:t>Therefore,</w:t>
      </w:r>
      <w:r>
        <w:rPr>
          <w:spacing w:val="-6"/>
        </w:rPr>
        <w:t> </w:t>
      </w:r>
      <w:r>
        <w:rPr/>
        <w:t>if</w:t>
      </w:r>
      <w:r>
        <w:rPr>
          <w:spacing w:val="-7"/>
        </w:rPr>
        <w:t> </w:t>
      </w:r>
      <w:r>
        <w:rPr/>
        <w:t>entity-level</w:t>
      </w:r>
      <w:r>
        <w:rPr>
          <w:spacing w:val="-9"/>
        </w:rPr>
        <w:t> </w:t>
      </w:r>
      <w:r>
        <w:rPr/>
        <w:t>losses</w:t>
      </w:r>
      <w:r>
        <w:rPr>
          <w:spacing w:val="-6"/>
        </w:rPr>
        <w:t> </w:t>
      </w:r>
      <w:r>
        <w:rPr/>
        <w:t>were</w:t>
      </w:r>
      <w:r>
        <w:rPr>
          <w:spacing w:val="-7"/>
        </w:rPr>
        <w:t> </w:t>
      </w:r>
      <w:r>
        <w:rPr/>
        <w:t>to</w:t>
      </w:r>
      <w:r>
        <w:rPr>
          <w:spacing w:val="-8"/>
        </w:rPr>
        <w:t> </w:t>
      </w:r>
      <w:r>
        <w:rPr/>
        <w:t>be</w:t>
      </w:r>
      <w:r>
        <w:rPr>
          <w:spacing w:val="-7"/>
        </w:rPr>
        <w:t> </w:t>
      </w:r>
      <w:r>
        <w:rPr/>
        <w:t>taken</w:t>
      </w:r>
      <w:r>
        <w:rPr>
          <w:spacing w:val="-9"/>
        </w:rPr>
        <w:t> </w:t>
      </w:r>
      <w:r>
        <w:rPr/>
        <w:t>into</w:t>
      </w:r>
      <w:r>
        <w:rPr>
          <w:spacing w:val="-7"/>
        </w:rPr>
        <w:t> </w:t>
      </w:r>
      <w:r>
        <w:rPr/>
        <w:t>account</w:t>
      </w:r>
      <w:r>
        <w:rPr>
          <w:spacing w:val="-8"/>
        </w:rPr>
        <w:t> </w:t>
      </w:r>
      <w:r>
        <w:rPr/>
        <w:t>in</w:t>
      </w:r>
      <w:r>
        <w:rPr>
          <w:spacing w:val="-7"/>
        </w:rPr>
        <w:t> </w:t>
      </w:r>
      <w:r>
        <w:rPr/>
        <w:t>the</w:t>
      </w:r>
      <w:r>
        <w:rPr>
          <w:spacing w:val="-7"/>
        </w:rPr>
        <w:t> </w:t>
      </w:r>
      <w:r>
        <w:rPr/>
        <w:t>process</w:t>
      </w:r>
      <w:r>
        <w:rPr>
          <w:spacing w:val="-6"/>
        </w:rPr>
        <w:t> </w:t>
      </w:r>
      <w:r>
        <w:rPr/>
        <w:t>of</w:t>
      </w:r>
      <w:r>
        <w:rPr>
          <w:spacing w:val="-7"/>
        </w:rPr>
        <w:t> </w:t>
      </w:r>
      <w:r>
        <w:rPr/>
        <w:t>identifying</w:t>
      </w:r>
      <w:r>
        <w:rPr>
          <w:spacing w:val="-7"/>
        </w:rPr>
        <w:t> </w:t>
      </w:r>
      <w:r>
        <w:rPr/>
        <w:t>the</w:t>
      </w:r>
      <w:r>
        <w:rPr>
          <w:spacing w:val="-7"/>
        </w:rPr>
        <w:t> </w:t>
      </w:r>
      <w:r>
        <w:rPr/>
        <w:t>paying entity, it may be necessary to develop additional protections to prevent this opportunity for manipulation, creating significant additional complexity for taxpayers and tax administrations. The Inclusive Framework is continuing to examine this</w:t>
      </w:r>
      <w:r>
        <w:rPr>
          <w:spacing w:val="-4"/>
        </w:rPr>
        <w:t> </w:t>
      </w:r>
      <w:r>
        <w:rPr/>
        <w:t>issue.</w:t>
      </w:r>
    </w:p>
    <w:p>
      <w:pPr>
        <w:pStyle w:val="BodyText"/>
        <w:rPr>
          <w:sz w:val="22"/>
        </w:rPr>
      </w:pPr>
    </w:p>
    <w:p>
      <w:pPr>
        <w:pStyle w:val="Heading4"/>
        <w:numPr>
          <w:ilvl w:val="1"/>
          <w:numId w:val="68"/>
        </w:numPr>
        <w:tabs>
          <w:tab w:pos="1192" w:val="left" w:leader="none"/>
        </w:tabs>
        <w:spacing w:line="240" w:lineRule="auto" w:before="192" w:after="0"/>
        <w:ind w:left="1191" w:right="0" w:hanging="469"/>
        <w:jc w:val="left"/>
        <w:rPr>
          <w:rFonts w:ascii="Arial"/>
        </w:rPr>
      </w:pPr>
      <w:bookmarkStart w:name="7.3. Component 2: Methods to eliminate d" w:id="355"/>
      <w:bookmarkEnd w:id="355"/>
      <w:r>
        <w:rPr>
          <w:b w:val="0"/>
        </w:rPr>
      </w:r>
      <w:bookmarkStart w:name="_bookmark59" w:id="356"/>
      <w:bookmarkEnd w:id="356"/>
      <w:r>
        <w:rPr>
          <w:b w:val="0"/>
        </w:rPr>
      </w:r>
      <w:bookmarkStart w:name="_bookmark59" w:id="357"/>
      <w:bookmarkEnd w:id="357"/>
      <w:r>
        <w:rPr>
          <w:rFonts w:ascii="Arial"/>
          <w:color w:val="4E81BD"/>
        </w:rPr>
        <w:t>Componen</w:t>
      </w:r>
      <w:r>
        <w:rPr>
          <w:rFonts w:ascii="Arial"/>
          <w:color w:val="4E81BD"/>
        </w:rPr>
        <w:t>t 2: Methods to eliminate double taxation</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second component of the mechanism to eliminate double taxation concerns the methods to eliminate double taxation. The application of this method (or methods) will ensure that a paying entity is not</w:t>
      </w:r>
      <w:r>
        <w:rPr>
          <w:spacing w:val="-14"/>
          <w:sz w:val="20"/>
        </w:rPr>
        <w:t> </w:t>
      </w:r>
      <w:r>
        <w:rPr>
          <w:sz w:val="20"/>
        </w:rPr>
        <w:t>subject</w:t>
      </w:r>
      <w:r>
        <w:rPr>
          <w:spacing w:val="-14"/>
          <w:sz w:val="20"/>
        </w:rPr>
        <w:t> </w:t>
      </w:r>
      <w:r>
        <w:rPr>
          <w:sz w:val="20"/>
        </w:rPr>
        <w:t>to</w:t>
      </w:r>
      <w:r>
        <w:rPr>
          <w:spacing w:val="-12"/>
          <w:sz w:val="20"/>
        </w:rPr>
        <w:t> </w:t>
      </w:r>
      <w:r>
        <w:rPr>
          <w:sz w:val="20"/>
        </w:rPr>
        <w:t>tax</w:t>
      </w:r>
      <w:r>
        <w:rPr>
          <w:spacing w:val="-11"/>
          <w:sz w:val="20"/>
        </w:rPr>
        <w:t> </w:t>
      </w:r>
      <w:r>
        <w:rPr>
          <w:sz w:val="20"/>
        </w:rPr>
        <w:t>twice</w:t>
      </w:r>
      <w:r>
        <w:rPr>
          <w:spacing w:val="-12"/>
          <w:sz w:val="20"/>
        </w:rPr>
        <w:t> </w:t>
      </w:r>
      <w:r>
        <w:rPr>
          <w:sz w:val="20"/>
        </w:rPr>
        <w:t>on</w:t>
      </w:r>
      <w:r>
        <w:rPr>
          <w:spacing w:val="-12"/>
          <w:sz w:val="20"/>
        </w:rPr>
        <w:t> </w:t>
      </w:r>
      <w:r>
        <w:rPr>
          <w:sz w:val="20"/>
        </w:rPr>
        <w:t>the</w:t>
      </w:r>
      <w:r>
        <w:rPr>
          <w:spacing w:val="-14"/>
          <w:sz w:val="20"/>
        </w:rPr>
        <w:t> </w:t>
      </w:r>
      <w:r>
        <w:rPr>
          <w:sz w:val="20"/>
        </w:rPr>
        <w:t>same</w:t>
      </w:r>
      <w:r>
        <w:rPr>
          <w:spacing w:val="-14"/>
          <w:sz w:val="20"/>
        </w:rPr>
        <w:t> </w:t>
      </w:r>
      <w:r>
        <w:rPr>
          <w:sz w:val="20"/>
        </w:rPr>
        <w:t>profits</w:t>
      </w:r>
      <w:r>
        <w:rPr>
          <w:spacing w:val="-13"/>
          <w:sz w:val="20"/>
        </w:rPr>
        <w:t> </w:t>
      </w:r>
      <w:r>
        <w:rPr>
          <w:sz w:val="20"/>
        </w:rPr>
        <w:t>in</w:t>
      </w:r>
      <w:r>
        <w:rPr>
          <w:spacing w:val="-14"/>
          <w:sz w:val="20"/>
        </w:rPr>
        <w:t> </w:t>
      </w:r>
      <w:r>
        <w:rPr>
          <w:sz w:val="20"/>
        </w:rPr>
        <w:t>different</w:t>
      </w:r>
      <w:r>
        <w:rPr>
          <w:spacing w:val="-14"/>
          <w:sz w:val="20"/>
        </w:rPr>
        <w:t> </w:t>
      </w:r>
      <w:r>
        <w:rPr>
          <w:sz w:val="20"/>
        </w:rPr>
        <w:t>jurisdictions,</w:t>
      </w:r>
      <w:r>
        <w:rPr>
          <w:spacing w:val="-11"/>
          <w:sz w:val="20"/>
        </w:rPr>
        <w:t> </w:t>
      </w:r>
      <w:r>
        <w:rPr>
          <w:sz w:val="20"/>
        </w:rPr>
        <w:t>once</w:t>
      </w:r>
      <w:r>
        <w:rPr>
          <w:spacing w:val="-12"/>
          <w:sz w:val="20"/>
        </w:rPr>
        <w:t> </w:t>
      </w:r>
      <w:r>
        <w:rPr>
          <w:sz w:val="20"/>
        </w:rPr>
        <w:t>under</w:t>
      </w:r>
      <w:r>
        <w:rPr>
          <w:spacing w:val="-13"/>
          <w:sz w:val="20"/>
        </w:rPr>
        <w:t> </w:t>
      </w:r>
      <w:r>
        <w:rPr>
          <w:sz w:val="20"/>
        </w:rPr>
        <w:t>the</w:t>
      </w:r>
      <w:r>
        <w:rPr>
          <w:spacing w:val="-12"/>
          <w:sz w:val="20"/>
        </w:rPr>
        <w:t> </w:t>
      </w:r>
      <w:r>
        <w:rPr>
          <w:sz w:val="20"/>
        </w:rPr>
        <w:t>existing</w:t>
      </w:r>
      <w:r>
        <w:rPr>
          <w:spacing w:val="-12"/>
          <w:sz w:val="20"/>
        </w:rPr>
        <w:t> </w:t>
      </w:r>
      <w:r>
        <w:rPr>
          <w:sz w:val="20"/>
        </w:rPr>
        <w:t>profit</w:t>
      </w:r>
      <w:r>
        <w:rPr>
          <w:spacing w:val="-11"/>
          <w:sz w:val="20"/>
        </w:rPr>
        <w:t> </w:t>
      </w:r>
      <w:r>
        <w:rPr>
          <w:sz w:val="20"/>
        </w:rPr>
        <w:t>allocation rules</w:t>
      </w:r>
      <w:r>
        <w:rPr>
          <w:spacing w:val="-13"/>
          <w:sz w:val="20"/>
        </w:rPr>
        <w:t> </w:t>
      </w:r>
      <w:r>
        <w:rPr>
          <w:sz w:val="20"/>
        </w:rPr>
        <w:t>and</w:t>
      </w:r>
      <w:r>
        <w:rPr>
          <w:spacing w:val="-13"/>
          <w:sz w:val="20"/>
        </w:rPr>
        <w:t> </w:t>
      </w:r>
      <w:r>
        <w:rPr>
          <w:sz w:val="20"/>
        </w:rPr>
        <w:t>once</w:t>
      </w:r>
      <w:r>
        <w:rPr>
          <w:spacing w:val="-12"/>
          <w:sz w:val="20"/>
        </w:rPr>
        <w:t> </w:t>
      </w:r>
      <w:r>
        <w:rPr>
          <w:sz w:val="20"/>
        </w:rPr>
        <w:t>under</w:t>
      </w:r>
      <w:r>
        <w:rPr>
          <w:spacing w:val="-11"/>
          <w:sz w:val="20"/>
        </w:rPr>
        <w:t> </w:t>
      </w:r>
      <w:r>
        <w:rPr>
          <w:sz w:val="20"/>
        </w:rPr>
        <w:t>Amount</w:t>
      </w:r>
      <w:r>
        <w:rPr>
          <w:spacing w:val="-12"/>
          <w:sz w:val="20"/>
        </w:rPr>
        <w:t> </w:t>
      </w:r>
      <w:r>
        <w:rPr>
          <w:sz w:val="20"/>
        </w:rPr>
        <w:t>A.</w:t>
      </w:r>
      <w:r>
        <w:rPr>
          <w:spacing w:val="-14"/>
          <w:sz w:val="20"/>
        </w:rPr>
        <w:t> </w:t>
      </w:r>
      <w:r>
        <w:rPr>
          <w:sz w:val="20"/>
        </w:rPr>
        <w:t>The</w:t>
      </w:r>
      <w:r>
        <w:rPr>
          <w:spacing w:val="-12"/>
          <w:sz w:val="20"/>
        </w:rPr>
        <w:t> </w:t>
      </w:r>
      <w:r>
        <w:rPr>
          <w:sz w:val="20"/>
        </w:rPr>
        <w:t>identification</w:t>
      </w:r>
      <w:r>
        <w:rPr>
          <w:spacing w:val="-14"/>
          <w:sz w:val="20"/>
        </w:rPr>
        <w:t> </w:t>
      </w:r>
      <w:r>
        <w:rPr>
          <w:sz w:val="20"/>
        </w:rPr>
        <w:t>of</w:t>
      </w:r>
      <w:r>
        <w:rPr>
          <w:spacing w:val="-12"/>
          <w:sz w:val="20"/>
        </w:rPr>
        <w:t> </w:t>
      </w:r>
      <w:r>
        <w:rPr>
          <w:sz w:val="20"/>
        </w:rPr>
        <w:t>paying</w:t>
      </w:r>
      <w:r>
        <w:rPr>
          <w:spacing w:val="-12"/>
          <w:sz w:val="20"/>
        </w:rPr>
        <w:t> </w:t>
      </w:r>
      <w:r>
        <w:rPr>
          <w:sz w:val="20"/>
        </w:rPr>
        <w:t>entities</w:t>
      </w:r>
      <w:r>
        <w:rPr>
          <w:spacing w:val="-13"/>
          <w:sz w:val="20"/>
        </w:rPr>
        <w:t> </w:t>
      </w:r>
      <w:r>
        <w:rPr>
          <w:sz w:val="20"/>
        </w:rPr>
        <w:t>under</w:t>
      </w:r>
      <w:r>
        <w:rPr>
          <w:spacing w:val="-11"/>
          <w:sz w:val="20"/>
        </w:rPr>
        <w:t> </w:t>
      </w:r>
      <w:r>
        <w:rPr>
          <w:sz w:val="20"/>
        </w:rPr>
        <w:t>Component</w:t>
      </w:r>
      <w:r>
        <w:rPr>
          <w:spacing w:val="-11"/>
          <w:sz w:val="20"/>
        </w:rPr>
        <w:t> </w:t>
      </w:r>
      <w:r>
        <w:rPr>
          <w:sz w:val="20"/>
        </w:rPr>
        <w:t>1</w:t>
      </w:r>
      <w:r>
        <w:rPr>
          <w:spacing w:val="-12"/>
          <w:sz w:val="20"/>
        </w:rPr>
        <w:t> </w:t>
      </w:r>
      <w:r>
        <w:rPr>
          <w:sz w:val="20"/>
        </w:rPr>
        <w:t>is</w:t>
      </w:r>
      <w:r>
        <w:rPr>
          <w:spacing w:val="-12"/>
          <w:sz w:val="20"/>
        </w:rPr>
        <w:t> </w:t>
      </w:r>
      <w:r>
        <w:rPr>
          <w:sz w:val="20"/>
        </w:rPr>
        <w:t>structured</w:t>
      </w:r>
      <w:r>
        <w:rPr>
          <w:spacing w:val="-12"/>
          <w:sz w:val="20"/>
        </w:rPr>
        <w:t> </w:t>
      </w:r>
      <w:r>
        <w:rPr>
          <w:sz w:val="20"/>
        </w:rPr>
        <w:t>such that the entities which earn residual profits under existing rules are designated as paying entities. The result</w:t>
      </w:r>
      <w:r>
        <w:rPr>
          <w:spacing w:val="-5"/>
          <w:sz w:val="20"/>
        </w:rPr>
        <w:t> </w:t>
      </w:r>
      <w:r>
        <w:rPr>
          <w:sz w:val="20"/>
        </w:rPr>
        <w:t>is</w:t>
      </w:r>
      <w:r>
        <w:rPr>
          <w:spacing w:val="-3"/>
          <w:sz w:val="20"/>
        </w:rPr>
        <w:t> </w:t>
      </w:r>
      <w:r>
        <w:rPr>
          <w:sz w:val="20"/>
        </w:rPr>
        <w:t>that</w:t>
      </w:r>
      <w:r>
        <w:rPr>
          <w:spacing w:val="-3"/>
          <w:sz w:val="20"/>
        </w:rPr>
        <w:t> </w:t>
      </w:r>
      <w:r>
        <w:rPr>
          <w:sz w:val="20"/>
        </w:rPr>
        <w:t>the</w:t>
      </w:r>
      <w:r>
        <w:rPr>
          <w:spacing w:val="-5"/>
          <w:sz w:val="20"/>
        </w:rPr>
        <w:t> </w:t>
      </w:r>
      <w:r>
        <w:rPr>
          <w:sz w:val="20"/>
        </w:rPr>
        <w:t>double</w:t>
      </w:r>
      <w:r>
        <w:rPr>
          <w:spacing w:val="-4"/>
          <w:sz w:val="20"/>
        </w:rPr>
        <w:t> </w:t>
      </w:r>
      <w:r>
        <w:rPr>
          <w:sz w:val="20"/>
        </w:rPr>
        <w:t>taxation</w:t>
      </w:r>
      <w:r>
        <w:rPr>
          <w:spacing w:val="-4"/>
          <w:sz w:val="20"/>
        </w:rPr>
        <w:t> </w:t>
      </w:r>
      <w:r>
        <w:rPr>
          <w:sz w:val="20"/>
        </w:rPr>
        <w:t>that</w:t>
      </w:r>
      <w:r>
        <w:rPr>
          <w:spacing w:val="-2"/>
          <w:sz w:val="20"/>
        </w:rPr>
        <w:t> </w:t>
      </w:r>
      <w:r>
        <w:rPr>
          <w:sz w:val="20"/>
        </w:rPr>
        <w:t>will</w:t>
      </w:r>
      <w:r>
        <w:rPr>
          <w:spacing w:val="-3"/>
          <w:sz w:val="20"/>
        </w:rPr>
        <w:t> </w:t>
      </w:r>
      <w:r>
        <w:rPr>
          <w:sz w:val="20"/>
        </w:rPr>
        <w:t>arise</w:t>
      </w:r>
      <w:r>
        <w:rPr>
          <w:spacing w:val="-2"/>
          <w:sz w:val="20"/>
        </w:rPr>
        <w:t> </w:t>
      </w:r>
      <w:r>
        <w:rPr>
          <w:sz w:val="20"/>
        </w:rPr>
        <w:t>is</w:t>
      </w:r>
      <w:r>
        <w:rPr>
          <w:spacing w:val="-4"/>
          <w:sz w:val="20"/>
        </w:rPr>
        <w:t> </w:t>
      </w:r>
      <w:r>
        <w:rPr>
          <w:sz w:val="20"/>
        </w:rPr>
        <w:t>juridical</w:t>
      </w:r>
      <w:r>
        <w:rPr>
          <w:spacing w:val="-5"/>
          <w:sz w:val="20"/>
        </w:rPr>
        <w:t> </w:t>
      </w:r>
      <w:r>
        <w:rPr>
          <w:sz w:val="20"/>
        </w:rPr>
        <w:t>in</w:t>
      </w:r>
      <w:r>
        <w:rPr>
          <w:spacing w:val="-4"/>
          <w:sz w:val="20"/>
        </w:rPr>
        <w:t> </w:t>
      </w:r>
      <w:r>
        <w:rPr>
          <w:sz w:val="20"/>
        </w:rPr>
        <w:t>nature</w:t>
      </w:r>
      <w:r>
        <w:rPr>
          <w:spacing w:val="-4"/>
          <w:sz w:val="20"/>
        </w:rPr>
        <w:t> </w:t>
      </w:r>
      <w:r>
        <w:rPr>
          <w:sz w:val="20"/>
        </w:rPr>
        <w:t>(the</w:t>
      </w:r>
      <w:r>
        <w:rPr>
          <w:spacing w:val="-4"/>
          <w:sz w:val="20"/>
        </w:rPr>
        <w:t> </w:t>
      </w:r>
      <w:r>
        <w:rPr>
          <w:sz w:val="20"/>
        </w:rPr>
        <w:t>taxation</w:t>
      </w:r>
      <w:r>
        <w:rPr>
          <w:spacing w:val="-4"/>
          <w:sz w:val="20"/>
        </w:rPr>
        <w:t> </w:t>
      </w:r>
      <w:r>
        <w:rPr>
          <w:sz w:val="20"/>
        </w:rPr>
        <w:t>by</w:t>
      </w:r>
      <w:r>
        <w:rPr>
          <w:spacing w:val="-5"/>
          <w:sz w:val="20"/>
        </w:rPr>
        <w:t> </w:t>
      </w:r>
      <w:r>
        <w:rPr>
          <w:sz w:val="20"/>
        </w:rPr>
        <w:t>two</w:t>
      </w:r>
      <w:r>
        <w:rPr>
          <w:spacing w:val="-4"/>
          <w:sz w:val="20"/>
        </w:rPr>
        <w:t> </w:t>
      </w:r>
      <w:r>
        <w:rPr>
          <w:sz w:val="20"/>
        </w:rPr>
        <w:t>jurisdictions</w:t>
      </w:r>
      <w:r>
        <w:rPr>
          <w:spacing w:val="-3"/>
          <w:sz w:val="20"/>
        </w:rPr>
        <w:t> </w:t>
      </w:r>
      <w:r>
        <w:rPr>
          <w:sz w:val="20"/>
        </w:rPr>
        <w:t>of</w:t>
      </w:r>
      <w:r>
        <w:rPr>
          <w:spacing w:val="-2"/>
          <w:sz w:val="20"/>
        </w:rPr>
        <w:t> </w:t>
      </w:r>
      <w:r>
        <w:rPr>
          <w:sz w:val="20"/>
        </w:rPr>
        <w:t>one person</w:t>
      </w:r>
      <w:r>
        <w:rPr>
          <w:spacing w:val="-5"/>
          <w:sz w:val="20"/>
        </w:rPr>
        <w:t> </w:t>
      </w:r>
      <w:r>
        <w:rPr>
          <w:sz w:val="20"/>
        </w:rPr>
        <w:t>on</w:t>
      </w:r>
      <w:r>
        <w:rPr>
          <w:spacing w:val="-5"/>
          <w:sz w:val="20"/>
        </w:rPr>
        <w:t> </w:t>
      </w:r>
      <w:r>
        <w:rPr>
          <w:sz w:val="20"/>
        </w:rPr>
        <w:t>the</w:t>
      </w:r>
      <w:r>
        <w:rPr>
          <w:spacing w:val="-4"/>
          <w:sz w:val="20"/>
        </w:rPr>
        <w:t> </w:t>
      </w:r>
      <w:r>
        <w:rPr>
          <w:sz w:val="20"/>
        </w:rPr>
        <w:t>same</w:t>
      </w:r>
      <w:r>
        <w:rPr>
          <w:spacing w:val="-4"/>
          <w:sz w:val="20"/>
        </w:rPr>
        <w:t> </w:t>
      </w:r>
      <w:r>
        <w:rPr>
          <w:sz w:val="20"/>
        </w:rPr>
        <w:t>income).</w:t>
      </w:r>
      <w:r>
        <w:rPr>
          <w:spacing w:val="-4"/>
          <w:sz w:val="20"/>
        </w:rPr>
        <w:t> </w:t>
      </w:r>
      <w:r>
        <w:rPr>
          <w:sz w:val="20"/>
        </w:rPr>
        <w:t>These</w:t>
      </w:r>
      <w:r>
        <w:rPr>
          <w:spacing w:val="-4"/>
          <w:sz w:val="20"/>
        </w:rPr>
        <w:t> </w:t>
      </w:r>
      <w:r>
        <w:rPr>
          <w:sz w:val="20"/>
        </w:rPr>
        <w:t>paying</w:t>
      </w:r>
      <w:r>
        <w:rPr>
          <w:spacing w:val="-4"/>
          <w:sz w:val="20"/>
        </w:rPr>
        <w:t> </w:t>
      </w:r>
      <w:r>
        <w:rPr>
          <w:sz w:val="20"/>
        </w:rPr>
        <w:t>entities</w:t>
      </w:r>
      <w:r>
        <w:rPr>
          <w:spacing w:val="-3"/>
          <w:sz w:val="20"/>
        </w:rPr>
        <w:t> </w:t>
      </w:r>
      <w:r>
        <w:rPr>
          <w:sz w:val="20"/>
        </w:rPr>
        <w:t>are</w:t>
      </w:r>
      <w:r>
        <w:rPr>
          <w:spacing w:val="-4"/>
          <w:sz w:val="20"/>
        </w:rPr>
        <w:t> </w:t>
      </w:r>
      <w:r>
        <w:rPr>
          <w:sz w:val="20"/>
        </w:rPr>
        <w:t>potentially</w:t>
      </w:r>
      <w:r>
        <w:rPr>
          <w:spacing w:val="-6"/>
          <w:sz w:val="20"/>
        </w:rPr>
        <w:t> </w:t>
      </w:r>
      <w:r>
        <w:rPr>
          <w:sz w:val="20"/>
        </w:rPr>
        <w:t>subject</w:t>
      </w:r>
      <w:r>
        <w:rPr>
          <w:spacing w:val="-4"/>
          <w:sz w:val="20"/>
        </w:rPr>
        <w:t> </w:t>
      </w:r>
      <w:r>
        <w:rPr>
          <w:sz w:val="20"/>
        </w:rPr>
        <w:t>to</w:t>
      </w:r>
      <w:r>
        <w:rPr>
          <w:spacing w:val="-4"/>
          <w:sz w:val="20"/>
        </w:rPr>
        <w:t> </w:t>
      </w:r>
      <w:r>
        <w:rPr>
          <w:sz w:val="20"/>
        </w:rPr>
        <w:t>tax</w:t>
      </w:r>
      <w:r>
        <w:rPr>
          <w:spacing w:val="-3"/>
          <w:sz w:val="20"/>
        </w:rPr>
        <w:t> </w:t>
      </w:r>
      <w:r>
        <w:rPr>
          <w:sz w:val="20"/>
        </w:rPr>
        <w:t>on</w:t>
      </w:r>
      <w:r>
        <w:rPr>
          <w:spacing w:val="-5"/>
          <w:sz w:val="20"/>
        </w:rPr>
        <w:t> </w:t>
      </w:r>
      <w:r>
        <w:rPr>
          <w:sz w:val="20"/>
        </w:rPr>
        <w:t>the</w:t>
      </w:r>
      <w:r>
        <w:rPr>
          <w:spacing w:val="-4"/>
          <w:sz w:val="20"/>
        </w:rPr>
        <w:t> </w:t>
      </w:r>
      <w:r>
        <w:rPr>
          <w:sz w:val="20"/>
        </w:rPr>
        <w:t>profits</w:t>
      </w:r>
      <w:r>
        <w:rPr>
          <w:spacing w:val="-3"/>
          <w:sz w:val="20"/>
        </w:rPr>
        <w:t> </w:t>
      </w:r>
      <w:r>
        <w:rPr>
          <w:sz w:val="20"/>
        </w:rPr>
        <w:t>reflected</w:t>
      </w:r>
      <w:r>
        <w:rPr>
          <w:spacing w:val="-4"/>
          <w:sz w:val="20"/>
        </w:rPr>
        <w:t> </w:t>
      </w:r>
      <w:r>
        <w:rPr>
          <w:sz w:val="20"/>
        </w:rPr>
        <w:t>in Amount A by both their jurisdiction of residence under existing tax rules and by the market jurisdiction which is given a new taxing right with respect to Amount A. This suggests the use of either the exemption or credit method would be appropriate. If the double taxation was economic in nature (where two persons are taxed on the same economic income), the reallocation method used under transfer pricing rules (effected by corresponding adjustments) would likely be more</w:t>
      </w:r>
      <w:r>
        <w:rPr>
          <w:spacing w:val="-13"/>
          <w:sz w:val="20"/>
        </w:rPr>
        <w:t> </w:t>
      </w:r>
      <w:r>
        <w:rPr>
          <w:sz w:val="20"/>
        </w:rPr>
        <w:t>appropriate.</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Today,</w:t>
      </w:r>
      <w:r>
        <w:rPr>
          <w:spacing w:val="-6"/>
          <w:sz w:val="20"/>
        </w:rPr>
        <w:t> </w:t>
      </w:r>
      <w:r>
        <w:rPr>
          <w:sz w:val="20"/>
        </w:rPr>
        <w:t>jurisdictions</w:t>
      </w:r>
      <w:r>
        <w:rPr>
          <w:spacing w:val="-4"/>
          <w:sz w:val="20"/>
        </w:rPr>
        <w:t> </w:t>
      </w:r>
      <w:r>
        <w:rPr>
          <w:sz w:val="20"/>
        </w:rPr>
        <w:t>apply</w:t>
      </w:r>
      <w:r>
        <w:rPr>
          <w:spacing w:val="-6"/>
          <w:sz w:val="20"/>
        </w:rPr>
        <w:t> </w:t>
      </w:r>
      <w:r>
        <w:rPr>
          <w:sz w:val="20"/>
        </w:rPr>
        <w:t>two</w:t>
      </w:r>
      <w:r>
        <w:rPr>
          <w:spacing w:val="-5"/>
          <w:sz w:val="20"/>
        </w:rPr>
        <w:t> </w:t>
      </w:r>
      <w:r>
        <w:rPr>
          <w:sz w:val="20"/>
        </w:rPr>
        <w:t>main</w:t>
      </w:r>
      <w:r>
        <w:rPr>
          <w:spacing w:val="-5"/>
          <w:sz w:val="20"/>
        </w:rPr>
        <w:t> </w:t>
      </w:r>
      <w:r>
        <w:rPr>
          <w:sz w:val="20"/>
        </w:rPr>
        <w:t>methods</w:t>
      </w:r>
      <w:r>
        <w:rPr>
          <w:spacing w:val="-4"/>
          <w:sz w:val="20"/>
        </w:rPr>
        <w:t> </w:t>
      </w:r>
      <w:r>
        <w:rPr>
          <w:sz w:val="20"/>
        </w:rPr>
        <w:t>to</w:t>
      </w:r>
      <w:r>
        <w:rPr>
          <w:spacing w:val="-6"/>
          <w:sz w:val="20"/>
        </w:rPr>
        <w:t> </w:t>
      </w:r>
      <w:r>
        <w:rPr>
          <w:sz w:val="20"/>
        </w:rPr>
        <w:t>eliminate</w:t>
      </w:r>
      <w:r>
        <w:rPr>
          <w:spacing w:val="-5"/>
          <w:sz w:val="20"/>
        </w:rPr>
        <w:t> </w:t>
      </w:r>
      <w:r>
        <w:rPr>
          <w:sz w:val="20"/>
        </w:rPr>
        <w:t>international</w:t>
      </w:r>
      <w:r>
        <w:rPr>
          <w:spacing w:val="-6"/>
          <w:sz w:val="20"/>
        </w:rPr>
        <w:t> </w:t>
      </w:r>
      <w:r>
        <w:rPr>
          <w:sz w:val="20"/>
        </w:rPr>
        <w:t>juridical</w:t>
      </w:r>
      <w:r>
        <w:rPr>
          <w:spacing w:val="-4"/>
          <w:sz w:val="20"/>
        </w:rPr>
        <w:t> </w:t>
      </w:r>
      <w:r>
        <w:rPr>
          <w:sz w:val="20"/>
        </w:rPr>
        <w:t>double</w:t>
      </w:r>
      <w:r>
        <w:rPr>
          <w:spacing w:val="-5"/>
          <w:sz w:val="20"/>
        </w:rPr>
        <w:t> </w:t>
      </w:r>
      <w:r>
        <w:rPr>
          <w:sz w:val="20"/>
        </w:rPr>
        <w:t>taxation:</w:t>
      </w:r>
      <w:r>
        <w:rPr>
          <w:spacing w:val="-5"/>
          <w:sz w:val="20"/>
        </w:rPr>
        <w:t> </w:t>
      </w:r>
      <w:r>
        <w:rPr>
          <w:spacing w:val="2"/>
          <w:sz w:val="20"/>
        </w:rPr>
        <w:t>(i) </w:t>
      </w:r>
      <w:r>
        <w:rPr>
          <w:sz w:val="20"/>
        </w:rPr>
        <w:t>the exemption method (a version of which is found in Article 23 A of the OECD and UN Models); and </w:t>
      </w:r>
      <w:r>
        <w:rPr>
          <w:spacing w:val="2"/>
          <w:sz w:val="20"/>
        </w:rPr>
        <w:t>(ii) </w:t>
      </w:r>
      <w:r>
        <w:rPr>
          <w:sz w:val="20"/>
        </w:rPr>
        <w:t>the credit method (Article 23 B of the OECD and UN</w:t>
      </w:r>
      <w:r>
        <w:rPr>
          <w:spacing w:val="-9"/>
          <w:sz w:val="20"/>
        </w:rPr>
        <w:t> </w:t>
      </w:r>
      <w:r>
        <w:rPr>
          <w:sz w:val="20"/>
        </w:rPr>
        <w:t>Models).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 exemption and credit methods are not simply different ways to deliver the same mechanical outcome.</w:t>
      </w:r>
      <w:r>
        <w:rPr>
          <w:spacing w:val="-18"/>
          <w:sz w:val="20"/>
        </w:rPr>
        <w:t> </w:t>
      </w:r>
      <w:r>
        <w:rPr>
          <w:sz w:val="20"/>
        </w:rPr>
        <w:t>Under</w:t>
      </w:r>
      <w:r>
        <w:rPr>
          <w:spacing w:val="-16"/>
          <w:sz w:val="20"/>
        </w:rPr>
        <w:t> </w:t>
      </w:r>
      <w:r>
        <w:rPr>
          <w:sz w:val="20"/>
        </w:rPr>
        <w:t>the</w:t>
      </w:r>
      <w:r>
        <w:rPr>
          <w:spacing w:val="-18"/>
          <w:sz w:val="20"/>
        </w:rPr>
        <w:t> </w:t>
      </w:r>
      <w:r>
        <w:rPr>
          <w:sz w:val="20"/>
        </w:rPr>
        <w:t>credit</w:t>
      </w:r>
      <w:r>
        <w:rPr>
          <w:spacing w:val="-15"/>
          <w:sz w:val="20"/>
        </w:rPr>
        <w:t> </w:t>
      </w:r>
      <w:r>
        <w:rPr>
          <w:sz w:val="20"/>
        </w:rPr>
        <w:t>method,</w:t>
      </w:r>
      <w:r>
        <w:rPr>
          <w:spacing w:val="-17"/>
          <w:sz w:val="20"/>
        </w:rPr>
        <w:t> </w:t>
      </w:r>
      <w:r>
        <w:rPr>
          <w:sz w:val="20"/>
        </w:rPr>
        <w:t>the</w:t>
      </w:r>
      <w:r>
        <w:rPr>
          <w:spacing w:val="-18"/>
          <w:sz w:val="20"/>
        </w:rPr>
        <w:t> </w:t>
      </w:r>
      <w:r>
        <w:rPr>
          <w:sz w:val="20"/>
        </w:rPr>
        <w:t>residence</w:t>
      </w:r>
      <w:r>
        <w:rPr>
          <w:spacing w:val="-18"/>
          <w:sz w:val="20"/>
        </w:rPr>
        <w:t> </w:t>
      </w:r>
      <w:r>
        <w:rPr>
          <w:sz w:val="20"/>
        </w:rPr>
        <w:t>jurisdiction</w:t>
      </w:r>
      <w:r>
        <w:rPr>
          <w:spacing w:val="-14"/>
          <w:sz w:val="20"/>
        </w:rPr>
        <w:t> </w:t>
      </w:r>
      <w:r>
        <w:rPr>
          <w:sz w:val="20"/>
        </w:rPr>
        <w:t>retains</w:t>
      </w:r>
      <w:r>
        <w:rPr>
          <w:spacing w:val="-16"/>
          <w:sz w:val="20"/>
        </w:rPr>
        <w:t> </w:t>
      </w:r>
      <w:r>
        <w:rPr>
          <w:sz w:val="20"/>
        </w:rPr>
        <w:t>secondary</w:t>
      </w:r>
      <w:r>
        <w:rPr>
          <w:spacing w:val="-20"/>
          <w:sz w:val="20"/>
        </w:rPr>
        <w:t> </w:t>
      </w:r>
      <w:r>
        <w:rPr>
          <w:sz w:val="20"/>
        </w:rPr>
        <w:t>taxing</w:t>
      </w:r>
      <w:r>
        <w:rPr>
          <w:spacing w:val="-18"/>
          <w:sz w:val="20"/>
        </w:rPr>
        <w:t> </w:t>
      </w:r>
      <w:r>
        <w:rPr>
          <w:sz w:val="20"/>
        </w:rPr>
        <w:t>rights</w:t>
      </w:r>
      <w:r>
        <w:rPr>
          <w:spacing w:val="-16"/>
          <w:sz w:val="20"/>
        </w:rPr>
        <w:t> </w:t>
      </w:r>
      <w:r>
        <w:rPr>
          <w:sz w:val="20"/>
        </w:rPr>
        <w:t>over</w:t>
      </w:r>
      <w:r>
        <w:rPr>
          <w:spacing w:val="-17"/>
          <w:sz w:val="20"/>
        </w:rPr>
        <w:t> </w:t>
      </w:r>
      <w:r>
        <w:rPr>
          <w:sz w:val="20"/>
        </w:rPr>
        <w:t>the</w:t>
      </w:r>
      <w:r>
        <w:rPr>
          <w:spacing w:val="-17"/>
          <w:sz w:val="20"/>
        </w:rPr>
        <w:t> </w:t>
      </w:r>
      <w:r>
        <w:rPr>
          <w:sz w:val="20"/>
        </w:rPr>
        <w:t>profits of a paying entity where these profits are taxed in the market jurisdictions at a rate that is lower than the rate</w:t>
      </w:r>
      <w:r>
        <w:rPr>
          <w:spacing w:val="-6"/>
          <w:sz w:val="20"/>
        </w:rPr>
        <w:t> </w:t>
      </w:r>
      <w:r>
        <w:rPr>
          <w:sz w:val="20"/>
        </w:rPr>
        <w:t>in</w:t>
      </w:r>
      <w:r>
        <w:rPr>
          <w:spacing w:val="-5"/>
          <w:sz w:val="20"/>
        </w:rPr>
        <w:t> </w:t>
      </w:r>
      <w:r>
        <w:rPr>
          <w:sz w:val="20"/>
        </w:rPr>
        <w:t>the</w:t>
      </w:r>
      <w:r>
        <w:rPr>
          <w:spacing w:val="-8"/>
          <w:sz w:val="20"/>
        </w:rPr>
        <w:t> </w:t>
      </w:r>
      <w:r>
        <w:rPr>
          <w:sz w:val="20"/>
        </w:rPr>
        <w:t>residence</w:t>
      </w:r>
      <w:r>
        <w:rPr>
          <w:spacing w:val="-7"/>
          <w:sz w:val="20"/>
        </w:rPr>
        <w:t> </w:t>
      </w:r>
      <w:r>
        <w:rPr>
          <w:sz w:val="20"/>
        </w:rPr>
        <w:t>country.</w:t>
      </w:r>
      <w:r>
        <w:rPr>
          <w:spacing w:val="-7"/>
          <w:sz w:val="20"/>
        </w:rPr>
        <w:t> </w:t>
      </w:r>
      <w:r>
        <w:rPr>
          <w:sz w:val="20"/>
        </w:rPr>
        <w:t>Whereas,</w:t>
      </w:r>
      <w:r>
        <w:rPr>
          <w:spacing w:val="-7"/>
          <w:sz w:val="20"/>
        </w:rPr>
        <w:t> </w:t>
      </w:r>
      <w:r>
        <w:rPr>
          <w:sz w:val="20"/>
        </w:rPr>
        <w:t>under</w:t>
      </w:r>
      <w:r>
        <w:rPr>
          <w:spacing w:val="-3"/>
          <w:sz w:val="20"/>
        </w:rPr>
        <w:t> </w:t>
      </w:r>
      <w:r>
        <w:rPr>
          <w:sz w:val="20"/>
        </w:rPr>
        <w:t>the</w:t>
      </w:r>
      <w:r>
        <w:rPr>
          <w:spacing w:val="-6"/>
          <w:sz w:val="20"/>
        </w:rPr>
        <w:t> </w:t>
      </w:r>
      <w:r>
        <w:rPr>
          <w:sz w:val="20"/>
        </w:rPr>
        <w:t>exemption</w:t>
      </w:r>
      <w:r>
        <w:rPr>
          <w:spacing w:val="-7"/>
          <w:sz w:val="20"/>
        </w:rPr>
        <w:t> </w:t>
      </w:r>
      <w:r>
        <w:rPr>
          <w:sz w:val="20"/>
        </w:rPr>
        <w:t>method,</w:t>
      </w:r>
      <w:r>
        <w:rPr>
          <w:spacing w:val="-5"/>
          <w:sz w:val="20"/>
        </w:rPr>
        <w:t> </w:t>
      </w:r>
      <w:r>
        <w:rPr>
          <w:sz w:val="20"/>
        </w:rPr>
        <w:t>the</w:t>
      </w:r>
      <w:r>
        <w:rPr>
          <w:spacing w:val="-5"/>
          <w:sz w:val="20"/>
        </w:rPr>
        <w:t> </w:t>
      </w:r>
      <w:r>
        <w:rPr>
          <w:sz w:val="20"/>
        </w:rPr>
        <w:t>residence</w:t>
      </w:r>
      <w:r>
        <w:rPr>
          <w:spacing w:val="-8"/>
          <w:sz w:val="20"/>
        </w:rPr>
        <w:t> </w:t>
      </w:r>
      <w:r>
        <w:rPr>
          <w:sz w:val="20"/>
        </w:rPr>
        <w:t>jurisdiction</w:t>
      </w:r>
      <w:r>
        <w:rPr>
          <w:spacing w:val="-2"/>
          <w:sz w:val="20"/>
        </w:rPr>
        <w:t> </w:t>
      </w:r>
      <w:r>
        <w:rPr>
          <w:sz w:val="20"/>
        </w:rPr>
        <w:t>would</w:t>
      </w:r>
      <w:r>
        <w:rPr>
          <w:spacing w:val="-5"/>
          <w:sz w:val="20"/>
        </w:rPr>
        <w:t> </w:t>
      </w:r>
      <w:r>
        <w:rPr>
          <w:sz w:val="20"/>
        </w:rPr>
        <w:t>not retain secondary taxing rights over the profits of a paying entity because those profits are exempted or removed. However, as outlined below, the initial economic analysis of Pillar One estimates the current average</w:t>
      </w:r>
      <w:r>
        <w:rPr>
          <w:spacing w:val="-8"/>
          <w:sz w:val="20"/>
        </w:rPr>
        <w:t> </w:t>
      </w:r>
      <w:r>
        <w:rPr>
          <w:sz w:val="20"/>
        </w:rPr>
        <w:t>rate</w:t>
      </w:r>
      <w:r>
        <w:rPr>
          <w:spacing w:val="-7"/>
          <w:sz w:val="20"/>
        </w:rPr>
        <w:t> </w:t>
      </w:r>
      <w:r>
        <w:rPr>
          <w:sz w:val="20"/>
        </w:rPr>
        <w:t>of</w:t>
      </w:r>
      <w:r>
        <w:rPr>
          <w:spacing w:val="-5"/>
          <w:sz w:val="20"/>
        </w:rPr>
        <w:t> </w:t>
      </w:r>
      <w:r>
        <w:rPr>
          <w:sz w:val="20"/>
        </w:rPr>
        <w:t>tax</w:t>
      </w:r>
      <w:r>
        <w:rPr>
          <w:spacing w:val="-3"/>
          <w:sz w:val="20"/>
        </w:rPr>
        <w:t> </w:t>
      </w:r>
      <w:r>
        <w:rPr>
          <w:sz w:val="20"/>
        </w:rPr>
        <w:t>in</w:t>
      </w:r>
      <w:r>
        <w:rPr>
          <w:spacing w:val="-7"/>
          <w:sz w:val="20"/>
        </w:rPr>
        <w:t> </w:t>
      </w:r>
      <w:r>
        <w:rPr>
          <w:sz w:val="20"/>
        </w:rPr>
        <w:t>market</w:t>
      </w:r>
      <w:r>
        <w:rPr>
          <w:spacing w:val="-7"/>
          <w:sz w:val="20"/>
        </w:rPr>
        <w:t> </w:t>
      </w:r>
      <w:r>
        <w:rPr>
          <w:sz w:val="20"/>
        </w:rPr>
        <w:t>jurisdictions</w:t>
      </w:r>
      <w:r>
        <w:rPr>
          <w:spacing w:val="-4"/>
          <w:sz w:val="20"/>
        </w:rPr>
        <w:t> </w:t>
      </w:r>
      <w:r>
        <w:rPr>
          <w:sz w:val="20"/>
        </w:rPr>
        <w:t>at</w:t>
      </w:r>
      <w:r>
        <w:rPr>
          <w:spacing w:val="-7"/>
          <w:sz w:val="20"/>
        </w:rPr>
        <w:t> </w:t>
      </w:r>
      <w:r>
        <w:rPr>
          <w:sz w:val="20"/>
        </w:rPr>
        <w:t>26%</w:t>
      </w:r>
      <w:r>
        <w:rPr>
          <w:spacing w:val="-2"/>
          <w:sz w:val="20"/>
        </w:rPr>
        <w:t> </w:t>
      </w:r>
      <w:r>
        <w:rPr>
          <w:sz w:val="20"/>
        </w:rPr>
        <w:t>(noting,</w:t>
      </w:r>
      <w:r>
        <w:rPr>
          <w:spacing w:val="-6"/>
          <w:sz w:val="20"/>
        </w:rPr>
        <w:t> </w:t>
      </w:r>
      <w:r>
        <w:rPr>
          <w:sz w:val="20"/>
        </w:rPr>
        <w:t>however,</w:t>
      </w:r>
      <w:r>
        <w:rPr>
          <w:spacing w:val="-4"/>
          <w:sz w:val="20"/>
        </w:rPr>
        <w:t> </w:t>
      </w:r>
      <w:r>
        <w:rPr>
          <w:sz w:val="20"/>
        </w:rPr>
        <w:t>that</w:t>
      </w:r>
      <w:r>
        <w:rPr>
          <w:spacing w:val="-5"/>
          <w:sz w:val="20"/>
        </w:rPr>
        <w:t> </w:t>
      </w:r>
      <w:r>
        <w:rPr>
          <w:sz w:val="20"/>
        </w:rPr>
        <w:t>rates</w:t>
      </w:r>
      <w:r>
        <w:rPr>
          <w:spacing w:val="-5"/>
          <w:sz w:val="20"/>
        </w:rPr>
        <w:t> </w:t>
      </w:r>
      <w:r>
        <w:rPr>
          <w:sz w:val="20"/>
        </w:rPr>
        <w:t>may</w:t>
      </w:r>
      <w:r>
        <w:rPr>
          <w:spacing w:val="-8"/>
          <w:sz w:val="20"/>
        </w:rPr>
        <w:t> </w:t>
      </w:r>
      <w:r>
        <w:rPr>
          <w:sz w:val="20"/>
        </w:rPr>
        <w:t>change</w:t>
      </w:r>
      <w:r>
        <w:rPr>
          <w:spacing w:val="-4"/>
          <w:sz w:val="20"/>
        </w:rPr>
        <w:t> </w:t>
      </w:r>
      <w:r>
        <w:rPr>
          <w:sz w:val="20"/>
        </w:rPr>
        <w:t>over</w:t>
      </w:r>
      <w:r>
        <w:rPr>
          <w:spacing w:val="-6"/>
          <w:sz w:val="20"/>
        </w:rPr>
        <w:t> </w:t>
      </w:r>
      <w:r>
        <w:rPr>
          <w:sz w:val="20"/>
        </w:rPr>
        <w:t>time)</w:t>
      </w:r>
      <w:r>
        <w:rPr>
          <w:spacing w:val="-1"/>
          <w:sz w:val="20"/>
        </w:rPr>
        <w:t> </w:t>
      </w:r>
      <w:r>
        <w:rPr>
          <w:sz w:val="20"/>
        </w:rPr>
        <w:t>and, therefore, there will be meaningful secondary taxation rights only for jurisdictions with relatively high tax rates. The Blueprint contemplates that a jurisdiction will be able to opt for the exemption method or the credit method to relieve double tax arising on Amount </w:t>
      </w:r>
      <w:r>
        <w:rPr>
          <w:spacing w:val="2"/>
          <w:sz w:val="20"/>
        </w:rPr>
        <w:t>A. </w:t>
      </w:r>
      <w:r>
        <w:rPr>
          <w:sz w:val="20"/>
        </w:rPr>
        <w:t>Where both methods produce the same or a similar result, member jurisdictions would likely opt for the simplest</w:t>
      </w:r>
      <w:r>
        <w:rPr>
          <w:spacing w:val="-12"/>
          <w:sz w:val="20"/>
        </w:rPr>
        <w:t> </w:t>
      </w:r>
      <w:r>
        <w:rPr>
          <w:sz w:val="20"/>
        </w:rPr>
        <w:t>method.</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This</w:t>
      </w:r>
      <w:r>
        <w:rPr>
          <w:spacing w:val="-9"/>
          <w:sz w:val="20"/>
        </w:rPr>
        <w:t> </w:t>
      </w:r>
      <w:r>
        <w:rPr>
          <w:sz w:val="20"/>
        </w:rPr>
        <w:t>chapter</w:t>
      </w:r>
      <w:r>
        <w:rPr>
          <w:spacing w:val="-9"/>
          <w:sz w:val="20"/>
        </w:rPr>
        <w:t> </w:t>
      </w:r>
      <w:r>
        <w:rPr>
          <w:sz w:val="20"/>
        </w:rPr>
        <w:t>shows</w:t>
      </w:r>
      <w:r>
        <w:rPr>
          <w:spacing w:val="-5"/>
          <w:sz w:val="20"/>
        </w:rPr>
        <w:t> </w:t>
      </w:r>
      <w:r>
        <w:rPr>
          <w:sz w:val="20"/>
        </w:rPr>
        <w:t>how</w:t>
      </w:r>
      <w:r>
        <w:rPr>
          <w:spacing w:val="-9"/>
          <w:sz w:val="20"/>
        </w:rPr>
        <w:t> </w:t>
      </w:r>
      <w:r>
        <w:rPr>
          <w:sz w:val="20"/>
        </w:rPr>
        <w:t>either</w:t>
      </w:r>
      <w:r>
        <w:rPr>
          <w:spacing w:val="-9"/>
          <w:sz w:val="20"/>
        </w:rPr>
        <w:t> </w:t>
      </w:r>
      <w:r>
        <w:rPr>
          <w:sz w:val="20"/>
        </w:rPr>
        <w:t>the</w:t>
      </w:r>
      <w:r>
        <w:rPr>
          <w:spacing w:val="-7"/>
          <w:sz w:val="20"/>
        </w:rPr>
        <w:t> </w:t>
      </w:r>
      <w:r>
        <w:rPr>
          <w:sz w:val="20"/>
        </w:rPr>
        <w:t>exemption</w:t>
      </w:r>
      <w:r>
        <w:rPr>
          <w:spacing w:val="-8"/>
          <w:sz w:val="20"/>
        </w:rPr>
        <w:t> </w:t>
      </w:r>
      <w:r>
        <w:rPr>
          <w:sz w:val="20"/>
        </w:rPr>
        <w:t>or</w:t>
      </w:r>
      <w:r>
        <w:rPr>
          <w:spacing w:val="-8"/>
          <w:sz w:val="20"/>
        </w:rPr>
        <w:t> </w:t>
      </w:r>
      <w:r>
        <w:rPr>
          <w:sz w:val="20"/>
        </w:rPr>
        <w:t>credit</w:t>
      </w:r>
      <w:r>
        <w:rPr>
          <w:spacing w:val="-5"/>
          <w:sz w:val="20"/>
        </w:rPr>
        <w:t> </w:t>
      </w:r>
      <w:r>
        <w:rPr>
          <w:sz w:val="20"/>
        </w:rPr>
        <w:t>methods</w:t>
      </w:r>
      <w:r>
        <w:rPr>
          <w:spacing w:val="-9"/>
          <w:sz w:val="20"/>
        </w:rPr>
        <w:t> </w:t>
      </w:r>
      <w:r>
        <w:rPr>
          <w:sz w:val="20"/>
        </w:rPr>
        <w:t>could</w:t>
      </w:r>
      <w:r>
        <w:rPr>
          <w:spacing w:val="-7"/>
          <w:sz w:val="20"/>
        </w:rPr>
        <w:t> </w:t>
      </w:r>
      <w:r>
        <w:rPr>
          <w:sz w:val="20"/>
        </w:rPr>
        <w:t>be</w:t>
      </w:r>
      <w:r>
        <w:rPr>
          <w:spacing w:val="-10"/>
          <w:sz w:val="20"/>
        </w:rPr>
        <w:t> </w:t>
      </w:r>
      <w:r>
        <w:rPr>
          <w:sz w:val="20"/>
        </w:rPr>
        <w:t>used</w:t>
      </w:r>
      <w:r>
        <w:rPr>
          <w:spacing w:val="-9"/>
          <w:sz w:val="20"/>
        </w:rPr>
        <w:t> </w:t>
      </w:r>
      <w:r>
        <w:rPr>
          <w:sz w:val="20"/>
        </w:rPr>
        <w:t>to</w:t>
      </w:r>
      <w:r>
        <w:rPr>
          <w:spacing w:val="-8"/>
          <w:sz w:val="20"/>
        </w:rPr>
        <w:t> </w:t>
      </w:r>
      <w:r>
        <w:rPr>
          <w:sz w:val="20"/>
        </w:rPr>
        <w:t>eliminate</w:t>
      </w:r>
      <w:r>
        <w:rPr>
          <w:spacing w:val="-8"/>
          <w:sz w:val="20"/>
        </w:rPr>
        <w:t> </w:t>
      </w:r>
      <w:r>
        <w:rPr>
          <w:sz w:val="20"/>
        </w:rPr>
        <w:t>double taxation</w:t>
      </w:r>
      <w:r>
        <w:rPr>
          <w:spacing w:val="-6"/>
          <w:sz w:val="20"/>
        </w:rPr>
        <w:t> </w:t>
      </w:r>
      <w:r>
        <w:rPr>
          <w:sz w:val="20"/>
        </w:rPr>
        <w:t>arising</w:t>
      </w:r>
      <w:r>
        <w:rPr>
          <w:spacing w:val="-6"/>
          <w:sz w:val="20"/>
        </w:rPr>
        <w:t> </w:t>
      </w:r>
      <w:r>
        <w:rPr>
          <w:sz w:val="20"/>
        </w:rPr>
        <w:t>from</w:t>
      </w:r>
      <w:r>
        <w:rPr>
          <w:spacing w:val="-3"/>
          <w:sz w:val="20"/>
        </w:rPr>
        <w:t> </w:t>
      </w:r>
      <w:r>
        <w:rPr>
          <w:sz w:val="20"/>
        </w:rPr>
        <w:t>Amount</w:t>
      </w:r>
      <w:r>
        <w:rPr>
          <w:spacing w:val="-5"/>
          <w:sz w:val="20"/>
        </w:rPr>
        <w:t> </w:t>
      </w:r>
      <w:r>
        <w:rPr>
          <w:sz w:val="20"/>
        </w:rPr>
        <w:t>A.</w:t>
      </w:r>
      <w:r>
        <w:rPr>
          <w:spacing w:val="-5"/>
          <w:sz w:val="20"/>
        </w:rPr>
        <w:t> </w:t>
      </w:r>
      <w:r>
        <w:rPr>
          <w:sz w:val="20"/>
        </w:rPr>
        <w:t>In</w:t>
      </w:r>
      <w:r>
        <w:rPr>
          <w:spacing w:val="-4"/>
          <w:sz w:val="20"/>
        </w:rPr>
        <w:t> </w:t>
      </w:r>
      <w:r>
        <w:rPr>
          <w:sz w:val="20"/>
        </w:rPr>
        <w:t>situations</w:t>
      </w:r>
      <w:r>
        <w:rPr>
          <w:spacing w:val="-2"/>
          <w:sz w:val="20"/>
        </w:rPr>
        <w:t> </w:t>
      </w:r>
      <w:r>
        <w:rPr>
          <w:sz w:val="20"/>
        </w:rPr>
        <w:t>where</w:t>
      </w:r>
      <w:r>
        <w:rPr>
          <w:spacing w:val="-5"/>
          <w:sz w:val="20"/>
        </w:rPr>
        <w:t> </w:t>
      </w:r>
      <w:r>
        <w:rPr>
          <w:sz w:val="20"/>
        </w:rPr>
        <w:t>a</w:t>
      </w:r>
      <w:r>
        <w:rPr>
          <w:spacing w:val="-5"/>
          <w:sz w:val="20"/>
        </w:rPr>
        <w:t> </w:t>
      </w:r>
      <w:r>
        <w:rPr>
          <w:sz w:val="20"/>
        </w:rPr>
        <w:t>group has</w:t>
      </w:r>
      <w:r>
        <w:rPr>
          <w:spacing w:val="-3"/>
          <w:sz w:val="20"/>
        </w:rPr>
        <w:t> </w:t>
      </w:r>
      <w:r>
        <w:rPr>
          <w:sz w:val="20"/>
        </w:rPr>
        <w:t>a</w:t>
      </w:r>
      <w:r>
        <w:rPr>
          <w:spacing w:val="-6"/>
          <w:sz w:val="20"/>
        </w:rPr>
        <w:t> </w:t>
      </w:r>
      <w:r>
        <w:rPr>
          <w:sz w:val="20"/>
        </w:rPr>
        <w:t>local</w:t>
      </w:r>
      <w:r>
        <w:rPr>
          <w:spacing w:val="-6"/>
          <w:sz w:val="20"/>
        </w:rPr>
        <w:t> </w:t>
      </w:r>
      <w:r>
        <w:rPr>
          <w:sz w:val="20"/>
        </w:rPr>
        <w:t>subsidiary</w:t>
      </w:r>
      <w:r>
        <w:rPr>
          <w:spacing w:val="-5"/>
          <w:sz w:val="20"/>
        </w:rPr>
        <w:t> </w:t>
      </w:r>
      <w:r>
        <w:rPr>
          <w:sz w:val="20"/>
        </w:rPr>
        <w:t>in</w:t>
      </w:r>
      <w:r>
        <w:rPr>
          <w:spacing w:val="-5"/>
          <w:sz w:val="20"/>
        </w:rPr>
        <w:t> </w:t>
      </w:r>
      <w:r>
        <w:rPr>
          <w:sz w:val="20"/>
        </w:rPr>
        <w:t>a</w:t>
      </w:r>
      <w:r>
        <w:rPr>
          <w:spacing w:val="-6"/>
          <w:sz w:val="20"/>
        </w:rPr>
        <w:t> </w:t>
      </w:r>
      <w:r>
        <w:rPr>
          <w:sz w:val="20"/>
        </w:rPr>
        <w:t>market</w:t>
      </w:r>
      <w:r>
        <w:rPr>
          <w:spacing w:val="-5"/>
          <w:sz w:val="20"/>
        </w:rPr>
        <w:t> </w:t>
      </w:r>
      <w:r>
        <w:rPr>
          <w:sz w:val="20"/>
        </w:rPr>
        <w:t>jurisdiction, an alternative “reallocation method” could be contemplated. Under this approach, the Amount A profit allocated to a market jurisdiction would be deemed to arise in the local subsidiary and an upward adjustment to its profits would be made for tax purposes, resulting in the local subsidiary being liable to pay</w:t>
      </w:r>
      <w:r>
        <w:rPr>
          <w:spacing w:val="-11"/>
          <w:sz w:val="20"/>
        </w:rPr>
        <w:t> </w:t>
      </w:r>
      <w:r>
        <w:rPr>
          <w:sz w:val="20"/>
        </w:rPr>
        <w:t>Amount</w:t>
      </w:r>
      <w:r>
        <w:rPr>
          <w:spacing w:val="-9"/>
          <w:sz w:val="20"/>
        </w:rPr>
        <w:t> </w:t>
      </w:r>
      <w:r>
        <w:rPr>
          <w:sz w:val="20"/>
        </w:rPr>
        <w:t>A.</w:t>
      </w:r>
      <w:r>
        <w:rPr>
          <w:spacing w:val="-9"/>
          <w:sz w:val="20"/>
        </w:rPr>
        <w:t> </w:t>
      </w:r>
      <w:r>
        <w:rPr>
          <w:sz w:val="20"/>
        </w:rPr>
        <w:t>Double</w:t>
      </w:r>
      <w:r>
        <w:rPr>
          <w:spacing w:val="-9"/>
          <w:sz w:val="20"/>
        </w:rPr>
        <w:t> </w:t>
      </w:r>
      <w:r>
        <w:rPr>
          <w:sz w:val="20"/>
        </w:rPr>
        <w:t>taxation</w:t>
      </w:r>
      <w:r>
        <w:rPr>
          <w:spacing w:val="-5"/>
          <w:sz w:val="20"/>
        </w:rPr>
        <w:t> </w:t>
      </w:r>
      <w:r>
        <w:rPr>
          <w:sz w:val="20"/>
        </w:rPr>
        <w:t>would</w:t>
      </w:r>
      <w:r>
        <w:rPr>
          <w:spacing w:val="-9"/>
          <w:sz w:val="20"/>
        </w:rPr>
        <w:t> </w:t>
      </w:r>
      <w:r>
        <w:rPr>
          <w:sz w:val="20"/>
        </w:rPr>
        <w:t>be</w:t>
      </w:r>
      <w:r>
        <w:rPr>
          <w:spacing w:val="-9"/>
          <w:sz w:val="20"/>
        </w:rPr>
        <w:t> </w:t>
      </w:r>
      <w:r>
        <w:rPr>
          <w:sz w:val="20"/>
        </w:rPr>
        <w:t>relieved</w:t>
      </w:r>
      <w:r>
        <w:rPr>
          <w:spacing w:val="-8"/>
          <w:sz w:val="20"/>
        </w:rPr>
        <w:t> </w:t>
      </w:r>
      <w:r>
        <w:rPr>
          <w:sz w:val="20"/>
        </w:rPr>
        <w:t>by</w:t>
      </w:r>
      <w:r>
        <w:rPr>
          <w:spacing w:val="-10"/>
          <w:sz w:val="20"/>
        </w:rPr>
        <w:t> </w:t>
      </w:r>
      <w:r>
        <w:rPr>
          <w:sz w:val="20"/>
        </w:rPr>
        <w:t>providing</w:t>
      </w:r>
      <w:r>
        <w:rPr>
          <w:spacing w:val="-9"/>
          <w:sz w:val="20"/>
        </w:rPr>
        <w:t> </w:t>
      </w:r>
      <w:r>
        <w:rPr>
          <w:sz w:val="20"/>
        </w:rPr>
        <w:t>a</w:t>
      </w:r>
      <w:r>
        <w:rPr>
          <w:spacing w:val="-7"/>
          <w:sz w:val="20"/>
        </w:rPr>
        <w:t> </w:t>
      </w:r>
      <w:r>
        <w:rPr>
          <w:sz w:val="20"/>
        </w:rPr>
        <w:t>deduction</w:t>
      </w:r>
      <w:r>
        <w:rPr>
          <w:spacing w:val="-9"/>
          <w:sz w:val="20"/>
        </w:rPr>
        <w:t> </w:t>
      </w:r>
      <w:r>
        <w:rPr>
          <w:sz w:val="20"/>
        </w:rPr>
        <w:t>or</w:t>
      </w:r>
      <w:r>
        <w:rPr>
          <w:spacing w:val="-8"/>
          <w:sz w:val="20"/>
        </w:rPr>
        <w:t> </w:t>
      </w:r>
      <w:r>
        <w:rPr>
          <w:sz w:val="20"/>
        </w:rPr>
        <w:t>downward</w:t>
      </w:r>
      <w:r>
        <w:rPr>
          <w:spacing w:val="-9"/>
          <w:sz w:val="20"/>
        </w:rPr>
        <w:t> </w:t>
      </w:r>
      <w:r>
        <w:rPr>
          <w:sz w:val="20"/>
        </w:rPr>
        <w:t>adjustment</w:t>
      </w:r>
      <w:r>
        <w:rPr>
          <w:spacing w:val="-9"/>
          <w:sz w:val="20"/>
        </w:rPr>
        <w:t> </w:t>
      </w:r>
      <w:r>
        <w:rPr>
          <w:sz w:val="20"/>
        </w:rPr>
        <w:t>to</w:t>
      </w:r>
      <w:r>
        <w:rPr>
          <w:spacing w:val="-9"/>
          <w:sz w:val="20"/>
        </w:rPr>
        <w:t> </w:t>
      </w:r>
      <w:r>
        <w:rPr>
          <w:sz w:val="20"/>
        </w:rPr>
        <w:t>the profits of the relieving entity. This deemed transfer of Amount A profits between these two entities would be</w:t>
      </w:r>
      <w:r>
        <w:rPr>
          <w:spacing w:val="-19"/>
          <w:sz w:val="20"/>
        </w:rPr>
        <w:t> </w:t>
      </w:r>
      <w:r>
        <w:rPr>
          <w:sz w:val="20"/>
        </w:rPr>
        <w:t>similar</w:t>
      </w:r>
      <w:r>
        <w:rPr>
          <w:spacing w:val="-16"/>
          <w:sz w:val="20"/>
        </w:rPr>
        <w:t> </w:t>
      </w:r>
      <w:r>
        <w:rPr>
          <w:sz w:val="20"/>
        </w:rPr>
        <w:t>to</w:t>
      </w:r>
      <w:r>
        <w:rPr>
          <w:spacing w:val="-17"/>
          <w:sz w:val="20"/>
        </w:rPr>
        <w:t> </w:t>
      </w:r>
      <w:r>
        <w:rPr>
          <w:sz w:val="20"/>
        </w:rPr>
        <w:t>the</w:t>
      </w:r>
      <w:r>
        <w:rPr>
          <w:spacing w:val="-18"/>
          <w:sz w:val="20"/>
        </w:rPr>
        <w:t> </w:t>
      </w:r>
      <w:r>
        <w:rPr>
          <w:sz w:val="20"/>
        </w:rPr>
        <w:t>economic</w:t>
      </w:r>
      <w:r>
        <w:rPr>
          <w:spacing w:val="-16"/>
          <w:sz w:val="20"/>
        </w:rPr>
        <w:t> </w:t>
      </w:r>
      <w:r>
        <w:rPr>
          <w:sz w:val="20"/>
        </w:rPr>
        <w:t>double</w:t>
      </w:r>
      <w:r>
        <w:rPr>
          <w:spacing w:val="-17"/>
          <w:sz w:val="20"/>
        </w:rPr>
        <w:t> </w:t>
      </w:r>
      <w:r>
        <w:rPr>
          <w:sz w:val="20"/>
        </w:rPr>
        <w:t>taxation</w:t>
      </w:r>
      <w:r>
        <w:rPr>
          <w:spacing w:val="-18"/>
          <w:sz w:val="20"/>
        </w:rPr>
        <w:t> </w:t>
      </w:r>
      <w:r>
        <w:rPr>
          <w:sz w:val="20"/>
        </w:rPr>
        <w:t>relief</w:t>
      </w:r>
      <w:r>
        <w:rPr>
          <w:spacing w:val="-18"/>
          <w:sz w:val="20"/>
        </w:rPr>
        <w:t> </w:t>
      </w:r>
      <w:r>
        <w:rPr>
          <w:sz w:val="20"/>
        </w:rPr>
        <w:t>mechanism</w:t>
      </w:r>
      <w:r>
        <w:rPr>
          <w:spacing w:val="-13"/>
          <w:sz w:val="20"/>
        </w:rPr>
        <w:t> </w:t>
      </w:r>
      <w:r>
        <w:rPr>
          <w:sz w:val="20"/>
        </w:rPr>
        <w:t>under</w:t>
      </w:r>
      <w:r>
        <w:rPr>
          <w:spacing w:val="-16"/>
          <w:sz w:val="20"/>
        </w:rPr>
        <w:t> </w:t>
      </w:r>
      <w:r>
        <w:rPr>
          <w:sz w:val="20"/>
        </w:rPr>
        <w:t>Article</w:t>
      </w:r>
      <w:r>
        <w:rPr>
          <w:spacing w:val="-17"/>
          <w:sz w:val="20"/>
        </w:rPr>
        <w:t> </w:t>
      </w:r>
      <w:r>
        <w:rPr>
          <w:sz w:val="20"/>
        </w:rPr>
        <w:t>9(2).</w:t>
      </w:r>
      <w:r>
        <w:rPr>
          <w:spacing w:val="-18"/>
          <w:sz w:val="20"/>
        </w:rPr>
        <w:t> </w:t>
      </w:r>
      <w:r>
        <w:rPr>
          <w:sz w:val="20"/>
        </w:rPr>
        <w:t>For</w:t>
      </w:r>
      <w:r>
        <w:rPr>
          <w:spacing w:val="-14"/>
          <w:sz w:val="20"/>
        </w:rPr>
        <w:t> </w:t>
      </w:r>
      <w:r>
        <w:rPr>
          <w:sz w:val="20"/>
        </w:rPr>
        <w:t>the</w:t>
      </w:r>
      <w:r>
        <w:rPr>
          <w:spacing w:val="-18"/>
          <w:sz w:val="20"/>
        </w:rPr>
        <w:t> </w:t>
      </w:r>
      <w:r>
        <w:rPr>
          <w:sz w:val="20"/>
        </w:rPr>
        <w:t>relieving</w:t>
      </w:r>
      <w:r>
        <w:rPr>
          <w:spacing w:val="-18"/>
          <w:sz w:val="20"/>
        </w:rPr>
        <w:t> </w:t>
      </w:r>
      <w:r>
        <w:rPr>
          <w:sz w:val="20"/>
        </w:rPr>
        <w:t>jurisdiction, this would deliver an equivalent outcome to the exemption method. For the local entity, however, it would be difficult to justify paying tax on the Amount A profits if the entity does not own those profits. Therefore, the</w:t>
      </w:r>
      <w:r>
        <w:rPr>
          <w:spacing w:val="-8"/>
          <w:sz w:val="20"/>
        </w:rPr>
        <w:t> </w:t>
      </w:r>
      <w:r>
        <w:rPr>
          <w:sz w:val="20"/>
        </w:rPr>
        <w:t>MNE</w:t>
      </w:r>
      <w:r>
        <w:rPr>
          <w:spacing w:val="-6"/>
          <w:sz w:val="20"/>
        </w:rPr>
        <w:t> </w:t>
      </w:r>
      <w:r>
        <w:rPr>
          <w:sz w:val="20"/>
        </w:rPr>
        <w:t>would</w:t>
      </w:r>
      <w:r>
        <w:rPr>
          <w:spacing w:val="-8"/>
          <w:sz w:val="20"/>
        </w:rPr>
        <w:t> </w:t>
      </w:r>
      <w:r>
        <w:rPr>
          <w:sz w:val="20"/>
        </w:rPr>
        <w:t>likely</w:t>
      </w:r>
      <w:r>
        <w:rPr>
          <w:spacing w:val="-8"/>
          <w:sz w:val="20"/>
        </w:rPr>
        <w:t> </w:t>
      </w:r>
      <w:r>
        <w:rPr>
          <w:sz w:val="20"/>
        </w:rPr>
        <w:t>want</w:t>
      </w:r>
      <w:r>
        <w:rPr>
          <w:spacing w:val="-8"/>
          <w:sz w:val="20"/>
        </w:rPr>
        <w:t> </w:t>
      </w:r>
      <w:r>
        <w:rPr>
          <w:sz w:val="20"/>
        </w:rPr>
        <w:t>to</w:t>
      </w:r>
      <w:r>
        <w:rPr>
          <w:spacing w:val="-7"/>
          <w:sz w:val="20"/>
        </w:rPr>
        <w:t> </w:t>
      </w:r>
      <w:r>
        <w:rPr>
          <w:sz w:val="20"/>
        </w:rPr>
        <w:t>make</w:t>
      </w:r>
      <w:r>
        <w:rPr>
          <w:spacing w:val="-8"/>
          <w:sz w:val="20"/>
        </w:rPr>
        <w:t> </w:t>
      </w:r>
      <w:r>
        <w:rPr>
          <w:sz w:val="20"/>
        </w:rPr>
        <w:t>a</w:t>
      </w:r>
      <w:r>
        <w:rPr>
          <w:spacing w:val="-8"/>
          <w:sz w:val="20"/>
        </w:rPr>
        <w:t> </w:t>
      </w:r>
      <w:r>
        <w:rPr>
          <w:sz w:val="20"/>
        </w:rPr>
        <w:t>secondary</w:t>
      </w:r>
      <w:r>
        <w:rPr>
          <w:spacing w:val="-10"/>
          <w:sz w:val="20"/>
        </w:rPr>
        <w:t> </w:t>
      </w:r>
      <w:r>
        <w:rPr>
          <w:sz w:val="20"/>
        </w:rPr>
        <w:t>adjustment</w:t>
      </w:r>
      <w:r>
        <w:rPr>
          <w:spacing w:val="-8"/>
          <w:sz w:val="20"/>
        </w:rPr>
        <w:t> </w:t>
      </w:r>
      <w:r>
        <w:rPr>
          <w:sz w:val="20"/>
        </w:rPr>
        <w:t>to</w:t>
      </w:r>
      <w:r>
        <w:rPr>
          <w:spacing w:val="-8"/>
          <w:sz w:val="20"/>
        </w:rPr>
        <w:t> </w:t>
      </w:r>
      <w:r>
        <w:rPr>
          <w:sz w:val="20"/>
        </w:rPr>
        <w:t>actually</w:t>
      </w:r>
      <w:r>
        <w:rPr>
          <w:spacing w:val="-10"/>
          <w:sz w:val="20"/>
        </w:rPr>
        <w:t> </w:t>
      </w:r>
      <w:r>
        <w:rPr>
          <w:sz w:val="20"/>
        </w:rPr>
        <w:t>transfer</w:t>
      </w:r>
      <w:r>
        <w:rPr>
          <w:spacing w:val="-7"/>
          <w:sz w:val="20"/>
        </w:rPr>
        <w:t> </w:t>
      </w:r>
      <w:r>
        <w:rPr>
          <w:sz w:val="20"/>
        </w:rPr>
        <w:t>the</w:t>
      </w:r>
      <w:r>
        <w:rPr>
          <w:spacing w:val="-6"/>
          <w:sz w:val="20"/>
        </w:rPr>
        <w:t> </w:t>
      </w:r>
      <w:r>
        <w:rPr>
          <w:sz w:val="20"/>
        </w:rPr>
        <w:t>Amount</w:t>
      </w:r>
      <w:r>
        <w:rPr>
          <w:spacing w:val="-7"/>
          <w:sz w:val="20"/>
        </w:rPr>
        <w:t> </w:t>
      </w:r>
      <w:r>
        <w:rPr>
          <w:sz w:val="20"/>
        </w:rPr>
        <w:t>A</w:t>
      </w:r>
      <w:r>
        <w:rPr>
          <w:spacing w:val="-8"/>
          <w:sz w:val="20"/>
        </w:rPr>
        <w:t> </w:t>
      </w:r>
      <w:r>
        <w:rPr>
          <w:sz w:val="20"/>
        </w:rPr>
        <w:t>profits</w:t>
      </w:r>
      <w:r>
        <w:rPr>
          <w:spacing w:val="-7"/>
          <w:sz w:val="20"/>
        </w:rPr>
        <w:t> </w:t>
      </w:r>
      <w:r>
        <w:rPr>
          <w:sz w:val="20"/>
        </w:rPr>
        <w:t>to</w:t>
      </w:r>
      <w:r>
        <w:rPr>
          <w:spacing w:val="-7"/>
          <w:sz w:val="20"/>
        </w:rPr>
        <w:t> </w:t>
      </w:r>
      <w:r>
        <w:rPr>
          <w:sz w:val="20"/>
        </w:rPr>
        <w:t>the local</w:t>
      </w:r>
      <w:r>
        <w:rPr>
          <w:spacing w:val="17"/>
          <w:sz w:val="20"/>
        </w:rPr>
        <w:t> </w:t>
      </w:r>
      <w:r>
        <w:rPr>
          <w:sz w:val="20"/>
        </w:rPr>
        <w:t>entity</w:t>
      </w:r>
      <w:r>
        <w:rPr>
          <w:spacing w:val="11"/>
          <w:sz w:val="20"/>
        </w:rPr>
        <w:t> </w:t>
      </w:r>
      <w:r>
        <w:rPr>
          <w:sz w:val="20"/>
        </w:rPr>
        <w:t>for</w:t>
      </w:r>
      <w:r>
        <w:rPr>
          <w:spacing w:val="16"/>
          <w:sz w:val="20"/>
        </w:rPr>
        <w:t> </w:t>
      </w:r>
      <w:r>
        <w:rPr>
          <w:sz w:val="20"/>
        </w:rPr>
        <w:t>legal</w:t>
      </w:r>
      <w:r>
        <w:rPr>
          <w:spacing w:val="15"/>
          <w:sz w:val="20"/>
        </w:rPr>
        <w:t> </w:t>
      </w:r>
      <w:r>
        <w:rPr>
          <w:sz w:val="20"/>
        </w:rPr>
        <w:t>and</w:t>
      </w:r>
      <w:r>
        <w:rPr>
          <w:spacing w:val="14"/>
          <w:sz w:val="20"/>
        </w:rPr>
        <w:t> </w:t>
      </w:r>
      <w:r>
        <w:rPr>
          <w:sz w:val="20"/>
        </w:rPr>
        <w:t>accounting</w:t>
      </w:r>
      <w:r>
        <w:rPr>
          <w:spacing w:val="18"/>
          <w:sz w:val="20"/>
        </w:rPr>
        <w:t> </w:t>
      </w:r>
      <w:r>
        <w:rPr>
          <w:sz w:val="20"/>
        </w:rPr>
        <w:t>purposes</w:t>
      </w:r>
      <w:r>
        <w:rPr>
          <w:spacing w:val="16"/>
          <w:sz w:val="20"/>
        </w:rPr>
        <w:t> </w:t>
      </w:r>
      <w:r>
        <w:rPr>
          <w:sz w:val="20"/>
        </w:rPr>
        <w:t>so</w:t>
      </w:r>
      <w:r>
        <w:rPr>
          <w:spacing w:val="15"/>
          <w:sz w:val="20"/>
        </w:rPr>
        <w:t> </w:t>
      </w:r>
      <w:r>
        <w:rPr>
          <w:sz w:val="20"/>
        </w:rPr>
        <w:t>that</w:t>
      </w:r>
      <w:r>
        <w:rPr>
          <w:spacing w:val="17"/>
          <w:sz w:val="20"/>
        </w:rPr>
        <w:t> </w:t>
      </w:r>
      <w:r>
        <w:rPr>
          <w:sz w:val="20"/>
        </w:rPr>
        <w:t>they</w:t>
      </w:r>
      <w:r>
        <w:rPr>
          <w:spacing w:val="12"/>
          <w:sz w:val="20"/>
        </w:rPr>
        <w:t> </w:t>
      </w:r>
      <w:r>
        <w:rPr>
          <w:sz w:val="20"/>
        </w:rPr>
        <w:t>align</w:t>
      </w:r>
      <w:r>
        <w:rPr>
          <w:spacing w:val="17"/>
          <w:sz w:val="20"/>
        </w:rPr>
        <w:t> </w:t>
      </w:r>
      <w:r>
        <w:rPr>
          <w:sz w:val="20"/>
        </w:rPr>
        <w:t>with</w:t>
      </w:r>
      <w:r>
        <w:rPr>
          <w:spacing w:val="15"/>
          <w:sz w:val="20"/>
        </w:rPr>
        <w:t> </w:t>
      </w:r>
      <w:r>
        <w:rPr>
          <w:sz w:val="20"/>
        </w:rPr>
        <w:t>the</w:t>
      </w:r>
      <w:r>
        <w:rPr>
          <w:spacing w:val="15"/>
          <w:sz w:val="20"/>
        </w:rPr>
        <w:t> </w:t>
      </w:r>
      <w:r>
        <w:rPr>
          <w:sz w:val="20"/>
        </w:rPr>
        <w:t>tax</w:t>
      </w:r>
      <w:r>
        <w:rPr>
          <w:spacing w:val="16"/>
          <w:sz w:val="20"/>
        </w:rPr>
        <w:t> </w:t>
      </w:r>
      <w:r>
        <w:rPr>
          <w:sz w:val="20"/>
        </w:rPr>
        <w:t>accounts.</w:t>
      </w:r>
      <w:r>
        <w:rPr>
          <w:spacing w:val="15"/>
          <w:sz w:val="20"/>
        </w:rPr>
        <w:t> </w:t>
      </w:r>
      <w:r>
        <w:rPr>
          <w:sz w:val="20"/>
        </w:rPr>
        <w:t>This</w:t>
      </w:r>
      <w:r>
        <w:rPr>
          <w:spacing w:val="16"/>
          <w:sz w:val="20"/>
        </w:rPr>
        <w:t> </w:t>
      </w:r>
      <w:r>
        <w:rPr>
          <w:sz w:val="20"/>
        </w:rPr>
        <w:t>accounting</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transfer, which might be characterised as a loan or a contribution of capital, and subsequent transactions to repatriate the profits may have secondary spill-over tax effects (for example, withholding tax) which would be considered undesirable. If the MNE group does not have a local subsidiary in the market jurisdiction, the relieving jurisdiction would still have to provide either a credit or exemption for Amount A tax</w:t>
      </w:r>
      <w:r>
        <w:rPr>
          <w:spacing w:val="-8"/>
        </w:rPr>
        <w:t> </w:t>
      </w:r>
      <w:r>
        <w:rPr/>
        <w:t>in</w:t>
      </w:r>
      <w:r>
        <w:rPr>
          <w:spacing w:val="-6"/>
        </w:rPr>
        <w:t> </w:t>
      </w:r>
      <w:r>
        <w:rPr/>
        <w:t>that</w:t>
      </w:r>
      <w:r>
        <w:rPr>
          <w:spacing w:val="-8"/>
        </w:rPr>
        <w:t> </w:t>
      </w:r>
      <w:r>
        <w:rPr/>
        <w:t>jurisdiction.</w:t>
      </w:r>
      <w:r>
        <w:rPr>
          <w:spacing w:val="-6"/>
        </w:rPr>
        <w:t> </w:t>
      </w:r>
      <w:r>
        <w:rPr/>
        <w:t>A</w:t>
      </w:r>
      <w:r>
        <w:rPr>
          <w:spacing w:val="-8"/>
        </w:rPr>
        <w:t> </w:t>
      </w:r>
      <w:r>
        <w:rPr/>
        <w:t>reallocation</w:t>
      </w:r>
      <w:r>
        <w:rPr>
          <w:spacing w:val="-8"/>
        </w:rPr>
        <w:t> </w:t>
      </w:r>
      <w:r>
        <w:rPr/>
        <w:t>method</w:t>
      </w:r>
      <w:r>
        <w:rPr>
          <w:spacing w:val="-8"/>
        </w:rPr>
        <w:t> </w:t>
      </w:r>
      <w:r>
        <w:rPr/>
        <w:t>may</w:t>
      </w:r>
      <w:r>
        <w:rPr>
          <w:spacing w:val="-11"/>
        </w:rPr>
        <w:t> </w:t>
      </w:r>
      <w:r>
        <w:rPr/>
        <w:t>also</w:t>
      </w:r>
      <w:r>
        <w:rPr>
          <w:spacing w:val="-6"/>
        </w:rPr>
        <w:t> </w:t>
      </w:r>
      <w:r>
        <w:rPr/>
        <w:t>be</w:t>
      </w:r>
      <w:r>
        <w:rPr>
          <w:spacing w:val="-8"/>
        </w:rPr>
        <w:t> </w:t>
      </w:r>
      <w:r>
        <w:rPr/>
        <w:t>difficult</w:t>
      </w:r>
      <w:r>
        <w:rPr>
          <w:spacing w:val="-8"/>
        </w:rPr>
        <w:t> </w:t>
      </w:r>
      <w:r>
        <w:rPr/>
        <w:t>to</w:t>
      </w:r>
      <w:r>
        <w:rPr>
          <w:spacing w:val="-6"/>
        </w:rPr>
        <w:t> </w:t>
      </w:r>
      <w:r>
        <w:rPr/>
        <w:t>adapt</w:t>
      </w:r>
      <w:r>
        <w:rPr>
          <w:spacing w:val="-8"/>
        </w:rPr>
        <w:t> </w:t>
      </w:r>
      <w:r>
        <w:rPr/>
        <w:t>to</w:t>
      </w:r>
      <w:r>
        <w:rPr>
          <w:spacing w:val="-9"/>
        </w:rPr>
        <w:t> </w:t>
      </w:r>
      <w:r>
        <w:rPr/>
        <w:t>(or</w:t>
      </w:r>
      <w:r>
        <w:rPr>
          <w:spacing w:val="-5"/>
        </w:rPr>
        <w:t> </w:t>
      </w:r>
      <w:r>
        <w:rPr/>
        <w:t>undo</w:t>
      </w:r>
      <w:r>
        <w:rPr>
          <w:spacing w:val="-8"/>
        </w:rPr>
        <w:t> </w:t>
      </w:r>
      <w:r>
        <w:rPr/>
        <w:t>many</w:t>
      </w:r>
      <w:r>
        <w:rPr>
          <w:spacing w:val="-11"/>
        </w:rPr>
        <w:t> </w:t>
      </w:r>
      <w:r>
        <w:rPr/>
        <w:t>of</w:t>
      </w:r>
      <w:r>
        <w:rPr>
          <w:spacing w:val="-6"/>
        </w:rPr>
        <w:t> </w:t>
      </w:r>
      <w:r>
        <w:rPr/>
        <w:t>the</w:t>
      </w:r>
      <w:r>
        <w:rPr>
          <w:spacing w:val="-8"/>
        </w:rPr>
        <w:t> </w:t>
      </w:r>
      <w:r>
        <w:rPr/>
        <w:t>benefits associated with) the centralised and simplified administration system discussed in Chapter </w:t>
      </w:r>
      <w:hyperlink w:history="true" w:anchor="_bookmark72">
        <w:r>
          <w:rPr/>
          <w:t>10. </w:t>
        </w:r>
      </w:hyperlink>
      <w:r>
        <w:rPr/>
        <w:t>For those reasons,</w:t>
      </w:r>
      <w:r>
        <w:rPr>
          <w:spacing w:val="-9"/>
        </w:rPr>
        <w:t> </w:t>
      </w:r>
      <w:r>
        <w:rPr/>
        <w:t>the</w:t>
      </w:r>
      <w:r>
        <w:rPr>
          <w:spacing w:val="-9"/>
        </w:rPr>
        <w:t> </w:t>
      </w:r>
      <w:r>
        <w:rPr/>
        <w:t>reallocation</w:t>
      </w:r>
      <w:r>
        <w:rPr>
          <w:spacing w:val="-7"/>
        </w:rPr>
        <w:t> </w:t>
      </w:r>
      <w:r>
        <w:rPr/>
        <w:t>method</w:t>
      </w:r>
      <w:r>
        <w:rPr>
          <w:spacing w:val="-9"/>
        </w:rPr>
        <w:t> </w:t>
      </w:r>
      <w:r>
        <w:rPr/>
        <w:t>does</w:t>
      </w:r>
      <w:r>
        <w:rPr>
          <w:spacing w:val="-8"/>
        </w:rPr>
        <w:t> </w:t>
      </w:r>
      <w:r>
        <w:rPr/>
        <w:t>not</w:t>
      </w:r>
      <w:r>
        <w:rPr>
          <w:spacing w:val="-7"/>
        </w:rPr>
        <w:t> </w:t>
      </w:r>
      <w:r>
        <w:rPr/>
        <w:t>appear</w:t>
      </w:r>
      <w:r>
        <w:rPr>
          <w:spacing w:val="-8"/>
        </w:rPr>
        <w:t> </w:t>
      </w:r>
      <w:r>
        <w:rPr/>
        <w:t>to</w:t>
      </w:r>
      <w:r>
        <w:rPr>
          <w:spacing w:val="-9"/>
        </w:rPr>
        <w:t> </w:t>
      </w:r>
      <w:r>
        <w:rPr/>
        <w:t>be</w:t>
      </w:r>
      <w:r>
        <w:rPr>
          <w:spacing w:val="-8"/>
        </w:rPr>
        <w:t> </w:t>
      </w:r>
      <w:r>
        <w:rPr/>
        <w:t>appropriate</w:t>
      </w:r>
      <w:r>
        <w:rPr>
          <w:spacing w:val="-7"/>
        </w:rPr>
        <w:t> </w:t>
      </w:r>
      <w:r>
        <w:rPr/>
        <w:t>to</w:t>
      </w:r>
      <w:r>
        <w:rPr>
          <w:spacing w:val="-7"/>
        </w:rPr>
        <w:t> </w:t>
      </w:r>
      <w:r>
        <w:rPr/>
        <w:t>eliminate</w:t>
      </w:r>
      <w:r>
        <w:rPr>
          <w:spacing w:val="-7"/>
        </w:rPr>
        <w:t> </w:t>
      </w:r>
      <w:r>
        <w:rPr/>
        <w:t>double</w:t>
      </w:r>
      <w:r>
        <w:rPr>
          <w:spacing w:val="-9"/>
        </w:rPr>
        <w:t> </w:t>
      </w:r>
      <w:r>
        <w:rPr/>
        <w:t>taxation</w:t>
      </w:r>
      <w:r>
        <w:rPr>
          <w:spacing w:val="-7"/>
        </w:rPr>
        <w:t> </w:t>
      </w:r>
      <w:r>
        <w:rPr/>
        <w:t>under</w:t>
      </w:r>
      <w:r>
        <w:rPr>
          <w:spacing w:val="-8"/>
        </w:rPr>
        <w:t> </w:t>
      </w:r>
      <w:r>
        <w:rPr/>
        <w:t>the current</w:t>
      </w:r>
      <w:r>
        <w:rPr>
          <w:spacing w:val="-5"/>
        </w:rPr>
        <w:t> </w:t>
      </w:r>
      <w:r>
        <w:rPr/>
        <w:t>design</w:t>
      </w:r>
      <w:r>
        <w:rPr>
          <w:spacing w:val="-4"/>
        </w:rPr>
        <w:t> </w:t>
      </w:r>
      <w:r>
        <w:rPr/>
        <w:t>of</w:t>
      </w:r>
      <w:r>
        <w:rPr>
          <w:spacing w:val="-3"/>
        </w:rPr>
        <w:t> </w:t>
      </w:r>
      <w:r>
        <w:rPr/>
        <w:t>Amount</w:t>
      </w:r>
      <w:r>
        <w:rPr>
          <w:spacing w:val="-5"/>
        </w:rPr>
        <w:t> </w:t>
      </w:r>
      <w:r>
        <w:rPr/>
        <w:t>A</w:t>
      </w:r>
      <w:r>
        <w:rPr>
          <w:spacing w:val="-5"/>
        </w:rPr>
        <w:t> </w:t>
      </w:r>
      <w:r>
        <w:rPr/>
        <w:t>and</w:t>
      </w:r>
      <w:r>
        <w:rPr>
          <w:spacing w:val="-4"/>
        </w:rPr>
        <w:t> </w:t>
      </w:r>
      <w:r>
        <w:rPr/>
        <w:t>Component</w:t>
      </w:r>
      <w:r>
        <w:rPr>
          <w:spacing w:val="-5"/>
        </w:rPr>
        <w:t> </w:t>
      </w:r>
      <w:r>
        <w:rPr/>
        <w:t>1.</w:t>
      </w:r>
      <w:r>
        <w:rPr>
          <w:spacing w:val="-3"/>
        </w:rPr>
        <w:t> </w:t>
      </w:r>
      <w:r>
        <w:rPr/>
        <w:t>But,</w:t>
      </w:r>
      <w:r>
        <w:rPr>
          <w:spacing w:val="-5"/>
        </w:rPr>
        <w:t> </w:t>
      </w:r>
      <w:r>
        <w:rPr/>
        <w:t>as</w:t>
      </w:r>
      <w:r>
        <w:rPr>
          <w:spacing w:val="-2"/>
        </w:rPr>
        <w:t> </w:t>
      </w:r>
      <w:r>
        <w:rPr/>
        <w:t>work</w:t>
      </w:r>
      <w:r>
        <w:rPr>
          <w:spacing w:val="-1"/>
        </w:rPr>
        <w:t> </w:t>
      </w:r>
      <w:r>
        <w:rPr/>
        <w:t>progresses,</w:t>
      </w:r>
      <w:r>
        <w:rPr>
          <w:spacing w:val="-4"/>
        </w:rPr>
        <w:t> </w:t>
      </w:r>
      <w:r>
        <w:rPr/>
        <w:t>new</w:t>
      </w:r>
      <w:r>
        <w:rPr>
          <w:spacing w:val="-6"/>
        </w:rPr>
        <w:t> </w:t>
      </w:r>
      <w:r>
        <w:rPr/>
        <w:t>features</w:t>
      </w:r>
      <w:r>
        <w:rPr>
          <w:spacing w:val="-7"/>
        </w:rPr>
        <w:t> </w:t>
      </w:r>
      <w:r>
        <w:rPr/>
        <w:t>may</w:t>
      </w:r>
      <w:r>
        <w:rPr>
          <w:spacing w:val="-10"/>
        </w:rPr>
        <w:t> </w:t>
      </w:r>
      <w:r>
        <w:rPr/>
        <w:t>emerge</w:t>
      </w:r>
      <w:r>
        <w:rPr>
          <w:spacing w:val="-4"/>
        </w:rPr>
        <w:t> </w:t>
      </w:r>
      <w:r>
        <w:rPr/>
        <w:t>which could demonstrate a benefit to using this method, and so it may be revisited in due</w:t>
      </w:r>
      <w:r>
        <w:rPr>
          <w:spacing w:val="-24"/>
        </w:rPr>
        <w:t> </w:t>
      </w:r>
      <w:r>
        <w:rPr/>
        <w:t>course.</w:t>
      </w:r>
    </w:p>
    <w:p>
      <w:pPr>
        <w:pStyle w:val="BodyText"/>
        <w:spacing w:before="6"/>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3.1. Exemption method" w:id="358"/>
      <w:bookmarkEnd w:id="358"/>
      <w:r>
        <w:rPr>
          <w:b w:val="0"/>
          <w:i w:val="0"/>
        </w:rPr>
      </w:r>
      <w:bookmarkStart w:name="7.3.1. Exemption method" w:id="359"/>
      <w:bookmarkEnd w:id="359"/>
      <w:r>
        <w:rPr>
          <w:i/>
        </w:rPr>
        <w:t>Exemp</w:t>
      </w:r>
      <w:r>
        <w:rPr>
          <w:i/>
        </w:rPr>
        <w:t>tion</w:t>
      </w:r>
      <w:r>
        <w:rPr>
          <w:i/>
          <w:spacing w:val="-4"/>
        </w:rPr>
        <w:t> </w:t>
      </w:r>
      <w:r>
        <w:rPr>
          <w:i/>
        </w:rPr>
        <w:t>method</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Under</w:t>
      </w:r>
      <w:r>
        <w:rPr>
          <w:spacing w:val="-4"/>
          <w:sz w:val="20"/>
        </w:rPr>
        <w:t> </w:t>
      </w:r>
      <w:r>
        <w:rPr>
          <w:sz w:val="20"/>
        </w:rPr>
        <w:t>the</w:t>
      </w:r>
      <w:r>
        <w:rPr>
          <w:spacing w:val="-4"/>
          <w:sz w:val="20"/>
        </w:rPr>
        <w:t> </w:t>
      </w:r>
      <w:r>
        <w:rPr>
          <w:sz w:val="20"/>
        </w:rPr>
        <w:t>exemption</w:t>
      </w:r>
      <w:r>
        <w:rPr>
          <w:spacing w:val="-5"/>
          <w:sz w:val="20"/>
        </w:rPr>
        <w:t> </w:t>
      </w:r>
      <w:r>
        <w:rPr>
          <w:sz w:val="20"/>
        </w:rPr>
        <w:t>method,</w:t>
      </w:r>
      <w:r>
        <w:rPr>
          <w:spacing w:val="-4"/>
          <w:sz w:val="20"/>
        </w:rPr>
        <w:t> </w:t>
      </w:r>
      <w:r>
        <w:rPr>
          <w:sz w:val="20"/>
        </w:rPr>
        <w:t>a</w:t>
      </w:r>
      <w:r>
        <w:rPr>
          <w:spacing w:val="-3"/>
          <w:sz w:val="20"/>
        </w:rPr>
        <w:t> </w:t>
      </w:r>
      <w:r>
        <w:rPr>
          <w:sz w:val="20"/>
        </w:rPr>
        <w:t>paying</w:t>
      </w:r>
      <w:r>
        <w:rPr>
          <w:spacing w:val="-2"/>
          <w:sz w:val="20"/>
        </w:rPr>
        <w:t> </w:t>
      </w:r>
      <w:r>
        <w:rPr>
          <w:sz w:val="20"/>
        </w:rPr>
        <w:t>entity</w:t>
      </w:r>
      <w:r>
        <w:rPr>
          <w:spacing w:val="-5"/>
          <w:sz w:val="20"/>
        </w:rPr>
        <w:t> </w:t>
      </w:r>
      <w:r>
        <w:rPr>
          <w:sz w:val="20"/>
        </w:rPr>
        <w:t>would</w:t>
      </w:r>
      <w:r>
        <w:rPr>
          <w:spacing w:val="-4"/>
          <w:sz w:val="20"/>
        </w:rPr>
        <w:t> </w:t>
      </w:r>
      <w:r>
        <w:rPr>
          <w:sz w:val="20"/>
        </w:rPr>
        <w:t>simply</w:t>
      </w:r>
      <w:r>
        <w:rPr>
          <w:spacing w:val="-10"/>
          <w:sz w:val="20"/>
        </w:rPr>
        <w:t> </w:t>
      </w:r>
      <w:r>
        <w:rPr>
          <w:sz w:val="20"/>
        </w:rPr>
        <w:t>exempt</w:t>
      </w:r>
      <w:r>
        <w:rPr>
          <w:spacing w:val="-5"/>
          <w:sz w:val="20"/>
        </w:rPr>
        <w:t> </w:t>
      </w:r>
      <w:r>
        <w:rPr>
          <w:sz w:val="20"/>
        </w:rPr>
        <w:t>from</w:t>
      </w:r>
      <w:r>
        <w:rPr>
          <w:spacing w:val="1"/>
          <w:sz w:val="20"/>
        </w:rPr>
        <w:t> </w:t>
      </w:r>
      <w:r>
        <w:rPr>
          <w:sz w:val="20"/>
        </w:rPr>
        <w:t>taxation</w:t>
      </w:r>
      <w:r>
        <w:rPr>
          <w:spacing w:val="-5"/>
          <w:sz w:val="20"/>
        </w:rPr>
        <w:t> </w:t>
      </w:r>
      <w:r>
        <w:rPr>
          <w:sz w:val="20"/>
        </w:rPr>
        <w:t>the</w:t>
      </w:r>
      <w:r>
        <w:rPr>
          <w:spacing w:val="-5"/>
          <w:sz w:val="20"/>
        </w:rPr>
        <w:t> </w:t>
      </w:r>
      <w:r>
        <w:rPr>
          <w:sz w:val="20"/>
        </w:rPr>
        <w:t>portion</w:t>
      </w:r>
      <w:r>
        <w:rPr>
          <w:spacing w:val="-4"/>
          <w:sz w:val="20"/>
        </w:rPr>
        <w:t> </w:t>
      </w:r>
      <w:r>
        <w:rPr>
          <w:sz w:val="20"/>
        </w:rPr>
        <w:t>of</w:t>
      </w:r>
      <w:r>
        <w:rPr>
          <w:spacing w:val="-2"/>
          <w:sz w:val="20"/>
        </w:rPr>
        <w:t> </w:t>
      </w:r>
      <w:r>
        <w:rPr>
          <w:sz w:val="20"/>
        </w:rPr>
        <w:t>its profits that had been allocated to market jurisdictions under Amount</w:t>
      </w:r>
      <w:r>
        <w:rPr>
          <w:spacing w:val="-10"/>
          <w:sz w:val="20"/>
        </w:rPr>
        <w:t> </w:t>
      </w:r>
      <w:r>
        <w:rPr>
          <w:sz w:val="20"/>
        </w:rPr>
        <w:t>A.</w:t>
      </w:r>
    </w:p>
    <w:p>
      <w:pPr>
        <w:pStyle w:val="ListParagraph"/>
        <w:numPr>
          <w:ilvl w:val="0"/>
          <w:numId w:val="13"/>
        </w:numPr>
        <w:tabs>
          <w:tab w:pos="1444" w:val="left" w:leader="none"/>
        </w:tabs>
        <w:spacing w:line="271" w:lineRule="auto" w:before="122" w:after="0"/>
        <w:ind w:left="723" w:right="486" w:firstLine="0"/>
        <w:jc w:val="both"/>
        <w:rPr>
          <w:sz w:val="20"/>
        </w:rPr>
      </w:pPr>
      <w:r>
        <w:rPr>
          <w:sz w:val="20"/>
        </w:rPr>
        <w:t>This means that the exemption method would effectively eliminate double taxation arising from Amount A and would be relatively simple to apply. That is because a residence jurisdiction would not be required</w:t>
      </w:r>
      <w:r>
        <w:rPr>
          <w:spacing w:val="-17"/>
          <w:sz w:val="20"/>
        </w:rPr>
        <w:t> </w:t>
      </w:r>
      <w:r>
        <w:rPr>
          <w:sz w:val="20"/>
        </w:rPr>
        <w:t>to</w:t>
      </w:r>
      <w:r>
        <w:rPr>
          <w:spacing w:val="-16"/>
          <w:sz w:val="20"/>
        </w:rPr>
        <w:t> </w:t>
      </w:r>
      <w:r>
        <w:rPr>
          <w:sz w:val="20"/>
        </w:rPr>
        <w:t>determine</w:t>
      </w:r>
      <w:r>
        <w:rPr>
          <w:spacing w:val="-17"/>
          <w:sz w:val="20"/>
        </w:rPr>
        <w:t> </w:t>
      </w:r>
      <w:r>
        <w:rPr>
          <w:sz w:val="20"/>
        </w:rPr>
        <w:t>the</w:t>
      </w:r>
      <w:r>
        <w:rPr>
          <w:spacing w:val="-17"/>
          <w:sz w:val="20"/>
        </w:rPr>
        <w:t> </w:t>
      </w:r>
      <w:r>
        <w:rPr>
          <w:sz w:val="20"/>
        </w:rPr>
        <w:t>rate</w:t>
      </w:r>
      <w:r>
        <w:rPr>
          <w:spacing w:val="-16"/>
          <w:sz w:val="20"/>
        </w:rPr>
        <w:t> </w:t>
      </w:r>
      <w:r>
        <w:rPr>
          <w:sz w:val="20"/>
        </w:rPr>
        <w:t>at</w:t>
      </w:r>
      <w:r>
        <w:rPr>
          <w:spacing w:val="-14"/>
          <w:sz w:val="20"/>
        </w:rPr>
        <w:t> </w:t>
      </w:r>
      <w:r>
        <w:rPr>
          <w:sz w:val="20"/>
        </w:rPr>
        <w:t>which</w:t>
      </w:r>
      <w:r>
        <w:rPr>
          <w:spacing w:val="-17"/>
          <w:sz w:val="20"/>
        </w:rPr>
        <w:t> </w:t>
      </w:r>
      <w:r>
        <w:rPr>
          <w:sz w:val="20"/>
        </w:rPr>
        <w:t>profits</w:t>
      </w:r>
      <w:r>
        <w:rPr>
          <w:spacing w:val="-15"/>
          <w:sz w:val="20"/>
        </w:rPr>
        <w:t> </w:t>
      </w:r>
      <w:r>
        <w:rPr>
          <w:sz w:val="20"/>
        </w:rPr>
        <w:t>allocated</w:t>
      </w:r>
      <w:r>
        <w:rPr>
          <w:spacing w:val="-14"/>
          <w:sz w:val="20"/>
        </w:rPr>
        <w:t> </w:t>
      </w:r>
      <w:r>
        <w:rPr>
          <w:sz w:val="20"/>
        </w:rPr>
        <w:t>under</w:t>
      </w:r>
      <w:r>
        <w:rPr>
          <w:spacing w:val="-13"/>
          <w:sz w:val="20"/>
        </w:rPr>
        <w:t> </w:t>
      </w:r>
      <w:r>
        <w:rPr>
          <w:sz w:val="20"/>
        </w:rPr>
        <w:t>Amount</w:t>
      </w:r>
      <w:r>
        <w:rPr>
          <w:spacing w:val="-17"/>
          <w:sz w:val="20"/>
        </w:rPr>
        <w:t> </w:t>
      </w:r>
      <w:r>
        <w:rPr>
          <w:sz w:val="20"/>
        </w:rPr>
        <w:t>A</w:t>
      </w:r>
      <w:r>
        <w:rPr>
          <w:spacing w:val="-17"/>
          <w:sz w:val="20"/>
        </w:rPr>
        <w:t> </w:t>
      </w:r>
      <w:r>
        <w:rPr>
          <w:sz w:val="20"/>
        </w:rPr>
        <w:t>had</w:t>
      </w:r>
      <w:r>
        <w:rPr>
          <w:spacing w:val="-14"/>
          <w:sz w:val="20"/>
        </w:rPr>
        <w:t> </w:t>
      </w:r>
      <w:r>
        <w:rPr>
          <w:sz w:val="20"/>
        </w:rPr>
        <w:t>been</w:t>
      </w:r>
      <w:r>
        <w:rPr>
          <w:spacing w:val="-16"/>
          <w:sz w:val="20"/>
        </w:rPr>
        <w:t> </w:t>
      </w:r>
      <w:r>
        <w:rPr>
          <w:sz w:val="20"/>
        </w:rPr>
        <w:t>taxed,</w:t>
      </w:r>
      <w:r>
        <w:rPr>
          <w:spacing w:val="-16"/>
          <w:sz w:val="20"/>
        </w:rPr>
        <w:t> </w:t>
      </w:r>
      <w:r>
        <w:rPr>
          <w:sz w:val="20"/>
        </w:rPr>
        <w:t>but</w:t>
      </w:r>
      <w:r>
        <w:rPr>
          <w:spacing w:val="-16"/>
          <w:sz w:val="20"/>
        </w:rPr>
        <w:t> </w:t>
      </w:r>
      <w:r>
        <w:rPr>
          <w:sz w:val="20"/>
        </w:rPr>
        <w:t>simply</w:t>
      </w:r>
      <w:r>
        <w:rPr>
          <w:spacing w:val="-19"/>
          <w:sz w:val="20"/>
        </w:rPr>
        <w:t> </w:t>
      </w:r>
      <w:r>
        <w:rPr>
          <w:sz w:val="20"/>
        </w:rPr>
        <w:t>identify the proportion of the relevant paying entity’s profits that had been reallocated under Amount</w:t>
      </w:r>
      <w:r>
        <w:rPr>
          <w:spacing w:val="-26"/>
          <w:sz w:val="20"/>
        </w:rPr>
        <w:t> </w:t>
      </w:r>
      <w:r>
        <w:rPr>
          <w:sz w:val="20"/>
        </w:rPr>
        <w:t>A.</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While the exemption method may have the advantage of simplicity in certain cases, there will be a broader set of considerations taken into account when deciding which method to apply, including the absence</w:t>
      </w:r>
      <w:r>
        <w:rPr>
          <w:spacing w:val="-10"/>
          <w:sz w:val="20"/>
        </w:rPr>
        <w:t> </w:t>
      </w:r>
      <w:r>
        <w:rPr>
          <w:sz w:val="20"/>
        </w:rPr>
        <w:t>of</w:t>
      </w:r>
      <w:r>
        <w:rPr>
          <w:spacing w:val="-9"/>
          <w:sz w:val="20"/>
        </w:rPr>
        <w:t> </w:t>
      </w:r>
      <w:r>
        <w:rPr>
          <w:sz w:val="20"/>
        </w:rPr>
        <w:t>secondary</w:t>
      </w:r>
      <w:r>
        <w:rPr>
          <w:spacing w:val="-12"/>
          <w:sz w:val="20"/>
        </w:rPr>
        <w:t> </w:t>
      </w:r>
      <w:r>
        <w:rPr>
          <w:sz w:val="20"/>
        </w:rPr>
        <w:t>taxing</w:t>
      </w:r>
      <w:r>
        <w:rPr>
          <w:spacing w:val="-12"/>
          <w:sz w:val="20"/>
        </w:rPr>
        <w:t> </w:t>
      </w:r>
      <w:r>
        <w:rPr>
          <w:sz w:val="20"/>
        </w:rPr>
        <w:t>rights</w:t>
      </w:r>
      <w:r>
        <w:rPr>
          <w:spacing w:val="-10"/>
          <w:sz w:val="20"/>
        </w:rPr>
        <w:t> </w:t>
      </w:r>
      <w:r>
        <w:rPr>
          <w:sz w:val="20"/>
        </w:rPr>
        <w:t>under</w:t>
      </w:r>
      <w:r>
        <w:rPr>
          <w:spacing w:val="-12"/>
          <w:sz w:val="20"/>
        </w:rPr>
        <w:t> </w:t>
      </w:r>
      <w:r>
        <w:rPr>
          <w:sz w:val="20"/>
        </w:rPr>
        <w:t>the</w:t>
      </w:r>
      <w:r>
        <w:rPr>
          <w:spacing w:val="-10"/>
          <w:sz w:val="20"/>
        </w:rPr>
        <w:t> </w:t>
      </w:r>
      <w:r>
        <w:rPr>
          <w:sz w:val="20"/>
        </w:rPr>
        <w:t>exemption</w:t>
      </w:r>
      <w:r>
        <w:rPr>
          <w:spacing w:val="-12"/>
          <w:sz w:val="20"/>
        </w:rPr>
        <w:t> </w:t>
      </w:r>
      <w:r>
        <w:rPr>
          <w:sz w:val="20"/>
        </w:rPr>
        <w:t>method</w:t>
      </w:r>
      <w:r>
        <w:rPr>
          <w:position w:val="6"/>
          <w:sz w:val="13"/>
        </w:rPr>
        <w:t>121</w:t>
      </w:r>
      <w:r>
        <w:rPr>
          <w:spacing w:val="8"/>
          <w:position w:val="6"/>
          <w:sz w:val="13"/>
        </w:rPr>
        <w:t> </w:t>
      </w:r>
      <w:r>
        <w:rPr>
          <w:sz w:val="20"/>
        </w:rPr>
        <w:t>and</w:t>
      </w:r>
      <w:r>
        <w:rPr>
          <w:spacing w:val="-12"/>
          <w:sz w:val="20"/>
        </w:rPr>
        <w:t> </w:t>
      </w:r>
      <w:r>
        <w:rPr>
          <w:sz w:val="20"/>
        </w:rPr>
        <w:t>the</w:t>
      </w:r>
      <w:r>
        <w:rPr>
          <w:spacing w:val="-12"/>
          <w:sz w:val="20"/>
        </w:rPr>
        <w:t> </w:t>
      </w:r>
      <w:r>
        <w:rPr>
          <w:sz w:val="20"/>
        </w:rPr>
        <w:t>possibility</w:t>
      </w:r>
      <w:r>
        <w:rPr>
          <w:spacing w:val="-12"/>
          <w:sz w:val="20"/>
        </w:rPr>
        <w:t> </w:t>
      </w:r>
      <w:r>
        <w:rPr>
          <w:sz w:val="20"/>
        </w:rPr>
        <w:t>that</w:t>
      </w:r>
      <w:r>
        <w:rPr>
          <w:spacing w:val="-11"/>
          <w:sz w:val="20"/>
        </w:rPr>
        <w:t> </w:t>
      </w:r>
      <w:r>
        <w:rPr>
          <w:sz w:val="20"/>
        </w:rPr>
        <w:t>taxpayers</w:t>
      </w:r>
      <w:r>
        <w:rPr>
          <w:spacing w:val="-10"/>
          <w:sz w:val="20"/>
        </w:rPr>
        <w:t> </w:t>
      </w:r>
      <w:r>
        <w:rPr>
          <w:sz w:val="20"/>
        </w:rPr>
        <w:t>could have less tax to pay overall under the application of the Amount A system with the exemption method (considered below). Further technical work will be done to identify the advantages and disadvantages of these two</w:t>
      </w:r>
      <w:r>
        <w:rPr>
          <w:spacing w:val="-3"/>
          <w:sz w:val="20"/>
        </w:rPr>
        <w:t> </w:t>
      </w:r>
      <w:r>
        <w:rPr>
          <w:sz w:val="20"/>
        </w:rPr>
        <w:t>methods.</w:t>
      </w:r>
    </w:p>
    <w:p>
      <w:pPr>
        <w:pStyle w:val="BodyText"/>
        <w:spacing w:before="6"/>
        <w:rPr>
          <w:sz w:val="23"/>
        </w:rPr>
      </w:pPr>
    </w:p>
    <w:p>
      <w:pPr>
        <w:pStyle w:val="Heading6"/>
        <w:numPr>
          <w:ilvl w:val="2"/>
          <w:numId w:val="68"/>
        </w:numPr>
        <w:tabs>
          <w:tab w:pos="2078" w:val="left" w:leader="none"/>
        </w:tabs>
        <w:spacing w:line="240" w:lineRule="auto" w:before="0" w:after="0"/>
        <w:ind w:left="2077" w:right="0" w:hanging="676"/>
        <w:jc w:val="left"/>
        <w:rPr>
          <w:i/>
        </w:rPr>
      </w:pPr>
      <w:bookmarkStart w:name="7.3.2.  Credit method" w:id="360"/>
      <w:bookmarkEnd w:id="360"/>
      <w:r>
        <w:rPr>
          <w:b w:val="0"/>
          <w:i w:val="0"/>
        </w:rPr>
      </w:r>
      <w:bookmarkStart w:name="7.3.2.  Credit method" w:id="361"/>
      <w:bookmarkEnd w:id="361"/>
      <w:r>
        <w:rPr>
          <w:i/>
        </w:rPr>
        <w:t>C</w:t>
      </w:r>
      <w:r>
        <w:rPr>
          <w:i/>
        </w:rPr>
        <w:t>redit</w:t>
      </w:r>
      <w:r>
        <w:rPr>
          <w:i/>
          <w:spacing w:val="-2"/>
        </w:rPr>
        <w:t> </w:t>
      </w:r>
      <w:r>
        <w:rPr>
          <w:i/>
        </w:rPr>
        <w:t>method</w:t>
      </w:r>
    </w:p>
    <w:p>
      <w:pPr>
        <w:pStyle w:val="BodyText"/>
        <w:spacing w:before="10"/>
        <w:rPr>
          <w:b/>
          <w:i/>
          <w:sz w:val="18"/>
        </w:rPr>
      </w:pPr>
    </w:p>
    <w:p>
      <w:pPr>
        <w:pStyle w:val="ListParagraph"/>
        <w:numPr>
          <w:ilvl w:val="0"/>
          <w:numId w:val="13"/>
        </w:numPr>
        <w:tabs>
          <w:tab w:pos="1444" w:val="left" w:leader="none"/>
        </w:tabs>
        <w:spacing w:line="273" w:lineRule="auto" w:before="0" w:after="0"/>
        <w:ind w:left="723" w:right="482" w:firstLine="0"/>
        <w:jc w:val="both"/>
        <w:rPr>
          <w:sz w:val="20"/>
        </w:rPr>
      </w:pPr>
      <w:r>
        <w:rPr>
          <w:sz w:val="20"/>
        </w:rPr>
        <w:t>Though</w:t>
      </w:r>
      <w:r>
        <w:rPr>
          <w:spacing w:val="-12"/>
          <w:sz w:val="20"/>
        </w:rPr>
        <w:t> </w:t>
      </w:r>
      <w:r>
        <w:rPr>
          <w:sz w:val="20"/>
        </w:rPr>
        <w:t>more</w:t>
      </w:r>
      <w:r>
        <w:rPr>
          <w:spacing w:val="-11"/>
          <w:sz w:val="20"/>
        </w:rPr>
        <w:t> </w:t>
      </w:r>
      <w:r>
        <w:rPr>
          <w:sz w:val="20"/>
        </w:rPr>
        <w:t>complex</w:t>
      </w:r>
      <w:r>
        <w:rPr>
          <w:spacing w:val="-10"/>
          <w:sz w:val="20"/>
        </w:rPr>
        <w:t> </w:t>
      </w:r>
      <w:r>
        <w:rPr>
          <w:sz w:val="20"/>
        </w:rPr>
        <w:t>than</w:t>
      </w:r>
      <w:r>
        <w:rPr>
          <w:spacing w:val="-10"/>
          <w:sz w:val="20"/>
        </w:rPr>
        <w:t> </w:t>
      </w:r>
      <w:r>
        <w:rPr>
          <w:sz w:val="20"/>
        </w:rPr>
        <w:t>the</w:t>
      </w:r>
      <w:r>
        <w:rPr>
          <w:spacing w:val="-9"/>
          <w:sz w:val="20"/>
        </w:rPr>
        <w:t> </w:t>
      </w:r>
      <w:r>
        <w:rPr>
          <w:sz w:val="20"/>
        </w:rPr>
        <w:t>exemption</w:t>
      </w:r>
      <w:r>
        <w:rPr>
          <w:spacing w:val="-12"/>
          <w:sz w:val="20"/>
        </w:rPr>
        <w:t> </w:t>
      </w:r>
      <w:r>
        <w:rPr>
          <w:sz w:val="20"/>
        </w:rPr>
        <w:t>method,</w:t>
      </w:r>
      <w:r>
        <w:rPr>
          <w:spacing w:val="-8"/>
          <w:sz w:val="20"/>
        </w:rPr>
        <w:t> </w:t>
      </w:r>
      <w:r>
        <w:rPr>
          <w:sz w:val="20"/>
        </w:rPr>
        <w:t>certain</w:t>
      </w:r>
      <w:r>
        <w:rPr>
          <w:spacing w:val="-11"/>
          <w:sz w:val="20"/>
        </w:rPr>
        <w:t> </w:t>
      </w:r>
      <w:r>
        <w:rPr>
          <w:sz w:val="20"/>
        </w:rPr>
        <w:t>jurisdictions</w:t>
      </w:r>
      <w:r>
        <w:rPr>
          <w:spacing w:val="-9"/>
          <w:sz w:val="20"/>
        </w:rPr>
        <w:t> </w:t>
      </w:r>
      <w:r>
        <w:rPr>
          <w:sz w:val="20"/>
        </w:rPr>
        <w:t>may</w:t>
      </w:r>
      <w:r>
        <w:rPr>
          <w:spacing w:val="-15"/>
          <w:sz w:val="20"/>
        </w:rPr>
        <w:t> </w:t>
      </w:r>
      <w:r>
        <w:rPr>
          <w:sz w:val="20"/>
        </w:rPr>
        <w:t>have</w:t>
      </w:r>
      <w:r>
        <w:rPr>
          <w:spacing w:val="-9"/>
          <w:sz w:val="20"/>
        </w:rPr>
        <w:t> </w:t>
      </w:r>
      <w:r>
        <w:rPr>
          <w:sz w:val="20"/>
        </w:rPr>
        <w:t>a</w:t>
      </w:r>
      <w:r>
        <w:rPr>
          <w:spacing w:val="-9"/>
          <w:sz w:val="20"/>
        </w:rPr>
        <w:t> </w:t>
      </w:r>
      <w:r>
        <w:rPr>
          <w:sz w:val="20"/>
        </w:rPr>
        <w:t>preference</w:t>
      </w:r>
      <w:r>
        <w:rPr>
          <w:spacing w:val="-12"/>
          <w:sz w:val="20"/>
        </w:rPr>
        <w:t> </w:t>
      </w:r>
      <w:r>
        <w:rPr>
          <w:sz w:val="20"/>
        </w:rPr>
        <w:t>for using the credit method to relieve double taxation of Amount</w:t>
      </w:r>
      <w:r>
        <w:rPr>
          <w:spacing w:val="-9"/>
          <w:sz w:val="20"/>
        </w:rPr>
        <w:t> </w:t>
      </w:r>
      <w:r>
        <w:rPr>
          <w:sz w:val="20"/>
        </w:rPr>
        <w:t>A.</w:t>
      </w:r>
    </w:p>
    <w:p>
      <w:pPr>
        <w:pStyle w:val="ListParagraph"/>
        <w:numPr>
          <w:ilvl w:val="0"/>
          <w:numId w:val="13"/>
        </w:numPr>
        <w:tabs>
          <w:tab w:pos="1444" w:val="left" w:leader="none"/>
        </w:tabs>
        <w:spacing w:line="271" w:lineRule="auto" w:before="117" w:after="0"/>
        <w:ind w:left="723" w:right="482" w:firstLine="0"/>
        <w:jc w:val="both"/>
        <w:rPr>
          <w:sz w:val="20"/>
        </w:rPr>
      </w:pPr>
      <w:r>
        <w:rPr>
          <w:sz w:val="20"/>
        </w:rPr>
        <w:t>Under</w:t>
      </w:r>
      <w:r>
        <w:rPr>
          <w:spacing w:val="-9"/>
          <w:sz w:val="20"/>
        </w:rPr>
        <w:t> </w:t>
      </w:r>
      <w:r>
        <w:rPr>
          <w:sz w:val="20"/>
        </w:rPr>
        <w:t>the</w:t>
      </w:r>
      <w:r>
        <w:rPr>
          <w:spacing w:val="-9"/>
          <w:sz w:val="20"/>
        </w:rPr>
        <w:t> </w:t>
      </w:r>
      <w:r>
        <w:rPr>
          <w:sz w:val="20"/>
        </w:rPr>
        <w:t>credit</w:t>
      </w:r>
      <w:r>
        <w:rPr>
          <w:spacing w:val="-9"/>
          <w:sz w:val="20"/>
        </w:rPr>
        <w:t> </w:t>
      </w:r>
      <w:r>
        <w:rPr>
          <w:sz w:val="20"/>
        </w:rPr>
        <w:t>method,</w:t>
      </w:r>
      <w:r>
        <w:rPr>
          <w:spacing w:val="-9"/>
          <w:sz w:val="20"/>
        </w:rPr>
        <w:t> </w:t>
      </w:r>
      <w:r>
        <w:rPr>
          <w:sz w:val="20"/>
        </w:rPr>
        <w:t>tax</w:t>
      </w:r>
      <w:r>
        <w:rPr>
          <w:spacing w:val="-8"/>
          <w:sz w:val="20"/>
        </w:rPr>
        <w:t> </w:t>
      </w:r>
      <w:r>
        <w:rPr>
          <w:sz w:val="20"/>
        </w:rPr>
        <w:t>applied</w:t>
      </w:r>
      <w:r>
        <w:rPr>
          <w:spacing w:val="-7"/>
          <w:sz w:val="20"/>
        </w:rPr>
        <w:t> </w:t>
      </w:r>
      <w:r>
        <w:rPr>
          <w:sz w:val="20"/>
        </w:rPr>
        <w:t>to</w:t>
      </w:r>
      <w:r>
        <w:rPr>
          <w:spacing w:val="-7"/>
          <w:sz w:val="20"/>
        </w:rPr>
        <w:t> </w:t>
      </w:r>
      <w:r>
        <w:rPr>
          <w:sz w:val="20"/>
        </w:rPr>
        <w:t>Amount</w:t>
      </w:r>
      <w:r>
        <w:rPr>
          <w:spacing w:val="-9"/>
          <w:sz w:val="20"/>
        </w:rPr>
        <w:t> </w:t>
      </w:r>
      <w:r>
        <w:rPr>
          <w:sz w:val="20"/>
        </w:rPr>
        <w:t>A</w:t>
      </w:r>
      <w:r>
        <w:rPr>
          <w:spacing w:val="-9"/>
          <w:sz w:val="20"/>
        </w:rPr>
        <w:t> </w:t>
      </w:r>
      <w:r>
        <w:rPr>
          <w:sz w:val="20"/>
        </w:rPr>
        <w:t>in</w:t>
      </w:r>
      <w:r>
        <w:rPr>
          <w:spacing w:val="-9"/>
          <w:sz w:val="20"/>
        </w:rPr>
        <w:t> </w:t>
      </w:r>
      <w:r>
        <w:rPr>
          <w:sz w:val="20"/>
        </w:rPr>
        <w:t>the</w:t>
      </w:r>
      <w:r>
        <w:rPr>
          <w:spacing w:val="-9"/>
          <w:sz w:val="20"/>
        </w:rPr>
        <w:t> </w:t>
      </w:r>
      <w:r>
        <w:rPr>
          <w:sz w:val="20"/>
        </w:rPr>
        <w:t>market</w:t>
      </w:r>
      <w:r>
        <w:rPr>
          <w:spacing w:val="-9"/>
          <w:sz w:val="20"/>
        </w:rPr>
        <w:t> </w:t>
      </w:r>
      <w:r>
        <w:rPr>
          <w:sz w:val="20"/>
        </w:rPr>
        <w:t>jurisdictions</w:t>
      </w:r>
      <w:r>
        <w:rPr>
          <w:spacing w:val="-6"/>
          <w:sz w:val="20"/>
        </w:rPr>
        <w:t> </w:t>
      </w:r>
      <w:r>
        <w:rPr>
          <w:sz w:val="20"/>
        </w:rPr>
        <w:t>would</w:t>
      </w:r>
      <w:r>
        <w:rPr>
          <w:spacing w:val="-7"/>
          <w:sz w:val="20"/>
        </w:rPr>
        <w:t> </w:t>
      </w:r>
      <w:r>
        <w:rPr>
          <w:sz w:val="20"/>
        </w:rPr>
        <w:t>be</w:t>
      </w:r>
      <w:r>
        <w:rPr>
          <w:spacing w:val="-9"/>
          <w:sz w:val="20"/>
        </w:rPr>
        <w:t> </w:t>
      </w:r>
      <w:r>
        <w:rPr>
          <w:sz w:val="20"/>
        </w:rPr>
        <w:t>available</w:t>
      </w:r>
      <w:r>
        <w:rPr>
          <w:spacing w:val="-9"/>
          <w:sz w:val="20"/>
        </w:rPr>
        <w:t> </w:t>
      </w:r>
      <w:r>
        <w:rPr>
          <w:sz w:val="20"/>
        </w:rPr>
        <w:t>as a tax credit to the paying entity or entities. The available credit would then be capped at the lower of the tax applied in the market jurisdiction and the tax that would have been paid on the Amount A allocation in the relieving jurisdiction. Considerations for a jurisdiction that would want to opt for the credit method are described below.</w:t>
      </w:r>
    </w:p>
    <w:p>
      <w:pPr>
        <w:pStyle w:val="BodyText"/>
        <w:spacing w:before="2"/>
      </w:pPr>
    </w:p>
    <w:p>
      <w:pPr>
        <w:pStyle w:val="Heading7"/>
        <w:rPr>
          <w:i/>
        </w:rPr>
      </w:pPr>
      <w:bookmarkStart w:name="Per jurisdiction or blended limit" w:id="362"/>
      <w:bookmarkEnd w:id="362"/>
      <w:r>
        <w:rPr>
          <w:i w:val="0"/>
        </w:rPr>
      </w:r>
      <w:r>
        <w:rPr>
          <w:i/>
          <w:color w:val="616161"/>
        </w:rPr>
        <w:t>Per jurisdiction or blended limit</w:t>
      </w:r>
    </w:p>
    <w:p>
      <w:pPr>
        <w:pStyle w:val="ListParagraph"/>
        <w:numPr>
          <w:ilvl w:val="0"/>
          <w:numId w:val="13"/>
        </w:numPr>
        <w:tabs>
          <w:tab w:pos="1444" w:val="left" w:leader="none"/>
        </w:tabs>
        <w:spacing w:line="271" w:lineRule="auto" w:before="214" w:after="0"/>
        <w:ind w:left="723" w:right="484" w:firstLine="0"/>
        <w:jc w:val="both"/>
        <w:rPr>
          <w:sz w:val="20"/>
        </w:rPr>
      </w:pPr>
      <w:r>
        <w:rPr>
          <w:sz w:val="20"/>
        </w:rPr>
        <w:t>The Blueprint contemplates that the credit method could potentially be applied either jurisdiction by jurisdiction, or using a blended approach. Under a jurisdiction-by-jurisdiction approach, the limit on the available credit is determined by comparing the tax that would have been paid in the relieving jurisdiction to the tax applied to Amount A in each market jurisdiction separately. If a blended approach applies, the limit on the available credit would be determined by comparing the tax that would have been paid in the relieving jurisdiction to the tax applied on the total Amount A liability allocated to each paying entity. A blended</w:t>
      </w:r>
      <w:r>
        <w:rPr>
          <w:spacing w:val="-6"/>
          <w:sz w:val="20"/>
        </w:rPr>
        <w:t> </w:t>
      </w:r>
      <w:r>
        <w:rPr>
          <w:sz w:val="20"/>
        </w:rPr>
        <w:t>approach</w:t>
      </w:r>
      <w:r>
        <w:rPr>
          <w:spacing w:val="-2"/>
          <w:sz w:val="20"/>
        </w:rPr>
        <w:t> </w:t>
      </w:r>
      <w:r>
        <w:rPr>
          <w:sz w:val="20"/>
        </w:rPr>
        <w:t>would</w:t>
      </w:r>
      <w:r>
        <w:rPr>
          <w:spacing w:val="-4"/>
          <w:sz w:val="20"/>
        </w:rPr>
        <w:t> </w:t>
      </w:r>
      <w:r>
        <w:rPr>
          <w:sz w:val="20"/>
        </w:rPr>
        <w:t>permit</w:t>
      </w:r>
      <w:r>
        <w:rPr>
          <w:spacing w:val="-6"/>
          <w:sz w:val="20"/>
        </w:rPr>
        <w:t> </w:t>
      </w:r>
      <w:r>
        <w:rPr>
          <w:sz w:val="20"/>
        </w:rPr>
        <w:t>tax</w:t>
      </w:r>
      <w:r>
        <w:rPr>
          <w:spacing w:val="-5"/>
          <w:sz w:val="20"/>
        </w:rPr>
        <w:t> </w:t>
      </w:r>
      <w:r>
        <w:rPr>
          <w:sz w:val="20"/>
        </w:rPr>
        <w:t>applied</w:t>
      </w:r>
      <w:r>
        <w:rPr>
          <w:spacing w:val="-5"/>
          <w:sz w:val="20"/>
        </w:rPr>
        <w:t> </w:t>
      </w:r>
      <w:r>
        <w:rPr>
          <w:sz w:val="20"/>
        </w:rPr>
        <w:t>to</w:t>
      </w:r>
      <w:r>
        <w:rPr>
          <w:spacing w:val="-3"/>
          <w:sz w:val="20"/>
        </w:rPr>
        <w:t> </w:t>
      </w:r>
      <w:r>
        <w:rPr>
          <w:sz w:val="20"/>
        </w:rPr>
        <w:t>Amount</w:t>
      </w:r>
      <w:r>
        <w:rPr>
          <w:spacing w:val="-5"/>
          <w:sz w:val="20"/>
        </w:rPr>
        <w:t> </w:t>
      </w:r>
      <w:r>
        <w:rPr>
          <w:sz w:val="20"/>
        </w:rPr>
        <w:t>A</w:t>
      </w:r>
      <w:r>
        <w:rPr>
          <w:spacing w:val="-6"/>
          <w:sz w:val="20"/>
        </w:rPr>
        <w:t> </w:t>
      </w:r>
      <w:r>
        <w:rPr>
          <w:sz w:val="20"/>
        </w:rPr>
        <w:t>in</w:t>
      </w:r>
      <w:r>
        <w:rPr>
          <w:spacing w:val="-7"/>
          <w:sz w:val="20"/>
        </w:rPr>
        <w:t> </w:t>
      </w:r>
      <w:r>
        <w:rPr>
          <w:sz w:val="20"/>
        </w:rPr>
        <w:t>low</w:t>
      </w:r>
      <w:r>
        <w:rPr>
          <w:spacing w:val="-7"/>
          <w:sz w:val="20"/>
        </w:rPr>
        <w:t> </w:t>
      </w:r>
      <w:r>
        <w:rPr>
          <w:sz w:val="20"/>
        </w:rPr>
        <w:t>tax</w:t>
      </w:r>
      <w:r>
        <w:rPr>
          <w:spacing w:val="-6"/>
          <w:sz w:val="20"/>
        </w:rPr>
        <w:t> </w:t>
      </w:r>
      <w:r>
        <w:rPr>
          <w:sz w:val="20"/>
        </w:rPr>
        <w:t>markets</w:t>
      </w:r>
      <w:r>
        <w:rPr>
          <w:spacing w:val="-5"/>
          <w:sz w:val="20"/>
        </w:rPr>
        <w:t> </w:t>
      </w:r>
      <w:r>
        <w:rPr>
          <w:sz w:val="20"/>
        </w:rPr>
        <w:t>to</w:t>
      </w:r>
      <w:r>
        <w:rPr>
          <w:spacing w:val="-7"/>
          <w:sz w:val="20"/>
        </w:rPr>
        <w:t> </w:t>
      </w:r>
      <w:r>
        <w:rPr>
          <w:sz w:val="20"/>
        </w:rPr>
        <w:t>be</w:t>
      </w:r>
      <w:r>
        <w:rPr>
          <w:spacing w:val="-6"/>
          <w:sz w:val="20"/>
        </w:rPr>
        <w:t> </w:t>
      </w:r>
      <w:r>
        <w:rPr>
          <w:sz w:val="20"/>
        </w:rPr>
        <w:t>blended</w:t>
      </w:r>
      <w:r>
        <w:rPr>
          <w:spacing w:val="-2"/>
          <w:sz w:val="20"/>
        </w:rPr>
        <w:t> </w:t>
      </w:r>
      <w:r>
        <w:rPr>
          <w:sz w:val="20"/>
        </w:rPr>
        <w:t>with</w:t>
      </w:r>
      <w:r>
        <w:rPr>
          <w:spacing w:val="-6"/>
          <w:sz w:val="20"/>
        </w:rPr>
        <w:t> </w:t>
      </w:r>
      <w:r>
        <w:rPr>
          <w:sz w:val="20"/>
        </w:rPr>
        <w:t>tax</w:t>
      </w:r>
      <w:r>
        <w:rPr>
          <w:spacing w:val="-3"/>
          <w:sz w:val="20"/>
        </w:rPr>
        <w:t> </w:t>
      </w:r>
      <w:r>
        <w:rPr>
          <w:sz w:val="20"/>
        </w:rPr>
        <w:t>paid</w:t>
      </w:r>
      <w:r>
        <w:rPr>
          <w:spacing w:val="-4"/>
          <w:sz w:val="20"/>
        </w:rPr>
        <w:t> </w:t>
      </w:r>
      <w:r>
        <w:rPr>
          <w:sz w:val="20"/>
        </w:rPr>
        <w:t>on</w:t>
      </w:r>
    </w:p>
    <w:p>
      <w:pPr>
        <w:pStyle w:val="BodyText"/>
        <w:spacing w:before="1"/>
        <w:rPr>
          <w:sz w:val="15"/>
        </w:rPr>
      </w:pPr>
      <w:r>
        <w:rPr/>
        <w:pict>
          <v:rect style="position:absolute;margin-left:65.183998pt;margin-top:10.646981pt;width:144.020004pt;height:.60004pt;mso-position-horizontal-relative:page;mso-position-vertical-relative:paragraph;z-index:-1565184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05" w:val="left" w:leader="none"/>
        </w:tabs>
        <w:spacing w:line="278" w:lineRule="auto" w:before="94" w:after="0"/>
        <w:ind w:left="723" w:right="492" w:firstLine="0"/>
        <w:jc w:val="both"/>
        <w:rPr>
          <w:sz w:val="18"/>
        </w:rPr>
      </w:pPr>
      <w:r>
        <w:rPr>
          <w:sz w:val="18"/>
        </w:rPr>
        <w:t>For</w:t>
      </w:r>
      <w:r>
        <w:rPr>
          <w:spacing w:val="-2"/>
          <w:sz w:val="18"/>
        </w:rPr>
        <w:t> </w:t>
      </w:r>
      <w:r>
        <w:rPr>
          <w:sz w:val="18"/>
        </w:rPr>
        <w:t>example,</w:t>
      </w:r>
      <w:r>
        <w:rPr>
          <w:spacing w:val="-4"/>
          <w:sz w:val="18"/>
        </w:rPr>
        <w:t> </w:t>
      </w:r>
      <w:r>
        <w:rPr>
          <w:sz w:val="18"/>
        </w:rPr>
        <w:t>if</w:t>
      </w:r>
      <w:r>
        <w:rPr>
          <w:spacing w:val="-2"/>
          <w:sz w:val="18"/>
        </w:rPr>
        <w:t> </w:t>
      </w:r>
      <w:r>
        <w:rPr>
          <w:sz w:val="18"/>
        </w:rPr>
        <w:t>the</w:t>
      </w:r>
      <w:r>
        <w:rPr>
          <w:spacing w:val="-1"/>
          <w:sz w:val="18"/>
        </w:rPr>
        <w:t> </w:t>
      </w:r>
      <w:r>
        <w:rPr>
          <w:sz w:val="18"/>
        </w:rPr>
        <w:t>rate</w:t>
      </w:r>
      <w:r>
        <w:rPr>
          <w:spacing w:val="-4"/>
          <w:sz w:val="18"/>
        </w:rPr>
        <w:t> </w:t>
      </w:r>
      <w:r>
        <w:rPr>
          <w:sz w:val="18"/>
        </w:rPr>
        <w:t>of</w:t>
      </w:r>
      <w:r>
        <w:rPr>
          <w:spacing w:val="-2"/>
          <w:sz w:val="18"/>
        </w:rPr>
        <w:t> </w:t>
      </w:r>
      <w:r>
        <w:rPr>
          <w:sz w:val="18"/>
        </w:rPr>
        <w:t>tax</w:t>
      </w:r>
      <w:r>
        <w:rPr>
          <w:spacing w:val="-6"/>
          <w:sz w:val="18"/>
        </w:rPr>
        <w:t> </w:t>
      </w:r>
      <w:r>
        <w:rPr>
          <w:sz w:val="18"/>
        </w:rPr>
        <w:t>in</w:t>
      </w:r>
      <w:r>
        <w:rPr>
          <w:spacing w:val="-1"/>
          <w:sz w:val="18"/>
        </w:rPr>
        <w:t> </w:t>
      </w:r>
      <w:r>
        <w:rPr>
          <w:sz w:val="18"/>
        </w:rPr>
        <w:t>the</w:t>
      </w:r>
      <w:r>
        <w:rPr>
          <w:spacing w:val="-2"/>
          <w:sz w:val="18"/>
        </w:rPr>
        <w:t> </w:t>
      </w:r>
      <w:r>
        <w:rPr>
          <w:sz w:val="18"/>
        </w:rPr>
        <w:t>relieving</w:t>
      </w:r>
      <w:r>
        <w:rPr>
          <w:spacing w:val="-2"/>
          <w:sz w:val="18"/>
        </w:rPr>
        <w:t> </w:t>
      </w:r>
      <w:r>
        <w:rPr>
          <w:sz w:val="18"/>
        </w:rPr>
        <w:t>jurisdiction</w:t>
      </w:r>
      <w:r>
        <w:rPr>
          <w:spacing w:val="-2"/>
          <w:sz w:val="18"/>
        </w:rPr>
        <w:t> </w:t>
      </w:r>
      <w:r>
        <w:rPr>
          <w:sz w:val="18"/>
        </w:rPr>
        <w:t>is</w:t>
      </w:r>
      <w:r>
        <w:rPr>
          <w:spacing w:val="-2"/>
          <w:sz w:val="18"/>
        </w:rPr>
        <w:t> </w:t>
      </w:r>
      <w:r>
        <w:rPr>
          <w:sz w:val="18"/>
        </w:rPr>
        <w:t>28%</w:t>
      </w:r>
      <w:r>
        <w:rPr>
          <w:spacing w:val="-2"/>
          <w:sz w:val="18"/>
        </w:rPr>
        <w:t> </w:t>
      </w:r>
      <w:r>
        <w:rPr>
          <w:sz w:val="18"/>
        </w:rPr>
        <w:t>and</w:t>
      </w:r>
      <w:r>
        <w:rPr>
          <w:spacing w:val="-2"/>
          <w:sz w:val="18"/>
        </w:rPr>
        <w:t> </w:t>
      </w:r>
      <w:r>
        <w:rPr>
          <w:sz w:val="18"/>
        </w:rPr>
        <w:t>the</w:t>
      </w:r>
      <w:r>
        <w:rPr>
          <w:spacing w:val="-4"/>
          <w:sz w:val="18"/>
        </w:rPr>
        <w:t> </w:t>
      </w:r>
      <w:r>
        <w:rPr>
          <w:sz w:val="18"/>
        </w:rPr>
        <w:t>average</w:t>
      </w:r>
      <w:r>
        <w:rPr>
          <w:spacing w:val="-3"/>
          <w:sz w:val="18"/>
        </w:rPr>
        <w:t> </w:t>
      </w:r>
      <w:r>
        <w:rPr>
          <w:sz w:val="18"/>
        </w:rPr>
        <w:t>rate</w:t>
      </w:r>
      <w:r>
        <w:rPr>
          <w:spacing w:val="-4"/>
          <w:sz w:val="18"/>
        </w:rPr>
        <w:t> </w:t>
      </w:r>
      <w:r>
        <w:rPr>
          <w:sz w:val="18"/>
        </w:rPr>
        <w:t>of</w:t>
      </w:r>
      <w:r>
        <w:rPr>
          <w:spacing w:val="-4"/>
          <w:sz w:val="18"/>
        </w:rPr>
        <w:t> </w:t>
      </w:r>
      <w:r>
        <w:rPr>
          <w:sz w:val="18"/>
        </w:rPr>
        <w:t>tax</w:t>
      </w:r>
      <w:r>
        <w:rPr>
          <w:spacing w:val="-5"/>
          <w:sz w:val="18"/>
        </w:rPr>
        <w:t> </w:t>
      </w:r>
      <w:r>
        <w:rPr>
          <w:sz w:val="18"/>
        </w:rPr>
        <w:t>in</w:t>
      </w:r>
      <w:r>
        <w:rPr>
          <w:spacing w:val="-2"/>
          <w:sz w:val="18"/>
        </w:rPr>
        <w:t> </w:t>
      </w:r>
      <w:r>
        <w:rPr>
          <w:sz w:val="18"/>
        </w:rPr>
        <w:t>market</w:t>
      </w:r>
      <w:r>
        <w:rPr>
          <w:spacing w:val="-2"/>
          <w:sz w:val="18"/>
        </w:rPr>
        <w:t> </w:t>
      </w:r>
      <w:r>
        <w:rPr>
          <w:sz w:val="18"/>
        </w:rPr>
        <w:t>jurisdictions is 26%, an exemption from tax will, in effect, be worth 28% of the exempted income while a foreign tax credit would normally be capped at</w:t>
      </w:r>
      <w:r>
        <w:rPr>
          <w:spacing w:val="-7"/>
          <w:sz w:val="18"/>
        </w:rPr>
        <w:t> </w:t>
      </w:r>
      <w:r>
        <w:rPr>
          <w:sz w:val="18"/>
        </w:rPr>
        <w:t>26%.</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Amount A in high tax markets (this approach could be referred to as a “blended cap”). Jurisdictions operating a blended cap will typically provide a higher level of relief for double taxation on Amount A than those operating a per jurisdiction cap. The net effect of applying a blended cap may not be dissimilar to the effect of applying the exemption method where the tax that would have been paid in the relieving jurisdiction is lower than the weighted average tax rate applied to Amount A in the market jurisdictions.</w:t>
      </w:r>
    </w:p>
    <w:p>
      <w:pPr>
        <w:pStyle w:val="ListParagraph"/>
        <w:numPr>
          <w:ilvl w:val="0"/>
          <w:numId w:val="13"/>
        </w:numPr>
        <w:tabs>
          <w:tab w:pos="1444" w:val="left" w:leader="none"/>
        </w:tabs>
        <w:spacing w:line="271" w:lineRule="auto" w:before="119" w:after="0"/>
        <w:ind w:left="723" w:right="483" w:firstLine="0"/>
        <w:jc w:val="both"/>
        <w:rPr>
          <w:sz w:val="20"/>
        </w:rPr>
      </w:pPr>
      <w:r>
        <w:rPr>
          <w:sz w:val="20"/>
        </w:rPr>
        <w:t>It</w:t>
      </w:r>
      <w:r>
        <w:rPr>
          <w:spacing w:val="-7"/>
          <w:sz w:val="20"/>
        </w:rPr>
        <w:t> </w:t>
      </w:r>
      <w:r>
        <w:rPr>
          <w:sz w:val="20"/>
        </w:rPr>
        <w:t>could</w:t>
      </w:r>
      <w:r>
        <w:rPr>
          <w:spacing w:val="-3"/>
          <w:sz w:val="20"/>
        </w:rPr>
        <w:t> </w:t>
      </w:r>
      <w:r>
        <w:rPr>
          <w:sz w:val="20"/>
        </w:rPr>
        <w:t>be</w:t>
      </w:r>
      <w:r>
        <w:rPr>
          <w:spacing w:val="-4"/>
          <w:sz w:val="20"/>
        </w:rPr>
        <w:t> </w:t>
      </w:r>
      <w:r>
        <w:rPr>
          <w:sz w:val="20"/>
        </w:rPr>
        <w:t>argued</w:t>
      </w:r>
      <w:r>
        <w:rPr>
          <w:spacing w:val="-4"/>
          <w:sz w:val="20"/>
        </w:rPr>
        <w:t> </w:t>
      </w:r>
      <w:r>
        <w:rPr>
          <w:sz w:val="20"/>
        </w:rPr>
        <w:t>that</w:t>
      </w:r>
      <w:r>
        <w:rPr>
          <w:spacing w:val="-6"/>
          <w:sz w:val="20"/>
        </w:rPr>
        <w:t> </w:t>
      </w:r>
      <w:r>
        <w:rPr>
          <w:sz w:val="20"/>
        </w:rPr>
        <w:t>the</w:t>
      </w:r>
      <w:r>
        <w:rPr>
          <w:spacing w:val="-3"/>
          <w:sz w:val="20"/>
        </w:rPr>
        <w:t> </w:t>
      </w:r>
      <w:r>
        <w:rPr>
          <w:sz w:val="20"/>
        </w:rPr>
        <w:t>operation</w:t>
      </w:r>
      <w:r>
        <w:rPr>
          <w:spacing w:val="-6"/>
          <w:sz w:val="20"/>
        </w:rPr>
        <w:t> </w:t>
      </w:r>
      <w:r>
        <w:rPr>
          <w:sz w:val="20"/>
        </w:rPr>
        <w:t>of</w:t>
      </w:r>
      <w:r>
        <w:rPr>
          <w:spacing w:val="-4"/>
          <w:sz w:val="20"/>
        </w:rPr>
        <w:t> </w:t>
      </w:r>
      <w:r>
        <w:rPr>
          <w:sz w:val="20"/>
        </w:rPr>
        <w:t>a</w:t>
      </w:r>
      <w:r>
        <w:rPr>
          <w:spacing w:val="-5"/>
          <w:sz w:val="20"/>
        </w:rPr>
        <w:t> </w:t>
      </w:r>
      <w:r>
        <w:rPr>
          <w:sz w:val="20"/>
        </w:rPr>
        <w:t>blended</w:t>
      </w:r>
      <w:r>
        <w:rPr>
          <w:spacing w:val="-4"/>
          <w:sz w:val="20"/>
        </w:rPr>
        <w:t> </w:t>
      </w:r>
      <w:r>
        <w:rPr>
          <w:sz w:val="20"/>
        </w:rPr>
        <w:t>cap</w:t>
      </w:r>
      <w:r>
        <w:rPr>
          <w:spacing w:val="-1"/>
          <w:sz w:val="20"/>
        </w:rPr>
        <w:t> </w:t>
      </w:r>
      <w:r>
        <w:rPr>
          <w:sz w:val="20"/>
        </w:rPr>
        <w:t>more</w:t>
      </w:r>
      <w:r>
        <w:rPr>
          <w:spacing w:val="-5"/>
          <w:sz w:val="20"/>
        </w:rPr>
        <w:t> </w:t>
      </w:r>
      <w:r>
        <w:rPr>
          <w:sz w:val="20"/>
        </w:rPr>
        <w:t>closely</w:t>
      </w:r>
      <w:r>
        <w:rPr>
          <w:spacing w:val="-9"/>
          <w:sz w:val="20"/>
        </w:rPr>
        <w:t> </w:t>
      </w:r>
      <w:r>
        <w:rPr>
          <w:sz w:val="20"/>
        </w:rPr>
        <w:t>reflects</w:t>
      </w:r>
      <w:r>
        <w:rPr>
          <w:spacing w:val="-5"/>
          <w:sz w:val="20"/>
        </w:rPr>
        <w:t> </w:t>
      </w:r>
      <w:r>
        <w:rPr>
          <w:sz w:val="20"/>
        </w:rPr>
        <w:t>the</w:t>
      </w:r>
      <w:r>
        <w:rPr>
          <w:spacing w:val="-4"/>
          <w:sz w:val="20"/>
        </w:rPr>
        <w:t> </w:t>
      </w:r>
      <w:r>
        <w:rPr>
          <w:sz w:val="20"/>
        </w:rPr>
        <w:t>multilateral</w:t>
      </w:r>
      <w:r>
        <w:rPr>
          <w:spacing w:val="-6"/>
          <w:sz w:val="20"/>
        </w:rPr>
        <w:t> </w:t>
      </w:r>
      <w:r>
        <w:rPr>
          <w:sz w:val="20"/>
        </w:rPr>
        <w:t>nature of Amount A, although it is noted that the operation of the market connection priority test should facilitate the operation of a per jurisdiction cap. In order for the credit method to apply on a per jurisdiction basis, it will</w:t>
      </w:r>
      <w:r>
        <w:rPr>
          <w:spacing w:val="-10"/>
          <w:sz w:val="20"/>
        </w:rPr>
        <w:t> </w:t>
      </w:r>
      <w:r>
        <w:rPr>
          <w:sz w:val="20"/>
        </w:rPr>
        <w:t>be</w:t>
      </w:r>
      <w:r>
        <w:rPr>
          <w:spacing w:val="-6"/>
          <w:sz w:val="20"/>
        </w:rPr>
        <w:t> </w:t>
      </w:r>
      <w:r>
        <w:rPr>
          <w:sz w:val="20"/>
        </w:rPr>
        <w:t>necessary</w:t>
      </w:r>
      <w:r>
        <w:rPr>
          <w:spacing w:val="-10"/>
          <w:sz w:val="20"/>
        </w:rPr>
        <w:t> </w:t>
      </w:r>
      <w:r>
        <w:rPr>
          <w:sz w:val="20"/>
        </w:rPr>
        <w:t>to</w:t>
      </w:r>
      <w:r>
        <w:rPr>
          <w:spacing w:val="-8"/>
          <w:sz w:val="20"/>
        </w:rPr>
        <w:t> </w:t>
      </w:r>
      <w:r>
        <w:rPr>
          <w:sz w:val="20"/>
        </w:rPr>
        <w:t>first</w:t>
      </w:r>
      <w:r>
        <w:rPr>
          <w:spacing w:val="-7"/>
          <w:sz w:val="20"/>
        </w:rPr>
        <w:t> </w:t>
      </w:r>
      <w:r>
        <w:rPr>
          <w:sz w:val="20"/>
        </w:rPr>
        <w:t>identify</w:t>
      </w:r>
      <w:r>
        <w:rPr>
          <w:spacing w:val="-11"/>
          <w:sz w:val="20"/>
        </w:rPr>
        <w:t> </w:t>
      </w:r>
      <w:r>
        <w:rPr>
          <w:sz w:val="20"/>
        </w:rPr>
        <w:t>specific</w:t>
      </w:r>
      <w:r>
        <w:rPr>
          <w:spacing w:val="-7"/>
          <w:sz w:val="20"/>
        </w:rPr>
        <w:t> </w:t>
      </w:r>
      <w:r>
        <w:rPr>
          <w:sz w:val="20"/>
        </w:rPr>
        <w:t>market</w:t>
      </w:r>
      <w:r>
        <w:rPr>
          <w:spacing w:val="-9"/>
          <w:sz w:val="20"/>
        </w:rPr>
        <w:t> </w:t>
      </w:r>
      <w:r>
        <w:rPr>
          <w:sz w:val="20"/>
        </w:rPr>
        <w:t>jurisdictions</w:t>
      </w:r>
      <w:r>
        <w:rPr>
          <w:spacing w:val="-4"/>
          <w:sz w:val="20"/>
        </w:rPr>
        <w:t> </w:t>
      </w:r>
      <w:r>
        <w:rPr>
          <w:sz w:val="20"/>
        </w:rPr>
        <w:t>where</w:t>
      </w:r>
      <w:r>
        <w:rPr>
          <w:spacing w:val="-7"/>
          <w:sz w:val="20"/>
        </w:rPr>
        <w:t> </w:t>
      </w:r>
      <w:r>
        <w:rPr>
          <w:sz w:val="20"/>
        </w:rPr>
        <w:t>a</w:t>
      </w:r>
      <w:r>
        <w:rPr>
          <w:spacing w:val="-6"/>
          <w:sz w:val="20"/>
        </w:rPr>
        <w:t> </w:t>
      </w:r>
      <w:r>
        <w:rPr>
          <w:sz w:val="20"/>
        </w:rPr>
        <w:t>paying</w:t>
      </w:r>
      <w:r>
        <w:rPr>
          <w:spacing w:val="-7"/>
          <w:sz w:val="20"/>
        </w:rPr>
        <w:t> </w:t>
      </w:r>
      <w:r>
        <w:rPr>
          <w:sz w:val="20"/>
        </w:rPr>
        <w:t>entity</w:t>
      </w:r>
      <w:r>
        <w:rPr>
          <w:spacing w:val="-9"/>
          <w:sz w:val="20"/>
        </w:rPr>
        <w:t> </w:t>
      </w:r>
      <w:r>
        <w:rPr>
          <w:sz w:val="20"/>
        </w:rPr>
        <w:t>incurs</w:t>
      </w:r>
      <w:r>
        <w:rPr>
          <w:spacing w:val="-7"/>
          <w:sz w:val="20"/>
        </w:rPr>
        <w:t> </w:t>
      </w:r>
      <w:r>
        <w:rPr>
          <w:sz w:val="20"/>
        </w:rPr>
        <w:t>an</w:t>
      </w:r>
      <w:r>
        <w:rPr>
          <w:spacing w:val="-6"/>
          <w:sz w:val="20"/>
        </w:rPr>
        <w:t> </w:t>
      </w:r>
      <w:r>
        <w:rPr>
          <w:sz w:val="20"/>
        </w:rPr>
        <w:t>Amount</w:t>
      </w:r>
      <w:r>
        <w:rPr>
          <w:spacing w:val="-9"/>
          <w:sz w:val="20"/>
        </w:rPr>
        <w:t> </w:t>
      </w:r>
      <w:r>
        <w:rPr>
          <w:sz w:val="20"/>
        </w:rPr>
        <w:t>A</w:t>
      </w:r>
      <w:r>
        <w:rPr>
          <w:spacing w:val="-6"/>
          <w:sz w:val="20"/>
        </w:rPr>
        <w:t> </w:t>
      </w:r>
      <w:r>
        <w:rPr>
          <w:sz w:val="20"/>
        </w:rPr>
        <w:t>tax liability.</w:t>
      </w:r>
      <w:r>
        <w:rPr>
          <w:spacing w:val="-6"/>
          <w:sz w:val="20"/>
        </w:rPr>
        <w:t> </w:t>
      </w:r>
      <w:r>
        <w:rPr>
          <w:sz w:val="20"/>
        </w:rPr>
        <w:t>This</w:t>
      </w:r>
      <w:r>
        <w:rPr>
          <w:spacing w:val="-3"/>
          <w:sz w:val="20"/>
        </w:rPr>
        <w:t> </w:t>
      </w:r>
      <w:r>
        <w:rPr>
          <w:sz w:val="20"/>
        </w:rPr>
        <w:t>will</w:t>
      </w:r>
      <w:r>
        <w:rPr>
          <w:spacing w:val="-4"/>
          <w:sz w:val="20"/>
        </w:rPr>
        <w:t> </w:t>
      </w:r>
      <w:r>
        <w:rPr>
          <w:sz w:val="20"/>
        </w:rPr>
        <w:t>be</w:t>
      </w:r>
      <w:r>
        <w:rPr>
          <w:spacing w:val="-6"/>
          <w:sz w:val="20"/>
        </w:rPr>
        <w:t> </w:t>
      </w:r>
      <w:r>
        <w:rPr>
          <w:sz w:val="20"/>
        </w:rPr>
        <w:t>possible</w:t>
      </w:r>
      <w:r>
        <w:rPr>
          <w:spacing w:val="-4"/>
          <w:sz w:val="20"/>
        </w:rPr>
        <w:t> </w:t>
      </w:r>
      <w:r>
        <w:rPr>
          <w:sz w:val="20"/>
        </w:rPr>
        <w:t>where</w:t>
      </w:r>
      <w:r>
        <w:rPr>
          <w:spacing w:val="-3"/>
          <w:sz w:val="20"/>
        </w:rPr>
        <w:t> </w:t>
      </w:r>
      <w:r>
        <w:rPr>
          <w:sz w:val="20"/>
        </w:rPr>
        <w:t>a</w:t>
      </w:r>
      <w:r>
        <w:rPr>
          <w:spacing w:val="-6"/>
          <w:sz w:val="20"/>
        </w:rPr>
        <w:t> </w:t>
      </w:r>
      <w:r>
        <w:rPr>
          <w:sz w:val="20"/>
        </w:rPr>
        <w:t>connection</w:t>
      </w:r>
      <w:r>
        <w:rPr>
          <w:spacing w:val="-5"/>
          <w:sz w:val="20"/>
        </w:rPr>
        <w:t> </w:t>
      </w:r>
      <w:r>
        <w:rPr>
          <w:sz w:val="20"/>
        </w:rPr>
        <w:t>is</w:t>
      </w:r>
      <w:r>
        <w:rPr>
          <w:spacing w:val="-5"/>
          <w:sz w:val="20"/>
        </w:rPr>
        <w:t> </w:t>
      </w:r>
      <w:r>
        <w:rPr>
          <w:sz w:val="20"/>
        </w:rPr>
        <w:t>established</w:t>
      </w:r>
      <w:r>
        <w:rPr>
          <w:spacing w:val="-3"/>
          <w:sz w:val="20"/>
        </w:rPr>
        <w:t> </w:t>
      </w:r>
      <w:r>
        <w:rPr>
          <w:sz w:val="20"/>
        </w:rPr>
        <w:t>between</w:t>
      </w:r>
      <w:r>
        <w:rPr>
          <w:spacing w:val="-6"/>
          <w:sz w:val="20"/>
        </w:rPr>
        <w:t> </w:t>
      </w:r>
      <w:r>
        <w:rPr>
          <w:sz w:val="20"/>
        </w:rPr>
        <w:t>a</w:t>
      </w:r>
      <w:r>
        <w:rPr>
          <w:spacing w:val="-6"/>
          <w:sz w:val="20"/>
        </w:rPr>
        <w:t> </w:t>
      </w:r>
      <w:r>
        <w:rPr>
          <w:sz w:val="20"/>
        </w:rPr>
        <w:t>specific</w:t>
      </w:r>
      <w:r>
        <w:rPr>
          <w:spacing w:val="-4"/>
          <w:sz w:val="20"/>
        </w:rPr>
        <w:t> </w:t>
      </w:r>
      <w:r>
        <w:rPr>
          <w:sz w:val="20"/>
        </w:rPr>
        <w:t>market</w:t>
      </w:r>
      <w:r>
        <w:rPr>
          <w:spacing w:val="-7"/>
          <w:sz w:val="20"/>
        </w:rPr>
        <w:t> </w:t>
      </w:r>
      <w:r>
        <w:rPr>
          <w:sz w:val="20"/>
        </w:rPr>
        <w:t>jurisdiction</w:t>
      </w:r>
      <w:r>
        <w:rPr>
          <w:spacing w:val="-4"/>
          <w:sz w:val="20"/>
        </w:rPr>
        <w:t> </w:t>
      </w:r>
      <w:r>
        <w:rPr>
          <w:sz w:val="20"/>
        </w:rPr>
        <w:t>and paying entity under the market connection priority test. In this scenario it would be possible to operate the cap on a per country</w:t>
      </w:r>
      <w:r>
        <w:rPr>
          <w:spacing w:val="-9"/>
          <w:sz w:val="20"/>
        </w:rPr>
        <w:t> </w:t>
      </w:r>
      <w:r>
        <w:rPr>
          <w:sz w:val="20"/>
        </w:rPr>
        <w:t>basis.</w:t>
      </w:r>
    </w:p>
    <w:p>
      <w:pPr>
        <w:pStyle w:val="ListParagraph"/>
        <w:numPr>
          <w:ilvl w:val="0"/>
          <w:numId w:val="13"/>
        </w:numPr>
        <w:tabs>
          <w:tab w:pos="1494" w:val="left" w:leader="none"/>
        </w:tabs>
        <w:spacing w:line="271" w:lineRule="auto" w:before="123" w:after="0"/>
        <w:ind w:left="723" w:right="486" w:firstLine="0"/>
        <w:jc w:val="both"/>
        <w:rPr>
          <w:sz w:val="20"/>
        </w:rPr>
      </w:pPr>
      <w:r>
        <w:rPr>
          <w:sz w:val="20"/>
        </w:rPr>
        <w:t>Where</w:t>
      </w:r>
      <w:r>
        <w:rPr>
          <w:spacing w:val="-9"/>
          <w:sz w:val="20"/>
        </w:rPr>
        <w:t> </w:t>
      </w:r>
      <w:r>
        <w:rPr>
          <w:sz w:val="20"/>
        </w:rPr>
        <w:t>a</w:t>
      </w:r>
      <w:r>
        <w:rPr>
          <w:spacing w:val="-9"/>
          <w:sz w:val="20"/>
        </w:rPr>
        <w:t> </w:t>
      </w:r>
      <w:r>
        <w:rPr>
          <w:sz w:val="20"/>
        </w:rPr>
        <w:t>market</w:t>
      </w:r>
      <w:r>
        <w:rPr>
          <w:spacing w:val="-9"/>
          <w:sz w:val="20"/>
        </w:rPr>
        <w:t> </w:t>
      </w:r>
      <w:r>
        <w:rPr>
          <w:sz w:val="20"/>
        </w:rPr>
        <w:t>jurisdiction’s</w:t>
      </w:r>
      <w:r>
        <w:rPr>
          <w:spacing w:val="-5"/>
          <w:sz w:val="20"/>
        </w:rPr>
        <w:t> </w:t>
      </w:r>
      <w:r>
        <w:rPr>
          <w:sz w:val="20"/>
        </w:rPr>
        <w:t>Amount</w:t>
      </w:r>
      <w:r>
        <w:rPr>
          <w:spacing w:val="-9"/>
          <w:sz w:val="20"/>
        </w:rPr>
        <w:t> </w:t>
      </w:r>
      <w:r>
        <w:rPr>
          <w:sz w:val="20"/>
        </w:rPr>
        <w:t>A</w:t>
      </w:r>
      <w:r>
        <w:rPr>
          <w:spacing w:val="-7"/>
          <w:sz w:val="20"/>
        </w:rPr>
        <w:t> </w:t>
      </w:r>
      <w:r>
        <w:rPr>
          <w:sz w:val="20"/>
        </w:rPr>
        <w:t>tax</w:t>
      </w:r>
      <w:r>
        <w:rPr>
          <w:spacing w:val="-6"/>
          <w:sz w:val="20"/>
        </w:rPr>
        <w:t> </w:t>
      </w:r>
      <w:r>
        <w:rPr>
          <w:sz w:val="20"/>
        </w:rPr>
        <w:t>liability</w:t>
      </w:r>
      <w:r>
        <w:rPr>
          <w:spacing w:val="-10"/>
          <w:sz w:val="20"/>
        </w:rPr>
        <w:t> </w:t>
      </w:r>
      <w:r>
        <w:rPr>
          <w:sz w:val="20"/>
        </w:rPr>
        <w:t>is</w:t>
      </w:r>
      <w:r>
        <w:rPr>
          <w:spacing w:val="-5"/>
          <w:sz w:val="20"/>
        </w:rPr>
        <w:t> </w:t>
      </w:r>
      <w:r>
        <w:rPr>
          <w:sz w:val="20"/>
        </w:rPr>
        <w:t>simply</w:t>
      </w:r>
      <w:r>
        <w:rPr>
          <w:spacing w:val="-11"/>
          <w:sz w:val="20"/>
        </w:rPr>
        <w:t> </w:t>
      </w:r>
      <w:r>
        <w:rPr>
          <w:sz w:val="20"/>
        </w:rPr>
        <w:t>allocated</w:t>
      </w:r>
      <w:r>
        <w:rPr>
          <w:spacing w:val="-7"/>
          <w:sz w:val="20"/>
        </w:rPr>
        <w:t> </w:t>
      </w:r>
      <w:r>
        <w:rPr>
          <w:sz w:val="20"/>
        </w:rPr>
        <w:t>between</w:t>
      </w:r>
      <w:r>
        <w:rPr>
          <w:spacing w:val="-9"/>
          <w:sz w:val="20"/>
        </w:rPr>
        <w:t> </w:t>
      </w:r>
      <w:r>
        <w:rPr>
          <w:sz w:val="20"/>
        </w:rPr>
        <w:t>paying</w:t>
      </w:r>
      <w:r>
        <w:rPr>
          <w:spacing w:val="-7"/>
          <w:sz w:val="20"/>
        </w:rPr>
        <w:t> </w:t>
      </w:r>
      <w:r>
        <w:rPr>
          <w:sz w:val="20"/>
        </w:rPr>
        <w:t>entities</w:t>
      </w:r>
      <w:r>
        <w:rPr>
          <w:spacing w:val="-8"/>
          <w:sz w:val="20"/>
        </w:rPr>
        <w:t> </w:t>
      </w:r>
      <w:r>
        <w:rPr>
          <w:sz w:val="20"/>
        </w:rPr>
        <w:t>on a pro-rata basis, the per jurisdiction cap would be applied by reference to the amount allocated to each paying entity on a per jurisdiction</w:t>
      </w:r>
      <w:r>
        <w:rPr>
          <w:spacing w:val="-8"/>
          <w:sz w:val="20"/>
        </w:rPr>
        <w:t> </w:t>
      </w:r>
      <w:r>
        <w:rPr>
          <w:sz w:val="20"/>
        </w:rPr>
        <w:t>basis.</w:t>
      </w:r>
    </w:p>
    <w:p>
      <w:pPr>
        <w:pStyle w:val="BodyText"/>
        <w:spacing w:before="1"/>
      </w:pPr>
    </w:p>
    <w:p>
      <w:pPr>
        <w:pStyle w:val="Heading7"/>
        <w:rPr>
          <w:i/>
        </w:rPr>
      </w:pPr>
      <w:bookmarkStart w:name="Secondary taxing right" w:id="363"/>
      <w:bookmarkEnd w:id="363"/>
      <w:r>
        <w:rPr>
          <w:i w:val="0"/>
        </w:rPr>
      </w:r>
      <w:r>
        <w:rPr>
          <w:i/>
          <w:color w:val="616161"/>
        </w:rPr>
        <w:t>Secondary taxing right</w:t>
      </w:r>
    </w:p>
    <w:p>
      <w:pPr>
        <w:pStyle w:val="ListParagraph"/>
        <w:numPr>
          <w:ilvl w:val="0"/>
          <w:numId w:val="13"/>
        </w:numPr>
        <w:tabs>
          <w:tab w:pos="1444" w:val="left" w:leader="none"/>
        </w:tabs>
        <w:spacing w:line="271" w:lineRule="auto" w:before="215" w:after="0"/>
        <w:ind w:left="723" w:right="480" w:firstLine="0"/>
        <w:jc w:val="both"/>
        <w:rPr>
          <w:sz w:val="20"/>
        </w:rPr>
      </w:pPr>
      <w:r>
        <w:rPr>
          <w:sz w:val="20"/>
        </w:rPr>
        <w:t>One of the main benefits of applying the credit method for relieving jurisdictions is that secondary taxing rights remain available to the residence state. However, as mentioned above, the value of such a right is expected to be relatively limited as it is expected that the average rate applied to Amount A would be</w:t>
      </w:r>
      <w:r>
        <w:rPr>
          <w:spacing w:val="-7"/>
          <w:sz w:val="20"/>
        </w:rPr>
        <w:t> </w:t>
      </w:r>
      <w:r>
        <w:rPr>
          <w:sz w:val="20"/>
        </w:rPr>
        <w:t>relatively</w:t>
      </w:r>
      <w:r>
        <w:rPr>
          <w:spacing w:val="-6"/>
          <w:sz w:val="20"/>
        </w:rPr>
        <w:t> </w:t>
      </w:r>
      <w:r>
        <w:rPr>
          <w:sz w:val="20"/>
        </w:rPr>
        <w:t>high.</w:t>
      </w:r>
      <w:r>
        <w:rPr>
          <w:spacing w:val="-8"/>
          <w:sz w:val="20"/>
        </w:rPr>
        <w:t> </w:t>
      </w:r>
      <w:r>
        <w:rPr>
          <w:sz w:val="20"/>
        </w:rPr>
        <w:t>With</w:t>
      </w:r>
      <w:r>
        <w:rPr>
          <w:spacing w:val="-6"/>
          <w:sz w:val="20"/>
        </w:rPr>
        <w:t> </w:t>
      </w:r>
      <w:r>
        <w:rPr>
          <w:sz w:val="20"/>
        </w:rPr>
        <w:t>a</w:t>
      </w:r>
      <w:r>
        <w:rPr>
          <w:spacing w:val="-6"/>
          <w:sz w:val="20"/>
        </w:rPr>
        <w:t> </w:t>
      </w:r>
      <w:r>
        <w:rPr>
          <w:sz w:val="20"/>
        </w:rPr>
        <w:t>view</w:t>
      </w:r>
      <w:r>
        <w:rPr>
          <w:spacing w:val="-7"/>
          <w:sz w:val="20"/>
        </w:rPr>
        <w:t> </w:t>
      </w:r>
      <w:r>
        <w:rPr>
          <w:sz w:val="20"/>
        </w:rPr>
        <w:t>to</w:t>
      </w:r>
      <w:r>
        <w:rPr>
          <w:spacing w:val="-6"/>
          <w:sz w:val="20"/>
        </w:rPr>
        <w:t> </w:t>
      </w:r>
      <w:r>
        <w:rPr>
          <w:sz w:val="20"/>
        </w:rPr>
        <w:t>testing</w:t>
      </w:r>
      <w:r>
        <w:rPr>
          <w:spacing w:val="-6"/>
          <w:sz w:val="20"/>
        </w:rPr>
        <w:t> </w:t>
      </w:r>
      <w:r>
        <w:rPr>
          <w:sz w:val="20"/>
        </w:rPr>
        <w:t>this</w:t>
      </w:r>
      <w:r>
        <w:rPr>
          <w:spacing w:val="-4"/>
          <w:sz w:val="20"/>
        </w:rPr>
        <w:t> </w:t>
      </w:r>
      <w:r>
        <w:rPr>
          <w:sz w:val="20"/>
        </w:rPr>
        <w:t>position,</w:t>
      </w:r>
      <w:r>
        <w:rPr>
          <w:spacing w:val="-5"/>
          <w:sz w:val="20"/>
        </w:rPr>
        <w:t> </w:t>
      </w:r>
      <w:r>
        <w:rPr>
          <w:sz w:val="20"/>
        </w:rPr>
        <w:t>some</w:t>
      </w:r>
      <w:r>
        <w:rPr>
          <w:spacing w:val="-6"/>
          <w:sz w:val="20"/>
        </w:rPr>
        <w:t> </w:t>
      </w:r>
      <w:r>
        <w:rPr>
          <w:sz w:val="20"/>
        </w:rPr>
        <w:t>initial</w:t>
      </w:r>
      <w:r>
        <w:rPr>
          <w:spacing w:val="-6"/>
          <w:sz w:val="20"/>
        </w:rPr>
        <w:t> </w:t>
      </w:r>
      <w:r>
        <w:rPr>
          <w:sz w:val="20"/>
        </w:rPr>
        <w:t>analysis</w:t>
      </w:r>
      <w:r>
        <w:rPr>
          <w:spacing w:val="-2"/>
          <w:sz w:val="20"/>
        </w:rPr>
        <w:t> </w:t>
      </w:r>
      <w:r>
        <w:rPr>
          <w:sz w:val="20"/>
        </w:rPr>
        <w:t>was</w:t>
      </w:r>
      <w:r>
        <w:rPr>
          <w:spacing w:val="-6"/>
          <w:sz w:val="20"/>
        </w:rPr>
        <w:t> </w:t>
      </w:r>
      <w:r>
        <w:rPr>
          <w:sz w:val="20"/>
        </w:rPr>
        <w:t>undertaken</w:t>
      </w:r>
      <w:r>
        <w:rPr>
          <w:spacing w:val="-6"/>
          <w:sz w:val="20"/>
        </w:rPr>
        <w:t> </w:t>
      </w:r>
      <w:r>
        <w:rPr>
          <w:sz w:val="20"/>
        </w:rPr>
        <w:t>to</w:t>
      </w:r>
      <w:r>
        <w:rPr>
          <w:spacing w:val="-6"/>
          <w:sz w:val="20"/>
        </w:rPr>
        <w:t> </w:t>
      </w:r>
      <w:r>
        <w:rPr>
          <w:sz w:val="20"/>
        </w:rPr>
        <w:t>compute</w:t>
      </w:r>
      <w:r>
        <w:rPr>
          <w:spacing w:val="-6"/>
          <w:sz w:val="20"/>
        </w:rPr>
        <w:t> </w:t>
      </w:r>
      <w:r>
        <w:rPr>
          <w:sz w:val="20"/>
        </w:rPr>
        <w:t>the average CIT rate across market jurisdictions. That initial analysis indicated that for ADS, the average CIT rate in market jurisdictions based on the data would be at present 26.0%, and for CFB it would be 26.3%. Under</w:t>
      </w:r>
      <w:r>
        <w:rPr>
          <w:spacing w:val="-6"/>
          <w:sz w:val="20"/>
        </w:rPr>
        <w:t> </w:t>
      </w:r>
      <w:r>
        <w:rPr>
          <w:sz w:val="20"/>
        </w:rPr>
        <w:t>such</w:t>
      </w:r>
      <w:r>
        <w:rPr>
          <w:spacing w:val="-7"/>
          <w:sz w:val="20"/>
        </w:rPr>
        <w:t> </w:t>
      </w:r>
      <w:r>
        <w:rPr>
          <w:sz w:val="20"/>
        </w:rPr>
        <w:t>scenario,</w:t>
      </w:r>
      <w:r>
        <w:rPr>
          <w:spacing w:val="-7"/>
          <w:sz w:val="20"/>
        </w:rPr>
        <w:t> </w:t>
      </w:r>
      <w:r>
        <w:rPr>
          <w:sz w:val="20"/>
        </w:rPr>
        <w:t>and</w:t>
      </w:r>
      <w:r>
        <w:rPr>
          <w:spacing w:val="-7"/>
          <w:sz w:val="20"/>
        </w:rPr>
        <w:t> </w:t>
      </w:r>
      <w:r>
        <w:rPr>
          <w:sz w:val="20"/>
        </w:rPr>
        <w:t>noting</w:t>
      </w:r>
      <w:r>
        <w:rPr>
          <w:spacing w:val="-7"/>
          <w:sz w:val="20"/>
        </w:rPr>
        <w:t> </w:t>
      </w:r>
      <w:r>
        <w:rPr>
          <w:sz w:val="20"/>
        </w:rPr>
        <w:t>that</w:t>
      </w:r>
      <w:r>
        <w:rPr>
          <w:spacing w:val="-6"/>
          <w:sz w:val="20"/>
        </w:rPr>
        <w:t> </w:t>
      </w:r>
      <w:r>
        <w:rPr>
          <w:sz w:val="20"/>
        </w:rPr>
        <w:t>rates</w:t>
      </w:r>
      <w:r>
        <w:rPr>
          <w:spacing w:val="-5"/>
          <w:sz w:val="20"/>
        </w:rPr>
        <w:t> </w:t>
      </w:r>
      <w:r>
        <w:rPr>
          <w:sz w:val="20"/>
        </w:rPr>
        <w:t>may</w:t>
      </w:r>
      <w:r>
        <w:rPr>
          <w:spacing w:val="-11"/>
          <w:sz w:val="20"/>
        </w:rPr>
        <w:t> </w:t>
      </w:r>
      <w:r>
        <w:rPr>
          <w:sz w:val="20"/>
        </w:rPr>
        <w:t>change</w:t>
      </w:r>
      <w:r>
        <w:rPr>
          <w:spacing w:val="-5"/>
          <w:sz w:val="20"/>
        </w:rPr>
        <w:t> </w:t>
      </w:r>
      <w:r>
        <w:rPr>
          <w:sz w:val="20"/>
        </w:rPr>
        <w:t>overtime,</w:t>
      </w:r>
      <w:r>
        <w:rPr>
          <w:spacing w:val="-6"/>
          <w:sz w:val="20"/>
        </w:rPr>
        <w:t> </w:t>
      </w:r>
      <w:r>
        <w:rPr>
          <w:sz w:val="20"/>
        </w:rPr>
        <w:t>a</w:t>
      </w:r>
      <w:r>
        <w:rPr>
          <w:spacing w:val="-7"/>
          <w:sz w:val="20"/>
        </w:rPr>
        <w:t> </w:t>
      </w:r>
      <w:r>
        <w:rPr>
          <w:sz w:val="20"/>
        </w:rPr>
        <w:t>jurisdiction</w:t>
      </w:r>
      <w:r>
        <w:rPr>
          <w:spacing w:val="-5"/>
          <w:sz w:val="20"/>
        </w:rPr>
        <w:t> </w:t>
      </w:r>
      <w:r>
        <w:rPr>
          <w:sz w:val="20"/>
        </w:rPr>
        <w:t>with</w:t>
      </w:r>
      <w:r>
        <w:rPr>
          <w:spacing w:val="-5"/>
          <w:sz w:val="20"/>
        </w:rPr>
        <w:t> </w:t>
      </w:r>
      <w:r>
        <w:rPr>
          <w:sz w:val="20"/>
        </w:rPr>
        <w:t>a</w:t>
      </w:r>
      <w:r>
        <w:rPr>
          <w:spacing w:val="-7"/>
          <w:sz w:val="20"/>
        </w:rPr>
        <w:t> </w:t>
      </w:r>
      <w:r>
        <w:rPr>
          <w:sz w:val="20"/>
        </w:rPr>
        <w:t>CIT</w:t>
      </w:r>
      <w:r>
        <w:rPr>
          <w:spacing w:val="-3"/>
          <w:sz w:val="20"/>
        </w:rPr>
        <w:t> </w:t>
      </w:r>
      <w:r>
        <w:rPr>
          <w:sz w:val="20"/>
        </w:rPr>
        <w:t>rate</w:t>
      </w:r>
      <w:r>
        <w:rPr>
          <w:spacing w:val="-6"/>
          <w:sz w:val="20"/>
        </w:rPr>
        <w:t> </w:t>
      </w:r>
      <w:r>
        <w:rPr>
          <w:sz w:val="20"/>
        </w:rPr>
        <w:t>below</w:t>
      </w:r>
      <w:r>
        <w:rPr>
          <w:spacing w:val="-6"/>
          <w:sz w:val="20"/>
        </w:rPr>
        <w:t> </w:t>
      </w:r>
      <w:r>
        <w:rPr>
          <w:sz w:val="20"/>
        </w:rPr>
        <w:t>26% would have no additional collected under the secondary taxing right in respect of Amount A if the credit method is applied using a blended cap.</w:t>
      </w:r>
      <w:r>
        <w:rPr>
          <w:position w:val="6"/>
          <w:sz w:val="13"/>
        </w:rPr>
        <w:t>122 </w:t>
      </w:r>
      <w:r>
        <w:rPr>
          <w:sz w:val="20"/>
        </w:rPr>
        <w:t>Where the credit method is applied using a per jurisdiction cap, some additional tax may be collected by relieving jurisdictions with lower tax</w:t>
      </w:r>
      <w:r>
        <w:rPr>
          <w:spacing w:val="-14"/>
          <w:sz w:val="20"/>
        </w:rPr>
        <w:t> </w:t>
      </w:r>
      <w:r>
        <w:rPr>
          <w:sz w:val="20"/>
        </w:rPr>
        <w:t>rates.</w:t>
      </w:r>
    </w:p>
    <w:p>
      <w:pPr>
        <w:pStyle w:val="BodyText"/>
        <w:spacing w:before="4"/>
      </w:pPr>
    </w:p>
    <w:p>
      <w:pPr>
        <w:pStyle w:val="Heading7"/>
        <w:rPr>
          <w:i/>
        </w:rPr>
      </w:pPr>
      <w:bookmarkStart w:name="Outcome for MNE" w:id="364"/>
      <w:bookmarkEnd w:id="364"/>
      <w:r>
        <w:rPr>
          <w:i w:val="0"/>
        </w:rPr>
      </w:r>
      <w:r>
        <w:rPr>
          <w:i/>
          <w:color w:val="616161"/>
        </w:rPr>
        <w:t>Outcome for MNE</w:t>
      </w:r>
    </w:p>
    <w:p>
      <w:pPr>
        <w:pStyle w:val="ListParagraph"/>
        <w:numPr>
          <w:ilvl w:val="0"/>
          <w:numId w:val="13"/>
        </w:numPr>
        <w:tabs>
          <w:tab w:pos="1444" w:val="left" w:leader="none"/>
        </w:tabs>
        <w:spacing w:line="271" w:lineRule="auto" w:before="215" w:after="0"/>
        <w:ind w:left="723" w:right="481" w:firstLine="0"/>
        <w:jc w:val="both"/>
        <w:rPr>
          <w:sz w:val="20"/>
        </w:rPr>
      </w:pPr>
      <w:r>
        <w:rPr>
          <w:sz w:val="20"/>
        </w:rPr>
        <w:t>Another argument made in favour of the credit method over the exemption method is that the exemption method could put taxpayers in a better position than before if the profits allocated to market jurisdictions were taxed at a lower rate in the market jurisdiction. Under the exemption method, taxing rights on residual profits are moved from relieving jurisdictions to market jurisdictions. If the tax rates in relieving jurisdictions are higher than the tax rates in market jurisdictions, globally the MNE group may be paying less tax under Amount A with the exemption method than it would under existing rules. However, the</w:t>
      </w:r>
      <w:r>
        <w:rPr>
          <w:spacing w:val="-8"/>
          <w:sz w:val="20"/>
        </w:rPr>
        <w:t> </w:t>
      </w:r>
      <w:r>
        <w:rPr>
          <w:sz w:val="20"/>
        </w:rPr>
        <w:t>initial</w:t>
      </w:r>
      <w:r>
        <w:rPr>
          <w:spacing w:val="-8"/>
          <w:sz w:val="20"/>
        </w:rPr>
        <w:t> </w:t>
      </w:r>
      <w:r>
        <w:rPr>
          <w:sz w:val="20"/>
        </w:rPr>
        <w:t>economic</w:t>
      </w:r>
      <w:r>
        <w:rPr>
          <w:spacing w:val="-6"/>
          <w:sz w:val="20"/>
        </w:rPr>
        <w:t> </w:t>
      </w:r>
      <w:r>
        <w:rPr>
          <w:sz w:val="20"/>
        </w:rPr>
        <w:t>analysis</w:t>
      </w:r>
      <w:r>
        <w:rPr>
          <w:spacing w:val="-9"/>
          <w:sz w:val="20"/>
        </w:rPr>
        <w:t> </w:t>
      </w:r>
      <w:r>
        <w:rPr>
          <w:sz w:val="20"/>
        </w:rPr>
        <w:t>on</w:t>
      </w:r>
      <w:r>
        <w:rPr>
          <w:spacing w:val="-7"/>
          <w:sz w:val="20"/>
        </w:rPr>
        <w:t> </w:t>
      </w:r>
      <w:r>
        <w:rPr>
          <w:sz w:val="20"/>
        </w:rPr>
        <w:t>average</w:t>
      </w:r>
      <w:r>
        <w:rPr>
          <w:spacing w:val="-9"/>
          <w:sz w:val="20"/>
        </w:rPr>
        <w:t> </w:t>
      </w:r>
      <w:r>
        <w:rPr>
          <w:sz w:val="20"/>
        </w:rPr>
        <w:t>tax</w:t>
      </w:r>
      <w:r>
        <w:rPr>
          <w:spacing w:val="-8"/>
          <w:sz w:val="20"/>
        </w:rPr>
        <w:t> </w:t>
      </w:r>
      <w:r>
        <w:rPr>
          <w:sz w:val="20"/>
        </w:rPr>
        <w:t>rates</w:t>
      </w:r>
      <w:r>
        <w:rPr>
          <w:spacing w:val="-6"/>
          <w:sz w:val="20"/>
        </w:rPr>
        <w:t> </w:t>
      </w:r>
      <w:r>
        <w:rPr>
          <w:sz w:val="20"/>
        </w:rPr>
        <w:t>referenced</w:t>
      </w:r>
      <w:r>
        <w:rPr>
          <w:spacing w:val="-7"/>
          <w:sz w:val="20"/>
        </w:rPr>
        <w:t> </w:t>
      </w:r>
      <w:r>
        <w:rPr>
          <w:sz w:val="20"/>
        </w:rPr>
        <w:t>above</w:t>
      </w:r>
      <w:r>
        <w:rPr>
          <w:spacing w:val="-7"/>
          <w:sz w:val="20"/>
        </w:rPr>
        <w:t> </w:t>
      </w:r>
      <w:r>
        <w:rPr>
          <w:sz w:val="20"/>
        </w:rPr>
        <w:t>would</w:t>
      </w:r>
      <w:r>
        <w:rPr>
          <w:spacing w:val="-8"/>
          <w:sz w:val="20"/>
        </w:rPr>
        <w:t> </w:t>
      </w:r>
      <w:r>
        <w:rPr>
          <w:sz w:val="20"/>
        </w:rPr>
        <w:t>tend</w:t>
      </w:r>
      <w:r>
        <w:rPr>
          <w:spacing w:val="-9"/>
          <w:sz w:val="20"/>
        </w:rPr>
        <w:t> </w:t>
      </w:r>
      <w:r>
        <w:rPr>
          <w:sz w:val="20"/>
        </w:rPr>
        <w:t>to</w:t>
      </w:r>
      <w:r>
        <w:rPr>
          <w:spacing w:val="-7"/>
          <w:sz w:val="20"/>
        </w:rPr>
        <w:t> </w:t>
      </w:r>
      <w:r>
        <w:rPr>
          <w:sz w:val="20"/>
        </w:rPr>
        <w:t>indicate</w:t>
      </w:r>
      <w:r>
        <w:rPr>
          <w:spacing w:val="-7"/>
          <w:sz w:val="20"/>
        </w:rPr>
        <w:t> </w:t>
      </w:r>
      <w:r>
        <w:rPr>
          <w:sz w:val="20"/>
        </w:rPr>
        <w:t>that</w:t>
      </w:r>
      <w:r>
        <w:rPr>
          <w:spacing w:val="-10"/>
          <w:sz w:val="20"/>
        </w:rPr>
        <w:t> </w:t>
      </w:r>
      <w:r>
        <w:rPr>
          <w:sz w:val="20"/>
        </w:rPr>
        <w:t>this</w:t>
      </w:r>
      <w:r>
        <w:rPr>
          <w:spacing w:val="-8"/>
          <w:sz w:val="20"/>
        </w:rPr>
        <w:t> </w:t>
      </w:r>
      <w:r>
        <w:rPr>
          <w:sz w:val="20"/>
        </w:rPr>
        <w:t>should not be a significant risk. Further, since Amount A is intended to effect a transfer of taxing rights to market jurisdictions, and some jurisdictions do not view this transfer as conditional on the level of taxation in the market,</w:t>
      </w:r>
      <w:r>
        <w:rPr>
          <w:spacing w:val="-5"/>
          <w:sz w:val="20"/>
        </w:rPr>
        <w:t> </w:t>
      </w:r>
      <w:r>
        <w:rPr>
          <w:sz w:val="20"/>
        </w:rPr>
        <w:t>if</w:t>
      </w:r>
      <w:r>
        <w:rPr>
          <w:spacing w:val="-1"/>
          <w:sz w:val="20"/>
        </w:rPr>
        <w:t> </w:t>
      </w:r>
      <w:r>
        <w:rPr>
          <w:sz w:val="20"/>
        </w:rPr>
        <w:t>in</w:t>
      </w:r>
      <w:r>
        <w:rPr>
          <w:spacing w:val="-3"/>
          <w:sz w:val="20"/>
        </w:rPr>
        <w:t> </w:t>
      </w:r>
      <w:r>
        <w:rPr>
          <w:sz w:val="20"/>
        </w:rPr>
        <w:t>a</w:t>
      </w:r>
      <w:r>
        <w:rPr>
          <w:spacing w:val="-4"/>
          <w:sz w:val="20"/>
        </w:rPr>
        <w:t> </w:t>
      </w:r>
      <w:r>
        <w:rPr>
          <w:sz w:val="20"/>
        </w:rPr>
        <w:t>particular</w:t>
      </w:r>
      <w:r>
        <w:rPr>
          <w:spacing w:val="-3"/>
          <w:sz w:val="20"/>
        </w:rPr>
        <w:t> </w:t>
      </w:r>
      <w:r>
        <w:rPr>
          <w:sz w:val="20"/>
        </w:rPr>
        <w:t>case</w:t>
      </w:r>
      <w:r>
        <w:rPr>
          <w:spacing w:val="-3"/>
          <w:sz w:val="20"/>
        </w:rPr>
        <w:t> </w:t>
      </w:r>
      <w:r>
        <w:rPr>
          <w:sz w:val="20"/>
        </w:rPr>
        <w:t>it</w:t>
      </w:r>
      <w:r>
        <w:rPr>
          <w:spacing w:val="-3"/>
          <w:sz w:val="20"/>
        </w:rPr>
        <w:t> </w:t>
      </w:r>
      <w:r>
        <w:rPr>
          <w:sz w:val="20"/>
        </w:rPr>
        <w:t>results</w:t>
      </w:r>
      <w:r>
        <w:rPr>
          <w:spacing w:val="-2"/>
          <w:sz w:val="20"/>
        </w:rPr>
        <w:t> </w:t>
      </w:r>
      <w:r>
        <w:rPr>
          <w:sz w:val="20"/>
        </w:rPr>
        <w:t>in</w:t>
      </w:r>
      <w:r>
        <w:rPr>
          <w:spacing w:val="-3"/>
          <w:sz w:val="20"/>
        </w:rPr>
        <w:t> </w:t>
      </w:r>
      <w:r>
        <w:rPr>
          <w:sz w:val="20"/>
        </w:rPr>
        <w:t>a</w:t>
      </w:r>
      <w:r>
        <w:rPr>
          <w:spacing w:val="-4"/>
          <w:sz w:val="20"/>
        </w:rPr>
        <w:t> </w:t>
      </w:r>
      <w:r>
        <w:rPr>
          <w:sz w:val="20"/>
        </w:rPr>
        <w:t>reduction</w:t>
      </w:r>
      <w:r>
        <w:rPr>
          <w:spacing w:val="-2"/>
          <w:sz w:val="20"/>
        </w:rPr>
        <w:t> </w:t>
      </w:r>
      <w:r>
        <w:rPr>
          <w:sz w:val="20"/>
        </w:rPr>
        <w:t>in</w:t>
      </w:r>
      <w:r>
        <w:rPr>
          <w:spacing w:val="-2"/>
          <w:sz w:val="20"/>
        </w:rPr>
        <w:t> </w:t>
      </w:r>
      <w:r>
        <w:rPr>
          <w:sz w:val="20"/>
        </w:rPr>
        <w:t>tax,</w:t>
      </w:r>
      <w:r>
        <w:rPr>
          <w:spacing w:val="-3"/>
          <w:sz w:val="20"/>
        </w:rPr>
        <w:t> </w:t>
      </w:r>
      <w:r>
        <w:rPr>
          <w:sz w:val="20"/>
        </w:rPr>
        <w:t>this</w:t>
      </w:r>
      <w:r>
        <w:rPr>
          <w:spacing w:val="-2"/>
          <w:sz w:val="20"/>
        </w:rPr>
        <w:t> </w:t>
      </w:r>
      <w:r>
        <w:rPr>
          <w:sz w:val="20"/>
        </w:rPr>
        <w:t>is</w:t>
      </w:r>
      <w:r>
        <w:rPr>
          <w:spacing w:val="-2"/>
          <w:sz w:val="20"/>
        </w:rPr>
        <w:t> </w:t>
      </w:r>
      <w:r>
        <w:rPr>
          <w:sz w:val="20"/>
        </w:rPr>
        <w:t>not</w:t>
      </w:r>
      <w:r>
        <w:rPr>
          <w:spacing w:val="-3"/>
          <w:sz w:val="20"/>
        </w:rPr>
        <w:t> </w:t>
      </w:r>
      <w:r>
        <w:rPr>
          <w:sz w:val="20"/>
        </w:rPr>
        <w:t>necessarily</w:t>
      </w:r>
      <w:r>
        <w:rPr>
          <w:spacing w:val="-6"/>
          <w:sz w:val="20"/>
        </w:rPr>
        <w:t> </w:t>
      </w:r>
      <w:r>
        <w:rPr>
          <w:sz w:val="20"/>
        </w:rPr>
        <w:t>an</w:t>
      </w:r>
      <w:r>
        <w:rPr>
          <w:spacing w:val="-3"/>
          <w:sz w:val="20"/>
        </w:rPr>
        <w:t> </w:t>
      </w:r>
      <w:r>
        <w:rPr>
          <w:sz w:val="20"/>
        </w:rPr>
        <w:t>inappropriate</w:t>
      </w:r>
      <w:r>
        <w:rPr>
          <w:spacing w:val="-3"/>
          <w:sz w:val="20"/>
        </w:rPr>
        <w:t> </w:t>
      </w:r>
      <w:r>
        <w:rPr>
          <w:sz w:val="20"/>
        </w:rPr>
        <w:t>result.</w:t>
      </w:r>
    </w:p>
    <w:p>
      <w:pPr>
        <w:pStyle w:val="BodyText"/>
      </w:pPr>
    </w:p>
    <w:p>
      <w:pPr>
        <w:pStyle w:val="BodyText"/>
      </w:pPr>
    </w:p>
    <w:p>
      <w:pPr>
        <w:pStyle w:val="BodyText"/>
        <w:spacing w:before="7"/>
        <w:rPr>
          <w:sz w:val="11"/>
        </w:rPr>
      </w:pPr>
      <w:r>
        <w:rPr/>
        <w:pict>
          <v:rect style="position:absolute;margin-left:65.183998pt;margin-top:8.624813pt;width:144.020004pt;height:.60004pt;mso-position-horizontal-relative:page;mso-position-vertical-relative:paragraph;z-index:-1565132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14"/>
        </w:numPr>
        <w:tabs>
          <w:tab w:pos="1019" w:val="left" w:leader="none"/>
        </w:tabs>
        <w:spacing w:line="278" w:lineRule="auto" w:before="94" w:after="0"/>
        <w:ind w:left="723" w:right="478" w:firstLine="0"/>
        <w:jc w:val="both"/>
        <w:rPr>
          <w:sz w:val="18"/>
        </w:rPr>
      </w:pPr>
      <w:r>
        <w:rPr>
          <w:sz w:val="18"/>
        </w:rPr>
        <w:t>The rates used in the analysis were the statutory CIT rates, combining national and subnational rates, in 2019, based</w:t>
      </w:r>
      <w:r>
        <w:rPr>
          <w:spacing w:val="-9"/>
          <w:sz w:val="18"/>
        </w:rPr>
        <w:t> </w:t>
      </w:r>
      <w:r>
        <w:rPr>
          <w:sz w:val="18"/>
        </w:rPr>
        <w:t>primarily</w:t>
      </w:r>
      <w:r>
        <w:rPr>
          <w:spacing w:val="-11"/>
          <w:sz w:val="18"/>
        </w:rPr>
        <w:t> </w:t>
      </w:r>
      <w:r>
        <w:rPr>
          <w:sz w:val="18"/>
        </w:rPr>
        <w:t>on</w:t>
      </w:r>
      <w:r>
        <w:rPr>
          <w:spacing w:val="-8"/>
          <w:sz w:val="18"/>
        </w:rPr>
        <w:t> </w:t>
      </w:r>
      <w:r>
        <w:rPr>
          <w:sz w:val="18"/>
        </w:rPr>
        <w:t>OECD</w:t>
      </w:r>
      <w:r>
        <w:rPr>
          <w:spacing w:val="-10"/>
          <w:sz w:val="18"/>
        </w:rPr>
        <w:t> </w:t>
      </w:r>
      <w:r>
        <w:rPr>
          <w:sz w:val="18"/>
        </w:rPr>
        <w:t>Corporate</w:t>
      </w:r>
      <w:r>
        <w:rPr>
          <w:spacing w:val="-8"/>
          <w:sz w:val="18"/>
        </w:rPr>
        <w:t> </w:t>
      </w:r>
      <w:r>
        <w:rPr>
          <w:sz w:val="18"/>
        </w:rPr>
        <w:t>Tax</w:t>
      </w:r>
      <w:r>
        <w:rPr>
          <w:spacing w:val="-12"/>
          <w:sz w:val="18"/>
        </w:rPr>
        <w:t> </w:t>
      </w:r>
      <w:r>
        <w:rPr>
          <w:sz w:val="18"/>
        </w:rPr>
        <w:t>Statistics.</w:t>
      </w:r>
      <w:r>
        <w:rPr>
          <w:spacing w:val="-9"/>
          <w:sz w:val="18"/>
        </w:rPr>
        <w:t> </w:t>
      </w:r>
      <w:r>
        <w:rPr>
          <w:sz w:val="18"/>
        </w:rPr>
        <w:t>The</w:t>
      </w:r>
      <w:r>
        <w:rPr>
          <w:spacing w:val="-8"/>
          <w:sz w:val="18"/>
        </w:rPr>
        <w:t> </w:t>
      </w:r>
      <w:r>
        <w:rPr>
          <w:sz w:val="18"/>
        </w:rPr>
        <w:t>average</w:t>
      </w:r>
      <w:r>
        <w:rPr>
          <w:spacing w:val="-9"/>
          <w:sz w:val="18"/>
        </w:rPr>
        <w:t> </w:t>
      </w:r>
      <w:r>
        <w:rPr>
          <w:sz w:val="18"/>
        </w:rPr>
        <w:t>was</w:t>
      </w:r>
      <w:r>
        <w:rPr>
          <w:spacing w:val="-8"/>
          <w:sz w:val="18"/>
        </w:rPr>
        <w:t> </w:t>
      </w:r>
      <w:r>
        <w:rPr>
          <w:sz w:val="18"/>
        </w:rPr>
        <w:t>weighted</w:t>
      </w:r>
      <w:r>
        <w:rPr>
          <w:spacing w:val="-8"/>
          <w:sz w:val="18"/>
        </w:rPr>
        <w:t> </w:t>
      </w:r>
      <w:r>
        <w:rPr>
          <w:sz w:val="18"/>
        </w:rPr>
        <w:t>by</w:t>
      </w:r>
      <w:r>
        <w:rPr>
          <w:spacing w:val="-11"/>
          <w:sz w:val="18"/>
        </w:rPr>
        <w:t> </w:t>
      </w:r>
      <w:r>
        <w:rPr>
          <w:sz w:val="18"/>
        </w:rPr>
        <w:t>the</w:t>
      </w:r>
      <w:r>
        <w:rPr>
          <w:spacing w:val="-9"/>
          <w:sz w:val="18"/>
        </w:rPr>
        <w:t> </w:t>
      </w:r>
      <w:r>
        <w:rPr>
          <w:sz w:val="18"/>
        </w:rPr>
        <w:t>estimated</w:t>
      </w:r>
      <w:r>
        <w:rPr>
          <w:spacing w:val="-8"/>
          <w:sz w:val="18"/>
        </w:rPr>
        <w:t> </w:t>
      </w:r>
      <w:r>
        <w:rPr>
          <w:sz w:val="18"/>
        </w:rPr>
        <w:t>amount</w:t>
      </w:r>
      <w:r>
        <w:rPr>
          <w:spacing w:val="-9"/>
          <w:sz w:val="18"/>
        </w:rPr>
        <w:t> </w:t>
      </w:r>
      <w:r>
        <w:rPr>
          <w:sz w:val="18"/>
        </w:rPr>
        <w:t>of</w:t>
      </w:r>
      <w:r>
        <w:rPr>
          <w:spacing w:val="-9"/>
          <w:sz w:val="18"/>
        </w:rPr>
        <w:t> </w:t>
      </w:r>
      <w:r>
        <w:rPr>
          <w:sz w:val="18"/>
        </w:rPr>
        <w:t>MNE</w:t>
      </w:r>
      <w:r>
        <w:rPr>
          <w:spacing w:val="-7"/>
          <w:sz w:val="18"/>
        </w:rPr>
        <w:t> </w:t>
      </w:r>
      <w:r>
        <w:rPr>
          <w:sz w:val="18"/>
        </w:rPr>
        <w:t>sales into each jurisdiction, so that larger markets have more influence over the average than smaller markets. This is an average computed across all MNEs, and individual MNEs could face lower or higher average rates depending on the exact location of their</w:t>
      </w:r>
      <w:r>
        <w:rPr>
          <w:spacing w:val="-5"/>
          <w:sz w:val="18"/>
        </w:rPr>
        <w:t> </w:t>
      </w:r>
      <w:r>
        <w:rPr>
          <w:sz w:val="18"/>
        </w:rPr>
        <w:t>sales.</w:t>
      </w:r>
    </w:p>
    <w:p>
      <w:pPr>
        <w:spacing w:after="0" w:line="278" w:lineRule="auto"/>
        <w:jc w:val="both"/>
        <w:rPr>
          <w:sz w:val="18"/>
        </w:rPr>
        <w:sectPr>
          <w:pgSz w:w="11910" w:h="16840"/>
          <w:pgMar w:header="1244" w:footer="1638" w:top="1500" w:bottom="1820" w:left="580" w:right="820"/>
        </w:sectPr>
      </w:pPr>
    </w:p>
    <w:p>
      <w:pPr>
        <w:pStyle w:val="BodyText"/>
        <w:spacing w:before="7"/>
        <w:rPr>
          <w:sz w:val="19"/>
        </w:rPr>
      </w:pPr>
    </w:p>
    <w:p>
      <w:pPr>
        <w:pStyle w:val="Heading7"/>
        <w:spacing w:before="93"/>
        <w:rPr>
          <w:i/>
        </w:rPr>
      </w:pPr>
      <w:bookmarkStart w:name="Differences in sourcing rules" w:id="365"/>
      <w:bookmarkEnd w:id="365"/>
      <w:r>
        <w:rPr>
          <w:i w:val="0"/>
        </w:rPr>
      </w:r>
      <w:r>
        <w:rPr>
          <w:i/>
          <w:color w:val="616161"/>
        </w:rPr>
        <w:t>Differences in sourcing rules</w:t>
      </w:r>
    </w:p>
    <w:p>
      <w:pPr>
        <w:pStyle w:val="ListParagraph"/>
        <w:numPr>
          <w:ilvl w:val="0"/>
          <w:numId w:val="13"/>
        </w:numPr>
        <w:tabs>
          <w:tab w:pos="1444" w:val="left" w:leader="none"/>
        </w:tabs>
        <w:spacing w:line="271" w:lineRule="auto" w:before="215" w:after="0"/>
        <w:ind w:left="723" w:right="483" w:firstLine="0"/>
        <w:jc w:val="both"/>
        <w:rPr>
          <w:sz w:val="20"/>
        </w:rPr>
      </w:pPr>
      <w:r>
        <w:rPr>
          <w:sz w:val="20"/>
        </w:rPr>
        <w:t>Another consideration for applying the credit method is that domestic foreign tax credit regimes tend to have “sourcing” rules that can result in part of the income that was taxed in the source country being regarded as domestically sourced income in the country of residence. As a result, double taxation can arise and go</w:t>
      </w:r>
      <w:r>
        <w:rPr>
          <w:spacing w:val="-1"/>
          <w:sz w:val="20"/>
        </w:rPr>
        <w:t> </w:t>
      </w:r>
      <w:r>
        <w:rPr>
          <w:sz w:val="20"/>
        </w:rPr>
        <w:t>unrelieved.</w:t>
      </w:r>
    </w:p>
    <w:p>
      <w:pPr>
        <w:pStyle w:val="ListParagraph"/>
        <w:numPr>
          <w:ilvl w:val="0"/>
          <w:numId w:val="13"/>
        </w:numPr>
        <w:tabs>
          <w:tab w:pos="1444" w:val="left" w:leader="none"/>
        </w:tabs>
        <w:spacing w:line="271" w:lineRule="auto" w:before="122" w:after="0"/>
        <w:ind w:left="723" w:right="489" w:firstLine="0"/>
        <w:jc w:val="both"/>
        <w:rPr>
          <w:sz w:val="20"/>
        </w:rPr>
      </w:pPr>
      <w:r>
        <w:rPr>
          <w:sz w:val="20"/>
        </w:rPr>
        <w:t>Amount A will be agreed multilaterally under a single system along with the Amount A allocations to market jurisdictions and the Amount A that should be relieved by each relieving jurisdiction. Given the multilateral nature of Amount A, there should be no opportunity for having different domestic legislation and sourcing rules that would lead to unrelieved double tax on Amount</w:t>
      </w:r>
      <w:r>
        <w:rPr>
          <w:spacing w:val="-13"/>
          <w:sz w:val="20"/>
        </w:rPr>
        <w:t> </w:t>
      </w:r>
      <w:r>
        <w:rPr>
          <w:sz w:val="20"/>
        </w:rPr>
        <w:t>A.</w:t>
      </w:r>
    </w:p>
    <w:p>
      <w:pPr>
        <w:pStyle w:val="BodyText"/>
      </w:pPr>
    </w:p>
    <w:p>
      <w:pPr>
        <w:pStyle w:val="Heading7"/>
        <w:spacing w:before="1"/>
        <w:rPr>
          <w:i/>
        </w:rPr>
      </w:pPr>
      <w:bookmarkStart w:name="Information requirements" w:id="366"/>
      <w:bookmarkEnd w:id="366"/>
      <w:r>
        <w:rPr>
          <w:i w:val="0"/>
        </w:rPr>
      </w:r>
      <w:r>
        <w:rPr>
          <w:i/>
          <w:color w:val="616161"/>
        </w:rPr>
        <w:t>Information requirements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0" w:firstLine="0"/>
        <w:jc w:val="both"/>
        <w:rPr>
          <w:sz w:val="20"/>
        </w:rPr>
      </w:pPr>
      <w:r>
        <w:rPr>
          <w:sz w:val="20"/>
        </w:rPr>
        <w:t>Another</w:t>
      </w:r>
      <w:r>
        <w:rPr>
          <w:spacing w:val="-11"/>
          <w:sz w:val="20"/>
        </w:rPr>
        <w:t> </w:t>
      </w:r>
      <w:r>
        <w:rPr>
          <w:sz w:val="20"/>
        </w:rPr>
        <w:t>consideration</w:t>
      </w:r>
      <w:r>
        <w:rPr>
          <w:spacing w:val="-9"/>
          <w:sz w:val="20"/>
        </w:rPr>
        <w:t> </w:t>
      </w:r>
      <w:r>
        <w:rPr>
          <w:sz w:val="20"/>
        </w:rPr>
        <w:t>when</w:t>
      </w:r>
      <w:r>
        <w:rPr>
          <w:spacing w:val="-12"/>
          <w:sz w:val="20"/>
        </w:rPr>
        <w:t> </w:t>
      </w:r>
      <w:r>
        <w:rPr>
          <w:sz w:val="20"/>
        </w:rPr>
        <w:t>using</w:t>
      </w:r>
      <w:r>
        <w:rPr>
          <w:spacing w:val="-12"/>
          <w:sz w:val="20"/>
        </w:rPr>
        <w:t> </w:t>
      </w:r>
      <w:r>
        <w:rPr>
          <w:sz w:val="20"/>
        </w:rPr>
        <w:t>the</w:t>
      </w:r>
      <w:r>
        <w:rPr>
          <w:spacing w:val="-12"/>
          <w:sz w:val="20"/>
        </w:rPr>
        <w:t> </w:t>
      </w:r>
      <w:r>
        <w:rPr>
          <w:sz w:val="20"/>
        </w:rPr>
        <w:t>credit</w:t>
      </w:r>
      <w:r>
        <w:rPr>
          <w:spacing w:val="-11"/>
          <w:sz w:val="20"/>
        </w:rPr>
        <w:t> </w:t>
      </w:r>
      <w:r>
        <w:rPr>
          <w:sz w:val="20"/>
        </w:rPr>
        <w:t>method</w:t>
      </w:r>
      <w:r>
        <w:rPr>
          <w:spacing w:val="-12"/>
          <w:sz w:val="20"/>
        </w:rPr>
        <w:t> </w:t>
      </w:r>
      <w:r>
        <w:rPr>
          <w:sz w:val="20"/>
        </w:rPr>
        <w:t>to</w:t>
      </w:r>
      <w:r>
        <w:rPr>
          <w:spacing w:val="-9"/>
          <w:sz w:val="20"/>
        </w:rPr>
        <w:t> </w:t>
      </w:r>
      <w:r>
        <w:rPr>
          <w:sz w:val="20"/>
        </w:rPr>
        <w:t>relieve</w:t>
      </w:r>
      <w:r>
        <w:rPr>
          <w:spacing w:val="-9"/>
          <w:sz w:val="20"/>
        </w:rPr>
        <w:t> </w:t>
      </w:r>
      <w:r>
        <w:rPr>
          <w:sz w:val="20"/>
        </w:rPr>
        <w:t>double</w:t>
      </w:r>
      <w:r>
        <w:rPr>
          <w:spacing w:val="-13"/>
          <w:sz w:val="20"/>
        </w:rPr>
        <w:t> </w:t>
      </w:r>
      <w:r>
        <w:rPr>
          <w:sz w:val="20"/>
        </w:rPr>
        <w:t>taxation</w:t>
      </w:r>
      <w:r>
        <w:rPr>
          <w:spacing w:val="-8"/>
          <w:sz w:val="20"/>
        </w:rPr>
        <w:t> </w:t>
      </w:r>
      <w:r>
        <w:rPr>
          <w:sz w:val="20"/>
        </w:rPr>
        <w:t>on</w:t>
      </w:r>
      <w:r>
        <w:rPr>
          <w:spacing w:val="-9"/>
          <w:sz w:val="20"/>
        </w:rPr>
        <w:t> </w:t>
      </w:r>
      <w:r>
        <w:rPr>
          <w:sz w:val="20"/>
        </w:rPr>
        <w:t>Amount</w:t>
      </w:r>
      <w:r>
        <w:rPr>
          <w:spacing w:val="-12"/>
          <w:sz w:val="20"/>
        </w:rPr>
        <w:t> </w:t>
      </w:r>
      <w:r>
        <w:rPr>
          <w:sz w:val="20"/>
        </w:rPr>
        <w:t>A</w:t>
      </w:r>
      <w:r>
        <w:rPr>
          <w:spacing w:val="-12"/>
          <w:sz w:val="20"/>
        </w:rPr>
        <w:t> </w:t>
      </w:r>
      <w:r>
        <w:rPr>
          <w:sz w:val="20"/>
        </w:rPr>
        <w:t>is</w:t>
      </w:r>
      <w:r>
        <w:rPr>
          <w:spacing w:val="-10"/>
          <w:sz w:val="20"/>
        </w:rPr>
        <w:t> </w:t>
      </w:r>
      <w:r>
        <w:rPr>
          <w:sz w:val="20"/>
        </w:rPr>
        <w:t>that more</w:t>
      </w:r>
      <w:r>
        <w:rPr>
          <w:spacing w:val="-13"/>
          <w:sz w:val="20"/>
        </w:rPr>
        <w:t> </w:t>
      </w:r>
      <w:r>
        <w:rPr>
          <w:sz w:val="20"/>
        </w:rPr>
        <w:t>information</w:t>
      </w:r>
      <w:r>
        <w:rPr>
          <w:spacing w:val="-14"/>
          <w:sz w:val="20"/>
        </w:rPr>
        <w:t> </w:t>
      </w:r>
      <w:r>
        <w:rPr>
          <w:sz w:val="20"/>
        </w:rPr>
        <w:t>is</w:t>
      </w:r>
      <w:r>
        <w:rPr>
          <w:spacing w:val="-12"/>
          <w:sz w:val="20"/>
        </w:rPr>
        <w:t> </w:t>
      </w:r>
      <w:r>
        <w:rPr>
          <w:sz w:val="20"/>
        </w:rPr>
        <w:t>required</w:t>
      </w:r>
      <w:r>
        <w:rPr>
          <w:spacing w:val="-10"/>
          <w:sz w:val="20"/>
        </w:rPr>
        <w:t> </w:t>
      </w:r>
      <w:r>
        <w:rPr>
          <w:sz w:val="20"/>
        </w:rPr>
        <w:t>by</w:t>
      </w:r>
      <w:r>
        <w:rPr>
          <w:spacing w:val="-17"/>
          <w:sz w:val="20"/>
        </w:rPr>
        <w:t> </w:t>
      </w:r>
      <w:r>
        <w:rPr>
          <w:sz w:val="20"/>
        </w:rPr>
        <w:t>the</w:t>
      </w:r>
      <w:r>
        <w:rPr>
          <w:spacing w:val="-14"/>
          <w:sz w:val="20"/>
        </w:rPr>
        <w:t> </w:t>
      </w:r>
      <w:r>
        <w:rPr>
          <w:sz w:val="20"/>
        </w:rPr>
        <w:t>jurisdiction</w:t>
      </w:r>
      <w:r>
        <w:rPr>
          <w:spacing w:val="-11"/>
          <w:sz w:val="20"/>
        </w:rPr>
        <w:t> </w:t>
      </w:r>
      <w:r>
        <w:rPr>
          <w:sz w:val="20"/>
        </w:rPr>
        <w:t>providing</w:t>
      </w:r>
      <w:r>
        <w:rPr>
          <w:spacing w:val="-14"/>
          <w:sz w:val="20"/>
        </w:rPr>
        <w:t> </w:t>
      </w:r>
      <w:r>
        <w:rPr>
          <w:sz w:val="20"/>
        </w:rPr>
        <w:t>the</w:t>
      </w:r>
      <w:r>
        <w:rPr>
          <w:spacing w:val="-12"/>
          <w:sz w:val="20"/>
        </w:rPr>
        <w:t> </w:t>
      </w:r>
      <w:r>
        <w:rPr>
          <w:sz w:val="20"/>
        </w:rPr>
        <w:t>double</w:t>
      </w:r>
      <w:r>
        <w:rPr>
          <w:spacing w:val="-13"/>
          <w:sz w:val="20"/>
        </w:rPr>
        <w:t> </w:t>
      </w:r>
      <w:r>
        <w:rPr>
          <w:sz w:val="20"/>
        </w:rPr>
        <w:t>tax</w:t>
      </w:r>
      <w:r>
        <w:rPr>
          <w:spacing w:val="-13"/>
          <w:sz w:val="20"/>
        </w:rPr>
        <w:t> </w:t>
      </w:r>
      <w:r>
        <w:rPr>
          <w:sz w:val="20"/>
        </w:rPr>
        <w:t>relief</w:t>
      </w:r>
      <w:r>
        <w:rPr>
          <w:spacing w:val="-7"/>
          <w:sz w:val="20"/>
        </w:rPr>
        <w:t> </w:t>
      </w:r>
      <w:r>
        <w:rPr>
          <w:sz w:val="20"/>
        </w:rPr>
        <w:t>in</w:t>
      </w:r>
      <w:r>
        <w:rPr>
          <w:spacing w:val="-14"/>
          <w:sz w:val="20"/>
        </w:rPr>
        <w:t> </w:t>
      </w:r>
      <w:r>
        <w:rPr>
          <w:sz w:val="20"/>
        </w:rPr>
        <w:t>relation</w:t>
      </w:r>
      <w:r>
        <w:rPr>
          <w:spacing w:val="-12"/>
          <w:sz w:val="20"/>
        </w:rPr>
        <w:t> </w:t>
      </w:r>
      <w:r>
        <w:rPr>
          <w:sz w:val="20"/>
        </w:rPr>
        <w:t>to</w:t>
      </w:r>
      <w:r>
        <w:rPr>
          <w:spacing w:val="-13"/>
          <w:sz w:val="20"/>
        </w:rPr>
        <w:t> </w:t>
      </w:r>
      <w:r>
        <w:rPr>
          <w:sz w:val="20"/>
        </w:rPr>
        <w:t>the</w:t>
      </w:r>
      <w:r>
        <w:rPr>
          <w:spacing w:val="-14"/>
          <w:sz w:val="20"/>
        </w:rPr>
        <w:t> </w:t>
      </w:r>
      <w:r>
        <w:rPr>
          <w:sz w:val="20"/>
        </w:rPr>
        <w:t>tax</w:t>
      </w:r>
      <w:r>
        <w:rPr>
          <w:spacing w:val="-13"/>
          <w:sz w:val="20"/>
        </w:rPr>
        <w:t> </w:t>
      </w:r>
      <w:r>
        <w:rPr>
          <w:sz w:val="20"/>
        </w:rPr>
        <w:t>treatment of Amount A in the market jurisdiction (for example, the applicable rate in the market jurisdiction) than is required to apply the exemption</w:t>
      </w:r>
      <w:r>
        <w:rPr>
          <w:spacing w:val="-5"/>
          <w:sz w:val="20"/>
        </w:rPr>
        <w:t> </w:t>
      </w:r>
      <w:r>
        <w:rPr>
          <w:sz w:val="20"/>
        </w:rPr>
        <w:t>method.</w:t>
      </w:r>
    </w:p>
    <w:p>
      <w:pPr>
        <w:pStyle w:val="ListParagraph"/>
        <w:numPr>
          <w:ilvl w:val="0"/>
          <w:numId w:val="13"/>
        </w:numPr>
        <w:tabs>
          <w:tab w:pos="1112" w:val="left" w:leader="none"/>
        </w:tabs>
        <w:spacing w:line="240" w:lineRule="auto" w:before="120" w:after="0"/>
        <w:ind w:left="1111" w:right="0" w:hanging="389"/>
        <w:jc w:val="left"/>
        <w:rPr>
          <w:sz w:val="18"/>
        </w:rPr>
      </w:pPr>
    </w:p>
    <w:p>
      <w:pPr>
        <w:pStyle w:val="BodyText"/>
        <w:spacing w:before="11"/>
        <w:rPr>
          <w:sz w:val="25"/>
        </w:rPr>
      </w:pPr>
    </w:p>
    <w:p>
      <w:pPr>
        <w:pStyle w:val="Heading6"/>
        <w:numPr>
          <w:ilvl w:val="2"/>
          <w:numId w:val="68"/>
        </w:numPr>
        <w:tabs>
          <w:tab w:pos="2015" w:val="left" w:leader="none"/>
        </w:tabs>
        <w:spacing w:line="240" w:lineRule="auto" w:before="0" w:after="0"/>
        <w:ind w:left="2014" w:right="0" w:hanging="613"/>
        <w:jc w:val="left"/>
        <w:rPr>
          <w:i/>
        </w:rPr>
      </w:pPr>
      <w:bookmarkStart w:name="7.3.3. Facilitating use of both methods" w:id="367"/>
      <w:bookmarkEnd w:id="367"/>
      <w:r>
        <w:rPr>
          <w:b w:val="0"/>
          <w:i w:val="0"/>
        </w:rPr>
      </w:r>
      <w:bookmarkStart w:name="7.3.3. Facilitating use of both methods" w:id="368"/>
      <w:bookmarkEnd w:id="368"/>
      <w:r>
        <w:rPr>
          <w:i/>
        </w:rPr>
        <w:t>F</w:t>
      </w:r>
      <w:r>
        <w:rPr>
          <w:i/>
        </w:rPr>
        <w:t>acilitating use of both</w:t>
      </w:r>
      <w:r>
        <w:rPr>
          <w:i/>
          <w:spacing w:val="-5"/>
        </w:rPr>
        <w:t> </w:t>
      </w:r>
      <w:r>
        <w:rPr>
          <w:i/>
        </w:rPr>
        <w:t>methods</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92" w:firstLine="0"/>
        <w:jc w:val="both"/>
        <w:rPr>
          <w:sz w:val="20"/>
        </w:rPr>
      </w:pPr>
      <w:r>
        <w:rPr>
          <w:sz w:val="20"/>
        </w:rPr>
        <w:t>Allowing</w:t>
      </w:r>
      <w:r>
        <w:rPr>
          <w:spacing w:val="-18"/>
          <w:sz w:val="20"/>
        </w:rPr>
        <w:t> </w:t>
      </w:r>
      <w:r>
        <w:rPr>
          <w:sz w:val="20"/>
        </w:rPr>
        <w:t>jurisdictions</w:t>
      </w:r>
      <w:r>
        <w:rPr>
          <w:spacing w:val="-18"/>
          <w:sz w:val="20"/>
        </w:rPr>
        <w:t> </w:t>
      </w:r>
      <w:r>
        <w:rPr>
          <w:sz w:val="20"/>
        </w:rPr>
        <w:t>to</w:t>
      </w:r>
      <w:r>
        <w:rPr>
          <w:spacing w:val="-17"/>
          <w:sz w:val="20"/>
        </w:rPr>
        <w:t> </w:t>
      </w:r>
      <w:r>
        <w:rPr>
          <w:sz w:val="20"/>
        </w:rPr>
        <w:t>select</w:t>
      </w:r>
      <w:r>
        <w:rPr>
          <w:spacing w:val="-18"/>
          <w:sz w:val="20"/>
        </w:rPr>
        <w:t> </w:t>
      </w:r>
      <w:r>
        <w:rPr>
          <w:sz w:val="20"/>
        </w:rPr>
        <w:t>which</w:t>
      </w:r>
      <w:r>
        <w:rPr>
          <w:spacing w:val="-16"/>
          <w:sz w:val="20"/>
        </w:rPr>
        <w:t> </w:t>
      </w:r>
      <w:r>
        <w:rPr>
          <w:sz w:val="20"/>
        </w:rPr>
        <w:t>of</w:t>
      </w:r>
      <w:r>
        <w:rPr>
          <w:spacing w:val="-17"/>
          <w:sz w:val="20"/>
        </w:rPr>
        <w:t> </w:t>
      </w:r>
      <w:r>
        <w:rPr>
          <w:sz w:val="20"/>
        </w:rPr>
        <w:t>the</w:t>
      </w:r>
      <w:r>
        <w:rPr>
          <w:spacing w:val="-19"/>
          <w:sz w:val="20"/>
        </w:rPr>
        <w:t> </w:t>
      </w:r>
      <w:r>
        <w:rPr>
          <w:sz w:val="20"/>
        </w:rPr>
        <w:t>two</w:t>
      </w:r>
      <w:r>
        <w:rPr>
          <w:spacing w:val="-18"/>
          <w:sz w:val="20"/>
        </w:rPr>
        <w:t> </w:t>
      </w:r>
      <w:r>
        <w:rPr>
          <w:sz w:val="20"/>
        </w:rPr>
        <w:t>methods</w:t>
      </w:r>
      <w:r>
        <w:rPr>
          <w:spacing w:val="-15"/>
          <w:sz w:val="20"/>
        </w:rPr>
        <w:t> </w:t>
      </w:r>
      <w:r>
        <w:rPr>
          <w:sz w:val="20"/>
        </w:rPr>
        <w:t>they</w:t>
      </w:r>
      <w:r>
        <w:rPr>
          <w:spacing w:val="-19"/>
          <w:sz w:val="20"/>
        </w:rPr>
        <w:t> </w:t>
      </w:r>
      <w:r>
        <w:rPr>
          <w:sz w:val="20"/>
        </w:rPr>
        <w:t>would</w:t>
      </w:r>
      <w:r>
        <w:rPr>
          <w:spacing w:val="-17"/>
          <w:sz w:val="20"/>
        </w:rPr>
        <w:t> </w:t>
      </w:r>
      <w:r>
        <w:rPr>
          <w:sz w:val="20"/>
        </w:rPr>
        <w:t>apply</w:t>
      </w:r>
      <w:r>
        <w:rPr>
          <w:spacing w:val="-19"/>
          <w:sz w:val="20"/>
        </w:rPr>
        <w:t> </w:t>
      </w:r>
      <w:r>
        <w:rPr>
          <w:sz w:val="20"/>
        </w:rPr>
        <w:t>to</w:t>
      </w:r>
      <w:r>
        <w:rPr>
          <w:spacing w:val="-17"/>
          <w:sz w:val="20"/>
        </w:rPr>
        <w:t> </w:t>
      </w:r>
      <w:r>
        <w:rPr>
          <w:sz w:val="20"/>
        </w:rPr>
        <w:t>relieve</w:t>
      </w:r>
      <w:r>
        <w:rPr>
          <w:spacing w:val="-16"/>
          <w:sz w:val="20"/>
        </w:rPr>
        <w:t> </w:t>
      </w:r>
      <w:r>
        <w:rPr>
          <w:sz w:val="20"/>
        </w:rPr>
        <w:t>double</w:t>
      </w:r>
      <w:r>
        <w:rPr>
          <w:spacing w:val="-16"/>
          <w:sz w:val="20"/>
        </w:rPr>
        <w:t> </w:t>
      </w:r>
      <w:r>
        <w:rPr>
          <w:sz w:val="20"/>
        </w:rPr>
        <w:t>taxation would introduce some additional</w:t>
      </w:r>
      <w:r>
        <w:rPr>
          <w:spacing w:val="-5"/>
          <w:sz w:val="20"/>
        </w:rPr>
        <w:t> </w:t>
      </w:r>
      <w:r>
        <w:rPr>
          <w:sz w:val="20"/>
        </w:rPr>
        <w:t>complexity.</w:t>
      </w:r>
    </w:p>
    <w:p>
      <w:pPr>
        <w:pStyle w:val="ListParagraph"/>
        <w:numPr>
          <w:ilvl w:val="0"/>
          <w:numId w:val="13"/>
        </w:numPr>
        <w:tabs>
          <w:tab w:pos="1444" w:val="left" w:leader="none"/>
        </w:tabs>
        <w:spacing w:line="271" w:lineRule="auto" w:before="118" w:after="0"/>
        <w:ind w:left="723" w:right="485" w:firstLine="0"/>
        <w:jc w:val="both"/>
        <w:rPr>
          <w:sz w:val="20"/>
        </w:rPr>
      </w:pPr>
      <w:r>
        <w:rPr>
          <w:sz w:val="20"/>
        </w:rPr>
        <w:t>Where jurisdictions are permitted to select the method, once the paying entities of an MNE group were identified (through the process outlined in Component 1), the method to eliminate double taxation adopted</w:t>
      </w:r>
      <w:r>
        <w:rPr>
          <w:spacing w:val="-8"/>
          <w:sz w:val="20"/>
        </w:rPr>
        <w:t> </w:t>
      </w:r>
      <w:r>
        <w:rPr>
          <w:sz w:val="20"/>
        </w:rPr>
        <w:t>by</w:t>
      </w:r>
      <w:r>
        <w:rPr>
          <w:spacing w:val="-9"/>
          <w:sz w:val="20"/>
        </w:rPr>
        <w:t> </w:t>
      </w:r>
      <w:r>
        <w:rPr>
          <w:sz w:val="20"/>
        </w:rPr>
        <w:t>the</w:t>
      </w:r>
      <w:r>
        <w:rPr>
          <w:spacing w:val="-8"/>
          <w:sz w:val="20"/>
        </w:rPr>
        <w:t> </w:t>
      </w:r>
      <w:r>
        <w:rPr>
          <w:sz w:val="20"/>
        </w:rPr>
        <w:t>jurisdiction</w:t>
      </w:r>
      <w:r>
        <w:rPr>
          <w:spacing w:val="-7"/>
          <w:sz w:val="20"/>
        </w:rPr>
        <w:t> </w:t>
      </w:r>
      <w:r>
        <w:rPr>
          <w:sz w:val="20"/>
        </w:rPr>
        <w:t>in</w:t>
      </w:r>
      <w:r>
        <w:rPr>
          <w:spacing w:val="-7"/>
          <w:sz w:val="20"/>
        </w:rPr>
        <w:t> </w:t>
      </w:r>
      <w:r>
        <w:rPr>
          <w:sz w:val="20"/>
        </w:rPr>
        <w:t>which</w:t>
      </w:r>
      <w:r>
        <w:rPr>
          <w:spacing w:val="-7"/>
          <w:sz w:val="20"/>
        </w:rPr>
        <w:t> </w:t>
      </w:r>
      <w:r>
        <w:rPr>
          <w:sz w:val="20"/>
        </w:rPr>
        <w:t>a</w:t>
      </w:r>
      <w:r>
        <w:rPr>
          <w:spacing w:val="-7"/>
          <w:sz w:val="20"/>
        </w:rPr>
        <w:t> </w:t>
      </w:r>
      <w:r>
        <w:rPr>
          <w:sz w:val="20"/>
        </w:rPr>
        <w:t>paying</w:t>
      </w:r>
      <w:r>
        <w:rPr>
          <w:spacing w:val="-7"/>
          <w:sz w:val="20"/>
        </w:rPr>
        <w:t> </w:t>
      </w:r>
      <w:r>
        <w:rPr>
          <w:sz w:val="20"/>
        </w:rPr>
        <w:t>entity</w:t>
      </w:r>
      <w:r>
        <w:rPr>
          <w:spacing w:val="-7"/>
          <w:sz w:val="20"/>
        </w:rPr>
        <w:t> </w:t>
      </w:r>
      <w:r>
        <w:rPr>
          <w:sz w:val="20"/>
        </w:rPr>
        <w:t>was</w:t>
      </w:r>
      <w:r>
        <w:rPr>
          <w:spacing w:val="-1"/>
          <w:sz w:val="20"/>
        </w:rPr>
        <w:t> </w:t>
      </w:r>
      <w:r>
        <w:rPr>
          <w:sz w:val="20"/>
        </w:rPr>
        <w:t>resident</w:t>
      </w:r>
      <w:r>
        <w:rPr>
          <w:spacing w:val="-5"/>
          <w:sz w:val="20"/>
        </w:rPr>
        <w:t> </w:t>
      </w:r>
      <w:r>
        <w:rPr>
          <w:sz w:val="20"/>
        </w:rPr>
        <w:t>would</w:t>
      </w:r>
      <w:r>
        <w:rPr>
          <w:spacing w:val="-8"/>
          <w:sz w:val="20"/>
        </w:rPr>
        <w:t> </w:t>
      </w:r>
      <w:r>
        <w:rPr>
          <w:sz w:val="20"/>
        </w:rPr>
        <w:t>apply.</w:t>
      </w:r>
      <w:r>
        <w:rPr>
          <w:spacing w:val="-6"/>
          <w:sz w:val="20"/>
        </w:rPr>
        <w:t> </w:t>
      </w:r>
      <w:r>
        <w:rPr>
          <w:sz w:val="20"/>
        </w:rPr>
        <w:t>So</w:t>
      </w:r>
      <w:r>
        <w:rPr>
          <w:spacing w:val="-4"/>
          <w:sz w:val="20"/>
        </w:rPr>
        <w:t> </w:t>
      </w:r>
      <w:r>
        <w:rPr>
          <w:sz w:val="20"/>
        </w:rPr>
        <w:t>if</w:t>
      </w:r>
      <w:r>
        <w:rPr>
          <w:spacing w:val="-7"/>
          <w:sz w:val="20"/>
        </w:rPr>
        <w:t> </w:t>
      </w:r>
      <w:r>
        <w:rPr>
          <w:sz w:val="20"/>
        </w:rPr>
        <w:t>the</w:t>
      </w:r>
      <w:r>
        <w:rPr>
          <w:spacing w:val="-7"/>
          <w:sz w:val="20"/>
        </w:rPr>
        <w:t> </w:t>
      </w:r>
      <w:r>
        <w:rPr>
          <w:sz w:val="20"/>
        </w:rPr>
        <w:t>group</w:t>
      </w:r>
      <w:r>
        <w:rPr>
          <w:spacing w:val="-7"/>
          <w:sz w:val="20"/>
        </w:rPr>
        <w:t> </w:t>
      </w:r>
      <w:r>
        <w:rPr>
          <w:sz w:val="20"/>
        </w:rPr>
        <w:t>identifies</w:t>
      </w:r>
      <w:r>
        <w:rPr>
          <w:spacing w:val="-6"/>
          <w:sz w:val="20"/>
        </w:rPr>
        <w:t> </w:t>
      </w:r>
      <w:r>
        <w:rPr>
          <w:sz w:val="20"/>
        </w:rPr>
        <w:t>two paying entities – the first resident in a jurisdiction that applies the exemption method and the second in a jurisdiction that applies the credit method – in the first jurisdiction, the profits of the paying entity would be exempt from tax. But the second jurisdiction would tax those profits and provide a credit against that tax for the tax paid in eligible market</w:t>
      </w:r>
      <w:r>
        <w:rPr>
          <w:spacing w:val="-5"/>
          <w:sz w:val="20"/>
        </w:rPr>
        <w:t> </w:t>
      </w:r>
      <w:r>
        <w:rPr>
          <w:sz w:val="20"/>
        </w:rPr>
        <w:t>jurisdictions.</w:t>
      </w:r>
    </w:p>
    <w:p>
      <w:pPr>
        <w:pStyle w:val="ListParagraph"/>
        <w:numPr>
          <w:ilvl w:val="0"/>
          <w:numId w:val="13"/>
        </w:numPr>
        <w:tabs>
          <w:tab w:pos="1444" w:val="left" w:leader="none"/>
        </w:tabs>
        <w:spacing w:line="271" w:lineRule="auto" w:before="123" w:after="0"/>
        <w:ind w:left="723" w:right="483" w:firstLine="0"/>
        <w:jc w:val="both"/>
        <w:rPr>
          <w:sz w:val="20"/>
        </w:rPr>
      </w:pPr>
      <w:r>
        <w:rPr>
          <w:sz w:val="20"/>
        </w:rPr>
        <w:t>MNEs</w:t>
      </w:r>
      <w:r>
        <w:rPr>
          <w:spacing w:val="-4"/>
          <w:sz w:val="20"/>
        </w:rPr>
        <w:t> </w:t>
      </w:r>
      <w:r>
        <w:rPr>
          <w:sz w:val="20"/>
        </w:rPr>
        <w:t>typically</w:t>
      </w:r>
      <w:r>
        <w:rPr>
          <w:spacing w:val="-8"/>
          <w:sz w:val="20"/>
        </w:rPr>
        <w:t> </w:t>
      </w:r>
      <w:r>
        <w:rPr>
          <w:sz w:val="20"/>
        </w:rPr>
        <w:t>operate</w:t>
      </w:r>
      <w:r>
        <w:rPr>
          <w:spacing w:val="-4"/>
          <w:sz w:val="20"/>
        </w:rPr>
        <w:t> </w:t>
      </w:r>
      <w:r>
        <w:rPr>
          <w:sz w:val="20"/>
        </w:rPr>
        <w:t>a</w:t>
      </w:r>
      <w:r>
        <w:rPr>
          <w:spacing w:val="-6"/>
          <w:sz w:val="20"/>
        </w:rPr>
        <w:t> </w:t>
      </w:r>
      <w:r>
        <w:rPr>
          <w:sz w:val="20"/>
        </w:rPr>
        <w:t>multitude</w:t>
      </w:r>
      <w:r>
        <w:rPr>
          <w:spacing w:val="-5"/>
          <w:sz w:val="20"/>
        </w:rPr>
        <w:t> </w:t>
      </w:r>
      <w:r>
        <w:rPr>
          <w:sz w:val="20"/>
        </w:rPr>
        <w:t>of</w:t>
      </w:r>
      <w:r>
        <w:rPr>
          <w:spacing w:val="-3"/>
          <w:sz w:val="20"/>
        </w:rPr>
        <w:t> </w:t>
      </w:r>
      <w:r>
        <w:rPr>
          <w:sz w:val="20"/>
        </w:rPr>
        <w:t>credit</w:t>
      </w:r>
      <w:r>
        <w:rPr>
          <w:spacing w:val="-4"/>
          <w:sz w:val="20"/>
        </w:rPr>
        <w:t> </w:t>
      </w:r>
      <w:r>
        <w:rPr>
          <w:sz w:val="20"/>
        </w:rPr>
        <w:t>and</w:t>
      </w:r>
      <w:r>
        <w:rPr>
          <w:spacing w:val="-6"/>
          <w:sz w:val="20"/>
        </w:rPr>
        <w:t> </w:t>
      </w:r>
      <w:r>
        <w:rPr>
          <w:sz w:val="20"/>
        </w:rPr>
        <w:t>exemption</w:t>
      </w:r>
      <w:r>
        <w:rPr>
          <w:spacing w:val="-6"/>
          <w:sz w:val="20"/>
        </w:rPr>
        <w:t> </w:t>
      </w:r>
      <w:r>
        <w:rPr>
          <w:sz w:val="20"/>
        </w:rPr>
        <w:t>methods</w:t>
      </w:r>
      <w:r>
        <w:rPr>
          <w:spacing w:val="-3"/>
          <w:sz w:val="20"/>
        </w:rPr>
        <w:t> </w:t>
      </w:r>
      <w:r>
        <w:rPr>
          <w:sz w:val="20"/>
        </w:rPr>
        <w:t>in</w:t>
      </w:r>
      <w:r>
        <w:rPr>
          <w:spacing w:val="-5"/>
          <w:sz w:val="20"/>
        </w:rPr>
        <w:t> </w:t>
      </w:r>
      <w:r>
        <w:rPr>
          <w:sz w:val="20"/>
        </w:rPr>
        <w:t>their</w:t>
      </w:r>
      <w:r>
        <w:rPr>
          <w:spacing w:val="1"/>
          <w:sz w:val="20"/>
        </w:rPr>
        <w:t> </w:t>
      </w:r>
      <w:r>
        <w:rPr>
          <w:sz w:val="20"/>
        </w:rPr>
        <w:t>tax</w:t>
      </w:r>
      <w:r>
        <w:rPr>
          <w:spacing w:val="-4"/>
          <w:sz w:val="20"/>
        </w:rPr>
        <w:t> </w:t>
      </w:r>
      <w:r>
        <w:rPr>
          <w:sz w:val="20"/>
        </w:rPr>
        <w:t>returns</w:t>
      </w:r>
      <w:r>
        <w:rPr>
          <w:spacing w:val="-4"/>
          <w:sz w:val="20"/>
        </w:rPr>
        <w:t> </w:t>
      </w:r>
      <w:r>
        <w:rPr>
          <w:sz w:val="20"/>
        </w:rPr>
        <w:t>and</w:t>
      </w:r>
      <w:r>
        <w:rPr>
          <w:spacing w:val="-3"/>
          <w:sz w:val="20"/>
        </w:rPr>
        <w:t> </w:t>
      </w:r>
      <w:r>
        <w:rPr>
          <w:sz w:val="20"/>
        </w:rPr>
        <w:t>while the possibility of an MNE group having to operate two methods will involve an amount of additional complexity, it would be incremental only. No paying entity would be required to operate more than one method</w:t>
      </w:r>
      <w:r>
        <w:rPr>
          <w:spacing w:val="-6"/>
          <w:sz w:val="20"/>
        </w:rPr>
        <w:t> </w:t>
      </w:r>
      <w:r>
        <w:rPr>
          <w:sz w:val="20"/>
        </w:rPr>
        <w:t>of</w:t>
      </w:r>
      <w:r>
        <w:rPr>
          <w:spacing w:val="-2"/>
          <w:sz w:val="20"/>
        </w:rPr>
        <w:t> </w:t>
      </w:r>
      <w:r>
        <w:rPr>
          <w:sz w:val="20"/>
        </w:rPr>
        <w:t>relief</w:t>
      </w:r>
      <w:r>
        <w:rPr>
          <w:spacing w:val="-2"/>
          <w:sz w:val="20"/>
        </w:rPr>
        <w:t> </w:t>
      </w:r>
      <w:r>
        <w:rPr>
          <w:sz w:val="20"/>
        </w:rPr>
        <w:t>in</w:t>
      </w:r>
      <w:r>
        <w:rPr>
          <w:spacing w:val="-2"/>
          <w:sz w:val="20"/>
        </w:rPr>
        <w:t> </w:t>
      </w:r>
      <w:r>
        <w:rPr>
          <w:sz w:val="20"/>
        </w:rPr>
        <w:t>respect</w:t>
      </w:r>
      <w:r>
        <w:rPr>
          <w:spacing w:val="-2"/>
          <w:sz w:val="20"/>
        </w:rPr>
        <w:t> </w:t>
      </w:r>
      <w:r>
        <w:rPr>
          <w:sz w:val="20"/>
        </w:rPr>
        <w:t>of</w:t>
      </w:r>
      <w:r>
        <w:rPr>
          <w:spacing w:val="-2"/>
          <w:sz w:val="20"/>
        </w:rPr>
        <w:t> </w:t>
      </w:r>
      <w:r>
        <w:rPr>
          <w:sz w:val="20"/>
        </w:rPr>
        <w:t>Amount</w:t>
      </w:r>
      <w:r>
        <w:rPr>
          <w:spacing w:val="-5"/>
          <w:sz w:val="20"/>
        </w:rPr>
        <w:t> </w:t>
      </w:r>
      <w:r>
        <w:rPr>
          <w:sz w:val="20"/>
        </w:rPr>
        <w:t>A</w:t>
      </w:r>
      <w:r>
        <w:rPr>
          <w:spacing w:val="-5"/>
          <w:sz w:val="20"/>
        </w:rPr>
        <w:t> </w:t>
      </w:r>
      <w:r>
        <w:rPr>
          <w:sz w:val="20"/>
        </w:rPr>
        <w:t>as</w:t>
      </w:r>
      <w:r>
        <w:rPr>
          <w:spacing w:val="-3"/>
          <w:sz w:val="20"/>
        </w:rPr>
        <w:t> </w:t>
      </w:r>
      <w:r>
        <w:rPr>
          <w:sz w:val="20"/>
        </w:rPr>
        <w:t>each</w:t>
      </w:r>
      <w:r>
        <w:rPr>
          <w:spacing w:val="-4"/>
          <w:sz w:val="20"/>
        </w:rPr>
        <w:t> </w:t>
      </w:r>
      <w:r>
        <w:rPr>
          <w:sz w:val="20"/>
        </w:rPr>
        <w:t>jurisdiction</w:t>
      </w:r>
      <w:r>
        <w:rPr>
          <w:spacing w:val="-3"/>
          <w:sz w:val="20"/>
        </w:rPr>
        <w:t> </w:t>
      </w:r>
      <w:r>
        <w:rPr>
          <w:sz w:val="20"/>
        </w:rPr>
        <w:t>would</w:t>
      </w:r>
      <w:r>
        <w:rPr>
          <w:spacing w:val="-4"/>
          <w:sz w:val="20"/>
        </w:rPr>
        <w:t> </w:t>
      </w:r>
      <w:r>
        <w:rPr>
          <w:sz w:val="20"/>
        </w:rPr>
        <w:t>be</w:t>
      </w:r>
      <w:r>
        <w:rPr>
          <w:spacing w:val="-4"/>
          <w:sz w:val="20"/>
        </w:rPr>
        <w:t> </w:t>
      </w:r>
      <w:r>
        <w:rPr>
          <w:sz w:val="20"/>
        </w:rPr>
        <w:t>required</w:t>
      </w:r>
      <w:r>
        <w:rPr>
          <w:spacing w:val="-4"/>
          <w:sz w:val="20"/>
        </w:rPr>
        <w:t> </w:t>
      </w:r>
      <w:r>
        <w:rPr>
          <w:sz w:val="20"/>
        </w:rPr>
        <w:t>to</w:t>
      </w:r>
      <w:r>
        <w:rPr>
          <w:spacing w:val="-2"/>
          <w:sz w:val="20"/>
        </w:rPr>
        <w:t> </w:t>
      </w:r>
      <w:r>
        <w:rPr>
          <w:sz w:val="20"/>
        </w:rPr>
        <w:t>select</w:t>
      </w:r>
      <w:r>
        <w:rPr>
          <w:spacing w:val="-2"/>
          <w:sz w:val="20"/>
        </w:rPr>
        <w:t> </w:t>
      </w:r>
      <w:r>
        <w:rPr>
          <w:sz w:val="20"/>
        </w:rPr>
        <w:t>one</w:t>
      </w:r>
      <w:r>
        <w:rPr>
          <w:spacing w:val="-5"/>
          <w:sz w:val="20"/>
        </w:rPr>
        <w:t> </w:t>
      </w:r>
      <w:r>
        <w:rPr>
          <w:sz w:val="20"/>
        </w:rPr>
        <w:t>method</w:t>
      </w:r>
      <w:r>
        <w:rPr>
          <w:spacing w:val="-2"/>
          <w:sz w:val="20"/>
        </w:rPr>
        <w:t> </w:t>
      </w:r>
      <w:r>
        <w:rPr>
          <w:sz w:val="20"/>
        </w:rPr>
        <w:t>only.</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It is noted that if an MNE considers that one method produces more favourable outcomes, there may be a risk that it could seek to manipulate the application of Component 1 so that paying entities in jurisdictions that operate that method are identified. At the same time, the operation of the rules outlined in</w:t>
      </w:r>
      <w:r>
        <w:rPr>
          <w:spacing w:val="-7"/>
          <w:sz w:val="20"/>
        </w:rPr>
        <w:t> </w:t>
      </w:r>
      <w:r>
        <w:rPr>
          <w:sz w:val="20"/>
        </w:rPr>
        <w:t>Component</w:t>
      </w:r>
      <w:r>
        <w:rPr>
          <w:spacing w:val="-7"/>
          <w:sz w:val="20"/>
        </w:rPr>
        <w:t> </w:t>
      </w:r>
      <w:r>
        <w:rPr>
          <w:sz w:val="20"/>
        </w:rPr>
        <w:t>1</w:t>
      </w:r>
      <w:r>
        <w:rPr>
          <w:spacing w:val="-6"/>
          <w:sz w:val="20"/>
        </w:rPr>
        <w:t> </w:t>
      </w:r>
      <w:r>
        <w:rPr>
          <w:sz w:val="20"/>
        </w:rPr>
        <w:t>is</w:t>
      </w:r>
      <w:r>
        <w:rPr>
          <w:spacing w:val="-5"/>
          <w:sz w:val="20"/>
        </w:rPr>
        <w:t> </w:t>
      </w:r>
      <w:r>
        <w:rPr>
          <w:sz w:val="20"/>
        </w:rPr>
        <w:t>not</w:t>
      </w:r>
      <w:r>
        <w:rPr>
          <w:spacing w:val="-6"/>
          <w:sz w:val="20"/>
        </w:rPr>
        <w:t> </w:t>
      </w:r>
      <w:r>
        <w:rPr>
          <w:sz w:val="20"/>
        </w:rPr>
        <w:t>anticipated</w:t>
      </w:r>
      <w:r>
        <w:rPr>
          <w:spacing w:val="-7"/>
          <w:sz w:val="20"/>
        </w:rPr>
        <w:t> </w:t>
      </w:r>
      <w:r>
        <w:rPr>
          <w:sz w:val="20"/>
        </w:rPr>
        <w:t>to</w:t>
      </w:r>
      <w:r>
        <w:rPr>
          <w:spacing w:val="-7"/>
          <w:sz w:val="20"/>
        </w:rPr>
        <w:t> </w:t>
      </w:r>
      <w:r>
        <w:rPr>
          <w:sz w:val="20"/>
        </w:rPr>
        <w:t>provide</w:t>
      </w:r>
      <w:r>
        <w:rPr>
          <w:spacing w:val="-6"/>
          <w:sz w:val="20"/>
        </w:rPr>
        <w:t> </w:t>
      </w:r>
      <w:r>
        <w:rPr>
          <w:sz w:val="20"/>
        </w:rPr>
        <w:t>scope</w:t>
      </w:r>
      <w:r>
        <w:rPr>
          <w:spacing w:val="-7"/>
          <w:sz w:val="20"/>
        </w:rPr>
        <w:t> </w:t>
      </w:r>
      <w:r>
        <w:rPr>
          <w:sz w:val="20"/>
        </w:rPr>
        <w:t>for</w:t>
      </w:r>
      <w:r>
        <w:rPr>
          <w:spacing w:val="-5"/>
          <w:sz w:val="20"/>
        </w:rPr>
        <w:t> </w:t>
      </w:r>
      <w:r>
        <w:rPr>
          <w:sz w:val="20"/>
        </w:rPr>
        <w:t>manipulation</w:t>
      </w:r>
      <w:r>
        <w:rPr>
          <w:spacing w:val="-7"/>
          <w:sz w:val="20"/>
        </w:rPr>
        <w:t> </w:t>
      </w:r>
      <w:r>
        <w:rPr>
          <w:sz w:val="20"/>
        </w:rPr>
        <w:t>and</w:t>
      </w:r>
      <w:r>
        <w:rPr>
          <w:spacing w:val="-4"/>
          <w:sz w:val="20"/>
        </w:rPr>
        <w:t> </w:t>
      </w:r>
      <w:r>
        <w:rPr>
          <w:sz w:val="20"/>
        </w:rPr>
        <w:t>will</w:t>
      </w:r>
      <w:r>
        <w:rPr>
          <w:spacing w:val="-4"/>
          <w:sz w:val="20"/>
        </w:rPr>
        <w:t> </w:t>
      </w:r>
      <w:r>
        <w:rPr>
          <w:sz w:val="20"/>
        </w:rPr>
        <w:t>be</w:t>
      </w:r>
      <w:r>
        <w:rPr>
          <w:spacing w:val="-7"/>
          <w:sz w:val="20"/>
        </w:rPr>
        <w:t> </w:t>
      </w:r>
      <w:r>
        <w:rPr>
          <w:sz w:val="20"/>
        </w:rPr>
        <w:t>subject</w:t>
      </w:r>
      <w:r>
        <w:rPr>
          <w:spacing w:val="-6"/>
          <w:sz w:val="20"/>
        </w:rPr>
        <w:t> </w:t>
      </w:r>
      <w:r>
        <w:rPr>
          <w:sz w:val="20"/>
        </w:rPr>
        <w:t>to</w:t>
      </w:r>
      <w:r>
        <w:rPr>
          <w:spacing w:val="-6"/>
          <w:sz w:val="20"/>
        </w:rPr>
        <w:t> </w:t>
      </w:r>
      <w:r>
        <w:rPr>
          <w:sz w:val="20"/>
        </w:rPr>
        <w:t>the</w:t>
      </w:r>
      <w:r>
        <w:rPr>
          <w:spacing w:val="-7"/>
          <w:sz w:val="20"/>
        </w:rPr>
        <w:t> </w:t>
      </w:r>
      <w:r>
        <w:rPr>
          <w:sz w:val="20"/>
        </w:rPr>
        <w:t>tax</w:t>
      </w:r>
      <w:r>
        <w:rPr>
          <w:spacing w:val="-5"/>
          <w:sz w:val="20"/>
        </w:rPr>
        <w:t> </w:t>
      </w:r>
      <w:r>
        <w:rPr>
          <w:sz w:val="20"/>
        </w:rPr>
        <w:t>certainty process which should go some way to alleviating any such concern. However, this issue will be further explored.</w:t>
      </w:r>
    </w:p>
    <w:p>
      <w:pPr>
        <w:pStyle w:val="BodyText"/>
        <w:spacing w:before="6"/>
        <w:rPr>
          <w:sz w:val="23"/>
        </w:rPr>
      </w:pPr>
    </w:p>
    <w:p>
      <w:pPr>
        <w:pStyle w:val="Heading6"/>
        <w:numPr>
          <w:ilvl w:val="2"/>
          <w:numId w:val="68"/>
        </w:numPr>
        <w:tabs>
          <w:tab w:pos="2015" w:val="left" w:leader="none"/>
        </w:tabs>
        <w:spacing w:line="240" w:lineRule="auto" w:before="0" w:after="0"/>
        <w:ind w:left="2014" w:right="0" w:hanging="613"/>
        <w:jc w:val="left"/>
        <w:rPr>
          <w:i/>
        </w:rPr>
      </w:pPr>
      <w:bookmarkStart w:name="7.3.4. Conclusion on the choice of a met" w:id="369"/>
      <w:bookmarkEnd w:id="369"/>
      <w:r>
        <w:rPr>
          <w:b w:val="0"/>
          <w:i w:val="0"/>
        </w:rPr>
      </w:r>
      <w:bookmarkStart w:name="7.3.4. Conclusion on the choice of a met" w:id="370"/>
      <w:bookmarkEnd w:id="370"/>
      <w:r>
        <w:rPr>
          <w:i/>
        </w:rPr>
        <w:t>C</w:t>
      </w:r>
      <w:r>
        <w:rPr>
          <w:i/>
        </w:rPr>
        <w:t>onclusion on the choice of a</w:t>
      </w:r>
      <w:r>
        <w:rPr>
          <w:i/>
          <w:spacing w:val="-10"/>
        </w:rPr>
        <w:t> </w:t>
      </w:r>
      <w:r>
        <w:rPr>
          <w:i/>
        </w:rPr>
        <w:t>method</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The</w:t>
      </w:r>
      <w:r>
        <w:rPr>
          <w:spacing w:val="-13"/>
          <w:sz w:val="20"/>
        </w:rPr>
        <w:t> </w:t>
      </w:r>
      <w:r>
        <w:rPr>
          <w:sz w:val="20"/>
        </w:rPr>
        <w:t>exemption</w:t>
      </w:r>
      <w:r>
        <w:rPr>
          <w:spacing w:val="-12"/>
          <w:sz w:val="20"/>
        </w:rPr>
        <w:t> </w:t>
      </w:r>
      <w:r>
        <w:rPr>
          <w:sz w:val="20"/>
        </w:rPr>
        <w:t>and</w:t>
      </w:r>
      <w:r>
        <w:rPr>
          <w:spacing w:val="-12"/>
          <w:sz w:val="20"/>
        </w:rPr>
        <w:t> </w:t>
      </w:r>
      <w:r>
        <w:rPr>
          <w:sz w:val="20"/>
        </w:rPr>
        <w:t>credit</w:t>
      </w:r>
      <w:r>
        <w:rPr>
          <w:spacing w:val="-11"/>
          <w:sz w:val="20"/>
        </w:rPr>
        <w:t> </w:t>
      </w:r>
      <w:r>
        <w:rPr>
          <w:sz w:val="20"/>
        </w:rPr>
        <w:t>methods</w:t>
      </w:r>
      <w:r>
        <w:rPr>
          <w:spacing w:val="-8"/>
          <w:sz w:val="20"/>
        </w:rPr>
        <w:t> </w:t>
      </w:r>
      <w:r>
        <w:rPr>
          <w:sz w:val="20"/>
        </w:rPr>
        <w:t>may</w:t>
      </w:r>
      <w:r>
        <w:rPr>
          <w:spacing w:val="-17"/>
          <w:sz w:val="20"/>
        </w:rPr>
        <w:t> </w:t>
      </w:r>
      <w:r>
        <w:rPr>
          <w:sz w:val="20"/>
        </w:rPr>
        <w:t>ultimately</w:t>
      </w:r>
      <w:r>
        <w:rPr>
          <w:spacing w:val="-13"/>
          <w:sz w:val="20"/>
        </w:rPr>
        <w:t> </w:t>
      </w:r>
      <w:r>
        <w:rPr>
          <w:sz w:val="20"/>
        </w:rPr>
        <w:t>deliver</w:t>
      </w:r>
      <w:r>
        <w:rPr>
          <w:spacing w:val="-11"/>
          <w:sz w:val="20"/>
        </w:rPr>
        <w:t> </w:t>
      </w:r>
      <w:r>
        <w:rPr>
          <w:sz w:val="20"/>
        </w:rPr>
        <w:t>similar</w:t>
      </w:r>
      <w:r>
        <w:rPr>
          <w:spacing w:val="-12"/>
          <w:sz w:val="20"/>
        </w:rPr>
        <w:t> </w:t>
      </w:r>
      <w:r>
        <w:rPr>
          <w:sz w:val="20"/>
        </w:rPr>
        <w:t>outcomes.</w:t>
      </w:r>
      <w:r>
        <w:rPr>
          <w:spacing w:val="-9"/>
          <w:sz w:val="20"/>
        </w:rPr>
        <w:t> </w:t>
      </w:r>
      <w:r>
        <w:rPr>
          <w:sz w:val="20"/>
        </w:rPr>
        <w:t>But</w:t>
      </w:r>
      <w:r>
        <w:rPr>
          <w:spacing w:val="-12"/>
          <w:sz w:val="20"/>
        </w:rPr>
        <w:t> </w:t>
      </w:r>
      <w:r>
        <w:rPr>
          <w:sz w:val="20"/>
        </w:rPr>
        <w:t>some</w:t>
      </w:r>
      <w:r>
        <w:rPr>
          <w:spacing w:val="-14"/>
          <w:sz w:val="20"/>
        </w:rPr>
        <w:t> </w:t>
      </w:r>
      <w:r>
        <w:rPr>
          <w:sz w:val="20"/>
        </w:rPr>
        <w:t>jurisdictions have a strong preference for one method over the other and so it is expected that both the credit and the exemption method should be available to jurisdictions to eliminate double tax on Amount</w:t>
      </w:r>
      <w:r>
        <w:rPr>
          <w:spacing w:val="-17"/>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4"/>
        <w:rPr>
          <w:sz w:val="19"/>
        </w:rPr>
      </w:pPr>
    </w:p>
    <w:p>
      <w:pPr>
        <w:pStyle w:val="Heading6"/>
        <w:numPr>
          <w:ilvl w:val="2"/>
          <w:numId w:val="68"/>
        </w:numPr>
        <w:tabs>
          <w:tab w:pos="2015" w:val="left" w:leader="none"/>
        </w:tabs>
        <w:spacing w:line="240" w:lineRule="auto" w:before="94" w:after="0"/>
        <w:ind w:left="2014" w:right="0" w:hanging="613"/>
        <w:jc w:val="left"/>
        <w:rPr>
          <w:i/>
        </w:rPr>
      </w:pPr>
      <w:bookmarkStart w:name="7.3.5. Other technical issues" w:id="371"/>
      <w:bookmarkEnd w:id="371"/>
      <w:r>
        <w:rPr>
          <w:b w:val="0"/>
          <w:i w:val="0"/>
        </w:rPr>
      </w:r>
      <w:bookmarkStart w:name="7.3.5. Other technical issues" w:id="372"/>
      <w:bookmarkEnd w:id="372"/>
      <w:r>
        <w:rPr>
          <w:i/>
        </w:rPr>
        <w:t>Oth</w:t>
      </w:r>
      <w:r>
        <w:rPr>
          <w:i/>
        </w:rPr>
        <w:t>er technical</w:t>
      </w:r>
      <w:r>
        <w:rPr>
          <w:i/>
          <w:spacing w:val="-3"/>
        </w:rPr>
        <w:t> </w:t>
      </w:r>
      <w:r>
        <w:rPr>
          <w:i/>
        </w:rPr>
        <w:t>issues</w:t>
      </w:r>
    </w:p>
    <w:p>
      <w:pPr>
        <w:pStyle w:val="BodyText"/>
        <w:spacing w:before="10"/>
        <w:rPr>
          <w:b/>
          <w:i/>
          <w:sz w:val="18"/>
        </w:rPr>
      </w:pPr>
    </w:p>
    <w:p>
      <w:pPr>
        <w:pStyle w:val="ListParagraph"/>
        <w:numPr>
          <w:ilvl w:val="0"/>
          <w:numId w:val="13"/>
        </w:numPr>
        <w:tabs>
          <w:tab w:pos="1444" w:val="left" w:leader="none"/>
        </w:tabs>
        <w:spacing w:line="240" w:lineRule="auto" w:before="0" w:after="0"/>
        <w:ind w:left="1443" w:right="0" w:hanging="721"/>
        <w:jc w:val="both"/>
        <w:rPr>
          <w:sz w:val="20"/>
        </w:rPr>
      </w:pPr>
      <w:r>
        <w:rPr>
          <w:sz w:val="20"/>
        </w:rPr>
        <w:t>Technical issues that require further work</w:t>
      </w:r>
      <w:r>
        <w:rPr>
          <w:spacing w:val="-32"/>
          <w:sz w:val="20"/>
        </w:rPr>
        <w:t> </w:t>
      </w:r>
      <w:r>
        <w:rPr>
          <w:sz w:val="20"/>
        </w:rPr>
        <w:t>include:</w:t>
      </w:r>
    </w:p>
    <w:p>
      <w:pPr>
        <w:pStyle w:val="ListParagraph"/>
        <w:numPr>
          <w:ilvl w:val="1"/>
          <w:numId w:val="13"/>
        </w:numPr>
        <w:tabs>
          <w:tab w:pos="1403" w:val="left" w:leader="none"/>
        </w:tabs>
        <w:spacing w:line="268" w:lineRule="auto" w:before="131" w:after="0"/>
        <w:ind w:left="1402" w:right="481" w:hanging="339"/>
        <w:jc w:val="both"/>
        <w:rPr>
          <w:sz w:val="20"/>
        </w:rPr>
      </w:pPr>
      <w:r>
        <w:rPr>
          <w:b/>
          <w:i/>
          <w:sz w:val="20"/>
        </w:rPr>
        <w:t>Interaction of Pillar 2 and the application of the exemption method. </w:t>
      </w:r>
      <w:r>
        <w:rPr>
          <w:sz w:val="20"/>
        </w:rPr>
        <w:t>Further analysis must be undertaken on how Pillar 2 might impact an MNE group where the exemption method is used to eliminate double taxation on Amount</w:t>
      </w:r>
      <w:r>
        <w:rPr>
          <w:spacing w:val="-7"/>
          <w:sz w:val="20"/>
        </w:rPr>
        <w:t> </w:t>
      </w:r>
      <w:r>
        <w:rPr>
          <w:sz w:val="20"/>
        </w:rPr>
        <w:t>A.</w:t>
      </w:r>
    </w:p>
    <w:p>
      <w:pPr>
        <w:pStyle w:val="ListParagraph"/>
        <w:numPr>
          <w:ilvl w:val="1"/>
          <w:numId w:val="13"/>
        </w:numPr>
        <w:tabs>
          <w:tab w:pos="1403" w:val="left" w:leader="none"/>
        </w:tabs>
        <w:spacing w:line="266" w:lineRule="auto" w:before="50" w:after="0"/>
        <w:ind w:left="1402" w:right="484" w:hanging="339"/>
        <w:jc w:val="both"/>
        <w:rPr>
          <w:sz w:val="20"/>
        </w:rPr>
      </w:pPr>
      <w:r>
        <w:rPr>
          <w:b/>
          <w:i/>
          <w:sz w:val="20"/>
        </w:rPr>
        <w:t>Interaction of the methods with existing domestic law. </w:t>
      </w:r>
      <w:r>
        <w:rPr>
          <w:sz w:val="20"/>
        </w:rPr>
        <w:t>Further consideration must be given to how the methods will interact with existing domestic rules governing relief of double</w:t>
      </w:r>
      <w:r>
        <w:rPr>
          <w:spacing w:val="-30"/>
          <w:sz w:val="20"/>
        </w:rPr>
        <w:t> </w:t>
      </w:r>
      <w:r>
        <w:rPr>
          <w:sz w:val="20"/>
        </w:rPr>
        <w:t>tax.</w:t>
      </w:r>
    </w:p>
    <w:p>
      <w:pPr>
        <w:pStyle w:val="ListParagraph"/>
        <w:numPr>
          <w:ilvl w:val="1"/>
          <w:numId w:val="13"/>
        </w:numPr>
        <w:tabs>
          <w:tab w:pos="1403" w:val="left" w:leader="none"/>
        </w:tabs>
        <w:spacing w:line="271" w:lineRule="auto" w:before="51" w:after="0"/>
        <w:ind w:left="1402" w:right="489" w:hanging="339"/>
        <w:jc w:val="both"/>
        <w:rPr>
          <w:sz w:val="20"/>
        </w:rPr>
      </w:pPr>
      <w:r>
        <w:rPr>
          <w:b/>
          <w:i/>
          <w:sz w:val="20"/>
        </w:rPr>
        <w:t>Interaction</w:t>
      </w:r>
      <w:r>
        <w:rPr>
          <w:b/>
          <w:i/>
          <w:spacing w:val="-5"/>
          <w:sz w:val="20"/>
        </w:rPr>
        <w:t> </w:t>
      </w:r>
      <w:r>
        <w:rPr>
          <w:b/>
          <w:i/>
          <w:sz w:val="20"/>
        </w:rPr>
        <w:t>of</w:t>
      </w:r>
      <w:r>
        <w:rPr>
          <w:b/>
          <w:i/>
          <w:spacing w:val="-3"/>
          <w:sz w:val="20"/>
        </w:rPr>
        <w:t> </w:t>
      </w:r>
      <w:r>
        <w:rPr>
          <w:b/>
          <w:i/>
          <w:sz w:val="20"/>
        </w:rPr>
        <w:t>the</w:t>
      </w:r>
      <w:r>
        <w:rPr>
          <w:b/>
          <w:i/>
          <w:spacing w:val="-5"/>
          <w:sz w:val="20"/>
        </w:rPr>
        <w:t> </w:t>
      </w:r>
      <w:r>
        <w:rPr>
          <w:b/>
          <w:i/>
          <w:sz w:val="20"/>
        </w:rPr>
        <w:t>method</w:t>
      </w:r>
      <w:r>
        <w:rPr>
          <w:b/>
          <w:i/>
          <w:spacing w:val="-5"/>
          <w:sz w:val="20"/>
        </w:rPr>
        <w:t> </w:t>
      </w:r>
      <w:r>
        <w:rPr>
          <w:b/>
          <w:i/>
          <w:sz w:val="20"/>
        </w:rPr>
        <w:t>and</w:t>
      </w:r>
      <w:r>
        <w:rPr>
          <w:b/>
          <w:i/>
          <w:spacing w:val="-4"/>
          <w:sz w:val="20"/>
        </w:rPr>
        <w:t> </w:t>
      </w:r>
      <w:r>
        <w:rPr>
          <w:b/>
          <w:i/>
          <w:sz w:val="20"/>
        </w:rPr>
        <w:t>the</w:t>
      </w:r>
      <w:r>
        <w:rPr>
          <w:b/>
          <w:i/>
          <w:spacing w:val="-5"/>
          <w:sz w:val="20"/>
        </w:rPr>
        <w:t> </w:t>
      </w:r>
      <w:r>
        <w:rPr>
          <w:b/>
          <w:i/>
          <w:sz w:val="20"/>
        </w:rPr>
        <w:t>centralised</w:t>
      </w:r>
      <w:r>
        <w:rPr>
          <w:b/>
          <w:i/>
          <w:spacing w:val="-5"/>
          <w:sz w:val="20"/>
        </w:rPr>
        <w:t> </w:t>
      </w:r>
      <w:r>
        <w:rPr>
          <w:b/>
          <w:i/>
          <w:sz w:val="20"/>
        </w:rPr>
        <w:t>and</w:t>
      </w:r>
      <w:r>
        <w:rPr>
          <w:b/>
          <w:i/>
          <w:spacing w:val="-2"/>
          <w:sz w:val="20"/>
        </w:rPr>
        <w:t> </w:t>
      </w:r>
      <w:r>
        <w:rPr>
          <w:b/>
          <w:i/>
          <w:sz w:val="20"/>
        </w:rPr>
        <w:t>simplified</w:t>
      </w:r>
      <w:r>
        <w:rPr>
          <w:b/>
          <w:i/>
          <w:spacing w:val="-4"/>
          <w:sz w:val="20"/>
        </w:rPr>
        <w:t> </w:t>
      </w:r>
      <w:r>
        <w:rPr>
          <w:b/>
          <w:i/>
          <w:sz w:val="20"/>
        </w:rPr>
        <w:t>administration</w:t>
      </w:r>
      <w:r>
        <w:rPr>
          <w:b/>
          <w:i/>
          <w:spacing w:val="-5"/>
          <w:sz w:val="20"/>
        </w:rPr>
        <w:t> </w:t>
      </w:r>
      <w:r>
        <w:rPr>
          <w:b/>
          <w:i/>
          <w:sz w:val="20"/>
        </w:rPr>
        <w:t>system</w:t>
      </w:r>
      <w:r>
        <w:rPr>
          <w:b/>
          <w:i/>
          <w:spacing w:val="-5"/>
          <w:sz w:val="20"/>
        </w:rPr>
        <w:t> </w:t>
      </w:r>
      <w:r>
        <w:rPr>
          <w:b/>
          <w:i/>
          <w:sz w:val="20"/>
        </w:rPr>
        <w:t>and</w:t>
      </w:r>
      <w:r>
        <w:rPr>
          <w:b/>
          <w:i/>
          <w:spacing w:val="-4"/>
          <w:sz w:val="20"/>
        </w:rPr>
        <w:t> </w:t>
      </w:r>
      <w:r>
        <w:rPr>
          <w:b/>
          <w:i/>
          <w:sz w:val="20"/>
        </w:rPr>
        <w:t>the </w:t>
      </w:r>
      <w:r>
        <w:rPr>
          <w:b/>
          <w:i/>
          <w:sz w:val="20"/>
        </w:rPr>
        <w:t>tax certainty process for Amount A. </w:t>
      </w:r>
      <w:r>
        <w:rPr>
          <w:sz w:val="20"/>
        </w:rPr>
        <w:t>Further work will involve the examination of the application of</w:t>
      </w:r>
      <w:r>
        <w:rPr>
          <w:spacing w:val="-3"/>
          <w:sz w:val="20"/>
        </w:rPr>
        <w:t> </w:t>
      </w:r>
      <w:r>
        <w:rPr>
          <w:sz w:val="20"/>
        </w:rPr>
        <w:t>each</w:t>
      </w:r>
      <w:r>
        <w:rPr>
          <w:spacing w:val="-5"/>
          <w:sz w:val="20"/>
        </w:rPr>
        <w:t> </w:t>
      </w:r>
      <w:r>
        <w:rPr>
          <w:sz w:val="20"/>
        </w:rPr>
        <w:t>of</w:t>
      </w:r>
      <w:r>
        <w:rPr>
          <w:spacing w:val="-3"/>
          <w:sz w:val="20"/>
        </w:rPr>
        <w:t> </w:t>
      </w:r>
      <w:r>
        <w:rPr>
          <w:sz w:val="20"/>
        </w:rPr>
        <w:t>the</w:t>
      </w:r>
      <w:r>
        <w:rPr>
          <w:spacing w:val="-7"/>
          <w:sz w:val="20"/>
        </w:rPr>
        <w:t> </w:t>
      </w:r>
      <w:r>
        <w:rPr>
          <w:sz w:val="20"/>
        </w:rPr>
        <w:t>methods</w:t>
      </w:r>
      <w:r>
        <w:rPr>
          <w:spacing w:val="-4"/>
          <w:sz w:val="20"/>
        </w:rPr>
        <w:t> </w:t>
      </w:r>
      <w:r>
        <w:rPr>
          <w:sz w:val="20"/>
        </w:rPr>
        <w:t>in</w:t>
      </w:r>
      <w:r>
        <w:rPr>
          <w:spacing w:val="-5"/>
          <w:sz w:val="20"/>
        </w:rPr>
        <w:t> </w:t>
      </w:r>
      <w:r>
        <w:rPr>
          <w:sz w:val="20"/>
        </w:rPr>
        <w:t>the</w:t>
      </w:r>
      <w:r>
        <w:rPr>
          <w:spacing w:val="-5"/>
          <w:sz w:val="20"/>
        </w:rPr>
        <w:t> </w:t>
      </w:r>
      <w:r>
        <w:rPr>
          <w:sz w:val="20"/>
        </w:rPr>
        <w:t>context</w:t>
      </w:r>
      <w:r>
        <w:rPr>
          <w:spacing w:val="-5"/>
          <w:sz w:val="20"/>
        </w:rPr>
        <w:t> </w:t>
      </w:r>
      <w:r>
        <w:rPr>
          <w:sz w:val="20"/>
        </w:rPr>
        <w:t>of</w:t>
      </w:r>
      <w:r>
        <w:rPr>
          <w:spacing w:val="-3"/>
          <w:sz w:val="20"/>
        </w:rPr>
        <w:t> </w:t>
      </w:r>
      <w:r>
        <w:rPr>
          <w:sz w:val="20"/>
        </w:rPr>
        <w:t>other</w:t>
      </w:r>
      <w:r>
        <w:rPr>
          <w:spacing w:val="-2"/>
          <w:sz w:val="20"/>
        </w:rPr>
        <w:t> </w:t>
      </w:r>
      <w:r>
        <w:rPr>
          <w:sz w:val="20"/>
        </w:rPr>
        <w:t>work</w:t>
      </w:r>
      <w:r>
        <w:rPr>
          <w:spacing w:val="-1"/>
          <w:sz w:val="20"/>
        </w:rPr>
        <w:t> </w:t>
      </w:r>
      <w:r>
        <w:rPr>
          <w:sz w:val="20"/>
        </w:rPr>
        <w:t>streams</w:t>
      </w:r>
      <w:r>
        <w:rPr>
          <w:spacing w:val="-5"/>
          <w:sz w:val="20"/>
        </w:rPr>
        <w:t> </w:t>
      </w:r>
      <w:r>
        <w:rPr>
          <w:sz w:val="20"/>
        </w:rPr>
        <w:t>such</w:t>
      </w:r>
      <w:r>
        <w:rPr>
          <w:spacing w:val="-5"/>
          <w:sz w:val="20"/>
        </w:rPr>
        <w:t> </w:t>
      </w:r>
      <w:r>
        <w:rPr>
          <w:sz w:val="20"/>
        </w:rPr>
        <w:t>as</w:t>
      </w:r>
      <w:r>
        <w:rPr>
          <w:spacing w:val="-4"/>
          <w:sz w:val="20"/>
        </w:rPr>
        <w:t> </w:t>
      </w:r>
      <w:r>
        <w:rPr>
          <w:sz w:val="20"/>
        </w:rPr>
        <w:t>the</w:t>
      </w:r>
      <w:r>
        <w:rPr>
          <w:spacing w:val="-4"/>
          <w:sz w:val="20"/>
        </w:rPr>
        <w:t> </w:t>
      </w:r>
      <w:r>
        <w:rPr>
          <w:sz w:val="20"/>
        </w:rPr>
        <w:t>centralised</w:t>
      </w:r>
      <w:r>
        <w:rPr>
          <w:spacing w:val="-6"/>
          <w:sz w:val="20"/>
        </w:rPr>
        <w:t> </w:t>
      </w:r>
      <w:r>
        <w:rPr>
          <w:sz w:val="20"/>
        </w:rPr>
        <w:t>and</w:t>
      </w:r>
      <w:r>
        <w:rPr>
          <w:spacing w:val="-5"/>
          <w:sz w:val="20"/>
        </w:rPr>
        <w:t> </w:t>
      </w:r>
      <w:r>
        <w:rPr>
          <w:sz w:val="20"/>
        </w:rPr>
        <w:t>simplified administration</w:t>
      </w:r>
      <w:r>
        <w:rPr>
          <w:spacing w:val="-4"/>
          <w:sz w:val="20"/>
        </w:rPr>
        <w:t> </w:t>
      </w:r>
      <w:r>
        <w:rPr>
          <w:sz w:val="20"/>
        </w:rPr>
        <w:t>system and</w:t>
      </w:r>
      <w:r>
        <w:rPr>
          <w:spacing w:val="-4"/>
          <w:sz w:val="20"/>
        </w:rPr>
        <w:t> </w:t>
      </w:r>
      <w:r>
        <w:rPr>
          <w:sz w:val="20"/>
        </w:rPr>
        <w:t>the</w:t>
      </w:r>
      <w:r>
        <w:rPr>
          <w:spacing w:val="-5"/>
          <w:sz w:val="20"/>
        </w:rPr>
        <w:t> </w:t>
      </w:r>
      <w:r>
        <w:rPr>
          <w:sz w:val="20"/>
        </w:rPr>
        <w:t>tax</w:t>
      </w:r>
      <w:r>
        <w:rPr>
          <w:spacing w:val="-2"/>
          <w:sz w:val="20"/>
        </w:rPr>
        <w:t> </w:t>
      </w:r>
      <w:r>
        <w:rPr>
          <w:sz w:val="20"/>
        </w:rPr>
        <w:t>certainty</w:t>
      </w:r>
      <w:r>
        <w:rPr>
          <w:spacing w:val="-5"/>
          <w:sz w:val="20"/>
        </w:rPr>
        <w:t> </w:t>
      </w:r>
      <w:r>
        <w:rPr>
          <w:sz w:val="20"/>
        </w:rPr>
        <w:t>process</w:t>
      </w:r>
      <w:r>
        <w:rPr>
          <w:spacing w:val="-3"/>
          <w:sz w:val="20"/>
        </w:rPr>
        <w:t> </w:t>
      </w:r>
      <w:r>
        <w:rPr>
          <w:sz w:val="20"/>
        </w:rPr>
        <w:t>for</w:t>
      </w:r>
      <w:r>
        <w:rPr>
          <w:spacing w:val="-3"/>
          <w:sz w:val="20"/>
        </w:rPr>
        <w:t> </w:t>
      </w:r>
      <w:r>
        <w:rPr>
          <w:sz w:val="20"/>
        </w:rPr>
        <w:t>Amount</w:t>
      </w:r>
      <w:r>
        <w:rPr>
          <w:spacing w:val="-5"/>
          <w:sz w:val="20"/>
        </w:rPr>
        <w:t> </w:t>
      </w:r>
      <w:r>
        <w:rPr>
          <w:sz w:val="20"/>
        </w:rPr>
        <w:t>A</w:t>
      </w:r>
      <w:r>
        <w:rPr>
          <w:spacing w:val="-4"/>
          <w:sz w:val="20"/>
        </w:rPr>
        <w:t> </w:t>
      </w:r>
      <w:r>
        <w:rPr>
          <w:sz w:val="20"/>
        </w:rPr>
        <w:t>covered</w:t>
      </w:r>
      <w:r>
        <w:rPr>
          <w:spacing w:val="-4"/>
          <w:sz w:val="20"/>
        </w:rPr>
        <w:t> </w:t>
      </w:r>
      <w:r>
        <w:rPr>
          <w:sz w:val="20"/>
        </w:rPr>
        <w:t>in</w:t>
      </w:r>
      <w:r>
        <w:rPr>
          <w:spacing w:val="2"/>
          <w:sz w:val="20"/>
        </w:rPr>
        <w:t> </w:t>
      </w:r>
      <w:r>
        <w:rPr>
          <w:sz w:val="20"/>
        </w:rPr>
        <w:t>Chapters</w:t>
      </w:r>
      <w:r>
        <w:rPr>
          <w:spacing w:val="-1"/>
          <w:sz w:val="20"/>
        </w:rPr>
        <w:t> </w:t>
      </w:r>
      <w:hyperlink w:history="true" w:anchor="_bookmark66">
        <w:r>
          <w:rPr>
            <w:sz w:val="20"/>
          </w:rPr>
          <w:t>9.</w:t>
        </w:r>
        <w:r>
          <w:rPr>
            <w:spacing w:val="-3"/>
            <w:sz w:val="20"/>
          </w:rPr>
          <w:t> </w:t>
        </w:r>
      </w:hyperlink>
      <w:r>
        <w:rPr>
          <w:sz w:val="20"/>
        </w:rPr>
        <w:t>and</w:t>
      </w:r>
      <w:r>
        <w:rPr>
          <w:spacing w:val="-4"/>
          <w:sz w:val="20"/>
        </w:rPr>
        <w:t> </w:t>
      </w:r>
      <w:hyperlink w:history="true" w:anchor="_bookmark72">
        <w:r>
          <w:rPr>
            <w:sz w:val="20"/>
          </w:rPr>
          <w:t>10.</w:t>
        </w:r>
      </w:hyperlink>
    </w:p>
    <w:p>
      <w:pPr>
        <w:pStyle w:val="ListParagraph"/>
        <w:numPr>
          <w:ilvl w:val="1"/>
          <w:numId w:val="13"/>
        </w:numPr>
        <w:tabs>
          <w:tab w:pos="1403" w:val="left" w:leader="none"/>
        </w:tabs>
        <w:spacing w:line="271" w:lineRule="auto" w:before="46" w:after="0"/>
        <w:ind w:left="1402" w:right="483" w:hanging="339"/>
        <w:jc w:val="both"/>
        <w:rPr>
          <w:sz w:val="20"/>
        </w:rPr>
      </w:pPr>
      <w:r>
        <w:rPr>
          <w:b/>
          <w:i/>
          <w:sz w:val="20"/>
        </w:rPr>
        <w:t>Interaction between Amount A and certain withholding taxes collected by market </w:t>
      </w:r>
      <w:r>
        <w:rPr>
          <w:b/>
          <w:i/>
          <w:sz w:val="20"/>
        </w:rPr>
        <w:t>jurisdictions. </w:t>
      </w:r>
      <w:r>
        <w:rPr>
          <w:sz w:val="20"/>
        </w:rPr>
        <w:t>As noted in Chapter 6 (see section </w:t>
      </w:r>
      <w:hyperlink w:history="true" w:anchor="_bookmark49">
        <w:r>
          <w:rPr>
            <w:sz w:val="20"/>
          </w:rPr>
          <w:t>6.4</w:t>
        </w:r>
      </w:hyperlink>
      <w:r>
        <w:rPr>
          <w:sz w:val="20"/>
        </w:rPr>
        <w:t>), further work will consider the interaction between Amount A and its double tax relief system and withholding taxes by which market jurisdictions may already be taxing a share of residual profits and how any double counting that might arise can be</w:t>
      </w:r>
      <w:r>
        <w:rPr>
          <w:spacing w:val="-4"/>
          <w:sz w:val="20"/>
        </w:rPr>
        <w:t> </w:t>
      </w:r>
      <w:r>
        <w:rPr>
          <w:sz w:val="20"/>
        </w:rPr>
        <w:t>resolved.</w:t>
      </w:r>
    </w:p>
    <w:p>
      <w:pPr>
        <w:pStyle w:val="BodyText"/>
        <w:rPr>
          <w:sz w:val="22"/>
        </w:rPr>
      </w:pPr>
    </w:p>
    <w:p>
      <w:pPr>
        <w:pStyle w:val="Heading4"/>
        <w:numPr>
          <w:ilvl w:val="1"/>
          <w:numId w:val="68"/>
        </w:numPr>
        <w:tabs>
          <w:tab w:pos="1192" w:val="left" w:leader="none"/>
        </w:tabs>
        <w:spacing w:line="240" w:lineRule="auto" w:before="195" w:after="0"/>
        <w:ind w:left="1191" w:right="0" w:hanging="469"/>
        <w:jc w:val="left"/>
        <w:rPr>
          <w:rFonts w:ascii="Arial"/>
        </w:rPr>
      </w:pPr>
      <w:bookmarkStart w:name="7.4. Application of the marketing and di" w:id="373"/>
      <w:bookmarkEnd w:id="373"/>
      <w:r>
        <w:rPr>
          <w:b w:val="0"/>
        </w:rPr>
      </w:r>
      <w:bookmarkStart w:name="_bookmark60" w:id="374"/>
      <w:bookmarkEnd w:id="374"/>
      <w:r>
        <w:rPr>
          <w:b w:val="0"/>
        </w:rPr>
      </w:r>
      <w:bookmarkStart w:name="_bookmark60" w:id="375"/>
      <w:bookmarkEnd w:id="375"/>
      <w:r>
        <w:rPr>
          <w:rFonts w:ascii="Arial"/>
          <w:color w:val="4E81BD"/>
        </w:rPr>
        <w:t>A</w:t>
      </w:r>
      <w:r>
        <w:rPr>
          <w:rFonts w:ascii="Arial"/>
          <w:color w:val="4E81BD"/>
        </w:rPr>
        <w:t>pplication of the marketing and distribution profits safe</w:t>
      </w:r>
      <w:r>
        <w:rPr>
          <w:rFonts w:ascii="Arial"/>
          <w:color w:val="4E81BD"/>
          <w:spacing w:val="-2"/>
        </w:rPr>
        <w:t> </w:t>
      </w:r>
      <w:r>
        <w:rPr>
          <w:rFonts w:ascii="Arial"/>
          <w:color w:val="4E81BD"/>
        </w:rPr>
        <w:t>harbour</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The application of the marketing and distribution profits safe harbour would adjust (and in some cases</w:t>
      </w:r>
      <w:r>
        <w:rPr>
          <w:spacing w:val="-11"/>
          <w:sz w:val="20"/>
        </w:rPr>
        <w:t> </w:t>
      </w:r>
      <w:r>
        <w:rPr>
          <w:sz w:val="20"/>
        </w:rPr>
        <w:t>reduce</w:t>
      </w:r>
      <w:r>
        <w:rPr>
          <w:spacing w:val="-12"/>
          <w:sz w:val="20"/>
        </w:rPr>
        <w:t> </w:t>
      </w:r>
      <w:r>
        <w:rPr>
          <w:sz w:val="20"/>
        </w:rPr>
        <w:t>to</w:t>
      </w:r>
      <w:r>
        <w:rPr>
          <w:spacing w:val="-9"/>
          <w:sz w:val="20"/>
        </w:rPr>
        <w:t> </w:t>
      </w:r>
      <w:r>
        <w:rPr>
          <w:sz w:val="20"/>
        </w:rPr>
        <w:t>zero)</w:t>
      </w:r>
      <w:r>
        <w:rPr>
          <w:spacing w:val="-10"/>
          <w:sz w:val="20"/>
        </w:rPr>
        <w:t> </w:t>
      </w:r>
      <w:r>
        <w:rPr>
          <w:sz w:val="20"/>
        </w:rPr>
        <w:t>the</w:t>
      </w:r>
      <w:r>
        <w:rPr>
          <w:spacing w:val="-12"/>
          <w:sz w:val="20"/>
        </w:rPr>
        <w:t> </w:t>
      </w:r>
      <w:r>
        <w:rPr>
          <w:sz w:val="20"/>
        </w:rPr>
        <w:t>quantum</w:t>
      </w:r>
      <w:r>
        <w:rPr>
          <w:spacing w:val="-7"/>
          <w:sz w:val="20"/>
        </w:rPr>
        <w:t> </w:t>
      </w:r>
      <w:r>
        <w:rPr>
          <w:sz w:val="20"/>
        </w:rPr>
        <w:t>of</w:t>
      </w:r>
      <w:r>
        <w:rPr>
          <w:spacing w:val="-10"/>
          <w:sz w:val="20"/>
        </w:rPr>
        <w:t> </w:t>
      </w:r>
      <w:r>
        <w:rPr>
          <w:sz w:val="20"/>
        </w:rPr>
        <w:t>Amount</w:t>
      </w:r>
      <w:r>
        <w:rPr>
          <w:spacing w:val="-12"/>
          <w:sz w:val="20"/>
        </w:rPr>
        <w:t> </w:t>
      </w:r>
      <w:r>
        <w:rPr>
          <w:sz w:val="20"/>
        </w:rPr>
        <w:t>A</w:t>
      </w:r>
      <w:r>
        <w:rPr>
          <w:spacing w:val="-9"/>
          <w:sz w:val="20"/>
        </w:rPr>
        <w:t> </w:t>
      </w:r>
      <w:r>
        <w:rPr>
          <w:sz w:val="20"/>
        </w:rPr>
        <w:t>allocated</w:t>
      </w:r>
      <w:r>
        <w:rPr>
          <w:spacing w:val="-12"/>
          <w:sz w:val="20"/>
        </w:rPr>
        <w:t> </w:t>
      </w:r>
      <w:r>
        <w:rPr>
          <w:sz w:val="20"/>
        </w:rPr>
        <w:t>to</w:t>
      </w:r>
      <w:r>
        <w:rPr>
          <w:spacing w:val="-9"/>
          <w:sz w:val="20"/>
        </w:rPr>
        <w:t> </w:t>
      </w:r>
      <w:r>
        <w:rPr>
          <w:sz w:val="20"/>
        </w:rPr>
        <w:t>market</w:t>
      </w:r>
      <w:r>
        <w:rPr>
          <w:spacing w:val="-12"/>
          <w:sz w:val="20"/>
        </w:rPr>
        <w:t> </w:t>
      </w:r>
      <w:r>
        <w:rPr>
          <w:sz w:val="20"/>
        </w:rPr>
        <w:t>jurisdictions</w:t>
      </w:r>
      <w:r>
        <w:rPr>
          <w:spacing w:val="-8"/>
          <w:sz w:val="20"/>
        </w:rPr>
        <w:t> </w:t>
      </w:r>
      <w:r>
        <w:rPr>
          <w:sz w:val="20"/>
        </w:rPr>
        <w:t>where</w:t>
      </w:r>
      <w:r>
        <w:rPr>
          <w:spacing w:val="-12"/>
          <w:sz w:val="20"/>
        </w:rPr>
        <w:t> </w:t>
      </w:r>
      <w:r>
        <w:rPr>
          <w:sz w:val="20"/>
        </w:rPr>
        <w:t>an</w:t>
      </w:r>
      <w:r>
        <w:rPr>
          <w:spacing w:val="-13"/>
          <w:sz w:val="20"/>
        </w:rPr>
        <w:t> </w:t>
      </w:r>
      <w:r>
        <w:rPr>
          <w:sz w:val="20"/>
        </w:rPr>
        <w:t>MNE</w:t>
      </w:r>
      <w:r>
        <w:rPr>
          <w:spacing w:val="-9"/>
          <w:sz w:val="20"/>
        </w:rPr>
        <w:t> </w:t>
      </w:r>
      <w:r>
        <w:rPr>
          <w:sz w:val="20"/>
        </w:rPr>
        <w:t>group</w:t>
      </w:r>
      <w:r>
        <w:rPr>
          <w:spacing w:val="-12"/>
          <w:sz w:val="20"/>
        </w:rPr>
        <w:t> </w:t>
      </w:r>
      <w:r>
        <w:rPr>
          <w:sz w:val="20"/>
        </w:rPr>
        <w:t>has an existing marketing and distribution presence. This may give rise to the question of whether an MNE group</w:t>
      </w:r>
      <w:r>
        <w:rPr>
          <w:spacing w:val="-14"/>
          <w:sz w:val="20"/>
        </w:rPr>
        <w:t> </w:t>
      </w:r>
      <w:r>
        <w:rPr>
          <w:sz w:val="20"/>
        </w:rPr>
        <w:t>could</w:t>
      </w:r>
      <w:r>
        <w:rPr>
          <w:spacing w:val="-14"/>
          <w:sz w:val="20"/>
        </w:rPr>
        <w:t> </w:t>
      </w:r>
      <w:r>
        <w:rPr>
          <w:sz w:val="20"/>
        </w:rPr>
        <w:t>choose</w:t>
      </w:r>
      <w:r>
        <w:rPr>
          <w:spacing w:val="-12"/>
          <w:sz w:val="20"/>
        </w:rPr>
        <w:t> </w:t>
      </w:r>
      <w:r>
        <w:rPr>
          <w:sz w:val="20"/>
        </w:rPr>
        <w:t>to</w:t>
      </w:r>
      <w:r>
        <w:rPr>
          <w:spacing w:val="-13"/>
          <w:sz w:val="20"/>
        </w:rPr>
        <w:t> </w:t>
      </w:r>
      <w:r>
        <w:rPr>
          <w:sz w:val="20"/>
        </w:rPr>
        <w:t>adjust</w:t>
      </w:r>
      <w:r>
        <w:rPr>
          <w:spacing w:val="-14"/>
          <w:sz w:val="20"/>
        </w:rPr>
        <w:t> </w:t>
      </w:r>
      <w:r>
        <w:rPr>
          <w:sz w:val="20"/>
        </w:rPr>
        <w:t>their</w:t>
      </w:r>
      <w:r>
        <w:rPr>
          <w:spacing w:val="-13"/>
          <w:sz w:val="20"/>
        </w:rPr>
        <w:t> </w:t>
      </w:r>
      <w:r>
        <w:rPr>
          <w:sz w:val="20"/>
        </w:rPr>
        <w:t>transfer</w:t>
      </w:r>
      <w:r>
        <w:rPr>
          <w:spacing w:val="-12"/>
          <w:sz w:val="20"/>
        </w:rPr>
        <w:t> </w:t>
      </w:r>
      <w:r>
        <w:rPr>
          <w:sz w:val="20"/>
        </w:rPr>
        <w:t>pricing</w:t>
      </w:r>
      <w:r>
        <w:rPr>
          <w:spacing w:val="-12"/>
          <w:sz w:val="20"/>
        </w:rPr>
        <w:t> </w:t>
      </w:r>
      <w:r>
        <w:rPr>
          <w:sz w:val="20"/>
        </w:rPr>
        <w:t>in</w:t>
      </w:r>
      <w:r>
        <w:rPr>
          <w:spacing w:val="-12"/>
          <w:sz w:val="20"/>
        </w:rPr>
        <w:t> </w:t>
      </w:r>
      <w:r>
        <w:rPr>
          <w:sz w:val="20"/>
        </w:rPr>
        <w:t>order</w:t>
      </w:r>
      <w:r>
        <w:rPr>
          <w:spacing w:val="-13"/>
          <w:sz w:val="20"/>
        </w:rPr>
        <w:t> </w:t>
      </w:r>
      <w:r>
        <w:rPr>
          <w:sz w:val="20"/>
        </w:rPr>
        <w:t>to</w:t>
      </w:r>
      <w:r>
        <w:rPr>
          <w:spacing w:val="-11"/>
          <w:sz w:val="20"/>
        </w:rPr>
        <w:t> </w:t>
      </w:r>
      <w:r>
        <w:rPr>
          <w:sz w:val="20"/>
        </w:rPr>
        <w:t>access</w:t>
      </w:r>
      <w:r>
        <w:rPr>
          <w:spacing w:val="-12"/>
          <w:sz w:val="20"/>
        </w:rPr>
        <w:t> </w:t>
      </w:r>
      <w:r>
        <w:rPr>
          <w:sz w:val="20"/>
        </w:rPr>
        <w:t>the</w:t>
      </w:r>
      <w:r>
        <w:rPr>
          <w:spacing w:val="-14"/>
          <w:sz w:val="20"/>
        </w:rPr>
        <w:t> </w:t>
      </w:r>
      <w:r>
        <w:rPr>
          <w:sz w:val="20"/>
        </w:rPr>
        <w:t>safe</w:t>
      </w:r>
      <w:r>
        <w:rPr>
          <w:spacing w:val="-14"/>
          <w:sz w:val="20"/>
        </w:rPr>
        <w:t> </w:t>
      </w:r>
      <w:r>
        <w:rPr>
          <w:sz w:val="20"/>
        </w:rPr>
        <w:t>harbour</w:t>
      </w:r>
      <w:r>
        <w:rPr>
          <w:spacing w:val="-12"/>
          <w:sz w:val="20"/>
        </w:rPr>
        <w:t> </w:t>
      </w:r>
      <w:r>
        <w:rPr>
          <w:sz w:val="20"/>
        </w:rPr>
        <w:t>and</w:t>
      </w:r>
      <w:r>
        <w:rPr>
          <w:spacing w:val="-14"/>
          <w:sz w:val="20"/>
        </w:rPr>
        <w:t> </w:t>
      </w:r>
      <w:r>
        <w:rPr>
          <w:sz w:val="20"/>
        </w:rPr>
        <w:t>use</w:t>
      </w:r>
      <w:r>
        <w:rPr>
          <w:spacing w:val="-14"/>
          <w:sz w:val="20"/>
        </w:rPr>
        <w:t> </w:t>
      </w:r>
      <w:r>
        <w:rPr>
          <w:sz w:val="20"/>
        </w:rPr>
        <w:t>their</w:t>
      </w:r>
      <w:r>
        <w:rPr>
          <w:spacing w:val="-12"/>
          <w:sz w:val="20"/>
        </w:rPr>
        <w:t> </w:t>
      </w:r>
      <w:r>
        <w:rPr>
          <w:sz w:val="20"/>
        </w:rPr>
        <w:t>transfer pricing system as an alternative mechanism to eliminate double</w:t>
      </w:r>
      <w:r>
        <w:rPr>
          <w:spacing w:val="-6"/>
          <w:sz w:val="20"/>
        </w:rPr>
        <w:t> </w:t>
      </w:r>
      <w:r>
        <w:rPr>
          <w:sz w:val="20"/>
        </w:rPr>
        <w:t>taxation.</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In</w:t>
      </w:r>
      <w:r>
        <w:rPr>
          <w:spacing w:val="-5"/>
          <w:sz w:val="20"/>
        </w:rPr>
        <w:t> </w:t>
      </w:r>
      <w:r>
        <w:rPr>
          <w:sz w:val="20"/>
        </w:rPr>
        <w:t>addressing</w:t>
      </w:r>
      <w:r>
        <w:rPr>
          <w:spacing w:val="-6"/>
          <w:sz w:val="20"/>
        </w:rPr>
        <w:t> </w:t>
      </w:r>
      <w:r>
        <w:rPr>
          <w:sz w:val="20"/>
        </w:rPr>
        <w:t>this</w:t>
      </w:r>
      <w:r>
        <w:rPr>
          <w:spacing w:val="-4"/>
          <w:sz w:val="20"/>
        </w:rPr>
        <w:t> </w:t>
      </w:r>
      <w:r>
        <w:rPr>
          <w:sz w:val="20"/>
        </w:rPr>
        <w:t>question,</w:t>
      </w:r>
      <w:r>
        <w:rPr>
          <w:spacing w:val="-2"/>
          <w:sz w:val="20"/>
        </w:rPr>
        <w:t> </w:t>
      </w:r>
      <w:r>
        <w:rPr>
          <w:sz w:val="20"/>
        </w:rPr>
        <w:t>it</w:t>
      </w:r>
      <w:r>
        <w:rPr>
          <w:spacing w:val="-5"/>
          <w:sz w:val="20"/>
        </w:rPr>
        <w:t> </w:t>
      </w:r>
      <w:r>
        <w:rPr>
          <w:sz w:val="20"/>
        </w:rPr>
        <w:t>is</w:t>
      </w:r>
      <w:r>
        <w:rPr>
          <w:spacing w:val="-4"/>
          <w:sz w:val="20"/>
        </w:rPr>
        <w:t> </w:t>
      </w:r>
      <w:r>
        <w:rPr>
          <w:sz w:val="20"/>
        </w:rPr>
        <w:t>important</w:t>
      </w:r>
      <w:r>
        <w:rPr>
          <w:spacing w:val="-5"/>
          <w:sz w:val="20"/>
        </w:rPr>
        <w:t> </w:t>
      </w:r>
      <w:r>
        <w:rPr>
          <w:sz w:val="20"/>
        </w:rPr>
        <w:t>to</w:t>
      </w:r>
      <w:r>
        <w:rPr>
          <w:spacing w:val="-4"/>
          <w:sz w:val="20"/>
        </w:rPr>
        <w:t> </w:t>
      </w:r>
      <w:r>
        <w:rPr>
          <w:sz w:val="20"/>
        </w:rPr>
        <w:t>emphasise</w:t>
      </w:r>
      <w:r>
        <w:rPr>
          <w:spacing w:val="-5"/>
          <w:sz w:val="20"/>
        </w:rPr>
        <w:t> </w:t>
      </w:r>
      <w:r>
        <w:rPr>
          <w:sz w:val="20"/>
        </w:rPr>
        <w:t>that</w:t>
      </w:r>
      <w:r>
        <w:rPr>
          <w:spacing w:val="-5"/>
          <w:sz w:val="20"/>
        </w:rPr>
        <w:t> </w:t>
      </w:r>
      <w:r>
        <w:rPr>
          <w:sz w:val="20"/>
        </w:rPr>
        <w:t>the</w:t>
      </w:r>
      <w:r>
        <w:rPr>
          <w:spacing w:val="-5"/>
          <w:sz w:val="20"/>
        </w:rPr>
        <w:t> </w:t>
      </w:r>
      <w:r>
        <w:rPr>
          <w:sz w:val="20"/>
        </w:rPr>
        <w:t>marketing</w:t>
      </w:r>
      <w:r>
        <w:rPr>
          <w:spacing w:val="-5"/>
          <w:sz w:val="20"/>
        </w:rPr>
        <w:t> </w:t>
      </w:r>
      <w:r>
        <w:rPr>
          <w:sz w:val="20"/>
        </w:rPr>
        <w:t>and</w:t>
      </w:r>
      <w:r>
        <w:rPr>
          <w:spacing w:val="-5"/>
          <w:sz w:val="20"/>
        </w:rPr>
        <w:t> </w:t>
      </w:r>
      <w:r>
        <w:rPr>
          <w:sz w:val="20"/>
        </w:rPr>
        <w:t>distribution</w:t>
      </w:r>
      <w:r>
        <w:rPr>
          <w:spacing w:val="1"/>
          <w:sz w:val="20"/>
        </w:rPr>
        <w:t> </w:t>
      </w:r>
      <w:r>
        <w:rPr>
          <w:sz w:val="20"/>
        </w:rPr>
        <w:t>profits safe</w:t>
      </w:r>
      <w:r>
        <w:rPr>
          <w:spacing w:val="-7"/>
          <w:sz w:val="20"/>
        </w:rPr>
        <w:t> </w:t>
      </w:r>
      <w:r>
        <w:rPr>
          <w:sz w:val="20"/>
        </w:rPr>
        <w:t>harbour</w:t>
      </w:r>
      <w:r>
        <w:rPr>
          <w:spacing w:val="-5"/>
          <w:sz w:val="20"/>
        </w:rPr>
        <w:t> </w:t>
      </w:r>
      <w:r>
        <w:rPr>
          <w:sz w:val="20"/>
        </w:rPr>
        <w:t>is</w:t>
      </w:r>
      <w:r>
        <w:rPr>
          <w:spacing w:val="-5"/>
          <w:sz w:val="20"/>
        </w:rPr>
        <w:t> </w:t>
      </w:r>
      <w:r>
        <w:rPr>
          <w:sz w:val="20"/>
        </w:rPr>
        <w:t>not</w:t>
      </w:r>
      <w:r>
        <w:rPr>
          <w:spacing w:val="-6"/>
          <w:sz w:val="20"/>
        </w:rPr>
        <w:t> </w:t>
      </w:r>
      <w:r>
        <w:rPr>
          <w:sz w:val="20"/>
        </w:rPr>
        <w:t>an</w:t>
      </w:r>
      <w:r>
        <w:rPr>
          <w:spacing w:val="-6"/>
          <w:sz w:val="20"/>
        </w:rPr>
        <w:t> </w:t>
      </w:r>
      <w:r>
        <w:rPr>
          <w:sz w:val="20"/>
        </w:rPr>
        <w:t>alternative</w:t>
      </w:r>
      <w:r>
        <w:rPr>
          <w:spacing w:val="-4"/>
          <w:sz w:val="20"/>
        </w:rPr>
        <w:t> </w:t>
      </w:r>
      <w:r>
        <w:rPr>
          <w:sz w:val="20"/>
        </w:rPr>
        <w:t>way</w:t>
      </w:r>
      <w:r>
        <w:rPr>
          <w:spacing w:val="-9"/>
          <w:sz w:val="20"/>
        </w:rPr>
        <w:t> </w:t>
      </w:r>
      <w:r>
        <w:rPr>
          <w:sz w:val="20"/>
        </w:rPr>
        <w:t>to</w:t>
      </w:r>
      <w:r>
        <w:rPr>
          <w:spacing w:val="-6"/>
          <w:sz w:val="20"/>
        </w:rPr>
        <w:t> </w:t>
      </w:r>
      <w:r>
        <w:rPr>
          <w:sz w:val="20"/>
        </w:rPr>
        <w:t>allocate</w:t>
      </w:r>
      <w:r>
        <w:rPr>
          <w:spacing w:val="-7"/>
          <w:sz w:val="20"/>
        </w:rPr>
        <w:t> </w:t>
      </w:r>
      <w:r>
        <w:rPr>
          <w:sz w:val="20"/>
        </w:rPr>
        <w:t>Amount</w:t>
      </w:r>
      <w:r>
        <w:rPr>
          <w:spacing w:val="-6"/>
          <w:sz w:val="20"/>
        </w:rPr>
        <w:t> </w:t>
      </w:r>
      <w:r>
        <w:rPr>
          <w:sz w:val="20"/>
        </w:rPr>
        <w:t>A</w:t>
      </w:r>
      <w:r>
        <w:rPr>
          <w:spacing w:val="-7"/>
          <w:sz w:val="20"/>
        </w:rPr>
        <w:t> </w:t>
      </w:r>
      <w:r>
        <w:rPr>
          <w:sz w:val="20"/>
        </w:rPr>
        <w:t>to</w:t>
      </w:r>
      <w:r>
        <w:rPr>
          <w:spacing w:val="-6"/>
          <w:sz w:val="20"/>
        </w:rPr>
        <w:t> </w:t>
      </w:r>
      <w:r>
        <w:rPr>
          <w:sz w:val="20"/>
        </w:rPr>
        <w:t>a</w:t>
      </w:r>
      <w:r>
        <w:rPr>
          <w:spacing w:val="-7"/>
          <w:sz w:val="20"/>
        </w:rPr>
        <w:t> </w:t>
      </w:r>
      <w:r>
        <w:rPr>
          <w:sz w:val="20"/>
        </w:rPr>
        <w:t>market</w:t>
      </w:r>
      <w:r>
        <w:rPr>
          <w:spacing w:val="-8"/>
          <w:sz w:val="20"/>
        </w:rPr>
        <w:t> </w:t>
      </w:r>
      <w:r>
        <w:rPr>
          <w:sz w:val="20"/>
        </w:rPr>
        <w:t>jurisdiction,</w:t>
      </w:r>
      <w:r>
        <w:rPr>
          <w:spacing w:val="-7"/>
          <w:sz w:val="20"/>
        </w:rPr>
        <w:t> </w:t>
      </w:r>
      <w:r>
        <w:rPr>
          <w:sz w:val="20"/>
        </w:rPr>
        <w:t>but</w:t>
      </w:r>
      <w:r>
        <w:rPr>
          <w:spacing w:val="-5"/>
          <w:sz w:val="20"/>
        </w:rPr>
        <w:t> </w:t>
      </w:r>
      <w:r>
        <w:rPr>
          <w:sz w:val="20"/>
        </w:rPr>
        <w:t>rather</w:t>
      </w:r>
      <w:r>
        <w:rPr>
          <w:spacing w:val="-6"/>
          <w:sz w:val="20"/>
        </w:rPr>
        <w:t> </w:t>
      </w:r>
      <w:r>
        <w:rPr>
          <w:sz w:val="20"/>
        </w:rPr>
        <w:t>a</w:t>
      </w:r>
      <w:r>
        <w:rPr>
          <w:spacing w:val="-6"/>
          <w:sz w:val="20"/>
        </w:rPr>
        <w:t> </w:t>
      </w:r>
      <w:r>
        <w:rPr>
          <w:sz w:val="20"/>
        </w:rPr>
        <w:t>method</w:t>
      </w:r>
      <w:r>
        <w:rPr>
          <w:spacing w:val="-6"/>
          <w:sz w:val="20"/>
        </w:rPr>
        <w:t> </w:t>
      </w:r>
      <w:r>
        <w:rPr>
          <w:sz w:val="20"/>
        </w:rPr>
        <w:t>to determine whether allocating Amount A to a market jurisdiction would give rise to double counting. Correspondingly, where an MNE group already allocates the safe harbour return to a market jurisdiction under the existing profit allocation rules, there would be no allocation of Amount A, </w:t>
      </w:r>
      <w:r>
        <w:rPr>
          <w:spacing w:val="3"/>
          <w:sz w:val="20"/>
        </w:rPr>
        <w:t>and </w:t>
      </w:r>
      <w:r>
        <w:rPr>
          <w:sz w:val="20"/>
        </w:rPr>
        <w:t>hence no need to apply the mechanism to eliminate double</w:t>
      </w:r>
      <w:r>
        <w:rPr>
          <w:spacing w:val="-4"/>
          <w:sz w:val="20"/>
        </w:rPr>
        <w:t> </w:t>
      </w:r>
      <w:r>
        <w:rPr>
          <w:sz w:val="20"/>
        </w:rPr>
        <w:t>taxation.</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 principle-based nature of ALP-based profit allocation rules means that the safe harbour contains</w:t>
      </w:r>
      <w:r>
        <w:rPr>
          <w:spacing w:val="-7"/>
          <w:sz w:val="20"/>
        </w:rPr>
        <w:t> </w:t>
      </w:r>
      <w:r>
        <w:rPr>
          <w:sz w:val="20"/>
        </w:rPr>
        <w:t>some</w:t>
      </w:r>
      <w:r>
        <w:rPr>
          <w:spacing w:val="-9"/>
          <w:sz w:val="20"/>
        </w:rPr>
        <w:t> </w:t>
      </w:r>
      <w:r>
        <w:rPr>
          <w:sz w:val="20"/>
        </w:rPr>
        <w:t>limited</w:t>
      </w:r>
      <w:r>
        <w:rPr>
          <w:spacing w:val="-8"/>
          <w:sz w:val="20"/>
        </w:rPr>
        <w:t> </w:t>
      </w:r>
      <w:r>
        <w:rPr>
          <w:sz w:val="20"/>
        </w:rPr>
        <w:t>flexibility</w:t>
      </w:r>
      <w:r>
        <w:rPr>
          <w:spacing w:val="-12"/>
          <w:sz w:val="20"/>
        </w:rPr>
        <w:t> </w:t>
      </w:r>
      <w:r>
        <w:rPr>
          <w:sz w:val="20"/>
        </w:rPr>
        <w:t>for</w:t>
      </w:r>
      <w:r>
        <w:rPr>
          <w:spacing w:val="-7"/>
          <w:sz w:val="20"/>
        </w:rPr>
        <w:t> </w:t>
      </w:r>
      <w:r>
        <w:rPr>
          <w:sz w:val="20"/>
        </w:rPr>
        <w:t>an</w:t>
      </w:r>
      <w:r>
        <w:rPr>
          <w:spacing w:val="-9"/>
          <w:sz w:val="20"/>
        </w:rPr>
        <w:t> </w:t>
      </w:r>
      <w:r>
        <w:rPr>
          <w:sz w:val="20"/>
        </w:rPr>
        <w:t>MNE</w:t>
      </w:r>
      <w:r>
        <w:rPr>
          <w:spacing w:val="-8"/>
          <w:sz w:val="20"/>
        </w:rPr>
        <w:t> </w:t>
      </w:r>
      <w:r>
        <w:rPr>
          <w:sz w:val="20"/>
        </w:rPr>
        <w:t>group</w:t>
      </w:r>
      <w:r>
        <w:rPr>
          <w:spacing w:val="-9"/>
          <w:sz w:val="20"/>
        </w:rPr>
        <w:t> </w:t>
      </w:r>
      <w:r>
        <w:rPr>
          <w:sz w:val="20"/>
        </w:rPr>
        <w:t>to</w:t>
      </w:r>
      <w:r>
        <w:rPr>
          <w:spacing w:val="-7"/>
          <w:sz w:val="20"/>
        </w:rPr>
        <w:t> </w:t>
      </w:r>
      <w:r>
        <w:rPr>
          <w:sz w:val="20"/>
        </w:rPr>
        <w:t>increase</w:t>
      </w:r>
      <w:r>
        <w:rPr>
          <w:spacing w:val="-8"/>
          <w:sz w:val="20"/>
        </w:rPr>
        <w:t> </w:t>
      </w:r>
      <w:r>
        <w:rPr>
          <w:sz w:val="20"/>
        </w:rPr>
        <w:t>the</w:t>
      </w:r>
      <w:r>
        <w:rPr>
          <w:spacing w:val="-9"/>
          <w:sz w:val="20"/>
        </w:rPr>
        <w:t> </w:t>
      </w:r>
      <w:r>
        <w:rPr>
          <w:sz w:val="20"/>
        </w:rPr>
        <w:t>profits</w:t>
      </w:r>
      <w:r>
        <w:rPr>
          <w:spacing w:val="-7"/>
          <w:sz w:val="20"/>
        </w:rPr>
        <w:t> </w:t>
      </w:r>
      <w:r>
        <w:rPr>
          <w:sz w:val="20"/>
        </w:rPr>
        <w:t>it</w:t>
      </w:r>
      <w:r>
        <w:rPr>
          <w:spacing w:val="-6"/>
          <w:sz w:val="20"/>
        </w:rPr>
        <w:t> </w:t>
      </w:r>
      <w:r>
        <w:rPr>
          <w:sz w:val="20"/>
        </w:rPr>
        <w:t>allocates</w:t>
      </w:r>
      <w:r>
        <w:rPr>
          <w:spacing w:val="-8"/>
          <w:sz w:val="20"/>
        </w:rPr>
        <w:t> </w:t>
      </w:r>
      <w:r>
        <w:rPr>
          <w:sz w:val="20"/>
        </w:rPr>
        <w:t>to</w:t>
      </w:r>
      <w:r>
        <w:rPr>
          <w:spacing w:val="-8"/>
          <w:sz w:val="20"/>
        </w:rPr>
        <w:t> </w:t>
      </w:r>
      <w:r>
        <w:rPr>
          <w:sz w:val="20"/>
        </w:rPr>
        <w:t>a</w:t>
      </w:r>
      <w:r>
        <w:rPr>
          <w:spacing w:val="-9"/>
          <w:sz w:val="20"/>
        </w:rPr>
        <w:t> </w:t>
      </w:r>
      <w:r>
        <w:rPr>
          <w:sz w:val="20"/>
        </w:rPr>
        <w:t>market</w:t>
      </w:r>
      <w:r>
        <w:rPr>
          <w:spacing w:val="-11"/>
          <w:sz w:val="20"/>
        </w:rPr>
        <w:t> </w:t>
      </w:r>
      <w:r>
        <w:rPr>
          <w:sz w:val="20"/>
        </w:rPr>
        <w:t>jurisdiction and correspondingly reduce (or even eliminate) a potential Amount A tax liability. However, the safe harbour</w:t>
      </w:r>
      <w:r>
        <w:rPr>
          <w:spacing w:val="-11"/>
          <w:sz w:val="20"/>
        </w:rPr>
        <w:t> </w:t>
      </w:r>
      <w:r>
        <w:rPr>
          <w:sz w:val="20"/>
        </w:rPr>
        <w:t>would</w:t>
      </w:r>
      <w:r>
        <w:rPr>
          <w:spacing w:val="-12"/>
          <w:sz w:val="20"/>
        </w:rPr>
        <w:t> </w:t>
      </w:r>
      <w:r>
        <w:rPr>
          <w:sz w:val="20"/>
        </w:rPr>
        <w:t>not</w:t>
      </w:r>
      <w:r>
        <w:rPr>
          <w:spacing w:val="-11"/>
          <w:sz w:val="20"/>
        </w:rPr>
        <w:t> </w:t>
      </w:r>
      <w:r>
        <w:rPr>
          <w:sz w:val="20"/>
        </w:rPr>
        <w:t>permit</w:t>
      </w:r>
      <w:r>
        <w:rPr>
          <w:spacing w:val="-14"/>
          <w:sz w:val="20"/>
        </w:rPr>
        <w:t> </w:t>
      </w:r>
      <w:r>
        <w:rPr>
          <w:sz w:val="20"/>
        </w:rPr>
        <w:t>a</w:t>
      </w:r>
      <w:r>
        <w:rPr>
          <w:spacing w:val="-11"/>
          <w:sz w:val="20"/>
        </w:rPr>
        <w:t> </w:t>
      </w:r>
      <w:r>
        <w:rPr>
          <w:sz w:val="20"/>
        </w:rPr>
        <w:t>group</w:t>
      </w:r>
      <w:r>
        <w:rPr>
          <w:spacing w:val="-12"/>
          <w:sz w:val="20"/>
        </w:rPr>
        <w:t> </w:t>
      </w:r>
      <w:r>
        <w:rPr>
          <w:sz w:val="20"/>
        </w:rPr>
        <w:t>to</w:t>
      </w:r>
      <w:r>
        <w:rPr>
          <w:spacing w:val="-12"/>
          <w:sz w:val="20"/>
        </w:rPr>
        <w:t> </w:t>
      </w:r>
      <w:r>
        <w:rPr>
          <w:sz w:val="20"/>
        </w:rPr>
        <w:t>use</w:t>
      </w:r>
      <w:r>
        <w:rPr>
          <w:spacing w:val="-14"/>
          <w:sz w:val="20"/>
        </w:rPr>
        <w:t> </w:t>
      </w:r>
      <w:r>
        <w:rPr>
          <w:sz w:val="20"/>
        </w:rPr>
        <w:t>transfer</w:t>
      </w:r>
      <w:r>
        <w:rPr>
          <w:spacing w:val="-12"/>
          <w:sz w:val="20"/>
        </w:rPr>
        <w:t> </w:t>
      </w:r>
      <w:r>
        <w:rPr>
          <w:sz w:val="20"/>
        </w:rPr>
        <w:t>pricing</w:t>
      </w:r>
      <w:r>
        <w:rPr>
          <w:spacing w:val="-12"/>
          <w:sz w:val="20"/>
        </w:rPr>
        <w:t> </w:t>
      </w:r>
      <w:r>
        <w:rPr>
          <w:sz w:val="20"/>
        </w:rPr>
        <w:t>to</w:t>
      </w:r>
      <w:r>
        <w:rPr>
          <w:spacing w:val="-14"/>
          <w:sz w:val="20"/>
        </w:rPr>
        <w:t> </w:t>
      </w:r>
      <w:r>
        <w:rPr>
          <w:sz w:val="20"/>
        </w:rPr>
        <w:t>allocate</w:t>
      </w:r>
      <w:r>
        <w:rPr>
          <w:spacing w:val="-12"/>
          <w:sz w:val="20"/>
        </w:rPr>
        <w:t> </w:t>
      </w:r>
      <w:r>
        <w:rPr>
          <w:sz w:val="20"/>
        </w:rPr>
        <w:t>profits</w:t>
      </w:r>
      <w:r>
        <w:rPr>
          <w:spacing w:val="-12"/>
          <w:sz w:val="20"/>
        </w:rPr>
        <w:t> </w:t>
      </w:r>
      <w:r>
        <w:rPr>
          <w:sz w:val="20"/>
        </w:rPr>
        <w:t>to</w:t>
      </w:r>
      <w:r>
        <w:rPr>
          <w:spacing w:val="-12"/>
          <w:sz w:val="20"/>
        </w:rPr>
        <w:t> </w:t>
      </w:r>
      <w:r>
        <w:rPr>
          <w:sz w:val="20"/>
        </w:rPr>
        <w:t>a</w:t>
      </w:r>
      <w:r>
        <w:rPr>
          <w:spacing w:val="-14"/>
          <w:sz w:val="20"/>
        </w:rPr>
        <w:t> </w:t>
      </w:r>
      <w:r>
        <w:rPr>
          <w:sz w:val="20"/>
        </w:rPr>
        <w:t>market</w:t>
      </w:r>
      <w:r>
        <w:rPr>
          <w:spacing w:val="-13"/>
          <w:sz w:val="20"/>
        </w:rPr>
        <w:t> </w:t>
      </w:r>
      <w:r>
        <w:rPr>
          <w:sz w:val="20"/>
        </w:rPr>
        <w:t>in</w:t>
      </w:r>
      <w:r>
        <w:rPr>
          <w:spacing w:val="-14"/>
          <w:sz w:val="20"/>
        </w:rPr>
        <w:t> </w:t>
      </w:r>
      <w:r>
        <w:rPr>
          <w:sz w:val="20"/>
        </w:rPr>
        <w:t>excess</w:t>
      </w:r>
      <w:r>
        <w:rPr>
          <w:spacing w:val="-12"/>
          <w:sz w:val="20"/>
        </w:rPr>
        <w:t> </w:t>
      </w:r>
      <w:r>
        <w:rPr>
          <w:sz w:val="20"/>
        </w:rPr>
        <w:t>of</w:t>
      </w:r>
      <w:r>
        <w:rPr>
          <w:spacing w:val="-12"/>
          <w:sz w:val="20"/>
        </w:rPr>
        <w:t> </w:t>
      </w:r>
      <w:r>
        <w:rPr>
          <w:sz w:val="20"/>
        </w:rPr>
        <w:t>an</w:t>
      </w:r>
      <w:r>
        <w:rPr>
          <w:spacing w:val="-11"/>
          <w:sz w:val="20"/>
        </w:rPr>
        <w:t> </w:t>
      </w:r>
      <w:r>
        <w:rPr>
          <w:sz w:val="20"/>
        </w:rPr>
        <w:t>arm’s length amount. For market jurisdictions where the safe harbour return is not met , a taxpayer would be required to rely on the Amount A mechanism to eliminate double taxation in order to identify the paying entities</w:t>
      </w:r>
      <w:r>
        <w:rPr>
          <w:spacing w:val="-11"/>
          <w:sz w:val="20"/>
        </w:rPr>
        <w:t> </w:t>
      </w:r>
      <w:r>
        <w:rPr>
          <w:sz w:val="20"/>
        </w:rPr>
        <w:t>and</w:t>
      </w:r>
      <w:r>
        <w:rPr>
          <w:spacing w:val="-14"/>
          <w:sz w:val="20"/>
        </w:rPr>
        <w:t> </w:t>
      </w:r>
      <w:r>
        <w:rPr>
          <w:sz w:val="20"/>
        </w:rPr>
        <w:t>relieve</w:t>
      </w:r>
      <w:r>
        <w:rPr>
          <w:spacing w:val="-12"/>
          <w:sz w:val="20"/>
        </w:rPr>
        <w:t> </w:t>
      </w:r>
      <w:r>
        <w:rPr>
          <w:sz w:val="20"/>
        </w:rPr>
        <w:t>double</w:t>
      </w:r>
      <w:r>
        <w:rPr>
          <w:spacing w:val="-13"/>
          <w:sz w:val="20"/>
        </w:rPr>
        <w:t> </w:t>
      </w:r>
      <w:r>
        <w:rPr>
          <w:sz w:val="20"/>
        </w:rPr>
        <w:t>taxation.</w:t>
      </w:r>
      <w:r>
        <w:rPr>
          <w:spacing w:val="-12"/>
          <w:sz w:val="20"/>
        </w:rPr>
        <w:t> </w:t>
      </w:r>
      <w:r>
        <w:rPr>
          <w:sz w:val="20"/>
        </w:rPr>
        <w:t>For</w:t>
      </w:r>
      <w:r>
        <w:rPr>
          <w:spacing w:val="-11"/>
          <w:sz w:val="20"/>
        </w:rPr>
        <w:t> </w:t>
      </w:r>
      <w:r>
        <w:rPr>
          <w:sz w:val="20"/>
        </w:rPr>
        <w:t>example,</w:t>
      </w:r>
      <w:r>
        <w:rPr>
          <w:spacing w:val="-12"/>
          <w:sz w:val="20"/>
        </w:rPr>
        <w:t> </w:t>
      </w:r>
      <w:r>
        <w:rPr>
          <w:sz w:val="20"/>
        </w:rPr>
        <w:t>where</w:t>
      </w:r>
      <w:r>
        <w:rPr>
          <w:spacing w:val="-15"/>
          <w:sz w:val="20"/>
        </w:rPr>
        <w:t> </w:t>
      </w:r>
      <w:r>
        <w:rPr>
          <w:sz w:val="20"/>
        </w:rPr>
        <w:t>MNE</w:t>
      </w:r>
      <w:r>
        <w:rPr>
          <w:spacing w:val="-12"/>
          <w:sz w:val="20"/>
        </w:rPr>
        <w:t> </w:t>
      </w:r>
      <w:r>
        <w:rPr>
          <w:sz w:val="20"/>
        </w:rPr>
        <w:t>groups</w:t>
      </w:r>
      <w:r>
        <w:rPr>
          <w:spacing w:val="-10"/>
          <w:sz w:val="20"/>
        </w:rPr>
        <w:t> </w:t>
      </w:r>
      <w:r>
        <w:rPr>
          <w:sz w:val="20"/>
        </w:rPr>
        <w:t>have</w:t>
      </w:r>
      <w:r>
        <w:rPr>
          <w:spacing w:val="-13"/>
          <w:sz w:val="20"/>
        </w:rPr>
        <w:t> </w:t>
      </w:r>
      <w:r>
        <w:rPr>
          <w:sz w:val="20"/>
        </w:rPr>
        <w:t>adopted</w:t>
      </w:r>
      <w:r>
        <w:rPr>
          <w:spacing w:val="-12"/>
          <w:sz w:val="20"/>
        </w:rPr>
        <w:t> </w:t>
      </w:r>
      <w:r>
        <w:rPr>
          <w:sz w:val="20"/>
        </w:rPr>
        <w:t>limited</w:t>
      </w:r>
      <w:r>
        <w:rPr>
          <w:spacing w:val="-14"/>
          <w:sz w:val="20"/>
        </w:rPr>
        <w:t> </w:t>
      </w:r>
      <w:r>
        <w:rPr>
          <w:sz w:val="20"/>
        </w:rPr>
        <w:t>risk</w:t>
      </w:r>
      <w:r>
        <w:rPr>
          <w:spacing w:val="-10"/>
          <w:sz w:val="20"/>
        </w:rPr>
        <w:t> </w:t>
      </w:r>
      <w:r>
        <w:rPr>
          <w:sz w:val="20"/>
        </w:rPr>
        <w:t>distribution structures, it may not be feasible to increase the profits of such entities so that the quantum of Amount A would be allocated through the transfer pricing system, as the entity characterisation and transfer pricing method would not allow for non-routine profits to be allocated to a limited risk distribution</w:t>
      </w:r>
      <w:r>
        <w:rPr>
          <w:spacing w:val="-26"/>
          <w:sz w:val="20"/>
        </w:rPr>
        <w:t> </w:t>
      </w:r>
      <w:r>
        <w:rPr>
          <w:sz w:val="20"/>
        </w:rPr>
        <w:t>entity.</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It</w:t>
      </w:r>
      <w:r>
        <w:rPr>
          <w:spacing w:val="-9"/>
          <w:sz w:val="20"/>
        </w:rPr>
        <w:t> </w:t>
      </w:r>
      <w:r>
        <w:rPr>
          <w:sz w:val="20"/>
        </w:rPr>
        <w:t>should</w:t>
      </w:r>
      <w:r>
        <w:rPr>
          <w:spacing w:val="-8"/>
          <w:sz w:val="20"/>
        </w:rPr>
        <w:t> </w:t>
      </w:r>
      <w:r>
        <w:rPr>
          <w:sz w:val="20"/>
        </w:rPr>
        <w:t>also</w:t>
      </w:r>
      <w:r>
        <w:rPr>
          <w:spacing w:val="-9"/>
          <w:sz w:val="20"/>
        </w:rPr>
        <w:t> </w:t>
      </w:r>
      <w:r>
        <w:rPr>
          <w:sz w:val="20"/>
        </w:rPr>
        <w:t>be</w:t>
      </w:r>
      <w:r>
        <w:rPr>
          <w:spacing w:val="-6"/>
          <w:sz w:val="20"/>
        </w:rPr>
        <w:t> </w:t>
      </w:r>
      <w:r>
        <w:rPr>
          <w:sz w:val="20"/>
        </w:rPr>
        <w:t>noted</w:t>
      </w:r>
      <w:r>
        <w:rPr>
          <w:spacing w:val="-9"/>
          <w:sz w:val="20"/>
        </w:rPr>
        <w:t> </w:t>
      </w:r>
      <w:r>
        <w:rPr>
          <w:sz w:val="20"/>
        </w:rPr>
        <w:t>that</w:t>
      </w:r>
      <w:r>
        <w:rPr>
          <w:spacing w:val="-5"/>
          <w:sz w:val="20"/>
        </w:rPr>
        <w:t> </w:t>
      </w:r>
      <w:r>
        <w:rPr>
          <w:sz w:val="20"/>
        </w:rPr>
        <w:t>where</w:t>
      </w:r>
      <w:r>
        <w:rPr>
          <w:spacing w:val="-9"/>
          <w:sz w:val="20"/>
        </w:rPr>
        <w:t> </w:t>
      </w:r>
      <w:r>
        <w:rPr>
          <w:sz w:val="20"/>
        </w:rPr>
        <w:t>an</w:t>
      </w:r>
      <w:r>
        <w:rPr>
          <w:spacing w:val="-8"/>
          <w:sz w:val="20"/>
        </w:rPr>
        <w:t> </w:t>
      </w:r>
      <w:r>
        <w:rPr>
          <w:sz w:val="20"/>
        </w:rPr>
        <w:t>MNE</w:t>
      </w:r>
      <w:r>
        <w:rPr>
          <w:spacing w:val="-9"/>
          <w:sz w:val="20"/>
        </w:rPr>
        <w:t> </w:t>
      </w:r>
      <w:r>
        <w:rPr>
          <w:sz w:val="20"/>
        </w:rPr>
        <w:t>group</w:t>
      </w:r>
      <w:r>
        <w:rPr>
          <w:spacing w:val="-8"/>
          <w:sz w:val="20"/>
        </w:rPr>
        <w:t> </w:t>
      </w:r>
      <w:r>
        <w:rPr>
          <w:sz w:val="20"/>
        </w:rPr>
        <w:t>meets</w:t>
      </w:r>
      <w:r>
        <w:rPr>
          <w:spacing w:val="-8"/>
          <w:sz w:val="20"/>
        </w:rPr>
        <w:t> </w:t>
      </w:r>
      <w:r>
        <w:rPr>
          <w:sz w:val="20"/>
        </w:rPr>
        <w:t>the</w:t>
      </w:r>
      <w:r>
        <w:rPr>
          <w:spacing w:val="-8"/>
          <w:sz w:val="20"/>
        </w:rPr>
        <w:t> </w:t>
      </w:r>
      <w:r>
        <w:rPr>
          <w:sz w:val="20"/>
        </w:rPr>
        <w:t>marketing</w:t>
      </w:r>
      <w:r>
        <w:rPr>
          <w:spacing w:val="-9"/>
          <w:sz w:val="20"/>
        </w:rPr>
        <w:t> </w:t>
      </w:r>
      <w:r>
        <w:rPr>
          <w:sz w:val="20"/>
        </w:rPr>
        <w:t>and</w:t>
      </w:r>
      <w:r>
        <w:rPr>
          <w:spacing w:val="-8"/>
          <w:sz w:val="20"/>
        </w:rPr>
        <w:t> </w:t>
      </w:r>
      <w:r>
        <w:rPr>
          <w:sz w:val="20"/>
        </w:rPr>
        <w:t>distribution</w:t>
      </w:r>
      <w:r>
        <w:rPr>
          <w:spacing w:val="-7"/>
          <w:sz w:val="20"/>
        </w:rPr>
        <w:t> </w:t>
      </w:r>
      <w:r>
        <w:rPr>
          <w:sz w:val="20"/>
        </w:rPr>
        <w:t>profits</w:t>
      </w:r>
      <w:r>
        <w:rPr>
          <w:spacing w:val="-7"/>
          <w:sz w:val="20"/>
        </w:rPr>
        <w:t> </w:t>
      </w:r>
      <w:r>
        <w:rPr>
          <w:sz w:val="20"/>
        </w:rPr>
        <w:t>safe harbour in a given market jurisdiction, this should not prevent an entity resident in that jurisdiction being identified as a paying entity for other jurisdictions. Though the non-allocation of Amount A in this scenario could be seen to disadvantage a jurisdiction, this is in fact not the</w:t>
      </w:r>
      <w:r>
        <w:rPr>
          <w:spacing w:val="-18"/>
          <w:sz w:val="20"/>
        </w:rPr>
        <w:t> </w:t>
      </w:r>
      <w:r>
        <w:rPr>
          <w:sz w:val="20"/>
        </w:rPr>
        <w:t>case.</w:t>
      </w:r>
    </w:p>
    <w:p>
      <w:pPr>
        <w:spacing w:after="0" w:line="271" w:lineRule="auto"/>
        <w:jc w:val="both"/>
        <w:rPr>
          <w:sz w:val="20"/>
        </w:rPr>
        <w:sectPr>
          <w:pgSz w:w="11910" w:h="16840"/>
          <w:pgMar w:header="1244" w:footer="1638" w:top="1500" w:bottom="1820" w:left="580" w:right="820"/>
        </w:sectPr>
      </w:pPr>
    </w:p>
    <w:p>
      <w:pPr>
        <w:pStyle w:val="BodyText"/>
        <w:spacing w:before="9"/>
      </w:pPr>
    </w:p>
    <w:p>
      <w:pPr>
        <w:pStyle w:val="Heading4"/>
        <w:numPr>
          <w:ilvl w:val="1"/>
          <w:numId w:val="68"/>
        </w:numPr>
        <w:tabs>
          <w:tab w:pos="1192" w:val="left" w:leader="none"/>
        </w:tabs>
        <w:spacing w:line="240" w:lineRule="auto" w:before="92" w:after="0"/>
        <w:ind w:left="1191" w:right="0" w:hanging="469"/>
        <w:jc w:val="left"/>
        <w:rPr>
          <w:rFonts w:ascii="Arial"/>
        </w:rPr>
      </w:pPr>
      <w:bookmarkStart w:name="7.5. Next steps" w:id="376"/>
      <w:bookmarkEnd w:id="376"/>
      <w:r>
        <w:rPr>
          <w:b w:val="0"/>
        </w:rPr>
      </w:r>
      <w:bookmarkStart w:name="_bookmark61" w:id="377"/>
      <w:bookmarkEnd w:id="377"/>
      <w:r>
        <w:rPr>
          <w:b w:val="0"/>
        </w:rPr>
      </w:r>
      <w:bookmarkStart w:name="_bookmark61" w:id="378"/>
      <w:bookmarkEnd w:id="378"/>
      <w:r>
        <w:rPr>
          <w:rFonts w:ascii="Arial"/>
          <w:color w:val="4E81BD"/>
        </w:rPr>
        <w:t>Ne</w:t>
      </w:r>
      <w:r>
        <w:rPr>
          <w:rFonts w:ascii="Arial"/>
          <w:color w:val="4E81BD"/>
        </w:rPr>
        <w:t>xt steps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For</w:t>
      </w:r>
      <w:r>
        <w:rPr>
          <w:spacing w:val="-6"/>
          <w:sz w:val="20"/>
        </w:rPr>
        <w:t> </w:t>
      </w:r>
      <w:r>
        <w:rPr>
          <w:sz w:val="20"/>
        </w:rPr>
        <w:t>Component</w:t>
      </w:r>
      <w:r>
        <w:rPr>
          <w:spacing w:val="-7"/>
          <w:sz w:val="20"/>
        </w:rPr>
        <w:t> </w:t>
      </w:r>
      <w:r>
        <w:rPr>
          <w:sz w:val="20"/>
        </w:rPr>
        <w:t>1,</w:t>
      </w:r>
      <w:r>
        <w:rPr>
          <w:spacing w:val="-6"/>
          <w:sz w:val="20"/>
        </w:rPr>
        <w:t> </w:t>
      </w:r>
      <w:r>
        <w:rPr>
          <w:sz w:val="20"/>
        </w:rPr>
        <w:t>the</w:t>
      </w:r>
      <w:r>
        <w:rPr>
          <w:spacing w:val="-7"/>
          <w:sz w:val="20"/>
        </w:rPr>
        <w:t> </w:t>
      </w:r>
      <w:r>
        <w:rPr>
          <w:sz w:val="20"/>
        </w:rPr>
        <w:t>process</w:t>
      </w:r>
      <w:r>
        <w:rPr>
          <w:spacing w:val="-5"/>
          <w:sz w:val="20"/>
        </w:rPr>
        <w:t> </w:t>
      </w:r>
      <w:r>
        <w:rPr>
          <w:sz w:val="20"/>
        </w:rPr>
        <w:t>to</w:t>
      </w:r>
      <w:r>
        <w:rPr>
          <w:spacing w:val="-7"/>
          <w:sz w:val="20"/>
        </w:rPr>
        <w:t> </w:t>
      </w:r>
      <w:r>
        <w:rPr>
          <w:sz w:val="20"/>
        </w:rPr>
        <w:t>identify</w:t>
      </w:r>
      <w:r>
        <w:rPr>
          <w:spacing w:val="-10"/>
          <w:sz w:val="20"/>
        </w:rPr>
        <w:t> </w:t>
      </w:r>
      <w:r>
        <w:rPr>
          <w:sz w:val="20"/>
        </w:rPr>
        <w:t>the</w:t>
      </w:r>
      <w:r>
        <w:rPr>
          <w:spacing w:val="-5"/>
          <w:sz w:val="20"/>
        </w:rPr>
        <w:t> </w:t>
      </w:r>
      <w:r>
        <w:rPr>
          <w:sz w:val="20"/>
        </w:rPr>
        <w:t>paying</w:t>
      </w:r>
      <w:r>
        <w:rPr>
          <w:spacing w:val="-5"/>
          <w:sz w:val="20"/>
        </w:rPr>
        <w:t> </w:t>
      </w:r>
      <w:r>
        <w:rPr>
          <w:sz w:val="20"/>
        </w:rPr>
        <w:t>entities,</w:t>
      </w:r>
      <w:r>
        <w:rPr>
          <w:spacing w:val="-6"/>
          <w:sz w:val="20"/>
        </w:rPr>
        <w:t> </w:t>
      </w:r>
      <w:r>
        <w:rPr>
          <w:sz w:val="20"/>
        </w:rPr>
        <w:t>the</w:t>
      </w:r>
      <w:r>
        <w:rPr>
          <w:spacing w:val="-2"/>
          <w:sz w:val="20"/>
        </w:rPr>
        <w:t> </w:t>
      </w:r>
      <w:r>
        <w:rPr>
          <w:sz w:val="20"/>
        </w:rPr>
        <w:t>Inclusive</w:t>
      </w:r>
      <w:r>
        <w:rPr>
          <w:spacing w:val="-7"/>
          <w:sz w:val="20"/>
        </w:rPr>
        <w:t> </w:t>
      </w:r>
      <w:r>
        <w:rPr>
          <w:sz w:val="20"/>
        </w:rPr>
        <w:t>Framework will</w:t>
      </w:r>
      <w:r>
        <w:rPr>
          <w:spacing w:val="-7"/>
          <w:sz w:val="20"/>
        </w:rPr>
        <w:t> </w:t>
      </w:r>
      <w:r>
        <w:rPr>
          <w:sz w:val="20"/>
        </w:rPr>
        <w:t>need</w:t>
      </w:r>
      <w:r>
        <w:rPr>
          <w:spacing w:val="-4"/>
          <w:sz w:val="20"/>
        </w:rPr>
        <w:t> </w:t>
      </w:r>
      <w:r>
        <w:rPr>
          <w:sz w:val="20"/>
        </w:rPr>
        <w:t>to make a final decision on the design of the tests outlined above. This will include agreeing the elements of the tests and the ordering and design of their various components. Further work will also be undertaken on specific aspects of Component 1,</w:t>
      </w:r>
      <w:r>
        <w:rPr>
          <w:spacing w:val="-6"/>
          <w:sz w:val="20"/>
        </w:rPr>
        <w:t> </w:t>
      </w:r>
      <w:r>
        <w:rPr>
          <w:sz w:val="20"/>
        </w:rPr>
        <w:t>including:</w:t>
      </w:r>
    </w:p>
    <w:p>
      <w:pPr>
        <w:pStyle w:val="ListParagraph"/>
        <w:numPr>
          <w:ilvl w:val="0"/>
          <w:numId w:val="71"/>
        </w:numPr>
        <w:tabs>
          <w:tab w:pos="1402" w:val="left" w:leader="none"/>
          <w:tab w:pos="1403" w:val="left" w:leader="none"/>
        </w:tabs>
        <w:spacing w:line="240" w:lineRule="auto" w:before="99" w:after="0"/>
        <w:ind w:left="1402" w:right="0" w:hanging="339"/>
        <w:jc w:val="left"/>
        <w:rPr>
          <w:sz w:val="20"/>
        </w:rPr>
      </w:pPr>
      <w:r>
        <w:rPr>
          <w:sz w:val="20"/>
        </w:rPr>
        <w:t>the set of activities included in the positive and negative</w:t>
      </w:r>
      <w:r>
        <w:rPr>
          <w:spacing w:val="-8"/>
          <w:sz w:val="20"/>
        </w:rPr>
        <w:t> </w:t>
      </w:r>
      <w:r>
        <w:rPr>
          <w:sz w:val="20"/>
        </w:rPr>
        <w:t>lists;</w:t>
      </w:r>
    </w:p>
    <w:p>
      <w:pPr>
        <w:pStyle w:val="ListParagraph"/>
        <w:numPr>
          <w:ilvl w:val="0"/>
          <w:numId w:val="71"/>
        </w:numPr>
        <w:tabs>
          <w:tab w:pos="1402" w:val="left" w:leader="none"/>
          <w:tab w:pos="1403" w:val="left" w:leader="none"/>
        </w:tabs>
        <w:spacing w:line="240" w:lineRule="auto" w:before="77" w:after="0"/>
        <w:ind w:left="1402" w:right="0" w:hanging="339"/>
        <w:jc w:val="left"/>
        <w:rPr>
          <w:sz w:val="20"/>
        </w:rPr>
      </w:pPr>
      <w:r>
        <w:rPr>
          <w:sz w:val="20"/>
        </w:rPr>
        <w:t>the practical application of the profitability</w:t>
      </w:r>
      <w:r>
        <w:rPr>
          <w:spacing w:val="-8"/>
          <w:sz w:val="20"/>
        </w:rPr>
        <w:t> </w:t>
      </w:r>
      <w:r>
        <w:rPr>
          <w:sz w:val="20"/>
        </w:rPr>
        <w:t>test;</w:t>
      </w:r>
    </w:p>
    <w:p>
      <w:pPr>
        <w:pStyle w:val="ListParagraph"/>
        <w:numPr>
          <w:ilvl w:val="0"/>
          <w:numId w:val="71"/>
        </w:numPr>
        <w:tabs>
          <w:tab w:pos="1402" w:val="left" w:leader="none"/>
          <w:tab w:pos="1403" w:val="left" w:leader="none"/>
        </w:tabs>
        <w:spacing w:line="240" w:lineRule="auto" w:before="74" w:after="0"/>
        <w:ind w:left="1402" w:right="0" w:hanging="339"/>
        <w:jc w:val="left"/>
        <w:rPr>
          <w:sz w:val="20"/>
        </w:rPr>
      </w:pPr>
      <w:r>
        <w:rPr>
          <w:sz w:val="20"/>
        </w:rPr>
        <w:t>the practical aspects of implementing a market connection priority test;</w:t>
      </w:r>
      <w:r>
        <w:rPr>
          <w:spacing w:val="-8"/>
          <w:sz w:val="20"/>
        </w:rPr>
        <w:t> </w:t>
      </w:r>
      <w:r>
        <w:rPr>
          <w:sz w:val="20"/>
        </w:rPr>
        <w:t>and</w:t>
      </w:r>
    </w:p>
    <w:p>
      <w:pPr>
        <w:pStyle w:val="ListParagraph"/>
        <w:numPr>
          <w:ilvl w:val="0"/>
          <w:numId w:val="71"/>
        </w:numPr>
        <w:tabs>
          <w:tab w:pos="1402" w:val="left" w:leader="none"/>
          <w:tab w:pos="1403" w:val="left" w:leader="none"/>
        </w:tabs>
        <w:spacing w:line="268" w:lineRule="auto" w:before="74" w:after="0"/>
        <w:ind w:left="1402" w:right="491" w:hanging="339"/>
        <w:jc w:val="left"/>
        <w:rPr>
          <w:sz w:val="20"/>
        </w:rPr>
      </w:pPr>
      <w:r>
        <w:rPr>
          <w:sz w:val="20"/>
        </w:rPr>
        <w:t>Consideration of other back-stop positions for any remaining Amount A tax liability not allocated after application of the</w:t>
      </w:r>
      <w:r>
        <w:rPr>
          <w:spacing w:val="1"/>
          <w:sz w:val="20"/>
        </w:rPr>
        <w:t> </w:t>
      </w:r>
      <w:r>
        <w:rPr>
          <w:sz w:val="20"/>
        </w:rPr>
        <w:t>process</w:t>
      </w:r>
    </w:p>
    <w:p>
      <w:pPr>
        <w:pStyle w:val="ListParagraph"/>
        <w:numPr>
          <w:ilvl w:val="0"/>
          <w:numId w:val="13"/>
        </w:numPr>
        <w:tabs>
          <w:tab w:pos="1443" w:val="left" w:leader="none"/>
          <w:tab w:pos="1444" w:val="left" w:leader="none"/>
        </w:tabs>
        <w:spacing w:line="271" w:lineRule="auto" w:before="130" w:after="0"/>
        <w:ind w:left="723" w:right="487" w:firstLine="0"/>
        <w:jc w:val="left"/>
        <w:rPr>
          <w:sz w:val="20"/>
        </w:rPr>
      </w:pPr>
      <w:r>
        <w:rPr>
          <w:sz w:val="20"/>
        </w:rPr>
        <w:t>For Component 2, the method to eliminate double taxation on Amount A, further work will be required</w:t>
      </w:r>
      <w:r>
        <w:rPr>
          <w:spacing w:val="-4"/>
          <w:sz w:val="20"/>
        </w:rPr>
        <w:t> </w:t>
      </w:r>
      <w:r>
        <w:rPr>
          <w:sz w:val="20"/>
        </w:rPr>
        <w:t>to</w:t>
      </w:r>
      <w:r>
        <w:rPr>
          <w:spacing w:val="-2"/>
          <w:sz w:val="20"/>
        </w:rPr>
        <w:t> </w:t>
      </w:r>
      <w:r>
        <w:rPr>
          <w:sz w:val="20"/>
        </w:rPr>
        <w:t>provide</w:t>
      </w:r>
      <w:r>
        <w:rPr>
          <w:spacing w:val="-5"/>
          <w:sz w:val="20"/>
        </w:rPr>
        <w:t> </w:t>
      </w:r>
      <w:r>
        <w:rPr>
          <w:sz w:val="20"/>
        </w:rPr>
        <w:t>guidance</w:t>
      </w:r>
      <w:r>
        <w:rPr>
          <w:spacing w:val="-4"/>
          <w:sz w:val="20"/>
        </w:rPr>
        <w:t> </w:t>
      </w:r>
      <w:r>
        <w:rPr>
          <w:sz w:val="20"/>
        </w:rPr>
        <w:t>to</w:t>
      </w:r>
      <w:r>
        <w:rPr>
          <w:spacing w:val="-4"/>
          <w:sz w:val="20"/>
        </w:rPr>
        <w:t> </w:t>
      </w:r>
      <w:r>
        <w:rPr>
          <w:sz w:val="20"/>
        </w:rPr>
        <w:t>jurisdictions</w:t>
      </w:r>
      <w:r>
        <w:rPr>
          <w:spacing w:val="-3"/>
          <w:sz w:val="20"/>
        </w:rPr>
        <w:t> </w:t>
      </w:r>
      <w:r>
        <w:rPr>
          <w:sz w:val="20"/>
        </w:rPr>
        <w:t>in</w:t>
      </w:r>
      <w:r>
        <w:rPr>
          <w:spacing w:val="-4"/>
          <w:sz w:val="20"/>
        </w:rPr>
        <w:t> </w:t>
      </w:r>
      <w:r>
        <w:rPr>
          <w:sz w:val="20"/>
        </w:rPr>
        <w:t>selecting</w:t>
      </w:r>
      <w:r>
        <w:rPr>
          <w:spacing w:val="-4"/>
          <w:sz w:val="20"/>
        </w:rPr>
        <w:t> </w:t>
      </w:r>
      <w:r>
        <w:rPr>
          <w:sz w:val="20"/>
        </w:rPr>
        <w:t>and</w:t>
      </w:r>
      <w:r>
        <w:rPr>
          <w:spacing w:val="-4"/>
          <w:sz w:val="20"/>
        </w:rPr>
        <w:t> </w:t>
      </w:r>
      <w:r>
        <w:rPr>
          <w:sz w:val="20"/>
        </w:rPr>
        <w:t>applying</w:t>
      </w:r>
      <w:r>
        <w:rPr>
          <w:spacing w:val="5"/>
          <w:sz w:val="20"/>
        </w:rPr>
        <w:t> </w:t>
      </w:r>
      <w:r>
        <w:rPr>
          <w:sz w:val="20"/>
        </w:rPr>
        <w:t>each</w:t>
      </w:r>
      <w:r>
        <w:rPr>
          <w:spacing w:val="-4"/>
          <w:sz w:val="20"/>
        </w:rPr>
        <w:t> </w:t>
      </w:r>
      <w:r>
        <w:rPr>
          <w:sz w:val="20"/>
        </w:rPr>
        <w:t>method</w:t>
      </w:r>
      <w:r>
        <w:rPr>
          <w:spacing w:val="-4"/>
          <w:sz w:val="20"/>
        </w:rPr>
        <w:t> </w:t>
      </w:r>
      <w:r>
        <w:rPr>
          <w:sz w:val="20"/>
        </w:rPr>
        <w:t>and,</w:t>
      </w:r>
      <w:r>
        <w:rPr>
          <w:spacing w:val="-5"/>
          <w:sz w:val="20"/>
        </w:rPr>
        <w:t> </w:t>
      </w:r>
      <w:r>
        <w:rPr>
          <w:sz w:val="20"/>
        </w:rPr>
        <w:t>in</w:t>
      </w:r>
      <w:r>
        <w:rPr>
          <w:spacing w:val="-3"/>
          <w:sz w:val="20"/>
        </w:rPr>
        <w:t> </w:t>
      </w:r>
      <w:r>
        <w:rPr>
          <w:sz w:val="20"/>
        </w:rPr>
        <w:t>particular</w:t>
      </w:r>
      <w:r>
        <w:rPr>
          <w:spacing w:val="-1"/>
          <w:sz w:val="20"/>
        </w:rPr>
        <w:t> </w:t>
      </w:r>
      <w:r>
        <w:rPr>
          <w:sz w:val="20"/>
        </w:rPr>
        <w:t>to:</w:t>
      </w:r>
    </w:p>
    <w:p>
      <w:pPr>
        <w:pStyle w:val="ListParagraph"/>
        <w:numPr>
          <w:ilvl w:val="0"/>
          <w:numId w:val="72"/>
        </w:numPr>
        <w:tabs>
          <w:tab w:pos="1402" w:val="left" w:leader="none"/>
          <w:tab w:pos="1403" w:val="left" w:leader="none"/>
        </w:tabs>
        <w:spacing w:line="240" w:lineRule="auto" w:before="101" w:after="0"/>
        <w:ind w:left="1402" w:right="0" w:hanging="339"/>
        <w:jc w:val="left"/>
        <w:rPr>
          <w:sz w:val="20"/>
        </w:rPr>
      </w:pPr>
      <w:r>
        <w:rPr>
          <w:sz w:val="20"/>
        </w:rPr>
        <w:t>analyse the interaction of the application of methods to relieve tax on Amount A and Pillar</w:t>
      </w:r>
      <w:r>
        <w:rPr>
          <w:spacing w:val="-28"/>
          <w:sz w:val="20"/>
        </w:rPr>
        <w:t> </w:t>
      </w:r>
      <w:r>
        <w:rPr>
          <w:sz w:val="20"/>
        </w:rPr>
        <w:t>2;</w:t>
      </w:r>
    </w:p>
    <w:p>
      <w:pPr>
        <w:pStyle w:val="ListParagraph"/>
        <w:numPr>
          <w:ilvl w:val="0"/>
          <w:numId w:val="72"/>
        </w:numPr>
        <w:tabs>
          <w:tab w:pos="1402" w:val="left" w:leader="none"/>
          <w:tab w:pos="1403" w:val="left" w:leader="none"/>
        </w:tabs>
        <w:spacing w:line="266" w:lineRule="auto" w:before="74" w:after="0"/>
        <w:ind w:left="1402" w:right="491" w:hanging="339"/>
        <w:jc w:val="left"/>
        <w:rPr>
          <w:sz w:val="20"/>
        </w:rPr>
      </w:pPr>
      <w:r>
        <w:rPr>
          <w:sz w:val="20"/>
        </w:rPr>
        <w:t>consider the interaction between the methods to eliminate double taxation and existing domestic law;</w:t>
      </w:r>
    </w:p>
    <w:p>
      <w:pPr>
        <w:pStyle w:val="ListParagraph"/>
        <w:numPr>
          <w:ilvl w:val="0"/>
          <w:numId w:val="72"/>
        </w:numPr>
        <w:tabs>
          <w:tab w:pos="1402" w:val="left" w:leader="none"/>
          <w:tab w:pos="1403" w:val="left" w:leader="none"/>
        </w:tabs>
        <w:spacing w:line="266" w:lineRule="auto" w:before="53" w:after="0"/>
        <w:ind w:left="1402" w:right="483" w:hanging="339"/>
        <w:jc w:val="left"/>
        <w:rPr>
          <w:sz w:val="20"/>
        </w:rPr>
      </w:pPr>
      <w:r>
        <w:rPr>
          <w:sz w:val="20"/>
        </w:rPr>
        <w:t>consider the interactions between Amount A and certain withholding taxes collected by market jurisdictions;</w:t>
      </w:r>
      <w:r>
        <w:rPr>
          <w:spacing w:val="-2"/>
          <w:sz w:val="20"/>
        </w:rPr>
        <w:t> </w:t>
      </w:r>
      <w:r>
        <w:rPr>
          <w:sz w:val="20"/>
        </w:rPr>
        <w:t>and</w:t>
      </w:r>
    </w:p>
    <w:p>
      <w:pPr>
        <w:pStyle w:val="ListParagraph"/>
        <w:numPr>
          <w:ilvl w:val="0"/>
          <w:numId w:val="72"/>
        </w:numPr>
        <w:tabs>
          <w:tab w:pos="1402" w:val="left" w:leader="none"/>
          <w:tab w:pos="1403" w:val="left" w:leader="none"/>
        </w:tabs>
        <w:spacing w:line="268" w:lineRule="auto" w:before="52" w:after="0"/>
        <w:ind w:left="1402" w:right="482" w:hanging="339"/>
        <w:jc w:val="left"/>
        <w:rPr>
          <w:sz w:val="20"/>
        </w:rPr>
      </w:pPr>
      <w:r>
        <w:rPr>
          <w:sz w:val="20"/>
        </w:rPr>
        <w:t>examine the application of each of the methods with other work streams including the centralised and simplified administration system and the tax certainty</w:t>
      </w:r>
      <w:r>
        <w:rPr>
          <w:spacing w:val="-8"/>
          <w:sz w:val="20"/>
        </w:rPr>
        <w:t> </w:t>
      </w:r>
      <w:r>
        <w:rPr>
          <w:sz w:val="20"/>
        </w:rPr>
        <w:t>process.</w:t>
      </w:r>
    </w:p>
    <w:p>
      <w:pPr>
        <w:spacing w:after="0" w:line="268" w:lineRule="auto"/>
        <w:jc w:val="left"/>
        <w:rPr>
          <w:sz w:val="20"/>
        </w:rPr>
        <w:sectPr>
          <w:pgSz w:w="11910" w:h="16840"/>
          <w:pgMar w:header="1244" w:footer="1638" w:top="1500" w:bottom="1820" w:left="580" w:right="820"/>
        </w:sectPr>
      </w:pPr>
    </w:p>
    <w:p>
      <w:pPr>
        <w:pStyle w:val="BodyText"/>
        <w:spacing w:before="2"/>
        <w:rPr>
          <w:sz w:val="24"/>
        </w:rPr>
      </w:pPr>
    </w:p>
    <w:p>
      <w:pPr>
        <w:tabs>
          <w:tab w:pos="2384" w:val="left" w:leader="none"/>
        </w:tabs>
        <w:spacing w:before="99"/>
        <w:ind w:left="836" w:right="0" w:firstLine="0"/>
        <w:jc w:val="left"/>
        <w:rPr>
          <w:rFonts w:ascii="Arial Narrow"/>
          <w:b/>
          <w:sz w:val="56"/>
        </w:rPr>
      </w:pPr>
      <w:r>
        <w:rPr/>
        <w:pict>
          <v:rect style="position:absolute;margin-left:64.463997pt;margin-top:1.055774pt;width:466.390015pt;height:6pt;mso-position-horizontal-relative:page;mso-position-vertical-relative:paragraph;z-index:-19513344" filled="true" fillcolor="#ffffff" stroked="false">
            <v:fill type="solid"/>
            <w10:wrap type="none"/>
          </v:rect>
        </w:pict>
      </w:r>
      <w:r>
        <w:rPr/>
        <w:pict>
          <v:rect style="position:absolute;margin-left:70.823997pt;margin-top:69.335754pt;width:59.279999pt;height:5.76pt;mso-position-horizontal-relative:page;mso-position-vertical-relative:paragraph;z-index:15807488" filled="true" fillcolor="#4e81bd" stroked="false">
            <v:fill type="solid"/>
            <w10:wrap type="none"/>
          </v:rect>
        </w:pict>
      </w:r>
      <w:bookmarkStart w:name="8.  Amount B" w:id="379"/>
      <w:bookmarkEnd w:id="379"/>
      <w:r>
        <w:rPr/>
      </w:r>
      <w:bookmarkStart w:name="_bookmark62" w:id="380"/>
      <w:bookmarkEnd w:id="380"/>
      <w:r>
        <w:rPr/>
      </w:r>
      <w:r>
        <w:rPr>
          <w:rFonts w:ascii="Arial Narrow"/>
          <w:b/>
          <w:color w:val="4E81BD"/>
          <w:sz w:val="130"/>
        </w:rPr>
        <w:t>8.</w:t>
        <w:tab/>
      </w:r>
      <w:r>
        <w:rPr>
          <w:rFonts w:ascii="Arial Narrow"/>
          <w:b/>
          <w:color w:val="4E81BD"/>
          <w:sz w:val="56"/>
        </w:rPr>
        <w:t>Amount</w:t>
      </w:r>
      <w:r>
        <w:rPr>
          <w:rFonts w:ascii="Arial Narrow"/>
          <w:b/>
          <w:color w:val="4E81BD"/>
          <w:spacing w:val="-2"/>
          <w:sz w:val="56"/>
        </w:rPr>
        <w:t> </w:t>
      </w:r>
      <w:r>
        <w:rPr>
          <w:rFonts w:ascii="Arial Narrow"/>
          <w:b/>
          <w:color w:val="4E81BD"/>
          <w:sz w:val="56"/>
        </w:rPr>
        <w:t>B</w:t>
      </w: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10"/>
        <w:rPr>
          <w:rFonts w:ascii="Arial Narrow"/>
          <w:b/>
          <w:sz w:val="15"/>
        </w:rPr>
      </w:pPr>
    </w:p>
    <w:p>
      <w:pPr>
        <w:pStyle w:val="Heading4"/>
        <w:numPr>
          <w:ilvl w:val="1"/>
          <w:numId w:val="73"/>
        </w:numPr>
        <w:tabs>
          <w:tab w:pos="1192" w:val="left" w:leader="none"/>
        </w:tabs>
        <w:spacing w:line="240" w:lineRule="auto" w:before="93" w:after="0"/>
        <w:ind w:left="1191" w:right="0" w:hanging="469"/>
        <w:jc w:val="left"/>
        <w:rPr>
          <w:rFonts w:ascii="Arial"/>
        </w:rPr>
      </w:pPr>
      <w:bookmarkStart w:name="8.1. Overview" w:id="381"/>
      <w:bookmarkEnd w:id="381"/>
      <w:r>
        <w:rPr>
          <w:b w:val="0"/>
        </w:rPr>
      </w:r>
      <w:bookmarkStart w:name="_bookmark63" w:id="382"/>
      <w:bookmarkEnd w:id="382"/>
      <w:r>
        <w:rPr>
          <w:b w:val="0"/>
        </w:rPr>
      </w:r>
      <w:bookmarkStart w:name="_bookmark63" w:id="383"/>
      <w:bookmarkEnd w:id="383"/>
      <w:r>
        <w:rPr>
          <w:rFonts w:ascii="Arial"/>
          <w:color w:val="4E81BD"/>
        </w:rPr>
        <w:t>O</w:t>
      </w:r>
      <w:r>
        <w:rPr>
          <w:rFonts w:ascii="Arial"/>
          <w:color w:val="4E81BD"/>
        </w:rPr>
        <w:t>verview</w:t>
      </w:r>
    </w:p>
    <w:p>
      <w:pPr>
        <w:pStyle w:val="BodyText"/>
        <w:spacing w:before="4"/>
        <w:rPr>
          <w:b/>
          <w:sz w:val="24"/>
        </w:rPr>
      </w:pPr>
    </w:p>
    <w:p>
      <w:pPr>
        <w:pStyle w:val="ListParagraph"/>
        <w:numPr>
          <w:ilvl w:val="0"/>
          <w:numId w:val="13"/>
        </w:numPr>
        <w:tabs>
          <w:tab w:pos="1444" w:val="left" w:leader="none"/>
        </w:tabs>
        <w:spacing w:line="240" w:lineRule="auto" w:before="0" w:after="0"/>
        <w:ind w:left="1443" w:right="0" w:hanging="721"/>
        <w:jc w:val="both"/>
        <w:rPr>
          <w:sz w:val="20"/>
        </w:rPr>
      </w:pPr>
      <w:r>
        <w:rPr>
          <w:sz w:val="20"/>
        </w:rPr>
        <w:t>Amount</w:t>
      </w:r>
      <w:r>
        <w:rPr>
          <w:spacing w:val="-6"/>
          <w:sz w:val="20"/>
        </w:rPr>
        <w:t> </w:t>
      </w:r>
      <w:r>
        <w:rPr>
          <w:sz w:val="20"/>
        </w:rPr>
        <w:t>B</w:t>
      </w:r>
      <w:r>
        <w:rPr>
          <w:spacing w:val="-6"/>
          <w:sz w:val="20"/>
        </w:rPr>
        <w:t> </w:t>
      </w:r>
      <w:r>
        <w:rPr>
          <w:sz w:val="20"/>
        </w:rPr>
        <w:t>aims</w:t>
      </w:r>
      <w:r>
        <w:rPr>
          <w:spacing w:val="-4"/>
          <w:sz w:val="20"/>
        </w:rPr>
        <w:t> </w:t>
      </w:r>
      <w:r>
        <w:rPr>
          <w:sz w:val="20"/>
        </w:rPr>
        <w:t>to</w:t>
      </w:r>
      <w:r>
        <w:rPr>
          <w:spacing w:val="-5"/>
          <w:sz w:val="20"/>
        </w:rPr>
        <w:t> </w:t>
      </w:r>
      <w:r>
        <w:rPr>
          <w:sz w:val="20"/>
        </w:rPr>
        <w:t>standardise</w:t>
      </w:r>
      <w:r>
        <w:rPr>
          <w:spacing w:val="-6"/>
          <w:sz w:val="20"/>
        </w:rPr>
        <w:t> </w:t>
      </w:r>
      <w:r>
        <w:rPr>
          <w:sz w:val="20"/>
        </w:rPr>
        <w:t>the</w:t>
      </w:r>
      <w:r>
        <w:rPr>
          <w:spacing w:val="-6"/>
          <w:sz w:val="20"/>
        </w:rPr>
        <w:t> </w:t>
      </w:r>
      <w:r>
        <w:rPr>
          <w:sz w:val="20"/>
        </w:rPr>
        <w:t>remuneration</w:t>
      </w:r>
      <w:r>
        <w:rPr>
          <w:spacing w:val="-6"/>
          <w:sz w:val="20"/>
        </w:rPr>
        <w:t> </w:t>
      </w:r>
      <w:r>
        <w:rPr>
          <w:sz w:val="20"/>
        </w:rPr>
        <w:t>of</w:t>
      </w:r>
      <w:r>
        <w:rPr>
          <w:spacing w:val="-4"/>
          <w:sz w:val="20"/>
        </w:rPr>
        <w:t> </w:t>
      </w:r>
      <w:r>
        <w:rPr>
          <w:sz w:val="20"/>
        </w:rPr>
        <w:t>related</w:t>
      </w:r>
      <w:r>
        <w:rPr>
          <w:spacing w:val="-6"/>
          <w:sz w:val="20"/>
        </w:rPr>
        <w:t> </w:t>
      </w:r>
      <w:r>
        <w:rPr>
          <w:sz w:val="20"/>
        </w:rPr>
        <w:t>party</w:t>
      </w:r>
      <w:r>
        <w:rPr>
          <w:spacing w:val="-8"/>
          <w:sz w:val="20"/>
        </w:rPr>
        <w:t> </w:t>
      </w:r>
      <w:r>
        <w:rPr>
          <w:sz w:val="20"/>
        </w:rPr>
        <w:t>distributors</w:t>
      </w:r>
      <w:r>
        <w:rPr>
          <w:spacing w:val="-4"/>
          <w:sz w:val="20"/>
        </w:rPr>
        <w:t> </w:t>
      </w:r>
      <w:r>
        <w:rPr>
          <w:sz w:val="20"/>
        </w:rPr>
        <w:t>that</w:t>
      </w:r>
      <w:r>
        <w:rPr>
          <w:spacing w:val="-5"/>
          <w:sz w:val="20"/>
        </w:rPr>
        <w:t> </w:t>
      </w:r>
      <w:r>
        <w:rPr>
          <w:sz w:val="20"/>
        </w:rPr>
        <w:t>perform</w:t>
      </w:r>
      <w:r>
        <w:rPr>
          <w:spacing w:val="-3"/>
          <w:sz w:val="20"/>
        </w:rPr>
        <w:t> </w:t>
      </w:r>
      <w:r>
        <w:rPr>
          <w:sz w:val="20"/>
        </w:rPr>
        <w:t>“baseline</w:t>
      </w:r>
    </w:p>
    <w:p>
      <w:pPr>
        <w:pStyle w:val="BodyText"/>
        <w:spacing w:before="32"/>
        <w:ind w:left="723"/>
        <w:jc w:val="both"/>
      </w:pPr>
      <w:r>
        <w:rPr/>
        <w:t>marketing and distribution activities” in a manner that is aligned with the ALP. Its purpose is two-fold.</w:t>
      </w:r>
    </w:p>
    <w:p>
      <w:pPr>
        <w:pStyle w:val="ListParagraph"/>
        <w:numPr>
          <w:ilvl w:val="0"/>
          <w:numId w:val="13"/>
        </w:numPr>
        <w:tabs>
          <w:tab w:pos="1444" w:val="left" w:leader="none"/>
        </w:tabs>
        <w:spacing w:line="271" w:lineRule="auto" w:before="149" w:after="0"/>
        <w:ind w:left="723" w:right="435" w:firstLine="0"/>
        <w:jc w:val="both"/>
        <w:rPr>
          <w:sz w:val="20"/>
        </w:rPr>
      </w:pPr>
      <w:r>
        <w:rPr>
          <w:sz w:val="20"/>
        </w:rPr>
        <w:t>First, Amount B is intended to simplify the administration of transfer pricing rules for tax administrations</w:t>
      </w:r>
      <w:r>
        <w:rPr>
          <w:spacing w:val="-7"/>
          <w:sz w:val="20"/>
        </w:rPr>
        <w:t> </w:t>
      </w:r>
      <w:r>
        <w:rPr>
          <w:sz w:val="20"/>
        </w:rPr>
        <w:t>and</w:t>
      </w:r>
      <w:r>
        <w:rPr>
          <w:spacing w:val="-6"/>
          <w:sz w:val="20"/>
        </w:rPr>
        <w:t> </w:t>
      </w:r>
      <w:r>
        <w:rPr>
          <w:sz w:val="20"/>
        </w:rPr>
        <w:t>reduce</w:t>
      </w:r>
      <w:r>
        <w:rPr>
          <w:spacing w:val="-4"/>
          <w:sz w:val="20"/>
        </w:rPr>
        <w:t> </w:t>
      </w:r>
      <w:r>
        <w:rPr>
          <w:sz w:val="20"/>
        </w:rPr>
        <w:t>compliance</w:t>
      </w:r>
      <w:r>
        <w:rPr>
          <w:spacing w:val="-7"/>
          <w:sz w:val="20"/>
        </w:rPr>
        <w:t> </w:t>
      </w:r>
      <w:r>
        <w:rPr>
          <w:sz w:val="20"/>
        </w:rPr>
        <w:t>costs</w:t>
      </w:r>
      <w:r>
        <w:rPr>
          <w:spacing w:val="-6"/>
          <w:sz w:val="20"/>
        </w:rPr>
        <w:t> </w:t>
      </w:r>
      <w:r>
        <w:rPr>
          <w:sz w:val="20"/>
        </w:rPr>
        <w:t>for</w:t>
      </w:r>
      <w:r>
        <w:rPr>
          <w:spacing w:val="-7"/>
          <w:sz w:val="20"/>
        </w:rPr>
        <w:t> </w:t>
      </w:r>
      <w:r>
        <w:rPr>
          <w:sz w:val="20"/>
        </w:rPr>
        <w:t>taxpayers.</w:t>
      </w:r>
      <w:r>
        <w:rPr>
          <w:spacing w:val="-5"/>
          <w:sz w:val="20"/>
        </w:rPr>
        <w:t> </w:t>
      </w:r>
      <w:r>
        <w:rPr>
          <w:sz w:val="20"/>
        </w:rPr>
        <w:t>Second,</w:t>
      </w:r>
      <w:r>
        <w:rPr>
          <w:spacing w:val="-6"/>
          <w:sz w:val="20"/>
        </w:rPr>
        <w:t> </w:t>
      </w:r>
      <w:r>
        <w:rPr>
          <w:sz w:val="20"/>
        </w:rPr>
        <w:t>Amount</w:t>
      </w:r>
      <w:r>
        <w:rPr>
          <w:spacing w:val="-7"/>
          <w:sz w:val="20"/>
        </w:rPr>
        <w:t> </w:t>
      </w:r>
      <w:r>
        <w:rPr>
          <w:sz w:val="20"/>
        </w:rPr>
        <w:t>B is</w:t>
      </w:r>
      <w:r>
        <w:rPr>
          <w:spacing w:val="-4"/>
          <w:sz w:val="20"/>
        </w:rPr>
        <w:t> </w:t>
      </w:r>
      <w:r>
        <w:rPr>
          <w:sz w:val="20"/>
        </w:rPr>
        <w:t>intended</w:t>
      </w:r>
      <w:r>
        <w:rPr>
          <w:spacing w:val="-5"/>
          <w:sz w:val="20"/>
        </w:rPr>
        <w:t> </w:t>
      </w:r>
      <w:r>
        <w:rPr>
          <w:sz w:val="20"/>
        </w:rPr>
        <w:t>to</w:t>
      </w:r>
      <w:r>
        <w:rPr>
          <w:spacing w:val="-5"/>
          <w:sz w:val="20"/>
        </w:rPr>
        <w:t> </w:t>
      </w:r>
      <w:r>
        <w:rPr>
          <w:sz w:val="20"/>
        </w:rPr>
        <w:t>enhance</w:t>
      </w:r>
      <w:r>
        <w:rPr>
          <w:spacing w:val="-5"/>
          <w:sz w:val="20"/>
        </w:rPr>
        <w:t> </w:t>
      </w:r>
      <w:r>
        <w:rPr>
          <w:sz w:val="20"/>
        </w:rPr>
        <w:t>tax certainty</w:t>
      </w:r>
      <w:r>
        <w:rPr>
          <w:spacing w:val="-15"/>
          <w:sz w:val="20"/>
        </w:rPr>
        <w:t> </w:t>
      </w:r>
      <w:r>
        <w:rPr>
          <w:sz w:val="20"/>
        </w:rPr>
        <w:t>and</w:t>
      </w:r>
      <w:r>
        <w:rPr>
          <w:spacing w:val="-13"/>
          <w:sz w:val="20"/>
        </w:rPr>
        <w:t> </w:t>
      </w:r>
      <w:r>
        <w:rPr>
          <w:sz w:val="20"/>
        </w:rPr>
        <w:t>reduce</w:t>
      </w:r>
      <w:r>
        <w:rPr>
          <w:spacing w:val="-12"/>
          <w:sz w:val="20"/>
        </w:rPr>
        <w:t> </w:t>
      </w:r>
      <w:r>
        <w:rPr>
          <w:sz w:val="20"/>
        </w:rPr>
        <w:t>controversy</w:t>
      </w:r>
      <w:r>
        <w:rPr>
          <w:spacing w:val="-15"/>
          <w:sz w:val="20"/>
        </w:rPr>
        <w:t> </w:t>
      </w:r>
      <w:r>
        <w:rPr>
          <w:sz w:val="20"/>
        </w:rPr>
        <w:t>between</w:t>
      </w:r>
      <w:r>
        <w:rPr>
          <w:spacing w:val="-12"/>
          <w:sz w:val="20"/>
        </w:rPr>
        <w:t> </w:t>
      </w:r>
      <w:r>
        <w:rPr>
          <w:sz w:val="20"/>
        </w:rPr>
        <w:t>tax</w:t>
      </w:r>
      <w:r>
        <w:rPr>
          <w:spacing w:val="-10"/>
          <w:sz w:val="20"/>
        </w:rPr>
        <w:t> </w:t>
      </w:r>
      <w:r>
        <w:rPr>
          <w:sz w:val="20"/>
        </w:rPr>
        <w:t>administrations</w:t>
      </w:r>
      <w:r>
        <w:rPr>
          <w:spacing w:val="-9"/>
          <w:sz w:val="20"/>
        </w:rPr>
        <w:t> </w:t>
      </w:r>
      <w:r>
        <w:rPr>
          <w:sz w:val="20"/>
        </w:rPr>
        <w:t>and</w:t>
      </w:r>
      <w:r>
        <w:rPr>
          <w:spacing w:val="-12"/>
          <w:sz w:val="20"/>
        </w:rPr>
        <w:t> </w:t>
      </w:r>
      <w:r>
        <w:rPr>
          <w:sz w:val="20"/>
        </w:rPr>
        <w:t>taxpayers.</w:t>
      </w:r>
      <w:r>
        <w:rPr>
          <w:spacing w:val="-11"/>
          <w:sz w:val="20"/>
        </w:rPr>
        <w:t> </w:t>
      </w:r>
      <w:r>
        <w:rPr>
          <w:sz w:val="20"/>
        </w:rPr>
        <w:t>In</w:t>
      </w:r>
      <w:r>
        <w:rPr>
          <w:spacing w:val="-6"/>
          <w:sz w:val="20"/>
        </w:rPr>
        <w:t> </w:t>
      </w:r>
      <w:r>
        <w:rPr>
          <w:sz w:val="20"/>
        </w:rPr>
        <w:t>these</w:t>
      </w:r>
      <w:r>
        <w:rPr>
          <w:spacing w:val="-9"/>
          <w:sz w:val="20"/>
        </w:rPr>
        <w:t> </w:t>
      </w:r>
      <w:r>
        <w:rPr>
          <w:sz w:val="20"/>
        </w:rPr>
        <w:t>ways,</w:t>
      </w:r>
      <w:r>
        <w:rPr>
          <w:spacing w:val="-9"/>
          <w:sz w:val="20"/>
        </w:rPr>
        <w:t> </w:t>
      </w:r>
      <w:r>
        <w:rPr>
          <w:sz w:val="20"/>
        </w:rPr>
        <w:t>Amount</w:t>
      </w:r>
      <w:r>
        <w:rPr>
          <w:spacing w:val="-13"/>
          <w:sz w:val="20"/>
        </w:rPr>
        <w:t> </w:t>
      </w:r>
      <w:r>
        <w:rPr>
          <w:sz w:val="20"/>
        </w:rPr>
        <w:t>B</w:t>
      </w:r>
      <w:r>
        <w:rPr>
          <w:spacing w:val="-9"/>
          <w:sz w:val="20"/>
        </w:rPr>
        <w:t> </w:t>
      </w:r>
      <w:r>
        <w:rPr>
          <w:sz w:val="20"/>
        </w:rPr>
        <w:t>has the potential to address certain challenges that tax administrations face in evaluating the arm’s length nature of the pricing of distribution arrangements adopted by MNE groups. Distribution arrangements constitute an area of concern for tax administrations and taxpayers alike and are a frequent focus of domestic transfer pricing controversy. They are often the subject of dispute between tax authorities, and require settlement under the MAP</w:t>
      </w:r>
      <w:r>
        <w:rPr>
          <w:sz w:val="20"/>
          <w:vertAlign w:val="superscript"/>
        </w:rPr>
        <w:t>123</w:t>
      </w:r>
      <w:r>
        <w:rPr>
          <w:sz w:val="20"/>
          <w:vertAlign w:val="baseline"/>
        </w:rPr>
        <w:t> provided for in bilateral tax treaties. For these reasons, many governments and businesses view improvements in this area as a key deliverable of Pillar One, on the presumption that the design features of Amount B are such that these key benefits may be realised in practice.</w:t>
      </w:r>
    </w:p>
    <w:p>
      <w:pPr>
        <w:pStyle w:val="ListParagraph"/>
        <w:numPr>
          <w:ilvl w:val="0"/>
          <w:numId w:val="13"/>
        </w:numPr>
        <w:tabs>
          <w:tab w:pos="1444" w:val="left" w:leader="none"/>
        </w:tabs>
        <w:spacing w:line="271" w:lineRule="auto" w:before="122" w:after="0"/>
        <w:ind w:left="723" w:right="436" w:firstLine="0"/>
        <w:jc w:val="both"/>
        <w:rPr>
          <w:sz w:val="20"/>
        </w:rPr>
      </w:pPr>
      <w:r>
        <w:rPr>
          <w:sz w:val="20"/>
        </w:rPr>
        <w:t>This chapter sets forth the framework that would enable the implementation of Amount B. It starts with a discussion of the entities and transactions that are anticipated to be in scope. Next, it proceeds to outline</w:t>
      </w:r>
      <w:r>
        <w:rPr>
          <w:spacing w:val="-15"/>
          <w:sz w:val="20"/>
        </w:rPr>
        <w:t> </w:t>
      </w:r>
      <w:r>
        <w:rPr>
          <w:sz w:val="20"/>
        </w:rPr>
        <w:t>the</w:t>
      </w:r>
      <w:r>
        <w:rPr>
          <w:spacing w:val="-10"/>
          <w:sz w:val="20"/>
        </w:rPr>
        <w:t> </w:t>
      </w:r>
      <w:r>
        <w:rPr>
          <w:sz w:val="20"/>
        </w:rPr>
        <w:t>way</w:t>
      </w:r>
      <w:r>
        <w:rPr>
          <w:spacing w:val="-15"/>
          <w:sz w:val="20"/>
        </w:rPr>
        <w:t> </w:t>
      </w:r>
      <w:r>
        <w:rPr>
          <w:sz w:val="20"/>
        </w:rPr>
        <w:t>in</w:t>
      </w:r>
      <w:r>
        <w:rPr>
          <w:spacing w:val="-11"/>
          <w:sz w:val="20"/>
        </w:rPr>
        <w:t> </w:t>
      </w:r>
      <w:r>
        <w:rPr>
          <w:sz w:val="20"/>
        </w:rPr>
        <w:t>which</w:t>
      </w:r>
      <w:r>
        <w:rPr>
          <w:spacing w:val="-12"/>
          <w:sz w:val="20"/>
        </w:rPr>
        <w:t> </w:t>
      </w:r>
      <w:r>
        <w:rPr>
          <w:sz w:val="20"/>
        </w:rPr>
        <w:t>the</w:t>
      </w:r>
      <w:r>
        <w:rPr>
          <w:spacing w:val="-12"/>
          <w:sz w:val="20"/>
        </w:rPr>
        <w:t> </w:t>
      </w:r>
      <w:r>
        <w:rPr>
          <w:sz w:val="20"/>
        </w:rPr>
        <w:t>in-scope</w:t>
      </w:r>
      <w:r>
        <w:rPr>
          <w:spacing w:val="-13"/>
          <w:sz w:val="20"/>
        </w:rPr>
        <w:t> </w:t>
      </w:r>
      <w:r>
        <w:rPr>
          <w:sz w:val="20"/>
        </w:rPr>
        <w:t>baseline</w:t>
      </w:r>
      <w:r>
        <w:rPr>
          <w:spacing w:val="-12"/>
          <w:sz w:val="20"/>
        </w:rPr>
        <w:t> </w:t>
      </w:r>
      <w:r>
        <w:rPr>
          <w:sz w:val="20"/>
        </w:rPr>
        <w:t>activities</w:t>
      </w:r>
      <w:r>
        <w:rPr>
          <w:spacing w:val="-12"/>
          <w:sz w:val="20"/>
        </w:rPr>
        <w:t> </w:t>
      </w:r>
      <w:r>
        <w:rPr>
          <w:sz w:val="20"/>
        </w:rPr>
        <w:t>would</w:t>
      </w:r>
      <w:r>
        <w:rPr>
          <w:spacing w:val="-13"/>
          <w:sz w:val="20"/>
        </w:rPr>
        <w:t> </w:t>
      </w:r>
      <w:r>
        <w:rPr>
          <w:sz w:val="20"/>
        </w:rPr>
        <w:t>be</w:t>
      </w:r>
      <w:r>
        <w:rPr>
          <w:spacing w:val="-12"/>
          <w:sz w:val="20"/>
        </w:rPr>
        <w:t> </w:t>
      </w:r>
      <w:r>
        <w:rPr>
          <w:sz w:val="20"/>
        </w:rPr>
        <w:t>defined.</w:t>
      </w:r>
      <w:r>
        <w:rPr>
          <w:sz w:val="20"/>
          <w:vertAlign w:val="superscript"/>
        </w:rPr>
        <w:t>124</w:t>
      </w:r>
      <w:r>
        <w:rPr>
          <w:spacing w:val="-15"/>
          <w:sz w:val="20"/>
          <w:vertAlign w:val="baseline"/>
        </w:rPr>
        <w:t> </w:t>
      </w:r>
      <w:r>
        <w:rPr>
          <w:sz w:val="20"/>
          <w:vertAlign w:val="baseline"/>
        </w:rPr>
        <w:t>It</w:t>
      </w:r>
      <w:r>
        <w:rPr>
          <w:spacing w:val="-12"/>
          <w:sz w:val="20"/>
          <w:vertAlign w:val="baseline"/>
        </w:rPr>
        <w:t> </w:t>
      </w:r>
      <w:r>
        <w:rPr>
          <w:sz w:val="20"/>
          <w:vertAlign w:val="baseline"/>
        </w:rPr>
        <w:t>then</w:t>
      </w:r>
      <w:r>
        <w:rPr>
          <w:spacing w:val="-13"/>
          <w:sz w:val="20"/>
          <w:vertAlign w:val="baseline"/>
        </w:rPr>
        <w:t> </w:t>
      </w:r>
      <w:r>
        <w:rPr>
          <w:sz w:val="20"/>
          <w:vertAlign w:val="baseline"/>
        </w:rPr>
        <w:t>turns</w:t>
      </w:r>
      <w:r>
        <w:rPr>
          <w:spacing w:val="-13"/>
          <w:sz w:val="20"/>
          <w:vertAlign w:val="baseline"/>
        </w:rPr>
        <w:t> </w:t>
      </w:r>
      <w:r>
        <w:rPr>
          <w:sz w:val="20"/>
          <w:vertAlign w:val="baseline"/>
        </w:rPr>
        <w:t>to</w:t>
      </w:r>
      <w:r>
        <w:rPr>
          <w:spacing w:val="-12"/>
          <w:sz w:val="20"/>
          <w:vertAlign w:val="baseline"/>
        </w:rPr>
        <w:t> </w:t>
      </w:r>
      <w:r>
        <w:rPr>
          <w:sz w:val="20"/>
          <w:vertAlign w:val="baseline"/>
        </w:rPr>
        <w:t>the</w:t>
      </w:r>
      <w:r>
        <w:rPr>
          <w:spacing w:val="-13"/>
          <w:sz w:val="20"/>
          <w:vertAlign w:val="baseline"/>
        </w:rPr>
        <w:t> </w:t>
      </w:r>
      <w:r>
        <w:rPr>
          <w:sz w:val="20"/>
          <w:vertAlign w:val="baseline"/>
        </w:rPr>
        <w:t>assessment of the quantum of Amount B and finally considers the implementation of Amount</w:t>
      </w:r>
      <w:r>
        <w:rPr>
          <w:spacing w:val="-12"/>
          <w:sz w:val="20"/>
          <w:vertAlign w:val="baseline"/>
        </w:rPr>
        <w:t> </w:t>
      </w:r>
      <w:r>
        <w:rPr>
          <w:sz w:val="20"/>
          <w:vertAlign w:val="baseline"/>
        </w:rPr>
        <w:t>B.</w:t>
      </w:r>
    </w:p>
    <w:p>
      <w:pPr>
        <w:pStyle w:val="ListParagraph"/>
        <w:numPr>
          <w:ilvl w:val="0"/>
          <w:numId w:val="13"/>
        </w:numPr>
        <w:tabs>
          <w:tab w:pos="1444" w:val="left" w:leader="none"/>
        </w:tabs>
        <w:spacing w:line="271" w:lineRule="auto" w:before="120" w:after="0"/>
        <w:ind w:left="723" w:right="433" w:firstLine="0"/>
        <w:jc w:val="both"/>
        <w:rPr>
          <w:sz w:val="20"/>
        </w:rPr>
      </w:pPr>
      <w:r>
        <w:rPr>
          <w:sz w:val="20"/>
        </w:rPr>
        <w:t>It</w:t>
      </w:r>
      <w:r>
        <w:rPr>
          <w:spacing w:val="-12"/>
          <w:sz w:val="20"/>
        </w:rPr>
        <w:t> </w:t>
      </w:r>
      <w:r>
        <w:rPr>
          <w:sz w:val="20"/>
        </w:rPr>
        <w:t>currently</w:t>
      </w:r>
      <w:r>
        <w:rPr>
          <w:spacing w:val="-14"/>
          <w:sz w:val="20"/>
        </w:rPr>
        <w:t> </w:t>
      </w:r>
      <w:r>
        <w:rPr>
          <w:sz w:val="20"/>
        </w:rPr>
        <w:t>assumes</w:t>
      </w:r>
      <w:r>
        <w:rPr>
          <w:spacing w:val="-10"/>
          <w:sz w:val="20"/>
        </w:rPr>
        <w:t> </w:t>
      </w:r>
      <w:r>
        <w:rPr>
          <w:sz w:val="20"/>
        </w:rPr>
        <w:t>that</w:t>
      </w:r>
      <w:r>
        <w:rPr>
          <w:spacing w:val="-11"/>
          <w:sz w:val="20"/>
        </w:rPr>
        <w:t> </w:t>
      </w:r>
      <w:r>
        <w:rPr>
          <w:sz w:val="20"/>
        </w:rPr>
        <w:t>distribution</w:t>
      </w:r>
      <w:r>
        <w:rPr>
          <w:spacing w:val="-9"/>
          <w:sz w:val="20"/>
        </w:rPr>
        <w:t> </w:t>
      </w:r>
      <w:r>
        <w:rPr>
          <w:sz w:val="20"/>
        </w:rPr>
        <w:t>and</w:t>
      </w:r>
      <w:r>
        <w:rPr>
          <w:spacing w:val="-12"/>
          <w:sz w:val="20"/>
        </w:rPr>
        <w:t> </w:t>
      </w:r>
      <w:r>
        <w:rPr>
          <w:sz w:val="20"/>
        </w:rPr>
        <w:t>marketing</w:t>
      </w:r>
      <w:r>
        <w:rPr>
          <w:spacing w:val="-12"/>
          <w:sz w:val="20"/>
        </w:rPr>
        <w:t> </w:t>
      </w:r>
      <w:r>
        <w:rPr>
          <w:sz w:val="20"/>
        </w:rPr>
        <w:t>activities</w:t>
      </w:r>
      <w:r>
        <w:rPr>
          <w:spacing w:val="-7"/>
          <w:sz w:val="20"/>
        </w:rPr>
        <w:t> </w:t>
      </w:r>
      <w:r>
        <w:rPr>
          <w:sz w:val="20"/>
        </w:rPr>
        <w:t>would</w:t>
      </w:r>
      <w:r>
        <w:rPr>
          <w:spacing w:val="-9"/>
          <w:sz w:val="20"/>
        </w:rPr>
        <w:t> </w:t>
      </w:r>
      <w:r>
        <w:rPr>
          <w:sz w:val="20"/>
        </w:rPr>
        <w:t>be</w:t>
      </w:r>
      <w:r>
        <w:rPr>
          <w:spacing w:val="-10"/>
          <w:sz w:val="20"/>
        </w:rPr>
        <w:t> </w:t>
      </w:r>
      <w:r>
        <w:rPr>
          <w:sz w:val="20"/>
        </w:rPr>
        <w:t>identified</w:t>
      </w:r>
      <w:r>
        <w:rPr>
          <w:spacing w:val="-10"/>
          <w:sz w:val="20"/>
        </w:rPr>
        <w:t> </w:t>
      </w:r>
      <w:r>
        <w:rPr>
          <w:sz w:val="20"/>
        </w:rPr>
        <w:t>as</w:t>
      </w:r>
      <w:r>
        <w:rPr>
          <w:spacing w:val="-8"/>
          <w:sz w:val="20"/>
        </w:rPr>
        <w:t> </w:t>
      </w:r>
      <w:r>
        <w:rPr>
          <w:sz w:val="20"/>
        </w:rPr>
        <w:t>in</w:t>
      </w:r>
      <w:r>
        <w:rPr>
          <w:spacing w:val="-11"/>
          <w:sz w:val="20"/>
        </w:rPr>
        <w:t> </w:t>
      </w:r>
      <w:r>
        <w:rPr>
          <w:sz w:val="20"/>
        </w:rPr>
        <w:t>scope</w:t>
      </w:r>
      <w:r>
        <w:rPr>
          <w:spacing w:val="-10"/>
          <w:sz w:val="20"/>
        </w:rPr>
        <w:t> </w:t>
      </w:r>
      <w:r>
        <w:rPr>
          <w:sz w:val="20"/>
        </w:rPr>
        <w:t>based on a narrow scope of baseline activities, set by reference to a defined ‘positive list’ and ‘negative list’ of activities that should and should not be performed to be considered as in scope. Quantitative indicators would then be applied to further support and validate the identification of in-scope distributors. Pending further</w:t>
      </w:r>
      <w:r>
        <w:rPr>
          <w:spacing w:val="-8"/>
          <w:sz w:val="20"/>
        </w:rPr>
        <w:t> </w:t>
      </w:r>
      <w:r>
        <w:rPr>
          <w:sz w:val="20"/>
        </w:rPr>
        <w:t>technical</w:t>
      </w:r>
      <w:r>
        <w:rPr>
          <w:spacing w:val="-6"/>
          <w:sz w:val="20"/>
        </w:rPr>
        <w:t> </w:t>
      </w:r>
      <w:r>
        <w:rPr>
          <w:sz w:val="20"/>
        </w:rPr>
        <w:t>work</w:t>
      </w:r>
      <w:r>
        <w:rPr>
          <w:spacing w:val="-5"/>
          <w:sz w:val="20"/>
        </w:rPr>
        <w:t> </w:t>
      </w:r>
      <w:r>
        <w:rPr>
          <w:sz w:val="20"/>
        </w:rPr>
        <w:t>to</w:t>
      </w:r>
      <w:r>
        <w:rPr>
          <w:spacing w:val="-7"/>
          <w:sz w:val="20"/>
        </w:rPr>
        <w:t> </w:t>
      </w:r>
      <w:r>
        <w:rPr>
          <w:sz w:val="20"/>
        </w:rPr>
        <w:t>be</w:t>
      </w:r>
      <w:r>
        <w:rPr>
          <w:spacing w:val="-5"/>
          <w:sz w:val="20"/>
        </w:rPr>
        <w:t> </w:t>
      </w:r>
      <w:r>
        <w:rPr>
          <w:sz w:val="20"/>
        </w:rPr>
        <w:t>performed,</w:t>
      </w:r>
      <w:r>
        <w:rPr>
          <w:spacing w:val="-8"/>
          <w:sz w:val="20"/>
        </w:rPr>
        <w:t> </w:t>
      </w:r>
      <w:r>
        <w:rPr>
          <w:sz w:val="20"/>
        </w:rPr>
        <w:t>it</w:t>
      </w:r>
      <w:r>
        <w:rPr>
          <w:spacing w:val="-7"/>
          <w:sz w:val="20"/>
        </w:rPr>
        <w:t> </w:t>
      </w:r>
      <w:r>
        <w:rPr>
          <w:sz w:val="20"/>
        </w:rPr>
        <w:t>is</w:t>
      </w:r>
      <w:r>
        <w:rPr>
          <w:spacing w:val="-5"/>
          <w:sz w:val="20"/>
        </w:rPr>
        <w:t> </w:t>
      </w:r>
      <w:r>
        <w:rPr>
          <w:sz w:val="20"/>
        </w:rPr>
        <w:t>anticipated</w:t>
      </w:r>
      <w:r>
        <w:rPr>
          <w:spacing w:val="-9"/>
          <w:sz w:val="20"/>
        </w:rPr>
        <w:t> </w:t>
      </w:r>
      <w:r>
        <w:rPr>
          <w:sz w:val="20"/>
        </w:rPr>
        <w:t>that</w:t>
      </w:r>
      <w:r>
        <w:rPr>
          <w:spacing w:val="-1"/>
          <w:sz w:val="20"/>
        </w:rPr>
        <w:t> </w:t>
      </w:r>
      <w:r>
        <w:rPr>
          <w:sz w:val="20"/>
        </w:rPr>
        <w:t>Amount</w:t>
      </w:r>
      <w:r>
        <w:rPr>
          <w:spacing w:val="-6"/>
          <w:sz w:val="20"/>
        </w:rPr>
        <w:t> </w:t>
      </w:r>
      <w:r>
        <w:rPr>
          <w:sz w:val="20"/>
        </w:rPr>
        <w:t>B</w:t>
      </w:r>
      <w:r>
        <w:rPr>
          <w:spacing w:val="-9"/>
          <w:sz w:val="20"/>
        </w:rPr>
        <w:t> </w:t>
      </w:r>
      <w:r>
        <w:rPr>
          <w:sz w:val="20"/>
        </w:rPr>
        <w:t>could</w:t>
      </w:r>
      <w:r>
        <w:rPr>
          <w:spacing w:val="-6"/>
          <w:sz w:val="20"/>
        </w:rPr>
        <w:t> </w:t>
      </w:r>
      <w:r>
        <w:rPr>
          <w:sz w:val="20"/>
        </w:rPr>
        <w:t>be</w:t>
      </w:r>
      <w:r>
        <w:rPr>
          <w:spacing w:val="-7"/>
          <w:sz w:val="20"/>
        </w:rPr>
        <w:t> </w:t>
      </w:r>
      <w:r>
        <w:rPr>
          <w:sz w:val="20"/>
        </w:rPr>
        <w:t>based</w:t>
      </w:r>
      <w:r>
        <w:rPr>
          <w:spacing w:val="-6"/>
          <w:sz w:val="20"/>
        </w:rPr>
        <w:t> </w:t>
      </w:r>
      <w:r>
        <w:rPr>
          <w:sz w:val="20"/>
        </w:rPr>
        <w:t>on</w:t>
      </w:r>
      <w:r>
        <w:rPr>
          <w:spacing w:val="-7"/>
          <w:sz w:val="20"/>
        </w:rPr>
        <w:t> </w:t>
      </w:r>
      <w:r>
        <w:rPr>
          <w:sz w:val="20"/>
        </w:rPr>
        <w:t>a</w:t>
      </w:r>
      <w:r>
        <w:rPr>
          <w:spacing w:val="-9"/>
          <w:sz w:val="20"/>
        </w:rPr>
        <w:t> </w:t>
      </w:r>
      <w:r>
        <w:rPr>
          <w:sz w:val="20"/>
        </w:rPr>
        <w:t>return</w:t>
      </w:r>
      <w:r>
        <w:rPr>
          <w:spacing w:val="-7"/>
          <w:sz w:val="20"/>
        </w:rPr>
        <w:t> </w:t>
      </w:r>
      <w:r>
        <w:rPr>
          <w:sz w:val="20"/>
        </w:rPr>
        <w:t>on</w:t>
      </w:r>
      <w:r>
        <w:rPr>
          <w:spacing w:val="-6"/>
          <w:sz w:val="20"/>
        </w:rPr>
        <w:t> </w:t>
      </w:r>
      <w:r>
        <w:rPr>
          <w:sz w:val="20"/>
        </w:rPr>
        <w:t>sales, together</w:t>
      </w:r>
      <w:r>
        <w:rPr>
          <w:spacing w:val="-5"/>
          <w:sz w:val="20"/>
        </w:rPr>
        <w:t> </w:t>
      </w:r>
      <w:r>
        <w:rPr>
          <w:sz w:val="20"/>
        </w:rPr>
        <w:t>with</w:t>
      </w:r>
      <w:r>
        <w:rPr>
          <w:spacing w:val="-5"/>
          <w:sz w:val="20"/>
        </w:rPr>
        <w:t> </w:t>
      </w:r>
      <w:r>
        <w:rPr>
          <w:sz w:val="20"/>
        </w:rPr>
        <w:t>potentially</w:t>
      </w:r>
      <w:r>
        <w:rPr>
          <w:spacing w:val="-8"/>
          <w:sz w:val="20"/>
        </w:rPr>
        <w:t> </w:t>
      </w:r>
      <w:r>
        <w:rPr>
          <w:sz w:val="20"/>
        </w:rPr>
        <w:t>differentiated</w:t>
      </w:r>
      <w:r>
        <w:rPr>
          <w:spacing w:val="-8"/>
          <w:sz w:val="20"/>
        </w:rPr>
        <w:t> </w:t>
      </w:r>
      <w:r>
        <w:rPr>
          <w:sz w:val="20"/>
        </w:rPr>
        <w:t>fixed</w:t>
      </w:r>
      <w:r>
        <w:rPr>
          <w:spacing w:val="-6"/>
          <w:sz w:val="20"/>
        </w:rPr>
        <w:t> </w:t>
      </w:r>
      <w:r>
        <w:rPr>
          <w:sz w:val="20"/>
        </w:rPr>
        <w:t>returns</w:t>
      </w:r>
      <w:r>
        <w:rPr>
          <w:spacing w:val="-7"/>
          <w:sz w:val="20"/>
        </w:rPr>
        <w:t> </w:t>
      </w:r>
      <w:r>
        <w:rPr>
          <w:sz w:val="20"/>
        </w:rPr>
        <w:t>to</w:t>
      </w:r>
      <w:r>
        <w:rPr>
          <w:spacing w:val="-6"/>
          <w:sz w:val="20"/>
        </w:rPr>
        <w:t> </w:t>
      </w:r>
      <w:r>
        <w:rPr>
          <w:sz w:val="20"/>
        </w:rPr>
        <w:t>account</w:t>
      </w:r>
      <w:r>
        <w:rPr>
          <w:spacing w:val="-8"/>
          <w:sz w:val="20"/>
        </w:rPr>
        <w:t> </w:t>
      </w:r>
      <w:r>
        <w:rPr>
          <w:sz w:val="20"/>
        </w:rPr>
        <w:t>for</w:t>
      </w:r>
      <w:r>
        <w:rPr>
          <w:spacing w:val="-7"/>
          <w:sz w:val="20"/>
        </w:rPr>
        <w:t> </w:t>
      </w:r>
      <w:r>
        <w:rPr>
          <w:sz w:val="20"/>
        </w:rPr>
        <w:t>the</w:t>
      </w:r>
      <w:r>
        <w:rPr>
          <w:spacing w:val="-6"/>
          <w:sz w:val="20"/>
        </w:rPr>
        <w:t> </w:t>
      </w:r>
      <w:r>
        <w:rPr>
          <w:sz w:val="20"/>
        </w:rPr>
        <w:t>different</w:t>
      </w:r>
      <w:r>
        <w:rPr>
          <w:spacing w:val="-5"/>
          <w:sz w:val="20"/>
        </w:rPr>
        <w:t> </w:t>
      </w:r>
      <w:r>
        <w:rPr>
          <w:sz w:val="20"/>
        </w:rPr>
        <w:t>geographic</w:t>
      </w:r>
      <w:r>
        <w:rPr>
          <w:spacing w:val="-6"/>
          <w:sz w:val="20"/>
        </w:rPr>
        <w:t> </w:t>
      </w:r>
      <w:r>
        <w:rPr>
          <w:sz w:val="20"/>
        </w:rPr>
        <w:t>locations</w:t>
      </w:r>
      <w:r>
        <w:rPr>
          <w:spacing w:val="-5"/>
          <w:sz w:val="20"/>
        </w:rPr>
        <w:t> </w:t>
      </w:r>
      <w:r>
        <w:rPr>
          <w:sz w:val="20"/>
        </w:rPr>
        <w:t>and/or</w:t>
      </w:r>
    </w:p>
    <w:p>
      <w:pPr>
        <w:pStyle w:val="BodyText"/>
        <w:spacing w:before="6"/>
        <w:rPr>
          <w:sz w:val="10"/>
        </w:rPr>
      </w:pPr>
      <w:r>
        <w:rPr/>
        <w:pict>
          <v:rect style="position:absolute;margin-left:65.183998pt;margin-top:8.013106pt;width:144.020004pt;height:.599980pt;mso-position-horizontal-relative:page;mso-position-vertical-relative:paragraph;z-index:-15650816;mso-wrap-distance-left:0;mso-wrap-distance-right:0" filled="true" fillcolor="#000000" stroked="false">
            <v:fill type="solid"/>
            <w10:wrap type="topAndBottom"/>
          </v:rect>
        </w:pict>
      </w:r>
    </w:p>
    <w:p>
      <w:pPr>
        <w:pStyle w:val="BodyText"/>
        <w:spacing w:before="7"/>
        <w:rPr>
          <w:sz w:val="18"/>
        </w:rPr>
      </w:pPr>
    </w:p>
    <w:p>
      <w:pPr>
        <w:spacing w:line="278" w:lineRule="auto" w:before="96"/>
        <w:ind w:left="865" w:right="576" w:firstLine="0"/>
        <w:jc w:val="both"/>
        <w:rPr>
          <w:sz w:val="18"/>
        </w:rPr>
      </w:pPr>
      <w:r>
        <w:rPr>
          <w:position w:val="6"/>
          <w:sz w:val="13"/>
        </w:rPr>
        <w:t>123 </w:t>
      </w:r>
      <w:r>
        <w:rPr>
          <w:sz w:val="18"/>
        </w:rPr>
        <w:t>In the past, these concerns led to the work on business restructurings, which provides tax administrations and MNE</w:t>
      </w:r>
      <w:r>
        <w:rPr>
          <w:spacing w:val="-16"/>
          <w:sz w:val="18"/>
        </w:rPr>
        <w:t> </w:t>
      </w:r>
      <w:r>
        <w:rPr>
          <w:sz w:val="18"/>
        </w:rPr>
        <w:t>groups</w:t>
      </w:r>
      <w:r>
        <w:rPr>
          <w:spacing w:val="-13"/>
          <w:sz w:val="18"/>
        </w:rPr>
        <w:t> </w:t>
      </w:r>
      <w:r>
        <w:rPr>
          <w:sz w:val="18"/>
        </w:rPr>
        <w:t>with</w:t>
      </w:r>
      <w:r>
        <w:rPr>
          <w:spacing w:val="-14"/>
          <w:sz w:val="18"/>
        </w:rPr>
        <w:t> </w:t>
      </w:r>
      <w:r>
        <w:rPr>
          <w:sz w:val="18"/>
        </w:rPr>
        <w:t>a</w:t>
      </w:r>
      <w:r>
        <w:rPr>
          <w:spacing w:val="-16"/>
          <w:sz w:val="18"/>
        </w:rPr>
        <w:t> </w:t>
      </w:r>
      <w:r>
        <w:rPr>
          <w:sz w:val="18"/>
        </w:rPr>
        <w:t>framework</w:t>
      </w:r>
      <w:r>
        <w:rPr>
          <w:spacing w:val="-13"/>
          <w:sz w:val="18"/>
        </w:rPr>
        <w:t> </w:t>
      </w:r>
      <w:r>
        <w:rPr>
          <w:sz w:val="18"/>
        </w:rPr>
        <w:t>to</w:t>
      </w:r>
      <w:r>
        <w:rPr>
          <w:spacing w:val="-15"/>
          <w:sz w:val="18"/>
        </w:rPr>
        <w:t> </w:t>
      </w:r>
      <w:r>
        <w:rPr>
          <w:sz w:val="18"/>
        </w:rPr>
        <w:t>analyse</w:t>
      </w:r>
      <w:r>
        <w:rPr>
          <w:spacing w:val="-14"/>
          <w:sz w:val="18"/>
        </w:rPr>
        <w:t> </w:t>
      </w:r>
      <w:r>
        <w:rPr>
          <w:sz w:val="18"/>
        </w:rPr>
        <w:t>and</w:t>
      </w:r>
      <w:r>
        <w:rPr>
          <w:spacing w:val="-15"/>
          <w:sz w:val="18"/>
        </w:rPr>
        <w:t> </w:t>
      </w:r>
      <w:r>
        <w:rPr>
          <w:sz w:val="18"/>
        </w:rPr>
        <w:t>price</w:t>
      </w:r>
      <w:r>
        <w:rPr>
          <w:spacing w:val="-16"/>
          <w:sz w:val="18"/>
        </w:rPr>
        <w:t> </w:t>
      </w:r>
      <w:r>
        <w:rPr>
          <w:sz w:val="18"/>
        </w:rPr>
        <w:t>arrangements</w:t>
      </w:r>
      <w:r>
        <w:rPr>
          <w:spacing w:val="-13"/>
          <w:sz w:val="18"/>
        </w:rPr>
        <w:t> </w:t>
      </w:r>
      <w:r>
        <w:rPr>
          <w:sz w:val="18"/>
        </w:rPr>
        <w:t>resulting</w:t>
      </w:r>
      <w:r>
        <w:rPr>
          <w:spacing w:val="-15"/>
          <w:sz w:val="18"/>
        </w:rPr>
        <w:t> </w:t>
      </w:r>
      <w:r>
        <w:rPr>
          <w:sz w:val="18"/>
        </w:rPr>
        <w:t>from</w:t>
      </w:r>
      <w:r>
        <w:rPr>
          <w:spacing w:val="-13"/>
          <w:sz w:val="18"/>
        </w:rPr>
        <w:t> </w:t>
      </w:r>
      <w:r>
        <w:rPr>
          <w:sz w:val="18"/>
        </w:rPr>
        <w:t>the</w:t>
      </w:r>
      <w:r>
        <w:rPr>
          <w:spacing w:val="-15"/>
          <w:sz w:val="18"/>
        </w:rPr>
        <w:t> </w:t>
      </w:r>
      <w:r>
        <w:rPr>
          <w:sz w:val="18"/>
        </w:rPr>
        <w:t>restructuring</w:t>
      </w:r>
      <w:r>
        <w:rPr>
          <w:spacing w:val="-14"/>
          <w:sz w:val="18"/>
        </w:rPr>
        <w:t> </w:t>
      </w:r>
      <w:r>
        <w:rPr>
          <w:sz w:val="18"/>
        </w:rPr>
        <w:t>of</w:t>
      </w:r>
      <w:r>
        <w:rPr>
          <w:spacing w:val="-16"/>
          <w:sz w:val="18"/>
        </w:rPr>
        <w:t> </w:t>
      </w:r>
      <w:r>
        <w:rPr>
          <w:sz w:val="18"/>
        </w:rPr>
        <w:t>an</w:t>
      </w:r>
      <w:r>
        <w:rPr>
          <w:spacing w:val="-15"/>
          <w:sz w:val="18"/>
        </w:rPr>
        <w:t> </w:t>
      </w:r>
      <w:r>
        <w:rPr>
          <w:sz w:val="18"/>
        </w:rPr>
        <w:t>MNE</w:t>
      </w:r>
      <w:r>
        <w:rPr>
          <w:spacing w:val="-7"/>
          <w:sz w:val="18"/>
        </w:rPr>
        <w:t> </w:t>
      </w:r>
      <w:r>
        <w:rPr>
          <w:sz w:val="18"/>
        </w:rPr>
        <w:t>group’s operations.</w:t>
      </w:r>
      <w:r>
        <w:rPr>
          <w:spacing w:val="-10"/>
          <w:sz w:val="18"/>
        </w:rPr>
        <w:t> </w:t>
      </w:r>
      <w:r>
        <w:rPr>
          <w:sz w:val="18"/>
        </w:rPr>
        <w:t>OECD</w:t>
      </w:r>
      <w:r>
        <w:rPr>
          <w:spacing w:val="-10"/>
          <w:sz w:val="18"/>
        </w:rPr>
        <w:t> </w:t>
      </w:r>
      <w:r>
        <w:rPr>
          <w:sz w:val="18"/>
        </w:rPr>
        <w:t>(2017),</w:t>
      </w:r>
      <w:r>
        <w:rPr>
          <w:spacing w:val="-7"/>
          <w:sz w:val="18"/>
        </w:rPr>
        <w:t> </w:t>
      </w:r>
      <w:r>
        <w:rPr>
          <w:i/>
          <w:sz w:val="18"/>
        </w:rPr>
        <w:t>OECD</w:t>
      </w:r>
      <w:r>
        <w:rPr>
          <w:i/>
          <w:spacing w:val="-10"/>
          <w:sz w:val="18"/>
        </w:rPr>
        <w:t> </w:t>
      </w:r>
      <w:r>
        <w:rPr>
          <w:i/>
          <w:sz w:val="18"/>
        </w:rPr>
        <w:t>Transfer</w:t>
      </w:r>
      <w:r>
        <w:rPr>
          <w:i/>
          <w:spacing w:val="-10"/>
          <w:sz w:val="18"/>
        </w:rPr>
        <w:t> </w:t>
      </w:r>
      <w:r>
        <w:rPr>
          <w:i/>
          <w:sz w:val="18"/>
        </w:rPr>
        <w:t>Pricing</w:t>
      </w:r>
      <w:r>
        <w:rPr>
          <w:i/>
          <w:spacing w:val="-9"/>
          <w:sz w:val="18"/>
        </w:rPr>
        <w:t> </w:t>
      </w:r>
      <w:r>
        <w:rPr>
          <w:i/>
          <w:sz w:val="18"/>
        </w:rPr>
        <w:t>Guidelines</w:t>
      </w:r>
      <w:r>
        <w:rPr>
          <w:i/>
          <w:spacing w:val="-8"/>
          <w:sz w:val="18"/>
        </w:rPr>
        <w:t> </w:t>
      </w:r>
      <w:r>
        <w:rPr>
          <w:i/>
          <w:sz w:val="18"/>
        </w:rPr>
        <w:t>for</w:t>
      </w:r>
      <w:r>
        <w:rPr>
          <w:i/>
          <w:spacing w:val="-9"/>
          <w:sz w:val="18"/>
        </w:rPr>
        <w:t> </w:t>
      </w:r>
      <w:r>
        <w:rPr>
          <w:i/>
          <w:sz w:val="18"/>
        </w:rPr>
        <w:t>Multinational</w:t>
      </w:r>
      <w:r>
        <w:rPr>
          <w:i/>
          <w:spacing w:val="-9"/>
          <w:sz w:val="18"/>
        </w:rPr>
        <w:t> </w:t>
      </w:r>
      <w:r>
        <w:rPr>
          <w:i/>
          <w:sz w:val="18"/>
        </w:rPr>
        <w:t>Enterprises</w:t>
      </w:r>
      <w:r>
        <w:rPr>
          <w:i/>
          <w:spacing w:val="-9"/>
          <w:sz w:val="18"/>
        </w:rPr>
        <w:t> </w:t>
      </w:r>
      <w:r>
        <w:rPr>
          <w:i/>
          <w:sz w:val="18"/>
        </w:rPr>
        <w:t>and</w:t>
      </w:r>
      <w:r>
        <w:rPr>
          <w:i/>
          <w:spacing w:val="-9"/>
          <w:sz w:val="18"/>
        </w:rPr>
        <w:t> </w:t>
      </w:r>
      <w:r>
        <w:rPr>
          <w:i/>
          <w:sz w:val="18"/>
        </w:rPr>
        <w:t>Tax</w:t>
      </w:r>
      <w:r>
        <w:rPr>
          <w:i/>
          <w:spacing w:val="-8"/>
          <w:sz w:val="18"/>
        </w:rPr>
        <w:t> </w:t>
      </w:r>
      <w:r>
        <w:rPr>
          <w:i/>
          <w:sz w:val="18"/>
        </w:rPr>
        <w:t>Administrations </w:t>
      </w:r>
      <w:r>
        <w:rPr>
          <w:i/>
          <w:sz w:val="18"/>
        </w:rPr>
        <w:t>2017, </w:t>
      </w:r>
      <w:r>
        <w:rPr>
          <w:sz w:val="18"/>
        </w:rPr>
        <w:t>Chapter IX “Transfer Pricing Aspects of Business</w:t>
      </w:r>
      <w:r>
        <w:rPr>
          <w:spacing w:val="-6"/>
          <w:sz w:val="18"/>
        </w:rPr>
        <w:t> </w:t>
      </w:r>
      <w:r>
        <w:rPr>
          <w:sz w:val="18"/>
        </w:rPr>
        <w:t>Restructurings”</w:t>
      </w:r>
    </w:p>
    <w:p>
      <w:pPr>
        <w:spacing w:line="278" w:lineRule="auto" w:before="107"/>
        <w:ind w:left="865" w:right="576" w:firstLine="0"/>
        <w:jc w:val="both"/>
        <w:rPr>
          <w:sz w:val="18"/>
        </w:rPr>
      </w:pPr>
      <w:r>
        <w:rPr>
          <w:position w:val="6"/>
          <w:sz w:val="13"/>
        </w:rPr>
        <w:t>124</w:t>
      </w:r>
      <w:r>
        <w:rPr>
          <w:spacing w:val="9"/>
          <w:position w:val="6"/>
          <w:sz w:val="13"/>
        </w:rPr>
        <w:t> </w:t>
      </w:r>
      <w:r>
        <w:rPr>
          <w:sz w:val="18"/>
        </w:rPr>
        <w:t>A</w:t>
      </w:r>
      <w:r>
        <w:rPr>
          <w:spacing w:val="-5"/>
          <w:sz w:val="18"/>
        </w:rPr>
        <w:t> </w:t>
      </w:r>
      <w:r>
        <w:rPr>
          <w:sz w:val="18"/>
        </w:rPr>
        <w:t>‘narrow</w:t>
      </w:r>
      <w:r>
        <w:rPr>
          <w:spacing w:val="-6"/>
          <w:sz w:val="18"/>
        </w:rPr>
        <w:t> </w:t>
      </w:r>
      <w:r>
        <w:rPr>
          <w:sz w:val="18"/>
        </w:rPr>
        <w:t>scope’</w:t>
      </w:r>
      <w:r>
        <w:rPr>
          <w:spacing w:val="-4"/>
          <w:sz w:val="18"/>
        </w:rPr>
        <w:t> </w:t>
      </w:r>
      <w:r>
        <w:rPr>
          <w:sz w:val="18"/>
        </w:rPr>
        <w:t>would</w:t>
      </w:r>
      <w:r>
        <w:rPr>
          <w:spacing w:val="-3"/>
          <w:sz w:val="18"/>
        </w:rPr>
        <w:t> </w:t>
      </w:r>
      <w:r>
        <w:rPr>
          <w:sz w:val="18"/>
        </w:rPr>
        <w:t>standardise</w:t>
      </w:r>
      <w:r>
        <w:rPr>
          <w:spacing w:val="-4"/>
          <w:sz w:val="18"/>
        </w:rPr>
        <w:t> </w:t>
      </w:r>
      <w:r>
        <w:rPr>
          <w:sz w:val="18"/>
        </w:rPr>
        <w:t>the</w:t>
      </w:r>
      <w:r>
        <w:rPr>
          <w:spacing w:val="-4"/>
          <w:sz w:val="18"/>
        </w:rPr>
        <w:t> </w:t>
      </w:r>
      <w:r>
        <w:rPr>
          <w:sz w:val="18"/>
        </w:rPr>
        <w:t>return</w:t>
      </w:r>
      <w:r>
        <w:rPr>
          <w:spacing w:val="-3"/>
          <w:sz w:val="18"/>
        </w:rPr>
        <w:t> </w:t>
      </w:r>
      <w:r>
        <w:rPr>
          <w:sz w:val="18"/>
        </w:rPr>
        <w:t>for</w:t>
      </w:r>
      <w:r>
        <w:rPr>
          <w:spacing w:val="-4"/>
          <w:sz w:val="18"/>
        </w:rPr>
        <w:t> </w:t>
      </w:r>
      <w:r>
        <w:rPr>
          <w:sz w:val="18"/>
        </w:rPr>
        <w:t>a</w:t>
      </w:r>
      <w:r>
        <w:rPr>
          <w:spacing w:val="-4"/>
          <w:sz w:val="18"/>
        </w:rPr>
        <w:t> </w:t>
      </w:r>
      <w:r>
        <w:rPr>
          <w:sz w:val="18"/>
        </w:rPr>
        <w:t>more</w:t>
      </w:r>
      <w:r>
        <w:rPr>
          <w:spacing w:val="-3"/>
          <w:sz w:val="18"/>
        </w:rPr>
        <w:t> </w:t>
      </w:r>
      <w:r>
        <w:rPr>
          <w:sz w:val="18"/>
        </w:rPr>
        <w:t>limited</w:t>
      </w:r>
      <w:r>
        <w:rPr>
          <w:spacing w:val="-4"/>
          <w:sz w:val="18"/>
        </w:rPr>
        <w:t> </w:t>
      </w:r>
      <w:r>
        <w:rPr>
          <w:sz w:val="18"/>
        </w:rPr>
        <w:t>and</w:t>
      </w:r>
      <w:r>
        <w:rPr>
          <w:spacing w:val="-3"/>
          <w:sz w:val="18"/>
        </w:rPr>
        <w:t> </w:t>
      </w:r>
      <w:r>
        <w:rPr>
          <w:sz w:val="18"/>
        </w:rPr>
        <w:t>narrower</w:t>
      </w:r>
      <w:r>
        <w:rPr>
          <w:spacing w:val="-4"/>
          <w:sz w:val="18"/>
        </w:rPr>
        <w:t> </w:t>
      </w:r>
      <w:r>
        <w:rPr>
          <w:sz w:val="18"/>
        </w:rPr>
        <w:t>range</w:t>
      </w:r>
      <w:r>
        <w:rPr>
          <w:spacing w:val="-4"/>
          <w:sz w:val="18"/>
        </w:rPr>
        <w:t> </w:t>
      </w:r>
      <w:r>
        <w:rPr>
          <w:sz w:val="18"/>
        </w:rPr>
        <w:t>of</w:t>
      </w:r>
      <w:r>
        <w:rPr>
          <w:spacing w:val="-3"/>
          <w:sz w:val="18"/>
        </w:rPr>
        <w:t> </w:t>
      </w:r>
      <w:r>
        <w:rPr>
          <w:sz w:val="18"/>
        </w:rPr>
        <w:t>baseline</w:t>
      </w:r>
      <w:r>
        <w:rPr>
          <w:spacing w:val="-4"/>
          <w:sz w:val="18"/>
        </w:rPr>
        <w:t> </w:t>
      </w:r>
      <w:r>
        <w:rPr>
          <w:sz w:val="18"/>
        </w:rPr>
        <w:t>marketing</w:t>
      </w:r>
      <w:r>
        <w:rPr>
          <w:spacing w:val="-4"/>
          <w:sz w:val="18"/>
        </w:rPr>
        <w:t> </w:t>
      </w:r>
      <w:r>
        <w:rPr>
          <w:sz w:val="18"/>
        </w:rPr>
        <w:t>and distribution activities and would not seek to address the standardisation of the remuneration for distributors performing other activities, whether performing more value-add activities, assuming greater risks or (in particular) undertaking</w:t>
      </w:r>
      <w:r>
        <w:rPr>
          <w:spacing w:val="-8"/>
          <w:sz w:val="18"/>
        </w:rPr>
        <w:t> </w:t>
      </w:r>
      <w:r>
        <w:rPr>
          <w:sz w:val="18"/>
        </w:rPr>
        <w:t>less</w:t>
      </w:r>
      <w:r>
        <w:rPr>
          <w:spacing w:val="-4"/>
          <w:sz w:val="18"/>
        </w:rPr>
        <w:t> </w:t>
      </w:r>
      <w:r>
        <w:rPr>
          <w:sz w:val="18"/>
        </w:rPr>
        <w:t>than</w:t>
      </w:r>
      <w:r>
        <w:rPr>
          <w:spacing w:val="-7"/>
          <w:sz w:val="18"/>
        </w:rPr>
        <w:t> </w:t>
      </w:r>
      <w:r>
        <w:rPr>
          <w:sz w:val="18"/>
        </w:rPr>
        <w:t>sufficient</w:t>
      </w:r>
      <w:r>
        <w:rPr>
          <w:spacing w:val="-6"/>
          <w:sz w:val="18"/>
        </w:rPr>
        <w:t> </w:t>
      </w:r>
      <w:r>
        <w:rPr>
          <w:sz w:val="18"/>
        </w:rPr>
        <w:t>baseline</w:t>
      </w:r>
      <w:r>
        <w:rPr>
          <w:spacing w:val="-5"/>
          <w:sz w:val="18"/>
        </w:rPr>
        <w:t> </w:t>
      </w:r>
      <w:r>
        <w:rPr>
          <w:sz w:val="18"/>
        </w:rPr>
        <w:t>activities.</w:t>
      </w:r>
      <w:r>
        <w:rPr>
          <w:spacing w:val="-3"/>
          <w:sz w:val="18"/>
        </w:rPr>
        <w:t> </w:t>
      </w:r>
      <w:r>
        <w:rPr>
          <w:sz w:val="18"/>
        </w:rPr>
        <w:t>Several</w:t>
      </w:r>
      <w:r>
        <w:rPr>
          <w:spacing w:val="-5"/>
          <w:sz w:val="18"/>
        </w:rPr>
        <w:t> </w:t>
      </w:r>
      <w:r>
        <w:rPr>
          <w:sz w:val="18"/>
        </w:rPr>
        <w:t>Inclusive</w:t>
      </w:r>
      <w:r>
        <w:rPr>
          <w:spacing w:val="-5"/>
          <w:sz w:val="18"/>
        </w:rPr>
        <w:t> </w:t>
      </w:r>
      <w:r>
        <w:rPr>
          <w:sz w:val="18"/>
        </w:rPr>
        <w:t>Framework</w:t>
      </w:r>
      <w:r>
        <w:rPr>
          <w:spacing w:val="-8"/>
          <w:sz w:val="18"/>
        </w:rPr>
        <w:t> </w:t>
      </w:r>
      <w:r>
        <w:rPr>
          <w:sz w:val="18"/>
        </w:rPr>
        <w:t>members</w:t>
      </w:r>
      <w:r>
        <w:rPr>
          <w:spacing w:val="-4"/>
          <w:sz w:val="18"/>
        </w:rPr>
        <w:t> </w:t>
      </w:r>
      <w:r>
        <w:rPr>
          <w:sz w:val="18"/>
        </w:rPr>
        <w:t>favour</w:t>
      </w:r>
      <w:r>
        <w:rPr>
          <w:spacing w:val="-5"/>
          <w:sz w:val="18"/>
        </w:rPr>
        <w:t> </w:t>
      </w:r>
      <w:r>
        <w:rPr>
          <w:sz w:val="18"/>
        </w:rPr>
        <w:t>a</w:t>
      </w:r>
      <w:r>
        <w:rPr>
          <w:spacing w:val="-6"/>
          <w:sz w:val="18"/>
        </w:rPr>
        <w:t> </w:t>
      </w:r>
      <w:r>
        <w:rPr>
          <w:sz w:val="18"/>
        </w:rPr>
        <w:t>broader</w:t>
      </w:r>
      <w:r>
        <w:rPr>
          <w:spacing w:val="-5"/>
          <w:sz w:val="18"/>
        </w:rPr>
        <w:t> </w:t>
      </w:r>
      <w:r>
        <w:rPr>
          <w:sz w:val="18"/>
        </w:rPr>
        <w:t>scope, including a broader range of marketing and distribution activities. Further technical work will be performed to address this</w:t>
      </w:r>
      <w:r>
        <w:rPr>
          <w:spacing w:val="1"/>
          <w:sz w:val="18"/>
        </w:rPr>
        <w:t> </w:t>
      </w:r>
      <w:r>
        <w:rPr>
          <w:sz w:val="18"/>
        </w:rPr>
        <w:t>concern.</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37"/>
        <w:jc w:val="both"/>
      </w:pPr>
      <w:r>
        <w:rPr/>
        <w:t>industries of the in-scope distributors. Further technical work is also required to both define the precise calculation</w:t>
      </w:r>
      <w:r>
        <w:rPr>
          <w:spacing w:val="-17"/>
        </w:rPr>
        <w:t> </w:t>
      </w:r>
      <w:r>
        <w:rPr/>
        <w:t>of</w:t>
      </w:r>
      <w:r>
        <w:rPr>
          <w:spacing w:val="-14"/>
        </w:rPr>
        <w:t> </w:t>
      </w:r>
      <w:r>
        <w:rPr/>
        <w:t>the</w:t>
      </w:r>
      <w:r>
        <w:rPr>
          <w:spacing w:val="-17"/>
        </w:rPr>
        <w:t> </w:t>
      </w:r>
      <w:r>
        <w:rPr/>
        <w:t>return</w:t>
      </w:r>
      <w:r>
        <w:rPr>
          <w:spacing w:val="-17"/>
        </w:rPr>
        <w:t> </w:t>
      </w:r>
      <w:r>
        <w:rPr/>
        <w:t>on</w:t>
      </w:r>
      <w:r>
        <w:rPr>
          <w:spacing w:val="-16"/>
        </w:rPr>
        <w:t> </w:t>
      </w:r>
      <w:r>
        <w:rPr/>
        <w:t>sales</w:t>
      </w:r>
      <w:r>
        <w:rPr>
          <w:spacing w:val="-15"/>
        </w:rPr>
        <w:t> </w:t>
      </w:r>
      <w:r>
        <w:rPr/>
        <w:t>and</w:t>
      </w:r>
      <w:r>
        <w:rPr>
          <w:spacing w:val="-17"/>
        </w:rPr>
        <w:t> </w:t>
      </w:r>
      <w:r>
        <w:rPr/>
        <w:t>the</w:t>
      </w:r>
      <w:r>
        <w:rPr>
          <w:spacing w:val="-14"/>
        </w:rPr>
        <w:t> </w:t>
      </w:r>
      <w:r>
        <w:rPr/>
        <w:t>in-scope</w:t>
      </w:r>
      <w:r>
        <w:rPr>
          <w:spacing w:val="-16"/>
        </w:rPr>
        <w:t> </w:t>
      </w:r>
      <w:r>
        <w:rPr/>
        <w:t>geographic</w:t>
      </w:r>
      <w:r>
        <w:rPr>
          <w:spacing w:val="-16"/>
        </w:rPr>
        <w:t> </w:t>
      </w:r>
      <w:r>
        <w:rPr/>
        <w:t>locations</w:t>
      </w:r>
      <w:r>
        <w:rPr>
          <w:spacing w:val="-15"/>
        </w:rPr>
        <w:t> </w:t>
      </w:r>
      <w:r>
        <w:rPr/>
        <w:t>and</w:t>
      </w:r>
      <w:r>
        <w:rPr>
          <w:spacing w:val="-16"/>
        </w:rPr>
        <w:t> </w:t>
      </w:r>
      <w:r>
        <w:rPr/>
        <w:t>industries.</w:t>
      </w:r>
      <w:r>
        <w:rPr>
          <w:spacing w:val="-12"/>
        </w:rPr>
        <w:t> </w:t>
      </w:r>
      <w:r>
        <w:rPr/>
        <w:t>But</w:t>
      </w:r>
      <w:r>
        <w:rPr>
          <w:spacing w:val="-16"/>
        </w:rPr>
        <w:t> </w:t>
      </w:r>
      <w:r>
        <w:rPr/>
        <w:t>given</w:t>
      </w:r>
      <w:r>
        <w:rPr>
          <w:spacing w:val="-18"/>
        </w:rPr>
        <w:t> </w:t>
      </w:r>
      <w:r>
        <w:rPr/>
        <w:t>the</w:t>
      </w:r>
      <w:r>
        <w:rPr>
          <w:spacing w:val="-16"/>
        </w:rPr>
        <w:t> </w:t>
      </w:r>
      <w:r>
        <w:rPr/>
        <w:t>narrow scope of Amount B, there is currently no provision for Amount B to increase with the functional intensity of the activities of in-scope distributors.</w:t>
      </w:r>
      <w:r>
        <w:rPr>
          <w:vertAlign w:val="superscript"/>
        </w:rPr>
        <w:t>125</w:t>
      </w:r>
      <w:r>
        <w:rPr>
          <w:vertAlign w:val="baseline"/>
        </w:rPr>
        <w:t> Finally, Amount B would not supersede advanced pricing agreements (APAs) or MAP settlements agreed before the implementation of Amount</w:t>
      </w:r>
      <w:r>
        <w:rPr>
          <w:spacing w:val="-7"/>
          <w:vertAlign w:val="baseline"/>
        </w:rPr>
        <w:t> </w:t>
      </w:r>
      <w:r>
        <w:rPr>
          <w:vertAlign w:val="baseline"/>
        </w:rPr>
        <w:t>B.</w:t>
      </w:r>
    </w:p>
    <w:p>
      <w:pPr>
        <w:pStyle w:val="ListParagraph"/>
        <w:numPr>
          <w:ilvl w:val="0"/>
          <w:numId w:val="13"/>
        </w:numPr>
        <w:tabs>
          <w:tab w:pos="1444" w:val="left" w:leader="none"/>
        </w:tabs>
        <w:spacing w:line="271" w:lineRule="auto" w:before="119" w:after="0"/>
        <w:ind w:left="723" w:right="437" w:firstLine="0"/>
        <w:jc w:val="both"/>
        <w:rPr>
          <w:sz w:val="20"/>
        </w:rPr>
      </w:pPr>
      <w:r>
        <w:rPr>
          <w:color w:val="3D3D3D"/>
          <w:sz w:val="20"/>
        </w:rPr>
        <w:t>Under one proposal, the implementation of Amount B would operate under a rebuttable presumption: namely that an entity that acts as a buy/sell distributor and performs the defined baseline marketing and distribution activities qualifying for the Amount B fixed return would render it in scope – but that it will be possible to rebut the application of Amount B by providing evidence that another transfer pricing</w:t>
      </w:r>
      <w:r>
        <w:rPr>
          <w:color w:val="3D3D3D"/>
          <w:spacing w:val="-11"/>
          <w:sz w:val="20"/>
        </w:rPr>
        <w:t> </w:t>
      </w:r>
      <w:r>
        <w:rPr>
          <w:color w:val="3D3D3D"/>
          <w:sz w:val="20"/>
        </w:rPr>
        <w:t>method</w:t>
      </w:r>
      <w:r>
        <w:rPr>
          <w:color w:val="3D3D3D"/>
          <w:spacing w:val="-8"/>
          <w:sz w:val="20"/>
        </w:rPr>
        <w:t> </w:t>
      </w:r>
      <w:r>
        <w:rPr>
          <w:color w:val="3D3D3D"/>
          <w:sz w:val="20"/>
        </w:rPr>
        <w:t>would</w:t>
      </w:r>
      <w:r>
        <w:rPr>
          <w:color w:val="3D3D3D"/>
          <w:spacing w:val="-8"/>
          <w:sz w:val="20"/>
        </w:rPr>
        <w:t> </w:t>
      </w:r>
      <w:r>
        <w:rPr>
          <w:color w:val="3D3D3D"/>
          <w:sz w:val="20"/>
        </w:rPr>
        <w:t>be</w:t>
      </w:r>
      <w:r>
        <w:rPr>
          <w:color w:val="3D3D3D"/>
          <w:spacing w:val="-10"/>
          <w:sz w:val="20"/>
        </w:rPr>
        <w:t> </w:t>
      </w:r>
      <w:r>
        <w:rPr>
          <w:color w:val="3D3D3D"/>
          <w:sz w:val="20"/>
        </w:rPr>
        <w:t>the</w:t>
      </w:r>
      <w:r>
        <w:rPr>
          <w:color w:val="3D3D3D"/>
          <w:spacing w:val="-11"/>
          <w:sz w:val="20"/>
        </w:rPr>
        <w:t> </w:t>
      </w:r>
      <w:r>
        <w:rPr>
          <w:color w:val="3D3D3D"/>
          <w:sz w:val="20"/>
        </w:rPr>
        <w:t>most</w:t>
      </w:r>
      <w:r>
        <w:rPr>
          <w:color w:val="3D3D3D"/>
          <w:spacing w:val="-10"/>
          <w:sz w:val="20"/>
        </w:rPr>
        <w:t> </w:t>
      </w:r>
      <w:r>
        <w:rPr>
          <w:color w:val="3D3D3D"/>
          <w:sz w:val="20"/>
        </w:rPr>
        <w:t>appropriate</w:t>
      </w:r>
      <w:r>
        <w:rPr>
          <w:color w:val="3D3D3D"/>
          <w:spacing w:val="-8"/>
          <w:sz w:val="20"/>
        </w:rPr>
        <w:t> </w:t>
      </w:r>
      <w:r>
        <w:rPr>
          <w:color w:val="3D3D3D"/>
          <w:sz w:val="20"/>
        </w:rPr>
        <w:t>to</w:t>
      </w:r>
      <w:r>
        <w:rPr>
          <w:color w:val="3D3D3D"/>
          <w:spacing w:val="-8"/>
          <w:sz w:val="20"/>
        </w:rPr>
        <w:t> </w:t>
      </w:r>
      <w:r>
        <w:rPr>
          <w:color w:val="3D3D3D"/>
          <w:sz w:val="20"/>
        </w:rPr>
        <w:t>use</w:t>
      </w:r>
      <w:r>
        <w:rPr>
          <w:color w:val="3D3D3D"/>
          <w:spacing w:val="-8"/>
          <w:sz w:val="20"/>
        </w:rPr>
        <w:t> </w:t>
      </w:r>
      <w:r>
        <w:rPr>
          <w:color w:val="3D3D3D"/>
          <w:sz w:val="20"/>
        </w:rPr>
        <w:t>under</w:t>
      </w:r>
      <w:r>
        <w:rPr>
          <w:color w:val="3D3D3D"/>
          <w:spacing w:val="-9"/>
          <w:sz w:val="20"/>
        </w:rPr>
        <w:t> </w:t>
      </w:r>
      <w:r>
        <w:rPr>
          <w:color w:val="3D3D3D"/>
          <w:sz w:val="20"/>
        </w:rPr>
        <w:t>the</w:t>
      </w:r>
      <w:r>
        <w:rPr>
          <w:color w:val="3D3D3D"/>
          <w:spacing w:val="-8"/>
          <w:sz w:val="20"/>
        </w:rPr>
        <w:t> </w:t>
      </w:r>
      <w:r>
        <w:rPr>
          <w:color w:val="3D3D3D"/>
          <w:sz w:val="20"/>
        </w:rPr>
        <w:t>ALP</w:t>
      </w:r>
      <w:r>
        <w:rPr>
          <w:sz w:val="20"/>
        </w:rPr>
        <w:t>.</w:t>
      </w:r>
      <w:r>
        <w:rPr>
          <w:sz w:val="20"/>
          <w:vertAlign w:val="superscript"/>
        </w:rPr>
        <w:t>126</w:t>
      </w:r>
      <w:r>
        <w:rPr>
          <w:spacing w:val="-11"/>
          <w:sz w:val="20"/>
          <w:vertAlign w:val="baseline"/>
        </w:rPr>
        <w:t> </w:t>
      </w:r>
      <w:r>
        <w:rPr>
          <w:sz w:val="20"/>
          <w:vertAlign w:val="baseline"/>
        </w:rPr>
        <w:t>The</w:t>
      </w:r>
      <w:r>
        <w:rPr>
          <w:spacing w:val="-10"/>
          <w:sz w:val="20"/>
          <w:vertAlign w:val="baseline"/>
        </w:rPr>
        <w:t> </w:t>
      </w:r>
      <w:r>
        <w:rPr>
          <w:sz w:val="20"/>
          <w:vertAlign w:val="baseline"/>
        </w:rPr>
        <w:t>burden</w:t>
      </w:r>
      <w:r>
        <w:rPr>
          <w:spacing w:val="-8"/>
          <w:sz w:val="20"/>
          <w:vertAlign w:val="baseline"/>
        </w:rPr>
        <w:t> </w:t>
      </w:r>
      <w:r>
        <w:rPr>
          <w:sz w:val="20"/>
          <w:vertAlign w:val="baseline"/>
        </w:rPr>
        <w:t>of</w:t>
      </w:r>
      <w:r>
        <w:rPr>
          <w:spacing w:val="-8"/>
          <w:sz w:val="20"/>
          <w:vertAlign w:val="baseline"/>
        </w:rPr>
        <w:t> </w:t>
      </w:r>
      <w:r>
        <w:rPr>
          <w:sz w:val="20"/>
          <w:vertAlign w:val="baseline"/>
        </w:rPr>
        <w:t>proof</w:t>
      </w:r>
      <w:r>
        <w:rPr>
          <w:spacing w:val="-8"/>
          <w:sz w:val="20"/>
          <w:vertAlign w:val="baseline"/>
        </w:rPr>
        <w:t> </w:t>
      </w:r>
      <w:r>
        <w:rPr>
          <w:sz w:val="20"/>
          <w:vertAlign w:val="baseline"/>
        </w:rPr>
        <w:t>for</w:t>
      </w:r>
      <w:r>
        <w:rPr>
          <w:spacing w:val="-9"/>
          <w:sz w:val="20"/>
          <w:vertAlign w:val="baseline"/>
        </w:rPr>
        <w:t> </w:t>
      </w:r>
      <w:r>
        <w:rPr>
          <w:sz w:val="20"/>
          <w:vertAlign w:val="baseline"/>
        </w:rPr>
        <w:t>this</w:t>
      </w:r>
      <w:r>
        <w:rPr>
          <w:spacing w:val="-7"/>
          <w:sz w:val="20"/>
          <w:vertAlign w:val="baseline"/>
        </w:rPr>
        <w:t> </w:t>
      </w:r>
      <w:r>
        <w:rPr>
          <w:sz w:val="20"/>
          <w:vertAlign w:val="baseline"/>
        </w:rPr>
        <w:t>will</w:t>
      </w:r>
      <w:r>
        <w:rPr>
          <w:spacing w:val="-9"/>
          <w:sz w:val="20"/>
          <w:vertAlign w:val="baseline"/>
        </w:rPr>
        <w:t> </w:t>
      </w:r>
      <w:r>
        <w:rPr>
          <w:sz w:val="20"/>
          <w:vertAlign w:val="baseline"/>
        </w:rPr>
        <w:t>rest with the taxpayer. For example, the presumption would be rebuttable if a sufficiently reliable CUP was available, which under specific circumstances would be the most appropriate transfer pricing method to use. As the Amount B fixed return will be set by reference to a narrow scope of baseline activities and determined through a benchmarking analysis based on third party comparables, it is intended to approximate results determined under the ALP </w:t>
      </w:r>
      <w:r>
        <w:rPr>
          <w:sz w:val="20"/>
          <w:vertAlign w:val="superscript"/>
        </w:rPr>
        <w:t>127</w:t>
      </w:r>
      <w:r>
        <w:rPr>
          <w:sz w:val="20"/>
          <w:vertAlign w:val="baseline"/>
        </w:rPr>
        <w:t> and hence with existing domestic and treaty</w:t>
      </w:r>
      <w:r>
        <w:rPr>
          <w:spacing w:val="-18"/>
          <w:sz w:val="20"/>
          <w:vertAlign w:val="baseline"/>
        </w:rPr>
        <w:t> </w:t>
      </w:r>
      <w:r>
        <w:rPr>
          <w:sz w:val="20"/>
          <w:vertAlign w:val="baseline"/>
        </w:rPr>
        <w:t>law.</w:t>
      </w:r>
      <w:r>
        <w:rPr>
          <w:sz w:val="20"/>
          <w:vertAlign w:val="superscript"/>
        </w:rPr>
        <w:t>128</w:t>
      </w:r>
    </w:p>
    <w:p>
      <w:pPr>
        <w:pStyle w:val="ListParagraph"/>
        <w:numPr>
          <w:ilvl w:val="0"/>
          <w:numId w:val="13"/>
        </w:numPr>
        <w:tabs>
          <w:tab w:pos="1444" w:val="left" w:leader="none"/>
        </w:tabs>
        <w:spacing w:line="271" w:lineRule="auto" w:before="123" w:after="0"/>
        <w:ind w:left="723" w:right="481" w:firstLine="0"/>
        <w:jc w:val="both"/>
        <w:rPr>
          <w:sz w:val="20"/>
        </w:rPr>
      </w:pPr>
      <w:r>
        <w:rPr>
          <w:sz w:val="20"/>
        </w:rPr>
        <w:t>While a group of Inclusive Framework members prefer a narrow approach, which is discussed in detail</w:t>
      </w:r>
      <w:r>
        <w:rPr>
          <w:spacing w:val="-7"/>
          <w:sz w:val="20"/>
        </w:rPr>
        <w:t> </w:t>
      </w:r>
      <w:r>
        <w:rPr>
          <w:sz w:val="20"/>
        </w:rPr>
        <w:t>in</w:t>
      </w:r>
      <w:r>
        <w:rPr>
          <w:spacing w:val="-7"/>
          <w:sz w:val="20"/>
        </w:rPr>
        <w:t> </w:t>
      </w:r>
      <w:r>
        <w:rPr>
          <w:sz w:val="20"/>
        </w:rPr>
        <w:t>this</w:t>
      </w:r>
      <w:r>
        <w:rPr>
          <w:spacing w:val="-4"/>
          <w:sz w:val="20"/>
        </w:rPr>
        <w:t> </w:t>
      </w:r>
      <w:r>
        <w:rPr>
          <w:sz w:val="20"/>
        </w:rPr>
        <w:t>chapter,</w:t>
      </w:r>
      <w:r>
        <w:rPr>
          <w:spacing w:val="-6"/>
          <w:sz w:val="20"/>
        </w:rPr>
        <w:t> </w:t>
      </w:r>
      <w:r>
        <w:rPr>
          <w:sz w:val="20"/>
        </w:rPr>
        <w:t>another</w:t>
      </w:r>
      <w:r>
        <w:rPr>
          <w:spacing w:val="-8"/>
          <w:sz w:val="20"/>
        </w:rPr>
        <w:t> </w:t>
      </w:r>
      <w:r>
        <w:rPr>
          <w:sz w:val="20"/>
        </w:rPr>
        <w:t>group</w:t>
      </w:r>
      <w:r>
        <w:rPr>
          <w:spacing w:val="-6"/>
          <w:sz w:val="20"/>
        </w:rPr>
        <w:t> </w:t>
      </w:r>
      <w:r>
        <w:rPr>
          <w:sz w:val="20"/>
        </w:rPr>
        <w:t>of</w:t>
      </w:r>
      <w:r>
        <w:rPr>
          <w:spacing w:val="-6"/>
          <w:sz w:val="20"/>
        </w:rPr>
        <w:t> </w:t>
      </w:r>
      <w:r>
        <w:rPr>
          <w:sz w:val="20"/>
        </w:rPr>
        <w:t>Inclusive</w:t>
      </w:r>
      <w:r>
        <w:rPr>
          <w:spacing w:val="-7"/>
          <w:sz w:val="20"/>
        </w:rPr>
        <w:t> </w:t>
      </w:r>
      <w:r>
        <w:rPr>
          <w:sz w:val="20"/>
        </w:rPr>
        <w:t>Framework</w:t>
      </w:r>
      <w:r>
        <w:rPr>
          <w:spacing w:val="-4"/>
          <w:sz w:val="20"/>
        </w:rPr>
        <w:t> </w:t>
      </w:r>
      <w:r>
        <w:rPr>
          <w:sz w:val="20"/>
        </w:rPr>
        <w:t>members</w:t>
      </w:r>
      <w:r>
        <w:rPr>
          <w:spacing w:val="-7"/>
          <w:sz w:val="20"/>
        </w:rPr>
        <w:t> </w:t>
      </w:r>
      <w:r>
        <w:rPr>
          <w:sz w:val="20"/>
        </w:rPr>
        <w:t>wish</w:t>
      </w:r>
      <w:r>
        <w:rPr>
          <w:spacing w:val="-7"/>
          <w:sz w:val="20"/>
        </w:rPr>
        <w:t> </w:t>
      </w:r>
      <w:r>
        <w:rPr>
          <w:sz w:val="20"/>
        </w:rPr>
        <w:t>to</w:t>
      </w:r>
      <w:r>
        <w:rPr>
          <w:spacing w:val="-5"/>
          <w:sz w:val="20"/>
        </w:rPr>
        <w:t> </w:t>
      </w:r>
      <w:r>
        <w:rPr>
          <w:sz w:val="20"/>
        </w:rPr>
        <w:t>have</w:t>
      </w:r>
      <w:r>
        <w:rPr>
          <w:spacing w:val="-9"/>
          <w:sz w:val="20"/>
        </w:rPr>
        <w:t> </w:t>
      </w:r>
      <w:r>
        <w:rPr>
          <w:sz w:val="20"/>
        </w:rPr>
        <w:t>a</w:t>
      </w:r>
      <w:r>
        <w:rPr>
          <w:spacing w:val="-6"/>
          <w:sz w:val="20"/>
        </w:rPr>
        <w:t> </w:t>
      </w:r>
      <w:r>
        <w:rPr>
          <w:sz w:val="20"/>
        </w:rPr>
        <w:t>broader</w:t>
      </w:r>
      <w:r>
        <w:rPr>
          <w:spacing w:val="-5"/>
          <w:sz w:val="20"/>
        </w:rPr>
        <w:t> </w:t>
      </w:r>
      <w:r>
        <w:rPr>
          <w:sz w:val="20"/>
        </w:rPr>
        <w:t>scope</w:t>
      </w:r>
      <w:r>
        <w:rPr>
          <w:spacing w:val="-6"/>
          <w:sz w:val="20"/>
        </w:rPr>
        <w:t> </w:t>
      </w:r>
      <w:r>
        <w:rPr>
          <w:sz w:val="20"/>
        </w:rPr>
        <w:t>–</w:t>
      </w:r>
      <w:r>
        <w:rPr>
          <w:spacing w:val="-6"/>
          <w:sz w:val="20"/>
        </w:rPr>
        <w:t> </w:t>
      </w:r>
      <w:r>
        <w:rPr>
          <w:sz w:val="20"/>
        </w:rPr>
        <w:t>e.g. one that provides for standardised remuneration also for commissionaires or sales agents, or for distribution entities whose profile differs from the baseline marketing and distribution activities just mentioned. Such a broader scope would also raise issues that would require further work, including how to reconcile the fixed return profile for these activities with the</w:t>
      </w:r>
      <w:r>
        <w:rPr>
          <w:spacing w:val="-3"/>
          <w:sz w:val="20"/>
        </w:rPr>
        <w:t> </w:t>
      </w:r>
      <w:r>
        <w:rPr>
          <w:sz w:val="20"/>
        </w:rPr>
        <w:t>ALP.</w:t>
      </w:r>
    </w:p>
    <w:p>
      <w:pPr>
        <w:pStyle w:val="ListParagraph"/>
        <w:numPr>
          <w:ilvl w:val="0"/>
          <w:numId w:val="13"/>
        </w:numPr>
        <w:tabs>
          <w:tab w:pos="1444" w:val="left" w:leader="none"/>
        </w:tabs>
        <w:spacing w:line="271" w:lineRule="auto" w:before="121" w:after="0"/>
        <w:ind w:left="723" w:right="437" w:firstLine="0"/>
        <w:jc w:val="both"/>
        <w:rPr>
          <w:sz w:val="20"/>
        </w:rPr>
      </w:pPr>
      <w:r>
        <w:rPr>
          <w:sz w:val="20"/>
        </w:rPr>
        <w:t>Further, some Inclusive Framework members have expressed an interest to see Amount B first delivered in a pilot programme, which would have the objective of evaluating whether Amount B can meet its aims of simplification and reduced disputes, would allow for monitoring of behavioural change of </w:t>
      </w:r>
      <w:r>
        <w:rPr>
          <w:spacing w:val="4"/>
          <w:sz w:val="20"/>
        </w:rPr>
        <w:t>MNE </w:t>
      </w:r>
      <w:r>
        <w:rPr>
          <w:sz w:val="20"/>
        </w:rPr>
        <w:t>groups in response to the implementation of Amount B, would allow for phased introduction in Inclusive Framework member jurisdictions and would entail an assessment of the ease of implementation on a phased basis. The means of implementation of Amount B and the potential implementation of</w:t>
      </w:r>
      <w:r>
        <w:rPr>
          <w:spacing w:val="16"/>
          <w:sz w:val="20"/>
        </w:rPr>
        <w:t> </w:t>
      </w:r>
      <w:r>
        <w:rPr>
          <w:sz w:val="20"/>
        </w:rPr>
        <w:t>a pilot</w:t>
      </w:r>
    </w:p>
    <w:p>
      <w:pPr>
        <w:pStyle w:val="BodyText"/>
      </w:pPr>
    </w:p>
    <w:p>
      <w:pPr>
        <w:pStyle w:val="BodyText"/>
      </w:pPr>
    </w:p>
    <w:p>
      <w:pPr>
        <w:pStyle w:val="BodyText"/>
        <w:rPr>
          <w:sz w:val="21"/>
        </w:rPr>
      </w:pPr>
      <w:r>
        <w:rPr/>
        <w:pict>
          <v:rect style="position:absolute;margin-left:65.183998pt;margin-top:14.061934pt;width:144.020004pt;height:.599980pt;mso-position-horizontal-relative:page;mso-position-vertical-relative:paragraph;z-index:-15649280;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74"/>
        </w:numPr>
        <w:tabs>
          <w:tab w:pos="1024" w:val="left" w:leader="none"/>
        </w:tabs>
        <w:spacing w:line="278" w:lineRule="auto" w:before="94" w:after="0"/>
        <w:ind w:left="723" w:right="491" w:firstLine="0"/>
        <w:jc w:val="both"/>
        <w:rPr>
          <w:sz w:val="18"/>
        </w:rPr>
      </w:pPr>
      <w:r>
        <w:rPr>
          <w:sz w:val="18"/>
        </w:rPr>
        <w:t>In this regard, it should be noted that some Inclusive Framework members are of the view that even narrowly defined routine distributors may have differing levels of functional intensity and that may require differential levels of return. Some Inclusive Framework members have suggested that analysis be performed to measure</w:t>
      </w:r>
      <w:r>
        <w:rPr>
          <w:spacing w:val="-17"/>
          <w:sz w:val="18"/>
        </w:rPr>
        <w:t> </w:t>
      </w:r>
      <w:r>
        <w:rPr>
          <w:sz w:val="18"/>
        </w:rPr>
        <w:t>this.</w:t>
      </w:r>
    </w:p>
    <w:p>
      <w:pPr>
        <w:pStyle w:val="ListParagraph"/>
        <w:numPr>
          <w:ilvl w:val="0"/>
          <w:numId w:val="74"/>
        </w:numPr>
        <w:tabs>
          <w:tab w:pos="1022" w:val="left" w:leader="none"/>
        </w:tabs>
        <w:spacing w:line="278" w:lineRule="auto" w:before="77" w:after="0"/>
        <w:ind w:left="723" w:right="480" w:firstLine="0"/>
        <w:jc w:val="both"/>
        <w:rPr>
          <w:sz w:val="18"/>
        </w:rPr>
      </w:pPr>
      <w:r>
        <w:rPr>
          <w:sz w:val="18"/>
        </w:rPr>
        <w:t>Some Inclusive Framework members do not support the use of a rebuttable presumption, as they believe it to undermine the simplification benefits of Amount </w:t>
      </w:r>
      <w:r>
        <w:rPr>
          <w:spacing w:val="2"/>
          <w:sz w:val="18"/>
        </w:rPr>
        <w:t>B. </w:t>
      </w:r>
      <w:r>
        <w:rPr>
          <w:sz w:val="18"/>
        </w:rPr>
        <w:t>Because this is a relatively recent proposal, other Inclusive Framework</w:t>
      </w:r>
      <w:r>
        <w:rPr>
          <w:spacing w:val="-5"/>
          <w:sz w:val="18"/>
        </w:rPr>
        <w:t> </w:t>
      </w:r>
      <w:r>
        <w:rPr>
          <w:sz w:val="18"/>
        </w:rPr>
        <w:t>members</w:t>
      </w:r>
      <w:r>
        <w:rPr>
          <w:spacing w:val="-6"/>
          <w:sz w:val="18"/>
        </w:rPr>
        <w:t> </w:t>
      </w:r>
      <w:r>
        <w:rPr>
          <w:sz w:val="18"/>
        </w:rPr>
        <w:t>have</w:t>
      </w:r>
      <w:r>
        <w:rPr>
          <w:spacing w:val="-5"/>
          <w:sz w:val="18"/>
        </w:rPr>
        <w:t> </w:t>
      </w:r>
      <w:r>
        <w:rPr>
          <w:sz w:val="18"/>
        </w:rPr>
        <w:t>requested</w:t>
      </w:r>
      <w:r>
        <w:rPr>
          <w:spacing w:val="-3"/>
          <w:sz w:val="18"/>
        </w:rPr>
        <w:t> </w:t>
      </w:r>
      <w:r>
        <w:rPr>
          <w:sz w:val="18"/>
        </w:rPr>
        <w:t>additional</w:t>
      </w:r>
      <w:r>
        <w:rPr>
          <w:spacing w:val="-5"/>
          <w:sz w:val="18"/>
        </w:rPr>
        <w:t> </w:t>
      </w:r>
      <w:r>
        <w:rPr>
          <w:sz w:val="18"/>
        </w:rPr>
        <w:t>explanation</w:t>
      </w:r>
      <w:r>
        <w:rPr>
          <w:spacing w:val="-7"/>
          <w:sz w:val="18"/>
        </w:rPr>
        <w:t> </w:t>
      </w:r>
      <w:r>
        <w:rPr>
          <w:sz w:val="18"/>
        </w:rPr>
        <w:t>of</w:t>
      </w:r>
      <w:r>
        <w:rPr>
          <w:spacing w:val="-5"/>
          <w:sz w:val="18"/>
        </w:rPr>
        <w:t> </w:t>
      </w:r>
      <w:r>
        <w:rPr>
          <w:sz w:val="18"/>
        </w:rPr>
        <w:t>how</w:t>
      </w:r>
      <w:r>
        <w:rPr>
          <w:spacing w:val="-8"/>
          <w:sz w:val="18"/>
        </w:rPr>
        <w:t> </w:t>
      </w:r>
      <w:r>
        <w:rPr>
          <w:sz w:val="18"/>
        </w:rPr>
        <w:t>the</w:t>
      </w:r>
      <w:r>
        <w:rPr>
          <w:spacing w:val="-5"/>
          <w:sz w:val="18"/>
        </w:rPr>
        <w:t> </w:t>
      </w:r>
      <w:r>
        <w:rPr>
          <w:sz w:val="18"/>
        </w:rPr>
        <w:t>rebuttable</w:t>
      </w:r>
      <w:r>
        <w:rPr>
          <w:spacing w:val="-6"/>
          <w:sz w:val="18"/>
        </w:rPr>
        <w:t> </w:t>
      </w:r>
      <w:r>
        <w:rPr>
          <w:sz w:val="18"/>
        </w:rPr>
        <w:t>presumption</w:t>
      </w:r>
      <w:r>
        <w:rPr>
          <w:spacing w:val="-5"/>
          <w:sz w:val="18"/>
        </w:rPr>
        <w:t> </w:t>
      </w:r>
      <w:r>
        <w:rPr>
          <w:sz w:val="18"/>
        </w:rPr>
        <w:t>would</w:t>
      </w:r>
      <w:r>
        <w:rPr>
          <w:spacing w:val="-5"/>
          <w:sz w:val="18"/>
        </w:rPr>
        <w:t> </w:t>
      </w:r>
      <w:r>
        <w:rPr>
          <w:sz w:val="18"/>
        </w:rPr>
        <w:t>work</w:t>
      </w:r>
      <w:r>
        <w:rPr>
          <w:spacing w:val="-4"/>
          <w:sz w:val="18"/>
        </w:rPr>
        <w:t> </w:t>
      </w:r>
      <w:r>
        <w:rPr>
          <w:sz w:val="18"/>
        </w:rPr>
        <w:t>(including whether</w:t>
      </w:r>
      <w:r>
        <w:rPr>
          <w:spacing w:val="-14"/>
          <w:sz w:val="18"/>
        </w:rPr>
        <w:t> </w:t>
      </w:r>
      <w:r>
        <w:rPr>
          <w:sz w:val="18"/>
        </w:rPr>
        <w:t>the</w:t>
      </w:r>
      <w:r>
        <w:rPr>
          <w:spacing w:val="-14"/>
          <w:sz w:val="18"/>
        </w:rPr>
        <w:t> </w:t>
      </w:r>
      <w:r>
        <w:rPr>
          <w:sz w:val="18"/>
        </w:rPr>
        <w:t>taxpayer</w:t>
      </w:r>
      <w:r>
        <w:rPr>
          <w:spacing w:val="-13"/>
          <w:sz w:val="18"/>
        </w:rPr>
        <w:t> </w:t>
      </w:r>
      <w:r>
        <w:rPr>
          <w:sz w:val="18"/>
        </w:rPr>
        <w:t>and</w:t>
      </w:r>
      <w:r>
        <w:rPr>
          <w:spacing w:val="-14"/>
          <w:sz w:val="18"/>
        </w:rPr>
        <w:t> </w:t>
      </w:r>
      <w:r>
        <w:rPr>
          <w:sz w:val="18"/>
        </w:rPr>
        <w:t>the</w:t>
      </w:r>
      <w:r>
        <w:rPr>
          <w:spacing w:val="-13"/>
          <w:sz w:val="18"/>
        </w:rPr>
        <w:t> </w:t>
      </w:r>
      <w:r>
        <w:rPr>
          <w:sz w:val="18"/>
        </w:rPr>
        <w:t>tax</w:t>
      </w:r>
      <w:r>
        <w:rPr>
          <w:spacing w:val="-18"/>
          <w:sz w:val="18"/>
        </w:rPr>
        <w:t> </w:t>
      </w:r>
      <w:r>
        <w:rPr>
          <w:sz w:val="18"/>
        </w:rPr>
        <w:t>administration</w:t>
      </w:r>
      <w:r>
        <w:rPr>
          <w:spacing w:val="-13"/>
          <w:sz w:val="18"/>
        </w:rPr>
        <w:t> </w:t>
      </w:r>
      <w:r>
        <w:rPr>
          <w:sz w:val="18"/>
        </w:rPr>
        <w:t>would</w:t>
      </w:r>
      <w:r>
        <w:rPr>
          <w:spacing w:val="-14"/>
          <w:sz w:val="18"/>
        </w:rPr>
        <w:t> </w:t>
      </w:r>
      <w:r>
        <w:rPr>
          <w:sz w:val="18"/>
        </w:rPr>
        <w:t>have</w:t>
      </w:r>
      <w:r>
        <w:rPr>
          <w:spacing w:val="-13"/>
          <w:sz w:val="18"/>
        </w:rPr>
        <w:t> </w:t>
      </w:r>
      <w:r>
        <w:rPr>
          <w:sz w:val="18"/>
        </w:rPr>
        <w:t>the</w:t>
      </w:r>
      <w:r>
        <w:rPr>
          <w:spacing w:val="-14"/>
          <w:sz w:val="18"/>
        </w:rPr>
        <w:t> </w:t>
      </w:r>
      <w:r>
        <w:rPr>
          <w:sz w:val="18"/>
        </w:rPr>
        <w:t>ability</w:t>
      </w:r>
      <w:r>
        <w:rPr>
          <w:spacing w:val="-14"/>
          <w:sz w:val="18"/>
        </w:rPr>
        <w:t> </w:t>
      </w:r>
      <w:r>
        <w:rPr>
          <w:sz w:val="18"/>
        </w:rPr>
        <w:t>to</w:t>
      </w:r>
      <w:r>
        <w:rPr>
          <w:spacing w:val="-13"/>
          <w:sz w:val="18"/>
        </w:rPr>
        <w:t> </w:t>
      </w:r>
      <w:r>
        <w:rPr>
          <w:sz w:val="18"/>
        </w:rPr>
        <w:t>rebut)</w:t>
      </w:r>
      <w:r>
        <w:rPr>
          <w:spacing w:val="-6"/>
          <w:sz w:val="18"/>
        </w:rPr>
        <w:t> </w:t>
      </w:r>
      <w:r>
        <w:rPr>
          <w:sz w:val="18"/>
        </w:rPr>
        <w:t>where</w:t>
      </w:r>
      <w:r>
        <w:rPr>
          <w:spacing w:val="-13"/>
          <w:sz w:val="18"/>
        </w:rPr>
        <w:t> </w:t>
      </w:r>
      <w:r>
        <w:rPr>
          <w:sz w:val="18"/>
        </w:rPr>
        <w:t>they</w:t>
      </w:r>
      <w:r>
        <w:rPr>
          <w:spacing w:val="-15"/>
          <w:sz w:val="18"/>
        </w:rPr>
        <w:t> </w:t>
      </w:r>
      <w:r>
        <w:rPr>
          <w:sz w:val="18"/>
        </w:rPr>
        <w:t>assess</w:t>
      </w:r>
      <w:r>
        <w:rPr>
          <w:spacing w:val="-12"/>
          <w:sz w:val="18"/>
        </w:rPr>
        <w:t> </w:t>
      </w:r>
      <w:r>
        <w:rPr>
          <w:sz w:val="18"/>
        </w:rPr>
        <w:t>that</w:t>
      </w:r>
      <w:r>
        <w:rPr>
          <w:spacing w:val="-14"/>
          <w:sz w:val="18"/>
        </w:rPr>
        <w:t> </w:t>
      </w:r>
      <w:r>
        <w:rPr>
          <w:sz w:val="18"/>
        </w:rPr>
        <w:t>another</w:t>
      </w:r>
      <w:r>
        <w:rPr>
          <w:spacing w:val="-13"/>
          <w:sz w:val="18"/>
        </w:rPr>
        <w:t> </w:t>
      </w:r>
      <w:r>
        <w:rPr>
          <w:sz w:val="18"/>
        </w:rPr>
        <w:t>transfer pricing method would be the most appropriate method under the arm’s length principle. Further discussion will occur on this</w:t>
      </w:r>
      <w:r>
        <w:rPr>
          <w:spacing w:val="-2"/>
          <w:sz w:val="18"/>
        </w:rPr>
        <w:t> </w:t>
      </w:r>
      <w:r>
        <w:rPr>
          <w:sz w:val="18"/>
        </w:rPr>
        <w:t>matter.</w:t>
      </w:r>
    </w:p>
    <w:p>
      <w:pPr>
        <w:spacing w:line="278" w:lineRule="auto" w:before="107"/>
        <w:ind w:left="865" w:right="579" w:firstLine="0"/>
        <w:jc w:val="both"/>
        <w:rPr>
          <w:sz w:val="18"/>
        </w:rPr>
      </w:pPr>
      <w:r>
        <w:rPr>
          <w:position w:val="6"/>
          <w:sz w:val="13"/>
        </w:rPr>
        <w:t>127 </w:t>
      </w:r>
      <w:r>
        <w:rPr>
          <w:sz w:val="18"/>
        </w:rPr>
        <w:t>Meaning that the TNMM and the return on sales should represent the most appropriate transfer pricing method and profit level indicator respectively, and be consistent with the operation of the ALP under the existing transfer pricing guidelines.</w:t>
      </w:r>
    </w:p>
    <w:p>
      <w:pPr>
        <w:pStyle w:val="ListParagraph"/>
        <w:numPr>
          <w:ilvl w:val="0"/>
          <w:numId w:val="75"/>
        </w:numPr>
        <w:tabs>
          <w:tab w:pos="1019" w:val="left" w:leader="none"/>
        </w:tabs>
        <w:spacing w:line="278" w:lineRule="auto" w:before="78" w:after="0"/>
        <w:ind w:left="723" w:right="481" w:firstLine="0"/>
        <w:jc w:val="both"/>
        <w:rPr>
          <w:sz w:val="18"/>
        </w:rPr>
      </w:pPr>
      <w:r>
        <w:rPr>
          <w:sz w:val="18"/>
        </w:rPr>
        <w:t>This approach is consistent with the approach in the OECD Transfer Pricing Guidelines. That is, the Amount B fixed return could be applied as the most appropriate method, but potentially rebutted where a CUP may be applied as the most appropriate</w:t>
      </w:r>
      <w:r>
        <w:rPr>
          <w:spacing w:val="-4"/>
          <w:sz w:val="18"/>
        </w:rPr>
        <w:t> </w:t>
      </w:r>
      <w:r>
        <w:rPr>
          <w:sz w:val="18"/>
        </w:rPr>
        <w:t>method.</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50"/>
        <w:jc w:val="both"/>
      </w:pPr>
      <w:r>
        <w:rPr/>
        <w:t>programme is subject to further technical work and discussion between the members of the Inclusive Framework.</w:t>
      </w:r>
    </w:p>
    <w:p>
      <w:pPr>
        <w:pStyle w:val="ListParagraph"/>
        <w:numPr>
          <w:ilvl w:val="0"/>
          <w:numId w:val="13"/>
        </w:numPr>
        <w:tabs>
          <w:tab w:pos="1444" w:val="left" w:leader="none"/>
        </w:tabs>
        <w:spacing w:line="271" w:lineRule="auto" w:before="119" w:after="0"/>
        <w:ind w:left="723" w:right="436" w:firstLine="0"/>
        <w:jc w:val="both"/>
        <w:rPr>
          <w:sz w:val="20"/>
        </w:rPr>
      </w:pPr>
      <w:r>
        <w:rPr>
          <w:sz w:val="20"/>
        </w:rPr>
        <w:t>As a next step, the members of the Inclusive Framework will need to decide how to proceed with Amount B, in particular regards the question of using a narrow or a broader scope. In addition, further technical work will need to be undertaken to set the fixed return profiles for the defined baseline activities, including establishing the benchmark for the to-be-defined profit level indicator, and accounting for the agreed-upon regions and industries in scope. In this task, it will be possible to draw on the wider work currently undertaken by the Forum for Tax Administration (FTA) MAP Forum and the</w:t>
      </w:r>
      <w:r>
        <w:rPr>
          <w:spacing w:val="-21"/>
          <w:sz w:val="20"/>
        </w:rPr>
        <w:t> </w:t>
      </w:r>
      <w:r>
        <w:rPr>
          <w:sz w:val="20"/>
        </w:rPr>
        <w:t>FTA.</w:t>
      </w:r>
    </w:p>
    <w:p>
      <w:pPr>
        <w:pStyle w:val="BodyText"/>
        <w:rPr>
          <w:sz w:val="22"/>
        </w:rPr>
      </w:pPr>
    </w:p>
    <w:p>
      <w:pPr>
        <w:pStyle w:val="Heading4"/>
        <w:numPr>
          <w:ilvl w:val="1"/>
          <w:numId w:val="73"/>
        </w:numPr>
        <w:tabs>
          <w:tab w:pos="1192" w:val="left" w:leader="none"/>
        </w:tabs>
        <w:spacing w:line="240" w:lineRule="auto" w:before="192" w:after="0"/>
        <w:ind w:left="1191" w:right="0" w:hanging="469"/>
        <w:jc w:val="left"/>
        <w:rPr>
          <w:rFonts w:ascii="Arial"/>
        </w:rPr>
      </w:pPr>
      <w:bookmarkStart w:name="8.2. Key design features of Amount B" w:id="384"/>
      <w:bookmarkEnd w:id="384"/>
      <w:r>
        <w:rPr>
          <w:b w:val="0"/>
        </w:rPr>
      </w:r>
      <w:bookmarkStart w:name="_bookmark64" w:id="385"/>
      <w:bookmarkEnd w:id="385"/>
      <w:r>
        <w:rPr>
          <w:b w:val="0"/>
        </w:rPr>
      </w:r>
      <w:bookmarkStart w:name="_bookmark64" w:id="386"/>
      <w:bookmarkEnd w:id="386"/>
      <w:r>
        <w:rPr>
          <w:rFonts w:ascii="Arial"/>
          <w:color w:val="4E81BD"/>
        </w:rPr>
        <w:t>K</w:t>
      </w:r>
      <w:r>
        <w:rPr>
          <w:rFonts w:ascii="Arial"/>
          <w:color w:val="4E81BD"/>
        </w:rPr>
        <w:t>ey design features of Amount</w:t>
      </w:r>
      <w:r>
        <w:rPr>
          <w:rFonts w:ascii="Arial"/>
          <w:color w:val="4E81BD"/>
          <w:spacing w:val="-9"/>
        </w:rPr>
        <w:t> </w:t>
      </w:r>
      <w:r>
        <w:rPr>
          <w:rFonts w:ascii="Arial"/>
          <w:color w:val="4E81BD"/>
        </w:rPr>
        <w:t>B</w:t>
      </w:r>
    </w:p>
    <w:p>
      <w:pPr>
        <w:pStyle w:val="BodyText"/>
        <w:spacing w:before="4"/>
        <w:rPr>
          <w:b/>
          <w:sz w:val="24"/>
        </w:rPr>
      </w:pPr>
    </w:p>
    <w:p>
      <w:pPr>
        <w:pStyle w:val="ListParagraph"/>
        <w:numPr>
          <w:ilvl w:val="0"/>
          <w:numId w:val="13"/>
        </w:numPr>
        <w:tabs>
          <w:tab w:pos="1444" w:val="left" w:leader="none"/>
        </w:tabs>
        <w:spacing w:line="271" w:lineRule="auto" w:before="0" w:after="0"/>
        <w:ind w:left="723" w:right="443" w:firstLine="0"/>
        <w:jc w:val="both"/>
        <w:rPr>
          <w:sz w:val="20"/>
        </w:rPr>
      </w:pPr>
      <w:r>
        <w:rPr>
          <w:sz w:val="20"/>
        </w:rPr>
        <w:t>The key design features of Amount B cover: (i) scope, (ii) quantum and (iii) implementation. This section provides an update on the progress made for each of these</w:t>
      </w:r>
      <w:r>
        <w:rPr>
          <w:spacing w:val="-15"/>
          <w:sz w:val="20"/>
        </w:rPr>
        <w:t> </w:t>
      </w:r>
      <w:r>
        <w:rPr>
          <w:sz w:val="20"/>
        </w:rPr>
        <w:t>features.</w:t>
      </w:r>
    </w:p>
    <w:p>
      <w:pPr>
        <w:pStyle w:val="BodyText"/>
        <w:spacing w:before="6"/>
        <w:rPr>
          <w:sz w:val="23"/>
        </w:rPr>
      </w:pPr>
    </w:p>
    <w:p>
      <w:pPr>
        <w:pStyle w:val="Heading6"/>
        <w:numPr>
          <w:ilvl w:val="2"/>
          <w:numId w:val="73"/>
        </w:numPr>
        <w:tabs>
          <w:tab w:pos="2015" w:val="left" w:leader="none"/>
        </w:tabs>
        <w:spacing w:line="240" w:lineRule="auto" w:before="1" w:after="0"/>
        <w:ind w:left="2014" w:right="0" w:hanging="613"/>
        <w:jc w:val="left"/>
        <w:rPr>
          <w:i/>
        </w:rPr>
      </w:pPr>
      <w:bookmarkStart w:name="8.2.1. Scope" w:id="387"/>
      <w:bookmarkEnd w:id="387"/>
      <w:r>
        <w:rPr>
          <w:b w:val="0"/>
          <w:i w:val="0"/>
        </w:rPr>
      </w:r>
      <w:bookmarkStart w:name="8.2.1. Scope" w:id="388"/>
      <w:bookmarkEnd w:id="388"/>
      <w:r>
        <w:rPr>
          <w:i/>
        </w:rPr>
        <w:t>Sco</w:t>
      </w:r>
      <w:r>
        <w:rPr>
          <w:i/>
        </w:rPr>
        <w:t>pe</w:t>
      </w:r>
    </w:p>
    <w:p>
      <w:pPr>
        <w:pStyle w:val="BodyText"/>
        <w:spacing w:before="9"/>
        <w:rPr>
          <w:b/>
          <w:i/>
          <w:sz w:val="18"/>
        </w:rPr>
      </w:pPr>
    </w:p>
    <w:p>
      <w:pPr>
        <w:pStyle w:val="ListParagraph"/>
        <w:numPr>
          <w:ilvl w:val="0"/>
          <w:numId w:val="13"/>
        </w:numPr>
        <w:tabs>
          <w:tab w:pos="1444" w:val="left" w:leader="none"/>
        </w:tabs>
        <w:spacing w:line="271" w:lineRule="auto" w:before="1" w:after="0"/>
        <w:ind w:left="723" w:right="433" w:firstLine="0"/>
        <w:jc w:val="both"/>
        <w:rPr>
          <w:sz w:val="20"/>
        </w:rPr>
      </w:pPr>
      <w:r>
        <w:rPr>
          <w:sz w:val="20"/>
        </w:rPr>
        <w:t>As Amount B would apply to the enterprises of MNE groups that perform the defined baseline marketing and distribution activities in a market under an accurately delineated transaction</w:t>
      </w:r>
      <w:r>
        <w:rPr>
          <w:sz w:val="20"/>
          <w:vertAlign w:val="superscript"/>
        </w:rPr>
        <w:t>129</w:t>
      </w:r>
      <w:r>
        <w:rPr>
          <w:sz w:val="20"/>
          <w:vertAlign w:val="baseline"/>
        </w:rPr>
        <w:t>, it is not subject to the scope limitations of Amount A. The accurately delineated transaction should consider the five comparability factors outlined in Chapter I of the OECD Transfer Pricing Guidelines. In particular, the functions performed, assets owned and risks assumed in the accurately delineated controlled transaction should be similar to those identified as being within the baseline marketing and distribution activities. Accordingly, it is necessary to define what controlled transactions and baseline marketing and distribution activities</w:t>
      </w:r>
      <w:r>
        <w:rPr>
          <w:spacing w:val="-4"/>
          <w:sz w:val="20"/>
          <w:vertAlign w:val="baseline"/>
        </w:rPr>
        <w:t> </w:t>
      </w:r>
      <w:r>
        <w:rPr>
          <w:sz w:val="20"/>
          <w:vertAlign w:val="baseline"/>
        </w:rPr>
        <w:t>would</w:t>
      </w:r>
      <w:r>
        <w:rPr>
          <w:spacing w:val="-8"/>
          <w:sz w:val="20"/>
          <w:vertAlign w:val="baseline"/>
        </w:rPr>
        <w:t> </w:t>
      </w:r>
      <w:r>
        <w:rPr>
          <w:sz w:val="20"/>
          <w:vertAlign w:val="baseline"/>
        </w:rPr>
        <w:t>qualify</w:t>
      </w:r>
      <w:r>
        <w:rPr>
          <w:spacing w:val="-10"/>
          <w:sz w:val="20"/>
          <w:vertAlign w:val="baseline"/>
        </w:rPr>
        <w:t> </w:t>
      </w:r>
      <w:r>
        <w:rPr>
          <w:sz w:val="20"/>
          <w:vertAlign w:val="baseline"/>
        </w:rPr>
        <w:t>for</w:t>
      </w:r>
      <w:r>
        <w:rPr>
          <w:spacing w:val="-7"/>
          <w:sz w:val="20"/>
          <w:vertAlign w:val="baseline"/>
        </w:rPr>
        <w:t> </w:t>
      </w:r>
      <w:r>
        <w:rPr>
          <w:sz w:val="20"/>
          <w:vertAlign w:val="baseline"/>
        </w:rPr>
        <w:t>the</w:t>
      </w:r>
      <w:r>
        <w:rPr>
          <w:spacing w:val="-7"/>
          <w:sz w:val="20"/>
          <w:vertAlign w:val="baseline"/>
        </w:rPr>
        <w:t> </w:t>
      </w:r>
      <w:r>
        <w:rPr>
          <w:sz w:val="20"/>
          <w:vertAlign w:val="baseline"/>
        </w:rPr>
        <w:t>fixed</w:t>
      </w:r>
      <w:r>
        <w:rPr>
          <w:spacing w:val="-8"/>
          <w:sz w:val="20"/>
          <w:vertAlign w:val="baseline"/>
        </w:rPr>
        <w:t> </w:t>
      </w:r>
      <w:r>
        <w:rPr>
          <w:sz w:val="20"/>
          <w:vertAlign w:val="baseline"/>
        </w:rPr>
        <w:t>return</w:t>
      </w:r>
      <w:r>
        <w:rPr>
          <w:spacing w:val="-5"/>
          <w:sz w:val="20"/>
          <w:vertAlign w:val="baseline"/>
        </w:rPr>
        <w:t> </w:t>
      </w:r>
      <w:r>
        <w:rPr>
          <w:sz w:val="20"/>
          <w:vertAlign w:val="baseline"/>
        </w:rPr>
        <w:t>which</w:t>
      </w:r>
      <w:r>
        <w:rPr>
          <w:spacing w:val="-7"/>
          <w:sz w:val="20"/>
          <w:vertAlign w:val="baseline"/>
        </w:rPr>
        <w:t> </w:t>
      </w:r>
      <w:r>
        <w:rPr>
          <w:sz w:val="20"/>
          <w:vertAlign w:val="baseline"/>
        </w:rPr>
        <w:t>is</w:t>
      </w:r>
      <w:r>
        <w:rPr>
          <w:spacing w:val="-4"/>
          <w:sz w:val="20"/>
          <w:vertAlign w:val="baseline"/>
        </w:rPr>
        <w:t> </w:t>
      </w:r>
      <w:r>
        <w:rPr>
          <w:sz w:val="20"/>
          <w:vertAlign w:val="baseline"/>
        </w:rPr>
        <w:t>Amount</w:t>
      </w:r>
      <w:r>
        <w:rPr>
          <w:spacing w:val="-6"/>
          <w:sz w:val="20"/>
          <w:vertAlign w:val="baseline"/>
        </w:rPr>
        <w:t> </w:t>
      </w:r>
      <w:r>
        <w:rPr>
          <w:sz w:val="20"/>
          <w:vertAlign w:val="baseline"/>
        </w:rPr>
        <w:t>B.</w:t>
      </w:r>
      <w:r>
        <w:rPr>
          <w:spacing w:val="-6"/>
          <w:sz w:val="20"/>
          <w:vertAlign w:val="baseline"/>
        </w:rPr>
        <w:t> </w:t>
      </w:r>
      <w:r>
        <w:rPr>
          <w:sz w:val="20"/>
          <w:vertAlign w:val="baseline"/>
        </w:rPr>
        <w:t>In</w:t>
      </w:r>
      <w:r>
        <w:rPr>
          <w:spacing w:val="-8"/>
          <w:sz w:val="20"/>
          <w:vertAlign w:val="baseline"/>
        </w:rPr>
        <w:t> </w:t>
      </w:r>
      <w:r>
        <w:rPr>
          <w:sz w:val="20"/>
          <w:vertAlign w:val="baseline"/>
        </w:rPr>
        <w:t>particular,</w:t>
      </w:r>
      <w:r>
        <w:rPr>
          <w:spacing w:val="-7"/>
          <w:sz w:val="20"/>
          <w:vertAlign w:val="baseline"/>
        </w:rPr>
        <w:t> </w:t>
      </w:r>
      <w:r>
        <w:rPr>
          <w:sz w:val="20"/>
          <w:vertAlign w:val="baseline"/>
        </w:rPr>
        <w:t>defining</w:t>
      </w:r>
      <w:r>
        <w:rPr>
          <w:spacing w:val="-7"/>
          <w:sz w:val="20"/>
          <w:vertAlign w:val="baseline"/>
        </w:rPr>
        <w:t> </w:t>
      </w:r>
      <w:r>
        <w:rPr>
          <w:sz w:val="20"/>
          <w:vertAlign w:val="baseline"/>
        </w:rPr>
        <w:t>the</w:t>
      </w:r>
      <w:r>
        <w:rPr>
          <w:spacing w:val="-8"/>
          <w:sz w:val="20"/>
          <w:vertAlign w:val="baseline"/>
        </w:rPr>
        <w:t> </w:t>
      </w:r>
      <w:r>
        <w:rPr>
          <w:sz w:val="20"/>
          <w:vertAlign w:val="baseline"/>
        </w:rPr>
        <w:t>baseline</w:t>
      </w:r>
      <w:r>
        <w:rPr>
          <w:spacing w:val="-7"/>
          <w:sz w:val="20"/>
          <w:vertAlign w:val="baseline"/>
        </w:rPr>
        <w:t> </w:t>
      </w:r>
      <w:r>
        <w:rPr>
          <w:sz w:val="20"/>
          <w:vertAlign w:val="baseline"/>
        </w:rPr>
        <w:t>marketing and</w:t>
      </w:r>
      <w:r>
        <w:rPr>
          <w:spacing w:val="-10"/>
          <w:sz w:val="20"/>
          <w:vertAlign w:val="baseline"/>
        </w:rPr>
        <w:t> </w:t>
      </w:r>
      <w:r>
        <w:rPr>
          <w:sz w:val="20"/>
          <w:vertAlign w:val="baseline"/>
        </w:rPr>
        <w:t>distribution</w:t>
      </w:r>
      <w:r>
        <w:rPr>
          <w:spacing w:val="-9"/>
          <w:sz w:val="20"/>
          <w:vertAlign w:val="baseline"/>
        </w:rPr>
        <w:t> </w:t>
      </w:r>
      <w:r>
        <w:rPr>
          <w:sz w:val="20"/>
          <w:vertAlign w:val="baseline"/>
        </w:rPr>
        <w:t>activities</w:t>
      </w:r>
      <w:r>
        <w:rPr>
          <w:spacing w:val="-8"/>
          <w:sz w:val="20"/>
          <w:vertAlign w:val="baseline"/>
        </w:rPr>
        <w:t> </w:t>
      </w:r>
      <w:r>
        <w:rPr>
          <w:sz w:val="20"/>
          <w:vertAlign w:val="baseline"/>
        </w:rPr>
        <w:t>will</w:t>
      </w:r>
      <w:r>
        <w:rPr>
          <w:spacing w:val="-7"/>
          <w:sz w:val="20"/>
          <w:vertAlign w:val="baseline"/>
        </w:rPr>
        <w:t> </w:t>
      </w:r>
      <w:r>
        <w:rPr>
          <w:sz w:val="20"/>
          <w:vertAlign w:val="baseline"/>
        </w:rPr>
        <w:t>be</w:t>
      </w:r>
      <w:r>
        <w:rPr>
          <w:spacing w:val="-9"/>
          <w:sz w:val="20"/>
          <w:vertAlign w:val="baseline"/>
        </w:rPr>
        <w:t> </w:t>
      </w:r>
      <w:r>
        <w:rPr>
          <w:sz w:val="20"/>
          <w:vertAlign w:val="baseline"/>
        </w:rPr>
        <w:t>achieved</w:t>
      </w:r>
      <w:r>
        <w:rPr>
          <w:spacing w:val="-7"/>
          <w:sz w:val="20"/>
          <w:vertAlign w:val="baseline"/>
        </w:rPr>
        <w:t> </w:t>
      </w:r>
      <w:r>
        <w:rPr>
          <w:sz w:val="20"/>
          <w:vertAlign w:val="baseline"/>
        </w:rPr>
        <w:t>by</w:t>
      </w:r>
      <w:r>
        <w:rPr>
          <w:spacing w:val="-11"/>
          <w:sz w:val="20"/>
          <w:vertAlign w:val="baseline"/>
        </w:rPr>
        <w:t> </w:t>
      </w:r>
      <w:r>
        <w:rPr>
          <w:sz w:val="20"/>
          <w:vertAlign w:val="baseline"/>
        </w:rPr>
        <w:t>reference</w:t>
      </w:r>
      <w:r>
        <w:rPr>
          <w:spacing w:val="-9"/>
          <w:sz w:val="20"/>
          <w:vertAlign w:val="baseline"/>
        </w:rPr>
        <w:t> </w:t>
      </w:r>
      <w:r>
        <w:rPr>
          <w:sz w:val="20"/>
          <w:vertAlign w:val="baseline"/>
        </w:rPr>
        <w:t>to</w:t>
      </w:r>
      <w:r>
        <w:rPr>
          <w:spacing w:val="-9"/>
          <w:sz w:val="20"/>
          <w:vertAlign w:val="baseline"/>
        </w:rPr>
        <w:t> </w:t>
      </w:r>
      <w:r>
        <w:rPr>
          <w:sz w:val="20"/>
          <w:vertAlign w:val="baseline"/>
        </w:rPr>
        <w:t>a</w:t>
      </w:r>
      <w:r>
        <w:rPr>
          <w:spacing w:val="-8"/>
          <w:sz w:val="20"/>
          <w:vertAlign w:val="baseline"/>
        </w:rPr>
        <w:t> </w:t>
      </w:r>
      <w:r>
        <w:rPr>
          <w:sz w:val="20"/>
          <w:vertAlign w:val="baseline"/>
        </w:rPr>
        <w:t>positive</w:t>
      </w:r>
      <w:r>
        <w:rPr>
          <w:spacing w:val="-8"/>
          <w:sz w:val="20"/>
          <w:vertAlign w:val="baseline"/>
        </w:rPr>
        <w:t> </w:t>
      </w:r>
      <w:r>
        <w:rPr>
          <w:sz w:val="20"/>
          <w:vertAlign w:val="baseline"/>
        </w:rPr>
        <w:t>and</w:t>
      </w:r>
      <w:r>
        <w:rPr>
          <w:spacing w:val="-9"/>
          <w:sz w:val="20"/>
          <w:vertAlign w:val="baseline"/>
        </w:rPr>
        <w:t> </w:t>
      </w:r>
      <w:r>
        <w:rPr>
          <w:sz w:val="20"/>
          <w:vertAlign w:val="baseline"/>
        </w:rPr>
        <w:t>a</w:t>
      </w:r>
      <w:r>
        <w:rPr>
          <w:spacing w:val="-9"/>
          <w:sz w:val="20"/>
          <w:vertAlign w:val="baseline"/>
        </w:rPr>
        <w:t> </w:t>
      </w:r>
      <w:r>
        <w:rPr>
          <w:sz w:val="20"/>
          <w:vertAlign w:val="baseline"/>
        </w:rPr>
        <w:t>negative</w:t>
      </w:r>
      <w:r>
        <w:rPr>
          <w:spacing w:val="-9"/>
          <w:sz w:val="20"/>
          <w:vertAlign w:val="baseline"/>
        </w:rPr>
        <w:t> </w:t>
      </w:r>
      <w:r>
        <w:rPr>
          <w:sz w:val="20"/>
          <w:vertAlign w:val="baseline"/>
        </w:rPr>
        <w:t>list</w:t>
      </w:r>
      <w:r>
        <w:rPr>
          <w:spacing w:val="-9"/>
          <w:sz w:val="20"/>
          <w:vertAlign w:val="baseline"/>
        </w:rPr>
        <w:t> </w:t>
      </w:r>
      <w:r>
        <w:rPr>
          <w:sz w:val="20"/>
          <w:vertAlign w:val="baseline"/>
        </w:rPr>
        <w:t>of</w:t>
      </w:r>
      <w:r>
        <w:rPr>
          <w:spacing w:val="-4"/>
          <w:sz w:val="20"/>
          <w:vertAlign w:val="baseline"/>
        </w:rPr>
        <w:t> </w:t>
      </w:r>
      <w:r>
        <w:rPr>
          <w:sz w:val="20"/>
          <w:vertAlign w:val="baseline"/>
        </w:rPr>
        <w:t>qualitative</w:t>
      </w:r>
      <w:r>
        <w:rPr>
          <w:spacing w:val="-9"/>
          <w:sz w:val="20"/>
          <w:vertAlign w:val="baseline"/>
        </w:rPr>
        <w:t> </w:t>
      </w:r>
      <w:r>
        <w:rPr>
          <w:sz w:val="20"/>
          <w:vertAlign w:val="baseline"/>
        </w:rPr>
        <w:t>factors that</w:t>
      </w:r>
      <w:r>
        <w:rPr>
          <w:spacing w:val="-7"/>
          <w:sz w:val="20"/>
          <w:vertAlign w:val="baseline"/>
        </w:rPr>
        <w:t> </w:t>
      </w:r>
      <w:r>
        <w:rPr>
          <w:sz w:val="20"/>
          <w:vertAlign w:val="baseline"/>
        </w:rPr>
        <w:t>closely</w:t>
      </w:r>
      <w:r>
        <w:rPr>
          <w:spacing w:val="-12"/>
          <w:sz w:val="20"/>
          <w:vertAlign w:val="baseline"/>
        </w:rPr>
        <w:t> </w:t>
      </w:r>
      <w:r>
        <w:rPr>
          <w:sz w:val="20"/>
          <w:vertAlign w:val="baseline"/>
        </w:rPr>
        <w:t>relate</w:t>
      </w:r>
      <w:r>
        <w:rPr>
          <w:spacing w:val="-7"/>
          <w:sz w:val="20"/>
          <w:vertAlign w:val="baseline"/>
        </w:rPr>
        <w:t> </w:t>
      </w:r>
      <w:r>
        <w:rPr>
          <w:sz w:val="20"/>
          <w:vertAlign w:val="baseline"/>
        </w:rPr>
        <w:t>to</w:t>
      </w:r>
      <w:r>
        <w:rPr>
          <w:spacing w:val="-7"/>
          <w:sz w:val="20"/>
          <w:vertAlign w:val="baseline"/>
        </w:rPr>
        <w:t> </w:t>
      </w:r>
      <w:r>
        <w:rPr>
          <w:sz w:val="20"/>
          <w:vertAlign w:val="baseline"/>
        </w:rPr>
        <w:t>the</w:t>
      </w:r>
      <w:r>
        <w:rPr>
          <w:spacing w:val="-7"/>
          <w:sz w:val="20"/>
          <w:vertAlign w:val="baseline"/>
        </w:rPr>
        <w:t> </w:t>
      </w:r>
      <w:r>
        <w:rPr>
          <w:sz w:val="20"/>
          <w:vertAlign w:val="baseline"/>
        </w:rPr>
        <w:t>performance</w:t>
      </w:r>
      <w:r>
        <w:rPr>
          <w:spacing w:val="-7"/>
          <w:sz w:val="20"/>
          <w:vertAlign w:val="baseline"/>
        </w:rPr>
        <w:t> </w:t>
      </w:r>
      <w:r>
        <w:rPr>
          <w:sz w:val="20"/>
          <w:vertAlign w:val="baseline"/>
        </w:rPr>
        <w:t>of</w:t>
      </w:r>
      <w:r>
        <w:rPr>
          <w:spacing w:val="-8"/>
          <w:sz w:val="20"/>
          <w:vertAlign w:val="baseline"/>
        </w:rPr>
        <w:t> </w:t>
      </w:r>
      <w:r>
        <w:rPr>
          <w:sz w:val="20"/>
          <w:vertAlign w:val="baseline"/>
        </w:rPr>
        <w:t>marketing</w:t>
      </w:r>
      <w:r>
        <w:rPr>
          <w:spacing w:val="-3"/>
          <w:sz w:val="20"/>
          <w:vertAlign w:val="baseline"/>
        </w:rPr>
        <w:t> </w:t>
      </w:r>
      <w:r>
        <w:rPr>
          <w:sz w:val="20"/>
          <w:vertAlign w:val="baseline"/>
        </w:rPr>
        <w:t>and</w:t>
      </w:r>
      <w:r>
        <w:rPr>
          <w:spacing w:val="-4"/>
          <w:sz w:val="20"/>
          <w:vertAlign w:val="baseline"/>
        </w:rPr>
        <w:t> </w:t>
      </w:r>
      <w:r>
        <w:rPr>
          <w:sz w:val="20"/>
          <w:vertAlign w:val="baseline"/>
        </w:rPr>
        <w:t>distribution</w:t>
      </w:r>
      <w:r>
        <w:rPr>
          <w:spacing w:val="-7"/>
          <w:sz w:val="20"/>
          <w:vertAlign w:val="baseline"/>
        </w:rPr>
        <w:t> </w:t>
      </w:r>
      <w:r>
        <w:rPr>
          <w:sz w:val="20"/>
          <w:vertAlign w:val="baseline"/>
        </w:rPr>
        <w:t>activities,</w:t>
      </w:r>
      <w:r>
        <w:rPr>
          <w:spacing w:val="-4"/>
          <w:sz w:val="20"/>
          <w:vertAlign w:val="baseline"/>
        </w:rPr>
        <w:t> </w:t>
      </w:r>
      <w:r>
        <w:rPr>
          <w:sz w:val="20"/>
          <w:vertAlign w:val="baseline"/>
        </w:rPr>
        <w:t>with</w:t>
      </w:r>
      <w:r>
        <w:rPr>
          <w:spacing w:val="-7"/>
          <w:sz w:val="20"/>
          <w:vertAlign w:val="baseline"/>
        </w:rPr>
        <w:t> </w:t>
      </w:r>
      <w:r>
        <w:rPr>
          <w:sz w:val="20"/>
          <w:vertAlign w:val="baseline"/>
        </w:rPr>
        <w:t>further</w:t>
      </w:r>
      <w:r>
        <w:rPr>
          <w:spacing w:val="-6"/>
          <w:sz w:val="20"/>
          <w:vertAlign w:val="baseline"/>
        </w:rPr>
        <w:t> </w:t>
      </w:r>
      <w:r>
        <w:rPr>
          <w:sz w:val="20"/>
          <w:vertAlign w:val="baseline"/>
        </w:rPr>
        <w:t>reference</w:t>
      </w:r>
      <w:r>
        <w:rPr>
          <w:spacing w:val="-8"/>
          <w:sz w:val="20"/>
          <w:vertAlign w:val="baseline"/>
        </w:rPr>
        <w:t> </w:t>
      </w:r>
      <w:r>
        <w:rPr>
          <w:sz w:val="20"/>
          <w:vertAlign w:val="baseline"/>
        </w:rPr>
        <w:t>to</w:t>
      </w:r>
      <w:r>
        <w:rPr>
          <w:spacing w:val="-7"/>
          <w:sz w:val="20"/>
          <w:vertAlign w:val="baseline"/>
        </w:rPr>
        <w:t> </w:t>
      </w:r>
      <w:r>
        <w:rPr>
          <w:sz w:val="20"/>
          <w:vertAlign w:val="baseline"/>
        </w:rPr>
        <w:t>a</w:t>
      </w:r>
      <w:r>
        <w:rPr>
          <w:spacing w:val="-7"/>
          <w:sz w:val="20"/>
          <w:vertAlign w:val="baseline"/>
        </w:rPr>
        <w:t> </w:t>
      </w:r>
      <w:r>
        <w:rPr>
          <w:sz w:val="20"/>
          <w:vertAlign w:val="baseline"/>
        </w:rPr>
        <w:t>set of quantitative indicators that relate closely to the performance of these</w:t>
      </w:r>
      <w:r>
        <w:rPr>
          <w:spacing w:val="-19"/>
          <w:sz w:val="20"/>
          <w:vertAlign w:val="baseline"/>
        </w:rPr>
        <w:t> </w:t>
      </w:r>
      <w:r>
        <w:rPr>
          <w:sz w:val="20"/>
          <w:vertAlign w:val="baseline"/>
        </w:rPr>
        <w:t>activities.</w:t>
      </w:r>
    </w:p>
    <w:p>
      <w:pPr>
        <w:pStyle w:val="BodyText"/>
        <w:spacing w:before="3"/>
      </w:pPr>
    </w:p>
    <w:p>
      <w:pPr>
        <w:pStyle w:val="Heading7"/>
        <w:rPr>
          <w:i/>
        </w:rPr>
      </w:pPr>
      <w:bookmarkStart w:name="Definition of entities and transactions " w:id="389"/>
      <w:bookmarkEnd w:id="389"/>
      <w:r>
        <w:rPr>
          <w:i w:val="0"/>
        </w:rPr>
      </w:r>
      <w:r>
        <w:rPr>
          <w:i/>
          <w:color w:val="616161"/>
        </w:rPr>
        <w:t>Definition of entities and transactions covered by Amount B</w:t>
      </w:r>
    </w:p>
    <w:p>
      <w:pPr>
        <w:pStyle w:val="ListParagraph"/>
        <w:numPr>
          <w:ilvl w:val="0"/>
          <w:numId w:val="13"/>
        </w:numPr>
        <w:tabs>
          <w:tab w:pos="1444" w:val="left" w:leader="none"/>
        </w:tabs>
        <w:spacing w:line="268" w:lineRule="auto" w:before="215" w:after="0"/>
        <w:ind w:left="723" w:right="439" w:firstLine="0"/>
        <w:jc w:val="both"/>
        <w:rPr>
          <w:sz w:val="20"/>
        </w:rPr>
      </w:pPr>
      <w:r>
        <w:rPr>
          <w:sz w:val="20"/>
        </w:rPr>
        <w:t>Amount B is the remuneration of group enterprises resident in (or in the case of a permanent establishment</w:t>
      </w:r>
      <w:r>
        <w:rPr>
          <w:sz w:val="20"/>
          <w:vertAlign w:val="superscript"/>
        </w:rPr>
        <w:t>130</w:t>
      </w:r>
      <w:r>
        <w:rPr>
          <w:spacing w:val="5"/>
          <w:sz w:val="20"/>
          <w:vertAlign w:val="baseline"/>
        </w:rPr>
        <w:t> </w:t>
      </w:r>
      <w:r>
        <w:rPr>
          <w:sz w:val="20"/>
          <w:vertAlign w:val="baseline"/>
        </w:rPr>
        <w:t>located</w:t>
      </w:r>
      <w:r>
        <w:rPr>
          <w:spacing w:val="6"/>
          <w:sz w:val="20"/>
          <w:vertAlign w:val="baseline"/>
        </w:rPr>
        <w:t> </w:t>
      </w:r>
      <w:r>
        <w:rPr>
          <w:sz w:val="20"/>
          <w:vertAlign w:val="baseline"/>
        </w:rPr>
        <w:t>in)</w:t>
      </w:r>
      <w:r>
        <w:rPr>
          <w:spacing w:val="8"/>
          <w:sz w:val="20"/>
          <w:vertAlign w:val="baseline"/>
        </w:rPr>
        <w:t> </w:t>
      </w:r>
      <w:r>
        <w:rPr>
          <w:sz w:val="20"/>
          <w:vertAlign w:val="baseline"/>
        </w:rPr>
        <w:t>a</w:t>
      </w:r>
      <w:r>
        <w:rPr>
          <w:spacing w:val="6"/>
          <w:sz w:val="20"/>
          <w:vertAlign w:val="baseline"/>
        </w:rPr>
        <w:t> </w:t>
      </w:r>
      <w:r>
        <w:rPr>
          <w:sz w:val="20"/>
          <w:vertAlign w:val="baseline"/>
        </w:rPr>
        <w:t>market</w:t>
      </w:r>
      <w:r>
        <w:rPr>
          <w:spacing w:val="5"/>
          <w:sz w:val="20"/>
          <w:vertAlign w:val="baseline"/>
        </w:rPr>
        <w:t> </w:t>
      </w:r>
      <w:r>
        <w:rPr>
          <w:sz w:val="20"/>
          <w:vertAlign w:val="baseline"/>
        </w:rPr>
        <w:t>jurisdiction</w:t>
      </w:r>
      <w:r>
        <w:rPr>
          <w:spacing w:val="8"/>
          <w:sz w:val="20"/>
          <w:vertAlign w:val="baseline"/>
        </w:rPr>
        <w:t> </w:t>
      </w:r>
      <w:r>
        <w:rPr>
          <w:sz w:val="20"/>
          <w:vertAlign w:val="baseline"/>
        </w:rPr>
        <w:t>(either</w:t>
      </w:r>
      <w:r>
        <w:rPr>
          <w:spacing w:val="8"/>
          <w:sz w:val="20"/>
          <w:vertAlign w:val="baseline"/>
        </w:rPr>
        <w:t> </w:t>
      </w:r>
      <w:r>
        <w:rPr>
          <w:sz w:val="20"/>
          <w:vertAlign w:val="baseline"/>
        </w:rPr>
        <w:t>a</w:t>
      </w:r>
      <w:r>
        <w:rPr>
          <w:spacing w:val="6"/>
          <w:sz w:val="20"/>
          <w:vertAlign w:val="baseline"/>
        </w:rPr>
        <w:t> </w:t>
      </w:r>
      <w:r>
        <w:rPr>
          <w:sz w:val="20"/>
          <w:vertAlign w:val="baseline"/>
        </w:rPr>
        <w:t>subsidiary</w:t>
      </w:r>
      <w:r>
        <w:rPr>
          <w:spacing w:val="2"/>
          <w:sz w:val="20"/>
          <w:vertAlign w:val="baseline"/>
        </w:rPr>
        <w:t> </w:t>
      </w:r>
      <w:r>
        <w:rPr>
          <w:sz w:val="20"/>
          <w:vertAlign w:val="baseline"/>
        </w:rPr>
        <w:t>or</w:t>
      </w:r>
      <w:r>
        <w:rPr>
          <w:spacing w:val="7"/>
          <w:sz w:val="20"/>
          <w:vertAlign w:val="baseline"/>
        </w:rPr>
        <w:t> </w:t>
      </w:r>
      <w:r>
        <w:rPr>
          <w:sz w:val="20"/>
          <w:vertAlign w:val="baseline"/>
        </w:rPr>
        <w:t>a</w:t>
      </w:r>
      <w:r>
        <w:rPr>
          <w:spacing w:val="6"/>
          <w:sz w:val="20"/>
          <w:vertAlign w:val="baseline"/>
        </w:rPr>
        <w:t> </w:t>
      </w:r>
      <w:r>
        <w:rPr>
          <w:sz w:val="20"/>
          <w:vertAlign w:val="baseline"/>
        </w:rPr>
        <w:t>permanent</w:t>
      </w:r>
      <w:r>
        <w:rPr>
          <w:spacing w:val="5"/>
          <w:sz w:val="20"/>
          <w:vertAlign w:val="baseline"/>
        </w:rPr>
        <w:t> </w:t>
      </w:r>
      <w:r>
        <w:rPr>
          <w:sz w:val="20"/>
          <w:vertAlign w:val="baseline"/>
        </w:rPr>
        <w:t>establishments</w:t>
      </w:r>
      <w:r>
        <w:rPr>
          <w:spacing w:val="7"/>
          <w:sz w:val="20"/>
          <w:vertAlign w:val="baseline"/>
        </w:rPr>
        <w:t> </w:t>
      </w:r>
      <w:r>
        <w:rPr>
          <w:sz w:val="20"/>
          <w:vertAlign w:val="baseline"/>
        </w:rPr>
        <w:t>of</w:t>
      </w:r>
      <w:r>
        <w:rPr>
          <w:spacing w:val="7"/>
          <w:sz w:val="20"/>
          <w:vertAlign w:val="baseline"/>
        </w:rPr>
        <w:t> </w:t>
      </w:r>
      <w:r>
        <w:rPr>
          <w:sz w:val="20"/>
          <w:vertAlign w:val="baseline"/>
        </w:rPr>
        <w:t>a</w:t>
      </w:r>
    </w:p>
    <w:p>
      <w:pPr>
        <w:pStyle w:val="BodyText"/>
      </w:pPr>
    </w:p>
    <w:p>
      <w:pPr>
        <w:pStyle w:val="BodyText"/>
      </w:pPr>
    </w:p>
    <w:p>
      <w:pPr>
        <w:pStyle w:val="BodyText"/>
      </w:pPr>
    </w:p>
    <w:p>
      <w:pPr>
        <w:pStyle w:val="BodyText"/>
        <w:spacing w:before="9"/>
        <w:rPr>
          <w:sz w:val="25"/>
        </w:rPr>
      </w:pPr>
      <w:r>
        <w:rPr/>
        <w:pict>
          <v:rect style="position:absolute;margin-left:65.183998pt;margin-top:16.802021pt;width:144.020004pt;height:.599980pt;mso-position-horizontal-relative:page;mso-position-vertical-relative:paragraph;z-index:-15648768;mso-wrap-distance-left:0;mso-wrap-distance-right:0" filled="true" fillcolor="#000000" stroked="false">
            <v:fill type="solid"/>
            <w10:wrap type="topAndBottom"/>
          </v:rect>
        </w:pict>
      </w:r>
    </w:p>
    <w:p>
      <w:pPr>
        <w:pStyle w:val="BodyText"/>
        <w:spacing w:before="2"/>
        <w:rPr>
          <w:sz w:val="16"/>
        </w:rPr>
      </w:pPr>
    </w:p>
    <w:p>
      <w:pPr>
        <w:pStyle w:val="ListParagraph"/>
        <w:numPr>
          <w:ilvl w:val="0"/>
          <w:numId w:val="75"/>
        </w:numPr>
        <w:tabs>
          <w:tab w:pos="995" w:val="left" w:leader="none"/>
        </w:tabs>
        <w:spacing w:line="278" w:lineRule="auto" w:before="94" w:after="0"/>
        <w:ind w:left="723" w:right="490" w:firstLine="0"/>
        <w:jc w:val="both"/>
        <w:rPr>
          <w:sz w:val="18"/>
        </w:rPr>
      </w:pPr>
      <w:r>
        <w:rPr>
          <w:sz w:val="18"/>
        </w:rPr>
        <w:t>A</w:t>
      </w:r>
      <w:r>
        <w:rPr>
          <w:spacing w:val="-15"/>
          <w:sz w:val="18"/>
        </w:rPr>
        <w:t> </w:t>
      </w:r>
      <w:r>
        <w:rPr>
          <w:sz w:val="18"/>
        </w:rPr>
        <w:t>comparison</w:t>
      </w:r>
      <w:r>
        <w:rPr>
          <w:spacing w:val="-14"/>
          <w:sz w:val="18"/>
        </w:rPr>
        <w:t> </w:t>
      </w:r>
      <w:r>
        <w:rPr>
          <w:sz w:val="18"/>
        </w:rPr>
        <w:t>of</w:t>
      </w:r>
      <w:r>
        <w:rPr>
          <w:spacing w:val="-14"/>
          <w:sz w:val="18"/>
        </w:rPr>
        <w:t> </w:t>
      </w:r>
      <w:r>
        <w:rPr>
          <w:sz w:val="18"/>
        </w:rPr>
        <w:t>all</w:t>
      </w:r>
      <w:r>
        <w:rPr>
          <w:spacing w:val="-14"/>
          <w:sz w:val="18"/>
        </w:rPr>
        <w:t> </w:t>
      </w:r>
      <w:r>
        <w:rPr>
          <w:sz w:val="18"/>
        </w:rPr>
        <w:t>the</w:t>
      </w:r>
      <w:r>
        <w:rPr>
          <w:spacing w:val="-14"/>
          <w:sz w:val="18"/>
        </w:rPr>
        <w:t> </w:t>
      </w:r>
      <w:r>
        <w:rPr>
          <w:sz w:val="18"/>
        </w:rPr>
        <w:t>economically</w:t>
      </w:r>
      <w:r>
        <w:rPr>
          <w:spacing w:val="-13"/>
          <w:sz w:val="18"/>
        </w:rPr>
        <w:t> </w:t>
      </w:r>
      <w:r>
        <w:rPr>
          <w:sz w:val="18"/>
        </w:rPr>
        <w:t>relevant</w:t>
      </w:r>
      <w:r>
        <w:rPr>
          <w:spacing w:val="-15"/>
          <w:sz w:val="18"/>
        </w:rPr>
        <w:t> </w:t>
      </w:r>
      <w:r>
        <w:rPr>
          <w:sz w:val="18"/>
        </w:rPr>
        <w:t>characteristics</w:t>
      </w:r>
      <w:r>
        <w:rPr>
          <w:spacing w:val="-13"/>
          <w:sz w:val="18"/>
        </w:rPr>
        <w:t> </w:t>
      </w:r>
      <w:r>
        <w:rPr>
          <w:sz w:val="18"/>
        </w:rPr>
        <w:t>of</w:t>
      </w:r>
      <w:r>
        <w:rPr>
          <w:spacing w:val="-15"/>
          <w:sz w:val="18"/>
        </w:rPr>
        <w:t> </w:t>
      </w:r>
      <w:r>
        <w:rPr>
          <w:sz w:val="18"/>
        </w:rPr>
        <w:t>the</w:t>
      </w:r>
      <w:r>
        <w:rPr>
          <w:spacing w:val="-14"/>
          <w:sz w:val="18"/>
        </w:rPr>
        <w:t> </w:t>
      </w:r>
      <w:r>
        <w:rPr>
          <w:sz w:val="18"/>
        </w:rPr>
        <w:t>transaction</w:t>
      </w:r>
      <w:r>
        <w:rPr>
          <w:spacing w:val="-13"/>
          <w:sz w:val="18"/>
        </w:rPr>
        <w:t> </w:t>
      </w:r>
      <w:r>
        <w:rPr>
          <w:sz w:val="18"/>
        </w:rPr>
        <w:t>is</w:t>
      </w:r>
      <w:r>
        <w:rPr>
          <w:spacing w:val="-14"/>
          <w:sz w:val="18"/>
        </w:rPr>
        <w:t> </w:t>
      </w:r>
      <w:r>
        <w:rPr>
          <w:sz w:val="18"/>
        </w:rPr>
        <w:t>relevant</w:t>
      </w:r>
      <w:r>
        <w:rPr>
          <w:spacing w:val="-15"/>
          <w:sz w:val="18"/>
        </w:rPr>
        <w:t> </w:t>
      </w:r>
      <w:r>
        <w:rPr>
          <w:sz w:val="18"/>
        </w:rPr>
        <w:t>to</w:t>
      </w:r>
      <w:r>
        <w:rPr>
          <w:spacing w:val="-13"/>
          <w:sz w:val="18"/>
        </w:rPr>
        <w:t> </w:t>
      </w:r>
      <w:r>
        <w:rPr>
          <w:sz w:val="18"/>
        </w:rPr>
        <w:t>establish</w:t>
      </w:r>
      <w:r>
        <w:rPr>
          <w:spacing w:val="-15"/>
          <w:sz w:val="18"/>
        </w:rPr>
        <w:t> </w:t>
      </w:r>
      <w:r>
        <w:rPr>
          <w:sz w:val="18"/>
        </w:rPr>
        <w:t>comparability of the controlled transaction with the relevant uncontrolled transactions used to fix the return for Amount B purposes, to retain its consistency with the arm’s length principle. This determination is subject to further technical</w:t>
      </w:r>
      <w:r>
        <w:rPr>
          <w:spacing w:val="-35"/>
          <w:sz w:val="18"/>
        </w:rPr>
        <w:t> </w:t>
      </w:r>
      <w:r>
        <w:rPr>
          <w:sz w:val="18"/>
        </w:rPr>
        <w:t>work.</w:t>
      </w:r>
    </w:p>
    <w:p>
      <w:pPr>
        <w:spacing w:line="278" w:lineRule="auto" w:before="117"/>
        <w:ind w:left="723" w:right="480" w:firstLine="0"/>
        <w:jc w:val="both"/>
        <w:rPr>
          <w:sz w:val="18"/>
        </w:rPr>
      </w:pPr>
      <w:r>
        <w:rPr>
          <w:position w:val="6"/>
          <w:sz w:val="12"/>
        </w:rPr>
        <w:t>130 </w:t>
      </w:r>
      <w:r>
        <w:rPr>
          <w:sz w:val="18"/>
        </w:rPr>
        <w:t>Several members of the Inclusive Framework have highlighted that including in-scope permanent establishments located in jurisdictions where the Authorised OECD Approach in the 2010 report on the “Attribution of Profits to Permanent Establishments” is not followed may entail inconsistencies in the application of Amount B and create implementation</w:t>
      </w:r>
      <w:r>
        <w:rPr>
          <w:spacing w:val="-15"/>
          <w:sz w:val="18"/>
        </w:rPr>
        <w:t> </w:t>
      </w:r>
      <w:r>
        <w:rPr>
          <w:sz w:val="18"/>
        </w:rPr>
        <w:t>challenges.</w:t>
      </w:r>
      <w:r>
        <w:rPr>
          <w:spacing w:val="-12"/>
          <w:sz w:val="18"/>
        </w:rPr>
        <w:t> </w:t>
      </w:r>
      <w:r>
        <w:rPr>
          <w:sz w:val="18"/>
        </w:rPr>
        <w:t>Further</w:t>
      </w:r>
      <w:r>
        <w:rPr>
          <w:spacing w:val="-12"/>
          <w:sz w:val="18"/>
        </w:rPr>
        <w:t> </w:t>
      </w:r>
      <w:r>
        <w:rPr>
          <w:sz w:val="18"/>
        </w:rPr>
        <w:t>technical</w:t>
      </w:r>
      <w:r>
        <w:rPr>
          <w:spacing w:val="-12"/>
          <w:sz w:val="18"/>
        </w:rPr>
        <w:t> </w:t>
      </w:r>
      <w:r>
        <w:rPr>
          <w:sz w:val="18"/>
        </w:rPr>
        <w:t>work</w:t>
      </w:r>
      <w:r>
        <w:rPr>
          <w:spacing w:val="-12"/>
          <w:sz w:val="18"/>
        </w:rPr>
        <w:t> </w:t>
      </w:r>
      <w:r>
        <w:rPr>
          <w:sz w:val="18"/>
        </w:rPr>
        <w:t>will</w:t>
      </w:r>
      <w:r>
        <w:rPr>
          <w:spacing w:val="-12"/>
          <w:sz w:val="18"/>
        </w:rPr>
        <w:t> </w:t>
      </w:r>
      <w:r>
        <w:rPr>
          <w:sz w:val="18"/>
        </w:rPr>
        <w:t>be</w:t>
      </w:r>
      <w:r>
        <w:rPr>
          <w:spacing w:val="-12"/>
          <w:sz w:val="18"/>
        </w:rPr>
        <w:t> </w:t>
      </w:r>
      <w:r>
        <w:rPr>
          <w:sz w:val="18"/>
        </w:rPr>
        <w:t>required</w:t>
      </w:r>
      <w:r>
        <w:rPr>
          <w:spacing w:val="-11"/>
          <w:sz w:val="18"/>
        </w:rPr>
        <w:t> </w:t>
      </w:r>
      <w:r>
        <w:rPr>
          <w:sz w:val="18"/>
        </w:rPr>
        <w:t>to</w:t>
      </w:r>
      <w:r>
        <w:rPr>
          <w:spacing w:val="-12"/>
          <w:sz w:val="18"/>
        </w:rPr>
        <w:t> </w:t>
      </w:r>
      <w:r>
        <w:rPr>
          <w:sz w:val="18"/>
        </w:rPr>
        <w:t>address</w:t>
      </w:r>
      <w:r>
        <w:rPr>
          <w:spacing w:val="-12"/>
          <w:sz w:val="18"/>
        </w:rPr>
        <w:t> </w:t>
      </w:r>
      <w:r>
        <w:rPr>
          <w:sz w:val="18"/>
        </w:rPr>
        <w:t>this</w:t>
      </w:r>
      <w:r>
        <w:rPr>
          <w:spacing w:val="-12"/>
          <w:sz w:val="18"/>
        </w:rPr>
        <w:t> </w:t>
      </w:r>
      <w:r>
        <w:rPr>
          <w:sz w:val="18"/>
        </w:rPr>
        <w:t>concern,</w:t>
      </w:r>
      <w:r>
        <w:rPr>
          <w:spacing w:val="-11"/>
          <w:sz w:val="18"/>
        </w:rPr>
        <w:t> </w:t>
      </w:r>
      <w:r>
        <w:rPr>
          <w:sz w:val="18"/>
        </w:rPr>
        <w:t>including</w:t>
      </w:r>
      <w:r>
        <w:rPr>
          <w:spacing w:val="-12"/>
          <w:sz w:val="18"/>
        </w:rPr>
        <w:t> </w:t>
      </w:r>
      <w:r>
        <w:rPr>
          <w:sz w:val="18"/>
        </w:rPr>
        <w:t>the</w:t>
      </w:r>
      <w:r>
        <w:rPr>
          <w:spacing w:val="-12"/>
          <w:sz w:val="18"/>
        </w:rPr>
        <w:t> </w:t>
      </w:r>
      <w:r>
        <w:rPr>
          <w:sz w:val="18"/>
        </w:rPr>
        <w:t>determination of whether PE’s would be in scope. Further, some Inclusive Framework members have highlighted the need to consider situations where both an in-scope PE and distribution entity is within a market jurisdiction. Further technical work will be required to address whether returns in such situations are aggregated or measured</w:t>
      </w:r>
      <w:r>
        <w:rPr>
          <w:spacing w:val="-24"/>
          <w:sz w:val="18"/>
        </w:rPr>
        <w:t> </w:t>
      </w:r>
      <w:r>
        <w:rPr>
          <w:sz w:val="18"/>
        </w:rPr>
        <w:t>separately.</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66" w:lineRule="auto" w:before="93"/>
        <w:ind w:left="723" w:right="438"/>
        <w:jc w:val="both"/>
      </w:pPr>
      <w:r>
        <w:rPr/>
        <w:t>foreign party) that perform baseline marketing and distribution activities for the distribution of products for the MNE group (hereinafter, “distribution entity”).</w:t>
      </w:r>
      <w:r>
        <w:rPr>
          <w:vertAlign w:val="superscript"/>
        </w:rPr>
        <w:t>131</w:t>
      </w:r>
    </w:p>
    <w:p>
      <w:pPr>
        <w:pStyle w:val="ListParagraph"/>
        <w:numPr>
          <w:ilvl w:val="0"/>
          <w:numId w:val="13"/>
        </w:numPr>
        <w:tabs>
          <w:tab w:pos="1444" w:val="left" w:leader="none"/>
        </w:tabs>
        <w:spacing w:line="240" w:lineRule="auto" w:before="128" w:after="0"/>
        <w:ind w:left="1443" w:right="0" w:hanging="721"/>
        <w:jc w:val="both"/>
        <w:rPr>
          <w:sz w:val="20"/>
        </w:rPr>
      </w:pPr>
      <w:r>
        <w:rPr>
          <w:sz w:val="20"/>
        </w:rPr>
        <w:t>The controlled transactions in scope could consist</w:t>
      </w:r>
      <w:r>
        <w:rPr>
          <w:spacing w:val="-5"/>
          <w:sz w:val="20"/>
        </w:rPr>
        <w:t> </w:t>
      </w:r>
      <w:r>
        <w:rPr>
          <w:sz w:val="20"/>
        </w:rPr>
        <w:t>of:</w:t>
      </w:r>
    </w:p>
    <w:p>
      <w:pPr>
        <w:pStyle w:val="ListParagraph"/>
        <w:numPr>
          <w:ilvl w:val="1"/>
          <w:numId w:val="13"/>
        </w:numPr>
        <w:tabs>
          <w:tab w:pos="1403" w:val="left" w:leader="none"/>
        </w:tabs>
        <w:spacing w:line="268" w:lineRule="auto" w:before="131" w:after="0"/>
        <w:ind w:left="1402" w:right="485" w:hanging="339"/>
        <w:jc w:val="both"/>
        <w:rPr>
          <w:sz w:val="20"/>
        </w:rPr>
      </w:pPr>
      <w:r>
        <w:rPr>
          <w:sz w:val="20"/>
        </w:rPr>
        <w:t>The purchase of products from a foreign associated enterprise for resale to unrelated customers predominantly</w:t>
      </w:r>
      <w:r>
        <w:rPr>
          <w:sz w:val="20"/>
          <w:vertAlign w:val="superscript"/>
        </w:rPr>
        <w:t>132</w:t>
      </w:r>
      <w:r>
        <w:rPr>
          <w:sz w:val="20"/>
          <w:vertAlign w:val="baseline"/>
        </w:rPr>
        <w:t> in its country of residence, and the associated performance of defined baseline distribution activities; and</w:t>
      </w:r>
    </w:p>
    <w:p>
      <w:pPr>
        <w:pStyle w:val="ListParagraph"/>
        <w:numPr>
          <w:ilvl w:val="1"/>
          <w:numId w:val="13"/>
        </w:numPr>
        <w:tabs>
          <w:tab w:pos="1403" w:val="left" w:leader="none"/>
        </w:tabs>
        <w:spacing w:line="266" w:lineRule="auto" w:before="50" w:after="0"/>
        <w:ind w:left="1402" w:right="487" w:hanging="339"/>
        <w:jc w:val="both"/>
        <w:rPr>
          <w:sz w:val="20"/>
        </w:rPr>
      </w:pPr>
      <w:r>
        <w:rPr>
          <w:sz w:val="20"/>
        </w:rPr>
        <w:t>The performance of the defined baseline marketing and distribution activities by the distribution entity in its state of residence, transacting or dealing with a foreign associated</w:t>
      </w:r>
      <w:r>
        <w:rPr>
          <w:spacing w:val="-17"/>
          <w:sz w:val="20"/>
        </w:rPr>
        <w:t> </w:t>
      </w:r>
      <w:r>
        <w:rPr>
          <w:sz w:val="20"/>
        </w:rPr>
        <w:t>enterprise.</w:t>
      </w:r>
      <w:r>
        <w:rPr>
          <w:sz w:val="20"/>
          <w:vertAlign w:val="superscript"/>
        </w:rPr>
        <w:t>133</w:t>
      </w:r>
    </w:p>
    <w:p>
      <w:pPr>
        <w:pStyle w:val="ListParagraph"/>
        <w:numPr>
          <w:ilvl w:val="0"/>
          <w:numId w:val="13"/>
        </w:numPr>
        <w:tabs>
          <w:tab w:pos="1444" w:val="left" w:leader="none"/>
        </w:tabs>
        <w:spacing w:line="271" w:lineRule="auto" w:before="132" w:after="0"/>
        <w:ind w:left="723" w:right="482" w:firstLine="0"/>
        <w:jc w:val="both"/>
        <w:rPr>
          <w:sz w:val="20"/>
        </w:rPr>
      </w:pPr>
      <w:r>
        <w:rPr>
          <w:sz w:val="20"/>
        </w:rPr>
        <w:t>An accurate delineation of the controlled transaction, taking into account all of the relevant comparability</w:t>
      </w:r>
      <w:r>
        <w:rPr>
          <w:spacing w:val="-17"/>
          <w:sz w:val="20"/>
        </w:rPr>
        <w:t> </w:t>
      </w:r>
      <w:r>
        <w:rPr>
          <w:sz w:val="20"/>
        </w:rPr>
        <w:t>factors</w:t>
      </w:r>
      <w:r>
        <w:rPr>
          <w:spacing w:val="-12"/>
          <w:sz w:val="20"/>
        </w:rPr>
        <w:t> </w:t>
      </w:r>
      <w:r>
        <w:rPr>
          <w:sz w:val="20"/>
        </w:rPr>
        <w:t>inclusive</w:t>
      </w:r>
      <w:r>
        <w:rPr>
          <w:spacing w:val="-12"/>
          <w:sz w:val="20"/>
        </w:rPr>
        <w:t> </w:t>
      </w:r>
      <w:r>
        <w:rPr>
          <w:sz w:val="20"/>
        </w:rPr>
        <w:t>of</w:t>
      </w:r>
      <w:r>
        <w:rPr>
          <w:spacing w:val="-13"/>
          <w:sz w:val="20"/>
        </w:rPr>
        <w:t> </w:t>
      </w:r>
      <w:r>
        <w:rPr>
          <w:sz w:val="20"/>
        </w:rPr>
        <w:t>the</w:t>
      </w:r>
      <w:r>
        <w:rPr>
          <w:spacing w:val="-13"/>
          <w:sz w:val="20"/>
        </w:rPr>
        <w:t> </w:t>
      </w:r>
      <w:r>
        <w:rPr>
          <w:sz w:val="20"/>
        </w:rPr>
        <w:t>functional</w:t>
      </w:r>
      <w:r>
        <w:rPr>
          <w:spacing w:val="-13"/>
          <w:sz w:val="20"/>
        </w:rPr>
        <w:t> </w:t>
      </w:r>
      <w:r>
        <w:rPr>
          <w:sz w:val="20"/>
        </w:rPr>
        <w:t>analysis</w:t>
      </w:r>
      <w:r>
        <w:rPr>
          <w:spacing w:val="-12"/>
          <w:sz w:val="20"/>
        </w:rPr>
        <w:t> </w:t>
      </w:r>
      <w:r>
        <w:rPr>
          <w:sz w:val="20"/>
        </w:rPr>
        <w:t>on</w:t>
      </w:r>
      <w:r>
        <w:rPr>
          <w:spacing w:val="-12"/>
          <w:sz w:val="20"/>
        </w:rPr>
        <w:t> </w:t>
      </w:r>
      <w:r>
        <w:rPr>
          <w:sz w:val="20"/>
        </w:rPr>
        <w:t>which</w:t>
      </w:r>
      <w:r>
        <w:rPr>
          <w:spacing w:val="-12"/>
          <w:sz w:val="20"/>
        </w:rPr>
        <w:t> </w:t>
      </w:r>
      <w:r>
        <w:rPr>
          <w:sz w:val="20"/>
        </w:rPr>
        <w:t>the</w:t>
      </w:r>
      <w:r>
        <w:rPr>
          <w:spacing w:val="-14"/>
          <w:sz w:val="20"/>
        </w:rPr>
        <w:t> </w:t>
      </w:r>
      <w:r>
        <w:rPr>
          <w:sz w:val="20"/>
        </w:rPr>
        <w:t>defined</w:t>
      </w:r>
      <w:r>
        <w:rPr>
          <w:spacing w:val="-12"/>
          <w:sz w:val="20"/>
        </w:rPr>
        <w:t> </w:t>
      </w:r>
      <w:r>
        <w:rPr>
          <w:sz w:val="20"/>
        </w:rPr>
        <w:t>in-scope</w:t>
      </w:r>
      <w:r>
        <w:rPr>
          <w:spacing w:val="-14"/>
          <w:sz w:val="20"/>
        </w:rPr>
        <w:t> </w:t>
      </w:r>
      <w:r>
        <w:rPr>
          <w:sz w:val="20"/>
        </w:rPr>
        <w:t>activities</w:t>
      </w:r>
      <w:r>
        <w:rPr>
          <w:spacing w:val="-12"/>
          <w:sz w:val="20"/>
        </w:rPr>
        <w:t> </w:t>
      </w:r>
      <w:r>
        <w:rPr>
          <w:sz w:val="20"/>
        </w:rPr>
        <w:t>are</w:t>
      </w:r>
      <w:r>
        <w:rPr>
          <w:spacing w:val="-11"/>
          <w:sz w:val="20"/>
        </w:rPr>
        <w:t> </w:t>
      </w:r>
      <w:r>
        <w:rPr>
          <w:sz w:val="20"/>
        </w:rPr>
        <w:t>based, will</w:t>
      </w:r>
      <w:r>
        <w:rPr>
          <w:spacing w:val="-6"/>
          <w:sz w:val="20"/>
        </w:rPr>
        <w:t> </w:t>
      </w:r>
      <w:r>
        <w:rPr>
          <w:sz w:val="20"/>
        </w:rPr>
        <w:t>determine</w:t>
      </w:r>
      <w:r>
        <w:rPr>
          <w:spacing w:val="-5"/>
          <w:sz w:val="20"/>
        </w:rPr>
        <w:t> </w:t>
      </w:r>
      <w:r>
        <w:rPr>
          <w:sz w:val="20"/>
        </w:rPr>
        <w:t>whether</w:t>
      </w:r>
      <w:r>
        <w:rPr>
          <w:spacing w:val="-4"/>
          <w:sz w:val="20"/>
        </w:rPr>
        <w:t> </w:t>
      </w:r>
      <w:r>
        <w:rPr>
          <w:sz w:val="20"/>
        </w:rPr>
        <w:t>a</w:t>
      </w:r>
      <w:r>
        <w:rPr>
          <w:spacing w:val="-4"/>
          <w:sz w:val="20"/>
        </w:rPr>
        <w:t> </w:t>
      </w:r>
      <w:r>
        <w:rPr>
          <w:sz w:val="20"/>
        </w:rPr>
        <w:t>distribution</w:t>
      </w:r>
      <w:r>
        <w:rPr>
          <w:spacing w:val="-6"/>
          <w:sz w:val="20"/>
        </w:rPr>
        <w:t> </w:t>
      </w:r>
      <w:r>
        <w:rPr>
          <w:sz w:val="20"/>
        </w:rPr>
        <w:t>entity</w:t>
      </w:r>
      <w:r>
        <w:rPr>
          <w:spacing w:val="-7"/>
          <w:sz w:val="20"/>
        </w:rPr>
        <w:t> </w:t>
      </w:r>
      <w:r>
        <w:rPr>
          <w:sz w:val="20"/>
        </w:rPr>
        <w:t>is</w:t>
      </w:r>
      <w:r>
        <w:rPr>
          <w:spacing w:val="-3"/>
          <w:sz w:val="20"/>
        </w:rPr>
        <w:t> </w:t>
      </w:r>
      <w:r>
        <w:rPr>
          <w:sz w:val="20"/>
        </w:rPr>
        <w:t>engaged</w:t>
      </w:r>
      <w:r>
        <w:rPr>
          <w:spacing w:val="-3"/>
          <w:sz w:val="20"/>
        </w:rPr>
        <w:t> </w:t>
      </w:r>
      <w:r>
        <w:rPr>
          <w:sz w:val="20"/>
        </w:rPr>
        <w:t>in</w:t>
      </w:r>
      <w:r>
        <w:rPr>
          <w:spacing w:val="-5"/>
          <w:sz w:val="20"/>
        </w:rPr>
        <w:t> </w:t>
      </w:r>
      <w:r>
        <w:rPr>
          <w:sz w:val="20"/>
        </w:rPr>
        <w:t>a</w:t>
      </w:r>
      <w:r>
        <w:rPr>
          <w:spacing w:val="-5"/>
          <w:sz w:val="20"/>
        </w:rPr>
        <w:t> </w:t>
      </w:r>
      <w:r>
        <w:rPr>
          <w:sz w:val="20"/>
        </w:rPr>
        <w:t>transaction in</w:t>
      </w:r>
      <w:r>
        <w:rPr>
          <w:spacing w:val="-4"/>
          <w:sz w:val="20"/>
        </w:rPr>
        <w:t> </w:t>
      </w:r>
      <w:r>
        <w:rPr>
          <w:sz w:val="20"/>
        </w:rPr>
        <w:t>scope</w:t>
      </w:r>
      <w:r>
        <w:rPr>
          <w:spacing w:val="-5"/>
          <w:sz w:val="20"/>
        </w:rPr>
        <w:t> </w:t>
      </w:r>
      <w:r>
        <w:rPr>
          <w:sz w:val="20"/>
        </w:rPr>
        <w:t>of</w:t>
      </w:r>
      <w:r>
        <w:rPr>
          <w:spacing w:val="-2"/>
          <w:sz w:val="20"/>
        </w:rPr>
        <w:t> </w:t>
      </w:r>
      <w:r>
        <w:rPr>
          <w:sz w:val="20"/>
        </w:rPr>
        <w:t>Amount</w:t>
      </w:r>
      <w:r>
        <w:rPr>
          <w:spacing w:val="-3"/>
          <w:sz w:val="20"/>
        </w:rPr>
        <w:t> </w:t>
      </w:r>
      <w:r>
        <w:rPr>
          <w:sz w:val="20"/>
        </w:rPr>
        <w:t>B.</w:t>
      </w:r>
      <w:r>
        <w:rPr>
          <w:spacing w:val="-5"/>
          <w:sz w:val="20"/>
        </w:rPr>
        <w:t> </w:t>
      </w:r>
      <w:r>
        <w:rPr>
          <w:sz w:val="20"/>
        </w:rPr>
        <w:t>Accordingly, the guidance in Chapter I of the OECD TPG will be relevant for purposes of identifying entities in an MNE group that are within scope of Amount B. No assumption is made about the functional profile of a distribution entity based on how it is labelled or characterised by the MNE of which it is a</w:t>
      </w:r>
      <w:r>
        <w:rPr>
          <w:spacing w:val="-27"/>
          <w:sz w:val="20"/>
        </w:rPr>
        <w:t> </w:t>
      </w:r>
      <w:r>
        <w:rPr>
          <w:sz w:val="20"/>
        </w:rPr>
        <w:t>member.</w:t>
      </w:r>
    </w:p>
    <w:p>
      <w:pPr>
        <w:pStyle w:val="ListParagraph"/>
        <w:numPr>
          <w:ilvl w:val="0"/>
          <w:numId w:val="13"/>
        </w:numPr>
        <w:tabs>
          <w:tab w:pos="1444" w:val="left" w:leader="none"/>
        </w:tabs>
        <w:spacing w:line="268" w:lineRule="auto" w:before="121" w:after="0"/>
        <w:ind w:left="723" w:right="433" w:firstLine="0"/>
        <w:jc w:val="both"/>
        <w:rPr>
          <w:sz w:val="20"/>
        </w:rPr>
      </w:pPr>
      <w:r>
        <w:rPr>
          <w:sz w:val="20"/>
        </w:rPr>
        <w:t>Amount B would apply to a distribution entity that, according to the accurate delineation of the transaction, performs functions, owns assets and assumes risks that would characterise it as a routine distributor at arm’s</w:t>
      </w:r>
      <w:r>
        <w:rPr>
          <w:spacing w:val="-2"/>
          <w:sz w:val="20"/>
        </w:rPr>
        <w:t> </w:t>
      </w:r>
      <w:r>
        <w:rPr>
          <w:sz w:val="20"/>
        </w:rPr>
        <w:t>length.</w:t>
      </w:r>
      <w:r>
        <w:rPr>
          <w:sz w:val="20"/>
          <w:vertAlign w:val="superscript"/>
        </w:rPr>
        <w:t>134</w:t>
      </w:r>
    </w:p>
    <w:p>
      <w:pPr>
        <w:pStyle w:val="BodyText"/>
        <w:spacing w:before="8"/>
      </w:pPr>
    </w:p>
    <w:p>
      <w:pPr>
        <w:pStyle w:val="Heading7"/>
        <w:rPr>
          <w:i/>
        </w:rPr>
      </w:pPr>
      <w:bookmarkStart w:name="Definition of baseline activities and ne" w:id="390"/>
      <w:bookmarkEnd w:id="390"/>
      <w:r>
        <w:rPr>
          <w:i w:val="0"/>
        </w:rPr>
      </w:r>
      <w:r>
        <w:rPr>
          <w:i/>
          <w:color w:val="616161"/>
        </w:rPr>
        <w:t>Definition of baseline activities and negative indicators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33" w:firstLine="0"/>
        <w:jc w:val="both"/>
        <w:rPr>
          <w:sz w:val="20"/>
        </w:rPr>
      </w:pPr>
      <w:r>
        <w:rPr>
          <w:sz w:val="20"/>
        </w:rPr>
        <w:t>For simplicity of administration and to limit the potential for disputes over what is in the scope of Amount B, the in-scope baseline marketing and distribution activities are first defined by reference to a list of typical functions performed, assets owned and risks assumed at arm’s length by routine distributors.</w:t>
      </w:r>
      <w:r>
        <w:rPr>
          <w:sz w:val="20"/>
          <w:vertAlign w:val="superscript"/>
        </w:rPr>
        <w:t>135</w:t>
      </w:r>
      <w:r>
        <w:rPr>
          <w:sz w:val="20"/>
          <w:vertAlign w:val="baseline"/>
        </w:rPr>
        <w:t> This ‘positive list’ is based on a narrow scoping definition that aims to qualitatively measure the profile of typical</w:t>
      </w:r>
      <w:r>
        <w:rPr>
          <w:spacing w:val="-14"/>
          <w:sz w:val="20"/>
          <w:vertAlign w:val="baseline"/>
        </w:rPr>
        <w:t> </w:t>
      </w:r>
      <w:r>
        <w:rPr>
          <w:sz w:val="20"/>
          <w:vertAlign w:val="baseline"/>
        </w:rPr>
        <w:t>routine</w:t>
      </w:r>
      <w:r>
        <w:rPr>
          <w:spacing w:val="-13"/>
          <w:sz w:val="20"/>
          <w:vertAlign w:val="baseline"/>
        </w:rPr>
        <w:t> </w:t>
      </w:r>
      <w:r>
        <w:rPr>
          <w:sz w:val="20"/>
          <w:vertAlign w:val="baseline"/>
        </w:rPr>
        <w:t>distributors.</w:t>
      </w:r>
      <w:r>
        <w:rPr>
          <w:spacing w:val="-12"/>
          <w:sz w:val="20"/>
          <w:vertAlign w:val="baseline"/>
        </w:rPr>
        <w:t> </w:t>
      </w:r>
      <w:r>
        <w:rPr>
          <w:sz w:val="20"/>
          <w:vertAlign w:val="baseline"/>
        </w:rPr>
        <w:t>Second,</w:t>
      </w:r>
      <w:r>
        <w:rPr>
          <w:spacing w:val="-15"/>
          <w:sz w:val="20"/>
          <w:vertAlign w:val="baseline"/>
        </w:rPr>
        <w:t> </w:t>
      </w:r>
      <w:r>
        <w:rPr>
          <w:sz w:val="20"/>
          <w:vertAlign w:val="baseline"/>
        </w:rPr>
        <w:t>a</w:t>
      </w:r>
      <w:r>
        <w:rPr>
          <w:spacing w:val="-13"/>
          <w:sz w:val="20"/>
          <w:vertAlign w:val="baseline"/>
        </w:rPr>
        <w:t> </w:t>
      </w:r>
      <w:r>
        <w:rPr>
          <w:sz w:val="20"/>
          <w:vertAlign w:val="baseline"/>
        </w:rPr>
        <w:t>‘negative</w:t>
      </w:r>
      <w:r>
        <w:rPr>
          <w:spacing w:val="-12"/>
          <w:sz w:val="20"/>
          <w:vertAlign w:val="baseline"/>
        </w:rPr>
        <w:t> </w:t>
      </w:r>
      <w:r>
        <w:rPr>
          <w:sz w:val="20"/>
          <w:vertAlign w:val="baseline"/>
        </w:rPr>
        <w:t>list’</w:t>
      </w:r>
      <w:r>
        <w:rPr>
          <w:spacing w:val="-13"/>
          <w:sz w:val="20"/>
          <w:vertAlign w:val="baseline"/>
        </w:rPr>
        <w:t> </w:t>
      </w:r>
      <w:r>
        <w:rPr>
          <w:sz w:val="20"/>
          <w:vertAlign w:val="baseline"/>
        </w:rPr>
        <w:t>of</w:t>
      </w:r>
      <w:r>
        <w:rPr>
          <w:spacing w:val="-13"/>
          <w:sz w:val="20"/>
          <w:vertAlign w:val="baseline"/>
        </w:rPr>
        <w:t> </w:t>
      </w:r>
      <w:r>
        <w:rPr>
          <w:sz w:val="20"/>
          <w:vertAlign w:val="baseline"/>
        </w:rPr>
        <w:t>typical</w:t>
      </w:r>
      <w:r>
        <w:rPr>
          <w:spacing w:val="-16"/>
          <w:sz w:val="20"/>
          <w:vertAlign w:val="baseline"/>
        </w:rPr>
        <w:t> </w:t>
      </w:r>
      <w:r>
        <w:rPr>
          <w:sz w:val="20"/>
          <w:vertAlign w:val="baseline"/>
        </w:rPr>
        <w:t>functions</w:t>
      </w:r>
      <w:r>
        <w:rPr>
          <w:spacing w:val="-13"/>
          <w:sz w:val="20"/>
          <w:vertAlign w:val="baseline"/>
        </w:rPr>
        <w:t> </w:t>
      </w:r>
      <w:r>
        <w:rPr>
          <w:sz w:val="20"/>
          <w:vertAlign w:val="baseline"/>
        </w:rPr>
        <w:t>that</w:t>
      </w:r>
      <w:r>
        <w:rPr>
          <w:spacing w:val="-4"/>
          <w:sz w:val="20"/>
          <w:vertAlign w:val="baseline"/>
        </w:rPr>
        <w:t> </w:t>
      </w:r>
      <w:r>
        <w:rPr>
          <w:sz w:val="20"/>
          <w:vertAlign w:val="baseline"/>
        </w:rPr>
        <w:t>should</w:t>
      </w:r>
      <w:r>
        <w:rPr>
          <w:spacing w:val="-13"/>
          <w:sz w:val="20"/>
          <w:vertAlign w:val="baseline"/>
        </w:rPr>
        <w:t> </w:t>
      </w:r>
      <w:r>
        <w:rPr>
          <w:sz w:val="20"/>
          <w:vertAlign w:val="baseline"/>
        </w:rPr>
        <w:t>not</w:t>
      </w:r>
      <w:r>
        <w:rPr>
          <w:spacing w:val="-12"/>
          <w:sz w:val="20"/>
          <w:vertAlign w:val="baseline"/>
        </w:rPr>
        <w:t> </w:t>
      </w:r>
      <w:r>
        <w:rPr>
          <w:sz w:val="20"/>
          <w:vertAlign w:val="baseline"/>
        </w:rPr>
        <w:t>be</w:t>
      </w:r>
      <w:r>
        <w:rPr>
          <w:spacing w:val="-15"/>
          <w:sz w:val="20"/>
          <w:vertAlign w:val="baseline"/>
        </w:rPr>
        <w:t> </w:t>
      </w:r>
      <w:r>
        <w:rPr>
          <w:sz w:val="20"/>
          <w:vertAlign w:val="baseline"/>
        </w:rPr>
        <w:t>performed,</w:t>
      </w:r>
      <w:r>
        <w:rPr>
          <w:spacing w:val="-14"/>
          <w:sz w:val="20"/>
          <w:vertAlign w:val="baseline"/>
        </w:rPr>
        <w:t> </w:t>
      </w:r>
      <w:r>
        <w:rPr>
          <w:sz w:val="20"/>
          <w:vertAlign w:val="baseline"/>
        </w:rPr>
        <w:t>assets not owned and risks not assumed at arm’s length by routine distributors are included to qualitatively measure the additional factors that would cause a distributor to be outside the scope of Amount B.</w:t>
      </w:r>
      <w:r>
        <w:rPr>
          <w:spacing w:val="20"/>
          <w:sz w:val="20"/>
          <w:vertAlign w:val="baseline"/>
        </w:rPr>
        <w:t> </w:t>
      </w:r>
      <w:r>
        <w:rPr>
          <w:sz w:val="20"/>
          <w:vertAlign w:val="baseline"/>
        </w:rPr>
        <w:t>Taken</w:t>
      </w:r>
    </w:p>
    <w:p>
      <w:pPr>
        <w:pStyle w:val="BodyText"/>
        <w:spacing w:before="1"/>
        <w:rPr>
          <w:sz w:val="21"/>
        </w:rPr>
      </w:pPr>
      <w:r>
        <w:rPr/>
        <w:pict>
          <v:rect style="position:absolute;margin-left:65.183998pt;margin-top:14.122481pt;width:144.020004pt;height:.599980pt;mso-position-horizontal-relative:page;mso-position-vertical-relative:paragraph;z-index:-15648256;mso-wrap-distance-left:0;mso-wrap-distance-right:0" filled="true" fillcolor="#000000" stroked="false">
            <v:fill type="solid"/>
            <w10:wrap type="topAndBottom"/>
          </v:rect>
        </w:pict>
      </w:r>
    </w:p>
    <w:p>
      <w:pPr>
        <w:pStyle w:val="BodyText"/>
        <w:spacing w:before="7"/>
        <w:rPr>
          <w:sz w:val="18"/>
        </w:rPr>
      </w:pPr>
    </w:p>
    <w:p>
      <w:pPr>
        <w:spacing w:line="278" w:lineRule="auto" w:before="96"/>
        <w:ind w:left="865" w:right="584" w:firstLine="0"/>
        <w:jc w:val="both"/>
        <w:rPr>
          <w:sz w:val="18"/>
        </w:rPr>
      </w:pPr>
      <w:r>
        <w:rPr>
          <w:position w:val="6"/>
          <w:sz w:val="13"/>
        </w:rPr>
        <w:t>131 </w:t>
      </w:r>
      <w:r>
        <w:rPr>
          <w:sz w:val="18"/>
        </w:rPr>
        <w:t>The same rules will apply to a local permanent establishment of a foreign enterprise. It is not a resident, but for simplicity the analysis in this chapter refers only to local resident entities.</w:t>
      </w:r>
    </w:p>
    <w:p>
      <w:pPr>
        <w:spacing w:line="278" w:lineRule="auto" w:before="106"/>
        <w:ind w:left="865" w:right="581" w:firstLine="0"/>
        <w:jc w:val="both"/>
        <w:rPr>
          <w:sz w:val="18"/>
        </w:rPr>
      </w:pPr>
      <w:r>
        <w:rPr>
          <w:position w:val="6"/>
          <w:sz w:val="13"/>
        </w:rPr>
        <w:t>132 </w:t>
      </w:r>
      <w:r>
        <w:rPr>
          <w:sz w:val="18"/>
        </w:rPr>
        <w:t>The term “predominantly” would require that at least [50%] of the products be sold in the state of residence of the distribution entity.</w:t>
      </w:r>
    </w:p>
    <w:p>
      <w:pPr>
        <w:spacing w:line="278" w:lineRule="auto" w:before="107"/>
        <w:ind w:left="865" w:right="583" w:firstLine="0"/>
        <w:jc w:val="both"/>
        <w:rPr>
          <w:sz w:val="18"/>
        </w:rPr>
      </w:pPr>
      <w:r>
        <w:rPr>
          <w:position w:val="6"/>
          <w:sz w:val="13"/>
        </w:rPr>
        <w:t>133 </w:t>
      </w:r>
      <w:r>
        <w:rPr>
          <w:sz w:val="18"/>
        </w:rPr>
        <w:t>There may be situations where the first test is met, but the distribution entity does not perform a sufficient level and/or breadth of marketing and distribution activities to warrant it being in the scope of Amount B. In such circumstances remuneration based on the existing ALP will be appropriate.</w:t>
      </w:r>
    </w:p>
    <w:p>
      <w:pPr>
        <w:spacing w:line="278" w:lineRule="auto" w:before="107"/>
        <w:ind w:left="865" w:right="578" w:firstLine="0"/>
        <w:jc w:val="both"/>
        <w:rPr>
          <w:sz w:val="18"/>
        </w:rPr>
      </w:pPr>
      <w:r>
        <w:rPr>
          <w:position w:val="6"/>
          <w:sz w:val="13"/>
        </w:rPr>
        <w:t>134</w:t>
      </w:r>
      <w:r>
        <w:rPr>
          <w:spacing w:val="8"/>
          <w:position w:val="6"/>
          <w:sz w:val="13"/>
        </w:rPr>
        <w:t> </w:t>
      </w:r>
      <w:r>
        <w:rPr>
          <w:sz w:val="18"/>
        </w:rPr>
        <w:t>As</w:t>
      </w:r>
      <w:r>
        <w:rPr>
          <w:spacing w:val="-7"/>
          <w:sz w:val="18"/>
        </w:rPr>
        <w:t> </w:t>
      </w:r>
      <w:r>
        <w:rPr>
          <w:sz w:val="18"/>
        </w:rPr>
        <w:t>noted,</w:t>
      </w:r>
      <w:r>
        <w:rPr>
          <w:spacing w:val="-4"/>
          <w:sz w:val="18"/>
        </w:rPr>
        <w:t> </w:t>
      </w:r>
      <w:r>
        <w:rPr>
          <w:sz w:val="18"/>
        </w:rPr>
        <w:t>this</w:t>
      </w:r>
      <w:r>
        <w:rPr>
          <w:spacing w:val="-7"/>
          <w:sz w:val="18"/>
        </w:rPr>
        <w:t> </w:t>
      </w:r>
      <w:r>
        <w:rPr>
          <w:sz w:val="18"/>
        </w:rPr>
        <w:t>may</w:t>
      </w:r>
      <w:r>
        <w:rPr>
          <w:spacing w:val="-7"/>
          <w:sz w:val="18"/>
        </w:rPr>
        <w:t> </w:t>
      </w:r>
      <w:r>
        <w:rPr>
          <w:sz w:val="18"/>
        </w:rPr>
        <w:t>have</w:t>
      </w:r>
      <w:r>
        <w:rPr>
          <w:spacing w:val="-6"/>
          <w:sz w:val="18"/>
        </w:rPr>
        <w:t> </w:t>
      </w:r>
      <w:r>
        <w:rPr>
          <w:sz w:val="18"/>
        </w:rPr>
        <w:t>different</w:t>
      </w:r>
      <w:r>
        <w:rPr>
          <w:spacing w:val="-5"/>
          <w:sz w:val="18"/>
        </w:rPr>
        <w:t> </w:t>
      </w:r>
      <w:r>
        <w:rPr>
          <w:sz w:val="18"/>
        </w:rPr>
        <w:t>functional</w:t>
      </w:r>
      <w:r>
        <w:rPr>
          <w:spacing w:val="-6"/>
          <w:sz w:val="18"/>
        </w:rPr>
        <w:t> </w:t>
      </w:r>
      <w:r>
        <w:rPr>
          <w:sz w:val="18"/>
        </w:rPr>
        <w:t>intensity</w:t>
      </w:r>
      <w:r>
        <w:rPr>
          <w:spacing w:val="-6"/>
          <w:sz w:val="18"/>
        </w:rPr>
        <w:t> </w:t>
      </w:r>
      <w:r>
        <w:rPr>
          <w:sz w:val="18"/>
        </w:rPr>
        <w:t>and</w:t>
      </w:r>
      <w:r>
        <w:rPr>
          <w:spacing w:val="-5"/>
          <w:sz w:val="18"/>
        </w:rPr>
        <w:t> </w:t>
      </w:r>
      <w:r>
        <w:rPr>
          <w:sz w:val="18"/>
        </w:rPr>
        <w:t>the</w:t>
      </w:r>
      <w:r>
        <w:rPr>
          <w:spacing w:val="-6"/>
          <w:sz w:val="18"/>
        </w:rPr>
        <w:t> </w:t>
      </w:r>
      <w:r>
        <w:rPr>
          <w:sz w:val="18"/>
        </w:rPr>
        <w:t>appropriate</w:t>
      </w:r>
      <w:r>
        <w:rPr>
          <w:spacing w:val="-7"/>
          <w:sz w:val="18"/>
        </w:rPr>
        <w:t> </w:t>
      </w:r>
      <w:r>
        <w:rPr>
          <w:sz w:val="18"/>
        </w:rPr>
        <w:t>fixed</w:t>
      </w:r>
      <w:r>
        <w:rPr>
          <w:spacing w:val="-4"/>
          <w:sz w:val="18"/>
        </w:rPr>
        <w:t> </w:t>
      </w:r>
      <w:r>
        <w:rPr>
          <w:sz w:val="18"/>
        </w:rPr>
        <w:t>remuneration</w:t>
      </w:r>
      <w:r>
        <w:rPr>
          <w:spacing w:val="-5"/>
          <w:sz w:val="18"/>
        </w:rPr>
        <w:t> </w:t>
      </w:r>
      <w:r>
        <w:rPr>
          <w:sz w:val="18"/>
        </w:rPr>
        <w:t>under</w:t>
      </w:r>
      <w:r>
        <w:rPr>
          <w:spacing w:val="-5"/>
          <w:sz w:val="18"/>
        </w:rPr>
        <w:t> </w:t>
      </w:r>
      <w:r>
        <w:rPr>
          <w:sz w:val="18"/>
        </w:rPr>
        <w:t>Amount</w:t>
      </w:r>
      <w:r>
        <w:rPr>
          <w:spacing w:val="-5"/>
          <w:sz w:val="18"/>
        </w:rPr>
        <w:t> </w:t>
      </w:r>
      <w:r>
        <w:rPr>
          <w:sz w:val="18"/>
        </w:rPr>
        <w:t>B</w:t>
      </w:r>
      <w:r>
        <w:rPr>
          <w:spacing w:val="-7"/>
          <w:sz w:val="18"/>
        </w:rPr>
        <w:t> </w:t>
      </w:r>
      <w:r>
        <w:rPr>
          <w:sz w:val="18"/>
        </w:rPr>
        <w:t>in such</w:t>
      </w:r>
      <w:r>
        <w:rPr>
          <w:spacing w:val="-15"/>
          <w:sz w:val="18"/>
        </w:rPr>
        <w:t> </w:t>
      </w:r>
      <w:r>
        <w:rPr>
          <w:sz w:val="18"/>
        </w:rPr>
        <w:t>circumstances</w:t>
      </w:r>
      <w:r>
        <w:rPr>
          <w:spacing w:val="-13"/>
          <w:sz w:val="18"/>
        </w:rPr>
        <w:t> </w:t>
      </w:r>
      <w:r>
        <w:rPr>
          <w:sz w:val="18"/>
        </w:rPr>
        <w:t>is</w:t>
      </w:r>
      <w:r>
        <w:rPr>
          <w:spacing w:val="-13"/>
          <w:sz w:val="18"/>
        </w:rPr>
        <w:t> </w:t>
      </w:r>
      <w:r>
        <w:rPr>
          <w:sz w:val="18"/>
        </w:rPr>
        <w:t>being</w:t>
      </w:r>
      <w:r>
        <w:rPr>
          <w:spacing w:val="-14"/>
          <w:sz w:val="18"/>
        </w:rPr>
        <w:t> </w:t>
      </w:r>
      <w:r>
        <w:rPr>
          <w:sz w:val="18"/>
        </w:rPr>
        <w:t>considered</w:t>
      </w:r>
      <w:r>
        <w:rPr>
          <w:spacing w:val="-15"/>
          <w:sz w:val="18"/>
        </w:rPr>
        <w:t> </w:t>
      </w:r>
      <w:r>
        <w:rPr>
          <w:sz w:val="18"/>
        </w:rPr>
        <w:t>in</w:t>
      </w:r>
      <w:r>
        <w:rPr>
          <w:spacing w:val="-14"/>
          <w:sz w:val="18"/>
        </w:rPr>
        <w:t> </w:t>
      </w:r>
      <w:r>
        <w:rPr>
          <w:sz w:val="18"/>
        </w:rPr>
        <w:t>further</w:t>
      </w:r>
      <w:r>
        <w:rPr>
          <w:spacing w:val="-14"/>
          <w:sz w:val="18"/>
        </w:rPr>
        <w:t> </w:t>
      </w:r>
      <w:r>
        <w:rPr>
          <w:sz w:val="18"/>
        </w:rPr>
        <w:t>technical</w:t>
      </w:r>
      <w:r>
        <w:rPr>
          <w:spacing w:val="-13"/>
          <w:sz w:val="18"/>
        </w:rPr>
        <w:t> </w:t>
      </w:r>
      <w:r>
        <w:rPr>
          <w:sz w:val="18"/>
        </w:rPr>
        <w:t>work.</w:t>
      </w:r>
      <w:r>
        <w:rPr>
          <w:spacing w:val="-10"/>
          <w:sz w:val="18"/>
        </w:rPr>
        <w:t> </w:t>
      </w:r>
      <w:r>
        <w:rPr>
          <w:sz w:val="18"/>
        </w:rPr>
        <w:t>In</w:t>
      </w:r>
      <w:r>
        <w:rPr>
          <w:spacing w:val="-13"/>
          <w:sz w:val="18"/>
        </w:rPr>
        <w:t> </w:t>
      </w:r>
      <w:r>
        <w:rPr>
          <w:sz w:val="18"/>
        </w:rPr>
        <w:t>particular,</w:t>
      </w:r>
      <w:r>
        <w:rPr>
          <w:spacing w:val="-14"/>
          <w:sz w:val="18"/>
        </w:rPr>
        <w:t> </w:t>
      </w:r>
      <w:r>
        <w:rPr>
          <w:sz w:val="18"/>
        </w:rPr>
        <w:t>some</w:t>
      </w:r>
      <w:r>
        <w:rPr>
          <w:spacing w:val="-14"/>
          <w:sz w:val="18"/>
        </w:rPr>
        <w:t> </w:t>
      </w:r>
      <w:r>
        <w:rPr>
          <w:sz w:val="18"/>
        </w:rPr>
        <w:t>Inclusive</w:t>
      </w:r>
      <w:r>
        <w:rPr>
          <w:spacing w:val="-15"/>
          <w:sz w:val="18"/>
        </w:rPr>
        <w:t> </w:t>
      </w:r>
      <w:r>
        <w:rPr>
          <w:sz w:val="18"/>
        </w:rPr>
        <w:t>Framework</w:t>
      </w:r>
      <w:r>
        <w:rPr>
          <w:spacing w:val="-13"/>
          <w:sz w:val="18"/>
        </w:rPr>
        <w:t> </w:t>
      </w:r>
      <w:r>
        <w:rPr>
          <w:sz w:val="18"/>
        </w:rPr>
        <w:t>Members consider</w:t>
      </w:r>
      <w:r>
        <w:rPr>
          <w:spacing w:val="-5"/>
          <w:sz w:val="18"/>
        </w:rPr>
        <w:t> </w:t>
      </w:r>
      <w:r>
        <w:rPr>
          <w:sz w:val="18"/>
        </w:rPr>
        <w:t>that</w:t>
      </w:r>
      <w:r>
        <w:rPr>
          <w:spacing w:val="-4"/>
          <w:sz w:val="18"/>
        </w:rPr>
        <w:t> </w:t>
      </w:r>
      <w:r>
        <w:rPr>
          <w:sz w:val="18"/>
        </w:rPr>
        <w:t>routine</w:t>
      </w:r>
      <w:r>
        <w:rPr>
          <w:spacing w:val="-4"/>
          <w:sz w:val="18"/>
        </w:rPr>
        <w:t> </w:t>
      </w:r>
      <w:r>
        <w:rPr>
          <w:sz w:val="18"/>
        </w:rPr>
        <w:t>distributors</w:t>
      </w:r>
      <w:r>
        <w:rPr>
          <w:spacing w:val="-3"/>
          <w:sz w:val="18"/>
        </w:rPr>
        <w:t> </w:t>
      </w:r>
      <w:r>
        <w:rPr>
          <w:sz w:val="18"/>
        </w:rPr>
        <w:t>have</w:t>
      </w:r>
      <w:r>
        <w:rPr>
          <w:spacing w:val="-4"/>
          <w:sz w:val="18"/>
        </w:rPr>
        <w:t> </w:t>
      </w:r>
      <w:r>
        <w:rPr>
          <w:sz w:val="18"/>
        </w:rPr>
        <w:t>sufficiently</w:t>
      </w:r>
      <w:r>
        <w:rPr>
          <w:spacing w:val="-6"/>
          <w:sz w:val="18"/>
        </w:rPr>
        <w:t> </w:t>
      </w:r>
      <w:r>
        <w:rPr>
          <w:sz w:val="18"/>
        </w:rPr>
        <w:t>variant</w:t>
      </w:r>
      <w:r>
        <w:rPr>
          <w:spacing w:val="-4"/>
          <w:sz w:val="18"/>
        </w:rPr>
        <w:t> </w:t>
      </w:r>
      <w:r>
        <w:rPr>
          <w:sz w:val="18"/>
        </w:rPr>
        <w:t>functional</w:t>
      </w:r>
      <w:r>
        <w:rPr>
          <w:spacing w:val="-4"/>
          <w:sz w:val="18"/>
        </w:rPr>
        <w:t> </w:t>
      </w:r>
      <w:r>
        <w:rPr>
          <w:sz w:val="18"/>
        </w:rPr>
        <w:t>profiles</w:t>
      </w:r>
      <w:r>
        <w:rPr>
          <w:spacing w:val="-4"/>
          <w:sz w:val="18"/>
        </w:rPr>
        <w:t> </w:t>
      </w:r>
      <w:r>
        <w:rPr>
          <w:sz w:val="18"/>
        </w:rPr>
        <w:t>such</w:t>
      </w:r>
      <w:r>
        <w:rPr>
          <w:spacing w:val="-4"/>
          <w:sz w:val="18"/>
        </w:rPr>
        <w:t> </w:t>
      </w:r>
      <w:r>
        <w:rPr>
          <w:sz w:val="18"/>
        </w:rPr>
        <w:t>that</w:t>
      </w:r>
      <w:r>
        <w:rPr>
          <w:spacing w:val="-4"/>
          <w:sz w:val="18"/>
        </w:rPr>
        <w:t> </w:t>
      </w:r>
      <w:r>
        <w:rPr>
          <w:sz w:val="18"/>
        </w:rPr>
        <w:t>different</w:t>
      </w:r>
      <w:r>
        <w:rPr>
          <w:spacing w:val="-4"/>
          <w:sz w:val="18"/>
        </w:rPr>
        <w:t> </w:t>
      </w:r>
      <w:r>
        <w:rPr>
          <w:sz w:val="18"/>
        </w:rPr>
        <w:t>return</w:t>
      </w:r>
      <w:r>
        <w:rPr>
          <w:spacing w:val="-4"/>
          <w:sz w:val="18"/>
        </w:rPr>
        <w:t> </w:t>
      </w:r>
      <w:r>
        <w:rPr>
          <w:sz w:val="18"/>
        </w:rPr>
        <w:t>levels</w:t>
      </w:r>
      <w:r>
        <w:rPr>
          <w:spacing w:val="-6"/>
          <w:sz w:val="18"/>
        </w:rPr>
        <w:t> </w:t>
      </w:r>
      <w:r>
        <w:rPr>
          <w:sz w:val="18"/>
        </w:rPr>
        <w:t>may</w:t>
      </w:r>
      <w:r>
        <w:rPr>
          <w:spacing w:val="-6"/>
          <w:sz w:val="18"/>
        </w:rPr>
        <w:t> </w:t>
      </w:r>
      <w:r>
        <w:rPr>
          <w:sz w:val="18"/>
        </w:rPr>
        <w:t>be warranted. The ongoing technical work will further consider this</w:t>
      </w:r>
      <w:r>
        <w:rPr>
          <w:spacing w:val="-5"/>
          <w:sz w:val="18"/>
        </w:rPr>
        <w:t> </w:t>
      </w:r>
      <w:r>
        <w:rPr>
          <w:sz w:val="18"/>
        </w:rPr>
        <w:t>concern.</w:t>
      </w:r>
    </w:p>
    <w:p>
      <w:pPr>
        <w:spacing w:line="278" w:lineRule="auto" w:before="77"/>
        <w:ind w:left="723" w:right="480" w:firstLine="0"/>
        <w:jc w:val="both"/>
        <w:rPr>
          <w:sz w:val="18"/>
        </w:rPr>
      </w:pPr>
      <w:r>
        <w:rPr>
          <w:position w:val="8"/>
          <w:sz w:val="14"/>
        </w:rPr>
        <w:t>135</w:t>
      </w:r>
      <w:r>
        <w:rPr>
          <w:spacing w:val="5"/>
          <w:position w:val="8"/>
          <w:sz w:val="14"/>
        </w:rPr>
        <w:t> </w:t>
      </w:r>
      <w:r>
        <w:rPr>
          <w:sz w:val="18"/>
        </w:rPr>
        <w:t>For</w:t>
      </w:r>
      <w:r>
        <w:rPr>
          <w:spacing w:val="-4"/>
          <w:sz w:val="18"/>
        </w:rPr>
        <w:t> </w:t>
      </w:r>
      <w:r>
        <w:rPr>
          <w:sz w:val="18"/>
        </w:rPr>
        <w:t>definitional</w:t>
      </w:r>
      <w:r>
        <w:rPr>
          <w:spacing w:val="-4"/>
          <w:sz w:val="18"/>
        </w:rPr>
        <w:t> </w:t>
      </w:r>
      <w:r>
        <w:rPr>
          <w:sz w:val="18"/>
        </w:rPr>
        <w:t>purposes,</w:t>
      </w:r>
      <w:r>
        <w:rPr>
          <w:spacing w:val="-5"/>
          <w:sz w:val="18"/>
        </w:rPr>
        <w:t> </w:t>
      </w:r>
      <w:r>
        <w:rPr>
          <w:sz w:val="18"/>
        </w:rPr>
        <w:t>this</w:t>
      </w:r>
      <w:r>
        <w:rPr>
          <w:spacing w:val="-3"/>
          <w:sz w:val="18"/>
        </w:rPr>
        <w:t> </w:t>
      </w:r>
      <w:r>
        <w:rPr>
          <w:sz w:val="18"/>
        </w:rPr>
        <w:t>may</w:t>
      </w:r>
      <w:r>
        <w:rPr>
          <w:spacing w:val="-6"/>
          <w:sz w:val="18"/>
        </w:rPr>
        <w:t> </w:t>
      </w:r>
      <w:r>
        <w:rPr>
          <w:sz w:val="18"/>
        </w:rPr>
        <w:t>refer</w:t>
      </w:r>
      <w:r>
        <w:rPr>
          <w:spacing w:val="-5"/>
          <w:sz w:val="18"/>
        </w:rPr>
        <w:t> </w:t>
      </w:r>
      <w:r>
        <w:rPr>
          <w:sz w:val="18"/>
        </w:rPr>
        <w:t>to</w:t>
      </w:r>
      <w:r>
        <w:rPr>
          <w:spacing w:val="-6"/>
          <w:sz w:val="18"/>
        </w:rPr>
        <w:t> </w:t>
      </w:r>
      <w:r>
        <w:rPr>
          <w:sz w:val="18"/>
        </w:rPr>
        <w:t>distribution</w:t>
      </w:r>
      <w:r>
        <w:rPr>
          <w:spacing w:val="-4"/>
          <w:sz w:val="18"/>
        </w:rPr>
        <w:t> </w:t>
      </w:r>
      <w:r>
        <w:rPr>
          <w:sz w:val="18"/>
        </w:rPr>
        <w:t>entities</w:t>
      </w:r>
      <w:r>
        <w:rPr>
          <w:spacing w:val="-3"/>
          <w:sz w:val="18"/>
        </w:rPr>
        <w:t> </w:t>
      </w:r>
      <w:r>
        <w:rPr>
          <w:sz w:val="18"/>
        </w:rPr>
        <w:t>performing</w:t>
      </w:r>
      <w:r>
        <w:rPr>
          <w:spacing w:val="-5"/>
          <w:sz w:val="18"/>
        </w:rPr>
        <w:t> </w:t>
      </w:r>
      <w:r>
        <w:rPr>
          <w:sz w:val="18"/>
        </w:rPr>
        <w:t>routine</w:t>
      </w:r>
      <w:r>
        <w:rPr>
          <w:spacing w:val="-4"/>
          <w:sz w:val="18"/>
        </w:rPr>
        <w:t> </w:t>
      </w:r>
      <w:r>
        <w:rPr>
          <w:sz w:val="18"/>
        </w:rPr>
        <w:t>functions</w:t>
      </w:r>
      <w:r>
        <w:rPr>
          <w:spacing w:val="-6"/>
          <w:sz w:val="18"/>
        </w:rPr>
        <w:t> </w:t>
      </w:r>
      <w:r>
        <w:rPr>
          <w:sz w:val="18"/>
        </w:rPr>
        <w:t>that</w:t>
      </w:r>
      <w:r>
        <w:rPr>
          <w:spacing w:val="-5"/>
          <w:sz w:val="18"/>
        </w:rPr>
        <w:t> </w:t>
      </w:r>
      <w:r>
        <w:rPr>
          <w:sz w:val="18"/>
        </w:rPr>
        <w:t>use</w:t>
      </w:r>
      <w:r>
        <w:rPr>
          <w:spacing w:val="-4"/>
          <w:sz w:val="18"/>
        </w:rPr>
        <w:t> </w:t>
      </w:r>
      <w:r>
        <w:rPr>
          <w:sz w:val="18"/>
        </w:rPr>
        <w:t>routine</w:t>
      </w:r>
      <w:r>
        <w:rPr>
          <w:spacing w:val="-4"/>
          <w:sz w:val="18"/>
        </w:rPr>
        <w:t> </w:t>
      </w:r>
      <w:r>
        <w:rPr>
          <w:sz w:val="18"/>
        </w:rPr>
        <w:t>assets in</w:t>
      </w:r>
      <w:r>
        <w:rPr>
          <w:spacing w:val="-7"/>
          <w:sz w:val="18"/>
        </w:rPr>
        <w:t> </w:t>
      </w:r>
      <w:r>
        <w:rPr>
          <w:sz w:val="18"/>
        </w:rPr>
        <w:t>the</w:t>
      </w:r>
      <w:r>
        <w:rPr>
          <w:spacing w:val="-6"/>
          <w:sz w:val="18"/>
        </w:rPr>
        <w:t> </w:t>
      </w:r>
      <w:r>
        <w:rPr>
          <w:sz w:val="18"/>
        </w:rPr>
        <w:t>course</w:t>
      </w:r>
      <w:r>
        <w:rPr>
          <w:spacing w:val="-6"/>
          <w:sz w:val="18"/>
        </w:rPr>
        <w:t> </w:t>
      </w:r>
      <w:r>
        <w:rPr>
          <w:sz w:val="18"/>
        </w:rPr>
        <w:t>of</w:t>
      </w:r>
      <w:r>
        <w:rPr>
          <w:spacing w:val="-7"/>
          <w:sz w:val="18"/>
        </w:rPr>
        <w:t> </w:t>
      </w:r>
      <w:r>
        <w:rPr>
          <w:sz w:val="18"/>
        </w:rPr>
        <w:t>their</w:t>
      </w:r>
      <w:r>
        <w:rPr>
          <w:spacing w:val="-7"/>
          <w:sz w:val="18"/>
        </w:rPr>
        <w:t> </w:t>
      </w:r>
      <w:r>
        <w:rPr>
          <w:sz w:val="18"/>
        </w:rPr>
        <w:t>distribution</w:t>
      </w:r>
      <w:r>
        <w:rPr>
          <w:spacing w:val="-6"/>
          <w:sz w:val="18"/>
        </w:rPr>
        <w:t> </w:t>
      </w:r>
      <w:r>
        <w:rPr>
          <w:sz w:val="18"/>
        </w:rPr>
        <w:t>operations,</w:t>
      </w:r>
      <w:r>
        <w:rPr>
          <w:spacing w:val="-7"/>
          <w:sz w:val="18"/>
        </w:rPr>
        <w:t> </w:t>
      </w:r>
      <w:r>
        <w:rPr>
          <w:sz w:val="18"/>
        </w:rPr>
        <w:t>and</w:t>
      </w:r>
      <w:r>
        <w:rPr>
          <w:spacing w:val="-6"/>
          <w:sz w:val="18"/>
        </w:rPr>
        <w:t> </w:t>
      </w:r>
      <w:r>
        <w:rPr>
          <w:sz w:val="18"/>
        </w:rPr>
        <w:t>assume</w:t>
      </w:r>
      <w:r>
        <w:rPr>
          <w:spacing w:val="-6"/>
          <w:sz w:val="18"/>
        </w:rPr>
        <w:t> </w:t>
      </w:r>
      <w:r>
        <w:rPr>
          <w:sz w:val="18"/>
        </w:rPr>
        <w:t>routine</w:t>
      </w:r>
      <w:r>
        <w:rPr>
          <w:spacing w:val="-6"/>
          <w:sz w:val="18"/>
        </w:rPr>
        <w:t> </w:t>
      </w:r>
      <w:r>
        <w:rPr>
          <w:sz w:val="18"/>
        </w:rPr>
        <w:t>risks.</w:t>
      </w:r>
      <w:r>
        <w:rPr>
          <w:spacing w:val="-7"/>
          <w:sz w:val="18"/>
        </w:rPr>
        <w:t> </w:t>
      </w:r>
      <w:r>
        <w:rPr>
          <w:sz w:val="18"/>
        </w:rPr>
        <w:t>Further</w:t>
      </w:r>
      <w:r>
        <w:rPr>
          <w:spacing w:val="-7"/>
          <w:sz w:val="18"/>
        </w:rPr>
        <w:t> </w:t>
      </w:r>
      <w:r>
        <w:rPr>
          <w:sz w:val="18"/>
        </w:rPr>
        <w:t>work</w:t>
      </w:r>
      <w:r>
        <w:rPr>
          <w:spacing w:val="-6"/>
          <w:sz w:val="18"/>
        </w:rPr>
        <w:t> </w:t>
      </w:r>
      <w:r>
        <w:rPr>
          <w:sz w:val="18"/>
        </w:rPr>
        <w:t>needs</w:t>
      </w:r>
      <w:r>
        <w:rPr>
          <w:spacing w:val="-6"/>
          <w:sz w:val="18"/>
        </w:rPr>
        <w:t> </w:t>
      </w:r>
      <w:r>
        <w:rPr>
          <w:sz w:val="18"/>
        </w:rPr>
        <w:t>to</w:t>
      </w:r>
      <w:r>
        <w:rPr>
          <w:spacing w:val="1"/>
          <w:sz w:val="18"/>
        </w:rPr>
        <w:t> </w:t>
      </w:r>
      <w:r>
        <w:rPr>
          <w:sz w:val="18"/>
        </w:rPr>
        <w:t>be</w:t>
      </w:r>
      <w:r>
        <w:rPr>
          <w:spacing w:val="-6"/>
          <w:sz w:val="18"/>
        </w:rPr>
        <w:t> </w:t>
      </w:r>
      <w:r>
        <w:rPr>
          <w:sz w:val="18"/>
        </w:rPr>
        <w:t>undertaken</w:t>
      </w:r>
      <w:r>
        <w:rPr>
          <w:spacing w:val="-6"/>
          <w:sz w:val="18"/>
        </w:rPr>
        <w:t> </w:t>
      </w:r>
      <w:r>
        <w:rPr>
          <w:sz w:val="18"/>
        </w:rPr>
        <w:t>to</w:t>
      </w:r>
      <w:r>
        <w:rPr>
          <w:spacing w:val="-6"/>
          <w:sz w:val="18"/>
        </w:rPr>
        <w:t> </w:t>
      </w:r>
      <w:r>
        <w:rPr>
          <w:sz w:val="18"/>
        </w:rPr>
        <w:t>clearly define these terms, to clarify the in-scope activities and to clarify the meaning of a routine distributor or limited risk distributor, noting the views of some Inclusive Framework members that these are not considered to be the </w:t>
      </w:r>
      <w:r>
        <w:rPr>
          <w:spacing w:val="2"/>
          <w:sz w:val="18"/>
        </w:rPr>
        <w:t>same </w:t>
      </w:r>
      <w:r>
        <w:rPr>
          <w:sz w:val="18"/>
        </w:rPr>
        <w:t>in character and return</w:t>
      </w:r>
      <w:r>
        <w:rPr>
          <w:spacing w:val="-6"/>
          <w:sz w:val="18"/>
        </w:rPr>
        <w:t> </w:t>
      </w:r>
      <w:r>
        <w:rPr>
          <w:sz w:val="18"/>
        </w:rPr>
        <w:t>profile.</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44"/>
        <w:jc w:val="both"/>
      </w:pPr>
      <w:r>
        <w:rPr/>
        <w:t>together, the positive and negative lists demonstrate the qualitative indicia of the baseline activities and risk assumption expected of a distribution entity within the scope of Amount B.</w:t>
      </w:r>
    </w:p>
    <w:p>
      <w:pPr>
        <w:pStyle w:val="ListParagraph"/>
        <w:numPr>
          <w:ilvl w:val="0"/>
          <w:numId w:val="13"/>
        </w:numPr>
        <w:tabs>
          <w:tab w:pos="1444" w:val="left" w:leader="none"/>
        </w:tabs>
        <w:spacing w:line="271" w:lineRule="auto" w:before="119" w:after="0"/>
        <w:ind w:left="723" w:right="433" w:firstLine="0"/>
        <w:jc w:val="both"/>
        <w:rPr>
          <w:sz w:val="20"/>
        </w:rPr>
      </w:pPr>
      <w:r>
        <w:rPr>
          <w:sz w:val="20"/>
        </w:rPr>
        <w:t>Certain quantitative indicators would also be used to further support the identification of in-scope activities,</w:t>
      </w:r>
      <w:r>
        <w:rPr>
          <w:spacing w:val="-10"/>
          <w:sz w:val="20"/>
        </w:rPr>
        <w:t> </w:t>
      </w:r>
      <w:r>
        <w:rPr>
          <w:sz w:val="20"/>
        </w:rPr>
        <w:t>and</w:t>
      </w:r>
      <w:r>
        <w:rPr>
          <w:spacing w:val="-9"/>
          <w:sz w:val="20"/>
        </w:rPr>
        <w:t> </w:t>
      </w:r>
      <w:r>
        <w:rPr>
          <w:sz w:val="20"/>
        </w:rPr>
        <w:t>are</w:t>
      </w:r>
      <w:r>
        <w:rPr>
          <w:spacing w:val="-9"/>
          <w:sz w:val="20"/>
        </w:rPr>
        <w:t> </w:t>
      </w:r>
      <w:r>
        <w:rPr>
          <w:sz w:val="20"/>
        </w:rPr>
        <w:t>described</w:t>
      </w:r>
      <w:r>
        <w:rPr>
          <w:spacing w:val="-10"/>
          <w:sz w:val="20"/>
        </w:rPr>
        <w:t> </w:t>
      </w:r>
      <w:r>
        <w:rPr>
          <w:sz w:val="20"/>
        </w:rPr>
        <w:t>in</w:t>
      </w:r>
      <w:r>
        <w:rPr>
          <w:spacing w:val="-9"/>
          <w:sz w:val="20"/>
        </w:rPr>
        <w:t> </w:t>
      </w:r>
      <w:r>
        <w:rPr>
          <w:sz w:val="20"/>
        </w:rPr>
        <w:t>the</w:t>
      </w:r>
      <w:r>
        <w:rPr>
          <w:spacing w:val="-9"/>
          <w:sz w:val="20"/>
        </w:rPr>
        <w:t> </w:t>
      </w:r>
      <w:r>
        <w:rPr>
          <w:sz w:val="20"/>
        </w:rPr>
        <w:t>next</w:t>
      </w:r>
      <w:r>
        <w:rPr>
          <w:spacing w:val="-10"/>
          <w:sz w:val="20"/>
        </w:rPr>
        <w:t> </w:t>
      </w:r>
      <w:r>
        <w:rPr>
          <w:sz w:val="20"/>
        </w:rPr>
        <w:t>section.</w:t>
      </w:r>
      <w:r>
        <w:rPr>
          <w:spacing w:val="-9"/>
          <w:sz w:val="20"/>
        </w:rPr>
        <w:t> </w:t>
      </w:r>
      <w:r>
        <w:rPr>
          <w:sz w:val="20"/>
        </w:rPr>
        <w:t>The</w:t>
      </w:r>
      <w:r>
        <w:rPr>
          <w:spacing w:val="-9"/>
          <w:sz w:val="20"/>
        </w:rPr>
        <w:t> </w:t>
      </w:r>
      <w:r>
        <w:rPr>
          <w:sz w:val="20"/>
        </w:rPr>
        <w:t>qualitative</w:t>
      </w:r>
      <w:r>
        <w:rPr>
          <w:spacing w:val="-10"/>
          <w:sz w:val="20"/>
        </w:rPr>
        <w:t> </w:t>
      </w:r>
      <w:r>
        <w:rPr>
          <w:sz w:val="20"/>
        </w:rPr>
        <w:t>factors</w:t>
      </w:r>
      <w:r>
        <w:rPr>
          <w:spacing w:val="-7"/>
          <w:sz w:val="20"/>
        </w:rPr>
        <w:t> </w:t>
      </w:r>
      <w:r>
        <w:rPr>
          <w:sz w:val="20"/>
        </w:rPr>
        <w:t>and</w:t>
      </w:r>
      <w:r>
        <w:rPr>
          <w:spacing w:val="-9"/>
          <w:sz w:val="20"/>
        </w:rPr>
        <w:t> </w:t>
      </w:r>
      <w:r>
        <w:rPr>
          <w:sz w:val="20"/>
        </w:rPr>
        <w:t>quantitative</w:t>
      </w:r>
      <w:r>
        <w:rPr>
          <w:spacing w:val="-8"/>
          <w:sz w:val="20"/>
        </w:rPr>
        <w:t> </w:t>
      </w:r>
      <w:r>
        <w:rPr>
          <w:sz w:val="20"/>
        </w:rPr>
        <w:t>indicators</w:t>
      </w:r>
      <w:r>
        <w:rPr>
          <w:spacing w:val="1"/>
          <w:sz w:val="20"/>
        </w:rPr>
        <w:t> </w:t>
      </w:r>
      <w:r>
        <w:rPr>
          <w:sz w:val="20"/>
        </w:rPr>
        <w:t>are</w:t>
      </w:r>
      <w:r>
        <w:rPr>
          <w:spacing w:val="-9"/>
          <w:sz w:val="20"/>
        </w:rPr>
        <w:t> </w:t>
      </w:r>
      <w:r>
        <w:rPr>
          <w:sz w:val="20"/>
        </w:rPr>
        <w:t>used together to test if a distribution entity is in</w:t>
      </w:r>
      <w:r>
        <w:rPr>
          <w:spacing w:val="-2"/>
          <w:sz w:val="20"/>
        </w:rPr>
        <w:t> </w:t>
      </w:r>
      <w:r>
        <w:rPr>
          <w:sz w:val="20"/>
        </w:rPr>
        <w:t>scope.</w:t>
      </w:r>
    </w:p>
    <w:p>
      <w:pPr>
        <w:pStyle w:val="ListParagraph"/>
        <w:numPr>
          <w:ilvl w:val="0"/>
          <w:numId w:val="13"/>
        </w:numPr>
        <w:tabs>
          <w:tab w:pos="1444" w:val="left" w:leader="none"/>
        </w:tabs>
        <w:spacing w:line="271" w:lineRule="auto" w:before="120" w:after="0"/>
        <w:ind w:left="723" w:right="436" w:firstLine="0"/>
        <w:jc w:val="both"/>
        <w:rPr>
          <w:sz w:val="20"/>
        </w:rPr>
      </w:pPr>
      <w:r>
        <w:rPr>
          <w:sz w:val="20"/>
        </w:rPr>
        <w:t>If the accurately delineated transaction results in a characterisation of the in-market enterprise as a</w:t>
      </w:r>
      <w:r>
        <w:rPr>
          <w:spacing w:val="-9"/>
          <w:sz w:val="20"/>
        </w:rPr>
        <w:t> </w:t>
      </w:r>
      <w:r>
        <w:rPr>
          <w:sz w:val="20"/>
        </w:rPr>
        <w:t>routine</w:t>
      </w:r>
      <w:r>
        <w:rPr>
          <w:spacing w:val="-8"/>
          <w:sz w:val="20"/>
        </w:rPr>
        <w:t> </w:t>
      </w:r>
      <w:r>
        <w:rPr>
          <w:sz w:val="20"/>
        </w:rPr>
        <w:t>marketing</w:t>
      </w:r>
      <w:r>
        <w:rPr>
          <w:spacing w:val="-8"/>
          <w:sz w:val="20"/>
        </w:rPr>
        <w:t> </w:t>
      </w:r>
      <w:r>
        <w:rPr>
          <w:sz w:val="20"/>
        </w:rPr>
        <w:t>or</w:t>
      </w:r>
      <w:r>
        <w:rPr>
          <w:spacing w:val="-5"/>
          <w:sz w:val="20"/>
        </w:rPr>
        <w:t> </w:t>
      </w:r>
      <w:r>
        <w:rPr>
          <w:sz w:val="20"/>
        </w:rPr>
        <w:t>sales</w:t>
      </w:r>
      <w:r>
        <w:rPr>
          <w:spacing w:val="-5"/>
          <w:sz w:val="20"/>
        </w:rPr>
        <w:t> </w:t>
      </w:r>
      <w:r>
        <w:rPr>
          <w:sz w:val="20"/>
        </w:rPr>
        <w:t>support</w:t>
      </w:r>
      <w:r>
        <w:rPr>
          <w:spacing w:val="-7"/>
          <w:sz w:val="20"/>
        </w:rPr>
        <w:t> </w:t>
      </w:r>
      <w:r>
        <w:rPr>
          <w:sz w:val="20"/>
        </w:rPr>
        <w:t>service</w:t>
      </w:r>
      <w:r>
        <w:rPr>
          <w:spacing w:val="-8"/>
          <w:sz w:val="20"/>
        </w:rPr>
        <w:t> </w:t>
      </w:r>
      <w:r>
        <w:rPr>
          <w:sz w:val="20"/>
        </w:rPr>
        <w:t>provider</w:t>
      </w:r>
      <w:r>
        <w:rPr>
          <w:sz w:val="20"/>
          <w:vertAlign w:val="superscript"/>
        </w:rPr>
        <w:t>136</w:t>
      </w:r>
      <w:r>
        <w:rPr>
          <w:spacing w:val="-8"/>
          <w:sz w:val="20"/>
          <w:vertAlign w:val="baseline"/>
        </w:rPr>
        <w:t> </w:t>
      </w:r>
      <w:r>
        <w:rPr>
          <w:sz w:val="20"/>
          <w:vertAlign w:val="baseline"/>
        </w:rPr>
        <w:t>(i.e.</w:t>
      </w:r>
      <w:r>
        <w:rPr>
          <w:spacing w:val="-8"/>
          <w:sz w:val="20"/>
          <w:vertAlign w:val="baseline"/>
        </w:rPr>
        <w:t> </w:t>
      </w:r>
      <w:r>
        <w:rPr>
          <w:sz w:val="20"/>
          <w:vertAlign w:val="baseline"/>
        </w:rPr>
        <w:t>performing</w:t>
      </w:r>
      <w:r>
        <w:rPr>
          <w:spacing w:val="-7"/>
          <w:sz w:val="20"/>
          <w:vertAlign w:val="baseline"/>
        </w:rPr>
        <w:t> </w:t>
      </w:r>
      <w:r>
        <w:rPr>
          <w:sz w:val="20"/>
          <w:vertAlign w:val="baseline"/>
        </w:rPr>
        <w:t>fewer</w:t>
      </w:r>
      <w:r>
        <w:rPr>
          <w:spacing w:val="-8"/>
          <w:sz w:val="20"/>
          <w:vertAlign w:val="baseline"/>
        </w:rPr>
        <w:t> </w:t>
      </w:r>
      <w:r>
        <w:rPr>
          <w:sz w:val="20"/>
          <w:vertAlign w:val="baseline"/>
        </w:rPr>
        <w:t>functions</w:t>
      </w:r>
      <w:r>
        <w:rPr>
          <w:spacing w:val="-7"/>
          <w:sz w:val="20"/>
          <w:vertAlign w:val="baseline"/>
        </w:rPr>
        <w:t> </w:t>
      </w:r>
      <w:r>
        <w:rPr>
          <w:sz w:val="20"/>
          <w:vertAlign w:val="baseline"/>
        </w:rPr>
        <w:t>and</w:t>
      </w:r>
      <w:r>
        <w:rPr>
          <w:spacing w:val="-6"/>
          <w:sz w:val="20"/>
          <w:vertAlign w:val="baseline"/>
        </w:rPr>
        <w:t> </w:t>
      </w:r>
      <w:r>
        <w:rPr>
          <w:sz w:val="20"/>
          <w:vertAlign w:val="baseline"/>
        </w:rPr>
        <w:t>assuming</w:t>
      </w:r>
      <w:r>
        <w:rPr>
          <w:spacing w:val="-8"/>
          <w:sz w:val="20"/>
          <w:vertAlign w:val="baseline"/>
        </w:rPr>
        <w:t> </w:t>
      </w:r>
      <w:r>
        <w:rPr>
          <w:sz w:val="20"/>
          <w:vertAlign w:val="baseline"/>
        </w:rPr>
        <w:t>less risk than is defined under the baseline marketing and distribution activities) then it would not fall within the scope</w:t>
      </w:r>
      <w:r>
        <w:rPr>
          <w:spacing w:val="-6"/>
          <w:sz w:val="20"/>
          <w:vertAlign w:val="baseline"/>
        </w:rPr>
        <w:t> </w:t>
      </w:r>
      <w:r>
        <w:rPr>
          <w:sz w:val="20"/>
          <w:vertAlign w:val="baseline"/>
        </w:rPr>
        <w:t>of</w:t>
      </w:r>
      <w:r>
        <w:rPr>
          <w:spacing w:val="-3"/>
          <w:sz w:val="20"/>
          <w:vertAlign w:val="baseline"/>
        </w:rPr>
        <w:t> </w:t>
      </w:r>
      <w:r>
        <w:rPr>
          <w:sz w:val="20"/>
          <w:vertAlign w:val="baseline"/>
        </w:rPr>
        <w:t>Amount</w:t>
      </w:r>
      <w:r>
        <w:rPr>
          <w:spacing w:val="-5"/>
          <w:sz w:val="20"/>
          <w:vertAlign w:val="baseline"/>
        </w:rPr>
        <w:t> </w:t>
      </w:r>
      <w:r>
        <w:rPr>
          <w:sz w:val="20"/>
          <w:vertAlign w:val="baseline"/>
        </w:rPr>
        <w:t>B</w:t>
      </w:r>
      <w:r>
        <w:rPr>
          <w:spacing w:val="-5"/>
          <w:sz w:val="20"/>
          <w:vertAlign w:val="baseline"/>
        </w:rPr>
        <w:t> </w:t>
      </w:r>
      <w:r>
        <w:rPr>
          <w:sz w:val="20"/>
          <w:vertAlign w:val="baseline"/>
        </w:rPr>
        <w:t>and</w:t>
      </w:r>
      <w:r>
        <w:rPr>
          <w:spacing w:val="-5"/>
          <w:sz w:val="20"/>
          <w:vertAlign w:val="baseline"/>
        </w:rPr>
        <w:t> </w:t>
      </w:r>
      <w:r>
        <w:rPr>
          <w:sz w:val="20"/>
          <w:vertAlign w:val="baseline"/>
        </w:rPr>
        <w:t>the</w:t>
      </w:r>
      <w:r>
        <w:rPr>
          <w:spacing w:val="-3"/>
          <w:sz w:val="20"/>
          <w:vertAlign w:val="baseline"/>
        </w:rPr>
        <w:t> </w:t>
      </w:r>
      <w:r>
        <w:rPr>
          <w:sz w:val="20"/>
          <w:vertAlign w:val="baseline"/>
        </w:rPr>
        <w:t>return</w:t>
      </w:r>
      <w:r>
        <w:rPr>
          <w:spacing w:val="-2"/>
          <w:sz w:val="20"/>
          <w:vertAlign w:val="baseline"/>
        </w:rPr>
        <w:t> </w:t>
      </w:r>
      <w:r>
        <w:rPr>
          <w:sz w:val="20"/>
          <w:vertAlign w:val="baseline"/>
        </w:rPr>
        <w:t>should</w:t>
      </w:r>
      <w:r>
        <w:rPr>
          <w:spacing w:val="-5"/>
          <w:sz w:val="20"/>
          <w:vertAlign w:val="baseline"/>
        </w:rPr>
        <w:t> </w:t>
      </w:r>
      <w:r>
        <w:rPr>
          <w:sz w:val="20"/>
          <w:vertAlign w:val="baseline"/>
        </w:rPr>
        <w:t>be</w:t>
      </w:r>
      <w:r>
        <w:rPr>
          <w:spacing w:val="-4"/>
          <w:sz w:val="20"/>
          <w:vertAlign w:val="baseline"/>
        </w:rPr>
        <w:t> </w:t>
      </w:r>
      <w:r>
        <w:rPr>
          <w:sz w:val="20"/>
          <w:vertAlign w:val="baseline"/>
        </w:rPr>
        <w:t>measured</w:t>
      </w:r>
      <w:r>
        <w:rPr>
          <w:spacing w:val="-5"/>
          <w:sz w:val="20"/>
          <w:vertAlign w:val="baseline"/>
        </w:rPr>
        <w:t> </w:t>
      </w:r>
      <w:r>
        <w:rPr>
          <w:sz w:val="20"/>
          <w:vertAlign w:val="baseline"/>
        </w:rPr>
        <w:t>by</w:t>
      </w:r>
      <w:r>
        <w:rPr>
          <w:spacing w:val="-8"/>
          <w:sz w:val="20"/>
          <w:vertAlign w:val="baseline"/>
        </w:rPr>
        <w:t> </w:t>
      </w:r>
      <w:r>
        <w:rPr>
          <w:sz w:val="20"/>
          <w:vertAlign w:val="baseline"/>
        </w:rPr>
        <w:t>the</w:t>
      </w:r>
      <w:r>
        <w:rPr>
          <w:spacing w:val="-3"/>
          <w:sz w:val="20"/>
          <w:vertAlign w:val="baseline"/>
        </w:rPr>
        <w:t> </w:t>
      </w:r>
      <w:r>
        <w:rPr>
          <w:sz w:val="20"/>
          <w:vertAlign w:val="baseline"/>
        </w:rPr>
        <w:t>ALP</w:t>
      </w:r>
      <w:r>
        <w:rPr>
          <w:spacing w:val="-5"/>
          <w:sz w:val="20"/>
          <w:vertAlign w:val="baseline"/>
        </w:rPr>
        <w:t> </w:t>
      </w:r>
      <w:r>
        <w:rPr>
          <w:sz w:val="20"/>
          <w:vertAlign w:val="baseline"/>
        </w:rPr>
        <w:t>as</w:t>
      </w:r>
      <w:r>
        <w:rPr>
          <w:spacing w:val="-4"/>
          <w:sz w:val="20"/>
          <w:vertAlign w:val="baseline"/>
        </w:rPr>
        <w:t> </w:t>
      </w:r>
      <w:r>
        <w:rPr>
          <w:sz w:val="20"/>
          <w:vertAlign w:val="baseline"/>
        </w:rPr>
        <w:t>it</w:t>
      </w:r>
      <w:r>
        <w:rPr>
          <w:spacing w:val="-4"/>
          <w:sz w:val="20"/>
          <w:vertAlign w:val="baseline"/>
        </w:rPr>
        <w:t> </w:t>
      </w:r>
      <w:r>
        <w:rPr>
          <w:sz w:val="20"/>
          <w:vertAlign w:val="baseline"/>
        </w:rPr>
        <w:t>applies</w:t>
      </w:r>
      <w:r>
        <w:rPr>
          <w:spacing w:val="-4"/>
          <w:sz w:val="20"/>
          <w:vertAlign w:val="baseline"/>
        </w:rPr>
        <w:t> </w:t>
      </w:r>
      <w:r>
        <w:rPr>
          <w:sz w:val="20"/>
          <w:vertAlign w:val="baseline"/>
        </w:rPr>
        <w:t>today.</w:t>
      </w:r>
      <w:r>
        <w:rPr>
          <w:sz w:val="20"/>
          <w:vertAlign w:val="superscript"/>
        </w:rPr>
        <w:t>137</w:t>
      </w:r>
      <w:r>
        <w:rPr>
          <w:spacing w:val="-5"/>
          <w:sz w:val="20"/>
          <w:vertAlign w:val="baseline"/>
        </w:rPr>
        <w:t> </w:t>
      </w:r>
      <w:r>
        <w:rPr>
          <w:sz w:val="20"/>
          <w:vertAlign w:val="baseline"/>
        </w:rPr>
        <w:t>In</w:t>
      </w:r>
      <w:r>
        <w:rPr>
          <w:spacing w:val="-6"/>
          <w:sz w:val="20"/>
          <w:vertAlign w:val="baseline"/>
        </w:rPr>
        <w:t> </w:t>
      </w:r>
      <w:r>
        <w:rPr>
          <w:sz w:val="20"/>
          <w:vertAlign w:val="baseline"/>
        </w:rPr>
        <w:t>the</w:t>
      </w:r>
      <w:r>
        <w:rPr>
          <w:spacing w:val="-5"/>
          <w:sz w:val="20"/>
          <w:vertAlign w:val="baseline"/>
        </w:rPr>
        <w:t> </w:t>
      </w:r>
      <w:r>
        <w:rPr>
          <w:sz w:val="20"/>
          <w:vertAlign w:val="baseline"/>
        </w:rPr>
        <w:t>same</w:t>
      </w:r>
      <w:r>
        <w:rPr>
          <w:spacing w:val="-5"/>
          <w:sz w:val="20"/>
          <w:vertAlign w:val="baseline"/>
        </w:rPr>
        <w:t> </w:t>
      </w:r>
      <w:r>
        <w:rPr>
          <w:sz w:val="20"/>
          <w:vertAlign w:val="baseline"/>
        </w:rPr>
        <w:t>way, if the accurately delineated transaction results in a characterisation of the in-market enterprise as performing more than routine functions and assuming more than routine risks than are defined under the baseline</w:t>
      </w:r>
      <w:r>
        <w:rPr>
          <w:spacing w:val="-15"/>
          <w:sz w:val="20"/>
          <w:vertAlign w:val="baseline"/>
        </w:rPr>
        <w:t> </w:t>
      </w:r>
      <w:r>
        <w:rPr>
          <w:sz w:val="20"/>
          <w:vertAlign w:val="baseline"/>
        </w:rPr>
        <w:t>marketing</w:t>
      </w:r>
      <w:r>
        <w:rPr>
          <w:spacing w:val="-18"/>
          <w:sz w:val="20"/>
          <w:vertAlign w:val="baseline"/>
        </w:rPr>
        <w:t> </w:t>
      </w:r>
      <w:r>
        <w:rPr>
          <w:sz w:val="20"/>
          <w:vertAlign w:val="baseline"/>
        </w:rPr>
        <w:t>and</w:t>
      </w:r>
      <w:r>
        <w:rPr>
          <w:spacing w:val="-15"/>
          <w:sz w:val="20"/>
          <w:vertAlign w:val="baseline"/>
        </w:rPr>
        <w:t> </w:t>
      </w:r>
      <w:r>
        <w:rPr>
          <w:sz w:val="20"/>
          <w:vertAlign w:val="baseline"/>
        </w:rPr>
        <w:t>distribution</w:t>
      </w:r>
      <w:r>
        <w:rPr>
          <w:spacing w:val="-15"/>
          <w:sz w:val="20"/>
          <w:vertAlign w:val="baseline"/>
        </w:rPr>
        <w:t> </w:t>
      </w:r>
      <w:r>
        <w:rPr>
          <w:sz w:val="20"/>
          <w:vertAlign w:val="baseline"/>
        </w:rPr>
        <w:t>activities,</w:t>
      </w:r>
      <w:r>
        <w:rPr>
          <w:spacing w:val="-16"/>
          <w:sz w:val="20"/>
          <w:vertAlign w:val="baseline"/>
        </w:rPr>
        <w:t> </w:t>
      </w:r>
      <w:r>
        <w:rPr>
          <w:sz w:val="20"/>
          <w:vertAlign w:val="baseline"/>
        </w:rPr>
        <w:t>the</w:t>
      </w:r>
      <w:r>
        <w:rPr>
          <w:spacing w:val="-17"/>
          <w:sz w:val="20"/>
          <w:vertAlign w:val="baseline"/>
        </w:rPr>
        <w:t> </w:t>
      </w:r>
      <w:r>
        <w:rPr>
          <w:sz w:val="20"/>
          <w:vertAlign w:val="baseline"/>
        </w:rPr>
        <w:t>remuneration</w:t>
      </w:r>
      <w:r>
        <w:rPr>
          <w:spacing w:val="-16"/>
          <w:sz w:val="20"/>
          <w:vertAlign w:val="baseline"/>
        </w:rPr>
        <w:t> </w:t>
      </w:r>
      <w:r>
        <w:rPr>
          <w:sz w:val="20"/>
          <w:vertAlign w:val="baseline"/>
        </w:rPr>
        <w:t>commensurate</w:t>
      </w:r>
      <w:r>
        <w:rPr>
          <w:spacing w:val="-15"/>
          <w:sz w:val="20"/>
          <w:vertAlign w:val="baseline"/>
        </w:rPr>
        <w:t> </w:t>
      </w:r>
      <w:r>
        <w:rPr>
          <w:sz w:val="20"/>
          <w:vertAlign w:val="baseline"/>
        </w:rPr>
        <w:t>with</w:t>
      </w:r>
      <w:r>
        <w:rPr>
          <w:spacing w:val="-15"/>
          <w:sz w:val="20"/>
          <w:vertAlign w:val="baseline"/>
        </w:rPr>
        <w:t> </w:t>
      </w:r>
      <w:r>
        <w:rPr>
          <w:sz w:val="20"/>
          <w:vertAlign w:val="baseline"/>
        </w:rPr>
        <w:t>such</w:t>
      </w:r>
      <w:r>
        <w:rPr>
          <w:spacing w:val="-17"/>
          <w:sz w:val="20"/>
          <w:vertAlign w:val="baseline"/>
        </w:rPr>
        <w:t> </w:t>
      </w:r>
      <w:r>
        <w:rPr>
          <w:sz w:val="20"/>
          <w:vertAlign w:val="baseline"/>
        </w:rPr>
        <w:t>activities</w:t>
      </w:r>
      <w:r>
        <w:rPr>
          <w:spacing w:val="-14"/>
          <w:sz w:val="20"/>
          <w:vertAlign w:val="baseline"/>
        </w:rPr>
        <w:t> </w:t>
      </w:r>
      <w:r>
        <w:rPr>
          <w:sz w:val="20"/>
          <w:vertAlign w:val="baseline"/>
        </w:rPr>
        <w:t>and</w:t>
      </w:r>
      <w:r>
        <w:rPr>
          <w:spacing w:val="-15"/>
          <w:sz w:val="20"/>
          <w:vertAlign w:val="baseline"/>
        </w:rPr>
        <w:t> </w:t>
      </w:r>
      <w:r>
        <w:rPr>
          <w:sz w:val="20"/>
          <w:vertAlign w:val="baseline"/>
        </w:rPr>
        <w:t>risks will also be outside the scope of Amount</w:t>
      </w:r>
      <w:r>
        <w:rPr>
          <w:spacing w:val="-7"/>
          <w:sz w:val="20"/>
          <w:vertAlign w:val="baseline"/>
        </w:rPr>
        <w:t> </w:t>
      </w:r>
      <w:r>
        <w:rPr>
          <w:sz w:val="20"/>
          <w:vertAlign w:val="baseline"/>
        </w:rPr>
        <w:t>B.</w:t>
      </w:r>
    </w:p>
    <w:p>
      <w:pPr>
        <w:pStyle w:val="ListParagraph"/>
        <w:numPr>
          <w:ilvl w:val="0"/>
          <w:numId w:val="13"/>
        </w:numPr>
        <w:tabs>
          <w:tab w:pos="1444" w:val="left" w:leader="none"/>
        </w:tabs>
        <w:spacing w:line="271" w:lineRule="auto" w:before="122" w:after="0"/>
        <w:ind w:left="723" w:right="433" w:firstLine="0"/>
        <w:jc w:val="both"/>
        <w:rPr>
          <w:sz w:val="20"/>
        </w:rPr>
      </w:pPr>
      <w:r>
        <w:rPr>
          <w:sz w:val="20"/>
        </w:rPr>
        <w:t>Typically, an in-scope distribution entity would perform at least sufficient activities for it to be characterised</w:t>
      </w:r>
      <w:r>
        <w:rPr>
          <w:spacing w:val="-13"/>
          <w:sz w:val="20"/>
        </w:rPr>
        <w:t> </w:t>
      </w:r>
      <w:r>
        <w:rPr>
          <w:sz w:val="20"/>
        </w:rPr>
        <w:t>as</w:t>
      </w:r>
      <w:r>
        <w:rPr>
          <w:spacing w:val="-13"/>
          <w:sz w:val="20"/>
        </w:rPr>
        <w:t> </w:t>
      </w:r>
      <w:r>
        <w:rPr>
          <w:sz w:val="20"/>
        </w:rPr>
        <w:t>a</w:t>
      </w:r>
      <w:r>
        <w:rPr>
          <w:spacing w:val="-14"/>
          <w:sz w:val="20"/>
        </w:rPr>
        <w:t> </w:t>
      </w:r>
      <w:r>
        <w:rPr>
          <w:sz w:val="20"/>
        </w:rPr>
        <w:t>routine</w:t>
      </w:r>
      <w:r>
        <w:rPr>
          <w:spacing w:val="-12"/>
          <w:sz w:val="20"/>
        </w:rPr>
        <w:t> </w:t>
      </w:r>
      <w:r>
        <w:rPr>
          <w:sz w:val="20"/>
        </w:rPr>
        <w:t>distributor</w:t>
      </w:r>
      <w:r>
        <w:rPr>
          <w:spacing w:val="-13"/>
          <w:sz w:val="20"/>
        </w:rPr>
        <w:t> </w:t>
      </w:r>
      <w:r>
        <w:rPr>
          <w:sz w:val="20"/>
        </w:rPr>
        <w:t>for</w:t>
      </w:r>
      <w:r>
        <w:rPr>
          <w:spacing w:val="-13"/>
          <w:sz w:val="20"/>
        </w:rPr>
        <w:t> </w:t>
      </w:r>
      <w:r>
        <w:rPr>
          <w:sz w:val="20"/>
        </w:rPr>
        <w:t>which</w:t>
      </w:r>
      <w:r>
        <w:rPr>
          <w:spacing w:val="-14"/>
          <w:sz w:val="20"/>
        </w:rPr>
        <w:t> </w:t>
      </w:r>
      <w:r>
        <w:rPr>
          <w:sz w:val="20"/>
        </w:rPr>
        <w:t>the</w:t>
      </w:r>
      <w:r>
        <w:rPr>
          <w:spacing w:val="-14"/>
          <w:sz w:val="20"/>
        </w:rPr>
        <w:t> </w:t>
      </w:r>
      <w:r>
        <w:rPr>
          <w:sz w:val="20"/>
        </w:rPr>
        <w:t>return</w:t>
      </w:r>
      <w:r>
        <w:rPr>
          <w:spacing w:val="-14"/>
          <w:sz w:val="20"/>
        </w:rPr>
        <w:t> </w:t>
      </w:r>
      <w:r>
        <w:rPr>
          <w:sz w:val="20"/>
        </w:rPr>
        <w:t>on</w:t>
      </w:r>
      <w:r>
        <w:rPr>
          <w:spacing w:val="-14"/>
          <w:sz w:val="20"/>
        </w:rPr>
        <w:t> </w:t>
      </w:r>
      <w:r>
        <w:rPr>
          <w:sz w:val="20"/>
        </w:rPr>
        <w:t>sales</w:t>
      </w:r>
      <w:r>
        <w:rPr>
          <w:spacing w:val="-13"/>
          <w:sz w:val="20"/>
        </w:rPr>
        <w:t> </w:t>
      </w:r>
      <w:r>
        <w:rPr>
          <w:sz w:val="20"/>
        </w:rPr>
        <w:t>profit</w:t>
      </w:r>
      <w:r>
        <w:rPr>
          <w:spacing w:val="-14"/>
          <w:sz w:val="20"/>
        </w:rPr>
        <w:t> </w:t>
      </w:r>
      <w:r>
        <w:rPr>
          <w:sz w:val="20"/>
        </w:rPr>
        <w:t>level</w:t>
      </w:r>
      <w:r>
        <w:rPr>
          <w:spacing w:val="-12"/>
          <w:sz w:val="20"/>
        </w:rPr>
        <w:t> </w:t>
      </w:r>
      <w:r>
        <w:rPr>
          <w:sz w:val="20"/>
        </w:rPr>
        <w:t>indicator</w:t>
      </w:r>
      <w:r>
        <w:rPr>
          <w:spacing w:val="-13"/>
          <w:sz w:val="20"/>
        </w:rPr>
        <w:t> </w:t>
      </w:r>
      <w:r>
        <w:rPr>
          <w:sz w:val="20"/>
        </w:rPr>
        <w:t>would</w:t>
      </w:r>
      <w:r>
        <w:rPr>
          <w:spacing w:val="-14"/>
          <w:sz w:val="20"/>
        </w:rPr>
        <w:t> </w:t>
      </w:r>
      <w:r>
        <w:rPr>
          <w:sz w:val="20"/>
        </w:rPr>
        <w:t>be</w:t>
      </w:r>
      <w:r>
        <w:rPr>
          <w:spacing w:val="-14"/>
          <w:sz w:val="20"/>
        </w:rPr>
        <w:t> </w:t>
      </w:r>
      <w:r>
        <w:rPr>
          <w:sz w:val="20"/>
        </w:rPr>
        <w:t>appropriate at arm’s length. For this purpose, the guidance on the functional analysis in Section D.1.2 of Chapter I of the TPG will be relevant. It should be noted that the required sufficiency of functions performed, assets used</w:t>
      </w:r>
      <w:r>
        <w:rPr>
          <w:spacing w:val="-12"/>
          <w:sz w:val="20"/>
        </w:rPr>
        <w:t> </w:t>
      </w:r>
      <w:r>
        <w:rPr>
          <w:sz w:val="20"/>
        </w:rPr>
        <w:t>and</w:t>
      </w:r>
      <w:r>
        <w:rPr>
          <w:spacing w:val="-12"/>
          <w:sz w:val="20"/>
        </w:rPr>
        <w:t> </w:t>
      </w:r>
      <w:r>
        <w:rPr>
          <w:sz w:val="20"/>
        </w:rPr>
        <w:t>risks</w:t>
      </w:r>
      <w:r>
        <w:rPr>
          <w:spacing w:val="-10"/>
          <w:sz w:val="20"/>
        </w:rPr>
        <w:t> </w:t>
      </w:r>
      <w:r>
        <w:rPr>
          <w:sz w:val="20"/>
        </w:rPr>
        <w:t>assumed</w:t>
      </w:r>
      <w:r>
        <w:rPr>
          <w:spacing w:val="-10"/>
          <w:sz w:val="20"/>
        </w:rPr>
        <w:t> </w:t>
      </w:r>
      <w:r>
        <w:rPr>
          <w:sz w:val="20"/>
        </w:rPr>
        <w:t>in</w:t>
      </w:r>
      <w:r>
        <w:rPr>
          <w:spacing w:val="-9"/>
          <w:sz w:val="20"/>
        </w:rPr>
        <w:t> </w:t>
      </w:r>
      <w:r>
        <w:rPr>
          <w:sz w:val="20"/>
        </w:rPr>
        <w:t>performing</w:t>
      </w:r>
      <w:r>
        <w:rPr>
          <w:spacing w:val="-12"/>
          <w:sz w:val="20"/>
        </w:rPr>
        <w:t> </w:t>
      </w:r>
      <w:r>
        <w:rPr>
          <w:sz w:val="20"/>
        </w:rPr>
        <w:t>the</w:t>
      </w:r>
      <w:r>
        <w:rPr>
          <w:spacing w:val="-9"/>
          <w:sz w:val="20"/>
        </w:rPr>
        <w:t> </w:t>
      </w:r>
      <w:r>
        <w:rPr>
          <w:sz w:val="20"/>
        </w:rPr>
        <w:t>baseline</w:t>
      </w:r>
      <w:r>
        <w:rPr>
          <w:spacing w:val="-12"/>
          <w:sz w:val="20"/>
        </w:rPr>
        <w:t> </w:t>
      </w:r>
      <w:r>
        <w:rPr>
          <w:sz w:val="20"/>
        </w:rPr>
        <w:t>marketing</w:t>
      </w:r>
      <w:r>
        <w:rPr>
          <w:spacing w:val="-9"/>
          <w:sz w:val="20"/>
        </w:rPr>
        <w:t> </w:t>
      </w:r>
      <w:r>
        <w:rPr>
          <w:sz w:val="20"/>
        </w:rPr>
        <w:t>and</w:t>
      </w:r>
      <w:r>
        <w:rPr>
          <w:spacing w:val="-9"/>
          <w:sz w:val="20"/>
        </w:rPr>
        <w:t> </w:t>
      </w:r>
      <w:r>
        <w:rPr>
          <w:sz w:val="20"/>
        </w:rPr>
        <w:t>distribution</w:t>
      </w:r>
      <w:r>
        <w:rPr>
          <w:spacing w:val="-10"/>
          <w:sz w:val="20"/>
        </w:rPr>
        <w:t> </w:t>
      </w:r>
      <w:r>
        <w:rPr>
          <w:sz w:val="20"/>
        </w:rPr>
        <w:t>to</w:t>
      </w:r>
      <w:r>
        <w:rPr>
          <w:spacing w:val="-9"/>
          <w:sz w:val="20"/>
        </w:rPr>
        <w:t> </w:t>
      </w:r>
      <w:r>
        <w:rPr>
          <w:sz w:val="20"/>
        </w:rPr>
        <w:t>be</w:t>
      </w:r>
      <w:r>
        <w:rPr>
          <w:spacing w:val="-12"/>
          <w:sz w:val="20"/>
        </w:rPr>
        <w:t> </w:t>
      </w:r>
      <w:r>
        <w:rPr>
          <w:sz w:val="20"/>
        </w:rPr>
        <w:t>considered</w:t>
      </w:r>
      <w:r>
        <w:rPr>
          <w:spacing w:val="-9"/>
          <w:sz w:val="20"/>
        </w:rPr>
        <w:t> </w:t>
      </w:r>
      <w:r>
        <w:rPr>
          <w:sz w:val="20"/>
        </w:rPr>
        <w:t>as</w:t>
      </w:r>
      <w:r>
        <w:rPr>
          <w:spacing w:val="-10"/>
          <w:sz w:val="20"/>
        </w:rPr>
        <w:t> </w:t>
      </w:r>
      <w:r>
        <w:rPr>
          <w:sz w:val="20"/>
        </w:rPr>
        <w:t>in</w:t>
      </w:r>
      <w:r>
        <w:rPr>
          <w:spacing w:val="-5"/>
          <w:sz w:val="20"/>
        </w:rPr>
        <w:t> </w:t>
      </w:r>
      <w:r>
        <w:rPr>
          <w:sz w:val="20"/>
        </w:rPr>
        <w:t>scope is subject to refinement through further technical work, as is the definition of functions, assets and risks themselves as well as the meaning of terms such as “limited” or “routine” when referring to</w:t>
      </w:r>
      <w:r>
        <w:rPr>
          <w:spacing w:val="-21"/>
          <w:sz w:val="20"/>
        </w:rPr>
        <w:t> </w:t>
      </w:r>
      <w:r>
        <w:rPr>
          <w:sz w:val="20"/>
        </w:rPr>
        <w:t>them.</w:t>
      </w:r>
    </w:p>
    <w:p>
      <w:pPr>
        <w:pStyle w:val="BodyText"/>
        <w:spacing w:before="3"/>
      </w:pPr>
    </w:p>
    <w:p>
      <w:pPr>
        <w:pStyle w:val="Heading8"/>
      </w:pPr>
      <w:bookmarkStart w:name="Functions" w:id="391"/>
      <w:bookmarkEnd w:id="391"/>
      <w:r>
        <w:rPr>
          <w:b w:val="0"/>
        </w:rPr>
      </w:r>
      <w:r>
        <w:rPr/>
        <w:t>Functions</w:t>
      </w:r>
    </w:p>
    <w:p>
      <w:pPr>
        <w:pStyle w:val="BodyText"/>
        <w:rPr>
          <w:b/>
          <w:sz w:val="19"/>
        </w:rPr>
      </w:pPr>
    </w:p>
    <w:p>
      <w:pPr>
        <w:pStyle w:val="ListParagraph"/>
        <w:numPr>
          <w:ilvl w:val="0"/>
          <w:numId w:val="13"/>
        </w:numPr>
        <w:tabs>
          <w:tab w:pos="1444" w:val="left" w:leader="none"/>
        </w:tabs>
        <w:spacing w:line="271" w:lineRule="auto" w:before="1" w:after="0"/>
        <w:ind w:left="723" w:right="442" w:firstLine="0"/>
        <w:jc w:val="both"/>
        <w:rPr>
          <w:sz w:val="20"/>
        </w:rPr>
      </w:pPr>
      <w:r>
        <w:rPr>
          <w:sz w:val="20"/>
        </w:rPr>
        <w:t>The</w:t>
      </w:r>
      <w:r>
        <w:rPr>
          <w:spacing w:val="-18"/>
          <w:sz w:val="20"/>
        </w:rPr>
        <w:t> </w:t>
      </w:r>
      <w:r>
        <w:rPr>
          <w:sz w:val="20"/>
        </w:rPr>
        <w:t>baseline</w:t>
      </w:r>
      <w:r>
        <w:rPr>
          <w:spacing w:val="-18"/>
          <w:sz w:val="20"/>
        </w:rPr>
        <w:t> </w:t>
      </w:r>
      <w:r>
        <w:rPr>
          <w:sz w:val="20"/>
        </w:rPr>
        <w:t>marketing</w:t>
      </w:r>
      <w:r>
        <w:rPr>
          <w:spacing w:val="-18"/>
          <w:sz w:val="20"/>
        </w:rPr>
        <w:t> </w:t>
      </w:r>
      <w:r>
        <w:rPr>
          <w:sz w:val="20"/>
        </w:rPr>
        <w:t>and</w:t>
      </w:r>
      <w:r>
        <w:rPr>
          <w:spacing w:val="-15"/>
          <w:sz w:val="20"/>
        </w:rPr>
        <w:t> </w:t>
      </w:r>
      <w:r>
        <w:rPr>
          <w:sz w:val="20"/>
        </w:rPr>
        <w:t>distribution</w:t>
      </w:r>
      <w:r>
        <w:rPr>
          <w:spacing w:val="-14"/>
          <w:sz w:val="20"/>
        </w:rPr>
        <w:t> </w:t>
      </w:r>
      <w:r>
        <w:rPr>
          <w:sz w:val="20"/>
        </w:rPr>
        <w:t>functions</w:t>
      </w:r>
      <w:r>
        <w:rPr>
          <w:spacing w:val="-16"/>
          <w:sz w:val="20"/>
        </w:rPr>
        <w:t> </w:t>
      </w:r>
      <w:r>
        <w:rPr>
          <w:sz w:val="20"/>
        </w:rPr>
        <w:t>typical</w:t>
      </w:r>
      <w:r>
        <w:rPr>
          <w:spacing w:val="-17"/>
          <w:sz w:val="20"/>
        </w:rPr>
        <w:t> </w:t>
      </w:r>
      <w:r>
        <w:rPr>
          <w:sz w:val="20"/>
        </w:rPr>
        <w:t>of</w:t>
      </w:r>
      <w:r>
        <w:rPr>
          <w:spacing w:val="-15"/>
          <w:sz w:val="20"/>
        </w:rPr>
        <w:t> </w:t>
      </w:r>
      <w:r>
        <w:rPr>
          <w:sz w:val="20"/>
        </w:rPr>
        <w:t>the</w:t>
      </w:r>
      <w:r>
        <w:rPr>
          <w:spacing w:val="-18"/>
          <w:sz w:val="20"/>
        </w:rPr>
        <w:t> </w:t>
      </w:r>
      <w:r>
        <w:rPr>
          <w:sz w:val="20"/>
        </w:rPr>
        <w:t>performance</w:t>
      </w:r>
      <w:r>
        <w:rPr>
          <w:spacing w:val="-17"/>
          <w:sz w:val="20"/>
        </w:rPr>
        <w:t> </w:t>
      </w:r>
      <w:r>
        <w:rPr>
          <w:sz w:val="20"/>
        </w:rPr>
        <w:t>of</w:t>
      </w:r>
      <w:r>
        <w:rPr>
          <w:spacing w:val="-15"/>
          <w:sz w:val="20"/>
        </w:rPr>
        <w:t> </w:t>
      </w:r>
      <w:r>
        <w:rPr>
          <w:sz w:val="20"/>
        </w:rPr>
        <w:t>distribution</w:t>
      </w:r>
      <w:r>
        <w:rPr>
          <w:spacing w:val="-18"/>
          <w:sz w:val="20"/>
        </w:rPr>
        <w:t> </w:t>
      </w:r>
      <w:r>
        <w:rPr>
          <w:sz w:val="20"/>
        </w:rPr>
        <w:t>activities by distribution entities in scope of Amount B may</w:t>
      </w:r>
      <w:r>
        <w:rPr>
          <w:spacing w:val="-6"/>
          <w:sz w:val="20"/>
        </w:rPr>
        <w:t> </w:t>
      </w:r>
      <w:r>
        <w:rPr>
          <w:sz w:val="20"/>
        </w:rPr>
        <w:t>include:</w:t>
      </w:r>
    </w:p>
    <w:p>
      <w:pPr>
        <w:pStyle w:val="ListParagraph"/>
        <w:numPr>
          <w:ilvl w:val="0"/>
          <w:numId w:val="76"/>
        </w:numPr>
        <w:tabs>
          <w:tab w:pos="1403" w:val="left" w:leader="none"/>
        </w:tabs>
        <w:spacing w:line="273" w:lineRule="auto" w:before="111" w:after="0"/>
        <w:ind w:left="1402" w:right="486" w:hanging="339"/>
        <w:jc w:val="both"/>
        <w:rPr>
          <w:sz w:val="20"/>
        </w:rPr>
      </w:pPr>
      <w:r>
        <w:rPr>
          <w:sz w:val="20"/>
        </w:rPr>
        <w:t>Importation</w:t>
      </w:r>
      <w:r>
        <w:rPr>
          <w:spacing w:val="-5"/>
          <w:sz w:val="20"/>
        </w:rPr>
        <w:t> </w:t>
      </w:r>
      <w:r>
        <w:rPr>
          <w:sz w:val="20"/>
        </w:rPr>
        <w:t>of</w:t>
      </w:r>
      <w:r>
        <w:rPr>
          <w:spacing w:val="-4"/>
          <w:sz w:val="20"/>
        </w:rPr>
        <w:t> </w:t>
      </w:r>
      <w:r>
        <w:rPr>
          <w:sz w:val="20"/>
        </w:rPr>
        <w:t>products</w:t>
      </w:r>
      <w:r>
        <w:rPr>
          <w:spacing w:val="-5"/>
          <w:sz w:val="20"/>
        </w:rPr>
        <w:t> </w:t>
      </w:r>
      <w:r>
        <w:rPr>
          <w:sz w:val="20"/>
        </w:rPr>
        <w:t>for</w:t>
      </w:r>
      <w:r>
        <w:rPr>
          <w:spacing w:val="-5"/>
          <w:sz w:val="20"/>
        </w:rPr>
        <w:t> </w:t>
      </w:r>
      <w:r>
        <w:rPr>
          <w:sz w:val="20"/>
        </w:rPr>
        <w:t>resale</w:t>
      </w:r>
      <w:r>
        <w:rPr>
          <w:spacing w:val="-2"/>
          <w:sz w:val="20"/>
        </w:rPr>
        <w:t> </w:t>
      </w:r>
      <w:r>
        <w:rPr>
          <w:sz w:val="20"/>
        </w:rPr>
        <w:t>within</w:t>
      </w:r>
      <w:r>
        <w:rPr>
          <w:spacing w:val="-6"/>
          <w:sz w:val="20"/>
        </w:rPr>
        <w:t> </w:t>
      </w:r>
      <w:r>
        <w:rPr>
          <w:sz w:val="20"/>
        </w:rPr>
        <w:t>the</w:t>
      </w:r>
      <w:r>
        <w:rPr>
          <w:spacing w:val="-1"/>
          <w:sz w:val="20"/>
        </w:rPr>
        <w:t> </w:t>
      </w:r>
      <w:r>
        <w:rPr>
          <w:sz w:val="20"/>
        </w:rPr>
        <w:t>market</w:t>
      </w:r>
      <w:r>
        <w:rPr>
          <w:sz w:val="20"/>
          <w:vertAlign w:val="superscript"/>
        </w:rPr>
        <w:t>138</w:t>
      </w:r>
      <w:r>
        <w:rPr>
          <w:spacing w:val="-6"/>
          <w:sz w:val="20"/>
          <w:vertAlign w:val="baseline"/>
        </w:rPr>
        <w:t> </w:t>
      </w:r>
      <w:r>
        <w:rPr>
          <w:sz w:val="20"/>
          <w:vertAlign w:val="baseline"/>
        </w:rPr>
        <w:t>and</w:t>
      </w:r>
      <w:r>
        <w:rPr>
          <w:spacing w:val="-5"/>
          <w:sz w:val="20"/>
          <w:vertAlign w:val="baseline"/>
        </w:rPr>
        <w:t> </w:t>
      </w:r>
      <w:r>
        <w:rPr>
          <w:sz w:val="20"/>
          <w:vertAlign w:val="baseline"/>
        </w:rPr>
        <w:t>customs</w:t>
      </w:r>
      <w:r>
        <w:rPr>
          <w:spacing w:val="-4"/>
          <w:sz w:val="20"/>
          <w:vertAlign w:val="baseline"/>
        </w:rPr>
        <w:t> </w:t>
      </w:r>
      <w:r>
        <w:rPr>
          <w:sz w:val="20"/>
          <w:vertAlign w:val="baseline"/>
        </w:rPr>
        <w:t>clearance,</w:t>
      </w:r>
      <w:r>
        <w:rPr>
          <w:spacing w:val="-2"/>
          <w:sz w:val="20"/>
          <w:vertAlign w:val="baseline"/>
        </w:rPr>
        <w:t> </w:t>
      </w:r>
      <w:r>
        <w:rPr>
          <w:sz w:val="20"/>
          <w:vertAlign w:val="baseline"/>
        </w:rPr>
        <w:t>including</w:t>
      </w:r>
      <w:r>
        <w:rPr>
          <w:spacing w:val="-5"/>
          <w:sz w:val="20"/>
          <w:vertAlign w:val="baseline"/>
        </w:rPr>
        <w:t> </w:t>
      </w:r>
      <w:r>
        <w:rPr>
          <w:sz w:val="20"/>
          <w:vertAlign w:val="baseline"/>
        </w:rPr>
        <w:t>charge</w:t>
      </w:r>
      <w:r>
        <w:rPr>
          <w:spacing w:val="-4"/>
          <w:sz w:val="20"/>
          <w:vertAlign w:val="baseline"/>
        </w:rPr>
        <w:t> </w:t>
      </w:r>
      <w:r>
        <w:rPr>
          <w:sz w:val="20"/>
          <w:vertAlign w:val="baseline"/>
        </w:rPr>
        <w:t>of freight, insurance and customs costs;</w:t>
      </w:r>
    </w:p>
    <w:p>
      <w:pPr>
        <w:pStyle w:val="ListParagraph"/>
        <w:numPr>
          <w:ilvl w:val="0"/>
          <w:numId w:val="76"/>
        </w:numPr>
        <w:tabs>
          <w:tab w:pos="1403" w:val="left" w:leader="none"/>
        </w:tabs>
        <w:spacing w:line="271" w:lineRule="auto" w:before="57" w:after="0"/>
        <w:ind w:left="1402" w:right="482" w:hanging="339"/>
        <w:jc w:val="both"/>
        <w:rPr>
          <w:sz w:val="20"/>
        </w:rPr>
      </w:pPr>
      <w:r>
        <w:rPr>
          <w:sz w:val="20"/>
        </w:rPr>
        <w:t>Purchase of goods for resale within the market; Development and execution of sales budgets and plans within the market, within the MNE group’s guidelines and under its oversight and/or subject to the MNE group’s</w:t>
      </w:r>
      <w:r>
        <w:rPr>
          <w:spacing w:val="-4"/>
          <w:sz w:val="20"/>
        </w:rPr>
        <w:t> </w:t>
      </w:r>
      <w:r>
        <w:rPr>
          <w:sz w:val="20"/>
        </w:rPr>
        <w:t>approval;</w:t>
      </w:r>
    </w:p>
    <w:p>
      <w:pPr>
        <w:pStyle w:val="ListParagraph"/>
        <w:numPr>
          <w:ilvl w:val="0"/>
          <w:numId w:val="76"/>
        </w:numPr>
        <w:tabs>
          <w:tab w:pos="1403" w:val="left" w:leader="none"/>
        </w:tabs>
        <w:spacing w:line="240" w:lineRule="auto" w:before="60" w:after="0"/>
        <w:ind w:left="1402" w:right="0" w:hanging="339"/>
        <w:jc w:val="both"/>
        <w:rPr>
          <w:sz w:val="20"/>
        </w:rPr>
      </w:pPr>
      <w:r>
        <w:rPr>
          <w:sz w:val="20"/>
        </w:rPr>
        <w:t>Development and maintenance of local customer relationships within the</w:t>
      </w:r>
      <w:r>
        <w:rPr>
          <w:spacing w:val="-6"/>
          <w:sz w:val="20"/>
        </w:rPr>
        <w:t> </w:t>
      </w:r>
      <w:r>
        <w:rPr>
          <w:sz w:val="20"/>
        </w:rPr>
        <w:t>market;</w:t>
      </w:r>
    </w:p>
    <w:p>
      <w:pPr>
        <w:pStyle w:val="ListParagraph"/>
        <w:numPr>
          <w:ilvl w:val="0"/>
          <w:numId w:val="76"/>
        </w:numPr>
        <w:tabs>
          <w:tab w:pos="1403" w:val="left" w:leader="none"/>
        </w:tabs>
        <w:spacing w:line="271" w:lineRule="auto" w:before="89" w:after="0"/>
        <w:ind w:left="1402" w:right="483" w:hanging="339"/>
        <w:jc w:val="both"/>
        <w:rPr>
          <w:sz w:val="20"/>
        </w:rPr>
      </w:pPr>
      <w:r>
        <w:rPr>
          <w:sz w:val="20"/>
        </w:rPr>
        <w:t>Determination or negotiation of pricing and other contract terms with third party customers, within the MNE group’s pricing guidelines or price lists and under its oversight or approval where necessary (e.g. to adapt based on market demand, competition and currency, or to allow certain discounts);</w:t>
      </w:r>
    </w:p>
    <w:p>
      <w:pPr>
        <w:pStyle w:val="BodyText"/>
      </w:pPr>
    </w:p>
    <w:p>
      <w:pPr>
        <w:pStyle w:val="BodyText"/>
      </w:pPr>
    </w:p>
    <w:p>
      <w:pPr>
        <w:pStyle w:val="BodyText"/>
      </w:pPr>
    </w:p>
    <w:p>
      <w:pPr>
        <w:pStyle w:val="BodyText"/>
        <w:spacing w:before="6"/>
        <w:rPr>
          <w:sz w:val="23"/>
        </w:rPr>
      </w:pPr>
      <w:r>
        <w:rPr/>
        <w:pict>
          <v:rect style="position:absolute;margin-left:65.183998pt;margin-top:15.496151pt;width:144.020004pt;height:.60004pt;mso-position-horizontal-relative:page;mso-position-vertical-relative:paragraph;z-index:-15647744;mso-wrap-distance-left:0;mso-wrap-distance-right:0" filled="true" fillcolor="#000000" stroked="false">
            <v:fill type="solid"/>
            <w10:wrap type="topAndBottom"/>
          </v:rect>
        </w:pict>
      </w:r>
    </w:p>
    <w:p>
      <w:pPr>
        <w:pStyle w:val="BodyText"/>
        <w:spacing w:before="9"/>
        <w:rPr>
          <w:sz w:val="18"/>
        </w:rPr>
      </w:pPr>
    </w:p>
    <w:p>
      <w:pPr>
        <w:spacing w:line="278" w:lineRule="auto" w:before="96"/>
        <w:ind w:left="865" w:right="584" w:firstLine="0"/>
        <w:jc w:val="both"/>
        <w:rPr>
          <w:sz w:val="18"/>
        </w:rPr>
      </w:pPr>
      <w:r>
        <w:rPr>
          <w:position w:val="6"/>
          <w:sz w:val="13"/>
        </w:rPr>
        <w:t>136</w:t>
      </w:r>
      <w:r>
        <w:rPr>
          <w:spacing w:val="8"/>
          <w:position w:val="6"/>
          <w:sz w:val="13"/>
        </w:rPr>
        <w:t> </w:t>
      </w:r>
      <w:r>
        <w:rPr>
          <w:sz w:val="18"/>
        </w:rPr>
        <w:t>Or,</w:t>
      </w:r>
      <w:r>
        <w:rPr>
          <w:spacing w:val="-4"/>
          <w:sz w:val="18"/>
        </w:rPr>
        <w:t> </w:t>
      </w:r>
      <w:r>
        <w:rPr>
          <w:sz w:val="18"/>
        </w:rPr>
        <w:t>potentially,</w:t>
      </w:r>
      <w:r>
        <w:rPr>
          <w:spacing w:val="-5"/>
          <w:sz w:val="18"/>
        </w:rPr>
        <w:t> </w:t>
      </w:r>
      <w:r>
        <w:rPr>
          <w:sz w:val="18"/>
        </w:rPr>
        <w:t>a</w:t>
      </w:r>
      <w:r>
        <w:rPr>
          <w:spacing w:val="-6"/>
          <w:sz w:val="18"/>
        </w:rPr>
        <w:t> </w:t>
      </w:r>
      <w:r>
        <w:rPr>
          <w:sz w:val="18"/>
        </w:rPr>
        <w:t>distribution</w:t>
      </w:r>
      <w:r>
        <w:rPr>
          <w:spacing w:val="-7"/>
          <w:sz w:val="18"/>
        </w:rPr>
        <w:t> </w:t>
      </w:r>
      <w:r>
        <w:rPr>
          <w:sz w:val="18"/>
        </w:rPr>
        <w:t>entity</w:t>
      </w:r>
      <w:r>
        <w:rPr>
          <w:spacing w:val="-5"/>
          <w:sz w:val="18"/>
        </w:rPr>
        <w:t> </w:t>
      </w:r>
      <w:r>
        <w:rPr>
          <w:sz w:val="18"/>
        </w:rPr>
        <w:t>that</w:t>
      </w:r>
      <w:r>
        <w:rPr>
          <w:spacing w:val="-5"/>
          <w:sz w:val="18"/>
        </w:rPr>
        <w:t> </w:t>
      </w:r>
      <w:r>
        <w:rPr>
          <w:sz w:val="18"/>
        </w:rPr>
        <w:t>would</w:t>
      </w:r>
      <w:r>
        <w:rPr>
          <w:spacing w:val="-6"/>
          <w:sz w:val="18"/>
        </w:rPr>
        <w:t> </w:t>
      </w:r>
      <w:r>
        <w:rPr>
          <w:sz w:val="18"/>
        </w:rPr>
        <w:t>perform</w:t>
      </w:r>
      <w:r>
        <w:rPr>
          <w:spacing w:val="-4"/>
          <w:sz w:val="18"/>
        </w:rPr>
        <w:t> </w:t>
      </w:r>
      <w:r>
        <w:rPr>
          <w:sz w:val="18"/>
        </w:rPr>
        <w:t>functions</w:t>
      </w:r>
      <w:r>
        <w:rPr>
          <w:spacing w:val="-6"/>
          <w:sz w:val="18"/>
        </w:rPr>
        <w:t> </w:t>
      </w:r>
      <w:r>
        <w:rPr>
          <w:sz w:val="18"/>
        </w:rPr>
        <w:t>more</w:t>
      </w:r>
      <w:r>
        <w:rPr>
          <w:spacing w:val="-6"/>
          <w:sz w:val="18"/>
        </w:rPr>
        <w:t> </w:t>
      </w:r>
      <w:r>
        <w:rPr>
          <w:sz w:val="18"/>
        </w:rPr>
        <w:t>akin</w:t>
      </w:r>
      <w:r>
        <w:rPr>
          <w:spacing w:val="-5"/>
          <w:sz w:val="18"/>
        </w:rPr>
        <w:t> </w:t>
      </w:r>
      <w:r>
        <w:rPr>
          <w:sz w:val="18"/>
        </w:rPr>
        <w:t>to</w:t>
      </w:r>
      <w:r>
        <w:rPr>
          <w:spacing w:val="-4"/>
          <w:sz w:val="18"/>
        </w:rPr>
        <w:t> </w:t>
      </w:r>
      <w:r>
        <w:rPr>
          <w:sz w:val="18"/>
        </w:rPr>
        <w:t>logistics</w:t>
      </w:r>
      <w:r>
        <w:rPr>
          <w:spacing w:val="-7"/>
          <w:sz w:val="18"/>
        </w:rPr>
        <w:t> </w:t>
      </w:r>
      <w:r>
        <w:rPr>
          <w:sz w:val="18"/>
        </w:rPr>
        <w:t>services</w:t>
      </w:r>
      <w:r>
        <w:rPr>
          <w:spacing w:val="-3"/>
          <w:sz w:val="18"/>
        </w:rPr>
        <w:t> </w:t>
      </w:r>
      <w:r>
        <w:rPr>
          <w:sz w:val="18"/>
        </w:rPr>
        <w:t>to</w:t>
      </w:r>
      <w:r>
        <w:rPr>
          <w:spacing w:val="-5"/>
          <w:sz w:val="18"/>
        </w:rPr>
        <w:t> </w:t>
      </w:r>
      <w:r>
        <w:rPr>
          <w:sz w:val="18"/>
        </w:rPr>
        <w:t>which</w:t>
      </w:r>
      <w:r>
        <w:rPr>
          <w:spacing w:val="-6"/>
          <w:sz w:val="18"/>
        </w:rPr>
        <w:t> </w:t>
      </w:r>
      <w:r>
        <w:rPr>
          <w:sz w:val="18"/>
        </w:rPr>
        <w:t>a</w:t>
      </w:r>
      <w:r>
        <w:rPr>
          <w:spacing w:val="-5"/>
          <w:sz w:val="18"/>
        </w:rPr>
        <w:t> </w:t>
      </w:r>
      <w:r>
        <w:rPr>
          <w:sz w:val="18"/>
        </w:rPr>
        <w:t>return based on the return on sales profit level indicator may not be</w:t>
      </w:r>
      <w:r>
        <w:rPr>
          <w:spacing w:val="-15"/>
          <w:sz w:val="18"/>
        </w:rPr>
        <w:t> </w:t>
      </w:r>
      <w:r>
        <w:rPr>
          <w:sz w:val="18"/>
        </w:rPr>
        <w:t>appropriate.</w:t>
      </w:r>
    </w:p>
    <w:p>
      <w:pPr>
        <w:spacing w:line="278" w:lineRule="auto" w:before="77"/>
        <w:ind w:left="723" w:right="492" w:firstLine="0"/>
        <w:jc w:val="both"/>
        <w:rPr>
          <w:sz w:val="18"/>
        </w:rPr>
      </w:pPr>
      <w:r>
        <w:rPr>
          <w:position w:val="8"/>
          <w:sz w:val="14"/>
        </w:rPr>
        <w:t>137 </w:t>
      </w:r>
      <w:r>
        <w:rPr>
          <w:sz w:val="18"/>
        </w:rPr>
        <w:t>As Amount B is currently intended to operate on the basis of a narrow scope, applying the positive and negative lists outlined in this chapter, certain types of entities may not typically be included in scope. One example would be commodity marketing hubs, depending on the nature of the activities performed by the hub.</w:t>
      </w:r>
    </w:p>
    <w:p>
      <w:pPr>
        <w:spacing w:line="278" w:lineRule="auto" w:before="107"/>
        <w:ind w:left="865" w:right="578" w:firstLine="0"/>
        <w:jc w:val="both"/>
        <w:rPr>
          <w:sz w:val="18"/>
        </w:rPr>
      </w:pPr>
      <w:r>
        <w:rPr>
          <w:position w:val="6"/>
          <w:sz w:val="13"/>
        </w:rPr>
        <w:t>138 </w:t>
      </w:r>
      <w:r>
        <w:rPr>
          <w:sz w:val="18"/>
        </w:rPr>
        <w:t>Noting that Amount B will apply for entities where up to [50%] of the products distributed may be to customers outside the market where the distribution entity is resident (or where the PE is situated).</w:t>
      </w:r>
    </w:p>
    <w:p>
      <w:pPr>
        <w:spacing w:after="0" w:line="278" w:lineRule="auto"/>
        <w:jc w:val="both"/>
        <w:rPr>
          <w:sz w:val="18"/>
        </w:rPr>
        <w:sectPr>
          <w:pgSz w:w="11910" w:h="16840"/>
          <w:pgMar w:header="1244" w:footer="1638" w:top="1500" w:bottom="1820" w:left="580" w:right="820"/>
        </w:sectPr>
      </w:pPr>
    </w:p>
    <w:p>
      <w:pPr>
        <w:pStyle w:val="BodyText"/>
        <w:spacing w:before="9"/>
        <w:rPr>
          <w:sz w:val="19"/>
        </w:rPr>
      </w:pPr>
    </w:p>
    <w:p>
      <w:pPr>
        <w:pStyle w:val="ListParagraph"/>
        <w:numPr>
          <w:ilvl w:val="0"/>
          <w:numId w:val="76"/>
        </w:numPr>
        <w:tabs>
          <w:tab w:pos="1403" w:val="left" w:leader="none"/>
        </w:tabs>
        <w:spacing w:line="271" w:lineRule="auto" w:before="93" w:after="0"/>
        <w:ind w:left="1402" w:right="483" w:hanging="339"/>
        <w:jc w:val="both"/>
        <w:rPr>
          <w:sz w:val="20"/>
        </w:rPr>
      </w:pPr>
      <w:r>
        <w:rPr>
          <w:sz w:val="20"/>
        </w:rPr>
        <w:t>Processing</w:t>
      </w:r>
      <w:r>
        <w:rPr>
          <w:spacing w:val="-15"/>
          <w:sz w:val="20"/>
        </w:rPr>
        <w:t> </w:t>
      </w:r>
      <w:r>
        <w:rPr>
          <w:sz w:val="20"/>
        </w:rPr>
        <w:t>of</w:t>
      </w:r>
      <w:r>
        <w:rPr>
          <w:spacing w:val="-14"/>
          <w:sz w:val="20"/>
        </w:rPr>
        <w:t> </w:t>
      </w:r>
      <w:r>
        <w:rPr>
          <w:sz w:val="20"/>
        </w:rPr>
        <w:t>orders</w:t>
      </w:r>
      <w:r>
        <w:rPr>
          <w:spacing w:val="-15"/>
          <w:sz w:val="20"/>
        </w:rPr>
        <w:t> </w:t>
      </w:r>
      <w:r>
        <w:rPr>
          <w:sz w:val="20"/>
        </w:rPr>
        <w:t>and</w:t>
      </w:r>
      <w:r>
        <w:rPr>
          <w:spacing w:val="-14"/>
          <w:sz w:val="20"/>
        </w:rPr>
        <w:t> </w:t>
      </w:r>
      <w:r>
        <w:rPr>
          <w:sz w:val="20"/>
        </w:rPr>
        <w:t>contracts</w:t>
      </w:r>
      <w:r>
        <w:rPr>
          <w:spacing w:val="-14"/>
          <w:sz w:val="20"/>
        </w:rPr>
        <w:t> </w:t>
      </w:r>
      <w:r>
        <w:rPr>
          <w:sz w:val="20"/>
        </w:rPr>
        <w:t>with</w:t>
      </w:r>
      <w:r>
        <w:rPr>
          <w:spacing w:val="-15"/>
          <w:sz w:val="20"/>
        </w:rPr>
        <w:t> </w:t>
      </w:r>
      <w:r>
        <w:rPr>
          <w:sz w:val="20"/>
        </w:rPr>
        <w:t>customers;</w:t>
      </w:r>
      <w:r>
        <w:rPr>
          <w:spacing w:val="-16"/>
          <w:sz w:val="20"/>
        </w:rPr>
        <w:t> </w:t>
      </w:r>
      <w:r>
        <w:rPr>
          <w:sz w:val="20"/>
        </w:rPr>
        <w:t>Inventory:</w:t>
      </w:r>
      <w:r>
        <w:rPr>
          <w:spacing w:val="-14"/>
          <w:sz w:val="20"/>
        </w:rPr>
        <w:t> </w:t>
      </w:r>
      <w:r>
        <w:rPr>
          <w:sz w:val="20"/>
        </w:rPr>
        <w:t>monitoring</w:t>
      </w:r>
      <w:r>
        <w:rPr>
          <w:spacing w:val="-14"/>
          <w:sz w:val="20"/>
        </w:rPr>
        <w:t> </w:t>
      </w:r>
      <w:r>
        <w:rPr>
          <w:sz w:val="20"/>
        </w:rPr>
        <w:t>and</w:t>
      </w:r>
      <w:r>
        <w:rPr>
          <w:spacing w:val="-16"/>
          <w:sz w:val="20"/>
        </w:rPr>
        <w:t> </w:t>
      </w:r>
      <w:r>
        <w:rPr>
          <w:sz w:val="20"/>
        </w:rPr>
        <w:t>routine</w:t>
      </w:r>
      <w:r>
        <w:rPr>
          <w:spacing w:val="-17"/>
          <w:sz w:val="20"/>
        </w:rPr>
        <w:t> </w:t>
      </w:r>
      <w:r>
        <w:rPr>
          <w:sz w:val="20"/>
        </w:rPr>
        <w:t>management of inventory (e.g. on the books or by means of joint systems or by receiving regular updates from an entity providing storage and logistics</w:t>
      </w:r>
      <w:r>
        <w:rPr>
          <w:spacing w:val="-2"/>
          <w:sz w:val="20"/>
        </w:rPr>
        <w:t> </w:t>
      </w:r>
      <w:r>
        <w:rPr>
          <w:sz w:val="20"/>
        </w:rPr>
        <w:t>services);</w:t>
      </w:r>
    </w:p>
    <w:p>
      <w:pPr>
        <w:pStyle w:val="ListParagraph"/>
        <w:numPr>
          <w:ilvl w:val="0"/>
          <w:numId w:val="76"/>
        </w:numPr>
        <w:tabs>
          <w:tab w:pos="1403" w:val="left" w:leader="none"/>
        </w:tabs>
        <w:spacing w:line="271" w:lineRule="auto" w:before="61" w:after="0"/>
        <w:ind w:left="1402" w:right="483" w:hanging="339"/>
        <w:jc w:val="both"/>
        <w:rPr>
          <w:sz w:val="20"/>
        </w:rPr>
      </w:pPr>
      <w:r>
        <w:rPr>
          <w:sz w:val="20"/>
        </w:rPr>
        <w:t>Management</w:t>
      </w:r>
      <w:r>
        <w:rPr>
          <w:spacing w:val="-17"/>
          <w:sz w:val="20"/>
        </w:rPr>
        <w:t> </w:t>
      </w:r>
      <w:r>
        <w:rPr>
          <w:sz w:val="20"/>
        </w:rPr>
        <w:t>of</w:t>
      </w:r>
      <w:r>
        <w:rPr>
          <w:spacing w:val="-13"/>
          <w:sz w:val="20"/>
        </w:rPr>
        <w:t> </w:t>
      </w:r>
      <w:r>
        <w:rPr>
          <w:sz w:val="20"/>
        </w:rPr>
        <w:t>logistics,</w:t>
      </w:r>
      <w:r>
        <w:rPr>
          <w:spacing w:val="-15"/>
          <w:sz w:val="20"/>
        </w:rPr>
        <w:t> </w:t>
      </w:r>
      <w:r>
        <w:rPr>
          <w:sz w:val="20"/>
        </w:rPr>
        <w:t>warehousing</w:t>
      </w:r>
      <w:r>
        <w:rPr>
          <w:spacing w:val="-15"/>
          <w:sz w:val="20"/>
        </w:rPr>
        <w:t> </w:t>
      </w:r>
      <w:r>
        <w:rPr>
          <w:sz w:val="20"/>
        </w:rPr>
        <w:t>and</w:t>
      </w:r>
      <w:r>
        <w:rPr>
          <w:spacing w:val="-15"/>
          <w:sz w:val="20"/>
        </w:rPr>
        <w:t> </w:t>
      </w:r>
      <w:r>
        <w:rPr>
          <w:sz w:val="20"/>
        </w:rPr>
        <w:t>transportation</w:t>
      </w:r>
      <w:r>
        <w:rPr>
          <w:spacing w:val="-15"/>
          <w:sz w:val="20"/>
        </w:rPr>
        <w:t> </w:t>
      </w:r>
      <w:r>
        <w:rPr>
          <w:sz w:val="20"/>
        </w:rPr>
        <w:t>of</w:t>
      </w:r>
      <w:r>
        <w:rPr>
          <w:spacing w:val="-15"/>
          <w:sz w:val="20"/>
        </w:rPr>
        <w:t> </w:t>
      </w:r>
      <w:r>
        <w:rPr>
          <w:sz w:val="20"/>
        </w:rPr>
        <w:t>products</w:t>
      </w:r>
      <w:r>
        <w:rPr>
          <w:spacing w:val="-16"/>
          <w:sz w:val="20"/>
        </w:rPr>
        <w:t> </w:t>
      </w:r>
      <w:r>
        <w:rPr>
          <w:sz w:val="20"/>
        </w:rPr>
        <w:t>to</w:t>
      </w:r>
      <w:r>
        <w:rPr>
          <w:spacing w:val="-15"/>
          <w:sz w:val="20"/>
        </w:rPr>
        <w:t> </w:t>
      </w:r>
      <w:r>
        <w:rPr>
          <w:sz w:val="20"/>
        </w:rPr>
        <w:t>customers</w:t>
      </w:r>
      <w:r>
        <w:rPr>
          <w:spacing w:val="-17"/>
          <w:sz w:val="20"/>
        </w:rPr>
        <w:t> </w:t>
      </w:r>
      <w:r>
        <w:rPr>
          <w:sz w:val="20"/>
        </w:rPr>
        <w:t>(which</w:t>
      </w:r>
      <w:r>
        <w:rPr>
          <w:spacing w:val="-13"/>
          <w:sz w:val="20"/>
        </w:rPr>
        <w:t> </w:t>
      </w:r>
      <w:r>
        <w:rPr>
          <w:sz w:val="20"/>
        </w:rPr>
        <w:t>includes situations when these are outsourced to another entity);</w:t>
      </w:r>
    </w:p>
    <w:p>
      <w:pPr>
        <w:pStyle w:val="ListParagraph"/>
        <w:numPr>
          <w:ilvl w:val="0"/>
          <w:numId w:val="76"/>
        </w:numPr>
        <w:tabs>
          <w:tab w:pos="1403" w:val="left" w:leader="none"/>
        </w:tabs>
        <w:spacing w:line="273" w:lineRule="auto" w:before="58" w:after="0"/>
        <w:ind w:left="1402" w:right="483" w:hanging="339"/>
        <w:jc w:val="both"/>
        <w:rPr>
          <w:sz w:val="20"/>
        </w:rPr>
      </w:pPr>
      <w:r>
        <w:rPr>
          <w:sz w:val="20"/>
        </w:rPr>
        <w:t>General administration functions, e.g. sales invoicing, process and collection of payments, accounts, and financial and tax reporting</w:t>
      </w:r>
      <w:r>
        <w:rPr>
          <w:spacing w:val="-6"/>
          <w:sz w:val="20"/>
        </w:rPr>
        <w:t> </w:t>
      </w:r>
      <w:r>
        <w:rPr>
          <w:sz w:val="20"/>
        </w:rPr>
        <w:t>obligations;</w:t>
      </w:r>
    </w:p>
    <w:p>
      <w:pPr>
        <w:pStyle w:val="ListParagraph"/>
        <w:numPr>
          <w:ilvl w:val="0"/>
          <w:numId w:val="76"/>
        </w:numPr>
        <w:tabs>
          <w:tab w:pos="1403" w:val="left" w:leader="none"/>
        </w:tabs>
        <w:spacing w:line="240" w:lineRule="auto" w:before="57" w:after="0"/>
        <w:ind w:left="1402" w:right="0" w:hanging="339"/>
        <w:jc w:val="both"/>
        <w:rPr>
          <w:sz w:val="20"/>
        </w:rPr>
      </w:pPr>
      <w:r>
        <w:rPr>
          <w:sz w:val="20"/>
        </w:rPr>
        <w:t>Routine input into demand planning activities undertaken by the MNE group;</w:t>
      </w:r>
      <w:r>
        <w:rPr>
          <w:spacing w:val="-17"/>
          <w:sz w:val="20"/>
        </w:rPr>
        <w:t> </w:t>
      </w:r>
      <w:r>
        <w:rPr>
          <w:sz w:val="20"/>
        </w:rPr>
        <w:t>and</w:t>
      </w:r>
    </w:p>
    <w:p>
      <w:pPr>
        <w:pStyle w:val="ListParagraph"/>
        <w:numPr>
          <w:ilvl w:val="0"/>
          <w:numId w:val="76"/>
        </w:numPr>
        <w:tabs>
          <w:tab w:pos="1403" w:val="left" w:leader="none"/>
        </w:tabs>
        <w:spacing w:line="240" w:lineRule="auto" w:before="89" w:after="0"/>
        <w:ind w:left="1402" w:right="0" w:hanging="339"/>
        <w:jc w:val="both"/>
        <w:rPr>
          <w:sz w:val="20"/>
        </w:rPr>
      </w:pPr>
      <w:r>
        <w:rPr>
          <w:sz w:val="20"/>
        </w:rPr>
        <w:t>Marketing</w:t>
      </w:r>
      <w:r>
        <w:rPr>
          <w:spacing w:val="-3"/>
          <w:sz w:val="20"/>
        </w:rPr>
        <w:t> </w:t>
      </w:r>
      <w:r>
        <w:rPr>
          <w:sz w:val="20"/>
        </w:rPr>
        <w:t>activities:</w:t>
      </w:r>
    </w:p>
    <w:p>
      <w:pPr>
        <w:pStyle w:val="ListParagraph"/>
        <w:numPr>
          <w:ilvl w:val="1"/>
          <w:numId w:val="76"/>
        </w:numPr>
        <w:tabs>
          <w:tab w:pos="1744" w:val="left" w:leader="none"/>
        </w:tabs>
        <w:spacing w:line="271" w:lineRule="auto" w:before="92" w:after="0"/>
        <w:ind w:left="1743" w:right="492" w:hanging="341"/>
        <w:jc w:val="left"/>
        <w:rPr>
          <w:sz w:val="20"/>
        </w:rPr>
      </w:pPr>
      <w:r>
        <w:rPr>
          <w:sz w:val="20"/>
        </w:rPr>
        <w:t>Pre-sale services: provision of product information to prospective customers (e.g. product demonstrations);</w:t>
      </w:r>
    </w:p>
    <w:p>
      <w:pPr>
        <w:pStyle w:val="ListParagraph"/>
        <w:numPr>
          <w:ilvl w:val="1"/>
          <w:numId w:val="76"/>
        </w:numPr>
        <w:tabs>
          <w:tab w:pos="1744" w:val="left" w:leader="none"/>
        </w:tabs>
        <w:spacing w:line="273" w:lineRule="auto" w:before="58" w:after="0"/>
        <w:ind w:left="1743" w:right="438" w:hanging="341"/>
        <w:jc w:val="left"/>
        <w:rPr>
          <w:sz w:val="20"/>
        </w:rPr>
      </w:pPr>
      <w:r>
        <w:rPr>
          <w:sz w:val="20"/>
        </w:rPr>
        <w:t>Execution of global marketing plans in local jurisdictions with no further material adaptation (advertising campaign, trade</w:t>
      </w:r>
      <w:r>
        <w:rPr>
          <w:spacing w:val="-2"/>
          <w:sz w:val="20"/>
        </w:rPr>
        <w:t> </w:t>
      </w:r>
      <w:r>
        <w:rPr>
          <w:sz w:val="20"/>
        </w:rPr>
        <w:t>shows);</w:t>
      </w:r>
    </w:p>
    <w:p>
      <w:pPr>
        <w:pStyle w:val="ListParagraph"/>
        <w:numPr>
          <w:ilvl w:val="1"/>
          <w:numId w:val="76"/>
        </w:numPr>
        <w:tabs>
          <w:tab w:pos="1744" w:val="left" w:leader="none"/>
        </w:tabs>
        <w:spacing w:line="240" w:lineRule="auto" w:before="57" w:after="0"/>
        <w:ind w:left="1743" w:right="0" w:hanging="342"/>
        <w:jc w:val="left"/>
        <w:rPr>
          <w:sz w:val="20"/>
        </w:rPr>
      </w:pPr>
      <w:r>
        <w:rPr>
          <w:sz w:val="20"/>
        </w:rPr>
        <w:t>Translation of marketing and advertising material and business website to local</w:t>
      </w:r>
      <w:r>
        <w:rPr>
          <w:spacing w:val="-24"/>
          <w:sz w:val="20"/>
        </w:rPr>
        <w:t> </w:t>
      </w:r>
      <w:r>
        <w:rPr>
          <w:sz w:val="20"/>
        </w:rPr>
        <w:t>language;</w:t>
      </w:r>
    </w:p>
    <w:p>
      <w:pPr>
        <w:pStyle w:val="ListParagraph"/>
        <w:numPr>
          <w:ilvl w:val="1"/>
          <w:numId w:val="76"/>
        </w:numPr>
        <w:tabs>
          <w:tab w:pos="1744" w:val="left" w:leader="none"/>
        </w:tabs>
        <w:spacing w:line="273" w:lineRule="auto" w:before="90" w:after="0"/>
        <w:ind w:left="1743" w:right="440" w:hanging="341"/>
        <w:jc w:val="left"/>
        <w:rPr>
          <w:sz w:val="20"/>
        </w:rPr>
      </w:pPr>
      <w:r>
        <w:rPr>
          <w:sz w:val="20"/>
        </w:rPr>
        <w:t>Market research for planning and marketing purposes, e.g. provision of input to foreign related party on trends, customers, consumers, demands, local input;</w:t>
      </w:r>
      <w:r>
        <w:rPr>
          <w:spacing w:val="-15"/>
          <w:sz w:val="20"/>
        </w:rPr>
        <w:t> </w:t>
      </w:r>
      <w:r>
        <w:rPr>
          <w:sz w:val="20"/>
        </w:rPr>
        <w:t>and</w:t>
      </w:r>
    </w:p>
    <w:p>
      <w:pPr>
        <w:pStyle w:val="ListParagraph"/>
        <w:numPr>
          <w:ilvl w:val="1"/>
          <w:numId w:val="76"/>
        </w:numPr>
        <w:tabs>
          <w:tab w:pos="1744" w:val="left" w:leader="none"/>
        </w:tabs>
        <w:spacing w:line="271" w:lineRule="auto" w:before="56" w:after="0"/>
        <w:ind w:left="1743" w:right="438" w:hanging="341"/>
        <w:jc w:val="left"/>
        <w:rPr>
          <w:sz w:val="20"/>
        </w:rPr>
      </w:pPr>
      <w:r>
        <w:rPr>
          <w:sz w:val="20"/>
        </w:rPr>
        <w:t>Routine after-sales services: including processing complaints, and providing non-technical support.</w:t>
      </w:r>
    </w:p>
    <w:p>
      <w:pPr>
        <w:pStyle w:val="ListParagraph"/>
        <w:numPr>
          <w:ilvl w:val="0"/>
          <w:numId w:val="13"/>
        </w:numPr>
        <w:tabs>
          <w:tab w:pos="1443" w:val="left" w:leader="none"/>
          <w:tab w:pos="1444" w:val="left" w:leader="none"/>
        </w:tabs>
        <w:spacing w:line="271" w:lineRule="auto" w:before="128" w:after="0"/>
        <w:ind w:left="723" w:right="436" w:firstLine="0"/>
        <w:jc w:val="left"/>
        <w:rPr>
          <w:sz w:val="20"/>
        </w:rPr>
      </w:pPr>
      <w:r>
        <w:rPr>
          <w:sz w:val="20"/>
        </w:rPr>
        <w:t>Conversely,</w:t>
      </w:r>
      <w:r>
        <w:rPr>
          <w:spacing w:val="-10"/>
          <w:sz w:val="20"/>
        </w:rPr>
        <w:t> </w:t>
      </w:r>
      <w:r>
        <w:rPr>
          <w:sz w:val="20"/>
        </w:rPr>
        <w:t>Amount</w:t>
      </w:r>
      <w:r>
        <w:rPr>
          <w:spacing w:val="-11"/>
          <w:sz w:val="20"/>
        </w:rPr>
        <w:t> </w:t>
      </w:r>
      <w:r>
        <w:rPr>
          <w:sz w:val="20"/>
        </w:rPr>
        <w:t>B</w:t>
      </w:r>
      <w:r>
        <w:rPr>
          <w:spacing w:val="-10"/>
          <w:sz w:val="20"/>
        </w:rPr>
        <w:t> </w:t>
      </w:r>
      <w:r>
        <w:rPr>
          <w:sz w:val="20"/>
        </w:rPr>
        <w:t>is</w:t>
      </w:r>
      <w:r>
        <w:rPr>
          <w:spacing w:val="-8"/>
          <w:sz w:val="20"/>
        </w:rPr>
        <w:t> </w:t>
      </w:r>
      <w:r>
        <w:rPr>
          <w:sz w:val="20"/>
        </w:rPr>
        <w:t>not</w:t>
      </w:r>
      <w:r>
        <w:rPr>
          <w:spacing w:val="-11"/>
          <w:sz w:val="20"/>
        </w:rPr>
        <w:t> </w:t>
      </w:r>
      <w:r>
        <w:rPr>
          <w:sz w:val="20"/>
        </w:rPr>
        <w:t>intended</w:t>
      </w:r>
      <w:r>
        <w:rPr>
          <w:spacing w:val="-9"/>
          <w:sz w:val="20"/>
        </w:rPr>
        <w:t> </w:t>
      </w:r>
      <w:r>
        <w:rPr>
          <w:sz w:val="20"/>
        </w:rPr>
        <w:t>to</w:t>
      </w:r>
      <w:r>
        <w:rPr>
          <w:spacing w:val="-12"/>
          <w:sz w:val="20"/>
        </w:rPr>
        <w:t> </w:t>
      </w:r>
      <w:r>
        <w:rPr>
          <w:sz w:val="20"/>
        </w:rPr>
        <w:t>cover</w:t>
      </w:r>
      <w:r>
        <w:rPr>
          <w:spacing w:val="-9"/>
          <w:sz w:val="20"/>
        </w:rPr>
        <w:t> </w:t>
      </w:r>
      <w:r>
        <w:rPr>
          <w:sz w:val="20"/>
        </w:rPr>
        <w:t>distribution</w:t>
      </w:r>
      <w:r>
        <w:rPr>
          <w:spacing w:val="-12"/>
          <w:sz w:val="20"/>
        </w:rPr>
        <w:t> </w:t>
      </w:r>
      <w:r>
        <w:rPr>
          <w:sz w:val="20"/>
        </w:rPr>
        <w:t>entities</w:t>
      </w:r>
      <w:r>
        <w:rPr>
          <w:spacing w:val="-8"/>
          <w:sz w:val="20"/>
        </w:rPr>
        <w:t> </w:t>
      </w:r>
      <w:r>
        <w:rPr>
          <w:sz w:val="20"/>
        </w:rPr>
        <w:t>that</w:t>
      </w:r>
      <w:r>
        <w:rPr>
          <w:spacing w:val="-9"/>
          <w:sz w:val="20"/>
        </w:rPr>
        <w:t> </w:t>
      </w:r>
      <w:r>
        <w:rPr>
          <w:sz w:val="20"/>
        </w:rPr>
        <w:t>perform</w:t>
      </w:r>
      <w:r>
        <w:rPr>
          <w:spacing w:val="-6"/>
          <w:sz w:val="20"/>
        </w:rPr>
        <w:t> </w:t>
      </w:r>
      <w:r>
        <w:rPr>
          <w:sz w:val="20"/>
        </w:rPr>
        <w:t>any</w:t>
      </w:r>
      <w:r>
        <w:rPr>
          <w:spacing w:val="-12"/>
          <w:sz w:val="20"/>
        </w:rPr>
        <w:t> </w:t>
      </w:r>
      <w:r>
        <w:rPr>
          <w:sz w:val="20"/>
        </w:rPr>
        <w:t>of</w:t>
      </w:r>
      <w:r>
        <w:rPr>
          <w:spacing w:val="-9"/>
          <w:sz w:val="20"/>
        </w:rPr>
        <w:t> </w:t>
      </w:r>
      <w:r>
        <w:rPr>
          <w:sz w:val="20"/>
        </w:rPr>
        <w:t>the</w:t>
      </w:r>
      <w:r>
        <w:rPr>
          <w:spacing w:val="-12"/>
          <w:sz w:val="20"/>
        </w:rPr>
        <w:t> </w:t>
      </w:r>
      <w:r>
        <w:rPr>
          <w:sz w:val="20"/>
        </w:rPr>
        <w:t>following activities:</w:t>
      </w:r>
    </w:p>
    <w:p>
      <w:pPr>
        <w:pStyle w:val="ListParagraph"/>
        <w:numPr>
          <w:ilvl w:val="0"/>
          <w:numId w:val="77"/>
        </w:numPr>
        <w:tabs>
          <w:tab w:pos="1403" w:val="left" w:leader="none"/>
        </w:tabs>
        <w:spacing w:line="271" w:lineRule="auto" w:before="112" w:after="0"/>
        <w:ind w:left="1402" w:right="489" w:hanging="339"/>
        <w:jc w:val="both"/>
        <w:rPr>
          <w:sz w:val="20"/>
        </w:rPr>
      </w:pPr>
      <w:r>
        <w:rPr>
          <w:sz w:val="20"/>
        </w:rPr>
        <w:t>The</w:t>
      </w:r>
      <w:r>
        <w:rPr>
          <w:spacing w:val="-18"/>
          <w:sz w:val="20"/>
        </w:rPr>
        <w:t> </w:t>
      </w:r>
      <w:r>
        <w:rPr>
          <w:sz w:val="20"/>
        </w:rPr>
        <w:t>performance</w:t>
      </w:r>
      <w:r>
        <w:rPr>
          <w:spacing w:val="-17"/>
          <w:sz w:val="20"/>
        </w:rPr>
        <w:t> </w:t>
      </w:r>
      <w:r>
        <w:rPr>
          <w:sz w:val="20"/>
        </w:rPr>
        <w:t>of</w:t>
      </w:r>
      <w:r>
        <w:rPr>
          <w:spacing w:val="-14"/>
          <w:sz w:val="20"/>
        </w:rPr>
        <w:t> </w:t>
      </w:r>
      <w:r>
        <w:rPr>
          <w:sz w:val="20"/>
        </w:rPr>
        <w:t>activities</w:t>
      </w:r>
      <w:r>
        <w:rPr>
          <w:spacing w:val="-16"/>
          <w:sz w:val="20"/>
        </w:rPr>
        <w:t> </w:t>
      </w:r>
      <w:r>
        <w:rPr>
          <w:sz w:val="20"/>
        </w:rPr>
        <w:t>related</w:t>
      </w:r>
      <w:r>
        <w:rPr>
          <w:spacing w:val="-15"/>
          <w:sz w:val="20"/>
        </w:rPr>
        <w:t> </w:t>
      </w:r>
      <w:r>
        <w:rPr>
          <w:sz w:val="20"/>
        </w:rPr>
        <w:t>to</w:t>
      </w:r>
      <w:r>
        <w:rPr>
          <w:spacing w:val="-15"/>
          <w:sz w:val="20"/>
        </w:rPr>
        <w:t> </w:t>
      </w:r>
      <w:r>
        <w:rPr>
          <w:sz w:val="20"/>
        </w:rPr>
        <w:t>the</w:t>
      </w:r>
      <w:r>
        <w:rPr>
          <w:spacing w:val="-14"/>
          <w:sz w:val="20"/>
        </w:rPr>
        <w:t> </w:t>
      </w:r>
      <w:r>
        <w:rPr>
          <w:sz w:val="20"/>
        </w:rPr>
        <w:t>development,</w:t>
      </w:r>
      <w:r>
        <w:rPr>
          <w:spacing w:val="-17"/>
          <w:sz w:val="20"/>
        </w:rPr>
        <w:t> </w:t>
      </w:r>
      <w:r>
        <w:rPr>
          <w:sz w:val="20"/>
        </w:rPr>
        <w:t>enhancement,</w:t>
      </w:r>
      <w:r>
        <w:rPr>
          <w:spacing w:val="-17"/>
          <w:sz w:val="20"/>
        </w:rPr>
        <w:t> </w:t>
      </w:r>
      <w:r>
        <w:rPr>
          <w:sz w:val="20"/>
        </w:rPr>
        <w:t>maintenance</w:t>
      </w:r>
      <w:r>
        <w:rPr>
          <w:spacing w:val="-16"/>
          <w:sz w:val="20"/>
        </w:rPr>
        <w:t> </w:t>
      </w:r>
      <w:r>
        <w:rPr>
          <w:sz w:val="20"/>
        </w:rPr>
        <w:t>or</w:t>
      </w:r>
      <w:r>
        <w:rPr>
          <w:spacing w:val="-14"/>
          <w:sz w:val="20"/>
        </w:rPr>
        <w:t> </w:t>
      </w:r>
      <w:r>
        <w:rPr>
          <w:sz w:val="20"/>
        </w:rPr>
        <w:t>protection of</w:t>
      </w:r>
      <w:r>
        <w:rPr>
          <w:spacing w:val="-9"/>
          <w:sz w:val="20"/>
        </w:rPr>
        <w:t> </w:t>
      </w:r>
      <w:r>
        <w:rPr>
          <w:sz w:val="20"/>
        </w:rPr>
        <w:t>marketing</w:t>
      </w:r>
      <w:r>
        <w:rPr>
          <w:spacing w:val="-6"/>
          <w:sz w:val="20"/>
        </w:rPr>
        <w:t> </w:t>
      </w:r>
      <w:r>
        <w:rPr>
          <w:sz w:val="20"/>
        </w:rPr>
        <w:t>intangibles</w:t>
      </w:r>
      <w:r>
        <w:rPr>
          <w:spacing w:val="-8"/>
          <w:sz w:val="20"/>
        </w:rPr>
        <w:t> </w:t>
      </w:r>
      <w:r>
        <w:rPr>
          <w:sz w:val="20"/>
        </w:rPr>
        <w:t>(other</w:t>
      </w:r>
      <w:r>
        <w:rPr>
          <w:spacing w:val="-7"/>
          <w:sz w:val="20"/>
        </w:rPr>
        <w:t> </w:t>
      </w:r>
      <w:r>
        <w:rPr>
          <w:sz w:val="20"/>
        </w:rPr>
        <w:t>than</w:t>
      </w:r>
      <w:r>
        <w:rPr>
          <w:spacing w:val="-3"/>
          <w:sz w:val="20"/>
        </w:rPr>
        <w:t> </w:t>
      </w:r>
      <w:r>
        <w:rPr>
          <w:sz w:val="20"/>
        </w:rPr>
        <w:t>local</w:t>
      </w:r>
      <w:r>
        <w:rPr>
          <w:spacing w:val="-8"/>
          <w:sz w:val="20"/>
        </w:rPr>
        <w:t> </w:t>
      </w:r>
      <w:r>
        <w:rPr>
          <w:sz w:val="20"/>
        </w:rPr>
        <w:t>customer</w:t>
      </w:r>
      <w:r>
        <w:rPr>
          <w:spacing w:val="-8"/>
          <w:sz w:val="20"/>
        </w:rPr>
        <w:t> </w:t>
      </w:r>
      <w:r>
        <w:rPr>
          <w:sz w:val="20"/>
        </w:rPr>
        <w:t>lists/customer</w:t>
      </w:r>
      <w:r>
        <w:rPr>
          <w:spacing w:val="-7"/>
          <w:sz w:val="20"/>
        </w:rPr>
        <w:t> </w:t>
      </w:r>
      <w:r>
        <w:rPr>
          <w:sz w:val="20"/>
        </w:rPr>
        <w:t>relationships).</w:t>
      </w:r>
      <w:r>
        <w:rPr>
          <w:spacing w:val="-7"/>
          <w:sz w:val="20"/>
        </w:rPr>
        <w:t> </w:t>
      </w:r>
      <w:r>
        <w:rPr>
          <w:sz w:val="20"/>
        </w:rPr>
        <w:t>For</w:t>
      </w:r>
      <w:r>
        <w:rPr>
          <w:spacing w:val="-8"/>
          <w:sz w:val="20"/>
        </w:rPr>
        <w:t> </w:t>
      </w:r>
      <w:r>
        <w:rPr>
          <w:sz w:val="20"/>
        </w:rPr>
        <w:t>instance,</w:t>
      </w:r>
      <w:r>
        <w:rPr>
          <w:spacing w:val="-6"/>
          <w:sz w:val="20"/>
        </w:rPr>
        <w:t> </w:t>
      </w:r>
      <w:r>
        <w:rPr>
          <w:sz w:val="20"/>
        </w:rPr>
        <w:t>this may be exhibited</w:t>
      </w:r>
      <w:r>
        <w:rPr>
          <w:spacing w:val="-5"/>
          <w:sz w:val="20"/>
        </w:rPr>
        <w:t> </w:t>
      </w:r>
      <w:r>
        <w:rPr>
          <w:sz w:val="20"/>
        </w:rPr>
        <w:t>by:</w:t>
      </w:r>
    </w:p>
    <w:p>
      <w:pPr>
        <w:pStyle w:val="ListParagraph"/>
        <w:numPr>
          <w:ilvl w:val="1"/>
          <w:numId w:val="77"/>
        </w:numPr>
        <w:tabs>
          <w:tab w:pos="1744" w:val="left" w:leader="none"/>
        </w:tabs>
        <w:spacing w:line="240" w:lineRule="auto" w:before="60" w:after="0"/>
        <w:ind w:left="1743" w:right="0" w:hanging="342"/>
        <w:jc w:val="both"/>
        <w:rPr>
          <w:sz w:val="20"/>
        </w:rPr>
      </w:pPr>
      <w:r>
        <w:rPr>
          <w:sz w:val="20"/>
        </w:rPr>
        <w:t>The lack of centralised structure and control of the group’s</w:t>
      </w:r>
      <w:r>
        <w:rPr>
          <w:spacing w:val="-1"/>
          <w:sz w:val="20"/>
        </w:rPr>
        <w:t> </w:t>
      </w:r>
      <w:r>
        <w:rPr>
          <w:sz w:val="20"/>
        </w:rPr>
        <w:t>intangibles;</w:t>
      </w:r>
    </w:p>
    <w:p>
      <w:pPr>
        <w:pStyle w:val="ListParagraph"/>
        <w:numPr>
          <w:ilvl w:val="1"/>
          <w:numId w:val="77"/>
        </w:numPr>
        <w:tabs>
          <w:tab w:pos="1744" w:val="left" w:leader="none"/>
        </w:tabs>
        <w:spacing w:line="271" w:lineRule="auto" w:before="92" w:after="0"/>
        <w:ind w:left="1743" w:right="443" w:hanging="341"/>
        <w:jc w:val="both"/>
        <w:rPr>
          <w:sz w:val="20"/>
        </w:rPr>
      </w:pPr>
      <w:r>
        <w:rPr>
          <w:sz w:val="20"/>
        </w:rPr>
        <w:t>Decision-making by the distribution entity about investments and associated investment and development costs;</w:t>
      </w:r>
      <w:r>
        <w:rPr>
          <w:spacing w:val="-2"/>
          <w:sz w:val="20"/>
        </w:rPr>
        <w:t> </w:t>
      </w:r>
      <w:r>
        <w:rPr>
          <w:sz w:val="20"/>
        </w:rPr>
        <w:t>or</w:t>
      </w:r>
    </w:p>
    <w:p>
      <w:pPr>
        <w:pStyle w:val="ListParagraph"/>
        <w:numPr>
          <w:ilvl w:val="1"/>
          <w:numId w:val="77"/>
        </w:numPr>
        <w:tabs>
          <w:tab w:pos="1744" w:val="left" w:leader="none"/>
        </w:tabs>
        <w:spacing w:line="273" w:lineRule="auto" w:before="59" w:after="0"/>
        <w:ind w:left="1743" w:right="438" w:hanging="341"/>
        <w:jc w:val="both"/>
        <w:rPr>
          <w:sz w:val="20"/>
        </w:rPr>
      </w:pPr>
      <w:r>
        <w:rPr>
          <w:sz w:val="20"/>
        </w:rPr>
        <w:t>Developing and taking primary responsibility for maintaining, improving the technology supporting on-line sales and interaction with</w:t>
      </w:r>
      <w:r>
        <w:rPr>
          <w:spacing w:val="-4"/>
          <w:sz w:val="20"/>
        </w:rPr>
        <w:t> </w:t>
      </w:r>
      <w:r>
        <w:rPr>
          <w:sz w:val="20"/>
        </w:rPr>
        <w:t>customers.</w:t>
      </w:r>
    </w:p>
    <w:p>
      <w:pPr>
        <w:pStyle w:val="ListParagraph"/>
        <w:numPr>
          <w:ilvl w:val="0"/>
          <w:numId w:val="77"/>
        </w:numPr>
        <w:tabs>
          <w:tab w:pos="1403" w:val="left" w:leader="none"/>
        </w:tabs>
        <w:spacing w:line="240" w:lineRule="auto" w:before="56" w:after="0"/>
        <w:ind w:left="1402" w:right="0" w:hanging="339"/>
        <w:jc w:val="both"/>
        <w:rPr>
          <w:sz w:val="20"/>
        </w:rPr>
      </w:pPr>
      <w:r>
        <w:rPr>
          <w:sz w:val="20"/>
        </w:rPr>
        <w:t>The performance of strategic sales and marketing functions in the local market, such</w:t>
      </w:r>
      <w:r>
        <w:rPr>
          <w:spacing w:val="-25"/>
          <w:sz w:val="20"/>
        </w:rPr>
        <w:t> </w:t>
      </w:r>
      <w:r>
        <w:rPr>
          <w:sz w:val="20"/>
        </w:rPr>
        <w:t>as:</w:t>
      </w:r>
    </w:p>
    <w:p>
      <w:pPr>
        <w:pStyle w:val="ListParagraph"/>
        <w:numPr>
          <w:ilvl w:val="1"/>
          <w:numId w:val="77"/>
        </w:numPr>
        <w:tabs>
          <w:tab w:pos="1744" w:val="left" w:leader="none"/>
        </w:tabs>
        <w:spacing w:line="240" w:lineRule="auto" w:before="89" w:after="0"/>
        <w:ind w:left="1743" w:right="0" w:hanging="342"/>
        <w:jc w:val="left"/>
        <w:rPr>
          <w:sz w:val="20"/>
        </w:rPr>
      </w:pPr>
      <w:r>
        <w:rPr>
          <w:sz w:val="20"/>
        </w:rPr>
        <w:t>Development of strategic marketing</w:t>
      </w:r>
      <w:r>
        <w:rPr>
          <w:spacing w:val="-4"/>
          <w:sz w:val="20"/>
        </w:rPr>
        <w:t> </w:t>
      </w:r>
      <w:r>
        <w:rPr>
          <w:sz w:val="20"/>
        </w:rPr>
        <w:t>policies;</w:t>
      </w:r>
    </w:p>
    <w:p>
      <w:pPr>
        <w:pStyle w:val="ListParagraph"/>
        <w:numPr>
          <w:ilvl w:val="1"/>
          <w:numId w:val="77"/>
        </w:numPr>
        <w:tabs>
          <w:tab w:pos="1744" w:val="left" w:leader="none"/>
        </w:tabs>
        <w:spacing w:line="240" w:lineRule="auto" w:before="92" w:after="0"/>
        <w:ind w:left="1743" w:right="0" w:hanging="342"/>
        <w:jc w:val="left"/>
        <w:rPr>
          <w:sz w:val="20"/>
        </w:rPr>
      </w:pPr>
      <w:r>
        <w:rPr>
          <w:sz w:val="20"/>
        </w:rPr>
        <w:t>Development</w:t>
      </w:r>
      <w:r>
        <w:rPr>
          <w:spacing w:val="-6"/>
          <w:sz w:val="20"/>
        </w:rPr>
        <w:t> </w:t>
      </w:r>
      <w:r>
        <w:rPr>
          <w:sz w:val="20"/>
        </w:rPr>
        <w:t>of</w:t>
      </w:r>
      <w:r>
        <w:rPr>
          <w:spacing w:val="-5"/>
          <w:sz w:val="20"/>
        </w:rPr>
        <w:t> </w:t>
      </w:r>
      <w:r>
        <w:rPr>
          <w:sz w:val="20"/>
        </w:rPr>
        <w:t>pricing</w:t>
      </w:r>
      <w:r>
        <w:rPr>
          <w:spacing w:val="-6"/>
          <w:sz w:val="20"/>
        </w:rPr>
        <w:t> </w:t>
      </w:r>
      <w:r>
        <w:rPr>
          <w:sz w:val="20"/>
        </w:rPr>
        <w:t>and</w:t>
      </w:r>
      <w:r>
        <w:rPr>
          <w:spacing w:val="-5"/>
          <w:sz w:val="20"/>
        </w:rPr>
        <w:t> </w:t>
      </w:r>
      <w:r>
        <w:rPr>
          <w:sz w:val="20"/>
        </w:rPr>
        <w:t>negotiation</w:t>
      </w:r>
      <w:r>
        <w:rPr>
          <w:spacing w:val="-6"/>
          <w:sz w:val="20"/>
        </w:rPr>
        <w:t> </w:t>
      </w:r>
      <w:r>
        <w:rPr>
          <w:sz w:val="20"/>
        </w:rPr>
        <w:t>of</w:t>
      </w:r>
      <w:r>
        <w:rPr>
          <w:spacing w:val="-5"/>
          <w:sz w:val="20"/>
        </w:rPr>
        <w:t> </w:t>
      </w:r>
      <w:r>
        <w:rPr>
          <w:sz w:val="20"/>
        </w:rPr>
        <w:t>pricing</w:t>
      </w:r>
      <w:r>
        <w:rPr>
          <w:spacing w:val="-6"/>
          <w:sz w:val="20"/>
        </w:rPr>
        <w:t> </w:t>
      </w:r>
      <w:r>
        <w:rPr>
          <w:sz w:val="20"/>
        </w:rPr>
        <w:t>outside</w:t>
      </w:r>
      <w:r>
        <w:rPr>
          <w:spacing w:val="-7"/>
          <w:sz w:val="20"/>
        </w:rPr>
        <w:t> </w:t>
      </w:r>
      <w:r>
        <w:rPr>
          <w:sz w:val="20"/>
        </w:rPr>
        <w:t>of</w:t>
      </w:r>
      <w:r>
        <w:rPr>
          <w:spacing w:val="-5"/>
          <w:sz w:val="20"/>
        </w:rPr>
        <w:t> </w:t>
      </w:r>
      <w:r>
        <w:rPr>
          <w:sz w:val="20"/>
        </w:rPr>
        <w:t>parameters</w:t>
      </w:r>
      <w:r>
        <w:rPr>
          <w:spacing w:val="-4"/>
          <w:sz w:val="20"/>
        </w:rPr>
        <w:t> </w:t>
      </w:r>
      <w:r>
        <w:rPr>
          <w:sz w:val="20"/>
        </w:rPr>
        <w:t>set</w:t>
      </w:r>
      <w:r>
        <w:rPr>
          <w:spacing w:val="-7"/>
          <w:sz w:val="20"/>
        </w:rPr>
        <w:t> </w:t>
      </w:r>
      <w:r>
        <w:rPr>
          <w:sz w:val="20"/>
        </w:rPr>
        <w:t>by</w:t>
      </w:r>
      <w:r>
        <w:rPr>
          <w:spacing w:val="-11"/>
          <w:sz w:val="20"/>
        </w:rPr>
        <w:t> </w:t>
      </w:r>
      <w:r>
        <w:rPr>
          <w:sz w:val="20"/>
        </w:rPr>
        <w:t>the</w:t>
      </w:r>
      <w:r>
        <w:rPr>
          <w:spacing w:val="-5"/>
          <w:sz w:val="20"/>
        </w:rPr>
        <w:t> </w:t>
      </w:r>
      <w:r>
        <w:rPr>
          <w:sz w:val="20"/>
        </w:rPr>
        <w:t>MNE</w:t>
      </w:r>
      <w:r>
        <w:rPr>
          <w:spacing w:val="-6"/>
          <w:sz w:val="20"/>
        </w:rPr>
        <w:t> </w:t>
      </w:r>
      <w:r>
        <w:rPr>
          <w:sz w:val="20"/>
        </w:rPr>
        <w:t>group;</w:t>
      </w:r>
    </w:p>
    <w:p>
      <w:pPr>
        <w:pStyle w:val="ListParagraph"/>
        <w:numPr>
          <w:ilvl w:val="1"/>
          <w:numId w:val="77"/>
        </w:numPr>
        <w:tabs>
          <w:tab w:pos="1744" w:val="left" w:leader="none"/>
        </w:tabs>
        <w:spacing w:line="240" w:lineRule="auto" w:before="89" w:after="0"/>
        <w:ind w:left="1743" w:right="0" w:hanging="342"/>
        <w:jc w:val="left"/>
        <w:rPr>
          <w:sz w:val="20"/>
        </w:rPr>
      </w:pPr>
      <w:r>
        <w:rPr>
          <w:sz w:val="20"/>
        </w:rPr>
        <w:t>Product development functions;</w:t>
      </w:r>
      <w:r>
        <w:rPr>
          <w:spacing w:val="-2"/>
          <w:sz w:val="20"/>
        </w:rPr>
        <w:t> </w:t>
      </w:r>
      <w:r>
        <w:rPr>
          <w:sz w:val="20"/>
        </w:rPr>
        <w:t>or</w:t>
      </w:r>
    </w:p>
    <w:p>
      <w:pPr>
        <w:pStyle w:val="ListParagraph"/>
        <w:numPr>
          <w:ilvl w:val="1"/>
          <w:numId w:val="77"/>
        </w:numPr>
        <w:tabs>
          <w:tab w:pos="1744" w:val="left" w:leader="none"/>
        </w:tabs>
        <w:spacing w:line="273" w:lineRule="auto" w:before="89" w:after="0"/>
        <w:ind w:left="1743" w:right="440" w:hanging="341"/>
        <w:jc w:val="left"/>
        <w:rPr>
          <w:sz w:val="20"/>
        </w:rPr>
      </w:pPr>
      <w:r>
        <w:rPr>
          <w:sz w:val="20"/>
        </w:rPr>
        <w:t>Any marketing and advertising functions that are non-routine or where expenditures are made without an arrangement with the legal owner of the intangibles for</w:t>
      </w:r>
      <w:r>
        <w:rPr>
          <w:spacing w:val="-16"/>
          <w:sz w:val="20"/>
        </w:rPr>
        <w:t> </w:t>
      </w:r>
      <w:r>
        <w:rPr>
          <w:sz w:val="20"/>
        </w:rPr>
        <w:t>reimbursement.</w:t>
      </w:r>
    </w:p>
    <w:p>
      <w:pPr>
        <w:pStyle w:val="ListParagraph"/>
        <w:numPr>
          <w:ilvl w:val="0"/>
          <w:numId w:val="77"/>
        </w:numPr>
        <w:tabs>
          <w:tab w:pos="1403" w:val="left" w:leader="none"/>
        </w:tabs>
        <w:spacing w:line="271" w:lineRule="auto" w:before="57" w:after="0"/>
        <w:ind w:left="1402" w:right="490" w:hanging="339"/>
        <w:jc w:val="both"/>
        <w:rPr>
          <w:sz w:val="20"/>
        </w:rPr>
      </w:pPr>
      <w:r>
        <w:rPr>
          <w:sz w:val="20"/>
        </w:rPr>
        <w:t>Activities related to the assumption of entrepreneurial risks and responsibilities in the controlled transaction.</w:t>
      </w:r>
    </w:p>
    <w:p>
      <w:pPr>
        <w:pStyle w:val="ListParagraph"/>
        <w:numPr>
          <w:ilvl w:val="0"/>
          <w:numId w:val="77"/>
        </w:numPr>
        <w:tabs>
          <w:tab w:pos="1403" w:val="left" w:leader="none"/>
        </w:tabs>
        <w:spacing w:line="271" w:lineRule="auto" w:before="61" w:after="0"/>
        <w:ind w:left="1402" w:right="481" w:hanging="339"/>
        <w:jc w:val="both"/>
        <w:rPr>
          <w:sz w:val="20"/>
        </w:rPr>
      </w:pPr>
      <w:r>
        <w:rPr>
          <w:sz w:val="20"/>
        </w:rPr>
        <w:t>Activities</w:t>
      </w:r>
      <w:r>
        <w:rPr>
          <w:spacing w:val="-15"/>
          <w:sz w:val="20"/>
        </w:rPr>
        <w:t> </w:t>
      </w:r>
      <w:r>
        <w:rPr>
          <w:sz w:val="20"/>
        </w:rPr>
        <w:t>related</w:t>
      </w:r>
      <w:r>
        <w:rPr>
          <w:spacing w:val="-14"/>
          <w:sz w:val="20"/>
        </w:rPr>
        <w:t> </w:t>
      </w:r>
      <w:r>
        <w:rPr>
          <w:sz w:val="20"/>
        </w:rPr>
        <w:t>to</w:t>
      </w:r>
      <w:r>
        <w:rPr>
          <w:spacing w:val="-13"/>
          <w:sz w:val="20"/>
        </w:rPr>
        <w:t> </w:t>
      </w:r>
      <w:r>
        <w:rPr>
          <w:sz w:val="20"/>
        </w:rPr>
        <w:t>the</w:t>
      </w:r>
      <w:r>
        <w:rPr>
          <w:spacing w:val="-16"/>
          <w:sz w:val="20"/>
        </w:rPr>
        <w:t> </w:t>
      </w:r>
      <w:r>
        <w:rPr>
          <w:sz w:val="20"/>
        </w:rPr>
        <w:t>resale</w:t>
      </w:r>
      <w:r>
        <w:rPr>
          <w:spacing w:val="-13"/>
          <w:sz w:val="20"/>
        </w:rPr>
        <w:t> </w:t>
      </w:r>
      <w:r>
        <w:rPr>
          <w:sz w:val="20"/>
        </w:rPr>
        <w:t>of</w:t>
      </w:r>
      <w:r>
        <w:rPr>
          <w:spacing w:val="-11"/>
          <w:sz w:val="20"/>
        </w:rPr>
        <w:t> </w:t>
      </w:r>
      <w:r>
        <w:rPr>
          <w:sz w:val="20"/>
        </w:rPr>
        <w:t>products</w:t>
      </w:r>
      <w:r>
        <w:rPr>
          <w:spacing w:val="-14"/>
          <w:sz w:val="20"/>
        </w:rPr>
        <w:t> </w:t>
      </w:r>
      <w:r>
        <w:rPr>
          <w:sz w:val="20"/>
        </w:rPr>
        <w:t>mainly</w:t>
      </w:r>
      <w:r>
        <w:rPr>
          <w:spacing w:val="-19"/>
          <w:sz w:val="20"/>
        </w:rPr>
        <w:t> </w:t>
      </w:r>
      <w:r>
        <w:rPr>
          <w:sz w:val="20"/>
        </w:rPr>
        <w:t>to</w:t>
      </w:r>
      <w:r>
        <w:rPr>
          <w:spacing w:val="-13"/>
          <w:sz w:val="20"/>
        </w:rPr>
        <w:t> </w:t>
      </w:r>
      <w:r>
        <w:rPr>
          <w:sz w:val="20"/>
        </w:rPr>
        <w:t>government</w:t>
      </w:r>
      <w:r>
        <w:rPr>
          <w:spacing w:val="-16"/>
          <w:sz w:val="20"/>
        </w:rPr>
        <w:t> </w:t>
      </w:r>
      <w:r>
        <w:rPr>
          <w:sz w:val="20"/>
        </w:rPr>
        <w:t>entities</w:t>
      </w:r>
      <w:r>
        <w:rPr>
          <w:spacing w:val="-14"/>
          <w:sz w:val="20"/>
        </w:rPr>
        <w:t> </w:t>
      </w:r>
      <w:r>
        <w:rPr>
          <w:sz w:val="20"/>
        </w:rPr>
        <w:t>or</w:t>
      </w:r>
      <w:r>
        <w:rPr>
          <w:spacing w:val="-13"/>
          <w:sz w:val="20"/>
        </w:rPr>
        <w:t> </w:t>
      </w:r>
      <w:r>
        <w:rPr>
          <w:sz w:val="20"/>
        </w:rPr>
        <w:t>government</w:t>
      </w:r>
      <w:r>
        <w:rPr>
          <w:spacing w:val="-15"/>
          <w:sz w:val="20"/>
        </w:rPr>
        <w:t> </w:t>
      </w:r>
      <w:r>
        <w:rPr>
          <w:sz w:val="20"/>
        </w:rPr>
        <w:t>contractors, as companies performing such activities may face different contractual terms and competition compared with companies distributing to private companies; however, some Inclusive Framework members</w:t>
      </w:r>
      <w:r>
        <w:rPr>
          <w:spacing w:val="-10"/>
          <w:sz w:val="20"/>
        </w:rPr>
        <w:t> </w:t>
      </w:r>
      <w:r>
        <w:rPr>
          <w:sz w:val="20"/>
        </w:rPr>
        <w:t>do</w:t>
      </w:r>
      <w:r>
        <w:rPr>
          <w:spacing w:val="-12"/>
          <w:sz w:val="20"/>
        </w:rPr>
        <w:t> </w:t>
      </w:r>
      <w:r>
        <w:rPr>
          <w:sz w:val="20"/>
        </w:rPr>
        <w:t>not</w:t>
      </w:r>
      <w:r>
        <w:rPr>
          <w:spacing w:val="-11"/>
          <w:sz w:val="20"/>
        </w:rPr>
        <w:t> </w:t>
      </w:r>
      <w:r>
        <w:rPr>
          <w:sz w:val="20"/>
        </w:rPr>
        <w:t>consider</w:t>
      </w:r>
      <w:r>
        <w:rPr>
          <w:spacing w:val="-8"/>
          <w:sz w:val="20"/>
        </w:rPr>
        <w:t> </w:t>
      </w:r>
      <w:r>
        <w:rPr>
          <w:sz w:val="20"/>
        </w:rPr>
        <w:t>that</w:t>
      </w:r>
      <w:r>
        <w:rPr>
          <w:spacing w:val="-12"/>
          <w:sz w:val="20"/>
        </w:rPr>
        <w:t> </w:t>
      </w:r>
      <w:r>
        <w:rPr>
          <w:sz w:val="20"/>
        </w:rPr>
        <w:t>this</w:t>
      </w:r>
      <w:r>
        <w:rPr>
          <w:spacing w:val="-9"/>
          <w:sz w:val="20"/>
        </w:rPr>
        <w:t> </w:t>
      </w:r>
      <w:r>
        <w:rPr>
          <w:sz w:val="20"/>
        </w:rPr>
        <w:t>should</w:t>
      </w:r>
      <w:r>
        <w:rPr>
          <w:spacing w:val="-12"/>
          <w:sz w:val="20"/>
        </w:rPr>
        <w:t> </w:t>
      </w:r>
      <w:r>
        <w:rPr>
          <w:sz w:val="20"/>
        </w:rPr>
        <w:t>be</w:t>
      </w:r>
      <w:r>
        <w:rPr>
          <w:spacing w:val="-9"/>
          <w:sz w:val="20"/>
        </w:rPr>
        <w:t> </w:t>
      </w:r>
      <w:r>
        <w:rPr>
          <w:sz w:val="20"/>
        </w:rPr>
        <w:t>in</w:t>
      </w:r>
      <w:r>
        <w:rPr>
          <w:spacing w:val="-8"/>
          <w:sz w:val="20"/>
        </w:rPr>
        <w:t> </w:t>
      </w:r>
      <w:r>
        <w:rPr>
          <w:sz w:val="20"/>
        </w:rPr>
        <w:t>the</w:t>
      </w:r>
      <w:r>
        <w:rPr>
          <w:spacing w:val="-10"/>
          <w:sz w:val="20"/>
        </w:rPr>
        <w:t> </w:t>
      </w:r>
      <w:r>
        <w:rPr>
          <w:sz w:val="20"/>
        </w:rPr>
        <w:t>negative</w:t>
      </w:r>
      <w:r>
        <w:rPr>
          <w:spacing w:val="-9"/>
          <w:sz w:val="20"/>
        </w:rPr>
        <w:t> </w:t>
      </w:r>
      <w:r>
        <w:rPr>
          <w:sz w:val="20"/>
        </w:rPr>
        <w:t>list</w:t>
      </w:r>
      <w:r>
        <w:rPr>
          <w:spacing w:val="-9"/>
          <w:sz w:val="20"/>
        </w:rPr>
        <w:t> </w:t>
      </w:r>
      <w:r>
        <w:rPr>
          <w:sz w:val="20"/>
        </w:rPr>
        <w:t>and</w:t>
      </w:r>
      <w:r>
        <w:rPr>
          <w:spacing w:val="-11"/>
          <w:sz w:val="20"/>
        </w:rPr>
        <w:t> </w:t>
      </w:r>
      <w:r>
        <w:rPr>
          <w:sz w:val="20"/>
        </w:rPr>
        <w:t>consequently</w:t>
      </w:r>
      <w:r>
        <w:rPr>
          <w:spacing w:val="-1"/>
          <w:sz w:val="20"/>
        </w:rPr>
        <w:t> </w:t>
      </w:r>
      <w:r>
        <w:rPr>
          <w:sz w:val="20"/>
        </w:rPr>
        <w:t>be</w:t>
      </w:r>
      <w:r>
        <w:rPr>
          <w:spacing w:val="-11"/>
          <w:sz w:val="20"/>
        </w:rPr>
        <w:t> </w:t>
      </w:r>
      <w:r>
        <w:rPr>
          <w:sz w:val="20"/>
        </w:rPr>
        <w:t>out-of-scope. Further technical work will be performed to evaluate this</w:t>
      </w:r>
      <w:r>
        <w:rPr>
          <w:spacing w:val="-10"/>
          <w:sz w:val="20"/>
        </w:rPr>
        <w:t> </w:t>
      </w:r>
      <w:r>
        <w:rPr>
          <w:sz w:val="20"/>
        </w:rPr>
        <w:t>concern.</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Heading8"/>
        <w:spacing w:before="93"/>
      </w:pPr>
      <w:bookmarkStart w:name="Assets" w:id="392"/>
      <w:bookmarkEnd w:id="392"/>
      <w:r>
        <w:rPr>
          <w:b w:val="0"/>
        </w:rPr>
      </w:r>
      <w:r>
        <w:rPr/>
        <w:t>Assets</w:t>
      </w:r>
    </w:p>
    <w:p>
      <w:pPr>
        <w:pStyle w:val="BodyText"/>
        <w:spacing w:before="10"/>
        <w:rPr>
          <w:b/>
          <w:sz w:val="18"/>
        </w:rPr>
      </w:pPr>
    </w:p>
    <w:p>
      <w:pPr>
        <w:pStyle w:val="ListParagraph"/>
        <w:numPr>
          <w:ilvl w:val="0"/>
          <w:numId w:val="13"/>
        </w:numPr>
        <w:tabs>
          <w:tab w:pos="1443" w:val="left" w:leader="none"/>
          <w:tab w:pos="1444" w:val="left" w:leader="none"/>
        </w:tabs>
        <w:spacing w:line="271" w:lineRule="auto" w:before="0" w:after="0"/>
        <w:ind w:left="723" w:right="436" w:firstLine="0"/>
        <w:jc w:val="left"/>
        <w:rPr>
          <w:sz w:val="20"/>
        </w:rPr>
      </w:pPr>
      <w:r>
        <w:rPr>
          <w:sz w:val="20"/>
        </w:rPr>
        <w:t>The assets used by the distribution entity in the performance of baseline activities in scope of Amount B may</w:t>
      </w:r>
      <w:r>
        <w:rPr>
          <w:spacing w:val="-8"/>
          <w:sz w:val="20"/>
        </w:rPr>
        <w:t> </w:t>
      </w:r>
      <w:r>
        <w:rPr>
          <w:sz w:val="20"/>
        </w:rPr>
        <w:t>include:</w:t>
      </w:r>
    </w:p>
    <w:p>
      <w:pPr>
        <w:pStyle w:val="ListParagraph"/>
        <w:numPr>
          <w:ilvl w:val="0"/>
          <w:numId w:val="78"/>
        </w:numPr>
        <w:tabs>
          <w:tab w:pos="1402" w:val="left" w:leader="none"/>
          <w:tab w:pos="1403" w:val="left" w:leader="none"/>
        </w:tabs>
        <w:spacing w:line="240" w:lineRule="auto" w:before="100" w:after="0"/>
        <w:ind w:left="1402" w:right="0" w:hanging="339"/>
        <w:jc w:val="left"/>
        <w:rPr>
          <w:sz w:val="20"/>
        </w:rPr>
      </w:pPr>
      <w:r>
        <w:rPr>
          <w:sz w:val="20"/>
        </w:rPr>
        <w:t>Ownership/lease of offices, product display</w:t>
      </w:r>
      <w:r>
        <w:rPr>
          <w:spacing w:val="-6"/>
          <w:sz w:val="20"/>
        </w:rPr>
        <w:t> </w:t>
      </w:r>
      <w:r>
        <w:rPr>
          <w:sz w:val="20"/>
        </w:rPr>
        <w:t>premises;</w:t>
      </w:r>
    </w:p>
    <w:p>
      <w:pPr>
        <w:pStyle w:val="ListParagraph"/>
        <w:numPr>
          <w:ilvl w:val="0"/>
          <w:numId w:val="78"/>
        </w:numPr>
        <w:tabs>
          <w:tab w:pos="1402" w:val="left" w:leader="none"/>
          <w:tab w:pos="1403" w:val="left" w:leader="none"/>
        </w:tabs>
        <w:spacing w:line="240" w:lineRule="auto" w:before="74" w:after="0"/>
        <w:ind w:left="1402" w:right="0" w:hanging="339"/>
        <w:jc w:val="left"/>
        <w:rPr>
          <w:sz w:val="20"/>
        </w:rPr>
      </w:pPr>
      <w:r>
        <w:rPr>
          <w:sz w:val="20"/>
        </w:rPr>
        <w:t>Ownership/lease of warehousing</w:t>
      </w:r>
      <w:r>
        <w:rPr>
          <w:spacing w:val="-1"/>
          <w:sz w:val="20"/>
        </w:rPr>
        <w:t> </w:t>
      </w:r>
      <w:r>
        <w:rPr>
          <w:sz w:val="20"/>
        </w:rPr>
        <w:t>facilities;</w:t>
      </w:r>
    </w:p>
    <w:p>
      <w:pPr>
        <w:pStyle w:val="ListParagraph"/>
        <w:numPr>
          <w:ilvl w:val="0"/>
          <w:numId w:val="78"/>
        </w:numPr>
        <w:tabs>
          <w:tab w:pos="1402" w:val="left" w:leader="none"/>
          <w:tab w:pos="1403" w:val="left" w:leader="none"/>
        </w:tabs>
        <w:spacing w:line="240" w:lineRule="auto" w:before="74" w:after="0"/>
        <w:ind w:left="1402" w:right="0" w:hanging="339"/>
        <w:jc w:val="left"/>
        <w:rPr>
          <w:sz w:val="20"/>
        </w:rPr>
      </w:pPr>
      <w:r>
        <w:rPr>
          <w:sz w:val="20"/>
        </w:rPr>
        <w:t>Limited ownership of</w:t>
      </w:r>
      <w:r>
        <w:rPr>
          <w:spacing w:val="-2"/>
          <w:sz w:val="20"/>
        </w:rPr>
        <w:t> </w:t>
      </w:r>
      <w:r>
        <w:rPr>
          <w:sz w:val="20"/>
        </w:rPr>
        <w:t>inventory;</w:t>
      </w:r>
      <w:r>
        <w:rPr>
          <w:sz w:val="20"/>
          <w:vertAlign w:val="superscript"/>
        </w:rPr>
        <w:t>139</w:t>
      </w:r>
    </w:p>
    <w:p>
      <w:pPr>
        <w:pStyle w:val="ListParagraph"/>
        <w:numPr>
          <w:ilvl w:val="0"/>
          <w:numId w:val="78"/>
        </w:numPr>
        <w:tabs>
          <w:tab w:pos="1402" w:val="left" w:leader="none"/>
          <w:tab w:pos="1403" w:val="left" w:leader="none"/>
        </w:tabs>
        <w:spacing w:line="240" w:lineRule="auto" w:before="77" w:after="0"/>
        <w:ind w:left="1402" w:right="0" w:hanging="339"/>
        <w:jc w:val="left"/>
        <w:rPr>
          <w:sz w:val="20"/>
        </w:rPr>
      </w:pPr>
      <w:r>
        <w:rPr>
          <w:sz w:val="20"/>
        </w:rPr>
        <w:t>Customer list/customer relationships for their own local customer</w:t>
      </w:r>
      <w:r>
        <w:rPr>
          <w:spacing w:val="-11"/>
          <w:sz w:val="20"/>
        </w:rPr>
        <w:t> </w:t>
      </w:r>
      <w:r>
        <w:rPr>
          <w:sz w:val="20"/>
        </w:rPr>
        <w:t>relationships;</w:t>
      </w:r>
    </w:p>
    <w:p>
      <w:pPr>
        <w:pStyle w:val="ListParagraph"/>
        <w:numPr>
          <w:ilvl w:val="0"/>
          <w:numId w:val="78"/>
        </w:numPr>
        <w:tabs>
          <w:tab w:pos="1402" w:val="left" w:leader="none"/>
          <w:tab w:pos="1403" w:val="left" w:leader="none"/>
        </w:tabs>
        <w:spacing w:line="240" w:lineRule="auto" w:before="74" w:after="0"/>
        <w:ind w:left="1402" w:right="0" w:hanging="339"/>
        <w:jc w:val="left"/>
        <w:rPr>
          <w:sz w:val="20"/>
        </w:rPr>
      </w:pPr>
      <w:r>
        <w:rPr>
          <w:sz w:val="20"/>
        </w:rPr>
        <w:t>The right to sell in a market and use product name and brands;</w:t>
      </w:r>
      <w:r>
        <w:rPr>
          <w:sz w:val="20"/>
          <w:vertAlign w:val="superscript"/>
        </w:rPr>
        <w:t>140</w:t>
      </w:r>
      <w:r>
        <w:rPr>
          <w:spacing w:val="-18"/>
          <w:sz w:val="20"/>
          <w:vertAlign w:val="baseline"/>
        </w:rPr>
        <w:t> </w:t>
      </w:r>
      <w:r>
        <w:rPr>
          <w:sz w:val="20"/>
          <w:vertAlign w:val="baseline"/>
        </w:rPr>
        <w:t>and</w:t>
      </w:r>
    </w:p>
    <w:p>
      <w:pPr>
        <w:pStyle w:val="ListParagraph"/>
        <w:numPr>
          <w:ilvl w:val="0"/>
          <w:numId w:val="78"/>
        </w:numPr>
        <w:tabs>
          <w:tab w:pos="1402" w:val="left" w:leader="none"/>
          <w:tab w:pos="1403" w:val="left" w:leader="none"/>
        </w:tabs>
        <w:spacing w:line="240" w:lineRule="auto" w:before="74" w:after="0"/>
        <w:ind w:left="1402" w:right="0" w:hanging="339"/>
        <w:jc w:val="left"/>
        <w:rPr>
          <w:sz w:val="20"/>
        </w:rPr>
      </w:pPr>
      <w:r>
        <w:rPr>
          <w:sz w:val="20"/>
        </w:rPr>
        <w:t>Local registrations or licences for</w:t>
      </w:r>
      <w:r>
        <w:rPr>
          <w:spacing w:val="-5"/>
          <w:sz w:val="20"/>
        </w:rPr>
        <w:t> </w:t>
      </w:r>
      <w:r>
        <w:rPr>
          <w:sz w:val="20"/>
        </w:rPr>
        <w:t>products.</w:t>
      </w:r>
    </w:p>
    <w:p>
      <w:pPr>
        <w:pStyle w:val="ListParagraph"/>
        <w:numPr>
          <w:ilvl w:val="0"/>
          <w:numId w:val="13"/>
        </w:numPr>
        <w:tabs>
          <w:tab w:pos="1444" w:val="left" w:leader="none"/>
        </w:tabs>
        <w:spacing w:line="271" w:lineRule="auto" w:before="158" w:after="0"/>
        <w:ind w:left="723" w:right="438" w:firstLine="0"/>
        <w:jc w:val="both"/>
        <w:rPr>
          <w:sz w:val="20"/>
        </w:rPr>
      </w:pPr>
      <w:r>
        <w:rPr>
          <w:sz w:val="20"/>
        </w:rPr>
        <w:t>The distribution entity should not have the ownership of valuable marketing intangibles, such as local trademarks, brands, trade names, whether or not these are included as an asset in the distribution entity’s balance</w:t>
      </w:r>
      <w:r>
        <w:rPr>
          <w:spacing w:val="3"/>
          <w:sz w:val="20"/>
        </w:rPr>
        <w:t> </w:t>
      </w:r>
      <w:r>
        <w:rPr>
          <w:sz w:val="20"/>
        </w:rPr>
        <w:t>sheet.</w:t>
      </w:r>
    </w:p>
    <w:p>
      <w:pPr>
        <w:pStyle w:val="BodyText"/>
        <w:spacing w:before="3"/>
      </w:pPr>
    </w:p>
    <w:p>
      <w:pPr>
        <w:pStyle w:val="Heading8"/>
      </w:pPr>
      <w:bookmarkStart w:name="Risks" w:id="393"/>
      <w:bookmarkEnd w:id="393"/>
      <w:r>
        <w:rPr>
          <w:b w:val="0"/>
        </w:rPr>
      </w:r>
      <w:r>
        <w:rPr/>
        <w:t>Risks</w:t>
      </w:r>
    </w:p>
    <w:p>
      <w:pPr>
        <w:pStyle w:val="BodyText"/>
        <w:spacing w:before="10"/>
        <w:rPr>
          <w:b/>
          <w:sz w:val="18"/>
        </w:rPr>
      </w:pPr>
    </w:p>
    <w:p>
      <w:pPr>
        <w:pStyle w:val="ListParagraph"/>
        <w:numPr>
          <w:ilvl w:val="0"/>
          <w:numId w:val="13"/>
        </w:numPr>
        <w:tabs>
          <w:tab w:pos="1444" w:val="left" w:leader="none"/>
        </w:tabs>
        <w:spacing w:line="271" w:lineRule="auto" w:before="0" w:after="0"/>
        <w:ind w:left="723" w:right="437" w:firstLine="0"/>
        <w:jc w:val="both"/>
        <w:rPr>
          <w:sz w:val="20"/>
        </w:rPr>
      </w:pPr>
      <w:r>
        <w:rPr>
          <w:sz w:val="20"/>
        </w:rPr>
        <w:t>The risks assumed by the distribution entity in the performance of baseline activities in scope of Amount B may</w:t>
      </w:r>
      <w:r>
        <w:rPr>
          <w:spacing w:val="-8"/>
          <w:sz w:val="20"/>
        </w:rPr>
        <w:t> </w:t>
      </w:r>
      <w:r>
        <w:rPr>
          <w:sz w:val="20"/>
        </w:rPr>
        <w:t>include:</w:t>
      </w:r>
    </w:p>
    <w:p>
      <w:pPr>
        <w:pStyle w:val="ListParagraph"/>
        <w:numPr>
          <w:ilvl w:val="1"/>
          <w:numId w:val="13"/>
        </w:numPr>
        <w:tabs>
          <w:tab w:pos="1403" w:val="left" w:leader="none"/>
        </w:tabs>
        <w:spacing w:line="271" w:lineRule="auto" w:before="100" w:after="0"/>
        <w:ind w:left="1402" w:right="488" w:hanging="339"/>
        <w:jc w:val="both"/>
        <w:rPr>
          <w:sz w:val="20"/>
        </w:rPr>
      </w:pPr>
      <w:r>
        <w:rPr>
          <w:sz w:val="20"/>
        </w:rPr>
        <w:t>Limited market risks, for example on the basis that other entities within the MNE group assume material</w:t>
      </w:r>
      <w:r>
        <w:rPr>
          <w:spacing w:val="-11"/>
          <w:sz w:val="20"/>
        </w:rPr>
        <w:t> </w:t>
      </w:r>
      <w:r>
        <w:rPr>
          <w:sz w:val="20"/>
        </w:rPr>
        <w:t>market</w:t>
      </w:r>
      <w:r>
        <w:rPr>
          <w:spacing w:val="-10"/>
          <w:sz w:val="20"/>
        </w:rPr>
        <w:t> </w:t>
      </w:r>
      <w:r>
        <w:rPr>
          <w:sz w:val="20"/>
        </w:rPr>
        <w:t>risks,</w:t>
      </w:r>
      <w:r>
        <w:rPr>
          <w:spacing w:val="-9"/>
          <w:sz w:val="20"/>
        </w:rPr>
        <w:t> </w:t>
      </w:r>
      <w:r>
        <w:rPr>
          <w:sz w:val="20"/>
        </w:rPr>
        <w:t>by</w:t>
      </w:r>
      <w:r>
        <w:rPr>
          <w:spacing w:val="-13"/>
          <w:sz w:val="20"/>
        </w:rPr>
        <w:t> </w:t>
      </w:r>
      <w:r>
        <w:rPr>
          <w:sz w:val="20"/>
        </w:rPr>
        <w:t>developing</w:t>
      </w:r>
      <w:r>
        <w:rPr>
          <w:spacing w:val="-8"/>
          <w:sz w:val="20"/>
        </w:rPr>
        <w:t> </w:t>
      </w:r>
      <w:r>
        <w:rPr>
          <w:sz w:val="20"/>
        </w:rPr>
        <w:t>strategic</w:t>
      </w:r>
      <w:r>
        <w:rPr>
          <w:spacing w:val="-8"/>
          <w:sz w:val="20"/>
        </w:rPr>
        <w:t> </w:t>
      </w:r>
      <w:r>
        <w:rPr>
          <w:sz w:val="20"/>
        </w:rPr>
        <w:t>marketing</w:t>
      </w:r>
      <w:r>
        <w:rPr>
          <w:spacing w:val="-10"/>
          <w:sz w:val="20"/>
        </w:rPr>
        <w:t> </w:t>
      </w:r>
      <w:r>
        <w:rPr>
          <w:sz w:val="20"/>
        </w:rPr>
        <w:t>plans,</w:t>
      </w:r>
      <w:r>
        <w:rPr>
          <w:spacing w:val="-7"/>
          <w:sz w:val="20"/>
        </w:rPr>
        <w:t> </w:t>
      </w:r>
      <w:r>
        <w:rPr>
          <w:sz w:val="20"/>
        </w:rPr>
        <w:t>define</w:t>
      </w:r>
      <w:r>
        <w:rPr>
          <w:spacing w:val="-8"/>
          <w:sz w:val="20"/>
        </w:rPr>
        <w:t> </w:t>
      </w:r>
      <w:r>
        <w:rPr>
          <w:sz w:val="20"/>
        </w:rPr>
        <w:t>pricing</w:t>
      </w:r>
      <w:r>
        <w:rPr>
          <w:spacing w:val="-7"/>
          <w:sz w:val="20"/>
        </w:rPr>
        <w:t> </w:t>
      </w:r>
      <w:r>
        <w:rPr>
          <w:sz w:val="20"/>
        </w:rPr>
        <w:t>and</w:t>
      </w:r>
      <w:r>
        <w:rPr>
          <w:spacing w:val="-8"/>
          <w:sz w:val="20"/>
        </w:rPr>
        <w:t> </w:t>
      </w:r>
      <w:r>
        <w:rPr>
          <w:sz w:val="20"/>
        </w:rPr>
        <w:t>undertake</w:t>
      </w:r>
      <w:r>
        <w:rPr>
          <w:spacing w:val="-10"/>
          <w:sz w:val="20"/>
        </w:rPr>
        <w:t> </w:t>
      </w:r>
      <w:r>
        <w:rPr>
          <w:sz w:val="20"/>
        </w:rPr>
        <w:t>brand development activities, but where a local distributor may assume some risk of variable sales volumes in its specific market through reduced</w:t>
      </w:r>
      <w:r>
        <w:rPr>
          <w:spacing w:val="-7"/>
          <w:sz w:val="20"/>
        </w:rPr>
        <w:t> </w:t>
      </w:r>
      <w:r>
        <w:rPr>
          <w:sz w:val="20"/>
        </w:rPr>
        <w:t>revenues;</w:t>
      </w:r>
    </w:p>
    <w:p>
      <w:pPr>
        <w:pStyle w:val="ListParagraph"/>
        <w:numPr>
          <w:ilvl w:val="1"/>
          <w:numId w:val="13"/>
        </w:numPr>
        <w:tabs>
          <w:tab w:pos="1403" w:val="left" w:leader="none"/>
        </w:tabs>
        <w:spacing w:line="266" w:lineRule="auto" w:before="43" w:after="0"/>
        <w:ind w:left="1402" w:right="488" w:hanging="339"/>
        <w:jc w:val="both"/>
        <w:rPr>
          <w:sz w:val="20"/>
        </w:rPr>
      </w:pPr>
      <w:r>
        <w:rPr>
          <w:sz w:val="20"/>
        </w:rPr>
        <w:t>Between no to limited credit risks, for example where the routine distribution entity makes sales within its market and where it develops and maintains the customer</w:t>
      </w:r>
      <w:r>
        <w:rPr>
          <w:spacing w:val="-17"/>
          <w:sz w:val="20"/>
        </w:rPr>
        <w:t> </w:t>
      </w:r>
      <w:r>
        <w:rPr>
          <w:sz w:val="20"/>
        </w:rPr>
        <w:t>relationship;</w:t>
      </w:r>
    </w:p>
    <w:p>
      <w:pPr>
        <w:pStyle w:val="ListParagraph"/>
        <w:numPr>
          <w:ilvl w:val="1"/>
          <w:numId w:val="13"/>
        </w:numPr>
        <w:tabs>
          <w:tab w:pos="1403" w:val="left" w:leader="none"/>
        </w:tabs>
        <w:spacing w:line="266" w:lineRule="auto" w:before="54" w:after="0"/>
        <w:ind w:left="1402" w:right="492" w:hanging="339"/>
        <w:jc w:val="both"/>
        <w:rPr>
          <w:sz w:val="20"/>
        </w:rPr>
      </w:pPr>
      <w:r>
        <w:rPr>
          <w:sz w:val="20"/>
        </w:rPr>
        <w:t>Between</w:t>
      </w:r>
      <w:r>
        <w:rPr>
          <w:spacing w:val="-12"/>
          <w:sz w:val="20"/>
        </w:rPr>
        <w:t> </w:t>
      </w:r>
      <w:r>
        <w:rPr>
          <w:sz w:val="20"/>
        </w:rPr>
        <w:t>no</w:t>
      </w:r>
      <w:r>
        <w:rPr>
          <w:spacing w:val="-12"/>
          <w:sz w:val="20"/>
        </w:rPr>
        <w:t> </w:t>
      </w:r>
      <w:r>
        <w:rPr>
          <w:sz w:val="20"/>
        </w:rPr>
        <w:t>to</w:t>
      </w:r>
      <w:r>
        <w:rPr>
          <w:spacing w:val="-11"/>
          <w:sz w:val="20"/>
        </w:rPr>
        <w:t> </w:t>
      </w:r>
      <w:r>
        <w:rPr>
          <w:sz w:val="20"/>
        </w:rPr>
        <w:t>limited</w:t>
      </w:r>
      <w:r>
        <w:rPr>
          <w:spacing w:val="-12"/>
          <w:sz w:val="20"/>
        </w:rPr>
        <w:t> </w:t>
      </w:r>
      <w:r>
        <w:rPr>
          <w:sz w:val="20"/>
        </w:rPr>
        <w:t>inventory</w:t>
      </w:r>
      <w:r>
        <w:rPr>
          <w:spacing w:val="-16"/>
          <w:sz w:val="20"/>
        </w:rPr>
        <w:t> </w:t>
      </w:r>
      <w:r>
        <w:rPr>
          <w:sz w:val="20"/>
        </w:rPr>
        <w:t>risk,</w:t>
      </w:r>
      <w:r>
        <w:rPr>
          <w:spacing w:val="-14"/>
          <w:sz w:val="20"/>
        </w:rPr>
        <w:t> </w:t>
      </w:r>
      <w:r>
        <w:rPr>
          <w:sz w:val="20"/>
        </w:rPr>
        <w:t>to</w:t>
      </w:r>
      <w:r>
        <w:rPr>
          <w:spacing w:val="-14"/>
          <w:sz w:val="20"/>
        </w:rPr>
        <w:t> </w:t>
      </w:r>
      <w:r>
        <w:rPr>
          <w:sz w:val="20"/>
        </w:rPr>
        <w:t>the</w:t>
      </w:r>
      <w:r>
        <w:rPr>
          <w:spacing w:val="-13"/>
          <w:sz w:val="20"/>
        </w:rPr>
        <w:t> </w:t>
      </w:r>
      <w:r>
        <w:rPr>
          <w:sz w:val="20"/>
        </w:rPr>
        <w:t>extent</w:t>
      </w:r>
      <w:r>
        <w:rPr>
          <w:spacing w:val="-14"/>
          <w:sz w:val="20"/>
        </w:rPr>
        <w:t> </w:t>
      </w:r>
      <w:r>
        <w:rPr>
          <w:sz w:val="20"/>
        </w:rPr>
        <w:t>that</w:t>
      </w:r>
      <w:r>
        <w:rPr>
          <w:spacing w:val="-13"/>
          <w:sz w:val="20"/>
        </w:rPr>
        <w:t> </w:t>
      </w:r>
      <w:r>
        <w:rPr>
          <w:sz w:val="20"/>
        </w:rPr>
        <w:t>the</w:t>
      </w:r>
      <w:r>
        <w:rPr>
          <w:spacing w:val="-14"/>
          <w:sz w:val="20"/>
        </w:rPr>
        <w:t> </w:t>
      </w:r>
      <w:r>
        <w:rPr>
          <w:sz w:val="20"/>
        </w:rPr>
        <w:t>routine</w:t>
      </w:r>
      <w:r>
        <w:rPr>
          <w:spacing w:val="-13"/>
          <w:sz w:val="20"/>
        </w:rPr>
        <w:t> </w:t>
      </w:r>
      <w:r>
        <w:rPr>
          <w:sz w:val="20"/>
        </w:rPr>
        <w:t>distribution</w:t>
      </w:r>
      <w:r>
        <w:rPr>
          <w:spacing w:val="-14"/>
          <w:sz w:val="20"/>
        </w:rPr>
        <w:t> </w:t>
      </w:r>
      <w:r>
        <w:rPr>
          <w:sz w:val="20"/>
        </w:rPr>
        <w:t>entity</w:t>
      </w:r>
      <w:r>
        <w:rPr>
          <w:spacing w:val="-14"/>
          <w:sz w:val="20"/>
        </w:rPr>
        <w:t> </w:t>
      </w:r>
      <w:r>
        <w:rPr>
          <w:sz w:val="20"/>
        </w:rPr>
        <w:t>holds</w:t>
      </w:r>
      <w:r>
        <w:rPr>
          <w:spacing w:val="-13"/>
          <w:sz w:val="20"/>
        </w:rPr>
        <w:t> </w:t>
      </w:r>
      <w:r>
        <w:rPr>
          <w:sz w:val="20"/>
        </w:rPr>
        <w:t>inventory; and</w:t>
      </w:r>
    </w:p>
    <w:p>
      <w:pPr>
        <w:pStyle w:val="ListParagraph"/>
        <w:numPr>
          <w:ilvl w:val="1"/>
          <w:numId w:val="13"/>
        </w:numPr>
        <w:tabs>
          <w:tab w:pos="1403" w:val="left" w:leader="none"/>
        </w:tabs>
        <w:spacing w:line="268" w:lineRule="auto" w:before="51" w:after="0"/>
        <w:ind w:left="1402" w:right="492" w:hanging="339"/>
        <w:jc w:val="both"/>
        <w:rPr>
          <w:sz w:val="20"/>
        </w:rPr>
      </w:pPr>
      <w:r>
        <w:rPr>
          <w:sz w:val="20"/>
        </w:rPr>
        <w:t>Between no to limited foreign exchange risk, where the routine distribution entity purchases products or services for resale and either resells them in a different currency or bears operating costs in a different</w:t>
      </w:r>
      <w:r>
        <w:rPr>
          <w:spacing w:val="-3"/>
          <w:sz w:val="20"/>
        </w:rPr>
        <w:t> </w:t>
      </w:r>
      <w:r>
        <w:rPr>
          <w:sz w:val="20"/>
        </w:rPr>
        <w:t>currency.</w:t>
      </w:r>
    </w:p>
    <w:p>
      <w:pPr>
        <w:pStyle w:val="ListParagraph"/>
        <w:numPr>
          <w:ilvl w:val="0"/>
          <w:numId w:val="13"/>
        </w:numPr>
        <w:tabs>
          <w:tab w:pos="1444" w:val="left" w:leader="none"/>
        </w:tabs>
        <w:spacing w:line="271" w:lineRule="auto" w:before="131" w:after="0"/>
        <w:ind w:left="723" w:right="440" w:firstLine="0"/>
        <w:jc w:val="both"/>
        <w:rPr>
          <w:sz w:val="20"/>
        </w:rPr>
      </w:pPr>
      <w:r>
        <w:rPr>
          <w:sz w:val="20"/>
        </w:rPr>
        <w:t>Typically, these entities would not be expected to assume risks that were economically significant for</w:t>
      </w:r>
      <w:r>
        <w:rPr>
          <w:spacing w:val="-15"/>
          <w:sz w:val="20"/>
        </w:rPr>
        <w:t> </w:t>
      </w:r>
      <w:r>
        <w:rPr>
          <w:sz w:val="20"/>
        </w:rPr>
        <w:t>the</w:t>
      </w:r>
      <w:r>
        <w:rPr>
          <w:spacing w:val="-17"/>
          <w:sz w:val="20"/>
        </w:rPr>
        <w:t> </w:t>
      </w:r>
      <w:r>
        <w:rPr>
          <w:sz w:val="20"/>
        </w:rPr>
        <w:t>MNE</w:t>
      </w:r>
      <w:r>
        <w:rPr>
          <w:spacing w:val="-17"/>
          <w:sz w:val="20"/>
        </w:rPr>
        <w:t> </w:t>
      </w:r>
      <w:r>
        <w:rPr>
          <w:sz w:val="20"/>
        </w:rPr>
        <w:t>group</w:t>
      </w:r>
      <w:r>
        <w:rPr>
          <w:spacing w:val="-17"/>
          <w:sz w:val="20"/>
        </w:rPr>
        <w:t> </w:t>
      </w:r>
      <w:r>
        <w:rPr>
          <w:sz w:val="20"/>
        </w:rPr>
        <w:t>as</w:t>
      </w:r>
      <w:r>
        <w:rPr>
          <w:spacing w:val="-13"/>
          <w:sz w:val="20"/>
        </w:rPr>
        <w:t> </w:t>
      </w:r>
      <w:r>
        <w:rPr>
          <w:sz w:val="20"/>
        </w:rPr>
        <w:t>a</w:t>
      </w:r>
      <w:r>
        <w:rPr>
          <w:spacing w:val="-14"/>
          <w:sz w:val="20"/>
        </w:rPr>
        <w:t> </w:t>
      </w:r>
      <w:r>
        <w:rPr>
          <w:sz w:val="20"/>
        </w:rPr>
        <w:t>whole.</w:t>
      </w:r>
      <w:r>
        <w:rPr>
          <w:spacing w:val="-16"/>
          <w:sz w:val="20"/>
        </w:rPr>
        <w:t> </w:t>
      </w:r>
      <w:r>
        <w:rPr>
          <w:sz w:val="20"/>
        </w:rPr>
        <w:t>Determining</w:t>
      </w:r>
      <w:r>
        <w:rPr>
          <w:spacing w:val="-12"/>
          <w:sz w:val="20"/>
        </w:rPr>
        <w:t> </w:t>
      </w:r>
      <w:r>
        <w:rPr>
          <w:sz w:val="20"/>
        </w:rPr>
        <w:t>whether</w:t>
      </w:r>
      <w:r>
        <w:rPr>
          <w:spacing w:val="-14"/>
          <w:sz w:val="20"/>
        </w:rPr>
        <w:t> </w:t>
      </w:r>
      <w:r>
        <w:rPr>
          <w:sz w:val="20"/>
        </w:rPr>
        <w:t>a</w:t>
      </w:r>
      <w:r>
        <w:rPr>
          <w:spacing w:val="-16"/>
          <w:sz w:val="20"/>
        </w:rPr>
        <w:t> </w:t>
      </w:r>
      <w:r>
        <w:rPr>
          <w:sz w:val="20"/>
        </w:rPr>
        <w:t>risk</w:t>
      </w:r>
      <w:r>
        <w:rPr>
          <w:spacing w:val="-12"/>
          <w:sz w:val="20"/>
        </w:rPr>
        <w:t> </w:t>
      </w:r>
      <w:r>
        <w:rPr>
          <w:sz w:val="20"/>
        </w:rPr>
        <w:t>is</w:t>
      </w:r>
      <w:r>
        <w:rPr>
          <w:spacing w:val="-15"/>
          <w:sz w:val="20"/>
        </w:rPr>
        <w:t> </w:t>
      </w:r>
      <w:r>
        <w:rPr>
          <w:sz w:val="20"/>
        </w:rPr>
        <w:t>economically</w:t>
      </w:r>
      <w:r>
        <w:rPr>
          <w:spacing w:val="-18"/>
          <w:sz w:val="20"/>
        </w:rPr>
        <w:t> </w:t>
      </w:r>
      <w:r>
        <w:rPr>
          <w:sz w:val="20"/>
        </w:rPr>
        <w:t>significant</w:t>
      </w:r>
      <w:r>
        <w:rPr>
          <w:spacing w:val="-16"/>
          <w:sz w:val="20"/>
        </w:rPr>
        <w:t> </w:t>
      </w:r>
      <w:r>
        <w:rPr>
          <w:sz w:val="20"/>
        </w:rPr>
        <w:t>is</w:t>
      </w:r>
      <w:r>
        <w:rPr>
          <w:spacing w:val="-15"/>
          <w:sz w:val="20"/>
        </w:rPr>
        <w:t> </w:t>
      </w:r>
      <w:r>
        <w:rPr>
          <w:sz w:val="20"/>
        </w:rPr>
        <w:t>part</w:t>
      </w:r>
      <w:r>
        <w:rPr>
          <w:spacing w:val="-15"/>
          <w:sz w:val="20"/>
        </w:rPr>
        <w:t> </w:t>
      </w:r>
      <w:r>
        <w:rPr>
          <w:sz w:val="20"/>
        </w:rPr>
        <w:t>of</w:t>
      </w:r>
      <w:r>
        <w:rPr>
          <w:spacing w:val="-14"/>
          <w:sz w:val="20"/>
        </w:rPr>
        <w:t> </w:t>
      </w:r>
      <w:r>
        <w:rPr>
          <w:sz w:val="20"/>
        </w:rPr>
        <w:t>the</w:t>
      </w:r>
      <w:r>
        <w:rPr>
          <w:spacing w:val="-17"/>
          <w:sz w:val="20"/>
        </w:rPr>
        <w:t> </w:t>
      </w:r>
      <w:r>
        <w:rPr>
          <w:sz w:val="20"/>
        </w:rPr>
        <w:t>functional analysis and the broader delineation of the related party</w:t>
      </w:r>
      <w:r>
        <w:rPr>
          <w:spacing w:val="-4"/>
          <w:sz w:val="20"/>
        </w:rPr>
        <w:t> </w:t>
      </w:r>
      <w:r>
        <w:rPr>
          <w:sz w:val="20"/>
        </w:rPr>
        <w:t>transaction.</w:t>
      </w:r>
    </w:p>
    <w:p>
      <w:pPr>
        <w:pStyle w:val="BodyText"/>
        <w:spacing w:before="1"/>
      </w:pPr>
    </w:p>
    <w:p>
      <w:pPr>
        <w:pStyle w:val="Heading7"/>
        <w:spacing w:line="266" w:lineRule="auto"/>
        <w:ind w:right="674"/>
      </w:pPr>
      <w:bookmarkStart w:name="Quantitative indicators that may be used" w:id="394"/>
      <w:bookmarkEnd w:id="394"/>
      <w:r>
        <w:rPr>
          <w:i w:val="0"/>
        </w:rPr>
      </w:r>
      <w:r>
        <w:rPr>
          <w:i/>
          <w:color w:val="616161"/>
        </w:rPr>
        <w:t>Quantitative indicators that may be used as proxies to identify entities and transactions </w:t>
      </w:r>
      <w:r>
        <w:rPr>
          <w:color w:val="616161"/>
        </w:rPr>
        <w:t>out-of-scope of Amount B</w:t>
      </w:r>
    </w:p>
    <w:p>
      <w:pPr>
        <w:pStyle w:val="ListParagraph"/>
        <w:numPr>
          <w:ilvl w:val="0"/>
          <w:numId w:val="13"/>
        </w:numPr>
        <w:tabs>
          <w:tab w:pos="1444" w:val="left" w:leader="none"/>
        </w:tabs>
        <w:spacing w:line="271" w:lineRule="auto" w:before="190" w:after="0"/>
        <w:ind w:left="723" w:right="446" w:firstLine="0"/>
        <w:jc w:val="both"/>
        <w:rPr>
          <w:sz w:val="20"/>
        </w:rPr>
      </w:pPr>
      <w:r>
        <w:rPr>
          <w:sz w:val="20"/>
        </w:rPr>
        <w:t>In conjunction with considering the qualitative factors highlighted above, quantitative indicators could be used to identify in-scope distribution</w:t>
      </w:r>
      <w:r>
        <w:rPr>
          <w:spacing w:val="-7"/>
          <w:sz w:val="20"/>
        </w:rPr>
        <w:t> </w:t>
      </w:r>
      <w:r>
        <w:rPr>
          <w:sz w:val="20"/>
        </w:rPr>
        <w:t>entities.</w:t>
      </w:r>
    </w:p>
    <w:p>
      <w:pPr>
        <w:pStyle w:val="ListParagraph"/>
        <w:numPr>
          <w:ilvl w:val="0"/>
          <w:numId w:val="13"/>
        </w:numPr>
        <w:tabs>
          <w:tab w:pos="1444" w:val="left" w:leader="none"/>
        </w:tabs>
        <w:spacing w:line="273" w:lineRule="auto" w:before="119" w:after="0"/>
        <w:ind w:left="723" w:right="447" w:firstLine="0"/>
        <w:jc w:val="both"/>
        <w:rPr>
          <w:sz w:val="20"/>
        </w:rPr>
      </w:pPr>
      <w:r>
        <w:rPr>
          <w:sz w:val="20"/>
        </w:rPr>
        <w:t>These aim to provide means of ascertaining whether the distribution entity does in fact perform baseline marketing and distribution activities and has the profile of a routine distributor,</w:t>
      </w:r>
      <w:r>
        <w:rPr>
          <w:spacing w:val="22"/>
          <w:sz w:val="20"/>
        </w:rPr>
        <w:t> </w:t>
      </w:r>
      <w:r>
        <w:rPr>
          <w:sz w:val="20"/>
        </w:rPr>
        <w:t>or whether it</w:t>
      </w:r>
    </w:p>
    <w:p>
      <w:pPr>
        <w:pStyle w:val="BodyText"/>
        <w:rPr>
          <w:sz w:val="18"/>
        </w:rPr>
      </w:pPr>
      <w:r>
        <w:rPr/>
        <w:pict>
          <v:rect style="position:absolute;margin-left:65.183998pt;margin-top:12.325546pt;width:144.020004pt;height:.60004pt;mso-position-horizontal-relative:page;mso-position-vertical-relative:paragraph;z-index:-15647232;mso-wrap-distance-left:0;mso-wrap-distance-right:0" filled="true" fillcolor="#000000" stroked="false">
            <v:fill type="solid"/>
            <w10:wrap type="topAndBottom"/>
          </v:rect>
        </w:pict>
      </w:r>
    </w:p>
    <w:p>
      <w:pPr>
        <w:pStyle w:val="BodyText"/>
        <w:spacing w:before="9"/>
        <w:rPr>
          <w:sz w:val="18"/>
        </w:rPr>
      </w:pPr>
    </w:p>
    <w:p>
      <w:pPr>
        <w:spacing w:line="278" w:lineRule="auto" w:before="96"/>
        <w:ind w:left="865" w:right="574" w:firstLine="0"/>
        <w:jc w:val="both"/>
        <w:rPr>
          <w:sz w:val="18"/>
        </w:rPr>
      </w:pPr>
      <w:r>
        <w:rPr>
          <w:position w:val="6"/>
          <w:sz w:val="13"/>
        </w:rPr>
        <w:t>139 </w:t>
      </w:r>
      <w:r>
        <w:rPr>
          <w:sz w:val="18"/>
        </w:rPr>
        <w:t>Including on a flash title basis for Routine Distributors that may be classified as Limited Risk Distributors, but not limited to this – entities that assume routine inventory risks and own routine levels of inventory may also fall within scope.</w:t>
      </w:r>
    </w:p>
    <w:p>
      <w:pPr>
        <w:spacing w:before="107"/>
        <w:ind w:left="865" w:right="0" w:firstLine="0"/>
        <w:jc w:val="both"/>
        <w:rPr>
          <w:sz w:val="18"/>
        </w:rPr>
      </w:pPr>
      <w:r>
        <w:rPr>
          <w:position w:val="6"/>
          <w:sz w:val="13"/>
        </w:rPr>
        <w:t>140 </w:t>
      </w:r>
      <w:r>
        <w:rPr>
          <w:sz w:val="18"/>
        </w:rPr>
        <w:t>Under an accurately delineated distribution arrangement.</w:t>
      </w:r>
    </w:p>
    <w:p>
      <w:pPr>
        <w:spacing w:after="0"/>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36"/>
        <w:jc w:val="both"/>
      </w:pPr>
      <w:r>
        <w:rPr/>
        <w:t>performs additional activities and assumes additional risks that may render it out-of-scope. They therefore take</w:t>
      </w:r>
      <w:r>
        <w:rPr>
          <w:spacing w:val="-14"/>
        </w:rPr>
        <w:t> </w:t>
      </w:r>
      <w:r>
        <w:rPr/>
        <w:t>the</w:t>
      </w:r>
      <w:r>
        <w:rPr>
          <w:spacing w:val="-14"/>
        </w:rPr>
        <w:t> </w:t>
      </w:r>
      <w:r>
        <w:rPr/>
        <w:t>form</w:t>
      </w:r>
      <w:r>
        <w:rPr>
          <w:spacing w:val="-9"/>
        </w:rPr>
        <w:t> </w:t>
      </w:r>
      <w:r>
        <w:rPr/>
        <w:t>of</w:t>
      </w:r>
      <w:r>
        <w:rPr>
          <w:spacing w:val="-12"/>
        </w:rPr>
        <w:t> </w:t>
      </w:r>
      <w:r>
        <w:rPr/>
        <w:t>quantitative</w:t>
      </w:r>
      <w:r>
        <w:rPr>
          <w:spacing w:val="-12"/>
        </w:rPr>
        <w:t> </w:t>
      </w:r>
      <w:r>
        <w:rPr/>
        <w:t>thresholds</w:t>
      </w:r>
      <w:r>
        <w:rPr>
          <w:spacing w:val="-13"/>
        </w:rPr>
        <w:t> </w:t>
      </w:r>
      <w:r>
        <w:rPr/>
        <w:t>that</w:t>
      </w:r>
      <w:r>
        <w:rPr>
          <w:spacing w:val="-14"/>
        </w:rPr>
        <w:t> </w:t>
      </w:r>
      <w:r>
        <w:rPr/>
        <w:t>are</w:t>
      </w:r>
      <w:r>
        <w:rPr>
          <w:spacing w:val="-13"/>
        </w:rPr>
        <w:t> </w:t>
      </w:r>
      <w:r>
        <w:rPr/>
        <w:t>closely</w:t>
      </w:r>
      <w:r>
        <w:rPr>
          <w:spacing w:val="-17"/>
        </w:rPr>
        <w:t> </w:t>
      </w:r>
      <w:r>
        <w:rPr/>
        <w:t>linked</w:t>
      </w:r>
      <w:r>
        <w:rPr>
          <w:spacing w:val="-14"/>
        </w:rPr>
        <w:t> </w:t>
      </w:r>
      <w:r>
        <w:rPr/>
        <w:t>to</w:t>
      </w:r>
      <w:r>
        <w:rPr>
          <w:spacing w:val="-14"/>
        </w:rPr>
        <w:t> </w:t>
      </w:r>
      <w:r>
        <w:rPr/>
        <w:t>typical</w:t>
      </w:r>
      <w:r>
        <w:rPr>
          <w:spacing w:val="-14"/>
        </w:rPr>
        <w:t> </w:t>
      </w:r>
      <w:r>
        <w:rPr/>
        <w:t>marketing</w:t>
      </w:r>
      <w:r>
        <w:rPr>
          <w:spacing w:val="-13"/>
        </w:rPr>
        <w:t> </w:t>
      </w:r>
      <w:r>
        <w:rPr/>
        <w:t>and</w:t>
      </w:r>
      <w:r>
        <w:rPr>
          <w:spacing w:val="-14"/>
        </w:rPr>
        <w:t> </w:t>
      </w:r>
      <w:r>
        <w:rPr/>
        <w:t>distribution</w:t>
      </w:r>
      <w:r>
        <w:rPr>
          <w:spacing w:val="-14"/>
        </w:rPr>
        <w:t> </w:t>
      </w:r>
      <w:r>
        <w:rPr/>
        <w:t>activities. Consequently,</w:t>
      </w:r>
      <w:r>
        <w:rPr>
          <w:spacing w:val="-11"/>
        </w:rPr>
        <w:t> </w:t>
      </w:r>
      <w:r>
        <w:rPr/>
        <w:t>if</w:t>
      </w:r>
      <w:r>
        <w:rPr>
          <w:spacing w:val="-11"/>
        </w:rPr>
        <w:t> </w:t>
      </w:r>
      <w:r>
        <w:rPr/>
        <w:t>the</w:t>
      </w:r>
      <w:r>
        <w:rPr>
          <w:spacing w:val="-13"/>
        </w:rPr>
        <w:t> </w:t>
      </w:r>
      <w:r>
        <w:rPr/>
        <w:t>thresholds</w:t>
      </w:r>
      <w:r>
        <w:rPr>
          <w:spacing w:val="-10"/>
        </w:rPr>
        <w:t> </w:t>
      </w:r>
      <w:r>
        <w:rPr/>
        <w:t>are</w:t>
      </w:r>
      <w:r>
        <w:rPr>
          <w:spacing w:val="-12"/>
        </w:rPr>
        <w:t> </w:t>
      </w:r>
      <w:r>
        <w:rPr/>
        <w:t>exceeded,</w:t>
      </w:r>
      <w:r>
        <w:rPr>
          <w:spacing w:val="-14"/>
        </w:rPr>
        <w:t> </w:t>
      </w:r>
      <w:r>
        <w:rPr/>
        <w:t>it</w:t>
      </w:r>
      <w:r>
        <w:rPr>
          <w:spacing w:val="-10"/>
        </w:rPr>
        <w:t> </w:t>
      </w:r>
      <w:r>
        <w:rPr/>
        <w:t>may</w:t>
      </w:r>
      <w:r>
        <w:rPr>
          <w:spacing w:val="-17"/>
        </w:rPr>
        <w:t> </w:t>
      </w:r>
      <w:r>
        <w:rPr/>
        <w:t>indicate</w:t>
      </w:r>
      <w:r>
        <w:rPr>
          <w:spacing w:val="-11"/>
        </w:rPr>
        <w:t> </w:t>
      </w:r>
      <w:r>
        <w:rPr/>
        <w:t>that</w:t>
      </w:r>
      <w:r>
        <w:rPr>
          <w:spacing w:val="-14"/>
        </w:rPr>
        <w:t> </w:t>
      </w:r>
      <w:r>
        <w:rPr/>
        <w:t>the</w:t>
      </w:r>
      <w:r>
        <w:rPr>
          <w:spacing w:val="-13"/>
        </w:rPr>
        <w:t> </w:t>
      </w:r>
      <w:r>
        <w:rPr/>
        <w:t>distribution</w:t>
      </w:r>
      <w:r>
        <w:rPr>
          <w:spacing w:val="-12"/>
        </w:rPr>
        <w:t> </w:t>
      </w:r>
      <w:r>
        <w:rPr/>
        <w:t>entity</w:t>
      </w:r>
      <w:r>
        <w:rPr>
          <w:spacing w:val="-16"/>
        </w:rPr>
        <w:t> </w:t>
      </w:r>
      <w:r>
        <w:rPr/>
        <w:t>performs</w:t>
      </w:r>
      <w:r>
        <w:rPr>
          <w:spacing w:val="-14"/>
        </w:rPr>
        <w:t> </w:t>
      </w:r>
      <w:r>
        <w:rPr/>
        <w:t>more</w:t>
      </w:r>
      <w:r>
        <w:rPr>
          <w:spacing w:val="-13"/>
        </w:rPr>
        <w:t> </w:t>
      </w:r>
      <w:r>
        <w:rPr/>
        <w:t>than the baseline marketing and distribution activities, inclusive of owning assets and assuming risks commensurate</w:t>
      </w:r>
      <w:r>
        <w:rPr>
          <w:spacing w:val="-13"/>
        </w:rPr>
        <w:t> </w:t>
      </w:r>
      <w:r>
        <w:rPr/>
        <w:t>with</w:t>
      </w:r>
      <w:r>
        <w:rPr>
          <w:spacing w:val="-14"/>
        </w:rPr>
        <w:t> </w:t>
      </w:r>
      <w:r>
        <w:rPr/>
        <w:t>the</w:t>
      </w:r>
      <w:r>
        <w:rPr>
          <w:spacing w:val="-14"/>
        </w:rPr>
        <w:t> </w:t>
      </w:r>
      <w:r>
        <w:rPr/>
        <w:t>profile</w:t>
      </w:r>
      <w:r>
        <w:rPr>
          <w:spacing w:val="-13"/>
        </w:rPr>
        <w:t> </w:t>
      </w:r>
      <w:r>
        <w:rPr/>
        <w:t>of</w:t>
      </w:r>
      <w:r>
        <w:rPr>
          <w:spacing w:val="-12"/>
        </w:rPr>
        <w:t> </w:t>
      </w:r>
      <w:r>
        <w:rPr/>
        <w:t>a</w:t>
      </w:r>
      <w:r>
        <w:rPr>
          <w:spacing w:val="-14"/>
        </w:rPr>
        <w:t> </w:t>
      </w:r>
      <w:r>
        <w:rPr/>
        <w:t>routine</w:t>
      </w:r>
      <w:r>
        <w:rPr>
          <w:spacing w:val="-15"/>
        </w:rPr>
        <w:t> </w:t>
      </w:r>
      <w:r>
        <w:rPr/>
        <w:t>distributor,</w:t>
      </w:r>
      <w:r>
        <w:rPr>
          <w:spacing w:val="-11"/>
        </w:rPr>
        <w:t> </w:t>
      </w:r>
      <w:r>
        <w:rPr/>
        <w:t>and</w:t>
      </w:r>
      <w:r>
        <w:rPr>
          <w:spacing w:val="-14"/>
        </w:rPr>
        <w:t> </w:t>
      </w:r>
      <w:r>
        <w:rPr/>
        <w:t>therefore</w:t>
      </w:r>
      <w:r>
        <w:rPr>
          <w:spacing w:val="-14"/>
        </w:rPr>
        <w:t> </w:t>
      </w:r>
      <w:r>
        <w:rPr/>
        <w:t>its</w:t>
      </w:r>
      <w:r>
        <w:rPr>
          <w:spacing w:val="-10"/>
        </w:rPr>
        <w:t> </w:t>
      </w:r>
      <w:r>
        <w:rPr/>
        <w:t>activities</w:t>
      </w:r>
      <w:r>
        <w:rPr>
          <w:spacing w:val="-13"/>
        </w:rPr>
        <w:t> </w:t>
      </w:r>
      <w:r>
        <w:rPr/>
        <w:t>may</w:t>
      </w:r>
      <w:r>
        <w:rPr>
          <w:spacing w:val="-17"/>
        </w:rPr>
        <w:t> </w:t>
      </w:r>
      <w:r>
        <w:rPr/>
        <w:t>fall</w:t>
      </w:r>
      <w:r>
        <w:rPr>
          <w:spacing w:val="-11"/>
        </w:rPr>
        <w:t> </w:t>
      </w:r>
      <w:r>
        <w:rPr/>
        <w:t>within</w:t>
      </w:r>
      <w:r>
        <w:rPr>
          <w:spacing w:val="-14"/>
        </w:rPr>
        <w:t> </w:t>
      </w:r>
      <w:r>
        <w:rPr/>
        <w:t>the</w:t>
      </w:r>
      <w:r>
        <w:rPr>
          <w:spacing w:val="-13"/>
        </w:rPr>
        <w:t> </w:t>
      </w:r>
      <w:r>
        <w:rPr/>
        <w:t>negative list described in the section</w:t>
      </w:r>
      <w:r>
        <w:rPr>
          <w:spacing w:val="4"/>
        </w:rPr>
        <w:t> </w:t>
      </w:r>
      <w:r>
        <w:rPr/>
        <w:t>above.</w:t>
      </w:r>
    </w:p>
    <w:p>
      <w:pPr>
        <w:pStyle w:val="ListParagraph"/>
        <w:numPr>
          <w:ilvl w:val="0"/>
          <w:numId w:val="13"/>
        </w:numPr>
        <w:tabs>
          <w:tab w:pos="1444" w:val="left" w:leader="none"/>
        </w:tabs>
        <w:spacing w:line="271" w:lineRule="auto" w:before="121" w:after="0"/>
        <w:ind w:left="723" w:right="447" w:firstLine="0"/>
        <w:jc w:val="both"/>
        <w:rPr>
          <w:sz w:val="20"/>
        </w:rPr>
      </w:pPr>
      <w:r>
        <w:rPr>
          <w:sz w:val="20"/>
        </w:rPr>
        <w:t>The quantitative indicators may also help analyse the consistency between the qualitative description of the functions performed, assets owned and risks assumed and how that is represented in the financial and operating structure of the</w:t>
      </w:r>
      <w:r>
        <w:rPr>
          <w:spacing w:val="-7"/>
          <w:sz w:val="20"/>
        </w:rPr>
        <w:t> </w:t>
      </w:r>
      <w:r>
        <w:rPr>
          <w:sz w:val="20"/>
        </w:rPr>
        <w:t>business.</w:t>
      </w:r>
    </w:p>
    <w:p>
      <w:pPr>
        <w:pStyle w:val="ListParagraph"/>
        <w:numPr>
          <w:ilvl w:val="0"/>
          <w:numId w:val="13"/>
        </w:numPr>
        <w:tabs>
          <w:tab w:pos="1444" w:val="left" w:leader="none"/>
        </w:tabs>
        <w:spacing w:line="268" w:lineRule="auto" w:before="120" w:after="0"/>
        <w:ind w:left="723" w:right="438" w:firstLine="0"/>
        <w:jc w:val="both"/>
        <w:rPr>
          <w:sz w:val="20"/>
        </w:rPr>
      </w:pPr>
      <w:r>
        <w:rPr>
          <w:sz w:val="20"/>
        </w:rPr>
        <w:t>Technical work has so far focused on identifying appropriate quantitative indicators that are associated with activities in excess of the baseline. The following indicators may constitute appropriate quantitative proxies to support the determination of what may be an in- or out-of-scope distribution entity and</w:t>
      </w:r>
      <w:r>
        <w:rPr>
          <w:spacing w:val="-1"/>
          <w:sz w:val="20"/>
        </w:rPr>
        <w:t> </w:t>
      </w:r>
      <w:r>
        <w:rPr>
          <w:sz w:val="20"/>
        </w:rPr>
        <w:t>transaction:</w:t>
      </w:r>
      <w:r>
        <w:rPr>
          <w:sz w:val="20"/>
          <w:vertAlign w:val="superscript"/>
        </w:rPr>
        <w:t>141</w:t>
      </w:r>
    </w:p>
    <w:p>
      <w:pPr>
        <w:pStyle w:val="ListParagraph"/>
        <w:numPr>
          <w:ilvl w:val="1"/>
          <w:numId w:val="13"/>
        </w:numPr>
        <w:tabs>
          <w:tab w:pos="1403" w:val="left" w:leader="none"/>
        </w:tabs>
        <w:spacing w:line="271" w:lineRule="auto" w:before="109" w:after="0"/>
        <w:ind w:left="1402" w:right="482" w:hanging="339"/>
        <w:jc w:val="both"/>
        <w:rPr>
          <w:sz w:val="20"/>
        </w:rPr>
      </w:pPr>
      <w:r>
        <w:rPr>
          <w:sz w:val="20"/>
        </w:rPr>
        <w:t>For the performance of activities related to the development, enhancement, maintenance or protection</w:t>
      </w:r>
      <w:r>
        <w:rPr>
          <w:spacing w:val="-11"/>
          <w:sz w:val="20"/>
        </w:rPr>
        <w:t> </w:t>
      </w:r>
      <w:r>
        <w:rPr>
          <w:sz w:val="20"/>
        </w:rPr>
        <w:t>of</w:t>
      </w:r>
      <w:r>
        <w:rPr>
          <w:spacing w:val="-8"/>
          <w:sz w:val="20"/>
        </w:rPr>
        <w:t> </w:t>
      </w:r>
      <w:r>
        <w:rPr>
          <w:sz w:val="20"/>
        </w:rPr>
        <w:t>marketing</w:t>
      </w:r>
      <w:r>
        <w:rPr>
          <w:spacing w:val="-10"/>
          <w:sz w:val="20"/>
        </w:rPr>
        <w:t> </w:t>
      </w:r>
      <w:r>
        <w:rPr>
          <w:sz w:val="20"/>
        </w:rPr>
        <w:t>intangibles</w:t>
      </w:r>
      <w:r>
        <w:rPr>
          <w:spacing w:val="-9"/>
          <w:sz w:val="20"/>
        </w:rPr>
        <w:t> </w:t>
      </w:r>
      <w:r>
        <w:rPr>
          <w:sz w:val="20"/>
        </w:rPr>
        <w:t>(other</w:t>
      </w:r>
      <w:r>
        <w:rPr>
          <w:spacing w:val="-9"/>
          <w:sz w:val="20"/>
        </w:rPr>
        <w:t> </w:t>
      </w:r>
      <w:r>
        <w:rPr>
          <w:sz w:val="20"/>
        </w:rPr>
        <w:t>than</w:t>
      </w:r>
      <w:r>
        <w:rPr>
          <w:spacing w:val="-5"/>
          <w:sz w:val="20"/>
        </w:rPr>
        <w:t> </w:t>
      </w:r>
      <w:r>
        <w:rPr>
          <w:sz w:val="20"/>
        </w:rPr>
        <w:t>local</w:t>
      </w:r>
      <w:r>
        <w:rPr>
          <w:spacing w:val="-10"/>
          <w:sz w:val="20"/>
        </w:rPr>
        <w:t> </w:t>
      </w:r>
      <w:r>
        <w:rPr>
          <w:sz w:val="20"/>
        </w:rPr>
        <w:t>customer</w:t>
      </w:r>
      <w:r>
        <w:rPr>
          <w:spacing w:val="-9"/>
          <w:sz w:val="20"/>
        </w:rPr>
        <w:t> </w:t>
      </w:r>
      <w:r>
        <w:rPr>
          <w:sz w:val="20"/>
        </w:rPr>
        <w:t>lists/customer</w:t>
      </w:r>
      <w:r>
        <w:rPr>
          <w:spacing w:val="-9"/>
          <w:sz w:val="20"/>
        </w:rPr>
        <w:t> </w:t>
      </w:r>
      <w:r>
        <w:rPr>
          <w:sz w:val="20"/>
        </w:rPr>
        <w:t>relationships),</w:t>
      </w:r>
      <w:r>
        <w:rPr>
          <w:spacing w:val="-11"/>
          <w:sz w:val="20"/>
        </w:rPr>
        <w:t> </w:t>
      </w:r>
      <w:r>
        <w:rPr>
          <w:sz w:val="20"/>
        </w:rPr>
        <w:t>and</w:t>
      </w:r>
      <w:r>
        <w:rPr>
          <w:spacing w:val="-8"/>
          <w:sz w:val="20"/>
        </w:rPr>
        <w:t> </w:t>
      </w:r>
      <w:r>
        <w:rPr>
          <w:sz w:val="20"/>
        </w:rPr>
        <w:t>for the performance of strategic sales and marketing functions in the local</w:t>
      </w:r>
      <w:r>
        <w:rPr>
          <w:spacing w:val="-15"/>
          <w:sz w:val="20"/>
        </w:rPr>
        <w:t> </w:t>
      </w:r>
      <w:r>
        <w:rPr>
          <w:sz w:val="20"/>
        </w:rPr>
        <w:t>market:</w:t>
      </w:r>
    </w:p>
    <w:p>
      <w:pPr>
        <w:pStyle w:val="ListParagraph"/>
        <w:numPr>
          <w:ilvl w:val="0"/>
          <w:numId w:val="79"/>
        </w:numPr>
        <w:tabs>
          <w:tab w:pos="1799" w:val="left" w:leader="none"/>
        </w:tabs>
        <w:spacing w:line="271" w:lineRule="auto" w:before="57" w:after="0"/>
        <w:ind w:left="1743" w:right="493" w:hanging="341"/>
        <w:jc w:val="both"/>
        <w:rPr>
          <w:sz w:val="20"/>
        </w:rPr>
      </w:pPr>
      <w:r>
        <w:rPr/>
        <w:tab/>
      </w:r>
      <w:r>
        <w:rPr>
          <w:sz w:val="20"/>
        </w:rPr>
        <w:t>Marketing and advertising expenses exceeding a fixed proportion of the total costs of the distribution business and for the account of the business incurring the expense;</w:t>
      </w:r>
      <w:r>
        <w:rPr>
          <w:spacing w:val="-22"/>
          <w:sz w:val="20"/>
        </w:rPr>
        <w:t> </w:t>
      </w:r>
      <w:r>
        <w:rPr>
          <w:sz w:val="20"/>
        </w:rPr>
        <w:t>and</w:t>
      </w:r>
    </w:p>
    <w:p>
      <w:pPr>
        <w:pStyle w:val="ListParagraph"/>
        <w:numPr>
          <w:ilvl w:val="0"/>
          <w:numId w:val="79"/>
        </w:numPr>
        <w:tabs>
          <w:tab w:pos="1744" w:val="left" w:leader="none"/>
        </w:tabs>
        <w:spacing w:line="271" w:lineRule="auto" w:before="61" w:after="0"/>
        <w:ind w:left="1743" w:right="444" w:hanging="341"/>
        <w:jc w:val="both"/>
        <w:rPr>
          <w:sz w:val="20"/>
        </w:rPr>
      </w:pPr>
      <w:r>
        <w:rPr>
          <w:sz w:val="20"/>
        </w:rPr>
        <w:t>R&amp;D costs (on the basis that such costs relate to the generation of potentially valuable marketing</w:t>
      </w:r>
      <w:r>
        <w:rPr>
          <w:spacing w:val="-8"/>
          <w:sz w:val="20"/>
        </w:rPr>
        <w:t> </w:t>
      </w:r>
      <w:r>
        <w:rPr>
          <w:sz w:val="20"/>
        </w:rPr>
        <w:t>intangibles</w:t>
      </w:r>
      <w:r>
        <w:rPr>
          <w:spacing w:val="-7"/>
          <w:sz w:val="20"/>
        </w:rPr>
        <w:t> </w:t>
      </w:r>
      <w:r>
        <w:rPr>
          <w:sz w:val="20"/>
        </w:rPr>
        <w:t>for</w:t>
      </w:r>
      <w:r>
        <w:rPr>
          <w:spacing w:val="-6"/>
          <w:sz w:val="20"/>
        </w:rPr>
        <w:t> </w:t>
      </w:r>
      <w:r>
        <w:rPr>
          <w:sz w:val="20"/>
        </w:rPr>
        <w:t>the</w:t>
      </w:r>
      <w:r>
        <w:rPr>
          <w:spacing w:val="-8"/>
          <w:sz w:val="20"/>
        </w:rPr>
        <w:t> </w:t>
      </w:r>
      <w:r>
        <w:rPr>
          <w:sz w:val="20"/>
        </w:rPr>
        <w:t>MNE</w:t>
      </w:r>
      <w:r>
        <w:rPr>
          <w:spacing w:val="-4"/>
          <w:sz w:val="20"/>
        </w:rPr>
        <w:t> </w:t>
      </w:r>
      <w:r>
        <w:rPr>
          <w:sz w:val="20"/>
        </w:rPr>
        <w:t>group</w:t>
      </w:r>
      <w:r>
        <w:rPr>
          <w:spacing w:val="-3"/>
          <w:sz w:val="20"/>
        </w:rPr>
        <w:t> </w:t>
      </w:r>
      <w:r>
        <w:rPr>
          <w:sz w:val="20"/>
        </w:rPr>
        <w:t>within</w:t>
      </w:r>
      <w:r>
        <w:rPr>
          <w:spacing w:val="-5"/>
          <w:sz w:val="20"/>
        </w:rPr>
        <w:t> </w:t>
      </w:r>
      <w:r>
        <w:rPr>
          <w:sz w:val="20"/>
        </w:rPr>
        <w:t>its</w:t>
      </w:r>
      <w:r>
        <w:rPr>
          <w:spacing w:val="-4"/>
          <w:sz w:val="20"/>
        </w:rPr>
        <w:t> </w:t>
      </w:r>
      <w:r>
        <w:rPr>
          <w:sz w:val="20"/>
        </w:rPr>
        <w:t>industry)</w:t>
      </w:r>
      <w:r>
        <w:rPr>
          <w:spacing w:val="-4"/>
          <w:sz w:val="20"/>
        </w:rPr>
        <w:t> </w:t>
      </w:r>
      <w:r>
        <w:rPr>
          <w:sz w:val="20"/>
        </w:rPr>
        <w:t>exceeding</w:t>
      </w:r>
      <w:r>
        <w:rPr>
          <w:spacing w:val="-5"/>
          <w:sz w:val="20"/>
        </w:rPr>
        <w:t> </w:t>
      </w:r>
      <w:r>
        <w:rPr>
          <w:sz w:val="20"/>
        </w:rPr>
        <w:t>a</w:t>
      </w:r>
      <w:r>
        <w:rPr>
          <w:spacing w:val="-8"/>
          <w:sz w:val="20"/>
        </w:rPr>
        <w:t> </w:t>
      </w:r>
      <w:r>
        <w:rPr>
          <w:sz w:val="20"/>
        </w:rPr>
        <w:t>fixed</w:t>
      </w:r>
      <w:r>
        <w:rPr>
          <w:spacing w:val="-6"/>
          <w:sz w:val="20"/>
        </w:rPr>
        <w:t> </w:t>
      </w:r>
      <w:r>
        <w:rPr>
          <w:sz w:val="20"/>
        </w:rPr>
        <w:t>proportion</w:t>
      </w:r>
      <w:r>
        <w:rPr>
          <w:spacing w:val="-5"/>
          <w:sz w:val="20"/>
        </w:rPr>
        <w:t> </w:t>
      </w:r>
      <w:r>
        <w:rPr>
          <w:sz w:val="20"/>
        </w:rPr>
        <w:t>of</w:t>
      </w:r>
      <w:r>
        <w:rPr>
          <w:spacing w:val="-6"/>
          <w:sz w:val="20"/>
        </w:rPr>
        <w:t> </w:t>
      </w:r>
      <w:r>
        <w:rPr>
          <w:sz w:val="20"/>
        </w:rPr>
        <w:t>the total costs of the distribution business (again for its own</w:t>
      </w:r>
      <w:r>
        <w:rPr>
          <w:spacing w:val="-10"/>
          <w:sz w:val="20"/>
        </w:rPr>
        <w:t> </w:t>
      </w:r>
      <w:r>
        <w:rPr>
          <w:sz w:val="20"/>
        </w:rPr>
        <w:t>account).</w:t>
      </w:r>
    </w:p>
    <w:p>
      <w:pPr>
        <w:pStyle w:val="ListParagraph"/>
        <w:numPr>
          <w:ilvl w:val="1"/>
          <w:numId w:val="13"/>
        </w:numPr>
        <w:tabs>
          <w:tab w:pos="1403" w:val="left" w:leader="none"/>
        </w:tabs>
        <w:spacing w:line="266" w:lineRule="auto" w:before="47" w:after="0"/>
        <w:ind w:left="1402" w:right="484" w:hanging="339"/>
        <w:jc w:val="both"/>
        <w:rPr>
          <w:sz w:val="20"/>
        </w:rPr>
      </w:pPr>
      <w:r>
        <w:rPr>
          <w:sz w:val="20"/>
        </w:rPr>
        <w:t>For the ownership of potentially valuable marketing intangibles: The above indicators, plus the presence of amortisation costs in excess of the total costs of the distribution</w:t>
      </w:r>
      <w:r>
        <w:rPr>
          <w:spacing w:val="-22"/>
          <w:sz w:val="20"/>
        </w:rPr>
        <w:t> </w:t>
      </w:r>
      <w:r>
        <w:rPr>
          <w:sz w:val="20"/>
        </w:rPr>
        <w:t>business.</w:t>
      </w:r>
    </w:p>
    <w:p>
      <w:pPr>
        <w:pStyle w:val="ListParagraph"/>
        <w:numPr>
          <w:ilvl w:val="1"/>
          <w:numId w:val="13"/>
        </w:numPr>
        <w:tabs>
          <w:tab w:pos="1403" w:val="left" w:leader="none"/>
        </w:tabs>
        <w:spacing w:line="268" w:lineRule="auto" w:before="51" w:after="0"/>
        <w:ind w:left="1402" w:right="484" w:hanging="339"/>
        <w:jc w:val="both"/>
        <w:rPr>
          <w:sz w:val="20"/>
        </w:rPr>
      </w:pPr>
      <w:r>
        <w:rPr>
          <w:sz w:val="20"/>
        </w:rPr>
        <w:t>For the performance of activities related to the assumption of entrepreneurial risks and responsibilities in the controlled</w:t>
      </w:r>
      <w:r>
        <w:rPr>
          <w:spacing w:val="-5"/>
          <w:sz w:val="20"/>
        </w:rPr>
        <w:t> </w:t>
      </w:r>
      <w:r>
        <w:rPr>
          <w:sz w:val="20"/>
        </w:rPr>
        <w:t>transaction:</w:t>
      </w:r>
    </w:p>
    <w:p>
      <w:pPr>
        <w:pStyle w:val="ListParagraph"/>
        <w:numPr>
          <w:ilvl w:val="0"/>
          <w:numId w:val="80"/>
        </w:numPr>
        <w:tabs>
          <w:tab w:pos="1744" w:val="left" w:leader="none"/>
        </w:tabs>
        <w:spacing w:line="271" w:lineRule="auto" w:before="63" w:after="0"/>
        <w:ind w:left="1743" w:right="484" w:hanging="341"/>
        <w:jc w:val="both"/>
        <w:rPr>
          <w:sz w:val="20"/>
        </w:rPr>
      </w:pPr>
      <w:r>
        <w:rPr>
          <w:sz w:val="20"/>
        </w:rPr>
        <w:t>Finished product inventory of the distribution entity is greater than a fixed proportion of the annual</w:t>
      </w:r>
      <w:r>
        <w:rPr>
          <w:spacing w:val="-8"/>
          <w:sz w:val="20"/>
        </w:rPr>
        <w:t> </w:t>
      </w:r>
      <w:r>
        <w:rPr>
          <w:sz w:val="20"/>
        </w:rPr>
        <w:t>net</w:t>
      </w:r>
      <w:r>
        <w:rPr>
          <w:spacing w:val="-9"/>
          <w:sz w:val="20"/>
        </w:rPr>
        <w:t> </w:t>
      </w:r>
      <w:r>
        <w:rPr>
          <w:sz w:val="20"/>
        </w:rPr>
        <w:t>sales</w:t>
      </w:r>
      <w:r>
        <w:rPr>
          <w:spacing w:val="-7"/>
          <w:sz w:val="20"/>
        </w:rPr>
        <w:t> </w:t>
      </w:r>
      <w:r>
        <w:rPr>
          <w:sz w:val="20"/>
        </w:rPr>
        <w:t>of</w:t>
      </w:r>
      <w:r>
        <w:rPr>
          <w:spacing w:val="-7"/>
          <w:sz w:val="20"/>
        </w:rPr>
        <w:t> </w:t>
      </w:r>
      <w:r>
        <w:rPr>
          <w:sz w:val="20"/>
        </w:rPr>
        <w:t>the</w:t>
      </w:r>
      <w:r>
        <w:rPr>
          <w:spacing w:val="-8"/>
          <w:sz w:val="20"/>
        </w:rPr>
        <w:t> </w:t>
      </w:r>
      <w:r>
        <w:rPr>
          <w:sz w:val="20"/>
        </w:rPr>
        <w:t>distribution</w:t>
      </w:r>
      <w:r>
        <w:rPr>
          <w:spacing w:val="-9"/>
          <w:sz w:val="20"/>
        </w:rPr>
        <w:t> </w:t>
      </w:r>
      <w:r>
        <w:rPr>
          <w:sz w:val="20"/>
        </w:rPr>
        <w:t>entity,</w:t>
      </w:r>
      <w:r>
        <w:rPr>
          <w:spacing w:val="-8"/>
          <w:sz w:val="20"/>
        </w:rPr>
        <w:t> </w:t>
      </w:r>
      <w:r>
        <w:rPr>
          <w:sz w:val="20"/>
        </w:rPr>
        <w:t>calculated</w:t>
      </w:r>
      <w:r>
        <w:rPr>
          <w:spacing w:val="-7"/>
          <w:sz w:val="20"/>
        </w:rPr>
        <w:t> </w:t>
      </w:r>
      <w:r>
        <w:rPr>
          <w:sz w:val="20"/>
        </w:rPr>
        <w:t>on</w:t>
      </w:r>
      <w:r>
        <w:rPr>
          <w:spacing w:val="-7"/>
          <w:sz w:val="20"/>
        </w:rPr>
        <w:t> </w:t>
      </w:r>
      <w:r>
        <w:rPr>
          <w:sz w:val="20"/>
        </w:rPr>
        <w:t>the</w:t>
      </w:r>
      <w:r>
        <w:rPr>
          <w:spacing w:val="-8"/>
          <w:sz w:val="20"/>
        </w:rPr>
        <w:t> </w:t>
      </w:r>
      <w:r>
        <w:rPr>
          <w:sz w:val="20"/>
        </w:rPr>
        <w:t>basis</w:t>
      </w:r>
      <w:r>
        <w:rPr>
          <w:spacing w:val="-8"/>
          <w:sz w:val="20"/>
        </w:rPr>
        <w:t> </w:t>
      </w:r>
      <w:r>
        <w:rPr>
          <w:sz w:val="20"/>
        </w:rPr>
        <w:t>of</w:t>
      </w:r>
      <w:r>
        <w:rPr>
          <w:spacing w:val="-6"/>
          <w:sz w:val="20"/>
        </w:rPr>
        <w:t> </w:t>
      </w:r>
      <w:r>
        <w:rPr>
          <w:sz w:val="20"/>
        </w:rPr>
        <w:t>the</w:t>
      </w:r>
      <w:r>
        <w:rPr>
          <w:spacing w:val="-7"/>
          <w:sz w:val="20"/>
        </w:rPr>
        <w:t> </w:t>
      </w:r>
      <w:r>
        <w:rPr>
          <w:sz w:val="20"/>
        </w:rPr>
        <w:t>average</w:t>
      </w:r>
      <w:r>
        <w:rPr>
          <w:spacing w:val="-7"/>
          <w:sz w:val="20"/>
        </w:rPr>
        <w:t> </w:t>
      </w:r>
      <w:r>
        <w:rPr>
          <w:sz w:val="20"/>
        </w:rPr>
        <w:t>inventory</w:t>
      </w:r>
      <w:r>
        <w:rPr>
          <w:spacing w:val="-11"/>
          <w:sz w:val="20"/>
        </w:rPr>
        <w:t> </w:t>
      </w:r>
      <w:r>
        <w:rPr>
          <w:sz w:val="20"/>
        </w:rPr>
        <w:t>held on the last day of each of the four quarterly periods during the relevant taxable year of the distribution</w:t>
      </w:r>
      <w:r>
        <w:rPr>
          <w:spacing w:val="-1"/>
          <w:sz w:val="20"/>
        </w:rPr>
        <w:t> </w:t>
      </w:r>
      <w:r>
        <w:rPr>
          <w:sz w:val="20"/>
        </w:rPr>
        <w:t>enterprise;</w:t>
      </w:r>
    </w:p>
    <w:p>
      <w:pPr>
        <w:pStyle w:val="ListParagraph"/>
        <w:numPr>
          <w:ilvl w:val="0"/>
          <w:numId w:val="80"/>
        </w:numPr>
        <w:tabs>
          <w:tab w:pos="1744" w:val="left" w:leader="none"/>
        </w:tabs>
        <w:spacing w:line="240" w:lineRule="auto" w:before="59" w:after="0"/>
        <w:ind w:left="1743" w:right="0" w:hanging="342"/>
        <w:jc w:val="both"/>
        <w:rPr>
          <w:sz w:val="20"/>
        </w:rPr>
      </w:pPr>
      <w:r>
        <w:rPr>
          <w:sz w:val="20"/>
        </w:rPr>
        <w:t>Inventory write-downs are greater than a certain fixed proportion of total inventory;</w:t>
      </w:r>
      <w:r>
        <w:rPr>
          <w:spacing w:val="-15"/>
          <w:sz w:val="20"/>
        </w:rPr>
        <w:t> </w:t>
      </w:r>
      <w:r>
        <w:rPr>
          <w:sz w:val="20"/>
        </w:rPr>
        <w:t>and</w:t>
      </w:r>
    </w:p>
    <w:p>
      <w:pPr>
        <w:pStyle w:val="ListParagraph"/>
        <w:numPr>
          <w:ilvl w:val="0"/>
          <w:numId w:val="80"/>
        </w:numPr>
        <w:tabs>
          <w:tab w:pos="1744" w:val="left" w:leader="none"/>
        </w:tabs>
        <w:spacing w:line="240" w:lineRule="auto" w:before="92" w:after="0"/>
        <w:ind w:left="1743" w:right="0" w:hanging="342"/>
        <w:jc w:val="both"/>
        <w:rPr>
          <w:sz w:val="20"/>
        </w:rPr>
      </w:pPr>
      <w:r>
        <w:rPr>
          <w:sz w:val="20"/>
        </w:rPr>
        <w:t>Accounts receivable are greater than a fixed proportion of total finished product</w:t>
      </w:r>
      <w:r>
        <w:rPr>
          <w:spacing w:val="-25"/>
          <w:sz w:val="20"/>
        </w:rPr>
        <w:t> </w:t>
      </w:r>
      <w:r>
        <w:rPr>
          <w:sz w:val="20"/>
        </w:rPr>
        <w:t>inventory.</w:t>
      </w:r>
    </w:p>
    <w:p>
      <w:pPr>
        <w:pStyle w:val="ListParagraph"/>
        <w:numPr>
          <w:ilvl w:val="0"/>
          <w:numId w:val="13"/>
        </w:numPr>
        <w:tabs>
          <w:tab w:pos="1444" w:val="left" w:leader="none"/>
        </w:tabs>
        <w:spacing w:line="273" w:lineRule="auto" w:before="151" w:after="0"/>
        <w:ind w:left="723" w:right="484" w:firstLine="0"/>
        <w:jc w:val="both"/>
        <w:rPr>
          <w:sz w:val="20"/>
        </w:rPr>
      </w:pPr>
      <w:r>
        <w:rPr>
          <w:sz w:val="20"/>
        </w:rPr>
        <w:t>Further work is required on these proxies</w:t>
      </w:r>
      <w:r>
        <w:rPr>
          <w:sz w:val="20"/>
          <w:vertAlign w:val="superscript"/>
        </w:rPr>
        <w:t>142</w:t>
      </w:r>
      <w:r>
        <w:rPr>
          <w:sz w:val="20"/>
          <w:vertAlign w:val="baseline"/>
        </w:rPr>
        <w:t>, with a view to clarifying the precise quantitative indicator to be used and the basis on which each one will be applied. For example, this may set ratios or absolute levels, depending on the required measurement, and subsequently benchmarking will be undertaken to fix the level of the relevant proxies. The basis on which the indicators will apply, together with the qualitative tests, will also be further evaluated. In addition, some Inclusive Framework members have</w:t>
      </w:r>
      <w:r>
        <w:rPr>
          <w:spacing w:val="14"/>
          <w:sz w:val="20"/>
          <w:vertAlign w:val="baseline"/>
        </w:rPr>
        <w:t> </w:t>
      </w:r>
      <w:r>
        <w:rPr>
          <w:sz w:val="20"/>
          <w:vertAlign w:val="baseline"/>
        </w:rPr>
        <w:t>the</w:t>
      </w:r>
      <w:r>
        <w:rPr>
          <w:spacing w:val="17"/>
          <w:sz w:val="20"/>
          <w:vertAlign w:val="baseline"/>
        </w:rPr>
        <w:t> </w:t>
      </w:r>
      <w:r>
        <w:rPr>
          <w:sz w:val="20"/>
          <w:vertAlign w:val="baseline"/>
        </w:rPr>
        <w:t>view</w:t>
      </w:r>
      <w:r>
        <w:rPr>
          <w:spacing w:val="13"/>
          <w:sz w:val="20"/>
          <w:vertAlign w:val="baseline"/>
        </w:rPr>
        <w:t> </w:t>
      </w:r>
      <w:r>
        <w:rPr>
          <w:sz w:val="20"/>
          <w:vertAlign w:val="baseline"/>
        </w:rPr>
        <w:t>that</w:t>
      </w:r>
      <w:r>
        <w:rPr>
          <w:spacing w:val="15"/>
          <w:sz w:val="20"/>
          <w:vertAlign w:val="baseline"/>
        </w:rPr>
        <w:t> </w:t>
      </w:r>
      <w:r>
        <w:rPr>
          <w:sz w:val="20"/>
          <w:vertAlign w:val="baseline"/>
        </w:rPr>
        <w:t>the</w:t>
      </w:r>
      <w:r>
        <w:rPr>
          <w:spacing w:val="17"/>
          <w:sz w:val="20"/>
          <w:vertAlign w:val="baseline"/>
        </w:rPr>
        <w:t> </w:t>
      </w:r>
      <w:r>
        <w:rPr>
          <w:sz w:val="20"/>
          <w:vertAlign w:val="baseline"/>
        </w:rPr>
        <w:t>quantitative</w:t>
      </w:r>
      <w:r>
        <w:rPr>
          <w:spacing w:val="16"/>
          <w:sz w:val="20"/>
          <w:vertAlign w:val="baseline"/>
        </w:rPr>
        <w:t> </w:t>
      </w:r>
      <w:r>
        <w:rPr>
          <w:sz w:val="20"/>
          <w:vertAlign w:val="baseline"/>
        </w:rPr>
        <w:t>indicators</w:t>
      </w:r>
      <w:r>
        <w:rPr>
          <w:spacing w:val="17"/>
          <w:sz w:val="20"/>
          <w:vertAlign w:val="baseline"/>
        </w:rPr>
        <w:t> </w:t>
      </w:r>
      <w:r>
        <w:rPr>
          <w:sz w:val="20"/>
          <w:vertAlign w:val="baseline"/>
        </w:rPr>
        <w:t>should</w:t>
      </w:r>
      <w:r>
        <w:rPr>
          <w:spacing w:val="17"/>
          <w:sz w:val="20"/>
          <w:vertAlign w:val="baseline"/>
        </w:rPr>
        <w:t> </w:t>
      </w:r>
      <w:r>
        <w:rPr>
          <w:sz w:val="20"/>
          <w:vertAlign w:val="baseline"/>
        </w:rPr>
        <w:t>also</w:t>
      </w:r>
      <w:r>
        <w:rPr>
          <w:spacing w:val="15"/>
          <w:sz w:val="20"/>
          <w:vertAlign w:val="baseline"/>
        </w:rPr>
        <w:t> </w:t>
      </w:r>
      <w:r>
        <w:rPr>
          <w:sz w:val="20"/>
          <w:vertAlign w:val="baseline"/>
        </w:rPr>
        <w:t>attempt</w:t>
      </w:r>
      <w:r>
        <w:rPr>
          <w:spacing w:val="15"/>
          <w:sz w:val="20"/>
          <w:vertAlign w:val="baseline"/>
        </w:rPr>
        <w:t> </w:t>
      </w:r>
      <w:r>
        <w:rPr>
          <w:sz w:val="20"/>
          <w:vertAlign w:val="baseline"/>
        </w:rPr>
        <w:t>to</w:t>
      </w:r>
      <w:r>
        <w:rPr>
          <w:spacing w:val="15"/>
          <w:sz w:val="20"/>
          <w:vertAlign w:val="baseline"/>
        </w:rPr>
        <w:t> </w:t>
      </w:r>
      <w:r>
        <w:rPr>
          <w:sz w:val="20"/>
          <w:vertAlign w:val="baseline"/>
        </w:rPr>
        <w:t>evaluate</w:t>
      </w:r>
      <w:r>
        <w:rPr>
          <w:spacing w:val="14"/>
          <w:sz w:val="20"/>
          <w:vertAlign w:val="baseline"/>
        </w:rPr>
        <w:t> </w:t>
      </w:r>
      <w:r>
        <w:rPr>
          <w:sz w:val="20"/>
          <w:vertAlign w:val="baseline"/>
        </w:rPr>
        <w:t>circumstances</w:t>
      </w:r>
      <w:r>
        <w:rPr>
          <w:spacing w:val="15"/>
          <w:sz w:val="20"/>
          <w:vertAlign w:val="baseline"/>
        </w:rPr>
        <w:t> </w:t>
      </w:r>
      <w:r>
        <w:rPr>
          <w:sz w:val="20"/>
          <w:vertAlign w:val="baseline"/>
        </w:rPr>
        <w:t>where</w:t>
      </w:r>
      <w:r>
        <w:rPr>
          <w:spacing w:val="15"/>
          <w:sz w:val="20"/>
          <w:vertAlign w:val="baseline"/>
        </w:rPr>
        <w:t> </w:t>
      </w:r>
      <w:r>
        <w:rPr>
          <w:sz w:val="20"/>
          <w:vertAlign w:val="baseline"/>
        </w:rPr>
        <w:t>the</w:t>
      </w:r>
    </w:p>
    <w:p>
      <w:pPr>
        <w:pStyle w:val="BodyText"/>
      </w:pPr>
    </w:p>
    <w:p>
      <w:pPr>
        <w:pStyle w:val="BodyText"/>
      </w:pPr>
    </w:p>
    <w:p>
      <w:pPr>
        <w:pStyle w:val="BodyText"/>
        <w:spacing w:before="5"/>
        <w:rPr>
          <w:sz w:val="19"/>
        </w:rPr>
      </w:pPr>
      <w:r>
        <w:rPr/>
        <w:pict>
          <v:rect style="position:absolute;margin-left:65.183998pt;margin-top:13.156063pt;width:144.020004pt;height:.60004pt;mso-position-horizontal-relative:page;mso-position-vertical-relative:paragraph;z-index:-15646720;mso-wrap-distance-left:0;mso-wrap-distance-right:0" filled="true" fillcolor="#000000" stroked="false">
            <v:fill type="solid"/>
            <w10:wrap type="topAndBottom"/>
          </v:rect>
        </w:pict>
      </w:r>
    </w:p>
    <w:p>
      <w:pPr>
        <w:pStyle w:val="BodyText"/>
        <w:spacing w:before="9"/>
        <w:rPr>
          <w:sz w:val="18"/>
        </w:rPr>
      </w:pPr>
    </w:p>
    <w:p>
      <w:pPr>
        <w:spacing w:before="96"/>
        <w:ind w:left="865" w:right="0" w:firstLine="0"/>
        <w:jc w:val="both"/>
        <w:rPr>
          <w:sz w:val="18"/>
        </w:rPr>
      </w:pPr>
      <w:r>
        <w:rPr>
          <w:position w:val="6"/>
          <w:sz w:val="13"/>
        </w:rPr>
        <w:t>141 </w:t>
      </w:r>
      <w:r>
        <w:rPr>
          <w:sz w:val="18"/>
        </w:rPr>
        <w:t>Further technical work is required to establish and benchmark these proxies.</w:t>
      </w:r>
    </w:p>
    <w:p>
      <w:pPr>
        <w:spacing w:line="278" w:lineRule="auto" w:before="111"/>
        <w:ind w:left="723" w:right="485" w:firstLine="0"/>
        <w:jc w:val="both"/>
        <w:rPr>
          <w:sz w:val="18"/>
        </w:rPr>
      </w:pPr>
      <w:r>
        <w:rPr>
          <w:position w:val="8"/>
          <w:sz w:val="14"/>
        </w:rPr>
        <w:t>142 </w:t>
      </w:r>
      <w:r>
        <w:rPr>
          <w:sz w:val="18"/>
        </w:rPr>
        <w:t>One Inclusive Framework member suggests a proxy as follows: entities that in the 3 years prior to the adoption of Amount B have reported a profit level for in-scope activities that is above the highest fixed return determined under Amount B (considering the relevant region, industry and functionality level). This and other proxies will be subject to further discussion and evaluation.</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required threshold of activities to be considered as being in scope has not been met. Further technical work will be performed in this regard.</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The application of Amount B would be prospective, i.e. Amount B would not supersede MAP settlements</w:t>
      </w:r>
      <w:r>
        <w:rPr>
          <w:spacing w:val="-7"/>
          <w:sz w:val="20"/>
        </w:rPr>
        <w:t> </w:t>
      </w:r>
      <w:r>
        <w:rPr>
          <w:sz w:val="20"/>
        </w:rPr>
        <w:t>or</w:t>
      </w:r>
      <w:r>
        <w:rPr>
          <w:spacing w:val="-7"/>
          <w:sz w:val="20"/>
        </w:rPr>
        <w:t> </w:t>
      </w:r>
      <w:r>
        <w:rPr>
          <w:sz w:val="20"/>
        </w:rPr>
        <w:t>APAs</w:t>
      </w:r>
      <w:r>
        <w:rPr>
          <w:spacing w:val="-7"/>
          <w:sz w:val="20"/>
        </w:rPr>
        <w:t> </w:t>
      </w:r>
      <w:r>
        <w:rPr>
          <w:sz w:val="20"/>
        </w:rPr>
        <w:t>(unilateral,</w:t>
      </w:r>
      <w:r>
        <w:rPr>
          <w:spacing w:val="-5"/>
          <w:sz w:val="20"/>
        </w:rPr>
        <w:t> </w:t>
      </w:r>
      <w:r>
        <w:rPr>
          <w:sz w:val="20"/>
        </w:rPr>
        <w:t>bilateral</w:t>
      </w:r>
      <w:r>
        <w:rPr>
          <w:spacing w:val="-7"/>
          <w:sz w:val="20"/>
        </w:rPr>
        <w:t> </w:t>
      </w:r>
      <w:r>
        <w:rPr>
          <w:sz w:val="20"/>
        </w:rPr>
        <w:t>or</w:t>
      </w:r>
      <w:r>
        <w:rPr>
          <w:spacing w:val="-7"/>
          <w:sz w:val="20"/>
        </w:rPr>
        <w:t> </w:t>
      </w:r>
      <w:r>
        <w:rPr>
          <w:sz w:val="20"/>
        </w:rPr>
        <w:t>multilateral)</w:t>
      </w:r>
      <w:r>
        <w:rPr>
          <w:spacing w:val="-7"/>
          <w:sz w:val="20"/>
        </w:rPr>
        <w:t> </w:t>
      </w:r>
      <w:r>
        <w:rPr>
          <w:sz w:val="20"/>
        </w:rPr>
        <w:t>entered</w:t>
      </w:r>
      <w:r>
        <w:rPr>
          <w:spacing w:val="-9"/>
          <w:sz w:val="20"/>
        </w:rPr>
        <w:t> </w:t>
      </w:r>
      <w:r>
        <w:rPr>
          <w:sz w:val="20"/>
        </w:rPr>
        <w:t>into</w:t>
      </w:r>
      <w:r>
        <w:rPr>
          <w:spacing w:val="-6"/>
          <w:sz w:val="20"/>
        </w:rPr>
        <w:t> </w:t>
      </w:r>
      <w:r>
        <w:rPr>
          <w:sz w:val="20"/>
        </w:rPr>
        <w:t>before</w:t>
      </w:r>
      <w:r>
        <w:rPr>
          <w:spacing w:val="-7"/>
          <w:sz w:val="20"/>
        </w:rPr>
        <w:t> </w:t>
      </w:r>
      <w:r>
        <w:rPr>
          <w:sz w:val="20"/>
        </w:rPr>
        <w:t>the</w:t>
      </w:r>
      <w:r>
        <w:rPr>
          <w:spacing w:val="-1"/>
          <w:sz w:val="20"/>
        </w:rPr>
        <w:t> </w:t>
      </w:r>
      <w:r>
        <w:rPr>
          <w:sz w:val="20"/>
        </w:rPr>
        <w:t>implementation</w:t>
      </w:r>
      <w:r>
        <w:rPr>
          <w:spacing w:val="-5"/>
          <w:sz w:val="20"/>
        </w:rPr>
        <w:t> </w:t>
      </w:r>
      <w:r>
        <w:rPr>
          <w:sz w:val="20"/>
        </w:rPr>
        <w:t>of</w:t>
      </w:r>
      <w:r>
        <w:rPr>
          <w:spacing w:val="-6"/>
          <w:sz w:val="20"/>
        </w:rPr>
        <w:t> </w:t>
      </w:r>
      <w:r>
        <w:rPr>
          <w:sz w:val="20"/>
        </w:rPr>
        <w:t>Amount B.</w:t>
      </w:r>
    </w:p>
    <w:p>
      <w:pPr>
        <w:pStyle w:val="BodyText"/>
        <w:spacing w:before="1"/>
      </w:pPr>
    </w:p>
    <w:p>
      <w:pPr>
        <w:pStyle w:val="Heading7"/>
        <w:rPr>
          <w:i/>
        </w:rPr>
      </w:pPr>
      <w:bookmarkStart w:name="Amount B and multifunctional entities" w:id="395"/>
      <w:bookmarkEnd w:id="395"/>
      <w:r>
        <w:rPr>
          <w:i w:val="0"/>
        </w:rPr>
      </w:r>
      <w:r>
        <w:rPr>
          <w:i/>
          <w:color w:val="616161"/>
        </w:rPr>
        <w:t>Amount B and multifunctional entities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40" w:firstLine="0"/>
        <w:jc w:val="both"/>
        <w:rPr>
          <w:sz w:val="20"/>
        </w:rPr>
      </w:pPr>
      <w:r>
        <w:rPr>
          <w:sz w:val="20"/>
        </w:rPr>
        <w:t>A distribution entity performing a controlled transaction in scope of Amount B may also perform other</w:t>
      </w:r>
      <w:r>
        <w:rPr>
          <w:spacing w:val="-6"/>
          <w:sz w:val="20"/>
        </w:rPr>
        <w:t> </w:t>
      </w:r>
      <w:r>
        <w:rPr>
          <w:sz w:val="20"/>
        </w:rPr>
        <w:t>activities,</w:t>
      </w:r>
      <w:r>
        <w:rPr>
          <w:spacing w:val="-6"/>
          <w:sz w:val="20"/>
        </w:rPr>
        <w:t> </w:t>
      </w:r>
      <w:r>
        <w:rPr>
          <w:sz w:val="20"/>
        </w:rPr>
        <w:t>such</w:t>
      </w:r>
      <w:r>
        <w:rPr>
          <w:spacing w:val="-6"/>
          <w:sz w:val="20"/>
        </w:rPr>
        <w:t> </w:t>
      </w:r>
      <w:r>
        <w:rPr>
          <w:sz w:val="20"/>
        </w:rPr>
        <w:t>as</w:t>
      </w:r>
      <w:r>
        <w:rPr>
          <w:spacing w:val="-6"/>
          <w:sz w:val="20"/>
        </w:rPr>
        <w:t> </w:t>
      </w:r>
      <w:r>
        <w:rPr>
          <w:sz w:val="20"/>
        </w:rPr>
        <w:t>R&amp;D,</w:t>
      </w:r>
      <w:r>
        <w:rPr>
          <w:spacing w:val="-5"/>
          <w:sz w:val="20"/>
        </w:rPr>
        <w:t> </w:t>
      </w:r>
      <w:r>
        <w:rPr>
          <w:sz w:val="20"/>
        </w:rPr>
        <w:t>manufacturing</w:t>
      </w:r>
      <w:r>
        <w:rPr>
          <w:spacing w:val="-7"/>
          <w:sz w:val="20"/>
        </w:rPr>
        <w:t> </w:t>
      </w:r>
      <w:r>
        <w:rPr>
          <w:sz w:val="20"/>
        </w:rPr>
        <w:t>or</w:t>
      </w:r>
      <w:r>
        <w:rPr>
          <w:spacing w:val="-5"/>
          <w:sz w:val="20"/>
        </w:rPr>
        <w:t> </w:t>
      </w:r>
      <w:r>
        <w:rPr>
          <w:sz w:val="20"/>
        </w:rPr>
        <w:t>back-office</w:t>
      </w:r>
      <w:r>
        <w:rPr>
          <w:spacing w:val="-7"/>
          <w:sz w:val="20"/>
        </w:rPr>
        <w:t> </w:t>
      </w:r>
      <w:r>
        <w:rPr>
          <w:sz w:val="20"/>
        </w:rPr>
        <w:t>services.</w:t>
      </w:r>
      <w:r>
        <w:rPr>
          <w:spacing w:val="-5"/>
          <w:sz w:val="20"/>
        </w:rPr>
        <w:t> </w:t>
      </w:r>
      <w:r>
        <w:rPr>
          <w:sz w:val="20"/>
        </w:rPr>
        <w:t>In</w:t>
      </w:r>
      <w:r>
        <w:rPr>
          <w:spacing w:val="-7"/>
          <w:sz w:val="20"/>
        </w:rPr>
        <w:t> </w:t>
      </w:r>
      <w:r>
        <w:rPr>
          <w:sz w:val="20"/>
        </w:rPr>
        <w:t>those</w:t>
      </w:r>
      <w:r>
        <w:rPr>
          <w:spacing w:val="-6"/>
          <w:sz w:val="20"/>
        </w:rPr>
        <w:t> </w:t>
      </w:r>
      <w:r>
        <w:rPr>
          <w:sz w:val="20"/>
        </w:rPr>
        <w:t>cases,</w:t>
      </w:r>
      <w:r>
        <w:rPr>
          <w:spacing w:val="-6"/>
          <w:sz w:val="20"/>
        </w:rPr>
        <w:t> </w:t>
      </w:r>
      <w:r>
        <w:rPr>
          <w:sz w:val="20"/>
        </w:rPr>
        <w:t>it</w:t>
      </w:r>
      <w:r>
        <w:rPr>
          <w:spacing w:val="-5"/>
          <w:sz w:val="20"/>
        </w:rPr>
        <w:t> </w:t>
      </w:r>
      <w:r>
        <w:rPr>
          <w:sz w:val="20"/>
        </w:rPr>
        <w:t>will</w:t>
      </w:r>
      <w:r>
        <w:rPr>
          <w:spacing w:val="-7"/>
          <w:sz w:val="20"/>
        </w:rPr>
        <w:t> </w:t>
      </w:r>
      <w:r>
        <w:rPr>
          <w:sz w:val="20"/>
        </w:rPr>
        <w:t>be</w:t>
      </w:r>
      <w:r>
        <w:rPr>
          <w:spacing w:val="-6"/>
          <w:sz w:val="20"/>
        </w:rPr>
        <w:t> </w:t>
      </w:r>
      <w:r>
        <w:rPr>
          <w:sz w:val="20"/>
        </w:rPr>
        <w:t>necessary</w:t>
      </w:r>
      <w:r>
        <w:rPr>
          <w:spacing w:val="-10"/>
          <w:sz w:val="20"/>
        </w:rPr>
        <w:t> </w:t>
      </w:r>
      <w:r>
        <w:rPr>
          <w:sz w:val="20"/>
        </w:rPr>
        <w:t>to determine whether Amount B can still be applied to the controlled activities in</w:t>
      </w:r>
      <w:r>
        <w:rPr>
          <w:spacing w:val="-11"/>
          <w:sz w:val="20"/>
        </w:rPr>
        <w:t> </w:t>
      </w:r>
      <w:r>
        <w:rPr>
          <w:sz w:val="20"/>
        </w:rPr>
        <w:t>scope.</w:t>
      </w:r>
    </w:p>
    <w:p>
      <w:pPr>
        <w:pStyle w:val="ListParagraph"/>
        <w:numPr>
          <w:ilvl w:val="0"/>
          <w:numId w:val="13"/>
        </w:numPr>
        <w:tabs>
          <w:tab w:pos="1444" w:val="left" w:leader="none"/>
        </w:tabs>
        <w:spacing w:line="271" w:lineRule="auto" w:before="120" w:after="0"/>
        <w:ind w:left="723" w:right="437" w:firstLine="0"/>
        <w:jc w:val="both"/>
        <w:rPr>
          <w:sz w:val="20"/>
        </w:rPr>
      </w:pPr>
      <w:r>
        <w:rPr>
          <w:sz w:val="20"/>
        </w:rPr>
        <w:t>In principle, the ALP should be applied on a case-by-case basis, and thus the application of Amount</w:t>
      </w:r>
      <w:r>
        <w:rPr>
          <w:spacing w:val="-5"/>
          <w:sz w:val="20"/>
        </w:rPr>
        <w:t> </w:t>
      </w:r>
      <w:r>
        <w:rPr>
          <w:sz w:val="20"/>
        </w:rPr>
        <w:t>B</w:t>
      </w:r>
      <w:r>
        <w:rPr>
          <w:spacing w:val="-9"/>
          <w:sz w:val="20"/>
        </w:rPr>
        <w:t> </w:t>
      </w:r>
      <w:r>
        <w:rPr>
          <w:sz w:val="20"/>
        </w:rPr>
        <w:t>to</w:t>
      </w:r>
      <w:r>
        <w:rPr>
          <w:spacing w:val="-10"/>
          <w:sz w:val="20"/>
        </w:rPr>
        <w:t> </w:t>
      </w:r>
      <w:r>
        <w:rPr>
          <w:sz w:val="20"/>
        </w:rPr>
        <w:t>entities</w:t>
      </w:r>
      <w:r>
        <w:rPr>
          <w:spacing w:val="-8"/>
          <w:sz w:val="20"/>
        </w:rPr>
        <w:t> </w:t>
      </w:r>
      <w:r>
        <w:rPr>
          <w:sz w:val="20"/>
        </w:rPr>
        <w:t>with</w:t>
      </w:r>
      <w:r>
        <w:rPr>
          <w:spacing w:val="-9"/>
          <w:sz w:val="20"/>
        </w:rPr>
        <w:t> </w:t>
      </w:r>
      <w:r>
        <w:rPr>
          <w:sz w:val="20"/>
        </w:rPr>
        <w:t>controlled</w:t>
      </w:r>
      <w:r>
        <w:rPr>
          <w:spacing w:val="-10"/>
          <w:sz w:val="20"/>
        </w:rPr>
        <w:t> </w:t>
      </w:r>
      <w:r>
        <w:rPr>
          <w:sz w:val="20"/>
        </w:rPr>
        <w:t>transactions</w:t>
      </w:r>
      <w:r>
        <w:rPr>
          <w:spacing w:val="-4"/>
          <w:sz w:val="20"/>
        </w:rPr>
        <w:t> </w:t>
      </w:r>
      <w:r>
        <w:rPr>
          <w:sz w:val="20"/>
        </w:rPr>
        <w:t>in</w:t>
      </w:r>
      <w:r>
        <w:rPr>
          <w:spacing w:val="-10"/>
          <w:sz w:val="20"/>
        </w:rPr>
        <w:t> </w:t>
      </w:r>
      <w:r>
        <w:rPr>
          <w:sz w:val="20"/>
        </w:rPr>
        <w:t>scope</w:t>
      </w:r>
      <w:r>
        <w:rPr>
          <w:spacing w:val="-8"/>
          <w:sz w:val="20"/>
        </w:rPr>
        <w:t> </w:t>
      </w:r>
      <w:r>
        <w:rPr>
          <w:sz w:val="20"/>
        </w:rPr>
        <w:t>should</w:t>
      </w:r>
      <w:r>
        <w:rPr>
          <w:spacing w:val="-9"/>
          <w:sz w:val="20"/>
        </w:rPr>
        <w:t> </w:t>
      </w:r>
      <w:r>
        <w:rPr>
          <w:sz w:val="20"/>
        </w:rPr>
        <w:t>be</w:t>
      </w:r>
      <w:r>
        <w:rPr>
          <w:spacing w:val="-10"/>
          <w:sz w:val="20"/>
        </w:rPr>
        <w:t> </w:t>
      </w:r>
      <w:r>
        <w:rPr>
          <w:sz w:val="20"/>
        </w:rPr>
        <w:t>possible,</w:t>
      </w:r>
      <w:r>
        <w:rPr>
          <w:spacing w:val="-7"/>
          <w:sz w:val="20"/>
        </w:rPr>
        <w:t> </w:t>
      </w:r>
      <w:r>
        <w:rPr>
          <w:sz w:val="20"/>
        </w:rPr>
        <w:t>even</w:t>
      </w:r>
      <w:r>
        <w:rPr>
          <w:spacing w:val="-10"/>
          <w:sz w:val="20"/>
        </w:rPr>
        <w:t> </w:t>
      </w:r>
      <w:r>
        <w:rPr>
          <w:sz w:val="20"/>
        </w:rPr>
        <w:t>when</w:t>
      </w:r>
      <w:r>
        <w:rPr>
          <w:spacing w:val="-9"/>
          <w:sz w:val="20"/>
        </w:rPr>
        <w:t> </w:t>
      </w:r>
      <w:r>
        <w:rPr>
          <w:sz w:val="20"/>
        </w:rPr>
        <w:t>those</w:t>
      </w:r>
      <w:r>
        <w:rPr>
          <w:spacing w:val="-9"/>
          <w:sz w:val="20"/>
        </w:rPr>
        <w:t> </w:t>
      </w:r>
      <w:r>
        <w:rPr>
          <w:sz w:val="20"/>
        </w:rPr>
        <w:t>entities</w:t>
      </w:r>
      <w:r>
        <w:rPr>
          <w:spacing w:val="-9"/>
          <w:sz w:val="20"/>
        </w:rPr>
        <w:t> </w:t>
      </w:r>
      <w:r>
        <w:rPr>
          <w:sz w:val="20"/>
        </w:rPr>
        <w:t>are engaged in other activities.</w:t>
      </w:r>
      <w:r>
        <w:rPr>
          <w:sz w:val="20"/>
          <w:vertAlign w:val="superscript"/>
        </w:rPr>
        <w:t>143</w:t>
      </w:r>
      <w:r>
        <w:rPr>
          <w:sz w:val="20"/>
          <w:vertAlign w:val="baseline"/>
        </w:rPr>
        <w:t> In practice, however, this determination will depend on the facts and circumstances</w:t>
      </w:r>
      <w:r>
        <w:rPr>
          <w:spacing w:val="-8"/>
          <w:sz w:val="20"/>
          <w:vertAlign w:val="baseline"/>
        </w:rPr>
        <w:t> </w:t>
      </w:r>
      <w:r>
        <w:rPr>
          <w:sz w:val="20"/>
          <w:vertAlign w:val="baseline"/>
        </w:rPr>
        <w:t>of</w:t>
      </w:r>
      <w:r>
        <w:rPr>
          <w:spacing w:val="-7"/>
          <w:sz w:val="20"/>
          <w:vertAlign w:val="baseline"/>
        </w:rPr>
        <w:t> </w:t>
      </w:r>
      <w:r>
        <w:rPr>
          <w:sz w:val="20"/>
          <w:vertAlign w:val="baseline"/>
        </w:rPr>
        <w:t>each</w:t>
      </w:r>
      <w:r>
        <w:rPr>
          <w:spacing w:val="-9"/>
          <w:sz w:val="20"/>
          <w:vertAlign w:val="baseline"/>
        </w:rPr>
        <w:t> </w:t>
      </w:r>
      <w:r>
        <w:rPr>
          <w:sz w:val="20"/>
          <w:vertAlign w:val="baseline"/>
        </w:rPr>
        <w:t>case.</w:t>
      </w:r>
      <w:r>
        <w:rPr>
          <w:spacing w:val="-8"/>
          <w:sz w:val="20"/>
          <w:vertAlign w:val="baseline"/>
        </w:rPr>
        <w:t> </w:t>
      </w:r>
      <w:r>
        <w:rPr>
          <w:sz w:val="20"/>
          <w:vertAlign w:val="baseline"/>
        </w:rPr>
        <w:t>For</w:t>
      </w:r>
      <w:r>
        <w:rPr>
          <w:spacing w:val="-8"/>
          <w:sz w:val="20"/>
          <w:vertAlign w:val="baseline"/>
        </w:rPr>
        <w:t> </w:t>
      </w:r>
      <w:r>
        <w:rPr>
          <w:sz w:val="20"/>
          <w:vertAlign w:val="baseline"/>
        </w:rPr>
        <w:t>instance,</w:t>
      </w:r>
      <w:r>
        <w:rPr>
          <w:spacing w:val="-7"/>
          <w:sz w:val="20"/>
          <w:vertAlign w:val="baseline"/>
        </w:rPr>
        <w:t> </w:t>
      </w:r>
      <w:r>
        <w:rPr>
          <w:sz w:val="20"/>
          <w:vertAlign w:val="baseline"/>
        </w:rPr>
        <w:t>when</w:t>
      </w:r>
      <w:r>
        <w:rPr>
          <w:spacing w:val="-8"/>
          <w:sz w:val="20"/>
          <w:vertAlign w:val="baseline"/>
        </w:rPr>
        <w:t> </w:t>
      </w:r>
      <w:r>
        <w:rPr>
          <w:sz w:val="20"/>
          <w:vertAlign w:val="baseline"/>
        </w:rPr>
        <w:t>the</w:t>
      </w:r>
      <w:r>
        <w:rPr>
          <w:spacing w:val="-9"/>
          <w:sz w:val="20"/>
          <w:vertAlign w:val="baseline"/>
        </w:rPr>
        <w:t> </w:t>
      </w:r>
      <w:r>
        <w:rPr>
          <w:sz w:val="20"/>
          <w:vertAlign w:val="baseline"/>
        </w:rPr>
        <w:t>additional</w:t>
      </w:r>
      <w:r>
        <w:rPr>
          <w:spacing w:val="-10"/>
          <w:sz w:val="20"/>
          <w:vertAlign w:val="baseline"/>
        </w:rPr>
        <w:t> </w:t>
      </w:r>
      <w:r>
        <w:rPr>
          <w:sz w:val="20"/>
          <w:vertAlign w:val="baseline"/>
        </w:rPr>
        <w:t>activities</w:t>
      </w:r>
      <w:r>
        <w:rPr>
          <w:spacing w:val="-7"/>
          <w:sz w:val="20"/>
          <w:vertAlign w:val="baseline"/>
        </w:rPr>
        <w:t> </w:t>
      </w:r>
      <w:r>
        <w:rPr>
          <w:sz w:val="20"/>
          <w:vertAlign w:val="baseline"/>
        </w:rPr>
        <w:t>do</w:t>
      </w:r>
      <w:r>
        <w:rPr>
          <w:spacing w:val="-7"/>
          <w:sz w:val="20"/>
          <w:vertAlign w:val="baseline"/>
        </w:rPr>
        <w:t> </w:t>
      </w:r>
      <w:r>
        <w:rPr>
          <w:sz w:val="20"/>
          <w:vertAlign w:val="baseline"/>
        </w:rPr>
        <w:t>not</w:t>
      </w:r>
      <w:r>
        <w:rPr>
          <w:spacing w:val="-9"/>
          <w:sz w:val="20"/>
          <w:vertAlign w:val="baseline"/>
        </w:rPr>
        <w:t> </w:t>
      </w:r>
      <w:r>
        <w:rPr>
          <w:sz w:val="20"/>
          <w:vertAlign w:val="baseline"/>
        </w:rPr>
        <w:t>relate</w:t>
      </w:r>
      <w:r>
        <w:rPr>
          <w:spacing w:val="-9"/>
          <w:sz w:val="20"/>
          <w:vertAlign w:val="baseline"/>
        </w:rPr>
        <w:t> </w:t>
      </w:r>
      <w:r>
        <w:rPr>
          <w:sz w:val="20"/>
          <w:vertAlign w:val="baseline"/>
        </w:rPr>
        <w:t>to</w:t>
      </w:r>
      <w:r>
        <w:rPr>
          <w:spacing w:val="-8"/>
          <w:sz w:val="20"/>
          <w:vertAlign w:val="baseline"/>
        </w:rPr>
        <w:t> </w:t>
      </w:r>
      <w:r>
        <w:rPr>
          <w:sz w:val="20"/>
          <w:vertAlign w:val="baseline"/>
        </w:rPr>
        <w:t>the</w:t>
      </w:r>
      <w:r>
        <w:rPr>
          <w:spacing w:val="-9"/>
          <w:sz w:val="20"/>
          <w:vertAlign w:val="baseline"/>
        </w:rPr>
        <w:t> </w:t>
      </w:r>
      <w:r>
        <w:rPr>
          <w:sz w:val="20"/>
          <w:vertAlign w:val="baseline"/>
        </w:rPr>
        <w:t>products</w:t>
      </w:r>
      <w:r>
        <w:rPr>
          <w:spacing w:val="-8"/>
          <w:sz w:val="20"/>
          <w:vertAlign w:val="baseline"/>
        </w:rPr>
        <w:t> </w:t>
      </w:r>
      <w:r>
        <w:rPr>
          <w:sz w:val="20"/>
          <w:vertAlign w:val="baseline"/>
        </w:rPr>
        <w:t>being distributed, the distribution entity may be able to apply Amount B, and separately determine the remuneration for the additional activities under a full transfer pricing</w:t>
      </w:r>
      <w:r>
        <w:rPr>
          <w:spacing w:val="-13"/>
          <w:sz w:val="20"/>
          <w:vertAlign w:val="baseline"/>
        </w:rPr>
        <w:t> </w:t>
      </w:r>
      <w:r>
        <w:rPr>
          <w:sz w:val="20"/>
          <w:vertAlign w:val="baseline"/>
        </w:rPr>
        <w:t>analysis.</w:t>
      </w:r>
    </w:p>
    <w:p>
      <w:pPr>
        <w:pStyle w:val="ListParagraph"/>
        <w:numPr>
          <w:ilvl w:val="0"/>
          <w:numId w:val="13"/>
        </w:numPr>
        <w:tabs>
          <w:tab w:pos="1444" w:val="left" w:leader="none"/>
        </w:tabs>
        <w:spacing w:line="271" w:lineRule="auto" w:before="122" w:after="0"/>
        <w:ind w:left="723" w:right="439" w:firstLine="0"/>
        <w:jc w:val="both"/>
        <w:rPr>
          <w:sz w:val="20"/>
        </w:rPr>
      </w:pPr>
      <w:r>
        <w:rPr>
          <w:sz w:val="20"/>
        </w:rPr>
        <w:t>The</w:t>
      </w:r>
      <w:r>
        <w:rPr>
          <w:spacing w:val="-13"/>
          <w:sz w:val="20"/>
        </w:rPr>
        <w:t> </w:t>
      </w:r>
      <w:r>
        <w:rPr>
          <w:sz w:val="20"/>
        </w:rPr>
        <w:t>determination</w:t>
      </w:r>
      <w:r>
        <w:rPr>
          <w:spacing w:val="-13"/>
          <w:sz w:val="20"/>
        </w:rPr>
        <w:t> </w:t>
      </w:r>
      <w:r>
        <w:rPr>
          <w:sz w:val="20"/>
        </w:rPr>
        <w:t>may</w:t>
      </w:r>
      <w:r>
        <w:rPr>
          <w:spacing w:val="-15"/>
          <w:sz w:val="20"/>
        </w:rPr>
        <w:t> </w:t>
      </w:r>
      <w:r>
        <w:rPr>
          <w:sz w:val="20"/>
        </w:rPr>
        <w:t>be</w:t>
      </w:r>
      <w:r>
        <w:rPr>
          <w:spacing w:val="-10"/>
          <w:sz w:val="20"/>
        </w:rPr>
        <w:t> </w:t>
      </w:r>
      <w:r>
        <w:rPr>
          <w:sz w:val="20"/>
        </w:rPr>
        <w:t>different</w:t>
      </w:r>
      <w:r>
        <w:rPr>
          <w:spacing w:val="-13"/>
          <w:sz w:val="20"/>
        </w:rPr>
        <w:t> </w:t>
      </w:r>
      <w:r>
        <w:rPr>
          <w:sz w:val="20"/>
        </w:rPr>
        <w:t>where</w:t>
      </w:r>
      <w:r>
        <w:rPr>
          <w:spacing w:val="-10"/>
          <w:sz w:val="20"/>
        </w:rPr>
        <w:t> </w:t>
      </w:r>
      <w:r>
        <w:rPr>
          <w:sz w:val="20"/>
        </w:rPr>
        <w:t>a</w:t>
      </w:r>
      <w:r>
        <w:rPr>
          <w:spacing w:val="-13"/>
          <w:sz w:val="20"/>
        </w:rPr>
        <w:t> </w:t>
      </w:r>
      <w:r>
        <w:rPr>
          <w:sz w:val="20"/>
        </w:rPr>
        <w:t>distribution</w:t>
      </w:r>
      <w:r>
        <w:rPr>
          <w:spacing w:val="-11"/>
          <w:sz w:val="20"/>
        </w:rPr>
        <w:t> </w:t>
      </w:r>
      <w:r>
        <w:rPr>
          <w:sz w:val="20"/>
        </w:rPr>
        <w:t>entity</w:t>
      </w:r>
      <w:r>
        <w:rPr>
          <w:spacing w:val="-12"/>
          <w:sz w:val="20"/>
        </w:rPr>
        <w:t> </w:t>
      </w:r>
      <w:r>
        <w:rPr>
          <w:sz w:val="20"/>
        </w:rPr>
        <w:t>performs</w:t>
      </w:r>
      <w:r>
        <w:rPr>
          <w:spacing w:val="-10"/>
          <w:sz w:val="20"/>
        </w:rPr>
        <w:t> </w:t>
      </w:r>
      <w:r>
        <w:rPr>
          <w:sz w:val="20"/>
        </w:rPr>
        <w:t>other</w:t>
      </w:r>
      <w:r>
        <w:rPr>
          <w:spacing w:val="-12"/>
          <w:sz w:val="20"/>
        </w:rPr>
        <w:t> </w:t>
      </w:r>
      <w:r>
        <w:rPr>
          <w:sz w:val="20"/>
        </w:rPr>
        <w:t>activities</w:t>
      </w:r>
      <w:r>
        <w:rPr>
          <w:spacing w:val="-11"/>
          <w:sz w:val="20"/>
        </w:rPr>
        <w:t> </w:t>
      </w:r>
      <w:r>
        <w:rPr>
          <w:sz w:val="20"/>
        </w:rPr>
        <w:t>which</w:t>
      </w:r>
      <w:r>
        <w:rPr>
          <w:spacing w:val="-13"/>
          <w:sz w:val="20"/>
        </w:rPr>
        <w:t> </w:t>
      </w:r>
      <w:r>
        <w:rPr>
          <w:sz w:val="20"/>
        </w:rPr>
        <w:t>relate to other aspects of the value chain of the product being distributed. In some situations, the accurate delineation</w:t>
      </w:r>
      <w:r>
        <w:rPr>
          <w:spacing w:val="-10"/>
          <w:sz w:val="20"/>
        </w:rPr>
        <w:t> </w:t>
      </w:r>
      <w:r>
        <w:rPr>
          <w:sz w:val="20"/>
        </w:rPr>
        <w:t>of</w:t>
      </w:r>
      <w:r>
        <w:rPr>
          <w:spacing w:val="-7"/>
          <w:sz w:val="20"/>
        </w:rPr>
        <w:t> </w:t>
      </w:r>
      <w:r>
        <w:rPr>
          <w:sz w:val="20"/>
        </w:rPr>
        <w:t>the</w:t>
      </w:r>
      <w:r>
        <w:rPr>
          <w:spacing w:val="-10"/>
          <w:sz w:val="20"/>
        </w:rPr>
        <w:t> </w:t>
      </w:r>
      <w:r>
        <w:rPr>
          <w:sz w:val="20"/>
        </w:rPr>
        <w:t>transactions</w:t>
      </w:r>
      <w:r>
        <w:rPr>
          <w:spacing w:val="-10"/>
          <w:sz w:val="20"/>
        </w:rPr>
        <w:t> </w:t>
      </w:r>
      <w:r>
        <w:rPr>
          <w:sz w:val="20"/>
        </w:rPr>
        <w:t>may</w:t>
      </w:r>
      <w:r>
        <w:rPr>
          <w:spacing w:val="-12"/>
          <w:sz w:val="20"/>
        </w:rPr>
        <w:t> </w:t>
      </w:r>
      <w:r>
        <w:rPr>
          <w:sz w:val="20"/>
        </w:rPr>
        <w:t>indicate</w:t>
      </w:r>
      <w:r>
        <w:rPr>
          <w:spacing w:val="-9"/>
          <w:sz w:val="20"/>
        </w:rPr>
        <w:t> </w:t>
      </w:r>
      <w:r>
        <w:rPr>
          <w:sz w:val="20"/>
        </w:rPr>
        <w:t>that</w:t>
      </w:r>
      <w:r>
        <w:rPr>
          <w:spacing w:val="-10"/>
          <w:sz w:val="20"/>
        </w:rPr>
        <w:t> </w:t>
      </w:r>
      <w:r>
        <w:rPr>
          <w:sz w:val="20"/>
        </w:rPr>
        <w:t>the</w:t>
      </w:r>
      <w:r>
        <w:rPr>
          <w:spacing w:val="-9"/>
          <w:sz w:val="20"/>
        </w:rPr>
        <w:t> </w:t>
      </w:r>
      <w:r>
        <w:rPr>
          <w:sz w:val="20"/>
        </w:rPr>
        <w:t>Amount</w:t>
      </w:r>
      <w:r>
        <w:rPr>
          <w:spacing w:val="-8"/>
          <w:sz w:val="20"/>
        </w:rPr>
        <w:t> </w:t>
      </w:r>
      <w:r>
        <w:rPr>
          <w:sz w:val="20"/>
        </w:rPr>
        <w:t>B</w:t>
      </w:r>
      <w:r>
        <w:rPr>
          <w:spacing w:val="-9"/>
          <w:sz w:val="20"/>
        </w:rPr>
        <w:t> </w:t>
      </w:r>
      <w:r>
        <w:rPr>
          <w:sz w:val="20"/>
        </w:rPr>
        <w:t>activities</w:t>
      </w:r>
      <w:r>
        <w:rPr>
          <w:spacing w:val="-8"/>
          <w:sz w:val="20"/>
        </w:rPr>
        <w:t> </w:t>
      </w:r>
      <w:r>
        <w:rPr>
          <w:sz w:val="20"/>
        </w:rPr>
        <w:t>and</w:t>
      </w:r>
      <w:r>
        <w:rPr>
          <w:spacing w:val="-10"/>
          <w:sz w:val="20"/>
        </w:rPr>
        <w:t> </w:t>
      </w:r>
      <w:r>
        <w:rPr>
          <w:sz w:val="20"/>
        </w:rPr>
        <w:t>the</w:t>
      </w:r>
      <w:r>
        <w:rPr>
          <w:spacing w:val="-9"/>
          <w:sz w:val="20"/>
        </w:rPr>
        <w:t> </w:t>
      </w:r>
      <w:r>
        <w:rPr>
          <w:sz w:val="20"/>
        </w:rPr>
        <w:t>additional</w:t>
      </w:r>
      <w:r>
        <w:rPr>
          <w:spacing w:val="-10"/>
          <w:sz w:val="20"/>
        </w:rPr>
        <w:t> </w:t>
      </w:r>
      <w:r>
        <w:rPr>
          <w:sz w:val="20"/>
        </w:rPr>
        <w:t>transactions</w:t>
      </w:r>
      <w:r>
        <w:rPr>
          <w:spacing w:val="-9"/>
          <w:sz w:val="20"/>
        </w:rPr>
        <w:t> </w:t>
      </w:r>
      <w:r>
        <w:rPr>
          <w:sz w:val="20"/>
        </w:rPr>
        <w:t>are so closely linked or continuous that they may need to be considered in the aggregate.</w:t>
      </w:r>
      <w:r>
        <w:rPr>
          <w:sz w:val="20"/>
          <w:vertAlign w:val="superscript"/>
        </w:rPr>
        <w:t>144</w:t>
      </w:r>
      <w:r>
        <w:rPr>
          <w:sz w:val="20"/>
          <w:vertAlign w:val="baseline"/>
        </w:rPr>
        <w:t> In these cases, it would</w:t>
      </w:r>
      <w:r>
        <w:rPr>
          <w:spacing w:val="-14"/>
          <w:sz w:val="20"/>
          <w:vertAlign w:val="baseline"/>
        </w:rPr>
        <w:t> </w:t>
      </w:r>
      <w:r>
        <w:rPr>
          <w:sz w:val="20"/>
          <w:vertAlign w:val="baseline"/>
        </w:rPr>
        <w:t>be</w:t>
      </w:r>
      <w:r>
        <w:rPr>
          <w:spacing w:val="-12"/>
          <w:sz w:val="20"/>
          <w:vertAlign w:val="baseline"/>
        </w:rPr>
        <w:t> </w:t>
      </w:r>
      <w:r>
        <w:rPr>
          <w:sz w:val="20"/>
          <w:vertAlign w:val="baseline"/>
        </w:rPr>
        <w:t>likely</w:t>
      </w:r>
      <w:r>
        <w:rPr>
          <w:spacing w:val="-17"/>
          <w:sz w:val="20"/>
          <w:vertAlign w:val="baseline"/>
        </w:rPr>
        <w:t> </w:t>
      </w:r>
      <w:r>
        <w:rPr>
          <w:sz w:val="20"/>
          <w:vertAlign w:val="baseline"/>
        </w:rPr>
        <w:t>that</w:t>
      </w:r>
      <w:r>
        <w:rPr>
          <w:spacing w:val="-13"/>
          <w:sz w:val="20"/>
          <w:vertAlign w:val="baseline"/>
        </w:rPr>
        <w:t> </w:t>
      </w:r>
      <w:r>
        <w:rPr>
          <w:sz w:val="20"/>
          <w:vertAlign w:val="baseline"/>
        </w:rPr>
        <w:t>such</w:t>
      </w:r>
      <w:r>
        <w:rPr>
          <w:spacing w:val="-14"/>
          <w:sz w:val="20"/>
          <w:vertAlign w:val="baseline"/>
        </w:rPr>
        <w:t> </w:t>
      </w:r>
      <w:r>
        <w:rPr>
          <w:sz w:val="20"/>
          <w:vertAlign w:val="baseline"/>
        </w:rPr>
        <w:t>transactions</w:t>
      </w:r>
      <w:r>
        <w:rPr>
          <w:spacing w:val="-10"/>
          <w:sz w:val="20"/>
          <w:vertAlign w:val="baseline"/>
        </w:rPr>
        <w:t> </w:t>
      </w:r>
      <w:r>
        <w:rPr>
          <w:sz w:val="20"/>
          <w:vertAlign w:val="baseline"/>
        </w:rPr>
        <w:t>would</w:t>
      </w:r>
      <w:r>
        <w:rPr>
          <w:spacing w:val="-14"/>
          <w:sz w:val="20"/>
          <w:vertAlign w:val="baseline"/>
        </w:rPr>
        <w:t> </w:t>
      </w:r>
      <w:r>
        <w:rPr>
          <w:sz w:val="20"/>
          <w:vertAlign w:val="baseline"/>
        </w:rPr>
        <w:t>be</w:t>
      </w:r>
      <w:r>
        <w:rPr>
          <w:spacing w:val="-12"/>
          <w:sz w:val="20"/>
          <w:vertAlign w:val="baseline"/>
        </w:rPr>
        <w:t> </w:t>
      </w:r>
      <w:r>
        <w:rPr>
          <w:sz w:val="20"/>
          <w:vertAlign w:val="baseline"/>
        </w:rPr>
        <w:t>outside</w:t>
      </w:r>
      <w:r>
        <w:rPr>
          <w:spacing w:val="-12"/>
          <w:sz w:val="20"/>
          <w:vertAlign w:val="baseline"/>
        </w:rPr>
        <w:t> </w:t>
      </w:r>
      <w:r>
        <w:rPr>
          <w:sz w:val="20"/>
          <w:vertAlign w:val="baseline"/>
        </w:rPr>
        <w:t>of</w:t>
      </w:r>
      <w:r>
        <w:rPr>
          <w:spacing w:val="-12"/>
          <w:sz w:val="20"/>
          <w:vertAlign w:val="baseline"/>
        </w:rPr>
        <w:t> </w:t>
      </w:r>
      <w:r>
        <w:rPr>
          <w:sz w:val="20"/>
          <w:vertAlign w:val="baseline"/>
        </w:rPr>
        <w:t>the</w:t>
      </w:r>
      <w:r>
        <w:rPr>
          <w:spacing w:val="-13"/>
          <w:sz w:val="20"/>
          <w:vertAlign w:val="baseline"/>
        </w:rPr>
        <w:t> </w:t>
      </w:r>
      <w:r>
        <w:rPr>
          <w:sz w:val="20"/>
          <w:vertAlign w:val="baseline"/>
        </w:rPr>
        <w:t>scope</w:t>
      </w:r>
      <w:r>
        <w:rPr>
          <w:spacing w:val="-14"/>
          <w:sz w:val="20"/>
          <w:vertAlign w:val="baseline"/>
        </w:rPr>
        <w:t> </w:t>
      </w:r>
      <w:r>
        <w:rPr>
          <w:sz w:val="20"/>
          <w:vertAlign w:val="baseline"/>
        </w:rPr>
        <w:t>of</w:t>
      </w:r>
      <w:r>
        <w:rPr>
          <w:spacing w:val="-12"/>
          <w:sz w:val="20"/>
          <w:vertAlign w:val="baseline"/>
        </w:rPr>
        <w:t> </w:t>
      </w:r>
      <w:r>
        <w:rPr>
          <w:sz w:val="20"/>
          <w:vertAlign w:val="baseline"/>
        </w:rPr>
        <w:t>Amount</w:t>
      </w:r>
      <w:r>
        <w:rPr>
          <w:spacing w:val="-14"/>
          <w:sz w:val="20"/>
          <w:vertAlign w:val="baseline"/>
        </w:rPr>
        <w:t> </w:t>
      </w:r>
      <w:r>
        <w:rPr>
          <w:sz w:val="20"/>
          <w:vertAlign w:val="baseline"/>
        </w:rPr>
        <w:t>B,</w:t>
      </w:r>
      <w:r>
        <w:rPr>
          <w:spacing w:val="-14"/>
          <w:sz w:val="20"/>
          <w:vertAlign w:val="baseline"/>
        </w:rPr>
        <w:t> </w:t>
      </w:r>
      <w:r>
        <w:rPr>
          <w:sz w:val="20"/>
          <w:vertAlign w:val="baseline"/>
        </w:rPr>
        <w:t>although</w:t>
      </w:r>
      <w:r>
        <w:rPr>
          <w:spacing w:val="-13"/>
          <w:sz w:val="20"/>
          <w:vertAlign w:val="baseline"/>
        </w:rPr>
        <w:t> </w:t>
      </w:r>
      <w:r>
        <w:rPr>
          <w:sz w:val="20"/>
          <w:vertAlign w:val="baseline"/>
        </w:rPr>
        <w:t>further</w:t>
      </w:r>
      <w:r>
        <w:rPr>
          <w:spacing w:val="-13"/>
          <w:sz w:val="20"/>
          <w:vertAlign w:val="baseline"/>
        </w:rPr>
        <w:t> </w:t>
      </w:r>
      <w:r>
        <w:rPr>
          <w:sz w:val="20"/>
          <w:vertAlign w:val="baseline"/>
        </w:rPr>
        <w:t>technical work will need to be performed to establish</w:t>
      </w:r>
      <w:r>
        <w:rPr>
          <w:spacing w:val="-5"/>
          <w:sz w:val="20"/>
          <w:vertAlign w:val="baseline"/>
        </w:rPr>
        <w:t> </w:t>
      </w:r>
      <w:r>
        <w:rPr>
          <w:sz w:val="20"/>
          <w:vertAlign w:val="baseline"/>
        </w:rPr>
        <w:t>this.</w:t>
      </w:r>
    </w:p>
    <w:p>
      <w:pPr>
        <w:pStyle w:val="ListParagraph"/>
        <w:numPr>
          <w:ilvl w:val="0"/>
          <w:numId w:val="13"/>
        </w:numPr>
        <w:tabs>
          <w:tab w:pos="1444" w:val="left" w:leader="none"/>
        </w:tabs>
        <w:spacing w:line="268" w:lineRule="auto" w:before="120" w:after="0"/>
        <w:ind w:left="723" w:right="446" w:firstLine="0"/>
        <w:jc w:val="both"/>
        <w:rPr>
          <w:sz w:val="20"/>
        </w:rPr>
      </w:pPr>
      <w:r>
        <w:rPr>
          <w:sz w:val="20"/>
        </w:rPr>
        <w:t>The availability of reliable segmented financial information for the different activities will also play a key role in deciding whether to price each type of activity separately or to adopt a holistic approach and consider the overall functionality of the</w:t>
      </w:r>
      <w:r>
        <w:rPr>
          <w:spacing w:val="-5"/>
          <w:sz w:val="20"/>
        </w:rPr>
        <w:t> </w:t>
      </w:r>
      <w:r>
        <w:rPr>
          <w:sz w:val="20"/>
        </w:rPr>
        <w:t>entity.</w:t>
      </w:r>
      <w:r>
        <w:rPr>
          <w:sz w:val="20"/>
          <w:vertAlign w:val="superscript"/>
        </w:rPr>
        <w:t>145</w:t>
      </w:r>
    </w:p>
    <w:p>
      <w:pPr>
        <w:pStyle w:val="ListParagraph"/>
        <w:numPr>
          <w:ilvl w:val="0"/>
          <w:numId w:val="13"/>
        </w:numPr>
        <w:tabs>
          <w:tab w:pos="1444" w:val="left" w:leader="none"/>
        </w:tabs>
        <w:spacing w:line="271" w:lineRule="auto" w:before="128" w:after="0"/>
        <w:ind w:left="723" w:right="439" w:firstLine="0"/>
        <w:jc w:val="both"/>
        <w:rPr>
          <w:sz w:val="20"/>
        </w:rPr>
      </w:pPr>
      <w:r>
        <w:rPr>
          <w:sz w:val="20"/>
        </w:rPr>
        <w:t>Further,</w:t>
      </w:r>
      <w:r>
        <w:rPr>
          <w:spacing w:val="-14"/>
          <w:sz w:val="20"/>
        </w:rPr>
        <w:t> </w:t>
      </w:r>
      <w:r>
        <w:rPr>
          <w:sz w:val="20"/>
        </w:rPr>
        <w:t>some</w:t>
      </w:r>
      <w:r>
        <w:rPr>
          <w:spacing w:val="-14"/>
          <w:sz w:val="20"/>
        </w:rPr>
        <w:t> </w:t>
      </w:r>
      <w:r>
        <w:rPr>
          <w:sz w:val="20"/>
        </w:rPr>
        <w:t>Inclusive</w:t>
      </w:r>
      <w:r>
        <w:rPr>
          <w:spacing w:val="-13"/>
          <w:sz w:val="20"/>
        </w:rPr>
        <w:t> </w:t>
      </w:r>
      <w:r>
        <w:rPr>
          <w:sz w:val="20"/>
        </w:rPr>
        <w:t>Framework</w:t>
      </w:r>
      <w:r>
        <w:rPr>
          <w:spacing w:val="-12"/>
          <w:sz w:val="20"/>
        </w:rPr>
        <w:t> </w:t>
      </w:r>
      <w:r>
        <w:rPr>
          <w:sz w:val="20"/>
        </w:rPr>
        <w:t>members</w:t>
      </w:r>
      <w:r>
        <w:rPr>
          <w:spacing w:val="-12"/>
          <w:sz w:val="20"/>
        </w:rPr>
        <w:t> </w:t>
      </w:r>
      <w:r>
        <w:rPr>
          <w:sz w:val="20"/>
        </w:rPr>
        <w:t>have</w:t>
      </w:r>
      <w:r>
        <w:rPr>
          <w:spacing w:val="-13"/>
          <w:sz w:val="20"/>
        </w:rPr>
        <w:t> </w:t>
      </w:r>
      <w:r>
        <w:rPr>
          <w:sz w:val="20"/>
        </w:rPr>
        <w:t>expressed</w:t>
      </w:r>
      <w:r>
        <w:rPr>
          <w:spacing w:val="-14"/>
          <w:sz w:val="20"/>
        </w:rPr>
        <w:t> </w:t>
      </w:r>
      <w:r>
        <w:rPr>
          <w:sz w:val="20"/>
        </w:rPr>
        <w:t>the</w:t>
      </w:r>
      <w:r>
        <w:rPr>
          <w:spacing w:val="-13"/>
          <w:sz w:val="20"/>
        </w:rPr>
        <w:t> </w:t>
      </w:r>
      <w:r>
        <w:rPr>
          <w:sz w:val="20"/>
        </w:rPr>
        <w:t>view</w:t>
      </w:r>
      <w:r>
        <w:rPr>
          <w:spacing w:val="-13"/>
          <w:sz w:val="20"/>
        </w:rPr>
        <w:t> </w:t>
      </w:r>
      <w:r>
        <w:rPr>
          <w:sz w:val="20"/>
        </w:rPr>
        <w:t>that</w:t>
      </w:r>
      <w:r>
        <w:rPr>
          <w:spacing w:val="-14"/>
          <w:sz w:val="20"/>
        </w:rPr>
        <w:t> </w:t>
      </w:r>
      <w:r>
        <w:rPr>
          <w:sz w:val="20"/>
        </w:rPr>
        <w:t>consideration</w:t>
      </w:r>
      <w:r>
        <w:rPr>
          <w:spacing w:val="-13"/>
          <w:sz w:val="20"/>
        </w:rPr>
        <w:t> </w:t>
      </w:r>
      <w:r>
        <w:rPr>
          <w:sz w:val="20"/>
        </w:rPr>
        <w:t>be</w:t>
      </w:r>
      <w:r>
        <w:rPr>
          <w:spacing w:val="-12"/>
          <w:sz w:val="20"/>
        </w:rPr>
        <w:t> </w:t>
      </w:r>
      <w:r>
        <w:rPr>
          <w:sz w:val="20"/>
        </w:rPr>
        <w:t>given to situations where related manufacturing and distribution activities are performed domestically but are fragmented, opining that such entities should be considered to be in scope. Additional technical work will continue to assess this</w:t>
      </w:r>
      <w:r>
        <w:rPr>
          <w:spacing w:val="-4"/>
          <w:sz w:val="20"/>
        </w:rPr>
        <w:t> </w:t>
      </w:r>
      <w:r>
        <w:rPr>
          <w:sz w:val="20"/>
        </w:rPr>
        <w:t>concern.</w:t>
      </w:r>
    </w:p>
    <w:p>
      <w:pPr>
        <w:pStyle w:val="BodyText"/>
      </w:pPr>
    </w:p>
    <w:p>
      <w:pPr>
        <w:pStyle w:val="Heading7"/>
        <w:spacing w:before="1"/>
        <w:rPr>
          <w:i/>
        </w:rPr>
      </w:pPr>
      <w:bookmarkStart w:name="Commissionaires and sales agents" w:id="396"/>
      <w:bookmarkEnd w:id="396"/>
      <w:r>
        <w:rPr>
          <w:i w:val="0"/>
        </w:rPr>
      </w:r>
      <w:r>
        <w:rPr>
          <w:i/>
          <w:color w:val="616161"/>
        </w:rPr>
        <w:t>Commissionaires and sales agents</w:t>
      </w:r>
    </w:p>
    <w:p>
      <w:pPr>
        <w:pStyle w:val="BodyText"/>
        <w:spacing w:before="9"/>
        <w:rPr>
          <w:i/>
          <w:sz w:val="18"/>
        </w:rPr>
      </w:pPr>
    </w:p>
    <w:p>
      <w:pPr>
        <w:pStyle w:val="ListParagraph"/>
        <w:numPr>
          <w:ilvl w:val="0"/>
          <w:numId w:val="13"/>
        </w:numPr>
        <w:tabs>
          <w:tab w:pos="1444" w:val="left" w:leader="none"/>
        </w:tabs>
        <w:spacing w:line="271" w:lineRule="auto" w:before="1" w:after="0"/>
        <w:ind w:left="723" w:right="436" w:firstLine="0"/>
        <w:jc w:val="both"/>
        <w:rPr>
          <w:sz w:val="20"/>
        </w:rPr>
      </w:pPr>
      <w:r>
        <w:rPr>
          <w:sz w:val="20"/>
        </w:rPr>
        <w:t>On the assumption of a narrow scope, commissionaires, sales agents and other businesses that perform</w:t>
      </w:r>
      <w:r>
        <w:rPr>
          <w:spacing w:val="-3"/>
          <w:sz w:val="20"/>
        </w:rPr>
        <w:t> </w:t>
      </w:r>
      <w:r>
        <w:rPr>
          <w:sz w:val="20"/>
        </w:rPr>
        <w:t>non-baseline</w:t>
      </w:r>
      <w:r>
        <w:rPr>
          <w:spacing w:val="-7"/>
          <w:sz w:val="20"/>
        </w:rPr>
        <w:t> </w:t>
      </w:r>
      <w:r>
        <w:rPr>
          <w:sz w:val="20"/>
        </w:rPr>
        <w:t>marketing</w:t>
      </w:r>
      <w:r>
        <w:rPr>
          <w:spacing w:val="-7"/>
          <w:sz w:val="20"/>
        </w:rPr>
        <w:t> </w:t>
      </w:r>
      <w:r>
        <w:rPr>
          <w:sz w:val="20"/>
        </w:rPr>
        <w:t>and</w:t>
      </w:r>
      <w:r>
        <w:rPr>
          <w:spacing w:val="-7"/>
          <w:sz w:val="20"/>
        </w:rPr>
        <w:t> </w:t>
      </w:r>
      <w:r>
        <w:rPr>
          <w:sz w:val="20"/>
        </w:rPr>
        <w:t>distribution</w:t>
      </w:r>
      <w:r>
        <w:rPr>
          <w:spacing w:val="-7"/>
          <w:sz w:val="20"/>
        </w:rPr>
        <w:t> </w:t>
      </w:r>
      <w:r>
        <w:rPr>
          <w:sz w:val="20"/>
        </w:rPr>
        <w:t>activities</w:t>
      </w:r>
      <w:r>
        <w:rPr>
          <w:sz w:val="20"/>
          <w:vertAlign w:val="superscript"/>
        </w:rPr>
        <w:t>146</w:t>
      </w:r>
      <w:r>
        <w:rPr>
          <w:spacing w:val="-7"/>
          <w:sz w:val="20"/>
          <w:vertAlign w:val="baseline"/>
        </w:rPr>
        <w:t> </w:t>
      </w:r>
      <w:r>
        <w:rPr>
          <w:sz w:val="20"/>
          <w:vertAlign w:val="baseline"/>
        </w:rPr>
        <w:t>would</w:t>
      </w:r>
      <w:r>
        <w:rPr>
          <w:spacing w:val="-8"/>
          <w:sz w:val="20"/>
          <w:vertAlign w:val="baseline"/>
        </w:rPr>
        <w:t> </w:t>
      </w:r>
      <w:r>
        <w:rPr>
          <w:sz w:val="20"/>
          <w:vertAlign w:val="baseline"/>
        </w:rPr>
        <w:t>not</w:t>
      </w:r>
      <w:r>
        <w:rPr>
          <w:spacing w:val="-7"/>
          <w:sz w:val="20"/>
          <w:vertAlign w:val="baseline"/>
        </w:rPr>
        <w:t> </w:t>
      </w:r>
      <w:r>
        <w:rPr>
          <w:sz w:val="20"/>
          <w:vertAlign w:val="baseline"/>
        </w:rPr>
        <w:t>be</w:t>
      </w:r>
      <w:r>
        <w:rPr>
          <w:spacing w:val="-5"/>
          <w:sz w:val="20"/>
          <w:vertAlign w:val="baseline"/>
        </w:rPr>
        <w:t> </w:t>
      </w:r>
      <w:r>
        <w:rPr>
          <w:sz w:val="20"/>
          <w:vertAlign w:val="baseline"/>
        </w:rPr>
        <w:t>within</w:t>
      </w:r>
      <w:r>
        <w:rPr>
          <w:spacing w:val="-5"/>
          <w:sz w:val="20"/>
          <w:vertAlign w:val="baseline"/>
        </w:rPr>
        <w:t> </w:t>
      </w:r>
      <w:r>
        <w:rPr>
          <w:sz w:val="20"/>
          <w:vertAlign w:val="baseline"/>
        </w:rPr>
        <w:t>the</w:t>
      </w:r>
      <w:r>
        <w:rPr>
          <w:spacing w:val="-7"/>
          <w:sz w:val="20"/>
          <w:vertAlign w:val="baseline"/>
        </w:rPr>
        <w:t> </w:t>
      </w:r>
      <w:r>
        <w:rPr>
          <w:sz w:val="20"/>
          <w:vertAlign w:val="baseline"/>
        </w:rPr>
        <w:t>scope</w:t>
      </w:r>
      <w:r>
        <w:rPr>
          <w:spacing w:val="-7"/>
          <w:sz w:val="20"/>
          <w:vertAlign w:val="baseline"/>
        </w:rPr>
        <w:t> </w:t>
      </w:r>
      <w:r>
        <w:rPr>
          <w:sz w:val="20"/>
          <w:vertAlign w:val="baseline"/>
        </w:rPr>
        <w:t>of</w:t>
      </w:r>
      <w:r>
        <w:rPr>
          <w:spacing w:val="-6"/>
          <w:sz w:val="20"/>
          <w:vertAlign w:val="baseline"/>
        </w:rPr>
        <w:t> </w:t>
      </w:r>
      <w:r>
        <w:rPr>
          <w:sz w:val="20"/>
          <w:vertAlign w:val="baseline"/>
        </w:rPr>
        <w:t>Amount</w:t>
      </w:r>
      <w:r>
        <w:rPr>
          <w:spacing w:val="-7"/>
          <w:sz w:val="20"/>
          <w:vertAlign w:val="baseline"/>
        </w:rPr>
        <w:t> </w:t>
      </w:r>
      <w:r>
        <w:rPr>
          <w:sz w:val="20"/>
          <w:vertAlign w:val="baseline"/>
        </w:rPr>
        <w:t>B.</w:t>
      </w:r>
      <w:r>
        <w:rPr>
          <w:sz w:val="20"/>
          <w:vertAlign w:val="superscript"/>
        </w:rPr>
        <w:t>147</w:t>
      </w:r>
      <w:r>
        <w:rPr>
          <w:sz w:val="20"/>
          <w:vertAlign w:val="baseline"/>
        </w:rPr>
        <w:t> This</w:t>
      </w:r>
      <w:r>
        <w:rPr>
          <w:spacing w:val="-5"/>
          <w:sz w:val="20"/>
          <w:vertAlign w:val="baseline"/>
        </w:rPr>
        <w:t> </w:t>
      </w:r>
      <w:r>
        <w:rPr>
          <w:sz w:val="20"/>
          <w:vertAlign w:val="baseline"/>
        </w:rPr>
        <w:t>is</w:t>
      </w:r>
      <w:r>
        <w:rPr>
          <w:spacing w:val="-5"/>
          <w:sz w:val="20"/>
          <w:vertAlign w:val="baseline"/>
        </w:rPr>
        <w:t> </w:t>
      </w:r>
      <w:r>
        <w:rPr>
          <w:sz w:val="20"/>
          <w:vertAlign w:val="baseline"/>
        </w:rPr>
        <w:t>principally</w:t>
      </w:r>
      <w:r>
        <w:rPr>
          <w:spacing w:val="-7"/>
          <w:sz w:val="20"/>
          <w:vertAlign w:val="baseline"/>
        </w:rPr>
        <w:t> </w:t>
      </w:r>
      <w:r>
        <w:rPr>
          <w:sz w:val="20"/>
          <w:vertAlign w:val="baseline"/>
        </w:rPr>
        <w:t>due</w:t>
      </w:r>
      <w:r>
        <w:rPr>
          <w:spacing w:val="-5"/>
          <w:sz w:val="20"/>
          <w:vertAlign w:val="baseline"/>
        </w:rPr>
        <w:t> </w:t>
      </w:r>
      <w:r>
        <w:rPr>
          <w:sz w:val="20"/>
          <w:vertAlign w:val="baseline"/>
        </w:rPr>
        <w:t>to</w:t>
      </w:r>
      <w:r>
        <w:rPr>
          <w:spacing w:val="-4"/>
          <w:sz w:val="20"/>
          <w:vertAlign w:val="baseline"/>
        </w:rPr>
        <w:t> </w:t>
      </w:r>
      <w:r>
        <w:rPr>
          <w:sz w:val="20"/>
          <w:vertAlign w:val="baseline"/>
        </w:rPr>
        <w:t>the</w:t>
      </w:r>
      <w:r>
        <w:rPr>
          <w:spacing w:val="-7"/>
          <w:sz w:val="20"/>
          <w:vertAlign w:val="baseline"/>
        </w:rPr>
        <w:t> </w:t>
      </w:r>
      <w:r>
        <w:rPr>
          <w:sz w:val="20"/>
          <w:vertAlign w:val="baseline"/>
        </w:rPr>
        <w:t>increased</w:t>
      </w:r>
      <w:r>
        <w:rPr>
          <w:spacing w:val="-5"/>
          <w:sz w:val="20"/>
          <w:vertAlign w:val="baseline"/>
        </w:rPr>
        <w:t> </w:t>
      </w:r>
      <w:r>
        <w:rPr>
          <w:sz w:val="20"/>
          <w:vertAlign w:val="baseline"/>
        </w:rPr>
        <w:t>breadth</w:t>
      </w:r>
      <w:r>
        <w:rPr>
          <w:spacing w:val="-5"/>
          <w:sz w:val="20"/>
          <w:vertAlign w:val="baseline"/>
        </w:rPr>
        <w:t> </w:t>
      </w:r>
      <w:r>
        <w:rPr>
          <w:sz w:val="20"/>
          <w:vertAlign w:val="baseline"/>
        </w:rPr>
        <w:t>of</w:t>
      </w:r>
      <w:r>
        <w:rPr>
          <w:spacing w:val="-5"/>
          <w:sz w:val="20"/>
          <w:vertAlign w:val="baseline"/>
        </w:rPr>
        <w:t> </w:t>
      </w:r>
      <w:r>
        <w:rPr>
          <w:sz w:val="20"/>
          <w:vertAlign w:val="baseline"/>
        </w:rPr>
        <w:t>the</w:t>
      </w:r>
      <w:r>
        <w:rPr>
          <w:spacing w:val="-4"/>
          <w:sz w:val="20"/>
          <w:vertAlign w:val="baseline"/>
        </w:rPr>
        <w:t> </w:t>
      </w:r>
      <w:r>
        <w:rPr>
          <w:sz w:val="20"/>
          <w:vertAlign w:val="baseline"/>
        </w:rPr>
        <w:t>work</w:t>
      </w:r>
      <w:r>
        <w:rPr>
          <w:spacing w:val="-2"/>
          <w:sz w:val="20"/>
          <w:vertAlign w:val="baseline"/>
        </w:rPr>
        <w:t> </w:t>
      </w:r>
      <w:r>
        <w:rPr>
          <w:sz w:val="20"/>
          <w:vertAlign w:val="baseline"/>
        </w:rPr>
        <w:t>needed</w:t>
      </w:r>
      <w:r>
        <w:rPr>
          <w:spacing w:val="-5"/>
          <w:sz w:val="20"/>
          <w:vertAlign w:val="baseline"/>
        </w:rPr>
        <w:t> </w:t>
      </w:r>
      <w:r>
        <w:rPr>
          <w:sz w:val="20"/>
          <w:vertAlign w:val="baseline"/>
        </w:rPr>
        <w:t>if</w:t>
      </w:r>
      <w:r>
        <w:rPr>
          <w:spacing w:val="-3"/>
          <w:sz w:val="20"/>
          <w:vertAlign w:val="baseline"/>
        </w:rPr>
        <w:t> </w:t>
      </w:r>
      <w:r>
        <w:rPr>
          <w:sz w:val="20"/>
          <w:vertAlign w:val="baseline"/>
        </w:rPr>
        <w:t>they</w:t>
      </w:r>
      <w:r>
        <w:rPr>
          <w:spacing w:val="-7"/>
          <w:sz w:val="20"/>
          <w:vertAlign w:val="baseline"/>
        </w:rPr>
        <w:t> </w:t>
      </w:r>
      <w:r>
        <w:rPr>
          <w:sz w:val="20"/>
          <w:vertAlign w:val="baseline"/>
        </w:rPr>
        <w:t>were</w:t>
      </w:r>
      <w:r>
        <w:rPr>
          <w:spacing w:val="-4"/>
          <w:sz w:val="20"/>
          <w:vertAlign w:val="baseline"/>
        </w:rPr>
        <w:t> </w:t>
      </w:r>
      <w:r>
        <w:rPr>
          <w:sz w:val="20"/>
          <w:vertAlign w:val="baseline"/>
        </w:rPr>
        <w:t>to</w:t>
      </w:r>
      <w:r>
        <w:rPr>
          <w:spacing w:val="-5"/>
          <w:sz w:val="20"/>
          <w:vertAlign w:val="baseline"/>
        </w:rPr>
        <w:t> </w:t>
      </w:r>
      <w:r>
        <w:rPr>
          <w:sz w:val="20"/>
          <w:vertAlign w:val="baseline"/>
        </w:rPr>
        <w:t>be</w:t>
      </w:r>
      <w:r>
        <w:rPr>
          <w:spacing w:val="-5"/>
          <w:sz w:val="20"/>
          <w:vertAlign w:val="baseline"/>
        </w:rPr>
        <w:t> </w:t>
      </w:r>
      <w:r>
        <w:rPr>
          <w:sz w:val="20"/>
          <w:vertAlign w:val="baseline"/>
        </w:rPr>
        <w:t>included</w:t>
      </w:r>
      <w:r>
        <w:rPr>
          <w:spacing w:val="-4"/>
          <w:sz w:val="20"/>
          <w:vertAlign w:val="baseline"/>
        </w:rPr>
        <w:t> </w:t>
      </w:r>
      <w:r>
        <w:rPr>
          <w:sz w:val="20"/>
          <w:vertAlign w:val="baseline"/>
        </w:rPr>
        <w:t>as</w:t>
      </w:r>
      <w:r>
        <w:rPr>
          <w:spacing w:val="2"/>
          <w:sz w:val="20"/>
          <w:vertAlign w:val="baseline"/>
        </w:rPr>
        <w:t> </w:t>
      </w:r>
      <w:r>
        <w:rPr>
          <w:sz w:val="20"/>
          <w:vertAlign w:val="baseline"/>
        </w:rPr>
        <w:t>in</w:t>
      </w:r>
      <w:r>
        <w:rPr>
          <w:spacing w:val="-4"/>
          <w:sz w:val="20"/>
          <w:vertAlign w:val="baseline"/>
        </w:rPr>
        <w:t> </w:t>
      </w:r>
      <w:r>
        <w:rPr>
          <w:sz w:val="20"/>
          <w:vertAlign w:val="baseline"/>
        </w:rPr>
        <w:t>scope, the additional technical complexity and specificity that their inclusion would require, and the issue that</w:t>
      </w:r>
      <w:r>
        <w:rPr>
          <w:spacing w:val="-12"/>
          <w:sz w:val="20"/>
          <w:vertAlign w:val="baseline"/>
        </w:rPr>
        <w:t> </w:t>
      </w:r>
      <w:r>
        <w:rPr>
          <w:sz w:val="20"/>
          <w:vertAlign w:val="baseline"/>
        </w:rPr>
        <w:t>the</w:t>
      </w:r>
    </w:p>
    <w:p>
      <w:pPr>
        <w:pStyle w:val="BodyText"/>
        <w:rPr>
          <w:sz w:val="27"/>
        </w:rPr>
      </w:pPr>
      <w:r>
        <w:rPr/>
        <w:pict>
          <v:rect style="position:absolute;margin-left:65.183998pt;margin-top:17.515177pt;width:144.020004pt;height:.60004pt;mso-position-horizontal-relative:page;mso-position-vertical-relative:paragraph;z-index:-15646208;mso-wrap-distance-left:0;mso-wrap-distance-right:0" filled="true" fillcolor="#000000" stroked="false">
            <v:fill type="solid"/>
            <w10:wrap type="topAndBottom"/>
          </v:rect>
        </w:pict>
      </w:r>
    </w:p>
    <w:p>
      <w:pPr>
        <w:pStyle w:val="BodyText"/>
        <w:spacing w:before="10"/>
        <w:rPr>
          <w:sz w:val="18"/>
        </w:rPr>
      </w:pPr>
    </w:p>
    <w:p>
      <w:pPr>
        <w:spacing w:before="96"/>
        <w:ind w:left="865" w:right="0" w:firstLine="0"/>
        <w:jc w:val="left"/>
        <w:rPr>
          <w:sz w:val="18"/>
        </w:rPr>
      </w:pPr>
      <w:r>
        <w:rPr>
          <w:position w:val="6"/>
          <w:sz w:val="13"/>
        </w:rPr>
        <w:t>143 </w:t>
      </w:r>
      <w:r>
        <w:rPr>
          <w:sz w:val="18"/>
        </w:rPr>
        <w:t>See para. 3.9</w:t>
      </w:r>
      <w:r>
        <w:rPr>
          <w:spacing w:val="3"/>
          <w:sz w:val="18"/>
        </w:rPr>
        <w:t> </w:t>
      </w:r>
      <w:r>
        <w:rPr>
          <w:sz w:val="18"/>
        </w:rPr>
        <w:t>TPG.</w:t>
      </w:r>
    </w:p>
    <w:p>
      <w:pPr>
        <w:spacing w:before="139"/>
        <w:ind w:left="865" w:right="0" w:firstLine="0"/>
        <w:jc w:val="left"/>
        <w:rPr>
          <w:sz w:val="18"/>
        </w:rPr>
      </w:pPr>
      <w:r>
        <w:rPr>
          <w:position w:val="6"/>
          <w:sz w:val="13"/>
        </w:rPr>
        <w:t>144 </w:t>
      </w:r>
      <w:r>
        <w:rPr>
          <w:sz w:val="18"/>
        </w:rPr>
        <w:t>See para. 3.9</w:t>
      </w:r>
      <w:r>
        <w:rPr>
          <w:spacing w:val="3"/>
          <w:sz w:val="18"/>
        </w:rPr>
        <w:t> </w:t>
      </w:r>
      <w:r>
        <w:rPr>
          <w:sz w:val="18"/>
        </w:rPr>
        <w:t>TPG.</w:t>
      </w:r>
    </w:p>
    <w:p>
      <w:pPr>
        <w:spacing w:before="140"/>
        <w:ind w:left="865" w:right="0" w:firstLine="0"/>
        <w:jc w:val="left"/>
        <w:rPr>
          <w:sz w:val="18"/>
        </w:rPr>
      </w:pPr>
      <w:r>
        <w:rPr>
          <w:position w:val="6"/>
          <w:sz w:val="13"/>
        </w:rPr>
        <w:t>145 </w:t>
      </w:r>
      <w:r>
        <w:rPr>
          <w:sz w:val="18"/>
        </w:rPr>
        <w:t>See para. 2.74 and 3.37 TPG.</w:t>
      </w:r>
    </w:p>
    <w:p>
      <w:pPr>
        <w:spacing w:line="278" w:lineRule="auto" w:before="111"/>
        <w:ind w:left="723" w:right="429" w:firstLine="0"/>
        <w:jc w:val="left"/>
        <w:rPr>
          <w:sz w:val="18"/>
        </w:rPr>
      </w:pPr>
      <w:r>
        <w:rPr>
          <w:position w:val="8"/>
          <w:sz w:val="14"/>
        </w:rPr>
        <w:t>146 </w:t>
      </w:r>
      <w:r>
        <w:rPr>
          <w:sz w:val="18"/>
        </w:rPr>
        <w:t>Other marketing and distribution activities might include other service providers that do not take title to the goods or businesses that do take title but perform marketing and distribution functions different than the baseline.</w:t>
      </w:r>
    </w:p>
    <w:p>
      <w:pPr>
        <w:spacing w:line="278" w:lineRule="auto" w:before="107"/>
        <w:ind w:left="865" w:right="429" w:firstLine="0"/>
        <w:jc w:val="left"/>
        <w:rPr>
          <w:sz w:val="18"/>
        </w:rPr>
      </w:pPr>
      <w:r>
        <w:rPr>
          <w:position w:val="6"/>
          <w:sz w:val="13"/>
        </w:rPr>
        <w:t>147</w:t>
      </w:r>
      <w:r>
        <w:rPr>
          <w:spacing w:val="4"/>
          <w:position w:val="6"/>
          <w:sz w:val="13"/>
        </w:rPr>
        <w:t> </w:t>
      </w:r>
      <w:r>
        <w:rPr>
          <w:sz w:val="18"/>
        </w:rPr>
        <w:t>This</w:t>
      </w:r>
      <w:r>
        <w:rPr>
          <w:spacing w:val="-8"/>
          <w:sz w:val="18"/>
        </w:rPr>
        <w:t> </w:t>
      </w:r>
      <w:r>
        <w:rPr>
          <w:sz w:val="18"/>
        </w:rPr>
        <w:t>may</w:t>
      </w:r>
      <w:r>
        <w:rPr>
          <w:spacing w:val="-11"/>
          <w:sz w:val="18"/>
        </w:rPr>
        <w:t> </w:t>
      </w:r>
      <w:r>
        <w:rPr>
          <w:sz w:val="18"/>
        </w:rPr>
        <w:t>also</w:t>
      </w:r>
      <w:r>
        <w:rPr>
          <w:spacing w:val="-9"/>
          <w:sz w:val="18"/>
        </w:rPr>
        <w:t> </w:t>
      </w:r>
      <w:r>
        <w:rPr>
          <w:sz w:val="18"/>
        </w:rPr>
        <w:t>be</w:t>
      </w:r>
      <w:r>
        <w:rPr>
          <w:spacing w:val="-11"/>
          <w:sz w:val="18"/>
        </w:rPr>
        <w:t> </w:t>
      </w:r>
      <w:r>
        <w:rPr>
          <w:sz w:val="18"/>
        </w:rPr>
        <w:t>relevant</w:t>
      </w:r>
      <w:r>
        <w:rPr>
          <w:spacing w:val="-9"/>
          <w:sz w:val="18"/>
        </w:rPr>
        <w:t> </w:t>
      </w:r>
      <w:r>
        <w:rPr>
          <w:sz w:val="18"/>
        </w:rPr>
        <w:t>for</w:t>
      </w:r>
      <w:r>
        <w:rPr>
          <w:spacing w:val="-12"/>
          <w:sz w:val="18"/>
        </w:rPr>
        <w:t> </w:t>
      </w:r>
      <w:r>
        <w:rPr>
          <w:sz w:val="18"/>
        </w:rPr>
        <w:t>other</w:t>
      </w:r>
      <w:r>
        <w:rPr>
          <w:spacing w:val="-12"/>
          <w:sz w:val="18"/>
        </w:rPr>
        <w:t> </w:t>
      </w:r>
      <w:r>
        <w:rPr>
          <w:sz w:val="18"/>
        </w:rPr>
        <w:t>entities</w:t>
      </w:r>
      <w:r>
        <w:rPr>
          <w:spacing w:val="-9"/>
          <w:sz w:val="18"/>
        </w:rPr>
        <w:t> </w:t>
      </w:r>
      <w:r>
        <w:rPr>
          <w:sz w:val="18"/>
        </w:rPr>
        <w:t>that</w:t>
      </w:r>
      <w:r>
        <w:rPr>
          <w:spacing w:val="-9"/>
          <w:sz w:val="18"/>
        </w:rPr>
        <w:t> </w:t>
      </w:r>
      <w:r>
        <w:rPr>
          <w:sz w:val="18"/>
        </w:rPr>
        <w:t>perform</w:t>
      </w:r>
      <w:r>
        <w:rPr>
          <w:spacing w:val="-8"/>
          <w:sz w:val="18"/>
        </w:rPr>
        <w:t> </w:t>
      </w:r>
      <w:r>
        <w:rPr>
          <w:sz w:val="18"/>
        </w:rPr>
        <w:t>a</w:t>
      </w:r>
      <w:r>
        <w:rPr>
          <w:spacing w:val="-11"/>
          <w:sz w:val="18"/>
        </w:rPr>
        <w:t> </w:t>
      </w:r>
      <w:r>
        <w:rPr>
          <w:sz w:val="18"/>
        </w:rPr>
        <w:t>more</w:t>
      </w:r>
      <w:r>
        <w:rPr>
          <w:spacing w:val="-9"/>
          <w:sz w:val="18"/>
        </w:rPr>
        <w:t> </w:t>
      </w:r>
      <w:r>
        <w:rPr>
          <w:sz w:val="18"/>
        </w:rPr>
        <w:t>limited</w:t>
      </w:r>
      <w:r>
        <w:rPr>
          <w:spacing w:val="-11"/>
          <w:sz w:val="18"/>
        </w:rPr>
        <w:t> </w:t>
      </w:r>
      <w:r>
        <w:rPr>
          <w:sz w:val="18"/>
        </w:rPr>
        <w:t>set</w:t>
      </w:r>
      <w:r>
        <w:rPr>
          <w:spacing w:val="-12"/>
          <w:sz w:val="18"/>
        </w:rPr>
        <w:t> </w:t>
      </w:r>
      <w:r>
        <w:rPr>
          <w:sz w:val="18"/>
        </w:rPr>
        <w:t>of</w:t>
      </w:r>
      <w:r>
        <w:rPr>
          <w:spacing w:val="-11"/>
          <w:sz w:val="18"/>
        </w:rPr>
        <w:t> </w:t>
      </w:r>
      <w:r>
        <w:rPr>
          <w:sz w:val="18"/>
        </w:rPr>
        <w:t>marketing</w:t>
      </w:r>
      <w:r>
        <w:rPr>
          <w:spacing w:val="-9"/>
          <w:sz w:val="18"/>
        </w:rPr>
        <w:t> </w:t>
      </w:r>
      <w:r>
        <w:rPr>
          <w:sz w:val="18"/>
        </w:rPr>
        <w:t>and</w:t>
      </w:r>
      <w:r>
        <w:rPr>
          <w:spacing w:val="-9"/>
          <w:sz w:val="18"/>
        </w:rPr>
        <w:t> </w:t>
      </w:r>
      <w:r>
        <w:rPr>
          <w:sz w:val="18"/>
        </w:rPr>
        <w:t>distribution</w:t>
      </w:r>
      <w:r>
        <w:rPr>
          <w:spacing w:val="-9"/>
          <w:sz w:val="18"/>
        </w:rPr>
        <w:t> </w:t>
      </w:r>
      <w:r>
        <w:rPr>
          <w:sz w:val="18"/>
        </w:rPr>
        <w:t>activities that</w:t>
      </w:r>
      <w:r>
        <w:rPr>
          <w:spacing w:val="-14"/>
          <w:sz w:val="18"/>
        </w:rPr>
        <w:t> </w:t>
      </w:r>
      <w:r>
        <w:rPr>
          <w:sz w:val="18"/>
        </w:rPr>
        <w:t>collectively</w:t>
      </w:r>
      <w:r>
        <w:rPr>
          <w:spacing w:val="-14"/>
          <w:sz w:val="18"/>
        </w:rPr>
        <w:t> </w:t>
      </w:r>
      <w:r>
        <w:rPr>
          <w:sz w:val="18"/>
        </w:rPr>
        <w:t>fall</w:t>
      </w:r>
      <w:r>
        <w:rPr>
          <w:spacing w:val="-13"/>
          <w:sz w:val="18"/>
        </w:rPr>
        <w:t> </w:t>
      </w:r>
      <w:r>
        <w:rPr>
          <w:sz w:val="18"/>
        </w:rPr>
        <w:t>below</w:t>
      </w:r>
      <w:r>
        <w:rPr>
          <w:spacing w:val="-16"/>
          <w:sz w:val="18"/>
        </w:rPr>
        <w:t> </w:t>
      </w:r>
      <w:r>
        <w:rPr>
          <w:sz w:val="18"/>
        </w:rPr>
        <w:t>the</w:t>
      </w:r>
      <w:r>
        <w:rPr>
          <w:spacing w:val="-13"/>
          <w:sz w:val="18"/>
        </w:rPr>
        <w:t> </w:t>
      </w:r>
      <w:r>
        <w:rPr>
          <w:sz w:val="18"/>
        </w:rPr>
        <w:t>required</w:t>
      </w:r>
      <w:r>
        <w:rPr>
          <w:spacing w:val="-14"/>
          <w:sz w:val="18"/>
        </w:rPr>
        <w:t> </w:t>
      </w:r>
      <w:r>
        <w:rPr>
          <w:sz w:val="18"/>
        </w:rPr>
        <w:t>set</w:t>
      </w:r>
      <w:r>
        <w:rPr>
          <w:spacing w:val="-13"/>
          <w:sz w:val="18"/>
        </w:rPr>
        <w:t> </w:t>
      </w:r>
      <w:r>
        <w:rPr>
          <w:sz w:val="18"/>
        </w:rPr>
        <w:t>of</w:t>
      </w:r>
      <w:r>
        <w:rPr>
          <w:spacing w:val="-13"/>
          <w:sz w:val="18"/>
        </w:rPr>
        <w:t> </w:t>
      </w:r>
      <w:r>
        <w:rPr>
          <w:sz w:val="18"/>
        </w:rPr>
        <w:t>baseline</w:t>
      </w:r>
      <w:r>
        <w:rPr>
          <w:spacing w:val="-14"/>
          <w:sz w:val="18"/>
        </w:rPr>
        <w:t> </w:t>
      </w:r>
      <w:r>
        <w:rPr>
          <w:sz w:val="18"/>
        </w:rPr>
        <w:t>marketing</w:t>
      </w:r>
      <w:r>
        <w:rPr>
          <w:spacing w:val="-13"/>
          <w:sz w:val="18"/>
        </w:rPr>
        <w:t> </w:t>
      </w:r>
      <w:r>
        <w:rPr>
          <w:sz w:val="18"/>
        </w:rPr>
        <w:t>and</w:t>
      </w:r>
      <w:r>
        <w:rPr>
          <w:spacing w:val="-13"/>
          <w:sz w:val="18"/>
        </w:rPr>
        <w:t> </w:t>
      </w:r>
      <w:r>
        <w:rPr>
          <w:sz w:val="18"/>
        </w:rPr>
        <w:t>distribution</w:t>
      </w:r>
      <w:r>
        <w:rPr>
          <w:spacing w:val="-14"/>
          <w:sz w:val="18"/>
        </w:rPr>
        <w:t> </w:t>
      </w:r>
      <w:r>
        <w:rPr>
          <w:sz w:val="18"/>
        </w:rPr>
        <w:t>activities</w:t>
      </w:r>
      <w:r>
        <w:rPr>
          <w:spacing w:val="-12"/>
          <w:sz w:val="18"/>
        </w:rPr>
        <w:t> </w:t>
      </w:r>
      <w:r>
        <w:rPr>
          <w:sz w:val="18"/>
        </w:rPr>
        <w:t>to</w:t>
      </w:r>
      <w:r>
        <w:rPr>
          <w:spacing w:val="-13"/>
          <w:sz w:val="18"/>
        </w:rPr>
        <w:t> </w:t>
      </w:r>
      <w:r>
        <w:rPr>
          <w:sz w:val="18"/>
        </w:rPr>
        <w:t>be</w:t>
      </w:r>
      <w:r>
        <w:rPr>
          <w:spacing w:val="-13"/>
          <w:sz w:val="18"/>
        </w:rPr>
        <w:t> </w:t>
      </w:r>
      <w:r>
        <w:rPr>
          <w:sz w:val="18"/>
        </w:rPr>
        <w:t>considered</w:t>
      </w:r>
      <w:r>
        <w:rPr>
          <w:spacing w:val="-13"/>
          <w:sz w:val="18"/>
        </w:rPr>
        <w:t> </w:t>
      </w:r>
      <w:r>
        <w:rPr>
          <w:sz w:val="18"/>
        </w:rPr>
        <w:t>in</w:t>
      </w:r>
      <w:r>
        <w:rPr>
          <w:spacing w:val="-12"/>
          <w:sz w:val="18"/>
        </w:rPr>
        <w:t> </w:t>
      </w:r>
      <w:r>
        <w:rPr>
          <w:sz w:val="18"/>
        </w:rPr>
        <w:t>scope.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35"/>
        <w:jc w:val="both"/>
      </w:pPr>
      <w:r>
        <w:rPr/>
        <w:t>inclusion of both of these models would render it more difficult to reach consensus. Subject to the overall direction of the work on amount B, further work would then need to be undertaken to assess the feasibility of</w:t>
      </w:r>
      <w:r>
        <w:rPr>
          <w:spacing w:val="-9"/>
        </w:rPr>
        <w:t> </w:t>
      </w:r>
      <w:r>
        <w:rPr/>
        <w:t>including</w:t>
      </w:r>
      <w:r>
        <w:rPr>
          <w:spacing w:val="-9"/>
        </w:rPr>
        <w:t> </w:t>
      </w:r>
      <w:r>
        <w:rPr/>
        <w:t>commissionaires,</w:t>
      </w:r>
      <w:r>
        <w:rPr>
          <w:spacing w:val="-11"/>
        </w:rPr>
        <w:t> </w:t>
      </w:r>
      <w:r>
        <w:rPr/>
        <w:t>sales</w:t>
      </w:r>
      <w:r>
        <w:rPr>
          <w:spacing w:val="-9"/>
        </w:rPr>
        <w:t> </w:t>
      </w:r>
      <w:r>
        <w:rPr/>
        <w:t>agents</w:t>
      </w:r>
      <w:r>
        <w:rPr>
          <w:spacing w:val="-9"/>
        </w:rPr>
        <w:t> </w:t>
      </w:r>
      <w:r>
        <w:rPr/>
        <w:t>and</w:t>
      </w:r>
      <w:r>
        <w:rPr>
          <w:spacing w:val="-11"/>
        </w:rPr>
        <w:t> </w:t>
      </w:r>
      <w:r>
        <w:rPr/>
        <w:t>other</w:t>
      </w:r>
      <w:r>
        <w:rPr>
          <w:spacing w:val="-10"/>
        </w:rPr>
        <w:t> </w:t>
      </w:r>
      <w:r>
        <w:rPr/>
        <w:t>businesses</w:t>
      </w:r>
      <w:r>
        <w:rPr>
          <w:spacing w:val="-9"/>
        </w:rPr>
        <w:t> </w:t>
      </w:r>
      <w:r>
        <w:rPr/>
        <w:t>that</w:t>
      </w:r>
      <w:r>
        <w:rPr>
          <w:spacing w:val="-11"/>
        </w:rPr>
        <w:t> </w:t>
      </w:r>
      <w:r>
        <w:rPr/>
        <w:t>perform</w:t>
      </w:r>
      <w:r>
        <w:rPr>
          <w:spacing w:val="-6"/>
        </w:rPr>
        <w:t> </w:t>
      </w:r>
      <w:r>
        <w:rPr/>
        <w:t>non-baseline</w:t>
      </w:r>
      <w:r>
        <w:rPr>
          <w:spacing w:val="-11"/>
        </w:rPr>
        <w:t> </w:t>
      </w:r>
      <w:r>
        <w:rPr/>
        <w:t>marketing</w:t>
      </w:r>
      <w:r>
        <w:rPr>
          <w:spacing w:val="-8"/>
        </w:rPr>
        <w:t> </w:t>
      </w:r>
      <w:r>
        <w:rPr/>
        <w:t>and distribution</w:t>
      </w:r>
      <w:r>
        <w:rPr>
          <w:spacing w:val="-7"/>
        </w:rPr>
        <w:t> </w:t>
      </w:r>
      <w:r>
        <w:rPr/>
        <w:t>activities</w:t>
      </w:r>
      <w:r>
        <w:rPr>
          <w:spacing w:val="-5"/>
        </w:rPr>
        <w:t> </w:t>
      </w:r>
      <w:r>
        <w:rPr/>
        <w:t>in</w:t>
      </w:r>
      <w:r>
        <w:rPr>
          <w:spacing w:val="-7"/>
        </w:rPr>
        <w:t> </w:t>
      </w:r>
      <w:r>
        <w:rPr/>
        <w:t>scope</w:t>
      </w:r>
      <w:r>
        <w:rPr>
          <w:spacing w:val="-6"/>
        </w:rPr>
        <w:t> </w:t>
      </w:r>
      <w:r>
        <w:rPr/>
        <w:t>of</w:t>
      </w:r>
      <w:r>
        <w:rPr>
          <w:spacing w:val="-5"/>
        </w:rPr>
        <w:t> </w:t>
      </w:r>
      <w:r>
        <w:rPr/>
        <w:t>Amount</w:t>
      </w:r>
      <w:r>
        <w:rPr>
          <w:spacing w:val="-7"/>
        </w:rPr>
        <w:t> </w:t>
      </w:r>
      <w:r>
        <w:rPr/>
        <w:t>B.</w:t>
      </w:r>
      <w:r>
        <w:rPr>
          <w:spacing w:val="-6"/>
        </w:rPr>
        <w:t> </w:t>
      </w:r>
      <w:r>
        <w:rPr/>
        <w:t>If</w:t>
      </w:r>
      <w:r>
        <w:rPr>
          <w:spacing w:val="-4"/>
        </w:rPr>
        <w:t> </w:t>
      </w:r>
      <w:r>
        <w:rPr/>
        <w:t>they</w:t>
      </w:r>
      <w:r>
        <w:rPr>
          <w:spacing w:val="-10"/>
        </w:rPr>
        <w:t> </w:t>
      </w:r>
      <w:r>
        <w:rPr/>
        <w:t>are</w:t>
      </w:r>
      <w:r>
        <w:rPr>
          <w:spacing w:val="-6"/>
        </w:rPr>
        <w:t> </w:t>
      </w:r>
      <w:r>
        <w:rPr/>
        <w:t>included</w:t>
      </w:r>
      <w:r>
        <w:rPr>
          <w:spacing w:val="-5"/>
        </w:rPr>
        <w:t> </w:t>
      </w:r>
      <w:r>
        <w:rPr/>
        <w:t>in</w:t>
      </w:r>
      <w:r>
        <w:rPr>
          <w:spacing w:val="-7"/>
        </w:rPr>
        <w:t> </w:t>
      </w:r>
      <w:r>
        <w:rPr/>
        <w:t>scope,</w:t>
      </w:r>
      <w:r>
        <w:rPr>
          <w:spacing w:val="-6"/>
        </w:rPr>
        <w:t> </w:t>
      </w:r>
      <w:r>
        <w:rPr/>
        <w:t>it</w:t>
      </w:r>
      <w:r>
        <w:rPr>
          <w:spacing w:val="-4"/>
        </w:rPr>
        <w:t> </w:t>
      </w:r>
      <w:r>
        <w:rPr/>
        <w:t>will</w:t>
      </w:r>
      <w:r>
        <w:rPr>
          <w:spacing w:val="-7"/>
        </w:rPr>
        <w:t> </w:t>
      </w:r>
      <w:r>
        <w:rPr/>
        <w:t>be</w:t>
      </w:r>
      <w:r>
        <w:rPr>
          <w:spacing w:val="-6"/>
        </w:rPr>
        <w:t> </w:t>
      </w:r>
      <w:r>
        <w:rPr/>
        <w:t>appropriate</w:t>
      </w:r>
      <w:r>
        <w:rPr>
          <w:spacing w:val="-6"/>
        </w:rPr>
        <w:t> </w:t>
      </w:r>
      <w:r>
        <w:rPr/>
        <w:t>to</w:t>
      </w:r>
      <w:r>
        <w:rPr>
          <w:spacing w:val="-7"/>
        </w:rPr>
        <w:t> </w:t>
      </w:r>
      <w:r>
        <w:rPr/>
        <w:t>determine commensurate remuneration under Amount B that is consistent with the ALP. Some members of the Inclusive Framework favour a broader scope inclusive of commissionaires and sales agents, whereas others prefer the current narrow scoping criteria. For example, some members want commissionaires and sales agents to be included within the scope of Amount B because they think that there is only a thin line that separates commissionaires and sales agents from entities that perform routine marketing and distribution activities. Further technical work will be carried out to evaluate this</w:t>
      </w:r>
      <w:r>
        <w:rPr>
          <w:spacing w:val="-18"/>
        </w:rPr>
        <w:t> </w:t>
      </w:r>
      <w:r>
        <w:rPr/>
        <w:t>issue.</w:t>
      </w:r>
    </w:p>
    <w:p>
      <w:pPr>
        <w:pStyle w:val="BodyText"/>
        <w:spacing w:before="5"/>
        <w:rPr>
          <w:sz w:val="23"/>
        </w:rPr>
      </w:pPr>
    </w:p>
    <w:p>
      <w:pPr>
        <w:pStyle w:val="Heading6"/>
        <w:numPr>
          <w:ilvl w:val="2"/>
          <w:numId w:val="73"/>
        </w:numPr>
        <w:tabs>
          <w:tab w:pos="2015" w:val="left" w:leader="none"/>
        </w:tabs>
        <w:spacing w:line="240" w:lineRule="auto" w:before="0" w:after="0"/>
        <w:ind w:left="2014" w:right="0" w:hanging="613"/>
        <w:jc w:val="left"/>
        <w:rPr>
          <w:i/>
        </w:rPr>
      </w:pPr>
      <w:bookmarkStart w:name="8.2.2. Quantum" w:id="397"/>
      <w:bookmarkEnd w:id="397"/>
      <w:r>
        <w:rPr>
          <w:b w:val="0"/>
          <w:i w:val="0"/>
        </w:rPr>
      </w:r>
      <w:bookmarkStart w:name="8.2.2. Quantum" w:id="398"/>
      <w:bookmarkEnd w:id="398"/>
      <w:r>
        <w:rPr>
          <w:i/>
        </w:rPr>
        <w:t>Qu</w:t>
      </w:r>
      <w:r>
        <w:rPr>
          <w:i/>
        </w:rPr>
        <w:t>antum</w:t>
      </w:r>
    </w:p>
    <w:p>
      <w:pPr>
        <w:pStyle w:val="BodyText"/>
        <w:spacing w:before="4"/>
        <w:rPr>
          <w:b/>
          <w:i/>
          <w:sz w:val="23"/>
        </w:rPr>
      </w:pPr>
    </w:p>
    <w:p>
      <w:pPr>
        <w:pStyle w:val="Heading7"/>
        <w:rPr>
          <w:i/>
        </w:rPr>
      </w:pPr>
      <w:bookmarkStart w:name="Structure" w:id="399"/>
      <w:bookmarkEnd w:id="399"/>
      <w:r>
        <w:rPr>
          <w:i w:val="0"/>
        </w:rPr>
      </w:r>
      <w:r>
        <w:rPr>
          <w:i/>
          <w:color w:val="616161"/>
        </w:rPr>
        <w:t>Structure</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36" w:firstLine="0"/>
        <w:jc w:val="both"/>
        <w:rPr>
          <w:sz w:val="20"/>
        </w:rPr>
      </w:pPr>
      <w:r>
        <w:rPr>
          <w:sz w:val="20"/>
        </w:rPr>
        <w:t>The fixed return provided to remunerate baseline marketing and distribution activities under Amount</w:t>
      </w:r>
      <w:r>
        <w:rPr>
          <w:spacing w:val="-6"/>
          <w:sz w:val="20"/>
        </w:rPr>
        <w:t> </w:t>
      </w:r>
      <w:r>
        <w:rPr>
          <w:sz w:val="20"/>
        </w:rPr>
        <w:t>B</w:t>
      </w:r>
      <w:r>
        <w:rPr>
          <w:spacing w:val="-4"/>
          <w:sz w:val="20"/>
        </w:rPr>
        <w:t> </w:t>
      </w:r>
      <w:r>
        <w:rPr>
          <w:sz w:val="20"/>
        </w:rPr>
        <w:t>is</w:t>
      </w:r>
      <w:r>
        <w:rPr>
          <w:spacing w:val="-4"/>
          <w:sz w:val="20"/>
        </w:rPr>
        <w:t> </w:t>
      </w:r>
      <w:r>
        <w:rPr>
          <w:sz w:val="20"/>
        </w:rPr>
        <w:t>intended</w:t>
      </w:r>
      <w:r>
        <w:rPr>
          <w:spacing w:val="-5"/>
          <w:sz w:val="20"/>
        </w:rPr>
        <w:t> </w:t>
      </w:r>
      <w:r>
        <w:rPr>
          <w:sz w:val="20"/>
        </w:rPr>
        <w:t>to</w:t>
      </w:r>
      <w:r>
        <w:rPr>
          <w:spacing w:val="-5"/>
          <w:sz w:val="20"/>
        </w:rPr>
        <w:t> </w:t>
      </w:r>
      <w:r>
        <w:rPr>
          <w:sz w:val="20"/>
        </w:rPr>
        <w:t>deliver</w:t>
      </w:r>
      <w:r>
        <w:rPr>
          <w:spacing w:val="-3"/>
          <w:sz w:val="20"/>
        </w:rPr>
        <w:t> </w:t>
      </w:r>
      <w:r>
        <w:rPr>
          <w:sz w:val="20"/>
        </w:rPr>
        <w:t>a</w:t>
      </w:r>
      <w:r>
        <w:rPr>
          <w:spacing w:val="-6"/>
          <w:sz w:val="20"/>
        </w:rPr>
        <w:t> </w:t>
      </w:r>
      <w:r>
        <w:rPr>
          <w:sz w:val="20"/>
        </w:rPr>
        <w:t>result</w:t>
      </w:r>
      <w:r>
        <w:rPr>
          <w:spacing w:val="-4"/>
          <w:sz w:val="20"/>
        </w:rPr>
        <w:t> </w:t>
      </w:r>
      <w:r>
        <w:rPr>
          <w:sz w:val="20"/>
        </w:rPr>
        <w:t>that</w:t>
      </w:r>
      <w:r>
        <w:rPr>
          <w:spacing w:val="-4"/>
          <w:sz w:val="20"/>
        </w:rPr>
        <w:t> </w:t>
      </w:r>
      <w:r>
        <w:rPr>
          <w:sz w:val="20"/>
        </w:rPr>
        <w:t>approximates</w:t>
      </w:r>
      <w:r>
        <w:rPr>
          <w:spacing w:val="-3"/>
          <w:sz w:val="20"/>
        </w:rPr>
        <w:t> </w:t>
      </w:r>
      <w:r>
        <w:rPr>
          <w:sz w:val="20"/>
        </w:rPr>
        <w:t>results</w:t>
      </w:r>
      <w:r>
        <w:rPr>
          <w:spacing w:val="-4"/>
          <w:sz w:val="20"/>
        </w:rPr>
        <w:t> </w:t>
      </w:r>
      <w:r>
        <w:rPr>
          <w:sz w:val="20"/>
        </w:rPr>
        <w:t>determined</w:t>
      </w:r>
      <w:r>
        <w:rPr>
          <w:spacing w:val="-4"/>
          <w:sz w:val="20"/>
        </w:rPr>
        <w:t> </w:t>
      </w:r>
      <w:r>
        <w:rPr>
          <w:sz w:val="20"/>
        </w:rPr>
        <w:t>in</w:t>
      </w:r>
      <w:r>
        <w:rPr>
          <w:spacing w:val="-5"/>
          <w:sz w:val="20"/>
        </w:rPr>
        <w:t> </w:t>
      </w:r>
      <w:r>
        <w:rPr>
          <w:sz w:val="20"/>
        </w:rPr>
        <w:t>accordance</w:t>
      </w:r>
      <w:r>
        <w:rPr>
          <w:spacing w:val="-2"/>
          <w:sz w:val="20"/>
        </w:rPr>
        <w:t> </w:t>
      </w:r>
      <w:r>
        <w:rPr>
          <w:sz w:val="20"/>
        </w:rPr>
        <w:t>with</w:t>
      </w:r>
      <w:r>
        <w:rPr>
          <w:spacing w:val="-1"/>
          <w:sz w:val="20"/>
        </w:rPr>
        <w:t> </w:t>
      </w:r>
      <w:r>
        <w:rPr>
          <w:sz w:val="20"/>
        </w:rPr>
        <w:t>the</w:t>
      </w:r>
      <w:r>
        <w:rPr>
          <w:spacing w:val="-3"/>
          <w:sz w:val="20"/>
        </w:rPr>
        <w:t> </w:t>
      </w:r>
      <w:r>
        <w:rPr>
          <w:sz w:val="20"/>
        </w:rPr>
        <w:t>ALP. The</w:t>
      </w:r>
      <w:r>
        <w:rPr>
          <w:spacing w:val="-9"/>
          <w:sz w:val="20"/>
        </w:rPr>
        <w:t> </w:t>
      </w:r>
      <w:r>
        <w:rPr>
          <w:sz w:val="20"/>
        </w:rPr>
        <w:t>TNMM</w:t>
      </w:r>
      <w:r>
        <w:rPr>
          <w:spacing w:val="-9"/>
          <w:sz w:val="20"/>
        </w:rPr>
        <w:t> </w:t>
      </w:r>
      <w:r>
        <w:rPr>
          <w:sz w:val="20"/>
        </w:rPr>
        <w:t>is</w:t>
      </w:r>
      <w:r>
        <w:rPr>
          <w:spacing w:val="-7"/>
          <w:sz w:val="20"/>
        </w:rPr>
        <w:t> </w:t>
      </w:r>
      <w:r>
        <w:rPr>
          <w:sz w:val="20"/>
        </w:rPr>
        <w:t>set</w:t>
      </w:r>
      <w:r>
        <w:rPr>
          <w:spacing w:val="-7"/>
          <w:sz w:val="20"/>
        </w:rPr>
        <w:t> </w:t>
      </w:r>
      <w:r>
        <w:rPr>
          <w:sz w:val="20"/>
        </w:rPr>
        <w:t>forth</w:t>
      </w:r>
      <w:r>
        <w:rPr>
          <w:spacing w:val="-8"/>
          <w:sz w:val="20"/>
        </w:rPr>
        <w:t> </w:t>
      </w:r>
      <w:r>
        <w:rPr>
          <w:sz w:val="20"/>
        </w:rPr>
        <w:t>in</w:t>
      </w:r>
      <w:r>
        <w:rPr>
          <w:spacing w:val="-9"/>
          <w:sz w:val="20"/>
        </w:rPr>
        <w:t> </w:t>
      </w:r>
      <w:r>
        <w:rPr>
          <w:sz w:val="20"/>
        </w:rPr>
        <w:t>this</w:t>
      </w:r>
      <w:r>
        <w:rPr>
          <w:spacing w:val="-7"/>
          <w:sz w:val="20"/>
        </w:rPr>
        <w:t> </w:t>
      </w:r>
      <w:r>
        <w:rPr>
          <w:sz w:val="20"/>
        </w:rPr>
        <w:t>Blueprint</w:t>
      </w:r>
      <w:r>
        <w:rPr>
          <w:spacing w:val="-7"/>
          <w:sz w:val="20"/>
        </w:rPr>
        <w:t> </w:t>
      </w:r>
      <w:r>
        <w:rPr>
          <w:sz w:val="20"/>
        </w:rPr>
        <w:t>as</w:t>
      </w:r>
      <w:r>
        <w:rPr>
          <w:spacing w:val="-4"/>
          <w:sz w:val="20"/>
        </w:rPr>
        <w:t> </w:t>
      </w:r>
      <w:r>
        <w:rPr>
          <w:sz w:val="20"/>
        </w:rPr>
        <w:t>the</w:t>
      </w:r>
      <w:r>
        <w:rPr>
          <w:spacing w:val="-8"/>
          <w:sz w:val="20"/>
        </w:rPr>
        <w:t> </w:t>
      </w:r>
      <w:r>
        <w:rPr>
          <w:sz w:val="20"/>
        </w:rPr>
        <w:t>most</w:t>
      </w:r>
      <w:r>
        <w:rPr>
          <w:spacing w:val="-9"/>
          <w:sz w:val="20"/>
        </w:rPr>
        <w:t> </w:t>
      </w:r>
      <w:r>
        <w:rPr>
          <w:sz w:val="20"/>
        </w:rPr>
        <w:t>appropriate</w:t>
      </w:r>
      <w:r>
        <w:rPr>
          <w:spacing w:val="-8"/>
          <w:sz w:val="20"/>
        </w:rPr>
        <w:t> </w:t>
      </w:r>
      <w:r>
        <w:rPr>
          <w:sz w:val="20"/>
        </w:rPr>
        <w:t>transfer</w:t>
      </w:r>
      <w:r>
        <w:rPr>
          <w:spacing w:val="-8"/>
          <w:sz w:val="20"/>
        </w:rPr>
        <w:t> </w:t>
      </w:r>
      <w:r>
        <w:rPr>
          <w:sz w:val="20"/>
        </w:rPr>
        <w:t>pricing</w:t>
      </w:r>
      <w:r>
        <w:rPr>
          <w:spacing w:val="-6"/>
          <w:sz w:val="20"/>
        </w:rPr>
        <w:t> </w:t>
      </w:r>
      <w:r>
        <w:rPr>
          <w:sz w:val="20"/>
        </w:rPr>
        <w:t>method</w:t>
      </w:r>
      <w:r>
        <w:rPr>
          <w:spacing w:val="-7"/>
          <w:sz w:val="20"/>
        </w:rPr>
        <w:t> </w:t>
      </w:r>
      <w:r>
        <w:rPr>
          <w:sz w:val="20"/>
        </w:rPr>
        <w:t>associated</w:t>
      </w:r>
      <w:r>
        <w:rPr>
          <w:spacing w:val="-7"/>
          <w:sz w:val="20"/>
        </w:rPr>
        <w:t> </w:t>
      </w:r>
      <w:r>
        <w:rPr>
          <w:sz w:val="20"/>
        </w:rPr>
        <w:t>with</w:t>
      </w:r>
      <w:r>
        <w:rPr>
          <w:spacing w:val="-6"/>
          <w:sz w:val="20"/>
        </w:rPr>
        <w:t> </w:t>
      </w:r>
      <w:r>
        <w:rPr>
          <w:sz w:val="20"/>
        </w:rPr>
        <w:t>the adequate remuneration for the baseline marketing and distribution activities performed by distribution entities in scope of Amount B. For example, net profit indicators are less affected by transactional differences</w:t>
      </w:r>
      <w:r>
        <w:rPr>
          <w:spacing w:val="-10"/>
          <w:sz w:val="20"/>
        </w:rPr>
        <w:t> </w:t>
      </w:r>
      <w:r>
        <w:rPr>
          <w:sz w:val="20"/>
        </w:rPr>
        <w:t>and</w:t>
      </w:r>
      <w:r>
        <w:rPr>
          <w:spacing w:val="-11"/>
          <w:sz w:val="20"/>
        </w:rPr>
        <w:t> </w:t>
      </w:r>
      <w:r>
        <w:rPr>
          <w:sz w:val="20"/>
        </w:rPr>
        <w:t>more</w:t>
      </w:r>
      <w:r>
        <w:rPr>
          <w:spacing w:val="-10"/>
          <w:sz w:val="20"/>
        </w:rPr>
        <w:t> </w:t>
      </w:r>
      <w:r>
        <w:rPr>
          <w:sz w:val="20"/>
        </w:rPr>
        <w:t>tolerant</w:t>
      </w:r>
      <w:r>
        <w:rPr>
          <w:spacing w:val="-12"/>
          <w:sz w:val="20"/>
        </w:rPr>
        <w:t> </w:t>
      </w:r>
      <w:r>
        <w:rPr>
          <w:sz w:val="20"/>
        </w:rPr>
        <w:t>to</w:t>
      </w:r>
      <w:r>
        <w:rPr>
          <w:spacing w:val="-11"/>
          <w:sz w:val="20"/>
        </w:rPr>
        <w:t> </w:t>
      </w:r>
      <w:r>
        <w:rPr>
          <w:sz w:val="20"/>
        </w:rPr>
        <w:t>some</w:t>
      </w:r>
      <w:r>
        <w:rPr>
          <w:spacing w:val="-11"/>
          <w:sz w:val="20"/>
        </w:rPr>
        <w:t> </w:t>
      </w:r>
      <w:r>
        <w:rPr>
          <w:sz w:val="20"/>
        </w:rPr>
        <w:t>functional</w:t>
      </w:r>
      <w:r>
        <w:rPr>
          <w:spacing w:val="-11"/>
          <w:sz w:val="20"/>
        </w:rPr>
        <w:t> </w:t>
      </w:r>
      <w:r>
        <w:rPr>
          <w:sz w:val="20"/>
        </w:rPr>
        <w:t>differences</w:t>
      </w:r>
      <w:r>
        <w:rPr>
          <w:spacing w:val="-10"/>
          <w:sz w:val="20"/>
        </w:rPr>
        <w:t> </w:t>
      </w:r>
      <w:r>
        <w:rPr>
          <w:sz w:val="20"/>
        </w:rPr>
        <w:t>between</w:t>
      </w:r>
      <w:r>
        <w:rPr>
          <w:spacing w:val="-11"/>
          <w:sz w:val="20"/>
        </w:rPr>
        <w:t> </w:t>
      </w:r>
      <w:r>
        <w:rPr>
          <w:sz w:val="20"/>
        </w:rPr>
        <w:t>the</w:t>
      </w:r>
      <w:r>
        <w:rPr>
          <w:spacing w:val="-11"/>
          <w:sz w:val="20"/>
        </w:rPr>
        <w:t> </w:t>
      </w:r>
      <w:r>
        <w:rPr>
          <w:sz w:val="20"/>
        </w:rPr>
        <w:t>transactions</w:t>
      </w:r>
      <w:r>
        <w:rPr>
          <w:spacing w:val="-9"/>
          <w:sz w:val="20"/>
        </w:rPr>
        <w:t> </w:t>
      </w:r>
      <w:r>
        <w:rPr>
          <w:sz w:val="20"/>
        </w:rPr>
        <w:t>being</w:t>
      </w:r>
      <w:r>
        <w:rPr>
          <w:spacing w:val="-12"/>
          <w:sz w:val="20"/>
        </w:rPr>
        <w:t> </w:t>
      </w:r>
      <w:r>
        <w:rPr>
          <w:sz w:val="20"/>
        </w:rPr>
        <w:t>compared).</w:t>
      </w:r>
      <w:r>
        <w:rPr>
          <w:sz w:val="20"/>
          <w:vertAlign w:val="superscript"/>
        </w:rPr>
        <w:t>148</w:t>
      </w:r>
    </w:p>
    <w:p>
      <w:pPr>
        <w:pStyle w:val="ListParagraph"/>
        <w:numPr>
          <w:ilvl w:val="0"/>
          <w:numId w:val="13"/>
        </w:numPr>
        <w:tabs>
          <w:tab w:pos="1444" w:val="left" w:leader="none"/>
        </w:tabs>
        <w:spacing w:line="271" w:lineRule="auto" w:before="116" w:after="0"/>
        <w:ind w:left="723" w:right="434" w:firstLine="0"/>
        <w:jc w:val="both"/>
        <w:rPr>
          <w:sz w:val="20"/>
        </w:rPr>
      </w:pPr>
      <w:r>
        <w:rPr>
          <w:sz w:val="20"/>
        </w:rPr>
        <w:t>For</w:t>
      </w:r>
      <w:r>
        <w:rPr>
          <w:spacing w:val="-8"/>
          <w:sz w:val="20"/>
        </w:rPr>
        <w:t> </w:t>
      </w:r>
      <w:r>
        <w:rPr>
          <w:sz w:val="20"/>
        </w:rPr>
        <w:t>the</w:t>
      </w:r>
      <w:r>
        <w:rPr>
          <w:spacing w:val="-8"/>
          <w:sz w:val="20"/>
        </w:rPr>
        <w:t> </w:t>
      </w:r>
      <w:r>
        <w:rPr>
          <w:sz w:val="20"/>
        </w:rPr>
        <w:t>appropriate</w:t>
      </w:r>
      <w:r>
        <w:rPr>
          <w:spacing w:val="-8"/>
          <w:sz w:val="20"/>
        </w:rPr>
        <w:t> </w:t>
      </w:r>
      <w:r>
        <w:rPr>
          <w:sz w:val="20"/>
        </w:rPr>
        <w:t>profit</w:t>
      </w:r>
      <w:r>
        <w:rPr>
          <w:spacing w:val="-8"/>
          <w:sz w:val="20"/>
        </w:rPr>
        <w:t> </w:t>
      </w:r>
      <w:r>
        <w:rPr>
          <w:sz w:val="20"/>
        </w:rPr>
        <w:t>level</w:t>
      </w:r>
      <w:r>
        <w:rPr>
          <w:spacing w:val="-9"/>
          <w:sz w:val="20"/>
        </w:rPr>
        <w:t> </w:t>
      </w:r>
      <w:r>
        <w:rPr>
          <w:sz w:val="20"/>
        </w:rPr>
        <w:t>indicator,</w:t>
      </w:r>
      <w:r>
        <w:rPr>
          <w:spacing w:val="-7"/>
          <w:sz w:val="20"/>
        </w:rPr>
        <w:t> </w:t>
      </w:r>
      <w:r>
        <w:rPr>
          <w:sz w:val="20"/>
        </w:rPr>
        <w:t>a</w:t>
      </w:r>
      <w:r>
        <w:rPr>
          <w:spacing w:val="-8"/>
          <w:sz w:val="20"/>
        </w:rPr>
        <w:t> </w:t>
      </w:r>
      <w:r>
        <w:rPr>
          <w:sz w:val="20"/>
        </w:rPr>
        <w:t>return</w:t>
      </w:r>
      <w:r>
        <w:rPr>
          <w:spacing w:val="-8"/>
          <w:sz w:val="20"/>
        </w:rPr>
        <w:t> </w:t>
      </w:r>
      <w:r>
        <w:rPr>
          <w:sz w:val="20"/>
        </w:rPr>
        <w:t>on</w:t>
      </w:r>
      <w:r>
        <w:rPr>
          <w:spacing w:val="-8"/>
          <w:sz w:val="20"/>
        </w:rPr>
        <w:t> </w:t>
      </w:r>
      <w:r>
        <w:rPr>
          <w:sz w:val="20"/>
        </w:rPr>
        <w:t>sales</w:t>
      </w:r>
      <w:r>
        <w:rPr>
          <w:spacing w:val="-3"/>
          <w:sz w:val="20"/>
        </w:rPr>
        <w:t> </w:t>
      </w:r>
      <w:r>
        <w:rPr>
          <w:sz w:val="20"/>
        </w:rPr>
        <w:t>could</w:t>
      </w:r>
      <w:r>
        <w:rPr>
          <w:spacing w:val="-8"/>
          <w:sz w:val="20"/>
        </w:rPr>
        <w:t> </w:t>
      </w:r>
      <w:r>
        <w:rPr>
          <w:sz w:val="20"/>
        </w:rPr>
        <w:t>be</w:t>
      </w:r>
      <w:r>
        <w:rPr>
          <w:spacing w:val="-7"/>
          <w:sz w:val="20"/>
        </w:rPr>
        <w:t> </w:t>
      </w:r>
      <w:r>
        <w:rPr>
          <w:sz w:val="20"/>
        </w:rPr>
        <w:t>used</w:t>
      </w:r>
      <w:r>
        <w:rPr>
          <w:sz w:val="20"/>
          <w:vertAlign w:val="superscript"/>
        </w:rPr>
        <w:t>149</w:t>
      </w:r>
      <w:r>
        <w:rPr>
          <w:spacing w:val="-8"/>
          <w:sz w:val="20"/>
          <w:vertAlign w:val="baseline"/>
        </w:rPr>
        <w:t> </w:t>
      </w:r>
      <w:r>
        <w:rPr>
          <w:sz w:val="20"/>
          <w:vertAlign w:val="baseline"/>
        </w:rPr>
        <w:t>as</w:t>
      </w:r>
      <w:r>
        <w:rPr>
          <w:spacing w:val="-7"/>
          <w:sz w:val="20"/>
          <w:vertAlign w:val="baseline"/>
        </w:rPr>
        <w:t> </w:t>
      </w:r>
      <w:r>
        <w:rPr>
          <w:sz w:val="20"/>
          <w:vertAlign w:val="baseline"/>
        </w:rPr>
        <w:t>a</w:t>
      </w:r>
      <w:r>
        <w:rPr>
          <w:spacing w:val="-8"/>
          <w:sz w:val="20"/>
          <w:vertAlign w:val="baseline"/>
        </w:rPr>
        <w:t> </w:t>
      </w:r>
      <w:r>
        <w:rPr>
          <w:sz w:val="20"/>
          <w:vertAlign w:val="baseline"/>
        </w:rPr>
        <w:t>fixed</w:t>
      </w:r>
      <w:r>
        <w:rPr>
          <w:spacing w:val="-11"/>
          <w:sz w:val="20"/>
          <w:vertAlign w:val="baseline"/>
        </w:rPr>
        <w:t> </w:t>
      </w:r>
      <w:r>
        <w:rPr>
          <w:sz w:val="20"/>
          <w:vertAlign w:val="baseline"/>
        </w:rPr>
        <w:t>return</w:t>
      </w:r>
      <w:r>
        <w:rPr>
          <w:spacing w:val="-8"/>
          <w:sz w:val="20"/>
          <w:vertAlign w:val="baseline"/>
        </w:rPr>
        <w:t> </w:t>
      </w:r>
      <w:r>
        <w:rPr>
          <w:sz w:val="20"/>
          <w:vertAlign w:val="baseline"/>
        </w:rPr>
        <w:t>for</w:t>
      </w:r>
      <w:r>
        <w:rPr>
          <w:spacing w:val="-7"/>
          <w:sz w:val="20"/>
          <w:vertAlign w:val="baseline"/>
        </w:rPr>
        <w:t> </w:t>
      </w:r>
      <w:r>
        <w:rPr>
          <w:sz w:val="20"/>
          <w:vertAlign w:val="baseline"/>
        </w:rPr>
        <w:t>the transactions in scope and with the numerator to be defined based on further technical work (e.g. EBIT or EBT).</w:t>
      </w:r>
      <w:r>
        <w:rPr>
          <w:spacing w:val="-13"/>
          <w:sz w:val="20"/>
          <w:vertAlign w:val="baseline"/>
        </w:rPr>
        <w:t> </w:t>
      </w:r>
      <w:r>
        <w:rPr>
          <w:sz w:val="20"/>
          <w:vertAlign w:val="baseline"/>
        </w:rPr>
        <w:t>Further</w:t>
      </w:r>
      <w:r>
        <w:rPr>
          <w:spacing w:val="-9"/>
          <w:sz w:val="20"/>
          <w:vertAlign w:val="baseline"/>
        </w:rPr>
        <w:t> </w:t>
      </w:r>
      <w:r>
        <w:rPr>
          <w:sz w:val="20"/>
          <w:vertAlign w:val="baseline"/>
        </w:rPr>
        <w:t>work</w:t>
      </w:r>
      <w:r>
        <w:rPr>
          <w:spacing w:val="-7"/>
          <w:sz w:val="20"/>
          <w:vertAlign w:val="baseline"/>
        </w:rPr>
        <w:t> </w:t>
      </w:r>
      <w:r>
        <w:rPr>
          <w:sz w:val="20"/>
          <w:vertAlign w:val="baseline"/>
        </w:rPr>
        <w:t>would</w:t>
      </w:r>
      <w:r>
        <w:rPr>
          <w:spacing w:val="-13"/>
          <w:sz w:val="20"/>
          <w:vertAlign w:val="baseline"/>
        </w:rPr>
        <w:t> </w:t>
      </w:r>
      <w:r>
        <w:rPr>
          <w:sz w:val="20"/>
          <w:vertAlign w:val="baseline"/>
        </w:rPr>
        <w:t>also</w:t>
      </w:r>
      <w:r>
        <w:rPr>
          <w:spacing w:val="-11"/>
          <w:sz w:val="20"/>
          <w:vertAlign w:val="baseline"/>
        </w:rPr>
        <w:t> </w:t>
      </w:r>
      <w:r>
        <w:rPr>
          <w:sz w:val="20"/>
          <w:vertAlign w:val="baseline"/>
        </w:rPr>
        <w:t>consider</w:t>
      </w:r>
      <w:r>
        <w:rPr>
          <w:spacing w:val="-9"/>
          <w:sz w:val="20"/>
          <w:vertAlign w:val="baseline"/>
        </w:rPr>
        <w:t> </w:t>
      </w:r>
      <w:r>
        <w:rPr>
          <w:sz w:val="20"/>
          <w:vertAlign w:val="baseline"/>
        </w:rPr>
        <w:t>what</w:t>
      </w:r>
      <w:r>
        <w:rPr>
          <w:spacing w:val="-10"/>
          <w:sz w:val="20"/>
          <w:vertAlign w:val="baseline"/>
        </w:rPr>
        <w:t> </w:t>
      </w:r>
      <w:r>
        <w:rPr>
          <w:sz w:val="20"/>
          <w:vertAlign w:val="baseline"/>
        </w:rPr>
        <w:t>is</w:t>
      </w:r>
      <w:r>
        <w:rPr>
          <w:spacing w:val="-11"/>
          <w:sz w:val="20"/>
          <w:vertAlign w:val="baseline"/>
        </w:rPr>
        <w:t> </w:t>
      </w:r>
      <w:r>
        <w:rPr>
          <w:sz w:val="20"/>
          <w:vertAlign w:val="baseline"/>
        </w:rPr>
        <w:t>included</w:t>
      </w:r>
      <w:r>
        <w:rPr>
          <w:spacing w:val="-13"/>
          <w:sz w:val="20"/>
          <w:vertAlign w:val="baseline"/>
        </w:rPr>
        <w:t> </w:t>
      </w:r>
      <w:r>
        <w:rPr>
          <w:sz w:val="20"/>
          <w:vertAlign w:val="baseline"/>
        </w:rPr>
        <w:t>in</w:t>
      </w:r>
      <w:r>
        <w:rPr>
          <w:spacing w:val="-10"/>
          <w:sz w:val="20"/>
          <w:vertAlign w:val="baseline"/>
        </w:rPr>
        <w:t> </w:t>
      </w:r>
      <w:r>
        <w:rPr>
          <w:sz w:val="20"/>
          <w:vertAlign w:val="baseline"/>
        </w:rPr>
        <w:t>the</w:t>
      </w:r>
      <w:r>
        <w:rPr>
          <w:spacing w:val="-10"/>
          <w:sz w:val="20"/>
          <w:vertAlign w:val="baseline"/>
        </w:rPr>
        <w:t> </w:t>
      </w:r>
      <w:r>
        <w:rPr>
          <w:sz w:val="20"/>
          <w:vertAlign w:val="baseline"/>
        </w:rPr>
        <w:t>denominators</w:t>
      </w:r>
      <w:r>
        <w:rPr>
          <w:spacing w:val="-11"/>
          <w:sz w:val="20"/>
          <w:vertAlign w:val="baseline"/>
        </w:rPr>
        <w:t> </w:t>
      </w:r>
      <w:r>
        <w:rPr>
          <w:sz w:val="20"/>
          <w:vertAlign w:val="baseline"/>
        </w:rPr>
        <w:t>of</w:t>
      </w:r>
      <w:r>
        <w:rPr>
          <w:spacing w:val="-11"/>
          <w:sz w:val="20"/>
          <w:vertAlign w:val="baseline"/>
        </w:rPr>
        <w:t> </w:t>
      </w:r>
      <w:r>
        <w:rPr>
          <w:sz w:val="20"/>
          <w:vertAlign w:val="baseline"/>
        </w:rPr>
        <w:t>the</w:t>
      </w:r>
      <w:r>
        <w:rPr>
          <w:spacing w:val="-11"/>
          <w:sz w:val="20"/>
          <w:vertAlign w:val="baseline"/>
        </w:rPr>
        <w:t> </w:t>
      </w:r>
      <w:r>
        <w:rPr>
          <w:sz w:val="20"/>
          <w:vertAlign w:val="baseline"/>
        </w:rPr>
        <w:t>various</w:t>
      </w:r>
      <w:r>
        <w:rPr>
          <w:spacing w:val="-11"/>
          <w:sz w:val="20"/>
          <w:vertAlign w:val="baseline"/>
        </w:rPr>
        <w:t> </w:t>
      </w:r>
      <w:r>
        <w:rPr>
          <w:sz w:val="20"/>
          <w:vertAlign w:val="baseline"/>
        </w:rPr>
        <w:t>profit</w:t>
      </w:r>
      <w:r>
        <w:rPr>
          <w:spacing w:val="-10"/>
          <w:sz w:val="20"/>
          <w:vertAlign w:val="baseline"/>
        </w:rPr>
        <w:t> </w:t>
      </w:r>
      <w:r>
        <w:rPr>
          <w:sz w:val="20"/>
          <w:vertAlign w:val="baseline"/>
        </w:rPr>
        <w:t>indicators that are specified under this approach (e.g. whether revenue should include product returns and refunds and foreign currency gains and</w:t>
      </w:r>
      <w:r>
        <w:rPr>
          <w:spacing w:val="-6"/>
          <w:sz w:val="20"/>
          <w:vertAlign w:val="baseline"/>
        </w:rPr>
        <w:t> </w:t>
      </w:r>
      <w:r>
        <w:rPr>
          <w:sz w:val="20"/>
          <w:vertAlign w:val="baseline"/>
        </w:rPr>
        <w:t>losses).</w:t>
      </w:r>
    </w:p>
    <w:p>
      <w:pPr>
        <w:pStyle w:val="ListParagraph"/>
        <w:numPr>
          <w:ilvl w:val="0"/>
          <w:numId w:val="13"/>
        </w:numPr>
        <w:tabs>
          <w:tab w:pos="1444" w:val="left" w:leader="none"/>
        </w:tabs>
        <w:spacing w:line="271" w:lineRule="auto" w:before="127" w:after="0"/>
        <w:ind w:left="723" w:right="435" w:firstLine="0"/>
        <w:jc w:val="both"/>
        <w:rPr>
          <w:sz w:val="20"/>
        </w:rPr>
      </w:pPr>
      <w:r>
        <w:rPr>
          <w:sz w:val="20"/>
        </w:rPr>
        <w:t>Under one proposal, Amount B would operate on the basis of a rebuttable presumption, namely that</w:t>
      </w:r>
      <w:r>
        <w:rPr>
          <w:spacing w:val="-5"/>
          <w:sz w:val="20"/>
        </w:rPr>
        <w:t> </w:t>
      </w:r>
      <w:r>
        <w:rPr>
          <w:sz w:val="20"/>
        </w:rPr>
        <w:t>a</w:t>
      </w:r>
      <w:r>
        <w:rPr>
          <w:spacing w:val="-4"/>
          <w:sz w:val="20"/>
        </w:rPr>
        <w:t> </w:t>
      </w:r>
      <w:r>
        <w:rPr>
          <w:sz w:val="20"/>
        </w:rPr>
        <w:t>distribution</w:t>
      </w:r>
      <w:r>
        <w:rPr>
          <w:spacing w:val="-6"/>
          <w:sz w:val="20"/>
        </w:rPr>
        <w:t> </w:t>
      </w:r>
      <w:r>
        <w:rPr>
          <w:sz w:val="20"/>
        </w:rPr>
        <w:t>entity</w:t>
      </w:r>
      <w:r>
        <w:rPr>
          <w:spacing w:val="-10"/>
          <w:sz w:val="20"/>
        </w:rPr>
        <w:t> </w:t>
      </w:r>
      <w:r>
        <w:rPr>
          <w:sz w:val="20"/>
        </w:rPr>
        <w:t>that</w:t>
      </w:r>
      <w:r>
        <w:rPr>
          <w:spacing w:val="-5"/>
          <w:sz w:val="20"/>
        </w:rPr>
        <w:t> </w:t>
      </w:r>
      <w:r>
        <w:rPr>
          <w:sz w:val="20"/>
        </w:rPr>
        <w:t>acts</w:t>
      </w:r>
      <w:r>
        <w:rPr>
          <w:spacing w:val="-5"/>
          <w:sz w:val="20"/>
        </w:rPr>
        <w:t> </w:t>
      </w:r>
      <w:r>
        <w:rPr>
          <w:sz w:val="20"/>
        </w:rPr>
        <w:t>as</w:t>
      </w:r>
      <w:r>
        <w:rPr>
          <w:spacing w:val="-6"/>
          <w:sz w:val="20"/>
        </w:rPr>
        <w:t> </w:t>
      </w:r>
      <w:r>
        <w:rPr>
          <w:sz w:val="20"/>
        </w:rPr>
        <w:t>a</w:t>
      </w:r>
      <w:r>
        <w:rPr>
          <w:spacing w:val="-4"/>
          <w:sz w:val="20"/>
        </w:rPr>
        <w:t> </w:t>
      </w:r>
      <w:r>
        <w:rPr>
          <w:sz w:val="20"/>
        </w:rPr>
        <w:t>buy/sell</w:t>
      </w:r>
      <w:r>
        <w:rPr>
          <w:spacing w:val="-5"/>
          <w:sz w:val="20"/>
        </w:rPr>
        <w:t> </w:t>
      </w:r>
      <w:r>
        <w:rPr>
          <w:sz w:val="20"/>
        </w:rPr>
        <w:t>distributor</w:t>
      </w:r>
      <w:r>
        <w:rPr>
          <w:spacing w:val="-7"/>
          <w:sz w:val="20"/>
        </w:rPr>
        <w:t> </w:t>
      </w:r>
      <w:r>
        <w:rPr>
          <w:sz w:val="20"/>
        </w:rPr>
        <w:t>and</w:t>
      </w:r>
      <w:r>
        <w:rPr>
          <w:spacing w:val="-5"/>
          <w:sz w:val="20"/>
        </w:rPr>
        <w:t> </w:t>
      </w:r>
      <w:r>
        <w:rPr>
          <w:sz w:val="20"/>
        </w:rPr>
        <w:t>performs</w:t>
      </w:r>
      <w:r>
        <w:rPr>
          <w:spacing w:val="1"/>
          <w:sz w:val="20"/>
        </w:rPr>
        <w:t> </w:t>
      </w:r>
      <w:r>
        <w:rPr>
          <w:sz w:val="20"/>
        </w:rPr>
        <w:t>the</w:t>
      </w:r>
      <w:r>
        <w:rPr>
          <w:spacing w:val="-4"/>
          <w:sz w:val="20"/>
        </w:rPr>
        <w:t> </w:t>
      </w:r>
      <w:r>
        <w:rPr>
          <w:sz w:val="20"/>
        </w:rPr>
        <w:t>defined</w:t>
      </w:r>
      <w:r>
        <w:rPr>
          <w:spacing w:val="-5"/>
          <w:sz w:val="20"/>
        </w:rPr>
        <w:t> </w:t>
      </w:r>
      <w:r>
        <w:rPr>
          <w:sz w:val="20"/>
        </w:rPr>
        <w:t>baseline</w:t>
      </w:r>
      <w:r>
        <w:rPr>
          <w:spacing w:val="-3"/>
          <w:sz w:val="20"/>
        </w:rPr>
        <w:t> </w:t>
      </w:r>
      <w:r>
        <w:rPr>
          <w:sz w:val="20"/>
        </w:rPr>
        <w:t>marketing</w:t>
      </w:r>
      <w:r>
        <w:rPr>
          <w:spacing w:val="-6"/>
          <w:sz w:val="20"/>
        </w:rPr>
        <w:t> </w:t>
      </w:r>
      <w:r>
        <w:rPr>
          <w:sz w:val="20"/>
        </w:rPr>
        <w:t>and distribution</w:t>
      </w:r>
      <w:r>
        <w:rPr>
          <w:spacing w:val="-7"/>
          <w:sz w:val="20"/>
        </w:rPr>
        <w:t> </w:t>
      </w:r>
      <w:r>
        <w:rPr>
          <w:sz w:val="20"/>
        </w:rPr>
        <w:t>activities</w:t>
      </w:r>
      <w:r>
        <w:rPr>
          <w:spacing w:val="-4"/>
          <w:sz w:val="20"/>
        </w:rPr>
        <w:t> </w:t>
      </w:r>
      <w:r>
        <w:rPr>
          <w:sz w:val="20"/>
        </w:rPr>
        <w:t>qualifying</w:t>
      </w:r>
      <w:r>
        <w:rPr>
          <w:spacing w:val="-7"/>
          <w:sz w:val="20"/>
        </w:rPr>
        <w:t> </w:t>
      </w:r>
      <w:r>
        <w:rPr>
          <w:sz w:val="20"/>
        </w:rPr>
        <w:t>for</w:t>
      </w:r>
      <w:r>
        <w:rPr>
          <w:spacing w:val="-6"/>
          <w:sz w:val="20"/>
        </w:rPr>
        <w:t> </w:t>
      </w:r>
      <w:r>
        <w:rPr>
          <w:sz w:val="20"/>
        </w:rPr>
        <w:t>the</w:t>
      </w:r>
      <w:r>
        <w:rPr>
          <w:spacing w:val="-4"/>
          <w:sz w:val="20"/>
        </w:rPr>
        <w:t> </w:t>
      </w:r>
      <w:r>
        <w:rPr>
          <w:sz w:val="20"/>
        </w:rPr>
        <w:t>Amount</w:t>
      </w:r>
      <w:r>
        <w:rPr>
          <w:spacing w:val="-7"/>
          <w:sz w:val="20"/>
        </w:rPr>
        <w:t> </w:t>
      </w:r>
      <w:r>
        <w:rPr>
          <w:sz w:val="20"/>
        </w:rPr>
        <w:t>B</w:t>
      </w:r>
      <w:r>
        <w:rPr>
          <w:spacing w:val="-7"/>
          <w:sz w:val="20"/>
        </w:rPr>
        <w:t> </w:t>
      </w:r>
      <w:r>
        <w:rPr>
          <w:sz w:val="20"/>
        </w:rPr>
        <w:t>fixed</w:t>
      </w:r>
      <w:r>
        <w:rPr>
          <w:spacing w:val="-6"/>
          <w:sz w:val="20"/>
        </w:rPr>
        <w:t> </w:t>
      </w:r>
      <w:r>
        <w:rPr>
          <w:sz w:val="20"/>
        </w:rPr>
        <w:t>return</w:t>
      </w:r>
      <w:r>
        <w:rPr>
          <w:spacing w:val="-4"/>
          <w:sz w:val="20"/>
        </w:rPr>
        <w:t> </w:t>
      </w:r>
      <w:r>
        <w:rPr>
          <w:sz w:val="20"/>
        </w:rPr>
        <w:t>would</w:t>
      </w:r>
      <w:r>
        <w:rPr>
          <w:spacing w:val="-4"/>
          <w:sz w:val="20"/>
        </w:rPr>
        <w:t> </w:t>
      </w:r>
      <w:r>
        <w:rPr>
          <w:sz w:val="20"/>
        </w:rPr>
        <w:t>be</w:t>
      </w:r>
      <w:r>
        <w:rPr>
          <w:spacing w:val="-4"/>
          <w:sz w:val="20"/>
        </w:rPr>
        <w:t> </w:t>
      </w:r>
      <w:r>
        <w:rPr>
          <w:sz w:val="20"/>
        </w:rPr>
        <w:t>in</w:t>
      </w:r>
      <w:r>
        <w:rPr>
          <w:spacing w:val="-6"/>
          <w:sz w:val="20"/>
        </w:rPr>
        <w:t> </w:t>
      </w:r>
      <w:r>
        <w:rPr>
          <w:sz w:val="20"/>
        </w:rPr>
        <w:t>scope.</w:t>
      </w:r>
      <w:r>
        <w:rPr>
          <w:spacing w:val="-6"/>
          <w:sz w:val="20"/>
        </w:rPr>
        <w:t> </w:t>
      </w:r>
      <w:r>
        <w:rPr>
          <w:sz w:val="20"/>
        </w:rPr>
        <w:t>But</w:t>
      </w:r>
      <w:r>
        <w:rPr>
          <w:spacing w:val="-6"/>
          <w:sz w:val="20"/>
        </w:rPr>
        <w:t> </w:t>
      </w:r>
      <w:r>
        <w:rPr>
          <w:sz w:val="20"/>
        </w:rPr>
        <w:t>it</w:t>
      </w:r>
      <w:r>
        <w:rPr>
          <w:spacing w:val="-4"/>
          <w:sz w:val="20"/>
        </w:rPr>
        <w:t> </w:t>
      </w:r>
      <w:r>
        <w:rPr>
          <w:sz w:val="20"/>
        </w:rPr>
        <w:t>would</w:t>
      </w:r>
      <w:r>
        <w:rPr>
          <w:spacing w:val="-7"/>
          <w:sz w:val="20"/>
        </w:rPr>
        <w:t> </w:t>
      </w:r>
      <w:r>
        <w:rPr>
          <w:sz w:val="20"/>
        </w:rPr>
        <w:t>be</w:t>
      </w:r>
      <w:r>
        <w:rPr>
          <w:spacing w:val="-5"/>
          <w:sz w:val="20"/>
        </w:rPr>
        <w:t> </w:t>
      </w:r>
      <w:r>
        <w:rPr>
          <w:sz w:val="20"/>
        </w:rPr>
        <w:t>possible</w:t>
      </w:r>
      <w:r>
        <w:rPr>
          <w:spacing w:val="-7"/>
          <w:sz w:val="20"/>
        </w:rPr>
        <w:t> </w:t>
      </w:r>
      <w:r>
        <w:rPr>
          <w:sz w:val="20"/>
        </w:rPr>
        <w:t>to rebut</w:t>
      </w:r>
      <w:r>
        <w:rPr>
          <w:spacing w:val="-6"/>
          <w:sz w:val="20"/>
        </w:rPr>
        <w:t> </w:t>
      </w:r>
      <w:r>
        <w:rPr>
          <w:sz w:val="20"/>
        </w:rPr>
        <w:t>the</w:t>
      </w:r>
      <w:r>
        <w:rPr>
          <w:spacing w:val="-4"/>
          <w:sz w:val="20"/>
        </w:rPr>
        <w:t> </w:t>
      </w:r>
      <w:r>
        <w:rPr>
          <w:sz w:val="20"/>
        </w:rPr>
        <w:t>application</w:t>
      </w:r>
      <w:r>
        <w:rPr>
          <w:spacing w:val="-5"/>
          <w:sz w:val="20"/>
        </w:rPr>
        <w:t> </w:t>
      </w:r>
      <w:r>
        <w:rPr>
          <w:sz w:val="20"/>
        </w:rPr>
        <w:t>of</w:t>
      </w:r>
      <w:r>
        <w:rPr>
          <w:spacing w:val="-2"/>
          <w:sz w:val="20"/>
        </w:rPr>
        <w:t> </w:t>
      </w:r>
      <w:r>
        <w:rPr>
          <w:sz w:val="20"/>
        </w:rPr>
        <w:t>Amount</w:t>
      </w:r>
      <w:r>
        <w:rPr>
          <w:spacing w:val="-6"/>
          <w:sz w:val="20"/>
        </w:rPr>
        <w:t> </w:t>
      </w:r>
      <w:r>
        <w:rPr>
          <w:sz w:val="20"/>
        </w:rPr>
        <w:t>B by</w:t>
      </w:r>
      <w:r>
        <w:rPr>
          <w:spacing w:val="-7"/>
          <w:sz w:val="20"/>
        </w:rPr>
        <w:t> </w:t>
      </w:r>
      <w:r>
        <w:rPr>
          <w:sz w:val="20"/>
        </w:rPr>
        <w:t>providing</w:t>
      </w:r>
      <w:r>
        <w:rPr>
          <w:spacing w:val="-4"/>
          <w:sz w:val="20"/>
        </w:rPr>
        <w:t> </w:t>
      </w:r>
      <w:r>
        <w:rPr>
          <w:sz w:val="20"/>
        </w:rPr>
        <w:t>evidence</w:t>
      </w:r>
      <w:r>
        <w:rPr>
          <w:spacing w:val="-5"/>
          <w:sz w:val="20"/>
        </w:rPr>
        <w:t> </w:t>
      </w:r>
      <w:r>
        <w:rPr>
          <w:sz w:val="20"/>
        </w:rPr>
        <w:t>that</w:t>
      </w:r>
      <w:r>
        <w:rPr>
          <w:spacing w:val="-4"/>
          <w:sz w:val="20"/>
        </w:rPr>
        <w:t> </w:t>
      </w:r>
      <w:r>
        <w:rPr>
          <w:sz w:val="20"/>
        </w:rPr>
        <w:t>another</w:t>
      </w:r>
      <w:r>
        <w:rPr>
          <w:spacing w:val="-5"/>
          <w:sz w:val="20"/>
        </w:rPr>
        <w:t> </w:t>
      </w:r>
      <w:r>
        <w:rPr>
          <w:sz w:val="20"/>
        </w:rPr>
        <w:t>transfer</w:t>
      </w:r>
      <w:r>
        <w:rPr>
          <w:spacing w:val="-4"/>
          <w:sz w:val="20"/>
        </w:rPr>
        <w:t> </w:t>
      </w:r>
      <w:r>
        <w:rPr>
          <w:sz w:val="20"/>
        </w:rPr>
        <w:t>pricing</w:t>
      </w:r>
      <w:r>
        <w:rPr>
          <w:spacing w:val="-6"/>
          <w:sz w:val="20"/>
        </w:rPr>
        <w:t> </w:t>
      </w:r>
      <w:r>
        <w:rPr>
          <w:sz w:val="20"/>
        </w:rPr>
        <w:t>method</w:t>
      </w:r>
      <w:r>
        <w:rPr>
          <w:spacing w:val="-5"/>
          <w:sz w:val="20"/>
        </w:rPr>
        <w:t> </w:t>
      </w:r>
      <w:r>
        <w:rPr>
          <w:sz w:val="20"/>
        </w:rPr>
        <w:t>would</w:t>
      </w:r>
      <w:r>
        <w:rPr>
          <w:spacing w:val="-5"/>
          <w:sz w:val="20"/>
        </w:rPr>
        <w:t> </w:t>
      </w:r>
      <w:r>
        <w:rPr>
          <w:sz w:val="20"/>
        </w:rPr>
        <w:t>be</w:t>
      </w:r>
      <w:r>
        <w:rPr>
          <w:spacing w:val="-4"/>
          <w:sz w:val="20"/>
        </w:rPr>
        <w:t> </w:t>
      </w:r>
      <w:r>
        <w:rPr>
          <w:sz w:val="20"/>
        </w:rPr>
        <w:t>the most</w:t>
      </w:r>
      <w:r>
        <w:rPr>
          <w:spacing w:val="-16"/>
          <w:sz w:val="20"/>
        </w:rPr>
        <w:t> </w:t>
      </w:r>
      <w:r>
        <w:rPr>
          <w:sz w:val="20"/>
        </w:rPr>
        <w:t>appropriate</w:t>
      </w:r>
      <w:r>
        <w:rPr>
          <w:spacing w:val="-17"/>
          <w:sz w:val="20"/>
        </w:rPr>
        <w:t> </w:t>
      </w:r>
      <w:r>
        <w:rPr>
          <w:sz w:val="20"/>
        </w:rPr>
        <w:t>to</w:t>
      </w:r>
      <w:r>
        <w:rPr>
          <w:spacing w:val="-15"/>
          <w:sz w:val="20"/>
        </w:rPr>
        <w:t> </w:t>
      </w:r>
      <w:r>
        <w:rPr>
          <w:sz w:val="20"/>
        </w:rPr>
        <w:t>use</w:t>
      </w:r>
      <w:r>
        <w:rPr>
          <w:spacing w:val="-14"/>
          <w:sz w:val="20"/>
        </w:rPr>
        <w:t> </w:t>
      </w:r>
      <w:r>
        <w:rPr>
          <w:sz w:val="20"/>
        </w:rPr>
        <w:t>under</w:t>
      </w:r>
      <w:r>
        <w:rPr>
          <w:spacing w:val="-15"/>
          <w:sz w:val="20"/>
        </w:rPr>
        <w:t> </w:t>
      </w:r>
      <w:r>
        <w:rPr>
          <w:sz w:val="20"/>
        </w:rPr>
        <w:t>the</w:t>
      </w:r>
      <w:r>
        <w:rPr>
          <w:spacing w:val="-16"/>
          <w:sz w:val="20"/>
        </w:rPr>
        <w:t> </w:t>
      </w:r>
      <w:r>
        <w:rPr>
          <w:sz w:val="20"/>
        </w:rPr>
        <w:t>ALP.</w:t>
      </w:r>
      <w:r>
        <w:rPr>
          <w:sz w:val="20"/>
          <w:vertAlign w:val="superscript"/>
        </w:rPr>
        <w:t>150</w:t>
      </w:r>
      <w:r>
        <w:rPr>
          <w:spacing w:val="-16"/>
          <w:sz w:val="20"/>
          <w:vertAlign w:val="baseline"/>
        </w:rPr>
        <w:t> </w:t>
      </w:r>
      <w:r>
        <w:rPr>
          <w:sz w:val="20"/>
          <w:vertAlign w:val="baseline"/>
        </w:rPr>
        <w:t>For</w:t>
      </w:r>
      <w:r>
        <w:rPr>
          <w:spacing w:val="-15"/>
          <w:sz w:val="20"/>
          <w:vertAlign w:val="baseline"/>
        </w:rPr>
        <w:t> </w:t>
      </w:r>
      <w:r>
        <w:rPr>
          <w:sz w:val="20"/>
          <w:vertAlign w:val="baseline"/>
        </w:rPr>
        <w:t>example,</w:t>
      </w:r>
      <w:r>
        <w:rPr>
          <w:spacing w:val="-15"/>
          <w:sz w:val="20"/>
          <w:vertAlign w:val="baseline"/>
        </w:rPr>
        <w:t> </w:t>
      </w:r>
      <w:r>
        <w:rPr>
          <w:sz w:val="20"/>
          <w:vertAlign w:val="baseline"/>
        </w:rPr>
        <w:t>the</w:t>
      </w:r>
      <w:r>
        <w:rPr>
          <w:spacing w:val="-17"/>
          <w:sz w:val="20"/>
          <w:vertAlign w:val="baseline"/>
        </w:rPr>
        <w:t> </w:t>
      </w:r>
      <w:r>
        <w:rPr>
          <w:sz w:val="20"/>
          <w:vertAlign w:val="baseline"/>
        </w:rPr>
        <w:t>presumption</w:t>
      </w:r>
      <w:r>
        <w:rPr>
          <w:spacing w:val="-14"/>
          <w:sz w:val="20"/>
          <w:vertAlign w:val="baseline"/>
        </w:rPr>
        <w:t> </w:t>
      </w:r>
      <w:r>
        <w:rPr>
          <w:sz w:val="20"/>
          <w:vertAlign w:val="baseline"/>
        </w:rPr>
        <w:t>would</w:t>
      </w:r>
      <w:r>
        <w:rPr>
          <w:spacing w:val="-15"/>
          <w:sz w:val="20"/>
          <w:vertAlign w:val="baseline"/>
        </w:rPr>
        <w:t> </w:t>
      </w:r>
      <w:r>
        <w:rPr>
          <w:sz w:val="20"/>
          <w:vertAlign w:val="baseline"/>
        </w:rPr>
        <w:t>be</w:t>
      </w:r>
      <w:r>
        <w:rPr>
          <w:spacing w:val="-16"/>
          <w:sz w:val="20"/>
          <w:vertAlign w:val="baseline"/>
        </w:rPr>
        <w:t> </w:t>
      </w:r>
      <w:r>
        <w:rPr>
          <w:sz w:val="20"/>
          <w:vertAlign w:val="baseline"/>
        </w:rPr>
        <w:t>rebuttable</w:t>
      </w:r>
      <w:r>
        <w:rPr>
          <w:spacing w:val="-10"/>
          <w:sz w:val="20"/>
          <w:vertAlign w:val="baseline"/>
        </w:rPr>
        <w:t> </w:t>
      </w:r>
      <w:r>
        <w:rPr>
          <w:sz w:val="20"/>
          <w:vertAlign w:val="baseline"/>
        </w:rPr>
        <w:t>if</w:t>
      </w:r>
      <w:r>
        <w:rPr>
          <w:spacing w:val="-14"/>
          <w:sz w:val="20"/>
          <w:vertAlign w:val="baseline"/>
        </w:rPr>
        <w:t> </w:t>
      </w:r>
      <w:r>
        <w:rPr>
          <w:sz w:val="20"/>
          <w:vertAlign w:val="baseline"/>
        </w:rPr>
        <w:t>a</w:t>
      </w:r>
      <w:r>
        <w:rPr>
          <w:spacing w:val="-15"/>
          <w:sz w:val="20"/>
          <w:vertAlign w:val="baseline"/>
        </w:rPr>
        <w:t> </w:t>
      </w:r>
      <w:r>
        <w:rPr>
          <w:sz w:val="20"/>
          <w:vertAlign w:val="baseline"/>
        </w:rPr>
        <w:t>sufficiently reliable CUP</w:t>
      </w:r>
      <w:r>
        <w:rPr>
          <w:sz w:val="20"/>
          <w:vertAlign w:val="superscript"/>
        </w:rPr>
        <w:t>151</w:t>
      </w:r>
      <w:r>
        <w:rPr>
          <w:sz w:val="20"/>
          <w:vertAlign w:val="baseline"/>
        </w:rPr>
        <w:t> was available and under the specific facts and circumstances the CUP is the most appropriate</w:t>
      </w:r>
      <w:r>
        <w:rPr>
          <w:spacing w:val="20"/>
          <w:sz w:val="20"/>
          <w:vertAlign w:val="baseline"/>
        </w:rPr>
        <w:t> </w:t>
      </w:r>
      <w:r>
        <w:rPr>
          <w:sz w:val="20"/>
          <w:vertAlign w:val="baseline"/>
        </w:rPr>
        <w:t>transfer</w:t>
      </w:r>
      <w:r>
        <w:rPr>
          <w:spacing w:val="20"/>
          <w:sz w:val="20"/>
          <w:vertAlign w:val="baseline"/>
        </w:rPr>
        <w:t> </w:t>
      </w:r>
      <w:r>
        <w:rPr>
          <w:sz w:val="20"/>
          <w:vertAlign w:val="baseline"/>
        </w:rPr>
        <w:t>pricing</w:t>
      </w:r>
      <w:r>
        <w:rPr>
          <w:spacing w:val="22"/>
          <w:sz w:val="20"/>
          <w:vertAlign w:val="baseline"/>
        </w:rPr>
        <w:t> </w:t>
      </w:r>
      <w:r>
        <w:rPr>
          <w:sz w:val="20"/>
          <w:vertAlign w:val="baseline"/>
        </w:rPr>
        <w:t>method</w:t>
      </w:r>
      <w:r>
        <w:rPr>
          <w:spacing w:val="19"/>
          <w:sz w:val="20"/>
          <w:vertAlign w:val="baseline"/>
        </w:rPr>
        <w:t> </w:t>
      </w:r>
      <w:r>
        <w:rPr>
          <w:sz w:val="20"/>
          <w:vertAlign w:val="baseline"/>
        </w:rPr>
        <w:t>to</w:t>
      </w:r>
      <w:r>
        <w:rPr>
          <w:spacing w:val="23"/>
          <w:sz w:val="20"/>
          <w:vertAlign w:val="baseline"/>
        </w:rPr>
        <w:t> </w:t>
      </w:r>
      <w:r>
        <w:rPr>
          <w:sz w:val="20"/>
          <w:vertAlign w:val="baseline"/>
        </w:rPr>
        <w:t>use.</w:t>
      </w:r>
      <w:r>
        <w:rPr>
          <w:spacing w:val="22"/>
          <w:sz w:val="20"/>
          <w:vertAlign w:val="baseline"/>
        </w:rPr>
        <w:t> </w:t>
      </w:r>
      <w:r>
        <w:rPr>
          <w:sz w:val="20"/>
          <w:vertAlign w:val="baseline"/>
        </w:rPr>
        <w:t>As</w:t>
      </w:r>
      <w:r>
        <w:rPr>
          <w:spacing w:val="23"/>
          <w:sz w:val="20"/>
          <w:vertAlign w:val="baseline"/>
        </w:rPr>
        <w:t> </w:t>
      </w:r>
      <w:r>
        <w:rPr>
          <w:sz w:val="20"/>
          <w:vertAlign w:val="baseline"/>
        </w:rPr>
        <w:t>the</w:t>
      </w:r>
      <w:r>
        <w:rPr>
          <w:spacing w:val="21"/>
          <w:sz w:val="20"/>
          <w:vertAlign w:val="baseline"/>
        </w:rPr>
        <w:t> </w:t>
      </w:r>
      <w:r>
        <w:rPr>
          <w:sz w:val="20"/>
          <w:vertAlign w:val="baseline"/>
        </w:rPr>
        <w:t>Amount</w:t>
      </w:r>
      <w:r>
        <w:rPr>
          <w:spacing w:val="19"/>
          <w:sz w:val="20"/>
          <w:vertAlign w:val="baseline"/>
        </w:rPr>
        <w:t> </w:t>
      </w:r>
      <w:r>
        <w:rPr>
          <w:sz w:val="20"/>
          <w:vertAlign w:val="baseline"/>
        </w:rPr>
        <w:t>B</w:t>
      </w:r>
      <w:r>
        <w:rPr>
          <w:spacing w:val="20"/>
          <w:sz w:val="20"/>
          <w:vertAlign w:val="baseline"/>
        </w:rPr>
        <w:t> </w:t>
      </w:r>
      <w:r>
        <w:rPr>
          <w:sz w:val="20"/>
          <w:vertAlign w:val="baseline"/>
        </w:rPr>
        <w:t>fixed</w:t>
      </w:r>
      <w:r>
        <w:rPr>
          <w:spacing w:val="21"/>
          <w:sz w:val="20"/>
          <w:vertAlign w:val="baseline"/>
        </w:rPr>
        <w:t> </w:t>
      </w:r>
      <w:r>
        <w:rPr>
          <w:sz w:val="20"/>
          <w:vertAlign w:val="baseline"/>
        </w:rPr>
        <w:t>return</w:t>
      </w:r>
      <w:r>
        <w:rPr>
          <w:spacing w:val="24"/>
          <w:sz w:val="20"/>
          <w:vertAlign w:val="baseline"/>
        </w:rPr>
        <w:t> </w:t>
      </w:r>
      <w:r>
        <w:rPr>
          <w:sz w:val="20"/>
          <w:vertAlign w:val="baseline"/>
        </w:rPr>
        <w:t>will</w:t>
      </w:r>
      <w:r>
        <w:rPr>
          <w:spacing w:val="21"/>
          <w:sz w:val="20"/>
          <w:vertAlign w:val="baseline"/>
        </w:rPr>
        <w:t> </w:t>
      </w:r>
      <w:r>
        <w:rPr>
          <w:sz w:val="20"/>
          <w:vertAlign w:val="baseline"/>
        </w:rPr>
        <w:t>be</w:t>
      </w:r>
      <w:r>
        <w:rPr>
          <w:spacing w:val="20"/>
          <w:sz w:val="20"/>
          <w:vertAlign w:val="baseline"/>
        </w:rPr>
        <w:t> </w:t>
      </w:r>
      <w:r>
        <w:rPr>
          <w:sz w:val="20"/>
          <w:vertAlign w:val="baseline"/>
        </w:rPr>
        <w:t>determined</w:t>
      </w:r>
      <w:r>
        <w:rPr>
          <w:spacing w:val="20"/>
          <w:sz w:val="20"/>
          <w:vertAlign w:val="baseline"/>
        </w:rPr>
        <w:t> </w:t>
      </w:r>
      <w:r>
        <w:rPr>
          <w:sz w:val="20"/>
          <w:vertAlign w:val="baseline"/>
        </w:rPr>
        <w:t>through</w:t>
      </w:r>
      <w:r>
        <w:rPr>
          <w:spacing w:val="23"/>
          <w:sz w:val="20"/>
          <w:vertAlign w:val="baseline"/>
        </w:rPr>
        <w:t> </w:t>
      </w:r>
      <w:r>
        <w:rPr>
          <w:sz w:val="20"/>
          <w:vertAlign w:val="baseline"/>
        </w:rPr>
        <w:t>a</w:t>
      </w:r>
    </w:p>
    <w:p>
      <w:pPr>
        <w:pStyle w:val="BodyText"/>
      </w:pPr>
    </w:p>
    <w:p>
      <w:pPr>
        <w:pStyle w:val="BodyText"/>
      </w:pPr>
    </w:p>
    <w:p>
      <w:pPr>
        <w:pStyle w:val="BodyText"/>
      </w:pPr>
    </w:p>
    <w:p>
      <w:pPr>
        <w:pStyle w:val="BodyText"/>
        <w:spacing w:before="4"/>
        <w:rPr>
          <w:sz w:val="25"/>
        </w:rPr>
      </w:pPr>
      <w:r>
        <w:rPr/>
        <w:pict>
          <v:rect style="position:absolute;margin-left:65.183998pt;margin-top:16.524288pt;width:144.020004pt;height:.599980pt;mso-position-horizontal-relative:page;mso-position-vertical-relative:paragraph;z-index:-15645696;mso-wrap-distance-left:0;mso-wrap-distance-right:0" filled="true" fillcolor="#000000" stroked="false">
            <v:fill type="solid"/>
            <w10:wrap type="topAndBottom"/>
          </v:rect>
        </w:pict>
      </w:r>
    </w:p>
    <w:p>
      <w:pPr>
        <w:pStyle w:val="BodyText"/>
        <w:spacing w:before="7"/>
        <w:rPr>
          <w:sz w:val="18"/>
        </w:rPr>
      </w:pPr>
    </w:p>
    <w:p>
      <w:pPr>
        <w:spacing w:before="96"/>
        <w:ind w:left="865" w:right="0" w:firstLine="0"/>
        <w:jc w:val="both"/>
        <w:rPr>
          <w:sz w:val="18"/>
        </w:rPr>
      </w:pPr>
      <w:r>
        <w:rPr>
          <w:position w:val="6"/>
          <w:sz w:val="13"/>
        </w:rPr>
        <w:t>148 </w:t>
      </w:r>
      <w:r>
        <w:rPr>
          <w:sz w:val="18"/>
        </w:rPr>
        <w:t>See para. 2.68 and 2.69 TPG.</w:t>
      </w:r>
    </w:p>
    <w:p>
      <w:pPr>
        <w:spacing w:before="140"/>
        <w:ind w:left="865" w:right="0" w:firstLine="0"/>
        <w:jc w:val="both"/>
        <w:rPr>
          <w:sz w:val="18"/>
        </w:rPr>
      </w:pPr>
      <w:r>
        <w:rPr>
          <w:position w:val="6"/>
          <w:sz w:val="13"/>
        </w:rPr>
        <w:t>149 </w:t>
      </w:r>
      <w:r>
        <w:rPr>
          <w:sz w:val="18"/>
        </w:rPr>
        <w:t>See para. 2.96 TPG.</w:t>
      </w:r>
    </w:p>
    <w:p>
      <w:pPr>
        <w:spacing w:line="278" w:lineRule="auto" w:before="111"/>
        <w:ind w:left="723" w:right="482" w:firstLine="0"/>
        <w:jc w:val="both"/>
        <w:rPr>
          <w:sz w:val="18"/>
        </w:rPr>
      </w:pPr>
      <w:r>
        <w:rPr>
          <w:position w:val="8"/>
          <w:sz w:val="14"/>
        </w:rPr>
        <w:t>150 </w:t>
      </w:r>
      <w:r>
        <w:rPr>
          <w:sz w:val="18"/>
        </w:rPr>
        <w:t>There are divergent views between some Inclusive Framework members on the scope and operation of the rebuttable presumption – including whether it should be included in any form – which will be subject to further discussion.</w:t>
      </w:r>
    </w:p>
    <w:p>
      <w:pPr>
        <w:spacing w:line="278" w:lineRule="auto" w:before="106"/>
        <w:ind w:left="865" w:right="484" w:firstLine="0"/>
        <w:jc w:val="both"/>
        <w:rPr>
          <w:sz w:val="18"/>
        </w:rPr>
      </w:pPr>
      <w:r>
        <w:rPr>
          <w:position w:val="6"/>
          <w:sz w:val="13"/>
        </w:rPr>
        <w:t>151 </w:t>
      </w:r>
      <w:r>
        <w:rPr>
          <w:sz w:val="18"/>
        </w:rPr>
        <w:t>This approach is consistent with the approach in the OECD TPG. That is, the Amount B fixed return could be applied</w:t>
      </w:r>
      <w:r>
        <w:rPr>
          <w:spacing w:val="-9"/>
          <w:sz w:val="18"/>
        </w:rPr>
        <w:t> </w:t>
      </w:r>
      <w:r>
        <w:rPr>
          <w:sz w:val="18"/>
        </w:rPr>
        <w:t>as</w:t>
      </w:r>
      <w:r>
        <w:rPr>
          <w:spacing w:val="-8"/>
          <w:sz w:val="18"/>
        </w:rPr>
        <w:t> </w:t>
      </w:r>
      <w:r>
        <w:rPr>
          <w:sz w:val="18"/>
        </w:rPr>
        <w:t>the</w:t>
      </w:r>
      <w:r>
        <w:rPr>
          <w:spacing w:val="-8"/>
          <w:sz w:val="18"/>
        </w:rPr>
        <w:t> </w:t>
      </w:r>
      <w:r>
        <w:rPr>
          <w:sz w:val="18"/>
        </w:rPr>
        <w:t>most</w:t>
      </w:r>
      <w:r>
        <w:rPr>
          <w:spacing w:val="-9"/>
          <w:sz w:val="18"/>
        </w:rPr>
        <w:t> </w:t>
      </w:r>
      <w:r>
        <w:rPr>
          <w:sz w:val="18"/>
        </w:rPr>
        <w:t>appropriate</w:t>
      </w:r>
      <w:r>
        <w:rPr>
          <w:spacing w:val="-9"/>
          <w:sz w:val="18"/>
        </w:rPr>
        <w:t> </w:t>
      </w:r>
      <w:r>
        <w:rPr>
          <w:sz w:val="18"/>
        </w:rPr>
        <w:t>method,</w:t>
      </w:r>
      <w:r>
        <w:rPr>
          <w:spacing w:val="-10"/>
          <w:sz w:val="18"/>
        </w:rPr>
        <w:t> </w:t>
      </w:r>
      <w:r>
        <w:rPr>
          <w:sz w:val="18"/>
        </w:rPr>
        <w:t>but</w:t>
      </w:r>
      <w:r>
        <w:rPr>
          <w:spacing w:val="-9"/>
          <w:sz w:val="18"/>
        </w:rPr>
        <w:t> </w:t>
      </w:r>
      <w:r>
        <w:rPr>
          <w:sz w:val="18"/>
        </w:rPr>
        <w:t>potentially</w:t>
      </w:r>
      <w:r>
        <w:rPr>
          <w:spacing w:val="-10"/>
          <w:sz w:val="18"/>
        </w:rPr>
        <w:t> </w:t>
      </w:r>
      <w:r>
        <w:rPr>
          <w:sz w:val="18"/>
        </w:rPr>
        <w:t>rebutted</w:t>
      </w:r>
      <w:r>
        <w:rPr>
          <w:spacing w:val="-9"/>
          <w:sz w:val="18"/>
        </w:rPr>
        <w:t> </w:t>
      </w:r>
      <w:r>
        <w:rPr>
          <w:sz w:val="18"/>
        </w:rPr>
        <w:t>where</w:t>
      </w:r>
      <w:r>
        <w:rPr>
          <w:spacing w:val="-8"/>
          <w:sz w:val="18"/>
        </w:rPr>
        <w:t> </w:t>
      </w:r>
      <w:r>
        <w:rPr>
          <w:sz w:val="18"/>
        </w:rPr>
        <w:t>a</w:t>
      </w:r>
      <w:r>
        <w:rPr>
          <w:spacing w:val="-9"/>
          <w:sz w:val="18"/>
        </w:rPr>
        <w:t> </w:t>
      </w:r>
      <w:r>
        <w:rPr>
          <w:sz w:val="18"/>
        </w:rPr>
        <w:t>taxpayer</w:t>
      </w:r>
      <w:r>
        <w:rPr>
          <w:spacing w:val="-9"/>
          <w:sz w:val="18"/>
        </w:rPr>
        <w:t> </w:t>
      </w:r>
      <w:r>
        <w:rPr>
          <w:sz w:val="18"/>
        </w:rPr>
        <w:t>seeks</w:t>
      </w:r>
      <w:r>
        <w:rPr>
          <w:spacing w:val="-7"/>
          <w:sz w:val="18"/>
        </w:rPr>
        <w:t> </w:t>
      </w:r>
      <w:r>
        <w:rPr>
          <w:sz w:val="18"/>
        </w:rPr>
        <w:t>to</w:t>
      </w:r>
      <w:r>
        <w:rPr>
          <w:spacing w:val="-11"/>
          <w:sz w:val="18"/>
        </w:rPr>
        <w:t> </w:t>
      </w:r>
      <w:r>
        <w:rPr>
          <w:sz w:val="18"/>
        </w:rPr>
        <w:t>apply</w:t>
      </w:r>
      <w:r>
        <w:rPr>
          <w:spacing w:val="-10"/>
          <w:sz w:val="18"/>
        </w:rPr>
        <w:t> </w:t>
      </w:r>
      <w:r>
        <w:rPr>
          <w:sz w:val="18"/>
        </w:rPr>
        <w:t>a</w:t>
      </w:r>
      <w:r>
        <w:rPr>
          <w:spacing w:val="-9"/>
          <w:sz w:val="18"/>
        </w:rPr>
        <w:t> </w:t>
      </w:r>
      <w:r>
        <w:rPr>
          <w:sz w:val="18"/>
        </w:rPr>
        <w:t>CUP</w:t>
      </w:r>
      <w:r>
        <w:rPr>
          <w:spacing w:val="-9"/>
          <w:sz w:val="18"/>
        </w:rPr>
        <w:t> </w:t>
      </w:r>
      <w:r>
        <w:rPr>
          <w:sz w:val="18"/>
        </w:rPr>
        <w:t>as</w:t>
      </w:r>
      <w:r>
        <w:rPr>
          <w:spacing w:val="-10"/>
          <w:sz w:val="18"/>
        </w:rPr>
        <w:t> </w:t>
      </w:r>
      <w:r>
        <w:rPr>
          <w:sz w:val="18"/>
        </w:rPr>
        <w:t>the</w:t>
      </w:r>
      <w:r>
        <w:rPr>
          <w:spacing w:val="-11"/>
          <w:sz w:val="18"/>
        </w:rPr>
        <w:t> </w:t>
      </w:r>
      <w:r>
        <w:rPr>
          <w:sz w:val="18"/>
        </w:rPr>
        <w:t>most appropriate</w:t>
      </w:r>
      <w:r>
        <w:rPr>
          <w:spacing w:val="-1"/>
          <w:sz w:val="18"/>
        </w:rPr>
        <w:t> </w:t>
      </w:r>
      <w:r>
        <w:rPr>
          <w:sz w:val="18"/>
        </w:rPr>
        <w:t>method.</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66" w:lineRule="auto" w:before="93"/>
        <w:ind w:left="723" w:right="440"/>
        <w:jc w:val="both"/>
      </w:pPr>
      <w:r>
        <w:rPr/>
        <w:t>benchmarking</w:t>
      </w:r>
      <w:r>
        <w:rPr>
          <w:spacing w:val="-8"/>
        </w:rPr>
        <w:t> </w:t>
      </w:r>
      <w:r>
        <w:rPr/>
        <w:t>analysis</w:t>
      </w:r>
      <w:r>
        <w:rPr>
          <w:spacing w:val="-6"/>
        </w:rPr>
        <w:t> </w:t>
      </w:r>
      <w:r>
        <w:rPr/>
        <w:t>based</w:t>
      </w:r>
      <w:r>
        <w:rPr>
          <w:spacing w:val="-7"/>
        </w:rPr>
        <w:t> </w:t>
      </w:r>
      <w:r>
        <w:rPr/>
        <w:t>on</w:t>
      </w:r>
      <w:r>
        <w:rPr>
          <w:spacing w:val="-8"/>
        </w:rPr>
        <w:t> </w:t>
      </w:r>
      <w:r>
        <w:rPr/>
        <w:t>third</w:t>
      </w:r>
      <w:r>
        <w:rPr>
          <w:spacing w:val="-4"/>
        </w:rPr>
        <w:t> </w:t>
      </w:r>
      <w:r>
        <w:rPr/>
        <w:t>party</w:t>
      </w:r>
      <w:r>
        <w:rPr>
          <w:spacing w:val="-11"/>
        </w:rPr>
        <w:t> </w:t>
      </w:r>
      <w:r>
        <w:rPr/>
        <w:t>comparables,</w:t>
      </w:r>
      <w:r>
        <w:rPr>
          <w:spacing w:val="-6"/>
        </w:rPr>
        <w:t> </w:t>
      </w:r>
      <w:r>
        <w:rPr/>
        <w:t>it is</w:t>
      </w:r>
      <w:r>
        <w:rPr>
          <w:spacing w:val="-6"/>
        </w:rPr>
        <w:t> </w:t>
      </w:r>
      <w:r>
        <w:rPr/>
        <w:t>intended</w:t>
      </w:r>
      <w:r>
        <w:rPr>
          <w:spacing w:val="-7"/>
        </w:rPr>
        <w:t> </w:t>
      </w:r>
      <w:r>
        <w:rPr/>
        <w:t>to</w:t>
      </w:r>
      <w:r>
        <w:rPr>
          <w:spacing w:val="-6"/>
        </w:rPr>
        <w:t> </w:t>
      </w:r>
      <w:r>
        <w:rPr/>
        <w:t>approximate</w:t>
      </w:r>
      <w:r>
        <w:rPr>
          <w:spacing w:val="-7"/>
        </w:rPr>
        <w:t> </w:t>
      </w:r>
      <w:r>
        <w:rPr/>
        <w:t>results</w:t>
      </w:r>
      <w:r>
        <w:rPr>
          <w:spacing w:val="-6"/>
        </w:rPr>
        <w:t> </w:t>
      </w:r>
      <w:r>
        <w:rPr/>
        <w:t>determined under the ALP</w:t>
      </w:r>
      <w:r>
        <w:rPr>
          <w:vertAlign w:val="superscript"/>
        </w:rPr>
        <w:t>152</w:t>
      </w:r>
      <w:r>
        <w:rPr>
          <w:vertAlign w:val="baseline"/>
        </w:rPr>
        <w:t> and hence existing domestic and treaty</w:t>
      </w:r>
      <w:r>
        <w:rPr>
          <w:spacing w:val="-4"/>
          <w:vertAlign w:val="baseline"/>
        </w:rPr>
        <w:t> </w:t>
      </w:r>
      <w:r>
        <w:rPr>
          <w:vertAlign w:val="baseline"/>
        </w:rPr>
        <w:t>law.</w:t>
      </w:r>
    </w:p>
    <w:p>
      <w:pPr>
        <w:pStyle w:val="BodyText"/>
        <w:spacing w:before="9"/>
      </w:pPr>
    </w:p>
    <w:p>
      <w:pPr>
        <w:pStyle w:val="Heading7"/>
        <w:rPr>
          <w:i/>
        </w:rPr>
      </w:pPr>
      <w:bookmarkStart w:name="Differentiated returns by region" w:id="400"/>
      <w:bookmarkEnd w:id="400"/>
      <w:r>
        <w:rPr>
          <w:i w:val="0"/>
        </w:rPr>
      </w:r>
      <w:r>
        <w:rPr>
          <w:i/>
          <w:color w:val="616161"/>
        </w:rPr>
        <w:t>Differentiated returns by region</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35" w:firstLine="0"/>
        <w:jc w:val="both"/>
        <w:rPr>
          <w:sz w:val="20"/>
        </w:rPr>
      </w:pPr>
      <w:r>
        <w:rPr>
          <w:sz w:val="20"/>
        </w:rPr>
        <w:t>The TPG explains that arm’s length prices may vary across different markets even for the distribution</w:t>
      </w:r>
      <w:r>
        <w:rPr>
          <w:spacing w:val="-5"/>
          <w:sz w:val="20"/>
        </w:rPr>
        <w:t> </w:t>
      </w:r>
      <w:r>
        <w:rPr>
          <w:sz w:val="20"/>
        </w:rPr>
        <w:t>of</w:t>
      </w:r>
      <w:r>
        <w:rPr>
          <w:spacing w:val="-4"/>
          <w:sz w:val="20"/>
        </w:rPr>
        <w:t> </w:t>
      </w:r>
      <w:r>
        <w:rPr>
          <w:sz w:val="20"/>
        </w:rPr>
        <w:t>the</w:t>
      </w:r>
      <w:r>
        <w:rPr>
          <w:spacing w:val="-6"/>
          <w:sz w:val="20"/>
        </w:rPr>
        <w:t> </w:t>
      </w:r>
      <w:r>
        <w:rPr>
          <w:sz w:val="20"/>
        </w:rPr>
        <w:t>same</w:t>
      </w:r>
      <w:r>
        <w:rPr>
          <w:spacing w:val="-6"/>
          <w:sz w:val="20"/>
        </w:rPr>
        <w:t> </w:t>
      </w:r>
      <w:r>
        <w:rPr>
          <w:sz w:val="20"/>
        </w:rPr>
        <w:t>or</w:t>
      </w:r>
      <w:r>
        <w:rPr>
          <w:spacing w:val="-5"/>
          <w:sz w:val="20"/>
        </w:rPr>
        <w:t> </w:t>
      </w:r>
      <w:r>
        <w:rPr>
          <w:sz w:val="20"/>
        </w:rPr>
        <w:t>similar</w:t>
      </w:r>
      <w:r>
        <w:rPr>
          <w:spacing w:val="-5"/>
          <w:sz w:val="20"/>
        </w:rPr>
        <w:t> </w:t>
      </w:r>
      <w:r>
        <w:rPr>
          <w:sz w:val="20"/>
        </w:rPr>
        <w:t>products.</w:t>
      </w:r>
      <w:r>
        <w:rPr>
          <w:spacing w:val="-2"/>
          <w:sz w:val="20"/>
        </w:rPr>
        <w:t> </w:t>
      </w:r>
      <w:r>
        <w:rPr>
          <w:sz w:val="20"/>
        </w:rPr>
        <w:t>This</w:t>
      </w:r>
      <w:r>
        <w:rPr>
          <w:spacing w:val="-4"/>
          <w:sz w:val="20"/>
        </w:rPr>
        <w:t> </w:t>
      </w:r>
      <w:r>
        <w:rPr>
          <w:sz w:val="20"/>
        </w:rPr>
        <w:t>can</w:t>
      </w:r>
      <w:r>
        <w:rPr>
          <w:spacing w:val="-4"/>
          <w:sz w:val="20"/>
        </w:rPr>
        <w:t> </w:t>
      </w:r>
      <w:r>
        <w:rPr>
          <w:sz w:val="20"/>
        </w:rPr>
        <w:t>be</w:t>
      </w:r>
      <w:r>
        <w:rPr>
          <w:spacing w:val="-4"/>
          <w:sz w:val="20"/>
        </w:rPr>
        <w:t> </w:t>
      </w:r>
      <w:r>
        <w:rPr>
          <w:sz w:val="20"/>
        </w:rPr>
        <w:t>due</w:t>
      </w:r>
      <w:r>
        <w:rPr>
          <w:spacing w:val="-6"/>
          <w:sz w:val="20"/>
        </w:rPr>
        <w:t> </w:t>
      </w:r>
      <w:r>
        <w:rPr>
          <w:sz w:val="20"/>
        </w:rPr>
        <w:t>to</w:t>
      </w:r>
      <w:r>
        <w:rPr>
          <w:spacing w:val="-4"/>
          <w:sz w:val="20"/>
        </w:rPr>
        <w:t> </w:t>
      </w:r>
      <w:r>
        <w:rPr>
          <w:sz w:val="20"/>
        </w:rPr>
        <w:t>a</w:t>
      </w:r>
      <w:r>
        <w:rPr>
          <w:spacing w:val="-6"/>
          <w:sz w:val="20"/>
        </w:rPr>
        <w:t> </w:t>
      </w:r>
      <w:r>
        <w:rPr>
          <w:sz w:val="20"/>
        </w:rPr>
        <w:t>number</w:t>
      </w:r>
      <w:r>
        <w:rPr>
          <w:spacing w:val="-5"/>
          <w:sz w:val="20"/>
        </w:rPr>
        <w:t> </w:t>
      </w:r>
      <w:r>
        <w:rPr>
          <w:sz w:val="20"/>
        </w:rPr>
        <w:t>of</w:t>
      </w:r>
      <w:r>
        <w:rPr>
          <w:spacing w:val="-4"/>
          <w:sz w:val="20"/>
        </w:rPr>
        <w:t> </w:t>
      </w:r>
      <w:r>
        <w:rPr>
          <w:sz w:val="20"/>
        </w:rPr>
        <w:t>factors,</w:t>
      </w:r>
      <w:r>
        <w:rPr>
          <w:spacing w:val="-5"/>
          <w:sz w:val="20"/>
        </w:rPr>
        <w:t> </w:t>
      </w:r>
      <w:r>
        <w:rPr>
          <w:sz w:val="20"/>
        </w:rPr>
        <w:t>such</w:t>
      </w:r>
      <w:r>
        <w:rPr>
          <w:spacing w:val="-3"/>
          <w:sz w:val="20"/>
        </w:rPr>
        <w:t> </w:t>
      </w:r>
      <w:r>
        <w:rPr>
          <w:sz w:val="20"/>
        </w:rPr>
        <w:t>as (i)</w:t>
      </w:r>
      <w:r>
        <w:rPr>
          <w:spacing w:val="-2"/>
          <w:sz w:val="20"/>
        </w:rPr>
        <w:t> </w:t>
      </w:r>
      <w:r>
        <w:rPr>
          <w:sz w:val="20"/>
        </w:rPr>
        <w:t>geographic location;</w:t>
      </w:r>
      <w:r>
        <w:rPr>
          <w:spacing w:val="-11"/>
          <w:sz w:val="20"/>
        </w:rPr>
        <w:t> </w:t>
      </w:r>
      <w:r>
        <w:rPr>
          <w:sz w:val="20"/>
        </w:rPr>
        <w:t>(ii)</w:t>
      </w:r>
      <w:r>
        <w:rPr>
          <w:spacing w:val="-12"/>
          <w:sz w:val="20"/>
        </w:rPr>
        <w:t> </w:t>
      </w:r>
      <w:r>
        <w:rPr>
          <w:sz w:val="20"/>
        </w:rPr>
        <w:t>the</w:t>
      </w:r>
      <w:r>
        <w:rPr>
          <w:spacing w:val="-14"/>
          <w:sz w:val="20"/>
        </w:rPr>
        <w:t> </w:t>
      </w:r>
      <w:r>
        <w:rPr>
          <w:sz w:val="20"/>
        </w:rPr>
        <w:t>size</w:t>
      </w:r>
      <w:r>
        <w:rPr>
          <w:spacing w:val="-11"/>
          <w:sz w:val="20"/>
        </w:rPr>
        <w:t> </w:t>
      </w:r>
      <w:r>
        <w:rPr>
          <w:sz w:val="20"/>
        </w:rPr>
        <w:t>of</w:t>
      </w:r>
      <w:r>
        <w:rPr>
          <w:spacing w:val="-11"/>
          <w:sz w:val="20"/>
        </w:rPr>
        <w:t> </w:t>
      </w:r>
      <w:r>
        <w:rPr>
          <w:sz w:val="20"/>
        </w:rPr>
        <w:t>the</w:t>
      </w:r>
      <w:r>
        <w:rPr>
          <w:spacing w:val="-12"/>
          <w:sz w:val="20"/>
        </w:rPr>
        <w:t> </w:t>
      </w:r>
      <w:r>
        <w:rPr>
          <w:sz w:val="20"/>
        </w:rPr>
        <w:t>markets;</w:t>
      </w:r>
      <w:r>
        <w:rPr>
          <w:spacing w:val="-13"/>
          <w:sz w:val="20"/>
        </w:rPr>
        <w:t> </w:t>
      </w:r>
      <w:r>
        <w:rPr>
          <w:sz w:val="20"/>
        </w:rPr>
        <w:t>(iii)</w:t>
      </w:r>
      <w:r>
        <w:rPr>
          <w:spacing w:val="-10"/>
          <w:sz w:val="20"/>
        </w:rPr>
        <w:t> </w:t>
      </w:r>
      <w:r>
        <w:rPr>
          <w:sz w:val="20"/>
        </w:rPr>
        <w:t>the</w:t>
      </w:r>
      <w:r>
        <w:rPr>
          <w:spacing w:val="-11"/>
          <w:sz w:val="20"/>
        </w:rPr>
        <w:t> </w:t>
      </w:r>
      <w:r>
        <w:rPr>
          <w:sz w:val="20"/>
        </w:rPr>
        <w:t>extent</w:t>
      </w:r>
      <w:r>
        <w:rPr>
          <w:spacing w:val="-11"/>
          <w:sz w:val="20"/>
        </w:rPr>
        <w:t> </w:t>
      </w:r>
      <w:r>
        <w:rPr>
          <w:sz w:val="20"/>
        </w:rPr>
        <w:t>of</w:t>
      </w:r>
      <w:r>
        <w:rPr>
          <w:spacing w:val="-12"/>
          <w:sz w:val="20"/>
        </w:rPr>
        <w:t> </w:t>
      </w:r>
      <w:r>
        <w:rPr>
          <w:sz w:val="20"/>
        </w:rPr>
        <w:t>competition</w:t>
      </w:r>
      <w:r>
        <w:rPr>
          <w:spacing w:val="-13"/>
          <w:sz w:val="20"/>
        </w:rPr>
        <w:t> </w:t>
      </w:r>
      <w:r>
        <w:rPr>
          <w:sz w:val="20"/>
        </w:rPr>
        <w:t>in</w:t>
      </w:r>
      <w:r>
        <w:rPr>
          <w:spacing w:val="-13"/>
          <w:sz w:val="20"/>
        </w:rPr>
        <w:t> </w:t>
      </w:r>
      <w:r>
        <w:rPr>
          <w:sz w:val="20"/>
        </w:rPr>
        <w:t>the</w:t>
      </w:r>
      <w:r>
        <w:rPr>
          <w:spacing w:val="-12"/>
          <w:sz w:val="20"/>
        </w:rPr>
        <w:t> </w:t>
      </w:r>
      <w:r>
        <w:rPr>
          <w:sz w:val="20"/>
        </w:rPr>
        <w:t>markets</w:t>
      </w:r>
      <w:r>
        <w:rPr>
          <w:spacing w:val="-12"/>
          <w:sz w:val="20"/>
        </w:rPr>
        <w:t> </w:t>
      </w:r>
      <w:r>
        <w:rPr>
          <w:sz w:val="20"/>
        </w:rPr>
        <w:t>and</w:t>
      </w:r>
      <w:r>
        <w:rPr>
          <w:spacing w:val="-13"/>
          <w:sz w:val="20"/>
        </w:rPr>
        <w:t> </w:t>
      </w:r>
      <w:r>
        <w:rPr>
          <w:sz w:val="20"/>
        </w:rPr>
        <w:t>the</w:t>
      </w:r>
      <w:r>
        <w:rPr>
          <w:spacing w:val="-14"/>
          <w:sz w:val="20"/>
        </w:rPr>
        <w:t> </w:t>
      </w:r>
      <w:r>
        <w:rPr>
          <w:sz w:val="20"/>
        </w:rPr>
        <w:t>relative</w:t>
      </w:r>
      <w:r>
        <w:rPr>
          <w:spacing w:val="-11"/>
          <w:sz w:val="20"/>
        </w:rPr>
        <w:t> </w:t>
      </w:r>
      <w:r>
        <w:rPr>
          <w:sz w:val="20"/>
        </w:rPr>
        <w:t>competitive positions of the buyers and sellers; (iv) the nature and extent of government regulation of the market; (v) transport costs; and (vi) the level of the market (e.g. retail or wholesale).</w:t>
      </w:r>
      <w:r>
        <w:rPr>
          <w:position w:val="6"/>
          <w:sz w:val="13"/>
        </w:rPr>
        <w:t>153 </w:t>
      </w:r>
      <w:r>
        <w:rPr>
          <w:sz w:val="20"/>
        </w:rPr>
        <w:t>There may therefore be differentiated returns by region, with further technical work being required to establish the specific regions and to understand the variance in arm’s length returns by region.</w:t>
      </w:r>
      <w:r>
        <w:rPr>
          <w:spacing w:val="-11"/>
          <w:sz w:val="20"/>
        </w:rPr>
        <w:t> </w:t>
      </w:r>
      <w:r>
        <w:rPr>
          <w:sz w:val="20"/>
        </w:rPr>
        <w:t>.</w:t>
      </w:r>
    </w:p>
    <w:p>
      <w:pPr>
        <w:pStyle w:val="ListParagraph"/>
        <w:numPr>
          <w:ilvl w:val="0"/>
          <w:numId w:val="13"/>
        </w:numPr>
        <w:tabs>
          <w:tab w:pos="1444" w:val="left" w:leader="none"/>
        </w:tabs>
        <w:spacing w:line="271" w:lineRule="auto" w:before="120" w:after="0"/>
        <w:ind w:left="723" w:right="436" w:firstLine="0"/>
        <w:jc w:val="both"/>
        <w:rPr>
          <w:sz w:val="20"/>
        </w:rPr>
      </w:pPr>
      <w:r>
        <w:rPr>
          <w:sz w:val="20"/>
        </w:rPr>
        <w:t>Accordingly, as a next step, the work may develop differentiated returns for certain defined geographic regions. Ways of measuring the appropriate return will be explored, including the use of standard</w:t>
      </w:r>
      <w:r>
        <w:rPr>
          <w:spacing w:val="-11"/>
          <w:sz w:val="20"/>
        </w:rPr>
        <w:t> </w:t>
      </w:r>
      <w:r>
        <w:rPr>
          <w:sz w:val="20"/>
        </w:rPr>
        <w:t>reference</w:t>
      </w:r>
      <w:r>
        <w:rPr>
          <w:spacing w:val="-10"/>
          <w:sz w:val="20"/>
        </w:rPr>
        <w:t> </w:t>
      </w:r>
      <w:r>
        <w:rPr>
          <w:sz w:val="20"/>
        </w:rPr>
        <w:t>benchmarking</w:t>
      </w:r>
      <w:r>
        <w:rPr>
          <w:spacing w:val="-12"/>
          <w:sz w:val="20"/>
        </w:rPr>
        <w:t> </w:t>
      </w:r>
      <w:r>
        <w:rPr>
          <w:sz w:val="20"/>
        </w:rPr>
        <w:t>sets</w:t>
      </w:r>
      <w:r>
        <w:rPr>
          <w:spacing w:val="-12"/>
          <w:sz w:val="20"/>
        </w:rPr>
        <w:t> </w:t>
      </w:r>
      <w:r>
        <w:rPr>
          <w:sz w:val="20"/>
        </w:rPr>
        <w:t>and</w:t>
      </w:r>
      <w:r>
        <w:rPr>
          <w:spacing w:val="-6"/>
          <w:sz w:val="20"/>
        </w:rPr>
        <w:t> </w:t>
      </w:r>
      <w:r>
        <w:rPr>
          <w:sz w:val="20"/>
        </w:rPr>
        <w:t>quantitative</w:t>
      </w:r>
      <w:r>
        <w:rPr>
          <w:spacing w:val="-10"/>
          <w:sz w:val="20"/>
        </w:rPr>
        <w:t> </w:t>
      </w:r>
      <w:r>
        <w:rPr>
          <w:sz w:val="20"/>
        </w:rPr>
        <w:t>approaches.</w:t>
      </w:r>
      <w:r>
        <w:rPr>
          <w:spacing w:val="-8"/>
          <w:sz w:val="20"/>
        </w:rPr>
        <w:t> </w:t>
      </w:r>
      <w:r>
        <w:rPr>
          <w:sz w:val="20"/>
        </w:rPr>
        <w:t>As</w:t>
      </w:r>
      <w:r>
        <w:rPr>
          <w:spacing w:val="-11"/>
          <w:sz w:val="20"/>
        </w:rPr>
        <w:t> </w:t>
      </w:r>
      <w:r>
        <w:rPr>
          <w:sz w:val="20"/>
        </w:rPr>
        <w:t>reference</w:t>
      </w:r>
      <w:r>
        <w:rPr>
          <w:spacing w:val="-8"/>
          <w:sz w:val="20"/>
        </w:rPr>
        <w:t> </w:t>
      </w:r>
      <w:r>
        <w:rPr>
          <w:sz w:val="20"/>
        </w:rPr>
        <w:t>benchmarks</w:t>
      </w:r>
      <w:r>
        <w:rPr>
          <w:spacing w:val="-11"/>
          <w:sz w:val="20"/>
        </w:rPr>
        <w:t> </w:t>
      </w:r>
      <w:r>
        <w:rPr>
          <w:sz w:val="20"/>
        </w:rPr>
        <w:t>that</w:t>
      </w:r>
      <w:r>
        <w:rPr>
          <w:spacing w:val="-12"/>
          <w:sz w:val="20"/>
        </w:rPr>
        <w:t> </w:t>
      </w:r>
      <w:r>
        <w:rPr>
          <w:sz w:val="20"/>
        </w:rPr>
        <w:t>rely</w:t>
      </w:r>
      <w:r>
        <w:rPr>
          <w:spacing w:val="-15"/>
          <w:sz w:val="20"/>
        </w:rPr>
        <w:t> </w:t>
      </w:r>
      <w:r>
        <w:rPr>
          <w:sz w:val="20"/>
        </w:rPr>
        <w:t>on comparables</w:t>
      </w:r>
      <w:r>
        <w:rPr>
          <w:spacing w:val="-2"/>
          <w:sz w:val="20"/>
        </w:rPr>
        <w:t> </w:t>
      </w:r>
      <w:r>
        <w:rPr>
          <w:sz w:val="20"/>
        </w:rPr>
        <w:t>will</w:t>
      </w:r>
      <w:r>
        <w:rPr>
          <w:spacing w:val="-5"/>
          <w:sz w:val="20"/>
        </w:rPr>
        <w:t> </w:t>
      </w:r>
      <w:r>
        <w:rPr>
          <w:sz w:val="20"/>
        </w:rPr>
        <w:t>be</w:t>
      </w:r>
      <w:r>
        <w:rPr>
          <w:spacing w:val="-5"/>
          <w:sz w:val="20"/>
        </w:rPr>
        <w:t> </w:t>
      </w:r>
      <w:r>
        <w:rPr>
          <w:sz w:val="20"/>
        </w:rPr>
        <w:t>considered,</w:t>
      </w:r>
      <w:r>
        <w:rPr>
          <w:spacing w:val="-4"/>
          <w:sz w:val="20"/>
        </w:rPr>
        <w:t> </w:t>
      </w:r>
      <w:r>
        <w:rPr>
          <w:sz w:val="20"/>
        </w:rPr>
        <w:t>further</w:t>
      </w:r>
      <w:r>
        <w:rPr>
          <w:spacing w:val="-4"/>
          <w:sz w:val="20"/>
        </w:rPr>
        <w:t> </w:t>
      </w:r>
      <w:r>
        <w:rPr>
          <w:sz w:val="20"/>
        </w:rPr>
        <w:t>technical</w:t>
      </w:r>
      <w:r>
        <w:rPr>
          <w:spacing w:val="-4"/>
          <w:sz w:val="20"/>
        </w:rPr>
        <w:t> </w:t>
      </w:r>
      <w:r>
        <w:rPr>
          <w:sz w:val="20"/>
        </w:rPr>
        <w:t>work is</w:t>
      </w:r>
      <w:r>
        <w:rPr>
          <w:spacing w:val="-4"/>
          <w:sz w:val="20"/>
        </w:rPr>
        <w:t> </w:t>
      </w:r>
      <w:r>
        <w:rPr>
          <w:sz w:val="20"/>
        </w:rPr>
        <w:t>needed</w:t>
      </w:r>
      <w:r>
        <w:rPr>
          <w:spacing w:val="-4"/>
          <w:sz w:val="20"/>
        </w:rPr>
        <w:t> </w:t>
      </w:r>
      <w:r>
        <w:rPr>
          <w:sz w:val="20"/>
        </w:rPr>
        <w:t>to</w:t>
      </w:r>
      <w:r>
        <w:rPr>
          <w:spacing w:val="-4"/>
          <w:sz w:val="20"/>
        </w:rPr>
        <w:t> </w:t>
      </w:r>
      <w:r>
        <w:rPr>
          <w:sz w:val="20"/>
        </w:rPr>
        <w:t>consider</w:t>
      </w:r>
      <w:r>
        <w:rPr>
          <w:spacing w:val="-4"/>
          <w:sz w:val="20"/>
        </w:rPr>
        <w:t> </w:t>
      </w:r>
      <w:r>
        <w:rPr>
          <w:sz w:val="20"/>
        </w:rPr>
        <w:t>how</w:t>
      </w:r>
      <w:r>
        <w:rPr>
          <w:spacing w:val="4"/>
          <w:sz w:val="20"/>
        </w:rPr>
        <w:t> </w:t>
      </w:r>
      <w:r>
        <w:rPr>
          <w:sz w:val="20"/>
        </w:rPr>
        <w:t>to</w:t>
      </w:r>
      <w:r>
        <w:rPr>
          <w:spacing w:val="-5"/>
          <w:sz w:val="20"/>
        </w:rPr>
        <w:t> </w:t>
      </w:r>
      <w:r>
        <w:rPr>
          <w:sz w:val="20"/>
        </w:rPr>
        <w:t>overcome</w:t>
      </w:r>
      <w:r>
        <w:rPr>
          <w:spacing w:val="-3"/>
          <w:sz w:val="20"/>
        </w:rPr>
        <w:t> </w:t>
      </w:r>
      <w:r>
        <w:rPr>
          <w:sz w:val="20"/>
        </w:rPr>
        <w:t>any</w:t>
      </w:r>
      <w:r>
        <w:rPr>
          <w:spacing w:val="-7"/>
          <w:sz w:val="20"/>
        </w:rPr>
        <w:t> </w:t>
      </w:r>
      <w:r>
        <w:rPr>
          <w:sz w:val="20"/>
        </w:rPr>
        <w:t>lack</w:t>
      </w:r>
      <w:r>
        <w:rPr>
          <w:spacing w:val="-4"/>
          <w:sz w:val="20"/>
        </w:rPr>
        <w:t> </w:t>
      </w:r>
      <w:r>
        <w:rPr>
          <w:sz w:val="20"/>
        </w:rPr>
        <w:t>of publicly</w:t>
      </w:r>
      <w:r>
        <w:rPr>
          <w:spacing w:val="-19"/>
          <w:sz w:val="20"/>
        </w:rPr>
        <w:t> </w:t>
      </w:r>
      <w:r>
        <w:rPr>
          <w:sz w:val="20"/>
        </w:rPr>
        <w:t>available</w:t>
      </w:r>
      <w:r>
        <w:rPr>
          <w:spacing w:val="-16"/>
          <w:sz w:val="20"/>
        </w:rPr>
        <w:t> </w:t>
      </w:r>
      <w:r>
        <w:rPr>
          <w:sz w:val="20"/>
        </w:rPr>
        <w:t>information</w:t>
      </w:r>
      <w:r>
        <w:rPr>
          <w:spacing w:val="-16"/>
          <w:sz w:val="20"/>
        </w:rPr>
        <w:t> </w:t>
      </w:r>
      <w:r>
        <w:rPr>
          <w:sz w:val="20"/>
        </w:rPr>
        <w:t>in</w:t>
      </w:r>
      <w:r>
        <w:rPr>
          <w:spacing w:val="-15"/>
          <w:sz w:val="20"/>
        </w:rPr>
        <w:t> </w:t>
      </w:r>
      <w:r>
        <w:rPr>
          <w:sz w:val="20"/>
        </w:rPr>
        <w:t>certain</w:t>
      </w:r>
      <w:r>
        <w:rPr>
          <w:spacing w:val="-16"/>
          <w:sz w:val="20"/>
        </w:rPr>
        <w:t> </w:t>
      </w:r>
      <w:r>
        <w:rPr>
          <w:sz w:val="20"/>
        </w:rPr>
        <w:t>regions</w:t>
      </w:r>
      <w:r>
        <w:rPr>
          <w:spacing w:val="-14"/>
          <w:sz w:val="20"/>
        </w:rPr>
        <w:t> </w:t>
      </w:r>
      <w:r>
        <w:rPr>
          <w:sz w:val="20"/>
        </w:rPr>
        <w:t>for</w:t>
      </w:r>
      <w:r>
        <w:rPr>
          <w:spacing w:val="-15"/>
          <w:sz w:val="20"/>
        </w:rPr>
        <w:t> </w:t>
      </w:r>
      <w:r>
        <w:rPr>
          <w:sz w:val="20"/>
        </w:rPr>
        <w:t>purposes</w:t>
      </w:r>
      <w:r>
        <w:rPr>
          <w:spacing w:val="-15"/>
          <w:sz w:val="20"/>
        </w:rPr>
        <w:t> </w:t>
      </w:r>
      <w:r>
        <w:rPr>
          <w:sz w:val="20"/>
        </w:rPr>
        <w:t>of</w:t>
      </w:r>
      <w:r>
        <w:rPr>
          <w:spacing w:val="-14"/>
          <w:sz w:val="20"/>
        </w:rPr>
        <w:t> </w:t>
      </w:r>
      <w:r>
        <w:rPr>
          <w:sz w:val="20"/>
        </w:rPr>
        <w:t>identifying</w:t>
      </w:r>
      <w:r>
        <w:rPr>
          <w:spacing w:val="-16"/>
          <w:sz w:val="20"/>
        </w:rPr>
        <w:t> </w:t>
      </w:r>
      <w:r>
        <w:rPr>
          <w:sz w:val="20"/>
        </w:rPr>
        <w:t>comparables</w:t>
      </w:r>
      <w:r>
        <w:rPr>
          <w:spacing w:val="-10"/>
          <w:sz w:val="20"/>
        </w:rPr>
        <w:t> </w:t>
      </w:r>
      <w:r>
        <w:rPr>
          <w:sz w:val="20"/>
        </w:rPr>
        <w:t>and</w:t>
      </w:r>
      <w:r>
        <w:rPr>
          <w:spacing w:val="-16"/>
          <w:sz w:val="20"/>
        </w:rPr>
        <w:t> </w:t>
      </w:r>
      <w:r>
        <w:rPr>
          <w:sz w:val="20"/>
        </w:rPr>
        <w:t>evaluating</w:t>
      </w:r>
      <w:r>
        <w:rPr>
          <w:spacing w:val="-16"/>
          <w:sz w:val="20"/>
        </w:rPr>
        <w:t> </w:t>
      </w:r>
      <w:r>
        <w:rPr>
          <w:sz w:val="20"/>
        </w:rPr>
        <w:t>their financial</w:t>
      </w:r>
      <w:r>
        <w:rPr>
          <w:spacing w:val="-6"/>
          <w:sz w:val="20"/>
        </w:rPr>
        <w:t> </w:t>
      </w:r>
      <w:r>
        <w:rPr>
          <w:sz w:val="20"/>
        </w:rPr>
        <w:t>data</w:t>
      </w:r>
      <w:r>
        <w:rPr>
          <w:spacing w:val="-5"/>
          <w:sz w:val="20"/>
        </w:rPr>
        <w:t> </w:t>
      </w:r>
      <w:r>
        <w:rPr>
          <w:sz w:val="20"/>
        </w:rPr>
        <w:t>(see</w:t>
      </w:r>
      <w:r>
        <w:rPr>
          <w:spacing w:val="-2"/>
          <w:sz w:val="20"/>
        </w:rPr>
        <w:t> </w:t>
      </w:r>
      <w:r>
        <w:rPr>
          <w:sz w:val="20"/>
        </w:rPr>
        <w:t>further</w:t>
      </w:r>
      <w:r>
        <w:rPr>
          <w:spacing w:val="-4"/>
          <w:sz w:val="20"/>
        </w:rPr>
        <w:t> </w:t>
      </w:r>
      <w:r>
        <w:rPr>
          <w:sz w:val="20"/>
        </w:rPr>
        <w:t>comment</w:t>
      </w:r>
      <w:r>
        <w:rPr>
          <w:spacing w:val="-4"/>
          <w:sz w:val="20"/>
        </w:rPr>
        <w:t> </w:t>
      </w:r>
      <w:r>
        <w:rPr>
          <w:sz w:val="20"/>
        </w:rPr>
        <w:t>in</w:t>
      </w:r>
      <w:r>
        <w:rPr>
          <w:spacing w:val="-4"/>
          <w:sz w:val="20"/>
        </w:rPr>
        <w:t> </w:t>
      </w:r>
      <w:r>
        <w:rPr>
          <w:sz w:val="20"/>
        </w:rPr>
        <w:t>the</w:t>
      </w:r>
      <w:r>
        <w:rPr>
          <w:spacing w:val="-5"/>
          <w:sz w:val="20"/>
        </w:rPr>
        <w:t> </w:t>
      </w:r>
      <w:r>
        <w:rPr>
          <w:sz w:val="20"/>
        </w:rPr>
        <w:t>section</w:t>
      </w:r>
      <w:r>
        <w:rPr>
          <w:spacing w:val="-5"/>
          <w:sz w:val="20"/>
        </w:rPr>
        <w:t> </w:t>
      </w:r>
      <w:r>
        <w:rPr>
          <w:sz w:val="20"/>
        </w:rPr>
        <w:t>“Process</w:t>
      </w:r>
      <w:r>
        <w:rPr>
          <w:spacing w:val="-3"/>
          <w:sz w:val="20"/>
        </w:rPr>
        <w:t> </w:t>
      </w:r>
      <w:r>
        <w:rPr>
          <w:sz w:val="20"/>
        </w:rPr>
        <w:t>for</w:t>
      </w:r>
      <w:r>
        <w:rPr>
          <w:spacing w:val="-4"/>
          <w:sz w:val="20"/>
        </w:rPr>
        <w:t> </w:t>
      </w:r>
      <w:r>
        <w:rPr>
          <w:sz w:val="20"/>
        </w:rPr>
        <w:t>determining</w:t>
      </w:r>
      <w:r>
        <w:rPr>
          <w:spacing w:val="-3"/>
          <w:sz w:val="20"/>
        </w:rPr>
        <w:t> </w:t>
      </w:r>
      <w:r>
        <w:rPr>
          <w:sz w:val="20"/>
        </w:rPr>
        <w:t>the</w:t>
      </w:r>
      <w:r>
        <w:rPr>
          <w:spacing w:val="-2"/>
          <w:sz w:val="20"/>
        </w:rPr>
        <w:t> </w:t>
      </w:r>
      <w:r>
        <w:rPr>
          <w:sz w:val="20"/>
        </w:rPr>
        <w:t>quantum of</w:t>
      </w:r>
      <w:r>
        <w:rPr>
          <w:spacing w:val="-2"/>
          <w:sz w:val="20"/>
        </w:rPr>
        <w:t> </w:t>
      </w:r>
      <w:r>
        <w:rPr>
          <w:sz w:val="20"/>
        </w:rPr>
        <w:t>fixed</w:t>
      </w:r>
      <w:r>
        <w:rPr>
          <w:spacing w:val="-5"/>
          <w:sz w:val="20"/>
        </w:rPr>
        <w:t> </w:t>
      </w:r>
      <w:r>
        <w:rPr>
          <w:sz w:val="20"/>
        </w:rPr>
        <w:t>returns”).</w:t>
      </w:r>
    </w:p>
    <w:p>
      <w:pPr>
        <w:pStyle w:val="BodyText"/>
        <w:spacing w:before="2"/>
      </w:pPr>
    </w:p>
    <w:p>
      <w:pPr>
        <w:pStyle w:val="Heading7"/>
        <w:rPr>
          <w:i/>
        </w:rPr>
      </w:pPr>
      <w:bookmarkStart w:name="Differentiated returns by industry" w:id="401"/>
      <w:bookmarkEnd w:id="401"/>
      <w:r>
        <w:rPr>
          <w:i w:val="0"/>
        </w:rPr>
      </w:r>
      <w:r>
        <w:rPr>
          <w:i/>
          <w:color w:val="616161"/>
        </w:rPr>
        <w:t>Differentiated returns by industry</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38" w:firstLine="0"/>
        <w:jc w:val="both"/>
        <w:rPr>
          <w:sz w:val="20"/>
        </w:rPr>
      </w:pPr>
      <w:r>
        <w:rPr>
          <w:sz w:val="20"/>
        </w:rPr>
        <w:t>The fixed return could need to vary by industry. This responds to the view that two distributors operating in different industries (for instance, the pharmaceutical industry and motor vehicle industry) may experience</w:t>
      </w:r>
      <w:r>
        <w:rPr>
          <w:spacing w:val="-7"/>
          <w:sz w:val="20"/>
        </w:rPr>
        <w:t> </w:t>
      </w:r>
      <w:r>
        <w:rPr>
          <w:sz w:val="20"/>
        </w:rPr>
        <w:t>divergences</w:t>
      </w:r>
      <w:r>
        <w:rPr>
          <w:spacing w:val="-4"/>
          <w:sz w:val="20"/>
        </w:rPr>
        <w:t> </w:t>
      </w:r>
      <w:r>
        <w:rPr>
          <w:sz w:val="20"/>
        </w:rPr>
        <w:t>in</w:t>
      </w:r>
      <w:r>
        <w:rPr>
          <w:spacing w:val="-7"/>
          <w:sz w:val="20"/>
        </w:rPr>
        <w:t> </w:t>
      </w:r>
      <w:r>
        <w:rPr>
          <w:sz w:val="20"/>
        </w:rPr>
        <w:t>their</w:t>
      </w:r>
      <w:r>
        <w:rPr>
          <w:spacing w:val="-6"/>
          <w:sz w:val="20"/>
        </w:rPr>
        <w:t> </w:t>
      </w:r>
      <w:r>
        <w:rPr>
          <w:sz w:val="20"/>
        </w:rPr>
        <w:t>remuneration</w:t>
      </w:r>
      <w:r>
        <w:rPr>
          <w:spacing w:val="-2"/>
          <w:sz w:val="20"/>
        </w:rPr>
        <w:t> </w:t>
      </w:r>
      <w:r>
        <w:rPr>
          <w:sz w:val="20"/>
        </w:rPr>
        <w:t>for</w:t>
      </w:r>
      <w:r>
        <w:rPr>
          <w:spacing w:val="-6"/>
          <w:sz w:val="20"/>
        </w:rPr>
        <w:t> </w:t>
      </w:r>
      <w:r>
        <w:rPr>
          <w:sz w:val="20"/>
        </w:rPr>
        <w:t>a</w:t>
      </w:r>
      <w:r>
        <w:rPr>
          <w:spacing w:val="-4"/>
          <w:sz w:val="20"/>
        </w:rPr>
        <w:t> </w:t>
      </w:r>
      <w:r>
        <w:rPr>
          <w:sz w:val="20"/>
        </w:rPr>
        <w:t>number</w:t>
      </w:r>
      <w:r>
        <w:rPr>
          <w:spacing w:val="-6"/>
          <w:sz w:val="20"/>
        </w:rPr>
        <w:t> </w:t>
      </w:r>
      <w:r>
        <w:rPr>
          <w:sz w:val="20"/>
        </w:rPr>
        <w:t>of</w:t>
      </w:r>
      <w:r>
        <w:rPr>
          <w:spacing w:val="-3"/>
          <w:sz w:val="20"/>
        </w:rPr>
        <w:t> </w:t>
      </w:r>
      <w:r>
        <w:rPr>
          <w:sz w:val="20"/>
        </w:rPr>
        <w:t>reasons</w:t>
      </w:r>
      <w:r>
        <w:rPr>
          <w:spacing w:val="-4"/>
          <w:sz w:val="20"/>
        </w:rPr>
        <w:t> </w:t>
      </w:r>
      <w:r>
        <w:rPr>
          <w:sz w:val="20"/>
        </w:rPr>
        <w:t>(e.g.</w:t>
      </w:r>
      <w:r>
        <w:rPr>
          <w:spacing w:val="-5"/>
          <w:sz w:val="20"/>
        </w:rPr>
        <w:t> </w:t>
      </w:r>
      <w:r>
        <w:rPr>
          <w:sz w:val="20"/>
        </w:rPr>
        <w:t>the</w:t>
      </w:r>
      <w:r>
        <w:rPr>
          <w:spacing w:val="-5"/>
          <w:sz w:val="20"/>
        </w:rPr>
        <w:t> </w:t>
      </w:r>
      <w:r>
        <w:rPr>
          <w:sz w:val="20"/>
        </w:rPr>
        <w:t>type</w:t>
      </w:r>
      <w:r>
        <w:rPr>
          <w:spacing w:val="-7"/>
          <w:sz w:val="20"/>
        </w:rPr>
        <w:t> </w:t>
      </w:r>
      <w:r>
        <w:rPr>
          <w:sz w:val="20"/>
        </w:rPr>
        <w:t>of</w:t>
      </w:r>
      <w:r>
        <w:rPr>
          <w:spacing w:val="-5"/>
          <w:sz w:val="20"/>
        </w:rPr>
        <w:t> </w:t>
      </w:r>
      <w:r>
        <w:rPr>
          <w:sz w:val="20"/>
        </w:rPr>
        <w:t>products</w:t>
      </w:r>
      <w:r>
        <w:rPr>
          <w:spacing w:val="-5"/>
          <w:sz w:val="20"/>
        </w:rPr>
        <w:t> </w:t>
      </w:r>
      <w:r>
        <w:rPr>
          <w:sz w:val="20"/>
        </w:rPr>
        <w:t>sold</w:t>
      </w:r>
      <w:r>
        <w:rPr>
          <w:spacing w:val="-7"/>
          <w:sz w:val="20"/>
        </w:rPr>
        <w:t> </w:t>
      </w:r>
      <w:r>
        <w:rPr>
          <w:sz w:val="20"/>
        </w:rPr>
        <w:t>(high value</w:t>
      </w:r>
      <w:r>
        <w:rPr>
          <w:spacing w:val="-6"/>
          <w:sz w:val="20"/>
        </w:rPr>
        <w:t> </w:t>
      </w:r>
      <w:r>
        <w:rPr>
          <w:sz w:val="20"/>
        </w:rPr>
        <w:t>products</w:t>
      </w:r>
      <w:r>
        <w:rPr>
          <w:spacing w:val="-3"/>
          <w:sz w:val="20"/>
        </w:rPr>
        <w:t> </w:t>
      </w:r>
      <w:r>
        <w:rPr>
          <w:sz w:val="20"/>
        </w:rPr>
        <w:t>v.</w:t>
      </w:r>
      <w:r>
        <w:rPr>
          <w:spacing w:val="-5"/>
          <w:sz w:val="20"/>
        </w:rPr>
        <w:t> </w:t>
      </w:r>
      <w:r>
        <w:rPr>
          <w:sz w:val="20"/>
        </w:rPr>
        <w:t>commoditized</w:t>
      </w:r>
      <w:r>
        <w:rPr>
          <w:spacing w:val="-5"/>
          <w:sz w:val="20"/>
        </w:rPr>
        <w:t> </w:t>
      </w:r>
      <w:r>
        <w:rPr>
          <w:sz w:val="20"/>
        </w:rPr>
        <w:t>products)</w:t>
      </w:r>
      <w:r>
        <w:rPr>
          <w:spacing w:val="-4"/>
          <w:sz w:val="20"/>
        </w:rPr>
        <w:t> </w:t>
      </w:r>
      <w:r>
        <w:rPr>
          <w:sz w:val="20"/>
        </w:rPr>
        <w:t>or</w:t>
      </w:r>
      <w:r>
        <w:rPr>
          <w:spacing w:val="-4"/>
          <w:sz w:val="20"/>
        </w:rPr>
        <w:t> </w:t>
      </w:r>
      <w:r>
        <w:rPr>
          <w:sz w:val="20"/>
        </w:rPr>
        <w:t>the</w:t>
      </w:r>
      <w:r>
        <w:rPr>
          <w:spacing w:val="-5"/>
          <w:sz w:val="20"/>
        </w:rPr>
        <w:t> </w:t>
      </w:r>
      <w:r>
        <w:rPr>
          <w:sz w:val="20"/>
        </w:rPr>
        <w:t>intensity</w:t>
      </w:r>
      <w:r>
        <w:rPr>
          <w:spacing w:val="-7"/>
          <w:sz w:val="20"/>
        </w:rPr>
        <w:t> </w:t>
      </w:r>
      <w:r>
        <w:rPr>
          <w:sz w:val="20"/>
        </w:rPr>
        <w:t>and</w:t>
      </w:r>
      <w:r>
        <w:rPr>
          <w:spacing w:val="-5"/>
          <w:sz w:val="20"/>
        </w:rPr>
        <w:t> </w:t>
      </w:r>
      <w:r>
        <w:rPr>
          <w:sz w:val="20"/>
        </w:rPr>
        <w:t>effort</w:t>
      </w:r>
      <w:r>
        <w:rPr>
          <w:spacing w:val="-4"/>
          <w:sz w:val="20"/>
        </w:rPr>
        <w:t> </w:t>
      </w:r>
      <w:r>
        <w:rPr>
          <w:sz w:val="20"/>
        </w:rPr>
        <w:t>required</w:t>
      </w:r>
      <w:r>
        <w:rPr>
          <w:spacing w:val="-6"/>
          <w:sz w:val="20"/>
        </w:rPr>
        <w:t> </w:t>
      </w:r>
      <w:r>
        <w:rPr>
          <w:sz w:val="20"/>
        </w:rPr>
        <w:t>to</w:t>
      </w:r>
      <w:r>
        <w:rPr>
          <w:spacing w:val="-4"/>
          <w:sz w:val="20"/>
        </w:rPr>
        <w:t> </w:t>
      </w:r>
      <w:r>
        <w:rPr>
          <w:sz w:val="20"/>
        </w:rPr>
        <w:t>perform</w:t>
      </w:r>
      <w:r>
        <w:rPr>
          <w:spacing w:val="-3"/>
          <w:sz w:val="20"/>
        </w:rPr>
        <w:t> </w:t>
      </w:r>
      <w:r>
        <w:rPr>
          <w:sz w:val="20"/>
        </w:rPr>
        <w:t>the</w:t>
      </w:r>
      <w:r>
        <w:rPr>
          <w:spacing w:val="-7"/>
          <w:sz w:val="20"/>
        </w:rPr>
        <w:t> </w:t>
      </w:r>
      <w:r>
        <w:rPr>
          <w:sz w:val="20"/>
        </w:rPr>
        <w:t>marketing</w:t>
      </w:r>
      <w:r>
        <w:rPr>
          <w:spacing w:val="-5"/>
          <w:sz w:val="20"/>
        </w:rPr>
        <w:t> </w:t>
      </w:r>
      <w:r>
        <w:rPr>
          <w:sz w:val="20"/>
        </w:rPr>
        <w:t>and distribution</w:t>
      </w:r>
      <w:r>
        <w:rPr>
          <w:spacing w:val="-3"/>
          <w:sz w:val="20"/>
        </w:rPr>
        <w:t> </w:t>
      </w:r>
      <w:r>
        <w:rPr>
          <w:sz w:val="20"/>
        </w:rPr>
        <w:t>function).</w:t>
      </w:r>
    </w:p>
    <w:p>
      <w:pPr>
        <w:pStyle w:val="ListParagraph"/>
        <w:numPr>
          <w:ilvl w:val="0"/>
          <w:numId w:val="13"/>
        </w:numPr>
        <w:tabs>
          <w:tab w:pos="1444" w:val="left" w:leader="none"/>
        </w:tabs>
        <w:spacing w:line="271" w:lineRule="auto" w:before="121" w:after="0"/>
        <w:ind w:left="723" w:right="436" w:firstLine="0"/>
        <w:jc w:val="both"/>
        <w:rPr>
          <w:sz w:val="20"/>
        </w:rPr>
      </w:pPr>
      <w:r>
        <w:rPr>
          <w:sz w:val="20"/>
        </w:rPr>
        <w:t>Accordingly, further technical work is necessary to develop potentially different industry-based returns. These are likely to include: pharmaceutical, consumer products, automotive, and information and communication technology (ICT), but this list may be refined and others may be included on the basis of further technical work. These industries are likely to be the most relevant for the largest number of jurisdictions.</w:t>
      </w:r>
    </w:p>
    <w:p>
      <w:pPr>
        <w:pStyle w:val="BodyText"/>
      </w:pPr>
    </w:p>
    <w:p>
      <w:pPr>
        <w:pStyle w:val="Heading7"/>
        <w:spacing w:before="1"/>
        <w:rPr>
          <w:i/>
        </w:rPr>
      </w:pPr>
      <w:bookmarkStart w:name="Differentiation by functional intensity" w:id="402"/>
      <w:bookmarkEnd w:id="402"/>
      <w:r>
        <w:rPr>
          <w:i w:val="0"/>
        </w:rPr>
      </w:r>
      <w:r>
        <w:rPr>
          <w:i/>
          <w:color w:val="616161"/>
        </w:rPr>
        <w:t>Differentiation by functional intensity</w:t>
      </w:r>
    </w:p>
    <w:p>
      <w:pPr>
        <w:pStyle w:val="BodyText"/>
        <w:spacing w:before="9"/>
        <w:rPr>
          <w:i/>
          <w:sz w:val="18"/>
        </w:rPr>
      </w:pPr>
    </w:p>
    <w:p>
      <w:pPr>
        <w:pStyle w:val="ListParagraph"/>
        <w:numPr>
          <w:ilvl w:val="0"/>
          <w:numId w:val="13"/>
        </w:numPr>
        <w:tabs>
          <w:tab w:pos="1444" w:val="left" w:leader="none"/>
        </w:tabs>
        <w:spacing w:line="271" w:lineRule="auto" w:before="1" w:after="0"/>
        <w:ind w:left="723" w:right="432" w:firstLine="0"/>
        <w:jc w:val="both"/>
        <w:rPr>
          <w:sz w:val="20"/>
        </w:rPr>
      </w:pPr>
      <w:r>
        <w:rPr>
          <w:sz w:val="20"/>
        </w:rPr>
        <w:t>Under the ALP, greater functionality should generally be accompanied by a higher profit potential (or loss potential). Conversely, lower functionality should generally be accompanied by a lower but less variable</w:t>
      </w:r>
      <w:r>
        <w:rPr>
          <w:spacing w:val="-12"/>
          <w:sz w:val="20"/>
        </w:rPr>
        <w:t> </w:t>
      </w:r>
      <w:r>
        <w:rPr>
          <w:sz w:val="20"/>
        </w:rPr>
        <w:t>profit</w:t>
      </w:r>
      <w:r>
        <w:rPr>
          <w:spacing w:val="-13"/>
          <w:sz w:val="20"/>
        </w:rPr>
        <w:t> </w:t>
      </w:r>
      <w:r>
        <w:rPr>
          <w:sz w:val="20"/>
        </w:rPr>
        <w:t>potential.</w:t>
      </w:r>
      <w:r>
        <w:rPr>
          <w:spacing w:val="-14"/>
          <w:sz w:val="20"/>
        </w:rPr>
        <w:t> </w:t>
      </w:r>
      <w:r>
        <w:rPr>
          <w:sz w:val="20"/>
        </w:rPr>
        <w:t>On</w:t>
      </w:r>
      <w:r>
        <w:rPr>
          <w:spacing w:val="-11"/>
          <w:sz w:val="20"/>
        </w:rPr>
        <w:t> </w:t>
      </w:r>
      <w:r>
        <w:rPr>
          <w:sz w:val="20"/>
        </w:rPr>
        <w:t>the</w:t>
      </w:r>
      <w:r>
        <w:rPr>
          <w:spacing w:val="-12"/>
          <w:sz w:val="20"/>
        </w:rPr>
        <w:t> </w:t>
      </w:r>
      <w:r>
        <w:rPr>
          <w:sz w:val="20"/>
        </w:rPr>
        <w:t>assumption</w:t>
      </w:r>
      <w:r>
        <w:rPr>
          <w:spacing w:val="-10"/>
          <w:sz w:val="20"/>
        </w:rPr>
        <w:t> </w:t>
      </w:r>
      <w:r>
        <w:rPr>
          <w:sz w:val="20"/>
        </w:rPr>
        <w:t>that</w:t>
      </w:r>
      <w:r>
        <w:rPr>
          <w:spacing w:val="-14"/>
          <w:sz w:val="20"/>
        </w:rPr>
        <w:t> </w:t>
      </w:r>
      <w:r>
        <w:rPr>
          <w:sz w:val="20"/>
        </w:rPr>
        <w:t>the</w:t>
      </w:r>
      <w:r>
        <w:rPr>
          <w:spacing w:val="-10"/>
          <w:sz w:val="20"/>
        </w:rPr>
        <w:t> </w:t>
      </w:r>
      <w:r>
        <w:rPr>
          <w:sz w:val="20"/>
        </w:rPr>
        <w:t>narrow</w:t>
      </w:r>
      <w:r>
        <w:rPr>
          <w:spacing w:val="-16"/>
          <w:sz w:val="20"/>
        </w:rPr>
        <w:t> </w:t>
      </w:r>
      <w:r>
        <w:rPr>
          <w:sz w:val="20"/>
        </w:rPr>
        <w:t>scope</w:t>
      </w:r>
      <w:r>
        <w:rPr>
          <w:spacing w:val="-11"/>
          <w:sz w:val="20"/>
        </w:rPr>
        <w:t> </w:t>
      </w:r>
      <w:r>
        <w:rPr>
          <w:sz w:val="20"/>
        </w:rPr>
        <w:t>of</w:t>
      </w:r>
      <w:r>
        <w:rPr>
          <w:spacing w:val="-12"/>
          <w:sz w:val="20"/>
        </w:rPr>
        <w:t> </w:t>
      </w:r>
      <w:r>
        <w:rPr>
          <w:sz w:val="20"/>
        </w:rPr>
        <w:t>Amount</w:t>
      </w:r>
      <w:r>
        <w:rPr>
          <w:spacing w:val="-11"/>
          <w:sz w:val="20"/>
        </w:rPr>
        <w:t> </w:t>
      </w:r>
      <w:r>
        <w:rPr>
          <w:sz w:val="20"/>
        </w:rPr>
        <w:t>B</w:t>
      </w:r>
      <w:r>
        <w:rPr>
          <w:spacing w:val="-12"/>
          <w:sz w:val="20"/>
        </w:rPr>
        <w:t> </w:t>
      </w:r>
      <w:r>
        <w:rPr>
          <w:sz w:val="20"/>
        </w:rPr>
        <w:t>set</w:t>
      </w:r>
      <w:r>
        <w:rPr>
          <w:spacing w:val="-11"/>
          <w:sz w:val="20"/>
        </w:rPr>
        <w:t> </w:t>
      </w:r>
      <w:r>
        <w:rPr>
          <w:sz w:val="20"/>
        </w:rPr>
        <w:t>out</w:t>
      </w:r>
      <w:r>
        <w:rPr>
          <w:spacing w:val="-14"/>
          <w:sz w:val="20"/>
        </w:rPr>
        <w:t> </w:t>
      </w:r>
      <w:r>
        <w:rPr>
          <w:sz w:val="20"/>
        </w:rPr>
        <w:t>here</w:t>
      </w:r>
      <w:r>
        <w:rPr>
          <w:spacing w:val="-10"/>
          <w:sz w:val="20"/>
        </w:rPr>
        <w:t> </w:t>
      </w:r>
      <w:r>
        <w:rPr>
          <w:sz w:val="20"/>
        </w:rPr>
        <w:t>is</w:t>
      </w:r>
      <w:r>
        <w:rPr>
          <w:spacing w:val="-12"/>
          <w:sz w:val="20"/>
        </w:rPr>
        <w:t> </w:t>
      </w:r>
      <w:r>
        <w:rPr>
          <w:sz w:val="20"/>
        </w:rPr>
        <w:t>the</w:t>
      </w:r>
      <w:r>
        <w:rPr>
          <w:spacing w:val="-11"/>
          <w:sz w:val="20"/>
        </w:rPr>
        <w:t> </w:t>
      </w:r>
      <w:r>
        <w:rPr>
          <w:sz w:val="20"/>
        </w:rPr>
        <w:t>one</w:t>
      </w:r>
      <w:r>
        <w:rPr>
          <w:spacing w:val="-12"/>
          <w:sz w:val="20"/>
        </w:rPr>
        <w:t> </w:t>
      </w:r>
      <w:r>
        <w:rPr>
          <w:sz w:val="20"/>
        </w:rPr>
        <w:t>used, no attempt is made to account for functional intensity, as broadening the scope of baseline activities may increase</w:t>
      </w:r>
      <w:r>
        <w:rPr>
          <w:spacing w:val="-5"/>
          <w:sz w:val="20"/>
        </w:rPr>
        <w:t> </w:t>
      </w:r>
      <w:r>
        <w:rPr>
          <w:sz w:val="20"/>
        </w:rPr>
        <w:t>complexity</w:t>
      </w:r>
      <w:r>
        <w:rPr>
          <w:spacing w:val="-5"/>
          <w:sz w:val="20"/>
        </w:rPr>
        <w:t> </w:t>
      </w:r>
      <w:r>
        <w:rPr>
          <w:sz w:val="20"/>
        </w:rPr>
        <w:t>and</w:t>
      </w:r>
      <w:r>
        <w:rPr>
          <w:spacing w:val="-2"/>
          <w:sz w:val="20"/>
        </w:rPr>
        <w:t> </w:t>
      </w:r>
      <w:r>
        <w:rPr>
          <w:sz w:val="20"/>
        </w:rPr>
        <w:t>increase</w:t>
      </w:r>
      <w:r>
        <w:rPr>
          <w:spacing w:val="-5"/>
          <w:sz w:val="20"/>
        </w:rPr>
        <w:t> </w:t>
      </w:r>
      <w:r>
        <w:rPr>
          <w:sz w:val="20"/>
        </w:rPr>
        <w:t>the</w:t>
      </w:r>
      <w:r>
        <w:rPr>
          <w:spacing w:val="-2"/>
          <w:sz w:val="20"/>
        </w:rPr>
        <w:t> </w:t>
      </w:r>
      <w:r>
        <w:rPr>
          <w:sz w:val="20"/>
        </w:rPr>
        <w:t>areas</w:t>
      </w:r>
      <w:r>
        <w:rPr>
          <w:spacing w:val="-3"/>
          <w:sz w:val="20"/>
        </w:rPr>
        <w:t> </w:t>
      </w:r>
      <w:r>
        <w:rPr>
          <w:sz w:val="20"/>
        </w:rPr>
        <w:t>for</w:t>
      </w:r>
      <w:r>
        <w:rPr>
          <w:spacing w:val="-5"/>
          <w:sz w:val="20"/>
        </w:rPr>
        <w:t> </w:t>
      </w:r>
      <w:r>
        <w:rPr>
          <w:sz w:val="20"/>
        </w:rPr>
        <w:t>dispute.</w:t>
      </w:r>
      <w:r>
        <w:rPr>
          <w:spacing w:val="-5"/>
          <w:sz w:val="20"/>
        </w:rPr>
        <w:t> </w:t>
      </w:r>
      <w:r>
        <w:rPr>
          <w:sz w:val="20"/>
        </w:rPr>
        <w:t>However,</w:t>
      </w:r>
      <w:r>
        <w:rPr>
          <w:spacing w:val="-4"/>
          <w:sz w:val="20"/>
        </w:rPr>
        <w:t> </w:t>
      </w:r>
      <w:r>
        <w:rPr>
          <w:sz w:val="20"/>
        </w:rPr>
        <w:t>functional</w:t>
      </w:r>
      <w:r>
        <w:rPr>
          <w:spacing w:val="-4"/>
          <w:sz w:val="20"/>
        </w:rPr>
        <w:t> </w:t>
      </w:r>
      <w:r>
        <w:rPr>
          <w:sz w:val="20"/>
        </w:rPr>
        <w:t>intensity</w:t>
      </w:r>
      <w:r>
        <w:rPr>
          <w:spacing w:val="5"/>
          <w:sz w:val="20"/>
        </w:rPr>
        <w:t> </w:t>
      </w:r>
      <w:r>
        <w:rPr>
          <w:sz w:val="20"/>
        </w:rPr>
        <w:t>adjustments</w:t>
      </w:r>
      <w:r>
        <w:rPr>
          <w:spacing w:val="-3"/>
          <w:sz w:val="20"/>
        </w:rPr>
        <w:t> </w:t>
      </w:r>
      <w:r>
        <w:rPr>
          <w:sz w:val="20"/>
        </w:rPr>
        <w:t>may</w:t>
      </w:r>
      <w:r>
        <w:rPr>
          <w:spacing w:val="-8"/>
          <w:sz w:val="20"/>
        </w:rPr>
        <w:t> </w:t>
      </w:r>
      <w:r>
        <w:rPr>
          <w:sz w:val="20"/>
        </w:rPr>
        <w:t>be</w:t>
      </w:r>
    </w:p>
    <w:p>
      <w:pPr>
        <w:pStyle w:val="BodyText"/>
      </w:pPr>
    </w:p>
    <w:p>
      <w:pPr>
        <w:pStyle w:val="BodyText"/>
      </w:pPr>
    </w:p>
    <w:p>
      <w:pPr>
        <w:pStyle w:val="BodyText"/>
      </w:pPr>
    </w:p>
    <w:p>
      <w:pPr>
        <w:pStyle w:val="BodyText"/>
        <w:spacing w:before="6"/>
        <w:rPr>
          <w:sz w:val="11"/>
        </w:rPr>
      </w:pPr>
      <w:r>
        <w:rPr/>
        <w:pict>
          <v:rect style="position:absolute;margin-left:65.183998pt;margin-top:8.57997pt;width:144.020004pt;height:.599980pt;mso-position-horizontal-relative:page;mso-position-vertical-relative:paragraph;z-index:-15645184;mso-wrap-distance-left:0;mso-wrap-distance-right:0" filled="true" fillcolor="#000000" stroked="false">
            <v:fill type="solid"/>
            <w10:wrap type="topAndBottom"/>
          </v:rect>
        </w:pict>
      </w:r>
    </w:p>
    <w:p>
      <w:pPr>
        <w:pStyle w:val="BodyText"/>
        <w:spacing w:before="7"/>
        <w:rPr>
          <w:sz w:val="18"/>
        </w:rPr>
      </w:pPr>
    </w:p>
    <w:p>
      <w:pPr>
        <w:spacing w:line="278" w:lineRule="auto" w:before="96"/>
        <w:ind w:left="865" w:right="485" w:firstLine="0"/>
        <w:jc w:val="both"/>
        <w:rPr>
          <w:sz w:val="18"/>
        </w:rPr>
      </w:pPr>
      <w:r>
        <w:rPr>
          <w:position w:val="6"/>
          <w:sz w:val="13"/>
        </w:rPr>
        <w:t>152 </w:t>
      </w:r>
      <w:r>
        <w:rPr>
          <w:sz w:val="18"/>
        </w:rPr>
        <w:t>Meaning that the TNMM and the return on sales set at the EBIT level should represent the most appropriate method and PLI respectively, and be consistent with the operation of the ALP under the existing transfer pricing guidelines.</w:t>
      </w:r>
    </w:p>
    <w:p>
      <w:pPr>
        <w:spacing w:before="106"/>
        <w:ind w:left="865" w:right="0" w:firstLine="0"/>
        <w:jc w:val="both"/>
        <w:rPr>
          <w:sz w:val="18"/>
        </w:rPr>
      </w:pPr>
      <w:r>
        <w:rPr>
          <w:position w:val="6"/>
          <w:sz w:val="13"/>
        </w:rPr>
        <w:t>153 </w:t>
      </w:r>
      <w:r>
        <w:rPr>
          <w:sz w:val="18"/>
        </w:rPr>
        <w:t>See paragraph 1.110 TPG.</w:t>
      </w:r>
    </w:p>
    <w:p>
      <w:pPr>
        <w:spacing w:after="0"/>
        <w:jc w:val="both"/>
        <w:rPr>
          <w:sz w:val="18"/>
        </w:rPr>
        <w:sectPr>
          <w:pgSz w:w="11910" w:h="16840"/>
          <w:pgMar w:header="1244" w:footer="1638" w:top="1500" w:bottom="1820" w:left="580" w:right="820"/>
        </w:sectPr>
      </w:pPr>
    </w:p>
    <w:p>
      <w:pPr>
        <w:pStyle w:val="BodyText"/>
        <w:spacing w:before="5"/>
      </w:pPr>
    </w:p>
    <w:p>
      <w:pPr>
        <w:pStyle w:val="BodyText"/>
        <w:spacing w:line="266" w:lineRule="auto" w:before="93"/>
        <w:ind w:left="723" w:right="444"/>
        <w:jc w:val="both"/>
      </w:pPr>
      <w:r>
        <w:rPr/>
        <w:t>required if commissionaires and sales agents are included in the scope of Amount B, as these types of entities may receive lower returns than buy/sell distributors.</w:t>
      </w:r>
      <w:r>
        <w:rPr>
          <w:vertAlign w:val="superscript"/>
        </w:rPr>
        <w:t>154</w:t>
      </w:r>
    </w:p>
    <w:p>
      <w:pPr>
        <w:pStyle w:val="BodyText"/>
        <w:spacing w:before="9"/>
      </w:pPr>
    </w:p>
    <w:p>
      <w:pPr>
        <w:pStyle w:val="Heading7"/>
        <w:rPr>
          <w:i/>
        </w:rPr>
      </w:pPr>
      <w:bookmarkStart w:name="Process for determining the quantum of f" w:id="403"/>
      <w:bookmarkEnd w:id="403"/>
      <w:r>
        <w:rPr>
          <w:i w:val="0"/>
        </w:rPr>
      </w:r>
      <w:r>
        <w:rPr>
          <w:i/>
          <w:color w:val="616161"/>
        </w:rPr>
        <w:t>Process for determining the quantum of fixed returns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78" w:firstLine="0"/>
        <w:jc w:val="both"/>
        <w:rPr>
          <w:sz w:val="20"/>
        </w:rPr>
      </w:pPr>
      <w:r>
        <w:rPr>
          <w:sz w:val="20"/>
        </w:rPr>
        <w:t>Establishing the specific fixed return for the baseline marketing and distribution activities will require the preparation of reference benchmarking sets for each </w:t>
      </w:r>
      <w:r>
        <w:rPr>
          <w:spacing w:val="3"/>
          <w:sz w:val="20"/>
        </w:rPr>
        <w:t>of </w:t>
      </w:r>
      <w:r>
        <w:rPr>
          <w:sz w:val="20"/>
        </w:rPr>
        <w:t>the regions to which differentiated returns</w:t>
      </w:r>
      <w:r>
        <w:rPr>
          <w:spacing w:val="-11"/>
          <w:sz w:val="20"/>
        </w:rPr>
        <w:t> </w:t>
      </w:r>
      <w:r>
        <w:rPr>
          <w:sz w:val="20"/>
        </w:rPr>
        <w:t>should</w:t>
      </w:r>
      <w:r>
        <w:rPr>
          <w:spacing w:val="-13"/>
          <w:sz w:val="20"/>
        </w:rPr>
        <w:t> </w:t>
      </w:r>
      <w:r>
        <w:rPr>
          <w:sz w:val="20"/>
        </w:rPr>
        <w:t>apply.</w:t>
      </w:r>
      <w:r>
        <w:rPr>
          <w:spacing w:val="-11"/>
          <w:sz w:val="20"/>
        </w:rPr>
        <w:t> </w:t>
      </w:r>
      <w:r>
        <w:rPr>
          <w:sz w:val="20"/>
        </w:rPr>
        <w:t>To</w:t>
      </w:r>
      <w:r>
        <w:rPr>
          <w:spacing w:val="-13"/>
          <w:sz w:val="20"/>
        </w:rPr>
        <w:t> </w:t>
      </w:r>
      <w:r>
        <w:rPr>
          <w:sz w:val="20"/>
        </w:rPr>
        <w:t>finalise</w:t>
      </w:r>
      <w:r>
        <w:rPr>
          <w:spacing w:val="-10"/>
          <w:sz w:val="20"/>
        </w:rPr>
        <w:t> </w:t>
      </w:r>
      <w:r>
        <w:rPr>
          <w:sz w:val="20"/>
        </w:rPr>
        <w:t>each</w:t>
      </w:r>
      <w:r>
        <w:rPr>
          <w:spacing w:val="-12"/>
          <w:sz w:val="20"/>
        </w:rPr>
        <w:t> </w:t>
      </w:r>
      <w:r>
        <w:rPr>
          <w:sz w:val="20"/>
        </w:rPr>
        <w:t>reference</w:t>
      </w:r>
      <w:r>
        <w:rPr>
          <w:spacing w:val="-13"/>
          <w:sz w:val="20"/>
        </w:rPr>
        <w:t> </w:t>
      </w:r>
      <w:r>
        <w:rPr>
          <w:sz w:val="20"/>
        </w:rPr>
        <w:t>set</w:t>
      </w:r>
      <w:r>
        <w:rPr>
          <w:spacing w:val="-10"/>
          <w:sz w:val="20"/>
        </w:rPr>
        <w:t> </w:t>
      </w:r>
      <w:r>
        <w:rPr>
          <w:sz w:val="20"/>
        </w:rPr>
        <w:t>will</w:t>
      </w:r>
      <w:r>
        <w:rPr>
          <w:spacing w:val="-11"/>
          <w:sz w:val="20"/>
        </w:rPr>
        <w:t> </w:t>
      </w:r>
      <w:r>
        <w:rPr>
          <w:sz w:val="20"/>
        </w:rPr>
        <w:t>also</w:t>
      </w:r>
      <w:r>
        <w:rPr>
          <w:spacing w:val="-12"/>
          <w:sz w:val="20"/>
        </w:rPr>
        <w:t> </w:t>
      </w:r>
      <w:r>
        <w:rPr>
          <w:sz w:val="20"/>
        </w:rPr>
        <w:t>require</w:t>
      </w:r>
      <w:r>
        <w:rPr>
          <w:spacing w:val="-13"/>
          <w:sz w:val="20"/>
        </w:rPr>
        <w:t> </w:t>
      </w:r>
      <w:r>
        <w:rPr>
          <w:sz w:val="20"/>
        </w:rPr>
        <w:t>a</w:t>
      </w:r>
      <w:r>
        <w:rPr>
          <w:spacing w:val="-12"/>
          <w:sz w:val="20"/>
        </w:rPr>
        <w:t> </w:t>
      </w:r>
      <w:r>
        <w:rPr>
          <w:sz w:val="20"/>
        </w:rPr>
        <w:t>consistent</w:t>
      </w:r>
      <w:r>
        <w:rPr>
          <w:spacing w:val="-13"/>
          <w:sz w:val="20"/>
        </w:rPr>
        <w:t> </w:t>
      </w:r>
      <w:r>
        <w:rPr>
          <w:sz w:val="20"/>
        </w:rPr>
        <w:t>definition</w:t>
      </w:r>
      <w:r>
        <w:rPr>
          <w:spacing w:val="-12"/>
          <w:sz w:val="20"/>
        </w:rPr>
        <w:t> </w:t>
      </w:r>
      <w:r>
        <w:rPr>
          <w:sz w:val="20"/>
        </w:rPr>
        <w:t>to</w:t>
      </w:r>
      <w:r>
        <w:rPr>
          <w:spacing w:val="-13"/>
          <w:sz w:val="20"/>
        </w:rPr>
        <w:t> </w:t>
      </w:r>
      <w:r>
        <w:rPr>
          <w:sz w:val="20"/>
        </w:rPr>
        <w:t>be</w:t>
      </w:r>
      <w:r>
        <w:rPr>
          <w:spacing w:val="-13"/>
          <w:sz w:val="20"/>
        </w:rPr>
        <w:t> </w:t>
      </w:r>
      <w:r>
        <w:rPr>
          <w:sz w:val="20"/>
        </w:rPr>
        <w:t>developed for each of the industries for which a reference benchmarking set will be prepared. The development of the reference sets will proceed by locating potentially comparable independent companies within each industry</w:t>
      </w:r>
      <w:r>
        <w:rPr>
          <w:spacing w:val="-12"/>
          <w:sz w:val="20"/>
        </w:rPr>
        <w:t> </w:t>
      </w:r>
      <w:r>
        <w:rPr>
          <w:sz w:val="20"/>
        </w:rPr>
        <w:t>and</w:t>
      </w:r>
      <w:r>
        <w:rPr>
          <w:spacing w:val="-9"/>
          <w:sz w:val="20"/>
        </w:rPr>
        <w:t> </w:t>
      </w:r>
      <w:r>
        <w:rPr>
          <w:sz w:val="20"/>
        </w:rPr>
        <w:t>region</w:t>
      </w:r>
      <w:r>
        <w:rPr>
          <w:spacing w:val="-8"/>
          <w:sz w:val="20"/>
        </w:rPr>
        <w:t> </w:t>
      </w:r>
      <w:r>
        <w:rPr>
          <w:sz w:val="20"/>
        </w:rPr>
        <w:t>for</w:t>
      </w:r>
      <w:r>
        <w:rPr>
          <w:spacing w:val="-6"/>
          <w:sz w:val="20"/>
        </w:rPr>
        <w:t> </w:t>
      </w:r>
      <w:r>
        <w:rPr>
          <w:sz w:val="20"/>
        </w:rPr>
        <w:t>which</w:t>
      </w:r>
      <w:r>
        <w:rPr>
          <w:spacing w:val="-9"/>
          <w:sz w:val="20"/>
        </w:rPr>
        <w:t> </w:t>
      </w:r>
      <w:r>
        <w:rPr>
          <w:sz w:val="20"/>
        </w:rPr>
        <w:t>a</w:t>
      </w:r>
      <w:r>
        <w:rPr>
          <w:spacing w:val="-8"/>
          <w:sz w:val="20"/>
        </w:rPr>
        <w:t> </w:t>
      </w:r>
      <w:r>
        <w:rPr>
          <w:sz w:val="20"/>
        </w:rPr>
        <w:t>benchmarked</w:t>
      </w:r>
      <w:r>
        <w:rPr>
          <w:spacing w:val="-9"/>
          <w:sz w:val="20"/>
        </w:rPr>
        <w:t> </w:t>
      </w:r>
      <w:r>
        <w:rPr>
          <w:sz w:val="20"/>
        </w:rPr>
        <w:t>return</w:t>
      </w:r>
      <w:r>
        <w:rPr>
          <w:spacing w:val="-7"/>
          <w:sz w:val="20"/>
        </w:rPr>
        <w:t> </w:t>
      </w:r>
      <w:r>
        <w:rPr>
          <w:sz w:val="20"/>
        </w:rPr>
        <w:t>on</w:t>
      </w:r>
      <w:r>
        <w:rPr>
          <w:spacing w:val="-7"/>
          <w:sz w:val="20"/>
        </w:rPr>
        <w:t> </w:t>
      </w:r>
      <w:r>
        <w:rPr>
          <w:sz w:val="20"/>
        </w:rPr>
        <w:t>sales</w:t>
      </w:r>
      <w:r>
        <w:rPr>
          <w:spacing w:val="-5"/>
          <w:sz w:val="20"/>
        </w:rPr>
        <w:t> </w:t>
      </w:r>
      <w:r>
        <w:rPr>
          <w:sz w:val="20"/>
        </w:rPr>
        <w:t>will</w:t>
      </w:r>
      <w:r>
        <w:rPr>
          <w:spacing w:val="-7"/>
          <w:sz w:val="20"/>
        </w:rPr>
        <w:t> </w:t>
      </w:r>
      <w:r>
        <w:rPr>
          <w:sz w:val="20"/>
        </w:rPr>
        <w:t>be</w:t>
      </w:r>
      <w:r>
        <w:rPr>
          <w:spacing w:val="-7"/>
          <w:sz w:val="20"/>
        </w:rPr>
        <w:t> </w:t>
      </w:r>
      <w:r>
        <w:rPr>
          <w:sz w:val="20"/>
        </w:rPr>
        <w:t>calculated.</w:t>
      </w:r>
      <w:r>
        <w:rPr>
          <w:spacing w:val="-9"/>
          <w:sz w:val="20"/>
        </w:rPr>
        <w:t> </w:t>
      </w:r>
      <w:r>
        <w:rPr>
          <w:sz w:val="20"/>
        </w:rPr>
        <w:t>This</w:t>
      </w:r>
      <w:r>
        <w:rPr>
          <w:spacing w:val="-7"/>
          <w:sz w:val="20"/>
        </w:rPr>
        <w:t> </w:t>
      </w:r>
      <w:r>
        <w:rPr>
          <w:sz w:val="20"/>
        </w:rPr>
        <w:t>will</w:t>
      </w:r>
      <w:r>
        <w:rPr>
          <w:spacing w:val="-10"/>
          <w:sz w:val="20"/>
        </w:rPr>
        <w:t> </w:t>
      </w:r>
      <w:r>
        <w:rPr>
          <w:sz w:val="20"/>
        </w:rPr>
        <w:t>in</w:t>
      </w:r>
      <w:r>
        <w:rPr>
          <w:spacing w:val="-9"/>
          <w:sz w:val="20"/>
        </w:rPr>
        <w:t> </w:t>
      </w:r>
      <w:r>
        <w:rPr>
          <w:sz w:val="20"/>
        </w:rPr>
        <w:t>turn</w:t>
      </w:r>
      <w:r>
        <w:rPr>
          <w:spacing w:val="-5"/>
          <w:sz w:val="20"/>
        </w:rPr>
        <w:t> </w:t>
      </w:r>
      <w:r>
        <w:rPr>
          <w:sz w:val="20"/>
        </w:rPr>
        <w:t>require</w:t>
      </w:r>
      <w:r>
        <w:rPr>
          <w:spacing w:val="-9"/>
          <w:sz w:val="20"/>
        </w:rPr>
        <w:t> </w:t>
      </w:r>
      <w:r>
        <w:rPr>
          <w:sz w:val="20"/>
        </w:rPr>
        <w:t>the development of a specific search strategy to find such comparable companies, including a fixed definition of independence, the specific use of industry classification codes and other qualitative and quantitative criteria by which potentially comparable companies may be reviewed to ascertain whether or </w:t>
      </w:r>
      <w:r>
        <w:rPr>
          <w:spacing w:val="2"/>
          <w:sz w:val="20"/>
        </w:rPr>
        <w:t>not </w:t>
      </w:r>
      <w:r>
        <w:rPr>
          <w:sz w:val="20"/>
        </w:rPr>
        <w:t>they should</w:t>
      </w:r>
      <w:r>
        <w:rPr>
          <w:spacing w:val="-15"/>
          <w:sz w:val="20"/>
        </w:rPr>
        <w:t> </w:t>
      </w:r>
      <w:r>
        <w:rPr>
          <w:sz w:val="20"/>
        </w:rPr>
        <w:t>be</w:t>
      </w:r>
      <w:r>
        <w:rPr>
          <w:spacing w:val="-14"/>
          <w:sz w:val="20"/>
        </w:rPr>
        <w:t> </w:t>
      </w:r>
      <w:r>
        <w:rPr>
          <w:sz w:val="20"/>
        </w:rPr>
        <w:t>included</w:t>
      </w:r>
      <w:r>
        <w:rPr>
          <w:spacing w:val="-14"/>
          <w:sz w:val="20"/>
        </w:rPr>
        <w:t> </w:t>
      </w:r>
      <w:r>
        <w:rPr>
          <w:sz w:val="20"/>
        </w:rPr>
        <w:t>in</w:t>
      </w:r>
      <w:r>
        <w:rPr>
          <w:spacing w:val="-14"/>
          <w:sz w:val="20"/>
        </w:rPr>
        <w:t> </w:t>
      </w:r>
      <w:r>
        <w:rPr>
          <w:sz w:val="20"/>
        </w:rPr>
        <w:t>the</w:t>
      </w:r>
      <w:r>
        <w:rPr>
          <w:spacing w:val="-14"/>
          <w:sz w:val="20"/>
        </w:rPr>
        <w:t> </w:t>
      </w:r>
      <w:r>
        <w:rPr>
          <w:sz w:val="20"/>
        </w:rPr>
        <w:t>reference</w:t>
      </w:r>
      <w:r>
        <w:rPr>
          <w:spacing w:val="-16"/>
          <w:sz w:val="20"/>
        </w:rPr>
        <w:t> </w:t>
      </w:r>
      <w:r>
        <w:rPr>
          <w:sz w:val="20"/>
        </w:rPr>
        <w:t>set.</w:t>
      </w:r>
      <w:r>
        <w:rPr>
          <w:spacing w:val="-15"/>
          <w:sz w:val="20"/>
        </w:rPr>
        <w:t> </w:t>
      </w:r>
      <w:r>
        <w:rPr>
          <w:sz w:val="20"/>
        </w:rPr>
        <w:t>Finally,</w:t>
      </w:r>
      <w:r>
        <w:rPr>
          <w:spacing w:val="-14"/>
          <w:sz w:val="20"/>
        </w:rPr>
        <w:t> </w:t>
      </w:r>
      <w:r>
        <w:rPr>
          <w:sz w:val="20"/>
        </w:rPr>
        <w:t>the</w:t>
      </w:r>
      <w:r>
        <w:rPr>
          <w:spacing w:val="-14"/>
          <w:sz w:val="20"/>
        </w:rPr>
        <w:t> </w:t>
      </w:r>
      <w:r>
        <w:rPr>
          <w:sz w:val="20"/>
        </w:rPr>
        <w:t>profit</w:t>
      </w:r>
      <w:r>
        <w:rPr>
          <w:spacing w:val="-16"/>
          <w:sz w:val="20"/>
        </w:rPr>
        <w:t> </w:t>
      </w:r>
      <w:r>
        <w:rPr>
          <w:sz w:val="20"/>
        </w:rPr>
        <w:t>level</w:t>
      </w:r>
      <w:r>
        <w:rPr>
          <w:spacing w:val="-15"/>
          <w:sz w:val="20"/>
        </w:rPr>
        <w:t> </w:t>
      </w:r>
      <w:r>
        <w:rPr>
          <w:sz w:val="20"/>
        </w:rPr>
        <w:t>indicator</w:t>
      </w:r>
      <w:r>
        <w:rPr>
          <w:spacing w:val="-13"/>
          <w:sz w:val="20"/>
        </w:rPr>
        <w:t> </w:t>
      </w:r>
      <w:r>
        <w:rPr>
          <w:sz w:val="20"/>
        </w:rPr>
        <w:t>will</w:t>
      </w:r>
      <w:r>
        <w:rPr>
          <w:spacing w:val="-15"/>
          <w:sz w:val="20"/>
        </w:rPr>
        <w:t> </w:t>
      </w:r>
      <w:r>
        <w:rPr>
          <w:sz w:val="20"/>
        </w:rPr>
        <w:t>be</w:t>
      </w:r>
      <w:r>
        <w:rPr>
          <w:spacing w:val="-14"/>
          <w:sz w:val="20"/>
        </w:rPr>
        <w:t> </w:t>
      </w:r>
      <w:r>
        <w:rPr>
          <w:sz w:val="20"/>
        </w:rPr>
        <w:t>calculated</w:t>
      </w:r>
      <w:r>
        <w:rPr>
          <w:spacing w:val="-16"/>
          <w:sz w:val="20"/>
        </w:rPr>
        <w:t> </w:t>
      </w:r>
      <w:r>
        <w:rPr>
          <w:sz w:val="20"/>
        </w:rPr>
        <w:t>(with</w:t>
      </w:r>
      <w:r>
        <w:rPr>
          <w:spacing w:val="-14"/>
          <w:sz w:val="20"/>
        </w:rPr>
        <w:t> </w:t>
      </w:r>
      <w:r>
        <w:rPr>
          <w:sz w:val="20"/>
        </w:rPr>
        <w:t>the</w:t>
      </w:r>
      <w:r>
        <w:rPr>
          <w:spacing w:val="-14"/>
          <w:sz w:val="20"/>
        </w:rPr>
        <w:t> </w:t>
      </w:r>
      <w:r>
        <w:rPr>
          <w:sz w:val="20"/>
        </w:rPr>
        <w:t>potential to make certain comparability adjustments which are to be defined) to establish the range of potentially appropriate fixed</w:t>
      </w:r>
      <w:r>
        <w:rPr>
          <w:spacing w:val="-4"/>
          <w:sz w:val="20"/>
        </w:rPr>
        <w:t> </w:t>
      </w:r>
      <w:r>
        <w:rPr>
          <w:sz w:val="20"/>
        </w:rPr>
        <w:t>returns.</w:t>
      </w:r>
    </w:p>
    <w:p>
      <w:pPr>
        <w:pStyle w:val="ListParagraph"/>
        <w:numPr>
          <w:ilvl w:val="0"/>
          <w:numId w:val="13"/>
        </w:numPr>
        <w:tabs>
          <w:tab w:pos="1444" w:val="left" w:leader="none"/>
        </w:tabs>
        <w:spacing w:line="271" w:lineRule="auto" w:before="122" w:after="0"/>
        <w:ind w:left="723" w:right="434" w:firstLine="0"/>
        <w:jc w:val="both"/>
        <w:rPr>
          <w:sz w:val="20"/>
        </w:rPr>
      </w:pPr>
      <w:r>
        <w:rPr>
          <w:sz w:val="20"/>
        </w:rPr>
        <w:t>Consistency with the ALP requires that the determination of the quantum of fixed returns for Amount B be informed by benchmarking studies based on publicly available information (noting the comments above). To this end, consideration will be given to issues such</w:t>
      </w:r>
      <w:r>
        <w:rPr>
          <w:spacing w:val="-10"/>
          <w:sz w:val="20"/>
        </w:rPr>
        <w:t> </w:t>
      </w:r>
      <w:r>
        <w:rPr>
          <w:sz w:val="20"/>
        </w:rPr>
        <w:t>as:</w:t>
      </w:r>
    </w:p>
    <w:p>
      <w:pPr>
        <w:pStyle w:val="ListParagraph"/>
        <w:numPr>
          <w:ilvl w:val="1"/>
          <w:numId w:val="13"/>
        </w:numPr>
        <w:tabs>
          <w:tab w:pos="1403" w:val="left" w:leader="none"/>
        </w:tabs>
        <w:spacing w:line="266" w:lineRule="auto" w:before="99" w:after="0"/>
        <w:ind w:left="1402" w:right="495" w:hanging="339"/>
        <w:jc w:val="both"/>
        <w:rPr>
          <w:sz w:val="20"/>
        </w:rPr>
      </w:pPr>
      <w:r>
        <w:rPr>
          <w:sz w:val="20"/>
        </w:rPr>
        <w:t>Whether to use data for a single year or a weighted average of multiple years to determine the fixed</w:t>
      </w:r>
      <w:r>
        <w:rPr>
          <w:spacing w:val="-3"/>
          <w:sz w:val="20"/>
        </w:rPr>
        <w:t> </w:t>
      </w:r>
      <w:r>
        <w:rPr>
          <w:sz w:val="20"/>
        </w:rPr>
        <w:t>return;</w:t>
      </w:r>
    </w:p>
    <w:p>
      <w:pPr>
        <w:pStyle w:val="ListParagraph"/>
        <w:numPr>
          <w:ilvl w:val="1"/>
          <w:numId w:val="13"/>
        </w:numPr>
        <w:tabs>
          <w:tab w:pos="1403" w:val="left" w:leader="none"/>
        </w:tabs>
        <w:spacing w:line="268" w:lineRule="auto" w:before="54" w:after="0"/>
        <w:ind w:left="1402" w:right="483" w:hanging="339"/>
        <w:jc w:val="both"/>
        <w:rPr>
          <w:sz w:val="20"/>
        </w:rPr>
      </w:pPr>
      <w:r>
        <w:rPr>
          <w:sz w:val="20"/>
        </w:rPr>
        <w:t>The selection of the database(s) to be used for the benchmarking exercise, as there are several databases</w:t>
      </w:r>
      <w:r>
        <w:rPr>
          <w:spacing w:val="-4"/>
          <w:sz w:val="20"/>
        </w:rPr>
        <w:t> </w:t>
      </w:r>
      <w:r>
        <w:rPr>
          <w:sz w:val="20"/>
        </w:rPr>
        <w:t>with</w:t>
      </w:r>
      <w:r>
        <w:rPr>
          <w:spacing w:val="-5"/>
          <w:sz w:val="20"/>
        </w:rPr>
        <w:t> </w:t>
      </w:r>
      <w:r>
        <w:rPr>
          <w:sz w:val="20"/>
        </w:rPr>
        <w:t>diverse</w:t>
      </w:r>
      <w:r>
        <w:rPr>
          <w:spacing w:val="-8"/>
          <w:sz w:val="20"/>
        </w:rPr>
        <w:t> </w:t>
      </w:r>
      <w:r>
        <w:rPr>
          <w:sz w:val="20"/>
        </w:rPr>
        <w:t>coverage</w:t>
      </w:r>
      <w:r>
        <w:rPr>
          <w:spacing w:val="-6"/>
          <w:sz w:val="20"/>
        </w:rPr>
        <w:t> </w:t>
      </w:r>
      <w:r>
        <w:rPr>
          <w:sz w:val="20"/>
        </w:rPr>
        <w:t>and</w:t>
      </w:r>
      <w:r>
        <w:rPr>
          <w:spacing w:val="-2"/>
          <w:sz w:val="20"/>
        </w:rPr>
        <w:t> </w:t>
      </w:r>
      <w:r>
        <w:rPr>
          <w:sz w:val="20"/>
        </w:rPr>
        <w:t>level</w:t>
      </w:r>
      <w:r>
        <w:rPr>
          <w:spacing w:val="-6"/>
          <w:sz w:val="20"/>
        </w:rPr>
        <w:t> </w:t>
      </w:r>
      <w:r>
        <w:rPr>
          <w:sz w:val="20"/>
        </w:rPr>
        <w:t>of</w:t>
      </w:r>
      <w:r>
        <w:rPr>
          <w:spacing w:val="-6"/>
          <w:sz w:val="20"/>
        </w:rPr>
        <w:t> </w:t>
      </w:r>
      <w:r>
        <w:rPr>
          <w:sz w:val="20"/>
        </w:rPr>
        <w:t>detail</w:t>
      </w:r>
      <w:r>
        <w:rPr>
          <w:spacing w:val="-6"/>
          <w:sz w:val="20"/>
        </w:rPr>
        <w:t> </w:t>
      </w:r>
      <w:r>
        <w:rPr>
          <w:sz w:val="20"/>
        </w:rPr>
        <w:t>in</w:t>
      </w:r>
      <w:r>
        <w:rPr>
          <w:spacing w:val="-6"/>
          <w:sz w:val="20"/>
        </w:rPr>
        <w:t> </w:t>
      </w:r>
      <w:r>
        <w:rPr>
          <w:sz w:val="20"/>
        </w:rPr>
        <w:t>terms</w:t>
      </w:r>
      <w:r>
        <w:rPr>
          <w:spacing w:val="-5"/>
          <w:sz w:val="20"/>
        </w:rPr>
        <w:t> </w:t>
      </w:r>
      <w:r>
        <w:rPr>
          <w:sz w:val="20"/>
        </w:rPr>
        <w:t>of</w:t>
      </w:r>
      <w:r>
        <w:rPr>
          <w:spacing w:val="-6"/>
          <w:sz w:val="20"/>
        </w:rPr>
        <w:t> </w:t>
      </w:r>
      <w:r>
        <w:rPr>
          <w:sz w:val="20"/>
        </w:rPr>
        <w:t>regions,</w:t>
      </w:r>
      <w:r>
        <w:rPr>
          <w:spacing w:val="-7"/>
          <w:sz w:val="20"/>
        </w:rPr>
        <w:t> </w:t>
      </w:r>
      <w:r>
        <w:rPr>
          <w:sz w:val="20"/>
        </w:rPr>
        <w:t>financial</w:t>
      </w:r>
      <w:r>
        <w:rPr>
          <w:spacing w:val="-8"/>
          <w:sz w:val="20"/>
        </w:rPr>
        <w:t> </w:t>
      </w:r>
      <w:r>
        <w:rPr>
          <w:sz w:val="20"/>
        </w:rPr>
        <w:t>and</w:t>
      </w:r>
      <w:r>
        <w:rPr>
          <w:spacing w:val="-8"/>
          <w:sz w:val="20"/>
        </w:rPr>
        <w:t> </w:t>
      </w:r>
      <w:r>
        <w:rPr>
          <w:sz w:val="20"/>
        </w:rPr>
        <w:t>non-financial information;</w:t>
      </w:r>
    </w:p>
    <w:p>
      <w:pPr>
        <w:pStyle w:val="ListParagraph"/>
        <w:numPr>
          <w:ilvl w:val="1"/>
          <w:numId w:val="13"/>
        </w:numPr>
        <w:tabs>
          <w:tab w:pos="1403" w:val="left" w:leader="none"/>
        </w:tabs>
        <w:spacing w:line="271" w:lineRule="auto" w:before="50" w:after="0"/>
        <w:ind w:left="1402" w:right="486" w:hanging="339"/>
        <w:jc w:val="both"/>
        <w:rPr>
          <w:sz w:val="20"/>
        </w:rPr>
      </w:pPr>
      <w:r>
        <w:rPr>
          <w:sz w:val="20"/>
        </w:rPr>
        <w:t>The</w:t>
      </w:r>
      <w:r>
        <w:rPr>
          <w:spacing w:val="-9"/>
          <w:sz w:val="20"/>
        </w:rPr>
        <w:t> </w:t>
      </w:r>
      <w:r>
        <w:rPr>
          <w:sz w:val="20"/>
        </w:rPr>
        <w:t>selection</w:t>
      </w:r>
      <w:r>
        <w:rPr>
          <w:spacing w:val="-8"/>
          <w:sz w:val="20"/>
        </w:rPr>
        <w:t> </w:t>
      </w:r>
      <w:r>
        <w:rPr>
          <w:sz w:val="20"/>
        </w:rPr>
        <w:t>of</w:t>
      </w:r>
      <w:r>
        <w:rPr>
          <w:spacing w:val="-6"/>
          <w:sz w:val="20"/>
        </w:rPr>
        <w:t> </w:t>
      </w:r>
      <w:r>
        <w:rPr>
          <w:sz w:val="20"/>
        </w:rPr>
        <w:t>the</w:t>
      </w:r>
      <w:r>
        <w:rPr>
          <w:spacing w:val="-9"/>
          <w:sz w:val="20"/>
        </w:rPr>
        <w:t> </w:t>
      </w:r>
      <w:r>
        <w:rPr>
          <w:sz w:val="20"/>
        </w:rPr>
        <w:t>search</w:t>
      </w:r>
      <w:r>
        <w:rPr>
          <w:spacing w:val="-5"/>
          <w:sz w:val="20"/>
        </w:rPr>
        <w:t> </w:t>
      </w:r>
      <w:r>
        <w:rPr>
          <w:sz w:val="20"/>
        </w:rPr>
        <w:t>strategy,</w:t>
      </w:r>
      <w:r>
        <w:rPr>
          <w:spacing w:val="-6"/>
          <w:sz w:val="20"/>
        </w:rPr>
        <w:t> </w:t>
      </w:r>
      <w:r>
        <w:rPr>
          <w:sz w:val="20"/>
        </w:rPr>
        <w:t>which</w:t>
      </w:r>
      <w:r>
        <w:rPr>
          <w:spacing w:val="-5"/>
          <w:sz w:val="20"/>
        </w:rPr>
        <w:t> </w:t>
      </w:r>
      <w:r>
        <w:rPr>
          <w:sz w:val="20"/>
        </w:rPr>
        <w:t>includes</w:t>
      </w:r>
      <w:r>
        <w:rPr>
          <w:spacing w:val="-8"/>
          <w:sz w:val="20"/>
        </w:rPr>
        <w:t> </w:t>
      </w:r>
      <w:r>
        <w:rPr>
          <w:sz w:val="20"/>
        </w:rPr>
        <w:t>the</w:t>
      </w:r>
      <w:r>
        <w:rPr>
          <w:spacing w:val="-6"/>
          <w:sz w:val="20"/>
        </w:rPr>
        <w:t> </w:t>
      </w:r>
      <w:r>
        <w:rPr>
          <w:sz w:val="20"/>
        </w:rPr>
        <w:t>search</w:t>
      </w:r>
      <w:r>
        <w:rPr>
          <w:spacing w:val="-8"/>
          <w:sz w:val="20"/>
        </w:rPr>
        <w:t> </w:t>
      </w:r>
      <w:r>
        <w:rPr>
          <w:sz w:val="20"/>
        </w:rPr>
        <w:t>parameters</w:t>
      </w:r>
      <w:r>
        <w:rPr>
          <w:spacing w:val="-7"/>
          <w:sz w:val="20"/>
        </w:rPr>
        <w:t> </w:t>
      </w:r>
      <w:r>
        <w:rPr>
          <w:sz w:val="20"/>
        </w:rPr>
        <w:t>and</w:t>
      </w:r>
      <w:r>
        <w:rPr>
          <w:spacing w:val="-8"/>
          <w:sz w:val="20"/>
        </w:rPr>
        <w:t> </w:t>
      </w:r>
      <w:r>
        <w:rPr>
          <w:sz w:val="20"/>
        </w:rPr>
        <w:t>screening</w:t>
      </w:r>
      <w:r>
        <w:rPr>
          <w:spacing w:val="-8"/>
          <w:sz w:val="20"/>
        </w:rPr>
        <w:t> </w:t>
      </w:r>
      <w:r>
        <w:rPr>
          <w:sz w:val="20"/>
        </w:rPr>
        <w:t>criteria. For instance, identification of the relevant industry classification codes to capture the scope of Amount B; identification of the filters to be applied in the screening procedure (number of years of available financial data, independency criteria, consolidation, etc.);</w:t>
      </w:r>
      <w:r>
        <w:rPr>
          <w:spacing w:val="-14"/>
          <w:sz w:val="20"/>
        </w:rPr>
        <w:t> </w:t>
      </w:r>
      <w:r>
        <w:rPr>
          <w:sz w:val="20"/>
        </w:rPr>
        <w:t>and</w:t>
      </w:r>
    </w:p>
    <w:p>
      <w:pPr>
        <w:pStyle w:val="ListParagraph"/>
        <w:numPr>
          <w:ilvl w:val="1"/>
          <w:numId w:val="13"/>
        </w:numPr>
        <w:tabs>
          <w:tab w:pos="1403" w:val="left" w:leader="none"/>
        </w:tabs>
        <w:spacing w:line="240" w:lineRule="auto" w:before="44" w:after="0"/>
        <w:ind w:left="1402" w:right="0" w:hanging="339"/>
        <w:jc w:val="both"/>
        <w:rPr>
          <w:sz w:val="20"/>
        </w:rPr>
      </w:pPr>
      <w:r>
        <w:rPr>
          <w:sz w:val="20"/>
        </w:rPr>
        <w:t>The evaluation of necessary adjustments to enhance</w:t>
      </w:r>
      <w:r>
        <w:rPr>
          <w:spacing w:val="-9"/>
          <w:sz w:val="20"/>
        </w:rPr>
        <w:t> </w:t>
      </w:r>
      <w:r>
        <w:rPr>
          <w:sz w:val="20"/>
        </w:rPr>
        <w:t>comparability.</w:t>
      </w:r>
    </w:p>
    <w:p>
      <w:pPr>
        <w:pStyle w:val="ListParagraph"/>
        <w:numPr>
          <w:ilvl w:val="0"/>
          <w:numId w:val="13"/>
        </w:numPr>
        <w:tabs>
          <w:tab w:pos="1444" w:val="left" w:leader="none"/>
        </w:tabs>
        <w:spacing w:line="271" w:lineRule="auto" w:before="154" w:after="0"/>
        <w:ind w:left="723" w:right="486" w:firstLine="0"/>
        <w:jc w:val="both"/>
        <w:rPr>
          <w:sz w:val="20"/>
        </w:rPr>
      </w:pPr>
      <w:r>
        <w:rPr>
          <w:sz w:val="20"/>
        </w:rPr>
        <w:t>Further</w:t>
      </w:r>
      <w:r>
        <w:rPr>
          <w:spacing w:val="-7"/>
          <w:sz w:val="20"/>
        </w:rPr>
        <w:t> </w:t>
      </w:r>
      <w:r>
        <w:rPr>
          <w:sz w:val="20"/>
        </w:rPr>
        <w:t>work</w:t>
      </w:r>
      <w:r>
        <w:rPr>
          <w:spacing w:val="-6"/>
          <w:sz w:val="20"/>
        </w:rPr>
        <w:t> </w:t>
      </w:r>
      <w:r>
        <w:rPr>
          <w:sz w:val="20"/>
        </w:rPr>
        <w:t>will</w:t>
      </w:r>
      <w:r>
        <w:rPr>
          <w:spacing w:val="-8"/>
          <w:sz w:val="20"/>
        </w:rPr>
        <w:t> </w:t>
      </w:r>
      <w:r>
        <w:rPr>
          <w:sz w:val="20"/>
        </w:rPr>
        <w:t>also</w:t>
      </w:r>
      <w:r>
        <w:rPr>
          <w:spacing w:val="-8"/>
          <w:sz w:val="20"/>
        </w:rPr>
        <w:t> </w:t>
      </w:r>
      <w:r>
        <w:rPr>
          <w:sz w:val="20"/>
        </w:rPr>
        <w:t>need</w:t>
      </w:r>
      <w:r>
        <w:rPr>
          <w:spacing w:val="-7"/>
          <w:sz w:val="20"/>
        </w:rPr>
        <w:t> </w:t>
      </w:r>
      <w:r>
        <w:rPr>
          <w:sz w:val="20"/>
        </w:rPr>
        <w:t>to</w:t>
      </w:r>
      <w:r>
        <w:rPr>
          <w:spacing w:val="-10"/>
          <w:sz w:val="20"/>
        </w:rPr>
        <w:t> </w:t>
      </w:r>
      <w:r>
        <w:rPr>
          <w:sz w:val="20"/>
        </w:rPr>
        <w:t>be</w:t>
      </w:r>
      <w:r>
        <w:rPr>
          <w:spacing w:val="-10"/>
          <w:sz w:val="20"/>
        </w:rPr>
        <w:t> </w:t>
      </w:r>
      <w:r>
        <w:rPr>
          <w:sz w:val="20"/>
        </w:rPr>
        <w:t>undertaken</w:t>
      </w:r>
      <w:r>
        <w:rPr>
          <w:spacing w:val="-9"/>
          <w:sz w:val="20"/>
        </w:rPr>
        <w:t> </w:t>
      </w:r>
      <w:r>
        <w:rPr>
          <w:sz w:val="20"/>
        </w:rPr>
        <w:t>regarding</w:t>
      </w:r>
      <w:r>
        <w:rPr>
          <w:spacing w:val="-6"/>
          <w:sz w:val="20"/>
        </w:rPr>
        <w:t> </w:t>
      </w:r>
      <w:r>
        <w:rPr>
          <w:sz w:val="20"/>
        </w:rPr>
        <w:t>analysing</w:t>
      </w:r>
      <w:r>
        <w:rPr>
          <w:spacing w:val="-8"/>
          <w:sz w:val="20"/>
        </w:rPr>
        <w:t> </w:t>
      </w:r>
      <w:r>
        <w:rPr>
          <w:sz w:val="20"/>
        </w:rPr>
        <w:t>how</w:t>
      </w:r>
      <w:r>
        <w:rPr>
          <w:spacing w:val="-9"/>
          <w:sz w:val="20"/>
        </w:rPr>
        <w:t> </w:t>
      </w:r>
      <w:r>
        <w:rPr>
          <w:sz w:val="20"/>
        </w:rPr>
        <w:t>often</w:t>
      </w:r>
      <w:r>
        <w:rPr>
          <w:spacing w:val="-8"/>
          <w:sz w:val="20"/>
        </w:rPr>
        <w:t> </w:t>
      </w:r>
      <w:r>
        <w:rPr>
          <w:sz w:val="20"/>
        </w:rPr>
        <w:t>the</w:t>
      </w:r>
      <w:r>
        <w:rPr>
          <w:spacing w:val="-8"/>
          <w:sz w:val="20"/>
        </w:rPr>
        <w:t> </w:t>
      </w:r>
      <w:r>
        <w:rPr>
          <w:sz w:val="20"/>
        </w:rPr>
        <w:t>benchmarking</w:t>
      </w:r>
      <w:r>
        <w:rPr>
          <w:spacing w:val="-10"/>
          <w:sz w:val="20"/>
        </w:rPr>
        <w:t> </w:t>
      </w:r>
      <w:r>
        <w:rPr>
          <w:sz w:val="20"/>
        </w:rPr>
        <w:t>will need to be updated and how often the underlying search process to develop the reference sets will need to</w:t>
      </w:r>
      <w:r>
        <w:rPr>
          <w:spacing w:val="-15"/>
          <w:sz w:val="20"/>
        </w:rPr>
        <w:t> </w:t>
      </w:r>
      <w:r>
        <w:rPr>
          <w:sz w:val="20"/>
        </w:rPr>
        <w:t>be</w:t>
      </w:r>
      <w:r>
        <w:rPr>
          <w:spacing w:val="-15"/>
          <w:sz w:val="20"/>
        </w:rPr>
        <w:t> </w:t>
      </w:r>
      <w:r>
        <w:rPr>
          <w:sz w:val="20"/>
        </w:rPr>
        <w:t>reviewed.</w:t>
      </w:r>
      <w:r>
        <w:rPr>
          <w:spacing w:val="-12"/>
          <w:sz w:val="20"/>
        </w:rPr>
        <w:t> </w:t>
      </w:r>
      <w:r>
        <w:rPr>
          <w:sz w:val="20"/>
        </w:rPr>
        <w:t>The</w:t>
      </w:r>
      <w:r>
        <w:rPr>
          <w:spacing w:val="-15"/>
          <w:sz w:val="20"/>
        </w:rPr>
        <w:t> </w:t>
      </w:r>
      <w:r>
        <w:rPr>
          <w:sz w:val="20"/>
        </w:rPr>
        <w:t>specific</w:t>
      </w:r>
      <w:r>
        <w:rPr>
          <w:spacing w:val="-11"/>
          <w:sz w:val="20"/>
        </w:rPr>
        <w:t> </w:t>
      </w:r>
      <w:r>
        <w:rPr>
          <w:sz w:val="20"/>
        </w:rPr>
        <w:t>benchmarking</w:t>
      </w:r>
      <w:r>
        <w:rPr>
          <w:spacing w:val="-15"/>
          <w:sz w:val="20"/>
        </w:rPr>
        <w:t> </w:t>
      </w:r>
      <w:r>
        <w:rPr>
          <w:sz w:val="20"/>
        </w:rPr>
        <w:t>with</w:t>
      </w:r>
      <w:r>
        <w:rPr>
          <w:spacing w:val="-13"/>
          <w:sz w:val="20"/>
        </w:rPr>
        <w:t> </w:t>
      </w:r>
      <w:r>
        <w:rPr>
          <w:sz w:val="20"/>
        </w:rPr>
        <w:t>regional</w:t>
      </w:r>
      <w:r>
        <w:rPr>
          <w:spacing w:val="-15"/>
          <w:sz w:val="20"/>
        </w:rPr>
        <w:t> </w:t>
      </w:r>
      <w:r>
        <w:rPr>
          <w:sz w:val="20"/>
        </w:rPr>
        <w:t>and</w:t>
      </w:r>
      <w:r>
        <w:rPr>
          <w:spacing w:val="-13"/>
          <w:sz w:val="20"/>
        </w:rPr>
        <w:t> </w:t>
      </w:r>
      <w:r>
        <w:rPr>
          <w:sz w:val="20"/>
        </w:rPr>
        <w:t>industry</w:t>
      </w:r>
      <w:r>
        <w:rPr>
          <w:spacing w:val="-15"/>
          <w:sz w:val="20"/>
        </w:rPr>
        <w:t> </w:t>
      </w:r>
      <w:r>
        <w:rPr>
          <w:sz w:val="20"/>
        </w:rPr>
        <w:t>variation</w:t>
      </w:r>
      <w:r>
        <w:rPr>
          <w:spacing w:val="-11"/>
          <w:sz w:val="20"/>
        </w:rPr>
        <w:t> </w:t>
      </w:r>
      <w:r>
        <w:rPr>
          <w:sz w:val="20"/>
        </w:rPr>
        <w:t>will</w:t>
      </w:r>
      <w:r>
        <w:rPr>
          <w:spacing w:val="-13"/>
          <w:sz w:val="20"/>
        </w:rPr>
        <w:t> </w:t>
      </w:r>
      <w:r>
        <w:rPr>
          <w:sz w:val="20"/>
        </w:rPr>
        <w:t>be</w:t>
      </w:r>
      <w:r>
        <w:rPr>
          <w:spacing w:val="-15"/>
          <w:sz w:val="20"/>
        </w:rPr>
        <w:t> </w:t>
      </w:r>
      <w:r>
        <w:rPr>
          <w:sz w:val="20"/>
        </w:rPr>
        <w:t>developed</w:t>
      </w:r>
      <w:r>
        <w:rPr>
          <w:spacing w:val="-13"/>
          <w:sz w:val="20"/>
        </w:rPr>
        <w:t> </w:t>
      </w:r>
      <w:r>
        <w:rPr>
          <w:sz w:val="20"/>
        </w:rPr>
        <w:t>alongside the current FTA MAP forum benchmarking</w:t>
      </w:r>
      <w:r>
        <w:rPr>
          <w:spacing w:val="-5"/>
          <w:sz w:val="20"/>
        </w:rPr>
        <w:t> </w:t>
      </w:r>
      <w:r>
        <w:rPr>
          <w:sz w:val="20"/>
        </w:rPr>
        <w:t>exercise.</w:t>
      </w:r>
    </w:p>
    <w:p>
      <w:pPr>
        <w:pStyle w:val="BodyText"/>
        <w:spacing w:before="7"/>
        <w:rPr>
          <w:sz w:val="23"/>
        </w:rPr>
      </w:pPr>
    </w:p>
    <w:p>
      <w:pPr>
        <w:pStyle w:val="Heading6"/>
        <w:numPr>
          <w:ilvl w:val="2"/>
          <w:numId w:val="73"/>
        </w:numPr>
        <w:tabs>
          <w:tab w:pos="2015" w:val="left" w:leader="none"/>
        </w:tabs>
        <w:spacing w:line="240" w:lineRule="auto" w:before="0" w:after="0"/>
        <w:ind w:left="2014" w:right="0" w:hanging="613"/>
        <w:jc w:val="left"/>
        <w:rPr>
          <w:i/>
        </w:rPr>
      </w:pPr>
      <w:bookmarkStart w:name="8.2.3. Implementation" w:id="404"/>
      <w:bookmarkEnd w:id="404"/>
      <w:r>
        <w:rPr>
          <w:b w:val="0"/>
          <w:i w:val="0"/>
        </w:rPr>
      </w:r>
      <w:bookmarkStart w:name="8.2.3. Implementation" w:id="405"/>
      <w:bookmarkEnd w:id="405"/>
      <w:r>
        <w:rPr>
          <w:i/>
        </w:rPr>
        <w:t>I</w:t>
      </w:r>
      <w:r>
        <w:rPr>
          <w:i/>
        </w:rPr>
        <w:t>mplementation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41" w:firstLine="0"/>
        <w:jc w:val="both"/>
        <w:rPr>
          <w:sz w:val="20"/>
        </w:rPr>
      </w:pPr>
      <w:r>
        <w:rPr>
          <w:sz w:val="20"/>
        </w:rPr>
        <w:t>Implementing</w:t>
      </w:r>
      <w:r>
        <w:rPr>
          <w:spacing w:val="-12"/>
          <w:sz w:val="20"/>
        </w:rPr>
        <w:t> </w:t>
      </w:r>
      <w:r>
        <w:rPr>
          <w:sz w:val="20"/>
        </w:rPr>
        <w:t>Amount</w:t>
      </w:r>
      <w:r>
        <w:rPr>
          <w:spacing w:val="-12"/>
          <w:sz w:val="20"/>
        </w:rPr>
        <w:t> </w:t>
      </w:r>
      <w:r>
        <w:rPr>
          <w:sz w:val="20"/>
        </w:rPr>
        <w:t>B</w:t>
      </w:r>
      <w:r>
        <w:rPr>
          <w:spacing w:val="-12"/>
          <w:sz w:val="20"/>
        </w:rPr>
        <w:t> </w:t>
      </w:r>
      <w:r>
        <w:rPr>
          <w:sz w:val="20"/>
        </w:rPr>
        <w:t>in</w:t>
      </w:r>
      <w:r>
        <w:rPr>
          <w:spacing w:val="-12"/>
          <w:sz w:val="20"/>
        </w:rPr>
        <w:t> </w:t>
      </w:r>
      <w:r>
        <w:rPr>
          <w:sz w:val="20"/>
        </w:rPr>
        <w:t>a</w:t>
      </w:r>
      <w:r>
        <w:rPr>
          <w:spacing w:val="-14"/>
          <w:sz w:val="20"/>
        </w:rPr>
        <w:t> </w:t>
      </w:r>
      <w:r>
        <w:rPr>
          <w:sz w:val="20"/>
        </w:rPr>
        <w:t>coordinated</w:t>
      </w:r>
      <w:r>
        <w:rPr>
          <w:spacing w:val="-12"/>
          <w:sz w:val="20"/>
        </w:rPr>
        <w:t> </w:t>
      </w:r>
      <w:r>
        <w:rPr>
          <w:sz w:val="20"/>
        </w:rPr>
        <w:t>and</w:t>
      </w:r>
      <w:r>
        <w:rPr>
          <w:spacing w:val="-13"/>
          <w:sz w:val="20"/>
        </w:rPr>
        <w:t> </w:t>
      </w:r>
      <w:r>
        <w:rPr>
          <w:sz w:val="20"/>
        </w:rPr>
        <w:t>uniform</w:t>
      </w:r>
      <w:r>
        <w:rPr>
          <w:spacing w:val="-11"/>
          <w:sz w:val="20"/>
        </w:rPr>
        <w:t> </w:t>
      </w:r>
      <w:r>
        <w:rPr>
          <w:sz w:val="20"/>
        </w:rPr>
        <w:t>fashion</w:t>
      </w:r>
      <w:r>
        <w:rPr>
          <w:spacing w:val="-12"/>
          <w:sz w:val="20"/>
        </w:rPr>
        <w:t> </w:t>
      </w:r>
      <w:r>
        <w:rPr>
          <w:sz w:val="20"/>
        </w:rPr>
        <w:t>will</w:t>
      </w:r>
      <w:r>
        <w:rPr>
          <w:spacing w:val="-14"/>
          <w:sz w:val="20"/>
        </w:rPr>
        <w:t> </w:t>
      </w:r>
      <w:r>
        <w:rPr>
          <w:sz w:val="20"/>
        </w:rPr>
        <w:t>reduce</w:t>
      </w:r>
      <w:r>
        <w:rPr>
          <w:spacing w:val="-14"/>
          <w:sz w:val="20"/>
        </w:rPr>
        <w:t> </w:t>
      </w:r>
      <w:r>
        <w:rPr>
          <w:sz w:val="20"/>
        </w:rPr>
        <w:t>the</w:t>
      </w:r>
      <w:r>
        <w:rPr>
          <w:spacing w:val="-13"/>
          <w:sz w:val="20"/>
        </w:rPr>
        <w:t> </w:t>
      </w:r>
      <w:r>
        <w:rPr>
          <w:sz w:val="20"/>
        </w:rPr>
        <w:t>risk</w:t>
      </w:r>
      <w:r>
        <w:rPr>
          <w:spacing w:val="-10"/>
          <w:sz w:val="20"/>
        </w:rPr>
        <w:t> </w:t>
      </w:r>
      <w:r>
        <w:rPr>
          <w:sz w:val="20"/>
        </w:rPr>
        <w:t>of</w:t>
      </w:r>
      <w:r>
        <w:rPr>
          <w:spacing w:val="-12"/>
          <w:sz w:val="20"/>
        </w:rPr>
        <w:t> </w:t>
      </w:r>
      <w:r>
        <w:rPr>
          <w:sz w:val="20"/>
        </w:rPr>
        <w:t>double</w:t>
      </w:r>
      <w:r>
        <w:rPr>
          <w:spacing w:val="-14"/>
          <w:sz w:val="20"/>
        </w:rPr>
        <w:t> </w:t>
      </w:r>
      <w:r>
        <w:rPr>
          <w:sz w:val="20"/>
        </w:rPr>
        <w:t>taxation and double</w:t>
      </w:r>
      <w:r>
        <w:rPr>
          <w:spacing w:val="1"/>
          <w:sz w:val="20"/>
        </w:rPr>
        <w:t> </w:t>
      </w:r>
      <w:r>
        <w:rPr>
          <w:sz w:val="20"/>
        </w:rPr>
        <w:t>non-taxation.</w:t>
      </w:r>
    </w:p>
    <w:p>
      <w:pPr>
        <w:pStyle w:val="ListParagraph"/>
        <w:numPr>
          <w:ilvl w:val="0"/>
          <w:numId w:val="13"/>
        </w:numPr>
        <w:tabs>
          <w:tab w:pos="1444" w:val="left" w:leader="none"/>
        </w:tabs>
        <w:spacing w:line="271" w:lineRule="auto" w:before="122" w:after="0"/>
        <w:ind w:left="723" w:right="437" w:firstLine="0"/>
        <w:jc w:val="both"/>
        <w:rPr>
          <w:sz w:val="20"/>
        </w:rPr>
      </w:pPr>
      <w:r>
        <w:rPr>
          <w:color w:val="3D3D3D"/>
          <w:sz w:val="20"/>
        </w:rPr>
        <w:t>A narrow scope of Amount B may facilitate reaching a consensus by a large number of Inclusive Framework members as it would be easier to agree on the appropriate set of baseline marketing and distribution activities, including the qualitative and quantitative indicators according to which</w:t>
      </w:r>
      <w:r>
        <w:rPr>
          <w:color w:val="3D3D3D"/>
          <w:spacing w:val="32"/>
          <w:sz w:val="20"/>
        </w:rPr>
        <w:t> </w:t>
      </w:r>
      <w:r>
        <w:rPr>
          <w:color w:val="3D3D3D"/>
          <w:sz w:val="20"/>
        </w:rPr>
        <w:t>distribution</w:t>
      </w:r>
    </w:p>
    <w:p>
      <w:pPr>
        <w:pStyle w:val="BodyText"/>
        <w:spacing w:before="7"/>
        <w:rPr>
          <w:sz w:val="9"/>
        </w:rPr>
      </w:pPr>
      <w:r>
        <w:rPr/>
        <w:pict>
          <v:rect style="position:absolute;margin-left:65.183998pt;margin-top:7.487118pt;width:144.020004pt;height:.60004pt;mso-position-horizontal-relative:page;mso-position-vertical-relative:paragraph;z-index:-15644672;mso-wrap-distance-left:0;mso-wrap-distance-right:0" filled="true" fillcolor="#000000" stroked="false">
            <v:fill type="solid"/>
            <w10:wrap type="topAndBottom"/>
          </v:rect>
        </w:pict>
      </w:r>
    </w:p>
    <w:p>
      <w:pPr>
        <w:pStyle w:val="BodyText"/>
        <w:spacing w:before="9"/>
        <w:rPr>
          <w:sz w:val="18"/>
        </w:rPr>
      </w:pPr>
    </w:p>
    <w:p>
      <w:pPr>
        <w:spacing w:line="278" w:lineRule="auto" w:before="96"/>
        <w:ind w:left="865" w:right="582" w:firstLine="0"/>
        <w:jc w:val="both"/>
        <w:rPr>
          <w:sz w:val="18"/>
        </w:rPr>
      </w:pPr>
      <w:r>
        <w:rPr>
          <w:position w:val="6"/>
          <w:sz w:val="13"/>
        </w:rPr>
        <w:t>154</w:t>
      </w:r>
      <w:r>
        <w:rPr>
          <w:spacing w:val="7"/>
          <w:position w:val="6"/>
          <w:sz w:val="13"/>
        </w:rPr>
        <w:t> </w:t>
      </w:r>
      <w:r>
        <w:rPr>
          <w:sz w:val="18"/>
        </w:rPr>
        <w:t>It</w:t>
      </w:r>
      <w:r>
        <w:rPr>
          <w:spacing w:val="-6"/>
          <w:sz w:val="18"/>
        </w:rPr>
        <w:t> </w:t>
      </w:r>
      <w:r>
        <w:rPr>
          <w:sz w:val="18"/>
        </w:rPr>
        <w:t>may</w:t>
      </w:r>
      <w:r>
        <w:rPr>
          <w:spacing w:val="-8"/>
          <w:sz w:val="18"/>
        </w:rPr>
        <w:t> </w:t>
      </w:r>
      <w:r>
        <w:rPr>
          <w:sz w:val="18"/>
        </w:rPr>
        <w:t>also</w:t>
      </w:r>
      <w:r>
        <w:rPr>
          <w:spacing w:val="-6"/>
          <w:sz w:val="18"/>
        </w:rPr>
        <w:t> </w:t>
      </w:r>
      <w:r>
        <w:rPr>
          <w:sz w:val="18"/>
        </w:rPr>
        <w:t>be</w:t>
      </w:r>
      <w:r>
        <w:rPr>
          <w:spacing w:val="-6"/>
          <w:sz w:val="18"/>
        </w:rPr>
        <w:t> </w:t>
      </w:r>
      <w:r>
        <w:rPr>
          <w:sz w:val="18"/>
        </w:rPr>
        <w:t>required</w:t>
      </w:r>
      <w:r>
        <w:rPr>
          <w:spacing w:val="-6"/>
          <w:sz w:val="18"/>
        </w:rPr>
        <w:t> </w:t>
      </w:r>
      <w:r>
        <w:rPr>
          <w:sz w:val="18"/>
        </w:rPr>
        <w:t>in</w:t>
      </w:r>
      <w:r>
        <w:rPr>
          <w:spacing w:val="-9"/>
          <w:sz w:val="18"/>
        </w:rPr>
        <w:t> </w:t>
      </w:r>
      <w:r>
        <w:rPr>
          <w:sz w:val="18"/>
        </w:rPr>
        <w:t>other</w:t>
      </w:r>
      <w:r>
        <w:rPr>
          <w:spacing w:val="-7"/>
          <w:sz w:val="18"/>
        </w:rPr>
        <w:t> </w:t>
      </w:r>
      <w:r>
        <w:rPr>
          <w:sz w:val="18"/>
        </w:rPr>
        <w:t>circumstances</w:t>
      </w:r>
      <w:r>
        <w:rPr>
          <w:spacing w:val="-6"/>
          <w:sz w:val="18"/>
        </w:rPr>
        <w:t> </w:t>
      </w:r>
      <w:r>
        <w:rPr>
          <w:sz w:val="18"/>
        </w:rPr>
        <w:t>where</w:t>
      </w:r>
      <w:r>
        <w:rPr>
          <w:spacing w:val="-6"/>
          <w:sz w:val="18"/>
        </w:rPr>
        <w:t> </w:t>
      </w:r>
      <w:r>
        <w:rPr>
          <w:sz w:val="18"/>
        </w:rPr>
        <w:t>an</w:t>
      </w:r>
      <w:r>
        <w:rPr>
          <w:spacing w:val="-6"/>
          <w:sz w:val="18"/>
        </w:rPr>
        <w:t> </w:t>
      </w:r>
      <w:r>
        <w:rPr>
          <w:sz w:val="18"/>
        </w:rPr>
        <w:t>accurately</w:t>
      </w:r>
      <w:r>
        <w:rPr>
          <w:spacing w:val="-8"/>
          <w:sz w:val="18"/>
        </w:rPr>
        <w:t> </w:t>
      </w:r>
      <w:r>
        <w:rPr>
          <w:sz w:val="18"/>
        </w:rPr>
        <w:t>delineated</w:t>
      </w:r>
      <w:r>
        <w:rPr>
          <w:spacing w:val="-6"/>
          <w:sz w:val="18"/>
        </w:rPr>
        <w:t> </w:t>
      </w:r>
      <w:r>
        <w:rPr>
          <w:sz w:val="18"/>
        </w:rPr>
        <w:t>transaction</w:t>
      </w:r>
      <w:r>
        <w:rPr>
          <w:spacing w:val="-6"/>
          <w:sz w:val="18"/>
        </w:rPr>
        <w:t> </w:t>
      </w:r>
      <w:r>
        <w:rPr>
          <w:sz w:val="18"/>
        </w:rPr>
        <w:t>may</w:t>
      </w:r>
      <w:r>
        <w:rPr>
          <w:spacing w:val="-8"/>
          <w:sz w:val="18"/>
        </w:rPr>
        <w:t> </w:t>
      </w:r>
      <w:r>
        <w:rPr>
          <w:sz w:val="18"/>
        </w:rPr>
        <w:t>be</w:t>
      </w:r>
      <w:r>
        <w:rPr>
          <w:spacing w:val="-6"/>
          <w:sz w:val="18"/>
        </w:rPr>
        <w:t> </w:t>
      </w:r>
      <w:r>
        <w:rPr>
          <w:sz w:val="18"/>
        </w:rPr>
        <w:t>a</w:t>
      </w:r>
      <w:r>
        <w:rPr>
          <w:spacing w:val="-6"/>
          <w:sz w:val="18"/>
        </w:rPr>
        <w:t> </w:t>
      </w:r>
      <w:r>
        <w:rPr>
          <w:sz w:val="18"/>
        </w:rPr>
        <w:t>distribution relationship</w:t>
      </w:r>
      <w:r>
        <w:rPr>
          <w:spacing w:val="-4"/>
          <w:sz w:val="18"/>
        </w:rPr>
        <w:t> </w:t>
      </w:r>
      <w:r>
        <w:rPr>
          <w:sz w:val="18"/>
        </w:rPr>
        <w:t>and</w:t>
      </w:r>
      <w:r>
        <w:rPr>
          <w:spacing w:val="-3"/>
          <w:sz w:val="18"/>
        </w:rPr>
        <w:t> </w:t>
      </w:r>
      <w:r>
        <w:rPr>
          <w:sz w:val="18"/>
        </w:rPr>
        <w:t>where</w:t>
      </w:r>
      <w:r>
        <w:rPr>
          <w:spacing w:val="-2"/>
          <w:sz w:val="18"/>
        </w:rPr>
        <w:t> </w:t>
      </w:r>
      <w:r>
        <w:rPr>
          <w:sz w:val="18"/>
        </w:rPr>
        <w:t>Amount</w:t>
      </w:r>
      <w:r>
        <w:rPr>
          <w:spacing w:val="-2"/>
          <w:sz w:val="18"/>
        </w:rPr>
        <w:t> </w:t>
      </w:r>
      <w:r>
        <w:rPr>
          <w:sz w:val="18"/>
        </w:rPr>
        <w:t>B</w:t>
      </w:r>
      <w:r>
        <w:rPr>
          <w:spacing w:val="-5"/>
          <w:sz w:val="18"/>
        </w:rPr>
        <w:t> </w:t>
      </w:r>
      <w:r>
        <w:rPr>
          <w:sz w:val="18"/>
        </w:rPr>
        <w:t>may</w:t>
      </w:r>
      <w:r>
        <w:rPr>
          <w:spacing w:val="-4"/>
          <w:sz w:val="18"/>
        </w:rPr>
        <w:t> </w:t>
      </w:r>
      <w:r>
        <w:rPr>
          <w:sz w:val="18"/>
        </w:rPr>
        <w:t>apply</w:t>
      </w:r>
      <w:r>
        <w:rPr>
          <w:spacing w:val="-4"/>
          <w:sz w:val="18"/>
        </w:rPr>
        <w:t> </w:t>
      </w:r>
      <w:r>
        <w:rPr>
          <w:sz w:val="18"/>
        </w:rPr>
        <w:t>on</w:t>
      </w:r>
      <w:r>
        <w:rPr>
          <w:spacing w:val="-2"/>
          <w:sz w:val="18"/>
        </w:rPr>
        <w:t> </w:t>
      </w:r>
      <w:r>
        <w:rPr>
          <w:sz w:val="18"/>
        </w:rPr>
        <w:t>the</w:t>
      </w:r>
      <w:r>
        <w:rPr>
          <w:spacing w:val="-4"/>
          <w:sz w:val="18"/>
        </w:rPr>
        <w:t> </w:t>
      </w:r>
      <w:r>
        <w:rPr>
          <w:sz w:val="18"/>
        </w:rPr>
        <w:t>basis</w:t>
      </w:r>
      <w:r>
        <w:rPr>
          <w:spacing w:val="-4"/>
          <w:sz w:val="18"/>
        </w:rPr>
        <w:t> </w:t>
      </w:r>
      <w:r>
        <w:rPr>
          <w:sz w:val="18"/>
        </w:rPr>
        <w:t>that</w:t>
      </w:r>
      <w:r>
        <w:rPr>
          <w:spacing w:val="-4"/>
          <w:sz w:val="18"/>
        </w:rPr>
        <w:t> </w:t>
      </w:r>
      <w:r>
        <w:rPr>
          <w:sz w:val="18"/>
        </w:rPr>
        <w:t>the</w:t>
      </w:r>
      <w:r>
        <w:rPr>
          <w:spacing w:val="-4"/>
          <w:sz w:val="18"/>
        </w:rPr>
        <w:t> </w:t>
      </w:r>
      <w:r>
        <w:rPr>
          <w:sz w:val="18"/>
        </w:rPr>
        <w:t>deemed</w:t>
      </w:r>
      <w:r>
        <w:rPr>
          <w:spacing w:val="-2"/>
          <w:sz w:val="18"/>
        </w:rPr>
        <w:t> </w:t>
      </w:r>
      <w:r>
        <w:rPr>
          <w:sz w:val="18"/>
        </w:rPr>
        <w:t>distribution</w:t>
      </w:r>
      <w:r>
        <w:rPr>
          <w:spacing w:val="-4"/>
          <w:sz w:val="18"/>
        </w:rPr>
        <w:t> </w:t>
      </w:r>
      <w:r>
        <w:rPr>
          <w:sz w:val="18"/>
        </w:rPr>
        <w:t>entity</w:t>
      </w:r>
      <w:r>
        <w:rPr>
          <w:spacing w:val="-4"/>
          <w:sz w:val="18"/>
        </w:rPr>
        <w:t> </w:t>
      </w:r>
      <w:r>
        <w:rPr>
          <w:sz w:val="18"/>
        </w:rPr>
        <w:t>performs</w:t>
      </w:r>
      <w:r>
        <w:rPr>
          <w:spacing w:val="-4"/>
          <w:sz w:val="18"/>
        </w:rPr>
        <w:t> </w:t>
      </w:r>
      <w:r>
        <w:rPr>
          <w:sz w:val="18"/>
        </w:rPr>
        <w:t>the</w:t>
      </w:r>
      <w:r>
        <w:rPr>
          <w:spacing w:val="-4"/>
          <w:sz w:val="18"/>
        </w:rPr>
        <w:t> </w:t>
      </w:r>
      <w:r>
        <w:rPr>
          <w:sz w:val="18"/>
        </w:rPr>
        <w:t>baseline marketing and distribution activities. The correct profit level indicator in areas where functional intensity differs will also be considered in further technical</w:t>
      </w:r>
      <w:r>
        <w:rPr>
          <w:spacing w:val="-7"/>
          <w:sz w:val="18"/>
        </w:rPr>
        <w:t> </w:t>
      </w:r>
      <w:r>
        <w:rPr>
          <w:sz w:val="18"/>
        </w:rPr>
        <w:t>work.</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36"/>
        <w:jc w:val="both"/>
      </w:pPr>
      <w:r>
        <w:rPr>
          <w:color w:val="3D3D3D"/>
        </w:rPr>
        <w:t>entities</w:t>
      </w:r>
      <w:r>
        <w:rPr>
          <w:color w:val="3D3D3D"/>
          <w:spacing w:val="-9"/>
        </w:rPr>
        <w:t> </w:t>
      </w:r>
      <w:r>
        <w:rPr>
          <w:color w:val="3D3D3D"/>
        </w:rPr>
        <w:t>may</w:t>
      </w:r>
      <w:r>
        <w:rPr>
          <w:color w:val="3D3D3D"/>
          <w:spacing w:val="-13"/>
        </w:rPr>
        <w:t> </w:t>
      </w:r>
      <w:r>
        <w:rPr>
          <w:color w:val="3D3D3D"/>
        </w:rPr>
        <w:t>be</w:t>
      </w:r>
      <w:r>
        <w:rPr>
          <w:color w:val="3D3D3D"/>
          <w:spacing w:val="-9"/>
        </w:rPr>
        <w:t> </w:t>
      </w:r>
      <w:r>
        <w:rPr>
          <w:color w:val="3D3D3D"/>
        </w:rPr>
        <w:t>out-of-scope,</w:t>
      </w:r>
      <w:r>
        <w:rPr>
          <w:color w:val="3D3D3D"/>
          <w:spacing w:val="-9"/>
        </w:rPr>
        <w:t> </w:t>
      </w:r>
      <w:r>
        <w:rPr>
          <w:color w:val="3D3D3D"/>
        </w:rPr>
        <w:t>and</w:t>
      </w:r>
      <w:r>
        <w:rPr>
          <w:color w:val="3D3D3D"/>
          <w:spacing w:val="-11"/>
        </w:rPr>
        <w:t> </w:t>
      </w:r>
      <w:r>
        <w:rPr>
          <w:color w:val="3D3D3D"/>
        </w:rPr>
        <w:t>the</w:t>
      </w:r>
      <w:r>
        <w:rPr>
          <w:color w:val="3D3D3D"/>
          <w:spacing w:val="-10"/>
        </w:rPr>
        <w:t> </w:t>
      </w:r>
      <w:r>
        <w:rPr>
          <w:color w:val="3D3D3D"/>
        </w:rPr>
        <w:t>appropriate</w:t>
      </w:r>
      <w:r>
        <w:rPr>
          <w:color w:val="3D3D3D"/>
          <w:spacing w:val="-11"/>
        </w:rPr>
        <w:t> </w:t>
      </w:r>
      <w:r>
        <w:rPr>
          <w:color w:val="3D3D3D"/>
        </w:rPr>
        <w:t>means</w:t>
      </w:r>
      <w:r>
        <w:rPr>
          <w:color w:val="3D3D3D"/>
          <w:spacing w:val="-8"/>
        </w:rPr>
        <w:t> </w:t>
      </w:r>
      <w:r>
        <w:rPr>
          <w:color w:val="3D3D3D"/>
        </w:rPr>
        <w:t>to</w:t>
      </w:r>
      <w:r>
        <w:rPr>
          <w:color w:val="3D3D3D"/>
          <w:spacing w:val="-11"/>
        </w:rPr>
        <w:t> </w:t>
      </w:r>
      <w:r>
        <w:rPr>
          <w:color w:val="3D3D3D"/>
        </w:rPr>
        <w:t>be</w:t>
      </w:r>
      <w:r>
        <w:rPr>
          <w:color w:val="3D3D3D"/>
          <w:spacing w:val="-10"/>
        </w:rPr>
        <w:t> </w:t>
      </w:r>
      <w:r>
        <w:rPr>
          <w:color w:val="3D3D3D"/>
        </w:rPr>
        <w:t>applied</w:t>
      </w:r>
      <w:r>
        <w:rPr>
          <w:color w:val="3D3D3D"/>
          <w:spacing w:val="-10"/>
        </w:rPr>
        <w:t> </w:t>
      </w:r>
      <w:r>
        <w:rPr>
          <w:color w:val="3D3D3D"/>
        </w:rPr>
        <w:t>to</w:t>
      </w:r>
      <w:r>
        <w:rPr>
          <w:color w:val="3D3D3D"/>
          <w:spacing w:val="-11"/>
        </w:rPr>
        <w:t> </w:t>
      </w:r>
      <w:r>
        <w:rPr>
          <w:color w:val="3D3D3D"/>
        </w:rPr>
        <w:t>set</w:t>
      </w:r>
      <w:r>
        <w:rPr>
          <w:color w:val="3D3D3D"/>
          <w:spacing w:val="-9"/>
        </w:rPr>
        <w:t> </w:t>
      </w:r>
      <w:r>
        <w:rPr>
          <w:color w:val="3D3D3D"/>
        </w:rPr>
        <w:t>the</w:t>
      </w:r>
      <w:r>
        <w:rPr>
          <w:color w:val="3D3D3D"/>
          <w:spacing w:val="-11"/>
        </w:rPr>
        <w:t> </w:t>
      </w:r>
      <w:r>
        <w:rPr>
          <w:color w:val="3D3D3D"/>
        </w:rPr>
        <w:t>fixed</w:t>
      </w:r>
      <w:r>
        <w:rPr>
          <w:color w:val="3D3D3D"/>
          <w:spacing w:val="-10"/>
        </w:rPr>
        <w:t> </w:t>
      </w:r>
      <w:r>
        <w:rPr>
          <w:color w:val="3D3D3D"/>
        </w:rPr>
        <w:t>returns.</w:t>
      </w:r>
      <w:r>
        <w:rPr>
          <w:color w:val="3D3D3D"/>
          <w:spacing w:val="-10"/>
        </w:rPr>
        <w:t> </w:t>
      </w:r>
      <w:r>
        <w:rPr>
          <w:color w:val="3D3D3D"/>
        </w:rPr>
        <w:t>It</w:t>
      </w:r>
      <w:r>
        <w:rPr>
          <w:color w:val="3D3D3D"/>
          <w:spacing w:val="-7"/>
        </w:rPr>
        <w:t> </w:t>
      </w:r>
      <w:r>
        <w:rPr>
          <w:color w:val="3D3D3D"/>
        </w:rPr>
        <w:t>would</w:t>
      </w:r>
      <w:r>
        <w:rPr>
          <w:color w:val="3D3D3D"/>
          <w:spacing w:val="-11"/>
        </w:rPr>
        <w:t> </w:t>
      </w:r>
      <w:r>
        <w:rPr>
          <w:color w:val="3D3D3D"/>
        </w:rPr>
        <w:t>also provide</w:t>
      </w:r>
      <w:r>
        <w:rPr>
          <w:color w:val="3D3D3D"/>
          <w:spacing w:val="-8"/>
        </w:rPr>
        <w:t> </w:t>
      </w:r>
      <w:r>
        <w:rPr>
          <w:color w:val="3D3D3D"/>
        </w:rPr>
        <w:t>flexibility</w:t>
      </w:r>
      <w:r>
        <w:rPr>
          <w:color w:val="3D3D3D"/>
          <w:spacing w:val="-10"/>
        </w:rPr>
        <w:t> </w:t>
      </w:r>
      <w:r>
        <w:rPr>
          <w:color w:val="3D3D3D"/>
        </w:rPr>
        <w:t>to</w:t>
      </w:r>
      <w:r>
        <w:rPr>
          <w:color w:val="3D3D3D"/>
          <w:spacing w:val="-7"/>
        </w:rPr>
        <w:t> </w:t>
      </w:r>
      <w:r>
        <w:rPr>
          <w:color w:val="3D3D3D"/>
        </w:rPr>
        <w:t>assess</w:t>
      </w:r>
      <w:r>
        <w:rPr>
          <w:color w:val="3D3D3D"/>
          <w:spacing w:val="-6"/>
        </w:rPr>
        <w:t> </w:t>
      </w:r>
      <w:r>
        <w:rPr>
          <w:color w:val="3D3D3D"/>
        </w:rPr>
        <w:t>out-of-scope</w:t>
      </w:r>
      <w:r>
        <w:rPr>
          <w:color w:val="3D3D3D"/>
          <w:spacing w:val="-7"/>
        </w:rPr>
        <w:t> </w:t>
      </w:r>
      <w:r>
        <w:rPr>
          <w:color w:val="3D3D3D"/>
        </w:rPr>
        <w:t>distribution</w:t>
      </w:r>
      <w:r>
        <w:rPr>
          <w:color w:val="3D3D3D"/>
          <w:spacing w:val="-8"/>
        </w:rPr>
        <w:t> </w:t>
      </w:r>
      <w:r>
        <w:rPr>
          <w:color w:val="3D3D3D"/>
        </w:rPr>
        <w:t>returns</w:t>
      </w:r>
      <w:r>
        <w:rPr>
          <w:color w:val="3D3D3D"/>
          <w:spacing w:val="-5"/>
        </w:rPr>
        <w:t> </w:t>
      </w:r>
      <w:r>
        <w:rPr>
          <w:color w:val="3D3D3D"/>
        </w:rPr>
        <w:t>according</w:t>
      </w:r>
      <w:r>
        <w:rPr>
          <w:color w:val="3D3D3D"/>
          <w:spacing w:val="-6"/>
        </w:rPr>
        <w:t> </w:t>
      </w:r>
      <w:r>
        <w:rPr>
          <w:color w:val="3D3D3D"/>
        </w:rPr>
        <w:t>to</w:t>
      </w:r>
      <w:r>
        <w:rPr>
          <w:color w:val="3D3D3D"/>
          <w:spacing w:val="-7"/>
        </w:rPr>
        <w:t> </w:t>
      </w:r>
      <w:r>
        <w:rPr>
          <w:color w:val="3D3D3D"/>
        </w:rPr>
        <w:t>the</w:t>
      </w:r>
      <w:r>
        <w:rPr>
          <w:color w:val="3D3D3D"/>
          <w:spacing w:val="-8"/>
        </w:rPr>
        <w:t> </w:t>
      </w:r>
      <w:r>
        <w:rPr>
          <w:color w:val="3D3D3D"/>
        </w:rPr>
        <w:t>existing</w:t>
      </w:r>
      <w:r>
        <w:rPr>
          <w:color w:val="3D3D3D"/>
          <w:spacing w:val="-7"/>
        </w:rPr>
        <w:t> </w:t>
      </w:r>
      <w:r>
        <w:rPr>
          <w:color w:val="3D3D3D"/>
        </w:rPr>
        <w:t>operation</w:t>
      </w:r>
      <w:r>
        <w:rPr>
          <w:color w:val="3D3D3D"/>
          <w:spacing w:val="-5"/>
        </w:rPr>
        <w:t> </w:t>
      </w:r>
      <w:r>
        <w:rPr>
          <w:color w:val="3D3D3D"/>
        </w:rPr>
        <w:t>of</w:t>
      </w:r>
      <w:r>
        <w:rPr>
          <w:color w:val="3D3D3D"/>
          <w:spacing w:val="-6"/>
        </w:rPr>
        <w:t> </w:t>
      </w:r>
      <w:r>
        <w:rPr>
          <w:color w:val="3D3D3D"/>
        </w:rPr>
        <w:t>the</w:t>
      </w:r>
      <w:r>
        <w:rPr>
          <w:color w:val="3D3D3D"/>
          <w:spacing w:val="-2"/>
        </w:rPr>
        <w:t> </w:t>
      </w:r>
      <w:r>
        <w:rPr>
          <w:color w:val="3D3D3D"/>
        </w:rPr>
        <w:t>ALP. </w:t>
      </w:r>
      <w:r>
        <w:rPr/>
        <w:t>A narrow scope for Amount B could also be developed more efficiently, as it would negate the possible need to differentiate the returns based on the differing functional intensity of a broader spectrum of marketing and distribution</w:t>
      </w:r>
      <w:r>
        <w:rPr>
          <w:spacing w:val="-2"/>
        </w:rPr>
        <w:t> </w:t>
      </w:r>
      <w:r>
        <w:rPr/>
        <w:t>entities.</w:t>
      </w:r>
    </w:p>
    <w:p>
      <w:pPr>
        <w:pStyle w:val="ListParagraph"/>
        <w:numPr>
          <w:ilvl w:val="0"/>
          <w:numId w:val="13"/>
        </w:numPr>
        <w:tabs>
          <w:tab w:pos="1444" w:val="left" w:leader="none"/>
        </w:tabs>
        <w:spacing w:line="271" w:lineRule="auto" w:before="119" w:after="0"/>
        <w:ind w:left="723" w:right="434" w:firstLine="0"/>
        <w:jc w:val="both"/>
        <w:rPr>
          <w:color w:val="3D3D3D"/>
          <w:sz w:val="20"/>
        </w:rPr>
      </w:pPr>
      <w:r>
        <w:rPr>
          <w:sz w:val="20"/>
        </w:rPr>
        <w:t>On the presumption that Amount B will be implemented at the same time as Amount A, and to ensure that it can be applied in a coherent manner by all jurisdictions, it would need to be implemented in three main ways. First, implementation of Amount B may need to be effectuated under domestic law or regulation. As noted above, the narrow approach articulated in this Blueprint carries the additional benefit that, as a simplified means of establishing the arm’s length remuneration to narrow baseline activities, it would</w:t>
      </w:r>
      <w:r>
        <w:rPr>
          <w:spacing w:val="-6"/>
          <w:sz w:val="20"/>
        </w:rPr>
        <w:t> </w:t>
      </w:r>
      <w:r>
        <w:rPr>
          <w:sz w:val="20"/>
        </w:rPr>
        <w:t>more</w:t>
      </w:r>
      <w:r>
        <w:rPr>
          <w:spacing w:val="-5"/>
          <w:sz w:val="20"/>
        </w:rPr>
        <w:t> </w:t>
      </w:r>
      <w:r>
        <w:rPr>
          <w:sz w:val="20"/>
        </w:rPr>
        <w:t>likely</w:t>
      </w:r>
      <w:r>
        <w:rPr>
          <w:spacing w:val="-11"/>
          <w:sz w:val="20"/>
        </w:rPr>
        <w:t> </w:t>
      </w:r>
      <w:r>
        <w:rPr>
          <w:sz w:val="20"/>
        </w:rPr>
        <w:t>be</w:t>
      </w:r>
      <w:r>
        <w:rPr>
          <w:spacing w:val="-5"/>
          <w:sz w:val="20"/>
        </w:rPr>
        <w:t> </w:t>
      </w:r>
      <w:r>
        <w:rPr>
          <w:sz w:val="20"/>
        </w:rPr>
        <w:t>consistent</w:t>
      </w:r>
      <w:r>
        <w:rPr>
          <w:spacing w:val="-3"/>
          <w:sz w:val="20"/>
        </w:rPr>
        <w:t> </w:t>
      </w:r>
      <w:r>
        <w:rPr>
          <w:sz w:val="20"/>
        </w:rPr>
        <w:t>with</w:t>
      </w:r>
      <w:r>
        <w:rPr>
          <w:spacing w:val="-5"/>
          <w:sz w:val="20"/>
        </w:rPr>
        <w:t> </w:t>
      </w:r>
      <w:r>
        <w:rPr>
          <w:sz w:val="20"/>
        </w:rPr>
        <w:t>existing</w:t>
      </w:r>
      <w:r>
        <w:rPr>
          <w:spacing w:val="-7"/>
          <w:sz w:val="20"/>
        </w:rPr>
        <w:t> </w:t>
      </w:r>
      <w:r>
        <w:rPr>
          <w:sz w:val="20"/>
        </w:rPr>
        <w:t>domestic</w:t>
      </w:r>
      <w:r>
        <w:rPr>
          <w:spacing w:val="-4"/>
          <w:sz w:val="20"/>
        </w:rPr>
        <w:t> </w:t>
      </w:r>
      <w:r>
        <w:rPr>
          <w:sz w:val="20"/>
        </w:rPr>
        <w:t>law</w:t>
      </w:r>
      <w:r>
        <w:rPr>
          <w:spacing w:val="-7"/>
          <w:sz w:val="20"/>
        </w:rPr>
        <w:t> </w:t>
      </w:r>
      <w:r>
        <w:rPr>
          <w:sz w:val="20"/>
        </w:rPr>
        <w:t>and</w:t>
      </w:r>
      <w:r>
        <w:rPr>
          <w:spacing w:val="-5"/>
          <w:sz w:val="20"/>
        </w:rPr>
        <w:t> </w:t>
      </w:r>
      <w:r>
        <w:rPr>
          <w:sz w:val="20"/>
        </w:rPr>
        <w:t>treaties.</w:t>
      </w:r>
      <w:r>
        <w:rPr>
          <w:spacing w:val="-5"/>
          <w:sz w:val="20"/>
        </w:rPr>
        <w:t> </w:t>
      </w:r>
      <w:r>
        <w:rPr>
          <w:sz w:val="20"/>
        </w:rPr>
        <w:t>Second, although</w:t>
      </w:r>
      <w:r>
        <w:rPr>
          <w:spacing w:val="-5"/>
          <w:sz w:val="20"/>
        </w:rPr>
        <w:t> </w:t>
      </w:r>
      <w:r>
        <w:rPr>
          <w:sz w:val="20"/>
        </w:rPr>
        <w:t>two</w:t>
      </w:r>
      <w:r>
        <w:rPr>
          <w:spacing w:val="-5"/>
          <w:sz w:val="20"/>
        </w:rPr>
        <w:t> </w:t>
      </w:r>
      <w:r>
        <w:rPr>
          <w:sz w:val="20"/>
        </w:rPr>
        <w:t>jurisdictions with</w:t>
      </w:r>
      <w:r>
        <w:rPr>
          <w:spacing w:val="-5"/>
          <w:sz w:val="20"/>
        </w:rPr>
        <w:t> </w:t>
      </w:r>
      <w:r>
        <w:rPr>
          <w:sz w:val="20"/>
        </w:rPr>
        <w:t>an</w:t>
      </w:r>
      <w:r>
        <w:rPr>
          <w:spacing w:val="-4"/>
          <w:sz w:val="20"/>
        </w:rPr>
        <w:t> </w:t>
      </w:r>
      <w:r>
        <w:rPr>
          <w:sz w:val="20"/>
        </w:rPr>
        <w:t>existing</w:t>
      </w:r>
      <w:r>
        <w:rPr>
          <w:spacing w:val="-6"/>
          <w:sz w:val="20"/>
        </w:rPr>
        <w:t> </w:t>
      </w:r>
      <w:r>
        <w:rPr>
          <w:sz w:val="20"/>
        </w:rPr>
        <w:t>tax</w:t>
      </w:r>
      <w:r>
        <w:rPr>
          <w:spacing w:val="-5"/>
          <w:sz w:val="20"/>
        </w:rPr>
        <w:t> </w:t>
      </w:r>
      <w:r>
        <w:rPr>
          <w:sz w:val="20"/>
        </w:rPr>
        <w:t>treaty</w:t>
      </w:r>
      <w:r>
        <w:rPr>
          <w:spacing w:val="-7"/>
          <w:sz w:val="20"/>
        </w:rPr>
        <w:t> </w:t>
      </w:r>
      <w:r>
        <w:rPr>
          <w:sz w:val="20"/>
        </w:rPr>
        <w:t>can</w:t>
      </w:r>
      <w:r>
        <w:rPr>
          <w:spacing w:val="-6"/>
          <w:sz w:val="20"/>
        </w:rPr>
        <w:t> </w:t>
      </w:r>
      <w:r>
        <w:rPr>
          <w:sz w:val="20"/>
        </w:rPr>
        <w:t>resolve</w:t>
      </w:r>
      <w:r>
        <w:rPr>
          <w:spacing w:val="-4"/>
          <w:sz w:val="20"/>
        </w:rPr>
        <w:t> </w:t>
      </w:r>
      <w:r>
        <w:rPr>
          <w:sz w:val="20"/>
        </w:rPr>
        <w:t>disputes</w:t>
      </w:r>
      <w:r>
        <w:rPr>
          <w:spacing w:val="-4"/>
          <w:sz w:val="20"/>
        </w:rPr>
        <w:t> </w:t>
      </w:r>
      <w:r>
        <w:rPr>
          <w:sz w:val="20"/>
        </w:rPr>
        <w:t>over</w:t>
      </w:r>
      <w:r>
        <w:rPr>
          <w:spacing w:val="-2"/>
          <w:sz w:val="20"/>
        </w:rPr>
        <w:t> </w:t>
      </w:r>
      <w:r>
        <w:rPr>
          <w:sz w:val="20"/>
        </w:rPr>
        <w:t>Amount</w:t>
      </w:r>
      <w:r>
        <w:rPr>
          <w:spacing w:val="-6"/>
          <w:sz w:val="20"/>
        </w:rPr>
        <w:t> </w:t>
      </w:r>
      <w:r>
        <w:rPr>
          <w:sz w:val="20"/>
        </w:rPr>
        <w:t>B</w:t>
      </w:r>
      <w:r>
        <w:rPr>
          <w:spacing w:val="-6"/>
          <w:sz w:val="20"/>
        </w:rPr>
        <w:t> </w:t>
      </w:r>
      <w:r>
        <w:rPr>
          <w:sz w:val="20"/>
        </w:rPr>
        <w:t>through</w:t>
      </w:r>
      <w:r>
        <w:rPr>
          <w:spacing w:val="-2"/>
          <w:sz w:val="20"/>
        </w:rPr>
        <w:t> </w:t>
      </w:r>
      <w:r>
        <w:rPr>
          <w:sz w:val="20"/>
        </w:rPr>
        <w:t>that</w:t>
      </w:r>
      <w:r>
        <w:rPr>
          <w:spacing w:val="-6"/>
          <w:sz w:val="20"/>
        </w:rPr>
        <w:t> </w:t>
      </w:r>
      <w:r>
        <w:rPr>
          <w:sz w:val="20"/>
        </w:rPr>
        <w:t>treaty,</w:t>
      </w:r>
      <w:r>
        <w:rPr>
          <w:spacing w:val="-3"/>
          <w:sz w:val="20"/>
        </w:rPr>
        <w:t> </w:t>
      </w:r>
      <w:r>
        <w:rPr>
          <w:sz w:val="20"/>
        </w:rPr>
        <w:t>where</w:t>
      </w:r>
      <w:r>
        <w:rPr>
          <w:spacing w:val="-5"/>
          <w:sz w:val="20"/>
        </w:rPr>
        <w:t> </w:t>
      </w:r>
      <w:r>
        <w:rPr>
          <w:sz w:val="20"/>
        </w:rPr>
        <w:t>there</w:t>
      </w:r>
      <w:r>
        <w:rPr>
          <w:spacing w:val="-5"/>
          <w:sz w:val="20"/>
        </w:rPr>
        <w:t> </w:t>
      </w:r>
      <w:r>
        <w:rPr>
          <w:sz w:val="20"/>
        </w:rPr>
        <w:t>is</w:t>
      </w:r>
      <w:r>
        <w:rPr>
          <w:spacing w:val="-2"/>
          <w:sz w:val="20"/>
        </w:rPr>
        <w:t> </w:t>
      </w:r>
      <w:r>
        <w:rPr>
          <w:sz w:val="20"/>
        </w:rPr>
        <w:t>no</w:t>
      </w:r>
      <w:r>
        <w:rPr>
          <w:spacing w:val="-6"/>
          <w:sz w:val="20"/>
        </w:rPr>
        <w:t> </w:t>
      </w:r>
      <w:r>
        <w:rPr>
          <w:sz w:val="20"/>
        </w:rPr>
        <w:t>treaty in place, a new treaty based dispute resolution relationship may be required (see Chapter 9). Third, guidance</w:t>
      </w:r>
      <w:r>
        <w:rPr>
          <w:spacing w:val="-6"/>
          <w:sz w:val="20"/>
        </w:rPr>
        <w:t> </w:t>
      </w:r>
      <w:r>
        <w:rPr>
          <w:sz w:val="20"/>
        </w:rPr>
        <w:t>to</w:t>
      </w:r>
      <w:r>
        <w:rPr>
          <w:spacing w:val="-4"/>
          <w:sz w:val="20"/>
        </w:rPr>
        <w:t> </w:t>
      </w:r>
      <w:r>
        <w:rPr>
          <w:sz w:val="20"/>
        </w:rPr>
        <w:t>accompany</w:t>
      </w:r>
      <w:r>
        <w:rPr>
          <w:spacing w:val="-10"/>
          <w:sz w:val="20"/>
        </w:rPr>
        <w:t> </w:t>
      </w:r>
      <w:r>
        <w:rPr>
          <w:sz w:val="20"/>
        </w:rPr>
        <w:t>domestic</w:t>
      </w:r>
      <w:r>
        <w:rPr>
          <w:spacing w:val="-6"/>
          <w:sz w:val="20"/>
        </w:rPr>
        <w:t> </w:t>
      </w:r>
      <w:r>
        <w:rPr>
          <w:sz w:val="20"/>
        </w:rPr>
        <w:t>legislation</w:t>
      </w:r>
      <w:r>
        <w:rPr>
          <w:spacing w:val="-7"/>
          <w:sz w:val="20"/>
        </w:rPr>
        <w:t> </w:t>
      </w:r>
      <w:r>
        <w:rPr>
          <w:sz w:val="20"/>
        </w:rPr>
        <w:t>and</w:t>
      </w:r>
      <w:r>
        <w:rPr>
          <w:spacing w:val="-7"/>
          <w:sz w:val="20"/>
        </w:rPr>
        <w:t> </w:t>
      </w:r>
      <w:r>
        <w:rPr>
          <w:sz w:val="20"/>
        </w:rPr>
        <w:t>treaty</w:t>
      </w:r>
      <w:r>
        <w:rPr>
          <w:spacing w:val="-7"/>
          <w:sz w:val="20"/>
        </w:rPr>
        <w:t> </w:t>
      </w:r>
      <w:r>
        <w:rPr>
          <w:sz w:val="20"/>
        </w:rPr>
        <w:t>provisions</w:t>
      </w:r>
      <w:r>
        <w:rPr>
          <w:spacing w:val="-5"/>
          <w:sz w:val="20"/>
        </w:rPr>
        <w:t> </w:t>
      </w:r>
      <w:r>
        <w:rPr>
          <w:sz w:val="20"/>
        </w:rPr>
        <w:t>may</w:t>
      </w:r>
      <w:r>
        <w:rPr>
          <w:spacing w:val="-11"/>
          <w:sz w:val="20"/>
        </w:rPr>
        <w:t> </w:t>
      </w:r>
      <w:r>
        <w:rPr>
          <w:sz w:val="20"/>
        </w:rPr>
        <w:t>be</w:t>
      </w:r>
      <w:r>
        <w:rPr>
          <w:spacing w:val="-7"/>
          <w:sz w:val="20"/>
        </w:rPr>
        <w:t> </w:t>
      </w:r>
      <w:r>
        <w:rPr>
          <w:sz w:val="20"/>
        </w:rPr>
        <w:t>required,</w:t>
      </w:r>
      <w:r>
        <w:rPr>
          <w:spacing w:val="-7"/>
          <w:sz w:val="20"/>
        </w:rPr>
        <w:t> </w:t>
      </w:r>
      <w:r>
        <w:rPr>
          <w:sz w:val="20"/>
        </w:rPr>
        <w:t>although</w:t>
      </w:r>
      <w:r>
        <w:rPr>
          <w:spacing w:val="-7"/>
          <w:sz w:val="20"/>
        </w:rPr>
        <w:t> </w:t>
      </w:r>
      <w:r>
        <w:rPr>
          <w:sz w:val="20"/>
        </w:rPr>
        <w:t>the</w:t>
      </w:r>
      <w:r>
        <w:rPr>
          <w:spacing w:val="-7"/>
          <w:sz w:val="20"/>
        </w:rPr>
        <w:t> </w:t>
      </w:r>
      <w:r>
        <w:rPr>
          <w:sz w:val="20"/>
        </w:rPr>
        <w:t>narrower approach to scope may again limit this</w:t>
      </w:r>
      <w:r>
        <w:rPr>
          <w:spacing w:val="-10"/>
          <w:sz w:val="20"/>
        </w:rPr>
        <w:t> </w:t>
      </w:r>
      <w:r>
        <w:rPr>
          <w:sz w:val="20"/>
        </w:rPr>
        <w:t>requirement.</w:t>
      </w:r>
    </w:p>
    <w:p>
      <w:pPr>
        <w:pStyle w:val="ListParagraph"/>
        <w:numPr>
          <w:ilvl w:val="0"/>
          <w:numId w:val="13"/>
        </w:numPr>
        <w:tabs>
          <w:tab w:pos="1444" w:val="left" w:leader="none"/>
        </w:tabs>
        <w:spacing w:line="271" w:lineRule="auto" w:before="123" w:after="0"/>
        <w:ind w:left="723" w:right="434" w:firstLine="0"/>
        <w:jc w:val="both"/>
        <w:rPr>
          <w:sz w:val="20"/>
        </w:rPr>
      </w:pPr>
      <w:r>
        <w:rPr>
          <w:sz w:val="20"/>
        </w:rPr>
        <w:t>There is interest by some Inclusive Framework members in exploring the feasibility of broadening the scope of Amount B, e.g. through an evaluation of how the remuneration may be standardised for commissionaires and sales agents, or distribution entities that have a profile wider than the narrow scope marketing and distribution activities set out in this Blueprint. This raises issues that will need to be further explored, to ensure that the fixed return profile for such activities is set in a manner that approximates results determined under the</w:t>
      </w:r>
      <w:r>
        <w:rPr>
          <w:spacing w:val="-1"/>
          <w:sz w:val="20"/>
        </w:rPr>
        <w:t> </w:t>
      </w:r>
      <w:r>
        <w:rPr>
          <w:sz w:val="20"/>
        </w:rPr>
        <w:t>ALP.</w:t>
      </w:r>
    </w:p>
    <w:p>
      <w:pPr>
        <w:pStyle w:val="ListParagraph"/>
        <w:numPr>
          <w:ilvl w:val="0"/>
          <w:numId w:val="13"/>
        </w:numPr>
        <w:tabs>
          <w:tab w:pos="1444" w:val="left" w:leader="none"/>
        </w:tabs>
        <w:spacing w:line="271" w:lineRule="auto" w:before="121" w:after="0"/>
        <w:ind w:left="723" w:right="434" w:firstLine="0"/>
        <w:jc w:val="both"/>
        <w:rPr>
          <w:sz w:val="20"/>
        </w:rPr>
      </w:pPr>
      <w:r>
        <w:rPr>
          <w:color w:val="3D3D3D"/>
          <w:sz w:val="20"/>
        </w:rPr>
        <w:t>In particular, should a broader scope to Amount B be implemented, in addition to the above considerations</w:t>
      </w:r>
      <w:r>
        <w:rPr>
          <w:color w:val="3D3D3D"/>
          <w:spacing w:val="-14"/>
          <w:sz w:val="20"/>
        </w:rPr>
        <w:t> </w:t>
      </w:r>
      <w:r>
        <w:rPr>
          <w:color w:val="3D3D3D"/>
          <w:sz w:val="20"/>
        </w:rPr>
        <w:t>(and</w:t>
      </w:r>
      <w:r>
        <w:rPr>
          <w:color w:val="3D3D3D"/>
          <w:spacing w:val="-13"/>
          <w:sz w:val="20"/>
        </w:rPr>
        <w:t> </w:t>
      </w:r>
      <w:r>
        <w:rPr>
          <w:color w:val="3D3D3D"/>
          <w:sz w:val="20"/>
        </w:rPr>
        <w:t>depending</w:t>
      </w:r>
      <w:r>
        <w:rPr>
          <w:color w:val="3D3D3D"/>
          <w:spacing w:val="-12"/>
          <w:sz w:val="20"/>
        </w:rPr>
        <w:t> </w:t>
      </w:r>
      <w:r>
        <w:rPr>
          <w:color w:val="3D3D3D"/>
          <w:sz w:val="20"/>
        </w:rPr>
        <w:t>on</w:t>
      </w:r>
      <w:r>
        <w:rPr>
          <w:color w:val="3D3D3D"/>
          <w:spacing w:val="-15"/>
          <w:sz w:val="20"/>
        </w:rPr>
        <w:t> </w:t>
      </w:r>
      <w:r>
        <w:rPr>
          <w:color w:val="3D3D3D"/>
          <w:sz w:val="20"/>
        </w:rPr>
        <w:t>the</w:t>
      </w:r>
      <w:r>
        <w:rPr>
          <w:color w:val="3D3D3D"/>
          <w:spacing w:val="-15"/>
          <w:sz w:val="20"/>
        </w:rPr>
        <w:t> </w:t>
      </w:r>
      <w:r>
        <w:rPr>
          <w:color w:val="3D3D3D"/>
          <w:sz w:val="20"/>
        </w:rPr>
        <w:t>extent</w:t>
      </w:r>
      <w:r>
        <w:rPr>
          <w:color w:val="3D3D3D"/>
          <w:spacing w:val="-14"/>
          <w:sz w:val="20"/>
        </w:rPr>
        <w:t> </w:t>
      </w:r>
      <w:r>
        <w:rPr>
          <w:color w:val="3D3D3D"/>
          <w:sz w:val="20"/>
        </w:rPr>
        <w:t>of</w:t>
      </w:r>
      <w:r>
        <w:rPr>
          <w:color w:val="3D3D3D"/>
          <w:spacing w:val="-13"/>
          <w:sz w:val="20"/>
        </w:rPr>
        <w:t> </w:t>
      </w:r>
      <w:r>
        <w:rPr>
          <w:color w:val="3D3D3D"/>
          <w:sz w:val="20"/>
        </w:rPr>
        <w:t>scoping</w:t>
      </w:r>
      <w:r>
        <w:rPr>
          <w:color w:val="3D3D3D"/>
          <w:spacing w:val="-13"/>
          <w:sz w:val="20"/>
        </w:rPr>
        <w:t> </w:t>
      </w:r>
      <w:r>
        <w:rPr>
          <w:color w:val="3D3D3D"/>
          <w:sz w:val="20"/>
        </w:rPr>
        <w:t>additions)</w:t>
      </w:r>
      <w:r>
        <w:rPr>
          <w:color w:val="3D3D3D"/>
          <w:spacing w:val="-13"/>
          <w:sz w:val="20"/>
        </w:rPr>
        <w:t> </w:t>
      </w:r>
      <w:r>
        <w:rPr>
          <w:color w:val="3D3D3D"/>
          <w:sz w:val="20"/>
        </w:rPr>
        <w:t>this</w:t>
      </w:r>
      <w:r>
        <w:rPr>
          <w:color w:val="3D3D3D"/>
          <w:spacing w:val="-13"/>
          <w:sz w:val="20"/>
        </w:rPr>
        <w:t> </w:t>
      </w:r>
      <w:r>
        <w:rPr>
          <w:color w:val="3D3D3D"/>
          <w:sz w:val="20"/>
        </w:rPr>
        <w:t>may</w:t>
      </w:r>
      <w:r>
        <w:rPr>
          <w:color w:val="3D3D3D"/>
          <w:spacing w:val="-17"/>
          <w:sz w:val="20"/>
        </w:rPr>
        <w:t> </w:t>
      </w:r>
      <w:r>
        <w:rPr>
          <w:color w:val="3D3D3D"/>
          <w:sz w:val="20"/>
        </w:rPr>
        <w:t>also</w:t>
      </w:r>
      <w:r>
        <w:rPr>
          <w:color w:val="3D3D3D"/>
          <w:spacing w:val="-7"/>
          <w:sz w:val="20"/>
        </w:rPr>
        <w:t> </w:t>
      </w:r>
      <w:r>
        <w:rPr>
          <w:color w:val="3D3D3D"/>
          <w:sz w:val="20"/>
        </w:rPr>
        <w:t>require</w:t>
      </w:r>
      <w:r>
        <w:rPr>
          <w:color w:val="3D3D3D"/>
          <w:spacing w:val="-13"/>
          <w:sz w:val="20"/>
        </w:rPr>
        <w:t> </w:t>
      </w:r>
      <w:r>
        <w:rPr>
          <w:color w:val="3D3D3D"/>
          <w:sz w:val="20"/>
        </w:rPr>
        <w:t>further</w:t>
      </w:r>
      <w:r>
        <w:rPr>
          <w:color w:val="3D3D3D"/>
          <w:spacing w:val="-14"/>
          <w:sz w:val="20"/>
        </w:rPr>
        <w:t> </w:t>
      </w:r>
      <w:r>
        <w:rPr>
          <w:color w:val="3D3D3D"/>
          <w:sz w:val="20"/>
        </w:rPr>
        <w:t>amendment to Article 9 of the OECD Model Tax Treaty and for this to be implemented in bilateral tax treaties, which would further complicate the implementation of Amount B. Finally, as there is some interest to explore the feasibility of implementing Amount B through a pilot programme, further discussions will occur to evaluate this.</w:t>
      </w:r>
    </w:p>
    <w:p>
      <w:pPr>
        <w:pStyle w:val="BodyText"/>
        <w:rPr>
          <w:sz w:val="22"/>
        </w:rPr>
      </w:pPr>
    </w:p>
    <w:p>
      <w:pPr>
        <w:pStyle w:val="Heading4"/>
        <w:numPr>
          <w:ilvl w:val="1"/>
          <w:numId w:val="73"/>
        </w:numPr>
        <w:tabs>
          <w:tab w:pos="1192" w:val="left" w:leader="none"/>
        </w:tabs>
        <w:spacing w:line="240" w:lineRule="auto" w:before="193" w:after="0"/>
        <w:ind w:left="1191" w:right="0" w:hanging="469"/>
        <w:jc w:val="left"/>
        <w:rPr>
          <w:rFonts w:ascii="Arial"/>
        </w:rPr>
      </w:pPr>
      <w:bookmarkStart w:name="8.3. Next steps" w:id="406"/>
      <w:bookmarkEnd w:id="406"/>
      <w:r>
        <w:rPr>
          <w:b w:val="0"/>
        </w:rPr>
      </w:r>
      <w:bookmarkStart w:name="_bookmark65" w:id="407"/>
      <w:bookmarkEnd w:id="407"/>
      <w:r>
        <w:rPr>
          <w:b w:val="0"/>
        </w:rPr>
      </w:r>
      <w:bookmarkStart w:name="_bookmark65" w:id="408"/>
      <w:bookmarkEnd w:id="408"/>
      <w:r>
        <w:rPr>
          <w:rFonts w:ascii="Arial"/>
          <w:color w:val="4E81BD"/>
        </w:rPr>
        <w:t>Ne</w:t>
      </w:r>
      <w:r>
        <w:rPr>
          <w:rFonts w:ascii="Arial"/>
          <w:color w:val="4E81BD"/>
        </w:rPr>
        <w:t>xt steps</w:t>
      </w:r>
    </w:p>
    <w:p>
      <w:pPr>
        <w:pStyle w:val="BodyText"/>
        <w:spacing w:before="2"/>
        <w:rPr>
          <w:b/>
          <w:sz w:val="24"/>
        </w:rPr>
      </w:pPr>
    </w:p>
    <w:p>
      <w:pPr>
        <w:pStyle w:val="ListParagraph"/>
        <w:numPr>
          <w:ilvl w:val="0"/>
          <w:numId w:val="13"/>
        </w:numPr>
        <w:tabs>
          <w:tab w:pos="1444" w:val="left" w:leader="none"/>
        </w:tabs>
        <w:spacing w:line="273" w:lineRule="auto" w:before="0" w:after="0"/>
        <w:ind w:left="723" w:right="439" w:firstLine="0"/>
        <w:jc w:val="both"/>
        <w:rPr>
          <w:sz w:val="20"/>
        </w:rPr>
      </w:pPr>
      <w:r>
        <w:rPr>
          <w:sz w:val="20"/>
        </w:rPr>
        <w:t>The next step will require a decision by the members of the Inclusive Framework on what scope and within which context the work on Amount B should be advanced and</w:t>
      </w:r>
      <w:r>
        <w:rPr>
          <w:spacing w:val="-8"/>
          <w:sz w:val="20"/>
        </w:rPr>
        <w:t> </w:t>
      </w:r>
      <w:r>
        <w:rPr>
          <w:sz w:val="20"/>
        </w:rPr>
        <w:t>implemented.</w:t>
      </w:r>
    </w:p>
    <w:p>
      <w:pPr>
        <w:pStyle w:val="ListParagraph"/>
        <w:numPr>
          <w:ilvl w:val="0"/>
          <w:numId w:val="13"/>
        </w:numPr>
        <w:tabs>
          <w:tab w:pos="1444" w:val="left" w:leader="none"/>
        </w:tabs>
        <w:spacing w:line="240" w:lineRule="auto" w:before="116" w:after="0"/>
        <w:ind w:left="1443" w:right="0" w:hanging="721"/>
        <w:jc w:val="both"/>
        <w:rPr>
          <w:sz w:val="20"/>
        </w:rPr>
      </w:pPr>
      <w:r>
        <w:rPr>
          <w:sz w:val="20"/>
        </w:rPr>
        <w:t>In addition, further technical work will need to be undertaken and will</w:t>
      </w:r>
      <w:r>
        <w:rPr>
          <w:spacing w:val="-12"/>
          <w:sz w:val="20"/>
        </w:rPr>
        <w:t> </w:t>
      </w:r>
      <w:r>
        <w:rPr>
          <w:sz w:val="20"/>
        </w:rPr>
        <w:t>include:</w:t>
      </w:r>
    </w:p>
    <w:p>
      <w:pPr>
        <w:pStyle w:val="ListParagraph"/>
        <w:numPr>
          <w:ilvl w:val="1"/>
          <w:numId w:val="13"/>
        </w:numPr>
        <w:tabs>
          <w:tab w:pos="1403" w:val="left" w:leader="none"/>
        </w:tabs>
        <w:spacing w:line="268" w:lineRule="auto" w:before="129" w:after="0"/>
        <w:ind w:left="1402" w:right="492" w:hanging="339"/>
        <w:jc w:val="both"/>
        <w:rPr>
          <w:sz w:val="20"/>
        </w:rPr>
      </w:pPr>
      <w:r>
        <w:rPr>
          <w:sz w:val="20"/>
        </w:rPr>
        <w:t>Finalising the determination of the profit level indicator to be applied, including what should be incorporated into in the numerator and denominator for the calculation of the return on</w:t>
      </w:r>
      <w:r>
        <w:rPr>
          <w:spacing w:val="-40"/>
          <w:sz w:val="20"/>
        </w:rPr>
        <w:t> </w:t>
      </w:r>
      <w:r>
        <w:rPr>
          <w:sz w:val="20"/>
        </w:rPr>
        <w:t>sales;</w:t>
      </w:r>
    </w:p>
    <w:p>
      <w:pPr>
        <w:pStyle w:val="ListParagraph"/>
        <w:numPr>
          <w:ilvl w:val="1"/>
          <w:numId w:val="13"/>
        </w:numPr>
        <w:tabs>
          <w:tab w:pos="1403" w:val="left" w:leader="none"/>
        </w:tabs>
        <w:spacing w:line="271" w:lineRule="auto" w:before="49" w:after="0"/>
        <w:ind w:left="1402" w:right="484" w:hanging="339"/>
        <w:jc w:val="both"/>
        <w:rPr>
          <w:sz w:val="20"/>
        </w:rPr>
      </w:pPr>
      <w:r>
        <w:rPr>
          <w:sz w:val="20"/>
        </w:rPr>
        <w:t>Identifying what baseline marketing and distribution activities should be in the positive list, what activities, functions and risks should be in the negative list, and the quantitative indicators and specific thresholds that may indicate activities below or in excess of the</w:t>
      </w:r>
      <w:r>
        <w:rPr>
          <w:spacing w:val="-15"/>
          <w:sz w:val="20"/>
        </w:rPr>
        <w:t> </w:t>
      </w:r>
      <w:r>
        <w:rPr>
          <w:sz w:val="20"/>
        </w:rPr>
        <w:t>baseline;</w:t>
      </w:r>
    </w:p>
    <w:p>
      <w:pPr>
        <w:pStyle w:val="ListParagraph"/>
        <w:numPr>
          <w:ilvl w:val="1"/>
          <w:numId w:val="13"/>
        </w:numPr>
        <w:tabs>
          <w:tab w:pos="1403" w:val="left" w:leader="none"/>
        </w:tabs>
        <w:spacing w:line="271" w:lineRule="auto" w:before="44" w:after="0"/>
        <w:ind w:left="1402" w:right="488" w:hanging="339"/>
        <w:jc w:val="both"/>
        <w:rPr>
          <w:sz w:val="20"/>
        </w:rPr>
      </w:pPr>
      <w:r>
        <w:rPr>
          <w:sz w:val="20"/>
        </w:rPr>
        <w:t>If sales agents and commissionaires are to be in scope, the definition of equivalent baseline marketing and distribution activities, an appropriate negative list, quantitative indicators and profit level indicators to use to set the fixed</w:t>
      </w:r>
      <w:r>
        <w:rPr>
          <w:spacing w:val="-4"/>
          <w:sz w:val="20"/>
        </w:rPr>
        <w:t> </w:t>
      </w:r>
      <w:r>
        <w:rPr>
          <w:sz w:val="20"/>
        </w:rPr>
        <w:t>returns;</w:t>
      </w:r>
    </w:p>
    <w:p>
      <w:pPr>
        <w:pStyle w:val="ListParagraph"/>
        <w:numPr>
          <w:ilvl w:val="1"/>
          <w:numId w:val="13"/>
        </w:numPr>
        <w:tabs>
          <w:tab w:pos="1403" w:val="left" w:leader="none"/>
        </w:tabs>
        <w:spacing w:line="240" w:lineRule="auto" w:before="43" w:after="0"/>
        <w:ind w:left="1402" w:right="0" w:hanging="339"/>
        <w:jc w:val="both"/>
        <w:rPr>
          <w:sz w:val="20"/>
        </w:rPr>
      </w:pPr>
      <w:r>
        <w:rPr>
          <w:sz w:val="20"/>
        </w:rPr>
        <w:t>Determining the regions and industries to which differentiated returns should</w:t>
      </w:r>
      <w:r>
        <w:rPr>
          <w:spacing w:val="-12"/>
          <w:sz w:val="20"/>
        </w:rPr>
        <w:t> </w:t>
      </w:r>
      <w:r>
        <w:rPr>
          <w:sz w:val="20"/>
        </w:rPr>
        <w:t>apply;</w:t>
      </w:r>
    </w:p>
    <w:p>
      <w:pPr>
        <w:pStyle w:val="ListParagraph"/>
        <w:numPr>
          <w:ilvl w:val="1"/>
          <w:numId w:val="13"/>
        </w:numPr>
        <w:tabs>
          <w:tab w:pos="1403" w:val="left" w:leader="none"/>
        </w:tabs>
        <w:spacing w:line="268" w:lineRule="auto" w:before="74" w:after="0"/>
        <w:ind w:left="1402" w:right="487" w:hanging="339"/>
        <w:jc w:val="both"/>
        <w:rPr>
          <w:sz w:val="20"/>
        </w:rPr>
      </w:pPr>
      <w:r>
        <w:rPr>
          <w:sz w:val="20"/>
        </w:rPr>
        <w:t>Considering the risk of double non-taxation as a result of divergence between the fixed Amount B and</w:t>
      </w:r>
      <w:r>
        <w:rPr>
          <w:spacing w:val="-17"/>
          <w:sz w:val="20"/>
        </w:rPr>
        <w:t> </w:t>
      </w:r>
      <w:r>
        <w:rPr>
          <w:sz w:val="20"/>
        </w:rPr>
        <w:t>a</w:t>
      </w:r>
      <w:r>
        <w:rPr>
          <w:spacing w:val="-14"/>
          <w:sz w:val="20"/>
        </w:rPr>
        <w:t> </w:t>
      </w:r>
      <w:r>
        <w:rPr>
          <w:sz w:val="20"/>
        </w:rPr>
        <w:t>lower</w:t>
      </w:r>
      <w:r>
        <w:rPr>
          <w:spacing w:val="-15"/>
          <w:sz w:val="20"/>
        </w:rPr>
        <w:t> </w:t>
      </w:r>
      <w:r>
        <w:rPr>
          <w:sz w:val="20"/>
        </w:rPr>
        <w:t>amount</w:t>
      </w:r>
      <w:r>
        <w:rPr>
          <w:spacing w:val="-16"/>
          <w:sz w:val="20"/>
        </w:rPr>
        <w:t> </w:t>
      </w:r>
      <w:r>
        <w:rPr>
          <w:sz w:val="20"/>
        </w:rPr>
        <w:t>taken</w:t>
      </w:r>
      <w:r>
        <w:rPr>
          <w:spacing w:val="-17"/>
          <w:sz w:val="20"/>
        </w:rPr>
        <w:t> </w:t>
      </w:r>
      <w:r>
        <w:rPr>
          <w:sz w:val="20"/>
        </w:rPr>
        <w:t>into</w:t>
      </w:r>
      <w:r>
        <w:rPr>
          <w:spacing w:val="-16"/>
          <w:sz w:val="20"/>
        </w:rPr>
        <w:t> </w:t>
      </w:r>
      <w:r>
        <w:rPr>
          <w:sz w:val="20"/>
        </w:rPr>
        <w:t>account</w:t>
      </w:r>
      <w:r>
        <w:rPr>
          <w:spacing w:val="-14"/>
          <w:sz w:val="20"/>
        </w:rPr>
        <w:t> </w:t>
      </w:r>
      <w:r>
        <w:rPr>
          <w:sz w:val="20"/>
        </w:rPr>
        <w:t>in</w:t>
      </w:r>
      <w:r>
        <w:rPr>
          <w:spacing w:val="-16"/>
          <w:sz w:val="20"/>
        </w:rPr>
        <w:t> </w:t>
      </w:r>
      <w:r>
        <w:rPr>
          <w:sz w:val="20"/>
        </w:rPr>
        <w:t>the</w:t>
      </w:r>
      <w:r>
        <w:rPr>
          <w:spacing w:val="-17"/>
          <w:sz w:val="20"/>
        </w:rPr>
        <w:t> </w:t>
      </w:r>
      <w:r>
        <w:rPr>
          <w:sz w:val="20"/>
        </w:rPr>
        <w:t>jurisdiction(s)</w:t>
      </w:r>
      <w:r>
        <w:rPr>
          <w:spacing w:val="-15"/>
          <w:sz w:val="20"/>
        </w:rPr>
        <w:t> </w:t>
      </w:r>
      <w:r>
        <w:rPr>
          <w:sz w:val="20"/>
        </w:rPr>
        <w:t>of</w:t>
      </w:r>
      <w:r>
        <w:rPr>
          <w:spacing w:val="-15"/>
          <w:sz w:val="20"/>
        </w:rPr>
        <w:t> </w:t>
      </w:r>
      <w:r>
        <w:rPr>
          <w:sz w:val="20"/>
        </w:rPr>
        <w:t>the</w:t>
      </w:r>
      <w:r>
        <w:rPr>
          <w:spacing w:val="-17"/>
          <w:sz w:val="20"/>
        </w:rPr>
        <w:t> </w:t>
      </w:r>
      <w:r>
        <w:rPr>
          <w:sz w:val="20"/>
        </w:rPr>
        <w:t>other</w:t>
      </w:r>
      <w:r>
        <w:rPr>
          <w:spacing w:val="-10"/>
          <w:sz w:val="20"/>
        </w:rPr>
        <w:t> </w:t>
      </w:r>
      <w:r>
        <w:rPr>
          <w:sz w:val="20"/>
        </w:rPr>
        <w:t>party(ies)</w:t>
      </w:r>
      <w:r>
        <w:rPr>
          <w:spacing w:val="-15"/>
          <w:sz w:val="20"/>
        </w:rPr>
        <w:t> </w:t>
      </w:r>
      <w:r>
        <w:rPr>
          <w:sz w:val="20"/>
        </w:rPr>
        <w:t>to</w:t>
      </w:r>
      <w:r>
        <w:rPr>
          <w:spacing w:val="-16"/>
          <w:sz w:val="20"/>
        </w:rPr>
        <w:t> </w:t>
      </w:r>
      <w:r>
        <w:rPr>
          <w:sz w:val="20"/>
        </w:rPr>
        <w:t>the</w:t>
      </w:r>
      <w:r>
        <w:rPr>
          <w:spacing w:val="-17"/>
          <w:sz w:val="20"/>
        </w:rPr>
        <w:t> </w:t>
      </w:r>
      <w:r>
        <w:rPr>
          <w:sz w:val="20"/>
        </w:rPr>
        <w:t>transaction;</w:t>
      </w:r>
    </w:p>
    <w:p>
      <w:pPr>
        <w:pStyle w:val="ListParagraph"/>
        <w:numPr>
          <w:ilvl w:val="1"/>
          <w:numId w:val="13"/>
        </w:numPr>
        <w:tabs>
          <w:tab w:pos="1403" w:val="left" w:leader="none"/>
        </w:tabs>
        <w:spacing w:line="240" w:lineRule="auto" w:before="49" w:after="0"/>
        <w:ind w:left="1402" w:right="0" w:hanging="339"/>
        <w:jc w:val="both"/>
        <w:rPr>
          <w:sz w:val="20"/>
        </w:rPr>
      </w:pPr>
      <w:r>
        <w:rPr>
          <w:sz w:val="20"/>
        </w:rPr>
        <w:t>Conducting the benchmarking to set the required returns using the agreed</w:t>
      </w:r>
      <w:r>
        <w:rPr>
          <w:spacing w:val="-15"/>
          <w:sz w:val="20"/>
        </w:rPr>
        <w:t> </w:t>
      </w:r>
      <w:r>
        <w:rPr>
          <w:sz w:val="20"/>
        </w:rPr>
        <w:t>basis;</w:t>
      </w:r>
    </w:p>
    <w:p>
      <w:pPr>
        <w:spacing w:after="0" w:line="240"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403" w:val="left" w:leader="none"/>
        </w:tabs>
        <w:spacing w:line="271" w:lineRule="auto" w:before="99" w:after="0"/>
        <w:ind w:left="1402" w:right="486" w:hanging="339"/>
        <w:jc w:val="both"/>
        <w:rPr>
          <w:sz w:val="20"/>
        </w:rPr>
      </w:pPr>
      <w:r>
        <w:rPr>
          <w:sz w:val="20"/>
        </w:rPr>
        <w:t>Establishing and articulating the process to implement Amount B, including developing the implementation requirements through a multilateral instrument and a specific Amount B guidance document, including processes to resolve disputes and the process by which the benchmarks will be completed and periodically</w:t>
      </w:r>
      <w:r>
        <w:rPr>
          <w:spacing w:val="-5"/>
          <w:sz w:val="20"/>
        </w:rPr>
        <w:t> </w:t>
      </w:r>
      <w:r>
        <w:rPr>
          <w:sz w:val="20"/>
        </w:rPr>
        <w:t>updated;</w:t>
      </w:r>
    </w:p>
    <w:p>
      <w:pPr>
        <w:pStyle w:val="ListParagraph"/>
        <w:numPr>
          <w:ilvl w:val="1"/>
          <w:numId w:val="13"/>
        </w:numPr>
        <w:tabs>
          <w:tab w:pos="1403" w:val="left" w:leader="none"/>
        </w:tabs>
        <w:spacing w:line="271" w:lineRule="auto" w:before="43" w:after="0"/>
        <w:ind w:left="1402" w:right="485" w:hanging="339"/>
        <w:jc w:val="both"/>
        <w:rPr>
          <w:sz w:val="20"/>
        </w:rPr>
      </w:pPr>
      <w:r>
        <w:rPr>
          <w:sz w:val="20"/>
        </w:rPr>
        <w:t>Considering the impact of other intercompany transactions for an entity that may be in the scope of</w:t>
      </w:r>
      <w:r>
        <w:rPr>
          <w:spacing w:val="-7"/>
          <w:sz w:val="20"/>
        </w:rPr>
        <w:t> </w:t>
      </w:r>
      <w:r>
        <w:rPr>
          <w:sz w:val="20"/>
        </w:rPr>
        <w:t>Amount</w:t>
      </w:r>
      <w:r>
        <w:rPr>
          <w:spacing w:val="-8"/>
          <w:sz w:val="20"/>
        </w:rPr>
        <w:t> </w:t>
      </w:r>
      <w:r>
        <w:rPr>
          <w:sz w:val="20"/>
        </w:rPr>
        <w:t>B,</w:t>
      </w:r>
      <w:r>
        <w:rPr>
          <w:spacing w:val="-7"/>
          <w:sz w:val="20"/>
        </w:rPr>
        <w:t> </w:t>
      </w:r>
      <w:r>
        <w:rPr>
          <w:sz w:val="20"/>
        </w:rPr>
        <w:t>inclusive</w:t>
      </w:r>
      <w:r>
        <w:rPr>
          <w:spacing w:val="-6"/>
          <w:sz w:val="20"/>
        </w:rPr>
        <w:t> </w:t>
      </w:r>
      <w:r>
        <w:rPr>
          <w:sz w:val="20"/>
        </w:rPr>
        <w:t>of</w:t>
      </w:r>
      <w:r>
        <w:rPr>
          <w:spacing w:val="-7"/>
          <w:sz w:val="20"/>
        </w:rPr>
        <w:t> </w:t>
      </w:r>
      <w:r>
        <w:rPr>
          <w:sz w:val="20"/>
        </w:rPr>
        <w:t>the</w:t>
      </w:r>
      <w:r>
        <w:rPr>
          <w:spacing w:val="-8"/>
          <w:sz w:val="20"/>
        </w:rPr>
        <w:t> </w:t>
      </w:r>
      <w:r>
        <w:rPr>
          <w:sz w:val="20"/>
        </w:rPr>
        <w:t>treatment</w:t>
      </w:r>
      <w:r>
        <w:rPr>
          <w:spacing w:val="-8"/>
          <w:sz w:val="20"/>
        </w:rPr>
        <w:t> </w:t>
      </w:r>
      <w:r>
        <w:rPr>
          <w:sz w:val="20"/>
        </w:rPr>
        <w:t>of</w:t>
      </w:r>
      <w:r>
        <w:rPr>
          <w:spacing w:val="-7"/>
          <w:sz w:val="20"/>
        </w:rPr>
        <w:t> </w:t>
      </w:r>
      <w:r>
        <w:rPr>
          <w:sz w:val="20"/>
        </w:rPr>
        <w:t>multifunctional</w:t>
      </w:r>
      <w:r>
        <w:rPr>
          <w:spacing w:val="-7"/>
          <w:sz w:val="20"/>
        </w:rPr>
        <w:t> </w:t>
      </w:r>
      <w:r>
        <w:rPr>
          <w:sz w:val="20"/>
        </w:rPr>
        <w:t>entities</w:t>
      </w:r>
      <w:r>
        <w:rPr>
          <w:spacing w:val="-2"/>
          <w:sz w:val="20"/>
        </w:rPr>
        <w:t> </w:t>
      </w:r>
      <w:r>
        <w:rPr>
          <w:sz w:val="20"/>
        </w:rPr>
        <w:t>and</w:t>
      </w:r>
      <w:r>
        <w:rPr>
          <w:spacing w:val="-6"/>
          <w:sz w:val="20"/>
        </w:rPr>
        <w:t> </w:t>
      </w:r>
      <w:r>
        <w:rPr>
          <w:sz w:val="20"/>
        </w:rPr>
        <w:t>how</w:t>
      </w:r>
      <w:r>
        <w:rPr>
          <w:spacing w:val="-9"/>
          <w:sz w:val="20"/>
        </w:rPr>
        <w:t> </w:t>
      </w:r>
      <w:r>
        <w:rPr>
          <w:sz w:val="20"/>
        </w:rPr>
        <w:t>to</w:t>
      </w:r>
      <w:r>
        <w:rPr>
          <w:spacing w:val="-6"/>
          <w:sz w:val="20"/>
        </w:rPr>
        <w:t> </w:t>
      </w:r>
      <w:r>
        <w:rPr>
          <w:sz w:val="20"/>
        </w:rPr>
        <w:t>address</w:t>
      </w:r>
      <w:r>
        <w:rPr>
          <w:spacing w:val="-7"/>
          <w:sz w:val="20"/>
        </w:rPr>
        <w:t> </w:t>
      </w:r>
      <w:r>
        <w:rPr>
          <w:sz w:val="20"/>
        </w:rPr>
        <w:t>the</w:t>
      </w:r>
      <w:r>
        <w:rPr>
          <w:spacing w:val="-9"/>
          <w:sz w:val="20"/>
        </w:rPr>
        <w:t> </w:t>
      </w:r>
      <w:r>
        <w:rPr>
          <w:sz w:val="20"/>
        </w:rPr>
        <w:t>effects</w:t>
      </w:r>
      <w:r>
        <w:rPr>
          <w:spacing w:val="-7"/>
          <w:sz w:val="20"/>
        </w:rPr>
        <w:t> </w:t>
      </w:r>
      <w:r>
        <w:rPr>
          <w:sz w:val="20"/>
        </w:rPr>
        <w:t>of potential transfer pricing adjustments for out-of-scope transactions, where the entity in scope for Amount B is the recipient entity, for example services;</w:t>
      </w:r>
      <w:r>
        <w:rPr>
          <w:spacing w:val="-4"/>
          <w:sz w:val="20"/>
        </w:rPr>
        <w:t> </w:t>
      </w:r>
      <w:r>
        <w:rPr>
          <w:sz w:val="20"/>
        </w:rPr>
        <w:t>and</w:t>
      </w:r>
    </w:p>
    <w:p>
      <w:pPr>
        <w:pStyle w:val="ListParagraph"/>
        <w:numPr>
          <w:ilvl w:val="1"/>
          <w:numId w:val="13"/>
        </w:numPr>
        <w:tabs>
          <w:tab w:pos="1403" w:val="left" w:leader="none"/>
        </w:tabs>
        <w:spacing w:line="240" w:lineRule="auto" w:before="43" w:after="0"/>
        <w:ind w:left="1402" w:right="0" w:hanging="339"/>
        <w:jc w:val="both"/>
        <w:rPr>
          <w:sz w:val="20"/>
        </w:rPr>
      </w:pPr>
      <w:r>
        <w:rPr>
          <w:sz w:val="20"/>
        </w:rPr>
        <w:t>Considering the merits and objectives of a potential pilot</w:t>
      </w:r>
      <w:r>
        <w:rPr>
          <w:spacing w:val="-10"/>
          <w:sz w:val="20"/>
        </w:rPr>
        <w:t> </w:t>
      </w:r>
      <w:r>
        <w:rPr>
          <w:sz w:val="20"/>
        </w:rPr>
        <w:t>programme.</w:t>
      </w:r>
    </w:p>
    <w:p>
      <w:pPr>
        <w:spacing w:after="0" w:line="240" w:lineRule="auto"/>
        <w:jc w:val="both"/>
        <w:rPr>
          <w:sz w:val="20"/>
        </w:rPr>
        <w:sectPr>
          <w:pgSz w:w="11910" w:h="16840"/>
          <w:pgMar w:header="1244" w:footer="1638" w:top="1500" w:bottom="1820" w:left="580" w:right="820"/>
        </w:sectPr>
      </w:pPr>
    </w:p>
    <w:p>
      <w:pPr>
        <w:pStyle w:val="BodyText"/>
        <w:spacing w:before="2"/>
        <w:rPr>
          <w:sz w:val="24"/>
        </w:rPr>
      </w:pPr>
    </w:p>
    <w:p>
      <w:pPr>
        <w:pStyle w:val="Heading2"/>
        <w:tabs>
          <w:tab w:pos="2384" w:val="left" w:leader="none"/>
        </w:tabs>
      </w:pPr>
      <w:r>
        <w:rPr/>
        <w:pict>
          <v:rect style="position:absolute;margin-left:64.463997pt;margin-top:1.055774pt;width:466.390015pt;height:6pt;mso-position-horizontal-relative:page;mso-position-vertical-relative:paragraph;z-index:-19506688" filled="true" fillcolor="#ffffff" stroked="false">
            <v:fill type="solid"/>
            <w10:wrap type="none"/>
          </v:rect>
        </w:pict>
      </w:r>
      <w:r>
        <w:rPr/>
        <w:pict>
          <v:rect style="position:absolute;margin-left:70.823997pt;margin-top:69.335754pt;width:59.279999pt;height:5.76pt;mso-position-horizontal-relative:page;mso-position-vertical-relative:paragraph;z-index:15814144" filled="true" fillcolor="#4e81bd" stroked="false">
            <v:fill type="solid"/>
            <w10:wrap type="none"/>
          </v:rect>
        </w:pict>
      </w:r>
      <w:bookmarkStart w:name="9.  Tax Certainty" w:id="409"/>
      <w:bookmarkEnd w:id="409"/>
      <w:r>
        <w:rPr>
          <w:b w:val="0"/>
        </w:rPr>
      </w:r>
      <w:bookmarkStart w:name="_bookmark66" w:id="410"/>
      <w:bookmarkEnd w:id="410"/>
      <w:r>
        <w:rPr>
          <w:b w:val="0"/>
        </w:rPr>
      </w:r>
      <w:r>
        <w:rPr>
          <w:color w:val="4E81BD"/>
          <w:sz w:val="130"/>
        </w:rPr>
        <w:t>9.</w:t>
        <w:tab/>
      </w:r>
      <w:r>
        <w:rPr>
          <w:color w:val="4E81BD"/>
        </w:rPr>
        <w:t>Tax</w:t>
      </w:r>
      <w:r>
        <w:rPr>
          <w:color w:val="4E81BD"/>
          <w:spacing w:val="-2"/>
        </w:rPr>
        <w:t> </w:t>
      </w:r>
      <w:r>
        <w:rPr>
          <w:color w:val="4E81BD"/>
        </w:rPr>
        <w:t>Certainty</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sz w:val="23"/>
        </w:rPr>
      </w:pPr>
    </w:p>
    <w:p>
      <w:pPr>
        <w:pStyle w:val="Heading4"/>
        <w:numPr>
          <w:ilvl w:val="1"/>
          <w:numId w:val="81"/>
        </w:numPr>
        <w:tabs>
          <w:tab w:pos="1192" w:val="left" w:leader="none"/>
        </w:tabs>
        <w:spacing w:line="240" w:lineRule="auto" w:before="93" w:after="0"/>
        <w:ind w:left="1191" w:right="0" w:hanging="469"/>
        <w:jc w:val="left"/>
        <w:rPr>
          <w:rFonts w:ascii="Arial"/>
        </w:rPr>
      </w:pPr>
      <w:bookmarkStart w:name="9.1. Overview" w:id="411"/>
      <w:bookmarkEnd w:id="411"/>
      <w:r>
        <w:rPr>
          <w:b w:val="0"/>
        </w:rPr>
      </w:r>
      <w:bookmarkStart w:name="_bookmark67" w:id="412"/>
      <w:bookmarkEnd w:id="412"/>
      <w:r>
        <w:rPr>
          <w:b w:val="0"/>
        </w:rPr>
      </w:r>
      <w:bookmarkStart w:name="_bookmark67" w:id="413"/>
      <w:bookmarkEnd w:id="413"/>
      <w:r>
        <w:rPr>
          <w:rFonts w:ascii="Arial"/>
          <w:color w:val="4E81BD"/>
        </w:rPr>
        <w:t>O</w:t>
      </w:r>
      <w:r>
        <w:rPr>
          <w:rFonts w:ascii="Arial"/>
          <w:color w:val="4E81BD"/>
        </w:rPr>
        <w:t>verview</w:t>
      </w:r>
    </w:p>
    <w:p>
      <w:pPr>
        <w:pStyle w:val="BodyText"/>
        <w:spacing w:before="3"/>
        <w:rPr>
          <w:b/>
          <w:sz w:val="24"/>
        </w:rPr>
      </w:pPr>
    </w:p>
    <w:p>
      <w:pPr>
        <w:pStyle w:val="ListParagraph"/>
        <w:numPr>
          <w:ilvl w:val="0"/>
          <w:numId w:val="13"/>
        </w:numPr>
        <w:tabs>
          <w:tab w:pos="1444" w:val="left" w:leader="none"/>
        </w:tabs>
        <w:spacing w:line="271" w:lineRule="auto" w:before="1" w:after="0"/>
        <w:ind w:left="723" w:right="481" w:firstLine="0"/>
        <w:jc w:val="both"/>
        <w:rPr>
          <w:sz w:val="20"/>
        </w:rPr>
      </w:pPr>
      <w:r>
        <w:rPr>
          <w:sz w:val="20"/>
        </w:rPr>
        <w:t>Securing</w:t>
      </w:r>
      <w:r>
        <w:rPr>
          <w:spacing w:val="-8"/>
          <w:sz w:val="20"/>
        </w:rPr>
        <w:t> </w:t>
      </w:r>
      <w:r>
        <w:rPr>
          <w:sz w:val="20"/>
        </w:rPr>
        <w:t>tax</w:t>
      </w:r>
      <w:r>
        <w:rPr>
          <w:spacing w:val="-7"/>
          <w:sz w:val="20"/>
        </w:rPr>
        <w:t> </w:t>
      </w:r>
      <w:r>
        <w:rPr>
          <w:sz w:val="20"/>
        </w:rPr>
        <w:t>certainty</w:t>
      </w:r>
      <w:r>
        <w:rPr>
          <w:spacing w:val="-8"/>
          <w:sz w:val="20"/>
        </w:rPr>
        <w:t> </w:t>
      </w:r>
      <w:r>
        <w:rPr>
          <w:sz w:val="20"/>
        </w:rPr>
        <w:t>is</w:t>
      </w:r>
      <w:r>
        <w:rPr>
          <w:spacing w:val="-6"/>
          <w:sz w:val="20"/>
        </w:rPr>
        <w:t> </w:t>
      </w:r>
      <w:r>
        <w:rPr>
          <w:sz w:val="20"/>
        </w:rPr>
        <w:t>an</w:t>
      </w:r>
      <w:r>
        <w:rPr>
          <w:spacing w:val="-6"/>
          <w:sz w:val="20"/>
        </w:rPr>
        <w:t> </w:t>
      </w:r>
      <w:r>
        <w:rPr>
          <w:sz w:val="20"/>
        </w:rPr>
        <w:t>essential</w:t>
      </w:r>
      <w:r>
        <w:rPr>
          <w:spacing w:val="-7"/>
          <w:sz w:val="20"/>
        </w:rPr>
        <w:t> </w:t>
      </w:r>
      <w:r>
        <w:rPr>
          <w:sz w:val="20"/>
        </w:rPr>
        <w:t>element</w:t>
      </w:r>
      <w:r>
        <w:rPr>
          <w:spacing w:val="-7"/>
          <w:sz w:val="20"/>
        </w:rPr>
        <w:t> </w:t>
      </w:r>
      <w:r>
        <w:rPr>
          <w:sz w:val="20"/>
        </w:rPr>
        <w:t>of</w:t>
      </w:r>
      <w:r>
        <w:rPr>
          <w:spacing w:val="-6"/>
          <w:sz w:val="20"/>
        </w:rPr>
        <w:t> </w:t>
      </w:r>
      <w:r>
        <w:rPr>
          <w:sz w:val="20"/>
        </w:rPr>
        <w:t>Pillar</w:t>
      </w:r>
      <w:r>
        <w:rPr>
          <w:spacing w:val="-5"/>
          <w:sz w:val="20"/>
        </w:rPr>
        <w:t> </w:t>
      </w:r>
      <w:r>
        <w:rPr>
          <w:sz w:val="20"/>
        </w:rPr>
        <w:t>One.</w:t>
      </w:r>
      <w:r>
        <w:rPr>
          <w:spacing w:val="-7"/>
          <w:sz w:val="20"/>
        </w:rPr>
        <w:t> </w:t>
      </w:r>
      <w:r>
        <w:rPr>
          <w:sz w:val="20"/>
        </w:rPr>
        <w:t>Providing</w:t>
      </w:r>
      <w:r>
        <w:rPr>
          <w:spacing w:val="-6"/>
          <w:sz w:val="20"/>
        </w:rPr>
        <w:t> </w:t>
      </w:r>
      <w:r>
        <w:rPr>
          <w:sz w:val="20"/>
        </w:rPr>
        <w:t>and</w:t>
      </w:r>
      <w:r>
        <w:rPr>
          <w:spacing w:val="-4"/>
          <w:sz w:val="20"/>
        </w:rPr>
        <w:t> </w:t>
      </w:r>
      <w:r>
        <w:rPr>
          <w:sz w:val="20"/>
        </w:rPr>
        <w:t>enhancing</w:t>
      </w:r>
      <w:r>
        <w:rPr>
          <w:spacing w:val="-8"/>
          <w:sz w:val="20"/>
        </w:rPr>
        <w:t> </w:t>
      </w:r>
      <w:r>
        <w:rPr>
          <w:sz w:val="20"/>
        </w:rPr>
        <w:t>tax</w:t>
      </w:r>
      <w:r>
        <w:rPr>
          <w:spacing w:val="-7"/>
          <w:sz w:val="20"/>
        </w:rPr>
        <w:t> </w:t>
      </w:r>
      <w:r>
        <w:rPr>
          <w:sz w:val="20"/>
        </w:rPr>
        <w:t>certainty across all possible areas of dispute brings benefits for taxpayers and tax administrations alike and is key in promoting investment, jobs and growth, and G20 Finance Ministers have recognised the importance of international cooperation to ensure tax certainty as an integral part of arriving at a consensus-based solution to the tax challenges of the digitalisation of the</w:t>
      </w:r>
      <w:r>
        <w:rPr>
          <w:spacing w:val="-7"/>
          <w:sz w:val="20"/>
        </w:rPr>
        <w:t> </w:t>
      </w:r>
      <w:r>
        <w:rPr>
          <w:sz w:val="20"/>
        </w:rPr>
        <w:t>economy.</w:t>
      </w:r>
      <w:r>
        <w:rPr>
          <w:position w:val="6"/>
          <w:sz w:val="13"/>
        </w:rPr>
        <w:t>155</w:t>
      </w:r>
    </w:p>
    <w:p>
      <w:pPr>
        <w:pStyle w:val="ListParagraph"/>
        <w:numPr>
          <w:ilvl w:val="0"/>
          <w:numId w:val="13"/>
        </w:numPr>
        <w:tabs>
          <w:tab w:pos="1444" w:val="left" w:leader="none"/>
        </w:tabs>
        <w:spacing w:line="273" w:lineRule="auto" w:before="119" w:after="0"/>
        <w:ind w:left="723" w:right="484" w:firstLine="0"/>
        <w:jc w:val="both"/>
        <w:rPr>
          <w:sz w:val="20"/>
        </w:rPr>
      </w:pPr>
      <w:r>
        <w:rPr>
          <w:sz w:val="20"/>
        </w:rPr>
        <w:t>The Blueprint breaks down the tax certainty dimension of Pillar One into two segments: dispute prevention and resolution for Amount A; and dispute prevention and resolution beyond Amount</w:t>
      </w:r>
      <w:r>
        <w:rPr>
          <w:spacing w:val="-27"/>
          <w:sz w:val="20"/>
        </w:rPr>
        <w:t> </w:t>
      </w:r>
      <w:r>
        <w:rPr>
          <w:sz w:val="20"/>
        </w:rPr>
        <w:t>A.</w:t>
      </w:r>
    </w:p>
    <w:p>
      <w:pPr>
        <w:pStyle w:val="ListParagraph"/>
        <w:numPr>
          <w:ilvl w:val="0"/>
          <w:numId w:val="13"/>
        </w:numPr>
        <w:tabs>
          <w:tab w:pos="1444" w:val="left" w:leader="none"/>
        </w:tabs>
        <w:spacing w:line="271" w:lineRule="auto" w:before="117" w:after="0"/>
        <w:ind w:left="723" w:right="483" w:firstLine="0"/>
        <w:jc w:val="both"/>
        <w:rPr>
          <w:sz w:val="20"/>
        </w:rPr>
      </w:pPr>
      <w:r>
        <w:rPr>
          <w:sz w:val="20"/>
        </w:rPr>
        <w:t>With respect to Amount A, the Inclusive Framework recognises that it would be impractical, if not impossible,</w:t>
      </w:r>
      <w:r>
        <w:rPr>
          <w:spacing w:val="-17"/>
          <w:sz w:val="20"/>
        </w:rPr>
        <w:t> </w:t>
      </w:r>
      <w:r>
        <w:rPr>
          <w:sz w:val="20"/>
        </w:rPr>
        <w:t>to</w:t>
      </w:r>
      <w:r>
        <w:rPr>
          <w:spacing w:val="-16"/>
          <w:sz w:val="20"/>
        </w:rPr>
        <w:t> </w:t>
      </w:r>
      <w:r>
        <w:rPr>
          <w:sz w:val="20"/>
        </w:rPr>
        <w:t>allow</w:t>
      </w:r>
      <w:r>
        <w:rPr>
          <w:spacing w:val="-16"/>
          <w:sz w:val="20"/>
        </w:rPr>
        <w:t> </w:t>
      </w:r>
      <w:r>
        <w:rPr>
          <w:sz w:val="20"/>
        </w:rPr>
        <w:t>all</w:t>
      </w:r>
      <w:r>
        <w:rPr>
          <w:spacing w:val="-17"/>
          <w:sz w:val="20"/>
        </w:rPr>
        <w:t> </w:t>
      </w:r>
      <w:r>
        <w:rPr>
          <w:sz w:val="20"/>
        </w:rPr>
        <w:t>affected</w:t>
      </w:r>
      <w:r>
        <w:rPr>
          <w:spacing w:val="-17"/>
          <w:sz w:val="20"/>
        </w:rPr>
        <w:t> </w:t>
      </w:r>
      <w:r>
        <w:rPr>
          <w:sz w:val="20"/>
        </w:rPr>
        <w:t>tax</w:t>
      </w:r>
      <w:r>
        <w:rPr>
          <w:spacing w:val="-15"/>
          <w:sz w:val="20"/>
        </w:rPr>
        <w:t> </w:t>
      </w:r>
      <w:r>
        <w:rPr>
          <w:sz w:val="20"/>
        </w:rPr>
        <w:t>administrations</w:t>
      </w:r>
      <w:r>
        <w:rPr>
          <w:spacing w:val="-12"/>
          <w:sz w:val="20"/>
        </w:rPr>
        <w:t> </w:t>
      </w:r>
      <w:r>
        <w:rPr>
          <w:sz w:val="20"/>
        </w:rPr>
        <w:t>to</w:t>
      </w:r>
      <w:r>
        <w:rPr>
          <w:spacing w:val="-14"/>
          <w:sz w:val="20"/>
        </w:rPr>
        <w:t> </w:t>
      </w:r>
      <w:r>
        <w:rPr>
          <w:sz w:val="20"/>
        </w:rPr>
        <w:t>assess</w:t>
      </w:r>
      <w:r>
        <w:rPr>
          <w:spacing w:val="-15"/>
          <w:sz w:val="20"/>
        </w:rPr>
        <w:t> </w:t>
      </w:r>
      <w:r>
        <w:rPr>
          <w:sz w:val="20"/>
        </w:rPr>
        <w:t>and</w:t>
      </w:r>
      <w:r>
        <w:rPr>
          <w:spacing w:val="-17"/>
          <w:sz w:val="20"/>
        </w:rPr>
        <w:t> </w:t>
      </w:r>
      <w:r>
        <w:rPr>
          <w:sz w:val="20"/>
        </w:rPr>
        <w:t>audit</w:t>
      </w:r>
      <w:r>
        <w:rPr>
          <w:spacing w:val="-16"/>
          <w:sz w:val="20"/>
        </w:rPr>
        <w:t> </w:t>
      </w:r>
      <w:r>
        <w:rPr>
          <w:sz w:val="20"/>
        </w:rPr>
        <w:t>an</w:t>
      </w:r>
      <w:r>
        <w:rPr>
          <w:spacing w:val="-14"/>
          <w:sz w:val="20"/>
        </w:rPr>
        <w:t> </w:t>
      </w:r>
      <w:r>
        <w:rPr>
          <w:sz w:val="20"/>
        </w:rPr>
        <w:t>MNE’s</w:t>
      </w:r>
      <w:r>
        <w:rPr>
          <w:spacing w:val="-15"/>
          <w:sz w:val="20"/>
        </w:rPr>
        <w:t> </w:t>
      </w:r>
      <w:r>
        <w:rPr>
          <w:sz w:val="20"/>
        </w:rPr>
        <w:t>calculation</w:t>
      </w:r>
      <w:r>
        <w:rPr>
          <w:spacing w:val="-16"/>
          <w:sz w:val="20"/>
        </w:rPr>
        <w:t> </w:t>
      </w:r>
      <w:r>
        <w:rPr>
          <w:sz w:val="20"/>
        </w:rPr>
        <w:t>and</w:t>
      </w:r>
      <w:r>
        <w:rPr>
          <w:spacing w:val="-14"/>
          <w:sz w:val="20"/>
        </w:rPr>
        <w:t> </w:t>
      </w:r>
      <w:r>
        <w:rPr>
          <w:sz w:val="20"/>
        </w:rPr>
        <w:t>allocation of Amount A and to address potential disputes through existing bilateral dispute resolution mechanisms. That</w:t>
      </w:r>
      <w:r>
        <w:rPr>
          <w:spacing w:val="-16"/>
          <w:sz w:val="20"/>
        </w:rPr>
        <w:t> </w:t>
      </w:r>
      <w:r>
        <w:rPr>
          <w:sz w:val="20"/>
        </w:rPr>
        <w:t>is</w:t>
      </w:r>
      <w:r>
        <w:rPr>
          <w:spacing w:val="-13"/>
          <w:sz w:val="20"/>
        </w:rPr>
        <w:t> </w:t>
      </w:r>
      <w:r>
        <w:rPr>
          <w:sz w:val="20"/>
        </w:rPr>
        <w:t>why</w:t>
      </w:r>
      <w:r>
        <w:rPr>
          <w:spacing w:val="-18"/>
          <w:sz w:val="20"/>
        </w:rPr>
        <w:t> </w:t>
      </w:r>
      <w:r>
        <w:rPr>
          <w:sz w:val="20"/>
        </w:rPr>
        <w:t>this</w:t>
      </w:r>
      <w:r>
        <w:rPr>
          <w:spacing w:val="-13"/>
          <w:sz w:val="20"/>
        </w:rPr>
        <w:t> </w:t>
      </w:r>
      <w:r>
        <w:rPr>
          <w:sz w:val="20"/>
        </w:rPr>
        <w:t>Blueprint</w:t>
      </w:r>
      <w:r>
        <w:rPr>
          <w:spacing w:val="-16"/>
          <w:sz w:val="20"/>
        </w:rPr>
        <w:t> </w:t>
      </w:r>
      <w:r>
        <w:rPr>
          <w:sz w:val="20"/>
        </w:rPr>
        <w:t>contains</w:t>
      </w:r>
      <w:r>
        <w:rPr>
          <w:spacing w:val="-15"/>
          <w:sz w:val="20"/>
        </w:rPr>
        <w:t> </w:t>
      </w:r>
      <w:r>
        <w:rPr>
          <w:sz w:val="20"/>
        </w:rPr>
        <w:t>a</w:t>
      </w:r>
      <w:r>
        <w:rPr>
          <w:spacing w:val="-15"/>
          <w:sz w:val="20"/>
        </w:rPr>
        <w:t> </w:t>
      </w:r>
      <w:r>
        <w:rPr>
          <w:sz w:val="20"/>
        </w:rPr>
        <w:t>clear</w:t>
      </w:r>
      <w:r>
        <w:rPr>
          <w:spacing w:val="-12"/>
          <w:sz w:val="20"/>
        </w:rPr>
        <w:t> </w:t>
      </w:r>
      <w:r>
        <w:rPr>
          <w:sz w:val="20"/>
        </w:rPr>
        <w:t>and</w:t>
      </w:r>
      <w:r>
        <w:rPr>
          <w:spacing w:val="-14"/>
          <w:sz w:val="20"/>
        </w:rPr>
        <w:t> </w:t>
      </w:r>
      <w:r>
        <w:rPr>
          <w:sz w:val="20"/>
        </w:rPr>
        <w:t>administrable</w:t>
      </w:r>
      <w:r>
        <w:rPr>
          <w:spacing w:val="-15"/>
          <w:sz w:val="20"/>
        </w:rPr>
        <w:t> </w:t>
      </w:r>
      <w:r>
        <w:rPr>
          <w:sz w:val="20"/>
        </w:rPr>
        <w:t>mandatory</w:t>
      </w:r>
      <w:r>
        <w:rPr>
          <w:spacing w:val="-19"/>
          <w:sz w:val="20"/>
        </w:rPr>
        <w:t> </w:t>
      </w:r>
      <w:r>
        <w:rPr>
          <w:sz w:val="20"/>
        </w:rPr>
        <w:t>binding</w:t>
      </w:r>
      <w:r>
        <w:rPr>
          <w:spacing w:val="-16"/>
          <w:sz w:val="20"/>
        </w:rPr>
        <w:t> </w:t>
      </w:r>
      <w:r>
        <w:rPr>
          <w:sz w:val="20"/>
        </w:rPr>
        <w:t>dispute</w:t>
      </w:r>
      <w:r>
        <w:rPr>
          <w:spacing w:val="-14"/>
          <w:sz w:val="20"/>
        </w:rPr>
        <w:t> </w:t>
      </w:r>
      <w:r>
        <w:rPr>
          <w:sz w:val="20"/>
        </w:rPr>
        <w:t>prevention</w:t>
      </w:r>
      <w:r>
        <w:rPr>
          <w:spacing w:val="-16"/>
          <w:sz w:val="20"/>
        </w:rPr>
        <w:t> </w:t>
      </w:r>
      <w:r>
        <w:rPr>
          <w:sz w:val="20"/>
        </w:rPr>
        <w:t>process that would provide early certainty, before tax adjustments are made, to prevent disputes related to all aspects</w:t>
      </w:r>
      <w:r>
        <w:rPr>
          <w:spacing w:val="-6"/>
          <w:sz w:val="20"/>
        </w:rPr>
        <w:t> </w:t>
      </w:r>
      <w:r>
        <w:rPr>
          <w:sz w:val="20"/>
        </w:rPr>
        <w:t>of</w:t>
      </w:r>
      <w:r>
        <w:rPr>
          <w:spacing w:val="-5"/>
          <w:sz w:val="20"/>
        </w:rPr>
        <w:t> </w:t>
      </w:r>
      <w:r>
        <w:rPr>
          <w:sz w:val="20"/>
        </w:rPr>
        <w:t>Amount</w:t>
      </w:r>
      <w:r>
        <w:rPr>
          <w:spacing w:val="-4"/>
          <w:sz w:val="20"/>
        </w:rPr>
        <w:t> </w:t>
      </w:r>
      <w:r>
        <w:rPr>
          <w:sz w:val="20"/>
        </w:rPr>
        <w:t>A.</w:t>
      </w:r>
      <w:r>
        <w:rPr>
          <w:spacing w:val="-6"/>
          <w:sz w:val="20"/>
        </w:rPr>
        <w:t> </w:t>
      </w:r>
      <w:r>
        <w:rPr>
          <w:sz w:val="20"/>
        </w:rPr>
        <w:t>Such</w:t>
      </w:r>
      <w:r>
        <w:rPr>
          <w:spacing w:val="-5"/>
          <w:sz w:val="20"/>
        </w:rPr>
        <w:t> </w:t>
      </w:r>
      <w:r>
        <w:rPr>
          <w:sz w:val="20"/>
        </w:rPr>
        <w:t>disputes</w:t>
      </w:r>
      <w:r>
        <w:rPr>
          <w:spacing w:val="-6"/>
          <w:sz w:val="20"/>
        </w:rPr>
        <w:t> </w:t>
      </w:r>
      <w:r>
        <w:rPr>
          <w:sz w:val="20"/>
        </w:rPr>
        <w:t>could</w:t>
      </w:r>
      <w:r>
        <w:rPr>
          <w:spacing w:val="-8"/>
          <w:sz w:val="20"/>
        </w:rPr>
        <w:t> </w:t>
      </w:r>
      <w:r>
        <w:rPr>
          <w:sz w:val="20"/>
        </w:rPr>
        <w:t>concern,</w:t>
      </w:r>
      <w:r>
        <w:rPr>
          <w:spacing w:val="-6"/>
          <w:sz w:val="20"/>
        </w:rPr>
        <w:t> </w:t>
      </w:r>
      <w:r>
        <w:rPr>
          <w:sz w:val="20"/>
        </w:rPr>
        <w:t>for</w:t>
      </w:r>
      <w:r>
        <w:rPr>
          <w:spacing w:val="-6"/>
          <w:sz w:val="20"/>
        </w:rPr>
        <w:t> </w:t>
      </w:r>
      <w:r>
        <w:rPr>
          <w:sz w:val="20"/>
        </w:rPr>
        <w:t>example,</w:t>
      </w:r>
      <w:r>
        <w:rPr>
          <w:spacing w:val="-7"/>
          <w:sz w:val="20"/>
        </w:rPr>
        <w:t> </w:t>
      </w:r>
      <w:r>
        <w:rPr>
          <w:sz w:val="20"/>
        </w:rPr>
        <w:t>the</w:t>
      </w:r>
      <w:r>
        <w:rPr>
          <w:spacing w:val="-8"/>
          <w:sz w:val="20"/>
        </w:rPr>
        <w:t> </w:t>
      </w:r>
      <w:r>
        <w:rPr>
          <w:sz w:val="20"/>
        </w:rPr>
        <w:t>correct</w:t>
      </w:r>
      <w:r>
        <w:rPr>
          <w:spacing w:val="-6"/>
          <w:sz w:val="20"/>
        </w:rPr>
        <w:t> </w:t>
      </w:r>
      <w:r>
        <w:rPr>
          <w:sz w:val="20"/>
        </w:rPr>
        <w:t>delineation</w:t>
      </w:r>
      <w:r>
        <w:rPr>
          <w:spacing w:val="-7"/>
          <w:sz w:val="20"/>
        </w:rPr>
        <w:t> </w:t>
      </w:r>
      <w:r>
        <w:rPr>
          <w:sz w:val="20"/>
        </w:rPr>
        <w:t>of</w:t>
      </w:r>
      <w:r>
        <w:rPr>
          <w:spacing w:val="-5"/>
          <w:sz w:val="20"/>
        </w:rPr>
        <w:t> </w:t>
      </w:r>
      <w:r>
        <w:rPr>
          <w:sz w:val="20"/>
        </w:rPr>
        <w:t>business</w:t>
      </w:r>
      <w:r>
        <w:rPr>
          <w:spacing w:val="-6"/>
          <w:sz w:val="20"/>
        </w:rPr>
        <w:t> </w:t>
      </w:r>
      <w:r>
        <w:rPr>
          <w:sz w:val="20"/>
        </w:rPr>
        <w:t>lines, allocation of central costs and tax losses to business lines, the existence of a nexus in a particular jurisdiction, or the identification of the relieving jurisdictions for purposes of eliminating double taxation. The</w:t>
      </w:r>
      <w:r>
        <w:rPr>
          <w:spacing w:val="-6"/>
          <w:sz w:val="20"/>
        </w:rPr>
        <w:t> </w:t>
      </w:r>
      <w:r>
        <w:rPr>
          <w:sz w:val="20"/>
        </w:rPr>
        <w:t>process</w:t>
      </w:r>
      <w:r>
        <w:rPr>
          <w:spacing w:val="-4"/>
          <w:sz w:val="20"/>
        </w:rPr>
        <w:t> </w:t>
      </w:r>
      <w:r>
        <w:rPr>
          <w:sz w:val="20"/>
        </w:rPr>
        <w:t>described</w:t>
      </w:r>
      <w:r>
        <w:rPr>
          <w:spacing w:val="-2"/>
          <w:sz w:val="20"/>
        </w:rPr>
        <w:t> </w:t>
      </w:r>
      <w:r>
        <w:rPr>
          <w:sz w:val="20"/>
        </w:rPr>
        <w:t>in</w:t>
      </w:r>
      <w:r>
        <w:rPr>
          <w:spacing w:val="-5"/>
          <w:sz w:val="20"/>
        </w:rPr>
        <w:t> </w:t>
      </w:r>
      <w:r>
        <w:rPr>
          <w:sz w:val="20"/>
        </w:rPr>
        <w:t>this</w:t>
      </w:r>
      <w:r>
        <w:rPr>
          <w:spacing w:val="-3"/>
          <w:sz w:val="20"/>
        </w:rPr>
        <w:t> </w:t>
      </w:r>
      <w:r>
        <w:rPr>
          <w:sz w:val="20"/>
        </w:rPr>
        <w:t>Blueprint</w:t>
      </w:r>
      <w:r>
        <w:rPr>
          <w:spacing w:val="-5"/>
          <w:sz w:val="20"/>
        </w:rPr>
        <w:t> </w:t>
      </w:r>
      <w:r>
        <w:rPr>
          <w:sz w:val="20"/>
        </w:rPr>
        <w:t>remains</w:t>
      </w:r>
      <w:r>
        <w:rPr>
          <w:spacing w:val="-3"/>
          <w:sz w:val="20"/>
        </w:rPr>
        <w:t> </w:t>
      </w:r>
      <w:r>
        <w:rPr>
          <w:sz w:val="20"/>
        </w:rPr>
        <w:t>under</w:t>
      </w:r>
      <w:r>
        <w:rPr>
          <w:spacing w:val="-5"/>
          <w:sz w:val="20"/>
        </w:rPr>
        <w:t> </w:t>
      </w:r>
      <w:r>
        <w:rPr>
          <w:sz w:val="20"/>
        </w:rPr>
        <w:t>discussion</w:t>
      </w:r>
      <w:r>
        <w:rPr>
          <w:spacing w:val="-3"/>
          <w:sz w:val="20"/>
        </w:rPr>
        <w:t> </w:t>
      </w:r>
      <w:r>
        <w:rPr>
          <w:sz w:val="20"/>
        </w:rPr>
        <w:t>and</w:t>
      </w:r>
      <w:r>
        <w:rPr>
          <w:spacing w:val="-3"/>
          <w:sz w:val="20"/>
        </w:rPr>
        <w:t> </w:t>
      </w:r>
      <w:r>
        <w:rPr>
          <w:sz w:val="20"/>
        </w:rPr>
        <w:t>may</w:t>
      </w:r>
      <w:r>
        <w:rPr>
          <w:spacing w:val="-8"/>
          <w:sz w:val="20"/>
        </w:rPr>
        <w:t> </w:t>
      </w:r>
      <w:r>
        <w:rPr>
          <w:sz w:val="20"/>
        </w:rPr>
        <w:t>be</w:t>
      </w:r>
      <w:r>
        <w:rPr>
          <w:spacing w:val="-6"/>
          <w:sz w:val="20"/>
        </w:rPr>
        <w:t> </w:t>
      </w:r>
      <w:r>
        <w:rPr>
          <w:sz w:val="20"/>
        </w:rPr>
        <w:t>revised</w:t>
      </w:r>
      <w:r>
        <w:rPr>
          <w:spacing w:val="-5"/>
          <w:sz w:val="20"/>
        </w:rPr>
        <w:t> </w:t>
      </w:r>
      <w:r>
        <w:rPr>
          <w:sz w:val="20"/>
        </w:rPr>
        <w:t>as</w:t>
      </w:r>
      <w:r>
        <w:rPr>
          <w:spacing w:val="-2"/>
          <w:sz w:val="20"/>
        </w:rPr>
        <w:t> </w:t>
      </w:r>
      <w:r>
        <w:rPr>
          <w:sz w:val="20"/>
        </w:rPr>
        <w:t>work</w:t>
      </w:r>
      <w:r>
        <w:rPr>
          <w:spacing w:val="-1"/>
          <w:sz w:val="20"/>
        </w:rPr>
        <w:t> </w:t>
      </w:r>
      <w:r>
        <w:rPr>
          <w:sz w:val="20"/>
        </w:rPr>
        <w:t>continues.</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The</w:t>
      </w:r>
      <w:r>
        <w:rPr>
          <w:spacing w:val="-6"/>
          <w:sz w:val="20"/>
        </w:rPr>
        <w:t> </w:t>
      </w:r>
      <w:r>
        <w:rPr>
          <w:sz w:val="20"/>
        </w:rPr>
        <w:t>process</w:t>
      </w:r>
      <w:r>
        <w:rPr>
          <w:spacing w:val="-3"/>
          <w:sz w:val="20"/>
        </w:rPr>
        <w:t> </w:t>
      </w:r>
      <w:r>
        <w:rPr>
          <w:sz w:val="20"/>
        </w:rPr>
        <w:t>is</w:t>
      </w:r>
      <w:r>
        <w:rPr>
          <w:spacing w:val="-4"/>
          <w:sz w:val="20"/>
        </w:rPr>
        <w:t> </w:t>
      </w:r>
      <w:r>
        <w:rPr>
          <w:sz w:val="20"/>
        </w:rPr>
        <w:t>based</w:t>
      </w:r>
      <w:r>
        <w:rPr>
          <w:spacing w:val="-5"/>
          <w:sz w:val="20"/>
        </w:rPr>
        <w:t> </w:t>
      </w:r>
      <w:r>
        <w:rPr>
          <w:sz w:val="20"/>
        </w:rPr>
        <w:t>on</w:t>
      </w:r>
      <w:r>
        <w:rPr>
          <w:spacing w:val="-6"/>
          <w:sz w:val="20"/>
        </w:rPr>
        <w:t> </w:t>
      </w:r>
      <w:r>
        <w:rPr>
          <w:sz w:val="20"/>
        </w:rPr>
        <w:t>a</w:t>
      </w:r>
      <w:r>
        <w:rPr>
          <w:spacing w:val="-5"/>
          <w:sz w:val="20"/>
        </w:rPr>
        <w:t> </w:t>
      </w:r>
      <w:r>
        <w:rPr>
          <w:sz w:val="20"/>
        </w:rPr>
        <w:t>representative</w:t>
      </w:r>
      <w:r>
        <w:rPr>
          <w:spacing w:val="-5"/>
          <w:sz w:val="20"/>
        </w:rPr>
        <w:t> </w:t>
      </w:r>
      <w:r>
        <w:rPr>
          <w:sz w:val="20"/>
        </w:rPr>
        <w:t>panel</w:t>
      </w:r>
      <w:r>
        <w:rPr>
          <w:spacing w:val="-5"/>
          <w:sz w:val="20"/>
        </w:rPr>
        <w:t> </w:t>
      </w:r>
      <w:r>
        <w:rPr>
          <w:sz w:val="20"/>
        </w:rPr>
        <w:t>mechanism that</w:t>
      </w:r>
      <w:r>
        <w:rPr>
          <w:spacing w:val="-5"/>
          <w:sz w:val="20"/>
        </w:rPr>
        <w:t> </w:t>
      </w:r>
      <w:r>
        <w:rPr>
          <w:sz w:val="20"/>
        </w:rPr>
        <w:t>would</w:t>
      </w:r>
      <w:r>
        <w:rPr>
          <w:spacing w:val="-5"/>
          <w:sz w:val="20"/>
        </w:rPr>
        <w:t> </w:t>
      </w:r>
      <w:r>
        <w:rPr>
          <w:sz w:val="20"/>
        </w:rPr>
        <w:t>carry</w:t>
      </w:r>
      <w:r>
        <w:rPr>
          <w:spacing w:val="-8"/>
          <w:sz w:val="20"/>
        </w:rPr>
        <w:t> </w:t>
      </w:r>
      <w:r>
        <w:rPr>
          <w:sz w:val="20"/>
        </w:rPr>
        <w:t>on</w:t>
      </w:r>
      <w:r>
        <w:rPr>
          <w:spacing w:val="-5"/>
          <w:sz w:val="20"/>
        </w:rPr>
        <w:t> </w:t>
      </w:r>
      <w:r>
        <w:rPr>
          <w:sz w:val="20"/>
        </w:rPr>
        <w:t>a</w:t>
      </w:r>
      <w:r>
        <w:rPr>
          <w:spacing w:val="-3"/>
          <w:sz w:val="20"/>
        </w:rPr>
        <w:t> </w:t>
      </w:r>
      <w:r>
        <w:rPr>
          <w:sz w:val="20"/>
        </w:rPr>
        <w:t>review</w:t>
      </w:r>
      <w:r>
        <w:rPr>
          <w:spacing w:val="-6"/>
          <w:sz w:val="20"/>
        </w:rPr>
        <w:t> </w:t>
      </w:r>
      <w:r>
        <w:rPr>
          <w:sz w:val="20"/>
        </w:rPr>
        <w:t>function and</w:t>
      </w:r>
      <w:r>
        <w:rPr>
          <w:spacing w:val="-12"/>
          <w:sz w:val="20"/>
        </w:rPr>
        <w:t> </w:t>
      </w:r>
      <w:r>
        <w:rPr>
          <w:sz w:val="20"/>
        </w:rPr>
        <w:t>involve</w:t>
      </w:r>
      <w:r>
        <w:rPr>
          <w:spacing w:val="-12"/>
          <w:sz w:val="20"/>
        </w:rPr>
        <w:t> </w:t>
      </w:r>
      <w:r>
        <w:rPr>
          <w:sz w:val="20"/>
        </w:rPr>
        <w:t>both</w:t>
      </w:r>
      <w:r>
        <w:rPr>
          <w:spacing w:val="-12"/>
          <w:sz w:val="20"/>
        </w:rPr>
        <w:t> </w:t>
      </w:r>
      <w:r>
        <w:rPr>
          <w:sz w:val="20"/>
        </w:rPr>
        <w:t>a</w:t>
      </w:r>
      <w:r>
        <w:rPr>
          <w:spacing w:val="-12"/>
          <w:sz w:val="20"/>
        </w:rPr>
        <w:t> </w:t>
      </w:r>
      <w:r>
        <w:rPr>
          <w:sz w:val="20"/>
        </w:rPr>
        <w:t>review</w:t>
      </w:r>
      <w:r>
        <w:rPr>
          <w:spacing w:val="-13"/>
          <w:sz w:val="20"/>
        </w:rPr>
        <w:t> </w:t>
      </w:r>
      <w:r>
        <w:rPr>
          <w:sz w:val="20"/>
        </w:rPr>
        <w:t>panel</w:t>
      </w:r>
      <w:r>
        <w:rPr>
          <w:spacing w:val="-12"/>
          <w:sz w:val="20"/>
        </w:rPr>
        <w:t> </w:t>
      </w:r>
      <w:r>
        <w:rPr>
          <w:sz w:val="20"/>
        </w:rPr>
        <w:t>and,</w:t>
      </w:r>
      <w:r>
        <w:rPr>
          <w:spacing w:val="-11"/>
          <w:sz w:val="20"/>
        </w:rPr>
        <w:t> </w:t>
      </w:r>
      <w:r>
        <w:rPr>
          <w:sz w:val="20"/>
        </w:rPr>
        <w:t>where</w:t>
      </w:r>
      <w:r>
        <w:rPr>
          <w:spacing w:val="-10"/>
          <w:sz w:val="20"/>
        </w:rPr>
        <w:t> </w:t>
      </w:r>
      <w:r>
        <w:rPr>
          <w:sz w:val="20"/>
        </w:rPr>
        <w:t>necessary,</w:t>
      </w:r>
      <w:r>
        <w:rPr>
          <w:spacing w:val="-9"/>
          <w:sz w:val="20"/>
        </w:rPr>
        <w:t> </w:t>
      </w:r>
      <w:r>
        <w:rPr>
          <w:sz w:val="20"/>
        </w:rPr>
        <w:t>a</w:t>
      </w:r>
      <w:r>
        <w:rPr>
          <w:spacing w:val="-12"/>
          <w:sz w:val="20"/>
        </w:rPr>
        <w:t> </w:t>
      </w:r>
      <w:r>
        <w:rPr>
          <w:sz w:val="20"/>
        </w:rPr>
        <w:t>determination</w:t>
      </w:r>
      <w:r>
        <w:rPr>
          <w:spacing w:val="-12"/>
          <w:sz w:val="20"/>
        </w:rPr>
        <w:t> </w:t>
      </w:r>
      <w:r>
        <w:rPr>
          <w:sz w:val="20"/>
        </w:rPr>
        <w:t>panel</w:t>
      </w:r>
      <w:r>
        <w:rPr>
          <w:spacing w:val="-6"/>
          <w:sz w:val="20"/>
        </w:rPr>
        <w:t> </w:t>
      </w:r>
      <w:r>
        <w:rPr>
          <w:sz w:val="20"/>
        </w:rPr>
        <w:t>to</w:t>
      </w:r>
      <w:r>
        <w:rPr>
          <w:spacing w:val="-12"/>
          <w:sz w:val="20"/>
        </w:rPr>
        <w:t> </w:t>
      </w:r>
      <w:r>
        <w:rPr>
          <w:sz w:val="20"/>
        </w:rPr>
        <w:t>ensure</w:t>
      </w:r>
      <w:r>
        <w:rPr>
          <w:spacing w:val="-11"/>
          <w:sz w:val="20"/>
        </w:rPr>
        <w:t> </w:t>
      </w:r>
      <w:r>
        <w:rPr>
          <w:sz w:val="20"/>
        </w:rPr>
        <w:t>that</w:t>
      </w:r>
      <w:r>
        <w:rPr>
          <w:spacing w:val="-11"/>
          <w:sz w:val="20"/>
        </w:rPr>
        <w:t> </w:t>
      </w:r>
      <w:r>
        <w:rPr>
          <w:sz w:val="20"/>
        </w:rPr>
        <w:t>early</w:t>
      </w:r>
      <w:r>
        <w:rPr>
          <w:spacing w:val="-15"/>
          <w:sz w:val="20"/>
        </w:rPr>
        <w:t> </w:t>
      </w:r>
      <w:r>
        <w:rPr>
          <w:sz w:val="20"/>
        </w:rPr>
        <w:t>certainty is</w:t>
      </w:r>
      <w:r>
        <w:rPr>
          <w:spacing w:val="-4"/>
          <w:sz w:val="20"/>
        </w:rPr>
        <w:t> </w:t>
      </w:r>
      <w:r>
        <w:rPr>
          <w:sz w:val="20"/>
        </w:rPr>
        <w:t>achieved.</w:t>
      </w:r>
      <w:r>
        <w:rPr>
          <w:spacing w:val="-6"/>
          <w:sz w:val="20"/>
        </w:rPr>
        <w:t> </w:t>
      </w:r>
      <w:r>
        <w:rPr>
          <w:sz w:val="20"/>
        </w:rPr>
        <w:t>Where</w:t>
      </w:r>
      <w:r>
        <w:rPr>
          <w:spacing w:val="-5"/>
          <w:sz w:val="20"/>
        </w:rPr>
        <w:t> </w:t>
      </w:r>
      <w:r>
        <w:rPr>
          <w:sz w:val="20"/>
        </w:rPr>
        <w:t>an</w:t>
      </w:r>
      <w:r>
        <w:rPr>
          <w:spacing w:val="-4"/>
          <w:sz w:val="20"/>
        </w:rPr>
        <w:t> </w:t>
      </w:r>
      <w:r>
        <w:rPr>
          <w:sz w:val="20"/>
        </w:rPr>
        <w:t>MNE</w:t>
      </w:r>
      <w:r>
        <w:rPr>
          <w:spacing w:val="-4"/>
          <w:sz w:val="20"/>
        </w:rPr>
        <w:t> </w:t>
      </w:r>
      <w:r>
        <w:rPr>
          <w:sz w:val="20"/>
        </w:rPr>
        <w:t>accepts</w:t>
      </w:r>
      <w:r>
        <w:rPr>
          <w:spacing w:val="-3"/>
          <w:sz w:val="20"/>
        </w:rPr>
        <w:t> </w:t>
      </w:r>
      <w:r>
        <w:rPr>
          <w:sz w:val="20"/>
        </w:rPr>
        <w:t>the</w:t>
      </w:r>
      <w:r>
        <w:rPr>
          <w:spacing w:val="-4"/>
          <w:sz w:val="20"/>
        </w:rPr>
        <w:t> </w:t>
      </w:r>
      <w:r>
        <w:rPr>
          <w:sz w:val="20"/>
        </w:rPr>
        <w:t>outcomes</w:t>
      </w:r>
      <w:r>
        <w:rPr>
          <w:spacing w:val="-3"/>
          <w:sz w:val="20"/>
        </w:rPr>
        <w:t> </w:t>
      </w:r>
      <w:r>
        <w:rPr>
          <w:sz w:val="20"/>
        </w:rPr>
        <w:t>of</w:t>
      </w:r>
      <w:r>
        <w:rPr>
          <w:spacing w:val="-5"/>
          <w:sz w:val="20"/>
        </w:rPr>
        <w:t> </w:t>
      </w:r>
      <w:r>
        <w:rPr>
          <w:sz w:val="20"/>
        </w:rPr>
        <w:t>the</w:t>
      </w:r>
      <w:r>
        <w:rPr>
          <w:spacing w:val="-4"/>
          <w:sz w:val="20"/>
        </w:rPr>
        <w:t> </w:t>
      </w:r>
      <w:r>
        <w:rPr>
          <w:sz w:val="20"/>
        </w:rPr>
        <w:t>tax</w:t>
      </w:r>
      <w:r>
        <w:rPr>
          <w:spacing w:val="-3"/>
          <w:sz w:val="20"/>
        </w:rPr>
        <w:t> </w:t>
      </w:r>
      <w:r>
        <w:rPr>
          <w:sz w:val="20"/>
        </w:rPr>
        <w:t>certainty</w:t>
      </w:r>
      <w:r>
        <w:rPr>
          <w:spacing w:val="-7"/>
          <w:sz w:val="20"/>
        </w:rPr>
        <w:t> </w:t>
      </w:r>
      <w:r>
        <w:rPr>
          <w:sz w:val="20"/>
        </w:rPr>
        <w:t>process,</w:t>
      </w:r>
      <w:r>
        <w:rPr>
          <w:spacing w:val="-4"/>
          <w:sz w:val="20"/>
        </w:rPr>
        <w:t> </w:t>
      </w:r>
      <w:r>
        <w:rPr>
          <w:sz w:val="20"/>
        </w:rPr>
        <w:t>these</w:t>
      </w:r>
      <w:r>
        <w:rPr>
          <w:spacing w:val="-4"/>
          <w:sz w:val="20"/>
        </w:rPr>
        <w:t> </w:t>
      </w:r>
      <w:r>
        <w:rPr>
          <w:sz w:val="20"/>
        </w:rPr>
        <w:t>outcomes</w:t>
      </w:r>
      <w:r>
        <w:rPr>
          <w:spacing w:val="-3"/>
          <w:sz w:val="20"/>
        </w:rPr>
        <w:t> </w:t>
      </w:r>
      <w:r>
        <w:rPr>
          <w:sz w:val="20"/>
        </w:rPr>
        <w:t>would</w:t>
      </w:r>
      <w:r>
        <w:rPr>
          <w:spacing w:val="-2"/>
          <w:sz w:val="20"/>
        </w:rPr>
        <w:t> </w:t>
      </w:r>
      <w:r>
        <w:rPr>
          <w:sz w:val="20"/>
        </w:rPr>
        <w:t>be binding</w:t>
      </w:r>
      <w:r>
        <w:rPr>
          <w:spacing w:val="-5"/>
          <w:sz w:val="20"/>
        </w:rPr>
        <w:t> </w:t>
      </w:r>
      <w:r>
        <w:rPr>
          <w:sz w:val="20"/>
        </w:rPr>
        <w:t>on</w:t>
      </w:r>
      <w:r>
        <w:rPr>
          <w:spacing w:val="-5"/>
          <w:sz w:val="20"/>
        </w:rPr>
        <w:t> </w:t>
      </w:r>
      <w:r>
        <w:rPr>
          <w:sz w:val="20"/>
        </w:rPr>
        <w:t>the</w:t>
      </w:r>
      <w:r>
        <w:rPr>
          <w:spacing w:val="-5"/>
          <w:sz w:val="20"/>
        </w:rPr>
        <w:t> </w:t>
      </w:r>
      <w:r>
        <w:rPr>
          <w:sz w:val="20"/>
        </w:rPr>
        <w:t>MNE</w:t>
      </w:r>
      <w:r>
        <w:rPr>
          <w:spacing w:val="-5"/>
          <w:sz w:val="20"/>
        </w:rPr>
        <w:t> </w:t>
      </w:r>
      <w:r>
        <w:rPr>
          <w:sz w:val="20"/>
        </w:rPr>
        <w:t>and</w:t>
      </w:r>
      <w:r>
        <w:rPr>
          <w:spacing w:val="-4"/>
          <w:sz w:val="20"/>
        </w:rPr>
        <w:t> </w:t>
      </w:r>
      <w:r>
        <w:rPr>
          <w:sz w:val="20"/>
        </w:rPr>
        <w:t>tax</w:t>
      </w:r>
      <w:r>
        <w:rPr>
          <w:spacing w:val="-4"/>
          <w:sz w:val="20"/>
        </w:rPr>
        <w:t> </w:t>
      </w:r>
      <w:r>
        <w:rPr>
          <w:sz w:val="20"/>
        </w:rPr>
        <w:t>administrations</w:t>
      </w:r>
      <w:r>
        <w:rPr>
          <w:spacing w:val="-4"/>
          <w:sz w:val="20"/>
        </w:rPr>
        <w:t> </w:t>
      </w:r>
      <w:r>
        <w:rPr>
          <w:sz w:val="20"/>
        </w:rPr>
        <w:t>in</w:t>
      </w:r>
      <w:r>
        <w:rPr>
          <w:spacing w:val="-5"/>
          <w:sz w:val="20"/>
        </w:rPr>
        <w:t> </w:t>
      </w:r>
      <w:r>
        <w:rPr>
          <w:sz w:val="20"/>
        </w:rPr>
        <w:t>all</w:t>
      </w:r>
      <w:r>
        <w:rPr>
          <w:spacing w:val="-6"/>
          <w:sz w:val="20"/>
        </w:rPr>
        <w:t> </w:t>
      </w:r>
      <w:r>
        <w:rPr>
          <w:sz w:val="20"/>
        </w:rPr>
        <w:t>jurisdictions</w:t>
      </w:r>
      <w:r>
        <w:rPr>
          <w:spacing w:val="-4"/>
          <w:sz w:val="20"/>
        </w:rPr>
        <w:t> </w:t>
      </w:r>
      <w:r>
        <w:rPr>
          <w:sz w:val="20"/>
        </w:rPr>
        <w:t>affected</w:t>
      </w:r>
      <w:r>
        <w:rPr>
          <w:spacing w:val="-4"/>
          <w:sz w:val="20"/>
        </w:rPr>
        <w:t> </w:t>
      </w:r>
      <w:r>
        <w:rPr>
          <w:sz w:val="20"/>
        </w:rPr>
        <w:t>by</w:t>
      </w:r>
      <w:r>
        <w:rPr>
          <w:spacing w:val="-11"/>
          <w:sz w:val="20"/>
        </w:rPr>
        <w:t> </w:t>
      </w:r>
      <w:r>
        <w:rPr>
          <w:sz w:val="20"/>
        </w:rPr>
        <w:t>the</w:t>
      </w:r>
      <w:r>
        <w:rPr>
          <w:spacing w:val="-6"/>
          <w:sz w:val="20"/>
        </w:rPr>
        <w:t> </w:t>
      </w:r>
      <w:r>
        <w:rPr>
          <w:sz w:val="20"/>
        </w:rPr>
        <w:t>calculation</w:t>
      </w:r>
      <w:r>
        <w:rPr>
          <w:spacing w:val="-4"/>
          <w:sz w:val="20"/>
        </w:rPr>
        <w:t> </w:t>
      </w:r>
      <w:r>
        <w:rPr>
          <w:sz w:val="20"/>
        </w:rPr>
        <w:t>and</w:t>
      </w:r>
      <w:r>
        <w:rPr>
          <w:spacing w:val="-6"/>
          <w:sz w:val="20"/>
        </w:rPr>
        <w:t> </w:t>
      </w:r>
      <w:r>
        <w:rPr>
          <w:sz w:val="20"/>
        </w:rPr>
        <w:t>allocation</w:t>
      </w:r>
      <w:r>
        <w:rPr>
          <w:spacing w:val="-6"/>
          <w:sz w:val="20"/>
        </w:rPr>
        <w:t> </w:t>
      </w:r>
      <w:r>
        <w:rPr>
          <w:sz w:val="20"/>
        </w:rPr>
        <w:t>of Amount A, including jurisdictions that did not participate directly on the relevant panel. Where it does not accept</w:t>
      </w:r>
      <w:r>
        <w:rPr>
          <w:spacing w:val="-10"/>
          <w:sz w:val="20"/>
        </w:rPr>
        <w:t> </w:t>
      </w:r>
      <w:r>
        <w:rPr>
          <w:sz w:val="20"/>
        </w:rPr>
        <w:t>the</w:t>
      </w:r>
      <w:r>
        <w:rPr>
          <w:spacing w:val="-11"/>
          <w:sz w:val="20"/>
        </w:rPr>
        <w:t> </w:t>
      </w:r>
      <w:r>
        <w:rPr>
          <w:sz w:val="20"/>
        </w:rPr>
        <w:t>outcomes</w:t>
      </w:r>
      <w:r>
        <w:rPr>
          <w:spacing w:val="-9"/>
          <w:sz w:val="20"/>
        </w:rPr>
        <w:t> </w:t>
      </w:r>
      <w:r>
        <w:rPr>
          <w:sz w:val="20"/>
        </w:rPr>
        <w:t>of</w:t>
      </w:r>
      <w:r>
        <w:rPr>
          <w:spacing w:val="-8"/>
          <w:sz w:val="20"/>
        </w:rPr>
        <w:t> </w:t>
      </w:r>
      <w:r>
        <w:rPr>
          <w:sz w:val="20"/>
        </w:rPr>
        <w:t>this</w:t>
      </w:r>
      <w:r>
        <w:rPr>
          <w:spacing w:val="-9"/>
          <w:sz w:val="20"/>
        </w:rPr>
        <w:t> </w:t>
      </w:r>
      <w:r>
        <w:rPr>
          <w:sz w:val="20"/>
        </w:rPr>
        <w:t>process,</w:t>
      </w:r>
      <w:r>
        <w:rPr>
          <w:spacing w:val="-10"/>
          <w:sz w:val="20"/>
        </w:rPr>
        <w:t> </w:t>
      </w:r>
      <w:r>
        <w:rPr>
          <w:sz w:val="20"/>
        </w:rPr>
        <w:t>an</w:t>
      </w:r>
      <w:r>
        <w:rPr>
          <w:spacing w:val="-11"/>
          <w:sz w:val="20"/>
        </w:rPr>
        <w:t> </w:t>
      </w:r>
      <w:r>
        <w:rPr>
          <w:sz w:val="20"/>
        </w:rPr>
        <w:t>MNE</w:t>
      </w:r>
      <w:r>
        <w:rPr>
          <w:spacing w:val="-10"/>
          <w:sz w:val="20"/>
        </w:rPr>
        <w:t> </w:t>
      </w:r>
      <w:r>
        <w:rPr>
          <w:sz w:val="20"/>
        </w:rPr>
        <w:t>group</w:t>
      </w:r>
      <w:r>
        <w:rPr>
          <w:spacing w:val="-11"/>
          <w:sz w:val="20"/>
        </w:rPr>
        <w:t> </w:t>
      </w:r>
      <w:r>
        <w:rPr>
          <w:sz w:val="20"/>
        </w:rPr>
        <w:t>may</w:t>
      </w:r>
      <w:r>
        <w:rPr>
          <w:spacing w:val="-14"/>
          <w:sz w:val="20"/>
        </w:rPr>
        <w:t> </w:t>
      </w:r>
      <w:r>
        <w:rPr>
          <w:sz w:val="20"/>
        </w:rPr>
        <w:t>rely</w:t>
      </w:r>
      <w:r>
        <w:rPr>
          <w:spacing w:val="-14"/>
          <w:sz w:val="20"/>
        </w:rPr>
        <w:t> </w:t>
      </w:r>
      <w:r>
        <w:rPr>
          <w:sz w:val="20"/>
        </w:rPr>
        <w:t>on</w:t>
      </w:r>
      <w:r>
        <w:rPr>
          <w:spacing w:val="-10"/>
          <w:sz w:val="20"/>
        </w:rPr>
        <w:t> </w:t>
      </w:r>
      <w:r>
        <w:rPr>
          <w:sz w:val="20"/>
        </w:rPr>
        <w:t>domestic</w:t>
      </w:r>
      <w:r>
        <w:rPr>
          <w:spacing w:val="-11"/>
          <w:sz w:val="20"/>
        </w:rPr>
        <w:t> </w:t>
      </w:r>
      <w:r>
        <w:rPr>
          <w:sz w:val="20"/>
        </w:rPr>
        <w:t>measures.</w:t>
      </w:r>
      <w:r>
        <w:rPr>
          <w:spacing w:val="-15"/>
          <w:sz w:val="20"/>
        </w:rPr>
        <w:t> </w:t>
      </w:r>
      <w:r>
        <w:rPr>
          <w:sz w:val="20"/>
        </w:rPr>
        <w:t>Where</w:t>
      </w:r>
      <w:r>
        <w:rPr>
          <w:spacing w:val="-11"/>
          <w:sz w:val="20"/>
        </w:rPr>
        <w:t> </w:t>
      </w:r>
      <w:r>
        <w:rPr>
          <w:sz w:val="20"/>
        </w:rPr>
        <w:t>an</w:t>
      </w:r>
      <w:r>
        <w:rPr>
          <w:spacing w:val="-11"/>
          <w:sz w:val="20"/>
        </w:rPr>
        <w:t> </w:t>
      </w:r>
      <w:r>
        <w:rPr>
          <w:sz w:val="20"/>
        </w:rPr>
        <w:t>MNE</w:t>
      </w:r>
      <w:r>
        <w:rPr>
          <w:spacing w:val="-10"/>
          <w:sz w:val="20"/>
        </w:rPr>
        <w:t> </w:t>
      </w:r>
      <w:r>
        <w:rPr>
          <w:sz w:val="20"/>
        </w:rPr>
        <w:t>does not</w:t>
      </w:r>
      <w:r>
        <w:rPr>
          <w:spacing w:val="-15"/>
          <w:sz w:val="20"/>
        </w:rPr>
        <w:t> </w:t>
      </w:r>
      <w:r>
        <w:rPr>
          <w:sz w:val="20"/>
        </w:rPr>
        <w:t>elect</w:t>
      </w:r>
      <w:r>
        <w:rPr>
          <w:spacing w:val="-11"/>
          <w:sz w:val="20"/>
        </w:rPr>
        <w:t> </w:t>
      </w:r>
      <w:r>
        <w:rPr>
          <w:sz w:val="20"/>
        </w:rPr>
        <w:t>into</w:t>
      </w:r>
      <w:r>
        <w:rPr>
          <w:spacing w:val="-14"/>
          <w:sz w:val="20"/>
        </w:rPr>
        <w:t> </w:t>
      </w:r>
      <w:r>
        <w:rPr>
          <w:sz w:val="20"/>
        </w:rPr>
        <w:t>the</w:t>
      </w:r>
      <w:r>
        <w:rPr>
          <w:spacing w:val="-14"/>
          <w:sz w:val="20"/>
        </w:rPr>
        <w:t> </w:t>
      </w:r>
      <w:r>
        <w:rPr>
          <w:sz w:val="20"/>
        </w:rPr>
        <w:t>early</w:t>
      </w:r>
      <w:r>
        <w:rPr>
          <w:spacing w:val="-17"/>
          <w:sz w:val="20"/>
        </w:rPr>
        <w:t> </w:t>
      </w:r>
      <w:r>
        <w:rPr>
          <w:sz w:val="20"/>
        </w:rPr>
        <w:t>tax</w:t>
      </w:r>
      <w:r>
        <w:rPr>
          <w:spacing w:val="-13"/>
          <w:sz w:val="20"/>
        </w:rPr>
        <w:t> </w:t>
      </w:r>
      <w:r>
        <w:rPr>
          <w:sz w:val="20"/>
        </w:rPr>
        <w:t>certainty</w:t>
      </w:r>
      <w:r>
        <w:rPr>
          <w:spacing w:val="-15"/>
          <w:sz w:val="20"/>
        </w:rPr>
        <w:t> </w:t>
      </w:r>
      <w:r>
        <w:rPr>
          <w:sz w:val="20"/>
        </w:rPr>
        <w:t>process,</w:t>
      </w:r>
      <w:r>
        <w:rPr>
          <w:spacing w:val="-14"/>
          <w:sz w:val="20"/>
        </w:rPr>
        <w:t> </w:t>
      </w:r>
      <w:r>
        <w:rPr>
          <w:sz w:val="20"/>
        </w:rPr>
        <w:t>and</w:t>
      </w:r>
      <w:r>
        <w:rPr>
          <w:spacing w:val="-14"/>
          <w:sz w:val="20"/>
        </w:rPr>
        <w:t> </w:t>
      </w:r>
      <w:r>
        <w:rPr>
          <w:sz w:val="20"/>
        </w:rPr>
        <w:t>disputes</w:t>
      </w:r>
      <w:r>
        <w:rPr>
          <w:spacing w:val="-9"/>
          <w:sz w:val="20"/>
        </w:rPr>
        <w:t> </w:t>
      </w:r>
      <w:r>
        <w:rPr>
          <w:sz w:val="20"/>
        </w:rPr>
        <w:t>arise,</w:t>
      </w:r>
      <w:r>
        <w:rPr>
          <w:spacing w:val="-14"/>
          <w:sz w:val="20"/>
        </w:rPr>
        <w:t> </w:t>
      </w:r>
      <w:r>
        <w:rPr>
          <w:sz w:val="20"/>
        </w:rPr>
        <w:t>the</w:t>
      </w:r>
      <w:r>
        <w:rPr>
          <w:spacing w:val="-12"/>
          <w:sz w:val="20"/>
        </w:rPr>
        <w:t> </w:t>
      </w:r>
      <w:r>
        <w:rPr>
          <w:sz w:val="20"/>
        </w:rPr>
        <w:t>new</w:t>
      </w:r>
      <w:r>
        <w:rPr>
          <w:spacing w:val="-13"/>
          <w:sz w:val="20"/>
        </w:rPr>
        <w:t> </w:t>
      </w:r>
      <w:r>
        <w:rPr>
          <w:sz w:val="20"/>
        </w:rPr>
        <w:t>approach</w:t>
      </w:r>
      <w:r>
        <w:rPr>
          <w:spacing w:val="-12"/>
          <w:sz w:val="20"/>
        </w:rPr>
        <w:t> </w:t>
      </w:r>
      <w:r>
        <w:rPr>
          <w:sz w:val="20"/>
        </w:rPr>
        <w:t>also</w:t>
      </w:r>
      <w:r>
        <w:rPr>
          <w:spacing w:val="-14"/>
          <w:sz w:val="20"/>
        </w:rPr>
        <w:t> </w:t>
      </w:r>
      <w:r>
        <w:rPr>
          <w:sz w:val="20"/>
        </w:rPr>
        <w:t>provides</w:t>
      </w:r>
      <w:r>
        <w:rPr>
          <w:spacing w:val="-11"/>
          <w:sz w:val="20"/>
        </w:rPr>
        <w:t> </w:t>
      </w:r>
      <w:r>
        <w:rPr>
          <w:sz w:val="20"/>
        </w:rPr>
        <w:t>enhanced dispute resolution features. However, given the benefits of the early certainty process, the expectation is that most in-scope MNEs would make use of</w:t>
      </w:r>
      <w:r>
        <w:rPr>
          <w:spacing w:val="-5"/>
          <w:sz w:val="20"/>
        </w:rPr>
        <w:t> </w:t>
      </w:r>
      <w:r>
        <w:rPr>
          <w:sz w:val="20"/>
        </w:rPr>
        <w:t>it.</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Importantly, rules for dispute prevention and resolution would be embedded in the same instrument that introduces the rules for the taxation of Amount A, ensuring that the new taxing right would be linked to the availability of the new tax certainty</w:t>
      </w:r>
      <w:r>
        <w:rPr>
          <w:spacing w:val="-12"/>
          <w:sz w:val="20"/>
        </w:rPr>
        <w:t> </w:t>
      </w:r>
      <w:r>
        <w:rPr>
          <w:sz w:val="20"/>
        </w:rPr>
        <w:t>approach.</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To provide tax certainty beyond Amount A, the Blueprint takes an approach based on a number of</w:t>
      </w:r>
      <w:r>
        <w:rPr>
          <w:spacing w:val="5"/>
          <w:sz w:val="20"/>
        </w:rPr>
        <w:t> </w:t>
      </w:r>
      <w:r>
        <w:rPr>
          <w:sz w:val="20"/>
        </w:rPr>
        <w:t>main</w:t>
      </w:r>
      <w:r>
        <w:rPr>
          <w:spacing w:val="7"/>
          <w:sz w:val="20"/>
        </w:rPr>
        <w:t> </w:t>
      </w:r>
      <w:r>
        <w:rPr>
          <w:sz w:val="20"/>
        </w:rPr>
        <w:t>steps</w:t>
      </w:r>
      <w:r>
        <w:rPr>
          <w:spacing w:val="8"/>
          <w:sz w:val="20"/>
        </w:rPr>
        <w:t> </w:t>
      </w:r>
      <w:r>
        <w:rPr>
          <w:sz w:val="20"/>
        </w:rPr>
        <w:t>–</w:t>
      </w:r>
      <w:r>
        <w:rPr>
          <w:spacing w:val="5"/>
          <w:sz w:val="20"/>
        </w:rPr>
        <w:t> </w:t>
      </w:r>
      <w:r>
        <w:rPr>
          <w:sz w:val="20"/>
        </w:rPr>
        <w:t>from</w:t>
      </w:r>
      <w:r>
        <w:rPr>
          <w:spacing w:val="11"/>
          <w:sz w:val="20"/>
        </w:rPr>
        <w:t> </w:t>
      </w:r>
      <w:r>
        <w:rPr>
          <w:sz w:val="20"/>
        </w:rPr>
        <w:t>dispute</w:t>
      </w:r>
      <w:r>
        <w:rPr>
          <w:spacing w:val="6"/>
          <w:sz w:val="20"/>
        </w:rPr>
        <w:t> </w:t>
      </w:r>
      <w:r>
        <w:rPr>
          <w:sz w:val="20"/>
        </w:rPr>
        <w:t>prevention</w:t>
      </w:r>
      <w:r>
        <w:rPr>
          <w:spacing w:val="5"/>
          <w:sz w:val="20"/>
        </w:rPr>
        <w:t> </w:t>
      </w:r>
      <w:r>
        <w:rPr>
          <w:sz w:val="20"/>
        </w:rPr>
        <w:t>(Step</w:t>
      </w:r>
      <w:r>
        <w:rPr>
          <w:spacing w:val="8"/>
          <w:sz w:val="20"/>
        </w:rPr>
        <w:t> </w:t>
      </w:r>
      <w:r>
        <w:rPr>
          <w:sz w:val="20"/>
        </w:rPr>
        <w:t>1)</w:t>
      </w:r>
      <w:r>
        <w:rPr>
          <w:spacing w:val="7"/>
          <w:sz w:val="20"/>
        </w:rPr>
        <w:t> </w:t>
      </w:r>
      <w:r>
        <w:rPr>
          <w:sz w:val="20"/>
        </w:rPr>
        <w:t>and</w:t>
      </w:r>
      <w:r>
        <w:rPr>
          <w:spacing w:val="5"/>
          <w:sz w:val="20"/>
        </w:rPr>
        <w:t> </w:t>
      </w:r>
      <w:r>
        <w:rPr>
          <w:sz w:val="20"/>
        </w:rPr>
        <w:t>the</w:t>
      </w:r>
      <w:r>
        <w:rPr>
          <w:spacing w:val="6"/>
          <w:sz w:val="20"/>
        </w:rPr>
        <w:t> </w:t>
      </w:r>
      <w:r>
        <w:rPr>
          <w:sz w:val="20"/>
        </w:rPr>
        <w:t>existing</w:t>
      </w:r>
      <w:r>
        <w:rPr>
          <w:spacing w:val="8"/>
          <w:sz w:val="20"/>
        </w:rPr>
        <w:t> </w:t>
      </w:r>
      <w:r>
        <w:rPr>
          <w:sz w:val="20"/>
        </w:rPr>
        <w:t>MAP</w:t>
      </w:r>
      <w:r>
        <w:rPr>
          <w:spacing w:val="5"/>
          <w:sz w:val="20"/>
        </w:rPr>
        <w:t> </w:t>
      </w:r>
      <w:r>
        <w:rPr>
          <w:sz w:val="20"/>
        </w:rPr>
        <w:t>(Step</w:t>
      </w:r>
      <w:r>
        <w:rPr>
          <w:spacing w:val="-3"/>
          <w:sz w:val="20"/>
        </w:rPr>
        <w:t> </w:t>
      </w:r>
      <w:r>
        <w:rPr>
          <w:sz w:val="20"/>
        </w:rPr>
        <w:t>2)</w:t>
      </w:r>
      <w:r>
        <w:rPr>
          <w:spacing w:val="7"/>
          <w:sz w:val="20"/>
        </w:rPr>
        <w:t> </w:t>
      </w:r>
      <w:r>
        <w:rPr>
          <w:sz w:val="20"/>
        </w:rPr>
        <w:t>to</w:t>
      </w:r>
      <w:r>
        <w:rPr>
          <w:spacing w:val="6"/>
          <w:sz w:val="20"/>
        </w:rPr>
        <w:t> </w:t>
      </w:r>
      <w:r>
        <w:rPr>
          <w:sz w:val="20"/>
        </w:rPr>
        <w:t>a</w:t>
      </w:r>
      <w:r>
        <w:rPr>
          <w:spacing w:val="6"/>
          <w:sz w:val="20"/>
        </w:rPr>
        <w:t> </w:t>
      </w:r>
      <w:r>
        <w:rPr>
          <w:sz w:val="20"/>
        </w:rPr>
        <w:t>new</w:t>
      </w:r>
      <w:r>
        <w:rPr>
          <w:spacing w:val="3"/>
          <w:sz w:val="20"/>
        </w:rPr>
        <w:t> </w:t>
      </w:r>
      <w:r>
        <w:rPr>
          <w:sz w:val="20"/>
        </w:rPr>
        <w:t>and</w:t>
      </w:r>
      <w:r>
        <w:rPr>
          <w:spacing w:val="8"/>
          <w:sz w:val="20"/>
        </w:rPr>
        <w:t> </w:t>
      </w:r>
      <w:r>
        <w:rPr>
          <w:sz w:val="20"/>
        </w:rPr>
        <w:t>innovative</w:t>
      </w:r>
    </w:p>
    <w:p>
      <w:pPr>
        <w:pStyle w:val="BodyText"/>
        <w:spacing w:before="5"/>
        <w:rPr>
          <w:sz w:val="23"/>
        </w:rPr>
      </w:pPr>
      <w:r>
        <w:rPr/>
        <w:pict>
          <v:rect style="position:absolute;margin-left:65.183998pt;margin-top:15.45621pt;width:144.020004pt;height:.60004pt;mso-position-horizontal-relative:page;mso-position-vertical-relative:paragraph;z-index:-1564416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24" w:val="left" w:leader="none"/>
        </w:tabs>
        <w:spacing w:line="261" w:lineRule="auto" w:before="94" w:after="0"/>
        <w:ind w:left="723" w:right="481" w:firstLine="0"/>
        <w:jc w:val="both"/>
        <w:rPr>
          <w:sz w:val="18"/>
        </w:rPr>
      </w:pPr>
      <w:r>
        <w:rPr>
          <w:sz w:val="18"/>
        </w:rPr>
        <w:t>See the Final </w:t>
      </w:r>
      <w:r>
        <w:rPr>
          <w:spacing w:val="-3"/>
          <w:sz w:val="18"/>
        </w:rPr>
        <w:t>Communique</w:t>
      </w:r>
      <w:r>
        <w:rPr>
          <w:spacing w:val="-3"/>
          <w:position w:val="-2"/>
          <w:sz w:val="18"/>
        </w:rPr>
        <w:t>́ </w:t>
      </w:r>
      <w:r>
        <w:rPr>
          <w:sz w:val="18"/>
        </w:rPr>
        <w:t>of the G20 Finance Ministers &amp; Central Bank Governors Meeting, 22-23 February 2020, Riyadh, Saudi Arabia (available at: https://g20.org/en/g20/Documents/Communique%CC%81%20Final%2022- 23%20February%202020.pdf).</w:t>
      </w:r>
    </w:p>
    <w:p>
      <w:pPr>
        <w:spacing w:after="0" w:line="261"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mandatory binding dispute resolution mechanism (Step 3). While ongoing work to improve and enhance the dispute prevention and resolution tools and the MAP has already been important separate from work on</w:t>
      </w:r>
      <w:r>
        <w:rPr>
          <w:spacing w:val="-15"/>
        </w:rPr>
        <w:t> </w:t>
      </w:r>
      <w:r>
        <w:rPr/>
        <w:t>the</w:t>
      </w:r>
      <w:r>
        <w:rPr>
          <w:spacing w:val="-12"/>
        </w:rPr>
        <w:t> </w:t>
      </w:r>
      <w:r>
        <w:rPr/>
        <w:t>tax</w:t>
      </w:r>
      <w:r>
        <w:rPr>
          <w:spacing w:val="-13"/>
        </w:rPr>
        <w:t> </w:t>
      </w:r>
      <w:r>
        <w:rPr/>
        <w:t>challenges</w:t>
      </w:r>
      <w:r>
        <w:rPr>
          <w:spacing w:val="-13"/>
        </w:rPr>
        <w:t> </w:t>
      </w:r>
      <w:r>
        <w:rPr/>
        <w:t>of</w:t>
      </w:r>
      <w:r>
        <w:rPr>
          <w:spacing w:val="-12"/>
        </w:rPr>
        <w:t> </w:t>
      </w:r>
      <w:r>
        <w:rPr/>
        <w:t>the</w:t>
      </w:r>
      <w:r>
        <w:rPr>
          <w:spacing w:val="-12"/>
        </w:rPr>
        <w:t> </w:t>
      </w:r>
      <w:r>
        <w:rPr/>
        <w:t>digitalisation</w:t>
      </w:r>
      <w:r>
        <w:rPr>
          <w:spacing w:val="-14"/>
        </w:rPr>
        <w:t> </w:t>
      </w:r>
      <w:r>
        <w:rPr/>
        <w:t>of</w:t>
      </w:r>
      <w:r>
        <w:rPr>
          <w:spacing w:val="-13"/>
        </w:rPr>
        <w:t> </w:t>
      </w:r>
      <w:r>
        <w:rPr/>
        <w:t>the</w:t>
      </w:r>
      <w:r>
        <w:rPr>
          <w:spacing w:val="-10"/>
        </w:rPr>
        <w:t> </w:t>
      </w:r>
      <w:r>
        <w:rPr/>
        <w:t>economy,</w:t>
      </w:r>
      <w:r>
        <w:rPr>
          <w:spacing w:val="-12"/>
        </w:rPr>
        <w:t> </w:t>
      </w:r>
      <w:r>
        <w:rPr/>
        <w:t>that</w:t>
      </w:r>
      <w:r>
        <w:rPr>
          <w:spacing w:val="-11"/>
        </w:rPr>
        <w:t> </w:t>
      </w:r>
      <w:r>
        <w:rPr/>
        <w:t>ongoing</w:t>
      </w:r>
      <w:r>
        <w:rPr>
          <w:spacing w:val="-11"/>
        </w:rPr>
        <w:t> </w:t>
      </w:r>
      <w:r>
        <w:rPr/>
        <w:t>work</w:t>
      </w:r>
      <w:r>
        <w:rPr>
          <w:spacing w:val="-9"/>
        </w:rPr>
        <w:t> </w:t>
      </w:r>
      <w:r>
        <w:rPr/>
        <w:t>has</w:t>
      </w:r>
      <w:r>
        <w:rPr>
          <w:spacing w:val="-11"/>
        </w:rPr>
        <w:t> </w:t>
      </w:r>
      <w:r>
        <w:rPr/>
        <w:t>gained</w:t>
      </w:r>
      <w:r>
        <w:rPr>
          <w:spacing w:val="-12"/>
        </w:rPr>
        <w:t> </w:t>
      </w:r>
      <w:r>
        <w:rPr/>
        <w:t>further</w:t>
      </w:r>
      <w:r>
        <w:rPr>
          <w:spacing w:val="-13"/>
        </w:rPr>
        <w:t> </w:t>
      </w:r>
      <w:r>
        <w:rPr/>
        <w:t>momentum in light of the fundamental importance of tax certainty as an element of Pillar</w:t>
      </w:r>
      <w:r>
        <w:rPr>
          <w:spacing w:val="-14"/>
        </w:rPr>
        <w:t> </w:t>
      </w:r>
      <w:r>
        <w:rPr/>
        <w:t>One.</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Inclusive Framework members continue to have different views on the scope of application of a new mandatory and binding dispute resolution mechanism beyond Amount A. Some strongly support a mandatory binding dispute resolution mechanism with broad application, while others consider that disputes unrelated to Amount A should be resolved through the existing MAP framework and non-binding administrative tools. To bridge these different views, the Blueprint explores the following approach based around four</w:t>
      </w:r>
      <w:r>
        <w:rPr>
          <w:spacing w:val="-2"/>
          <w:sz w:val="20"/>
        </w:rPr>
        <w:t> </w:t>
      </w:r>
      <w:r>
        <w:rPr>
          <w:sz w:val="20"/>
        </w:rPr>
        <w:t>elements:</w:t>
      </w:r>
    </w:p>
    <w:p>
      <w:pPr>
        <w:pStyle w:val="ListParagraph"/>
        <w:numPr>
          <w:ilvl w:val="1"/>
          <w:numId w:val="13"/>
        </w:numPr>
        <w:tabs>
          <w:tab w:pos="1403" w:val="left" w:leader="none"/>
        </w:tabs>
        <w:spacing w:line="271" w:lineRule="auto" w:before="100" w:after="0"/>
        <w:ind w:left="1402" w:right="483" w:hanging="339"/>
        <w:jc w:val="both"/>
        <w:rPr>
          <w:sz w:val="20"/>
        </w:rPr>
      </w:pPr>
      <w:r>
        <w:rPr>
          <w:b/>
          <w:sz w:val="20"/>
        </w:rPr>
        <w:t>In-scope taxpayers</w:t>
      </w:r>
      <w:r>
        <w:rPr>
          <w:sz w:val="20"/>
        </w:rPr>
        <w:t>. For MNE groups with global revenue and foreign in-scope revenue above the relevant Amount A thresholds, the approach contemplates a new mandatory and binding resolution process for all disputes related to transfer pricing and permanent establishment adjustments to any of their constituent entities. This is designed as a last resort and would follow the exhaustion of all other dispute prevention and resolution tools, which would be expanded and improved, including as part of the 2020 review of BEPS Action 14. The process would cover adjustments</w:t>
      </w:r>
      <w:r>
        <w:rPr>
          <w:spacing w:val="-14"/>
          <w:sz w:val="20"/>
        </w:rPr>
        <w:t> </w:t>
      </w:r>
      <w:r>
        <w:rPr>
          <w:sz w:val="20"/>
        </w:rPr>
        <w:t>related</w:t>
      </w:r>
      <w:r>
        <w:rPr>
          <w:spacing w:val="-14"/>
          <w:sz w:val="20"/>
        </w:rPr>
        <w:t> </w:t>
      </w:r>
      <w:r>
        <w:rPr>
          <w:sz w:val="20"/>
        </w:rPr>
        <w:t>to</w:t>
      </w:r>
      <w:r>
        <w:rPr>
          <w:spacing w:val="-14"/>
          <w:sz w:val="20"/>
        </w:rPr>
        <w:t> </w:t>
      </w:r>
      <w:r>
        <w:rPr>
          <w:sz w:val="20"/>
        </w:rPr>
        <w:t>in-scope</w:t>
      </w:r>
      <w:r>
        <w:rPr>
          <w:spacing w:val="-13"/>
          <w:sz w:val="20"/>
        </w:rPr>
        <w:t> </w:t>
      </w:r>
      <w:r>
        <w:rPr>
          <w:sz w:val="20"/>
        </w:rPr>
        <w:t>activities,</w:t>
      </w:r>
      <w:r>
        <w:rPr>
          <w:spacing w:val="-14"/>
          <w:sz w:val="20"/>
        </w:rPr>
        <w:t> </w:t>
      </w:r>
      <w:r>
        <w:rPr>
          <w:sz w:val="20"/>
        </w:rPr>
        <w:t>but</w:t>
      </w:r>
      <w:r>
        <w:rPr>
          <w:spacing w:val="-14"/>
          <w:sz w:val="20"/>
        </w:rPr>
        <w:t> </w:t>
      </w:r>
      <w:r>
        <w:rPr>
          <w:sz w:val="20"/>
        </w:rPr>
        <w:t>also</w:t>
      </w:r>
      <w:r>
        <w:rPr>
          <w:spacing w:val="-13"/>
          <w:sz w:val="20"/>
        </w:rPr>
        <w:t> </w:t>
      </w:r>
      <w:r>
        <w:rPr>
          <w:sz w:val="20"/>
        </w:rPr>
        <w:t>extend</w:t>
      </w:r>
      <w:r>
        <w:rPr>
          <w:spacing w:val="-14"/>
          <w:sz w:val="20"/>
        </w:rPr>
        <w:t> </w:t>
      </w:r>
      <w:r>
        <w:rPr>
          <w:sz w:val="20"/>
        </w:rPr>
        <w:t>to</w:t>
      </w:r>
      <w:r>
        <w:rPr>
          <w:spacing w:val="-14"/>
          <w:sz w:val="20"/>
        </w:rPr>
        <w:t> </w:t>
      </w:r>
      <w:r>
        <w:rPr>
          <w:sz w:val="20"/>
        </w:rPr>
        <w:t>other</w:t>
      </w:r>
      <w:r>
        <w:rPr>
          <w:spacing w:val="-13"/>
          <w:sz w:val="20"/>
        </w:rPr>
        <w:t> </w:t>
      </w:r>
      <w:r>
        <w:rPr>
          <w:sz w:val="20"/>
        </w:rPr>
        <w:t>(out-of-scope)</w:t>
      </w:r>
      <w:r>
        <w:rPr>
          <w:spacing w:val="-12"/>
          <w:sz w:val="20"/>
        </w:rPr>
        <w:t> </w:t>
      </w:r>
      <w:r>
        <w:rPr>
          <w:sz w:val="20"/>
        </w:rPr>
        <w:t>activities</w:t>
      </w:r>
      <w:r>
        <w:rPr>
          <w:spacing w:val="-13"/>
          <w:sz w:val="20"/>
        </w:rPr>
        <w:t> </w:t>
      </w:r>
      <w:r>
        <w:rPr>
          <w:sz w:val="20"/>
        </w:rPr>
        <w:t>of</w:t>
      </w:r>
      <w:r>
        <w:rPr>
          <w:spacing w:val="-12"/>
          <w:sz w:val="20"/>
        </w:rPr>
        <w:t> </w:t>
      </w:r>
      <w:r>
        <w:rPr>
          <w:sz w:val="20"/>
        </w:rPr>
        <w:t>MNEs that</w:t>
      </w:r>
      <w:r>
        <w:rPr>
          <w:spacing w:val="-11"/>
          <w:sz w:val="20"/>
        </w:rPr>
        <w:t> </w:t>
      </w:r>
      <w:r>
        <w:rPr>
          <w:sz w:val="20"/>
        </w:rPr>
        <w:t>are</w:t>
      </w:r>
      <w:r>
        <w:rPr>
          <w:spacing w:val="-10"/>
          <w:sz w:val="20"/>
        </w:rPr>
        <w:t> </w:t>
      </w:r>
      <w:r>
        <w:rPr>
          <w:sz w:val="20"/>
        </w:rPr>
        <w:t>subject</w:t>
      </w:r>
      <w:r>
        <w:rPr>
          <w:spacing w:val="-10"/>
          <w:sz w:val="20"/>
        </w:rPr>
        <w:t> </w:t>
      </w:r>
      <w:r>
        <w:rPr>
          <w:sz w:val="20"/>
        </w:rPr>
        <w:t>to</w:t>
      </w:r>
      <w:r>
        <w:rPr>
          <w:spacing w:val="-11"/>
          <w:sz w:val="20"/>
        </w:rPr>
        <w:t> </w:t>
      </w:r>
      <w:r>
        <w:rPr>
          <w:sz w:val="20"/>
        </w:rPr>
        <w:t>the</w:t>
      </w:r>
      <w:r>
        <w:rPr>
          <w:spacing w:val="-11"/>
          <w:sz w:val="20"/>
        </w:rPr>
        <w:t> </w:t>
      </w:r>
      <w:r>
        <w:rPr>
          <w:sz w:val="20"/>
        </w:rPr>
        <w:t>new</w:t>
      </w:r>
      <w:r>
        <w:rPr>
          <w:spacing w:val="-12"/>
          <w:sz w:val="20"/>
        </w:rPr>
        <w:t> </w:t>
      </w:r>
      <w:r>
        <w:rPr>
          <w:sz w:val="20"/>
        </w:rPr>
        <w:t>taxing</w:t>
      </w:r>
      <w:r>
        <w:rPr>
          <w:spacing w:val="-11"/>
          <w:sz w:val="20"/>
        </w:rPr>
        <w:t> </w:t>
      </w:r>
      <w:r>
        <w:rPr>
          <w:sz w:val="20"/>
        </w:rPr>
        <w:t>right,</w:t>
      </w:r>
      <w:r>
        <w:rPr>
          <w:spacing w:val="-10"/>
          <w:sz w:val="20"/>
        </w:rPr>
        <w:t> </w:t>
      </w:r>
      <w:r>
        <w:rPr>
          <w:sz w:val="20"/>
        </w:rPr>
        <w:t>possibly</w:t>
      </w:r>
      <w:r>
        <w:rPr>
          <w:spacing w:val="-14"/>
          <w:sz w:val="20"/>
        </w:rPr>
        <w:t> </w:t>
      </w:r>
      <w:r>
        <w:rPr>
          <w:sz w:val="20"/>
        </w:rPr>
        <w:t>subject</w:t>
      </w:r>
      <w:r>
        <w:rPr>
          <w:spacing w:val="-8"/>
          <w:sz w:val="20"/>
        </w:rPr>
        <w:t> </w:t>
      </w:r>
      <w:r>
        <w:rPr>
          <w:sz w:val="20"/>
        </w:rPr>
        <w:t>to</w:t>
      </w:r>
      <w:r>
        <w:rPr>
          <w:spacing w:val="-11"/>
          <w:sz w:val="20"/>
        </w:rPr>
        <w:t> </w:t>
      </w:r>
      <w:r>
        <w:rPr>
          <w:sz w:val="20"/>
        </w:rPr>
        <w:t>a</w:t>
      </w:r>
      <w:r>
        <w:rPr>
          <w:spacing w:val="-11"/>
          <w:sz w:val="20"/>
        </w:rPr>
        <w:t> </w:t>
      </w:r>
      <w:r>
        <w:rPr>
          <w:sz w:val="20"/>
        </w:rPr>
        <w:t>materiality</w:t>
      </w:r>
      <w:r>
        <w:rPr>
          <w:spacing w:val="-14"/>
          <w:sz w:val="20"/>
        </w:rPr>
        <w:t> </w:t>
      </w:r>
      <w:r>
        <w:rPr>
          <w:sz w:val="20"/>
        </w:rPr>
        <w:t>condition.</w:t>
      </w:r>
      <w:r>
        <w:rPr>
          <w:spacing w:val="-10"/>
          <w:sz w:val="20"/>
        </w:rPr>
        <w:t> </w:t>
      </w:r>
      <w:r>
        <w:rPr>
          <w:sz w:val="20"/>
        </w:rPr>
        <w:t>The</w:t>
      </w:r>
      <w:r>
        <w:rPr>
          <w:spacing w:val="-11"/>
          <w:sz w:val="20"/>
        </w:rPr>
        <w:t> </w:t>
      </w:r>
      <w:r>
        <w:rPr>
          <w:sz w:val="20"/>
        </w:rPr>
        <w:t>new</w:t>
      </w:r>
      <w:r>
        <w:rPr>
          <w:spacing w:val="-12"/>
          <w:sz w:val="20"/>
        </w:rPr>
        <w:t> </w:t>
      </w:r>
      <w:r>
        <w:rPr>
          <w:sz w:val="20"/>
        </w:rPr>
        <w:t>process would not apply where disputes are already covered by existing mandatory and binding dispute resolution mechanisms, which would continue to</w:t>
      </w:r>
      <w:r>
        <w:rPr>
          <w:spacing w:val="-1"/>
          <w:sz w:val="20"/>
        </w:rPr>
        <w:t> </w:t>
      </w:r>
      <w:r>
        <w:rPr>
          <w:sz w:val="20"/>
        </w:rPr>
        <w:t>apply.</w:t>
      </w:r>
    </w:p>
    <w:p>
      <w:pPr>
        <w:pStyle w:val="ListParagraph"/>
        <w:numPr>
          <w:ilvl w:val="1"/>
          <w:numId w:val="13"/>
        </w:numPr>
        <w:tabs>
          <w:tab w:pos="1403" w:val="left" w:leader="none"/>
        </w:tabs>
        <w:spacing w:line="271" w:lineRule="auto" w:before="44" w:after="0"/>
        <w:ind w:left="1402" w:right="482" w:hanging="339"/>
        <w:jc w:val="both"/>
        <w:rPr>
          <w:sz w:val="20"/>
        </w:rPr>
      </w:pPr>
      <w:r>
        <w:rPr>
          <w:b/>
          <w:sz w:val="20"/>
        </w:rPr>
        <w:t>Other taxpayers</w:t>
      </w:r>
      <w:r>
        <w:rPr>
          <w:sz w:val="20"/>
        </w:rPr>
        <w:t>. All other taxpayers would benefit from improvements to the MAP and other existing</w:t>
      </w:r>
      <w:r>
        <w:rPr>
          <w:spacing w:val="-9"/>
          <w:sz w:val="20"/>
        </w:rPr>
        <w:t> </w:t>
      </w:r>
      <w:r>
        <w:rPr>
          <w:sz w:val="20"/>
        </w:rPr>
        <w:t>dispute</w:t>
      </w:r>
      <w:r>
        <w:rPr>
          <w:spacing w:val="-5"/>
          <w:sz w:val="20"/>
        </w:rPr>
        <w:t> </w:t>
      </w:r>
      <w:r>
        <w:rPr>
          <w:sz w:val="20"/>
        </w:rPr>
        <w:t>prevention</w:t>
      </w:r>
      <w:r>
        <w:rPr>
          <w:spacing w:val="-6"/>
          <w:sz w:val="20"/>
        </w:rPr>
        <w:t> </w:t>
      </w:r>
      <w:r>
        <w:rPr>
          <w:sz w:val="20"/>
        </w:rPr>
        <w:t>and</w:t>
      </w:r>
      <w:r>
        <w:rPr>
          <w:spacing w:val="-8"/>
          <w:sz w:val="20"/>
        </w:rPr>
        <w:t> </w:t>
      </w:r>
      <w:r>
        <w:rPr>
          <w:sz w:val="20"/>
        </w:rPr>
        <w:t>resolution</w:t>
      </w:r>
      <w:r>
        <w:rPr>
          <w:spacing w:val="-6"/>
          <w:sz w:val="20"/>
        </w:rPr>
        <w:t> </w:t>
      </w:r>
      <w:r>
        <w:rPr>
          <w:sz w:val="20"/>
        </w:rPr>
        <w:t>tools.</w:t>
      </w:r>
      <w:r>
        <w:rPr>
          <w:spacing w:val="-7"/>
          <w:sz w:val="20"/>
        </w:rPr>
        <w:t> </w:t>
      </w:r>
      <w:r>
        <w:rPr>
          <w:sz w:val="20"/>
        </w:rPr>
        <w:t>For</w:t>
      </w:r>
      <w:r>
        <w:rPr>
          <w:spacing w:val="-8"/>
          <w:sz w:val="20"/>
        </w:rPr>
        <w:t> </w:t>
      </w:r>
      <w:r>
        <w:rPr>
          <w:sz w:val="20"/>
        </w:rPr>
        <w:t>these</w:t>
      </w:r>
      <w:r>
        <w:rPr>
          <w:spacing w:val="-8"/>
          <w:sz w:val="20"/>
        </w:rPr>
        <w:t> </w:t>
      </w:r>
      <w:r>
        <w:rPr>
          <w:sz w:val="20"/>
        </w:rPr>
        <w:t>taxpayers,</w:t>
      </w:r>
      <w:r>
        <w:rPr>
          <w:spacing w:val="-7"/>
          <w:sz w:val="20"/>
        </w:rPr>
        <w:t> </w:t>
      </w:r>
      <w:r>
        <w:rPr>
          <w:sz w:val="20"/>
        </w:rPr>
        <w:t>the</w:t>
      </w:r>
      <w:r>
        <w:rPr>
          <w:spacing w:val="-8"/>
          <w:sz w:val="20"/>
        </w:rPr>
        <w:t> </w:t>
      </w:r>
      <w:r>
        <w:rPr>
          <w:sz w:val="20"/>
        </w:rPr>
        <w:t>Inclusive</w:t>
      </w:r>
      <w:r>
        <w:rPr>
          <w:spacing w:val="-8"/>
          <w:sz w:val="20"/>
        </w:rPr>
        <w:t> </w:t>
      </w:r>
      <w:r>
        <w:rPr>
          <w:sz w:val="20"/>
        </w:rPr>
        <w:t>Framework</w:t>
      </w:r>
      <w:r>
        <w:rPr>
          <w:spacing w:val="-4"/>
          <w:sz w:val="20"/>
        </w:rPr>
        <w:t> </w:t>
      </w:r>
      <w:r>
        <w:rPr>
          <w:sz w:val="20"/>
        </w:rPr>
        <w:t>will also examine new and innovative dispute resolution mechanisms for material transfer pricing and permanent establishment-related disputes that competent authorities are unable to resolve in a timely</w:t>
      </w:r>
      <w:r>
        <w:rPr>
          <w:spacing w:val="-10"/>
          <w:sz w:val="20"/>
        </w:rPr>
        <w:t> </w:t>
      </w:r>
      <w:r>
        <w:rPr>
          <w:sz w:val="20"/>
        </w:rPr>
        <w:t>manner</w:t>
      </w:r>
      <w:r>
        <w:rPr>
          <w:spacing w:val="-5"/>
          <w:sz w:val="20"/>
        </w:rPr>
        <w:t> </w:t>
      </w:r>
      <w:r>
        <w:rPr>
          <w:sz w:val="20"/>
        </w:rPr>
        <w:t>through</w:t>
      </w:r>
      <w:r>
        <w:rPr>
          <w:spacing w:val="-7"/>
          <w:sz w:val="20"/>
        </w:rPr>
        <w:t> </w:t>
      </w:r>
      <w:r>
        <w:rPr>
          <w:sz w:val="20"/>
        </w:rPr>
        <w:t>the</w:t>
      </w:r>
      <w:r>
        <w:rPr>
          <w:spacing w:val="-4"/>
          <w:sz w:val="20"/>
        </w:rPr>
        <w:t> </w:t>
      </w:r>
      <w:r>
        <w:rPr>
          <w:sz w:val="20"/>
        </w:rPr>
        <w:t>MAP.</w:t>
      </w:r>
      <w:r>
        <w:rPr>
          <w:spacing w:val="-5"/>
          <w:sz w:val="20"/>
        </w:rPr>
        <w:t> </w:t>
      </w:r>
      <w:r>
        <w:rPr>
          <w:sz w:val="20"/>
        </w:rPr>
        <w:t>In</w:t>
      </w:r>
      <w:r>
        <w:rPr>
          <w:spacing w:val="-7"/>
          <w:sz w:val="20"/>
        </w:rPr>
        <w:t> </w:t>
      </w:r>
      <w:r>
        <w:rPr>
          <w:sz w:val="20"/>
        </w:rPr>
        <w:t>this</w:t>
      </w:r>
      <w:r>
        <w:rPr>
          <w:spacing w:val="-4"/>
          <w:sz w:val="20"/>
        </w:rPr>
        <w:t> </w:t>
      </w:r>
      <w:r>
        <w:rPr>
          <w:sz w:val="20"/>
        </w:rPr>
        <w:t>regard,</w:t>
      </w:r>
      <w:r>
        <w:rPr>
          <w:spacing w:val="-5"/>
          <w:sz w:val="20"/>
        </w:rPr>
        <w:t> </w:t>
      </w:r>
      <w:r>
        <w:rPr>
          <w:sz w:val="20"/>
        </w:rPr>
        <w:t>the</w:t>
      </w:r>
      <w:r>
        <w:rPr>
          <w:spacing w:val="-4"/>
          <w:sz w:val="20"/>
        </w:rPr>
        <w:t> </w:t>
      </w:r>
      <w:r>
        <w:rPr>
          <w:sz w:val="20"/>
        </w:rPr>
        <w:t>next</w:t>
      </w:r>
      <w:r>
        <w:rPr>
          <w:spacing w:val="-6"/>
          <w:sz w:val="20"/>
        </w:rPr>
        <w:t> </w:t>
      </w:r>
      <w:r>
        <w:rPr>
          <w:sz w:val="20"/>
        </w:rPr>
        <w:t>steps</w:t>
      </w:r>
      <w:r>
        <w:rPr>
          <w:spacing w:val="-4"/>
          <w:sz w:val="20"/>
        </w:rPr>
        <w:t> </w:t>
      </w:r>
      <w:r>
        <w:rPr>
          <w:sz w:val="20"/>
        </w:rPr>
        <w:t>of</w:t>
      </w:r>
      <w:r>
        <w:rPr>
          <w:spacing w:val="-5"/>
          <w:sz w:val="20"/>
        </w:rPr>
        <w:t> </w:t>
      </w:r>
      <w:r>
        <w:rPr>
          <w:sz w:val="20"/>
        </w:rPr>
        <w:t>this</w:t>
      </w:r>
      <w:r>
        <w:rPr>
          <w:spacing w:val="-2"/>
          <w:sz w:val="20"/>
        </w:rPr>
        <w:t> </w:t>
      </w:r>
      <w:r>
        <w:rPr>
          <w:sz w:val="20"/>
        </w:rPr>
        <w:t>work</w:t>
      </w:r>
      <w:r>
        <w:rPr>
          <w:spacing w:val="-2"/>
          <w:sz w:val="20"/>
        </w:rPr>
        <w:t> </w:t>
      </w:r>
      <w:r>
        <w:rPr>
          <w:sz w:val="20"/>
        </w:rPr>
        <w:t>will</w:t>
      </w:r>
      <w:r>
        <w:rPr>
          <w:spacing w:val="-4"/>
          <w:sz w:val="20"/>
        </w:rPr>
        <w:t> </w:t>
      </w:r>
      <w:r>
        <w:rPr>
          <w:sz w:val="20"/>
        </w:rPr>
        <w:t>explore</w:t>
      </w:r>
      <w:r>
        <w:rPr>
          <w:spacing w:val="-4"/>
          <w:sz w:val="20"/>
        </w:rPr>
        <w:t> </w:t>
      </w:r>
      <w:r>
        <w:rPr>
          <w:sz w:val="20"/>
        </w:rPr>
        <w:t>the</w:t>
      </w:r>
      <w:r>
        <w:rPr>
          <w:spacing w:val="-6"/>
          <w:sz w:val="20"/>
        </w:rPr>
        <w:t> </w:t>
      </w:r>
      <w:r>
        <w:rPr>
          <w:sz w:val="20"/>
        </w:rPr>
        <w:t>benefits of two approaches: a mandatory binding dispute resolution process and a mandatory but non- binding</w:t>
      </w:r>
      <w:r>
        <w:rPr>
          <w:spacing w:val="-5"/>
          <w:sz w:val="20"/>
        </w:rPr>
        <w:t> </w:t>
      </w:r>
      <w:r>
        <w:rPr>
          <w:sz w:val="20"/>
        </w:rPr>
        <w:t>dispute</w:t>
      </w:r>
      <w:r>
        <w:rPr>
          <w:spacing w:val="-4"/>
          <w:sz w:val="20"/>
        </w:rPr>
        <w:t> </w:t>
      </w:r>
      <w:r>
        <w:rPr>
          <w:sz w:val="20"/>
        </w:rPr>
        <w:t>resolution</w:t>
      </w:r>
      <w:r>
        <w:rPr>
          <w:spacing w:val="-3"/>
          <w:sz w:val="20"/>
        </w:rPr>
        <w:t> </w:t>
      </w:r>
      <w:r>
        <w:rPr>
          <w:sz w:val="20"/>
        </w:rPr>
        <w:t>process</w:t>
      </w:r>
      <w:r>
        <w:rPr>
          <w:spacing w:val="-4"/>
          <w:sz w:val="20"/>
        </w:rPr>
        <w:t> </w:t>
      </w:r>
      <w:r>
        <w:rPr>
          <w:sz w:val="20"/>
        </w:rPr>
        <w:t>coupled</w:t>
      </w:r>
      <w:r>
        <w:rPr>
          <w:spacing w:val="-2"/>
          <w:sz w:val="20"/>
        </w:rPr>
        <w:t> </w:t>
      </w:r>
      <w:r>
        <w:rPr>
          <w:sz w:val="20"/>
        </w:rPr>
        <w:t>with</w:t>
      </w:r>
      <w:r>
        <w:rPr>
          <w:spacing w:val="-4"/>
          <w:sz w:val="20"/>
        </w:rPr>
        <w:t> </w:t>
      </w:r>
      <w:r>
        <w:rPr>
          <w:sz w:val="20"/>
        </w:rPr>
        <w:t>aspects</w:t>
      </w:r>
      <w:r>
        <w:rPr>
          <w:spacing w:val="-4"/>
          <w:sz w:val="20"/>
        </w:rPr>
        <w:t> </w:t>
      </w:r>
      <w:r>
        <w:rPr>
          <w:sz w:val="20"/>
        </w:rPr>
        <w:t>of</w:t>
      </w:r>
      <w:r>
        <w:rPr>
          <w:spacing w:val="-2"/>
          <w:sz w:val="20"/>
        </w:rPr>
        <w:t> </w:t>
      </w:r>
      <w:r>
        <w:rPr>
          <w:sz w:val="20"/>
        </w:rPr>
        <w:t>peer</w:t>
      </w:r>
      <w:r>
        <w:rPr>
          <w:spacing w:val="-4"/>
          <w:sz w:val="20"/>
        </w:rPr>
        <w:t> </w:t>
      </w:r>
      <w:r>
        <w:rPr>
          <w:sz w:val="20"/>
        </w:rPr>
        <w:t>review</w:t>
      </w:r>
      <w:r>
        <w:rPr>
          <w:spacing w:val="-5"/>
          <w:sz w:val="20"/>
        </w:rPr>
        <w:t> </w:t>
      </w:r>
      <w:r>
        <w:rPr>
          <w:sz w:val="20"/>
        </w:rPr>
        <w:t>and</w:t>
      </w:r>
      <w:r>
        <w:rPr>
          <w:spacing w:val="-2"/>
          <w:sz w:val="20"/>
        </w:rPr>
        <w:t> </w:t>
      </w:r>
      <w:r>
        <w:rPr>
          <w:sz w:val="20"/>
        </w:rPr>
        <w:t>statistical</w:t>
      </w:r>
      <w:r>
        <w:rPr>
          <w:spacing w:val="-5"/>
          <w:sz w:val="20"/>
        </w:rPr>
        <w:t> </w:t>
      </w:r>
      <w:r>
        <w:rPr>
          <w:sz w:val="20"/>
        </w:rPr>
        <w:t>reporting.</w:t>
      </w:r>
    </w:p>
    <w:p>
      <w:pPr>
        <w:pStyle w:val="ListParagraph"/>
        <w:numPr>
          <w:ilvl w:val="1"/>
          <w:numId w:val="13"/>
        </w:numPr>
        <w:tabs>
          <w:tab w:pos="1403" w:val="left" w:leader="none"/>
        </w:tabs>
        <w:spacing w:line="271" w:lineRule="auto" w:before="46" w:after="0"/>
        <w:ind w:left="1402" w:right="480" w:hanging="339"/>
        <w:jc w:val="both"/>
        <w:rPr>
          <w:sz w:val="20"/>
        </w:rPr>
      </w:pPr>
      <w:r>
        <w:rPr>
          <w:b/>
          <w:sz w:val="20"/>
        </w:rPr>
        <w:t>Amount B</w:t>
      </w:r>
      <w:r>
        <w:rPr>
          <w:sz w:val="20"/>
        </w:rPr>
        <w:t>. A key purpose of Amount B is to prevent transfer pricing disputes regarding baseline marketing and distribution activities through the use of agreed standardised returns to objectively defined activities, supported by quantitative indicators. Any disputes related to the application of Amount B (for example, whether a taxpayer falls within the definition of “baseline marketing and distribution activities”), which create risks of double taxation, would also be subject to mandatory binding dispute resolution, as a last resort and following the exhaustion of all other dispute prevention and resolution</w:t>
      </w:r>
      <w:r>
        <w:rPr>
          <w:spacing w:val="-2"/>
          <w:sz w:val="20"/>
        </w:rPr>
        <w:t> </w:t>
      </w:r>
      <w:r>
        <w:rPr>
          <w:sz w:val="20"/>
        </w:rPr>
        <w:t>tools.</w:t>
      </w:r>
    </w:p>
    <w:p>
      <w:pPr>
        <w:pStyle w:val="ListParagraph"/>
        <w:numPr>
          <w:ilvl w:val="1"/>
          <w:numId w:val="13"/>
        </w:numPr>
        <w:tabs>
          <w:tab w:pos="1403" w:val="left" w:leader="none"/>
        </w:tabs>
        <w:spacing w:line="271" w:lineRule="auto" w:before="43" w:after="0"/>
        <w:ind w:left="1402" w:right="482" w:hanging="339"/>
        <w:jc w:val="both"/>
        <w:rPr>
          <w:sz w:val="20"/>
        </w:rPr>
      </w:pPr>
      <w:r>
        <w:rPr>
          <w:b/>
          <w:sz w:val="20"/>
        </w:rPr>
        <w:t>Developing economies with no or low levels of MAP disputes</w:t>
      </w:r>
      <w:r>
        <w:rPr>
          <w:sz w:val="20"/>
        </w:rPr>
        <w:t>. Where developing economies have</w:t>
      </w:r>
      <w:r>
        <w:rPr>
          <w:spacing w:val="-9"/>
          <w:sz w:val="20"/>
        </w:rPr>
        <w:t> </w:t>
      </w:r>
      <w:r>
        <w:rPr>
          <w:sz w:val="20"/>
        </w:rPr>
        <w:t>no</w:t>
      </w:r>
      <w:r>
        <w:rPr>
          <w:spacing w:val="-9"/>
          <w:sz w:val="20"/>
        </w:rPr>
        <w:t> </w:t>
      </w:r>
      <w:r>
        <w:rPr>
          <w:sz w:val="20"/>
        </w:rPr>
        <w:t>or</w:t>
      </w:r>
      <w:r>
        <w:rPr>
          <w:spacing w:val="-10"/>
          <w:sz w:val="20"/>
        </w:rPr>
        <w:t> </w:t>
      </w:r>
      <w:r>
        <w:rPr>
          <w:sz w:val="20"/>
        </w:rPr>
        <w:t>almost</w:t>
      </w:r>
      <w:r>
        <w:rPr>
          <w:spacing w:val="-11"/>
          <w:sz w:val="20"/>
        </w:rPr>
        <w:t> </w:t>
      </w:r>
      <w:r>
        <w:rPr>
          <w:sz w:val="20"/>
        </w:rPr>
        <w:t>no</w:t>
      </w:r>
      <w:r>
        <w:rPr>
          <w:spacing w:val="-8"/>
          <w:sz w:val="20"/>
        </w:rPr>
        <w:t> </w:t>
      </w:r>
      <w:r>
        <w:rPr>
          <w:sz w:val="20"/>
        </w:rPr>
        <w:t>MAP</w:t>
      </w:r>
      <w:r>
        <w:rPr>
          <w:spacing w:val="-9"/>
          <w:sz w:val="20"/>
        </w:rPr>
        <w:t> </w:t>
      </w:r>
      <w:r>
        <w:rPr>
          <w:sz w:val="20"/>
        </w:rPr>
        <w:t>cases</w:t>
      </w:r>
      <w:r>
        <w:rPr>
          <w:spacing w:val="-9"/>
          <w:sz w:val="20"/>
        </w:rPr>
        <w:t> </w:t>
      </w:r>
      <w:r>
        <w:rPr>
          <w:sz w:val="20"/>
        </w:rPr>
        <w:t>in</w:t>
      </w:r>
      <w:r>
        <w:rPr>
          <w:spacing w:val="-9"/>
          <w:sz w:val="20"/>
        </w:rPr>
        <w:t> </w:t>
      </w:r>
      <w:r>
        <w:rPr>
          <w:sz w:val="20"/>
        </w:rPr>
        <w:t>inventory</w:t>
      </w:r>
      <w:r>
        <w:rPr>
          <w:spacing w:val="-11"/>
          <w:sz w:val="20"/>
        </w:rPr>
        <w:t> </w:t>
      </w:r>
      <w:r>
        <w:rPr>
          <w:sz w:val="20"/>
        </w:rPr>
        <w:t>and</w:t>
      </w:r>
      <w:r>
        <w:rPr>
          <w:spacing w:val="-9"/>
          <w:sz w:val="20"/>
        </w:rPr>
        <w:t> </w:t>
      </w:r>
      <w:r>
        <w:rPr>
          <w:sz w:val="20"/>
        </w:rPr>
        <w:t>therefore</w:t>
      </w:r>
      <w:r>
        <w:rPr>
          <w:spacing w:val="-10"/>
          <w:sz w:val="20"/>
        </w:rPr>
        <w:t> </w:t>
      </w:r>
      <w:r>
        <w:rPr>
          <w:sz w:val="20"/>
        </w:rPr>
        <w:t>limited</w:t>
      </w:r>
      <w:r>
        <w:rPr>
          <w:spacing w:val="-10"/>
          <w:sz w:val="20"/>
        </w:rPr>
        <w:t> </w:t>
      </w:r>
      <w:r>
        <w:rPr>
          <w:sz w:val="20"/>
        </w:rPr>
        <w:t>or</w:t>
      </w:r>
      <w:r>
        <w:rPr>
          <w:spacing w:val="-7"/>
          <w:sz w:val="20"/>
        </w:rPr>
        <w:t> </w:t>
      </w:r>
      <w:r>
        <w:rPr>
          <w:sz w:val="20"/>
        </w:rPr>
        <w:t>no</w:t>
      </w:r>
      <w:r>
        <w:rPr>
          <w:spacing w:val="-10"/>
          <w:sz w:val="20"/>
        </w:rPr>
        <w:t> </w:t>
      </w:r>
      <w:r>
        <w:rPr>
          <w:sz w:val="20"/>
        </w:rPr>
        <w:t>experience</w:t>
      </w:r>
      <w:r>
        <w:rPr>
          <w:spacing w:val="-8"/>
          <w:sz w:val="20"/>
        </w:rPr>
        <w:t> </w:t>
      </w:r>
      <w:r>
        <w:rPr>
          <w:sz w:val="20"/>
        </w:rPr>
        <w:t>with</w:t>
      </w:r>
      <w:r>
        <w:rPr>
          <w:spacing w:val="-12"/>
          <w:sz w:val="20"/>
        </w:rPr>
        <w:t> </w:t>
      </w:r>
      <w:r>
        <w:rPr>
          <w:sz w:val="20"/>
        </w:rPr>
        <w:t>the</w:t>
      </w:r>
      <w:r>
        <w:rPr>
          <w:spacing w:val="-9"/>
          <w:sz w:val="20"/>
        </w:rPr>
        <w:t> </w:t>
      </w:r>
      <w:r>
        <w:rPr>
          <w:sz w:val="20"/>
        </w:rPr>
        <w:t>MAP, it would seem disproportionate to require them to commit to and implement a potentially complex mandatory binding dispute resolution process to address a situation that in their current circumstances may not present a material risk to taxpayers or other tax administrations. Instead, for</w:t>
      </w:r>
      <w:r>
        <w:rPr>
          <w:spacing w:val="-5"/>
          <w:sz w:val="20"/>
        </w:rPr>
        <w:t> </w:t>
      </w:r>
      <w:r>
        <w:rPr>
          <w:sz w:val="20"/>
        </w:rPr>
        <w:t>issues</w:t>
      </w:r>
      <w:r>
        <w:rPr>
          <w:spacing w:val="-4"/>
          <w:sz w:val="20"/>
        </w:rPr>
        <w:t> </w:t>
      </w:r>
      <w:r>
        <w:rPr>
          <w:sz w:val="20"/>
        </w:rPr>
        <w:t>not</w:t>
      </w:r>
      <w:r>
        <w:rPr>
          <w:spacing w:val="-4"/>
          <w:sz w:val="20"/>
        </w:rPr>
        <w:t> </w:t>
      </w:r>
      <w:r>
        <w:rPr>
          <w:sz w:val="20"/>
        </w:rPr>
        <w:t>related</w:t>
      </w:r>
      <w:r>
        <w:rPr>
          <w:spacing w:val="-6"/>
          <w:sz w:val="20"/>
        </w:rPr>
        <w:t> </w:t>
      </w:r>
      <w:r>
        <w:rPr>
          <w:sz w:val="20"/>
        </w:rPr>
        <w:t>to</w:t>
      </w:r>
      <w:r>
        <w:rPr>
          <w:spacing w:val="-2"/>
          <w:sz w:val="20"/>
        </w:rPr>
        <w:t> </w:t>
      </w:r>
      <w:r>
        <w:rPr>
          <w:sz w:val="20"/>
        </w:rPr>
        <w:t>Amount</w:t>
      </w:r>
      <w:r>
        <w:rPr>
          <w:spacing w:val="-3"/>
          <w:sz w:val="20"/>
        </w:rPr>
        <w:t> </w:t>
      </w:r>
      <w:r>
        <w:rPr>
          <w:sz w:val="20"/>
        </w:rPr>
        <w:t>A,</w:t>
      </w:r>
      <w:r>
        <w:rPr>
          <w:spacing w:val="-5"/>
          <w:sz w:val="20"/>
        </w:rPr>
        <w:t> </w:t>
      </w:r>
      <w:r>
        <w:rPr>
          <w:sz w:val="20"/>
        </w:rPr>
        <w:t>these</w:t>
      </w:r>
      <w:r>
        <w:rPr>
          <w:spacing w:val="-4"/>
          <w:sz w:val="20"/>
        </w:rPr>
        <w:t> </w:t>
      </w:r>
      <w:r>
        <w:rPr>
          <w:sz w:val="20"/>
        </w:rPr>
        <w:t>jurisdictions</w:t>
      </w:r>
      <w:r>
        <w:rPr>
          <w:spacing w:val="3"/>
          <w:sz w:val="20"/>
        </w:rPr>
        <w:t> </w:t>
      </w:r>
      <w:r>
        <w:rPr>
          <w:sz w:val="20"/>
        </w:rPr>
        <w:t>would</w:t>
      </w:r>
      <w:r>
        <w:rPr>
          <w:spacing w:val="-5"/>
          <w:sz w:val="20"/>
        </w:rPr>
        <w:t> </w:t>
      </w:r>
      <w:r>
        <w:rPr>
          <w:sz w:val="20"/>
        </w:rPr>
        <w:t>commit</w:t>
      </w:r>
      <w:r>
        <w:rPr>
          <w:spacing w:val="-4"/>
          <w:sz w:val="20"/>
        </w:rPr>
        <w:t> </w:t>
      </w:r>
      <w:r>
        <w:rPr>
          <w:sz w:val="20"/>
        </w:rPr>
        <w:t>to</w:t>
      </w:r>
      <w:r>
        <w:rPr>
          <w:spacing w:val="-5"/>
          <w:sz w:val="20"/>
        </w:rPr>
        <w:t> </w:t>
      </w:r>
      <w:r>
        <w:rPr>
          <w:sz w:val="20"/>
        </w:rPr>
        <w:t>an</w:t>
      </w:r>
      <w:r>
        <w:rPr>
          <w:spacing w:val="-6"/>
          <w:sz w:val="20"/>
        </w:rPr>
        <w:t> </w:t>
      </w:r>
      <w:r>
        <w:rPr>
          <w:sz w:val="20"/>
        </w:rPr>
        <w:t>elective</w:t>
      </w:r>
      <w:r>
        <w:rPr>
          <w:spacing w:val="-2"/>
          <w:sz w:val="20"/>
        </w:rPr>
        <w:t> </w:t>
      </w:r>
      <w:r>
        <w:rPr>
          <w:sz w:val="20"/>
        </w:rPr>
        <w:t>binding</w:t>
      </w:r>
      <w:r>
        <w:rPr>
          <w:spacing w:val="-5"/>
          <w:sz w:val="20"/>
        </w:rPr>
        <w:t> </w:t>
      </w:r>
      <w:r>
        <w:rPr>
          <w:sz w:val="20"/>
        </w:rPr>
        <w:t>dispute resolution mechanism that would be triggered where both competent authorities agree that the mechanism should be used to resolve unresolved MAP issues. In determining appropriate levels of MAP inventory to be included in this category of jurisdictions, reference would be made to the principles</w:t>
      </w:r>
      <w:r>
        <w:rPr>
          <w:spacing w:val="-16"/>
          <w:sz w:val="20"/>
        </w:rPr>
        <w:t> </w:t>
      </w:r>
      <w:r>
        <w:rPr>
          <w:sz w:val="20"/>
        </w:rPr>
        <w:t>of</w:t>
      </w:r>
      <w:r>
        <w:rPr>
          <w:spacing w:val="-17"/>
          <w:sz w:val="20"/>
        </w:rPr>
        <w:t> </w:t>
      </w:r>
      <w:r>
        <w:rPr>
          <w:sz w:val="20"/>
        </w:rPr>
        <w:t>the</w:t>
      </w:r>
      <w:r>
        <w:rPr>
          <w:spacing w:val="-17"/>
          <w:sz w:val="20"/>
        </w:rPr>
        <w:t> </w:t>
      </w:r>
      <w:r>
        <w:rPr>
          <w:sz w:val="20"/>
        </w:rPr>
        <w:t>Action</w:t>
      </w:r>
      <w:r>
        <w:rPr>
          <w:spacing w:val="-17"/>
          <w:sz w:val="20"/>
        </w:rPr>
        <w:t> </w:t>
      </w:r>
      <w:r>
        <w:rPr>
          <w:sz w:val="20"/>
        </w:rPr>
        <w:t>14</w:t>
      </w:r>
      <w:r>
        <w:rPr>
          <w:spacing w:val="-17"/>
          <w:sz w:val="20"/>
        </w:rPr>
        <w:t> </w:t>
      </w:r>
      <w:r>
        <w:rPr>
          <w:sz w:val="20"/>
        </w:rPr>
        <w:t>peer</w:t>
      </w:r>
      <w:r>
        <w:rPr>
          <w:spacing w:val="-18"/>
          <w:sz w:val="20"/>
        </w:rPr>
        <w:t> </w:t>
      </w:r>
      <w:r>
        <w:rPr>
          <w:sz w:val="20"/>
        </w:rPr>
        <w:t>review</w:t>
      </w:r>
      <w:r>
        <w:rPr>
          <w:spacing w:val="-18"/>
          <w:sz w:val="20"/>
        </w:rPr>
        <w:t> </w:t>
      </w:r>
      <w:r>
        <w:rPr>
          <w:sz w:val="20"/>
        </w:rPr>
        <w:t>process</w:t>
      </w:r>
      <w:r>
        <w:rPr>
          <w:spacing w:val="-14"/>
          <w:sz w:val="20"/>
        </w:rPr>
        <w:t> </w:t>
      </w:r>
      <w:r>
        <w:rPr>
          <w:sz w:val="20"/>
        </w:rPr>
        <w:t>(in</w:t>
      </w:r>
      <w:r>
        <w:rPr>
          <w:spacing w:val="-16"/>
          <w:sz w:val="20"/>
        </w:rPr>
        <w:t> </w:t>
      </w:r>
      <w:r>
        <w:rPr>
          <w:sz w:val="20"/>
        </w:rPr>
        <w:t>particular</w:t>
      </w:r>
      <w:r>
        <w:rPr>
          <w:spacing w:val="-15"/>
          <w:sz w:val="20"/>
        </w:rPr>
        <w:t> </w:t>
      </w:r>
      <w:r>
        <w:rPr>
          <w:sz w:val="20"/>
        </w:rPr>
        <w:t>the</w:t>
      </w:r>
      <w:r>
        <w:rPr>
          <w:spacing w:val="-17"/>
          <w:sz w:val="20"/>
        </w:rPr>
        <w:t> </w:t>
      </w:r>
      <w:r>
        <w:rPr>
          <w:sz w:val="20"/>
        </w:rPr>
        <w:t>criteria</w:t>
      </w:r>
      <w:r>
        <w:rPr>
          <w:spacing w:val="-19"/>
          <w:sz w:val="20"/>
        </w:rPr>
        <w:t> </w:t>
      </w:r>
      <w:r>
        <w:rPr>
          <w:sz w:val="20"/>
        </w:rPr>
        <w:t>for</w:t>
      </w:r>
      <w:r>
        <w:rPr>
          <w:spacing w:val="-18"/>
          <w:sz w:val="20"/>
        </w:rPr>
        <w:t> </w:t>
      </w:r>
      <w:r>
        <w:rPr>
          <w:sz w:val="20"/>
        </w:rPr>
        <w:t>deferral</w:t>
      </w:r>
      <w:r>
        <w:rPr>
          <w:spacing w:val="-20"/>
          <w:sz w:val="20"/>
        </w:rPr>
        <w:t> </w:t>
      </w:r>
      <w:r>
        <w:rPr>
          <w:sz w:val="20"/>
        </w:rPr>
        <w:t>of</w:t>
      </w:r>
      <w:r>
        <w:rPr>
          <w:spacing w:val="-16"/>
          <w:sz w:val="20"/>
        </w:rPr>
        <w:t> </w:t>
      </w:r>
      <w:r>
        <w:rPr>
          <w:sz w:val="20"/>
        </w:rPr>
        <w:t>a</w:t>
      </w:r>
      <w:r>
        <w:rPr>
          <w:spacing w:val="-19"/>
          <w:sz w:val="20"/>
        </w:rPr>
        <w:t> </w:t>
      </w:r>
      <w:r>
        <w:rPr>
          <w:sz w:val="20"/>
        </w:rPr>
        <w:t>jurisdiction’s peer</w:t>
      </w:r>
      <w:r>
        <w:rPr>
          <w:spacing w:val="-5"/>
          <w:sz w:val="20"/>
        </w:rPr>
        <w:t> </w:t>
      </w:r>
      <w:r>
        <w:rPr>
          <w:sz w:val="20"/>
        </w:rPr>
        <w:t>review),</w:t>
      </w:r>
      <w:r>
        <w:rPr>
          <w:spacing w:val="-2"/>
          <w:sz w:val="20"/>
        </w:rPr>
        <w:t> </w:t>
      </w:r>
      <w:r>
        <w:rPr>
          <w:sz w:val="20"/>
        </w:rPr>
        <w:t>which</w:t>
      </w:r>
      <w:r>
        <w:rPr>
          <w:spacing w:val="-5"/>
          <w:sz w:val="20"/>
        </w:rPr>
        <w:t> </w:t>
      </w:r>
      <w:r>
        <w:rPr>
          <w:sz w:val="20"/>
        </w:rPr>
        <w:t>considers</w:t>
      </w:r>
      <w:r>
        <w:rPr>
          <w:spacing w:val="-2"/>
          <w:sz w:val="20"/>
        </w:rPr>
        <w:t> </w:t>
      </w:r>
      <w:r>
        <w:rPr>
          <w:sz w:val="20"/>
        </w:rPr>
        <w:t>the</w:t>
      </w:r>
      <w:r>
        <w:rPr>
          <w:spacing w:val="-5"/>
          <w:sz w:val="20"/>
        </w:rPr>
        <w:t> </w:t>
      </w:r>
      <w:r>
        <w:rPr>
          <w:sz w:val="20"/>
        </w:rPr>
        <w:t>number</w:t>
      </w:r>
      <w:r>
        <w:rPr>
          <w:spacing w:val="-3"/>
          <w:sz w:val="20"/>
        </w:rPr>
        <w:t> </w:t>
      </w:r>
      <w:r>
        <w:rPr>
          <w:sz w:val="20"/>
        </w:rPr>
        <w:t>of</w:t>
      </w:r>
      <w:r>
        <w:rPr>
          <w:spacing w:val="-3"/>
          <w:sz w:val="20"/>
        </w:rPr>
        <w:t> </w:t>
      </w:r>
      <w:r>
        <w:rPr>
          <w:sz w:val="20"/>
        </w:rPr>
        <w:t>MAP</w:t>
      </w:r>
      <w:r>
        <w:rPr>
          <w:spacing w:val="-4"/>
          <w:sz w:val="20"/>
        </w:rPr>
        <w:t> </w:t>
      </w:r>
      <w:r>
        <w:rPr>
          <w:sz w:val="20"/>
        </w:rPr>
        <w:t>cases</w:t>
      </w:r>
      <w:r>
        <w:rPr>
          <w:spacing w:val="-3"/>
          <w:sz w:val="20"/>
        </w:rPr>
        <w:t> </w:t>
      </w:r>
      <w:r>
        <w:rPr>
          <w:sz w:val="20"/>
        </w:rPr>
        <w:t>in</w:t>
      </w:r>
      <w:r>
        <w:rPr>
          <w:spacing w:val="-5"/>
          <w:sz w:val="20"/>
        </w:rPr>
        <w:t> </w:t>
      </w:r>
      <w:r>
        <w:rPr>
          <w:sz w:val="20"/>
        </w:rPr>
        <w:t>inventory</w:t>
      </w:r>
      <w:r>
        <w:rPr>
          <w:spacing w:val="-7"/>
          <w:sz w:val="20"/>
        </w:rPr>
        <w:t> </w:t>
      </w:r>
      <w:r>
        <w:rPr>
          <w:sz w:val="20"/>
        </w:rPr>
        <w:t>as</w:t>
      </w:r>
      <w:r>
        <w:rPr>
          <w:spacing w:val="-2"/>
          <w:sz w:val="20"/>
        </w:rPr>
        <w:t> </w:t>
      </w:r>
      <w:r>
        <w:rPr>
          <w:sz w:val="20"/>
        </w:rPr>
        <w:t>well</w:t>
      </w:r>
      <w:r>
        <w:rPr>
          <w:spacing w:val="-3"/>
          <w:sz w:val="20"/>
        </w:rPr>
        <w:t> </w:t>
      </w:r>
      <w:r>
        <w:rPr>
          <w:sz w:val="20"/>
        </w:rPr>
        <w:t>as</w:t>
      </w:r>
      <w:r>
        <w:rPr>
          <w:spacing w:val="-4"/>
          <w:sz w:val="20"/>
        </w:rPr>
        <w:t> </w:t>
      </w:r>
      <w:r>
        <w:rPr>
          <w:sz w:val="20"/>
        </w:rPr>
        <w:t>access</w:t>
      </w:r>
      <w:r>
        <w:rPr>
          <w:spacing w:val="-3"/>
          <w:sz w:val="20"/>
        </w:rPr>
        <w:t> </w:t>
      </w:r>
      <w:r>
        <w:rPr>
          <w:sz w:val="20"/>
        </w:rPr>
        <w:t>limitations that may have prevented cases from entering the MAP process and appearing in</w:t>
      </w:r>
      <w:r>
        <w:rPr>
          <w:spacing w:val="-27"/>
          <w:sz w:val="20"/>
        </w:rPr>
        <w:t> </w:t>
      </w:r>
      <w:r>
        <w:rPr>
          <w:sz w:val="20"/>
        </w:rPr>
        <w:t>inventory.</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403" w:val="left" w:leader="none"/>
        </w:tabs>
        <w:spacing w:line="268" w:lineRule="auto" w:before="99" w:after="0"/>
        <w:ind w:left="1402" w:right="486" w:hanging="339"/>
        <w:jc w:val="both"/>
        <w:rPr>
          <w:sz w:val="20"/>
        </w:rPr>
      </w:pPr>
      <w:r>
        <w:rPr>
          <w:sz w:val="20"/>
        </w:rPr>
        <w:t>The mechanisms described above could be coupled with a peer review and reporting framework to monitor the effectiveness of all elements of the new dispute prevention and resolution mechanisms.</w:t>
      </w:r>
    </w:p>
    <w:p>
      <w:pPr>
        <w:pStyle w:val="ListParagraph"/>
        <w:numPr>
          <w:ilvl w:val="0"/>
          <w:numId w:val="13"/>
        </w:numPr>
        <w:tabs>
          <w:tab w:pos="1444" w:val="left" w:leader="none"/>
        </w:tabs>
        <w:spacing w:line="271" w:lineRule="auto" w:before="131" w:after="0"/>
        <w:ind w:left="723" w:right="480" w:firstLine="0"/>
        <w:jc w:val="both"/>
        <w:rPr>
          <w:sz w:val="20"/>
        </w:rPr>
      </w:pPr>
      <w:r>
        <w:rPr>
          <w:sz w:val="20"/>
        </w:rPr>
        <w:t>Further work will be undertaken to finalise the different technical features of the tax certainty process for Amount A, including ways to minimise the resource burden and administrative costs of the process and how these costs should be borne. However, it is noted that, while there will be a cost implication</w:t>
      </w:r>
      <w:r>
        <w:rPr>
          <w:spacing w:val="-7"/>
          <w:sz w:val="20"/>
        </w:rPr>
        <w:t> </w:t>
      </w:r>
      <w:r>
        <w:rPr>
          <w:sz w:val="20"/>
        </w:rPr>
        <w:t>of</w:t>
      </w:r>
      <w:r>
        <w:rPr>
          <w:spacing w:val="-5"/>
          <w:sz w:val="20"/>
        </w:rPr>
        <w:t> </w:t>
      </w:r>
      <w:r>
        <w:rPr>
          <w:sz w:val="20"/>
        </w:rPr>
        <w:t>a</w:t>
      </w:r>
      <w:r>
        <w:rPr>
          <w:spacing w:val="-4"/>
          <w:sz w:val="20"/>
        </w:rPr>
        <w:t> </w:t>
      </w:r>
      <w:r>
        <w:rPr>
          <w:sz w:val="20"/>
        </w:rPr>
        <w:t>new</w:t>
      </w:r>
      <w:r>
        <w:rPr>
          <w:spacing w:val="-6"/>
          <w:sz w:val="20"/>
        </w:rPr>
        <w:t> </w:t>
      </w:r>
      <w:r>
        <w:rPr>
          <w:sz w:val="20"/>
        </w:rPr>
        <w:t>process,</w:t>
      </w:r>
      <w:r>
        <w:rPr>
          <w:spacing w:val="-5"/>
          <w:sz w:val="20"/>
        </w:rPr>
        <w:t> </w:t>
      </w:r>
      <w:r>
        <w:rPr>
          <w:sz w:val="20"/>
        </w:rPr>
        <w:t>in</w:t>
      </w:r>
      <w:r>
        <w:rPr>
          <w:spacing w:val="-7"/>
          <w:sz w:val="20"/>
        </w:rPr>
        <w:t> </w:t>
      </w:r>
      <w:r>
        <w:rPr>
          <w:sz w:val="20"/>
        </w:rPr>
        <w:t>aggregate</w:t>
      </w:r>
      <w:r>
        <w:rPr>
          <w:spacing w:val="-5"/>
          <w:sz w:val="20"/>
        </w:rPr>
        <w:t> </w:t>
      </w:r>
      <w:r>
        <w:rPr>
          <w:sz w:val="20"/>
        </w:rPr>
        <w:t>and</w:t>
      </w:r>
      <w:r>
        <w:rPr>
          <w:spacing w:val="-6"/>
          <w:sz w:val="20"/>
        </w:rPr>
        <w:t> </w:t>
      </w:r>
      <w:r>
        <w:rPr>
          <w:sz w:val="20"/>
        </w:rPr>
        <w:t>over</w:t>
      </w:r>
      <w:r>
        <w:rPr>
          <w:spacing w:val="-6"/>
          <w:sz w:val="20"/>
        </w:rPr>
        <w:t> </w:t>
      </w:r>
      <w:r>
        <w:rPr>
          <w:sz w:val="20"/>
        </w:rPr>
        <w:t>time</w:t>
      </w:r>
      <w:r>
        <w:rPr>
          <w:spacing w:val="-7"/>
          <w:sz w:val="20"/>
        </w:rPr>
        <w:t> </w:t>
      </w:r>
      <w:r>
        <w:rPr>
          <w:sz w:val="20"/>
        </w:rPr>
        <w:t>this</w:t>
      </w:r>
      <w:r>
        <w:rPr>
          <w:spacing w:val="-5"/>
          <w:sz w:val="20"/>
        </w:rPr>
        <w:t> </w:t>
      </w:r>
      <w:r>
        <w:rPr>
          <w:sz w:val="20"/>
        </w:rPr>
        <w:t>should</w:t>
      </w:r>
      <w:r>
        <w:rPr>
          <w:spacing w:val="-5"/>
          <w:sz w:val="20"/>
        </w:rPr>
        <w:t> </w:t>
      </w:r>
      <w:r>
        <w:rPr>
          <w:sz w:val="20"/>
        </w:rPr>
        <w:t>be</w:t>
      </w:r>
      <w:r>
        <w:rPr>
          <w:spacing w:val="-4"/>
          <w:sz w:val="20"/>
        </w:rPr>
        <w:t> </w:t>
      </w:r>
      <w:r>
        <w:rPr>
          <w:sz w:val="20"/>
        </w:rPr>
        <w:t>significantly</w:t>
      </w:r>
      <w:r>
        <w:rPr>
          <w:spacing w:val="-7"/>
          <w:sz w:val="20"/>
        </w:rPr>
        <w:t> </w:t>
      </w:r>
      <w:r>
        <w:rPr>
          <w:sz w:val="20"/>
        </w:rPr>
        <w:t>lower</w:t>
      </w:r>
      <w:r>
        <w:rPr>
          <w:spacing w:val="-6"/>
          <w:sz w:val="20"/>
        </w:rPr>
        <w:t> </w:t>
      </w:r>
      <w:r>
        <w:rPr>
          <w:sz w:val="20"/>
        </w:rPr>
        <w:t>than</w:t>
      </w:r>
      <w:r>
        <w:rPr>
          <w:spacing w:val="-5"/>
          <w:sz w:val="20"/>
        </w:rPr>
        <w:t> </w:t>
      </w:r>
      <w:r>
        <w:rPr>
          <w:sz w:val="20"/>
        </w:rPr>
        <w:t>the</w:t>
      </w:r>
      <w:r>
        <w:rPr>
          <w:spacing w:val="-6"/>
          <w:sz w:val="20"/>
        </w:rPr>
        <w:t> </w:t>
      </w:r>
      <w:r>
        <w:rPr>
          <w:sz w:val="20"/>
        </w:rPr>
        <w:t>cost</w:t>
      </w:r>
      <w:r>
        <w:rPr>
          <w:spacing w:val="-4"/>
          <w:sz w:val="20"/>
        </w:rPr>
        <w:t> </w:t>
      </w:r>
      <w:r>
        <w:rPr>
          <w:sz w:val="20"/>
        </w:rPr>
        <w:t>to both tax administrations and MNE groups from an un-coordinated application of Amount A by tax administrations</w:t>
      </w:r>
      <w:r>
        <w:rPr>
          <w:spacing w:val="-6"/>
          <w:sz w:val="20"/>
        </w:rPr>
        <w:t> </w:t>
      </w:r>
      <w:r>
        <w:rPr>
          <w:sz w:val="20"/>
        </w:rPr>
        <w:t>in</w:t>
      </w:r>
      <w:r>
        <w:rPr>
          <w:spacing w:val="-4"/>
          <w:sz w:val="20"/>
        </w:rPr>
        <w:t> </w:t>
      </w:r>
      <w:r>
        <w:rPr>
          <w:sz w:val="20"/>
        </w:rPr>
        <w:t>all</w:t>
      </w:r>
      <w:r>
        <w:rPr>
          <w:spacing w:val="-7"/>
          <w:sz w:val="20"/>
        </w:rPr>
        <w:t> </w:t>
      </w:r>
      <w:r>
        <w:rPr>
          <w:sz w:val="20"/>
        </w:rPr>
        <w:t>jurisdictions</w:t>
      </w:r>
      <w:r>
        <w:rPr>
          <w:spacing w:val="-2"/>
          <w:sz w:val="20"/>
        </w:rPr>
        <w:t> </w:t>
      </w:r>
      <w:r>
        <w:rPr>
          <w:sz w:val="20"/>
        </w:rPr>
        <w:t>where</w:t>
      </w:r>
      <w:r>
        <w:rPr>
          <w:spacing w:val="-5"/>
          <w:sz w:val="20"/>
        </w:rPr>
        <w:t> </w:t>
      </w:r>
      <w:r>
        <w:rPr>
          <w:sz w:val="20"/>
        </w:rPr>
        <w:t>an</w:t>
      </w:r>
      <w:r>
        <w:rPr>
          <w:spacing w:val="-5"/>
          <w:sz w:val="20"/>
        </w:rPr>
        <w:t> </w:t>
      </w:r>
      <w:r>
        <w:rPr>
          <w:sz w:val="20"/>
        </w:rPr>
        <w:t>MNE</w:t>
      </w:r>
      <w:r>
        <w:rPr>
          <w:spacing w:val="-4"/>
          <w:sz w:val="20"/>
        </w:rPr>
        <w:t> </w:t>
      </w:r>
      <w:r>
        <w:rPr>
          <w:sz w:val="20"/>
        </w:rPr>
        <w:t>group</w:t>
      </w:r>
      <w:r>
        <w:rPr>
          <w:spacing w:val="-6"/>
          <w:sz w:val="20"/>
        </w:rPr>
        <w:t> </w:t>
      </w:r>
      <w:r>
        <w:rPr>
          <w:sz w:val="20"/>
        </w:rPr>
        <w:t>has</w:t>
      </w:r>
      <w:r>
        <w:rPr>
          <w:spacing w:val="-6"/>
          <w:sz w:val="20"/>
        </w:rPr>
        <w:t> </w:t>
      </w:r>
      <w:r>
        <w:rPr>
          <w:sz w:val="20"/>
        </w:rPr>
        <w:t>a</w:t>
      </w:r>
      <w:r>
        <w:rPr>
          <w:spacing w:val="-6"/>
          <w:sz w:val="20"/>
        </w:rPr>
        <w:t> </w:t>
      </w:r>
      <w:r>
        <w:rPr>
          <w:sz w:val="20"/>
        </w:rPr>
        <w:t>constituent</w:t>
      </w:r>
      <w:r>
        <w:rPr>
          <w:spacing w:val="-6"/>
          <w:sz w:val="20"/>
        </w:rPr>
        <w:t> </w:t>
      </w:r>
      <w:r>
        <w:rPr>
          <w:sz w:val="20"/>
        </w:rPr>
        <w:t>entity</w:t>
      </w:r>
      <w:r>
        <w:rPr>
          <w:spacing w:val="-7"/>
          <w:sz w:val="20"/>
        </w:rPr>
        <w:t> </w:t>
      </w:r>
      <w:r>
        <w:rPr>
          <w:sz w:val="20"/>
        </w:rPr>
        <w:t>or</w:t>
      </w:r>
      <w:r>
        <w:rPr>
          <w:spacing w:val="-4"/>
          <w:sz w:val="20"/>
        </w:rPr>
        <w:t> </w:t>
      </w:r>
      <w:r>
        <w:rPr>
          <w:sz w:val="20"/>
        </w:rPr>
        <w:t>a</w:t>
      </w:r>
      <w:r>
        <w:rPr>
          <w:spacing w:val="-6"/>
          <w:sz w:val="20"/>
        </w:rPr>
        <w:t> </w:t>
      </w:r>
      <w:r>
        <w:rPr>
          <w:sz w:val="20"/>
        </w:rPr>
        <w:t>market.</w:t>
      </w:r>
      <w:r>
        <w:rPr>
          <w:spacing w:val="3"/>
          <w:sz w:val="20"/>
        </w:rPr>
        <w:t> </w:t>
      </w:r>
      <w:r>
        <w:rPr>
          <w:sz w:val="20"/>
        </w:rPr>
        <w:t>This</w:t>
      </w:r>
      <w:r>
        <w:rPr>
          <w:spacing w:val="-3"/>
          <w:sz w:val="20"/>
        </w:rPr>
        <w:t> </w:t>
      </w:r>
      <w:r>
        <w:rPr>
          <w:sz w:val="20"/>
        </w:rPr>
        <w:t>work</w:t>
      </w:r>
      <w:r>
        <w:rPr>
          <w:spacing w:val="-2"/>
          <w:sz w:val="20"/>
        </w:rPr>
        <w:t> </w:t>
      </w:r>
      <w:r>
        <w:rPr>
          <w:sz w:val="20"/>
        </w:rPr>
        <w:t>will also consider any other issues where further practical guidance on the Amount A tax certainty process is needed for its</w:t>
      </w:r>
      <w:r>
        <w:rPr>
          <w:spacing w:val="1"/>
          <w:sz w:val="20"/>
        </w:rPr>
        <w:t> </w:t>
      </w:r>
      <w:r>
        <w:rPr>
          <w:sz w:val="20"/>
        </w:rPr>
        <w:t>implementation.</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A decision on the scope of application of a new mandatory and binding dispute resolution mechanism beyond Amount A will be necessary to progress technical work on that mechanism and its implementation. Such technical work will include exploring how the implementation of Amount A could include extending the application of that new dispute resolution mechanism to circumstances in which there is not currently a bilateral tax treaty that includes a MAP article between the relevant jurisdictions (and thus no existing obligation or common legal standard that could form the substance of a</w:t>
      </w:r>
      <w:r>
        <w:rPr>
          <w:spacing w:val="-33"/>
          <w:sz w:val="20"/>
        </w:rPr>
        <w:t> </w:t>
      </w:r>
      <w:r>
        <w:rPr>
          <w:sz w:val="20"/>
        </w:rPr>
        <w:t>dispute).</w:t>
      </w:r>
    </w:p>
    <w:p>
      <w:pPr>
        <w:pStyle w:val="BodyText"/>
        <w:rPr>
          <w:sz w:val="22"/>
        </w:rPr>
      </w:pPr>
    </w:p>
    <w:p>
      <w:pPr>
        <w:pStyle w:val="Heading4"/>
        <w:numPr>
          <w:ilvl w:val="1"/>
          <w:numId w:val="81"/>
        </w:numPr>
        <w:tabs>
          <w:tab w:pos="1192" w:val="left" w:leader="none"/>
        </w:tabs>
        <w:spacing w:line="240" w:lineRule="auto" w:before="193" w:after="0"/>
        <w:ind w:left="1191" w:right="0" w:hanging="469"/>
        <w:jc w:val="left"/>
        <w:rPr>
          <w:rFonts w:ascii="Arial"/>
        </w:rPr>
      </w:pPr>
      <w:bookmarkStart w:name="9.2. A new framework for dispute prevent" w:id="414"/>
      <w:bookmarkEnd w:id="414"/>
      <w:r>
        <w:rPr>
          <w:b w:val="0"/>
        </w:rPr>
      </w:r>
      <w:bookmarkStart w:name="_bookmark68" w:id="415"/>
      <w:bookmarkEnd w:id="415"/>
      <w:r>
        <w:rPr>
          <w:b w:val="0"/>
        </w:rPr>
      </w:r>
      <w:bookmarkStart w:name="_bookmark68" w:id="416"/>
      <w:bookmarkEnd w:id="416"/>
      <w:r>
        <w:rPr>
          <w:rFonts w:ascii="Arial"/>
          <w:color w:val="4E81BD"/>
        </w:rPr>
        <w:t>A</w:t>
      </w:r>
      <w:r>
        <w:rPr>
          <w:rFonts w:ascii="Arial"/>
          <w:color w:val="4E81BD"/>
        </w:rPr>
        <w:t> new framework for dispute prevention and resolution for Amount</w:t>
      </w:r>
      <w:r>
        <w:rPr>
          <w:rFonts w:ascii="Arial"/>
          <w:color w:val="4E81BD"/>
          <w:spacing w:val="-2"/>
        </w:rPr>
        <w:t> </w:t>
      </w:r>
      <w:r>
        <w:rPr>
          <w:rFonts w:ascii="Arial"/>
          <w:color w:val="4E81BD"/>
        </w:rPr>
        <w:t>A</w:t>
      </w:r>
    </w:p>
    <w:p>
      <w:pPr>
        <w:pStyle w:val="BodyText"/>
        <w:spacing w:before="4"/>
        <w:rPr>
          <w:b/>
          <w:sz w:val="24"/>
        </w:rPr>
      </w:pPr>
    </w:p>
    <w:p>
      <w:pPr>
        <w:pStyle w:val="ListParagraph"/>
        <w:numPr>
          <w:ilvl w:val="0"/>
          <w:numId w:val="13"/>
        </w:numPr>
        <w:tabs>
          <w:tab w:pos="1443" w:val="left" w:leader="none"/>
          <w:tab w:pos="1444" w:val="left" w:leader="none"/>
        </w:tabs>
        <w:spacing w:line="271" w:lineRule="auto" w:before="0" w:after="0"/>
        <w:ind w:left="723" w:right="485" w:firstLine="0"/>
        <w:jc w:val="left"/>
        <w:rPr>
          <w:sz w:val="20"/>
        </w:rPr>
      </w:pPr>
      <w:r>
        <w:rPr>
          <w:sz w:val="20"/>
        </w:rPr>
        <w:t>This section contains a detailed draft outline of the approach to provide </w:t>
      </w:r>
      <w:r>
        <w:rPr>
          <w:spacing w:val="2"/>
          <w:sz w:val="20"/>
        </w:rPr>
        <w:t>early </w:t>
      </w:r>
      <w:r>
        <w:rPr>
          <w:sz w:val="20"/>
        </w:rPr>
        <w:t>tax certainty with respect to Amount A for MNE groups that are within</w:t>
      </w:r>
      <w:r>
        <w:rPr>
          <w:spacing w:val="-9"/>
          <w:sz w:val="20"/>
        </w:rPr>
        <w:t> </w:t>
      </w:r>
      <w:r>
        <w:rPr>
          <w:sz w:val="20"/>
        </w:rPr>
        <w:t>scope.</w:t>
      </w:r>
    </w:p>
    <w:p>
      <w:pPr>
        <w:pStyle w:val="ListParagraph"/>
        <w:numPr>
          <w:ilvl w:val="0"/>
          <w:numId w:val="13"/>
        </w:numPr>
        <w:tabs>
          <w:tab w:pos="1443" w:val="left" w:leader="none"/>
          <w:tab w:pos="1444" w:val="left" w:leader="none"/>
        </w:tabs>
        <w:spacing w:line="240" w:lineRule="auto" w:before="121" w:after="0"/>
        <w:ind w:left="1443" w:right="0" w:hanging="721"/>
        <w:jc w:val="left"/>
        <w:rPr>
          <w:sz w:val="20"/>
        </w:rPr>
      </w:pPr>
      <w:r>
        <w:rPr>
          <w:sz w:val="20"/>
        </w:rPr>
        <w:t>The process comprises a number of elements and stages</w:t>
      </w:r>
      <w:r>
        <w:rPr>
          <w:position w:val="6"/>
          <w:sz w:val="13"/>
        </w:rPr>
        <w:t>156</w:t>
      </w:r>
      <w:r>
        <w:rPr>
          <w:sz w:val="20"/>
        </w:rPr>
        <w:t>, which are discussed further</w:t>
      </w:r>
      <w:r>
        <w:rPr>
          <w:spacing w:val="-34"/>
          <w:sz w:val="20"/>
        </w:rPr>
        <w:t> </w:t>
      </w:r>
      <w:r>
        <w:rPr>
          <w:sz w:val="20"/>
        </w:rPr>
        <w:t>below.</w:t>
      </w:r>
    </w:p>
    <w:p>
      <w:pPr>
        <w:pStyle w:val="ListParagraph"/>
        <w:numPr>
          <w:ilvl w:val="1"/>
          <w:numId w:val="13"/>
        </w:numPr>
        <w:tabs>
          <w:tab w:pos="1784" w:val="left" w:leader="none"/>
          <w:tab w:pos="1785" w:val="left" w:leader="none"/>
        </w:tabs>
        <w:spacing w:line="266" w:lineRule="auto" w:before="129" w:after="0"/>
        <w:ind w:left="1784" w:right="478" w:hanging="360"/>
        <w:jc w:val="left"/>
        <w:rPr>
          <w:sz w:val="20"/>
        </w:rPr>
      </w:pPr>
      <w:r>
        <w:rPr>
          <w:sz w:val="20"/>
        </w:rPr>
        <w:t>Development of a standardised Amount A self-assessment return / documentation package and centralised filing, validation and exchange of this</w:t>
      </w:r>
      <w:r>
        <w:rPr>
          <w:spacing w:val="-10"/>
          <w:sz w:val="20"/>
        </w:rPr>
        <w:t> </w:t>
      </w:r>
      <w:r>
        <w:rPr>
          <w:sz w:val="20"/>
        </w:rPr>
        <w:t>information.</w:t>
      </w:r>
    </w:p>
    <w:p>
      <w:pPr>
        <w:pStyle w:val="ListParagraph"/>
        <w:numPr>
          <w:ilvl w:val="1"/>
          <w:numId w:val="13"/>
        </w:numPr>
        <w:tabs>
          <w:tab w:pos="1784" w:val="left" w:leader="none"/>
          <w:tab w:pos="1785" w:val="left" w:leader="none"/>
        </w:tabs>
        <w:spacing w:line="240" w:lineRule="auto" w:before="54" w:after="0"/>
        <w:ind w:left="1784" w:right="0" w:hanging="361"/>
        <w:jc w:val="left"/>
        <w:rPr>
          <w:sz w:val="20"/>
        </w:rPr>
      </w:pPr>
      <w:r>
        <w:rPr>
          <w:sz w:val="20"/>
        </w:rPr>
        <w:t>Request for tax certainty by an MNE</w:t>
      </w:r>
      <w:r>
        <w:rPr>
          <w:spacing w:val="-9"/>
          <w:sz w:val="20"/>
        </w:rPr>
        <w:t> </w:t>
      </w:r>
      <w:r>
        <w:rPr>
          <w:sz w:val="20"/>
        </w:rPr>
        <w:t>group.</w:t>
      </w:r>
    </w:p>
    <w:p>
      <w:pPr>
        <w:pStyle w:val="ListParagraph"/>
        <w:numPr>
          <w:ilvl w:val="1"/>
          <w:numId w:val="13"/>
        </w:numPr>
        <w:tabs>
          <w:tab w:pos="1784" w:val="left" w:leader="none"/>
          <w:tab w:pos="1785" w:val="left" w:leader="none"/>
        </w:tabs>
        <w:spacing w:line="266" w:lineRule="auto" w:before="74" w:after="0"/>
        <w:ind w:left="1784" w:right="483" w:hanging="360"/>
        <w:jc w:val="left"/>
        <w:rPr>
          <w:sz w:val="20"/>
        </w:rPr>
      </w:pPr>
      <w:r>
        <w:rPr>
          <w:sz w:val="20"/>
        </w:rPr>
        <w:t>An optional initial review by the lead tax administration and determination if a panel review is needed.</w:t>
      </w:r>
    </w:p>
    <w:p>
      <w:pPr>
        <w:pStyle w:val="ListParagraph"/>
        <w:numPr>
          <w:ilvl w:val="1"/>
          <w:numId w:val="13"/>
        </w:numPr>
        <w:tabs>
          <w:tab w:pos="1784" w:val="left" w:leader="none"/>
          <w:tab w:pos="1785" w:val="left" w:leader="none"/>
        </w:tabs>
        <w:spacing w:line="266" w:lineRule="auto" w:before="53" w:after="0"/>
        <w:ind w:left="1784" w:right="488" w:hanging="360"/>
        <w:jc w:val="left"/>
        <w:rPr>
          <w:sz w:val="20"/>
        </w:rPr>
      </w:pPr>
      <w:r>
        <w:rPr>
          <w:sz w:val="20"/>
        </w:rPr>
        <w:t>Constitution of the review panel, the review panel process and approval by affected tax administrations.</w:t>
      </w:r>
    </w:p>
    <w:p>
      <w:pPr>
        <w:pStyle w:val="ListParagraph"/>
        <w:numPr>
          <w:ilvl w:val="1"/>
          <w:numId w:val="13"/>
        </w:numPr>
        <w:tabs>
          <w:tab w:pos="1784" w:val="left" w:leader="none"/>
          <w:tab w:pos="1785" w:val="left" w:leader="none"/>
        </w:tabs>
        <w:spacing w:line="240" w:lineRule="auto" w:before="51" w:after="0"/>
        <w:ind w:left="1784" w:right="0" w:hanging="361"/>
        <w:jc w:val="left"/>
        <w:rPr>
          <w:sz w:val="20"/>
        </w:rPr>
      </w:pPr>
      <w:r>
        <w:rPr>
          <w:sz w:val="20"/>
        </w:rPr>
        <w:t>Constitution of the determination panel and the determination panel</w:t>
      </w:r>
      <w:r>
        <w:rPr>
          <w:spacing w:val="-14"/>
          <w:sz w:val="20"/>
        </w:rPr>
        <w:t> </w:t>
      </w:r>
      <w:r>
        <w:rPr>
          <w:sz w:val="20"/>
        </w:rPr>
        <w:t>process.</w:t>
      </w:r>
    </w:p>
    <w:p>
      <w:pPr>
        <w:pStyle w:val="ListParagraph"/>
        <w:numPr>
          <w:ilvl w:val="1"/>
          <w:numId w:val="13"/>
        </w:numPr>
        <w:tabs>
          <w:tab w:pos="1784" w:val="left" w:leader="none"/>
          <w:tab w:pos="1785" w:val="left" w:leader="none"/>
        </w:tabs>
        <w:spacing w:line="240" w:lineRule="auto" w:before="77" w:after="0"/>
        <w:ind w:left="1784" w:right="0" w:hanging="361"/>
        <w:jc w:val="left"/>
        <w:rPr>
          <w:sz w:val="20"/>
        </w:rPr>
      </w:pPr>
      <w:r>
        <w:rPr>
          <w:sz w:val="20"/>
        </w:rPr>
        <w:t>Cases where an MNE group does not accept a panel</w:t>
      </w:r>
      <w:r>
        <w:rPr>
          <w:spacing w:val="-6"/>
          <w:sz w:val="20"/>
        </w:rPr>
        <w:t> </w:t>
      </w:r>
      <w:r>
        <w:rPr>
          <w:sz w:val="20"/>
        </w:rPr>
        <w:t>conclusion.</w:t>
      </w:r>
    </w:p>
    <w:p>
      <w:pPr>
        <w:pStyle w:val="ListParagraph"/>
        <w:numPr>
          <w:ilvl w:val="1"/>
          <w:numId w:val="13"/>
        </w:numPr>
        <w:tabs>
          <w:tab w:pos="1784" w:val="left" w:leader="none"/>
          <w:tab w:pos="1785" w:val="left" w:leader="none"/>
        </w:tabs>
        <w:spacing w:line="240" w:lineRule="auto" w:before="74" w:after="0"/>
        <w:ind w:left="1784" w:right="0" w:hanging="361"/>
        <w:jc w:val="left"/>
        <w:rPr>
          <w:sz w:val="20"/>
        </w:rPr>
      </w:pPr>
      <w:r>
        <w:rPr>
          <w:sz w:val="20"/>
        </w:rPr>
        <w:t>Other opportunities to provide greater certainty concerning Amount</w:t>
      </w:r>
      <w:r>
        <w:rPr>
          <w:spacing w:val="-11"/>
          <w:sz w:val="20"/>
        </w:rPr>
        <w:t> </w:t>
      </w:r>
      <w:r>
        <w:rPr>
          <w:sz w:val="20"/>
        </w:rPr>
        <w:t>A.</w:t>
      </w:r>
    </w:p>
    <w:p>
      <w:pPr>
        <w:pStyle w:val="ListParagraph"/>
        <w:numPr>
          <w:ilvl w:val="1"/>
          <w:numId w:val="13"/>
        </w:numPr>
        <w:tabs>
          <w:tab w:pos="1784" w:val="left" w:leader="none"/>
          <w:tab w:pos="1785" w:val="left" w:leader="none"/>
        </w:tabs>
        <w:spacing w:line="240" w:lineRule="auto" w:before="74" w:after="0"/>
        <w:ind w:left="1784" w:right="0" w:hanging="361"/>
        <w:jc w:val="left"/>
        <w:rPr>
          <w:sz w:val="20"/>
        </w:rPr>
      </w:pPr>
      <w:r>
        <w:rPr>
          <w:sz w:val="20"/>
        </w:rPr>
        <w:t>Transfer pricing adjustments and other adjustments in subsequent</w:t>
      </w:r>
      <w:r>
        <w:rPr>
          <w:spacing w:val="-7"/>
          <w:sz w:val="20"/>
        </w:rPr>
        <w:t> </w:t>
      </w:r>
      <w:r>
        <w:rPr>
          <w:sz w:val="20"/>
        </w:rPr>
        <w:t>years.</w:t>
      </w:r>
    </w:p>
    <w:p>
      <w:pPr>
        <w:pStyle w:val="BodyText"/>
        <w:spacing w:before="1"/>
        <w:rPr>
          <w:sz w:val="18"/>
        </w:rPr>
      </w:pPr>
      <w:r>
        <w:rPr/>
        <w:pict>
          <v:rect style="position:absolute;margin-left:65.183998pt;margin-top:12.355801pt;width:144.020004pt;height:.60004pt;mso-position-horizontal-relative:page;mso-position-vertical-relative:paragraph;z-index:-15642624;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443" w:val="left" w:leader="none"/>
          <w:tab w:pos="1444" w:val="left" w:leader="none"/>
        </w:tabs>
        <w:spacing w:line="278" w:lineRule="auto" w:before="94" w:after="0"/>
        <w:ind w:left="723" w:right="478" w:firstLine="0"/>
        <w:jc w:val="both"/>
        <w:rPr>
          <w:sz w:val="18"/>
        </w:rPr>
      </w:pPr>
      <w:r>
        <w:rPr>
          <w:sz w:val="18"/>
        </w:rPr>
        <w:t>Throughout this chapter, draft timeframes have been included as estimates of how long each stage of the process is likely to take. However, these are currently included in square brackets and will be revised as work progresses. In any case, any process is likely to take longer in the first years of operation until experience is gained and</w:t>
      </w:r>
      <w:r>
        <w:rPr>
          <w:spacing w:val="-9"/>
          <w:sz w:val="18"/>
        </w:rPr>
        <w:t> </w:t>
      </w:r>
      <w:r>
        <w:rPr>
          <w:sz w:val="18"/>
        </w:rPr>
        <w:t>efficiencies</w:t>
      </w:r>
      <w:r>
        <w:rPr>
          <w:spacing w:val="-8"/>
          <w:sz w:val="18"/>
        </w:rPr>
        <w:t> </w:t>
      </w:r>
      <w:r>
        <w:rPr>
          <w:sz w:val="18"/>
        </w:rPr>
        <w:t>are</w:t>
      </w:r>
      <w:r>
        <w:rPr>
          <w:spacing w:val="-9"/>
          <w:sz w:val="18"/>
        </w:rPr>
        <w:t> </w:t>
      </w:r>
      <w:r>
        <w:rPr>
          <w:sz w:val="18"/>
        </w:rPr>
        <w:t>identified.</w:t>
      </w:r>
      <w:r>
        <w:rPr>
          <w:spacing w:val="-11"/>
          <w:sz w:val="18"/>
        </w:rPr>
        <w:t> </w:t>
      </w:r>
      <w:r>
        <w:rPr>
          <w:sz w:val="18"/>
        </w:rPr>
        <w:t>However,</w:t>
      </w:r>
      <w:r>
        <w:rPr>
          <w:spacing w:val="-6"/>
          <w:sz w:val="18"/>
        </w:rPr>
        <w:t> </w:t>
      </w:r>
      <w:r>
        <w:rPr>
          <w:sz w:val="18"/>
        </w:rPr>
        <w:t>it</w:t>
      </w:r>
      <w:r>
        <w:rPr>
          <w:spacing w:val="-8"/>
          <w:sz w:val="18"/>
        </w:rPr>
        <w:t> </w:t>
      </w:r>
      <w:r>
        <w:rPr>
          <w:sz w:val="18"/>
        </w:rPr>
        <w:t>is</w:t>
      </w:r>
      <w:r>
        <w:rPr>
          <w:spacing w:val="-8"/>
          <w:sz w:val="18"/>
        </w:rPr>
        <w:t> </w:t>
      </w:r>
      <w:r>
        <w:rPr>
          <w:sz w:val="18"/>
        </w:rPr>
        <w:t>useful</w:t>
      </w:r>
      <w:r>
        <w:rPr>
          <w:spacing w:val="-9"/>
          <w:sz w:val="18"/>
        </w:rPr>
        <w:t> </w:t>
      </w:r>
      <w:r>
        <w:rPr>
          <w:sz w:val="18"/>
        </w:rPr>
        <w:t>to</w:t>
      </w:r>
      <w:r>
        <w:rPr>
          <w:spacing w:val="-8"/>
          <w:sz w:val="18"/>
        </w:rPr>
        <w:t> </w:t>
      </w:r>
      <w:r>
        <w:rPr>
          <w:sz w:val="18"/>
        </w:rPr>
        <w:t>have</w:t>
      </w:r>
      <w:r>
        <w:rPr>
          <w:spacing w:val="-9"/>
          <w:sz w:val="18"/>
        </w:rPr>
        <w:t> </w:t>
      </w:r>
      <w:r>
        <w:rPr>
          <w:sz w:val="18"/>
        </w:rPr>
        <w:t>some</w:t>
      </w:r>
      <w:r>
        <w:rPr>
          <w:spacing w:val="-8"/>
          <w:sz w:val="18"/>
        </w:rPr>
        <w:t> </w:t>
      </w:r>
      <w:r>
        <w:rPr>
          <w:sz w:val="18"/>
        </w:rPr>
        <w:t>measure</w:t>
      </w:r>
      <w:r>
        <w:rPr>
          <w:spacing w:val="-7"/>
          <w:sz w:val="18"/>
        </w:rPr>
        <w:t> </w:t>
      </w:r>
      <w:r>
        <w:rPr>
          <w:sz w:val="18"/>
        </w:rPr>
        <w:t>of</w:t>
      </w:r>
      <w:r>
        <w:rPr>
          <w:spacing w:val="-9"/>
          <w:sz w:val="18"/>
        </w:rPr>
        <w:t> </w:t>
      </w:r>
      <w:r>
        <w:rPr>
          <w:sz w:val="18"/>
        </w:rPr>
        <w:t>how</w:t>
      </w:r>
      <w:r>
        <w:rPr>
          <w:spacing w:val="-9"/>
          <w:sz w:val="18"/>
        </w:rPr>
        <w:t> </w:t>
      </w:r>
      <w:r>
        <w:rPr>
          <w:sz w:val="18"/>
        </w:rPr>
        <w:t>long</w:t>
      </w:r>
      <w:r>
        <w:rPr>
          <w:spacing w:val="-9"/>
          <w:sz w:val="18"/>
        </w:rPr>
        <w:t> </w:t>
      </w:r>
      <w:r>
        <w:rPr>
          <w:sz w:val="18"/>
        </w:rPr>
        <w:t>the</w:t>
      </w:r>
      <w:r>
        <w:rPr>
          <w:spacing w:val="-9"/>
          <w:sz w:val="18"/>
        </w:rPr>
        <w:t> </w:t>
      </w:r>
      <w:r>
        <w:rPr>
          <w:sz w:val="18"/>
        </w:rPr>
        <w:t>process</w:t>
      </w:r>
      <w:r>
        <w:rPr>
          <w:spacing w:val="-8"/>
          <w:sz w:val="18"/>
        </w:rPr>
        <w:t> </w:t>
      </w:r>
      <w:r>
        <w:rPr>
          <w:sz w:val="18"/>
        </w:rPr>
        <w:t>is</w:t>
      </w:r>
      <w:r>
        <w:rPr>
          <w:spacing w:val="-8"/>
          <w:sz w:val="18"/>
        </w:rPr>
        <w:t> </w:t>
      </w:r>
      <w:r>
        <w:rPr>
          <w:sz w:val="18"/>
        </w:rPr>
        <w:t>expected</w:t>
      </w:r>
      <w:r>
        <w:rPr>
          <w:spacing w:val="-7"/>
          <w:sz w:val="18"/>
        </w:rPr>
        <w:t> </w:t>
      </w:r>
      <w:r>
        <w:rPr>
          <w:sz w:val="18"/>
        </w:rPr>
        <w:t>to</w:t>
      </w:r>
      <w:r>
        <w:rPr>
          <w:spacing w:val="-6"/>
          <w:sz w:val="18"/>
        </w:rPr>
        <w:t> </w:t>
      </w:r>
      <w:r>
        <w:rPr>
          <w:sz w:val="18"/>
        </w:rPr>
        <w:t>take and to retain reasonably challenging target timeframes where appropriate, recognising that in some cases more time will be needed. Based on the approach in this Blueprint, a simple case where no panel review is needed could be completed</w:t>
      </w:r>
      <w:r>
        <w:rPr>
          <w:spacing w:val="-10"/>
          <w:sz w:val="18"/>
        </w:rPr>
        <w:t> </w:t>
      </w:r>
      <w:r>
        <w:rPr>
          <w:sz w:val="18"/>
        </w:rPr>
        <w:t>in</w:t>
      </w:r>
      <w:r>
        <w:rPr>
          <w:spacing w:val="-9"/>
          <w:sz w:val="18"/>
        </w:rPr>
        <w:t> </w:t>
      </w:r>
      <w:r>
        <w:rPr>
          <w:sz w:val="18"/>
        </w:rPr>
        <w:t>as</w:t>
      </w:r>
      <w:r>
        <w:rPr>
          <w:spacing w:val="-8"/>
          <w:sz w:val="18"/>
        </w:rPr>
        <w:t> </w:t>
      </w:r>
      <w:r>
        <w:rPr>
          <w:sz w:val="18"/>
        </w:rPr>
        <w:t>little</w:t>
      </w:r>
      <w:r>
        <w:rPr>
          <w:spacing w:val="-11"/>
          <w:sz w:val="18"/>
        </w:rPr>
        <w:t> </w:t>
      </w:r>
      <w:r>
        <w:rPr>
          <w:sz w:val="18"/>
        </w:rPr>
        <w:t>as</w:t>
      </w:r>
      <w:r>
        <w:rPr>
          <w:spacing w:val="-8"/>
          <w:sz w:val="18"/>
        </w:rPr>
        <w:t> </w:t>
      </w:r>
      <w:r>
        <w:rPr>
          <w:sz w:val="18"/>
        </w:rPr>
        <w:t>[6-9</w:t>
      </w:r>
      <w:r>
        <w:rPr>
          <w:spacing w:val="-11"/>
          <w:sz w:val="18"/>
        </w:rPr>
        <w:t> </w:t>
      </w:r>
      <w:r>
        <w:rPr>
          <w:sz w:val="18"/>
        </w:rPr>
        <w:t>months]</w:t>
      </w:r>
      <w:r>
        <w:rPr>
          <w:spacing w:val="-9"/>
          <w:sz w:val="18"/>
        </w:rPr>
        <w:t> </w:t>
      </w:r>
      <w:r>
        <w:rPr>
          <w:sz w:val="18"/>
        </w:rPr>
        <w:t>following</w:t>
      </w:r>
      <w:r>
        <w:rPr>
          <w:spacing w:val="-9"/>
          <w:sz w:val="18"/>
        </w:rPr>
        <w:t> </w:t>
      </w:r>
      <w:r>
        <w:rPr>
          <w:sz w:val="18"/>
        </w:rPr>
        <w:t>the</w:t>
      </w:r>
      <w:r>
        <w:rPr>
          <w:spacing w:val="-9"/>
          <w:sz w:val="18"/>
        </w:rPr>
        <w:t> </w:t>
      </w:r>
      <w:r>
        <w:rPr>
          <w:sz w:val="18"/>
        </w:rPr>
        <w:t>filing</w:t>
      </w:r>
      <w:r>
        <w:rPr>
          <w:spacing w:val="-9"/>
          <w:sz w:val="18"/>
        </w:rPr>
        <w:t> </w:t>
      </w:r>
      <w:r>
        <w:rPr>
          <w:sz w:val="18"/>
        </w:rPr>
        <w:t>of</w:t>
      </w:r>
      <w:r>
        <w:rPr>
          <w:spacing w:val="-9"/>
          <w:sz w:val="18"/>
        </w:rPr>
        <w:t> </w:t>
      </w:r>
      <w:r>
        <w:rPr>
          <w:sz w:val="18"/>
        </w:rPr>
        <w:t>an</w:t>
      </w:r>
      <w:r>
        <w:rPr>
          <w:spacing w:val="-11"/>
          <w:sz w:val="18"/>
        </w:rPr>
        <w:t> </w:t>
      </w:r>
      <w:r>
        <w:rPr>
          <w:sz w:val="18"/>
        </w:rPr>
        <w:t>MNE</w:t>
      </w:r>
      <w:r>
        <w:rPr>
          <w:spacing w:val="-10"/>
          <w:sz w:val="18"/>
        </w:rPr>
        <w:t> </w:t>
      </w:r>
      <w:r>
        <w:rPr>
          <w:sz w:val="18"/>
        </w:rPr>
        <w:t>group’s</w:t>
      </w:r>
      <w:r>
        <w:rPr>
          <w:spacing w:val="-8"/>
          <w:sz w:val="18"/>
        </w:rPr>
        <w:t> </w:t>
      </w:r>
      <w:r>
        <w:rPr>
          <w:sz w:val="18"/>
        </w:rPr>
        <w:t>Amount</w:t>
      </w:r>
      <w:r>
        <w:rPr>
          <w:spacing w:val="-9"/>
          <w:sz w:val="18"/>
        </w:rPr>
        <w:t> </w:t>
      </w:r>
      <w:r>
        <w:rPr>
          <w:sz w:val="18"/>
        </w:rPr>
        <w:t>A</w:t>
      </w:r>
      <w:r>
        <w:rPr>
          <w:spacing w:val="-12"/>
          <w:sz w:val="18"/>
        </w:rPr>
        <w:t> </w:t>
      </w:r>
      <w:r>
        <w:rPr>
          <w:sz w:val="18"/>
        </w:rPr>
        <w:t>self-assessment</w:t>
      </w:r>
      <w:r>
        <w:rPr>
          <w:spacing w:val="-9"/>
          <w:sz w:val="18"/>
        </w:rPr>
        <w:t> </w:t>
      </w:r>
      <w:r>
        <w:rPr>
          <w:sz w:val="18"/>
        </w:rPr>
        <w:t>return,</w:t>
      </w:r>
      <w:r>
        <w:rPr>
          <w:spacing w:val="-9"/>
          <w:sz w:val="18"/>
        </w:rPr>
        <w:t> </w:t>
      </w:r>
      <w:r>
        <w:rPr>
          <w:sz w:val="18"/>
        </w:rPr>
        <w:t>whereas a complex case could take [two years] from the establishment of a review panel to a final decision by a determination panel. It is likely that that complex cases with longer timeframes should reduce over time as processes become more efficient</w:t>
      </w:r>
      <w:r>
        <w:rPr>
          <w:spacing w:val="-2"/>
          <w:sz w:val="18"/>
        </w:rPr>
        <w:t> </w:t>
      </w:r>
      <w:r>
        <w:rPr>
          <w:sz w:val="18"/>
        </w:rPr>
        <w:t>and</w:t>
      </w:r>
      <w:r>
        <w:rPr>
          <w:spacing w:val="-2"/>
          <w:sz w:val="18"/>
        </w:rPr>
        <w:t> </w:t>
      </w:r>
      <w:r>
        <w:rPr>
          <w:sz w:val="18"/>
        </w:rPr>
        <w:t>both</w:t>
      </w:r>
      <w:r>
        <w:rPr>
          <w:spacing w:val="-2"/>
          <w:sz w:val="18"/>
        </w:rPr>
        <w:t> </w:t>
      </w:r>
      <w:r>
        <w:rPr>
          <w:sz w:val="18"/>
        </w:rPr>
        <w:t>MNE</w:t>
      </w:r>
      <w:r>
        <w:rPr>
          <w:spacing w:val="-3"/>
          <w:sz w:val="18"/>
        </w:rPr>
        <w:t> </w:t>
      </w:r>
      <w:r>
        <w:rPr>
          <w:sz w:val="18"/>
        </w:rPr>
        <w:t>groups</w:t>
      </w:r>
      <w:r>
        <w:rPr>
          <w:spacing w:val="-4"/>
          <w:sz w:val="18"/>
        </w:rPr>
        <w:t> </w:t>
      </w:r>
      <w:r>
        <w:rPr>
          <w:sz w:val="18"/>
        </w:rPr>
        <w:t>and</w:t>
      </w:r>
      <w:r>
        <w:rPr>
          <w:spacing w:val="-2"/>
          <w:sz w:val="18"/>
        </w:rPr>
        <w:t> </w:t>
      </w:r>
      <w:r>
        <w:rPr>
          <w:sz w:val="18"/>
        </w:rPr>
        <w:t>tax</w:t>
      </w:r>
      <w:r>
        <w:rPr>
          <w:spacing w:val="-5"/>
          <w:sz w:val="18"/>
        </w:rPr>
        <w:t> </w:t>
      </w:r>
      <w:r>
        <w:rPr>
          <w:sz w:val="18"/>
        </w:rPr>
        <w:t>administrations</w:t>
      </w:r>
      <w:r>
        <w:rPr>
          <w:spacing w:val="-1"/>
          <w:sz w:val="18"/>
        </w:rPr>
        <w:t> </w:t>
      </w:r>
      <w:r>
        <w:rPr>
          <w:sz w:val="18"/>
        </w:rPr>
        <w:t>gain</w:t>
      </w:r>
      <w:r>
        <w:rPr>
          <w:spacing w:val="-4"/>
          <w:sz w:val="18"/>
        </w:rPr>
        <w:t> </w:t>
      </w:r>
      <w:r>
        <w:rPr>
          <w:sz w:val="18"/>
        </w:rPr>
        <w:t>experience</w:t>
      </w:r>
      <w:r>
        <w:rPr>
          <w:spacing w:val="-2"/>
          <w:sz w:val="18"/>
        </w:rPr>
        <w:t> </w:t>
      </w:r>
      <w:r>
        <w:rPr>
          <w:sz w:val="18"/>
        </w:rPr>
        <w:t>in</w:t>
      </w:r>
      <w:r>
        <w:rPr>
          <w:spacing w:val="-2"/>
          <w:sz w:val="18"/>
        </w:rPr>
        <w:t> </w:t>
      </w:r>
      <w:r>
        <w:rPr>
          <w:sz w:val="18"/>
        </w:rPr>
        <w:t>applying</w:t>
      </w:r>
      <w:r>
        <w:rPr>
          <w:spacing w:val="-4"/>
          <w:sz w:val="18"/>
        </w:rPr>
        <w:t> </w:t>
      </w:r>
      <w:r>
        <w:rPr>
          <w:sz w:val="18"/>
        </w:rPr>
        <w:t>rules</w:t>
      </w:r>
      <w:r>
        <w:rPr>
          <w:spacing w:val="-3"/>
          <w:sz w:val="18"/>
        </w:rPr>
        <w:t> </w:t>
      </w:r>
      <w:r>
        <w:rPr>
          <w:sz w:val="18"/>
        </w:rPr>
        <w:t>consistently</w:t>
      </w:r>
      <w:r>
        <w:rPr>
          <w:spacing w:val="-3"/>
          <w:sz w:val="18"/>
        </w:rPr>
        <w:t> </w:t>
      </w:r>
      <w:r>
        <w:rPr>
          <w:sz w:val="18"/>
        </w:rPr>
        <w:t>year</w:t>
      </w:r>
      <w:r>
        <w:rPr>
          <w:spacing w:val="-2"/>
          <w:sz w:val="18"/>
        </w:rPr>
        <w:t> </w:t>
      </w:r>
      <w:r>
        <w:rPr>
          <w:sz w:val="18"/>
        </w:rPr>
        <w:t>on</w:t>
      </w:r>
      <w:r>
        <w:rPr>
          <w:spacing w:val="-2"/>
          <w:sz w:val="18"/>
        </w:rPr>
        <w:t> </w:t>
      </w:r>
      <w:r>
        <w:rPr>
          <w:sz w:val="18"/>
        </w:rPr>
        <w:t>year.</w:t>
      </w:r>
    </w:p>
    <w:p>
      <w:pPr>
        <w:spacing w:after="0" w:line="278" w:lineRule="auto"/>
        <w:jc w:val="both"/>
        <w:rPr>
          <w:sz w:val="18"/>
        </w:rPr>
        <w:sectPr>
          <w:pgSz w:w="11910" w:h="16840"/>
          <w:pgMar w:header="1244" w:footer="1638" w:top="1500" w:bottom="1820" w:left="580" w:right="820"/>
        </w:sectPr>
      </w:pPr>
    </w:p>
    <w:p>
      <w:pPr>
        <w:pStyle w:val="BodyText"/>
        <w:spacing w:before="4"/>
        <w:rPr>
          <w:sz w:val="19"/>
        </w:rPr>
      </w:pPr>
    </w:p>
    <w:p>
      <w:pPr>
        <w:pStyle w:val="Heading6"/>
        <w:numPr>
          <w:ilvl w:val="2"/>
          <w:numId w:val="81"/>
        </w:numPr>
        <w:tabs>
          <w:tab w:pos="2015" w:val="left" w:leader="none"/>
        </w:tabs>
        <w:spacing w:line="266" w:lineRule="auto" w:before="94" w:after="0"/>
        <w:ind w:left="1402" w:right="924" w:firstLine="0"/>
        <w:jc w:val="left"/>
      </w:pPr>
      <w:bookmarkStart w:name="9.2.1. Development of a standardised Amo" w:id="417"/>
      <w:bookmarkEnd w:id="417"/>
      <w:r>
        <w:rPr>
          <w:b w:val="0"/>
          <w:i w:val="0"/>
        </w:rPr>
      </w:r>
      <w:bookmarkStart w:name="9.2.1. Development of a standardised Amo" w:id="418"/>
      <w:bookmarkEnd w:id="418"/>
      <w:r>
        <w:rPr>
          <w:i/>
        </w:rPr>
        <w:t>D</w:t>
      </w:r>
      <w:r>
        <w:rPr>
          <w:i/>
        </w:rPr>
        <w:t>evelopment of a standardised Amount A self-assessment return / </w:t>
      </w:r>
      <w:r>
        <w:rPr/>
        <w:t>documentation package and centralised filing, validation and exchange of this information</w:t>
      </w:r>
    </w:p>
    <w:p>
      <w:pPr>
        <w:pStyle w:val="BodyText"/>
        <w:spacing w:before="10"/>
        <w:rPr>
          <w:b/>
          <w:i/>
        </w:rPr>
      </w:pPr>
    </w:p>
    <w:p>
      <w:pPr>
        <w:pStyle w:val="Heading7"/>
        <w:rPr>
          <w:i/>
        </w:rPr>
      </w:pPr>
      <w:bookmarkStart w:name="Standardised Amount A self-assessment re" w:id="419"/>
      <w:bookmarkEnd w:id="419"/>
      <w:r>
        <w:rPr>
          <w:i w:val="0"/>
        </w:rPr>
      </w:r>
      <w:r>
        <w:rPr>
          <w:i/>
          <w:color w:val="616161"/>
        </w:rPr>
        <w:t>Standardised Amount A self-assessment return and documentation package</w:t>
      </w:r>
    </w:p>
    <w:p>
      <w:pPr>
        <w:pStyle w:val="ListParagraph"/>
        <w:numPr>
          <w:ilvl w:val="0"/>
          <w:numId w:val="13"/>
        </w:numPr>
        <w:tabs>
          <w:tab w:pos="1444" w:val="left" w:leader="none"/>
        </w:tabs>
        <w:spacing w:line="271" w:lineRule="auto" w:before="215" w:after="0"/>
        <w:ind w:left="723" w:right="484" w:firstLine="0"/>
        <w:jc w:val="both"/>
        <w:rPr>
          <w:sz w:val="20"/>
        </w:rPr>
      </w:pPr>
      <w:r>
        <w:rPr>
          <w:sz w:val="20"/>
        </w:rPr>
        <w:t>As</w:t>
      </w:r>
      <w:r>
        <w:rPr>
          <w:spacing w:val="-12"/>
          <w:sz w:val="20"/>
        </w:rPr>
        <w:t> </w:t>
      </w:r>
      <w:r>
        <w:rPr>
          <w:sz w:val="20"/>
        </w:rPr>
        <w:t>described</w:t>
      </w:r>
      <w:r>
        <w:rPr>
          <w:spacing w:val="-11"/>
          <w:sz w:val="20"/>
        </w:rPr>
        <w:t> </w:t>
      </w:r>
      <w:r>
        <w:rPr>
          <w:sz w:val="20"/>
        </w:rPr>
        <w:t>in</w:t>
      </w:r>
      <w:r>
        <w:rPr>
          <w:spacing w:val="-13"/>
          <w:sz w:val="20"/>
        </w:rPr>
        <w:t> </w:t>
      </w:r>
      <w:r>
        <w:rPr>
          <w:sz w:val="20"/>
        </w:rPr>
        <w:t>Chapter</w:t>
      </w:r>
      <w:r>
        <w:rPr>
          <w:spacing w:val="-7"/>
          <w:sz w:val="20"/>
        </w:rPr>
        <w:t> </w:t>
      </w:r>
      <w:hyperlink w:history="true" w:anchor="_bookmark72">
        <w:r>
          <w:rPr>
            <w:sz w:val="20"/>
          </w:rPr>
          <w:t>10.</w:t>
        </w:r>
        <w:r>
          <w:rPr>
            <w:spacing w:val="-10"/>
            <w:sz w:val="20"/>
          </w:rPr>
          <w:t> </w:t>
        </w:r>
        <w:r>
          <w:rPr>
            <w:sz w:val="20"/>
          </w:rPr>
          <w:t>,</w:t>
        </w:r>
        <w:r>
          <w:rPr>
            <w:spacing w:val="-13"/>
            <w:sz w:val="20"/>
          </w:rPr>
          <w:t> </w:t>
        </w:r>
      </w:hyperlink>
      <w:r>
        <w:rPr>
          <w:sz w:val="20"/>
        </w:rPr>
        <w:t>to</w:t>
      </w:r>
      <w:r>
        <w:rPr>
          <w:spacing w:val="-13"/>
          <w:sz w:val="20"/>
        </w:rPr>
        <w:t> </w:t>
      </w:r>
      <w:r>
        <w:rPr>
          <w:sz w:val="20"/>
        </w:rPr>
        <w:t>facilitate</w:t>
      </w:r>
      <w:r>
        <w:rPr>
          <w:spacing w:val="-12"/>
          <w:sz w:val="20"/>
        </w:rPr>
        <w:t> </w:t>
      </w:r>
      <w:r>
        <w:rPr>
          <w:sz w:val="20"/>
        </w:rPr>
        <w:t>a</w:t>
      </w:r>
      <w:r>
        <w:rPr>
          <w:spacing w:val="-11"/>
          <w:sz w:val="20"/>
        </w:rPr>
        <w:t> </w:t>
      </w:r>
      <w:r>
        <w:rPr>
          <w:sz w:val="20"/>
        </w:rPr>
        <w:t>consistent</w:t>
      </w:r>
      <w:r>
        <w:rPr>
          <w:spacing w:val="-8"/>
          <w:sz w:val="20"/>
        </w:rPr>
        <w:t> </w:t>
      </w:r>
      <w:r>
        <w:rPr>
          <w:sz w:val="20"/>
        </w:rPr>
        <w:t>implementation</w:t>
      </w:r>
      <w:r>
        <w:rPr>
          <w:spacing w:val="-9"/>
          <w:sz w:val="20"/>
        </w:rPr>
        <w:t> </w:t>
      </w:r>
      <w:r>
        <w:rPr>
          <w:sz w:val="20"/>
        </w:rPr>
        <w:t>of</w:t>
      </w:r>
      <w:r>
        <w:rPr>
          <w:spacing w:val="-11"/>
          <w:sz w:val="20"/>
        </w:rPr>
        <w:t> </w:t>
      </w:r>
      <w:r>
        <w:rPr>
          <w:sz w:val="20"/>
        </w:rPr>
        <w:t>Amount</w:t>
      </w:r>
      <w:r>
        <w:rPr>
          <w:spacing w:val="-11"/>
          <w:sz w:val="20"/>
        </w:rPr>
        <w:t> </w:t>
      </w:r>
      <w:r>
        <w:rPr>
          <w:sz w:val="20"/>
        </w:rPr>
        <w:t>A</w:t>
      </w:r>
      <w:r>
        <w:rPr>
          <w:spacing w:val="-12"/>
          <w:sz w:val="20"/>
        </w:rPr>
        <w:t> </w:t>
      </w:r>
      <w:r>
        <w:rPr>
          <w:sz w:val="20"/>
        </w:rPr>
        <w:t>by</w:t>
      </w:r>
      <w:r>
        <w:rPr>
          <w:spacing w:val="-14"/>
          <w:sz w:val="20"/>
        </w:rPr>
        <w:t> </w:t>
      </w:r>
      <w:r>
        <w:rPr>
          <w:sz w:val="20"/>
        </w:rPr>
        <w:t>MNE</w:t>
      </w:r>
      <w:r>
        <w:rPr>
          <w:spacing w:val="-11"/>
          <w:sz w:val="20"/>
        </w:rPr>
        <w:t> </w:t>
      </w:r>
      <w:r>
        <w:rPr>
          <w:sz w:val="20"/>
        </w:rPr>
        <w:t>groups and</w:t>
      </w:r>
      <w:r>
        <w:rPr>
          <w:spacing w:val="-13"/>
          <w:sz w:val="20"/>
        </w:rPr>
        <w:t> </w:t>
      </w:r>
      <w:r>
        <w:rPr>
          <w:sz w:val="20"/>
        </w:rPr>
        <w:t>tax</w:t>
      </w:r>
      <w:r>
        <w:rPr>
          <w:spacing w:val="-12"/>
          <w:sz w:val="20"/>
        </w:rPr>
        <w:t> </w:t>
      </w:r>
      <w:r>
        <w:rPr>
          <w:sz w:val="20"/>
        </w:rPr>
        <w:t>administrations,</w:t>
      </w:r>
      <w:r>
        <w:rPr>
          <w:spacing w:val="-12"/>
          <w:sz w:val="20"/>
        </w:rPr>
        <w:t> </w:t>
      </w:r>
      <w:r>
        <w:rPr>
          <w:sz w:val="20"/>
        </w:rPr>
        <w:t>a</w:t>
      </w:r>
      <w:r>
        <w:rPr>
          <w:spacing w:val="-13"/>
          <w:sz w:val="20"/>
        </w:rPr>
        <w:t> </w:t>
      </w:r>
      <w:r>
        <w:rPr>
          <w:sz w:val="20"/>
        </w:rPr>
        <w:t>standardised</w:t>
      </w:r>
      <w:r>
        <w:rPr>
          <w:spacing w:val="-13"/>
          <w:sz w:val="20"/>
        </w:rPr>
        <w:t> </w:t>
      </w:r>
      <w:r>
        <w:rPr>
          <w:sz w:val="20"/>
        </w:rPr>
        <w:t>Amount</w:t>
      </w:r>
      <w:r>
        <w:rPr>
          <w:spacing w:val="-12"/>
          <w:sz w:val="20"/>
        </w:rPr>
        <w:t> </w:t>
      </w:r>
      <w:r>
        <w:rPr>
          <w:sz w:val="20"/>
        </w:rPr>
        <w:t>A</w:t>
      </w:r>
      <w:r>
        <w:rPr>
          <w:spacing w:val="-13"/>
          <w:sz w:val="20"/>
        </w:rPr>
        <w:t> </w:t>
      </w:r>
      <w:r>
        <w:rPr>
          <w:sz w:val="20"/>
        </w:rPr>
        <w:t>self-assessment</w:t>
      </w:r>
      <w:r>
        <w:rPr>
          <w:spacing w:val="-12"/>
          <w:sz w:val="20"/>
        </w:rPr>
        <w:t> </w:t>
      </w:r>
      <w:r>
        <w:rPr>
          <w:sz w:val="20"/>
        </w:rPr>
        <w:t>return</w:t>
      </w:r>
      <w:r>
        <w:rPr>
          <w:spacing w:val="-13"/>
          <w:sz w:val="20"/>
        </w:rPr>
        <w:t> </w:t>
      </w:r>
      <w:r>
        <w:rPr>
          <w:sz w:val="20"/>
        </w:rPr>
        <w:t>and</w:t>
      </w:r>
      <w:r>
        <w:rPr>
          <w:spacing w:val="-13"/>
          <w:sz w:val="20"/>
        </w:rPr>
        <w:t> </w:t>
      </w:r>
      <w:r>
        <w:rPr>
          <w:sz w:val="20"/>
        </w:rPr>
        <w:t>documentation</w:t>
      </w:r>
      <w:r>
        <w:rPr>
          <w:spacing w:val="-10"/>
          <w:sz w:val="20"/>
        </w:rPr>
        <w:t> </w:t>
      </w:r>
      <w:r>
        <w:rPr>
          <w:sz w:val="20"/>
        </w:rPr>
        <w:t>package</w:t>
      </w:r>
      <w:r>
        <w:rPr>
          <w:spacing w:val="-12"/>
          <w:sz w:val="20"/>
        </w:rPr>
        <w:t> </w:t>
      </w:r>
      <w:r>
        <w:rPr>
          <w:sz w:val="20"/>
        </w:rPr>
        <w:t>will be developed, for use in all jurisdictions. These will be used by MNE groups irrespective of whether a particular MNE group makes a request for early tax</w:t>
      </w:r>
      <w:r>
        <w:rPr>
          <w:spacing w:val="-11"/>
          <w:sz w:val="20"/>
        </w:rPr>
        <w:t> </w:t>
      </w:r>
      <w:r>
        <w:rPr>
          <w:sz w:val="20"/>
        </w:rPr>
        <w:t>certainty.</w:t>
      </w:r>
    </w:p>
    <w:p>
      <w:pPr>
        <w:pStyle w:val="ListParagraph"/>
        <w:numPr>
          <w:ilvl w:val="1"/>
          <w:numId w:val="13"/>
        </w:numPr>
        <w:tabs>
          <w:tab w:pos="1785" w:val="left" w:leader="none"/>
        </w:tabs>
        <w:spacing w:line="271" w:lineRule="auto" w:before="101" w:after="0"/>
        <w:ind w:left="1784" w:right="485" w:hanging="360"/>
        <w:jc w:val="both"/>
        <w:rPr>
          <w:sz w:val="20"/>
        </w:rPr>
      </w:pPr>
      <w:r>
        <w:rPr>
          <w:sz w:val="20"/>
        </w:rPr>
        <w:t>The self-assessment return will set out each stage of the MNE group’s determination and allocation of Amount A between jurisdictions, including identification of relieving entities. An XML schema could be developed for use by MNE groups, which should facilitate electronic filing</w:t>
      </w:r>
      <w:r>
        <w:rPr>
          <w:spacing w:val="-12"/>
          <w:sz w:val="20"/>
        </w:rPr>
        <w:t> </w:t>
      </w:r>
      <w:r>
        <w:rPr>
          <w:sz w:val="20"/>
        </w:rPr>
        <w:t>and</w:t>
      </w:r>
      <w:r>
        <w:rPr>
          <w:spacing w:val="-14"/>
          <w:sz w:val="20"/>
        </w:rPr>
        <w:t> </w:t>
      </w:r>
      <w:r>
        <w:rPr>
          <w:sz w:val="20"/>
        </w:rPr>
        <w:t>exchange</w:t>
      </w:r>
      <w:r>
        <w:rPr>
          <w:spacing w:val="-13"/>
          <w:sz w:val="20"/>
        </w:rPr>
        <w:t> </w:t>
      </w:r>
      <w:r>
        <w:rPr>
          <w:sz w:val="20"/>
        </w:rPr>
        <w:t>of</w:t>
      </w:r>
      <w:r>
        <w:rPr>
          <w:spacing w:val="-12"/>
          <w:sz w:val="20"/>
        </w:rPr>
        <w:t> </w:t>
      </w:r>
      <w:r>
        <w:rPr>
          <w:sz w:val="20"/>
        </w:rPr>
        <w:t>returns.</w:t>
      </w:r>
      <w:r>
        <w:rPr>
          <w:spacing w:val="-17"/>
          <w:sz w:val="20"/>
        </w:rPr>
        <w:t> </w:t>
      </w:r>
      <w:r>
        <w:rPr>
          <w:sz w:val="20"/>
        </w:rPr>
        <w:t>Where</w:t>
      </w:r>
      <w:r>
        <w:rPr>
          <w:spacing w:val="-13"/>
          <w:sz w:val="20"/>
        </w:rPr>
        <w:t> </w:t>
      </w:r>
      <w:r>
        <w:rPr>
          <w:sz w:val="20"/>
        </w:rPr>
        <w:t>an</w:t>
      </w:r>
      <w:r>
        <w:rPr>
          <w:spacing w:val="-14"/>
          <w:sz w:val="20"/>
        </w:rPr>
        <w:t> </w:t>
      </w:r>
      <w:r>
        <w:rPr>
          <w:sz w:val="20"/>
        </w:rPr>
        <w:t>MNE</w:t>
      </w:r>
      <w:r>
        <w:rPr>
          <w:spacing w:val="-13"/>
          <w:sz w:val="20"/>
        </w:rPr>
        <w:t> </w:t>
      </w:r>
      <w:r>
        <w:rPr>
          <w:sz w:val="20"/>
        </w:rPr>
        <w:t>group</w:t>
      </w:r>
      <w:r>
        <w:rPr>
          <w:spacing w:val="-14"/>
          <w:sz w:val="20"/>
        </w:rPr>
        <w:t> </w:t>
      </w:r>
      <w:r>
        <w:rPr>
          <w:sz w:val="20"/>
        </w:rPr>
        <w:t>applies</w:t>
      </w:r>
      <w:r>
        <w:rPr>
          <w:spacing w:val="-12"/>
          <w:sz w:val="20"/>
        </w:rPr>
        <w:t> </w:t>
      </w:r>
      <w:r>
        <w:rPr>
          <w:sz w:val="20"/>
        </w:rPr>
        <w:t>Amount</w:t>
      </w:r>
      <w:r>
        <w:rPr>
          <w:spacing w:val="-14"/>
          <w:sz w:val="20"/>
        </w:rPr>
        <w:t> </w:t>
      </w:r>
      <w:r>
        <w:rPr>
          <w:sz w:val="20"/>
        </w:rPr>
        <w:t>A</w:t>
      </w:r>
      <w:r>
        <w:rPr>
          <w:spacing w:val="-13"/>
          <w:sz w:val="20"/>
        </w:rPr>
        <w:t> </w:t>
      </w:r>
      <w:r>
        <w:rPr>
          <w:sz w:val="20"/>
        </w:rPr>
        <w:t>separately</w:t>
      </w:r>
      <w:r>
        <w:rPr>
          <w:spacing w:val="-17"/>
          <w:sz w:val="20"/>
        </w:rPr>
        <w:t> </w:t>
      </w:r>
      <w:r>
        <w:rPr>
          <w:sz w:val="20"/>
        </w:rPr>
        <w:t>to</w:t>
      </w:r>
      <w:r>
        <w:rPr>
          <w:spacing w:val="-13"/>
          <w:sz w:val="20"/>
        </w:rPr>
        <w:t> </w:t>
      </w:r>
      <w:r>
        <w:rPr>
          <w:sz w:val="20"/>
        </w:rPr>
        <w:t>a</w:t>
      </w:r>
      <w:r>
        <w:rPr>
          <w:spacing w:val="-14"/>
          <w:sz w:val="20"/>
        </w:rPr>
        <w:t> </w:t>
      </w:r>
      <w:r>
        <w:rPr>
          <w:sz w:val="20"/>
        </w:rPr>
        <w:t>number of lines of business, separate self-assessment returns should be prepared and submitted together as a package in order to ensure common elements (e.g. business line segmentation and allocation of central costs) are</w:t>
      </w:r>
      <w:r>
        <w:rPr>
          <w:spacing w:val="-4"/>
          <w:sz w:val="20"/>
        </w:rPr>
        <w:t> </w:t>
      </w:r>
      <w:r>
        <w:rPr>
          <w:sz w:val="20"/>
        </w:rPr>
        <w:t>consistent.</w:t>
      </w:r>
    </w:p>
    <w:p>
      <w:pPr>
        <w:pStyle w:val="ListParagraph"/>
        <w:numPr>
          <w:ilvl w:val="1"/>
          <w:numId w:val="13"/>
        </w:numPr>
        <w:tabs>
          <w:tab w:pos="1785" w:val="left" w:leader="none"/>
        </w:tabs>
        <w:spacing w:line="271" w:lineRule="auto" w:before="44" w:after="0"/>
        <w:ind w:left="1784" w:right="478" w:hanging="360"/>
        <w:jc w:val="both"/>
        <w:rPr>
          <w:sz w:val="20"/>
        </w:rPr>
      </w:pPr>
      <w:r>
        <w:rPr>
          <w:sz w:val="20"/>
        </w:rPr>
        <w:t>The standard documentation package will be designed to contain sufficient background information and evidence to assess the MNE group’s self-assessment of Amount A based on the information provided, while further information may be requested by tax administrations if needed.</w:t>
      </w:r>
      <w:r>
        <w:rPr>
          <w:spacing w:val="-10"/>
          <w:sz w:val="20"/>
        </w:rPr>
        <w:t> </w:t>
      </w:r>
      <w:r>
        <w:rPr>
          <w:sz w:val="20"/>
        </w:rPr>
        <w:t>This</w:t>
      </w:r>
      <w:r>
        <w:rPr>
          <w:spacing w:val="-8"/>
          <w:sz w:val="20"/>
        </w:rPr>
        <w:t> </w:t>
      </w:r>
      <w:r>
        <w:rPr>
          <w:sz w:val="20"/>
        </w:rPr>
        <w:t>will</w:t>
      </w:r>
      <w:r>
        <w:rPr>
          <w:spacing w:val="-11"/>
          <w:sz w:val="20"/>
        </w:rPr>
        <w:t> </w:t>
      </w:r>
      <w:r>
        <w:rPr>
          <w:sz w:val="20"/>
        </w:rPr>
        <w:t>include</w:t>
      </w:r>
      <w:r>
        <w:rPr>
          <w:spacing w:val="-9"/>
          <w:sz w:val="20"/>
        </w:rPr>
        <w:t> </w:t>
      </w:r>
      <w:r>
        <w:rPr>
          <w:sz w:val="20"/>
        </w:rPr>
        <w:t>a</w:t>
      </w:r>
      <w:r>
        <w:rPr>
          <w:spacing w:val="-9"/>
          <w:sz w:val="20"/>
        </w:rPr>
        <w:t> </w:t>
      </w:r>
      <w:r>
        <w:rPr>
          <w:sz w:val="20"/>
        </w:rPr>
        <w:t>detailed</w:t>
      </w:r>
      <w:r>
        <w:rPr>
          <w:spacing w:val="-10"/>
          <w:sz w:val="20"/>
        </w:rPr>
        <w:t> </w:t>
      </w:r>
      <w:r>
        <w:rPr>
          <w:sz w:val="20"/>
        </w:rPr>
        <w:t>description</w:t>
      </w:r>
      <w:r>
        <w:rPr>
          <w:spacing w:val="-10"/>
          <w:sz w:val="20"/>
        </w:rPr>
        <w:t> </w:t>
      </w:r>
      <w:r>
        <w:rPr>
          <w:sz w:val="20"/>
        </w:rPr>
        <w:t>of</w:t>
      </w:r>
      <w:r>
        <w:rPr>
          <w:spacing w:val="-10"/>
          <w:sz w:val="20"/>
        </w:rPr>
        <w:t> </w:t>
      </w:r>
      <w:r>
        <w:rPr>
          <w:sz w:val="20"/>
        </w:rPr>
        <w:t>the</w:t>
      </w:r>
      <w:r>
        <w:rPr>
          <w:spacing w:val="-9"/>
          <w:sz w:val="20"/>
        </w:rPr>
        <w:t> </w:t>
      </w:r>
      <w:r>
        <w:rPr>
          <w:sz w:val="20"/>
        </w:rPr>
        <w:t>methodology</w:t>
      </w:r>
      <w:r>
        <w:rPr>
          <w:spacing w:val="-12"/>
          <w:sz w:val="20"/>
        </w:rPr>
        <w:t> </w:t>
      </w:r>
      <w:r>
        <w:rPr>
          <w:sz w:val="20"/>
        </w:rPr>
        <w:t>and</w:t>
      </w:r>
      <w:r>
        <w:rPr>
          <w:spacing w:val="-12"/>
          <w:sz w:val="20"/>
        </w:rPr>
        <w:t> </w:t>
      </w:r>
      <w:r>
        <w:rPr>
          <w:sz w:val="20"/>
        </w:rPr>
        <w:t>controls</w:t>
      </w:r>
      <w:r>
        <w:rPr>
          <w:spacing w:val="-9"/>
          <w:sz w:val="20"/>
        </w:rPr>
        <w:t> </w:t>
      </w:r>
      <w:r>
        <w:rPr>
          <w:sz w:val="20"/>
        </w:rPr>
        <w:t>applied</w:t>
      </w:r>
      <w:r>
        <w:rPr>
          <w:spacing w:val="-10"/>
          <w:sz w:val="20"/>
        </w:rPr>
        <w:t> </w:t>
      </w:r>
      <w:r>
        <w:rPr>
          <w:sz w:val="20"/>
        </w:rPr>
        <w:t>by</w:t>
      </w:r>
      <w:r>
        <w:rPr>
          <w:spacing w:val="-12"/>
          <w:sz w:val="20"/>
        </w:rPr>
        <w:t> </w:t>
      </w:r>
      <w:r>
        <w:rPr>
          <w:sz w:val="20"/>
        </w:rPr>
        <w:t>the MNE</w:t>
      </w:r>
      <w:r>
        <w:rPr>
          <w:spacing w:val="-5"/>
          <w:sz w:val="20"/>
        </w:rPr>
        <w:t> </w:t>
      </w:r>
      <w:r>
        <w:rPr>
          <w:sz w:val="20"/>
        </w:rPr>
        <w:t>group</w:t>
      </w:r>
      <w:r>
        <w:rPr>
          <w:spacing w:val="-5"/>
          <w:sz w:val="20"/>
        </w:rPr>
        <w:t> </w:t>
      </w:r>
      <w:r>
        <w:rPr>
          <w:sz w:val="20"/>
        </w:rPr>
        <w:t>to</w:t>
      </w:r>
      <w:r>
        <w:rPr>
          <w:spacing w:val="-7"/>
          <w:sz w:val="20"/>
        </w:rPr>
        <w:t> </w:t>
      </w:r>
      <w:r>
        <w:rPr>
          <w:sz w:val="20"/>
        </w:rPr>
        <w:t>ensure</w:t>
      </w:r>
      <w:r>
        <w:rPr>
          <w:spacing w:val="-6"/>
          <w:sz w:val="20"/>
        </w:rPr>
        <w:t> </w:t>
      </w:r>
      <w:r>
        <w:rPr>
          <w:sz w:val="20"/>
        </w:rPr>
        <w:t>the</w:t>
      </w:r>
      <w:r>
        <w:rPr>
          <w:spacing w:val="-6"/>
          <w:sz w:val="20"/>
        </w:rPr>
        <w:t> </w:t>
      </w:r>
      <w:r>
        <w:rPr>
          <w:sz w:val="20"/>
        </w:rPr>
        <w:t>integrity</w:t>
      </w:r>
      <w:r>
        <w:rPr>
          <w:spacing w:val="-10"/>
          <w:sz w:val="20"/>
        </w:rPr>
        <w:t> </w:t>
      </w:r>
      <w:r>
        <w:rPr>
          <w:sz w:val="20"/>
        </w:rPr>
        <w:t>of</w:t>
      </w:r>
      <w:r>
        <w:rPr>
          <w:spacing w:val="-5"/>
          <w:sz w:val="20"/>
        </w:rPr>
        <w:t> </w:t>
      </w:r>
      <w:r>
        <w:rPr>
          <w:sz w:val="20"/>
        </w:rPr>
        <w:t>its</w:t>
      </w:r>
      <w:r>
        <w:rPr>
          <w:spacing w:val="-5"/>
          <w:sz w:val="20"/>
        </w:rPr>
        <w:t> </w:t>
      </w:r>
      <w:r>
        <w:rPr>
          <w:sz w:val="20"/>
        </w:rPr>
        <w:t>data</w:t>
      </w:r>
      <w:r>
        <w:rPr>
          <w:spacing w:val="-4"/>
          <w:sz w:val="20"/>
        </w:rPr>
        <w:t> </w:t>
      </w:r>
      <w:r>
        <w:rPr>
          <w:sz w:val="20"/>
        </w:rPr>
        <w:t>and</w:t>
      </w:r>
      <w:r>
        <w:rPr>
          <w:spacing w:val="-4"/>
          <w:sz w:val="20"/>
        </w:rPr>
        <w:t> </w:t>
      </w:r>
      <w:r>
        <w:rPr>
          <w:sz w:val="20"/>
        </w:rPr>
        <w:t>processes</w:t>
      </w:r>
      <w:r>
        <w:rPr>
          <w:spacing w:val="-6"/>
          <w:sz w:val="20"/>
        </w:rPr>
        <w:t> </w:t>
      </w:r>
      <w:r>
        <w:rPr>
          <w:sz w:val="20"/>
        </w:rPr>
        <w:t>for</w:t>
      </w:r>
      <w:r>
        <w:rPr>
          <w:spacing w:val="-6"/>
          <w:sz w:val="20"/>
        </w:rPr>
        <w:t> </w:t>
      </w:r>
      <w:r>
        <w:rPr>
          <w:sz w:val="20"/>
        </w:rPr>
        <w:t>applying</w:t>
      </w:r>
      <w:r>
        <w:rPr>
          <w:spacing w:val="-5"/>
          <w:sz w:val="20"/>
        </w:rPr>
        <w:t> </w:t>
      </w:r>
      <w:r>
        <w:rPr>
          <w:sz w:val="20"/>
        </w:rPr>
        <w:t>Amount</w:t>
      </w:r>
      <w:r>
        <w:rPr>
          <w:spacing w:val="-6"/>
          <w:sz w:val="20"/>
        </w:rPr>
        <w:t> </w:t>
      </w:r>
      <w:r>
        <w:rPr>
          <w:spacing w:val="4"/>
          <w:sz w:val="20"/>
        </w:rPr>
        <w:t>A,</w:t>
      </w:r>
      <w:r>
        <w:rPr>
          <w:spacing w:val="-6"/>
          <w:sz w:val="20"/>
        </w:rPr>
        <w:t> </w:t>
      </w:r>
      <w:r>
        <w:rPr>
          <w:sz w:val="20"/>
        </w:rPr>
        <w:t>as</w:t>
      </w:r>
      <w:r>
        <w:rPr>
          <w:spacing w:val="-3"/>
          <w:sz w:val="20"/>
        </w:rPr>
        <w:t> </w:t>
      </w:r>
      <w:r>
        <w:rPr>
          <w:sz w:val="20"/>
        </w:rPr>
        <w:t>well</w:t>
      </w:r>
      <w:r>
        <w:rPr>
          <w:spacing w:val="-7"/>
          <w:sz w:val="20"/>
        </w:rPr>
        <w:t> </w:t>
      </w:r>
      <w:r>
        <w:rPr>
          <w:sz w:val="20"/>
        </w:rPr>
        <w:t>as a list of jurisdictions where the MNE group has a constituent entity or revenues that meet the applicable market jurisdiction threshold in the relevant fiscal year or the prior fiscal year. Further work will consider ways to ensure that all market jurisdictions are</w:t>
      </w:r>
      <w:r>
        <w:rPr>
          <w:spacing w:val="-26"/>
          <w:sz w:val="20"/>
        </w:rPr>
        <w:t> </w:t>
      </w:r>
      <w:r>
        <w:rPr>
          <w:sz w:val="20"/>
        </w:rPr>
        <w:t>identified.</w:t>
      </w:r>
    </w:p>
    <w:p>
      <w:pPr>
        <w:pStyle w:val="ListParagraph"/>
        <w:numPr>
          <w:ilvl w:val="0"/>
          <w:numId w:val="13"/>
        </w:numPr>
        <w:tabs>
          <w:tab w:pos="1444" w:val="left" w:leader="none"/>
        </w:tabs>
        <w:spacing w:line="271" w:lineRule="auto" w:before="125" w:after="0"/>
        <w:ind w:left="723" w:right="488" w:firstLine="0"/>
        <w:jc w:val="both"/>
        <w:rPr>
          <w:sz w:val="20"/>
        </w:rPr>
      </w:pPr>
      <w:r>
        <w:rPr>
          <w:sz w:val="20"/>
        </w:rPr>
        <w:t>The format and content of these items will be developed at a later stage, but the use of a standardised self-assessment return and documentation package should have a number of benefits for MNE groups and tax administrations, including the</w:t>
      </w:r>
      <w:r>
        <w:rPr>
          <w:spacing w:val="-6"/>
          <w:sz w:val="20"/>
        </w:rPr>
        <w:t> </w:t>
      </w:r>
      <w:r>
        <w:rPr>
          <w:sz w:val="20"/>
        </w:rPr>
        <w:t>following.</w:t>
      </w:r>
    </w:p>
    <w:p>
      <w:pPr>
        <w:pStyle w:val="ListParagraph"/>
        <w:numPr>
          <w:ilvl w:val="1"/>
          <w:numId w:val="13"/>
        </w:numPr>
        <w:tabs>
          <w:tab w:pos="1785" w:val="left" w:leader="none"/>
        </w:tabs>
        <w:spacing w:line="266" w:lineRule="auto" w:before="100" w:after="0"/>
        <w:ind w:left="1784" w:right="480" w:hanging="360"/>
        <w:jc w:val="both"/>
        <w:rPr>
          <w:sz w:val="20"/>
        </w:rPr>
      </w:pPr>
      <w:r>
        <w:rPr>
          <w:sz w:val="20"/>
        </w:rPr>
        <w:t>It would reduce the burden on MNE groups, which would be able to provide the same documentation in each jurisdiction where they have</w:t>
      </w:r>
      <w:r>
        <w:rPr>
          <w:spacing w:val="-13"/>
          <w:sz w:val="20"/>
        </w:rPr>
        <w:t> </w:t>
      </w:r>
      <w:r>
        <w:rPr>
          <w:sz w:val="20"/>
        </w:rPr>
        <w:t>activity.</w:t>
      </w:r>
    </w:p>
    <w:p>
      <w:pPr>
        <w:pStyle w:val="ListParagraph"/>
        <w:numPr>
          <w:ilvl w:val="1"/>
          <w:numId w:val="13"/>
        </w:numPr>
        <w:tabs>
          <w:tab w:pos="1785" w:val="left" w:leader="none"/>
        </w:tabs>
        <w:spacing w:line="268" w:lineRule="auto" w:before="51" w:after="0"/>
        <w:ind w:left="1784" w:right="478" w:hanging="360"/>
        <w:jc w:val="both"/>
        <w:rPr>
          <w:sz w:val="20"/>
        </w:rPr>
      </w:pPr>
      <w:r>
        <w:rPr>
          <w:sz w:val="20"/>
        </w:rPr>
        <w:t>Consistency in the application of Amount A by MNE groups would be improved, as the return would require the same specific information to be provided and calculations to be performed by each MNE</w:t>
      </w:r>
      <w:r>
        <w:rPr>
          <w:spacing w:val="-3"/>
          <w:sz w:val="20"/>
        </w:rPr>
        <w:t> </w:t>
      </w:r>
      <w:r>
        <w:rPr>
          <w:sz w:val="20"/>
        </w:rPr>
        <w:t>group.</w:t>
      </w:r>
    </w:p>
    <w:p>
      <w:pPr>
        <w:pStyle w:val="ListParagraph"/>
        <w:numPr>
          <w:ilvl w:val="1"/>
          <w:numId w:val="13"/>
        </w:numPr>
        <w:tabs>
          <w:tab w:pos="1785" w:val="left" w:leader="none"/>
        </w:tabs>
        <w:spacing w:line="268" w:lineRule="auto" w:before="51" w:after="0"/>
        <w:ind w:left="1784" w:right="487" w:hanging="360"/>
        <w:jc w:val="both"/>
        <w:rPr>
          <w:sz w:val="20"/>
        </w:rPr>
      </w:pPr>
      <w:r>
        <w:rPr>
          <w:sz w:val="20"/>
        </w:rPr>
        <w:t>It would aid tax administrations in reviewing an MNE group’s determination and allocation of Amount A, as they would gain experience in working with standardised templates, which may also</w:t>
      </w:r>
      <w:r>
        <w:rPr>
          <w:spacing w:val="-4"/>
          <w:sz w:val="20"/>
        </w:rPr>
        <w:t> </w:t>
      </w:r>
      <w:r>
        <w:rPr>
          <w:sz w:val="20"/>
        </w:rPr>
        <w:t>make</w:t>
      </w:r>
      <w:r>
        <w:rPr>
          <w:spacing w:val="-4"/>
          <w:sz w:val="20"/>
        </w:rPr>
        <w:t> </w:t>
      </w:r>
      <w:r>
        <w:rPr>
          <w:sz w:val="20"/>
        </w:rPr>
        <w:t>it</w:t>
      </w:r>
      <w:r>
        <w:rPr>
          <w:spacing w:val="-3"/>
          <w:sz w:val="20"/>
        </w:rPr>
        <w:t> </w:t>
      </w:r>
      <w:r>
        <w:rPr>
          <w:sz w:val="20"/>
        </w:rPr>
        <w:t>easier</w:t>
      </w:r>
      <w:r>
        <w:rPr>
          <w:spacing w:val="-4"/>
          <w:sz w:val="20"/>
        </w:rPr>
        <w:t> </w:t>
      </w:r>
      <w:r>
        <w:rPr>
          <w:sz w:val="20"/>
        </w:rPr>
        <w:t>to</w:t>
      </w:r>
      <w:r>
        <w:rPr>
          <w:spacing w:val="-2"/>
          <w:sz w:val="20"/>
        </w:rPr>
        <w:t> </w:t>
      </w:r>
      <w:r>
        <w:rPr>
          <w:sz w:val="20"/>
        </w:rPr>
        <w:t>identify</w:t>
      </w:r>
      <w:r>
        <w:rPr>
          <w:spacing w:val="-9"/>
          <w:sz w:val="20"/>
        </w:rPr>
        <w:t> </w:t>
      </w:r>
      <w:r>
        <w:rPr>
          <w:sz w:val="20"/>
        </w:rPr>
        <w:t>comparable</w:t>
      </w:r>
      <w:r>
        <w:rPr>
          <w:spacing w:val="-2"/>
          <w:sz w:val="20"/>
        </w:rPr>
        <w:t> </w:t>
      </w:r>
      <w:r>
        <w:rPr>
          <w:sz w:val="20"/>
        </w:rPr>
        <w:t>MNE</w:t>
      </w:r>
      <w:r>
        <w:rPr>
          <w:spacing w:val="-3"/>
          <w:sz w:val="20"/>
        </w:rPr>
        <w:t> </w:t>
      </w:r>
      <w:r>
        <w:rPr>
          <w:sz w:val="20"/>
        </w:rPr>
        <w:t>groups that</w:t>
      </w:r>
      <w:r>
        <w:rPr>
          <w:spacing w:val="-2"/>
          <w:sz w:val="20"/>
        </w:rPr>
        <w:t> </w:t>
      </w:r>
      <w:r>
        <w:rPr>
          <w:sz w:val="20"/>
        </w:rPr>
        <w:t>are</w:t>
      </w:r>
      <w:r>
        <w:rPr>
          <w:spacing w:val="-4"/>
          <w:sz w:val="20"/>
        </w:rPr>
        <w:t> </w:t>
      </w:r>
      <w:r>
        <w:rPr>
          <w:sz w:val="20"/>
        </w:rPr>
        <w:t>taking</w:t>
      </w:r>
      <w:r>
        <w:rPr>
          <w:spacing w:val="-2"/>
          <w:sz w:val="20"/>
        </w:rPr>
        <w:t> </w:t>
      </w:r>
      <w:r>
        <w:rPr>
          <w:sz w:val="20"/>
        </w:rPr>
        <w:t>different</w:t>
      </w:r>
      <w:r>
        <w:rPr>
          <w:spacing w:val="-4"/>
          <w:sz w:val="20"/>
        </w:rPr>
        <w:t> </w:t>
      </w:r>
      <w:r>
        <w:rPr>
          <w:sz w:val="20"/>
        </w:rPr>
        <w:t>approaches.</w:t>
      </w:r>
    </w:p>
    <w:p>
      <w:pPr>
        <w:pStyle w:val="ListParagraph"/>
        <w:numPr>
          <w:ilvl w:val="1"/>
          <w:numId w:val="13"/>
        </w:numPr>
        <w:tabs>
          <w:tab w:pos="1785" w:val="left" w:leader="none"/>
        </w:tabs>
        <w:spacing w:line="268" w:lineRule="auto" w:before="50" w:after="0"/>
        <w:ind w:left="1784" w:right="491" w:hanging="360"/>
        <w:jc w:val="both"/>
        <w:rPr>
          <w:sz w:val="20"/>
        </w:rPr>
      </w:pPr>
      <w:r>
        <w:rPr>
          <w:sz w:val="20"/>
        </w:rPr>
        <w:t>It would facilitate exchange of information and multilateral approaches by tax administrations, because competent authorities would be working with exactly the same</w:t>
      </w:r>
      <w:r>
        <w:rPr>
          <w:spacing w:val="-14"/>
          <w:sz w:val="20"/>
        </w:rPr>
        <w:t> </w:t>
      </w:r>
      <w:r>
        <w:rPr>
          <w:sz w:val="20"/>
        </w:rPr>
        <w:t>information.</w:t>
      </w:r>
    </w:p>
    <w:p>
      <w:pPr>
        <w:pStyle w:val="ListParagraph"/>
        <w:numPr>
          <w:ilvl w:val="1"/>
          <w:numId w:val="13"/>
        </w:numPr>
        <w:tabs>
          <w:tab w:pos="1785" w:val="left" w:leader="none"/>
        </w:tabs>
        <w:spacing w:line="266" w:lineRule="auto" w:before="50" w:after="0"/>
        <w:ind w:left="1784" w:right="481" w:hanging="360"/>
        <w:jc w:val="both"/>
        <w:rPr>
          <w:sz w:val="20"/>
        </w:rPr>
      </w:pPr>
      <w:r>
        <w:rPr>
          <w:sz w:val="20"/>
        </w:rPr>
        <w:t>Guidance could be developed to support MNE groups and tax administrations in completing and using standardised templates.</w:t>
      </w:r>
    </w:p>
    <w:p>
      <w:pPr>
        <w:pStyle w:val="BodyText"/>
        <w:spacing w:before="1"/>
        <w:rPr>
          <w:sz w:val="21"/>
        </w:rPr>
      </w:pPr>
    </w:p>
    <w:p>
      <w:pPr>
        <w:pStyle w:val="Heading7"/>
        <w:spacing w:line="266" w:lineRule="auto"/>
        <w:ind w:right="784"/>
      </w:pPr>
      <w:bookmarkStart w:name="Filing of the self-assessment return and" w:id="420"/>
      <w:bookmarkEnd w:id="420"/>
      <w:r>
        <w:rPr>
          <w:i w:val="0"/>
        </w:rPr>
      </w:r>
      <w:r>
        <w:rPr>
          <w:i/>
          <w:color w:val="616161"/>
        </w:rPr>
        <w:t>Filing of the self-assessment return and documentation package by the Amount A co- </w:t>
      </w:r>
      <w:r>
        <w:rPr>
          <w:color w:val="616161"/>
        </w:rPr>
        <w:t>ordinating entity with its lead tax administration</w:t>
      </w:r>
    </w:p>
    <w:p>
      <w:pPr>
        <w:pStyle w:val="ListParagraph"/>
        <w:numPr>
          <w:ilvl w:val="0"/>
          <w:numId w:val="13"/>
        </w:numPr>
        <w:tabs>
          <w:tab w:pos="1444" w:val="left" w:leader="none"/>
        </w:tabs>
        <w:spacing w:line="271" w:lineRule="auto" w:before="189" w:after="0"/>
        <w:ind w:left="723" w:right="482" w:firstLine="0"/>
        <w:jc w:val="both"/>
        <w:rPr>
          <w:sz w:val="20"/>
        </w:rPr>
      </w:pPr>
      <w:r>
        <w:rPr>
          <w:sz w:val="20"/>
        </w:rPr>
        <w:t>To minimise the burden on MNE groups and ensure the same information is available to all relevant tax administrations, an Amount A co-ordinating entity within an MNE group will file a single self- assessment return and documentation package on behalf of the entire MNE group, with its lead tax administration, by an agreed filing deadline. In setting this deadline, different options will be explored</w:t>
      </w:r>
      <w:r>
        <w:rPr>
          <w:spacing w:val="32"/>
          <w:sz w:val="20"/>
        </w:rPr>
        <w:t> </w:t>
      </w:r>
      <w:r>
        <w:rPr>
          <w:sz w:val="20"/>
        </w:rPr>
        <w:t>but</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9"/>
        <w:jc w:val="both"/>
      </w:pPr>
      <w:r>
        <w:rPr/>
        <w:t>an approach could be such that jurisdictions are free to set the filing deadline up to 12 months after the end of the relevant fiscal year. This allows jurisdictions to align the filing date with their normal tax return filing deadline if they wish to do so.</w:t>
      </w:r>
    </w:p>
    <w:p>
      <w:pPr>
        <w:pStyle w:val="ListParagraph"/>
        <w:numPr>
          <w:ilvl w:val="0"/>
          <w:numId w:val="13"/>
        </w:numPr>
        <w:tabs>
          <w:tab w:pos="1444" w:val="left" w:leader="none"/>
        </w:tabs>
        <w:spacing w:line="271" w:lineRule="auto" w:before="120" w:after="0"/>
        <w:ind w:left="723" w:right="480" w:firstLine="0"/>
        <w:jc w:val="both"/>
        <w:rPr>
          <w:sz w:val="20"/>
        </w:rPr>
      </w:pPr>
      <w:r>
        <w:rPr>
          <w:sz w:val="20"/>
        </w:rPr>
        <w:t>In the majority of cases, the lead tax administration will be in the jurisdiction where the UPE of an MNE</w:t>
      </w:r>
      <w:r>
        <w:rPr>
          <w:spacing w:val="-5"/>
          <w:sz w:val="20"/>
        </w:rPr>
        <w:t> </w:t>
      </w:r>
      <w:r>
        <w:rPr>
          <w:sz w:val="20"/>
        </w:rPr>
        <w:t>group</w:t>
      </w:r>
      <w:r>
        <w:rPr>
          <w:spacing w:val="-4"/>
          <w:sz w:val="20"/>
        </w:rPr>
        <w:t> </w:t>
      </w:r>
      <w:r>
        <w:rPr>
          <w:sz w:val="20"/>
        </w:rPr>
        <w:t>is</w:t>
      </w:r>
      <w:r>
        <w:rPr>
          <w:spacing w:val="-4"/>
          <w:sz w:val="20"/>
        </w:rPr>
        <w:t> </w:t>
      </w:r>
      <w:r>
        <w:rPr>
          <w:sz w:val="20"/>
        </w:rPr>
        <w:t>resident.</w:t>
      </w:r>
      <w:r>
        <w:rPr>
          <w:spacing w:val="-4"/>
          <w:sz w:val="20"/>
        </w:rPr>
        <w:t> </w:t>
      </w:r>
      <w:r>
        <w:rPr>
          <w:sz w:val="20"/>
        </w:rPr>
        <w:t>However,</w:t>
      </w:r>
      <w:r>
        <w:rPr>
          <w:spacing w:val="-6"/>
          <w:sz w:val="20"/>
        </w:rPr>
        <w:t> </w:t>
      </w:r>
      <w:r>
        <w:rPr>
          <w:sz w:val="20"/>
        </w:rPr>
        <w:t>there</w:t>
      </w:r>
      <w:r>
        <w:rPr>
          <w:spacing w:val="-5"/>
          <w:sz w:val="20"/>
        </w:rPr>
        <w:t> </w:t>
      </w:r>
      <w:r>
        <w:rPr>
          <w:sz w:val="20"/>
        </w:rPr>
        <w:t>may</w:t>
      </w:r>
      <w:r>
        <w:rPr>
          <w:spacing w:val="-10"/>
          <w:sz w:val="20"/>
        </w:rPr>
        <w:t> </w:t>
      </w:r>
      <w:r>
        <w:rPr>
          <w:sz w:val="20"/>
        </w:rPr>
        <w:t>be</w:t>
      </w:r>
      <w:r>
        <w:rPr>
          <w:spacing w:val="-6"/>
          <w:sz w:val="20"/>
        </w:rPr>
        <w:t> </w:t>
      </w:r>
      <w:r>
        <w:rPr>
          <w:sz w:val="20"/>
        </w:rPr>
        <w:t>cases</w:t>
      </w:r>
      <w:r>
        <w:rPr>
          <w:spacing w:val="-3"/>
          <w:sz w:val="20"/>
        </w:rPr>
        <w:t> </w:t>
      </w:r>
      <w:r>
        <w:rPr>
          <w:sz w:val="20"/>
        </w:rPr>
        <w:t>where</w:t>
      </w:r>
      <w:r>
        <w:rPr>
          <w:spacing w:val="-4"/>
          <w:sz w:val="20"/>
        </w:rPr>
        <w:t> </w:t>
      </w:r>
      <w:r>
        <w:rPr>
          <w:sz w:val="20"/>
        </w:rPr>
        <w:t>the</w:t>
      </w:r>
      <w:r>
        <w:rPr>
          <w:spacing w:val="-4"/>
          <w:sz w:val="20"/>
        </w:rPr>
        <w:t> </w:t>
      </w:r>
      <w:r>
        <w:rPr>
          <w:sz w:val="20"/>
        </w:rPr>
        <w:t>tax</w:t>
      </w:r>
      <w:r>
        <w:rPr>
          <w:spacing w:val="-3"/>
          <w:sz w:val="20"/>
        </w:rPr>
        <w:t> </w:t>
      </w:r>
      <w:r>
        <w:rPr>
          <w:sz w:val="20"/>
        </w:rPr>
        <w:t>administration</w:t>
      </w:r>
      <w:r>
        <w:rPr>
          <w:spacing w:val="-6"/>
          <w:sz w:val="20"/>
        </w:rPr>
        <w:t> </w:t>
      </w:r>
      <w:r>
        <w:rPr>
          <w:sz w:val="20"/>
        </w:rPr>
        <w:t>in</w:t>
      </w:r>
      <w:r>
        <w:rPr>
          <w:spacing w:val="-7"/>
          <w:sz w:val="20"/>
        </w:rPr>
        <w:t> </w:t>
      </w:r>
      <w:r>
        <w:rPr>
          <w:sz w:val="20"/>
        </w:rPr>
        <w:t>that</w:t>
      </w:r>
      <w:r>
        <w:rPr>
          <w:spacing w:val="-5"/>
          <w:sz w:val="20"/>
        </w:rPr>
        <w:t> </w:t>
      </w:r>
      <w:r>
        <w:rPr>
          <w:sz w:val="20"/>
        </w:rPr>
        <w:t>jurisdiction</w:t>
      </w:r>
      <w:r>
        <w:rPr>
          <w:spacing w:val="-5"/>
          <w:sz w:val="20"/>
        </w:rPr>
        <w:t> </w:t>
      </w:r>
      <w:r>
        <w:rPr>
          <w:sz w:val="20"/>
        </w:rPr>
        <w:t>may be</w:t>
      </w:r>
      <w:r>
        <w:rPr>
          <w:spacing w:val="-7"/>
          <w:sz w:val="20"/>
        </w:rPr>
        <w:t> </w:t>
      </w:r>
      <w:r>
        <w:rPr>
          <w:sz w:val="20"/>
        </w:rPr>
        <w:t>unable</w:t>
      </w:r>
      <w:r>
        <w:rPr>
          <w:spacing w:val="-7"/>
          <w:sz w:val="20"/>
        </w:rPr>
        <w:t> </w:t>
      </w:r>
      <w:r>
        <w:rPr>
          <w:sz w:val="20"/>
        </w:rPr>
        <w:t>to</w:t>
      </w:r>
      <w:r>
        <w:rPr>
          <w:spacing w:val="-4"/>
          <w:sz w:val="20"/>
        </w:rPr>
        <w:t> </w:t>
      </w:r>
      <w:r>
        <w:rPr>
          <w:sz w:val="20"/>
        </w:rPr>
        <w:t>act</w:t>
      </w:r>
      <w:r>
        <w:rPr>
          <w:spacing w:val="-6"/>
          <w:sz w:val="20"/>
        </w:rPr>
        <w:t> </w:t>
      </w:r>
      <w:r>
        <w:rPr>
          <w:sz w:val="20"/>
        </w:rPr>
        <w:t>(e.g.</w:t>
      </w:r>
      <w:r>
        <w:rPr>
          <w:spacing w:val="-5"/>
          <w:sz w:val="20"/>
        </w:rPr>
        <w:t> </w:t>
      </w:r>
      <w:r>
        <w:rPr>
          <w:sz w:val="20"/>
        </w:rPr>
        <w:t>because</w:t>
      </w:r>
      <w:r>
        <w:rPr>
          <w:spacing w:val="-7"/>
          <w:sz w:val="20"/>
        </w:rPr>
        <w:t> </w:t>
      </w:r>
      <w:r>
        <w:rPr>
          <w:sz w:val="20"/>
        </w:rPr>
        <w:t>it</w:t>
      </w:r>
      <w:r>
        <w:rPr>
          <w:spacing w:val="-6"/>
          <w:sz w:val="20"/>
        </w:rPr>
        <w:t> </w:t>
      </w:r>
      <w:r>
        <w:rPr>
          <w:sz w:val="20"/>
        </w:rPr>
        <w:t>is</w:t>
      </w:r>
      <w:r>
        <w:rPr>
          <w:spacing w:val="-3"/>
          <w:sz w:val="20"/>
        </w:rPr>
        <w:t> </w:t>
      </w:r>
      <w:r>
        <w:rPr>
          <w:sz w:val="20"/>
        </w:rPr>
        <w:t>in</w:t>
      </w:r>
      <w:r>
        <w:rPr>
          <w:spacing w:val="-6"/>
          <w:sz w:val="20"/>
        </w:rPr>
        <w:t> </w:t>
      </w:r>
      <w:r>
        <w:rPr>
          <w:sz w:val="20"/>
        </w:rPr>
        <w:t>a</w:t>
      </w:r>
      <w:r>
        <w:rPr>
          <w:spacing w:val="-7"/>
          <w:sz w:val="20"/>
        </w:rPr>
        <w:t> </w:t>
      </w:r>
      <w:r>
        <w:rPr>
          <w:sz w:val="20"/>
        </w:rPr>
        <w:t>jurisdiction</w:t>
      </w:r>
      <w:r>
        <w:rPr>
          <w:spacing w:val="-7"/>
          <w:sz w:val="20"/>
        </w:rPr>
        <w:t> </w:t>
      </w:r>
      <w:r>
        <w:rPr>
          <w:sz w:val="20"/>
        </w:rPr>
        <w:t>that</w:t>
      </w:r>
      <w:r>
        <w:rPr>
          <w:spacing w:val="-5"/>
          <w:sz w:val="20"/>
        </w:rPr>
        <w:t> </w:t>
      </w:r>
      <w:r>
        <w:rPr>
          <w:sz w:val="20"/>
        </w:rPr>
        <w:t>is</w:t>
      </w:r>
      <w:r>
        <w:rPr>
          <w:spacing w:val="-4"/>
          <w:sz w:val="20"/>
        </w:rPr>
        <w:t> </w:t>
      </w:r>
      <w:r>
        <w:rPr>
          <w:sz w:val="20"/>
        </w:rPr>
        <w:t>not</w:t>
      </w:r>
      <w:r>
        <w:rPr>
          <w:spacing w:val="-6"/>
          <w:sz w:val="20"/>
        </w:rPr>
        <w:t> </w:t>
      </w:r>
      <w:r>
        <w:rPr>
          <w:sz w:val="20"/>
        </w:rPr>
        <w:t>a</w:t>
      </w:r>
      <w:r>
        <w:rPr>
          <w:spacing w:val="-7"/>
          <w:sz w:val="20"/>
        </w:rPr>
        <w:t> </w:t>
      </w:r>
      <w:r>
        <w:rPr>
          <w:sz w:val="20"/>
        </w:rPr>
        <w:t>member</w:t>
      </w:r>
      <w:r>
        <w:rPr>
          <w:spacing w:val="-6"/>
          <w:sz w:val="20"/>
        </w:rPr>
        <w:t> </w:t>
      </w:r>
      <w:r>
        <w:rPr>
          <w:sz w:val="20"/>
        </w:rPr>
        <w:t>of</w:t>
      </w:r>
      <w:r>
        <w:rPr>
          <w:spacing w:val="-5"/>
          <w:sz w:val="20"/>
        </w:rPr>
        <w:t> </w:t>
      </w:r>
      <w:r>
        <w:rPr>
          <w:sz w:val="20"/>
        </w:rPr>
        <w:t>the Inclusive</w:t>
      </w:r>
      <w:r>
        <w:rPr>
          <w:spacing w:val="-6"/>
          <w:sz w:val="20"/>
        </w:rPr>
        <w:t> </w:t>
      </w:r>
      <w:r>
        <w:rPr>
          <w:sz w:val="20"/>
        </w:rPr>
        <w:t>Framework or</w:t>
      </w:r>
      <w:r>
        <w:rPr>
          <w:spacing w:val="-6"/>
          <w:sz w:val="20"/>
        </w:rPr>
        <w:t> </w:t>
      </w:r>
      <w:r>
        <w:rPr>
          <w:sz w:val="20"/>
        </w:rPr>
        <w:t>has not implemented Amount A) or where another tax administration may be more suitable (e.g. because the MNE group only has nominal activity in that jurisdiction or if the tax administration does not have the resources to</w:t>
      </w:r>
      <w:r>
        <w:rPr>
          <w:spacing w:val="-2"/>
          <w:sz w:val="20"/>
        </w:rPr>
        <w:t> </w:t>
      </w:r>
      <w:r>
        <w:rPr>
          <w:sz w:val="20"/>
        </w:rPr>
        <w:t>act).</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To deal with these cases, an approach will be developed to identify a “surrogate lead tax administration”</w:t>
      </w:r>
      <w:r>
        <w:rPr>
          <w:spacing w:val="-19"/>
          <w:sz w:val="20"/>
        </w:rPr>
        <w:t> </w:t>
      </w:r>
      <w:r>
        <w:rPr>
          <w:sz w:val="20"/>
        </w:rPr>
        <w:t>for</w:t>
      </w:r>
      <w:r>
        <w:rPr>
          <w:spacing w:val="-18"/>
          <w:sz w:val="20"/>
        </w:rPr>
        <w:t> </w:t>
      </w:r>
      <w:r>
        <w:rPr>
          <w:sz w:val="20"/>
        </w:rPr>
        <w:t>the</w:t>
      </w:r>
      <w:r>
        <w:rPr>
          <w:spacing w:val="-16"/>
          <w:sz w:val="20"/>
        </w:rPr>
        <w:t> </w:t>
      </w:r>
      <w:r>
        <w:rPr>
          <w:sz w:val="20"/>
        </w:rPr>
        <w:t>MNE</w:t>
      </w:r>
      <w:r>
        <w:rPr>
          <w:spacing w:val="-16"/>
          <w:sz w:val="20"/>
        </w:rPr>
        <w:t> </w:t>
      </w:r>
      <w:r>
        <w:rPr>
          <w:sz w:val="20"/>
        </w:rPr>
        <w:t>group.</w:t>
      </w:r>
      <w:r>
        <w:rPr>
          <w:spacing w:val="-17"/>
          <w:sz w:val="20"/>
        </w:rPr>
        <w:t> </w:t>
      </w:r>
      <w:r>
        <w:rPr>
          <w:sz w:val="20"/>
        </w:rPr>
        <w:t>One</w:t>
      </w:r>
      <w:r>
        <w:rPr>
          <w:spacing w:val="-17"/>
          <w:sz w:val="20"/>
        </w:rPr>
        <w:t> </w:t>
      </w:r>
      <w:r>
        <w:rPr>
          <w:sz w:val="20"/>
        </w:rPr>
        <w:t>option</w:t>
      </w:r>
      <w:r>
        <w:rPr>
          <w:spacing w:val="-19"/>
          <w:sz w:val="20"/>
        </w:rPr>
        <w:t> </w:t>
      </w:r>
      <w:r>
        <w:rPr>
          <w:sz w:val="20"/>
        </w:rPr>
        <w:t>could</w:t>
      </w:r>
      <w:r>
        <w:rPr>
          <w:spacing w:val="-19"/>
          <w:sz w:val="20"/>
        </w:rPr>
        <w:t> </w:t>
      </w:r>
      <w:r>
        <w:rPr>
          <w:sz w:val="20"/>
        </w:rPr>
        <w:t>be</w:t>
      </w:r>
      <w:r>
        <w:rPr>
          <w:spacing w:val="-19"/>
          <w:sz w:val="20"/>
        </w:rPr>
        <w:t> </w:t>
      </w:r>
      <w:r>
        <w:rPr>
          <w:sz w:val="20"/>
        </w:rPr>
        <w:t>for</w:t>
      </w:r>
      <w:r>
        <w:rPr>
          <w:spacing w:val="-13"/>
          <w:sz w:val="20"/>
        </w:rPr>
        <w:t> </w:t>
      </w:r>
      <w:r>
        <w:rPr>
          <w:sz w:val="20"/>
        </w:rPr>
        <w:t>tax</w:t>
      </w:r>
      <w:r>
        <w:rPr>
          <w:spacing w:val="-15"/>
          <w:sz w:val="20"/>
        </w:rPr>
        <w:t> </w:t>
      </w:r>
      <w:r>
        <w:rPr>
          <w:sz w:val="20"/>
        </w:rPr>
        <w:t>administrations</w:t>
      </w:r>
      <w:r>
        <w:rPr>
          <w:spacing w:val="-18"/>
          <w:sz w:val="20"/>
        </w:rPr>
        <w:t> </w:t>
      </w:r>
      <w:r>
        <w:rPr>
          <w:sz w:val="20"/>
        </w:rPr>
        <w:t>that</w:t>
      </w:r>
      <w:r>
        <w:rPr>
          <w:spacing w:val="-16"/>
          <w:sz w:val="20"/>
        </w:rPr>
        <w:t> </w:t>
      </w:r>
      <w:r>
        <w:rPr>
          <w:sz w:val="20"/>
        </w:rPr>
        <w:t>in</w:t>
      </w:r>
      <w:r>
        <w:rPr>
          <w:spacing w:val="-16"/>
          <w:sz w:val="20"/>
        </w:rPr>
        <w:t> </w:t>
      </w:r>
      <w:r>
        <w:rPr>
          <w:sz w:val="20"/>
        </w:rPr>
        <w:t>principle</w:t>
      </w:r>
      <w:r>
        <w:rPr>
          <w:spacing w:val="-17"/>
          <w:sz w:val="20"/>
        </w:rPr>
        <w:t> </w:t>
      </w:r>
      <w:r>
        <w:rPr>
          <w:sz w:val="20"/>
        </w:rPr>
        <w:t>are</w:t>
      </w:r>
      <w:r>
        <w:rPr>
          <w:spacing w:val="-16"/>
          <w:sz w:val="20"/>
        </w:rPr>
        <w:t> </w:t>
      </w:r>
      <w:r>
        <w:rPr>
          <w:sz w:val="20"/>
        </w:rPr>
        <w:t>prepared to act as lead tax administrations for these MNE groups would identify themselves and be included on a list of “surrogate lead tax administrations” that is made publicly available. Where the tax administration in the</w:t>
      </w:r>
      <w:r>
        <w:rPr>
          <w:spacing w:val="-8"/>
          <w:sz w:val="20"/>
        </w:rPr>
        <w:t> </w:t>
      </w:r>
      <w:r>
        <w:rPr>
          <w:sz w:val="20"/>
        </w:rPr>
        <w:t>jurisdiction</w:t>
      </w:r>
      <w:r>
        <w:rPr>
          <w:spacing w:val="-7"/>
          <w:sz w:val="20"/>
        </w:rPr>
        <w:t> </w:t>
      </w:r>
      <w:r>
        <w:rPr>
          <w:sz w:val="20"/>
        </w:rPr>
        <w:t>of</w:t>
      </w:r>
      <w:r>
        <w:rPr>
          <w:spacing w:val="-5"/>
          <w:sz w:val="20"/>
        </w:rPr>
        <w:t> </w:t>
      </w:r>
      <w:r>
        <w:rPr>
          <w:sz w:val="20"/>
        </w:rPr>
        <w:t>an</w:t>
      </w:r>
      <w:r>
        <w:rPr>
          <w:spacing w:val="-7"/>
          <w:sz w:val="20"/>
        </w:rPr>
        <w:t> </w:t>
      </w:r>
      <w:r>
        <w:rPr>
          <w:sz w:val="20"/>
        </w:rPr>
        <w:t>MNE</w:t>
      </w:r>
      <w:r>
        <w:rPr>
          <w:spacing w:val="-8"/>
          <w:sz w:val="20"/>
        </w:rPr>
        <w:t> </w:t>
      </w:r>
      <w:r>
        <w:rPr>
          <w:sz w:val="20"/>
        </w:rPr>
        <w:t>group’s</w:t>
      </w:r>
      <w:r>
        <w:rPr>
          <w:spacing w:val="-5"/>
          <w:sz w:val="20"/>
        </w:rPr>
        <w:t> </w:t>
      </w:r>
      <w:r>
        <w:rPr>
          <w:sz w:val="20"/>
        </w:rPr>
        <w:t>UPE</w:t>
      </w:r>
      <w:r>
        <w:rPr>
          <w:spacing w:val="-7"/>
          <w:sz w:val="20"/>
        </w:rPr>
        <w:t> </w:t>
      </w:r>
      <w:r>
        <w:rPr>
          <w:sz w:val="20"/>
        </w:rPr>
        <w:t>is</w:t>
      </w:r>
      <w:r>
        <w:rPr>
          <w:spacing w:val="-6"/>
          <w:sz w:val="20"/>
        </w:rPr>
        <w:t> </w:t>
      </w:r>
      <w:r>
        <w:rPr>
          <w:sz w:val="20"/>
        </w:rPr>
        <w:t>unable</w:t>
      </w:r>
      <w:r>
        <w:rPr>
          <w:spacing w:val="-7"/>
          <w:sz w:val="20"/>
        </w:rPr>
        <w:t> </w:t>
      </w:r>
      <w:r>
        <w:rPr>
          <w:sz w:val="20"/>
        </w:rPr>
        <w:t>to</w:t>
      </w:r>
      <w:r>
        <w:rPr>
          <w:spacing w:val="-4"/>
          <w:sz w:val="20"/>
        </w:rPr>
        <w:t> </w:t>
      </w:r>
      <w:r>
        <w:rPr>
          <w:sz w:val="20"/>
        </w:rPr>
        <w:t>act</w:t>
      </w:r>
      <w:r>
        <w:rPr>
          <w:spacing w:val="-6"/>
          <w:sz w:val="20"/>
        </w:rPr>
        <w:t> </w:t>
      </w:r>
      <w:r>
        <w:rPr>
          <w:sz w:val="20"/>
        </w:rPr>
        <w:t>as</w:t>
      </w:r>
      <w:r>
        <w:rPr>
          <w:spacing w:val="-7"/>
          <w:sz w:val="20"/>
        </w:rPr>
        <w:t> </w:t>
      </w:r>
      <w:r>
        <w:rPr>
          <w:sz w:val="20"/>
        </w:rPr>
        <w:t>lead</w:t>
      </w:r>
      <w:r>
        <w:rPr>
          <w:spacing w:val="-7"/>
          <w:sz w:val="20"/>
        </w:rPr>
        <w:t> </w:t>
      </w:r>
      <w:r>
        <w:rPr>
          <w:sz w:val="20"/>
        </w:rPr>
        <w:t>tax</w:t>
      </w:r>
      <w:r>
        <w:rPr>
          <w:spacing w:val="-6"/>
          <w:sz w:val="20"/>
        </w:rPr>
        <w:t> </w:t>
      </w:r>
      <w:r>
        <w:rPr>
          <w:sz w:val="20"/>
        </w:rPr>
        <w:t>administration,</w:t>
      </w:r>
      <w:r>
        <w:rPr>
          <w:spacing w:val="-5"/>
          <w:sz w:val="20"/>
        </w:rPr>
        <w:t> </w:t>
      </w:r>
      <w:r>
        <w:rPr>
          <w:sz w:val="20"/>
        </w:rPr>
        <w:t>or</w:t>
      </w:r>
      <w:r>
        <w:rPr>
          <w:spacing w:val="-6"/>
          <w:sz w:val="20"/>
        </w:rPr>
        <w:t> </w:t>
      </w:r>
      <w:r>
        <w:rPr>
          <w:sz w:val="20"/>
        </w:rPr>
        <w:t>agrees</w:t>
      </w:r>
      <w:r>
        <w:rPr>
          <w:spacing w:val="-5"/>
          <w:sz w:val="20"/>
        </w:rPr>
        <w:t> </w:t>
      </w:r>
      <w:r>
        <w:rPr>
          <w:sz w:val="20"/>
        </w:rPr>
        <w:t>that</w:t>
      </w:r>
      <w:r>
        <w:rPr>
          <w:spacing w:val="-6"/>
          <w:sz w:val="20"/>
        </w:rPr>
        <w:t> </w:t>
      </w:r>
      <w:r>
        <w:rPr>
          <w:sz w:val="20"/>
        </w:rPr>
        <w:t>other</w:t>
      </w:r>
      <w:r>
        <w:rPr>
          <w:spacing w:val="-7"/>
          <w:sz w:val="20"/>
        </w:rPr>
        <w:t> </w:t>
      </w:r>
      <w:r>
        <w:rPr>
          <w:sz w:val="20"/>
        </w:rPr>
        <w:t>tax administrations may be more suitable, the UPE may contact one of the tax administrations on this list (directly or via their UPE tax administration) to request that they act as lead tax administration. In the first instance, no tax administration would be required to agree to be lead tax administration for a particular MNE group (e.g. a tax administration may wish to decline if the MNE group has no or little activity in its jurisdiction or if its capacity is filled). However, if no tax administration agrees to act as lead tax administration for a particular MNE group, a process will be identified to ensure that every MNE group within the scope of Amount A has access to a lead tax administration. Another option would be for clear objective</w:t>
      </w:r>
      <w:r>
        <w:rPr>
          <w:spacing w:val="-14"/>
          <w:sz w:val="20"/>
        </w:rPr>
        <w:t> </w:t>
      </w:r>
      <w:r>
        <w:rPr>
          <w:sz w:val="20"/>
        </w:rPr>
        <w:t>criteria</w:t>
      </w:r>
      <w:r>
        <w:rPr>
          <w:spacing w:val="-11"/>
          <w:sz w:val="20"/>
        </w:rPr>
        <w:t> </w:t>
      </w:r>
      <w:r>
        <w:rPr>
          <w:sz w:val="20"/>
        </w:rPr>
        <w:t>to</w:t>
      </w:r>
      <w:r>
        <w:rPr>
          <w:spacing w:val="-12"/>
          <w:sz w:val="20"/>
        </w:rPr>
        <w:t> </w:t>
      </w:r>
      <w:r>
        <w:rPr>
          <w:sz w:val="20"/>
        </w:rPr>
        <w:t>be</w:t>
      </w:r>
      <w:r>
        <w:rPr>
          <w:spacing w:val="-12"/>
          <w:sz w:val="20"/>
        </w:rPr>
        <w:t> </w:t>
      </w:r>
      <w:r>
        <w:rPr>
          <w:sz w:val="20"/>
        </w:rPr>
        <w:t>agreed</w:t>
      </w:r>
      <w:r>
        <w:rPr>
          <w:spacing w:val="-14"/>
          <w:sz w:val="20"/>
        </w:rPr>
        <w:t> </w:t>
      </w:r>
      <w:r>
        <w:rPr>
          <w:sz w:val="20"/>
        </w:rPr>
        <w:t>(e.g.</w:t>
      </w:r>
      <w:r>
        <w:rPr>
          <w:spacing w:val="-12"/>
          <w:sz w:val="20"/>
        </w:rPr>
        <w:t> </w:t>
      </w:r>
      <w:r>
        <w:rPr>
          <w:sz w:val="20"/>
        </w:rPr>
        <w:t>based</w:t>
      </w:r>
      <w:r>
        <w:rPr>
          <w:spacing w:val="-12"/>
          <w:sz w:val="20"/>
        </w:rPr>
        <w:t> </w:t>
      </w:r>
      <w:r>
        <w:rPr>
          <w:sz w:val="20"/>
        </w:rPr>
        <w:t>on</w:t>
      </w:r>
      <w:r>
        <w:rPr>
          <w:spacing w:val="-13"/>
          <w:sz w:val="20"/>
        </w:rPr>
        <w:t> </w:t>
      </w:r>
      <w:r>
        <w:rPr>
          <w:sz w:val="20"/>
        </w:rPr>
        <w:t>revenues</w:t>
      </w:r>
      <w:r>
        <w:rPr>
          <w:spacing w:val="-10"/>
          <w:sz w:val="20"/>
        </w:rPr>
        <w:t> </w:t>
      </w:r>
      <w:r>
        <w:rPr>
          <w:sz w:val="20"/>
        </w:rPr>
        <w:t>or</w:t>
      </w:r>
      <w:r>
        <w:rPr>
          <w:spacing w:val="-13"/>
          <w:sz w:val="20"/>
        </w:rPr>
        <w:t> </w:t>
      </w:r>
      <w:r>
        <w:rPr>
          <w:sz w:val="20"/>
        </w:rPr>
        <w:t>the</w:t>
      </w:r>
      <w:r>
        <w:rPr>
          <w:spacing w:val="-12"/>
          <w:sz w:val="20"/>
        </w:rPr>
        <w:t> </w:t>
      </w:r>
      <w:r>
        <w:rPr>
          <w:sz w:val="20"/>
        </w:rPr>
        <w:t>location</w:t>
      </w:r>
      <w:r>
        <w:rPr>
          <w:spacing w:val="-12"/>
          <w:sz w:val="20"/>
        </w:rPr>
        <w:t> </w:t>
      </w:r>
      <w:r>
        <w:rPr>
          <w:sz w:val="20"/>
        </w:rPr>
        <w:t>of</w:t>
      </w:r>
      <w:r>
        <w:rPr>
          <w:spacing w:val="-12"/>
          <w:sz w:val="20"/>
        </w:rPr>
        <w:t> </w:t>
      </w:r>
      <w:r>
        <w:rPr>
          <w:sz w:val="20"/>
        </w:rPr>
        <w:t>key</w:t>
      </w:r>
      <w:r>
        <w:rPr>
          <w:spacing w:val="-17"/>
          <w:sz w:val="20"/>
        </w:rPr>
        <w:t> </w:t>
      </w:r>
      <w:r>
        <w:rPr>
          <w:sz w:val="20"/>
        </w:rPr>
        <w:t>functions),</w:t>
      </w:r>
      <w:r>
        <w:rPr>
          <w:spacing w:val="-13"/>
          <w:sz w:val="20"/>
        </w:rPr>
        <w:t> </w:t>
      </w:r>
      <w:r>
        <w:rPr>
          <w:sz w:val="20"/>
        </w:rPr>
        <w:t>to</w:t>
      </w:r>
      <w:r>
        <w:rPr>
          <w:spacing w:val="-4"/>
          <w:sz w:val="20"/>
        </w:rPr>
        <w:t> </w:t>
      </w:r>
      <w:r>
        <w:rPr>
          <w:sz w:val="20"/>
        </w:rPr>
        <w:t>determine</w:t>
      </w:r>
      <w:r>
        <w:rPr>
          <w:spacing w:val="-12"/>
          <w:sz w:val="20"/>
        </w:rPr>
        <w:t> </w:t>
      </w:r>
      <w:r>
        <w:rPr>
          <w:sz w:val="20"/>
        </w:rPr>
        <w:t>which tax administration that should act as surrogate tax</w:t>
      </w:r>
      <w:r>
        <w:rPr>
          <w:spacing w:val="-9"/>
          <w:sz w:val="20"/>
        </w:rPr>
        <w:t> </w:t>
      </w:r>
      <w:r>
        <w:rPr>
          <w:sz w:val="20"/>
        </w:rPr>
        <w:t>administration.</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A</w:t>
      </w:r>
      <w:r>
        <w:rPr>
          <w:spacing w:val="-5"/>
          <w:sz w:val="20"/>
        </w:rPr>
        <w:t> </w:t>
      </w:r>
      <w:r>
        <w:rPr>
          <w:sz w:val="20"/>
        </w:rPr>
        <w:t>surrogate</w:t>
      </w:r>
      <w:r>
        <w:rPr>
          <w:spacing w:val="-3"/>
          <w:sz w:val="20"/>
        </w:rPr>
        <w:t> </w:t>
      </w:r>
      <w:r>
        <w:rPr>
          <w:sz w:val="20"/>
        </w:rPr>
        <w:t>lead</w:t>
      </w:r>
      <w:r>
        <w:rPr>
          <w:spacing w:val="-4"/>
          <w:sz w:val="20"/>
        </w:rPr>
        <w:t> </w:t>
      </w:r>
      <w:r>
        <w:rPr>
          <w:sz w:val="20"/>
        </w:rPr>
        <w:t>tax</w:t>
      </w:r>
      <w:r>
        <w:rPr>
          <w:spacing w:val="-3"/>
          <w:sz w:val="20"/>
        </w:rPr>
        <w:t> </w:t>
      </w:r>
      <w:r>
        <w:rPr>
          <w:sz w:val="20"/>
        </w:rPr>
        <w:t>administration</w:t>
      </w:r>
      <w:r>
        <w:rPr>
          <w:spacing w:val="-5"/>
          <w:sz w:val="20"/>
        </w:rPr>
        <w:t> </w:t>
      </w:r>
      <w:r>
        <w:rPr>
          <w:sz w:val="20"/>
        </w:rPr>
        <w:t>should</w:t>
      </w:r>
      <w:r>
        <w:rPr>
          <w:spacing w:val="-4"/>
          <w:sz w:val="20"/>
        </w:rPr>
        <w:t> </w:t>
      </w:r>
      <w:r>
        <w:rPr>
          <w:sz w:val="20"/>
        </w:rPr>
        <w:t>only</w:t>
      </w:r>
      <w:r>
        <w:rPr>
          <w:spacing w:val="-7"/>
          <w:sz w:val="20"/>
        </w:rPr>
        <w:t> </w:t>
      </w:r>
      <w:r>
        <w:rPr>
          <w:sz w:val="20"/>
        </w:rPr>
        <w:t>be</w:t>
      </w:r>
      <w:r>
        <w:rPr>
          <w:spacing w:val="-4"/>
          <w:sz w:val="20"/>
        </w:rPr>
        <w:t> </w:t>
      </w:r>
      <w:r>
        <w:rPr>
          <w:sz w:val="20"/>
        </w:rPr>
        <w:t>used</w:t>
      </w:r>
      <w:r>
        <w:rPr>
          <w:spacing w:val="1"/>
          <w:sz w:val="20"/>
        </w:rPr>
        <w:t> </w:t>
      </w:r>
      <w:r>
        <w:rPr>
          <w:sz w:val="20"/>
        </w:rPr>
        <w:t>if</w:t>
      </w:r>
      <w:r>
        <w:rPr>
          <w:spacing w:val="-2"/>
          <w:sz w:val="20"/>
        </w:rPr>
        <w:t> </w:t>
      </w:r>
      <w:r>
        <w:rPr>
          <w:sz w:val="20"/>
        </w:rPr>
        <w:t>the</w:t>
      </w:r>
      <w:r>
        <w:rPr>
          <w:spacing w:val="-5"/>
          <w:sz w:val="20"/>
        </w:rPr>
        <w:t> </w:t>
      </w:r>
      <w:r>
        <w:rPr>
          <w:sz w:val="20"/>
        </w:rPr>
        <w:t>UPE</w:t>
      </w:r>
      <w:r>
        <w:rPr>
          <w:spacing w:val="-4"/>
          <w:sz w:val="20"/>
        </w:rPr>
        <w:t> </w:t>
      </w:r>
      <w:r>
        <w:rPr>
          <w:sz w:val="20"/>
        </w:rPr>
        <w:t>jurisdiction</w:t>
      </w:r>
      <w:r>
        <w:rPr>
          <w:spacing w:val="-5"/>
          <w:sz w:val="20"/>
        </w:rPr>
        <w:t> </w:t>
      </w:r>
      <w:r>
        <w:rPr>
          <w:sz w:val="20"/>
        </w:rPr>
        <w:t>is</w:t>
      </w:r>
      <w:r>
        <w:rPr>
          <w:spacing w:val="-3"/>
          <w:sz w:val="20"/>
        </w:rPr>
        <w:t> </w:t>
      </w:r>
      <w:r>
        <w:rPr>
          <w:sz w:val="20"/>
        </w:rPr>
        <w:t>not</w:t>
      </w:r>
      <w:r>
        <w:rPr>
          <w:spacing w:val="-5"/>
          <w:sz w:val="20"/>
        </w:rPr>
        <w:t> </w:t>
      </w:r>
      <w:r>
        <w:rPr>
          <w:sz w:val="20"/>
        </w:rPr>
        <w:t>a</w:t>
      </w:r>
      <w:r>
        <w:rPr>
          <w:spacing w:val="-4"/>
          <w:sz w:val="20"/>
        </w:rPr>
        <w:t> </w:t>
      </w:r>
      <w:r>
        <w:rPr>
          <w:sz w:val="20"/>
        </w:rPr>
        <w:t>member</w:t>
      </w:r>
      <w:r>
        <w:rPr>
          <w:spacing w:val="-3"/>
          <w:sz w:val="20"/>
        </w:rPr>
        <w:t> </w:t>
      </w:r>
      <w:r>
        <w:rPr>
          <w:sz w:val="20"/>
        </w:rPr>
        <w:t>of the Inclusive Framework, if the jurisdiction has not yet implemented rules for Amount A, or if the UPE tax administration</w:t>
      </w:r>
      <w:r>
        <w:rPr>
          <w:spacing w:val="-14"/>
          <w:sz w:val="20"/>
        </w:rPr>
        <w:t> </w:t>
      </w:r>
      <w:r>
        <w:rPr>
          <w:sz w:val="20"/>
        </w:rPr>
        <w:t>agrees</w:t>
      </w:r>
      <w:r>
        <w:rPr>
          <w:spacing w:val="-13"/>
          <w:sz w:val="20"/>
        </w:rPr>
        <w:t> </w:t>
      </w:r>
      <w:r>
        <w:rPr>
          <w:sz w:val="20"/>
        </w:rPr>
        <w:t>to</w:t>
      </w:r>
      <w:r>
        <w:rPr>
          <w:spacing w:val="-14"/>
          <w:sz w:val="20"/>
        </w:rPr>
        <w:t> </w:t>
      </w:r>
      <w:r>
        <w:rPr>
          <w:sz w:val="20"/>
        </w:rPr>
        <w:t>the</w:t>
      </w:r>
      <w:r>
        <w:rPr>
          <w:spacing w:val="-12"/>
          <w:sz w:val="20"/>
        </w:rPr>
        <w:t> </w:t>
      </w:r>
      <w:r>
        <w:rPr>
          <w:sz w:val="20"/>
        </w:rPr>
        <w:t>MNE</w:t>
      </w:r>
      <w:r>
        <w:rPr>
          <w:spacing w:val="-12"/>
          <w:sz w:val="20"/>
        </w:rPr>
        <w:t> </w:t>
      </w:r>
      <w:r>
        <w:rPr>
          <w:sz w:val="20"/>
        </w:rPr>
        <w:t>group</w:t>
      </w:r>
      <w:r>
        <w:rPr>
          <w:spacing w:val="-14"/>
          <w:sz w:val="20"/>
        </w:rPr>
        <w:t> </w:t>
      </w:r>
      <w:r>
        <w:rPr>
          <w:sz w:val="20"/>
        </w:rPr>
        <w:t>using</w:t>
      </w:r>
      <w:r>
        <w:rPr>
          <w:spacing w:val="-12"/>
          <w:sz w:val="20"/>
        </w:rPr>
        <w:t> </w:t>
      </w:r>
      <w:r>
        <w:rPr>
          <w:sz w:val="20"/>
        </w:rPr>
        <w:t>a</w:t>
      </w:r>
      <w:r>
        <w:rPr>
          <w:spacing w:val="-14"/>
          <w:sz w:val="20"/>
        </w:rPr>
        <w:t> </w:t>
      </w:r>
      <w:r>
        <w:rPr>
          <w:sz w:val="20"/>
        </w:rPr>
        <w:t>surrogate</w:t>
      </w:r>
      <w:r>
        <w:rPr>
          <w:spacing w:val="-13"/>
          <w:sz w:val="20"/>
        </w:rPr>
        <w:t> </w:t>
      </w:r>
      <w:r>
        <w:rPr>
          <w:sz w:val="20"/>
        </w:rPr>
        <w:t>lead</w:t>
      </w:r>
      <w:r>
        <w:rPr>
          <w:spacing w:val="-12"/>
          <w:sz w:val="20"/>
        </w:rPr>
        <w:t> </w:t>
      </w:r>
      <w:r>
        <w:rPr>
          <w:sz w:val="20"/>
        </w:rPr>
        <w:t>tax</w:t>
      </w:r>
      <w:r>
        <w:rPr>
          <w:spacing w:val="-13"/>
          <w:sz w:val="20"/>
        </w:rPr>
        <w:t> </w:t>
      </w:r>
      <w:r>
        <w:rPr>
          <w:sz w:val="20"/>
        </w:rPr>
        <w:t>administration.</w:t>
      </w:r>
      <w:r>
        <w:rPr>
          <w:spacing w:val="-14"/>
          <w:sz w:val="20"/>
        </w:rPr>
        <w:t> </w:t>
      </w:r>
      <w:r>
        <w:rPr>
          <w:sz w:val="20"/>
        </w:rPr>
        <w:t>In</w:t>
      </w:r>
      <w:r>
        <w:rPr>
          <w:spacing w:val="-14"/>
          <w:sz w:val="20"/>
        </w:rPr>
        <w:t> </w:t>
      </w:r>
      <w:r>
        <w:rPr>
          <w:sz w:val="20"/>
        </w:rPr>
        <w:t>cases</w:t>
      </w:r>
      <w:r>
        <w:rPr>
          <w:spacing w:val="-10"/>
          <w:sz w:val="20"/>
        </w:rPr>
        <w:t> </w:t>
      </w:r>
      <w:r>
        <w:rPr>
          <w:sz w:val="20"/>
        </w:rPr>
        <w:t>where</w:t>
      </w:r>
      <w:r>
        <w:rPr>
          <w:spacing w:val="-12"/>
          <w:sz w:val="20"/>
        </w:rPr>
        <w:t> </w:t>
      </w:r>
      <w:r>
        <w:rPr>
          <w:sz w:val="20"/>
        </w:rPr>
        <w:t>the</w:t>
      </w:r>
      <w:r>
        <w:rPr>
          <w:spacing w:val="-14"/>
          <w:sz w:val="20"/>
        </w:rPr>
        <w:t> </w:t>
      </w:r>
      <w:r>
        <w:rPr>
          <w:sz w:val="20"/>
        </w:rPr>
        <w:t>UPE tax administration is in an Inclusive Framework member jurisdiction that has implemented Amount A, and is able and willing to act as lead tax administration, it should do</w:t>
      </w:r>
      <w:r>
        <w:rPr>
          <w:spacing w:val="-10"/>
          <w:sz w:val="20"/>
        </w:rPr>
        <w:t> </w:t>
      </w:r>
      <w:r>
        <w:rPr>
          <w:sz w:val="20"/>
        </w:rPr>
        <w:t>so.</w:t>
      </w:r>
    </w:p>
    <w:p>
      <w:pPr>
        <w:pStyle w:val="ListParagraph"/>
        <w:numPr>
          <w:ilvl w:val="0"/>
          <w:numId w:val="13"/>
        </w:numPr>
        <w:tabs>
          <w:tab w:pos="1444" w:val="left" w:leader="none"/>
        </w:tabs>
        <w:spacing w:line="271" w:lineRule="auto" w:before="122" w:after="0"/>
        <w:ind w:left="723" w:right="478" w:firstLine="0"/>
        <w:jc w:val="both"/>
        <w:rPr>
          <w:sz w:val="20"/>
        </w:rPr>
      </w:pPr>
      <w:r>
        <w:rPr>
          <w:sz w:val="20"/>
        </w:rPr>
        <w:t>The</w:t>
      </w:r>
      <w:r>
        <w:rPr>
          <w:spacing w:val="-7"/>
          <w:sz w:val="20"/>
        </w:rPr>
        <w:t> </w:t>
      </w:r>
      <w:r>
        <w:rPr>
          <w:sz w:val="20"/>
        </w:rPr>
        <w:t>co-ordinating</w:t>
      </w:r>
      <w:r>
        <w:rPr>
          <w:spacing w:val="-7"/>
          <w:sz w:val="20"/>
        </w:rPr>
        <w:t> </w:t>
      </w:r>
      <w:r>
        <w:rPr>
          <w:sz w:val="20"/>
        </w:rPr>
        <w:t>entity</w:t>
      </w:r>
      <w:r>
        <w:rPr>
          <w:spacing w:val="-7"/>
          <w:sz w:val="20"/>
        </w:rPr>
        <w:t> </w:t>
      </w:r>
      <w:r>
        <w:rPr>
          <w:sz w:val="20"/>
        </w:rPr>
        <w:t>should</w:t>
      </w:r>
      <w:r>
        <w:rPr>
          <w:spacing w:val="-6"/>
          <w:sz w:val="20"/>
        </w:rPr>
        <w:t> </w:t>
      </w:r>
      <w:r>
        <w:rPr>
          <w:sz w:val="20"/>
        </w:rPr>
        <w:t>also</w:t>
      </w:r>
      <w:r>
        <w:rPr>
          <w:spacing w:val="-3"/>
          <w:sz w:val="20"/>
        </w:rPr>
        <w:t> </w:t>
      </w:r>
      <w:r>
        <w:rPr>
          <w:sz w:val="20"/>
        </w:rPr>
        <w:t>provide</w:t>
      </w:r>
      <w:r>
        <w:rPr>
          <w:spacing w:val="-5"/>
          <w:sz w:val="20"/>
        </w:rPr>
        <w:t> </w:t>
      </w:r>
      <w:r>
        <w:rPr>
          <w:sz w:val="20"/>
        </w:rPr>
        <w:t>to</w:t>
      </w:r>
      <w:r>
        <w:rPr>
          <w:spacing w:val="-5"/>
          <w:sz w:val="20"/>
        </w:rPr>
        <w:t> </w:t>
      </w:r>
      <w:r>
        <w:rPr>
          <w:sz w:val="20"/>
        </w:rPr>
        <w:t>its</w:t>
      </w:r>
      <w:r>
        <w:rPr>
          <w:spacing w:val="-2"/>
          <w:sz w:val="20"/>
        </w:rPr>
        <w:t> </w:t>
      </w:r>
      <w:r>
        <w:rPr>
          <w:sz w:val="20"/>
        </w:rPr>
        <w:t>lead</w:t>
      </w:r>
      <w:r>
        <w:rPr>
          <w:spacing w:val="-5"/>
          <w:sz w:val="20"/>
        </w:rPr>
        <w:t> </w:t>
      </w:r>
      <w:r>
        <w:rPr>
          <w:sz w:val="20"/>
        </w:rPr>
        <w:t>tax</w:t>
      </w:r>
      <w:r>
        <w:rPr>
          <w:spacing w:val="-5"/>
          <w:sz w:val="20"/>
        </w:rPr>
        <w:t> </w:t>
      </w:r>
      <w:r>
        <w:rPr>
          <w:sz w:val="20"/>
        </w:rPr>
        <w:t>administration</w:t>
      </w:r>
      <w:r>
        <w:rPr>
          <w:spacing w:val="-7"/>
          <w:sz w:val="20"/>
        </w:rPr>
        <w:t> </w:t>
      </w:r>
      <w:r>
        <w:rPr>
          <w:sz w:val="20"/>
        </w:rPr>
        <w:t>an</w:t>
      </w:r>
      <w:r>
        <w:rPr>
          <w:spacing w:val="-7"/>
          <w:sz w:val="20"/>
        </w:rPr>
        <w:t> </w:t>
      </w:r>
      <w:r>
        <w:rPr>
          <w:sz w:val="20"/>
        </w:rPr>
        <w:t>agreement</w:t>
      </w:r>
      <w:r>
        <w:rPr>
          <w:spacing w:val="-5"/>
          <w:sz w:val="20"/>
        </w:rPr>
        <w:t> </w:t>
      </w:r>
      <w:r>
        <w:rPr>
          <w:sz w:val="20"/>
        </w:rPr>
        <w:t>signed</w:t>
      </w:r>
      <w:r>
        <w:rPr>
          <w:spacing w:val="-7"/>
          <w:sz w:val="20"/>
        </w:rPr>
        <w:t> </w:t>
      </w:r>
      <w:r>
        <w:rPr>
          <w:sz w:val="20"/>
        </w:rPr>
        <w:t>by all</w:t>
      </w:r>
      <w:r>
        <w:rPr>
          <w:spacing w:val="-6"/>
          <w:sz w:val="20"/>
        </w:rPr>
        <w:t> </w:t>
      </w:r>
      <w:r>
        <w:rPr>
          <w:sz w:val="20"/>
        </w:rPr>
        <w:t>entities</w:t>
      </w:r>
      <w:r>
        <w:rPr>
          <w:spacing w:val="-3"/>
          <w:sz w:val="20"/>
        </w:rPr>
        <w:t> </w:t>
      </w:r>
      <w:r>
        <w:rPr>
          <w:sz w:val="20"/>
        </w:rPr>
        <w:t>in</w:t>
      </w:r>
      <w:r>
        <w:rPr>
          <w:spacing w:val="-5"/>
          <w:sz w:val="20"/>
        </w:rPr>
        <w:t> </w:t>
      </w:r>
      <w:r>
        <w:rPr>
          <w:sz w:val="20"/>
        </w:rPr>
        <w:t>the</w:t>
      </w:r>
      <w:r>
        <w:rPr>
          <w:spacing w:val="-5"/>
          <w:sz w:val="20"/>
        </w:rPr>
        <w:t> </w:t>
      </w:r>
      <w:r>
        <w:rPr>
          <w:sz w:val="20"/>
        </w:rPr>
        <w:t>MNE</w:t>
      </w:r>
      <w:r>
        <w:rPr>
          <w:spacing w:val="-5"/>
          <w:sz w:val="20"/>
        </w:rPr>
        <w:t> </w:t>
      </w:r>
      <w:r>
        <w:rPr>
          <w:sz w:val="20"/>
        </w:rPr>
        <w:t>group</w:t>
      </w:r>
      <w:r>
        <w:rPr>
          <w:spacing w:val="-7"/>
          <w:sz w:val="20"/>
        </w:rPr>
        <w:t> </w:t>
      </w:r>
      <w:r>
        <w:rPr>
          <w:sz w:val="20"/>
        </w:rPr>
        <w:t>undertaking</w:t>
      </w:r>
      <w:r>
        <w:rPr>
          <w:spacing w:val="-5"/>
          <w:sz w:val="20"/>
        </w:rPr>
        <w:t> </w:t>
      </w:r>
      <w:r>
        <w:rPr>
          <w:sz w:val="20"/>
        </w:rPr>
        <w:t>residual</w:t>
      </w:r>
      <w:r>
        <w:rPr>
          <w:spacing w:val="-8"/>
          <w:sz w:val="20"/>
        </w:rPr>
        <w:t> </w:t>
      </w:r>
      <w:r>
        <w:rPr>
          <w:sz w:val="20"/>
        </w:rPr>
        <w:t>profit</w:t>
      </w:r>
      <w:r>
        <w:rPr>
          <w:spacing w:val="-6"/>
          <w:sz w:val="20"/>
        </w:rPr>
        <w:t> </w:t>
      </w:r>
      <w:r>
        <w:rPr>
          <w:sz w:val="20"/>
        </w:rPr>
        <w:t>activities</w:t>
      </w:r>
      <w:r>
        <w:rPr>
          <w:spacing w:val="-3"/>
          <w:sz w:val="20"/>
        </w:rPr>
        <w:t> </w:t>
      </w:r>
      <w:r>
        <w:rPr>
          <w:sz w:val="20"/>
        </w:rPr>
        <w:t>(i.e.</w:t>
      </w:r>
      <w:r>
        <w:rPr>
          <w:spacing w:val="-6"/>
          <w:sz w:val="20"/>
        </w:rPr>
        <w:t> </w:t>
      </w:r>
      <w:r>
        <w:rPr>
          <w:sz w:val="20"/>
        </w:rPr>
        <w:t>those</w:t>
      </w:r>
      <w:r>
        <w:rPr>
          <w:spacing w:val="-4"/>
          <w:sz w:val="20"/>
        </w:rPr>
        <w:t> </w:t>
      </w:r>
      <w:r>
        <w:rPr>
          <w:sz w:val="20"/>
        </w:rPr>
        <w:t>which</w:t>
      </w:r>
      <w:r>
        <w:rPr>
          <w:spacing w:val="-3"/>
          <w:sz w:val="20"/>
        </w:rPr>
        <w:t> </w:t>
      </w:r>
      <w:r>
        <w:rPr>
          <w:sz w:val="20"/>
        </w:rPr>
        <w:t>could</w:t>
      </w:r>
      <w:r>
        <w:rPr>
          <w:spacing w:val="-5"/>
          <w:sz w:val="20"/>
        </w:rPr>
        <w:t> </w:t>
      </w:r>
      <w:r>
        <w:rPr>
          <w:sz w:val="20"/>
        </w:rPr>
        <w:t>be</w:t>
      </w:r>
      <w:r>
        <w:rPr>
          <w:spacing w:val="-6"/>
          <w:sz w:val="20"/>
        </w:rPr>
        <w:t> </w:t>
      </w:r>
      <w:r>
        <w:rPr>
          <w:sz w:val="20"/>
        </w:rPr>
        <w:t>paying</w:t>
      </w:r>
      <w:r>
        <w:rPr>
          <w:spacing w:val="-5"/>
          <w:sz w:val="20"/>
        </w:rPr>
        <w:t> </w:t>
      </w:r>
      <w:r>
        <w:rPr>
          <w:sz w:val="20"/>
        </w:rPr>
        <w:t>entities for the purposes of Amount A), confirming their agreement to be bound by the self-assessment return, as well as any amendments to this return agreed by the co-ordinating entity, including as part of any early certainty process. Depending upon the final design of Amount A, this agreement may also need to be signed by other constituent entities in the MNE group. Where legal or practical issues mean it is not possible for a constituent entity to agree in advance to be bound by decisions of the co-ordinating entity, the process described in this Blueprint will be amended to reflect this and further work will consider how this can be done (e.g. by requiring these constituent entities to confirm their agreement before outcomes become</w:t>
      </w:r>
      <w:r>
        <w:rPr>
          <w:spacing w:val="-15"/>
          <w:sz w:val="20"/>
        </w:rPr>
        <w:t> </w:t>
      </w:r>
      <w:r>
        <w:rPr>
          <w:sz w:val="20"/>
        </w:rPr>
        <w:t>binding).</w:t>
      </w:r>
      <w:r>
        <w:rPr>
          <w:spacing w:val="-12"/>
          <w:sz w:val="20"/>
        </w:rPr>
        <w:t> </w:t>
      </w:r>
      <w:r>
        <w:rPr>
          <w:sz w:val="20"/>
        </w:rPr>
        <w:t>Further</w:t>
      </w:r>
      <w:r>
        <w:rPr>
          <w:spacing w:val="-11"/>
          <w:sz w:val="20"/>
        </w:rPr>
        <w:t> </w:t>
      </w:r>
      <w:r>
        <w:rPr>
          <w:sz w:val="20"/>
        </w:rPr>
        <w:t>work</w:t>
      </w:r>
      <w:r>
        <w:rPr>
          <w:spacing w:val="-11"/>
          <w:sz w:val="20"/>
        </w:rPr>
        <w:t> </w:t>
      </w:r>
      <w:r>
        <w:rPr>
          <w:sz w:val="20"/>
        </w:rPr>
        <w:t>will</w:t>
      </w:r>
      <w:r>
        <w:rPr>
          <w:spacing w:val="-12"/>
          <w:sz w:val="20"/>
        </w:rPr>
        <w:t> </w:t>
      </w:r>
      <w:r>
        <w:rPr>
          <w:sz w:val="20"/>
        </w:rPr>
        <w:t>be</w:t>
      </w:r>
      <w:r>
        <w:rPr>
          <w:spacing w:val="-12"/>
          <w:sz w:val="20"/>
        </w:rPr>
        <w:t> </w:t>
      </w:r>
      <w:r>
        <w:rPr>
          <w:sz w:val="20"/>
        </w:rPr>
        <w:t>undertaken</w:t>
      </w:r>
      <w:r>
        <w:rPr>
          <w:spacing w:val="-15"/>
          <w:sz w:val="20"/>
        </w:rPr>
        <w:t> </w:t>
      </w:r>
      <w:r>
        <w:rPr>
          <w:sz w:val="20"/>
        </w:rPr>
        <w:t>to</w:t>
      </w:r>
      <w:r>
        <w:rPr>
          <w:spacing w:val="-12"/>
          <w:sz w:val="20"/>
        </w:rPr>
        <w:t> </w:t>
      </w:r>
      <w:r>
        <w:rPr>
          <w:sz w:val="20"/>
        </w:rPr>
        <w:t>understand</w:t>
      </w:r>
      <w:r>
        <w:rPr>
          <w:spacing w:val="-12"/>
          <w:sz w:val="20"/>
        </w:rPr>
        <w:t> </w:t>
      </w:r>
      <w:r>
        <w:rPr>
          <w:sz w:val="20"/>
        </w:rPr>
        <w:t>the</w:t>
      </w:r>
      <w:r>
        <w:rPr>
          <w:spacing w:val="-13"/>
          <w:sz w:val="20"/>
        </w:rPr>
        <w:t> </w:t>
      </w:r>
      <w:r>
        <w:rPr>
          <w:sz w:val="20"/>
        </w:rPr>
        <w:t>extent</w:t>
      </w:r>
      <w:r>
        <w:rPr>
          <w:spacing w:val="-11"/>
          <w:sz w:val="20"/>
        </w:rPr>
        <w:t> </w:t>
      </w:r>
      <w:r>
        <w:rPr>
          <w:sz w:val="20"/>
        </w:rPr>
        <w:t>to</w:t>
      </w:r>
      <w:r>
        <w:rPr>
          <w:spacing w:val="-9"/>
          <w:sz w:val="20"/>
        </w:rPr>
        <w:t> </w:t>
      </w:r>
      <w:r>
        <w:rPr>
          <w:sz w:val="20"/>
        </w:rPr>
        <w:t>which</w:t>
      </w:r>
      <w:r>
        <w:rPr>
          <w:spacing w:val="-15"/>
          <w:sz w:val="20"/>
        </w:rPr>
        <w:t> </w:t>
      </w:r>
      <w:r>
        <w:rPr>
          <w:sz w:val="20"/>
        </w:rPr>
        <w:t>these</w:t>
      </w:r>
      <w:r>
        <w:rPr>
          <w:spacing w:val="-12"/>
          <w:sz w:val="20"/>
        </w:rPr>
        <w:t> </w:t>
      </w:r>
      <w:r>
        <w:rPr>
          <w:sz w:val="20"/>
        </w:rPr>
        <w:t>legal</w:t>
      </w:r>
      <w:r>
        <w:rPr>
          <w:spacing w:val="-13"/>
          <w:sz w:val="20"/>
        </w:rPr>
        <w:t> </w:t>
      </w:r>
      <w:r>
        <w:rPr>
          <w:sz w:val="20"/>
        </w:rPr>
        <w:t>or</w:t>
      </w:r>
      <w:r>
        <w:rPr>
          <w:spacing w:val="-12"/>
          <w:sz w:val="20"/>
        </w:rPr>
        <w:t> </w:t>
      </w:r>
      <w:r>
        <w:rPr>
          <w:sz w:val="20"/>
        </w:rPr>
        <w:t>practical issues</w:t>
      </w:r>
      <w:r>
        <w:rPr>
          <w:spacing w:val="-7"/>
          <w:sz w:val="20"/>
        </w:rPr>
        <w:t> </w:t>
      </w:r>
      <w:r>
        <w:rPr>
          <w:sz w:val="20"/>
        </w:rPr>
        <w:t>may</w:t>
      </w:r>
      <w:r>
        <w:rPr>
          <w:spacing w:val="-11"/>
          <w:sz w:val="20"/>
        </w:rPr>
        <w:t> </w:t>
      </w:r>
      <w:r>
        <w:rPr>
          <w:sz w:val="20"/>
        </w:rPr>
        <w:t>arise</w:t>
      </w:r>
      <w:r>
        <w:rPr>
          <w:spacing w:val="-6"/>
          <w:sz w:val="20"/>
        </w:rPr>
        <w:t> </w:t>
      </w:r>
      <w:r>
        <w:rPr>
          <w:sz w:val="20"/>
        </w:rPr>
        <w:t>in</w:t>
      </w:r>
      <w:r>
        <w:rPr>
          <w:spacing w:val="-6"/>
          <w:sz w:val="20"/>
        </w:rPr>
        <w:t> </w:t>
      </w:r>
      <w:r>
        <w:rPr>
          <w:sz w:val="20"/>
        </w:rPr>
        <w:t>practice</w:t>
      </w:r>
      <w:r>
        <w:rPr>
          <w:spacing w:val="-6"/>
          <w:sz w:val="20"/>
        </w:rPr>
        <w:t> </w:t>
      </w:r>
      <w:r>
        <w:rPr>
          <w:sz w:val="20"/>
        </w:rPr>
        <w:t>and</w:t>
      </w:r>
      <w:r>
        <w:rPr>
          <w:spacing w:val="-8"/>
          <w:sz w:val="20"/>
        </w:rPr>
        <w:t> </w:t>
      </w:r>
      <w:r>
        <w:rPr>
          <w:sz w:val="20"/>
        </w:rPr>
        <w:t>how</w:t>
      </w:r>
      <w:r>
        <w:rPr>
          <w:spacing w:val="-8"/>
          <w:sz w:val="20"/>
        </w:rPr>
        <w:t> </w:t>
      </w:r>
      <w:r>
        <w:rPr>
          <w:sz w:val="20"/>
        </w:rPr>
        <w:t>these</w:t>
      </w:r>
      <w:r>
        <w:rPr>
          <w:spacing w:val="-6"/>
          <w:sz w:val="20"/>
        </w:rPr>
        <w:t> </w:t>
      </w:r>
      <w:r>
        <w:rPr>
          <w:sz w:val="20"/>
        </w:rPr>
        <w:t>can</w:t>
      </w:r>
      <w:r>
        <w:rPr>
          <w:spacing w:val="-6"/>
          <w:sz w:val="20"/>
        </w:rPr>
        <w:t> </w:t>
      </w:r>
      <w:r>
        <w:rPr>
          <w:sz w:val="20"/>
        </w:rPr>
        <w:t>be</w:t>
      </w:r>
      <w:r>
        <w:rPr>
          <w:spacing w:val="-8"/>
          <w:sz w:val="20"/>
        </w:rPr>
        <w:t> </w:t>
      </w:r>
      <w:r>
        <w:rPr>
          <w:sz w:val="20"/>
        </w:rPr>
        <w:t>avoided.</w:t>
      </w:r>
      <w:r>
        <w:rPr>
          <w:spacing w:val="1"/>
          <w:sz w:val="20"/>
        </w:rPr>
        <w:t> </w:t>
      </w:r>
      <w:r>
        <w:rPr>
          <w:sz w:val="20"/>
        </w:rPr>
        <w:t>It</w:t>
      </w:r>
      <w:r>
        <w:rPr>
          <w:spacing w:val="-6"/>
          <w:sz w:val="20"/>
        </w:rPr>
        <w:t> </w:t>
      </w:r>
      <w:r>
        <w:rPr>
          <w:sz w:val="20"/>
        </w:rPr>
        <w:t>is</w:t>
      </w:r>
      <w:r>
        <w:rPr>
          <w:spacing w:val="-4"/>
          <w:sz w:val="20"/>
        </w:rPr>
        <w:t> </w:t>
      </w:r>
      <w:r>
        <w:rPr>
          <w:sz w:val="20"/>
        </w:rPr>
        <w:t>expected</w:t>
      </w:r>
      <w:r>
        <w:rPr>
          <w:spacing w:val="-8"/>
          <w:sz w:val="20"/>
        </w:rPr>
        <w:t> </w:t>
      </w:r>
      <w:r>
        <w:rPr>
          <w:sz w:val="20"/>
        </w:rPr>
        <w:t>that</w:t>
      </w:r>
      <w:r>
        <w:rPr>
          <w:spacing w:val="-6"/>
          <w:sz w:val="20"/>
        </w:rPr>
        <w:t> </w:t>
      </w:r>
      <w:r>
        <w:rPr>
          <w:sz w:val="20"/>
        </w:rPr>
        <w:t>in</w:t>
      </w:r>
      <w:r>
        <w:rPr>
          <w:spacing w:val="-8"/>
          <w:sz w:val="20"/>
        </w:rPr>
        <w:t> </w:t>
      </w:r>
      <w:r>
        <w:rPr>
          <w:sz w:val="20"/>
        </w:rPr>
        <w:t>the</w:t>
      </w:r>
      <w:r>
        <w:rPr>
          <w:spacing w:val="-7"/>
          <w:sz w:val="20"/>
        </w:rPr>
        <w:t> </w:t>
      </w:r>
      <w:r>
        <w:rPr>
          <w:sz w:val="20"/>
        </w:rPr>
        <w:t>significant</w:t>
      </w:r>
      <w:r>
        <w:rPr>
          <w:spacing w:val="-6"/>
          <w:sz w:val="20"/>
        </w:rPr>
        <w:t> </w:t>
      </w:r>
      <w:r>
        <w:rPr>
          <w:sz w:val="20"/>
        </w:rPr>
        <w:t>majority</w:t>
      </w:r>
      <w:r>
        <w:rPr>
          <w:spacing w:val="-9"/>
          <w:sz w:val="20"/>
        </w:rPr>
        <w:t> </w:t>
      </w:r>
      <w:r>
        <w:rPr>
          <w:sz w:val="20"/>
        </w:rPr>
        <w:t>of cases all constituent entities will accept the position agreed by the co-ordinating entity, which applies Amount A across the MNE group and avoids double taxation. In exceptional cases, if a constituent entity takes a position with respect to its Amount A assessment which differs from that filed by the co-ordinating entity, this is likely to have an impact on the assessment of Amount A for other entities in the</w:t>
      </w:r>
      <w:r>
        <w:rPr>
          <w:spacing w:val="-34"/>
          <w:sz w:val="20"/>
        </w:rPr>
        <w:t> </w:t>
      </w:r>
      <w:r>
        <w:rPr>
          <w:sz w:val="20"/>
        </w:rPr>
        <w:t>group.</w:t>
      </w:r>
    </w:p>
    <w:p>
      <w:pPr>
        <w:pStyle w:val="BodyText"/>
        <w:spacing w:before="3"/>
      </w:pPr>
    </w:p>
    <w:p>
      <w:pPr>
        <w:pStyle w:val="Heading7"/>
        <w:rPr>
          <w:i/>
        </w:rPr>
      </w:pPr>
      <w:bookmarkStart w:name="Validation of the self-assessment return" w:id="421"/>
      <w:bookmarkEnd w:id="421"/>
      <w:r>
        <w:rPr>
          <w:i w:val="0"/>
        </w:rPr>
      </w:r>
      <w:r>
        <w:rPr>
          <w:i/>
          <w:color w:val="616161"/>
        </w:rPr>
        <w:t>Validation of the self-assessment return by the lead tax administration</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Following filing of the MNE group’s self-assessment return and documentation package, the lead tax</w:t>
      </w:r>
      <w:r>
        <w:rPr>
          <w:spacing w:val="45"/>
          <w:sz w:val="20"/>
        </w:rPr>
        <w:t> </w:t>
      </w:r>
      <w:r>
        <w:rPr>
          <w:sz w:val="20"/>
        </w:rPr>
        <w:t>administration</w:t>
      </w:r>
      <w:r>
        <w:rPr>
          <w:spacing w:val="48"/>
          <w:sz w:val="20"/>
        </w:rPr>
        <w:t> </w:t>
      </w:r>
      <w:r>
        <w:rPr>
          <w:sz w:val="20"/>
        </w:rPr>
        <w:t>would</w:t>
      </w:r>
      <w:r>
        <w:rPr>
          <w:spacing w:val="48"/>
          <w:sz w:val="20"/>
        </w:rPr>
        <w:t> </w:t>
      </w:r>
      <w:r>
        <w:rPr>
          <w:sz w:val="20"/>
        </w:rPr>
        <w:t>be</w:t>
      </w:r>
      <w:r>
        <w:rPr>
          <w:spacing w:val="45"/>
          <w:sz w:val="20"/>
        </w:rPr>
        <w:t> </w:t>
      </w:r>
      <w:r>
        <w:rPr>
          <w:sz w:val="20"/>
        </w:rPr>
        <w:t>expected</w:t>
      </w:r>
      <w:r>
        <w:rPr>
          <w:spacing w:val="45"/>
          <w:sz w:val="20"/>
        </w:rPr>
        <w:t> </w:t>
      </w:r>
      <w:r>
        <w:rPr>
          <w:sz w:val="20"/>
        </w:rPr>
        <w:t>to</w:t>
      </w:r>
      <w:r>
        <w:rPr>
          <w:spacing w:val="44"/>
          <w:sz w:val="20"/>
        </w:rPr>
        <w:t> </w:t>
      </w:r>
      <w:r>
        <w:rPr>
          <w:sz w:val="20"/>
        </w:rPr>
        <w:t>conduct</w:t>
      </w:r>
      <w:r>
        <w:rPr>
          <w:spacing w:val="46"/>
          <w:sz w:val="20"/>
        </w:rPr>
        <w:t> </w:t>
      </w:r>
      <w:r>
        <w:rPr>
          <w:sz w:val="20"/>
        </w:rPr>
        <w:t>a</w:t>
      </w:r>
      <w:r>
        <w:rPr>
          <w:spacing w:val="48"/>
          <w:sz w:val="20"/>
        </w:rPr>
        <w:t> </w:t>
      </w:r>
      <w:r>
        <w:rPr>
          <w:sz w:val="20"/>
        </w:rPr>
        <w:t>validation</w:t>
      </w:r>
      <w:r>
        <w:rPr>
          <w:spacing w:val="45"/>
          <w:sz w:val="20"/>
        </w:rPr>
        <w:t> </w:t>
      </w:r>
      <w:r>
        <w:rPr>
          <w:sz w:val="20"/>
        </w:rPr>
        <w:t>of</w:t>
      </w:r>
      <w:r>
        <w:rPr>
          <w:spacing w:val="47"/>
          <w:sz w:val="20"/>
        </w:rPr>
        <w:t> </w:t>
      </w:r>
      <w:r>
        <w:rPr>
          <w:sz w:val="20"/>
        </w:rPr>
        <w:t>these</w:t>
      </w:r>
      <w:r>
        <w:rPr>
          <w:spacing w:val="45"/>
          <w:sz w:val="20"/>
        </w:rPr>
        <w:t> </w:t>
      </w:r>
      <w:r>
        <w:rPr>
          <w:sz w:val="20"/>
        </w:rPr>
        <w:t>items</w:t>
      </w:r>
      <w:r>
        <w:rPr>
          <w:spacing w:val="44"/>
          <w:sz w:val="20"/>
        </w:rPr>
        <w:t> </w:t>
      </w:r>
      <w:r>
        <w:rPr>
          <w:sz w:val="20"/>
        </w:rPr>
        <w:t>for</w:t>
      </w:r>
      <w:r>
        <w:rPr>
          <w:spacing w:val="44"/>
          <w:sz w:val="20"/>
        </w:rPr>
        <w:t> </w:t>
      </w:r>
      <w:r>
        <w:rPr>
          <w:sz w:val="20"/>
        </w:rPr>
        <w:t>completeness</w:t>
      </w:r>
      <w:r>
        <w:rPr>
          <w:spacing w:val="47"/>
          <w:sz w:val="20"/>
        </w:rPr>
        <w:t> </w:t>
      </w:r>
      <w:r>
        <w:rPr>
          <w:sz w:val="20"/>
        </w:rPr>
        <w:t>and</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8"/>
        <w:jc w:val="both"/>
      </w:pPr>
      <w:r>
        <w:rPr/>
        <w:t>consistency, which should be completed before the deadline for exchanging this information described below. Guidance would support lead tax administrations in performing a validation and other tax administrations</w:t>
      </w:r>
      <w:r>
        <w:rPr>
          <w:spacing w:val="-7"/>
        </w:rPr>
        <w:t> </w:t>
      </w:r>
      <w:r>
        <w:rPr/>
        <w:t>in</w:t>
      </w:r>
      <w:r>
        <w:rPr>
          <w:spacing w:val="-8"/>
        </w:rPr>
        <w:t> </w:t>
      </w:r>
      <w:r>
        <w:rPr/>
        <w:t>understanding</w:t>
      </w:r>
      <w:r>
        <w:rPr>
          <w:spacing w:val="-7"/>
        </w:rPr>
        <w:t> </w:t>
      </w:r>
      <w:r>
        <w:rPr/>
        <w:t>the</w:t>
      </w:r>
      <w:r>
        <w:rPr>
          <w:spacing w:val="-6"/>
        </w:rPr>
        <w:t> </w:t>
      </w:r>
      <w:r>
        <w:rPr/>
        <w:t>extent</w:t>
      </w:r>
      <w:r>
        <w:rPr>
          <w:spacing w:val="-4"/>
        </w:rPr>
        <w:t> </w:t>
      </w:r>
      <w:r>
        <w:rPr/>
        <w:t>of</w:t>
      </w:r>
      <w:r>
        <w:rPr>
          <w:spacing w:val="-6"/>
        </w:rPr>
        <w:t> </w:t>
      </w:r>
      <w:r>
        <w:rPr/>
        <w:t>the</w:t>
      </w:r>
      <w:r>
        <w:rPr>
          <w:spacing w:val="-5"/>
        </w:rPr>
        <w:t> </w:t>
      </w:r>
      <w:r>
        <w:rPr/>
        <w:t>validation</w:t>
      </w:r>
      <w:r>
        <w:rPr>
          <w:spacing w:val="-7"/>
        </w:rPr>
        <w:t> </w:t>
      </w:r>
      <w:r>
        <w:rPr/>
        <w:t>expected.</w:t>
      </w:r>
      <w:r>
        <w:rPr>
          <w:spacing w:val="-5"/>
        </w:rPr>
        <w:t> </w:t>
      </w:r>
      <w:r>
        <w:rPr/>
        <w:t>In</w:t>
      </w:r>
      <w:r>
        <w:rPr>
          <w:spacing w:val="-7"/>
        </w:rPr>
        <w:t> </w:t>
      </w:r>
      <w:r>
        <w:rPr/>
        <w:t>conducting</w:t>
      </w:r>
      <w:r>
        <w:rPr>
          <w:spacing w:val="-8"/>
        </w:rPr>
        <w:t> </w:t>
      </w:r>
      <w:r>
        <w:rPr/>
        <w:t>a</w:t>
      </w:r>
      <w:r>
        <w:rPr>
          <w:spacing w:val="-5"/>
        </w:rPr>
        <w:t> </w:t>
      </w:r>
      <w:r>
        <w:rPr/>
        <w:t>validation,</w:t>
      </w:r>
      <w:r>
        <w:rPr>
          <w:spacing w:val="-8"/>
        </w:rPr>
        <w:t> </w:t>
      </w:r>
      <w:r>
        <w:rPr/>
        <w:t>the</w:t>
      </w:r>
      <w:r>
        <w:rPr>
          <w:spacing w:val="-5"/>
        </w:rPr>
        <w:t> </w:t>
      </w:r>
      <w:r>
        <w:rPr/>
        <w:t>lead tax administration is not expected to independently confirm the accuracy of information provided by the MNE group or the application of rules for determining and allocating Amount A, but should request clarification or additional information from the co-ordinating entity where any element appears incomplete or</w:t>
      </w:r>
      <w:r>
        <w:rPr>
          <w:spacing w:val="-10"/>
        </w:rPr>
        <w:t> </w:t>
      </w:r>
      <w:r>
        <w:rPr/>
        <w:t>if</w:t>
      </w:r>
      <w:r>
        <w:rPr>
          <w:spacing w:val="-8"/>
        </w:rPr>
        <w:t> </w:t>
      </w:r>
      <w:r>
        <w:rPr/>
        <w:t>there</w:t>
      </w:r>
      <w:r>
        <w:rPr>
          <w:spacing w:val="-10"/>
        </w:rPr>
        <w:t> </w:t>
      </w:r>
      <w:r>
        <w:rPr/>
        <w:t>is</w:t>
      </w:r>
      <w:r>
        <w:rPr>
          <w:spacing w:val="-9"/>
        </w:rPr>
        <w:t> </w:t>
      </w:r>
      <w:r>
        <w:rPr/>
        <w:t>inconsistency</w:t>
      </w:r>
      <w:r>
        <w:rPr>
          <w:spacing w:val="-11"/>
        </w:rPr>
        <w:t> </w:t>
      </w:r>
      <w:r>
        <w:rPr/>
        <w:t>within</w:t>
      </w:r>
      <w:r>
        <w:rPr>
          <w:spacing w:val="-10"/>
        </w:rPr>
        <w:t> </w:t>
      </w:r>
      <w:r>
        <w:rPr/>
        <w:t>the</w:t>
      </w:r>
      <w:r>
        <w:rPr>
          <w:spacing w:val="-9"/>
        </w:rPr>
        <w:t> </w:t>
      </w:r>
      <w:r>
        <w:rPr/>
        <w:t>information</w:t>
      </w:r>
      <w:r>
        <w:rPr>
          <w:spacing w:val="-10"/>
        </w:rPr>
        <w:t> </w:t>
      </w:r>
      <w:r>
        <w:rPr/>
        <w:t>and</w:t>
      </w:r>
      <w:r>
        <w:rPr>
          <w:spacing w:val="-10"/>
        </w:rPr>
        <w:t> </w:t>
      </w:r>
      <w:r>
        <w:rPr/>
        <w:t>documentation</w:t>
      </w:r>
      <w:r>
        <w:rPr>
          <w:spacing w:val="-9"/>
        </w:rPr>
        <w:t> </w:t>
      </w:r>
      <w:r>
        <w:rPr/>
        <w:t>provided.</w:t>
      </w:r>
      <w:r>
        <w:rPr>
          <w:spacing w:val="-10"/>
        </w:rPr>
        <w:t> </w:t>
      </w:r>
      <w:r>
        <w:rPr/>
        <w:t>In</w:t>
      </w:r>
      <w:r>
        <w:rPr>
          <w:spacing w:val="-9"/>
        </w:rPr>
        <w:t> </w:t>
      </w:r>
      <w:r>
        <w:rPr/>
        <w:t>other</w:t>
      </w:r>
      <w:r>
        <w:rPr>
          <w:spacing w:val="-8"/>
        </w:rPr>
        <w:t> </w:t>
      </w:r>
      <w:r>
        <w:rPr/>
        <w:t>words,</w:t>
      </w:r>
      <w:r>
        <w:rPr>
          <w:spacing w:val="-10"/>
        </w:rPr>
        <w:t> </w:t>
      </w:r>
      <w:r>
        <w:rPr/>
        <w:t>this</w:t>
      </w:r>
      <w:r>
        <w:rPr>
          <w:spacing w:val="-9"/>
        </w:rPr>
        <w:t> </w:t>
      </w:r>
      <w:r>
        <w:rPr/>
        <w:t>process is</w:t>
      </w:r>
      <w:r>
        <w:rPr>
          <w:spacing w:val="-7"/>
        </w:rPr>
        <w:t> </w:t>
      </w:r>
      <w:r>
        <w:rPr/>
        <w:t>intended</w:t>
      </w:r>
      <w:r>
        <w:rPr>
          <w:spacing w:val="-8"/>
        </w:rPr>
        <w:t> </w:t>
      </w:r>
      <w:r>
        <w:rPr/>
        <w:t>to</w:t>
      </w:r>
      <w:r>
        <w:rPr>
          <w:spacing w:val="-8"/>
        </w:rPr>
        <w:t> </w:t>
      </w:r>
      <w:r>
        <w:rPr/>
        <w:t>identify</w:t>
      </w:r>
      <w:r>
        <w:rPr>
          <w:spacing w:val="-10"/>
        </w:rPr>
        <w:t> </w:t>
      </w:r>
      <w:r>
        <w:rPr/>
        <w:t>obvious</w:t>
      </w:r>
      <w:r>
        <w:rPr>
          <w:spacing w:val="-8"/>
        </w:rPr>
        <w:t> </w:t>
      </w:r>
      <w:r>
        <w:rPr/>
        <w:t>errors</w:t>
      </w:r>
      <w:r>
        <w:rPr>
          <w:spacing w:val="-6"/>
        </w:rPr>
        <w:t> </w:t>
      </w:r>
      <w:r>
        <w:rPr/>
        <w:t>before</w:t>
      </w:r>
      <w:r>
        <w:rPr>
          <w:spacing w:val="-7"/>
        </w:rPr>
        <w:t> </w:t>
      </w:r>
      <w:r>
        <w:rPr/>
        <w:t>information</w:t>
      </w:r>
      <w:r>
        <w:rPr>
          <w:spacing w:val="-8"/>
        </w:rPr>
        <w:t> </w:t>
      </w:r>
      <w:r>
        <w:rPr/>
        <w:t>is</w:t>
      </w:r>
      <w:r>
        <w:rPr>
          <w:spacing w:val="-6"/>
        </w:rPr>
        <w:t> </w:t>
      </w:r>
      <w:r>
        <w:rPr/>
        <w:t>exchanged</w:t>
      </w:r>
      <w:r>
        <w:rPr>
          <w:spacing w:val="-6"/>
        </w:rPr>
        <w:t> </w:t>
      </w:r>
      <w:r>
        <w:rPr/>
        <w:t>with</w:t>
      </w:r>
      <w:r>
        <w:rPr>
          <w:spacing w:val="-5"/>
        </w:rPr>
        <w:t> </w:t>
      </w:r>
      <w:r>
        <w:rPr/>
        <w:t>other</w:t>
      </w:r>
      <w:r>
        <w:rPr>
          <w:spacing w:val="-7"/>
        </w:rPr>
        <w:t> </w:t>
      </w:r>
      <w:r>
        <w:rPr/>
        <w:t>tax</w:t>
      </w:r>
      <w:r>
        <w:rPr>
          <w:spacing w:val="-7"/>
        </w:rPr>
        <w:t> </w:t>
      </w:r>
      <w:r>
        <w:rPr/>
        <w:t>administrations,</w:t>
      </w:r>
      <w:r>
        <w:rPr>
          <w:spacing w:val="-7"/>
        </w:rPr>
        <w:t> </w:t>
      </w:r>
      <w:r>
        <w:rPr/>
        <w:t>but</w:t>
      </w:r>
      <w:r>
        <w:rPr>
          <w:spacing w:val="-5"/>
        </w:rPr>
        <w:t> </w:t>
      </w:r>
      <w:r>
        <w:rPr/>
        <w:t>is not intended to involve any substantive review of the MNE group’s</w:t>
      </w:r>
      <w:r>
        <w:rPr>
          <w:spacing w:val="-11"/>
        </w:rPr>
        <w:t> </w:t>
      </w:r>
      <w:r>
        <w:rPr/>
        <w:t>self-assessment.</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In some cases, an MNE group may be required to submit a corrected self-assessment return and/or documentation package addressing these points. In most cases, the corrected self-assessment return and/or documentation package should be provided by the co-ordinating entity in the MNE group within [one month] of receiving instruction from the lead tax</w:t>
      </w:r>
      <w:r>
        <w:rPr>
          <w:spacing w:val="-10"/>
          <w:sz w:val="20"/>
        </w:rPr>
        <w:t> </w:t>
      </w:r>
      <w:r>
        <w:rPr>
          <w:sz w:val="20"/>
        </w:rPr>
        <w:t>administration.</w:t>
      </w:r>
    </w:p>
    <w:p>
      <w:pPr>
        <w:pStyle w:val="BodyText"/>
        <w:spacing w:before="1"/>
      </w:pPr>
    </w:p>
    <w:p>
      <w:pPr>
        <w:pStyle w:val="Heading7"/>
        <w:rPr>
          <w:i/>
        </w:rPr>
      </w:pPr>
      <w:bookmarkStart w:name="Exchange of the self-assessment return a" w:id="422"/>
      <w:bookmarkEnd w:id="422"/>
      <w:r>
        <w:rPr>
          <w:i w:val="0"/>
        </w:rPr>
      </w:r>
      <w:r>
        <w:rPr>
          <w:i/>
          <w:color w:val="616161"/>
        </w:rPr>
        <w:t>Exchange of the self-assessment return and documentation package</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The self-assessment return and documentation package will be exchanged by the lead tax administration</w:t>
      </w:r>
      <w:r>
        <w:rPr>
          <w:spacing w:val="-4"/>
          <w:sz w:val="20"/>
        </w:rPr>
        <w:t> </w:t>
      </w:r>
      <w:r>
        <w:rPr>
          <w:sz w:val="20"/>
        </w:rPr>
        <w:t>with</w:t>
      </w:r>
      <w:r>
        <w:rPr>
          <w:spacing w:val="-4"/>
          <w:sz w:val="20"/>
        </w:rPr>
        <w:t> </w:t>
      </w:r>
      <w:r>
        <w:rPr>
          <w:sz w:val="20"/>
        </w:rPr>
        <w:t>tax</w:t>
      </w:r>
      <w:r>
        <w:rPr>
          <w:spacing w:val="-4"/>
          <w:sz w:val="20"/>
        </w:rPr>
        <w:t> </w:t>
      </w:r>
      <w:r>
        <w:rPr>
          <w:sz w:val="20"/>
        </w:rPr>
        <w:t>administrations</w:t>
      </w:r>
      <w:r>
        <w:rPr>
          <w:spacing w:val="-4"/>
          <w:sz w:val="20"/>
        </w:rPr>
        <w:t> </w:t>
      </w:r>
      <w:r>
        <w:rPr>
          <w:sz w:val="20"/>
        </w:rPr>
        <w:t>in</w:t>
      </w:r>
      <w:r>
        <w:rPr>
          <w:spacing w:val="-5"/>
          <w:sz w:val="20"/>
        </w:rPr>
        <w:t> </w:t>
      </w:r>
      <w:r>
        <w:rPr>
          <w:sz w:val="20"/>
        </w:rPr>
        <w:t>other</w:t>
      </w:r>
      <w:r>
        <w:rPr>
          <w:spacing w:val="-4"/>
          <w:sz w:val="20"/>
        </w:rPr>
        <w:t> </w:t>
      </w:r>
      <w:r>
        <w:rPr>
          <w:sz w:val="20"/>
        </w:rPr>
        <w:t>jurisdictions</w:t>
      </w:r>
      <w:r>
        <w:rPr>
          <w:spacing w:val="-3"/>
          <w:sz w:val="20"/>
        </w:rPr>
        <w:t> </w:t>
      </w:r>
      <w:r>
        <w:rPr>
          <w:sz w:val="20"/>
        </w:rPr>
        <w:t>where</w:t>
      </w:r>
      <w:r>
        <w:rPr>
          <w:spacing w:val="-4"/>
          <w:sz w:val="20"/>
        </w:rPr>
        <w:t> </w:t>
      </w:r>
      <w:r>
        <w:rPr>
          <w:sz w:val="20"/>
        </w:rPr>
        <w:t>the</w:t>
      </w:r>
      <w:r>
        <w:rPr>
          <w:spacing w:val="-4"/>
          <w:sz w:val="20"/>
        </w:rPr>
        <w:t> </w:t>
      </w:r>
      <w:r>
        <w:rPr>
          <w:sz w:val="20"/>
        </w:rPr>
        <w:t>MNE</w:t>
      </w:r>
      <w:r>
        <w:rPr>
          <w:spacing w:val="-4"/>
          <w:sz w:val="20"/>
        </w:rPr>
        <w:t> </w:t>
      </w:r>
      <w:r>
        <w:rPr>
          <w:sz w:val="20"/>
        </w:rPr>
        <w:t>group</w:t>
      </w:r>
      <w:r>
        <w:rPr>
          <w:spacing w:val="-3"/>
          <w:sz w:val="20"/>
        </w:rPr>
        <w:t> </w:t>
      </w:r>
      <w:r>
        <w:rPr>
          <w:sz w:val="20"/>
        </w:rPr>
        <w:t>has</w:t>
      </w:r>
      <w:r>
        <w:rPr>
          <w:spacing w:val="-4"/>
          <w:sz w:val="20"/>
        </w:rPr>
        <w:t> </w:t>
      </w:r>
      <w:r>
        <w:rPr>
          <w:sz w:val="20"/>
        </w:rPr>
        <w:t>a</w:t>
      </w:r>
      <w:r>
        <w:rPr>
          <w:spacing w:val="-6"/>
          <w:sz w:val="20"/>
        </w:rPr>
        <w:t> </w:t>
      </w:r>
      <w:r>
        <w:rPr>
          <w:sz w:val="20"/>
        </w:rPr>
        <w:t>constituent</w:t>
      </w:r>
      <w:r>
        <w:rPr>
          <w:spacing w:val="-6"/>
          <w:sz w:val="20"/>
        </w:rPr>
        <w:t> </w:t>
      </w:r>
      <w:r>
        <w:rPr>
          <w:sz w:val="20"/>
        </w:rPr>
        <w:t>entity and those where it has a market that meets the applicable threshold, or did so in the previous fiscal year (jointly referred to as “affected tax administrations”). These jurisdictions will be identified by the lead tax administration using information provided by the MNE group. Jurisdictions where an MNE group had a constituent</w:t>
      </w:r>
      <w:r>
        <w:rPr>
          <w:spacing w:val="-7"/>
          <w:sz w:val="20"/>
        </w:rPr>
        <w:t> </w:t>
      </w:r>
      <w:r>
        <w:rPr>
          <w:sz w:val="20"/>
        </w:rPr>
        <w:t>entity</w:t>
      </w:r>
      <w:r>
        <w:rPr>
          <w:spacing w:val="-9"/>
          <w:sz w:val="20"/>
        </w:rPr>
        <w:t> </w:t>
      </w:r>
      <w:r>
        <w:rPr>
          <w:sz w:val="20"/>
        </w:rPr>
        <w:t>or</w:t>
      </w:r>
      <w:r>
        <w:rPr>
          <w:spacing w:val="-7"/>
          <w:sz w:val="20"/>
        </w:rPr>
        <w:t> </w:t>
      </w:r>
      <w:r>
        <w:rPr>
          <w:sz w:val="20"/>
        </w:rPr>
        <w:t>a</w:t>
      </w:r>
      <w:r>
        <w:rPr>
          <w:spacing w:val="-7"/>
          <w:sz w:val="20"/>
        </w:rPr>
        <w:t> </w:t>
      </w:r>
      <w:r>
        <w:rPr>
          <w:sz w:val="20"/>
        </w:rPr>
        <w:t>market</w:t>
      </w:r>
      <w:r>
        <w:rPr>
          <w:spacing w:val="-7"/>
          <w:sz w:val="20"/>
        </w:rPr>
        <w:t> </w:t>
      </w:r>
      <w:r>
        <w:rPr>
          <w:sz w:val="20"/>
        </w:rPr>
        <w:t>in</w:t>
      </w:r>
      <w:r>
        <w:rPr>
          <w:spacing w:val="-7"/>
          <w:sz w:val="20"/>
        </w:rPr>
        <w:t> </w:t>
      </w:r>
      <w:r>
        <w:rPr>
          <w:sz w:val="20"/>
        </w:rPr>
        <w:t>the</w:t>
      </w:r>
      <w:r>
        <w:rPr>
          <w:spacing w:val="-7"/>
          <w:sz w:val="20"/>
        </w:rPr>
        <w:t> </w:t>
      </w:r>
      <w:r>
        <w:rPr>
          <w:sz w:val="20"/>
        </w:rPr>
        <w:t>previous</w:t>
      </w:r>
      <w:r>
        <w:rPr>
          <w:spacing w:val="-6"/>
          <w:sz w:val="20"/>
        </w:rPr>
        <w:t> </w:t>
      </w:r>
      <w:r>
        <w:rPr>
          <w:sz w:val="20"/>
        </w:rPr>
        <w:t>fiscal</w:t>
      </w:r>
      <w:r>
        <w:rPr>
          <w:spacing w:val="-5"/>
          <w:sz w:val="20"/>
        </w:rPr>
        <w:t> </w:t>
      </w:r>
      <w:r>
        <w:rPr>
          <w:sz w:val="20"/>
        </w:rPr>
        <w:t>year</w:t>
      </w:r>
      <w:r>
        <w:rPr>
          <w:spacing w:val="-2"/>
          <w:sz w:val="20"/>
        </w:rPr>
        <w:t> </w:t>
      </w:r>
      <w:r>
        <w:rPr>
          <w:sz w:val="20"/>
        </w:rPr>
        <w:t>are</w:t>
      </w:r>
      <w:r>
        <w:rPr>
          <w:spacing w:val="-6"/>
          <w:sz w:val="20"/>
        </w:rPr>
        <w:t> </w:t>
      </w:r>
      <w:r>
        <w:rPr>
          <w:sz w:val="20"/>
        </w:rPr>
        <w:t>included</w:t>
      </w:r>
      <w:r>
        <w:rPr>
          <w:spacing w:val="-7"/>
          <w:sz w:val="20"/>
        </w:rPr>
        <w:t> </w:t>
      </w:r>
      <w:r>
        <w:rPr>
          <w:sz w:val="20"/>
        </w:rPr>
        <w:t>to</w:t>
      </w:r>
      <w:r>
        <w:rPr>
          <w:spacing w:val="-7"/>
          <w:sz w:val="20"/>
        </w:rPr>
        <w:t> </w:t>
      </w:r>
      <w:r>
        <w:rPr>
          <w:sz w:val="20"/>
        </w:rPr>
        <w:t>ensure</w:t>
      </w:r>
      <w:r>
        <w:rPr>
          <w:spacing w:val="-6"/>
          <w:sz w:val="20"/>
        </w:rPr>
        <w:t> </w:t>
      </w:r>
      <w:r>
        <w:rPr>
          <w:sz w:val="20"/>
        </w:rPr>
        <w:t>that,</w:t>
      </w:r>
      <w:r>
        <w:rPr>
          <w:spacing w:val="-7"/>
          <w:sz w:val="20"/>
        </w:rPr>
        <w:t> </w:t>
      </w:r>
      <w:r>
        <w:rPr>
          <w:sz w:val="20"/>
        </w:rPr>
        <w:t>where</w:t>
      </w:r>
      <w:r>
        <w:rPr>
          <w:spacing w:val="-6"/>
          <w:sz w:val="20"/>
        </w:rPr>
        <w:t> </w:t>
      </w:r>
      <w:r>
        <w:rPr>
          <w:sz w:val="20"/>
        </w:rPr>
        <w:t>the</w:t>
      </w:r>
      <w:r>
        <w:rPr>
          <w:spacing w:val="-7"/>
          <w:sz w:val="20"/>
        </w:rPr>
        <w:t> </w:t>
      </w:r>
      <w:r>
        <w:rPr>
          <w:sz w:val="20"/>
        </w:rPr>
        <w:t>MNE</w:t>
      </w:r>
      <w:r>
        <w:rPr>
          <w:spacing w:val="-5"/>
          <w:sz w:val="20"/>
        </w:rPr>
        <w:t> </w:t>
      </w:r>
      <w:r>
        <w:rPr>
          <w:sz w:val="20"/>
        </w:rPr>
        <w:t>group reports</w:t>
      </w:r>
      <w:r>
        <w:rPr>
          <w:spacing w:val="-8"/>
          <w:sz w:val="20"/>
        </w:rPr>
        <w:t> </w:t>
      </w:r>
      <w:r>
        <w:rPr>
          <w:sz w:val="20"/>
        </w:rPr>
        <w:t>that</w:t>
      </w:r>
      <w:r>
        <w:rPr>
          <w:spacing w:val="-9"/>
          <w:sz w:val="20"/>
        </w:rPr>
        <w:t> </w:t>
      </w:r>
      <w:r>
        <w:rPr>
          <w:sz w:val="20"/>
        </w:rPr>
        <w:t>it</w:t>
      </w:r>
      <w:r>
        <w:rPr>
          <w:spacing w:val="-9"/>
          <w:sz w:val="20"/>
        </w:rPr>
        <w:t> </w:t>
      </w:r>
      <w:r>
        <w:rPr>
          <w:sz w:val="20"/>
        </w:rPr>
        <w:t>no</w:t>
      </w:r>
      <w:r>
        <w:rPr>
          <w:spacing w:val="-9"/>
          <w:sz w:val="20"/>
        </w:rPr>
        <w:t> </w:t>
      </w:r>
      <w:r>
        <w:rPr>
          <w:sz w:val="20"/>
        </w:rPr>
        <w:t>longer</w:t>
      </w:r>
      <w:r>
        <w:rPr>
          <w:spacing w:val="-8"/>
          <w:sz w:val="20"/>
        </w:rPr>
        <w:t> </w:t>
      </w:r>
      <w:r>
        <w:rPr>
          <w:sz w:val="20"/>
        </w:rPr>
        <w:t>has</w:t>
      </w:r>
      <w:r>
        <w:rPr>
          <w:spacing w:val="-9"/>
          <w:sz w:val="20"/>
        </w:rPr>
        <w:t> </w:t>
      </w:r>
      <w:r>
        <w:rPr>
          <w:sz w:val="20"/>
        </w:rPr>
        <w:t>a</w:t>
      </w:r>
      <w:r>
        <w:rPr>
          <w:spacing w:val="-9"/>
          <w:sz w:val="20"/>
        </w:rPr>
        <w:t> </w:t>
      </w:r>
      <w:r>
        <w:rPr>
          <w:sz w:val="20"/>
        </w:rPr>
        <w:t>constituent</w:t>
      </w:r>
      <w:r>
        <w:rPr>
          <w:spacing w:val="-9"/>
          <w:sz w:val="20"/>
        </w:rPr>
        <w:t> </w:t>
      </w:r>
      <w:r>
        <w:rPr>
          <w:sz w:val="20"/>
        </w:rPr>
        <w:t>entity</w:t>
      </w:r>
      <w:r>
        <w:rPr>
          <w:spacing w:val="-12"/>
          <w:sz w:val="20"/>
        </w:rPr>
        <w:t> </w:t>
      </w:r>
      <w:r>
        <w:rPr>
          <w:sz w:val="20"/>
        </w:rPr>
        <w:t>or</w:t>
      </w:r>
      <w:r>
        <w:rPr>
          <w:spacing w:val="-8"/>
          <w:sz w:val="20"/>
        </w:rPr>
        <w:t> </w:t>
      </w:r>
      <w:r>
        <w:rPr>
          <w:sz w:val="20"/>
        </w:rPr>
        <w:t>a</w:t>
      </w:r>
      <w:r>
        <w:rPr>
          <w:spacing w:val="-9"/>
          <w:sz w:val="20"/>
        </w:rPr>
        <w:t> </w:t>
      </w:r>
      <w:r>
        <w:rPr>
          <w:sz w:val="20"/>
        </w:rPr>
        <w:t>market</w:t>
      </w:r>
      <w:r>
        <w:rPr>
          <w:spacing w:val="-9"/>
          <w:sz w:val="20"/>
        </w:rPr>
        <w:t> </w:t>
      </w:r>
      <w:r>
        <w:rPr>
          <w:sz w:val="20"/>
        </w:rPr>
        <w:t>in</w:t>
      </w:r>
      <w:r>
        <w:rPr>
          <w:spacing w:val="-9"/>
          <w:sz w:val="20"/>
        </w:rPr>
        <w:t> </w:t>
      </w:r>
      <w:r>
        <w:rPr>
          <w:sz w:val="20"/>
        </w:rPr>
        <w:t>such</w:t>
      </w:r>
      <w:r>
        <w:rPr>
          <w:spacing w:val="-9"/>
          <w:sz w:val="20"/>
        </w:rPr>
        <w:t> </w:t>
      </w:r>
      <w:r>
        <w:rPr>
          <w:sz w:val="20"/>
        </w:rPr>
        <w:t>a</w:t>
      </w:r>
      <w:r>
        <w:rPr>
          <w:spacing w:val="-10"/>
          <w:sz w:val="20"/>
        </w:rPr>
        <w:t> </w:t>
      </w:r>
      <w:r>
        <w:rPr>
          <w:sz w:val="20"/>
        </w:rPr>
        <w:t>jurisdiction,</w:t>
      </w:r>
      <w:r>
        <w:rPr>
          <w:spacing w:val="-9"/>
          <w:sz w:val="20"/>
        </w:rPr>
        <w:t> </w:t>
      </w:r>
      <w:r>
        <w:rPr>
          <w:sz w:val="20"/>
        </w:rPr>
        <w:t>these</w:t>
      </w:r>
      <w:r>
        <w:rPr>
          <w:spacing w:val="-9"/>
          <w:sz w:val="20"/>
        </w:rPr>
        <w:t> </w:t>
      </w:r>
      <w:r>
        <w:rPr>
          <w:sz w:val="20"/>
        </w:rPr>
        <w:t>tax</w:t>
      </w:r>
      <w:r>
        <w:rPr>
          <w:spacing w:val="-8"/>
          <w:sz w:val="20"/>
        </w:rPr>
        <w:t> </w:t>
      </w:r>
      <w:r>
        <w:rPr>
          <w:sz w:val="20"/>
        </w:rPr>
        <w:t>administrations have the opportunity to review this and object if necessary. Later in this section a possible accelerated early</w:t>
      </w:r>
      <w:r>
        <w:rPr>
          <w:spacing w:val="-20"/>
          <w:sz w:val="20"/>
        </w:rPr>
        <w:t> </w:t>
      </w:r>
      <w:r>
        <w:rPr>
          <w:sz w:val="20"/>
        </w:rPr>
        <w:t>certainty</w:t>
      </w:r>
      <w:r>
        <w:rPr>
          <w:spacing w:val="-17"/>
          <w:sz w:val="20"/>
        </w:rPr>
        <w:t> </w:t>
      </w:r>
      <w:r>
        <w:rPr>
          <w:sz w:val="20"/>
        </w:rPr>
        <w:t>process</w:t>
      </w:r>
      <w:r>
        <w:rPr>
          <w:spacing w:val="-12"/>
          <w:sz w:val="20"/>
        </w:rPr>
        <w:t> </w:t>
      </w:r>
      <w:r>
        <w:rPr>
          <w:sz w:val="20"/>
        </w:rPr>
        <w:t>is</w:t>
      </w:r>
      <w:r>
        <w:rPr>
          <w:spacing w:val="-13"/>
          <w:sz w:val="20"/>
        </w:rPr>
        <w:t> </w:t>
      </w:r>
      <w:r>
        <w:rPr>
          <w:sz w:val="20"/>
        </w:rPr>
        <w:t>described</w:t>
      </w:r>
      <w:r>
        <w:rPr>
          <w:spacing w:val="-14"/>
          <w:sz w:val="20"/>
        </w:rPr>
        <w:t> </w:t>
      </w:r>
      <w:r>
        <w:rPr>
          <w:sz w:val="20"/>
        </w:rPr>
        <w:t>for</w:t>
      </w:r>
      <w:r>
        <w:rPr>
          <w:spacing w:val="-16"/>
          <w:sz w:val="20"/>
        </w:rPr>
        <w:t> </w:t>
      </w:r>
      <w:r>
        <w:rPr>
          <w:sz w:val="20"/>
        </w:rPr>
        <w:t>cases</w:t>
      </w:r>
      <w:r>
        <w:rPr>
          <w:spacing w:val="-13"/>
          <w:sz w:val="20"/>
        </w:rPr>
        <w:t> </w:t>
      </w:r>
      <w:r>
        <w:rPr>
          <w:sz w:val="20"/>
        </w:rPr>
        <w:t>where</w:t>
      </w:r>
      <w:r>
        <w:rPr>
          <w:spacing w:val="-15"/>
          <w:sz w:val="20"/>
        </w:rPr>
        <w:t> </w:t>
      </w:r>
      <w:r>
        <w:rPr>
          <w:sz w:val="20"/>
        </w:rPr>
        <w:t>a</w:t>
      </w:r>
      <w:r>
        <w:rPr>
          <w:spacing w:val="-16"/>
          <w:sz w:val="20"/>
        </w:rPr>
        <w:t> </w:t>
      </w:r>
      <w:r>
        <w:rPr>
          <w:sz w:val="20"/>
        </w:rPr>
        <w:t>tax</w:t>
      </w:r>
      <w:r>
        <w:rPr>
          <w:spacing w:val="-13"/>
          <w:sz w:val="20"/>
        </w:rPr>
        <w:t> </w:t>
      </w:r>
      <w:r>
        <w:rPr>
          <w:sz w:val="20"/>
        </w:rPr>
        <w:t>administration</w:t>
      </w:r>
      <w:r>
        <w:rPr>
          <w:spacing w:val="-14"/>
          <w:sz w:val="20"/>
        </w:rPr>
        <w:t> </w:t>
      </w:r>
      <w:r>
        <w:rPr>
          <w:sz w:val="20"/>
        </w:rPr>
        <w:t>believes</w:t>
      </w:r>
      <w:r>
        <w:rPr>
          <w:spacing w:val="-15"/>
          <w:sz w:val="20"/>
        </w:rPr>
        <w:t> </w:t>
      </w:r>
      <w:r>
        <w:rPr>
          <w:sz w:val="20"/>
        </w:rPr>
        <w:t>that</w:t>
      </w:r>
      <w:r>
        <w:rPr>
          <w:spacing w:val="-15"/>
          <w:sz w:val="20"/>
        </w:rPr>
        <w:t> </w:t>
      </w:r>
      <w:r>
        <w:rPr>
          <w:sz w:val="20"/>
        </w:rPr>
        <w:t>its</w:t>
      </w:r>
      <w:r>
        <w:rPr>
          <w:spacing w:val="-13"/>
          <w:sz w:val="20"/>
        </w:rPr>
        <w:t> </w:t>
      </w:r>
      <w:r>
        <w:rPr>
          <w:sz w:val="20"/>
        </w:rPr>
        <w:t>jurisdiction</w:t>
      </w:r>
      <w:r>
        <w:rPr>
          <w:spacing w:val="-15"/>
          <w:sz w:val="20"/>
        </w:rPr>
        <w:t> </w:t>
      </w:r>
      <w:r>
        <w:rPr>
          <w:sz w:val="20"/>
        </w:rPr>
        <w:t>should be included on an MNE group’s list of market jurisdictions, but it has not been included on the list by the MNE</w:t>
      </w:r>
      <w:r>
        <w:rPr>
          <w:spacing w:val="-1"/>
          <w:sz w:val="20"/>
        </w:rPr>
        <w:t> </w:t>
      </w:r>
      <w:r>
        <w:rPr>
          <w:sz w:val="20"/>
        </w:rPr>
        <w:t>group.</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The usual deadline for the exchange of CbCRs under BEPS Action 13 is 15 months after the end of the relevant fiscal year and a similar approach could be applied to Amount A information. Where the lead</w:t>
      </w:r>
      <w:r>
        <w:rPr>
          <w:spacing w:val="-15"/>
          <w:sz w:val="20"/>
        </w:rPr>
        <w:t> </w:t>
      </w:r>
      <w:r>
        <w:rPr>
          <w:sz w:val="20"/>
        </w:rPr>
        <w:t>tax</w:t>
      </w:r>
      <w:r>
        <w:rPr>
          <w:spacing w:val="-13"/>
          <w:sz w:val="20"/>
        </w:rPr>
        <w:t> </w:t>
      </w:r>
      <w:r>
        <w:rPr>
          <w:sz w:val="20"/>
        </w:rPr>
        <w:t>administration</w:t>
      </w:r>
      <w:r>
        <w:rPr>
          <w:spacing w:val="-13"/>
          <w:sz w:val="20"/>
        </w:rPr>
        <w:t> </w:t>
      </w:r>
      <w:r>
        <w:rPr>
          <w:sz w:val="20"/>
        </w:rPr>
        <w:t>is</w:t>
      </w:r>
      <w:r>
        <w:rPr>
          <w:spacing w:val="-12"/>
          <w:sz w:val="20"/>
        </w:rPr>
        <w:t> </w:t>
      </w:r>
      <w:r>
        <w:rPr>
          <w:sz w:val="20"/>
        </w:rPr>
        <w:t>awaiting</w:t>
      </w:r>
      <w:r>
        <w:rPr>
          <w:spacing w:val="-13"/>
          <w:sz w:val="20"/>
        </w:rPr>
        <w:t> </w:t>
      </w:r>
      <w:r>
        <w:rPr>
          <w:sz w:val="20"/>
        </w:rPr>
        <w:t>a</w:t>
      </w:r>
      <w:r>
        <w:rPr>
          <w:spacing w:val="-14"/>
          <w:sz w:val="20"/>
        </w:rPr>
        <w:t> </w:t>
      </w:r>
      <w:r>
        <w:rPr>
          <w:sz w:val="20"/>
        </w:rPr>
        <w:t>corrected</w:t>
      </w:r>
      <w:r>
        <w:rPr>
          <w:spacing w:val="-14"/>
          <w:sz w:val="20"/>
        </w:rPr>
        <w:t> </w:t>
      </w:r>
      <w:r>
        <w:rPr>
          <w:sz w:val="20"/>
        </w:rPr>
        <w:t>self-assessment</w:t>
      </w:r>
      <w:r>
        <w:rPr>
          <w:spacing w:val="-15"/>
          <w:sz w:val="20"/>
        </w:rPr>
        <w:t> </w:t>
      </w:r>
      <w:r>
        <w:rPr>
          <w:sz w:val="20"/>
        </w:rPr>
        <w:t>return</w:t>
      </w:r>
      <w:r>
        <w:rPr>
          <w:spacing w:val="-14"/>
          <w:sz w:val="20"/>
        </w:rPr>
        <w:t> </w:t>
      </w:r>
      <w:r>
        <w:rPr>
          <w:sz w:val="20"/>
        </w:rPr>
        <w:t>from</w:t>
      </w:r>
      <w:r>
        <w:rPr>
          <w:spacing w:val="-10"/>
          <w:sz w:val="20"/>
        </w:rPr>
        <w:t> </w:t>
      </w:r>
      <w:r>
        <w:rPr>
          <w:sz w:val="20"/>
        </w:rPr>
        <w:t>the</w:t>
      </w:r>
      <w:r>
        <w:rPr>
          <w:spacing w:val="-14"/>
          <w:sz w:val="20"/>
        </w:rPr>
        <w:t> </w:t>
      </w:r>
      <w:r>
        <w:rPr>
          <w:sz w:val="20"/>
        </w:rPr>
        <w:t>MNE</w:t>
      </w:r>
      <w:r>
        <w:rPr>
          <w:spacing w:val="-14"/>
          <w:sz w:val="20"/>
        </w:rPr>
        <w:t> </w:t>
      </w:r>
      <w:r>
        <w:rPr>
          <w:sz w:val="20"/>
        </w:rPr>
        <w:t>group,</w:t>
      </w:r>
      <w:r>
        <w:rPr>
          <w:spacing w:val="-15"/>
          <w:sz w:val="20"/>
        </w:rPr>
        <w:t> </w:t>
      </w:r>
      <w:r>
        <w:rPr>
          <w:sz w:val="20"/>
        </w:rPr>
        <w:t>it</w:t>
      </w:r>
      <w:r>
        <w:rPr>
          <w:spacing w:val="-14"/>
          <w:sz w:val="20"/>
        </w:rPr>
        <w:t> </w:t>
      </w:r>
      <w:r>
        <w:rPr>
          <w:sz w:val="20"/>
        </w:rPr>
        <w:t>should</w:t>
      </w:r>
      <w:r>
        <w:rPr>
          <w:spacing w:val="-12"/>
          <w:sz w:val="20"/>
        </w:rPr>
        <w:t> </w:t>
      </w:r>
      <w:r>
        <w:rPr>
          <w:sz w:val="20"/>
        </w:rPr>
        <w:t>inform affected tax administrations and then exchange the revised self-assessment return and documentation package within [one month] of receiving it from the co-ordinating entity. Provisions may be needed within the</w:t>
      </w:r>
      <w:r>
        <w:rPr>
          <w:spacing w:val="-8"/>
          <w:sz w:val="20"/>
        </w:rPr>
        <w:t> </w:t>
      </w:r>
      <w:r>
        <w:rPr>
          <w:sz w:val="20"/>
        </w:rPr>
        <w:t>planned</w:t>
      </w:r>
      <w:r>
        <w:rPr>
          <w:spacing w:val="-7"/>
          <w:sz w:val="20"/>
        </w:rPr>
        <w:t> </w:t>
      </w:r>
      <w:r>
        <w:rPr>
          <w:sz w:val="20"/>
        </w:rPr>
        <w:t>multilateral</w:t>
      </w:r>
      <w:r>
        <w:rPr>
          <w:spacing w:val="-7"/>
          <w:sz w:val="20"/>
        </w:rPr>
        <w:t> </w:t>
      </w:r>
      <w:r>
        <w:rPr>
          <w:sz w:val="20"/>
        </w:rPr>
        <w:t>instrument</w:t>
      </w:r>
      <w:r>
        <w:rPr>
          <w:spacing w:val="-9"/>
          <w:sz w:val="20"/>
        </w:rPr>
        <w:t> </w:t>
      </w:r>
      <w:r>
        <w:rPr>
          <w:sz w:val="20"/>
        </w:rPr>
        <w:t>and/or</w:t>
      </w:r>
      <w:r>
        <w:rPr>
          <w:spacing w:val="-8"/>
          <w:sz w:val="20"/>
        </w:rPr>
        <w:t> </w:t>
      </w:r>
      <w:r>
        <w:rPr>
          <w:sz w:val="20"/>
        </w:rPr>
        <w:t>domestic</w:t>
      </w:r>
      <w:r>
        <w:rPr>
          <w:spacing w:val="-8"/>
          <w:sz w:val="20"/>
        </w:rPr>
        <w:t> </w:t>
      </w:r>
      <w:r>
        <w:rPr>
          <w:sz w:val="20"/>
        </w:rPr>
        <w:t>law</w:t>
      </w:r>
      <w:r>
        <w:rPr>
          <w:spacing w:val="-8"/>
          <w:sz w:val="20"/>
        </w:rPr>
        <w:t> </w:t>
      </w:r>
      <w:r>
        <w:rPr>
          <w:sz w:val="20"/>
        </w:rPr>
        <w:t>to</w:t>
      </w:r>
      <w:r>
        <w:rPr>
          <w:spacing w:val="-7"/>
          <w:sz w:val="20"/>
        </w:rPr>
        <w:t> </w:t>
      </w:r>
      <w:r>
        <w:rPr>
          <w:sz w:val="20"/>
        </w:rPr>
        <w:t>allow</w:t>
      </w:r>
      <w:r>
        <w:rPr>
          <w:spacing w:val="-7"/>
          <w:sz w:val="20"/>
        </w:rPr>
        <w:t> </w:t>
      </w:r>
      <w:r>
        <w:rPr>
          <w:sz w:val="20"/>
        </w:rPr>
        <w:t>what</w:t>
      </w:r>
      <w:r>
        <w:rPr>
          <w:spacing w:val="-5"/>
          <w:sz w:val="20"/>
        </w:rPr>
        <w:t> </w:t>
      </w:r>
      <w:r>
        <w:rPr>
          <w:sz w:val="20"/>
        </w:rPr>
        <w:t>would</w:t>
      </w:r>
      <w:r>
        <w:rPr>
          <w:spacing w:val="-7"/>
          <w:sz w:val="20"/>
        </w:rPr>
        <w:t> </w:t>
      </w:r>
      <w:r>
        <w:rPr>
          <w:sz w:val="20"/>
        </w:rPr>
        <w:t>in</w:t>
      </w:r>
      <w:r>
        <w:rPr>
          <w:spacing w:val="-7"/>
          <w:sz w:val="20"/>
        </w:rPr>
        <w:t> </w:t>
      </w:r>
      <w:r>
        <w:rPr>
          <w:sz w:val="20"/>
        </w:rPr>
        <w:t>effect</w:t>
      </w:r>
      <w:r>
        <w:rPr>
          <w:spacing w:val="-9"/>
          <w:sz w:val="20"/>
        </w:rPr>
        <w:t> </w:t>
      </w:r>
      <w:r>
        <w:rPr>
          <w:sz w:val="20"/>
        </w:rPr>
        <w:t>be</w:t>
      </w:r>
      <w:r>
        <w:rPr>
          <w:spacing w:val="-7"/>
          <w:sz w:val="20"/>
        </w:rPr>
        <w:t> </w:t>
      </w:r>
      <w:r>
        <w:rPr>
          <w:sz w:val="20"/>
        </w:rPr>
        <w:t>part</w:t>
      </w:r>
      <w:r>
        <w:rPr>
          <w:spacing w:val="-7"/>
          <w:sz w:val="20"/>
        </w:rPr>
        <w:t> </w:t>
      </w:r>
      <w:r>
        <w:rPr>
          <w:sz w:val="20"/>
        </w:rPr>
        <w:t>of</w:t>
      </w:r>
      <w:r>
        <w:rPr>
          <w:spacing w:val="-7"/>
          <w:sz w:val="20"/>
        </w:rPr>
        <w:t> </w:t>
      </w:r>
      <w:r>
        <w:rPr>
          <w:sz w:val="20"/>
        </w:rPr>
        <w:t>a</w:t>
      </w:r>
      <w:r>
        <w:rPr>
          <w:spacing w:val="-7"/>
          <w:sz w:val="20"/>
        </w:rPr>
        <w:t> </w:t>
      </w:r>
      <w:r>
        <w:rPr>
          <w:sz w:val="20"/>
        </w:rPr>
        <w:t>domestic tax</w:t>
      </w:r>
      <w:r>
        <w:rPr>
          <w:spacing w:val="-11"/>
          <w:sz w:val="20"/>
        </w:rPr>
        <w:t> </w:t>
      </w:r>
      <w:r>
        <w:rPr>
          <w:sz w:val="20"/>
        </w:rPr>
        <w:t>return</w:t>
      </w:r>
      <w:r>
        <w:rPr>
          <w:spacing w:val="-12"/>
          <w:sz w:val="20"/>
        </w:rPr>
        <w:t> </w:t>
      </w:r>
      <w:r>
        <w:rPr>
          <w:sz w:val="20"/>
        </w:rPr>
        <w:t>to</w:t>
      </w:r>
      <w:r>
        <w:rPr>
          <w:spacing w:val="-9"/>
          <w:sz w:val="20"/>
        </w:rPr>
        <w:t> </w:t>
      </w:r>
      <w:r>
        <w:rPr>
          <w:sz w:val="20"/>
        </w:rPr>
        <w:t>be</w:t>
      </w:r>
      <w:r>
        <w:rPr>
          <w:spacing w:val="-10"/>
          <w:sz w:val="20"/>
        </w:rPr>
        <w:t> </w:t>
      </w:r>
      <w:r>
        <w:rPr>
          <w:sz w:val="20"/>
        </w:rPr>
        <w:t>received</w:t>
      </w:r>
      <w:r>
        <w:rPr>
          <w:spacing w:val="-9"/>
          <w:sz w:val="20"/>
        </w:rPr>
        <w:t> </w:t>
      </w:r>
      <w:r>
        <w:rPr>
          <w:sz w:val="20"/>
        </w:rPr>
        <w:t>under</w:t>
      </w:r>
      <w:r>
        <w:rPr>
          <w:spacing w:val="-10"/>
          <w:sz w:val="20"/>
        </w:rPr>
        <w:t> </w:t>
      </w:r>
      <w:r>
        <w:rPr>
          <w:sz w:val="20"/>
        </w:rPr>
        <w:t>exchange</w:t>
      </w:r>
      <w:r>
        <w:rPr>
          <w:spacing w:val="-9"/>
          <w:sz w:val="20"/>
        </w:rPr>
        <w:t> </w:t>
      </w:r>
      <w:r>
        <w:rPr>
          <w:sz w:val="20"/>
        </w:rPr>
        <w:t>of</w:t>
      </w:r>
      <w:r>
        <w:rPr>
          <w:spacing w:val="-9"/>
          <w:sz w:val="20"/>
        </w:rPr>
        <w:t> </w:t>
      </w:r>
      <w:r>
        <w:rPr>
          <w:sz w:val="20"/>
        </w:rPr>
        <w:t>information</w:t>
      </w:r>
      <w:r>
        <w:rPr>
          <w:spacing w:val="-12"/>
          <w:sz w:val="20"/>
        </w:rPr>
        <w:t> </w:t>
      </w:r>
      <w:r>
        <w:rPr>
          <w:sz w:val="20"/>
        </w:rPr>
        <w:t>rather</w:t>
      </w:r>
      <w:r>
        <w:rPr>
          <w:spacing w:val="-8"/>
          <w:sz w:val="20"/>
        </w:rPr>
        <w:t> </w:t>
      </w:r>
      <w:r>
        <w:rPr>
          <w:sz w:val="20"/>
        </w:rPr>
        <w:t>than</w:t>
      </w:r>
      <w:r>
        <w:rPr>
          <w:spacing w:val="-9"/>
          <w:sz w:val="20"/>
        </w:rPr>
        <w:t> </w:t>
      </w:r>
      <w:r>
        <w:rPr>
          <w:sz w:val="20"/>
        </w:rPr>
        <w:t>directly</w:t>
      </w:r>
      <w:r>
        <w:rPr>
          <w:spacing w:val="-14"/>
          <w:sz w:val="20"/>
        </w:rPr>
        <w:t> </w:t>
      </w:r>
      <w:r>
        <w:rPr>
          <w:sz w:val="20"/>
        </w:rPr>
        <w:t>from</w:t>
      </w:r>
      <w:r>
        <w:rPr>
          <w:spacing w:val="-7"/>
          <w:sz w:val="20"/>
        </w:rPr>
        <w:t> </w:t>
      </w:r>
      <w:r>
        <w:rPr>
          <w:sz w:val="20"/>
        </w:rPr>
        <w:t>the</w:t>
      </w:r>
      <w:r>
        <w:rPr>
          <w:spacing w:val="-12"/>
          <w:sz w:val="20"/>
        </w:rPr>
        <w:t> </w:t>
      </w:r>
      <w:r>
        <w:rPr>
          <w:sz w:val="20"/>
        </w:rPr>
        <w:t>relevant</w:t>
      </w:r>
      <w:r>
        <w:rPr>
          <w:spacing w:val="-9"/>
          <w:sz w:val="20"/>
        </w:rPr>
        <w:t> </w:t>
      </w:r>
      <w:r>
        <w:rPr>
          <w:sz w:val="20"/>
        </w:rPr>
        <w:t>taxpayer</w:t>
      </w:r>
      <w:r>
        <w:rPr>
          <w:spacing w:val="-8"/>
          <w:sz w:val="20"/>
        </w:rPr>
        <w:t> </w:t>
      </w:r>
      <w:r>
        <w:rPr>
          <w:sz w:val="20"/>
        </w:rPr>
        <w:t>and most likely at a point which is later than the deadline for filing a domestic tax</w:t>
      </w:r>
      <w:r>
        <w:rPr>
          <w:spacing w:val="-20"/>
          <w:sz w:val="20"/>
        </w:rPr>
        <w:t> </w:t>
      </w:r>
      <w:r>
        <w:rPr>
          <w:sz w:val="20"/>
        </w:rPr>
        <w:t>return.</w:t>
      </w:r>
    </w:p>
    <w:p>
      <w:pPr>
        <w:pStyle w:val="ListParagraph"/>
        <w:numPr>
          <w:ilvl w:val="0"/>
          <w:numId w:val="13"/>
        </w:numPr>
        <w:tabs>
          <w:tab w:pos="1444" w:val="left" w:leader="none"/>
        </w:tabs>
        <w:spacing w:line="271" w:lineRule="auto" w:before="122" w:after="0"/>
        <w:ind w:left="723" w:right="485" w:firstLine="0"/>
        <w:jc w:val="both"/>
        <w:rPr>
          <w:sz w:val="20"/>
        </w:rPr>
      </w:pPr>
      <w:r>
        <w:rPr>
          <w:sz w:val="20"/>
        </w:rPr>
        <w:t>To ensure information is available to all affected tax administrations, it will be necessary for a comprehensive network for the exchange of information to be put in place (possibly under the envisaged multilateral instrument or the existing Multilateral Convention on Mutual Administrative Assistance in Tax Matters), together with up-front consent as appropriate for the on-sharing of this information to ensure tax administrations are able to discuss it with each other.</w:t>
      </w:r>
      <w:r>
        <w:rPr>
          <w:sz w:val="20"/>
          <w:vertAlign w:val="superscript"/>
        </w:rPr>
        <w:t>157</w:t>
      </w:r>
      <w:r>
        <w:rPr>
          <w:sz w:val="20"/>
          <w:vertAlign w:val="baseline"/>
        </w:rPr>
        <w:t> Currently, bilateral double tax conventions and tax information exchange agreements alone may not provide a sufficiently complete network for the necessary exchange and on-sharing of information. This exchange framework could be supplemented by a secondary mechanism for local filing of the self-assessment return and documentation package where exchange of information cannot or does not take place. This secondary mechanism would in principle</w:t>
      </w:r>
      <w:r>
        <w:rPr>
          <w:spacing w:val="8"/>
          <w:sz w:val="20"/>
          <w:vertAlign w:val="baseline"/>
        </w:rPr>
        <w:t> </w:t>
      </w:r>
      <w:r>
        <w:rPr>
          <w:sz w:val="20"/>
          <w:vertAlign w:val="baseline"/>
        </w:rPr>
        <w:t>be</w:t>
      </w:r>
    </w:p>
    <w:p>
      <w:pPr>
        <w:pStyle w:val="BodyText"/>
        <w:spacing w:before="11"/>
        <w:rPr>
          <w:sz w:val="28"/>
        </w:rPr>
      </w:pPr>
      <w:r>
        <w:rPr/>
        <w:pict>
          <v:rect style="position:absolute;margin-left:65.183998pt;margin-top:18.608309pt;width:144.020004pt;height:.60004pt;mso-position-horizontal-relative:page;mso-position-vertical-relative:paragraph;z-index:-15642112;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443" w:val="left" w:leader="none"/>
          <w:tab w:pos="1444" w:val="left" w:leader="none"/>
        </w:tabs>
        <w:spacing w:line="278" w:lineRule="auto" w:before="94" w:after="0"/>
        <w:ind w:left="723" w:right="482" w:firstLine="0"/>
        <w:jc w:val="left"/>
        <w:rPr>
          <w:sz w:val="18"/>
        </w:rPr>
      </w:pPr>
      <w:r>
        <w:rPr>
          <w:sz w:val="18"/>
        </w:rPr>
        <w:t>Inclusive Framework members will consider whether these information exchange mechanisms will need to take into account the information needs of sub-national jurisdictions that levy taxes on corporate</w:t>
      </w:r>
      <w:r>
        <w:rPr>
          <w:spacing w:val="-29"/>
          <w:sz w:val="18"/>
        </w:rPr>
        <w:t> </w:t>
      </w:r>
      <w:r>
        <w:rPr>
          <w:sz w:val="18"/>
        </w:rPr>
        <w:t>income.</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similar</w:t>
      </w:r>
      <w:r>
        <w:rPr>
          <w:spacing w:val="-6"/>
        </w:rPr>
        <w:t> </w:t>
      </w:r>
      <w:r>
        <w:rPr/>
        <w:t>to</w:t>
      </w:r>
      <w:r>
        <w:rPr>
          <w:spacing w:val="-6"/>
        </w:rPr>
        <w:t> </w:t>
      </w:r>
      <w:r>
        <w:rPr/>
        <w:t>local</w:t>
      </w:r>
      <w:r>
        <w:rPr>
          <w:spacing w:val="-7"/>
        </w:rPr>
        <w:t> </w:t>
      </w:r>
      <w:r>
        <w:rPr/>
        <w:t>filing</w:t>
      </w:r>
      <w:r>
        <w:rPr>
          <w:spacing w:val="-6"/>
        </w:rPr>
        <w:t> </w:t>
      </w:r>
      <w:r>
        <w:rPr/>
        <w:t>of</w:t>
      </w:r>
      <w:r>
        <w:rPr>
          <w:spacing w:val="-4"/>
        </w:rPr>
        <w:t> </w:t>
      </w:r>
      <w:r>
        <w:rPr/>
        <w:t>an</w:t>
      </w:r>
      <w:r>
        <w:rPr>
          <w:spacing w:val="-7"/>
        </w:rPr>
        <w:t> </w:t>
      </w:r>
      <w:r>
        <w:rPr/>
        <w:t>MNE</w:t>
      </w:r>
      <w:r>
        <w:rPr>
          <w:spacing w:val="-6"/>
        </w:rPr>
        <w:t> </w:t>
      </w:r>
      <w:r>
        <w:rPr/>
        <w:t>group’s</w:t>
      </w:r>
      <w:r>
        <w:rPr>
          <w:spacing w:val="-2"/>
        </w:rPr>
        <w:t> </w:t>
      </w:r>
      <w:r>
        <w:rPr/>
        <w:t>CbCR,</w:t>
      </w:r>
      <w:r>
        <w:rPr>
          <w:spacing w:val="-5"/>
        </w:rPr>
        <w:t> </w:t>
      </w:r>
      <w:r>
        <w:rPr/>
        <w:t>but</w:t>
      </w:r>
      <w:r>
        <w:rPr>
          <w:spacing w:val="-4"/>
        </w:rPr>
        <w:t> </w:t>
      </w:r>
      <w:r>
        <w:rPr/>
        <w:t>would</w:t>
      </w:r>
      <w:r>
        <w:rPr>
          <w:spacing w:val="-7"/>
        </w:rPr>
        <w:t> </w:t>
      </w:r>
      <w:r>
        <w:rPr/>
        <w:t>not</w:t>
      </w:r>
      <w:r>
        <w:rPr>
          <w:spacing w:val="-5"/>
        </w:rPr>
        <w:t> </w:t>
      </w:r>
      <w:r>
        <w:rPr/>
        <w:t>be</w:t>
      </w:r>
      <w:r>
        <w:rPr>
          <w:spacing w:val="-6"/>
        </w:rPr>
        <w:t> </w:t>
      </w:r>
      <w:r>
        <w:rPr/>
        <w:t>subject</w:t>
      </w:r>
      <w:r>
        <w:rPr>
          <w:spacing w:val="-6"/>
        </w:rPr>
        <w:t> </w:t>
      </w:r>
      <w:r>
        <w:rPr/>
        <w:t>to</w:t>
      </w:r>
      <w:r>
        <w:rPr>
          <w:spacing w:val="-6"/>
        </w:rPr>
        <w:t> </w:t>
      </w:r>
      <w:r>
        <w:rPr/>
        <w:t>some</w:t>
      </w:r>
      <w:r>
        <w:rPr>
          <w:spacing w:val="-6"/>
        </w:rPr>
        <w:t> </w:t>
      </w:r>
      <w:r>
        <w:rPr/>
        <w:t>of</w:t>
      </w:r>
      <w:r>
        <w:rPr>
          <w:spacing w:val="-7"/>
        </w:rPr>
        <w:t> </w:t>
      </w:r>
      <w:r>
        <w:rPr/>
        <w:t>the</w:t>
      </w:r>
      <w:r>
        <w:rPr>
          <w:spacing w:val="-6"/>
        </w:rPr>
        <w:t> </w:t>
      </w:r>
      <w:r>
        <w:rPr/>
        <w:t>limits</w:t>
      </w:r>
      <w:r>
        <w:rPr>
          <w:spacing w:val="-5"/>
        </w:rPr>
        <w:t> </w:t>
      </w:r>
      <w:r>
        <w:rPr/>
        <w:t>on</w:t>
      </w:r>
      <w:r>
        <w:rPr>
          <w:spacing w:val="-6"/>
        </w:rPr>
        <w:t> </w:t>
      </w:r>
      <w:r>
        <w:rPr/>
        <w:t>local</w:t>
      </w:r>
      <w:r>
        <w:rPr>
          <w:spacing w:val="-6"/>
        </w:rPr>
        <w:t> </w:t>
      </w:r>
      <w:r>
        <w:rPr/>
        <w:t>filing imposed under BEPS Action 13. Further work will be required to ensure that jurisdictions which have to rely</w:t>
      </w:r>
      <w:r>
        <w:rPr>
          <w:spacing w:val="-11"/>
        </w:rPr>
        <w:t> </w:t>
      </w:r>
      <w:r>
        <w:rPr/>
        <w:t>on</w:t>
      </w:r>
      <w:r>
        <w:rPr>
          <w:spacing w:val="-8"/>
        </w:rPr>
        <w:t> </w:t>
      </w:r>
      <w:r>
        <w:rPr/>
        <w:t>local</w:t>
      </w:r>
      <w:r>
        <w:rPr>
          <w:spacing w:val="-11"/>
        </w:rPr>
        <w:t> </w:t>
      </w:r>
      <w:r>
        <w:rPr/>
        <w:t>filing</w:t>
      </w:r>
      <w:r>
        <w:rPr>
          <w:spacing w:val="-9"/>
        </w:rPr>
        <w:t> </w:t>
      </w:r>
      <w:r>
        <w:rPr/>
        <w:t>are</w:t>
      </w:r>
      <w:r>
        <w:rPr>
          <w:spacing w:val="-8"/>
        </w:rPr>
        <w:t> </w:t>
      </w:r>
      <w:r>
        <w:rPr/>
        <w:t>able</w:t>
      </w:r>
      <w:r>
        <w:rPr>
          <w:spacing w:val="-11"/>
        </w:rPr>
        <w:t> </w:t>
      </w:r>
      <w:r>
        <w:rPr/>
        <w:t>to</w:t>
      </w:r>
      <w:r>
        <w:rPr>
          <w:spacing w:val="-11"/>
        </w:rPr>
        <w:t> </w:t>
      </w:r>
      <w:r>
        <w:rPr/>
        <w:t>engage</w:t>
      </w:r>
      <w:r>
        <w:rPr>
          <w:spacing w:val="-9"/>
        </w:rPr>
        <w:t> </w:t>
      </w:r>
      <w:r>
        <w:rPr/>
        <w:t>in</w:t>
      </w:r>
      <w:r>
        <w:rPr>
          <w:spacing w:val="-8"/>
        </w:rPr>
        <w:t> </w:t>
      </w:r>
      <w:r>
        <w:rPr/>
        <w:t>the</w:t>
      </w:r>
      <w:r>
        <w:rPr>
          <w:spacing w:val="-8"/>
        </w:rPr>
        <w:t> </w:t>
      </w:r>
      <w:r>
        <w:rPr/>
        <w:t>early</w:t>
      </w:r>
      <w:r>
        <w:rPr>
          <w:spacing w:val="-14"/>
        </w:rPr>
        <w:t> </w:t>
      </w:r>
      <w:r>
        <w:rPr/>
        <w:t>certainty</w:t>
      </w:r>
      <w:r>
        <w:rPr>
          <w:spacing w:val="-11"/>
        </w:rPr>
        <w:t> </w:t>
      </w:r>
      <w:r>
        <w:rPr/>
        <w:t>process,</w:t>
      </w:r>
      <w:r>
        <w:rPr>
          <w:spacing w:val="-8"/>
        </w:rPr>
        <w:t> </w:t>
      </w:r>
      <w:r>
        <w:rPr/>
        <w:t>given</w:t>
      </w:r>
      <w:r>
        <w:rPr>
          <w:spacing w:val="-8"/>
        </w:rPr>
        <w:t> </w:t>
      </w:r>
      <w:r>
        <w:rPr/>
        <w:t>exchange</w:t>
      </w:r>
      <w:r>
        <w:rPr>
          <w:spacing w:val="-11"/>
        </w:rPr>
        <w:t> </w:t>
      </w:r>
      <w:r>
        <w:rPr/>
        <w:t>of</w:t>
      </w:r>
      <w:r>
        <w:rPr>
          <w:spacing w:val="-7"/>
        </w:rPr>
        <w:t> </w:t>
      </w:r>
      <w:r>
        <w:rPr/>
        <w:t>information</w:t>
      </w:r>
      <w:r>
        <w:rPr>
          <w:spacing w:val="-11"/>
        </w:rPr>
        <w:t> </w:t>
      </w:r>
      <w:r>
        <w:rPr/>
        <w:t>is</w:t>
      </w:r>
      <w:r>
        <w:rPr>
          <w:spacing w:val="-7"/>
        </w:rPr>
        <w:t> </w:t>
      </w:r>
      <w:r>
        <w:rPr/>
        <w:t>a</w:t>
      </w:r>
      <w:r>
        <w:rPr>
          <w:spacing w:val="-8"/>
        </w:rPr>
        <w:t> </w:t>
      </w:r>
      <w:r>
        <w:rPr/>
        <w:t>vital element.</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These exchanges (and local filing where needed) will take place irrespective as to whether an MNE</w:t>
      </w:r>
      <w:r>
        <w:rPr>
          <w:spacing w:val="-7"/>
          <w:sz w:val="20"/>
        </w:rPr>
        <w:t> </w:t>
      </w:r>
      <w:r>
        <w:rPr>
          <w:sz w:val="20"/>
        </w:rPr>
        <w:t>group</w:t>
      </w:r>
      <w:r>
        <w:rPr>
          <w:spacing w:val="-6"/>
          <w:sz w:val="20"/>
        </w:rPr>
        <w:t> </w:t>
      </w:r>
      <w:r>
        <w:rPr>
          <w:sz w:val="20"/>
        </w:rPr>
        <w:t>makes</w:t>
      </w:r>
      <w:r>
        <w:rPr>
          <w:spacing w:val="-7"/>
          <w:sz w:val="20"/>
        </w:rPr>
        <w:t> </w:t>
      </w:r>
      <w:r>
        <w:rPr>
          <w:sz w:val="20"/>
        </w:rPr>
        <w:t>a</w:t>
      </w:r>
      <w:r>
        <w:rPr>
          <w:spacing w:val="-8"/>
          <w:sz w:val="20"/>
        </w:rPr>
        <w:t> </w:t>
      </w:r>
      <w:r>
        <w:rPr>
          <w:sz w:val="20"/>
        </w:rPr>
        <w:t>request</w:t>
      </w:r>
      <w:r>
        <w:rPr>
          <w:spacing w:val="-8"/>
          <w:sz w:val="20"/>
        </w:rPr>
        <w:t> </w:t>
      </w:r>
      <w:r>
        <w:rPr>
          <w:sz w:val="20"/>
        </w:rPr>
        <w:t>for</w:t>
      </w:r>
      <w:r>
        <w:rPr>
          <w:spacing w:val="-7"/>
          <w:sz w:val="20"/>
        </w:rPr>
        <w:t> </w:t>
      </w:r>
      <w:r>
        <w:rPr>
          <w:sz w:val="20"/>
        </w:rPr>
        <w:t>tax</w:t>
      </w:r>
      <w:r>
        <w:rPr>
          <w:spacing w:val="-8"/>
          <w:sz w:val="20"/>
        </w:rPr>
        <w:t> </w:t>
      </w:r>
      <w:r>
        <w:rPr>
          <w:sz w:val="20"/>
        </w:rPr>
        <w:t>certainty</w:t>
      </w:r>
      <w:r>
        <w:rPr>
          <w:spacing w:val="-11"/>
          <w:sz w:val="20"/>
        </w:rPr>
        <w:t> </w:t>
      </w:r>
      <w:r>
        <w:rPr>
          <w:sz w:val="20"/>
        </w:rPr>
        <w:t>(i.e.</w:t>
      </w:r>
      <w:r>
        <w:rPr>
          <w:spacing w:val="-8"/>
          <w:sz w:val="20"/>
        </w:rPr>
        <w:t> </w:t>
      </w:r>
      <w:r>
        <w:rPr>
          <w:sz w:val="20"/>
        </w:rPr>
        <w:t>this</w:t>
      </w:r>
      <w:r>
        <w:rPr>
          <w:spacing w:val="-2"/>
          <w:sz w:val="20"/>
        </w:rPr>
        <w:t> </w:t>
      </w:r>
      <w:r>
        <w:rPr>
          <w:sz w:val="20"/>
        </w:rPr>
        <w:t>process</w:t>
      </w:r>
      <w:r>
        <w:rPr>
          <w:spacing w:val="-4"/>
          <w:sz w:val="20"/>
        </w:rPr>
        <w:t> </w:t>
      </w:r>
      <w:r>
        <w:rPr>
          <w:sz w:val="20"/>
        </w:rPr>
        <w:t>would</w:t>
      </w:r>
      <w:r>
        <w:rPr>
          <w:spacing w:val="-7"/>
          <w:sz w:val="20"/>
        </w:rPr>
        <w:t> </w:t>
      </w:r>
      <w:r>
        <w:rPr>
          <w:sz w:val="20"/>
        </w:rPr>
        <w:t>be</w:t>
      </w:r>
      <w:r>
        <w:rPr>
          <w:spacing w:val="-8"/>
          <w:sz w:val="20"/>
        </w:rPr>
        <w:t> </w:t>
      </w:r>
      <w:r>
        <w:rPr>
          <w:sz w:val="20"/>
        </w:rPr>
        <w:t>followed</w:t>
      </w:r>
      <w:r>
        <w:rPr>
          <w:spacing w:val="-6"/>
          <w:sz w:val="20"/>
        </w:rPr>
        <w:t> </w:t>
      </w:r>
      <w:r>
        <w:rPr>
          <w:sz w:val="20"/>
        </w:rPr>
        <w:t>to</w:t>
      </w:r>
      <w:r>
        <w:rPr>
          <w:spacing w:val="-8"/>
          <w:sz w:val="20"/>
        </w:rPr>
        <w:t> </w:t>
      </w:r>
      <w:r>
        <w:rPr>
          <w:sz w:val="20"/>
        </w:rPr>
        <w:t>ensure</w:t>
      </w:r>
      <w:r>
        <w:rPr>
          <w:spacing w:val="-5"/>
          <w:sz w:val="20"/>
        </w:rPr>
        <w:t> </w:t>
      </w:r>
      <w:r>
        <w:rPr>
          <w:sz w:val="20"/>
        </w:rPr>
        <w:t>that</w:t>
      </w:r>
      <w:r>
        <w:rPr>
          <w:spacing w:val="-7"/>
          <w:sz w:val="20"/>
        </w:rPr>
        <w:t> </w:t>
      </w:r>
      <w:r>
        <w:rPr>
          <w:sz w:val="20"/>
        </w:rPr>
        <w:t>consistent information is available to all relevant tax administrations in cases where an MNE group plans to rely on domestic remedies to resolve areas of disagreement). The exchange of information could potentially be simplified</w:t>
      </w:r>
      <w:r>
        <w:rPr>
          <w:spacing w:val="-18"/>
          <w:sz w:val="20"/>
        </w:rPr>
        <w:t> </w:t>
      </w:r>
      <w:r>
        <w:rPr>
          <w:sz w:val="20"/>
        </w:rPr>
        <w:t>by</w:t>
      </w:r>
      <w:r>
        <w:rPr>
          <w:spacing w:val="-18"/>
          <w:sz w:val="20"/>
        </w:rPr>
        <w:t> </w:t>
      </w:r>
      <w:r>
        <w:rPr>
          <w:sz w:val="20"/>
        </w:rPr>
        <w:t>the</w:t>
      </w:r>
      <w:r>
        <w:rPr>
          <w:spacing w:val="-15"/>
          <w:sz w:val="20"/>
        </w:rPr>
        <w:t> </w:t>
      </w:r>
      <w:r>
        <w:rPr>
          <w:sz w:val="20"/>
        </w:rPr>
        <w:t>development</w:t>
      </w:r>
      <w:r>
        <w:rPr>
          <w:spacing w:val="-16"/>
          <w:sz w:val="20"/>
        </w:rPr>
        <w:t> </w:t>
      </w:r>
      <w:r>
        <w:rPr>
          <w:sz w:val="20"/>
        </w:rPr>
        <w:t>of</w:t>
      </w:r>
      <w:r>
        <w:rPr>
          <w:spacing w:val="-15"/>
          <w:sz w:val="20"/>
        </w:rPr>
        <w:t> </w:t>
      </w:r>
      <w:r>
        <w:rPr>
          <w:sz w:val="20"/>
        </w:rPr>
        <w:t>a</w:t>
      </w:r>
      <w:r>
        <w:rPr>
          <w:spacing w:val="-17"/>
          <w:sz w:val="20"/>
        </w:rPr>
        <w:t> </w:t>
      </w:r>
      <w:r>
        <w:rPr>
          <w:sz w:val="20"/>
        </w:rPr>
        <w:t>central</w:t>
      </w:r>
      <w:r>
        <w:rPr>
          <w:spacing w:val="-18"/>
          <w:sz w:val="20"/>
        </w:rPr>
        <w:t> </w:t>
      </w:r>
      <w:r>
        <w:rPr>
          <w:sz w:val="20"/>
        </w:rPr>
        <w:t>administrative</w:t>
      </w:r>
      <w:r>
        <w:rPr>
          <w:spacing w:val="-15"/>
          <w:sz w:val="20"/>
        </w:rPr>
        <w:t> </w:t>
      </w:r>
      <w:r>
        <w:rPr>
          <w:sz w:val="20"/>
        </w:rPr>
        <w:t>platform</w:t>
      </w:r>
      <w:r>
        <w:rPr>
          <w:spacing w:val="-12"/>
          <w:sz w:val="20"/>
        </w:rPr>
        <w:t> </w:t>
      </w:r>
      <w:r>
        <w:rPr>
          <w:sz w:val="20"/>
        </w:rPr>
        <w:t>to</w:t>
      </w:r>
      <w:r>
        <w:rPr>
          <w:spacing w:val="-16"/>
          <w:sz w:val="20"/>
        </w:rPr>
        <w:t> </w:t>
      </w:r>
      <w:r>
        <w:rPr>
          <w:sz w:val="20"/>
        </w:rPr>
        <w:t>hold</w:t>
      </w:r>
      <w:r>
        <w:rPr>
          <w:spacing w:val="-15"/>
          <w:sz w:val="20"/>
        </w:rPr>
        <w:t> </w:t>
      </w:r>
      <w:r>
        <w:rPr>
          <w:sz w:val="20"/>
        </w:rPr>
        <w:t>information</w:t>
      </w:r>
      <w:r>
        <w:rPr>
          <w:spacing w:val="-18"/>
          <w:sz w:val="20"/>
        </w:rPr>
        <w:t> </w:t>
      </w:r>
      <w:r>
        <w:rPr>
          <w:sz w:val="20"/>
        </w:rPr>
        <w:t>on</w:t>
      </w:r>
      <w:r>
        <w:rPr>
          <w:spacing w:val="-10"/>
          <w:sz w:val="20"/>
        </w:rPr>
        <w:t> </w:t>
      </w:r>
      <w:r>
        <w:rPr>
          <w:sz w:val="20"/>
        </w:rPr>
        <w:t>Amount</w:t>
      </w:r>
      <w:r>
        <w:rPr>
          <w:spacing w:val="-15"/>
          <w:sz w:val="20"/>
        </w:rPr>
        <w:t> </w:t>
      </w:r>
      <w:r>
        <w:rPr>
          <w:sz w:val="20"/>
        </w:rPr>
        <w:t>A</w:t>
      </w:r>
      <w:r>
        <w:rPr>
          <w:spacing w:val="-18"/>
          <w:sz w:val="20"/>
        </w:rPr>
        <w:t> </w:t>
      </w:r>
      <w:r>
        <w:rPr>
          <w:sz w:val="20"/>
        </w:rPr>
        <w:t>provided by MNE</w:t>
      </w:r>
      <w:r>
        <w:rPr>
          <w:spacing w:val="-2"/>
          <w:sz w:val="20"/>
        </w:rPr>
        <w:t> </w:t>
      </w:r>
      <w:r>
        <w:rPr>
          <w:sz w:val="20"/>
        </w:rPr>
        <w:t>groups.</w:t>
      </w:r>
    </w:p>
    <w:p>
      <w:pPr>
        <w:pStyle w:val="BodyText"/>
        <w:spacing w:before="5"/>
        <w:rPr>
          <w:sz w:val="23"/>
        </w:rPr>
      </w:pPr>
    </w:p>
    <w:p>
      <w:pPr>
        <w:pStyle w:val="Heading6"/>
        <w:numPr>
          <w:ilvl w:val="2"/>
          <w:numId w:val="81"/>
        </w:numPr>
        <w:tabs>
          <w:tab w:pos="2015" w:val="left" w:leader="none"/>
        </w:tabs>
        <w:spacing w:line="240" w:lineRule="auto" w:before="0" w:after="0"/>
        <w:ind w:left="2014" w:right="0" w:hanging="613"/>
        <w:jc w:val="left"/>
        <w:rPr>
          <w:i/>
        </w:rPr>
      </w:pPr>
      <w:bookmarkStart w:name="9.2.2. Request for tax certainty by an M" w:id="423"/>
      <w:bookmarkEnd w:id="423"/>
      <w:r>
        <w:rPr>
          <w:b w:val="0"/>
          <w:i w:val="0"/>
        </w:rPr>
      </w:r>
      <w:bookmarkStart w:name="9.2.2. Request for tax certainty by an M" w:id="424"/>
      <w:bookmarkEnd w:id="424"/>
      <w:r>
        <w:rPr>
          <w:i/>
        </w:rPr>
        <w:t>R</w:t>
      </w:r>
      <w:r>
        <w:rPr>
          <w:i/>
        </w:rPr>
        <w:t>equest for tax certainty by an MNE</w:t>
      </w:r>
      <w:r>
        <w:rPr>
          <w:i/>
          <w:spacing w:val="-6"/>
        </w:rPr>
        <w:t> </w:t>
      </w:r>
      <w:r>
        <w:rPr>
          <w:i/>
        </w:rPr>
        <w:t>group</w:t>
      </w:r>
    </w:p>
    <w:p>
      <w:pPr>
        <w:pStyle w:val="BodyText"/>
        <w:spacing w:before="4"/>
        <w:rPr>
          <w:b/>
          <w:i/>
          <w:sz w:val="23"/>
        </w:rPr>
      </w:pPr>
    </w:p>
    <w:p>
      <w:pPr>
        <w:pStyle w:val="Heading7"/>
        <w:rPr>
          <w:i/>
        </w:rPr>
      </w:pPr>
      <w:bookmarkStart w:name="A voluntary mechanism for MNE groups" w:id="425"/>
      <w:bookmarkEnd w:id="425"/>
      <w:r>
        <w:rPr>
          <w:i w:val="0"/>
        </w:rPr>
      </w:r>
      <w:r>
        <w:rPr>
          <w:i/>
          <w:color w:val="616161"/>
        </w:rPr>
        <w:t>A voluntary mechanism for MNE groups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approach to achieve early certainty for Amount A will be voluntary on the part of an MNE group, and triggered by a request from an MNE group’s co-ordinating entity to its lead tax administration. In this context, references to “early certainty” refer to certainty before tax administrations have made any adjustments</w:t>
      </w:r>
      <w:r>
        <w:rPr>
          <w:spacing w:val="-3"/>
          <w:sz w:val="20"/>
        </w:rPr>
        <w:t> </w:t>
      </w:r>
      <w:r>
        <w:rPr>
          <w:sz w:val="20"/>
        </w:rPr>
        <w:t>to</w:t>
      </w:r>
      <w:r>
        <w:rPr>
          <w:spacing w:val="-4"/>
          <w:sz w:val="20"/>
        </w:rPr>
        <w:t> </w:t>
      </w:r>
      <w:r>
        <w:rPr>
          <w:sz w:val="20"/>
        </w:rPr>
        <w:t>the</w:t>
      </w:r>
      <w:r>
        <w:rPr>
          <w:spacing w:val="-4"/>
          <w:sz w:val="20"/>
        </w:rPr>
        <w:t> </w:t>
      </w:r>
      <w:r>
        <w:rPr>
          <w:sz w:val="20"/>
        </w:rPr>
        <w:t>tax</w:t>
      </w:r>
      <w:r>
        <w:rPr>
          <w:spacing w:val="-2"/>
          <w:sz w:val="20"/>
        </w:rPr>
        <w:t> </w:t>
      </w:r>
      <w:r>
        <w:rPr>
          <w:sz w:val="20"/>
        </w:rPr>
        <w:t>position</w:t>
      </w:r>
      <w:r>
        <w:rPr>
          <w:spacing w:val="-5"/>
          <w:sz w:val="20"/>
        </w:rPr>
        <w:t> </w:t>
      </w:r>
      <w:r>
        <w:rPr>
          <w:sz w:val="20"/>
        </w:rPr>
        <w:t>filed</w:t>
      </w:r>
      <w:r>
        <w:rPr>
          <w:spacing w:val="-4"/>
          <w:sz w:val="20"/>
        </w:rPr>
        <w:t> </w:t>
      </w:r>
      <w:r>
        <w:rPr>
          <w:sz w:val="20"/>
        </w:rPr>
        <w:t>by</w:t>
      </w:r>
      <w:r>
        <w:rPr>
          <w:spacing w:val="-7"/>
          <w:sz w:val="20"/>
        </w:rPr>
        <w:t> </w:t>
      </w:r>
      <w:r>
        <w:rPr>
          <w:sz w:val="20"/>
        </w:rPr>
        <w:t>an</w:t>
      </w:r>
      <w:r>
        <w:rPr>
          <w:spacing w:val="-4"/>
          <w:sz w:val="20"/>
        </w:rPr>
        <w:t> </w:t>
      </w:r>
      <w:r>
        <w:rPr>
          <w:sz w:val="20"/>
        </w:rPr>
        <w:t>MNE</w:t>
      </w:r>
      <w:r>
        <w:rPr>
          <w:spacing w:val="-3"/>
          <w:sz w:val="20"/>
        </w:rPr>
        <w:t> </w:t>
      </w:r>
      <w:r>
        <w:rPr>
          <w:sz w:val="20"/>
        </w:rPr>
        <w:t>group</w:t>
      </w:r>
      <w:r>
        <w:rPr>
          <w:spacing w:val="-5"/>
          <w:sz w:val="20"/>
        </w:rPr>
        <w:t> </w:t>
      </w:r>
      <w:r>
        <w:rPr>
          <w:sz w:val="20"/>
        </w:rPr>
        <w:t>(i.e.</w:t>
      </w:r>
      <w:r>
        <w:rPr>
          <w:spacing w:val="-4"/>
          <w:sz w:val="20"/>
        </w:rPr>
        <w:t> </w:t>
      </w:r>
      <w:r>
        <w:rPr>
          <w:sz w:val="20"/>
        </w:rPr>
        <w:t>during</w:t>
      </w:r>
      <w:r>
        <w:rPr>
          <w:spacing w:val="-3"/>
          <w:sz w:val="20"/>
        </w:rPr>
        <w:t> </w:t>
      </w:r>
      <w:r>
        <w:rPr>
          <w:sz w:val="20"/>
        </w:rPr>
        <w:t>the</w:t>
      </w:r>
      <w:r>
        <w:rPr>
          <w:spacing w:val="-4"/>
          <w:sz w:val="20"/>
        </w:rPr>
        <w:t> </w:t>
      </w:r>
      <w:r>
        <w:rPr>
          <w:sz w:val="20"/>
        </w:rPr>
        <w:t>dispute</w:t>
      </w:r>
      <w:r>
        <w:rPr>
          <w:spacing w:val="-3"/>
          <w:sz w:val="20"/>
        </w:rPr>
        <w:t> </w:t>
      </w:r>
      <w:r>
        <w:rPr>
          <w:sz w:val="20"/>
        </w:rPr>
        <w:t>prevention</w:t>
      </w:r>
      <w:r>
        <w:rPr>
          <w:spacing w:val="2"/>
          <w:sz w:val="20"/>
        </w:rPr>
        <w:t> </w:t>
      </w:r>
      <w:r>
        <w:rPr>
          <w:sz w:val="20"/>
        </w:rPr>
        <w:t>stage,</w:t>
      </w:r>
      <w:r>
        <w:rPr>
          <w:spacing w:val="-3"/>
          <w:sz w:val="20"/>
        </w:rPr>
        <w:t> </w:t>
      </w:r>
      <w:r>
        <w:rPr>
          <w:sz w:val="20"/>
        </w:rPr>
        <w:t>compared with dispute resolution which is needed once a tax administration requires a tax adjustment to be made which results in double taxation). Later in this section there is a discussion on circumstances where a modified certainty process may be initiated following the request of a tax</w:t>
      </w:r>
      <w:r>
        <w:rPr>
          <w:spacing w:val="-28"/>
          <w:sz w:val="20"/>
        </w:rPr>
        <w:t> </w:t>
      </w:r>
      <w:r>
        <w:rPr>
          <w:sz w:val="20"/>
        </w:rPr>
        <w:t>administration.</w:t>
      </w:r>
    </w:p>
    <w:p>
      <w:pPr>
        <w:pStyle w:val="ListParagraph"/>
        <w:numPr>
          <w:ilvl w:val="0"/>
          <w:numId w:val="13"/>
        </w:numPr>
        <w:tabs>
          <w:tab w:pos="1444" w:val="left" w:leader="none"/>
        </w:tabs>
        <w:spacing w:line="240" w:lineRule="auto" w:before="120" w:after="0"/>
        <w:ind w:left="1443" w:right="0" w:hanging="721"/>
        <w:jc w:val="both"/>
        <w:rPr>
          <w:sz w:val="20"/>
        </w:rPr>
      </w:pPr>
      <w:r>
        <w:rPr>
          <w:sz w:val="20"/>
        </w:rPr>
        <w:t>There are two levels with respect to which tax certainty may be requested by an MNE</w:t>
      </w:r>
      <w:r>
        <w:rPr>
          <w:spacing w:val="-31"/>
          <w:sz w:val="20"/>
        </w:rPr>
        <w:t> </w:t>
      </w:r>
      <w:r>
        <w:rPr>
          <w:sz w:val="20"/>
        </w:rPr>
        <w:t>group:</w:t>
      </w:r>
    </w:p>
    <w:p>
      <w:pPr>
        <w:pStyle w:val="ListParagraph"/>
        <w:numPr>
          <w:ilvl w:val="1"/>
          <w:numId w:val="13"/>
        </w:numPr>
        <w:tabs>
          <w:tab w:pos="1785" w:val="left" w:leader="none"/>
        </w:tabs>
        <w:spacing w:line="266" w:lineRule="auto" w:before="131" w:after="0"/>
        <w:ind w:left="1784" w:right="485" w:hanging="360"/>
        <w:jc w:val="both"/>
        <w:rPr>
          <w:sz w:val="20"/>
        </w:rPr>
      </w:pPr>
      <w:r>
        <w:rPr>
          <w:sz w:val="20"/>
        </w:rPr>
        <w:t>Whether an MNE group is within the scope of Amount A. It is likely that this certainty would only need to be provided once, or only</w:t>
      </w:r>
      <w:r>
        <w:rPr>
          <w:spacing w:val="-14"/>
          <w:sz w:val="20"/>
        </w:rPr>
        <w:t> </w:t>
      </w:r>
      <w:r>
        <w:rPr>
          <w:sz w:val="20"/>
        </w:rPr>
        <w:t>periodically.</w:t>
      </w:r>
    </w:p>
    <w:p>
      <w:pPr>
        <w:pStyle w:val="ListParagraph"/>
        <w:numPr>
          <w:ilvl w:val="1"/>
          <w:numId w:val="13"/>
        </w:numPr>
        <w:tabs>
          <w:tab w:pos="1785" w:val="left" w:leader="none"/>
        </w:tabs>
        <w:spacing w:line="271" w:lineRule="auto" w:before="51" w:after="0"/>
        <w:ind w:left="1784" w:right="483" w:hanging="360"/>
        <w:jc w:val="both"/>
        <w:rPr>
          <w:sz w:val="20"/>
        </w:rPr>
      </w:pPr>
      <w:r>
        <w:rPr>
          <w:sz w:val="20"/>
        </w:rPr>
        <w:t>Whether an MNE group’s determination and allocation of Amount A is agreed, including the identification of paying entities and the relief from double taxation that should be provided by relieving</w:t>
      </w:r>
      <w:r>
        <w:rPr>
          <w:spacing w:val="-13"/>
          <w:sz w:val="20"/>
        </w:rPr>
        <w:t> </w:t>
      </w:r>
      <w:r>
        <w:rPr>
          <w:sz w:val="20"/>
        </w:rPr>
        <w:t>jurisdictions.</w:t>
      </w:r>
      <w:r>
        <w:rPr>
          <w:spacing w:val="-11"/>
          <w:sz w:val="20"/>
        </w:rPr>
        <w:t> </w:t>
      </w:r>
      <w:r>
        <w:rPr>
          <w:sz w:val="20"/>
        </w:rPr>
        <w:t>This</w:t>
      </w:r>
      <w:r>
        <w:rPr>
          <w:spacing w:val="-6"/>
          <w:sz w:val="20"/>
        </w:rPr>
        <w:t> </w:t>
      </w:r>
      <w:r>
        <w:rPr>
          <w:sz w:val="20"/>
        </w:rPr>
        <w:t>certainty</w:t>
      </w:r>
      <w:r>
        <w:rPr>
          <w:spacing w:val="-15"/>
          <w:sz w:val="20"/>
        </w:rPr>
        <w:t> </w:t>
      </w:r>
      <w:r>
        <w:rPr>
          <w:sz w:val="20"/>
        </w:rPr>
        <w:t>may</w:t>
      </w:r>
      <w:r>
        <w:rPr>
          <w:spacing w:val="-16"/>
          <w:sz w:val="20"/>
        </w:rPr>
        <w:t> </w:t>
      </w:r>
      <w:r>
        <w:rPr>
          <w:sz w:val="20"/>
        </w:rPr>
        <w:t>be</w:t>
      </w:r>
      <w:r>
        <w:rPr>
          <w:spacing w:val="-12"/>
          <w:sz w:val="20"/>
        </w:rPr>
        <w:t> </w:t>
      </w:r>
      <w:r>
        <w:rPr>
          <w:sz w:val="20"/>
        </w:rPr>
        <w:t>requested</w:t>
      </w:r>
      <w:r>
        <w:rPr>
          <w:spacing w:val="-9"/>
          <w:sz w:val="20"/>
        </w:rPr>
        <w:t> </w:t>
      </w:r>
      <w:r>
        <w:rPr>
          <w:sz w:val="20"/>
        </w:rPr>
        <w:t>annually,</w:t>
      </w:r>
      <w:r>
        <w:rPr>
          <w:spacing w:val="-10"/>
          <w:sz w:val="20"/>
        </w:rPr>
        <w:t> </w:t>
      </w:r>
      <w:r>
        <w:rPr>
          <w:sz w:val="20"/>
        </w:rPr>
        <w:t>though</w:t>
      </w:r>
      <w:r>
        <w:rPr>
          <w:spacing w:val="-12"/>
          <w:sz w:val="20"/>
        </w:rPr>
        <w:t> </w:t>
      </w:r>
      <w:r>
        <w:rPr>
          <w:sz w:val="20"/>
        </w:rPr>
        <w:t>for</w:t>
      </w:r>
      <w:r>
        <w:rPr>
          <w:spacing w:val="-12"/>
          <w:sz w:val="20"/>
        </w:rPr>
        <w:t> </w:t>
      </w:r>
      <w:r>
        <w:rPr>
          <w:sz w:val="20"/>
        </w:rPr>
        <w:t>some</w:t>
      </w:r>
      <w:r>
        <w:rPr>
          <w:spacing w:val="-12"/>
          <w:sz w:val="20"/>
        </w:rPr>
        <w:t> </w:t>
      </w:r>
      <w:r>
        <w:rPr>
          <w:sz w:val="20"/>
        </w:rPr>
        <w:t>MNE</w:t>
      </w:r>
      <w:r>
        <w:rPr>
          <w:spacing w:val="-11"/>
          <w:sz w:val="20"/>
        </w:rPr>
        <w:t> </w:t>
      </w:r>
      <w:r>
        <w:rPr>
          <w:sz w:val="20"/>
        </w:rPr>
        <w:t>groups only a high-level review may be required. As mentioned below, after the first year(s) tax administrations may feel comfortable to provide early certainty for some MNE groups without any review by a panel, if they are confident the MNE group’s processes for applying Amount A</w:t>
      </w:r>
      <w:r>
        <w:rPr>
          <w:spacing w:val="-4"/>
          <w:sz w:val="20"/>
        </w:rPr>
        <w:t> </w:t>
      </w:r>
      <w:r>
        <w:rPr>
          <w:sz w:val="20"/>
        </w:rPr>
        <w:t>are</w:t>
      </w:r>
      <w:r>
        <w:rPr>
          <w:spacing w:val="-4"/>
          <w:sz w:val="20"/>
        </w:rPr>
        <w:t> </w:t>
      </w:r>
      <w:r>
        <w:rPr>
          <w:sz w:val="20"/>
        </w:rPr>
        <w:t>robust</w:t>
      </w:r>
      <w:r>
        <w:rPr>
          <w:spacing w:val="-3"/>
          <w:sz w:val="20"/>
        </w:rPr>
        <w:t> </w:t>
      </w:r>
      <w:r>
        <w:rPr>
          <w:sz w:val="20"/>
        </w:rPr>
        <w:t>and</w:t>
      </w:r>
      <w:r>
        <w:rPr>
          <w:spacing w:val="-3"/>
          <w:sz w:val="20"/>
        </w:rPr>
        <w:t> </w:t>
      </w:r>
      <w:r>
        <w:rPr>
          <w:sz w:val="20"/>
        </w:rPr>
        <w:t>nothing</w:t>
      </w:r>
      <w:r>
        <w:rPr>
          <w:spacing w:val="-3"/>
          <w:sz w:val="20"/>
        </w:rPr>
        <w:t> </w:t>
      </w:r>
      <w:r>
        <w:rPr>
          <w:sz w:val="20"/>
        </w:rPr>
        <w:t>material</w:t>
      </w:r>
      <w:r>
        <w:rPr>
          <w:spacing w:val="-5"/>
          <w:sz w:val="20"/>
        </w:rPr>
        <w:t> </w:t>
      </w:r>
      <w:r>
        <w:rPr>
          <w:sz w:val="20"/>
        </w:rPr>
        <w:t>has</w:t>
      </w:r>
      <w:r>
        <w:rPr>
          <w:spacing w:val="-2"/>
          <w:sz w:val="20"/>
        </w:rPr>
        <w:t> </w:t>
      </w:r>
      <w:r>
        <w:rPr>
          <w:sz w:val="20"/>
        </w:rPr>
        <w:t>changed</w:t>
      </w:r>
      <w:r>
        <w:rPr>
          <w:spacing w:val="-2"/>
          <w:sz w:val="20"/>
        </w:rPr>
        <w:t> </w:t>
      </w:r>
      <w:r>
        <w:rPr>
          <w:sz w:val="20"/>
        </w:rPr>
        <w:t>since</w:t>
      </w:r>
      <w:r>
        <w:rPr>
          <w:spacing w:val="-4"/>
          <w:sz w:val="20"/>
        </w:rPr>
        <w:t> </w:t>
      </w:r>
      <w:r>
        <w:rPr>
          <w:sz w:val="20"/>
        </w:rPr>
        <w:t>the</w:t>
      </w:r>
      <w:r>
        <w:rPr>
          <w:spacing w:val="-4"/>
          <w:sz w:val="20"/>
        </w:rPr>
        <w:t> </w:t>
      </w:r>
      <w:r>
        <w:rPr>
          <w:sz w:val="20"/>
        </w:rPr>
        <w:t>previous</w:t>
      </w:r>
      <w:r>
        <w:rPr>
          <w:spacing w:val="-3"/>
          <w:sz w:val="20"/>
        </w:rPr>
        <w:t> </w:t>
      </w:r>
      <w:r>
        <w:rPr>
          <w:sz w:val="20"/>
        </w:rPr>
        <w:t>review</w:t>
      </w:r>
      <w:r>
        <w:rPr>
          <w:spacing w:val="-3"/>
          <w:sz w:val="20"/>
        </w:rPr>
        <w:t> </w:t>
      </w:r>
      <w:r>
        <w:rPr>
          <w:sz w:val="20"/>
        </w:rPr>
        <w:t>was</w:t>
      </w:r>
      <w:r>
        <w:rPr>
          <w:spacing w:val="-3"/>
          <w:sz w:val="20"/>
        </w:rPr>
        <w:t> </w:t>
      </w:r>
      <w:r>
        <w:rPr>
          <w:sz w:val="20"/>
        </w:rPr>
        <w:t>undertaken.</w:t>
      </w:r>
    </w:p>
    <w:p>
      <w:pPr>
        <w:pStyle w:val="BodyText"/>
        <w:spacing w:before="7"/>
      </w:pPr>
    </w:p>
    <w:p>
      <w:pPr>
        <w:pStyle w:val="Heading7"/>
        <w:spacing w:before="1"/>
        <w:rPr>
          <w:i/>
        </w:rPr>
      </w:pPr>
      <w:bookmarkStart w:name="Submission of a request to the lead tax " w:id="426"/>
      <w:bookmarkEnd w:id="426"/>
      <w:r>
        <w:rPr>
          <w:i w:val="0"/>
        </w:rPr>
      </w:r>
      <w:r>
        <w:rPr>
          <w:i/>
          <w:color w:val="616161"/>
        </w:rPr>
        <w:t>Submission of a request to the lead tax administration</w:t>
      </w:r>
    </w:p>
    <w:p>
      <w:pPr>
        <w:pStyle w:val="ListParagraph"/>
        <w:numPr>
          <w:ilvl w:val="0"/>
          <w:numId w:val="13"/>
        </w:numPr>
        <w:tabs>
          <w:tab w:pos="1444" w:val="left" w:leader="none"/>
        </w:tabs>
        <w:spacing w:line="271" w:lineRule="auto" w:before="214" w:after="0"/>
        <w:ind w:left="723" w:right="484" w:firstLine="0"/>
        <w:jc w:val="both"/>
        <w:rPr>
          <w:sz w:val="20"/>
        </w:rPr>
      </w:pPr>
      <w:r>
        <w:rPr>
          <w:sz w:val="20"/>
        </w:rPr>
        <w:t>A request for early certainty will be submitted by the MNE group’s co-ordinating entity to its lead tax</w:t>
      </w:r>
      <w:r>
        <w:rPr>
          <w:spacing w:val="-15"/>
          <w:sz w:val="20"/>
        </w:rPr>
        <w:t> </w:t>
      </w:r>
      <w:r>
        <w:rPr>
          <w:sz w:val="20"/>
        </w:rPr>
        <w:t>administration,</w:t>
      </w:r>
      <w:r>
        <w:rPr>
          <w:spacing w:val="-14"/>
          <w:sz w:val="20"/>
        </w:rPr>
        <w:t> </w:t>
      </w:r>
      <w:r>
        <w:rPr>
          <w:sz w:val="20"/>
        </w:rPr>
        <w:t>which</w:t>
      </w:r>
      <w:r>
        <w:rPr>
          <w:spacing w:val="-12"/>
          <w:sz w:val="20"/>
        </w:rPr>
        <w:t> </w:t>
      </w:r>
      <w:r>
        <w:rPr>
          <w:sz w:val="20"/>
        </w:rPr>
        <w:t>in</w:t>
      </w:r>
      <w:r>
        <w:rPr>
          <w:spacing w:val="-13"/>
          <w:sz w:val="20"/>
        </w:rPr>
        <w:t> </w:t>
      </w:r>
      <w:r>
        <w:rPr>
          <w:sz w:val="20"/>
        </w:rPr>
        <w:t>most</w:t>
      </w:r>
      <w:r>
        <w:rPr>
          <w:spacing w:val="-15"/>
          <w:sz w:val="20"/>
        </w:rPr>
        <w:t> </w:t>
      </w:r>
      <w:r>
        <w:rPr>
          <w:sz w:val="20"/>
        </w:rPr>
        <w:t>cases</w:t>
      </w:r>
      <w:r>
        <w:rPr>
          <w:spacing w:val="-15"/>
          <w:sz w:val="20"/>
        </w:rPr>
        <w:t> </w:t>
      </w:r>
      <w:r>
        <w:rPr>
          <w:sz w:val="20"/>
        </w:rPr>
        <w:t>should</w:t>
      </w:r>
      <w:r>
        <w:rPr>
          <w:spacing w:val="-14"/>
          <w:sz w:val="20"/>
        </w:rPr>
        <w:t> </w:t>
      </w:r>
      <w:r>
        <w:rPr>
          <w:sz w:val="20"/>
        </w:rPr>
        <w:t>be</w:t>
      </w:r>
      <w:r>
        <w:rPr>
          <w:spacing w:val="-14"/>
          <w:sz w:val="20"/>
        </w:rPr>
        <w:t> </w:t>
      </w:r>
      <w:r>
        <w:rPr>
          <w:sz w:val="20"/>
        </w:rPr>
        <w:t>in</w:t>
      </w:r>
      <w:r>
        <w:rPr>
          <w:spacing w:val="-14"/>
          <w:sz w:val="20"/>
        </w:rPr>
        <w:t> </w:t>
      </w:r>
      <w:r>
        <w:rPr>
          <w:sz w:val="20"/>
        </w:rPr>
        <w:t>the</w:t>
      </w:r>
      <w:r>
        <w:rPr>
          <w:spacing w:val="-14"/>
          <w:sz w:val="20"/>
        </w:rPr>
        <w:t> </w:t>
      </w:r>
      <w:r>
        <w:rPr>
          <w:sz w:val="20"/>
        </w:rPr>
        <w:t>MNE</w:t>
      </w:r>
      <w:r>
        <w:rPr>
          <w:spacing w:val="-14"/>
          <w:sz w:val="20"/>
        </w:rPr>
        <w:t> </w:t>
      </w:r>
      <w:r>
        <w:rPr>
          <w:sz w:val="20"/>
        </w:rPr>
        <w:t>group’s</w:t>
      </w:r>
      <w:r>
        <w:rPr>
          <w:spacing w:val="-12"/>
          <w:sz w:val="20"/>
        </w:rPr>
        <w:t> </w:t>
      </w:r>
      <w:r>
        <w:rPr>
          <w:sz w:val="20"/>
        </w:rPr>
        <w:t>UPE</w:t>
      </w:r>
      <w:r>
        <w:rPr>
          <w:spacing w:val="-17"/>
          <w:sz w:val="20"/>
        </w:rPr>
        <w:t> </w:t>
      </w:r>
      <w:r>
        <w:rPr>
          <w:sz w:val="20"/>
        </w:rPr>
        <w:t>jurisdiction.</w:t>
      </w:r>
      <w:r>
        <w:rPr>
          <w:spacing w:val="-14"/>
          <w:sz w:val="20"/>
        </w:rPr>
        <w:t> </w:t>
      </w:r>
      <w:r>
        <w:rPr>
          <w:sz w:val="20"/>
        </w:rPr>
        <w:t>This</w:t>
      </w:r>
      <w:r>
        <w:rPr>
          <w:spacing w:val="-15"/>
          <w:sz w:val="20"/>
        </w:rPr>
        <w:t> </w:t>
      </w:r>
      <w:r>
        <w:rPr>
          <w:sz w:val="20"/>
        </w:rPr>
        <w:t>request</w:t>
      </w:r>
      <w:r>
        <w:rPr>
          <w:spacing w:val="-16"/>
          <w:sz w:val="20"/>
        </w:rPr>
        <w:t> </w:t>
      </w:r>
      <w:r>
        <w:rPr>
          <w:sz w:val="20"/>
        </w:rPr>
        <w:t>should be submitted by an agreed deadline, say within [six months] of the end of the relevant fiscal year end. Within [1 month] of receiving the request, the lead tax administration should send a notification to competent</w:t>
      </w:r>
      <w:r>
        <w:rPr>
          <w:spacing w:val="-5"/>
          <w:sz w:val="20"/>
        </w:rPr>
        <w:t> </w:t>
      </w:r>
      <w:r>
        <w:rPr>
          <w:sz w:val="20"/>
        </w:rPr>
        <w:t>authorities</w:t>
      </w:r>
      <w:r>
        <w:rPr>
          <w:spacing w:val="-3"/>
          <w:sz w:val="20"/>
        </w:rPr>
        <w:t> </w:t>
      </w:r>
      <w:r>
        <w:rPr>
          <w:sz w:val="20"/>
        </w:rPr>
        <w:t>in</w:t>
      </w:r>
      <w:r>
        <w:rPr>
          <w:spacing w:val="-3"/>
          <w:sz w:val="20"/>
        </w:rPr>
        <w:t> </w:t>
      </w:r>
      <w:r>
        <w:rPr>
          <w:sz w:val="20"/>
        </w:rPr>
        <w:t>all</w:t>
      </w:r>
      <w:r>
        <w:rPr>
          <w:spacing w:val="-3"/>
          <w:sz w:val="20"/>
        </w:rPr>
        <w:t> </w:t>
      </w:r>
      <w:r>
        <w:rPr>
          <w:sz w:val="20"/>
        </w:rPr>
        <w:t>jurisdictions</w:t>
      </w:r>
      <w:r>
        <w:rPr>
          <w:spacing w:val="-2"/>
          <w:sz w:val="20"/>
        </w:rPr>
        <w:t> </w:t>
      </w:r>
      <w:r>
        <w:rPr>
          <w:sz w:val="20"/>
        </w:rPr>
        <w:t>where</w:t>
      </w:r>
      <w:r>
        <w:rPr>
          <w:spacing w:val="-5"/>
          <w:sz w:val="20"/>
        </w:rPr>
        <w:t> </w:t>
      </w:r>
      <w:r>
        <w:rPr>
          <w:sz w:val="20"/>
        </w:rPr>
        <w:t>the</w:t>
      </w:r>
      <w:r>
        <w:rPr>
          <w:spacing w:val="-3"/>
          <w:sz w:val="20"/>
        </w:rPr>
        <w:t> </w:t>
      </w:r>
      <w:r>
        <w:rPr>
          <w:sz w:val="20"/>
        </w:rPr>
        <w:t>MNE</w:t>
      </w:r>
      <w:r>
        <w:rPr>
          <w:spacing w:val="-4"/>
          <w:sz w:val="20"/>
        </w:rPr>
        <w:t> </w:t>
      </w:r>
      <w:r>
        <w:rPr>
          <w:sz w:val="20"/>
        </w:rPr>
        <w:t>group</w:t>
      </w:r>
      <w:r>
        <w:rPr>
          <w:spacing w:val="-5"/>
          <w:sz w:val="20"/>
        </w:rPr>
        <w:t> </w:t>
      </w:r>
      <w:r>
        <w:rPr>
          <w:sz w:val="20"/>
        </w:rPr>
        <w:t>has</w:t>
      </w:r>
      <w:r>
        <w:rPr>
          <w:spacing w:val="-3"/>
          <w:sz w:val="20"/>
        </w:rPr>
        <w:t> </w:t>
      </w:r>
      <w:r>
        <w:rPr>
          <w:sz w:val="20"/>
        </w:rPr>
        <w:t>a</w:t>
      </w:r>
      <w:r>
        <w:rPr>
          <w:spacing w:val="-6"/>
          <w:sz w:val="20"/>
        </w:rPr>
        <w:t> </w:t>
      </w:r>
      <w:r>
        <w:rPr>
          <w:sz w:val="20"/>
        </w:rPr>
        <w:t>constituent</w:t>
      </w:r>
      <w:r>
        <w:rPr>
          <w:spacing w:val="-2"/>
          <w:sz w:val="20"/>
        </w:rPr>
        <w:t> </w:t>
      </w:r>
      <w:r>
        <w:rPr>
          <w:sz w:val="20"/>
        </w:rPr>
        <w:t>entity</w:t>
      </w:r>
      <w:r>
        <w:rPr>
          <w:spacing w:val="-8"/>
          <w:sz w:val="20"/>
        </w:rPr>
        <w:t> </w:t>
      </w:r>
      <w:r>
        <w:rPr>
          <w:sz w:val="20"/>
        </w:rPr>
        <w:t>or</w:t>
      </w:r>
      <w:r>
        <w:rPr>
          <w:spacing w:val="-4"/>
          <w:sz w:val="20"/>
        </w:rPr>
        <w:t> </w:t>
      </w:r>
      <w:r>
        <w:rPr>
          <w:sz w:val="20"/>
        </w:rPr>
        <w:t>a</w:t>
      </w:r>
      <w:r>
        <w:rPr>
          <w:spacing w:val="-5"/>
          <w:sz w:val="20"/>
        </w:rPr>
        <w:t> </w:t>
      </w:r>
      <w:r>
        <w:rPr>
          <w:sz w:val="20"/>
        </w:rPr>
        <w:t>market,</w:t>
      </w:r>
      <w:r>
        <w:rPr>
          <w:spacing w:val="-5"/>
          <w:sz w:val="20"/>
        </w:rPr>
        <w:t> </w:t>
      </w:r>
      <w:r>
        <w:rPr>
          <w:sz w:val="20"/>
        </w:rPr>
        <w:t>based on information provided by the MNE</w:t>
      </w:r>
      <w:r>
        <w:rPr>
          <w:spacing w:val="-6"/>
          <w:sz w:val="20"/>
        </w:rPr>
        <w:t> </w:t>
      </w:r>
      <w:r>
        <w:rPr>
          <w:sz w:val="20"/>
        </w:rPr>
        <w:t>group.</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As</w:t>
      </w:r>
      <w:r>
        <w:rPr>
          <w:spacing w:val="-13"/>
          <w:sz w:val="20"/>
        </w:rPr>
        <w:t> </w:t>
      </w:r>
      <w:r>
        <w:rPr>
          <w:sz w:val="20"/>
        </w:rPr>
        <w:t>mentioned</w:t>
      </w:r>
      <w:r>
        <w:rPr>
          <w:spacing w:val="-12"/>
          <w:sz w:val="20"/>
        </w:rPr>
        <w:t> </w:t>
      </w:r>
      <w:r>
        <w:rPr>
          <w:sz w:val="20"/>
        </w:rPr>
        <w:t>above,</w:t>
      </w:r>
      <w:r>
        <w:rPr>
          <w:spacing w:val="-14"/>
          <w:sz w:val="20"/>
        </w:rPr>
        <w:t> </w:t>
      </w:r>
      <w:r>
        <w:rPr>
          <w:sz w:val="20"/>
        </w:rPr>
        <w:t>the</w:t>
      </w:r>
      <w:r>
        <w:rPr>
          <w:spacing w:val="-14"/>
          <w:sz w:val="20"/>
        </w:rPr>
        <w:t> </w:t>
      </w:r>
      <w:r>
        <w:rPr>
          <w:sz w:val="20"/>
        </w:rPr>
        <w:t>MNE</w:t>
      </w:r>
      <w:r>
        <w:rPr>
          <w:spacing w:val="-14"/>
          <w:sz w:val="20"/>
        </w:rPr>
        <w:t> </w:t>
      </w:r>
      <w:r>
        <w:rPr>
          <w:sz w:val="20"/>
        </w:rPr>
        <w:t>group</w:t>
      </w:r>
      <w:r>
        <w:rPr>
          <w:spacing w:val="-14"/>
          <w:sz w:val="20"/>
        </w:rPr>
        <w:t> </w:t>
      </w:r>
      <w:r>
        <w:rPr>
          <w:sz w:val="20"/>
        </w:rPr>
        <w:t>should</w:t>
      </w:r>
      <w:r>
        <w:rPr>
          <w:spacing w:val="-14"/>
          <w:sz w:val="20"/>
        </w:rPr>
        <w:t> </w:t>
      </w:r>
      <w:r>
        <w:rPr>
          <w:sz w:val="20"/>
        </w:rPr>
        <w:t>have</w:t>
      </w:r>
      <w:r>
        <w:rPr>
          <w:spacing w:val="-12"/>
          <w:sz w:val="20"/>
        </w:rPr>
        <w:t> </w:t>
      </w:r>
      <w:r>
        <w:rPr>
          <w:sz w:val="20"/>
        </w:rPr>
        <w:t>provided</w:t>
      </w:r>
      <w:r>
        <w:rPr>
          <w:spacing w:val="-14"/>
          <w:sz w:val="20"/>
        </w:rPr>
        <w:t> </w:t>
      </w:r>
      <w:r>
        <w:rPr>
          <w:sz w:val="20"/>
        </w:rPr>
        <w:t>an</w:t>
      </w:r>
      <w:r>
        <w:rPr>
          <w:spacing w:val="-14"/>
          <w:sz w:val="20"/>
        </w:rPr>
        <w:t> </w:t>
      </w:r>
      <w:r>
        <w:rPr>
          <w:sz w:val="20"/>
        </w:rPr>
        <w:t>agreement</w:t>
      </w:r>
      <w:r>
        <w:rPr>
          <w:spacing w:val="-14"/>
          <w:sz w:val="20"/>
        </w:rPr>
        <w:t> </w:t>
      </w:r>
      <w:r>
        <w:rPr>
          <w:sz w:val="20"/>
        </w:rPr>
        <w:t>signed</w:t>
      </w:r>
      <w:r>
        <w:rPr>
          <w:spacing w:val="-14"/>
          <w:sz w:val="20"/>
        </w:rPr>
        <w:t> </w:t>
      </w:r>
      <w:r>
        <w:rPr>
          <w:sz w:val="20"/>
        </w:rPr>
        <w:t>by</w:t>
      </w:r>
      <w:r>
        <w:rPr>
          <w:spacing w:val="-15"/>
          <w:sz w:val="20"/>
        </w:rPr>
        <w:t> </w:t>
      </w:r>
      <w:r>
        <w:rPr>
          <w:sz w:val="20"/>
        </w:rPr>
        <w:t>all</w:t>
      </w:r>
      <w:r>
        <w:rPr>
          <w:spacing w:val="-14"/>
          <w:sz w:val="20"/>
        </w:rPr>
        <w:t> </w:t>
      </w:r>
      <w:r>
        <w:rPr>
          <w:sz w:val="20"/>
        </w:rPr>
        <w:t>constituent entities</w:t>
      </w:r>
      <w:r>
        <w:rPr>
          <w:spacing w:val="-8"/>
          <w:sz w:val="20"/>
        </w:rPr>
        <w:t> </w:t>
      </w:r>
      <w:r>
        <w:rPr>
          <w:sz w:val="20"/>
        </w:rPr>
        <w:t>undertaking</w:t>
      </w:r>
      <w:r>
        <w:rPr>
          <w:spacing w:val="-11"/>
          <w:sz w:val="20"/>
        </w:rPr>
        <w:t> </w:t>
      </w:r>
      <w:r>
        <w:rPr>
          <w:sz w:val="20"/>
        </w:rPr>
        <w:t>residual</w:t>
      </w:r>
      <w:r>
        <w:rPr>
          <w:spacing w:val="-11"/>
          <w:sz w:val="20"/>
        </w:rPr>
        <w:t> </w:t>
      </w:r>
      <w:r>
        <w:rPr>
          <w:sz w:val="20"/>
        </w:rPr>
        <w:t>profits</w:t>
      </w:r>
      <w:r>
        <w:rPr>
          <w:spacing w:val="-8"/>
          <w:sz w:val="20"/>
        </w:rPr>
        <w:t> </w:t>
      </w:r>
      <w:r>
        <w:rPr>
          <w:sz w:val="20"/>
        </w:rPr>
        <w:t>activities</w:t>
      </w:r>
      <w:r>
        <w:rPr>
          <w:spacing w:val="-9"/>
          <w:sz w:val="20"/>
        </w:rPr>
        <w:t> </w:t>
      </w:r>
      <w:r>
        <w:rPr>
          <w:sz w:val="20"/>
        </w:rPr>
        <w:t>confirming</w:t>
      </w:r>
      <w:r>
        <w:rPr>
          <w:spacing w:val="-10"/>
          <w:sz w:val="20"/>
        </w:rPr>
        <w:t> </w:t>
      </w:r>
      <w:r>
        <w:rPr>
          <w:sz w:val="20"/>
        </w:rPr>
        <w:t>that</w:t>
      </w:r>
      <w:r>
        <w:rPr>
          <w:spacing w:val="-8"/>
          <w:sz w:val="20"/>
        </w:rPr>
        <w:t> </w:t>
      </w:r>
      <w:r>
        <w:rPr>
          <w:sz w:val="20"/>
        </w:rPr>
        <w:t>they</w:t>
      </w:r>
      <w:r>
        <w:rPr>
          <w:spacing w:val="-11"/>
          <w:sz w:val="20"/>
        </w:rPr>
        <w:t> </w:t>
      </w:r>
      <w:r>
        <w:rPr>
          <w:sz w:val="20"/>
        </w:rPr>
        <w:t>agree</w:t>
      </w:r>
      <w:r>
        <w:rPr>
          <w:spacing w:val="-12"/>
          <w:sz w:val="20"/>
        </w:rPr>
        <w:t> </w:t>
      </w:r>
      <w:r>
        <w:rPr>
          <w:sz w:val="20"/>
        </w:rPr>
        <w:t>to</w:t>
      </w:r>
      <w:r>
        <w:rPr>
          <w:spacing w:val="-11"/>
          <w:sz w:val="20"/>
        </w:rPr>
        <w:t> </w:t>
      </w:r>
      <w:r>
        <w:rPr>
          <w:sz w:val="20"/>
        </w:rPr>
        <w:t>be</w:t>
      </w:r>
      <w:r>
        <w:rPr>
          <w:spacing w:val="-11"/>
          <w:sz w:val="20"/>
        </w:rPr>
        <w:t> </w:t>
      </w:r>
      <w:r>
        <w:rPr>
          <w:sz w:val="20"/>
        </w:rPr>
        <w:t>bound</w:t>
      </w:r>
      <w:r>
        <w:rPr>
          <w:spacing w:val="-11"/>
          <w:sz w:val="20"/>
        </w:rPr>
        <w:t> </w:t>
      </w:r>
      <w:r>
        <w:rPr>
          <w:sz w:val="20"/>
        </w:rPr>
        <w:t>by</w:t>
      </w:r>
      <w:r>
        <w:rPr>
          <w:spacing w:val="-14"/>
          <w:sz w:val="20"/>
        </w:rPr>
        <w:t> </w:t>
      </w:r>
      <w:r>
        <w:rPr>
          <w:sz w:val="20"/>
        </w:rPr>
        <w:t>any</w:t>
      </w:r>
      <w:r>
        <w:rPr>
          <w:spacing w:val="-14"/>
          <w:sz w:val="20"/>
        </w:rPr>
        <w:t> </w:t>
      </w:r>
      <w:r>
        <w:rPr>
          <w:sz w:val="20"/>
        </w:rPr>
        <w:t>changes</w:t>
      </w:r>
      <w:r>
        <w:rPr>
          <w:spacing w:val="-10"/>
          <w:sz w:val="20"/>
        </w:rPr>
        <w:t> </w:t>
      </w:r>
      <w:r>
        <w:rPr>
          <w:sz w:val="20"/>
        </w:rPr>
        <w:t>to</w:t>
      </w:r>
      <w:r>
        <w:rPr>
          <w:spacing w:val="-11"/>
          <w:sz w:val="20"/>
        </w:rPr>
        <w:t> </w:t>
      </w:r>
      <w:r>
        <w:rPr>
          <w:sz w:val="20"/>
        </w:rPr>
        <w:t>the MNE group’s Amount A self-assessment return agreed by the co-ordinating entity. Depending upon the final design of Amount A, this agreement may also need to be signed by other constituent entities in the MNE group. In addition, the request for tax certainty should include confirmation </w:t>
      </w:r>
      <w:r>
        <w:rPr>
          <w:spacing w:val="2"/>
          <w:sz w:val="20"/>
        </w:rPr>
        <w:t>from </w:t>
      </w:r>
      <w:r>
        <w:rPr>
          <w:sz w:val="20"/>
        </w:rPr>
        <w:t>these constituent entities</w:t>
      </w:r>
      <w:r>
        <w:rPr>
          <w:spacing w:val="-1"/>
          <w:sz w:val="20"/>
        </w:rPr>
        <w:t> </w:t>
      </w:r>
      <w:r>
        <w:rPr>
          <w:sz w:val="20"/>
        </w:rPr>
        <w:t>that:</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785" w:val="left" w:leader="none"/>
        </w:tabs>
        <w:spacing w:line="271" w:lineRule="auto" w:before="99" w:after="0"/>
        <w:ind w:left="1784" w:right="489" w:hanging="360"/>
        <w:jc w:val="both"/>
        <w:rPr>
          <w:sz w:val="20"/>
        </w:rPr>
      </w:pPr>
      <w:r>
        <w:rPr>
          <w:sz w:val="20"/>
        </w:rPr>
        <w:t>they agree to the suspension of time limits on domestic compliance activity for the period of the</w:t>
      </w:r>
      <w:r>
        <w:rPr>
          <w:spacing w:val="-7"/>
          <w:sz w:val="20"/>
        </w:rPr>
        <w:t> </w:t>
      </w:r>
      <w:r>
        <w:rPr>
          <w:sz w:val="20"/>
        </w:rPr>
        <w:t>review,</w:t>
      </w:r>
      <w:r>
        <w:rPr>
          <w:spacing w:val="-3"/>
          <w:sz w:val="20"/>
        </w:rPr>
        <w:t> </w:t>
      </w:r>
      <w:r>
        <w:rPr>
          <w:sz w:val="20"/>
        </w:rPr>
        <w:t>to</w:t>
      </w:r>
      <w:r>
        <w:rPr>
          <w:spacing w:val="-4"/>
          <w:sz w:val="20"/>
        </w:rPr>
        <w:t> </w:t>
      </w:r>
      <w:r>
        <w:rPr>
          <w:sz w:val="20"/>
        </w:rPr>
        <w:t>the</w:t>
      </w:r>
      <w:r>
        <w:rPr>
          <w:spacing w:val="-4"/>
          <w:sz w:val="20"/>
        </w:rPr>
        <w:t> </w:t>
      </w:r>
      <w:r>
        <w:rPr>
          <w:sz w:val="20"/>
        </w:rPr>
        <w:t>extent</w:t>
      </w:r>
      <w:r>
        <w:rPr>
          <w:spacing w:val="-5"/>
          <w:sz w:val="20"/>
        </w:rPr>
        <w:t> </w:t>
      </w:r>
      <w:r>
        <w:rPr>
          <w:sz w:val="20"/>
        </w:rPr>
        <w:t>this</w:t>
      </w:r>
      <w:r>
        <w:rPr>
          <w:spacing w:val="-5"/>
          <w:sz w:val="20"/>
        </w:rPr>
        <w:t> </w:t>
      </w:r>
      <w:r>
        <w:rPr>
          <w:sz w:val="20"/>
        </w:rPr>
        <w:t>is</w:t>
      </w:r>
      <w:r>
        <w:rPr>
          <w:spacing w:val="-4"/>
          <w:sz w:val="20"/>
        </w:rPr>
        <w:t> </w:t>
      </w:r>
      <w:r>
        <w:rPr>
          <w:sz w:val="20"/>
        </w:rPr>
        <w:t>possible</w:t>
      </w:r>
      <w:r>
        <w:rPr>
          <w:spacing w:val="-4"/>
          <w:sz w:val="20"/>
        </w:rPr>
        <w:t> </w:t>
      </w:r>
      <w:r>
        <w:rPr>
          <w:sz w:val="20"/>
        </w:rPr>
        <w:t>under</w:t>
      </w:r>
      <w:r>
        <w:rPr>
          <w:spacing w:val="-3"/>
          <w:sz w:val="20"/>
        </w:rPr>
        <w:t> </w:t>
      </w:r>
      <w:r>
        <w:rPr>
          <w:sz w:val="20"/>
        </w:rPr>
        <w:t>each</w:t>
      </w:r>
      <w:r>
        <w:rPr>
          <w:spacing w:val="-6"/>
          <w:sz w:val="20"/>
        </w:rPr>
        <w:t> </w:t>
      </w:r>
      <w:r>
        <w:rPr>
          <w:sz w:val="20"/>
        </w:rPr>
        <w:t>jurisdiction’s</w:t>
      </w:r>
      <w:r>
        <w:rPr>
          <w:spacing w:val="-5"/>
          <w:sz w:val="20"/>
        </w:rPr>
        <w:t> </w:t>
      </w:r>
      <w:r>
        <w:rPr>
          <w:sz w:val="20"/>
        </w:rPr>
        <w:t>law.</w:t>
      </w:r>
      <w:r>
        <w:rPr>
          <w:spacing w:val="-5"/>
          <w:sz w:val="20"/>
        </w:rPr>
        <w:t> </w:t>
      </w:r>
      <w:r>
        <w:rPr>
          <w:sz w:val="20"/>
        </w:rPr>
        <w:t>This</w:t>
      </w:r>
      <w:r>
        <w:rPr>
          <w:spacing w:val="-4"/>
          <w:sz w:val="20"/>
        </w:rPr>
        <w:t> </w:t>
      </w:r>
      <w:r>
        <w:rPr>
          <w:sz w:val="20"/>
        </w:rPr>
        <w:t>is</w:t>
      </w:r>
      <w:r>
        <w:rPr>
          <w:spacing w:val="-3"/>
          <w:sz w:val="20"/>
        </w:rPr>
        <w:t> </w:t>
      </w:r>
      <w:r>
        <w:rPr>
          <w:sz w:val="20"/>
        </w:rPr>
        <w:t>to</w:t>
      </w:r>
      <w:r>
        <w:rPr>
          <w:spacing w:val="-3"/>
          <w:sz w:val="20"/>
        </w:rPr>
        <w:t> </w:t>
      </w:r>
      <w:r>
        <w:rPr>
          <w:sz w:val="20"/>
        </w:rPr>
        <w:t>ensure</w:t>
      </w:r>
      <w:r>
        <w:rPr>
          <w:spacing w:val="-6"/>
          <w:sz w:val="20"/>
        </w:rPr>
        <w:t> </w:t>
      </w:r>
      <w:r>
        <w:rPr>
          <w:sz w:val="20"/>
        </w:rPr>
        <w:t>that,</w:t>
      </w:r>
      <w:r>
        <w:rPr>
          <w:spacing w:val="-5"/>
          <w:sz w:val="20"/>
        </w:rPr>
        <w:t> </w:t>
      </w:r>
      <w:r>
        <w:rPr>
          <w:sz w:val="20"/>
        </w:rPr>
        <w:t>in the event an MNE group does not accept the outcomes of a review and chooses to rely on domestic remedies, tax administrations are still able to conduct their own enquiries,</w:t>
      </w:r>
      <w:r>
        <w:rPr>
          <w:spacing w:val="-30"/>
          <w:sz w:val="20"/>
        </w:rPr>
        <w:t> </w:t>
      </w:r>
      <w:r>
        <w:rPr>
          <w:sz w:val="20"/>
        </w:rPr>
        <w:t>and</w:t>
      </w:r>
    </w:p>
    <w:p>
      <w:pPr>
        <w:pStyle w:val="ListParagraph"/>
        <w:numPr>
          <w:ilvl w:val="1"/>
          <w:numId w:val="13"/>
        </w:numPr>
        <w:tabs>
          <w:tab w:pos="1785" w:val="left" w:leader="none"/>
        </w:tabs>
        <w:spacing w:line="266" w:lineRule="auto" w:before="43" w:after="0"/>
        <w:ind w:left="1784" w:right="483" w:hanging="360"/>
        <w:jc w:val="both"/>
        <w:rPr>
          <w:sz w:val="20"/>
        </w:rPr>
      </w:pPr>
      <w:r>
        <w:rPr>
          <w:sz w:val="20"/>
        </w:rPr>
        <w:t>they understand that any binding tax certainty provided as a result of this process may fall away</w:t>
      </w:r>
      <w:r>
        <w:rPr>
          <w:spacing w:val="-5"/>
          <w:sz w:val="20"/>
        </w:rPr>
        <w:t> </w:t>
      </w:r>
      <w:r>
        <w:rPr>
          <w:sz w:val="20"/>
        </w:rPr>
        <w:t>if</w:t>
      </w:r>
    </w:p>
    <w:p>
      <w:pPr>
        <w:pStyle w:val="ListParagraph"/>
        <w:numPr>
          <w:ilvl w:val="2"/>
          <w:numId w:val="13"/>
        </w:numPr>
        <w:tabs>
          <w:tab w:pos="2505" w:val="left" w:leader="none"/>
        </w:tabs>
        <w:spacing w:line="252" w:lineRule="auto" w:before="67" w:after="0"/>
        <w:ind w:left="2504" w:right="490" w:hanging="360"/>
        <w:jc w:val="both"/>
        <w:rPr>
          <w:sz w:val="20"/>
        </w:rPr>
      </w:pPr>
      <w:r>
        <w:rPr>
          <w:sz w:val="20"/>
        </w:rPr>
        <w:t>any member of the MNE group later pursues domestic remedies with respect to Amount A for the relevant fiscal year</w:t>
      </w:r>
      <w:r>
        <w:rPr>
          <w:spacing w:val="-7"/>
          <w:sz w:val="20"/>
        </w:rPr>
        <w:t> </w:t>
      </w:r>
      <w:r>
        <w:rPr>
          <w:sz w:val="20"/>
        </w:rPr>
        <w:t>or</w:t>
      </w:r>
    </w:p>
    <w:p>
      <w:pPr>
        <w:pStyle w:val="ListParagraph"/>
        <w:numPr>
          <w:ilvl w:val="2"/>
          <w:numId w:val="13"/>
        </w:numPr>
        <w:tabs>
          <w:tab w:pos="2505" w:val="left" w:leader="none"/>
        </w:tabs>
        <w:spacing w:line="254" w:lineRule="auto" w:before="78" w:after="0"/>
        <w:ind w:left="2504" w:right="485" w:hanging="360"/>
        <w:jc w:val="both"/>
        <w:rPr>
          <w:sz w:val="20"/>
        </w:rPr>
      </w:pPr>
      <w:r>
        <w:rPr>
          <w:sz w:val="20"/>
        </w:rPr>
        <w:t>it</w:t>
      </w:r>
      <w:r>
        <w:rPr>
          <w:spacing w:val="-12"/>
          <w:sz w:val="20"/>
        </w:rPr>
        <w:t> </w:t>
      </w:r>
      <w:r>
        <w:rPr>
          <w:sz w:val="20"/>
        </w:rPr>
        <w:t>is</w:t>
      </w:r>
      <w:r>
        <w:rPr>
          <w:spacing w:val="-12"/>
          <w:sz w:val="20"/>
        </w:rPr>
        <w:t> </w:t>
      </w:r>
      <w:r>
        <w:rPr>
          <w:sz w:val="20"/>
        </w:rPr>
        <w:t>later</w:t>
      </w:r>
      <w:r>
        <w:rPr>
          <w:spacing w:val="-13"/>
          <w:sz w:val="20"/>
        </w:rPr>
        <w:t> </w:t>
      </w:r>
      <w:r>
        <w:rPr>
          <w:sz w:val="20"/>
        </w:rPr>
        <w:t>discovered</w:t>
      </w:r>
      <w:r>
        <w:rPr>
          <w:spacing w:val="-11"/>
          <w:sz w:val="20"/>
        </w:rPr>
        <w:t> </w:t>
      </w:r>
      <w:r>
        <w:rPr>
          <w:sz w:val="20"/>
        </w:rPr>
        <w:t>that</w:t>
      </w:r>
      <w:r>
        <w:rPr>
          <w:spacing w:val="-10"/>
          <w:sz w:val="20"/>
        </w:rPr>
        <w:t> </w:t>
      </w:r>
      <w:r>
        <w:rPr>
          <w:sz w:val="20"/>
        </w:rPr>
        <w:t>information</w:t>
      </w:r>
      <w:r>
        <w:rPr>
          <w:spacing w:val="-14"/>
          <w:sz w:val="20"/>
        </w:rPr>
        <w:t> </w:t>
      </w:r>
      <w:r>
        <w:rPr>
          <w:sz w:val="20"/>
        </w:rPr>
        <w:t>provided</w:t>
      </w:r>
      <w:r>
        <w:rPr>
          <w:spacing w:val="-12"/>
          <w:sz w:val="20"/>
        </w:rPr>
        <w:t> </w:t>
      </w:r>
      <w:r>
        <w:rPr>
          <w:sz w:val="20"/>
        </w:rPr>
        <w:t>by</w:t>
      </w:r>
      <w:r>
        <w:rPr>
          <w:spacing w:val="-17"/>
          <w:sz w:val="20"/>
        </w:rPr>
        <w:t> </w:t>
      </w:r>
      <w:r>
        <w:rPr>
          <w:sz w:val="20"/>
        </w:rPr>
        <w:t>the</w:t>
      </w:r>
      <w:r>
        <w:rPr>
          <w:spacing w:val="-12"/>
          <w:sz w:val="20"/>
        </w:rPr>
        <w:t> </w:t>
      </w:r>
      <w:r>
        <w:rPr>
          <w:sz w:val="20"/>
        </w:rPr>
        <w:t>MNE</w:t>
      </w:r>
      <w:r>
        <w:rPr>
          <w:spacing w:val="-14"/>
          <w:sz w:val="20"/>
        </w:rPr>
        <w:t> </w:t>
      </w:r>
      <w:r>
        <w:rPr>
          <w:sz w:val="20"/>
        </w:rPr>
        <w:t>group</w:t>
      </w:r>
      <w:r>
        <w:rPr>
          <w:spacing w:val="-12"/>
          <w:sz w:val="20"/>
        </w:rPr>
        <w:t> </w:t>
      </w:r>
      <w:r>
        <w:rPr>
          <w:sz w:val="20"/>
        </w:rPr>
        <w:t>to</w:t>
      </w:r>
      <w:r>
        <w:rPr>
          <w:spacing w:val="-12"/>
          <w:sz w:val="20"/>
        </w:rPr>
        <w:t> </w:t>
      </w:r>
      <w:r>
        <w:rPr>
          <w:sz w:val="20"/>
        </w:rPr>
        <w:t>tax</w:t>
      </w:r>
      <w:r>
        <w:rPr>
          <w:spacing w:val="-13"/>
          <w:sz w:val="20"/>
        </w:rPr>
        <w:t> </w:t>
      </w:r>
      <w:r>
        <w:rPr>
          <w:sz w:val="20"/>
        </w:rPr>
        <w:t>administrations for the purposes of its review is inaccurate, incomplete or</w:t>
      </w:r>
      <w:r>
        <w:rPr>
          <w:spacing w:val="-12"/>
          <w:sz w:val="20"/>
        </w:rPr>
        <w:t> </w:t>
      </w:r>
      <w:r>
        <w:rPr>
          <w:sz w:val="20"/>
        </w:rPr>
        <w:t>misleading.</w:t>
      </w:r>
    </w:p>
    <w:p>
      <w:pPr>
        <w:pStyle w:val="ListParagraph"/>
        <w:numPr>
          <w:ilvl w:val="0"/>
          <w:numId w:val="13"/>
        </w:numPr>
        <w:tabs>
          <w:tab w:pos="1444" w:val="left" w:leader="none"/>
        </w:tabs>
        <w:spacing w:line="271" w:lineRule="auto" w:before="143" w:after="0"/>
        <w:ind w:left="723" w:right="482" w:firstLine="0"/>
        <w:jc w:val="both"/>
        <w:rPr>
          <w:sz w:val="20"/>
        </w:rPr>
      </w:pPr>
      <w:r>
        <w:rPr>
          <w:sz w:val="20"/>
        </w:rPr>
        <w:t>If these elements are provided, the lead tax administration will inform the co-ordinating entity as soon as possible or within [one month] that its request for Amount A tax certainty is accepted. Incomplete requests will not be accepted and the lead tax administration will advise the co-ordinating entity as to any outstanding</w:t>
      </w:r>
      <w:r>
        <w:rPr>
          <w:spacing w:val="-15"/>
          <w:sz w:val="20"/>
        </w:rPr>
        <w:t> </w:t>
      </w:r>
      <w:r>
        <w:rPr>
          <w:sz w:val="20"/>
        </w:rPr>
        <w:t>items</w:t>
      </w:r>
      <w:r>
        <w:rPr>
          <w:spacing w:val="-15"/>
          <w:sz w:val="20"/>
        </w:rPr>
        <w:t> </w:t>
      </w:r>
      <w:r>
        <w:rPr>
          <w:sz w:val="20"/>
        </w:rPr>
        <w:t>that</w:t>
      </w:r>
      <w:r>
        <w:rPr>
          <w:spacing w:val="-17"/>
          <w:sz w:val="20"/>
        </w:rPr>
        <w:t> </w:t>
      </w:r>
      <w:r>
        <w:rPr>
          <w:sz w:val="20"/>
        </w:rPr>
        <w:t>should</w:t>
      </w:r>
      <w:r>
        <w:rPr>
          <w:spacing w:val="-16"/>
          <w:sz w:val="20"/>
        </w:rPr>
        <w:t> </w:t>
      </w:r>
      <w:r>
        <w:rPr>
          <w:sz w:val="20"/>
        </w:rPr>
        <w:t>be</w:t>
      </w:r>
      <w:r>
        <w:rPr>
          <w:spacing w:val="-15"/>
          <w:sz w:val="20"/>
        </w:rPr>
        <w:t> </w:t>
      </w:r>
      <w:r>
        <w:rPr>
          <w:sz w:val="20"/>
        </w:rPr>
        <w:t>provided.</w:t>
      </w:r>
      <w:r>
        <w:rPr>
          <w:spacing w:val="-13"/>
          <w:sz w:val="20"/>
        </w:rPr>
        <w:t> </w:t>
      </w:r>
      <w:r>
        <w:rPr>
          <w:sz w:val="20"/>
        </w:rPr>
        <w:t>In</w:t>
      </w:r>
      <w:r>
        <w:rPr>
          <w:spacing w:val="-15"/>
          <w:sz w:val="20"/>
        </w:rPr>
        <w:t> </w:t>
      </w:r>
      <w:r>
        <w:rPr>
          <w:sz w:val="20"/>
        </w:rPr>
        <w:t>exceptional</w:t>
      </w:r>
      <w:r>
        <w:rPr>
          <w:spacing w:val="-17"/>
          <w:sz w:val="20"/>
        </w:rPr>
        <w:t> </w:t>
      </w:r>
      <w:r>
        <w:rPr>
          <w:sz w:val="20"/>
        </w:rPr>
        <w:t>cases,</w:t>
      </w:r>
      <w:r>
        <w:rPr>
          <w:spacing w:val="-14"/>
          <w:sz w:val="20"/>
        </w:rPr>
        <w:t> </w:t>
      </w:r>
      <w:r>
        <w:rPr>
          <w:sz w:val="20"/>
        </w:rPr>
        <w:t>where</w:t>
      </w:r>
      <w:r>
        <w:rPr>
          <w:spacing w:val="-15"/>
          <w:sz w:val="20"/>
        </w:rPr>
        <w:t> </w:t>
      </w:r>
      <w:r>
        <w:rPr>
          <w:sz w:val="20"/>
        </w:rPr>
        <w:t>the</w:t>
      </w:r>
      <w:r>
        <w:rPr>
          <w:spacing w:val="-16"/>
          <w:sz w:val="20"/>
        </w:rPr>
        <w:t> </w:t>
      </w:r>
      <w:r>
        <w:rPr>
          <w:sz w:val="20"/>
        </w:rPr>
        <w:t>lead</w:t>
      </w:r>
      <w:r>
        <w:rPr>
          <w:spacing w:val="-15"/>
          <w:sz w:val="20"/>
        </w:rPr>
        <w:t> </w:t>
      </w:r>
      <w:r>
        <w:rPr>
          <w:sz w:val="20"/>
        </w:rPr>
        <w:t>tax</w:t>
      </w:r>
      <w:r>
        <w:rPr>
          <w:spacing w:val="-13"/>
          <w:sz w:val="20"/>
        </w:rPr>
        <w:t> </w:t>
      </w:r>
      <w:r>
        <w:rPr>
          <w:sz w:val="20"/>
        </w:rPr>
        <w:t>administration</w:t>
      </w:r>
      <w:r>
        <w:rPr>
          <w:spacing w:val="-15"/>
          <w:sz w:val="20"/>
        </w:rPr>
        <w:t> </w:t>
      </w:r>
      <w:r>
        <w:rPr>
          <w:sz w:val="20"/>
        </w:rPr>
        <w:t>is</w:t>
      </w:r>
      <w:r>
        <w:rPr>
          <w:spacing w:val="-15"/>
          <w:sz w:val="20"/>
        </w:rPr>
        <w:t> </w:t>
      </w:r>
      <w:r>
        <w:rPr>
          <w:sz w:val="20"/>
        </w:rPr>
        <w:t>aware or is made aware (e.g. by the MNE group or an affected tax administration) that an MNE group’s financial statements or other information relied on in calculating Amount A are likely to change or be re-stated and this will have an impact on Amount A, the lead tax administration may decline the MNE’s request for certainty,</w:t>
      </w:r>
      <w:r>
        <w:rPr>
          <w:spacing w:val="-11"/>
          <w:sz w:val="20"/>
        </w:rPr>
        <w:t> </w:t>
      </w:r>
      <w:r>
        <w:rPr>
          <w:sz w:val="20"/>
        </w:rPr>
        <w:t>but</w:t>
      </w:r>
      <w:r>
        <w:rPr>
          <w:spacing w:val="-12"/>
          <w:sz w:val="20"/>
        </w:rPr>
        <w:t> </w:t>
      </w:r>
      <w:r>
        <w:rPr>
          <w:sz w:val="20"/>
        </w:rPr>
        <w:t>may</w:t>
      </w:r>
      <w:r>
        <w:rPr>
          <w:spacing w:val="-16"/>
          <w:sz w:val="20"/>
        </w:rPr>
        <w:t> </w:t>
      </w:r>
      <w:r>
        <w:rPr>
          <w:sz w:val="20"/>
        </w:rPr>
        <w:t>agree</w:t>
      </w:r>
      <w:r>
        <w:rPr>
          <w:spacing w:val="-10"/>
          <w:sz w:val="20"/>
        </w:rPr>
        <w:t> </w:t>
      </w:r>
      <w:r>
        <w:rPr>
          <w:sz w:val="20"/>
        </w:rPr>
        <w:t>that</w:t>
      </w:r>
      <w:r>
        <w:rPr>
          <w:spacing w:val="-11"/>
          <w:sz w:val="20"/>
        </w:rPr>
        <w:t> </w:t>
      </w:r>
      <w:r>
        <w:rPr>
          <w:sz w:val="20"/>
        </w:rPr>
        <w:t>a</w:t>
      </w:r>
      <w:r>
        <w:rPr>
          <w:spacing w:val="-12"/>
          <w:sz w:val="20"/>
        </w:rPr>
        <w:t> </w:t>
      </w:r>
      <w:r>
        <w:rPr>
          <w:sz w:val="20"/>
        </w:rPr>
        <w:t>request</w:t>
      </w:r>
      <w:r>
        <w:rPr>
          <w:spacing w:val="-10"/>
          <w:sz w:val="20"/>
        </w:rPr>
        <w:t> </w:t>
      </w:r>
      <w:r>
        <w:rPr>
          <w:sz w:val="20"/>
        </w:rPr>
        <w:t>can</w:t>
      </w:r>
      <w:r>
        <w:rPr>
          <w:spacing w:val="-12"/>
          <w:sz w:val="20"/>
        </w:rPr>
        <w:t> </w:t>
      </w:r>
      <w:r>
        <w:rPr>
          <w:sz w:val="20"/>
        </w:rPr>
        <w:t>be</w:t>
      </w:r>
      <w:r>
        <w:rPr>
          <w:spacing w:val="-11"/>
          <w:sz w:val="20"/>
        </w:rPr>
        <w:t> </w:t>
      </w:r>
      <w:r>
        <w:rPr>
          <w:sz w:val="20"/>
        </w:rPr>
        <w:t>submitted</w:t>
      </w:r>
      <w:r>
        <w:rPr>
          <w:spacing w:val="-12"/>
          <w:sz w:val="20"/>
        </w:rPr>
        <w:t> </w:t>
      </w:r>
      <w:r>
        <w:rPr>
          <w:sz w:val="20"/>
        </w:rPr>
        <w:t>once</w:t>
      </w:r>
      <w:r>
        <w:rPr>
          <w:spacing w:val="-11"/>
          <w:sz w:val="20"/>
        </w:rPr>
        <w:t> </w:t>
      </w:r>
      <w:r>
        <w:rPr>
          <w:sz w:val="20"/>
        </w:rPr>
        <w:t>the</w:t>
      </w:r>
      <w:r>
        <w:rPr>
          <w:spacing w:val="-12"/>
          <w:sz w:val="20"/>
        </w:rPr>
        <w:t> </w:t>
      </w:r>
      <w:r>
        <w:rPr>
          <w:sz w:val="20"/>
        </w:rPr>
        <w:t>final</w:t>
      </w:r>
      <w:r>
        <w:rPr>
          <w:spacing w:val="-11"/>
          <w:sz w:val="20"/>
        </w:rPr>
        <w:t> </w:t>
      </w:r>
      <w:r>
        <w:rPr>
          <w:sz w:val="20"/>
        </w:rPr>
        <w:t>position</w:t>
      </w:r>
      <w:r>
        <w:rPr>
          <w:spacing w:val="-9"/>
          <w:sz w:val="20"/>
        </w:rPr>
        <w:t> </w:t>
      </w:r>
      <w:r>
        <w:rPr>
          <w:sz w:val="20"/>
        </w:rPr>
        <w:t>is</w:t>
      </w:r>
      <w:r>
        <w:rPr>
          <w:spacing w:val="-10"/>
          <w:sz w:val="20"/>
        </w:rPr>
        <w:t> </w:t>
      </w:r>
      <w:r>
        <w:rPr>
          <w:sz w:val="20"/>
        </w:rPr>
        <w:t>known.</w:t>
      </w:r>
      <w:r>
        <w:rPr>
          <w:spacing w:val="-4"/>
          <w:sz w:val="20"/>
        </w:rPr>
        <w:t> </w:t>
      </w:r>
      <w:r>
        <w:rPr>
          <w:sz w:val="20"/>
        </w:rPr>
        <w:t>There</w:t>
      </w:r>
      <w:r>
        <w:rPr>
          <w:spacing w:val="-11"/>
          <w:sz w:val="20"/>
        </w:rPr>
        <w:t> </w:t>
      </w:r>
      <w:r>
        <w:rPr>
          <w:sz w:val="20"/>
        </w:rPr>
        <w:t>is</w:t>
      </w:r>
      <w:r>
        <w:rPr>
          <w:spacing w:val="-10"/>
          <w:sz w:val="20"/>
        </w:rPr>
        <w:t> </w:t>
      </w:r>
      <w:r>
        <w:rPr>
          <w:sz w:val="20"/>
        </w:rPr>
        <w:t>no</w:t>
      </w:r>
      <w:r>
        <w:rPr>
          <w:spacing w:val="-9"/>
          <w:sz w:val="20"/>
        </w:rPr>
        <w:t> </w:t>
      </w:r>
      <w:r>
        <w:rPr>
          <w:sz w:val="20"/>
        </w:rPr>
        <w:t>other opportunity for a complete request for tax certainty from an MNE group to be</w:t>
      </w:r>
      <w:r>
        <w:rPr>
          <w:spacing w:val="-26"/>
          <w:sz w:val="20"/>
        </w:rPr>
        <w:t> </w:t>
      </w:r>
      <w:r>
        <w:rPr>
          <w:sz w:val="20"/>
        </w:rPr>
        <w:t>declined.</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With respect to domestic compliance processes (e.g. tax audit), affected tax administrations should not commence any compliance activity or issue assessments with respect to topics specific to Amount</w:t>
      </w:r>
      <w:r>
        <w:rPr>
          <w:spacing w:val="-6"/>
          <w:sz w:val="20"/>
        </w:rPr>
        <w:t> </w:t>
      </w:r>
      <w:r>
        <w:rPr>
          <w:sz w:val="20"/>
        </w:rPr>
        <w:t>A</w:t>
      </w:r>
      <w:r>
        <w:rPr>
          <w:spacing w:val="-4"/>
          <w:sz w:val="20"/>
        </w:rPr>
        <w:t> </w:t>
      </w:r>
      <w:r>
        <w:rPr>
          <w:sz w:val="20"/>
        </w:rPr>
        <w:t>for</w:t>
      </w:r>
      <w:r>
        <w:rPr>
          <w:spacing w:val="-5"/>
          <w:sz w:val="20"/>
        </w:rPr>
        <w:t> </w:t>
      </w:r>
      <w:r>
        <w:rPr>
          <w:sz w:val="20"/>
        </w:rPr>
        <w:t>the</w:t>
      </w:r>
      <w:r>
        <w:rPr>
          <w:spacing w:val="-4"/>
          <w:sz w:val="20"/>
        </w:rPr>
        <w:t> </w:t>
      </w:r>
      <w:r>
        <w:rPr>
          <w:sz w:val="20"/>
        </w:rPr>
        <w:t>relevant</w:t>
      </w:r>
      <w:r>
        <w:rPr>
          <w:spacing w:val="-3"/>
          <w:sz w:val="20"/>
        </w:rPr>
        <w:t> </w:t>
      </w:r>
      <w:r>
        <w:rPr>
          <w:sz w:val="20"/>
        </w:rPr>
        <w:t>tax</w:t>
      </w:r>
      <w:r>
        <w:rPr>
          <w:spacing w:val="-2"/>
          <w:sz w:val="20"/>
        </w:rPr>
        <w:t> </w:t>
      </w:r>
      <w:r>
        <w:rPr>
          <w:sz w:val="20"/>
        </w:rPr>
        <w:t>year</w:t>
      </w:r>
      <w:r>
        <w:rPr>
          <w:spacing w:val="-4"/>
          <w:sz w:val="20"/>
        </w:rPr>
        <w:t> </w:t>
      </w:r>
      <w:r>
        <w:rPr>
          <w:sz w:val="20"/>
        </w:rPr>
        <w:t>pending</w:t>
      </w:r>
      <w:r>
        <w:rPr>
          <w:spacing w:val="-5"/>
          <w:sz w:val="20"/>
        </w:rPr>
        <w:t> </w:t>
      </w:r>
      <w:r>
        <w:rPr>
          <w:sz w:val="20"/>
        </w:rPr>
        <w:t>the</w:t>
      </w:r>
      <w:r>
        <w:rPr>
          <w:spacing w:val="-4"/>
          <w:sz w:val="20"/>
        </w:rPr>
        <w:t> </w:t>
      </w:r>
      <w:r>
        <w:rPr>
          <w:sz w:val="20"/>
        </w:rPr>
        <w:t>outcomes</w:t>
      </w:r>
      <w:r>
        <w:rPr>
          <w:spacing w:val="-4"/>
          <w:sz w:val="20"/>
        </w:rPr>
        <w:t> </w:t>
      </w:r>
      <w:r>
        <w:rPr>
          <w:sz w:val="20"/>
        </w:rPr>
        <w:t>of</w:t>
      </w:r>
      <w:r>
        <w:rPr>
          <w:spacing w:val="-4"/>
          <w:sz w:val="20"/>
        </w:rPr>
        <w:t> </w:t>
      </w:r>
      <w:r>
        <w:rPr>
          <w:sz w:val="20"/>
        </w:rPr>
        <w:t>the</w:t>
      </w:r>
      <w:r>
        <w:rPr>
          <w:spacing w:val="-6"/>
          <w:sz w:val="20"/>
        </w:rPr>
        <w:t> </w:t>
      </w:r>
      <w:r>
        <w:rPr>
          <w:sz w:val="20"/>
        </w:rPr>
        <w:t>review.</w:t>
      </w:r>
      <w:r>
        <w:rPr>
          <w:spacing w:val="-3"/>
          <w:sz w:val="20"/>
        </w:rPr>
        <w:t> </w:t>
      </w:r>
      <w:r>
        <w:rPr>
          <w:sz w:val="20"/>
        </w:rPr>
        <w:t>This</w:t>
      </w:r>
      <w:r>
        <w:rPr>
          <w:spacing w:val="-4"/>
          <w:sz w:val="20"/>
        </w:rPr>
        <w:t> </w:t>
      </w:r>
      <w:r>
        <w:rPr>
          <w:sz w:val="20"/>
        </w:rPr>
        <w:t>does</w:t>
      </w:r>
      <w:r>
        <w:rPr>
          <w:spacing w:val="-4"/>
          <w:sz w:val="20"/>
        </w:rPr>
        <w:t> </w:t>
      </w:r>
      <w:r>
        <w:rPr>
          <w:sz w:val="20"/>
        </w:rPr>
        <w:t>not</w:t>
      </w:r>
      <w:r>
        <w:rPr>
          <w:spacing w:val="-3"/>
          <w:sz w:val="20"/>
        </w:rPr>
        <w:t> </w:t>
      </w:r>
      <w:r>
        <w:rPr>
          <w:sz w:val="20"/>
        </w:rPr>
        <w:t>extend</w:t>
      </w:r>
      <w:r>
        <w:rPr>
          <w:spacing w:val="-6"/>
          <w:sz w:val="20"/>
        </w:rPr>
        <w:t> </w:t>
      </w:r>
      <w:r>
        <w:rPr>
          <w:sz w:val="20"/>
        </w:rPr>
        <w:t>to</w:t>
      </w:r>
      <w:r>
        <w:rPr>
          <w:spacing w:val="-3"/>
          <w:sz w:val="20"/>
        </w:rPr>
        <w:t> </w:t>
      </w:r>
      <w:r>
        <w:rPr>
          <w:sz w:val="20"/>
        </w:rPr>
        <w:t>any</w:t>
      </w:r>
      <w:r>
        <w:rPr>
          <w:spacing w:val="-9"/>
          <w:sz w:val="20"/>
        </w:rPr>
        <w:t> </w:t>
      </w:r>
      <w:r>
        <w:rPr>
          <w:sz w:val="20"/>
        </w:rPr>
        <w:t>other compliance activity or assessments (i.e. with respect to other aspects of the MNE group’s taxation, including transfer pricing issues beyond Amount A, compliance activity may continue) and does not suspend the collection of Amount A tax due in accordance with the MNE group’s self-assessment. Specifically, affected tax administrations are not restricted from conducting audits or other compliance activity concerning issues that may impact the level of residual profits in a jurisdiction, even though these may have a consequential effect on the identification of relieving jurisdictions and the amount of double tax</w:t>
      </w:r>
      <w:r>
        <w:rPr>
          <w:spacing w:val="-6"/>
          <w:sz w:val="20"/>
        </w:rPr>
        <w:t> </w:t>
      </w:r>
      <w:r>
        <w:rPr>
          <w:sz w:val="20"/>
        </w:rPr>
        <w:t>relief</w:t>
      </w:r>
      <w:r>
        <w:rPr>
          <w:spacing w:val="-4"/>
          <w:sz w:val="20"/>
        </w:rPr>
        <w:t> </w:t>
      </w:r>
      <w:r>
        <w:rPr>
          <w:sz w:val="20"/>
        </w:rPr>
        <w:t>they</w:t>
      </w:r>
      <w:r>
        <w:rPr>
          <w:spacing w:val="-10"/>
          <w:sz w:val="20"/>
        </w:rPr>
        <w:t> </w:t>
      </w:r>
      <w:r>
        <w:rPr>
          <w:sz w:val="20"/>
        </w:rPr>
        <w:t>should</w:t>
      </w:r>
      <w:r>
        <w:rPr>
          <w:spacing w:val="-4"/>
          <w:sz w:val="20"/>
        </w:rPr>
        <w:t> </w:t>
      </w:r>
      <w:r>
        <w:rPr>
          <w:sz w:val="20"/>
        </w:rPr>
        <w:t>provide.</w:t>
      </w:r>
      <w:r>
        <w:rPr>
          <w:spacing w:val="-6"/>
          <w:sz w:val="20"/>
        </w:rPr>
        <w:t> </w:t>
      </w:r>
      <w:r>
        <w:rPr>
          <w:sz w:val="20"/>
        </w:rPr>
        <w:t>The</w:t>
      </w:r>
      <w:r>
        <w:rPr>
          <w:spacing w:val="-7"/>
          <w:sz w:val="20"/>
        </w:rPr>
        <w:t> </w:t>
      </w:r>
      <w:r>
        <w:rPr>
          <w:sz w:val="20"/>
        </w:rPr>
        <w:t>interaction</w:t>
      </w:r>
      <w:r>
        <w:rPr>
          <w:spacing w:val="-2"/>
          <w:sz w:val="20"/>
        </w:rPr>
        <w:t> </w:t>
      </w:r>
      <w:r>
        <w:rPr>
          <w:sz w:val="20"/>
        </w:rPr>
        <w:t>of</w:t>
      </w:r>
      <w:r>
        <w:rPr>
          <w:spacing w:val="-5"/>
          <w:sz w:val="20"/>
        </w:rPr>
        <w:t> </w:t>
      </w:r>
      <w:r>
        <w:rPr>
          <w:sz w:val="20"/>
        </w:rPr>
        <w:t>these</w:t>
      </w:r>
      <w:r>
        <w:rPr>
          <w:spacing w:val="-6"/>
          <w:sz w:val="20"/>
        </w:rPr>
        <w:t> </w:t>
      </w:r>
      <w:r>
        <w:rPr>
          <w:sz w:val="20"/>
        </w:rPr>
        <w:t>issues</w:t>
      </w:r>
      <w:r>
        <w:rPr>
          <w:spacing w:val="-4"/>
          <w:sz w:val="20"/>
        </w:rPr>
        <w:t> </w:t>
      </w:r>
      <w:r>
        <w:rPr>
          <w:sz w:val="20"/>
        </w:rPr>
        <w:t>with</w:t>
      </w:r>
      <w:r>
        <w:rPr>
          <w:spacing w:val="-4"/>
          <w:sz w:val="20"/>
        </w:rPr>
        <w:t> </w:t>
      </w:r>
      <w:r>
        <w:rPr>
          <w:sz w:val="20"/>
        </w:rPr>
        <w:t>an</w:t>
      </w:r>
      <w:r>
        <w:rPr>
          <w:spacing w:val="-6"/>
          <w:sz w:val="20"/>
        </w:rPr>
        <w:t> </w:t>
      </w:r>
      <w:r>
        <w:rPr>
          <w:sz w:val="20"/>
        </w:rPr>
        <w:t>early</w:t>
      </w:r>
      <w:r>
        <w:rPr>
          <w:spacing w:val="-10"/>
          <w:sz w:val="20"/>
        </w:rPr>
        <w:t> </w:t>
      </w:r>
      <w:r>
        <w:rPr>
          <w:sz w:val="20"/>
        </w:rPr>
        <w:t>certainty</w:t>
      </w:r>
      <w:r>
        <w:rPr>
          <w:spacing w:val="-6"/>
          <w:sz w:val="20"/>
        </w:rPr>
        <w:t> </w:t>
      </w:r>
      <w:r>
        <w:rPr>
          <w:sz w:val="20"/>
        </w:rPr>
        <w:t>process</w:t>
      </w:r>
      <w:r>
        <w:rPr>
          <w:spacing w:val="-4"/>
          <w:sz w:val="20"/>
        </w:rPr>
        <w:t> </w:t>
      </w:r>
      <w:r>
        <w:rPr>
          <w:sz w:val="20"/>
        </w:rPr>
        <w:t>for</w:t>
      </w:r>
      <w:r>
        <w:rPr>
          <w:spacing w:val="-6"/>
          <w:sz w:val="20"/>
        </w:rPr>
        <w:t> </w:t>
      </w:r>
      <w:r>
        <w:rPr>
          <w:sz w:val="20"/>
        </w:rPr>
        <w:t>Amount</w:t>
      </w:r>
      <w:r>
        <w:rPr>
          <w:spacing w:val="-6"/>
          <w:sz w:val="20"/>
        </w:rPr>
        <w:t> </w:t>
      </w:r>
      <w:r>
        <w:rPr>
          <w:sz w:val="20"/>
        </w:rPr>
        <w:t>A is</w:t>
      </w:r>
      <w:r>
        <w:rPr>
          <w:spacing w:val="-9"/>
          <w:sz w:val="20"/>
        </w:rPr>
        <w:t> </w:t>
      </w:r>
      <w:r>
        <w:rPr>
          <w:sz w:val="20"/>
        </w:rPr>
        <w:t>considered</w:t>
      </w:r>
      <w:r>
        <w:rPr>
          <w:spacing w:val="-10"/>
          <w:sz w:val="20"/>
        </w:rPr>
        <w:t> </w:t>
      </w:r>
      <w:r>
        <w:rPr>
          <w:sz w:val="20"/>
        </w:rPr>
        <w:t>later</w:t>
      </w:r>
      <w:r>
        <w:rPr>
          <w:spacing w:val="-8"/>
          <w:sz w:val="20"/>
        </w:rPr>
        <w:t> </w:t>
      </w:r>
      <w:r>
        <w:rPr>
          <w:sz w:val="20"/>
        </w:rPr>
        <w:t>in</w:t>
      </w:r>
      <w:r>
        <w:rPr>
          <w:spacing w:val="-10"/>
          <w:sz w:val="20"/>
        </w:rPr>
        <w:t> </w:t>
      </w:r>
      <w:r>
        <w:rPr>
          <w:sz w:val="20"/>
        </w:rPr>
        <w:t>this</w:t>
      </w:r>
      <w:r>
        <w:rPr>
          <w:spacing w:val="-9"/>
          <w:sz w:val="20"/>
        </w:rPr>
        <w:t> </w:t>
      </w:r>
      <w:r>
        <w:rPr>
          <w:sz w:val="20"/>
        </w:rPr>
        <w:t>section.</w:t>
      </w:r>
      <w:r>
        <w:rPr>
          <w:spacing w:val="-6"/>
          <w:sz w:val="20"/>
        </w:rPr>
        <w:t> </w:t>
      </w:r>
      <w:r>
        <w:rPr>
          <w:sz w:val="20"/>
        </w:rPr>
        <w:t>Further</w:t>
      </w:r>
      <w:r>
        <w:rPr>
          <w:spacing w:val="-6"/>
          <w:sz w:val="20"/>
        </w:rPr>
        <w:t> </w:t>
      </w:r>
      <w:r>
        <w:rPr>
          <w:sz w:val="20"/>
        </w:rPr>
        <w:t>work</w:t>
      </w:r>
      <w:r>
        <w:rPr>
          <w:spacing w:val="-6"/>
          <w:sz w:val="20"/>
        </w:rPr>
        <w:t> </w:t>
      </w:r>
      <w:r>
        <w:rPr>
          <w:sz w:val="20"/>
        </w:rPr>
        <w:t>will</w:t>
      </w:r>
      <w:r>
        <w:rPr>
          <w:spacing w:val="-8"/>
          <w:sz w:val="20"/>
        </w:rPr>
        <w:t> </w:t>
      </w:r>
      <w:r>
        <w:rPr>
          <w:sz w:val="20"/>
        </w:rPr>
        <w:t>be</w:t>
      </w:r>
      <w:r>
        <w:rPr>
          <w:spacing w:val="-10"/>
          <w:sz w:val="20"/>
        </w:rPr>
        <w:t> </w:t>
      </w:r>
      <w:r>
        <w:rPr>
          <w:sz w:val="20"/>
        </w:rPr>
        <w:t>undertaken</w:t>
      </w:r>
      <w:r>
        <w:rPr>
          <w:spacing w:val="-9"/>
          <w:sz w:val="20"/>
        </w:rPr>
        <w:t> </w:t>
      </w:r>
      <w:r>
        <w:rPr>
          <w:sz w:val="20"/>
        </w:rPr>
        <w:t>to</w:t>
      </w:r>
      <w:r>
        <w:rPr>
          <w:spacing w:val="-10"/>
          <w:sz w:val="20"/>
        </w:rPr>
        <w:t> </w:t>
      </w:r>
      <w:r>
        <w:rPr>
          <w:sz w:val="20"/>
        </w:rPr>
        <w:t>explore</w:t>
      </w:r>
      <w:r>
        <w:rPr>
          <w:spacing w:val="-7"/>
          <w:sz w:val="20"/>
        </w:rPr>
        <w:t> </w:t>
      </w:r>
      <w:r>
        <w:rPr>
          <w:sz w:val="20"/>
        </w:rPr>
        <w:t>how</w:t>
      </w:r>
      <w:r>
        <w:rPr>
          <w:spacing w:val="-11"/>
          <w:sz w:val="20"/>
        </w:rPr>
        <w:t> </w:t>
      </w:r>
      <w:r>
        <w:rPr>
          <w:sz w:val="20"/>
        </w:rPr>
        <w:t>to</w:t>
      </w:r>
      <w:r>
        <w:rPr>
          <w:spacing w:val="-8"/>
          <w:sz w:val="20"/>
        </w:rPr>
        <w:t> </w:t>
      </w:r>
      <w:r>
        <w:rPr>
          <w:sz w:val="20"/>
        </w:rPr>
        <w:t>deal</w:t>
      </w:r>
      <w:r>
        <w:rPr>
          <w:spacing w:val="-8"/>
          <w:sz w:val="20"/>
        </w:rPr>
        <w:t> </w:t>
      </w:r>
      <w:r>
        <w:rPr>
          <w:sz w:val="20"/>
        </w:rPr>
        <w:t>with</w:t>
      </w:r>
      <w:r>
        <w:rPr>
          <w:spacing w:val="-9"/>
          <w:sz w:val="20"/>
        </w:rPr>
        <w:t> </w:t>
      </w:r>
      <w:r>
        <w:rPr>
          <w:sz w:val="20"/>
        </w:rPr>
        <w:t>cases</w:t>
      </w:r>
      <w:r>
        <w:rPr>
          <w:spacing w:val="-9"/>
          <w:sz w:val="20"/>
        </w:rPr>
        <w:t> </w:t>
      </w:r>
      <w:r>
        <w:rPr>
          <w:sz w:val="20"/>
        </w:rPr>
        <w:t>where a jurisdiction’s law does not permit the suspension of time limits on domestic compliance</w:t>
      </w:r>
      <w:r>
        <w:rPr>
          <w:spacing w:val="-27"/>
          <w:sz w:val="20"/>
        </w:rPr>
        <w:t> </w:t>
      </w:r>
      <w:r>
        <w:rPr>
          <w:sz w:val="20"/>
        </w:rPr>
        <w:t>activity.</w:t>
      </w:r>
    </w:p>
    <w:p>
      <w:pPr>
        <w:pStyle w:val="BodyText"/>
        <w:spacing w:before="7"/>
        <w:rPr>
          <w:sz w:val="23"/>
        </w:rPr>
      </w:pPr>
    </w:p>
    <w:p>
      <w:pPr>
        <w:pStyle w:val="Heading6"/>
        <w:numPr>
          <w:ilvl w:val="2"/>
          <w:numId w:val="81"/>
        </w:numPr>
        <w:tabs>
          <w:tab w:pos="2015" w:val="left" w:leader="none"/>
        </w:tabs>
        <w:spacing w:line="266" w:lineRule="auto" w:before="0" w:after="0"/>
        <w:ind w:left="1402" w:right="580" w:firstLine="0"/>
        <w:jc w:val="left"/>
      </w:pPr>
      <w:bookmarkStart w:name="9.2.3. An optional initial review by the" w:id="427"/>
      <w:bookmarkEnd w:id="427"/>
      <w:r>
        <w:rPr>
          <w:b w:val="0"/>
          <w:i w:val="0"/>
        </w:rPr>
      </w:r>
      <w:bookmarkStart w:name="9.2.3. An optional initial review by the" w:id="428"/>
      <w:bookmarkEnd w:id="428"/>
      <w:r>
        <w:rPr>
          <w:i/>
        </w:rPr>
        <w:t>A</w:t>
      </w:r>
      <w:r>
        <w:rPr>
          <w:i/>
        </w:rPr>
        <w:t>n optional initial review by the lead tax administration and determining if a </w:t>
      </w:r>
      <w:r>
        <w:rPr/>
        <w:t>panel review is needed</w:t>
      </w:r>
    </w:p>
    <w:p>
      <w:pPr>
        <w:pStyle w:val="ListParagraph"/>
        <w:numPr>
          <w:ilvl w:val="0"/>
          <w:numId w:val="13"/>
        </w:numPr>
        <w:tabs>
          <w:tab w:pos="1444" w:val="left" w:leader="none"/>
        </w:tabs>
        <w:spacing w:line="271" w:lineRule="auto" w:before="189" w:after="0"/>
        <w:ind w:left="723" w:right="490" w:firstLine="0"/>
        <w:jc w:val="both"/>
        <w:rPr>
          <w:sz w:val="20"/>
        </w:rPr>
      </w:pPr>
      <w:r>
        <w:rPr>
          <w:sz w:val="20"/>
        </w:rPr>
        <w:t>This part and the following parts of this section focus on cases where an MNE group has made a request for certainty concerning its determination and allocation of Amount A, including the identification of relieving entities. A discussion later in this section considers other occasions where the architecture described may be used to provide wider tax certainty for Amount</w:t>
      </w:r>
      <w:r>
        <w:rPr>
          <w:spacing w:val="-19"/>
          <w:sz w:val="20"/>
        </w:rPr>
        <w:t> </w:t>
      </w:r>
      <w:r>
        <w:rPr>
          <w:sz w:val="20"/>
        </w:rPr>
        <w:t>A.</w:t>
      </w:r>
    </w:p>
    <w:p>
      <w:pPr>
        <w:pStyle w:val="BodyText"/>
        <w:spacing w:before="1"/>
      </w:pPr>
    </w:p>
    <w:p>
      <w:pPr>
        <w:pStyle w:val="Heading7"/>
        <w:rPr>
          <w:i/>
        </w:rPr>
      </w:pPr>
      <w:bookmarkStart w:name="Optional initial review by lead tax admi" w:id="429"/>
      <w:bookmarkEnd w:id="429"/>
      <w:r>
        <w:rPr>
          <w:i w:val="0"/>
        </w:rPr>
      </w:r>
      <w:r>
        <w:rPr>
          <w:i/>
          <w:color w:val="616161"/>
        </w:rPr>
        <w:t>Optional initial review by lead tax administration</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In addition to and simultaneous with the validation described above, where an MNE group has made a request for early certainty, the lead tax administration may also conduct an initial review of the MNE</w:t>
      </w:r>
      <w:r>
        <w:rPr>
          <w:spacing w:val="-15"/>
          <w:sz w:val="20"/>
        </w:rPr>
        <w:t> </w:t>
      </w:r>
      <w:r>
        <w:rPr>
          <w:sz w:val="20"/>
        </w:rPr>
        <w:t>group’s</w:t>
      </w:r>
      <w:r>
        <w:rPr>
          <w:spacing w:val="-13"/>
          <w:sz w:val="20"/>
        </w:rPr>
        <w:t> </w:t>
      </w:r>
      <w:r>
        <w:rPr>
          <w:sz w:val="20"/>
        </w:rPr>
        <w:t>self-assessment</w:t>
      </w:r>
      <w:r>
        <w:rPr>
          <w:spacing w:val="-15"/>
          <w:sz w:val="20"/>
        </w:rPr>
        <w:t> </w:t>
      </w:r>
      <w:r>
        <w:rPr>
          <w:sz w:val="20"/>
        </w:rPr>
        <w:t>return</w:t>
      </w:r>
      <w:r>
        <w:rPr>
          <w:spacing w:val="-15"/>
          <w:sz w:val="20"/>
        </w:rPr>
        <w:t> </w:t>
      </w:r>
      <w:r>
        <w:rPr>
          <w:sz w:val="20"/>
        </w:rPr>
        <w:t>in</w:t>
      </w:r>
      <w:r>
        <w:rPr>
          <w:spacing w:val="-15"/>
          <w:sz w:val="20"/>
        </w:rPr>
        <w:t> </w:t>
      </w:r>
      <w:r>
        <w:rPr>
          <w:sz w:val="20"/>
        </w:rPr>
        <w:t>order</w:t>
      </w:r>
      <w:r>
        <w:rPr>
          <w:spacing w:val="-14"/>
          <w:sz w:val="20"/>
        </w:rPr>
        <w:t> </w:t>
      </w:r>
      <w:r>
        <w:rPr>
          <w:sz w:val="20"/>
        </w:rPr>
        <w:t>to</w:t>
      </w:r>
      <w:r>
        <w:rPr>
          <w:spacing w:val="-15"/>
          <w:sz w:val="20"/>
        </w:rPr>
        <w:t> </w:t>
      </w:r>
      <w:r>
        <w:rPr>
          <w:sz w:val="20"/>
        </w:rPr>
        <w:t>filter</w:t>
      </w:r>
      <w:r>
        <w:rPr>
          <w:spacing w:val="-14"/>
          <w:sz w:val="20"/>
        </w:rPr>
        <w:t> </w:t>
      </w:r>
      <w:r>
        <w:rPr>
          <w:sz w:val="20"/>
        </w:rPr>
        <w:t>out</w:t>
      </w:r>
      <w:r>
        <w:rPr>
          <w:spacing w:val="-15"/>
          <w:sz w:val="20"/>
        </w:rPr>
        <w:t> </w:t>
      </w:r>
      <w:r>
        <w:rPr>
          <w:sz w:val="20"/>
        </w:rPr>
        <w:t>lower-risk</w:t>
      </w:r>
      <w:r>
        <w:rPr>
          <w:spacing w:val="-13"/>
          <w:sz w:val="20"/>
        </w:rPr>
        <w:t> </w:t>
      </w:r>
      <w:r>
        <w:rPr>
          <w:sz w:val="20"/>
        </w:rPr>
        <w:t>groups,</w:t>
      </w:r>
      <w:r>
        <w:rPr>
          <w:spacing w:val="-15"/>
          <w:sz w:val="20"/>
        </w:rPr>
        <w:t> </w:t>
      </w:r>
      <w:r>
        <w:rPr>
          <w:sz w:val="20"/>
        </w:rPr>
        <w:t>based</w:t>
      </w:r>
      <w:r>
        <w:rPr>
          <w:spacing w:val="-13"/>
          <w:sz w:val="20"/>
        </w:rPr>
        <w:t> </w:t>
      </w:r>
      <w:r>
        <w:rPr>
          <w:sz w:val="20"/>
        </w:rPr>
        <w:t>on</w:t>
      </w:r>
      <w:r>
        <w:rPr>
          <w:spacing w:val="-15"/>
          <w:sz w:val="20"/>
        </w:rPr>
        <w:t> </w:t>
      </w:r>
      <w:r>
        <w:rPr>
          <w:sz w:val="20"/>
        </w:rPr>
        <w:t>agreed</w:t>
      </w:r>
      <w:r>
        <w:rPr>
          <w:spacing w:val="-14"/>
          <w:sz w:val="20"/>
        </w:rPr>
        <w:t> </w:t>
      </w:r>
      <w:r>
        <w:rPr>
          <w:sz w:val="20"/>
        </w:rPr>
        <w:t>criteria,</w:t>
      </w:r>
      <w:r>
        <w:rPr>
          <w:spacing w:val="-11"/>
          <w:sz w:val="20"/>
        </w:rPr>
        <w:t> </w:t>
      </w:r>
      <w:r>
        <w:rPr>
          <w:sz w:val="20"/>
        </w:rPr>
        <w:t>where tax administrations may be willing to provide certainty without a review by panel. This could be a useful mechanism</w:t>
      </w:r>
      <w:r>
        <w:rPr>
          <w:spacing w:val="-8"/>
          <w:sz w:val="20"/>
        </w:rPr>
        <w:t> </w:t>
      </w:r>
      <w:r>
        <w:rPr>
          <w:sz w:val="20"/>
        </w:rPr>
        <w:t>to</w:t>
      </w:r>
      <w:r>
        <w:rPr>
          <w:spacing w:val="-12"/>
          <w:sz w:val="20"/>
        </w:rPr>
        <w:t> </w:t>
      </w:r>
      <w:r>
        <w:rPr>
          <w:sz w:val="20"/>
        </w:rPr>
        <w:t>reduce</w:t>
      </w:r>
      <w:r>
        <w:rPr>
          <w:spacing w:val="-10"/>
          <w:sz w:val="20"/>
        </w:rPr>
        <w:t> </w:t>
      </w:r>
      <w:r>
        <w:rPr>
          <w:sz w:val="20"/>
        </w:rPr>
        <w:t>the</w:t>
      </w:r>
      <w:r>
        <w:rPr>
          <w:spacing w:val="-9"/>
          <w:sz w:val="20"/>
        </w:rPr>
        <w:t> </w:t>
      </w:r>
      <w:r>
        <w:rPr>
          <w:sz w:val="20"/>
        </w:rPr>
        <w:t>overall</w:t>
      </w:r>
      <w:r>
        <w:rPr>
          <w:spacing w:val="-10"/>
          <w:sz w:val="20"/>
        </w:rPr>
        <w:t> </w:t>
      </w:r>
      <w:r>
        <w:rPr>
          <w:sz w:val="20"/>
        </w:rPr>
        <w:t>tax</w:t>
      </w:r>
      <w:r>
        <w:rPr>
          <w:spacing w:val="-9"/>
          <w:sz w:val="20"/>
        </w:rPr>
        <w:t> </w:t>
      </w:r>
      <w:r>
        <w:rPr>
          <w:sz w:val="20"/>
        </w:rPr>
        <w:t>administration</w:t>
      </w:r>
      <w:r>
        <w:rPr>
          <w:spacing w:val="-10"/>
          <w:sz w:val="20"/>
        </w:rPr>
        <w:t> </w:t>
      </w:r>
      <w:r>
        <w:rPr>
          <w:sz w:val="20"/>
        </w:rPr>
        <w:t>resources</w:t>
      </w:r>
      <w:r>
        <w:rPr>
          <w:spacing w:val="-10"/>
          <w:sz w:val="20"/>
        </w:rPr>
        <w:t> </w:t>
      </w:r>
      <w:r>
        <w:rPr>
          <w:sz w:val="20"/>
        </w:rPr>
        <w:t>needed</w:t>
      </w:r>
      <w:r>
        <w:rPr>
          <w:spacing w:val="-10"/>
          <w:sz w:val="20"/>
        </w:rPr>
        <w:t> </w:t>
      </w:r>
      <w:r>
        <w:rPr>
          <w:sz w:val="20"/>
        </w:rPr>
        <w:t>in</w:t>
      </w:r>
      <w:r>
        <w:rPr>
          <w:spacing w:val="-9"/>
          <w:sz w:val="20"/>
        </w:rPr>
        <w:t> </w:t>
      </w:r>
      <w:r>
        <w:rPr>
          <w:sz w:val="20"/>
        </w:rPr>
        <w:t>the</w:t>
      </w:r>
      <w:r>
        <w:rPr>
          <w:spacing w:val="-10"/>
          <w:sz w:val="20"/>
        </w:rPr>
        <w:t> </w:t>
      </w:r>
      <w:r>
        <w:rPr>
          <w:sz w:val="20"/>
        </w:rPr>
        <w:t>first</w:t>
      </w:r>
      <w:r>
        <w:rPr>
          <w:spacing w:val="-10"/>
          <w:sz w:val="20"/>
        </w:rPr>
        <w:t> </w:t>
      </w:r>
      <w:r>
        <w:rPr>
          <w:sz w:val="20"/>
        </w:rPr>
        <w:t>year</w:t>
      </w:r>
      <w:r>
        <w:rPr>
          <w:spacing w:val="-10"/>
          <w:sz w:val="20"/>
        </w:rPr>
        <w:t> </w:t>
      </w:r>
      <w:r>
        <w:rPr>
          <w:sz w:val="20"/>
        </w:rPr>
        <w:t>of</w:t>
      </w:r>
      <w:r>
        <w:rPr>
          <w:spacing w:val="-9"/>
          <w:sz w:val="20"/>
        </w:rPr>
        <w:t> </w:t>
      </w:r>
      <w:r>
        <w:rPr>
          <w:sz w:val="20"/>
        </w:rPr>
        <w:t>operating</w:t>
      </w:r>
      <w:r>
        <w:rPr>
          <w:spacing w:val="-8"/>
          <w:sz w:val="20"/>
        </w:rPr>
        <w:t> </w:t>
      </w:r>
      <w:r>
        <w:rPr>
          <w:sz w:val="20"/>
        </w:rPr>
        <w:t>Amount A and even more so in subsequent</w:t>
      </w:r>
      <w:r>
        <w:rPr>
          <w:spacing w:val="-7"/>
          <w:sz w:val="20"/>
        </w:rPr>
        <w:t> </w:t>
      </w:r>
      <w:r>
        <w:rPr>
          <w:sz w:val="20"/>
        </w:rPr>
        <w:t>years.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1" w:firstLine="0"/>
        <w:jc w:val="both"/>
        <w:rPr>
          <w:sz w:val="20"/>
        </w:rPr>
      </w:pPr>
      <w:r>
        <w:rPr>
          <w:sz w:val="20"/>
        </w:rPr>
        <w:t>The extent of this review may vary depending upon, among other factors, the robustness of the MNE group’s processes and controls over its application of Amount A, whether </w:t>
      </w:r>
      <w:r>
        <w:rPr>
          <w:spacing w:val="3"/>
          <w:sz w:val="20"/>
        </w:rPr>
        <w:t>it </w:t>
      </w:r>
      <w:r>
        <w:rPr>
          <w:sz w:val="20"/>
        </w:rPr>
        <w:t>has previously been reviewed by a panel and, if it has, the outcomes of those reviews. In conducting an initial review, the lead tax</w:t>
      </w:r>
      <w:r>
        <w:rPr>
          <w:spacing w:val="-13"/>
          <w:sz w:val="20"/>
        </w:rPr>
        <w:t> </w:t>
      </w:r>
      <w:r>
        <w:rPr>
          <w:sz w:val="20"/>
        </w:rPr>
        <w:t>administration</w:t>
      </w:r>
      <w:r>
        <w:rPr>
          <w:spacing w:val="-14"/>
          <w:sz w:val="20"/>
        </w:rPr>
        <w:t> </w:t>
      </w:r>
      <w:r>
        <w:rPr>
          <w:sz w:val="20"/>
        </w:rPr>
        <w:t>may</w:t>
      </w:r>
      <w:r>
        <w:rPr>
          <w:spacing w:val="-17"/>
          <w:sz w:val="20"/>
        </w:rPr>
        <w:t> </w:t>
      </w:r>
      <w:r>
        <w:rPr>
          <w:sz w:val="20"/>
        </w:rPr>
        <w:t>request</w:t>
      </w:r>
      <w:r>
        <w:rPr>
          <w:spacing w:val="-13"/>
          <w:sz w:val="20"/>
        </w:rPr>
        <w:t> </w:t>
      </w:r>
      <w:r>
        <w:rPr>
          <w:sz w:val="20"/>
        </w:rPr>
        <w:t>some</w:t>
      </w:r>
      <w:r>
        <w:rPr>
          <w:spacing w:val="-14"/>
          <w:sz w:val="20"/>
        </w:rPr>
        <w:t> </w:t>
      </w:r>
      <w:r>
        <w:rPr>
          <w:sz w:val="20"/>
        </w:rPr>
        <w:t>clarification</w:t>
      </w:r>
      <w:r>
        <w:rPr>
          <w:spacing w:val="-12"/>
          <w:sz w:val="20"/>
        </w:rPr>
        <w:t> </w:t>
      </w:r>
      <w:r>
        <w:rPr>
          <w:sz w:val="20"/>
        </w:rPr>
        <w:t>or</w:t>
      </w:r>
      <w:r>
        <w:rPr>
          <w:spacing w:val="-11"/>
          <w:sz w:val="20"/>
        </w:rPr>
        <w:t> </w:t>
      </w:r>
      <w:r>
        <w:rPr>
          <w:sz w:val="20"/>
        </w:rPr>
        <w:t>additional</w:t>
      </w:r>
      <w:r>
        <w:rPr>
          <w:spacing w:val="-12"/>
          <w:sz w:val="20"/>
        </w:rPr>
        <w:t> </w:t>
      </w:r>
      <w:r>
        <w:rPr>
          <w:sz w:val="20"/>
        </w:rPr>
        <w:t>information</w:t>
      </w:r>
      <w:r>
        <w:rPr>
          <w:spacing w:val="-14"/>
          <w:sz w:val="20"/>
        </w:rPr>
        <w:t> </w:t>
      </w:r>
      <w:r>
        <w:rPr>
          <w:sz w:val="20"/>
        </w:rPr>
        <w:t>from</w:t>
      </w:r>
      <w:r>
        <w:rPr>
          <w:spacing w:val="-9"/>
          <w:sz w:val="20"/>
        </w:rPr>
        <w:t> </w:t>
      </w:r>
      <w:r>
        <w:rPr>
          <w:sz w:val="20"/>
        </w:rPr>
        <w:t>the</w:t>
      </w:r>
      <w:r>
        <w:rPr>
          <w:spacing w:val="-12"/>
          <w:sz w:val="20"/>
        </w:rPr>
        <w:t> </w:t>
      </w:r>
      <w:r>
        <w:rPr>
          <w:sz w:val="20"/>
        </w:rPr>
        <w:t>MNE</w:t>
      </w:r>
      <w:r>
        <w:rPr>
          <w:spacing w:val="-12"/>
          <w:sz w:val="20"/>
        </w:rPr>
        <w:t> </w:t>
      </w:r>
      <w:r>
        <w:rPr>
          <w:sz w:val="20"/>
        </w:rPr>
        <w:t>group,</w:t>
      </w:r>
      <w:r>
        <w:rPr>
          <w:spacing w:val="-11"/>
          <w:sz w:val="20"/>
        </w:rPr>
        <w:t> </w:t>
      </w:r>
      <w:r>
        <w:rPr>
          <w:sz w:val="20"/>
        </w:rPr>
        <w:t>but</w:t>
      </w:r>
      <w:r>
        <w:rPr>
          <w:spacing w:val="-13"/>
          <w:sz w:val="20"/>
        </w:rPr>
        <w:t> </w:t>
      </w:r>
      <w:r>
        <w:rPr>
          <w:sz w:val="20"/>
        </w:rPr>
        <w:t>a</w:t>
      </w:r>
      <w:r>
        <w:rPr>
          <w:spacing w:val="-12"/>
          <w:sz w:val="20"/>
        </w:rPr>
        <w:t> </w:t>
      </w:r>
      <w:r>
        <w:rPr>
          <w:sz w:val="20"/>
        </w:rPr>
        <w:t>need for</w:t>
      </w:r>
      <w:r>
        <w:rPr>
          <w:spacing w:val="-4"/>
          <w:sz w:val="20"/>
        </w:rPr>
        <w:t> </w:t>
      </w:r>
      <w:r>
        <w:rPr>
          <w:sz w:val="20"/>
        </w:rPr>
        <w:t>significant</w:t>
      </w:r>
      <w:r>
        <w:rPr>
          <w:spacing w:val="-4"/>
          <w:sz w:val="20"/>
        </w:rPr>
        <w:t> </w:t>
      </w:r>
      <w:r>
        <w:rPr>
          <w:sz w:val="20"/>
        </w:rPr>
        <w:t>extra</w:t>
      </w:r>
      <w:r>
        <w:rPr>
          <w:spacing w:val="-2"/>
          <w:sz w:val="20"/>
        </w:rPr>
        <w:t> </w:t>
      </w:r>
      <w:r>
        <w:rPr>
          <w:sz w:val="20"/>
        </w:rPr>
        <w:t>information</w:t>
      </w:r>
      <w:r>
        <w:rPr>
          <w:spacing w:val="-5"/>
          <w:sz w:val="20"/>
        </w:rPr>
        <w:t> </w:t>
      </w:r>
      <w:r>
        <w:rPr>
          <w:sz w:val="20"/>
        </w:rPr>
        <w:t>may</w:t>
      </w:r>
      <w:r>
        <w:rPr>
          <w:spacing w:val="-7"/>
          <w:sz w:val="20"/>
        </w:rPr>
        <w:t> </w:t>
      </w:r>
      <w:r>
        <w:rPr>
          <w:sz w:val="20"/>
        </w:rPr>
        <w:t>suggest</w:t>
      </w:r>
      <w:r>
        <w:rPr>
          <w:spacing w:val="-4"/>
          <w:sz w:val="20"/>
        </w:rPr>
        <w:t> </w:t>
      </w:r>
      <w:r>
        <w:rPr>
          <w:sz w:val="20"/>
        </w:rPr>
        <w:t>that</w:t>
      </w:r>
      <w:r>
        <w:rPr>
          <w:spacing w:val="-4"/>
          <w:sz w:val="20"/>
        </w:rPr>
        <w:t> </w:t>
      </w:r>
      <w:r>
        <w:rPr>
          <w:sz w:val="20"/>
        </w:rPr>
        <w:t>a</w:t>
      </w:r>
      <w:r>
        <w:rPr>
          <w:spacing w:val="-5"/>
          <w:sz w:val="20"/>
        </w:rPr>
        <w:t> </w:t>
      </w:r>
      <w:r>
        <w:rPr>
          <w:sz w:val="20"/>
        </w:rPr>
        <w:t>panel</w:t>
      </w:r>
      <w:r>
        <w:rPr>
          <w:spacing w:val="-5"/>
          <w:sz w:val="20"/>
        </w:rPr>
        <w:t> </w:t>
      </w:r>
      <w:r>
        <w:rPr>
          <w:sz w:val="20"/>
        </w:rPr>
        <w:t>review</w:t>
      </w:r>
      <w:r>
        <w:rPr>
          <w:spacing w:val="-6"/>
          <w:sz w:val="20"/>
        </w:rPr>
        <w:t> </w:t>
      </w:r>
      <w:r>
        <w:rPr>
          <w:sz w:val="20"/>
        </w:rPr>
        <w:t>is</w:t>
      </w:r>
      <w:r>
        <w:rPr>
          <w:spacing w:val="-3"/>
          <w:sz w:val="20"/>
        </w:rPr>
        <w:t> </w:t>
      </w:r>
      <w:r>
        <w:rPr>
          <w:sz w:val="20"/>
        </w:rPr>
        <w:t>needed.</w:t>
      </w:r>
      <w:r>
        <w:rPr>
          <w:spacing w:val="-2"/>
          <w:sz w:val="20"/>
        </w:rPr>
        <w:t> </w:t>
      </w:r>
      <w:r>
        <w:rPr>
          <w:sz w:val="20"/>
        </w:rPr>
        <w:t>As</w:t>
      </w:r>
      <w:r>
        <w:rPr>
          <w:spacing w:val="-3"/>
          <w:sz w:val="20"/>
        </w:rPr>
        <w:t> </w:t>
      </w:r>
      <w:r>
        <w:rPr>
          <w:sz w:val="20"/>
        </w:rPr>
        <w:t>a</w:t>
      </w:r>
      <w:r>
        <w:rPr>
          <w:spacing w:val="-5"/>
          <w:sz w:val="20"/>
        </w:rPr>
        <w:t> </w:t>
      </w:r>
      <w:r>
        <w:rPr>
          <w:sz w:val="20"/>
        </w:rPr>
        <w:t>result</w:t>
      </w:r>
      <w:r>
        <w:rPr>
          <w:spacing w:val="-4"/>
          <w:sz w:val="20"/>
        </w:rPr>
        <w:t> </w:t>
      </w:r>
      <w:r>
        <w:rPr>
          <w:sz w:val="20"/>
        </w:rPr>
        <w:t>of</w:t>
      </w:r>
      <w:r>
        <w:rPr>
          <w:spacing w:val="-2"/>
          <w:sz w:val="20"/>
        </w:rPr>
        <w:t> </w:t>
      </w:r>
      <w:r>
        <w:rPr>
          <w:sz w:val="20"/>
        </w:rPr>
        <w:t>its</w:t>
      </w:r>
      <w:r>
        <w:rPr>
          <w:spacing w:val="-3"/>
          <w:sz w:val="20"/>
        </w:rPr>
        <w:t> </w:t>
      </w:r>
      <w:r>
        <w:rPr>
          <w:sz w:val="20"/>
        </w:rPr>
        <w:t>initial</w:t>
      </w:r>
      <w:r>
        <w:rPr>
          <w:spacing w:val="-5"/>
          <w:sz w:val="20"/>
        </w:rPr>
        <w:t> </w:t>
      </w:r>
      <w:r>
        <w:rPr>
          <w:sz w:val="20"/>
        </w:rPr>
        <w:t>review, the lead tax administration may propose changes to an MNE group’s self-assessment return which, if accepted</w:t>
      </w:r>
      <w:r>
        <w:rPr>
          <w:spacing w:val="-4"/>
          <w:sz w:val="20"/>
        </w:rPr>
        <w:t> </w:t>
      </w:r>
      <w:r>
        <w:rPr>
          <w:sz w:val="20"/>
        </w:rPr>
        <w:t>by</w:t>
      </w:r>
      <w:r>
        <w:rPr>
          <w:spacing w:val="-7"/>
          <w:sz w:val="20"/>
        </w:rPr>
        <w:t> </w:t>
      </w:r>
      <w:r>
        <w:rPr>
          <w:sz w:val="20"/>
        </w:rPr>
        <w:t>the</w:t>
      </w:r>
      <w:r>
        <w:rPr>
          <w:spacing w:val="-4"/>
          <w:sz w:val="20"/>
        </w:rPr>
        <w:t> </w:t>
      </w:r>
      <w:r>
        <w:rPr>
          <w:sz w:val="20"/>
        </w:rPr>
        <w:t>MNE</w:t>
      </w:r>
      <w:r>
        <w:rPr>
          <w:spacing w:val="-4"/>
          <w:sz w:val="20"/>
        </w:rPr>
        <w:t> </w:t>
      </w:r>
      <w:r>
        <w:rPr>
          <w:sz w:val="20"/>
        </w:rPr>
        <w:t>group,</w:t>
      </w:r>
      <w:r>
        <w:rPr>
          <w:spacing w:val="-4"/>
          <w:sz w:val="20"/>
        </w:rPr>
        <w:t> </w:t>
      </w:r>
      <w:r>
        <w:rPr>
          <w:sz w:val="20"/>
        </w:rPr>
        <w:t>could</w:t>
      </w:r>
      <w:r>
        <w:rPr>
          <w:spacing w:val="-4"/>
          <w:sz w:val="20"/>
        </w:rPr>
        <w:t> </w:t>
      </w:r>
      <w:r>
        <w:rPr>
          <w:sz w:val="20"/>
        </w:rPr>
        <w:t>be</w:t>
      </w:r>
      <w:r>
        <w:rPr>
          <w:spacing w:val="-4"/>
          <w:sz w:val="20"/>
        </w:rPr>
        <w:t> </w:t>
      </w:r>
      <w:r>
        <w:rPr>
          <w:sz w:val="20"/>
        </w:rPr>
        <w:t>reflected</w:t>
      </w:r>
      <w:r>
        <w:rPr>
          <w:spacing w:val="-4"/>
          <w:sz w:val="20"/>
        </w:rPr>
        <w:t> </w:t>
      </w:r>
      <w:r>
        <w:rPr>
          <w:sz w:val="20"/>
        </w:rPr>
        <w:t>in</w:t>
      </w:r>
      <w:r>
        <w:rPr>
          <w:spacing w:val="-3"/>
          <w:sz w:val="20"/>
        </w:rPr>
        <w:t> </w:t>
      </w:r>
      <w:r>
        <w:rPr>
          <w:sz w:val="20"/>
        </w:rPr>
        <w:t>a</w:t>
      </w:r>
      <w:r>
        <w:rPr>
          <w:spacing w:val="-5"/>
          <w:sz w:val="20"/>
        </w:rPr>
        <w:t> </w:t>
      </w:r>
      <w:r>
        <w:rPr>
          <w:sz w:val="20"/>
        </w:rPr>
        <w:t>revised</w:t>
      </w:r>
      <w:r>
        <w:rPr>
          <w:spacing w:val="-4"/>
          <w:sz w:val="20"/>
        </w:rPr>
        <w:t> </w:t>
      </w:r>
      <w:r>
        <w:rPr>
          <w:sz w:val="20"/>
        </w:rPr>
        <w:t>return</w:t>
      </w:r>
      <w:r>
        <w:rPr>
          <w:spacing w:val="-4"/>
          <w:sz w:val="20"/>
        </w:rPr>
        <w:t> </w:t>
      </w:r>
      <w:r>
        <w:rPr>
          <w:sz w:val="20"/>
        </w:rPr>
        <w:t>provided</w:t>
      </w:r>
      <w:r>
        <w:rPr>
          <w:spacing w:val="-4"/>
          <w:sz w:val="20"/>
        </w:rPr>
        <w:t> </w:t>
      </w:r>
      <w:r>
        <w:rPr>
          <w:sz w:val="20"/>
        </w:rPr>
        <w:t>to</w:t>
      </w:r>
      <w:r>
        <w:rPr>
          <w:spacing w:val="-3"/>
          <w:sz w:val="20"/>
        </w:rPr>
        <w:t> </w:t>
      </w:r>
      <w:r>
        <w:rPr>
          <w:sz w:val="20"/>
        </w:rPr>
        <w:t>the</w:t>
      </w:r>
      <w:r>
        <w:rPr>
          <w:spacing w:val="-2"/>
          <w:sz w:val="20"/>
        </w:rPr>
        <w:t> </w:t>
      </w:r>
      <w:r>
        <w:rPr>
          <w:sz w:val="20"/>
        </w:rPr>
        <w:t>lead</w:t>
      </w:r>
      <w:r>
        <w:rPr>
          <w:spacing w:val="-4"/>
          <w:sz w:val="20"/>
        </w:rPr>
        <w:t> </w:t>
      </w:r>
      <w:r>
        <w:rPr>
          <w:sz w:val="20"/>
        </w:rPr>
        <w:t>tax</w:t>
      </w:r>
      <w:r>
        <w:rPr>
          <w:spacing w:val="-3"/>
          <w:sz w:val="20"/>
        </w:rPr>
        <w:t> </w:t>
      </w:r>
      <w:r>
        <w:rPr>
          <w:sz w:val="20"/>
        </w:rPr>
        <w:t>administration, typically within [one month]. Guidance will clarify the level of comfort that a lead tax administration should seek</w:t>
      </w:r>
      <w:r>
        <w:rPr>
          <w:spacing w:val="-3"/>
          <w:sz w:val="20"/>
        </w:rPr>
        <w:t> </w:t>
      </w:r>
      <w:r>
        <w:rPr>
          <w:sz w:val="20"/>
        </w:rPr>
        <w:t>to</w:t>
      </w:r>
      <w:r>
        <w:rPr>
          <w:spacing w:val="-6"/>
          <w:sz w:val="20"/>
        </w:rPr>
        <w:t> </w:t>
      </w:r>
      <w:r>
        <w:rPr>
          <w:sz w:val="20"/>
        </w:rPr>
        <w:t>achieve</w:t>
      </w:r>
      <w:r>
        <w:rPr>
          <w:spacing w:val="-3"/>
          <w:sz w:val="20"/>
        </w:rPr>
        <w:t> </w:t>
      </w:r>
      <w:r>
        <w:rPr>
          <w:sz w:val="20"/>
        </w:rPr>
        <w:t>in</w:t>
      </w:r>
      <w:r>
        <w:rPr>
          <w:spacing w:val="-7"/>
          <w:sz w:val="20"/>
        </w:rPr>
        <w:t> </w:t>
      </w:r>
      <w:r>
        <w:rPr>
          <w:sz w:val="20"/>
        </w:rPr>
        <w:t>conducting</w:t>
      </w:r>
      <w:r>
        <w:rPr>
          <w:spacing w:val="-6"/>
          <w:sz w:val="20"/>
        </w:rPr>
        <w:t> </w:t>
      </w:r>
      <w:r>
        <w:rPr>
          <w:sz w:val="20"/>
        </w:rPr>
        <w:t>an</w:t>
      </w:r>
      <w:r>
        <w:rPr>
          <w:spacing w:val="-6"/>
          <w:sz w:val="20"/>
        </w:rPr>
        <w:t> </w:t>
      </w:r>
      <w:r>
        <w:rPr>
          <w:sz w:val="20"/>
        </w:rPr>
        <w:t>initial</w:t>
      </w:r>
      <w:r>
        <w:rPr>
          <w:spacing w:val="-6"/>
          <w:sz w:val="20"/>
        </w:rPr>
        <w:t> </w:t>
      </w:r>
      <w:r>
        <w:rPr>
          <w:sz w:val="20"/>
        </w:rPr>
        <w:t>review,</w:t>
      </w:r>
      <w:r>
        <w:rPr>
          <w:spacing w:val="-5"/>
          <w:sz w:val="20"/>
        </w:rPr>
        <w:t> </w:t>
      </w:r>
      <w:r>
        <w:rPr>
          <w:sz w:val="20"/>
        </w:rPr>
        <w:t>and</w:t>
      </w:r>
      <w:r>
        <w:rPr>
          <w:spacing w:val="-7"/>
          <w:sz w:val="20"/>
        </w:rPr>
        <w:t> </w:t>
      </w:r>
      <w:r>
        <w:rPr>
          <w:sz w:val="20"/>
        </w:rPr>
        <w:t>how</w:t>
      </w:r>
      <w:r>
        <w:rPr>
          <w:spacing w:val="-7"/>
          <w:sz w:val="20"/>
        </w:rPr>
        <w:t> </w:t>
      </w:r>
      <w:r>
        <w:rPr>
          <w:sz w:val="20"/>
        </w:rPr>
        <w:t>the</w:t>
      </w:r>
      <w:r>
        <w:rPr>
          <w:spacing w:val="-4"/>
          <w:sz w:val="20"/>
        </w:rPr>
        <w:t> </w:t>
      </w:r>
      <w:r>
        <w:rPr>
          <w:sz w:val="20"/>
        </w:rPr>
        <w:t>outcomes</w:t>
      </w:r>
      <w:r>
        <w:rPr>
          <w:spacing w:val="-5"/>
          <w:sz w:val="20"/>
        </w:rPr>
        <w:t> </w:t>
      </w:r>
      <w:r>
        <w:rPr>
          <w:sz w:val="20"/>
        </w:rPr>
        <w:t>of</w:t>
      </w:r>
      <w:r>
        <w:rPr>
          <w:spacing w:val="-5"/>
          <w:sz w:val="20"/>
        </w:rPr>
        <w:t> </w:t>
      </w:r>
      <w:r>
        <w:rPr>
          <w:sz w:val="20"/>
        </w:rPr>
        <w:t>that</w:t>
      </w:r>
      <w:r>
        <w:rPr>
          <w:spacing w:val="-5"/>
          <w:sz w:val="20"/>
        </w:rPr>
        <w:t> </w:t>
      </w:r>
      <w:r>
        <w:rPr>
          <w:sz w:val="20"/>
        </w:rPr>
        <w:t>review</w:t>
      </w:r>
      <w:r>
        <w:rPr>
          <w:spacing w:val="-7"/>
          <w:sz w:val="20"/>
        </w:rPr>
        <w:t> </w:t>
      </w:r>
      <w:r>
        <w:rPr>
          <w:sz w:val="20"/>
        </w:rPr>
        <w:t>should</w:t>
      </w:r>
      <w:r>
        <w:rPr>
          <w:spacing w:val="-3"/>
          <w:sz w:val="20"/>
        </w:rPr>
        <w:t> </w:t>
      </w:r>
      <w:r>
        <w:rPr>
          <w:sz w:val="20"/>
        </w:rPr>
        <w:t>be</w:t>
      </w:r>
      <w:r>
        <w:rPr>
          <w:spacing w:val="-4"/>
          <w:sz w:val="20"/>
        </w:rPr>
        <w:t> </w:t>
      </w:r>
      <w:r>
        <w:rPr>
          <w:sz w:val="20"/>
        </w:rPr>
        <w:t>presented.</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Leaving flexibility around whether an initial review is conducted is intended to allow lead tax administrations to identify lower risk MNE groups that may be provided with certainty quickly, without the need for a panel review, reducing the resources required from all tax administrations. However, an initial review does not need to be undertaken, for example where a lead administration does not have the resources or capacity to conduct an initial review, or it feels that in any case a review by panel is needed (e.g.</w:t>
      </w:r>
      <w:r>
        <w:rPr>
          <w:spacing w:val="-12"/>
          <w:sz w:val="20"/>
        </w:rPr>
        <w:t> </w:t>
      </w:r>
      <w:r>
        <w:rPr>
          <w:sz w:val="20"/>
        </w:rPr>
        <w:t>because</w:t>
      </w:r>
      <w:r>
        <w:rPr>
          <w:spacing w:val="-12"/>
          <w:sz w:val="20"/>
        </w:rPr>
        <w:t> </w:t>
      </w:r>
      <w:r>
        <w:rPr>
          <w:sz w:val="20"/>
        </w:rPr>
        <w:t>it</w:t>
      </w:r>
      <w:r>
        <w:rPr>
          <w:spacing w:val="-11"/>
          <w:sz w:val="20"/>
        </w:rPr>
        <w:t> </w:t>
      </w:r>
      <w:r>
        <w:rPr>
          <w:sz w:val="20"/>
        </w:rPr>
        <w:t>is</w:t>
      </w:r>
      <w:r>
        <w:rPr>
          <w:spacing w:val="-12"/>
          <w:sz w:val="20"/>
        </w:rPr>
        <w:t> </w:t>
      </w:r>
      <w:r>
        <w:rPr>
          <w:sz w:val="20"/>
        </w:rPr>
        <w:t>the</w:t>
      </w:r>
      <w:r>
        <w:rPr>
          <w:spacing w:val="-13"/>
          <w:sz w:val="20"/>
        </w:rPr>
        <w:t> </w:t>
      </w:r>
      <w:r>
        <w:rPr>
          <w:sz w:val="20"/>
        </w:rPr>
        <w:t>MNE</w:t>
      </w:r>
      <w:r>
        <w:rPr>
          <w:spacing w:val="-12"/>
          <w:sz w:val="20"/>
        </w:rPr>
        <w:t> </w:t>
      </w:r>
      <w:r>
        <w:rPr>
          <w:sz w:val="20"/>
        </w:rPr>
        <w:t>group’s</w:t>
      </w:r>
      <w:r>
        <w:rPr>
          <w:spacing w:val="-12"/>
          <w:sz w:val="20"/>
        </w:rPr>
        <w:t> </w:t>
      </w:r>
      <w:r>
        <w:rPr>
          <w:sz w:val="20"/>
        </w:rPr>
        <w:t>first</w:t>
      </w:r>
      <w:r>
        <w:rPr>
          <w:spacing w:val="-11"/>
          <w:sz w:val="20"/>
        </w:rPr>
        <w:t> </w:t>
      </w:r>
      <w:r>
        <w:rPr>
          <w:sz w:val="20"/>
        </w:rPr>
        <w:t>year</w:t>
      </w:r>
      <w:r>
        <w:rPr>
          <w:spacing w:val="-13"/>
          <w:sz w:val="20"/>
        </w:rPr>
        <w:t> </w:t>
      </w:r>
      <w:r>
        <w:rPr>
          <w:sz w:val="20"/>
        </w:rPr>
        <w:t>of</w:t>
      </w:r>
      <w:r>
        <w:rPr>
          <w:spacing w:val="-12"/>
          <w:sz w:val="20"/>
        </w:rPr>
        <w:t> </w:t>
      </w:r>
      <w:r>
        <w:rPr>
          <w:sz w:val="20"/>
        </w:rPr>
        <w:t>applying</w:t>
      </w:r>
      <w:r>
        <w:rPr>
          <w:spacing w:val="-14"/>
          <w:sz w:val="20"/>
        </w:rPr>
        <w:t> </w:t>
      </w:r>
      <w:r>
        <w:rPr>
          <w:sz w:val="20"/>
        </w:rPr>
        <w:t>Amount</w:t>
      </w:r>
      <w:r>
        <w:rPr>
          <w:spacing w:val="-13"/>
          <w:sz w:val="20"/>
        </w:rPr>
        <w:t> </w:t>
      </w:r>
      <w:r>
        <w:rPr>
          <w:sz w:val="20"/>
        </w:rPr>
        <w:t>A</w:t>
      </w:r>
      <w:r>
        <w:rPr>
          <w:spacing w:val="-12"/>
          <w:sz w:val="20"/>
        </w:rPr>
        <w:t> </w:t>
      </w:r>
      <w:r>
        <w:rPr>
          <w:sz w:val="20"/>
        </w:rPr>
        <w:t>and</w:t>
      </w:r>
      <w:r>
        <w:rPr>
          <w:spacing w:val="-12"/>
          <w:sz w:val="20"/>
        </w:rPr>
        <w:t> </w:t>
      </w:r>
      <w:r>
        <w:rPr>
          <w:sz w:val="20"/>
        </w:rPr>
        <w:t>the</w:t>
      </w:r>
      <w:r>
        <w:rPr>
          <w:spacing w:val="-12"/>
          <w:sz w:val="20"/>
        </w:rPr>
        <w:t> </w:t>
      </w:r>
      <w:r>
        <w:rPr>
          <w:sz w:val="20"/>
        </w:rPr>
        <w:t>lead</w:t>
      </w:r>
      <w:r>
        <w:rPr>
          <w:spacing w:val="-14"/>
          <w:sz w:val="20"/>
        </w:rPr>
        <w:t> </w:t>
      </w:r>
      <w:r>
        <w:rPr>
          <w:sz w:val="20"/>
        </w:rPr>
        <w:t>tax</w:t>
      </w:r>
      <w:r>
        <w:rPr>
          <w:spacing w:val="-12"/>
          <w:sz w:val="20"/>
        </w:rPr>
        <w:t> </w:t>
      </w:r>
      <w:r>
        <w:rPr>
          <w:sz w:val="20"/>
        </w:rPr>
        <w:t>administration</w:t>
      </w:r>
      <w:r>
        <w:rPr>
          <w:spacing w:val="-13"/>
          <w:sz w:val="20"/>
        </w:rPr>
        <w:t> </w:t>
      </w:r>
      <w:r>
        <w:rPr>
          <w:sz w:val="20"/>
        </w:rPr>
        <w:t>believes a review conducted by a panel of tax administrations would be</w:t>
      </w:r>
      <w:r>
        <w:rPr>
          <w:spacing w:val="-10"/>
          <w:sz w:val="20"/>
        </w:rPr>
        <w:t> </w:t>
      </w:r>
      <w:r>
        <w:rPr>
          <w:sz w:val="20"/>
        </w:rPr>
        <w:t>beneficial).</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As the initial review is intended to be high-level and only filter out relatively low-risk MNE groups rather</w:t>
      </w:r>
      <w:r>
        <w:rPr>
          <w:spacing w:val="-15"/>
          <w:sz w:val="20"/>
        </w:rPr>
        <w:t> </w:t>
      </w:r>
      <w:r>
        <w:rPr>
          <w:sz w:val="20"/>
        </w:rPr>
        <w:t>than</w:t>
      </w:r>
      <w:r>
        <w:rPr>
          <w:spacing w:val="-14"/>
          <w:sz w:val="20"/>
        </w:rPr>
        <w:t> </w:t>
      </w:r>
      <w:r>
        <w:rPr>
          <w:sz w:val="20"/>
        </w:rPr>
        <w:t>deal</w:t>
      </w:r>
      <w:r>
        <w:rPr>
          <w:spacing w:val="-13"/>
          <w:sz w:val="20"/>
        </w:rPr>
        <w:t> </w:t>
      </w:r>
      <w:r>
        <w:rPr>
          <w:sz w:val="20"/>
        </w:rPr>
        <w:t>with</w:t>
      </w:r>
      <w:r>
        <w:rPr>
          <w:spacing w:val="-15"/>
          <w:sz w:val="20"/>
        </w:rPr>
        <w:t> </w:t>
      </w:r>
      <w:r>
        <w:rPr>
          <w:sz w:val="20"/>
        </w:rPr>
        <w:t>more</w:t>
      </w:r>
      <w:r>
        <w:rPr>
          <w:spacing w:val="-16"/>
          <w:sz w:val="20"/>
        </w:rPr>
        <w:t> </w:t>
      </w:r>
      <w:r>
        <w:rPr>
          <w:sz w:val="20"/>
        </w:rPr>
        <w:t>complex</w:t>
      </w:r>
      <w:r>
        <w:rPr>
          <w:spacing w:val="-14"/>
          <w:sz w:val="20"/>
        </w:rPr>
        <w:t> </w:t>
      </w:r>
      <w:r>
        <w:rPr>
          <w:sz w:val="20"/>
        </w:rPr>
        <w:t>cases,</w:t>
      </w:r>
      <w:r>
        <w:rPr>
          <w:spacing w:val="-16"/>
          <w:sz w:val="20"/>
        </w:rPr>
        <w:t> </w:t>
      </w:r>
      <w:r>
        <w:rPr>
          <w:sz w:val="20"/>
        </w:rPr>
        <w:t>it</w:t>
      </w:r>
      <w:r>
        <w:rPr>
          <w:spacing w:val="-13"/>
          <w:sz w:val="20"/>
        </w:rPr>
        <w:t> </w:t>
      </w:r>
      <w:r>
        <w:rPr>
          <w:sz w:val="20"/>
        </w:rPr>
        <w:t>is</w:t>
      </w:r>
      <w:r>
        <w:rPr>
          <w:spacing w:val="-15"/>
          <w:sz w:val="20"/>
        </w:rPr>
        <w:t> </w:t>
      </w:r>
      <w:r>
        <w:rPr>
          <w:sz w:val="20"/>
        </w:rPr>
        <w:t>anticipated</w:t>
      </w:r>
      <w:r>
        <w:rPr>
          <w:spacing w:val="-17"/>
          <w:sz w:val="20"/>
        </w:rPr>
        <w:t> </w:t>
      </w:r>
      <w:r>
        <w:rPr>
          <w:sz w:val="20"/>
        </w:rPr>
        <w:t>that</w:t>
      </w:r>
      <w:r>
        <w:rPr>
          <w:spacing w:val="-13"/>
          <w:sz w:val="20"/>
        </w:rPr>
        <w:t> </w:t>
      </w:r>
      <w:r>
        <w:rPr>
          <w:sz w:val="20"/>
        </w:rPr>
        <w:t>in</w:t>
      </w:r>
      <w:r>
        <w:rPr>
          <w:spacing w:val="-14"/>
          <w:sz w:val="20"/>
        </w:rPr>
        <w:t> </w:t>
      </w:r>
      <w:r>
        <w:rPr>
          <w:sz w:val="20"/>
        </w:rPr>
        <w:t>most</w:t>
      </w:r>
      <w:r>
        <w:rPr>
          <w:spacing w:val="-15"/>
          <w:sz w:val="20"/>
        </w:rPr>
        <w:t> </w:t>
      </w:r>
      <w:r>
        <w:rPr>
          <w:sz w:val="20"/>
        </w:rPr>
        <w:t>cases</w:t>
      </w:r>
      <w:r>
        <w:rPr>
          <w:spacing w:val="-15"/>
          <w:sz w:val="20"/>
        </w:rPr>
        <w:t> </w:t>
      </w:r>
      <w:r>
        <w:rPr>
          <w:sz w:val="20"/>
        </w:rPr>
        <w:t>a</w:t>
      </w:r>
      <w:r>
        <w:rPr>
          <w:spacing w:val="-16"/>
          <w:sz w:val="20"/>
        </w:rPr>
        <w:t> </w:t>
      </w:r>
      <w:r>
        <w:rPr>
          <w:sz w:val="20"/>
        </w:rPr>
        <w:t>review</w:t>
      </w:r>
      <w:r>
        <w:rPr>
          <w:spacing w:val="-17"/>
          <w:sz w:val="20"/>
        </w:rPr>
        <w:t> </w:t>
      </w:r>
      <w:r>
        <w:rPr>
          <w:sz w:val="20"/>
        </w:rPr>
        <w:t>should</w:t>
      </w:r>
      <w:r>
        <w:rPr>
          <w:spacing w:val="-14"/>
          <w:sz w:val="20"/>
        </w:rPr>
        <w:t> </w:t>
      </w:r>
      <w:r>
        <w:rPr>
          <w:sz w:val="20"/>
        </w:rPr>
        <w:t>be</w:t>
      </w:r>
      <w:r>
        <w:rPr>
          <w:spacing w:val="-15"/>
          <w:sz w:val="20"/>
        </w:rPr>
        <w:t> </w:t>
      </w:r>
      <w:r>
        <w:rPr>
          <w:sz w:val="20"/>
        </w:rPr>
        <w:t>completed by the time the self-assessment return and documentation package are exchanged with other tax administrations.</w:t>
      </w:r>
      <w:r>
        <w:rPr>
          <w:spacing w:val="-10"/>
          <w:sz w:val="20"/>
        </w:rPr>
        <w:t> </w:t>
      </w:r>
      <w:r>
        <w:rPr>
          <w:sz w:val="20"/>
        </w:rPr>
        <w:t>As</w:t>
      </w:r>
      <w:r>
        <w:rPr>
          <w:spacing w:val="-8"/>
          <w:sz w:val="20"/>
        </w:rPr>
        <w:t> </w:t>
      </w:r>
      <w:r>
        <w:rPr>
          <w:sz w:val="20"/>
        </w:rPr>
        <w:t>described</w:t>
      </w:r>
      <w:r>
        <w:rPr>
          <w:spacing w:val="-9"/>
          <w:sz w:val="20"/>
        </w:rPr>
        <w:t> </w:t>
      </w:r>
      <w:r>
        <w:rPr>
          <w:sz w:val="20"/>
        </w:rPr>
        <w:t>above,</w:t>
      </w:r>
      <w:r>
        <w:rPr>
          <w:spacing w:val="-9"/>
          <w:sz w:val="20"/>
        </w:rPr>
        <w:t> </w:t>
      </w:r>
      <w:r>
        <w:rPr>
          <w:sz w:val="20"/>
        </w:rPr>
        <w:t>this</w:t>
      </w:r>
      <w:r>
        <w:rPr>
          <w:spacing w:val="-8"/>
          <w:sz w:val="20"/>
        </w:rPr>
        <w:t> </w:t>
      </w:r>
      <w:r>
        <w:rPr>
          <w:sz w:val="20"/>
        </w:rPr>
        <w:t>could</w:t>
      </w:r>
      <w:r>
        <w:rPr>
          <w:spacing w:val="-9"/>
          <w:sz w:val="20"/>
        </w:rPr>
        <w:t> </w:t>
      </w:r>
      <w:r>
        <w:rPr>
          <w:sz w:val="20"/>
        </w:rPr>
        <w:t>be</w:t>
      </w:r>
      <w:r>
        <w:rPr>
          <w:spacing w:val="-9"/>
          <w:sz w:val="20"/>
        </w:rPr>
        <w:t> </w:t>
      </w:r>
      <w:r>
        <w:rPr>
          <w:sz w:val="20"/>
        </w:rPr>
        <w:t>15</w:t>
      </w:r>
      <w:r>
        <w:rPr>
          <w:spacing w:val="-7"/>
          <w:sz w:val="20"/>
        </w:rPr>
        <w:t> </w:t>
      </w:r>
      <w:r>
        <w:rPr>
          <w:sz w:val="20"/>
        </w:rPr>
        <w:t>months</w:t>
      </w:r>
      <w:r>
        <w:rPr>
          <w:spacing w:val="-8"/>
          <w:sz w:val="20"/>
        </w:rPr>
        <w:t> </w:t>
      </w:r>
      <w:r>
        <w:rPr>
          <w:sz w:val="20"/>
        </w:rPr>
        <w:t>after</w:t>
      </w:r>
      <w:r>
        <w:rPr>
          <w:spacing w:val="-8"/>
          <w:sz w:val="20"/>
        </w:rPr>
        <w:t> </w:t>
      </w:r>
      <w:r>
        <w:rPr>
          <w:sz w:val="20"/>
        </w:rPr>
        <w:t>the</w:t>
      </w:r>
      <w:r>
        <w:rPr>
          <w:spacing w:val="-9"/>
          <w:sz w:val="20"/>
        </w:rPr>
        <w:t> </w:t>
      </w:r>
      <w:r>
        <w:rPr>
          <w:sz w:val="20"/>
        </w:rPr>
        <w:t>end</w:t>
      </w:r>
      <w:r>
        <w:rPr>
          <w:spacing w:val="-9"/>
          <w:sz w:val="20"/>
        </w:rPr>
        <w:t> </w:t>
      </w:r>
      <w:r>
        <w:rPr>
          <w:sz w:val="20"/>
        </w:rPr>
        <w:t>of</w:t>
      </w:r>
      <w:r>
        <w:rPr>
          <w:spacing w:val="-7"/>
          <w:sz w:val="20"/>
        </w:rPr>
        <w:t> </w:t>
      </w:r>
      <w:r>
        <w:rPr>
          <w:sz w:val="20"/>
        </w:rPr>
        <w:t>the</w:t>
      </w:r>
      <w:r>
        <w:rPr>
          <w:spacing w:val="-10"/>
          <w:sz w:val="20"/>
        </w:rPr>
        <w:t> </w:t>
      </w:r>
      <w:r>
        <w:rPr>
          <w:sz w:val="20"/>
        </w:rPr>
        <w:t>MNE</w:t>
      </w:r>
      <w:r>
        <w:rPr>
          <w:spacing w:val="-9"/>
          <w:sz w:val="20"/>
        </w:rPr>
        <w:t> </w:t>
      </w:r>
      <w:r>
        <w:rPr>
          <w:sz w:val="20"/>
        </w:rPr>
        <w:t>group’s</w:t>
      </w:r>
      <w:r>
        <w:rPr>
          <w:spacing w:val="-9"/>
          <w:sz w:val="20"/>
        </w:rPr>
        <w:t> </w:t>
      </w:r>
      <w:r>
        <w:rPr>
          <w:sz w:val="20"/>
        </w:rPr>
        <w:t>fiscal</w:t>
      </w:r>
      <w:r>
        <w:rPr>
          <w:spacing w:val="-8"/>
          <w:sz w:val="20"/>
        </w:rPr>
        <w:t> </w:t>
      </w:r>
      <w:r>
        <w:rPr>
          <w:sz w:val="20"/>
        </w:rPr>
        <w:t>year. If this approach is adopted, this would mean three months for an initial review if the filing deadline in the lead tax administration’s jurisdiction was 12 months after the end of the fiscal year, but the time available for the review would be longer if the filing deadline in that jurisdiction was earlier (e.g. if the lead tax administration</w:t>
      </w:r>
      <w:r>
        <w:rPr>
          <w:spacing w:val="-14"/>
          <w:sz w:val="20"/>
        </w:rPr>
        <w:t> </w:t>
      </w:r>
      <w:r>
        <w:rPr>
          <w:sz w:val="20"/>
        </w:rPr>
        <w:t>required</w:t>
      </w:r>
      <w:r>
        <w:rPr>
          <w:spacing w:val="-14"/>
          <w:sz w:val="20"/>
        </w:rPr>
        <w:t> </w:t>
      </w:r>
      <w:r>
        <w:rPr>
          <w:sz w:val="20"/>
        </w:rPr>
        <w:t>filing</w:t>
      </w:r>
      <w:r>
        <w:rPr>
          <w:spacing w:val="-14"/>
          <w:sz w:val="20"/>
        </w:rPr>
        <w:t> </w:t>
      </w:r>
      <w:r>
        <w:rPr>
          <w:sz w:val="20"/>
        </w:rPr>
        <w:t>nine</w:t>
      </w:r>
      <w:r>
        <w:rPr>
          <w:spacing w:val="-14"/>
          <w:sz w:val="20"/>
        </w:rPr>
        <w:t> </w:t>
      </w:r>
      <w:r>
        <w:rPr>
          <w:sz w:val="20"/>
        </w:rPr>
        <w:t>months</w:t>
      </w:r>
      <w:r>
        <w:rPr>
          <w:spacing w:val="-13"/>
          <w:sz w:val="20"/>
        </w:rPr>
        <w:t> </w:t>
      </w:r>
      <w:r>
        <w:rPr>
          <w:sz w:val="20"/>
        </w:rPr>
        <w:t>after</w:t>
      </w:r>
      <w:r>
        <w:rPr>
          <w:spacing w:val="-13"/>
          <w:sz w:val="20"/>
        </w:rPr>
        <w:t> </w:t>
      </w:r>
      <w:r>
        <w:rPr>
          <w:sz w:val="20"/>
        </w:rPr>
        <w:t>the</w:t>
      </w:r>
      <w:r>
        <w:rPr>
          <w:spacing w:val="-14"/>
          <w:sz w:val="20"/>
        </w:rPr>
        <w:t> </w:t>
      </w:r>
      <w:r>
        <w:rPr>
          <w:sz w:val="20"/>
        </w:rPr>
        <w:t>fiscal</w:t>
      </w:r>
      <w:r>
        <w:rPr>
          <w:spacing w:val="-10"/>
          <w:sz w:val="20"/>
        </w:rPr>
        <w:t> </w:t>
      </w:r>
      <w:r>
        <w:rPr>
          <w:sz w:val="20"/>
        </w:rPr>
        <w:t>year</w:t>
      </w:r>
      <w:r>
        <w:rPr>
          <w:spacing w:val="-11"/>
          <w:sz w:val="20"/>
        </w:rPr>
        <w:t> </w:t>
      </w:r>
      <w:r>
        <w:rPr>
          <w:sz w:val="20"/>
        </w:rPr>
        <w:t>end,</w:t>
      </w:r>
      <w:r>
        <w:rPr>
          <w:spacing w:val="-13"/>
          <w:sz w:val="20"/>
        </w:rPr>
        <w:t> </w:t>
      </w:r>
      <w:r>
        <w:rPr>
          <w:sz w:val="20"/>
        </w:rPr>
        <w:t>this</w:t>
      </w:r>
      <w:r>
        <w:rPr>
          <w:spacing w:val="-11"/>
          <w:sz w:val="20"/>
        </w:rPr>
        <w:t> </w:t>
      </w:r>
      <w:r>
        <w:rPr>
          <w:sz w:val="20"/>
        </w:rPr>
        <w:t>would</w:t>
      </w:r>
      <w:r>
        <w:rPr>
          <w:spacing w:val="-12"/>
          <w:sz w:val="20"/>
        </w:rPr>
        <w:t> </w:t>
      </w:r>
      <w:r>
        <w:rPr>
          <w:sz w:val="20"/>
        </w:rPr>
        <w:t>leave</w:t>
      </w:r>
      <w:r>
        <w:rPr>
          <w:spacing w:val="-14"/>
          <w:sz w:val="20"/>
        </w:rPr>
        <w:t> </w:t>
      </w:r>
      <w:r>
        <w:rPr>
          <w:spacing w:val="2"/>
          <w:sz w:val="20"/>
        </w:rPr>
        <w:t>six</w:t>
      </w:r>
      <w:r>
        <w:rPr>
          <w:spacing w:val="-12"/>
          <w:sz w:val="20"/>
        </w:rPr>
        <w:t> </w:t>
      </w:r>
      <w:r>
        <w:rPr>
          <w:sz w:val="20"/>
        </w:rPr>
        <w:t>months</w:t>
      </w:r>
      <w:r>
        <w:rPr>
          <w:spacing w:val="-13"/>
          <w:sz w:val="20"/>
        </w:rPr>
        <w:t> </w:t>
      </w:r>
      <w:r>
        <w:rPr>
          <w:sz w:val="20"/>
        </w:rPr>
        <w:t>for</w:t>
      </w:r>
      <w:r>
        <w:rPr>
          <w:spacing w:val="-13"/>
          <w:sz w:val="20"/>
        </w:rPr>
        <w:t> </w:t>
      </w:r>
      <w:r>
        <w:rPr>
          <w:sz w:val="20"/>
        </w:rPr>
        <w:t>the</w:t>
      </w:r>
      <w:r>
        <w:rPr>
          <w:spacing w:val="-14"/>
          <w:sz w:val="20"/>
        </w:rPr>
        <w:t> </w:t>
      </w:r>
      <w:r>
        <w:rPr>
          <w:sz w:val="20"/>
        </w:rPr>
        <w:t>initial review).</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Where</w:t>
      </w:r>
      <w:r>
        <w:rPr>
          <w:spacing w:val="-11"/>
          <w:sz w:val="20"/>
        </w:rPr>
        <w:t> </w:t>
      </w:r>
      <w:r>
        <w:rPr>
          <w:sz w:val="20"/>
        </w:rPr>
        <w:t>an</w:t>
      </w:r>
      <w:r>
        <w:rPr>
          <w:spacing w:val="-11"/>
          <w:sz w:val="20"/>
        </w:rPr>
        <w:t> </w:t>
      </w:r>
      <w:r>
        <w:rPr>
          <w:sz w:val="20"/>
        </w:rPr>
        <w:t>initial</w:t>
      </w:r>
      <w:r>
        <w:rPr>
          <w:spacing w:val="-11"/>
          <w:sz w:val="20"/>
        </w:rPr>
        <w:t> </w:t>
      </w:r>
      <w:r>
        <w:rPr>
          <w:sz w:val="20"/>
        </w:rPr>
        <w:t>review</w:t>
      </w:r>
      <w:r>
        <w:rPr>
          <w:spacing w:val="-10"/>
          <w:sz w:val="20"/>
        </w:rPr>
        <w:t> </w:t>
      </w:r>
      <w:r>
        <w:rPr>
          <w:sz w:val="20"/>
        </w:rPr>
        <w:t>is</w:t>
      </w:r>
      <w:r>
        <w:rPr>
          <w:spacing w:val="-9"/>
          <w:sz w:val="20"/>
        </w:rPr>
        <w:t> </w:t>
      </w:r>
      <w:r>
        <w:rPr>
          <w:sz w:val="20"/>
        </w:rPr>
        <w:t>still</w:t>
      </w:r>
      <w:r>
        <w:rPr>
          <w:spacing w:val="-12"/>
          <w:sz w:val="20"/>
        </w:rPr>
        <w:t> </w:t>
      </w:r>
      <w:r>
        <w:rPr>
          <w:sz w:val="20"/>
        </w:rPr>
        <w:t>underway</w:t>
      </w:r>
      <w:r>
        <w:rPr>
          <w:spacing w:val="-11"/>
          <w:sz w:val="20"/>
        </w:rPr>
        <w:t> </w:t>
      </w:r>
      <w:r>
        <w:rPr>
          <w:sz w:val="20"/>
        </w:rPr>
        <w:t>at</w:t>
      </w:r>
      <w:r>
        <w:rPr>
          <w:spacing w:val="-11"/>
          <w:sz w:val="20"/>
        </w:rPr>
        <w:t> </w:t>
      </w:r>
      <w:r>
        <w:rPr>
          <w:sz w:val="20"/>
        </w:rPr>
        <w:t>the</w:t>
      </w:r>
      <w:r>
        <w:rPr>
          <w:spacing w:val="-11"/>
          <w:sz w:val="20"/>
        </w:rPr>
        <w:t> </w:t>
      </w:r>
      <w:r>
        <w:rPr>
          <w:sz w:val="20"/>
        </w:rPr>
        <w:t>point</w:t>
      </w:r>
      <w:r>
        <w:rPr>
          <w:spacing w:val="-11"/>
          <w:sz w:val="20"/>
        </w:rPr>
        <w:t> </w:t>
      </w:r>
      <w:r>
        <w:rPr>
          <w:sz w:val="20"/>
        </w:rPr>
        <w:t>of</w:t>
      </w:r>
      <w:r>
        <w:rPr>
          <w:spacing w:val="-8"/>
          <w:sz w:val="20"/>
        </w:rPr>
        <w:t> </w:t>
      </w:r>
      <w:r>
        <w:rPr>
          <w:sz w:val="20"/>
        </w:rPr>
        <w:t>the</w:t>
      </w:r>
      <w:r>
        <w:rPr>
          <w:spacing w:val="-12"/>
          <w:sz w:val="20"/>
        </w:rPr>
        <w:t> </w:t>
      </w:r>
      <w:r>
        <w:rPr>
          <w:sz w:val="20"/>
        </w:rPr>
        <w:t>deadline</w:t>
      </w:r>
      <w:r>
        <w:rPr>
          <w:spacing w:val="-11"/>
          <w:sz w:val="20"/>
        </w:rPr>
        <w:t> </w:t>
      </w:r>
      <w:r>
        <w:rPr>
          <w:sz w:val="20"/>
        </w:rPr>
        <w:t>for</w:t>
      </w:r>
      <w:r>
        <w:rPr>
          <w:spacing w:val="-10"/>
          <w:sz w:val="20"/>
        </w:rPr>
        <w:t> </w:t>
      </w:r>
      <w:r>
        <w:rPr>
          <w:sz w:val="20"/>
        </w:rPr>
        <w:t>exchange,</w:t>
      </w:r>
      <w:r>
        <w:rPr>
          <w:spacing w:val="-11"/>
          <w:sz w:val="20"/>
        </w:rPr>
        <w:t> </w:t>
      </w:r>
      <w:r>
        <w:rPr>
          <w:sz w:val="20"/>
        </w:rPr>
        <w:t>the</w:t>
      </w:r>
      <w:r>
        <w:rPr>
          <w:spacing w:val="-11"/>
          <w:sz w:val="20"/>
        </w:rPr>
        <w:t> </w:t>
      </w:r>
      <w:r>
        <w:rPr>
          <w:sz w:val="20"/>
        </w:rPr>
        <w:t>MNE</w:t>
      </w:r>
      <w:r>
        <w:rPr>
          <w:spacing w:val="-11"/>
          <w:sz w:val="20"/>
        </w:rPr>
        <w:t> </w:t>
      </w:r>
      <w:r>
        <w:rPr>
          <w:sz w:val="20"/>
        </w:rPr>
        <w:t>group’s self-assessment return and documentation package will be exchanged with affected tax administrations as normal. If any revisions are subsequently required as a result of the initial review, an amended </w:t>
      </w:r>
      <w:r>
        <w:rPr>
          <w:spacing w:val="2"/>
          <w:sz w:val="20"/>
        </w:rPr>
        <w:t>self- </w:t>
      </w:r>
      <w:r>
        <w:rPr>
          <w:sz w:val="20"/>
        </w:rPr>
        <w:t>assessment return and documentation package will be exchanged when available. In the event that the initial review is still incomplete at the end of [three months] following the deadline for exchange (or shortly thereafter), the initial review will end without reaching a conclusion. Work undertaken to date by the lead tax administration will contribute to any subsequent review by</w:t>
      </w:r>
      <w:r>
        <w:rPr>
          <w:spacing w:val="-13"/>
          <w:sz w:val="20"/>
        </w:rPr>
        <w:t> </w:t>
      </w:r>
      <w:r>
        <w:rPr>
          <w:sz w:val="20"/>
        </w:rPr>
        <w:t>panel.</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When the lead tax administration exchanges the MNE group’s self-assessment return and documentation package with affected tax administrations, this will be accompanied with one of the following.</w:t>
      </w:r>
    </w:p>
    <w:p>
      <w:pPr>
        <w:pStyle w:val="ListParagraph"/>
        <w:numPr>
          <w:ilvl w:val="1"/>
          <w:numId w:val="13"/>
        </w:numPr>
        <w:tabs>
          <w:tab w:pos="1785" w:val="left" w:leader="none"/>
        </w:tabs>
        <w:spacing w:line="268" w:lineRule="auto" w:before="100" w:after="0"/>
        <w:ind w:left="1784" w:right="489" w:hanging="360"/>
        <w:jc w:val="both"/>
        <w:rPr>
          <w:sz w:val="20"/>
        </w:rPr>
      </w:pPr>
      <w:r>
        <w:rPr>
          <w:sz w:val="20"/>
        </w:rPr>
        <w:t>A statement that the lead tax administration has not conducted an initial review of the MNE group’s Amount A self-assessment (or an initial review was conducted which ended without reaching a conclusion) and so a review by panel is</w:t>
      </w:r>
      <w:r>
        <w:rPr>
          <w:spacing w:val="-18"/>
          <w:sz w:val="20"/>
        </w:rPr>
        <w:t> </w:t>
      </w:r>
      <w:r>
        <w:rPr>
          <w:sz w:val="20"/>
        </w:rPr>
        <w:t>required.</w:t>
      </w:r>
    </w:p>
    <w:p>
      <w:pPr>
        <w:pStyle w:val="ListParagraph"/>
        <w:numPr>
          <w:ilvl w:val="1"/>
          <w:numId w:val="13"/>
        </w:numPr>
        <w:tabs>
          <w:tab w:pos="1785" w:val="left" w:leader="none"/>
        </w:tabs>
        <w:spacing w:line="271" w:lineRule="auto" w:before="51" w:after="0"/>
        <w:ind w:left="1784" w:right="481" w:hanging="360"/>
        <w:jc w:val="both"/>
        <w:rPr>
          <w:sz w:val="20"/>
        </w:rPr>
      </w:pPr>
      <w:r>
        <w:rPr>
          <w:sz w:val="20"/>
        </w:rPr>
        <w:t>A</w:t>
      </w:r>
      <w:r>
        <w:rPr>
          <w:spacing w:val="-14"/>
          <w:sz w:val="20"/>
        </w:rPr>
        <w:t> </w:t>
      </w:r>
      <w:r>
        <w:rPr>
          <w:sz w:val="20"/>
        </w:rPr>
        <w:t>statement</w:t>
      </w:r>
      <w:r>
        <w:rPr>
          <w:spacing w:val="-13"/>
          <w:sz w:val="20"/>
        </w:rPr>
        <w:t> </w:t>
      </w:r>
      <w:r>
        <w:rPr>
          <w:sz w:val="20"/>
        </w:rPr>
        <w:t>that</w:t>
      </w:r>
      <w:r>
        <w:rPr>
          <w:spacing w:val="-13"/>
          <w:sz w:val="20"/>
        </w:rPr>
        <w:t> </w:t>
      </w:r>
      <w:r>
        <w:rPr>
          <w:sz w:val="20"/>
        </w:rPr>
        <w:t>the</w:t>
      </w:r>
      <w:r>
        <w:rPr>
          <w:spacing w:val="-12"/>
          <w:sz w:val="20"/>
        </w:rPr>
        <w:t> </w:t>
      </w:r>
      <w:r>
        <w:rPr>
          <w:sz w:val="20"/>
        </w:rPr>
        <w:t>lead</w:t>
      </w:r>
      <w:r>
        <w:rPr>
          <w:spacing w:val="-13"/>
          <w:sz w:val="20"/>
        </w:rPr>
        <w:t> </w:t>
      </w:r>
      <w:r>
        <w:rPr>
          <w:sz w:val="20"/>
        </w:rPr>
        <w:t>tax</w:t>
      </w:r>
      <w:r>
        <w:rPr>
          <w:spacing w:val="-11"/>
          <w:sz w:val="20"/>
        </w:rPr>
        <w:t> </w:t>
      </w:r>
      <w:r>
        <w:rPr>
          <w:sz w:val="20"/>
        </w:rPr>
        <w:t>administration</w:t>
      </w:r>
      <w:r>
        <w:rPr>
          <w:spacing w:val="-13"/>
          <w:sz w:val="20"/>
        </w:rPr>
        <w:t> </w:t>
      </w:r>
      <w:r>
        <w:rPr>
          <w:sz w:val="20"/>
        </w:rPr>
        <w:t>has</w:t>
      </w:r>
      <w:r>
        <w:rPr>
          <w:spacing w:val="-13"/>
          <w:sz w:val="20"/>
        </w:rPr>
        <w:t> </w:t>
      </w:r>
      <w:r>
        <w:rPr>
          <w:sz w:val="20"/>
        </w:rPr>
        <w:t>conducted</w:t>
      </w:r>
      <w:r>
        <w:rPr>
          <w:spacing w:val="-13"/>
          <w:sz w:val="20"/>
        </w:rPr>
        <w:t> </w:t>
      </w:r>
      <w:r>
        <w:rPr>
          <w:sz w:val="20"/>
        </w:rPr>
        <w:t>an</w:t>
      </w:r>
      <w:r>
        <w:rPr>
          <w:spacing w:val="-13"/>
          <w:sz w:val="20"/>
        </w:rPr>
        <w:t> </w:t>
      </w:r>
      <w:r>
        <w:rPr>
          <w:sz w:val="20"/>
        </w:rPr>
        <w:t>initial</w:t>
      </w:r>
      <w:r>
        <w:rPr>
          <w:spacing w:val="-13"/>
          <w:sz w:val="20"/>
        </w:rPr>
        <w:t> </w:t>
      </w:r>
      <w:r>
        <w:rPr>
          <w:sz w:val="20"/>
        </w:rPr>
        <w:t>review</w:t>
      </w:r>
      <w:r>
        <w:rPr>
          <w:spacing w:val="-15"/>
          <w:sz w:val="20"/>
        </w:rPr>
        <w:t> </w:t>
      </w:r>
      <w:r>
        <w:rPr>
          <w:sz w:val="20"/>
        </w:rPr>
        <w:t>and</w:t>
      </w:r>
      <w:r>
        <w:rPr>
          <w:spacing w:val="-14"/>
          <w:sz w:val="20"/>
        </w:rPr>
        <w:t> </w:t>
      </w:r>
      <w:r>
        <w:rPr>
          <w:sz w:val="20"/>
        </w:rPr>
        <w:t>concluded</w:t>
      </w:r>
      <w:r>
        <w:rPr>
          <w:spacing w:val="-13"/>
          <w:sz w:val="20"/>
        </w:rPr>
        <w:t> </w:t>
      </w:r>
      <w:r>
        <w:rPr>
          <w:sz w:val="20"/>
        </w:rPr>
        <w:t>that a review by panel is required. This may be accompanied by a summary of the review undertaken by the lead tax administration and particular issues it considers should be discussed by the review</w:t>
      </w:r>
      <w:r>
        <w:rPr>
          <w:spacing w:val="-10"/>
          <w:sz w:val="20"/>
        </w:rPr>
        <w:t> </w:t>
      </w:r>
      <w:r>
        <w:rPr>
          <w:sz w:val="20"/>
        </w:rPr>
        <w:t>panel.</w:t>
      </w:r>
    </w:p>
    <w:p>
      <w:pPr>
        <w:pStyle w:val="ListParagraph"/>
        <w:numPr>
          <w:ilvl w:val="1"/>
          <w:numId w:val="13"/>
        </w:numPr>
        <w:tabs>
          <w:tab w:pos="1785" w:val="left" w:leader="none"/>
        </w:tabs>
        <w:spacing w:line="271" w:lineRule="auto" w:before="45" w:after="0"/>
        <w:ind w:left="1784" w:right="483" w:hanging="360"/>
        <w:jc w:val="both"/>
        <w:rPr>
          <w:sz w:val="20"/>
        </w:rPr>
      </w:pPr>
      <w:r>
        <w:rPr>
          <w:sz w:val="20"/>
        </w:rPr>
        <w:t>A</w:t>
      </w:r>
      <w:r>
        <w:rPr>
          <w:spacing w:val="-7"/>
          <w:sz w:val="20"/>
        </w:rPr>
        <w:t> </w:t>
      </w:r>
      <w:r>
        <w:rPr>
          <w:sz w:val="20"/>
        </w:rPr>
        <w:t>statement</w:t>
      </w:r>
      <w:r>
        <w:rPr>
          <w:spacing w:val="-6"/>
          <w:sz w:val="20"/>
        </w:rPr>
        <w:t> </w:t>
      </w:r>
      <w:r>
        <w:rPr>
          <w:sz w:val="20"/>
        </w:rPr>
        <w:t>that</w:t>
      </w:r>
      <w:r>
        <w:rPr>
          <w:spacing w:val="-6"/>
          <w:sz w:val="20"/>
        </w:rPr>
        <w:t> </w:t>
      </w:r>
      <w:r>
        <w:rPr>
          <w:sz w:val="20"/>
        </w:rPr>
        <w:t>the</w:t>
      </w:r>
      <w:r>
        <w:rPr>
          <w:spacing w:val="-5"/>
          <w:sz w:val="20"/>
        </w:rPr>
        <w:t> </w:t>
      </w:r>
      <w:r>
        <w:rPr>
          <w:sz w:val="20"/>
        </w:rPr>
        <w:t>lead</w:t>
      </w:r>
      <w:r>
        <w:rPr>
          <w:spacing w:val="-7"/>
          <w:sz w:val="20"/>
        </w:rPr>
        <w:t> </w:t>
      </w:r>
      <w:r>
        <w:rPr>
          <w:sz w:val="20"/>
        </w:rPr>
        <w:t>tax</w:t>
      </w:r>
      <w:r>
        <w:rPr>
          <w:spacing w:val="-5"/>
          <w:sz w:val="20"/>
        </w:rPr>
        <w:t> </w:t>
      </w:r>
      <w:r>
        <w:rPr>
          <w:sz w:val="20"/>
        </w:rPr>
        <w:t>administration</w:t>
      </w:r>
      <w:r>
        <w:rPr>
          <w:spacing w:val="-5"/>
          <w:sz w:val="20"/>
        </w:rPr>
        <w:t> </w:t>
      </w:r>
      <w:r>
        <w:rPr>
          <w:sz w:val="20"/>
        </w:rPr>
        <w:t>has</w:t>
      </w:r>
      <w:r>
        <w:rPr>
          <w:spacing w:val="-5"/>
          <w:sz w:val="20"/>
        </w:rPr>
        <w:t> </w:t>
      </w:r>
      <w:r>
        <w:rPr>
          <w:sz w:val="20"/>
        </w:rPr>
        <w:t>conducted</w:t>
      </w:r>
      <w:r>
        <w:rPr>
          <w:spacing w:val="-7"/>
          <w:sz w:val="20"/>
        </w:rPr>
        <w:t> </w:t>
      </w:r>
      <w:r>
        <w:rPr>
          <w:sz w:val="20"/>
        </w:rPr>
        <w:t>an</w:t>
      </w:r>
      <w:r>
        <w:rPr>
          <w:spacing w:val="-5"/>
          <w:sz w:val="20"/>
        </w:rPr>
        <w:t> </w:t>
      </w:r>
      <w:r>
        <w:rPr>
          <w:sz w:val="20"/>
        </w:rPr>
        <w:t>initial</w:t>
      </w:r>
      <w:r>
        <w:rPr>
          <w:spacing w:val="-4"/>
          <w:sz w:val="20"/>
        </w:rPr>
        <w:t> </w:t>
      </w:r>
      <w:r>
        <w:rPr>
          <w:sz w:val="20"/>
        </w:rPr>
        <w:t>review</w:t>
      </w:r>
      <w:r>
        <w:rPr>
          <w:spacing w:val="-6"/>
          <w:sz w:val="20"/>
        </w:rPr>
        <w:t> </w:t>
      </w:r>
      <w:r>
        <w:rPr>
          <w:sz w:val="20"/>
        </w:rPr>
        <w:t>and,</w:t>
      </w:r>
      <w:r>
        <w:rPr>
          <w:spacing w:val="-7"/>
          <w:sz w:val="20"/>
        </w:rPr>
        <w:t> </w:t>
      </w:r>
      <w:r>
        <w:rPr>
          <w:sz w:val="20"/>
        </w:rPr>
        <w:t>based</w:t>
      </w:r>
      <w:r>
        <w:rPr>
          <w:spacing w:val="-6"/>
          <w:sz w:val="20"/>
        </w:rPr>
        <w:t> </w:t>
      </w:r>
      <w:r>
        <w:rPr>
          <w:sz w:val="20"/>
        </w:rPr>
        <w:t>on</w:t>
      </w:r>
      <w:r>
        <w:rPr>
          <w:spacing w:val="-7"/>
          <w:sz w:val="20"/>
        </w:rPr>
        <w:t> </w:t>
      </w:r>
      <w:r>
        <w:rPr>
          <w:sz w:val="20"/>
        </w:rPr>
        <w:t>the outcomes of this review, a recommendation that a review by panel is not required. This must be accompanied by a summary of the review undertaken by the lead tax administration and the</w:t>
      </w:r>
      <w:r>
        <w:rPr>
          <w:spacing w:val="16"/>
          <w:sz w:val="20"/>
        </w:rPr>
        <w:t> </w:t>
      </w:r>
      <w:r>
        <w:rPr>
          <w:sz w:val="20"/>
        </w:rPr>
        <w:t>basis</w:t>
      </w:r>
      <w:r>
        <w:rPr>
          <w:spacing w:val="19"/>
          <w:sz w:val="20"/>
        </w:rPr>
        <w:t> </w:t>
      </w:r>
      <w:r>
        <w:rPr>
          <w:sz w:val="20"/>
        </w:rPr>
        <w:t>for</w:t>
      </w:r>
      <w:r>
        <w:rPr>
          <w:spacing w:val="18"/>
          <w:sz w:val="20"/>
        </w:rPr>
        <w:t> </w:t>
      </w:r>
      <w:r>
        <w:rPr>
          <w:sz w:val="20"/>
        </w:rPr>
        <w:t>its</w:t>
      </w:r>
      <w:r>
        <w:rPr>
          <w:spacing w:val="18"/>
          <w:sz w:val="20"/>
        </w:rPr>
        <w:t> </w:t>
      </w:r>
      <w:r>
        <w:rPr>
          <w:sz w:val="20"/>
        </w:rPr>
        <w:t>conclusion</w:t>
      </w:r>
      <w:r>
        <w:rPr>
          <w:spacing w:val="19"/>
          <w:sz w:val="20"/>
        </w:rPr>
        <w:t> </w:t>
      </w:r>
      <w:r>
        <w:rPr>
          <w:sz w:val="20"/>
        </w:rPr>
        <w:t>that</w:t>
      </w:r>
      <w:r>
        <w:rPr>
          <w:spacing w:val="18"/>
          <w:sz w:val="20"/>
        </w:rPr>
        <w:t> </w:t>
      </w:r>
      <w:r>
        <w:rPr>
          <w:sz w:val="20"/>
        </w:rPr>
        <w:t>each</w:t>
      </w:r>
      <w:r>
        <w:rPr>
          <w:spacing w:val="17"/>
          <w:sz w:val="20"/>
        </w:rPr>
        <w:t> </w:t>
      </w:r>
      <w:r>
        <w:rPr>
          <w:sz w:val="20"/>
        </w:rPr>
        <w:t>element</w:t>
      </w:r>
      <w:r>
        <w:rPr>
          <w:spacing w:val="18"/>
          <w:sz w:val="20"/>
        </w:rPr>
        <w:t> </w:t>
      </w:r>
      <w:r>
        <w:rPr>
          <w:sz w:val="20"/>
        </w:rPr>
        <w:t>of</w:t>
      </w:r>
      <w:r>
        <w:rPr>
          <w:spacing w:val="23"/>
          <w:sz w:val="20"/>
        </w:rPr>
        <w:t> </w:t>
      </w:r>
      <w:r>
        <w:rPr>
          <w:sz w:val="20"/>
        </w:rPr>
        <w:t>the</w:t>
      </w:r>
      <w:r>
        <w:rPr>
          <w:spacing w:val="17"/>
          <w:sz w:val="20"/>
        </w:rPr>
        <w:t> </w:t>
      </w:r>
      <w:r>
        <w:rPr>
          <w:sz w:val="20"/>
        </w:rPr>
        <w:t>MNE</w:t>
      </w:r>
      <w:r>
        <w:rPr>
          <w:spacing w:val="17"/>
          <w:sz w:val="20"/>
        </w:rPr>
        <w:t> </w:t>
      </w:r>
      <w:r>
        <w:rPr>
          <w:sz w:val="20"/>
        </w:rPr>
        <w:t>group’s</w:t>
      </w:r>
      <w:r>
        <w:rPr>
          <w:spacing w:val="19"/>
          <w:sz w:val="20"/>
        </w:rPr>
        <w:t> </w:t>
      </w:r>
      <w:r>
        <w:rPr>
          <w:sz w:val="20"/>
        </w:rPr>
        <w:t>application</w:t>
      </w:r>
      <w:r>
        <w:rPr>
          <w:spacing w:val="17"/>
          <w:sz w:val="20"/>
        </w:rPr>
        <w:t> </w:t>
      </w:r>
      <w:r>
        <w:rPr>
          <w:sz w:val="20"/>
        </w:rPr>
        <w:t>of</w:t>
      </w:r>
      <w:r>
        <w:rPr>
          <w:spacing w:val="19"/>
          <w:sz w:val="20"/>
        </w:rPr>
        <w:t> </w:t>
      </w:r>
      <w:r>
        <w:rPr>
          <w:sz w:val="20"/>
        </w:rPr>
        <w:t>Amount</w:t>
      </w:r>
      <w:r>
        <w:rPr>
          <w:spacing w:val="17"/>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9"/>
        <w:jc w:val="both"/>
      </w:pPr>
      <w:r>
        <w:rPr/>
        <w:t>poses a low risk to the jurisdictions of affected tax administrations (including both market jurisdictions and relieving jurisdictions).</w:t>
      </w:r>
    </w:p>
    <w:p>
      <w:pPr>
        <w:pStyle w:val="ListParagraph"/>
        <w:numPr>
          <w:ilvl w:val="1"/>
          <w:numId w:val="13"/>
        </w:numPr>
        <w:tabs>
          <w:tab w:pos="1785" w:val="left" w:leader="none"/>
        </w:tabs>
        <w:spacing w:line="268" w:lineRule="auto" w:before="45" w:after="0"/>
        <w:ind w:left="1784" w:right="483" w:hanging="360"/>
        <w:jc w:val="both"/>
        <w:rPr>
          <w:sz w:val="20"/>
        </w:rPr>
      </w:pPr>
      <w:r>
        <w:rPr>
          <w:sz w:val="20"/>
        </w:rPr>
        <w:t>A statement that the lead tax administration is in the process of conducting an initial review that is not yet complete (in which case the conclusions of this initial review, if any, should be exchanged with other tax administrations as soon as they are</w:t>
      </w:r>
      <w:r>
        <w:rPr>
          <w:spacing w:val="-10"/>
          <w:sz w:val="20"/>
        </w:rPr>
        <w:t> </w:t>
      </w:r>
      <w:r>
        <w:rPr>
          <w:sz w:val="20"/>
        </w:rPr>
        <w:t>available).</w:t>
      </w:r>
    </w:p>
    <w:p>
      <w:pPr>
        <w:pStyle w:val="BodyText"/>
        <w:spacing w:before="1"/>
        <w:rPr>
          <w:sz w:val="21"/>
        </w:rPr>
      </w:pPr>
    </w:p>
    <w:p>
      <w:pPr>
        <w:pStyle w:val="Heading7"/>
        <w:rPr>
          <w:i/>
        </w:rPr>
      </w:pPr>
      <w:bookmarkStart w:name="Decision as to whether a review panel is" w:id="430"/>
      <w:bookmarkEnd w:id="430"/>
      <w:r>
        <w:rPr>
          <w:i w:val="0"/>
        </w:rPr>
      </w:r>
      <w:r>
        <w:rPr>
          <w:i/>
          <w:color w:val="616161"/>
        </w:rPr>
        <w:t>Decision as to whether a review panel is</w:t>
      </w:r>
      <w:r>
        <w:rPr>
          <w:i/>
          <w:color w:val="616161"/>
          <w:spacing w:val="-25"/>
        </w:rPr>
        <w:t> </w:t>
      </w:r>
      <w:r>
        <w:rPr>
          <w:i/>
          <w:color w:val="616161"/>
        </w:rPr>
        <w:t>required</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Where</w:t>
      </w:r>
      <w:r>
        <w:rPr>
          <w:spacing w:val="-11"/>
          <w:sz w:val="20"/>
        </w:rPr>
        <w:t> </w:t>
      </w:r>
      <w:r>
        <w:rPr>
          <w:sz w:val="20"/>
        </w:rPr>
        <w:t>the</w:t>
      </w:r>
      <w:r>
        <w:rPr>
          <w:spacing w:val="-10"/>
          <w:sz w:val="20"/>
        </w:rPr>
        <w:t> </w:t>
      </w:r>
      <w:r>
        <w:rPr>
          <w:sz w:val="20"/>
        </w:rPr>
        <w:t>lead</w:t>
      </w:r>
      <w:r>
        <w:rPr>
          <w:spacing w:val="-11"/>
          <w:sz w:val="20"/>
        </w:rPr>
        <w:t> </w:t>
      </w:r>
      <w:r>
        <w:rPr>
          <w:sz w:val="20"/>
        </w:rPr>
        <w:t>tax</w:t>
      </w:r>
      <w:r>
        <w:rPr>
          <w:spacing w:val="-10"/>
          <w:sz w:val="20"/>
        </w:rPr>
        <w:t> </w:t>
      </w:r>
      <w:r>
        <w:rPr>
          <w:sz w:val="20"/>
        </w:rPr>
        <w:t>administration</w:t>
      </w:r>
      <w:r>
        <w:rPr>
          <w:spacing w:val="-10"/>
          <w:sz w:val="20"/>
        </w:rPr>
        <w:t> </w:t>
      </w:r>
      <w:r>
        <w:rPr>
          <w:sz w:val="20"/>
        </w:rPr>
        <w:t>has</w:t>
      </w:r>
      <w:r>
        <w:rPr>
          <w:spacing w:val="-10"/>
          <w:sz w:val="20"/>
        </w:rPr>
        <w:t> </w:t>
      </w:r>
      <w:r>
        <w:rPr>
          <w:sz w:val="20"/>
        </w:rPr>
        <w:t>conducted</w:t>
      </w:r>
      <w:r>
        <w:rPr>
          <w:spacing w:val="-10"/>
          <w:sz w:val="20"/>
        </w:rPr>
        <w:t> </w:t>
      </w:r>
      <w:r>
        <w:rPr>
          <w:sz w:val="20"/>
        </w:rPr>
        <w:t>an</w:t>
      </w:r>
      <w:r>
        <w:rPr>
          <w:spacing w:val="-10"/>
          <w:sz w:val="20"/>
        </w:rPr>
        <w:t> </w:t>
      </w:r>
      <w:r>
        <w:rPr>
          <w:sz w:val="20"/>
        </w:rPr>
        <w:t>initial</w:t>
      </w:r>
      <w:r>
        <w:rPr>
          <w:spacing w:val="-10"/>
          <w:sz w:val="20"/>
        </w:rPr>
        <w:t> </w:t>
      </w:r>
      <w:r>
        <w:rPr>
          <w:sz w:val="20"/>
        </w:rPr>
        <w:t>review</w:t>
      </w:r>
      <w:r>
        <w:rPr>
          <w:spacing w:val="-11"/>
          <w:sz w:val="20"/>
        </w:rPr>
        <w:t> </w:t>
      </w:r>
      <w:r>
        <w:rPr>
          <w:sz w:val="20"/>
        </w:rPr>
        <w:t>and</w:t>
      </w:r>
      <w:r>
        <w:rPr>
          <w:spacing w:val="-12"/>
          <w:sz w:val="20"/>
        </w:rPr>
        <w:t> </w:t>
      </w:r>
      <w:r>
        <w:rPr>
          <w:sz w:val="20"/>
        </w:rPr>
        <w:t>recommended</w:t>
      </w:r>
      <w:r>
        <w:rPr>
          <w:spacing w:val="-12"/>
          <w:sz w:val="20"/>
        </w:rPr>
        <w:t> </w:t>
      </w:r>
      <w:r>
        <w:rPr>
          <w:sz w:val="20"/>
        </w:rPr>
        <w:t>that</w:t>
      </w:r>
      <w:r>
        <w:rPr>
          <w:spacing w:val="-12"/>
          <w:sz w:val="20"/>
        </w:rPr>
        <w:t> </w:t>
      </w:r>
      <w:r>
        <w:rPr>
          <w:sz w:val="20"/>
        </w:rPr>
        <w:t>a</w:t>
      </w:r>
      <w:r>
        <w:rPr>
          <w:spacing w:val="-9"/>
          <w:sz w:val="20"/>
        </w:rPr>
        <w:t> </w:t>
      </w:r>
      <w:r>
        <w:rPr>
          <w:sz w:val="20"/>
        </w:rPr>
        <w:t>review by</w:t>
      </w:r>
      <w:r>
        <w:rPr>
          <w:spacing w:val="-7"/>
          <w:sz w:val="20"/>
        </w:rPr>
        <w:t> </w:t>
      </w:r>
      <w:r>
        <w:rPr>
          <w:sz w:val="20"/>
        </w:rPr>
        <w:t>panel</w:t>
      </w:r>
      <w:r>
        <w:rPr>
          <w:spacing w:val="-5"/>
          <w:sz w:val="20"/>
        </w:rPr>
        <w:t> </w:t>
      </w:r>
      <w:r>
        <w:rPr>
          <w:sz w:val="20"/>
        </w:rPr>
        <w:t>is</w:t>
      </w:r>
      <w:r>
        <w:rPr>
          <w:spacing w:val="-2"/>
          <w:sz w:val="20"/>
        </w:rPr>
        <w:t> </w:t>
      </w:r>
      <w:r>
        <w:rPr>
          <w:sz w:val="20"/>
        </w:rPr>
        <w:t>not</w:t>
      </w:r>
      <w:r>
        <w:rPr>
          <w:spacing w:val="-3"/>
          <w:sz w:val="20"/>
        </w:rPr>
        <w:t> </w:t>
      </w:r>
      <w:r>
        <w:rPr>
          <w:sz w:val="20"/>
        </w:rPr>
        <w:t>needed,</w:t>
      </w:r>
      <w:r>
        <w:rPr>
          <w:spacing w:val="-6"/>
          <w:sz w:val="20"/>
        </w:rPr>
        <w:t> </w:t>
      </w:r>
      <w:r>
        <w:rPr>
          <w:sz w:val="20"/>
        </w:rPr>
        <w:t>other</w:t>
      </w:r>
      <w:r>
        <w:rPr>
          <w:spacing w:val="-5"/>
          <w:sz w:val="20"/>
        </w:rPr>
        <w:t> </w:t>
      </w:r>
      <w:r>
        <w:rPr>
          <w:sz w:val="20"/>
        </w:rPr>
        <w:t>affected</w:t>
      </w:r>
      <w:r>
        <w:rPr>
          <w:spacing w:val="-7"/>
          <w:sz w:val="20"/>
        </w:rPr>
        <w:t> </w:t>
      </w:r>
      <w:r>
        <w:rPr>
          <w:sz w:val="20"/>
        </w:rPr>
        <w:t>tax</w:t>
      </w:r>
      <w:r>
        <w:rPr>
          <w:spacing w:val="-5"/>
          <w:sz w:val="20"/>
        </w:rPr>
        <w:t> </w:t>
      </w:r>
      <w:r>
        <w:rPr>
          <w:sz w:val="20"/>
        </w:rPr>
        <w:t>administrations</w:t>
      </w:r>
      <w:r>
        <w:rPr>
          <w:spacing w:val="-5"/>
          <w:sz w:val="20"/>
        </w:rPr>
        <w:t> </w:t>
      </w:r>
      <w:r>
        <w:rPr>
          <w:sz w:val="20"/>
        </w:rPr>
        <w:t>have</w:t>
      </w:r>
      <w:r>
        <w:rPr>
          <w:spacing w:val="-4"/>
          <w:sz w:val="20"/>
        </w:rPr>
        <w:t> </w:t>
      </w:r>
      <w:r>
        <w:rPr>
          <w:sz w:val="20"/>
        </w:rPr>
        <w:t>[three</w:t>
      </w:r>
      <w:r>
        <w:rPr>
          <w:spacing w:val="-6"/>
          <w:sz w:val="20"/>
        </w:rPr>
        <w:t> </w:t>
      </w:r>
      <w:r>
        <w:rPr>
          <w:sz w:val="20"/>
        </w:rPr>
        <w:t>months]</w:t>
      </w:r>
      <w:r>
        <w:rPr>
          <w:spacing w:val="-5"/>
          <w:sz w:val="20"/>
        </w:rPr>
        <w:t> </w:t>
      </w:r>
      <w:r>
        <w:rPr>
          <w:sz w:val="20"/>
        </w:rPr>
        <w:t>to</w:t>
      </w:r>
      <w:r>
        <w:rPr>
          <w:spacing w:val="-4"/>
          <w:sz w:val="20"/>
        </w:rPr>
        <w:t> </w:t>
      </w:r>
      <w:r>
        <w:rPr>
          <w:sz w:val="20"/>
        </w:rPr>
        <w:t>consider</w:t>
      </w:r>
      <w:r>
        <w:rPr>
          <w:spacing w:val="-6"/>
          <w:sz w:val="20"/>
        </w:rPr>
        <w:t> </w:t>
      </w:r>
      <w:r>
        <w:rPr>
          <w:sz w:val="20"/>
        </w:rPr>
        <w:t>this</w:t>
      </w:r>
      <w:r>
        <w:rPr>
          <w:spacing w:val="-4"/>
          <w:sz w:val="20"/>
        </w:rPr>
        <w:t> </w:t>
      </w:r>
      <w:r>
        <w:rPr>
          <w:sz w:val="20"/>
        </w:rPr>
        <w:t>and</w:t>
      </w:r>
      <w:r>
        <w:rPr>
          <w:spacing w:val="-6"/>
          <w:sz w:val="20"/>
        </w:rPr>
        <w:t> </w:t>
      </w:r>
      <w:r>
        <w:rPr>
          <w:sz w:val="20"/>
        </w:rPr>
        <w:t>submit comments, which may fall into one or more of four</w:t>
      </w:r>
      <w:r>
        <w:rPr>
          <w:spacing w:val="-16"/>
          <w:sz w:val="20"/>
        </w:rPr>
        <w:t> </w:t>
      </w:r>
      <w:r>
        <w:rPr>
          <w:sz w:val="20"/>
        </w:rPr>
        <w:t>categories:</w:t>
      </w:r>
    </w:p>
    <w:p>
      <w:pPr>
        <w:pStyle w:val="ListParagraph"/>
        <w:numPr>
          <w:ilvl w:val="1"/>
          <w:numId w:val="13"/>
        </w:numPr>
        <w:tabs>
          <w:tab w:pos="1785" w:val="left" w:leader="none"/>
        </w:tabs>
        <w:spacing w:line="271" w:lineRule="auto" w:before="100" w:after="0"/>
        <w:ind w:left="1784" w:right="480" w:hanging="360"/>
        <w:jc w:val="both"/>
        <w:rPr>
          <w:sz w:val="20"/>
        </w:rPr>
      </w:pPr>
      <w:r>
        <w:rPr>
          <w:sz w:val="20"/>
        </w:rPr>
        <w:t>A proposal to establish a panel based on concerns that could impact the MNE group’s Amount A tax liability in that tax administration’s jurisdiction (e.g. that there may be errors in the</w:t>
      </w:r>
      <w:r>
        <w:rPr>
          <w:spacing w:val="-15"/>
          <w:sz w:val="20"/>
        </w:rPr>
        <w:t> </w:t>
      </w:r>
      <w:r>
        <w:rPr>
          <w:sz w:val="20"/>
        </w:rPr>
        <w:t>determination</w:t>
      </w:r>
      <w:r>
        <w:rPr>
          <w:spacing w:val="-12"/>
          <w:sz w:val="20"/>
        </w:rPr>
        <w:t> </w:t>
      </w:r>
      <w:r>
        <w:rPr>
          <w:sz w:val="20"/>
        </w:rPr>
        <w:t>and</w:t>
      </w:r>
      <w:r>
        <w:rPr>
          <w:spacing w:val="-12"/>
          <w:sz w:val="20"/>
        </w:rPr>
        <w:t> </w:t>
      </w:r>
      <w:r>
        <w:rPr>
          <w:sz w:val="20"/>
        </w:rPr>
        <w:t>allocation</w:t>
      </w:r>
      <w:r>
        <w:rPr>
          <w:spacing w:val="-15"/>
          <w:sz w:val="20"/>
        </w:rPr>
        <w:t> </w:t>
      </w:r>
      <w:r>
        <w:rPr>
          <w:sz w:val="20"/>
        </w:rPr>
        <w:t>of</w:t>
      </w:r>
      <w:r>
        <w:rPr>
          <w:spacing w:val="-12"/>
          <w:sz w:val="20"/>
        </w:rPr>
        <w:t> </w:t>
      </w:r>
      <w:r>
        <w:rPr>
          <w:sz w:val="20"/>
        </w:rPr>
        <w:t>Amount</w:t>
      </w:r>
      <w:r>
        <w:rPr>
          <w:spacing w:val="-12"/>
          <w:sz w:val="20"/>
        </w:rPr>
        <w:t> </w:t>
      </w:r>
      <w:r>
        <w:rPr>
          <w:sz w:val="20"/>
        </w:rPr>
        <w:t>A</w:t>
      </w:r>
      <w:r>
        <w:rPr>
          <w:spacing w:val="-14"/>
          <w:sz w:val="20"/>
        </w:rPr>
        <w:t> </w:t>
      </w:r>
      <w:r>
        <w:rPr>
          <w:sz w:val="20"/>
        </w:rPr>
        <w:t>or</w:t>
      </w:r>
      <w:r>
        <w:rPr>
          <w:spacing w:val="-14"/>
          <w:sz w:val="20"/>
        </w:rPr>
        <w:t> </w:t>
      </w:r>
      <w:r>
        <w:rPr>
          <w:sz w:val="20"/>
        </w:rPr>
        <w:t>the</w:t>
      </w:r>
      <w:r>
        <w:rPr>
          <w:spacing w:val="-12"/>
          <w:sz w:val="20"/>
        </w:rPr>
        <w:t> </w:t>
      </w:r>
      <w:r>
        <w:rPr>
          <w:sz w:val="20"/>
        </w:rPr>
        <w:t>identification</w:t>
      </w:r>
      <w:r>
        <w:rPr>
          <w:spacing w:val="-12"/>
          <w:sz w:val="20"/>
        </w:rPr>
        <w:t> </w:t>
      </w:r>
      <w:r>
        <w:rPr>
          <w:sz w:val="20"/>
        </w:rPr>
        <w:t>of</w:t>
      </w:r>
      <w:r>
        <w:rPr>
          <w:spacing w:val="-13"/>
          <w:sz w:val="20"/>
        </w:rPr>
        <w:t> </w:t>
      </w:r>
      <w:r>
        <w:rPr>
          <w:sz w:val="20"/>
        </w:rPr>
        <w:t>relieving</w:t>
      </w:r>
      <w:r>
        <w:rPr>
          <w:spacing w:val="-12"/>
          <w:sz w:val="20"/>
        </w:rPr>
        <w:t> </w:t>
      </w:r>
      <w:r>
        <w:rPr>
          <w:sz w:val="20"/>
        </w:rPr>
        <w:t>entities</w:t>
      </w:r>
      <w:r>
        <w:rPr>
          <w:spacing w:val="-12"/>
          <w:sz w:val="20"/>
        </w:rPr>
        <w:t> </w:t>
      </w:r>
      <w:r>
        <w:rPr>
          <w:sz w:val="20"/>
        </w:rPr>
        <w:t>that</w:t>
      </w:r>
      <w:r>
        <w:rPr>
          <w:spacing w:val="-15"/>
          <w:sz w:val="20"/>
        </w:rPr>
        <w:t> </w:t>
      </w:r>
      <w:r>
        <w:rPr>
          <w:sz w:val="20"/>
        </w:rPr>
        <w:t>affect the jurisdiction in question). This should be accompanied by a description of the specific concerns the affected tax administration has (e.g. that aspects of the MNE group’s self- assessment do not reflect published guidance or are inconsistent with the approach applied by comparable MNE groups) and, if possible, the tax impact in its and other</w:t>
      </w:r>
      <w:r>
        <w:rPr>
          <w:spacing w:val="-36"/>
          <w:sz w:val="20"/>
        </w:rPr>
        <w:t> </w:t>
      </w:r>
      <w:r>
        <w:rPr>
          <w:sz w:val="20"/>
        </w:rPr>
        <w:t>jurisdiction(s).</w:t>
      </w:r>
    </w:p>
    <w:p>
      <w:pPr>
        <w:pStyle w:val="ListParagraph"/>
        <w:numPr>
          <w:ilvl w:val="1"/>
          <w:numId w:val="13"/>
        </w:numPr>
        <w:tabs>
          <w:tab w:pos="1785" w:val="left" w:leader="none"/>
        </w:tabs>
        <w:spacing w:line="240" w:lineRule="auto" w:before="43" w:after="0"/>
        <w:ind w:left="1784" w:right="0" w:hanging="361"/>
        <w:jc w:val="both"/>
        <w:rPr>
          <w:sz w:val="20"/>
        </w:rPr>
      </w:pPr>
      <w:r>
        <w:rPr>
          <w:sz w:val="20"/>
        </w:rPr>
        <w:t>A preference that a panel be formed that is not linked to specific</w:t>
      </w:r>
      <w:r>
        <w:rPr>
          <w:spacing w:val="-12"/>
          <w:sz w:val="20"/>
        </w:rPr>
        <w:t> </w:t>
      </w:r>
      <w:r>
        <w:rPr>
          <w:sz w:val="20"/>
        </w:rPr>
        <w:t>concerns.</w:t>
      </w:r>
    </w:p>
    <w:p>
      <w:pPr>
        <w:pStyle w:val="ListParagraph"/>
        <w:numPr>
          <w:ilvl w:val="1"/>
          <w:numId w:val="13"/>
        </w:numPr>
        <w:tabs>
          <w:tab w:pos="1785" w:val="left" w:leader="none"/>
        </w:tabs>
        <w:spacing w:line="271" w:lineRule="auto" w:before="77" w:after="0"/>
        <w:ind w:left="1784" w:right="482" w:hanging="360"/>
        <w:jc w:val="both"/>
        <w:rPr>
          <w:sz w:val="20"/>
        </w:rPr>
      </w:pPr>
      <w:r>
        <w:rPr>
          <w:sz w:val="20"/>
        </w:rPr>
        <w:t>Observations that the affected tax administration would like to raise but that do not result in a proposal to form a panel. This could include technical issues with an MNE group’s </w:t>
      </w:r>
      <w:r>
        <w:rPr>
          <w:spacing w:val="2"/>
          <w:sz w:val="20"/>
        </w:rPr>
        <w:t>self- </w:t>
      </w:r>
      <w:r>
        <w:rPr>
          <w:sz w:val="20"/>
        </w:rPr>
        <w:t>assessment that the tax administration does not consider material for the relevant fiscal year but would like to have recorded in case the issues become material in the</w:t>
      </w:r>
      <w:r>
        <w:rPr>
          <w:spacing w:val="-25"/>
          <w:sz w:val="20"/>
        </w:rPr>
        <w:t> </w:t>
      </w:r>
      <w:r>
        <w:rPr>
          <w:sz w:val="20"/>
        </w:rPr>
        <w:t>future.</w:t>
      </w:r>
    </w:p>
    <w:p>
      <w:pPr>
        <w:pStyle w:val="ListParagraph"/>
        <w:numPr>
          <w:ilvl w:val="1"/>
          <w:numId w:val="13"/>
        </w:numPr>
        <w:tabs>
          <w:tab w:pos="1785" w:val="left" w:leader="none"/>
        </w:tabs>
        <w:spacing w:line="271" w:lineRule="auto" w:before="43" w:after="0"/>
        <w:ind w:left="1784" w:right="486" w:hanging="360"/>
        <w:jc w:val="both"/>
        <w:rPr>
          <w:sz w:val="20"/>
        </w:rPr>
      </w:pPr>
      <w:r>
        <w:rPr>
          <w:sz w:val="20"/>
        </w:rPr>
        <w:t>An</w:t>
      </w:r>
      <w:r>
        <w:rPr>
          <w:spacing w:val="-12"/>
          <w:sz w:val="20"/>
        </w:rPr>
        <w:t> </w:t>
      </w:r>
      <w:r>
        <w:rPr>
          <w:sz w:val="20"/>
        </w:rPr>
        <w:t>expression</w:t>
      </w:r>
      <w:r>
        <w:rPr>
          <w:spacing w:val="-12"/>
          <w:sz w:val="20"/>
        </w:rPr>
        <w:t> </w:t>
      </w:r>
      <w:r>
        <w:rPr>
          <w:sz w:val="20"/>
        </w:rPr>
        <w:t>of</w:t>
      </w:r>
      <w:r>
        <w:rPr>
          <w:spacing w:val="-10"/>
          <w:sz w:val="20"/>
        </w:rPr>
        <w:t> </w:t>
      </w:r>
      <w:r>
        <w:rPr>
          <w:sz w:val="20"/>
        </w:rPr>
        <w:t>interest</w:t>
      </w:r>
      <w:r>
        <w:rPr>
          <w:spacing w:val="-11"/>
          <w:sz w:val="20"/>
        </w:rPr>
        <w:t> </w:t>
      </w:r>
      <w:r>
        <w:rPr>
          <w:sz w:val="20"/>
        </w:rPr>
        <w:t>to</w:t>
      </w:r>
      <w:r>
        <w:rPr>
          <w:spacing w:val="-9"/>
          <w:sz w:val="20"/>
        </w:rPr>
        <w:t> </w:t>
      </w:r>
      <w:r>
        <w:rPr>
          <w:sz w:val="20"/>
        </w:rPr>
        <w:t>participate</w:t>
      </w:r>
      <w:r>
        <w:rPr>
          <w:spacing w:val="-12"/>
          <w:sz w:val="20"/>
        </w:rPr>
        <w:t> </w:t>
      </w:r>
      <w:r>
        <w:rPr>
          <w:sz w:val="20"/>
        </w:rPr>
        <w:t>in</w:t>
      </w:r>
      <w:r>
        <w:rPr>
          <w:spacing w:val="-12"/>
          <w:sz w:val="20"/>
        </w:rPr>
        <w:t> </w:t>
      </w:r>
      <w:r>
        <w:rPr>
          <w:sz w:val="20"/>
        </w:rPr>
        <w:t>any</w:t>
      </w:r>
      <w:r>
        <w:rPr>
          <w:spacing w:val="-15"/>
          <w:sz w:val="20"/>
        </w:rPr>
        <w:t> </w:t>
      </w:r>
      <w:r>
        <w:rPr>
          <w:sz w:val="20"/>
        </w:rPr>
        <w:t>review</w:t>
      </w:r>
      <w:r>
        <w:rPr>
          <w:spacing w:val="-11"/>
          <w:sz w:val="20"/>
        </w:rPr>
        <w:t> </w:t>
      </w:r>
      <w:r>
        <w:rPr>
          <w:sz w:val="20"/>
        </w:rPr>
        <w:t>panel</w:t>
      </w:r>
      <w:r>
        <w:rPr>
          <w:spacing w:val="-12"/>
          <w:sz w:val="20"/>
        </w:rPr>
        <w:t> </w:t>
      </w:r>
      <w:r>
        <w:rPr>
          <w:sz w:val="20"/>
        </w:rPr>
        <w:t>that</w:t>
      </w:r>
      <w:r>
        <w:rPr>
          <w:spacing w:val="-12"/>
          <w:sz w:val="20"/>
        </w:rPr>
        <w:t> </w:t>
      </w:r>
      <w:r>
        <w:rPr>
          <w:sz w:val="20"/>
        </w:rPr>
        <w:t>is</w:t>
      </w:r>
      <w:r>
        <w:rPr>
          <w:spacing w:val="-10"/>
          <w:sz w:val="20"/>
        </w:rPr>
        <w:t> </w:t>
      </w:r>
      <w:r>
        <w:rPr>
          <w:sz w:val="20"/>
        </w:rPr>
        <w:t>established.</w:t>
      </w:r>
      <w:r>
        <w:rPr>
          <w:spacing w:val="-11"/>
          <w:sz w:val="20"/>
        </w:rPr>
        <w:t> </w:t>
      </w:r>
      <w:r>
        <w:rPr>
          <w:sz w:val="20"/>
        </w:rPr>
        <w:t>In</w:t>
      </w:r>
      <w:r>
        <w:rPr>
          <w:spacing w:val="-12"/>
          <w:sz w:val="20"/>
        </w:rPr>
        <w:t> </w:t>
      </w:r>
      <w:r>
        <w:rPr>
          <w:sz w:val="20"/>
        </w:rPr>
        <w:t>the</w:t>
      </w:r>
      <w:r>
        <w:rPr>
          <w:spacing w:val="-12"/>
          <w:sz w:val="20"/>
        </w:rPr>
        <w:t> </w:t>
      </w:r>
      <w:r>
        <w:rPr>
          <w:sz w:val="20"/>
        </w:rPr>
        <w:t>event</w:t>
      </w:r>
      <w:r>
        <w:rPr>
          <w:spacing w:val="-12"/>
          <w:sz w:val="20"/>
        </w:rPr>
        <w:t> </w:t>
      </w:r>
      <w:r>
        <w:rPr>
          <w:sz w:val="20"/>
        </w:rPr>
        <w:t>that a panel review is undertaken, the review panel will be drawn first from a list of tax administrations that indicated an interest in</w:t>
      </w:r>
      <w:r>
        <w:rPr>
          <w:spacing w:val="-6"/>
          <w:sz w:val="20"/>
        </w:rPr>
        <w:t> </w:t>
      </w:r>
      <w:r>
        <w:rPr>
          <w:sz w:val="20"/>
        </w:rPr>
        <w:t>participating.</w:t>
      </w:r>
    </w:p>
    <w:p>
      <w:pPr>
        <w:pStyle w:val="ListParagraph"/>
        <w:numPr>
          <w:ilvl w:val="0"/>
          <w:numId w:val="13"/>
        </w:numPr>
        <w:tabs>
          <w:tab w:pos="1444" w:val="left" w:leader="none"/>
        </w:tabs>
        <w:spacing w:line="271" w:lineRule="auto" w:before="124" w:after="0"/>
        <w:ind w:left="723" w:right="483" w:firstLine="0"/>
        <w:jc w:val="both"/>
        <w:rPr>
          <w:sz w:val="20"/>
        </w:rPr>
      </w:pPr>
      <w:r>
        <w:rPr>
          <w:sz w:val="20"/>
        </w:rPr>
        <w:t>The issues underpinning proposals to establish a panel and observations by affected tax administrations will be discussed by the lead tax administration with the co-ordinating entity of the MNE group. If the co-ordinating entity is able to address the concerns underlying a proposal to the satisfaction of the affected tax administration, without impacting the position in any other jurisdiction, the affected tax administration should withdraw its proposal to establish a panel, and may replace this with a general preference that a panel be formed. Observations do not require any specific action on the part of an MNE group, but it should consider taking them into account in applying Amount A in future fiscal years, if relevant.</w:t>
      </w:r>
    </w:p>
    <w:p>
      <w:pPr>
        <w:pStyle w:val="ListParagraph"/>
        <w:numPr>
          <w:ilvl w:val="0"/>
          <w:numId w:val="13"/>
        </w:numPr>
        <w:tabs>
          <w:tab w:pos="1444" w:val="left" w:leader="none"/>
        </w:tabs>
        <w:spacing w:line="271" w:lineRule="auto" w:before="122" w:after="0"/>
        <w:ind w:left="723" w:right="485" w:firstLine="0"/>
        <w:jc w:val="both"/>
        <w:rPr>
          <w:sz w:val="20"/>
        </w:rPr>
      </w:pPr>
      <w:r>
        <w:rPr>
          <w:sz w:val="20"/>
        </w:rPr>
        <w:t>A panel of tax administrations (the review panel) could be established in all cases where an MNE group has requested certainty and</w:t>
      </w:r>
      <w:r>
        <w:rPr>
          <w:spacing w:val="-3"/>
          <w:sz w:val="20"/>
        </w:rPr>
        <w:t> </w:t>
      </w:r>
      <w:r>
        <w:rPr>
          <w:sz w:val="20"/>
        </w:rPr>
        <w:t>either:</w:t>
      </w:r>
    </w:p>
    <w:p>
      <w:pPr>
        <w:pStyle w:val="ListParagraph"/>
        <w:numPr>
          <w:ilvl w:val="1"/>
          <w:numId w:val="13"/>
        </w:numPr>
        <w:tabs>
          <w:tab w:pos="1785" w:val="left" w:leader="none"/>
        </w:tabs>
        <w:spacing w:line="268" w:lineRule="auto" w:before="98" w:after="0"/>
        <w:ind w:left="1784" w:right="484" w:hanging="360"/>
        <w:jc w:val="both"/>
        <w:rPr>
          <w:sz w:val="20"/>
        </w:rPr>
      </w:pPr>
      <w:r>
        <w:rPr>
          <w:sz w:val="20"/>
        </w:rPr>
        <w:t>the</w:t>
      </w:r>
      <w:r>
        <w:rPr>
          <w:spacing w:val="-9"/>
          <w:sz w:val="20"/>
        </w:rPr>
        <w:t> </w:t>
      </w:r>
      <w:r>
        <w:rPr>
          <w:sz w:val="20"/>
        </w:rPr>
        <w:t>lead</w:t>
      </w:r>
      <w:r>
        <w:rPr>
          <w:spacing w:val="-9"/>
          <w:sz w:val="20"/>
        </w:rPr>
        <w:t> </w:t>
      </w:r>
      <w:r>
        <w:rPr>
          <w:sz w:val="20"/>
        </w:rPr>
        <w:t>tax</w:t>
      </w:r>
      <w:r>
        <w:rPr>
          <w:spacing w:val="-8"/>
          <w:sz w:val="20"/>
        </w:rPr>
        <w:t> </w:t>
      </w:r>
      <w:r>
        <w:rPr>
          <w:sz w:val="20"/>
        </w:rPr>
        <w:t>administration</w:t>
      </w:r>
      <w:r>
        <w:rPr>
          <w:spacing w:val="-7"/>
          <w:sz w:val="20"/>
        </w:rPr>
        <w:t> </w:t>
      </w:r>
      <w:r>
        <w:rPr>
          <w:sz w:val="20"/>
        </w:rPr>
        <w:t>has</w:t>
      </w:r>
      <w:r>
        <w:rPr>
          <w:spacing w:val="-7"/>
          <w:sz w:val="20"/>
        </w:rPr>
        <w:t> </w:t>
      </w:r>
      <w:r>
        <w:rPr>
          <w:sz w:val="20"/>
        </w:rPr>
        <w:t>not</w:t>
      </w:r>
      <w:r>
        <w:rPr>
          <w:spacing w:val="-9"/>
          <w:sz w:val="20"/>
        </w:rPr>
        <w:t> </w:t>
      </w:r>
      <w:r>
        <w:rPr>
          <w:sz w:val="20"/>
        </w:rPr>
        <w:t>conducted</w:t>
      </w:r>
      <w:r>
        <w:rPr>
          <w:spacing w:val="-7"/>
          <w:sz w:val="20"/>
        </w:rPr>
        <w:t> </w:t>
      </w:r>
      <w:r>
        <w:rPr>
          <w:sz w:val="20"/>
        </w:rPr>
        <w:t>an</w:t>
      </w:r>
      <w:r>
        <w:rPr>
          <w:spacing w:val="-9"/>
          <w:sz w:val="20"/>
        </w:rPr>
        <w:t> </w:t>
      </w:r>
      <w:r>
        <w:rPr>
          <w:sz w:val="20"/>
        </w:rPr>
        <w:t>initial</w:t>
      </w:r>
      <w:r>
        <w:rPr>
          <w:spacing w:val="-6"/>
          <w:sz w:val="20"/>
        </w:rPr>
        <w:t> </w:t>
      </w:r>
      <w:r>
        <w:rPr>
          <w:sz w:val="20"/>
        </w:rPr>
        <w:t>review</w:t>
      </w:r>
      <w:r>
        <w:rPr>
          <w:spacing w:val="-11"/>
          <w:sz w:val="20"/>
        </w:rPr>
        <w:t> </w:t>
      </w:r>
      <w:r>
        <w:rPr>
          <w:sz w:val="20"/>
        </w:rPr>
        <w:t>or</w:t>
      </w:r>
      <w:r>
        <w:rPr>
          <w:spacing w:val="-8"/>
          <w:sz w:val="20"/>
        </w:rPr>
        <w:t> </w:t>
      </w:r>
      <w:r>
        <w:rPr>
          <w:sz w:val="20"/>
        </w:rPr>
        <w:t>did</w:t>
      </w:r>
      <w:r>
        <w:rPr>
          <w:spacing w:val="-9"/>
          <w:sz w:val="20"/>
        </w:rPr>
        <w:t> </w:t>
      </w:r>
      <w:r>
        <w:rPr>
          <w:sz w:val="20"/>
        </w:rPr>
        <w:t>not</w:t>
      </w:r>
      <w:r>
        <w:rPr>
          <w:spacing w:val="-8"/>
          <w:sz w:val="20"/>
        </w:rPr>
        <w:t> </w:t>
      </w:r>
      <w:r>
        <w:rPr>
          <w:sz w:val="20"/>
        </w:rPr>
        <w:t>reach</w:t>
      </w:r>
      <w:r>
        <w:rPr>
          <w:spacing w:val="-9"/>
          <w:sz w:val="20"/>
        </w:rPr>
        <w:t> </w:t>
      </w:r>
      <w:r>
        <w:rPr>
          <w:sz w:val="20"/>
        </w:rPr>
        <w:t>a</w:t>
      </w:r>
      <w:r>
        <w:rPr>
          <w:spacing w:val="-9"/>
          <w:sz w:val="20"/>
        </w:rPr>
        <w:t> </w:t>
      </w:r>
      <w:r>
        <w:rPr>
          <w:sz w:val="20"/>
        </w:rPr>
        <w:t>conclusion</w:t>
      </w:r>
      <w:r>
        <w:rPr>
          <w:spacing w:val="-8"/>
          <w:sz w:val="20"/>
        </w:rPr>
        <w:t> </w:t>
      </w:r>
      <w:r>
        <w:rPr>
          <w:sz w:val="20"/>
        </w:rPr>
        <w:t>as a result of such a</w:t>
      </w:r>
      <w:r>
        <w:rPr>
          <w:spacing w:val="-3"/>
          <w:sz w:val="20"/>
        </w:rPr>
        <w:t> </w:t>
      </w:r>
      <w:r>
        <w:rPr>
          <w:sz w:val="20"/>
        </w:rPr>
        <w:t>review;</w:t>
      </w:r>
    </w:p>
    <w:p>
      <w:pPr>
        <w:pStyle w:val="ListParagraph"/>
        <w:numPr>
          <w:ilvl w:val="1"/>
          <w:numId w:val="13"/>
        </w:numPr>
        <w:tabs>
          <w:tab w:pos="1785" w:val="left" w:leader="none"/>
        </w:tabs>
        <w:spacing w:line="266" w:lineRule="auto" w:before="49" w:after="0"/>
        <w:ind w:left="1784" w:right="494" w:hanging="360"/>
        <w:jc w:val="both"/>
        <w:rPr>
          <w:sz w:val="20"/>
        </w:rPr>
      </w:pPr>
      <w:r>
        <w:rPr>
          <w:sz w:val="20"/>
        </w:rPr>
        <w:t>the lead tax administration has conducted an initial review and concluded a panel review is needed;</w:t>
      </w:r>
    </w:p>
    <w:p>
      <w:pPr>
        <w:pStyle w:val="ListParagraph"/>
        <w:numPr>
          <w:ilvl w:val="1"/>
          <w:numId w:val="13"/>
        </w:numPr>
        <w:tabs>
          <w:tab w:pos="1785" w:val="left" w:leader="none"/>
        </w:tabs>
        <w:spacing w:line="268" w:lineRule="auto" w:before="54" w:after="0"/>
        <w:ind w:left="1784" w:right="484" w:hanging="360"/>
        <w:jc w:val="both"/>
        <w:rPr>
          <w:sz w:val="20"/>
        </w:rPr>
      </w:pPr>
      <w:r>
        <w:rPr>
          <w:sz w:val="20"/>
        </w:rPr>
        <w:t>any affected tax administration has submitted a proposal that a panel review be conducted together with an explanation of its specific concerns and this proposal has not been subsequently withdrawn;</w:t>
      </w:r>
      <w:r>
        <w:rPr>
          <w:spacing w:val="-4"/>
          <w:sz w:val="20"/>
        </w:rPr>
        <w:t> </w:t>
      </w:r>
      <w:r>
        <w:rPr>
          <w:sz w:val="20"/>
        </w:rPr>
        <w:t>or</w:t>
      </w:r>
    </w:p>
    <w:p>
      <w:pPr>
        <w:pStyle w:val="ListParagraph"/>
        <w:numPr>
          <w:ilvl w:val="1"/>
          <w:numId w:val="13"/>
        </w:numPr>
        <w:tabs>
          <w:tab w:pos="1785" w:val="left" w:leader="none"/>
        </w:tabs>
        <w:spacing w:line="271" w:lineRule="auto" w:before="50" w:after="0"/>
        <w:ind w:left="1784" w:right="486" w:hanging="360"/>
        <w:jc w:val="both"/>
        <w:rPr>
          <w:sz w:val="20"/>
        </w:rPr>
      </w:pPr>
      <w:r>
        <w:rPr>
          <w:sz w:val="20"/>
        </w:rPr>
        <w:t>[three</w:t>
      </w:r>
      <w:r>
        <w:rPr>
          <w:spacing w:val="-15"/>
          <w:sz w:val="20"/>
        </w:rPr>
        <w:t> </w:t>
      </w:r>
      <w:r>
        <w:rPr>
          <w:sz w:val="20"/>
        </w:rPr>
        <w:t>or</w:t>
      </w:r>
      <w:r>
        <w:rPr>
          <w:spacing w:val="-13"/>
          <w:sz w:val="20"/>
        </w:rPr>
        <w:t> </w:t>
      </w:r>
      <w:r>
        <w:rPr>
          <w:sz w:val="20"/>
        </w:rPr>
        <w:t>more]</w:t>
      </w:r>
      <w:r>
        <w:rPr>
          <w:spacing w:val="-14"/>
          <w:sz w:val="20"/>
        </w:rPr>
        <w:t> </w:t>
      </w:r>
      <w:r>
        <w:rPr>
          <w:sz w:val="20"/>
        </w:rPr>
        <w:t>affected</w:t>
      </w:r>
      <w:r>
        <w:rPr>
          <w:spacing w:val="-14"/>
          <w:sz w:val="20"/>
        </w:rPr>
        <w:t> </w:t>
      </w:r>
      <w:r>
        <w:rPr>
          <w:sz w:val="20"/>
        </w:rPr>
        <w:t>tax</w:t>
      </w:r>
      <w:r>
        <w:rPr>
          <w:spacing w:val="-13"/>
          <w:sz w:val="20"/>
        </w:rPr>
        <w:t> </w:t>
      </w:r>
      <w:r>
        <w:rPr>
          <w:sz w:val="20"/>
        </w:rPr>
        <w:t>administrations</w:t>
      </w:r>
      <w:r>
        <w:rPr>
          <w:spacing w:val="-14"/>
          <w:sz w:val="20"/>
        </w:rPr>
        <w:t> </w:t>
      </w:r>
      <w:r>
        <w:rPr>
          <w:sz w:val="20"/>
        </w:rPr>
        <w:t>have</w:t>
      </w:r>
      <w:r>
        <w:rPr>
          <w:spacing w:val="-14"/>
          <w:sz w:val="20"/>
        </w:rPr>
        <w:t> </w:t>
      </w:r>
      <w:r>
        <w:rPr>
          <w:sz w:val="20"/>
        </w:rPr>
        <w:t>indicated</w:t>
      </w:r>
      <w:r>
        <w:rPr>
          <w:spacing w:val="-14"/>
          <w:sz w:val="20"/>
        </w:rPr>
        <w:t> </w:t>
      </w:r>
      <w:r>
        <w:rPr>
          <w:sz w:val="20"/>
        </w:rPr>
        <w:t>a</w:t>
      </w:r>
      <w:r>
        <w:rPr>
          <w:spacing w:val="-14"/>
          <w:sz w:val="20"/>
        </w:rPr>
        <w:t> </w:t>
      </w:r>
      <w:r>
        <w:rPr>
          <w:sz w:val="20"/>
        </w:rPr>
        <w:t>preference</w:t>
      </w:r>
      <w:r>
        <w:rPr>
          <w:spacing w:val="-14"/>
          <w:sz w:val="20"/>
        </w:rPr>
        <w:t> </w:t>
      </w:r>
      <w:r>
        <w:rPr>
          <w:sz w:val="20"/>
        </w:rPr>
        <w:t>that</w:t>
      </w:r>
      <w:r>
        <w:rPr>
          <w:spacing w:val="-14"/>
          <w:sz w:val="20"/>
        </w:rPr>
        <w:t> </w:t>
      </w:r>
      <w:r>
        <w:rPr>
          <w:sz w:val="20"/>
        </w:rPr>
        <w:t>a</w:t>
      </w:r>
      <w:r>
        <w:rPr>
          <w:spacing w:val="-15"/>
          <w:sz w:val="20"/>
        </w:rPr>
        <w:t> </w:t>
      </w:r>
      <w:r>
        <w:rPr>
          <w:sz w:val="20"/>
        </w:rPr>
        <w:t>panel</w:t>
      </w:r>
      <w:r>
        <w:rPr>
          <w:spacing w:val="-12"/>
          <w:sz w:val="20"/>
        </w:rPr>
        <w:t> </w:t>
      </w:r>
      <w:r>
        <w:rPr>
          <w:sz w:val="20"/>
        </w:rPr>
        <w:t>be</w:t>
      </w:r>
      <w:r>
        <w:rPr>
          <w:spacing w:val="-14"/>
          <w:sz w:val="20"/>
        </w:rPr>
        <w:t> </w:t>
      </w:r>
      <w:r>
        <w:rPr>
          <w:sz w:val="20"/>
        </w:rPr>
        <w:t>formed (this number may be reduced where an MNE group has constituent entities in a very small number of jurisdictions). Alternatively, rather than an absolute number, this option could be based</w:t>
      </w:r>
      <w:r>
        <w:rPr>
          <w:spacing w:val="-4"/>
          <w:sz w:val="20"/>
        </w:rPr>
        <w:t> </w:t>
      </w:r>
      <w:r>
        <w:rPr>
          <w:sz w:val="20"/>
        </w:rPr>
        <w:t>upon</w:t>
      </w:r>
      <w:r>
        <w:rPr>
          <w:spacing w:val="-4"/>
          <w:sz w:val="20"/>
        </w:rPr>
        <w:t> </w:t>
      </w:r>
      <w:r>
        <w:rPr>
          <w:sz w:val="20"/>
        </w:rPr>
        <w:t>a</w:t>
      </w:r>
      <w:r>
        <w:rPr>
          <w:spacing w:val="-6"/>
          <w:sz w:val="20"/>
        </w:rPr>
        <w:t> </w:t>
      </w:r>
      <w:r>
        <w:rPr>
          <w:sz w:val="20"/>
        </w:rPr>
        <w:t>minimum</w:t>
      </w:r>
      <w:r>
        <w:rPr>
          <w:spacing w:val="-1"/>
          <w:sz w:val="20"/>
        </w:rPr>
        <w:t> </w:t>
      </w:r>
      <w:r>
        <w:rPr>
          <w:sz w:val="20"/>
        </w:rPr>
        <w:t>percentage</w:t>
      </w:r>
      <w:r>
        <w:rPr>
          <w:spacing w:val="-6"/>
          <w:sz w:val="20"/>
        </w:rPr>
        <w:t> </w:t>
      </w:r>
      <w:r>
        <w:rPr>
          <w:sz w:val="20"/>
        </w:rPr>
        <w:t>of</w:t>
      </w:r>
      <w:r>
        <w:rPr>
          <w:spacing w:val="-4"/>
          <w:sz w:val="20"/>
        </w:rPr>
        <w:t> </w:t>
      </w:r>
      <w:r>
        <w:rPr>
          <w:sz w:val="20"/>
        </w:rPr>
        <w:t>affected</w:t>
      </w:r>
      <w:r>
        <w:rPr>
          <w:spacing w:val="-6"/>
          <w:sz w:val="20"/>
        </w:rPr>
        <w:t> </w:t>
      </w:r>
      <w:r>
        <w:rPr>
          <w:sz w:val="20"/>
        </w:rPr>
        <w:t>tax</w:t>
      </w:r>
      <w:r>
        <w:rPr>
          <w:spacing w:val="-5"/>
          <w:sz w:val="20"/>
        </w:rPr>
        <w:t> </w:t>
      </w:r>
      <w:r>
        <w:rPr>
          <w:sz w:val="20"/>
        </w:rPr>
        <w:t>administrations,</w:t>
      </w:r>
      <w:r>
        <w:rPr>
          <w:spacing w:val="-3"/>
          <w:sz w:val="20"/>
        </w:rPr>
        <w:t> </w:t>
      </w:r>
      <w:r>
        <w:rPr>
          <w:sz w:val="20"/>
        </w:rPr>
        <w:t>which</w:t>
      </w:r>
      <w:r>
        <w:rPr>
          <w:spacing w:val="-4"/>
          <w:sz w:val="20"/>
        </w:rPr>
        <w:t> </w:t>
      </w:r>
      <w:r>
        <w:rPr>
          <w:sz w:val="20"/>
        </w:rPr>
        <w:t>may</w:t>
      </w:r>
      <w:r>
        <w:rPr>
          <w:spacing w:val="-9"/>
          <w:sz w:val="20"/>
        </w:rPr>
        <w:t> </w:t>
      </w:r>
      <w:r>
        <w:rPr>
          <w:sz w:val="20"/>
        </w:rPr>
        <w:t>be</w:t>
      </w:r>
      <w:r>
        <w:rPr>
          <w:spacing w:val="-4"/>
          <w:sz w:val="20"/>
        </w:rPr>
        <w:t> </w:t>
      </w:r>
      <w:r>
        <w:rPr>
          <w:sz w:val="20"/>
        </w:rPr>
        <w:t>subject</w:t>
      </w:r>
      <w:r>
        <w:rPr>
          <w:spacing w:val="-5"/>
          <w:sz w:val="20"/>
        </w:rPr>
        <w:t> </w:t>
      </w:r>
      <w:r>
        <w:rPr>
          <w:sz w:val="20"/>
        </w:rPr>
        <w:t>to</w:t>
      </w:r>
      <w:r>
        <w:rPr>
          <w:spacing w:val="-6"/>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8"/>
        <w:jc w:val="both"/>
      </w:pPr>
      <w:r>
        <w:rPr>
          <w:i/>
        </w:rPr>
        <w:t>de minimis </w:t>
      </w:r>
      <w:r>
        <w:rPr/>
        <w:t>number (e.g. at least five per cent of affected tax administrations subject to a minimum of three).</w:t>
      </w:r>
    </w:p>
    <w:p>
      <w:pPr>
        <w:pStyle w:val="ListParagraph"/>
        <w:numPr>
          <w:ilvl w:val="0"/>
          <w:numId w:val="13"/>
        </w:numPr>
        <w:tabs>
          <w:tab w:pos="1444" w:val="left" w:leader="none"/>
        </w:tabs>
        <w:spacing w:line="271" w:lineRule="auto" w:before="126" w:after="0"/>
        <w:ind w:left="723" w:right="480" w:firstLine="0"/>
        <w:jc w:val="both"/>
        <w:rPr>
          <w:sz w:val="20"/>
        </w:rPr>
      </w:pPr>
      <w:r>
        <w:rPr>
          <w:sz w:val="20"/>
        </w:rPr>
        <w:t>Further work will consider whether a panel should be formed in each of the above scenarios, or if modifications to these scenarios should be made. Where none of these conditions are met and a review panel is not to be established, the lead tax administration will inform the MNE group that the position set out</w:t>
      </w:r>
      <w:r>
        <w:rPr>
          <w:spacing w:val="-7"/>
          <w:sz w:val="20"/>
        </w:rPr>
        <w:t> </w:t>
      </w:r>
      <w:r>
        <w:rPr>
          <w:sz w:val="20"/>
        </w:rPr>
        <w:t>in</w:t>
      </w:r>
      <w:r>
        <w:rPr>
          <w:spacing w:val="-7"/>
          <w:sz w:val="20"/>
        </w:rPr>
        <w:t> </w:t>
      </w:r>
      <w:r>
        <w:rPr>
          <w:sz w:val="20"/>
        </w:rPr>
        <w:t>its</w:t>
      </w:r>
      <w:r>
        <w:rPr>
          <w:spacing w:val="-8"/>
          <w:sz w:val="20"/>
        </w:rPr>
        <w:t> </w:t>
      </w:r>
      <w:r>
        <w:rPr>
          <w:sz w:val="20"/>
        </w:rPr>
        <w:t>self-assessment</w:t>
      </w:r>
      <w:r>
        <w:rPr>
          <w:spacing w:val="-10"/>
          <w:sz w:val="20"/>
        </w:rPr>
        <w:t> </w:t>
      </w:r>
      <w:r>
        <w:rPr>
          <w:sz w:val="20"/>
        </w:rPr>
        <w:t>(reflecting</w:t>
      </w:r>
      <w:r>
        <w:rPr>
          <w:spacing w:val="-7"/>
          <w:sz w:val="20"/>
        </w:rPr>
        <w:t> </w:t>
      </w:r>
      <w:r>
        <w:rPr>
          <w:sz w:val="20"/>
        </w:rPr>
        <w:t>any</w:t>
      </w:r>
      <w:r>
        <w:rPr>
          <w:spacing w:val="-10"/>
          <w:sz w:val="20"/>
        </w:rPr>
        <w:t> </w:t>
      </w:r>
      <w:r>
        <w:rPr>
          <w:sz w:val="20"/>
        </w:rPr>
        <w:t>agreed</w:t>
      </w:r>
      <w:r>
        <w:rPr>
          <w:spacing w:val="-9"/>
          <w:sz w:val="20"/>
        </w:rPr>
        <w:t> </w:t>
      </w:r>
      <w:r>
        <w:rPr>
          <w:sz w:val="20"/>
        </w:rPr>
        <w:t>changes)</w:t>
      </w:r>
      <w:r>
        <w:rPr>
          <w:spacing w:val="-9"/>
          <w:sz w:val="20"/>
        </w:rPr>
        <w:t> </w:t>
      </w:r>
      <w:r>
        <w:rPr>
          <w:sz w:val="20"/>
        </w:rPr>
        <w:t>is</w:t>
      </w:r>
      <w:r>
        <w:rPr>
          <w:spacing w:val="-8"/>
          <w:sz w:val="20"/>
        </w:rPr>
        <w:t> </w:t>
      </w:r>
      <w:r>
        <w:rPr>
          <w:sz w:val="20"/>
        </w:rPr>
        <w:t>accepted.</w:t>
      </w:r>
      <w:r>
        <w:rPr>
          <w:spacing w:val="-9"/>
          <w:sz w:val="20"/>
        </w:rPr>
        <w:t> </w:t>
      </w:r>
      <w:r>
        <w:rPr>
          <w:sz w:val="20"/>
        </w:rPr>
        <w:t>This</w:t>
      </w:r>
      <w:r>
        <w:rPr>
          <w:spacing w:val="-8"/>
          <w:sz w:val="20"/>
        </w:rPr>
        <w:t> </w:t>
      </w:r>
      <w:r>
        <w:rPr>
          <w:sz w:val="20"/>
        </w:rPr>
        <w:t>position</w:t>
      </w:r>
      <w:r>
        <w:rPr>
          <w:spacing w:val="-10"/>
          <w:sz w:val="20"/>
        </w:rPr>
        <w:t> </w:t>
      </w:r>
      <w:r>
        <w:rPr>
          <w:sz w:val="20"/>
        </w:rPr>
        <w:t>is</w:t>
      </w:r>
      <w:r>
        <w:rPr>
          <w:spacing w:val="-8"/>
          <w:sz w:val="20"/>
        </w:rPr>
        <w:t> </w:t>
      </w:r>
      <w:r>
        <w:rPr>
          <w:sz w:val="20"/>
        </w:rPr>
        <w:t>then</w:t>
      </w:r>
      <w:r>
        <w:rPr>
          <w:spacing w:val="-7"/>
          <w:sz w:val="20"/>
        </w:rPr>
        <w:t> </w:t>
      </w:r>
      <w:r>
        <w:rPr>
          <w:sz w:val="20"/>
        </w:rPr>
        <w:t>binding</w:t>
      </w:r>
      <w:r>
        <w:rPr>
          <w:spacing w:val="-7"/>
          <w:sz w:val="20"/>
        </w:rPr>
        <w:t> </w:t>
      </w:r>
      <w:r>
        <w:rPr>
          <w:sz w:val="20"/>
        </w:rPr>
        <w:t>on</w:t>
      </w:r>
      <w:r>
        <w:rPr>
          <w:spacing w:val="-8"/>
          <w:sz w:val="20"/>
        </w:rPr>
        <w:t> </w:t>
      </w:r>
      <w:r>
        <w:rPr>
          <w:sz w:val="20"/>
        </w:rPr>
        <w:t>the MNE group’s constituent entities and on tax administrations in all Inclusive Framework member jurisdictions.</w:t>
      </w:r>
      <w:r>
        <w:rPr>
          <w:spacing w:val="-7"/>
          <w:sz w:val="20"/>
        </w:rPr>
        <w:t> </w:t>
      </w:r>
      <w:r>
        <w:rPr>
          <w:sz w:val="20"/>
        </w:rPr>
        <w:t>Tax</w:t>
      </w:r>
      <w:r>
        <w:rPr>
          <w:spacing w:val="-7"/>
          <w:sz w:val="20"/>
        </w:rPr>
        <w:t> </w:t>
      </w:r>
      <w:r>
        <w:rPr>
          <w:sz w:val="20"/>
        </w:rPr>
        <w:t>administrations</w:t>
      </w:r>
      <w:r>
        <w:rPr>
          <w:spacing w:val="-7"/>
          <w:sz w:val="20"/>
        </w:rPr>
        <w:t> </w:t>
      </w:r>
      <w:r>
        <w:rPr>
          <w:sz w:val="20"/>
        </w:rPr>
        <w:t>should</w:t>
      </w:r>
      <w:r>
        <w:rPr>
          <w:spacing w:val="-8"/>
          <w:sz w:val="20"/>
        </w:rPr>
        <w:t> </w:t>
      </w:r>
      <w:r>
        <w:rPr>
          <w:sz w:val="20"/>
        </w:rPr>
        <w:t>undertake</w:t>
      </w:r>
      <w:r>
        <w:rPr>
          <w:spacing w:val="-8"/>
          <w:sz w:val="20"/>
        </w:rPr>
        <w:t> </w:t>
      </w:r>
      <w:r>
        <w:rPr>
          <w:sz w:val="20"/>
        </w:rPr>
        <w:t>any</w:t>
      </w:r>
      <w:r>
        <w:rPr>
          <w:spacing w:val="-11"/>
          <w:sz w:val="20"/>
        </w:rPr>
        <w:t> </w:t>
      </w:r>
      <w:r>
        <w:rPr>
          <w:sz w:val="20"/>
        </w:rPr>
        <w:t>steps</w:t>
      </w:r>
      <w:r>
        <w:rPr>
          <w:spacing w:val="-6"/>
          <w:sz w:val="20"/>
        </w:rPr>
        <w:t> </w:t>
      </w:r>
      <w:r>
        <w:rPr>
          <w:sz w:val="20"/>
        </w:rPr>
        <w:t>needed</w:t>
      </w:r>
      <w:r>
        <w:rPr>
          <w:spacing w:val="-8"/>
          <w:sz w:val="20"/>
        </w:rPr>
        <w:t> </w:t>
      </w:r>
      <w:r>
        <w:rPr>
          <w:sz w:val="20"/>
        </w:rPr>
        <w:t>in</w:t>
      </w:r>
      <w:r>
        <w:rPr>
          <w:spacing w:val="-8"/>
          <w:sz w:val="20"/>
        </w:rPr>
        <w:t> </w:t>
      </w:r>
      <w:r>
        <w:rPr>
          <w:sz w:val="20"/>
        </w:rPr>
        <w:t>their</w:t>
      </w:r>
      <w:r>
        <w:rPr>
          <w:spacing w:val="-7"/>
          <w:sz w:val="20"/>
        </w:rPr>
        <w:t> </w:t>
      </w:r>
      <w:r>
        <w:rPr>
          <w:sz w:val="20"/>
        </w:rPr>
        <w:t>jurisdiction</w:t>
      </w:r>
      <w:r>
        <w:rPr>
          <w:spacing w:val="-8"/>
          <w:sz w:val="20"/>
        </w:rPr>
        <w:t> </w:t>
      </w:r>
      <w:r>
        <w:rPr>
          <w:sz w:val="20"/>
        </w:rPr>
        <w:t>to</w:t>
      </w:r>
      <w:r>
        <w:rPr>
          <w:spacing w:val="-5"/>
          <w:sz w:val="20"/>
        </w:rPr>
        <w:t> </w:t>
      </w:r>
      <w:r>
        <w:rPr>
          <w:sz w:val="20"/>
        </w:rPr>
        <w:t>implement</w:t>
      </w:r>
      <w:r>
        <w:rPr>
          <w:spacing w:val="-7"/>
          <w:sz w:val="20"/>
        </w:rPr>
        <w:t> </w:t>
      </w:r>
      <w:r>
        <w:rPr>
          <w:sz w:val="20"/>
        </w:rPr>
        <w:t>this assessment. Further discussions will consider issues that tax administrations may encounter in implementing the outcomes of a mandatory binding process, with domestic law issues dealt with by each jurisdiction as necessary, to ensure implementation of these outcomes. These discussions will also consider how the outcomes of the Amount A certainty process will interact with domestic court decisions or other “binding” rulings in a jurisdiction (e.g. in cases where these</w:t>
      </w:r>
      <w:r>
        <w:rPr>
          <w:spacing w:val="-14"/>
          <w:sz w:val="20"/>
        </w:rPr>
        <w:t> </w:t>
      </w:r>
      <w:r>
        <w:rPr>
          <w:sz w:val="20"/>
        </w:rPr>
        <w:t>conflict).</w:t>
      </w:r>
    </w:p>
    <w:p>
      <w:pPr>
        <w:pStyle w:val="ListParagraph"/>
        <w:numPr>
          <w:ilvl w:val="0"/>
          <w:numId w:val="13"/>
        </w:numPr>
        <w:tabs>
          <w:tab w:pos="1444" w:val="left" w:leader="none"/>
        </w:tabs>
        <w:spacing w:line="271" w:lineRule="auto" w:before="123" w:after="0"/>
        <w:ind w:left="723" w:right="479" w:firstLine="0"/>
        <w:jc w:val="both"/>
        <w:rPr>
          <w:sz w:val="20"/>
        </w:rPr>
      </w:pPr>
      <w:r>
        <w:rPr>
          <w:sz w:val="20"/>
        </w:rPr>
        <w:t>In the event that any constituent entity in an MNE group subsequently seeks to reduce its liability to Amount A tax via domestic remedies, the tax administration in the relevant jurisdiction will inform the lead</w:t>
      </w:r>
      <w:r>
        <w:rPr>
          <w:spacing w:val="-7"/>
          <w:sz w:val="20"/>
        </w:rPr>
        <w:t> </w:t>
      </w:r>
      <w:r>
        <w:rPr>
          <w:sz w:val="20"/>
        </w:rPr>
        <w:t>tax</w:t>
      </w:r>
      <w:r>
        <w:rPr>
          <w:spacing w:val="-6"/>
          <w:sz w:val="20"/>
        </w:rPr>
        <w:t> </w:t>
      </w:r>
      <w:r>
        <w:rPr>
          <w:sz w:val="20"/>
        </w:rPr>
        <w:t>administration</w:t>
      </w:r>
      <w:r>
        <w:rPr>
          <w:spacing w:val="-7"/>
          <w:sz w:val="20"/>
        </w:rPr>
        <w:t> </w:t>
      </w:r>
      <w:r>
        <w:rPr>
          <w:sz w:val="20"/>
        </w:rPr>
        <w:t>and</w:t>
      </w:r>
      <w:r>
        <w:rPr>
          <w:spacing w:val="-4"/>
          <w:sz w:val="20"/>
        </w:rPr>
        <w:t> </w:t>
      </w:r>
      <w:r>
        <w:rPr>
          <w:sz w:val="20"/>
        </w:rPr>
        <w:t>other</w:t>
      </w:r>
      <w:r>
        <w:rPr>
          <w:spacing w:val="-6"/>
          <w:sz w:val="20"/>
        </w:rPr>
        <w:t> </w:t>
      </w:r>
      <w:r>
        <w:rPr>
          <w:sz w:val="20"/>
        </w:rPr>
        <w:t>affected</w:t>
      </w:r>
      <w:r>
        <w:rPr>
          <w:spacing w:val="-7"/>
          <w:sz w:val="20"/>
        </w:rPr>
        <w:t> </w:t>
      </w:r>
      <w:r>
        <w:rPr>
          <w:sz w:val="20"/>
        </w:rPr>
        <w:t>tax</w:t>
      </w:r>
      <w:r>
        <w:rPr>
          <w:spacing w:val="-5"/>
          <w:sz w:val="20"/>
        </w:rPr>
        <w:t> </w:t>
      </w:r>
      <w:r>
        <w:rPr>
          <w:sz w:val="20"/>
        </w:rPr>
        <w:t>administrations</w:t>
      </w:r>
      <w:r>
        <w:rPr>
          <w:spacing w:val="-6"/>
          <w:sz w:val="20"/>
        </w:rPr>
        <w:t> </w:t>
      </w:r>
      <w:r>
        <w:rPr>
          <w:sz w:val="20"/>
        </w:rPr>
        <w:t>that</w:t>
      </w:r>
      <w:r>
        <w:rPr>
          <w:spacing w:val="-6"/>
          <w:sz w:val="20"/>
        </w:rPr>
        <w:t> </w:t>
      </w:r>
      <w:r>
        <w:rPr>
          <w:sz w:val="20"/>
        </w:rPr>
        <w:t>the</w:t>
      </w:r>
      <w:r>
        <w:rPr>
          <w:spacing w:val="-5"/>
          <w:sz w:val="20"/>
        </w:rPr>
        <w:t> </w:t>
      </w:r>
      <w:r>
        <w:rPr>
          <w:sz w:val="20"/>
        </w:rPr>
        <w:t>MNE</w:t>
      </w:r>
      <w:r>
        <w:rPr>
          <w:spacing w:val="-6"/>
          <w:sz w:val="20"/>
        </w:rPr>
        <w:t> </w:t>
      </w:r>
      <w:r>
        <w:rPr>
          <w:sz w:val="20"/>
        </w:rPr>
        <w:t>group</w:t>
      </w:r>
      <w:r>
        <w:rPr>
          <w:spacing w:val="-5"/>
          <w:sz w:val="20"/>
        </w:rPr>
        <w:t> </w:t>
      </w:r>
      <w:r>
        <w:rPr>
          <w:sz w:val="20"/>
        </w:rPr>
        <w:t>is</w:t>
      </w:r>
      <w:r>
        <w:rPr>
          <w:spacing w:val="-5"/>
          <w:sz w:val="20"/>
        </w:rPr>
        <w:t> </w:t>
      </w:r>
      <w:r>
        <w:rPr>
          <w:sz w:val="20"/>
        </w:rPr>
        <w:t>not</w:t>
      </w:r>
      <w:r>
        <w:rPr>
          <w:spacing w:val="-6"/>
          <w:sz w:val="20"/>
        </w:rPr>
        <w:t> </w:t>
      </w:r>
      <w:r>
        <w:rPr>
          <w:sz w:val="20"/>
        </w:rPr>
        <w:t>complying</w:t>
      </w:r>
      <w:r>
        <w:rPr>
          <w:spacing w:val="-4"/>
          <w:sz w:val="20"/>
        </w:rPr>
        <w:t> </w:t>
      </w:r>
      <w:r>
        <w:rPr>
          <w:sz w:val="20"/>
        </w:rPr>
        <w:t>with</w:t>
      </w:r>
      <w:r>
        <w:rPr>
          <w:spacing w:val="-4"/>
          <w:sz w:val="20"/>
        </w:rPr>
        <w:t> </w:t>
      </w:r>
      <w:r>
        <w:rPr>
          <w:sz w:val="20"/>
        </w:rPr>
        <w:t>its commitments</w:t>
      </w:r>
      <w:r>
        <w:rPr>
          <w:spacing w:val="-8"/>
          <w:sz w:val="20"/>
        </w:rPr>
        <w:t> </w:t>
      </w:r>
      <w:r>
        <w:rPr>
          <w:sz w:val="20"/>
        </w:rPr>
        <w:t>under</w:t>
      </w:r>
      <w:r>
        <w:rPr>
          <w:spacing w:val="-8"/>
          <w:sz w:val="20"/>
        </w:rPr>
        <w:t> </w:t>
      </w:r>
      <w:r>
        <w:rPr>
          <w:sz w:val="20"/>
        </w:rPr>
        <w:t>the</w:t>
      </w:r>
      <w:r>
        <w:rPr>
          <w:spacing w:val="-9"/>
          <w:sz w:val="20"/>
        </w:rPr>
        <w:t> </w:t>
      </w:r>
      <w:r>
        <w:rPr>
          <w:sz w:val="20"/>
        </w:rPr>
        <w:t>tax</w:t>
      </w:r>
      <w:r>
        <w:rPr>
          <w:spacing w:val="-6"/>
          <w:sz w:val="20"/>
        </w:rPr>
        <w:t> </w:t>
      </w:r>
      <w:r>
        <w:rPr>
          <w:sz w:val="20"/>
        </w:rPr>
        <w:t>certainty</w:t>
      </w:r>
      <w:r>
        <w:rPr>
          <w:spacing w:val="-12"/>
          <w:sz w:val="20"/>
        </w:rPr>
        <w:t> </w:t>
      </w:r>
      <w:r>
        <w:rPr>
          <w:sz w:val="20"/>
        </w:rPr>
        <w:t>process.</w:t>
      </w:r>
      <w:r>
        <w:rPr>
          <w:spacing w:val="-8"/>
          <w:sz w:val="20"/>
        </w:rPr>
        <w:t> </w:t>
      </w:r>
      <w:r>
        <w:rPr>
          <w:sz w:val="20"/>
        </w:rPr>
        <w:t>This</w:t>
      </w:r>
      <w:r>
        <w:rPr>
          <w:spacing w:val="-8"/>
          <w:sz w:val="20"/>
        </w:rPr>
        <w:t> </w:t>
      </w:r>
      <w:r>
        <w:rPr>
          <w:sz w:val="20"/>
        </w:rPr>
        <w:t>will</w:t>
      </w:r>
      <w:r>
        <w:rPr>
          <w:spacing w:val="-10"/>
          <w:sz w:val="20"/>
        </w:rPr>
        <w:t> </w:t>
      </w:r>
      <w:r>
        <w:rPr>
          <w:sz w:val="20"/>
        </w:rPr>
        <w:t>be</w:t>
      </w:r>
      <w:r>
        <w:rPr>
          <w:spacing w:val="-9"/>
          <w:sz w:val="20"/>
        </w:rPr>
        <w:t> </w:t>
      </w:r>
      <w:r>
        <w:rPr>
          <w:sz w:val="20"/>
        </w:rPr>
        <w:t>raised</w:t>
      </w:r>
      <w:r>
        <w:rPr>
          <w:spacing w:val="-7"/>
          <w:sz w:val="20"/>
        </w:rPr>
        <w:t> </w:t>
      </w:r>
      <w:r>
        <w:rPr>
          <w:sz w:val="20"/>
        </w:rPr>
        <w:t>with</w:t>
      </w:r>
      <w:r>
        <w:rPr>
          <w:spacing w:val="-8"/>
          <w:sz w:val="20"/>
        </w:rPr>
        <w:t> </w:t>
      </w:r>
      <w:r>
        <w:rPr>
          <w:sz w:val="20"/>
        </w:rPr>
        <w:t>the</w:t>
      </w:r>
      <w:r>
        <w:rPr>
          <w:spacing w:val="-9"/>
          <w:sz w:val="20"/>
        </w:rPr>
        <w:t> </w:t>
      </w:r>
      <w:r>
        <w:rPr>
          <w:sz w:val="20"/>
        </w:rPr>
        <w:t>MNE</w:t>
      </w:r>
      <w:r>
        <w:rPr>
          <w:spacing w:val="-9"/>
          <w:sz w:val="20"/>
        </w:rPr>
        <w:t> </w:t>
      </w:r>
      <w:r>
        <w:rPr>
          <w:sz w:val="20"/>
        </w:rPr>
        <w:t>group’s</w:t>
      </w:r>
      <w:r>
        <w:rPr>
          <w:spacing w:val="-8"/>
          <w:sz w:val="20"/>
        </w:rPr>
        <w:t> </w:t>
      </w:r>
      <w:r>
        <w:rPr>
          <w:sz w:val="20"/>
        </w:rPr>
        <w:t>co-ordinating</w:t>
      </w:r>
      <w:r>
        <w:rPr>
          <w:spacing w:val="-9"/>
          <w:sz w:val="20"/>
        </w:rPr>
        <w:t> </w:t>
      </w:r>
      <w:r>
        <w:rPr>
          <w:sz w:val="20"/>
        </w:rPr>
        <w:t>entity by the lead tax administration and, if this situation is not addressed, affected tax administrations will be informed</w:t>
      </w:r>
      <w:r>
        <w:rPr>
          <w:spacing w:val="-7"/>
          <w:sz w:val="20"/>
        </w:rPr>
        <w:t> </w:t>
      </w:r>
      <w:r>
        <w:rPr>
          <w:sz w:val="20"/>
        </w:rPr>
        <w:t>by</w:t>
      </w:r>
      <w:r>
        <w:rPr>
          <w:spacing w:val="-9"/>
          <w:sz w:val="20"/>
        </w:rPr>
        <w:t> </w:t>
      </w:r>
      <w:r>
        <w:rPr>
          <w:sz w:val="20"/>
        </w:rPr>
        <w:t>the</w:t>
      </w:r>
      <w:r>
        <w:rPr>
          <w:spacing w:val="-5"/>
          <w:sz w:val="20"/>
        </w:rPr>
        <w:t> </w:t>
      </w:r>
      <w:r>
        <w:rPr>
          <w:sz w:val="20"/>
        </w:rPr>
        <w:t>lead</w:t>
      </w:r>
      <w:r>
        <w:rPr>
          <w:spacing w:val="-4"/>
          <w:sz w:val="20"/>
        </w:rPr>
        <w:t> </w:t>
      </w:r>
      <w:r>
        <w:rPr>
          <w:sz w:val="20"/>
        </w:rPr>
        <w:t>tax</w:t>
      </w:r>
      <w:r>
        <w:rPr>
          <w:spacing w:val="-4"/>
          <w:sz w:val="20"/>
        </w:rPr>
        <w:t> </w:t>
      </w:r>
      <w:r>
        <w:rPr>
          <w:sz w:val="20"/>
        </w:rPr>
        <w:t>administration</w:t>
      </w:r>
      <w:r>
        <w:rPr>
          <w:spacing w:val="-5"/>
          <w:sz w:val="20"/>
        </w:rPr>
        <w:t> </w:t>
      </w:r>
      <w:r>
        <w:rPr>
          <w:sz w:val="20"/>
        </w:rPr>
        <w:t>that</w:t>
      </w:r>
      <w:r>
        <w:rPr>
          <w:spacing w:val="-5"/>
          <w:sz w:val="20"/>
        </w:rPr>
        <w:t> </w:t>
      </w:r>
      <w:r>
        <w:rPr>
          <w:sz w:val="20"/>
        </w:rPr>
        <w:t>the</w:t>
      </w:r>
      <w:r>
        <w:rPr>
          <w:spacing w:val="-4"/>
          <w:sz w:val="20"/>
        </w:rPr>
        <w:t> </w:t>
      </w:r>
      <w:r>
        <w:rPr>
          <w:sz w:val="20"/>
        </w:rPr>
        <w:t>binding</w:t>
      </w:r>
      <w:r>
        <w:rPr>
          <w:spacing w:val="-4"/>
          <w:sz w:val="20"/>
        </w:rPr>
        <w:t> </w:t>
      </w:r>
      <w:r>
        <w:rPr>
          <w:sz w:val="20"/>
        </w:rPr>
        <w:t>tax</w:t>
      </w:r>
      <w:r>
        <w:rPr>
          <w:spacing w:val="-6"/>
          <w:sz w:val="20"/>
        </w:rPr>
        <w:t> </w:t>
      </w:r>
      <w:r>
        <w:rPr>
          <w:sz w:val="20"/>
        </w:rPr>
        <w:t>certainty</w:t>
      </w:r>
      <w:r>
        <w:rPr>
          <w:spacing w:val="-6"/>
          <w:sz w:val="20"/>
        </w:rPr>
        <w:t> </w:t>
      </w:r>
      <w:r>
        <w:rPr>
          <w:sz w:val="20"/>
        </w:rPr>
        <w:t>provided</w:t>
      </w:r>
      <w:r>
        <w:rPr>
          <w:spacing w:val="-5"/>
          <w:sz w:val="20"/>
        </w:rPr>
        <w:t> </w:t>
      </w:r>
      <w:r>
        <w:rPr>
          <w:sz w:val="20"/>
        </w:rPr>
        <w:t>to</w:t>
      </w:r>
      <w:r>
        <w:rPr>
          <w:spacing w:val="-3"/>
          <w:sz w:val="20"/>
        </w:rPr>
        <w:t> </w:t>
      </w:r>
      <w:r>
        <w:rPr>
          <w:sz w:val="20"/>
        </w:rPr>
        <w:t>the</w:t>
      </w:r>
      <w:r>
        <w:rPr>
          <w:spacing w:val="-6"/>
          <w:sz w:val="20"/>
        </w:rPr>
        <w:t> </w:t>
      </w:r>
      <w:r>
        <w:rPr>
          <w:sz w:val="20"/>
        </w:rPr>
        <w:t>MNE</w:t>
      </w:r>
      <w:r>
        <w:rPr>
          <w:spacing w:val="-4"/>
          <w:sz w:val="20"/>
        </w:rPr>
        <w:t> </w:t>
      </w:r>
      <w:r>
        <w:rPr>
          <w:sz w:val="20"/>
        </w:rPr>
        <w:t>group</w:t>
      </w:r>
      <w:r>
        <w:rPr>
          <w:spacing w:val="-6"/>
          <w:sz w:val="20"/>
        </w:rPr>
        <w:t> </w:t>
      </w:r>
      <w:r>
        <w:rPr>
          <w:sz w:val="20"/>
        </w:rPr>
        <w:t>no</w:t>
      </w:r>
      <w:r>
        <w:rPr>
          <w:spacing w:val="-4"/>
          <w:sz w:val="20"/>
        </w:rPr>
        <w:t> </w:t>
      </w:r>
      <w:r>
        <w:rPr>
          <w:sz w:val="20"/>
        </w:rPr>
        <w:t>longer applies with respect to the relevant fiscal</w:t>
      </w:r>
      <w:r>
        <w:rPr>
          <w:spacing w:val="-1"/>
          <w:sz w:val="20"/>
        </w:rPr>
        <w:t> </w:t>
      </w:r>
      <w:r>
        <w:rPr>
          <w:sz w:val="20"/>
        </w:rPr>
        <w:t>year.</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It</w:t>
      </w:r>
      <w:r>
        <w:rPr>
          <w:spacing w:val="-6"/>
          <w:sz w:val="20"/>
        </w:rPr>
        <w:t> </w:t>
      </w:r>
      <w:r>
        <w:rPr>
          <w:sz w:val="20"/>
        </w:rPr>
        <w:t>is</w:t>
      </w:r>
      <w:r>
        <w:rPr>
          <w:spacing w:val="-2"/>
          <w:sz w:val="20"/>
        </w:rPr>
        <w:t> </w:t>
      </w:r>
      <w:r>
        <w:rPr>
          <w:sz w:val="20"/>
        </w:rPr>
        <w:t>anticipated</w:t>
      </w:r>
      <w:r>
        <w:rPr>
          <w:spacing w:val="-6"/>
          <w:sz w:val="20"/>
        </w:rPr>
        <w:t> </w:t>
      </w:r>
      <w:r>
        <w:rPr>
          <w:sz w:val="20"/>
        </w:rPr>
        <w:t>that</w:t>
      </w:r>
      <w:r>
        <w:rPr>
          <w:spacing w:val="-3"/>
          <w:sz w:val="20"/>
        </w:rPr>
        <w:t> </w:t>
      </w:r>
      <w:r>
        <w:rPr>
          <w:sz w:val="20"/>
        </w:rPr>
        <w:t>a</w:t>
      </w:r>
      <w:r>
        <w:rPr>
          <w:spacing w:val="-4"/>
          <w:sz w:val="20"/>
        </w:rPr>
        <w:t> </w:t>
      </w:r>
      <w:r>
        <w:rPr>
          <w:sz w:val="20"/>
        </w:rPr>
        <w:t>significant</w:t>
      </w:r>
      <w:r>
        <w:rPr>
          <w:spacing w:val="-5"/>
          <w:sz w:val="20"/>
        </w:rPr>
        <w:t> </w:t>
      </w:r>
      <w:r>
        <w:rPr>
          <w:sz w:val="20"/>
        </w:rPr>
        <w:t>majority</w:t>
      </w:r>
      <w:r>
        <w:rPr>
          <w:spacing w:val="-6"/>
          <w:sz w:val="20"/>
        </w:rPr>
        <w:t> </w:t>
      </w:r>
      <w:r>
        <w:rPr>
          <w:sz w:val="20"/>
        </w:rPr>
        <w:t>of</w:t>
      </w:r>
      <w:r>
        <w:rPr>
          <w:spacing w:val="-4"/>
          <w:sz w:val="20"/>
        </w:rPr>
        <w:t> </w:t>
      </w:r>
      <w:r>
        <w:rPr>
          <w:sz w:val="20"/>
        </w:rPr>
        <w:t>MNE</w:t>
      </w:r>
      <w:r>
        <w:rPr>
          <w:spacing w:val="-6"/>
          <w:sz w:val="20"/>
        </w:rPr>
        <w:t> </w:t>
      </w:r>
      <w:r>
        <w:rPr>
          <w:sz w:val="20"/>
        </w:rPr>
        <w:t>groups</w:t>
      </w:r>
      <w:r>
        <w:rPr>
          <w:spacing w:val="-4"/>
          <w:sz w:val="20"/>
        </w:rPr>
        <w:t> </w:t>
      </w:r>
      <w:r>
        <w:rPr>
          <w:sz w:val="20"/>
        </w:rPr>
        <w:t>within</w:t>
      </w:r>
      <w:r>
        <w:rPr>
          <w:spacing w:val="-4"/>
          <w:sz w:val="20"/>
        </w:rPr>
        <w:t> </w:t>
      </w:r>
      <w:r>
        <w:rPr>
          <w:sz w:val="20"/>
        </w:rPr>
        <w:t>the</w:t>
      </w:r>
      <w:r>
        <w:rPr>
          <w:spacing w:val="-6"/>
          <w:sz w:val="20"/>
        </w:rPr>
        <w:t> </w:t>
      </w:r>
      <w:r>
        <w:rPr>
          <w:sz w:val="20"/>
        </w:rPr>
        <w:t>scope</w:t>
      </w:r>
      <w:r>
        <w:rPr>
          <w:spacing w:val="-6"/>
          <w:sz w:val="20"/>
        </w:rPr>
        <w:t> </w:t>
      </w:r>
      <w:r>
        <w:rPr>
          <w:sz w:val="20"/>
        </w:rPr>
        <w:t>of</w:t>
      </w:r>
      <w:r>
        <w:rPr>
          <w:spacing w:val="-1"/>
          <w:sz w:val="20"/>
        </w:rPr>
        <w:t> </w:t>
      </w:r>
      <w:r>
        <w:rPr>
          <w:sz w:val="20"/>
        </w:rPr>
        <w:t>Amount</w:t>
      </w:r>
      <w:r>
        <w:rPr>
          <w:spacing w:val="-4"/>
          <w:sz w:val="20"/>
        </w:rPr>
        <w:t> </w:t>
      </w:r>
      <w:r>
        <w:rPr>
          <w:sz w:val="20"/>
        </w:rPr>
        <w:t>A</w:t>
      </w:r>
      <w:r>
        <w:rPr>
          <w:spacing w:val="-3"/>
          <w:sz w:val="20"/>
        </w:rPr>
        <w:t> </w:t>
      </w:r>
      <w:r>
        <w:rPr>
          <w:sz w:val="20"/>
        </w:rPr>
        <w:t>will</w:t>
      </w:r>
      <w:r>
        <w:rPr>
          <w:spacing w:val="-6"/>
          <w:sz w:val="20"/>
        </w:rPr>
        <w:t> </w:t>
      </w:r>
      <w:r>
        <w:rPr>
          <w:sz w:val="20"/>
        </w:rPr>
        <w:t>submit a request for tax certainty for the first year(s) following the introduction of the rules. The approach set out in</w:t>
      </w:r>
      <w:r>
        <w:rPr>
          <w:spacing w:val="-13"/>
          <w:sz w:val="20"/>
        </w:rPr>
        <w:t> </w:t>
      </w:r>
      <w:r>
        <w:rPr>
          <w:sz w:val="20"/>
        </w:rPr>
        <w:t>this</w:t>
      </w:r>
      <w:r>
        <w:rPr>
          <w:spacing w:val="-11"/>
          <w:sz w:val="20"/>
        </w:rPr>
        <w:t> </w:t>
      </w:r>
      <w:r>
        <w:rPr>
          <w:sz w:val="20"/>
        </w:rPr>
        <w:t>section</w:t>
      </w:r>
      <w:r>
        <w:rPr>
          <w:spacing w:val="-12"/>
          <w:sz w:val="20"/>
        </w:rPr>
        <w:t> </w:t>
      </w:r>
      <w:r>
        <w:rPr>
          <w:sz w:val="20"/>
        </w:rPr>
        <w:t>could</w:t>
      </w:r>
      <w:r>
        <w:rPr>
          <w:spacing w:val="-10"/>
          <w:sz w:val="20"/>
        </w:rPr>
        <w:t> </w:t>
      </w:r>
      <w:r>
        <w:rPr>
          <w:sz w:val="20"/>
        </w:rPr>
        <w:t>include</w:t>
      </w:r>
      <w:r>
        <w:rPr>
          <w:spacing w:val="-9"/>
          <w:sz w:val="20"/>
        </w:rPr>
        <w:t> </w:t>
      </w:r>
      <w:r>
        <w:rPr>
          <w:sz w:val="20"/>
        </w:rPr>
        <w:t>elements</w:t>
      </w:r>
      <w:r>
        <w:rPr>
          <w:spacing w:val="-11"/>
          <w:sz w:val="20"/>
        </w:rPr>
        <w:t> </w:t>
      </w:r>
      <w:r>
        <w:rPr>
          <w:sz w:val="20"/>
        </w:rPr>
        <w:t>to</w:t>
      </w:r>
      <w:r>
        <w:rPr>
          <w:spacing w:val="-12"/>
          <w:sz w:val="20"/>
        </w:rPr>
        <w:t> </w:t>
      </w:r>
      <w:r>
        <w:rPr>
          <w:sz w:val="20"/>
        </w:rPr>
        <w:t>limit</w:t>
      </w:r>
      <w:r>
        <w:rPr>
          <w:spacing w:val="-12"/>
          <w:sz w:val="20"/>
        </w:rPr>
        <w:t> </w:t>
      </w:r>
      <w:r>
        <w:rPr>
          <w:sz w:val="20"/>
        </w:rPr>
        <w:t>the</w:t>
      </w:r>
      <w:r>
        <w:rPr>
          <w:spacing w:val="-12"/>
          <w:sz w:val="20"/>
        </w:rPr>
        <w:t> </w:t>
      </w:r>
      <w:r>
        <w:rPr>
          <w:sz w:val="20"/>
        </w:rPr>
        <w:t>resources</w:t>
      </w:r>
      <w:r>
        <w:rPr>
          <w:spacing w:val="-11"/>
          <w:sz w:val="20"/>
        </w:rPr>
        <w:t> </w:t>
      </w:r>
      <w:r>
        <w:rPr>
          <w:sz w:val="20"/>
        </w:rPr>
        <w:t>required</w:t>
      </w:r>
      <w:r>
        <w:rPr>
          <w:spacing w:val="-12"/>
          <w:sz w:val="20"/>
        </w:rPr>
        <w:t> </w:t>
      </w:r>
      <w:r>
        <w:rPr>
          <w:sz w:val="20"/>
        </w:rPr>
        <w:t>to</w:t>
      </w:r>
      <w:r>
        <w:rPr>
          <w:spacing w:val="-10"/>
          <w:sz w:val="20"/>
        </w:rPr>
        <w:t> </w:t>
      </w:r>
      <w:r>
        <w:rPr>
          <w:sz w:val="20"/>
        </w:rPr>
        <w:t>undertake</w:t>
      </w:r>
      <w:r>
        <w:rPr>
          <w:spacing w:val="-12"/>
          <w:sz w:val="20"/>
        </w:rPr>
        <w:t> </w:t>
      </w:r>
      <w:r>
        <w:rPr>
          <w:sz w:val="20"/>
        </w:rPr>
        <w:t>panel</w:t>
      </w:r>
      <w:r>
        <w:rPr>
          <w:spacing w:val="-13"/>
          <w:sz w:val="20"/>
        </w:rPr>
        <w:t> </w:t>
      </w:r>
      <w:r>
        <w:rPr>
          <w:sz w:val="20"/>
        </w:rPr>
        <w:t>reviews</w:t>
      </w:r>
      <w:r>
        <w:rPr>
          <w:spacing w:val="-9"/>
          <w:sz w:val="20"/>
        </w:rPr>
        <w:t> </w:t>
      </w:r>
      <w:r>
        <w:rPr>
          <w:sz w:val="20"/>
        </w:rPr>
        <w:t>during</w:t>
      </w:r>
      <w:r>
        <w:rPr>
          <w:spacing w:val="-12"/>
          <w:sz w:val="20"/>
        </w:rPr>
        <w:t> </w:t>
      </w:r>
      <w:r>
        <w:rPr>
          <w:sz w:val="20"/>
        </w:rPr>
        <w:t>this initial period. However, there is a risk that tax administrations will indicate a preference for a panel to be established in all or almost all cases, which could exceed the capacity of tax administrations to undertake these reviews. This may be a particular concern for tax administrations that are commonly lead tax administrations, given the likely concentration of the UPEs of in-scope MNE groups in a reasonably small number</w:t>
      </w:r>
      <w:r>
        <w:rPr>
          <w:spacing w:val="-16"/>
          <w:sz w:val="20"/>
        </w:rPr>
        <w:t> </w:t>
      </w:r>
      <w:r>
        <w:rPr>
          <w:sz w:val="20"/>
        </w:rPr>
        <w:t>of</w:t>
      </w:r>
      <w:r>
        <w:rPr>
          <w:spacing w:val="-14"/>
          <w:sz w:val="20"/>
        </w:rPr>
        <w:t> </w:t>
      </w:r>
      <w:r>
        <w:rPr>
          <w:sz w:val="20"/>
        </w:rPr>
        <w:t>jurisdictions</w:t>
      </w:r>
      <w:r>
        <w:rPr>
          <w:spacing w:val="-12"/>
          <w:sz w:val="20"/>
        </w:rPr>
        <w:t> </w:t>
      </w:r>
      <w:r>
        <w:rPr>
          <w:sz w:val="20"/>
        </w:rPr>
        <w:t>and</w:t>
      </w:r>
      <w:r>
        <w:rPr>
          <w:spacing w:val="-16"/>
          <w:sz w:val="20"/>
        </w:rPr>
        <w:t> </w:t>
      </w:r>
      <w:r>
        <w:rPr>
          <w:sz w:val="20"/>
        </w:rPr>
        <w:t>the</w:t>
      </w:r>
      <w:r>
        <w:rPr>
          <w:spacing w:val="-17"/>
          <w:sz w:val="20"/>
        </w:rPr>
        <w:t> </w:t>
      </w:r>
      <w:r>
        <w:rPr>
          <w:sz w:val="20"/>
        </w:rPr>
        <w:t>need</w:t>
      </w:r>
      <w:r>
        <w:rPr>
          <w:spacing w:val="-14"/>
          <w:sz w:val="20"/>
        </w:rPr>
        <w:t> </w:t>
      </w:r>
      <w:r>
        <w:rPr>
          <w:sz w:val="20"/>
        </w:rPr>
        <w:t>for</w:t>
      </w:r>
      <w:r>
        <w:rPr>
          <w:spacing w:val="-16"/>
          <w:sz w:val="20"/>
        </w:rPr>
        <w:t> </w:t>
      </w:r>
      <w:r>
        <w:rPr>
          <w:sz w:val="20"/>
        </w:rPr>
        <w:t>a</w:t>
      </w:r>
      <w:r>
        <w:rPr>
          <w:spacing w:val="-14"/>
          <w:sz w:val="20"/>
        </w:rPr>
        <w:t> </w:t>
      </w:r>
      <w:r>
        <w:rPr>
          <w:sz w:val="20"/>
        </w:rPr>
        <w:t>lead</w:t>
      </w:r>
      <w:r>
        <w:rPr>
          <w:spacing w:val="-16"/>
          <w:sz w:val="20"/>
        </w:rPr>
        <w:t> </w:t>
      </w:r>
      <w:r>
        <w:rPr>
          <w:sz w:val="20"/>
        </w:rPr>
        <w:t>tax</w:t>
      </w:r>
      <w:r>
        <w:rPr>
          <w:spacing w:val="-13"/>
          <w:sz w:val="20"/>
        </w:rPr>
        <w:t> </w:t>
      </w:r>
      <w:r>
        <w:rPr>
          <w:sz w:val="20"/>
        </w:rPr>
        <w:t>administration</w:t>
      </w:r>
      <w:r>
        <w:rPr>
          <w:spacing w:val="-14"/>
          <w:sz w:val="20"/>
        </w:rPr>
        <w:t> </w:t>
      </w:r>
      <w:r>
        <w:rPr>
          <w:sz w:val="20"/>
        </w:rPr>
        <w:t>to</w:t>
      </w:r>
      <w:r>
        <w:rPr>
          <w:spacing w:val="-17"/>
          <w:sz w:val="20"/>
        </w:rPr>
        <w:t> </w:t>
      </w:r>
      <w:r>
        <w:rPr>
          <w:sz w:val="20"/>
        </w:rPr>
        <w:t>co-ordinate</w:t>
      </w:r>
      <w:r>
        <w:rPr>
          <w:spacing w:val="-14"/>
          <w:sz w:val="20"/>
        </w:rPr>
        <w:t> </w:t>
      </w:r>
      <w:r>
        <w:rPr>
          <w:sz w:val="20"/>
        </w:rPr>
        <w:t>the</w:t>
      </w:r>
      <w:r>
        <w:rPr>
          <w:spacing w:val="-12"/>
          <w:sz w:val="20"/>
        </w:rPr>
        <w:t> </w:t>
      </w:r>
      <w:r>
        <w:rPr>
          <w:sz w:val="20"/>
        </w:rPr>
        <w:t>panel</w:t>
      </w:r>
      <w:r>
        <w:rPr>
          <w:spacing w:val="-17"/>
          <w:sz w:val="20"/>
        </w:rPr>
        <w:t> </w:t>
      </w:r>
      <w:r>
        <w:rPr>
          <w:sz w:val="20"/>
        </w:rPr>
        <w:t>review.</w:t>
      </w:r>
      <w:r>
        <w:rPr>
          <w:spacing w:val="-14"/>
          <w:sz w:val="20"/>
        </w:rPr>
        <w:t> </w:t>
      </w:r>
      <w:r>
        <w:rPr>
          <w:sz w:val="20"/>
        </w:rPr>
        <w:t>However, this</w:t>
      </w:r>
      <w:r>
        <w:rPr>
          <w:spacing w:val="-5"/>
          <w:sz w:val="20"/>
        </w:rPr>
        <w:t> </w:t>
      </w:r>
      <w:r>
        <w:rPr>
          <w:sz w:val="20"/>
        </w:rPr>
        <w:t>situation</w:t>
      </w:r>
      <w:r>
        <w:rPr>
          <w:spacing w:val="-6"/>
          <w:sz w:val="20"/>
        </w:rPr>
        <w:t> </w:t>
      </w:r>
      <w:r>
        <w:rPr>
          <w:sz w:val="20"/>
        </w:rPr>
        <w:t>should</w:t>
      </w:r>
      <w:r>
        <w:rPr>
          <w:spacing w:val="-6"/>
          <w:sz w:val="20"/>
        </w:rPr>
        <w:t> </w:t>
      </w:r>
      <w:r>
        <w:rPr>
          <w:sz w:val="20"/>
        </w:rPr>
        <w:t>not</w:t>
      </w:r>
      <w:r>
        <w:rPr>
          <w:spacing w:val="-4"/>
          <w:sz w:val="20"/>
        </w:rPr>
        <w:t> </w:t>
      </w:r>
      <w:r>
        <w:rPr>
          <w:sz w:val="20"/>
        </w:rPr>
        <w:t>limit</w:t>
      </w:r>
      <w:r>
        <w:rPr>
          <w:spacing w:val="-5"/>
          <w:sz w:val="20"/>
        </w:rPr>
        <w:t> </w:t>
      </w:r>
      <w:r>
        <w:rPr>
          <w:sz w:val="20"/>
        </w:rPr>
        <w:t>the</w:t>
      </w:r>
      <w:r>
        <w:rPr>
          <w:spacing w:val="-4"/>
          <w:sz w:val="20"/>
        </w:rPr>
        <w:t> </w:t>
      </w:r>
      <w:r>
        <w:rPr>
          <w:sz w:val="20"/>
        </w:rPr>
        <w:t>ability</w:t>
      </w:r>
      <w:r>
        <w:rPr>
          <w:spacing w:val="-6"/>
          <w:sz w:val="20"/>
        </w:rPr>
        <w:t> </w:t>
      </w:r>
      <w:r>
        <w:rPr>
          <w:sz w:val="20"/>
        </w:rPr>
        <w:t>of</w:t>
      </w:r>
      <w:r>
        <w:rPr>
          <w:spacing w:val="-4"/>
          <w:sz w:val="20"/>
        </w:rPr>
        <w:t> </w:t>
      </w:r>
      <w:r>
        <w:rPr>
          <w:sz w:val="20"/>
        </w:rPr>
        <w:t>MNE</w:t>
      </w:r>
      <w:r>
        <w:rPr>
          <w:spacing w:val="-6"/>
          <w:sz w:val="20"/>
        </w:rPr>
        <w:t> </w:t>
      </w:r>
      <w:r>
        <w:rPr>
          <w:sz w:val="20"/>
        </w:rPr>
        <w:t>groups</w:t>
      </w:r>
      <w:r>
        <w:rPr>
          <w:spacing w:val="-4"/>
          <w:sz w:val="20"/>
        </w:rPr>
        <w:t> </w:t>
      </w:r>
      <w:r>
        <w:rPr>
          <w:sz w:val="20"/>
        </w:rPr>
        <w:t>to</w:t>
      </w:r>
      <w:r>
        <w:rPr>
          <w:spacing w:val="-6"/>
          <w:sz w:val="20"/>
        </w:rPr>
        <w:t> </w:t>
      </w:r>
      <w:r>
        <w:rPr>
          <w:sz w:val="20"/>
        </w:rPr>
        <w:t>obtain</w:t>
      </w:r>
      <w:r>
        <w:rPr>
          <w:spacing w:val="-6"/>
          <w:sz w:val="20"/>
        </w:rPr>
        <w:t> </w:t>
      </w:r>
      <w:r>
        <w:rPr>
          <w:sz w:val="20"/>
        </w:rPr>
        <w:t>certainty</w:t>
      </w:r>
      <w:r>
        <w:rPr>
          <w:spacing w:val="-9"/>
          <w:sz w:val="20"/>
        </w:rPr>
        <w:t> </w:t>
      </w:r>
      <w:r>
        <w:rPr>
          <w:sz w:val="20"/>
        </w:rPr>
        <w:t>following</w:t>
      </w:r>
      <w:r>
        <w:rPr>
          <w:spacing w:val="-4"/>
          <w:sz w:val="20"/>
        </w:rPr>
        <w:t> </w:t>
      </w:r>
      <w:r>
        <w:rPr>
          <w:sz w:val="20"/>
        </w:rPr>
        <w:t>the</w:t>
      </w:r>
      <w:r>
        <w:rPr>
          <w:spacing w:val="-3"/>
          <w:sz w:val="20"/>
        </w:rPr>
        <w:t> </w:t>
      </w:r>
      <w:r>
        <w:rPr>
          <w:sz w:val="20"/>
        </w:rPr>
        <w:t>introduction</w:t>
      </w:r>
      <w:r>
        <w:rPr>
          <w:spacing w:val="-4"/>
          <w:sz w:val="20"/>
        </w:rPr>
        <w:t> </w:t>
      </w:r>
      <w:r>
        <w:rPr>
          <w:sz w:val="20"/>
        </w:rPr>
        <w:t>of</w:t>
      </w:r>
      <w:r>
        <w:rPr>
          <w:spacing w:val="-4"/>
          <w:sz w:val="20"/>
        </w:rPr>
        <w:t> </w:t>
      </w:r>
      <w:r>
        <w:rPr>
          <w:sz w:val="20"/>
        </w:rPr>
        <w:t>new taxing</w:t>
      </w:r>
      <w:r>
        <w:rPr>
          <w:spacing w:val="-6"/>
          <w:sz w:val="20"/>
        </w:rPr>
        <w:t> </w:t>
      </w:r>
      <w:r>
        <w:rPr>
          <w:sz w:val="20"/>
        </w:rPr>
        <w:t>rights.</w:t>
      </w:r>
      <w:r>
        <w:rPr>
          <w:spacing w:val="-4"/>
          <w:sz w:val="20"/>
        </w:rPr>
        <w:t> </w:t>
      </w:r>
      <w:r>
        <w:rPr>
          <w:sz w:val="20"/>
        </w:rPr>
        <w:t>In</w:t>
      </w:r>
      <w:r>
        <w:rPr>
          <w:spacing w:val="-2"/>
          <w:sz w:val="20"/>
        </w:rPr>
        <w:t> </w:t>
      </w:r>
      <w:r>
        <w:rPr>
          <w:sz w:val="20"/>
        </w:rPr>
        <w:t>light</w:t>
      </w:r>
      <w:r>
        <w:rPr>
          <w:spacing w:val="-5"/>
          <w:sz w:val="20"/>
        </w:rPr>
        <w:t> </w:t>
      </w:r>
      <w:r>
        <w:rPr>
          <w:sz w:val="20"/>
        </w:rPr>
        <w:t>of</w:t>
      </w:r>
      <w:r>
        <w:rPr>
          <w:spacing w:val="-3"/>
          <w:sz w:val="20"/>
        </w:rPr>
        <w:t> </w:t>
      </w:r>
      <w:r>
        <w:rPr>
          <w:sz w:val="20"/>
        </w:rPr>
        <w:t>this</w:t>
      </w:r>
      <w:r>
        <w:rPr>
          <w:spacing w:val="-3"/>
          <w:sz w:val="20"/>
        </w:rPr>
        <w:t> </w:t>
      </w:r>
      <w:r>
        <w:rPr>
          <w:sz w:val="20"/>
        </w:rPr>
        <w:t>challenge,</w:t>
      </w:r>
      <w:r>
        <w:rPr>
          <w:spacing w:val="-5"/>
          <w:sz w:val="20"/>
        </w:rPr>
        <w:t> </w:t>
      </w:r>
      <w:r>
        <w:rPr>
          <w:sz w:val="20"/>
        </w:rPr>
        <w:t>it</w:t>
      </w:r>
      <w:r>
        <w:rPr>
          <w:spacing w:val="-4"/>
          <w:sz w:val="20"/>
        </w:rPr>
        <w:t> </w:t>
      </w:r>
      <w:r>
        <w:rPr>
          <w:sz w:val="20"/>
        </w:rPr>
        <w:t>may</w:t>
      </w:r>
      <w:r>
        <w:rPr>
          <w:spacing w:val="-8"/>
          <w:sz w:val="20"/>
        </w:rPr>
        <w:t> </w:t>
      </w:r>
      <w:r>
        <w:rPr>
          <w:sz w:val="20"/>
        </w:rPr>
        <w:t>also</w:t>
      </w:r>
      <w:r>
        <w:rPr>
          <w:spacing w:val="-4"/>
          <w:sz w:val="20"/>
        </w:rPr>
        <w:t> </w:t>
      </w:r>
      <w:r>
        <w:rPr>
          <w:sz w:val="20"/>
        </w:rPr>
        <w:t>be</w:t>
      </w:r>
      <w:r>
        <w:rPr>
          <w:spacing w:val="-4"/>
          <w:sz w:val="20"/>
        </w:rPr>
        <w:t> </w:t>
      </w:r>
      <w:r>
        <w:rPr>
          <w:sz w:val="20"/>
        </w:rPr>
        <w:t>possible</w:t>
      </w:r>
      <w:r>
        <w:rPr>
          <w:spacing w:val="-5"/>
          <w:sz w:val="20"/>
        </w:rPr>
        <w:t> </w:t>
      </w:r>
      <w:r>
        <w:rPr>
          <w:sz w:val="20"/>
        </w:rPr>
        <w:t>to</w:t>
      </w:r>
      <w:r>
        <w:rPr>
          <w:spacing w:val="-4"/>
          <w:sz w:val="20"/>
        </w:rPr>
        <w:t> </w:t>
      </w:r>
      <w:r>
        <w:rPr>
          <w:sz w:val="20"/>
        </w:rPr>
        <w:t>reduce</w:t>
      </w:r>
      <w:r>
        <w:rPr>
          <w:spacing w:val="-4"/>
          <w:sz w:val="20"/>
        </w:rPr>
        <w:t> </w:t>
      </w:r>
      <w:r>
        <w:rPr>
          <w:sz w:val="20"/>
        </w:rPr>
        <w:t>the</w:t>
      </w:r>
      <w:r>
        <w:rPr>
          <w:spacing w:val="-4"/>
          <w:sz w:val="20"/>
        </w:rPr>
        <w:t> </w:t>
      </w:r>
      <w:r>
        <w:rPr>
          <w:sz w:val="20"/>
        </w:rPr>
        <w:t>burden</w:t>
      </w:r>
      <w:r>
        <w:rPr>
          <w:spacing w:val="-4"/>
          <w:sz w:val="20"/>
        </w:rPr>
        <w:t> </w:t>
      </w:r>
      <w:r>
        <w:rPr>
          <w:sz w:val="20"/>
        </w:rPr>
        <w:t>on</w:t>
      </w:r>
      <w:r>
        <w:rPr>
          <w:spacing w:val="-4"/>
          <w:sz w:val="20"/>
        </w:rPr>
        <w:t> </w:t>
      </w:r>
      <w:r>
        <w:rPr>
          <w:sz w:val="20"/>
        </w:rPr>
        <w:t>tax</w:t>
      </w:r>
      <w:r>
        <w:rPr>
          <w:spacing w:val="-4"/>
          <w:sz w:val="20"/>
        </w:rPr>
        <w:t> </w:t>
      </w:r>
      <w:r>
        <w:rPr>
          <w:sz w:val="20"/>
        </w:rPr>
        <w:t>administrations and MNE groups by phasing in rules for Amount A, beginning with the largest MNE groups and/or initially excluding some elements of the rules such as business line</w:t>
      </w:r>
      <w:r>
        <w:rPr>
          <w:spacing w:val="-10"/>
          <w:sz w:val="20"/>
        </w:rPr>
        <w:t> </w:t>
      </w:r>
      <w:r>
        <w:rPr>
          <w:sz w:val="20"/>
        </w:rPr>
        <w:t>segmentation.</w:t>
      </w:r>
    </w:p>
    <w:p>
      <w:pPr>
        <w:pStyle w:val="BodyText"/>
        <w:spacing w:before="6"/>
        <w:rPr>
          <w:sz w:val="23"/>
        </w:rPr>
      </w:pPr>
    </w:p>
    <w:p>
      <w:pPr>
        <w:pStyle w:val="Heading6"/>
        <w:numPr>
          <w:ilvl w:val="2"/>
          <w:numId w:val="81"/>
        </w:numPr>
        <w:tabs>
          <w:tab w:pos="2015" w:val="left" w:leader="none"/>
        </w:tabs>
        <w:spacing w:line="268" w:lineRule="auto" w:before="1" w:after="0"/>
        <w:ind w:left="1402" w:right="665" w:firstLine="0"/>
        <w:jc w:val="left"/>
      </w:pPr>
      <w:bookmarkStart w:name="9.2.4. Constitution of the review panel," w:id="431"/>
      <w:bookmarkEnd w:id="431"/>
      <w:r>
        <w:rPr>
          <w:b w:val="0"/>
          <w:i w:val="0"/>
        </w:rPr>
      </w:r>
      <w:bookmarkStart w:name="9.2.4. Constitution of the review panel," w:id="432"/>
      <w:bookmarkEnd w:id="432"/>
      <w:r>
        <w:rPr>
          <w:i/>
        </w:rPr>
        <w:t>C</w:t>
      </w:r>
      <w:r>
        <w:rPr>
          <w:i/>
        </w:rPr>
        <w:t>onstitution of the review panel, the review panel process and approval by </w:t>
      </w:r>
      <w:r>
        <w:rPr/>
        <w:t>affected tax</w:t>
      </w:r>
      <w:r>
        <w:rPr>
          <w:spacing w:val="-4"/>
        </w:rPr>
        <w:t> </w:t>
      </w:r>
      <w:r>
        <w:rPr/>
        <w:t>administrations</w:t>
      </w:r>
    </w:p>
    <w:p>
      <w:pPr>
        <w:pStyle w:val="BodyText"/>
        <w:spacing w:before="4"/>
        <w:rPr>
          <w:b/>
          <w:i/>
        </w:rPr>
      </w:pPr>
    </w:p>
    <w:p>
      <w:pPr>
        <w:pStyle w:val="Heading7"/>
        <w:spacing w:before="1"/>
        <w:rPr>
          <w:i/>
        </w:rPr>
      </w:pPr>
      <w:bookmarkStart w:name="Constitution of the review panel" w:id="433"/>
      <w:bookmarkEnd w:id="433"/>
      <w:r>
        <w:rPr>
          <w:i w:val="0"/>
        </w:rPr>
      </w:r>
      <w:r>
        <w:rPr>
          <w:i/>
          <w:color w:val="616161"/>
        </w:rPr>
        <w:t>Constitution of the review panel</w:t>
      </w:r>
    </w:p>
    <w:p>
      <w:pPr>
        <w:pStyle w:val="BodyText"/>
        <w:spacing w:before="9"/>
        <w:rPr>
          <w:i/>
          <w:sz w:val="18"/>
        </w:rPr>
      </w:pPr>
    </w:p>
    <w:p>
      <w:pPr>
        <w:pStyle w:val="ListParagraph"/>
        <w:numPr>
          <w:ilvl w:val="0"/>
          <w:numId w:val="13"/>
        </w:numPr>
        <w:tabs>
          <w:tab w:pos="1444" w:val="left" w:leader="none"/>
        </w:tabs>
        <w:spacing w:line="271" w:lineRule="auto" w:before="1" w:after="0"/>
        <w:ind w:left="723" w:right="493" w:firstLine="0"/>
        <w:jc w:val="both"/>
        <w:rPr>
          <w:sz w:val="20"/>
        </w:rPr>
      </w:pPr>
      <w:r>
        <w:rPr>
          <w:sz w:val="20"/>
        </w:rPr>
        <w:t>If a review panel is established, tax administrations participating on the panel will be drawn from the list of affected tax administrations that indicated an interest in taking part, based on criteria to be agreed.</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w:t>
      </w:r>
      <w:r>
        <w:rPr>
          <w:spacing w:val="-12"/>
          <w:sz w:val="20"/>
        </w:rPr>
        <w:t> </w:t>
      </w:r>
      <w:r>
        <w:rPr>
          <w:sz w:val="20"/>
        </w:rPr>
        <w:t>criteria</w:t>
      </w:r>
      <w:r>
        <w:rPr>
          <w:spacing w:val="-12"/>
          <w:sz w:val="20"/>
        </w:rPr>
        <w:t> </w:t>
      </w:r>
      <w:r>
        <w:rPr>
          <w:sz w:val="20"/>
        </w:rPr>
        <w:t>for</w:t>
      </w:r>
      <w:r>
        <w:rPr>
          <w:spacing w:val="-10"/>
          <w:sz w:val="20"/>
        </w:rPr>
        <w:t> </w:t>
      </w:r>
      <w:r>
        <w:rPr>
          <w:sz w:val="20"/>
        </w:rPr>
        <w:t>determining</w:t>
      </w:r>
      <w:r>
        <w:rPr>
          <w:spacing w:val="-9"/>
          <w:sz w:val="20"/>
        </w:rPr>
        <w:t> </w:t>
      </w:r>
      <w:r>
        <w:rPr>
          <w:sz w:val="20"/>
        </w:rPr>
        <w:t>the</w:t>
      </w:r>
      <w:r>
        <w:rPr>
          <w:spacing w:val="-12"/>
          <w:sz w:val="20"/>
        </w:rPr>
        <w:t> </w:t>
      </w:r>
      <w:r>
        <w:rPr>
          <w:sz w:val="20"/>
        </w:rPr>
        <w:t>constitution</w:t>
      </w:r>
      <w:r>
        <w:rPr>
          <w:spacing w:val="-8"/>
          <w:sz w:val="20"/>
        </w:rPr>
        <w:t> </w:t>
      </w:r>
      <w:r>
        <w:rPr>
          <w:sz w:val="20"/>
        </w:rPr>
        <w:t>of</w:t>
      </w:r>
      <w:r>
        <w:rPr>
          <w:spacing w:val="-9"/>
          <w:sz w:val="20"/>
        </w:rPr>
        <w:t> </w:t>
      </w:r>
      <w:r>
        <w:rPr>
          <w:sz w:val="20"/>
        </w:rPr>
        <w:t>a</w:t>
      </w:r>
      <w:r>
        <w:rPr>
          <w:spacing w:val="-8"/>
          <w:sz w:val="20"/>
        </w:rPr>
        <w:t> </w:t>
      </w:r>
      <w:r>
        <w:rPr>
          <w:sz w:val="20"/>
        </w:rPr>
        <w:t>review</w:t>
      </w:r>
      <w:r>
        <w:rPr>
          <w:spacing w:val="-9"/>
          <w:sz w:val="20"/>
        </w:rPr>
        <w:t> </w:t>
      </w:r>
      <w:r>
        <w:rPr>
          <w:sz w:val="20"/>
        </w:rPr>
        <w:t>panel</w:t>
      </w:r>
      <w:r>
        <w:rPr>
          <w:spacing w:val="-11"/>
          <w:sz w:val="20"/>
        </w:rPr>
        <w:t> </w:t>
      </w:r>
      <w:r>
        <w:rPr>
          <w:sz w:val="20"/>
        </w:rPr>
        <w:t>could</w:t>
      </w:r>
      <w:r>
        <w:rPr>
          <w:spacing w:val="-12"/>
          <w:sz w:val="20"/>
        </w:rPr>
        <w:t> </w:t>
      </w:r>
      <w:r>
        <w:rPr>
          <w:sz w:val="20"/>
        </w:rPr>
        <w:t>include</w:t>
      </w:r>
      <w:r>
        <w:rPr>
          <w:spacing w:val="-9"/>
          <w:sz w:val="20"/>
        </w:rPr>
        <w:t> </w:t>
      </w:r>
      <w:r>
        <w:rPr>
          <w:sz w:val="20"/>
        </w:rPr>
        <w:t>the</w:t>
      </w:r>
      <w:r>
        <w:rPr>
          <w:spacing w:val="-9"/>
          <w:sz w:val="20"/>
        </w:rPr>
        <w:t> </w:t>
      </w:r>
      <w:r>
        <w:rPr>
          <w:sz w:val="20"/>
        </w:rPr>
        <w:t>following</w:t>
      </w:r>
      <w:r>
        <w:rPr>
          <w:spacing w:val="-10"/>
          <w:sz w:val="20"/>
        </w:rPr>
        <w:t> </w:t>
      </w:r>
      <w:r>
        <w:rPr>
          <w:sz w:val="20"/>
        </w:rPr>
        <w:t>elements, which may be revised as experience is</w:t>
      </w:r>
      <w:r>
        <w:rPr>
          <w:spacing w:val="-7"/>
          <w:sz w:val="20"/>
        </w:rPr>
        <w:t> </w:t>
      </w:r>
      <w:r>
        <w:rPr>
          <w:sz w:val="20"/>
        </w:rPr>
        <w:t>gained:</w:t>
      </w:r>
    </w:p>
    <w:p>
      <w:pPr>
        <w:pStyle w:val="ListParagraph"/>
        <w:numPr>
          <w:ilvl w:val="1"/>
          <w:numId w:val="13"/>
        </w:numPr>
        <w:tabs>
          <w:tab w:pos="1785" w:val="left" w:leader="none"/>
        </w:tabs>
        <w:spacing w:line="271" w:lineRule="auto" w:before="101" w:after="0"/>
        <w:ind w:left="1784" w:right="482" w:hanging="360"/>
        <w:jc w:val="both"/>
        <w:rPr>
          <w:sz w:val="20"/>
        </w:rPr>
      </w:pPr>
      <w:r>
        <w:rPr>
          <w:sz w:val="20"/>
        </w:rPr>
        <w:t>Panels should ideally comprise 6-8 tax administrations. The number of tax administrations on a particular panel may depend on the geographic spread of an MNE group (e.g. MNE groups with a very wide geographic spread may justify a larger panel than an MNE group with a narrower,</w:t>
      </w:r>
      <w:r>
        <w:rPr>
          <w:spacing w:val="-5"/>
          <w:sz w:val="20"/>
        </w:rPr>
        <w:t> </w:t>
      </w:r>
      <w:r>
        <w:rPr>
          <w:sz w:val="20"/>
        </w:rPr>
        <w:t>localised</w:t>
      </w:r>
      <w:r>
        <w:rPr>
          <w:spacing w:val="-6"/>
          <w:sz w:val="20"/>
        </w:rPr>
        <w:t> </w:t>
      </w:r>
      <w:r>
        <w:rPr>
          <w:sz w:val="20"/>
        </w:rPr>
        <w:t>footprint).</w:t>
      </w:r>
      <w:r>
        <w:rPr>
          <w:spacing w:val="-3"/>
          <w:sz w:val="20"/>
        </w:rPr>
        <w:t> </w:t>
      </w:r>
      <w:r>
        <w:rPr>
          <w:sz w:val="20"/>
        </w:rPr>
        <w:t>This</w:t>
      </w:r>
      <w:r>
        <w:rPr>
          <w:spacing w:val="-5"/>
          <w:sz w:val="20"/>
        </w:rPr>
        <w:t> </w:t>
      </w:r>
      <w:r>
        <w:rPr>
          <w:sz w:val="20"/>
        </w:rPr>
        <w:t>location</w:t>
      </w:r>
      <w:r>
        <w:rPr>
          <w:spacing w:val="-5"/>
          <w:sz w:val="20"/>
        </w:rPr>
        <w:t> </w:t>
      </w:r>
      <w:r>
        <w:rPr>
          <w:sz w:val="20"/>
        </w:rPr>
        <w:t>of</w:t>
      </w:r>
      <w:r>
        <w:rPr>
          <w:spacing w:val="-5"/>
          <w:sz w:val="20"/>
        </w:rPr>
        <w:t> </w:t>
      </w:r>
      <w:r>
        <w:rPr>
          <w:sz w:val="20"/>
        </w:rPr>
        <w:t>the</w:t>
      </w:r>
      <w:r>
        <w:rPr>
          <w:spacing w:val="-4"/>
          <w:sz w:val="20"/>
        </w:rPr>
        <w:t> </w:t>
      </w:r>
      <w:r>
        <w:rPr>
          <w:sz w:val="20"/>
        </w:rPr>
        <w:t>UPE</w:t>
      </w:r>
      <w:r>
        <w:rPr>
          <w:spacing w:val="-4"/>
          <w:sz w:val="20"/>
        </w:rPr>
        <w:t> </w:t>
      </w:r>
      <w:r>
        <w:rPr>
          <w:sz w:val="20"/>
        </w:rPr>
        <w:t>of</w:t>
      </w:r>
      <w:r>
        <w:rPr>
          <w:spacing w:val="-5"/>
          <w:sz w:val="20"/>
        </w:rPr>
        <w:t> </w:t>
      </w:r>
      <w:r>
        <w:rPr>
          <w:sz w:val="20"/>
        </w:rPr>
        <w:t>the</w:t>
      </w:r>
      <w:r>
        <w:rPr>
          <w:spacing w:val="-7"/>
          <w:sz w:val="20"/>
        </w:rPr>
        <w:t> </w:t>
      </w:r>
      <w:r>
        <w:rPr>
          <w:sz w:val="20"/>
        </w:rPr>
        <w:t>MNE</w:t>
      </w:r>
      <w:r>
        <w:rPr>
          <w:spacing w:val="-4"/>
          <w:sz w:val="20"/>
        </w:rPr>
        <w:t> </w:t>
      </w:r>
      <w:r>
        <w:rPr>
          <w:sz w:val="20"/>
        </w:rPr>
        <w:t>group</w:t>
      </w:r>
      <w:r>
        <w:rPr>
          <w:spacing w:val="-4"/>
          <w:sz w:val="20"/>
        </w:rPr>
        <w:t> </w:t>
      </w:r>
      <w:r>
        <w:rPr>
          <w:sz w:val="20"/>
        </w:rPr>
        <w:t>will</w:t>
      </w:r>
      <w:r>
        <w:rPr>
          <w:spacing w:val="-7"/>
          <w:sz w:val="20"/>
        </w:rPr>
        <w:t> </w:t>
      </w:r>
      <w:r>
        <w:rPr>
          <w:sz w:val="20"/>
        </w:rPr>
        <w:t>not</w:t>
      </w:r>
      <w:r>
        <w:rPr>
          <w:spacing w:val="-7"/>
          <w:sz w:val="20"/>
        </w:rPr>
        <w:t> </w:t>
      </w:r>
      <w:r>
        <w:rPr>
          <w:sz w:val="20"/>
        </w:rPr>
        <w:t>be</w:t>
      </w:r>
      <w:r>
        <w:rPr>
          <w:spacing w:val="-7"/>
          <w:sz w:val="20"/>
        </w:rPr>
        <w:t> </w:t>
      </w:r>
      <w:r>
        <w:rPr>
          <w:sz w:val="20"/>
        </w:rPr>
        <w:t>taken</w:t>
      </w:r>
      <w:r>
        <w:rPr>
          <w:spacing w:val="-7"/>
          <w:sz w:val="20"/>
        </w:rPr>
        <w:t> </w:t>
      </w:r>
      <w:r>
        <w:rPr>
          <w:sz w:val="20"/>
        </w:rPr>
        <w:t>into account</w:t>
      </w:r>
      <w:r>
        <w:rPr>
          <w:spacing w:val="36"/>
          <w:sz w:val="20"/>
        </w:rPr>
        <w:t> </w:t>
      </w:r>
      <w:r>
        <w:rPr>
          <w:sz w:val="20"/>
        </w:rPr>
        <w:t>in</w:t>
      </w:r>
      <w:r>
        <w:rPr>
          <w:spacing w:val="37"/>
          <w:sz w:val="20"/>
        </w:rPr>
        <w:t> </w:t>
      </w:r>
      <w:r>
        <w:rPr>
          <w:sz w:val="20"/>
        </w:rPr>
        <w:t>considering</w:t>
      </w:r>
      <w:r>
        <w:rPr>
          <w:spacing w:val="36"/>
          <w:sz w:val="20"/>
        </w:rPr>
        <w:t> </w:t>
      </w:r>
      <w:r>
        <w:rPr>
          <w:sz w:val="20"/>
        </w:rPr>
        <w:t>the</w:t>
      </w:r>
      <w:r>
        <w:rPr>
          <w:spacing w:val="38"/>
          <w:sz w:val="20"/>
        </w:rPr>
        <w:t> </w:t>
      </w:r>
      <w:r>
        <w:rPr>
          <w:sz w:val="20"/>
        </w:rPr>
        <w:t>geographic</w:t>
      </w:r>
      <w:r>
        <w:rPr>
          <w:spacing w:val="38"/>
          <w:sz w:val="20"/>
        </w:rPr>
        <w:t> </w:t>
      </w:r>
      <w:r>
        <w:rPr>
          <w:sz w:val="20"/>
        </w:rPr>
        <w:t>spread</w:t>
      </w:r>
      <w:r>
        <w:rPr>
          <w:spacing w:val="38"/>
          <w:sz w:val="20"/>
        </w:rPr>
        <w:t> </w:t>
      </w:r>
      <w:r>
        <w:rPr>
          <w:sz w:val="20"/>
        </w:rPr>
        <w:t>of</w:t>
      </w:r>
      <w:r>
        <w:rPr>
          <w:spacing w:val="39"/>
          <w:sz w:val="20"/>
        </w:rPr>
        <w:t> </w:t>
      </w:r>
      <w:r>
        <w:rPr>
          <w:sz w:val="20"/>
        </w:rPr>
        <w:t>an</w:t>
      </w:r>
      <w:r>
        <w:rPr>
          <w:spacing w:val="45"/>
          <w:sz w:val="20"/>
        </w:rPr>
        <w:t> </w:t>
      </w:r>
      <w:r>
        <w:rPr>
          <w:sz w:val="20"/>
        </w:rPr>
        <w:t>MNE.</w:t>
      </w:r>
      <w:r>
        <w:rPr>
          <w:spacing w:val="37"/>
          <w:sz w:val="20"/>
        </w:rPr>
        <w:t> </w:t>
      </w:r>
      <w:r>
        <w:rPr>
          <w:sz w:val="20"/>
        </w:rPr>
        <w:t>This</w:t>
      </w:r>
      <w:r>
        <w:rPr>
          <w:spacing w:val="38"/>
          <w:sz w:val="20"/>
        </w:rPr>
        <w:t> </w:t>
      </w:r>
      <w:r>
        <w:rPr>
          <w:sz w:val="20"/>
        </w:rPr>
        <w:t>is</w:t>
      </w:r>
      <w:r>
        <w:rPr>
          <w:spacing w:val="37"/>
          <w:sz w:val="20"/>
        </w:rPr>
        <w:t> </w:t>
      </w:r>
      <w:r>
        <w:rPr>
          <w:sz w:val="20"/>
        </w:rPr>
        <w:t>to</w:t>
      </w:r>
      <w:r>
        <w:rPr>
          <w:spacing w:val="37"/>
          <w:sz w:val="20"/>
        </w:rPr>
        <w:t> </w:t>
      </w:r>
      <w:r>
        <w:rPr>
          <w:sz w:val="20"/>
        </w:rPr>
        <w:t>ensure</w:t>
      </w:r>
      <w:r>
        <w:rPr>
          <w:spacing w:val="39"/>
          <w:sz w:val="20"/>
        </w:rPr>
        <w:t> </w:t>
      </w:r>
      <w:r>
        <w:rPr>
          <w:sz w:val="20"/>
        </w:rPr>
        <w:t>that</w:t>
      </w:r>
      <w:r>
        <w:rPr>
          <w:spacing w:val="37"/>
          <w:sz w:val="20"/>
        </w:rPr>
        <w:t> </w:t>
      </w:r>
      <w:r>
        <w:rPr>
          <w:sz w:val="20"/>
        </w:rPr>
        <w:t>market</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5"/>
        <w:jc w:val="both"/>
      </w:pPr>
      <w:r>
        <w:rPr/>
        <w:t>jurisdictions and relieving jurisdictions that are geographically close to the UPE jurisdiction have the opportunity to be represented on a panel.</w:t>
      </w:r>
    </w:p>
    <w:p>
      <w:pPr>
        <w:pStyle w:val="ListParagraph"/>
        <w:numPr>
          <w:ilvl w:val="1"/>
          <w:numId w:val="13"/>
        </w:numPr>
        <w:tabs>
          <w:tab w:pos="1785" w:val="left" w:leader="none"/>
        </w:tabs>
        <w:spacing w:line="271" w:lineRule="auto" w:before="45" w:after="0"/>
        <w:ind w:left="1784" w:right="481" w:hanging="360"/>
        <w:jc w:val="both"/>
        <w:rPr>
          <w:sz w:val="20"/>
        </w:rPr>
      </w:pPr>
      <w:r>
        <w:rPr>
          <w:sz w:val="20"/>
        </w:rPr>
        <w:t>The</w:t>
      </w:r>
      <w:r>
        <w:rPr>
          <w:spacing w:val="-18"/>
          <w:sz w:val="20"/>
        </w:rPr>
        <w:t> </w:t>
      </w:r>
      <w:r>
        <w:rPr>
          <w:sz w:val="20"/>
        </w:rPr>
        <w:t>profile</w:t>
      </w:r>
      <w:r>
        <w:rPr>
          <w:spacing w:val="-17"/>
          <w:sz w:val="20"/>
        </w:rPr>
        <w:t> </w:t>
      </w:r>
      <w:r>
        <w:rPr>
          <w:sz w:val="20"/>
        </w:rPr>
        <w:t>of</w:t>
      </w:r>
      <w:r>
        <w:rPr>
          <w:spacing w:val="-15"/>
          <w:sz w:val="20"/>
        </w:rPr>
        <w:t> </w:t>
      </w:r>
      <w:r>
        <w:rPr>
          <w:sz w:val="20"/>
        </w:rPr>
        <w:t>tax</w:t>
      </w:r>
      <w:r>
        <w:rPr>
          <w:spacing w:val="-15"/>
          <w:sz w:val="20"/>
        </w:rPr>
        <w:t> </w:t>
      </w:r>
      <w:r>
        <w:rPr>
          <w:sz w:val="20"/>
        </w:rPr>
        <w:t>administrations</w:t>
      </w:r>
      <w:r>
        <w:rPr>
          <w:spacing w:val="-16"/>
          <w:sz w:val="20"/>
        </w:rPr>
        <w:t> </w:t>
      </w:r>
      <w:r>
        <w:rPr>
          <w:sz w:val="20"/>
        </w:rPr>
        <w:t>participating</w:t>
      </w:r>
      <w:r>
        <w:rPr>
          <w:spacing w:val="-18"/>
          <w:sz w:val="20"/>
        </w:rPr>
        <w:t> </w:t>
      </w:r>
      <w:r>
        <w:rPr>
          <w:sz w:val="20"/>
        </w:rPr>
        <w:t>on</w:t>
      </w:r>
      <w:r>
        <w:rPr>
          <w:spacing w:val="-16"/>
          <w:sz w:val="20"/>
        </w:rPr>
        <w:t> </w:t>
      </w:r>
      <w:r>
        <w:rPr>
          <w:sz w:val="20"/>
        </w:rPr>
        <w:t>a</w:t>
      </w:r>
      <w:r>
        <w:rPr>
          <w:spacing w:val="-17"/>
          <w:sz w:val="20"/>
        </w:rPr>
        <w:t> </w:t>
      </w:r>
      <w:r>
        <w:rPr>
          <w:sz w:val="20"/>
        </w:rPr>
        <w:t>panel</w:t>
      </w:r>
      <w:r>
        <w:rPr>
          <w:spacing w:val="-17"/>
          <w:sz w:val="20"/>
        </w:rPr>
        <w:t> </w:t>
      </w:r>
      <w:r>
        <w:rPr>
          <w:sz w:val="20"/>
        </w:rPr>
        <w:t>could</w:t>
      </w:r>
      <w:r>
        <w:rPr>
          <w:spacing w:val="-17"/>
          <w:sz w:val="20"/>
        </w:rPr>
        <w:t> </w:t>
      </w:r>
      <w:r>
        <w:rPr>
          <w:sz w:val="20"/>
        </w:rPr>
        <w:t>reflect</w:t>
      </w:r>
      <w:r>
        <w:rPr>
          <w:spacing w:val="-17"/>
          <w:sz w:val="20"/>
        </w:rPr>
        <w:t> </w:t>
      </w:r>
      <w:r>
        <w:rPr>
          <w:sz w:val="20"/>
        </w:rPr>
        <w:t>an</w:t>
      </w:r>
      <w:r>
        <w:rPr>
          <w:spacing w:val="-17"/>
          <w:sz w:val="20"/>
        </w:rPr>
        <w:t> </w:t>
      </w:r>
      <w:r>
        <w:rPr>
          <w:sz w:val="20"/>
        </w:rPr>
        <w:t>agreed</w:t>
      </w:r>
      <w:r>
        <w:rPr>
          <w:spacing w:val="-18"/>
          <w:sz w:val="20"/>
        </w:rPr>
        <w:t> </w:t>
      </w:r>
      <w:r>
        <w:rPr>
          <w:sz w:val="20"/>
        </w:rPr>
        <w:t>categorisation of all jurisdictions’ economies as large or small and as developed or developing, such that a panel includes broadly the following mix of tax administrations (assuming sufficient affected tax administrations from each category express an interest in</w:t>
      </w:r>
      <w:r>
        <w:rPr>
          <w:spacing w:val="-15"/>
          <w:sz w:val="20"/>
        </w:rPr>
        <w:t> </w:t>
      </w:r>
      <w:r>
        <w:rPr>
          <w:sz w:val="20"/>
        </w:rPr>
        <w:t>participating):</w:t>
      </w:r>
    </w:p>
    <w:p>
      <w:pPr>
        <w:pStyle w:val="ListParagraph"/>
        <w:numPr>
          <w:ilvl w:val="2"/>
          <w:numId w:val="13"/>
        </w:numPr>
        <w:tabs>
          <w:tab w:pos="2505" w:val="left" w:leader="none"/>
        </w:tabs>
        <w:spacing w:line="240" w:lineRule="auto" w:before="59" w:after="0"/>
        <w:ind w:left="2504" w:right="0" w:hanging="361"/>
        <w:jc w:val="both"/>
        <w:rPr>
          <w:sz w:val="20"/>
        </w:rPr>
      </w:pPr>
      <w:r>
        <w:rPr>
          <w:sz w:val="20"/>
        </w:rPr>
        <w:t>the lead tax</w:t>
      </w:r>
      <w:r>
        <w:rPr>
          <w:spacing w:val="-1"/>
          <w:sz w:val="20"/>
        </w:rPr>
        <w:t> </w:t>
      </w:r>
      <w:r>
        <w:rPr>
          <w:sz w:val="20"/>
        </w:rPr>
        <w:t>administration;</w:t>
      </w:r>
    </w:p>
    <w:p>
      <w:pPr>
        <w:pStyle w:val="ListParagraph"/>
        <w:numPr>
          <w:ilvl w:val="2"/>
          <w:numId w:val="13"/>
        </w:numPr>
        <w:tabs>
          <w:tab w:pos="2505" w:val="left" w:leader="none"/>
        </w:tabs>
        <w:spacing w:line="261" w:lineRule="auto" w:before="72" w:after="0"/>
        <w:ind w:left="2504" w:right="491" w:hanging="360"/>
        <w:jc w:val="both"/>
        <w:rPr>
          <w:sz w:val="20"/>
        </w:rPr>
      </w:pPr>
      <w:r>
        <w:rPr>
          <w:sz w:val="20"/>
        </w:rPr>
        <w:t>2-3 tax administrations from other jurisdictions that provide relief for Amount A (the lead</w:t>
      </w:r>
      <w:r>
        <w:rPr>
          <w:spacing w:val="-14"/>
          <w:sz w:val="20"/>
        </w:rPr>
        <w:t> </w:t>
      </w:r>
      <w:r>
        <w:rPr>
          <w:sz w:val="20"/>
        </w:rPr>
        <w:t>tax</w:t>
      </w:r>
      <w:r>
        <w:rPr>
          <w:spacing w:val="-12"/>
          <w:sz w:val="20"/>
        </w:rPr>
        <w:t> </w:t>
      </w:r>
      <w:r>
        <w:rPr>
          <w:sz w:val="20"/>
        </w:rPr>
        <w:t>administration</w:t>
      </w:r>
      <w:r>
        <w:rPr>
          <w:spacing w:val="-10"/>
          <w:sz w:val="20"/>
        </w:rPr>
        <w:t> </w:t>
      </w:r>
      <w:r>
        <w:rPr>
          <w:sz w:val="20"/>
        </w:rPr>
        <w:t>will</w:t>
      </w:r>
      <w:r>
        <w:rPr>
          <w:spacing w:val="-13"/>
          <w:sz w:val="20"/>
        </w:rPr>
        <w:t> </w:t>
      </w:r>
      <w:r>
        <w:rPr>
          <w:sz w:val="20"/>
        </w:rPr>
        <w:t>typically</w:t>
      </w:r>
      <w:r>
        <w:rPr>
          <w:spacing w:val="-16"/>
          <w:sz w:val="20"/>
        </w:rPr>
        <w:t> </w:t>
      </w:r>
      <w:r>
        <w:rPr>
          <w:sz w:val="20"/>
        </w:rPr>
        <w:t>also</w:t>
      </w:r>
      <w:r>
        <w:rPr>
          <w:spacing w:val="-13"/>
          <w:sz w:val="20"/>
        </w:rPr>
        <w:t> </w:t>
      </w:r>
      <w:r>
        <w:rPr>
          <w:sz w:val="20"/>
        </w:rPr>
        <w:t>be</w:t>
      </w:r>
      <w:r>
        <w:rPr>
          <w:spacing w:val="-13"/>
          <w:sz w:val="20"/>
        </w:rPr>
        <w:t> </w:t>
      </w:r>
      <w:r>
        <w:rPr>
          <w:sz w:val="20"/>
        </w:rPr>
        <w:t>from</w:t>
      </w:r>
      <w:r>
        <w:rPr>
          <w:spacing w:val="-9"/>
          <w:sz w:val="20"/>
        </w:rPr>
        <w:t> </w:t>
      </w:r>
      <w:r>
        <w:rPr>
          <w:sz w:val="20"/>
        </w:rPr>
        <w:t>a</w:t>
      </w:r>
      <w:r>
        <w:rPr>
          <w:spacing w:val="-13"/>
          <w:sz w:val="20"/>
        </w:rPr>
        <w:t> </w:t>
      </w:r>
      <w:r>
        <w:rPr>
          <w:sz w:val="20"/>
        </w:rPr>
        <w:t>relieving</w:t>
      </w:r>
      <w:r>
        <w:rPr>
          <w:spacing w:val="-13"/>
          <w:sz w:val="20"/>
        </w:rPr>
        <w:t> </w:t>
      </w:r>
      <w:r>
        <w:rPr>
          <w:sz w:val="20"/>
        </w:rPr>
        <w:t>jurisdiction,</w:t>
      </w:r>
      <w:r>
        <w:rPr>
          <w:spacing w:val="-12"/>
          <w:sz w:val="20"/>
        </w:rPr>
        <w:t> </w:t>
      </w:r>
      <w:r>
        <w:rPr>
          <w:sz w:val="20"/>
        </w:rPr>
        <w:t>increasing</w:t>
      </w:r>
      <w:r>
        <w:rPr>
          <w:spacing w:val="-11"/>
          <w:sz w:val="20"/>
        </w:rPr>
        <w:t> </w:t>
      </w:r>
      <w:r>
        <w:rPr>
          <w:sz w:val="20"/>
        </w:rPr>
        <w:t>this number to 3-4);</w:t>
      </w:r>
      <w:r>
        <w:rPr>
          <w:spacing w:val="-2"/>
          <w:sz w:val="20"/>
        </w:rPr>
        <w:t> </w:t>
      </w:r>
      <w:r>
        <w:rPr>
          <w:sz w:val="20"/>
        </w:rPr>
        <w:t>or</w:t>
      </w:r>
    </w:p>
    <w:p>
      <w:pPr>
        <w:pStyle w:val="ListParagraph"/>
        <w:numPr>
          <w:ilvl w:val="2"/>
          <w:numId w:val="13"/>
        </w:numPr>
        <w:tabs>
          <w:tab w:pos="2505" w:val="left" w:leader="none"/>
        </w:tabs>
        <w:spacing w:line="261" w:lineRule="auto" w:before="70" w:after="0"/>
        <w:ind w:left="2504" w:right="479" w:hanging="360"/>
        <w:jc w:val="both"/>
        <w:rPr>
          <w:sz w:val="20"/>
        </w:rPr>
      </w:pPr>
      <w:r>
        <w:rPr>
          <w:sz w:val="20"/>
        </w:rPr>
        <w:t>3-4 tax administrations from jurisdictions that receive an allocation of Amount A, ensuring that at least one small economy and one developing economy are included (unless</w:t>
      </w:r>
      <w:r>
        <w:rPr>
          <w:spacing w:val="-10"/>
          <w:sz w:val="20"/>
        </w:rPr>
        <w:t> </w:t>
      </w:r>
      <w:r>
        <w:rPr>
          <w:sz w:val="20"/>
        </w:rPr>
        <w:t>no</w:t>
      </w:r>
      <w:r>
        <w:rPr>
          <w:spacing w:val="-12"/>
          <w:sz w:val="20"/>
        </w:rPr>
        <w:t> </w:t>
      </w:r>
      <w:r>
        <w:rPr>
          <w:sz w:val="20"/>
        </w:rPr>
        <w:t>such</w:t>
      </w:r>
      <w:r>
        <w:rPr>
          <w:spacing w:val="-9"/>
          <w:sz w:val="20"/>
        </w:rPr>
        <w:t> </w:t>
      </w:r>
      <w:r>
        <w:rPr>
          <w:sz w:val="20"/>
        </w:rPr>
        <w:t>jurisdictions</w:t>
      </w:r>
      <w:r>
        <w:rPr>
          <w:spacing w:val="-9"/>
          <w:sz w:val="20"/>
        </w:rPr>
        <w:t> </w:t>
      </w:r>
      <w:r>
        <w:rPr>
          <w:sz w:val="20"/>
        </w:rPr>
        <w:t>are</w:t>
      </w:r>
      <w:r>
        <w:rPr>
          <w:spacing w:val="-11"/>
          <w:sz w:val="20"/>
        </w:rPr>
        <w:t> </w:t>
      </w:r>
      <w:r>
        <w:rPr>
          <w:sz w:val="20"/>
        </w:rPr>
        <w:t>recipients</w:t>
      </w:r>
      <w:r>
        <w:rPr>
          <w:spacing w:val="-11"/>
          <w:sz w:val="20"/>
        </w:rPr>
        <w:t> </w:t>
      </w:r>
      <w:r>
        <w:rPr>
          <w:sz w:val="20"/>
        </w:rPr>
        <w:t>of</w:t>
      </w:r>
      <w:r>
        <w:rPr>
          <w:spacing w:val="-7"/>
          <w:sz w:val="20"/>
        </w:rPr>
        <w:t> </w:t>
      </w:r>
      <w:r>
        <w:rPr>
          <w:sz w:val="20"/>
        </w:rPr>
        <w:t>Amount</w:t>
      </w:r>
      <w:r>
        <w:rPr>
          <w:spacing w:val="-8"/>
          <w:sz w:val="20"/>
        </w:rPr>
        <w:t> </w:t>
      </w:r>
      <w:r>
        <w:rPr>
          <w:sz w:val="20"/>
        </w:rPr>
        <w:t>A</w:t>
      </w:r>
      <w:r>
        <w:rPr>
          <w:spacing w:val="-12"/>
          <w:sz w:val="20"/>
        </w:rPr>
        <w:t> </w:t>
      </w:r>
      <w:r>
        <w:rPr>
          <w:sz w:val="20"/>
        </w:rPr>
        <w:t>for</w:t>
      </w:r>
      <w:r>
        <w:rPr>
          <w:spacing w:val="-11"/>
          <w:sz w:val="20"/>
        </w:rPr>
        <w:t> </w:t>
      </w:r>
      <w:r>
        <w:rPr>
          <w:sz w:val="20"/>
        </w:rPr>
        <w:t>the</w:t>
      </w:r>
      <w:r>
        <w:rPr>
          <w:spacing w:val="-11"/>
          <w:sz w:val="20"/>
        </w:rPr>
        <w:t> </w:t>
      </w:r>
      <w:r>
        <w:rPr>
          <w:sz w:val="20"/>
        </w:rPr>
        <w:t>particular</w:t>
      </w:r>
      <w:r>
        <w:rPr>
          <w:spacing w:val="-8"/>
          <w:sz w:val="20"/>
        </w:rPr>
        <w:t> </w:t>
      </w:r>
      <w:r>
        <w:rPr>
          <w:sz w:val="20"/>
        </w:rPr>
        <w:t>MNE</w:t>
      </w:r>
      <w:r>
        <w:rPr>
          <w:spacing w:val="-10"/>
          <w:sz w:val="20"/>
        </w:rPr>
        <w:t> </w:t>
      </w:r>
      <w:r>
        <w:rPr>
          <w:sz w:val="20"/>
        </w:rPr>
        <w:t>group).</w:t>
      </w:r>
    </w:p>
    <w:p>
      <w:pPr>
        <w:pStyle w:val="ListParagraph"/>
        <w:numPr>
          <w:ilvl w:val="1"/>
          <w:numId w:val="13"/>
        </w:numPr>
        <w:tabs>
          <w:tab w:pos="1785" w:val="left" w:leader="none"/>
        </w:tabs>
        <w:spacing w:line="266" w:lineRule="auto" w:before="57" w:after="0"/>
        <w:ind w:left="1784" w:right="490" w:hanging="360"/>
        <w:jc w:val="both"/>
        <w:rPr>
          <w:sz w:val="20"/>
        </w:rPr>
      </w:pPr>
      <w:r>
        <w:rPr>
          <w:sz w:val="20"/>
        </w:rPr>
        <w:t>Tax administrations on the panel should broadly reflect the geographic spread of the MNE group.</w:t>
      </w:r>
    </w:p>
    <w:p>
      <w:pPr>
        <w:pStyle w:val="ListParagraph"/>
        <w:numPr>
          <w:ilvl w:val="1"/>
          <w:numId w:val="13"/>
        </w:numPr>
        <w:tabs>
          <w:tab w:pos="1785" w:val="left" w:leader="none"/>
        </w:tabs>
        <w:spacing w:line="271" w:lineRule="auto" w:before="54" w:after="0"/>
        <w:ind w:left="1784" w:right="484" w:hanging="360"/>
        <w:jc w:val="both"/>
        <w:rPr>
          <w:sz w:val="20"/>
        </w:rPr>
      </w:pPr>
      <w:r>
        <w:rPr>
          <w:sz w:val="20"/>
        </w:rPr>
        <w:t>It is necessary to ensure that all tax administrations have the opportunity to participate in the panel process (though not necessarily on all panels), taking into account their interest and capacity. With respect to capacity constraints, this may be a reason for a tax administration choosing to limit the number of panels in which it participates. However, capacity building will be</w:t>
      </w:r>
      <w:r>
        <w:rPr>
          <w:spacing w:val="-15"/>
          <w:sz w:val="20"/>
        </w:rPr>
        <w:t> </w:t>
      </w:r>
      <w:r>
        <w:rPr>
          <w:sz w:val="20"/>
        </w:rPr>
        <w:t>undertaken</w:t>
      </w:r>
      <w:r>
        <w:rPr>
          <w:spacing w:val="-18"/>
          <w:sz w:val="20"/>
        </w:rPr>
        <w:t> </w:t>
      </w:r>
      <w:r>
        <w:rPr>
          <w:sz w:val="20"/>
        </w:rPr>
        <w:t>to</w:t>
      </w:r>
      <w:r>
        <w:rPr>
          <w:spacing w:val="-15"/>
          <w:sz w:val="20"/>
        </w:rPr>
        <w:t> </w:t>
      </w:r>
      <w:r>
        <w:rPr>
          <w:sz w:val="20"/>
        </w:rPr>
        <w:t>ensure</w:t>
      </w:r>
      <w:r>
        <w:rPr>
          <w:spacing w:val="-16"/>
          <w:sz w:val="20"/>
        </w:rPr>
        <w:t> </w:t>
      </w:r>
      <w:r>
        <w:rPr>
          <w:sz w:val="20"/>
        </w:rPr>
        <w:t>tax</w:t>
      </w:r>
      <w:r>
        <w:rPr>
          <w:spacing w:val="-16"/>
          <w:sz w:val="20"/>
        </w:rPr>
        <w:t> </w:t>
      </w:r>
      <w:r>
        <w:rPr>
          <w:sz w:val="20"/>
        </w:rPr>
        <w:t>administrations</w:t>
      </w:r>
      <w:r>
        <w:rPr>
          <w:spacing w:val="-16"/>
          <w:sz w:val="20"/>
        </w:rPr>
        <w:t> </w:t>
      </w:r>
      <w:r>
        <w:rPr>
          <w:sz w:val="20"/>
        </w:rPr>
        <w:t>from</w:t>
      </w:r>
      <w:r>
        <w:rPr>
          <w:spacing w:val="-13"/>
          <w:sz w:val="20"/>
        </w:rPr>
        <w:t> </w:t>
      </w:r>
      <w:r>
        <w:rPr>
          <w:sz w:val="20"/>
        </w:rPr>
        <w:t>developing</w:t>
      </w:r>
      <w:r>
        <w:rPr>
          <w:spacing w:val="-9"/>
          <w:sz w:val="20"/>
        </w:rPr>
        <w:t> </w:t>
      </w:r>
      <w:r>
        <w:rPr>
          <w:sz w:val="20"/>
        </w:rPr>
        <w:t>economies</w:t>
      </w:r>
      <w:r>
        <w:rPr>
          <w:spacing w:val="-16"/>
          <w:sz w:val="20"/>
        </w:rPr>
        <w:t> </w:t>
      </w:r>
      <w:r>
        <w:rPr>
          <w:sz w:val="20"/>
        </w:rPr>
        <w:t>are</w:t>
      </w:r>
      <w:r>
        <w:rPr>
          <w:spacing w:val="-13"/>
          <w:sz w:val="20"/>
        </w:rPr>
        <w:t> </w:t>
      </w:r>
      <w:r>
        <w:rPr>
          <w:sz w:val="20"/>
        </w:rPr>
        <w:t>able</w:t>
      </w:r>
      <w:r>
        <w:rPr>
          <w:spacing w:val="-17"/>
          <w:sz w:val="20"/>
        </w:rPr>
        <w:t> </w:t>
      </w:r>
      <w:r>
        <w:rPr>
          <w:sz w:val="20"/>
        </w:rPr>
        <w:t>to</w:t>
      </w:r>
      <w:r>
        <w:rPr>
          <w:spacing w:val="-17"/>
          <w:sz w:val="20"/>
        </w:rPr>
        <w:t> </w:t>
      </w:r>
      <w:r>
        <w:rPr>
          <w:sz w:val="20"/>
        </w:rPr>
        <w:t>participate in panels if they wish to do</w:t>
      </w:r>
      <w:r>
        <w:rPr>
          <w:spacing w:val="-2"/>
          <w:sz w:val="20"/>
        </w:rPr>
        <w:t> </w:t>
      </w:r>
      <w:r>
        <w:rPr>
          <w:sz w:val="20"/>
        </w:rPr>
        <w:t>so.</w:t>
      </w:r>
    </w:p>
    <w:p>
      <w:pPr>
        <w:pStyle w:val="ListParagraph"/>
        <w:numPr>
          <w:ilvl w:val="1"/>
          <w:numId w:val="13"/>
        </w:numPr>
        <w:tabs>
          <w:tab w:pos="1785" w:val="left" w:leader="none"/>
        </w:tabs>
        <w:spacing w:line="268" w:lineRule="auto" w:before="44" w:after="0"/>
        <w:ind w:left="1784" w:right="489" w:hanging="360"/>
        <w:jc w:val="both"/>
        <w:rPr>
          <w:sz w:val="20"/>
        </w:rPr>
      </w:pPr>
      <w:r>
        <w:rPr>
          <w:sz w:val="20"/>
        </w:rPr>
        <w:t>Where an MNE group has several business lines within the scope of Amount A, the panel should</w:t>
      </w:r>
      <w:r>
        <w:rPr>
          <w:spacing w:val="-11"/>
          <w:sz w:val="20"/>
        </w:rPr>
        <w:t> </w:t>
      </w:r>
      <w:r>
        <w:rPr>
          <w:sz w:val="20"/>
        </w:rPr>
        <w:t>ideally</w:t>
      </w:r>
      <w:r>
        <w:rPr>
          <w:spacing w:val="-13"/>
          <w:sz w:val="20"/>
        </w:rPr>
        <w:t> </w:t>
      </w:r>
      <w:r>
        <w:rPr>
          <w:sz w:val="20"/>
        </w:rPr>
        <w:t>include</w:t>
      </w:r>
      <w:r>
        <w:rPr>
          <w:spacing w:val="-11"/>
          <w:sz w:val="20"/>
        </w:rPr>
        <w:t> </w:t>
      </w:r>
      <w:r>
        <w:rPr>
          <w:sz w:val="20"/>
        </w:rPr>
        <w:t>tax</w:t>
      </w:r>
      <w:r>
        <w:rPr>
          <w:spacing w:val="-9"/>
          <w:sz w:val="20"/>
        </w:rPr>
        <w:t> </w:t>
      </w:r>
      <w:r>
        <w:rPr>
          <w:sz w:val="20"/>
        </w:rPr>
        <w:t>administrations</w:t>
      </w:r>
      <w:r>
        <w:rPr>
          <w:spacing w:val="-10"/>
          <w:sz w:val="20"/>
        </w:rPr>
        <w:t> </w:t>
      </w:r>
      <w:r>
        <w:rPr>
          <w:sz w:val="20"/>
        </w:rPr>
        <w:t>from</w:t>
      </w:r>
      <w:r>
        <w:rPr>
          <w:spacing w:val="-8"/>
          <w:sz w:val="20"/>
        </w:rPr>
        <w:t> </w:t>
      </w:r>
      <w:r>
        <w:rPr>
          <w:sz w:val="20"/>
        </w:rPr>
        <w:t>jurisdictions</w:t>
      </w:r>
      <w:r>
        <w:rPr>
          <w:spacing w:val="-10"/>
          <w:sz w:val="20"/>
        </w:rPr>
        <w:t> </w:t>
      </w:r>
      <w:r>
        <w:rPr>
          <w:sz w:val="20"/>
        </w:rPr>
        <w:t>involved</w:t>
      </w:r>
      <w:r>
        <w:rPr>
          <w:spacing w:val="-10"/>
          <w:sz w:val="20"/>
        </w:rPr>
        <w:t> </w:t>
      </w:r>
      <w:r>
        <w:rPr>
          <w:sz w:val="20"/>
        </w:rPr>
        <w:t>in</w:t>
      </w:r>
      <w:r>
        <w:rPr>
          <w:spacing w:val="-11"/>
          <w:sz w:val="20"/>
        </w:rPr>
        <w:t> </w:t>
      </w:r>
      <w:r>
        <w:rPr>
          <w:sz w:val="20"/>
        </w:rPr>
        <w:t>each</w:t>
      </w:r>
      <w:r>
        <w:rPr>
          <w:spacing w:val="-8"/>
          <w:sz w:val="20"/>
        </w:rPr>
        <w:t> </w:t>
      </w:r>
      <w:r>
        <w:rPr>
          <w:sz w:val="20"/>
        </w:rPr>
        <w:t>allocation,</w:t>
      </w:r>
      <w:r>
        <w:rPr>
          <w:spacing w:val="-11"/>
          <w:sz w:val="20"/>
        </w:rPr>
        <w:t> </w:t>
      </w:r>
      <w:r>
        <w:rPr>
          <w:sz w:val="20"/>
        </w:rPr>
        <w:t>though there may be cases where this will not be</w:t>
      </w:r>
      <w:r>
        <w:rPr>
          <w:spacing w:val="-3"/>
          <w:sz w:val="20"/>
        </w:rPr>
        <w:t> </w:t>
      </w:r>
      <w:r>
        <w:rPr>
          <w:sz w:val="20"/>
        </w:rPr>
        <w:t>possible.</w:t>
      </w:r>
    </w:p>
    <w:p>
      <w:pPr>
        <w:pStyle w:val="ListParagraph"/>
        <w:numPr>
          <w:ilvl w:val="1"/>
          <w:numId w:val="13"/>
        </w:numPr>
        <w:tabs>
          <w:tab w:pos="1785" w:val="left" w:leader="none"/>
        </w:tabs>
        <w:spacing w:line="271" w:lineRule="auto" w:before="50" w:after="0"/>
        <w:ind w:left="1784" w:right="481" w:hanging="360"/>
        <w:jc w:val="both"/>
        <w:rPr>
          <w:sz w:val="20"/>
        </w:rPr>
      </w:pPr>
      <w:r>
        <w:rPr>
          <w:sz w:val="20"/>
        </w:rPr>
        <w:t>The reasons given by a tax administration for wishing to participate in a particular panel (e.g. the value of potential tax revenue at stake) and any general considerations provided, such as an</w:t>
      </w:r>
      <w:r>
        <w:rPr>
          <w:spacing w:val="-5"/>
          <w:sz w:val="20"/>
        </w:rPr>
        <w:t> </w:t>
      </w:r>
      <w:r>
        <w:rPr>
          <w:sz w:val="20"/>
        </w:rPr>
        <w:t>overall</w:t>
      </w:r>
      <w:r>
        <w:rPr>
          <w:spacing w:val="-5"/>
          <w:sz w:val="20"/>
        </w:rPr>
        <w:t> </w:t>
      </w:r>
      <w:r>
        <w:rPr>
          <w:sz w:val="20"/>
        </w:rPr>
        <w:t>limit</w:t>
      </w:r>
      <w:r>
        <w:rPr>
          <w:spacing w:val="-3"/>
          <w:sz w:val="20"/>
        </w:rPr>
        <w:t> </w:t>
      </w:r>
      <w:r>
        <w:rPr>
          <w:sz w:val="20"/>
        </w:rPr>
        <w:t>on</w:t>
      </w:r>
      <w:r>
        <w:rPr>
          <w:spacing w:val="-4"/>
          <w:sz w:val="20"/>
        </w:rPr>
        <w:t> </w:t>
      </w:r>
      <w:r>
        <w:rPr>
          <w:sz w:val="20"/>
        </w:rPr>
        <w:t>the</w:t>
      </w:r>
      <w:r>
        <w:rPr>
          <w:spacing w:val="-2"/>
          <w:sz w:val="20"/>
        </w:rPr>
        <w:t> </w:t>
      </w:r>
      <w:r>
        <w:rPr>
          <w:sz w:val="20"/>
        </w:rPr>
        <w:t>number</w:t>
      </w:r>
      <w:r>
        <w:rPr>
          <w:spacing w:val="-3"/>
          <w:sz w:val="20"/>
        </w:rPr>
        <w:t> </w:t>
      </w:r>
      <w:r>
        <w:rPr>
          <w:sz w:val="20"/>
        </w:rPr>
        <w:t>of</w:t>
      </w:r>
      <w:r>
        <w:rPr>
          <w:spacing w:val="-2"/>
          <w:sz w:val="20"/>
        </w:rPr>
        <w:t> </w:t>
      </w:r>
      <w:r>
        <w:rPr>
          <w:sz w:val="20"/>
        </w:rPr>
        <w:t>panels</w:t>
      </w:r>
      <w:r>
        <w:rPr>
          <w:spacing w:val="-3"/>
          <w:sz w:val="20"/>
        </w:rPr>
        <w:t> </w:t>
      </w:r>
      <w:r>
        <w:rPr>
          <w:sz w:val="20"/>
        </w:rPr>
        <w:t>a</w:t>
      </w:r>
      <w:r>
        <w:rPr>
          <w:spacing w:val="-4"/>
          <w:sz w:val="20"/>
        </w:rPr>
        <w:t> </w:t>
      </w:r>
      <w:r>
        <w:rPr>
          <w:sz w:val="20"/>
        </w:rPr>
        <w:t>tax</w:t>
      </w:r>
      <w:r>
        <w:rPr>
          <w:spacing w:val="-3"/>
          <w:sz w:val="20"/>
        </w:rPr>
        <w:t> </w:t>
      </w:r>
      <w:r>
        <w:rPr>
          <w:sz w:val="20"/>
        </w:rPr>
        <w:t>administration</w:t>
      </w:r>
      <w:r>
        <w:rPr>
          <w:spacing w:val="-3"/>
          <w:sz w:val="20"/>
        </w:rPr>
        <w:t> </w:t>
      </w:r>
      <w:r>
        <w:rPr>
          <w:sz w:val="20"/>
        </w:rPr>
        <w:t>has</w:t>
      </w:r>
      <w:r>
        <w:rPr>
          <w:spacing w:val="-3"/>
          <w:sz w:val="20"/>
        </w:rPr>
        <w:t> </w:t>
      </w:r>
      <w:r>
        <w:rPr>
          <w:sz w:val="20"/>
        </w:rPr>
        <w:t>the</w:t>
      </w:r>
      <w:r>
        <w:rPr>
          <w:spacing w:val="-4"/>
          <w:sz w:val="20"/>
        </w:rPr>
        <w:t> </w:t>
      </w:r>
      <w:r>
        <w:rPr>
          <w:sz w:val="20"/>
        </w:rPr>
        <w:t>capacity</w:t>
      </w:r>
      <w:r>
        <w:rPr>
          <w:spacing w:val="-6"/>
          <w:sz w:val="20"/>
        </w:rPr>
        <w:t> </w:t>
      </w:r>
      <w:r>
        <w:rPr>
          <w:sz w:val="20"/>
        </w:rPr>
        <w:t>to</w:t>
      </w:r>
      <w:r>
        <w:rPr>
          <w:spacing w:val="-4"/>
          <w:sz w:val="20"/>
        </w:rPr>
        <w:t> </w:t>
      </w:r>
      <w:r>
        <w:rPr>
          <w:sz w:val="20"/>
        </w:rPr>
        <w:t>participate</w:t>
      </w:r>
      <w:r>
        <w:rPr>
          <w:spacing w:val="-3"/>
          <w:sz w:val="20"/>
        </w:rPr>
        <w:t> </w:t>
      </w:r>
      <w:r>
        <w:rPr>
          <w:sz w:val="20"/>
        </w:rPr>
        <w:t>in, albeit that tax administration may express interest in joining a greater number of panels (anticipating that there may be cases where a panel is not formed or it is not invited to participate).</w:t>
      </w:r>
    </w:p>
    <w:p>
      <w:pPr>
        <w:pStyle w:val="ListParagraph"/>
        <w:numPr>
          <w:ilvl w:val="0"/>
          <w:numId w:val="13"/>
        </w:numPr>
        <w:tabs>
          <w:tab w:pos="1444" w:val="left" w:leader="none"/>
        </w:tabs>
        <w:spacing w:line="271" w:lineRule="auto" w:before="125" w:after="0"/>
        <w:ind w:left="723" w:right="481" w:firstLine="0"/>
        <w:jc w:val="both"/>
        <w:rPr>
          <w:sz w:val="20"/>
        </w:rPr>
      </w:pPr>
      <w:r>
        <w:rPr>
          <w:sz w:val="20"/>
        </w:rPr>
        <w:t>The agreed criteria could be applied and a review panel identified by the lead tax administration, ensuring a streamlined process in which the lead tax administration is fully involved. Alternatively, if a secretariat is to be established, application of agreed rules and procedures by the secretariat </w:t>
      </w:r>
      <w:r>
        <w:rPr>
          <w:spacing w:val="2"/>
          <w:sz w:val="20"/>
        </w:rPr>
        <w:t>could </w:t>
      </w:r>
      <w:r>
        <w:rPr>
          <w:sz w:val="20"/>
        </w:rPr>
        <w:t>be viewed as more objective.</w:t>
      </w:r>
      <w:r>
        <w:rPr>
          <w:sz w:val="20"/>
          <w:vertAlign w:val="superscript"/>
        </w:rPr>
        <w:t>158</w:t>
      </w:r>
      <w:r>
        <w:rPr>
          <w:sz w:val="20"/>
          <w:vertAlign w:val="baseline"/>
        </w:rPr>
        <w:t> This may also better ensure that all jurisdictions have balanced representation across different panels (as the secretariat would have information on the constitution of all review</w:t>
      </w:r>
      <w:r>
        <w:rPr>
          <w:spacing w:val="-11"/>
          <w:sz w:val="20"/>
          <w:vertAlign w:val="baseline"/>
        </w:rPr>
        <w:t> </w:t>
      </w:r>
      <w:r>
        <w:rPr>
          <w:sz w:val="20"/>
          <w:vertAlign w:val="baseline"/>
        </w:rPr>
        <w:t>panels</w:t>
      </w:r>
      <w:r>
        <w:rPr>
          <w:spacing w:val="-9"/>
          <w:sz w:val="20"/>
          <w:vertAlign w:val="baseline"/>
        </w:rPr>
        <w:t> </w:t>
      </w:r>
      <w:r>
        <w:rPr>
          <w:sz w:val="20"/>
          <w:vertAlign w:val="baseline"/>
        </w:rPr>
        <w:t>whereas</w:t>
      </w:r>
      <w:r>
        <w:rPr>
          <w:spacing w:val="-8"/>
          <w:sz w:val="20"/>
          <w:vertAlign w:val="baseline"/>
        </w:rPr>
        <w:t> </w:t>
      </w:r>
      <w:r>
        <w:rPr>
          <w:sz w:val="20"/>
          <w:vertAlign w:val="baseline"/>
        </w:rPr>
        <w:t>a</w:t>
      </w:r>
      <w:r>
        <w:rPr>
          <w:spacing w:val="-9"/>
          <w:sz w:val="20"/>
          <w:vertAlign w:val="baseline"/>
        </w:rPr>
        <w:t> </w:t>
      </w:r>
      <w:r>
        <w:rPr>
          <w:sz w:val="20"/>
          <w:vertAlign w:val="baseline"/>
        </w:rPr>
        <w:t>lead</w:t>
      </w:r>
      <w:r>
        <w:rPr>
          <w:spacing w:val="-9"/>
          <w:sz w:val="20"/>
          <w:vertAlign w:val="baseline"/>
        </w:rPr>
        <w:t> </w:t>
      </w:r>
      <w:r>
        <w:rPr>
          <w:sz w:val="20"/>
          <w:vertAlign w:val="baseline"/>
        </w:rPr>
        <w:t>tax</w:t>
      </w:r>
      <w:r>
        <w:rPr>
          <w:spacing w:val="-8"/>
          <w:sz w:val="20"/>
          <w:vertAlign w:val="baseline"/>
        </w:rPr>
        <w:t> </w:t>
      </w:r>
      <w:r>
        <w:rPr>
          <w:sz w:val="20"/>
          <w:vertAlign w:val="baseline"/>
        </w:rPr>
        <w:t>administration</w:t>
      </w:r>
      <w:r>
        <w:rPr>
          <w:spacing w:val="-9"/>
          <w:sz w:val="20"/>
          <w:vertAlign w:val="baseline"/>
        </w:rPr>
        <w:t> </w:t>
      </w:r>
      <w:r>
        <w:rPr>
          <w:spacing w:val="3"/>
          <w:sz w:val="20"/>
          <w:vertAlign w:val="baseline"/>
        </w:rPr>
        <w:t>may</w:t>
      </w:r>
      <w:r>
        <w:rPr>
          <w:spacing w:val="-12"/>
          <w:sz w:val="20"/>
          <w:vertAlign w:val="baseline"/>
        </w:rPr>
        <w:t> </w:t>
      </w:r>
      <w:r>
        <w:rPr>
          <w:sz w:val="20"/>
          <w:vertAlign w:val="baseline"/>
        </w:rPr>
        <w:t>only</w:t>
      </w:r>
      <w:r>
        <w:rPr>
          <w:spacing w:val="-12"/>
          <w:sz w:val="20"/>
          <w:vertAlign w:val="baseline"/>
        </w:rPr>
        <w:t> </w:t>
      </w:r>
      <w:r>
        <w:rPr>
          <w:sz w:val="20"/>
          <w:vertAlign w:val="baseline"/>
        </w:rPr>
        <w:t>be</w:t>
      </w:r>
      <w:r>
        <w:rPr>
          <w:spacing w:val="-9"/>
          <w:sz w:val="20"/>
          <w:vertAlign w:val="baseline"/>
        </w:rPr>
        <w:t> </w:t>
      </w:r>
      <w:r>
        <w:rPr>
          <w:sz w:val="20"/>
          <w:vertAlign w:val="baseline"/>
        </w:rPr>
        <w:t>aware</w:t>
      </w:r>
      <w:r>
        <w:rPr>
          <w:spacing w:val="-9"/>
          <w:sz w:val="20"/>
          <w:vertAlign w:val="baseline"/>
        </w:rPr>
        <w:t> </w:t>
      </w:r>
      <w:r>
        <w:rPr>
          <w:sz w:val="20"/>
          <w:vertAlign w:val="baseline"/>
        </w:rPr>
        <w:t>of</w:t>
      </w:r>
      <w:r>
        <w:rPr>
          <w:spacing w:val="-8"/>
          <w:sz w:val="20"/>
          <w:vertAlign w:val="baseline"/>
        </w:rPr>
        <w:t> </w:t>
      </w:r>
      <w:r>
        <w:rPr>
          <w:sz w:val="20"/>
          <w:vertAlign w:val="baseline"/>
        </w:rPr>
        <w:t>the</w:t>
      </w:r>
      <w:r>
        <w:rPr>
          <w:spacing w:val="-9"/>
          <w:sz w:val="20"/>
          <w:vertAlign w:val="baseline"/>
        </w:rPr>
        <w:t> </w:t>
      </w:r>
      <w:r>
        <w:rPr>
          <w:sz w:val="20"/>
          <w:vertAlign w:val="baseline"/>
        </w:rPr>
        <w:t>constitution</w:t>
      </w:r>
      <w:r>
        <w:rPr>
          <w:spacing w:val="-7"/>
          <w:sz w:val="20"/>
          <w:vertAlign w:val="baseline"/>
        </w:rPr>
        <w:t> </w:t>
      </w:r>
      <w:r>
        <w:rPr>
          <w:sz w:val="20"/>
          <w:vertAlign w:val="baseline"/>
        </w:rPr>
        <w:t>of</w:t>
      </w:r>
      <w:r>
        <w:rPr>
          <w:spacing w:val="-7"/>
          <w:sz w:val="20"/>
          <w:vertAlign w:val="baseline"/>
        </w:rPr>
        <w:t> </w:t>
      </w:r>
      <w:r>
        <w:rPr>
          <w:sz w:val="20"/>
          <w:vertAlign w:val="baseline"/>
        </w:rPr>
        <w:t>review</w:t>
      </w:r>
      <w:r>
        <w:rPr>
          <w:spacing w:val="-11"/>
          <w:sz w:val="20"/>
          <w:vertAlign w:val="baseline"/>
        </w:rPr>
        <w:t> </w:t>
      </w:r>
      <w:r>
        <w:rPr>
          <w:sz w:val="20"/>
          <w:vertAlign w:val="baseline"/>
        </w:rPr>
        <w:t>panels</w:t>
      </w:r>
      <w:r>
        <w:rPr>
          <w:spacing w:val="-8"/>
          <w:sz w:val="20"/>
          <w:vertAlign w:val="baseline"/>
        </w:rPr>
        <w:t> </w:t>
      </w:r>
      <w:r>
        <w:rPr>
          <w:sz w:val="20"/>
          <w:vertAlign w:val="baseline"/>
        </w:rPr>
        <w:t>on which it participates). Other than providing the list of constituent entity and market jurisdictions and other information required to apply the agreed criteria (e.g. sales by jurisdiction), the MNE group would not participate in identifying the review panel or agreeing its</w:t>
      </w:r>
      <w:r>
        <w:rPr>
          <w:spacing w:val="-15"/>
          <w:sz w:val="20"/>
          <w:vertAlign w:val="baseline"/>
        </w:rPr>
        <w:t> </w:t>
      </w:r>
      <w:r>
        <w:rPr>
          <w:sz w:val="20"/>
          <w:vertAlign w:val="baseline"/>
        </w:rPr>
        <w:t>membership.</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In the event that a panel is to be established but an insufficient number of affected tax administrations expressed an interest in participating, the lead tax administration or secretariat will inform all affected tax administrations that this is the case. Affected tax administrations will then have a further opportunity</w:t>
      </w:r>
      <w:r>
        <w:rPr>
          <w:spacing w:val="11"/>
          <w:sz w:val="20"/>
        </w:rPr>
        <w:t> </w:t>
      </w:r>
      <w:r>
        <w:rPr>
          <w:sz w:val="20"/>
        </w:rPr>
        <w:t>to</w:t>
      </w:r>
      <w:r>
        <w:rPr>
          <w:spacing w:val="14"/>
          <w:sz w:val="20"/>
        </w:rPr>
        <w:t> </w:t>
      </w:r>
      <w:r>
        <w:rPr>
          <w:sz w:val="20"/>
        </w:rPr>
        <w:t>express</w:t>
      </w:r>
      <w:r>
        <w:rPr>
          <w:spacing w:val="13"/>
          <w:sz w:val="20"/>
        </w:rPr>
        <w:t> </w:t>
      </w:r>
      <w:r>
        <w:rPr>
          <w:sz w:val="20"/>
        </w:rPr>
        <w:t>interest</w:t>
      </w:r>
      <w:r>
        <w:rPr>
          <w:spacing w:val="12"/>
          <w:sz w:val="20"/>
        </w:rPr>
        <w:t> </w:t>
      </w:r>
      <w:r>
        <w:rPr>
          <w:sz w:val="20"/>
        </w:rPr>
        <w:t>in</w:t>
      </w:r>
      <w:r>
        <w:rPr>
          <w:spacing w:val="12"/>
          <w:sz w:val="20"/>
        </w:rPr>
        <w:t> </w:t>
      </w:r>
      <w:r>
        <w:rPr>
          <w:sz w:val="20"/>
        </w:rPr>
        <w:t>participating.</w:t>
      </w:r>
      <w:r>
        <w:rPr>
          <w:spacing w:val="14"/>
          <w:sz w:val="20"/>
        </w:rPr>
        <w:t> </w:t>
      </w:r>
      <w:r>
        <w:rPr>
          <w:sz w:val="20"/>
        </w:rPr>
        <w:t>A</w:t>
      </w:r>
      <w:r>
        <w:rPr>
          <w:spacing w:val="14"/>
          <w:sz w:val="20"/>
        </w:rPr>
        <w:t> </w:t>
      </w:r>
      <w:r>
        <w:rPr>
          <w:sz w:val="20"/>
        </w:rPr>
        <w:t>review</w:t>
      </w:r>
      <w:r>
        <w:rPr>
          <w:spacing w:val="13"/>
          <w:sz w:val="20"/>
        </w:rPr>
        <w:t> </w:t>
      </w:r>
      <w:r>
        <w:rPr>
          <w:sz w:val="20"/>
        </w:rPr>
        <w:t>panel</w:t>
      </w:r>
      <w:r>
        <w:rPr>
          <w:spacing w:val="16"/>
          <w:sz w:val="20"/>
        </w:rPr>
        <w:t> </w:t>
      </w:r>
      <w:r>
        <w:rPr>
          <w:sz w:val="20"/>
        </w:rPr>
        <w:t>will</w:t>
      </w:r>
      <w:r>
        <w:rPr>
          <w:spacing w:val="12"/>
          <w:sz w:val="20"/>
        </w:rPr>
        <w:t> </w:t>
      </w:r>
      <w:r>
        <w:rPr>
          <w:sz w:val="20"/>
        </w:rPr>
        <w:t>be</w:t>
      </w:r>
      <w:r>
        <w:rPr>
          <w:spacing w:val="12"/>
          <w:sz w:val="20"/>
        </w:rPr>
        <w:t> </w:t>
      </w:r>
      <w:r>
        <w:rPr>
          <w:sz w:val="20"/>
        </w:rPr>
        <w:t>formed</w:t>
      </w:r>
      <w:r>
        <w:rPr>
          <w:spacing w:val="12"/>
          <w:sz w:val="20"/>
        </w:rPr>
        <w:t> </w:t>
      </w:r>
      <w:r>
        <w:rPr>
          <w:sz w:val="20"/>
        </w:rPr>
        <w:t>from</w:t>
      </w:r>
      <w:r>
        <w:rPr>
          <w:spacing w:val="16"/>
          <w:sz w:val="20"/>
        </w:rPr>
        <w:t> </w:t>
      </w:r>
      <w:r>
        <w:rPr>
          <w:sz w:val="20"/>
        </w:rPr>
        <w:t>affected</w:t>
      </w:r>
      <w:r>
        <w:rPr>
          <w:spacing w:val="12"/>
          <w:sz w:val="20"/>
        </w:rPr>
        <w:t> </w:t>
      </w:r>
      <w:r>
        <w:rPr>
          <w:sz w:val="20"/>
        </w:rPr>
        <w:t>tax</w:t>
      </w:r>
    </w:p>
    <w:p>
      <w:pPr>
        <w:pStyle w:val="BodyText"/>
        <w:spacing w:before="1"/>
        <w:rPr>
          <w:sz w:val="13"/>
        </w:rPr>
      </w:pPr>
      <w:r>
        <w:rPr/>
        <w:pict>
          <v:rect style="position:absolute;margin-left:65.183998pt;margin-top:9.474765pt;width:144.020004pt;height:.60004pt;mso-position-horizontal-relative:page;mso-position-vertical-relative:paragraph;z-index:-1564160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00" w:val="left" w:leader="none"/>
        </w:tabs>
        <w:spacing w:line="278" w:lineRule="auto" w:before="94" w:after="0"/>
        <w:ind w:left="723" w:right="488" w:firstLine="0"/>
        <w:jc w:val="left"/>
        <w:rPr>
          <w:sz w:val="18"/>
        </w:rPr>
      </w:pPr>
      <w:r>
        <w:rPr>
          <w:sz w:val="18"/>
        </w:rPr>
        <w:t>In</w:t>
      </w:r>
      <w:r>
        <w:rPr>
          <w:spacing w:val="-6"/>
          <w:sz w:val="18"/>
        </w:rPr>
        <w:t> </w:t>
      </w:r>
      <w:r>
        <w:rPr>
          <w:sz w:val="18"/>
        </w:rPr>
        <w:t>all</w:t>
      </w:r>
      <w:r>
        <w:rPr>
          <w:spacing w:val="-5"/>
          <w:sz w:val="18"/>
        </w:rPr>
        <w:t> </w:t>
      </w:r>
      <w:r>
        <w:rPr>
          <w:sz w:val="18"/>
        </w:rPr>
        <w:t>cases,</w:t>
      </w:r>
      <w:r>
        <w:rPr>
          <w:spacing w:val="-7"/>
          <w:sz w:val="18"/>
        </w:rPr>
        <w:t> </w:t>
      </w:r>
      <w:r>
        <w:rPr>
          <w:sz w:val="18"/>
        </w:rPr>
        <w:t>work</w:t>
      </w:r>
      <w:r>
        <w:rPr>
          <w:spacing w:val="-5"/>
          <w:sz w:val="18"/>
        </w:rPr>
        <w:t> </w:t>
      </w:r>
      <w:r>
        <w:rPr>
          <w:sz w:val="18"/>
        </w:rPr>
        <w:t>undertaken</w:t>
      </w:r>
      <w:r>
        <w:rPr>
          <w:spacing w:val="-8"/>
          <w:sz w:val="18"/>
        </w:rPr>
        <w:t> </w:t>
      </w:r>
      <w:r>
        <w:rPr>
          <w:sz w:val="18"/>
        </w:rPr>
        <w:t>by</w:t>
      </w:r>
      <w:r>
        <w:rPr>
          <w:spacing w:val="-8"/>
          <w:sz w:val="18"/>
        </w:rPr>
        <w:t> </w:t>
      </w:r>
      <w:r>
        <w:rPr>
          <w:sz w:val="18"/>
        </w:rPr>
        <w:t>a</w:t>
      </w:r>
      <w:r>
        <w:rPr>
          <w:spacing w:val="-5"/>
          <w:sz w:val="18"/>
        </w:rPr>
        <w:t> </w:t>
      </w:r>
      <w:r>
        <w:rPr>
          <w:sz w:val="18"/>
        </w:rPr>
        <w:t>secretariat</w:t>
      </w:r>
      <w:r>
        <w:rPr>
          <w:spacing w:val="-8"/>
          <w:sz w:val="18"/>
        </w:rPr>
        <w:t> </w:t>
      </w:r>
      <w:r>
        <w:rPr>
          <w:sz w:val="18"/>
        </w:rPr>
        <w:t>in</w:t>
      </w:r>
      <w:r>
        <w:rPr>
          <w:spacing w:val="-9"/>
          <w:sz w:val="18"/>
        </w:rPr>
        <w:t> </w:t>
      </w:r>
      <w:r>
        <w:rPr>
          <w:sz w:val="18"/>
        </w:rPr>
        <w:t>supporting</w:t>
      </w:r>
      <w:r>
        <w:rPr>
          <w:spacing w:val="-5"/>
          <w:sz w:val="18"/>
        </w:rPr>
        <w:t> </w:t>
      </w:r>
      <w:r>
        <w:rPr>
          <w:sz w:val="18"/>
        </w:rPr>
        <w:t>a</w:t>
      </w:r>
      <w:r>
        <w:rPr>
          <w:spacing w:val="-8"/>
          <w:sz w:val="18"/>
        </w:rPr>
        <w:t> </w:t>
      </w:r>
      <w:r>
        <w:rPr>
          <w:sz w:val="18"/>
        </w:rPr>
        <w:t>tax</w:t>
      </w:r>
      <w:r>
        <w:rPr>
          <w:spacing w:val="-10"/>
          <w:sz w:val="18"/>
        </w:rPr>
        <w:t> </w:t>
      </w:r>
      <w:r>
        <w:rPr>
          <w:sz w:val="18"/>
        </w:rPr>
        <w:t>certainty</w:t>
      </w:r>
      <w:r>
        <w:rPr>
          <w:spacing w:val="-8"/>
          <w:sz w:val="18"/>
        </w:rPr>
        <w:t> </w:t>
      </w:r>
      <w:r>
        <w:rPr>
          <w:sz w:val="18"/>
        </w:rPr>
        <w:t>process</w:t>
      </w:r>
      <w:r>
        <w:rPr>
          <w:spacing w:val="-7"/>
          <w:sz w:val="18"/>
        </w:rPr>
        <w:t> </w:t>
      </w:r>
      <w:r>
        <w:rPr>
          <w:sz w:val="18"/>
        </w:rPr>
        <w:t>for</w:t>
      </w:r>
      <w:r>
        <w:rPr>
          <w:spacing w:val="-6"/>
          <w:sz w:val="18"/>
        </w:rPr>
        <w:t> </w:t>
      </w:r>
      <w:r>
        <w:rPr>
          <w:sz w:val="18"/>
        </w:rPr>
        <w:t>Amount</w:t>
      </w:r>
      <w:r>
        <w:rPr>
          <w:spacing w:val="-7"/>
          <w:sz w:val="18"/>
        </w:rPr>
        <w:t> </w:t>
      </w:r>
      <w:r>
        <w:rPr>
          <w:sz w:val="18"/>
        </w:rPr>
        <w:t>A</w:t>
      </w:r>
      <w:r>
        <w:rPr>
          <w:spacing w:val="-6"/>
          <w:sz w:val="18"/>
        </w:rPr>
        <w:t> </w:t>
      </w:r>
      <w:r>
        <w:rPr>
          <w:sz w:val="18"/>
        </w:rPr>
        <w:t>will</w:t>
      </w:r>
      <w:r>
        <w:rPr>
          <w:spacing w:val="-5"/>
          <w:sz w:val="18"/>
        </w:rPr>
        <w:t> </w:t>
      </w:r>
      <w:r>
        <w:rPr>
          <w:sz w:val="18"/>
        </w:rPr>
        <w:t>only</w:t>
      </w:r>
      <w:r>
        <w:rPr>
          <w:spacing w:val="-8"/>
          <w:sz w:val="18"/>
        </w:rPr>
        <w:t> </w:t>
      </w:r>
      <w:r>
        <w:rPr>
          <w:sz w:val="18"/>
        </w:rPr>
        <w:t>be</w:t>
      </w:r>
      <w:r>
        <w:rPr>
          <w:spacing w:val="-5"/>
          <w:sz w:val="18"/>
        </w:rPr>
        <w:t> </w:t>
      </w:r>
      <w:r>
        <w:rPr>
          <w:sz w:val="18"/>
        </w:rPr>
        <w:t>where appropriate and will respect strict tax</w:t>
      </w:r>
      <w:r>
        <w:rPr>
          <w:spacing w:val="-6"/>
          <w:sz w:val="18"/>
        </w:rPr>
        <w:t> </w:t>
      </w:r>
      <w:r>
        <w:rPr>
          <w:sz w:val="18"/>
        </w:rPr>
        <w:t>confidentiality.</w:t>
      </w:r>
    </w:p>
    <w:p>
      <w:pPr>
        <w:spacing w:after="0" w:line="278" w:lineRule="auto"/>
        <w:jc w:val="left"/>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3"/>
        <w:jc w:val="both"/>
      </w:pPr>
      <w:r>
        <w:rPr/>
        <w:t>administrations that expressed interest, reflecting to the extent possible the criteria described above (e.g. if no affected tax administrations expressed an interest in joining the panel, this category of jurisdictions cannot be reflected).</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As</w:t>
      </w:r>
      <w:r>
        <w:rPr>
          <w:spacing w:val="-10"/>
          <w:sz w:val="20"/>
        </w:rPr>
        <w:t> </w:t>
      </w:r>
      <w:r>
        <w:rPr>
          <w:sz w:val="20"/>
        </w:rPr>
        <w:t>mentioned</w:t>
      </w:r>
      <w:r>
        <w:rPr>
          <w:spacing w:val="-9"/>
          <w:sz w:val="20"/>
        </w:rPr>
        <w:t> </w:t>
      </w:r>
      <w:r>
        <w:rPr>
          <w:sz w:val="20"/>
        </w:rPr>
        <w:t>above,</w:t>
      </w:r>
      <w:r>
        <w:rPr>
          <w:spacing w:val="-9"/>
          <w:sz w:val="20"/>
        </w:rPr>
        <w:t> </w:t>
      </w:r>
      <w:r>
        <w:rPr>
          <w:sz w:val="20"/>
        </w:rPr>
        <w:t>it</w:t>
      </w:r>
      <w:r>
        <w:rPr>
          <w:spacing w:val="-9"/>
          <w:sz w:val="20"/>
        </w:rPr>
        <w:t> </w:t>
      </w:r>
      <w:r>
        <w:rPr>
          <w:sz w:val="20"/>
        </w:rPr>
        <w:t>is</w:t>
      </w:r>
      <w:r>
        <w:rPr>
          <w:spacing w:val="-9"/>
          <w:sz w:val="20"/>
        </w:rPr>
        <w:t> </w:t>
      </w:r>
      <w:r>
        <w:rPr>
          <w:sz w:val="20"/>
        </w:rPr>
        <w:t>critical</w:t>
      </w:r>
      <w:r>
        <w:rPr>
          <w:spacing w:val="-11"/>
          <w:sz w:val="20"/>
        </w:rPr>
        <w:t> </w:t>
      </w:r>
      <w:r>
        <w:rPr>
          <w:sz w:val="20"/>
        </w:rPr>
        <w:t>that</w:t>
      </w:r>
      <w:r>
        <w:rPr>
          <w:spacing w:val="-9"/>
          <w:sz w:val="20"/>
        </w:rPr>
        <w:t> </w:t>
      </w:r>
      <w:r>
        <w:rPr>
          <w:sz w:val="20"/>
        </w:rPr>
        <w:t>all</w:t>
      </w:r>
      <w:r>
        <w:rPr>
          <w:spacing w:val="-9"/>
          <w:sz w:val="20"/>
        </w:rPr>
        <w:t> </w:t>
      </w:r>
      <w:r>
        <w:rPr>
          <w:sz w:val="20"/>
        </w:rPr>
        <w:t>Inclusive</w:t>
      </w:r>
      <w:r>
        <w:rPr>
          <w:spacing w:val="-8"/>
          <w:sz w:val="20"/>
        </w:rPr>
        <w:t> </w:t>
      </w:r>
      <w:r>
        <w:rPr>
          <w:sz w:val="20"/>
        </w:rPr>
        <w:t>Framework</w:t>
      </w:r>
      <w:r>
        <w:rPr>
          <w:spacing w:val="-7"/>
          <w:sz w:val="20"/>
        </w:rPr>
        <w:t> </w:t>
      </w:r>
      <w:r>
        <w:rPr>
          <w:sz w:val="20"/>
        </w:rPr>
        <w:t>members</w:t>
      </w:r>
      <w:r>
        <w:rPr>
          <w:spacing w:val="-9"/>
          <w:sz w:val="20"/>
        </w:rPr>
        <w:t> </w:t>
      </w:r>
      <w:r>
        <w:rPr>
          <w:sz w:val="20"/>
        </w:rPr>
        <w:t>are</w:t>
      </w:r>
      <w:r>
        <w:rPr>
          <w:spacing w:val="-11"/>
          <w:sz w:val="20"/>
        </w:rPr>
        <w:t> </w:t>
      </w:r>
      <w:r>
        <w:rPr>
          <w:sz w:val="20"/>
        </w:rPr>
        <w:t>able</w:t>
      </w:r>
      <w:r>
        <w:rPr>
          <w:spacing w:val="-8"/>
          <w:sz w:val="20"/>
        </w:rPr>
        <w:t> </w:t>
      </w:r>
      <w:r>
        <w:rPr>
          <w:sz w:val="20"/>
        </w:rPr>
        <w:t>to</w:t>
      </w:r>
      <w:r>
        <w:rPr>
          <w:spacing w:val="-9"/>
          <w:sz w:val="20"/>
        </w:rPr>
        <w:t> </w:t>
      </w:r>
      <w:r>
        <w:rPr>
          <w:sz w:val="20"/>
        </w:rPr>
        <w:t>participate</w:t>
      </w:r>
      <w:r>
        <w:rPr>
          <w:spacing w:val="-11"/>
          <w:sz w:val="20"/>
        </w:rPr>
        <w:t> </w:t>
      </w:r>
      <w:r>
        <w:rPr>
          <w:sz w:val="20"/>
        </w:rPr>
        <w:t>fully throughout this tax certainty process, and in particular in the panel reviews at the heart of the process. As such,</w:t>
      </w:r>
      <w:r>
        <w:rPr>
          <w:spacing w:val="-17"/>
          <w:sz w:val="20"/>
        </w:rPr>
        <w:t> </w:t>
      </w:r>
      <w:r>
        <w:rPr>
          <w:sz w:val="20"/>
        </w:rPr>
        <w:t>the</w:t>
      </w:r>
      <w:r>
        <w:rPr>
          <w:spacing w:val="-18"/>
          <w:sz w:val="20"/>
        </w:rPr>
        <w:t> </w:t>
      </w:r>
      <w:r>
        <w:rPr>
          <w:sz w:val="20"/>
        </w:rPr>
        <w:t>development</w:t>
      </w:r>
      <w:r>
        <w:rPr>
          <w:spacing w:val="-16"/>
          <w:sz w:val="20"/>
        </w:rPr>
        <w:t> </w:t>
      </w:r>
      <w:r>
        <w:rPr>
          <w:sz w:val="20"/>
        </w:rPr>
        <w:t>and</w:t>
      </w:r>
      <w:r>
        <w:rPr>
          <w:spacing w:val="-15"/>
          <w:sz w:val="20"/>
        </w:rPr>
        <w:t> </w:t>
      </w:r>
      <w:r>
        <w:rPr>
          <w:sz w:val="20"/>
        </w:rPr>
        <w:t>deployment</w:t>
      </w:r>
      <w:r>
        <w:rPr>
          <w:spacing w:val="-16"/>
          <w:sz w:val="20"/>
        </w:rPr>
        <w:t> </w:t>
      </w:r>
      <w:r>
        <w:rPr>
          <w:sz w:val="20"/>
        </w:rPr>
        <w:t>of</w:t>
      </w:r>
      <w:r>
        <w:rPr>
          <w:spacing w:val="-15"/>
          <w:sz w:val="20"/>
        </w:rPr>
        <w:t> </w:t>
      </w:r>
      <w:r>
        <w:rPr>
          <w:sz w:val="20"/>
        </w:rPr>
        <w:t>tools</w:t>
      </w:r>
      <w:r>
        <w:rPr>
          <w:spacing w:val="-16"/>
          <w:sz w:val="20"/>
        </w:rPr>
        <w:t> </w:t>
      </w:r>
      <w:r>
        <w:rPr>
          <w:sz w:val="20"/>
        </w:rPr>
        <w:t>for</w:t>
      </w:r>
      <w:r>
        <w:rPr>
          <w:spacing w:val="-15"/>
          <w:sz w:val="20"/>
        </w:rPr>
        <w:t> </w:t>
      </w:r>
      <w:r>
        <w:rPr>
          <w:sz w:val="20"/>
        </w:rPr>
        <w:t>capacity</w:t>
      </w:r>
      <w:r>
        <w:rPr>
          <w:spacing w:val="-18"/>
          <w:sz w:val="20"/>
        </w:rPr>
        <w:t> </w:t>
      </w:r>
      <w:r>
        <w:rPr>
          <w:sz w:val="20"/>
        </w:rPr>
        <w:t>building</w:t>
      </w:r>
      <w:r>
        <w:rPr>
          <w:spacing w:val="-15"/>
          <w:sz w:val="20"/>
        </w:rPr>
        <w:t> </w:t>
      </w:r>
      <w:r>
        <w:rPr>
          <w:sz w:val="20"/>
        </w:rPr>
        <w:t>will</w:t>
      </w:r>
      <w:r>
        <w:rPr>
          <w:spacing w:val="-9"/>
          <w:sz w:val="20"/>
        </w:rPr>
        <w:t> </w:t>
      </w:r>
      <w:r>
        <w:rPr>
          <w:sz w:val="20"/>
        </w:rPr>
        <w:t>be</w:t>
      </w:r>
      <w:r>
        <w:rPr>
          <w:spacing w:val="-15"/>
          <w:sz w:val="20"/>
        </w:rPr>
        <w:t> </w:t>
      </w:r>
      <w:r>
        <w:rPr>
          <w:sz w:val="20"/>
        </w:rPr>
        <w:t>important</w:t>
      </w:r>
      <w:r>
        <w:rPr>
          <w:spacing w:val="-16"/>
          <w:sz w:val="20"/>
        </w:rPr>
        <w:t> </w:t>
      </w:r>
      <w:r>
        <w:rPr>
          <w:sz w:val="20"/>
        </w:rPr>
        <w:t>to</w:t>
      </w:r>
      <w:r>
        <w:rPr>
          <w:spacing w:val="-17"/>
          <w:sz w:val="20"/>
        </w:rPr>
        <w:t> </w:t>
      </w:r>
      <w:r>
        <w:rPr>
          <w:sz w:val="20"/>
        </w:rPr>
        <w:t>support</w:t>
      </w:r>
      <w:r>
        <w:rPr>
          <w:spacing w:val="-16"/>
          <w:sz w:val="20"/>
        </w:rPr>
        <w:t> </w:t>
      </w:r>
      <w:r>
        <w:rPr>
          <w:sz w:val="20"/>
        </w:rPr>
        <w:t>developing economies.</w:t>
      </w:r>
      <w:r>
        <w:rPr>
          <w:spacing w:val="-17"/>
          <w:sz w:val="20"/>
        </w:rPr>
        <w:t> </w:t>
      </w:r>
      <w:r>
        <w:rPr>
          <w:sz w:val="20"/>
        </w:rPr>
        <w:t>These</w:t>
      </w:r>
      <w:r>
        <w:rPr>
          <w:spacing w:val="-16"/>
          <w:sz w:val="20"/>
        </w:rPr>
        <w:t> </w:t>
      </w:r>
      <w:r>
        <w:rPr>
          <w:sz w:val="20"/>
        </w:rPr>
        <w:t>could</w:t>
      </w:r>
      <w:r>
        <w:rPr>
          <w:spacing w:val="-16"/>
          <w:sz w:val="20"/>
        </w:rPr>
        <w:t> </w:t>
      </w:r>
      <w:r>
        <w:rPr>
          <w:sz w:val="20"/>
        </w:rPr>
        <w:t>include,</w:t>
      </w:r>
      <w:r>
        <w:rPr>
          <w:spacing w:val="-16"/>
          <w:sz w:val="20"/>
        </w:rPr>
        <w:t> </w:t>
      </w:r>
      <w:r>
        <w:rPr>
          <w:sz w:val="20"/>
        </w:rPr>
        <w:t>among</w:t>
      </w:r>
      <w:r>
        <w:rPr>
          <w:spacing w:val="-16"/>
          <w:sz w:val="20"/>
        </w:rPr>
        <w:t> </w:t>
      </w:r>
      <w:r>
        <w:rPr>
          <w:sz w:val="20"/>
        </w:rPr>
        <w:t>others,</w:t>
      </w:r>
      <w:r>
        <w:rPr>
          <w:spacing w:val="-16"/>
          <w:sz w:val="20"/>
        </w:rPr>
        <w:t> </w:t>
      </w:r>
      <w:r>
        <w:rPr>
          <w:sz w:val="20"/>
        </w:rPr>
        <w:t>the</w:t>
      </w:r>
      <w:r>
        <w:rPr>
          <w:spacing w:val="-18"/>
          <w:sz w:val="20"/>
        </w:rPr>
        <w:t> </w:t>
      </w:r>
      <w:r>
        <w:rPr>
          <w:sz w:val="20"/>
        </w:rPr>
        <w:t>preparation</w:t>
      </w:r>
      <w:r>
        <w:rPr>
          <w:spacing w:val="-17"/>
          <w:sz w:val="20"/>
        </w:rPr>
        <w:t> </w:t>
      </w:r>
      <w:r>
        <w:rPr>
          <w:sz w:val="20"/>
        </w:rPr>
        <w:t>of</w:t>
      </w:r>
      <w:r>
        <w:rPr>
          <w:spacing w:val="-14"/>
          <w:sz w:val="20"/>
        </w:rPr>
        <w:t> </w:t>
      </w:r>
      <w:r>
        <w:rPr>
          <w:sz w:val="20"/>
        </w:rPr>
        <w:t>guidance</w:t>
      </w:r>
      <w:r>
        <w:rPr>
          <w:spacing w:val="-16"/>
          <w:sz w:val="20"/>
        </w:rPr>
        <w:t> </w:t>
      </w:r>
      <w:r>
        <w:rPr>
          <w:sz w:val="20"/>
        </w:rPr>
        <w:t>and</w:t>
      </w:r>
      <w:r>
        <w:rPr>
          <w:spacing w:val="-17"/>
          <w:sz w:val="20"/>
        </w:rPr>
        <w:t> </w:t>
      </w:r>
      <w:r>
        <w:rPr>
          <w:sz w:val="20"/>
        </w:rPr>
        <w:t>manuals,</w:t>
      </w:r>
      <w:r>
        <w:rPr>
          <w:spacing w:val="-16"/>
          <w:sz w:val="20"/>
        </w:rPr>
        <w:t> </w:t>
      </w:r>
      <w:r>
        <w:rPr>
          <w:sz w:val="20"/>
        </w:rPr>
        <w:t>online</w:t>
      </w:r>
      <w:r>
        <w:rPr>
          <w:spacing w:val="-17"/>
          <w:sz w:val="20"/>
        </w:rPr>
        <w:t> </w:t>
      </w:r>
      <w:r>
        <w:rPr>
          <w:sz w:val="20"/>
        </w:rPr>
        <w:t>and</w:t>
      </w:r>
      <w:r>
        <w:rPr>
          <w:spacing w:val="-18"/>
          <w:sz w:val="20"/>
        </w:rPr>
        <w:t> </w:t>
      </w:r>
      <w:r>
        <w:rPr>
          <w:sz w:val="20"/>
        </w:rPr>
        <w:t>face- to-face training, and direct support via the OECD Tax Inspectors Without Borders (TIWB)</w:t>
      </w:r>
      <w:r>
        <w:rPr>
          <w:spacing w:val="-37"/>
          <w:sz w:val="20"/>
        </w:rPr>
        <w:t> </w:t>
      </w:r>
      <w:r>
        <w:rPr>
          <w:sz w:val="20"/>
        </w:rPr>
        <w:t>programme.</w:t>
      </w:r>
    </w:p>
    <w:p>
      <w:pPr>
        <w:pStyle w:val="BodyText"/>
      </w:pPr>
    </w:p>
    <w:p>
      <w:pPr>
        <w:pStyle w:val="Heading7"/>
        <w:rPr>
          <w:i/>
        </w:rPr>
      </w:pPr>
      <w:bookmarkStart w:name="The review panel process" w:id="434"/>
      <w:bookmarkEnd w:id="434"/>
      <w:r>
        <w:rPr>
          <w:i w:val="0"/>
        </w:rPr>
      </w:r>
      <w:r>
        <w:rPr>
          <w:i/>
          <w:color w:val="616161"/>
        </w:rPr>
        <w:t>The review panel process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5" w:firstLine="0"/>
        <w:jc w:val="both"/>
        <w:rPr>
          <w:sz w:val="20"/>
        </w:rPr>
      </w:pPr>
      <w:r>
        <w:rPr>
          <w:sz w:val="20"/>
        </w:rPr>
        <w:t>To ensure a streamlined process, all engagements with an MNE group with respect to the early certainty</w:t>
      </w:r>
      <w:r>
        <w:rPr>
          <w:spacing w:val="-17"/>
          <w:sz w:val="20"/>
        </w:rPr>
        <w:t> </w:t>
      </w:r>
      <w:r>
        <w:rPr>
          <w:sz w:val="20"/>
        </w:rPr>
        <w:t>review</w:t>
      </w:r>
      <w:r>
        <w:rPr>
          <w:spacing w:val="-14"/>
          <w:sz w:val="20"/>
        </w:rPr>
        <w:t> </w:t>
      </w:r>
      <w:r>
        <w:rPr>
          <w:sz w:val="20"/>
        </w:rPr>
        <w:t>will</w:t>
      </w:r>
      <w:r>
        <w:rPr>
          <w:spacing w:val="-12"/>
          <w:sz w:val="20"/>
        </w:rPr>
        <w:t> </w:t>
      </w:r>
      <w:r>
        <w:rPr>
          <w:sz w:val="20"/>
        </w:rPr>
        <w:t>be</w:t>
      </w:r>
      <w:r>
        <w:rPr>
          <w:spacing w:val="-14"/>
          <w:sz w:val="20"/>
        </w:rPr>
        <w:t> </w:t>
      </w:r>
      <w:r>
        <w:rPr>
          <w:sz w:val="20"/>
        </w:rPr>
        <w:t>conducted</w:t>
      </w:r>
      <w:r>
        <w:rPr>
          <w:spacing w:val="-14"/>
          <w:sz w:val="20"/>
        </w:rPr>
        <w:t> </w:t>
      </w:r>
      <w:r>
        <w:rPr>
          <w:sz w:val="20"/>
        </w:rPr>
        <w:t>via</w:t>
      </w:r>
      <w:r>
        <w:rPr>
          <w:spacing w:val="-14"/>
          <w:sz w:val="20"/>
        </w:rPr>
        <w:t> </w:t>
      </w:r>
      <w:r>
        <w:rPr>
          <w:sz w:val="20"/>
        </w:rPr>
        <w:t>the</w:t>
      </w:r>
      <w:r>
        <w:rPr>
          <w:spacing w:val="-12"/>
          <w:sz w:val="20"/>
        </w:rPr>
        <w:t> </w:t>
      </w:r>
      <w:r>
        <w:rPr>
          <w:sz w:val="20"/>
        </w:rPr>
        <w:t>lead</w:t>
      </w:r>
      <w:r>
        <w:rPr>
          <w:spacing w:val="-15"/>
          <w:sz w:val="20"/>
        </w:rPr>
        <w:t> </w:t>
      </w:r>
      <w:r>
        <w:rPr>
          <w:sz w:val="20"/>
        </w:rPr>
        <w:t>tax</w:t>
      </w:r>
      <w:r>
        <w:rPr>
          <w:spacing w:val="-13"/>
          <w:sz w:val="20"/>
        </w:rPr>
        <w:t> </w:t>
      </w:r>
      <w:r>
        <w:rPr>
          <w:sz w:val="20"/>
        </w:rPr>
        <w:t>administration.</w:t>
      </w:r>
      <w:r>
        <w:rPr>
          <w:spacing w:val="-14"/>
          <w:sz w:val="20"/>
        </w:rPr>
        <w:t> </w:t>
      </w:r>
      <w:r>
        <w:rPr>
          <w:sz w:val="20"/>
        </w:rPr>
        <w:t>Following</w:t>
      </w:r>
      <w:r>
        <w:rPr>
          <w:spacing w:val="-14"/>
          <w:sz w:val="20"/>
        </w:rPr>
        <w:t> </w:t>
      </w:r>
      <w:r>
        <w:rPr>
          <w:sz w:val="20"/>
        </w:rPr>
        <w:t>the</w:t>
      </w:r>
      <w:r>
        <w:rPr>
          <w:spacing w:val="-14"/>
          <w:sz w:val="20"/>
        </w:rPr>
        <w:t> </w:t>
      </w:r>
      <w:r>
        <w:rPr>
          <w:sz w:val="20"/>
        </w:rPr>
        <w:t>establishment</w:t>
      </w:r>
      <w:r>
        <w:rPr>
          <w:spacing w:val="-14"/>
          <w:sz w:val="20"/>
        </w:rPr>
        <w:t> </w:t>
      </w:r>
      <w:r>
        <w:rPr>
          <w:sz w:val="20"/>
        </w:rPr>
        <w:t>of</w:t>
      </w:r>
      <w:r>
        <w:rPr>
          <w:spacing w:val="-12"/>
          <w:sz w:val="20"/>
        </w:rPr>
        <w:t> </w:t>
      </w:r>
      <w:r>
        <w:rPr>
          <w:sz w:val="20"/>
        </w:rPr>
        <w:t>the</w:t>
      </w:r>
      <w:r>
        <w:rPr>
          <w:spacing w:val="-14"/>
          <w:sz w:val="20"/>
        </w:rPr>
        <w:t> </w:t>
      </w:r>
      <w:r>
        <w:rPr>
          <w:sz w:val="20"/>
        </w:rPr>
        <w:t>review panel, the lead tax administration will contact the co-ordinating entity of the MNE group and agree a start date</w:t>
      </w:r>
      <w:r>
        <w:rPr>
          <w:spacing w:val="-12"/>
          <w:sz w:val="20"/>
        </w:rPr>
        <w:t> </w:t>
      </w:r>
      <w:r>
        <w:rPr>
          <w:sz w:val="20"/>
        </w:rPr>
        <w:t>for</w:t>
      </w:r>
      <w:r>
        <w:rPr>
          <w:spacing w:val="-10"/>
          <w:sz w:val="20"/>
        </w:rPr>
        <w:t> </w:t>
      </w:r>
      <w:r>
        <w:rPr>
          <w:sz w:val="20"/>
        </w:rPr>
        <w:t>the</w:t>
      </w:r>
      <w:r>
        <w:rPr>
          <w:spacing w:val="-11"/>
          <w:sz w:val="20"/>
        </w:rPr>
        <w:t> </w:t>
      </w:r>
      <w:r>
        <w:rPr>
          <w:sz w:val="20"/>
        </w:rPr>
        <w:t>review.</w:t>
      </w:r>
      <w:r>
        <w:rPr>
          <w:spacing w:val="-10"/>
          <w:sz w:val="20"/>
        </w:rPr>
        <w:t> </w:t>
      </w:r>
      <w:r>
        <w:rPr>
          <w:sz w:val="20"/>
        </w:rPr>
        <w:t>In</w:t>
      </w:r>
      <w:r>
        <w:rPr>
          <w:spacing w:val="-11"/>
          <w:sz w:val="20"/>
        </w:rPr>
        <w:t> </w:t>
      </w:r>
      <w:r>
        <w:rPr>
          <w:sz w:val="20"/>
        </w:rPr>
        <w:t>most</w:t>
      </w:r>
      <w:r>
        <w:rPr>
          <w:spacing w:val="-13"/>
          <w:sz w:val="20"/>
        </w:rPr>
        <w:t> </w:t>
      </w:r>
      <w:r>
        <w:rPr>
          <w:sz w:val="20"/>
        </w:rPr>
        <w:t>cases</w:t>
      </w:r>
      <w:r>
        <w:rPr>
          <w:spacing w:val="-9"/>
          <w:sz w:val="20"/>
        </w:rPr>
        <w:t> </w:t>
      </w:r>
      <w:r>
        <w:rPr>
          <w:sz w:val="20"/>
        </w:rPr>
        <w:t>this</w:t>
      </w:r>
      <w:r>
        <w:rPr>
          <w:spacing w:val="-10"/>
          <w:sz w:val="20"/>
        </w:rPr>
        <w:t> </w:t>
      </w:r>
      <w:r>
        <w:rPr>
          <w:sz w:val="20"/>
        </w:rPr>
        <w:t>should</w:t>
      </w:r>
      <w:r>
        <w:rPr>
          <w:spacing w:val="-11"/>
          <w:sz w:val="20"/>
        </w:rPr>
        <w:t> </w:t>
      </w:r>
      <w:r>
        <w:rPr>
          <w:sz w:val="20"/>
        </w:rPr>
        <w:t>be</w:t>
      </w:r>
      <w:r>
        <w:rPr>
          <w:spacing w:val="-11"/>
          <w:sz w:val="20"/>
        </w:rPr>
        <w:t> </w:t>
      </w:r>
      <w:r>
        <w:rPr>
          <w:sz w:val="20"/>
        </w:rPr>
        <w:t>as</w:t>
      </w:r>
      <w:r>
        <w:rPr>
          <w:spacing w:val="-9"/>
          <w:sz w:val="20"/>
        </w:rPr>
        <w:t> </w:t>
      </w:r>
      <w:r>
        <w:rPr>
          <w:sz w:val="20"/>
        </w:rPr>
        <w:t>soon</w:t>
      </w:r>
      <w:r>
        <w:rPr>
          <w:spacing w:val="-11"/>
          <w:sz w:val="20"/>
        </w:rPr>
        <w:t> </w:t>
      </w:r>
      <w:r>
        <w:rPr>
          <w:sz w:val="20"/>
        </w:rPr>
        <w:t>as</w:t>
      </w:r>
      <w:r>
        <w:rPr>
          <w:spacing w:val="-9"/>
          <w:sz w:val="20"/>
        </w:rPr>
        <w:t> </w:t>
      </w:r>
      <w:r>
        <w:rPr>
          <w:sz w:val="20"/>
        </w:rPr>
        <w:t>possible,</w:t>
      </w:r>
      <w:r>
        <w:rPr>
          <w:spacing w:val="-12"/>
          <w:sz w:val="20"/>
        </w:rPr>
        <w:t> </w:t>
      </w:r>
      <w:r>
        <w:rPr>
          <w:sz w:val="20"/>
        </w:rPr>
        <w:t>but</w:t>
      </w:r>
      <w:r>
        <w:rPr>
          <w:spacing w:val="-8"/>
          <w:sz w:val="20"/>
        </w:rPr>
        <w:t> </w:t>
      </w:r>
      <w:r>
        <w:rPr>
          <w:sz w:val="20"/>
        </w:rPr>
        <w:t>a</w:t>
      </w:r>
      <w:r>
        <w:rPr>
          <w:spacing w:val="-11"/>
          <w:sz w:val="20"/>
        </w:rPr>
        <w:t> </w:t>
      </w:r>
      <w:r>
        <w:rPr>
          <w:sz w:val="20"/>
        </w:rPr>
        <w:t>short</w:t>
      </w:r>
      <w:r>
        <w:rPr>
          <w:spacing w:val="-10"/>
          <w:sz w:val="20"/>
        </w:rPr>
        <w:t> </w:t>
      </w:r>
      <w:r>
        <w:rPr>
          <w:sz w:val="20"/>
        </w:rPr>
        <w:t>delay</w:t>
      </w:r>
      <w:r>
        <w:rPr>
          <w:spacing w:val="-16"/>
          <w:sz w:val="20"/>
        </w:rPr>
        <w:t> </w:t>
      </w:r>
      <w:r>
        <w:rPr>
          <w:sz w:val="20"/>
        </w:rPr>
        <w:t>may</w:t>
      </w:r>
      <w:r>
        <w:rPr>
          <w:spacing w:val="-14"/>
          <w:sz w:val="20"/>
        </w:rPr>
        <w:t> </w:t>
      </w:r>
      <w:r>
        <w:rPr>
          <w:sz w:val="20"/>
        </w:rPr>
        <w:t>be</w:t>
      </w:r>
      <w:r>
        <w:rPr>
          <w:spacing w:val="-11"/>
          <w:sz w:val="20"/>
        </w:rPr>
        <w:t> </w:t>
      </w:r>
      <w:r>
        <w:rPr>
          <w:sz w:val="20"/>
        </w:rPr>
        <w:t>appropriate (e.g. if key staff at the MNE group are engaged in transactions, or if the lead tax administration is leading a</w:t>
      </w:r>
      <w:r>
        <w:rPr>
          <w:spacing w:val="-12"/>
          <w:sz w:val="20"/>
        </w:rPr>
        <w:t> </w:t>
      </w:r>
      <w:r>
        <w:rPr>
          <w:sz w:val="20"/>
        </w:rPr>
        <w:t>large</w:t>
      </w:r>
      <w:r>
        <w:rPr>
          <w:spacing w:val="-9"/>
          <w:sz w:val="20"/>
        </w:rPr>
        <w:t> </w:t>
      </w:r>
      <w:r>
        <w:rPr>
          <w:sz w:val="20"/>
        </w:rPr>
        <w:t>number</w:t>
      </w:r>
      <w:r>
        <w:rPr>
          <w:spacing w:val="-10"/>
          <w:sz w:val="20"/>
        </w:rPr>
        <w:t> </w:t>
      </w:r>
      <w:r>
        <w:rPr>
          <w:sz w:val="20"/>
        </w:rPr>
        <w:t>of</w:t>
      </w:r>
      <w:r>
        <w:rPr>
          <w:spacing w:val="-9"/>
          <w:sz w:val="20"/>
        </w:rPr>
        <w:t> </w:t>
      </w:r>
      <w:r>
        <w:rPr>
          <w:sz w:val="20"/>
        </w:rPr>
        <w:t>reviews</w:t>
      </w:r>
      <w:r>
        <w:rPr>
          <w:spacing w:val="-10"/>
          <w:sz w:val="20"/>
        </w:rPr>
        <w:t> </w:t>
      </w:r>
      <w:r>
        <w:rPr>
          <w:sz w:val="20"/>
        </w:rPr>
        <w:t>and</w:t>
      </w:r>
      <w:r>
        <w:rPr>
          <w:spacing w:val="-12"/>
          <w:sz w:val="20"/>
        </w:rPr>
        <w:t> </w:t>
      </w:r>
      <w:r>
        <w:rPr>
          <w:sz w:val="20"/>
        </w:rPr>
        <w:t>these</w:t>
      </w:r>
      <w:r>
        <w:rPr>
          <w:spacing w:val="-9"/>
          <w:sz w:val="20"/>
        </w:rPr>
        <w:t> </w:t>
      </w:r>
      <w:r>
        <w:rPr>
          <w:sz w:val="20"/>
        </w:rPr>
        <w:t>need</w:t>
      </w:r>
      <w:r>
        <w:rPr>
          <w:spacing w:val="-11"/>
          <w:sz w:val="20"/>
        </w:rPr>
        <w:t> </w:t>
      </w:r>
      <w:r>
        <w:rPr>
          <w:sz w:val="20"/>
        </w:rPr>
        <w:t>to</w:t>
      </w:r>
      <w:r>
        <w:rPr>
          <w:spacing w:val="-12"/>
          <w:sz w:val="20"/>
        </w:rPr>
        <w:t> </w:t>
      </w:r>
      <w:r>
        <w:rPr>
          <w:sz w:val="20"/>
        </w:rPr>
        <w:t>be</w:t>
      </w:r>
      <w:r>
        <w:rPr>
          <w:spacing w:val="-12"/>
          <w:sz w:val="20"/>
        </w:rPr>
        <w:t> </w:t>
      </w:r>
      <w:r>
        <w:rPr>
          <w:sz w:val="20"/>
        </w:rPr>
        <w:t>co-ordinated).</w:t>
      </w:r>
      <w:r>
        <w:rPr>
          <w:spacing w:val="-11"/>
          <w:sz w:val="20"/>
        </w:rPr>
        <w:t> </w:t>
      </w:r>
      <w:r>
        <w:rPr>
          <w:sz w:val="20"/>
        </w:rPr>
        <w:t>The</w:t>
      </w:r>
      <w:r>
        <w:rPr>
          <w:spacing w:val="-12"/>
          <w:sz w:val="20"/>
        </w:rPr>
        <w:t> </w:t>
      </w:r>
      <w:r>
        <w:rPr>
          <w:sz w:val="20"/>
        </w:rPr>
        <w:t>start</w:t>
      </w:r>
      <w:r>
        <w:rPr>
          <w:spacing w:val="-10"/>
          <w:sz w:val="20"/>
        </w:rPr>
        <w:t> </w:t>
      </w:r>
      <w:r>
        <w:rPr>
          <w:sz w:val="20"/>
        </w:rPr>
        <w:t>date</w:t>
      </w:r>
      <w:r>
        <w:rPr>
          <w:spacing w:val="-9"/>
          <w:sz w:val="20"/>
        </w:rPr>
        <w:t> </w:t>
      </w:r>
      <w:r>
        <w:rPr>
          <w:sz w:val="20"/>
        </w:rPr>
        <w:t>will</w:t>
      </w:r>
      <w:r>
        <w:rPr>
          <w:spacing w:val="-10"/>
          <w:sz w:val="20"/>
        </w:rPr>
        <w:t> </w:t>
      </w:r>
      <w:r>
        <w:rPr>
          <w:sz w:val="20"/>
        </w:rPr>
        <w:t>also</w:t>
      </w:r>
      <w:r>
        <w:rPr>
          <w:spacing w:val="-12"/>
          <w:sz w:val="20"/>
        </w:rPr>
        <w:t> </w:t>
      </w:r>
      <w:r>
        <w:rPr>
          <w:sz w:val="20"/>
        </w:rPr>
        <w:t>be</w:t>
      </w:r>
      <w:r>
        <w:rPr>
          <w:spacing w:val="-12"/>
          <w:sz w:val="20"/>
        </w:rPr>
        <w:t> </w:t>
      </w:r>
      <w:r>
        <w:rPr>
          <w:sz w:val="20"/>
        </w:rPr>
        <w:t>agreed</w:t>
      </w:r>
      <w:r>
        <w:rPr>
          <w:spacing w:val="-9"/>
          <w:sz w:val="20"/>
        </w:rPr>
        <w:t> </w:t>
      </w:r>
      <w:r>
        <w:rPr>
          <w:sz w:val="20"/>
        </w:rPr>
        <w:t>with</w:t>
      </w:r>
      <w:r>
        <w:rPr>
          <w:spacing w:val="-12"/>
          <w:sz w:val="20"/>
        </w:rPr>
        <w:t> </w:t>
      </w:r>
      <w:r>
        <w:rPr>
          <w:sz w:val="20"/>
        </w:rPr>
        <w:t>other affected</w:t>
      </w:r>
      <w:r>
        <w:rPr>
          <w:spacing w:val="-10"/>
          <w:sz w:val="20"/>
        </w:rPr>
        <w:t> </w:t>
      </w:r>
      <w:r>
        <w:rPr>
          <w:sz w:val="20"/>
        </w:rPr>
        <w:t>tax</w:t>
      </w:r>
      <w:r>
        <w:rPr>
          <w:spacing w:val="-8"/>
          <w:sz w:val="20"/>
        </w:rPr>
        <w:t> </w:t>
      </w:r>
      <w:r>
        <w:rPr>
          <w:sz w:val="20"/>
        </w:rPr>
        <w:t>administrations</w:t>
      </w:r>
      <w:r>
        <w:rPr>
          <w:spacing w:val="-6"/>
          <w:sz w:val="20"/>
        </w:rPr>
        <w:t> </w:t>
      </w:r>
      <w:r>
        <w:rPr>
          <w:sz w:val="20"/>
        </w:rPr>
        <w:t>on</w:t>
      </w:r>
      <w:r>
        <w:rPr>
          <w:spacing w:val="-9"/>
          <w:sz w:val="20"/>
        </w:rPr>
        <w:t> </w:t>
      </w:r>
      <w:r>
        <w:rPr>
          <w:sz w:val="20"/>
        </w:rPr>
        <w:t>the</w:t>
      </w:r>
      <w:r>
        <w:rPr>
          <w:spacing w:val="-9"/>
          <w:sz w:val="20"/>
        </w:rPr>
        <w:t> </w:t>
      </w:r>
      <w:r>
        <w:rPr>
          <w:sz w:val="20"/>
        </w:rPr>
        <w:t>review</w:t>
      </w:r>
      <w:r>
        <w:rPr>
          <w:spacing w:val="-11"/>
          <w:sz w:val="20"/>
        </w:rPr>
        <w:t> </w:t>
      </w:r>
      <w:r>
        <w:rPr>
          <w:sz w:val="20"/>
        </w:rPr>
        <w:t>panel</w:t>
      </w:r>
      <w:r>
        <w:rPr>
          <w:spacing w:val="-10"/>
          <w:sz w:val="20"/>
        </w:rPr>
        <w:t> </w:t>
      </w:r>
      <w:r>
        <w:rPr>
          <w:sz w:val="20"/>
        </w:rPr>
        <w:t>and,</w:t>
      </w:r>
      <w:r>
        <w:rPr>
          <w:spacing w:val="-10"/>
          <w:sz w:val="20"/>
        </w:rPr>
        <w:t> </w:t>
      </w:r>
      <w:r>
        <w:rPr>
          <w:sz w:val="20"/>
        </w:rPr>
        <w:t>given</w:t>
      </w:r>
      <w:r>
        <w:rPr>
          <w:spacing w:val="-9"/>
          <w:sz w:val="20"/>
        </w:rPr>
        <w:t> </w:t>
      </w:r>
      <w:r>
        <w:rPr>
          <w:sz w:val="20"/>
        </w:rPr>
        <w:t>their</w:t>
      </w:r>
      <w:r>
        <w:rPr>
          <w:spacing w:val="-8"/>
          <w:sz w:val="20"/>
        </w:rPr>
        <w:t> </w:t>
      </w:r>
      <w:r>
        <w:rPr>
          <w:sz w:val="20"/>
        </w:rPr>
        <w:t>expression</w:t>
      </w:r>
      <w:r>
        <w:rPr>
          <w:spacing w:val="-8"/>
          <w:sz w:val="20"/>
        </w:rPr>
        <w:t> </w:t>
      </w:r>
      <w:r>
        <w:rPr>
          <w:sz w:val="20"/>
        </w:rPr>
        <w:t>of</w:t>
      </w:r>
      <w:r>
        <w:rPr>
          <w:spacing w:val="-7"/>
          <w:sz w:val="20"/>
        </w:rPr>
        <w:t> </w:t>
      </w:r>
      <w:r>
        <w:rPr>
          <w:sz w:val="20"/>
        </w:rPr>
        <w:t>interest</w:t>
      </w:r>
      <w:r>
        <w:rPr>
          <w:spacing w:val="-9"/>
          <w:sz w:val="20"/>
        </w:rPr>
        <w:t> </w:t>
      </w:r>
      <w:r>
        <w:rPr>
          <w:sz w:val="20"/>
        </w:rPr>
        <w:t>in</w:t>
      </w:r>
      <w:r>
        <w:rPr>
          <w:spacing w:val="-10"/>
          <w:sz w:val="20"/>
        </w:rPr>
        <w:t> </w:t>
      </w:r>
      <w:r>
        <w:rPr>
          <w:sz w:val="20"/>
        </w:rPr>
        <w:t>joining</w:t>
      </w:r>
      <w:r>
        <w:rPr>
          <w:spacing w:val="-9"/>
          <w:sz w:val="20"/>
        </w:rPr>
        <w:t> </w:t>
      </w:r>
      <w:r>
        <w:rPr>
          <w:sz w:val="20"/>
        </w:rPr>
        <w:t>the</w:t>
      </w:r>
      <w:r>
        <w:rPr>
          <w:spacing w:val="-9"/>
          <w:sz w:val="20"/>
        </w:rPr>
        <w:t> </w:t>
      </w:r>
      <w:r>
        <w:rPr>
          <w:sz w:val="20"/>
        </w:rPr>
        <w:t>panel, panel members should be as flexible as possible in agreeing to</w:t>
      </w:r>
      <w:r>
        <w:rPr>
          <w:spacing w:val="-4"/>
          <w:sz w:val="20"/>
        </w:rPr>
        <w:t> </w:t>
      </w:r>
      <w:r>
        <w:rPr>
          <w:sz w:val="20"/>
        </w:rPr>
        <w:t>this.</w:t>
      </w:r>
    </w:p>
    <w:p>
      <w:pPr>
        <w:pStyle w:val="ListParagraph"/>
        <w:numPr>
          <w:ilvl w:val="0"/>
          <w:numId w:val="13"/>
        </w:numPr>
        <w:tabs>
          <w:tab w:pos="1444" w:val="left" w:leader="none"/>
        </w:tabs>
        <w:spacing w:line="271" w:lineRule="auto" w:before="123" w:after="0"/>
        <w:ind w:left="723" w:right="484" w:firstLine="0"/>
        <w:jc w:val="both"/>
        <w:rPr>
          <w:sz w:val="20"/>
        </w:rPr>
      </w:pPr>
      <w:r>
        <w:rPr>
          <w:sz w:val="20"/>
        </w:rPr>
        <w:t>The review panel will conduct a review of an MNE group’s self-assessment, including each element of the determination and allocation of Amount A, including the identification of relieving entities. The</w:t>
      </w:r>
      <w:r>
        <w:rPr>
          <w:spacing w:val="-17"/>
          <w:sz w:val="20"/>
        </w:rPr>
        <w:t> </w:t>
      </w:r>
      <w:r>
        <w:rPr>
          <w:sz w:val="20"/>
        </w:rPr>
        <w:t>review</w:t>
      </w:r>
      <w:r>
        <w:rPr>
          <w:spacing w:val="-17"/>
          <w:sz w:val="20"/>
        </w:rPr>
        <w:t> </w:t>
      </w:r>
      <w:r>
        <w:rPr>
          <w:sz w:val="20"/>
        </w:rPr>
        <w:t>may</w:t>
      </w:r>
      <w:r>
        <w:rPr>
          <w:spacing w:val="-18"/>
          <w:sz w:val="20"/>
        </w:rPr>
        <w:t> </w:t>
      </w:r>
      <w:r>
        <w:rPr>
          <w:sz w:val="20"/>
        </w:rPr>
        <w:t>also</w:t>
      </w:r>
      <w:r>
        <w:rPr>
          <w:spacing w:val="-13"/>
          <w:sz w:val="20"/>
        </w:rPr>
        <w:t> </w:t>
      </w:r>
      <w:r>
        <w:rPr>
          <w:sz w:val="20"/>
        </w:rPr>
        <w:t>include</w:t>
      </w:r>
      <w:r>
        <w:rPr>
          <w:spacing w:val="-15"/>
          <w:sz w:val="20"/>
        </w:rPr>
        <w:t> </w:t>
      </w:r>
      <w:r>
        <w:rPr>
          <w:sz w:val="20"/>
        </w:rPr>
        <w:t>testing</w:t>
      </w:r>
      <w:r>
        <w:rPr>
          <w:spacing w:val="-14"/>
          <w:sz w:val="20"/>
        </w:rPr>
        <w:t> </w:t>
      </w:r>
      <w:r>
        <w:rPr>
          <w:sz w:val="20"/>
        </w:rPr>
        <w:t>factual</w:t>
      </w:r>
      <w:r>
        <w:rPr>
          <w:spacing w:val="-13"/>
          <w:sz w:val="20"/>
        </w:rPr>
        <w:t> </w:t>
      </w:r>
      <w:r>
        <w:rPr>
          <w:sz w:val="20"/>
        </w:rPr>
        <w:t>information</w:t>
      </w:r>
      <w:r>
        <w:rPr>
          <w:spacing w:val="-14"/>
          <w:sz w:val="20"/>
        </w:rPr>
        <w:t> </w:t>
      </w:r>
      <w:r>
        <w:rPr>
          <w:sz w:val="20"/>
        </w:rPr>
        <w:t>provided</w:t>
      </w:r>
      <w:r>
        <w:rPr>
          <w:spacing w:val="-15"/>
          <w:sz w:val="20"/>
        </w:rPr>
        <w:t> </w:t>
      </w:r>
      <w:r>
        <w:rPr>
          <w:sz w:val="20"/>
        </w:rPr>
        <w:t>by</w:t>
      </w:r>
      <w:r>
        <w:rPr>
          <w:spacing w:val="-16"/>
          <w:sz w:val="20"/>
        </w:rPr>
        <w:t> </w:t>
      </w:r>
      <w:r>
        <w:rPr>
          <w:sz w:val="20"/>
        </w:rPr>
        <w:t>the</w:t>
      </w:r>
      <w:r>
        <w:rPr>
          <w:spacing w:val="-13"/>
          <w:sz w:val="20"/>
        </w:rPr>
        <w:t> </w:t>
      </w:r>
      <w:r>
        <w:rPr>
          <w:sz w:val="20"/>
        </w:rPr>
        <w:t>MNE</w:t>
      </w:r>
      <w:r>
        <w:rPr>
          <w:spacing w:val="-16"/>
          <w:sz w:val="20"/>
        </w:rPr>
        <w:t> </w:t>
      </w:r>
      <w:r>
        <w:rPr>
          <w:sz w:val="20"/>
        </w:rPr>
        <w:t>group,</w:t>
      </w:r>
      <w:r>
        <w:rPr>
          <w:spacing w:val="-14"/>
          <w:sz w:val="20"/>
        </w:rPr>
        <w:t> </w:t>
      </w:r>
      <w:r>
        <w:rPr>
          <w:sz w:val="20"/>
        </w:rPr>
        <w:t>to</w:t>
      </w:r>
      <w:r>
        <w:rPr>
          <w:spacing w:val="-13"/>
          <w:sz w:val="20"/>
        </w:rPr>
        <w:t> </w:t>
      </w:r>
      <w:r>
        <w:rPr>
          <w:sz w:val="20"/>
        </w:rPr>
        <w:t>ensure</w:t>
      </w:r>
      <w:r>
        <w:rPr>
          <w:spacing w:val="-13"/>
          <w:sz w:val="20"/>
        </w:rPr>
        <w:t> </w:t>
      </w:r>
      <w:r>
        <w:rPr>
          <w:sz w:val="20"/>
        </w:rPr>
        <w:t>the</w:t>
      </w:r>
      <w:r>
        <w:rPr>
          <w:spacing w:val="-13"/>
          <w:sz w:val="20"/>
        </w:rPr>
        <w:t> </w:t>
      </w:r>
      <w:r>
        <w:rPr>
          <w:sz w:val="20"/>
        </w:rPr>
        <w:t>accuracy of</w:t>
      </w:r>
      <w:r>
        <w:rPr>
          <w:spacing w:val="-8"/>
          <w:sz w:val="20"/>
        </w:rPr>
        <w:t> </w:t>
      </w:r>
      <w:r>
        <w:rPr>
          <w:sz w:val="20"/>
        </w:rPr>
        <w:t>information.</w:t>
      </w:r>
      <w:r>
        <w:rPr>
          <w:spacing w:val="-6"/>
          <w:sz w:val="20"/>
        </w:rPr>
        <w:t> </w:t>
      </w:r>
      <w:r>
        <w:rPr>
          <w:sz w:val="20"/>
        </w:rPr>
        <w:t>This</w:t>
      </w:r>
      <w:r>
        <w:rPr>
          <w:spacing w:val="-8"/>
          <w:sz w:val="20"/>
        </w:rPr>
        <w:t> </w:t>
      </w:r>
      <w:r>
        <w:rPr>
          <w:sz w:val="20"/>
        </w:rPr>
        <w:t>process</w:t>
      </w:r>
      <w:r>
        <w:rPr>
          <w:spacing w:val="-6"/>
          <w:sz w:val="20"/>
        </w:rPr>
        <w:t> </w:t>
      </w:r>
      <w:r>
        <w:rPr>
          <w:sz w:val="20"/>
        </w:rPr>
        <w:t>should</w:t>
      </w:r>
      <w:r>
        <w:rPr>
          <w:spacing w:val="-8"/>
          <w:sz w:val="20"/>
        </w:rPr>
        <w:t> </w:t>
      </w:r>
      <w:r>
        <w:rPr>
          <w:sz w:val="20"/>
        </w:rPr>
        <w:t>include</w:t>
      </w:r>
      <w:r>
        <w:rPr>
          <w:spacing w:val="-9"/>
          <w:sz w:val="20"/>
        </w:rPr>
        <w:t> </w:t>
      </w:r>
      <w:r>
        <w:rPr>
          <w:sz w:val="20"/>
        </w:rPr>
        <w:t>a</w:t>
      </w:r>
      <w:r>
        <w:rPr>
          <w:spacing w:val="-8"/>
          <w:sz w:val="20"/>
        </w:rPr>
        <w:t> </w:t>
      </w:r>
      <w:r>
        <w:rPr>
          <w:sz w:val="20"/>
        </w:rPr>
        <w:t>number</w:t>
      </w:r>
      <w:r>
        <w:rPr>
          <w:spacing w:val="-9"/>
          <w:sz w:val="20"/>
        </w:rPr>
        <w:t> </w:t>
      </w:r>
      <w:r>
        <w:rPr>
          <w:sz w:val="20"/>
        </w:rPr>
        <w:t>of</w:t>
      </w:r>
      <w:r>
        <w:rPr>
          <w:spacing w:val="-7"/>
          <w:sz w:val="20"/>
        </w:rPr>
        <w:t> </w:t>
      </w:r>
      <w:r>
        <w:rPr>
          <w:sz w:val="20"/>
        </w:rPr>
        <w:t>conference</w:t>
      </w:r>
      <w:r>
        <w:rPr>
          <w:spacing w:val="-10"/>
          <w:sz w:val="20"/>
        </w:rPr>
        <w:t> </w:t>
      </w:r>
      <w:r>
        <w:rPr>
          <w:sz w:val="20"/>
        </w:rPr>
        <w:t>calls</w:t>
      </w:r>
      <w:r>
        <w:rPr>
          <w:spacing w:val="-6"/>
          <w:sz w:val="20"/>
        </w:rPr>
        <w:t> </w:t>
      </w:r>
      <w:r>
        <w:rPr>
          <w:sz w:val="20"/>
        </w:rPr>
        <w:t>and</w:t>
      </w:r>
      <w:r>
        <w:rPr>
          <w:spacing w:val="-7"/>
          <w:sz w:val="20"/>
        </w:rPr>
        <w:t> </w:t>
      </w:r>
      <w:r>
        <w:rPr>
          <w:sz w:val="20"/>
        </w:rPr>
        <w:t>email</w:t>
      </w:r>
      <w:r>
        <w:rPr>
          <w:spacing w:val="-8"/>
          <w:sz w:val="20"/>
        </w:rPr>
        <w:t> </w:t>
      </w:r>
      <w:r>
        <w:rPr>
          <w:sz w:val="20"/>
        </w:rPr>
        <w:t>exchanges</w:t>
      </w:r>
      <w:r>
        <w:rPr>
          <w:spacing w:val="-6"/>
          <w:sz w:val="20"/>
        </w:rPr>
        <w:t> </w:t>
      </w:r>
      <w:r>
        <w:rPr>
          <w:sz w:val="20"/>
        </w:rPr>
        <w:t>which</w:t>
      </w:r>
      <w:r>
        <w:rPr>
          <w:spacing w:val="-9"/>
          <w:sz w:val="20"/>
        </w:rPr>
        <w:t> </w:t>
      </w:r>
      <w:r>
        <w:rPr>
          <w:sz w:val="20"/>
        </w:rPr>
        <w:t>may be co-ordinated by the lead tax administration or secretariat and chaired by the lead tax administration. Where an affected tax administration not on the panel identifies a possible concern with an MNE group’s self-assessment of Amount A, it should raise this with the lead tax administration at the earliest possible opportunity. This issue will then be addressed directly by the lead tax administration or included as a specific</w:t>
      </w:r>
      <w:r>
        <w:rPr>
          <w:spacing w:val="-4"/>
          <w:sz w:val="20"/>
        </w:rPr>
        <w:t> </w:t>
      </w:r>
      <w:r>
        <w:rPr>
          <w:sz w:val="20"/>
        </w:rPr>
        <w:t>consideration</w:t>
      </w:r>
      <w:r>
        <w:rPr>
          <w:spacing w:val="-4"/>
          <w:sz w:val="20"/>
        </w:rPr>
        <w:t> </w:t>
      </w:r>
      <w:r>
        <w:rPr>
          <w:sz w:val="20"/>
        </w:rPr>
        <w:t>in</w:t>
      </w:r>
      <w:r>
        <w:rPr>
          <w:spacing w:val="-2"/>
          <w:sz w:val="20"/>
        </w:rPr>
        <w:t> </w:t>
      </w:r>
      <w:r>
        <w:rPr>
          <w:sz w:val="20"/>
        </w:rPr>
        <w:t>the</w:t>
      </w:r>
      <w:r>
        <w:rPr>
          <w:spacing w:val="-2"/>
          <w:sz w:val="20"/>
        </w:rPr>
        <w:t> </w:t>
      </w:r>
      <w:r>
        <w:rPr>
          <w:sz w:val="20"/>
        </w:rPr>
        <w:t>panel</w:t>
      </w:r>
      <w:r>
        <w:rPr>
          <w:spacing w:val="-5"/>
          <w:sz w:val="20"/>
        </w:rPr>
        <w:t> </w:t>
      </w:r>
      <w:r>
        <w:rPr>
          <w:sz w:val="20"/>
        </w:rPr>
        <w:t>review</w:t>
      </w:r>
      <w:r>
        <w:rPr>
          <w:spacing w:val="-6"/>
          <w:sz w:val="20"/>
        </w:rPr>
        <w:t> </w:t>
      </w:r>
      <w:r>
        <w:rPr>
          <w:sz w:val="20"/>
        </w:rPr>
        <w:t>of</w:t>
      </w:r>
      <w:r>
        <w:rPr>
          <w:spacing w:val="-3"/>
          <w:sz w:val="20"/>
        </w:rPr>
        <w:t> </w:t>
      </w:r>
      <w:r>
        <w:rPr>
          <w:sz w:val="20"/>
        </w:rPr>
        <w:t>the</w:t>
      </w:r>
      <w:r>
        <w:rPr>
          <w:spacing w:val="-4"/>
          <w:sz w:val="20"/>
        </w:rPr>
        <w:t> </w:t>
      </w:r>
      <w:r>
        <w:rPr>
          <w:sz w:val="20"/>
        </w:rPr>
        <w:t>MNE</w:t>
      </w:r>
      <w:r>
        <w:rPr>
          <w:spacing w:val="-2"/>
          <w:sz w:val="20"/>
        </w:rPr>
        <w:t> </w:t>
      </w:r>
      <w:r>
        <w:rPr>
          <w:sz w:val="20"/>
        </w:rPr>
        <w:t>group’s</w:t>
      </w:r>
      <w:r>
        <w:rPr>
          <w:spacing w:val="-3"/>
          <w:sz w:val="20"/>
        </w:rPr>
        <w:t> </w:t>
      </w:r>
      <w:r>
        <w:rPr>
          <w:sz w:val="20"/>
        </w:rPr>
        <w:t>self-assessment</w:t>
      </w:r>
      <w:r>
        <w:rPr>
          <w:spacing w:val="-4"/>
          <w:sz w:val="20"/>
        </w:rPr>
        <w:t> </w:t>
      </w:r>
      <w:r>
        <w:rPr>
          <w:sz w:val="20"/>
        </w:rPr>
        <w:t>return.</w:t>
      </w:r>
      <w:r>
        <w:rPr>
          <w:spacing w:val="-5"/>
          <w:sz w:val="20"/>
        </w:rPr>
        <w:t> </w:t>
      </w:r>
      <w:r>
        <w:rPr>
          <w:sz w:val="20"/>
        </w:rPr>
        <w:t>This</w:t>
      </w:r>
      <w:r>
        <w:rPr>
          <w:spacing w:val="-3"/>
          <w:sz w:val="20"/>
        </w:rPr>
        <w:t> </w:t>
      </w:r>
      <w:r>
        <w:rPr>
          <w:sz w:val="20"/>
        </w:rPr>
        <w:t>will</w:t>
      </w:r>
      <w:r>
        <w:rPr>
          <w:spacing w:val="-5"/>
          <w:sz w:val="20"/>
        </w:rPr>
        <w:t> </w:t>
      </w:r>
      <w:r>
        <w:rPr>
          <w:sz w:val="20"/>
        </w:rPr>
        <w:t>reduce</w:t>
      </w:r>
      <w:r>
        <w:rPr>
          <w:spacing w:val="-4"/>
          <w:sz w:val="20"/>
        </w:rPr>
        <w:t> </w:t>
      </w:r>
      <w:r>
        <w:rPr>
          <w:sz w:val="20"/>
        </w:rPr>
        <w:t>the risk</w:t>
      </w:r>
      <w:r>
        <w:rPr>
          <w:spacing w:val="-10"/>
          <w:sz w:val="20"/>
        </w:rPr>
        <w:t> </w:t>
      </w:r>
      <w:r>
        <w:rPr>
          <w:sz w:val="20"/>
        </w:rPr>
        <w:t>of</w:t>
      </w:r>
      <w:r>
        <w:rPr>
          <w:spacing w:val="-10"/>
          <w:sz w:val="20"/>
        </w:rPr>
        <w:t> </w:t>
      </w:r>
      <w:r>
        <w:rPr>
          <w:sz w:val="20"/>
        </w:rPr>
        <w:t>delays</w:t>
      </w:r>
      <w:r>
        <w:rPr>
          <w:spacing w:val="-9"/>
          <w:sz w:val="20"/>
        </w:rPr>
        <w:t> </w:t>
      </w:r>
      <w:r>
        <w:rPr>
          <w:sz w:val="20"/>
        </w:rPr>
        <w:t>later</w:t>
      </w:r>
      <w:r>
        <w:rPr>
          <w:spacing w:val="-9"/>
          <w:sz w:val="20"/>
        </w:rPr>
        <w:t> </w:t>
      </w:r>
      <w:r>
        <w:rPr>
          <w:sz w:val="20"/>
        </w:rPr>
        <w:t>in</w:t>
      </w:r>
      <w:r>
        <w:rPr>
          <w:spacing w:val="-12"/>
          <w:sz w:val="20"/>
        </w:rPr>
        <w:t> </w:t>
      </w:r>
      <w:r>
        <w:rPr>
          <w:sz w:val="20"/>
        </w:rPr>
        <w:t>the</w:t>
      </w:r>
      <w:r>
        <w:rPr>
          <w:spacing w:val="-13"/>
          <w:sz w:val="20"/>
        </w:rPr>
        <w:t> </w:t>
      </w:r>
      <w:r>
        <w:rPr>
          <w:sz w:val="20"/>
        </w:rPr>
        <w:t>tax</w:t>
      </w:r>
      <w:r>
        <w:rPr>
          <w:spacing w:val="-9"/>
          <w:sz w:val="20"/>
        </w:rPr>
        <w:t> </w:t>
      </w:r>
      <w:r>
        <w:rPr>
          <w:sz w:val="20"/>
        </w:rPr>
        <w:t>certainty</w:t>
      </w:r>
      <w:r>
        <w:rPr>
          <w:spacing w:val="-16"/>
          <w:sz w:val="20"/>
        </w:rPr>
        <w:t> </w:t>
      </w:r>
      <w:r>
        <w:rPr>
          <w:sz w:val="20"/>
        </w:rPr>
        <w:t>process</w:t>
      </w:r>
      <w:r>
        <w:rPr>
          <w:spacing w:val="-9"/>
          <w:sz w:val="20"/>
        </w:rPr>
        <w:t> </w:t>
      </w:r>
      <w:r>
        <w:rPr>
          <w:sz w:val="20"/>
        </w:rPr>
        <w:t>where</w:t>
      </w:r>
      <w:r>
        <w:rPr>
          <w:spacing w:val="-12"/>
          <w:sz w:val="20"/>
        </w:rPr>
        <w:t> </w:t>
      </w:r>
      <w:r>
        <w:rPr>
          <w:sz w:val="20"/>
        </w:rPr>
        <w:t>an</w:t>
      </w:r>
      <w:r>
        <w:rPr>
          <w:spacing w:val="-11"/>
          <w:sz w:val="20"/>
        </w:rPr>
        <w:t> </w:t>
      </w:r>
      <w:r>
        <w:rPr>
          <w:sz w:val="20"/>
        </w:rPr>
        <w:t>affected</w:t>
      </w:r>
      <w:r>
        <w:rPr>
          <w:spacing w:val="-12"/>
          <w:sz w:val="20"/>
        </w:rPr>
        <w:t> </w:t>
      </w:r>
      <w:r>
        <w:rPr>
          <w:sz w:val="20"/>
        </w:rPr>
        <w:t>tax</w:t>
      </w:r>
      <w:r>
        <w:rPr>
          <w:spacing w:val="-12"/>
          <w:sz w:val="20"/>
        </w:rPr>
        <w:t> </w:t>
      </w:r>
      <w:r>
        <w:rPr>
          <w:sz w:val="20"/>
        </w:rPr>
        <w:t>administration</w:t>
      </w:r>
      <w:r>
        <w:rPr>
          <w:spacing w:val="-10"/>
          <w:sz w:val="20"/>
        </w:rPr>
        <w:t> </w:t>
      </w:r>
      <w:r>
        <w:rPr>
          <w:sz w:val="20"/>
        </w:rPr>
        <w:t>raises</w:t>
      </w:r>
      <w:r>
        <w:rPr>
          <w:spacing w:val="-11"/>
          <w:sz w:val="20"/>
        </w:rPr>
        <w:t> </w:t>
      </w:r>
      <w:r>
        <w:rPr>
          <w:sz w:val="20"/>
        </w:rPr>
        <w:t>an</w:t>
      </w:r>
      <w:r>
        <w:rPr>
          <w:spacing w:val="-13"/>
          <w:sz w:val="20"/>
        </w:rPr>
        <w:t> </w:t>
      </w:r>
      <w:r>
        <w:rPr>
          <w:sz w:val="20"/>
        </w:rPr>
        <w:t>objection</w:t>
      </w:r>
      <w:r>
        <w:rPr>
          <w:spacing w:val="-13"/>
          <w:sz w:val="20"/>
        </w:rPr>
        <w:t> </w:t>
      </w:r>
      <w:r>
        <w:rPr>
          <w:sz w:val="20"/>
        </w:rPr>
        <w:t>that could have been dealt with during the panel</w:t>
      </w:r>
      <w:r>
        <w:rPr>
          <w:spacing w:val="-4"/>
          <w:sz w:val="20"/>
        </w:rPr>
        <w:t> </w:t>
      </w:r>
      <w:r>
        <w:rPr>
          <w:sz w:val="20"/>
        </w:rPr>
        <w:t>review.</w:t>
      </w:r>
    </w:p>
    <w:p>
      <w:pPr>
        <w:pStyle w:val="ListParagraph"/>
        <w:numPr>
          <w:ilvl w:val="0"/>
          <w:numId w:val="13"/>
        </w:numPr>
        <w:tabs>
          <w:tab w:pos="1444" w:val="left" w:leader="none"/>
        </w:tabs>
        <w:spacing w:line="271" w:lineRule="auto" w:before="120" w:after="0"/>
        <w:ind w:left="723" w:right="485" w:firstLine="0"/>
        <w:jc w:val="both"/>
        <w:rPr>
          <w:sz w:val="20"/>
        </w:rPr>
      </w:pPr>
      <w:r>
        <w:rPr>
          <w:sz w:val="20"/>
        </w:rPr>
        <w:t>In some cases it may be necessary for additional information or clarification to be requested via the lead tax administration, or for the MNE group to join a conference call with members of the review panel</w:t>
      </w:r>
      <w:r>
        <w:rPr>
          <w:spacing w:val="-6"/>
          <w:sz w:val="20"/>
        </w:rPr>
        <w:t> </w:t>
      </w:r>
      <w:r>
        <w:rPr>
          <w:sz w:val="20"/>
        </w:rPr>
        <w:t>to</w:t>
      </w:r>
      <w:r>
        <w:rPr>
          <w:spacing w:val="-4"/>
          <w:sz w:val="20"/>
        </w:rPr>
        <w:t> </w:t>
      </w:r>
      <w:r>
        <w:rPr>
          <w:sz w:val="20"/>
        </w:rPr>
        <w:t>present</w:t>
      </w:r>
      <w:r>
        <w:rPr>
          <w:spacing w:val="-6"/>
          <w:sz w:val="20"/>
        </w:rPr>
        <w:t> </w:t>
      </w:r>
      <w:r>
        <w:rPr>
          <w:sz w:val="20"/>
        </w:rPr>
        <w:t>on</w:t>
      </w:r>
      <w:r>
        <w:rPr>
          <w:spacing w:val="-5"/>
          <w:sz w:val="20"/>
        </w:rPr>
        <w:t> </w:t>
      </w:r>
      <w:r>
        <w:rPr>
          <w:sz w:val="20"/>
        </w:rPr>
        <w:t>specific</w:t>
      </w:r>
      <w:r>
        <w:rPr>
          <w:spacing w:val="-1"/>
          <w:sz w:val="20"/>
        </w:rPr>
        <w:t> </w:t>
      </w:r>
      <w:r>
        <w:rPr>
          <w:sz w:val="20"/>
        </w:rPr>
        <w:t>issues</w:t>
      </w:r>
      <w:r>
        <w:rPr>
          <w:spacing w:val="-4"/>
          <w:sz w:val="20"/>
        </w:rPr>
        <w:t> </w:t>
      </w:r>
      <w:r>
        <w:rPr>
          <w:sz w:val="20"/>
        </w:rPr>
        <w:t>(e.g.</w:t>
      </w:r>
      <w:r>
        <w:rPr>
          <w:spacing w:val="-4"/>
          <w:sz w:val="20"/>
        </w:rPr>
        <w:t> </w:t>
      </w:r>
      <w:r>
        <w:rPr>
          <w:sz w:val="20"/>
        </w:rPr>
        <w:t>business</w:t>
      </w:r>
      <w:r>
        <w:rPr>
          <w:spacing w:val="-4"/>
          <w:sz w:val="20"/>
        </w:rPr>
        <w:t> </w:t>
      </w:r>
      <w:r>
        <w:rPr>
          <w:sz w:val="20"/>
        </w:rPr>
        <w:t>line</w:t>
      </w:r>
      <w:r>
        <w:rPr>
          <w:spacing w:val="-5"/>
          <w:sz w:val="20"/>
        </w:rPr>
        <w:t> </w:t>
      </w:r>
      <w:r>
        <w:rPr>
          <w:sz w:val="20"/>
        </w:rPr>
        <w:t>segmentation)</w:t>
      </w:r>
      <w:r>
        <w:rPr>
          <w:spacing w:val="-4"/>
          <w:sz w:val="20"/>
        </w:rPr>
        <w:t> </w:t>
      </w:r>
      <w:r>
        <w:rPr>
          <w:sz w:val="20"/>
        </w:rPr>
        <w:t>and</w:t>
      </w:r>
      <w:r>
        <w:rPr>
          <w:spacing w:val="-6"/>
          <w:sz w:val="20"/>
        </w:rPr>
        <w:t> </w:t>
      </w:r>
      <w:r>
        <w:rPr>
          <w:sz w:val="20"/>
        </w:rPr>
        <w:t>respond</w:t>
      </w:r>
      <w:r>
        <w:rPr>
          <w:spacing w:val="-5"/>
          <w:sz w:val="20"/>
        </w:rPr>
        <w:t> </w:t>
      </w:r>
      <w:r>
        <w:rPr>
          <w:sz w:val="20"/>
        </w:rPr>
        <w:t>to</w:t>
      </w:r>
      <w:r>
        <w:rPr>
          <w:spacing w:val="-5"/>
          <w:sz w:val="20"/>
        </w:rPr>
        <w:t> </w:t>
      </w:r>
      <w:r>
        <w:rPr>
          <w:sz w:val="20"/>
        </w:rPr>
        <w:t>questions.</w:t>
      </w:r>
      <w:r>
        <w:rPr>
          <w:spacing w:val="-4"/>
          <w:sz w:val="20"/>
        </w:rPr>
        <w:t> </w:t>
      </w:r>
      <w:r>
        <w:rPr>
          <w:sz w:val="20"/>
        </w:rPr>
        <w:t>In</w:t>
      </w:r>
      <w:r>
        <w:rPr>
          <w:spacing w:val="-5"/>
          <w:sz w:val="20"/>
        </w:rPr>
        <w:t> </w:t>
      </w:r>
      <w:r>
        <w:rPr>
          <w:sz w:val="20"/>
        </w:rPr>
        <w:t>a</w:t>
      </w:r>
      <w:r>
        <w:rPr>
          <w:spacing w:val="-5"/>
          <w:sz w:val="20"/>
        </w:rPr>
        <w:t> </w:t>
      </w:r>
      <w:r>
        <w:rPr>
          <w:sz w:val="20"/>
        </w:rPr>
        <w:t>small number of cases a face-to-face meeting with an MNE group may be needed, but it is anticipated that this will</w:t>
      </w:r>
      <w:r>
        <w:rPr>
          <w:spacing w:val="-10"/>
          <w:sz w:val="20"/>
        </w:rPr>
        <w:t> </w:t>
      </w:r>
      <w:r>
        <w:rPr>
          <w:sz w:val="20"/>
        </w:rPr>
        <w:t>not</w:t>
      </w:r>
      <w:r>
        <w:rPr>
          <w:spacing w:val="-8"/>
          <w:sz w:val="20"/>
        </w:rPr>
        <w:t> </w:t>
      </w:r>
      <w:r>
        <w:rPr>
          <w:sz w:val="20"/>
        </w:rPr>
        <w:t>usually</w:t>
      </w:r>
      <w:r>
        <w:rPr>
          <w:spacing w:val="-10"/>
          <w:sz w:val="20"/>
        </w:rPr>
        <w:t> </w:t>
      </w:r>
      <w:r>
        <w:rPr>
          <w:sz w:val="20"/>
        </w:rPr>
        <w:t>be</w:t>
      </w:r>
      <w:r>
        <w:rPr>
          <w:spacing w:val="-8"/>
          <w:sz w:val="20"/>
        </w:rPr>
        <w:t> </w:t>
      </w:r>
      <w:r>
        <w:rPr>
          <w:sz w:val="20"/>
        </w:rPr>
        <w:t>the</w:t>
      </w:r>
      <w:r>
        <w:rPr>
          <w:spacing w:val="-9"/>
          <w:sz w:val="20"/>
        </w:rPr>
        <w:t> </w:t>
      </w:r>
      <w:r>
        <w:rPr>
          <w:sz w:val="20"/>
        </w:rPr>
        <w:t>case.</w:t>
      </w:r>
      <w:r>
        <w:rPr>
          <w:spacing w:val="-6"/>
          <w:sz w:val="20"/>
        </w:rPr>
        <w:t> </w:t>
      </w:r>
      <w:r>
        <w:rPr>
          <w:sz w:val="20"/>
        </w:rPr>
        <w:t>Any</w:t>
      </w:r>
      <w:r>
        <w:rPr>
          <w:spacing w:val="-12"/>
          <w:sz w:val="20"/>
        </w:rPr>
        <w:t> </w:t>
      </w:r>
      <w:r>
        <w:rPr>
          <w:sz w:val="20"/>
        </w:rPr>
        <w:t>approach</w:t>
      </w:r>
      <w:r>
        <w:rPr>
          <w:spacing w:val="-8"/>
          <w:sz w:val="20"/>
        </w:rPr>
        <w:t> </w:t>
      </w:r>
      <w:r>
        <w:rPr>
          <w:sz w:val="20"/>
        </w:rPr>
        <w:t>to</w:t>
      </w:r>
      <w:r>
        <w:rPr>
          <w:spacing w:val="-9"/>
          <w:sz w:val="20"/>
        </w:rPr>
        <w:t> </w:t>
      </w:r>
      <w:r>
        <w:rPr>
          <w:sz w:val="20"/>
        </w:rPr>
        <w:t>achieve</w:t>
      </w:r>
      <w:r>
        <w:rPr>
          <w:spacing w:val="-6"/>
          <w:sz w:val="20"/>
        </w:rPr>
        <w:t> </w:t>
      </w:r>
      <w:r>
        <w:rPr>
          <w:sz w:val="20"/>
        </w:rPr>
        <w:t>early</w:t>
      </w:r>
      <w:r>
        <w:rPr>
          <w:spacing w:val="-10"/>
          <w:sz w:val="20"/>
        </w:rPr>
        <w:t> </w:t>
      </w:r>
      <w:r>
        <w:rPr>
          <w:sz w:val="20"/>
        </w:rPr>
        <w:t>tax</w:t>
      </w:r>
      <w:r>
        <w:rPr>
          <w:spacing w:val="-7"/>
          <w:sz w:val="20"/>
        </w:rPr>
        <w:t> </w:t>
      </w:r>
      <w:r>
        <w:rPr>
          <w:sz w:val="20"/>
        </w:rPr>
        <w:t>certainty</w:t>
      </w:r>
      <w:r>
        <w:rPr>
          <w:spacing w:val="-12"/>
          <w:sz w:val="20"/>
        </w:rPr>
        <w:t> </w:t>
      </w:r>
      <w:r>
        <w:rPr>
          <w:sz w:val="20"/>
        </w:rPr>
        <w:t>relies</w:t>
      </w:r>
      <w:r>
        <w:rPr>
          <w:spacing w:val="-7"/>
          <w:sz w:val="20"/>
        </w:rPr>
        <w:t> </w:t>
      </w:r>
      <w:r>
        <w:rPr>
          <w:sz w:val="20"/>
        </w:rPr>
        <w:t>upon</w:t>
      </w:r>
      <w:r>
        <w:rPr>
          <w:spacing w:val="-9"/>
          <w:sz w:val="20"/>
        </w:rPr>
        <w:t> </w:t>
      </w:r>
      <w:r>
        <w:rPr>
          <w:sz w:val="20"/>
        </w:rPr>
        <w:t>active</w:t>
      </w:r>
      <w:r>
        <w:rPr>
          <w:spacing w:val="-6"/>
          <w:sz w:val="20"/>
        </w:rPr>
        <w:t> </w:t>
      </w:r>
      <w:r>
        <w:rPr>
          <w:sz w:val="20"/>
        </w:rPr>
        <w:t>and</w:t>
      </w:r>
      <w:r>
        <w:rPr>
          <w:spacing w:val="-9"/>
          <w:sz w:val="20"/>
        </w:rPr>
        <w:t> </w:t>
      </w:r>
      <w:r>
        <w:rPr>
          <w:sz w:val="20"/>
        </w:rPr>
        <w:t>transparent participation by an MNE group. Wherever additional input is requested, it is critical that an MNE group endeavours to provide the information or clarification as quickly as possible, reflecting timeframes agreed with</w:t>
      </w:r>
      <w:r>
        <w:rPr>
          <w:spacing w:val="-13"/>
          <w:sz w:val="20"/>
        </w:rPr>
        <w:t> </w:t>
      </w:r>
      <w:r>
        <w:rPr>
          <w:sz w:val="20"/>
        </w:rPr>
        <w:t>the</w:t>
      </w:r>
      <w:r>
        <w:rPr>
          <w:spacing w:val="-12"/>
          <w:sz w:val="20"/>
        </w:rPr>
        <w:t> </w:t>
      </w:r>
      <w:r>
        <w:rPr>
          <w:sz w:val="20"/>
        </w:rPr>
        <w:t>panel</w:t>
      </w:r>
      <w:r>
        <w:rPr>
          <w:spacing w:val="-13"/>
          <w:sz w:val="20"/>
        </w:rPr>
        <w:t> </w:t>
      </w:r>
      <w:r>
        <w:rPr>
          <w:sz w:val="20"/>
        </w:rPr>
        <w:t>(taking</w:t>
      </w:r>
      <w:r>
        <w:rPr>
          <w:spacing w:val="-12"/>
          <w:sz w:val="20"/>
        </w:rPr>
        <w:t> </w:t>
      </w:r>
      <w:r>
        <w:rPr>
          <w:sz w:val="20"/>
        </w:rPr>
        <w:t>into</w:t>
      </w:r>
      <w:r>
        <w:rPr>
          <w:spacing w:val="-13"/>
          <w:sz w:val="20"/>
        </w:rPr>
        <w:t> </w:t>
      </w:r>
      <w:r>
        <w:rPr>
          <w:sz w:val="20"/>
        </w:rPr>
        <w:t>account</w:t>
      </w:r>
      <w:r>
        <w:rPr>
          <w:spacing w:val="-14"/>
          <w:sz w:val="20"/>
        </w:rPr>
        <w:t> </w:t>
      </w:r>
      <w:r>
        <w:rPr>
          <w:sz w:val="20"/>
        </w:rPr>
        <w:t>the</w:t>
      </w:r>
      <w:r>
        <w:rPr>
          <w:spacing w:val="-13"/>
          <w:sz w:val="20"/>
        </w:rPr>
        <w:t> </w:t>
      </w:r>
      <w:r>
        <w:rPr>
          <w:sz w:val="20"/>
        </w:rPr>
        <w:t>volume</w:t>
      </w:r>
      <w:r>
        <w:rPr>
          <w:spacing w:val="-14"/>
          <w:sz w:val="20"/>
        </w:rPr>
        <w:t> </w:t>
      </w:r>
      <w:r>
        <w:rPr>
          <w:sz w:val="20"/>
        </w:rPr>
        <w:t>and</w:t>
      </w:r>
      <w:r>
        <w:rPr>
          <w:spacing w:val="-14"/>
          <w:sz w:val="20"/>
        </w:rPr>
        <w:t> </w:t>
      </w:r>
      <w:r>
        <w:rPr>
          <w:sz w:val="20"/>
        </w:rPr>
        <w:t>availability</w:t>
      </w:r>
      <w:r>
        <w:rPr>
          <w:spacing w:val="-16"/>
          <w:sz w:val="20"/>
        </w:rPr>
        <w:t> </w:t>
      </w:r>
      <w:r>
        <w:rPr>
          <w:sz w:val="20"/>
        </w:rPr>
        <w:t>of</w:t>
      </w:r>
      <w:r>
        <w:rPr>
          <w:spacing w:val="-12"/>
          <w:sz w:val="20"/>
        </w:rPr>
        <w:t> </w:t>
      </w:r>
      <w:r>
        <w:rPr>
          <w:sz w:val="20"/>
        </w:rPr>
        <w:t>the</w:t>
      </w:r>
      <w:r>
        <w:rPr>
          <w:spacing w:val="-13"/>
          <w:sz w:val="20"/>
        </w:rPr>
        <w:t> </w:t>
      </w:r>
      <w:r>
        <w:rPr>
          <w:sz w:val="20"/>
        </w:rPr>
        <w:t>information</w:t>
      </w:r>
      <w:r>
        <w:rPr>
          <w:spacing w:val="-14"/>
          <w:sz w:val="20"/>
        </w:rPr>
        <w:t> </w:t>
      </w:r>
      <w:r>
        <w:rPr>
          <w:sz w:val="20"/>
        </w:rPr>
        <w:t>requested).</w:t>
      </w:r>
      <w:r>
        <w:rPr>
          <w:spacing w:val="-14"/>
          <w:sz w:val="20"/>
        </w:rPr>
        <w:t> </w:t>
      </w:r>
      <w:r>
        <w:rPr>
          <w:sz w:val="20"/>
        </w:rPr>
        <w:t>This</w:t>
      </w:r>
      <w:r>
        <w:rPr>
          <w:spacing w:val="-13"/>
          <w:sz w:val="20"/>
        </w:rPr>
        <w:t> </w:t>
      </w:r>
      <w:r>
        <w:rPr>
          <w:sz w:val="20"/>
        </w:rPr>
        <w:t>additional information</w:t>
      </w:r>
      <w:r>
        <w:rPr>
          <w:spacing w:val="-17"/>
          <w:sz w:val="20"/>
        </w:rPr>
        <w:t> </w:t>
      </w:r>
      <w:r>
        <w:rPr>
          <w:sz w:val="20"/>
        </w:rPr>
        <w:t>may</w:t>
      </w:r>
      <w:r>
        <w:rPr>
          <w:spacing w:val="-22"/>
          <w:sz w:val="20"/>
        </w:rPr>
        <w:t> </w:t>
      </w:r>
      <w:r>
        <w:rPr>
          <w:sz w:val="20"/>
        </w:rPr>
        <w:t>be</w:t>
      </w:r>
      <w:r>
        <w:rPr>
          <w:spacing w:val="-14"/>
          <w:sz w:val="20"/>
        </w:rPr>
        <w:t> </w:t>
      </w:r>
      <w:r>
        <w:rPr>
          <w:sz w:val="20"/>
        </w:rPr>
        <w:t>provided</w:t>
      </w:r>
      <w:r>
        <w:rPr>
          <w:spacing w:val="-16"/>
          <w:sz w:val="20"/>
        </w:rPr>
        <w:t> </w:t>
      </w:r>
      <w:r>
        <w:rPr>
          <w:sz w:val="20"/>
        </w:rPr>
        <w:t>on</w:t>
      </w:r>
      <w:r>
        <w:rPr>
          <w:spacing w:val="-17"/>
          <w:sz w:val="20"/>
        </w:rPr>
        <w:t> </w:t>
      </w:r>
      <w:r>
        <w:rPr>
          <w:sz w:val="20"/>
        </w:rPr>
        <w:t>request</w:t>
      </w:r>
      <w:r>
        <w:rPr>
          <w:spacing w:val="-16"/>
          <w:sz w:val="20"/>
        </w:rPr>
        <w:t> </w:t>
      </w:r>
      <w:r>
        <w:rPr>
          <w:sz w:val="20"/>
        </w:rPr>
        <w:t>to</w:t>
      </w:r>
      <w:r>
        <w:rPr>
          <w:spacing w:val="-16"/>
          <w:sz w:val="20"/>
        </w:rPr>
        <w:t> </w:t>
      </w:r>
      <w:r>
        <w:rPr>
          <w:sz w:val="20"/>
        </w:rPr>
        <w:t>affected</w:t>
      </w:r>
      <w:r>
        <w:rPr>
          <w:spacing w:val="-17"/>
          <w:sz w:val="20"/>
        </w:rPr>
        <w:t> </w:t>
      </w:r>
      <w:r>
        <w:rPr>
          <w:sz w:val="20"/>
        </w:rPr>
        <w:t>tax</w:t>
      </w:r>
      <w:r>
        <w:rPr>
          <w:spacing w:val="-15"/>
          <w:sz w:val="20"/>
        </w:rPr>
        <w:t> </w:t>
      </w:r>
      <w:r>
        <w:rPr>
          <w:sz w:val="20"/>
        </w:rPr>
        <w:t>administrations</w:t>
      </w:r>
      <w:r>
        <w:rPr>
          <w:spacing w:val="-15"/>
          <w:sz w:val="20"/>
        </w:rPr>
        <w:t> </w:t>
      </w:r>
      <w:r>
        <w:rPr>
          <w:sz w:val="20"/>
        </w:rPr>
        <w:t>not</w:t>
      </w:r>
      <w:r>
        <w:rPr>
          <w:spacing w:val="-14"/>
          <w:sz w:val="20"/>
        </w:rPr>
        <w:t> </w:t>
      </w:r>
      <w:r>
        <w:rPr>
          <w:sz w:val="20"/>
        </w:rPr>
        <w:t>participating</w:t>
      </w:r>
      <w:r>
        <w:rPr>
          <w:spacing w:val="-16"/>
          <w:sz w:val="20"/>
        </w:rPr>
        <w:t> </w:t>
      </w:r>
      <w:r>
        <w:rPr>
          <w:sz w:val="20"/>
        </w:rPr>
        <w:t>in</w:t>
      </w:r>
      <w:r>
        <w:rPr>
          <w:spacing w:val="-16"/>
          <w:sz w:val="20"/>
        </w:rPr>
        <w:t> </w:t>
      </w:r>
      <w:r>
        <w:rPr>
          <w:sz w:val="20"/>
        </w:rPr>
        <w:t>the</w:t>
      </w:r>
      <w:r>
        <w:rPr>
          <w:spacing w:val="-17"/>
          <w:sz w:val="20"/>
        </w:rPr>
        <w:t> </w:t>
      </w:r>
      <w:r>
        <w:rPr>
          <w:sz w:val="20"/>
        </w:rPr>
        <w:t>review</w:t>
      </w:r>
      <w:r>
        <w:rPr>
          <w:spacing w:val="-16"/>
          <w:sz w:val="20"/>
        </w:rPr>
        <w:t> </w:t>
      </w:r>
      <w:r>
        <w:rPr>
          <w:sz w:val="20"/>
        </w:rPr>
        <w:t>panel, or</w:t>
      </w:r>
      <w:r>
        <w:rPr>
          <w:spacing w:val="-15"/>
          <w:sz w:val="20"/>
        </w:rPr>
        <w:t> </w:t>
      </w:r>
      <w:r>
        <w:rPr>
          <w:sz w:val="20"/>
        </w:rPr>
        <w:t>may</w:t>
      </w:r>
      <w:r>
        <w:rPr>
          <w:spacing w:val="-16"/>
          <w:sz w:val="20"/>
        </w:rPr>
        <w:t> </w:t>
      </w:r>
      <w:r>
        <w:rPr>
          <w:sz w:val="20"/>
        </w:rPr>
        <w:t>be</w:t>
      </w:r>
      <w:r>
        <w:rPr>
          <w:spacing w:val="-14"/>
          <w:sz w:val="20"/>
        </w:rPr>
        <w:t> </w:t>
      </w:r>
      <w:r>
        <w:rPr>
          <w:sz w:val="20"/>
        </w:rPr>
        <w:t>made</w:t>
      </w:r>
      <w:r>
        <w:rPr>
          <w:spacing w:val="-13"/>
          <w:sz w:val="20"/>
        </w:rPr>
        <w:t> </w:t>
      </w:r>
      <w:r>
        <w:rPr>
          <w:sz w:val="20"/>
        </w:rPr>
        <w:t>directly</w:t>
      </w:r>
      <w:r>
        <w:rPr>
          <w:spacing w:val="-17"/>
          <w:sz w:val="20"/>
        </w:rPr>
        <w:t> </w:t>
      </w:r>
      <w:r>
        <w:rPr>
          <w:sz w:val="20"/>
        </w:rPr>
        <w:t>available</w:t>
      </w:r>
      <w:r>
        <w:rPr>
          <w:spacing w:val="-13"/>
          <w:sz w:val="20"/>
        </w:rPr>
        <w:t> </w:t>
      </w:r>
      <w:r>
        <w:rPr>
          <w:sz w:val="20"/>
        </w:rPr>
        <w:t>to</w:t>
      </w:r>
      <w:r>
        <w:rPr>
          <w:spacing w:val="-12"/>
          <w:sz w:val="20"/>
        </w:rPr>
        <w:t> </w:t>
      </w:r>
      <w:r>
        <w:rPr>
          <w:sz w:val="20"/>
        </w:rPr>
        <w:t>these</w:t>
      </w:r>
      <w:r>
        <w:rPr>
          <w:spacing w:val="-14"/>
          <w:sz w:val="20"/>
        </w:rPr>
        <w:t> </w:t>
      </w:r>
      <w:r>
        <w:rPr>
          <w:sz w:val="20"/>
        </w:rPr>
        <w:t>tax</w:t>
      </w:r>
      <w:r>
        <w:rPr>
          <w:spacing w:val="-12"/>
          <w:sz w:val="20"/>
        </w:rPr>
        <w:t> </w:t>
      </w:r>
      <w:r>
        <w:rPr>
          <w:sz w:val="20"/>
        </w:rPr>
        <w:t>administrations.</w:t>
      </w:r>
      <w:r>
        <w:rPr>
          <w:spacing w:val="-16"/>
          <w:sz w:val="20"/>
        </w:rPr>
        <w:t> </w:t>
      </w:r>
      <w:r>
        <w:rPr>
          <w:sz w:val="20"/>
        </w:rPr>
        <w:t>Wherever</w:t>
      </w:r>
      <w:r>
        <w:rPr>
          <w:spacing w:val="-12"/>
          <w:sz w:val="20"/>
        </w:rPr>
        <w:t> </w:t>
      </w:r>
      <w:r>
        <w:rPr>
          <w:sz w:val="20"/>
        </w:rPr>
        <w:t>possible,</w:t>
      </w:r>
      <w:r>
        <w:rPr>
          <w:spacing w:val="-12"/>
          <w:sz w:val="20"/>
        </w:rPr>
        <w:t> </w:t>
      </w:r>
      <w:r>
        <w:rPr>
          <w:sz w:val="20"/>
        </w:rPr>
        <w:t>the</w:t>
      </w:r>
      <w:r>
        <w:rPr>
          <w:spacing w:val="-13"/>
          <w:sz w:val="20"/>
        </w:rPr>
        <w:t> </w:t>
      </w:r>
      <w:r>
        <w:rPr>
          <w:sz w:val="20"/>
        </w:rPr>
        <w:t>panel</w:t>
      </w:r>
      <w:r>
        <w:rPr>
          <w:spacing w:val="-14"/>
          <w:sz w:val="20"/>
        </w:rPr>
        <w:t> </w:t>
      </w:r>
      <w:r>
        <w:rPr>
          <w:sz w:val="20"/>
        </w:rPr>
        <w:t>review</w:t>
      </w:r>
      <w:r>
        <w:rPr>
          <w:spacing w:val="-15"/>
          <w:sz w:val="20"/>
        </w:rPr>
        <w:t> </w:t>
      </w:r>
      <w:r>
        <w:rPr>
          <w:sz w:val="20"/>
        </w:rPr>
        <w:t>should be completed within [three months] from the start</w:t>
      </w:r>
      <w:r>
        <w:rPr>
          <w:spacing w:val="-5"/>
          <w:sz w:val="20"/>
        </w:rPr>
        <w:t> </w:t>
      </w:r>
      <w:r>
        <w:rPr>
          <w:sz w:val="20"/>
        </w:rPr>
        <w:t>date.</w:t>
      </w:r>
    </w:p>
    <w:p>
      <w:pPr>
        <w:pStyle w:val="ListParagraph"/>
        <w:numPr>
          <w:ilvl w:val="0"/>
          <w:numId w:val="13"/>
        </w:numPr>
        <w:tabs>
          <w:tab w:pos="1444" w:val="left" w:leader="none"/>
        </w:tabs>
        <w:spacing w:line="271" w:lineRule="auto" w:before="123" w:after="0"/>
        <w:ind w:left="723" w:right="482" w:firstLine="0"/>
        <w:jc w:val="both"/>
        <w:rPr>
          <w:sz w:val="20"/>
        </w:rPr>
      </w:pPr>
      <w:r>
        <w:rPr>
          <w:sz w:val="20"/>
        </w:rPr>
        <w:t>If,</w:t>
      </w:r>
      <w:r>
        <w:rPr>
          <w:spacing w:val="-6"/>
          <w:sz w:val="20"/>
        </w:rPr>
        <w:t> </w:t>
      </w:r>
      <w:r>
        <w:rPr>
          <w:sz w:val="20"/>
        </w:rPr>
        <w:t>in</w:t>
      </w:r>
      <w:r>
        <w:rPr>
          <w:spacing w:val="-7"/>
          <w:sz w:val="20"/>
        </w:rPr>
        <w:t> </w:t>
      </w:r>
      <w:r>
        <w:rPr>
          <w:sz w:val="20"/>
        </w:rPr>
        <w:t>the</w:t>
      </w:r>
      <w:r>
        <w:rPr>
          <w:spacing w:val="-5"/>
          <w:sz w:val="20"/>
        </w:rPr>
        <w:t> </w:t>
      </w:r>
      <w:r>
        <w:rPr>
          <w:sz w:val="20"/>
        </w:rPr>
        <w:t>view</w:t>
      </w:r>
      <w:r>
        <w:rPr>
          <w:spacing w:val="-6"/>
          <w:sz w:val="20"/>
        </w:rPr>
        <w:t> </w:t>
      </w:r>
      <w:r>
        <w:rPr>
          <w:sz w:val="20"/>
        </w:rPr>
        <w:t>of</w:t>
      </w:r>
      <w:r>
        <w:rPr>
          <w:spacing w:val="-4"/>
          <w:sz w:val="20"/>
        </w:rPr>
        <w:t> </w:t>
      </w:r>
      <w:r>
        <w:rPr>
          <w:sz w:val="20"/>
        </w:rPr>
        <w:t>review</w:t>
      </w:r>
      <w:r>
        <w:rPr>
          <w:spacing w:val="-8"/>
          <w:sz w:val="20"/>
        </w:rPr>
        <w:t> </w:t>
      </w:r>
      <w:r>
        <w:rPr>
          <w:sz w:val="20"/>
        </w:rPr>
        <w:t>panel</w:t>
      </w:r>
      <w:r>
        <w:rPr>
          <w:spacing w:val="-8"/>
          <w:sz w:val="20"/>
        </w:rPr>
        <w:t> </w:t>
      </w:r>
      <w:r>
        <w:rPr>
          <w:sz w:val="20"/>
        </w:rPr>
        <w:t>members,</w:t>
      </w:r>
      <w:r>
        <w:rPr>
          <w:spacing w:val="-4"/>
          <w:sz w:val="20"/>
        </w:rPr>
        <w:t> </w:t>
      </w:r>
      <w:r>
        <w:rPr>
          <w:sz w:val="20"/>
        </w:rPr>
        <w:t>an</w:t>
      </w:r>
      <w:r>
        <w:rPr>
          <w:spacing w:val="-7"/>
          <w:sz w:val="20"/>
        </w:rPr>
        <w:t> </w:t>
      </w:r>
      <w:r>
        <w:rPr>
          <w:sz w:val="20"/>
        </w:rPr>
        <w:t>MNE</w:t>
      </w:r>
      <w:r>
        <w:rPr>
          <w:spacing w:val="-7"/>
          <w:sz w:val="20"/>
        </w:rPr>
        <w:t> </w:t>
      </w:r>
      <w:r>
        <w:rPr>
          <w:sz w:val="20"/>
        </w:rPr>
        <w:t>group</w:t>
      </w:r>
      <w:r>
        <w:rPr>
          <w:spacing w:val="-5"/>
          <w:sz w:val="20"/>
        </w:rPr>
        <w:t> </w:t>
      </w:r>
      <w:r>
        <w:rPr>
          <w:sz w:val="20"/>
        </w:rPr>
        <w:t>is</w:t>
      </w:r>
      <w:r>
        <w:rPr>
          <w:spacing w:val="-4"/>
          <w:sz w:val="20"/>
        </w:rPr>
        <w:t> </w:t>
      </w:r>
      <w:r>
        <w:rPr>
          <w:sz w:val="20"/>
        </w:rPr>
        <w:t>persistently</w:t>
      </w:r>
      <w:r>
        <w:rPr>
          <w:spacing w:val="-7"/>
          <w:sz w:val="20"/>
        </w:rPr>
        <w:t> </w:t>
      </w:r>
      <w:r>
        <w:rPr>
          <w:sz w:val="20"/>
        </w:rPr>
        <w:t>late</w:t>
      </w:r>
      <w:r>
        <w:rPr>
          <w:spacing w:val="-7"/>
          <w:sz w:val="20"/>
        </w:rPr>
        <w:t> </w:t>
      </w:r>
      <w:r>
        <w:rPr>
          <w:sz w:val="20"/>
        </w:rPr>
        <w:t>in</w:t>
      </w:r>
      <w:r>
        <w:rPr>
          <w:spacing w:val="-7"/>
          <w:sz w:val="20"/>
        </w:rPr>
        <w:t> </w:t>
      </w:r>
      <w:r>
        <w:rPr>
          <w:sz w:val="20"/>
        </w:rPr>
        <w:t>providing</w:t>
      </w:r>
      <w:r>
        <w:rPr>
          <w:spacing w:val="-4"/>
          <w:sz w:val="20"/>
        </w:rPr>
        <w:t> </w:t>
      </w:r>
      <w:r>
        <w:rPr>
          <w:sz w:val="20"/>
        </w:rPr>
        <w:t>information to the review panel without explanation, is acting in an un-cooperative or non-transparent manner, including by providing inaccurate or incomplete information, or where information provided proves to be unreliable or changes (or is expected to change), this issue will be raised with the co-ordinating entity by the lead tax administration. Where this issue is not resolved and where objective criteria to be developed are</w:t>
      </w:r>
      <w:r>
        <w:rPr>
          <w:spacing w:val="-6"/>
          <w:sz w:val="20"/>
        </w:rPr>
        <w:t> </w:t>
      </w:r>
      <w:r>
        <w:rPr>
          <w:sz w:val="20"/>
        </w:rPr>
        <w:t>met,</w:t>
      </w:r>
      <w:r>
        <w:rPr>
          <w:spacing w:val="-5"/>
          <w:sz w:val="20"/>
        </w:rPr>
        <w:t> </w:t>
      </w:r>
      <w:r>
        <w:rPr>
          <w:sz w:val="20"/>
        </w:rPr>
        <w:t>the</w:t>
      </w:r>
      <w:r>
        <w:rPr>
          <w:spacing w:val="-5"/>
          <w:sz w:val="20"/>
        </w:rPr>
        <w:t> </w:t>
      </w:r>
      <w:r>
        <w:rPr>
          <w:sz w:val="20"/>
        </w:rPr>
        <w:t>co-ordinating</w:t>
      </w:r>
      <w:r>
        <w:rPr>
          <w:spacing w:val="-6"/>
          <w:sz w:val="20"/>
        </w:rPr>
        <w:t> </w:t>
      </w:r>
      <w:r>
        <w:rPr>
          <w:sz w:val="20"/>
        </w:rPr>
        <w:t>entity</w:t>
      </w:r>
      <w:r>
        <w:rPr>
          <w:spacing w:val="-9"/>
          <w:sz w:val="20"/>
        </w:rPr>
        <w:t> </w:t>
      </w:r>
      <w:r>
        <w:rPr>
          <w:sz w:val="20"/>
        </w:rPr>
        <w:t>may</w:t>
      </w:r>
      <w:r>
        <w:rPr>
          <w:spacing w:val="-6"/>
          <w:sz w:val="20"/>
        </w:rPr>
        <w:t> </w:t>
      </w:r>
      <w:r>
        <w:rPr>
          <w:sz w:val="20"/>
        </w:rPr>
        <w:t>be</w:t>
      </w:r>
      <w:r>
        <w:rPr>
          <w:spacing w:val="-5"/>
          <w:sz w:val="20"/>
        </w:rPr>
        <w:t> </w:t>
      </w:r>
      <w:r>
        <w:rPr>
          <w:sz w:val="20"/>
        </w:rPr>
        <w:t>informed</w:t>
      </w:r>
      <w:r>
        <w:rPr>
          <w:spacing w:val="-6"/>
          <w:sz w:val="20"/>
        </w:rPr>
        <w:t> </w:t>
      </w:r>
      <w:r>
        <w:rPr>
          <w:sz w:val="20"/>
        </w:rPr>
        <w:t>that</w:t>
      </w:r>
      <w:r>
        <w:rPr>
          <w:spacing w:val="-3"/>
          <w:sz w:val="20"/>
        </w:rPr>
        <w:t> </w:t>
      </w:r>
      <w:r>
        <w:rPr>
          <w:sz w:val="20"/>
        </w:rPr>
        <w:t>the</w:t>
      </w:r>
      <w:r>
        <w:rPr>
          <w:spacing w:val="-7"/>
          <w:sz w:val="20"/>
        </w:rPr>
        <w:t> </w:t>
      </w:r>
      <w:r>
        <w:rPr>
          <w:sz w:val="20"/>
        </w:rPr>
        <w:t>review</w:t>
      </w:r>
      <w:r>
        <w:rPr>
          <w:spacing w:val="-5"/>
          <w:sz w:val="20"/>
        </w:rPr>
        <w:t> </w:t>
      </w:r>
      <w:r>
        <w:rPr>
          <w:sz w:val="20"/>
        </w:rPr>
        <w:t>panel</w:t>
      </w:r>
      <w:r>
        <w:rPr>
          <w:spacing w:val="-4"/>
          <w:sz w:val="20"/>
        </w:rPr>
        <w:t> </w:t>
      </w:r>
      <w:r>
        <w:rPr>
          <w:sz w:val="20"/>
        </w:rPr>
        <w:t>is</w:t>
      </w:r>
      <w:r>
        <w:rPr>
          <w:spacing w:val="-3"/>
          <w:sz w:val="20"/>
        </w:rPr>
        <w:t> </w:t>
      </w:r>
      <w:r>
        <w:rPr>
          <w:sz w:val="20"/>
        </w:rPr>
        <w:t>not</w:t>
      </w:r>
      <w:r>
        <w:rPr>
          <w:spacing w:val="-3"/>
          <w:sz w:val="20"/>
        </w:rPr>
        <w:t> </w:t>
      </w:r>
      <w:r>
        <w:rPr>
          <w:sz w:val="20"/>
        </w:rPr>
        <w:t>able</w:t>
      </w:r>
      <w:r>
        <w:rPr>
          <w:spacing w:val="-2"/>
          <w:sz w:val="20"/>
        </w:rPr>
        <w:t> </w:t>
      </w:r>
      <w:r>
        <w:rPr>
          <w:sz w:val="20"/>
        </w:rPr>
        <w:t>complete</w:t>
      </w:r>
      <w:r>
        <w:rPr>
          <w:spacing w:val="-4"/>
          <w:sz w:val="20"/>
        </w:rPr>
        <w:t> </w:t>
      </w:r>
      <w:r>
        <w:rPr>
          <w:sz w:val="20"/>
        </w:rPr>
        <w:t>the</w:t>
      </w:r>
      <w:r>
        <w:rPr>
          <w:spacing w:val="-4"/>
          <w:sz w:val="20"/>
        </w:rPr>
        <w:t> </w:t>
      </w:r>
      <w:r>
        <w:rPr>
          <w:sz w:val="20"/>
        </w:rPr>
        <w:t>review</w:t>
      </w:r>
      <w:r>
        <w:rPr>
          <w:spacing w:val="-6"/>
          <w:sz w:val="20"/>
        </w:rPr>
        <w:t> </w:t>
      </w:r>
      <w:r>
        <w:rPr>
          <w:sz w:val="20"/>
        </w:rPr>
        <w:t>as requested. These are the only circumstances in which an MNE group may not be provided with</w:t>
      </w:r>
      <w:r>
        <w:rPr>
          <w:spacing w:val="37"/>
          <w:sz w:val="20"/>
        </w:rPr>
        <w:t> </w:t>
      </w:r>
      <w:r>
        <w:rPr>
          <w:sz w:val="20"/>
        </w:rPr>
        <w:t>certainty</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after</w:t>
      </w:r>
      <w:r>
        <w:rPr>
          <w:spacing w:val="-13"/>
        </w:rPr>
        <w:t> </w:t>
      </w:r>
      <w:r>
        <w:rPr/>
        <w:t>having</w:t>
      </w:r>
      <w:r>
        <w:rPr>
          <w:spacing w:val="-13"/>
        </w:rPr>
        <w:t> </w:t>
      </w:r>
      <w:r>
        <w:rPr/>
        <w:t>submitted</w:t>
      </w:r>
      <w:r>
        <w:rPr>
          <w:spacing w:val="-13"/>
        </w:rPr>
        <w:t> </w:t>
      </w:r>
      <w:r>
        <w:rPr/>
        <w:t>a</w:t>
      </w:r>
      <w:r>
        <w:rPr>
          <w:spacing w:val="-11"/>
        </w:rPr>
        <w:t> </w:t>
      </w:r>
      <w:r>
        <w:rPr/>
        <w:t>request,</w:t>
      </w:r>
      <w:r>
        <w:rPr>
          <w:spacing w:val="-13"/>
        </w:rPr>
        <w:t> </w:t>
      </w:r>
      <w:r>
        <w:rPr/>
        <w:t>and</w:t>
      </w:r>
      <w:r>
        <w:rPr>
          <w:spacing w:val="-8"/>
        </w:rPr>
        <w:t> </w:t>
      </w:r>
      <w:r>
        <w:rPr/>
        <w:t>it</w:t>
      </w:r>
      <w:r>
        <w:rPr>
          <w:spacing w:val="-11"/>
        </w:rPr>
        <w:t> </w:t>
      </w:r>
      <w:r>
        <w:rPr/>
        <w:t>should</w:t>
      </w:r>
      <w:r>
        <w:rPr>
          <w:spacing w:val="-11"/>
        </w:rPr>
        <w:t> </w:t>
      </w:r>
      <w:r>
        <w:rPr/>
        <w:t>instead</w:t>
      </w:r>
      <w:r>
        <w:rPr>
          <w:spacing w:val="-11"/>
        </w:rPr>
        <w:t> </w:t>
      </w:r>
      <w:r>
        <w:rPr/>
        <w:t>rely</w:t>
      </w:r>
      <w:r>
        <w:rPr>
          <w:spacing w:val="-16"/>
        </w:rPr>
        <w:t> </w:t>
      </w:r>
      <w:r>
        <w:rPr/>
        <w:t>on</w:t>
      </w:r>
      <w:r>
        <w:rPr>
          <w:spacing w:val="-13"/>
        </w:rPr>
        <w:t> </w:t>
      </w:r>
      <w:r>
        <w:rPr/>
        <w:t>domestic</w:t>
      </w:r>
      <w:r>
        <w:rPr>
          <w:spacing w:val="-11"/>
        </w:rPr>
        <w:t> </w:t>
      </w:r>
      <w:r>
        <w:rPr/>
        <w:t>remedies.</w:t>
      </w:r>
      <w:r>
        <w:rPr>
          <w:spacing w:val="-12"/>
        </w:rPr>
        <w:t> </w:t>
      </w:r>
      <w:r>
        <w:rPr/>
        <w:t>In</w:t>
      </w:r>
      <w:r>
        <w:rPr>
          <w:spacing w:val="-13"/>
        </w:rPr>
        <w:t> </w:t>
      </w:r>
      <w:r>
        <w:rPr/>
        <w:t>cases</w:t>
      </w:r>
      <w:r>
        <w:rPr>
          <w:spacing w:val="-9"/>
        </w:rPr>
        <w:t> </w:t>
      </w:r>
      <w:r>
        <w:rPr/>
        <w:t>where</w:t>
      </w:r>
      <w:r>
        <w:rPr>
          <w:spacing w:val="-11"/>
        </w:rPr>
        <w:t> </w:t>
      </w:r>
      <w:r>
        <w:rPr/>
        <w:t>a</w:t>
      </w:r>
      <w:r>
        <w:rPr>
          <w:spacing w:val="-13"/>
        </w:rPr>
        <w:t> </w:t>
      </w:r>
      <w:r>
        <w:rPr/>
        <w:t>review cannot be completed because information provided by the MNE group has changed or is expected to change, but the MNE group has acted in goodwill and informed the lead tax administration of any uncertainty</w:t>
      </w:r>
      <w:r>
        <w:rPr>
          <w:spacing w:val="-8"/>
        </w:rPr>
        <w:t> </w:t>
      </w:r>
      <w:r>
        <w:rPr/>
        <w:t>it</w:t>
      </w:r>
      <w:r>
        <w:rPr>
          <w:spacing w:val="-3"/>
        </w:rPr>
        <w:t> </w:t>
      </w:r>
      <w:r>
        <w:rPr/>
        <w:t>is</w:t>
      </w:r>
      <w:r>
        <w:rPr>
          <w:spacing w:val="-2"/>
        </w:rPr>
        <w:t> </w:t>
      </w:r>
      <w:r>
        <w:rPr/>
        <w:t>aware</w:t>
      </w:r>
      <w:r>
        <w:rPr>
          <w:spacing w:val="-4"/>
        </w:rPr>
        <w:t> </w:t>
      </w:r>
      <w:r>
        <w:rPr/>
        <w:t>of,</w:t>
      </w:r>
      <w:r>
        <w:rPr>
          <w:spacing w:val="-3"/>
        </w:rPr>
        <w:t> </w:t>
      </w:r>
      <w:r>
        <w:rPr/>
        <w:t>it</w:t>
      </w:r>
      <w:r>
        <w:rPr>
          <w:spacing w:val="-1"/>
        </w:rPr>
        <w:t> </w:t>
      </w:r>
      <w:r>
        <w:rPr/>
        <w:t>may</w:t>
      </w:r>
      <w:r>
        <w:rPr>
          <w:spacing w:val="-8"/>
        </w:rPr>
        <w:t> </w:t>
      </w:r>
      <w:r>
        <w:rPr/>
        <w:t>be</w:t>
      </w:r>
      <w:r>
        <w:rPr>
          <w:spacing w:val="-4"/>
        </w:rPr>
        <w:t> </w:t>
      </w:r>
      <w:r>
        <w:rPr/>
        <w:t>agreed</w:t>
      </w:r>
      <w:r>
        <w:rPr>
          <w:spacing w:val="-3"/>
        </w:rPr>
        <w:t> </w:t>
      </w:r>
      <w:r>
        <w:rPr/>
        <w:t>that</w:t>
      </w:r>
      <w:r>
        <w:rPr>
          <w:spacing w:val="-3"/>
        </w:rPr>
        <w:t> </w:t>
      </w:r>
      <w:r>
        <w:rPr/>
        <w:t>a</w:t>
      </w:r>
      <w:r>
        <w:rPr>
          <w:spacing w:val="-5"/>
        </w:rPr>
        <w:t> </w:t>
      </w:r>
      <w:r>
        <w:rPr/>
        <w:t>review</w:t>
      </w:r>
      <w:r>
        <w:rPr>
          <w:spacing w:val="-5"/>
        </w:rPr>
        <w:t> </w:t>
      </w:r>
      <w:r>
        <w:rPr/>
        <w:t>of</w:t>
      </w:r>
      <w:r>
        <w:rPr>
          <w:spacing w:val="-1"/>
        </w:rPr>
        <w:t> </w:t>
      </w:r>
      <w:r>
        <w:rPr/>
        <w:t>the</w:t>
      </w:r>
      <w:r>
        <w:rPr>
          <w:spacing w:val="-4"/>
        </w:rPr>
        <w:t> </w:t>
      </w:r>
      <w:r>
        <w:rPr/>
        <w:t>MNE</w:t>
      </w:r>
      <w:r>
        <w:rPr>
          <w:spacing w:val="-3"/>
        </w:rPr>
        <w:t> </w:t>
      </w:r>
      <w:r>
        <w:rPr/>
        <w:t>group’s</w:t>
      </w:r>
      <w:r>
        <w:rPr>
          <w:spacing w:val="-2"/>
        </w:rPr>
        <w:t> </w:t>
      </w:r>
      <w:r>
        <w:rPr/>
        <w:t>application</w:t>
      </w:r>
      <w:r>
        <w:rPr>
          <w:spacing w:val="-3"/>
        </w:rPr>
        <w:t> </w:t>
      </w:r>
      <w:r>
        <w:rPr/>
        <w:t>of</w:t>
      </w:r>
      <w:r>
        <w:rPr>
          <w:spacing w:val="-1"/>
        </w:rPr>
        <w:t> </w:t>
      </w:r>
      <w:r>
        <w:rPr/>
        <w:t>Amount</w:t>
      </w:r>
      <w:r>
        <w:rPr>
          <w:spacing w:val="-4"/>
        </w:rPr>
        <w:t> </w:t>
      </w:r>
      <w:r>
        <w:rPr/>
        <w:t>A</w:t>
      </w:r>
      <w:r>
        <w:rPr>
          <w:spacing w:val="-4"/>
        </w:rPr>
        <w:t> </w:t>
      </w:r>
      <w:r>
        <w:rPr/>
        <w:t>may re-start once it is confident that relevant information is no longer subject to</w:t>
      </w:r>
      <w:r>
        <w:rPr>
          <w:spacing w:val="-15"/>
        </w:rPr>
        <w:t> </w:t>
      </w:r>
      <w:r>
        <w:rPr/>
        <w:t>change.</w:t>
      </w:r>
    </w:p>
    <w:p>
      <w:pPr>
        <w:pStyle w:val="ListParagraph"/>
        <w:numPr>
          <w:ilvl w:val="0"/>
          <w:numId w:val="13"/>
        </w:numPr>
        <w:tabs>
          <w:tab w:pos="1444" w:val="left" w:leader="none"/>
        </w:tabs>
        <w:spacing w:line="271" w:lineRule="auto" w:before="119" w:after="0"/>
        <w:ind w:left="723" w:right="481" w:firstLine="0"/>
        <w:jc w:val="both"/>
        <w:rPr>
          <w:sz w:val="20"/>
        </w:rPr>
      </w:pPr>
      <w:r>
        <w:rPr>
          <w:sz w:val="20"/>
        </w:rPr>
        <w:t>It may be possible for information to be made available to tax administrations via a secure virtual data</w:t>
      </w:r>
      <w:r>
        <w:rPr>
          <w:spacing w:val="-8"/>
          <w:sz w:val="20"/>
        </w:rPr>
        <w:t> </w:t>
      </w:r>
      <w:r>
        <w:rPr>
          <w:sz w:val="20"/>
        </w:rPr>
        <w:t>room</w:t>
      </w:r>
      <w:r>
        <w:rPr>
          <w:spacing w:val="-5"/>
          <w:sz w:val="20"/>
        </w:rPr>
        <w:t> </w:t>
      </w:r>
      <w:r>
        <w:rPr>
          <w:sz w:val="20"/>
        </w:rPr>
        <w:t>maintained</w:t>
      </w:r>
      <w:r>
        <w:rPr>
          <w:spacing w:val="-7"/>
          <w:sz w:val="20"/>
        </w:rPr>
        <w:t> </w:t>
      </w:r>
      <w:r>
        <w:rPr>
          <w:sz w:val="20"/>
        </w:rPr>
        <w:t>by</w:t>
      </w:r>
      <w:r>
        <w:rPr>
          <w:spacing w:val="-10"/>
          <w:sz w:val="20"/>
        </w:rPr>
        <w:t> </w:t>
      </w:r>
      <w:r>
        <w:rPr>
          <w:sz w:val="20"/>
        </w:rPr>
        <w:t>the</w:t>
      </w:r>
      <w:r>
        <w:rPr>
          <w:spacing w:val="-7"/>
          <w:sz w:val="20"/>
        </w:rPr>
        <w:t> </w:t>
      </w:r>
      <w:r>
        <w:rPr>
          <w:sz w:val="20"/>
        </w:rPr>
        <w:t>MNE</w:t>
      </w:r>
      <w:r>
        <w:rPr>
          <w:spacing w:val="-6"/>
          <w:sz w:val="20"/>
        </w:rPr>
        <w:t> </w:t>
      </w:r>
      <w:r>
        <w:rPr>
          <w:sz w:val="20"/>
        </w:rPr>
        <w:t>group.</w:t>
      </w:r>
      <w:r>
        <w:rPr>
          <w:spacing w:val="-7"/>
          <w:sz w:val="20"/>
        </w:rPr>
        <w:t> </w:t>
      </w:r>
      <w:r>
        <w:rPr>
          <w:sz w:val="20"/>
        </w:rPr>
        <w:t>Affected</w:t>
      </w:r>
      <w:r>
        <w:rPr>
          <w:spacing w:val="-7"/>
          <w:sz w:val="20"/>
        </w:rPr>
        <w:t> </w:t>
      </w:r>
      <w:r>
        <w:rPr>
          <w:sz w:val="20"/>
        </w:rPr>
        <w:t>tax</w:t>
      </w:r>
      <w:r>
        <w:rPr>
          <w:spacing w:val="-4"/>
          <w:sz w:val="20"/>
        </w:rPr>
        <w:t> </w:t>
      </w:r>
      <w:r>
        <w:rPr>
          <w:sz w:val="20"/>
        </w:rPr>
        <w:t>administrations</w:t>
      </w:r>
      <w:r>
        <w:rPr>
          <w:spacing w:val="-6"/>
          <w:sz w:val="20"/>
        </w:rPr>
        <w:t> </w:t>
      </w:r>
      <w:r>
        <w:rPr>
          <w:sz w:val="20"/>
        </w:rPr>
        <w:t>may</w:t>
      </w:r>
      <w:r>
        <w:rPr>
          <w:spacing w:val="-12"/>
          <w:sz w:val="20"/>
        </w:rPr>
        <w:t> </w:t>
      </w:r>
      <w:r>
        <w:rPr>
          <w:sz w:val="20"/>
        </w:rPr>
        <w:t>then</w:t>
      </w:r>
      <w:r>
        <w:rPr>
          <w:spacing w:val="-7"/>
          <w:sz w:val="20"/>
        </w:rPr>
        <w:t> </w:t>
      </w:r>
      <w:r>
        <w:rPr>
          <w:sz w:val="20"/>
        </w:rPr>
        <w:t>download</w:t>
      </w:r>
      <w:r>
        <w:rPr>
          <w:spacing w:val="-4"/>
          <w:sz w:val="20"/>
        </w:rPr>
        <w:t> </w:t>
      </w:r>
      <w:r>
        <w:rPr>
          <w:sz w:val="20"/>
        </w:rPr>
        <w:t>the</w:t>
      </w:r>
      <w:r>
        <w:rPr>
          <w:spacing w:val="-6"/>
          <w:sz w:val="20"/>
        </w:rPr>
        <w:t> </w:t>
      </w:r>
      <w:r>
        <w:rPr>
          <w:sz w:val="20"/>
        </w:rPr>
        <w:t>information they require. This is based on an approach adopted in the pilots for the FTA ICAP for a co-ordinated risk assessment of large MNE groups, ensuring access to information while reducing the burden on the lead tax</w:t>
      </w:r>
      <w:r>
        <w:rPr>
          <w:spacing w:val="-9"/>
          <w:sz w:val="20"/>
        </w:rPr>
        <w:t> </w:t>
      </w:r>
      <w:r>
        <w:rPr>
          <w:sz w:val="20"/>
        </w:rPr>
        <w:t>administration.</w:t>
      </w:r>
      <w:r>
        <w:rPr>
          <w:spacing w:val="-10"/>
          <w:sz w:val="20"/>
        </w:rPr>
        <w:t> </w:t>
      </w:r>
      <w:r>
        <w:rPr>
          <w:sz w:val="20"/>
        </w:rPr>
        <w:t>However,</w:t>
      </w:r>
      <w:r>
        <w:rPr>
          <w:spacing w:val="-9"/>
          <w:sz w:val="20"/>
        </w:rPr>
        <w:t> </w:t>
      </w:r>
      <w:r>
        <w:rPr>
          <w:sz w:val="20"/>
        </w:rPr>
        <w:t>it</w:t>
      </w:r>
      <w:r>
        <w:rPr>
          <w:spacing w:val="-10"/>
          <w:sz w:val="20"/>
        </w:rPr>
        <w:t> </w:t>
      </w:r>
      <w:r>
        <w:rPr>
          <w:sz w:val="20"/>
        </w:rPr>
        <w:t>does</w:t>
      </w:r>
      <w:r>
        <w:rPr>
          <w:spacing w:val="-9"/>
          <w:sz w:val="20"/>
        </w:rPr>
        <w:t> </w:t>
      </w:r>
      <w:r>
        <w:rPr>
          <w:sz w:val="20"/>
        </w:rPr>
        <w:t>require</w:t>
      </w:r>
      <w:r>
        <w:rPr>
          <w:spacing w:val="-10"/>
          <w:sz w:val="20"/>
        </w:rPr>
        <w:t> </w:t>
      </w:r>
      <w:r>
        <w:rPr>
          <w:sz w:val="20"/>
        </w:rPr>
        <w:t>a</w:t>
      </w:r>
      <w:r>
        <w:rPr>
          <w:spacing w:val="-10"/>
          <w:sz w:val="20"/>
        </w:rPr>
        <w:t> </w:t>
      </w:r>
      <w:r>
        <w:rPr>
          <w:sz w:val="20"/>
        </w:rPr>
        <w:t>tax</w:t>
      </w:r>
      <w:r>
        <w:rPr>
          <w:spacing w:val="-9"/>
          <w:sz w:val="20"/>
        </w:rPr>
        <w:t> </w:t>
      </w:r>
      <w:r>
        <w:rPr>
          <w:sz w:val="20"/>
        </w:rPr>
        <w:t>administration</w:t>
      </w:r>
      <w:r>
        <w:rPr>
          <w:spacing w:val="-10"/>
          <w:sz w:val="20"/>
        </w:rPr>
        <w:t> </w:t>
      </w:r>
      <w:r>
        <w:rPr>
          <w:sz w:val="20"/>
        </w:rPr>
        <w:t>to</w:t>
      </w:r>
      <w:r>
        <w:rPr>
          <w:spacing w:val="-10"/>
          <w:sz w:val="20"/>
        </w:rPr>
        <w:t> </w:t>
      </w:r>
      <w:r>
        <w:rPr>
          <w:sz w:val="20"/>
        </w:rPr>
        <w:t>access</w:t>
      </w:r>
      <w:r>
        <w:rPr>
          <w:spacing w:val="-9"/>
          <w:sz w:val="20"/>
        </w:rPr>
        <w:t> </w:t>
      </w:r>
      <w:r>
        <w:rPr>
          <w:sz w:val="20"/>
        </w:rPr>
        <w:t>each</w:t>
      </w:r>
      <w:r>
        <w:rPr>
          <w:spacing w:val="-9"/>
          <w:sz w:val="20"/>
        </w:rPr>
        <w:t> </w:t>
      </w:r>
      <w:r>
        <w:rPr>
          <w:sz w:val="20"/>
        </w:rPr>
        <w:t>virtual</w:t>
      </w:r>
      <w:r>
        <w:rPr>
          <w:spacing w:val="-11"/>
          <w:sz w:val="20"/>
        </w:rPr>
        <w:t> </w:t>
      </w:r>
      <w:r>
        <w:rPr>
          <w:sz w:val="20"/>
        </w:rPr>
        <w:t>data</w:t>
      </w:r>
      <w:r>
        <w:rPr>
          <w:spacing w:val="-10"/>
          <w:sz w:val="20"/>
        </w:rPr>
        <w:t> </w:t>
      </w:r>
      <w:r>
        <w:rPr>
          <w:sz w:val="20"/>
        </w:rPr>
        <w:t>room</w:t>
      </w:r>
      <w:r>
        <w:rPr>
          <w:spacing w:val="-5"/>
          <w:sz w:val="20"/>
        </w:rPr>
        <w:t> </w:t>
      </w:r>
      <w:r>
        <w:rPr>
          <w:sz w:val="20"/>
        </w:rPr>
        <w:t>to</w:t>
      </w:r>
      <w:r>
        <w:rPr>
          <w:spacing w:val="-10"/>
          <w:sz w:val="20"/>
        </w:rPr>
        <w:t> </w:t>
      </w:r>
      <w:r>
        <w:rPr>
          <w:sz w:val="20"/>
        </w:rPr>
        <w:t>obtain information, which could be problematic if there are technical issues in accessing the data. It would also require MNE groups to establish virtual data rooms, which adds to their</w:t>
      </w:r>
      <w:r>
        <w:rPr>
          <w:spacing w:val="-15"/>
          <w:sz w:val="20"/>
        </w:rPr>
        <w:t> </w:t>
      </w:r>
      <w:r>
        <w:rPr>
          <w:sz w:val="20"/>
        </w:rPr>
        <w:t>burden.</w:t>
      </w:r>
    </w:p>
    <w:p>
      <w:pPr>
        <w:pStyle w:val="ListParagraph"/>
        <w:numPr>
          <w:ilvl w:val="0"/>
          <w:numId w:val="13"/>
        </w:numPr>
        <w:tabs>
          <w:tab w:pos="1444" w:val="left" w:leader="none"/>
        </w:tabs>
        <w:spacing w:line="271" w:lineRule="auto" w:before="123" w:after="0"/>
        <w:ind w:left="723" w:right="484" w:firstLine="0"/>
        <w:jc w:val="both"/>
        <w:rPr>
          <w:sz w:val="20"/>
        </w:rPr>
      </w:pPr>
      <w:r>
        <w:rPr>
          <w:sz w:val="20"/>
        </w:rPr>
        <w:t>In the event that any member of the review panel is not able to reach a conclusion within [three months], the lead tax administration should inform the co-ordinating entity that more time is needed to complete the panel review, which may involve further requests for information. The overall length of time needed</w:t>
      </w:r>
      <w:r>
        <w:rPr>
          <w:spacing w:val="-12"/>
          <w:sz w:val="20"/>
        </w:rPr>
        <w:t> </w:t>
      </w:r>
      <w:r>
        <w:rPr>
          <w:sz w:val="20"/>
        </w:rPr>
        <w:t>for</w:t>
      </w:r>
      <w:r>
        <w:rPr>
          <w:spacing w:val="-10"/>
          <w:sz w:val="20"/>
        </w:rPr>
        <w:t> </w:t>
      </w:r>
      <w:r>
        <w:rPr>
          <w:sz w:val="20"/>
        </w:rPr>
        <w:t>a</w:t>
      </w:r>
      <w:r>
        <w:rPr>
          <w:spacing w:val="-11"/>
          <w:sz w:val="20"/>
        </w:rPr>
        <w:t> </w:t>
      </w:r>
      <w:r>
        <w:rPr>
          <w:sz w:val="20"/>
        </w:rPr>
        <w:t>panel</w:t>
      </w:r>
      <w:r>
        <w:rPr>
          <w:spacing w:val="-12"/>
          <w:sz w:val="20"/>
        </w:rPr>
        <w:t> </w:t>
      </w:r>
      <w:r>
        <w:rPr>
          <w:sz w:val="20"/>
        </w:rPr>
        <w:t>review</w:t>
      </w:r>
      <w:r>
        <w:rPr>
          <w:spacing w:val="-10"/>
          <w:sz w:val="20"/>
        </w:rPr>
        <w:t> </w:t>
      </w:r>
      <w:r>
        <w:rPr>
          <w:sz w:val="20"/>
        </w:rPr>
        <w:t>will</w:t>
      </w:r>
      <w:r>
        <w:rPr>
          <w:spacing w:val="-11"/>
          <w:sz w:val="20"/>
        </w:rPr>
        <w:t> </w:t>
      </w:r>
      <w:r>
        <w:rPr>
          <w:sz w:val="20"/>
        </w:rPr>
        <w:t>vary,</w:t>
      </w:r>
      <w:r>
        <w:rPr>
          <w:spacing w:val="-11"/>
          <w:sz w:val="20"/>
        </w:rPr>
        <w:t> </w:t>
      </w:r>
      <w:r>
        <w:rPr>
          <w:sz w:val="20"/>
        </w:rPr>
        <w:t>but</w:t>
      </w:r>
      <w:r>
        <w:rPr>
          <w:spacing w:val="-11"/>
          <w:sz w:val="20"/>
        </w:rPr>
        <w:t> </w:t>
      </w:r>
      <w:r>
        <w:rPr>
          <w:sz w:val="20"/>
        </w:rPr>
        <w:t>it</w:t>
      </w:r>
      <w:r>
        <w:rPr>
          <w:spacing w:val="-10"/>
          <w:sz w:val="20"/>
        </w:rPr>
        <w:t> </w:t>
      </w:r>
      <w:r>
        <w:rPr>
          <w:sz w:val="20"/>
        </w:rPr>
        <w:t>is</w:t>
      </w:r>
      <w:r>
        <w:rPr>
          <w:spacing w:val="-10"/>
          <w:sz w:val="20"/>
        </w:rPr>
        <w:t> </w:t>
      </w:r>
      <w:r>
        <w:rPr>
          <w:sz w:val="20"/>
        </w:rPr>
        <w:t>anticipated</w:t>
      </w:r>
      <w:r>
        <w:rPr>
          <w:spacing w:val="-9"/>
          <w:sz w:val="20"/>
        </w:rPr>
        <w:t> </w:t>
      </w:r>
      <w:r>
        <w:rPr>
          <w:sz w:val="20"/>
        </w:rPr>
        <w:t>that</w:t>
      </w:r>
      <w:r>
        <w:rPr>
          <w:spacing w:val="-10"/>
          <w:sz w:val="20"/>
        </w:rPr>
        <w:t> </w:t>
      </w:r>
      <w:r>
        <w:rPr>
          <w:sz w:val="20"/>
        </w:rPr>
        <w:t>in</w:t>
      </w:r>
      <w:r>
        <w:rPr>
          <w:spacing w:val="-12"/>
          <w:sz w:val="20"/>
        </w:rPr>
        <w:t> </w:t>
      </w:r>
      <w:r>
        <w:rPr>
          <w:sz w:val="20"/>
        </w:rPr>
        <w:t>the</w:t>
      </w:r>
      <w:r>
        <w:rPr>
          <w:spacing w:val="-11"/>
          <w:sz w:val="20"/>
        </w:rPr>
        <w:t> </w:t>
      </w:r>
      <w:r>
        <w:rPr>
          <w:sz w:val="20"/>
        </w:rPr>
        <w:t>majority</w:t>
      </w:r>
      <w:r>
        <w:rPr>
          <w:spacing w:val="-14"/>
          <w:sz w:val="20"/>
        </w:rPr>
        <w:t> </w:t>
      </w:r>
      <w:r>
        <w:rPr>
          <w:sz w:val="20"/>
        </w:rPr>
        <w:t>of</w:t>
      </w:r>
      <w:r>
        <w:rPr>
          <w:spacing w:val="-9"/>
          <w:sz w:val="20"/>
        </w:rPr>
        <w:t> </w:t>
      </w:r>
      <w:r>
        <w:rPr>
          <w:sz w:val="20"/>
        </w:rPr>
        <w:t>cases</w:t>
      </w:r>
      <w:r>
        <w:rPr>
          <w:spacing w:val="-12"/>
          <w:sz w:val="20"/>
        </w:rPr>
        <w:t> </w:t>
      </w:r>
      <w:r>
        <w:rPr>
          <w:sz w:val="20"/>
        </w:rPr>
        <w:t>these</w:t>
      </w:r>
      <w:r>
        <w:rPr>
          <w:spacing w:val="-8"/>
          <w:sz w:val="20"/>
        </w:rPr>
        <w:t> </w:t>
      </w:r>
      <w:r>
        <w:rPr>
          <w:sz w:val="20"/>
        </w:rPr>
        <w:t>will</w:t>
      </w:r>
      <w:r>
        <w:rPr>
          <w:spacing w:val="-12"/>
          <w:sz w:val="20"/>
        </w:rPr>
        <w:t> </w:t>
      </w:r>
      <w:r>
        <w:rPr>
          <w:sz w:val="20"/>
        </w:rPr>
        <w:t>be</w:t>
      </w:r>
      <w:r>
        <w:rPr>
          <w:spacing w:val="-11"/>
          <w:sz w:val="20"/>
        </w:rPr>
        <w:t> </w:t>
      </w:r>
      <w:r>
        <w:rPr>
          <w:sz w:val="20"/>
        </w:rPr>
        <w:t>completed within</w:t>
      </w:r>
      <w:r>
        <w:rPr>
          <w:spacing w:val="-9"/>
          <w:sz w:val="20"/>
        </w:rPr>
        <w:t> </w:t>
      </w:r>
      <w:r>
        <w:rPr>
          <w:sz w:val="20"/>
        </w:rPr>
        <w:t>[nine</w:t>
      </w:r>
      <w:r>
        <w:rPr>
          <w:spacing w:val="-11"/>
          <w:sz w:val="20"/>
        </w:rPr>
        <w:t> </w:t>
      </w:r>
      <w:r>
        <w:rPr>
          <w:sz w:val="20"/>
        </w:rPr>
        <w:t>months]</w:t>
      </w:r>
      <w:r>
        <w:rPr>
          <w:spacing w:val="-10"/>
          <w:sz w:val="20"/>
        </w:rPr>
        <w:t> </w:t>
      </w:r>
      <w:r>
        <w:rPr>
          <w:sz w:val="20"/>
        </w:rPr>
        <w:t>from</w:t>
      </w:r>
      <w:r>
        <w:rPr>
          <w:spacing w:val="-6"/>
          <w:sz w:val="20"/>
        </w:rPr>
        <w:t> </w:t>
      </w:r>
      <w:r>
        <w:rPr>
          <w:sz w:val="20"/>
        </w:rPr>
        <w:t>the</w:t>
      </w:r>
      <w:r>
        <w:rPr>
          <w:spacing w:val="-11"/>
          <w:sz w:val="20"/>
        </w:rPr>
        <w:t> </w:t>
      </w:r>
      <w:r>
        <w:rPr>
          <w:sz w:val="20"/>
        </w:rPr>
        <w:t>start</w:t>
      </w:r>
      <w:r>
        <w:rPr>
          <w:spacing w:val="-10"/>
          <w:sz w:val="20"/>
        </w:rPr>
        <w:t> </w:t>
      </w:r>
      <w:r>
        <w:rPr>
          <w:sz w:val="20"/>
        </w:rPr>
        <w:t>date.</w:t>
      </w:r>
      <w:r>
        <w:rPr>
          <w:spacing w:val="-8"/>
          <w:sz w:val="20"/>
        </w:rPr>
        <w:t> </w:t>
      </w:r>
      <w:r>
        <w:rPr>
          <w:sz w:val="20"/>
        </w:rPr>
        <w:t>In</w:t>
      </w:r>
      <w:r>
        <w:rPr>
          <w:spacing w:val="-8"/>
          <w:sz w:val="20"/>
        </w:rPr>
        <w:t> </w:t>
      </w:r>
      <w:r>
        <w:rPr>
          <w:sz w:val="20"/>
        </w:rPr>
        <w:t>particular,</w:t>
      </w:r>
      <w:r>
        <w:rPr>
          <w:spacing w:val="-10"/>
          <w:sz w:val="20"/>
        </w:rPr>
        <w:t> </w:t>
      </w:r>
      <w:r>
        <w:rPr>
          <w:sz w:val="20"/>
        </w:rPr>
        <w:t>it</w:t>
      </w:r>
      <w:r>
        <w:rPr>
          <w:spacing w:val="-10"/>
          <w:sz w:val="20"/>
        </w:rPr>
        <w:t> </w:t>
      </w:r>
      <w:r>
        <w:rPr>
          <w:sz w:val="20"/>
        </w:rPr>
        <w:t>is</w:t>
      </w:r>
      <w:r>
        <w:rPr>
          <w:spacing w:val="-9"/>
          <w:sz w:val="20"/>
        </w:rPr>
        <w:t> </w:t>
      </w:r>
      <w:r>
        <w:rPr>
          <w:sz w:val="20"/>
        </w:rPr>
        <w:t>envisaged</w:t>
      </w:r>
      <w:r>
        <w:rPr>
          <w:spacing w:val="-11"/>
          <w:sz w:val="20"/>
        </w:rPr>
        <w:t> </w:t>
      </w:r>
      <w:r>
        <w:rPr>
          <w:sz w:val="20"/>
        </w:rPr>
        <w:t>that,</w:t>
      </w:r>
      <w:r>
        <w:rPr>
          <w:spacing w:val="-8"/>
          <w:sz w:val="20"/>
        </w:rPr>
        <w:t> </w:t>
      </w:r>
      <w:r>
        <w:rPr>
          <w:sz w:val="20"/>
        </w:rPr>
        <w:t>after</w:t>
      </w:r>
      <w:r>
        <w:rPr>
          <w:spacing w:val="-10"/>
          <w:sz w:val="20"/>
        </w:rPr>
        <w:t> </w:t>
      </w:r>
      <w:r>
        <w:rPr>
          <w:sz w:val="20"/>
        </w:rPr>
        <w:t>the</w:t>
      </w:r>
      <w:r>
        <w:rPr>
          <w:spacing w:val="-11"/>
          <w:sz w:val="20"/>
        </w:rPr>
        <w:t> </w:t>
      </w:r>
      <w:r>
        <w:rPr>
          <w:sz w:val="20"/>
        </w:rPr>
        <w:t>first</w:t>
      </w:r>
      <w:r>
        <w:rPr>
          <w:spacing w:val="-8"/>
          <w:sz w:val="20"/>
        </w:rPr>
        <w:t> </w:t>
      </w:r>
      <w:r>
        <w:rPr>
          <w:sz w:val="20"/>
        </w:rPr>
        <w:t>year,</w:t>
      </w:r>
      <w:r>
        <w:rPr>
          <w:spacing w:val="-8"/>
          <w:sz w:val="20"/>
        </w:rPr>
        <w:t> </w:t>
      </w:r>
      <w:r>
        <w:rPr>
          <w:sz w:val="20"/>
        </w:rPr>
        <w:t>in</w:t>
      </w:r>
      <w:r>
        <w:rPr>
          <w:spacing w:val="-9"/>
          <w:sz w:val="20"/>
        </w:rPr>
        <w:t> </w:t>
      </w:r>
      <w:r>
        <w:rPr>
          <w:sz w:val="20"/>
        </w:rPr>
        <w:t>many</w:t>
      </w:r>
      <w:r>
        <w:rPr>
          <w:spacing w:val="-13"/>
          <w:sz w:val="20"/>
        </w:rPr>
        <w:t> </w:t>
      </w:r>
      <w:r>
        <w:rPr>
          <w:sz w:val="20"/>
        </w:rPr>
        <w:t>cases an</w:t>
      </w:r>
      <w:r>
        <w:rPr>
          <w:spacing w:val="-9"/>
          <w:sz w:val="20"/>
        </w:rPr>
        <w:t> </w:t>
      </w:r>
      <w:r>
        <w:rPr>
          <w:sz w:val="20"/>
        </w:rPr>
        <w:t>MNE</w:t>
      </w:r>
      <w:r>
        <w:rPr>
          <w:spacing w:val="-9"/>
          <w:sz w:val="20"/>
        </w:rPr>
        <w:t> </w:t>
      </w:r>
      <w:r>
        <w:rPr>
          <w:sz w:val="20"/>
        </w:rPr>
        <w:t>group’s</w:t>
      </w:r>
      <w:r>
        <w:rPr>
          <w:spacing w:val="-7"/>
          <w:sz w:val="20"/>
        </w:rPr>
        <w:t> </w:t>
      </w:r>
      <w:r>
        <w:rPr>
          <w:sz w:val="20"/>
        </w:rPr>
        <w:t>review</w:t>
      </w:r>
      <w:r>
        <w:rPr>
          <w:spacing w:val="-11"/>
          <w:sz w:val="20"/>
        </w:rPr>
        <w:t> </w:t>
      </w:r>
      <w:r>
        <w:rPr>
          <w:sz w:val="20"/>
        </w:rPr>
        <w:t>may</w:t>
      </w:r>
      <w:r>
        <w:rPr>
          <w:spacing w:val="-9"/>
          <w:sz w:val="20"/>
        </w:rPr>
        <w:t> </w:t>
      </w:r>
      <w:r>
        <w:rPr>
          <w:sz w:val="20"/>
        </w:rPr>
        <w:t>be</w:t>
      </w:r>
      <w:r>
        <w:rPr>
          <w:spacing w:val="-9"/>
          <w:sz w:val="20"/>
        </w:rPr>
        <w:t> </w:t>
      </w:r>
      <w:r>
        <w:rPr>
          <w:sz w:val="20"/>
        </w:rPr>
        <w:t>completed</w:t>
      </w:r>
      <w:r>
        <w:rPr>
          <w:spacing w:val="-9"/>
          <w:sz w:val="20"/>
        </w:rPr>
        <w:t> </w:t>
      </w:r>
      <w:r>
        <w:rPr>
          <w:sz w:val="20"/>
        </w:rPr>
        <w:t>more</w:t>
      </w:r>
      <w:r>
        <w:rPr>
          <w:spacing w:val="-8"/>
          <w:sz w:val="20"/>
        </w:rPr>
        <w:t> </w:t>
      </w:r>
      <w:r>
        <w:rPr>
          <w:sz w:val="20"/>
        </w:rPr>
        <w:t>quickly,</w:t>
      </w:r>
      <w:r>
        <w:rPr>
          <w:spacing w:val="-7"/>
          <w:sz w:val="20"/>
        </w:rPr>
        <w:t> </w:t>
      </w:r>
      <w:r>
        <w:rPr>
          <w:sz w:val="20"/>
        </w:rPr>
        <w:t>as</w:t>
      </w:r>
      <w:r>
        <w:rPr>
          <w:spacing w:val="-7"/>
          <w:sz w:val="20"/>
        </w:rPr>
        <w:t> </w:t>
      </w:r>
      <w:r>
        <w:rPr>
          <w:sz w:val="20"/>
        </w:rPr>
        <w:t>it</w:t>
      </w:r>
      <w:r>
        <w:rPr>
          <w:spacing w:val="-9"/>
          <w:sz w:val="20"/>
        </w:rPr>
        <w:t> </w:t>
      </w:r>
      <w:r>
        <w:rPr>
          <w:sz w:val="20"/>
        </w:rPr>
        <w:t>may</w:t>
      </w:r>
      <w:r>
        <w:rPr>
          <w:spacing w:val="-14"/>
          <w:sz w:val="20"/>
        </w:rPr>
        <w:t> </w:t>
      </w:r>
      <w:r>
        <w:rPr>
          <w:sz w:val="20"/>
        </w:rPr>
        <w:t>not</w:t>
      </w:r>
      <w:r>
        <w:rPr>
          <w:spacing w:val="-9"/>
          <w:sz w:val="20"/>
        </w:rPr>
        <w:t> </w:t>
      </w:r>
      <w:r>
        <w:rPr>
          <w:sz w:val="20"/>
        </w:rPr>
        <w:t>be</w:t>
      </w:r>
      <w:r>
        <w:rPr>
          <w:spacing w:val="-9"/>
          <w:sz w:val="20"/>
        </w:rPr>
        <w:t> </w:t>
      </w:r>
      <w:r>
        <w:rPr>
          <w:sz w:val="20"/>
        </w:rPr>
        <w:t>necessary</w:t>
      </w:r>
      <w:r>
        <w:rPr>
          <w:spacing w:val="-9"/>
          <w:sz w:val="20"/>
        </w:rPr>
        <w:t> </w:t>
      </w:r>
      <w:r>
        <w:rPr>
          <w:sz w:val="20"/>
        </w:rPr>
        <w:t>to</w:t>
      </w:r>
      <w:r>
        <w:rPr>
          <w:spacing w:val="-9"/>
          <w:sz w:val="20"/>
        </w:rPr>
        <w:t> </w:t>
      </w:r>
      <w:r>
        <w:rPr>
          <w:sz w:val="20"/>
        </w:rPr>
        <w:t>review</w:t>
      </w:r>
      <w:r>
        <w:rPr>
          <w:spacing w:val="-10"/>
          <w:sz w:val="20"/>
        </w:rPr>
        <w:t> </w:t>
      </w:r>
      <w:r>
        <w:rPr>
          <w:sz w:val="20"/>
        </w:rPr>
        <w:t>all</w:t>
      </w:r>
      <w:r>
        <w:rPr>
          <w:spacing w:val="-7"/>
          <w:sz w:val="20"/>
        </w:rPr>
        <w:t> </w:t>
      </w:r>
      <w:r>
        <w:rPr>
          <w:sz w:val="20"/>
        </w:rPr>
        <w:t>elements of the MNE group’s determination and allocation of Amount A or such review may not need to be so detailed (e.g. a review of an MNE group’s delineation of business lines and the identification of residual profit</w:t>
      </w:r>
      <w:r>
        <w:rPr>
          <w:spacing w:val="-4"/>
          <w:sz w:val="20"/>
        </w:rPr>
        <w:t> </w:t>
      </w:r>
      <w:r>
        <w:rPr>
          <w:sz w:val="20"/>
        </w:rPr>
        <w:t>activities</w:t>
      </w:r>
      <w:r>
        <w:rPr>
          <w:spacing w:val="-3"/>
          <w:sz w:val="20"/>
        </w:rPr>
        <w:t> </w:t>
      </w:r>
      <w:r>
        <w:rPr>
          <w:sz w:val="20"/>
        </w:rPr>
        <w:t>entities</w:t>
      </w:r>
      <w:r>
        <w:rPr>
          <w:spacing w:val="-2"/>
          <w:sz w:val="20"/>
        </w:rPr>
        <w:t> </w:t>
      </w:r>
      <w:r>
        <w:rPr>
          <w:sz w:val="20"/>
        </w:rPr>
        <w:t>may</w:t>
      </w:r>
      <w:r>
        <w:rPr>
          <w:spacing w:val="-8"/>
          <w:sz w:val="20"/>
        </w:rPr>
        <w:t> </w:t>
      </w:r>
      <w:r>
        <w:rPr>
          <w:sz w:val="20"/>
        </w:rPr>
        <w:t>not</w:t>
      </w:r>
      <w:r>
        <w:rPr>
          <w:spacing w:val="-3"/>
          <w:sz w:val="20"/>
        </w:rPr>
        <w:t> </w:t>
      </w:r>
      <w:r>
        <w:rPr>
          <w:sz w:val="20"/>
        </w:rPr>
        <w:t>be</w:t>
      </w:r>
      <w:r>
        <w:rPr>
          <w:spacing w:val="-4"/>
          <w:sz w:val="20"/>
        </w:rPr>
        <w:t> </w:t>
      </w:r>
      <w:r>
        <w:rPr>
          <w:sz w:val="20"/>
        </w:rPr>
        <w:t>needed</w:t>
      </w:r>
      <w:r>
        <w:rPr>
          <w:spacing w:val="-5"/>
          <w:sz w:val="20"/>
        </w:rPr>
        <w:t> </w:t>
      </w:r>
      <w:r>
        <w:rPr>
          <w:sz w:val="20"/>
        </w:rPr>
        <w:t>after</w:t>
      </w:r>
      <w:r>
        <w:rPr>
          <w:spacing w:val="-3"/>
          <w:sz w:val="20"/>
        </w:rPr>
        <w:t> </w:t>
      </w:r>
      <w:r>
        <w:rPr>
          <w:sz w:val="20"/>
        </w:rPr>
        <w:t>the</w:t>
      </w:r>
      <w:r>
        <w:rPr>
          <w:spacing w:val="-5"/>
          <w:sz w:val="20"/>
        </w:rPr>
        <w:t> </w:t>
      </w:r>
      <w:r>
        <w:rPr>
          <w:sz w:val="20"/>
        </w:rPr>
        <w:t>first</w:t>
      </w:r>
      <w:r>
        <w:rPr>
          <w:spacing w:val="-1"/>
          <w:sz w:val="20"/>
        </w:rPr>
        <w:t> </w:t>
      </w:r>
      <w:r>
        <w:rPr>
          <w:sz w:val="20"/>
        </w:rPr>
        <w:t>year</w:t>
      </w:r>
      <w:r>
        <w:rPr>
          <w:spacing w:val="-4"/>
          <w:sz w:val="20"/>
        </w:rPr>
        <w:t> </w:t>
      </w:r>
      <w:r>
        <w:rPr>
          <w:sz w:val="20"/>
        </w:rPr>
        <w:t>if</w:t>
      </w:r>
      <w:r>
        <w:rPr>
          <w:spacing w:val="-2"/>
          <w:sz w:val="20"/>
        </w:rPr>
        <w:t> </w:t>
      </w:r>
      <w:r>
        <w:rPr>
          <w:sz w:val="20"/>
        </w:rPr>
        <w:t>there</w:t>
      </w:r>
      <w:r>
        <w:rPr>
          <w:spacing w:val="5"/>
          <w:sz w:val="20"/>
        </w:rPr>
        <w:t> </w:t>
      </w:r>
      <w:r>
        <w:rPr>
          <w:sz w:val="20"/>
        </w:rPr>
        <w:t>have</w:t>
      </w:r>
      <w:r>
        <w:rPr>
          <w:spacing w:val="-1"/>
          <w:sz w:val="20"/>
        </w:rPr>
        <w:t> </w:t>
      </w:r>
      <w:r>
        <w:rPr>
          <w:sz w:val="20"/>
        </w:rPr>
        <w:t>been</w:t>
      </w:r>
      <w:r>
        <w:rPr>
          <w:spacing w:val="-4"/>
          <w:sz w:val="20"/>
        </w:rPr>
        <w:t> </w:t>
      </w:r>
      <w:r>
        <w:rPr>
          <w:sz w:val="20"/>
        </w:rPr>
        <w:t>no significant</w:t>
      </w:r>
      <w:r>
        <w:rPr>
          <w:spacing w:val="-3"/>
          <w:sz w:val="20"/>
        </w:rPr>
        <w:t> </w:t>
      </w:r>
      <w:r>
        <w:rPr>
          <w:sz w:val="20"/>
        </w:rPr>
        <w:t>changes).</w:t>
      </w:r>
    </w:p>
    <w:p>
      <w:pPr>
        <w:pStyle w:val="ListParagraph"/>
        <w:numPr>
          <w:ilvl w:val="0"/>
          <w:numId w:val="13"/>
        </w:numPr>
        <w:tabs>
          <w:tab w:pos="1444" w:val="left" w:leader="none"/>
        </w:tabs>
        <w:spacing w:line="271" w:lineRule="auto" w:before="121" w:after="0"/>
        <w:ind w:left="723" w:right="486" w:firstLine="0"/>
        <w:jc w:val="both"/>
        <w:rPr>
          <w:sz w:val="20"/>
        </w:rPr>
      </w:pPr>
      <w:r>
        <w:rPr>
          <w:sz w:val="20"/>
        </w:rPr>
        <w:t>If at any point it becomes clear to the lead tax administration that the review panel is unable to reach agreement and this is unlikely to be resolved within the panel, it should consider ending the panel review</w:t>
      </w:r>
      <w:r>
        <w:rPr>
          <w:spacing w:val="-11"/>
          <w:sz w:val="20"/>
        </w:rPr>
        <w:t> </w:t>
      </w:r>
      <w:r>
        <w:rPr>
          <w:sz w:val="20"/>
        </w:rPr>
        <w:t>with</w:t>
      </w:r>
      <w:r>
        <w:rPr>
          <w:spacing w:val="-11"/>
          <w:sz w:val="20"/>
        </w:rPr>
        <w:t> </w:t>
      </w:r>
      <w:r>
        <w:rPr>
          <w:sz w:val="20"/>
        </w:rPr>
        <w:t>a</w:t>
      </w:r>
      <w:r>
        <w:rPr>
          <w:spacing w:val="-8"/>
          <w:sz w:val="20"/>
        </w:rPr>
        <w:t> </w:t>
      </w:r>
      <w:r>
        <w:rPr>
          <w:sz w:val="20"/>
        </w:rPr>
        <w:t>conclusion</w:t>
      </w:r>
      <w:r>
        <w:rPr>
          <w:spacing w:val="-12"/>
          <w:sz w:val="20"/>
        </w:rPr>
        <w:t> </w:t>
      </w:r>
      <w:r>
        <w:rPr>
          <w:sz w:val="20"/>
        </w:rPr>
        <w:t>that</w:t>
      </w:r>
      <w:r>
        <w:rPr>
          <w:spacing w:val="-11"/>
          <w:sz w:val="20"/>
        </w:rPr>
        <w:t> </w:t>
      </w:r>
      <w:r>
        <w:rPr>
          <w:sz w:val="20"/>
        </w:rPr>
        <w:t>no</w:t>
      </w:r>
      <w:r>
        <w:rPr>
          <w:spacing w:val="-8"/>
          <w:sz w:val="20"/>
        </w:rPr>
        <w:t> </w:t>
      </w:r>
      <w:r>
        <w:rPr>
          <w:sz w:val="20"/>
        </w:rPr>
        <w:t>agreement</w:t>
      </w:r>
      <w:r>
        <w:rPr>
          <w:spacing w:val="-8"/>
          <w:sz w:val="20"/>
        </w:rPr>
        <w:t> </w:t>
      </w:r>
      <w:r>
        <w:rPr>
          <w:sz w:val="20"/>
        </w:rPr>
        <w:t>was</w:t>
      </w:r>
      <w:r>
        <w:rPr>
          <w:spacing w:val="-10"/>
          <w:sz w:val="20"/>
        </w:rPr>
        <w:t> </w:t>
      </w:r>
      <w:r>
        <w:rPr>
          <w:sz w:val="20"/>
        </w:rPr>
        <w:t>reached.</w:t>
      </w:r>
      <w:r>
        <w:rPr>
          <w:spacing w:val="-8"/>
          <w:sz w:val="20"/>
        </w:rPr>
        <w:t> </w:t>
      </w:r>
      <w:r>
        <w:rPr>
          <w:sz w:val="20"/>
        </w:rPr>
        <w:t>It</w:t>
      </w:r>
      <w:r>
        <w:rPr>
          <w:spacing w:val="-8"/>
          <w:sz w:val="20"/>
        </w:rPr>
        <w:t> </w:t>
      </w:r>
      <w:r>
        <w:rPr>
          <w:sz w:val="20"/>
        </w:rPr>
        <w:t>is</w:t>
      </w:r>
      <w:r>
        <w:rPr>
          <w:spacing w:val="-10"/>
          <w:sz w:val="20"/>
        </w:rPr>
        <w:t> </w:t>
      </w:r>
      <w:r>
        <w:rPr>
          <w:sz w:val="20"/>
        </w:rPr>
        <w:t>expected</w:t>
      </w:r>
      <w:r>
        <w:rPr>
          <w:spacing w:val="-9"/>
          <w:sz w:val="20"/>
        </w:rPr>
        <w:t> </w:t>
      </w:r>
      <w:r>
        <w:rPr>
          <w:sz w:val="20"/>
        </w:rPr>
        <w:t>that</w:t>
      </w:r>
      <w:r>
        <w:rPr>
          <w:spacing w:val="-8"/>
          <w:sz w:val="20"/>
        </w:rPr>
        <w:t> </w:t>
      </w:r>
      <w:r>
        <w:rPr>
          <w:sz w:val="20"/>
        </w:rPr>
        <w:t>any</w:t>
      </w:r>
      <w:r>
        <w:rPr>
          <w:spacing w:val="-14"/>
          <w:sz w:val="20"/>
        </w:rPr>
        <w:t> </w:t>
      </w:r>
      <w:r>
        <w:rPr>
          <w:sz w:val="20"/>
        </w:rPr>
        <w:t>panel</w:t>
      </w:r>
      <w:r>
        <w:rPr>
          <w:spacing w:val="-12"/>
          <w:sz w:val="20"/>
        </w:rPr>
        <w:t> </w:t>
      </w:r>
      <w:r>
        <w:rPr>
          <w:sz w:val="20"/>
        </w:rPr>
        <w:t>review</w:t>
      </w:r>
      <w:r>
        <w:rPr>
          <w:spacing w:val="-10"/>
          <w:sz w:val="20"/>
        </w:rPr>
        <w:t> </w:t>
      </w:r>
      <w:r>
        <w:rPr>
          <w:sz w:val="20"/>
        </w:rPr>
        <w:t>that</w:t>
      </w:r>
      <w:r>
        <w:rPr>
          <w:spacing w:val="-8"/>
          <w:sz w:val="20"/>
        </w:rPr>
        <w:t> </w:t>
      </w:r>
      <w:r>
        <w:rPr>
          <w:sz w:val="20"/>
        </w:rPr>
        <w:t>extends to [12 months] from the start date should be brought to an end with no agreement reached. This should provide an incentive for the review panel to reach agreement if possible and, where this is not possible, it allows the process to move on to the determination panel stage, ensuring certainty for the MNE group within a reasonable</w:t>
      </w:r>
      <w:r>
        <w:rPr>
          <w:spacing w:val="-2"/>
          <w:sz w:val="20"/>
        </w:rPr>
        <w:t> </w:t>
      </w:r>
      <w:r>
        <w:rPr>
          <w:sz w:val="20"/>
        </w:rPr>
        <w:t>timeframe.</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Following</w:t>
      </w:r>
      <w:r>
        <w:rPr>
          <w:spacing w:val="-11"/>
          <w:sz w:val="20"/>
        </w:rPr>
        <w:t> </w:t>
      </w:r>
      <w:r>
        <w:rPr>
          <w:sz w:val="20"/>
        </w:rPr>
        <w:t>the</w:t>
      </w:r>
      <w:r>
        <w:rPr>
          <w:spacing w:val="-12"/>
          <w:sz w:val="20"/>
        </w:rPr>
        <w:t> </w:t>
      </w:r>
      <w:r>
        <w:rPr>
          <w:sz w:val="20"/>
        </w:rPr>
        <w:t>panel</w:t>
      </w:r>
      <w:r>
        <w:rPr>
          <w:spacing w:val="-14"/>
          <w:sz w:val="20"/>
        </w:rPr>
        <w:t> </w:t>
      </w:r>
      <w:r>
        <w:rPr>
          <w:sz w:val="20"/>
        </w:rPr>
        <w:t>review</w:t>
      </w:r>
      <w:r>
        <w:rPr>
          <w:spacing w:val="-11"/>
          <w:sz w:val="20"/>
        </w:rPr>
        <w:t> </w:t>
      </w:r>
      <w:r>
        <w:rPr>
          <w:sz w:val="20"/>
        </w:rPr>
        <w:t>process,</w:t>
      </w:r>
      <w:r>
        <w:rPr>
          <w:spacing w:val="-13"/>
          <w:sz w:val="20"/>
        </w:rPr>
        <w:t> </w:t>
      </w:r>
      <w:r>
        <w:rPr>
          <w:sz w:val="20"/>
        </w:rPr>
        <w:t>review</w:t>
      </w:r>
      <w:r>
        <w:rPr>
          <w:spacing w:val="-13"/>
          <w:sz w:val="20"/>
        </w:rPr>
        <w:t> </w:t>
      </w:r>
      <w:r>
        <w:rPr>
          <w:sz w:val="20"/>
        </w:rPr>
        <w:t>panels</w:t>
      </w:r>
      <w:r>
        <w:rPr>
          <w:spacing w:val="-8"/>
          <w:sz w:val="20"/>
        </w:rPr>
        <w:t> </w:t>
      </w:r>
      <w:r>
        <w:rPr>
          <w:sz w:val="20"/>
        </w:rPr>
        <w:t>may</w:t>
      </w:r>
      <w:r>
        <w:rPr>
          <w:spacing w:val="-16"/>
          <w:sz w:val="20"/>
        </w:rPr>
        <w:t> </w:t>
      </w:r>
      <w:r>
        <w:rPr>
          <w:sz w:val="20"/>
        </w:rPr>
        <w:t>make</w:t>
      </w:r>
      <w:r>
        <w:rPr>
          <w:spacing w:val="-14"/>
          <w:sz w:val="20"/>
        </w:rPr>
        <w:t> </w:t>
      </w:r>
      <w:r>
        <w:rPr>
          <w:sz w:val="20"/>
        </w:rPr>
        <w:t>recommendations</w:t>
      </w:r>
      <w:r>
        <w:rPr>
          <w:spacing w:val="-10"/>
          <w:sz w:val="20"/>
        </w:rPr>
        <w:t> </w:t>
      </w:r>
      <w:r>
        <w:rPr>
          <w:sz w:val="20"/>
        </w:rPr>
        <w:t>to</w:t>
      </w:r>
      <w:r>
        <w:rPr>
          <w:spacing w:val="-6"/>
          <w:sz w:val="20"/>
        </w:rPr>
        <w:t> </w:t>
      </w:r>
      <w:r>
        <w:rPr>
          <w:sz w:val="20"/>
        </w:rPr>
        <w:t>the</w:t>
      </w:r>
      <w:r>
        <w:rPr>
          <w:spacing w:val="-12"/>
          <w:sz w:val="20"/>
        </w:rPr>
        <w:t> </w:t>
      </w:r>
      <w:r>
        <w:rPr>
          <w:sz w:val="20"/>
        </w:rPr>
        <w:t>MNE</w:t>
      </w:r>
      <w:r>
        <w:rPr>
          <w:spacing w:val="-14"/>
          <w:sz w:val="20"/>
        </w:rPr>
        <w:t> </w:t>
      </w:r>
      <w:r>
        <w:rPr>
          <w:sz w:val="20"/>
        </w:rPr>
        <w:t>group for improvements to its processes and controls for applying Amount </w:t>
      </w:r>
      <w:r>
        <w:rPr>
          <w:spacing w:val="2"/>
          <w:sz w:val="20"/>
        </w:rPr>
        <w:t>A, </w:t>
      </w:r>
      <w:r>
        <w:rPr>
          <w:sz w:val="20"/>
        </w:rPr>
        <w:t>that may or may not be agreed by the</w:t>
      </w:r>
      <w:r>
        <w:rPr>
          <w:spacing w:val="-7"/>
          <w:sz w:val="20"/>
        </w:rPr>
        <w:t> </w:t>
      </w:r>
      <w:r>
        <w:rPr>
          <w:sz w:val="20"/>
        </w:rPr>
        <w:t>MNE</w:t>
      </w:r>
      <w:r>
        <w:rPr>
          <w:spacing w:val="-4"/>
          <w:sz w:val="20"/>
        </w:rPr>
        <w:t> </w:t>
      </w:r>
      <w:r>
        <w:rPr>
          <w:sz w:val="20"/>
        </w:rPr>
        <w:t>group.</w:t>
      </w:r>
      <w:r>
        <w:rPr>
          <w:spacing w:val="-8"/>
          <w:sz w:val="20"/>
        </w:rPr>
        <w:t> </w:t>
      </w:r>
      <w:r>
        <w:rPr>
          <w:sz w:val="20"/>
        </w:rPr>
        <w:t>Where</w:t>
      </w:r>
      <w:r>
        <w:rPr>
          <w:spacing w:val="-7"/>
          <w:sz w:val="20"/>
        </w:rPr>
        <w:t> </w:t>
      </w:r>
      <w:r>
        <w:rPr>
          <w:sz w:val="20"/>
        </w:rPr>
        <w:t>an</w:t>
      </w:r>
      <w:r>
        <w:rPr>
          <w:spacing w:val="-7"/>
          <w:sz w:val="20"/>
        </w:rPr>
        <w:t> </w:t>
      </w:r>
      <w:r>
        <w:rPr>
          <w:sz w:val="20"/>
        </w:rPr>
        <w:t>MNE</w:t>
      </w:r>
      <w:r>
        <w:rPr>
          <w:spacing w:val="-4"/>
          <w:sz w:val="20"/>
        </w:rPr>
        <w:t> </w:t>
      </w:r>
      <w:r>
        <w:rPr>
          <w:sz w:val="20"/>
        </w:rPr>
        <w:t>group’s</w:t>
      </w:r>
      <w:r>
        <w:rPr>
          <w:spacing w:val="-5"/>
          <w:sz w:val="20"/>
        </w:rPr>
        <w:t> </w:t>
      </w:r>
      <w:r>
        <w:rPr>
          <w:sz w:val="20"/>
        </w:rPr>
        <w:t>processes</w:t>
      </w:r>
      <w:r>
        <w:rPr>
          <w:spacing w:val="-6"/>
          <w:sz w:val="20"/>
        </w:rPr>
        <w:t> </w:t>
      </w:r>
      <w:r>
        <w:rPr>
          <w:sz w:val="20"/>
        </w:rPr>
        <w:t>and</w:t>
      </w:r>
      <w:r>
        <w:rPr>
          <w:spacing w:val="-6"/>
          <w:sz w:val="20"/>
        </w:rPr>
        <w:t> </w:t>
      </w:r>
      <w:r>
        <w:rPr>
          <w:sz w:val="20"/>
        </w:rPr>
        <w:t>controls</w:t>
      </w:r>
      <w:r>
        <w:rPr>
          <w:spacing w:val="-5"/>
          <w:sz w:val="20"/>
        </w:rPr>
        <w:t> </w:t>
      </w:r>
      <w:r>
        <w:rPr>
          <w:sz w:val="20"/>
        </w:rPr>
        <w:t>appear</w:t>
      </w:r>
      <w:r>
        <w:rPr>
          <w:spacing w:val="-4"/>
          <w:sz w:val="20"/>
        </w:rPr>
        <w:t> </w:t>
      </w:r>
      <w:r>
        <w:rPr>
          <w:sz w:val="20"/>
        </w:rPr>
        <w:t>weak,</w:t>
      </w:r>
      <w:r>
        <w:rPr>
          <w:spacing w:val="-5"/>
          <w:sz w:val="20"/>
        </w:rPr>
        <w:t> </w:t>
      </w:r>
      <w:r>
        <w:rPr>
          <w:sz w:val="20"/>
        </w:rPr>
        <w:t>and</w:t>
      </w:r>
      <w:r>
        <w:rPr>
          <w:spacing w:val="-7"/>
          <w:sz w:val="20"/>
        </w:rPr>
        <w:t> </w:t>
      </w:r>
      <w:r>
        <w:rPr>
          <w:sz w:val="20"/>
        </w:rPr>
        <w:t>in</w:t>
      </w:r>
      <w:r>
        <w:rPr>
          <w:spacing w:val="-5"/>
          <w:sz w:val="20"/>
        </w:rPr>
        <w:t> </w:t>
      </w:r>
      <w:r>
        <w:rPr>
          <w:sz w:val="20"/>
        </w:rPr>
        <w:t>particular</w:t>
      </w:r>
      <w:r>
        <w:rPr>
          <w:spacing w:val="-5"/>
          <w:sz w:val="20"/>
        </w:rPr>
        <w:t> </w:t>
      </w:r>
      <w:r>
        <w:rPr>
          <w:sz w:val="20"/>
        </w:rPr>
        <w:t>if</w:t>
      </w:r>
      <w:r>
        <w:rPr>
          <w:spacing w:val="-4"/>
          <w:sz w:val="20"/>
        </w:rPr>
        <w:t> </w:t>
      </w:r>
      <w:r>
        <w:rPr>
          <w:sz w:val="20"/>
        </w:rPr>
        <w:t>a</w:t>
      </w:r>
      <w:r>
        <w:rPr>
          <w:spacing w:val="-7"/>
          <w:sz w:val="20"/>
        </w:rPr>
        <w:t> </w:t>
      </w:r>
      <w:r>
        <w:rPr>
          <w:sz w:val="20"/>
        </w:rPr>
        <w:t>review panel</w:t>
      </w:r>
      <w:r>
        <w:rPr>
          <w:spacing w:val="-7"/>
          <w:sz w:val="20"/>
        </w:rPr>
        <w:t> </w:t>
      </w:r>
      <w:r>
        <w:rPr>
          <w:sz w:val="20"/>
        </w:rPr>
        <w:t>has</w:t>
      </w:r>
      <w:r>
        <w:rPr>
          <w:spacing w:val="-5"/>
          <w:sz w:val="20"/>
        </w:rPr>
        <w:t> </w:t>
      </w:r>
      <w:r>
        <w:rPr>
          <w:sz w:val="20"/>
        </w:rPr>
        <w:t>previously</w:t>
      </w:r>
      <w:r>
        <w:rPr>
          <w:spacing w:val="-9"/>
          <w:sz w:val="20"/>
        </w:rPr>
        <w:t> </w:t>
      </w:r>
      <w:r>
        <w:rPr>
          <w:sz w:val="20"/>
        </w:rPr>
        <w:t>recommended</w:t>
      </w:r>
      <w:r>
        <w:rPr>
          <w:spacing w:val="-7"/>
          <w:sz w:val="20"/>
        </w:rPr>
        <w:t> </w:t>
      </w:r>
      <w:r>
        <w:rPr>
          <w:sz w:val="20"/>
        </w:rPr>
        <w:t>changes</w:t>
      </w:r>
      <w:r>
        <w:rPr>
          <w:spacing w:val="-5"/>
          <w:sz w:val="20"/>
        </w:rPr>
        <w:t> </w:t>
      </w:r>
      <w:r>
        <w:rPr>
          <w:sz w:val="20"/>
        </w:rPr>
        <w:t>but</w:t>
      </w:r>
      <w:r>
        <w:rPr>
          <w:spacing w:val="-6"/>
          <w:sz w:val="20"/>
        </w:rPr>
        <w:t> </w:t>
      </w:r>
      <w:r>
        <w:rPr>
          <w:sz w:val="20"/>
        </w:rPr>
        <w:t>these</w:t>
      </w:r>
      <w:r>
        <w:rPr>
          <w:spacing w:val="-4"/>
          <w:sz w:val="20"/>
        </w:rPr>
        <w:t> </w:t>
      </w:r>
      <w:r>
        <w:rPr>
          <w:sz w:val="20"/>
        </w:rPr>
        <w:t>were</w:t>
      </w:r>
      <w:r>
        <w:rPr>
          <w:spacing w:val="-6"/>
          <w:sz w:val="20"/>
        </w:rPr>
        <w:t> </w:t>
      </w:r>
      <w:r>
        <w:rPr>
          <w:sz w:val="20"/>
        </w:rPr>
        <w:t>not</w:t>
      </w:r>
      <w:r>
        <w:rPr>
          <w:spacing w:val="-6"/>
          <w:sz w:val="20"/>
        </w:rPr>
        <w:t> </w:t>
      </w:r>
      <w:r>
        <w:rPr>
          <w:sz w:val="20"/>
        </w:rPr>
        <w:t>implemented,</w:t>
      </w:r>
      <w:r>
        <w:rPr>
          <w:spacing w:val="-5"/>
          <w:sz w:val="20"/>
        </w:rPr>
        <w:t> </w:t>
      </w:r>
      <w:r>
        <w:rPr>
          <w:sz w:val="20"/>
        </w:rPr>
        <w:t>this</w:t>
      </w:r>
      <w:r>
        <w:rPr>
          <w:spacing w:val="-5"/>
          <w:sz w:val="20"/>
        </w:rPr>
        <w:t> </w:t>
      </w:r>
      <w:r>
        <w:rPr>
          <w:sz w:val="20"/>
        </w:rPr>
        <w:t>may</w:t>
      </w:r>
      <w:r>
        <w:rPr>
          <w:spacing w:val="-12"/>
          <w:sz w:val="20"/>
        </w:rPr>
        <w:t> </w:t>
      </w:r>
      <w:r>
        <w:rPr>
          <w:sz w:val="20"/>
        </w:rPr>
        <w:t>mean</w:t>
      </w:r>
      <w:r>
        <w:rPr>
          <w:spacing w:val="-7"/>
          <w:sz w:val="20"/>
        </w:rPr>
        <w:t> </w:t>
      </w:r>
      <w:r>
        <w:rPr>
          <w:sz w:val="20"/>
        </w:rPr>
        <w:t>that</w:t>
      </w:r>
      <w:r>
        <w:rPr>
          <w:spacing w:val="-5"/>
          <w:sz w:val="20"/>
        </w:rPr>
        <w:t> </w:t>
      </w:r>
      <w:r>
        <w:rPr>
          <w:sz w:val="20"/>
        </w:rPr>
        <w:t>a</w:t>
      </w:r>
      <w:r>
        <w:rPr>
          <w:spacing w:val="-7"/>
          <w:sz w:val="20"/>
        </w:rPr>
        <w:t> </w:t>
      </w:r>
      <w:r>
        <w:rPr>
          <w:sz w:val="20"/>
        </w:rPr>
        <w:t>more detailed review of the MNE group’s determination and allocation of Amount A is</w:t>
      </w:r>
      <w:r>
        <w:rPr>
          <w:spacing w:val="-19"/>
          <w:sz w:val="20"/>
        </w:rPr>
        <w:t> </w:t>
      </w:r>
      <w:r>
        <w:rPr>
          <w:sz w:val="20"/>
        </w:rPr>
        <w:t>needed.</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While</w:t>
      </w:r>
      <w:r>
        <w:rPr>
          <w:spacing w:val="-13"/>
          <w:sz w:val="20"/>
        </w:rPr>
        <w:t> </w:t>
      </w:r>
      <w:r>
        <w:rPr>
          <w:sz w:val="20"/>
        </w:rPr>
        <w:t>tax</w:t>
      </w:r>
      <w:r>
        <w:rPr>
          <w:spacing w:val="-12"/>
          <w:sz w:val="20"/>
        </w:rPr>
        <w:t> </w:t>
      </w:r>
      <w:r>
        <w:rPr>
          <w:sz w:val="20"/>
        </w:rPr>
        <w:t>administrations</w:t>
      </w:r>
      <w:r>
        <w:rPr>
          <w:spacing w:val="-12"/>
          <w:sz w:val="20"/>
        </w:rPr>
        <w:t> </w:t>
      </w:r>
      <w:r>
        <w:rPr>
          <w:sz w:val="20"/>
        </w:rPr>
        <w:t>on</w:t>
      </w:r>
      <w:r>
        <w:rPr>
          <w:spacing w:val="-13"/>
          <w:sz w:val="20"/>
        </w:rPr>
        <w:t> </w:t>
      </w:r>
      <w:r>
        <w:rPr>
          <w:sz w:val="20"/>
        </w:rPr>
        <w:t>a</w:t>
      </w:r>
      <w:r>
        <w:rPr>
          <w:spacing w:val="-11"/>
          <w:sz w:val="20"/>
        </w:rPr>
        <w:t> </w:t>
      </w:r>
      <w:r>
        <w:rPr>
          <w:sz w:val="20"/>
        </w:rPr>
        <w:t>review</w:t>
      </w:r>
      <w:r>
        <w:rPr>
          <w:spacing w:val="-12"/>
          <w:sz w:val="20"/>
        </w:rPr>
        <w:t> </w:t>
      </w:r>
      <w:r>
        <w:rPr>
          <w:sz w:val="20"/>
        </w:rPr>
        <w:t>panel</w:t>
      </w:r>
      <w:r>
        <w:rPr>
          <w:spacing w:val="-9"/>
          <w:sz w:val="20"/>
        </w:rPr>
        <w:t> </w:t>
      </w:r>
      <w:r>
        <w:rPr>
          <w:sz w:val="20"/>
        </w:rPr>
        <w:t>will</w:t>
      </w:r>
      <w:r>
        <w:rPr>
          <w:spacing w:val="-11"/>
          <w:sz w:val="20"/>
        </w:rPr>
        <w:t> </w:t>
      </w:r>
      <w:r>
        <w:rPr>
          <w:sz w:val="20"/>
        </w:rPr>
        <w:t>work</w:t>
      </w:r>
      <w:r>
        <w:rPr>
          <w:spacing w:val="-9"/>
          <w:sz w:val="20"/>
        </w:rPr>
        <w:t> </w:t>
      </w:r>
      <w:r>
        <w:rPr>
          <w:sz w:val="20"/>
        </w:rPr>
        <w:t>closely</w:t>
      </w:r>
      <w:r>
        <w:rPr>
          <w:spacing w:val="-16"/>
          <w:sz w:val="20"/>
        </w:rPr>
        <w:t> </w:t>
      </w:r>
      <w:r>
        <w:rPr>
          <w:sz w:val="20"/>
        </w:rPr>
        <w:t>together,</w:t>
      </w:r>
      <w:r>
        <w:rPr>
          <w:spacing w:val="-10"/>
          <w:sz w:val="20"/>
        </w:rPr>
        <w:t> </w:t>
      </w:r>
      <w:r>
        <w:rPr>
          <w:sz w:val="20"/>
        </w:rPr>
        <w:t>each</w:t>
      </w:r>
      <w:r>
        <w:rPr>
          <w:spacing w:val="-11"/>
          <w:sz w:val="20"/>
        </w:rPr>
        <w:t> </w:t>
      </w:r>
      <w:r>
        <w:rPr>
          <w:sz w:val="20"/>
        </w:rPr>
        <w:t>may</w:t>
      </w:r>
      <w:r>
        <w:rPr>
          <w:spacing w:val="-16"/>
          <w:sz w:val="20"/>
        </w:rPr>
        <w:t> </w:t>
      </w:r>
      <w:r>
        <w:rPr>
          <w:sz w:val="20"/>
        </w:rPr>
        <w:t>have</w:t>
      </w:r>
      <w:r>
        <w:rPr>
          <w:spacing w:val="-11"/>
          <w:sz w:val="20"/>
        </w:rPr>
        <w:t> </w:t>
      </w:r>
      <w:r>
        <w:rPr>
          <w:sz w:val="20"/>
        </w:rPr>
        <w:t>its</w:t>
      </w:r>
      <w:r>
        <w:rPr>
          <w:spacing w:val="-12"/>
          <w:sz w:val="20"/>
        </w:rPr>
        <w:t> </w:t>
      </w:r>
      <w:r>
        <w:rPr>
          <w:sz w:val="20"/>
        </w:rPr>
        <w:t>own</w:t>
      </w:r>
      <w:r>
        <w:rPr>
          <w:spacing w:val="-10"/>
          <w:sz w:val="20"/>
        </w:rPr>
        <w:t> </w:t>
      </w:r>
      <w:r>
        <w:rPr>
          <w:sz w:val="20"/>
        </w:rPr>
        <w:t>view as</w:t>
      </w:r>
      <w:r>
        <w:rPr>
          <w:spacing w:val="-16"/>
          <w:sz w:val="20"/>
        </w:rPr>
        <w:t> </w:t>
      </w:r>
      <w:r>
        <w:rPr>
          <w:sz w:val="20"/>
        </w:rPr>
        <w:t>to</w:t>
      </w:r>
      <w:r>
        <w:rPr>
          <w:spacing w:val="-16"/>
          <w:sz w:val="20"/>
        </w:rPr>
        <w:t> </w:t>
      </w:r>
      <w:r>
        <w:rPr>
          <w:sz w:val="20"/>
        </w:rPr>
        <w:t>whether</w:t>
      </w:r>
      <w:r>
        <w:rPr>
          <w:spacing w:val="-15"/>
          <w:sz w:val="20"/>
        </w:rPr>
        <w:t> </w:t>
      </w:r>
      <w:r>
        <w:rPr>
          <w:sz w:val="20"/>
        </w:rPr>
        <w:t>an</w:t>
      </w:r>
      <w:r>
        <w:rPr>
          <w:spacing w:val="-18"/>
          <w:sz w:val="20"/>
        </w:rPr>
        <w:t> </w:t>
      </w:r>
      <w:r>
        <w:rPr>
          <w:sz w:val="20"/>
        </w:rPr>
        <w:t>MNE</w:t>
      </w:r>
      <w:r>
        <w:rPr>
          <w:spacing w:val="-17"/>
          <w:sz w:val="20"/>
        </w:rPr>
        <w:t> </w:t>
      </w:r>
      <w:r>
        <w:rPr>
          <w:sz w:val="20"/>
        </w:rPr>
        <w:t>group’s</w:t>
      </w:r>
      <w:r>
        <w:rPr>
          <w:spacing w:val="-15"/>
          <w:sz w:val="20"/>
        </w:rPr>
        <w:t> </w:t>
      </w:r>
      <w:r>
        <w:rPr>
          <w:sz w:val="20"/>
        </w:rPr>
        <w:t>self-assessment</w:t>
      </w:r>
      <w:r>
        <w:rPr>
          <w:spacing w:val="-16"/>
          <w:sz w:val="20"/>
        </w:rPr>
        <w:t> </w:t>
      </w:r>
      <w:r>
        <w:rPr>
          <w:sz w:val="20"/>
        </w:rPr>
        <w:t>is</w:t>
      </w:r>
      <w:r>
        <w:rPr>
          <w:spacing w:val="-16"/>
          <w:sz w:val="20"/>
        </w:rPr>
        <w:t> </w:t>
      </w:r>
      <w:r>
        <w:rPr>
          <w:sz w:val="20"/>
        </w:rPr>
        <w:t>in</w:t>
      </w:r>
      <w:r>
        <w:rPr>
          <w:spacing w:val="-16"/>
          <w:sz w:val="20"/>
        </w:rPr>
        <w:t> </w:t>
      </w:r>
      <w:r>
        <w:rPr>
          <w:sz w:val="20"/>
        </w:rPr>
        <w:t>accordance</w:t>
      </w:r>
      <w:r>
        <w:rPr>
          <w:spacing w:val="-15"/>
          <w:sz w:val="20"/>
        </w:rPr>
        <w:t> </w:t>
      </w:r>
      <w:r>
        <w:rPr>
          <w:sz w:val="20"/>
        </w:rPr>
        <w:t>with</w:t>
      </w:r>
      <w:r>
        <w:rPr>
          <w:spacing w:val="-16"/>
          <w:sz w:val="20"/>
        </w:rPr>
        <w:t> </w:t>
      </w:r>
      <w:r>
        <w:rPr>
          <w:sz w:val="20"/>
        </w:rPr>
        <w:t>globally</w:t>
      </w:r>
      <w:r>
        <w:rPr>
          <w:spacing w:val="-19"/>
          <w:sz w:val="20"/>
        </w:rPr>
        <w:t> </w:t>
      </w:r>
      <w:r>
        <w:rPr>
          <w:sz w:val="20"/>
        </w:rPr>
        <w:t>agreed</w:t>
      </w:r>
      <w:r>
        <w:rPr>
          <w:spacing w:val="-17"/>
          <w:sz w:val="20"/>
        </w:rPr>
        <w:t> </w:t>
      </w:r>
      <w:r>
        <w:rPr>
          <w:sz w:val="20"/>
        </w:rPr>
        <w:t>rules</w:t>
      </w:r>
      <w:r>
        <w:rPr>
          <w:spacing w:val="-15"/>
          <w:sz w:val="20"/>
        </w:rPr>
        <w:t> </w:t>
      </w:r>
      <w:r>
        <w:rPr>
          <w:sz w:val="20"/>
        </w:rPr>
        <w:t>on</w:t>
      </w:r>
      <w:r>
        <w:rPr>
          <w:spacing w:val="-17"/>
          <w:sz w:val="20"/>
        </w:rPr>
        <w:t> </w:t>
      </w:r>
      <w:r>
        <w:rPr>
          <w:sz w:val="20"/>
        </w:rPr>
        <w:t>the</w:t>
      </w:r>
      <w:r>
        <w:rPr>
          <w:spacing w:val="-17"/>
          <w:sz w:val="20"/>
        </w:rPr>
        <w:t> </w:t>
      </w:r>
      <w:r>
        <w:rPr>
          <w:sz w:val="20"/>
        </w:rPr>
        <w:t>operation of Amount A or whether any adjustments are needed. Where these views differ, panellists should seek to understand</w:t>
      </w:r>
      <w:r>
        <w:rPr>
          <w:spacing w:val="-14"/>
          <w:sz w:val="20"/>
        </w:rPr>
        <w:t> </w:t>
      </w:r>
      <w:r>
        <w:rPr>
          <w:sz w:val="20"/>
        </w:rPr>
        <w:t>the</w:t>
      </w:r>
      <w:r>
        <w:rPr>
          <w:spacing w:val="-14"/>
          <w:sz w:val="20"/>
        </w:rPr>
        <w:t> </w:t>
      </w:r>
      <w:r>
        <w:rPr>
          <w:sz w:val="20"/>
        </w:rPr>
        <w:t>reason</w:t>
      </w:r>
      <w:r>
        <w:rPr>
          <w:spacing w:val="-14"/>
          <w:sz w:val="20"/>
        </w:rPr>
        <w:t> </w:t>
      </w:r>
      <w:r>
        <w:rPr>
          <w:sz w:val="20"/>
        </w:rPr>
        <w:t>for</w:t>
      </w:r>
      <w:r>
        <w:rPr>
          <w:spacing w:val="-13"/>
          <w:sz w:val="20"/>
        </w:rPr>
        <w:t> </w:t>
      </w:r>
      <w:r>
        <w:rPr>
          <w:sz w:val="20"/>
        </w:rPr>
        <w:t>these</w:t>
      </w:r>
      <w:r>
        <w:rPr>
          <w:spacing w:val="-14"/>
          <w:sz w:val="20"/>
        </w:rPr>
        <w:t> </w:t>
      </w:r>
      <w:r>
        <w:rPr>
          <w:sz w:val="20"/>
        </w:rPr>
        <w:t>differences</w:t>
      </w:r>
      <w:r>
        <w:rPr>
          <w:spacing w:val="-13"/>
          <w:sz w:val="20"/>
        </w:rPr>
        <w:t> </w:t>
      </w:r>
      <w:r>
        <w:rPr>
          <w:sz w:val="20"/>
        </w:rPr>
        <w:t>and</w:t>
      </w:r>
      <w:r>
        <w:rPr>
          <w:spacing w:val="-14"/>
          <w:sz w:val="20"/>
        </w:rPr>
        <w:t> </w:t>
      </w:r>
      <w:r>
        <w:rPr>
          <w:sz w:val="20"/>
        </w:rPr>
        <w:t>agree</w:t>
      </w:r>
      <w:r>
        <w:rPr>
          <w:spacing w:val="-7"/>
          <w:sz w:val="20"/>
        </w:rPr>
        <w:t> </w:t>
      </w:r>
      <w:r>
        <w:rPr>
          <w:sz w:val="20"/>
        </w:rPr>
        <w:t>a</w:t>
      </w:r>
      <w:r>
        <w:rPr>
          <w:spacing w:val="-13"/>
          <w:sz w:val="20"/>
        </w:rPr>
        <w:t> </w:t>
      </w:r>
      <w:r>
        <w:rPr>
          <w:sz w:val="20"/>
        </w:rPr>
        <w:t>common</w:t>
      </w:r>
      <w:r>
        <w:rPr>
          <w:spacing w:val="-14"/>
          <w:sz w:val="20"/>
        </w:rPr>
        <w:t> </w:t>
      </w:r>
      <w:r>
        <w:rPr>
          <w:sz w:val="20"/>
        </w:rPr>
        <w:t>position</w:t>
      </w:r>
      <w:r>
        <w:rPr>
          <w:spacing w:val="-14"/>
          <w:sz w:val="20"/>
        </w:rPr>
        <w:t> </w:t>
      </w:r>
      <w:r>
        <w:rPr>
          <w:sz w:val="20"/>
        </w:rPr>
        <w:t>if</w:t>
      </w:r>
      <w:r>
        <w:rPr>
          <w:spacing w:val="-11"/>
          <w:sz w:val="20"/>
        </w:rPr>
        <w:t> </w:t>
      </w:r>
      <w:r>
        <w:rPr>
          <w:sz w:val="20"/>
        </w:rPr>
        <w:t>possible.</w:t>
      </w:r>
      <w:r>
        <w:rPr>
          <w:spacing w:val="-14"/>
          <w:sz w:val="20"/>
        </w:rPr>
        <w:t> </w:t>
      </w:r>
      <w:r>
        <w:rPr>
          <w:sz w:val="20"/>
        </w:rPr>
        <w:t>For</w:t>
      </w:r>
      <w:r>
        <w:rPr>
          <w:spacing w:val="-11"/>
          <w:sz w:val="20"/>
        </w:rPr>
        <w:t> </w:t>
      </w:r>
      <w:r>
        <w:rPr>
          <w:sz w:val="20"/>
        </w:rPr>
        <w:t>example,</w:t>
      </w:r>
      <w:r>
        <w:rPr>
          <w:spacing w:val="-14"/>
          <w:sz w:val="20"/>
        </w:rPr>
        <w:t> </w:t>
      </w:r>
      <w:r>
        <w:rPr>
          <w:sz w:val="20"/>
        </w:rPr>
        <w:t>if</w:t>
      </w:r>
      <w:r>
        <w:rPr>
          <w:spacing w:val="-11"/>
          <w:sz w:val="20"/>
        </w:rPr>
        <w:t> </w:t>
      </w:r>
      <w:r>
        <w:rPr>
          <w:sz w:val="20"/>
        </w:rPr>
        <w:t>there are a number of possible acceptable approaches under Amount A (e.g. as a basis for the allocation of central costs) and the majority of panellists agree as to which is most suitable, other panellists should consider if they can accept this approach even if it is not their preferred outcome. However, while tax administrations on a review panel should endeavour to reach agreement, they are not committed or required to do</w:t>
      </w:r>
      <w:r>
        <w:rPr>
          <w:spacing w:val="-3"/>
          <w:sz w:val="20"/>
        </w:rPr>
        <w:t> </w:t>
      </w:r>
      <w:r>
        <w:rPr>
          <w:sz w:val="20"/>
        </w:rPr>
        <w:t>so.</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At</w:t>
      </w:r>
      <w:r>
        <w:rPr>
          <w:spacing w:val="-10"/>
          <w:sz w:val="20"/>
        </w:rPr>
        <w:t> </w:t>
      </w:r>
      <w:r>
        <w:rPr>
          <w:sz w:val="20"/>
        </w:rPr>
        <w:t>the</w:t>
      </w:r>
      <w:r>
        <w:rPr>
          <w:spacing w:val="-10"/>
          <w:sz w:val="20"/>
        </w:rPr>
        <w:t> </w:t>
      </w:r>
      <w:r>
        <w:rPr>
          <w:sz w:val="20"/>
        </w:rPr>
        <w:t>end</w:t>
      </w:r>
      <w:r>
        <w:rPr>
          <w:spacing w:val="-10"/>
          <w:sz w:val="20"/>
        </w:rPr>
        <w:t> </w:t>
      </w:r>
      <w:r>
        <w:rPr>
          <w:sz w:val="20"/>
        </w:rPr>
        <w:t>of</w:t>
      </w:r>
      <w:r>
        <w:rPr>
          <w:spacing w:val="-8"/>
          <w:sz w:val="20"/>
        </w:rPr>
        <w:t> </w:t>
      </w:r>
      <w:r>
        <w:rPr>
          <w:sz w:val="20"/>
        </w:rPr>
        <w:t>the</w:t>
      </w:r>
      <w:r>
        <w:rPr>
          <w:spacing w:val="-10"/>
          <w:sz w:val="20"/>
        </w:rPr>
        <w:t> </w:t>
      </w:r>
      <w:r>
        <w:rPr>
          <w:sz w:val="20"/>
        </w:rPr>
        <w:t>panel</w:t>
      </w:r>
      <w:r>
        <w:rPr>
          <w:spacing w:val="-10"/>
          <w:sz w:val="20"/>
        </w:rPr>
        <w:t> </w:t>
      </w:r>
      <w:r>
        <w:rPr>
          <w:sz w:val="20"/>
        </w:rPr>
        <w:t>review,</w:t>
      </w:r>
      <w:r>
        <w:rPr>
          <w:spacing w:val="-7"/>
          <w:sz w:val="20"/>
        </w:rPr>
        <w:t> </w:t>
      </w:r>
      <w:r>
        <w:rPr>
          <w:sz w:val="20"/>
        </w:rPr>
        <w:t>the</w:t>
      </w:r>
      <w:r>
        <w:rPr>
          <w:spacing w:val="-10"/>
          <w:sz w:val="20"/>
        </w:rPr>
        <w:t> </w:t>
      </w:r>
      <w:r>
        <w:rPr>
          <w:sz w:val="20"/>
        </w:rPr>
        <w:t>MNE</w:t>
      </w:r>
      <w:r>
        <w:rPr>
          <w:spacing w:val="-10"/>
          <w:sz w:val="20"/>
        </w:rPr>
        <w:t> </w:t>
      </w:r>
      <w:r>
        <w:rPr>
          <w:sz w:val="20"/>
        </w:rPr>
        <w:t>group</w:t>
      </w:r>
      <w:r>
        <w:rPr>
          <w:spacing w:val="-8"/>
          <w:sz w:val="20"/>
        </w:rPr>
        <w:t> </w:t>
      </w:r>
      <w:r>
        <w:rPr>
          <w:sz w:val="20"/>
        </w:rPr>
        <w:t>is</w:t>
      </w:r>
      <w:r>
        <w:rPr>
          <w:spacing w:val="-8"/>
          <w:sz w:val="20"/>
        </w:rPr>
        <w:t> </w:t>
      </w:r>
      <w:r>
        <w:rPr>
          <w:sz w:val="20"/>
        </w:rPr>
        <w:t>informed</w:t>
      </w:r>
      <w:r>
        <w:rPr>
          <w:spacing w:val="-10"/>
          <w:sz w:val="20"/>
        </w:rPr>
        <w:t> </w:t>
      </w:r>
      <w:r>
        <w:rPr>
          <w:sz w:val="20"/>
        </w:rPr>
        <w:t>as</w:t>
      </w:r>
      <w:r>
        <w:rPr>
          <w:spacing w:val="-9"/>
          <w:sz w:val="20"/>
        </w:rPr>
        <w:t> </w:t>
      </w:r>
      <w:r>
        <w:rPr>
          <w:sz w:val="20"/>
        </w:rPr>
        <w:t>to</w:t>
      </w:r>
      <w:r>
        <w:rPr>
          <w:spacing w:val="-10"/>
          <w:sz w:val="20"/>
        </w:rPr>
        <w:t> </w:t>
      </w:r>
      <w:r>
        <w:rPr>
          <w:sz w:val="20"/>
        </w:rPr>
        <w:t>the</w:t>
      </w:r>
      <w:r>
        <w:rPr>
          <w:spacing w:val="-10"/>
          <w:sz w:val="20"/>
        </w:rPr>
        <w:t> </w:t>
      </w:r>
      <w:r>
        <w:rPr>
          <w:sz w:val="20"/>
        </w:rPr>
        <w:t>result.</w:t>
      </w:r>
      <w:r>
        <w:rPr>
          <w:spacing w:val="-13"/>
          <w:sz w:val="20"/>
        </w:rPr>
        <w:t> </w:t>
      </w:r>
      <w:r>
        <w:rPr>
          <w:sz w:val="20"/>
        </w:rPr>
        <w:t>Where</w:t>
      </w:r>
      <w:r>
        <w:rPr>
          <w:spacing w:val="-10"/>
          <w:sz w:val="20"/>
        </w:rPr>
        <w:t> </w:t>
      </w:r>
      <w:r>
        <w:rPr>
          <w:sz w:val="20"/>
        </w:rPr>
        <w:t>the</w:t>
      </w:r>
      <w:r>
        <w:rPr>
          <w:spacing w:val="-10"/>
          <w:sz w:val="20"/>
        </w:rPr>
        <w:t> </w:t>
      </w:r>
      <w:r>
        <w:rPr>
          <w:sz w:val="20"/>
        </w:rPr>
        <w:t>review</w:t>
      </w:r>
      <w:r>
        <w:rPr>
          <w:spacing w:val="-12"/>
          <w:sz w:val="20"/>
        </w:rPr>
        <w:t> </w:t>
      </w:r>
      <w:r>
        <w:rPr>
          <w:sz w:val="20"/>
        </w:rPr>
        <w:t>panel has</w:t>
      </w:r>
      <w:r>
        <w:rPr>
          <w:spacing w:val="-9"/>
          <w:sz w:val="20"/>
        </w:rPr>
        <w:t> </w:t>
      </w:r>
      <w:r>
        <w:rPr>
          <w:sz w:val="20"/>
        </w:rPr>
        <w:t>reached</w:t>
      </w:r>
      <w:r>
        <w:rPr>
          <w:spacing w:val="-7"/>
          <w:sz w:val="20"/>
        </w:rPr>
        <w:t> </w:t>
      </w:r>
      <w:r>
        <w:rPr>
          <w:sz w:val="20"/>
        </w:rPr>
        <w:t>agreement</w:t>
      </w:r>
      <w:r>
        <w:rPr>
          <w:spacing w:val="-9"/>
          <w:sz w:val="20"/>
        </w:rPr>
        <w:t> </w:t>
      </w:r>
      <w:r>
        <w:rPr>
          <w:sz w:val="20"/>
        </w:rPr>
        <w:t>that</w:t>
      </w:r>
      <w:r>
        <w:rPr>
          <w:spacing w:val="-9"/>
          <w:sz w:val="20"/>
        </w:rPr>
        <w:t> </w:t>
      </w:r>
      <w:r>
        <w:rPr>
          <w:sz w:val="20"/>
        </w:rPr>
        <w:t>changes</w:t>
      </w:r>
      <w:r>
        <w:rPr>
          <w:spacing w:val="-8"/>
          <w:sz w:val="20"/>
        </w:rPr>
        <w:t> </w:t>
      </w:r>
      <w:r>
        <w:rPr>
          <w:sz w:val="20"/>
        </w:rPr>
        <w:t>are</w:t>
      </w:r>
      <w:r>
        <w:rPr>
          <w:spacing w:val="-9"/>
          <w:sz w:val="20"/>
        </w:rPr>
        <w:t> </w:t>
      </w:r>
      <w:r>
        <w:rPr>
          <w:sz w:val="20"/>
        </w:rPr>
        <w:t>required</w:t>
      </w:r>
      <w:r>
        <w:rPr>
          <w:spacing w:val="-9"/>
          <w:sz w:val="20"/>
        </w:rPr>
        <w:t> </w:t>
      </w:r>
      <w:r>
        <w:rPr>
          <w:sz w:val="20"/>
        </w:rPr>
        <w:t>to</w:t>
      </w:r>
      <w:r>
        <w:rPr>
          <w:spacing w:val="-9"/>
          <w:sz w:val="20"/>
        </w:rPr>
        <w:t> </w:t>
      </w:r>
      <w:r>
        <w:rPr>
          <w:sz w:val="20"/>
        </w:rPr>
        <w:t>the</w:t>
      </w:r>
      <w:r>
        <w:rPr>
          <w:spacing w:val="-9"/>
          <w:sz w:val="20"/>
        </w:rPr>
        <w:t> </w:t>
      </w:r>
      <w:r>
        <w:rPr>
          <w:sz w:val="20"/>
        </w:rPr>
        <w:t>MNE</w:t>
      </w:r>
      <w:r>
        <w:rPr>
          <w:spacing w:val="-7"/>
          <w:sz w:val="20"/>
        </w:rPr>
        <w:t> </w:t>
      </w:r>
      <w:r>
        <w:rPr>
          <w:sz w:val="20"/>
        </w:rPr>
        <w:t>group’s</w:t>
      </w:r>
      <w:r>
        <w:rPr>
          <w:spacing w:val="-8"/>
          <w:sz w:val="20"/>
        </w:rPr>
        <w:t> </w:t>
      </w:r>
      <w:r>
        <w:rPr>
          <w:sz w:val="20"/>
        </w:rPr>
        <w:t>assessment</w:t>
      </w:r>
      <w:r>
        <w:rPr>
          <w:spacing w:val="-11"/>
          <w:sz w:val="20"/>
        </w:rPr>
        <w:t> </w:t>
      </w:r>
      <w:r>
        <w:rPr>
          <w:sz w:val="20"/>
        </w:rPr>
        <w:t>of</w:t>
      </w:r>
      <w:r>
        <w:rPr>
          <w:spacing w:val="-7"/>
          <w:sz w:val="20"/>
        </w:rPr>
        <w:t> </w:t>
      </w:r>
      <w:r>
        <w:rPr>
          <w:sz w:val="20"/>
        </w:rPr>
        <w:t>Amount</w:t>
      </w:r>
      <w:r>
        <w:rPr>
          <w:spacing w:val="-9"/>
          <w:sz w:val="20"/>
        </w:rPr>
        <w:t> </w:t>
      </w:r>
      <w:r>
        <w:rPr>
          <w:sz w:val="20"/>
        </w:rPr>
        <w:t>A,</w:t>
      </w:r>
      <w:r>
        <w:rPr>
          <w:spacing w:val="-9"/>
          <w:sz w:val="20"/>
        </w:rPr>
        <w:t> </w:t>
      </w:r>
      <w:r>
        <w:rPr>
          <w:sz w:val="20"/>
        </w:rPr>
        <w:t>the</w:t>
      </w:r>
      <w:r>
        <w:rPr>
          <w:spacing w:val="-9"/>
          <w:sz w:val="20"/>
        </w:rPr>
        <w:t> </w:t>
      </w:r>
      <w:r>
        <w:rPr>
          <w:sz w:val="20"/>
        </w:rPr>
        <w:t>MNE group will be asked to agree that these changes be made. There are therefore three broad possible outcomes from this</w:t>
      </w:r>
      <w:r>
        <w:rPr>
          <w:spacing w:val="3"/>
          <w:sz w:val="20"/>
        </w:rPr>
        <w:t> </w:t>
      </w:r>
      <w:r>
        <w:rPr>
          <w:sz w:val="20"/>
        </w:rPr>
        <w:t>process:</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785" w:val="left" w:leader="none"/>
        </w:tabs>
        <w:spacing w:line="271" w:lineRule="auto" w:before="99" w:after="0"/>
        <w:ind w:left="1784" w:right="485" w:hanging="360"/>
        <w:jc w:val="both"/>
        <w:rPr>
          <w:sz w:val="20"/>
        </w:rPr>
      </w:pPr>
      <w:r>
        <w:rPr>
          <w:sz w:val="20"/>
        </w:rPr>
        <w:t>The review panel agrees with an MNE group’s assessment of Amount A, which either corresponds with the self-assessment submitted by the MNE group or the MNE group agrees to revise its self-assessment to reflect changes required by the panel (which will now be submitted to other affected tax administrations for</w:t>
      </w:r>
      <w:r>
        <w:rPr>
          <w:spacing w:val="-6"/>
          <w:sz w:val="20"/>
        </w:rPr>
        <w:t> </w:t>
      </w:r>
      <w:r>
        <w:rPr>
          <w:sz w:val="20"/>
        </w:rPr>
        <w:t>approval).</w:t>
      </w:r>
    </w:p>
    <w:p>
      <w:pPr>
        <w:pStyle w:val="ListParagraph"/>
        <w:numPr>
          <w:ilvl w:val="1"/>
          <w:numId w:val="13"/>
        </w:numPr>
        <w:tabs>
          <w:tab w:pos="1785" w:val="left" w:leader="none"/>
        </w:tabs>
        <w:spacing w:line="266" w:lineRule="auto" w:before="43" w:after="0"/>
        <w:ind w:left="1784" w:right="477" w:hanging="360"/>
        <w:jc w:val="both"/>
        <w:rPr>
          <w:sz w:val="20"/>
        </w:rPr>
      </w:pPr>
      <w:r>
        <w:rPr>
          <w:sz w:val="20"/>
        </w:rPr>
        <w:t>The review panel reaches agreement, which does not correspond with the self-assessment submitted</w:t>
      </w:r>
      <w:r>
        <w:rPr>
          <w:spacing w:val="-13"/>
          <w:sz w:val="20"/>
        </w:rPr>
        <w:t> </w:t>
      </w:r>
      <w:r>
        <w:rPr>
          <w:sz w:val="20"/>
        </w:rPr>
        <w:t>by</w:t>
      </w:r>
      <w:r>
        <w:rPr>
          <w:spacing w:val="-16"/>
          <w:sz w:val="20"/>
        </w:rPr>
        <w:t> </w:t>
      </w:r>
      <w:r>
        <w:rPr>
          <w:sz w:val="20"/>
        </w:rPr>
        <w:t>the</w:t>
      </w:r>
      <w:r>
        <w:rPr>
          <w:spacing w:val="-13"/>
          <w:sz w:val="20"/>
        </w:rPr>
        <w:t> </w:t>
      </w:r>
      <w:r>
        <w:rPr>
          <w:sz w:val="20"/>
        </w:rPr>
        <w:t>MNE</w:t>
      </w:r>
      <w:r>
        <w:rPr>
          <w:spacing w:val="-13"/>
          <w:sz w:val="20"/>
        </w:rPr>
        <w:t> </w:t>
      </w:r>
      <w:r>
        <w:rPr>
          <w:sz w:val="20"/>
        </w:rPr>
        <w:t>group,</w:t>
      </w:r>
      <w:r>
        <w:rPr>
          <w:spacing w:val="-13"/>
          <w:sz w:val="20"/>
        </w:rPr>
        <w:t> </w:t>
      </w:r>
      <w:r>
        <w:rPr>
          <w:sz w:val="20"/>
        </w:rPr>
        <w:t>and</w:t>
      </w:r>
      <w:r>
        <w:rPr>
          <w:spacing w:val="-13"/>
          <w:sz w:val="20"/>
        </w:rPr>
        <w:t> </w:t>
      </w:r>
      <w:r>
        <w:rPr>
          <w:sz w:val="20"/>
        </w:rPr>
        <w:t>the</w:t>
      </w:r>
      <w:r>
        <w:rPr>
          <w:spacing w:val="-12"/>
          <w:sz w:val="20"/>
        </w:rPr>
        <w:t> </w:t>
      </w:r>
      <w:r>
        <w:rPr>
          <w:sz w:val="20"/>
        </w:rPr>
        <w:t>MNE</w:t>
      </w:r>
      <w:r>
        <w:rPr>
          <w:spacing w:val="-13"/>
          <w:sz w:val="20"/>
        </w:rPr>
        <w:t> </w:t>
      </w:r>
      <w:r>
        <w:rPr>
          <w:sz w:val="20"/>
        </w:rPr>
        <w:t>group</w:t>
      </w:r>
      <w:r>
        <w:rPr>
          <w:spacing w:val="-13"/>
          <w:sz w:val="20"/>
        </w:rPr>
        <w:t> </w:t>
      </w:r>
      <w:r>
        <w:rPr>
          <w:sz w:val="20"/>
        </w:rPr>
        <w:t>does</w:t>
      </w:r>
      <w:r>
        <w:rPr>
          <w:spacing w:val="-9"/>
          <w:sz w:val="20"/>
        </w:rPr>
        <w:t> </w:t>
      </w:r>
      <w:r>
        <w:rPr>
          <w:sz w:val="20"/>
        </w:rPr>
        <w:t>not</w:t>
      </w:r>
      <w:r>
        <w:rPr>
          <w:spacing w:val="-13"/>
          <w:sz w:val="20"/>
        </w:rPr>
        <w:t> </w:t>
      </w:r>
      <w:r>
        <w:rPr>
          <w:sz w:val="20"/>
        </w:rPr>
        <w:t>agree</w:t>
      </w:r>
      <w:r>
        <w:rPr>
          <w:spacing w:val="-13"/>
          <w:sz w:val="20"/>
        </w:rPr>
        <w:t> </w:t>
      </w:r>
      <w:r>
        <w:rPr>
          <w:sz w:val="20"/>
        </w:rPr>
        <w:t>to</w:t>
      </w:r>
      <w:r>
        <w:rPr>
          <w:spacing w:val="-13"/>
          <w:sz w:val="20"/>
        </w:rPr>
        <w:t> </w:t>
      </w:r>
      <w:r>
        <w:rPr>
          <w:sz w:val="20"/>
        </w:rPr>
        <w:t>revise</w:t>
      </w:r>
      <w:r>
        <w:rPr>
          <w:spacing w:val="-11"/>
          <w:sz w:val="20"/>
        </w:rPr>
        <w:t> </w:t>
      </w:r>
      <w:r>
        <w:rPr>
          <w:sz w:val="20"/>
        </w:rPr>
        <w:t>its</w:t>
      </w:r>
      <w:r>
        <w:rPr>
          <w:spacing w:val="-12"/>
          <w:sz w:val="20"/>
        </w:rPr>
        <w:t> </w:t>
      </w:r>
      <w:r>
        <w:rPr>
          <w:sz w:val="20"/>
        </w:rPr>
        <w:t>self-assessment.</w:t>
      </w:r>
    </w:p>
    <w:p>
      <w:pPr>
        <w:pStyle w:val="ListParagraph"/>
        <w:numPr>
          <w:ilvl w:val="1"/>
          <w:numId w:val="13"/>
        </w:numPr>
        <w:tabs>
          <w:tab w:pos="1785" w:val="left" w:leader="none"/>
        </w:tabs>
        <w:spacing w:line="240" w:lineRule="auto" w:before="54" w:after="0"/>
        <w:ind w:left="1784" w:right="0" w:hanging="361"/>
        <w:jc w:val="both"/>
        <w:rPr>
          <w:sz w:val="20"/>
        </w:rPr>
      </w:pPr>
      <w:r>
        <w:rPr>
          <w:sz w:val="20"/>
        </w:rPr>
        <w:t>The review panel fails to reach</w:t>
      </w:r>
      <w:r>
        <w:rPr>
          <w:spacing w:val="-9"/>
          <w:sz w:val="20"/>
        </w:rPr>
        <w:t> </w:t>
      </w:r>
      <w:r>
        <w:rPr>
          <w:sz w:val="20"/>
        </w:rPr>
        <w:t>agreement.</w:t>
      </w:r>
    </w:p>
    <w:p>
      <w:pPr>
        <w:pStyle w:val="BodyText"/>
        <w:spacing w:before="1"/>
        <w:rPr>
          <w:sz w:val="23"/>
        </w:rPr>
      </w:pPr>
    </w:p>
    <w:p>
      <w:pPr>
        <w:pStyle w:val="Heading7"/>
        <w:rPr>
          <w:i/>
        </w:rPr>
      </w:pPr>
      <w:bookmarkStart w:name="Submission of assessments agreed by the " w:id="435"/>
      <w:bookmarkEnd w:id="435"/>
      <w:r>
        <w:rPr>
          <w:i w:val="0"/>
        </w:rPr>
      </w:r>
      <w:r>
        <w:rPr>
          <w:i/>
          <w:color w:val="616161"/>
        </w:rPr>
        <w:t>Submission of assessments agreed by the review panel for approval</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If the review panel reaches agreement with the MNE group’s self-assessment (either as filed or reflecting</w:t>
      </w:r>
      <w:r>
        <w:rPr>
          <w:spacing w:val="-14"/>
          <w:sz w:val="20"/>
        </w:rPr>
        <w:t> </w:t>
      </w:r>
      <w:r>
        <w:rPr>
          <w:sz w:val="20"/>
        </w:rPr>
        <w:t>adjustments</w:t>
      </w:r>
      <w:r>
        <w:rPr>
          <w:spacing w:val="-13"/>
          <w:sz w:val="20"/>
        </w:rPr>
        <w:t> </w:t>
      </w:r>
      <w:r>
        <w:rPr>
          <w:sz w:val="20"/>
        </w:rPr>
        <w:t>to</w:t>
      </w:r>
      <w:r>
        <w:rPr>
          <w:spacing w:val="-13"/>
          <w:sz w:val="20"/>
        </w:rPr>
        <w:t> </w:t>
      </w:r>
      <w:r>
        <w:rPr>
          <w:sz w:val="20"/>
        </w:rPr>
        <w:t>the</w:t>
      </w:r>
      <w:r>
        <w:rPr>
          <w:spacing w:val="-13"/>
          <w:sz w:val="20"/>
        </w:rPr>
        <w:t> </w:t>
      </w:r>
      <w:r>
        <w:rPr>
          <w:sz w:val="20"/>
        </w:rPr>
        <w:t>self-assessment</w:t>
      </w:r>
      <w:r>
        <w:rPr>
          <w:spacing w:val="-14"/>
          <w:sz w:val="20"/>
        </w:rPr>
        <w:t> </w:t>
      </w:r>
      <w:r>
        <w:rPr>
          <w:sz w:val="20"/>
        </w:rPr>
        <w:t>agreed</w:t>
      </w:r>
      <w:r>
        <w:rPr>
          <w:spacing w:val="-14"/>
          <w:sz w:val="20"/>
        </w:rPr>
        <w:t> </w:t>
      </w:r>
      <w:r>
        <w:rPr>
          <w:sz w:val="20"/>
        </w:rPr>
        <w:t>by</w:t>
      </w:r>
      <w:r>
        <w:rPr>
          <w:spacing w:val="-15"/>
          <w:sz w:val="20"/>
        </w:rPr>
        <w:t> </w:t>
      </w:r>
      <w:r>
        <w:rPr>
          <w:sz w:val="20"/>
        </w:rPr>
        <w:t>the</w:t>
      </w:r>
      <w:r>
        <w:rPr>
          <w:spacing w:val="-14"/>
          <w:sz w:val="20"/>
        </w:rPr>
        <w:t> </w:t>
      </w:r>
      <w:r>
        <w:rPr>
          <w:sz w:val="20"/>
        </w:rPr>
        <w:t>MNE</w:t>
      </w:r>
      <w:r>
        <w:rPr>
          <w:spacing w:val="-14"/>
          <w:sz w:val="20"/>
        </w:rPr>
        <w:t> </w:t>
      </w:r>
      <w:r>
        <w:rPr>
          <w:sz w:val="20"/>
        </w:rPr>
        <w:t>group),</w:t>
      </w:r>
      <w:r>
        <w:rPr>
          <w:spacing w:val="-13"/>
          <w:sz w:val="20"/>
        </w:rPr>
        <w:t> </w:t>
      </w:r>
      <w:r>
        <w:rPr>
          <w:sz w:val="20"/>
        </w:rPr>
        <w:t>this</w:t>
      </w:r>
      <w:r>
        <w:rPr>
          <w:spacing w:val="-12"/>
          <w:sz w:val="20"/>
        </w:rPr>
        <w:t> </w:t>
      </w:r>
      <w:r>
        <w:rPr>
          <w:sz w:val="20"/>
        </w:rPr>
        <w:t>self-assessment</w:t>
      </w:r>
      <w:r>
        <w:rPr>
          <w:spacing w:val="-14"/>
          <w:sz w:val="20"/>
        </w:rPr>
        <w:t> </w:t>
      </w:r>
      <w:r>
        <w:rPr>
          <w:sz w:val="20"/>
        </w:rPr>
        <w:t>and</w:t>
      </w:r>
      <w:r>
        <w:rPr>
          <w:spacing w:val="-14"/>
          <w:sz w:val="20"/>
        </w:rPr>
        <w:t> </w:t>
      </w:r>
      <w:r>
        <w:rPr>
          <w:sz w:val="20"/>
        </w:rPr>
        <w:t>a</w:t>
      </w:r>
      <w:r>
        <w:rPr>
          <w:spacing w:val="-14"/>
          <w:sz w:val="20"/>
        </w:rPr>
        <w:t> </w:t>
      </w:r>
      <w:r>
        <w:rPr>
          <w:sz w:val="20"/>
        </w:rPr>
        <w:t>panel recommendation</w:t>
      </w:r>
      <w:r>
        <w:rPr>
          <w:spacing w:val="-12"/>
          <w:sz w:val="20"/>
        </w:rPr>
        <w:t> </w:t>
      </w:r>
      <w:r>
        <w:rPr>
          <w:sz w:val="20"/>
        </w:rPr>
        <w:t>that</w:t>
      </w:r>
      <w:r>
        <w:rPr>
          <w:spacing w:val="-8"/>
          <w:sz w:val="20"/>
        </w:rPr>
        <w:t> </w:t>
      </w:r>
      <w:r>
        <w:rPr>
          <w:sz w:val="20"/>
        </w:rPr>
        <w:t>the</w:t>
      </w:r>
      <w:r>
        <w:rPr>
          <w:spacing w:val="-11"/>
          <w:sz w:val="20"/>
        </w:rPr>
        <w:t> </w:t>
      </w:r>
      <w:r>
        <w:rPr>
          <w:sz w:val="20"/>
        </w:rPr>
        <w:t>self-assessment</w:t>
      </w:r>
      <w:r>
        <w:rPr>
          <w:spacing w:val="-11"/>
          <w:sz w:val="20"/>
        </w:rPr>
        <w:t> </w:t>
      </w:r>
      <w:r>
        <w:rPr>
          <w:sz w:val="20"/>
        </w:rPr>
        <w:t>be</w:t>
      </w:r>
      <w:r>
        <w:rPr>
          <w:spacing w:val="-11"/>
          <w:sz w:val="20"/>
        </w:rPr>
        <w:t> </w:t>
      </w:r>
      <w:r>
        <w:rPr>
          <w:sz w:val="20"/>
        </w:rPr>
        <w:t>accepted</w:t>
      </w:r>
      <w:r>
        <w:rPr>
          <w:spacing w:val="-11"/>
          <w:sz w:val="20"/>
        </w:rPr>
        <w:t> </w:t>
      </w:r>
      <w:r>
        <w:rPr>
          <w:sz w:val="20"/>
        </w:rPr>
        <w:t>is</w:t>
      </w:r>
      <w:r>
        <w:rPr>
          <w:spacing w:val="-7"/>
          <w:sz w:val="20"/>
        </w:rPr>
        <w:t> </w:t>
      </w:r>
      <w:r>
        <w:rPr>
          <w:sz w:val="20"/>
        </w:rPr>
        <w:t>sent</w:t>
      </w:r>
      <w:r>
        <w:rPr>
          <w:spacing w:val="-9"/>
          <w:sz w:val="20"/>
        </w:rPr>
        <w:t> </w:t>
      </w:r>
      <w:r>
        <w:rPr>
          <w:sz w:val="20"/>
        </w:rPr>
        <w:t>by</w:t>
      </w:r>
      <w:r>
        <w:rPr>
          <w:spacing w:val="-14"/>
          <w:sz w:val="20"/>
        </w:rPr>
        <w:t> </w:t>
      </w:r>
      <w:r>
        <w:rPr>
          <w:sz w:val="20"/>
        </w:rPr>
        <w:t>the</w:t>
      </w:r>
      <w:r>
        <w:rPr>
          <w:spacing w:val="-8"/>
          <w:sz w:val="20"/>
        </w:rPr>
        <w:t> </w:t>
      </w:r>
      <w:r>
        <w:rPr>
          <w:sz w:val="20"/>
        </w:rPr>
        <w:t>lead</w:t>
      </w:r>
      <w:r>
        <w:rPr>
          <w:spacing w:val="-9"/>
          <w:sz w:val="20"/>
        </w:rPr>
        <w:t> </w:t>
      </w:r>
      <w:r>
        <w:rPr>
          <w:sz w:val="20"/>
        </w:rPr>
        <w:t>tax</w:t>
      </w:r>
      <w:r>
        <w:rPr>
          <w:spacing w:val="-10"/>
          <w:sz w:val="20"/>
        </w:rPr>
        <w:t> </w:t>
      </w:r>
      <w:r>
        <w:rPr>
          <w:sz w:val="20"/>
        </w:rPr>
        <w:t>administration</w:t>
      </w:r>
      <w:r>
        <w:rPr>
          <w:spacing w:val="-9"/>
          <w:sz w:val="20"/>
        </w:rPr>
        <w:t> </w:t>
      </w:r>
      <w:r>
        <w:rPr>
          <w:sz w:val="20"/>
        </w:rPr>
        <w:t>to</w:t>
      </w:r>
      <w:r>
        <w:rPr>
          <w:spacing w:val="-9"/>
          <w:sz w:val="20"/>
        </w:rPr>
        <w:t> </w:t>
      </w:r>
      <w:r>
        <w:rPr>
          <w:sz w:val="20"/>
        </w:rPr>
        <w:t>all</w:t>
      </w:r>
      <w:r>
        <w:rPr>
          <w:spacing w:val="-9"/>
          <w:sz w:val="20"/>
        </w:rPr>
        <w:t> </w:t>
      </w:r>
      <w:r>
        <w:rPr>
          <w:sz w:val="20"/>
        </w:rPr>
        <w:t>affected tax administrations not on the panel. This is accompanied by a summary of the review undertaken by the panel</w:t>
      </w:r>
      <w:r>
        <w:rPr>
          <w:spacing w:val="-14"/>
          <w:sz w:val="20"/>
        </w:rPr>
        <w:t> </w:t>
      </w:r>
      <w:r>
        <w:rPr>
          <w:sz w:val="20"/>
        </w:rPr>
        <w:t>and</w:t>
      </w:r>
      <w:r>
        <w:rPr>
          <w:spacing w:val="-14"/>
          <w:sz w:val="20"/>
        </w:rPr>
        <w:t> </w:t>
      </w:r>
      <w:r>
        <w:rPr>
          <w:sz w:val="20"/>
        </w:rPr>
        <w:t>the</w:t>
      </w:r>
      <w:r>
        <w:rPr>
          <w:spacing w:val="-16"/>
          <w:sz w:val="20"/>
        </w:rPr>
        <w:t> </w:t>
      </w:r>
      <w:r>
        <w:rPr>
          <w:sz w:val="20"/>
        </w:rPr>
        <w:t>basis</w:t>
      </w:r>
      <w:r>
        <w:rPr>
          <w:spacing w:val="-14"/>
          <w:sz w:val="20"/>
        </w:rPr>
        <w:t> </w:t>
      </w:r>
      <w:r>
        <w:rPr>
          <w:sz w:val="20"/>
        </w:rPr>
        <w:t>for</w:t>
      </w:r>
      <w:r>
        <w:rPr>
          <w:spacing w:val="-15"/>
          <w:sz w:val="20"/>
        </w:rPr>
        <w:t> </w:t>
      </w:r>
      <w:r>
        <w:rPr>
          <w:sz w:val="20"/>
        </w:rPr>
        <w:t>its</w:t>
      </w:r>
      <w:r>
        <w:rPr>
          <w:spacing w:val="-15"/>
          <w:sz w:val="20"/>
        </w:rPr>
        <w:t> </w:t>
      </w:r>
      <w:r>
        <w:rPr>
          <w:sz w:val="20"/>
        </w:rPr>
        <w:t>conclusion</w:t>
      </w:r>
      <w:r>
        <w:rPr>
          <w:spacing w:val="-13"/>
          <w:sz w:val="20"/>
        </w:rPr>
        <w:t> </w:t>
      </w:r>
      <w:r>
        <w:rPr>
          <w:sz w:val="20"/>
        </w:rPr>
        <w:t>that</w:t>
      </w:r>
      <w:r>
        <w:rPr>
          <w:spacing w:val="-14"/>
          <w:sz w:val="20"/>
        </w:rPr>
        <w:t> </w:t>
      </w:r>
      <w:r>
        <w:rPr>
          <w:sz w:val="20"/>
        </w:rPr>
        <w:t>each</w:t>
      </w:r>
      <w:r>
        <w:rPr>
          <w:spacing w:val="-16"/>
          <w:sz w:val="20"/>
        </w:rPr>
        <w:t> </w:t>
      </w:r>
      <w:r>
        <w:rPr>
          <w:sz w:val="20"/>
        </w:rPr>
        <w:t>element</w:t>
      </w:r>
      <w:r>
        <w:rPr>
          <w:spacing w:val="-15"/>
          <w:sz w:val="20"/>
        </w:rPr>
        <w:t> </w:t>
      </w:r>
      <w:r>
        <w:rPr>
          <w:sz w:val="20"/>
        </w:rPr>
        <w:t>of</w:t>
      </w:r>
      <w:r>
        <w:rPr>
          <w:spacing w:val="-14"/>
          <w:sz w:val="20"/>
        </w:rPr>
        <w:t> </w:t>
      </w:r>
      <w:r>
        <w:rPr>
          <w:sz w:val="20"/>
        </w:rPr>
        <w:t>the</w:t>
      </w:r>
      <w:r>
        <w:rPr>
          <w:spacing w:val="-14"/>
          <w:sz w:val="20"/>
        </w:rPr>
        <w:t> </w:t>
      </w:r>
      <w:r>
        <w:rPr>
          <w:sz w:val="20"/>
        </w:rPr>
        <w:t>MNE</w:t>
      </w:r>
      <w:r>
        <w:rPr>
          <w:spacing w:val="-16"/>
          <w:sz w:val="20"/>
        </w:rPr>
        <w:t> </w:t>
      </w:r>
      <w:r>
        <w:rPr>
          <w:sz w:val="20"/>
        </w:rPr>
        <w:t>group’s</w:t>
      </w:r>
      <w:r>
        <w:rPr>
          <w:spacing w:val="-15"/>
          <w:sz w:val="20"/>
        </w:rPr>
        <w:t> </w:t>
      </w:r>
      <w:r>
        <w:rPr>
          <w:sz w:val="20"/>
        </w:rPr>
        <w:t>application</w:t>
      </w:r>
      <w:r>
        <w:rPr>
          <w:spacing w:val="-14"/>
          <w:sz w:val="20"/>
        </w:rPr>
        <w:t> </w:t>
      </w:r>
      <w:r>
        <w:rPr>
          <w:sz w:val="20"/>
        </w:rPr>
        <w:t>of</w:t>
      </w:r>
      <w:r>
        <w:rPr>
          <w:spacing w:val="-13"/>
          <w:sz w:val="20"/>
        </w:rPr>
        <w:t> </w:t>
      </w:r>
      <w:r>
        <w:rPr>
          <w:sz w:val="20"/>
        </w:rPr>
        <w:t>Amount</w:t>
      </w:r>
      <w:r>
        <w:rPr>
          <w:spacing w:val="-14"/>
          <w:sz w:val="20"/>
        </w:rPr>
        <w:t> </w:t>
      </w:r>
      <w:r>
        <w:rPr>
          <w:sz w:val="20"/>
        </w:rPr>
        <w:t>A</w:t>
      </w:r>
      <w:r>
        <w:rPr>
          <w:spacing w:val="-17"/>
          <w:sz w:val="20"/>
        </w:rPr>
        <w:t> </w:t>
      </w:r>
      <w:r>
        <w:rPr>
          <w:sz w:val="20"/>
        </w:rPr>
        <w:t>should be</w:t>
      </w:r>
      <w:r>
        <w:rPr>
          <w:spacing w:val="-12"/>
          <w:sz w:val="20"/>
        </w:rPr>
        <w:t> </w:t>
      </w:r>
      <w:r>
        <w:rPr>
          <w:sz w:val="20"/>
        </w:rPr>
        <w:t>agreed</w:t>
      </w:r>
      <w:r>
        <w:rPr>
          <w:spacing w:val="-12"/>
          <w:sz w:val="20"/>
        </w:rPr>
        <w:t> </w:t>
      </w:r>
      <w:r>
        <w:rPr>
          <w:sz w:val="20"/>
        </w:rPr>
        <w:t>by</w:t>
      </w:r>
      <w:r>
        <w:rPr>
          <w:spacing w:val="-15"/>
          <w:sz w:val="20"/>
        </w:rPr>
        <w:t> </w:t>
      </w:r>
      <w:r>
        <w:rPr>
          <w:sz w:val="20"/>
        </w:rPr>
        <w:t>affected</w:t>
      </w:r>
      <w:r>
        <w:rPr>
          <w:spacing w:val="-12"/>
          <w:sz w:val="20"/>
        </w:rPr>
        <w:t> </w:t>
      </w:r>
      <w:r>
        <w:rPr>
          <w:sz w:val="20"/>
        </w:rPr>
        <w:t>tax</w:t>
      </w:r>
      <w:r>
        <w:rPr>
          <w:spacing w:val="-11"/>
          <w:sz w:val="20"/>
        </w:rPr>
        <w:t> </w:t>
      </w:r>
      <w:r>
        <w:rPr>
          <w:sz w:val="20"/>
        </w:rPr>
        <w:t>administrations.</w:t>
      </w:r>
      <w:r>
        <w:rPr>
          <w:spacing w:val="-8"/>
          <w:sz w:val="20"/>
        </w:rPr>
        <w:t> </w:t>
      </w:r>
      <w:r>
        <w:rPr>
          <w:sz w:val="20"/>
        </w:rPr>
        <w:t>The</w:t>
      </w:r>
      <w:r>
        <w:rPr>
          <w:spacing w:val="-12"/>
          <w:sz w:val="20"/>
        </w:rPr>
        <w:t> </w:t>
      </w:r>
      <w:r>
        <w:rPr>
          <w:sz w:val="20"/>
        </w:rPr>
        <w:t>summary</w:t>
      </w:r>
      <w:r>
        <w:rPr>
          <w:spacing w:val="-12"/>
          <w:sz w:val="20"/>
        </w:rPr>
        <w:t> </w:t>
      </w:r>
      <w:r>
        <w:rPr>
          <w:sz w:val="20"/>
        </w:rPr>
        <w:t>would</w:t>
      </w:r>
      <w:r>
        <w:rPr>
          <w:spacing w:val="-9"/>
          <w:sz w:val="20"/>
        </w:rPr>
        <w:t> </w:t>
      </w:r>
      <w:r>
        <w:rPr>
          <w:sz w:val="20"/>
        </w:rPr>
        <w:t>be</w:t>
      </w:r>
      <w:r>
        <w:rPr>
          <w:spacing w:val="-11"/>
          <w:sz w:val="20"/>
        </w:rPr>
        <w:t> </w:t>
      </w:r>
      <w:r>
        <w:rPr>
          <w:sz w:val="20"/>
        </w:rPr>
        <w:t>prepared</w:t>
      </w:r>
      <w:r>
        <w:rPr>
          <w:spacing w:val="-10"/>
          <w:sz w:val="20"/>
        </w:rPr>
        <w:t> </w:t>
      </w:r>
      <w:r>
        <w:rPr>
          <w:sz w:val="20"/>
        </w:rPr>
        <w:t>by</w:t>
      </w:r>
      <w:r>
        <w:rPr>
          <w:spacing w:val="-14"/>
          <w:sz w:val="20"/>
        </w:rPr>
        <w:t> </w:t>
      </w:r>
      <w:r>
        <w:rPr>
          <w:sz w:val="20"/>
        </w:rPr>
        <w:t>the</w:t>
      </w:r>
      <w:r>
        <w:rPr>
          <w:spacing w:val="-9"/>
          <w:sz w:val="20"/>
        </w:rPr>
        <w:t> </w:t>
      </w:r>
      <w:r>
        <w:rPr>
          <w:sz w:val="20"/>
        </w:rPr>
        <w:t>lead</w:t>
      </w:r>
      <w:r>
        <w:rPr>
          <w:spacing w:val="-12"/>
          <w:sz w:val="20"/>
        </w:rPr>
        <w:t> </w:t>
      </w:r>
      <w:r>
        <w:rPr>
          <w:sz w:val="20"/>
        </w:rPr>
        <w:t>tax</w:t>
      </w:r>
      <w:r>
        <w:rPr>
          <w:spacing w:val="-11"/>
          <w:sz w:val="20"/>
        </w:rPr>
        <w:t> </w:t>
      </w:r>
      <w:r>
        <w:rPr>
          <w:sz w:val="20"/>
        </w:rPr>
        <w:t>administration, supported by the secretariat, and agreed with panel members. Affected tax administrations will also have access to any other information provided the MNE group in the course of the panel review. Depending upon</w:t>
      </w:r>
      <w:r>
        <w:rPr>
          <w:spacing w:val="-6"/>
          <w:sz w:val="20"/>
        </w:rPr>
        <w:t> </w:t>
      </w:r>
      <w:r>
        <w:rPr>
          <w:sz w:val="20"/>
        </w:rPr>
        <w:t>the</w:t>
      </w:r>
      <w:r>
        <w:rPr>
          <w:spacing w:val="-5"/>
          <w:sz w:val="20"/>
        </w:rPr>
        <w:t> </w:t>
      </w:r>
      <w:r>
        <w:rPr>
          <w:sz w:val="20"/>
        </w:rPr>
        <w:t>volume</w:t>
      </w:r>
      <w:r>
        <w:rPr>
          <w:spacing w:val="-8"/>
          <w:sz w:val="20"/>
        </w:rPr>
        <w:t> </w:t>
      </w:r>
      <w:r>
        <w:rPr>
          <w:sz w:val="20"/>
        </w:rPr>
        <w:t>of</w:t>
      </w:r>
      <w:r>
        <w:rPr>
          <w:spacing w:val="-5"/>
          <w:sz w:val="20"/>
        </w:rPr>
        <w:t> </w:t>
      </w:r>
      <w:r>
        <w:rPr>
          <w:sz w:val="20"/>
        </w:rPr>
        <w:t>such</w:t>
      </w:r>
      <w:r>
        <w:rPr>
          <w:spacing w:val="-8"/>
          <w:sz w:val="20"/>
        </w:rPr>
        <w:t> </w:t>
      </w:r>
      <w:r>
        <w:rPr>
          <w:sz w:val="20"/>
        </w:rPr>
        <w:t>information,</w:t>
      </w:r>
      <w:r>
        <w:rPr>
          <w:spacing w:val="-7"/>
          <w:sz w:val="20"/>
        </w:rPr>
        <w:t> </w:t>
      </w:r>
      <w:r>
        <w:rPr>
          <w:sz w:val="20"/>
        </w:rPr>
        <w:t>it</w:t>
      </w:r>
      <w:r>
        <w:rPr>
          <w:spacing w:val="-8"/>
          <w:sz w:val="20"/>
        </w:rPr>
        <w:t> </w:t>
      </w:r>
      <w:r>
        <w:rPr>
          <w:sz w:val="20"/>
        </w:rPr>
        <w:t>may</w:t>
      </w:r>
      <w:r>
        <w:rPr>
          <w:spacing w:val="-10"/>
          <w:sz w:val="20"/>
        </w:rPr>
        <w:t> </w:t>
      </w:r>
      <w:r>
        <w:rPr>
          <w:sz w:val="20"/>
        </w:rPr>
        <w:t>be</w:t>
      </w:r>
      <w:r>
        <w:rPr>
          <w:spacing w:val="-7"/>
          <w:sz w:val="20"/>
        </w:rPr>
        <w:t> </w:t>
      </w:r>
      <w:r>
        <w:rPr>
          <w:sz w:val="20"/>
        </w:rPr>
        <w:t>exchanged</w:t>
      </w:r>
      <w:r>
        <w:rPr>
          <w:spacing w:val="-6"/>
          <w:sz w:val="20"/>
        </w:rPr>
        <w:t> </w:t>
      </w:r>
      <w:r>
        <w:rPr>
          <w:sz w:val="20"/>
        </w:rPr>
        <w:t>by</w:t>
      </w:r>
      <w:r>
        <w:rPr>
          <w:spacing w:val="-10"/>
          <w:sz w:val="20"/>
        </w:rPr>
        <w:t> </w:t>
      </w:r>
      <w:r>
        <w:rPr>
          <w:spacing w:val="2"/>
          <w:sz w:val="20"/>
        </w:rPr>
        <w:t>the</w:t>
      </w:r>
      <w:r>
        <w:rPr>
          <w:spacing w:val="-6"/>
          <w:sz w:val="20"/>
        </w:rPr>
        <w:t> </w:t>
      </w:r>
      <w:r>
        <w:rPr>
          <w:sz w:val="20"/>
        </w:rPr>
        <w:t>lead</w:t>
      </w:r>
      <w:r>
        <w:rPr>
          <w:spacing w:val="-7"/>
          <w:sz w:val="20"/>
        </w:rPr>
        <w:t> </w:t>
      </w:r>
      <w:r>
        <w:rPr>
          <w:sz w:val="20"/>
        </w:rPr>
        <w:t>tax</w:t>
      </w:r>
      <w:r>
        <w:rPr>
          <w:spacing w:val="-7"/>
          <w:sz w:val="20"/>
        </w:rPr>
        <w:t> </w:t>
      </w:r>
      <w:r>
        <w:rPr>
          <w:sz w:val="20"/>
        </w:rPr>
        <w:t>administration</w:t>
      </w:r>
      <w:r>
        <w:rPr>
          <w:spacing w:val="-7"/>
          <w:sz w:val="20"/>
        </w:rPr>
        <w:t> </w:t>
      </w:r>
      <w:r>
        <w:rPr>
          <w:sz w:val="20"/>
        </w:rPr>
        <w:t>at</w:t>
      </w:r>
      <w:r>
        <w:rPr>
          <w:spacing w:val="-7"/>
          <w:sz w:val="20"/>
        </w:rPr>
        <w:t> </w:t>
      </w:r>
      <w:r>
        <w:rPr>
          <w:sz w:val="20"/>
        </w:rPr>
        <w:t>the</w:t>
      </w:r>
      <w:r>
        <w:rPr>
          <w:spacing w:val="-8"/>
          <w:sz w:val="20"/>
        </w:rPr>
        <w:t> </w:t>
      </w:r>
      <w:r>
        <w:rPr>
          <w:sz w:val="20"/>
        </w:rPr>
        <w:t>same</w:t>
      </w:r>
      <w:r>
        <w:rPr>
          <w:spacing w:val="-7"/>
          <w:sz w:val="20"/>
        </w:rPr>
        <w:t> </w:t>
      </w:r>
      <w:r>
        <w:rPr>
          <w:sz w:val="20"/>
        </w:rPr>
        <w:t>time as the panel recommendation, or a list of the information may be exchanged with the indication that the information itself is available on</w:t>
      </w:r>
      <w:r>
        <w:rPr>
          <w:spacing w:val="-5"/>
          <w:sz w:val="20"/>
        </w:rPr>
        <w:t> </w:t>
      </w:r>
      <w:r>
        <w:rPr>
          <w:sz w:val="20"/>
        </w:rPr>
        <w:t>request.</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In</w:t>
      </w:r>
      <w:r>
        <w:rPr>
          <w:spacing w:val="-13"/>
          <w:sz w:val="20"/>
        </w:rPr>
        <w:t> </w:t>
      </w:r>
      <w:r>
        <w:rPr>
          <w:sz w:val="20"/>
        </w:rPr>
        <w:t>most</w:t>
      </w:r>
      <w:r>
        <w:rPr>
          <w:spacing w:val="-13"/>
          <w:sz w:val="20"/>
        </w:rPr>
        <w:t> </w:t>
      </w:r>
      <w:r>
        <w:rPr>
          <w:sz w:val="20"/>
        </w:rPr>
        <w:t>cases</w:t>
      </w:r>
      <w:r>
        <w:rPr>
          <w:spacing w:val="-12"/>
          <w:sz w:val="20"/>
        </w:rPr>
        <w:t> </w:t>
      </w:r>
      <w:r>
        <w:rPr>
          <w:sz w:val="20"/>
        </w:rPr>
        <w:t>the</w:t>
      </w:r>
      <w:r>
        <w:rPr>
          <w:spacing w:val="-11"/>
          <w:sz w:val="20"/>
        </w:rPr>
        <w:t> </w:t>
      </w:r>
      <w:r>
        <w:rPr>
          <w:sz w:val="20"/>
        </w:rPr>
        <w:t>summary</w:t>
      </w:r>
      <w:r>
        <w:rPr>
          <w:spacing w:val="-16"/>
          <w:sz w:val="20"/>
        </w:rPr>
        <w:t> </w:t>
      </w:r>
      <w:r>
        <w:rPr>
          <w:sz w:val="20"/>
        </w:rPr>
        <w:t>of</w:t>
      </w:r>
      <w:r>
        <w:rPr>
          <w:spacing w:val="-11"/>
          <w:sz w:val="20"/>
        </w:rPr>
        <w:t> </w:t>
      </w:r>
      <w:r>
        <w:rPr>
          <w:sz w:val="20"/>
        </w:rPr>
        <w:t>the</w:t>
      </w:r>
      <w:r>
        <w:rPr>
          <w:spacing w:val="-9"/>
          <w:sz w:val="20"/>
        </w:rPr>
        <w:t> </w:t>
      </w:r>
      <w:r>
        <w:rPr>
          <w:sz w:val="20"/>
        </w:rPr>
        <w:t>work</w:t>
      </w:r>
      <w:r>
        <w:rPr>
          <w:spacing w:val="-8"/>
          <w:sz w:val="20"/>
        </w:rPr>
        <w:t> </w:t>
      </w:r>
      <w:r>
        <w:rPr>
          <w:sz w:val="20"/>
        </w:rPr>
        <w:t>undertaken</w:t>
      </w:r>
      <w:r>
        <w:rPr>
          <w:spacing w:val="-13"/>
          <w:sz w:val="20"/>
        </w:rPr>
        <w:t> </w:t>
      </w:r>
      <w:r>
        <w:rPr>
          <w:sz w:val="20"/>
        </w:rPr>
        <w:t>by</w:t>
      </w:r>
      <w:r>
        <w:rPr>
          <w:spacing w:val="-14"/>
          <w:sz w:val="20"/>
        </w:rPr>
        <w:t> </w:t>
      </w:r>
      <w:r>
        <w:rPr>
          <w:sz w:val="20"/>
        </w:rPr>
        <w:t>the</w:t>
      </w:r>
      <w:r>
        <w:rPr>
          <w:spacing w:val="-13"/>
          <w:sz w:val="20"/>
        </w:rPr>
        <w:t> </w:t>
      </w:r>
      <w:r>
        <w:rPr>
          <w:sz w:val="20"/>
        </w:rPr>
        <w:t>review</w:t>
      </w:r>
      <w:r>
        <w:rPr>
          <w:spacing w:val="-7"/>
          <w:sz w:val="20"/>
        </w:rPr>
        <w:t> </w:t>
      </w:r>
      <w:r>
        <w:rPr>
          <w:sz w:val="20"/>
        </w:rPr>
        <w:t>panel</w:t>
      </w:r>
      <w:r>
        <w:rPr>
          <w:spacing w:val="-11"/>
          <w:sz w:val="20"/>
        </w:rPr>
        <w:t> </w:t>
      </w:r>
      <w:r>
        <w:rPr>
          <w:sz w:val="20"/>
        </w:rPr>
        <w:t>and</w:t>
      </w:r>
      <w:r>
        <w:rPr>
          <w:spacing w:val="-11"/>
          <w:sz w:val="20"/>
        </w:rPr>
        <w:t> </w:t>
      </w:r>
      <w:r>
        <w:rPr>
          <w:sz w:val="20"/>
        </w:rPr>
        <w:t>the</w:t>
      </w:r>
      <w:r>
        <w:rPr>
          <w:spacing w:val="-11"/>
          <w:sz w:val="20"/>
        </w:rPr>
        <w:t> </w:t>
      </w:r>
      <w:r>
        <w:rPr>
          <w:sz w:val="20"/>
        </w:rPr>
        <w:t>information</w:t>
      </w:r>
      <w:r>
        <w:rPr>
          <w:spacing w:val="-12"/>
          <w:sz w:val="20"/>
        </w:rPr>
        <w:t> </w:t>
      </w:r>
      <w:r>
        <w:rPr>
          <w:sz w:val="20"/>
        </w:rPr>
        <w:t>it</w:t>
      </w:r>
      <w:r>
        <w:rPr>
          <w:spacing w:val="-10"/>
          <w:sz w:val="20"/>
        </w:rPr>
        <w:t> </w:t>
      </w:r>
      <w:r>
        <w:rPr>
          <w:sz w:val="20"/>
        </w:rPr>
        <w:t>used as</w:t>
      </w:r>
      <w:r>
        <w:rPr>
          <w:spacing w:val="-6"/>
          <w:sz w:val="20"/>
        </w:rPr>
        <w:t> </w:t>
      </w:r>
      <w:r>
        <w:rPr>
          <w:sz w:val="20"/>
        </w:rPr>
        <w:t>a</w:t>
      </w:r>
      <w:r>
        <w:rPr>
          <w:spacing w:val="-7"/>
          <w:sz w:val="20"/>
        </w:rPr>
        <w:t> </w:t>
      </w:r>
      <w:r>
        <w:rPr>
          <w:sz w:val="20"/>
        </w:rPr>
        <w:t>basis</w:t>
      </w:r>
      <w:r>
        <w:rPr>
          <w:spacing w:val="-4"/>
          <w:sz w:val="20"/>
        </w:rPr>
        <w:t> </w:t>
      </w:r>
      <w:r>
        <w:rPr>
          <w:sz w:val="20"/>
        </w:rPr>
        <w:t>for</w:t>
      </w:r>
      <w:r>
        <w:rPr>
          <w:spacing w:val="-6"/>
          <w:sz w:val="20"/>
        </w:rPr>
        <w:t> </w:t>
      </w:r>
      <w:r>
        <w:rPr>
          <w:sz w:val="20"/>
        </w:rPr>
        <w:t>its</w:t>
      </w:r>
      <w:r>
        <w:rPr>
          <w:spacing w:val="-4"/>
          <w:sz w:val="20"/>
        </w:rPr>
        <w:t> </w:t>
      </w:r>
      <w:r>
        <w:rPr>
          <w:sz w:val="20"/>
        </w:rPr>
        <w:t>decision</w:t>
      </w:r>
      <w:r>
        <w:rPr>
          <w:spacing w:val="-7"/>
          <w:sz w:val="20"/>
        </w:rPr>
        <w:t> </w:t>
      </w:r>
      <w:r>
        <w:rPr>
          <w:sz w:val="20"/>
        </w:rPr>
        <w:t>should</w:t>
      </w:r>
      <w:r>
        <w:rPr>
          <w:spacing w:val="-3"/>
          <w:sz w:val="20"/>
        </w:rPr>
        <w:t> </w:t>
      </w:r>
      <w:r>
        <w:rPr>
          <w:sz w:val="20"/>
        </w:rPr>
        <w:t>be</w:t>
      </w:r>
      <w:r>
        <w:rPr>
          <w:spacing w:val="-7"/>
          <w:sz w:val="20"/>
        </w:rPr>
        <w:t> </w:t>
      </w:r>
      <w:r>
        <w:rPr>
          <w:sz w:val="20"/>
        </w:rPr>
        <w:t>sufficient</w:t>
      </w:r>
      <w:r>
        <w:rPr>
          <w:spacing w:val="-6"/>
          <w:sz w:val="20"/>
        </w:rPr>
        <w:t> </w:t>
      </w:r>
      <w:r>
        <w:rPr>
          <w:sz w:val="20"/>
        </w:rPr>
        <w:t>for</w:t>
      </w:r>
      <w:r>
        <w:rPr>
          <w:spacing w:val="-5"/>
          <w:sz w:val="20"/>
        </w:rPr>
        <w:t> </w:t>
      </w:r>
      <w:r>
        <w:rPr>
          <w:sz w:val="20"/>
        </w:rPr>
        <w:t>affected</w:t>
      </w:r>
      <w:r>
        <w:rPr>
          <w:spacing w:val="-7"/>
          <w:sz w:val="20"/>
        </w:rPr>
        <w:t> </w:t>
      </w:r>
      <w:r>
        <w:rPr>
          <w:sz w:val="20"/>
        </w:rPr>
        <w:t>tax</w:t>
      </w:r>
      <w:r>
        <w:rPr>
          <w:spacing w:val="-2"/>
          <w:sz w:val="20"/>
        </w:rPr>
        <w:t> </w:t>
      </w:r>
      <w:r>
        <w:rPr>
          <w:sz w:val="20"/>
        </w:rPr>
        <w:t>administrations</w:t>
      </w:r>
      <w:r>
        <w:rPr>
          <w:spacing w:val="-5"/>
          <w:sz w:val="20"/>
        </w:rPr>
        <w:t> </w:t>
      </w:r>
      <w:r>
        <w:rPr>
          <w:sz w:val="20"/>
        </w:rPr>
        <w:t>to</w:t>
      </w:r>
      <w:r>
        <w:rPr>
          <w:spacing w:val="-6"/>
          <w:sz w:val="20"/>
        </w:rPr>
        <w:t> </w:t>
      </w:r>
      <w:r>
        <w:rPr>
          <w:sz w:val="20"/>
        </w:rPr>
        <w:t>form</w:t>
      </w:r>
      <w:r>
        <w:rPr>
          <w:spacing w:val="-2"/>
          <w:sz w:val="20"/>
        </w:rPr>
        <w:t> </w:t>
      </w:r>
      <w:r>
        <w:rPr>
          <w:sz w:val="20"/>
        </w:rPr>
        <w:t>a</w:t>
      </w:r>
      <w:r>
        <w:rPr>
          <w:spacing w:val="-7"/>
          <w:sz w:val="20"/>
        </w:rPr>
        <w:t> </w:t>
      </w:r>
      <w:r>
        <w:rPr>
          <w:sz w:val="20"/>
        </w:rPr>
        <w:t>view</w:t>
      </w:r>
      <w:r>
        <w:rPr>
          <w:spacing w:val="-5"/>
          <w:sz w:val="20"/>
        </w:rPr>
        <w:t> </w:t>
      </w:r>
      <w:r>
        <w:rPr>
          <w:sz w:val="20"/>
        </w:rPr>
        <w:t>as</w:t>
      </w:r>
      <w:r>
        <w:rPr>
          <w:spacing w:val="-6"/>
          <w:sz w:val="20"/>
        </w:rPr>
        <w:t> </w:t>
      </w:r>
      <w:r>
        <w:rPr>
          <w:sz w:val="20"/>
        </w:rPr>
        <w:t>to</w:t>
      </w:r>
      <w:r>
        <w:rPr>
          <w:spacing w:val="-3"/>
          <w:sz w:val="20"/>
        </w:rPr>
        <w:t> </w:t>
      </w:r>
      <w:r>
        <w:rPr>
          <w:sz w:val="20"/>
        </w:rPr>
        <w:t>whether or not they agree to the review panel’s recommendation but, if needed, a tax administration may request additional information. This will be provided by the lead tax administration if it concerns information that was</w:t>
      </w:r>
      <w:r>
        <w:rPr>
          <w:spacing w:val="-5"/>
          <w:sz w:val="20"/>
        </w:rPr>
        <w:t> </w:t>
      </w:r>
      <w:r>
        <w:rPr>
          <w:sz w:val="20"/>
        </w:rPr>
        <w:t>already</w:t>
      </w:r>
      <w:r>
        <w:rPr>
          <w:spacing w:val="-11"/>
          <w:sz w:val="20"/>
        </w:rPr>
        <w:t> </w:t>
      </w:r>
      <w:r>
        <w:rPr>
          <w:sz w:val="20"/>
        </w:rPr>
        <w:t>supplied</w:t>
      </w:r>
      <w:r>
        <w:rPr>
          <w:spacing w:val="-6"/>
          <w:sz w:val="20"/>
        </w:rPr>
        <w:t> </w:t>
      </w:r>
      <w:r>
        <w:rPr>
          <w:sz w:val="20"/>
        </w:rPr>
        <w:t>by</w:t>
      </w:r>
      <w:r>
        <w:rPr>
          <w:spacing w:val="-8"/>
          <w:sz w:val="20"/>
        </w:rPr>
        <w:t> </w:t>
      </w:r>
      <w:r>
        <w:rPr>
          <w:sz w:val="20"/>
        </w:rPr>
        <w:t>the</w:t>
      </w:r>
      <w:r>
        <w:rPr>
          <w:spacing w:val="-6"/>
          <w:sz w:val="20"/>
        </w:rPr>
        <w:t> </w:t>
      </w:r>
      <w:r>
        <w:rPr>
          <w:sz w:val="20"/>
        </w:rPr>
        <w:t>MNE</w:t>
      </w:r>
      <w:r>
        <w:rPr>
          <w:spacing w:val="-6"/>
          <w:sz w:val="20"/>
        </w:rPr>
        <w:t> </w:t>
      </w:r>
      <w:r>
        <w:rPr>
          <w:sz w:val="20"/>
        </w:rPr>
        <w:t>group,</w:t>
      </w:r>
      <w:r>
        <w:rPr>
          <w:spacing w:val="-6"/>
          <w:sz w:val="20"/>
        </w:rPr>
        <w:t> </w:t>
      </w:r>
      <w:r>
        <w:rPr>
          <w:sz w:val="20"/>
        </w:rPr>
        <w:t>or</w:t>
      </w:r>
      <w:r>
        <w:rPr>
          <w:spacing w:val="-5"/>
          <w:sz w:val="20"/>
        </w:rPr>
        <w:t> </w:t>
      </w:r>
      <w:r>
        <w:rPr>
          <w:sz w:val="20"/>
        </w:rPr>
        <w:t>else</w:t>
      </w:r>
      <w:r>
        <w:rPr>
          <w:spacing w:val="-5"/>
          <w:sz w:val="20"/>
        </w:rPr>
        <w:t> </w:t>
      </w:r>
      <w:r>
        <w:rPr>
          <w:sz w:val="20"/>
        </w:rPr>
        <w:t>may</w:t>
      </w:r>
      <w:r>
        <w:rPr>
          <w:spacing w:val="-9"/>
          <w:sz w:val="20"/>
        </w:rPr>
        <w:t> </w:t>
      </w:r>
      <w:r>
        <w:rPr>
          <w:sz w:val="20"/>
        </w:rPr>
        <w:t>be</w:t>
      </w:r>
      <w:r>
        <w:rPr>
          <w:spacing w:val="-6"/>
          <w:sz w:val="20"/>
        </w:rPr>
        <w:t> </w:t>
      </w:r>
      <w:r>
        <w:rPr>
          <w:sz w:val="20"/>
        </w:rPr>
        <w:t>requested</w:t>
      </w:r>
      <w:r>
        <w:rPr>
          <w:spacing w:val="-3"/>
          <w:sz w:val="20"/>
        </w:rPr>
        <w:t> </w:t>
      </w:r>
      <w:r>
        <w:rPr>
          <w:sz w:val="20"/>
        </w:rPr>
        <w:t>by</w:t>
      </w:r>
      <w:r>
        <w:rPr>
          <w:spacing w:val="-9"/>
          <w:sz w:val="20"/>
        </w:rPr>
        <w:t> </w:t>
      </w:r>
      <w:r>
        <w:rPr>
          <w:sz w:val="20"/>
        </w:rPr>
        <w:t>the</w:t>
      </w:r>
      <w:r>
        <w:rPr>
          <w:spacing w:val="-3"/>
          <w:sz w:val="20"/>
        </w:rPr>
        <w:t> </w:t>
      </w:r>
      <w:r>
        <w:rPr>
          <w:sz w:val="20"/>
        </w:rPr>
        <w:t>lead</w:t>
      </w:r>
      <w:r>
        <w:rPr>
          <w:spacing w:val="-6"/>
          <w:sz w:val="20"/>
        </w:rPr>
        <w:t> </w:t>
      </w:r>
      <w:r>
        <w:rPr>
          <w:sz w:val="20"/>
        </w:rPr>
        <w:t>tax</w:t>
      </w:r>
      <w:r>
        <w:rPr>
          <w:spacing w:val="-4"/>
          <w:sz w:val="20"/>
        </w:rPr>
        <w:t> </w:t>
      </w:r>
      <w:r>
        <w:rPr>
          <w:sz w:val="20"/>
        </w:rPr>
        <w:t>administration</w:t>
      </w:r>
      <w:r>
        <w:rPr>
          <w:spacing w:val="-6"/>
          <w:sz w:val="20"/>
        </w:rPr>
        <w:t> </w:t>
      </w:r>
      <w:r>
        <w:rPr>
          <w:sz w:val="20"/>
        </w:rPr>
        <w:t>from</w:t>
      </w:r>
      <w:r>
        <w:rPr>
          <w:spacing w:val="-1"/>
          <w:sz w:val="20"/>
        </w:rPr>
        <w:t> </w:t>
      </w:r>
      <w:r>
        <w:rPr>
          <w:sz w:val="20"/>
        </w:rPr>
        <w:t>the MNE</w:t>
      </w:r>
      <w:r>
        <w:rPr>
          <w:spacing w:val="-1"/>
          <w:sz w:val="20"/>
        </w:rPr>
        <w:t> </w:t>
      </w:r>
      <w:r>
        <w:rPr>
          <w:sz w:val="20"/>
        </w:rPr>
        <w:t>group.</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If no affected tax administration objects to the review panel’s recommendations within [three months], their acceptance is assumed and the MNE group is informed by the lead tax administration. The assessment of Amount A agreed by the review panel and approved by affected tax administrations is binding on the MNE group’s constituent entities and on tax administrations in all Inclusive Framework member</w:t>
      </w:r>
      <w:r>
        <w:rPr>
          <w:spacing w:val="-4"/>
          <w:sz w:val="20"/>
        </w:rPr>
        <w:t> </w:t>
      </w:r>
      <w:r>
        <w:rPr>
          <w:sz w:val="20"/>
        </w:rPr>
        <w:t>jurisdictions.</w:t>
      </w:r>
    </w:p>
    <w:p>
      <w:pPr>
        <w:pStyle w:val="ListParagraph"/>
        <w:numPr>
          <w:ilvl w:val="0"/>
          <w:numId w:val="13"/>
        </w:numPr>
        <w:tabs>
          <w:tab w:pos="1444" w:val="left" w:leader="none"/>
        </w:tabs>
        <w:spacing w:line="271" w:lineRule="auto" w:before="122" w:after="0"/>
        <w:ind w:left="723" w:right="483" w:firstLine="0"/>
        <w:jc w:val="both"/>
        <w:rPr>
          <w:sz w:val="20"/>
        </w:rPr>
      </w:pPr>
      <w:r>
        <w:rPr>
          <w:sz w:val="20"/>
        </w:rPr>
        <w:t>If any affected tax administration objects to the review panel’s recommendation, all affected tax administrations will be informed and invited to provide any comments on these objections within [two weeks].</w:t>
      </w:r>
      <w:r>
        <w:rPr>
          <w:spacing w:val="-9"/>
          <w:sz w:val="20"/>
        </w:rPr>
        <w:t> </w:t>
      </w:r>
      <w:r>
        <w:rPr>
          <w:sz w:val="20"/>
        </w:rPr>
        <w:t>The</w:t>
      </w:r>
      <w:r>
        <w:rPr>
          <w:spacing w:val="-7"/>
          <w:sz w:val="20"/>
        </w:rPr>
        <w:t> </w:t>
      </w:r>
      <w:r>
        <w:rPr>
          <w:sz w:val="20"/>
        </w:rPr>
        <w:t>review</w:t>
      </w:r>
      <w:r>
        <w:rPr>
          <w:spacing w:val="-7"/>
          <w:sz w:val="20"/>
        </w:rPr>
        <w:t> </w:t>
      </w:r>
      <w:r>
        <w:rPr>
          <w:sz w:val="20"/>
        </w:rPr>
        <w:t>panel</w:t>
      </w:r>
      <w:r>
        <w:rPr>
          <w:spacing w:val="-5"/>
          <w:sz w:val="20"/>
        </w:rPr>
        <w:t> </w:t>
      </w:r>
      <w:r>
        <w:rPr>
          <w:sz w:val="20"/>
        </w:rPr>
        <w:t>will</w:t>
      </w:r>
      <w:r>
        <w:rPr>
          <w:spacing w:val="-5"/>
          <w:sz w:val="20"/>
        </w:rPr>
        <w:t> </w:t>
      </w:r>
      <w:r>
        <w:rPr>
          <w:sz w:val="20"/>
        </w:rPr>
        <w:t>have</w:t>
      </w:r>
      <w:r>
        <w:rPr>
          <w:spacing w:val="-7"/>
          <w:sz w:val="20"/>
        </w:rPr>
        <w:t> </w:t>
      </w:r>
      <w:r>
        <w:rPr>
          <w:sz w:val="20"/>
        </w:rPr>
        <w:t>up</w:t>
      </w:r>
      <w:r>
        <w:rPr>
          <w:spacing w:val="-6"/>
          <w:sz w:val="20"/>
        </w:rPr>
        <w:t> </w:t>
      </w:r>
      <w:r>
        <w:rPr>
          <w:sz w:val="20"/>
        </w:rPr>
        <w:t>to</w:t>
      </w:r>
      <w:r>
        <w:rPr>
          <w:spacing w:val="-7"/>
          <w:sz w:val="20"/>
        </w:rPr>
        <w:t> </w:t>
      </w:r>
      <w:r>
        <w:rPr>
          <w:sz w:val="20"/>
        </w:rPr>
        <w:t>[two</w:t>
      </w:r>
      <w:r>
        <w:rPr>
          <w:spacing w:val="-7"/>
          <w:sz w:val="20"/>
        </w:rPr>
        <w:t> </w:t>
      </w:r>
      <w:r>
        <w:rPr>
          <w:sz w:val="20"/>
        </w:rPr>
        <w:t>months]</w:t>
      </w:r>
      <w:r>
        <w:rPr>
          <w:spacing w:val="-5"/>
          <w:sz w:val="20"/>
        </w:rPr>
        <w:t> </w:t>
      </w:r>
      <w:r>
        <w:rPr>
          <w:sz w:val="20"/>
        </w:rPr>
        <w:t>to</w:t>
      </w:r>
      <w:r>
        <w:rPr>
          <w:spacing w:val="-5"/>
          <w:sz w:val="20"/>
        </w:rPr>
        <w:t> </w:t>
      </w:r>
      <w:r>
        <w:rPr>
          <w:sz w:val="20"/>
        </w:rPr>
        <w:t>consider</w:t>
      </w:r>
      <w:r>
        <w:rPr>
          <w:spacing w:val="-3"/>
          <w:sz w:val="20"/>
        </w:rPr>
        <w:t> </w:t>
      </w:r>
      <w:r>
        <w:rPr>
          <w:sz w:val="20"/>
        </w:rPr>
        <w:t>whether</w:t>
      </w:r>
      <w:r>
        <w:rPr>
          <w:spacing w:val="-6"/>
          <w:sz w:val="20"/>
        </w:rPr>
        <w:t> </w:t>
      </w:r>
      <w:r>
        <w:rPr>
          <w:sz w:val="20"/>
        </w:rPr>
        <w:t>an</w:t>
      </w:r>
      <w:r>
        <w:rPr>
          <w:spacing w:val="-6"/>
          <w:sz w:val="20"/>
        </w:rPr>
        <w:t> </w:t>
      </w:r>
      <w:r>
        <w:rPr>
          <w:sz w:val="20"/>
        </w:rPr>
        <w:t>adjustment</w:t>
      </w:r>
      <w:r>
        <w:rPr>
          <w:spacing w:val="-6"/>
          <w:sz w:val="20"/>
        </w:rPr>
        <w:t> </w:t>
      </w:r>
      <w:r>
        <w:rPr>
          <w:sz w:val="20"/>
        </w:rPr>
        <w:t>is</w:t>
      </w:r>
      <w:r>
        <w:rPr>
          <w:spacing w:val="-5"/>
          <w:sz w:val="20"/>
        </w:rPr>
        <w:t> </w:t>
      </w:r>
      <w:r>
        <w:rPr>
          <w:sz w:val="20"/>
        </w:rPr>
        <w:t>needed</w:t>
      </w:r>
      <w:r>
        <w:rPr>
          <w:spacing w:val="-6"/>
          <w:sz w:val="20"/>
        </w:rPr>
        <w:t> </w:t>
      </w:r>
      <w:r>
        <w:rPr>
          <w:sz w:val="20"/>
        </w:rPr>
        <w:t>to</w:t>
      </w:r>
      <w:r>
        <w:rPr>
          <w:spacing w:val="-7"/>
          <w:sz w:val="20"/>
        </w:rPr>
        <w:t> </w:t>
      </w:r>
      <w:r>
        <w:rPr>
          <w:sz w:val="20"/>
        </w:rPr>
        <w:t>the MNE group’s assessment of Amount A and discuss this with the MNE group, though this process should be completed more quickly if</w:t>
      </w:r>
      <w:r>
        <w:rPr>
          <w:spacing w:val="-7"/>
          <w:sz w:val="20"/>
        </w:rPr>
        <w:t> </w:t>
      </w:r>
      <w:r>
        <w:rPr>
          <w:sz w:val="20"/>
        </w:rPr>
        <w:t>possible.</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If the review panel and MNE group agree that adjustment is needed (or accepted), the lead tax administration will re-circulate a revised assessment of Amount A and recommendation reflecting this to affected tax administrations for any further objections. At this point objections should be raised within a period of [one month] and should only concern or be consequential to elements that have changed since the previous version was circulated. This process continues, with [one month] for additional objections concerning</w:t>
      </w:r>
      <w:r>
        <w:rPr>
          <w:spacing w:val="-15"/>
          <w:sz w:val="20"/>
        </w:rPr>
        <w:t> </w:t>
      </w:r>
      <w:r>
        <w:rPr>
          <w:sz w:val="20"/>
        </w:rPr>
        <w:t>new</w:t>
      </w:r>
      <w:r>
        <w:rPr>
          <w:spacing w:val="-13"/>
          <w:sz w:val="20"/>
        </w:rPr>
        <w:t> </w:t>
      </w:r>
      <w:r>
        <w:rPr>
          <w:sz w:val="20"/>
        </w:rPr>
        <w:t>elements,</w:t>
      </w:r>
      <w:r>
        <w:rPr>
          <w:spacing w:val="-14"/>
          <w:sz w:val="20"/>
        </w:rPr>
        <w:t> </w:t>
      </w:r>
      <w:r>
        <w:rPr>
          <w:sz w:val="20"/>
        </w:rPr>
        <w:t>until</w:t>
      </w:r>
      <w:r>
        <w:rPr>
          <w:spacing w:val="-15"/>
          <w:sz w:val="20"/>
        </w:rPr>
        <w:t> </w:t>
      </w:r>
      <w:r>
        <w:rPr>
          <w:sz w:val="20"/>
        </w:rPr>
        <w:t>no</w:t>
      </w:r>
      <w:r>
        <w:rPr>
          <w:spacing w:val="-14"/>
          <w:sz w:val="20"/>
        </w:rPr>
        <w:t> </w:t>
      </w:r>
      <w:r>
        <w:rPr>
          <w:sz w:val="20"/>
        </w:rPr>
        <w:t>objections</w:t>
      </w:r>
      <w:r>
        <w:rPr>
          <w:spacing w:val="-12"/>
          <w:sz w:val="20"/>
        </w:rPr>
        <w:t> </w:t>
      </w:r>
      <w:r>
        <w:rPr>
          <w:sz w:val="20"/>
        </w:rPr>
        <w:t>are</w:t>
      </w:r>
      <w:r>
        <w:rPr>
          <w:spacing w:val="-14"/>
          <w:sz w:val="20"/>
        </w:rPr>
        <w:t> </w:t>
      </w:r>
      <w:r>
        <w:rPr>
          <w:sz w:val="20"/>
        </w:rPr>
        <w:t>received.</w:t>
      </w:r>
      <w:r>
        <w:rPr>
          <w:spacing w:val="-14"/>
          <w:sz w:val="20"/>
        </w:rPr>
        <w:t> </w:t>
      </w:r>
      <w:r>
        <w:rPr>
          <w:sz w:val="20"/>
        </w:rPr>
        <w:t>At</w:t>
      </w:r>
      <w:r>
        <w:rPr>
          <w:spacing w:val="-14"/>
          <w:sz w:val="20"/>
        </w:rPr>
        <w:t> </w:t>
      </w:r>
      <w:r>
        <w:rPr>
          <w:sz w:val="20"/>
        </w:rPr>
        <w:t>this</w:t>
      </w:r>
      <w:r>
        <w:rPr>
          <w:spacing w:val="-13"/>
          <w:sz w:val="20"/>
        </w:rPr>
        <w:t> </w:t>
      </w:r>
      <w:r>
        <w:rPr>
          <w:sz w:val="20"/>
        </w:rPr>
        <w:t>point,</w:t>
      </w:r>
      <w:r>
        <w:rPr>
          <w:spacing w:val="-14"/>
          <w:sz w:val="20"/>
        </w:rPr>
        <w:t> </w:t>
      </w:r>
      <w:r>
        <w:rPr>
          <w:sz w:val="20"/>
        </w:rPr>
        <w:t>the</w:t>
      </w:r>
      <w:r>
        <w:rPr>
          <w:spacing w:val="-12"/>
          <w:sz w:val="20"/>
        </w:rPr>
        <w:t> </w:t>
      </w:r>
      <w:r>
        <w:rPr>
          <w:sz w:val="20"/>
        </w:rPr>
        <w:t>lead</w:t>
      </w:r>
      <w:r>
        <w:rPr>
          <w:spacing w:val="-14"/>
          <w:sz w:val="20"/>
        </w:rPr>
        <w:t> </w:t>
      </w:r>
      <w:r>
        <w:rPr>
          <w:sz w:val="20"/>
        </w:rPr>
        <w:t>tax</w:t>
      </w:r>
      <w:r>
        <w:rPr>
          <w:spacing w:val="-14"/>
          <w:sz w:val="20"/>
        </w:rPr>
        <w:t> </w:t>
      </w:r>
      <w:r>
        <w:rPr>
          <w:sz w:val="20"/>
        </w:rPr>
        <w:t>administration</w:t>
      </w:r>
      <w:r>
        <w:rPr>
          <w:spacing w:val="-14"/>
          <w:sz w:val="20"/>
        </w:rPr>
        <w:t> </w:t>
      </w:r>
      <w:r>
        <w:rPr>
          <w:sz w:val="20"/>
        </w:rPr>
        <w:t>informs the MNE group that the assessment has been accepted. The amended assessment of Amount A agreed by</w:t>
      </w:r>
      <w:r>
        <w:rPr>
          <w:spacing w:val="-20"/>
          <w:sz w:val="20"/>
        </w:rPr>
        <w:t> </w:t>
      </w:r>
      <w:r>
        <w:rPr>
          <w:sz w:val="20"/>
        </w:rPr>
        <w:t>the</w:t>
      </w:r>
      <w:r>
        <w:rPr>
          <w:spacing w:val="-16"/>
          <w:sz w:val="20"/>
        </w:rPr>
        <w:t> </w:t>
      </w:r>
      <w:r>
        <w:rPr>
          <w:sz w:val="20"/>
        </w:rPr>
        <w:t>review</w:t>
      </w:r>
      <w:r>
        <w:rPr>
          <w:spacing w:val="-18"/>
          <w:sz w:val="20"/>
        </w:rPr>
        <w:t> </w:t>
      </w:r>
      <w:r>
        <w:rPr>
          <w:sz w:val="20"/>
        </w:rPr>
        <w:t>panel</w:t>
      </w:r>
      <w:r>
        <w:rPr>
          <w:spacing w:val="-17"/>
          <w:sz w:val="20"/>
        </w:rPr>
        <w:t> </w:t>
      </w:r>
      <w:r>
        <w:rPr>
          <w:sz w:val="20"/>
        </w:rPr>
        <w:t>and</w:t>
      </w:r>
      <w:r>
        <w:rPr>
          <w:spacing w:val="-16"/>
          <w:sz w:val="20"/>
        </w:rPr>
        <w:t> </w:t>
      </w:r>
      <w:r>
        <w:rPr>
          <w:sz w:val="20"/>
        </w:rPr>
        <w:t>approved</w:t>
      </w:r>
      <w:r>
        <w:rPr>
          <w:spacing w:val="-15"/>
          <w:sz w:val="20"/>
        </w:rPr>
        <w:t> </w:t>
      </w:r>
      <w:r>
        <w:rPr>
          <w:sz w:val="20"/>
        </w:rPr>
        <w:t>by</w:t>
      </w:r>
      <w:r>
        <w:rPr>
          <w:spacing w:val="-19"/>
          <w:sz w:val="20"/>
        </w:rPr>
        <w:t> </w:t>
      </w:r>
      <w:r>
        <w:rPr>
          <w:sz w:val="20"/>
        </w:rPr>
        <w:t>affected</w:t>
      </w:r>
      <w:r>
        <w:rPr>
          <w:spacing w:val="-17"/>
          <w:sz w:val="20"/>
        </w:rPr>
        <w:t> </w:t>
      </w:r>
      <w:r>
        <w:rPr>
          <w:sz w:val="20"/>
        </w:rPr>
        <w:t>tax</w:t>
      </w:r>
      <w:r>
        <w:rPr>
          <w:spacing w:val="-15"/>
          <w:sz w:val="20"/>
        </w:rPr>
        <w:t> </w:t>
      </w:r>
      <w:r>
        <w:rPr>
          <w:sz w:val="20"/>
        </w:rPr>
        <w:t>administrations</w:t>
      </w:r>
      <w:r>
        <w:rPr>
          <w:spacing w:val="-16"/>
          <w:sz w:val="20"/>
        </w:rPr>
        <w:t> </w:t>
      </w:r>
      <w:r>
        <w:rPr>
          <w:sz w:val="20"/>
        </w:rPr>
        <w:t>is</w:t>
      </w:r>
      <w:r>
        <w:rPr>
          <w:spacing w:val="-15"/>
          <w:sz w:val="20"/>
        </w:rPr>
        <w:t> </w:t>
      </w:r>
      <w:r>
        <w:rPr>
          <w:sz w:val="20"/>
        </w:rPr>
        <w:t>binding</w:t>
      </w:r>
      <w:r>
        <w:rPr>
          <w:spacing w:val="-15"/>
          <w:sz w:val="20"/>
        </w:rPr>
        <w:t> </w:t>
      </w:r>
      <w:r>
        <w:rPr>
          <w:sz w:val="20"/>
        </w:rPr>
        <w:t>on</w:t>
      </w:r>
      <w:r>
        <w:rPr>
          <w:spacing w:val="-17"/>
          <w:sz w:val="20"/>
        </w:rPr>
        <w:t> </w:t>
      </w:r>
      <w:r>
        <w:rPr>
          <w:sz w:val="20"/>
        </w:rPr>
        <w:t>the</w:t>
      </w:r>
      <w:r>
        <w:rPr>
          <w:spacing w:val="-14"/>
          <w:sz w:val="20"/>
        </w:rPr>
        <w:t> </w:t>
      </w:r>
      <w:r>
        <w:rPr>
          <w:sz w:val="20"/>
        </w:rPr>
        <w:t>MNE</w:t>
      </w:r>
      <w:r>
        <w:rPr>
          <w:spacing w:val="-16"/>
          <w:sz w:val="20"/>
        </w:rPr>
        <w:t> </w:t>
      </w:r>
      <w:r>
        <w:rPr>
          <w:sz w:val="20"/>
        </w:rPr>
        <w:t>group’s</w:t>
      </w:r>
      <w:r>
        <w:rPr>
          <w:spacing w:val="-16"/>
          <w:sz w:val="20"/>
        </w:rPr>
        <w:t> </w:t>
      </w:r>
      <w:r>
        <w:rPr>
          <w:sz w:val="20"/>
        </w:rPr>
        <w:t>constituent entities and on tax administrations in all Inclusive Framework member</w:t>
      </w:r>
      <w:r>
        <w:rPr>
          <w:spacing w:val="-4"/>
          <w:sz w:val="20"/>
        </w:rPr>
        <w:t> </w:t>
      </w:r>
      <w:r>
        <w:rPr>
          <w:sz w:val="20"/>
        </w:rPr>
        <w:t>jurisdictions.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3" w:firstLine="0"/>
        <w:jc w:val="both"/>
        <w:rPr>
          <w:sz w:val="20"/>
        </w:rPr>
      </w:pPr>
      <w:r>
        <w:rPr>
          <w:sz w:val="20"/>
        </w:rPr>
        <w:t>If the review panel is unable to accommodate objections raised by an affected tax administration, the</w:t>
      </w:r>
      <w:r>
        <w:rPr>
          <w:spacing w:val="-5"/>
          <w:sz w:val="20"/>
        </w:rPr>
        <w:t> </w:t>
      </w:r>
      <w:r>
        <w:rPr>
          <w:sz w:val="20"/>
        </w:rPr>
        <w:t>lead</w:t>
      </w:r>
      <w:r>
        <w:rPr>
          <w:spacing w:val="-2"/>
          <w:sz w:val="20"/>
        </w:rPr>
        <w:t> </w:t>
      </w:r>
      <w:r>
        <w:rPr>
          <w:sz w:val="20"/>
        </w:rPr>
        <w:t>tax</w:t>
      </w:r>
      <w:r>
        <w:rPr>
          <w:spacing w:val="-3"/>
          <w:sz w:val="20"/>
        </w:rPr>
        <w:t> </w:t>
      </w:r>
      <w:r>
        <w:rPr>
          <w:sz w:val="20"/>
        </w:rPr>
        <w:t>administration</w:t>
      </w:r>
      <w:r>
        <w:rPr>
          <w:spacing w:val="-3"/>
          <w:sz w:val="20"/>
        </w:rPr>
        <w:t> </w:t>
      </w:r>
      <w:r>
        <w:rPr>
          <w:sz w:val="20"/>
        </w:rPr>
        <w:t>will</w:t>
      </w:r>
      <w:r>
        <w:rPr>
          <w:spacing w:val="-5"/>
          <w:sz w:val="20"/>
        </w:rPr>
        <w:t> </w:t>
      </w:r>
      <w:r>
        <w:rPr>
          <w:sz w:val="20"/>
        </w:rPr>
        <w:t>explain</w:t>
      </w:r>
      <w:r>
        <w:rPr>
          <w:spacing w:val="-4"/>
          <w:sz w:val="20"/>
        </w:rPr>
        <w:t> </w:t>
      </w:r>
      <w:r>
        <w:rPr>
          <w:sz w:val="20"/>
        </w:rPr>
        <w:t>the</w:t>
      </w:r>
      <w:r>
        <w:rPr>
          <w:spacing w:val="-4"/>
          <w:sz w:val="20"/>
        </w:rPr>
        <w:t> </w:t>
      </w:r>
      <w:r>
        <w:rPr>
          <w:sz w:val="20"/>
        </w:rPr>
        <w:t>reasons</w:t>
      </w:r>
      <w:r>
        <w:rPr>
          <w:spacing w:val="-3"/>
          <w:sz w:val="20"/>
        </w:rPr>
        <w:t> </w:t>
      </w:r>
      <w:r>
        <w:rPr>
          <w:sz w:val="20"/>
        </w:rPr>
        <w:t>for</w:t>
      </w:r>
      <w:r>
        <w:rPr>
          <w:spacing w:val="-4"/>
          <w:sz w:val="20"/>
        </w:rPr>
        <w:t> </w:t>
      </w:r>
      <w:r>
        <w:rPr>
          <w:sz w:val="20"/>
        </w:rPr>
        <w:t>this</w:t>
      </w:r>
      <w:r>
        <w:rPr>
          <w:spacing w:val="-4"/>
          <w:sz w:val="20"/>
        </w:rPr>
        <w:t> </w:t>
      </w:r>
      <w:r>
        <w:rPr>
          <w:sz w:val="20"/>
        </w:rPr>
        <w:t>to</w:t>
      </w:r>
      <w:r>
        <w:rPr>
          <w:spacing w:val="-4"/>
          <w:sz w:val="20"/>
        </w:rPr>
        <w:t> </w:t>
      </w:r>
      <w:r>
        <w:rPr>
          <w:sz w:val="20"/>
        </w:rPr>
        <w:t>the</w:t>
      </w:r>
      <w:r>
        <w:rPr>
          <w:spacing w:val="-5"/>
          <w:sz w:val="20"/>
        </w:rPr>
        <w:t> </w:t>
      </w:r>
      <w:r>
        <w:rPr>
          <w:sz w:val="20"/>
        </w:rPr>
        <w:t>affected</w:t>
      </w:r>
      <w:r>
        <w:rPr>
          <w:spacing w:val="-4"/>
          <w:sz w:val="20"/>
        </w:rPr>
        <w:t> </w:t>
      </w:r>
      <w:r>
        <w:rPr>
          <w:sz w:val="20"/>
        </w:rPr>
        <w:t>tax</w:t>
      </w:r>
      <w:r>
        <w:rPr>
          <w:spacing w:val="-3"/>
          <w:sz w:val="20"/>
        </w:rPr>
        <w:t> </w:t>
      </w:r>
      <w:r>
        <w:rPr>
          <w:sz w:val="20"/>
        </w:rPr>
        <w:t>administration</w:t>
      </w:r>
      <w:r>
        <w:rPr>
          <w:spacing w:val="-5"/>
          <w:sz w:val="20"/>
        </w:rPr>
        <w:t> </w:t>
      </w:r>
      <w:r>
        <w:rPr>
          <w:sz w:val="20"/>
        </w:rPr>
        <w:t>and</w:t>
      </w:r>
      <w:r>
        <w:rPr>
          <w:spacing w:val="-3"/>
          <w:sz w:val="20"/>
        </w:rPr>
        <w:t> </w:t>
      </w:r>
      <w:r>
        <w:rPr>
          <w:sz w:val="20"/>
        </w:rPr>
        <w:t>invite</w:t>
      </w:r>
      <w:r>
        <w:rPr>
          <w:spacing w:val="-4"/>
          <w:sz w:val="20"/>
        </w:rPr>
        <w:t> </w:t>
      </w:r>
      <w:r>
        <w:rPr>
          <w:sz w:val="20"/>
        </w:rPr>
        <w:t>the affected tax administration to withdraw its objection. If the affected tax administration accepts this explanation</w:t>
      </w:r>
      <w:r>
        <w:rPr>
          <w:spacing w:val="-7"/>
          <w:sz w:val="20"/>
        </w:rPr>
        <w:t> </w:t>
      </w:r>
      <w:r>
        <w:rPr>
          <w:sz w:val="20"/>
        </w:rPr>
        <w:t>and</w:t>
      </w:r>
      <w:r>
        <w:rPr>
          <w:spacing w:val="-5"/>
          <w:sz w:val="20"/>
        </w:rPr>
        <w:t> </w:t>
      </w:r>
      <w:r>
        <w:rPr>
          <w:sz w:val="20"/>
        </w:rPr>
        <w:t>withdraws</w:t>
      </w:r>
      <w:r>
        <w:rPr>
          <w:spacing w:val="-4"/>
          <w:sz w:val="20"/>
        </w:rPr>
        <w:t> </w:t>
      </w:r>
      <w:r>
        <w:rPr>
          <w:sz w:val="20"/>
        </w:rPr>
        <w:t>its</w:t>
      </w:r>
      <w:r>
        <w:rPr>
          <w:spacing w:val="-6"/>
          <w:sz w:val="20"/>
        </w:rPr>
        <w:t> </w:t>
      </w:r>
      <w:r>
        <w:rPr>
          <w:sz w:val="20"/>
        </w:rPr>
        <w:t>objection,</w:t>
      </w:r>
      <w:r>
        <w:rPr>
          <w:spacing w:val="-8"/>
          <w:sz w:val="20"/>
        </w:rPr>
        <w:t> </w:t>
      </w:r>
      <w:r>
        <w:rPr>
          <w:sz w:val="20"/>
        </w:rPr>
        <w:t>assuming</w:t>
      </w:r>
      <w:r>
        <w:rPr>
          <w:spacing w:val="-8"/>
          <w:sz w:val="20"/>
        </w:rPr>
        <w:t> </w:t>
      </w:r>
      <w:r>
        <w:rPr>
          <w:sz w:val="20"/>
        </w:rPr>
        <w:t>no</w:t>
      </w:r>
      <w:r>
        <w:rPr>
          <w:spacing w:val="-8"/>
          <w:sz w:val="20"/>
        </w:rPr>
        <w:t> </w:t>
      </w:r>
      <w:r>
        <w:rPr>
          <w:sz w:val="20"/>
        </w:rPr>
        <w:t>other</w:t>
      </w:r>
      <w:r>
        <w:rPr>
          <w:spacing w:val="-7"/>
          <w:sz w:val="20"/>
        </w:rPr>
        <w:t> </w:t>
      </w:r>
      <w:r>
        <w:rPr>
          <w:sz w:val="20"/>
        </w:rPr>
        <w:t>objections</w:t>
      </w:r>
      <w:r>
        <w:rPr>
          <w:spacing w:val="-6"/>
          <w:sz w:val="20"/>
        </w:rPr>
        <w:t> </w:t>
      </w:r>
      <w:r>
        <w:rPr>
          <w:sz w:val="20"/>
        </w:rPr>
        <w:t>remain,</w:t>
      </w:r>
      <w:r>
        <w:rPr>
          <w:spacing w:val="-6"/>
          <w:sz w:val="20"/>
        </w:rPr>
        <w:t> </w:t>
      </w:r>
      <w:r>
        <w:rPr>
          <w:sz w:val="20"/>
        </w:rPr>
        <w:t>the</w:t>
      </w:r>
      <w:r>
        <w:rPr>
          <w:spacing w:val="-6"/>
          <w:sz w:val="20"/>
        </w:rPr>
        <w:t> </w:t>
      </w:r>
      <w:r>
        <w:rPr>
          <w:sz w:val="20"/>
        </w:rPr>
        <w:t>assessment</w:t>
      </w:r>
      <w:r>
        <w:rPr>
          <w:spacing w:val="-7"/>
          <w:sz w:val="20"/>
        </w:rPr>
        <w:t> </w:t>
      </w:r>
      <w:r>
        <w:rPr>
          <w:sz w:val="20"/>
        </w:rPr>
        <w:t>of</w:t>
      </w:r>
      <w:r>
        <w:rPr>
          <w:spacing w:val="-6"/>
          <w:sz w:val="20"/>
        </w:rPr>
        <w:t> </w:t>
      </w:r>
      <w:r>
        <w:rPr>
          <w:sz w:val="20"/>
        </w:rPr>
        <w:t>Amount A becomes binding on the MNE group’s constituent entities and on tax administrations in all Inclusive Framework member jurisdictions as if no objection was made. If the affected tax administration does not withdraw its objection, the lead tax administration will inform the MNE group and all affected tax administrations</w:t>
      </w:r>
      <w:r>
        <w:rPr>
          <w:spacing w:val="-4"/>
          <w:sz w:val="20"/>
        </w:rPr>
        <w:t> </w:t>
      </w:r>
      <w:r>
        <w:rPr>
          <w:sz w:val="20"/>
        </w:rPr>
        <w:t>that</w:t>
      </w:r>
      <w:r>
        <w:rPr>
          <w:spacing w:val="-6"/>
          <w:sz w:val="20"/>
        </w:rPr>
        <w:t> </w:t>
      </w:r>
      <w:r>
        <w:rPr>
          <w:sz w:val="20"/>
        </w:rPr>
        <w:t>relevant</w:t>
      </w:r>
      <w:r>
        <w:rPr>
          <w:spacing w:val="-5"/>
          <w:sz w:val="20"/>
        </w:rPr>
        <w:t> </w:t>
      </w:r>
      <w:r>
        <w:rPr>
          <w:sz w:val="20"/>
        </w:rPr>
        <w:t>questions</w:t>
      </w:r>
      <w:r>
        <w:rPr>
          <w:spacing w:val="-2"/>
          <w:sz w:val="20"/>
        </w:rPr>
        <w:t> </w:t>
      </w:r>
      <w:r>
        <w:rPr>
          <w:sz w:val="20"/>
        </w:rPr>
        <w:t>will</w:t>
      </w:r>
      <w:r>
        <w:rPr>
          <w:spacing w:val="-6"/>
          <w:sz w:val="20"/>
        </w:rPr>
        <w:t> </w:t>
      </w:r>
      <w:r>
        <w:rPr>
          <w:sz w:val="20"/>
        </w:rPr>
        <w:t>be</w:t>
      </w:r>
      <w:r>
        <w:rPr>
          <w:spacing w:val="-1"/>
          <w:sz w:val="20"/>
        </w:rPr>
        <w:t> </w:t>
      </w:r>
      <w:r>
        <w:rPr>
          <w:sz w:val="20"/>
        </w:rPr>
        <w:t>referred</w:t>
      </w:r>
      <w:r>
        <w:rPr>
          <w:spacing w:val="-6"/>
          <w:sz w:val="20"/>
        </w:rPr>
        <w:t> </w:t>
      </w:r>
      <w:r>
        <w:rPr>
          <w:sz w:val="20"/>
        </w:rPr>
        <w:t>to</w:t>
      </w:r>
      <w:r>
        <w:rPr>
          <w:spacing w:val="-5"/>
          <w:sz w:val="20"/>
        </w:rPr>
        <w:t> </w:t>
      </w:r>
      <w:r>
        <w:rPr>
          <w:sz w:val="20"/>
        </w:rPr>
        <w:t>a</w:t>
      </w:r>
      <w:r>
        <w:rPr>
          <w:spacing w:val="-6"/>
          <w:sz w:val="20"/>
        </w:rPr>
        <w:t> </w:t>
      </w:r>
      <w:r>
        <w:rPr>
          <w:sz w:val="20"/>
        </w:rPr>
        <w:t>determination</w:t>
      </w:r>
      <w:r>
        <w:rPr>
          <w:spacing w:val="-5"/>
          <w:sz w:val="20"/>
        </w:rPr>
        <w:t> </w:t>
      </w:r>
      <w:r>
        <w:rPr>
          <w:sz w:val="20"/>
        </w:rPr>
        <w:t>panel</w:t>
      </w:r>
      <w:r>
        <w:rPr>
          <w:spacing w:val="-6"/>
          <w:sz w:val="20"/>
        </w:rPr>
        <w:t> </w:t>
      </w:r>
      <w:r>
        <w:rPr>
          <w:sz w:val="20"/>
        </w:rPr>
        <w:t>for</w:t>
      </w:r>
      <w:r>
        <w:rPr>
          <w:spacing w:val="-2"/>
          <w:sz w:val="20"/>
        </w:rPr>
        <w:t> </w:t>
      </w:r>
      <w:r>
        <w:rPr>
          <w:sz w:val="20"/>
        </w:rPr>
        <w:t>a</w:t>
      </w:r>
      <w:r>
        <w:rPr>
          <w:spacing w:val="-5"/>
          <w:sz w:val="20"/>
        </w:rPr>
        <w:t> </w:t>
      </w:r>
      <w:r>
        <w:rPr>
          <w:sz w:val="20"/>
        </w:rPr>
        <w:t>conclusive</w:t>
      </w:r>
      <w:r>
        <w:rPr>
          <w:spacing w:val="-3"/>
          <w:sz w:val="20"/>
        </w:rPr>
        <w:t> </w:t>
      </w:r>
      <w:r>
        <w:rPr>
          <w:sz w:val="20"/>
        </w:rPr>
        <w:t>outcome. The process for approving review panel recommendations will be reviewed as tax administrations gain experience.</w:t>
      </w:r>
    </w:p>
    <w:p>
      <w:pPr>
        <w:pStyle w:val="ListParagraph"/>
        <w:numPr>
          <w:ilvl w:val="0"/>
          <w:numId w:val="13"/>
        </w:numPr>
        <w:tabs>
          <w:tab w:pos="1444" w:val="left" w:leader="none"/>
        </w:tabs>
        <w:spacing w:line="271" w:lineRule="auto" w:before="120" w:after="0"/>
        <w:ind w:left="723" w:right="479" w:firstLine="0"/>
        <w:jc w:val="both"/>
        <w:rPr>
          <w:sz w:val="20"/>
        </w:rPr>
      </w:pPr>
      <w:r>
        <w:rPr>
          <w:sz w:val="20"/>
        </w:rPr>
        <w:t>In the event that the review panel reaches agreement, which does not correspond with the self- assessment</w:t>
      </w:r>
      <w:r>
        <w:rPr>
          <w:spacing w:val="-17"/>
          <w:sz w:val="20"/>
        </w:rPr>
        <w:t> </w:t>
      </w:r>
      <w:r>
        <w:rPr>
          <w:sz w:val="20"/>
        </w:rPr>
        <w:t>submitted</w:t>
      </w:r>
      <w:r>
        <w:rPr>
          <w:spacing w:val="-18"/>
          <w:sz w:val="20"/>
        </w:rPr>
        <w:t> </w:t>
      </w:r>
      <w:r>
        <w:rPr>
          <w:sz w:val="20"/>
        </w:rPr>
        <w:t>by</w:t>
      </w:r>
      <w:r>
        <w:rPr>
          <w:spacing w:val="-18"/>
          <w:sz w:val="20"/>
        </w:rPr>
        <w:t> </w:t>
      </w:r>
      <w:r>
        <w:rPr>
          <w:sz w:val="20"/>
        </w:rPr>
        <w:t>the</w:t>
      </w:r>
      <w:r>
        <w:rPr>
          <w:spacing w:val="-18"/>
          <w:sz w:val="20"/>
        </w:rPr>
        <w:t> </w:t>
      </w:r>
      <w:r>
        <w:rPr>
          <w:sz w:val="20"/>
        </w:rPr>
        <w:t>MNE</w:t>
      </w:r>
      <w:r>
        <w:rPr>
          <w:spacing w:val="-16"/>
          <w:sz w:val="20"/>
        </w:rPr>
        <w:t> </w:t>
      </w:r>
      <w:r>
        <w:rPr>
          <w:sz w:val="20"/>
        </w:rPr>
        <w:t>group,</w:t>
      </w:r>
      <w:r>
        <w:rPr>
          <w:spacing w:val="-15"/>
          <w:sz w:val="20"/>
        </w:rPr>
        <w:t> </w:t>
      </w:r>
      <w:r>
        <w:rPr>
          <w:sz w:val="20"/>
        </w:rPr>
        <w:t>and</w:t>
      </w:r>
      <w:r>
        <w:rPr>
          <w:spacing w:val="-15"/>
          <w:sz w:val="20"/>
        </w:rPr>
        <w:t> </w:t>
      </w:r>
      <w:r>
        <w:rPr>
          <w:sz w:val="20"/>
        </w:rPr>
        <w:t>the</w:t>
      </w:r>
      <w:r>
        <w:rPr>
          <w:spacing w:val="-14"/>
          <w:sz w:val="20"/>
        </w:rPr>
        <w:t> </w:t>
      </w:r>
      <w:r>
        <w:rPr>
          <w:sz w:val="20"/>
        </w:rPr>
        <w:t>MNE</w:t>
      </w:r>
      <w:r>
        <w:rPr>
          <w:spacing w:val="-14"/>
          <w:sz w:val="20"/>
        </w:rPr>
        <w:t> </w:t>
      </w:r>
      <w:r>
        <w:rPr>
          <w:sz w:val="20"/>
        </w:rPr>
        <w:t>group</w:t>
      </w:r>
      <w:r>
        <w:rPr>
          <w:spacing w:val="-16"/>
          <w:sz w:val="20"/>
        </w:rPr>
        <w:t> </w:t>
      </w:r>
      <w:r>
        <w:rPr>
          <w:sz w:val="20"/>
        </w:rPr>
        <w:t>does</w:t>
      </w:r>
      <w:r>
        <w:rPr>
          <w:spacing w:val="-17"/>
          <w:sz w:val="20"/>
        </w:rPr>
        <w:t> </w:t>
      </w:r>
      <w:r>
        <w:rPr>
          <w:sz w:val="20"/>
        </w:rPr>
        <w:t>not</w:t>
      </w:r>
      <w:r>
        <w:rPr>
          <w:spacing w:val="-15"/>
          <w:sz w:val="20"/>
        </w:rPr>
        <w:t> </w:t>
      </w:r>
      <w:r>
        <w:rPr>
          <w:sz w:val="20"/>
        </w:rPr>
        <w:t>agree</w:t>
      </w:r>
      <w:r>
        <w:rPr>
          <w:spacing w:val="-16"/>
          <w:sz w:val="20"/>
        </w:rPr>
        <w:t> </w:t>
      </w:r>
      <w:r>
        <w:rPr>
          <w:sz w:val="20"/>
        </w:rPr>
        <w:t>to</w:t>
      </w:r>
      <w:r>
        <w:rPr>
          <w:spacing w:val="-16"/>
          <w:sz w:val="20"/>
        </w:rPr>
        <w:t> </w:t>
      </w:r>
      <w:r>
        <w:rPr>
          <w:sz w:val="20"/>
        </w:rPr>
        <w:t>revise</w:t>
      </w:r>
      <w:r>
        <w:rPr>
          <w:spacing w:val="-18"/>
          <w:sz w:val="20"/>
        </w:rPr>
        <w:t> </w:t>
      </w:r>
      <w:r>
        <w:rPr>
          <w:sz w:val="20"/>
        </w:rPr>
        <w:t>its</w:t>
      </w:r>
      <w:r>
        <w:rPr>
          <w:spacing w:val="-16"/>
          <w:sz w:val="20"/>
        </w:rPr>
        <w:t> </w:t>
      </w:r>
      <w:r>
        <w:rPr>
          <w:sz w:val="20"/>
        </w:rPr>
        <w:t>self-assessment, the MNE group is treated as not accepting panel conclusions (see</w:t>
      </w:r>
      <w:r>
        <w:rPr>
          <w:spacing w:val="-11"/>
          <w:sz w:val="20"/>
        </w:rPr>
        <w:t> </w:t>
      </w:r>
      <w:r>
        <w:rPr>
          <w:sz w:val="20"/>
        </w:rPr>
        <w:t>below).</w:t>
      </w:r>
    </w:p>
    <w:p>
      <w:pPr>
        <w:pStyle w:val="BodyText"/>
        <w:spacing w:before="2"/>
      </w:pPr>
    </w:p>
    <w:p>
      <w:pPr>
        <w:pStyle w:val="Heading7"/>
        <w:rPr>
          <w:i/>
        </w:rPr>
      </w:pPr>
      <w:bookmarkStart w:name="Submission of assessments not agreed by " w:id="436"/>
      <w:bookmarkEnd w:id="436"/>
      <w:r>
        <w:rPr>
          <w:i w:val="0"/>
        </w:rPr>
      </w:r>
      <w:r>
        <w:rPr>
          <w:i/>
          <w:color w:val="616161"/>
        </w:rPr>
        <w:t>Submission of assessments not agreed by the review panel for comments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If the review panel fails to reach agreement on an MNE group’s self-assessment, the MNE group and all affected tax administrations will be informed by the lead tax administration that relevant questions will be referred to a determination panel for a conclusive outcome. A summary of the review undertaken by</w:t>
      </w:r>
      <w:r>
        <w:rPr>
          <w:spacing w:val="-8"/>
          <w:sz w:val="20"/>
        </w:rPr>
        <w:t> </w:t>
      </w:r>
      <w:r>
        <w:rPr>
          <w:sz w:val="20"/>
        </w:rPr>
        <w:t>the</w:t>
      </w:r>
      <w:r>
        <w:rPr>
          <w:spacing w:val="-4"/>
          <w:sz w:val="20"/>
        </w:rPr>
        <w:t> </w:t>
      </w:r>
      <w:r>
        <w:rPr>
          <w:sz w:val="20"/>
        </w:rPr>
        <w:t>panel</w:t>
      </w:r>
      <w:r>
        <w:rPr>
          <w:spacing w:val="-6"/>
          <w:sz w:val="20"/>
        </w:rPr>
        <w:t> </w:t>
      </w:r>
      <w:r>
        <w:rPr>
          <w:sz w:val="20"/>
        </w:rPr>
        <w:t>identifying</w:t>
      </w:r>
      <w:r>
        <w:rPr>
          <w:spacing w:val="-5"/>
          <w:sz w:val="20"/>
        </w:rPr>
        <w:t> </w:t>
      </w:r>
      <w:r>
        <w:rPr>
          <w:sz w:val="20"/>
        </w:rPr>
        <w:t>the</w:t>
      </w:r>
      <w:r>
        <w:rPr>
          <w:spacing w:val="-5"/>
          <w:sz w:val="20"/>
        </w:rPr>
        <w:t> </w:t>
      </w:r>
      <w:r>
        <w:rPr>
          <w:sz w:val="20"/>
        </w:rPr>
        <w:t>elements</w:t>
      </w:r>
      <w:r>
        <w:rPr>
          <w:spacing w:val="-3"/>
          <w:sz w:val="20"/>
        </w:rPr>
        <w:t> </w:t>
      </w:r>
      <w:r>
        <w:rPr>
          <w:sz w:val="20"/>
        </w:rPr>
        <w:t>where</w:t>
      </w:r>
      <w:r>
        <w:rPr>
          <w:spacing w:val="-5"/>
          <w:sz w:val="20"/>
        </w:rPr>
        <w:t> </w:t>
      </w:r>
      <w:r>
        <w:rPr>
          <w:sz w:val="20"/>
        </w:rPr>
        <w:t>the</w:t>
      </w:r>
      <w:r>
        <w:rPr>
          <w:spacing w:val="-5"/>
          <w:sz w:val="20"/>
        </w:rPr>
        <w:t> </w:t>
      </w:r>
      <w:r>
        <w:rPr>
          <w:sz w:val="20"/>
        </w:rPr>
        <w:t>panel</w:t>
      </w:r>
      <w:r>
        <w:rPr>
          <w:spacing w:val="-4"/>
          <w:sz w:val="20"/>
        </w:rPr>
        <w:t> </w:t>
      </w:r>
      <w:r>
        <w:rPr>
          <w:sz w:val="20"/>
        </w:rPr>
        <w:t>was</w:t>
      </w:r>
      <w:r>
        <w:rPr>
          <w:spacing w:val="-3"/>
          <w:sz w:val="20"/>
        </w:rPr>
        <w:t> </w:t>
      </w:r>
      <w:r>
        <w:rPr>
          <w:sz w:val="20"/>
        </w:rPr>
        <w:t>able</w:t>
      </w:r>
      <w:r>
        <w:rPr>
          <w:spacing w:val="-5"/>
          <w:sz w:val="20"/>
        </w:rPr>
        <w:t> </w:t>
      </w:r>
      <w:r>
        <w:rPr>
          <w:sz w:val="20"/>
        </w:rPr>
        <w:t>to</w:t>
      </w:r>
      <w:r>
        <w:rPr>
          <w:spacing w:val="-4"/>
          <w:sz w:val="20"/>
        </w:rPr>
        <w:t> </w:t>
      </w:r>
      <w:r>
        <w:rPr>
          <w:sz w:val="20"/>
        </w:rPr>
        <w:t>agree</w:t>
      </w:r>
      <w:r>
        <w:rPr>
          <w:spacing w:val="-3"/>
          <w:sz w:val="20"/>
        </w:rPr>
        <w:t> </w:t>
      </w:r>
      <w:r>
        <w:rPr>
          <w:sz w:val="20"/>
        </w:rPr>
        <w:t>and</w:t>
      </w:r>
      <w:r>
        <w:rPr>
          <w:spacing w:val="-4"/>
          <w:sz w:val="20"/>
        </w:rPr>
        <w:t> </w:t>
      </w:r>
      <w:r>
        <w:rPr>
          <w:sz w:val="20"/>
        </w:rPr>
        <w:t>those</w:t>
      </w:r>
      <w:r>
        <w:rPr>
          <w:spacing w:val="-5"/>
          <w:sz w:val="20"/>
        </w:rPr>
        <w:t> </w:t>
      </w:r>
      <w:r>
        <w:rPr>
          <w:sz w:val="20"/>
        </w:rPr>
        <w:t>where</w:t>
      </w:r>
      <w:r>
        <w:rPr>
          <w:spacing w:val="-4"/>
          <w:sz w:val="20"/>
        </w:rPr>
        <w:t> </w:t>
      </w:r>
      <w:r>
        <w:rPr>
          <w:sz w:val="20"/>
        </w:rPr>
        <w:t>agreement</w:t>
      </w:r>
      <w:r>
        <w:rPr>
          <w:spacing w:val="-5"/>
          <w:sz w:val="20"/>
        </w:rPr>
        <w:t> </w:t>
      </w:r>
      <w:r>
        <w:rPr>
          <w:sz w:val="20"/>
        </w:rPr>
        <w:t>was not possible is sent by the lead tax administration to all affected tax administrations. This will be prepared by</w:t>
      </w:r>
      <w:r>
        <w:rPr>
          <w:spacing w:val="-17"/>
          <w:sz w:val="20"/>
        </w:rPr>
        <w:t> </w:t>
      </w:r>
      <w:r>
        <w:rPr>
          <w:sz w:val="20"/>
        </w:rPr>
        <w:t>the</w:t>
      </w:r>
      <w:r>
        <w:rPr>
          <w:spacing w:val="-14"/>
          <w:sz w:val="20"/>
        </w:rPr>
        <w:t> </w:t>
      </w:r>
      <w:r>
        <w:rPr>
          <w:sz w:val="20"/>
        </w:rPr>
        <w:t>lead</w:t>
      </w:r>
      <w:r>
        <w:rPr>
          <w:spacing w:val="-15"/>
          <w:sz w:val="20"/>
        </w:rPr>
        <w:t> </w:t>
      </w:r>
      <w:r>
        <w:rPr>
          <w:sz w:val="20"/>
        </w:rPr>
        <w:t>tax</w:t>
      </w:r>
      <w:r>
        <w:rPr>
          <w:spacing w:val="-13"/>
          <w:sz w:val="20"/>
        </w:rPr>
        <w:t> </w:t>
      </w:r>
      <w:r>
        <w:rPr>
          <w:sz w:val="20"/>
        </w:rPr>
        <w:t>administration,</w:t>
      </w:r>
      <w:r>
        <w:rPr>
          <w:spacing w:val="-11"/>
          <w:sz w:val="20"/>
        </w:rPr>
        <w:t> </w:t>
      </w:r>
      <w:r>
        <w:rPr>
          <w:sz w:val="20"/>
        </w:rPr>
        <w:t>with</w:t>
      </w:r>
      <w:r>
        <w:rPr>
          <w:spacing w:val="-14"/>
          <w:sz w:val="20"/>
        </w:rPr>
        <w:t> </w:t>
      </w:r>
      <w:r>
        <w:rPr>
          <w:sz w:val="20"/>
        </w:rPr>
        <w:t>support</w:t>
      </w:r>
      <w:r>
        <w:rPr>
          <w:spacing w:val="-13"/>
          <w:sz w:val="20"/>
        </w:rPr>
        <w:t> </w:t>
      </w:r>
      <w:r>
        <w:rPr>
          <w:sz w:val="20"/>
        </w:rPr>
        <w:t>from</w:t>
      </w:r>
      <w:r>
        <w:rPr>
          <w:spacing w:val="-10"/>
          <w:sz w:val="20"/>
        </w:rPr>
        <w:t> </w:t>
      </w:r>
      <w:r>
        <w:rPr>
          <w:sz w:val="20"/>
        </w:rPr>
        <w:t>the</w:t>
      </w:r>
      <w:r>
        <w:rPr>
          <w:spacing w:val="-13"/>
          <w:sz w:val="20"/>
        </w:rPr>
        <w:t> </w:t>
      </w:r>
      <w:r>
        <w:rPr>
          <w:sz w:val="20"/>
        </w:rPr>
        <w:t>secretariat</w:t>
      </w:r>
      <w:r>
        <w:rPr>
          <w:spacing w:val="-10"/>
          <w:sz w:val="20"/>
        </w:rPr>
        <w:t> </w:t>
      </w:r>
      <w:r>
        <w:rPr>
          <w:sz w:val="20"/>
        </w:rPr>
        <w:t>as</w:t>
      </w:r>
      <w:r>
        <w:rPr>
          <w:spacing w:val="-13"/>
          <w:sz w:val="20"/>
        </w:rPr>
        <w:t> </w:t>
      </w:r>
      <w:r>
        <w:rPr>
          <w:sz w:val="20"/>
        </w:rPr>
        <w:t>appropriate</w:t>
      </w:r>
      <w:r>
        <w:rPr>
          <w:spacing w:val="-14"/>
          <w:sz w:val="20"/>
        </w:rPr>
        <w:t> </w:t>
      </w:r>
      <w:r>
        <w:rPr>
          <w:sz w:val="20"/>
        </w:rPr>
        <w:t>taking</w:t>
      </w:r>
      <w:r>
        <w:rPr>
          <w:spacing w:val="-14"/>
          <w:sz w:val="20"/>
        </w:rPr>
        <w:t> </w:t>
      </w:r>
      <w:r>
        <w:rPr>
          <w:sz w:val="20"/>
        </w:rPr>
        <w:t>into</w:t>
      </w:r>
      <w:r>
        <w:rPr>
          <w:spacing w:val="-15"/>
          <w:sz w:val="20"/>
        </w:rPr>
        <w:t> </w:t>
      </w:r>
      <w:r>
        <w:rPr>
          <w:sz w:val="20"/>
        </w:rPr>
        <w:t>account</w:t>
      </w:r>
      <w:r>
        <w:rPr>
          <w:spacing w:val="-14"/>
          <w:sz w:val="20"/>
        </w:rPr>
        <w:t> </w:t>
      </w:r>
      <w:r>
        <w:rPr>
          <w:sz w:val="20"/>
        </w:rPr>
        <w:t>the</w:t>
      </w:r>
      <w:r>
        <w:rPr>
          <w:spacing w:val="-14"/>
          <w:sz w:val="20"/>
        </w:rPr>
        <w:t> </w:t>
      </w:r>
      <w:r>
        <w:rPr>
          <w:sz w:val="20"/>
        </w:rPr>
        <w:t>need for strict taxpayer confidentiality, and agreed with other panel members. As before, additional information obtained</w:t>
      </w:r>
      <w:r>
        <w:rPr>
          <w:spacing w:val="-16"/>
          <w:sz w:val="20"/>
        </w:rPr>
        <w:t> </w:t>
      </w:r>
      <w:r>
        <w:rPr>
          <w:sz w:val="20"/>
        </w:rPr>
        <w:t>from</w:t>
      </w:r>
      <w:r>
        <w:rPr>
          <w:spacing w:val="-12"/>
          <w:sz w:val="20"/>
        </w:rPr>
        <w:t> </w:t>
      </w:r>
      <w:r>
        <w:rPr>
          <w:sz w:val="20"/>
        </w:rPr>
        <w:t>the</w:t>
      </w:r>
      <w:r>
        <w:rPr>
          <w:spacing w:val="-16"/>
          <w:sz w:val="20"/>
        </w:rPr>
        <w:t> </w:t>
      </w:r>
      <w:r>
        <w:rPr>
          <w:sz w:val="20"/>
        </w:rPr>
        <w:t>MNE</w:t>
      </w:r>
      <w:r>
        <w:rPr>
          <w:spacing w:val="-16"/>
          <w:sz w:val="20"/>
        </w:rPr>
        <w:t> </w:t>
      </w:r>
      <w:r>
        <w:rPr>
          <w:sz w:val="20"/>
        </w:rPr>
        <w:t>group</w:t>
      </w:r>
      <w:r>
        <w:rPr>
          <w:spacing w:val="-14"/>
          <w:sz w:val="20"/>
        </w:rPr>
        <w:t> </w:t>
      </w:r>
      <w:r>
        <w:rPr>
          <w:sz w:val="20"/>
        </w:rPr>
        <w:t>in</w:t>
      </w:r>
      <w:r>
        <w:rPr>
          <w:spacing w:val="-15"/>
          <w:sz w:val="20"/>
        </w:rPr>
        <w:t> </w:t>
      </w:r>
      <w:r>
        <w:rPr>
          <w:sz w:val="20"/>
        </w:rPr>
        <w:t>the</w:t>
      </w:r>
      <w:r>
        <w:rPr>
          <w:spacing w:val="-14"/>
          <w:sz w:val="20"/>
        </w:rPr>
        <w:t> </w:t>
      </w:r>
      <w:r>
        <w:rPr>
          <w:sz w:val="20"/>
        </w:rPr>
        <w:t>course</w:t>
      </w:r>
      <w:r>
        <w:rPr>
          <w:spacing w:val="-16"/>
          <w:sz w:val="20"/>
        </w:rPr>
        <w:t> </w:t>
      </w:r>
      <w:r>
        <w:rPr>
          <w:sz w:val="20"/>
        </w:rPr>
        <w:t>of</w:t>
      </w:r>
      <w:r>
        <w:rPr>
          <w:spacing w:val="-13"/>
          <w:sz w:val="20"/>
        </w:rPr>
        <w:t> </w:t>
      </w:r>
      <w:r>
        <w:rPr>
          <w:sz w:val="20"/>
        </w:rPr>
        <w:t>the</w:t>
      </w:r>
      <w:r>
        <w:rPr>
          <w:spacing w:val="-16"/>
          <w:sz w:val="20"/>
        </w:rPr>
        <w:t> </w:t>
      </w:r>
      <w:r>
        <w:rPr>
          <w:sz w:val="20"/>
        </w:rPr>
        <w:t>review</w:t>
      </w:r>
      <w:r>
        <w:rPr>
          <w:spacing w:val="-15"/>
          <w:sz w:val="20"/>
        </w:rPr>
        <w:t> </w:t>
      </w:r>
      <w:r>
        <w:rPr>
          <w:sz w:val="20"/>
        </w:rPr>
        <w:t>is</w:t>
      </w:r>
      <w:r>
        <w:rPr>
          <w:spacing w:val="-15"/>
          <w:sz w:val="20"/>
        </w:rPr>
        <w:t> </w:t>
      </w:r>
      <w:r>
        <w:rPr>
          <w:sz w:val="20"/>
        </w:rPr>
        <w:t>also</w:t>
      </w:r>
      <w:r>
        <w:rPr>
          <w:spacing w:val="-13"/>
          <w:sz w:val="20"/>
        </w:rPr>
        <w:t> </w:t>
      </w:r>
      <w:r>
        <w:rPr>
          <w:sz w:val="20"/>
        </w:rPr>
        <w:t>available</w:t>
      </w:r>
      <w:r>
        <w:rPr>
          <w:spacing w:val="-14"/>
          <w:sz w:val="20"/>
        </w:rPr>
        <w:t> </w:t>
      </w:r>
      <w:r>
        <w:rPr>
          <w:sz w:val="20"/>
        </w:rPr>
        <w:t>to</w:t>
      </w:r>
      <w:r>
        <w:rPr>
          <w:spacing w:val="-13"/>
          <w:sz w:val="20"/>
        </w:rPr>
        <w:t> </w:t>
      </w:r>
      <w:r>
        <w:rPr>
          <w:sz w:val="20"/>
        </w:rPr>
        <w:t>all</w:t>
      </w:r>
      <w:r>
        <w:rPr>
          <w:spacing w:val="-14"/>
          <w:sz w:val="20"/>
        </w:rPr>
        <w:t> </w:t>
      </w:r>
      <w:r>
        <w:rPr>
          <w:sz w:val="20"/>
        </w:rPr>
        <w:t>affected</w:t>
      </w:r>
      <w:r>
        <w:rPr>
          <w:spacing w:val="-16"/>
          <w:sz w:val="20"/>
        </w:rPr>
        <w:t> </w:t>
      </w:r>
      <w:r>
        <w:rPr>
          <w:sz w:val="20"/>
        </w:rPr>
        <w:t>tax</w:t>
      </w:r>
      <w:r>
        <w:rPr>
          <w:spacing w:val="-13"/>
          <w:sz w:val="20"/>
        </w:rPr>
        <w:t> </w:t>
      </w:r>
      <w:r>
        <w:rPr>
          <w:sz w:val="20"/>
        </w:rPr>
        <w:t>administrations.</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Affected tax administrations have [three months] to raise objections to the points that the review panel could agree and make comments on the points where it did not agree. This process ensures that, whether or not the review panel reaches agreement, all affected tax administrations have the opportunity to provide input before the determination panel process</w:t>
      </w:r>
      <w:r>
        <w:rPr>
          <w:spacing w:val="-10"/>
          <w:sz w:val="20"/>
        </w:rPr>
        <w:t> </w:t>
      </w:r>
      <w:r>
        <w:rPr>
          <w:sz w:val="20"/>
        </w:rPr>
        <w:t>commences.</w:t>
      </w:r>
    </w:p>
    <w:p>
      <w:pPr>
        <w:pStyle w:val="BodyText"/>
        <w:spacing w:before="7"/>
        <w:rPr>
          <w:sz w:val="23"/>
        </w:rPr>
      </w:pPr>
    </w:p>
    <w:p>
      <w:pPr>
        <w:pStyle w:val="Heading6"/>
        <w:numPr>
          <w:ilvl w:val="2"/>
          <w:numId w:val="81"/>
        </w:numPr>
        <w:tabs>
          <w:tab w:pos="2015" w:val="left" w:leader="none"/>
        </w:tabs>
        <w:spacing w:line="240" w:lineRule="auto" w:before="0" w:after="0"/>
        <w:ind w:left="723" w:right="0" w:firstLine="679"/>
        <w:jc w:val="left"/>
        <w:rPr>
          <w:i/>
        </w:rPr>
      </w:pPr>
      <w:bookmarkStart w:name="9.2.5. Constitution of the determination" w:id="437"/>
      <w:bookmarkEnd w:id="437"/>
      <w:r>
        <w:rPr>
          <w:b w:val="0"/>
          <w:i w:val="0"/>
        </w:rPr>
      </w:r>
      <w:bookmarkStart w:name="9.2.5. Constitution of the determination" w:id="438"/>
      <w:bookmarkEnd w:id="438"/>
      <w:r>
        <w:rPr>
          <w:i/>
        </w:rPr>
        <w:t>C</w:t>
      </w:r>
      <w:r>
        <w:rPr>
          <w:i/>
        </w:rPr>
        <w:t>onstitution of the determination panel and the determination panel</w:t>
      </w:r>
      <w:r>
        <w:rPr>
          <w:i/>
          <w:spacing w:val="-24"/>
        </w:rPr>
        <w:t> </w:t>
      </w:r>
      <w:r>
        <w:rPr>
          <w:i/>
        </w:rPr>
        <w:t>process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If the review panel is unable to reach agreement, or if it is unable to accommodate objections by other tax administrations, relevant questions would be submitted to a second panel (the determination panel), which is obligated to reach a decision. This ensures that certainty is offered to MNE groups in all cases where it is requested and the MNE group co-operates in the process. These questions would be accompanied by relevant comments from affected tax administrations, including those that participated in the review panel and those that did not. In light of the amount of time and resource required to undertake a tax certainty process involving two panels, a possible option which will be considered in further work could be for a condition to be imposed that questions will only be put to a determination panel for a conclusive outcome if an MNE group agrees to be bound by the determination panel’s</w:t>
      </w:r>
      <w:r>
        <w:rPr>
          <w:spacing w:val="-34"/>
          <w:sz w:val="20"/>
        </w:rPr>
        <w:t> </w:t>
      </w:r>
      <w:r>
        <w:rPr>
          <w:sz w:val="20"/>
        </w:rPr>
        <w:t>decision.</w:t>
      </w:r>
    </w:p>
    <w:p>
      <w:pPr>
        <w:pStyle w:val="BodyText"/>
        <w:spacing w:before="2"/>
      </w:pPr>
    </w:p>
    <w:p>
      <w:pPr>
        <w:pStyle w:val="Heading7"/>
        <w:rPr>
          <w:i/>
        </w:rPr>
      </w:pPr>
      <w:bookmarkStart w:name="Constitution of the determination panel" w:id="439"/>
      <w:bookmarkEnd w:id="439"/>
      <w:r>
        <w:rPr>
          <w:i w:val="0"/>
        </w:rPr>
      </w:r>
      <w:r>
        <w:rPr>
          <w:i/>
          <w:color w:val="616161"/>
        </w:rPr>
        <w:t>Constitution of the determination panel</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7" w:firstLine="0"/>
        <w:jc w:val="both"/>
        <w:rPr>
          <w:sz w:val="20"/>
        </w:rPr>
      </w:pPr>
      <w:r>
        <w:rPr>
          <w:sz w:val="20"/>
        </w:rPr>
        <w:t>Disputes concerning Amount A are likely to impact a significant number of jurisdictions, including those that may not have been involved in  detailed  discussions  concerning  the  dispute  in  question (i.e. jurisdictions that were not on the review panel and that have not raised any objection to the review panel’s</w:t>
      </w:r>
      <w:r>
        <w:rPr>
          <w:spacing w:val="-16"/>
          <w:sz w:val="20"/>
        </w:rPr>
        <w:t> </w:t>
      </w:r>
      <w:r>
        <w:rPr>
          <w:sz w:val="20"/>
        </w:rPr>
        <w:t>recommendation).</w:t>
      </w:r>
      <w:r>
        <w:rPr>
          <w:spacing w:val="-17"/>
          <w:sz w:val="20"/>
        </w:rPr>
        <w:t> </w:t>
      </w:r>
      <w:r>
        <w:rPr>
          <w:sz w:val="20"/>
        </w:rPr>
        <w:t>In</w:t>
      </w:r>
      <w:r>
        <w:rPr>
          <w:spacing w:val="-19"/>
          <w:sz w:val="20"/>
        </w:rPr>
        <w:t> </w:t>
      </w:r>
      <w:r>
        <w:rPr>
          <w:sz w:val="20"/>
        </w:rPr>
        <w:t>light</w:t>
      </w:r>
      <w:r>
        <w:rPr>
          <w:spacing w:val="-18"/>
          <w:sz w:val="20"/>
        </w:rPr>
        <w:t> </w:t>
      </w:r>
      <w:r>
        <w:rPr>
          <w:sz w:val="20"/>
        </w:rPr>
        <w:t>of</w:t>
      </w:r>
      <w:r>
        <w:rPr>
          <w:spacing w:val="-18"/>
          <w:sz w:val="20"/>
        </w:rPr>
        <w:t> </w:t>
      </w:r>
      <w:r>
        <w:rPr>
          <w:sz w:val="20"/>
        </w:rPr>
        <w:t>this</w:t>
      </w:r>
      <w:r>
        <w:rPr>
          <w:spacing w:val="-15"/>
          <w:sz w:val="20"/>
        </w:rPr>
        <w:t> </w:t>
      </w:r>
      <w:r>
        <w:rPr>
          <w:sz w:val="20"/>
        </w:rPr>
        <w:t>impact,</w:t>
      </w:r>
      <w:r>
        <w:rPr>
          <w:spacing w:val="-20"/>
          <w:sz w:val="20"/>
        </w:rPr>
        <w:t> </w:t>
      </w:r>
      <w:r>
        <w:rPr>
          <w:sz w:val="20"/>
        </w:rPr>
        <w:t>clear,</w:t>
      </w:r>
      <w:r>
        <w:rPr>
          <w:spacing w:val="-16"/>
          <w:sz w:val="20"/>
        </w:rPr>
        <w:t> </w:t>
      </w:r>
      <w:r>
        <w:rPr>
          <w:sz w:val="20"/>
        </w:rPr>
        <w:t>objective</w:t>
      </w:r>
      <w:r>
        <w:rPr>
          <w:spacing w:val="-19"/>
          <w:sz w:val="20"/>
        </w:rPr>
        <w:t> </w:t>
      </w:r>
      <w:r>
        <w:rPr>
          <w:sz w:val="20"/>
        </w:rPr>
        <w:t>rules</w:t>
      </w:r>
      <w:r>
        <w:rPr>
          <w:spacing w:val="-16"/>
          <w:sz w:val="20"/>
        </w:rPr>
        <w:t> </w:t>
      </w:r>
      <w:r>
        <w:rPr>
          <w:sz w:val="20"/>
        </w:rPr>
        <w:t>will</w:t>
      </w:r>
      <w:r>
        <w:rPr>
          <w:spacing w:val="-17"/>
          <w:sz w:val="20"/>
        </w:rPr>
        <w:t> </w:t>
      </w:r>
      <w:r>
        <w:rPr>
          <w:sz w:val="20"/>
        </w:rPr>
        <w:t>be</w:t>
      </w:r>
      <w:r>
        <w:rPr>
          <w:spacing w:val="-18"/>
          <w:sz w:val="20"/>
        </w:rPr>
        <w:t> </w:t>
      </w:r>
      <w:r>
        <w:rPr>
          <w:sz w:val="20"/>
        </w:rPr>
        <w:t>developed</w:t>
      </w:r>
      <w:r>
        <w:rPr>
          <w:spacing w:val="-16"/>
          <w:sz w:val="20"/>
        </w:rPr>
        <w:t> </w:t>
      </w:r>
      <w:r>
        <w:rPr>
          <w:sz w:val="20"/>
        </w:rPr>
        <w:t>to</w:t>
      </w:r>
      <w:r>
        <w:rPr>
          <w:spacing w:val="-17"/>
          <w:sz w:val="20"/>
        </w:rPr>
        <w:t> </w:t>
      </w:r>
      <w:r>
        <w:rPr>
          <w:sz w:val="20"/>
        </w:rPr>
        <w:t>identify</w:t>
      </w:r>
      <w:r>
        <w:rPr>
          <w:spacing w:val="-22"/>
          <w:sz w:val="20"/>
        </w:rPr>
        <w:t> </w:t>
      </w:r>
      <w:r>
        <w:rPr>
          <w:sz w:val="20"/>
        </w:rPr>
        <w:t>members of the determination panel where it is to consider questions concerning Amount</w:t>
      </w:r>
      <w:r>
        <w:rPr>
          <w:spacing w:val="-8"/>
          <w:sz w:val="20"/>
        </w:rPr>
        <w:t> </w:t>
      </w:r>
      <w:r>
        <w:rPr>
          <w:sz w:val="20"/>
        </w:rPr>
        <w:t>A.</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ListParagraph"/>
        <w:numPr>
          <w:ilvl w:val="0"/>
          <w:numId w:val="13"/>
        </w:numPr>
        <w:tabs>
          <w:tab w:pos="1444" w:val="left" w:leader="none"/>
        </w:tabs>
        <w:spacing w:line="271" w:lineRule="auto" w:before="93" w:after="0"/>
        <w:ind w:left="723" w:right="483" w:firstLine="0"/>
        <w:jc w:val="both"/>
        <w:rPr>
          <w:sz w:val="20"/>
        </w:rPr>
      </w:pPr>
      <w:r>
        <w:rPr>
          <w:sz w:val="20"/>
        </w:rPr>
        <w:t>With</w:t>
      </w:r>
      <w:r>
        <w:rPr>
          <w:spacing w:val="-12"/>
          <w:sz w:val="20"/>
        </w:rPr>
        <w:t> </w:t>
      </w:r>
      <w:r>
        <w:rPr>
          <w:sz w:val="20"/>
        </w:rPr>
        <w:t>respect</w:t>
      </w:r>
      <w:r>
        <w:rPr>
          <w:spacing w:val="-11"/>
          <w:sz w:val="20"/>
        </w:rPr>
        <w:t> </w:t>
      </w:r>
      <w:r>
        <w:rPr>
          <w:sz w:val="20"/>
        </w:rPr>
        <w:t>to</w:t>
      </w:r>
      <w:r>
        <w:rPr>
          <w:spacing w:val="-9"/>
          <w:sz w:val="20"/>
        </w:rPr>
        <w:t> </w:t>
      </w:r>
      <w:r>
        <w:rPr>
          <w:sz w:val="20"/>
        </w:rPr>
        <w:t>a</w:t>
      </w:r>
      <w:r>
        <w:rPr>
          <w:spacing w:val="-12"/>
          <w:sz w:val="20"/>
        </w:rPr>
        <w:t> </w:t>
      </w:r>
      <w:r>
        <w:rPr>
          <w:sz w:val="20"/>
        </w:rPr>
        <w:t>determination</w:t>
      </w:r>
      <w:r>
        <w:rPr>
          <w:spacing w:val="-10"/>
          <w:sz w:val="20"/>
        </w:rPr>
        <w:t> </w:t>
      </w:r>
      <w:r>
        <w:rPr>
          <w:sz w:val="20"/>
        </w:rPr>
        <w:t>panel</w:t>
      </w:r>
      <w:r>
        <w:rPr>
          <w:spacing w:val="-12"/>
          <w:sz w:val="20"/>
        </w:rPr>
        <w:t> </w:t>
      </w:r>
      <w:r>
        <w:rPr>
          <w:sz w:val="20"/>
        </w:rPr>
        <w:t>to</w:t>
      </w:r>
      <w:r>
        <w:rPr>
          <w:spacing w:val="-9"/>
          <w:sz w:val="20"/>
        </w:rPr>
        <w:t> </w:t>
      </w:r>
      <w:r>
        <w:rPr>
          <w:sz w:val="20"/>
        </w:rPr>
        <w:t>consider</w:t>
      </w:r>
      <w:r>
        <w:rPr>
          <w:spacing w:val="-11"/>
          <w:sz w:val="20"/>
        </w:rPr>
        <w:t> </w:t>
      </w:r>
      <w:r>
        <w:rPr>
          <w:sz w:val="20"/>
        </w:rPr>
        <w:t>disputes</w:t>
      </w:r>
      <w:r>
        <w:rPr>
          <w:spacing w:val="-11"/>
          <w:sz w:val="20"/>
        </w:rPr>
        <w:t> </w:t>
      </w:r>
      <w:r>
        <w:rPr>
          <w:sz w:val="20"/>
        </w:rPr>
        <w:t>concerning</w:t>
      </w:r>
      <w:r>
        <w:rPr>
          <w:spacing w:val="-9"/>
          <w:sz w:val="20"/>
        </w:rPr>
        <w:t> </w:t>
      </w:r>
      <w:r>
        <w:rPr>
          <w:sz w:val="20"/>
        </w:rPr>
        <w:t>Amount</w:t>
      </w:r>
      <w:r>
        <w:rPr>
          <w:spacing w:val="-12"/>
          <w:sz w:val="20"/>
        </w:rPr>
        <w:t> </w:t>
      </w:r>
      <w:r>
        <w:rPr>
          <w:sz w:val="20"/>
        </w:rPr>
        <w:t>A</w:t>
      </w:r>
      <w:r>
        <w:rPr>
          <w:spacing w:val="-10"/>
          <w:sz w:val="20"/>
        </w:rPr>
        <w:t> </w:t>
      </w:r>
      <w:r>
        <w:rPr>
          <w:sz w:val="20"/>
        </w:rPr>
        <w:t>only,</w:t>
      </w:r>
      <w:r>
        <w:rPr>
          <w:spacing w:val="-9"/>
          <w:sz w:val="20"/>
        </w:rPr>
        <w:t> </w:t>
      </w:r>
      <w:r>
        <w:rPr>
          <w:sz w:val="20"/>
        </w:rPr>
        <w:t>work</w:t>
      </w:r>
      <w:r>
        <w:rPr>
          <w:spacing w:val="-7"/>
          <w:sz w:val="20"/>
        </w:rPr>
        <w:t> </w:t>
      </w:r>
      <w:r>
        <w:rPr>
          <w:sz w:val="20"/>
        </w:rPr>
        <w:t>on</w:t>
      </w:r>
      <w:r>
        <w:rPr>
          <w:spacing w:val="-12"/>
          <w:sz w:val="20"/>
        </w:rPr>
        <w:t> </w:t>
      </w:r>
      <w:r>
        <w:rPr>
          <w:sz w:val="20"/>
        </w:rPr>
        <w:t>the appropriate constitution of a panel focuses on a number of fundamental issues. The Inclusive Framework will address a number of issues on which members hold different views, including by considering how panels are currently constituted in other contexts. These issues</w:t>
      </w:r>
      <w:r>
        <w:rPr>
          <w:spacing w:val="-6"/>
          <w:sz w:val="20"/>
        </w:rPr>
        <w:t> </w:t>
      </w:r>
      <w:r>
        <w:rPr>
          <w:sz w:val="20"/>
        </w:rPr>
        <w:t>include:</w:t>
      </w:r>
    </w:p>
    <w:p>
      <w:pPr>
        <w:pStyle w:val="ListParagraph"/>
        <w:numPr>
          <w:ilvl w:val="1"/>
          <w:numId w:val="13"/>
        </w:numPr>
        <w:tabs>
          <w:tab w:pos="1785" w:val="left" w:leader="none"/>
        </w:tabs>
        <w:spacing w:line="266" w:lineRule="auto" w:before="99" w:after="0"/>
        <w:ind w:left="1784" w:right="488" w:hanging="360"/>
        <w:jc w:val="both"/>
        <w:rPr>
          <w:sz w:val="20"/>
        </w:rPr>
      </w:pPr>
      <w:r>
        <w:rPr>
          <w:sz w:val="20"/>
        </w:rPr>
        <w:t>Whether panellists should be serving tax officials, retired (or non-serving) tax officials or independent experts, or a combination of these</w:t>
      </w:r>
      <w:r>
        <w:rPr>
          <w:spacing w:val="-5"/>
          <w:sz w:val="20"/>
        </w:rPr>
        <w:t> </w:t>
      </w:r>
      <w:r>
        <w:rPr>
          <w:sz w:val="20"/>
        </w:rPr>
        <w:t>groups.</w:t>
      </w:r>
    </w:p>
    <w:p>
      <w:pPr>
        <w:pStyle w:val="ListParagraph"/>
        <w:numPr>
          <w:ilvl w:val="1"/>
          <w:numId w:val="13"/>
        </w:numPr>
        <w:tabs>
          <w:tab w:pos="1785" w:val="left" w:leader="none"/>
        </w:tabs>
        <w:spacing w:line="271" w:lineRule="auto" w:before="54" w:after="0"/>
        <w:ind w:left="1784" w:right="482" w:hanging="360"/>
        <w:jc w:val="both"/>
        <w:rPr>
          <w:sz w:val="20"/>
        </w:rPr>
      </w:pPr>
      <w:r>
        <w:rPr>
          <w:sz w:val="20"/>
        </w:rPr>
        <w:t>Whether panellists should be drawn from a pool with rotating membership of individuals. For example, individuals could initially be appointed to the pool for a period of either two or four years, and then for a period of four years, so that half of all pool members would be replaced every two years. This would ensure that, after an initial period, panels include members with experience in resolving Amount A disputes. If this approach is adopted, members of the pool that are serving tax officials would be appointed by members of the Inclusive Framework. A process for appointing other members of the pool will be</w:t>
      </w:r>
      <w:r>
        <w:rPr>
          <w:spacing w:val="-13"/>
          <w:sz w:val="20"/>
        </w:rPr>
        <w:t> </w:t>
      </w:r>
      <w:r>
        <w:rPr>
          <w:sz w:val="20"/>
        </w:rPr>
        <w:t>explored.</w:t>
      </w:r>
    </w:p>
    <w:p>
      <w:pPr>
        <w:pStyle w:val="ListParagraph"/>
        <w:numPr>
          <w:ilvl w:val="1"/>
          <w:numId w:val="13"/>
        </w:numPr>
        <w:tabs>
          <w:tab w:pos="1785" w:val="left" w:leader="none"/>
        </w:tabs>
        <w:spacing w:line="266" w:lineRule="auto" w:before="43" w:after="0"/>
        <w:ind w:left="1784" w:right="491" w:hanging="360"/>
        <w:jc w:val="both"/>
        <w:rPr>
          <w:sz w:val="20"/>
        </w:rPr>
      </w:pPr>
      <w:r>
        <w:rPr>
          <w:sz w:val="20"/>
        </w:rPr>
        <w:t>Whether a pool member from the lead tax administration and/or other tax administrations participating on the review panel may participate on the determination</w:t>
      </w:r>
      <w:r>
        <w:rPr>
          <w:spacing w:val="-17"/>
          <w:sz w:val="20"/>
        </w:rPr>
        <w:t> </w:t>
      </w:r>
      <w:r>
        <w:rPr>
          <w:sz w:val="20"/>
        </w:rPr>
        <w:t>panel.</w:t>
      </w:r>
    </w:p>
    <w:p>
      <w:pPr>
        <w:pStyle w:val="ListParagraph"/>
        <w:numPr>
          <w:ilvl w:val="1"/>
          <w:numId w:val="13"/>
        </w:numPr>
        <w:tabs>
          <w:tab w:pos="1785" w:val="left" w:leader="none"/>
        </w:tabs>
        <w:spacing w:line="271" w:lineRule="auto" w:before="54" w:after="0"/>
        <w:ind w:left="1784" w:right="482" w:hanging="360"/>
        <w:jc w:val="both"/>
        <w:rPr>
          <w:sz w:val="20"/>
        </w:rPr>
      </w:pPr>
      <w:r>
        <w:rPr>
          <w:sz w:val="20"/>
        </w:rPr>
        <w:t>Whether determination panellists that are tax officials should be from affected tax administrations, from non-affected tax administrations or a combination of affected and non- affected</w:t>
      </w:r>
      <w:r>
        <w:rPr>
          <w:spacing w:val="-5"/>
          <w:sz w:val="20"/>
        </w:rPr>
        <w:t> </w:t>
      </w:r>
      <w:r>
        <w:rPr>
          <w:sz w:val="20"/>
        </w:rPr>
        <w:t>tax</w:t>
      </w:r>
      <w:r>
        <w:rPr>
          <w:spacing w:val="-4"/>
          <w:sz w:val="20"/>
        </w:rPr>
        <w:t> </w:t>
      </w:r>
      <w:r>
        <w:rPr>
          <w:sz w:val="20"/>
        </w:rPr>
        <w:t>administrations (or,</w:t>
      </w:r>
      <w:r>
        <w:rPr>
          <w:spacing w:val="-5"/>
          <w:sz w:val="20"/>
        </w:rPr>
        <w:t> </w:t>
      </w:r>
      <w:r>
        <w:rPr>
          <w:sz w:val="20"/>
        </w:rPr>
        <w:t>in</w:t>
      </w:r>
      <w:r>
        <w:rPr>
          <w:spacing w:val="-4"/>
          <w:sz w:val="20"/>
        </w:rPr>
        <w:t> </w:t>
      </w:r>
      <w:r>
        <w:rPr>
          <w:sz w:val="20"/>
        </w:rPr>
        <w:t>light</w:t>
      </w:r>
      <w:r>
        <w:rPr>
          <w:spacing w:val="-5"/>
          <w:sz w:val="20"/>
        </w:rPr>
        <w:t> </w:t>
      </w:r>
      <w:r>
        <w:rPr>
          <w:sz w:val="20"/>
        </w:rPr>
        <w:t>of</w:t>
      </w:r>
      <w:r>
        <w:rPr>
          <w:spacing w:val="-2"/>
          <w:sz w:val="20"/>
        </w:rPr>
        <w:t> </w:t>
      </w:r>
      <w:r>
        <w:rPr>
          <w:sz w:val="20"/>
        </w:rPr>
        <w:t>the</w:t>
      </w:r>
      <w:r>
        <w:rPr>
          <w:spacing w:val="-5"/>
          <w:sz w:val="20"/>
        </w:rPr>
        <w:t> </w:t>
      </w:r>
      <w:r>
        <w:rPr>
          <w:sz w:val="20"/>
        </w:rPr>
        <w:t>possible</w:t>
      </w:r>
      <w:r>
        <w:rPr>
          <w:spacing w:val="-3"/>
          <w:sz w:val="20"/>
        </w:rPr>
        <w:t> </w:t>
      </w:r>
      <w:r>
        <w:rPr>
          <w:sz w:val="20"/>
        </w:rPr>
        <w:t>difficulty</w:t>
      </w:r>
      <w:r>
        <w:rPr>
          <w:spacing w:val="-7"/>
          <w:sz w:val="20"/>
        </w:rPr>
        <w:t> </w:t>
      </w:r>
      <w:r>
        <w:rPr>
          <w:sz w:val="20"/>
        </w:rPr>
        <w:t>in</w:t>
      </w:r>
      <w:r>
        <w:rPr>
          <w:spacing w:val="-4"/>
          <w:sz w:val="20"/>
        </w:rPr>
        <w:t> </w:t>
      </w:r>
      <w:r>
        <w:rPr>
          <w:sz w:val="20"/>
        </w:rPr>
        <w:t>adopting</w:t>
      </w:r>
      <w:r>
        <w:rPr>
          <w:spacing w:val="-6"/>
          <w:sz w:val="20"/>
        </w:rPr>
        <w:t> </w:t>
      </w:r>
      <w:r>
        <w:rPr>
          <w:sz w:val="20"/>
        </w:rPr>
        <w:t>one</w:t>
      </w:r>
      <w:r>
        <w:rPr>
          <w:spacing w:val="-5"/>
          <w:sz w:val="20"/>
        </w:rPr>
        <w:t> </w:t>
      </w:r>
      <w:r>
        <w:rPr>
          <w:sz w:val="20"/>
        </w:rPr>
        <w:t>approach</w:t>
      </w:r>
      <w:r>
        <w:rPr>
          <w:spacing w:val="-5"/>
          <w:sz w:val="20"/>
        </w:rPr>
        <w:t> </w:t>
      </w:r>
      <w:r>
        <w:rPr>
          <w:sz w:val="20"/>
        </w:rPr>
        <w:t>that applies to all in-scope MNE groups, whether they should be appointed with no reference to this</w:t>
      </w:r>
      <w:r>
        <w:rPr>
          <w:spacing w:val="-1"/>
          <w:sz w:val="20"/>
        </w:rPr>
        <w:t> </w:t>
      </w:r>
      <w:r>
        <w:rPr>
          <w:sz w:val="20"/>
        </w:rPr>
        <w:t>criterion).</w:t>
      </w:r>
    </w:p>
    <w:p>
      <w:pPr>
        <w:pStyle w:val="ListParagraph"/>
        <w:numPr>
          <w:ilvl w:val="1"/>
          <w:numId w:val="13"/>
        </w:numPr>
        <w:tabs>
          <w:tab w:pos="1785" w:val="left" w:leader="none"/>
        </w:tabs>
        <w:spacing w:line="268" w:lineRule="auto" w:before="42" w:after="0"/>
        <w:ind w:left="1784" w:right="485" w:hanging="360"/>
        <w:jc w:val="both"/>
        <w:rPr>
          <w:sz w:val="20"/>
        </w:rPr>
      </w:pPr>
      <w:r>
        <w:rPr>
          <w:sz w:val="20"/>
        </w:rPr>
        <w:t>Whether small economies and developing economies should always be represented on a determination panel, to the extent these jurisdictions appoint</w:t>
      </w:r>
      <w:r>
        <w:rPr>
          <w:spacing w:val="-12"/>
          <w:sz w:val="20"/>
        </w:rPr>
        <w:t> </w:t>
      </w:r>
      <w:r>
        <w:rPr>
          <w:sz w:val="20"/>
        </w:rPr>
        <w:t>pool-members.</w:t>
      </w:r>
    </w:p>
    <w:p>
      <w:pPr>
        <w:pStyle w:val="ListParagraph"/>
        <w:numPr>
          <w:ilvl w:val="1"/>
          <w:numId w:val="13"/>
        </w:numPr>
        <w:tabs>
          <w:tab w:pos="1785" w:val="left" w:leader="none"/>
        </w:tabs>
        <w:spacing w:line="271" w:lineRule="auto" w:before="49" w:after="0"/>
        <w:ind w:left="1784" w:right="483" w:hanging="360"/>
        <w:jc w:val="both"/>
        <w:rPr>
          <w:sz w:val="20"/>
        </w:rPr>
      </w:pPr>
      <w:r>
        <w:rPr>
          <w:sz w:val="20"/>
        </w:rPr>
        <w:t>Whether a determination panel should have a Chair who is responsible for co-ordinating discussions and would have an additional vote in the event of no overall majority, to decide between two or more outcomes which otherwise have equal support. The Chair could be a named individual appointed by the Inclusive Framework (e.g. a suitable senior serving or retired tax official) or drawn from a small pool of such individuals (given </w:t>
      </w:r>
      <w:r>
        <w:rPr>
          <w:spacing w:val="3"/>
          <w:sz w:val="20"/>
        </w:rPr>
        <w:t>that </w:t>
      </w:r>
      <w:r>
        <w:rPr>
          <w:sz w:val="20"/>
        </w:rPr>
        <w:t>there may be a number of panels required in the first year(s) of applying Amount</w:t>
      </w:r>
      <w:r>
        <w:rPr>
          <w:spacing w:val="-9"/>
          <w:sz w:val="20"/>
        </w:rPr>
        <w:t> </w:t>
      </w:r>
      <w:r>
        <w:rPr>
          <w:sz w:val="20"/>
        </w:rPr>
        <w:t>A).</w:t>
      </w:r>
    </w:p>
    <w:p>
      <w:pPr>
        <w:pStyle w:val="ListParagraph"/>
        <w:numPr>
          <w:ilvl w:val="1"/>
          <w:numId w:val="13"/>
        </w:numPr>
        <w:tabs>
          <w:tab w:pos="1785" w:val="left" w:leader="none"/>
        </w:tabs>
        <w:spacing w:line="271" w:lineRule="auto" w:before="44" w:after="0"/>
        <w:ind w:left="1784" w:right="484" w:hanging="360"/>
        <w:jc w:val="both"/>
        <w:rPr>
          <w:sz w:val="20"/>
        </w:rPr>
      </w:pPr>
      <w:r>
        <w:rPr>
          <w:sz w:val="20"/>
        </w:rPr>
        <w:t>Whether</w:t>
      </w:r>
      <w:r>
        <w:rPr>
          <w:spacing w:val="-8"/>
          <w:sz w:val="20"/>
        </w:rPr>
        <w:t> </w:t>
      </w:r>
      <w:r>
        <w:rPr>
          <w:sz w:val="20"/>
        </w:rPr>
        <w:t>a</w:t>
      </w:r>
      <w:r>
        <w:rPr>
          <w:spacing w:val="-9"/>
          <w:sz w:val="20"/>
        </w:rPr>
        <w:t> </w:t>
      </w:r>
      <w:r>
        <w:rPr>
          <w:sz w:val="20"/>
        </w:rPr>
        <w:t>Chair</w:t>
      </w:r>
      <w:r>
        <w:rPr>
          <w:spacing w:val="-6"/>
          <w:sz w:val="20"/>
        </w:rPr>
        <w:t> </w:t>
      </w:r>
      <w:r>
        <w:rPr>
          <w:sz w:val="20"/>
        </w:rPr>
        <w:t>who</w:t>
      </w:r>
      <w:r>
        <w:rPr>
          <w:spacing w:val="-8"/>
          <w:sz w:val="20"/>
        </w:rPr>
        <w:t> </w:t>
      </w:r>
      <w:r>
        <w:rPr>
          <w:sz w:val="20"/>
        </w:rPr>
        <w:t>is</w:t>
      </w:r>
      <w:r>
        <w:rPr>
          <w:spacing w:val="-8"/>
          <w:sz w:val="20"/>
        </w:rPr>
        <w:t> </w:t>
      </w:r>
      <w:r>
        <w:rPr>
          <w:sz w:val="20"/>
        </w:rPr>
        <w:t>a</w:t>
      </w:r>
      <w:r>
        <w:rPr>
          <w:spacing w:val="-7"/>
          <w:sz w:val="20"/>
        </w:rPr>
        <w:t> </w:t>
      </w:r>
      <w:r>
        <w:rPr>
          <w:sz w:val="20"/>
        </w:rPr>
        <w:t>tax</w:t>
      </w:r>
      <w:r>
        <w:rPr>
          <w:spacing w:val="-8"/>
          <w:sz w:val="20"/>
        </w:rPr>
        <w:t> </w:t>
      </w:r>
      <w:r>
        <w:rPr>
          <w:sz w:val="20"/>
        </w:rPr>
        <w:t>official</w:t>
      </w:r>
      <w:r>
        <w:rPr>
          <w:spacing w:val="-9"/>
          <w:sz w:val="20"/>
        </w:rPr>
        <w:t> </w:t>
      </w:r>
      <w:r>
        <w:rPr>
          <w:sz w:val="20"/>
        </w:rPr>
        <w:t>should</w:t>
      </w:r>
      <w:r>
        <w:rPr>
          <w:spacing w:val="-9"/>
          <w:sz w:val="20"/>
        </w:rPr>
        <w:t> </w:t>
      </w:r>
      <w:r>
        <w:rPr>
          <w:sz w:val="20"/>
        </w:rPr>
        <w:t>be</w:t>
      </w:r>
      <w:r>
        <w:rPr>
          <w:spacing w:val="-7"/>
          <w:sz w:val="20"/>
        </w:rPr>
        <w:t> </w:t>
      </w:r>
      <w:r>
        <w:rPr>
          <w:sz w:val="20"/>
        </w:rPr>
        <w:t>from</w:t>
      </w:r>
      <w:r>
        <w:rPr>
          <w:spacing w:val="-4"/>
          <w:sz w:val="20"/>
        </w:rPr>
        <w:t> </w:t>
      </w:r>
      <w:r>
        <w:rPr>
          <w:sz w:val="20"/>
        </w:rPr>
        <w:t>a</w:t>
      </w:r>
      <w:r>
        <w:rPr>
          <w:spacing w:val="-4"/>
          <w:sz w:val="20"/>
        </w:rPr>
        <w:t> </w:t>
      </w:r>
      <w:r>
        <w:rPr>
          <w:sz w:val="20"/>
        </w:rPr>
        <w:t>tax</w:t>
      </w:r>
      <w:r>
        <w:rPr>
          <w:spacing w:val="-7"/>
          <w:sz w:val="20"/>
        </w:rPr>
        <w:t> </w:t>
      </w:r>
      <w:r>
        <w:rPr>
          <w:sz w:val="20"/>
        </w:rPr>
        <w:t>administration</w:t>
      </w:r>
      <w:r>
        <w:rPr>
          <w:spacing w:val="-9"/>
          <w:sz w:val="20"/>
        </w:rPr>
        <w:t> </w:t>
      </w:r>
      <w:r>
        <w:rPr>
          <w:sz w:val="20"/>
        </w:rPr>
        <w:t>that</w:t>
      </w:r>
      <w:r>
        <w:rPr>
          <w:spacing w:val="-6"/>
          <w:sz w:val="20"/>
        </w:rPr>
        <w:t> </w:t>
      </w:r>
      <w:r>
        <w:rPr>
          <w:sz w:val="20"/>
        </w:rPr>
        <w:t>is</w:t>
      </w:r>
      <w:r>
        <w:rPr>
          <w:spacing w:val="-8"/>
          <w:sz w:val="20"/>
        </w:rPr>
        <w:t> </w:t>
      </w:r>
      <w:r>
        <w:rPr>
          <w:sz w:val="20"/>
        </w:rPr>
        <w:t>not</w:t>
      </w:r>
      <w:r>
        <w:rPr>
          <w:spacing w:val="-6"/>
          <w:sz w:val="20"/>
        </w:rPr>
        <w:t> </w:t>
      </w:r>
      <w:r>
        <w:rPr>
          <w:sz w:val="20"/>
        </w:rPr>
        <w:t>an</w:t>
      </w:r>
      <w:r>
        <w:rPr>
          <w:spacing w:val="-9"/>
          <w:sz w:val="20"/>
        </w:rPr>
        <w:t> </w:t>
      </w:r>
      <w:r>
        <w:rPr>
          <w:sz w:val="20"/>
        </w:rPr>
        <w:t>affected tax administration (or, in the case of a retired or non-serving tax official, one that did not previously work for an affected tax</w:t>
      </w:r>
      <w:r>
        <w:rPr>
          <w:spacing w:val="-5"/>
          <w:sz w:val="20"/>
        </w:rPr>
        <w:t> </w:t>
      </w:r>
      <w:r>
        <w:rPr>
          <w:sz w:val="20"/>
        </w:rPr>
        <w:t>administration).</w:t>
      </w:r>
    </w:p>
    <w:p>
      <w:pPr>
        <w:pStyle w:val="ListParagraph"/>
        <w:numPr>
          <w:ilvl w:val="1"/>
          <w:numId w:val="13"/>
        </w:numPr>
        <w:tabs>
          <w:tab w:pos="1785" w:val="left" w:leader="none"/>
        </w:tabs>
        <w:spacing w:line="271" w:lineRule="auto" w:before="43" w:after="0"/>
        <w:ind w:left="1784" w:right="482" w:hanging="360"/>
        <w:jc w:val="both"/>
        <w:rPr>
          <w:sz w:val="20"/>
        </w:rPr>
      </w:pPr>
      <w:r>
        <w:rPr>
          <w:sz w:val="20"/>
        </w:rPr>
        <w:t>Whether a determination panel should include an odd number of panellists (including the Chair), which would facilitate a decision being reached by simple majority, where consensus proves</w:t>
      </w:r>
      <w:r>
        <w:rPr>
          <w:spacing w:val="1"/>
          <w:sz w:val="20"/>
        </w:rPr>
        <w:t> </w:t>
      </w:r>
      <w:r>
        <w:rPr>
          <w:sz w:val="20"/>
        </w:rPr>
        <w:t>impossible.</w:t>
      </w:r>
    </w:p>
    <w:p>
      <w:pPr>
        <w:pStyle w:val="BodyText"/>
        <w:spacing w:before="5"/>
      </w:pPr>
    </w:p>
    <w:p>
      <w:pPr>
        <w:pStyle w:val="Heading7"/>
        <w:rPr>
          <w:i/>
        </w:rPr>
      </w:pPr>
      <w:bookmarkStart w:name="Determination panel process" w:id="440"/>
      <w:bookmarkEnd w:id="440"/>
      <w:r>
        <w:rPr>
          <w:i w:val="0"/>
        </w:rPr>
      </w:r>
      <w:r>
        <w:rPr>
          <w:i/>
          <w:color w:val="616161"/>
        </w:rPr>
        <w:t>Determination panel process</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2" w:firstLine="0"/>
        <w:jc w:val="both"/>
        <w:rPr>
          <w:sz w:val="20"/>
        </w:rPr>
      </w:pPr>
      <w:r>
        <w:rPr>
          <w:sz w:val="20"/>
        </w:rPr>
        <w:t>The review panel will develop specific questions for consideration by the determination panel, together with written analyses of the different positions held by members of the review panel, by affected tax administrations that raised objections to the review panel’s recommendation and by other affected tax administrations (i.e. the determination panel will use a “last best offer” approach to decision-making, choosing</w:t>
      </w:r>
      <w:r>
        <w:rPr>
          <w:spacing w:val="-8"/>
          <w:sz w:val="20"/>
        </w:rPr>
        <w:t> </w:t>
      </w:r>
      <w:r>
        <w:rPr>
          <w:sz w:val="20"/>
        </w:rPr>
        <w:t>from</w:t>
      </w:r>
      <w:r>
        <w:rPr>
          <w:spacing w:val="-2"/>
          <w:sz w:val="20"/>
        </w:rPr>
        <w:t> </w:t>
      </w:r>
      <w:r>
        <w:rPr>
          <w:sz w:val="20"/>
        </w:rPr>
        <w:t>among</w:t>
      </w:r>
      <w:r>
        <w:rPr>
          <w:spacing w:val="-8"/>
          <w:sz w:val="20"/>
        </w:rPr>
        <w:t> </w:t>
      </w:r>
      <w:r>
        <w:rPr>
          <w:sz w:val="20"/>
        </w:rPr>
        <w:t>these</w:t>
      </w:r>
      <w:r>
        <w:rPr>
          <w:spacing w:val="-7"/>
          <w:sz w:val="20"/>
        </w:rPr>
        <w:t> </w:t>
      </w:r>
      <w:r>
        <w:rPr>
          <w:sz w:val="20"/>
        </w:rPr>
        <w:t>alternative</w:t>
      </w:r>
      <w:r>
        <w:rPr>
          <w:spacing w:val="-7"/>
          <w:sz w:val="20"/>
        </w:rPr>
        <w:t> </w:t>
      </w:r>
      <w:r>
        <w:rPr>
          <w:sz w:val="20"/>
        </w:rPr>
        <w:t>responses and</w:t>
      </w:r>
      <w:r>
        <w:rPr>
          <w:spacing w:val="-5"/>
          <w:sz w:val="20"/>
        </w:rPr>
        <w:t> </w:t>
      </w:r>
      <w:r>
        <w:rPr>
          <w:sz w:val="20"/>
        </w:rPr>
        <w:t>will</w:t>
      </w:r>
      <w:r>
        <w:rPr>
          <w:spacing w:val="-6"/>
          <w:sz w:val="20"/>
        </w:rPr>
        <w:t> </w:t>
      </w:r>
      <w:r>
        <w:rPr>
          <w:sz w:val="20"/>
        </w:rPr>
        <w:t>not</w:t>
      </w:r>
      <w:r>
        <w:rPr>
          <w:spacing w:val="-6"/>
          <w:sz w:val="20"/>
        </w:rPr>
        <w:t> </w:t>
      </w:r>
      <w:r>
        <w:rPr>
          <w:sz w:val="20"/>
        </w:rPr>
        <w:t>re-open</w:t>
      </w:r>
      <w:r>
        <w:rPr>
          <w:spacing w:val="-7"/>
          <w:sz w:val="20"/>
        </w:rPr>
        <w:t> </w:t>
      </w:r>
      <w:r>
        <w:rPr>
          <w:sz w:val="20"/>
        </w:rPr>
        <w:t>elements</w:t>
      </w:r>
      <w:r>
        <w:rPr>
          <w:spacing w:val="-6"/>
          <w:sz w:val="20"/>
        </w:rPr>
        <w:t> </w:t>
      </w:r>
      <w:r>
        <w:rPr>
          <w:sz w:val="20"/>
        </w:rPr>
        <w:t>that</w:t>
      </w:r>
      <w:r>
        <w:rPr>
          <w:spacing w:val="-4"/>
          <w:sz w:val="20"/>
        </w:rPr>
        <w:t> </w:t>
      </w:r>
      <w:r>
        <w:rPr>
          <w:sz w:val="20"/>
        </w:rPr>
        <w:t>were</w:t>
      </w:r>
      <w:r>
        <w:rPr>
          <w:spacing w:val="-7"/>
          <w:sz w:val="20"/>
        </w:rPr>
        <w:t> </w:t>
      </w:r>
      <w:r>
        <w:rPr>
          <w:sz w:val="20"/>
        </w:rPr>
        <w:t>already</w:t>
      </w:r>
      <w:r>
        <w:rPr>
          <w:spacing w:val="-10"/>
          <w:sz w:val="20"/>
        </w:rPr>
        <w:t> </w:t>
      </w:r>
      <w:r>
        <w:rPr>
          <w:sz w:val="20"/>
        </w:rPr>
        <w:t>settled by the review panel and agreed by all affected tax administrations). All affected tax administrations will have</w:t>
      </w:r>
      <w:r>
        <w:rPr>
          <w:spacing w:val="-16"/>
          <w:sz w:val="20"/>
        </w:rPr>
        <w:t> </w:t>
      </w:r>
      <w:r>
        <w:rPr>
          <w:sz w:val="20"/>
        </w:rPr>
        <w:t>the</w:t>
      </w:r>
      <w:r>
        <w:rPr>
          <w:spacing w:val="-13"/>
          <w:sz w:val="20"/>
        </w:rPr>
        <w:t> </w:t>
      </w:r>
      <w:r>
        <w:rPr>
          <w:sz w:val="20"/>
        </w:rPr>
        <w:t>opportunity</w:t>
      </w:r>
      <w:r>
        <w:rPr>
          <w:spacing w:val="-21"/>
          <w:sz w:val="20"/>
        </w:rPr>
        <w:t> </w:t>
      </w:r>
      <w:r>
        <w:rPr>
          <w:sz w:val="20"/>
        </w:rPr>
        <w:t>to</w:t>
      </w:r>
      <w:r>
        <w:rPr>
          <w:spacing w:val="-16"/>
          <w:sz w:val="20"/>
        </w:rPr>
        <w:t> </w:t>
      </w:r>
      <w:r>
        <w:rPr>
          <w:sz w:val="20"/>
        </w:rPr>
        <w:t>view</w:t>
      </w:r>
      <w:r>
        <w:rPr>
          <w:spacing w:val="-15"/>
          <w:sz w:val="20"/>
        </w:rPr>
        <w:t> </w:t>
      </w:r>
      <w:r>
        <w:rPr>
          <w:sz w:val="20"/>
        </w:rPr>
        <w:t>and</w:t>
      </w:r>
      <w:r>
        <w:rPr>
          <w:spacing w:val="-15"/>
          <w:sz w:val="20"/>
        </w:rPr>
        <w:t> </w:t>
      </w:r>
      <w:r>
        <w:rPr>
          <w:sz w:val="20"/>
        </w:rPr>
        <w:t>comment</w:t>
      </w:r>
      <w:r>
        <w:rPr>
          <w:spacing w:val="-16"/>
          <w:sz w:val="20"/>
        </w:rPr>
        <w:t> </w:t>
      </w:r>
      <w:r>
        <w:rPr>
          <w:sz w:val="20"/>
        </w:rPr>
        <w:t>on</w:t>
      </w:r>
      <w:r>
        <w:rPr>
          <w:spacing w:val="-16"/>
          <w:sz w:val="20"/>
        </w:rPr>
        <w:t> </w:t>
      </w:r>
      <w:r>
        <w:rPr>
          <w:sz w:val="20"/>
        </w:rPr>
        <w:t>the</w:t>
      </w:r>
      <w:r>
        <w:rPr>
          <w:spacing w:val="-16"/>
          <w:sz w:val="20"/>
        </w:rPr>
        <w:t> </w:t>
      </w:r>
      <w:r>
        <w:rPr>
          <w:sz w:val="20"/>
        </w:rPr>
        <w:t>questions</w:t>
      </w:r>
      <w:r>
        <w:rPr>
          <w:spacing w:val="-14"/>
          <w:sz w:val="20"/>
        </w:rPr>
        <w:t> </w:t>
      </w:r>
      <w:r>
        <w:rPr>
          <w:sz w:val="20"/>
        </w:rPr>
        <w:t>to</w:t>
      </w:r>
      <w:r>
        <w:rPr>
          <w:spacing w:val="-16"/>
          <w:sz w:val="20"/>
        </w:rPr>
        <w:t> </w:t>
      </w:r>
      <w:r>
        <w:rPr>
          <w:sz w:val="20"/>
        </w:rPr>
        <w:t>be</w:t>
      </w:r>
      <w:r>
        <w:rPr>
          <w:spacing w:val="-16"/>
          <w:sz w:val="20"/>
        </w:rPr>
        <w:t> </w:t>
      </w:r>
      <w:r>
        <w:rPr>
          <w:sz w:val="20"/>
        </w:rPr>
        <w:t>submitted.</w:t>
      </w:r>
      <w:r>
        <w:rPr>
          <w:spacing w:val="-15"/>
          <w:sz w:val="20"/>
        </w:rPr>
        <w:t> </w:t>
      </w:r>
      <w:r>
        <w:rPr>
          <w:sz w:val="20"/>
        </w:rPr>
        <w:t>The</w:t>
      </w:r>
      <w:r>
        <w:rPr>
          <w:spacing w:val="-17"/>
          <w:sz w:val="20"/>
        </w:rPr>
        <w:t> </w:t>
      </w:r>
      <w:r>
        <w:rPr>
          <w:sz w:val="20"/>
        </w:rPr>
        <w:t>format</w:t>
      </w:r>
      <w:r>
        <w:rPr>
          <w:spacing w:val="-15"/>
          <w:sz w:val="20"/>
        </w:rPr>
        <w:t> </w:t>
      </w:r>
      <w:r>
        <w:rPr>
          <w:sz w:val="20"/>
        </w:rPr>
        <w:t>of</w:t>
      </w:r>
      <w:r>
        <w:rPr>
          <w:spacing w:val="-13"/>
          <w:sz w:val="20"/>
        </w:rPr>
        <w:t> </w:t>
      </w:r>
      <w:r>
        <w:rPr>
          <w:sz w:val="20"/>
        </w:rPr>
        <w:t>these</w:t>
      </w:r>
      <w:r>
        <w:rPr>
          <w:spacing w:val="-10"/>
          <w:sz w:val="20"/>
        </w:rPr>
        <w:t> </w:t>
      </w:r>
      <w:r>
        <w:rPr>
          <w:sz w:val="20"/>
        </w:rPr>
        <w:t>questions, and whether they deal with each objection in turn or whether they deal with a number of objections that are linked, will be determined by the review panel on a case-by-case basis. To the extent possible, interactions between questions will be identified and explained by the review panel, as will any consequences of the determination panel’s choice of response to one question for other questions put</w:t>
      </w:r>
      <w:r>
        <w:rPr>
          <w:spacing w:val="13"/>
          <w:sz w:val="20"/>
        </w:rPr>
        <w:t> </w:t>
      </w:r>
      <w:r>
        <w:rPr>
          <w:sz w:val="20"/>
        </w:rPr>
        <w:t>to</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4"/>
        <w:jc w:val="both"/>
      </w:pPr>
      <w:r>
        <w:rPr/>
        <w:t>it. Further work will consider if, where possible, the review panel could also include an indication as to the level of support each objection has, but this should not by itself determine the outcome of a question. As time goes on and experience is gained in framing questions possibly involving a number of different objections and interactions, this process may be revised.</w:t>
      </w:r>
    </w:p>
    <w:p>
      <w:pPr>
        <w:pStyle w:val="ListParagraph"/>
        <w:numPr>
          <w:ilvl w:val="0"/>
          <w:numId w:val="13"/>
        </w:numPr>
        <w:tabs>
          <w:tab w:pos="1444" w:val="left" w:leader="none"/>
        </w:tabs>
        <w:spacing w:line="271" w:lineRule="auto" w:before="120" w:after="0"/>
        <w:ind w:left="723" w:right="482" w:firstLine="0"/>
        <w:jc w:val="both"/>
        <w:rPr>
          <w:sz w:val="20"/>
        </w:rPr>
      </w:pPr>
      <w:r>
        <w:rPr>
          <w:sz w:val="20"/>
        </w:rPr>
        <w:t>Where</w:t>
      </w:r>
      <w:r>
        <w:rPr>
          <w:spacing w:val="-7"/>
          <w:sz w:val="20"/>
        </w:rPr>
        <w:t> </w:t>
      </w:r>
      <w:r>
        <w:rPr>
          <w:sz w:val="20"/>
        </w:rPr>
        <w:t>possible,</w:t>
      </w:r>
      <w:r>
        <w:rPr>
          <w:spacing w:val="-6"/>
          <w:sz w:val="20"/>
        </w:rPr>
        <w:t> </w:t>
      </w:r>
      <w:r>
        <w:rPr>
          <w:sz w:val="20"/>
        </w:rPr>
        <w:t>the</w:t>
      </w:r>
      <w:r>
        <w:rPr>
          <w:spacing w:val="-6"/>
          <w:sz w:val="20"/>
        </w:rPr>
        <w:t> </w:t>
      </w:r>
      <w:r>
        <w:rPr>
          <w:sz w:val="20"/>
        </w:rPr>
        <w:t>determination</w:t>
      </w:r>
      <w:r>
        <w:rPr>
          <w:spacing w:val="-5"/>
          <w:sz w:val="20"/>
        </w:rPr>
        <w:t> </w:t>
      </w:r>
      <w:r>
        <w:rPr>
          <w:sz w:val="20"/>
        </w:rPr>
        <w:t>panel</w:t>
      </w:r>
      <w:r>
        <w:rPr>
          <w:spacing w:val="-6"/>
          <w:sz w:val="20"/>
        </w:rPr>
        <w:t> </w:t>
      </w:r>
      <w:r>
        <w:rPr>
          <w:sz w:val="20"/>
        </w:rPr>
        <w:t>should</w:t>
      </w:r>
      <w:r>
        <w:rPr>
          <w:spacing w:val="-6"/>
          <w:sz w:val="20"/>
        </w:rPr>
        <w:t> </w:t>
      </w:r>
      <w:r>
        <w:rPr>
          <w:sz w:val="20"/>
        </w:rPr>
        <w:t>endeavour</w:t>
      </w:r>
      <w:r>
        <w:rPr>
          <w:spacing w:val="-4"/>
          <w:sz w:val="20"/>
        </w:rPr>
        <w:t> </w:t>
      </w:r>
      <w:r>
        <w:rPr>
          <w:sz w:val="20"/>
        </w:rPr>
        <w:t>to</w:t>
      </w:r>
      <w:r>
        <w:rPr>
          <w:spacing w:val="-6"/>
          <w:sz w:val="20"/>
        </w:rPr>
        <w:t> </w:t>
      </w:r>
      <w:r>
        <w:rPr>
          <w:sz w:val="20"/>
        </w:rPr>
        <w:t>reach</w:t>
      </w:r>
      <w:r>
        <w:rPr>
          <w:spacing w:val="-5"/>
          <w:sz w:val="20"/>
        </w:rPr>
        <w:t> </w:t>
      </w:r>
      <w:r>
        <w:rPr>
          <w:sz w:val="20"/>
        </w:rPr>
        <w:t>agreement</w:t>
      </w:r>
      <w:r>
        <w:rPr>
          <w:spacing w:val="-7"/>
          <w:sz w:val="20"/>
        </w:rPr>
        <w:t> </w:t>
      </w:r>
      <w:r>
        <w:rPr>
          <w:sz w:val="20"/>
        </w:rPr>
        <w:t>on</w:t>
      </w:r>
      <w:r>
        <w:rPr>
          <w:spacing w:val="-6"/>
          <w:sz w:val="20"/>
        </w:rPr>
        <w:t> </w:t>
      </w:r>
      <w:r>
        <w:rPr>
          <w:sz w:val="20"/>
        </w:rPr>
        <w:t>each</w:t>
      </w:r>
      <w:r>
        <w:rPr>
          <w:spacing w:val="-6"/>
          <w:sz w:val="20"/>
        </w:rPr>
        <w:t> </w:t>
      </w:r>
      <w:r>
        <w:rPr>
          <w:sz w:val="20"/>
        </w:rPr>
        <w:t>question by consensus, taking into account the views of all panel members. Where this is not possible, a decision by simple majority on each question may be accepted. Where even simple majority does not provide a clear outcome (e.g. where there are numerous possible answers to a particular question and there is no majority view on the determination panel), the Chair of the determination panel would </w:t>
      </w:r>
      <w:r>
        <w:rPr>
          <w:spacing w:val="2"/>
          <w:sz w:val="20"/>
        </w:rPr>
        <w:t>have </w:t>
      </w:r>
      <w:r>
        <w:rPr>
          <w:sz w:val="20"/>
        </w:rPr>
        <w:t>an additional vote,</w:t>
      </w:r>
      <w:r>
        <w:rPr>
          <w:spacing w:val="-9"/>
          <w:sz w:val="20"/>
        </w:rPr>
        <w:t> </w:t>
      </w:r>
      <w:r>
        <w:rPr>
          <w:sz w:val="20"/>
        </w:rPr>
        <w:t>to</w:t>
      </w:r>
      <w:r>
        <w:rPr>
          <w:spacing w:val="-9"/>
          <w:sz w:val="20"/>
        </w:rPr>
        <w:t> </w:t>
      </w:r>
      <w:r>
        <w:rPr>
          <w:sz w:val="20"/>
        </w:rPr>
        <w:t>decide</w:t>
      </w:r>
      <w:r>
        <w:rPr>
          <w:spacing w:val="-9"/>
          <w:sz w:val="20"/>
        </w:rPr>
        <w:t> </w:t>
      </w:r>
      <w:r>
        <w:rPr>
          <w:sz w:val="20"/>
        </w:rPr>
        <w:t>between</w:t>
      </w:r>
      <w:r>
        <w:rPr>
          <w:spacing w:val="-9"/>
          <w:sz w:val="20"/>
        </w:rPr>
        <w:t> </w:t>
      </w:r>
      <w:r>
        <w:rPr>
          <w:sz w:val="20"/>
        </w:rPr>
        <w:t>two</w:t>
      </w:r>
      <w:r>
        <w:rPr>
          <w:spacing w:val="-8"/>
          <w:sz w:val="20"/>
        </w:rPr>
        <w:t> </w:t>
      </w:r>
      <w:r>
        <w:rPr>
          <w:sz w:val="20"/>
        </w:rPr>
        <w:t>or</w:t>
      </w:r>
      <w:r>
        <w:rPr>
          <w:spacing w:val="-8"/>
          <w:sz w:val="20"/>
        </w:rPr>
        <w:t> </w:t>
      </w:r>
      <w:r>
        <w:rPr>
          <w:sz w:val="20"/>
        </w:rPr>
        <w:t>more</w:t>
      </w:r>
      <w:r>
        <w:rPr>
          <w:spacing w:val="-9"/>
          <w:sz w:val="20"/>
        </w:rPr>
        <w:t> </w:t>
      </w:r>
      <w:r>
        <w:rPr>
          <w:sz w:val="20"/>
        </w:rPr>
        <w:t>answers</w:t>
      </w:r>
      <w:r>
        <w:rPr>
          <w:spacing w:val="-5"/>
          <w:sz w:val="20"/>
        </w:rPr>
        <w:t> </w:t>
      </w:r>
      <w:r>
        <w:rPr>
          <w:sz w:val="20"/>
        </w:rPr>
        <w:t>which</w:t>
      </w:r>
      <w:r>
        <w:rPr>
          <w:spacing w:val="-7"/>
          <w:sz w:val="20"/>
        </w:rPr>
        <w:t> </w:t>
      </w:r>
      <w:r>
        <w:rPr>
          <w:sz w:val="20"/>
        </w:rPr>
        <w:t>otherwise</w:t>
      </w:r>
      <w:r>
        <w:rPr>
          <w:spacing w:val="-9"/>
          <w:sz w:val="20"/>
        </w:rPr>
        <w:t> </w:t>
      </w:r>
      <w:r>
        <w:rPr>
          <w:sz w:val="20"/>
        </w:rPr>
        <w:t>have</w:t>
      </w:r>
      <w:r>
        <w:rPr>
          <w:spacing w:val="-8"/>
          <w:sz w:val="20"/>
        </w:rPr>
        <w:t> </w:t>
      </w:r>
      <w:r>
        <w:rPr>
          <w:sz w:val="20"/>
        </w:rPr>
        <w:t>equal</w:t>
      </w:r>
      <w:r>
        <w:rPr>
          <w:spacing w:val="-10"/>
          <w:sz w:val="20"/>
        </w:rPr>
        <w:t> </w:t>
      </w:r>
      <w:r>
        <w:rPr>
          <w:sz w:val="20"/>
        </w:rPr>
        <w:t>support.</w:t>
      </w:r>
      <w:r>
        <w:rPr>
          <w:spacing w:val="-9"/>
          <w:sz w:val="20"/>
        </w:rPr>
        <w:t> </w:t>
      </w:r>
      <w:r>
        <w:rPr>
          <w:sz w:val="20"/>
        </w:rPr>
        <w:t>To</w:t>
      </w:r>
      <w:r>
        <w:rPr>
          <w:spacing w:val="-9"/>
          <w:sz w:val="20"/>
        </w:rPr>
        <w:t> </w:t>
      </w:r>
      <w:r>
        <w:rPr>
          <w:sz w:val="20"/>
        </w:rPr>
        <w:t>the</w:t>
      </w:r>
      <w:r>
        <w:rPr>
          <w:spacing w:val="-8"/>
          <w:sz w:val="20"/>
        </w:rPr>
        <w:t> </w:t>
      </w:r>
      <w:r>
        <w:rPr>
          <w:sz w:val="20"/>
        </w:rPr>
        <w:t>extent</w:t>
      </w:r>
      <w:r>
        <w:rPr>
          <w:spacing w:val="-9"/>
          <w:sz w:val="20"/>
        </w:rPr>
        <w:t> </w:t>
      </w:r>
      <w:r>
        <w:rPr>
          <w:sz w:val="20"/>
        </w:rPr>
        <w:t>possible, the determination panel should seek to reach a decision within [six months] following referral from the review</w:t>
      </w:r>
      <w:r>
        <w:rPr>
          <w:spacing w:val="-18"/>
          <w:sz w:val="20"/>
        </w:rPr>
        <w:t> </w:t>
      </w:r>
      <w:r>
        <w:rPr>
          <w:sz w:val="20"/>
        </w:rPr>
        <w:t>panel.</w:t>
      </w:r>
      <w:r>
        <w:rPr>
          <w:spacing w:val="-16"/>
          <w:sz w:val="20"/>
        </w:rPr>
        <w:t> </w:t>
      </w:r>
      <w:r>
        <w:rPr>
          <w:sz w:val="20"/>
        </w:rPr>
        <w:t>The</w:t>
      </w:r>
      <w:r>
        <w:rPr>
          <w:spacing w:val="-16"/>
          <w:sz w:val="20"/>
        </w:rPr>
        <w:t> </w:t>
      </w:r>
      <w:r>
        <w:rPr>
          <w:sz w:val="20"/>
        </w:rPr>
        <w:t>Chair</w:t>
      </w:r>
      <w:r>
        <w:rPr>
          <w:spacing w:val="-15"/>
          <w:sz w:val="20"/>
        </w:rPr>
        <w:t> </w:t>
      </w:r>
      <w:r>
        <w:rPr>
          <w:sz w:val="20"/>
        </w:rPr>
        <w:t>of</w:t>
      </w:r>
      <w:r>
        <w:rPr>
          <w:spacing w:val="-14"/>
          <w:sz w:val="20"/>
        </w:rPr>
        <w:t> </w:t>
      </w:r>
      <w:r>
        <w:rPr>
          <w:sz w:val="20"/>
        </w:rPr>
        <w:t>the</w:t>
      </w:r>
      <w:r>
        <w:rPr>
          <w:spacing w:val="-13"/>
          <w:sz w:val="20"/>
        </w:rPr>
        <w:t> </w:t>
      </w:r>
      <w:r>
        <w:rPr>
          <w:sz w:val="20"/>
        </w:rPr>
        <w:t>determination</w:t>
      </w:r>
      <w:r>
        <w:rPr>
          <w:spacing w:val="-16"/>
          <w:sz w:val="20"/>
        </w:rPr>
        <w:t> </w:t>
      </w:r>
      <w:r>
        <w:rPr>
          <w:sz w:val="20"/>
        </w:rPr>
        <w:t>panel</w:t>
      </w:r>
      <w:r>
        <w:rPr>
          <w:spacing w:val="-17"/>
          <w:sz w:val="20"/>
        </w:rPr>
        <w:t> </w:t>
      </w:r>
      <w:r>
        <w:rPr>
          <w:sz w:val="20"/>
        </w:rPr>
        <w:t>should</w:t>
      </w:r>
      <w:r>
        <w:rPr>
          <w:spacing w:val="-15"/>
          <w:sz w:val="20"/>
        </w:rPr>
        <w:t> </w:t>
      </w:r>
      <w:r>
        <w:rPr>
          <w:sz w:val="20"/>
        </w:rPr>
        <w:t>then</w:t>
      </w:r>
      <w:r>
        <w:rPr>
          <w:spacing w:val="-14"/>
          <w:sz w:val="20"/>
        </w:rPr>
        <w:t> </w:t>
      </w:r>
      <w:r>
        <w:rPr>
          <w:sz w:val="20"/>
        </w:rPr>
        <w:t>prepare</w:t>
      </w:r>
      <w:r>
        <w:rPr>
          <w:spacing w:val="-16"/>
          <w:sz w:val="20"/>
        </w:rPr>
        <w:t> </w:t>
      </w:r>
      <w:r>
        <w:rPr>
          <w:sz w:val="20"/>
        </w:rPr>
        <w:t>a</w:t>
      </w:r>
      <w:r>
        <w:rPr>
          <w:spacing w:val="-15"/>
          <w:sz w:val="20"/>
        </w:rPr>
        <w:t> </w:t>
      </w:r>
      <w:r>
        <w:rPr>
          <w:sz w:val="20"/>
        </w:rPr>
        <w:t>short</w:t>
      </w:r>
      <w:r>
        <w:rPr>
          <w:spacing w:val="-15"/>
          <w:sz w:val="20"/>
        </w:rPr>
        <w:t> </w:t>
      </w:r>
      <w:r>
        <w:rPr>
          <w:sz w:val="20"/>
        </w:rPr>
        <w:t>summary</w:t>
      </w:r>
      <w:r>
        <w:rPr>
          <w:spacing w:val="-21"/>
          <w:sz w:val="20"/>
        </w:rPr>
        <w:t> </w:t>
      </w:r>
      <w:r>
        <w:rPr>
          <w:sz w:val="20"/>
        </w:rPr>
        <w:t>of</w:t>
      </w:r>
      <w:r>
        <w:rPr>
          <w:spacing w:val="-14"/>
          <w:sz w:val="20"/>
        </w:rPr>
        <w:t> </w:t>
      </w:r>
      <w:r>
        <w:rPr>
          <w:sz w:val="20"/>
        </w:rPr>
        <w:t>its</w:t>
      </w:r>
      <w:r>
        <w:rPr>
          <w:spacing w:val="-15"/>
          <w:sz w:val="20"/>
        </w:rPr>
        <w:t> </w:t>
      </w:r>
      <w:r>
        <w:rPr>
          <w:sz w:val="20"/>
        </w:rPr>
        <w:t>conclusions, setting</w:t>
      </w:r>
      <w:r>
        <w:rPr>
          <w:spacing w:val="-7"/>
          <w:sz w:val="20"/>
        </w:rPr>
        <w:t> </w:t>
      </w:r>
      <w:r>
        <w:rPr>
          <w:sz w:val="20"/>
        </w:rPr>
        <w:t>out</w:t>
      </w:r>
      <w:r>
        <w:rPr>
          <w:spacing w:val="-7"/>
          <w:sz w:val="20"/>
        </w:rPr>
        <w:t> </w:t>
      </w:r>
      <w:r>
        <w:rPr>
          <w:sz w:val="20"/>
        </w:rPr>
        <w:t>the</w:t>
      </w:r>
      <w:r>
        <w:rPr>
          <w:spacing w:val="-7"/>
          <w:sz w:val="20"/>
        </w:rPr>
        <w:t> </w:t>
      </w:r>
      <w:r>
        <w:rPr>
          <w:sz w:val="20"/>
        </w:rPr>
        <w:t>key</w:t>
      </w:r>
      <w:r>
        <w:rPr>
          <w:spacing w:val="-11"/>
          <w:sz w:val="20"/>
        </w:rPr>
        <w:t> </w:t>
      </w:r>
      <w:r>
        <w:rPr>
          <w:sz w:val="20"/>
        </w:rPr>
        <w:t>reasons</w:t>
      </w:r>
      <w:r>
        <w:rPr>
          <w:spacing w:val="-3"/>
          <w:sz w:val="20"/>
        </w:rPr>
        <w:t> </w:t>
      </w:r>
      <w:r>
        <w:rPr>
          <w:sz w:val="20"/>
        </w:rPr>
        <w:t>for</w:t>
      </w:r>
      <w:r>
        <w:rPr>
          <w:spacing w:val="-8"/>
          <w:sz w:val="20"/>
        </w:rPr>
        <w:t> </w:t>
      </w:r>
      <w:r>
        <w:rPr>
          <w:sz w:val="20"/>
        </w:rPr>
        <w:t>its</w:t>
      </w:r>
      <w:r>
        <w:rPr>
          <w:spacing w:val="-8"/>
          <w:sz w:val="20"/>
        </w:rPr>
        <w:t> </w:t>
      </w:r>
      <w:r>
        <w:rPr>
          <w:sz w:val="20"/>
        </w:rPr>
        <w:t>decisions,</w:t>
      </w:r>
      <w:r>
        <w:rPr>
          <w:spacing w:val="-6"/>
          <w:sz w:val="20"/>
        </w:rPr>
        <w:t> </w:t>
      </w:r>
      <w:r>
        <w:rPr>
          <w:sz w:val="20"/>
        </w:rPr>
        <w:t>which</w:t>
      </w:r>
      <w:r>
        <w:rPr>
          <w:spacing w:val="-6"/>
          <w:sz w:val="20"/>
        </w:rPr>
        <w:t> </w:t>
      </w:r>
      <w:r>
        <w:rPr>
          <w:sz w:val="20"/>
        </w:rPr>
        <w:t>is</w:t>
      </w:r>
      <w:r>
        <w:rPr>
          <w:spacing w:val="-5"/>
          <w:sz w:val="20"/>
        </w:rPr>
        <w:t> </w:t>
      </w:r>
      <w:r>
        <w:rPr>
          <w:sz w:val="20"/>
        </w:rPr>
        <w:t>made</w:t>
      </w:r>
      <w:r>
        <w:rPr>
          <w:spacing w:val="-7"/>
          <w:sz w:val="20"/>
        </w:rPr>
        <w:t> </w:t>
      </w:r>
      <w:r>
        <w:rPr>
          <w:sz w:val="20"/>
        </w:rPr>
        <w:t>available</w:t>
      </w:r>
      <w:r>
        <w:rPr>
          <w:spacing w:val="-9"/>
          <w:sz w:val="20"/>
        </w:rPr>
        <w:t> </w:t>
      </w:r>
      <w:r>
        <w:rPr>
          <w:sz w:val="20"/>
        </w:rPr>
        <w:t>to</w:t>
      </w:r>
      <w:r>
        <w:rPr>
          <w:spacing w:val="-7"/>
          <w:sz w:val="20"/>
        </w:rPr>
        <w:t> </w:t>
      </w:r>
      <w:r>
        <w:rPr>
          <w:sz w:val="20"/>
        </w:rPr>
        <w:t>affected</w:t>
      </w:r>
      <w:r>
        <w:rPr>
          <w:spacing w:val="-8"/>
          <w:sz w:val="20"/>
        </w:rPr>
        <w:t> </w:t>
      </w:r>
      <w:r>
        <w:rPr>
          <w:sz w:val="20"/>
        </w:rPr>
        <w:t>tax</w:t>
      </w:r>
      <w:r>
        <w:rPr>
          <w:spacing w:val="-8"/>
          <w:sz w:val="20"/>
        </w:rPr>
        <w:t> </w:t>
      </w:r>
      <w:r>
        <w:rPr>
          <w:sz w:val="20"/>
        </w:rPr>
        <w:t>administrations</w:t>
      </w:r>
      <w:r>
        <w:rPr>
          <w:spacing w:val="-5"/>
          <w:sz w:val="20"/>
        </w:rPr>
        <w:t> </w:t>
      </w:r>
      <w:r>
        <w:rPr>
          <w:sz w:val="20"/>
        </w:rPr>
        <w:t>by</w:t>
      </w:r>
      <w:r>
        <w:rPr>
          <w:spacing w:val="-9"/>
          <w:sz w:val="20"/>
        </w:rPr>
        <w:t> </w:t>
      </w:r>
      <w:r>
        <w:rPr>
          <w:sz w:val="20"/>
        </w:rPr>
        <w:t>the lead tax</w:t>
      </w:r>
      <w:r>
        <w:rPr>
          <w:spacing w:val="-2"/>
          <w:sz w:val="20"/>
        </w:rPr>
        <w:t> </w:t>
      </w:r>
      <w:r>
        <w:rPr>
          <w:sz w:val="20"/>
        </w:rPr>
        <w:t>administration.</w:t>
      </w:r>
    </w:p>
    <w:p>
      <w:pPr>
        <w:pStyle w:val="ListParagraph"/>
        <w:numPr>
          <w:ilvl w:val="0"/>
          <w:numId w:val="13"/>
        </w:numPr>
        <w:tabs>
          <w:tab w:pos="1444" w:val="left" w:leader="none"/>
        </w:tabs>
        <w:spacing w:line="271" w:lineRule="auto" w:before="121" w:after="0"/>
        <w:ind w:left="723" w:right="485" w:firstLine="0"/>
        <w:jc w:val="both"/>
        <w:rPr>
          <w:sz w:val="20"/>
        </w:rPr>
      </w:pPr>
      <w:r>
        <w:rPr>
          <w:sz w:val="20"/>
        </w:rPr>
        <w:t>In the event the determination panel confirms an approach that has already been agreed by the MNE</w:t>
      </w:r>
      <w:r>
        <w:rPr>
          <w:spacing w:val="-10"/>
          <w:sz w:val="20"/>
        </w:rPr>
        <w:t> </w:t>
      </w:r>
      <w:r>
        <w:rPr>
          <w:sz w:val="20"/>
        </w:rPr>
        <w:t>group</w:t>
      </w:r>
      <w:r>
        <w:rPr>
          <w:spacing w:val="-11"/>
          <w:sz w:val="20"/>
        </w:rPr>
        <w:t> </w:t>
      </w:r>
      <w:r>
        <w:rPr>
          <w:sz w:val="20"/>
        </w:rPr>
        <w:t>(i.e.</w:t>
      </w:r>
      <w:r>
        <w:rPr>
          <w:spacing w:val="-10"/>
          <w:sz w:val="20"/>
        </w:rPr>
        <w:t> </w:t>
      </w:r>
      <w:r>
        <w:rPr>
          <w:sz w:val="20"/>
        </w:rPr>
        <w:t>the</w:t>
      </w:r>
      <w:r>
        <w:rPr>
          <w:spacing w:val="-8"/>
          <w:sz w:val="20"/>
        </w:rPr>
        <w:t> </w:t>
      </w:r>
      <w:r>
        <w:rPr>
          <w:sz w:val="20"/>
        </w:rPr>
        <w:t>position</w:t>
      </w:r>
      <w:r>
        <w:rPr>
          <w:spacing w:val="-9"/>
          <w:sz w:val="20"/>
        </w:rPr>
        <w:t> </w:t>
      </w:r>
      <w:r>
        <w:rPr>
          <w:sz w:val="20"/>
        </w:rPr>
        <w:t>as</w:t>
      </w:r>
      <w:r>
        <w:rPr>
          <w:spacing w:val="-9"/>
          <w:sz w:val="20"/>
        </w:rPr>
        <w:t> </w:t>
      </w:r>
      <w:r>
        <w:rPr>
          <w:sz w:val="20"/>
        </w:rPr>
        <w:t>filed</w:t>
      </w:r>
      <w:r>
        <w:rPr>
          <w:spacing w:val="-9"/>
          <w:sz w:val="20"/>
        </w:rPr>
        <w:t> </w:t>
      </w:r>
      <w:r>
        <w:rPr>
          <w:sz w:val="20"/>
        </w:rPr>
        <w:t>in</w:t>
      </w:r>
      <w:r>
        <w:rPr>
          <w:spacing w:val="-9"/>
          <w:sz w:val="20"/>
        </w:rPr>
        <w:t> </w:t>
      </w:r>
      <w:r>
        <w:rPr>
          <w:sz w:val="20"/>
        </w:rPr>
        <w:t>its</w:t>
      </w:r>
      <w:r>
        <w:rPr>
          <w:spacing w:val="-9"/>
          <w:sz w:val="20"/>
        </w:rPr>
        <w:t> </w:t>
      </w:r>
      <w:r>
        <w:rPr>
          <w:sz w:val="20"/>
        </w:rPr>
        <w:t>self-assessment</w:t>
      </w:r>
      <w:r>
        <w:rPr>
          <w:spacing w:val="-11"/>
          <w:sz w:val="20"/>
        </w:rPr>
        <w:t> </w:t>
      </w:r>
      <w:r>
        <w:rPr>
          <w:sz w:val="20"/>
        </w:rPr>
        <w:t>return</w:t>
      </w:r>
      <w:r>
        <w:rPr>
          <w:spacing w:val="-8"/>
          <w:sz w:val="20"/>
        </w:rPr>
        <w:t> </w:t>
      </w:r>
      <w:r>
        <w:rPr>
          <w:sz w:val="20"/>
        </w:rPr>
        <w:t>or</w:t>
      </w:r>
      <w:r>
        <w:rPr>
          <w:spacing w:val="-10"/>
          <w:sz w:val="20"/>
        </w:rPr>
        <w:t> </w:t>
      </w:r>
      <w:r>
        <w:rPr>
          <w:sz w:val="20"/>
        </w:rPr>
        <w:t>reflecting</w:t>
      </w:r>
      <w:r>
        <w:rPr>
          <w:spacing w:val="-10"/>
          <w:sz w:val="20"/>
        </w:rPr>
        <w:t> </w:t>
      </w:r>
      <w:r>
        <w:rPr>
          <w:sz w:val="20"/>
        </w:rPr>
        <w:t>changes</w:t>
      </w:r>
      <w:r>
        <w:rPr>
          <w:spacing w:val="-9"/>
          <w:sz w:val="20"/>
        </w:rPr>
        <w:t> </w:t>
      </w:r>
      <w:r>
        <w:rPr>
          <w:sz w:val="20"/>
        </w:rPr>
        <w:t>agreed</w:t>
      </w:r>
      <w:r>
        <w:rPr>
          <w:spacing w:val="-9"/>
          <w:sz w:val="20"/>
        </w:rPr>
        <w:t> </w:t>
      </w:r>
      <w:r>
        <w:rPr>
          <w:sz w:val="20"/>
        </w:rPr>
        <w:t>by</w:t>
      </w:r>
      <w:r>
        <w:rPr>
          <w:spacing w:val="-11"/>
          <w:sz w:val="20"/>
        </w:rPr>
        <w:t> </w:t>
      </w:r>
      <w:r>
        <w:rPr>
          <w:sz w:val="20"/>
        </w:rPr>
        <w:t>the</w:t>
      </w:r>
      <w:r>
        <w:rPr>
          <w:spacing w:val="-9"/>
          <w:sz w:val="20"/>
        </w:rPr>
        <w:t> </w:t>
      </w:r>
      <w:r>
        <w:rPr>
          <w:sz w:val="20"/>
        </w:rPr>
        <w:t>MNE group), this assessment of Amount A is binding on the MNE group’s constituent entities and on tax administrations in all Inclusive Framework member jurisdictions. If the determination panel reaches any other</w:t>
      </w:r>
      <w:r>
        <w:rPr>
          <w:spacing w:val="-6"/>
          <w:sz w:val="20"/>
        </w:rPr>
        <w:t> </w:t>
      </w:r>
      <w:r>
        <w:rPr>
          <w:sz w:val="20"/>
        </w:rPr>
        <w:t>conclusion,</w:t>
      </w:r>
      <w:r>
        <w:rPr>
          <w:spacing w:val="-4"/>
          <w:sz w:val="20"/>
        </w:rPr>
        <w:t> </w:t>
      </w:r>
      <w:r>
        <w:rPr>
          <w:sz w:val="20"/>
        </w:rPr>
        <w:t>the</w:t>
      </w:r>
      <w:r>
        <w:rPr>
          <w:spacing w:val="-7"/>
          <w:sz w:val="20"/>
        </w:rPr>
        <w:t> </w:t>
      </w:r>
      <w:r>
        <w:rPr>
          <w:sz w:val="20"/>
        </w:rPr>
        <w:t>lead</w:t>
      </w:r>
      <w:r>
        <w:rPr>
          <w:spacing w:val="-5"/>
          <w:sz w:val="20"/>
        </w:rPr>
        <w:t> </w:t>
      </w:r>
      <w:r>
        <w:rPr>
          <w:sz w:val="20"/>
        </w:rPr>
        <w:t>tax</w:t>
      </w:r>
      <w:r>
        <w:rPr>
          <w:spacing w:val="-5"/>
          <w:sz w:val="20"/>
        </w:rPr>
        <w:t> </w:t>
      </w:r>
      <w:r>
        <w:rPr>
          <w:sz w:val="20"/>
        </w:rPr>
        <w:t>administration</w:t>
      </w:r>
      <w:r>
        <w:rPr>
          <w:spacing w:val="-2"/>
          <w:sz w:val="20"/>
        </w:rPr>
        <w:t> </w:t>
      </w:r>
      <w:r>
        <w:rPr>
          <w:sz w:val="20"/>
        </w:rPr>
        <w:t>will</w:t>
      </w:r>
      <w:r>
        <w:rPr>
          <w:spacing w:val="-5"/>
          <w:sz w:val="20"/>
        </w:rPr>
        <w:t> </w:t>
      </w:r>
      <w:r>
        <w:rPr>
          <w:sz w:val="20"/>
        </w:rPr>
        <w:t>invite</w:t>
      </w:r>
      <w:r>
        <w:rPr>
          <w:spacing w:val="-2"/>
          <w:sz w:val="20"/>
        </w:rPr>
        <w:t> </w:t>
      </w:r>
      <w:r>
        <w:rPr>
          <w:sz w:val="20"/>
        </w:rPr>
        <w:t>the</w:t>
      </w:r>
      <w:r>
        <w:rPr>
          <w:spacing w:val="-7"/>
          <w:sz w:val="20"/>
        </w:rPr>
        <w:t> </w:t>
      </w:r>
      <w:r>
        <w:rPr>
          <w:sz w:val="20"/>
        </w:rPr>
        <w:t>co-ordinating</w:t>
      </w:r>
      <w:r>
        <w:rPr>
          <w:spacing w:val="-5"/>
          <w:sz w:val="20"/>
        </w:rPr>
        <w:t> </w:t>
      </w:r>
      <w:r>
        <w:rPr>
          <w:sz w:val="20"/>
        </w:rPr>
        <w:t>entity</w:t>
      </w:r>
      <w:r>
        <w:rPr>
          <w:spacing w:val="-9"/>
          <w:sz w:val="20"/>
        </w:rPr>
        <w:t> </w:t>
      </w:r>
      <w:r>
        <w:rPr>
          <w:sz w:val="20"/>
        </w:rPr>
        <w:t>of</w:t>
      </w:r>
      <w:r>
        <w:rPr>
          <w:spacing w:val="-5"/>
          <w:sz w:val="20"/>
        </w:rPr>
        <w:t> </w:t>
      </w:r>
      <w:r>
        <w:rPr>
          <w:sz w:val="20"/>
        </w:rPr>
        <w:t>the</w:t>
      </w:r>
      <w:r>
        <w:rPr>
          <w:spacing w:val="-5"/>
          <w:sz w:val="20"/>
        </w:rPr>
        <w:t> </w:t>
      </w:r>
      <w:r>
        <w:rPr>
          <w:sz w:val="20"/>
        </w:rPr>
        <w:t>MNE</w:t>
      </w:r>
      <w:r>
        <w:rPr>
          <w:spacing w:val="-5"/>
          <w:sz w:val="20"/>
        </w:rPr>
        <w:t> </w:t>
      </w:r>
      <w:r>
        <w:rPr>
          <w:sz w:val="20"/>
        </w:rPr>
        <w:t>group</w:t>
      </w:r>
      <w:r>
        <w:rPr>
          <w:spacing w:val="-6"/>
          <w:sz w:val="20"/>
        </w:rPr>
        <w:t> </w:t>
      </w:r>
      <w:r>
        <w:rPr>
          <w:sz w:val="20"/>
        </w:rPr>
        <w:t>to</w:t>
      </w:r>
      <w:r>
        <w:rPr>
          <w:spacing w:val="-7"/>
          <w:sz w:val="20"/>
        </w:rPr>
        <w:t> </w:t>
      </w:r>
      <w:r>
        <w:rPr>
          <w:sz w:val="20"/>
        </w:rPr>
        <w:t>accept the outcomes of this process. If it does, the outcome becomes similarly binding. If, as a result of further work</w:t>
      </w:r>
      <w:r>
        <w:rPr>
          <w:spacing w:val="-3"/>
          <w:sz w:val="20"/>
        </w:rPr>
        <w:t> </w:t>
      </w:r>
      <w:r>
        <w:rPr>
          <w:sz w:val="20"/>
        </w:rPr>
        <w:t>to</w:t>
      </w:r>
      <w:r>
        <w:rPr>
          <w:spacing w:val="-7"/>
          <w:sz w:val="20"/>
        </w:rPr>
        <w:t> </w:t>
      </w:r>
      <w:r>
        <w:rPr>
          <w:sz w:val="20"/>
        </w:rPr>
        <w:t>be</w:t>
      </w:r>
      <w:r>
        <w:rPr>
          <w:spacing w:val="-6"/>
          <w:sz w:val="20"/>
        </w:rPr>
        <w:t> </w:t>
      </w:r>
      <w:r>
        <w:rPr>
          <w:sz w:val="20"/>
        </w:rPr>
        <w:t>conducted,</w:t>
      </w:r>
      <w:r>
        <w:rPr>
          <w:spacing w:val="-3"/>
          <w:sz w:val="20"/>
        </w:rPr>
        <w:t> </w:t>
      </w:r>
      <w:r>
        <w:rPr>
          <w:sz w:val="20"/>
        </w:rPr>
        <w:t>it</w:t>
      </w:r>
      <w:r>
        <w:rPr>
          <w:spacing w:val="-3"/>
          <w:sz w:val="20"/>
        </w:rPr>
        <w:t> </w:t>
      </w:r>
      <w:r>
        <w:rPr>
          <w:sz w:val="20"/>
        </w:rPr>
        <w:t>is</w:t>
      </w:r>
      <w:r>
        <w:rPr>
          <w:spacing w:val="-5"/>
          <w:sz w:val="20"/>
        </w:rPr>
        <w:t> </w:t>
      </w:r>
      <w:r>
        <w:rPr>
          <w:sz w:val="20"/>
        </w:rPr>
        <w:t>agreed</w:t>
      </w:r>
      <w:r>
        <w:rPr>
          <w:spacing w:val="-7"/>
          <w:sz w:val="20"/>
        </w:rPr>
        <w:t> </w:t>
      </w:r>
      <w:r>
        <w:rPr>
          <w:sz w:val="20"/>
        </w:rPr>
        <w:t>that</w:t>
      </w:r>
      <w:r>
        <w:rPr>
          <w:spacing w:val="-5"/>
          <w:sz w:val="20"/>
        </w:rPr>
        <w:t> </w:t>
      </w:r>
      <w:r>
        <w:rPr>
          <w:sz w:val="20"/>
        </w:rPr>
        <w:t>a</w:t>
      </w:r>
      <w:r>
        <w:rPr>
          <w:spacing w:val="-5"/>
          <w:sz w:val="20"/>
        </w:rPr>
        <w:t> </w:t>
      </w:r>
      <w:r>
        <w:rPr>
          <w:sz w:val="20"/>
        </w:rPr>
        <w:t>case</w:t>
      </w:r>
      <w:r>
        <w:rPr>
          <w:spacing w:val="-3"/>
          <w:sz w:val="20"/>
        </w:rPr>
        <w:t> </w:t>
      </w:r>
      <w:r>
        <w:rPr>
          <w:sz w:val="20"/>
        </w:rPr>
        <w:t>will</w:t>
      </w:r>
      <w:r>
        <w:rPr>
          <w:spacing w:val="-7"/>
          <w:sz w:val="20"/>
        </w:rPr>
        <w:t> </w:t>
      </w:r>
      <w:r>
        <w:rPr>
          <w:sz w:val="20"/>
        </w:rPr>
        <w:t>only</w:t>
      </w:r>
      <w:r>
        <w:rPr>
          <w:spacing w:val="-6"/>
          <w:sz w:val="20"/>
        </w:rPr>
        <w:t> </w:t>
      </w:r>
      <w:r>
        <w:rPr>
          <w:sz w:val="20"/>
        </w:rPr>
        <w:t>progress</w:t>
      </w:r>
      <w:r>
        <w:rPr>
          <w:spacing w:val="-5"/>
          <w:sz w:val="20"/>
        </w:rPr>
        <w:t> </w:t>
      </w:r>
      <w:r>
        <w:rPr>
          <w:sz w:val="20"/>
        </w:rPr>
        <w:t>to</w:t>
      </w:r>
      <w:r>
        <w:rPr>
          <w:spacing w:val="-6"/>
          <w:sz w:val="20"/>
        </w:rPr>
        <w:t> </w:t>
      </w:r>
      <w:r>
        <w:rPr>
          <w:sz w:val="20"/>
        </w:rPr>
        <w:t>a</w:t>
      </w:r>
      <w:r>
        <w:rPr>
          <w:spacing w:val="-4"/>
          <w:sz w:val="20"/>
        </w:rPr>
        <w:t> </w:t>
      </w:r>
      <w:r>
        <w:rPr>
          <w:sz w:val="20"/>
        </w:rPr>
        <w:t>determination</w:t>
      </w:r>
      <w:r>
        <w:rPr>
          <w:spacing w:val="-5"/>
          <w:sz w:val="20"/>
        </w:rPr>
        <w:t> </w:t>
      </w:r>
      <w:r>
        <w:rPr>
          <w:sz w:val="20"/>
        </w:rPr>
        <w:t>panel</w:t>
      </w:r>
      <w:r>
        <w:rPr>
          <w:spacing w:val="-6"/>
          <w:sz w:val="20"/>
        </w:rPr>
        <w:t> </w:t>
      </w:r>
      <w:r>
        <w:rPr>
          <w:sz w:val="20"/>
        </w:rPr>
        <w:t>stage</w:t>
      </w:r>
      <w:r>
        <w:rPr>
          <w:spacing w:val="-5"/>
          <w:sz w:val="20"/>
        </w:rPr>
        <w:t> </w:t>
      </w:r>
      <w:r>
        <w:rPr>
          <w:sz w:val="20"/>
        </w:rPr>
        <w:t>if</w:t>
      </w:r>
      <w:r>
        <w:rPr>
          <w:spacing w:val="-3"/>
          <w:sz w:val="20"/>
        </w:rPr>
        <w:t> </w:t>
      </w:r>
      <w:r>
        <w:rPr>
          <w:sz w:val="20"/>
        </w:rPr>
        <w:t>the</w:t>
      </w:r>
      <w:r>
        <w:rPr>
          <w:spacing w:val="-7"/>
          <w:sz w:val="20"/>
        </w:rPr>
        <w:t> </w:t>
      </w:r>
      <w:r>
        <w:rPr>
          <w:sz w:val="20"/>
        </w:rPr>
        <w:t>MNE group commits to being bound by the panel’s decision, then the determination panel’s conclusions will be binding in all</w:t>
      </w:r>
      <w:r>
        <w:rPr>
          <w:spacing w:val="-5"/>
          <w:sz w:val="20"/>
        </w:rPr>
        <w:t> </w:t>
      </w:r>
      <w:r>
        <w:rPr>
          <w:sz w:val="20"/>
        </w:rPr>
        <w:t>cases.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Work will be undertaken to develop a control framework for </w:t>
      </w:r>
      <w:r>
        <w:rPr>
          <w:spacing w:val="2"/>
          <w:sz w:val="20"/>
        </w:rPr>
        <w:t>the </w:t>
      </w:r>
      <w:r>
        <w:rPr>
          <w:sz w:val="20"/>
        </w:rPr>
        <w:t>determination panel, setting out specific rules for the determination of the Chair and panel members, and procedures for undertaking a review</w:t>
      </w:r>
      <w:r>
        <w:rPr>
          <w:spacing w:val="-9"/>
          <w:sz w:val="20"/>
        </w:rPr>
        <w:t> </w:t>
      </w:r>
      <w:r>
        <w:rPr>
          <w:sz w:val="20"/>
        </w:rPr>
        <w:t>and</w:t>
      </w:r>
      <w:r>
        <w:rPr>
          <w:spacing w:val="-7"/>
          <w:sz w:val="20"/>
        </w:rPr>
        <w:t> </w:t>
      </w:r>
      <w:r>
        <w:rPr>
          <w:sz w:val="20"/>
        </w:rPr>
        <w:t>reaching</w:t>
      </w:r>
      <w:r>
        <w:rPr>
          <w:spacing w:val="-5"/>
          <w:sz w:val="20"/>
        </w:rPr>
        <w:t> </w:t>
      </w:r>
      <w:r>
        <w:rPr>
          <w:sz w:val="20"/>
        </w:rPr>
        <w:t>decisions.</w:t>
      </w:r>
      <w:r>
        <w:rPr>
          <w:spacing w:val="-4"/>
          <w:sz w:val="20"/>
        </w:rPr>
        <w:t> </w:t>
      </w:r>
      <w:r>
        <w:rPr>
          <w:sz w:val="20"/>
        </w:rPr>
        <w:t>This</w:t>
      </w:r>
      <w:r>
        <w:rPr>
          <w:spacing w:val="-5"/>
          <w:sz w:val="20"/>
        </w:rPr>
        <w:t> </w:t>
      </w:r>
      <w:r>
        <w:rPr>
          <w:sz w:val="20"/>
        </w:rPr>
        <w:t>may</w:t>
      </w:r>
      <w:r>
        <w:rPr>
          <w:spacing w:val="-9"/>
          <w:sz w:val="20"/>
        </w:rPr>
        <w:t> </w:t>
      </w:r>
      <w:r>
        <w:rPr>
          <w:sz w:val="20"/>
        </w:rPr>
        <w:t>also</w:t>
      </w:r>
      <w:r>
        <w:rPr>
          <w:spacing w:val="-5"/>
          <w:sz w:val="20"/>
        </w:rPr>
        <w:t> </w:t>
      </w:r>
      <w:r>
        <w:rPr>
          <w:sz w:val="20"/>
        </w:rPr>
        <w:t>include</w:t>
      </w:r>
      <w:r>
        <w:rPr>
          <w:spacing w:val="-2"/>
          <w:sz w:val="20"/>
        </w:rPr>
        <w:t> </w:t>
      </w:r>
      <w:r>
        <w:rPr>
          <w:sz w:val="20"/>
        </w:rPr>
        <w:t>the</w:t>
      </w:r>
      <w:r>
        <w:rPr>
          <w:spacing w:val="-8"/>
          <w:sz w:val="20"/>
        </w:rPr>
        <w:t> </w:t>
      </w:r>
      <w:r>
        <w:rPr>
          <w:sz w:val="20"/>
        </w:rPr>
        <w:t>development</w:t>
      </w:r>
      <w:r>
        <w:rPr>
          <w:spacing w:val="-6"/>
          <w:sz w:val="20"/>
        </w:rPr>
        <w:t> </w:t>
      </w:r>
      <w:r>
        <w:rPr>
          <w:sz w:val="20"/>
        </w:rPr>
        <w:t>of</w:t>
      </w:r>
      <w:r>
        <w:rPr>
          <w:spacing w:val="-5"/>
          <w:sz w:val="20"/>
        </w:rPr>
        <w:t> </w:t>
      </w:r>
      <w:r>
        <w:rPr>
          <w:sz w:val="20"/>
        </w:rPr>
        <w:t>guidance</w:t>
      </w:r>
      <w:r>
        <w:rPr>
          <w:spacing w:val="-8"/>
          <w:sz w:val="20"/>
        </w:rPr>
        <w:t> </w:t>
      </w:r>
      <w:r>
        <w:rPr>
          <w:sz w:val="20"/>
        </w:rPr>
        <w:t>as</w:t>
      </w:r>
      <w:r>
        <w:rPr>
          <w:spacing w:val="-6"/>
          <w:sz w:val="20"/>
        </w:rPr>
        <w:t> </w:t>
      </w:r>
      <w:r>
        <w:rPr>
          <w:sz w:val="20"/>
        </w:rPr>
        <w:t>needed,</w:t>
      </w:r>
      <w:r>
        <w:rPr>
          <w:spacing w:val="-6"/>
          <w:sz w:val="20"/>
        </w:rPr>
        <w:t> </w:t>
      </w:r>
      <w:r>
        <w:rPr>
          <w:sz w:val="20"/>
        </w:rPr>
        <w:t>supported by</w:t>
      </w:r>
      <w:r>
        <w:rPr>
          <w:spacing w:val="-18"/>
          <w:sz w:val="20"/>
        </w:rPr>
        <w:t> </w:t>
      </w:r>
      <w:r>
        <w:rPr>
          <w:sz w:val="20"/>
        </w:rPr>
        <w:t>the</w:t>
      </w:r>
      <w:r>
        <w:rPr>
          <w:spacing w:val="-12"/>
          <w:sz w:val="20"/>
        </w:rPr>
        <w:t> </w:t>
      </w:r>
      <w:r>
        <w:rPr>
          <w:sz w:val="20"/>
        </w:rPr>
        <w:t>secretariat,</w:t>
      </w:r>
      <w:r>
        <w:rPr>
          <w:spacing w:val="-14"/>
          <w:sz w:val="20"/>
        </w:rPr>
        <w:t> </w:t>
      </w:r>
      <w:r>
        <w:rPr>
          <w:sz w:val="20"/>
        </w:rPr>
        <w:t>to</w:t>
      </w:r>
      <w:r>
        <w:rPr>
          <w:spacing w:val="-15"/>
          <w:sz w:val="20"/>
        </w:rPr>
        <w:t> </w:t>
      </w:r>
      <w:r>
        <w:rPr>
          <w:sz w:val="20"/>
        </w:rPr>
        <w:t>promote</w:t>
      </w:r>
      <w:r>
        <w:rPr>
          <w:spacing w:val="-14"/>
          <w:sz w:val="20"/>
        </w:rPr>
        <w:t> </w:t>
      </w:r>
      <w:r>
        <w:rPr>
          <w:sz w:val="20"/>
        </w:rPr>
        <w:t>consistency</w:t>
      </w:r>
      <w:r>
        <w:rPr>
          <w:spacing w:val="-15"/>
          <w:sz w:val="20"/>
        </w:rPr>
        <w:t> </w:t>
      </w:r>
      <w:r>
        <w:rPr>
          <w:sz w:val="20"/>
        </w:rPr>
        <w:t>in</w:t>
      </w:r>
      <w:r>
        <w:rPr>
          <w:spacing w:val="-13"/>
          <w:sz w:val="20"/>
        </w:rPr>
        <w:t> </w:t>
      </w:r>
      <w:r>
        <w:rPr>
          <w:sz w:val="20"/>
        </w:rPr>
        <w:t>the</w:t>
      </w:r>
      <w:r>
        <w:rPr>
          <w:spacing w:val="-10"/>
          <w:sz w:val="20"/>
        </w:rPr>
        <w:t> </w:t>
      </w:r>
      <w:r>
        <w:rPr>
          <w:sz w:val="20"/>
        </w:rPr>
        <w:t>decisions</w:t>
      </w:r>
      <w:r>
        <w:rPr>
          <w:spacing w:val="-14"/>
          <w:sz w:val="20"/>
        </w:rPr>
        <w:t> </w:t>
      </w:r>
      <w:r>
        <w:rPr>
          <w:sz w:val="20"/>
        </w:rPr>
        <w:t>of</w:t>
      </w:r>
      <w:r>
        <w:rPr>
          <w:spacing w:val="-12"/>
          <w:sz w:val="20"/>
        </w:rPr>
        <w:t> </w:t>
      </w:r>
      <w:r>
        <w:rPr>
          <w:sz w:val="20"/>
        </w:rPr>
        <w:t>later</w:t>
      </w:r>
      <w:r>
        <w:rPr>
          <w:spacing w:val="-13"/>
          <w:sz w:val="20"/>
        </w:rPr>
        <w:t> </w:t>
      </w:r>
      <w:r>
        <w:rPr>
          <w:sz w:val="20"/>
        </w:rPr>
        <w:t>determination</w:t>
      </w:r>
      <w:r>
        <w:rPr>
          <w:spacing w:val="-15"/>
          <w:sz w:val="20"/>
        </w:rPr>
        <w:t> </w:t>
      </w:r>
      <w:r>
        <w:rPr>
          <w:sz w:val="20"/>
        </w:rPr>
        <w:t>panels</w:t>
      </w:r>
      <w:r>
        <w:rPr>
          <w:spacing w:val="-8"/>
          <w:sz w:val="20"/>
        </w:rPr>
        <w:t> </w:t>
      </w:r>
      <w:r>
        <w:rPr>
          <w:sz w:val="20"/>
        </w:rPr>
        <w:t>considering</w:t>
      </w:r>
      <w:r>
        <w:rPr>
          <w:spacing w:val="-13"/>
          <w:sz w:val="20"/>
        </w:rPr>
        <w:t> </w:t>
      </w:r>
      <w:r>
        <w:rPr>
          <w:sz w:val="20"/>
        </w:rPr>
        <w:t>similar issues. This guidance may also be made available to tax administrations for use in conducting panel reviews</w:t>
      </w:r>
      <w:r>
        <w:rPr>
          <w:spacing w:val="-8"/>
          <w:sz w:val="20"/>
        </w:rPr>
        <w:t> </w:t>
      </w:r>
      <w:r>
        <w:rPr>
          <w:sz w:val="20"/>
        </w:rPr>
        <w:t>and,</w:t>
      </w:r>
      <w:r>
        <w:rPr>
          <w:spacing w:val="-4"/>
          <w:sz w:val="20"/>
        </w:rPr>
        <w:t> </w:t>
      </w:r>
      <w:r>
        <w:rPr>
          <w:sz w:val="20"/>
        </w:rPr>
        <w:t>where</w:t>
      </w:r>
      <w:r>
        <w:rPr>
          <w:spacing w:val="-9"/>
          <w:sz w:val="20"/>
        </w:rPr>
        <w:t> </w:t>
      </w:r>
      <w:r>
        <w:rPr>
          <w:sz w:val="20"/>
        </w:rPr>
        <w:t>appropriate,</w:t>
      </w:r>
      <w:r>
        <w:rPr>
          <w:spacing w:val="-9"/>
          <w:sz w:val="20"/>
        </w:rPr>
        <w:t> </w:t>
      </w:r>
      <w:r>
        <w:rPr>
          <w:sz w:val="20"/>
        </w:rPr>
        <w:t>to</w:t>
      </w:r>
      <w:r>
        <w:rPr>
          <w:spacing w:val="-7"/>
          <w:sz w:val="20"/>
        </w:rPr>
        <w:t> </w:t>
      </w:r>
      <w:r>
        <w:rPr>
          <w:sz w:val="20"/>
        </w:rPr>
        <w:t>MNE</w:t>
      </w:r>
      <w:r>
        <w:rPr>
          <w:spacing w:val="-7"/>
          <w:sz w:val="20"/>
        </w:rPr>
        <w:t> </w:t>
      </w:r>
      <w:r>
        <w:rPr>
          <w:sz w:val="20"/>
        </w:rPr>
        <w:t>groups</w:t>
      </w:r>
      <w:r>
        <w:rPr>
          <w:spacing w:val="-8"/>
          <w:sz w:val="20"/>
        </w:rPr>
        <w:t> </w:t>
      </w:r>
      <w:r>
        <w:rPr>
          <w:sz w:val="20"/>
        </w:rPr>
        <w:t>for</w:t>
      </w:r>
      <w:r>
        <w:rPr>
          <w:spacing w:val="-8"/>
          <w:sz w:val="20"/>
        </w:rPr>
        <w:t> </w:t>
      </w:r>
      <w:r>
        <w:rPr>
          <w:sz w:val="20"/>
        </w:rPr>
        <w:t>use</w:t>
      </w:r>
      <w:r>
        <w:rPr>
          <w:spacing w:val="-7"/>
          <w:sz w:val="20"/>
        </w:rPr>
        <w:t> </w:t>
      </w:r>
      <w:r>
        <w:rPr>
          <w:sz w:val="20"/>
        </w:rPr>
        <w:t>in</w:t>
      </w:r>
      <w:r>
        <w:rPr>
          <w:spacing w:val="-7"/>
          <w:sz w:val="20"/>
        </w:rPr>
        <w:t> </w:t>
      </w:r>
      <w:r>
        <w:rPr>
          <w:sz w:val="20"/>
        </w:rPr>
        <w:t>preparing</w:t>
      </w:r>
      <w:r>
        <w:rPr>
          <w:spacing w:val="-6"/>
          <w:sz w:val="20"/>
        </w:rPr>
        <w:t> </w:t>
      </w:r>
      <w:r>
        <w:rPr>
          <w:sz w:val="20"/>
        </w:rPr>
        <w:t>an</w:t>
      </w:r>
      <w:r>
        <w:rPr>
          <w:spacing w:val="-7"/>
          <w:sz w:val="20"/>
        </w:rPr>
        <w:t> </w:t>
      </w:r>
      <w:r>
        <w:rPr>
          <w:sz w:val="20"/>
        </w:rPr>
        <w:t>Amount</w:t>
      </w:r>
      <w:r>
        <w:rPr>
          <w:spacing w:val="-7"/>
          <w:sz w:val="20"/>
        </w:rPr>
        <w:t> </w:t>
      </w:r>
      <w:r>
        <w:rPr>
          <w:sz w:val="20"/>
        </w:rPr>
        <w:t>A</w:t>
      </w:r>
      <w:r>
        <w:rPr>
          <w:spacing w:val="-8"/>
          <w:sz w:val="20"/>
        </w:rPr>
        <w:t> </w:t>
      </w:r>
      <w:r>
        <w:rPr>
          <w:sz w:val="20"/>
        </w:rPr>
        <w:t>self-assessment</w:t>
      </w:r>
      <w:r>
        <w:rPr>
          <w:spacing w:val="-8"/>
          <w:sz w:val="20"/>
        </w:rPr>
        <w:t> </w:t>
      </w:r>
      <w:r>
        <w:rPr>
          <w:sz w:val="20"/>
        </w:rPr>
        <w:t>return. This should facilitate reviews being completed more quickly and reduce the need for questions to be referred to a determination panel which concern issues that have been dealt with</w:t>
      </w:r>
      <w:r>
        <w:rPr>
          <w:spacing w:val="-18"/>
          <w:sz w:val="20"/>
        </w:rPr>
        <w:t> </w:t>
      </w:r>
      <w:r>
        <w:rPr>
          <w:sz w:val="20"/>
        </w:rPr>
        <w:t>previously.</w:t>
      </w:r>
    </w:p>
    <w:p>
      <w:pPr>
        <w:pStyle w:val="BodyText"/>
        <w:spacing w:before="7"/>
        <w:rPr>
          <w:sz w:val="23"/>
        </w:rPr>
      </w:pPr>
    </w:p>
    <w:p>
      <w:pPr>
        <w:pStyle w:val="Heading6"/>
        <w:numPr>
          <w:ilvl w:val="2"/>
          <w:numId w:val="81"/>
        </w:numPr>
        <w:tabs>
          <w:tab w:pos="2015" w:val="left" w:leader="none"/>
        </w:tabs>
        <w:spacing w:line="240" w:lineRule="auto" w:before="0" w:after="0"/>
        <w:ind w:left="2014" w:right="0" w:hanging="613"/>
        <w:jc w:val="left"/>
        <w:rPr>
          <w:i/>
        </w:rPr>
      </w:pPr>
      <w:bookmarkStart w:name="9.2.6. Cases where an MNE group does not" w:id="441"/>
      <w:bookmarkEnd w:id="441"/>
      <w:r>
        <w:rPr>
          <w:b w:val="0"/>
          <w:i w:val="0"/>
        </w:rPr>
      </w:r>
      <w:bookmarkStart w:name="9.2.6. Cases where an MNE group does not" w:id="442"/>
      <w:bookmarkEnd w:id="442"/>
      <w:r>
        <w:rPr>
          <w:i/>
        </w:rPr>
        <w:t>C</w:t>
      </w:r>
      <w:r>
        <w:rPr>
          <w:i/>
        </w:rPr>
        <w:t>ases where an MNE group does not accept a panel</w:t>
      </w:r>
      <w:r>
        <w:rPr>
          <w:i/>
          <w:spacing w:val="-12"/>
        </w:rPr>
        <w:t> </w:t>
      </w:r>
      <w:r>
        <w:rPr>
          <w:i/>
        </w:rPr>
        <w:t>conclusion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If an MNE group does not agree with the recommendations of the review panel (including any adjustments agreed by the panel based on objections raised by other tax administrations) or the conclusions of the determination panel, as appropriate, it may withdraw its request for early certainty (unless</w:t>
      </w:r>
      <w:r>
        <w:rPr>
          <w:spacing w:val="-15"/>
          <w:sz w:val="20"/>
        </w:rPr>
        <w:t> </w:t>
      </w:r>
      <w:r>
        <w:rPr>
          <w:sz w:val="20"/>
        </w:rPr>
        <w:t>the</w:t>
      </w:r>
      <w:r>
        <w:rPr>
          <w:spacing w:val="-13"/>
          <w:sz w:val="20"/>
        </w:rPr>
        <w:t> </w:t>
      </w:r>
      <w:r>
        <w:rPr>
          <w:sz w:val="20"/>
        </w:rPr>
        <w:t>MNE</w:t>
      </w:r>
      <w:r>
        <w:rPr>
          <w:spacing w:val="-15"/>
          <w:sz w:val="20"/>
        </w:rPr>
        <w:t> </w:t>
      </w:r>
      <w:r>
        <w:rPr>
          <w:sz w:val="20"/>
        </w:rPr>
        <w:t>agrees</w:t>
      </w:r>
      <w:r>
        <w:rPr>
          <w:spacing w:val="-14"/>
          <w:sz w:val="20"/>
        </w:rPr>
        <w:t> </w:t>
      </w:r>
      <w:r>
        <w:rPr>
          <w:sz w:val="20"/>
        </w:rPr>
        <w:t>in</w:t>
      </w:r>
      <w:r>
        <w:rPr>
          <w:spacing w:val="-14"/>
          <w:sz w:val="20"/>
        </w:rPr>
        <w:t> </w:t>
      </w:r>
      <w:r>
        <w:rPr>
          <w:sz w:val="20"/>
        </w:rPr>
        <w:t>advance</w:t>
      </w:r>
      <w:r>
        <w:rPr>
          <w:spacing w:val="-13"/>
          <w:sz w:val="20"/>
        </w:rPr>
        <w:t> </w:t>
      </w:r>
      <w:r>
        <w:rPr>
          <w:sz w:val="20"/>
        </w:rPr>
        <w:t>to</w:t>
      </w:r>
      <w:r>
        <w:rPr>
          <w:spacing w:val="-14"/>
          <w:sz w:val="20"/>
        </w:rPr>
        <w:t> </w:t>
      </w:r>
      <w:r>
        <w:rPr>
          <w:sz w:val="20"/>
        </w:rPr>
        <w:t>being</w:t>
      </w:r>
      <w:r>
        <w:rPr>
          <w:spacing w:val="-13"/>
          <w:sz w:val="20"/>
        </w:rPr>
        <w:t> </w:t>
      </w:r>
      <w:r>
        <w:rPr>
          <w:sz w:val="20"/>
        </w:rPr>
        <w:t>bound</w:t>
      </w:r>
      <w:r>
        <w:rPr>
          <w:spacing w:val="-13"/>
          <w:sz w:val="20"/>
        </w:rPr>
        <w:t> </w:t>
      </w:r>
      <w:r>
        <w:rPr>
          <w:sz w:val="20"/>
        </w:rPr>
        <w:t>by</w:t>
      </w:r>
      <w:r>
        <w:rPr>
          <w:spacing w:val="-19"/>
          <w:sz w:val="20"/>
        </w:rPr>
        <w:t> </w:t>
      </w:r>
      <w:r>
        <w:rPr>
          <w:sz w:val="20"/>
        </w:rPr>
        <w:t>the</w:t>
      </w:r>
      <w:r>
        <w:rPr>
          <w:spacing w:val="-16"/>
          <w:sz w:val="20"/>
        </w:rPr>
        <w:t> </w:t>
      </w:r>
      <w:r>
        <w:rPr>
          <w:sz w:val="20"/>
        </w:rPr>
        <w:t>determination</w:t>
      </w:r>
      <w:r>
        <w:rPr>
          <w:spacing w:val="-13"/>
          <w:sz w:val="20"/>
        </w:rPr>
        <w:t> </w:t>
      </w:r>
      <w:r>
        <w:rPr>
          <w:sz w:val="20"/>
        </w:rPr>
        <w:t>panel’s</w:t>
      </w:r>
      <w:r>
        <w:rPr>
          <w:spacing w:val="-15"/>
          <w:sz w:val="20"/>
        </w:rPr>
        <w:t> </w:t>
      </w:r>
      <w:r>
        <w:rPr>
          <w:sz w:val="20"/>
        </w:rPr>
        <w:t>decision).</w:t>
      </w:r>
      <w:r>
        <w:rPr>
          <w:spacing w:val="-15"/>
          <w:sz w:val="20"/>
        </w:rPr>
        <w:t> </w:t>
      </w:r>
      <w:r>
        <w:rPr>
          <w:sz w:val="20"/>
        </w:rPr>
        <w:t>The</w:t>
      </w:r>
      <w:r>
        <w:rPr>
          <w:spacing w:val="-14"/>
          <w:sz w:val="20"/>
        </w:rPr>
        <w:t> </w:t>
      </w:r>
      <w:r>
        <w:rPr>
          <w:sz w:val="20"/>
        </w:rPr>
        <w:t>MNE</w:t>
      </w:r>
      <w:r>
        <w:rPr>
          <w:spacing w:val="-14"/>
          <w:sz w:val="20"/>
        </w:rPr>
        <w:t> </w:t>
      </w:r>
      <w:r>
        <w:rPr>
          <w:sz w:val="20"/>
        </w:rPr>
        <w:t>group may then rely on domestic procedures in each</w:t>
      </w:r>
      <w:r>
        <w:rPr>
          <w:spacing w:val="-11"/>
          <w:sz w:val="20"/>
        </w:rPr>
        <w:t> </w:t>
      </w:r>
      <w:r>
        <w:rPr>
          <w:sz w:val="20"/>
        </w:rPr>
        <w:t>jurisdiction.</w:t>
      </w:r>
    </w:p>
    <w:p>
      <w:pPr>
        <w:pStyle w:val="ListParagraph"/>
        <w:numPr>
          <w:ilvl w:val="0"/>
          <w:numId w:val="13"/>
        </w:numPr>
        <w:tabs>
          <w:tab w:pos="1444" w:val="left" w:leader="none"/>
        </w:tabs>
        <w:spacing w:line="271" w:lineRule="auto" w:before="122" w:after="0"/>
        <w:ind w:left="723" w:right="487" w:firstLine="0"/>
        <w:jc w:val="both"/>
        <w:rPr>
          <w:sz w:val="20"/>
        </w:rPr>
      </w:pPr>
      <w:r>
        <w:rPr>
          <w:sz w:val="20"/>
        </w:rPr>
        <w:t>The lead tax administration will inform affected tax administrations not on the panel that the MNE group</w:t>
      </w:r>
      <w:r>
        <w:rPr>
          <w:spacing w:val="-10"/>
          <w:sz w:val="20"/>
        </w:rPr>
        <w:t> </w:t>
      </w:r>
      <w:r>
        <w:rPr>
          <w:sz w:val="20"/>
        </w:rPr>
        <w:t>has</w:t>
      </w:r>
      <w:r>
        <w:rPr>
          <w:spacing w:val="-8"/>
          <w:sz w:val="20"/>
        </w:rPr>
        <w:t> </w:t>
      </w:r>
      <w:r>
        <w:rPr>
          <w:sz w:val="20"/>
        </w:rPr>
        <w:t>withdrawn</w:t>
      </w:r>
      <w:r>
        <w:rPr>
          <w:spacing w:val="-12"/>
          <w:sz w:val="20"/>
        </w:rPr>
        <w:t> </w:t>
      </w:r>
      <w:r>
        <w:rPr>
          <w:sz w:val="20"/>
        </w:rPr>
        <w:t>its</w:t>
      </w:r>
      <w:r>
        <w:rPr>
          <w:spacing w:val="-10"/>
          <w:sz w:val="20"/>
        </w:rPr>
        <w:t> </w:t>
      </w:r>
      <w:r>
        <w:rPr>
          <w:sz w:val="20"/>
        </w:rPr>
        <w:t>request</w:t>
      </w:r>
      <w:r>
        <w:rPr>
          <w:spacing w:val="-11"/>
          <w:sz w:val="20"/>
        </w:rPr>
        <w:t> </w:t>
      </w:r>
      <w:r>
        <w:rPr>
          <w:sz w:val="20"/>
        </w:rPr>
        <w:t>for</w:t>
      </w:r>
      <w:r>
        <w:rPr>
          <w:spacing w:val="-11"/>
          <w:sz w:val="20"/>
        </w:rPr>
        <w:t> </w:t>
      </w:r>
      <w:r>
        <w:rPr>
          <w:sz w:val="20"/>
        </w:rPr>
        <w:t>early</w:t>
      </w:r>
      <w:r>
        <w:rPr>
          <w:spacing w:val="-15"/>
          <w:sz w:val="20"/>
        </w:rPr>
        <w:t> </w:t>
      </w:r>
      <w:r>
        <w:rPr>
          <w:sz w:val="20"/>
        </w:rPr>
        <w:t>certainty.</w:t>
      </w:r>
      <w:r>
        <w:rPr>
          <w:spacing w:val="-10"/>
          <w:sz w:val="20"/>
        </w:rPr>
        <w:t> </w:t>
      </w:r>
      <w:r>
        <w:rPr>
          <w:sz w:val="20"/>
        </w:rPr>
        <w:t>It</w:t>
      </w:r>
      <w:r>
        <w:rPr>
          <w:spacing w:val="-9"/>
          <w:sz w:val="20"/>
        </w:rPr>
        <w:t> </w:t>
      </w:r>
      <w:r>
        <w:rPr>
          <w:sz w:val="20"/>
        </w:rPr>
        <w:t>will</w:t>
      </w:r>
      <w:r>
        <w:rPr>
          <w:spacing w:val="-12"/>
          <w:sz w:val="20"/>
        </w:rPr>
        <w:t> </w:t>
      </w:r>
      <w:r>
        <w:rPr>
          <w:sz w:val="20"/>
        </w:rPr>
        <w:t>also</w:t>
      </w:r>
      <w:r>
        <w:rPr>
          <w:spacing w:val="-10"/>
          <w:sz w:val="20"/>
        </w:rPr>
        <w:t> </w:t>
      </w:r>
      <w:r>
        <w:rPr>
          <w:sz w:val="20"/>
        </w:rPr>
        <w:t>provide</w:t>
      </w:r>
      <w:r>
        <w:rPr>
          <w:spacing w:val="-12"/>
          <w:sz w:val="20"/>
        </w:rPr>
        <w:t> </w:t>
      </w:r>
      <w:r>
        <w:rPr>
          <w:sz w:val="20"/>
        </w:rPr>
        <w:t>these</w:t>
      </w:r>
      <w:r>
        <w:rPr>
          <w:spacing w:val="-12"/>
          <w:sz w:val="20"/>
        </w:rPr>
        <w:t> </w:t>
      </w:r>
      <w:r>
        <w:rPr>
          <w:sz w:val="20"/>
        </w:rPr>
        <w:t>tax</w:t>
      </w:r>
      <w:r>
        <w:rPr>
          <w:spacing w:val="-11"/>
          <w:sz w:val="20"/>
        </w:rPr>
        <w:t> </w:t>
      </w:r>
      <w:r>
        <w:rPr>
          <w:sz w:val="20"/>
        </w:rPr>
        <w:t>administrations</w:t>
      </w:r>
      <w:r>
        <w:rPr>
          <w:spacing w:val="-9"/>
          <w:sz w:val="20"/>
        </w:rPr>
        <w:t> </w:t>
      </w:r>
      <w:r>
        <w:rPr>
          <w:sz w:val="20"/>
        </w:rPr>
        <w:t>with</w:t>
      </w:r>
      <w:r>
        <w:rPr>
          <w:spacing w:val="-12"/>
          <w:sz w:val="20"/>
        </w:rPr>
        <w:t> </w:t>
      </w:r>
      <w:r>
        <w:rPr>
          <w:sz w:val="20"/>
        </w:rPr>
        <w:t>a</w:t>
      </w:r>
      <w:r>
        <w:rPr>
          <w:spacing w:val="-12"/>
          <w:sz w:val="20"/>
        </w:rPr>
        <w:t> </w:t>
      </w:r>
      <w:r>
        <w:rPr>
          <w:sz w:val="20"/>
        </w:rPr>
        <w:t>copy of</w:t>
      </w:r>
      <w:r>
        <w:rPr>
          <w:spacing w:val="-13"/>
          <w:sz w:val="20"/>
        </w:rPr>
        <w:t> </w:t>
      </w:r>
      <w:r>
        <w:rPr>
          <w:sz w:val="20"/>
        </w:rPr>
        <w:t>the</w:t>
      </w:r>
      <w:r>
        <w:rPr>
          <w:spacing w:val="-13"/>
          <w:sz w:val="20"/>
        </w:rPr>
        <w:t> </w:t>
      </w:r>
      <w:r>
        <w:rPr>
          <w:sz w:val="20"/>
        </w:rPr>
        <w:t>review</w:t>
      </w:r>
      <w:r>
        <w:rPr>
          <w:spacing w:val="-13"/>
          <w:sz w:val="20"/>
        </w:rPr>
        <w:t> </w:t>
      </w:r>
      <w:r>
        <w:rPr>
          <w:sz w:val="20"/>
        </w:rPr>
        <w:t>panel’s</w:t>
      </w:r>
      <w:r>
        <w:rPr>
          <w:spacing w:val="-12"/>
          <w:sz w:val="20"/>
        </w:rPr>
        <w:t> </w:t>
      </w:r>
      <w:r>
        <w:rPr>
          <w:sz w:val="20"/>
        </w:rPr>
        <w:t>recommendation</w:t>
      </w:r>
      <w:r>
        <w:rPr>
          <w:spacing w:val="-14"/>
          <w:sz w:val="20"/>
        </w:rPr>
        <w:t> </w:t>
      </w:r>
      <w:r>
        <w:rPr>
          <w:sz w:val="20"/>
        </w:rPr>
        <w:t>(if</w:t>
      </w:r>
      <w:r>
        <w:rPr>
          <w:spacing w:val="-11"/>
          <w:sz w:val="20"/>
        </w:rPr>
        <w:t> </w:t>
      </w:r>
      <w:r>
        <w:rPr>
          <w:sz w:val="20"/>
        </w:rPr>
        <w:t>the</w:t>
      </w:r>
      <w:r>
        <w:rPr>
          <w:spacing w:val="-9"/>
          <w:sz w:val="20"/>
        </w:rPr>
        <w:t> </w:t>
      </w:r>
      <w:r>
        <w:rPr>
          <w:sz w:val="20"/>
        </w:rPr>
        <w:t>MNE</w:t>
      </w:r>
      <w:r>
        <w:rPr>
          <w:spacing w:val="-12"/>
          <w:sz w:val="20"/>
        </w:rPr>
        <w:t> </w:t>
      </w:r>
      <w:r>
        <w:rPr>
          <w:sz w:val="20"/>
        </w:rPr>
        <w:t>group</w:t>
      </w:r>
      <w:r>
        <w:rPr>
          <w:spacing w:val="-14"/>
          <w:sz w:val="20"/>
        </w:rPr>
        <w:t> </w:t>
      </w:r>
      <w:r>
        <w:rPr>
          <w:sz w:val="20"/>
        </w:rPr>
        <w:t>did</w:t>
      </w:r>
      <w:r>
        <w:rPr>
          <w:spacing w:val="-13"/>
          <w:sz w:val="20"/>
        </w:rPr>
        <w:t> </w:t>
      </w:r>
      <w:r>
        <w:rPr>
          <w:sz w:val="20"/>
        </w:rPr>
        <w:t>not</w:t>
      </w:r>
      <w:r>
        <w:rPr>
          <w:spacing w:val="-14"/>
          <w:sz w:val="20"/>
        </w:rPr>
        <w:t> </w:t>
      </w:r>
      <w:r>
        <w:rPr>
          <w:sz w:val="20"/>
        </w:rPr>
        <w:t>agree</w:t>
      </w:r>
      <w:r>
        <w:rPr>
          <w:spacing w:val="-11"/>
          <w:sz w:val="20"/>
        </w:rPr>
        <w:t> </w:t>
      </w:r>
      <w:r>
        <w:rPr>
          <w:sz w:val="20"/>
        </w:rPr>
        <w:t>with</w:t>
      </w:r>
      <w:r>
        <w:rPr>
          <w:spacing w:val="-14"/>
          <w:sz w:val="20"/>
        </w:rPr>
        <w:t> </w:t>
      </w:r>
      <w:r>
        <w:rPr>
          <w:sz w:val="20"/>
        </w:rPr>
        <w:t>the</w:t>
      </w:r>
      <w:r>
        <w:rPr>
          <w:spacing w:val="-14"/>
          <w:sz w:val="20"/>
        </w:rPr>
        <w:t> </w:t>
      </w:r>
      <w:r>
        <w:rPr>
          <w:sz w:val="20"/>
        </w:rPr>
        <w:t>review</w:t>
      </w:r>
      <w:r>
        <w:rPr>
          <w:spacing w:val="-16"/>
          <w:sz w:val="20"/>
        </w:rPr>
        <w:t> </w:t>
      </w:r>
      <w:r>
        <w:rPr>
          <w:sz w:val="20"/>
        </w:rPr>
        <w:t>panel’s</w:t>
      </w:r>
      <w:r>
        <w:rPr>
          <w:spacing w:val="-12"/>
          <w:sz w:val="20"/>
        </w:rPr>
        <w:t> </w:t>
      </w:r>
      <w:r>
        <w:rPr>
          <w:sz w:val="20"/>
        </w:rPr>
        <w:t>conclusions) or with a copy of the determination panel’s conclusions (if the MNE group did not agree with these conclusions).</w:t>
      </w:r>
    </w:p>
    <w:p>
      <w:pPr>
        <w:pStyle w:val="ListParagraph"/>
        <w:numPr>
          <w:ilvl w:val="0"/>
          <w:numId w:val="13"/>
        </w:numPr>
        <w:tabs>
          <w:tab w:pos="1444" w:val="left" w:leader="none"/>
        </w:tabs>
        <w:spacing w:line="271" w:lineRule="auto" w:before="121" w:after="0"/>
        <w:ind w:left="723" w:right="480" w:firstLine="0"/>
        <w:jc w:val="both"/>
        <w:rPr>
          <w:sz w:val="20"/>
        </w:rPr>
      </w:pPr>
      <w:r>
        <w:rPr>
          <w:sz w:val="20"/>
        </w:rPr>
        <w:t>With respect to cases where an MNE group withdraws its request for tax certainty after a review panel recommendation has been agreed by all affected tax administrations or after a determination panel has completed its review, further discussions will be conducted to consider whether tax administrations should</w:t>
      </w:r>
      <w:r>
        <w:rPr>
          <w:spacing w:val="-12"/>
          <w:sz w:val="20"/>
        </w:rPr>
        <w:t> </w:t>
      </w:r>
      <w:r>
        <w:rPr>
          <w:sz w:val="20"/>
        </w:rPr>
        <w:t>still</w:t>
      </w:r>
      <w:r>
        <w:rPr>
          <w:spacing w:val="-12"/>
          <w:sz w:val="20"/>
        </w:rPr>
        <w:t> </w:t>
      </w:r>
      <w:r>
        <w:rPr>
          <w:sz w:val="20"/>
        </w:rPr>
        <w:t>be</w:t>
      </w:r>
      <w:r>
        <w:rPr>
          <w:spacing w:val="-12"/>
          <w:sz w:val="20"/>
        </w:rPr>
        <w:t> </w:t>
      </w:r>
      <w:r>
        <w:rPr>
          <w:sz w:val="20"/>
        </w:rPr>
        <w:t>bound</w:t>
      </w:r>
      <w:r>
        <w:rPr>
          <w:spacing w:val="-11"/>
          <w:sz w:val="20"/>
        </w:rPr>
        <w:t> </w:t>
      </w:r>
      <w:r>
        <w:rPr>
          <w:sz w:val="20"/>
        </w:rPr>
        <w:t>by</w:t>
      </w:r>
      <w:r>
        <w:rPr>
          <w:spacing w:val="-15"/>
          <w:sz w:val="20"/>
        </w:rPr>
        <w:t> </w:t>
      </w:r>
      <w:r>
        <w:rPr>
          <w:sz w:val="20"/>
        </w:rPr>
        <w:t>panel</w:t>
      </w:r>
      <w:r>
        <w:rPr>
          <w:spacing w:val="-11"/>
          <w:sz w:val="20"/>
        </w:rPr>
        <w:t> </w:t>
      </w:r>
      <w:r>
        <w:rPr>
          <w:sz w:val="20"/>
        </w:rPr>
        <w:t>conclusions.</w:t>
      </w:r>
      <w:r>
        <w:rPr>
          <w:spacing w:val="-10"/>
          <w:sz w:val="20"/>
        </w:rPr>
        <w:t> </w:t>
      </w:r>
      <w:r>
        <w:rPr>
          <w:sz w:val="20"/>
        </w:rPr>
        <w:t>As</w:t>
      </w:r>
      <w:r>
        <w:rPr>
          <w:spacing w:val="-10"/>
          <w:sz w:val="20"/>
        </w:rPr>
        <w:t> </w:t>
      </w:r>
      <w:r>
        <w:rPr>
          <w:sz w:val="20"/>
        </w:rPr>
        <w:t>the</w:t>
      </w:r>
      <w:r>
        <w:rPr>
          <w:spacing w:val="-12"/>
          <w:sz w:val="20"/>
        </w:rPr>
        <w:t> </w:t>
      </w:r>
      <w:r>
        <w:rPr>
          <w:sz w:val="20"/>
        </w:rPr>
        <w:t>MNE</w:t>
      </w:r>
      <w:r>
        <w:rPr>
          <w:spacing w:val="-12"/>
          <w:sz w:val="20"/>
        </w:rPr>
        <w:t> </w:t>
      </w:r>
      <w:r>
        <w:rPr>
          <w:sz w:val="20"/>
        </w:rPr>
        <w:t>group</w:t>
      </w:r>
      <w:r>
        <w:rPr>
          <w:spacing w:val="-11"/>
          <w:sz w:val="20"/>
        </w:rPr>
        <w:t> </w:t>
      </w:r>
      <w:r>
        <w:rPr>
          <w:sz w:val="20"/>
        </w:rPr>
        <w:t>has</w:t>
      </w:r>
      <w:r>
        <w:rPr>
          <w:spacing w:val="-10"/>
          <w:sz w:val="20"/>
        </w:rPr>
        <w:t> </w:t>
      </w:r>
      <w:r>
        <w:rPr>
          <w:sz w:val="20"/>
        </w:rPr>
        <w:t>withdrawn</w:t>
      </w:r>
      <w:r>
        <w:rPr>
          <w:spacing w:val="-12"/>
          <w:sz w:val="20"/>
        </w:rPr>
        <w:t> </w:t>
      </w:r>
      <w:r>
        <w:rPr>
          <w:sz w:val="20"/>
        </w:rPr>
        <w:t>its</w:t>
      </w:r>
      <w:r>
        <w:rPr>
          <w:spacing w:val="-10"/>
          <w:sz w:val="20"/>
        </w:rPr>
        <w:t> </w:t>
      </w:r>
      <w:r>
        <w:rPr>
          <w:sz w:val="20"/>
        </w:rPr>
        <w:t>request</w:t>
      </w:r>
      <w:r>
        <w:rPr>
          <w:spacing w:val="-10"/>
          <w:sz w:val="20"/>
        </w:rPr>
        <w:t> </w:t>
      </w:r>
      <w:r>
        <w:rPr>
          <w:sz w:val="20"/>
        </w:rPr>
        <w:t>for</w:t>
      </w:r>
      <w:r>
        <w:rPr>
          <w:spacing w:val="-11"/>
          <w:sz w:val="20"/>
        </w:rPr>
        <w:t> </w:t>
      </w:r>
      <w:r>
        <w:rPr>
          <w:sz w:val="20"/>
        </w:rPr>
        <w:t>early</w:t>
      </w:r>
      <w:r>
        <w:rPr>
          <w:spacing w:val="-15"/>
          <w:sz w:val="20"/>
        </w:rPr>
        <w:t> </w:t>
      </w:r>
      <w:r>
        <w:rPr>
          <w:sz w:val="20"/>
        </w:rPr>
        <w:t>certainty,</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2"/>
        <w:jc w:val="both"/>
      </w:pPr>
      <w:r>
        <w:rPr/>
        <w:t>it may be appropriate that tax administrations are also not bound by these conclusions. However, given they</w:t>
      </w:r>
      <w:r>
        <w:rPr>
          <w:spacing w:val="-12"/>
        </w:rPr>
        <w:t> </w:t>
      </w:r>
      <w:r>
        <w:rPr/>
        <w:t>reflect</w:t>
      </w:r>
      <w:r>
        <w:rPr>
          <w:spacing w:val="-6"/>
        </w:rPr>
        <w:t> </w:t>
      </w:r>
      <w:r>
        <w:rPr/>
        <w:t>an</w:t>
      </w:r>
      <w:r>
        <w:rPr>
          <w:spacing w:val="-7"/>
        </w:rPr>
        <w:t> </w:t>
      </w:r>
      <w:r>
        <w:rPr/>
        <w:t>approach</w:t>
      </w:r>
      <w:r>
        <w:rPr>
          <w:spacing w:val="-7"/>
        </w:rPr>
        <w:t> </w:t>
      </w:r>
      <w:r>
        <w:rPr/>
        <w:t>that</w:t>
      </w:r>
      <w:r>
        <w:rPr>
          <w:spacing w:val="-7"/>
        </w:rPr>
        <w:t> </w:t>
      </w:r>
      <w:r>
        <w:rPr/>
        <w:t>has</w:t>
      </w:r>
      <w:r>
        <w:rPr>
          <w:spacing w:val="-5"/>
        </w:rPr>
        <w:t> </w:t>
      </w:r>
      <w:r>
        <w:rPr/>
        <w:t>already</w:t>
      </w:r>
      <w:r>
        <w:rPr>
          <w:spacing w:val="-9"/>
        </w:rPr>
        <w:t> </w:t>
      </w:r>
      <w:r>
        <w:rPr/>
        <w:t>been</w:t>
      </w:r>
      <w:r>
        <w:rPr>
          <w:spacing w:val="-7"/>
        </w:rPr>
        <w:t> </w:t>
      </w:r>
      <w:r>
        <w:rPr/>
        <w:t>reviewed</w:t>
      </w:r>
      <w:r>
        <w:rPr>
          <w:spacing w:val="-7"/>
        </w:rPr>
        <w:t> </w:t>
      </w:r>
      <w:r>
        <w:rPr/>
        <w:t>and</w:t>
      </w:r>
      <w:r>
        <w:rPr>
          <w:spacing w:val="-1"/>
        </w:rPr>
        <w:t> </w:t>
      </w:r>
      <w:r>
        <w:rPr/>
        <w:t>that</w:t>
      </w:r>
      <w:r>
        <w:rPr>
          <w:spacing w:val="-5"/>
        </w:rPr>
        <w:t> </w:t>
      </w:r>
      <w:r>
        <w:rPr/>
        <w:t>would</w:t>
      </w:r>
      <w:r>
        <w:rPr>
          <w:spacing w:val="-7"/>
        </w:rPr>
        <w:t> </w:t>
      </w:r>
      <w:r>
        <w:rPr/>
        <w:t>determine</w:t>
      </w:r>
      <w:r>
        <w:rPr>
          <w:spacing w:val="-7"/>
        </w:rPr>
        <w:t> </w:t>
      </w:r>
      <w:r>
        <w:rPr/>
        <w:t>and</w:t>
      </w:r>
      <w:r>
        <w:rPr>
          <w:spacing w:val="-7"/>
        </w:rPr>
        <w:t> </w:t>
      </w:r>
      <w:r>
        <w:rPr/>
        <w:t>allocate</w:t>
      </w:r>
      <w:r>
        <w:rPr>
          <w:spacing w:val="-5"/>
        </w:rPr>
        <w:t> </w:t>
      </w:r>
      <w:r>
        <w:rPr/>
        <w:t>Amount</w:t>
      </w:r>
      <w:r>
        <w:rPr>
          <w:spacing w:val="-7"/>
        </w:rPr>
        <w:t> </w:t>
      </w:r>
      <w:r>
        <w:rPr/>
        <w:t>A between jurisdictions consistently while eliminating double tax, there may be a benefit in tax administrations</w:t>
      </w:r>
      <w:r>
        <w:rPr>
          <w:spacing w:val="-7"/>
        </w:rPr>
        <w:t> </w:t>
      </w:r>
      <w:r>
        <w:rPr/>
        <w:t>still</w:t>
      </w:r>
      <w:r>
        <w:rPr>
          <w:spacing w:val="-5"/>
        </w:rPr>
        <w:t> </w:t>
      </w:r>
      <w:r>
        <w:rPr/>
        <w:t>being</w:t>
      </w:r>
      <w:r>
        <w:rPr>
          <w:spacing w:val="-5"/>
        </w:rPr>
        <w:t> </w:t>
      </w:r>
      <w:r>
        <w:rPr/>
        <w:t>bound</w:t>
      </w:r>
      <w:r>
        <w:rPr>
          <w:spacing w:val="-5"/>
        </w:rPr>
        <w:t> </w:t>
      </w:r>
      <w:r>
        <w:rPr/>
        <w:t>by</w:t>
      </w:r>
      <w:r>
        <w:rPr>
          <w:spacing w:val="-7"/>
        </w:rPr>
        <w:t> </w:t>
      </w:r>
      <w:r>
        <w:rPr/>
        <w:t>panel</w:t>
      </w:r>
      <w:r>
        <w:rPr>
          <w:spacing w:val="-8"/>
        </w:rPr>
        <w:t> </w:t>
      </w:r>
      <w:r>
        <w:rPr/>
        <w:t>conclusions,</w:t>
      </w:r>
      <w:r>
        <w:rPr>
          <w:spacing w:val="-4"/>
        </w:rPr>
        <w:t> </w:t>
      </w:r>
      <w:r>
        <w:rPr/>
        <w:t>unless</w:t>
      </w:r>
      <w:r>
        <w:rPr>
          <w:spacing w:val="2"/>
        </w:rPr>
        <w:t> </w:t>
      </w:r>
      <w:r>
        <w:rPr/>
        <w:t>a</w:t>
      </w:r>
      <w:r>
        <w:rPr>
          <w:spacing w:val="-6"/>
        </w:rPr>
        <w:t> </w:t>
      </w:r>
      <w:r>
        <w:rPr/>
        <w:t>constituent</w:t>
      </w:r>
      <w:r>
        <w:rPr>
          <w:spacing w:val="-4"/>
        </w:rPr>
        <w:t> </w:t>
      </w:r>
      <w:r>
        <w:rPr/>
        <w:t>entity</w:t>
      </w:r>
      <w:r>
        <w:rPr>
          <w:spacing w:val="-7"/>
        </w:rPr>
        <w:t> </w:t>
      </w:r>
      <w:r>
        <w:rPr/>
        <w:t>in</w:t>
      </w:r>
      <w:r>
        <w:rPr>
          <w:spacing w:val="-7"/>
        </w:rPr>
        <w:t> </w:t>
      </w:r>
      <w:r>
        <w:rPr/>
        <w:t>a</w:t>
      </w:r>
      <w:r>
        <w:rPr>
          <w:spacing w:val="-5"/>
        </w:rPr>
        <w:t> </w:t>
      </w:r>
      <w:r>
        <w:rPr/>
        <w:t>tax</w:t>
      </w:r>
      <w:r>
        <w:rPr>
          <w:spacing w:val="-4"/>
        </w:rPr>
        <w:t> </w:t>
      </w:r>
      <w:r>
        <w:rPr/>
        <w:t>administration’s jurisdiction appeals the assessment to a domestic court or a tax administration is required to comply with a court decision that is different. In particular, the consistent implementation of panel outcomes by all affected</w:t>
      </w:r>
      <w:r>
        <w:rPr>
          <w:spacing w:val="-13"/>
        </w:rPr>
        <w:t> </w:t>
      </w:r>
      <w:r>
        <w:rPr/>
        <w:t>tax</w:t>
      </w:r>
      <w:r>
        <w:rPr>
          <w:spacing w:val="-11"/>
        </w:rPr>
        <w:t> </w:t>
      </w:r>
      <w:r>
        <w:rPr/>
        <w:t>administrations</w:t>
      </w:r>
      <w:r>
        <w:rPr>
          <w:spacing w:val="-10"/>
        </w:rPr>
        <w:t> </w:t>
      </w:r>
      <w:r>
        <w:rPr/>
        <w:t>could</w:t>
      </w:r>
      <w:r>
        <w:rPr>
          <w:spacing w:val="-12"/>
        </w:rPr>
        <w:t> </w:t>
      </w:r>
      <w:r>
        <w:rPr/>
        <w:t>remove</w:t>
      </w:r>
      <w:r>
        <w:rPr>
          <w:spacing w:val="-13"/>
        </w:rPr>
        <w:t> </w:t>
      </w:r>
      <w:r>
        <w:rPr/>
        <w:t>the</w:t>
      </w:r>
      <w:r>
        <w:rPr>
          <w:spacing w:val="-12"/>
        </w:rPr>
        <w:t> </w:t>
      </w:r>
      <w:r>
        <w:rPr/>
        <w:t>risk</w:t>
      </w:r>
      <w:r>
        <w:rPr>
          <w:spacing w:val="-8"/>
        </w:rPr>
        <w:t> </w:t>
      </w:r>
      <w:r>
        <w:rPr/>
        <w:t>of</w:t>
      </w:r>
      <w:r>
        <w:rPr>
          <w:spacing w:val="-10"/>
        </w:rPr>
        <w:t> </w:t>
      </w:r>
      <w:r>
        <w:rPr/>
        <w:t>double</w:t>
      </w:r>
      <w:r>
        <w:rPr>
          <w:spacing w:val="-12"/>
        </w:rPr>
        <w:t> </w:t>
      </w:r>
      <w:r>
        <w:rPr/>
        <w:t>taxation</w:t>
      </w:r>
      <w:r>
        <w:rPr>
          <w:spacing w:val="-6"/>
        </w:rPr>
        <w:t> </w:t>
      </w:r>
      <w:r>
        <w:rPr/>
        <w:t>and</w:t>
      </w:r>
      <w:r>
        <w:rPr>
          <w:spacing w:val="-12"/>
        </w:rPr>
        <w:t> </w:t>
      </w:r>
      <w:r>
        <w:rPr/>
        <w:t>prevent</w:t>
      </w:r>
      <w:r>
        <w:rPr>
          <w:spacing w:val="-12"/>
        </w:rPr>
        <w:t> </w:t>
      </w:r>
      <w:r>
        <w:rPr/>
        <w:t>disputes</w:t>
      </w:r>
      <w:r>
        <w:rPr>
          <w:spacing w:val="-11"/>
        </w:rPr>
        <w:t> </w:t>
      </w:r>
      <w:r>
        <w:rPr/>
        <w:t>arising</w:t>
      </w:r>
      <w:r>
        <w:rPr>
          <w:spacing w:val="-10"/>
        </w:rPr>
        <w:t> </w:t>
      </w:r>
      <w:r>
        <w:rPr/>
        <w:t>at</w:t>
      </w:r>
      <w:r>
        <w:rPr>
          <w:spacing w:val="-12"/>
        </w:rPr>
        <w:t> </w:t>
      </w:r>
      <w:r>
        <w:rPr/>
        <w:t>a</w:t>
      </w:r>
      <w:r>
        <w:rPr>
          <w:spacing w:val="-9"/>
        </w:rPr>
        <w:t> </w:t>
      </w:r>
      <w:r>
        <w:rPr/>
        <w:t>later point.</w:t>
      </w:r>
      <w:r>
        <w:rPr>
          <w:spacing w:val="-7"/>
        </w:rPr>
        <w:t> </w:t>
      </w:r>
      <w:r>
        <w:rPr/>
        <w:t>Where</w:t>
      </w:r>
      <w:r>
        <w:rPr>
          <w:spacing w:val="-4"/>
        </w:rPr>
        <w:t> </w:t>
      </w:r>
      <w:r>
        <w:rPr/>
        <w:t>an</w:t>
      </w:r>
      <w:r>
        <w:rPr>
          <w:spacing w:val="-4"/>
        </w:rPr>
        <w:t> </w:t>
      </w:r>
      <w:r>
        <w:rPr/>
        <w:t>MNE</w:t>
      </w:r>
      <w:r>
        <w:rPr>
          <w:spacing w:val="-1"/>
        </w:rPr>
        <w:t> </w:t>
      </w:r>
      <w:r>
        <w:rPr/>
        <w:t>group</w:t>
      </w:r>
      <w:r>
        <w:rPr>
          <w:spacing w:val="-2"/>
        </w:rPr>
        <w:t> </w:t>
      </w:r>
      <w:r>
        <w:rPr/>
        <w:t>withdraws</w:t>
      </w:r>
      <w:r>
        <w:rPr>
          <w:spacing w:val="-3"/>
        </w:rPr>
        <w:t> </w:t>
      </w:r>
      <w:r>
        <w:rPr/>
        <w:t>its</w:t>
      </w:r>
      <w:r>
        <w:rPr>
          <w:spacing w:val="-3"/>
        </w:rPr>
        <w:t> </w:t>
      </w:r>
      <w:r>
        <w:rPr/>
        <w:t>request</w:t>
      </w:r>
      <w:r>
        <w:rPr>
          <w:spacing w:val="-4"/>
        </w:rPr>
        <w:t> </w:t>
      </w:r>
      <w:r>
        <w:rPr/>
        <w:t>for</w:t>
      </w:r>
      <w:r>
        <w:rPr>
          <w:spacing w:val="-3"/>
        </w:rPr>
        <w:t> </w:t>
      </w:r>
      <w:r>
        <w:rPr/>
        <w:t>tax</w:t>
      </w:r>
      <w:r>
        <w:rPr>
          <w:spacing w:val="-3"/>
        </w:rPr>
        <w:t> </w:t>
      </w:r>
      <w:r>
        <w:rPr/>
        <w:t>certainty</w:t>
      </w:r>
      <w:r>
        <w:rPr>
          <w:spacing w:val="-7"/>
        </w:rPr>
        <w:t> </w:t>
      </w:r>
      <w:r>
        <w:rPr/>
        <w:t>at</w:t>
      </w:r>
      <w:r>
        <w:rPr>
          <w:spacing w:val="-2"/>
        </w:rPr>
        <w:t> </w:t>
      </w:r>
      <w:r>
        <w:rPr/>
        <w:t>any</w:t>
      </w:r>
      <w:r>
        <w:rPr>
          <w:spacing w:val="-6"/>
        </w:rPr>
        <w:t> </w:t>
      </w:r>
      <w:r>
        <w:rPr/>
        <w:t>other</w:t>
      </w:r>
      <w:r>
        <w:rPr>
          <w:spacing w:val="-3"/>
        </w:rPr>
        <w:t> </w:t>
      </w:r>
      <w:r>
        <w:rPr/>
        <w:t>point</w:t>
      </w:r>
      <w:r>
        <w:rPr>
          <w:spacing w:val="-5"/>
        </w:rPr>
        <w:t> </w:t>
      </w:r>
      <w:r>
        <w:rPr/>
        <w:t>(e.g.</w:t>
      </w:r>
      <w:r>
        <w:rPr>
          <w:spacing w:val="-2"/>
        </w:rPr>
        <w:t> </w:t>
      </w:r>
      <w:r>
        <w:rPr/>
        <w:t>before</w:t>
      </w:r>
      <w:r>
        <w:rPr>
          <w:spacing w:val="-3"/>
        </w:rPr>
        <w:t> </w:t>
      </w:r>
      <w:r>
        <w:rPr/>
        <w:t>a</w:t>
      </w:r>
      <w:r>
        <w:rPr>
          <w:spacing w:val="-4"/>
        </w:rPr>
        <w:t> </w:t>
      </w:r>
      <w:r>
        <w:rPr/>
        <w:t>review panel’s recommendation is agreed by affected tax administrations or before questions are submitted to a determination panel), tax administrations are not bound and may conduct their own enquiries. However, even if tax administrations are not bound by panel conclusions, they may take work conducted by the review panel and determination panel (if relevant) into account in conducting these</w:t>
      </w:r>
      <w:r>
        <w:rPr>
          <w:spacing w:val="-24"/>
        </w:rPr>
        <w:t> </w:t>
      </w:r>
      <w:r>
        <w:rPr/>
        <w:t>enquiries.</w:t>
      </w:r>
    </w:p>
    <w:p>
      <w:pPr>
        <w:pStyle w:val="ListParagraph"/>
        <w:numPr>
          <w:ilvl w:val="0"/>
          <w:numId w:val="13"/>
        </w:numPr>
        <w:tabs>
          <w:tab w:pos="1444" w:val="left" w:leader="none"/>
        </w:tabs>
        <w:spacing w:line="271" w:lineRule="auto" w:before="121" w:after="0"/>
        <w:ind w:left="723" w:right="482" w:firstLine="0"/>
        <w:jc w:val="both"/>
        <w:rPr>
          <w:sz w:val="20"/>
        </w:rPr>
      </w:pPr>
      <w:r>
        <w:rPr>
          <w:sz w:val="20"/>
        </w:rPr>
        <w:t>It</w:t>
      </w:r>
      <w:r>
        <w:rPr>
          <w:spacing w:val="-9"/>
          <w:sz w:val="20"/>
        </w:rPr>
        <w:t> </w:t>
      </w:r>
      <w:r>
        <w:rPr>
          <w:sz w:val="20"/>
        </w:rPr>
        <w:t>is</w:t>
      </w:r>
      <w:r>
        <w:rPr>
          <w:spacing w:val="-5"/>
          <w:sz w:val="20"/>
        </w:rPr>
        <w:t> </w:t>
      </w:r>
      <w:r>
        <w:rPr>
          <w:sz w:val="20"/>
        </w:rPr>
        <w:t>expected</w:t>
      </w:r>
      <w:r>
        <w:rPr>
          <w:spacing w:val="-7"/>
          <w:sz w:val="20"/>
        </w:rPr>
        <w:t> </w:t>
      </w:r>
      <w:r>
        <w:rPr>
          <w:sz w:val="20"/>
        </w:rPr>
        <w:t>that</w:t>
      </w:r>
      <w:r>
        <w:rPr>
          <w:spacing w:val="-6"/>
          <w:sz w:val="20"/>
        </w:rPr>
        <w:t> </w:t>
      </w:r>
      <w:r>
        <w:rPr>
          <w:sz w:val="20"/>
        </w:rPr>
        <w:t>in</w:t>
      </w:r>
      <w:r>
        <w:rPr>
          <w:spacing w:val="-7"/>
          <w:sz w:val="20"/>
        </w:rPr>
        <w:t> </w:t>
      </w:r>
      <w:r>
        <w:rPr>
          <w:sz w:val="20"/>
        </w:rPr>
        <w:t>the</w:t>
      </w:r>
      <w:r>
        <w:rPr>
          <w:spacing w:val="-6"/>
          <w:sz w:val="20"/>
        </w:rPr>
        <w:t> </w:t>
      </w:r>
      <w:r>
        <w:rPr>
          <w:sz w:val="20"/>
        </w:rPr>
        <w:t>significant</w:t>
      </w:r>
      <w:r>
        <w:rPr>
          <w:spacing w:val="-7"/>
          <w:sz w:val="20"/>
        </w:rPr>
        <w:t> </w:t>
      </w:r>
      <w:r>
        <w:rPr>
          <w:sz w:val="20"/>
        </w:rPr>
        <w:t>majority</w:t>
      </w:r>
      <w:r>
        <w:rPr>
          <w:spacing w:val="-12"/>
          <w:sz w:val="20"/>
        </w:rPr>
        <w:t> </w:t>
      </w:r>
      <w:r>
        <w:rPr>
          <w:sz w:val="20"/>
        </w:rPr>
        <w:t>of</w:t>
      </w:r>
      <w:r>
        <w:rPr>
          <w:spacing w:val="-6"/>
          <w:sz w:val="20"/>
        </w:rPr>
        <w:t> </w:t>
      </w:r>
      <w:r>
        <w:rPr>
          <w:sz w:val="20"/>
        </w:rPr>
        <w:t>cases</w:t>
      </w:r>
      <w:r>
        <w:rPr>
          <w:spacing w:val="-6"/>
          <w:sz w:val="20"/>
        </w:rPr>
        <w:t> </w:t>
      </w:r>
      <w:r>
        <w:rPr>
          <w:sz w:val="20"/>
        </w:rPr>
        <w:t>all</w:t>
      </w:r>
      <w:r>
        <w:rPr>
          <w:spacing w:val="-7"/>
          <w:sz w:val="20"/>
        </w:rPr>
        <w:t> </w:t>
      </w:r>
      <w:r>
        <w:rPr>
          <w:sz w:val="20"/>
        </w:rPr>
        <w:t>constituent</w:t>
      </w:r>
      <w:r>
        <w:rPr>
          <w:spacing w:val="-7"/>
          <w:sz w:val="20"/>
        </w:rPr>
        <w:t> </w:t>
      </w:r>
      <w:r>
        <w:rPr>
          <w:sz w:val="20"/>
        </w:rPr>
        <w:t>entities</w:t>
      </w:r>
      <w:r>
        <w:rPr>
          <w:spacing w:val="-6"/>
          <w:sz w:val="20"/>
        </w:rPr>
        <w:t> </w:t>
      </w:r>
      <w:r>
        <w:rPr>
          <w:sz w:val="20"/>
        </w:rPr>
        <w:t>will</w:t>
      </w:r>
      <w:r>
        <w:rPr>
          <w:spacing w:val="-7"/>
          <w:sz w:val="20"/>
        </w:rPr>
        <w:t> </w:t>
      </w:r>
      <w:r>
        <w:rPr>
          <w:sz w:val="20"/>
        </w:rPr>
        <w:t>accept</w:t>
      </w:r>
      <w:r>
        <w:rPr>
          <w:spacing w:val="-5"/>
          <w:sz w:val="20"/>
        </w:rPr>
        <w:t> </w:t>
      </w:r>
      <w:r>
        <w:rPr>
          <w:sz w:val="20"/>
        </w:rPr>
        <w:t>the</w:t>
      </w:r>
      <w:r>
        <w:rPr>
          <w:spacing w:val="-7"/>
          <w:sz w:val="20"/>
        </w:rPr>
        <w:t> </w:t>
      </w:r>
      <w:r>
        <w:rPr>
          <w:sz w:val="20"/>
        </w:rPr>
        <w:t>position agreed by the co-ordinating entity, which applies Amount A across the MNE group and avoids double taxation. If, in exceptional cases, legal or practical issues mean it was not possible for a particular entity within an MNE group to agree in advance to be bound by decisions of the co-ordinating entity, and the entity does not accept a panel conclusion, the tax certainty provided to other entities in the MNE group may also fall away, even though they have accepted panel outcomes. This will depend upon the circumstances of each case (e.g. if the entity that does not accept the panel conclusion is an Amount A paying</w:t>
      </w:r>
      <w:r>
        <w:rPr>
          <w:spacing w:val="-12"/>
          <w:sz w:val="20"/>
        </w:rPr>
        <w:t> </w:t>
      </w:r>
      <w:r>
        <w:rPr>
          <w:sz w:val="20"/>
        </w:rPr>
        <w:t>entity</w:t>
      </w:r>
      <w:r>
        <w:rPr>
          <w:spacing w:val="-12"/>
          <w:sz w:val="20"/>
        </w:rPr>
        <w:t> </w:t>
      </w:r>
      <w:r>
        <w:rPr>
          <w:sz w:val="20"/>
        </w:rPr>
        <w:t>vs</w:t>
      </w:r>
      <w:r>
        <w:rPr>
          <w:spacing w:val="-9"/>
          <w:sz w:val="20"/>
        </w:rPr>
        <w:t> </w:t>
      </w:r>
      <w:r>
        <w:rPr>
          <w:sz w:val="20"/>
        </w:rPr>
        <w:t>an</w:t>
      </w:r>
      <w:r>
        <w:rPr>
          <w:spacing w:val="-12"/>
          <w:sz w:val="20"/>
        </w:rPr>
        <w:t> </w:t>
      </w:r>
      <w:r>
        <w:rPr>
          <w:sz w:val="20"/>
        </w:rPr>
        <w:t>entity</w:t>
      </w:r>
      <w:r>
        <w:rPr>
          <w:spacing w:val="-11"/>
          <w:sz w:val="20"/>
        </w:rPr>
        <w:t> </w:t>
      </w:r>
      <w:r>
        <w:rPr>
          <w:sz w:val="20"/>
        </w:rPr>
        <w:t>in</w:t>
      </w:r>
      <w:r>
        <w:rPr>
          <w:spacing w:val="-9"/>
          <w:sz w:val="20"/>
        </w:rPr>
        <w:t> </w:t>
      </w:r>
      <w:r>
        <w:rPr>
          <w:sz w:val="20"/>
        </w:rPr>
        <w:t>a</w:t>
      </w:r>
      <w:r>
        <w:rPr>
          <w:spacing w:val="-12"/>
          <w:sz w:val="20"/>
        </w:rPr>
        <w:t> </w:t>
      </w:r>
      <w:r>
        <w:rPr>
          <w:sz w:val="20"/>
        </w:rPr>
        <w:t>market</w:t>
      </w:r>
      <w:r>
        <w:rPr>
          <w:spacing w:val="-11"/>
          <w:sz w:val="20"/>
        </w:rPr>
        <w:t> </w:t>
      </w:r>
      <w:r>
        <w:rPr>
          <w:sz w:val="20"/>
        </w:rPr>
        <w:t>jurisdiction).</w:t>
      </w:r>
      <w:r>
        <w:rPr>
          <w:spacing w:val="-8"/>
          <w:sz w:val="20"/>
        </w:rPr>
        <w:t> </w:t>
      </w:r>
      <w:r>
        <w:rPr>
          <w:sz w:val="20"/>
        </w:rPr>
        <w:t>Further</w:t>
      </w:r>
      <w:r>
        <w:rPr>
          <w:spacing w:val="-8"/>
          <w:sz w:val="20"/>
        </w:rPr>
        <w:t> </w:t>
      </w:r>
      <w:r>
        <w:rPr>
          <w:sz w:val="20"/>
        </w:rPr>
        <w:t>work</w:t>
      </w:r>
      <w:r>
        <w:rPr>
          <w:spacing w:val="-7"/>
          <w:sz w:val="20"/>
        </w:rPr>
        <w:t> </w:t>
      </w:r>
      <w:r>
        <w:rPr>
          <w:sz w:val="20"/>
        </w:rPr>
        <w:t>will</w:t>
      </w:r>
      <w:r>
        <w:rPr>
          <w:spacing w:val="-10"/>
          <w:sz w:val="20"/>
        </w:rPr>
        <w:t> </w:t>
      </w:r>
      <w:r>
        <w:rPr>
          <w:sz w:val="20"/>
        </w:rPr>
        <w:t>be</w:t>
      </w:r>
      <w:r>
        <w:rPr>
          <w:spacing w:val="-9"/>
          <w:sz w:val="20"/>
        </w:rPr>
        <w:t> </w:t>
      </w:r>
      <w:r>
        <w:rPr>
          <w:sz w:val="20"/>
        </w:rPr>
        <w:t>undertaken</w:t>
      </w:r>
      <w:r>
        <w:rPr>
          <w:spacing w:val="-12"/>
          <w:sz w:val="20"/>
        </w:rPr>
        <w:t> </w:t>
      </w:r>
      <w:r>
        <w:rPr>
          <w:sz w:val="20"/>
        </w:rPr>
        <w:t>to</w:t>
      </w:r>
      <w:r>
        <w:rPr>
          <w:spacing w:val="-11"/>
          <w:sz w:val="20"/>
        </w:rPr>
        <w:t> </w:t>
      </w:r>
      <w:r>
        <w:rPr>
          <w:sz w:val="20"/>
        </w:rPr>
        <w:t>understand</w:t>
      </w:r>
      <w:r>
        <w:rPr>
          <w:spacing w:val="-12"/>
          <w:sz w:val="20"/>
        </w:rPr>
        <w:t> </w:t>
      </w:r>
      <w:r>
        <w:rPr>
          <w:sz w:val="20"/>
        </w:rPr>
        <w:t>the</w:t>
      </w:r>
      <w:r>
        <w:rPr>
          <w:spacing w:val="-12"/>
          <w:sz w:val="20"/>
        </w:rPr>
        <w:t> </w:t>
      </w:r>
      <w:r>
        <w:rPr>
          <w:sz w:val="20"/>
        </w:rPr>
        <w:t>extent to which these legal or practical issues may arise in practice and how these can be</w:t>
      </w:r>
      <w:r>
        <w:rPr>
          <w:spacing w:val="-24"/>
          <w:sz w:val="20"/>
        </w:rPr>
        <w:t> </w:t>
      </w:r>
      <w:r>
        <w:rPr>
          <w:sz w:val="20"/>
        </w:rPr>
        <w:t>avoided.</w:t>
      </w:r>
    </w:p>
    <w:p>
      <w:pPr>
        <w:pStyle w:val="BodyText"/>
        <w:spacing w:before="7"/>
        <w:rPr>
          <w:sz w:val="23"/>
        </w:rPr>
      </w:pPr>
    </w:p>
    <w:p>
      <w:pPr>
        <w:pStyle w:val="Heading6"/>
        <w:numPr>
          <w:ilvl w:val="2"/>
          <w:numId w:val="81"/>
        </w:numPr>
        <w:tabs>
          <w:tab w:pos="2015" w:val="left" w:leader="none"/>
        </w:tabs>
        <w:spacing w:line="266" w:lineRule="auto" w:before="0" w:after="0"/>
        <w:ind w:left="1402" w:right="1128" w:firstLine="0"/>
        <w:jc w:val="left"/>
      </w:pPr>
      <w:bookmarkStart w:name="9.2.7. Other opportunities to provide gr" w:id="443"/>
      <w:bookmarkEnd w:id="443"/>
      <w:r>
        <w:rPr>
          <w:b w:val="0"/>
          <w:i w:val="0"/>
        </w:rPr>
      </w:r>
      <w:bookmarkStart w:name="9.2.7. Other opportunities to provide gr" w:id="444"/>
      <w:bookmarkEnd w:id="444"/>
      <w:r>
        <w:rPr>
          <w:i/>
        </w:rPr>
        <w:t>Oth</w:t>
      </w:r>
      <w:r>
        <w:rPr>
          <w:i/>
        </w:rPr>
        <w:t>er opportunities to provide greater certainty concerning aspects of </w:t>
      </w:r>
      <w:r>
        <w:rPr/>
        <w:t>Amount A</w:t>
      </w:r>
    </w:p>
    <w:p>
      <w:pPr>
        <w:pStyle w:val="BodyText"/>
        <w:spacing w:before="10"/>
        <w:rPr>
          <w:b/>
          <w:i/>
        </w:rPr>
      </w:pPr>
    </w:p>
    <w:p>
      <w:pPr>
        <w:pStyle w:val="Heading7"/>
        <w:rPr>
          <w:i/>
        </w:rPr>
      </w:pPr>
      <w:bookmarkStart w:name="Whether an MNE group is within the scope" w:id="445"/>
      <w:bookmarkEnd w:id="445"/>
      <w:r>
        <w:rPr>
          <w:i w:val="0"/>
        </w:rPr>
      </w:r>
      <w:r>
        <w:rPr>
          <w:i/>
          <w:color w:val="616161"/>
        </w:rPr>
        <w:t>Whether an MNE group is within the scope of Amount A</w:t>
      </w:r>
    </w:p>
    <w:p>
      <w:pPr>
        <w:pStyle w:val="ListParagraph"/>
        <w:numPr>
          <w:ilvl w:val="0"/>
          <w:numId w:val="13"/>
        </w:numPr>
        <w:tabs>
          <w:tab w:pos="1444" w:val="left" w:leader="none"/>
        </w:tabs>
        <w:spacing w:line="271" w:lineRule="auto" w:before="215" w:after="0"/>
        <w:ind w:left="723" w:right="481" w:firstLine="0"/>
        <w:jc w:val="both"/>
        <w:rPr>
          <w:sz w:val="20"/>
        </w:rPr>
      </w:pPr>
      <w:r>
        <w:rPr>
          <w:sz w:val="20"/>
        </w:rPr>
        <w:t>Depending upon the final scope of Amount A agreed by the Inclusive Framework, a number of MNE groups may also seek certainty from tax administrations as to whether they are within or outside of this scope. However, unlike the process described in the rest of this chapter (which could be an annual process for some MNE groups), it is likely that an MNE group would only require certainty that it is within the scope of Amount A once, or periodically following any change to its business, structure, revenues or profitability. A possible approach to provide MNE groups with certainty as to whether they are within the scope of Amount A is described</w:t>
      </w:r>
      <w:r>
        <w:rPr>
          <w:spacing w:val="-4"/>
          <w:sz w:val="20"/>
        </w:rPr>
        <w:t> </w:t>
      </w:r>
      <w:r>
        <w:rPr>
          <w:sz w:val="20"/>
        </w:rPr>
        <w:t>below.</w:t>
      </w:r>
    </w:p>
    <w:p>
      <w:pPr>
        <w:pStyle w:val="ListParagraph"/>
        <w:numPr>
          <w:ilvl w:val="1"/>
          <w:numId w:val="13"/>
        </w:numPr>
        <w:tabs>
          <w:tab w:pos="1785" w:val="left" w:leader="none"/>
        </w:tabs>
        <w:spacing w:line="268" w:lineRule="auto" w:before="102" w:after="0"/>
        <w:ind w:left="1784" w:right="486" w:hanging="360"/>
        <w:jc w:val="both"/>
        <w:rPr>
          <w:sz w:val="20"/>
        </w:rPr>
      </w:pPr>
      <w:r>
        <w:rPr>
          <w:sz w:val="20"/>
        </w:rPr>
        <w:t>A specific self-assessment return and documentation package to determine whether an MNE group</w:t>
      </w:r>
      <w:r>
        <w:rPr>
          <w:spacing w:val="-6"/>
          <w:sz w:val="20"/>
        </w:rPr>
        <w:t> </w:t>
      </w:r>
      <w:r>
        <w:rPr>
          <w:sz w:val="20"/>
        </w:rPr>
        <w:t>is</w:t>
      </w:r>
      <w:r>
        <w:rPr>
          <w:spacing w:val="-5"/>
          <w:sz w:val="20"/>
        </w:rPr>
        <w:t> </w:t>
      </w:r>
      <w:r>
        <w:rPr>
          <w:sz w:val="20"/>
        </w:rPr>
        <w:t>within</w:t>
      </w:r>
      <w:r>
        <w:rPr>
          <w:spacing w:val="-4"/>
          <w:sz w:val="20"/>
        </w:rPr>
        <w:t> </w:t>
      </w:r>
      <w:r>
        <w:rPr>
          <w:sz w:val="20"/>
        </w:rPr>
        <w:t>the</w:t>
      </w:r>
      <w:r>
        <w:rPr>
          <w:spacing w:val="-7"/>
          <w:sz w:val="20"/>
        </w:rPr>
        <w:t> </w:t>
      </w:r>
      <w:r>
        <w:rPr>
          <w:sz w:val="20"/>
        </w:rPr>
        <w:t>scope</w:t>
      </w:r>
      <w:r>
        <w:rPr>
          <w:spacing w:val="-7"/>
          <w:sz w:val="20"/>
        </w:rPr>
        <w:t> </w:t>
      </w:r>
      <w:r>
        <w:rPr>
          <w:sz w:val="20"/>
        </w:rPr>
        <w:t>of</w:t>
      </w:r>
      <w:r>
        <w:rPr>
          <w:spacing w:val="-5"/>
          <w:sz w:val="20"/>
        </w:rPr>
        <w:t> </w:t>
      </w:r>
      <w:r>
        <w:rPr>
          <w:sz w:val="20"/>
        </w:rPr>
        <w:t>Amount</w:t>
      </w:r>
      <w:r>
        <w:rPr>
          <w:spacing w:val="-7"/>
          <w:sz w:val="20"/>
        </w:rPr>
        <w:t> </w:t>
      </w:r>
      <w:r>
        <w:rPr>
          <w:sz w:val="20"/>
        </w:rPr>
        <w:t>A</w:t>
      </w:r>
      <w:r>
        <w:rPr>
          <w:spacing w:val="-7"/>
          <w:sz w:val="20"/>
        </w:rPr>
        <w:t> </w:t>
      </w:r>
      <w:r>
        <w:rPr>
          <w:sz w:val="20"/>
        </w:rPr>
        <w:t>could</w:t>
      </w:r>
      <w:r>
        <w:rPr>
          <w:spacing w:val="-7"/>
          <w:sz w:val="20"/>
        </w:rPr>
        <w:t> </w:t>
      </w:r>
      <w:r>
        <w:rPr>
          <w:sz w:val="20"/>
        </w:rPr>
        <w:t>be</w:t>
      </w:r>
      <w:r>
        <w:rPr>
          <w:spacing w:val="-7"/>
          <w:sz w:val="20"/>
        </w:rPr>
        <w:t> </w:t>
      </w:r>
      <w:r>
        <w:rPr>
          <w:sz w:val="20"/>
        </w:rPr>
        <w:t>developed.</w:t>
      </w:r>
      <w:r>
        <w:rPr>
          <w:spacing w:val="-7"/>
          <w:sz w:val="20"/>
        </w:rPr>
        <w:t> </w:t>
      </w:r>
      <w:r>
        <w:rPr>
          <w:sz w:val="20"/>
        </w:rPr>
        <w:t>This</w:t>
      </w:r>
      <w:r>
        <w:rPr>
          <w:spacing w:val="-3"/>
          <w:sz w:val="20"/>
        </w:rPr>
        <w:t> </w:t>
      </w:r>
      <w:r>
        <w:rPr>
          <w:sz w:val="20"/>
        </w:rPr>
        <w:t>would</w:t>
      </w:r>
      <w:r>
        <w:rPr>
          <w:spacing w:val="-7"/>
          <w:sz w:val="20"/>
        </w:rPr>
        <w:t> </w:t>
      </w:r>
      <w:r>
        <w:rPr>
          <w:sz w:val="20"/>
        </w:rPr>
        <w:t>focus</w:t>
      </w:r>
      <w:r>
        <w:rPr>
          <w:spacing w:val="-6"/>
          <w:sz w:val="20"/>
        </w:rPr>
        <w:t> </w:t>
      </w:r>
      <w:r>
        <w:rPr>
          <w:sz w:val="20"/>
        </w:rPr>
        <w:t>on</w:t>
      </w:r>
      <w:r>
        <w:rPr>
          <w:spacing w:val="-5"/>
          <w:sz w:val="20"/>
        </w:rPr>
        <w:t> </w:t>
      </w:r>
      <w:r>
        <w:rPr>
          <w:sz w:val="20"/>
        </w:rPr>
        <w:t>each</w:t>
      </w:r>
      <w:r>
        <w:rPr>
          <w:spacing w:val="-7"/>
          <w:sz w:val="20"/>
        </w:rPr>
        <w:t> </w:t>
      </w:r>
      <w:r>
        <w:rPr>
          <w:sz w:val="20"/>
        </w:rPr>
        <w:t>element of the definition of scope.</w:t>
      </w:r>
    </w:p>
    <w:p>
      <w:pPr>
        <w:pStyle w:val="ListParagraph"/>
        <w:numPr>
          <w:ilvl w:val="1"/>
          <w:numId w:val="13"/>
        </w:numPr>
        <w:tabs>
          <w:tab w:pos="1785" w:val="left" w:leader="none"/>
        </w:tabs>
        <w:spacing w:line="271" w:lineRule="auto" w:before="50" w:after="0"/>
        <w:ind w:left="1784" w:right="479" w:hanging="360"/>
        <w:jc w:val="both"/>
        <w:rPr>
          <w:sz w:val="20"/>
        </w:rPr>
      </w:pPr>
      <w:r>
        <w:rPr>
          <w:sz w:val="20"/>
        </w:rPr>
        <w:t>MNE</w:t>
      </w:r>
      <w:r>
        <w:rPr>
          <w:spacing w:val="-4"/>
          <w:sz w:val="20"/>
        </w:rPr>
        <w:t> </w:t>
      </w:r>
      <w:r>
        <w:rPr>
          <w:sz w:val="20"/>
        </w:rPr>
        <w:t>groups</w:t>
      </w:r>
      <w:r>
        <w:rPr>
          <w:spacing w:val="-4"/>
          <w:sz w:val="20"/>
        </w:rPr>
        <w:t> </w:t>
      </w:r>
      <w:r>
        <w:rPr>
          <w:sz w:val="20"/>
        </w:rPr>
        <w:t>that</w:t>
      </w:r>
      <w:r>
        <w:rPr>
          <w:spacing w:val="-3"/>
          <w:sz w:val="20"/>
        </w:rPr>
        <w:t> </w:t>
      </w:r>
      <w:r>
        <w:rPr>
          <w:sz w:val="20"/>
        </w:rPr>
        <w:t>require</w:t>
      </w:r>
      <w:r>
        <w:rPr>
          <w:spacing w:val="-4"/>
          <w:sz w:val="20"/>
        </w:rPr>
        <w:t> </w:t>
      </w:r>
      <w:r>
        <w:rPr>
          <w:sz w:val="20"/>
        </w:rPr>
        <w:t>certainty</w:t>
      </w:r>
      <w:r>
        <w:rPr>
          <w:spacing w:val="-5"/>
          <w:sz w:val="20"/>
        </w:rPr>
        <w:t> </w:t>
      </w:r>
      <w:r>
        <w:rPr>
          <w:sz w:val="20"/>
        </w:rPr>
        <w:t>as</w:t>
      </w:r>
      <w:r>
        <w:rPr>
          <w:spacing w:val="-5"/>
          <w:sz w:val="20"/>
        </w:rPr>
        <w:t> </w:t>
      </w:r>
      <w:r>
        <w:rPr>
          <w:sz w:val="20"/>
        </w:rPr>
        <w:t>to</w:t>
      </w:r>
      <w:r>
        <w:rPr>
          <w:spacing w:val="-3"/>
          <w:sz w:val="20"/>
        </w:rPr>
        <w:t> </w:t>
      </w:r>
      <w:r>
        <w:rPr>
          <w:sz w:val="20"/>
        </w:rPr>
        <w:t>whether</w:t>
      </w:r>
      <w:r>
        <w:rPr>
          <w:spacing w:val="-4"/>
          <w:sz w:val="20"/>
        </w:rPr>
        <w:t> </w:t>
      </w:r>
      <w:r>
        <w:rPr>
          <w:sz w:val="20"/>
        </w:rPr>
        <w:t>they</w:t>
      </w:r>
      <w:r>
        <w:rPr>
          <w:spacing w:val="-6"/>
          <w:sz w:val="20"/>
        </w:rPr>
        <w:t> </w:t>
      </w:r>
      <w:r>
        <w:rPr>
          <w:sz w:val="20"/>
        </w:rPr>
        <w:t>are</w:t>
      </w:r>
      <w:r>
        <w:rPr>
          <w:spacing w:val="-3"/>
          <w:sz w:val="20"/>
        </w:rPr>
        <w:t> </w:t>
      </w:r>
      <w:r>
        <w:rPr>
          <w:sz w:val="20"/>
        </w:rPr>
        <w:t>within</w:t>
      </w:r>
      <w:r>
        <w:rPr>
          <w:spacing w:val="-6"/>
          <w:sz w:val="20"/>
        </w:rPr>
        <w:t> </w:t>
      </w:r>
      <w:r>
        <w:rPr>
          <w:sz w:val="20"/>
        </w:rPr>
        <w:t>scope</w:t>
      </w:r>
      <w:r>
        <w:rPr>
          <w:spacing w:val="-5"/>
          <w:sz w:val="20"/>
        </w:rPr>
        <w:t> </w:t>
      </w:r>
      <w:r>
        <w:rPr>
          <w:sz w:val="20"/>
        </w:rPr>
        <w:t>should</w:t>
      </w:r>
      <w:r>
        <w:rPr>
          <w:spacing w:val="-6"/>
          <w:sz w:val="20"/>
        </w:rPr>
        <w:t> </w:t>
      </w:r>
      <w:r>
        <w:rPr>
          <w:sz w:val="20"/>
        </w:rPr>
        <w:t>make</w:t>
      </w:r>
      <w:r>
        <w:rPr>
          <w:spacing w:val="-6"/>
          <w:sz w:val="20"/>
        </w:rPr>
        <w:t> </w:t>
      </w:r>
      <w:r>
        <w:rPr>
          <w:sz w:val="20"/>
        </w:rPr>
        <w:t>a</w:t>
      </w:r>
      <w:r>
        <w:rPr>
          <w:spacing w:val="7"/>
          <w:sz w:val="20"/>
        </w:rPr>
        <w:t> </w:t>
      </w:r>
      <w:r>
        <w:rPr>
          <w:sz w:val="20"/>
        </w:rPr>
        <w:t>request early. Ideally this should be before the end of the first fiscal year when the MNE group could be</w:t>
      </w:r>
      <w:r>
        <w:rPr>
          <w:spacing w:val="-13"/>
          <w:sz w:val="20"/>
        </w:rPr>
        <w:t> </w:t>
      </w:r>
      <w:r>
        <w:rPr>
          <w:sz w:val="20"/>
        </w:rPr>
        <w:t>within</w:t>
      </w:r>
      <w:r>
        <w:rPr>
          <w:spacing w:val="-13"/>
          <w:sz w:val="20"/>
        </w:rPr>
        <w:t> </w:t>
      </w:r>
      <w:r>
        <w:rPr>
          <w:sz w:val="20"/>
        </w:rPr>
        <w:t>scope</w:t>
      </w:r>
      <w:r>
        <w:rPr>
          <w:spacing w:val="-12"/>
          <w:sz w:val="20"/>
        </w:rPr>
        <w:t> </w:t>
      </w:r>
      <w:r>
        <w:rPr>
          <w:sz w:val="20"/>
        </w:rPr>
        <w:t>(recognising</w:t>
      </w:r>
      <w:r>
        <w:rPr>
          <w:spacing w:val="-14"/>
          <w:sz w:val="20"/>
        </w:rPr>
        <w:t> </w:t>
      </w:r>
      <w:r>
        <w:rPr>
          <w:sz w:val="20"/>
        </w:rPr>
        <w:t>that</w:t>
      </w:r>
      <w:r>
        <w:rPr>
          <w:spacing w:val="-13"/>
          <w:sz w:val="20"/>
        </w:rPr>
        <w:t> </w:t>
      </w:r>
      <w:r>
        <w:rPr>
          <w:sz w:val="20"/>
        </w:rPr>
        <w:t>any</w:t>
      </w:r>
      <w:r>
        <w:rPr>
          <w:spacing w:val="-15"/>
          <w:sz w:val="20"/>
        </w:rPr>
        <w:t> </w:t>
      </w:r>
      <w:r>
        <w:rPr>
          <w:sz w:val="20"/>
        </w:rPr>
        <w:t>outcome</w:t>
      </w:r>
      <w:r>
        <w:rPr>
          <w:spacing w:val="-13"/>
          <w:sz w:val="20"/>
        </w:rPr>
        <w:t> </w:t>
      </w:r>
      <w:r>
        <w:rPr>
          <w:sz w:val="20"/>
        </w:rPr>
        <w:t>would</w:t>
      </w:r>
      <w:r>
        <w:rPr>
          <w:spacing w:val="-12"/>
          <w:sz w:val="20"/>
        </w:rPr>
        <w:t> </w:t>
      </w:r>
      <w:r>
        <w:rPr>
          <w:sz w:val="20"/>
        </w:rPr>
        <w:t>be</w:t>
      </w:r>
      <w:r>
        <w:rPr>
          <w:spacing w:val="-15"/>
          <w:sz w:val="20"/>
        </w:rPr>
        <w:t> </w:t>
      </w:r>
      <w:r>
        <w:rPr>
          <w:sz w:val="20"/>
        </w:rPr>
        <w:t>dependent</w:t>
      </w:r>
      <w:r>
        <w:rPr>
          <w:spacing w:val="-12"/>
          <w:sz w:val="20"/>
        </w:rPr>
        <w:t> </w:t>
      </w:r>
      <w:r>
        <w:rPr>
          <w:sz w:val="20"/>
        </w:rPr>
        <w:t>on</w:t>
      </w:r>
      <w:r>
        <w:rPr>
          <w:spacing w:val="-13"/>
          <w:sz w:val="20"/>
        </w:rPr>
        <w:t> </w:t>
      </w:r>
      <w:r>
        <w:rPr>
          <w:sz w:val="20"/>
        </w:rPr>
        <w:t>information</w:t>
      </w:r>
      <w:r>
        <w:rPr>
          <w:spacing w:val="-12"/>
          <w:sz w:val="20"/>
        </w:rPr>
        <w:t> </w:t>
      </w:r>
      <w:r>
        <w:rPr>
          <w:sz w:val="20"/>
        </w:rPr>
        <w:t>on</w:t>
      </w:r>
      <w:r>
        <w:rPr>
          <w:spacing w:val="-13"/>
          <w:sz w:val="20"/>
        </w:rPr>
        <w:t> </w:t>
      </w:r>
      <w:r>
        <w:rPr>
          <w:sz w:val="20"/>
        </w:rPr>
        <w:t>revenue and profit levels for that fiscal year, which would not be available until after the year-end), but in all cases an MNE group should seek to make a request for certainty at least six months before the relevant filing deadline for the MNE group’s Amount A self-assessment</w:t>
      </w:r>
      <w:r>
        <w:rPr>
          <w:spacing w:val="-35"/>
          <w:sz w:val="20"/>
        </w:rPr>
        <w:t> </w:t>
      </w:r>
      <w:r>
        <w:rPr>
          <w:sz w:val="20"/>
        </w:rPr>
        <w:t>return.</w:t>
      </w:r>
    </w:p>
    <w:p>
      <w:pPr>
        <w:pStyle w:val="ListParagraph"/>
        <w:numPr>
          <w:ilvl w:val="1"/>
          <w:numId w:val="13"/>
        </w:numPr>
        <w:tabs>
          <w:tab w:pos="1785" w:val="left" w:leader="none"/>
        </w:tabs>
        <w:spacing w:line="271" w:lineRule="auto" w:before="44" w:after="0"/>
        <w:ind w:left="1784" w:right="486" w:hanging="360"/>
        <w:jc w:val="both"/>
        <w:rPr>
          <w:sz w:val="20"/>
        </w:rPr>
      </w:pPr>
      <w:r>
        <w:rPr>
          <w:sz w:val="20"/>
        </w:rPr>
        <w:t>Where the UPE of the MNE group is resident in a jurisdiction that has introduced Amount A, this request should be submitted to the tax administration in this jurisdiction. Where the UPE jurisdiction has not introduced Amount A, the request may be submitted to any tax administration on a list of potential surrogate lead tax</w:t>
      </w:r>
      <w:r>
        <w:rPr>
          <w:spacing w:val="-6"/>
          <w:sz w:val="20"/>
        </w:rPr>
        <w:t> </w:t>
      </w:r>
      <w:r>
        <w:rPr>
          <w:sz w:val="20"/>
        </w:rPr>
        <w:t>administrations.</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785" w:val="left" w:leader="none"/>
        </w:tabs>
        <w:spacing w:line="266" w:lineRule="auto" w:before="99" w:after="0"/>
        <w:ind w:left="1784" w:right="480" w:hanging="360"/>
        <w:jc w:val="both"/>
        <w:rPr>
          <w:sz w:val="20"/>
        </w:rPr>
      </w:pPr>
      <w:r>
        <w:rPr>
          <w:sz w:val="20"/>
        </w:rPr>
        <w:t>The UPE tax administration should conduct an initial review of the MNE group’s </w:t>
      </w:r>
      <w:r>
        <w:rPr>
          <w:spacing w:val="2"/>
          <w:sz w:val="20"/>
        </w:rPr>
        <w:t>self- </w:t>
      </w:r>
      <w:r>
        <w:rPr>
          <w:sz w:val="20"/>
        </w:rPr>
        <w:t>assessment</w:t>
      </w:r>
      <w:r>
        <w:rPr>
          <w:spacing w:val="-4"/>
          <w:sz w:val="20"/>
        </w:rPr>
        <w:t> </w:t>
      </w:r>
      <w:r>
        <w:rPr>
          <w:sz w:val="20"/>
        </w:rPr>
        <w:t>and</w:t>
      </w:r>
      <w:r>
        <w:rPr>
          <w:spacing w:val="-4"/>
          <w:sz w:val="20"/>
        </w:rPr>
        <w:t> </w:t>
      </w:r>
      <w:r>
        <w:rPr>
          <w:sz w:val="20"/>
        </w:rPr>
        <w:t>the</w:t>
      </w:r>
      <w:r>
        <w:rPr>
          <w:spacing w:val="-5"/>
          <w:sz w:val="20"/>
        </w:rPr>
        <w:t> </w:t>
      </w:r>
      <w:r>
        <w:rPr>
          <w:sz w:val="20"/>
        </w:rPr>
        <w:t>application</w:t>
      </w:r>
      <w:r>
        <w:rPr>
          <w:spacing w:val="-3"/>
          <w:sz w:val="20"/>
        </w:rPr>
        <w:t> </w:t>
      </w:r>
      <w:r>
        <w:rPr>
          <w:sz w:val="20"/>
        </w:rPr>
        <w:t>of</w:t>
      </w:r>
      <w:r>
        <w:rPr>
          <w:spacing w:val="-2"/>
          <w:sz w:val="20"/>
        </w:rPr>
        <w:t> </w:t>
      </w:r>
      <w:r>
        <w:rPr>
          <w:sz w:val="20"/>
        </w:rPr>
        <w:t>each</w:t>
      </w:r>
      <w:r>
        <w:rPr>
          <w:spacing w:val="-2"/>
          <w:sz w:val="20"/>
        </w:rPr>
        <w:t> </w:t>
      </w:r>
      <w:r>
        <w:rPr>
          <w:sz w:val="20"/>
        </w:rPr>
        <w:t>element</w:t>
      </w:r>
      <w:r>
        <w:rPr>
          <w:spacing w:val="-3"/>
          <w:sz w:val="20"/>
        </w:rPr>
        <w:t> </w:t>
      </w:r>
      <w:r>
        <w:rPr>
          <w:sz w:val="20"/>
        </w:rPr>
        <w:t>of</w:t>
      </w:r>
      <w:r>
        <w:rPr>
          <w:spacing w:val="-2"/>
          <w:sz w:val="20"/>
        </w:rPr>
        <w:t> </w:t>
      </w:r>
      <w:r>
        <w:rPr>
          <w:sz w:val="20"/>
        </w:rPr>
        <w:t>the</w:t>
      </w:r>
      <w:r>
        <w:rPr>
          <w:spacing w:val="-3"/>
          <w:sz w:val="20"/>
        </w:rPr>
        <w:t> </w:t>
      </w:r>
      <w:r>
        <w:rPr>
          <w:sz w:val="20"/>
        </w:rPr>
        <w:t>definition</w:t>
      </w:r>
      <w:r>
        <w:rPr>
          <w:spacing w:val="-3"/>
          <w:sz w:val="20"/>
        </w:rPr>
        <w:t> </w:t>
      </w:r>
      <w:r>
        <w:rPr>
          <w:sz w:val="20"/>
        </w:rPr>
        <w:t>of</w:t>
      </w:r>
      <w:r>
        <w:rPr>
          <w:spacing w:val="-2"/>
          <w:sz w:val="20"/>
        </w:rPr>
        <w:t> </w:t>
      </w:r>
      <w:r>
        <w:rPr>
          <w:sz w:val="20"/>
        </w:rPr>
        <w:t>an</w:t>
      </w:r>
      <w:r>
        <w:rPr>
          <w:spacing w:val="-4"/>
          <w:sz w:val="20"/>
        </w:rPr>
        <w:t> </w:t>
      </w:r>
      <w:r>
        <w:rPr>
          <w:sz w:val="20"/>
        </w:rPr>
        <w:t>in-scope</w:t>
      </w:r>
      <w:r>
        <w:rPr>
          <w:spacing w:val="-2"/>
          <w:sz w:val="20"/>
        </w:rPr>
        <w:t> </w:t>
      </w:r>
      <w:r>
        <w:rPr>
          <w:sz w:val="20"/>
        </w:rPr>
        <w:t>MNE</w:t>
      </w:r>
      <w:r>
        <w:rPr>
          <w:spacing w:val="-2"/>
          <w:sz w:val="20"/>
        </w:rPr>
        <w:t> </w:t>
      </w:r>
      <w:r>
        <w:rPr>
          <w:sz w:val="20"/>
        </w:rPr>
        <w:t>group.</w:t>
      </w:r>
    </w:p>
    <w:p>
      <w:pPr>
        <w:pStyle w:val="ListParagraph"/>
        <w:numPr>
          <w:ilvl w:val="1"/>
          <w:numId w:val="13"/>
        </w:numPr>
        <w:tabs>
          <w:tab w:pos="1785" w:val="left" w:leader="none"/>
        </w:tabs>
        <w:spacing w:line="271" w:lineRule="auto" w:before="51" w:after="0"/>
        <w:ind w:left="1784" w:right="484" w:hanging="360"/>
        <w:jc w:val="both"/>
        <w:rPr>
          <w:sz w:val="20"/>
        </w:rPr>
      </w:pPr>
      <w:r>
        <w:rPr>
          <w:sz w:val="20"/>
        </w:rPr>
        <w:t>Where the UPE tax administration does not agree with the MNE group’s assessment as to whether</w:t>
      </w:r>
      <w:r>
        <w:rPr>
          <w:spacing w:val="-11"/>
          <w:sz w:val="20"/>
        </w:rPr>
        <w:t> </w:t>
      </w:r>
      <w:r>
        <w:rPr>
          <w:sz w:val="20"/>
        </w:rPr>
        <w:t>it</w:t>
      </w:r>
      <w:r>
        <w:rPr>
          <w:spacing w:val="-8"/>
          <w:sz w:val="20"/>
        </w:rPr>
        <w:t> </w:t>
      </w:r>
      <w:r>
        <w:rPr>
          <w:sz w:val="20"/>
        </w:rPr>
        <w:t>is</w:t>
      </w:r>
      <w:r>
        <w:rPr>
          <w:spacing w:val="-10"/>
          <w:sz w:val="20"/>
        </w:rPr>
        <w:t> </w:t>
      </w:r>
      <w:r>
        <w:rPr>
          <w:sz w:val="20"/>
        </w:rPr>
        <w:t>in</w:t>
      </w:r>
      <w:r>
        <w:rPr>
          <w:spacing w:val="-10"/>
          <w:sz w:val="20"/>
        </w:rPr>
        <w:t> </w:t>
      </w:r>
      <w:r>
        <w:rPr>
          <w:sz w:val="20"/>
        </w:rPr>
        <w:t>scope,</w:t>
      </w:r>
      <w:r>
        <w:rPr>
          <w:spacing w:val="-11"/>
          <w:sz w:val="20"/>
        </w:rPr>
        <w:t> </w:t>
      </w:r>
      <w:r>
        <w:rPr>
          <w:sz w:val="20"/>
        </w:rPr>
        <w:t>this</w:t>
      </w:r>
      <w:r>
        <w:rPr>
          <w:spacing w:val="-9"/>
          <w:sz w:val="20"/>
        </w:rPr>
        <w:t> </w:t>
      </w:r>
      <w:r>
        <w:rPr>
          <w:sz w:val="20"/>
        </w:rPr>
        <w:t>should</w:t>
      </w:r>
      <w:r>
        <w:rPr>
          <w:spacing w:val="-12"/>
          <w:sz w:val="20"/>
        </w:rPr>
        <w:t> </w:t>
      </w:r>
      <w:r>
        <w:rPr>
          <w:sz w:val="20"/>
        </w:rPr>
        <w:t>be</w:t>
      </w:r>
      <w:r>
        <w:rPr>
          <w:spacing w:val="-11"/>
          <w:sz w:val="20"/>
        </w:rPr>
        <w:t> </w:t>
      </w:r>
      <w:r>
        <w:rPr>
          <w:sz w:val="20"/>
        </w:rPr>
        <w:t>discussed</w:t>
      </w:r>
      <w:r>
        <w:rPr>
          <w:spacing w:val="-9"/>
          <w:sz w:val="20"/>
        </w:rPr>
        <w:t> </w:t>
      </w:r>
      <w:r>
        <w:rPr>
          <w:sz w:val="20"/>
        </w:rPr>
        <w:t>with</w:t>
      </w:r>
      <w:r>
        <w:rPr>
          <w:spacing w:val="-11"/>
          <w:sz w:val="20"/>
        </w:rPr>
        <w:t> </w:t>
      </w:r>
      <w:r>
        <w:rPr>
          <w:sz w:val="20"/>
        </w:rPr>
        <w:t>the</w:t>
      </w:r>
      <w:r>
        <w:rPr>
          <w:spacing w:val="-10"/>
          <w:sz w:val="20"/>
        </w:rPr>
        <w:t> </w:t>
      </w:r>
      <w:r>
        <w:rPr>
          <w:sz w:val="20"/>
        </w:rPr>
        <w:t>MNE</w:t>
      </w:r>
      <w:r>
        <w:rPr>
          <w:spacing w:val="-11"/>
          <w:sz w:val="20"/>
        </w:rPr>
        <w:t> </w:t>
      </w:r>
      <w:r>
        <w:rPr>
          <w:sz w:val="20"/>
        </w:rPr>
        <w:t>group</w:t>
      </w:r>
      <w:r>
        <w:rPr>
          <w:spacing w:val="-11"/>
          <w:sz w:val="20"/>
        </w:rPr>
        <w:t> </w:t>
      </w:r>
      <w:r>
        <w:rPr>
          <w:sz w:val="20"/>
        </w:rPr>
        <w:t>to</w:t>
      </w:r>
      <w:r>
        <w:rPr>
          <w:spacing w:val="-12"/>
          <w:sz w:val="20"/>
        </w:rPr>
        <w:t> </w:t>
      </w:r>
      <w:r>
        <w:rPr>
          <w:sz w:val="20"/>
        </w:rPr>
        <w:t>understand</w:t>
      </w:r>
      <w:r>
        <w:rPr>
          <w:spacing w:val="-11"/>
          <w:sz w:val="20"/>
        </w:rPr>
        <w:t> </w:t>
      </w:r>
      <w:r>
        <w:rPr>
          <w:sz w:val="20"/>
        </w:rPr>
        <w:t>the</w:t>
      </w:r>
      <w:r>
        <w:rPr>
          <w:spacing w:val="-12"/>
          <w:sz w:val="20"/>
        </w:rPr>
        <w:t> </w:t>
      </w:r>
      <w:r>
        <w:rPr>
          <w:sz w:val="20"/>
        </w:rPr>
        <w:t>different perspectives and see if agreement can be reached. The MNE group may modify its position as a result of this</w:t>
      </w:r>
      <w:r>
        <w:rPr>
          <w:spacing w:val="-1"/>
          <w:sz w:val="20"/>
        </w:rPr>
        <w:t> </w:t>
      </w:r>
      <w:r>
        <w:rPr>
          <w:sz w:val="20"/>
        </w:rPr>
        <w:t>discussion.</w:t>
      </w:r>
    </w:p>
    <w:p>
      <w:pPr>
        <w:pStyle w:val="ListParagraph"/>
        <w:numPr>
          <w:ilvl w:val="1"/>
          <w:numId w:val="13"/>
        </w:numPr>
        <w:tabs>
          <w:tab w:pos="1785" w:val="left" w:leader="none"/>
        </w:tabs>
        <w:spacing w:line="271" w:lineRule="auto" w:before="46" w:after="0"/>
        <w:ind w:left="1784" w:right="480" w:hanging="360"/>
        <w:jc w:val="both"/>
        <w:rPr>
          <w:sz w:val="20"/>
        </w:rPr>
      </w:pPr>
      <w:r>
        <w:rPr>
          <w:sz w:val="20"/>
        </w:rPr>
        <w:t>Where the UPE tax administration agrees with the MNE group’s assessment as to whether it is within scope (as filed or following discussion with the MNE), the MNE group’s </w:t>
      </w:r>
      <w:r>
        <w:rPr>
          <w:spacing w:val="2"/>
          <w:sz w:val="20"/>
        </w:rPr>
        <w:t>self- </w:t>
      </w:r>
      <w:r>
        <w:rPr>
          <w:sz w:val="20"/>
        </w:rPr>
        <w:t>assessment return as to scope and the associated documentation package should be exchanged with tax administrations in all Inclusive Framework member jurisdictions that have implemented Amount A, together with a recommendation that the MNE group’s position be accepted. These items are sent to all member jurisdictions that have implemented Amount A as there is the potential for any jurisdiction to become a relieving jurisdiction or market jurisdiction in the future and the decision as to whether a particular MNE group is in scope should not change as a result of this. In other words, all member jurisdictions with Amount A rules have a potential interest in whether any given MNE group is within scope of Amount A and should be given the opportunity to</w:t>
      </w:r>
      <w:r>
        <w:rPr>
          <w:spacing w:val="-12"/>
          <w:sz w:val="20"/>
        </w:rPr>
        <w:t> </w:t>
      </w:r>
      <w:r>
        <w:rPr>
          <w:sz w:val="20"/>
        </w:rPr>
        <w:t>comment.</w:t>
      </w:r>
    </w:p>
    <w:p>
      <w:pPr>
        <w:pStyle w:val="ListParagraph"/>
        <w:numPr>
          <w:ilvl w:val="1"/>
          <w:numId w:val="13"/>
        </w:numPr>
        <w:tabs>
          <w:tab w:pos="1785" w:val="left" w:leader="none"/>
        </w:tabs>
        <w:spacing w:line="271" w:lineRule="auto" w:before="43" w:after="0"/>
        <w:ind w:left="1784" w:right="483" w:hanging="360"/>
        <w:jc w:val="both"/>
        <w:rPr>
          <w:sz w:val="20"/>
        </w:rPr>
      </w:pPr>
      <w:r>
        <w:rPr>
          <w:sz w:val="20"/>
        </w:rPr>
        <w:t>If the MNE group and UPE tax administration continue to disagree as to whether the MNE group is within scope, the MNE group’s self-assessment return and documentation package is exchanged with tax administrations in all Inclusive Framework member jurisdictions that have implemented Amount A, together with an explanation as to why the UPE tax administration disagrees with this assessment and a recommendation that the UPE tax administration’s position be</w:t>
      </w:r>
      <w:r>
        <w:rPr>
          <w:spacing w:val="1"/>
          <w:sz w:val="20"/>
        </w:rPr>
        <w:t> </w:t>
      </w:r>
      <w:r>
        <w:rPr>
          <w:sz w:val="20"/>
        </w:rPr>
        <w:t>supported.</w:t>
      </w:r>
    </w:p>
    <w:p>
      <w:pPr>
        <w:pStyle w:val="ListParagraph"/>
        <w:numPr>
          <w:ilvl w:val="1"/>
          <w:numId w:val="13"/>
        </w:numPr>
        <w:tabs>
          <w:tab w:pos="1785" w:val="left" w:leader="none"/>
        </w:tabs>
        <w:spacing w:line="271" w:lineRule="auto" w:before="44" w:after="0"/>
        <w:ind w:left="1784" w:right="483" w:hanging="360"/>
        <w:jc w:val="both"/>
        <w:rPr>
          <w:sz w:val="20"/>
        </w:rPr>
      </w:pPr>
      <w:r>
        <w:rPr>
          <w:sz w:val="20"/>
        </w:rPr>
        <w:t>Tax administrations are given [12 weeks] to provide comments or objections to the UPE tax administration’s recommendation. Objections should be accompanied by a clear explanation of the specific elements where there is disagreement. It is anticipated that in the significant majority</w:t>
      </w:r>
      <w:r>
        <w:rPr>
          <w:spacing w:val="-11"/>
          <w:sz w:val="20"/>
        </w:rPr>
        <w:t> </w:t>
      </w:r>
      <w:r>
        <w:rPr>
          <w:sz w:val="20"/>
        </w:rPr>
        <w:t>of</w:t>
      </w:r>
      <w:r>
        <w:rPr>
          <w:spacing w:val="-6"/>
          <w:sz w:val="20"/>
        </w:rPr>
        <w:t> </w:t>
      </w:r>
      <w:r>
        <w:rPr>
          <w:sz w:val="20"/>
        </w:rPr>
        <w:t>cases,</w:t>
      </w:r>
      <w:r>
        <w:rPr>
          <w:spacing w:val="-6"/>
          <w:sz w:val="20"/>
        </w:rPr>
        <w:t> </w:t>
      </w:r>
      <w:r>
        <w:rPr>
          <w:sz w:val="20"/>
        </w:rPr>
        <w:t>if</w:t>
      </w:r>
      <w:r>
        <w:rPr>
          <w:spacing w:val="-6"/>
          <w:sz w:val="20"/>
        </w:rPr>
        <w:t> </w:t>
      </w:r>
      <w:r>
        <w:rPr>
          <w:sz w:val="20"/>
        </w:rPr>
        <w:t>rules</w:t>
      </w:r>
      <w:r>
        <w:rPr>
          <w:spacing w:val="-7"/>
          <w:sz w:val="20"/>
        </w:rPr>
        <w:t> </w:t>
      </w:r>
      <w:r>
        <w:rPr>
          <w:sz w:val="20"/>
        </w:rPr>
        <w:t>for</w:t>
      </w:r>
      <w:r>
        <w:rPr>
          <w:spacing w:val="-7"/>
          <w:sz w:val="20"/>
        </w:rPr>
        <w:t> </w:t>
      </w:r>
      <w:r>
        <w:rPr>
          <w:sz w:val="20"/>
        </w:rPr>
        <w:t>the</w:t>
      </w:r>
      <w:r>
        <w:rPr>
          <w:spacing w:val="-8"/>
          <w:sz w:val="20"/>
        </w:rPr>
        <w:t> </w:t>
      </w:r>
      <w:r>
        <w:rPr>
          <w:sz w:val="20"/>
        </w:rPr>
        <w:t>scope</w:t>
      </w:r>
      <w:r>
        <w:rPr>
          <w:spacing w:val="-8"/>
          <w:sz w:val="20"/>
        </w:rPr>
        <w:t> </w:t>
      </w:r>
      <w:r>
        <w:rPr>
          <w:sz w:val="20"/>
        </w:rPr>
        <w:t>of</w:t>
      </w:r>
      <w:r>
        <w:rPr>
          <w:spacing w:val="-6"/>
          <w:sz w:val="20"/>
        </w:rPr>
        <w:t> </w:t>
      </w:r>
      <w:r>
        <w:rPr>
          <w:sz w:val="20"/>
        </w:rPr>
        <w:t>Amount</w:t>
      </w:r>
      <w:r>
        <w:rPr>
          <w:spacing w:val="-6"/>
          <w:sz w:val="20"/>
        </w:rPr>
        <w:t> </w:t>
      </w:r>
      <w:r>
        <w:rPr>
          <w:sz w:val="20"/>
        </w:rPr>
        <w:t>A</w:t>
      </w:r>
      <w:r>
        <w:rPr>
          <w:spacing w:val="-6"/>
          <w:sz w:val="20"/>
        </w:rPr>
        <w:t> </w:t>
      </w:r>
      <w:r>
        <w:rPr>
          <w:sz w:val="20"/>
        </w:rPr>
        <w:t>are</w:t>
      </w:r>
      <w:r>
        <w:rPr>
          <w:spacing w:val="-8"/>
          <w:sz w:val="20"/>
        </w:rPr>
        <w:t> </w:t>
      </w:r>
      <w:r>
        <w:rPr>
          <w:sz w:val="20"/>
        </w:rPr>
        <w:t>clearly</w:t>
      </w:r>
      <w:r>
        <w:rPr>
          <w:spacing w:val="-11"/>
          <w:sz w:val="20"/>
        </w:rPr>
        <w:t> </w:t>
      </w:r>
      <w:r>
        <w:rPr>
          <w:sz w:val="20"/>
        </w:rPr>
        <w:t>articulated,</w:t>
      </w:r>
      <w:r>
        <w:rPr>
          <w:spacing w:val="-8"/>
          <w:sz w:val="20"/>
        </w:rPr>
        <w:t> </w:t>
      </w:r>
      <w:r>
        <w:rPr>
          <w:sz w:val="20"/>
        </w:rPr>
        <w:t>tax</w:t>
      </w:r>
      <w:r>
        <w:rPr>
          <w:spacing w:val="-5"/>
          <w:sz w:val="20"/>
        </w:rPr>
        <w:t> </w:t>
      </w:r>
      <w:r>
        <w:rPr>
          <w:sz w:val="20"/>
        </w:rPr>
        <w:t>administrations should agree with this recommendation. If no objections are received, the UPE tax administration’s recommendation is approved and communicated to the MNE</w:t>
      </w:r>
      <w:r>
        <w:rPr>
          <w:spacing w:val="-23"/>
          <w:sz w:val="20"/>
        </w:rPr>
        <w:t> </w:t>
      </w:r>
      <w:r>
        <w:rPr>
          <w:sz w:val="20"/>
        </w:rPr>
        <w:t>group.</w:t>
      </w:r>
    </w:p>
    <w:p>
      <w:pPr>
        <w:pStyle w:val="ListParagraph"/>
        <w:numPr>
          <w:ilvl w:val="1"/>
          <w:numId w:val="13"/>
        </w:numPr>
        <w:tabs>
          <w:tab w:pos="1785" w:val="left" w:leader="none"/>
        </w:tabs>
        <w:spacing w:line="271" w:lineRule="auto" w:before="44" w:after="0"/>
        <w:ind w:left="1784" w:right="484" w:hanging="360"/>
        <w:jc w:val="both"/>
        <w:rPr>
          <w:sz w:val="20"/>
        </w:rPr>
      </w:pPr>
      <w:r>
        <w:rPr>
          <w:sz w:val="20"/>
        </w:rPr>
        <w:t>If</w:t>
      </w:r>
      <w:r>
        <w:rPr>
          <w:spacing w:val="-5"/>
          <w:sz w:val="20"/>
        </w:rPr>
        <w:t> </w:t>
      </w:r>
      <w:r>
        <w:rPr>
          <w:sz w:val="20"/>
        </w:rPr>
        <w:t>one</w:t>
      </w:r>
      <w:r>
        <w:rPr>
          <w:spacing w:val="-7"/>
          <w:sz w:val="20"/>
        </w:rPr>
        <w:t> </w:t>
      </w:r>
      <w:r>
        <w:rPr>
          <w:sz w:val="20"/>
        </w:rPr>
        <w:t>or</w:t>
      </w:r>
      <w:r>
        <w:rPr>
          <w:spacing w:val="-8"/>
          <w:sz w:val="20"/>
        </w:rPr>
        <w:t> </w:t>
      </w:r>
      <w:r>
        <w:rPr>
          <w:sz w:val="20"/>
        </w:rPr>
        <w:t>more</w:t>
      </w:r>
      <w:r>
        <w:rPr>
          <w:spacing w:val="-6"/>
          <w:sz w:val="20"/>
        </w:rPr>
        <w:t> </w:t>
      </w:r>
      <w:r>
        <w:rPr>
          <w:sz w:val="20"/>
        </w:rPr>
        <w:t>tax</w:t>
      </w:r>
      <w:r>
        <w:rPr>
          <w:spacing w:val="-6"/>
          <w:sz w:val="20"/>
        </w:rPr>
        <w:t> </w:t>
      </w:r>
      <w:r>
        <w:rPr>
          <w:sz w:val="20"/>
        </w:rPr>
        <w:t>administrations</w:t>
      </w:r>
      <w:r>
        <w:rPr>
          <w:spacing w:val="-6"/>
          <w:sz w:val="20"/>
        </w:rPr>
        <w:t> </w:t>
      </w:r>
      <w:r>
        <w:rPr>
          <w:sz w:val="20"/>
        </w:rPr>
        <w:t>object</w:t>
      </w:r>
      <w:r>
        <w:rPr>
          <w:spacing w:val="-6"/>
          <w:sz w:val="20"/>
        </w:rPr>
        <w:t> </w:t>
      </w:r>
      <w:r>
        <w:rPr>
          <w:sz w:val="20"/>
        </w:rPr>
        <w:t>to</w:t>
      </w:r>
      <w:r>
        <w:rPr>
          <w:spacing w:val="-7"/>
          <w:sz w:val="20"/>
        </w:rPr>
        <w:t> </w:t>
      </w:r>
      <w:r>
        <w:rPr>
          <w:sz w:val="20"/>
        </w:rPr>
        <w:t>the</w:t>
      </w:r>
      <w:r>
        <w:rPr>
          <w:spacing w:val="-7"/>
          <w:sz w:val="20"/>
        </w:rPr>
        <w:t> </w:t>
      </w:r>
      <w:r>
        <w:rPr>
          <w:sz w:val="20"/>
        </w:rPr>
        <w:t>UPE</w:t>
      </w:r>
      <w:r>
        <w:rPr>
          <w:spacing w:val="-8"/>
          <w:sz w:val="20"/>
        </w:rPr>
        <w:t> </w:t>
      </w:r>
      <w:r>
        <w:rPr>
          <w:sz w:val="20"/>
        </w:rPr>
        <w:t>tax</w:t>
      </w:r>
      <w:r>
        <w:rPr>
          <w:spacing w:val="-6"/>
          <w:sz w:val="20"/>
        </w:rPr>
        <w:t> </w:t>
      </w:r>
      <w:r>
        <w:rPr>
          <w:sz w:val="20"/>
        </w:rPr>
        <w:t>administration’s</w:t>
      </w:r>
      <w:r>
        <w:rPr>
          <w:spacing w:val="-5"/>
          <w:sz w:val="20"/>
        </w:rPr>
        <w:t> </w:t>
      </w:r>
      <w:r>
        <w:rPr>
          <w:sz w:val="20"/>
        </w:rPr>
        <w:t>recommendation,</w:t>
      </w:r>
      <w:r>
        <w:rPr>
          <w:spacing w:val="-6"/>
          <w:sz w:val="20"/>
        </w:rPr>
        <w:t> </w:t>
      </w:r>
      <w:r>
        <w:rPr>
          <w:sz w:val="20"/>
        </w:rPr>
        <w:t>the UPE jurisdiction should discuss these with the relevant tax administrations and consider whether</w:t>
      </w:r>
      <w:r>
        <w:rPr>
          <w:spacing w:val="-12"/>
          <w:sz w:val="20"/>
        </w:rPr>
        <w:t> </w:t>
      </w:r>
      <w:r>
        <w:rPr>
          <w:sz w:val="20"/>
        </w:rPr>
        <w:t>its</w:t>
      </w:r>
      <w:r>
        <w:rPr>
          <w:spacing w:val="-11"/>
          <w:sz w:val="20"/>
        </w:rPr>
        <w:t> </w:t>
      </w:r>
      <w:r>
        <w:rPr>
          <w:sz w:val="20"/>
        </w:rPr>
        <w:t>recommendation</w:t>
      </w:r>
      <w:r>
        <w:rPr>
          <w:spacing w:val="-12"/>
          <w:sz w:val="20"/>
        </w:rPr>
        <w:t> </w:t>
      </w:r>
      <w:r>
        <w:rPr>
          <w:sz w:val="20"/>
        </w:rPr>
        <w:t>should</w:t>
      </w:r>
      <w:r>
        <w:rPr>
          <w:spacing w:val="-10"/>
          <w:sz w:val="20"/>
        </w:rPr>
        <w:t> </w:t>
      </w:r>
      <w:r>
        <w:rPr>
          <w:sz w:val="20"/>
        </w:rPr>
        <w:t>be</w:t>
      </w:r>
      <w:r>
        <w:rPr>
          <w:spacing w:val="-10"/>
          <w:sz w:val="20"/>
        </w:rPr>
        <w:t> </w:t>
      </w:r>
      <w:r>
        <w:rPr>
          <w:sz w:val="20"/>
        </w:rPr>
        <w:t>changed</w:t>
      </w:r>
      <w:r>
        <w:rPr>
          <w:spacing w:val="-10"/>
          <w:sz w:val="20"/>
        </w:rPr>
        <w:t> </w:t>
      </w:r>
      <w:r>
        <w:rPr>
          <w:sz w:val="20"/>
        </w:rPr>
        <w:t>or</w:t>
      </w:r>
      <w:r>
        <w:rPr>
          <w:spacing w:val="-9"/>
          <w:sz w:val="20"/>
        </w:rPr>
        <w:t> </w:t>
      </w:r>
      <w:r>
        <w:rPr>
          <w:sz w:val="20"/>
        </w:rPr>
        <w:t>if</w:t>
      </w:r>
      <w:r>
        <w:rPr>
          <w:spacing w:val="-10"/>
          <w:sz w:val="20"/>
        </w:rPr>
        <w:t> </w:t>
      </w:r>
      <w:r>
        <w:rPr>
          <w:sz w:val="20"/>
        </w:rPr>
        <w:t>the</w:t>
      </w:r>
      <w:r>
        <w:rPr>
          <w:spacing w:val="-12"/>
          <w:sz w:val="20"/>
        </w:rPr>
        <w:t> </w:t>
      </w:r>
      <w:r>
        <w:rPr>
          <w:sz w:val="20"/>
        </w:rPr>
        <w:t>tax</w:t>
      </w:r>
      <w:r>
        <w:rPr>
          <w:spacing w:val="-9"/>
          <w:sz w:val="20"/>
        </w:rPr>
        <w:t> </w:t>
      </w:r>
      <w:r>
        <w:rPr>
          <w:sz w:val="20"/>
        </w:rPr>
        <w:t>administrations</w:t>
      </w:r>
      <w:r>
        <w:rPr>
          <w:spacing w:val="-9"/>
          <w:sz w:val="20"/>
        </w:rPr>
        <w:t> </w:t>
      </w:r>
      <w:r>
        <w:rPr>
          <w:sz w:val="20"/>
        </w:rPr>
        <w:t>will</w:t>
      </w:r>
      <w:r>
        <w:rPr>
          <w:spacing w:val="-10"/>
          <w:sz w:val="20"/>
        </w:rPr>
        <w:t> </w:t>
      </w:r>
      <w:r>
        <w:rPr>
          <w:sz w:val="20"/>
        </w:rPr>
        <w:t>withdraw</w:t>
      </w:r>
      <w:r>
        <w:rPr>
          <w:spacing w:val="-14"/>
          <w:sz w:val="20"/>
        </w:rPr>
        <w:t> </w:t>
      </w:r>
      <w:r>
        <w:rPr>
          <w:sz w:val="20"/>
        </w:rPr>
        <w:t>their objections. In the event this does not happen, the question as to whether the MNE group is within scope should be referred to a determination panel for a</w:t>
      </w:r>
      <w:r>
        <w:rPr>
          <w:spacing w:val="-18"/>
          <w:sz w:val="20"/>
        </w:rPr>
        <w:t> </w:t>
      </w:r>
      <w:r>
        <w:rPr>
          <w:sz w:val="20"/>
        </w:rPr>
        <w:t>conclusion.</w:t>
      </w:r>
    </w:p>
    <w:p>
      <w:pPr>
        <w:pStyle w:val="ListParagraph"/>
        <w:numPr>
          <w:ilvl w:val="1"/>
          <w:numId w:val="13"/>
        </w:numPr>
        <w:tabs>
          <w:tab w:pos="1785" w:val="left" w:leader="none"/>
        </w:tabs>
        <w:spacing w:line="271" w:lineRule="auto" w:before="44" w:after="0"/>
        <w:ind w:left="1784" w:right="485" w:hanging="360"/>
        <w:jc w:val="both"/>
        <w:rPr>
          <w:sz w:val="20"/>
        </w:rPr>
      </w:pPr>
      <w:r>
        <w:rPr>
          <w:sz w:val="20"/>
        </w:rPr>
        <w:t>An MNE group is given certainty subject to a commitment that they will inform their UPE tax administration (or lead tax administration for MNE groups within scope) of any change that impacts this decision. Until such a change occurs, the certainty provided is binding on all Inclusive Framework member tax administrations. This means</w:t>
      </w:r>
      <w:r>
        <w:rPr>
          <w:spacing w:val="-5"/>
          <w:sz w:val="20"/>
        </w:rPr>
        <w:t> </w:t>
      </w:r>
      <w:r>
        <w:rPr>
          <w:sz w:val="20"/>
        </w:rPr>
        <w:t>that:</w:t>
      </w:r>
    </w:p>
    <w:p>
      <w:pPr>
        <w:pStyle w:val="ListParagraph"/>
        <w:numPr>
          <w:ilvl w:val="2"/>
          <w:numId w:val="13"/>
        </w:numPr>
        <w:tabs>
          <w:tab w:pos="2505" w:val="left" w:leader="none"/>
        </w:tabs>
        <w:spacing w:line="254" w:lineRule="auto" w:before="56" w:after="0"/>
        <w:ind w:left="2504" w:right="484" w:hanging="360"/>
        <w:jc w:val="both"/>
        <w:rPr>
          <w:sz w:val="20"/>
        </w:rPr>
      </w:pPr>
      <w:r>
        <w:rPr>
          <w:sz w:val="20"/>
        </w:rPr>
        <w:t>MNE groups that have been given certainty they are in scope should not be denied relief from double taxation in accordance with rules for Amount </w:t>
      </w:r>
      <w:r>
        <w:rPr>
          <w:spacing w:val="2"/>
          <w:sz w:val="20"/>
        </w:rPr>
        <w:t>A;</w:t>
      </w:r>
      <w:r>
        <w:rPr>
          <w:spacing w:val="-10"/>
          <w:sz w:val="20"/>
        </w:rPr>
        <w:t> </w:t>
      </w:r>
      <w:r>
        <w:rPr>
          <w:sz w:val="20"/>
        </w:rPr>
        <w:t>and</w:t>
      </w:r>
    </w:p>
    <w:p>
      <w:pPr>
        <w:pStyle w:val="ListParagraph"/>
        <w:numPr>
          <w:ilvl w:val="2"/>
          <w:numId w:val="13"/>
        </w:numPr>
        <w:tabs>
          <w:tab w:pos="2505" w:val="left" w:leader="none"/>
        </w:tabs>
        <w:spacing w:line="261" w:lineRule="auto" w:before="77" w:after="0"/>
        <w:ind w:left="2504" w:right="479" w:hanging="360"/>
        <w:jc w:val="both"/>
        <w:rPr>
          <w:sz w:val="20"/>
        </w:rPr>
      </w:pPr>
      <w:r>
        <w:rPr>
          <w:sz w:val="20"/>
        </w:rPr>
        <w:t>MNE groups that have been given certainty they are out-of-scope should not be subject to penalties or compliance action as a result of not filing an Amount A </w:t>
      </w:r>
      <w:r>
        <w:rPr>
          <w:spacing w:val="3"/>
          <w:sz w:val="20"/>
        </w:rPr>
        <w:t>self- </w:t>
      </w:r>
      <w:r>
        <w:rPr>
          <w:sz w:val="20"/>
        </w:rPr>
        <w:t>assessment</w:t>
      </w:r>
      <w:r>
        <w:rPr>
          <w:spacing w:val="-2"/>
          <w:sz w:val="20"/>
        </w:rPr>
        <w:t> </w:t>
      </w:r>
      <w:r>
        <w:rPr>
          <w:sz w:val="20"/>
        </w:rPr>
        <w:t>return.</w:t>
      </w:r>
    </w:p>
    <w:p>
      <w:pPr>
        <w:pStyle w:val="ListParagraph"/>
        <w:numPr>
          <w:ilvl w:val="0"/>
          <w:numId w:val="83"/>
        </w:numPr>
        <w:tabs>
          <w:tab w:pos="2164" w:val="left" w:leader="none"/>
        </w:tabs>
        <w:spacing w:line="271" w:lineRule="auto" w:before="56" w:after="0"/>
        <w:ind w:left="1784" w:right="482" w:firstLine="0"/>
        <w:jc w:val="both"/>
        <w:rPr>
          <w:sz w:val="20"/>
        </w:rPr>
      </w:pPr>
      <w:r>
        <w:rPr>
          <w:sz w:val="20"/>
        </w:rPr>
        <w:t>Measures will be considered to ensure that an MNE group informs its UPE tax administration (or lead tax administration, as appropriate) in a timely manner. This could include, for example, an annual reporting requirement to confirm whether </w:t>
      </w:r>
      <w:r>
        <w:rPr>
          <w:spacing w:val="4"/>
          <w:sz w:val="20"/>
        </w:rPr>
        <w:t>any </w:t>
      </w:r>
      <w:r>
        <w:rPr>
          <w:sz w:val="20"/>
        </w:rPr>
        <w:t>changes have occurred, a periodic review by tax administrations, or penalties for late or incomplete notification</w:t>
      </w:r>
      <w:r>
        <w:rPr>
          <w:spacing w:val="18"/>
          <w:sz w:val="20"/>
        </w:rPr>
        <w:t> </w:t>
      </w:r>
      <w:r>
        <w:rPr>
          <w:sz w:val="20"/>
        </w:rPr>
        <w:t>of</w:t>
      </w:r>
      <w:r>
        <w:rPr>
          <w:spacing w:val="18"/>
          <w:sz w:val="20"/>
        </w:rPr>
        <w:t> </w:t>
      </w:r>
      <w:r>
        <w:rPr>
          <w:sz w:val="20"/>
        </w:rPr>
        <w:t>changes.</w:t>
      </w:r>
      <w:r>
        <w:rPr>
          <w:spacing w:val="20"/>
          <w:sz w:val="20"/>
        </w:rPr>
        <w:t> </w:t>
      </w:r>
      <w:r>
        <w:rPr>
          <w:sz w:val="20"/>
        </w:rPr>
        <w:t>Following</w:t>
      </w:r>
      <w:r>
        <w:rPr>
          <w:spacing w:val="16"/>
          <w:sz w:val="20"/>
        </w:rPr>
        <w:t> </w:t>
      </w:r>
      <w:r>
        <w:rPr>
          <w:sz w:val="20"/>
        </w:rPr>
        <w:t>a</w:t>
      </w:r>
      <w:r>
        <w:rPr>
          <w:spacing w:val="16"/>
          <w:sz w:val="20"/>
        </w:rPr>
        <w:t> </w:t>
      </w:r>
      <w:r>
        <w:rPr>
          <w:sz w:val="20"/>
        </w:rPr>
        <w:t>change</w:t>
      </w:r>
      <w:r>
        <w:rPr>
          <w:spacing w:val="17"/>
          <w:sz w:val="20"/>
        </w:rPr>
        <w:t> </w:t>
      </w:r>
      <w:r>
        <w:rPr>
          <w:sz w:val="20"/>
        </w:rPr>
        <w:t>that</w:t>
      </w:r>
      <w:r>
        <w:rPr>
          <w:spacing w:val="19"/>
          <w:sz w:val="20"/>
        </w:rPr>
        <w:t> </w:t>
      </w:r>
      <w:r>
        <w:rPr>
          <w:sz w:val="20"/>
        </w:rPr>
        <w:t>impacts</w:t>
      </w:r>
      <w:r>
        <w:rPr>
          <w:spacing w:val="18"/>
          <w:sz w:val="20"/>
        </w:rPr>
        <w:t> </w:t>
      </w:r>
      <w:r>
        <w:rPr>
          <w:sz w:val="20"/>
        </w:rPr>
        <w:t>a</w:t>
      </w:r>
      <w:r>
        <w:rPr>
          <w:spacing w:val="16"/>
          <w:sz w:val="20"/>
        </w:rPr>
        <w:t> </w:t>
      </w:r>
      <w:r>
        <w:rPr>
          <w:sz w:val="20"/>
        </w:rPr>
        <w:t>decision</w:t>
      </w:r>
      <w:r>
        <w:rPr>
          <w:spacing w:val="17"/>
          <w:sz w:val="20"/>
        </w:rPr>
        <w:t> </w:t>
      </w:r>
      <w:r>
        <w:rPr>
          <w:sz w:val="20"/>
        </w:rPr>
        <w:t>as</w:t>
      </w:r>
      <w:r>
        <w:rPr>
          <w:spacing w:val="17"/>
          <w:sz w:val="20"/>
        </w:rPr>
        <w:t> </w:t>
      </w:r>
      <w:r>
        <w:rPr>
          <w:sz w:val="20"/>
        </w:rPr>
        <w:t>to</w:t>
      </w:r>
      <w:r>
        <w:rPr>
          <w:spacing w:val="18"/>
          <w:sz w:val="20"/>
        </w:rPr>
        <w:t> </w:t>
      </w:r>
      <w:r>
        <w:rPr>
          <w:sz w:val="20"/>
        </w:rPr>
        <w:t>whether</w:t>
      </w:r>
      <w:r>
        <w:rPr>
          <w:spacing w:val="18"/>
          <w:sz w:val="20"/>
        </w:rPr>
        <w:t> </w:t>
      </w:r>
      <w:r>
        <w:rPr>
          <w:sz w:val="20"/>
        </w:rPr>
        <w:t>an</w:t>
      </w:r>
      <w:r>
        <w:rPr>
          <w:spacing w:val="16"/>
          <w:sz w:val="20"/>
        </w:rPr>
        <w:t> </w:t>
      </w:r>
      <w:r>
        <w:rPr>
          <w:sz w:val="20"/>
        </w:rPr>
        <w:t>MNE</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pPr>
      <w:r>
        <w:rPr/>
        <w:t>group is within scope, an MNE group may request a new review, which will benefit from work undertaken in the earlier process.</w:t>
      </w:r>
    </w:p>
    <w:p>
      <w:pPr>
        <w:pStyle w:val="BodyText"/>
        <w:spacing w:before="7"/>
      </w:pPr>
    </w:p>
    <w:p>
      <w:pPr>
        <w:pStyle w:val="Heading7"/>
        <w:rPr>
          <w:i/>
        </w:rPr>
      </w:pPr>
      <w:bookmarkStart w:name="Whether a jurisdiction is a market juris" w:id="446"/>
      <w:bookmarkEnd w:id="446"/>
      <w:r>
        <w:rPr>
          <w:i w:val="0"/>
        </w:rPr>
      </w:r>
      <w:r>
        <w:rPr>
          <w:i/>
          <w:color w:val="616161"/>
        </w:rPr>
        <w:t>Whether a jurisdiction is a market jurisdiction of an MNE group</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As mentioned above, an MNE group will be required to provide to its lead tax administration a list of</w:t>
      </w:r>
      <w:r>
        <w:rPr>
          <w:spacing w:val="-13"/>
          <w:sz w:val="20"/>
        </w:rPr>
        <w:t> </w:t>
      </w:r>
      <w:r>
        <w:rPr>
          <w:sz w:val="20"/>
        </w:rPr>
        <w:t>all</w:t>
      </w:r>
      <w:r>
        <w:rPr>
          <w:spacing w:val="-12"/>
          <w:sz w:val="20"/>
        </w:rPr>
        <w:t> </w:t>
      </w:r>
      <w:r>
        <w:rPr>
          <w:sz w:val="20"/>
        </w:rPr>
        <w:t>Inclusive</w:t>
      </w:r>
      <w:r>
        <w:rPr>
          <w:spacing w:val="-15"/>
          <w:sz w:val="20"/>
        </w:rPr>
        <w:t> </w:t>
      </w:r>
      <w:r>
        <w:rPr>
          <w:sz w:val="20"/>
        </w:rPr>
        <w:t>Framework</w:t>
      </w:r>
      <w:r>
        <w:rPr>
          <w:spacing w:val="-10"/>
          <w:sz w:val="20"/>
        </w:rPr>
        <w:t> </w:t>
      </w:r>
      <w:r>
        <w:rPr>
          <w:sz w:val="20"/>
        </w:rPr>
        <w:t>member</w:t>
      </w:r>
      <w:r>
        <w:rPr>
          <w:spacing w:val="-14"/>
          <w:sz w:val="20"/>
        </w:rPr>
        <w:t> </w:t>
      </w:r>
      <w:r>
        <w:rPr>
          <w:sz w:val="20"/>
        </w:rPr>
        <w:t>jurisdictions</w:t>
      </w:r>
      <w:r>
        <w:rPr>
          <w:spacing w:val="-12"/>
          <w:sz w:val="20"/>
        </w:rPr>
        <w:t> </w:t>
      </w:r>
      <w:r>
        <w:rPr>
          <w:sz w:val="20"/>
        </w:rPr>
        <w:t>that</w:t>
      </w:r>
      <w:r>
        <w:rPr>
          <w:spacing w:val="-14"/>
          <w:sz w:val="20"/>
        </w:rPr>
        <w:t> </w:t>
      </w:r>
      <w:r>
        <w:rPr>
          <w:sz w:val="20"/>
        </w:rPr>
        <w:t>are</w:t>
      </w:r>
      <w:r>
        <w:rPr>
          <w:spacing w:val="-14"/>
          <w:sz w:val="20"/>
        </w:rPr>
        <w:t> </w:t>
      </w:r>
      <w:r>
        <w:rPr>
          <w:sz w:val="20"/>
        </w:rPr>
        <w:t>market</w:t>
      </w:r>
      <w:r>
        <w:rPr>
          <w:spacing w:val="-15"/>
          <w:sz w:val="20"/>
        </w:rPr>
        <w:t> </w:t>
      </w:r>
      <w:r>
        <w:rPr>
          <w:sz w:val="20"/>
        </w:rPr>
        <w:t>jurisdictions.</w:t>
      </w:r>
      <w:r>
        <w:rPr>
          <w:spacing w:val="-11"/>
          <w:sz w:val="20"/>
        </w:rPr>
        <w:t> </w:t>
      </w:r>
      <w:r>
        <w:rPr>
          <w:sz w:val="20"/>
        </w:rPr>
        <w:t>For</w:t>
      </w:r>
      <w:r>
        <w:rPr>
          <w:spacing w:val="-14"/>
          <w:sz w:val="20"/>
        </w:rPr>
        <w:t> </w:t>
      </w:r>
      <w:r>
        <w:rPr>
          <w:sz w:val="20"/>
        </w:rPr>
        <w:t>these</w:t>
      </w:r>
      <w:r>
        <w:rPr>
          <w:spacing w:val="-14"/>
          <w:sz w:val="20"/>
        </w:rPr>
        <w:t> </w:t>
      </w:r>
      <w:r>
        <w:rPr>
          <w:sz w:val="20"/>
        </w:rPr>
        <w:t>purposes,</w:t>
      </w:r>
      <w:r>
        <w:rPr>
          <w:spacing w:val="-11"/>
          <w:sz w:val="20"/>
        </w:rPr>
        <w:t> </w:t>
      </w:r>
      <w:r>
        <w:rPr>
          <w:sz w:val="20"/>
        </w:rPr>
        <w:t>a</w:t>
      </w:r>
      <w:r>
        <w:rPr>
          <w:spacing w:val="-15"/>
          <w:sz w:val="20"/>
        </w:rPr>
        <w:t> </w:t>
      </w:r>
      <w:r>
        <w:rPr>
          <w:sz w:val="20"/>
        </w:rPr>
        <w:t>market jurisdiction is defined as a jurisdiction in which the MNE</w:t>
      </w:r>
      <w:r>
        <w:rPr>
          <w:spacing w:val="-5"/>
          <w:sz w:val="20"/>
        </w:rPr>
        <w:t> </w:t>
      </w:r>
      <w:r>
        <w:rPr>
          <w:sz w:val="20"/>
        </w:rPr>
        <w:t>group:</w:t>
      </w:r>
    </w:p>
    <w:p>
      <w:pPr>
        <w:pStyle w:val="ListParagraph"/>
        <w:numPr>
          <w:ilvl w:val="1"/>
          <w:numId w:val="13"/>
        </w:numPr>
        <w:tabs>
          <w:tab w:pos="1785" w:val="left" w:leader="none"/>
        </w:tabs>
        <w:spacing w:line="271" w:lineRule="auto" w:before="100" w:after="0"/>
        <w:ind w:left="1784" w:right="486" w:hanging="360"/>
        <w:jc w:val="both"/>
        <w:rPr>
          <w:sz w:val="20"/>
        </w:rPr>
      </w:pPr>
      <w:r>
        <w:rPr>
          <w:sz w:val="20"/>
        </w:rPr>
        <w:t>had</w:t>
      </w:r>
      <w:r>
        <w:rPr>
          <w:spacing w:val="-7"/>
          <w:sz w:val="20"/>
        </w:rPr>
        <w:t> </w:t>
      </w:r>
      <w:r>
        <w:rPr>
          <w:sz w:val="20"/>
        </w:rPr>
        <w:t>pro-rata</w:t>
      </w:r>
      <w:r>
        <w:rPr>
          <w:spacing w:val="-7"/>
          <w:sz w:val="20"/>
        </w:rPr>
        <w:t> </w:t>
      </w:r>
      <w:r>
        <w:rPr>
          <w:sz w:val="20"/>
        </w:rPr>
        <w:t>in-scope</w:t>
      </w:r>
      <w:r>
        <w:rPr>
          <w:spacing w:val="-8"/>
          <w:sz w:val="20"/>
        </w:rPr>
        <w:t> </w:t>
      </w:r>
      <w:r>
        <w:rPr>
          <w:sz w:val="20"/>
        </w:rPr>
        <w:t>revenue</w:t>
      </w:r>
      <w:r>
        <w:rPr>
          <w:spacing w:val="-9"/>
          <w:sz w:val="20"/>
        </w:rPr>
        <w:t> </w:t>
      </w:r>
      <w:r>
        <w:rPr>
          <w:sz w:val="20"/>
        </w:rPr>
        <w:t>equal</w:t>
      </w:r>
      <w:r>
        <w:rPr>
          <w:spacing w:val="-9"/>
          <w:sz w:val="20"/>
        </w:rPr>
        <w:t> </w:t>
      </w:r>
      <w:r>
        <w:rPr>
          <w:sz w:val="20"/>
        </w:rPr>
        <w:t>to</w:t>
      </w:r>
      <w:r>
        <w:rPr>
          <w:spacing w:val="-7"/>
          <w:sz w:val="20"/>
        </w:rPr>
        <w:t> </w:t>
      </w:r>
      <w:r>
        <w:rPr>
          <w:sz w:val="20"/>
        </w:rPr>
        <w:t>the</w:t>
      </w:r>
      <w:r>
        <w:rPr>
          <w:spacing w:val="-6"/>
          <w:sz w:val="20"/>
        </w:rPr>
        <w:t> </w:t>
      </w:r>
      <w:r>
        <w:rPr>
          <w:sz w:val="20"/>
        </w:rPr>
        <w:t>threshold</w:t>
      </w:r>
      <w:r>
        <w:rPr>
          <w:spacing w:val="-9"/>
          <w:sz w:val="20"/>
        </w:rPr>
        <w:t> </w:t>
      </w:r>
      <w:r>
        <w:rPr>
          <w:sz w:val="20"/>
        </w:rPr>
        <w:t>for</w:t>
      </w:r>
      <w:r>
        <w:rPr>
          <w:spacing w:val="-7"/>
          <w:sz w:val="20"/>
        </w:rPr>
        <w:t> </w:t>
      </w:r>
      <w:r>
        <w:rPr>
          <w:sz w:val="20"/>
        </w:rPr>
        <w:t>an</w:t>
      </w:r>
      <w:r>
        <w:rPr>
          <w:spacing w:val="-9"/>
          <w:sz w:val="20"/>
        </w:rPr>
        <w:t> </w:t>
      </w:r>
      <w:r>
        <w:rPr>
          <w:sz w:val="20"/>
        </w:rPr>
        <w:t>allocation</w:t>
      </w:r>
      <w:r>
        <w:rPr>
          <w:spacing w:val="-8"/>
          <w:sz w:val="20"/>
        </w:rPr>
        <w:t> </w:t>
      </w:r>
      <w:r>
        <w:rPr>
          <w:sz w:val="20"/>
        </w:rPr>
        <w:t>of</w:t>
      </w:r>
      <w:r>
        <w:rPr>
          <w:spacing w:val="-7"/>
          <w:sz w:val="20"/>
        </w:rPr>
        <w:t> </w:t>
      </w:r>
      <w:r>
        <w:rPr>
          <w:sz w:val="20"/>
        </w:rPr>
        <w:t>Amount</w:t>
      </w:r>
      <w:r>
        <w:rPr>
          <w:spacing w:val="-8"/>
          <w:sz w:val="20"/>
        </w:rPr>
        <w:t> </w:t>
      </w:r>
      <w:r>
        <w:rPr>
          <w:sz w:val="20"/>
        </w:rPr>
        <w:t>A</w:t>
      </w:r>
      <w:r>
        <w:rPr>
          <w:spacing w:val="-5"/>
          <w:sz w:val="20"/>
        </w:rPr>
        <w:t> </w:t>
      </w:r>
      <w:r>
        <w:rPr>
          <w:sz w:val="20"/>
        </w:rPr>
        <w:t>in</w:t>
      </w:r>
      <w:r>
        <w:rPr>
          <w:spacing w:val="-8"/>
          <w:sz w:val="20"/>
        </w:rPr>
        <w:t> </w:t>
      </w:r>
      <w:r>
        <w:rPr>
          <w:sz w:val="20"/>
        </w:rPr>
        <w:t>the</w:t>
      </w:r>
      <w:r>
        <w:rPr>
          <w:spacing w:val="-9"/>
          <w:sz w:val="20"/>
        </w:rPr>
        <w:t> </w:t>
      </w:r>
      <w:r>
        <w:rPr>
          <w:sz w:val="20"/>
        </w:rPr>
        <w:t>most recently ended fiscal year or in any fiscal period ending in the prior 12 months (i.e. in most cases this will mean the most recent fiscal year and the one before that);</w:t>
      </w:r>
      <w:r>
        <w:rPr>
          <w:spacing w:val="-17"/>
          <w:sz w:val="20"/>
        </w:rPr>
        <w:t> </w:t>
      </w:r>
      <w:r>
        <w:rPr>
          <w:sz w:val="20"/>
        </w:rPr>
        <w:t>and</w:t>
      </w:r>
    </w:p>
    <w:p>
      <w:pPr>
        <w:pStyle w:val="ListParagraph"/>
        <w:numPr>
          <w:ilvl w:val="1"/>
          <w:numId w:val="13"/>
        </w:numPr>
        <w:tabs>
          <w:tab w:pos="1785" w:val="left" w:leader="none"/>
        </w:tabs>
        <w:spacing w:line="240" w:lineRule="auto" w:before="43" w:after="0"/>
        <w:ind w:left="1784" w:right="0" w:hanging="361"/>
        <w:jc w:val="both"/>
        <w:rPr>
          <w:sz w:val="20"/>
        </w:rPr>
      </w:pPr>
      <w:r>
        <w:rPr>
          <w:sz w:val="20"/>
        </w:rPr>
        <w:t>any “plus factor” described in chapter 3, as</w:t>
      </w:r>
      <w:r>
        <w:rPr>
          <w:spacing w:val="-9"/>
          <w:sz w:val="20"/>
        </w:rPr>
        <w:t> </w:t>
      </w:r>
      <w:r>
        <w:rPr>
          <w:sz w:val="20"/>
        </w:rPr>
        <w:t>appropriate.</w:t>
      </w:r>
    </w:p>
    <w:p>
      <w:pPr>
        <w:pStyle w:val="ListParagraph"/>
        <w:numPr>
          <w:ilvl w:val="0"/>
          <w:numId w:val="13"/>
        </w:numPr>
        <w:tabs>
          <w:tab w:pos="1444" w:val="left" w:leader="none"/>
        </w:tabs>
        <w:spacing w:line="271" w:lineRule="auto" w:before="156" w:after="0"/>
        <w:ind w:left="723" w:right="482" w:firstLine="0"/>
        <w:jc w:val="both"/>
        <w:rPr>
          <w:sz w:val="20"/>
        </w:rPr>
      </w:pPr>
      <w:r>
        <w:rPr>
          <w:sz w:val="20"/>
        </w:rPr>
        <w:t>This</w:t>
      </w:r>
      <w:r>
        <w:rPr>
          <w:spacing w:val="-13"/>
          <w:sz w:val="20"/>
        </w:rPr>
        <w:t> </w:t>
      </w:r>
      <w:r>
        <w:rPr>
          <w:sz w:val="20"/>
        </w:rPr>
        <w:t>approach</w:t>
      </w:r>
      <w:r>
        <w:rPr>
          <w:spacing w:val="-15"/>
          <w:sz w:val="20"/>
        </w:rPr>
        <w:t> </w:t>
      </w:r>
      <w:r>
        <w:rPr>
          <w:sz w:val="20"/>
        </w:rPr>
        <w:t>should</w:t>
      </w:r>
      <w:r>
        <w:rPr>
          <w:spacing w:val="-15"/>
          <w:sz w:val="20"/>
        </w:rPr>
        <w:t> </w:t>
      </w:r>
      <w:r>
        <w:rPr>
          <w:sz w:val="20"/>
        </w:rPr>
        <w:t>ensure</w:t>
      </w:r>
      <w:r>
        <w:rPr>
          <w:spacing w:val="-15"/>
          <w:sz w:val="20"/>
        </w:rPr>
        <w:t> </w:t>
      </w:r>
      <w:r>
        <w:rPr>
          <w:sz w:val="20"/>
        </w:rPr>
        <w:t>that</w:t>
      </w:r>
      <w:r>
        <w:rPr>
          <w:spacing w:val="-12"/>
          <w:sz w:val="20"/>
        </w:rPr>
        <w:t> </w:t>
      </w:r>
      <w:r>
        <w:rPr>
          <w:sz w:val="20"/>
        </w:rPr>
        <w:t>Inclusive</w:t>
      </w:r>
      <w:r>
        <w:rPr>
          <w:spacing w:val="-15"/>
          <w:sz w:val="20"/>
        </w:rPr>
        <w:t> </w:t>
      </w:r>
      <w:r>
        <w:rPr>
          <w:sz w:val="20"/>
        </w:rPr>
        <w:t>Framework</w:t>
      </w:r>
      <w:r>
        <w:rPr>
          <w:spacing w:val="-8"/>
          <w:sz w:val="20"/>
        </w:rPr>
        <w:t> </w:t>
      </w:r>
      <w:r>
        <w:rPr>
          <w:sz w:val="20"/>
        </w:rPr>
        <w:t>member</w:t>
      </w:r>
      <w:r>
        <w:rPr>
          <w:spacing w:val="-16"/>
          <w:sz w:val="20"/>
        </w:rPr>
        <w:t> </w:t>
      </w:r>
      <w:r>
        <w:rPr>
          <w:sz w:val="20"/>
        </w:rPr>
        <w:t>jurisdictions</w:t>
      </w:r>
      <w:r>
        <w:rPr>
          <w:spacing w:val="-11"/>
          <w:sz w:val="20"/>
        </w:rPr>
        <w:t> </w:t>
      </w:r>
      <w:r>
        <w:rPr>
          <w:sz w:val="20"/>
        </w:rPr>
        <w:t>where</w:t>
      </w:r>
      <w:r>
        <w:rPr>
          <w:spacing w:val="-13"/>
          <w:sz w:val="20"/>
        </w:rPr>
        <w:t> </w:t>
      </w:r>
      <w:r>
        <w:rPr>
          <w:sz w:val="20"/>
        </w:rPr>
        <w:t>an</w:t>
      </w:r>
      <w:r>
        <w:rPr>
          <w:spacing w:val="-15"/>
          <w:sz w:val="20"/>
        </w:rPr>
        <w:t> </w:t>
      </w:r>
      <w:r>
        <w:rPr>
          <w:sz w:val="20"/>
        </w:rPr>
        <w:t>MNE</w:t>
      </w:r>
      <w:r>
        <w:rPr>
          <w:spacing w:val="-13"/>
          <w:sz w:val="20"/>
        </w:rPr>
        <w:t> </w:t>
      </w:r>
      <w:r>
        <w:rPr>
          <w:sz w:val="20"/>
        </w:rPr>
        <w:t>group is likely to have in-scope revenue close to the threshold for an allocation of Amount A receive a copy of the MNE group’s Amount A self-assessment return and documentation package. The tax administrations in these jurisdictions can then review these to determine whether the in-scope revenue is above the applicable</w:t>
      </w:r>
      <w:r>
        <w:rPr>
          <w:spacing w:val="1"/>
          <w:sz w:val="20"/>
        </w:rPr>
        <w:t> </w:t>
      </w:r>
      <w:r>
        <w:rPr>
          <w:sz w:val="20"/>
        </w:rPr>
        <w:t>threshold.</w:t>
      </w:r>
    </w:p>
    <w:p>
      <w:pPr>
        <w:pStyle w:val="ListParagraph"/>
        <w:numPr>
          <w:ilvl w:val="0"/>
          <w:numId w:val="13"/>
        </w:numPr>
        <w:tabs>
          <w:tab w:pos="1444" w:val="left" w:leader="none"/>
        </w:tabs>
        <w:spacing w:line="271" w:lineRule="auto" w:before="121" w:after="0"/>
        <w:ind w:left="723" w:right="491" w:firstLine="0"/>
        <w:jc w:val="both"/>
        <w:rPr>
          <w:sz w:val="20"/>
        </w:rPr>
      </w:pPr>
      <w:r>
        <w:rPr>
          <w:sz w:val="20"/>
        </w:rPr>
        <w:t>An issue remains however, where an MNE group does not include a particular jurisdiction on its list of market jurisdictions in circumstances where the tax administration in that jurisdiction takes the view that</w:t>
      </w:r>
      <w:r>
        <w:rPr>
          <w:spacing w:val="-3"/>
          <w:sz w:val="20"/>
        </w:rPr>
        <w:t> </w:t>
      </w:r>
      <w:r>
        <w:rPr>
          <w:sz w:val="20"/>
        </w:rPr>
        <w:t>it</w:t>
      </w:r>
      <w:r>
        <w:rPr>
          <w:spacing w:val="-5"/>
          <w:sz w:val="20"/>
        </w:rPr>
        <w:t> </w:t>
      </w:r>
      <w:r>
        <w:rPr>
          <w:sz w:val="20"/>
        </w:rPr>
        <w:t>should</w:t>
      </w:r>
      <w:r>
        <w:rPr>
          <w:spacing w:val="-4"/>
          <w:sz w:val="20"/>
        </w:rPr>
        <w:t> </w:t>
      </w:r>
      <w:r>
        <w:rPr>
          <w:sz w:val="20"/>
        </w:rPr>
        <w:t>be</w:t>
      </w:r>
      <w:r>
        <w:rPr>
          <w:spacing w:val="-3"/>
          <w:sz w:val="20"/>
        </w:rPr>
        <w:t> </w:t>
      </w:r>
      <w:r>
        <w:rPr>
          <w:sz w:val="20"/>
        </w:rPr>
        <w:t>a</w:t>
      </w:r>
      <w:r>
        <w:rPr>
          <w:spacing w:val="-5"/>
          <w:sz w:val="20"/>
        </w:rPr>
        <w:t> </w:t>
      </w:r>
      <w:r>
        <w:rPr>
          <w:sz w:val="20"/>
        </w:rPr>
        <w:t>market</w:t>
      </w:r>
      <w:r>
        <w:rPr>
          <w:spacing w:val="-5"/>
          <w:sz w:val="20"/>
        </w:rPr>
        <w:t> </w:t>
      </w:r>
      <w:r>
        <w:rPr>
          <w:sz w:val="20"/>
        </w:rPr>
        <w:t>jurisdiction.</w:t>
      </w:r>
      <w:r>
        <w:rPr>
          <w:spacing w:val="-3"/>
          <w:sz w:val="20"/>
        </w:rPr>
        <w:t> </w:t>
      </w:r>
      <w:r>
        <w:rPr>
          <w:sz w:val="20"/>
        </w:rPr>
        <w:t>A</w:t>
      </w:r>
      <w:r>
        <w:rPr>
          <w:spacing w:val="-3"/>
          <w:sz w:val="20"/>
        </w:rPr>
        <w:t> </w:t>
      </w:r>
      <w:r>
        <w:rPr>
          <w:sz w:val="20"/>
        </w:rPr>
        <w:t>possible</w:t>
      </w:r>
      <w:r>
        <w:rPr>
          <w:spacing w:val="-3"/>
          <w:sz w:val="20"/>
        </w:rPr>
        <w:t> </w:t>
      </w:r>
      <w:r>
        <w:rPr>
          <w:sz w:val="20"/>
        </w:rPr>
        <w:t>approach</w:t>
      </w:r>
      <w:r>
        <w:rPr>
          <w:spacing w:val="-4"/>
          <w:sz w:val="20"/>
        </w:rPr>
        <w:t> </w:t>
      </w:r>
      <w:r>
        <w:rPr>
          <w:sz w:val="20"/>
        </w:rPr>
        <w:t>to</w:t>
      </w:r>
      <w:r>
        <w:rPr>
          <w:spacing w:val="-3"/>
          <w:sz w:val="20"/>
        </w:rPr>
        <w:t> </w:t>
      </w:r>
      <w:r>
        <w:rPr>
          <w:sz w:val="20"/>
        </w:rPr>
        <w:t>address</w:t>
      </w:r>
      <w:r>
        <w:rPr>
          <w:spacing w:val="-3"/>
          <w:sz w:val="20"/>
        </w:rPr>
        <w:t> </w:t>
      </w:r>
      <w:r>
        <w:rPr>
          <w:sz w:val="20"/>
        </w:rPr>
        <w:t>this</w:t>
      </w:r>
      <w:r>
        <w:rPr>
          <w:spacing w:val="-4"/>
          <w:sz w:val="20"/>
        </w:rPr>
        <w:t> </w:t>
      </w:r>
      <w:r>
        <w:rPr>
          <w:sz w:val="20"/>
        </w:rPr>
        <w:t>concern</w:t>
      </w:r>
      <w:r>
        <w:rPr>
          <w:spacing w:val="-4"/>
          <w:sz w:val="20"/>
        </w:rPr>
        <w:t> </w:t>
      </w:r>
      <w:r>
        <w:rPr>
          <w:sz w:val="20"/>
        </w:rPr>
        <w:t>is</w:t>
      </w:r>
      <w:r>
        <w:rPr>
          <w:spacing w:val="-4"/>
          <w:sz w:val="20"/>
        </w:rPr>
        <w:t> </w:t>
      </w:r>
      <w:r>
        <w:rPr>
          <w:sz w:val="20"/>
        </w:rPr>
        <w:t>summarised</w:t>
      </w:r>
      <w:r>
        <w:rPr>
          <w:spacing w:val="-5"/>
          <w:sz w:val="20"/>
        </w:rPr>
        <w:t> </w:t>
      </w:r>
      <w:r>
        <w:rPr>
          <w:sz w:val="20"/>
        </w:rPr>
        <w:t>below.</w:t>
      </w:r>
    </w:p>
    <w:p>
      <w:pPr>
        <w:pStyle w:val="ListParagraph"/>
        <w:numPr>
          <w:ilvl w:val="1"/>
          <w:numId w:val="13"/>
        </w:numPr>
        <w:tabs>
          <w:tab w:pos="1785" w:val="left" w:leader="none"/>
        </w:tabs>
        <w:spacing w:line="271" w:lineRule="auto" w:before="100" w:after="0"/>
        <w:ind w:left="1784" w:right="481" w:hanging="360"/>
        <w:jc w:val="both"/>
        <w:rPr>
          <w:sz w:val="20"/>
        </w:rPr>
      </w:pPr>
      <w:r>
        <w:rPr>
          <w:sz w:val="20"/>
        </w:rPr>
        <w:t>An MNE group will be required to provide to its lead tax administration a list of its market jurisdictions, which will be made available to tax administrations in all Inclusive Framework member tax administrations. Therefore, tax administrations that believe they are in a market jurisdiction can review this list and confirm if their jurisdiction is</w:t>
      </w:r>
      <w:r>
        <w:rPr>
          <w:spacing w:val="-10"/>
          <w:sz w:val="20"/>
        </w:rPr>
        <w:t> </w:t>
      </w:r>
      <w:r>
        <w:rPr>
          <w:sz w:val="20"/>
        </w:rPr>
        <w:t>included.</w:t>
      </w:r>
    </w:p>
    <w:p>
      <w:pPr>
        <w:pStyle w:val="ListParagraph"/>
        <w:numPr>
          <w:ilvl w:val="1"/>
          <w:numId w:val="13"/>
        </w:numPr>
        <w:tabs>
          <w:tab w:pos="1785" w:val="left" w:leader="none"/>
        </w:tabs>
        <w:spacing w:line="271" w:lineRule="auto" w:before="42" w:after="0"/>
        <w:ind w:left="1784" w:right="480" w:hanging="360"/>
        <w:jc w:val="both"/>
        <w:rPr>
          <w:sz w:val="20"/>
        </w:rPr>
      </w:pPr>
      <w:r>
        <w:rPr>
          <w:sz w:val="20"/>
        </w:rPr>
        <w:t>Where a tax administration sees that its jurisdiction is not included on the list, it may contact the</w:t>
      </w:r>
      <w:r>
        <w:rPr>
          <w:spacing w:val="-5"/>
          <w:sz w:val="20"/>
        </w:rPr>
        <w:t> </w:t>
      </w:r>
      <w:r>
        <w:rPr>
          <w:sz w:val="20"/>
        </w:rPr>
        <w:t>lead</w:t>
      </w:r>
      <w:r>
        <w:rPr>
          <w:spacing w:val="-4"/>
          <w:sz w:val="20"/>
        </w:rPr>
        <w:t> </w:t>
      </w:r>
      <w:r>
        <w:rPr>
          <w:sz w:val="20"/>
        </w:rPr>
        <w:t>tax</w:t>
      </w:r>
      <w:r>
        <w:rPr>
          <w:spacing w:val="-3"/>
          <w:sz w:val="20"/>
        </w:rPr>
        <w:t> </w:t>
      </w:r>
      <w:r>
        <w:rPr>
          <w:sz w:val="20"/>
        </w:rPr>
        <w:t>administration</w:t>
      </w:r>
      <w:r>
        <w:rPr>
          <w:spacing w:val="-3"/>
          <w:sz w:val="20"/>
        </w:rPr>
        <w:t> </w:t>
      </w:r>
      <w:r>
        <w:rPr>
          <w:sz w:val="20"/>
        </w:rPr>
        <w:t>with</w:t>
      </w:r>
      <w:r>
        <w:rPr>
          <w:spacing w:val="-4"/>
          <w:sz w:val="20"/>
        </w:rPr>
        <w:t> </w:t>
      </w:r>
      <w:r>
        <w:rPr>
          <w:sz w:val="20"/>
        </w:rPr>
        <w:t>any</w:t>
      </w:r>
      <w:r>
        <w:rPr>
          <w:spacing w:val="-5"/>
          <w:sz w:val="20"/>
        </w:rPr>
        <w:t> </w:t>
      </w:r>
      <w:r>
        <w:rPr>
          <w:sz w:val="20"/>
        </w:rPr>
        <w:t>evidence</w:t>
      </w:r>
      <w:r>
        <w:rPr>
          <w:spacing w:val="-4"/>
          <w:sz w:val="20"/>
        </w:rPr>
        <w:t> </w:t>
      </w:r>
      <w:r>
        <w:rPr>
          <w:sz w:val="20"/>
        </w:rPr>
        <w:t>it</w:t>
      </w:r>
      <w:r>
        <w:rPr>
          <w:spacing w:val="-2"/>
          <w:sz w:val="20"/>
        </w:rPr>
        <w:t> </w:t>
      </w:r>
      <w:r>
        <w:rPr>
          <w:sz w:val="20"/>
        </w:rPr>
        <w:t>has</w:t>
      </w:r>
      <w:r>
        <w:rPr>
          <w:spacing w:val="-3"/>
          <w:sz w:val="20"/>
        </w:rPr>
        <w:t> </w:t>
      </w:r>
      <w:r>
        <w:rPr>
          <w:sz w:val="20"/>
        </w:rPr>
        <w:t>to</w:t>
      </w:r>
      <w:r>
        <w:rPr>
          <w:spacing w:val="-2"/>
          <w:sz w:val="20"/>
        </w:rPr>
        <w:t> </w:t>
      </w:r>
      <w:r>
        <w:rPr>
          <w:sz w:val="20"/>
        </w:rPr>
        <w:t>support</w:t>
      </w:r>
      <w:r>
        <w:rPr>
          <w:spacing w:val="-4"/>
          <w:sz w:val="20"/>
        </w:rPr>
        <w:t> </w:t>
      </w:r>
      <w:r>
        <w:rPr>
          <w:sz w:val="20"/>
        </w:rPr>
        <w:t>its</w:t>
      </w:r>
      <w:r>
        <w:rPr>
          <w:spacing w:val="-3"/>
          <w:sz w:val="20"/>
        </w:rPr>
        <w:t> </w:t>
      </w:r>
      <w:r>
        <w:rPr>
          <w:sz w:val="20"/>
        </w:rPr>
        <w:t>position</w:t>
      </w:r>
      <w:r>
        <w:rPr>
          <w:spacing w:val="-5"/>
          <w:sz w:val="20"/>
        </w:rPr>
        <w:t> </w:t>
      </w:r>
      <w:r>
        <w:rPr>
          <w:sz w:val="20"/>
        </w:rPr>
        <w:t>that</w:t>
      </w:r>
      <w:r>
        <w:rPr>
          <w:spacing w:val="-5"/>
          <w:sz w:val="20"/>
        </w:rPr>
        <w:t> </w:t>
      </w:r>
      <w:r>
        <w:rPr>
          <w:sz w:val="20"/>
        </w:rPr>
        <w:t>the</w:t>
      </w:r>
      <w:r>
        <w:rPr>
          <w:spacing w:val="-3"/>
          <w:sz w:val="20"/>
        </w:rPr>
        <w:t> </w:t>
      </w:r>
      <w:r>
        <w:rPr>
          <w:sz w:val="20"/>
        </w:rPr>
        <w:t>MNE</w:t>
      </w:r>
      <w:r>
        <w:rPr>
          <w:spacing w:val="-5"/>
          <w:sz w:val="20"/>
        </w:rPr>
        <w:t> </w:t>
      </w:r>
      <w:r>
        <w:rPr>
          <w:sz w:val="20"/>
        </w:rPr>
        <w:t>group has in-scope revenues (and, if applicable, a relevant constituent entity) in its jurisdiction such that it should be included in the list, and request that it be added to the list. The deadline for this</w:t>
      </w:r>
      <w:r>
        <w:rPr>
          <w:spacing w:val="-9"/>
          <w:sz w:val="20"/>
        </w:rPr>
        <w:t> </w:t>
      </w:r>
      <w:r>
        <w:rPr>
          <w:sz w:val="20"/>
        </w:rPr>
        <w:t>request</w:t>
      </w:r>
      <w:r>
        <w:rPr>
          <w:spacing w:val="-10"/>
          <w:sz w:val="20"/>
        </w:rPr>
        <w:t> </w:t>
      </w:r>
      <w:r>
        <w:rPr>
          <w:sz w:val="20"/>
        </w:rPr>
        <w:t>should</w:t>
      </w:r>
      <w:r>
        <w:rPr>
          <w:spacing w:val="-8"/>
          <w:sz w:val="20"/>
        </w:rPr>
        <w:t> </w:t>
      </w:r>
      <w:r>
        <w:rPr>
          <w:sz w:val="20"/>
        </w:rPr>
        <w:t>be</w:t>
      </w:r>
      <w:r>
        <w:rPr>
          <w:spacing w:val="-8"/>
          <w:sz w:val="20"/>
        </w:rPr>
        <w:t> </w:t>
      </w:r>
      <w:r>
        <w:rPr>
          <w:sz w:val="20"/>
        </w:rPr>
        <w:t>no</w:t>
      </w:r>
      <w:r>
        <w:rPr>
          <w:spacing w:val="-8"/>
          <w:sz w:val="20"/>
        </w:rPr>
        <w:t> </w:t>
      </w:r>
      <w:r>
        <w:rPr>
          <w:sz w:val="20"/>
        </w:rPr>
        <w:t>later</w:t>
      </w:r>
      <w:r>
        <w:rPr>
          <w:spacing w:val="-10"/>
          <w:sz w:val="20"/>
        </w:rPr>
        <w:t> </w:t>
      </w:r>
      <w:r>
        <w:rPr>
          <w:sz w:val="20"/>
        </w:rPr>
        <w:t>than</w:t>
      </w:r>
      <w:r>
        <w:rPr>
          <w:spacing w:val="-11"/>
          <w:sz w:val="20"/>
        </w:rPr>
        <w:t> </w:t>
      </w:r>
      <w:r>
        <w:rPr>
          <w:sz w:val="20"/>
        </w:rPr>
        <w:t>[9</w:t>
      </w:r>
      <w:r>
        <w:rPr>
          <w:spacing w:val="-10"/>
          <w:sz w:val="20"/>
        </w:rPr>
        <w:t> </w:t>
      </w:r>
      <w:r>
        <w:rPr>
          <w:sz w:val="20"/>
        </w:rPr>
        <w:t>months]</w:t>
      </w:r>
      <w:r>
        <w:rPr>
          <w:spacing w:val="-10"/>
          <w:sz w:val="20"/>
        </w:rPr>
        <w:t> </w:t>
      </w:r>
      <w:r>
        <w:rPr>
          <w:sz w:val="20"/>
        </w:rPr>
        <w:t>after</w:t>
      </w:r>
      <w:r>
        <w:rPr>
          <w:spacing w:val="-10"/>
          <w:sz w:val="20"/>
        </w:rPr>
        <w:t> </w:t>
      </w:r>
      <w:r>
        <w:rPr>
          <w:sz w:val="20"/>
        </w:rPr>
        <w:t>the</w:t>
      </w:r>
      <w:r>
        <w:rPr>
          <w:spacing w:val="-8"/>
          <w:sz w:val="20"/>
        </w:rPr>
        <w:t> </w:t>
      </w:r>
      <w:r>
        <w:rPr>
          <w:sz w:val="20"/>
        </w:rPr>
        <w:t>end</w:t>
      </w:r>
      <w:r>
        <w:rPr>
          <w:spacing w:val="-8"/>
          <w:sz w:val="20"/>
        </w:rPr>
        <w:t> </w:t>
      </w:r>
      <w:r>
        <w:rPr>
          <w:sz w:val="20"/>
        </w:rPr>
        <w:t>of</w:t>
      </w:r>
      <w:r>
        <w:rPr>
          <w:spacing w:val="-8"/>
          <w:sz w:val="20"/>
        </w:rPr>
        <w:t> </w:t>
      </w:r>
      <w:r>
        <w:rPr>
          <w:sz w:val="20"/>
        </w:rPr>
        <w:t>the</w:t>
      </w:r>
      <w:r>
        <w:rPr>
          <w:spacing w:val="-9"/>
          <w:sz w:val="20"/>
        </w:rPr>
        <w:t> </w:t>
      </w:r>
      <w:r>
        <w:rPr>
          <w:sz w:val="20"/>
        </w:rPr>
        <w:t>relevant</w:t>
      </w:r>
      <w:r>
        <w:rPr>
          <w:spacing w:val="-9"/>
          <w:sz w:val="20"/>
        </w:rPr>
        <w:t> </w:t>
      </w:r>
      <w:r>
        <w:rPr>
          <w:sz w:val="20"/>
        </w:rPr>
        <w:t>fiscal</w:t>
      </w:r>
      <w:r>
        <w:rPr>
          <w:spacing w:val="-7"/>
          <w:sz w:val="20"/>
        </w:rPr>
        <w:t> </w:t>
      </w:r>
      <w:r>
        <w:rPr>
          <w:sz w:val="20"/>
        </w:rPr>
        <w:t>year,</w:t>
      </w:r>
      <w:r>
        <w:rPr>
          <w:spacing w:val="-10"/>
          <w:sz w:val="20"/>
        </w:rPr>
        <w:t> </w:t>
      </w:r>
      <w:r>
        <w:rPr>
          <w:sz w:val="20"/>
        </w:rPr>
        <w:t>in</w:t>
      </w:r>
      <w:r>
        <w:rPr>
          <w:spacing w:val="-8"/>
          <w:sz w:val="20"/>
        </w:rPr>
        <w:t> </w:t>
      </w:r>
      <w:r>
        <w:rPr>
          <w:sz w:val="20"/>
        </w:rPr>
        <w:t>order that</w:t>
      </w:r>
      <w:r>
        <w:rPr>
          <w:spacing w:val="-11"/>
          <w:sz w:val="20"/>
        </w:rPr>
        <w:t> </w:t>
      </w:r>
      <w:r>
        <w:rPr>
          <w:sz w:val="20"/>
        </w:rPr>
        <w:t>this</w:t>
      </w:r>
      <w:r>
        <w:rPr>
          <w:spacing w:val="-9"/>
          <w:sz w:val="20"/>
        </w:rPr>
        <w:t> </w:t>
      </w:r>
      <w:r>
        <w:rPr>
          <w:sz w:val="20"/>
        </w:rPr>
        <w:t>process</w:t>
      </w:r>
      <w:r>
        <w:rPr>
          <w:spacing w:val="-9"/>
          <w:sz w:val="20"/>
        </w:rPr>
        <w:t> </w:t>
      </w:r>
      <w:r>
        <w:rPr>
          <w:sz w:val="20"/>
        </w:rPr>
        <w:t>may</w:t>
      </w:r>
      <w:r>
        <w:rPr>
          <w:spacing w:val="-16"/>
          <w:sz w:val="20"/>
        </w:rPr>
        <w:t> </w:t>
      </w:r>
      <w:r>
        <w:rPr>
          <w:sz w:val="20"/>
        </w:rPr>
        <w:t>be</w:t>
      </w:r>
      <w:r>
        <w:rPr>
          <w:spacing w:val="-11"/>
          <w:sz w:val="20"/>
        </w:rPr>
        <w:t> </w:t>
      </w:r>
      <w:r>
        <w:rPr>
          <w:sz w:val="20"/>
        </w:rPr>
        <w:t>completed</w:t>
      </w:r>
      <w:r>
        <w:rPr>
          <w:spacing w:val="-11"/>
          <w:sz w:val="20"/>
        </w:rPr>
        <w:t> </w:t>
      </w:r>
      <w:r>
        <w:rPr>
          <w:sz w:val="20"/>
        </w:rPr>
        <w:t>prior</w:t>
      </w:r>
      <w:r>
        <w:rPr>
          <w:spacing w:val="-9"/>
          <w:sz w:val="20"/>
        </w:rPr>
        <w:t> </w:t>
      </w:r>
      <w:r>
        <w:rPr>
          <w:sz w:val="20"/>
        </w:rPr>
        <w:t>to</w:t>
      </w:r>
      <w:r>
        <w:rPr>
          <w:spacing w:val="-12"/>
          <w:sz w:val="20"/>
        </w:rPr>
        <w:t> </w:t>
      </w:r>
      <w:r>
        <w:rPr>
          <w:sz w:val="20"/>
        </w:rPr>
        <w:t>the</w:t>
      </w:r>
      <w:r>
        <w:rPr>
          <w:spacing w:val="-11"/>
          <w:sz w:val="20"/>
        </w:rPr>
        <w:t> </w:t>
      </w:r>
      <w:r>
        <w:rPr>
          <w:sz w:val="20"/>
        </w:rPr>
        <w:t>exchange</w:t>
      </w:r>
      <w:r>
        <w:rPr>
          <w:spacing w:val="-11"/>
          <w:sz w:val="20"/>
        </w:rPr>
        <w:t> </w:t>
      </w:r>
      <w:r>
        <w:rPr>
          <w:sz w:val="20"/>
        </w:rPr>
        <w:t>of</w:t>
      </w:r>
      <w:r>
        <w:rPr>
          <w:spacing w:val="-8"/>
          <w:sz w:val="20"/>
        </w:rPr>
        <w:t> </w:t>
      </w:r>
      <w:r>
        <w:rPr>
          <w:sz w:val="20"/>
        </w:rPr>
        <w:t>the</w:t>
      </w:r>
      <w:r>
        <w:rPr>
          <w:spacing w:val="-11"/>
          <w:sz w:val="20"/>
        </w:rPr>
        <w:t> </w:t>
      </w:r>
      <w:r>
        <w:rPr>
          <w:sz w:val="20"/>
        </w:rPr>
        <w:t>MNE</w:t>
      </w:r>
      <w:r>
        <w:rPr>
          <w:spacing w:val="-11"/>
          <w:sz w:val="20"/>
        </w:rPr>
        <w:t> </w:t>
      </w:r>
      <w:r>
        <w:rPr>
          <w:sz w:val="20"/>
        </w:rPr>
        <w:t>group’s</w:t>
      </w:r>
      <w:r>
        <w:rPr>
          <w:spacing w:val="-10"/>
          <w:sz w:val="20"/>
        </w:rPr>
        <w:t> </w:t>
      </w:r>
      <w:r>
        <w:rPr>
          <w:sz w:val="20"/>
        </w:rPr>
        <w:t>self-assessment return and documentation package with affected tax</w:t>
      </w:r>
      <w:r>
        <w:rPr>
          <w:spacing w:val="-6"/>
          <w:sz w:val="20"/>
        </w:rPr>
        <w:t> </w:t>
      </w:r>
      <w:r>
        <w:rPr>
          <w:sz w:val="20"/>
        </w:rPr>
        <w:t>administrations.</w:t>
      </w:r>
    </w:p>
    <w:p>
      <w:pPr>
        <w:pStyle w:val="ListParagraph"/>
        <w:numPr>
          <w:ilvl w:val="1"/>
          <w:numId w:val="13"/>
        </w:numPr>
        <w:tabs>
          <w:tab w:pos="1785" w:val="left" w:leader="none"/>
        </w:tabs>
        <w:spacing w:line="268" w:lineRule="auto" w:before="46" w:after="0"/>
        <w:ind w:left="1784" w:right="480" w:hanging="360"/>
        <w:jc w:val="both"/>
        <w:rPr>
          <w:sz w:val="20"/>
        </w:rPr>
      </w:pPr>
      <w:r>
        <w:rPr>
          <w:sz w:val="20"/>
        </w:rPr>
        <w:t>The</w:t>
      </w:r>
      <w:r>
        <w:rPr>
          <w:spacing w:val="-6"/>
          <w:sz w:val="20"/>
        </w:rPr>
        <w:t> </w:t>
      </w:r>
      <w:r>
        <w:rPr>
          <w:sz w:val="20"/>
        </w:rPr>
        <w:t>lead</w:t>
      </w:r>
      <w:r>
        <w:rPr>
          <w:spacing w:val="-4"/>
          <w:sz w:val="20"/>
        </w:rPr>
        <w:t> </w:t>
      </w:r>
      <w:r>
        <w:rPr>
          <w:sz w:val="20"/>
        </w:rPr>
        <w:t>tax</w:t>
      </w:r>
      <w:r>
        <w:rPr>
          <w:spacing w:val="-4"/>
          <w:sz w:val="20"/>
        </w:rPr>
        <w:t> </w:t>
      </w:r>
      <w:r>
        <w:rPr>
          <w:sz w:val="20"/>
        </w:rPr>
        <w:t>administration</w:t>
      </w:r>
      <w:r>
        <w:rPr>
          <w:spacing w:val="-2"/>
          <w:sz w:val="20"/>
        </w:rPr>
        <w:t> </w:t>
      </w:r>
      <w:r>
        <w:rPr>
          <w:sz w:val="20"/>
        </w:rPr>
        <w:t>will</w:t>
      </w:r>
      <w:r>
        <w:rPr>
          <w:spacing w:val="-5"/>
          <w:sz w:val="20"/>
        </w:rPr>
        <w:t> </w:t>
      </w:r>
      <w:r>
        <w:rPr>
          <w:sz w:val="20"/>
        </w:rPr>
        <w:t>share</w:t>
      </w:r>
      <w:r>
        <w:rPr>
          <w:spacing w:val="-5"/>
          <w:sz w:val="20"/>
        </w:rPr>
        <w:t> </w:t>
      </w:r>
      <w:r>
        <w:rPr>
          <w:sz w:val="20"/>
        </w:rPr>
        <w:t>this</w:t>
      </w:r>
      <w:r>
        <w:rPr>
          <w:spacing w:val="-3"/>
          <w:sz w:val="20"/>
        </w:rPr>
        <w:t> </w:t>
      </w:r>
      <w:r>
        <w:rPr>
          <w:sz w:val="20"/>
        </w:rPr>
        <w:t>information</w:t>
      </w:r>
      <w:r>
        <w:rPr>
          <w:spacing w:val="-4"/>
          <w:sz w:val="20"/>
        </w:rPr>
        <w:t> </w:t>
      </w:r>
      <w:r>
        <w:rPr>
          <w:sz w:val="20"/>
        </w:rPr>
        <w:t>with</w:t>
      </w:r>
      <w:r>
        <w:rPr>
          <w:spacing w:val="-4"/>
          <w:sz w:val="20"/>
        </w:rPr>
        <w:t> </w:t>
      </w:r>
      <w:r>
        <w:rPr>
          <w:sz w:val="20"/>
        </w:rPr>
        <w:t>the</w:t>
      </w:r>
      <w:r>
        <w:rPr>
          <w:spacing w:val="-4"/>
          <w:sz w:val="20"/>
        </w:rPr>
        <w:t> </w:t>
      </w:r>
      <w:r>
        <w:rPr>
          <w:sz w:val="20"/>
        </w:rPr>
        <w:t>co-ordinating</w:t>
      </w:r>
      <w:r>
        <w:rPr>
          <w:spacing w:val="-3"/>
          <w:sz w:val="20"/>
        </w:rPr>
        <w:t> </w:t>
      </w:r>
      <w:r>
        <w:rPr>
          <w:sz w:val="20"/>
        </w:rPr>
        <w:t>entity</w:t>
      </w:r>
      <w:r>
        <w:rPr>
          <w:spacing w:val="-5"/>
          <w:sz w:val="20"/>
        </w:rPr>
        <w:t> </w:t>
      </w:r>
      <w:r>
        <w:rPr>
          <w:sz w:val="20"/>
        </w:rPr>
        <w:t>of</w:t>
      </w:r>
      <w:r>
        <w:rPr>
          <w:spacing w:val="-3"/>
          <w:sz w:val="20"/>
        </w:rPr>
        <w:t> </w:t>
      </w:r>
      <w:r>
        <w:rPr>
          <w:sz w:val="20"/>
        </w:rPr>
        <w:t>the</w:t>
      </w:r>
      <w:r>
        <w:rPr>
          <w:spacing w:val="-4"/>
          <w:sz w:val="20"/>
        </w:rPr>
        <w:t> </w:t>
      </w:r>
      <w:r>
        <w:rPr>
          <w:sz w:val="20"/>
        </w:rPr>
        <w:t>MNE group and invite the co-ordinating entity to update its list of market jurisdictions, or to provide a response to the other tax administration’s</w:t>
      </w:r>
      <w:r>
        <w:rPr>
          <w:spacing w:val="-3"/>
          <w:sz w:val="20"/>
        </w:rPr>
        <w:t> </w:t>
      </w:r>
      <w:r>
        <w:rPr>
          <w:sz w:val="20"/>
        </w:rPr>
        <w:t>comments.</w:t>
      </w:r>
    </w:p>
    <w:p>
      <w:pPr>
        <w:pStyle w:val="ListParagraph"/>
        <w:numPr>
          <w:ilvl w:val="1"/>
          <w:numId w:val="13"/>
        </w:numPr>
        <w:tabs>
          <w:tab w:pos="1785" w:val="left" w:leader="none"/>
        </w:tabs>
        <w:spacing w:line="271" w:lineRule="auto" w:before="51" w:after="0"/>
        <w:ind w:left="1784" w:right="484" w:hanging="360"/>
        <w:jc w:val="both"/>
        <w:rPr>
          <w:sz w:val="20"/>
        </w:rPr>
      </w:pPr>
      <w:r>
        <w:rPr>
          <w:sz w:val="20"/>
        </w:rPr>
        <w:t>If the MNE group is willing to include the jurisdiction on its list of market jurisdictions (noting that</w:t>
      </w:r>
      <w:r>
        <w:rPr>
          <w:spacing w:val="-17"/>
          <w:sz w:val="20"/>
        </w:rPr>
        <w:t> </w:t>
      </w:r>
      <w:r>
        <w:rPr>
          <w:sz w:val="20"/>
        </w:rPr>
        <w:t>the</w:t>
      </w:r>
      <w:r>
        <w:rPr>
          <w:spacing w:val="-16"/>
          <w:sz w:val="20"/>
        </w:rPr>
        <w:t> </w:t>
      </w:r>
      <w:r>
        <w:rPr>
          <w:sz w:val="20"/>
        </w:rPr>
        <w:t>jurisdiction</w:t>
      </w:r>
      <w:r>
        <w:rPr>
          <w:spacing w:val="-14"/>
          <w:sz w:val="20"/>
        </w:rPr>
        <w:t> </w:t>
      </w:r>
      <w:r>
        <w:rPr>
          <w:sz w:val="20"/>
        </w:rPr>
        <w:t>will</w:t>
      </w:r>
      <w:r>
        <w:rPr>
          <w:spacing w:val="-17"/>
          <w:sz w:val="20"/>
        </w:rPr>
        <w:t> </w:t>
      </w:r>
      <w:r>
        <w:rPr>
          <w:sz w:val="20"/>
        </w:rPr>
        <w:t>only</w:t>
      </w:r>
      <w:r>
        <w:rPr>
          <w:spacing w:val="-17"/>
          <w:sz w:val="20"/>
        </w:rPr>
        <w:t> </w:t>
      </w:r>
      <w:r>
        <w:rPr>
          <w:sz w:val="20"/>
        </w:rPr>
        <w:t>receive</w:t>
      </w:r>
      <w:r>
        <w:rPr>
          <w:spacing w:val="-16"/>
          <w:sz w:val="20"/>
        </w:rPr>
        <w:t> </w:t>
      </w:r>
      <w:r>
        <w:rPr>
          <w:sz w:val="20"/>
        </w:rPr>
        <w:t>an</w:t>
      </w:r>
      <w:r>
        <w:rPr>
          <w:spacing w:val="-14"/>
          <w:sz w:val="20"/>
        </w:rPr>
        <w:t> </w:t>
      </w:r>
      <w:r>
        <w:rPr>
          <w:sz w:val="20"/>
        </w:rPr>
        <w:t>allocation</w:t>
      </w:r>
      <w:r>
        <w:rPr>
          <w:spacing w:val="-14"/>
          <w:sz w:val="20"/>
        </w:rPr>
        <w:t> </w:t>
      </w:r>
      <w:r>
        <w:rPr>
          <w:sz w:val="20"/>
        </w:rPr>
        <w:t>of</w:t>
      </w:r>
      <w:r>
        <w:rPr>
          <w:spacing w:val="-15"/>
          <w:sz w:val="20"/>
        </w:rPr>
        <w:t> </w:t>
      </w:r>
      <w:r>
        <w:rPr>
          <w:sz w:val="20"/>
        </w:rPr>
        <w:t>Amount</w:t>
      </w:r>
      <w:r>
        <w:rPr>
          <w:spacing w:val="-14"/>
          <w:sz w:val="20"/>
        </w:rPr>
        <w:t> </w:t>
      </w:r>
      <w:r>
        <w:rPr>
          <w:sz w:val="20"/>
        </w:rPr>
        <w:t>A</w:t>
      </w:r>
      <w:r>
        <w:rPr>
          <w:spacing w:val="-17"/>
          <w:sz w:val="20"/>
        </w:rPr>
        <w:t> </w:t>
      </w:r>
      <w:r>
        <w:rPr>
          <w:sz w:val="20"/>
        </w:rPr>
        <w:t>if</w:t>
      </w:r>
      <w:r>
        <w:rPr>
          <w:spacing w:val="-14"/>
          <w:sz w:val="20"/>
        </w:rPr>
        <w:t> </w:t>
      </w:r>
      <w:r>
        <w:rPr>
          <w:sz w:val="20"/>
        </w:rPr>
        <w:t>it</w:t>
      </w:r>
      <w:r>
        <w:rPr>
          <w:spacing w:val="-16"/>
          <w:sz w:val="20"/>
        </w:rPr>
        <w:t> </w:t>
      </w:r>
      <w:r>
        <w:rPr>
          <w:sz w:val="20"/>
        </w:rPr>
        <w:t>has</w:t>
      </w:r>
      <w:r>
        <w:rPr>
          <w:spacing w:val="-15"/>
          <w:sz w:val="20"/>
        </w:rPr>
        <w:t> </w:t>
      </w:r>
      <w:r>
        <w:rPr>
          <w:sz w:val="20"/>
        </w:rPr>
        <w:t>in-scope</w:t>
      </w:r>
      <w:r>
        <w:rPr>
          <w:spacing w:val="-17"/>
          <w:sz w:val="20"/>
        </w:rPr>
        <w:t> </w:t>
      </w:r>
      <w:r>
        <w:rPr>
          <w:sz w:val="20"/>
        </w:rPr>
        <w:t>revenues</w:t>
      </w:r>
      <w:r>
        <w:rPr>
          <w:spacing w:val="-15"/>
          <w:sz w:val="20"/>
        </w:rPr>
        <w:t> </w:t>
      </w:r>
      <w:r>
        <w:rPr>
          <w:sz w:val="20"/>
        </w:rPr>
        <w:t>above the applicable threshold and not simply by reason of being included on the list), this will address the tax administration’s</w:t>
      </w:r>
      <w:r>
        <w:rPr>
          <w:spacing w:val="-1"/>
          <w:sz w:val="20"/>
        </w:rPr>
        <w:t> </w:t>
      </w:r>
      <w:r>
        <w:rPr>
          <w:sz w:val="20"/>
        </w:rPr>
        <w:t>concerns.</w:t>
      </w:r>
    </w:p>
    <w:p>
      <w:pPr>
        <w:pStyle w:val="ListParagraph"/>
        <w:numPr>
          <w:ilvl w:val="1"/>
          <w:numId w:val="13"/>
        </w:numPr>
        <w:tabs>
          <w:tab w:pos="1785" w:val="left" w:leader="none"/>
        </w:tabs>
        <w:spacing w:line="271" w:lineRule="auto" w:before="43" w:after="0"/>
        <w:ind w:left="1784" w:right="485" w:hanging="360"/>
        <w:jc w:val="both"/>
        <w:rPr>
          <w:sz w:val="20"/>
        </w:rPr>
      </w:pPr>
      <w:r>
        <w:rPr>
          <w:sz w:val="20"/>
        </w:rPr>
        <w:t>If the MNE group is not willing to include the jurisdiction on its list of market jurisdictions it should provide an explanation as to why this is the case (e.g. provide information on the level of in-scope revenues in that jurisdiction to illustrate they are lower than 75% of the threshold and, if applicable, the nature and activities of constituent entities in the jurisdiction). If the tax administration accepts this explanation it should withdraw its</w:t>
      </w:r>
      <w:r>
        <w:rPr>
          <w:spacing w:val="-10"/>
          <w:sz w:val="20"/>
        </w:rPr>
        <w:t> </w:t>
      </w:r>
      <w:r>
        <w:rPr>
          <w:sz w:val="20"/>
        </w:rPr>
        <w:t>request.</w:t>
      </w:r>
    </w:p>
    <w:p>
      <w:pPr>
        <w:pStyle w:val="ListParagraph"/>
        <w:numPr>
          <w:ilvl w:val="1"/>
          <w:numId w:val="13"/>
        </w:numPr>
        <w:tabs>
          <w:tab w:pos="1785" w:val="left" w:leader="none"/>
        </w:tabs>
        <w:spacing w:line="271" w:lineRule="auto" w:before="44" w:after="0"/>
        <w:ind w:left="1784" w:right="486" w:hanging="360"/>
        <w:jc w:val="both"/>
        <w:rPr>
          <w:sz w:val="20"/>
        </w:rPr>
      </w:pPr>
      <w:r>
        <w:rPr>
          <w:sz w:val="20"/>
        </w:rPr>
        <w:t>If</w:t>
      </w:r>
      <w:r>
        <w:rPr>
          <w:spacing w:val="-12"/>
          <w:sz w:val="20"/>
        </w:rPr>
        <w:t> </w:t>
      </w:r>
      <w:r>
        <w:rPr>
          <w:sz w:val="20"/>
        </w:rPr>
        <w:t>the</w:t>
      </w:r>
      <w:r>
        <w:rPr>
          <w:spacing w:val="-14"/>
          <w:sz w:val="20"/>
        </w:rPr>
        <w:t> </w:t>
      </w:r>
      <w:r>
        <w:rPr>
          <w:sz w:val="20"/>
        </w:rPr>
        <w:t>MNE</w:t>
      </w:r>
      <w:r>
        <w:rPr>
          <w:spacing w:val="-12"/>
          <w:sz w:val="20"/>
        </w:rPr>
        <w:t> </w:t>
      </w:r>
      <w:r>
        <w:rPr>
          <w:sz w:val="20"/>
        </w:rPr>
        <w:t>group</w:t>
      </w:r>
      <w:r>
        <w:rPr>
          <w:spacing w:val="-12"/>
          <w:sz w:val="20"/>
        </w:rPr>
        <w:t> </w:t>
      </w:r>
      <w:r>
        <w:rPr>
          <w:sz w:val="20"/>
        </w:rPr>
        <w:t>and</w:t>
      </w:r>
      <w:r>
        <w:rPr>
          <w:spacing w:val="-12"/>
          <w:sz w:val="20"/>
        </w:rPr>
        <w:t> </w:t>
      </w:r>
      <w:r>
        <w:rPr>
          <w:sz w:val="20"/>
        </w:rPr>
        <w:t>the</w:t>
      </w:r>
      <w:r>
        <w:rPr>
          <w:spacing w:val="-14"/>
          <w:sz w:val="20"/>
        </w:rPr>
        <w:t> </w:t>
      </w:r>
      <w:r>
        <w:rPr>
          <w:sz w:val="20"/>
        </w:rPr>
        <w:t>tax</w:t>
      </w:r>
      <w:r>
        <w:rPr>
          <w:spacing w:val="-12"/>
          <w:sz w:val="20"/>
        </w:rPr>
        <w:t> </w:t>
      </w:r>
      <w:r>
        <w:rPr>
          <w:sz w:val="20"/>
        </w:rPr>
        <w:t>administration</w:t>
      </w:r>
      <w:r>
        <w:rPr>
          <w:spacing w:val="-11"/>
          <w:sz w:val="20"/>
        </w:rPr>
        <w:t> </w:t>
      </w:r>
      <w:r>
        <w:rPr>
          <w:sz w:val="20"/>
        </w:rPr>
        <w:t>continue</w:t>
      </w:r>
      <w:r>
        <w:rPr>
          <w:spacing w:val="-12"/>
          <w:sz w:val="20"/>
        </w:rPr>
        <w:t> </w:t>
      </w:r>
      <w:r>
        <w:rPr>
          <w:sz w:val="20"/>
        </w:rPr>
        <w:t>to</w:t>
      </w:r>
      <w:r>
        <w:rPr>
          <w:spacing w:val="-9"/>
          <w:sz w:val="20"/>
        </w:rPr>
        <w:t> </w:t>
      </w:r>
      <w:r>
        <w:rPr>
          <w:sz w:val="20"/>
        </w:rPr>
        <w:t>disagree</w:t>
      </w:r>
      <w:r>
        <w:rPr>
          <w:spacing w:val="-14"/>
          <w:sz w:val="20"/>
        </w:rPr>
        <w:t> </w:t>
      </w:r>
      <w:r>
        <w:rPr>
          <w:sz w:val="20"/>
        </w:rPr>
        <w:t>on</w:t>
      </w:r>
      <w:r>
        <w:rPr>
          <w:spacing w:val="-14"/>
          <w:sz w:val="20"/>
        </w:rPr>
        <w:t> </w:t>
      </w:r>
      <w:r>
        <w:rPr>
          <w:sz w:val="20"/>
        </w:rPr>
        <w:t>this</w:t>
      </w:r>
      <w:r>
        <w:rPr>
          <w:spacing w:val="-10"/>
          <w:sz w:val="20"/>
        </w:rPr>
        <w:t> </w:t>
      </w:r>
      <w:r>
        <w:rPr>
          <w:sz w:val="20"/>
        </w:rPr>
        <w:t>issue,</w:t>
      </w:r>
      <w:r>
        <w:rPr>
          <w:spacing w:val="-11"/>
          <w:sz w:val="20"/>
        </w:rPr>
        <w:t> </w:t>
      </w:r>
      <w:r>
        <w:rPr>
          <w:sz w:val="20"/>
        </w:rPr>
        <w:t>a</w:t>
      </w:r>
      <w:r>
        <w:rPr>
          <w:spacing w:val="-12"/>
          <w:sz w:val="20"/>
        </w:rPr>
        <w:t> </w:t>
      </w:r>
      <w:r>
        <w:rPr>
          <w:sz w:val="20"/>
        </w:rPr>
        <w:t>determination panel</w:t>
      </w:r>
      <w:r>
        <w:rPr>
          <w:spacing w:val="-14"/>
          <w:sz w:val="20"/>
        </w:rPr>
        <w:t> </w:t>
      </w:r>
      <w:r>
        <w:rPr>
          <w:sz w:val="20"/>
        </w:rPr>
        <w:t>may</w:t>
      </w:r>
      <w:r>
        <w:rPr>
          <w:spacing w:val="-18"/>
          <w:sz w:val="20"/>
        </w:rPr>
        <w:t> </w:t>
      </w:r>
      <w:r>
        <w:rPr>
          <w:sz w:val="20"/>
        </w:rPr>
        <w:t>be</w:t>
      </w:r>
      <w:r>
        <w:rPr>
          <w:spacing w:val="-14"/>
          <w:sz w:val="20"/>
        </w:rPr>
        <w:t> </w:t>
      </w:r>
      <w:r>
        <w:rPr>
          <w:sz w:val="20"/>
        </w:rPr>
        <w:t>formed</w:t>
      </w:r>
      <w:r>
        <w:rPr>
          <w:spacing w:val="-13"/>
          <w:sz w:val="20"/>
        </w:rPr>
        <w:t> </w:t>
      </w:r>
      <w:r>
        <w:rPr>
          <w:sz w:val="20"/>
        </w:rPr>
        <w:t>including</w:t>
      </w:r>
      <w:r>
        <w:rPr>
          <w:spacing w:val="-14"/>
          <w:sz w:val="20"/>
        </w:rPr>
        <w:t> </w:t>
      </w:r>
      <w:r>
        <w:rPr>
          <w:sz w:val="20"/>
        </w:rPr>
        <w:t>the</w:t>
      </w:r>
      <w:r>
        <w:rPr>
          <w:spacing w:val="-13"/>
          <w:sz w:val="20"/>
        </w:rPr>
        <w:t> </w:t>
      </w:r>
      <w:r>
        <w:rPr>
          <w:sz w:val="20"/>
        </w:rPr>
        <w:t>tax</w:t>
      </w:r>
      <w:r>
        <w:rPr>
          <w:spacing w:val="-13"/>
          <w:sz w:val="20"/>
        </w:rPr>
        <w:t> </w:t>
      </w:r>
      <w:r>
        <w:rPr>
          <w:sz w:val="20"/>
        </w:rPr>
        <w:t>administration,</w:t>
      </w:r>
      <w:r>
        <w:rPr>
          <w:spacing w:val="-14"/>
          <w:sz w:val="20"/>
        </w:rPr>
        <w:t> </w:t>
      </w:r>
      <w:r>
        <w:rPr>
          <w:sz w:val="20"/>
        </w:rPr>
        <w:t>the</w:t>
      </w:r>
      <w:r>
        <w:rPr>
          <w:spacing w:val="-13"/>
          <w:sz w:val="20"/>
        </w:rPr>
        <w:t> </w:t>
      </w:r>
      <w:r>
        <w:rPr>
          <w:sz w:val="20"/>
        </w:rPr>
        <w:t>lead</w:t>
      </w:r>
      <w:r>
        <w:rPr>
          <w:spacing w:val="-14"/>
          <w:sz w:val="20"/>
        </w:rPr>
        <w:t> </w:t>
      </w:r>
      <w:r>
        <w:rPr>
          <w:sz w:val="20"/>
        </w:rPr>
        <w:t>tax</w:t>
      </w:r>
      <w:r>
        <w:rPr>
          <w:spacing w:val="-12"/>
          <w:sz w:val="20"/>
        </w:rPr>
        <w:t> </w:t>
      </w:r>
      <w:r>
        <w:rPr>
          <w:sz w:val="20"/>
        </w:rPr>
        <w:t>administration</w:t>
      </w:r>
      <w:r>
        <w:rPr>
          <w:spacing w:val="-14"/>
          <w:sz w:val="20"/>
        </w:rPr>
        <w:t> </w:t>
      </w:r>
      <w:r>
        <w:rPr>
          <w:sz w:val="20"/>
        </w:rPr>
        <w:t>and</w:t>
      </w:r>
      <w:r>
        <w:rPr>
          <w:spacing w:val="-13"/>
          <w:sz w:val="20"/>
        </w:rPr>
        <w:t> </w:t>
      </w:r>
      <w:r>
        <w:rPr>
          <w:sz w:val="20"/>
        </w:rPr>
        <w:t>the</w:t>
      </w:r>
      <w:r>
        <w:rPr>
          <w:spacing w:val="-14"/>
          <w:sz w:val="20"/>
        </w:rPr>
        <w:t> </w:t>
      </w:r>
      <w:r>
        <w:rPr>
          <w:sz w:val="20"/>
        </w:rPr>
        <w:t>Chair of the determination panel (or a Chair where there is more than one). This panel will consider information provided by the tax administration and the MNE group and reach a conclusion</w:t>
      </w:r>
      <w:r>
        <w:rPr>
          <w:spacing w:val="-20"/>
          <w:sz w:val="20"/>
        </w:rPr>
        <w:t> </w:t>
      </w:r>
      <w:r>
        <w:rPr>
          <w:sz w:val="20"/>
        </w:rPr>
        <w:t>as</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3"/>
        <w:jc w:val="both"/>
      </w:pPr>
      <w:r>
        <w:rPr/>
        <w:t>to</w:t>
      </w:r>
      <w:r>
        <w:rPr>
          <w:spacing w:val="-10"/>
        </w:rPr>
        <w:t> </w:t>
      </w:r>
      <w:r>
        <w:rPr/>
        <w:t>whether</w:t>
      </w:r>
      <w:r>
        <w:rPr>
          <w:spacing w:val="-11"/>
        </w:rPr>
        <w:t> </w:t>
      </w:r>
      <w:r>
        <w:rPr/>
        <w:t>the</w:t>
      </w:r>
      <w:r>
        <w:rPr>
          <w:spacing w:val="-12"/>
        </w:rPr>
        <w:t> </w:t>
      </w:r>
      <w:r>
        <w:rPr/>
        <w:t>tax</w:t>
      </w:r>
      <w:r>
        <w:rPr>
          <w:spacing w:val="-11"/>
        </w:rPr>
        <w:t> </w:t>
      </w:r>
      <w:r>
        <w:rPr/>
        <w:t>administration’s</w:t>
      </w:r>
      <w:r>
        <w:rPr>
          <w:spacing w:val="-10"/>
        </w:rPr>
        <w:t> </w:t>
      </w:r>
      <w:r>
        <w:rPr/>
        <w:t>jurisdiction</w:t>
      </w:r>
      <w:r>
        <w:rPr>
          <w:spacing w:val="-10"/>
        </w:rPr>
        <w:t> </w:t>
      </w:r>
      <w:r>
        <w:rPr/>
        <w:t>should</w:t>
      </w:r>
      <w:r>
        <w:rPr>
          <w:spacing w:val="-10"/>
        </w:rPr>
        <w:t> </w:t>
      </w:r>
      <w:r>
        <w:rPr/>
        <w:t>be</w:t>
      </w:r>
      <w:r>
        <w:rPr>
          <w:spacing w:val="-12"/>
        </w:rPr>
        <w:t> </w:t>
      </w:r>
      <w:r>
        <w:rPr/>
        <w:t>considered</w:t>
      </w:r>
      <w:r>
        <w:rPr>
          <w:spacing w:val="-12"/>
        </w:rPr>
        <w:t> </w:t>
      </w:r>
      <w:r>
        <w:rPr/>
        <w:t>a</w:t>
      </w:r>
      <w:r>
        <w:rPr>
          <w:spacing w:val="-9"/>
        </w:rPr>
        <w:t> </w:t>
      </w:r>
      <w:r>
        <w:rPr/>
        <w:t>market</w:t>
      </w:r>
      <w:r>
        <w:rPr>
          <w:spacing w:val="-13"/>
        </w:rPr>
        <w:t> </w:t>
      </w:r>
      <w:r>
        <w:rPr/>
        <w:t>jurisdiction.</w:t>
      </w:r>
      <w:r>
        <w:rPr>
          <w:spacing w:val="-9"/>
        </w:rPr>
        <w:t> </w:t>
      </w:r>
      <w:r>
        <w:rPr/>
        <w:t>This decision will be reached by majority, so if either the lead tax administration </w:t>
      </w:r>
      <w:r>
        <w:rPr>
          <w:spacing w:val="4"/>
        </w:rPr>
        <w:t>or </w:t>
      </w:r>
      <w:r>
        <w:rPr/>
        <w:t>the Chair supports the tax administration’s position, its jurisdiction will be considered a market jurisdiction. It is suggested that the Chair of the determination panel should be included in these discussions even if it is already clear that the lead tax administration supports the tax administration</w:t>
      </w:r>
      <w:r>
        <w:rPr>
          <w:spacing w:val="-2"/>
        </w:rPr>
        <w:t> </w:t>
      </w:r>
      <w:r>
        <w:rPr/>
        <w:t>position.</w:t>
      </w:r>
    </w:p>
    <w:p>
      <w:pPr>
        <w:pStyle w:val="ListParagraph"/>
        <w:numPr>
          <w:ilvl w:val="1"/>
          <w:numId w:val="13"/>
        </w:numPr>
        <w:tabs>
          <w:tab w:pos="1785" w:val="left" w:leader="none"/>
        </w:tabs>
        <w:spacing w:line="271" w:lineRule="auto" w:before="48" w:after="0"/>
        <w:ind w:left="1784" w:right="482" w:hanging="360"/>
        <w:jc w:val="both"/>
        <w:rPr>
          <w:sz w:val="20"/>
        </w:rPr>
      </w:pPr>
      <w:r>
        <w:rPr>
          <w:sz w:val="20"/>
        </w:rPr>
        <w:t>If the panel supports the tax administration position, the MNE group is informed and the tax administration</w:t>
      </w:r>
      <w:r>
        <w:rPr>
          <w:spacing w:val="-15"/>
          <w:sz w:val="20"/>
        </w:rPr>
        <w:t> </w:t>
      </w:r>
      <w:r>
        <w:rPr>
          <w:sz w:val="20"/>
        </w:rPr>
        <w:t>will</w:t>
      </w:r>
      <w:r>
        <w:rPr>
          <w:spacing w:val="-18"/>
          <w:sz w:val="20"/>
        </w:rPr>
        <w:t> </w:t>
      </w:r>
      <w:r>
        <w:rPr>
          <w:sz w:val="20"/>
        </w:rPr>
        <w:t>be</w:t>
      </w:r>
      <w:r>
        <w:rPr>
          <w:spacing w:val="-16"/>
          <w:sz w:val="20"/>
        </w:rPr>
        <w:t> </w:t>
      </w:r>
      <w:r>
        <w:rPr>
          <w:sz w:val="20"/>
        </w:rPr>
        <w:t>included</w:t>
      </w:r>
      <w:r>
        <w:rPr>
          <w:spacing w:val="-18"/>
          <w:sz w:val="20"/>
        </w:rPr>
        <w:t> </w:t>
      </w:r>
      <w:r>
        <w:rPr>
          <w:sz w:val="20"/>
        </w:rPr>
        <w:t>as</w:t>
      </w:r>
      <w:r>
        <w:rPr>
          <w:spacing w:val="-16"/>
          <w:sz w:val="20"/>
        </w:rPr>
        <w:t> </w:t>
      </w:r>
      <w:r>
        <w:rPr>
          <w:sz w:val="20"/>
        </w:rPr>
        <w:t>an</w:t>
      </w:r>
      <w:r>
        <w:rPr>
          <w:spacing w:val="-16"/>
          <w:sz w:val="20"/>
        </w:rPr>
        <w:t> </w:t>
      </w:r>
      <w:r>
        <w:rPr>
          <w:sz w:val="20"/>
        </w:rPr>
        <w:t>affected</w:t>
      </w:r>
      <w:r>
        <w:rPr>
          <w:spacing w:val="-13"/>
          <w:sz w:val="20"/>
        </w:rPr>
        <w:t> </w:t>
      </w:r>
      <w:r>
        <w:rPr>
          <w:sz w:val="20"/>
        </w:rPr>
        <w:t>tax</w:t>
      </w:r>
      <w:r>
        <w:rPr>
          <w:spacing w:val="-16"/>
          <w:sz w:val="20"/>
        </w:rPr>
        <w:t> </w:t>
      </w:r>
      <w:r>
        <w:rPr>
          <w:sz w:val="20"/>
        </w:rPr>
        <w:t>administration</w:t>
      </w:r>
      <w:r>
        <w:rPr>
          <w:spacing w:val="-15"/>
          <w:sz w:val="20"/>
        </w:rPr>
        <w:t> </w:t>
      </w:r>
      <w:r>
        <w:rPr>
          <w:sz w:val="20"/>
        </w:rPr>
        <w:t>for</w:t>
      </w:r>
      <w:r>
        <w:rPr>
          <w:spacing w:val="-16"/>
          <w:sz w:val="20"/>
        </w:rPr>
        <w:t> </w:t>
      </w:r>
      <w:r>
        <w:rPr>
          <w:sz w:val="20"/>
        </w:rPr>
        <w:t>the</w:t>
      </w:r>
      <w:r>
        <w:rPr>
          <w:spacing w:val="-17"/>
          <w:sz w:val="20"/>
        </w:rPr>
        <w:t> </w:t>
      </w:r>
      <w:r>
        <w:rPr>
          <w:sz w:val="20"/>
        </w:rPr>
        <w:t>purposes</w:t>
      </w:r>
      <w:r>
        <w:rPr>
          <w:spacing w:val="-15"/>
          <w:sz w:val="20"/>
        </w:rPr>
        <w:t> </w:t>
      </w:r>
      <w:r>
        <w:rPr>
          <w:sz w:val="20"/>
        </w:rPr>
        <w:t>of</w:t>
      </w:r>
      <w:r>
        <w:rPr>
          <w:spacing w:val="-13"/>
          <w:sz w:val="20"/>
        </w:rPr>
        <w:t> </w:t>
      </w:r>
      <w:r>
        <w:rPr>
          <w:sz w:val="20"/>
        </w:rPr>
        <w:t>exchanging the MNE group’s Amount A self-assessment return and documentation package, as well as for any Amount A early certainty process for the relevant tax year. If the panel supports the MNE group’s position, the tax administration will not be included as an affected tax administration for the relevant fiscal</w:t>
      </w:r>
      <w:r>
        <w:rPr>
          <w:spacing w:val="-3"/>
          <w:sz w:val="20"/>
        </w:rPr>
        <w:t> </w:t>
      </w:r>
      <w:r>
        <w:rPr>
          <w:sz w:val="20"/>
        </w:rPr>
        <w:t>year.</w:t>
      </w:r>
    </w:p>
    <w:p>
      <w:pPr>
        <w:pStyle w:val="BodyText"/>
        <w:spacing w:before="3"/>
      </w:pPr>
    </w:p>
    <w:p>
      <w:pPr>
        <w:pStyle w:val="Heading7"/>
        <w:spacing w:line="266" w:lineRule="auto"/>
        <w:ind w:right="822"/>
      </w:pPr>
      <w:bookmarkStart w:name="Whether an MNE group’s self-assessment o" w:id="447"/>
      <w:bookmarkEnd w:id="447"/>
      <w:r>
        <w:rPr>
          <w:i w:val="0"/>
        </w:rPr>
      </w:r>
      <w:r>
        <w:rPr>
          <w:i/>
          <w:color w:val="616161"/>
        </w:rPr>
        <w:t>Whether an MNE group’s self-assessment of Amount A is correct in the absence of a </w:t>
      </w:r>
      <w:r>
        <w:rPr>
          <w:color w:val="616161"/>
        </w:rPr>
        <w:t>request for tax certainty</w:t>
      </w:r>
    </w:p>
    <w:p>
      <w:pPr>
        <w:pStyle w:val="ListParagraph"/>
        <w:numPr>
          <w:ilvl w:val="0"/>
          <w:numId w:val="13"/>
        </w:numPr>
        <w:tabs>
          <w:tab w:pos="1444" w:val="left" w:leader="none"/>
        </w:tabs>
        <w:spacing w:line="271" w:lineRule="auto" w:before="189" w:after="0"/>
        <w:ind w:left="723" w:right="489" w:firstLine="0"/>
        <w:jc w:val="both"/>
        <w:rPr>
          <w:sz w:val="20"/>
        </w:rPr>
      </w:pPr>
      <w:r>
        <w:rPr>
          <w:sz w:val="20"/>
        </w:rPr>
        <w:t>This</w:t>
      </w:r>
      <w:r>
        <w:rPr>
          <w:spacing w:val="-12"/>
          <w:sz w:val="20"/>
        </w:rPr>
        <w:t> </w:t>
      </w:r>
      <w:r>
        <w:rPr>
          <w:sz w:val="20"/>
        </w:rPr>
        <w:t>chapter</w:t>
      </w:r>
      <w:r>
        <w:rPr>
          <w:spacing w:val="-10"/>
          <w:sz w:val="20"/>
        </w:rPr>
        <w:t> </w:t>
      </w:r>
      <w:r>
        <w:rPr>
          <w:sz w:val="20"/>
        </w:rPr>
        <w:t>describes</w:t>
      </w:r>
      <w:r>
        <w:rPr>
          <w:spacing w:val="-12"/>
          <w:sz w:val="20"/>
        </w:rPr>
        <w:t> </w:t>
      </w:r>
      <w:r>
        <w:rPr>
          <w:sz w:val="20"/>
        </w:rPr>
        <w:t>a</w:t>
      </w:r>
      <w:r>
        <w:rPr>
          <w:spacing w:val="-12"/>
          <w:sz w:val="20"/>
        </w:rPr>
        <w:t> </w:t>
      </w:r>
      <w:r>
        <w:rPr>
          <w:sz w:val="20"/>
        </w:rPr>
        <w:t>process</w:t>
      </w:r>
      <w:r>
        <w:rPr>
          <w:spacing w:val="-11"/>
          <w:sz w:val="20"/>
        </w:rPr>
        <w:t> </w:t>
      </w:r>
      <w:r>
        <w:rPr>
          <w:sz w:val="20"/>
        </w:rPr>
        <w:t>to</w:t>
      </w:r>
      <w:r>
        <w:rPr>
          <w:spacing w:val="-12"/>
          <w:sz w:val="20"/>
        </w:rPr>
        <w:t> </w:t>
      </w:r>
      <w:r>
        <w:rPr>
          <w:sz w:val="20"/>
        </w:rPr>
        <w:t>provide</w:t>
      </w:r>
      <w:r>
        <w:rPr>
          <w:spacing w:val="-11"/>
          <w:sz w:val="20"/>
        </w:rPr>
        <w:t> </w:t>
      </w:r>
      <w:r>
        <w:rPr>
          <w:sz w:val="20"/>
        </w:rPr>
        <w:t>early</w:t>
      </w:r>
      <w:r>
        <w:rPr>
          <w:spacing w:val="-17"/>
          <w:sz w:val="20"/>
        </w:rPr>
        <w:t> </w:t>
      </w:r>
      <w:r>
        <w:rPr>
          <w:sz w:val="20"/>
        </w:rPr>
        <w:t>certainty</w:t>
      </w:r>
      <w:r>
        <w:rPr>
          <w:spacing w:val="-14"/>
          <w:sz w:val="20"/>
        </w:rPr>
        <w:t> </w:t>
      </w:r>
      <w:r>
        <w:rPr>
          <w:sz w:val="20"/>
        </w:rPr>
        <w:t>over</w:t>
      </w:r>
      <w:r>
        <w:rPr>
          <w:spacing w:val="-11"/>
          <w:sz w:val="20"/>
        </w:rPr>
        <w:t> </w:t>
      </w:r>
      <w:r>
        <w:rPr>
          <w:sz w:val="20"/>
        </w:rPr>
        <w:t>the</w:t>
      </w:r>
      <w:r>
        <w:rPr>
          <w:spacing w:val="-11"/>
          <w:sz w:val="20"/>
        </w:rPr>
        <w:t> </w:t>
      </w:r>
      <w:r>
        <w:rPr>
          <w:sz w:val="20"/>
        </w:rPr>
        <w:t>operation</w:t>
      </w:r>
      <w:r>
        <w:rPr>
          <w:spacing w:val="-12"/>
          <w:sz w:val="20"/>
        </w:rPr>
        <w:t> </w:t>
      </w:r>
      <w:r>
        <w:rPr>
          <w:sz w:val="20"/>
        </w:rPr>
        <w:t>of</w:t>
      </w:r>
      <w:r>
        <w:rPr>
          <w:spacing w:val="-8"/>
          <w:sz w:val="20"/>
        </w:rPr>
        <w:t> </w:t>
      </w:r>
      <w:r>
        <w:rPr>
          <w:sz w:val="20"/>
        </w:rPr>
        <w:t>Amount</w:t>
      </w:r>
      <w:r>
        <w:rPr>
          <w:spacing w:val="-14"/>
          <w:sz w:val="20"/>
        </w:rPr>
        <w:t> </w:t>
      </w:r>
      <w:r>
        <w:rPr>
          <w:sz w:val="20"/>
        </w:rPr>
        <w:t>A</w:t>
      </w:r>
      <w:r>
        <w:rPr>
          <w:spacing w:val="-11"/>
          <w:sz w:val="20"/>
        </w:rPr>
        <w:t> </w:t>
      </w:r>
      <w:r>
        <w:rPr>
          <w:sz w:val="20"/>
        </w:rPr>
        <w:t>to</w:t>
      </w:r>
      <w:r>
        <w:rPr>
          <w:spacing w:val="-12"/>
          <w:sz w:val="20"/>
        </w:rPr>
        <w:t> </w:t>
      </w:r>
      <w:r>
        <w:rPr>
          <w:sz w:val="20"/>
        </w:rPr>
        <w:t>MNE groups on request. There are also advantages in a process for tax administrations to jointly consider the application of Amount A to a particular MNE group, even if the group has not requested certainty and the outcomes of this review are not binding on</w:t>
      </w:r>
      <w:r>
        <w:rPr>
          <w:spacing w:val="-5"/>
          <w:sz w:val="20"/>
        </w:rPr>
        <w:t> </w:t>
      </w:r>
      <w:r>
        <w:rPr>
          <w:sz w:val="20"/>
        </w:rPr>
        <w:t>it.</w:t>
      </w:r>
    </w:p>
    <w:p>
      <w:pPr>
        <w:pStyle w:val="ListParagraph"/>
        <w:numPr>
          <w:ilvl w:val="1"/>
          <w:numId w:val="13"/>
        </w:numPr>
        <w:tabs>
          <w:tab w:pos="1785" w:val="left" w:leader="none"/>
        </w:tabs>
        <w:spacing w:line="268" w:lineRule="auto" w:before="99" w:after="0"/>
        <w:ind w:left="1784" w:right="480" w:hanging="360"/>
        <w:jc w:val="both"/>
        <w:rPr>
          <w:sz w:val="20"/>
        </w:rPr>
      </w:pPr>
      <w:r>
        <w:rPr>
          <w:sz w:val="20"/>
        </w:rPr>
        <w:t>Even where an MNE group does not make a request for early certainty, its Amount A </w:t>
      </w:r>
      <w:r>
        <w:rPr>
          <w:spacing w:val="2"/>
          <w:sz w:val="20"/>
        </w:rPr>
        <w:t>self- </w:t>
      </w:r>
      <w:r>
        <w:rPr>
          <w:sz w:val="20"/>
        </w:rPr>
        <w:t>assessment</w:t>
      </w:r>
      <w:r>
        <w:rPr>
          <w:spacing w:val="-10"/>
          <w:sz w:val="20"/>
        </w:rPr>
        <w:t> </w:t>
      </w:r>
      <w:r>
        <w:rPr>
          <w:sz w:val="20"/>
        </w:rPr>
        <w:t>return</w:t>
      </w:r>
      <w:r>
        <w:rPr>
          <w:spacing w:val="-10"/>
          <w:sz w:val="20"/>
        </w:rPr>
        <w:t> </w:t>
      </w:r>
      <w:r>
        <w:rPr>
          <w:sz w:val="20"/>
        </w:rPr>
        <w:t>and</w:t>
      </w:r>
      <w:r>
        <w:rPr>
          <w:spacing w:val="-10"/>
          <w:sz w:val="20"/>
        </w:rPr>
        <w:t> </w:t>
      </w:r>
      <w:r>
        <w:rPr>
          <w:sz w:val="20"/>
        </w:rPr>
        <w:t>documentation</w:t>
      </w:r>
      <w:r>
        <w:rPr>
          <w:spacing w:val="-10"/>
          <w:sz w:val="20"/>
        </w:rPr>
        <w:t> </w:t>
      </w:r>
      <w:r>
        <w:rPr>
          <w:sz w:val="20"/>
        </w:rPr>
        <w:t>package</w:t>
      </w:r>
      <w:r>
        <w:rPr>
          <w:spacing w:val="-10"/>
          <w:sz w:val="20"/>
        </w:rPr>
        <w:t> </w:t>
      </w:r>
      <w:r>
        <w:rPr>
          <w:sz w:val="20"/>
        </w:rPr>
        <w:t>will</w:t>
      </w:r>
      <w:r>
        <w:rPr>
          <w:spacing w:val="-11"/>
          <w:sz w:val="20"/>
        </w:rPr>
        <w:t> </w:t>
      </w:r>
      <w:r>
        <w:rPr>
          <w:sz w:val="20"/>
        </w:rPr>
        <w:t>still</w:t>
      </w:r>
      <w:r>
        <w:rPr>
          <w:spacing w:val="-10"/>
          <w:sz w:val="20"/>
        </w:rPr>
        <w:t> </w:t>
      </w:r>
      <w:r>
        <w:rPr>
          <w:sz w:val="20"/>
        </w:rPr>
        <w:t>be</w:t>
      </w:r>
      <w:r>
        <w:rPr>
          <w:spacing w:val="-10"/>
          <w:sz w:val="20"/>
        </w:rPr>
        <w:t> </w:t>
      </w:r>
      <w:r>
        <w:rPr>
          <w:sz w:val="20"/>
        </w:rPr>
        <w:t>filed</w:t>
      </w:r>
      <w:r>
        <w:rPr>
          <w:spacing w:val="-8"/>
          <w:sz w:val="20"/>
        </w:rPr>
        <w:t> </w:t>
      </w:r>
      <w:r>
        <w:rPr>
          <w:sz w:val="20"/>
        </w:rPr>
        <w:t>with</w:t>
      </w:r>
      <w:r>
        <w:rPr>
          <w:spacing w:val="-8"/>
          <w:sz w:val="20"/>
        </w:rPr>
        <w:t> </w:t>
      </w:r>
      <w:r>
        <w:rPr>
          <w:sz w:val="20"/>
        </w:rPr>
        <w:t>its</w:t>
      </w:r>
      <w:r>
        <w:rPr>
          <w:spacing w:val="-9"/>
          <w:sz w:val="20"/>
        </w:rPr>
        <w:t> </w:t>
      </w:r>
      <w:r>
        <w:rPr>
          <w:sz w:val="20"/>
        </w:rPr>
        <w:t>lead</w:t>
      </w:r>
      <w:r>
        <w:rPr>
          <w:spacing w:val="-10"/>
          <w:sz w:val="20"/>
        </w:rPr>
        <w:t> </w:t>
      </w:r>
      <w:r>
        <w:rPr>
          <w:sz w:val="20"/>
        </w:rPr>
        <w:t>tax</w:t>
      </w:r>
      <w:r>
        <w:rPr>
          <w:spacing w:val="-9"/>
          <w:sz w:val="20"/>
        </w:rPr>
        <w:t> </w:t>
      </w:r>
      <w:r>
        <w:rPr>
          <w:sz w:val="20"/>
        </w:rPr>
        <w:t>administration and exchanged with other affected tax administrations.</w:t>
      </w:r>
    </w:p>
    <w:p>
      <w:pPr>
        <w:pStyle w:val="ListParagraph"/>
        <w:numPr>
          <w:ilvl w:val="1"/>
          <w:numId w:val="13"/>
        </w:numPr>
        <w:tabs>
          <w:tab w:pos="1785" w:val="left" w:leader="none"/>
        </w:tabs>
        <w:spacing w:line="268" w:lineRule="auto" w:before="51" w:after="0"/>
        <w:ind w:left="1784" w:right="489" w:hanging="360"/>
        <w:jc w:val="both"/>
        <w:rPr>
          <w:sz w:val="20"/>
        </w:rPr>
      </w:pPr>
      <w:r>
        <w:rPr>
          <w:sz w:val="20"/>
        </w:rPr>
        <w:t>The lead tax administration and affected tax administrations could be given the opportunity to propose that a panel review of an MNE group’s application of Amount A be undertaken. Affected tax administrations may also express an interest in participating on such a</w:t>
      </w:r>
      <w:r>
        <w:rPr>
          <w:spacing w:val="-33"/>
          <w:sz w:val="20"/>
        </w:rPr>
        <w:t> </w:t>
      </w:r>
      <w:r>
        <w:rPr>
          <w:sz w:val="20"/>
        </w:rPr>
        <w:t>panel.</w:t>
      </w:r>
    </w:p>
    <w:p>
      <w:pPr>
        <w:pStyle w:val="ListParagraph"/>
        <w:numPr>
          <w:ilvl w:val="1"/>
          <w:numId w:val="13"/>
        </w:numPr>
        <w:tabs>
          <w:tab w:pos="1785" w:val="left" w:leader="none"/>
        </w:tabs>
        <w:spacing w:line="271" w:lineRule="auto" w:before="50" w:after="0"/>
        <w:ind w:left="1784" w:right="479" w:hanging="360"/>
        <w:jc w:val="both"/>
        <w:rPr>
          <w:sz w:val="20"/>
        </w:rPr>
      </w:pPr>
      <w:r>
        <w:rPr>
          <w:sz w:val="20"/>
        </w:rPr>
        <w:t>Whether or not the lead tax administration proposes the panel, it may agree to co-ordinate a multilateral review of the application of Amount A by any MNE group. Where the lead tax administration</w:t>
      </w:r>
      <w:r>
        <w:rPr>
          <w:spacing w:val="-4"/>
          <w:sz w:val="20"/>
        </w:rPr>
        <w:t> </w:t>
      </w:r>
      <w:r>
        <w:rPr>
          <w:sz w:val="20"/>
        </w:rPr>
        <w:t>is</w:t>
      </w:r>
      <w:r>
        <w:rPr>
          <w:spacing w:val="-5"/>
          <w:sz w:val="20"/>
        </w:rPr>
        <w:t> </w:t>
      </w:r>
      <w:r>
        <w:rPr>
          <w:sz w:val="20"/>
        </w:rPr>
        <w:t>not</w:t>
      </w:r>
      <w:r>
        <w:rPr>
          <w:spacing w:val="-5"/>
          <w:sz w:val="20"/>
        </w:rPr>
        <w:t> </w:t>
      </w:r>
      <w:r>
        <w:rPr>
          <w:sz w:val="20"/>
        </w:rPr>
        <w:t>willing</w:t>
      </w:r>
      <w:r>
        <w:rPr>
          <w:spacing w:val="-2"/>
          <w:sz w:val="20"/>
        </w:rPr>
        <w:t> </w:t>
      </w:r>
      <w:r>
        <w:rPr>
          <w:sz w:val="20"/>
        </w:rPr>
        <w:t>to</w:t>
      </w:r>
      <w:r>
        <w:rPr>
          <w:spacing w:val="-7"/>
          <w:sz w:val="20"/>
        </w:rPr>
        <w:t> </w:t>
      </w:r>
      <w:r>
        <w:rPr>
          <w:sz w:val="20"/>
        </w:rPr>
        <w:t>co-ordinate</w:t>
      </w:r>
      <w:r>
        <w:rPr>
          <w:spacing w:val="-5"/>
          <w:sz w:val="20"/>
        </w:rPr>
        <w:t> </w:t>
      </w:r>
      <w:r>
        <w:rPr>
          <w:sz w:val="20"/>
        </w:rPr>
        <w:t>the</w:t>
      </w:r>
      <w:r>
        <w:rPr>
          <w:spacing w:val="-5"/>
          <w:sz w:val="20"/>
        </w:rPr>
        <w:t> </w:t>
      </w:r>
      <w:r>
        <w:rPr>
          <w:sz w:val="20"/>
        </w:rPr>
        <w:t>panel</w:t>
      </w:r>
      <w:r>
        <w:rPr>
          <w:spacing w:val="-7"/>
          <w:sz w:val="20"/>
        </w:rPr>
        <w:t> </w:t>
      </w:r>
      <w:r>
        <w:rPr>
          <w:sz w:val="20"/>
        </w:rPr>
        <w:t>review,</w:t>
      </w:r>
      <w:r>
        <w:rPr>
          <w:spacing w:val="-4"/>
          <w:sz w:val="20"/>
        </w:rPr>
        <w:t> </w:t>
      </w:r>
      <w:r>
        <w:rPr>
          <w:sz w:val="20"/>
        </w:rPr>
        <w:t>or</w:t>
      </w:r>
      <w:r>
        <w:rPr>
          <w:spacing w:val="-4"/>
          <w:sz w:val="20"/>
        </w:rPr>
        <w:t> </w:t>
      </w:r>
      <w:r>
        <w:rPr>
          <w:sz w:val="20"/>
        </w:rPr>
        <w:t>does not</w:t>
      </w:r>
      <w:r>
        <w:rPr>
          <w:spacing w:val="-6"/>
          <w:sz w:val="20"/>
        </w:rPr>
        <w:t> </w:t>
      </w:r>
      <w:r>
        <w:rPr>
          <w:sz w:val="20"/>
        </w:rPr>
        <w:t>have</w:t>
      </w:r>
      <w:r>
        <w:rPr>
          <w:spacing w:val="-7"/>
          <w:sz w:val="20"/>
        </w:rPr>
        <w:t> </w:t>
      </w:r>
      <w:r>
        <w:rPr>
          <w:sz w:val="20"/>
        </w:rPr>
        <w:t>the</w:t>
      </w:r>
      <w:r>
        <w:rPr>
          <w:spacing w:val="-5"/>
          <w:sz w:val="20"/>
        </w:rPr>
        <w:t> </w:t>
      </w:r>
      <w:r>
        <w:rPr>
          <w:sz w:val="20"/>
        </w:rPr>
        <w:t>resources</w:t>
      </w:r>
      <w:r>
        <w:rPr>
          <w:spacing w:val="-6"/>
          <w:sz w:val="20"/>
        </w:rPr>
        <w:t> </w:t>
      </w:r>
      <w:r>
        <w:rPr>
          <w:sz w:val="20"/>
        </w:rPr>
        <w:t>to do so (e.g. taking into account its commitment to co-ordinate panel reviews where an MNE group has made a request for certainty), another affected tax administration may offer to </w:t>
      </w:r>
      <w:r>
        <w:rPr>
          <w:spacing w:val="4"/>
          <w:sz w:val="20"/>
        </w:rPr>
        <w:t>co- </w:t>
      </w:r>
      <w:r>
        <w:rPr>
          <w:sz w:val="20"/>
        </w:rPr>
        <w:t>ordinate the review. The lead tax administration may join the panel even if it does not co- ordinate the review, and it is noted that the participation of the lead tax administration (which will often be in the MNE group’s UPE jurisdiction) will typically benefit the review process for all tax</w:t>
      </w:r>
      <w:r>
        <w:rPr>
          <w:spacing w:val="-1"/>
          <w:sz w:val="20"/>
        </w:rPr>
        <w:t> </w:t>
      </w:r>
      <w:r>
        <w:rPr>
          <w:sz w:val="20"/>
        </w:rPr>
        <w:t>administrations.</w:t>
      </w:r>
    </w:p>
    <w:p>
      <w:pPr>
        <w:pStyle w:val="ListParagraph"/>
        <w:numPr>
          <w:ilvl w:val="1"/>
          <w:numId w:val="13"/>
        </w:numPr>
        <w:tabs>
          <w:tab w:pos="1785" w:val="left" w:leader="none"/>
        </w:tabs>
        <w:spacing w:line="271" w:lineRule="auto" w:before="45" w:after="0"/>
        <w:ind w:left="1784" w:right="484" w:hanging="360"/>
        <w:jc w:val="both"/>
        <w:rPr>
          <w:sz w:val="20"/>
        </w:rPr>
      </w:pPr>
      <w:r>
        <w:rPr>
          <w:sz w:val="20"/>
        </w:rPr>
        <w:t>An MNE group could be informed that the review panel will be constituted and given the opportunity</w:t>
      </w:r>
      <w:r>
        <w:rPr>
          <w:spacing w:val="-8"/>
          <w:sz w:val="20"/>
        </w:rPr>
        <w:t> </w:t>
      </w:r>
      <w:r>
        <w:rPr>
          <w:sz w:val="20"/>
        </w:rPr>
        <w:t>to</w:t>
      </w:r>
      <w:r>
        <w:rPr>
          <w:spacing w:val="-5"/>
          <w:sz w:val="20"/>
        </w:rPr>
        <w:t> </w:t>
      </w:r>
      <w:r>
        <w:rPr>
          <w:sz w:val="20"/>
        </w:rPr>
        <w:t>submit</w:t>
      </w:r>
      <w:r>
        <w:rPr>
          <w:spacing w:val="-6"/>
          <w:sz w:val="20"/>
        </w:rPr>
        <w:t> </w:t>
      </w:r>
      <w:r>
        <w:rPr>
          <w:sz w:val="20"/>
        </w:rPr>
        <w:t>a</w:t>
      </w:r>
      <w:r>
        <w:rPr>
          <w:spacing w:val="-6"/>
          <w:sz w:val="20"/>
        </w:rPr>
        <w:t> </w:t>
      </w:r>
      <w:r>
        <w:rPr>
          <w:sz w:val="20"/>
        </w:rPr>
        <w:t>late</w:t>
      </w:r>
      <w:r>
        <w:rPr>
          <w:spacing w:val="-2"/>
          <w:sz w:val="20"/>
        </w:rPr>
        <w:t> </w:t>
      </w:r>
      <w:r>
        <w:rPr>
          <w:sz w:val="20"/>
        </w:rPr>
        <w:t>request</w:t>
      </w:r>
      <w:r>
        <w:rPr>
          <w:spacing w:val="-7"/>
          <w:sz w:val="20"/>
        </w:rPr>
        <w:t> </w:t>
      </w:r>
      <w:r>
        <w:rPr>
          <w:sz w:val="20"/>
        </w:rPr>
        <w:t>for</w:t>
      </w:r>
      <w:r>
        <w:rPr>
          <w:spacing w:val="-6"/>
          <w:sz w:val="20"/>
        </w:rPr>
        <w:t> </w:t>
      </w:r>
      <w:r>
        <w:rPr>
          <w:sz w:val="20"/>
        </w:rPr>
        <w:t>tax</w:t>
      </w:r>
      <w:r>
        <w:rPr>
          <w:spacing w:val="-6"/>
          <w:sz w:val="20"/>
        </w:rPr>
        <w:t> </w:t>
      </w:r>
      <w:r>
        <w:rPr>
          <w:sz w:val="20"/>
        </w:rPr>
        <w:t>certainty.</w:t>
      </w:r>
      <w:r>
        <w:rPr>
          <w:spacing w:val="-5"/>
          <w:sz w:val="20"/>
        </w:rPr>
        <w:t> </w:t>
      </w:r>
      <w:r>
        <w:rPr>
          <w:sz w:val="20"/>
        </w:rPr>
        <w:t>This</w:t>
      </w:r>
      <w:r>
        <w:rPr>
          <w:spacing w:val="-3"/>
          <w:sz w:val="20"/>
        </w:rPr>
        <w:t> </w:t>
      </w:r>
      <w:r>
        <w:rPr>
          <w:sz w:val="20"/>
        </w:rPr>
        <w:t>would</w:t>
      </w:r>
      <w:r>
        <w:rPr>
          <w:spacing w:val="-5"/>
          <w:sz w:val="20"/>
        </w:rPr>
        <w:t> </w:t>
      </w:r>
      <w:r>
        <w:rPr>
          <w:sz w:val="20"/>
        </w:rPr>
        <w:t>benefit</w:t>
      </w:r>
      <w:r>
        <w:rPr>
          <w:spacing w:val="-5"/>
          <w:sz w:val="20"/>
        </w:rPr>
        <w:t> </w:t>
      </w:r>
      <w:r>
        <w:rPr>
          <w:sz w:val="20"/>
        </w:rPr>
        <w:t>tax</w:t>
      </w:r>
      <w:r>
        <w:rPr>
          <w:spacing w:val="-3"/>
          <w:sz w:val="20"/>
        </w:rPr>
        <w:t> </w:t>
      </w:r>
      <w:r>
        <w:rPr>
          <w:sz w:val="20"/>
        </w:rPr>
        <w:t>administrations</w:t>
      </w:r>
      <w:r>
        <w:rPr>
          <w:spacing w:val="-7"/>
          <w:sz w:val="20"/>
        </w:rPr>
        <w:t> </w:t>
      </w:r>
      <w:r>
        <w:rPr>
          <w:sz w:val="20"/>
        </w:rPr>
        <w:t>as the MNE group would then be engaged in the process, which should aid the review. It would also benefit the MNE group, as it would obtain tax certainty as a</w:t>
      </w:r>
      <w:r>
        <w:rPr>
          <w:spacing w:val="-12"/>
          <w:sz w:val="20"/>
        </w:rPr>
        <w:t> </w:t>
      </w:r>
      <w:r>
        <w:rPr>
          <w:sz w:val="20"/>
        </w:rPr>
        <w:t>result.</w:t>
      </w:r>
    </w:p>
    <w:p>
      <w:pPr>
        <w:pStyle w:val="ListParagraph"/>
        <w:numPr>
          <w:ilvl w:val="1"/>
          <w:numId w:val="13"/>
        </w:numPr>
        <w:tabs>
          <w:tab w:pos="1785" w:val="left" w:leader="none"/>
        </w:tabs>
        <w:spacing w:line="268" w:lineRule="auto" w:before="45" w:after="0"/>
        <w:ind w:left="1784" w:right="482" w:hanging="360"/>
        <w:jc w:val="both"/>
        <w:rPr>
          <w:sz w:val="20"/>
        </w:rPr>
      </w:pPr>
      <w:r>
        <w:rPr>
          <w:sz w:val="20"/>
        </w:rPr>
        <w:t>The review panel would be conducted largely consistent with the process described in this chapter.</w:t>
      </w:r>
      <w:r>
        <w:rPr>
          <w:spacing w:val="-11"/>
          <w:sz w:val="20"/>
        </w:rPr>
        <w:t> </w:t>
      </w:r>
      <w:r>
        <w:rPr>
          <w:sz w:val="20"/>
        </w:rPr>
        <w:t>An</w:t>
      </w:r>
      <w:r>
        <w:rPr>
          <w:spacing w:val="-12"/>
          <w:sz w:val="20"/>
        </w:rPr>
        <w:t> </w:t>
      </w:r>
      <w:r>
        <w:rPr>
          <w:sz w:val="20"/>
        </w:rPr>
        <w:t>MNE</w:t>
      </w:r>
      <w:r>
        <w:rPr>
          <w:spacing w:val="-12"/>
          <w:sz w:val="20"/>
        </w:rPr>
        <w:t> </w:t>
      </w:r>
      <w:r>
        <w:rPr>
          <w:sz w:val="20"/>
        </w:rPr>
        <w:t>group</w:t>
      </w:r>
      <w:r>
        <w:rPr>
          <w:spacing w:val="-12"/>
          <w:sz w:val="20"/>
        </w:rPr>
        <w:t> </w:t>
      </w:r>
      <w:r>
        <w:rPr>
          <w:sz w:val="20"/>
        </w:rPr>
        <w:t>should</w:t>
      </w:r>
      <w:r>
        <w:rPr>
          <w:spacing w:val="-12"/>
          <w:sz w:val="20"/>
        </w:rPr>
        <w:t> </w:t>
      </w:r>
      <w:r>
        <w:rPr>
          <w:sz w:val="20"/>
        </w:rPr>
        <w:t>provide</w:t>
      </w:r>
      <w:r>
        <w:rPr>
          <w:spacing w:val="-12"/>
          <w:sz w:val="20"/>
        </w:rPr>
        <w:t> </w:t>
      </w:r>
      <w:r>
        <w:rPr>
          <w:sz w:val="20"/>
        </w:rPr>
        <w:t>information</w:t>
      </w:r>
      <w:r>
        <w:rPr>
          <w:spacing w:val="-12"/>
          <w:sz w:val="20"/>
        </w:rPr>
        <w:t> </w:t>
      </w:r>
      <w:r>
        <w:rPr>
          <w:sz w:val="20"/>
        </w:rPr>
        <w:t>requested</w:t>
      </w:r>
      <w:r>
        <w:rPr>
          <w:spacing w:val="-11"/>
          <w:sz w:val="20"/>
        </w:rPr>
        <w:t> </w:t>
      </w:r>
      <w:r>
        <w:rPr>
          <w:sz w:val="20"/>
        </w:rPr>
        <w:t>for</w:t>
      </w:r>
      <w:r>
        <w:rPr>
          <w:spacing w:val="-6"/>
          <w:sz w:val="20"/>
        </w:rPr>
        <w:t> </w:t>
      </w:r>
      <w:r>
        <w:rPr>
          <w:sz w:val="20"/>
        </w:rPr>
        <w:t>use</w:t>
      </w:r>
      <w:r>
        <w:rPr>
          <w:spacing w:val="-12"/>
          <w:sz w:val="20"/>
        </w:rPr>
        <w:t> </w:t>
      </w:r>
      <w:r>
        <w:rPr>
          <w:sz w:val="20"/>
        </w:rPr>
        <w:t>by</w:t>
      </w:r>
      <w:r>
        <w:rPr>
          <w:spacing w:val="-14"/>
          <w:sz w:val="20"/>
        </w:rPr>
        <w:t> </w:t>
      </w:r>
      <w:r>
        <w:rPr>
          <w:sz w:val="20"/>
        </w:rPr>
        <w:t>a</w:t>
      </w:r>
      <w:r>
        <w:rPr>
          <w:spacing w:val="-12"/>
          <w:sz w:val="20"/>
        </w:rPr>
        <w:t> </w:t>
      </w:r>
      <w:r>
        <w:rPr>
          <w:sz w:val="20"/>
        </w:rPr>
        <w:t>panel</w:t>
      </w:r>
      <w:r>
        <w:rPr>
          <w:spacing w:val="-12"/>
          <w:sz w:val="20"/>
        </w:rPr>
        <w:t> </w:t>
      </w:r>
      <w:r>
        <w:rPr>
          <w:sz w:val="20"/>
        </w:rPr>
        <w:t>even</w:t>
      </w:r>
      <w:r>
        <w:rPr>
          <w:spacing w:val="-12"/>
          <w:sz w:val="20"/>
        </w:rPr>
        <w:t> </w:t>
      </w:r>
      <w:r>
        <w:rPr>
          <w:sz w:val="20"/>
        </w:rPr>
        <w:t>if</w:t>
      </w:r>
      <w:r>
        <w:rPr>
          <w:spacing w:val="-9"/>
          <w:sz w:val="20"/>
        </w:rPr>
        <w:t> </w:t>
      </w:r>
      <w:r>
        <w:rPr>
          <w:sz w:val="20"/>
        </w:rPr>
        <w:t>it</w:t>
      </w:r>
      <w:r>
        <w:rPr>
          <w:spacing w:val="-9"/>
          <w:sz w:val="20"/>
        </w:rPr>
        <w:t> </w:t>
      </w:r>
      <w:r>
        <w:rPr>
          <w:sz w:val="20"/>
        </w:rPr>
        <w:t>does not choose to make a request for early</w:t>
      </w:r>
      <w:r>
        <w:rPr>
          <w:spacing w:val="-10"/>
          <w:sz w:val="20"/>
        </w:rPr>
        <w:t> </w:t>
      </w:r>
      <w:r>
        <w:rPr>
          <w:sz w:val="20"/>
        </w:rPr>
        <w:t>certainty.</w:t>
      </w:r>
    </w:p>
    <w:p>
      <w:pPr>
        <w:pStyle w:val="ListParagraph"/>
        <w:numPr>
          <w:ilvl w:val="1"/>
          <w:numId w:val="13"/>
        </w:numPr>
        <w:tabs>
          <w:tab w:pos="1785" w:val="left" w:leader="none"/>
        </w:tabs>
        <w:spacing w:line="271" w:lineRule="auto" w:before="51" w:after="0"/>
        <w:ind w:left="1784" w:right="480" w:hanging="360"/>
        <w:jc w:val="both"/>
        <w:rPr>
          <w:sz w:val="20"/>
        </w:rPr>
      </w:pPr>
      <w:r>
        <w:rPr>
          <w:sz w:val="20"/>
        </w:rPr>
        <w:t>At the end of the panel review, the panel’s recommendation that the MNE group’s self- assessment (or elements of its self-assessment) are acceptable, and any changes that it proposes,</w:t>
      </w:r>
      <w:r>
        <w:rPr>
          <w:spacing w:val="-15"/>
          <w:sz w:val="20"/>
        </w:rPr>
        <w:t> </w:t>
      </w:r>
      <w:r>
        <w:rPr>
          <w:sz w:val="20"/>
        </w:rPr>
        <w:t>are</w:t>
      </w:r>
      <w:r>
        <w:rPr>
          <w:spacing w:val="-14"/>
          <w:sz w:val="20"/>
        </w:rPr>
        <w:t> </w:t>
      </w:r>
      <w:r>
        <w:rPr>
          <w:sz w:val="20"/>
        </w:rPr>
        <w:t>shared</w:t>
      </w:r>
      <w:r>
        <w:rPr>
          <w:spacing w:val="-11"/>
          <w:sz w:val="20"/>
        </w:rPr>
        <w:t> </w:t>
      </w:r>
      <w:r>
        <w:rPr>
          <w:sz w:val="20"/>
        </w:rPr>
        <w:t>with</w:t>
      </w:r>
      <w:r>
        <w:rPr>
          <w:spacing w:val="-13"/>
          <w:sz w:val="20"/>
        </w:rPr>
        <w:t> </w:t>
      </w:r>
      <w:r>
        <w:rPr>
          <w:sz w:val="20"/>
        </w:rPr>
        <w:t>affected</w:t>
      </w:r>
      <w:r>
        <w:rPr>
          <w:spacing w:val="-15"/>
          <w:sz w:val="20"/>
        </w:rPr>
        <w:t> </w:t>
      </w:r>
      <w:r>
        <w:rPr>
          <w:sz w:val="20"/>
        </w:rPr>
        <w:t>tax</w:t>
      </w:r>
      <w:r>
        <w:rPr>
          <w:spacing w:val="-13"/>
          <w:sz w:val="20"/>
        </w:rPr>
        <w:t> </w:t>
      </w:r>
      <w:r>
        <w:rPr>
          <w:sz w:val="20"/>
        </w:rPr>
        <w:t>administrations</w:t>
      </w:r>
      <w:r>
        <w:rPr>
          <w:spacing w:val="-13"/>
          <w:sz w:val="20"/>
        </w:rPr>
        <w:t> </w:t>
      </w:r>
      <w:r>
        <w:rPr>
          <w:sz w:val="20"/>
        </w:rPr>
        <w:t>for</w:t>
      </w:r>
      <w:r>
        <w:rPr>
          <w:spacing w:val="-14"/>
          <w:sz w:val="20"/>
        </w:rPr>
        <w:t> </w:t>
      </w:r>
      <w:r>
        <w:rPr>
          <w:sz w:val="20"/>
        </w:rPr>
        <w:t>their</w:t>
      </w:r>
      <w:r>
        <w:rPr>
          <w:spacing w:val="-13"/>
          <w:sz w:val="20"/>
        </w:rPr>
        <w:t> </w:t>
      </w:r>
      <w:r>
        <w:rPr>
          <w:sz w:val="20"/>
        </w:rPr>
        <w:t>comments</w:t>
      </w:r>
      <w:r>
        <w:rPr>
          <w:spacing w:val="-14"/>
          <w:sz w:val="20"/>
        </w:rPr>
        <w:t> </w:t>
      </w:r>
      <w:r>
        <w:rPr>
          <w:sz w:val="20"/>
        </w:rPr>
        <w:t>and</w:t>
      </w:r>
      <w:r>
        <w:rPr>
          <w:spacing w:val="-14"/>
          <w:sz w:val="20"/>
        </w:rPr>
        <w:t> </w:t>
      </w:r>
      <w:r>
        <w:rPr>
          <w:sz w:val="20"/>
        </w:rPr>
        <w:t>agreement.</w:t>
      </w:r>
      <w:r>
        <w:rPr>
          <w:spacing w:val="-15"/>
          <w:sz w:val="20"/>
        </w:rPr>
        <w:t> </w:t>
      </w:r>
      <w:r>
        <w:rPr>
          <w:sz w:val="20"/>
        </w:rPr>
        <w:t>Any comments from affected tax administrations may be taken into account by the</w:t>
      </w:r>
      <w:r>
        <w:rPr>
          <w:spacing w:val="-30"/>
          <w:sz w:val="20"/>
        </w:rPr>
        <w:t> </w:t>
      </w:r>
      <w:r>
        <w:rPr>
          <w:sz w:val="20"/>
        </w:rPr>
        <w:t>panel.</w:t>
      </w:r>
    </w:p>
    <w:p>
      <w:pPr>
        <w:pStyle w:val="ListParagraph"/>
        <w:numPr>
          <w:ilvl w:val="1"/>
          <w:numId w:val="13"/>
        </w:numPr>
        <w:tabs>
          <w:tab w:pos="1785" w:val="left" w:leader="none"/>
        </w:tabs>
        <w:spacing w:line="266" w:lineRule="auto" w:before="42" w:after="0"/>
        <w:ind w:left="1784" w:right="484" w:hanging="360"/>
        <w:jc w:val="both"/>
        <w:rPr>
          <w:sz w:val="20"/>
        </w:rPr>
      </w:pPr>
      <w:r>
        <w:rPr>
          <w:sz w:val="20"/>
        </w:rPr>
        <w:t>Where tax administrations are unable to reach agreement, the review panel could in principle refer</w:t>
      </w:r>
      <w:r>
        <w:rPr>
          <w:spacing w:val="-7"/>
          <w:sz w:val="20"/>
        </w:rPr>
        <w:t> </w:t>
      </w:r>
      <w:r>
        <w:rPr>
          <w:sz w:val="20"/>
        </w:rPr>
        <w:t>questions</w:t>
      </w:r>
      <w:r>
        <w:rPr>
          <w:spacing w:val="-6"/>
          <w:sz w:val="20"/>
        </w:rPr>
        <w:t> </w:t>
      </w:r>
      <w:r>
        <w:rPr>
          <w:sz w:val="20"/>
        </w:rPr>
        <w:t>to</w:t>
      </w:r>
      <w:r>
        <w:rPr>
          <w:spacing w:val="-4"/>
          <w:sz w:val="20"/>
        </w:rPr>
        <w:t> </w:t>
      </w:r>
      <w:r>
        <w:rPr>
          <w:sz w:val="20"/>
        </w:rPr>
        <w:t>a</w:t>
      </w:r>
      <w:r>
        <w:rPr>
          <w:spacing w:val="-7"/>
          <w:sz w:val="20"/>
        </w:rPr>
        <w:t> </w:t>
      </w:r>
      <w:r>
        <w:rPr>
          <w:sz w:val="20"/>
        </w:rPr>
        <w:t>determination</w:t>
      </w:r>
      <w:r>
        <w:rPr>
          <w:spacing w:val="-5"/>
          <w:sz w:val="20"/>
        </w:rPr>
        <w:t> </w:t>
      </w:r>
      <w:r>
        <w:rPr>
          <w:sz w:val="20"/>
        </w:rPr>
        <w:t>panel</w:t>
      </w:r>
      <w:r>
        <w:rPr>
          <w:spacing w:val="-8"/>
          <w:sz w:val="20"/>
        </w:rPr>
        <w:t> </w:t>
      </w:r>
      <w:r>
        <w:rPr>
          <w:sz w:val="20"/>
        </w:rPr>
        <w:t>for</w:t>
      </w:r>
      <w:r>
        <w:rPr>
          <w:spacing w:val="-6"/>
          <w:sz w:val="20"/>
        </w:rPr>
        <w:t> </w:t>
      </w:r>
      <w:r>
        <w:rPr>
          <w:sz w:val="20"/>
        </w:rPr>
        <w:t>a</w:t>
      </w:r>
      <w:r>
        <w:rPr>
          <w:spacing w:val="-5"/>
          <w:sz w:val="20"/>
        </w:rPr>
        <w:t> </w:t>
      </w:r>
      <w:r>
        <w:rPr>
          <w:sz w:val="20"/>
        </w:rPr>
        <w:t>conclusive</w:t>
      </w:r>
      <w:r>
        <w:rPr>
          <w:spacing w:val="-7"/>
          <w:sz w:val="20"/>
        </w:rPr>
        <w:t> </w:t>
      </w:r>
      <w:r>
        <w:rPr>
          <w:sz w:val="20"/>
        </w:rPr>
        <w:t>answer.</w:t>
      </w:r>
      <w:r>
        <w:rPr>
          <w:spacing w:val="-4"/>
          <w:sz w:val="20"/>
        </w:rPr>
        <w:t> </w:t>
      </w:r>
      <w:r>
        <w:rPr>
          <w:sz w:val="20"/>
        </w:rPr>
        <w:t>As</w:t>
      </w:r>
      <w:r>
        <w:rPr>
          <w:spacing w:val="-5"/>
          <w:sz w:val="20"/>
        </w:rPr>
        <w:t> </w:t>
      </w:r>
      <w:r>
        <w:rPr>
          <w:sz w:val="20"/>
        </w:rPr>
        <w:t>this</w:t>
      </w:r>
      <w:r>
        <w:rPr>
          <w:spacing w:val="-5"/>
          <w:sz w:val="20"/>
        </w:rPr>
        <w:t> </w:t>
      </w:r>
      <w:r>
        <w:rPr>
          <w:sz w:val="20"/>
        </w:rPr>
        <w:t>could</w:t>
      </w:r>
      <w:r>
        <w:rPr>
          <w:spacing w:val="-6"/>
          <w:sz w:val="20"/>
        </w:rPr>
        <w:t> </w:t>
      </w:r>
      <w:r>
        <w:rPr>
          <w:sz w:val="20"/>
        </w:rPr>
        <w:t>prove</w:t>
      </w:r>
      <w:r>
        <w:rPr>
          <w:spacing w:val="-4"/>
          <w:sz w:val="20"/>
        </w:rPr>
        <w:t> </w:t>
      </w:r>
      <w:r>
        <w:rPr>
          <w:sz w:val="20"/>
        </w:rPr>
        <w:t>useful</w:t>
      </w:r>
      <w:r>
        <w:rPr>
          <w:spacing w:val="-8"/>
          <w:sz w:val="20"/>
        </w:rPr>
        <w:t> </w:t>
      </w:r>
      <w:r>
        <w:rPr>
          <w:sz w:val="20"/>
        </w:rPr>
        <w:t>in</w:t>
      </w:r>
    </w:p>
    <w:p>
      <w:pPr>
        <w:spacing w:after="0" w:line="266"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0"/>
        <w:jc w:val="both"/>
      </w:pPr>
      <w:r>
        <w:rPr/>
        <w:t>specific</w:t>
      </w:r>
      <w:r>
        <w:rPr>
          <w:spacing w:val="-5"/>
        </w:rPr>
        <w:t> </w:t>
      </w:r>
      <w:r>
        <w:rPr/>
        <w:t>situations</w:t>
      </w:r>
      <w:r>
        <w:rPr>
          <w:spacing w:val="-5"/>
        </w:rPr>
        <w:t> </w:t>
      </w:r>
      <w:r>
        <w:rPr/>
        <w:t>it</w:t>
      </w:r>
      <w:r>
        <w:rPr>
          <w:spacing w:val="-6"/>
        </w:rPr>
        <w:t> </w:t>
      </w:r>
      <w:r>
        <w:rPr/>
        <w:t>is</w:t>
      </w:r>
      <w:r>
        <w:rPr>
          <w:spacing w:val="-5"/>
        </w:rPr>
        <w:t> </w:t>
      </w:r>
      <w:r>
        <w:rPr/>
        <w:t>suggested</w:t>
      </w:r>
      <w:r>
        <w:rPr>
          <w:spacing w:val="-7"/>
        </w:rPr>
        <w:t> </w:t>
      </w:r>
      <w:r>
        <w:rPr/>
        <w:t>that</w:t>
      </w:r>
      <w:r>
        <w:rPr>
          <w:spacing w:val="-6"/>
        </w:rPr>
        <w:t> </w:t>
      </w:r>
      <w:r>
        <w:rPr/>
        <w:t>this</w:t>
      </w:r>
      <w:r>
        <w:rPr>
          <w:spacing w:val="-5"/>
        </w:rPr>
        <w:t> </w:t>
      </w:r>
      <w:r>
        <w:rPr/>
        <w:t>possibility</w:t>
      </w:r>
      <w:r>
        <w:rPr>
          <w:spacing w:val="-9"/>
        </w:rPr>
        <w:t> </w:t>
      </w:r>
      <w:r>
        <w:rPr/>
        <w:t>is</w:t>
      </w:r>
      <w:r>
        <w:rPr>
          <w:spacing w:val="-5"/>
        </w:rPr>
        <w:t> </w:t>
      </w:r>
      <w:r>
        <w:rPr/>
        <w:t>left</w:t>
      </w:r>
      <w:r>
        <w:rPr>
          <w:spacing w:val="-6"/>
        </w:rPr>
        <w:t> </w:t>
      </w:r>
      <w:r>
        <w:rPr/>
        <w:t>open,</w:t>
      </w:r>
      <w:r>
        <w:rPr>
          <w:spacing w:val="-6"/>
        </w:rPr>
        <w:t> </w:t>
      </w:r>
      <w:r>
        <w:rPr/>
        <w:t>but</w:t>
      </w:r>
      <w:r>
        <w:rPr>
          <w:spacing w:val="-4"/>
        </w:rPr>
        <w:t> </w:t>
      </w:r>
      <w:r>
        <w:rPr/>
        <w:t>it</w:t>
      </w:r>
      <w:r>
        <w:rPr>
          <w:spacing w:val="-6"/>
        </w:rPr>
        <w:t> </w:t>
      </w:r>
      <w:r>
        <w:rPr/>
        <w:t>is</w:t>
      </w:r>
      <w:r>
        <w:rPr>
          <w:spacing w:val="-5"/>
        </w:rPr>
        <w:t> </w:t>
      </w:r>
      <w:r>
        <w:rPr/>
        <w:t>expected</w:t>
      </w:r>
      <w:r>
        <w:rPr>
          <w:spacing w:val="-7"/>
        </w:rPr>
        <w:t> </w:t>
      </w:r>
      <w:r>
        <w:rPr/>
        <w:t>that,</w:t>
      </w:r>
      <w:r>
        <w:rPr>
          <w:spacing w:val="-6"/>
        </w:rPr>
        <w:t> </w:t>
      </w:r>
      <w:r>
        <w:rPr/>
        <w:t>unless an MNE group has agreed to submit a late request for tax certainty, affected tax administrations will typically not wish to take this step if, in any case, the end result is not binding.</w:t>
      </w:r>
    </w:p>
    <w:p>
      <w:pPr>
        <w:pStyle w:val="ListParagraph"/>
        <w:numPr>
          <w:ilvl w:val="1"/>
          <w:numId w:val="13"/>
        </w:numPr>
        <w:tabs>
          <w:tab w:pos="1785" w:val="left" w:leader="none"/>
        </w:tabs>
        <w:spacing w:line="271" w:lineRule="auto" w:before="47" w:after="0"/>
        <w:ind w:left="1784" w:right="486" w:hanging="360"/>
        <w:jc w:val="both"/>
        <w:rPr>
          <w:sz w:val="20"/>
        </w:rPr>
      </w:pPr>
      <w:r>
        <w:rPr>
          <w:sz w:val="20"/>
        </w:rPr>
        <w:t>Where</w:t>
      </w:r>
      <w:r>
        <w:rPr>
          <w:spacing w:val="-6"/>
          <w:sz w:val="20"/>
        </w:rPr>
        <w:t> </w:t>
      </w:r>
      <w:r>
        <w:rPr>
          <w:sz w:val="20"/>
        </w:rPr>
        <w:t>an</w:t>
      </w:r>
      <w:r>
        <w:rPr>
          <w:spacing w:val="-7"/>
          <w:sz w:val="20"/>
        </w:rPr>
        <w:t> </w:t>
      </w:r>
      <w:r>
        <w:rPr>
          <w:sz w:val="20"/>
        </w:rPr>
        <w:t>MNE</w:t>
      </w:r>
      <w:r>
        <w:rPr>
          <w:spacing w:val="-5"/>
          <w:sz w:val="20"/>
        </w:rPr>
        <w:t> </w:t>
      </w:r>
      <w:r>
        <w:rPr>
          <w:sz w:val="20"/>
        </w:rPr>
        <w:t>group</w:t>
      </w:r>
      <w:r>
        <w:rPr>
          <w:spacing w:val="-6"/>
          <w:sz w:val="20"/>
        </w:rPr>
        <w:t> </w:t>
      </w:r>
      <w:r>
        <w:rPr>
          <w:sz w:val="20"/>
        </w:rPr>
        <w:t>agrees</w:t>
      </w:r>
      <w:r>
        <w:rPr>
          <w:spacing w:val="-6"/>
          <w:sz w:val="20"/>
        </w:rPr>
        <w:t> </w:t>
      </w:r>
      <w:r>
        <w:rPr>
          <w:sz w:val="20"/>
        </w:rPr>
        <w:t>to</w:t>
      </w:r>
      <w:r>
        <w:rPr>
          <w:spacing w:val="-6"/>
          <w:sz w:val="20"/>
        </w:rPr>
        <w:t> </w:t>
      </w:r>
      <w:r>
        <w:rPr>
          <w:sz w:val="20"/>
        </w:rPr>
        <w:t>submit</w:t>
      </w:r>
      <w:r>
        <w:rPr>
          <w:spacing w:val="-6"/>
          <w:sz w:val="20"/>
        </w:rPr>
        <w:t> </w:t>
      </w:r>
      <w:r>
        <w:rPr>
          <w:sz w:val="20"/>
        </w:rPr>
        <w:t>a</w:t>
      </w:r>
      <w:r>
        <w:rPr>
          <w:spacing w:val="-7"/>
          <w:sz w:val="20"/>
        </w:rPr>
        <w:t> </w:t>
      </w:r>
      <w:r>
        <w:rPr>
          <w:sz w:val="20"/>
        </w:rPr>
        <w:t>late</w:t>
      </w:r>
      <w:r>
        <w:rPr>
          <w:spacing w:val="-7"/>
          <w:sz w:val="20"/>
        </w:rPr>
        <w:t> </w:t>
      </w:r>
      <w:r>
        <w:rPr>
          <w:sz w:val="20"/>
        </w:rPr>
        <w:t>request</w:t>
      </w:r>
      <w:r>
        <w:rPr>
          <w:spacing w:val="-6"/>
          <w:sz w:val="20"/>
        </w:rPr>
        <w:t> </w:t>
      </w:r>
      <w:r>
        <w:rPr>
          <w:sz w:val="20"/>
        </w:rPr>
        <w:t>for</w:t>
      </w:r>
      <w:r>
        <w:rPr>
          <w:spacing w:val="-6"/>
          <w:sz w:val="20"/>
        </w:rPr>
        <w:t> </w:t>
      </w:r>
      <w:r>
        <w:rPr>
          <w:sz w:val="20"/>
        </w:rPr>
        <w:t>tax</w:t>
      </w:r>
      <w:r>
        <w:rPr>
          <w:spacing w:val="-6"/>
          <w:sz w:val="20"/>
        </w:rPr>
        <w:t> </w:t>
      </w:r>
      <w:r>
        <w:rPr>
          <w:sz w:val="20"/>
        </w:rPr>
        <w:t>certainty,</w:t>
      </w:r>
      <w:r>
        <w:rPr>
          <w:spacing w:val="-6"/>
          <w:sz w:val="20"/>
        </w:rPr>
        <w:t> </w:t>
      </w:r>
      <w:r>
        <w:rPr>
          <w:sz w:val="20"/>
        </w:rPr>
        <w:t>the</w:t>
      </w:r>
      <w:r>
        <w:rPr>
          <w:spacing w:val="-7"/>
          <w:sz w:val="20"/>
        </w:rPr>
        <w:t> </w:t>
      </w:r>
      <w:r>
        <w:rPr>
          <w:sz w:val="20"/>
        </w:rPr>
        <w:t>potential</w:t>
      </w:r>
      <w:r>
        <w:rPr>
          <w:spacing w:val="-8"/>
          <w:sz w:val="20"/>
        </w:rPr>
        <w:t> </w:t>
      </w:r>
      <w:r>
        <w:rPr>
          <w:sz w:val="20"/>
        </w:rPr>
        <w:t>outcomes are</w:t>
      </w:r>
      <w:r>
        <w:rPr>
          <w:spacing w:val="-9"/>
          <w:sz w:val="20"/>
        </w:rPr>
        <w:t> </w:t>
      </w:r>
      <w:r>
        <w:rPr>
          <w:sz w:val="20"/>
        </w:rPr>
        <w:t>as</w:t>
      </w:r>
      <w:r>
        <w:rPr>
          <w:spacing w:val="-8"/>
          <w:sz w:val="20"/>
        </w:rPr>
        <w:t> </w:t>
      </w:r>
      <w:r>
        <w:rPr>
          <w:sz w:val="20"/>
        </w:rPr>
        <w:t>described</w:t>
      </w:r>
      <w:r>
        <w:rPr>
          <w:spacing w:val="-8"/>
          <w:sz w:val="20"/>
        </w:rPr>
        <w:t> </w:t>
      </w:r>
      <w:r>
        <w:rPr>
          <w:sz w:val="20"/>
        </w:rPr>
        <w:t>earlier</w:t>
      </w:r>
      <w:r>
        <w:rPr>
          <w:spacing w:val="-8"/>
          <w:sz w:val="20"/>
        </w:rPr>
        <w:t> </w:t>
      </w:r>
      <w:r>
        <w:rPr>
          <w:sz w:val="20"/>
        </w:rPr>
        <w:t>in</w:t>
      </w:r>
      <w:r>
        <w:rPr>
          <w:spacing w:val="-8"/>
          <w:sz w:val="20"/>
        </w:rPr>
        <w:t> </w:t>
      </w:r>
      <w:r>
        <w:rPr>
          <w:sz w:val="20"/>
        </w:rPr>
        <w:t>this</w:t>
      </w:r>
      <w:r>
        <w:rPr>
          <w:spacing w:val="-8"/>
          <w:sz w:val="20"/>
        </w:rPr>
        <w:t> </w:t>
      </w:r>
      <w:r>
        <w:rPr>
          <w:sz w:val="20"/>
        </w:rPr>
        <w:t>chapter.</w:t>
      </w:r>
      <w:r>
        <w:rPr>
          <w:spacing w:val="-12"/>
          <w:sz w:val="20"/>
        </w:rPr>
        <w:t> </w:t>
      </w:r>
      <w:r>
        <w:rPr>
          <w:sz w:val="20"/>
        </w:rPr>
        <w:t>Where</w:t>
      </w:r>
      <w:r>
        <w:rPr>
          <w:spacing w:val="-8"/>
          <w:sz w:val="20"/>
        </w:rPr>
        <w:t> </w:t>
      </w:r>
      <w:r>
        <w:rPr>
          <w:sz w:val="20"/>
        </w:rPr>
        <w:t>an</w:t>
      </w:r>
      <w:r>
        <w:rPr>
          <w:spacing w:val="-9"/>
          <w:sz w:val="20"/>
        </w:rPr>
        <w:t> </w:t>
      </w:r>
      <w:r>
        <w:rPr>
          <w:sz w:val="20"/>
        </w:rPr>
        <w:t>MNE</w:t>
      </w:r>
      <w:r>
        <w:rPr>
          <w:spacing w:val="-7"/>
          <w:sz w:val="20"/>
        </w:rPr>
        <w:t> </w:t>
      </w:r>
      <w:r>
        <w:rPr>
          <w:sz w:val="20"/>
        </w:rPr>
        <w:t>group</w:t>
      </w:r>
      <w:r>
        <w:rPr>
          <w:spacing w:val="-8"/>
          <w:sz w:val="20"/>
        </w:rPr>
        <w:t> </w:t>
      </w:r>
      <w:r>
        <w:rPr>
          <w:sz w:val="20"/>
        </w:rPr>
        <w:t>does</w:t>
      </w:r>
      <w:r>
        <w:rPr>
          <w:spacing w:val="-8"/>
          <w:sz w:val="20"/>
        </w:rPr>
        <w:t> </w:t>
      </w:r>
      <w:r>
        <w:rPr>
          <w:sz w:val="20"/>
        </w:rPr>
        <w:t>not</w:t>
      </w:r>
      <w:r>
        <w:rPr>
          <w:spacing w:val="-8"/>
          <w:sz w:val="20"/>
        </w:rPr>
        <w:t> </w:t>
      </w:r>
      <w:r>
        <w:rPr>
          <w:sz w:val="20"/>
        </w:rPr>
        <w:t>submit</w:t>
      </w:r>
      <w:r>
        <w:rPr>
          <w:spacing w:val="-9"/>
          <w:sz w:val="20"/>
        </w:rPr>
        <w:t> </w:t>
      </w:r>
      <w:r>
        <w:rPr>
          <w:sz w:val="20"/>
        </w:rPr>
        <w:t>such</w:t>
      </w:r>
      <w:r>
        <w:rPr>
          <w:spacing w:val="-8"/>
          <w:sz w:val="20"/>
        </w:rPr>
        <w:t> </w:t>
      </w:r>
      <w:r>
        <w:rPr>
          <w:sz w:val="20"/>
        </w:rPr>
        <w:t>a</w:t>
      </w:r>
      <w:r>
        <w:rPr>
          <w:spacing w:val="-9"/>
          <w:sz w:val="20"/>
        </w:rPr>
        <w:t> </w:t>
      </w:r>
      <w:r>
        <w:rPr>
          <w:sz w:val="20"/>
        </w:rPr>
        <w:t>request, there are a number of potential outcomes from this</w:t>
      </w:r>
      <w:r>
        <w:rPr>
          <w:spacing w:val="-5"/>
          <w:sz w:val="20"/>
        </w:rPr>
        <w:t> </w:t>
      </w:r>
      <w:r>
        <w:rPr>
          <w:sz w:val="20"/>
        </w:rPr>
        <w:t>process:</w:t>
      </w:r>
    </w:p>
    <w:p>
      <w:pPr>
        <w:pStyle w:val="ListParagraph"/>
        <w:numPr>
          <w:ilvl w:val="2"/>
          <w:numId w:val="13"/>
        </w:numPr>
        <w:tabs>
          <w:tab w:pos="2505" w:val="left" w:leader="none"/>
        </w:tabs>
        <w:spacing w:line="268" w:lineRule="auto" w:before="56" w:after="0"/>
        <w:ind w:left="2504" w:right="481" w:hanging="360"/>
        <w:jc w:val="both"/>
        <w:rPr>
          <w:sz w:val="20"/>
        </w:rPr>
      </w:pPr>
      <w:r>
        <w:rPr>
          <w:sz w:val="20"/>
        </w:rPr>
        <w:t>Where tax administrations agree that all or parts of an MNE group’s self-assessment are acceptable, may not be binding on them, but could be agreed and implemented by each tax administration within their domestic framework without undertaking significant further work, minimising duplication of work across affected tax administrations.</w:t>
      </w:r>
      <w:r>
        <w:rPr>
          <w:spacing w:val="-4"/>
          <w:sz w:val="20"/>
        </w:rPr>
        <w:t> </w:t>
      </w:r>
      <w:r>
        <w:rPr>
          <w:sz w:val="20"/>
        </w:rPr>
        <w:t>Alternatively,</w:t>
      </w:r>
      <w:r>
        <w:rPr>
          <w:spacing w:val="-4"/>
          <w:sz w:val="20"/>
        </w:rPr>
        <w:t> </w:t>
      </w:r>
      <w:r>
        <w:rPr>
          <w:sz w:val="20"/>
        </w:rPr>
        <w:t>it</w:t>
      </w:r>
      <w:r>
        <w:rPr>
          <w:spacing w:val="-5"/>
          <w:sz w:val="20"/>
        </w:rPr>
        <w:t> </w:t>
      </w:r>
      <w:r>
        <w:rPr>
          <w:sz w:val="20"/>
        </w:rPr>
        <w:t>could</w:t>
      </w:r>
      <w:r>
        <w:rPr>
          <w:spacing w:val="-4"/>
          <w:sz w:val="20"/>
        </w:rPr>
        <w:t> </w:t>
      </w:r>
      <w:r>
        <w:rPr>
          <w:sz w:val="20"/>
        </w:rPr>
        <w:t>be</w:t>
      </w:r>
      <w:r>
        <w:rPr>
          <w:spacing w:val="-6"/>
          <w:sz w:val="20"/>
        </w:rPr>
        <w:t> </w:t>
      </w:r>
      <w:r>
        <w:rPr>
          <w:sz w:val="20"/>
        </w:rPr>
        <w:t>agreed</w:t>
      </w:r>
      <w:r>
        <w:rPr>
          <w:spacing w:val="-7"/>
          <w:sz w:val="20"/>
        </w:rPr>
        <w:t> </w:t>
      </w:r>
      <w:r>
        <w:rPr>
          <w:sz w:val="20"/>
        </w:rPr>
        <w:t>that,</w:t>
      </w:r>
      <w:r>
        <w:rPr>
          <w:spacing w:val="-3"/>
          <w:sz w:val="20"/>
        </w:rPr>
        <w:t> </w:t>
      </w:r>
      <w:r>
        <w:rPr>
          <w:sz w:val="20"/>
        </w:rPr>
        <w:t>if</w:t>
      </w:r>
      <w:r>
        <w:rPr>
          <w:spacing w:val="-4"/>
          <w:sz w:val="20"/>
        </w:rPr>
        <w:t> </w:t>
      </w:r>
      <w:r>
        <w:rPr>
          <w:sz w:val="20"/>
        </w:rPr>
        <w:t>tax</w:t>
      </w:r>
      <w:r>
        <w:rPr>
          <w:spacing w:val="-5"/>
          <w:sz w:val="20"/>
        </w:rPr>
        <w:t> </w:t>
      </w:r>
      <w:r>
        <w:rPr>
          <w:sz w:val="20"/>
        </w:rPr>
        <w:t>administrations</w:t>
      </w:r>
      <w:r>
        <w:rPr>
          <w:spacing w:val="-4"/>
          <w:sz w:val="20"/>
        </w:rPr>
        <w:t> </w:t>
      </w:r>
      <w:r>
        <w:rPr>
          <w:sz w:val="20"/>
        </w:rPr>
        <w:t>agree</w:t>
      </w:r>
      <w:r>
        <w:rPr>
          <w:spacing w:val="-7"/>
          <w:sz w:val="20"/>
        </w:rPr>
        <w:t> </w:t>
      </w:r>
      <w:r>
        <w:rPr>
          <w:sz w:val="20"/>
        </w:rPr>
        <w:t>that an MNE’s self-assessment of Amount A is acceptable, this should be binding on tax administrations</w:t>
      </w:r>
      <w:r>
        <w:rPr>
          <w:spacing w:val="-9"/>
          <w:sz w:val="20"/>
        </w:rPr>
        <w:t> </w:t>
      </w:r>
      <w:r>
        <w:rPr>
          <w:sz w:val="20"/>
        </w:rPr>
        <w:t>even</w:t>
      </w:r>
      <w:r>
        <w:rPr>
          <w:spacing w:val="-8"/>
          <w:sz w:val="20"/>
        </w:rPr>
        <w:t> </w:t>
      </w:r>
      <w:r>
        <w:rPr>
          <w:sz w:val="20"/>
        </w:rPr>
        <w:t>where</w:t>
      </w:r>
      <w:r>
        <w:rPr>
          <w:spacing w:val="-8"/>
          <w:sz w:val="20"/>
        </w:rPr>
        <w:t> </w:t>
      </w:r>
      <w:r>
        <w:rPr>
          <w:sz w:val="20"/>
        </w:rPr>
        <w:t>an</w:t>
      </w:r>
      <w:r>
        <w:rPr>
          <w:spacing w:val="-8"/>
          <w:sz w:val="20"/>
        </w:rPr>
        <w:t> </w:t>
      </w:r>
      <w:r>
        <w:rPr>
          <w:sz w:val="20"/>
        </w:rPr>
        <w:t>MNE</w:t>
      </w:r>
      <w:r>
        <w:rPr>
          <w:spacing w:val="-8"/>
          <w:sz w:val="20"/>
        </w:rPr>
        <w:t> </w:t>
      </w:r>
      <w:r>
        <w:rPr>
          <w:sz w:val="20"/>
        </w:rPr>
        <w:t>has</w:t>
      </w:r>
      <w:r>
        <w:rPr>
          <w:spacing w:val="-6"/>
          <w:sz w:val="20"/>
        </w:rPr>
        <w:t> </w:t>
      </w:r>
      <w:r>
        <w:rPr>
          <w:sz w:val="20"/>
        </w:rPr>
        <w:t>not</w:t>
      </w:r>
      <w:r>
        <w:rPr>
          <w:spacing w:val="-8"/>
          <w:sz w:val="20"/>
        </w:rPr>
        <w:t> </w:t>
      </w:r>
      <w:r>
        <w:rPr>
          <w:sz w:val="20"/>
        </w:rPr>
        <w:t>requested</w:t>
      </w:r>
      <w:r>
        <w:rPr>
          <w:spacing w:val="-8"/>
          <w:sz w:val="20"/>
        </w:rPr>
        <w:t> </w:t>
      </w:r>
      <w:r>
        <w:rPr>
          <w:sz w:val="20"/>
        </w:rPr>
        <w:t>certainty,</w:t>
      </w:r>
      <w:r>
        <w:rPr>
          <w:spacing w:val="-6"/>
          <w:sz w:val="20"/>
        </w:rPr>
        <w:t> </w:t>
      </w:r>
      <w:r>
        <w:rPr>
          <w:sz w:val="20"/>
        </w:rPr>
        <w:t>unless</w:t>
      </w:r>
      <w:r>
        <w:rPr>
          <w:spacing w:val="-9"/>
          <w:sz w:val="20"/>
        </w:rPr>
        <w:t> </w:t>
      </w:r>
      <w:r>
        <w:rPr>
          <w:sz w:val="20"/>
        </w:rPr>
        <w:t>a</w:t>
      </w:r>
      <w:r>
        <w:rPr>
          <w:spacing w:val="-1"/>
          <w:sz w:val="20"/>
        </w:rPr>
        <w:t> </w:t>
      </w:r>
      <w:r>
        <w:rPr>
          <w:sz w:val="20"/>
        </w:rPr>
        <w:t>constituent entity</w:t>
      </w:r>
      <w:r>
        <w:rPr>
          <w:spacing w:val="-11"/>
          <w:sz w:val="20"/>
        </w:rPr>
        <w:t> </w:t>
      </w:r>
      <w:r>
        <w:rPr>
          <w:sz w:val="20"/>
        </w:rPr>
        <w:t>in</w:t>
      </w:r>
      <w:r>
        <w:rPr>
          <w:spacing w:val="-9"/>
          <w:sz w:val="20"/>
        </w:rPr>
        <w:t> </w:t>
      </w:r>
      <w:r>
        <w:rPr>
          <w:sz w:val="20"/>
        </w:rPr>
        <w:t>a</w:t>
      </w:r>
      <w:r>
        <w:rPr>
          <w:spacing w:val="-10"/>
          <w:sz w:val="20"/>
        </w:rPr>
        <w:t> </w:t>
      </w:r>
      <w:r>
        <w:rPr>
          <w:sz w:val="20"/>
        </w:rPr>
        <w:t>tax</w:t>
      </w:r>
      <w:r>
        <w:rPr>
          <w:spacing w:val="-8"/>
          <w:sz w:val="20"/>
        </w:rPr>
        <w:t> </w:t>
      </w:r>
      <w:r>
        <w:rPr>
          <w:sz w:val="20"/>
        </w:rPr>
        <w:t>administration’s</w:t>
      </w:r>
      <w:r>
        <w:rPr>
          <w:spacing w:val="-9"/>
          <w:sz w:val="20"/>
        </w:rPr>
        <w:t> </w:t>
      </w:r>
      <w:r>
        <w:rPr>
          <w:sz w:val="20"/>
        </w:rPr>
        <w:t>jurisdiction</w:t>
      </w:r>
      <w:r>
        <w:rPr>
          <w:spacing w:val="-9"/>
          <w:sz w:val="20"/>
        </w:rPr>
        <w:t> </w:t>
      </w:r>
      <w:r>
        <w:rPr>
          <w:sz w:val="20"/>
        </w:rPr>
        <w:t>appeals</w:t>
      </w:r>
      <w:r>
        <w:rPr>
          <w:spacing w:val="-3"/>
          <w:sz w:val="20"/>
        </w:rPr>
        <w:t> </w:t>
      </w:r>
      <w:r>
        <w:rPr>
          <w:sz w:val="20"/>
        </w:rPr>
        <w:t>the</w:t>
      </w:r>
      <w:r>
        <w:rPr>
          <w:spacing w:val="-8"/>
          <w:sz w:val="20"/>
        </w:rPr>
        <w:t> </w:t>
      </w:r>
      <w:r>
        <w:rPr>
          <w:sz w:val="20"/>
        </w:rPr>
        <w:t>assessment</w:t>
      </w:r>
      <w:r>
        <w:rPr>
          <w:spacing w:val="-9"/>
          <w:sz w:val="20"/>
        </w:rPr>
        <w:t> </w:t>
      </w:r>
      <w:r>
        <w:rPr>
          <w:sz w:val="20"/>
        </w:rPr>
        <w:t>to</w:t>
      </w:r>
      <w:r>
        <w:rPr>
          <w:spacing w:val="-10"/>
          <w:sz w:val="20"/>
        </w:rPr>
        <w:t> </w:t>
      </w:r>
      <w:r>
        <w:rPr>
          <w:sz w:val="20"/>
        </w:rPr>
        <w:t>a</w:t>
      </w:r>
      <w:r>
        <w:rPr>
          <w:spacing w:val="-7"/>
          <w:sz w:val="20"/>
        </w:rPr>
        <w:t> </w:t>
      </w:r>
      <w:r>
        <w:rPr>
          <w:sz w:val="20"/>
        </w:rPr>
        <w:t>domestic</w:t>
      </w:r>
      <w:r>
        <w:rPr>
          <w:spacing w:val="-9"/>
          <w:sz w:val="20"/>
        </w:rPr>
        <w:t> </w:t>
      </w:r>
      <w:r>
        <w:rPr>
          <w:sz w:val="20"/>
        </w:rPr>
        <w:t>court or a tax administration is required to comply with a court decision that is</w:t>
      </w:r>
      <w:r>
        <w:rPr>
          <w:spacing w:val="-35"/>
          <w:sz w:val="20"/>
        </w:rPr>
        <w:t> </w:t>
      </w:r>
      <w:r>
        <w:rPr>
          <w:sz w:val="20"/>
        </w:rPr>
        <w:t>different.</w:t>
      </w:r>
    </w:p>
    <w:p>
      <w:pPr>
        <w:pStyle w:val="ListParagraph"/>
        <w:numPr>
          <w:ilvl w:val="2"/>
          <w:numId w:val="13"/>
        </w:numPr>
        <w:tabs>
          <w:tab w:pos="2505" w:val="left" w:leader="none"/>
        </w:tabs>
        <w:spacing w:line="264" w:lineRule="auto" w:before="65" w:after="0"/>
        <w:ind w:left="2504" w:right="482" w:hanging="360"/>
        <w:jc w:val="both"/>
        <w:rPr>
          <w:sz w:val="20"/>
        </w:rPr>
      </w:pPr>
      <w:r>
        <w:rPr>
          <w:sz w:val="20"/>
        </w:rPr>
        <w:t>Where tax administrations agree that changes should be made to an MNE group’s self-assessment,</w:t>
      </w:r>
      <w:r>
        <w:rPr>
          <w:spacing w:val="-11"/>
          <w:sz w:val="20"/>
        </w:rPr>
        <w:t> </w:t>
      </w:r>
      <w:r>
        <w:rPr>
          <w:sz w:val="20"/>
        </w:rPr>
        <w:t>these</w:t>
      </w:r>
      <w:r>
        <w:rPr>
          <w:spacing w:val="-11"/>
          <w:sz w:val="20"/>
        </w:rPr>
        <w:t> </w:t>
      </w:r>
      <w:r>
        <w:rPr>
          <w:sz w:val="20"/>
        </w:rPr>
        <w:t>could</w:t>
      </w:r>
      <w:r>
        <w:rPr>
          <w:spacing w:val="-11"/>
          <w:sz w:val="20"/>
        </w:rPr>
        <w:t> </w:t>
      </w:r>
      <w:r>
        <w:rPr>
          <w:sz w:val="20"/>
        </w:rPr>
        <w:t>be</w:t>
      </w:r>
      <w:r>
        <w:rPr>
          <w:spacing w:val="-9"/>
          <w:sz w:val="20"/>
        </w:rPr>
        <w:t> </w:t>
      </w:r>
      <w:r>
        <w:rPr>
          <w:sz w:val="20"/>
        </w:rPr>
        <w:t>proposed</w:t>
      </w:r>
      <w:r>
        <w:rPr>
          <w:spacing w:val="-9"/>
          <w:sz w:val="20"/>
        </w:rPr>
        <w:t> </w:t>
      </w:r>
      <w:r>
        <w:rPr>
          <w:sz w:val="20"/>
        </w:rPr>
        <w:t>to</w:t>
      </w:r>
      <w:r>
        <w:rPr>
          <w:spacing w:val="-9"/>
          <w:sz w:val="20"/>
        </w:rPr>
        <w:t> </w:t>
      </w:r>
      <w:r>
        <w:rPr>
          <w:sz w:val="20"/>
        </w:rPr>
        <w:t>the</w:t>
      </w:r>
      <w:r>
        <w:rPr>
          <w:spacing w:val="-11"/>
          <w:sz w:val="20"/>
        </w:rPr>
        <w:t> </w:t>
      </w:r>
      <w:r>
        <w:rPr>
          <w:sz w:val="20"/>
        </w:rPr>
        <w:t>MNE</w:t>
      </w:r>
      <w:r>
        <w:rPr>
          <w:spacing w:val="-6"/>
          <w:sz w:val="20"/>
        </w:rPr>
        <w:t> </w:t>
      </w:r>
      <w:r>
        <w:rPr>
          <w:sz w:val="20"/>
        </w:rPr>
        <w:t>group.</w:t>
      </w:r>
      <w:r>
        <w:rPr>
          <w:spacing w:val="-3"/>
          <w:sz w:val="20"/>
        </w:rPr>
        <w:t> </w:t>
      </w:r>
      <w:r>
        <w:rPr>
          <w:sz w:val="20"/>
        </w:rPr>
        <w:t>The</w:t>
      </w:r>
      <w:r>
        <w:rPr>
          <w:spacing w:val="-12"/>
          <w:sz w:val="20"/>
        </w:rPr>
        <w:t> </w:t>
      </w:r>
      <w:r>
        <w:rPr>
          <w:sz w:val="20"/>
        </w:rPr>
        <w:t>MNE</w:t>
      </w:r>
      <w:r>
        <w:rPr>
          <w:spacing w:val="-8"/>
          <w:sz w:val="20"/>
        </w:rPr>
        <w:t> </w:t>
      </w:r>
      <w:r>
        <w:rPr>
          <w:sz w:val="20"/>
        </w:rPr>
        <w:t>group</w:t>
      </w:r>
      <w:r>
        <w:rPr>
          <w:spacing w:val="-8"/>
          <w:sz w:val="20"/>
        </w:rPr>
        <w:t> </w:t>
      </w:r>
      <w:r>
        <w:rPr>
          <w:sz w:val="20"/>
        </w:rPr>
        <w:t>may</w:t>
      </w:r>
      <w:r>
        <w:rPr>
          <w:spacing w:val="-14"/>
          <w:sz w:val="20"/>
        </w:rPr>
        <w:t> </w:t>
      </w:r>
      <w:r>
        <w:rPr>
          <w:sz w:val="20"/>
        </w:rPr>
        <w:t>be willing to accept these changes to avoid double taxation that could arise if changes were proposed unilaterally by tax administrations in some</w:t>
      </w:r>
      <w:r>
        <w:rPr>
          <w:spacing w:val="-20"/>
          <w:sz w:val="20"/>
        </w:rPr>
        <w:t> </w:t>
      </w:r>
      <w:r>
        <w:rPr>
          <w:sz w:val="20"/>
        </w:rPr>
        <w:t>jurisdictions.</w:t>
      </w:r>
    </w:p>
    <w:p>
      <w:pPr>
        <w:pStyle w:val="ListParagraph"/>
        <w:numPr>
          <w:ilvl w:val="2"/>
          <w:numId w:val="13"/>
        </w:numPr>
        <w:tabs>
          <w:tab w:pos="2505" w:val="left" w:leader="none"/>
        </w:tabs>
        <w:spacing w:line="261" w:lineRule="auto" w:before="70" w:after="0"/>
        <w:ind w:left="2504" w:right="479" w:hanging="360"/>
        <w:jc w:val="both"/>
        <w:rPr>
          <w:sz w:val="20"/>
        </w:rPr>
      </w:pPr>
      <w:r>
        <w:rPr>
          <w:sz w:val="20"/>
        </w:rPr>
        <w:t>Where tax administrations do not reach agreement or wish to undertake their own review they are free to do so, but their future enquiries may benefit from work undertaken by the</w:t>
      </w:r>
      <w:r>
        <w:rPr>
          <w:spacing w:val="-4"/>
          <w:sz w:val="20"/>
        </w:rPr>
        <w:t> </w:t>
      </w:r>
      <w:r>
        <w:rPr>
          <w:sz w:val="20"/>
        </w:rPr>
        <w:t>panel.</w:t>
      </w:r>
    </w:p>
    <w:p>
      <w:pPr>
        <w:pStyle w:val="BodyText"/>
        <w:spacing w:before="6"/>
        <w:rPr>
          <w:sz w:val="21"/>
        </w:rPr>
      </w:pPr>
    </w:p>
    <w:p>
      <w:pPr>
        <w:pStyle w:val="Heading7"/>
        <w:spacing w:line="266" w:lineRule="auto" w:before="1"/>
        <w:ind w:right="735"/>
      </w:pPr>
      <w:bookmarkStart w:name="Whether an MNE group can seek dispute re" w:id="448"/>
      <w:bookmarkEnd w:id="448"/>
      <w:r>
        <w:rPr>
          <w:i w:val="0"/>
        </w:rPr>
      </w:r>
      <w:r>
        <w:rPr>
          <w:i/>
          <w:color w:val="616161"/>
        </w:rPr>
        <w:t>Whether an MNE group can seek dispute resolution in cases where it did not submit a </w:t>
      </w:r>
      <w:r>
        <w:rPr>
          <w:color w:val="616161"/>
        </w:rPr>
        <w:t>request for early certainty</w:t>
      </w:r>
    </w:p>
    <w:p>
      <w:pPr>
        <w:pStyle w:val="ListParagraph"/>
        <w:numPr>
          <w:ilvl w:val="0"/>
          <w:numId w:val="13"/>
        </w:numPr>
        <w:tabs>
          <w:tab w:pos="1444" w:val="left" w:leader="none"/>
        </w:tabs>
        <w:spacing w:line="271" w:lineRule="auto" w:before="189" w:after="0"/>
        <w:ind w:left="723" w:right="482" w:firstLine="0"/>
        <w:jc w:val="both"/>
        <w:rPr>
          <w:sz w:val="20"/>
        </w:rPr>
      </w:pPr>
      <w:r>
        <w:rPr>
          <w:sz w:val="20"/>
        </w:rPr>
        <w:t>Connected with the previous issue, there may be cases where an MNE group does not make a request</w:t>
      </w:r>
      <w:r>
        <w:rPr>
          <w:spacing w:val="-9"/>
          <w:sz w:val="20"/>
        </w:rPr>
        <w:t> </w:t>
      </w:r>
      <w:r>
        <w:rPr>
          <w:sz w:val="20"/>
        </w:rPr>
        <w:t>for</w:t>
      </w:r>
      <w:r>
        <w:rPr>
          <w:spacing w:val="-8"/>
          <w:sz w:val="20"/>
        </w:rPr>
        <w:t> </w:t>
      </w:r>
      <w:r>
        <w:rPr>
          <w:sz w:val="20"/>
        </w:rPr>
        <w:t>tax</w:t>
      </w:r>
      <w:r>
        <w:rPr>
          <w:spacing w:val="-7"/>
          <w:sz w:val="20"/>
        </w:rPr>
        <w:t> </w:t>
      </w:r>
      <w:r>
        <w:rPr>
          <w:sz w:val="20"/>
        </w:rPr>
        <w:t>certainty</w:t>
      </w:r>
      <w:r>
        <w:rPr>
          <w:spacing w:val="-12"/>
          <w:sz w:val="20"/>
        </w:rPr>
        <w:t> </w:t>
      </w:r>
      <w:r>
        <w:rPr>
          <w:sz w:val="20"/>
        </w:rPr>
        <w:t>and</w:t>
      </w:r>
      <w:r>
        <w:rPr>
          <w:spacing w:val="-9"/>
          <w:sz w:val="20"/>
        </w:rPr>
        <w:t> </w:t>
      </w:r>
      <w:r>
        <w:rPr>
          <w:sz w:val="20"/>
        </w:rPr>
        <w:t>subsequently</w:t>
      </w:r>
      <w:r>
        <w:rPr>
          <w:spacing w:val="-9"/>
          <w:sz w:val="20"/>
        </w:rPr>
        <w:t> </w:t>
      </w:r>
      <w:r>
        <w:rPr>
          <w:sz w:val="20"/>
        </w:rPr>
        <w:t>is</w:t>
      </w:r>
      <w:r>
        <w:rPr>
          <w:spacing w:val="-8"/>
          <w:sz w:val="20"/>
        </w:rPr>
        <w:t> </w:t>
      </w:r>
      <w:r>
        <w:rPr>
          <w:sz w:val="20"/>
        </w:rPr>
        <w:t>subject</w:t>
      </w:r>
      <w:r>
        <w:rPr>
          <w:spacing w:val="-8"/>
          <w:sz w:val="20"/>
        </w:rPr>
        <w:t> </w:t>
      </w:r>
      <w:r>
        <w:rPr>
          <w:sz w:val="20"/>
        </w:rPr>
        <w:t>to</w:t>
      </w:r>
      <w:r>
        <w:rPr>
          <w:spacing w:val="-9"/>
          <w:sz w:val="20"/>
        </w:rPr>
        <w:t> </w:t>
      </w:r>
      <w:r>
        <w:rPr>
          <w:sz w:val="20"/>
        </w:rPr>
        <w:t>tax</w:t>
      </w:r>
      <w:r>
        <w:rPr>
          <w:spacing w:val="-8"/>
          <w:sz w:val="20"/>
        </w:rPr>
        <w:t> </w:t>
      </w:r>
      <w:r>
        <w:rPr>
          <w:sz w:val="20"/>
        </w:rPr>
        <w:t>adjustments</w:t>
      </w:r>
      <w:r>
        <w:rPr>
          <w:spacing w:val="-7"/>
          <w:sz w:val="20"/>
        </w:rPr>
        <w:t> </w:t>
      </w:r>
      <w:r>
        <w:rPr>
          <w:sz w:val="20"/>
        </w:rPr>
        <w:t>with</w:t>
      </w:r>
      <w:r>
        <w:rPr>
          <w:spacing w:val="-9"/>
          <w:sz w:val="20"/>
        </w:rPr>
        <w:t> </w:t>
      </w:r>
      <w:r>
        <w:rPr>
          <w:sz w:val="20"/>
        </w:rPr>
        <w:t>respect</w:t>
      </w:r>
      <w:r>
        <w:rPr>
          <w:spacing w:val="-9"/>
          <w:sz w:val="20"/>
        </w:rPr>
        <w:t> </w:t>
      </w:r>
      <w:r>
        <w:rPr>
          <w:sz w:val="20"/>
        </w:rPr>
        <w:t>to</w:t>
      </w:r>
      <w:r>
        <w:rPr>
          <w:spacing w:val="-8"/>
          <w:sz w:val="20"/>
        </w:rPr>
        <w:t> </w:t>
      </w:r>
      <w:r>
        <w:rPr>
          <w:sz w:val="20"/>
        </w:rPr>
        <w:t>its</w:t>
      </w:r>
      <w:r>
        <w:rPr>
          <w:spacing w:val="-8"/>
          <w:sz w:val="20"/>
        </w:rPr>
        <w:t> </w:t>
      </w:r>
      <w:r>
        <w:rPr>
          <w:sz w:val="20"/>
        </w:rPr>
        <w:t>self-assessment of</w:t>
      </w:r>
      <w:r>
        <w:rPr>
          <w:spacing w:val="-4"/>
          <w:sz w:val="20"/>
        </w:rPr>
        <w:t> </w:t>
      </w:r>
      <w:r>
        <w:rPr>
          <w:sz w:val="20"/>
        </w:rPr>
        <w:t>Amount</w:t>
      </w:r>
      <w:r>
        <w:rPr>
          <w:spacing w:val="-6"/>
          <w:sz w:val="20"/>
        </w:rPr>
        <w:t> </w:t>
      </w:r>
      <w:r>
        <w:rPr>
          <w:sz w:val="20"/>
        </w:rPr>
        <w:t>A</w:t>
      </w:r>
      <w:r>
        <w:rPr>
          <w:spacing w:val="-5"/>
          <w:sz w:val="20"/>
        </w:rPr>
        <w:t> </w:t>
      </w:r>
      <w:r>
        <w:rPr>
          <w:sz w:val="20"/>
        </w:rPr>
        <w:t>in</w:t>
      </w:r>
      <w:r>
        <w:rPr>
          <w:spacing w:val="-3"/>
          <w:sz w:val="20"/>
        </w:rPr>
        <w:t> </w:t>
      </w:r>
      <w:r>
        <w:rPr>
          <w:sz w:val="20"/>
        </w:rPr>
        <w:t>one</w:t>
      </w:r>
      <w:r>
        <w:rPr>
          <w:spacing w:val="-4"/>
          <w:sz w:val="20"/>
        </w:rPr>
        <w:t> </w:t>
      </w:r>
      <w:r>
        <w:rPr>
          <w:sz w:val="20"/>
        </w:rPr>
        <w:t>or</w:t>
      </w:r>
      <w:r>
        <w:rPr>
          <w:spacing w:val="-4"/>
          <w:sz w:val="20"/>
        </w:rPr>
        <w:t> </w:t>
      </w:r>
      <w:r>
        <w:rPr>
          <w:sz w:val="20"/>
        </w:rPr>
        <w:t>more</w:t>
      </w:r>
      <w:r>
        <w:rPr>
          <w:spacing w:val="-7"/>
          <w:sz w:val="20"/>
        </w:rPr>
        <w:t> </w:t>
      </w:r>
      <w:r>
        <w:rPr>
          <w:sz w:val="20"/>
        </w:rPr>
        <w:t>jurisdictions.</w:t>
      </w:r>
      <w:r>
        <w:rPr>
          <w:spacing w:val="-4"/>
          <w:sz w:val="20"/>
        </w:rPr>
        <w:t> </w:t>
      </w:r>
      <w:r>
        <w:rPr>
          <w:sz w:val="20"/>
        </w:rPr>
        <w:t>In</w:t>
      </w:r>
      <w:r>
        <w:rPr>
          <w:spacing w:val="-6"/>
          <w:sz w:val="20"/>
        </w:rPr>
        <w:t> </w:t>
      </w:r>
      <w:r>
        <w:rPr>
          <w:sz w:val="20"/>
        </w:rPr>
        <w:t>these</w:t>
      </w:r>
      <w:r>
        <w:rPr>
          <w:spacing w:val="-6"/>
          <w:sz w:val="20"/>
        </w:rPr>
        <w:t> </w:t>
      </w:r>
      <w:r>
        <w:rPr>
          <w:sz w:val="20"/>
        </w:rPr>
        <w:t>cases,</w:t>
      </w:r>
      <w:r>
        <w:rPr>
          <w:spacing w:val="-4"/>
          <w:sz w:val="20"/>
        </w:rPr>
        <w:t> </w:t>
      </w:r>
      <w:r>
        <w:rPr>
          <w:sz w:val="20"/>
        </w:rPr>
        <w:t>an</w:t>
      </w:r>
      <w:r>
        <w:rPr>
          <w:spacing w:val="-6"/>
          <w:sz w:val="20"/>
        </w:rPr>
        <w:t> </w:t>
      </w:r>
      <w:r>
        <w:rPr>
          <w:sz w:val="20"/>
        </w:rPr>
        <w:t>MNE</w:t>
      </w:r>
      <w:r>
        <w:rPr>
          <w:spacing w:val="-5"/>
          <w:sz w:val="20"/>
        </w:rPr>
        <w:t> </w:t>
      </w:r>
      <w:r>
        <w:rPr>
          <w:sz w:val="20"/>
        </w:rPr>
        <w:t>group</w:t>
      </w:r>
      <w:r>
        <w:rPr>
          <w:spacing w:val="-6"/>
          <w:sz w:val="20"/>
        </w:rPr>
        <w:t> </w:t>
      </w:r>
      <w:r>
        <w:rPr>
          <w:sz w:val="20"/>
        </w:rPr>
        <w:t>may</w:t>
      </w:r>
      <w:r>
        <w:rPr>
          <w:spacing w:val="-10"/>
          <w:sz w:val="20"/>
        </w:rPr>
        <w:t> </w:t>
      </w:r>
      <w:r>
        <w:rPr>
          <w:sz w:val="20"/>
        </w:rPr>
        <w:t>seek</w:t>
      </w:r>
      <w:r>
        <w:rPr>
          <w:spacing w:val="-2"/>
          <w:sz w:val="20"/>
        </w:rPr>
        <w:t> </w:t>
      </w:r>
      <w:r>
        <w:rPr>
          <w:sz w:val="20"/>
        </w:rPr>
        <w:t>to</w:t>
      </w:r>
      <w:r>
        <w:rPr>
          <w:spacing w:val="-6"/>
          <w:sz w:val="20"/>
        </w:rPr>
        <w:t> </w:t>
      </w:r>
      <w:r>
        <w:rPr>
          <w:sz w:val="20"/>
        </w:rPr>
        <w:t>address</w:t>
      </w:r>
      <w:r>
        <w:rPr>
          <w:spacing w:val="-3"/>
          <w:sz w:val="20"/>
        </w:rPr>
        <w:t> </w:t>
      </w:r>
      <w:r>
        <w:rPr>
          <w:sz w:val="20"/>
        </w:rPr>
        <w:t>this</w:t>
      </w:r>
      <w:r>
        <w:rPr>
          <w:spacing w:val="-4"/>
          <w:sz w:val="20"/>
        </w:rPr>
        <w:t> </w:t>
      </w:r>
      <w:r>
        <w:rPr>
          <w:sz w:val="20"/>
        </w:rPr>
        <w:t>through domestic processes, or may seek to rely on MAP if available. However, given the likely complexity of a MAP</w:t>
      </w:r>
      <w:r>
        <w:rPr>
          <w:spacing w:val="-4"/>
          <w:sz w:val="20"/>
        </w:rPr>
        <w:t> </w:t>
      </w:r>
      <w:r>
        <w:rPr>
          <w:sz w:val="20"/>
        </w:rPr>
        <w:t>involving</w:t>
      </w:r>
      <w:r>
        <w:rPr>
          <w:spacing w:val="-5"/>
          <w:sz w:val="20"/>
        </w:rPr>
        <w:t> </w:t>
      </w:r>
      <w:r>
        <w:rPr>
          <w:sz w:val="20"/>
        </w:rPr>
        <w:t>potentially</w:t>
      </w:r>
      <w:r>
        <w:rPr>
          <w:spacing w:val="-7"/>
          <w:sz w:val="20"/>
        </w:rPr>
        <w:t> </w:t>
      </w:r>
      <w:r>
        <w:rPr>
          <w:sz w:val="20"/>
        </w:rPr>
        <w:t>all</w:t>
      </w:r>
      <w:r>
        <w:rPr>
          <w:spacing w:val="-6"/>
          <w:sz w:val="20"/>
        </w:rPr>
        <w:t> </w:t>
      </w:r>
      <w:r>
        <w:rPr>
          <w:sz w:val="20"/>
        </w:rPr>
        <w:t>jurisdictions</w:t>
      </w:r>
      <w:r>
        <w:rPr>
          <w:spacing w:val="-3"/>
          <w:sz w:val="20"/>
        </w:rPr>
        <w:t> </w:t>
      </w:r>
      <w:r>
        <w:rPr>
          <w:sz w:val="20"/>
        </w:rPr>
        <w:t>where</w:t>
      </w:r>
      <w:r>
        <w:rPr>
          <w:spacing w:val="-6"/>
          <w:sz w:val="20"/>
        </w:rPr>
        <w:t> </w:t>
      </w:r>
      <w:r>
        <w:rPr>
          <w:sz w:val="20"/>
        </w:rPr>
        <w:t>an</w:t>
      </w:r>
      <w:r>
        <w:rPr>
          <w:spacing w:val="-4"/>
          <w:sz w:val="20"/>
        </w:rPr>
        <w:t> </w:t>
      </w:r>
      <w:r>
        <w:rPr>
          <w:sz w:val="20"/>
        </w:rPr>
        <w:t>MNE</w:t>
      </w:r>
      <w:r>
        <w:rPr>
          <w:spacing w:val="-6"/>
          <w:sz w:val="20"/>
        </w:rPr>
        <w:t> </w:t>
      </w:r>
      <w:r>
        <w:rPr>
          <w:sz w:val="20"/>
        </w:rPr>
        <w:t>group</w:t>
      </w:r>
      <w:r>
        <w:rPr>
          <w:spacing w:val="-5"/>
          <w:sz w:val="20"/>
        </w:rPr>
        <w:t> </w:t>
      </w:r>
      <w:r>
        <w:rPr>
          <w:sz w:val="20"/>
        </w:rPr>
        <w:t>has</w:t>
      </w:r>
      <w:r>
        <w:rPr>
          <w:spacing w:val="-5"/>
          <w:sz w:val="20"/>
        </w:rPr>
        <w:t> </w:t>
      </w:r>
      <w:r>
        <w:rPr>
          <w:sz w:val="20"/>
        </w:rPr>
        <w:t>constituent</w:t>
      </w:r>
      <w:r>
        <w:rPr>
          <w:spacing w:val="-4"/>
          <w:sz w:val="20"/>
        </w:rPr>
        <w:t> </w:t>
      </w:r>
      <w:r>
        <w:rPr>
          <w:sz w:val="20"/>
        </w:rPr>
        <w:t>entities</w:t>
      </w:r>
      <w:r>
        <w:rPr>
          <w:spacing w:val="-6"/>
          <w:sz w:val="20"/>
        </w:rPr>
        <w:t> </w:t>
      </w:r>
      <w:r>
        <w:rPr>
          <w:sz w:val="20"/>
        </w:rPr>
        <w:t>or</w:t>
      </w:r>
      <w:r>
        <w:rPr>
          <w:spacing w:val="-6"/>
          <w:sz w:val="20"/>
        </w:rPr>
        <w:t> </w:t>
      </w:r>
      <w:r>
        <w:rPr>
          <w:sz w:val="20"/>
        </w:rPr>
        <w:t>a</w:t>
      </w:r>
      <w:r>
        <w:rPr>
          <w:spacing w:val="-5"/>
          <w:sz w:val="20"/>
        </w:rPr>
        <w:t> </w:t>
      </w:r>
      <w:r>
        <w:rPr>
          <w:sz w:val="20"/>
        </w:rPr>
        <w:t>market,</w:t>
      </w:r>
      <w:r>
        <w:rPr>
          <w:spacing w:val="-6"/>
          <w:sz w:val="20"/>
        </w:rPr>
        <w:t> </w:t>
      </w:r>
      <w:r>
        <w:rPr>
          <w:sz w:val="20"/>
        </w:rPr>
        <w:t>it</w:t>
      </w:r>
      <w:r>
        <w:rPr>
          <w:spacing w:val="-6"/>
          <w:sz w:val="20"/>
        </w:rPr>
        <w:t> </w:t>
      </w:r>
      <w:r>
        <w:rPr>
          <w:sz w:val="20"/>
        </w:rPr>
        <w:t>may be preferable from a tax administration perspective to rely on a panel</w:t>
      </w:r>
      <w:r>
        <w:rPr>
          <w:spacing w:val="-17"/>
          <w:sz w:val="20"/>
        </w:rPr>
        <w:t> </w:t>
      </w:r>
      <w:r>
        <w:rPr>
          <w:sz w:val="20"/>
        </w:rPr>
        <w:t>process.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To</w:t>
      </w:r>
      <w:r>
        <w:rPr>
          <w:spacing w:val="-13"/>
          <w:sz w:val="20"/>
        </w:rPr>
        <w:t> </w:t>
      </w:r>
      <w:r>
        <w:rPr>
          <w:sz w:val="20"/>
        </w:rPr>
        <w:t>recognise</w:t>
      </w:r>
      <w:r>
        <w:rPr>
          <w:spacing w:val="-9"/>
          <w:sz w:val="20"/>
        </w:rPr>
        <w:t> </w:t>
      </w:r>
      <w:r>
        <w:rPr>
          <w:sz w:val="20"/>
        </w:rPr>
        <w:t>the</w:t>
      </w:r>
      <w:r>
        <w:rPr>
          <w:spacing w:val="-13"/>
          <w:sz w:val="20"/>
        </w:rPr>
        <w:t> </w:t>
      </w:r>
      <w:r>
        <w:rPr>
          <w:sz w:val="20"/>
        </w:rPr>
        <w:t>resource</w:t>
      </w:r>
      <w:r>
        <w:rPr>
          <w:spacing w:val="-12"/>
          <w:sz w:val="20"/>
        </w:rPr>
        <w:t> </w:t>
      </w:r>
      <w:r>
        <w:rPr>
          <w:sz w:val="20"/>
        </w:rPr>
        <w:t>commitment</w:t>
      </w:r>
      <w:r>
        <w:rPr>
          <w:spacing w:val="-11"/>
          <w:sz w:val="20"/>
        </w:rPr>
        <w:t> </w:t>
      </w:r>
      <w:r>
        <w:rPr>
          <w:sz w:val="20"/>
        </w:rPr>
        <w:t>of</w:t>
      </w:r>
      <w:r>
        <w:rPr>
          <w:spacing w:val="-10"/>
          <w:sz w:val="20"/>
        </w:rPr>
        <w:t> </w:t>
      </w:r>
      <w:r>
        <w:rPr>
          <w:sz w:val="20"/>
        </w:rPr>
        <w:t>tax</w:t>
      </w:r>
      <w:r>
        <w:rPr>
          <w:spacing w:val="-11"/>
          <w:sz w:val="20"/>
        </w:rPr>
        <w:t> </w:t>
      </w:r>
      <w:r>
        <w:rPr>
          <w:sz w:val="20"/>
        </w:rPr>
        <w:t>administrations</w:t>
      </w:r>
      <w:r>
        <w:rPr>
          <w:spacing w:val="-11"/>
          <w:sz w:val="20"/>
        </w:rPr>
        <w:t> </w:t>
      </w:r>
      <w:r>
        <w:rPr>
          <w:sz w:val="20"/>
        </w:rPr>
        <w:t>to</w:t>
      </w:r>
      <w:r>
        <w:rPr>
          <w:spacing w:val="-9"/>
          <w:sz w:val="20"/>
        </w:rPr>
        <w:t> </w:t>
      </w:r>
      <w:r>
        <w:rPr>
          <w:sz w:val="20"/>
        </w:rPr>
        <w:t>the</w:t>
      </w:r>
      <w:r>
        <w:rPr>
          <w:spacing w:val="-10"/>
          <w:sz w:val="20"/>
        </w:rPr>
        <w:t> </w:t>
      </w:r>
      <w:r>
        <w:rPr>
          <w:sz w:val="20"/>
        </w:rPr>
        <w:t>panel</w:t>
      </w:r>
      <w:r>
        <w:rPr>
          <w:spacing w:val="-10"/>
          <w:sz w:val="20"/>
        </w:rPr>
        <w:t> </w:t>
      </w:r>
      <w:r>
        <w:rPr>
          <w:sz w:val="20"/>
        </w:rPr>
        <w:t>process</w:t>
      </w:r>
      <w:r>
        <w:rPr>
          <w:spacing w:val="-9"/>
          <w:sz w:val="20"/>
        </w:rPr>
        <w:t> </w:t>
      </w:r>
      <w:r>
        <w:rPr>
          <w:sz w:val="20"/>
        </w:rPr>
        <w:t>and</w:t>
      </w:r>
      <w:r>
        <w:rPr>
          <w:spacing w:val="-9"/>
          <w:sz w:val="20"/>
        </w:rPr>
        <w:t> </w:t>
      </w:r>
      <w:r>
        <w:rPr>
          <w:sz w:val="20"/>
        </w:rPr>
        <w:t>encourage MNE groups to seek early certainty, later requests for tax certainty could be subject to the agreement of affected tax administrations. In other words, complete requests for early certainty should always be accepted, whereas there may be cases where a late request for certainty is not accepted, and an MNE group</w:t>
      </w:r>
      <w:r>
        <w:rPr>
          <w:spacing w:val="-12"/>
          <w:sz w:val="20"/>
        </w:rPr>
        <w:t> </w:t>
      </w:r>
      <w:r>
        <w:rPr>
          <w:sz w:val="20"/>
        </w:rPr>
        <w:t>that</w:t>
      </w:r>
      <w:r>
        <w:rPr>
          <w:spacing w:val="-8"/>
          <w:sz w:val="20"/>
        </w:rPr>
        <w:t> </w:t>
      </w:r>
      <w:r>
        <w:rPr>
          <w:sz w:val="20"/>
        </w:rPr>
        <w:t>did</w:t>
      </w:r>
      <w:r>
        <w:rPr>
          <w:spacing w:val="-12"/>
          <w:sz w:val="20"/>
        </w:rPr>
        <w:t> </w:t>
      </w:r>
      <w:r>
        <w:rPr>
          <w:sz w:val="20"/>
        </w:rPr>
        <w:t>not</w:t>
      </w:r>
      <w:r>
        <w:rPr>
          <w:spacing w:val="-11"/>
          <w:sz w:val="20"/>
        </w:rPr>
        <w:t> </w:t>
      </w:r>
      <w:r>
        <w:rPr>
          <w:sz w:val="20"/>
        </w:rPr>
        <w:t>request</w:t>
      </w:r>
      <w:r>
        <w:rPr>
          <w:spacing w:val="-11"/>
          <w:sz w:val="20"/>
        </w:rPr>
        <w:t> </w:t>
      </w:r>
      <w:r>
        <w:rPr>
          <w:sz w:val="20"/>
        </w:rPr>
        <w:t>early</w:t>
      </w:r>
      <w:r>
        <w:rPr>
          <w:spacing w:val="-14"/>
          <w:sz w:val="20"/>
        </w:rPr>
        <w:t> </w:t>
      </w:r>
      <w:r>
        <w:rPr>
          <w:sz w:val="20"/>
        </w:rPr>
        <w:t>certainty</w:t>
      </w:r>
      <w:r>
        <w:rPr>
          <w:spacing w:val="-11"/>
          <w:sz w:val="20"/>
        </w:rPr>
        <w:t> </w:t>
      </w:r>
      <w:r>
        <w:rPr>
          <w:sz w:val="20"/>
        </w:rPr>
        <w:t>is</w:t>
      </w:r>
      <w:r>
        <w:rPr>
          <w:spacing w:val="-10"/>
          <w:sz w:val="20"/>
        </w:rPr>
        <w:t> </w:t>
      </w:r>
      <w:r>
        <w:rPr>
          <w:sz w:val="20"/>
        </w:rPr>
        <w:t>required</w:t>
      </w:r>
      <w:r>
        <w:rPr>
          <w:spacing w:val="-11"/>
          <w:sz w:val="20"/>
        </w:rPr>
        <w:t> </w:t>
      </w:r>
      <w:r>
        <w:rPr>
          <w:sz w:val="20"/>
        </w:rPr>
        <w:t>to</w:t>
      </w:r>
      <w:r>
        <w:rPr>
          <w:spacing w:val="-9"/>
          <w:sz w:val="20"/>
        </w:rPr>
        <w:t> </w:t>
      </w:r>
      <w:r>
        <w:rPr>
          <w:sz w:val="20"/>
        </w:rPr>
        <w:t>rely</w:t>
      </w:r>
      <w:r>
        <w:rPr>
          <w:spacing w:val="-7"/>
          <w:sz w:val="20"/>
        </w:rPr>
        <w:t> </w:t>
      </w:r>
      <w:r>
        <w:rPr>
          <w:sz w:val="20"/>
        </w:rPr>
        <w:t>on</w:t>
      </w:r>
      <w:r>
        <w:rPr>
          <w:spacing w:val="-10"/>
          <w:sz w:val="20"/>
        </w:rPr>
        <w:t> </w:t>
      </w:r>
      <w:r>
        <w:rPr>
          <w:sz w:val="20"/>
        </w:rPr>
        <w:t>domestic</w:t>
      </w:r>
      <w:r>
        <w:rPr>
          <w:spacing w:val="-9"/>
          <w:sz w:val="20"/>
        </w:rPr>
        <w:t> </w:t>
      </w:r>
      <w:r>
        <w:rPr>
          <w:sz w:val="20"/>
        </w:rPr>
        <w:t>remedies</w:t>
      </w:r>
      <w:r>
        <w:rPr>
          <w:spacing w:val="-10"/>
          <w:sz w:val="20"/>
        </w:rPr>
        <w:t> </w:t>
      </w:r>
      <w:r>
        <w:rPr>
          <w:sz w:val="20"/>
        </w:rPr>
        <w:t>to</w:t>
      </w:r>
      <w:r>
        <w:rPr>
          <w:spacing w:val="-11"/>
          <w:sz w:val="20"/>
        </w:rPr>
        <w:t> </w:t>
      </w:r>
      <w:r>
        <w:rPr>
          <w:sz w:val="20"/>
        </w:rPr>
        <w:t>deal</w:t>
      </w:r>
      <w:r>
        <w:rPr>
          <w:spacing w:val="-10"/>
          <w:sz w:val="20"/>
        </w:rPr>
        <w:t> </w:t>
      </w:r>
      <w:r>
        <w:rPr>
          <w:sz w:val="20"/>
        </w:rPr>
        <w:t>with</w:t>
      </w:r>
      <w:r>
        <w:rPr>
          <w:spacing w:val="-8"/>
          <w:sz w:val="20"/>
        </w:rPr>
        <w:t> </w:t>
      </w:r>
      <w:r>
        <w:rPr>
          <w:sz w:val="20"/>
        </w:rPr>
        <w:t>any</w:t>
      </w:r>
      <w:r>
        <w:rPr>
          <w:spacing w:val="-15"/>
          <w:sz w:val="20"/>
        </w:rPr>
        <w:t> </w:t>
      </w:r>
      <w:r>
        <w:rPr>
          <w:sz w:val="20"/>
        </w:rPr>
        <w:t>disputes that</w:t>
      </w:r>
      <w:r>
        <w:rPr>
          <w:spacing w:val="-10"/>
          <w:sz w:val="20"/>
        </w:rPr>
        <w:t> </w:t>
      </w:r>
      <w:r>
        <w:rPr>
          <w:sz w:val="20"/>
        </w:rPr>
        <w:t>arise.</w:t>
      </w:r>
      <w:r>
        <w:rPr>
          <w:spacing w:val="-9"/>
          <w:sz w:val="20"/>
        </w:rPr>
        <w:t> </w:t>
      </w:r>
      <w:r>
        <w:rPr>
          <w:sz w:val="20"/>
        </w:rPr>
        <w:t>However,</w:t>
      </w:r>
      <w:r>
        <w:rPr>
          <w:spacing w:val="-8"/>
          <w:sz w:val="20"/>
        </w:rPr>
        <w:t> </w:t>
      </w:r>
      <w:r>
        <w:rPr>
          <w:sz w:val="20"/>
        </w:rPr>
        <w:t>it</w:t>
      </w:r>
      <w:r>
        <w:rPr>
          <w:spacing w:val="-6"/>
          <w:sz w:val="20"/>
        </w:rPr>
        <w:t> </w:t>
      </w:r>
      <w:r>
        <w:rPr>
          <w:sz w:val="20"/>
        </w:rPr>
        <w:t>is</w:t>
      </w:r>
      <w:r>
        <w:rPr>
          <w:spacing w:val="-9"/>
          <w:sz w:val="20"/>
        </w:rPr>
        <w:t> </w:t>
      </w:r>
      <w:r>
        <w:rPr>
          <w:sz w:val="20"/>
        </w:rPr>
        <w:t>anticipated</w:t>
      </w:r>
      <w:r>
        <w:rPr>
          <w:spacing w:val="-9"/>
          <w:sz w:val="20"/>
        </w:rPr>
        <w:t> </w:t>
      </w:r>
      <w:r>
        <w:rPr>
          <w:sz w:val="20"/>
        </w:rPr>
        <w:t>that,</w:t>
      </w:r>
      <w:r>
        <w:rPr>
          <w:spacing w:val="-7"/>
          <w:sz w:val="20"/>
        </w:rPr>
        <w:t> </w:t>
      </w:r>
      <w:r>
        <w:rPr>
          <w:sz w:val="20"/>
        </w:rPr>
        <w:t>in</w:t>
      </w:r>
      <w:r>
        <w:rPr>
          <w:spacing w:val="-9"/>
          <w:sz w:val="20"/>
        </w:rPr>
        <w:t> </w:t>
      </w:r>
      <w:r>
        <w:rPr>
          <w:sz w:val="20"/>
        </w:rPr>
        <w:t>the</w:t>
      </w:r>
      <w:r>
        <w:rPr>
          <w:spacing w:val="-10"/>
          <w:sz w:val="20"/>
        </w:rPr>
        <w:t> </w:t>
      </w:r>
      <w:r>
        <w:rPr>
          <w:sz w:val="20"/>
        </w:rPr>
        <w:t>majority</w:t>
      </w:r>
      <w:r>
        <w:rPr>
          <w:spacing w:val="-10"/>
          <w:sz w:val="20"/>
        </w:rPr>
        <w:t> </w:t>
      </w:r>
      <w:r>
        <w:rPr>
          <w:sz w:val="20"/>
        </w:rPr>
        <w:t>of</w:t>
      </w:r>
      <w:r>
        <w:rPr>
          <w:spacing w:val="-7"/>
          <w:sz w:val="20"/>
        </w:rPr>
        <w:t> </w:t>
      </w:r>
      <w:r>
        <w:rPr>
          <w:sz w:val="20"/>
        </w:rPr>
        <w:t>cases,</w:t>
      </w:r>
      <w:r>
        <w:rPr>
          <w:spacing w:val="-9"/>
          <w:sz w:val="20"/>
        </w:rPr>
        <w:t> </w:t>
      </w:r>
      <w:r>
        <w:rPr>
          <w:sz w:val="20"/>
        </w:rPr>
        <w:t>a</w:t>
      </w:r>
      <w:r>
        <w:rPr>
          <w:spacing w:val="-9"/>
          <w:sz w:val="20"/>
        </w:rPr>
        <w:t> </w:t>
      </w:r>
      <w:r>
        <w:rPr>
          <w:sz w:val="20"/>
        </w:rPr>
        <w:t>request</w:t>
      </w:r>
      <w:r>
        <w:rPr>
          <w:spacing w:val="-7"/>
          <w:sz w:val="20"/>
        </w:rPr>
        <w:t> </w:t>
      </w:r>
      <w:r>
        <w:rPr>
          <w:sz w:val="20"/>
        </w:rPr>
        <w:t>would</w:t>
      </w:r>
      <w:r>
        <w:rPr>
          <w:spacing w:val="-7"/>
          <w:sz w:val="20"/>
        </w:rPr>
        <w:t> </w:t>
      </w:r>
      <w:r>
        <w:rPr>
          <w:sz w:val="20"/>
        </w:rPr>
        <w:t>be</w:t>
      </w:r>
      <w:r>
        <w:rPr>
          <w:spacing w:val="-9"/>
          <w:sz w:val="20"/>
        </w:rPr>
        <w:t> </w:t>
      </w:r>
      <w:r>
        <w:rPr>
          <w:sz w:val="20"/>
        </w:rPr>
        <w:t>accepted</w:t>
      </w:r>
      <w:r>
        <w:rPr>
          <w:spacing w:val="-3"/>
          <w:sz w:val="20"/>
        </w:rPr>
        <w:t> </w:t>
      </w:r>
      <w:r>
        <w:rPr>
          <w:sz w:val="20"/>
        </w:rPr>
        <w:t>and</w:t>
      </w:r>
      <w:r>
        <w:rPr>
          <w:spacing w:val="-9"/>
          <w:sz w:val="20"/>
        </w:rPr>
        <w:t> </w:t>
      </w:r>
      <w:r>
        <w:rPr>
          <w:sz w:val="20"/>
        </w:rPr>
        <w:t>further work</w:t>
      </w:r>
      <w:r>
        <w:rPr>
          <w:spacing w:val="-3"/>
          <w:sz w:val="20"/>
        </w:rPr>
        <w:t> </w:t>
      </w:r>
      <w:r>
        <w:rPr>
          <w:sz w:val="20"/>
        </w:rPr>
        <w:t>will</w:t>
      </w:r>
      <w:r>
        <w:rPr>
          <w:spacing w:val="-6"/>
          <w:sz w:val="20"/>
        </w:rPr>
        <w:t> </w:t>
      </w:r>
      <w:r>
        <w:rPr>
          <w:sz w:val="20"/>
        </w:rPr>
        <w:t>be</w:t>
      </w:r>
      <w:r>
        <w:rPr>
          <w:spacing w:val="-6"/>
          <w:sz w:val="20"/>
        </w:rPr>
        <w:t> </w:t>
      </w:r>
      <w:r>
        <w:rPr>
          <w:sz w:val="20"/>
        </w:rPr>
        <w:t>undertaken</w:t>
      </w:r>
      <w:r>
        <w:rPr>
          <w:spacing w:val="-6"/>
          <w:sz w:val="20"/>
        </w:rPr>
        <w:t> </w:t>
      </w:r>
      <w:r>
        <w:rPr>
          <w:sz w:val="20"/>
        </w:rPr>
        <w:t>to</w:t>
      </w:r>
      <w:r>
        <w:rPr>
          <w:spacing w:val="-3"/>
          <w:sz w:val="20"/>
        </w:rPr>
        <w:t> </w:t>
      </w:r>
      <w:r>
        <w:rPr>
          <w:sz w:val="20"/>
        </w:rPr>
        <w:t>explore</w:t>
      </w:r>
      <w:r>
        <w:rPr>
          <w:spacing w:val="-3"/>
          <w:sz w:val="20"/>
        </w:rPr>
        <w:t> </w:t>
      </w:r>
      <w:r>
        <w:rPr>
          <w:sz w:val="20"/>
        </w:rPr>
        <w:t>how</w:t>
      </w:r>
      <w:r>
        <w:rPr>
          <w:spacing w:val="-6"/>
          <w:sz w:val="20"/>
        </w:rPr>
        <w:t> </w:t>
      </w:r>
      <w:r>
        <w:rPr>
          <w:sz w:val="20"/>
        </w:rPr>
        <w:t>MNE</w:t>
      </w:r>
      <w:r>
        <w:rPr>
          <w:spacing w:val="-6"/>
          <w:sz w:val="20"/>
        </w:rPr>
        <w:t> </w:t>
      </w:r>
      <w:r>
        <w:rPr>
          <w:sz w:val="20"/>
        </w:rPr>
        <w:t>groups</w:t>
      </w:r>
      <w:r>
        <w:rPr>
          <w:spacing w:val="-4"/>
          <w:sz w:val="20"/>
        </w:rPr>
        <w:t> </w:t>
      </w:r>
      <w:r>
        <w:rPr>
          <w:sz w:val="20"/>
        </w:rPr>
        <w:t>can</w:t>
      </w:r>
      <w:r>
        <w:rPr>
          <w:spacing w:val="-6"/>
          <w:sz w:val="20"/>
        </w:rPr>
        <w:t> </w:t>
      </w:r>
      <w:r>
        <w:rPr>
          <w:sz w:val="20"/>
        </w:rPr>
        <w:t>be</w:t>
      </w:r>
      <w:r>
        <w:rPr>
          <w:spacing w:val="-6"/>
          <w:sz w:val="20"/>
        </w:rPr>
        <w:t> </w:t>
      </w:r>
      <w:r>
        <w:rPr>
          <w:sz w:val="20"/>
        </w:rPr>
        <w:t>encouraged</w:t>
      </w:r>
      <w:r>
        <w:rPr>
          <w:spacing w:val="-6"/>
          <w:sz w:val="20"/>
        </w:rPr>
        <w:t> </w:t>
      </w:r>
      <w:r>
        <w:rPr>
          <w:sz w:val="20"/>
        </w:rPr>
        <w:t>to</w:t>
      </w:r>
      <w:r>
        <w:rPr>
          <w:spacing w:val="-6"/>
          <w:sz w:val="20"/>
        </w:rPr>
        <w:t> </w:t>
      </w:r>
      <w:r>
        <w:rPr>
          <w:sz w:val="20"/>
        </w:rPr>
        <w:t>seek</w:t>
      </w:r>
      <w:r>
        <w:rPr>
          <w:spacing w:val="-2"/>
          <w:sz w:val="20"/>
        </w:rPr>
        <w:t> </w:t>
      </w:r>
      <w:r>
        <w:rPr>
          <w:sz w:val="20"/>
        </w:rPr>
        <w:t>early</w:t>
      </w:r>
      <w:r>
        <w:rPr>
          <w:spacing w:val="-9"/>
          <w:sz w:val="20"/>
        </w:rPr>
        <w:t> </w:t>
      </w:r>
      <w:r>
        <w:rPr>
          <w:sz w:val="20"/>
        </w:rPr>
        <w:t>certainty.</w:t>
      </w:r>
      <w:r>
        <w:rPr>
          <w:spacing w:val="-6"/>
          <w:sz w:val="20"/>
        </w:rPr>
        <w:t> </w:t>
      </w:r>
      <w:r>
        <w:rPr>
          <w:sz w:val="20"/>
        </w:rPr>
        <w:t>For</w:t>
      </w:r>
      <w:r>
        <w:rPr>
          <w:spacing w:val="-5"/>
          <w:sz w:val="20"/>
        </w:rPr>
        <w:t> </w:t>
      </w:r>
      <w:r>
        <w:rPr>
          <w:sz w:val="20"/>
        </w:rPr>
        <w:t>these cases, work will be undertaken to consider how the experience and positions of tax administrations that have already undertaken enquiries domestically may be taken into account (e.g. by participation on a review panel, or by providing the results of their enquiries to the review</w:t>
      </w:r>
      <w:r>
        <w:rPr>
          <w:spacing w:val="-13"/>
          <w:sz w:val="20"/>
        </w:rPr>
        <w:t> </w:t>
      </w:r>
      <w:r>
        <w:rPr>
          <w:sz w:val="20"/>
        </w:rPr>
        <w:t>panel).</w:t>
      </w:r>
    </w:p>
    <w:p>
      <w:pPr>
        <w:pStyle w:val="BodyText"/>
        <w:spacing w:before="5"/>
        <w:rPr>
          <w:sz w:val="23"/>
        </w:rPr>
      </w:pPr>
    </w:p>
    <w:p>
      <w:pPr>
        <w:pStyle w:val="Heading6"/>
        <w:numPr>
          <w:ilvl w:val="2"/>
          <w:numId w:val="81"/>
        </w:numPr>
        <w:tabs>
          <w:tab w:pos="2015" w:val="left" w:leader="none"/>
        </w:tabs>
        <w:spacing w:line="240" w:lineRule="auto" w:before="1" w:after="0"/>
        <w:ind w:left="2014" w:right="0" w:hanging="613"/>
        <w:jc w:val="left"/>
        <w:rPr>
          <w:i/>
        </w:rPr>
      </w:pPr>
      <w:bookmarkStart w:name="9.2.8. Transfer pricing and other adjust" w:id="449"/>
      <w:bookmarkEnd w:id="449"/>
      <w:r>
        <w:rPr>
          <w:b w:val="0"/>
          <w:i w:val="0"/>
        </w:rPr>
      </w:r>
      <w:bookmarkStart w:name="9.2.8. Transfer pricing and other adjust" w:id="450"/>
      <w:bookmarkEnd w:id="450"/>
      <w:r>
        <w:rPr>
          <w:i/>
        </w:rPr>
        <w:t>Tra</w:t>
      </w:r>
      <w:r>
        <w:rPr>
          <w:i/>
        </w:rPr>
        <w:t>nsfer pricing and other adjustments in subsequent</w:t>
      </w:r>
      <w:r>
        <w:rPr>
          <w:i/>
          <w:spacing w:val="-9"/>
        </w:rPr>
        <w:t> </w:t>
      </w:r>
      <w:r>
        <w:rPr>
          <w:i/>
        </w:rPr>
        <w:t>years</w:t>
      </w:r>
    </w:p>
    <w:p>
      <w:pPr>
        <w:pStyle w:val="BodyText"/>
        <w:spacing w:before="9"/>
        <w:rPr>
          <w:b/>
          <w:i/>
          <w:sz w:val="18"/>
        </w:rPr>
      </w:pPr>
    </w:p>
    <w:p>
      <w:pPr>
        <w:pStyle w:val="ListParagraph"/>
        <w:numPr>
          <w:ilvl w:val="0"/>
          <w:numId w:val="13"/>
        </w:numPr>
        <w:tabs>
          <w:tab w:pos="1444" w:val="left" w:leader="none"/>
        </w:tabs>
        <w:spacing w:line="240" w:lineRule="auto" w:before="1" w:after="0"/>
        <w:ind w:left="1443" w:right="0" w:hanging="721"/>
        <w:jc w:val="both"/>
        <w:rPr>
          <w:sz w:val="20"/>
        </w:rPr>
      </w:pPr>
      <w:r>
        <w:rPr>
          <w:sz w:val="20"/>
        </w:rPr>
        <w:t>The process for providing early tax certainty described in this section includes identification of</w:t>
      </w:r>
      <w:r>
        <w:rPr>
          <w:spacing w:val="9"/>
          <w:sz w:val="20"/>
        </w:rPr>
        <w:t> </w:t>
      </w:r>
      <w:r>
        <w:rPr>
          <w:sz w:val="20"/>
        </w:rPr>
        <w:t>an</w:t>
      </w:r>
    </w:p>
    <w:p>
      <w:pPr>
        <w:pStyle w:val="BodyText"/>
        <w:spacing w:before="31"/>
        <w:ind w:left="723"/>
        <w:jc w:val="both"/>
      </w:pPr>
      <w:r>
        <w:rPr/>
        <w:t>MNE group’s relieving jurisdictions (i.e. those where double tax relief will be provided to compensate for</w:t>
      </w:r>
    </w:p>
    <w:p>
      <w:pPr>
        <w:spacing w:after="0"/>
        <w:jc w:val="both"/>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Amount</w:t>
      </w:r>
      <w:r>
        <w:rPr>
          <w:spacing w:val="-7"/>
        </w:rPr>
        <w:t> </w:t>
      </w:r>
      <w:r>
        <w:rPr/>
        <w:t>A</w:t>
      </w:r>
      <w:r>
        <w:rPr>
          <w:spacing w:val="-5"/>
        </w:rPr>
        <w:t> </w:t>
      </w:r>
      <w:r>
        <w:rPr/>
        <w:t>allocated</w:t>
      </w:r>
      <w:r>
        <w:rPr>
          <w:spacing w:val="-7"/>
        </w:rPr>
        <w:t> </w:t>
      </w:r>
      <w:r>
        <w:rPr/>
        <w:t>to</w:t>
      </w:r>
      <w:r>
        <w:rPr>
          <w:spacing w:val="-7"/>
        </w:rPr>
        <w:t> </w:t>
      </w:r>
      <w:r>
        <w:rPr/>
        <w:t>market</w:t>
      </w:r>
      <w:r>
        <w:rPr>
          <w:spacing w:val="-7"/>
        </w:rPr>
        <w:t> </w:t>
      </w:r>
      <w:r>
        <w:rPr/>
        <w:t>jurisdictions).</w:t>
      </w:r>
      <w:r>
        <w:rPr>
          <w:spacing w:val="-6"/>
        </w:rPr>
        <w:t> </w:t>
      </w:r>
      <w:r>
        <w:rPr>
          <w:spacing w:val="2"/>
        </w:rPr>
        <w:t>The</w:t>
      </w:r>
      <w:r>
        <w:rPr>
          <w:spacing w:val="-4"/>
        </w:rPr>
        <w:t> </w:t>
      </w:r>
      <w:r>
        <w:rPr/>
        <w:t>process</w:t>
      </w:r>
      <w:r>
        <w:rPr>
          <w:spacing w:val="-5"/>
        </w:rPr>
        <w:t> </w:t>
      </w:r>
      <w:r>
        <w:rPr/>
        <w:t>to</w:t>
      </w:r>
      <w:r>
        <w:rPr>
          <w:spacing w:val="-4"/>
        </w:rPr>
        <w:t> </w:t>
      </w:r>
      <w:r>
        <w:rPr/>
        <w:t>determine</w:t>
      </w:r>
      <w:r>
        <w:rPr>
          <w:spacing w:val="-7"/>
        </w:rPr>
        <w:t> </w:t>
      </w:r>
      <w:r>
        <w:rPr/>
        <w:t>these</w:t>
      </w:r>
      <w:r>
        <w:rPr>
          <w:spacing w:val="-7"/>
        </w:rPr>
        <w:t> </w:t>
      </w:r>
      <w:r>
        <w:rPr/>
        <w:t>jurisdictions</w:t>
      </w:r>
      <w:r>
        <w:rPr>
          <w:spacing w:val="-3"/>
        </w:rPr>
        <w:t> </w:t>
      </w:r>
      <w:r>
        <w:rPr/>
        <w:t>under</w:t>
      </w:r>
      <w:r>
        <w:rPr>
          <w:spacing w:val="-4"/>
        </w:rPr>
        <w:t> </w:t>
      </w:r>
      <w:r>
        <w:rPr/>
        <w:t>Pillar</w:t>
      </w:r>
      <w:r>
        <w:rPr>
          <w:spacing w:val="-6"/>
        </w:rPr>
        <w:t> </w:t>
      </w:r>
      <w:r>
        <w:rPr/>
        <w:t>One will be based wholly or in part on the level of profit attributed to each jurisdiction under the</w:t>
      </w:r>
      <w:r>
        <w:rPr>
          <w:spacing w:val="-30"/>
        </w:rPr>
        <w:t> </w:t>
      </w:r>
      <w:r>
        <w:rPr/>
        <w:t>ALP.</w:t>
      </w:r>
    </w:p>
    <w:p>
      <w:pPr>
        <w:pStyle w:val="ListParagraph"/>
        <w:numPr>
          <w:ilvl w:val="0"/>
          <w:numId w:val="13"/>
        </w:numPr>
        <w:tabs>
          <w:tab w:pos="1444" w:val="left" w:leader="none"/>
        </w:tabs>
        <w:spacing w:line="271" w:lineRule="auto" w:before="119" w:after="0"/>
        <w:ind w:left="723" w:right="488" w:firstLine="0"/>
        <w:jc w:val="both"/>
        <w:rPr>
          <w:sz w:val="20"/>
        </w:rPr>
      </w:pPr>
      <w:r>
        <w:rPr>
          <w:sz w:val="20"/>
        </w:rPr>
        <w:t>As mentioned above, a request for certainty with respect to Amount A does not prevent tax administrations from commencing compliance activity with respect to an MNE group’s other tax matters, including transfer pricing issues. There is therefore a risk that any material transfer pricing adjustments made after an MNE group has been provided with early certainty with respect to Amount A could require the</w:t>
      </w:r>
      <w:r>
        <w:rPr>
          <w:spacing w:val="-2"/>
          <w:sz w:val="20"/>
        </w:rPr>
        <w:t> </w:t>
      </w:r>
      <w:r>
        <w:rPr>
          <w:sz w:val="20"/>
        </w:rPr>
        <w:t>identification</w:t>
      </w:r>
      <w:r>
        <w:rPr>
          <w:spacing w:val="-3"/>
          <w:sz w:val="20"/>
        </w:rPr>
        <w:t> </w:t>
      </w:r>
      <w:r>
        <w:rPr>
          <w:sz w:val="20"/>
        </w:rPr>
        <w:t>of</w:t>
      </w:r>
      <w:r>
        <w:rPr>
          <w:spacing w:val="-2"/>
          <w:sz w:val="20"/>
        </w:rPr>
        <w:t> </w:t>
      </w:r>
      <w:r>
        <w:rPr>
          <w:sz w:val="20"/>
        </w:rPr>
        <w:t>relieving</w:t>
      </w:r>
      <w:r>
        <w:rPr>
          <w:spacing w:val="-4"/>
          <w:sz w:val="20"/>
        </w:rPr>
        <w:t> </w:t>
      </w:r>
      <w:r>
        <w:rPr>
          <w:sz w:val="20"/>
        </w:rPr>
        <w:t>jurisdictions,</w:t>
      </w:r>
      <w:r>
        <w:rPr>
          <w:spacing w:val="-2"/>
          <w:sz w:val="20"/>
        </w:rPr>
        <w:t> </w:t>
      </w:r>
      <w:r>
        <w:rPr>
          <w:sz w:val="20"/>
        </w:rPr>
        <w:t>and</w:t>
      </w:r>
      <w:r>
        <w:rPr>
          <w:spacing w:val="-2"/>
          <w:sz w:val="20"/>
        </w:rPr>
        <w:t> </w:t>
      </w:r>
      <w:r>
        <w:rPr>
          <w:sz w:val="20"/>
        </w:rPr>
        <w:t>the</w:t>
      </w:r>
      <w:r>
        <w:rPr>
          <w:spacing w:val="-2"/>
          <w:sz w:val="20"/>
        </w:rPr>
        <w:t> </w:t>
      </w:r>
      <w:r>
        <w:rPr>
          <w:sz w:val="20"/>
        </w:rPr>
        <w:t>amount</w:t>
      </w:r>
      <w:r>
        <w:rPr>
          <w:spacing w:val="-5"/>
          <w:sz w:val="20"/>
        </w:rPr>
        <w:t> </w:t>
      </w:r>
      <w:r>
        <w:rPr>
          <w:sz w:val="20"/>
        </w:rPr>
        <w:t>of</w:t>
      </w:r>
      <w:r>
        <w:rPr>
          <w:spacing w:val="-2"/>
          <w:sz w:val="20"/>
        </w:rPr>
        <w:t> </w:t>
      </w:r>
      <w:r>
        <w:rPr>
          <w:sz w:val="20"/>
        </w:rPr>
        <w:t>relief</w:t>
      </w:r>
      <w:r>
        <w:rPr>
          <w:spacing w:val="-2"/>
          <w:sz w:val="20"/>
        </w:rPr>
        <w:t> </w:t>
      </w:r>
      <w:r>
        <w:rPr>
          <w:sz w:val="20"/>
        </w:rPr>
        <w:t>they</w:t>
      </w:r>
      <w:r>
        <w:rPr>
          <w:spacing w:val="-7"/>
          <w:sz w:val="20"/>
        </w:rPr>
        <w:t> </w:t>
      </w:r>
      <w:r>
        <w:rPr>
          <w:sz w:val="20"/>
        </w:rPr>
        <w:t>should</w:t>
      </w:r>
      <w:r>
        <w:rPr>
          <w:spacing w:val="-4"/>
          <w:sz w:val="20"/>
        </w:rPr>
        <w:t> </w:t>
      </w:r>
      <w:r>
        <w:rPr>
          <w:sz w:val="20"/>
        </w:rPr>
        <w:t>give,</w:t>
      </w:r>
      <w:r>
        <w:rPr>
          <w:spacing w:val="-4"/>
          <w:sz w:val="20"/>
        </w:rPr>
        <w:t> </w:t>
      </w:r>
      <w:r>
        <w:rPr>
          <w:sz w:val="20"/>
        </w:rPr>
        <w:t>to</w:t>
      </w:r>
      <w:r>
        <w:rPr>
          <w:spacing w:val="-2"/>
          <w:sz w:val="20"/>
        </w:rPr>
        <w:t> </w:t>
      </w:r>
      <w:r>
        <w:rPr>
          <w:sz w:val="20"/>
        </w:rPr>
        <w:t>be</w:t>
      </w:r>
      <w:r>
        <w:rPr>
          <w:spacing w:val="-5"/>
          <w:sz w:val="20"/>
        </w:rPr>
        <w:t> </w:t>
      </w:r>
      <w:r>
        <w:rPr>
          <w:sz w:val="20"/>
        </w:rPr>
        <w:t>re-considered.</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Until the design of Amount A is agreed, it is not possible to fully finalise an approach to address this issue. One option to reduce (though not remove) this risk could be if an MNE group is able to request a co-ordinated risk assessment of its transfer pricing and permanent establishments in key jurisdictions under the ICAP. This would allow an MNE group to help identify the jurisdictions where it is most likely to be subject to a transfer pricing adjustment, taking into account the nature of its activities and previous experience.</w:t>
      </w:r>
      <w:r>
        <w:rPr>
          <w:spacing w:val="-9"/>
          <w:sz w:val="20"/>
        </w:rPr>
        <w:t> </w:t>
      </w:r>
      <w:r>
        <w:rPr>
          <w:sz w:val="20"/>
        </w:rPr>
        <w:t>Work</w:t>
      </w:r>
      <w:r>
        <w:rPr>
          <w:spacing w:val="-3"/>
          <w:sz w:val="20"/>
        </w:rPr>
        <w:t> </w:t>
      </w:r>
      <w:r>
        <w:rPr>
          <w:sz w:val="20"/>
        </w:rPr>
        <w:t>will</w:t>
      </w:r>
      <w:r>
        <w:rPr>
          <w:spacing w:val="-5"/>
          <w:sz w:val="20"/>
        </w:rPr>
        <w:t> </w:t>
      </w:r>
      <w:r>
        <w:rPr>
          <w:sz w:val="20"/>
        </w:rPr>
        <w:t>progress</w:t>
      </w:r>
      <w:r>
        <w:rPr>
          <w:spacing w:val="-5"/>
          <w:sz w:val="20"/>
        </w:rPr>
        <w:t> </w:t>
      </w:r>
      <w:r>
        <w:rPr>
          <w:sz w:val="20"/>
        </w:rPr>
        <w:t>on</w:t>
      </w:r>
      <w:r>
        <w:rPr>
          <w:spacing w:val="-5"/>
          <w:sz w:val="20"/>
        </w:rPr>
        <w:t> </w:t>
      </w:r>
      <w:r>
        <w:rPr>
          <w:sz w:val="20"/>
        </w:rPr>
        <w:t>other</w:t>
      </w:r>
      <w:r>
        <w:rPr>
          <w:spacing w:val="-6"/>
          <w:sz w:val="20"/>
        </w:rPr>
        <w:t> </w:t>
      </w:r>
      <w:r>
        <w:rPr>
          <w:sz w:val="20"/>
        </w:rPr>
        <w:t>solutions</w:t>
      </w:r>
      <w:r>
        <w:rPr>
          <w:spacing w:val="-5"/>
          <w:sz w:val="20"/>
        </w:rPr>
        <w:t> </w:t>
      </w:r>
      <w:r>
        <w:rPr>
          <w:sz w:val="20"/>
        </w:rPr>
        <w:t>to</w:t>
      </w:r>
      <w:r>
        <w:rPr>
          <w:spacing w:val="-6"/>
          <w:sz w:val="20"/>
        </w:rPr>
        <w:t> </w:t>
      </w:r>
      <w:r>
        <w:rPr>
          <w:sz w:val="20"/>
        </w:rPr>
        <w:t>address</w:t>
      </w:r>
      <w:r>
        <w:rPr>
          <w:spacing w:val="-5"/>
          <w:sz w:val="20"/>
        </w:rPr>
        <w:t> </w:t>
      </w:r>
      <w:r>
        <w:rPr>
          <w:sz w:val="20"/>
        </w:rPr>
        <w:t>this</w:t>
      </w:r>
      <w:r>
        <w:rPr>
          <w:spacing w:val="-3"/>
          <w:sz w:val="20"/>
        </w:rPr>
        <w:t> </w:t>
      </w:r>
      <w:r>
        <w:rPr>
          <w:sz w:val="20"/>
        </w:rPr>
        <w:t>issue,</w:t>
      </w:r>
      <w:r>
        <w:rPr>
          <w:spacing w:val="-2"/>
          <w:sz w:val="20"/>
        </w:rPr>
        <w:t> </w:t>
      </w:r>
      <w:r>
        <w:rPr>
          <w:sz w:val="20"/>
        </w:rPr>
        <w:t>which</w:t>
      </w:r>
      <w:r>
        <w:rPr>
          <w:spacing w:val="-4"/>
          <w:sz w:val="20"/>
        </w:rPr>
        <w:t> </w:t>
      </w:r>
      <w:r>
        <w:rPr>
          <w:sz w:val="20"/>
        </w:rPr>
        <w:t>will</w:t>
      </w:r>
      <w:r>
        <w:rPr>
          <w:spacing w:val="-5"/>
          <w:sz w:val="20"/>
        </w:rPr>
        <w:t> </w:t>
      </w:r>
      <w:r>
        <w:rPr>
          <w:sz w:val="20"/>
        </w:rPr>
        <w:t>also</w:t>
      </w:r>
      <w:r>
        <w:rPr>
          <w:spacing w:val="-4"/>
          <w:sz w:val="20"/>
        </w:rPr>
        <w:t> </w:t>
      </w:r>
      <w:r>
        <w:rPr>
          <w:sz w:val="20"/>
        </w:rPr>
        <w:t>link</w:t>
      </w:r>
      <w:r>
        <w:rPr>
          <w:spacing w:val="-3"/>
          <w:sz w:val="20"/>
        </w:rPr>
        <w:t> </w:t>
      </w:r>
      <w:r>
        <w:rPr>
          <w:sz w:val="20"/>
        </w:rPr>
        <w:t>to</w:t>
      </w:r>
      <w:r>
        <w:rPr>
          <w:spacing w:val="-7"/>
          <w:sz w:val="20"/>
        </w:rPr>
        <w:t> </w:t>
      </w:r>
      <w:r>
        <w:rPr>
          <w:sz w:val="20"/>
        </w:rPr>
        <w:t>tax</w:t>
      </w:r>
      <w:r>
        <w:rPr>
          <w:spacing w:val="-6"/>
          <w:sz w:val="20"/>
        </w:rPr>
        <w:t> </w:t>
      </w:r>
      <w:r>
        <w:rPr>
          <w:sz w:val="20"/>
        </w:rPr>
        <w:t>certainty beyond Amount</w:t>
      </w:r>
      <w:r>
        <w:rPr>
          <w:spacing w:val="1"/>
          <w:sz w:val="20"/>
        </w:rPr>
        <w:t> </w:t>
      </w:r>
      <w:r>
        <w:rPr>
          <w:sz w:val="20"/>
        </w:rPr>
        <w:t>A.</w:t>
      </w:r>
    </w:p>
    <w:p>
      <w:pPr>
        <w:pStyle w:val="BodyText"/>
        <w:rPr>
          <w:sz w:val="22"/>
        </w:rPr>
      </w:pPr>
    </w:p>
    <w:p>
      <w:pPr>
        <w:pStyle w:val="Heading4"/>
        <w:numPr>
          <w:ilvl w:val="1"/>
          <w:numId w:val="81"/>
        </w:numPr>
        <w:tabs>
          <w:tab w:pos="1192" w:val="left" w:leader="none"/>
        </w:tabs>
        <w:spacing w:line="240" w:lineRule="auto" w:before="193" w:after="0"/>
        <w:ind w:left="1191" w:right="0" w:hanging="469"/>
        <w:jc w:val="left"/>
        <w:rPr>
          <w:rFonts w:ascii="Arial"/>
        </w:rPr>
      </w:pPr>
      <w:bookmarkStart w:name="9.3. Dispute prevention and resolution b" w:id="451"/>
      <w:bookmarkEnd w:id="451"/>
      <w:r>
        <w:rPr>
          <w:b w:val="0"/>
        </w:rPr>
      </w:r>
      <w:bookmarkStart w:name="_bookmark69" w:id="452"/>
      <w:bookmarkEnd w:id="452"/>
      <w:r>
        <w:rPr>
          <w:b w:val="0"/>
        </w:rPr>
      </w:r>
      <w:bookmarkStart w:name="_bookmark69" w:id="453"/>
      <w:bookmarkEnd w:id="453"/>
      <w:r>
        <w:rPr>
          <w:rFonts w:ascii="Arial"/>
          <w:color w:val="4E81BD"/>
        </w:rPr>
        <w:t>Di</w:t>
      </w:r>
      <w:r>
        <w:rPr>
          <w:rFonts w:ascii="Arial"/>
          <w:color w:val="4E81BD"/>
        </w:rPr>
        <w:t>spute prevention and resolution beyond Amount</w:t>
      </w:r>
      <w:r>
        <w:rPr>
          <w:rFonts w:ascii="Arial"/>
          <w:color w:val="4E81BD"/>
          <w:spacing w:val="5"/>
        </w:rPr>
        <w:t> </w:t>
      </w:r>
      <w:r>
        <w:rPr>
          <w:rFonts w:ascii="Arial"/>
          <w:color w:val="4E81BD"/>
        </w:rPr>
        <w:t>A</w:t>
      </w:r>
    </w:p>
    <w:p>
      <w:pPr>
        <w:pStyle w:val="BodyText"/>
        <w:spacing w:before="3"/>
        <w:rPr>
          <w:b/>
          <w:sz w:val="24"/>
        </w:rPr>
      </w:pPr>
    </w:p>
    <w:p>
      <w:pPr>
        <w:pStyle w:val="ListParagraph"/>
        <w:numPr>
          <w:ilvl w:val="0"/>
          <w:numId w:val="13"/>
        </w:numPr>
        <w:tabs>
          <w:tab w:pos="1444" w:val="left" w:leader="none"/>
        </w:tabs>
        <w:spacing w:line="271" w:lineRule="auto" w:before="1" w:after="0"/>
        <w:ind w:left="723" w:right="487" w:firstLine="0"/>
        <w:jc w:val="both"/>
        <w:rPr>
          <w:sz w:val="20"/>
        </w:rPr>
      </w:pPr>
      <w:r>
        <w:rPr>
          <w:sz w:val="20"/>
        </w:rPr>
        <w:t>As</w:t>
      </w:r>
      <w:r>
        <w:rPr>
          <w:spacing w:val="-10"/>
          <w:sz w:val="20"/>
        </w:rPr>
        <w:t> </w:t>
      </w:r>
      <w:r>
        <w:rPr>
          <w:sz w:val="20"/>
        </w:rPr>
        <w:t>noted</w:t>
      </w:r>
      <w:r>
        <w:rPr>
          <w:spacing w:val="-10"/>
          <w:sz w:val="20"/>
        </w:rPr>
        <w:t> </w:t>
      </w:r>
      <w:r>
        <w:rPr>
          <w:sz w:val="20"/>
        </w:rPr>
        <w:t>above,</w:t>
      </w:r>
      <w:r>
        <w:rPr>
          <w:spacing w:val="-12"/>
          <w:sz w:val="20"/>
        </w:rPr>
        <w:t> </w:t>
      </w:r>
      <w:r>
        <w:rPr>
          <w:sz w:val="20"/>
        </w:rPr>
        <w:t>Inclusive</w:t>
      </w:r>
      <w:r>
        <w:rPr>
          <w:spacing w:val="-9"/>
          <w:sz w:val="20"/>
        </w:rPr>
        <w:t> </w:t>
      </w:r>
      <w:r>
        <w:rPr>
          <w:sz w:val="20"/>
        </w:rPr>
        <w:t>Framework</w:t>
      </w:r>
      <w:r>
        <w:rPr>
          <w:spacing w:val="-9"/>
          <w:sz w:val="20"/>
        </w:rPr>
        <w:t> </w:t>
      </w:r>
      <w:r>
        <w:rPr>
          <w:sz w:val="20"/>
        </w:rPr>
        <w:t>members</w:t>
      </w:r>
      <w:r>
        <w:rPr>
          <w:spacing w:val="-10"/>
          <w:sz w:val="20"/>
        </w:rPr>
        <w:t> </w:t>
      </w:r>
      <w:r>
        <w:rPr>
          <w:sz w:val="20"/>
        </w:rPr>
        <w:t>continue</w:t>
      </w:r>
      <w:r>
        <w:rPr>
          <w:spacing w:val="-12"/>
          <w:sz w:val="20"/>
        </w:rPr>
        <w:t> </w:t>
      </w:r>
      <w:r>
        <w:rPr>
          <w:sz w:val="20"/>
        </w:rPr>
        <w:t>to</w:t>
      </w:r>
      <w:r>
        <w:rPr>
          <w:spacing w:val="-9"/>
          <w:sz w:val="20"/>
        </w:rPr>
        <w:t> </w:t>
      </w:r>
      <w:r>
        <w:rPr>
          <w:sz w:val="20"/>
        </w:rPr>
        <w:t>have</w:t>
      </w:r>
      <w:r>
        <w:rPr>
          <w:spacing w:val="-9"/>
          <w:sz w:val="20"/>
        </w:rPr>
        <w:t> </w:t>
      </w:r>
      <w:r>
        <w:rPr>
          <w:sz w:val="20"/>
        </w:rPr>
        <w:t>different</w:t>
      </w:r>
      <w:r>
        <w:rPr>
          <w:spacing w:val="-11"/>
          <w:sz w:val="20"/>
        </w:rPr>
        <w:t> </w:t>
      </w:r>
      <w:r>
        <w:rPr>
          <w:sz w:val="20"/>
        </w:rPr>
        <w:t>views</w:t>
      </w:r>
      <w:r>
        <w:rPr>
          <w:spacing w:val="-10"/>
          <w:sz w:val="20"/>
        </w:rPr>
        <w:t> </w:t>
      </w:r>
      <w:r>
        <w:rPr>
          <w:sz w:val="20"/>
        </w:rPr>
        <w:t>on</w:t>
      </w:r>
      <w:r>
        <w:rPr>
          <w:spacing w:val="-9"/>
          <w:sz w:val="20"/>
        </w:rPr>
        <w:t> </w:t>
      </w:r>
      <w:r>
        <w:rPr>
          <w:sz w:val="20"/>
        </w:rPr>
        <w:t>the</w:t>
      </w:r>
      <w:r>
        <w:rPr>
          <w:spacing w:val="-12"/>
          <w:sz w:val="20"/>
        </w:rPr>
        <w:t> </w:t>
      </w:r>
      <w:r>
        <w:rPr>
          <w:sz w:val="20"/>
        </w:rPr>
        <w:t>scope</w:t>
      </w:r>
      <w:r>
        <w:rPr>
          <w:spacing w:val="-12"/>
          <w:sz w:val="20"/>
        </w:rPr>
        <w:t> </w:t>
      </w:r>
      <w:r>
        <w:rPr>
          <w:sz w:val="20"/>
        </w:rPr>
        <w:t>and nature of new approaches to provide greater certainty beyond Amount A, and in particular the application of a new mandatory and binding dispute resolution mechanism to these issues. To help bridge those differences</w:t>
      </w:r>
      <w:r>
        <w:rPr>
          <w:spacing w:val="-11"/>
          <w:sz w:val="20"/>
        </w:rPr>
        <w:t> </w:t>
      </w:r>
      <w:r>
        <w:rPr>
          <w:sz w:val="20"/>
        </w:rPr>
        <w:t>this</w:t>
      </w:r>
      <w:r>
        <w:rPr>
          <w:spacing w:val="-8"/>
          <w:sz w:val="20"/>
        </w:rPr>
        <w:t> </w:t>
      </w:r>
      <w:r>
        <w:rPr>
          <w:sz w:val="20"/>
        </w:rPr>
        <w:t>Blueprint</w:t>
      </w:r>
      <w:r>
        <w:rPr>
          <w:spacing w:val="-10"/>
          <w:sz w:val="20"/>
        </w:rPr>
        <w:t> </w:t>
      </w:r>
      <w:r>
        <w:rPr>
          <w:sz w:val="20"/>
        </w:rPr>
        <w:t>uses</w:t>
      </w:r>
      <w:r>
        <w:rPr>
          <w:spacing w:val="-11"/>
          <w:sz w:val="20"/>
        </w:rPr>
        <w:t> </w:t>
      </w:r>
      <w:r>
        <w:rPr>
          <w:sz w:val="20"/>
        </w:rPr>
        <w:t>an</w:t>
      </w:r>
      <w:r>
        <w:rPr>
          <w:spacing w:val="-10"/>
          <w:sz w:val="20"/>
        </w:rPr>
        <w:t> </w:t>
      </w:r>
      <w:r>
        <w:rPr>
          <w:sz w:val="20"/>
        </w:rPr>
        <w:t>approach</w:t>
      </w:r>
      <w:r>
        <w:rPr>
          <w:spacing w:val="-12"/>
          <w:sz w:val="20"/>
        </w:rPr>
        <w:t> </w:t>
      </w:r>
      <w:r>
        <w:rPr>
          <w:sz w:val="20"/>
        </w:rPr>
        <w:t>that</w:t>
      </w:r>
      <w:r>
        <w:rPr>
          <w:spacing w:val="-10"/>
          <w:sz w:val="20"/>
        </w:rPr>
        <w:t> </w:t>
      </w:r>
      <w:r>
        <w:rPr>
          <w:sz w:val="20"/>
        </w:rPr>
        <w:t>is</w:t>
      </w:r>
      <w:r>
        <w:rPr>
          <w:spacing w:val="-9"/>
          <w:sz w:val="20"/>
        </w:rPr>
        <w:t> </w:t>
      </w:r>
      <w:r>
        <w:rPr>
          <w:sz w:val="20"/>
        </w:rPr>
        <w:t>built</w:t>
      </w:r>
      <w:r>
        <w:rPr>
          <w:spacing w:val="-10"/>
          <w:sz w:val="20"/>
        </w:rPr>
        <w:t> </w:t>
      </w:r>
      <w:r>
        <w:rPr>
          <w:sz w:val="20"/>
        </w:rPr>
        <w:t>around</w:t>
      </w:r>
      <w:r>
        <w:rPr>
          <w:spacing w:val="-13"/>
          <w:sz w:val="20"/>
        </w:rPr>
        <w:t> </w:t>
      </w:r>
      <w:r>
        <w:rPr>
          <w:sz w:val="20"/>
        </w:rPr>
        <w:t>four</w:t>
      </w:r>
      <w:r>
        <w:rPr>
          <w:spacing w:val="-10"/>
          <w:sz w:val="20"/>
        </w:rPr>
        <w:t> </w:t>
      </w:r>
      <w:r>
        <w:rPr>
          <w:sz w:val="20"/>
        </w:rPr>
        <w:t>elements,</w:t>
      </w:r>
      <w:r>
        <w:rPr>
          <w:spacing w:val="-10"/>
          <w:sz w:val="20"/>
        </w:rPr>
        <w:t> </w:t>
      </w:r>
      <w:r>
        <w:rPr>
          <w:sz w:val="20"/>
        </w:rPr>
        <w:t>which</w:t>
      </w:r>
      <w:r>
        <w:rPr>
          <w:spacing w:val="-13"/>
          <w:sz w:val="20"/>
        </w:rPr>
        <w:t> </w:t>
      </w:r>
      <w:r>
        <w:rPr>
          <w:sz w:val="20"/>
        </w:rPr>
        <w:t>are</w:t>
      </w:r>
      <w:r>
        <w:rPr>
          <w:spacing w:val="-10"/>
          <w:sz w:val="20"/>
        </w:rPr>
        <w:t> </w:t>
      </w:r>
      <w:r>
        <w:rPr>
          <w:sz w:val="20"/>
        </w:rPr>
        <w:t>described</w:t>
      </w:r>
      <w:r>
        <w:rPr>
          <w:spacing w:val="-10"/>
          <w:sz w:val="20"/>
        </w:rPr>
        <w:t> </w:t>
      </w:r>
      <w:r>
        <w:rPr>
          <w:sz w:val="20"/>
        </w:rPr>
        <w:t>in</w:t>
      </w:r>
      <w:r>
        <w:rPr>
          <w:spacing w:val="-12"/>
          <w:sz w:val="20"/>
        </w:rPr>
        <w:t> </w:t>
      </w:r>
      <w:r>
        <w:rPr>
          <w:sz w:val="20"/>
        </w:rPr>
        <w:t>more detail below. Discussions of the scope of mandatory and binding dispute resolution beyond Amount A will continue in the Inclusive Framework, with a view to achieving a balance that provides greater certainty to MNE groups where it is needed most while recognising the concerns, challenges and constraints of a number of</w:t>
      </w:r>
      <w:r>
        <w:rPr>
          <w:spacing w:val="-2"/>
          <w:sz w:val="20"/>
        </w:rPr>
        <w:t> </w:t>
      </w:r>
      <w:r>
        <w:rPr>
          <w:sz w:val="20"/>
        </w:rPr>
        <w:t>members.</w:t>
      </w:r>
    </w:p>
    <w:p>
      <w:pPr>
        <w:pStyle w:val="ListParagraph"/>
        <w:numPr>
          <w:ilvl w:val="0"/>
          <w:numId w:val="13"/>
        </w:numPr>
        <w:tabs>
          <w:tab w:pos="1444" w:val="left" w:leader="none"/>
        </w:tabs>
        <w:spacing w:line="271" w:lineRule="auto" w:before="122" w:after="0"/>
        <w:ind w:left="723" w:right="481" w:firstLine="0"/>
        <w:jc w:val="both"/>
        <w:rPr>
          <w:sz w:val="20"/>
        </w:rPr>
      </w:pPr>
      <w:r>
        <w:rPr>
          <w:sz w:val="20"/>
        </w:rPr>
        <w:t>Work on tax certainty beyond Amount A has not, however, focused solely on mandatory and binding dispute resolution. The approach to tax certainty beyond Amount A comprises a number of </w:t>
      </w:r>
      <w:r>
        <w:rPr>
          <w:spacing w:val="3"/>
          <w:sz w:val="20"/>
        </w:rPr>
        <w:t>main </w:t>
      </w:r>
      <w:r>
        <w:rPr>
          <w:sz w:val="20"/>
        </w:rPr>
        <w:t>steps – from dispute prevention (Step 1) and the existing MAP (Step 2) to mandatory binding dispute resolution (Step 3). While ongoing work to improve and enhance dispute prevention tools and the MAP has</w:t>
      </w:r>
      <w:r>
        <w:rPr>
          <w:spacing w:val="-6"/>
          <w:sz w:val="20"/>
        </w:rPr>
        <w:t> </w:t>
      </w:r>
      <w:r>
        <w:rPr>
          <w:sz w:val="20"/>
        </w:rPr>
        <w:t>already</w:t>
      </w:r>
      <w:r>
        <w:rPr>
          <w:spacing w:val="-7"/>
          <w:sz w:val="20"/>
        </w:rPr>
        <w:t> </w:t>
      </w:r>
      <w:r>
        <w:rPr>
          <w:sz w:val="20"/>
        </w:rPr>
        <w:t>been</w:t>
      </w:r>
      <w:r>
        <w:rPr>
          <w:spacing w:val="-5"/>
          <w:sz w:val="20"/>
        </w:rPr>
        <w:t> </w:t>
      </w:r>
      <w:r>
        <w:rPr>
          <w:sz w:val="20"/>
        </w:rPr>
        <w:t>important</w:t>
      </w:r>
      <w:r>
        <w:rPr>
          <w:spacing w:val="-4"/>
          <w:sz w:val="20"/>
        </w:rPr>
        <w:t> </w:t>
      </w:r>
      <w:r>
        <w:rPr>
          <w:sz w:val="20"/>
        </w:rPr>
        <w:t>separate</w:t>
      </w:r>
      <w:r>
        <w:rPr>
          <w:spacing w:val="-4"/>
          <w:sz w:val="20"/>
        </w:rPr>
        <w:t> </w:t>
      </w:r>
      <w:r>
        <w:rPr>
          <w:sz w:val="20"/>
        </w:rPr>
        <w:t>from</w:t>
      </w:r>
      <w:r>
        <w:rPr>
          <w:spacing w:val="-3"/>
          <w:sz w:val="20"/>
        </w:rPr>
        <w:t> </w:t>
      </w:r>
      <w:r>
        <w:rPr>
          <w:sz w:val="20"/>
        </w:rPr>
        <w:t>work</w:t>
      </w:r>
      <w:r>
        <w:rPr>
          <w:spacing w:val="-2"/>
          <w:sz w:val="20"/>
        </w:rPr>
        <w:t> </w:t>
      </w:r>
      <w:r>
        <w:rPr>
          <w:sz w:val="20"/>
        </w:rPr>
        <w:t>on</w:t>
      </w:r>
      <w:r>
        <w:rPr>
          <w:spacing w:val="-7"/>
          <w:sz w:val="20"/>
        </w:rPr>
        <w:t> </w:t>
      </w:r>
      <w:r>
        <w:rPr>
          <w:sz w:val="20"/>
        </w:rPr>
        <w:t>the</w:t>
      </w:r>
      <w:r>
        <w:rPr>
          <w:spacing w:val="-3"/>
          <w:sz w:val="20"/>
        </w:rPr>
        <w:t> </w:t>
      </w:r>
      <w:r>
        <w:rPr>
          <w:sz w:val="20"/>
        </w:rPr>
        <w:t>tax</w:t>
      </w:r>
      <w:r>
        <w:rPr>
          <w:spacing w:val="-6"/>
          <w:sz w:val="20"/>
        </w:rPr>
        <w:t> </w:t>
      </w:r>
      <w:r>
        <w:rPr>
          <w:sz w:val="20"/>
        </w:rPr>
        <w:t>challenges</w:t>
      </w:r>
      <w:r>
        <w:rPr>
          <w:spacing w:val="-3"/>
          <w:sz w:val="20"/>
        </w:rPr>
        <w:t> </w:t>
      </w:r>
      <w:r>
        <w:rPr>
          <w:sz w:val="20"/>
        </w:rPr>
        <w:t>of</w:t>
      </w:r>
      <w:r>
        <w:rPr>
          <w:spacing w:val="-5"/>
          <w:sz w:val="20"/>
        </w:rPr>
        <w:t> </w:t>
      </w:r>
      <w:r>
        <w:rPr>
          <w:sz w:val="20"/>
        </w:rPr>
        <w:t>the</w:t>
      </w:r>
      <w:r>
        <w:rPr>
          <w:spacing w:val="-5"/>
          <w:sz w:val="20"/>
        </w:rPr>
        <w:t> </w:t>
      </w:r>
      <w:r>
        <w:rPr>
          <w:sz w:val="20"/>
        </w:rPr>
        <w:t>digitalisation</w:t>
      </w:r>
      <w:r>
        <w:rPr>
          <w:spacing w:val="-5"/>
          <w:sz w:val="20"/>
        </w:rPr>
        <w:t> </w:t>
      </w:r>
      <w:r>
        <w:rPr>
          <w:sz w:val="20"/>
        </w:rPr>
        <w:t>of</w:t>
      </w:r>
      <w:r>
        <w:rPr>
          <w:spacing w:val="-6"/>
          <w:sz w:val="20"/>
        </w:rPr>
        <w:t> </w:t>
      </w:r>
      <w:r>
        <w:rPr>
          <w:sz w:val="20"/>
        </w:rPr>
        <w:t>the</w:t>
      </w:r>
      <w:r>
        <w:rPr>
          <w:spacing w:val="-5"/>
          <w:sz w:val="20"/>
        </w:rPr>
        <w:t> </w:t>
      </w:r>
      <w:r>
        <w:rPr>
          <w:sz w:val="20"/>
        </w:rPr>
        <w:t>economy, that</w:t>
      </w:r>
      <w:r>
        <w:rPr>
          <w:spacing w:val="-5"/>
          <w:sz w:val="20"/>
        </w:rPr>
        <w:t> </w:t>
      </w:r>
      <w:r>
        <w:rPr>
          <w:sz w:val="20"/>
        </w:rPr>
        <w:t>ongoing</w:t>
      </w:r>
      <w:r>
        <w:rPr>
          <w:spacing w:val="-4"/>
          <w:sz w:val="20"/>
        </w:rPr>
        <w:t> </w:t>
      </w:r>
      <w:r>
        <w:rPr>
          <w:sz w:val="20"/>
        </w:rPr>
        <w:t>work</w:t>
      </w:r>
      <w:r>
        <w:rPr>
          <w:spacing w:val="-1"/>
          <w:sz w:val="20"/>
        </w:rPr>
        <w:t> </w:t>
      </w:r>
      <w:r>
        <w:rPr>
          <w:sz w:val="20"/>
        </w:rPr>
        <w:t>has</w:t>
      </w:r>
      <w:r>
        <w:rPr>
          <w:spacing w:val="-4"/>
          <w:sz w:val="20"/>
        </w:rPr>
        <w:t> </w:t>
      </w:r>
      <w:r>
        <w:rPr>
          <w:sz w:val="20"/>
        </w:rPr>
        <w:t>gained</w:t>
      </w:r>
      <w:r>
        <w:rPr>
          <w:spacing w:val="-5"/>
          <w:sz w:val="20"/>
        </w:rPr>
        <w:t> </w:t>
      </w:r>
      <w:r>
        <w:rPr>
          <w:sz w:val="20"/>
        </w:rPr>
        <w:t>further</w:t>
      </w:r>
      <w:r>
        <w:rPr>
          <w:spacing w:val="-7"/>
          <w:sz w:val="20"/>
        </w:rPr>
        <w:t> </w:t>
      </w:r>
      <w:r>
        <w:rPr>
          <w:sz w:val="20"/>
        </w:rPr>
        <w:t>momentum</w:t>
      </w:r>
      <w:r>
        <w:rPr>
          <w:spacing w:val="-2"/>
          <w:sz w:val="20"/>
        </w:rPr>
        <w:t> </w:t>
      </w:r>
      <w:r>
        <w:rPr>
          <w:sz w:val="20"/>
        </w:rPr>
        <w:t>in</w:t>
      </w:r>
      <w:r>
        <w:rPr>
          <w:spacing w:val="-5"/>
          <w:sz w:val="20"/>
        </w:rPr>
        <w:t> </w:t>
      </w:r>
      <w:r>
        <w:rPr>
          <w:sz w:val="20"/>
        </w:rPr>
        <w:t>light</w:t>
      </w:r>
      <w:r>
        <w:rPr>
          <w:spacing w:val="-6"/>
          <w:sz w:val="20"/>
        </w:rPr>
        <w:t> </w:t>
      </w:r>
      <w:r>
        <w:rPr>
          <w:sz w:val="20"/>
        </w:rPr>
        <w:t>of</w:t>
      </w:r>
      <w:r>
        <w:rPr>
          <w:spacing w:val="-3"/>
          <w:sz w:val="20"/>
        </w:rPr>
        <w:t> </w:t>
      </w:r>
      <w:r>
        <w:rPr>
          <w:sz w:val="20"/>
        </w:rPr>
        <w:t>the</w:t>
      </w:r>
      <w:r>
        <w:rPr>
          <w:spacing w:val="-5"/>
          <w:sz w:val="20"/>
        </w:rPr>
        <w:t> </w:t>
      </w:r>
      <w:r>
        <w:rPr>
          <w:sz w:val="20"/>
        </w:rPr>
        <w:t>fundamental</w:t>
      </w:r>
      <w:r>
        <w:rPr>
          <w:spacing w:val="-5"/>
          <w:sz w:val="20"/>
        </w:rPr>
        <w:t> </w:t>
      </w:r>
      <w:r>
        <w:rPr>
          <w:sz w:val="20"/>
        </w:rPr>
        <w:t>importance</w:t>
      </w:r>
      <w:r>
        <w:rPr>
          <w:spacing w:val="-5"/>
          <w:sz w:val="20"/>
        </w:rPr>
        <w:t> </w:t>
      </w:r>
      <w:r>
        <w:rPr>
          <w:sz w:val="20"/>
        </w:rPr>
        <w:t>of</w:t>
      </w:r>
      <w:r>
        <w:rPr>
          <w:spacing w:val="-3"/>
          <w:sz w:val="20"/>
        </w:rPr>
        <w:t> </w:t>
      </w:r>
      <w:r>
        <w:rPr>
          <w:sz w:val="20"/>
        </w:rPr>
        <w:t>tax</w:t>
      </w:r>
      <w:r>
        <w:rPr>
          <w:spacing w:val="-4"/>
          <w:sz w:val="20"/>
        </w:rPr>
        <w:t> </w:t>
      </w:r>
      <w:r>
        <w:rPr>
          <w:sz w:val="20"/>
        </w:rPr>
        <w:t>certainty</w:t>
      </w:r>
      <w:r>
        <w:rPr>
          <w:spacing w:val="-9"/>
          <w:sz w:val="20"/>
        </w:rPr>
        <w:t> </w:t>
      </w:r>
      <w:r>
        <w:rPr>
          <w:sz w:val="20"/>
        </w:rPr>
        <w:t>as an element of Pillar One. This part of the chapter describes these four steps and how a novel dispute resolution mechanism would apply to different categories of disputes and</w:t>
      </w:r>
      <w:r>
        <w:rPr>
          <w:spacing w:val="-11"/>
          <w:sz w:val="20"/>
        </w:rPr>
        <w:t> </w:t>
      </w:r>
      <w:r>
        <w:rPr>
          <w:sz w:val="20"/>
        </w:rPr>
        <w:t>jurisdictions.</w:t>
      </w:r>
    </w:p>
    <w:p>
      <w:pPr>
        <w:pStyle w:val="BodyText"/>
        <w:spacing w:before="4"/>
        <w:rPr>
          <w:sz w:val="23"/>
        </w:rPr>
      </w:pPr>
    </w:p>
    <w:p>
      <w:pPr>
        <w:pStyle w:val="Heading6"/>
        <w:numPr>
          <w:ilvl w:val="2"/>
          <w:numId w:val="81"/>
        </w:numPr>
        <w:tabs>
          <w:tab w:pos="2015" w:val="left" w:leader="none"/>
        </w:tabs>
        <w:spacing w:line="240" w:lineRule="auto" w:before="0" w:after="0"/>
        <w:ind w:left="2014" w:right="0" w:hanging="613"/>
        <w:jc w:val="left"/>
        <w:rPr>
          <w:i/>
        </w:rPr>
      </w:pPr>
      <w:bookmarkStart w:name="9.3.1. Step 1: Improvements to dispute p" w:id="454"/>
      <w:bookmarkEnd w:id="454"/>
      <w:r>
        <w:rPr>
          <w:b w:val="0"/>
          <w:i w:val="0"/>
        </w:rPr>
      </w:r>
      <w:bookmarkStart w:name="9.3.1. Step 1: Improvements to dispute p" w:id="455"/>
      <w:bookmarkEnd w:id="455"/>
      <w:r>
        <w:rPr>
          <w:i/>
        </w:rPr>
        <w:t>S</w:t>
      </w:r>
      <w:r>
        <w:rPr>
          <w:i/>
        </w:rPr>
        <w:t>tep 1: Improvements to dispute prevention</w:t>
      </w:r>
      <w:r>
        <w:rPr>
          <w:i/>
          <w:spacing w:val="-8"/>
        </w:rPr>
        <w:t> </w:t>
      </w:r>
      <w:r>
        <w:rPr>
          <w:i/>
        </w:rPr>
        <w:t>processes</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5" w:firstLine="0"/>
        <w:jc w:val="both"/>
        <w:rPr>
          <w:sz w:val="20"/>
        </w:rPr>
      </w:pPr>
      <w:r>
        <w:rPr>
          <w:sz w:val="20"/>
        </w:rPr>
        <w:t>The</w:t>
      </w:r>
      <w:r>
        <w:rPr>
          <w:spacing w:val="-12"/>
          <w:sz w:val="20"/>
        </w:rPr>
        <w:t> </w:t>
      </w:r>
      <w:r>
        <w:rPr>
          <w:sz w:val="20"/>
        </w:rPr>
        <w:t>most</w:t>
      </w:r>
      <w:r>
        <w:rPr>
          <w:spacing w:val="-8"/>
          <w:sz w:val="20"/>
        </w:rPr>
        <w:t> </w:t>
      </w:r>
      <w:r>
        <w:rPr>
          <w:sz w:val="20"/>
        </w:rPr>
        <w:t>effective</w:t>
      </w:r>
      <w:r>
        <w:rPr>
          <w:spacing w:val="-9"/>
          <w:sz w:val="20"/>
        </w:rPr>
        <w:t> </w:t>
      </w:r>
      <w:r>
        <w:rPr>
          <w:sz w:val="20"/>
        </w:rPr>
        <w:t>approach</w:t>
      </w:r>
      <w:r>
        <w:rPr>
          <w:spacing w:val="-9"/>
          <w:sz w:val="20"/>
        </w:rPr>
        <w:t> </w:t>
      </w:r>
      <w:r>
        <w:rPr>
          <w:sz w:val="20"/>
        </w:rPr>
        <w:t>to</w:t>
      </w:r>
      <w:r>
        <w:rPr>
          <w:spacing w:val="-6"/>
          <w:sz w:val="20"/>
        </w:rPr>
        <w:t> </w:t>
      </w:r>
      <w:r>
        <w:rPr>
          <w:sz w:val="20"/>
        </w:rPr>
        <w:t>dealing</w:t>
      </w:r>
      <w:r>
        <w:rPr>
          <w:spacing w:val="-5"/>
          <w:sz w:val="20"/>
        </w:rPr>
        <w:t> </w:t>
      </w:r>
      <w:r>
        <w:rPr>
          <w:sz w:val="20"/>
        </w:rPr>
        <w:t>with</w:t>
      </w:r>
      <w:r>
        <w:rPr>
          <w:spacing w:val="-7"/>
          <w:sz w:val="20"/>
        </w:rPr>
        <w:t> </w:t>
      </w:r>
      <w:r>
        <w:rPr>
          <w:sz w:val="20"/>
        </w:rPr>
        <w:t>tax</w:t>
      </w:r>
      <w:r>
        <w:rPr>
          <w:spacing w:val="-7"/>
          <w:sz w:val="20"/>
        </w:rPr>
        <w:t> </w:t>
      </w:r>
      <w:r>
        <w:rPr>
          <w:sz w:val="20"/>
        </w:rPr>
        <w:t>disputes</w:t>
      </w:r>
      <w:r>
        <w:rPr>
          <w:spacing w:val="-8"/>
          <w:sz w:val="20"/>
        </w:rPr>
        <w:t> </w:t>
      </w:r>
      <w:r>
        <w:rPr>
          <w:sz w:val="20"/>
        </w:rPr>
        <w:t>is</w:t>
      </w:r>
      <w:r>
        <w:rPr>
          <w:spacing w:val="-8"/>
          <w:sz w:val="20"/>
        </w:rPr>
        <w:t> </w:t>
      </w:r>
      <w:r>
        <w:rPr>
          <w:sz w:val="20"/>
        </w:rPr>
        <w:t>to</w:t>
      </w:r>
      <w:r>
        <w:rPr>
          <w:spacing w:val="-6"/>
          <w:sz w:val="20"/>
        </w:rPr>
        <w:t> </w:t>
      </w:r>
      <w:r>
        <w:rPr>
          <w:sz w:val="20"/>
        </w:rPr>
        <w:t>prevent</w:t>
      </w:r>
      <w:r>
        <w:rPr>
          <w:spacing w:val="-9"/>
          <w:sz w:val="20"/>
        </w:rPr>
        <w:t> </w:t>
      </w:r>
      <w:r>
        <w:rPr>
          <w:sz w:val="20"/>
        </w:rPr>
        <w:t>them</w:t>
      </w:r>
      <w:r>
        <w:rPr>
          <w:spacing w:val="-4"/>
          <w:sz w:val="20"/>
        </w:rPr>
        <w:t> </w:t>
      </w:r>
      <w:r>
        <w:rPr>
          <w:sz w:val="20"/>
        </w:rPr>
        <w:t>from</w:t>
      </w:r>
      <w:r>
        <w:rPr>
          <w:spacing w:val="-3"/>
          <w:sz w:val="20"/>
        </w:rPr>
        <w:t> </w:t>
      </w:r>
      <w:r>
        <w:rPr>
          <w:sz w:val="20"/>
        </w:rPr>
        <w:t>arising</w:t>
      </w:r>
      <w:r>
        <w:rPr>
          <w:spacing w:val="-7"/>
          <w:sz w:val="20"/>
        </w:rPr>
        <w:t> </w:t>
      </w:r>
      <w:r>
        <w:rPr>
          <w:sz w:val="20"/>
        </w:rPr>
        <w:t>in</w:t>
      </w:r>
      <w:r>
        <w:rPr>
          <w:spacing w:val="-7"/>
          <w:sz w:val="20"/>
        </w:rPr>
        <w:t> </w:t>
      </w:r>
      <w:r>
        <w:rPr>
          <w:sz w:val="20"/>
        </w:rPr>
        <w:t>the</w:t>
      </w:r>
      <w:r>
        <w:rPr>
          <w:spacing w:val="-6"/>
          <w:sz w:val="20"/>
        </w:rPr>
        <w:t> </w:t>
      </w:r>
      <w:r>
        <w:rPr>
          <w:sz w:val="20"/>
        </w:rPr>
        <w:t>first place.</w:t>
      </w:r>
      <w:r>
        <w:rPr>
          <w:spacing w:val="-14"/>
          <w:sz w:val="20"/>
        </w:rPr>
        <w:t> </w:t>
      </w:r>
      <w:r>
        <w:rPr>
          <w:sz w:val="20"/>
        </w:rPr>
        <w:t>This</w:t>
      </w:r>
      <w:r>
        <w:rPr>
          <w:spacing w:val="-12"/>
          <w:sz w:val="20"/>
        </w:rPr>
        <w:t> </w:t>
      </w:r>
      <w:r>
        <w:rPr>
          <w:sz w:val="20"/>
        </w:rPr>
        <w:t>section</w:t>
      </w:r>
      <w:r>
        <w:rPr>
          <w:spacing w:val="-13"/>
          <w:sz w:val="20"/>
        </w:rPr>
        <w:t> </w:t>
      </w:r>
      <w:r>
        <w:rPr>
          <w:sz w:val="20"/>
        </w:rPr>
        <w:t>considers</w:t>
      </w:r>
      <w:r>
        <w:rPr>
          <w:spacing w:val="-12"/>
          <w:sz w:val="20"/>
        </w:rPr>
        <w:t> </w:t>
      </w:r>
      <w:r>
        <w:rPr>
          <w:sz w:val="20"/>
        </w:rPr>
        <w:t>a</w:t>
      </w:r>
      <w:r>
        <w:rPr>
          <w:spacing w:val="-14"/>
          <w:sz w:val="20"/>
        </w:rPr>
        <w:t> </w:t>
      </w:r>
      <w:r>
        <w:rPr>
          <w:sz w:val="20"/>
        </w:rPr>
        <w:t>number</w:t>
      </w:r>
      <w:r>
        <w:rPr>
          <w:spacing w:val="-12"/>
          <w:sz w:val="20"/>
        </w:rPr>
        <w:t> </w:t>
      </w:r>
      <w:r>
        <w:rPr>
          <w:sz w:val="20"/>
        </w:rPr>
        <w:t>of</w:t>
      </w:r>
      <w:r>
        <w:rPr>
          <w:spacing w:val="-11"/>
          <w:sz w:val="20"/>
        </w:rPr>
        <w:t> </w:t>
      </w:r>
      <w:r>
        <w:rPr>
          <w:sz w:val="20"/>
        </w:rPr>
        <w:t>enhancements</w:t>
      </w:r>
      <w:r>
        <w:rPr>
          <w:spacing w:val="-11"/>
          <w:sz w:val="20"/>
        </w:rPr>
        <w:t> </w:t>
      </w:r>
      <w:r>
        <w:rPr>
          <w:sz w:val="20"/>
        </w:rPr>
        <w:t>and</w:t>
      </w:r>
      <w:r>
        <w:rPr>
          <w:spacing w:val="-14"/>
          <w:sz w:val="20"/>
        </w:rPr>
        <w:t> </w:t>
      </w:r>
      <w:r>
        <w:rPr>
          <w:sz w:val="20"/>
        </w:rPr>
        <w:t>improvements</w:t>
      </w:r>
      <w:r>
        <w:rPr>
          <w:spacing w:val="-12"/>
          <w:sz w:val="20"/>
        </w:rPr>
        <w:t> </w:t>
      </w:r>
      <w:r>
        <w:rPr>
          <w:sz w:val="20"/>
        </w:rPr>
        <w:t>to</w:t>
      </w:r>
      <w:r>
        <w:rPr>
          <w:spacing w:val="-13"/>
          <w:sz w:val="20"/>
        </w:rPr>
        <w:t> </w:t>
      </w:r>
      <w:r>
        <w:rPr>
          <w:sz w:val="20"/>
        </w:rPr>
        <w:t>existing</w:t>
      </w:r>
      <w:r>
        <w:rPr>
          <w:spacing w:val="-14"/>
          <w:sz w:val="20"/>
        </w:rPr>
        <w:t> </w:t>
      </w:r>
      <w:r>
        <w:rPr>
          <w:sz w:val="20"/>
        </w:rPr>
        <w:t>dispute</w:t>
      </w:r>
      <w:r>
        <w:rPr>
          <w:spacing w:val="-11"/>
          <w:sz w:val="20"/>
        </w:rPr>
        <w:t> </w:t>
      </w:r>
      <w:r>
        <w:rPr>
          <w:sz w:val="20"/>
        </w:rPr>
        <w:t>prevention tools, including existing projects undertaken as part of the FTA tax certainty agenda. These would sit alongside and complement new dispute resolution</w:t>
      </w:r>
      <w:r>
        <w:rPr>
          <w:spacing w:val="-13"/>
          <w:sz w:val="20"/>
        </w:rPr>
        <w:t> </w:t>
      </w:r>
      <w:r>
        <w:rPr>
          <w:sz w:val="20"/>
        </w:rPr>
        <w:t>mechanisms.</w:t>
      </w:r>
    </w:p>
    <w:p>
      <w:pPr>
        <w:pStyle w:val="ListParagraph"/>
        <w:numPr>
          <w:ilvl w:val="1"/>
          <w:numId w:val="13"/>
        </w:numPr>
        <w:tabs>
          <w:tab w:pos="1785" w:val="left" w:leader="none"/>
        </w:tabs>
        <w:spacing w:line="271" w:lineRule="auto" w:before="99" w:after="0"/>
        <w:ind w:left="1784" w:right="483" w:hanging="360"/>
        <w:jc w:val="both"/>
        <w:rPr>
          <w:sz w:val="20"/>
        </w:rPr>
      </w:pPr>
      <w:r>
        <w:rPr>
          <w:b/>
          <w:i/>
          <w:sz w:val="20"/>
        </w:rPr>
        <w:t>ICAP.</w:t>
      </w:r>
      <w:r>
        <w:rPr>
          <w:b/>
          <w:i/>
          <w:spacing w:val="-9"/>
          <w:sz w:val="20"/>
        </w:rPr>
        <w:t> </w:t>
      </w:r>
      <w:r>
        <w:rPr>
          <w:sz w:val="20"/>
        </w:rPr>
        <w:t>The</w:t>
      </w:r>
      <w:r>
        <w:rPr>
          <w:spacing w:val="-9"/>
          <w:sz w:val="20"/>
        </w:rPr>
        <w:t> </w:t>
      </w:r>
      <w:r>
        <w:rPr>
          <w:sz w:val="20"/>
        </w:rPr>
        <w:t>ICAP</w:t>
      </w:r>
      <w:r>
        <w:rPr>
          <w:spacing w:val="-6"/>
          <w:sz w:val="20"/>
        </w:rPr>
        <w:t> </w:t>
      </w:r>
      <w:r>
        <w:rPr>
          <w:sz w:val="20"/>
        </w:rPr>
        <w:t>is</w:t>
      </w:r>
      <w:r>
        <w:rPr>
          <w:spacing w:val="-7"/>
          <w:sz w:val="20"/>
        </w:rPr>
        <w:t> </w:t>
      </w:r>
      <w:r>
        <w:rPr>
          <w:sz w:val="20"/>
        </w:rPr>
        <w:t>a</w:t>
      </w:r>
      <w:r>
        <w:rPr>
          <w:spacing w:val="-9"/>
          <w:sz w:val="20"/>
        </w:rPr>
        <w:t> </w:t>
      </w:r>
      <w:r>
        <w:rPr>
          <w:sz w:val="20"/>
        </w:rPr>
        <w:t>voluntary</w:t>
      </w:r>
      <w:r>
        <w:rPr>
          <w:spacing w:val="-12"/>
          <w:sz w:val="20"/>
        </w:rPr>
        <w:t> </w:t>
      </w:r>
      <w:r>
        <w:rPr>
          <w:sz w:val="20"/>
        </w:rPr>
        <w:t>programme</w:t>
      </w:r>
      <w:r>
        <w:rPr>
          <w:spacing w:val="-11"/>
          <w:sz w:val="20"/>
        </w:rPr>
        <w:t> </w:t>
      </w:r>
      <w:r>
        <w:rPr>
          <w:sz w:val="20"/>
        </w:rPr>
        <w:t>for</w:t>
      </w:r>
      <w:r>
        <w:rPr>
          <w:spacing w:val="-8"/>
          <w:sz w:val="20"/>
        </w:rPr>
        <w:t> </w:t>
      </w:r>
      <w:r>
        <w:rPr>
          <w:sz w:val="20"/>
        </w:rPr>
        <w:t>a</w:t>
      </w:r>
      <w:r>
        <w:rPr>
          <w:spacing w:val="-8"/>
          <w:sz w:val="20"/>
        </w:rPr>
        <w:t> </w:t>
      </w:r>
      <w:r>
        <w:rPr>
          <w:sz w:val="20"/>
        </w:rPr>
        <w:t>co-ordinated</w:t>
      </w:r>
      <w:r>
        <w:rPr>
          <w:spacing w:val="-9"/>
          <w:sz w:val="20"/>
        </w:rPr>
        <w:t> </w:t>
      </w:r>
      <w:r>
        <w:rPr>
          <w:sz w:val="20"/>
        </w:rPr>
        <w:t>risk</w:t>
      </w:r>
      <w:r>
        <w:rPr>
          <w:spacing w:val="-5"/>
          <w:sz w:val="20"/>
        </w:rPr>
        <w:t> </w:t>
      </w:r>
      <w:r>
        <w:rPr>
          <w:sz w:val="20"/>
        </w:rPr>
        <w:t>assessment</w:t>
      </w:r>
      <w:r>
        <w:rPr>
          <w:spacing w:val="-9"/>
          <w:sz w:val="20"/>
        </w:rPr>
        <w:t> </w:t>
      </w:r>
      <w:r>
        <w:rPr>
          <w:sz w:val="20"/>
        </w:rPr>
        <w:t>of</w:t>
      </w:r>
      <w:r>
        <w:rPr>
          <w:spacing w:val="-6"/>
          <w:sz w:val="20"/>
        </w:rPr>
        <w:t> </w:t>
      </w:r>
      <w:r>
        <w:rPr>
          <w:sz w:val="20"/>
        </w:rPr>
        <w:t>potentially</w:t>
      </w:r>
      <w:r>
        <w:rPr>
          <w:spacing w:val="-12"/>
          <w:sz w:val="20"/>
        </w:rPr>
        <w:t> </w:t>
      </w:r>
      <w:r>
        <w:rPr>
          <w:sz w:val="20"/>
        </w:rPr>
        <w:t>all of</w:t>
      </w:r>
      <w:r>
        <w:rPr>
          <w:spacing w:val="-8"/>
          <w:sz w:val="20"/>
        </w:rPr>
        <w:t> </w:t>
      </w:r>
      <w:r>
        <w:rPr>
          <w:sz w:val="20"/>
        </w:rPr>
        <w:t>an</w:t>
      </w:r>
      <w:r>
        <w:rPr>
          <w:spacing w:val="-10"/>
          <w:sz w:val="20"/>
        </w:rPr>
        <w:t> </w:t>
      </w:r>
      <w:r>
        <w:rPr>
          <w:sz w:val="20"/>
        </w:rPr>
        <w:t>MNE</w:t>
      </w:r>
      <w:r>
        <w:rPr>
          <w:spacing w:val="-7"/>
          <w:sz w:val="20"/>
        </w:rPr>
        <w:t> </w:t>
      </w:r>
      <w:r>
        <w:rPr>
          <w:sz w:val="20"/>
        </w:rPr>
        <w:t>group’s</w:t>
      </w:r>
      <w:r>
        <w:rPr>
          <w:spacing w:val="-9"/>
          <w:sz w:val="20"/>
        </w:rPr>
        <w:t> </w:t>
      </w:r>
      <w:r>
        <w:rPr>
          <w:sz w:val="20"/>
        </w:rPr>
        <w:t>transfer</w:t>
      </w:r>
      <w:r>
        <w:rPr>
          <w:spacing w:val="-8"/>
          <w:sz w:val="20"/>
        </w:rPr>
        <w:t> </w:t>
      </w:r>
      <w:r>
        <w:rPr>
          <w:sz w:val="20"/>
        </w:rPr>
        <w:t>pricing</w:t>
      </w:r>
      <w:r>
        <w:rPr>
          <w:spacing w:val="-10"/>
          <w:sz w:val="20"/>
        </w:rPr>
        <w:t> </w:t>
      </w:r>
      <w:r>
        <w:rPr>
          <w:sz w:val="20"/>
        </w:rPr>
        <w:t>and</w:t>
      </w:r>
      <w:r>
        <w:rPr>
          <w:spacing w:val="-8"/>
          <w:sz w:val="20"/>
        </w:rPr>
        <w:t> </w:t>
      </w:r>
      <w:r>
        <w:rPr>
          <w:sz w:val="20"/>
        </w:rPr>
        <w:t>permanent</w:t>
      </w:r>
      <w:r>
        <w:rPr>
          <w:spacing w:val="-6"/>
          <w:sz w:val="20"/>
        </w:rPr>
        <w:t> </w:t>
      </w:r>
      <w:r>
        <w:rPr>
          <w:sz w:val="20"/>
        </w:rPr>
        <w:t>establishment</w:t>
      </w:r>
      <w:r>
        <w:rPr>
          <w:spacing w:val="-10"/>
          <w:sz w:val="20"/>
        </w:rPr>
        <w:t> </w:t>
      </w:r>
      <w:r>
        <w:rPr>
          <w:sz w:val="20"/>
        </w:rPr>
        <w:t>risk</w:t>
      </w:r>
      <w:r>
        <w:rPr>
          <w:spacing w:val="-6"/>
          <w:sz w:val="20"/>
        </w:rPr>
        <w:t> </w:t>
      </w:r>
      <w:r>
        <w:rPr>
          <w:sz w:val="20"/>
        </w:rPr>
        <w:t>by</w:t>
      </w:r>
      <w:r>
        <w:rPr>
          <w:spacing w:val="-10"/>
          <w:sz w:val="20"/>
        </w:rPr>
        <w:t> </w:t>
      </w:r>
      <w:r>
        <w:rPr>
          <w:sz w:val="20"/>
        </w:rPr>
        <w:t>tax</w:t>
      </w:r>
      <w:r>
        <w:rPr>
          <w:spacing w:val="-9"/>
          <w:sz w:val="20"/>
        </w:rPr>
        <w:t> </w:t>
      </w:r>
      <w:r>
        <w:rPr>
          <w:sz w:val="20"/>
        </w:rPr>
        <w:t>administrations</w:t>
      </w:r>
      <w:r>
        <w:rPr>
          <w:spacing w:val="-5"/>
          <w:sz w:val="20"/>
        </w:rPr>
        <w:t> </w:t>
      </w:r>
      <w:r>
        <w:rPr>
          <w:sz w:val="20"/>
        </w:rPr>
        <w:t>in a number of jurisdictions where the MNE group has activity, including its headquarter jurisdiction. ICAP does not provide an MNE with legal certainty as may be achieved, for example, through an advance pricing arrangement (APA), but does give comfort and assurance where tax administrations participating in an MNE’s risk assessment consider a covered</w:t>
      </w:r>
      <w:r>
        <w:rPr>
          <w:spacing w:val="10"/>
          <w:sz w:val="20"/>
        </w:rPr>
        <w:t> </w:t>
      </w:r>
      <w:r>
        <w:rPr>
          <w:sz w:val="20"/>
        </w:rPr>
        <w:t>risk</w:t>
      </w:r>
      <w:r>
        <w:rPr>
          <w:spacing w:val="10"/>
          <w:sz w:val="20"/>
        </w:rPr>
        <w:t> </w:t>
      </w:r>
      <w:r>
        <w:rPr>
          <w:sz w:val="20"/>
        </w:rPr>
        <w:t>to</w:t>
      </w:r>
      <w:r>
        <w:rPr>
          <w:spacing w:val="9"/>
          <w:sz w:val="20"/>
        </w:rPr>
        <w:t> </w:t>
      </w:r>
      <w:r>
        <w:rPr>
          <w:sz w:val="20"/>
        </w:rPr>
        <w:t>be</w:t>
      </w:r>
      <w:r>
        <w:rPr>
          <w:spacing w:val="7"/>
          <w:sz w:val="20"/>
        </w:rPr>
        <w:t> </w:t>
      </w:r>
      <w:r>
        <w:rPr>
          <w:sz w:val="20"/>
        </w:rPr>
        <w:t>low.</w:t>
      </w:r>
      <w:r>
        <w:rPr>
          <w:spacing w:val="5"/>
          <w:sz w:val="20"/>
        </w:rPr>
        <w:t> </w:t>
      </w:r>
      <w:r>
        <w:rPr>
          <w:sz w:val="20"/>
        </w:rPr>
        <w:t>Where</w:t>
      </w:r>
      <w:r>
        <w:rPr>
          <w:spacing w:val="8"/>
          <w:sz w:val="20"/>
        </w:rPr>
        <w:t> </w:t>
      </w:r>
      <w:r>
        <w:rPr>
          <w:sz w:val="20"/>
        </w:rPr>
        <w:t>an</w:t>
      </w:r>
      <w:r>
        <w:rPr>
          <w:spacing w:val="9"/>
          <w:sz w:val="20"/>
        </w:rPr>
        <w:t> </w:t>
      </w:r>
      <w:r>
        <w:rPr>
          <w:sz w:val="20"/>
        </w:rPr>
        <w:t>area</w:t>
      </w:r>
      <w:r>
        <w:rPr>
          <w:spacing w:val="10"/>
          <w:sz w:val="20"/>
        </w:rPr>
        <w:t> </w:t>
      </w:r>
      <w:r>
        <w:rPr>
          <w:sz w:val="20"/>
        </w:rPr>
        <w:t>is</w:t>
      </w:r>
      <w:r>
        <w:rPr>
          <w:spacing w:val="9"/>
          <w:sz w:val="20"/>
        </w:rPr>
        <w:t> </w:t>
      </w:r>
      <w:r>
        <w:rPr>
          <w:sz w:val="20"/>
        </w:rPr>
        <w:t>identified</w:t>
      </w:r>
      <w:r>
        <w:rPr>
          <w:spacing w:val="7"/>
          <w:sz w:val="20"/>
        </w:rPr>
        <w:t> </w:t>
      </w:r>
      <w:r>
        <w:rPr>
          <w:sz w:val="20"/>
        </w:rPr>
        <w:t>as</w:t>
      </w:r>
      <w:r>
        <w:rPr>
          <w:spacing w:val="11"/>
          <w:sz w:val="20"/>
        </w:rPr>
        <w:t> </w:t>
      </w:r>
      <w:r>
        <w:rPr>
          <w:sz w:val="20"/>
        </w:rPr>
        <w:t>needing</w:t>
      </w:r>
      <w:r>
        <w:rPr>
          <w:spacing w:val="8"/>
          <w:sz w:val="20"/>
        </w:rPr>
        <w:t> </w:t>
      </w:r>
      <w:r>
        <w:rPr>
          <w:sz w:val="20"/>
        </w:rPr>
        <w:t>further</w:t>
      </w:r>
      <w:r>
        <w:rPr>
          <w:spacing w:val="8"/>
          <w:sz w:val="20"/>
        </w:rPr>
        <w:t> </w:t>
      </w:r>
      <w:r>
        <w:rPr>
          <w:sz w:val="20"/>
        </w:rPr>
        <w:t>attention,</w:t>
      </w:r>
      <w:r>
        <w:rPr>
          <w:spacing w:val="8"/>
          <w:sz w:val="20"/>
        </w:rPr>
        <w:t> </w:t>
      </w:r>
      <w:r>
        <w:rPr>
          <w:sz w:val="20"/>
        </w:rPr>
        <w:t>this</w:t>
      </w:r>
      <w:r>
        <w:rPr>
          <w:spacing w:val="9"/>
          <w:sz w:val="20"/>
        </w:rPr>
        <w:t> </w:t>
      </w:r>
      <w:r>
        <w:rPr>
          <w:sz w:val="20"/>
        </w:rPr>
        <w:t>may</w:t>
      </w:r>
      <w:r>
        <w:rPr>
          <w:spacing w:val="3"/>
          <w:sz w:val="20"/>
        </w:rPr>
        <w:t> </w:t>
      </w:r>
      <w:r>
        <w:rPr>
          <w:sz w:val="20"/>
        </w:rPr>
        <w:t>be</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1"/>
        <w:jc w:val="both"/>
      </w:pPr>
      <w:r>
        <w:rPr/>
        <w:t>addressed through a defined “issue resolution” process within the programme or, if needed, work conducted in ICAP can improve the efficiency of actions taken outside the programme. First launched in 2018, ICAP is currently in a second pilot including tax administrations from 19 jurisdictions. Following the conclusion of this pilot, the programme could be widened to include more tax administrations and MNEs. This could be particularly beneficial to MNE groups</w:t>
      </w:r>
      <w:r>
        <w:rPr>
          <w:spacing w:val="-9"/>
        </w:rPr>
        <w:t> </w:t>
      </w:r>
      <w:r>
        <w:rPr/>
        <w:t>within</w:t>
      </w:r>
      <w:r>
        <w:rPr>
          <w:spacing w:val="-12"/>
        </w:rPr>
        <w:t> </w:t>
      </w:r>
      <w:r>
        <w:rPr/>
        <w:t>the</w:t>
      </w:r>
      <w:r>
        <w:rPr>
          <w:spacing w:val="-12"/>
        </w:rPr>
        <w:t> </w:t>
      </w:r>
      <w:r>
        <w:rPr/>
        <w:t>scope</w:t>
      </w:r>
      <w:r>
        <w:rPr>
          <w:spacing w:val="-12"/>
        </w:rPr>
        <w:t> </w:t>
      </w:r>
      <w:r>
        <w:rPr/>
        <w:t>of</w:t>
      </w:r>
      <w:r>
        <w:rPr>
          <w:spacing w:val="-10"/>
        </w:rPr>
        <w:t> </w:t>
      </w:r>
      <w:r>
        <w:rPr/>
        <w:t>Amount</w:t>
      </w:r>
      <w:r>
        <w:rPr>
          <w:spacing w:val="-12"/>
        </w:rPr>
        <w:t> </w:t>
      </w:r>
      <w:r>
        <w:rPr/>
        <w:t>A,</w:t>
      </w:r>
      <w:r>
        <w:rPr>
          <w:spacing w:val="-11"/>
        </w:rPr>
        <w:t> </w:t>
      </w:r>
      <w:r>
        <w:rPr/>
        <w:t>given</w:t>
      </w:r>
      <w:r>
        <w:rPr>
          <w:spacing w:val="-12"/>
        </w:rPr>
        <w:t> </w:t>
      </w:r>
      <w:r>
        <w:rPr/>
        <w:t>the</w:t>
      </w:r>
      <w:r>
        <w:rPr>
          <w:spacing w:val="-13"/>
        </w:rPr>
        <w:t> </w:t>
      </w:r>
      <w:r>
        <w:rPr/>
        <w:t>possible</w:t>
      </w:r>
      <w:r>
        <w:rPr>
          <w:spacing w:val="-12"/>
        </w:rPr>
        <w:t> </w:t>
      </w:r>
      <w:r>
        <w:rPr/>
        <w:t>interactions</w:t>
      </w:r>
      <w:r>
        <w:rPr>
          <w:spacing w:val="-10"/>
        </w:rPr>
        <w:t> </w:t>
      </w:r>
      <w:r>
        <w:rPr/>
        <w:t>between</w:t>
      </w:r>
      <w:r>
        <w:rPr>
          <w:spacing w:val="-9"/>
        </w:rPr>
        <w:t> </w:t>
      </w:r>
      <w:r>
        <w:rPr/>
        <w:t>an</w:t>
      </w:r>
      <w:r>
        <w:rPr>
          <w:spacing w:val="-10"/>
        </w:rPr>
        <w:t> </w:t>
      </w:r>
      <w:r>
        <w:rPr/>
        <w:t>MNE</w:t>
      </w:r>
      <w:r>
        <w:rPr>
          <w:spacing w:val="-12"/>
        </w:rPr>
        <w:t> </w:t>
      </w:r>
      <w:r>
        <w:rPr/>
        <w:t>group’s transfer</w:t>
      </w:r>
      <w:r>
        <w:rPr>
          <w:spacing w:val="-12"/>
        </w:rPr>
        <w:t> </w:t>
      </w:r>
      <w:r>
        <w:rPr/>
        <w:t>pricing</w:t>
      </w:r>
      <w:r>
        <w:rPr>
          <w:spacing w:val="-13"/>
        </w:rPr>
        <w:t> </w:t>
      </w:r>
      <w:r>
        <w:rPr/>
        <w:t>and</w:t>
      </w:r>
      <w:r>
        <w:rPr>
          <w:spacing w:val="-10"/>
        </w:rPr>
        <w:t> </w:t>
      </w:r>
      <w:r>
        <w:rPr/>
        <w:t>permanent</w:t>
      </w:r>
      <w:r>
        <w:rPr>
          <w:spacing w:val="-10"/>
        </w:rPr>
        <w:t> </w:t>
      </w:r>
      <w:r>
        <w:rPr/>
        <w:t>establishment</w:t>
      </w:r>
      <w:r>
        <w:rPr>
          <w:spacing w:val="-10"/>
        </w:rPr>
        <w:t> </w:t>
      </w:r>
      <w:r>
        <w:rPr/>
        <w:t>issues</w:t>
      </w:r>
      <w:r>
        <w:rPr>
          <w:spacing w:val="-11"/>
        </w:rPr>
        <w:t> </w:t>
      </w:r>
      <w:r>
        <w:rPr/>
        <w:t>and</w:t>
      </w:r>
      <w:r>
        <w:rPr>
          <w:spacing w:val="-12"/>
        </w:rPr>
        <w:t> </w:t>
      </w:r>
      <w:r>
        <w:rPr/>
        <w:t>Amount</w:t>
      </w:r>
      <w:r>
        <w:rPr>
          <w:spacing w:val="-10"/>
        </w:rPr>
        <w:t> </w:t>
      </w:r>
      <w:r>
        <w:rPr/>
        <w:t>A</w:t>
      </w:r>
      <w:r>
        <w:rPr>
          <w:spacing w:val="-11"/>
        </w:rPr>
        <w:t> </w:t>
      </w:r>
      <w:r>
        <w:rPr/>
        <w:t>(see</w:t>
      </w:r>
      <w:r>
        <w:rPr>
          <w:spacing w:val="-10"/>
        </w:rPr>
        <w:t> </w:t>
      </w:r>
      <w:r>
        <w:rPr/>
        <w:t>below).</w:t>
      </w:r>
      <w:r>
        <w:rPr>
          <w:spacing w:val="-9"/>
        </w:rPr>
        <w:t> </w:t>
      </w:r>
      <w:r>
        <w:rPr/>
        <w:t>A</w:t>
      </w:r>
      <w:r>
        <w:rPr>
          <w:spacing w:val="-10"/>
        </w:rPr>
        <w:t> </w:t>
      </w:r>
      <w:r>
        <w:rPr/>
        <w:t>multilateral ICAP-like mechanism could also be used to facilitate greater certainty and a more consistent outcome as to whether an MNE group’s activities in a number of jurisdictions represent baseline marketing and distribution functions (and so are within the scope of Amount B) or go beyond this.</w:t>
      </w:r>
    </w:p>
    <w:p>
      <w:pPr>
        <w:pStyle w:val="ListParagraph"/>
        <w:numPr>
          <w:ilvl w:val="1"/>
          <w:numId w:val="13"/>
        </w:numPr>
        <w:tabs>
          <w:tab w:pos="1785" w:val="left" w:leader="none"/>
        </w:tabs>
        <w:spacing w:line="271" w:lineRule="auto" w:before="47" w:after="0"/>
        <w:ind w:left="1784" w:right="485" w:hanging="360"/>
        <w:jc w:val="both"/>
        <w:rPr>
          <w:sz w:val="20"/>
        </w:rPr>
      </w:pPr>
      <w:r>
        <w:rPr>
          <w:b/>
          <w:i/>
          <w:sz w:val="20"/>
        </w:rPr>
        <w:t>Joint</w:t>
      </w:r>
      <w:r>
        <w:rPr>
          <w:b/>
          <w:i/>
          <w:spacing w:val="-6"/>
          <w:sz w:val="20"/>
        </w:rPr>
        <w:t> </w:t>
      </w:r>
      <w:r>
        <w:rPr>
          <w:b/>
          <w:i/>
          <w:sz w:val="20"/>
        </w:rPr>
        <w:t>audits.</w:t>
      </w:r>
      <w:r>
        <w:rPr>
          <w:b/>
          <w:i/>
          <w:spacing w:val="-3"/>
          <w:sz w:val="20"/>
        </w:rPr>
        <w:t> </w:t>
      </w:r>
      <w:r>
        <w:rPr>
          <w:sz w:val="20"/>
        </w:rPr>
        <w:t>Early</w:t>
      </w:r>
      <w:r>
        <w:rPr>
          <w:spacing w:val="-9"/>
          <w:sz w:val="20"/>
        </w:rPr>
        <w:t> </w:t>
      </w:r>
      <w:r>
        <w:rPr>
          <w:sz w:val="20"/>
        </w:rPr>
        <w:t>co-ordinated</w:t>
      </w:r>
      <w:r>
        <w:rPr>
          <w:spacing w:val="-7"/>
          <w:sz w:val="20"/>
        </w:rPr>
        <w:t> </w:t>
      </w:r>
      <w:r>
        <w:rPr>
          <w:sz w:val="20"/>
        </w:rPr>
        <w:t>intervention</w:t>
      </w:r>
      <w:r>
        <w:rPr>
          <w:spacing w:val="-7"/>
          <w:sz w:val="20"/>
        </w:rPr>
        <w:t> </w:t>
      </w:r>
      <w:r>
        <w:rPr>
          <w:sz w:val="20"/>
        </w:rPr>
        <w:t>in</w:t>
      </w:r>
      <w:r>
        <w:rPr>
          <w:spacing w:val="-6"/>
          <w:sz w:val="20"/>
        </w:rPr>
        <w:t> </w:t>
      </w:r>
      <w:r>
        <w:rPr>
          <w:sz w:val="20"/>
        </w:rPr>
        <w:t>the</w:t>
      </w:r>
      <w:r>
        <w:rPr>
          <w:spacing w:val="-7"/>
          <w:sz w:val="20"/>
        </w:rPr>
        <w:t> </w:t>
      </w:r>
      <w:r>
        <w:rPr>
          <w:sz w:val="20"/>
        </w:rPr>
        <w:t>form</w:t>
      </w:r>
      <w:r>
        <w:rPr>
          <w:spacing w:val="-2"/>
          <w:sz w:val="20"/>
        </w:rPr>
        <w:t> </w:t>
      </w:r>
      <w:r>
        <w:rPr>
          <w:sz w:val="20"/>
        </w:rPr>
        <w:t>of</w:t>
      </w:r>
      <w:r>
        <w:rPr>
          <w:spacing w:val="-3"/>
          <w:sz w:val="20"/>
        </w:rPr>
        <w:t> </w:t>
      </w:r>
      <w:r>
        <w:rPr>
          <w:sz w:val="20"/>
        </w:rPr>
        <w:t>a</w:t>
      </w:r>
      <w:r>
        <w:rPr>
          <w:spacing w:val="-7"/>
          <w:sz w:val="20"/>
        </w:rPr>
        <w:t> </w:t>
      </w:r>
      <w:r>
        <w:rPr>
          <w:sz w:val="20"/>
        </w:rPr>
        <w:t>joint</w:t>
      </w:r>
      <w:r>
        <w:rPr>
          <w:spacing w:val="-5"/>
          <w:sz w:val="20"/>
        </w:rPr>
        <w:t> </w:t>
      </w:r>
      <w:r>
        <w:rPr>
          <w:sz w:val="20"/>
        </w:rPr>
        <w:t>audit</w:t>
      </w:r>
      <w:r>
        <w:rPr>
          <w:spacing w:val="-5"/>
          <w:sz w:val="20"/>
        </w:rPr>
        <w:t> </w:t>
      </w:r>
      <w:r>
        <w:rPr>
          <w:sz w:val="20"/>
        </w:rPr>
        <w:t>may</w:t>
      </w:r>
      <w:r>
        <w:rPr>
          <w:spacing w:val="-10"/>
          <w:sz w:val="20"/>
        </w:rPr>
        <w:t> </w:t>
      </w:r>
      <w:r>
        <w:rPr>
          <w:sz w:val="20"/>
        </w:rPr>
        <w:t>be</w:t>
      </w:r>
      <w:r>
        <w:rPr>
          <w:spacing w:val="-6"/>
          <w:sz w:val="20"/>
        </w:rPr>
        <w:t> </w:t>
      </w:r>
      <w:r>
        <w:rPr>
          <w:sz w:val="20"/>
        </w:rPr>
        <w:t>more</w:t>
      </w:r>
      <w:r>
        <w:rPr>
          <w:spacing w:val="-6"/>
          <w:sz w:val="20"/>
        </w:rPr>
        <w:t> </w:t>
      </w:r>
      <w:r>
        <w:rPr>
          <w:sz w:val="20"/>
        </w:rPr>
        <w:t>effective than having several tax administrations each perform their own transfer pricing audits of an MNE</w:t>
      </w:r>
      <w:r>
        <w:rPr>
          <w:spacing w:val="-6"/>
          <w:sz w:val="20"/>
        </w:rPr>
        <w:t> </w:t>
      </w:r>
      <w:r>
        <w:rPr>
          <w:sz w:val="20"/>
        </w:rPr>
        <w:t>group,</w:t>
      </w:r>
      <w:r>
        <w:rPr>
          <w:spacing w:val="-3"/>
          <w:sz w:val="20"/>
        </w:rPr>
        <w:t> </w:t>
      </w:r>
      <w:r>
        <w:rPr>
          <w:sz w:val="20"/>
        </w:rPr>
        <w:t>with</w:t>
      </w:r>
      <w:r>
        <w:rPr>
          <w:spacing w:val="-5"/>
          <w:sz w:val="20"/>
        </w:rPr>
        <w:t> </w:t>
      </w:r>
      <w:r>
        <w:rPr>
          <w:sz w:val="20"/>
        </w:rPr>
        <w:t>the</w:t>
      </w:r>
      <w:r>
        <w:rPr>
          <w:spacing w:val="-5"/>
          <w:sz w:val="20"/>
        </w:rPr>
        <w:t> </w:t>
      </w:r>
      <w:r>
        <w:rPr>
          <w:sz w:val="20"/>
        </w:rPr>
        <w:t>resulting</w:t>
      </w:r>
      <w:r>
        <w:rPr>
          <w:spacing w:val="-6"/>
          <w:sz w:val="20"/>
        </w:rPr>
        <w:t> </w:t>
      </w:r>
      <w:r>
        <w:rPr>
          <w:sz w:val="20"/>
        </w:rPr>
        <w:t>potential</w:t>
      </w:r>
      <w:r>
        <w:rPr>
          <w:spacing w:val="-6"/>
          <w:sz w:val="20"/>
        </w:rPr>
        <w:t> </w:t>
      </w:r>
      <w:r>
        <w:rPr>
          <w:sz w:val="20"/>
        </w:rPr>
        <w:t>for</w:t>
      </w:r>
      <w:r>
        <w:rPr>
          <w:spacing w:val="-5"/>
          <w:sz w:val="20"/>
        </w:rPr>
        <w:t> </w:t>
      </w:r>
      <w:r>
        <w:rPr>
          <w:sz w:val="20"/>
        </w:rPr>
        <w:t>inconsistent</w:t>
      </w:r>
      <w:r>
        <w:rPr>
          <w:spacing w:val="-3"/>
          <w:sz w:val="20"/>
        </w:rPr>
        <w:t> </w:t>
      </w:r>
      <w:r>
        <w:rPr>
          <w:sz w:val="20"/>
        </w:rPr>
        <w:t>positions</w:t>
      </w:r>
      <w:r>
        <w:rPr>
          <w:spacing w:val="-4"/>
          <w:sz w:val="20"/>
        </w:rPr>
        <w:t> </w:t>
      </w:r>
      <w:r>
        <w:rPr>
          <w:sz w:val="20"/>
        </w:rPr>
        <w:t>and</w:t>
      </w:r>
      <w:r>
        <w:rPr>
          <w:spacing w:val="-3"/>
          <w:sz w:val="20"/>
        </w:rPr>
        <w:t> </w:t>
      </w:r>
      <w:r>
        <w:rPr>
          <w:sz w:val="20"/>
        </w:rPr>
        <w:t>disagreements</w:t>
      </w:r>
      <w:r>
        <w:rPr>
          <w:spacing w:val="-4"/>
          <w:sz w:val="20"/>
        </w:rPr>
        <w:t> </w:t>
      </w:r>
      <w:r>
        <w:rPr>
          <w:sz w:val="20"/>
        </w:rPr>
        <w:t>between tax</w:t>
      </w:r>
      <w:r>
        <w:rPr>
          <w:spacing w:val="-8"/>
          <w:sz w:val="20"/>
        </w:rPr>
        <w:t> </w:t>
      </w:r>
      <w:r>
        <w:rPr>
          <w:sz w:val="20"/>
        </w:rPr>
        <w:t>administrations.</w:t>
      </w:r>
      <w:r>
        <w:rPr>
          <w:spacing w:val="-11"/>
          <w:sz w:val="20"/>
        </w:rPr>
        <w:t> </w:t>
      </w:r>
      <w:r>
        <w:rPr>
          <w:sz w:val="20"/>
        </w:rPr>
        <w:t>Work</w:t>
      </w:r>
      <w:r>
        <w:rPr>
          <w:spacing w:val="-5"/>
          <w:sz w:val="20"/>
        </w:rPr>
        <w:t> </w:t>
      </w:r>
      <w:r>
        <w:rPr>
          <w:sz w:val="20"/>
        </w:rPr>
        <w:t>is</w:t>
      </w:r>
      <w:r>
        <w:rPr>
          <w:spacing w:val="-10"/>
          <w:sz w:val="20"/>
        </w:rPr>
        <w:t> </w:t>
      </w:r>
      <w:r>
        <w:rPr>
          <w:sz w:val="20"/>
        </w:rPr>
        <w:t>currently</w:t>
      </w:r>
      <w:r>
        <w:rPr>
          <w:spacing w:val="-9"/>
          <w:sz w:val="20"/>
        </w:rPr>
        <w:t> </w:t>
      </w:r>
      <w:r>
        <w:rPr>
          <w:sz w:val="20"/>
        </w:rPr>
        <w:t>being</w:t>
      </w:r>
      <w:r>
        <w:rPr>
          <w:spacing w:val="-7"/>
          <w:sz w:val="20"/>
        </w:rPr>
        <w:t> </w:t>
      </w:r>
      <w:r>
        <w:rPr>
          <w:sz w:val="20"/>
        </w:rPr>
        <w:t>done</w:t>
      </w:r>
      <w:r>
        <w:rPr>
          <w:spacing w:val="-7"/>
          <w:sz w:val="20"/>
        </w:rPr>
        <w:t> </w:t>
      </w:r>
      <w:r>
        <w:rPr>
          <w:sz w:val="20"/>
        </w:rPr>
        <w:t>within</w:t>
      </w:r>
      <w:r>
        <w:rPr>
          <w:spacing w:val="-7"/>
          <w:sz w:val="20"/>
        </w:rPr>
        <w:t> </w:t>
      </w:r>
      <w:r>
        <w:rPr>
          <w:sz w:val="20"/>
        </w:rPr>
        <w:t>the</w:t>
      </w:r>
      <w:r>
        <w:rPr>
          <w:spacing w:val="-7"/>
          <w:sz w:val="20"/>
        </w:rPr>
        <w:t> </w:t>
      </w:r>
      <w:r>
        <w:rPr>
          <w:sz w:val="20"/>
        </w:rPr>
        <w:t>FTA</w:t>
      </w:r>
      <w:r>
        <w:rPr>
          <w:spacing w:val="-8"/>
          <w:sz w:val="20"/>
        </w:rPr>
        <w:t> </w:t>
      </w:r>
      <w:r>
        <w:rPr>
          <w:sz w:val="20"/>
        </w:rPr>
        <w:t>to</w:t>
      </w:r>
      <w:r>
        <w:rPr>
          <w:spacing w:val="-9"/>
          <w:sz w:val="20"/>
        </w:rPr>
        <w:t> </w:t>
      </w:r>
      <w:r>
        <w:rPr>
          <w:sz w:val="20"/>
        </w:rPr>
        <w:t>support</w:t>
      </w:r>
      <w:r>
        <w:rPr>
          <w:spacing w:val="-6"/>
          <w:sz w:val="20"/>
        </w:rPr>
        <w:t> </w:t>
      </w:r>
      <w:r>
        <w:rPr>
          <w:sz w:val="20"/>
        </w:rPr>
        <w:t>greater</w:t>
      </w:r>
      <w:r>
        <w:rPr>
          <w:spacing w:val="-6"/>
          <w:sz w:val="20"/>
        </w:rPr>
        <w:t> </w:t>
      </w:r>
      <w:r>
        <w:rPr>
          <w:sz w:val="20"/>
        </w:rPr>
        <w:t>use</w:t>
      </w:r>
      <w:r>
        <w:rPr>
          <w:spacing w:val="-9"/>
          <w:sz w:val="20"/>
        </w:rPr>
        <w:t> </w:t>
      </w:r>
      <w:r>
        <w:rPr>
          <w:sz w:val="20"/>
        </w:rPr>
        <w:t>of</w:t>
      </w:r>
      <w:r>
        <w:rPr>
          <w:spacing w:val="-6"/>
          <w:sz w:val="20"/>
        </w:rPr>
        <w:t> </w:t>
      </w:r>
      <w:r>
        <w:rPr>
          <w:sz w:val="20"/>
        </w:rPr>
        <w:t>joint audits and this could be a useful addition to support tax certainty for MNE groups within the scope of Amount A, again given the possible interactions between transfer pricing disputes and Amount</w:t>
      </w:r>
      <w:r>
        <w:rPr>
          <w:spacing w:val="-2"/>
          <w:sz w:val="20"/>
        </w:rPr>
        <w:t> </w:t>
      </w:r>
      <w:r>
        <w:rPr>
          <w:sz w:val="20"/>
        </w:rPr>
        <w:t>A.</w:t>
      </w:r>
    </w:p>
    <w:p>
      <w:pPr>
        <w:pStyle w:val="ListParagraph"/>
        <w:numPr>
          <w:ilvl w:val="1"/>
          <w:numId w:val="13"/>
        </w:numPr>
        <w:tabs>
          <w:tab w:pos="1785" w:val="left" w:leader="none"/>
        </w:tabs>
        <w:spacing w:line="271" w:lineRule="auto" w:before="46" w:after="0"/>
        <w:ind w:left="1784" w:right="481" w:hanging="360"/>
        <w:jc w:val="both"/>
        <w:rPr>
          <w:sz w:val="20"/>
        </w:rPr>
      </w:pPr>
      <w:r>
        <w:rPr>
          <w:b/>
          <w:i/>
          <w:sz w:val="20"/>
        </w:rPr>
        <w:t>Improved processes for bilateral and multilateral APAs. </w:t>
      </w:r>
      <w:r>
        <w:rPr>
          <w:sz w:val="20"/>
        </w:rPr>
        <w:t>Multilaterally co-ordinated risk assessment and assurance (through ICAP) could be coupled with enhanced bilateral and multilateral APAs to provide advance certainty and avoid potential transfer pricing disputes. Work</w:t>
      </w:r>
      <w:r>
        <w:rPr>
          <w:spacing w:val="-10"/>
          <w:sz w:val="20"/>
        </w:rPr>
        <w:t> </w:t>
      </w:r>
      <w:r>
        <w:rPr>
          <w:sz w:val="20"/>
        </w:rPr>
        <w:t>on</w:t>
      </w:r>
      <w:r>
        <w:rPr>
          <w:spacing w:val="-13"/>
          <w:sz w:val="20"/>
        </w:rPr>
        <w:t> </w:t>
      </w:r>
      <w:r>
        <w:rPr>
          <w:sz w:val="20"/>
        </w:rPr>
        <w:t>bilateral</w:t>
      </w:r>
      <w:r>
        <w:rPr>
          <w:spacing w:val="-13"/>
          <w:sz w:val="20"/>
        </w:rPr>
        <w:t> </w:t>
      </w:r>
      <w:r>
        <w:rPr>
          <w:sz w:val="20"/>
        </w:rPr>
        <w:t>and</w:t>
      </w:r>
      <w:r>
        <w:rPr>
          <w:spacing w:val="-13"/>
          <w:sz w:val="20"/>
        </w:rPr>
        <w:t> </w:t>
      </w:r>
      <w:r>
        <w:rPr>
          <w:sz w:val="20"/>
        </w:rPr>
        <w:t>multilateral</w:t>
      </w:r>
      <w:r>
        <w:rPr>
          <w:spacing w:val="-10"/>
          <w:sz w:val="20"/>
        </w:rPr>
        <w:t> </w:t>
      </w:r>
      <w:r>
        <w:rPr>
          <w:sz w:val="20"/>
        </w:rPr>
        <w:t>APA</w:t>
      </w:r>
      <w:r>
        <w:rPr>
          <w:spacing w:val="-11"/>
          <w:sz w:val="20"/>
        </w:rPr>
        <w:t> </w:t>
      </w:r>
      <w:r>
        <w:rPr>
          <w:sz w:val="20"/>
        </w:rPr>
        <w:t>processes</w:t>
      </w:r>
      <w:r>
        <w:rPr>
          <w:spacing w:val="-12"/>
          <w:sz w:val="20"/>
        </w:rPr>
        <w:t> </w:t>
      </w:r>
      <w:r>
        <w:rPr>
          <w:sz w:val="20"/>
        </w:rPr>
        <w:t>is</w:t>
      </w:r>
      <w:r>
        <w:rPr>
          <w:spacing w:val="-12"/>
          <w:sz w:val="20"/>
        </w:rPr>
        <w:t> </w:t>
      </w:r>
      <w:r>
        <w:rPr>
          <w:sz w:val="20"/>
        </w:rPr>
        <w:t>currently</w:t>
      </w:r>
      <w:r>
        <w:rPr>
          <w:spacing w:val="-14"/>
          <w:sz w:val="20"/>
        </w:rPr>
        <w:t> </w:t>
      </w:r>
      <w:r>
        <w:rPr>
          <w:sz w:val="20"/>
        </w:rPr>
        <w:t>being</w:t>
      </w:r>
      <w:r>
        <w:rPr>
          <w:spacing w:val="-11"/>
          <w:sz w:val="20"/>
        </w:rPr>
        <w:t> </w:t>
      </w:r>
      <w:r>
        <w:rPr>
          <w:sz w:val="20"/>
        </w:rPr>
        <w:t>undertaken</w:t>
      </w:r>
      <w:r>
        <w:rPr>
          <w:spacing w:val="-12"/>
          <w:sz w:val="20"/>
        </w:rPr>
        <w:t> </w:t>
      </w:r>
      <w:r>
        <w:rPr>
          <w:sz w:val="20"/>
        </w:rPr>
        <w:t>by</w:t>
      </w:r>
      <w:r>
        <w:rPr>
          <w:spacing w:val="-14"/>
          <w:sz w:val="20"/>
        </w:rPr>
        <w:t> </w:t>
      </w:r>
      <w:r>
        <w:rPr>
          <w:sz w:val="20"/>
        </w:rPr>
        <w:t>the</w:t>
      </w:r>
      <w:r>
        <w:rPr>
          <w:spacing w:val="-13"/>
          <w:sz w:val="20"/>
        </w:rPr>
        <w:t> </w:t>
      </w:r>
      <w:r>
        <w:rPr>
          <w:sz w:val="20"/>
        </w:rPr>
        <w:t>two</w:t>
      </w:r>
      <w:r>
        <w:rPr>
          <w:spacing w:val="-14"/>
          <w:sz w:val="20"/>
        </w:rPr>
        <w:t> </w:t>
      </w:r>
      <w:r>
        <w:rPr>
          <w:sz w:val="20"/>
        </w:rPr>
        <w:t>FTA Focus Groups (on Improving the APA Process and on Multilateral MAP and</w:t>
      </w:r>
      <w:r>
        <w:rPr>
          <w:spacing w:val="-9"/>
          <w:sz w:val="20"/>
        </w:rPr>
        <w:t> </w:t>
      </w:r>
      <w:r>
        <w:rPr>
          <w:sz w:val="20"/>
        </w:rPr>
        <w:t>APAs).</w:t>
      </w:r>
      <w:r>
        <w:rPr>
          <w:sz w:val="20"/>
          <w:vertAlign w:val="superscript"/>
        </w:rPr>
        <w:t>159</w:t>
      </w:r>
    </w:p>
    <w:p>
      <w:pPr>
        <w:pStyle w:val="ListParagraph"/>
        <w:numPr>
          <w:ilvl w:val="1"/>
          <w:numId w:val="13"/>
        </w:numPr>
        <w:tabs>
          <w:tab w:pos="1785" w:val="left" w:leader="none"/>
        </w:tabs>
        <w:spacing w:line="271" w:lineRule="auto" w:before="42" w:after="0"/>
        <w:ind w:left="1784" w:right="481" w:hanging="360"/>
        <w:jc w:val="both"/>
        <w:rPr>
          <w:sz w:val="20"/>
        </w:rPr>
      </w:pPr>
      <w:r>
        <w:rPr>
          <w:b/>
          <w:i/>
          <w:sz w:val="20"/>
        </w:rPr>
        <w:t>Use of standardised benchmarks in common transfer pricing situations. </w:t>
      </w:r>
      <w:r>
        <w:rPr>
          <w:sz w:val="20"/>
        </w:rPr>
        <w:t>The use of standardised benchmarks in common transfer pricing situations between jurisdictions has the potential to improve tax certainty for MNE groups in a number of ways, either for dispute prevention</w:t>
      </w:r>
      <w:r>
        <w:rPr>
          <w:spacing w:val="-11"/>
          <w:sz w:val="20"/>
        </w:rPr>
        <w:t> </w:t>
      </w:r>
      <w:r>
        <w:rPr>
          <w:sz w:val="20"/>
        </w:rPr>
        <w:t>(where</w:t>
      </w:r>
      <w:r>
        <w:rPr>
          <w:spacing w:val="-10"/>
          <w:sz w:val="20"/>
        </w:rPr>
        <w:t> </w:t>
      </w:r>
      <w:r>
        <w:rPr>
          <w:sz w:val="20"/>
        </w:rPr>
        <w:t>benchmarks</w:t>
      </w:r>
      <w:r>
        <w:rPr>
          <w:spacing w:val="-11"/>
          <w:sz w:val="20"/>
        </w:rPr>
        <w:t> </w:t>
      </w:r>
      <w:r>
        <w:rPr>
          <w:sz w:val="20"/>
        </w:rPr>
        <w:t>used</w:t>
      </w:r>
      <w:r>
        <w:rPr>
          <w:spacing w:val="-13"/>
          <w:sz w:val="20"/>
        </w:rPr>
        <w:t> </w:t>
      </w:r>
      <w:r>
        <w:rPr>
          <w:sz w:val="20"/>
        </w:rPr>
        <w:t>at</w:t>
      </w:r>
      <w:r>
        <w:rPr>
          <w:spacing w:val="-9"/>
          <w:sz w:val="20"/>
        </w:rPr>
        <w:t> </w:t>
      </w:r>
      <w:r>
        <w:rPr>
          <w:sz w:val="20"/>
        </w:rPr>
        <w:t>the</w:t>
      </w:r>
      <w:r>
        <w:rPr>
          <w:spacing w:val="-13"/>
          <w:sz w:val="20"/>
        </w:rPr>
        <w:t> </w:t>
      </w:r>
      <w:r>
        <w:rPr>
          <w:sz w:val="20"/>
        </w:rPr>
        <w:t>risk</w:t>
      </w:r>
      <w:r>
        <w:rPr>
          <w:spacing w:val="-9"/>
          <w:sz w:val="20"/>
        </w:rPr>
        <w:t> </w:t>
      </w:r>
      <w:r>
        <w:rPr>
          <w:sz w:val="20"/>
        </w:rPr>
        <w:t>assessment</w:t>
      </w:r>
      <w:r>
        <w:rPr>
          <w:spacing w:val="-12"/>
          <w:sz w:val="20"/>
        </w:rPr>
        <w:t> </w:t>
      </w:r>
      <w:r>
        <w:rPr>
          <w:sz w:val="20"/>
        </w:rPr>
        <w:t>or</w:t>
      </w:r>
      <w:r>
        <w:rPr>
          <w:spacing w:val="-12"/>
          <w:sz w:val="20"/>
        </w:rPr>
        <w:t> </w:t>
      </w:r>
      <w:r>
        <w:rPr>
          <w:sz w:val="20"/>
        </w:rPr>
        <w:t>audit</w:t>
      </w:r>
      <w:r>
        <w:rPr>
          <w:spacing w:val="-11"/>
          <w:sz w:val="20"/>
        </w:rPr>
        <w:t> </w:t>
      </w:r>
      <w:r>
        <w:rPr>
          <w:sz w:val="20"/>
        </w:rPr>
        <w:t>stages</w:t>
      </w:r>
      <w:r>
        <w:rPr>
          <w:spacing w:val="-11"/>
          <w:sz w:val="20"/>
        </w:rPr>
        <w:t> </w:t>
      </w:r>
      <w:r>
        <w:rPr>
          <w:sz w:val="20"/>
        </w:rPr>
        <w:t>allow</w:t>
      </w:r>
      <w:r>
        <w:rPr>
          <w:spacing w:val="-12"/>
          <w:sz w:val="20"/>
        </w:rPr>
        <w:t> </w:t>
      </w:r>
      <w:r>
        <w:rPr>
          <w:sz w:val="20"/>
        </w:rPr>
        <w:t>MNE</w:t>
      </w:r>
      <w:r>
        <w:rPr>
          <w:spacing w:val="-11"/>
          <w:sz w:val="20"/>
        </w:rPr>
        <w:t> </w:t>
      </w:r>
      <w:r>
        <w:rPr>
          <w:sz w:val="20"/>
        </w:rPr>
        <w:t>groups to</w:t>
      </w:r>
      <w:r>
        <w:rPr>
          <w:spacing w:val="-8"/>
          <w:sz w:val="20"/>
        </w:rPr>
        <w:t> </w:t>
      </w:r>
      <w:r>
        <w:rPr>
          <w:sz w:val="20"/>
        </w:rPr>
        <w:t>be</w:t>
      </w:r>
      <w:r>
        <w:rPr>
          <w:spacing w:val="-5"/>
          <w:sz w:val="20"/>
        </w:rPr>
        <w:t> </w:t>
      </w:r>
      <w:r>
        <w:rPr>
          <w:sz w:val="20"/>
        </w:rPr>
        <w:t>de-selected</w:t>
      </w:r>
      <w:r>
        <w:rPr>
          <w:spacing w:val="-5"/>
          <w:sz w:val="20"/>
        </w:rPr>
        <w:t> </w:t>
      </w:r>
      <w:r>
        <w:rPr>
          <w:sz w:val="20"/>
        </w:rPr>
        <w:t>from</w:t>
      </w:r>
      <w:r>
        <w:rPr>
          <w:spacing w:val="-2"/>
          <w:sz w:val="20"/>
        </w:rPr>
        <w:t> </w:t>
      </w:r>
      <w:r>
        <w:rPr>
          <w:sz w:val="20"/>
        </w:rPr>
        <w:t>further</w:t>
      </w:r>
      <w:r>
        <w:rPr>
          <w:spacing w:val="-7"/>
          <w:sz w:val="20"/>
        </w:rPr>
        <w:t> </w:t>
      </w:r>
      <w:r>
        <w:rPr>
          <w:sz w:val="20"/>
        </w:rPr>
        <w:t>enquiries)</w:t>
      </w:r>
      <w:r>
        <w:rPr>
          <w:spacing w:val="-6"/>
          <w:sz w:val="20"/>
        </w:rPr>
        <w:t> </w:t>
      </w:r>
      <w:r>
        <w:rPr>
          <w:sz w:val="20"/>
        </w:rPr>
        <w:t>or</w:t>
      </w:r>
      <w:r>
        <w:rPr>
          <w:spacing w:val="-6"/>
          <w:sz w:val="20"/>
        </w:rPr>
        <w:t> </w:t>
      </w:r>
      <w:r>
        <w:rPr>
          <w:sz w:val="20"/>
        </w:rPr>
        <w:t>for</w:t>
      </w:r>
      <w:r>
        <w:rPr>
          <w:spacing w:val="-6"/>
          <w:sz w:val="20"/>
        </w:rPr>
        <w:t> </w:t>
      </w:r>
      <w:r>
        <w:rPr>
          <w:sz w:val="20"/>
        </w:rPr>
        <w:t>dispute</w:t>
      </w:r>
      <w:r>
        <w:rPr>
          <w:spacing w:val="-7"/>
          <w:sz w:val="20"/>
        </w:rPr>
        <w:t> </w:t>
      </w:r>
      <w:r>
        <w:rPr>
          <w:sz w:val="20"/>
        </w:rPr>
        <w:t>resolution</w:t>
      </w:r>
      <w:r>
        <w:rPr>
          <w:spacing w:val="-7"/>
          <w:sz w:val="20"/>
        </w:rPr>
        <w:t> </w:t>
      </w:r>
      <w:r>
        <w:rPr>
          <w:sz w:val="20"/>
        </w:rPr>
        <w:t>(to</w:t>
      </w:r>
      <w:r>
        <w:rPr>
          <w:spacing w:val="-7"/>
          <w:sz w:val="20"/>
        </w:rPr>
        <w:t> </w:t>
      </w:r>
      <w:r>
        <w:rPr>
          <w:sz w:val="20"/>
        </w:rPr>
        <w:t>resolve</w:t>
      </w:r>
      <w:r>
        <w:rPr>
          <w:spacing w:val="-5"/>
          <w:sz w:val="20"/>
        </w:rPr>
        <w:t> </w:t>
      </w:r>
      <w:r>
        <w:rPr>
          <w:sz w:val="20"/>
        </w:rPr>
        <w:t>MAP</w:t>
      </w:r>
      <w:r>
        <w:rPr>
          <w:spacing w:val="-7"/>
          <w:sz w:val="20"/>
        </w:rPr>
        <w:t> </w:t>
      </w:r>
      <w:r>
        <w:rPr>
          <w:sz w:val="20"/>
        </w:rPr>
        <w:t>cases</w:t>
      </w:r>
      <w:r>
        <w:rPr>
          <w:spacing w:val="-6"/>
          <w:sz w:val="20"/>
        </w:rPr>
        <w:t> </w:t>
      </w:r>
      <w:r>
        <w:rPr>
          <w:sz w:val="20"/>
        </w:rPr>
        <w:t>more quickly). The FTA is currently undertaking work to explore how this work can be supported in key areas that give rise to the greatest tax uncertainty and</w:t>
      </w:r>
      <w:r>
        <w:rPr>
          <w:spacing w:val="-18"/>
          <w:sz w:val="20"/>
        </w:rPr>
        <w:t> </w:t>
      </w:r>
      <w:r>
        <w:rPr>
          <w:sz w:val="20"/>
        </w:rPr>
        <w:t>MAP.</w:t>
      </w:r>
    </w:p>
    <w:p>
      <w:pPr>
        <w:pStyle w:val="ListParagraph"/>
        <w:numPr>
          <w:ilvl w:val="1"/>
          <w:numId w:val="13"/>
        </w:numPr>
        <w:tabs>
          <w:tab w:pos="1785" w:val="left" w:leader="none"/>
        </w:tabs>
        <w:spacing w:line="271" w:lineRule="auto" w:before="46" w:after="0"/>
        <w:ind w:left="1784" w:right="482" w:hanging="360"/>
        <w:jc w:val="both"/>
        <w:rPr>
          <w:sz w:val="20"/>
        </w:rPr>
      </w:pPr>
      <w:r>
        <w:rPr>
          <w:b/>
          <w:i/>
          <w:sz w:val="20"/>
        </w:rPr>
        <w:t>Time limits to make transfer pricing and permanent establishment adjustments. </w:t>
      </w:r>
      <w:r>
        <w:rPr>
          <w:sz w:val="20"/>
        </w:rPr>
        <w:t>The January 2020 </w:t>
      </w:r>
      <w:r>
        <w:rPr>
          <w:i/>
          <w:sz w:val="20"/>
        </w:rPr>
        <w:t>Outline </w:t>
      </w:r>
      <w:r>
        <w:rPr>
          <w:sz w:val="20"/>
        </w:rPr>
        <w:t>provided that Inclusive Framework members could explore limiting the time during which any adjustments with respect to transfer pricing issues could be made. The Inclusive</w:t>
      </w:r>
      <w:r>
        <w:rPr>
          <w:spacing w:val="-17"/>
          <w:sz w:val="20"/>
        </w:rPr>
        <w:t> </w:t>
      </w:r>
      <w:r>
        <w:rPr>
          <w:sz w:val="20"/>
        </w:rPr>
        <w:t>Framework</w:t>
      </w:r>
      <w:r>
        <w:rPr>
          <w:spacing w:val="-11"/>
          <w:sz w:val="20"/>
        </w:rPr>
        <w:t> </w:t>
      </w:r>
      <w:r>
        <w:rPr>
          <w:sz w:val="20"/>
        </w:rPr>
        <w:t>is</w:t>
      </w:r>
      <w:r>
        <w:rPr>
          <w:spacing w:val="-16"/>
          <w:sz w:val="20"/>
        </w:rPr>
        <w:t> </w:t>
      </w:r>
      <w:r>
        <w:rPr>
          <w:sz w:val="20"/>
        </w:rPr>
        <w:t>currently</w:t>
      </w:r>
      <w:r>
        <w:rPr>
          <w:spacing w:val="-20"/>
          <w:sz w:val="20"/>
        </w:rPr>
        <w:t> </w:t>
      </w:r>
      <w:r>
        <w:rPr>
          <w:sz w:val="20"/>
        </w:rPr>
        <w:t>exploring</w:t>
      </w:r>
      <w:r>
        <w:rPr>
          <w:spacing w:val="-17"/>
          <w:sz w:val="20"/>
        </w:rPr>
        <w:t> </w:t>
      </w:r>
      <w:r>
        <w:rPr>
          <w:sz w:val="20"/>
        </w:rPr>
        <w:t>such</w:t>
      </w:r>
      <w:r>
        <w:rPr>
          <w:spacing w:val="-17"/>
          <w:sz w:val="20"/>
        </w:rPr>
        <w:t> </w:t>
      </w:r>
      <w:r>
        <w:rPr>
          <w:sz w:val="20"/>
        </w:rPr>
        <w:t>limits</w:t>
      </w:r>
      <w:r>
        <w:rPr>
          <w:spacing w:val="-16"/>
          <w:sz w:val="20"/>
        </w:rPr>
        <w:t> </w:t>
      </w:r>
      <w:r>
        <w:rPr>
          <w:sz w:val="20"/>
        </w:rPr>
        <w:t>and</w:t>
      </w:r>
      <w:r>
        <w:rPr>
          <w:spacing w:val="-16"/>
          <w:sz w:val="20"/>
        </w:rPr>
        <w:t> </w:t>
      </w:r>
      <w:r>
        <w:rPr>
          <w:sz w:val="20"/>
        </w:rPr>
        <w:t>their</w:t>
      </w:r>
      <w:r>
        <w:rPr>
          <w:spacing w:val="-16"/>
          <w:sz w:val="20"/>
        </w:rPr>
        <w:t> </w:t>
      </w:r>
      <w:r>
        <w:rPr>
          <w:sz w:val="20"/>
        </w:rPr>
        <w:t>scope,</w:t>
      </w:r>
      <w:r>
        <w:rPr>
          <w:spacing w:val="-17"/>
          <w:sz w:val="20"/>
        </w:rPr>
        <w:t> </w:t>
      </w:r>
      <w:r>
        <w:rPr>
          <w:sz w:val="20"/>
        </w:rPr>
        <w:t>as</w:t>
      </w:r>
      <w:r>
        <w:rPr>
          <w:spacing w:val="-14"/>
          <w:sz w:val="20"/>
        </w:rPr>
        <w:t> </w:t>
      </w:r>
      <w:r>
        <w:rPr>
          <w:sz w:val="20"/>
        </w:rPr>
        <w:t>well</w:t>
      </w:r>
      <w:r>
        <w:rPr>
          <w:spacing w:val="-17"/>
          <w:sz w:val="20"/>
        </w:rPr>
        <w:t> </w:t>
      </w:r>
      <w:r>
        <w:rPr>
          <w:sz w:val="20"/>
        </w:rPr>
        <w:t>as</w:t>
      </w:r>
      <w:r>
        <w:rPr>
          <w:spacing w:val="-16"/>
          <w:sz w:val="20"/>
        </w:rPr>
        <w:t> </w:t>
      </w:r>
      <w:r>
        <w:rPr>
          <w:sz w:val="20"/>
        </w:rPr>
        <w:t>the</w:t>
      </w:r>
      <w:r>
        <w:rPr>
          <w:spacing w:val="-17"/>
          <w:sz w:val="20"/>
        </w:rPr>
        <w:t> </w:t>
      </w:r>
      <w:r>
        <w:rPr>
          <w:sz w:val="20"/>
        </w:rPr>
        <w:t>conditions under which they could</w:t>
      </w:r>
      <w:r>
        <w:rPr>
          <w:spacing w:val="-1"/>
          <w:sz w:val="20"/>
        </w:rPr>
        <w:t> </w:t>
      </w:r>
      <w:r>
        <w:rPr>
          <w:sz w:val="20"/>
        </w:rPr>
        <w:t>apply.</w:t>
      </w:r>
    </w:p>
    <w:p>
      <w:pPr>
        <w:pStyle w:val="ListParagraph"/>
        <w:numPr>
          <w:ilvl w:val="1"/>
          <w:numId w:val="13"/>
        </w:numPr>
        <w:tabs>
          <w:tab w:pos="1785" w:val="left" w:leader="none"/>
        </w:tabs>
        <w:spacing w:line="271" w:lineRule="auto" w:before="42" w:after="0"/>
        <w:ind w:left="1784" w:right="481" w:hanging="360"/>
        <w:jc w:val="both"/>
        <w:rPr>
          <w:sz w:val="20"/>
        </w:rPr>
      </w:pPr>
      <w:r>
        <w:rPr>
          <w:b/>
          <w:i/>
          <w:sz w:val="20"/>
        </w:rPr>
        <w:t>Suspension of tax collection. </w:t>
      </w:r>
      <w:r>
        <w:rPr>
          <w:sz w:val="20"/>
        </w:rPr>
        <w:t>The </w:t>
      </w:r>
      <w:r>
        <w:rPr>
          <w:i/>
          <w:sz w:val="20"/>
        </w:rPr>
        <w:t>Outline </w:t>
      </w:r>
      <w:r>
        <w:rPr>
          <w:sz w:val="20"/>
        </w:rPr>
        <w:t>also provided that jurisdictions could explore the limitation or suspension of tax collection for the duration of any disputes. Further work would be required to define and agree the conditions under which such a suspension would be available.</w:t>
      </w:r>
      <w:r>
        <w:rPr>
          <w:spacing w:val="-14"/>
          <w:sz w:val="20"/>
        </w:rPr>
        <w:t> </w:t>
      </w:r>
      <w:r>
        <w:rPr>
          <w:sz w:val="20"/>
        </w:rPr>
        <w:t>As</w:t>
      </w:r>
      <w:r>
        <w:rPr>
          <w:spacing w:val="-14"/>
          <w:sz w:val="20"/>
        </w:rPr>
        <w:t> </w:t>
      </w:r>
      <w:r>
        <w:rPr>
          <w:sz w:val="20"/>
        </w:rPr>
        <w:t>recognised</w:t>
      </w:r>
      <w:r>
        <w:rPr>
          <w:spacing w:val="-16"/>
          <w:sz w:val="20"/>
        </w:rPr>
        <w:t> </w:t>
      </w:r>
      <w:r>
        <w:rPr>
          <w:sz w:val="20"/>
        </w:rPr>
        <w:t>in</w:t>
      </w:r>
      <w:r>
        <w:rPr>
          <w:spacing w:val="-15"/>
          <w:sz w:val="20"/>
        </w:rPr>
        <w:t> </w:t>
      </w:r>
      <w:r>
        <w:rPr>
          <w:sz w:val="20"/>
        </w:rPr>
        <w:t>the</w:t>
      </w:r>
      <w:r>
        <w:rPr>
          <w:spacing w:val="-16"/>
          <w:sz w:val="20"/>
        </w:rPr>
        <w:t> </w:t>
      </w:r>
      <w:r>
        <w:rPr>
          <w:sz w:val="20"/>
        </w:rPr>
        <w:t>Report</w:t>
      </w:r>
      <w:r>
        <w:rPr>
          <w:spacing w:val="-14"/>
          <w:sz w:val="20"/>
        </w:rPr>
        <w:t> </w:t>
      </w:r>
      <w:r>
        <w:rPr>
          <w:sz w:val="20"/>
        </w:rPr>
        <w:t>on</w:t>
      </w:r>
      <w:r>
        <w:rPr>
          <w:spacing w:val="-13"/>
          <w:sz w:val="20"/>
        </w:rPr>
        <w:t> </w:t>
      </w:r>
      <w:r>
        <w:rPr>
          <w:sz w:val="20"/>
        </w:rPr>
        <w:t>Action</w:t>
      </w:r>
      <w:r>
        <w:rPr>
          <w:spacing w:val="-16"/>
          <w:sz w:val="20"/>
        </w:rPr>
        <w:t> </w:t>
      </w:r>
      <w:r>
        <w:rPr>
          <w:sz w:val="20"/>
        </w:rPr>
        <w:t>14,</w:t>
      </w:r>
      <w:r>
        <w:rPr>
          <w:spacing w:val="-16"/>
          <w:sz w:val="20"/>
        </w:rPr>
        <w:t> </w:t>
      </w:r>
      <w:r>
        <w:rPr>
          <w:sz w:val="20"/>
        </w:rPr>
        <w:t>the</w:t>
      </w:r>
      <w:r>
        <w:rPr>
          <w:spacing w:val="-13"/>
          <w:sz w:val="20"/>
        </w:rPr>
        <w:t> </w:t>
      </w:r>
      <w:r>
        <w:rPr>
          <w:sz w:val="20"/>
        </w:rPr>
        <w:t>requirement</w:t>
      </w:r>
      <w:r>
        <w:rPr>
          <w:spacing w:val="-16"/>
          <w:sz w:val="20"/>
        </w:rPr>
        <w:t> </w:t>
      </w:r>
      <w:r>
        <w:rPr>
          <w:sz w:val="20"/>
        </w:rPr>
        <w:t>to</w:t>
      </w:r>
      <w:r>
        <w:rPr>
          <w:spacing w:val="-13"/>
          <w:sz w:val="20"/>
        </w:rPr>
        <w:t> </w:t>
      </w:r>
      <w:r>
        <w:rPr>
          <w:sz w:val="20"/>
        </w:rPr>
        <w:t>pay</w:t>
      </w:r>
      <w:r>
        <w:rPr>
          <w:spacing w:val="-18"/>
          <w:sz w:val="20"/>
        </w:rPr>
        <w:t> </w:t>
      </w:r>
      <w:r>
        <w:rPr>
          <w:sz w:val="20"/>
        </w:rPr>
        <w:t>tax</w:t>
      </w:r>
      <w:r>
        <w:rPr>
          <w:spacing w:val="-15"/>
          <w:sz w:val="20"/>
        </w:rPr>
        <w:t> </w:t>
      </w:r>
      <w:r>
        <w:rPr>
          <w:sz w:val="20"/>
        </w:rPr>
        <w:t>for</w:t>
      </w:r>
      <w:r>
        <w:rPr>
          <w:spacing w:val="-14"/>
          <w:sz w:val="20"/>
        </w:rPr>
        <w:t> </w:t>
      </w:r>
      <w:r>
        <w:rPr>
          <w:sz w:val="20"/>
        </w:rPr>
        <w:t>MAP</w:t>
      </w:r>
      <w:r>
        <w:rPr>
          <w:spacing w:val="-13"/>
          <w:sz w:val="20"/>
        </w:rPr>
        <w:t> </w:t>
      </w:r>
      <w:r>
        <w:rPr>
          <w:sz w:val="20"/>
        </w:rPr>
        <w:t>access may</w:t>
      </w:r>
      <w:r>
        <w:rPr>
          <w:spacing w:val="-13"/>
          <w:sz w:val="20"/>
        </w:rPr>
        <w:t> </w:t>
      </w:r>
      <w:r>
        <w:rPr>
          <w:sz w:val="20"/>
        </w:rPr>
        <w:t>create</w:t>
      </w:r>
      <w:r>
        <w:rPr>
          <w:spacing w:val="-6"/>
          <w:sz w:val="20"/>
        </w:rPr>
        <w:t> </w:t>
      </w:r>
      <w:r>
        <w:rPr>
          <w:sz w:val="20"/>
        </w:rPr>
        <w:t>significant</w:t>
      </w:r>
      <w:r>
        <w:rPr>
          <w:spacing w:val="-6"/>
          <w:sz w:val="20"/>
        </w:rPr>
        <w:t> </w:t>
      </w:r>
      <w:r>
        <w:rPr>
          <w:sz w:val="20"/>
        </w:rPr>
        <w:t>financial</w:t>
      </w:r>
      <w:r>
        <w:rPr>
          <w:spacing w:val="-8"/>
          <w:sz w:val="20"/>
        </w:rPr>
        <w:t> </w:t>
      </w:r>
      <w:r>
        <w:rPr>
          <w:sz w:val="20"/>
        </w:rPr>
        <w:t>difficulties</w:t>
      </w:r>
      <w:r>
        <w:rPr>
          <w:spacing w:val="-6"/>
          <w:sz w:val="20"/>
        </w:rPr>
        <w:t> </w:t>
      </w:r>
      <w:r>
        <w:rPr>
          <w:sz w:val="20"/>
        </w:rPr>
        <w:t>for</w:t>
      </w:r>
      <w:r>
        <w:rPr>
          <w:spacing w:val="-5"/>
          <w:sz w:val="20"/>
        </w:rPr>
        <w:t> </w:t>
      </w:r>
      <w:r>
        <w:rPr>
          <w:sz w:val="20"/>
        </w:rPr>
        <w:t>taxpayers.</w:t>
      </w:r>
      <w:r>
        <w:rPr>
          <w:spacing w:val="-6"/>
          <w:sz w:val="20"/>
        </w:rPr>
        <w:t> </w:t>
      </w:r>
      <w:r>
        <w:rPr>
          <w:sz w:val="20"/>
        </w:rPr>
        <w:t>Such</w:t>
      </w:r>
      <w:r>
        <w:rPr>
          <w:spacing w:val="-7"/>
          <w:sz w:val="20"/>
        </w:rPr>
        <w:t> </w:t>
      </w:r>
      <w:r>
        <w:rPr>
          <w:sz w:val="20"/>
        </w:rPr>
        <w:t>a</w:t>
      </w:r>
      <w:r>
        <w:rPr>
          <w:spacing w:val="-6"/>
          <w:sz w:val="20"/>
        </w:rPr>
        <w:t> </w:t>
      </w:r>
      <w:r>
        <w:rPr>
          <w:sz w:val="20"/>
        </w:rPr>
        <w:t>requirement</w:t>
      </w:r>
      <w:r>
        <w:rPr>
          <w:spacing w:val="-6"/>
          <w:sz w:val="20"/>
        </w:rPr>
        <w:t> </w:t>
      </w:r>
      <w:r>
        <w:rPr>
          <w:sz w:val="20"/>
        </w:rPr>
        <w:t>may</w:t>
      </w:r>
      <w:r>
        <w:rPr>
          <w:spacing w:val="-11"/>
          <w:sz w:val="20"/>
        </w:rPr>
        <w:t> </w:t>
      </w:r>
      <w:r>
        <w:rPr>
          <w:sz w:val="20"/>
        </w:rPr>
        <w:t>also</w:t>
      </w:r>
      <w:r>
        <w:rPr>
          <w:spacing w:val="-7"/>
          <w:sz w:val="20"/>
        </w:rPr>
        <w:t> </w:t>
      </w:r>
      <w:r>
        <w:rPr>
          <w:sz w:val="20"/>
        </w:rPr>
        <w:t>make</w:t>
      </w:r>
      <w:r>
        <w:rPr>
          <w:spacing w:val="-7"/>
          <w:sz w:val="20"/>
        </w:rPr>
        <w:t> </w:t>
      </w:r>
      <w:r>
        <w:rPr>
          <w:sz w:val="20"/>
        </w:rPr>
        <w:t>it more difficult for a competent authority to enter into good faith MAP discussions in circumstances where that competent authority could likely have to refund taxes already collected as a result of any compromise reached through the MAP. The proposals to strengthen</w:t>
      </w:r>
      <w:r>
        <w:rPr>
          <w:spacing w:val="-16"/>
          <w:sz w:val="20"/>
        </w:rPr>
        <w:t> </w:t>
      </w:r>
      <w:r>
        <w:rPr>
          <w:sz w:val="20"/>
        </w:rPr>
        <w:t>the</w:t>
      </w:r>
      <w:r>
        <w:rPr>
          <w:spacing w:val="-14"/>
          <w:sz w:val="20"/>
        </w:rPr>
        <w:t> </w:t>
      </w:r>
      <w:r>
        <w:rPr>
          <w:sz w:val="20"/>
        </w:rPr>
        <w:t>Action 14</w:t>
      </w:r>
      <w:r>
        <w:rPr>
          <w:spacing w:val="-14"/>
          <w:sz w:val="20"/>
        </w:rPr>
        <w:t> </w:t>
      </w:r>
      <w:r>
        <w:rPr>
          <w:sz w:val="20"/>
        </w:rPr>
        <w:t>minimum</w:t>
      </w:r>
      <w:r>
        <w:rPr>
          <w:spacing w:val="-12"/>
          <w:sz w:val="20"/>
        </w:rPr>
        <w:t> </w:t>
      </w:r>
      <w:r>
        <w:rPr>
          <w:sz w:val="20"/>
        </w:rPr>
        <w:t>standard</w:t>
      </w:r>
      <w:r>
        <w:rPr>
          <w:spacing w:val="-14"/>
          <w:sz w:val="20"/>
        </w:rPr>
        <w:t> </w:t>
      </w:r>
      <w:r>
        <w:rPr>
          <w:sz w:val="20"/>
        </w:rPr>
        <w:t>being</w:t>
      </w:r>
      <w:r>
        <w:rPr>
          <w:spacing w:val="-13"/>
          <w:sz w:val="20"/>
        </w:rPr>
        <w:t> </w:t>
      </w:r>
      <w:r>
        <w:rPr>
          <w:sz w:val="20"/>
        </w:rPr>
        <w:t>considered</w:t>
      </w:r>
      <w:r>
        <w:rPr>
          <w:spacing w:val="-14"/>
          <w:sz w:val="20"/>
        </w:rPr>
        <w:t> </w:t>
      </w:r>
      <w:r>
        <w:rPr>
          <w:sz w:val="20"/>
        </w:rPr>
        <w:t>in</w:t>
      </w:r>
      <w:r>
        <w:rPr>
          <w:spacing w:val="-14"/>
          <w:sz w:val="20"/>
        </w:rPr>
        <w:t> </w:t>
      </w:r>
      <w:r>
        <w:rPr>
          <w:sz w:val="20"/>
        </w:rPr>
        <w:t>the</w:t>
      </w:r>
      <w:r>
        <w:rPr>
          <w:spacing w:val="-13"/>
          <w:sz w:val="20"/>
        </w:rPr>
        <w:t> </w:t>
      </w:r>
      <w:r>
        <w:rPr>
          <w:sz w:val="20"/>
        </w:rPr>
        <w:t>context</w:t>
      </w:r>
      <w:r>
        <w:rPr>
          <w:spacing w:val="-16"/>
          <w:sz w:val="20"/>
        </w:rPr>
        <w:t> </w:t>
      </w:r>
      <w:r>
        <w:rPr>
          <w:sz w:val="20"/>
        </w:rPr>
        <w:t>of</w:t>
      </w:r>
      <w:r>
        <w:rPr>
          <w:spacing w:val="-14"/>
          <w:sz w:val="20"/>
        </w:rPr>
        <w:t> </w:t>
      </w:r>
      <w:r>
        <w:rPr>
          <w:sz w:val="20"/>
        </w:rPr>
        <w:t>the</w:t>
      </w:r>
      <w:r>
        <w:rPr>
          <w:spacing w:val="-12"/>
          <w:sz w:val="20"/>
        </w:rPr>
        <w:t> </w:t>
      </w:r>
      <w:r>
        <w:rPr>
          <w:sz w:val="20"/>
        </w:rPr>
        <w:t>2020</w:t>
      </w:r>
      <w:r>
        <w:rPr>
          <w:spacing w:val="-13"/>
          <w:sz w:val="20"/>
        </w:rPr>
        <w:t> </w:t>
      </w:r>
      <w:r>
        <w:rPr>
          <w:sz w:val="20"/>
        </w:rPr>
        <w:t>review of</w:t>
      </w:r>
      <w:r>
        <w:rPr>
          <w:spacing w:val="31"/>
          <w:sz w:val="20"/>
        </w:rPr>
        <w:t> </w:t>
      </w:r>
      <w:r>
        <w:rPr>
          <w:sz w:val="20"/>
        </w:rPr>
        <w:t>the</w:t>
      </w:r>
      <w:r>
        <w:rPr>
          <w:spacing w:val="31"/>
          <w:sz w:val="20"/>
        </w:rPr>
        <w:t> </w:t>
      </w:r>
      <w:r>
        <w:rPr>
          <w:sz w:val="20"/>
        </w:rPr>
        <w:t>standard</w:t>
      </w:r>
      <w:r>
        <w:rPr>
          <w:spacing w:val="31"/>
          <w:sz w:val="20"/>
        </w:rPr>
        <w:t> </w:t>
      </w:r>
      <w:r>
        <w:rPr>
          <w:sz w:val="20"/>
        </w:rPr>
        <w:t>include</w:t>
      </w:r>
      <w:r>
        <w:rPr>
          <w:spacing w:val="31"/>
          <w:sz w:val="20"/>
        </w:rPr>
        <w:t> </w:t>
      </w:r>
      <w:r>
        <w:rPr>
          <w:sz w:val="20"/>
        </w:rPr>
        <w:t>a</w:t>
      </w:r>
      <w:r>
        <w:rPr>
          <w:spacing w:val="31"/>
          <w:sz w:val="20"/>
        </w:rPr>
        <w:t> </w:t>
      </w:r>
      <w:r>
        <w:rPr>
          <w:sz w:val="20"/>
        </w:rPr>
        <w:t>proposal</w:t>
      </w:r>
      <w:r>
        <w:rPr>
          <w:spacing w:val="34"/>
          <w:sz w:val="20"/>
        </w:rPr>
        <w:t> </w:t>
      </w:r>
      <w:r>
        <w:rPr>
          <w:sz w:val="20"/>
        </w:rPr>
        <w:t>under</w:t>
      </w:r>
      <w:r>
        <w:rPr>
          <w:spacing w:val="32"/>
          <w:sz w:val="20"/>
        </w:rPr>
        <w:t> </w:t>
      </w:r>
      <w:r>
        <w:rPr>
          <w:sz w:val="20"/>
        </w:rPr>
        <w:t>which</w:t>
      </w:r>
      <w:r>
        <w:rPr>
          <w:spacing w:val="31"/>
          <w:sz w:val="20"/>
        </w:rPr>
        <w:t> </w:t>
      </w:r>
      <w:r>
        <w:rPr>
          <w:sz w:val="20"/>
        </w:rPr>
        <w:t>it</w:t>
      </w:r>
      <w:r>
        <w:rPr>
          <w:spacing w:val="31"/>
          <w:sz w:val="20"/>
        </w:rPr>
        <w:t> </w:t>
      </w:r>
      <w:r>
        <w:rPr>
          <w:sz w:val="20"/>
        </w:rPr>
        <w:t>would</w:t>
      </w:r>
      <w:r>
        <w:rPr>
          <w:spacing w:val="31"/>
          <w:sz w:val="20"/>
        </w:rPr>
        <w:t> </w:t>
      </w:r>
      <w:r>
        <w:rPr>
          <w:sz w:val="20"/>
        </w:rPr>
        <w:t>be</w:t>
      </w:r>
      <w:r>
        <w:rPr>
          <w:spacing w:val="30"/>
          <w:sz w:val="20"/>
        </w:rPr>
        <w:t> </w:t>
      </w:r>
      <w:r>
        <w:rPr>
          <w:sz w:val="20"/>
        </w:rPr>
        <w:t>explored</w:t>
      </w:r>
      <w:r>
        <w:rPr>
          <w:spacing w:val="34"/>
          <w:sz w:val="20"/>
        </w:rPr>
        <w:t> </w:t>
      </w:r>
      <w:r>
        <w:rPr>
          <w:sz w:val="20"/>
        </w:rPr>
        <w:t>whether</w:t>
      </w:r>
      <w:r>
        <w:rPr>
          <w:spacing w:val="32"/>
          <w:sz w:val="20"/>
        </w:rPr>
        <w:t> </w:t>
      </w:r>
      <w:r>
        <w:rPr>
          <w:sz w:val="20"/>
        </w:rPr>
        <w:t>it</w:t>
      </w:r>
      <w:r>
        <w:rPr>
          <w:spacing w:val="31"/>
          <w:sz w:val="20"/>
        </w:rPr>
        <w:t> </w:t>
      </w:r>
      <w:r>
        <w:rPr>
          <w:sz w:val="20"/>
        </w:rPr>
        <w:t>could</w:t>
      </w:r>
      <w:r>
        <w:rPr>
          <w:spacing w:val="31"/>
          <w:sz w:val="20"/>
        </w:rPr>
        <w:t> </w:t>
      </w:r>
      <w:r>
        <w:rPr>
          <w:sz w:val="20"/>
        </w:rPr>
        <w:t>be</w:t>
      </w:r>
    </w:p>
    <w:p>
      <w:pPr>
        <w:pStyle w:val="BodyText"/>
        <w:spacing w:before="9"/>
        <w:rPr>
          <w:sz w:val="25"/>
        </w:rPr>
      </w:pPr>
      <w:r>
        <w:rPr/>
        <w:pict>
          <v:rect style="position:absolute;margin-left:65.183998pt;margin-top:16.80621pt;width:144.020004pt;height:.60004pt;mso-position-horizontal-relative:page;mso-position-vertical-relative:paragraph;z-index:-1564108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05" w:val="left" w:leader="none"/>
        </w:tabs>
        <w:spacing w:line="240" w:lineRule="auto" w:before="94" w:after="0"/>
        <w:ind w:left="1004" w:right="0" w:hanging="282"/>
        <w:jc w:val="left"/>
        <w:rPr>
          <w:sz w:val="18"/>
        </w:rPr>
      </w:pPr>
      <w:r>
        <w:rPr>
          <w:sz w:val="18"/>
        </w:rPr>
        <w:t>This work includes the exploration of a possible APA-equivalent for non-transfer pricing</w:t>
      </w:r>
      <w:r>
        <w:rPr>
          <w:spacing w:val="-15"/>
          <w:sz w:val="18"/>
        </w:rPr>
        <w:t> </w:t>
      </w:r>
      <w:r>
        <w:rPr>
          <w:sz w:val="18"/>
        </w:rPr>
        <w:t>issues.</w:t>
      </w:r>
    </w:p>
    <w:p>
      <w:pPr>
        <w:spacing w:after="0" w:line="240" w:lineRule="auto"/>
        <w:jc w:val="left"/>
        <w:rPr>
          <w:sz w:val="18"/>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5"/>
        <w:jc w:val="both"/>
      </w:pPr>
      <w:r>
        <w:rPr/>
        <w:t>possible to suspend tax collection for the duration of the MAP process under the same conditions as are applicable under domestic rules. Work on suspension of collection on this basis will thus be continued as part of the 2020 review.</w:t>
      </w:r>
    </w:p>
    <w:p>
      <w:pPr>
        <w:pStyle w:val="BodyText"/>
        <w:spacing w:before="1"/>
        <w:rPr>
          <w:sz w:val="24"/>
        </w:rPr>
      </w:pPr>
    </w:p>
    <w:p>
      <w:pPr>
        <w:pStyle w:val="Heading6"/>
        <w:numPr>
          <w:ilvl w:val="2"/>
          <w:numId w:val="81"/>
        </w:numPr>
        <w:tabs>
          <w:tab w:pos="2015" w:val="left" w:leader="none"/>
        </w:tabs>
        <w:spacing w:line="240" w:lineRule="auto" w:before="0" w:after="0"/>
        <w:ind w:left="2014" w:right="0" w:hanging="613"/>
        <w:jc w:val="left"/>
        <w:rPr>
          <w:i/>
        </w:rPr>
      </w:pPr>
      <w:bookmarkStart w:name="9.3.2. Step 2: Improvements to the MAP" w:id="456"/>
      <w:bookmarkEnd w:id="456"/>
      <w:r>
        <w:rPr>
          <w:b w:val="0"/>
          <w:i w:val="0"/>
        </w:rPr>
      </w:r>
      <w:bookmarkStart w:name="9.3.2. Step 2: Improvements to the MAP" w:id="457"/>
      <w:bookmarkEnd w:id="457"/>
      <w:r>
        <w:rPr>
          <w:i/>
        </w:rPr>
        <w:t>S</w:t>
      </w:r>
      <w:r>
        <w:rPr>
          <w:i/>
        </w:rPr>
        <w:t>tep 2: Improvements to the</w:t>
      </w:r>
      <w:r>
        <w:rPr>
          <w:i/>
          <w:spacing w:val="-5"/>
        </w:rPr>
        <w:t> </w:t>
      </w:r>
      <w:r>
        <w:rPr>
          <w:i/>
        </w:rPr>
        <w:t>MAP</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8" w:firstLine="0"/>
        <w:jc w:val="both"/>
        <w:rPr>
          <w:sz w:val="20"/>
        </w:rPr>
      </w:pPr>
      <w:r>
        <w:rPr>
          <w:sz w:val="20"/>
        </w:rPr>
        <w:t>Although enhancements and improvements to the existing dispute prevention framework should reduce</w:t>
      </w:r>
      <w:r>
        <w:rPr>
          <w:spacing w:val="-9"/>
          <w:sz w:val="20"/>
        </w:rPr>
        <w:t> </w:t>
      </w:r>
      <w:r>
        <w:rPr>
          <w:sz w:val="20"/>
        </w:rPr>
        <w:t>the</w:t>
      </w:r>
      <w:r>
        <w:rPr>
          <w:spacing w:val="-9"/>
          <w:sz w:val="20"/>
        </w:rPr>
        <w:t> </w:t>
      </w:r>
      <w:r>
        <w:rPr>
          <w:sz w:val="20"/>
        </w:rPr>
        <w:t>number</w:t>
      </w:r>
      <w:r>
        <w:rPr>
          <w:spacing w:val="-8"/>
          <w:sz w:val="20"/>
        </w:rPr>
        <w:t> </w:t>
      </w:r>
      <w:r>
        <w:rPr>
          <w:sz w:val="20"/>
        </w:rPr>
        <w:t>of</w:t>
      </w:r>
      <w:r>
        <w:rPr>
          <w:spacing w:val="-7"/>
          <w:sz w:val="20"/>
        </w:rPr>
        <w:t> </w:t>
      </w:r>
      <w:r>
        <w:rPr>
          <w:sz w:val="20"/>
        </w:rPr>
        <w:t>disputes,</w:t>
      </w:r>
      <w:r>
        <w:rPr>
          <w:spacing w:val="-9"/>
          <w:sz w:val="20"/>
        </w:rPr>
        <w:t> </w:t>
      </w:r>
      <w:r>
        <w:rPr>
          <w:sz w:val="20"/>
        </w:rPr>
        <w:t>bilateral</w:t>
      </w:r>
      <w:r>
        <w:rPr>
          <w:spacing w:val="-8"/>
          <w:sz w:val="20"/>
        </w:rPr>
        <w:t> </w:t>
      </w:r>
      <w:r>
        <w:rPr>
          <w:sz w:val="20"/>
        </w:rPr>
        <w:t>and</w:t>
      </w:r>
      <w:r>
        <w:rPr>
          <w:spacing w:val="-9"/>
          <w:sz w:val="20"/>
        </w:rPr>
        <w:t> </w:t>
      </w:r>
      <w:r>
        <w:rPr>
          <w:sz w:val="20"/>
        </w:rPr>
        <w:t>multilateral</w:t>
      </w:r>
      <w:r>
        <w:rPr>
          <w:spacing w:val="-10"/>
          <w:sz w:val="20"/>
        </w:rPr>
        <w:t> </w:t>
      </w:r>
      <w:r>
        <w:rPr>
          <w:sz w:val="20"/>
        </w:rPr>
        <w:t>MAPs</w:t>
      </w:r>
      <w:r>
        <w:rPr>
          <w:spacing w:val="-5"/>
          <w:sz w:val="20"/>
        </w:rPr>
        <w:t> </w:t>
      </w:r>
      <w:r>
        <w:rPr>
          <w:sz w:val="20"/>
        </w:rPr>
        <w:t>will</w:t>
      </w:r>
      <w:r>
        <w:rPr>
          <w:spacing w:val="-10"/>
          <w:sz w:val="20"/>
        </w:rPr>
        <w:t> </w:t>
      </w:r>
      <w:r>
        <w:rPr>
          <w:sz w:val="20"/>
        </w:rPr>
        <w:t>continue</w:t>
      </w:r>
      <w:r>
        <w:rPr>
          <w:spacing w:val="-7"/>
          <w:sz w:val="20"/>
        </w:rPr>
        <w:t> </w:t>
      </w:r>
      <w:r>
        <w:rPr>
          <w:sz w:val="20"/>
        </w:rPr>
        <w:t>to</w:t>
      </w:r>
      <w:r>
        <w:rPr>
          <w:spacing w:val="-8"/>
          <w:sz w:val="20"/>
        </w:rPr>
        <w:t> </w:t>
      </w:r>
      <w:r>
        <w:rPr>
          <w:sz w:val="20"/>
        </w:rPr>
        <w:t>be</w:t>
      </w:r>
      <w:r>
        <w:rPr>
          <w:spacing w:val="-9"/>
          <w:sz w:val="20"/>
        </w:rPr>
        <w:t> </w:t>
      </w:r>
      <w:r>
        <w:rPr>
          <w:sz w:val="20"/>
        </w:rPr>
        <w:t>necessary</w:t>
      </w:r>
      <w:r>
        <w:rPr>
          <w:spacing w:val="-12"/>
          <w:sz w:val="20"/>
        </w:rPr>
        <w:t> </w:t>
      </w:r>
      <w:r>
        <w:rPr>
          <w:sz w:val="20"/>
        </w:rPr>
        <w:t>to</w:t>
      </w:r>
      <w:r>
        <w:rPr>
          <w:spacing w:val="-9"/>
          <w:sz w:val="20"/>
        </w:rPr>
        <w:t> </w:t>
      </w:r>
      <w:r>
        <w:rPr>
          <w:sz w:val="20"/>
        </w:rPr>
        <w:t>resolve</w:t>
      </w:r>
      <w:r>
        <w:rPr>
          <w:spacing w:val="-8"/>
          <w:sz w:val="20"/>
        </w:rPr>
        <w:t> </w:t>
      </w:r>
      <w:r>
        <w:rPr>
          <w:sz w:val="20"/>
        </w:rPr>
        <w:t>the disputes that do arise. The ongoing implementation and peer review of the Action 14 minimum standard will contribute to the continual strengthening of existing MAP infrastructure and</w:t>
      </w:r>
      <w:r>
        <w:rPr>
          <w:spacing w:val="-19"/>
          <w:sz w:val="20"/>
        </w:rPr>
        <w:t> </w:t>
      </w:r>
      <w:r>
        <w:rPr>
          <w:sz w:val="20"/>
        </w:rPr>
        <w:t>processes.</w:t>
      </w:r>
    </w:p>
    <w:p>
      <w:pPr>
        <w:pStyle w:val="ListParagraph"/>
        <w:numPr>
          <w:ilvl w:val="0"/>
          <w:numId w:val="13"/>
        </w:numPr>
        <w:tabs>
          <w:tab w:pos="1444" w:val="left" w:leader="none"/>
        </w:tabs>
        <w:spacing w:line="271" w:lineRule="auto" w:before="120" w:after="0"/>
        <w:ind w:left="723" w:right="481" w:firstLine="0"/>
        <w:jc w:val="both"/>
        <w:rPr>
          <w:sz w:val="20"/>
        </w:rPr>
      </w:pPr>
      <w:r>
        <w:rPr>
          <w:sz w:val="20"/>
        </w:rPr>
        <w:t>The 2020 review of Action 14 will also provide a vehicle to advance the broader tax certainty agenda</w:t>
      </w:r>
      <w:r>
        <w:rPr>
          <w:spacing w:val="-10"/>
          <w:sz w:val="20"/>
        </w:rPr>
        <w:t> </w:t>
      </w:r>
      <w:r>
        <w:rPr>
          <w:sz w:val="20"/>
        </w:rPr>
        <w:t>through</w:t>
      </w:r>
      <w:r>
        <w:rPr>
          <w:spacing w:val="-13"/>
          <w:sz w:val="20"/>
        </w:rPr>
        <w:t> </w:t>
      </w:r>
      <w:r>
        <w:rPr>
          <w:sz w:val="20"/>
        </w:rPr>
        <w:t>the</w:t>
      </w:r>
      <w:r>
        <w:rPr>
          <w:spacing w:val="-12"/>
          <w:sz w:val="20"/>
        </w:rPr>
        <w:t> </w:t>
      </w:r>
      <w:r>
        <w:rPr>
          <w:sz w:val="20"/>
        </w:rPr>
        <w:t>consideration</w:t>
      </w:r>
      <w:r>
        <w:rPr>
          <w:spacing w:val="-12"/>
          <w:sz w:val="20"/>
        </w:rPr>
        <w:t> </w:t>
      </w:r>
      <w:r>
        <w:rPr>
          <w:sz w:val="20"/>
        </w:rPr>
        <w:t>of</w:t>
      </w:r>
      <w:r>
        <w:rPr>
          <w:spacing w:val="-10"/>
          <w:sz w:val="20"/>
        </w:rPr>
        <w:t> </w:t>
      </w:r>
      <w:r>
        <w:rPr>
          <w:sz w:val="20"/>
        </w:rPr>
        <w:t>additional</w:t>
      </w:r>
      <w:r>
        <w:rPr>
          <w:spacing w:val="-12"/>
          <w:sz w:val="20"/>
        </w:rPr>
        <w:t> </w:t>
      </w:r>
      <w:r>
        <w:rPr>
          <w:sz w:val="20"/>
        </w:rPr>
        <w:t>options</w:t>
      </w:r>
      <w:r>
        <w:rPr>
          <w:spacing w:val="-9"/>
          <w:sz w:val="20"/>
        </w:rPr>
        <w:t> </w:t>
      </w:r>
      <w:r>
        <w:rPr>
          <w:sz w:val="20"/>
        </w:rPr>
        <w:t>to</w:t>
      </w:r>
      <w:r>
        <w:rPr>
          <w:spacing w:val="-13"/>
          <w:sz w:val="20"/>
        </w:rPr>
        <w:t> </w:t>
      </w:r>
      <w:r>
        <w:rPr>
          <w:sz w:val="20"/>
        </w:rPr>
        <w:t>enhance</w:t>
      </w:r>
      <w:r>
        <w:rPr>
          <w:spacing w:val="-12"/>
          <w:sz w:val="20"/>
        </w:rPr>
        <w:t> </w:t>
      </w:r>
      <w:r>
        <w:rPr>
          <w:sz w:val="20"/>
        </w:rPr>
        <w:t>the</w:t>
      </w:r>
      <w:r>
        <w:rPr>
          <w:spacing w:val="-12"/>
          <w:sz w:val="20"/>
        </w:rPr>
        <w:t> </w:t>
      </w:r>
      <w:r>
        <w:rPr>
          <w:sz w:val="20"/>
        </w:rPr>
        <w:t>robustness</w:t>
      </w:r>
      <w:r>
        <w:rPr>
          <w:spacing w:val="-9"/>
          <w:sz w:val="20"/>
        </w:rPr>
        <w:t> </w:t>
      </w:r>
      <w:r>
        <w:rPr>
          <w:sz w:val="20"/>
        </w:rPr>
        <w:t>and</w:t>
      </w:r>
      <w:r>
        <w:rPr>
          <w:spacing w:val="-10"/>
          <w:sz w:val="20"/>
        </w:rPr>
        <w:t> </w:t>
      </w:r>
      <w:r>
        <w:rPr>
          <w:sz w:val="20"/>
        </w:rPr>
        <w:t>effectiveness</w:t>
      </w:r>
      <w:r>
        <w:rPr>
          <w:spacing w:val="-10"/>
          <w:sz w:val="20"/>
        </w:rPr>
        <w:t> </w:t>
      </w:r>
      <w:r>
        <w:rPr>
          <w:sz w:val="20"/>
        </w:rPr>
        <w:t>of</w:t>
      </w:r>
      <w:r>
        <w:rPr>
          <w:spacing w:val="-10"/>
          <w:sz w:val="20"/>
        </w:rPr>
        <w:t> </w:t>
      </w:r>
      <w:r>
        <w:rPr>
          <w:sz w:val="20"/>
        </w:rPr>
        <w:t>the MAP. In particular, in the context of the 2020 review, the FTA MAP Forum and Working Party 1 are exploring</w:t>
      </w:r>
      <w:r>
        <w:rPr>
          <w:spacing w:val="-10"/>
          <w:sz w:val="20"/>
        </w:rPr>
        <w:t> </w:t>
      </w:r>
      <w:r>
        <w:rPr>
          <w:sz w:val="20"/>
        </w:rPr>
        <w:t>the</w:t>
      </w:r>
      <w:r>
        <w:rPr>
          <w:spacing w:val="-9"/>
          <w:sz w:val="20"/>
        </w:rPr>
        <w:t> </w:t>
      </w:r>
      <w:r>
        <w:rPr>
          <w:sz w:val="20"/>
        </w:rPr>
        <w:t>addition</w:t>
      </w:r>
      <w:r>
        <w:rPr>
          <w:spacing w:val="-9"/>
          <w:sz w:val="20"/>
        </w:rPr>
        <w:t> </w:t>
      </w:r>
      <w:r>
        <w:rPr>
          <w:sz w:val="20"/>
        </w:rPr>
        <w:t>of</w:t>
      </w:r>
      <w:r>
        <w:rPr>
          <w:spacing w:val="-5"/>
          <w:sz w:val="20"/>
        </w:rPr>
        <w:t> </w:t>
      </w:r>
      <w:r>
        <w:rPr>
          <w:sz w:val="20"/>
        </w:rPr>
        <w:t>a</w:t>
      </w:r>
      <w:r>
        <w:rPr>
          <w:spacing w:val="-9"/>
          <w:sz w:val="20"/>
        </w:rPr>
        <w:t> </w:t>
      </w:r>
      <w:r>
        <w:rPr>
          <w:sz w:val="20"/>
        </w:rPr>
        <w:t>number</w:t>
      </w:r>
      <w:r>
        <w:rPr>
          <w:spacing w:val="-8"/>
          <w:sz w:val="20"/>
        </w:rPr>
        <w:t> </w:t>
      </w:r>
      <w:r>
        <w:rPr>
          <w:sz w:val="20"/>
        </w:rPr>
        <w:t>of</w:t>
      </w:r>
      <w:r>
        <w:rPr>
          <w:spacing w:val="-5"/>
          <w:sz w:val="20"/>
        </w:rPr>
        <w:t> </w:t>
      </w:r>
      <w:r>
        <w:rPr>
          <w:sz w:val="20"/>
        </w:rPr>
        <w:t>proposed</w:t>
      </w:r>
      <w:r>
        <w:rPr>
          <w:spacing w:val="-9"/>
          <w:sz w:val="20"/>
        </w:rPr>
        <w:t> </w:t>
      </w:r>
      <w:r>
        <w:rPr>
          <w:sz w:val="20"/>
        </w:rPr>
        <w:t>elements</w:t>
      </w:r>
      <w:r>
        <w:rPr>
          <w:spacing w:val="-8"/>
          <w:sz w:val="20"/>
        </w:rPr>
        <w:t> </w:t>
      </w:r>
      <w:r>
        <w:rPr>
          <w:sz w:val="20"/>
        </w:rPr>
        <w:t>to</w:t>
      </w:r>
      <w:r>
        <w:rPr>
          <w:spacing w:val="-9"/>
          <w:sz w:val="20"/>
        </w:rPr>
        <w:t> </w:t>
      </w:r>
      <w:r>
        <w:rPr>
          <w:sz w:val="20"/>
        </w:rPr>
        <w:t>the</w:t>
      </w:r>
      <w:r>
        <w:rPr>
          <w:spacing w:val="-10"/>
          <w:sz w:val="20"/>
        </w:rPr>
        <w:t> </w:t>
      </w:r>
      <w:r>
        <w:rPr>
          <w:sz w:val="20"/>
        </w:rPr>
        <w:t>Action</w:t>
      </w:r>
      <w:r>
        <w:rPr>
          <w:spacing w:val="-7"/>
          <w:sz w:val="20"/>
        </w:rPr>
        <w:t> </w:t>
      </w:r>
      <w:r>
        <w:rPr>
          <w:sz w:val="20"/>
        </w:rPr>
        <w:t>14</w:t>
      </w:r>
      <w:r>
        <w:rPr>
          <w:spacing w:val="-9"/>
          <w:sz w:val="20"/>
        </w:rPr>
        <w:t> </w:t>
      </w:r>
      <w:r>
        <w:rPr>
          <w:sz w:val="20"/>
        </w:rPr>
        <w:t>minimum</w:t>
      </w:r>
      <w:r>
        <w:rPr>
          <w:spacing w:val="-7"/>
          <w:sz w:val="20"/>
        </w:rPr>
        <w:t> </w:t>
      </w:r>
      <w:r>
        <w:rPr>
          <w:sz w:val="20"/>
        </w:rPr>
        <w:t>standard,</w:t>
      </w:r>
      <w:r>
        <w:rPr>
          <w:spacing w:val="-6"/>
          <w:sz w:val="20"/>
        </w:rPr>
        <w:t> </w:t>
      </w:r>
      <w:r>
        <w:rPr>
          <w:sz w:val="20"/>
        </w:rPr>
        <w:t>including</w:t>
      </w:r>
      <w:r>
        <w:rPr>
          <w:spacing w:val="-9"/>
          <w:sz w:val="20"/>
        </w:rPr>
        <w:t> </w:t>
      </w:r>
      <w:r>
        <w:rPr>
          <w:sz w:val="20"/>
        </w:rPr>
        <w:t>the following:</w:t>
      </w:r>
    </w:p>
    <w:p>
      <w:pPr>
        <w:pStyle w:val="ListParagraph"/>
        <w:numPr>
          <w:ilvl w:val="1"/>
          <w:numId w:val="13"/>
        </w:numPr>
        <w:tabs>
          <w:tab w:pos="1785" w:val="left" w:leader="none"/>
        </w:tabs>
        <w:spacing w:line="266" w:lineRule="auto" w:before="101" w:after="0"/>
        <w:ind w:left="1784" w:right="481" w:hanging="360"/>
        <w:jc w:val="both"/>
        <w:rPr>
          <w:sz w:val="20"/>
        </w:rPr>
      </w:pPr>
      <w:r>
        <w:rPr>
          <w:sz w:val="20"/>
        </w:rPr>
        <w:t>Introduce</w:t>
      </w:r>
      <w:r>
        <w:rPr>
          <w:spacing w:val="-12"/>
          <w:sz w:val="20"/>
        </w:rPr>
        <w:t> </w:t>
      </w:r>
      <w:r>
        <w:rPr>
          <w:sz w:val="20"/>
        </w:rPr>
        <w:t>the</w:t>
      </w:r>
      <w:r>
        <w:rPr>
          <w:spacing w:val="-14"/>
          <w:sz w:val="20"/>
        </w:rPr>
        <w:t> </w:t>
      </w:r>
      <w:r>
        <w:rPr>
          <w:sz w:val="20"/>
        </w:rPr>
        <w:t>obligation</w:t>
      </w:r>
      <w:r>
        <w:rPr>
          <w:spacing w:val="-14"/>
          <w:sz w:val="20"/>
        </w:rPr>
        <w:t> </w:t>
      </w:r>
      <w:r>
        <w:rPr>
          <w:sz w:val="20"/>
        </w:rPr>
        <w:t>to</w:t>
      </w:r>
      <w:r>
        <w:rPr>
          <w:spacing w:val="-11"/>
          <w:sz w:val="20"/>
        </w:rPr>
        <w:t> </w:t>
      </w:r>
      <w:r>
        <w:rPr>
          <w:sz w:val="20"/>
        </w:rPr>
        <w:t>establish</w:t>
      </w:r>
      <w:r>
        <w:rPr>
          <w:spacing w:val="-14"/>
          <w:sz w:val="20"/>
        </w:rPr>
        <w:t> </w:t>
      </w:r>
      <w:r>
        <w:rPr>
          <w:sz w:val="20"/>
        </w:rPr>
        <w:t>a</w:t>
      </w:r>
      <w:r>
        <w:rPr>
          <w:spacing w:val="-12"/>
          <w:sz w:val="20"/>
        </w:rPr>
        <w:t> </w:t>
      </w:r>
      <w:r>
        <w:rPr>
          <w:sz w:val="20"/>
        </w:rPr>
        <w:t>bilateral</w:t>
      </w:r>
      <w:r>
        <w:rPr>
          <w:spacing w:val="-12"/>
          <w:sz w:val="20"/>
        </w:rPr>
        <w:t> </w:t>
      </w:r>
      <w:r>
        <w:rPr>
          <w:sz w:val="20"/>
        </w:rPr>
        <w:t>APA</w:t>
      </w:r>
      <w:r>
        <w:rPr>
          <w:spacing w:val="-11"/>
          <w:sz w:val="20"/>
        </w:rPr>
        <w:t> </w:t>
      </w:r>
      <w:r>
        <w:rPr>
          <w:sz w:val="20"/>
        </w:rPr>
        <w:t>programme</w:t>
      </w:r>
      <w:r>
        <w:rPr>
          <w:spacing w:val="-16"/>
          <w:sz w:val="20"/>
        </w:rPr>
        <w:t> </w:t>
      </w:r>
      <w:r>
        <w:rPr>
          <w:sz w:val="20"/>
        </w:rPr>
        <w:t>for</w:t>
      </w:r>
      <w:r>
        <w:rPr>
          <w:spacing w:val="-13"/>
          <w:sz w:val="20"/>
        </w:rPr>
        <w:t> </w:t>
      </w:r>
      <w:r>
        <w:rPr>
          <w:sz w:val="20"/>
        </w:rPr>
        <w:t>jurisdictions</w:t>
      </w:r>
      <w:r>
        <w:rPr>
          <w:spacing w:val="-10"/>
          <w:sz w:val="20"/>
        </w:rPr>
        <w:t> </w:t>
      </w:r>
      <w:r>
        <w:rPr>
          <w:sz w:val="20"/>
        </w:rPr>
        <w:t>with</w:t>
      </w:r>
      <w:r>
        <w:rPr>
          <w:spacing w:val="-13"/>
          <w:sz w:val="20"/>
        </w:rPr>
        <w:t> </w:t>
      </w:r>
      <w:r>
        <w:rPr>
          <w:sz w:val="20"/>
        </w:rPr>
        <w:t>more</w:t>
      </w:r>
      <w:r>
        <w:rPr>
          <w:spacing w:val="-13"/>
          <w:sz w:val="20"/>
        </w:rPr>
        <w:t> </w:t>
      </w:r>
      <w:r>
        <w:rPr>
          <w:sz w:val="20"/>
        </w:rPr>
        <w:t>than 10 transfer pricing MAP cases per annum over the past three</w:t>
      </w:r>
      <w:r>
        <w:rPr>
          <w:spacing w:val="-9"/>
          <w:sz w:val="20"/>
        </w:rPr>
        <w:t> </w:t>
      </w:r>
      <w:r>
        <w:rPr>
          <w:sz w:val="20"/>
        </w:rPr>
        <w:t>years.</w:t>
      </w:r>
    </w:p>
    <w:p>
      <w:pPr>
        <w:pStyle w:val="ListParagraph"/>
        <w:numPr>
          <w:ilvl w:val="1"/>
          <w:numId w:val="13"/>
        </w:numPr>
        <w:tabs>
          <w:tab w:pos="1785" w:val="left" w:leader="none"/>
        </w:tabs>
        <w:spacing w:line="266" w:lineRule="auto" w:before="54" w:after="0"/>
        <w:ind w:left="1784" w:right="488" w:hanging="360"/>
        <w:jc w:val="both"/>
        <w:rPr>
          <w:sz w:val="20"/>
        </w:rPr>
      </w:pPr>
      <w:r>
        <w:rPr>
          <w:sz w:val="20"/>
        </w:rPr>
        <w:t>Introduce the obligation to roll-out the Global Awareness Training Module or a similar training programme.</w:t>
      </w:r>
    </w:p>
    <w:p>
      <w:pPr>
        <w:pStyle w:val="ListParagraph"/>
        <w:numPr>
          <w:ilvl w:val="1"/>
          <w:numId w:val="13"/>
        </w:numPr>
        <w:tabs>
          <w:tab w:pos="1785" w:val="left" w:leader="none"/>
        </w:tabs>
        <w:spacing w:line="268" w:lineRule="auto" w:before="51" w:after="0"/>
        <w:ind w:left="1784" w:right="484" w:hanging="360"/>
        <w:jc w:val="both"/>
        <w:rPr>
          <w:sz w:val="20"/>
        </w:rPr>
      </w:pPr>
      <w:r>
        <w:rPr>
          <w:sz w:val="20"/>
        </w:rPr>
        <w:t>Provide criteria for determining whether access to MAP should be given as well as to define what</w:t>
      </w:r>
      <w:r>
        <w:rPr>
          <w:spacing w:val="-14"/>
          <w:sz w:val="20"/>
        </w:rPr>
        <w:t> </w:t>
      </w:r>
      <w:r>
        <w:rPr>
          <w:sz w:val="20"/>
        </w:rPr>
        <w:t>information</w:t>
      </w:r>
      <w:r>
        <w:rPr>
          <w:spacing w:val="-13"/>
          <w:sz w:val="20"/>
        </w:rPr>
        <w:t> </w:t>
      </w:r>
      <w:r>
        <w:rPr>
          <w:sz w:val="20"/>
        </w:rPr>
        <w:t>taxpayers</w:t>
      </w:r>
      <w:r>
        <w:rPr>
          <w:spacing w:val="-8"/>
          <w:sz w:val="20"/>
        </w:rPr>
        <w:t> </w:t>
      </w:r>
      <w:r>
        <w:rPr>
          <w:sz w:val="20"/>
        </w:rPr>
        <w:t>(as</w:t>
      </w:r>
      <w:r>
        <w:rPr>
          <w:spacing w:val="-11"/>
          <w:sz w:val="20"/>
        </w:rPr>
        <w:t> </w:t>
      </w:r>
      <w:r>
        <w:rPr>
          <w:sz w:val="20"/>
        </w:rPr>
        <w:t>a</w:t>
      </w:r>
      <w:r>
        <w:rPr>
          <w:spacing w:val="-15"/>
          <w:sz w:val="20"/>
        </w:rPr>
        <w:t> </w:t>
      </w:r>
      <w:r>
        <w:rPr>
          <w:sz w:val="20"/>
        </w:rPr>
        <w:t>minimum)</w:t>
      </w:r>
      <w:r>
        <w:rPr>
          <w:spacing w:val="-11"/>
          <w:sz w:val="20"/>
        </w:rPr>
        <w:t> </w:t>
      </w:r>
      <w:r>
        <w:rPr>
          <w:sz w:val="20"/>
        </w:rPr>
        <w:t>should</w:t>
      </w:r>
      <w:r>
        <w:rPr>
          <w:spacing w:val="-14"/>
          <w:sz w:val="20"/>
        </w:rPr>
        <w:t> </w:t>
      </w:r>
      <w:r>
        <w:rPr>
          <w:sz w:val="20"/>
        </w:rPr>
        <w:t>include</w:t>
      </w:r>
      <w:r>
        <w:rPr>
          <w:spacing w:val="-13"/>
          <w:sz w:val="20"/>
        </w:rPr>
        <w:t> </w:t>
      </w:r>
      <w:r>
        <w:rPr>
          <w:sz w:val="20"/>
        </w:rPr>
        <w:t>in</w:t>
      </w:r>
      <w:r>
        <w:rPr>
          <w:spacing w:val="-13"/>
          <w:sz w:val="20"/>
        </w:rPr>
        <w:t> </w:t>
      </w:r>
      <w:r>
        <w:rPr>
          <w:sz w:val="20"/>
        </w:rPr>
        <w:t>their</w:t>
      </w:r>
      <w:r>
        <w:rPr>
          <w:spacing w:val="-11"/>
          <w:sz w:val="20"/>
        </w:rPr>
        <w:t> </w:t>
      </w:r>
      <w:r>
        <w:rPr>
          <w:sz w:val="20"/>
        </w:rPr>
        <w:t>MAP</w:t>
      </w:r>
      <w:r>
        <w:rPr>
          <w:spacing w:val="-13"/>
          <w:sz w:val="20"/>
        </w:rPr>
        <w:t> </w:t>
      </w:r>
      <w:r>
        <w:rPr>
          <w:sz w:val="20"/>
        </w:rPr>
        <w:t>requests.</w:t>
      </w:r>
      <w:r>
        <w:rPr>
          <w:spacing w:val="-12"/>
          <w:sz w:val="20"/>
        </w:rPr>
        <w:t> </w:t>
      </w:r>
      <w:r>
        <w:rPr>
          <w:sz w:val="20"/>
        </w:rPr>
        <w:t>Jurisdictions should reflect both items in their MAP</w:t>
      </w:r>
      <w:r>
        <w:rPr>
          <w:spacing w:val="-5"/>
          <w:sz w:val="20"/>
        </w:rPr>
        <w:t> </w:t>
      </w:r>
      <w:r>
        <w:rPr>
          <w:sz w:val="20"/>
        </w:rPr>
        <w:t>guidance.</w:t>
      </w:r>
    </w:p>
    <w:p>
      <w:pPr>
        <w:pStyle w:val="ListParagraph"/>
        <w:numPr>
          <w:ilvl w:val="1"/>
          <w:numId w:val="13"/>
        </w:numPr>
        <w:tabs>
          <w:tab w:pos="1785" w:val="left" w:leader="none"/>
        </w:tabs>
        <w:spacing w:line="268" w:lineRule="auto" w:before="50" w:after="0"/>
        <w:ind w:left="1784" w:right="483" w:hanging="360"/>
        <w:jc w:val="both"/>
        <w:rPr>
          <w:sz w:val="20"/>
        </w:rPr>
      </w:pPr>
      <w:r>
        <w:rPr>
          <w:sz w:val="20"/>
        </w:rPr>
        <w:t>Introduce the obligation that tax collection is suspended during the period a MAP </w:t>
      </w:r>
      <w:r>
        <w:rPr>
          <w:spacing w:val="2"/>
          <w:sz w:val="20"/>
        </w:rPr>
        <w:t>case </w:t>
      </w:r>
      <w:r>
        <w:rPr>
          <w:sz w:val="20"/>
        </w:rPr>
        <w:t>is pending, under the same conditions as are available to taxpayers under domestic</w:t>
      </w:r>
      <w:r>
        <w:rPr>
          <w:spacing w:val="-34"/>
          <w:sz w:val="20"/>
        </w:rPr>
        <w:t> </w:t>
      </w:r>
      <w:r>
        <w:rPr>
          <w:sz w:val="20"/>
        </w:rPr>
        <w:t>rules.</w:t>
      </w:r>
    </w:p>
    <w:p>
      <w:pPr>
        <w:pStyle w:val="ListParagraph"/>
        <w:numPr>
          <w:ilvl w:val="1"/>
          <w:numId w:val="13"/>
        </w:numPr>
        <w:tabs>
          <w:tab w:pos="1785" w:val="left" w:leader="none"/>
        </w:tabs>
        <w:spacing w:line="266" w:lineRule="auto" w:before="49" w:after="0"/>
        <w:ind w:left="1784" w:right="490" w:hanging="360"/>
        <w:jc w:val="both"/>
        <w:rPr>
          <w:sz w:val="20"/>
        </w:rPr>
      </w:pPr>
      <w:r>
        <w:rPr>
          <w:sz w:val="20"/>
        </w:rPr>
        <w:t>Jurisdictions should ensure that penalties/interest charges are aligned in proportion to the outcomes of the MAP</w:t>
      </w:r>
      <w:r>
        <w:rPr>
          <w:spacing w:val="-2"/>
          <w:sz w:val="20"/>
        </w:rPr>
        <w:t> </w:t>
      </w:r>
      <w:r>
        <w:rPr>
          <w:sz w:val="20"/>
        </w:rPr>
        <w:t>process.</w:t>
      </w:r>
    </w:p>
    <w:p>
      <w:pPr>
        <w:pStyle w:val="ListParagraph"/>
        <w:numPr>
          <w:ilvl w:val="1"/>
          <w:numId w:val="13"/>
        </w:numPr>
        <w:tabs>
          <w:tab w:pos="1785" w:val="left" w:leader="none"/>
        </w:tabs>
        <w:spacing w:line="266" w:lineRule="auto" w:before="54" w:after="0"/>
        <w:ind w:left="1784" w:right="487" w:hanging="360"/>
        <w:jc w:val="both"/>
        <w:rPr>
          <w:sz w:val="20"/>
        </w:rPr>
      </w:pPr>
      <w:r>
        <w:rPr>
          <w:sz w:val="20"/>
        </w:rPr>
        <w:t>Jurisdictions</w:t>
      </w:r>
      <w:r>
        <w:rPr>
          <w:spacing w:val="-9"/>
          <w:sz w:val="20"/>
        </w:rPr>
        <w:t> </w:t>
      </w:r>
      <w:r>
        <w:rPr>
          <w:sz w:val="20"/>
        </w:rPr>
        <w:t>should</w:t>
      </w:r>
      <w:r>
        <w:rPr>
          <w:spacing w:val="-9"/>
          <w:sz w:val="20"/>
        </w:rPr>
        <w:t> </w:t>
      </w:r>
      <w:r>
        <w:rPr>
          <w:sz w:val="20"/>
        </w:rPr>
        <w:t>ensure</w:t>
      </w:r>
      <w:r>
        <w:rPr>
          <w:spacing w:val="-7"/>
          <w:sz w:val="20"/>
        </w:rPr>
        <w:t> </w:t>
      </w:r>
      <w:r>
        <w:rPr>
          <w:sz w:val="20"/>
        </w:rPr>
        <w:t>that</w:t>
      </w:r>
      <w:r>
        <w:rPr>
          <w:spacing w:val="-10"/>
          <w:sz w:val="20"/>
        </w:rPr>
        <w:t> </w:t>
      </w:r>
      <w:r>
        <w:rPr>
          <w:sz w:val="20"/>
        </w:rPr>
        <w:t>all</w:t>
      </w:r>
      <w:r>
        <w:rPr>
          <w:spacing w:val="-8"/>
          <w:sz w:val="20"/>
        </w:rPr>
        <w:t> </w:t>
      </w:r>
      <w:r>
        <w:rPr>
          <w:sz w:val="20"/>
        </w:rPr>
        <w:t>MAP</w:t>
      </w:r>
      <w:r>
        <w:rPr>
          <w:spacing w:val="-10"/>
          <w:sz w:val="20"/>
        </w:rPr>
        <w:t> </w:t>
      </w:r>
      <w:r>
        <w:rPr>
          <w:sz w:val="20"/>
        </w:rPr>
        <w:t>agreements</w:t>
      </w:r>
      <w:r>
        <w:rPr>
          <w:spacing w:val="-9"/>
          <w:sz w:val="20"/>
        </w:rPr>
        <w:t> </w:t>
      </w:r>
      <w:r>
        <w:rPr>
          <w:sz w:val="20"/>
        </w:rPr>
        <w:t>can</w:t>
      </w:r>
      <w:r>
        <w:rPr>
          <w:spacing w:val="-10"/>
          <w:sz w:val="20"/>
        </w:rPr>
        <w:t> </w:t>
      </w:r>
      <w:r>
        <w:rPr>
          <w:sz w:val="20"/>
        </w:rPr>
        <w:t>be</w:t>
      </w:r>
      <w:r>
        <w:rPr>
          <w:spacing w:val="-8"/>
          <w:sz w:val="20"/>
        </w:rPr>
        <w:t> </w:t>
      </w:r>
      <w:r>
        <w:rPr>
          <w:sz w:val="20"/>
        </w:rPr>
        <w:t>implemented</w:t>
      </w:r>
      <w:r>
        <w:rPr>
          <w:spacing w:val="-10"/>
          <w:sz w:val="20"/>
        </w:rPr>
        <w:t> </w:t>
      </w:r>
      <w:r>
        <w:rPr>
          <w:sz w:val="20"/>
        </w:rPr>
        <w:t>notwithstanding</w:t>
      </w:r>
      <w:r>
        <w:rPr>
          <w:spacing w:val="-9"/>
          <w:sz w:val="20"/>
        </w:rPr>
        <w:t> </w:t>
      </w:r>
      <w:r>
        <w:rPr>
          <w:sz w:val="20"/>
        </w:rPr>
        <w:t>the expiration of domestic time</w:t>
      </w:r>
      <w:r>
        <w:rPr>
          <w:spacing w:val="-3"/>
          <w:sz w:val="20"/>
        </w:rPr>
        <w:t> </w:t>
      </w:r>
      <w:r>
        <w:rPr>
          <w:sz w:val="20"/>
        </w:rPr>
        <w:t>limits.</w:t>
      </w:r>
    </w:p>
    <w:p>
      <w:pPr>
        <w:pStyle w:val="ListParagraph"/>
        <w:numPr>
          <w:ilvl w:val="1"/>
          <w:numId w:val="13"/>
        </w:numPr>
        <w:tabs>
          <w:tab w:pos="1785" w:val="left" w:leader="none"/>
        </w:tabs>
        <w:spacing w:line="271" w:lineRule="auto" w:before="51" w:after="0"/>
        <w:ind w:left="1784" w:right="485" w:hanging="360"/>
        <w:jc w:val="both"/>
        <w:rPr>
          <w:sz w:val="20"/>
        </w:rPr>
      </w:pPr>
      <w:r>
        <w:rPr>
          <w:sz w:val="20"/>
        </w:rPr>
        <w:t>Jurisdictions</w:t>
      </w:r>
      <w:r>
        <w:rPr>
          <w:spacing w:val="-10"/>
          <w:sz w:val="20"/>
        </w:rPr>
        <w:t> </w:t>
      </w:r>
      <w:r>
        <w:rPr>
          <w:sz w:val="20"/>
        </w:rPr>
        <w:t>should</w:t>
      </w:r>
      <w:r>
        <w:rPr>
          <w:spacing w:val="-10"/>
          <w:sz w:val="20"/>
        </w:rPr>
        <w:t> </w:t>
      </w:r>
      <w:r>
        <w:rPr>
          <w:sz w:val="20"/>
        </w:rPr>
        <w:t>implement</w:t>
      </w:r>
      <w:r>
        <w:rPr>
          <w:spacing w:val="-11"/>
          <w:sz w:val="20"/>
        </w:rPr>
        <w:t> </w:t>
      </w:r>
      <w:r>
        <w:rPr>
          <w:sz w:val="20"/>
        </w:rPr>
        <w:t>appropriate</w:t>
      </w:r>
      <w:r>
        <w:rPr>
          <w:spacing w:val="-9"/>
          <w:sz w:val="20"/>
        </w:rPr>
        <w:t> </w:t>
      </w:r>
      <w:r>
        <w:rPr>
          <w:sz w:val="20"/>
        </w:rPr>
        <w:t>procedures</w:t>
      </w:r>
      <w:r>
        <w:rPr>
          <w:spacing w:val="-6"/>
          <w:sz w:val="20"/>
        </w:rPr>
        <w:t> </w:t>
      </w:r>
      <w:r>
        <w:rPr>
          <w:sz w:val="20"/>
        </w:rPr>
        <w:t>to</w:t>
      </w:r>
      <w:r>
        <w:rPr>
          <w:spacing w:val="-11"/>
          <w:sz w:val="20"/>
        </w:rPr>
        <w:t> </w:t>
      </w:r>
      <w:r>
        <w:rPr>
          <w:sz w:val="20"/>
        </w:rPr>
        <w:t>permit,</w:t>
      </w:r>
      <w:r>
        <w:rPr>
          <w:spacing w:val="-10"/>
          <w:sz w:val="20"/>
        </w:rPr>
        <w:t> </w:t>
      </w:r>
      <w:r>
        <w:rPr>
          <w:sz w:val="20"/>
        </w:rPr>
        <w:t>in</w:t>
      </w:r>
      <w:r>
        <w:rPr>
          <w:spacing w:val="-11"/>
          <w:sz w:val="20"/>
        </w:rPr>
        <w:t> </w:t>
      </w:r>
      <w:r>
        <w:rPr>
          <w:sz w:val="20"/>
        </w:rPr>
        <w:t>certain</w:t>
      </w:r>
      <w:r>
        <w:rPr>
          <w:spacing w:val="-10"/>
          <w:sz w:val="20"/>
        </w:rPr>
        <w:t> </w:t>
      </w:r>
      <w:r>
        <w:rPr>
          <w:sz w:val="20"/>
        </w:rPr>
        <w:t>cases</w:t>
      </w:r>
      <w:r>
        <w:rPr>
          <w:spacing w:val="-10"/>
          <w:sz w:val="20"/>
        </w:rPr>
        <w:t> </w:t>
      </w:r>
      <w:r>
        <w:rPr>
          <w:sz w:val="20"/>
        </w:rPr>
        <w:t>and</w:t>
      </w:r>
      <w:r>
        <w:rPr>
          <w:spacing w:val="-10"/>
          <w:sz w:val="20"/>
        </w:rPr>
        <w:t> </w:t>
      </w:r>
      <w:r>
        <w:rPr>
          <w:sz w:val="20"/>
        </w:rPr>
        <w:t>after</w:t>
      </w:r>
      <w:r>
        <w:rPr>
          <w:spacing w:val="-10"/>
          <w:sz w:val="20"/>
        </w:rPr>
        <w:t> </w:t>
      </w:r>
      <w:r>
        <w:rPr>
          <w:sz w:val="20"/>
        </w:rPr>
        <w:t>an initial tax assessment, requests made by taxpayers which are within the </w:t>
      </w:r>
      <w:r>
        <w:rPr>
          <w:spacing w:val="3"/>
          <w:sz w:val="20"/>
        </w:rPr>
        <w:t>time </w:t>
      </w:r>
      <w:r>
        <w:rPr>
          <w:sz w:val="20"/>
        </w:rPr>
        <w:t>period provided for</w:t>
      </w:r>
      <w:r>
        <w:rPr>
          <w:spacing w:val="-15"/>
          <w:sz w:val="20"/>
        </w:rPr>
        <w:t> </w:t>
      </w:r>
      <w:r>
        <w:rPr>
          <w:sz w:val="20"/>
        </w:rPr>
        <w:t>in</w:t>
      </w:r>
      <w:r>
        <w:rPr>
          <w:spacing w:val="-16"/>
          <w:sz w:val="20"/>
        </w:rPr>
        <w:t> </w:t>
      </w:r>
      <w:r>
        <w:rPr>
          <w:sz w:val="20"/>
        </w:rPr>
        <w:t>the</w:t>
      </w:r>
      <w:r>
        <w:rPr>
          <w:spacing w:val="-16"/>
          <w:sz w:val="20"/>
        </w:rPr>
        <w:t> </w:t>
      </w:r>
      <w:r>
        <w:rPr>
          <w:sz w:val="20"/>
        </w:rPr>
        <w:t>tax</w:t>
      </w:r>
      <w:r>
        <w:rPr>
          <w:spacing w:val="-15"/>
          <w:sz w:val="20"/>
        </w:rPr>
        <w:t> </w:t>
      </w:r>
      <w:r>
        <w:rPr>
          <w:sz w:val="20"/>
        </w:rPr>
        <w:t>treaty</w:t>
      </w:r>
      <w:r>
        <w:rPr>
          <w:spacing w:val="-18"/>
          <w:sz w:val="20"/>
        </w:rPr>
        <w:t> </w:t>
      </w:r>
      <w:r>
        <w:rPr>
          <w:sz w:val="20"/>
        </w:rPr>
        <w:t>for</w:t>
      </w:r>
      <w:r>
        <w:rPr>
          <w:spacing w:val="-14"/>
          <w:sz w:val="20"/>
        </w:rPr>
        <w:t> </w:t>
      </w:r>
      <w:r>
        <w:rPr>
          <w:sz w:val="20"/>
        </w:rPr>
        <w:t>the</w:t>
      </w:r>
      <w:r>
        <w:rPr>
          <w:spacing w:val="-17"/>
          <w:sz w:val="20"/>
        </w:rPr>
        <w:t> </w:t>
      </w:r>
      <w:r>
        <w:rPr>
          <w:sz w:val="20"/>
        </w:rPr>
        <w:t>multiyear</w:t>
      </w:r>
      <w:r>
        <w:rPr>
          <w:spacing w:val="-14"/>
          <w:sz w:val="20"/>
        </w:rPr>
        <w:t> </w:t>
      </w:r>
      <w:r>
        <w:rPr>
          <w:sz w:val="20"/>
        </w:rPr>
        <w:t>resolution</w:t>
      </w:r>
      <w:r>
        <w:rPr>
          <w:spacing w:val="-17"/>
          <w:sz w:val="20"/>
        </w:rPr>
        <w:t> </w:t>
      </w:r>
      <w:r>
        <w:rPr>
          <w:sz w:val="20"/>
        </w:rPr>
        <w:t>through</w:t>
      </w:r>
      <w:r>
        <w:rPr>
          <w:spacing w:val="-15"/>
          <w:sz w:val="20"/>
        </w:rPr>
        <w:t> </w:t>
      </w:r>
      <w:r>
        <w:rPr>
          <w:sz w:val="20"/>
        </w:rPr>
        <w:t>the</w:t>
      </w:r>
      <w:r>
        <w:rPr>
          <w:spacing w:val="-17"/>
          <w:sz w:val="20"/>
        </w:rPr>
        <w:t> </w:t>
      </w:r>
      <w:r>
        <w:rPr>
          <w:sz w:val="20"/>
        </w:rPr>
        <w:t>MAP</w:t>
      </w:r>
      <w:r>
        <w:rPr>
          <w:spacing w:val="-13"/>
          <w:sz w:val="20"/>
        </w:rPr>
        <w:t> </w:t>
      </w:r>
      <w:r>
        <w:rPr>
          <w:sz w:val="20"/>
        </w:rPr>
        <w:t>of</w:t>
      </w:r>
      <w:r>
        <w:rPr>
          <w:spacing w:val="-14"/>
          <w:sz w:val="20"/>
        </w:rPr>
        <w:t> </w:t>
      </w:r>
      <w:r>
        <w:rPr>
          <w:sz w:val="20"/>
        </w:rPr>
        <w:t>recurring</w:t>
      </w:r>
      <w:r>
        <w:rPr>
          <w:spacing w:val="-16"/>
          <w:sz w:val="20"/>
        </w:rPr>
        <w:t> </w:t>
      </w:r>
      <w:r>
        <w:rPr>
          <w:sz w:val="20"/>
        </w:rPr>
        <w:t>issues</w:t>
      </w:r>
      <w:r>
        <w:rPr>
          <w:spacing w:val="-12"/>
          <w:sz w:val="20"/>
        </w:rPr>
        <w:t> </w:t>
      </w:r>
      <w:r>
        <w:rPr>
          <w:sz w:val="20"/>
        </w:rPr>
        <w:t>with</w:t>
      </w:r>
      <w:r>
        <w:rPr>
          <w:spacing w:val="-16"/>
          <w:sz w:val="20"/>
        </w:rPr>
        <w:t> </w:t>
      </w:r>
      <w:r>
        <w:rPr>
          <w:sz w:val="20"/>
        </w:rPr>
        <w:t>respect to</w:t>
      </w:r>
      <w:r>
        <w:rPr>
          <w:spacing w:val="-7"/>
          <w:sz w:val="20"/>
        </w:rPr>
        <w:t> </w:t>
      </w:r>
      <w:r>
        <w:rPr>
          <w:sz w:val="20"/>
        </w:rPr>
        <w:t>filed</w:t>
      </w:r>
      <w:r>
        <w:rPr>
          <w:spacing w:val="-7"/>
          <w:sz w:val="20"/>
        </w:rPr>
        <w:t> </w:t>
      </w:r>
      <w:r>
        <w:rPr>
          <w:sz w:val="20"/>
        </w:rPr>
        <w:t>tax</w:t>
      </w:r>
      <w:r>
        <w:rPr>
          <w:spacing w:val="-1"/>
          <w:sz w:val="20"/>
        </w:rPr>
        <w:t> </w:t>
      </w:r>
      <w:r>
        <w:rPr>
          <w:sz w:val="20"/>
        </w:rPr>
        <w:t>years,</w:t>
      </w:r>
      <w:r>
        <w:rPr>
          <w:spacing w:val="-3"/>
          <w:sz w:val="20"/>
        </w:rPr>
        <w:t> </w:t>
      </w:r>
      <w:r>
        <w:rPr>
          <w:sz w:val="20"/>
        </w:rPr>
        <w:t>where</w:t>
      </w:r>
      <w:r>
        <w:rPr>
          <w:spacing w:val="-6"/>
          <w:sz w:val="20"/>
        </w:rPr>
        <w:t> </w:t>
      </w:r>
      <w:r>
        <w:rPr>
          <w:sz w:val="20"/>
        </w:rPr>
        <w:t>the</w:t>
      </w:r>
      <w:r>
        <w:rPr>
          <w:spacing w:val="-5"/>
          <w:sz w:val="20"/>
        </w:rPr>
        <w:t> </w:t>
      </w:r>
      <w:r>
        <w:rPr>
          <w:sz w:val="20"/>
        </w:rPr>
        <w:t>relevant</w:t>
      </w:r>
      <w:r>
        <w:rPr>
          <w:spacing w:val="-6"/>
          <w:sz w:val="20"/>
        </w:rPr>
        <w:t> </w:t>
      </w:r>
      <w:r>
        <w:rPr>
          <w:sz w:val="20"/>
        </w:rPr>
        <w:t>facts</w:t>
      </w:r>
      <w:r>
        <w:rPr>
          <w:spacing w:val="-5"/>
          <w:sz w:val="20"/>
        </w:rPr>
        <w:t> </w:t>
      </w:r>
      <w:r>
        <w:rPr>
          <w:sz w:val="20"/>
        </w:rPr>
        <w:t>and</w:t>
      </w:r>
      <w:r>
        <w:rPr>
          <w:spacing w:val="-5"/>
          <w:sz w:val="20"/>
        </w:rPr>
        <w:t> </w:t>
      </w:r>
      <w:r>
        <w:rPr>
          <w:sz w:val="20"/>
        </w:rPr>
        <w:t>circumstances</w:t>
      </w:r>
      <w:r>
        <w:rPr>
          <w:spacing w:val="-5"/>
          <w:sz w:val="20"/>
        </w:rPr>
        <w:t> </w:t>
      </w:r>
      <w:r>
        <w:rPr>
          <w:sz w:val="20"/>
        </w:rPr>
        <w:t>are</w:t>
      </w:r>
      <w:r>
        <w:rPr>
          <w:spacing w:val="-4"/>
          <w:sz w:val="20"/>
        </w:rPr>
        <w:t> </w:t>
      </w:r>
      <w:r>
        <w:rPr>
          <w:sz w:val="20"/>
        </w:rPr>
        <w:t>the</w:t>
      </w:r>
      <w:r>
        <w:rPr>
          <w:spacing w:val="-5"/>
          <w:sz w:val="20"/>
        </w:rPr>
        <w:t> </w:t>
      </w:r>
      <w:r>
        <w:rPr>
          <w:sz w:val="20"/>
        </w:rPr>
        <w:t>same</w:t>
      </w:r>
      <w:r>
        <w:rPr>
          <w:spacing w:val="-6"/>
          <w:sz w:val="20"/>
        </w:rPr>
        <w:t> </w:t>
      </w:r>
      <w:r>
        <w:rPr>
          <w:sz w:val="20"/>
        </w:rPr>
        <w:t>and</w:t>
      </w:r>
      <w:r>
        <w:rPr>
          <w:spacing w:val="-7"/>
          <w:sz w:val="20"/>
        </w:rPr>
        <w:t> </w:t>
      </w:r>
      <w:r>
        <w:rPr>
          <w:sz w:val="20"/>
        </w:rPr>
        <w:t>subject</w:t>
      </w:r>
      <w:r>
        <w:rPr>
          <w:spacing w:val="-6"/>
          <w:sz w:val="20"/>
        </w:rPr>
        <w:t> </w:t>
      </w:r>
      <w:r>
        <w:rPr>
          <w:sz w:val="20"/>
        </w:rPr>
        <w:t>to</w:t>
      </w:r>
      <w:r>
        <w:rPr>
          <w:spacing w:val="-6"/>
          <w:sz w:val="20"/>
        </w:rPr>
        <w:t> </w:t>
      </w:r>
      <w:r>
        <w:rPr>
          <w:sz w:val="20"/>
        </w:rPr>
        <w:t>the verification of such facts and circumstances on</w:t>
      </w:r>
      <w:r>
        <w:rPr>
          <w:spacing w:val="-5"/>
          <w:sz w:val="20"/>
        </w:rPr>
        <w:t> </w:t>
      </w:r>
      <w:r>
        <w:rPr>
          <w:sz w:val="20"/>
        </w:rPr>
        <w:t>audit.</w:t>
      </w:r>
    </w:p>
    <w:p>
      <w:pPr>
        <w:pStyle w:val="ListParagraph"/>
        <w:numPr>
          <w:ilvl w:val="0"/>
          <w:numId w:val="13"/>
        </w:numPr>
        <w:tabs>
          <w:tab w:pos="1444" w:val="left" w:leader="none"/>
        </w:tabs>
        <w:spacing w:line="271" w:lineRule="auto" w:before="125" w:after="0"/>
        <w:ind w:left="723" w:right="480" w:firstLine="0"/>
        <w:jc w:val="both"/>
        <w:rPr>
          <w:sz w:val="20"/>
        </w:rPr>
      </w:pPr>
      <w:r>
        <w:rPr>
          <w:sz w:val="20"/>
        </w:rPr>
        <w:t>The implementation of a mandatory and binding dispute resolution mechanism beyond Amount A should itself contribute to more effective MAP processes. While the effects of mandatory and binding dispute resolution mechanisms such as MAP arbitration may be difficult to separate from the effects of other initiatives to improve competent authority operations, experience has generally shown that the adoption of mandatory and binding dispute resolution mechanisms has contributed to more constructive competent authority collaboration, with the result that competent authorities are generally able to reach agreement within a timeframe that avoids triggering those mechanisms. A mandatory and binding dispute resolution</w:t>
      </w:r>
      <w:r>
        <w:rPr>
          <w:spacing w:val="-5"/>
          <w:sz w:val="20"/>
        </w:rPr>
        <w:t> </w:t>
      </w:r>
      <w:r>
        <w:rPr>
          <w:sz w:val="20"/>
        </w:rPr>
        <w:t>mechanism</w:t>
      </w:r>
      <w:r>
        <w:rPr>
          <w:spacing w:val="-1"/>
          <w:sz w:val="20"/>
        </w:rPr>
        <w:t> </w:t>
      </w:r>
      <w:r>
        <w:rPr>
          <w:sz w:val="20"/>
        </w:rPr>
        <w:t>beyond</w:t>
      </w:r>
      <w:r>
        <w:rPr>
          <w:spacing w:val="-5"/>
          <w:sz w:val="20"/>
        </w:rPr>
        <w:t> </w:t>
      </w:r>
      <w:r>
        <w:rPr>
          <w:sz w:val="20"/>
        </w:rPr>
        <w:t>Amount</w:t>
      </w:r>
      <w:r>
        <w:rPr>
          <w:spacing w:val="-4"/>
          <w:sz w:val="20"/>
        </w:rPr>
        <w:t> </w:t>
      </w:r>
      <w:r>
        <w:rPr>
          <w:sz w:val="20"/>
        </w:rPr>
        <w:t>A</w:t>
      </w:r>
      <w:r>
        <w:rPr>
          <w:spacing w:val="-7"/>
          <w:sz w:val="20"/>
        </w:rPr>
        <w:t> </w:t>
      </w:r>
      <w:r>
        <w:rPr>
          <w:sz w:val="20"/>
        </w:rPr>
        <w:t>should</w:t>
      </w:r>
      <w:r>
        <w:rPr>
          <w:spacing w:val="-4"/>
          <w:sz w:val="20"/>
        </w:rPr>
        <w:t> </w:t>
      </w:r>
      <w:r>
        <w:rPr>
          <w:sz w:val="20"/>
        </w:rPr>
        <w:t>reasonably</w:t>
      </w:r>
      <w:r>
        <w:rPr>
          <w:spacing w:val="-6"/>
          <w:sz w:val="20"/>
        </w:rPr>
        <w:t> </w:t>
      </w:r>
      <w:r>
        <w:rPr>
          <w:sz w:val="20"/>
        </w:rPr>
        <w:t>be</w:t>
      </w:r>
      <w:r>
        <w:rPr>
          <w:spacing w:val="-4"/>
          <w:sz w:val="20"/>
        </w:rPr>
        <w:t> </w:t>
      </w:r>
      <w:r>
        <w:rPr>
          <w:sz w:val="20"/>
        </w:rPr>
        <w:t>expected</w:t>
      </w:r>
      <w:r>
        <w:rPr>
          <w:spacing w:val="-4"/>
          <w:sz w:val="20"/>
        </w:rPr>
        <w:t> </w:t>
      </w:r>
      <w:r>
        <w:rPr>
          <w:sz w:val="20"/>
        </w:rPr>
        <w:t>to</w:t>
      </w:r>
      <w:r>
        <w:rPr>
          <w:spacing w:val="-4"/>
          <w:sz w:val="20"/>
        </w:rPr>
        <w:t> </w:t>
      </w:r>
      <w:r>
        <w:rPr>
          <w:sz w:val="20"/>
        </w:rPr>
        <w:t>produce</w:t>
      </w:r>
      <w:r>
        <w:rPr>
          <w:spacing w:val="-6"/>
          <w:sz w:val="20"/>
        </w:rPr>
        <w:t> </w:t>
      </w:r>
      <w:r>
        <w:rPr>
          <w:sz w:val="20"/>
        </w:rPr>
        <w:t>a</w:t>
      </w:r>
      <w:r>
        <w:rPr>
          <w:spacing w:val="-4"/>
          <w:sz w:val="20"/>
        </w:rPr>
        <w:t> </w:t>
      </w:r>
      <w:r>
        <w:rPr>
          <w:sz w:val="20"/>
        </w:rPr>
        <w:t>similar</w:t>
      </w:r>
      <w:r>
        <w:rPr>
          <w:spacing w:val="-6"/>
          <w:sz w:val="20"/>
        </w:rPr>
        <w:t> </w:t>
      </w:r>
      <w:r>
        <w:rPr>
          <w:sz w:val="20"/>
        </w:rPr>
        <w:t>effect</w:t>
      </w:r>
      <w:r>
        <w:rPr>
          <w:spacing w:val="-1"/>
          <w:sz w:val="20"/>
        </w:rPr>
        <w:t> </w:t>
      </w:r>
      <w:r>
        <w:rPr>
          <w:sz w:val="20"/>
        </w:rPr>
        <w:t>–</w:t>
      </w:r>
      <w:r>
        <w:rPr>
          <w:spacing w:val="-4"/>
          <w:sz w:val="20"/>
        </w:rPr>
        <w:t> </w:t>
      </w:r>
      <w:r>
        <w:rPr>
          <w:sz w:val="20"/>
        </w:rPr>
        <w:t>that is, the broader dispute resolution mechanism should be expected to provide competent authorities with strong incentives to bridge their differences to reach agreement and should accordingly be triggered only exceptionally.</w:t>
      </w:r>
    </w:p>
    <w:p>
      <w:pPr>
        <w:pStyle w:val="ListParagraph"/>
        <w:numPr>
          <w:ilvl w:val="0"/>
          <w:numId w:val="13"/>
        </w:numPr>
        <w:tabs>
          <w:tab w:pos="1444" w:val="left" w:leader="none"/>
        </w:tabs>
        <w:spacing w:line="271" w:lineRule="auto" w:before="123" w:after="0"/>
        <w:ind w:left="723" w:right="484" w:firstLine="0"/>
        <w:jc w:val="both"/>
        <w:rPr>
          <w:sz w:val="20"/>
        </w:rPr>
      </w:pPr>
      <w:r>
        <w:rPr>
          <w:sz w:val="20"/>
        </w:rPr>
        <w:t>The</w:t>
      </w:r>
      <w:r>
        <w:rPr>
          <w:spacing w:val="-8"/>
          <w:sz w:val="20"/>
        </w:rPr>
        <w:t> </w:t>
      </w:r>
      <w:r>
        <w:rPr>
          <w:sz w:val="20"/>
        </w:rPr>
        <w:t>options</w:t>
      </w:r>
      <w:r>
        <w:rPr>
          <w:spacing w:val="-6"/>
          <w:sz w:val="20"/>
        </w:rPr>
        <w:t> </w:t>
      </w:r>
      <w:r>
        <w:rPr>
          <w:sz w:val="20"/>
        </w:rPr>
        <w:t>explored</w:t>
      </w:r>
      <w:r>
        <w:rPr>
          <w:spacing w:val="-7"/>
          <w:sz w:val="20"/>
        </w:rPr>
        <w:t> </w:t>
      </w:r>
      <w:r>
        <w:rPr>
          <w:sz w:val="20"/>
        </w:rPr>
        <w:t>will</w:t>
      </w:r>
      <w:r>
        <w:rPr>
          <w:spacing w:val="-8"/>
          <w:sz w:val="20"/>
        </w:rPr>
        <w:t> </w:t>
      </w:r>
      <w:r>
        <w:rPr>
          <w:sz w:val="20"/>
        </w:rPr>
        <w:t>include</w:t>
      </w:r>
      <w:r>
        <w:rPr>
          <w:spacing w:val="-7"/>
          <w:sz w:val="20"/>
        </w:rPr>
        <w:t> </w:t>
      </w:r>
      <w:r>
        <w:rPr>
          <w:sz w:val="20"/>
        </w:rPr>
        <w:t>broader</w:t>
      </w:r>
      <w:r>
        <w:rPr>
          <w:spacing w:val="-7"/>
          <w:sz w:val="20"/>
        </w:rPr>
        <w:t> </w:t>
      </w:r>
      <w:r>
        <w:rPr>
          <w:sz w:val="20"/>
        </w:rPr>
        <w:t>support</w:t>
      </w:r>
      <w:r>
        <w:rPr>
          <w:spacing w:val="-7"/>
          <w:sz w:val="20"/>
        </w:rPr>
        <w:t> </w:t>
      </w:r>
      <w:r>
        <w:rPr>
          <w:sz w:val="20"/>
        </w:rPr>
        <w:t>for</w:t>
      </w:r>
      <w:r>
        <w:rPr>
          <w:spacing w:val="-6"/>
          <w:sz w:val="20"/>
        </w:rPr>
        <w:t> </w:t>
      </w:r>
      <w:r>
        <w:rPr>
          <w:sz w:val="20"/>
        </w:rPr>
        <w:t>low-capacity</w:t>
      </w:r>
      <w:r>
        <w:rPr>
          <w:spacing w:val="-13"/>
          <w:sz w:val="20"/>
        </w:rPr>
        <w:t> </w:t>
      </w:r>
      <w:r>
        <w:rPr>
          <w:sz w:val="20"/>
        </w:rPr>
        <w:t>jurisdictions’</w:t>
      </w:r>
      <w:r>
        <w:rPr>
          <w:spacing w:val="-7"/>
          <w:sz w:val="20"/>
        </w:rPr>
        <w:t> </w:t>
      </w:r>
      <w:r>
        <w:rPr>
          <w:sz w:val="20"/>
        </w:rPr>
        <w:t>MAP</w:t>
      </w:r>
      <w:r>
        <w:rPr>
          <w:spacing w:val="-8"/>
          <w:sz w:val="20"/>
        </w:rPr>
        <w:t> </w:t>
      </w:r>
      <w:r>
        <w:rPr>
          <w:sz w:val="20"/>
        </w:rPr>
        <w:t>programmes through</w:t>
      </w:r>
      <w:r>
        <w:rPr>
          <w:spacing w:val="-7"/>
          <w:sz w:val="20"/>
        </w:rPr>
        <w:t> </w:t>
      </w:r>
      <w:r>
        <w:rPr>
          <w:sz w:val="20"/>
        </w:rPr>
        <w:t>the</w:t>
      </w:r>
      <w:r>
        <w:rPr>
          <w:spacing w:val="-6"/>
          <w:sz w:val="20"/>
        </w:rPr>
        <w:t> </w:t>
      </w:r>
      <w:r>
        <w:rPr>
          <w:sz w:val="20"/>
        </w:rPr>
        <w:t>ongoing</w:t>
      </w:r>
      <w:r>
        <w:rPr>
          <w:spacing w:val="-3"/>
          <w:sz w:val="20"/>
        </w:rPr>
        <w:t> </w:t>
      </w:r>
      <w:r>
        <w:rPr>
          <w:sz w:val="20"/>
        </w:rPr>
        <w:t>work</w:t>
      </w:r>
      <w:r>
        <w:rPr>
          <w:spacing w:val="-2"/>
          <w:sz w:val="20"/>
        </w:rPr>
        <w:t> </w:t>
      </w:r>
      <w:r>
        <w:rPr>
          <w:sz w:val="20"/>
        </w:rPr>
        <w:t>of</w:t>
      </w:r>
      <w:r>
        <w:rPr>
          <w:spacing w:val="-4"/>
          <w:sz w:val="20"/>
        </w:rPr>
        <w:t> </w:t>
      </w:r>
      <w:r>
        <w:rPr>
          <w:sz w:val="20"/>
        </w:rPr>
        <w:t>the</w:t>
      </w:r>
      <w:r>
        <w:rPr>
          <w:spacing w:val="-6"/>
          <w:sz w:val="20"/>
        </w:rPr>
        <w:t> </w:t>
      </w:r>
      <w:r>
        <w:rPr>
          <w:sz w:val="20"/>
        </w:rPr>
        <w:t>FTA</w:t>
      </w:r>
      <w:r>
        <w:rPr>
          <w:spacing w:val="-6"/>
          <w:sz w:val="20"/>
        </w:rPr>
        <w:t> </w:t>
      </w:r>
      <w:r>
        <w:rPr>
          <w:sz w:val="20"/>
        </w:rPr>
        <w:t>MAP</w:t>
      </w:r>
      <w:r>
        <w:rPr>
          <w:spacing w:val="-7"/>
          <w:sz w:val="20"/>
        </w:rPr>
        <w:t> </w:t>
      </w:r>
      <w:r>
        <w:rPr>
          <w:sz w:val="20"/>
        </w:rPr>
        <w:t>Forum.</w:t>
      </w:r>
      <w:r>
        <w:rPr>
          <w:spacing w:val="-5"/>
          <w:sz w:val="20"/>
        </w:rPr>
        <w:t> </w:t>
      </w:r>
      <w:r>
        <w:rPr>
          <w:sz w:val="20"/>
        </w:rPr>
        <w:t>Such</w:t>
      </w:r>
      <w:r>
        <w:rPr>
          <w:spacing w:val="-6"/>
          <w:sz w:val="20"/>
        </w:rPr>
        <w:t> </w:t>
      </w:r>
      <w:r>
        <w:rPr>
          <w:sz w:val="20"/>
        </w:rPr>
        <w:t>support</w:t>
      </w:r>
      <w:r>
        <w:rPr>
          <w:spacing w:val="-5"/>
          <w:sz w:val="20"/>
        </w:rPr>
        <w:t> </w:t>
      </w:r>
      <w:r>
        <w:rPr>
          <w:sz w:val="20"/>
        </w:rPr>
        <w:t>could</w:t>
      </w:r>
      <w:r>
        <w:rPr>
          <w:spacing w:val="-4"/>
          <w:sz w:val="20"/>
        </w:rPr>
        <w:t> </w:t>
      </w:r>
      <w:r>
        <w:rPr>
          <w:sz w:val="20"/>
        </w:rPr>
        <w:t>include</w:t>
      </w:r>
      <w:r>
        <w:rPr>
          <w:spacing w:val="-4"/>
          <w:sz w:val="20"/>
        </w:rPr>
        <w:t> </w:t>
      </w:r>
      <w:r>
        <w:rPr>
          <w:sz w:val="20"/>
        </w:rPr>
        <w:t>an</w:t>
      </w:r>
      <w:r>
        <w:rPr>
          <w:spacing w:val="-4"/>
          <w:sz w:val="20"/>
        </w:rPr>
        <w:t> </w:t>
      </w:r>
      <w:r>
        <w:rPr>
          <w:sz w:val="20"/>
        </w:rPr>
        <w:t>adapted</w:t>
      </w:r>
      <w:r>
        <w:rPr>
          <w:spacing w:val="-7"/>
          <w:sz w:val="20"/>
        </w:rPr>
        <w:t> </w:t>
      </w:r>
      <w:r>
        <w:rPr>
          <w:sz w:val="20"/>
        </w:rPr>
        <w:t>form</w:t>
      </w:r>
      <w:r>
        <w:rPr>
          <w:spacing w:val="-1"/>
          <w:sz w:val="20"/>
        </w:rPr>
        <w:t> </w:t>
      </w:r>
      <w:r>
        <w:rPr>
          <w:sz w:val="20"/>
        </w:rPr>
        <w:t>of</w:t>
      </w:r>
      <w:r>
        <w:rPr>
          <w:spacing w:val="-4"/>
          <w:sz w:val="20"/>
        </w:rPr>
        <w:t> </w:t>
      </w:r>
      <w:r>
        <w:rPr>
          <w:sz w:val="20"/>
        </w:rPr>
        <w:t>the</w:t>
      </w:r>
      <w:r>
        <w:rPr>
          <w:spacing w:val="-7"/>
          <w:sz w:val="20"/>
        </w:rPr>
        <w:t> </w:t>
      </w:r>
      <w:r>
        <w:rPr>
          <w:sz w:val="20"/>
        </w:rPr>
        <w:t>Tax Inspectors Without Borders (TIWB) programme to provide technical assistance to these</w:t>
      </w:r>
      <w:r>
        <w:rPr>
          <w:spacing w:val="48"/>
          <w:sz w:val="20"/>
        </w:rPr>
        <w:t> </w:t>
      </w:r>
      <w:r>
        <w:rPr>
          <w:sz w:val="20"/>
        </w:rPr>
        <w:t>jurisdictions’</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91"/>
        <w:jc w:val="both"/>
      </w:pPr>
      <w:r>
        <w:rPr/>
        <w:t>competent authorities as well as training and other capacity building activities delivered through the Inclusive Framework and other international organisations such as the United Nations.</w:t>
      </w:r>
    </w:p>
    <w:p>
      <w:pPr>
        <w:pStyle w:val="ListParagraph"/>
        <w:numPr>
          <w:ilvl w:val="0"/>
          <w:numId w:val="13"/>
        </w:numPr>
        <w:tabs>
          <w:tab w:pos="1444" w:val="left" w:leader="none"/>
        </w:tabs>
        <w:spacing w:line="271" w:lineRule="auto" w:before="119" w:after="0"/>
        <w:ind w:left="723" w:right="482" w:firstLine="0"/>
        <w:jc w:val="both"/>
        <w:rPr>
          <w:sz w:val="20"/>
        </w:rPr>
      </w:pPr>
      <w:r>
        <w:rPr>
          <w:sz w:val="20"/>
        </w:rPr>
        <w:t>Work to improve the MAP as it relates to issues beyond Amount A will be carried out within the overall</w:t>
      </w:r>
      <w:r>
        <w:rPr>
          <w:spacing w:val="-12"/>
          <w:sz w:val="20"/>
        </w:rPr>
        <w:t> </w:t>
      </w:r>
      <w:r>
        <w:rPr>
          <w:sz w:val="20"/>
        </w:rPr>
        <w:t>framework</w:t>
      </w:r>
      <w:r>
        <w:rPr>
          <w:spacing w:val="-7"/>
          <w:sz w:val="20"/>
        </w:rPr>
        <w:t> </w:t>
      </w:r>
      <w:r>
        <w:rPr>
          <w:sz w:val="20"/>
        </w:rPr>
        <w:t>of</w:t>
      </w:r>
      <w:r>
        <w:rPr>
          <w:spacing w:val="-9"/>
          <w:sz w:val="20"/>
        </w:rPr>
        <w:t> </w:t>
      </w:r>
      <w:r>
        <w:rPr>
          <w:sz w:val="20"/>
        </w:rPr>
        <w:t>the</w:t>
      </w:r>
      <w:r>
        <w:rPr>
          <w:spacing w:val="-12"/>
          <w:sz w:val="20"/>
        </w:rPr>
        <w:t> </w:t>
      </w:r>
      <w:r>
        <w:rPr>
          <w:sz w:val="20"/>
        </w:rPr>
        <w:t>continuing</w:t>
      </w:r>
      <w:r>
        <w:rPr>
          <w:spacing w:val="-12"/>
          <w:sz w:val="20"/>
        </w:rPr>
        <w:t> </w:t>
      </w:r>
      <w:r>
        <w:rPr>
          <w:sz w:val="20"/>
        </w:rPr>
        <w:t>relevant</w:t>
      </w:r>
      <w:r>
        <w:rPr>
          <w:spacing w:val="-9"/>
          <w:sz w:val="20"/>
        </w:rPr>
        <w:t> </w:t>
      </w:r>
      <w:r>
        <w:rPr>
          <w:sz w:val="20"/>
        </w:rPr>
        <w:t>work</w:t>
      </w:r>
      <w:r>
        <w:rPr>
          <w:spacing w:val="-3"/>
          <w:sz w:val="20"/>
        </w:rPr>
        <w:t> </w:t>
      </w:r>
      <w:r>
        <w:rPr>
          <w:sz w:val="20"/>
        </w:rPr>
        <w:t>streams</w:t>
      </w:r>
      <w:r>
        <w:rPr>
          <w:spacing w:val="-10"/>
          <w:sz w:val="20"/>
        </w:rPr>
        <w:t> </w:t>
      </w:r>
      <w:r>
        <w:rPr>
          <w:sz w:val="20"/>
        </w:rPr>
        <w:t>of</w:t>
      </w:r>
      <w:r>
        <w:rPr>
          <w:spacing w:val="-9"/>
          <w:sz w:val="20"/>
        </w:rPr>
        <w:t> </w:t>
      </w:r>
      <w:r>
        <w:rPr>
          <w:sz w:val="20"/>
        </w:rPr>
        <w:t>the</w:t>
      </w:r>
      <w:r>
        <w:rPr>
          <w:spacing w:val="-12"/>
          <w:sz w:val="20"/>
        </w:rPr>
        <w:t> </w:t>
      </w:r>
      <w:r>
        <w:rPr>
          <w:sz w:val="20"/>
        </w:rPr>
        <w:t>FTA</w:t>
      </w:r>
      <w:r>
        <w:rPr>
          <w:spacing w:val="-12"/>
          <w:sz w:val="20"/>
        </w:rPr>
        <w:t> </w:t>
      </w:r>
      <w:r>
        <w:rPr>
          <w:sz w:val="20"/>
        </w:rPr>
        <w:t>MAP</w:t>
      </w:r>
      <w:r>
        <w:rPr>
          <w:spacing w:val="-12"/>
          <w:sz w:val="20"/>
        </w:rPr>
        <w:t> </w:t>
      </w:r>
      <w:r>
        <w:rPr>
          <w:sz w:val="20"/>
        </w:rPr>
        <w:t>Forum,</w:t>
      </w:r>
      <w:r>
        <w:rPr>
          <w:spacing w:val="-11"/>
          <w:sz w:val="20"/>
        </w:rPr>
        <w:t> </w:t>
      </w:r>
      <w:r>
        <w:rPr>
          <w:sz w:val="20"/>
        </w:rPr>
        <w:t>given</w:t>
      </w:r>
      <w:r>
        <w:rPr>
          <w:spacing w:val="-10"/>
          <w:sz w:val="20"/>
        </w:rPr>
        <w:t> </w:t>
      </w:r>
      <w:r>
        <w:rPr>
          <w:sz w:val="20"/>
        </w:rPr>
        <w:t>that</w:t>
      </w:r>
      <w:r>
        <w:rPr>
          <w:spacing w:val="-11"/>
          <w:sz w:val="20"/>
        </w:rPr>
        <w:t> </w:t>
      </w:r>
      <w:r>
        <w:rPr>
          <w:sz w:val="20"/>
        </w:rPr>
        <w:t>body’s</w:t>
      </w:r>
      <w:r>
        <w:rPr>
          <w:spacing w:val="-8"/>
          <w:sz w:val="20"/>
        </w:rPr>
        <w:t> </w:t>
      </w:r>
      <w:r>
        <w:rPr>
          <w:sz w:val="20"/>
        </w:rPr>
        <w:t>broad mandate to work collectively to improve the effectiveness of the MAP to meet the needs of both governments and taxpayers in the global tax</w:t>
      </w:r>
      <w:r>
        <w:rPr>
          <w:spacing w:val="-6"/>
          <w:sz w:val="20"/>
        </w:rPr>
        <w:t> </w:t>
      </w:r>
      <w:r>
        <w:rPr>
          <w:sz w:val="20"/>
        </w:rPr>
        <w:t>environment.</w:t>
      </w:r>
    </w:p>
    <w:p>
      <w:pPr>
        <w:pStyle w:val="BodyText"/>
        <w:spacing w:before="6"/>
        <w:rPr>
          <w:sz w:val="23"/>
        </w:rPr>
      </w:pPr>
    </w:p>
    <w:p>
      <w:pPr>
        <w:pStyle w:val="Heading6"/>
        <w:numPr>
          <w:ilvl w:val="2"/>
          <w:numId w:val="81"/>
        </w:numPr>
        <w:tabs>
          <w:tab w:pos="2015" w:val="left" w:leader="none"/>
        </w:tabs>
        <w:spacing w:line="240" w:lineRule="auto" w:before="1" w:after="0"/>
        <w:ind w:left="2014" w:right="81" w:hanging="2015"/>
        <w:jc w:val="left"/>
        <w:rPr>
          <w:i/>
        </w:rPr>
      </w:pPr>
      <w:bookmarkStart w:name="9.3.3. Step 3: A binding dispute resolut" w:id="458"/>
      <w:bookmarkEnd w:id="458"/>
      <w:r>
        <w:rPr>
          <w:b w:val="0"/>
          <w:i w:val="0"/>
        </w:rPr>
      </w:r>
      <w:bookmarkStart w:name="9.3.3. Step 3: A binding dispute resolut" w:id="459"/>
      <w:bookmarkEnd w:id="459"/>
      <w:r>
        <w:rPr>
          <w:i/>
        </w:rPr>
        <w:t>S</w:t>
      </w:r>
      <w:r>
        <w:rPr>
          <w:i/>
        </w:rPr>
        <w:t>tep 3: A binding dispute resolution mechanism beyond Amount</w:t>
      </w:r>
      <w:r>
        <w:rPr>
          <w:i/>
          <w:spacing w:val="-15"/>
        </w:rPr>
        <w:t> </w:t>
      </w:r>
      <w:r>
        <w:rPr>
          <w:i/>
        </w:rPr>
        <w:t>A</w:t>
      </w:r>
    </w:p>
    <w:p>
      <w:pPr>
        <w:pStyle w:val="BodyText"/>
        <w:spacing w:before="3"/>
        <w:rPr>
          <w:b/>
          <w:i/>
          <w:sz w:val="23"/>
        </w:rPr>
      </w:pPr>
    </w:p>
    <w:p>
      <w:pPr>
        <w:pStyle w:val="Heading7"/>
        <w:rPr>
          <w:i/>
        </w:rPr>
      </w:pPr>
      <w:bookmarkStart w:name="The scope of dispute prevention and reso" w:id="460"/>
      <w:bookmarkEnd w:id="460"/>
      <w:r>
        <w:rPr>
          <w:i w:val="0"/>
        </w:rPr>
      </w:r>
      <w:r>
        <w:rPr>
          <w:i/>
          <w:color w:val="616161"/>
        </w:rPr>
        <w:t>The scope of dispute prevention and resolution beyond Amount A</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As</w:t>
      </w:r>
      <w:r>
        <w:rPr>
          <w:spacing w:val="-10"/>
          <w:sz w:val="20"/>
        </w:rPr>
        <w:t> </w:t>
      </w:r>
      <w:r>
        <w:rPr>
          <w:sz w:val="20"/>
        </w:rPr>
        <w:t>already</w:t>
      </w:r>
      <w:r>
        <w:rPr>
          <w:spacing w:val="-15"/>
          <w:sz w:val="20"/>
        </w:rPr>
        <w:t> </w:t>
      </w:r>
      <w:r>
        <w:rPr>
          <w:sz w:val="20"/>
        </w:rPr>
        <w:t>noted,</w:t>
      </w:r>
      <w:r>
        <w:rPr>
          <w:spacing w:val="-11"/>
          <w:sz w:val="20"/>
        </w:rPr>
        <w:t> </w:t>
      </w:r>
      <w:r>
        <w:rPr>
          <w:sz w:val="20"/>
        </w:rPr>
        <w:t>there</w:t>
      </w:r>
      <w:r>
        <w:rPr>
          <w:spacing w:val="-12"/>
          <w:sz w:val="20"/>
        </w:rPr>
        <w:t> </w:t>
      </w:r>
      <w:r>
        <w:rPr>
          <w:sz w:val="20"/>
        </w:rPr>
        <w:t>remain</w:t>
      </w:r>
      <w:r>
        <w:rPr>
          <w:spacing w:val="-9"/>
          <w:sz w:val="20"/>
        </w:rPr>
        <w:t> </w:t>
      </w:r>
      <w:r>
        <w:rPr>
          <w:sz w:val="20"/>
        </w:rPr>
        <w:t>differences</w:t>
      </w:r>
      <w:r>
        <w:rPr>
          <w:spacing w:val="-10"/>
          <w:sz w:val="20"/>
        </w:rPr>
        <w:t> </w:t>
      </w:r>
      <w:r>
        <w:rPr>
          <w:sz w:val="20"/>
        </w:rPr>
        <w:t>in</w:t>
      </w:r>
      <w:r>
        <w:rPr>
          <w:spacing w:val="-11"/>
          <w:sz w:val="20"/>
        </w:rPr>
        <w:t> </w:t>
      </w:r>
      <w:r>
        <w:rPr>
          <w:sz w:val="20"/>
        </w:rPr>
        <w:t>the</w:t>
      </w:r>
      <w:r>
        <w:rPr>
          <w:spacing w:val="-9"/>
          <w:sz w:val="20"/>
        </w:rPr>
        <w:t> </w:t>
      </w:r>
      <w:r>
        <w:rPr>
          <w:sz w:val="20"/>
        </w:rPr>
        <w:t>views</w:t>
      </w:r>
      <w:r>
        <w:rPr>
          <w:spacing w:val="-8"/>
          <w:sz w:val="20"/>
        </w:rPr>
        <w:t> </w:t>
      </w:r>
      <w:r>
        <w:rPr>
          <w:sz w:val="20"/>
        </w:rPr>
        <w:t>of</w:t>
      </w:r>
      <w:r>
        <w:rPr>
          <w:spacing w:val="-9"/>
          <w:sz w:val="20"/>
        </w:rPr>
        <w:t> </w:t>
      </w:r>
      <w:r>
        <w:rPr>
          <w:sz w:val="20"/>
        </w:rPr>
        <w:t>Inclusive</w:t>
      </w:r>
      <w:r>
        <w:rPr>
          <w:spacing w:val="-12"/>
          <w:sz w:val="20"/>
        </w:rPr>
        <w:t> </w:t>
      </w:r>
      <w:r>
        <w:rPr>
          <w:sz w:val="20"/>
        </w:rPr>
        <w:t>Framework</w:t>
      </w:r>
      <w:r>
        <w:rPr>
          <w:spacing w:val="-7"/>
          <w:sz w:val="20"/>
        </w:rPr>
        <w:t> </w:t>
      </w:r>
      <w:r>
        <w:rPr>
          <w:sz w:val="20"/>
        </w:rPr>
        <w:t>members</w:t>
      </w:r>
      <w:r>
        <w:rPr>
          <w:spacing w:val="-10"/>
          <w:sz w:val="20"/>
        </w:rPr>
        <w:t> </w:t>
      </w:r>
      <w:r>
        <w:rPr>
          <w:sz w:val="20"/>
        </w:rPr>
        <w:t>as</w:t>
      </w:r>
      <w:r>
        <w:rPr>
          <w:spacing w:val="-13"/>
          <w:sz w:val="20"/>
        </w:rPr>
        <w:t> </w:t>
      </w:r>
      <w:r>
        <w:rPr>
          <w:sz w:val="20"/>
        </w:rPr>
        <w:t>to</w:t>
      </w:r>
      <w:r>
        <w:rPr>
          <w:spacing w:val="-12"/>
          <w:sz w:val="20"/>
        </w:rPr>
        <w:t> </w:t>
      </w:r>
      <w:r>
        <w:rPr>
          <w:sz w:val="20"/>
        </w:rPr>
        <w:t>the extent to which Pillar One should incorporate new tax certainty approaches beyond Amount A. Some strongly support a mandatory binding dispute resolution mechanism with broad application, while others consider</w:t>
      </w:r>
      <w:r>
        <w:rPr>
          <w:spacing w:val="-9"/>
          <w:sz w:val="20"/>
        </w:rPr>
        <w:t> </w:t>
      </w:r>
      <w:r>
        <w:rPr>
          <w:sz w:val="20"/>
        </w:rPr>
        <w:t>that</w:t>
      </w:r>
      <w:r>
        <w:rPr>
          <w:spacing w:val="-9"/>
          <w:sz w:val="20"/>
        </w:rPr>
        <w:t> </w:t>
      </w:r>
      <w:r>
        <w:rPr>
          <w:sz w:val="20"/>
        </w:rPr>
        <w:t>disputes</w:t>
      </w:r>
      <w:r>
        <w:rPr>
          <w:spacing w:val="-10"/>
          <w:sz w:val="20"/>
        </w:rPr>
        <w:t> </w:t>
      </w:r>
      <w:r>
        <w:rPr>
          <w:sz w:val="20"/>
        </w:rPr>
        <w:t>unrelated</w:t>
      </w:r>
      <w:r>
        <w:rPr>
          <w:spacing w:val="-9"/>
          <w:sz w:val="20"/>
        </w:rPr>
        <w:t> </w:t>
      </w:r>
      <w:r>
        <w:rPr>
          <w:sz w:val="20"/>
        </w:rPr>
        <w:t>to</w:t>
      </w:r>
      <w:r>
        <w:rPr>
          <w:spacing w:val="-10"/>
          <w:sz w:val="20"/>
        </w:rPr>
        <w:t> </w:t>
      </w:r>
      <w:r>
        <w:rPr>
          <w:sz w:val="20"/>
        </w:rPr>
        <w:t>Amount</w:t>
      </w:r>
      <w:r>
        <w:rPr>
          <w:spacing w:val="-9"/>
          <w:sz w:val="20"/>
        </w:rPr>
        <w:t> </w:t>
      </w:r>
      <w:r>
        <w:rPr>
          <w:sz w:val="20"/>
        </w:rPr>
        <w:t>A</w:t>
      </w:r>
      <w:r>
        <w:rPr>
          <w:spacing w:val="-12"/>
          <w:sz w:val="20"/>
        </w:rPr>
        <w:t> </w:t>
      </w:r>
      <w:r>
        <w:rPr>
          <w:sz w:val="20"/>
        </w:rPr>
        <w:t>should</w:t>
      </w:r>
      <w:r>
        <w:rPr>
          <w:spacing w:val="-9"/>
          <w:sz w:val="20"/>
        </w:rPr>
        <w:t> </w:t>
      </w:r>
      <w:r>
        <w:rPr>
          <w:sz w:val="20"/>
        </w:rPr>
        <w:t>be</w:t>
      </w:r>
      <w:r>
        <w:rPr>
          <w:spacing w:val="-10"/>
          <w:sz w:val="20"/>
        </w:rPr>
        <w:t> </w:t>
      </w:r>
      <w:r>
        <w:rPr>
          <w:sz w:val="20"/>
        </w:rPr>
        <w:t>resolved</w:t>
      </w:r>
      <w:r>
        <w:rPr>
          <w:spacing w:val="-11"/>
          <w:sz w:val="20"/>
        </w:rPr>
        <w:t> </w:t>
      </w:r>
      <w:r>
        <w:rPr>
          <w:sz w:val="20"/>
        </w:rPr>
        <w:t>through</w:t>
      </w:r>
      <w:r>
        <w:rPr>
          <w:spacing w:val="-12"/>
          <w:sz w:val="20"/>
        </w:rPr>
        <w:t> </w:t>
      </w:r>
      <w:r>
        <w:rPr>
          <w:sz w:val="20"/>
        </w:rPr>
        <w:t>the</w:t>
      </w:r>
      <w:r>
        <w:rPr>
          <w:spacing w:val="-9"/>
          <w:sz w:val="20"/>
        </w:rPr>
        <w:t> </w:t>
      </w:r>
      <w:r>
        <w:rPr>
          <w:sz w:val="20"/>
        </w:rPr>
        <w:t>existing</w:t>
      </w:r>
      <w:r>
        <w:rPr>
          <w:spacing w:val="-9"/>
          <w:sz w:val="20"/>
        </w:rPr>
        <w:t> </w:t>
      </w:r>
      <w:r>
        <w:rPr>
          <w:sz w:val="20"/>
        </w:rPr>
        <w:t>MAP</w:t>
      </w:r>
      <w:r>
        <w:rPr>
          <w:spacing w:val="-12"/>
          <w:sz w:val="20"/>
        </w:rPr>
        <w:t> </w:t>
      </w:r>
      <w:r>
        <w:rPr>
          <w:sz w:val="20"/>
        </w:rPr>
        <w:t>framework</w:t>
      </w:r>
      <w:r>
        <w:rPr>
          <w:spacing w:val="-8"/>
          <w:sz w:val="20"/>
        </w:rPr>
        <w:t> </w:t>
      </w:r>
      <w:r>
        <w:rPr>
          <w:sz w:val="20"/>
        </w:rPr>
        <w:t>and non-binding administrative</w:t>
      </w:r>
      <w:r>
        <w:rPr>
          <w:spacing w:val="-3"/>
          <w:sz w:val="20"/>
        </w:rPr>
        <w:t> </w:t>
      </w:r>
      <w:r>
        <w:rPr>
          <w:sz w:val="20"/>
        </w:rPr>
        <w:t>tools.</w:t>
      </w:r>
    </w:p>
    <w:p>
      <w:pPr>
        <w:pStyle w:val="ListParagraph"/>
        <w:numPr>
          <w:ilvl w:val="0"/>
          <w:numId w:val="13"/>
        </w:numPr>
        <w:tabs>
          <w:tab w:pos="1444" w:val="left" w:leader="none"/>
        </w:tabs>
        <w:spacing w:line="273" w:lineRule="auto" w:before="119" w:after="0"/>
        <w:ind w:left="723" w:right="494" w:firstLine="0"/>
        <w:jc w:val="both"/>
        <w:rPr>
          <w:sz w:val="20"/>
        </w:rPr>
      </w:pPr>
      <w:bookmarkStart w:name="_bookmark70" w:id="461"/>
      <w:bookmarkEnd w:id="461"/>
      <w:r>
        <w:rPr/>
      </w:r>
      <w:bookmarkStart w:name="_bookmark70" w:id="462"/>
      <w:bookmarkEnd w:id="462"/>
      <w:r>
        <w:rPr>
          <w:sz w:val="20"/>
        </w:rPr>
        <w:t>T</w:t>
      </w:r>
      <w:r>
        <w:rPr>
          <w:sz w:val="20"/>
        </w:rPr>
        <w:t>o bridge these different views on the scope of dispute prevention and resolution beyond Amount A, the Blueprint explores the following approach based around four</w:t>
      </w:r>
      <w:r>
        <w:rPr>
          <w:spacing w:val="-17"/>
          <w:sz w:val="20"/>
        </w:rPr>
        <w:t> </w:t>
      </w:r>
      <w:r>
        <w:rPr>
          <w:sz w:val="20"/>
        </w:rPr>
        <w:t>elements:</w:t>
      </w:r>
    </w:p>
    <w:p>
      <w:pPr>
        <w:pStyle w:val="ListParagraph"/>
        <w:numPr>
          <w:ilvl w:val="1"/>
          <w:numId w:val="13"/>
        </w:numPr>
        <w:tabs>
          <w:tab w:pos="1403" w:val="left" w:leader="none"/>
        </w:tabs>
        <w:spacing w:line="271" w:lineRule="auto" w:before="96" w:after="0"/>
        <w:ind w:left="1402" w:right="482" w:hanging="339"/>
        <w:jc w:val="both"/>
        <w:rPr>
          <w:sz w:val="20"/>
        </w:rPr>
      </w:pPr>
      <w:r>
        <w:rPr>
          <w:b/>
          <w:sz w:val="20"/>
        </w:rPr>
        <w:t>In-scope taxpayers. </w:t>
      </w:r>
      <w:r>
        <w:rPr>
          <w:sz w:val="20"/>
        </w:rPr>
        <w:t>For MNE groups with global revenue and foreign in-scope revenue above the relevant Amount A thresholds, the approach contemplates a new and innovative mandatory and binding resolution process for all disputes related to transfer pricing and permanent establishment</w:t>
      </w:r>
      <w:r>
        <w:rPr>
          <w:spacing w:val="-6"/>
          <w:sz w:val="20"/>
        </w:rPr>
        <w:t> </w:t>
      </w:r>
      <w:r>
        <w:rPr>
          <w:sz w:val="20"/>
        </w:rPr>
        <w:t>adjustments</w:t>
      </w:r>
      <w:r>
        <w:rPr>
          <w:spacing w:val="-3"/>
          <w:sz w:val="20"/>
        </w:rPr>
        <w:t> </w:t>
      </w:r>
      <w:r>
        <w:rPr>
          <w:sz w:val="20"/>
        </w:rPr>
        <w:t>to</w:t>
      </w:r>
      <w:r>
        <w:rPr>
          <w:spacing w:val="-7"/>
          <w:sz w:val="20"/>
        </w:rPr>
        <w:t> </w:t>
      </w:r>
      <w:r>
        <w:rPr>
          <w:sz w:val="20"/>
        </w:rPr>
        <w:t>any</w:t>
      </w:r>
      <w:r>
        <w:rPr>
          <w:spacing w:val="-10"/>
          <w:sz w:val="20"/>
        </w:rPr>
        <w:t> </w:t>
      </w:r>
      <w:r>
        <w:rPr>
          <w:sz w:val="20"/>
        </w:rPr>
        <w:t>of</w:t>
      </w:r>
      <w:r>
        <w:rPr>
          <w:spacing w:val="-5"/>
          <w:sz w:val="20"/>
        </w:rPr>
        <w:t> </w:t>
      </w:r>
      <w:r>
        <w:rPr>
          <w:sz w:val="20"/>
        </w:rPr>
        <w:t>their</w:t>
      </w:r>
      <w:r>
        <w:rPr>
          <w:spacing w:val="-6"/>
          <w:sz w:val="20"/>
        </w:rPr>
        <w:t> </w:t>
      </w:r>
      <w:r>
        <w:rPr>
          <w:sz w:val="20"/>
        </w:rPr>
        <w:t>constituent</w:t>
      </w:r>
      <w:r>
        <w:rPr>
          <w:spacing w:val="-6"/>
          <w:sz w:val="20"/>
        </w:rPr>
        <w:t> </w:t>
      </w:r>
      <w:r>
        <w:rPr>
          <w:sz w:val="20"/>
        </w:rPr>
        <w:t>entities.</w:t>
      </w:r>
      <w:r>
        <w:rPr>
          <w:spacing w:val="-5"/>
          <w:sz w:val="20"/>
        </w:rPr>
        <w:t> </w:t>
      </w:r>
      <w:r>
        <w:rPr>
          <w:sz w:val="20"/>
        </w:rPr>
        <w:t>This</w:t>
      </w:r>
      <w:r>
        <w:rPr>
          <w:spacing w:val="-5"/>
          <w:sz w:val="20"/>
        </w:rPr>
        <w:t> </w:t>
      </w:r>
      <w:r>
        <w:rPr>
          <w:sz w:val="20"/>
        </w:rPr>
        <w:t>is</w:t>
      </w:r>
      <w:r>
        <w:rPr>
          <w:spacing w:val="-5"/>
          <w:sz w:val="20"/>
        </w:rPr>
        <w:t> </w:t>
      </w:r>
      <w:r>
        <w:rPr>
          <w:sz w:val="20"/>
        </w:rPr>
        <w:t>designed</w:t>
      </w:r>
      <w:r>
        <w:rPr>
          <w:spacing w:val="-7"/>
          <w:sz w:val="20"/>
        </w:rPr>
        <w:t> </w:t>
      </w:r>
      <w:r>
        <w:rPr>
          <w:sz w:val="20"/>
        </w:rPr>
        <w:t>as</w:t>
      </w:r>
      <w:r>
        <w:rPr>
          <w:spacing w:val="-3"/>
          <w:sz w:val="20"/>
        </w:rPr>
        <w:t> </w:t>
      </w:r>
      <w:r>
        <w:rPr>
          <w:sz w:val="20"/>
        </w:rPr>
        <w:t>a</w:t>
      </w:r>
      <w:r>
        <w:rPr>
          <w:spacing w:val="-7"/>
          <w:sz w:val="20"/>
        </w:rPr>
        <w:t> </w:t>
      </w:r>
      <w:r>
        <w:rPr>
          <w:sz w:val="20"/>
        </w:rPr>
        <w:t>last</w:t>
      </w:r>
      <w:r>
        <w:rPr>
          <w:spacing w:val="-6"/>
          <w:sz w:val="20"/>
        </w:rPr>
        <w:t> </w:t>
      </w:r>
      <w:r>
        <w:rPr>
          <w:sz w:val="20"/>
        </w:rPr>
        <w:t>resort</w:t>
      </w:r>
      <w:r>
        <w:rPr>
          <w:spacing w:val="-6"/>
          <w:sz w:val="20"/>
        </w:rPr>
        <w:t> </w:t>
      </w:r>
      <w:r>
        <w:rPr>
          <w:sz w:val="20"/>
        </w:rPr>
        <w:t>and would follow the exhaustion of all other dispute prevention and resolution tools, which would be expanded and improved including as part of the 2020 review of BEPS Action 14. The process would cover adjustments related to in-scope activities, but also extend to other (out-of-scope) activities</w:t>
      </w:r>
      <w:r>
        <w:rPr>
          <w:spacing w:val="-14"/>
          <w:sz w:val="20"/>
        </w:rPr>
        <w:t> </w:t>
      </w:r>
      <w:r>
        <w:rPr>
          <w:sz w:val="20"/>
        </w:rPr>
        <w:t>of</w:t>
      </w:r>
      <w:r>
        <w:rPr>
          <w:spacing w:val="-13"/>
          <w:sz w:val="20"/>
        </w:rPr>
        <w:t> </w:t>
      </w:r>
      <w:r>
        <w:rPr>
          <w:sz w:val="20"/>
        </w:rPr>
        <w:t>MNEs</w:t>
      </w:r>
      <w:r>
        <w:rPr>
          <w:spacing w:val="-14"/>
          <w:sz w:val="20"/>
        </w:rPr>
        <w:t> </w:t>
      </w:r>
      <w:r>
        <w:rPr>
          <w:sz w:val="20"/>
        </w:rPr>
        <w:t>that</w:t>
      </w:r>
      <w:r>
        <w:rPr>
          <w:spacing w:val="-15"/>
          <w:sz w:val="20"/>
        </w:rPr>
        <w:t> </w:t>
      </w:r>
      <w:r>
        <w:rPr>
          <w:sz w:val="20"/>
        </w:rPr>
        <w:t>are</w:t>
      </w:r>
      <w:r>
        <w:rPr>
          <w:spacing w:val="-15"/>
          <w:sz w:val="20"/>
        </w:rPr>
        <w:t> </w:t>
      </w:r>
      <w:r>
        <w:rPr>
          <w:sz w:val="20"/>
        </w:rPr>
        <w:t>subject</w:t>
      </w:r>
      <w:r>
        <w:rPr>
          <w:spacing w:val="-15"/>
          <w:sz w:val="20"/>
        </w:rPr>
        <w:t> </w:t>
      </w:r>
      <w:r>
        <w:rPr>
          <w:sz w:val="20"/>
        </w:rPr>
        <w:t>to</w:t>
      </w:r>
      <w:r>
        <w:rPr>
          <w:spacing w:val="-15"/>
          <w:sz w:val="20"/>
        </w:rPr>
        <w:t> </w:t>
      </w:r>
      <w:r>
        <w:rPr>
          <w:sz w:val="20"/>
        </w:rPr>
        <w:t>the</w:t>
      </w:r>
      <w:r>
        <w:rPr>
          <w:spacing w:val="-15"/>
          <w:sz w:val="20"/>
        </w:rPr>
        <w:t> </w:t>
      </w:r>
      <w:r>
        <w:rPr>
          <w:sz w:val="20"/>
        </w:rPr>
        <w:t>new</w:t>
      </w:r>
      <w:r>
        <w:rPr>
          <w:spacing w:val="-15"/>
          <w:sz w:val="20"/>
        </w:rPr>
        <w:t> </w:t>
      </w:r>
      <w:r>
        <w:rPr>
          <w:sz w:val="20"/>
        </w:rPr>
        <w:t>taxing</w:t>
      </w:r>
      <w:r>
        <w:rPr>
          <w:spacing w:val="-16"/>
          <w:sz w:val="20"/>
        </w:rPr>
        <w:t> </w:t>
      </w:r>
      <w:r>
        <w:rPr>
          <w:sz w:val="20"/>
        </w:rPr>
        <w:t>right,</w:t>
      </w:r>
      <w:r>
        <w:rPr>
          <w:spacing w:val="-15"/>
          <w:sz w:val="20"/>
        </w:rPr>
        <w:t> </w:t>
      </w:r>
      <w:r>
        <w:rPr>
          <w:sz w:val="20"/>
        </w:rPr>
        <w:t>possibly</w:t>
      </w:r>
      <w:r>
        <w:rPr>
          <w:spacing w:val="-17"/>
          <w:sz w:val="20"/>
        </w:rPr>
        <w:t> </w:t>
      </w:r>
      <w:r>
        <w:rPr>
          <w:sz w:val="20"/>
        </w:rPr>
        <w:t>subject</w:t>
      </w:r>
      <w:r>
        <w:rPr>
          <w:spacing w:val="-15"/>
          <w:sz w:val="20"/>
        </w:rPr>
        <w:t> </w:t>
      </w:r>
      <w:r>
        <w:rPr>
          <w:sz w:val="20"/>
        </w:rPr>
        <w:t>to</w:t>
      </w:r>
      <w:r>
        <w:rPr>
          <w:spacing w:val="-15"/>
          <w:sz w:val="20"/>
        </w:rPr>
        <w:t> </w:t>
      </w:r>
      <w:r>
        <w:rPr>
          <w:sz w:val="20"/>
        </w:rPr>
        <w:t>a</w:t>
      </w:r>
      <w:r>
        <w:rPr>
          <w:spacing w:val="-15"/>
          <w:sz w:val="20"/>
        </w:rPr>
        <w:t> </w:t>
      </w:r>
      <w:r>
        <w:rPr>
          <w:sz w:val="20"/>
        </w:rPr>
        <w:t>materiality</w:t>
      </w:r>
      <w:r>
        <w:rPr>
          <w:spacing w:val="-18"/>
          <w:sz w:val="20"/>
        </w:rPr>
        <w:t> </w:t>
      </w:r>
      <w:r>
        <w:rPr>
          <w:sz w:val="20"/>
        </w:rPr>
        <w:t>condition. The new process would not apply where disputes are already covered by existing mandatory and binding dispute resolution mechanisms, which would continue to</w:t>
      </w:r>
      <w:r>
        <w:rPr>
          <w:spacing w:val="-11"/>
          <w:sz w:val="20"/>
        </w:rPr>
        <w:t> </w:t>
      </w:r>
      <w:r>
        <w:rPr>
          <w:sz w:val="20"/>
        </w:rPr>
        <w:t>apply.</w:t>
      </w:r>
    </w:p>
    <w:p>
      <w:pPr>
        <w:pStyle w:val="ListParagraph"/>
        <w:numPr>
          <w:ilvl w:val="2"/>
          <w:numId w:val="13"/>
        </w:numPr>
        <w:tabs>
          <w:tab w:pos="1744" w:val="left" w:leader="none"/>
        </w:tabs>
        <w:spacing w:line="268" w:lineRule="auto" w:before="58" w:after="0"/>
        <w:ind w:left="1743" w:right="482" w:hanging="341"/>
        <w:jc w:val="both"/>
        <w:rPr>
          <w:sz w:val="20"/>
        </w:rPr>
      </w:pPr>
      <w:r>
        <w:rPr>
          <w:sz w:val="20"/>
        </w:rPr>
        <w:t>This</w:t>
      </w:r>
      <w:r>
        <w:rPr>
          <w:spacing w:val="-13"/>
          <w:sz w:val="20"/>
        </w:rPr>
        <w:t> </w:t>
      </w:r>
      <w:r>
        <w:rPr>
          <w:sz w:val="20"/>
        </w:rPr>
        <w:t>approach</w:t>
      </w:r>
      <w:r>
        <w:rPr>
          <w:spacing w:val="-13"/>
          <w:sz w:val="20"/>
        </w:rPr>
        <w:t> </w:t>
      </w:r>
      <w:r>
        <w:rPr>
          <w:sz w:val="20"/>
        </w:rPr>
        <w:t>to</w:t>
      </w:r>
      <w:r>
        <w:rPr>
          <w:spacing w:val="-14"/>
          <w:sz w:val="20"/>
        </w:rPr>
        <w:t> </w:t>
      </w:r>
      <w:r>
        <w:rPr>
          <w:sz w:val="20"/>
        </w:rPr>
        <w:t>in-scope</w:t>
      </w:r>
      <w:r>
        <w:rPr>
          <w:spacing w:val="-14"/>
          <w:sz w:val="20"/>
        </w:rPr>
        <w:t> </w:t>
      </w:r>
      <w:r>
        <w:rPr>
          <w:sz w:val="20"/>
        </w:rPr>
        <w:t>taxpayers</w:t>
      </w:r>
      <w:r>
        <w:rPr>
          <w:spacing w:val="-9"/>
          <w:sz w:val="20"/>
        </w:rPr>
        <w:t> </w:t>
      </w:r>
      <w:r>
        <w:rPr>
          <w:sz w:val="20"/>
        </w:rPr>
        <w:t>is</w:t>
      </w:r>
      <w:r>
        <w:rPr>
          <w:spacing w:val="-12"/>
          <w:sz w:val="20"/>
        </w:rPr>
        <w:t> </w:t>
      </w:r>
      <w:r>
        <w:rPr>
          <w:sz w:val="20"/>
        </w:rPr>
        <w:t>motivated</w:t>
      </w:r>
      <w:r>
        <w:rPr>
          <w:spacing w:val="-14"/>
          <w:sz w:val="20"/>
        </w:rPr>
        <w:t> </w:t>
      </w:r>
      <w:r>
        <w:rPr>
          <w:sz w:val="20"/>
        </w:rPr>
        <w:t>principally</w:t>
      </w:r>
      <w:r>
        <w:rPr>
          <w:spacing w:val="-15"/>
          <w:sz w:val="20"/>
        </w:rPr>
        <w:t> </w:t>
      </w:r>
      <w:r>
        <w:rPr>
          <w:sz w:val="20"/>
        </w:rPr>
        <w:t>by</w:t>
      </w:r>
      <w:r>
        <w:rPr>
          <w:spacing w:val="-15"/>
          <w:sz w:val="20"/>
        </w:rPr>
        <w:t> </w:t>
      </w:r>
      <w:r>
        <w:rPr>
          <w:sz w:val="20"/>
        </w:rPr>
        <w:t>the</w:t>
      </w:r>
      <w:r>
        <w:rPr>
          <w:spacing w:val="-12"/>
          <w:sz w:val="20"/>
        </w:rPr>
        <w:t> </w:t>
      </w:r>
      <w:r>
        <w:rPr>
          <w:sz w:val="20"/>
        </w:rPr>
        <w:t>potential</w:t>
      </w:r>
      <w:r>
        <w:rPr>
          <w:spacing w:val="-14"/>
          <w:sz w:val="20"/>
        </w:rPr>
        <w:t> </w:t>
      </w:r>
      <w:r>
        <w:rPr>
          <w:sz w:val="20"/>
        </w:rPr>
        <w:t>impacts</w:t>
      </w:r>
      <w:r>
        <w:rPr>
          <w:spacing w:val="-13"/>
          <w:sz w:val="20"/>
        </w:rPr>
        <w:t> </w:t>
      </w:r>
      <w:r>
        <w:rPr>
          <w:sz w:val="20"/>
        </w:rPr>
        <w:t>of</w:t>
      </w:r>
      <w:r>
        <w:rPr>
          <w:spacing w:val="-12"/>
          <w:sz w:val="20"/>
        </w:rPr>
        <w:t> </w:t>
      </w:r>
      <w:r>
        <w:rPr>
          <w:sz w:val="20"/>
        </w:rPr>
        <w:t>transfer pricing and permanent establishment disputes on Amount A. Although Amount A’s approach to allocating part of an MNE group’s residual profits to market jurisdictions does not use traditional transfer pricing techniques, disputed transfer pricing adjustments may have effects on the application of Amount A, in particular when identifying paying entities and determining the amount of double tax relief available in relieving jurisdictions. In addition, depending upon the</w:t>
      </w:r>
      <w:r>
        <w:rPr>
          <w:spacing w:val="-9"/>
          <w:sz w:val="20"/>
        </w:rPr>
        <w:t> </w:t>
      </w:r>
      <w:r>
        <w:rPr>
          <w:sz w:val="20"/>
        </w:rPr>
        <w:t>final</w:t>
      </w:r>
      <w:r>
        <w:rPr>
          <w:spacing w:val="-10"/>
          <w:sz w:val="20"/>
        </w:rPr>
        <w:t> </w:t>
      </w:r>
      <w:r>
        <w:rPr>
          <w:sz w:val="20"/>
        </w:rPr>
        <w:t>design</w:t>
      </w:r>
      <w:r>
        <w:rPr>
          <w:spacing w:val="-7"/>
          <w:sz w:val="20"/>
        </w:rPr>
        <w:t> </w:t>
      </w:r>
      <w:r>
        <w:rPr>
          <w:sz w:val="20"/>
        </w:rPr>
        <w:t>of</w:t>
      </w:r>
      <w:r>
        <w:rPr>
          <w:spacing w:val="-8"/>
          <w:sz w:val="20"/>
        </w:rPr>
        <w:t> </w:t>
      </w:r>
      <w:r>
        <w:rPr>
          <w:sz w:val="20"/>
        </w:rPr>
        <w:t>the</w:t>
      </w:r>
      <w:r>
        <w:rPr>
          <w:spacing w:val="-9"/>
          <w:sz w:val="20"/>
        </w:rPr>
        <w:t> </w:t>
      </w:r>
      <w:r>
        <w:rPr>
          <w:sz w:val="20"/>
        </w:rPr>
        <w:t>rules,</w:t>
      </w:r>
      <w:r>
        <w:rPr>
          <w:spacing w:val="-8"/>
          <w:sz w:val="20"/>
        </w:rPr>
        <w:t> </w:t>
      </w:r>
      <w:r>
        <w:rPr>
          <w:sz w:val="20"/>
        </w:rPr>
        <w:t>questions</w:t>
      </w:r>
      <w:r>
        <w:rPr>
          <w:spacing w:val="-9"/>
          <w:sz w:val="20"/>
        </w:rPr>
        <w:t> </w:t>
      </w:r>
      <w:r>
        <w:rPr>
          <w:sz w:val="20"/>
        </w:rPr>
        <w:t>as</w:t>
      </w:r>
      <w:r>
        <w:rPr>
          <w:spacing w:val="-8"/>
          <w:sz w:val="20"/>
        </w:rPr>
        <w:t> </w:t>
      </w:r>
      <w:r>
        <w:rPr>
          <w:sz w:val="20"/>
        </w:rPr>
        <w:t>to</w:t>
      </w:r>
      <w:r>
        <w:rPr>
          <w:spacing w:val="-7"/>
          <w:sz w:val="20"/>
        </w:rPr>
        <w:t> </w:t>
      </w:r>
      <w:r>
        <w:rPr>
          <w:sz w:val="20"/>
        </w:rPr>
        <w:t>whether</w:t>
      </w:r>
      <w:r>
        <w:rPr>
          <w:spacing w:val="-8"/>
          <w:sz w:val="20"/>
        </w:rPr>
        <w:t> </w:t>
      </w:r>
      <w:r>
        <w:rPr>
          <w:sz w:val="20"/>
        </w:rPr>
        <w:t>or</w:t>
      </w:r>
      <w:r>
        <w:rPr>
          <w:spacing w:val="-6"/>
          <w:sz w:val="20"/>
        </w:rPr>
        <w:t> </w:t>
      </w:r>
      <w:r>
        <w:rPr>
          <w:sz w:val="20"/>
        </w:rPr>
        <w:t>not</w:t>
      </w:r>
      <w:r>
        <w:rPr>
          <w:spacing w:val="-9"/>
          <w:sz w:val="20"/>
        </w:rPr>
        <w:t> </w:t>
      </w:r>
      <w:r>
        <w:rPr>
          <w:sz w:val="20"/>
        </w:rPr>
        <w:t>there</w:t>
      </w:r>
      <w:r>
        <w:rPr>
          <w:spacing w:val="-9"/>
          <w:sz w:val="20"/>
        </w:rPr>
        <w:t> </w:t>
      </w:r>
      <w:r>
        <w:rPr>
          <w:sz w:val="20"/>
        </w:rPr>
        <w:t>is</w:t>
      </w:r>
      <w:r>
        <w:rPr>
          <w:spacing w:val="-8"/>
          <w:sz w:val="20"/>
        </w:rPr>
        <w:t> </w:t>
      </w:r>
      <w:r>
        <w:rPr>
          <w:sz w:val="20"/>
        </w:rPr>
        <w:t>a</w:t>
      </w:r>
      <w:r>
        <w:rPr>
          <w:spacing w:val="-7"/>
          <w:sz w:val="20"/>
        </w:rPr>
        <w:t> </w:t>
      </w:r>
      <w:r>
        <w:rPr>
          <w:sz w:val="20"/>
        </w:rPr>
        <w:t>permanent</w:t>
      </w:r>
      <w:r>
        <w:rPr>
          <w:spacing w:val="-9"/>
          <w:sz w:val="20"/>
        </w:rPr>
        <w:t> </w:t>
      </w:r>
      <w:r>
        <w:rPr>
          <w:sz w:val="20"/>
        </w:rPr>
        <w:t>establishment in a jurisdiction may be relevant in determining if there is nexus in that jurisdiction. As such, while the approach described earlier in this chapter will provide MNE groups with certainty regarding their assessment of Amount A, this certainty could be undermined if a subsequent transfer pricing or permanent establishment dispute means that the underlying assumptions upon which Amount A is based for a particular fiscal year are</w:t>
      </w:r>
      <w:r>
        <w:rPr>
          <w:spacing w:val="-11"/>
          <w:sz w:val="20"/>
        </w:rPr>
        <w:t> </w:t>
      </w:r>
      <w:r>
        <w:rPr>
          <w:sz w:val="20"/>
        </w:rPr>
        <w:t>changed.</w:t>
      </w:r>
    </w:p>
    <w:p>
      <w:pPr>
        <w:pStyle w:val="ListParagraph"/>
        <w:numPr>
          <w:ilvl w:val="2"/>
          <w:numId w:val="13"/>
        </w:numPr>
        <w:tabs>
          <w:tab w:pos="1744" w:val="left" w:leader="none"/>
        </w:tabs>
        <w:spacing w:line="268" w:lineRule="auto" w:before="72" w:after="0"/>
        <w:ind w:left="1743" w:right="482" w:hanging="341"/>
        <w:jc w:val="both"/>
        <w:rPr>
          <w:sz w:val="20"/>
        </w:rPr>
      </w:pPr>
      <w:r>
        <w:rPr>
          <w:sz w:val="20"/>
        </w:rPr>
        <w:t>This</w:t>
      </w:r>
      <w:r>
        <w:rPr>
          <w:spacing w:val="-8"/>
          <w:sz w:val="20"/>
        </w:rPr>
        <w:t> </w:t>
      </w:r>
      <w:r>
        <w:rPr>
          <w:sz w:val="20"/>
        </w:rPr>
        <w:t>approach</w:t>
      </w:r>
      <w:r>
        <w:rPr>
          <w:spacing w:val="-7"/>
          <w:sz w:val="20"/>
        </w:rPr>
        <w:t> </w:t>
      </w:r>
      <w:r>
        <w:rPr>
          <w:sz w:val="20"/>
        </w:rPr>
        <w:t>to</w:t>
      </w:r>
      <w:r>
        <w:rPr>
          <w:spacing w:val="-7"/>
          <w:sz w:val="20"/>
        </w:rPr>
        <w:t> </w:t>
      </w:r>
      <w:r>
        <w:rPr>
          <w:sz w:val="20"/>
        </w:rPr>
        <w:t>in-scope</w:t>
      </w:r>
      <w:r>
        <w:rPr>
          <w:spacing w:val="-7"/>
          <w:sz w:val="20"/>
        </w:rPr>
        <w:t> </w:t>
      </w:r>
      <w:r>
        <w:rPr>
          <w:sz w:val="20"/>
        </w:rPr>
        <w:t>MNE</w:t>
      </w:r>
      <w:r>
        <w:rPr>
          <w:spacing w:val="-6"/>
          <w:sz w:val="20"/>
        </w:rPr>
        <w:t> </w:t>
      </w:r>
      <w:r>
        <w:rPr>
          <w:sz w:val="20"/>
        </w:rPr>
        <w:t>groups</w:t>
      </w:r>
      <w:r>
        <w:rPr>
          <w:spacing w:val="-8"/>
          <w:sz w:val="20"/>
        </w:rPr>
        <w:t> </w:t>
      </w:r>
      <w:r>
        <w:rPr>
          <w:sz w:val="20"/>
        </w:rPr>
        <w:t>also</w:t>
      </w:r>
      <w:r>
        <w:rPr>
          <w:spacing w:val="-9"/>
          <w:sz w:val="20"/>
        </w:rPr>
        <w:t> </w:t>
      </w:r>
      <w:r>
        <w:rPr>
          <w:sz w:val="20"/>
        </w:rPr>
        <w:t>recognises</w:t>
      </w:r>
      <w:r>
        <w:rPr>
          <w:spacing w:val="-7"/>
          <w:sz w:val="20"/>
        </w:rPr>
        <w:t> </w:t>
      </w:r>
      <w:r>
        <w:rPr>
          <w:sz w:val="20"/>
        </w:rPr>
        <w:t>that</w:t>
      </w:r>
      <w:r>
        <w:rPr>
          <w:spacing w:val="-6"/>
          <w:sz w:val="20"/>
        </w:rPr>
        <w:t> </w:t>
      </w:r>
      <w:r>
        <w:rPr>
          <w:sz w:val="20"/>
        </w:rPr>
        <w:t>they</w:t>
      </w:r>
      <w:r>
        <w:rPr>
          <w:spacing w:val="-10"/>
          <w:sz w:val="20"/>
        </w:rPr>
        <w:t> </w:t>
      </w:r>
      <w:r>
        <w:rPr>
          <w:sz w:val="20"/>
        </w:rPr>
        <w:t>will</w:t>
      </w:r>
      <w:r>
        <w:rPr>
          <w:spacing w:val="-7"/>
          <w:sz w:val="20"/>
        </w:rPr>
        <w:t> </w:t>
      </w:r>
      <w:r>
        <w:rPr>
          <w:sz w:val="20"/>
        </w:rPr>
        <w:t>be</w:t>
      </w:r>
      <w:r>
        <w:rPr>
          <w:spacing w:val="-8"/>
          <w:sz w:val="20"/>
        </w:rPr>
        <w:t> </w:t>
      </w:r>
      <w:r>
        <w:rPr>
          <w:sz w:val="20"/>
        </w:rPr>
        <w:t>required</w:t>
      </w:r>
      <w:r>
        <w:rPr>
          <w:spacing w:val="-7"/>
          <w:sz w:val="20"/>
        </w:rPr>
        <w:t> </w:t>
      </w:r>
      <w:r>
        <w:rPr>
          <w:sz w:val="20"/>
        </w:rPr>
        <w:t>to</w:t>
      </w:r>
      <w:r>
        <w:rPr>
          <w:spacing w:val="-9"/>
          <w:sz w:val="20"/>
        </w:rPr>
        <w:t> </w:t>
      </w:r>
      <w:r>
        <w:rPr>
          <w:sz w:val="20"/>
        </w:rPr>
        <w:t>implement new processes and controls to comply with innovative new rules, and to engage with new approaches to demonstrate their compliance. This implies a burden for in-scope MNE groups that is on top of any additional tax paid to market jurisdictions that cannot be relieved against existing taxes (e.g. because of differences in tax rates between market jurisdictions and relieving</w:t>
      </w:r>
      <w:r>
        <w:rPr>
          <w:spacing w:val="-8"/>
          <w:sz w:val="20"/>
        </w:rPr>
        <w:t> </w:t>
      </w:r>
      <w:r>
        <w:rPr>
          <w:sz w:val="20"/>
        </w:rPr>
        <w:t>jurisdictions).</w:t>
      </w:r>
      <w:r>
        <w:rPr>
          <w:spacing w:val="-7"/>
          <w:sz w:val="20"/>
        </w:rPr>
        <w:t> </w:t>
      </w:r>
      <w:r>
        <w:rPr>
          <w:sz w:val="20"/>
        </w:rPr>
        <w:t>Broader</w:t>
      </w:r>
      <w:r>
        <w:rPr>
          <w:spacing w:val="-9"/>
          <w:sz w:val="20"/>
        </w:rPr>
        <w:t> </w:t>
      </w:r>
      <w:r>
        <w:rPr>
          <w:sz w:val="20"/>
        </w:rPr>
        <w:t>certainty</w:t>
      </w:r>
      <w:r>
        <w:rPr>
          <w:spacing w:val="-12"/>
          <w:sz w:val="20"/>
        </w:rPr>
        <w:t> </w:t>
      </w:r>
      <w:r>
        <w:rPr>
          <w:sz w:val="20"/>
        </w:rPr>
        <w:t>beyond</w:t>
      </w:r>
      <w:r>
        <w:rPr>
          <w:spacing w:val="-8"/>
          <w:sz w:val="20"/>
        </w:rPr>
        <w:t> </w:t>
      </w:r>
      <w:r>
        <w:rPr>
          <w:sz w:val="20"/>
        </w:rPr>
        <w:t>Amount</w:t>
      </w:r>
      <w:r>
        <w:rPr>
          <w:spacing w:val="-9"/>
          <w:sz w:val="20"/>
        </w:rPr>
        <w:t> </w:t>
      </w:r>
      <w:r>
        <w:rPr>
          <w:sz w:val="20"/>
        </w:rPr>
        <w:t>A</w:t>
      </w:r>
      <w:r>
        <w:rPr>
          <w:spacing w:val="-10"/>
          <w:sz w:val="20"/>
        </w:rPr>
        <w:t> </w:t>
      </w:r>
      <w:r>
        <w:rPr>
          <w:sz w:val="20"/>
        </w:rPr>
        <w:t>could</w:t>
      </w:r>
      <w:r>
        <w:rPr>
          <w:spacing w:val="-10"/>
          <w:sz w:val="20"/>
        </w:rPr>
        <w:t> </w:t>
      </w:r>
      <w:r>
        <w:rPr>
          <w:sz w:val="20"/>
        </w:rPr>
        <w:t>be</w:t>
      </w:r>
      <w:r>
        <w:rPr>
          <w:spacing w:val="-7"/>
          <w:sz w:val="20"/>
        </w:rPr>
        <w:t> </w:t>
      </w:r>
      <w:r>
        <w:rPr>
          <w:sz w:val="20"/>
        </w:rPr>
        <w:t>viewed</w:t>
      </w:r>
      <w:r>
        <w:rPr>
          <w:spacing w:val="-8"/>
          <w:sz w:val="20"/>
        </w:rPr>
        <w:t> </w:t>
      </w:r>
      <w:r>
        <w:rPr>
          <w:sz w:val="20"/>
        </w:rPr>
        <w:t>as</w:t>
      </w:r>
      <w:r>
        <w:rPr>
          <w:spacing w:val="-9"/>
          <w:sz w:val="20"/>
        </w:rPr>
        <w:t> </w:t>
      </w:r>
      <w:r>
        <w:rPr>
          <w:sz w:val="20"/>
        </w:rPr>
        <w:t>a</w:t>
      </w:r>
      <w:r>
        <w:rPr>
          <w:spacing w:val="-8"/>
          <w:sz w:val="20"/>
        </w:rPr>
        <w:t> </w:t>
      </w:r>
      <w:r>
        <w:rPr>
          <w:sz w:val="20"/>
        </w:rPr>
        <w:t>possible</w:t>
      </w:r>
      <w:r>
        <w:rPr>
          <w:spacing w:val="-2"/>
          <w:sz w:val="20"/>
        </w:rPr>
        <w:t> </w:t>
      </w:r>
      <w:r>
        <w:rPr>
          <w:i/>
          <w:sz w:val="20"/>
        </w:rPr>
        <w:t>quid </w:t>
      </w:r>
      <w:r>
        <w:rPr>
          <w:i/>
          <w:sz w:val="20"/>
        </w:rPr>
        <w:t>pro quo </w:t>
      </w:r>
      <w:r>
        <w:rPr>
          <w:sz w:val="20"/>
        </w:rPr>
        <w:t>for these MNE groups. If rules for Amount A are to be phased in, this could also imply a phased approach to the introduction of new tax certainty rules in step with the</w:t>
      </w:r>
      <w:r>
        <w:rPr>
          <w:spacing w:val="49"/>
          <w:sz w:val="20"/>
        </w:rPr>
        <w:t> </w:t>
      </w:r>
      <w:r>
        <w:rPr>
          <w:sz w:val="20"/>
        </w:rPr>
        <w:t>rules for</w:t>
      </w:r>
    </w:p>
    <w:p>
      <w:pPr>
        <w:spacing w:after="0" w:line="268"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43" w:right="491"/>
        <w:jc w:val="both"/>
      </w:pPr>
      <w:r>
        <w:rPr/>
        <w:t>Amount A, giving jurisdictions time to gain experience before potentially applying them more widely in the future.</w:t>
      </w:r>
    </w:p>
    <w:p>
      <w:pPr>
        <w:pStyle w:val="ListParagraph"/>
        <w:numPr>
          <w:ilvl w:val="1"/>
          <w:numId w:val="13"/>
        </w:numPr>
        <w:tabs>
          <w:tab w:pos="1403" w:val="left" w:leader="none"/>
        </w:tabs>
        <w:spacing w:line="271" w:lineRule="auto" w:before="45" w:after="0"/>
        <w:ind w:left="1402" w:right="482" w:hanging="339"/>
        <w:jc w:val="both"/>
        <w:rPr>
          <w:sz w:val="20"/>
        </w:rPr>
      </w:pPr>
      <w:r>
        <w:rPr>
          <w:b/>
          <w:sz w:val="20"/>
        </w:rPr>
        <w:t>Other taxpayers</w:t>
      </w:r>
      <w:r>
        <w:rPr>
          <w:sz w:val="20"/>
        </w:rPr>
        <w:t>. All other taxpayers would benefit from improvements to the MAP and other existing</w:t>
      </w:r>
      <w:r>
        <w:rPr>
          <w:spacing w:val="-8"/>
          <w:sz w:val="20"/>
        </w:rPr>
        <w:t> </w:t>
      </w:r>
      <w:r>
        <w:rPr>
          <w:sz w:val="20"/>
        </w:rPr>
        <w:t>dispute</w:t>
      </w:r>
      <w:r>
        <w:rPr>
          <w:spacing w:val="-5"/>
          <w:sz w:val="20"/>
        </w:rPr>
        <w:t> </w:t>
      </w:r>
      <w:r>
        <w:rPr>
          <w:sz w:val="20"/>
        </w:rPr>
        <w:t>prevention</w:t>
      </w:r>
      <w:r>
        <w:rPr>
          <w:spacing w:val="-5"/>
          <w:sz w:val="20"/>
        </w:rPr>
        <w:t> </w:t>
      </w:r>
      <w:r>
        <w:rPr>
          <w:sz w:val="20"/>
        </w:rPr>
        <w:t>and</w:t>
      </w:r>
      <w:r>
        <w:rPr>
          <w:spacing w:val="-8"/>
          <w:sz w:val="20"/>
        </w:rPr>
        <w:t> </w:t>
      </w:r>
      <w:r>
        <w:rPr>
          <w:sz w:val="20"/>
        </w:rPr>
        <w:t>resolution</w:t>
      </w:r>
      <w:r>
        <w:rPr>
          <w:spacing w:val="-6"/>
          <w:sz w:val="20"/>
        </w:rPr>
        <w:t> </w:t>
      </w:r>
      <w:r>
        <w:rPr>
          <w:sz w:val="20"/>
        </w:rPr>
        <w:t>tools.</w:t>
      </w:r>
      <w:r>
        <w:rPr>
          <w:spacing w:val="-7"/>
          <w:sz w:val="20"/>
        </w:rPr>
        <w:t> </w:t>
      </w:r>
      <w:r>
        <w:rPr>
          <w:sz w:val="20"/>
        </w:rPr>
        <w:t>For</w:t>
      </w:r>
      <w:r>
        <w:rPr>
          <w:spacing w:val="-7"/>
          <w:sz w:val="20"/>
        </w:rPr>
        <w:t> </w:t>
      </w:r>
      <w:r>
        <w:rPr>
          <w:sz w:val="20"/>
        </w:rPr>
        <w:t>these</w:t>
      </w:r>
      <w:r>
        <w:rPr>
          <w:spacing w:val="-7"/>
          <w:sz w:val="20"/>
        </w:rPr>
        <w:t> </w:t>
      </w:r>
      <w:r>
        <w:rPr>
          <w:sz w:val="20"/>
        </w:rPr>
        <w:t>taxpayers,</w:t>
      </w:r>
      <w:r>
        <w:rPr>
          <w:spacing w:val="-7"/>
          <w:sz w:val="20"/>
        </w:rPr>
        <w:t> </w:t>
      </w:r>
      <w:r>
        <w:rPr>
          <w:sz w:val="20"/>
        </w:rPr>
        <w:t>the</w:t>
      </w:r>
      <w:r>
        <w:rPr>
          <w:spacing w:val="-8"/>
          <w:sz w:val="20"/>
        </w:rPr>
        <w:t> </w:t>
      </w:r>
      <w:r>
        <w:rPr>
          <w:sz w:val="20"/>
        </w:rPr>
        <w:t>Inclusive</w:t>
      </w:r>
      <w:r>
        <w:rPr>
          <w:spacing w:val="-8"/>
          <w:sz w:val="20"/>
        </w:rPr>
        <w:t> </w:t>
      </w:r>
      <w:r>
        <w:rPr>
          <w:sz w:val="20"/>
        </w:rPr>
        <w:t>Framework</w:t>
      </w:r>
      <w:r>
        <w:rPr>
          <w:spacing w:val="-3"/>
          <w:sz w:val="20"/>
        </w:rPr>
        <w:t> </w:t>
      </w:r>
      <w:r>
        <w:rPr>
          <w:sz w:val="20"/>
        </w:rPr>
        <w:t>will also examine new and innovative dispute resolution mechanisms for material transfer pricing and permanent establishment-related disputes that competent authorities are unable to resolve in a timely</w:t>
      </w:r>
      <w:r>
        <w:rPr>
          <w:spacing w:val="-10"/>
          <w:sz w:val="20"/>
        </w:rPr>
        <w:t> </w:t>
      </w:r>
      <w:r>
        <w:rPr>
          <w:sz w:val="20"/>
        </w:rPr>
        <w:t>manner</w:t>
      </w:r>
      <w:r>
        <w:rPr>
          <w:spacing w:val="-5"/>
          <w:sz w:val="20"/>
        </w:rPr>
        <w:t> </w:t>
      </w:r>
      <w:r>
        <w:rPr>
          <w:sz w:val="20"/>
        </w:rPr>
        <w:t>through</w:t>
      </w:r>
      <w:r>
        <w:rPr>
          <w:spacing w:val="-4"/>
          <w:sz w:val="20"/>
        </w:rPr>
        <w:t> </w:t>
      </w:r>
      <w:r>
        <w:rPr>
          <w:sz w:val="20"/>
        </w:rPr>
        <w:t>the</w:t>
      </w:r>
      <w:r>
        <w:rPr>
          <w:spacing w:val="-4"/>
          <w:sz w:val="20"/>
        </w:rPr>
        <w:t> </w:t>
      </w:r>
      <w:r>
        <w:rPr>
          <w:sz w:val="20"/>
        </w:rPr>
        <w:t>MAP.</w:t>
      </w:r>
      <w:r>
        <w:rPr>
          <w:spacing w:val="-6"/>
          <w:sz w:val="20"/>
        </w:rPr>
        <w:t> </w:t>
      </w:r>
      <w:r>
        <w:rPr>
          <w:sz w:val="20"/>
        </w:rPr>
        <w:t>In</w:t>
      </w:r>
      <w:r>
        <w:rPr>
          <w:spacing w:val="-6"/>
          <w:sz w:val="20"/>
        </w:rPr>
        <w:t> </w:t>
      </w:r>
      <w:r>
        <w:rPr>
          <w:sz w:val="20"/>
        </w:rPr>
        <w:t>this</w:t>
      </w:r>
      <w:r>
        <w:rPr>
          <w:spacing w:val="-5"/>
          <w:sz w:val="20"/>
        </w:rPr>
        <w:t> </w:t>
      </w:r>
      <w:r>
        <w:rPr>
          <w:sz w:val="20"/>
        </w:rPr>
        <w:t>regard,</w:t>
      </w:r>
      <w:r>
        <w:rPr>
          <w:spacing w:val="-4"/>
          <w:sz w:val="20"/>
        </w:rPr>
        <w:t> </w:t>
      </w:r>
      <w:r>
        <w:rPr>
          <w:sz w:val="20"/>
        </w:rPr>
        <w:t>the</w:t>
      </w:r>
      <w:r>
        <w:rPr>
          <w:spacing w:val="-4"/>
          <w:sz w:val="20"/>
        </w:rPr>
        <w:t> </w:t>
      </w:r>
      <w:r>
        <w:rPr>
          <w:sz w:val="20"/>
        </w:rPr>
        <w:t>next</w:t>
      </w:r>
      <w:r>
        <w:rPr>
          <w:spacing w:val="-6"/>
          <w:sz w:val="20"/>
        </w:rPr>
        <w:t> </w:t>
      </w:r>
      <w:r>
        <w:rPr>
          <w:sz w:val="20"/>
        </w:rPr>
        <w:t>steps</w:t>
      </w:r>
      <w:r>
        <w:rPr>
          <w:spacing w:val="-4"/>
          <w:sz w:val="20"/>
        </w:rPr>
        <w:t> </w:t>
      </w:r>
      <w:r>
        <w:rPr>
          <w:sz w:val="20"/>
        </w:rPr>
        <w:t>of</w:t>
      </w:r>
      <w:r>
        <w:rPr>
          <w:spacing w:val="-5"/>
          <w:sz w:val="20"/>
        </w:rPr>
        <w:t> </w:t>
      </w:r>
      <w:r>
        <w:rPr>
          <w:sz w:val="20"/>
        </w:rPr>
        <w:t>this</w:t>
      </w:r>
      <w:r>
        <w:rPr>
          <w:spacing w:val="-2"/>
          <w:sz w:val="20"/>
        </w:rPr>
        <w:t> </w:t>
      </w:r>
      <w:r>
        <w:rPr>
          <w:sz w:val="20"/>
        </w:rPr>
        <w:t>work</w:t>
      </w:r>
      <w:r>
        <w:rPr>
          <w:spacing w:val="-2"/>
          <w:sz w:val="20"/>
        </w:rPr>
        <w:t> </w:t>
      </w:r>
      <w:r>
        <w:rPr>
          <w:sz w:val="20"/>
        </w:rPr>
        <w:t>will</w:t>
      </w:r>
      <w:r>
        <w:rPr>
          <w:spacing w:val="-5"/>
          <w:sz w:val="20"/>
        </w:rPr>
        <w:t> </w:t>
      </w:r>
      <w:r>
        <w:rPr>
          <w:sz w:val="20"/>
        </w:rPr>
        <w:t>explore</w:t>
      </w:r>
      <w:r>
        <w:rPr>
          <w:spacing w:val="-3"/>
          <w:sz w:val="20"/>
        </w:rPr>
        <w:t> </w:t>
      </w:r>
      <w:r>
        <w:rPr>
          <w:sz w:val="20"/>
        </w:rPr>
        <w:t>the</w:t>
      </w:r>
      <w:r>
        <w:rPr>
          <w:spacing w:val="-6"/>
          <w:sz w:val="20"/>
        </w:rPr>
        <w:t> </w:t>
      </w:r>
      <w:r>
        <w:rPr>
          <w:sz w:val="20"/>
        </w:rPr>
        <w:t>benefits of</w:t>
      </w:r>
      <w:r>
        <w:rPr>
          <w:spacing w:val="-9"/>
          <w:sz w:val="20"/>
        </w:rPr>
        <w:t> </w:t>
      </w:r>
      <w:r>
        <w:rPr>
          <w:sz w:val="20"/>
        </w:rPr>
        <w:t>two</w:t>
      </w:r>
      <w:r>
        <w:rPr>
          <w:spacing w:val="-12"/>
          <w:sz w:val="20"/>
        </w:rPr>
        <w:t> </w:t>
      </w:r>
      <w:r>
        <w:rPr>
          <w:sz w:val="20"/>
        </w:rPr>
        <w:t>approaches:</w:t>
      </w:r>
      <w:r>
        <w:rPr>
          <w:spacing w:val="-10"/>
          <w:sz w:val="20"/>
        </w:rPr>
        <w:t> </w:t>
      </w:r>
      <w:r>
        <w:rPr>
          <w:sz w:val="20"/>
        </w:rPr>
        <w:t>a</w:t>
      </w:r>
      <w:r>
        <w:rPr>
          <w:spacing w:val="-12"/>
          <w:sz w:val="20"/>
        </w:rPr>
        <w:t> </w:t>
      </w:r>
      <w:r>
        <w:rPr>
          <w:sz w:val="20"/>
        </w:rPr>
        <w:t>mandatory</w:t>
      </w:r>
      <w:r>
        <w:rPr>
          <w:spacing w:val="-11"/>
          <w:sz w:val="20"/>
        </w:rPr>
        <w:t> </w:t>
      </w:r>
      <w:r>
        <w:rPr>
          <w:sz w:val="20"/>
        </w:rPr>
        <w:t>and</w:t>
      </w:r>
      <w:r>
        <w:rPr>
          <w:spacing w:val="-11"/>
          <w:sz w:val="20"/>
        </w:rPr>
        <w:t> </w:t>
      </w:r>
      <w:r>
        <w:rPr>
          <w:sz w:val="20"/>
        </w:rPr>
        <w:t>binding</w:t>
      </w:r>
      <w:r>
        <w:rPr>
          <w:spacing w:val="-12"/>
          <w:sz w:val="20"/>
        </w:rPr>
        <w:t> </w:t>
      </w:r>
      <w:r>
        <w:rPr>
          <w:sz w:val="20"/>
        </w:rPr>
        <w:t>dispute</w:t>
      </w:r>
      <w:r>
        <w:rPr>
          <w:spacing w:val="-11"/>
          <w:sz w:val="20"/>
        </w:rPr>
        <w:t> </w:t>
      </w:r>
      <w:r>
        <w:rPr>
          <w:sz w:val="20"/>
        </w:rPr>
        <w:t>resolution</w:t>
      </w:r>
      <w:r>
        <w:rPr>
          <w:spacing w:val="-12"/>
          <w:sz w:val="20"/>
        </w:rPr>
        <w:t> </w:t>
      </w:r>
      <w:r>
        <w:rPr>
          <w:sz w:val="20"/>
        </w:rPr>
        <w:t>process;</w:t>
      </w:r>
      <w:r>
        <w:rPr>
          <w:spacing w:val="-10"/>
          <w:sz w:val="20"/>
        </w:rPr>
        <w:t> </w:t>
      </w:r>
      <w:r>
        <w:rPr>
          <w:sz w:val="20"/>
        </w:rPr>
        <w:t>and</w:t>
      </w:r>
      <w:r>
        <w:rPr>
          <w:spacing w:val="-12"/>
          <w:sz w:val="20"/>
        </w:rPr>
        <w:t> </w:t>
      </w:r>
      <w:r>
        <w:rPr>
          <w:sz w:val="20"/>
        </w:rPr>
        <w:t>a</w:t>
      </w:r>
      <w:r>
        <w:rPr>
          <w:spacing w:val="-11"/>
          <w:sz w:val="20"/>
        </w:rPr>
        <w:t> </w:t>
      </w:r>
      <w:r>
        <w:rPr>
          <w:sz w:val="20"/>
        </w:rPr>
        <w:t>mandatory</w:t>
      </w:r>
      <w:r>
        <w:rPr>
          <w:spacing w:val="-15"/>
          <w:sz w:val="20"/>
        </w:rPr>
        <w:t> </w:t>
      </w:r>
      <w:r>
        <w:rPr>
          <w:sz w:val="20"/>
        </w:rPr>
        <w:t>but</w:t>
      </w:r>
      <w:r>
        <w:rPr>
          <w:spacing w:val="-11"/>
          <w:sz w:val="20"/>
        </w:rPr>
        <w:t> </w:t>
      </w:r>
      <w:r>
        <w:rPr>
          <w:sz w:val="20"/>
        </w:rPr>
        <w:t>non- binding (advisory) dispute resolution process coupled with aspects of peer review and statistical reporting. A mandatory and non-binding mechanism could increase some jurisdictions’ familiarity and</w:t>
      </w:r>
      <w:r>
        <w:rPr>
          <w:spacing w:val="-8"/>
          <w:sz w:val="20"/>
        </w:rPr>
        <w:t> </w:t>
      </w:r>
      <w:r>
        <w:rPr>
          <w:sz w:val="20"/>
        </w:rPr>
        <w:t>comfort</w:t>
      </w:r>
      <w:r>
        <w:rPr>
          <w:spacing w:val="-7"/>
          <w:sz w:val="20"/>
        </w:rPr>
        <w:t> </w:t>
      </w:r>
      <w:r>
        <w:rPr>
          <w:sz w:val="20"/>
        </w:rPr>
        <w:t>with</w:t>
      </w:r>
      <w:r>
        <w:rPr>
          <w:spacing w:val="-8"/>
          <w:sz w:val="20"/>
        </w:rPr>
        <w:t> </w:t>
      </w:r>
      <w:r>
        <w:rPr>
          <w:sz w:val="20"/>
        </w:rPr>
        <w:t>the</w:t>
      </w:r>
      <w:r>
        <w:rPr>
          <w:spacing w:val="-5"/>
          <w:sz w:val="20"/>
        </w:rPr>
        <w:t> </w:t>
      </w:r>
      <w:r>
        <w:rPr>
          <w:sz w:val="20"/>
        </w:rPr>
        <w:t>processes</w:t>
      </w:r>
      <w:r>
        <w:rPr>
          <w:spacing w:val="-7"/>
          <w:sz w:val="20"/>
        </w:rPr>
        <w:t> </w:t>
      </w:r>
      <w:r>
        <w:rPr>
          <w:sz w:val="20"/>
        </w:rPr>
        <w:t>involved</w:t>
      </w:r>
      <w:r>
        <w:rPr>
          <w:spacing w:val="-8"/>
          <w:sz w:val="20"/>
        </w:rPr>
        <w:t> </w:t>
      </w:r>
      <w:r>
        <w:rPr>
          <w:sz w:val="20"/>
        </w:rPr>
        <w:t>and,</w:t>
      </w:r>
      <w:r>
        <w:rPr>
          <w:spacing w:val="-7"/>
          <w:sz w:val="20"/>
        </w:rPr>
        <w:t> </w:t>
      </w:r>
      <w:r>
        <w:rPr>
          <w:sz w:val="20"/>
        </w:rPr>
        <w:t>together</w:t>
      </w:r>
      <w:r>
        <w:rPr>
          <w:spacing w:val="-4"/>
          <w:sz w:val="20"/>
        </w:rPr>
        <w:t> </w:t>
      </w:r>
      <w:r>
        <w:rPr>
          <w:sz w:val="20"/>
        </w:rPr>
        <w:t>with</w:t>
      </w:r>
      <w:r>
        <w:rPr>
          <w:spacing w:val="-7"/>
          <w:sz w:val="20"/>
        </w:rPr>
        <w:t> </w:t>
      </w:r>
      <w:r>
        <w:rPr>
          <w:sz w:val="20"/>
        </w:rPr>
        <w:t>a</w:t>
      </w:r>
      <w:r>
        <w:rPr>
          <w:spacing w:val="-8"/>
          <w:sz w:val="20"/>
        </w:rPr>
        <w:t> </w:t>
      </w:r>
      <w:r>
        <w:rPr>
          <w:sz w:val="20"/>
        </w:rPr>
        <w:t>complementary</w:t>
      </w:r>
      <w:r>
        <w:rPr>
          <w:spacing w:val="-11"/>
          <w:sz w:val="20"/>
        </w:rPr>
        <w:t> </w:t>
      </w:r>
      <w:r>
        <w:rPr>
          <w:sz w:val="20"/>
        </w:rPr>
        <w:t>review</w:t>
      </w:r>
      <w:r>
        <w:rPr>
          <w:spacing w:val="-9"/>
          <w:sz w:val="20"/>
        </w:rPr>
        <w:t> </w:t>
      </w:r>
      <w:r>
        <w:rPr>
          <w:sz w:val="20"/>
        </w:rPr>
        <w:t>and</w:t>
      </w:r>
      <w:r>
        <w:rPr>
          <w:spacing w:val="-7"/>
          <w:sz w:val="20"/>
        </w:rPr>
        <w:t> </w:t>
      </w:r>
      <w:r>
        <w:rPr>
          <w:sz w:val="20"/>
        </w:rPr>
        <w:t>reporting framework, would monitor progress in resolving both the disputes that are submitted to the mandatory non-binding process and those that are</w:t>
      </w:r>
      <w:r>
        <w:rPr>
          <w:spacing w:val="-8"/>
          <w:sz w:val="20"/>
        </w:rPr>
        <w:t> </w:t>
      </w:r>
      <w:r>
        <w:rPr>
          <w:sz w:val="20"/>
        </w:rPr>
        <w:t>not.</w:t>
      </w:r>
    </w:p>
    <w:p>
      <w:pPr>
        <w:pStyle w:val="ListParagraph"/>
        <w:numPr>
          <w:ilvl w:val="1"/>
          <w:numId w:val="13"/>
        </w:numPr>
        <w:tabs>
          <w:tab w:pos="1403" w:val="left" w:leader="none"/>
        </w:tabs>
        <w:spacing w:line="271" w:lineRule="auto" w:before="46" w:after="0"/>
        <w:ind w:left="1402" w:right="482" w:hanging="339"/>
        <w:jc w:val="both"/>
        <w:rPr>
          <w:sz w:val="20"/>
        </w:rPr>
      </w:pPr>
      <w:r>
        <w:rPr>
          <w:b/>
          <w:sz w:val="20"/>
        </w:rPr>
        <w:t>Amount B</w:t>
      </w:r>
      <w:r>
        <w:rPr>
          <w:sz w:val="20"/>
        </w:rPr>
        <w:t>. A key purpose of Amount B is to prevent transfer pricing disputes regarding baseline marketing and distribution activities through the use of agreed standardised returns to objectively defined activities, supported by quantitative indicators. Any disputes related to the application of Amount B (for example, whether a taxpayer falls within the definition of “baseline marketing and distribution activities”), which create risks of double taxation, would also be subject to mandatory binding dispute resolution, as a last resort and following the exhaustion of all other dispute prevention and resolution tools. Mandatory binding dispute resolution is needed </w:t>
      </w:r>
      <w:r>
        <w:rPr>
          <w:spacing w:val="4"/>
          <w:sz w:val="20"/>
        </w:rPr>
        <w:t>to </w:t>
      </w:r>
      <w:r>
        <w:rPr>
          <w:sz w:val="20"/>
        </w:rPr>
        <w:t>protect the benefits</w:t>
      </w:r>
      <w:r>
        <w:rPr>
          <w:spacing w:val="-16"/>
          <w:sz w:val="20"/>
        </w:rPr>
        <w:t> </w:t>
      </w:r>
      <w:r>
        <w:rPr>
          <w:sz w:val="20"/>
        </w:rPr>
        <w:t>of</w:t>
      </w:r>
      <w:r>
        <w:rPr>
          <w:spacing w:val="-14"/>
          <w:sz w:val="20"/>
        </w:rPr>
        <w:t> </w:t>
      </w:r>
      <w:r>
        <w:rPr>
          <w:sz w:val="20"/>
        </w:rPr>
        <w:t>Amount</w:t>
      </w:r>
      <w:r>
        <w:rPr>
          <w:spacing w:val="-17"/>
          <w:sz w:val="20"/>
        </w:rPr>
        <w:t> </w:t>
      </w:r>
      <w:r>
        <w:rPr>
          <w:sz w:val="20"/>
        </w:rPr>
        <w:t>B,</w:t>
      </w:r>
      <w:r>
        <w:rPr>
          <w:spacing w:val="-14"/>
          <w:sz w:val="20"/>
        </w:rPr>
        <w:t> </w:t>
      </w:r>
      <w:r>
        <w:rPr>
          <w:sz w:val="20"/>
        </w:rPr>
        <w:t>which</w:t>
      </w:r>
      <w:r>
        <w:rPr>
          <w:spacing w:val="-15"/>
          <w:sz w:val="20"/>
        </w:rPr>
        <w:t> </w:t>
      </w:r>
      <w:r>
        <w:rPr>
          <w:sz w:val="20"/>
        </w:rPr>
        <w:t>will</w:t>
      </w:r>
      <w:r>
        <w:rPr>
          <w:spacing w:val="-17"/>
          <w:sz w:val="20"/>
        </w:rPr>
        <w:t> </w:t>
      </w:r>
      <w:r>
        <w:rPr>
          <w:sz w:val="20"/>
        </w:rPr>
        <w:t>be</w:t>
      </w:r>
      <w:r>
        <w:rPr>
          <w:spacing w:val="-14"/>
          <w:sz w:val="20"/>
        </w:rPr>
        <w:t> </w:t>
      </w:r>
      <w:r>
        <w:rPr>
          <w:sz w:val="20"/>
        </w:rPr>
        <w:t>undermined</w:t>
      </w:r>
      <w:r>
        <w:rPr>
          <w:spacing w:val="-16"/>
          <w:sz w:val="20"/>
        </w:rPr>
        <w:t> </w:t>
      </w:r>
      <w:r>
        <w:rPr>
          <w:sz w:val="20"/>
        </w:rPr>
        <w:t>if</w:t>
      </w:r>
      <w:r>
        <w:rPr>
          <w:spacing w:val="-15"/>
          <w:sz w:val="20"/>
        </w:rPr>
        <w:t> </w:t>
      </w:r>
      <w:r>
        <w:rPr>
          <w:sz w:val="20"/>
        </w:rPr>
        <w:t>certainty</w:t>
      </w:r>
      <w:r>
        <w:rPr>
          <w:spacing w:val="-17"/>
          <w:sz w:val="20"/>
        </w:rPr>
        <w:t> </w:t>
      </w:r>
      <w:r>
        <w:rPr>
          <w:sz w:val="20"/>
        </w:rPr>
        <w:t>is</w:t>
      </w:r>
      <w:r>
        <w:rPr>
          <w:spacing w:val="-16"/>
          <w:sz w:val="20"/>
        </w:rPr>
        <w:t> </w:t>
      </w:r>
      <w:r>
        <w:rPr>
          <w:sz w:val="20"/>
        </w:rPr>
        <w:t>limited</w:t>
      </w:r>
      <w:r>
        <w:rPr>
          <w:spacing w:val="-17"/>
          <w:sz w:val="20"/>
        </w:rPr>
        <w:t> </w:t>
      </w:r>
      <w:r>
        <w:rPr>
          <w:sz w:val="20"/>
        </w:rPr>
        <w:t>to</w:t>
      </w:r>
      <w:r>
        <w:rPr>
          <w:spacing w:val="-16"/>
          <w:sz w:val="20"/>
        </w:rPr>
        <w:t> </w:t>
      </w:r>
      <w:r>
        <w:rPr>
          <w:sz w:val="20"/>
        </w:rPr>
        <w:t>the</w:t>
      </w:r>
      <w:r>
        <w:rPr>
          <w:spacing w:val="-16"/>
          <w:sz w:val="20"/>
        </w:rPr>
        <w:t> </w:t>
      </w:r>
      <w:r>
        <w:rPr>
          <w:sz w:val="20"/>
        </w:rPr>
        <w:t>remuneration</w:t>
      </w:r>
      <w:r>
        <w:rPr>
          <w:spacing w:val="-17"/>
          <w:sz w:val="20"/>
        </w:rPr>
        <w:t> </w:t>
      </w:r>
      <w:r>
        <w:rPr>
          <w:sz w:val="20"/>
        </w:rPr>
        <w:t>of</w:t>
      </w:r>
      <w:r>
        <w:rPr>
          <w:spacing w:val="-14"/>
          <w:sz w:val="20"/>
        </w:rPr>
        <w:t> </w:t>
      </w:r>
      <w:r>
        <w:rPr>
          <w:sz w:val="20"/>
        </w:rPr>
        <w:t>baseline activities and there are unresolved disputes as to whether or not particular arrangements or structures are within the scope of Amount</w:t>
      </w:r>
      <w:r>
        <w:rPr>
          <w:spacing w:val="-3"/>
          <w:sz w:val="20"/>
        </w:rPr>
        <w:t> </w:t>
      </w:r>
      <w:r>
        <w:rPr>
          <w:sz w:val="20"/>
        </w:rPr>
        <w:t>B.</w:t>
      </w:r>
    </w:p>
    <w:p>
      <w:pPr>
        <w:pStyle w:val="ListParagraph"/>
        <w:numPr>
          <w:ilvl w:val="1"/>
          <w:numId w:val="13"/>
        </w:numPr>
        <w:tabs>
          <w:tab w:pos="1403" w:val="left" w:leader="none"/>
        </w:tabs>
        <w:spacing w:line="271" w:lineRule="auto" w:before="44" w:after="0"/>
        <w:ind w:left="1402" w:right="481" w:hanging="339"/>
        <w:jc w:val="both"/>
        <w:rPr>
          <w:sz w:val="20"/>
        </w:rPr>
      </w:pPr>
      <w:r>
        <w:rPr>
          <w:b/>
          <w:sz w:val="20"/>
        </w:rPr>
        <w:t>Developing economies with no or low levels of MAP disputes</w:t>
      </w:r>
      <w:r>
        <w:rPr>
          <w:sz w:val="20"/>
        </w:rPr>
        <w:t>. In the course of the Action 14 peer</w:t>
      </w:r>
      <w:r>
        <w:rPr>
          <w:spacing w:val="-6"/>
          <w:sz w:val="20"/>
        </w:rPr>
        <w:t> </w:t>
      </w:r>
      <w:r>
        <w:rPr>
          <w:sz w:val="20"/>
        </w:rPr>
        <w:t>preview,</w:t>
      </w:r>
      <w:r>
        <w:rPr>
          <w:spacing w:val="-6"/>
          <w:sz w:val="20"/>
        </w:rPr>
        <w:t> </w:t>
      </w:r>
      <w:r>
        <w:rPr>
          <w:sz w:val="20"/>
        </w:rPr>
        <w:t>more</w:t>
      </w:r>
      <w:r>
        <w:rPr>
          <w:spacing w:val="-6"/>
          <w:sz w:val="20"/>
        </w:rPr>
        <w:t> </w:t>
      </w:r>
      <w:r>
        <w:rPr>
          <w:sz w:val="20"/>
        </w:rPr>
        <w:t>than</w:t>
      </w:r>
      <w:r>
        <w:rPr>
          <w:spacing w:val="-4"/>
          <w:sz w:val="20"/>
        </w:rPr>
        <w:t> </w:t>
      </w:r>
      <w:r>
        <w:rPr>
          <w:sz w:val="20"/>
        </w:rPr>
        <w:t>50</w:t>
      </w:r>
      <w:r>
        <w:rPr>
          <w:spacing w:val="-5"/>
          <w:sz w:val="20"/>
        </w:rPr>
        <w:t> </w:t>
      </w:r>
      <w:r>
        <w:rPr>
          <w:sz w:val="20"/>
        </w:rPr>
        <w:t>developing</w:t>
      </w:r>
      <w:r>
        <w:rPr>
          <w:spacing w:val="-2"/>
          <w:sz w:val="20"/>
        </w:rPr>
        <w:t> </w:t>
      </w:r>
      <w:r>
        <w:rPr>
          <w:sz w:val="20"/>
        </w:rPr>
        <w:t>economies</w:t>
      </w:r>
      <w:r>
        <w:rPr>
          <w:spacing w:val="-2"/>
          <w:sz w:val="20"/>
        </w:rPr>
        <w:t> </w:t>
      </w:r>
      <w:r>
        <w:rPr>
          <w:sz w:val="20"/>
        </w:rPr>
        <w:t>were</w:t>
      </w:r>
      <w:r>
        <w:rPr>
          <w:spacing w:val="-7"/>
          <w:sz w:val="20"/>
        </w:rPr>
        <w:t> </w:t>
      </w:r>
      <w:r>
        <w:rPr>
          <w:sz w:val="20"/>
        </w:rPr>
        <w:t>identified</w:t>
      </w:r>
      <w:r>
        <w:rPr>
          <w:spacing w:val="-7"/>
          <w:sz w:val="20"/>
        </w:rPr>
        <w:t> </w:t>
      </w:r>
      <w:r>
        <w:rPr>
          <w:sz w:val="20"/>
        </w:rPr>
        <w:t>that</w:t>
      </w:r>
      <w:r>
        <w:rPr>
          <w:spacing w:val="-5"/>
          <w:sz w:val="20"/>
        </w:rPr>
        <w:t> </w:t>
      </w:r>
      <w:r>
        <w:rPr>
          <w:sz w:val="20"/>
        </w:rPr>
        <w:t>had</w:t>
      </w:r>
      <w:r>
        <w:rPr>
          <w:spacing w:val="-5"/>
          <w:sz w:val="20"/>
        </w:rPr>
        <w:t> </w:t>
      </w:r>
      <w:r>
        <w:rPr>
          <w:sz w:val="20"/>
        </w:rPr>
        <w:t>no</w:t>
      </w:r>
      <w:r>
        <w:rPr>
          <w:spacing w:val="-7"/>
          <w:sz w:val="20"/>
        </w:rPr>
        <w:t> </w:t>
      </w:r>
      <w:r>
        <w:rPr>
          <w:sz w:val="20"/>
        </w:rPr>
        <w:t>or</w:t>
      </w:r>
      <w:r>
        <w:rPr>
          <w:spacing w:val="-6"/>
          <w:sz w:val="20"/>
        </w:rPr>
        <w:t> </w:t>
      </w:r>
      <w:r>
        <w:rPr>
          <w:sz w:val="20"/>
        </w:rPr>
        <w:t>only</w:t>
      </w:r>
      <w:r>
        <w:rPr>
          <w:spacing w:val="-10"/>
          <w:sz w:val="20"/>
        </w:rPr>
        <w:t> </w:t>
      </w:r>
      <w:r>
        <w:rPr>
          <w:sz w:val="20"/>
        </w:rPr>
        <w:t>a</w:t>
      </w:r>
      <w:r>
        <w:rPr>
          <w:spacing w:val="-4"/>
          <w:sz w:val="20"/>
        </w:rPr>
        <w:t> </w:t>
      </w:r>
      <w:r>
        <w:rPr>
          <w:sz w:val="20"/>
        </w:rPr>
        <w:t>very</w:t>
      </w:r>
      <w:r>
        <w:rPr>
          <w:spacing w:val="-9"/>
          <w:sz w:val="20"/>
        </w:rPr>
        <w:t> </w:t>
      </w:r>
      <w:r>
        <w:rPr>
          <w:sz w:val="20"/>
        </w:rPr>
        <w:t>small number of MAP cases in inventory. Given these jurisdictions’ lack of MAP experience, the limited capacity</w:t>
      </w:r>
      <w:r>
        <w:rPr>
          <w:spacing w:val="-11"/>
          <w:sz w:val="20"/>
        </w:rPr>
        <w:t> </w:t>
      </w:r>
      <w:r>
        <w:rPr>
          <w:sz w:val="20"/>
        </w:rPr>
        <w:t>of</w:t>
      </w:r>
      <w:r>
        <w:rPr>
          <w:spacing w:val="-7"/>
          <w:sz w:val="20"/>
        </w:rPr>
        <w:t> </w:t>
      </w:r>
      <w:r>
        <w:rPr>
          <w:sz w:val="20"/>
        </w:rPr>
        <w:t>their</w:t>
      </w:r>
      <w:r>
        <w:rPr>
          <w:spacing w:val="-7"/>
          <w:sz w:val="20"/>
        </w:rPr>
        <w:t> </w:t>
      </w:r>
      <w:r>
        <w:rPr>
          <w:sz w:val="20"/>
        </w:rPr>
        <w:t>competent</w:t>
      </w:r>
      <w:r>
        <w:rPr>
          <w:spacing w:val="-6"/>
          <w:sz w:val="20"/>
        </w:rPr>
        <w:t> </w:t>
      </w:r>
      <w:r>
        <w:rPr>
          <w:sz w:val="20"/>
        </w:rPr>
        <w:t>authorities</w:t>
      </w:r>
      <w:r>
        <w:rPr>
          <w:spacing w:val="-6"/>
          <w:sz w:val="20"/>
        </w:rPr>
        <w:t> </w:t>
      </w:r>
      <w:r>
        <w:rPr>
          <w:sz w:val="20"/>
        </w:rPr>
        <w:t>and</w:t>
      </w:r>
      <w:r>
        <w:rPr>
          <w:spacing w:val="-7"/>
          <w:sz w:val="20"/>
        </w:rPr>
        <w:t> </w:t>
      </w:r>
      <w:r>
        <w:rPr>
          <w:sz w:val="20"/>
        </w:rPr>
        <w:t>the</w:t>
      </w:r>
      <w:r>
        <w:rPr>
          <w:spacing w:val="-7"/>
          <w:sz w:val="20"/>
        </w:rPr>
        <w:t> </w:t>
      </w:r>
      <w:r>
        <w:rPr>
          <w:sz w:val="20"/>
        </w:rPr>
        <w:t>circumstance</w:t>
      </w:r>
      <w:r>
        <w:rPr>
          <w:spacing w:val="-10"/>
          <w:sz w:val="20"/>
        </w:rPr>
        <w:t> </w:t>
      </w:r>
      <w:r>
        <w:rPr>
          <w:sz w:val="20"/>
        </w:rPr>
        <w:t>that</w:t>
      </w:r>
      <w:r>
        <w:rPr>
          <w:spacing w:val="-7"/>
          <w:sz w:val="20"/>
        </w:rPr>
        <w:t> </w:t>
      </w:r>
      <w:r>
        <w:rPr>
          <w:sz w:val="20"/>
        </w:rPr>
        <w:t>other</w:t>
      </w:r>
      <w:r>
        <w:rPr>
          <w:spacing w:val="-8"/>
          <w:sz w:val="20"/>
        </w:rPr>
        <w:t> </w:t>
      </w:r>
      <w:r>
        <w:rPr>
          <w:sz w:val="20"/>
        </w:rPr>
        <w:t>jurisdictions</w:t>
      </w:r>
      <w:r>
        <w:rPr>
          <w:spacing w:val="-9"/>
          <w:sz w:val="20"/>
        </w:rPr>
        <w:t> </w:t>
      </w:r>
      <w:r>
        <w:rPr>
          <w:sz w:val="20"/>
        </w:rPr>
        <w:t>did</w:t>
      </w:r>
      <w:r>
        <w:rPr>
          <w:spacing w:val="-9"/>
          <w:sz w:val="20"/>
        </w:rPr>
        <w:t> </w:t>
      </w:r>
      <w:r>
        <w:rPr>
          <w:sz w:val="20"/>
        </w:rPr>
        <w:t>not</w:t>
      </w:r>
      <w:r>
        <w:rPr>
          <w:spacing w:val="-7"/>
          <w:sz w:val="20"/>
        </w:rPr>
        <w:t> </w:t>
      </w:r>
      <w:r>
        <w:rPr>
          <w:sz w:val="20"/>
        </w:rPr>
        <w:t>identify areas of these jurisdictions’ MAP regimes that required improvements, the peer review of these jurisdictions was deferred. For these developing economies, their small or non-existent MAP inventories would not justify the creation of the infrastructure for mandatory binding dispute resolution for issues not related to Amount A. Requiring these jurisdictions to commit to and implement a potentially complex dispute resolution process to address a situation that currently does not appear to present a material risk could be considered</w:t>
      </w:r>
      <w:r>
        <w:rPr>
          <w:spacing w:val="-13"/>
          <w:sz w:val="20"/>
        </w:rPr>
        <w:t> </w:t>
      </w:r>
      <w:r>
        <w:rPr>
          <w:sz w:val="20"/>
        </w:rPr>
        <w:t>disproportionate:</w:t>
      </w:r>
    </w:p>
    <w:p>
      <w:pPr>
        <w:pStyle w:val="ListParagraph"/>
        <w:numPr>
          <w:ilvl w:val="2"/>
          <w:numId w:val="13"/>
        </w:numPr>
        <w:tabs>
          <w:tab w:pos="1744" w:val="left" w:leader="none"/>
        </w:tabs>
        <w:spacing w:line="268" w:lineRule="auto" w:before="59" w:after="0"/>
        <w:ind w:left="1743" w:right="483" w:hanging="341"/>
        <w:jc w:val="both"/>
        <w:rPr>
          <w:sz w:val="20"/>
        </w:rPr>
      </w:pPr>
      <w:r>
        <w:rPr>
          <w:sz w:val="20"/>
        </w:rPr>
        <w:t>These jurisdictions would, however, commit to an elective binding dispute resolution mechanism</w:t>
      </w:r>
      <w:r>
        <w:rPr>
          <w:spacing w:val="-4"/>
          <w:sz w:val="20"/>
        </w:rPr>
        <w:t> </w:t>
      </w:r>
      <w:r>
        <w:rPr>
          <w:sz w:val="20"/>
        </w:rPr>
        <w:t>that</w:t>
      </w:r>
      <w:r>
        <w:rPr>
          <w:spacing w:val="-5"/>
          <w:sz w:val="20"/>
        </w:rPr>
        <w:t> </w:t>
      </w:r>
      <w:r>
        <w:rPr>
          <w:sz w:val="20"/>
        </w:rPr>
        <w:t>would</w:t>
      </w:r>
      <w:r>
        <w:rPr>
          <w:spacing w:val="-6"/>
          <w:sz w:val="20"/>
        </w:rPr>
        <w:t> </w:t>
      </w:r>
      <w:r>
        <w:rPr>
          <w:sz w:val="20"/>
        </w:rPr>
        <w:t>be</w:t>
      </w:r>
      <w:r>
        <w:rPr>
          <w:spacing w:val="-6"/>
          <w:sz w:val="20"/>
        </w:rPr>
        <w:t> </w:t>
      </w:r>
      <w:r>
        <w:rPr>
          <w:sz w:val="20"/>
        </w:rPr>
        <w:t>triggered</w:t>
      </w:r>
      <w:r>
        <w:rPr>
          <w:spacing w:val="-3"/>
          <w:sz w:val="20"/>
        </w:rPr>
        <w:t> </w:t>
      </w:r>
      <w:r>
        <w:rPr>
          <w:sz w:val="20"/>
        </w:rPr>
        <w:t>when</w:t>
      </w:r>
      <w:r>
        <w:rPr>
          <w:spacing w:val="-6"/>
          <w:sz w:val="20"/>
        </w:rPr>
        <w:t> </w:t>
      </w:r>
      <w:r>
        <w:rPr>
          <w:sz w:val="20"/>
        </w:rPr>
        <w:t>their</w:t>
      </w:r>
      <w:r>
        <w:rPr>
          <w:spacing w:val="-7"/>
          <w:sz w:val="20"/>
        </w:rPr>
        <w:t> </w:t>
      </w:r>
      <w:r>
        <w:rPr>
          <w:sz w:val="20"/>
        </w:rPr>
        <w:t>competent</w:t>
      </w:r>
      <w:r>
        <w:rPr>
          <w:spacing w:val="-5"/>
          <w:sz w:val="20"/>
        </w:rPr>
        <w:t> </w:t>
      </w:r>
      <w:r>
        <w:rPr>
          <w:sz w:val="20"/>
        </w:rPr>
        <w:t>authorities</w:t>
      </w:r>
      <w:r>
        <w:rPr>
          <w:spacing w:val="-2"/>
          <w:sz w:val="20"/>
        </w:rPr>
        <w:t> </w:t>
      </w:r>
      <w:r>
        <w:rPr>
          <w:sz w:val="20"/>
        </w:rPr>
        <w:t>were</w:t>
      </w:r>
      <w:r>
        <w:rPr>
          <w:spacing w:val="-5"/>
          <w:sz w:val="20"/>
        </w:rPr>
        <w:t> </w:t>
      </w:r>
      <w:r>
        <w:rPr>
          <w:sz w:val="20"/>
        </w:rPr>
        <w:t>unable</w:t>
      </w:r>
      <w:r>
        <w:rPr>
          <w:spacing w:val="-3"/>
          <w:sz w:val="20"/>
        </w:rPr>
        <w:t> </w:t>
      </w:r>
      <w:r>
        <w:rPr>
          <w:sz w:val="20"/>
        </w:rPr>
        <w:t>to</w:t>
      </w:r>
      <w:r>
        <w:rPr>
          <w:spacing w:val="-8"/>
          <w:sz w:val="20"/>
        </w:rPr>
        <w:t> </w:t>
      </w:r>
      <w:r>
        <w:rPr>
          <w:sz w:val="20"/>
        </w:rPr>
        <w:t>resolve</w:t>
      </w:r>
      <w:r>
        <w:rPr>
          <w:spacing w:val="-5"/>
          <w:sz w:val="20"/>
        </w:rPr>
        <w:t> </w:t>
      </w:r>
      <w:r>
        <w:rPr>
          <w:sz w:val="20"/>
        </w:rPr>
        <w:t>a MAP case within an agreed defined period. The mechanism would reflect the features of the mandatory binding mechanism developed for disputes beyond Amount A but would be triggered</w:t>
      </w:r>
      <w:r>
        <w:rPr>
          <w:spacing w:val="-9"/>
          <w:sz w:val="20"/>
        </w:rPr>
        <w:t> </w:t>
      </w:r>
      <w:r>
        <w:rPr>
          <w:sz w:val="20"/>
        </w:rPr>
        <w:t>only</w:t>
      </w:r>
      <w:r>
        <w:rPr>
          <w:spacing w:val="-10"/>
          <w:sz w:val="20"/>
        </w:rPr>
        <w:t> </w:t>
      </w:r>
      <w:r>
        <w:rPr>
          <w:sz w:val="20"/>
        </w:rPr>
        <w:t>where</w:t>
      </w:r>
      <w:r>
        <w:rPr>
          <w:spacing w:val="-6"/>
          <w:sz w:val="20"/>
        </w:rPr>
        <w:t> </w:t>
      </w:r>
      <w:r>
        <w:rPr>
          <w:sz w:val="20"/>
        </w:rPr>
        <w:t>both</w:t>
      </w:r>
      <w:r>
        <w:rPr>
          <w:spacing w:val="-9"/>
          <w:sz w:val="20"/>
        </w:rPr>
        <w:t> </w:t>
      </w:r>
      <w:r>
        <w:rPr>
          <w:sz w:val="20"/>
        </w:rPr>
        <w:t>competent</w:t>
      </w:r>
      <w:r>
        <w:rPr>
          <w:spacing w:val="-8"/>
          <w:sz w:val="20"/>
        </w:rPr>
        <w:t> </w:t>
      </w:r>
      <w:r>
        <w:rPr>
          <w:sz w:val="20"/>
        </w:rPr>
        <w:t>authorities</w:t>
      </w:r>
      <w:r>
        <w:rPr>
          <w:spacing w:val="-8"/>
          <w:sz w:val="20"/>
        </w:rPr>
        <w:t> </w:t>
      </w:r>
      <w:r>
        <w:rPr>
          <w:sz w:val="20"/>
        </w:rPr>
        <w:t>agreed</w:t>
      </w:r>
      <w:r>
        <w:rPr>
          <w:spacing w:val="-9"/>
          <w:sz w:val="20"/>
        </w:rPr>
        <w:t> </w:t>
      </w:r>
      <w:r>
        <w:rPr>
          <w:sz w:val="20"/>
        </w:rPr>
        <w:t>that</w:t>
      </w:r>
      <w:r>
        <w:rPr>
          <w:spacing w:val="-9"/>
          <w:sz w:val="20"/>
        </w:rPr>
        <w:t> </w:t>
      </w:r>
      <w:r>
        <w:rPr>
          <w:sz w:val="20"/>
        </w:rPr>
        <w:t>the</w:t>
      </w:r>
      <w:r>
        <w:rPr>
          <w:spacing w:val="-9"/>
          <w:sz w:val="20"/>
        </w:rPr>
        <w:t> </w:t>
      </w:r>
      <w:r>
        <w:rPr>
          <w:sz w:val="20"/>
        </w:rPr>
        <w:t>mechanism</w:t>
      </w:r>
      <w:r>
        <w:rPr>
          <w:spacing w:val="-4"/>
          <w:sz w:val="20"/>
        </w:rPr>
        <w:t> </w:t>
      </w:r>
      <w:r>
        <w:rPr>
          <w:sz w:val="20"/>
        </w:rPr>
        <w:t>should</w:t>
      </w:r>
      <w:r>
        <w:rPr>
          <w:spacing w:val="-8"/>
          <w:sz w:val="20"/>
        </w:rPr>
        <w:t> </w:t>
      </w:r>
      <w:r>
        <w:rPr>
          <w:sz w:val="20"/>
        </w:rPr>
        <w:t>be</w:t>
      </w:r>
      <w:r>
        <w:rPr>
          <w:spacing w:val="-7"/>
          <w:sz w:val="20"/>
        </w:rPr>
        <w:t> </w:t>
      </w:r>
      <w:r>
        <w:rPr>
          <w:sz w:val="20"/>
        </w:rPr>
        <w:t>used</w:t>
      </w:r>
      <w:r>
        <w:rPr>
          <w:spacing w:val="-9"/>
          <w:sz w:val="20"/>
        </w:rPr>
        <w:t> </w:t>
      </w:r>
      <w:r>
        <w:rPr>
          <w:sz w:val="20"/>
        </w:rPr>
        <w:t>to resolve unresolved issues in a specific case. The mechanism would increase these jurisdictions’ familiarity and comfort with the processes</w:t>
      </w:r>
      <w:r>
        <w:rPr>
          <w:spacing w:val="-11"/>
          <w:sz w:val="20"/>
        </w:rPr>
        <w:t> </w:t>
      </w:r>
      <w:r>
        <w:rPr>
          <w:sz w:val="20"/>
        </w:rPr>
        <w:t>involved.</w:t>
      </w:r>
    </w:p>
    <w:p>
      <w:pPr>
        <w:pStyle w:val="ListParagraph"/>
        <w:numPr>
          <w:ilvl w:val="2"/>
          <w:numId w:val="13"/>
        </w:numPr>
        <w:tabs>
          <w:tab w:pos="1744" w:val="left" w:leader="none"/>
        </w:tabs>
        <w:spacing w:line="266" w:lineRule="auto" w:before="59" w:after="0"/>
        <w:ind w:left="1743" w:right="483" w:hanging="341"/>
        <w:jc w:val="both"/>
        <w:rPr>
          <w:sz w:val="20"/>
        </w:rPr>
      </w:pPr>
      <w:r>
        <w:rPr>
          <w:sz w:val="20"/>
        </w:rPr>
        <w:t>In determining appropriate levels of MAP inventory to be included in this category of jurisdictions, reference would be made to the principles of the Action 14 peer review process (in</w:t>
      </w:r>
      <w:r>
        <w:rPr>
          <w:spacing w:val="-14"/>
          <w:sz w:val="20"/>
        </w:rPr>
        <w:t> </w:t>
      </w:r>
      <w:r>
        <w:rPr>
          <w:sz w:val="20"/>
        </w:rPr>
        <w:t>particular</w:t>
      </w:r>
      <w:r>
        <w:rPr>
          <w:spacing w:val="-13"/>
          <w:sz w:val="20"/>
        </w:rPr>
        <w:t> </w:t>
      </w:r>
      <w:r>
        <w:rPr>
          <w:sz w:val="20"/>
        </w:rPr>
        <w:t>the</w:t>
      </w:r>
      <w:r>
        <w:rPr>
          <w:spacing w:val="-14"/>
          <w:sz w:val="20"/>
        </w:rPr>
        <w:t> </w:t>
      </w:r>
      <w:r>
        <w:rPr>
          <w:sz w:val="20"/>
        </w:rPr>
        <w:t>criteria</w:t>
      </w:r>
      <w:r>
        <w:rPr>
          <w:spacing w:val="-12"/>
          <w:sz w:val="20"/>
        </w:rPr>
        <w:t> </w:t>
      </w:r>
      <w:r>
        <w:rPr>
          <w:sz w:val="20"/>
        </w:rPr>
        <w:t>for</w:t>
      </w:r>
      <w:r>
        <w:rPr>
          <w:spacing w:val="-13"/>
          <w:sz w:val="20"/>
        </w:rPr>
        <w:t> </w:t>
      </w:r>
      <w:r>
        <w:rPr>
          <w:sz w:val="20"/>
        </w:rPr>
        <w:t>deferral</w:t>
      </w:r>
      <w:r>
        <w:rPr>
          <w:spacing w:val="-15"/>
          <w:sz w:val="20"/>
        </w:rPr>
        <w:t> </w:t>
      </w:r>
      <w:r>
        <w:rPr>
          <w:sz w:val="20"/>
        </w:rPr>
        <w:t>of</w:t>
      </w:r>
      <w:r>
        <w:rPr>
          <w:spacing w:val="-12"/>
          <w:sz w:val="20"/>
        </w:rPr>
        <w:t> </w:t>
      </w:r>
      <w:r>
        <w:rPr>
          <w:sz w:val="20"/>
        </w:rPr>
        <w:t>a</w:t>
      </w:r>
      <w:r>
        <w:rPr>
          <w:spacing w:val="-12"/>
          <w:sz w:val="20"/>
        </w:rPr>
        <w:t> </w:t>
      </w:r>
      <w:r>
        <w:rPr>
          <w:sz w:val="20"/>
        </w:rPr>
        <w:t>jurisdiction’s</w:t>
      </w:r>
      <w:r>
        <w:rPr>
          <w:spacing w:val="-12"/>
          <w:sz w:val="20"/>
        </w:rPr>
        <w:t> </w:t>
      </w:r>
      <w:r>
        <w:rPr>
          <w:sz w:val="20"/>
        </w:rPr>
        <w:t>peer</w:t>
      </w:r>
      <w:r>
        <w:rPr>
          <w:spacing w:val="-13"/>
          <w:sz w:val="20"/>
        </w:rPr>
        <w:t> </w:t>
      </w:r>
      <w:r>
        <w:rPr>
          <w:sz w:val="20"/>
        </w:rPr>
        <w:t>review),</w:t>
      </w:r>
      <w:r>
        <w:rPr>
          <w:spacing w:val="-9"/>
          <w:sz w:val="20"/>
        </w:rPr>
        <w:t> </w:t>
      </w:r>
      <w:r>
        <w:rPr>
          <w:sz w:val="20"/>
        </w:rPr>
        <w:t>which</w:t>
      </w:r>
      <w:r>
        <w:rPr>
          <w:spacing w:val="-14"/>
          <w:sz w:val="20"/>
        </w:rPr>
        <w:t> </w:t>
      </w:r>
      <w:r>
        <w:rPr>
          <w:sz w:val="20"/>
        </w:rPr>
        <w:t>considers</w:t>
      </w:r>
      <w:r>
        <w:rPr>
          <w:spacing w:val="-10"/>
          <w:sz w:val="20"/>
        </w:rPr>
        <w:t> </w:t>
      </w:r>
      <w:r>
        <w:rPr>
          <w:sz w:val="20"/>
        </w:rPr>
        <w:t>the</w:t>
      </w:r>
      <w:r>
        <w:rPr>
          <w:spacing w:val="-12"/>
          <w:sz w:val="20"/>
        </w:rPr>
        <w:t> </w:t>
      </w:r>
      <w:r>
        <w:rPr>
          <w:sz w:val="20"/>
        </w:rPr>
        <w:t>number of MAP cases in inventory as well as access limitations that may have prevented cases from entering the MAP process and appearing in</w:t>
      </w:r>
      <w:r>
        <w:rPr>
          <w:spacing w:val="-5"/>
          <w:sz w:val="20"/>
        </w:rPr>
        <w:t> </w:t>
      </w:r>
      <w:r>
        <w:rPr>
          <w:sz w:val="20"/>
        </w:rPr>
        <w:t>inventory.</w:t>
      </w:r>
    </w:p>
    <w:p>
      <w:pPr>
        <w:pStyle w:val="ListParagraph"/>
        <w:numPr>
          <w:ilvl w:val="1"/>
          <w:numId w:val="13"/>
        </w:numPr>
        <w:tabs>
          <w:tab w:pos="1403" w:val="left" w:leader="none"/>
        </w:tabs>
        <w:spacing w:line="268" w:lineRule="auto" w:before="54" w:after="0"/>
        <w:ind w:left="1402" w:right="493" w:hanging="339"/>
        <w:jc w:val="both"/>
        <w:rPr>
          <w:sz w:val="20"/>
        </w:rPr>
      </w:pPr>
      <w:r>
        <w:rPr>
          <w:sz w:val="20"/>
        </w:rPr>
        <w:t>The mechanisms described above could be coupled with a peer review and reporting framework to monitor the effectiveness of all elements of the new dispute prevention and resolution mechanisms.</w:t>
      </w:r>
    </w:p>
    <w:p>
      <w:pPr>
        <w:spacing w:after="0" w:line="268" w:lineRule="auto"/>
        <w:jc w:val="both"/>
        <w:rPr>
          <w:sz w:val="20"/>
        </w:rPr>
        <w:sectPr>
          <w:pgSz w:w="11910" w:h="16840"/>
          <w:pgMar w:header="1244" w:footer="1638" w:top="1500" w:bottom="1820" w:left="580" w:right="820"/>
        </w:sectPr>
      </w:pPr>
    </w:p>
    <w:p>
      <w:pPr>
        <w:pStyle w:val="BodyText"/>
        <w:spacing w:before="4"/>
        <w:rPr>
          <w:sz w:val="19"/>
        </w:rPr>
      </w:pPr>
    </w:p>
    <w:p>
      <w:pPr>
        <w:pStyle w:val="Heading7"/>
        <w:spacing w:line="266" w:lineRule="auto" w:before="94"/>
        <w:ind w:right="1456"/>
      </w:pPr>
      <w:bookmarkStart w:name="The mandatory and binding dispute resolu" w:id="463"/>
      <w:bookmarkEnd w:id="463"/>
      <w:r>
        <w:rPr>
          <w:i w:val="0"/>
        </w:rPr>
      </w:r>
      <w:r>
        <w:rPr>
          <w:i/>
          <w:color w:val="616161"/>
        </w:rPr>
        <w:t>The mandatory and binding dispute resolution mechanism for disputes beyond </w:t>
      </w:r>
      <w:r>
        <w:rPr>
          <w:color w:val="616161"/>
        </w:rPr>
        <w:t>Amount A</w:t>
      </w:r>
    </w:p>
    <w:p>
      <w:pPr>
        <w:pStyle w:val="ListParagraph"/>
        <w:numPr>
          <w:ilvl w:val="0"/>
          <w:numId w:val="13"/>
        </w:numPr>
        <w:tabs>
          <w:tab w:pos="1444" w:val="left" w:leader="none"/>
        </w:tabs>
        <w:spacing w:line="271" w:lineRule="auto" w:before="189" w:after="0"/>
        <w:ind w:left="723" w:right="480" w:firstLine="0"/>
        <w:jc w:val="both"/>
        <w:rPr>
          <w:sz w:val="20"/>
        </w:rPr>
      </w:pPr>
      <w:r>
        <w:rPr>
          <w:sz w:val="20"/>
        </w:rPr>
        <w:t>The new and innovative dispute resolution mechanism would apply for those MAP cases that remain unresolved after an agreed period and within the context developed above. It is recognised that the exploration of a mandatory binding dispute resolution mechanism represents a significant step for a number</w:t>
      </w:r>
      <w:r>
        <w:rPr>
          <w:spacing w:val="-14"/>
          <w:sz w:val="20"/>
        </w:rPr>
        <w:t> </w:t>
      </w:r>
      <w:r>
        <w:rPr>
          <w:sz w:val="20"/>
        </w:rPr>
        <w:t>of</w:t>
      </w:r>
      <w:r>
        <w:rPr>
          <w:spacing w:val="-12"/>
          <w:sz w:val="20"/>
        </w:rPr>
        <w:t> </w:t>
      </w:r>
      <w:r>
        <w:rPr>
          <w:sz w:val="20"/>
        </w:rPr>
        <w:t>Inclusive</w:t>
      </w:r>
      <w:r>
        <w:rPr>
          <w:spacing w:val="-15"/>
          <w:sz w:val="20"/>
        </w:rPr>
        <w:t> </w:t>
      </w:r>
      <w:r>
        <w:rPr>
          <w:sz w:val="20"/>
        </w:rPr>
        <w:t>Framework</w:t>
      </w:r>
      <w:r>
        <w:rPr>
          <w:spacing w:val="-9"/>
          <w:sz w:val="20"/>
        </w:rPr>
        <w:t> </w:t>
      </w:r>
      <w:r>
        <w:rPr>
          <w:sz w:val="20"/>
        </w:rPr>
        <w:t>jurisdictions</w:t>
      </w:r>
      <w:r>
        <w:rPr>
          <w:spacing w:val="-13"/>
          <w:sz w:val="20"/>
        </w:rPr>
        <w:t> </w:t>
      </w:r>
      <w:r>
        <w:rPr>
          <w:sz w:val="20"/>
        </w:rPr>
        <w:t>that</w:t>
      </w:r>
      <w:r>
        <w:rPr>
          <w:spacing w:val="-12"/>
          <w:sz w:val="20"/>
        </w:rPr>
        <w:t> </w:t>
      </w:r>
      <w:r>
        <w:rPr>
          <w:sz w:val="20"/>
        </w:rPr>
        <w:t>have</w:t>
      </w:r>
      <w:r>
        <w:rPr>
          <w:spacing w:val="-12"/>
          <w:sz w:val="20"/>
        </w:rPr>
        <w:t> </w:t>
      </w:r>
      <w:r>
        <w:rPr>
          <w:sz w:val="20"/>
        </w:rPr>
        <w:t>historically</w:t>
      </w:r>
      <w:r>
        <w:rPr>
          <w:spacing w:val="-16"/>
          <w:sz w:val="20"/>
        </w:rPr>
        <w:t> </w:t>
      </w:r>
      <w:r>
        <w:rPr>
          <w:sz w:val="20"/>
        </w:rPr>
        <w:t>opposed</w:t>
      </w:r>
      <w:r>
        <w:rPr>
          <w:spacing w:val="-13"/>
          <w:sz w:val="20"/>
        </w:rPr>
        <w:t> </w:t>
      </w:r>
      <w:r>
        <w:rPr>
          <w:sz w:val="20"/>
        </w:rPr>
        <w:t>their</w:t>
      </w:r>
      <w:r>
        <w:rPr>
          <w:spacing w:val="-13"/>
          <w:sz w:val="20"/>
        </w:rPr>
        <w:t> </w:t>
      </w:r>
      <w:r>
        <w:rPr>
          <w:sz w:val="20"/>
        </w:rPr>
        <w:t>use</w:t>
      </w:r>
      <w:r>
        <w:rPr>
          <w:spacing w:val="-15"/>
          <w:sz w:val="20"/>
        </w:rPr>
        <w:t> </w:t>
      </w:r>
      <w:r>
        <w:rPr>
          <w:sz w:val="20"/>
        </w:rPr>
        <w:t>to</w:t>
      </w:r>
      <w:r>
        <w:rPr>
          <w:spacing w:val="-13"/>
          <w:sz w:val="20"/>
        </w:rPr>
        <w:t> </w:t>
      </w:r>
      <w:r>
        <w:rPr>
          <w:sz w:val="20"/>
        </w:rPr>
        <w:t>resolve</w:t>
      </w:r>
      <w:r>
        <w:rPr>
          <w:spacing w:val="-13"/>
          <w:sz w:val="20"/>
        </w:rPr>
        <w:t> </w:t>
      </w:r>
      <w:r>
        <w:rPr>
          <w:sz w:val="20"/>
        </w:rPr>
        <w:t>tax</w:t>
      </w:r>
      <w:r>
        <w:rPr>
          <w:spacing w:val="-13"/>
          <w:sz w:val="20"/>
        </w:rPr>
        <w:t> </w:t>
      </w:r>
      <w:r>
        <w:rPr>
          <w:sz w:val="20"/>
        </w:rPr>
        <w:t>matters. Some Inclusive Framework jurisdictions take the view that the new and innovative dispute resolution mechanism should be separate and distinct from the mechanism and framework to provide tax certainty with respect to Amount A and, in particular, reflect the primarily bilateral nature of most MAP</w:t>
      </w:r>
      <w:r>
        <w:rPr>
          <w:spacing w:val="-35"/>
          <w:sz w:val="20"/>
        </w:rPr>
        <w:t> </w:t>
      </w:r>
      <w:r>
        <w:rPr>
          <w:sz w:val="20"/>
        </w:rPr>
        <w:t>cases.</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The mechanism for disputes beyond Amount A itself would operate in a broadly similar manner regardless of whether it was mandatory and binding, mandatory and non-binding, or elective and binding.</w:t>
      </w:r>
      <w:r>
        <w:rPr>
          <w:position w:val="6"/>
          <w:sz w:val="13"/>
        </w:rPr>
        <w:t>160 </w:t>
      </w:r>
      <w:r>
        <w:rPr>
          <w:sz w:val="20"/>
        </w:rPr>
        <w:t>The mechanism would become part of the existing MAP infrastructure and, in general terms, would have the following</w:t>
      </w:r>
      <w:r>
        <w:rPr>
          <w:spacing w:val="-6"/>
          <w:sz w:val="20"/>
        </w:rPr>
        <w:t> </w:t>
      </w:r>
      <w:r>
        <w:rPr>
          <w:sz w:val="20"/>
        </w:rPr>
        <w:t>features:</w:t>
      </w:r>
    </w:p>
    <w:p>
      <w:pPr>
        <w:pStyle w:val="ListParagraph"/>
        <w:numPr>
          <w:ilvl w:val="1"/>
          <w:numId w:val="13"/>
        </w:numPr>
        <w:tabs>
          <w:tab w:pos="1785" w:val="left" w:leader="none"/>
        </w:tabs>
        <w:spacing w:line="271" w:lineRule="auto" w:before="102" w:after="0"/>
        <w:ind w:left="1784" w:right="484" w:hanging="360"/>
        <w:jc w:val="both"/>
        <w:rPr>
          <w:sz w:val="20"/>
        </w:rPr>
      </w:pPr>
      <w:r>
        <w:rPr>
          <w:sz w:val="20"/>
        </w:rPr>
        <w:t>As now, taxpayers would set in motion the MAP with respect to transfer pricing and profit allocation disputes through a request for competent authority assistance within the deadline established by the MAP article of the applicable tax treaty. The ongoing peer review of the Action</w:t>
      </w:r>
      <w:r>
        <w:rPr>
          <w:spacing w:val="-9"/>
          <w:sz w:val="20"/>
        </w:rPr>
        <w:t> </w:t>
      </w:r>
      <w:r>
        <w:rPr>
          <w:sz w:val="20"/>
        </w:rPr>
        <w:t>14</w:t>
      </w:r>
      <w:r>
        <w:rPr>
          <w:spacing w:val="-7"/>
          <w:sz w:val="20"/>
        </w:rPr>
        <w:t> </w:t>
      </w:r>
      <w:r>
        <w:rPr>
          <w:sz w:val="20"/>
        </w:rPr>
        <w:t>Minimum</w:t>
      </w:r>
      <w:r>
        <w:rPr>
          <w:spacing w:val="-4"/>
          <w:sz w:val="20"/>
        </w:rPr>
        <w:t> </w:t>
      </w:r>
      <w:r>
        <w:rPr>
          <w:sz w:val="20"/>
        </w:rPr>
        <w:t>Standard</w:t>
      </w:r>
      <w:r>
        <w:rPr>
          <w:spacing w:val="-7"/>
          <w:sz w:val="20"/>
        </w:rPr>
        <w:t> </w:t>
      </w:r>
      <w:r>
        <w:rPr>
          <w:sz w:val="20"/>
        </w:rPr>
        <w:t>will</w:t>
      </w:r>
      <w:r>
        <w:rPr>
          <w:spacing w:val="-9"/>
          <w:sz w:val="20"/>
        </w:rPr>
        <w:t> </w:t>
      </w:r>
      <w:r>
        <w:rPr>
          <w:sz w:val="20"/>
        </w:rPr>
        <w:t>ensure</w:t>
      </w:r>
      <w:r>
        <w:rPr>
          <w:spacing w:val="-6"/>
          <w:sz w:val="20"/>
        </w:rPr>
        <w:t> </w:t>
      </w:r>
      <w:r>
        <w:rPr>
          <w:sz w:val="20"/>
        </w:rPr>
        <w:t>that</w:t>
      </w:r>
      <w:r>
        <w:rPr>
          <w:spacing w:val="-7"/>
          <w:sz w:val="20"/>
        </w:rPr>
        <w:t> </w:t>
      </w:r>
      <w:r>
        <w:rPr>
          <w:sz w:val="20"/>
        </w:rPr>
        <w:t>taxpayers</w:t>
      </w:r>
      <w:r>
        <w:rPr>
          <w:spacing w:val="-6"/>
          <w:sz w:val="20"/>
        </w:rPr>
        <w:t> </w:t>
      </w:r>
      <w:r>
        <w:rPr>
          <w:sz w:val="20"/>
        </w:rPr>
        <w:t>have</w:t>
      </w:r>
      <w:r>
        <w:rPr>
          <w:spacing w:val="-7"/>
          <w:sz w:val="20"/>
        </w:rPr>
        <w:t> </w:t>
      </w:r>
      <w:r>
        <w:rPr>
          <w:sz w:val="20"/>
        </w:rPr>
        <w:t>access</w:t>
      </w:r>
      <w:r>
        <w:rPr>
          <w:spacing w:val="-8"/>
          <w:sz w:val="20"/>
        </w:rPr>
        <w:t> </w:t>
      </w:r>
      <w:r>
        <w:rPr>
          <w:sz w:val="20"/>
        </w:rPr>
        <w:t>to</w:t>
      </w:r>
      <w:r>
        <w:rPr>
          <w:spacing w:val="-7"/>
          <w:sz w:val="20"/>
        </w:rPr>
        <w:t> </w:t>
      </w:r>
      <w:r>
        <w:rPr>
          <w:sz w:val="20"/>
        </w:rPr>
        <w:t>MAP</w:t>
      </w:r>
      <w:r>
        <w:rPr>
          <w:spacing w:val="-6"/>
          <w:sz w:val="20"/>
        </w:rPr>
        <w:t> </w:t>
      </w:r>
      <w:r>
        <w:rPr>
          <w:sz w:val="20"/>
        </w:rPr>
        <w:t>in</w:t>
      </w:r>
      <w:r>
        <w:rPr>
          <w:spacing w:val="-7"/>
          <w:sz w:val="20"/>
        </w:rPr>
        <w:t> </w:t>
      </w:r>
      <w:r>
        <w:rPr>
          <w:sz w:val="20"/>
        </w:rPr>
        <w:t>all</w:t>
      </w:r>
      <w:r>
        <w:rPr>
          <w:spacing w:val="-7"/>
          <w:sz w:val="20"/>
        </w:rPr>
        <w:t> </w:t>
      </w:r>
      <w:r>
        <w:rPr>
          <w:sz w:val="20"/>
        </w:rPr>
        <w:t>appropriate cases.</w:t>
      </w:r>
    </w:p>
    <w:p>
      <w:pPr>
        <w:pStyle w:val="ListParagraph"/>
        <w:numPr>
          <w:ilvl w:val="1"/>
          <w:numId w:val="13"/>
        </w:numPr>
        <w:tabs>
          <w:tab w:pos="1785" w:val="left" w:leader="none"/>
        </w:tabs>
        <w:spacing w:line="271" w:lineRule="auto" w:before="42" w:after="0"/>
        <w:ind w:left="1784" w:right="488" w:hanging="360"/>
        <w:jc w:val="both"/>
        <w:rPr>
          <w:sz w:val="20"/>
        </w:rPr>
      </w:pPr>
      <w:r>
        <w:rPr>
          <w:sz w:val="20"/>
        </w:rPr>
        <w:t>The dispute resolution mechanism would then be triggered if the competent authorities were unable to reach an agreement to resolve a MAP case after a defined period. The Inclusive Framework would agree on the defined period after which the dispute resolution mechanism would be triggered. In such cases, only the issue or issues that competent authorities were unable to resolve by mutual agreement would be submitted to a panel of experts (a determination panel) who would reach a</w:t>
      </w:r>
      <w:r>
        <w:rPr>
          <w:spacing w:val="-3"/>
          <w:sz w:val="20"/>
        </w:rPr>
        <w:t> </w:t>
      </w:r>
      <w:r>
        <w:rPr>
          <w:sz w:val="20"/>
        </w:rPr>
        <w:t>decision.</w:t>
      </w:r>
    </w:p>
    <w:p>
      <w:pPr>
        <w:pStyle w:val="ListParagraph"/>
        <w:numPr>
          <w:ilvl w:val="1"/>
          <w:numId w:val="13"/>
        </w:numPr>
        <w:tabs>
          <w:tab w:pos="1785" w:val="left" w:leader="none"/>
        </w:tabs>
        <w:spacing w:line="271" w:lineRule="auto" w:before="44" w:after="0"/>
        <w:ind w:left="1784" w:right="487" w:hanging="360"/>
        <w:jc w:val="both"/>
        <w:rPr>
          <w:sz w:val="20"/>
        </w:rPr>
      </w:pPr>
      <w:r>
        <w:rPr>
          <w:sz w:val="20"/>
        </w:rPr>
        <w:t>There is agreement that existing mandatory binding dispute resolution mechanisms (such as MAP</w:t>
      </w:r>
      <w:r>
        <w:rPr>
          <w:spacing w:val="-15"/>
          <w:sz w:val="20"/>
        </w:rPr>
        <w:t> </w:t>
      </w:r>
      <w:r>
        <w:rPr>
          <w:sz w:val="20"/>
        </w:rPr>
        <w:t>arbitration</w:t>
      </w:r>
      <w:r>
        <w:rPr>
          <w:spacing w:val="-15"/>
          <w:sz w:val="20"/>
        </w:rPr>
        <w:t> </w:t>
      </w:r>
      <w:r>
        <w:rPr>
          <w:sz w:val="20"/>
        </w:rPr>
        <w:t>provisions</w:t>
      </w:r>
      <w:r>
        <w:rPr>
          <w:spacing w:val="-14"/>
          <w:sz w:val="20"/>
        </w:rPr>
        <w:t> </w:t>
      </w:r>
      <w:r>
        <w:rPr>
          <w:sz w:val="20"/>
        </w:rPr>
        <w:t>in</w:t>
      </w:r>
      <w:r>
        <w:rPr>
          <w:spacing w:val="-15"/>
          <w:sz w:val="20"/>
        </w:rPr>
        <w:t> </w:t>
      </w:r>
      <w:r>
        <w:rPr>
          <w:sz w:val="20"/>
        </w:rPr>
        <w:t>bilateral</w:t>
      </w:r>
      <w:r>
        <w:rPr>
          <w:spacing w:val="-16"/>
          <w:sz w:val="20"/>
        </w:rPr>
        <w:t> </w:t>
      </w:r>
      <w:r>
        <w:rPr>
          <w:sz w:val="20"/>
        </w:rPr>
        <w:t>treaties</w:t>
      </w:r>
      <w:r>
        <w:rPr>
          <w:spacing w:val="-14"/>
          <w:sz w:val="20"/>
        </w:rPr>
        <w:t> </w:t>
      </w:r>
      <w:r>
        <w:rPr>
          <w:sz w:val="20"/>
        </w:rPr>
        <w:t>or</w:t>
      </w:r>
      <w:r>
        <w:rPr>
          <w:spacing w:val="-13"/>
          <w:sz w:val="20"/>
        </w:rPr>
        <w:t> </w:t>
      </w:r>
      <w:r>
        <w:rPr>
          <w:sz w:val="20"/>
        </w:rPr>
        <w:t>the</w:t>
      </w:r>
      <w:r>
        <w:rPr>
          <w:spacing w:val="-14"/>
          <w:sz w:val="20"/>
        </w:rPr>
        <w:t> </w:t>
      </w:r>
      <w:r>
        <w:rPr>
          <w:sz w:val="20"/>
        </w:rPr>
        <w:t>EU</w:t>
      </w:r>
      <w:r>
        <w:rPr>
          <w:spacing w:val="-12"/>
          <w:sz w:val="20"/>
        </w:rPr>
        <w:t> </w:t>
      </w:r>
      <w:r>
        <w:rPr>
          <w:sz w:val="20"/>
        </w:rPr>
        <w:t>tax</w:t>
      </w:r>
      <w:r>
        <w:rPr>
          <w:spacing w:val="-14"/>
          <w:sz w:val="20"/>
        </w:rPr>
        <w:t> </w:t>
      </w:r>
      <w:r>
        <w:rPr>
          <w:sz w:val="20"/>
        </w:rPr>
        <w:t>dispute</w:t>
      </w:r>
      <w:r>
        <w:rPr>
          <w:spacing w:val="-14"/>
          <w:sz w:val="20"/>
        </w:rPr>
        <w:t> </w:t>
      </w:r>
      <w:r>
        <w:rPr>
          <w:sz w:val="20"/>
        </w:rPr>
        <w:t>resolution</w:t>
      </w:r>
      <w:r>
        <w:rPr>
          <w:spacing w:val="-15"/>
          <w:sz w:val="20"/>
        </w:rPr>
        <w:t> </w:t>
      </w:r>
      <w:r>
        <w:rPr>
          <w:sz w:val="20"/>
        </w:rPr>
        <w:t>directive)</w:t>
      </w:r>
      <w:r>
        <w:rPr>
          <w:spacing w:val="-14"/>
          <w:sz w:val="20"/>
        </w:rPr>
        <w:t> </w:t>
      </w:r>
      <w:r>
        <w:rPr>
          <w:sz w:val="20"/>
        </w:rPr>
        <w:t>should apply</w:t>
      </w:r>
      <w:r>
        <w:rPr>
          <w:spacing w:val="-19"/>
          <w:sz w:val="20"/>
        </w:rPr>
        <w:t> </w:t>
      </w:r>
      <w:r>
        <w:rPr>
          <w:sz w:val="20"/>
        </w:rPr>
        <w:t>by</w:t>
      </w:r>
      <w:r>
        <w:rPr>
          <w:spacing w:val="-18"/>
          <w:sz w:val="20"/>
        </w:rPr>
        <w:t> </w:t>
      </w:r>
      <w:r>
        <w:rPr>
          <w:sz w:val="20"/>
        </w:rPr>
        <w:t>default</w:t>
      </w:r>
      <w:r>
        <w:rPr>
          <w:spacing w:val="-15"/>
          <w:sz w:val="20"/>
        </w:rPr>
        <w:t> </w:t>
      </w:r>
      <w:r>
        <w:rPr>
          <w:sz w:val="20"/>
        </w:rPr>
        <w:t>and</w:t>
      </w:r>
      <w:r>
        <w:rPr>
          <w:spacing w:val="-16"/>
          <w:sz w:val="20"/>
        </w:rPr>
        <w:t> </w:t>
      </w:r>
      <w:r>
        <w:rPr>
          <w:sz w:val="20"/>
        </w:rPr>
        <w:t>that</w:t>
      </w:r>
      <w:r>
        <w:rPr>
          <w:spacing w:val="-16"/>
          <w:sz w:val="20"/>
        </w:rPr>
        <w:t> </w:t>
      </w:r>
      <w:r>
        <w:rPr>
          <w:sz w:val="20"/>
        </w:rPr>
        <w:t>a</w:t>
      </w:r>
      <w:r>
        <w:rPr>
          <w:spacing w:val="-13"/>
          <w:sz w:val="20"/>
        </w:rPr>
        <w:t> </w:t>
      </w:r>
      <w:r>
        <w:rPr>
          <w:sz w:val="20"/>
        </w:rPr>
        <w:t>new</w:t>
      </w:r>
      <w:r>
        <w:rPr>
          <w:spacing w:val="-15"/>
          <w:sz w:val="20"/>
        </w:rPr>
        <w:t> </w:t>
      </w:r>
      <w:r>
        <w:rPr>
          <w:sz w:val="20"/>
        </w:rPr>
        <w:t>dispute</w:t>
      </w:r>
      <w:r>
        <w:rPr>
          <w:spacing w:val="-16"/>
          <w:sz w:val="20"/>
        </w:rPr>
        <w:t> </w:t>
      </w:r>
      <w:r>
        <w:rPr>
          <w:sz w:val="20"/>
        </w:rPr>
        <w:t>resolution</w:t>
      </w:r>
      <w:r>
        <w:rPr>
          <w:spacing w:val="-16"/>
          <w:sz w:val="20"/>
        </w:rPr>
        <w:t> </w:t>
      </w:r>
      <w:r>
        <w:rPr>
          <w:sz w:val="20"/>
        </w:rPr>
        <w:t>mechanism</w:t>
      </w:r>
      <w:r>
        <w:rPr>
          <w:spacing w:val="-12"/>
          <w:sz w:val="20"/>
        </w:rPr>
        <w:t> </w:t>
      </w:r>
      <w:r>
        <w:rPr>
          <w:sz w:val="20"/>
        </w:rPr>
        <w:t>should</w:t>
      </w:r>
      <w:r>
        <w:rPr>
          <w:spacing w:val="-15"/>
          <w:sz w:val="20"/>
        </w:rPr>
        <w:t> </w:t>
      </w:r>
      <w:r>
        <w:rPr>
          <w:sz w:val="20"/>
        </w:rPr>
        <w:t>only</w:t>
      </w:r>
      <w:r>
        <w:rPr>
          <w:spacing w:val="-18"/>
          <w:sz w:val="20"/>
        </w:rPr>
        <w:t> </w:t>
      </w:r>
      <w:r>
        <w:rPr>
          <w:sz w:val="20"/>
        </w:rPr>
        <w:t>apply</w:t>
      </w:r>
      <w:r>
        <w:rPr>
          <w:spacing w:val="-18"/>
          <w:sz w:val="20"/>
        </w:rPr>
        <w:t> </w:t>
      </w:r>
      <w:r>
        <w:rPr>
          <w:sz w:val="20"/>
        </w:rPr>
        <w:t>in</w:t>
      </w:r>
      <w:r>
        <w:rPr>
          <w:spacing w:val="-16"/>
          <w:sz w:val="20"/>
        </w:rPr>
        <w:t> </w:t>
      </w:r>
      <w:r>
        <w:rPr>
          <w:sz w:val="20"/>
        </w:rPr>
        <w:t>the</w:t>
      </w:r>
      <w:r>
        <w:rPr>
          <w:spacing w:val="-16"/>
          <w:sz w:val="20"/>
        </w:rPr>
        <w:t> </w:t>
      </w:r>
      <w:r>
        <w:rPr>
          <w:sz w:val="20"/>
        </w:rPr>
        <w:t>absence of an existing mandatory binding dispute resolution mechanism, or where treaty partners expressly agreed that the new mechanism should take priority over an existing mechanism. Ongoing technical work is addressing the relationship between the determination panel and existing mandatory binding dispute resolution mechanisms, including related implementation issues (which may be different depending on whether the relevant mechanism is provided for by a tax treaty or some other legal instrument such as EU</w:t>
      </w:r>
      <w:r>
        <w:rPr>
          <w:spacing w:val="-13"/>
          <w:sz w:val="20"/>
        </w:rPr>
        <w:t> </w:t>
      </w:r>
      <w:r>
        <w:rPr>
          <w:sz w:val="20"/>
        </w:rPr>
        <w:t>law).</w:t>
      </w:r>
    </w:p>
    <w:p>
      <w:pPr>
        <w:pStyle w:val="ListParagraph"/>
        <w:numPr>
          <w:ilvl w:val="1"/>
          <w:numId w:val="13"/>
        </w:numPr>
        <w:tabs>
          <w:tab w:pos="1785" w:val="left" w:leader="none"/>
        </w:tabs>
        <w:spacing w:line="271" w:lineRule="auto" w:before="44" w:after="0"/>
        <w:ind w:left="1784" w:right="482" w:hanging="360"/>
        <w:jc w:val="both"/>
        <w:rPr>
          <w:sz w:val="20"/>
        </w:rPr>
      </w:pPr>
      <w:r>
        <w:rPr>
          <w:sz w:val="20"/>
        </w:rPr>
        <w:t>Discussions are ongoing regarding the constitution of the determination panel. Different considerations</w:t>
      </w:r>
      <w:r>
        <w:rPr>
          <w:spacing w:val="-11"/>
          <w:sz w:val="20"/>
        </w:rPr>
        <w:t> </w:t>
      </w:r>
      <w:r>
        <w:rPr>
          <w:sz w:val="20"/>
        </w:rPr>
        <w:t>will</w:t>
      </w:r>
      <w:r>
        <w:rPr>
          <w:spacing w:val="-12"/>
          <w:sz w:val="20"/>
        </w:rPr>
        <w:t> </w:t>
      </w:r>
      <w:r>
        <w:rPr>
          <w:sz w:val="20"/>
        </w:rPr>
        <w:t>apply</w:t>
      </w:r>
      <w:r>
        <w:rPr>
          <w:spacing w:val="-15"/>
          <w:sz w:val="20"/>
        </w:rPr>
        <w:t> </w:t>
      </w:r>
      <w:r>
        <w:rPr>
          <w:sz w:val="20"/>
        </w:rPr>
        <w:t>in</w:t>
      </w:r>
      <w:r>
        <w:rPr>
          <w:spacing w:val="-12"/>
          <w:sz w:val="20"/>
        </w:rPr>
        <w:t> </w:t>
      </w:r>
      <w:r>
        <w:rPr>
          <w:sz w:val="20"/>
        </w:rPr>
        <w:t>the</w:t>
      </w:r>
      <w:r>
        <w:rPr>
          <w:spacing w:val="-13"/>
          <w:sz w:val="20"/>
        </w:rPr>
        <w:t> </w:t>
      </w:r>
      <w:r>
        <w:rPr>
          <w:sz w:val="20"/>
        </w:rPr>
        <w:t>selection</w:t>
      </w:r>
      <w:r>
        <w:rPr>
          <w:spacing w:val="-9"/>
          <w:sz w:val="20"/>
        </w:rPr>
        <w:t> </w:t>
      </w:r>
      <w:r>
        <w:rPr>
          <w:sz w:val="20"/>
        </w:rPr>
        <w:t>of</w:t>
      </w:r>
      <w:r>
        <w:rPr>
          <w:spacing w:val="-12"/>
          <w:sz w:val="20"/>
        </w:rPr>
        <w:t> </w:t>
      </w:r>
      <w:r>
        <w:rPr>
          <w:sz w:val="20"/>
        </w:rPr>
        <w:t>members</w:t>
      </w:r>
      <w:r>
        <w:rPr>
          <w:spacing w:val="-11"/>
          <w:sz w:val="20"/>
        </w:rPr>
        <w:t> </w:t>
      </w:r>
      <w:r>
        <w:rPr>
          <w:sz w:val="20"/>
        </w:rPr>
        <w:t>of</w:t>
      </w:r>
      <w:r>
        <w:rPr>
          <w:spacing w:val="-11"/>
          <w:sz w:val="20"/>
        </w:rPr>
        <w:t> </w:t>
      </w:r>
      <w:r>
        <w:rPr>
          <w:sz w:val="20"/>
        </w:rPr>
        <w:t>a</w:t>
      </w:r>
      <w:r>
        <w:rPr>
          <w:spacing w:val="-12"/>
          <w:sz w:val="20"/>
        </w:rPr>
        <w:t> </w:t>
      </w:r>
      <w:r>
        <w:rPr>
          <w:sz w:val="20"/>
        </w:rPr>
        <w:t>panel</w:t>
      </w:r>
      <w:r>
        <w:rPr>
          <w:spacing w:val="-12"/>
          <w:sz w:val="20"/>
        </w:rPr>
        <w:t> </w:t>
      </w:r>
      <w:r>
        <w:rPr>
          <w:sz w:val="20"/>
        </w:rPr>
        <w:t>that</w:t>
      </w:r>
      <w:r>
        <w:rPr>
          <w:spacing w:val="-12"/>
          <w:sz w:val="20"/>
        </w:rPr>
        <w:t> </w:t>
      </w:r>
      <w:r>
        <w:rPr>
          <w:sz w:val="20"/>
        </w:rPr>
        <w:t>resolves</w:t>
      </w:r>
      <w:r>
        <w:rPr>
          <w:spacing w:val="-10"/>
          <w:sz w:val="20"/>
        </w:rPr>
        <w:t> </w:t>
      </w:r>
      <w:r>
        <w:rPr>
          <w:sz w:val="20"/>
        </w:rPr>
        <w:t>primarily</w:t>
      </w:r>
      <w:r>
        <w:rPr>
          <w:spacing w:val="-15"/>
          <w:sz w:val="20"/>
        </w:rPr>
        <w:t> </w:t>
      </w:r>
      <w:r>
        <w:rPr>
          <w:sz w:val="20"/>
        </w:rPr>
        <w:t>bilateral transfer pricing disputes, as compared with the determination panel described above that would resolve disputes related to Amount A with potential effects in dozens of market and/or relieving jurisdictions. Parties to a bilateral dispute (or a multilateral dispute involving a small number of jurisdictions) will generally not accept a process in which they are not permitted to name at least one member of the determination panel. The development and design of the determination panel is thus exploring how the jurisdictions involved in a MAP case should be represented on a determination panel. Work to design a framework for the constitution of the determination panel is addressing issues that</w:t>
      </w:r>
      <w:r>
        <w:rPr>
          <w:spacing w:val="-4"/>
          <w:sz w:val="20"/>
        </w:rPr>
        <w:t> </w:t>
      </w:r>
      <w:r>
        <w:rPr>
          <w:sz w:val="20"/>
        </w:rPr>
        <w:t>include:</w:t>
      </w:r>
    </w:p>
    <w:p>
      <w:pPr>
        <w:pStyle w:val="BodyText"/>
        <w:spacing w:before="8"/>
      </w:pPr>
      <w:r>
        <w:rPr/>
        <w:pict>
          <v:rect style="position:absolute;margin-left:65.183998pt;margin-top:13.850887pt;width:144.020004pt;height:.60004pt;mso-position-horizontal-relative:page;mso-position-vertical-relative:paragraph;z-index:-1564057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19" w:val="left" w:leader="none"/>
        </w:tabs>
        <w:spacing w:line="278" w:lineRule="auto" w:before="94" w:after="0"/>
        <w:ind w:left="723" w:right="492" w:firstLine="0"/>
        <w:jc w:val="left"/>
        <w:rPr>
          <w:sz w:val="18"/>
        </w:rPr>
      </w:pPr>
      <w:r>
        <w:rPr>
          <w:sz w:val="18"/>
        </w:rPr>
        <w:t>See paragraph </w:t>
      </w:r>
      <w:hyperlink w:history="true" w:anchor="_bookmark70">
        <w:r>
          <w:rPr>
            <w:sz w:val="18"/>
          </w:rPr>
          <w:t>801 </w:t>
        </w:r>
      </w:hyperlink>
      <w:r>
        <w:rPr>
          <w:sz w:val="18"/>
        </w:rPr>
        <w:t>for a description of how the mechanism would apply to different categories of disputes and jurisdictions.</w:t>
      </w:r>
    </w:p>
    <w:p>
      <w:pPr>
        <w:spacing w:after="0" w:line="278" w:lineRule="auto"/>
        <w:jc w:val="left"/>
        <w:rPr>
          <w:sz w:val="18"/>
        </w:rPr>
        <w:sectPr>
          <w:pgSz w:w="11910" w:h="16840"/>
          <w:pgMar w:header="1244" w:footer="1638" w:top="1500" w:bottom="1820" w:left="580" w:right="820"/>
        </w:sectPr>
      </w:pPr>
    </w:p>
    <w:p>
      <w:pPr>
        <w:pStyle w:val="BodyText"/>
        <w:spacing w:before="9"/>
        <w:rPr>
          <w:sz w:val="19"/>
        </w:rPr>
      </w:pPr>
    </w:p>
    <w:p>
      <w:pPr>
        <w:pStyle w:val="ListParagraph"/>
        <w:numPr>
          <w:ilvl w:val="1"/>
          <w:numId w:val="82"/>
        </w:numPr>
        <w:tabs>
          <w:tab w:pos="2505" w:val="left" w:leader="none"/>
        </w:tabs>
        <w:spacing w:line="261" w:lineRule="auto" w:before="93" w:after="0"/>
        <w:ind w:left="2504" w:right="480" w:hanging="360"/>
        <w:jc w:val="both"/>
        <w:rPr>
          <w:sz w:val="20"/>
        </w:rPr>
      </w:pPr>
      <w:r>
        <w:rPr>
          <w:sz w:val="20"/>
        </w:rPr>
        <w:t>Whether some or all members of the determination panel should be serving tax officials, recognising the importance of impartiality and independence to robust decision-making by the</w:t>
      </w:r>
      <w:r>
        <w:rPr>
          <w:spacing w:val="-4"/>
          <w:sz w:val="20"/>
        </w:rPr>
        <w:t> </w:t>
      </w:r>
      <w:r>
        <w:rPr>
          <w:sz w:val="20"/>
        </w:rPr>
        <w:t>panel.</w:t>
      </w:r>
    </w:p>
    <w:p>
      <w:pPr>
        <w:pStyle w:val="ListParagraph"/>
        <w:numPr>
          <w:ilvl w:val="1"/>
          <w:numId w:val="82"/>
        </w:numPr>
        <w:tabs>
          <w:tab w:pos="2505" w:val="left" w:leader="none"/>
        </w:tabs>
        <w:spacing w:line="266" w:lineRule="auto" w:before="71" w:after="0"/>
        <w:ind w:left="2504" w:right="484" w:hanging="360"/>
        <w:jc w:val="both"/>
        <w:rPr>
          <w:sz w:val="20"/>
        </w:rPr>
      </w:pPr>
      <w:r>
        <w:rPr>
          <w:sz w:val="20"/>
        </w:rPr>
        <w:t>Whether members of the determination panel could be chosen from a sitting pool of potential members agreed by the jurisdictions involved in the MAP case, as well as how the determination panel could be selected from such a pool (for example, at random, based on objective criteria or based on nominations by the jurisdictions involved).</w:t>
      </w:r>
    </w:p>
    <w:p>
      <w:pPr>
        <w:pStyle w:val="ListParagraph"/>
        <w:numPr>
          <w:ilvl w:val="1"/>
          <w:numId w:val="82"/>
        </w:numPr>
        <w:tabs>
          <w:tab w:pos="2505" w:val="left" w:leader="none"/>
        </w:tabs>
        <w:spacing w:line="266" w:lineRule="auto" w:before="64" w:after="0"/>
        <w:ind w:left="2504" w:right="482" w:hanging="360"/>
        <w:jc w:val="both"/>
        <w:rPr>
          <w:sz w:val="20"/>
        </w:rPr>
      </w:pPr>
      <w:r>
        <w:rPr>
          <w:sz w:val="20"/>
        </w:rPr>
        <w:t>The number of members on a determination panel, which should reflect the decision- making process used by the panel (for example, a determination panel that made decision by majority should have an odd number of members). The size of a determination</w:t>
      </w:r>
      <w:r>
        <w:rPr>
          <w:spacing w:val="-15"/>
          <w:sz w:val="20"/>
        </w:rPr>
        <w:t> </w:t>
      </w:r>
      <w:r>
        <w:rPr>
          <w:sz w:val="20"/>
        </w:rPr>
        <w:t>panel</w:t>
      </w:r>
      <w:r>
        <w:rPr>
          <w:spacing w:val="-15"/>
          <w:sz w:val="20"/>
        </w:rPr>
        <w:t> </w:t>
      </w:r>
      <w:r>
        <w:rPr>
          <w:sz w:val="20"/>
        </w:rPr>
        <w:t>should</w:t>
      </w:r>
      <w:r>
        <w:rPr>
          <w:spacing w:val="-13"/>
          <w:sz w:val="20"/>
        </w:rPr>
        <w:t> </w:t>
      </w:r>
      <w:r>
        <w:rPr>
          <w:sz w:val="20"/>
        </w:rPr>
        <w:t>also</w:t>
      </w:r>
      <w:r>
        <w:rPr>
          <w:spacing w:val="-15"/>
          <w:sz w:val="20"/>
        </w:rPr>
        <w:t> </w:t>
      </w:r>
      <w:r>
        <w:rPr>
          <w:sz w:val="20"/>
        </w:rPr>
        <w:t>seek</w:t>
      </w:r>
      <w:r>
        <w:rPr>
          <w:spacing w:val="-11"/>
          <w:sz w:val="20"/>
        </w:rPr>
        <w:t> </w:t>
      </w:r>
      <w:r>
        <w:rPr>
          <w:sz w:val="20"/>
        </w:rPr>
        <w:t>an</w:t>
      </w:r>
      <w:r>
        <w:rPr>
          <w:spacing w:val="-14"/>
          <w:sz w:val="20"/>
        </w:rPr>
        <w:t> </w:t>
      </w:r>
      <w:r>
        <w:rPr>
          <w:sz w:val="20"/>
        </w:rPr>
        <w:t>appropriate</w:t>
      </w:r>
      <w:r>
        <w:rPr>
          <w:spacing w:val="-15"/>
          <w:sz w:val="20"/>
        </w:rPr>
        <w:t> </w:t>
      </w:r>
      <w:r>
        <w:rPr>
          <w:sz w:val="20"/>
        </w:rPr>
        <w:t>balance</w:t>
      </w:r>
      <w:r>
        <w:rPr>
          <w:spacing w:val="-13"/>
          <w:sz w:val="20"/>
        </w:rPr>
        <w:t> </w:t>
      </w:r>
      <w:r>
        <w:rPr>
          <w:sz w:val="20"/>
        </w:rPr>
        <w:t>between</w:t>
      </w:r>
      <w:r>
        <w:rPr>
          <w:spacing w:val="-13"/>
          <w:sz w:val="20"/>
        </w:rPr>
        <w:t> </w:t>
      </w:r>
      <w:r>
        <w:rPr>
          <w:sz w:val="20"/>
        </w:rPr>
        <w:t>representation, effectiveness and resource and administrative burdens associated with the</w:t>
      </w:r>
      <w:r>
        <w:rPr>
          <w:spacing w:val="-27"/>
          <w:sz w:val="20"/>
        </w:rPr>
        <w:t> </w:t>
      </w:r>
      <w:r>
        <w:rPr>
          <w:sz w:val="20"/>
        </w:rPr>
        <w:t>panel.</w:t>
      </w:r>
    </w:p>
    <w:p>
      <w:pPr>
        <w:pStyle w:val="ListParagraph"/>
        <w:numPr>
          <w:ilvl w:val="1"/>
          <w:numId w:val="82"/>
        </w:numPr>
        <w:tabs>
          <w:tab w:pos="2505" w:val="left" w:leader="none"/>
        </w:tabs>
        <w:spacing w:line="264" w:lineRule="auto" w:before="67" w:after="0"/>
        <w:ind w:left="2504" w:right="491" w:hanging="360"/>
        <w:jc w:val="both"/>
        <w:rPr>
          <w:sz w:val="20"/>
        </w:rPr>
      </w:pPr>
      <w:r>
        <w:rPr>
          <w:sz w:val="20"/>
        </w:rPr>
        <w:t>Clear agreed deadlines for competent authority designation of determination panel members, including robust default rules to ensure that members of a determination panel are designated in the absence of competent authority action within the agreed deadline.</w:t>
      </w:r>
    </w:p>
    <w:p>
      <w:pPr>
        <w:pStyle w:val="ListParagraph"/>
        <w:numPr>
          <w:ilvl w:val="0"/>
          <w:numId w:val="84"/>
        </w:numPr>
        <w:tabs>
          <w:tab w:pos="1785" w:val="left" w:leader="none"/>
        </w:tabs>
        <w:spacing w:line="271" w:lineRule="auto" w:before="56" w:after="0"/>
        <w:ind w:left="1784" w:right="482" w:hanging="360"/>
        <w:jc w:val="both"/>
        <w:rPr>
          <w:sz w:val="20"/>
        </w:rPr>
      </w:pPr>
      <w:r>
        <w:rPr>
          <w:sz w:val="20"/>
        </w:rPr>
        <w:t>The</w:t>
      </w:r>
      <w:r>
        <w:rPr>
          <w:spacing w:val="-14"/>
          <w:sz w:val="20"/>
        </w:rPr>
        <w:t> </w:t>
      </w:r>
      <w:r>
        <w:rPr>
          <w:sz w:val="20"/>
        </w:rPr>
        <w:t>determination</w:t>
      </w:r>
      <w:r>
        <w:rPr>
          <w:spacing w:val="-14"/>
          <w:sz w:val="20"/>
        </w:rPr>
        <w:t> </w:t>
      </w:r>
      <w:r>
        <w:rPr>
          <w:sz w:val="20"/>
        </w:rPr>
        <w:t>panel</w:t>
      </w:r>
      <w:r>
        <w:rPr>
          <w:spacing w:val="-12"/>
          <w:sz w:val="20"/>
        </w:rPr>
        <w:t> </w:t>
      </w:r>
      <w:r>
        <w:rPr>
          <w:sz w:val="20"/>
        </w:rPr>
        <w:t>would</w:t>
      </w:r>
      <w:r>
        <w:rPr>
          <w:spacing w:val="-14"/>
          <w:sz w:val="20"/>
        </w:rPr>
        <w:t> </w:t>
      </w:r>
      <w:r>
        <w:rPr>
          <w:sz w:val="20"/>
        </w:rPr>
        <w:t>resolve</w:t>
      </w:r>
      <w:r>
        <w:rPr>
          <w:spacing w:val="-14"/>
          <w:sz w:val="20"/>
        </w:rPr>
        <w:t> </w:t>
      </w:r>
      <w:r>
        <w:rPr>
          <w:sz w:val="20"/>
        </w:rPr>
        <w:t>the</w:t>
      </w:r>
      <w:r>
        <w:rPr>
          <w:spacing w:val="-14"/>
          <w:sz w:val="20"/>
        </w:rPr>
        <w:t> </w:t>
      </w:r>
      <w:r>
        <w:rPr>
          <w:sz w:val="20"/>
        </w:rPr>
        <w:t>specific</w:t>
      </w:r>
      <w:r>
        <w:rPr>
          <w:spacing w:val="-12"/>
          <w:sz w:val="20"/>
        </w:rPr>
        <w:t> </w:t>
      </w:r>
      <w:r>
        <w:rPr>
          <w:sz w:val="20"/>
        </w:rPr>
        <w:t>issue</w:t>
      </w:r>
      <w:r>
        <w:rPr>
          <w:spacing w:val="-14"/>
          <w:sz w:val="20"/>
        </w:rPr>
        <w:t> </w:t>
      </w:r>
      <w:r>
        <w:rPr>
          <w:sz w:val="20"/>
        </w:rPr>
        <w:t>or</w:t>
      </w:r>
      <w:r>
        <w:rPr>
          <w:spacing w:val="-13"/>
          <w:sz w:val="20"/>
        </w:rPr>
        <w:t> </w:t>
      </w:r>
      <w:r>
        <w:rPr>
          <w:sz w:val="20"/>
        </w:rPr>
        <w:t>issues</w:t>
      </w:r>
      <w:r>
        <w:rPr>
          <w:spacing w:val="-10"/>
          <w:sz w:val="20"/>
        </w:rPr>
        <w:t> </w:t>
      </w:r>
      <w:r>
        <w:rPr>
          <w:sz w:val="20"/>
        </w:rPr>
        <w:t>that</w:t>
      </w:r>
      <w:r>
        <w:rPr>
          <w:spacing w:val="-11"/>
          <w:sz w:val="20"/>
        </w:rPr>
        <w:t> </w:t>
      </w:r>
      <w:r>
        <w:rPr>
          <w:sz w:val="20"/>
        </w:rPr>
        <w:t>prevented</w:t>
      </w:r>
      <w:r>
        <w:rPr>
          <w:spacing w:val="-12"/>
          <w:sz w:val="20"/>
        </w:rPr>
        <w:t> </w:t>
      </w:r>
      <w:r>
        <w:rPr>
          <w:sz w:val="20"/>
        </w:rPr>
        <w:t>a</w:t>
      </w:r>
      <w:r>
        <w:rPr>
          <w:spacing w:val="-12"/>
          <w:sz w:val="20"/>
        </w:rPr>
        <w:t> </w:t>
      </w:r>
      <w:r>
        <w:rPr>
          <w:sz w:val="20"/>
        </w:rPr>
        <w:t>competent authority agreement to resolve the MAP case. Two main issues are being addressed in the ongoing technical work regarding the decision-making process used by the determination panel:</w:t>
      </w:r>
    </w:p>
    <w:p>
      <w:pPr>
        <w:pStyle w:val="ListParagraph"/>
        <w:numPr>
          <w:ilvl w:val="1"/>
          <w:numId w:val="84"/>
        </w:numPr>
        <w:tabs>
          <w:tab w:pos="2524" w:val="left" w:leader="none"/>
        </w:tabs>
        <w:spacing w:line="268" w:lineRule="auto" w:before="59" w:after="0"/>
        <w:ind w:left="2523" w:right="482" w:hanging="360"/>
        <w:jc w:val="both"/>
        <w:rPr>
          <w:sz w:val="20"/>
        </w:rPr>
      </w:pPr>
      <w:r>
        <w:rPr>
          <w:sz w:val="20"/>
        </w:rPr>
        <w:t>First, how the panel would make its decisions. While most Inclusive Framework members prefer decision-making by majority, the work is exploring other possible decision-making models (such as consensus or consensus-minus-one decision- making). This work will develop agreed default rules to deliver an outcome in circumstances in which the determination panel would be deadlocked or otherwise unable to decide. The work will also explore models that, where necessary, would be suited for multi-jurisdiction disputes with multiple possible outcomes (such as a transfer pricing dispute involving an integrated series of transactions between associated enterprises in three jurisdictions); such models could include a voting system in which determination panel members ranked possible</w:t>
      </w:r>
      <w:r>
        <w:rPr>
          <w:spacing w:val="-15"/>
          <w:sz w:val="20"/>
        </w:rPr>
        <w:t> </w:t>
      </w:r>
      <w:r>
        <w:rPr>
          <w:sz w:val="20"/>
        </w:rPr>
        <w:t>outcomes.</w:t>
      </w:r>
    </w:p>
    <w:p>
      <w:pPr>
        <w:pStyle w:val="ListParagraph"/>
        <w:numPr>
          <w:ilvl w:val="1"/>
          <w:numId w:val="84"/>
        </w:numPr>
        <w:tabs>
          <w:tab w:pos="2524" w:val="left" w:leader="none"/>
        </w:tabs>
        <w:spacing w:line="268" w:lineRule="auto" w:before="66" w:after="0"/>
        <w:ind w:left="2523" w:right="482" w:hanging="360"/>
        <w:jc w:val="both"/>
        <w:rPr>
          <w:sz w:val="20"/>
        </w:rPr>
      </w:pPr>
      <w:r>
        <w:rPr>
          <w:sz w:val="20"/>
        </w:rPr>
        <w:t>Second, the authority of the determination panel to decide. A majority of Inclusive Framework members favour a last-best offer approach in which the determination panel chooses between alternative outcomes submitted by the jurisdictions involved in the MAP case as the default rule, unless the competent authorities agree that a different approach should be used. Work is exploring a number of subsidiary issues, which include how to accommodate some jurisdictions’ preference for independent opinion decision-making and whether the determination panel should provide a rationale for its</w:t>
      </w:r>
      <w:r>
        <w:rPr>
          <w:spacing w:val="-3"/>
          <w:sz w:val="20"/>
        </w:rPr>
        <w:t> </w:t>
      </w:r>
      <w:r>
        <w:rPr>
          <w:sz w:val="20"/>
        </w:rPr>
        <w:t>decisions.</w:t>
      </w:r>
    </w:p>
    <w:p>
      <w:pPr>
        <w:pStyle w:val="ListParagraph"/>
        <w:numPr>
          <w:ilvl w:val="0"/>
          <w:numId w:val="84"/>
        </w:numPr>
        <w:tabs>
          <w:tab w:pos="1785" w:val="left" w:leader="none"/>
        </w:tabs>
        <w:spacing w:line="271" w:lineRule="auto" w:before="50" w:after="0"/>
        <w:ind w:left="1784" w:right="487" w:hanging="360"/>
        <w:jc w:val="both"/>
        <w:rPr>
          <w:sz w:val="20"/>
        </w:rPr>
      </w:pPr>
      <w:r>
        <w:rPr>
          <w:sz w:val="20"/>
        </w:rPr>
        <w:t>Work on the determination panel process will also establish clear agreed deadlines for the determination</w:t>
      </w:r>
      <w:r>
        <w:rPr>
          <w:spacing w:val="-8"/>
          <w:sz w:val="20"/>
        </w:rPr>
        <w:t> </w:t>
      </w:r>
      <w:r>
        <w:rPr>
          <w:sz w:val="20"/>
        </w:rPr>
        <w:t>panel</w:t>
      </w:r>
      <w:r>
        <w:rPr>
          <w:spacing w:val="-8"/>
          <w:sz w:val="20"/>
        </w:rPr>
        <w:t> </w:t>
      </w:r>
      <w:r>
        <w:rPr>
          <w:sz w:val="20"/>
        </w:rPr>
        <w:t>to</w:t>
      </w:r>
      <w:r>
        <w:rPr>
          <w:spacing w:val="-8"/>
          <w:sz w:val="20"/>
        </w:rPr>
        <w:t> </w:t>
      </w:r>
      <w:r>
        <w:rPr>
          <w:sz w:val="20"/>
        </w:rPr>
        <w:t>deliver</w:t>
      </w:r>
      <w:r>
        <w:rPr>
          <w:spacing w:val="-8"/>
          <w:sz w:val="20"/>
        </w:rPr>
        <w:t> </w:t>
      </w:r>
      <w:r>
        <w:rPr>
          <w:sz w:val="20"/>
        </w:rPr>
        <w:t>its</w:t>
      </w:r>
      <w:r>
        <w:rPr>
          <w:spacing w:val="-6"/>
          <w:sz w:val="20"/>
        </w:rPr>
        <w:t> </w:t>
      </w:r>
      <w:r>
        <w:rPr>
          <w:sz w:val="20"/>
        </w:rPr>
        <w:t>decision,</w:t>
      </w:r>
      <w:r>
        <w:rPr>
          <w:spacing w:val="-6"/>
          <w:sz w:val="20"/>
        </w:rPr>
        <w:t> </w:t>
      </w:r>
      <w:r>
        <w:rPr>
          <w:sz w:val="20"/>
        </w:rPr>
        <w:t>including</w:t>
      </w:r>
      <w:r>
        <w:rPr>
          <w:spacing w:val="-8"/>
          <w:sz w:val="20"/>
        </w:rPr>
        <w:t> </w:t>
      </w:r>
      <w:r>
        <w:rPr>
          <w:sz w:val="20"/>
        </w:rPr>
        <w:t>robust</w:t>
      </w:r>
      <w:r>
        <w:rPr>
          <w:spacing w:val="-9"/>
          <w:sz w:val="20"/>
        </w:rPr>
        <w:t> </w:t>
      </w:r>
      <w:r>
        <w:rPr>
          <w:sz w:val="20"/>
        </w:rPr>
        <w:t>default</w:t>
      </w:r>
      <w:r>
        <w:rPr>
          <w:spacing w:val="-10"/>
          <w:sz w:val="20"/>
        </w:rPr>
        <w:t> </w:t>
      </w:r>
      <w:r>
        <w:rPr>
          <w:sz w:val="20"/>
        </w:rPr>
        <w:t>rules</w:t>
      </w:r>
      <w:r>
        <w:rPr>
          <w:spacing w:val="-8"/>
          <w:sz w:val="20"/>
        </w:rPr>
        <w:t> </w:t>
      </w:r>
      <w:r>
        <w:rPr>
          <w:sz w:val="20"/>
        </w:rPr>
        <w:t>to</w:t>
      </w:r>
      <w:r>
        <w:rPr>
          <w:spacing w:val="-9"/>
          <w:sz w:val="20"/>
        </w:rPr>
        <w:t> </w:t>
      </w:r>
      <w:r>
        <w:rPr>
          <w:sz w:val="20"/>
        </w:rPr>
        <w:t>deliver</w:t>
      </w:r>
      <w:r>
        <w:rPr>
          <w:spacing w:val="-9"/>
          <w:sz w:val="20"/>
        </w:rPr>
        <w:t> </w:t>
      </w:r>
      <w:r>
        <w:rPr>
          <w:sz w:val="20"/>
        </w:rPr>
        <w:t>an</w:t>
      </w:r>
      <w:r>
        <w:rPr>
          <w:spacing w:val="-9"/>
          <w:sz w:val="20"/>
        </w:rPr>
        <w:t> </w:t>
      </w:r>
      <w:r>
        <w:rPr>
          <w:sz w:val="20"/>
        </w:rPr>
        <w:t>outcome in circumstances in which the determination panel fails to reach a decision within the agreed deadline.</w:t>
      </w:r>
    </w:p>
    <w:p>
      <w:pPr>
        <w:pStyle w:val="ListParagraph"/>
        <w:numPr>
          <w:ilvl w:val="0"/>
          <w:numId w:val="84"/>
        </w:numPr>
        <w:tabs>
          <w:tab w:pos="1785" w:val="left" w:leader="none"/>
        </w:tabs>
        <w:spacing w:line="271" w:lineRule="auto" w:before="42" w:after="0"/>
        <w:ind w:left="1784" w:right="484" w:hanging="360"/>
        <w:jc w:val="both"/>
        <w:rPr>
          <w:sz w:val="20"/>
        </w:rPr>
      </w:pPr>
      <w:r>
        <w:rPr>
          <w:sz w:val="20"/>
        </w:rPr>
        <w:t>The decision of the panel would generally be binding on the competent authorities (including in circumstances where the proposed elective dispute resolution mechanism applicable to developing economies has been triggered). Where the panel process was binding, its outcomes</w:t>
      </w:r>
      <w:r>
        <w:rPr>
          <w:spacing w:val="-16"/>
          <w:sz w:val="20"/>
        </w:rPr>
        <w:t> </w:t>
      </w:r>
      <w:r>
        <w:rPr>
          <w:sz w:val="20"/>
        </w:rPr>
        <w:t>would</w:t>
      </w:r>
      <w:r>
        <w:rPr>
          <w:spacing w:val="-16"/>
          <w:sz w:val="20"/>
        </w:rPr>
        <w:t> </w:t>
      </w:r>
      <w:r>
        <w:rPr>
          <w:sz w:val="20"/>
        </w:rPr>
        <w:t>be</w:t>
      </w:r>
      <w:r>
        <w:rPr>
          <w:spacing w:val="-14"/>
          <w:sz w:val="20"/>
        </w:rPr>
        <w:t> </w:t>
      </w:r>
      <w:r>
        <w:rPr>
          <w:sz w:val="20"/>
        </w:rPr>
        <w:t>implemented</w:t>
      </w:r>
      <w:r>
        <w:rPr>
          <w:spacing w:val="-16"/>
          <w:sz w:val="20"/>
        </w:rPr>
        <w:t> </w:t>
      </w:r>
      <w:r>
        <w:rPr>
          <w:sz w:val="20"/>
        </w:rPr>
        <w:t>through</w:t>
      </w:r>
      <w:r>
        <w:rPr>
          <w:spacing w:val="-17"/>
          <w:sz w:val="20"/>
        </w:rPr>
        <w:t> </w:t>
      </w:r>
      <w:r>
        <w:rPr>
          <w:sz w:val="20"/>
        </w:rPr>
        <w:t>a</w:t>
      </w:r>
      <w:r>
        <w:rPr>
          <w:spacing w:val="-16"/>
          <w:sz w:val="20"/>
        </w:rPr>
        <w:t> </w:t>
      </w:r>
      <w:r>
        <w:rPr>
          <w:sz w:val="20"/>
        </w:rPr>
        <w:t>competent</w:t>
      </w:r>
      <w:r>
        <w:rPr>
          <w:spacing w:val="-14"/>
          <w:sz w:val="20"/>
        </w:rPr>
        <w:t> </w:t>
      </w:r>
      <w:r>
        <w:rPr>
          <w:sz w:val="20"/>
        </w:rPr>
        <w:t>authority</w:t>
      </w:r>
      <w:r>
        <w:rPr>
          <w:spacing w:val="-21"/>
          <w:sz w:val="20"/>
        </w:rPr>
        <w:t> </w:t>
      </w:r>
      <w:r>
        <w:rPr>
          <w:sz w:val="20"/>
        </w:rPr>
        <w:t>mutual</w:t>
      </w:r>
      <w:r>
        <w:rPr>
          <w:spacing w:val="-17"/>
          <w:sz w:val="20"/>
        </w:rPr>
        <w:t> </w:t>
      </w:r>
      <w:r>
        <w:rPr>
          <w:sz w:val="20"/>
        </w:rPr>
        <w:t>agreement</w:t>
      </w:r>
      <w:r>
        <w:rPr>
          <w:spacing w:val="-16"/>
          <w:sz w:val="20"/>
        </w:rPr>
        <w:t> </w:t>
      </w:r>
      <w:r>
        <w:rPr>
          <w:sz w:val="20"/>
        </w:rPr>
        <w:t>in</w:t>
      </w:r>
      <w:r>
        <w:rPr>
          <w:spacing w:val="-16"/>
          <w:sz w:val="20"/>
        </w:rPr>
        <w:t> </w:t>
      </w:r>
      <w:r>
        <w:rPr>
          <w:sz w:val="20"/>
        </w:rPr>
        <w:t>the</w:t>
      </w:r>
      <w:r>
        <w:rPr>
          <w:spacing w:val="-17"/>
          <w:sz w:val="20"/>
        </w:rPr>
        <w:t> </w:t>
      </w:r>
      <w:r>
        <w:rPr>
          <w:sz w:val="20"/>
        </w:rPr>
        <w:t>same way as any other resolution through the MAP. As noted above, the work is also exploring</w:t>
      </w:r>
      <w:r>
        <w:rPr>
          <w:spacing w:val="1"/>
          <w:sz w:val="20"/>
        </w:rPr>
        <w:t> </w:t>
      </w:r>
      <w:r>
        <w:rPr>
          <w:sz w:val="20"/>
        </w:rPr>
        <w:t>the</w:t>
      </w:r>
    </w:p>
    <w:p>
      <w:pPr>
        <w:spacing w:after="0" w:line="271" w:lineRule="auto"/>
        <w:jc w:val="both"/>
        <w:rPr>
          <w:sz w:val="20"/>
        </w:rPr>
        <w:sectPr>
          <w:pgSz w:w="11910" w:h="16840"/>
          <w:pgMar w:header="1244" w:footer="1638" w:top="1500" w:bottom="1820" w:left="580" w:right="820"/>
        </w:sectPr>
      </w:pPr>
    </w:p>
    <w:p>
      <w:pPr>
        <w:pStyle w:val="BodyText"/>
        <w:spacing w:before="9"/>
        <w:rPr>
          <w:sz w:val="19"/>
        </w:rPr>
      </w:pPr>
    </w:p>
    <w:p>
      <w:pPr>
        <w:pStyle w:val="BodyText"/>
        <w:spacing w:line="271" w:lineRule="auto" w:before="93"/>
        <w:ind w:left="1784" w:right="486"/>
        <w:jc w:val="both"/>
      </w:pPr>
      <w:r>
        <w:rPr/>
        <w:t>benefits of a mandatory non-binding (advisory) dispute resolution mechanism for taxpayers outside the scope of Amount A.</w:t>
      </w:r>
    </w:p>
    <w:p>
      <w:pPr>
        <w:pStyle w:val="ListParagraph"/>
        <w:numPr>
          <w:ilvl w:val="0"/>
          <w:numId w:val="84"/>
        </w:numPr>
        <w:tabs>
          <w:tab w:pos="1785" w:val="left" w:leader="none"/>
        </w:tabs>
        <w:spacing w:line="271" w:lineRule="auto" w:before="45" w:after="0"/>
        <w:ind w:left="1784" w:right="482" w:hanging="360"/>
        <w:jc w:val="both"/>
        <w:rPr>
          <w:sz w:val="20"/>
        </w:rPr>
      </w:pPr>
      <w:r>
        <w:rPr>
          <w:sz w:val="20"/>
        </w:rPr>
        <w:t>A mandatory non-binding dispute resolution mechanism would be coupled with statistical reporting on the results of this process to provide information on whether the panel opinion was followed and/or whether double taxation was otherwise addressed. </w:t>
      </w:r>
      <w:r>
        <w:rPr>
          <w:spacing w:val="3"/>
          <w:sz w:val="20"/>
        </w:rPr>
        <w:t>The </w:t>
      </w:r>
      <w:r>
        <w:rPr>
          <w:sz w:val="20"/>
        </w:rPr>
        <w:t>effectiveness of this mechanism could then also be subject to peer</w:t>
      </w:r>
      <w:r>
        <w:rPr>
          <w:spacing w:val="-6"/>
          <w:sz w:val="20"/>
        </w:rPr>
        <w:t> </w:t>
      </w:r>
      <w:r>
        <w:rPr>
          <w:sz w:val="20"/>
        </w:rPr>
        <w:t>review.</w:t>
      </w:r>
    </w:p>
    <w:p>
      <w:pPr>
        <w:pStyle w:val="ListParagraph"/>
        <w:numPr>
          <w:ilvl w:val="0"/>
          <w:numId w:val="84"/>
        </w:numPr>
        <w:tabs>
          <w:tab w:pos="1785" w:val="left" w:leader="none"/>
        </w:tabs>
        <w:spacing w:line="268" w:lineRule="auto" w:before="46" w:after="0"/>
        <w:ind w:left="1784" w:right="489" w:hanging="360"/>
        <w:jc w:val="both"/>
        <w:rPr>
          <w:sz w:val="20"/>
        </w:rPr>
      </w:pPr>
      <w:r>
        <w:rPr>
          <w:sz w:val="20"/>
        </w:rPr>
        <w:t>It</w:t>
      </w:r>
      <w:r>
        <w:rPr>
          <w:spacing w:val="-11"/>
          <w:sz w:val="20"/>
        </w:rPr>
        <w:t> </w:t>
      </w:r>
      <w:r>
        <w:rPr>
          <w:sz w:val="20"/>
        </w:rPr>
        <w:t>is</w:t>
      </w:r>
      <w:r>
        <w:rPr>
          <w:spacing w:val="-9"/>
          <w:sz w:val="20"/>
        </w:rPr>
        <w:t> </w:t>
      </w:r>
      <w:r>
        <w:rPr>
          <w:sz w:val="20"/>
        </w:rPr>
        <w:t>contemplated</w:t>
      </w:r>
      <w:r>
        <w:rPr>
          <w:spacing w:val="-8"/>
          <w:sz w:val="20"/>
        </w:rPr>
        <w:t> </w:t>
      </w:r>
      <w:r>
        <w:rPr>
          <w:sz w:val="20"/>
        </w:rPr>
        <w:t>that</w:t>
      </w:r>
      <w:r>
        <w:rPr>
          <w:spacing w:val="-11"/>
          <w:sz w:val="20"/>
        </w:rPr>
        <w:t> </w:t>
      </w:r>
      <w:r>
        <w:rPr>
          <w:sz w:val="20"/>
        </w:rPr>
        <w:t>the</w:t>
      </w:r>
      <w:r>
        <w:rPr>
          <w:spacing w:val="-10"/>
          <w:sz w:val="20"/>
        </w:rPr>
        <w:t> </w:t>
      </w:r>
      <w:r>
        <w:rPr>
          <w:sz w:val="20"/>
        </w:rPr>
        <w:t>determination</w:t>
      </w:r>
      <w:r>
        <w:rPr>
          <w:spacing w:val="-10"/>
          <w:sz w:val="20"/>
        </w:rPr>
        <w:t> </w:t>
      </w:r>
      <w:r>
        <w:rPr>
          <w:sz w:val="20"/>
        </w:rPr>
        <w:t>panel</w:t>
      </w:r>
      <w:r>
        <w:rPr>
          <w:spacing w:val="-11"/>
          <w:sz w:val="20"/>
        </w:rPr>
        <w:t> </w:t>
      </w:r>
      <w:r>
        <w:rPr>
          <w:sz w:val="20"/>
        </w:rPr>
        <w:t>process</w:t>
      </w:r>
      <w:r>
        <w:rPr>
          <w:spacing w:val="-7"/>
          <w:sz w:val="20"/>
        </w:rPr>
        <w:t> </w:t>
      </w:r>
      <w:r>
        <w:rPr>
          <w:sz w:val="20"/>
        </w:rPr>
        <w:t>would</w:t>
      </w:r>
      <w:r>
        <w:rPr>
          <w:spacing w:val="-8"/>
          <w:sz w:val="20"/>
        </w:rPr>
        <w:t> </w:t>
      </w:r>
      <w:r>
        <w:rPr>
          <w:sz w:val="20"/>
        </w:rPr>
        <w:t>interact</w:t>
      </w:r>
      <w:r>
        <w:rPr>
          <w:spacing w:val="-6"/>
          <w:sz w:val="20"/>
        </w:rPr>
        <w:t> </w:t>
      </w:r>
      <w:r>
        <w:rPr>
          <w:sz w:val="20"/>
        </w:rPr>
        <w:t>with</w:t>
      </w:r>
      <w:r>
        <w:rPr>
          <w:spacing w:val="-10"/>
          <w:sz w:val="20"/>
        </w:rPr>
        <w:t> </w:t>
      </w:r>
      <w:r>
        <w:rPr>
          <w:sz w:val="20"/>
        </w:rPr>
        <w:t>domestic</w:t>
      </w:r>
      <w:r>
        <w:rPr>
          <w:spacing w:val="-9"/>
          <w:sz w:val="20"/>
        </w:rPr>
        <w:t> </w:t>
      </w:r>
      <w:r>
        <w:rPr>
          <w:sz w:val="20"/>
        </w:rPr>
        <w:t>remedies under the same general principles that apply in any other MAP case resolved by competent authorities through a mutual agreement, according to</w:t>
      </w:r>
      <w:r>
        <w:rPr>
          <w:spacing w:val="-6"/>
          <w:sz w:val="20"/>
        </w:rPr>
        <w:t> </w:t>
      </w:r>
      <w:r>
        <w:rPr>
          <w:sz w:val="20"/>
        </w:rPr>
        <w:t>which:</w:t>
      </w:r>
    </w:p>
    <w:p>
      <w:pPr>
        <w:pStyle w:val="ListParagraph"/>
        <w:numPr>
          <w:ilvl w:val="1"/>
          <w:numId w:val="84"/>
        </w:numPr>
        <w:tabs>
          <w:tab w:pos="2505" w:val="left" w:leader="none"/>
        </w:tabs>
        <w:spacing w:line="268" w:lineRule="auto" w:before="63" w:after="0"/>
        <w:ind w:left="2504" w:right="480" w:hanging="360"/>
        <w:jc w:val="both"/>
        <w:rPr>
          <w:sz w:val="20"/>
        </w:rPr>
      </w:pPr>
      <w:r>
        <w:rPr>
          <w:sz w:val="20"/>
        </w:rPr>
        <w:t>In</w:t>
      </w:r>
      <w:r>
        <w:rPr>
          <w:spacing w:val="-14"/>
          <w:sz w:val="20"/>
        </w:rPr>
        <w:t> </w:t>
      </w:r>
      <w:r>
        <w:rPr>
          <w:sz w:val="20"/>
        </w:rPr>
        <w:t>many</w:t>
      </w:r>
      <w:r>
        <w:rPr>
          <w:spacing w:val="-18"/>
          <w:sz w:val="20"/>
        </w:rPr>
        <w:t> </w:t>
      </w:r>
      <w:r>
        <w:rPr>
          <w:sz w:val="20"/>
        </w:rPr>
        <w:t>jurisdictions,</w:t>
      </w:r>
      <w:r>
        <w:rPr>
          <w:spacing w:val="-13"/>
          <w:sz w:val="20"/>
        </w:rPr>
        <w:t> </w:t>
      </w:r>
      <w:r>
        <w:rPr>
          <w:sz w:val="20"/>
        </w:rPr>
        <w:t>a</w:t>
      </w:r>
      <w:r>
        <w:rPr>
          <w:spacing w:val="-12"/>
          <w:sz w:val="20"/>
        </w:rPr>
        <w:t> </w:t>
      </w:r>
      <w:r>
        <w:rPr>
          <w:sz w:val="20"/>
        </w:rPr>
        <w:t>taxpayer</w:t>
      </w:r>
      <w:r>
        <w:rPr>
          <w:spacing w:val="-12"/>
          <w:sz w:val="20"/>
        </w:rPr>
        <w:t> </w:t>
      </w:r>
      <w:r>
        <w:rPr>
          <w:sz w:val="20"/>
        </w:rPr>
        <w:t>cannot</w:t>
      </w:r>
      <w:r>
        <w:rPr>
          <w:spacing w:val="-12"/>
          <w:sz w:val="20"/>
        </w:rPr>
        <w:t> </w:t>
      </w:r>
      <w:r>
        <w:rPr>
          <w:sz w:val="20"/>
        </w:rPr>
        <w:t>pursue</w:t>
      </w:r>
      <w:r>
        <w:rPr>
          <w:spacing w:val="-13"/>
          <w:sz w:val="20"/>
        </w:rPr>
        <w:t> </w:t>
      </w:r>
      <w:r>
        <w:rPr>
          <w:sz w:val="20"/>
        </w:rPr>
        <w:t>simultaneously</w:t>
      </w:r>
      <w:r>
        <w:rPr>
          <w:spacing w:val="-17"/>
          <w:sz w:val="20"/>
        </w:rPr>
        <w:t> </w:t>
      </w:r>
      <w:r>
        <w:rPr>
          <w:sz w:val="20"/>
        </w:rPr>
        <w:t>the</w:t>
      </w:r>
      <w:r>
        <w:rPr>
          <w:spacing w:val="-11"/>
          <w:sz w:val="20"/>
        </w:rPr>
        <w:t> </w:t>
      </w:r>
      <w:r>
        <w:rPr>
          <w:sz w:val="20"/>
        </w:rPr>
        <w:t>MAP</w:t>
      </w:r>
      <w:r>
        <w:rPr>
          <w:spacing w:val="-13"/>
          <w:sz w:val="20"/>
        </w:rPr>
        <w:t> </w:t>
      </w:r>
      <w:r>
        <w:rPr>
          <w:sz w:val="20"/>
        </w:rPr>
        <w:t>and</w:t>
      </w:r>
      <w:r>
        <w:rPr>
          <w:spacing w:val="-14"/>
          <w:sz w:val="20"/>
        </w:rPr>
        <w:t> </w:t>
      </w:r>
      <w:r>
        <w:rPr>
          <w:sz w:val="20"/>
        </w:rPr>
        <w:t>domestic legal remedies. Where domestic legal remedies are still available, competent authorities</w:t>
      </w:r>
      <w:r>
        <w:rPr>
          <w:spacing w:val="-7"/>
          <w:sz w:val="20"/>
        </w:rPr>
        <w:t> </w:t>
      </w:r>
      <w:r>
        <w:rPr>
          <w:sz w:val="20"/>
        </w:rPr>
        <w:t>in</w:t>
      </w:r>
      <w:r>
        <w:rPr>
          <w:spacing w:val="-6"/>
          <w:sz w:val="20"/>
        </w:rPr>
        <w:t> </w:t>
      </w:r>
      <w:r>
        <w:rPr>
          <w:sz w:val="20"/>
        </w:rPr>
        <w:t>these</w:t>
      </w:r>
      <w:r>
        <w:rPr>
          <w:spacing w:val="-6"/>
          <w:sz w:val="20"/>
        </w:rPr>
        <w:t> </w:t>
      </w:r>
      <w:r>
        <w:rPr>
          <w:sz w:val="20"/>
        </w:rPr>
        <w:t>jurisdictions</w:t>
      </w:r>
      <w:r>
        <w:rPr>
          <w:spacing w:val="-4"/>
          <w:sz w:val="20"/>
        </w:rPr>
        <w:t> </w:t>
      </w:r>
      <w:r>
        <w:rPr>
          <w:sz w:val="20"/>
        </w:rPr>
        <w:t>will</w:t>
      </w:r>
      <w:r>
        <w:rPr>
          <w:spacing w:val="-6"/>
          <w:sz w:val="20"/>
        </w:rPr>
        <w:t> </w:t>
      </w:r>
      <w:r>
        <w:rPr>
          <w:sz w:val="20"/>
        </w:rPr>
        <w:t>generally</w:t>
      </w:r>
      <w:r>
        <w:rPr>
          <w:spacing w:val="-7"/>
          <w:sz w:val="20"/>
        </w:rPr>
        <w:t> </w:t>
      </w:r>
      <w:r>
        <w:rPr>
          <w:sz w:val="20"/>
        </w:rPr>
        <w:t>either</w:t>
      </w:r>
      <w:r>
        <w:rPr>
          <w:spacing w:val="-7"/>
          <w:sz w:val="20"/>
        </w:rPr>
        <w:t> </w:t>
      </w:r>
      <w:r>
        <w:rPr>
          <w:sz w:val="20"/>
        </w:rPr>
        <w:t>require</w:t>
      </w:r>
      <w:r>
        <w:rPr>
          <w:spacing w:val="-8"/>
          <w:sz w:val="20"/>
        </w:rPr>
        <w:t> </w:t>
      </w:r>
      <w:r>
        <w:rPr>
          <w:sz w:val="20"/>
        </w:rPr>
        <w:t>that</w:t>
      </w:r>
      <w:r>
        <w:rPr>
          <w:spacing w:val="-7"/>
          <w:sz w:val="20"/>
        </w:rPr>
        <w:t> </w:t>
      </w:r>
      <w:r>
        <w:rPr>
          <w:sz w:val="20"/>
        </w:rPr>
        <w:t>the</w:t>
      </w:r>
      <w:r>
        <w:rPr>
          <w:spacing w:val="-7"/>
          <w:sz w:val="20"/>
        </w:rPr>
        <w:t> </w:t>
      </w:r>
      <w:r>
        <w:rPr>
          <w:sz w:val="20"/>
        </w:rPr>
        <w:t>taxpayer</w:t>
      </w:r>
      <w:r>
        <w:rPr>
          <w:spacing w:val="-7"/>
          <w:sz w:val="20"/>
        </w:rPr>
        <w:t> </w:t>
      </w:r>
      <w:r>
        <w:rPr>
          <w:sz w:val="20"/>
        </w:rPr>
        <w:t>agree</w:t>
      </w:r>
      <w:r>
        <w:rPr>
          <w:spacing w:val="-5"/>
          <w:sz w:val="20"/>
        </w:rPr>
        <w:t> </w:t>
      </w:r>
      <w:r>
        <w:rPr>
          <w:sz w:val="20"/>
        </w:rPr>
        <w:t>to suspend these other remedies or, if the taxpayer does not agree, will delay the MAP until these remedies are exhausted. For jurisdictions that have adopted MAP arbitration,</w:t>
      </w:r>
      <w:r>
        <w:rPr>
          <w:spacing w:val="-11"/>
          <w:sz w:val="20"/>
        </w:rPr>
        <w:t> </w:t>
      </w:r>
      <w:r>
        <w:rPr>
          <w:sz w:val="20"/>
        </w:rPr>
        <w:t>however,</w:t>
      </w:r>
      <w:r>
        <w:rPr>
          <w:spacing w:val="-10"/>
          <w:sz w:val="20"/>
        </w:rPr>
        <w:t> </w:t>
      </w:r>
      <w:r>
        <w:rPr>
          <w:sz w:val="20"/>
        </w:rPr>
        <w:t>that</w:t>
      </w:r>
      <w:r>
        <w:rPr>
          <w:spacing w:val="-11"/>
          <w:sz w:val="20"/>
        </w:rPr>
        <w:t> </w:t>
      </w:r>
      <w:r>
        <w:rPr>
          <w:sz w:val="20"/>
        </w:rPr>
        <w:t>form</w:t>
      </w:r>
      <w:r>
        <w:rPr>
          <w:spacing w:val="-6"/>
          <w:sz w:val="20"/>
        </w:rPr>
        <w:t> </w:t>
      </w:r>
      <w:r>
        <w:rPr>
          <w:sz w:val="20"/>
        </w:rPr>
        <w:t>of</w:t>
      </w:r>
      <w:r>
        <w:rPr>
          <w:spacing w:val="-10"/>
          <w:sz w:val="20"/>
        </w:rPr>
        <w:t> </w:t>
      </w:r>
      <w:r>
        <w:rPr>
          <w:sz w:val="20"/>
        </w:rPr>
        <w:t>mandatory</w:t>
      </w:r>
      <w:r>
        <w:rPr>
          <w:spacing w:val="-14"/>
          <w:sz w:val="20"/>
        </w:rPr>
        <w:t> </w:t>
      </w:r>
      <w:r>
        <w:rPr>
          <w:sz w:val="20"/>
        </w:rPr>
        <w:t>binding</w:t>
      </w:r>
      <w:r>
        <w:rPr>
          <w:spacing w:val="-11"/>
          <w:sz w:val="20"/>
        </w:rPr>
        <w:t> </w:t>
      </w:r>
      <w:r>
        <w:rPr>
          <w:sz w:val="20"/>
        </w:rPr>
        <w:t>dispute</w:t>
      </w:r>
      <w:r>
        <w:rPr>
          <w:spacing w:val="-10"/>
          <w:sz w:val="20"/>
        </w:rPr>
        <w:t> </w:t>
      </w:r>
      <w:r>
        <w:rPr>
          <w:sz w:val="20"/>
        </w:rPr>
        <w:t>resolution</w:t>
      </w:r>
      <w:r>
        <w:rPr>
          <w:spacing w:val="-9"/>
          <w:sz w:val="20"/>
        </w:rPr>
        <w:t> </w:t>
      </w:r>
      <w:r>
        <w:rPr>
          <w:sz w:val="20"/>
        </w:rPr>
        <w:t>is</w:t>
      </w:r>
      <w:r>
        <w:rPr>
          <w:spacing w:val="-10"/>
          <w:sz w:val="20"/>
        </w:rPr>
        <w:t> </w:t>
      </w:r>
      <w:r>
        <w:rPr>
          <w:sz w:val="20"/>
        </w:rPr>
        <w:t>not</w:t>
      </w:r>
      <w:r>
        <w:rPr>
          <w:spacing w:val="-11"/>
          <w:sz w:val="20"/>
        </w:rPr>
        <w:t> </w:t>
      </w:r>
      <w:r>
        <w:rPr>
          <w:sz w:val="20"/>
        </w:rPr>
        <w:t>available if a decision on the relevant issues has been rendered by a court or administrative tribunal of either jurisdiction.</w:t>
      </w:r>
    </w:p>
    <w:p>
      <w:pPr>
        <w:pStyle w:val="ListParagraph"/>
        <w:numPr>
          <w:ilvl w:val="1"/>
          <w:numId w:val="84"/>
        </w:numPr>
        <w:tabs>
          <w:tab w:pos="2505" w:val="left" w:leader="none"/>
        </w:tabs>
        <w:spacing w:line="266" w:lineRule="auto" w:before="61" w:after="0"/>
        <w:ind w:left="2504" w:right="485" w:hanging="360"/>
        <w:jc w:val="both"/>
        <w:rPr>
          <w:sz w:val="20"/>
        </w:rPr>
      </w:pPr>
      <w:r>
        <w:rPr>
          <w:sz w:val="20"/>
        </w:rPr>
        <w:t>Where the MAP is first pursued and a competent authority agreement has been reached, the taxpayer and other persons directly affected by the case are offered the possibility to reject the agreement and pursue any domestic remedies that had been suspended.</w:t>
      </w:r>
      <w:r>
        <w:rPr>
          <w:spacing w:val="-13"/>
          <w:sz w:val="20"/>
        </w:rPr>
        <w:t> </w:t>
      </w:r>
      <w:r>
        <w:rPr>
          <w:sz w:val="20"/>
        </w:rPr>
        <w:t>Conversely,</w:t>
      </w:r>
      <w:r>
        <w:rPr>
          <w:spacing w:val="-9"/>
          <w:sz w:val="20"/>
        </w:rPr>
        <w:t> </w:t>
      </w:r>
      <w:r>
        <w:rPr>
          <w:sz w:val="20"/>
        </w:rPr>
        <w:t>if</w:t>
      </w:r>
      <w:r>
        <w:rPr>
          <w:spacing w:val="-9"/>
          <w:sz w:val="20"/>
        </w:rPr>
        <w:t> </w:t>
      </w:r>
      <w:r>
        <w:rPr>
          <w:sz w:val="20"/>
        </w:rPr>
        <w:t>these</w:t>
      </w:r>
      <w:r>
        <w:rPr>
          <w:spacing w:val="-12"/>
          <w:sz w:val="20"/>
        </w:rPr>
        <w:t> </w:t>
      </w:r>
      <w:r>
        <w:rPr>
          <w:sz w:val="20"/>
        </w:rPr>
        <w:t>persons</w:t>
      </w:r>
      <w:r>
        <w:rPr>
          <w:spacing w:val="-10"/>
          <w:sz w:val="20"/>
        </w:rPr>
        <w:t> </w:t>
      </w:r>
      <w:r>
        <w:rPr>
          <w:sz w:val="20"/>
        </w:rPr>
        <w:t>prefer</w:t>
      </w:r>
      <w:r>
        <w:rPr>
          <w:spacing w:val="-11"/>
          <w:sz w:val="20"/>
        </w:rPr>
        <w:t> </w:t>
      </w:r>
      <w:r>
        <w:rPr>
          <w:sz w:val="20"/>
        </w:rPr>
        <w:t>to</w:t>
      </w:r>
      <w:r>
        <w:rPr>
          <w:spacing w:val="-12"/>
          <w:sz w:val="20"/>
        </w:rPr>
        <w:t> </w:t>
      </w:r>
      <w:r>
        <w:rPr>
          <w:sz w:val="20"/>
        </w:rPr>
        <w:t>have</w:t>
      </w:r>
      <w:r>
        <w:rPr>
          <w:spacing w:val="-12"/>
          <w:sz w:val="20"/>
        </w:rPr>
        <w:t> </w:t>
      </w:r>
      <w:r>
        <w:rPr>
          <w:sz w:val="20"/>
        </w:rPr>
        <w:t>the</w:t>
      </w:r>
      <w:r>
        <w:rPr>
          <w:spacing w:val="-11"/>
          <w:sz w:val="20"/>
        </w:rPr>
        <w:t> </w:t>
      </w:r>
      <w:r>
        <w:rPr>
          <w:sz w:val="20"/>
        </w:rPr>
        <w:t>agreement</w:t>
      </w:r>
      <w:r>
        <w:rPr>
          <w:spacing w:val="-11"/>
          <w:sz w:val="20"/>
        </w:rPr>
        <w:t> </w:t>
      </w:r>
      <w:r>
        <w:rPr>
          <w:sz w:val="20"/>
        </w:rPr>
        <w:t>apply,</w:t>
      </w:r>
      <w:r>
        <w:rPr>
          <w:spacing w:val="-9"/>
          <w:sz w:val="20"/>
        </w:rPr>
        <w:t> </w:t>
      </w:r>
      <w:r>
        <w:rPr>
          <w:sz w:val="20"/>
        </w:rPr>
        <w:t>they</w:t>
      </w:r>
      <w:r>
        <w:rPr>
          <w:spacing w:val="-12"/>
          <w:sz w:val="20"/>
        </w:rPr>
        <w:t> </w:t>
      </w:r>
      <w:r>
        <w:rPr>
          <w:sz w:val="20"/>
        </w:rPr>
        <w:t>will have to renounce the exercise of domestic legal remedies as regards the issues covered by the competent authority</w:t>
      </w:r>
      <w:r>
        <w:rPr>
          <w:spacing w:val="-9"/>
          <w:sz w:val="20"/>
        </w:rPr>
        <w:t> </w:t>
      </w:r>
      <w:r>
        <w:rPr>
          <w:sz w:val="20"/>
        </w:rPr>
        <w:t>agreement.</w:t>
      </w:r>
    </w:p>
    <w:p>
      <w:pPr>
        <w:pStyle w:val="ListParagraph"/>
        <w:numPr>
          <w:ilvl w:val="1"/>
          <w:numId w:val="84"/>
        </w:numPr>
        <w:tabs>
          <w:tab w:pos="2505" w:val="left" w:leader="none"/>
        </w:tabs>
        <w:spacing w:line="268" w:lineRule="auto" w:before="71" w:after="0"/>
        <w:ind w:left="2504" w:right="484" w:hanging="360"/>
        <w:jc w:val="both"/>
        <w:rPr>
          <w:sz w:val="20"/>
        </w:rPr>
      </w:pPr>
      <w:r>
        <w:rPr>
          <w:sz w:val="20"/>
        </w:rPr>
        <w:t>Where the domestic legal remedies are first pursued and are exhausted in a jurisdiction, a number of Inclusive Framework members will only allow a taxpayer to pursue</w:t>
      </w:r>
      <w:r>
        <w:rPr>
          <w:spacing w:val="-14"/>
          <w:sz w:val="20"/>
        </w:rPr>
        <w:t> </w:t>
      </w:r>
      <w:r>
        <w:rPr>
          <w:sz w:val="20"/>
        </w:rPr>
        <w:t>the</w:t>
      </w:r>
      <w:r>
        <w:rPr>
          <w:spacing w:val="-14"/>
          <w:sz w:val="20"/>
        </w:rPr>
        <w:t> </w:t>
      </w:r>
      <w:r>
        <w:rPr>
          <w:sz w:val="20"/>
        </w:rPr>
        <w:t>MAP</w:t>
      </w:r>
      <w:r>
        <w:rPr>
          <w:spacing w:val="-14"/>
          <w:sz w:val="20"/>
        </w:rPr>
        <w:t> </w:t>
      </w:r>
      <w:r>
        <w:rPr>
          <w:sz w:val="20"/>
        </w:rPr>
        <w:t>to</w:t>
      </w:r>
      <w:r>
        <w:rPr>
          <w:spacing w:val="-12"/>
          <w:sz w:val="20"/>
        </w:rPr>
        <w:t> </w:t>
      </w:r>
      <w:r>
        <w:rPr>
          <w:sz w:val="20"/>
        </w:rPr>
        <w:t>obtain</w:t>
      </w:r>
      <w:r>
        <w:rPr>
          <w:spacing w:val="-14"/>
          <w:sz w:val="20"/>
        </w:rPr>
        <w:t> </w:t>
      </w:r>
      <w:r>
        <w:rPr>
          <w:sz w:val="20"/>
        </w:rPr>
        <w:t>relief</w:t>
      </w:r>
      <w:r>
        <w:rPr>
          <w:spacing w:val="-12"/>
          <w:sz w:val="20"/>
        </w:rPr>
        <w:t> </w:t>
      </w:r>
      <w:r>
        <w:rPr>
          <w:sz w:val="20"/>
        </w:rPr>
        <w:t>of</w:t>
      </w:r>
      <w:r>
        <w:rPr>
          <w:spacing w:val="-12"/>
          <w:sz w:val="20"/>
        </w:rPr>
        <w:t> </w:t>
      </w:r>
      <w:r>
        <w:rPr>
          <w:sz w:val="20"/>
        </w:rPr>
        <w:t>double</w:t>
      </w:r>
      <w:r>
        <w:rPr>
          <w:spacing w:val="-14"/>
          <w:sz w:val="20"/>
        </w:rPr>
        <w:t> </w:t>
      </w:r>
      <w:r>
        <w:rPr>
          <w:sz w:val="20"/>
        </w:rPr>
        <w:t>taxation</w:t>
      </w:r>
      <w:r>
        <w:rPr>
          <w:spacing w:val="-14"/>
          <w:sz w:val="20"/>
        </w:rPr>
        <w:t> </w:t>
      </w:r>
      <w:r>
        <w:rPr>
          <w:sz w:val="20"/>
        </w:rPr>
        <w:t>in</w:t>
      </w:r>
      <w:r>
        <w:rPr>
          <w:spacing w:val="-14"/>
          <w:sz w:val="20"/>
        </w:rPr>
        <w:t> </w:t>
      </w:r>
      <w:r>
        <w:rPr>
          <w:sz w:val="20"/>
        </w:rPr>
        <w:t>the</w:t>
      </w:r>
      <w:r>
        <w:rPr>
          <w:spacing w:val="-12"/>
          <w:sz w:val="20"/>
        </w:rPr>
        <w:t> </w:t>
      </w:r>
      <w:r>
        <w:rPr>
          <w:sz w:val="20"/>
        </w:rPr>
        <w:t>other</w:t>
      </w:r>
      <w:r>
        <w:rPr>
          <w:spacing w:val="-13"/>
          <w:sz w:val="20"/>
        </w:rPr>
        <w:t> </w:t>
      </w:r>
      <w:r>
        <w:rPr>
          <w:sz w:val="20"/>
        </w:rPr>
        <w:t>jurisdiction.</w:t>
      </w:r>
      <w:r>
        <w:rPr>
          <w:spacing w:val="-14"/>
          <w:sz w:val="20"/>
        </w:rPr>
        <w:t> </w:t>
      </w:r>
      <w:r>
        <w:rPr>
          <w:sz w:val="20"/>
        </w:rPr>
        <w:t>Once</w:t>
      </w:r>
      <w:r>
        <w:rPr>
          <w:spacing w:val="-14"/>
          <w:sz w:val="20"/>
        </w:rPr>
        <w:t> </w:t>
      </w:r>
      <w:r>
        <w:rPr>
          <w:sz w:val="20"/>
        </w:rPr>
        <w:t>a</w:t>
      </w:r>
      <w:r>
        <w:rPr>
          <w:spacing w:val="-14"/>
          <w:sz w:val="20"/>
        </w:rPr>
        <w:t> </w:t>
      </w:r>
      <w:r>
        <w:rPr>
          <w:sz w:val="20"/>
        </w:rPr>
        <w:t>legal decision has been rendered in a particular case, most members would not override that</w:t>
      </w:r>
      <w:r>
        <w:rPr>
          <w:spacing w:val="-10"/>
          <w:sz w:val="20"/>
        </w:rPr>
        <w:t> </w:t>
      </w:r>
      <w:r>
        <w:rPr>
          <w:sz w:val="20"/>
        </w:rPr>
        <w:t>decision</w:t>
      </w:r>
      <w:r>
        <w:rPr>
          <w:spacing w:val="-10"/>
          <w:sz w:val="20"/>
        </w:rPr>
        <w:t> </w:t>
      </w:r>
      <w:r>
        <w:rPr>
          <w:sz w:val="20"/>
        </w:rPr>
        <w:t>through</w:t>
      </w:r>
      <w:r>
        <w:rPr>
          <w:spacing w:val="-12"/>
          <w:sz w:val="20"/>
        </w:rPr>
        <w:t> </w:t>
      </w:r>
      <w:r>
        <w:rPr>
          <w:sz w:val="20"/>
        </w:rPr>
        <w:t>the</w:t>
      </w:r>
      <w:r>
        <w:rPr>
          <w:spacing w:val="-10"/>
          <w:sz w:val="20"/>
        </w:rPr>
        <w:t> </w:t>
      </w:r>
      <w:r>
        <w:rPr>
          <w:sz w:val="20"/>
        </w:rPr>
        <w:t>MAP</w:t>
      </w:r>
      <w:r>
        <w:rPr>
          <w:spacing w:val="-10"/>
          <w:sz w:val="20"/>
        </w:rPr>
        <w:t> </w:t>
      </w:r>
      <w:r>
        <w:rPr>
          <w:sz w:val="20"/>
        </w:rPr>
        <w:t>and</w:t>
      </w:r>
      <w:r>
        <w:rPr>
          <w:spacing w:val="-9"/>
          <w:sz w:val="20"/>
        </w:rPr>
        <w:t> </w:t>
      </w:r>
      <w:r>
        <w:rPr>
          <w:sz w:val="20"/>
        </w:rPr>
        <w:t>would</w:t>
      </w:r>
      <w:r>
        <w:rPr>
          <w:spacing w:val="-13"/>
          <w:sz w:val="20"/>
        </w:rPr>
        <w:t> </w:t>
      </w:r>
      <w:r>
        <w:rPr>
          <w:sz w:val="20"/>
        </w:rPr>
        <w:t>therefore</w:t>
      </w:r>
      <w:r>
        <w:rPr>
          <w:spacing w:val="-11"/>
          <w:sz w:val="20"/>
        </w:rPr>
        <w:t> </w:t>
      </w:r>
      <w:r>
        <w:rPr>
          <w:sz w:val="20"/>
        </w:rPr>
        <w:t>restrict</w:t>
      </w:r>
      <w:r>
        <w:rPr>
          <w:spacing w:val="-12"/>
          <w:sz w:val="20"/>
        </w:rPr>
        <w:t> </w:t>
      </w:r>
      <w:r>
        <w:rPr>
          <w:sz w:val="20"/>
        </w:rPr>
        <w:t>the</w:t>
      </w:r>
      <w:r>
        <w:rPr>
          <w:spacing w:val="-10"/>
          <w:sz w:val="20"/>
        </w:rPr>
        <w:t> </w:t>
      </w:r>
      <w:r>
        <w:rPr>
          <w:sz w:val="20"/>
        </w:rPr>
        <w:t>subsequent</w:t>
      </w:r>
      <w:r>
        <w:rPr>
          <w:spacing w:val="-10"/>
          <w:sz w:val="20"/>
        </w:rPr>
        <w:t> </w:t>
      </w:r>
      <w:r>
        <w:rPr>
          <w:sz w:val="20"/>
        </w:rPr>
        <w:t>application of</w:t>
      </w:r>
      <w:r>
        <w:rPr>
          <w:spacing w:val="-7"/>
          <w:sz w:val="20"/>
        </w:rPr>
        <w:t> </w:t>
      </w:r>
      <w:r>
        <w:rPr>
          <w:sz w:val="20"/>
        </w:rPr>
        <w:t>the</w:t>
      </w:r>
      <w:r>
        <w:rPr>
          <w:spacing w:val="-9"/>
          <w:sz w:val="20"/>
        </w:rPr>
        <w:t> </w:t>
      </w:r>
      <w:r>
        <w:rPr>
          <w:sz w:val="20"/>
        </w:rPr>
        <w:t>MAP</w:t>
      </w:r>
      <w:r>
        <w:rPr>
          <w:spacing w:val="-7"/>
          <w:sz w:val="20"/>
        </w:rPr>
        <w:t> </w:t>
      </w:r>
      <w:r>
        <w:rPr>
          <w:sz w:val="20"/>
        </w:rPr>
        <w:t>to</w:t>
      </w:r>
      <w:r>
        <w:rPr>
          <w:spacing w:val="-7"/>
          <w:sz w:val="20"/>
        </w:rPr>
        <w:t> </w:t>
      </w:r>
      <w:r>
        <w:rPr>
          <w:sz w:val="20"/>
        </w:rPr>
        <w:t>trying</w:t>
      </w:r>
      <w:r>
        <w:rPr>
          <w:spacing w:val="-6"/>
          <w:sz w:val="20"/>
        </w:rPr>
        <w:t> </w:t>
      </w:r>
      <w:r>
        <w:rPr>
          <w:sz w:val="20"/>
        </w:rPr>
        <w:t>to</w:t>
      </w:r>
      <w:r>
        <w:rPr>
          <w:spacing w:val="-7"/>
          <w:sz w:val="20"/>
        </w:rPr>
        <w:t> </w:t>
      </w:r>
      <w:r>
        <w:rPr>
          <w:sz w:val="20"/>
        </w:rPr>
        <w:t>obtain</w:t>
      </w:r>
      <w:r>
        <w:rPr>
          <w:spacing w:val="-9"/>
          <w:sz w:val="20"/>
        </w:rPr>
        <w:t> </w:t>
      </w:r>
      <w:r>
        <w:rPr>
          <w:sz w:val="20"/>
        </w:rPr>
        <w:t>relief</w:t>
      </w:r>
      <w:r>
        <w:rPr>
          <w:spacing w:val="-7"/>
          <w:sz w:val="20"/>
        </w:rPr>
        <w:t> </w:t>
      </w:r>
      <w:r>
        <w:rPr>
          <w:sz w:val="20"/>
        </w:rPr>
        <w:t>in</w:t>
      </w:r>
      <w:r>
        <w:rPr>
          <w:spacing w:val="-6"/>
          <w:sz w:val="20"/>
        </w:rPr>
        <w:t> </w:t>
      </w:r>
      <w:r>
        <w:rPr>
          <w:sz w:val="20"/>
        </w:rPr>
        <w:t>the</w:t>
      </w:r>
      <w:r>
        <w:rPr>
          <w:spacing w:val="-7"/>
          <w:sz w:val="20"/>
        </w:rPr>
        <w:t> </w:t>
      </w:r>
      <w:r>
        <w:rPr>
          <w:sz w:val="20"/>
        </w:rPr>
        <w:t>other</w:t>
      </w:r>
      <w:r>
        <w:rPr>
          <w:spacing w:val="-8"/>
          <w:sz w:val="20"/>
        </w:rPr>
        <w:t> </w:t>
      </w:r>
      <w:r>
        <w:rPr>
          <w:sz w:val="20"/>
        </w:rPr>
        <w:t>jurisdiction.</w:t>
      </w:r>
      <w:r>
        <w:rPr>
          <w:spacing w:val="-6"/>
          <w:sz w:val="20"/>
        </w:rPr>
        <w:t> </w:t>
      </w:r>
      <w:r>
        <w:rPr>
          <w:sz w:val="20"/>
        </w:rPr>
        <w:t>Mandatory</w:t>
      </w:r>
      <w:r>
        <w:rPr>
          <w:spacing w:val="-11"/>
          <w:sz w:val="20"/>
        </w:rPr>
        <w:t> </w:t>
      </w:r>
      <w:r>
        <w:rPr>
          <w:sz w:val="20"/>
        </w:rPr>
        <w:t>binding</w:t>
      </w:r>
      <w:r>
        <w:rPr>
          <w:spacing w:val="-9"/>
          <w:sz w:val="20"/>
        </w:rPr>
        <w:t> </w:t>
      </w:r>
      <w:r>
        <w:rPr>
          <w:sz w:val="20"/>
        </w:rPr>
        <w:t>dispute resolution would thus not be available as part of the MAP process in these circumstances.</w:t>
      </w:r>
    </w:p>
    <w:p>
      <w:pPr>
        <w:pStyle w:val="ListParagraph"/>
        <w:numPr>
          <w:ilvl w:val="0"/>
          <w:numId w:val="84"/>
        </w:numPr>
        <w:tabs>
          <w:tab w:pos="1785" w:val="left" w:leader="none"/>
        </w:tabs>
        <w:spacing w:line="271" w:lineRule="auto" w:before="49" w:after="0"/>
        <w:ind w:left="1784" w:right="479" w:hanging="360"/>
        <w:jc w:val="both"/>
        <w:rPr>
          <w:sz w:val="20"/>
        </w:rPr>
      </w:pPr>
      <w:r>
        <w:rPr>
          <w:sz w:val="20"/>
        </w:rPr>
        <w:t>Ongoing work is exploring how a binding outcome can be achieved, with some Inclusive Framework members favouring the creation of a legal obligation on competent authorities to implement the determination through a mutual agreement (in the international law instrument used to adopt the new dispute resolution</w:t>
      </w:r>
      <w:r>
        <w:rPr>
          <w:spacing w:val="-7"/>
          <w:sz w:val="20"/>
        </w:rPr>
        <w:t> </w:t>
      </w:r>
      <w:r>
        <w:rPr>
          <w:sz w:val="20"/>
        </w:rPr>
        <w:t>mechanism).</w:t>
      </w:r>
    </w:p>
    <w:p>
      <w:pPr>
        <w:pStyle w:val="BodyText"/>
        <w:rPr>
          <w:sz w:val="22"/>
        </w:rPr>
      </w:pPr>
    </w:p>
    <w:p>
      <w:pPr>
        <w:pStyle w:val="Heading4"/>
        <w:numPr>
          <w:ilvl w:val="1"/>
          <w:numId w:val="81"/>
        </w:numPr>
        <w:tabs>
          <w:tab w:pos="1192" w:val="left" w:leader="none"/>
        </w:tabs>
        <w:spacing w:line="240" w:lineRule="auto" w:before="196" w:after="0"/>
        <w:ind w:left="1191" w:right="0" w:hanging="469"/>
        <w:jc w:val="left"/>
        <w:rPr>
          <w:rFonts w:ascii="Arial"/>
        </w:rPr>
      </w:pPr>
      <w:bookmarkStart w:name="9.4. Next steps" w:id="464"/>
      <w:bookmarkEnd w:id="464"/>
      <w:r>
        <w:rPr>
          <w:b w:val="0"/>
        </w:rPr>
      </w:r>
      <w:bookmarkStart w:name="_bookmark71" w:id="465"/>
      <w:bookmarkEnd w:id="465"/>
      <w:r>
        <w:rPr>
          <w:b w:val="0"/>
        </w:rPr>
      </w:r>
      <w:bookmarkStart w:name="_bookmark71" w:id="466"/>
      <w:bookmarkEnd w:id="466"/>
      <w:r>
        <w:rPr>
          <w:rFonts w:ascii="Arial"/>
          <w:color w:val="4E81BD"/>
        </w:rPr>
        <w:t>Ne</w:t>
      </w:r>
      <w:r>
        <w:rPr>
          <w:rFonts w:ascii="Arial"/>
          <w:color w:val="4E81BD"/>
        </w:rPr>
        <w:t>xt steps</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As</w:t>
      </w:r>
      <w:r>
        <w:rPr>
          <w:spacing w:val="-5"/>
          <w:sz w:val="20"/>
        </w:rPr>
        <w:t> </w:t>
      </w:r>
      <w:r>
        <w:rPr>
          <w:sz w:val="20"/>
        </w:rPr>
        <w:t>a</w:t>
      </w:r>
      <w:r>
        <w:rPr>
          <w:spacing w:val="-7"/>
          <w:sz w:val="20"/>
        </w:rPr>
        <w:t> </w:t>
      </w:r>
      <w:r>
        <w:rPr>
          <w:sz w:val="20"/>
        </w:rPr>
        <w:t>next</w:t>
      </w:r>
      <w:r>
        <w:rPr>
          <w:spacing w:val="-5"/>
          <w:sz w:val="20"/>
        </w:rPr>
        <w:t> </w:t>
      </w:r>
      <w:r>
        <w:rPr>
          <w:sz w:val="20"/>
        </w:rPr>
        <w:t>step,</w:t>
      </w:r>
      <w:r>
        <w:rPr>
          <w:spacing w:val="-4"/>
          <w:sz w:val="20"/>
        </w:rPr>
        <w:t> </w:t>
      </w:r>
      <w:r>
        <w:rPr>
          <w:sz w:val="20"/>
        </w:rPr>
        <w:t>further</w:t>
      </w:r>
      <w:r>
        <w:rPr>
          <w:spacing w:val="-4"/>
          <w:sz w:val="20"/>
        </w:rPr>
        <w:t> </w:t>
      </w:r>
      <w:r>
        <w:rPr>
          <w:sz w:val="20"/>
        </w:rPr>
        <w:t>work</w:t>
      </w:r>
      <w:r>
        <w:rPr>
          <w:spacing w:val="-2"/>
          <w:sz w:val="20"/>
        </w:rPr>
        <w:t> </w:t>
      </w:r>
      <w:r>
        <w:rPr>
          <w:sz w:val="20"/>
        </w:rPr>
        <w:t>will</w:t>
      </w:r>
      <w:r>
        <w:rPr>
          <w:spacing w:val="-5"/>
          <w:sz w:val="20"/>
        </w:rPr>
        <w:t> </w:t>
      </w:r>
      <w:r>
        <w:rPr>
          <w:sz w:val="20"/>
        </w:rPr>
        <w:t>be</w:t>
      </w:r>
      <w:r>
        <w:rPr>
          <w:spacing w:val="-6"/>
          <w:sz w:val="20"/>
        </w:rPr>
        <w:t> </w:t>
      </w:r>
      <w:r>
        <w:rPr>
          <w:sz w:val="20"/>
        </w:rPr>
        <w:t>undertaken</w:t>
      </w:r>
      <w:r>
        <w:rPr>
          <w:spacing w:val="-7"/>
          <w:sz w:val="20"/>
        </w:rPr>
        <w:t> </w:t>
      </w:r>
      <w:r>
        <w:rPr>
          <w:sz w:val="20"/>
        </w:rPr>
        <w:t>to</w:t>
      </w:r>
      <w:r>
        <w:rPr>
          <w:spacing w:val="-6"/>
          <w:sz w:val="20"/>
        </w:rPr>
        <w:t> </w:t>
      </w:r>
      <w:r>
        <w:rPr>
          <w:sz w:val="20"/>
        </w:rPr>
        <w:t>finalise</w:t>
      </w:r>
      <w:r>
        <w:rPr>
          <w:spacing w:val="-7"/>
          <w:sz w:val="20"/>
        </w:rPr>
        <w:t> </w:t>
      </w:r>
      <w:r>
        <w:rPr>
          <w:sz w:val="20"/>
        </w:rPr>
        <w:t>the</w:t>
      </w:r>
      <w:r>
        <w:rPr>
          <w:spacing w:val="-5"/>
          <w:sz w:val="20"/>
        </w:rPr>
        <w:t> </w:t>
      </w:r>
      <w:r>
        <w:rPr>
          <w:sz w:val="20"/>
        </w:rPr>
        <w:t>different</w:t>
      </w:r>
      <w:r>
        <w:rPr>
          <w:spacing w:val="-6"/>
          <w:sz w:val="20"/>
        </w:rPr>
        <w:t> </w:t>
      </w:r>
      <w:r>
        <w:rPr>
          <w:sz w:val="20"/>
        </w:rPr>
        <w:t>technical</w:t>
      </w:r>
      <w:r>
        <w:rPr>
          <w:spacing w:val="-7"/>
          <w:sz w:val="20"/>
        </w:rPr>
        <w:t> </w:t>
      </w:r>
      <w:r>
        <w:rPr>
          <w:sz w:val="20"/>
        </w:rPr>
        <w:t>features</w:t>
      </w:r>
      <w:r>
        <w:rPr>
          <w:spacing w:val="-5"/>
          <w:sz w:val="20"/>
        </w:rPr>
        <w:t> </w:t>
      </w:r>
      <w:r>
        <w:rPr>
          <w:sz w:val="20"/>
        </w:rPr>
        <w:t>of</w:t>
      </w:r>
      <w:r>
        <w:rPr>
          <w:spacing w:val="-4"/>
          <w:sz w:val="20"/>
        </w:rPr>
        <w:t> </w:t>
      </w:r>
      <w:r>
        <w:rPr>
          <w:sz w:val="20"/>
        </w:rPr>
        <w:t>the</w:t>
      </w:r>
      <w:r>
        <w:rPr>
          <w:spacing w:val="-7"/>
          <w:sz w:val="20"/>
        </w:rPr>
        <w:t> </w:t>
      </w:r>
      <w:r>
        <w:rPr>
          <w:sz w:val="20"/>
        </w:rPr>
        <w:t>tax certainty process for Amount A, including how to implement a binding outcome in jurisdictions, as well as to consider any other issues where further practical guidance on the Amount A tax certainty process is needed for</w:t>
      </w:r>
      <w:r>
        <w:rPr>
          <w:spacing w:val="-4"/>
          <w:sz w:val="20"/>
        </w:rPr>
        <w:t> </w:t>
      </w:r>
      <w:r>
        <w:rPr>
          <w:sz w:val="20"/>
        </w:rPr>
        <w:t>implementation.</w:t>
      </w:r>
    </w:p>
    <w:p>
      <w:pPr>
        <w:pStyle w:val="ListParagraph"/>
        <w:numPr>
          <w:ilvl w:val="0"/>
          <w:numId w:val="13"/>
        </w:numPr>
        <w:tabs>
          <w:tab w:pos="1444" w:val="left" w:leader="none"/>
        </w:tabs>
        <w:spacing w:line="271" w:lineRule="auto" w:before="120" w:after="0"/>
        <w:ind w:left="723" w:right="490" w:firstLine="0"/>
        <w:jc w:val="both"/>
        <w:rPr>
          <w:sz w:val="20"/>
        </w:rPr>
      </w:pPr>
      <w:r>
        <w:rPr>
          <w:sz w:val="20"/>
        </w:rPr>
        <w:t>A decision on the scope of application of a new mandatory and binding dispute resolution mechanism beyond Amount A will be necessary to progress technical work on that mechanism and its implementation.</w:t>
      </w:r>
    </w:p>
    <w:p>
      <w:pPr>
        <w:spacing w:after="0" w:line="271" w:lineRule="auto"/>
        <w:jc w:val="both"/>
        <w:rPr>
          <w:sz w:val="20"/>
        </w:rPr>
        <w:sectPr>
          <w:pgSz w:w="11910" w:h="16840"/>
          <w:pgMar w:header="1244" w:footer="1638" w:top="1500" w:bottom="1820" w:left="580" w:right="820"/>
        </w:sectPr>
      </w:pPr>
    </w:p>
    <w:p>
      <w:pPr>
        <w:pStyle w:val="BodyText"/>
        <w:spacing w:before="2"/>
        <w:rPr>
          <w:sz w:val="24"/>
        </w:rPr>
      </w:pPr>
    </w:p>
    <w:p>
      <w:pPr>
        <w:pStyle w:val="BodyText"/>
        <w:spacing w:line="120" w:lineRule="exact"/>
        <w:ind w:left="709"/>
        <w:rPr>
          <w:sz w:val="12"/>
        </w:rPr>
      </w:pPr>
      <w:r>
        <w:rPr>
          <w:position w:val="-1"/>
          <w:sz w:val="12"/>
        </w:rPr>
        <w:pict>
          <v:group style="width:466.4pt;height:6pt;mso-position-horizontal-relative:char;mso-position-vertical-relative:line" coordorigin="0,0" coordsize="9328,120">
            <v:rect style="position:absolute;left:0;top:0;width:9328;height:120" filled="true" fillcolor="#ffffff" stroked="false">
              <v:fill type="solid"/>
            </v:rect>
          </v:group>
        </w:pict>
      </w:r>
      <w:r>
        <w:rPr>
          <w:position w:val="-1"/>
          <w:sz w:val="12"/>
        </w:rPr>
      </w:r>
    </w:p>
    <w:p>
      <w:pPr>
        <w:pStyle w:val="Heading2"/>
        <w:spacing w:line="216" w:lineRule="auto" w:before="101"/>
        <w:ind w:right="826"/>
      </w:pPr>
      <w:r>
        <w:rPr/>
        <w:pict>
          <v:rect style="position:absolute;margin-left:64.463997pt;margin-top:67.065178pt;width:466.390015pt;height:71.040pt;mso-position-horizontal-relative:page;mso-position-vertical-relative:paragraph;z-index:-19502592" filled="true" fillcolor="#ffffff" stroked="false">
            <v:fill type="solid"/>
            <w10:wrap type="none"/>
          </v:rect>
        </w:pict>
      </w:r>
      <w:bookmarkStart w:name="10.  Implementation and administration" w:id="467"/>
      <w:bookmarkEnd w:id="467"/>
      <w:r>
        <w:rPr>
          <w:b w:val="0"/>
        </w:rPr>
      </w:r>
      <w:bookmarkStart w:name="_bookmark72" w:id="468"/>
      <w:bookmarkEnd w:id="468"/>
      <w:r>
        <w:rPr>
          <w:b w:val="0"/>
        </w:rPr>
      </w:r>
      <w:r>
        <w:rPr>
          <w:color w:val="4E81BD"/>
          <w:sz w:val="130"/>
          <w:u w:val="thick" w:color="4E81BD"/>
        </w:rPr>
        <w:t>10.</w:t>
      </w:r>
      <w:r>
        <w:rPr>
          <w:color w:val="4E81BD"/>
          <w:sz w:val="130"/>
        </w:rPr>
        <w:t> </w:t>
      </w:r>
      <w:r>
        <w:rPr>
          <w:color w:val="4E81BD"/>
        </w:rPr>
        <w:t>Implementation and administration</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9"/>
        <w:rPr>
          <w:rFonts w:ascii="Arial Narrow"/>
          <w:b/>
          <w:sz w:val="17"/>
        </w:rPr>
      </w:pPr>
    </w:p>
    <w:p>
      <w:pPr>
        <w:pStyle w:val="Heading4"/>
        <w:numPr>
          <w:ilvl w:val="1"/>
          <w:numId w:val="85"/>
        </w:numPr>
        <w:tabs>
          <w:tab w:pos="1324" w:val="left" w:leader="none"/>
        </w:tabs>
        <w:spacing w:line="240" w:lineRule="auto" w:before="92" w:after="0"/>
        <w:ind w:left="1323" w:right="0" w:hanging="601"/>
        <w:jc w:val="left"/>
        <w:rPr>
          <w:rFonts w:ascii="Arial"/>
        </w:rPr>
      </w:pPr>
      <w:bookmarkStart w:name="10.1. Overview" w:id="469"/>
      <w:bookmarkEnd w:id="469"/>
      <w:r>
        <w:rPr>
          <w:b w:val="0"/>
        </w:rPr>
      </w:r>
      <w:bookmarkStart w:name="_bookmark73" w:id="470"/>
      <w:bookmarkEnd w:id="470"/>
      <w:r>
        <w:rPr>
          <w:b w:val="0"/>
        </w:rPr>
      </w:r>
      <w:bookmarkStart w:name="_bookmark73" w:id="471"/>
      <w:bookmarkEnd w:id="471"/>
      <w:r>
        <w:rPr>
          <w:rFonts w:ascii="Arial"/>
          <w:color w:val="4E81BD"/>
        </w:rPr>
        <w:t>O</w:t>
      </w:r>
      <w:r>
        <w:rPr>
          <w:rFonts w:ascii="Arial"/>
          <w:color w:val="4E81BD"/>
        </w:rPr>
        <w:t>verview</w:t>
      </w:r>
    </w:p>
    <w:p>
      <w:pPr>
        <w:pStyle w:val="BodyText"/>
        <w:spacing w:before="4"/>
        <w:rPr>
          <w:b/>
          <w:sz w:val="24"/>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The development of the implementation framework for Pillar One is at an earlier stage than other work streams. This is because the Inclusive Framework focus has been on the design and development of the key operational components of Pillar One, including: scope, revenue sourcing, nexus, tax base, elimination</w:t>
      </w:r>
      <w:r>
        <w:rPr>
          <w:spacing w:val="-5"/>
          <w:sz w:val="20"/>
        </w:rPr>
        <w:t> </w:t>
      </w:r>
      <w:r>
        <w:rPr>
          <w:sz w:val="20"/>
        </w:rPr>
        <w:t>of</w:t>
      </w:r>
      <w:r>
        <w:rPr>
          <w:spacing w:val="-3"/>
          <w:sz w:val="20"/>
        </w:rPr>
        <w:t> </w:t>
      </w:r>
      <w:r>
        <w:rPr>
          <w:sz w:val="20"/>
        </w:rPr>
        <w:t>double</w:t>
      </w:r>
      <w:r>
        <w:rPr>
          <w:spacing w:val="-5"/>
          <w:sz w:val="20"/>
        </w:rPr>
        <w:t> </w:t>
      </w:r>
      <w:r>
        <w:rPr>
          <w:sz w:val="20"/>
        </w:rPr>
        <w:t>taxation</w:t>
      </w:r>
      <w:r>
        <w:rPr>
          <w:spacing w:val="-6"/>
          <w:sz w:val="20"/>
        </w:rPr>
        <w:t> </w:t>
      </w:r>
      <w:r>
        <w:rPr>
          <w:sz w:val="20"/>
        </w:rPr>
        <w:t>and</w:t>
      </w:r>
      <w:r>
        <w:rPr>
          <w:spacing w:val="-5"/>
          <w:sz w:val="20"/>
        </w:rPr>
        <w:t> </w:t>
      </w:r>
      <w:r>
        <w:rPr>
          <w:sz w:val="20"/>
        </w:rPr>
        <w:t>tax</w:t>
      </w:r>
      <w:r>
        <w:rPr>
          <w:spacing w:val="-4"/>
          <w:sz w:val="20"/>
        </w:rPr>
        <w:t> </w:t>
      </w:r>
      <w:r>
        <w:rPr>
          <w:sz w:val="20"/>
        </w:rPr>
        <w:t>certainty.</w:t>
      </w:r>
      <w:r>
        <w:rPr>
          <w:spacing w:val="-5"/>
          <w:sz w:val="20"/>
        </w:rPr>
        <w:t> </w:t>
      </w:r>
      <w:r>
        <w:rPr>
          <w:sz w:val="20"/>
        </w:rPr>
        <w:t>Implementation</w:t>
      </w:r>
      <w:r>
        <w:rPr>
          <w:spacing w:val="-7"/>
          <w:sz w:val="20"/>
        </w:rPr>
        <w:t> </w:t>
      </w:r>
      <w:r>
        <w:rPr>
          <w:sz w:val="20"/>
        </w:rPr>
        <w:t>design</w:t>
      </w:r>
      <w:r>
        <w:rPr>
          <w:spacing w:val="-4"/>
          <w:sz w:val="20"/>
        </w:rPr>
        <w:t> </w:t>
      </w:r>
      <w:r>
        <w:rPr>
          <w:sz w:val="20"/>
        </w:rPr>
        <w:t>is</w:t>
      </w:r>
      <w:r>
        <w:rPr>
          <w:spacing w:val="-4"/>
          <w:sz w:val="20"/>
        </w:rPr>
        <w:t> </w:t>
      </w:r>
      <w:r>
        <w:rPr>
          <w:sz w:val="20"/>
        </w:rPr>
        <w:t>dependent</w:t>
      </w:r>
      <w:r>
        <w:rPr>
          <w:spacing w:val="-5"/>
          <w:sz w:val="20"/>
        </w:rPr>
        <w:t> </w:t>
      </w:r>
      <w:r>
        <w:rPr>
          <w:sz w:val="20"/>
        </w:rPr>
        <w:t>on</w:t>
      </w:r>
      <w:r>
        <w:rPr>
          <w:spacing w:val="-3"/>
          <w:sz w:val="20"/>
        </w:rPr>
        <w:t> </w:t>
      </w:r>
      <w:r>
        <w:rPr>
          <w:sz w:val="20"/>
        </w:rPr>
        <w:t>decision</w:t>
      </w:r>
      <w:r>
        <w:rPr>
          <w:spacing w:val="-6"/>
          <w:sz w:val="20"/>
        </w:rPr>
        <w:t> </w:t>
      </w:r>
      <w:r>
        <w:rPr>
          <w:sz w:val="20"/>
        </w:rPr>
        <w:t>points</w:t>
      </w:r>
      <w:r>
        <w:rPr>
          <w:spacing w:val="-4"/>
          <w:sz w:val="20"/>
        </w:rPr>
        <w:t> </w:t>
      </w:r>
      <w:r>
        <w:rPr>
          <w:sz w:val="20"/>
        </w:rPr>
        <w:t>in these areas and with the progress now made in these work streams, a focus of the coming months of the project</w:t>
      </w:r>
      <w:r>
        <w:rPr>
          <w:spacing w:val="-17"/>
          <w:sz w:val="20"/>
        </w:rPr>
        <w:t> </w:t>
      </w:r>
      <w:r>
        <w:rPr>
          <w:sz w:val="20"/>
        </w:rPr>
        <w:t>is</w:t>
      </w:r>
      <w:r>
        <w:rPr>
          <w:spacing w:val="-15"/>
          <w:sz w:val="20"/>
        </w:rPr>
        <w:t> </w:t>
      </w:r>
      <w:r>
        <w:rPr>
          <w:sz w:val="20"/>
        </w:rPr>
        <w:t>to</w:t>
      </w:r>
      <w:r>
        <w:rPr>
          <w:spacing w:val="-16"/>
          <w:sz w:val="20"/>
        </w:rPr>
        <w:t> </w:t>
      </w:r>
      <w:r>
        <w:rPr>
          <w:sz w:val="20"/>
        </w:rPr>
        <w:t>ensure</w:t>
      </w:r>
      <w:r>
        <w:rPr>
          <w:spacing w:val="-16"/>
          <w:sz w:val="20"/>
        </w:rPr>
        <w:t> </w:t>
      </w:r>
      <w:r>
        <w:rPr>
          <w:sz w:val="20"/>
        </w:rPr>
        <w:t>that</w:t>
      </w:r>
      <w:r>
        <w:rPr>
          <w:spacing w:val="-14"/>
          <w:sz w:val="20"/>
        </w:rPr>
        <w:t> </w:t>
      </w:r>
      <w:r>
        <w:rPr>
          <w:sz w:val="20"/>
        </w:rPr>
        <w:t>Pillar</w:t>
      </w:r>
      <w:r>
        <w:rPr>
          <w:spacing w:val="-16"/>
          <w:sz w:val="20"/>
        </w:rPr>
        <w:t> </w:t>
      </w:r>
      <w:r>
        <w:rPr>
          <w:sz w:val="20"/>
        </w:rPr>
        <w:t>One</w:t>
      </w:r>
      <w:r>
        <w:rPr>
          <w:spacing w:val="-17"/>
          <w:sz w:val="20"/>
        </w:rPr>
        <w:t> </w:t>
      </w:r>
      <w:r>
        <w:rPr>
          <w:sz w:val="20"/>
        </w:rPr>
        <w:t>can</w:t>
      </w:r>
      <w:r>
        <w:rPr>
          <w:spacing w:val="-17"/>
          <w:sz w:val="20"/>
        </w:rPr>
        <w:t> </w:t>
      </w:r>
      <w:r>
        <w:rPr>
          <w:sz w:val="20"/>
        </w:rPr>
        <w:t>be</w:t>
      </w:r>
      <w:r>
        <w:rPr>
          <w:spacing w:val="-16"/>
          <w:sz w:val="20"/>
        </w:rPr>
        <w:t> </w:t>
      </w:r>
      <w:r>
        <w:rPr>
          <w:sz w:val="20"/>
        </w:rPr>
        <w:t>implemented</w:t>
      </w:r>
      <w:r>
        <w:rPr>
          <w:spacing w:val="-17"/>
          <w:sz w:val="20"/>
        </w:rPr>
        <w:t> </w:t>
      </w:r>
      <w:r>
        <w:rPr>
          <w:sz w:val="20"/>
        </w:rPr>
        <w:t>swiftly,</w:t>
      </w:r>
      <w:r>
        <w:rPr>
          <w:spacing w:val="-14"/>
          <w:sz w:val="20"/>
        </w:rPr>
        <w:t> </w:t>
      </w:r>
      <w:r>
        <w:rPr>
          <w:sz w:val="20"/>
        </w:rPr>
        <w:t>effectively,</w:t>
      </w:r>
      <w:r>
        <w:rPr>
          <w:spacing w:val="-16"/>
          <w:sz w:val="20"/>
        </w:rPr>
        <w:t> </w:t>
      </w:r>
      <w:r>
        <w:rPr>
          <w:sz w:val="20"/>
        </w:rPr>
        <w:t>consistently</w:t>
      </w:r>
      <w:r>
        <w:rPr>
          <w:spacing w:val="-17"/>
          <w:sz w:val="20"/>
        </w:rPr>
        <w:t> </w:t>
      </w:r>
      <w:r>
        <w:rPr>
          <w:sz w:val="20"/>
        </w:rPr>
        <w:t>and</w:t>
      </w:r>
      <w:r>
        <w:rPr>
          <w:spacing w:val="-8"/>
          <w:sz w:val="20"/>
        </w:rPr>
        <w:t> </w:t>
      </w:r>
      <w:r>
        <w:rPr>
          <w:sz w:val="20"/>
        </w:rPr>
        <w:t>in</w:t>
      </w:r>
      <w:r>
        <w:rPr>
          <w:spacing w:val="-14"/>
          <w:sz w:val="20"/>
        </w:rPr>
        <w:t> </w:t>
      </w:r>
      <w:r>
        <w:rPr>
          <w:sz w:val="20"/>
        </w:rPr>
        <w:t>a</w:t>
      </w:r>
      <w:r>
        <w:rPr>
          <w:spacing w:val="-17"/>
          <w:sz w:val="20"/>
        </w:rPr>
        <w:t> </w:t>
      </w:r>
      <w:r>
        <w:rPr>
          <w:sz w:val="20"/>
        </w:rPr>
        <w:t>coordinated manner.</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The</w:t>
      </w:r>
      <w:r>
        <w:rPr>
          <w:spacing w:val="-13"/>
          <w:sz w:val="20"/>
        </w:rPr>
        <w:t> </w:t>
      </w:r>
      <w:r>
        <w:rPr>
          <w:sz w:val="20"/>
        </w:rPr>
        <w:t>implementation</w:t>
      </w:r>
      <w:r>
        <w:rPr>
          <w:spacing w:val="-10"/>
          <w:sz w:val="20"/>
        </w:rPr>
        <w:t> </w:t>
      </w:r>
      <w:r>
        <w:rPr>
          <w:sz w:val="20"/>
        </w:rPr>
        <w:t>of</w:t>
      </w:r>
      <w:r>
        <w:rPr>
          <w:spacing w:val="-10"/>
          <w:sz w:val="20"/>
        </w:rPr>
        <w:t> </w:t>
      </w:r>
      <w:r>
        <w:rPr>
          <w:sz w:val="20"/>
        </w:rPr>
        <w:t>Pillar</w:t>
      </w:r>
      <w:r>
        <w:rPr>
          <w:spacing w:val="-10"/>
          <w:sz w:val="20"/>
        </w:rPr>
        <w:t> </w:t>
      </w:r>
      <w:r>
        <w:rPr>
          <w:sz w:val="20"/>
        </w:rPr>
        <w:t>One</w:t>
      </w:r>
      <w:r>
        <w:rPr>
          <w:spacing w:val="-9"/>
          <w:sz w:val="20"/>
        </w:rPr>
        <w:t> </w:t>
      </w:r>
      <w:r>
        <w:rPr>
          <w:sz w:val="20"/>
        </w:rPr>
        <w:t>will</w:t>
      </w:r>
      <w:r>
        <w:rPr>
          <w:spacing w:val="-11"/>
          <w:sz w:val="20"/>
        </w:rPr>
        <w:t> </w:t>
      </w:r>
      <w:r>
        <w:rPr>
          <w:sz w:val="20"/>
        </w:rPr>
        <w:t>require</w:t>
      </w:r>
      <w:r>
        <w:rPr>
          <w:spacing w:val="-9"/>
          <w:sz w:val="20"/>
        </w:rPr>
        <w:t> </w:t>
      </w:r>
      <w:r>
        <w:rPr>
          <w:sz w:val="20"/>
        </w:rPr>
        <w:t>action</w:t>
      </w:r>
      <w:r>
        <w:rPr>
          <w:spacing w:val="-10"/>
          <w:sz w:val="20"/>
        </w:rPr>
        <w:t> </w:t>
      </w:r>
      <w:r>
        <w:rPr>
          <w:sz w:val="20"/>
        </w:rPr>
        <w:t>across</w:t>
      </w:r>
      <w:r>
        <w:rPr>
          <w:spacing w:val="-11"/>
          <w:sz w:val="20"/>
        </w:rPr>
        <w:t> </w:t>
      </w:r>
      <w:r>
        <w:rPr>
          <w:sz w:val="20"/>
        </w:rPr>
        <w:t>three</w:t>
      </w:r>
      <w:r>
        <w:rPr>
          <w:spacing w:val="-9"/>
          <w:sz w:val="20"/>
        </w:rPr>
        <w:t> </w:t>
      </w:r>
      <w:r>
        <w:rPr>
          <w:sz w:val="20"/>
        </w:rPr>
        <w:t>different</w:t>
      </w:r>
      <w:r>
        <w:rPr>
          <w:spacing w:val="-13"/>
          <w:sz w:val="20"/>
        </w:rPr>
        <w:t> </w:t>
      </w:r>
      <w:r>
        <w:rPr>
          <w:sz w:val="20"/>
        </w:rPr>
        <w:t>dimensions:</w:t>
      </w:r>
      <w:r>
        <w:rPr>
          <w:spacing w:val="-11"/>
          <w:sz w:val="20"/>
        </w:rPr>
        <w:t> </w:t>
      </w:r>
      <w:r>
        <w:rPr>
          <w:spacing w:val="2"/>
          <w:sz w:val="20"/>
        </w:rPr>
        <w:t>(i)</w:t>
      </w:r>
      <w:r>
        <w:rPr>
          <w:spacing w:val="-8"/>
          <w:sz w:val="20"/>
        </w:rPr>
        <w:t> </w:t>
      </w:r>
      <w:r>
        <w:rPr>
          <w:sz w:val="20"/>
        </w:rPr>
        <w:t>domestic law; (ii) public international law; and (iii) guidance to supplement (i) or (ii) or</w:t>
      </w:r>
      <w:r>
        <w:rPr>
          <w:spacing w:val="-14"/>
          <w:sz w:val="20"/>
        </w:rPr>
        <w:t> </w:t>
      </w:r>
      <w:r>
        <w:rPr>
          <w:sz w:val="20"/>
        </w:rPr>
        <w:t>both.</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It is expected that any consensus-based agreement under Pillar one must include a commitment by members of the Inclusive Framework to implement this agreement and at the same time to remove relevant unilateral</w:t>
      </w:r>
      <w:r>
        <w:rPr>
          <w:spacing w:val="-2"/>
          <w:sz w:val="20"/>
        </w:rPr>
        <w:t> </w:t>
      </w:r>
      <w:r>
        <w:rPr>
          <w:sz w:val="20"/>
        </w:rPr>
        <w:t>actions.</w:t>
      </w:r>
    </w:p>
    <w:p>
      <w:pPr>
        <w:pStyle w:val="ListParagraph"/>
        <w:numPr>
          <w:ilvl w:val="0"/>
          <w:numId w:val="13"/>
        </w:numPr>
        <w:tabs>
          <w:tab w:pos="1444" w:val="left" w:leader="none"/>
        </w:tabs>
        <w:spacing w:line="240" w:lineRule="auto" w:before="121" w:after="0"/>
        <w:ind w:left="1443" w:right="0" w:hanging="721"/>
        <w:jc w:val="both"/>
        <w:rPr>
          <w:sz w:val="20"/>
        </w:rPr>
      </w:pPr>
      <w:r>
        <w:rPr>
          <w:sz w:val="20"/>
        </w:rPr>
        <w:t>The implementation of Amount B is covered in Chapter</w:t>
      </w:r>
      <w:r>
        <w:rPr>
          <w:spacing w:val="-2"/>
          <w:sz w:val="20"/>
        </w:rPr>
        <w:t> </w:t>
      </w:r>
      <w:hyperlink w:history="true" w:anchor="_bookmark62">
        <w:r>
          <w:rPr>
            <w:sz w:val="20"/>
          </w:rPr>
          <w:t>8.</w:t>
        </w:r>
      </w:hyperlink>
    </w:p>
    <w:p>
      <w:pPr>
        <w:pStyle w:val="BodyText"/>
        <w:rPr>
          <w:sz w:val="22"/>
        </w:rPr>
      </w:pPr>
    </w:p>
    <w:p>
      <w:pPr>
        <w:pStyle w:val="BodyText"/>
        <w:spacing w:before="3"/>
        <w:rPr>
          <w:sz w:val="19"/>
        </w:rPr>
      </w:pPr>
    </w:p>
    <w:p>
      <w:pPr>
        <w:pStyle w:val="Heading4"/>
        <w:numPr>
          <w:ilvl w:val="1"/>
          <w:numId w:val="85"/>
        </w:numPr>
        <w:tabs>
          <w:tab w:pos="1324" w:val="left" w:leader="none"/>
        </w:tabs>
        <w:spacing w:line="240" w:lineRule="auto" w:before="0" w:after="0"/>
        <w:ind w:left="1323" w:right="0" w:hanging="601"/>
        <w:jc w:val="left"/>
        <w:rPr>
          <w:rFonts w:ascii="Arial"/>
        </w:rPr>
      </w:pPr>
      <w:bookmarkStart w:name="10.2. Implementation" w:id="472"/>
      <w:bookmarkEnd w:id="472"/>
      <w:r>
        <w:rPr>
          <w:b w:val="0"/>
        </w:rPr>
      </w:r>
      <w:bookmarkStart w:name="_bookmark74" w:id="473"/>
      <w:bookmarkEnd w:id="473"/>
      <w:r>
        <w:rPr>
          <w:b w:val="0"/>
        </w:rPr>
      </w:r>
      <w:bookmarkStart w:name="_bookmark74" w:id="474"/>
      <w:bookmarkEnd w:id="474"/>
      <w:r>
        <w:rPr>
          <w:rFonts w:ascii="Arial"/>
          <w:color w:val="4E81BD"/>
        </w:rPr>
        <w:t>Imple</w:t>
      </w:r>
      <w:r>
        <w:rPr>
          <w:rFonts w:ascii="Arial"/>
          <w:color w:val="4E81BD"/>
        </w:rPr>
        <w:t>mentation</w:t>
      </w:r>
    </w:p>
    <w:p>
      <w:pPr>
        <w:pStyle w:val="BodyText"/>
        <w:spacing w:before="10"/>
        <w:rPr>
          <w:b/>
          <w:sz w:val="26"/>
        </w:rPr>
      </w:pPr>
    </w:p>
    <w:p>
      <w:pPr>
        <w:pStyle w:val="Heading6"/>
        <w:numPr>
          <w:ilvl w:val="2"/>
          <w:numId w:val="85"/>
        </w:numPr>
        <w:tabs>
          <w:tab w:pos="2138" w:val="left" w:leader="none"/>
        </w:tabs>
        <w:spacing w:line="240" w:lineRule="auto" w:before="0" w:after="0"/>
        <w:ind w:left="2137" w:right="0" w:hanging="736"/>
        <w:jc w:val="left"/>
        <w:rPr>
          <w:i/>
        </w:rPr>
      </w:pPr>
      <w:bookmarkStart w:name="10.2.1. Domestic law implementation" w:id="475"/>
      <w:bookmarkEnd w:id="475"/>
      <w:r>
        <w:rPr>
          <w:b w:val="0"/>
          <w:i w:val="0"/>
        </w:rPr>
      </w:r>
      <w:bookmarkStart w:name="_bookmark75" w:id="476"/>
      <w:bookmarkEnd w:id="476"/>
      <w:r>
        <w:rPr>
          <w:b w:val="0"/>
          <w:i w:val="0"/>
        </w:rPr>
      </w:r>
      <w:bookmarkStart w:name="_bookmark75" w:id="477"/>
      <w:bookmarkEnd w:id="477"/>
      <w:r>
        <w:rPr>
          <w:i/>
        </w:rPr>
        <w:t>D</w:t>
      </w:r>
      <w:r>
        <w:rPr>
          <w:i/>
        </w:rPr>
        <w:t>omestic law</w:t>
      </w:r>
      <w:r>
        <w:rPr>
          <w:i/>
          <w:spacing w:val="-4"/>
        </w:rPr>
        <w:t> </w:t>
      </w:r>
      <w:r>
        <w:rPr>
          <w:i/>
        </w:rPr>
        <w:t>implementation</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5" w:firstLine="0"/>
        <w:jc w:val="both"/>
        <w:rPr>
          <w:sz w:val="20"/>
        </w:rPr>
      </w:pPr>
      <w:r>
        <w:rPr>
          <w:sz w:val="20"/>
        </w:rPr>
        <w:t>The operative sections of Pillar One will need to be translated into domestic law. Although the particular form of domestic law implementation required will depend on the legal framework and the particular</w:t>
      </w:r>
      <w:r>
        <w:rPr>
          <w:spacing w:val="-7"/>
          <w:sz w:val="20"/>
        </w:rPr>
        <w:t> </w:t>
      </w:r>
      <w:r>
        <w:rPr>
          <w:sz w:val="20"/>
        </w:rPr>
        <w:t>circumstances</w:t>
      </w:r>
      <w:r>
        <w:rPr>
          <w:spacing w:val="-7"/>
          <w:sz w:val="20"/>
        </w:rPr>
        <w:t> </w:t>
      </w:r>
      <w:r>
        <w:rPr>
          <w:sz w:val="20"/>
        </w:rPr>
        <w:t>of</w:t>
      </w:r>
      <w:r>
        <w:rPr>
          <w:spacing w:val="-10"/>
          <w:sz w:val="20"/>
        </w:rPr>
        <w:t> </w:t>
      </w:r>
      <w:r>
        <w:rPr>
          <w:sz w:val="20"/>
        </w:rPr>
        <w:t>each</w:t>
      </w:r>
      <w:r>
        <w:rPr>
          <w:spacing w:val="-8"/>
          <w:sz w:val="20"/>
        </w:rPr>
        <w:t> </w:t>
      </w:r>
      <w:r>
        <w:rPr>
          <w:sz w:val="20"/>
        </w:rPr>
        <w:t>jurisdiction,</w:t>
      </w:r>
      <w:r>
        <w:rPr>
          <w:spacing w:val="-6"/>
          <w:sz w:val="20"/>
        </w:rPr>
        <w:t> </w:t>
      </w:r>
      <w:r>
        <w:rPr>
          <w:sz w:val="20"/>
        </w:rPr>
        <w:t>domestic</w:t>
      </w:r>
      <w:r>
        <w:rPr>
          <w:spacing w:val="-6"/>
          <w:sz w:val="20"/>
        </w:rPr>
        <w:t> </w:t>
      </w:r>
      <w:r>
        <w:rPr>
          <w:sz w:val="20"/>
        </w:rPr>
        <w:t>legislation</w:t>
      </w:r>
      <w:r>
        <w:rPr>
          <w:spacing w:val="-6"/>
          <w:sz w:val="20"/>
        </w:rPr>
        <w:t> </w:t>
      </w:r>
      <w:r>
        <w:rPr>
          <w:sz w:val="20"/>
        </w:rPr>
        <w:t>would</w:t>
      </w:r>
      <w:r>
        <w:rPr>
          <w:spacing w:val="-9"/>
          <w:sz w:val="20"/>
        </w:rPr>
        <w:t> </w:t>
      </w:r>
      <w:r>
        <w:rPr>
          <w:sz w:val="20"/>
        </w:rPr>
        <w:t>need</w:t>
      </w:r>
      <w:r>
        <w:rPr>
          <w:spacing w:val="-8"/>
          <w:sz w:val="20"/>
        </w:rPr>
        <w:t> </w:t>
      </w:r>
      <w:r>
        <w:rPr>
          <w:sz w:val="20"/>
        </w:rPr>
        <w:t>to</w:t>
      </w:r>
      <w:r>
        <w:rPr>
          <w:spacing w:val="-5"/>
          <w:sz w:val="20"/>
        </w:rPr>
        <w:t> </w:t>
      </w:r>
      <w:r>
        <w:rPr>
          <w:sz w:val="20"/>
        </w:rPr>
        <w:t>achieve</w:t>
      </w:r>
      <w:r>
        <w:rPr>
          <w:spacing w:val="-5"/>
          <w:sz w:val="20"/>
        </w:rPr>
        <w:t> </w:t>
      </w:r>
      <w:r>
        <w:rPr>
          <w:sz w:val="20"/>
        </w:rPr>
        <w:t>the</w:t>
      </w:r>
      <w:r>
        <w:rPr>
          <w:spacing w:val="-8"/>
          <w:sz w:val="20"/>
        </w:rPr>
        <w:t> </w:t>
      </w:r>
      <w:r>
        <w:rPr>
          <w:sz w:val="20"/>
        </w:rPr>
        <w:t>following</w:t>
      </w:r>
      <w:r>
        <w:rPr>
          <w:spacing w:val="-7"/>
          <w:sz w:val="20"/>
        </w:rPr>
        <w:t> </w:t>
      </w:r>
      <w:r>
        <w:rPr>
          <w:sz w:val="20"/>
        </w:rPr>
        <w:t>four outcomes:</w:t>
      </w:r>
    </w:p>
    <w:p>
      <w:pPr>
        <w:pStyle w:val="ListParagraph"/>
        <w:numPr>
          <w:ilvl w:val="1"/>
          <w:numId w:val="13"/>
        </w:numPr>
        <w:tabs>
          <w:tab w:pos="1403" w:val="left" w:leader="none"/>
        </w:tabs>
        <w:spacing w:line="271" w:lineRule="auto" w:before="99" w:after="0"/>
        <w:ind w:left="1402" w:right="488" w:hanging="339"/>
        <w:jc w:val="both"/>
        <w:rPr>
          <w:sz w:val="20"/>
        </w:rPr>
      </w:pPr>
      <w:r>
        <w:rPr>
          <w:sz w:val="20"/>
        </w:rPr>
        <w:t>Create a domestic taxing right consistent with the design of Amount A. This would require rules that implement the following essential elements of a taxing right: the identification of the taxpayer, object of taxation, the tax base, the tax period, and the tax rates (see (i)</w:t>
      </w:r>
      <w:r>
        <w:rPr>
          <w:spacing w:val="-12"/>
          <w:sz w:val="20"/>
        </w:rPr>
        <w:t> </w:t>
      </w:r>
      <w:r>
        <w:rPr>
          <w:sz w:val="20"/>
        </w:rPr>
        <w:t>below);</w:t>
      </w:r>
    </w:p>
    <w:p>
      <w:pPr>
        <w:pStyle w:val="ListParagraph"/>
        <w:numPr>
          <w:ilvl w:val="1"/>
          <w:numId w:val="13"/>
        </w:numPr>
        <w:tabs>
          <w:tab w:pos="1403" w:val="left" w:leader="none"/>
        </w:tabs>
        <w:spacing w:line="268" w:lineRule="auto" w:before="44" w:after="0"/>
        <w:ind w:left="1402" w:right="490" w:hanging="339"/>
        <w:jc w:val="both"/>
        <w:rPr>
          <w:sz w:val="20"/>
        </w:rPr>
      </w:pPr>
      <w:r>
        <w:rPr>
          <w:sz w:val="20"/>
        </w:rPr>
        <w:t>Provide</w:t>
      </w:r>
      <w:r>
        <w:rPr>
          <w:spacing w:val="-10"/>
          <w:sz w:val="20"/>
        </w:rPr>
        <w:t> </w:t>
      </w:r>
      <w:r>
        <w:rPr>
          <w:sz w:val="20"/>
        </w:rPr>
        <w:t>for</w:t>
      </w:r>
      <w:r>
        <w:rPr>
          <w:spacing w:val="-8"/>
          <w:sz w:val="20"/>
        </w:rPr>
        <w:t> </w:t>
      </w:r>
      <w:r>
        <w:rPr>
          <w:sz w:val="20"/>
        </w:rPr>
        <w:t>the</w:t>
      </w:r>
      <w:r>
        <w:rPr>
          <w:spacing w:val="-9"/>
          <w:sz w:val="20"/>
        </w:rPr>
        <w:t> </w:t>
      </w:r>
      <w:r>
        <w:rPr>
          <w:sz w:val="20"/>
        </w:rPr>
        <w:t>relief</w:t>
      </w:r>
      <w:r>
        <w:rPr>
          <w:spacing w:val="-7"/>
          <w:sz w:val="20"/>
        </w:rPr>
        <w:t> </w:t>
      </w:r>
      <w:r>
        <w:rPr>
          <w:sz w:val="20"/>
        </w:rPr>
        <w:t>of</w:t>
      </w:r>
      <w:r>
        <w:rPr>
          <w:spacing w:val="-8"/>
          <w:sz w:val="20"/>
        </w:rPr>
        <w:t> </w:t>
      </w:r>
      <w:r>
        <w:rPr>
          <w:sz w:val="20"/>
        </w:rPr>
        <w:t>double</w:t>
      </w:r>
      <w:r>
        <w:rPr>
          <w:spacing w:val="-9"/>
          <w:sz w:val="20"/>
        </w:rPr>
        <w:t> </w:t>
      </w:r>
      <w:r>
        <w:rPr>
          <w:sz w:val="20"/>
        </w:rPr>
        <w:t>taxation</w:t>
      </w:r>
      <w:r>
        <w:rPr>
          <w:spacing w:val="-7"/>
          <w:sz w:val="20"/>
        </w:rPr>
        <w:t> </w:t>
      </w:r>
      <w:r>
        <w:rPr>
          <w:sz w:val="20"/>
        </w:rPr>
        <w:t>where</w:t>
      </w:r>
      <w:r>
        <w:rPr>
          <w:spacing w:val="-9"/>
          <w:sz w:val="20"/>
        </w:rPr>
        <w:t> </w:t>
      </w:r>
      <w:r>
        <w:rPr>
          <w:sz w:val="20"/>
        </w:rPr>
        <w:t>a</w:t>
      </w:r>
      <w:r>
        <w:rPr>
          <w:spacing w:val="-7"/>
          <w:sz w:val="20"/>
        </w:rPr>
        <w:t> </w:t>
      </w:r>
      <w:r>
        <w:rPr>
          <w:sz w:val="20"/>
        </w:rPr>
        <w:t>resident</w:t>
      </w:r>
      <w:r>
        <w:rPr>
          <w:spacing w:val="-9"/>
          <w:sz w:val="20"/>
        </w:rPr>
        <w:t> </w:t>
      </w:r>
      <w:r>
        <w:rPr>
          <w:sz w:val="20"/>
        </w:rPr>
        <w:t>entity</w:t>
      </w:r>
      <w:r>
        <w:rPr>
          <w:spacing w:val="-12"/>
          <w:sz w:val="20"/>
        </w:rPr>
        <w:t> </w:t>
      </w:r>
      <w:r>
        <w:rPr>
          <w:sz w:val="20"/>
        </w:rPr>
        <w:t>is</w:t>
      </w:r>
      <w:r>
        <w:rPr>
          <w:spacing w:val="-9"/>
          <w:sz w:val="20"/>
        </w:rPr>
        <w:t> </w:t>
      </w:r>
      <w:r>
        <w:rPr>
          <w:sz w:val="20"/>
        </w:rPr>
        <w:t>identified</w:t>
      </w:r>
      <w:r>
        <w:rPr>
          <w:spacing w:val="-9"/>
          <w:sz w:val="20"/>
        </w:rPr>
        <w:t> </w:t>
      </w:r>
      <w:r>
        <w:rPr>
          <w:sz w:val="20"/>
        </w:rPr>
        <w:t>as</w:t>
      </w:r>
      <w:r>
        <w:rPr>
          <w:spacing w:val="-8"/>
          <w:sz w:val="20"/>
        </w:rPr>
        <w:t> </w:t>
      </w:r>
      <w:r>
        <w:rPr>
          <w:sz w:val="20"/>
        </w:rPr>
        <w:t>a</w:t>
      </w:r>
      <w:r>
        <w:rPr>
          <w:spacing w:val="-9"/>
          <w:sz w:val="20"/>
        </w:rPr>
        <w:t> </w:t>
      </w:r>
      <w:r>
        <w:rPr>
          <w:sz w:val="20"/>
        </w:rPr>
        <w:t>taxpayer</w:t>
      </w:r>
      <w:r>
        <w:rPr>
          <w:spacing w:val="-6"/>
          <w:sz w:val="20"/>
        </w:rPr>
        <w:t> </w:t>
      </w:r>
      <w:r>
        <w:rPr>
          <w:sz w:val="20"/>
        </w:rPr>
        <w:t>under</w:t>
      </w:r>
      <w:r>
        <w:rPr>
          <w:spacing w:val="-9"/>
          <w:sz w:val="20"/>
        </w:rPr>
        <w:t> </w:t>
      </w:r>
      <w:r>
        <w:rPr>
          <w:sz w:val="20"/>
        </w:rPr>
        <w:t>the preceding</w:t>
      </w:r>
      <w:r>
        <w:rPr>
          <w:spacing w:val="-6"/>
          <w:sz w:val="20"/>
        </w:rPr>
        <w:t> </w:t>
      </w:r>
      <w:r>
        <w:rPr>
          <w:sz w:val="20"/>
        </w:rPr>
        <w:t>section.</w:t>
      </w:r>
      <w:r>
        <w:rPr>
          <w:spacing w:val="-3"/>
          <w:sz w:val="20"/>
        </w:rPr>
        <w:t> </w:t>
      </w:r>
      <w:r>
        <w:rPr>
          <w:sz w:val="20"/>
        </w:rPr>
        <w:t>This</w:t>
      </w:r>
      <w:r>
        <w:rPr>
          <w:spacing w:val="-4"/>
          <w:sz w:val="20"/>
        </w:rPr>
        <w:t> </w:t>
      </w:r>
      <w:r>
        <w:rPr>
          <w:sz w:val="20"/>
        </w:rPr>
        <w:t>would</w:t>
      </w:r>
      <w:r>
        <w:rPr>
          <w:spacing w:val="-3"/>
          <w:sz w:val="20"/>
        </w:rPr>
        <w:t> </w:t>
      </w:r>
      <w:r>
        <w:rPr>
          <w:sz w:val="20"/>
        </w:rPr>
        <w:t>authorise</w:t>
      </w:r>
      <w:r>
        <w:rPr>
          <w:spacing w:val="-2"/>
          <w:sz w:val="20"/>
        </w:rPr>
        <w:t> </w:t>
      </w:r>
      <w:r>
        <w:rPr>
          <w:sz w:val="20"/>
        </w:rPr>
        <w:t>the</w:t>
      </w:r>
      <w:r>
        <w:rPr>
          <w:spacing w:val="-3"/>
          <w:sz w:val="20"/>
        </w:rPr>
        <w:t> </w:t>
      </w:r>
      <w:r>
        <w:rPr>
          <w:sz w:val="20"/>
        </w:rPr>
        <w:t>elimination</w:t>
      </w:r>
      <w:r>
        <w:rPr>
          <w:spacing w:val="-5"/>
          <w:sz w:val="20"/>
        </w:rPr>
        <w:t> </w:t>
      </w:r>
      <w:r>
        <w:rPr>
          <w:sz w:val="20"/>
        </w:rPr>
        <w:t>of</w:t>
      </w:r>
      <w:r>
        <w:rPr>
          <w:spacing w:val="-3"/>
          <w:sz w:val="20"/>
        </w:rPr>
        <w:t> </w:t>
      </w:r>
      <w:r>
        <w:rPr>
          <w:sz w:val="20"/>
        </w:rPr>
        <w:t>double</w:t>
      </w:r>
      <w:r>
        <w:rPr>
          <w:spacing w:val="-4"/>
          <w:sz w:val="20"/>
        </w:rPr>
        <w:t> </w:t>
      </w:r>
      <w:r>
        <w:rPr>
          <w:sz w:val="20"/>
        </w:rPr>
        <w:t>taxation</w:t>
      </w:r>
      <w:r>
        <w:rPr>
          <w:spacing w:val="-5"/>
          <w:sz w:val="20"/>
        </w:rPr>
        <w:t> </w:t>
      </w:r>
      <w:r>
        <w:rPr>
          <w:sz w:val="20"/>
        </w:rPr>
        <w:t>and</w:t>
      </w:r>
      <w:r>
        <w:rPr>
          <w:spacing w:val="-6"/>
          <w:sz w:val="20"/>
        </w:rPr>
        <w:t> </w:t>
      </w:r>
      <w:r>
        <w:rPr>
          <w:sz w:val="20"/>
        </w:rPr>
        <w:t>specify</w:t>
      </w:r>
      <w:r>
        <w:rPr>
          <w:spacing w:val="-7"/>
          <w:sz w:val="20"/>
        </w:rPr>
        <w:t> </w:t>
      </w:r>
      <w:r>
        <w:rPr>
          <w:sz w:val="20"/>
        </w:rPr>
        <w:t>the</w:t>
      </w:r>
      <w:r>
        <w:rPr>
          <w:spacing w:val="-3"/>
          <w:sz w:val="20"/>
        </w:rPr>
        <w:t> </w:t>
      </w:r>
      <w:r>
        <w:rPr>
          <w:sz w:val="20"/>
        </w:rPr>
        <w:t>method to be used (see (ii) below);</w:t>
      </w:r>
    </w:p>
    <w:p>
      <w:pPr>
        <w:pStyle w:val="ListParagraph"/>
        <w:numPr>
          <w:ilvl w:val="1"/>
          <w:numId w:val="13"/>
        </w:numPr>
        <w:tabs>
          <w:tab w:pos="1403" w:val="left" w:leader="none"/>
        </w:tabs>
        <w:spacing w:line="271" w:lineRule="auto" w:before="50" w:after="0"/>
        <w:ind w:left="1402" w:right="484" w:hanging="339"/>
        <w:jc w:val="both"/>
        <w:rPr>
          <w:sz w:val="20"/>
        </w:rPr>
      </w:pPr>
      <w:r>
        <w:rPr>
          <w:sz w:val="20"/>
        </w:rPr>
        <w:t>Incorporate</w:t>
      </w:r>
      <w:r>
        <w:rPr>
          <w:spacing w:val="-9"/>
          <w:sz w:val="20"/>
        </w:rPr>
        <w:t> </w:t>
      </w:r>
      <w:r>
        <w:rPr>
          <w:sz w:val="20"/>
        </w:rPr>
        <w:t>procedures</w:t>
      </w:r>
      <w:r>
        <w:rPr>
          <w:spacing w:val="-8"/>
          <w:sz w:val="20"/>
        </w:rPr>
        <w:t> </w:t>
      </w:r>
      <w:r>
        <w:rPr>
          <w:sz w:val="20"/>
        </w:rPr>
        <w:t>for</w:t>
      </w:r>
      <w:r>
        <w:rPr>
          <w:spacing w:val="-7"/>
          <w:sz w:val="20"/>
        </w:rPr>
        <w:t> </w:t>
      </w:r>
      <w:r>
        <w:rPr>
          <w:sz w:val="20"/>
        </w:rPr>
        <w:t>administering</w:t>
      </w:r>
      <w:r>
        <w:rPr>
          <w:spacing w:val="-9"/>
          <w:sz w:val="20"/>
        </w:rPr>
        <w:t> </w:t>
      </w:r>
      <w:r>
        <w:rPr>
          <w:sz w:val="20"/>
        </w:rPr>
        <w:t>the</w:t>
      </w:r>
      <w:r>
        <w:rPr>
          <w:spacing w:val="-9"/>
          <w:sz w:val="20"/>
        </w:rPr>
        <w:t> </w:t>
      </w:r>
      <w:r>
        <w:rPr>
          <w:sz w:val="20"/>
        </w:rPr>
        <w:t>new</w:t>
      </w:r>
      <w:r>
        <w:rPr>
          <w:spacing w:val="-10"/>
          <w:sz w:val="20"/>
        </w:rPr>
        <w:t> </w:t>
      </w:r>
      <w:r>
        <w:rPr>
          <w:sz w:val="20"/>
        </w:rPr>
        <w:t>taxing</w:t>
      </w:r>
      <w:r>
        <w:rPr>
          <w:spacing w:val="-9"/>
          <w:sz w:val="20"/>
        </w:rPr>
        <w:t> </w:t>
      </w:r>
      <w:r>
        <w:rPr>
          <w:sz w:val="20"/>
        </w:rPr>
        <w:t>right</w:t>
      </w:r>
      <w:r>
        <w:rPr>
          <w:spacing w:val="-9"/>
          <w:sz w:val="20"/>
        </w:rPr>
        <w:t> </w:t>
      </w:r>
      <w:r>
        <w:rPr>
          <w:sz w:val="20"/>
        </w:rPr>
        <w:t>as</w:t>
      </w:r>
      <w:r>
        <w:rPr>
          <w:spacing w:val="-6"/>
          <w:sz w:val="20"/>
        </w:rPr>
        <w:t> </w:t>
      </w:r>
      <w:r>
        <w:rPr>
          <w:sz w:val="20"/>
        </w:rPr>
        <w:t>well</w:t>
      </w:r>
      <w:r>
        <w:rPr>
          <w:spacing w:val="-10"/>
          <w:sz w:val="20"/>
        </w:rPr>
        <w:t> </w:t>
      </w:r>
      <w:r>
        <w:rPr>
          <w:sz w:val="20"/>
        </w:rPr>
        <w:t>as</w:t>
      </w:r>
      <w:r>
        <w:rPr>
          <w:spacing w:val="-8"/>
          <w:sz w:val="20"/>
        </w:rPr>
        <w:t> </w:t>
      </w:r>
      <w:r>
        <w:rPr>
          <w:sz w:val="20"/>
        </w:rPr>
        <w:t>relief</w:t>
      </w:r>
      <w:r>
        <w:rPr>
          <w:spacing w:val="-7"/>
          <w:sz w:val="20"/>
        </w:rPr>
        <w:t> </w:t>
      </w:r>
      <w:r>
        <w:rPr>
          <w:sz w:val="20"/>
        </w:rPr>
        <w:t>from</w:t>
      </w:r>
      <w:r>
        <w:rPr>
          <w:spacing w:val="-7"/>
          <w:sz w:val="20"/>
        </w:rPr>
        <w:t> </w:t>
      </w:r>
      <w:r>
        <w:rPr>
          <w:sz w:val="20"/>
        </w:rPr>
        <w:t>double</w:t>
      </w:r>
      <w:r>
        <w:rPr>
          <w:spacing w:val="-9"/>
          <w:sz w:val="20"/>
        </w:rPr>
        <w:t> </w:t>
      </w:r>
      <w:r>
        <w:rPr>
          <w:sz w:val="20"/>
        </w:rPr>
        <w:t>taxation for those resident entities identified as taxpayers under the new taxing right, including measures facilitating the centralised and simplified administration system and the tax certainty process in respect of Amount A (see(iii) below);</w:t>
      </w:r>
      <w:r>
        <w:rPr>
          <w:spacing w:val="-4"/>
          <w:sz w:val="20"/>
        </w:rPr>
        <w:t> </w:t>
      </w:r>
      <w:r>
        <w:rPr>
          <w:sz w:val="20"/>
        </w:rPr>
        <w:t>and</w:t>
      </w:r>
    </w:p>
    <w:p>
      <w:pPr>
        <w:spacing w:after="0" w:line="271"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403" w:val="left" w:leader="none"/>
        </w:tabs>
        <w:spacing w:line="266" w:lineRule="auto" w:before="99" w:after="0"/>
        <w:ind w:left="1402" w:right="491" w:hanging="339"/>
        <w:jc w:val="both"/>
        <w:rPr>
          <w:sz w:val="20"/>
        </w:rPr>
      </w:pPr>
      <w:r>
        <w:rPr>
          <w:sz w:val="20"/>
        </w:rPr>
        <w:t>Include processes to improve tax certainty beyond Amount A, notably by providing for effective dispute prevention and resolution mechanisms (see (iv)</w:t>
      </w:r>
      <w:r>
        <w:rPr>
          <w:spacing w:val="-7"/>
          <w:sz w:val="20"/>
        </w:rPr>
        <w:t> </w:t>
      </w:r>
      <w:r>
        <w:rPr>
          <w:sz w:val="20"/>
        </w:rPr>
        <w:t>below).</w:t>
      </w:r>
    </w:p>
    <w:p>
      <w:pPr>
        <w:pStyle w:val="BodyText"/>
        <w:spacing w:before="1"/>
        <w:rPr>
          <w:sz w:val="21"/>
        </w:rPr>
      </w:pPr>
    </w:p>
    <w:p>
      <w:pPr>
        <w:pStyle w:val="Heading7"/>
        <w:numPr>
          <w:ilvl w:val="0"/>
          <w:numId w:val="86"/>
        </w:numPr>
        <w:tabs>
          <w:tab w:pos="1662" w:val="left" w:leader="none"/>
        </w:tabs>
        <w:spacing w:line="240" w:lineRule="auto" w:before="1" w:after="0"/>
        <w:ind w:left="1662" w:right="0" w:hanging="260"/>
        <w:jc w:val="left"/>
        <w:rPr>
          <w:i/>
        </w:rPr>
      </w:pPr>
      <w:bookmarkStart w:name="(i) Determination of the essential eleme" w:id="478"/>
      <w:bookmarkEnd w:id="478"/>
      <w:r>
        <w:rPr>
          <w:i w:val="0"/>
        </w:rPr>
      </w:r>
      <w:bookmarkStart w:name="(i) Determination of the essential eleme" w:id="479"/>
      <w:bookmarkEnd w:id="479"/>
      <w:r>
        <w:rPr>
          <w:i/>
          <w:color w:val="616161"/>
        </w:rPr>
        <w:t>D</w:t>
      </w:r>
      <w:r>
        <w:rPr>
          <w:i/>
          <w:color w:val="616161"/>
        </w:rPr>
        <w:t>etermination of the essential elements of a new Amount A</w:t>
      </w:r>
      <w:r>
        <w:rPr>
          <w:i/>
          <w:color w:val="616161"/>
          <w:spacing w:val="-5"/>
        </w:rPr>
        <w:t> </w:t>
      </w:r>
      <w:r>
        <w:rPr>
          <w:i/>
          <w:color w:val="616161"/>
        </w:rPr>
        <w:t>tax</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5" w:firstLine="0"/>
        <w:jc w:val="both"/>
        <w:rPr>
          <w:sz w:val="20"/>
        </w:rPr>
      </w:pPr>
      <w:r>
        <w:rPr>
          <w:sz w:val="20"/>
        </w:rPr>
        <w:t>A jurisdiction will first need to transpose into its domestic law the rules agreed by the Inclusive Framework that are to be applied to determine when an MNE group is subject to tax in that jurisdiction on the</w:t>
      </w:r>
      <w:r>
        <w:rPr>
          <w:spacing w:val="-4"/>
          <w:sz w:val="20"/>
        </w:rPr>
        <w:t> </w:t>
      </w:r>
      <w:r>
        <w:rPr>
          <w:sz w:val="20"/>
        </w:rPr>
        <w:t>basis</w:t>
      </w:r>
      <w:r>
        <w:rPr>
          <w:spacing w:val="-3"/>
          <w:sz w:val="20"/>
        </w:rPr>
        <w:t> </w:t>
      </w:r>
      <w:r>
        <w:rPr>
          <w:sz w:val="20"/>
        </w:rPr>
        <w:t>of</w:t>
      </w:r>
      <w:r>
        <w:rPr>
          <w:spacing w:val="-2"/>
          <w:sz w:val="20"/>
        </w:rPr>
        <w:t> </w:t>
      </w:r>
      <w:r>
        <w:rPr>
          <w:sz w:val="20"/>
        </w:rPr>
        <w:t>Amount</w:t>
      </w:r>
      <w:r>
        <w:rPr>
          <w:spacing w:val="-5"/>
          <w:sz w:val="20"/>
        </w:rPr>
        <w:t> </w:t>
      </w:r>
      <w:r>
        <w:rPr>
          <w:sz w:val="20"/>
        </w:rPr>
        <w:t>A.</w:t>
      </w:r>
      <w:r>
        <w:rPr>
          <w:spacing w:val="-8"/>
          <w:sz w:val="20"/>
        </w:rPr>
        <w:t> </w:t>
      </w:r>
      <w:r>
        <w:rPr>
          <w:sz w:val="20"/>
        </w:rPr>
        <w:t>Without</w:t>
      </w:r>
      <w:r>
        <w:rPr>
          <w:spacing w:val="-4"/>
          <w:sz w:val="20"/>
        </w:rPr>
        <w:t> </w:t>
      </w:r>
      <w:r>
        <w:rPr>
          <w:sz w:val="20"/>
        </w:rPr>
        <w:t>the</w:t>
      </w:r>
      <w:r>
        <w:rPr>
          <w:spacing w:val="-4"/>
          <w:sz w:val="20"/>
        </w:rPr>
        <w:t> </w:t>
      </w:r>
      <w:r>
        <w:rPr>
          <w:sz w:val="20"/>
        </w:rPr>
        <w:t>creation</w:t>
      </w:r>
      <w:r>
        <w:rPr>
          <w:spacing w:val="-4"/>
          <w:sz w:val="20"/>
        </w:rPr>
        <w:t> </w:t>
      </w:r>
      <w:r>
        <w:rPr>
          <w:sz w:val="20"/>
        </w:rPr>
        <w:t>of</w:t>
      </w:r>
      <w:r>
        <w:rPr>
          <w:spacing w:val="-2"/>
          <w:sz w:val="20"/>
        </w:rPr>
        <w:t> </w:t>
      </w:r>
      <w:r>
        <w:rPr>
          <w:sz w:val="20"/>
        </w:rPr>
        <w:t>a</w:t>
      </w:r>
      <w:r>
        <w:rPr>
          <w:spacing w:val="-5"/>
          <w:sz w:val="20"/>
        </w:rPr>
        <w:t> </w:t>
      </w:r>
      <w:r>
        <w:rPr>
          <w:sz w:val="20"/>
        </w:rPr>
        <w:t>domestic</w:t>
      </w:r>
      <w:r>
        <w:rPr>
          <w:spacing w:val="-3"/>
          <w:sz w:val="20"/>
        </w:rPr>
        <w:t> </w:t>
      </w:r>
      <w:r>
        <w:rPr>
          <w:sz w:val="20"/>
        </w:rPr>
        <w:t>taxing</w:t>
      </w:r>
      <w:r>
        <w:rPr>
          <w:spacing w:val="-4"/>
          <w:sz w:val="20"/>
        </w:rPr>
        <w:t> </w:t>
      </w:r>
      <w:r>
        <w:rPr>
          <w:sz w:val="20"/>
        </w:rPr>
        <w:t>right</w:t>
      </w:r>
      <w:r>
        <w:rPr>
          <w:spacing w:val="-5"/>
          <w:sz w:val="20"/>
        </w:rPr>
        <w:t> </w:t>
      </w:r>
      <w:r>
        <w:rPr>
          <w:sz w:val="20"/>
        </w:rPr>
        <w:t>for</w:t>
      </w:r>
      <w:r>
        <w:rPr>
          <w:spacing w:val="-4"/>
          <w:sz w:val="20"/>
        </w:rPr>
        <w:t> </w:t>
      </w:r>
      <w:r>
        <w:rPr>
          <w:sz w:val="20"/>
        </w:rPr>
        <w:t>Amount</w:t>
      </w:r>
      <w:r>
        <w:rPr>
          <w:spacing w:val="-4"/>
          <w:sz w:val="20"/>
        </w:rPr>
        <w:t> </w:t>
      </w:r>
      <w:r>
        <w:rPr>
          <w:sz w:val="20"/>
        </w:rPr>
        <w:t>A,</w:t>
      </w:r>
      <w:r>
        <w:rPr>
          <w:spacing w:val="-4"/>
          <w:sz w:val="20"/>
        </w:rPr>
        <w:t> </w:t>
      </w:r>
      <w:r>
        <w:rPr>
          <w:sz w:val="20"/>
        </w:rPr>
        <w:t>the</w:t>
      </w:r>
      <w:r>
        <w:rPr>
          <w:spacing w:val="-4"/>
          <w:sz w:val="20"/>
        </w:rPr>
        <w:t> </w:t>
      </w:r>
      <w:r>
        <w:rPr>
          <w:sz w:val="20"/>
        </w:rPr>
        <w:t>jurisdiction</w:t>
      </w:r>
      <w:r>
        <w:rPr>
          <w:spacing w:val="-2"/>
          <w:sz w:val="20"/>
        </w:rPr>
        <w:t> </w:t>
      </w:r>
      <w:r>
        <w:rPr>
          <w:sz w:val="20"/>
        </w:rPr>
        <w:t>would have no authority to impose tax on Amount</w:t>
      </w:r>
      <w:r>
        <w:rPr>
          <w:spacing w:val="-6"/>
          <w:sz w:val="20"/>
        </w:rPr>
        <w:t> </w:t>
      </w:r>
      <w:r>
        <w:rPr>
          <w:sz w:val="20"/>
        </w:rPr>
        <w:t>A.</w:t>
      </w:r>
    </w:p>
    <w:p>
      <w:pPr>
        <w:pStyle w:val="ListParagraph"/>
        <w:numPr>
          <w:ilvl w:val="0"/>
          <w:numId w:val="13"/>
        </w:numPr>
        <w:tabs>
          <w:tab w:pos="1444" w:val="left" w:leader="none"/>
        </w:tabs>
        <w:spacing w:line="240" w:lineRule="auto" w:before="119" w:after="0"/>
        <w:ind w:left="1443" w:right="0" w:hanging="721"/>
        <w:jc w:val="both"/>
        <w:rPr>
          <w:sz w:val="20"/>
        </w:rPr>
      </w:pPr>
      <w:r>
        <w:rPr>
          <w:sz w:val="20"/>
        </w:rPr>
        <w:t>The essential elements of a new taxing right</w:t>
      </w:r>
      <w:r>
        <w:rPr>
          <w:spacing w:val="-13"/>
          <w:sz w:val="20"/>
        </w:rPr>
        <w:t> </w:t>
      </w:r>
      <w:r>
        <w:rPr>
          <w:sz w:val="20"/>
        </w:rPr>
        <w:t>are:</w:t>
      </w:r>
    </w:p>
    <w:p>
      <w:pPr>
        <w:pStyle w:val="ListParagraph"/>
        <w:numPr>
          <w:ilvl w:val="1"/>
          <w:numId w:val="13"/>
        </w:numPr>
        <w:tabs>
          <w:tab w:pos="1403" w:val="left" w:leader="none"/>
        </w:tabs>
        <w:spacing w:line="271" w:lineRule="auto" w:before="131" w:after="0"/>
        <w:ind w:left="1402" w:right="481" w:hanging="339"/>
        <w:jc w:val="both"/>
        <w:rPr>
          <w:sz w:val="20"/>
        </w:rPr>
      </w:pPr>
      <w:r>
        <w:rPr>
          <w:i/>
          <w:sz w:val="20"/>
        </w:rPr>
        <w:t>The identification of the taxpayer and the object of taxation: </w:t>
      </w:r>
      <w:r>
        <w:rPr>
          <w:sz w:val="20"/>
        </w:rPr>
        <w:t>the new taxing right will be imposed on</w:t>
      </w:r>
      <w:r>
        <w:rPr>
          <w:spacing w:val="-12"/>
          <w:sz w:val="20"/>
        </w:rPr>
        <w:t> </w:t>
      </w:r>
      <w:r>
        <w:rPr>
          <w:sz w:val="20"/>
        </w:rPr>
        <w:t>“paying</w:t>
      </w:r>
      <w:r>
        <w:rPr>
          <w:spacing w:val="-10"/>
          <w:sz w:val="20"/>
        </w:rPr>
        <w:t> </w:t>
      </w:r>
      <w:r>
        <w:rPr>
          <w:sz w:val="20"/>
        </w:rPr>
        <w:t>entities”</w:t>
      </w:r>
      <w:r>
        <w:rPr>
          <w:spacing w:val="-9"/>
          <w:sz w:val="20"/>
        </w:rPr>
        <w:t> </w:t>
      </w:r>
      <w:r>
        <w:rPr>
          <w:sz w:val="20"/>
        </w:rPr>
        <w:t>that</w:t>
      </w:r>
      <w:r>
        <w:rPr>
          <w:spacing w:val="-12"/>
          <w:sz w:val="20"/>
        </w:rPr>
        <w:t> </w:t>
      </w:r>
      <w:r>
        <w:rPr>
          <w:sz w:val="20"/>
        </w:rPr>
        <w:t>are</w:t>
      </w:r>
      <w:r>
        <w:rPr>
          <w:spacing w:val="-9"/>
          <w:sz w:val="20"/>
        </w:rPr>
        <w:t> </w:t>
      </w:r>
      <w:r>
        <w:rPr>
          <w:sz w:val="20"/>
        </w:rPr>
        <w:t>a</w:t>
      </w:r>
      <w:r>
        <w:rPr>
          <w:spacing w:val="-11"/>
          <w:sz w:val="20"/>
        </w:rPr>
        <w:t> </w:t>
      </w:r>
      <w:r>
        <w:rPr>
          <w:sz w:val="20"/>
        </w:rPr>
        <w:t>member</w:t>
      </w:r>
      <w:r>
        <w:rPr>
          <w:spacing w:val="-10"/>
          <w:sz w:val="20"/>
        </w:rPr>
        <w:t> </w:t>
      </w:r>
      <w:r>
        <w:rPr>
          <w:sz w:val="20"/>
        </w:rPr>
        <w:t>of</w:t>
      </w:r>
      <w:r>
        <w:rPr>
          <w:spacing w:val="-8"/>
          <w:sz w:val="20"/>
        </w:rPr>
        <w:t> </w:t>
      </w:r>
      <w:r>
        <w:rPr>
          <w:sz w:val="20"/>
        </w:rPr>
        <w:t>an</w:t>
      </w:r>
      <w:r>
        <w:rPr>
          <w:spacing w:val="-12"/>
          <w:sz w:val="20"/>
        </w:rPr>
        <w:t> </w:t>
      </w:r>
      <w:r>
        <w:rPr>
          <w:sz w:val="20"/>
        </w:rPr>
        <w:t>MNE</w:t>
      </w:r>
      <w:r>
        <w:rPr>
          <w:spacing w:val="-11"/>
          <w:sz w:val="20"/>
        </w:rPr>
        <w:t> </w:t>
      </w:r>
      <w:r>
        <w:rPr>
          <w:sz w:val="20"/>
        </w:rPr>
        <w:t>group</w:t>
      </w:r>
      <w:r>
        <w:rPr>
          <w:spacing w:val="-10"/>
          <w:sz w:val="20"/>
        </w:rPr>
        <w:t> </w:t>
      </w:r>
      <w:r>
        <w:rPr>
          <w:sz w:val="20"/>
        </w:rPr>
        <w:t>that</w:t>
      </w:r>
      <w:r>
        <w:rPr>
          <w:spacing w:val="-9"/>
          <w:sz w:val="20"/>
        </w:rPr>
        <w:t> </w:t>
      </w:r>
      <w:r>
        <w:rPr>
          <w:sz w:val="20"/>
        </w:rPr>
        <w:t>exceeds</w:t>
      </w:r>
      <w:r>
        <w:rPr>
          <w:spacing w:val="-8"/>
          <w:sz w:val="20"/>
        </w:rPr>
        <w:t> </w:t>
      </w:r>
      <w:r>
        <w:rPr>
          <w:sz w:val="20"/>
        </w:rPr>
        <w:t>the</w:t>
      </w:r>
      <w:r>
        <w:rPr>
          <w:spacing w:val="-9"/>
          <w:sz w:val="20"/>
        </w:rPr>
        <w:t> </w:t>
      </w:r>
      <w:r>
        <w:rPr>
          <w:sz w:val="20"/>
        </w:rPr>
        <w:t>threshold</w:t>
      </w:r>
      <w:r>
        <w:rPr>
          <w:spacing w:val="-7"/>
          <w:sz w:val="20"/>
        </w:rPr>
        <w:t> </w:t>
      </w:r>
      <w:r>
        <w:rPr>
          <w:sz w:val="20"/>
        </w:rPr>
        <w:t>limitations,</w:t>
      </w:r>
      <w:r>
        <w:rPr>
          <w:spacing w:val="-11"/>
          <w:sz w:val="20"/>
        </w:rPr>
        <w:t> </w:t>
      </w:r>
      <w:r>
        <w:rPr>
          <w:sz w:val="20"/>
        </w:rPr>
        <w:t>has domestic source in-scope revenue and meets the nexus requirements (see Chapter </w:t>
      </w:r>
      <w:hyperlink w:history="true" w:anchor="_bookmark6">
        <w:r>
          <w:rPr>
            <w:sz w:val="20"/>
          </w:rPr>
          <w:t>2. </w:t>
        </w:r>
      </w:hyperlink>
      <w:r>
        <w:rPr>
          <w:sz w:val="20"/>
        </w:rPr>
        <w:t>Chapter </w:t>
      </w:r>
      <w:hyperlink w:history="true" w:anchor="_bookmark12">
        <w:r>
          <w:rPr>
            <w:sz w:val="20"/>
          </w:rPr>
          <w:t>3.</w:t>
        </w:r>
      </w:hyperlink>
      <w:r>
        <w:rPr>
          <w:sz w:val="20"/>
        </w:rPr>
        <w:t> Chapter </w:t>
      </w:r>
      <w:hyperlink w:history="true" w:anchor="_bookmark19">
        <w:r>
          <w:rPr>
            <w:sz w:val="20"/>
          </w:rPr>
          <w:t>4. </w:t>
        </w:r>
      </w:hyperlink>
      <w:r>
        <w:rPr>
          <w:sz w:val="20"/>
        </w:rPr>
        <w:t>For the identification of the paying entity see section</w:t>
      </w:r>
      <w:r>
        <w:rPr>
          <w:spacing w:val="-8"/>
          <w:sz w:val="20"/>
        </w:rPr>
        <w:t> </w:t>
      </w:r>
      <w:hyperlink w:history="true" w:anchor="_bookmark53">
        <w:r>
          <w:rPr>
            <w:sz w:val="20"/>
          </w:rPr>
          <w:t>7.2</w:t>
        </w:r>
      </w:hyperlink>
      <w:r>
        <w:rPr>
          <w:sz w:val="20"/>
        </w:rPr>
        <w:t>).</w:t>
      </w:r>
    </w:p>
    <w:p>
      <w:pPr>
        <w:pStyle w:val="ListParagraph"/>
        <w:numPr>
          <w:ilvl w:val="1"/>
          <w:numId w:val="13"/>
        </w:numPr>
        <w:tabs>
          <w:tab w:pos="1403" w:val="left" w:leader="none"/>
        </w:tabs>
        <w:spacing w:line="271" w:lineRule="auto" w:before="43" w:after="0"/>
        <w:ind w:left="1402" w:right="484" w:hanging="339"/>
        <w:jc w:val="both"/>
        <w:rPr>
          <w:sz w:val="20"/>
        </w:rPr>
      </w:pPr>
      <w:r>
        <w:rPr>
          <w:i/>
          <w:sz w:val="20"/>
        </w:rPr>
        <w:t>The tax base, the tax period, and the tax rates. </w:t>
      </w:r>
      <w:r>
        <w:rPr>
          <w:sz w:val="20"/>
        </w:rPr>
        <w:t>A jurisdiction will also need to incorporate into its domestic law the rules governing the calculation and allocation of Amount A (see Chapter </w:t>
      </w:r>
      <w:hyperlink w:history="true" w:anchor="_bookmark24">
        <w:r>
          <w:rPr>
            <w:sz w:val="20"/>
          </w:rPr>
          <w:t>401</w:t>
        </w:r>
      </w:hyperlink>
      <w:r>
        <w:rPr>
          <w:sz w:val="20"/>
        </w:rPr>
        <w:t>on tax base determination, and Chapter </w:t>
      </w:r>
      <w:hyperlink w:history="true" w:anchor="_bookmark38">
        <w:r>
          <w:rPr>
            <w:sz w:val="20"/>
          </w:rPr>
          <w:t>6. </w:t>
        </w:r>
      </w:hyperlink>
      <w:r>
        <w:rPr>
          <w:sz w:val="20"/>
        </w:rPr>
        <w:t>on profit allocation). Determinations on the tax period and the tax rate would follow applicable domestic</w:t>
      </w:r>
      <w:r>
        <w:rPr>
          <w:spacing w:val="-7"/>
          <w:sz w:val="20"/>
        </w:rPr>
        <w:t> </w:t>
      </w:r>
      <w:r>
        <w:rPr>
          <w:sz w:val="20"/>
        </w:rPr>
        <w:t>rules.</w:t>
      </w:r>
    </w:p>
    <w:p>
      <w:pPr>
        <w:pStyle w:val="BodyText"/>
        <w:spacing w:before="4"/>
      </w:pPr>
    </w:p>
    <w:p>
      <w:pPr>
        <w:pStyle w:val="Heading7"/>
        <w:numPr>
          <w:ilvl w:val="0"/>
          <w:numId w:val="86"/>
        </w:numPr>
        <w:tabs>
          <w:tab w:pos="1710" w:val="left" w:leader="none"/>
        </w:tabs>
        <w:spacing w:line="240" w:lineRule="auto" w:before="1" w:after="0"/>
        <w:ind w:left="1710" w:right="0" w:hanging="308"/>
        <w:jc w:val="left"/>
        <w:rPr>
          <w:i/>
        </w:rPr>
      </w:pPr>
      <w:bookmarkStart w:name="(ii) Elimination of double taxation" w:id="480"/>
      <w:bookmarkEnd w:id="480"/>
      <w:r>
        <w:rPr>
          <w:i w:val="0"/>
        </w:rPr>
      </w:r>
      <w:bookmarkStart w:name="(ii) Elimination of double taxation" w:id="481"/>
      <w:bookmarkEnd w:id="481"/>
      <w:r>
        <w:rPr>
          <w:i/>
          <w:color w:val="616161"/>
        </w:rPr>
        <w:t>E</w:t>
      </w:r>
      <w:r>
        <w:rPr>
          <w:i/>
          <w:color w:val="616161"/>
        </w:rPr>
        <w:t>limination of double</w:t>
      </w:r>
      <w:r>
        <w:rPr>
          <w:i/>
          <w:color w:val="616161"/>
          <w:spacing w:val="-4"/>
        </w:rPr>
        <w:t> </w:t>
      </w:r>
      <w:r>
        <w:rPr>
          <w:i/>
          <w:color w:val="616161"/>
        </w:rPr>
        <w:t>taxation</w:t>
      </w:r>
    </w:p>
    <w:p>
      <w:pPr>
        <w:pStyle w:val="BodyText"/>
        <w:spacing w:before="9"/>
        <w:rPr>
          <w:i/>
          <w:sz w:val="18"/>
        </w:rPr>
      </w:pPr>
    </w:p>
    <w:p>
      <w:pPr>
        <w:pStyle w:val="ListParagraph"/>
        <w:numPr>
          <w:ilvl w:val="0"/>
          <w:numId w:val="13"/>
        </w:numPr>
        <w:tabs>
          <w:tab w:pos="1444" w:val="left" w:leader="none"/>
        </w:tabs>
        <w:spacing w:line="271" w:lineRule="auto" w:before="1" w:after="0"/>
        <w:ind w:left="723" w:right="484" w:firstLine="0"/>
        <w:jc w:val="both"/>
        <w:rPr>
          <w:sz w:val="20"/>
        </w:rPr>
      </w:pPr>
      <w:r>
        <w:rPr>
          <w:sz w:val="20"/>
        </w:rPr>
        <w:t>Jurisdictions will also need to include in their domestic law the agreed rules on the elimination of double taxation. This is to ensure that the entities that are subject to the new taxing right can benefit from the Amount A mechanisms to eliminate double</w:t>
      </w:r>
      <w:r>
        <w:rPr>
          <w:spacing w:val="-5"/>
          <w:sz w:val="20"/>
        </w:rPr>
        <w:t> </w:t>
      </w:r>
      <w:r>
        <w:rPr>
          <w:sz w:val="20"/>
        </w:rPr>
        <w:t>taxation.</w:t>
      </w:r>
    </w:p>
    <w:p>
      <w:pPr>
        <w:pStyle w:val="ListParagraph"/>
        <w:numPr>
          <w:ilvl w:val="0"/>
          <w:numId w:val="13"/>
        </w:numPr>
        <w:tabs>
          <w:tab w:pos="1444" w:val="left" w:leader="none"/>
        </w:tabs>
        <w:spacing w:line="271" w:lineRule="auto" w:before="120" w:after="0"/>
        <w:ind w:left="723" w:right="483" w:firstLine="0"/>
        <w:jc w:val="both"/>
        <w:rPr>
          <w:sz w:val="20"/>
        </w:rPr>
      </w:pPr>
      <w:r>
        <w:rPr>
          <w:sz w:val="20"/>
        </w:rPr>
        <w:t>This</w:t>
      </w:r>
      <w:r>
        <w:rPr>
          <w:spacing w:val="-16"/>
          <w:sz w:val="20"/>
        </w:rPr>
        <w:t> </w:t>
      </w:r>
      <w:r>
        <w:rPr>
          <w:sz w:val="20"/>
        </w:rPr>
        <w:t>will</w:t>
      </w:r>
      <w:r>
        <w:rPr>
          <w:spacing w:val="-18"/>
          <w:sz w:val="20"/>
        </w:rPr>
        <w:t> </w:t>
      </w:r>
      <w:r>
        <w:rPr>
          <w:sz w:val="20"/>
        </w:rPr>
        <w:t>require</w:t>
      </w:r>
      <w:r>
        <w:rPr>
          <w:spacing w:val="-17"/>
          <w:sz w:val="20"/>
        </w:rPr>
        <w:t> </w:t>
      </w:r>
      <w:r>
        <w:rPr>
          <w:sz w:val="20"/>
        </w:rPr>
        <w:t>the</w:t>
      </w:r>
      <w:r>
        <w:rPr>
          <w:spacing w:val="-16"/>
          <w:sz w:val="20"/>
        </w:rPr>
        <w:t> </w:t>
      </w:r>
      <w:r>
        <w:rPr>
          <w:sz w:val="20"/>
        </w:rPr>
        <w:t>implementation</w:t>
      </w:r>
      <w:r>
        <w:rPr>
          <w:spacing w:val="-17"/>
          <w:sz w:val="20"/>
        </w:rPr>
        <w:t> </w:t>
      </w:r>
      <w:r>
        <w:rPr>
          <w:sz w:val="20"/>
        </w:rPr>
        <w:t>of</w:t>
      </w:r>
      <w:r>
        <w:rPr>
          <w:spacing w:val="-15"/>
          <w:sz w:val="20"/>
        </w:rPr>
        <w:t> </w:t>
      </w:r>
      <w:r>
        <w:rPr>
          <w:sz w:val="20"/>
        </w:rPr>
        <w:t>the</w:t>
      </w:r>
      <w:r>
        <w:rPr>
          <w:spacing w:val="-18"/>
          <w:sz w:val="20"/>
        </w:rPr>
        <w:t> </w:t>
      </w:r>
      <w:r>
        <w:rPr>
          <w:sz w:val="20"/>
        </w:rPr>
        <w:t>rules</w:t>
      </w:r>
      <w:r>
        <w:rPr>
          <w:spacing w:val="-15"/>
          <w:sz w:val="20"/>
        </w:rPr>
        <w:t> </w:t>
      </w:r>
      <w:r>
        <w:rPr>
          <w:sz w:val="20"/>
        </w:rPr>
        <w:t>or</w:t>
      </w:r>
      <w:r>
        <w:rPr>
          <w:spacing w:val="-16"/>
          <w:sz w:val="20"/>
        </w:rPr>
        <w:t> </w:t>
      </w:r>
      <w:r>
        <w:rPr>
          <w:sz w:val="20"/>
        </w:rPr>
        <w:t>principles</w:t>
      </w:r>
      <w:r>
        <w:rPr>
          <w:spacing w:val="-16"/>
          <w:sz w:val="20"/>
        </w:rPr>
        <w:t> </w:t>
      </w:r>
      <w:r>
        <w:rPr>
          <w:sz w:val="20"/>
        </w:rPr>
        <w:t>on</w:t>
      </w:r>
      <w:r>
        <w:rPr>
          <w:spacing w:val="-18"/>
          <w:sz w:val="20"/>
        </w:rPr>
        <w:t> </w:t>
      </w:r>
      <w:r>
        <w:rPr>
          <w:sz w:val="20"/>
        </w:rPr>
        <w:t>approaches</w:t>
      </w:r>
      <w:r>
        <w:rPr>
          <w:spacing w:val="-15"/>
          <w:sz w:val="20"/>
        </w:rPr>
        <w:t> </w:t>
      </w:r>
      <w:r>
        <w:rPr>
          <w:sz w:val="20"/>
        </w:rPr>
        <w:t>to</w:t>
      </w:r>
      <w:r>
        <w:rPr>
          <w:spacing w:val="-17"/>
          <w:sz w:val="20"/>
        </w:rPr>
        <w:t> </w:t>
      </w:r>
      <w:r>
        <w:rPr>
          <w:sz w:val="20"/>
        </w:rPr>
        <w:t>identifying</w:t>
      </w:r>
      <w:r>
        <w:rPr>
          <w:spacing w:val="-17"/>
          <w:sz w:val="20"/>
        </w:rPr>
        <w:t> </w:t>
      </w:r>
      <w:r>
        <w:rPr>
          <w:sz w:val="20"/>
        </w:rPr>
        <w:t>the</w:t>
      </w:r>
      <w:r>
        <w:rPr>
          <w:spacing w:val="-17"/>
          <w:sz w:val="20"/>
        </w:rPr>
        <w:t> </w:t>
      </w:r>
      <w:r>
        <w:rPr>
          <w:sz w:val="20"/>
        </w:rPr>
        <w:t>group entities that will pay tax on Amount A (the paying entities), and the method(s) that will be applied to eliminate double taxation arising from the payment of Amount A for those entities (see Chapter </w:t>
      </w:r>
      <w:hyperlink w:history="true" w:anchor="_bookmark51">
        <w:r>
          <w:rPr>
            <w:sz w:val="20"/>
          </w:rPr>
          <w:t>7.</w:t>
        </w:r>
        <w:r>
          <w:rPr>
            <w:spacing w:val="-28"/>
            <w:sz w:val="20"/>
          </w:rPr>
          <w:t> </w:t>
        </w:r>
      </w:hyperlink>
      <w:r>
        <w:rPr>
          <w:sz w:val="20"/>
        </w:rPr>
        <w:t>).</w:t>
      </w:r>
    </w:p>
    <w:p>
      <w:pPr>
        <w:pStyle w:val="BodyText"/>
        <w:spacing w:before="1"/>
      </w:pPr>
    </w:p>
    <w:p>
      <w:pPr>
        <w:pStyle w:val="Heading7"/>
        <w:numPr>
          <w:ilvl w:val="0"/>
          <w:numId w:val="86"/>
        </w:numPr>
        <w:tabs>
          <w:tab w:pos="1758" w:val="left" w:leader="none"/>
        </w:tabs>
        <w:spacing w:line="240" w:lineRule="auto" w:before="1" w:after="0"/>
        <w:ind w:left="1758" w:right="0" w:hanging="356"/>
        <w:jc w:val="left"/>
        <w:rPr>
          <w:i/>
        </w:rPr>
      </w:pPr>
      <w:bookmarkStart w:name="(iii) Procedure, administration and Amou" w:id="482"/>
      <w:bookmarkEnd w:id="482"/>
      <w:r>
        <w:rPr>
          <w:i w:val="0"/>
        </w:rPr>
      </w:r>
      <w:bookmarkStart w:name="(iii) Procedure, administration and Amou" w:id="483"/>
      <w:bookmarkEnd w:id="483"/>
      <w:r>
        <w:rPr>
          <w:i/>
          <w:color w:val="616161"/>
        </w:rPr>
        <w:t>P</w:t>
      </w:r>
      <w:r>
        <w:rPr>
          <w:i/>
          <w:color w:val="616161"/>
        </w:rPr>
        <w:t>rocedure, administration and Amount A related tax-certainty</w:t>
      </w:r>
      <w:r>
        <w:rPr>
          <w:i/>
          <w:color w:val="616161"/>
          <w:spacing w:val="-10"/>
        </w:rPr>
        <w:t> </w:t>
      </w:r>
      <w:r>
        <w:rPr>
          <w:i/>
          <w:color w:val="616161"/>
        </w:rPr>
        <w:t>processes</w:t>
      </w:r>
    </w:p>
    <w:p>
      <w:pPr>
        <w:pStyle w:val="BodyText"/>
        <w:spacing w:before="5"/>
        <w:rPr>
          <w:i/>
          <w:sz w:val="23"/>
        </w:rPr>
      </w:pPr>
    </w:p>
    <w:p>
      <w:pPr>
        <w:pStyle w:val="Heading8"/>
      </w:pPr>
      <w:bookmarkStart w:name="Procedure and administration:" w:id="484"/>
      <w:bookmarkEnd w:id="484"/>
      <w:r>
        <w:rPr>
          <w:b w:val="0"/>
        </w:rPr>
      </w:r>
      <w:r>
        <w:rPr/>
        <w:t>Procedure and administration:</w:t>
      </w:r>
    </w:p>
    <w:p>
      <w:pPr>
        <w:pStyle w:val="BodyText"/>
        <w:spacing w:before="9"/>
        <w:rPr>
          <w:b/>
          <w:sz w:val="18"/>
        </w:rPr>
      </w:pPr>
    </w:p>
    <w:p>
      <w:pPr>
        <w:pStyle w:val="ListParagraph"/>
        <w:numPr>
          <w:ilvl w:val="0"/>
          <w:numId w:val="13"/>
        </w:numPr>
        <w:tabs>
          <w:tab w:pos="1444" w:val="left" w:leader="none"/>
        </w:tabs>
        <w:spacing w:line="271" w:lineRule="auto" w:before="0" w:after="0"/>
        <w:ind w:left="723" w:right="490" w:firstLine="0"/>
        <w:jc w:val="both"/>
        <w:rPr>
          <w:sz w:val="20"/>
        </w:rPr>
      </w:pPr>
      <w:r>
        <w:rPr>
          <w:sz w:val="20"/>
        </w:rPr>
        <w:t>It is also essential to implement procedures to administer, levy and collect the new Amount A tax in domestic law administrative</w:t>
      </w:r>
      <w:r>
        <w:rPr>
          <w:spacing w:val="-6"/>
          <w:sz w:val="20"/>
        </w:rPr>
        <w:t> </w:t>
      </w:r>
      <w:r>
        <w:rPr>
          <w:sz w:val="20"/>
        </w:rPr>
        <w:t>rules.</w:t>
      </w:r>
    </w:p>
    <w:p>
      <w:pPr>
        <w:pStyle w:val="ListParagraph"/>
        <w:numPr>
          <w:ilvl w:val="0"/>
          <w:numId w:val="13"/>
        </w:numPr>
        <w:tabs>
          <w:tab w:pos="1444" w:val="left" w:leader="none"/>
        </w:tabs>
        <w:spacing w:line="271" w:lineRule="auto" w:before="121" w:after="0"/>
        <w:ind w:left="723" w:right="481" w:firstLine="0"/>
        <w:jc w:val="both"/>
        <w:rPr>
          <w:sz w:val="20"/>
        </w:rPr>
      </w:pPr>
      <w:r>
        <w:rPr>
          <w:sz w:val="20"/>
        </w:rPr>
        <w:t>The</w:t>
      </w:r>
      <w:r>
        <w:rPr>
          <w:spacing w:val="-9"/>
          <w:sz w:val="20"/>
        </w:rPr>
        <w:t> </w:t>
      </w:r>
      <w:r>
        <w:rPr>
          <w:sz w:val="20"/>
        </w:rPr>
        <w:t>simplified</w:t>
      </w:r>
      <w:r>
        <w:rPr>
          <w:spacing w:val="-9"/>
          <w:sz w:val="20"/>
        </w:rPr>
        <w:t> </w:t>
      </w:r>
      <w:r>
        <w:rPr>
          <w:sz w:val="20"/>
        </w:rPr>
        <w:t>administration</w:t>
      </w:r>
      <w:r>
        <w:rPr>
          <w:spacing w:val="-9"/>
          <w:sz w:val="20"/>
        </w:rPr>
        <w:t> </w:t>
      </w:r>
      <w:r>
        <w:rPr>
          <w:sz w:val="20"/>
        </w:rPr>
        <w:t>process</w:t>
      </w:r>
      <w:r>
        <w:rPr>
          <w:spacing w:val="-8"/>
          <w:sz w:val="20"/>
        </w:rPr>
        <w:t> </w:t>
      </w:r>
      <w:r>
        <w:rPr>
          <w:sz w:val="20"/>
        </w:rPr>
        <w:t>that</w:t>
      </w:r>
      <w:r>
        <w:rPr>
          <w:spacing w:val="-8"/>
          <w:sz w:val="20"/>
        </w:rPr>
        <w:t> </w:t>
      </w:r>
      <w:r>
        <w:rPr>
          <w:sz w:val="20"/>
        </w:rPr>
        <w:t>is</w:t>
      </w:r>
      <w:r>
        <w:rPr>
          <w:spacing w:val="-8"/>
          <w:sz w:val="20"/>
        </w:rPr>
        <w:t> </w:t>
      </w:r>
      <w:r>
        <w:rPr>
          <w:sz w:val="20"/>
        </w:rPr>
        <w:t>currently</w:t>
      </w:r>
      <w:r>
        <w:rPr>
          <w:spacing w:val="-10"/>
          <w:sz w:val="20"/>
        </w:rPr>
        <w:t> </w:t>
      </w:r>
      <w:r>
        <w:rPr>
          <w:sz w:val="20"/>
        </w:rPr>
        <w:t>being</w:t>
      </w:r>
      <w:r>
        <w:rPr>
          <w:spacing w:val="-9"/>
          <w:sz w:val="20"/>
        </w:rPr>
        <w:t> </w:t>
      </w:r>
      <w:r>
        <w:rPr>
          <w:sz w:val="20"/>
        </w:rPr>
        <w:t>developed</w:t>
      </w:r>
      <w:r>
        <w:rPr>
          <w:spacing w:val="-9"/>
          <w:sz w:val="20"/>
        </w:rPr>
        <w:t> </w:t>
      </w:r>
      <w:r>
        <w:rPr>
          <w:sz w:val="20"/>
        </w:rPr>
        <w:t>could</w:t>
      </w:r>
      <w:r>
        <w:rPr>
          <w:spacing w:val="-7"/>
          <w:sz w:val="20"/>
        </w:rPr>
        <w:t> </w:t>
      </w:r>
      <w:r>
        <w:rPr>
          <w:sz w:val="20"/>
        </w:rPr>
        <w:t>be</w:t>
      </w:r>
      <w:r>
        <w:rPr>
          <w:spacing w:val="-7"/>
          <w:sz w:val="20"/>
        </w:rPr>
        <w:t> </w:t>
      </w:r>
      <w:r>
        <w:rPr>
          <w:sz w:val="20"/>
        </w:rPr>
        <w:t>based</w:t>
      </w:r>
      <w:r>
        <w:rPr>
          <w:spacing w:val="-9"/>
          <w:sz w:val="20"/>
        </w:rPr>
        <w:t> </w:t>
      </w:r>
      <w:r>
        <w:rPr>
          <w:sz w:val="20"/>
        </w:rPr>
        <w:t>on,</w:t>
      </w:r>
      <w:r>
        <w:rPr>
          <w:spacing w:val="-9"/>
          <w:sz w:val="20"/>
        </w:rPr>
        <w:t> </w:t>
      </w:r>
      <w:r>
        <w:rPr>
          <w:sz w:val="20"/>
        </w:rPr>
        <w:t>and</w:t>
      </w:r>
      <w:r>
        <w:rPr>
          <w:spacing w:val="-7"/>
          <w:sz w:val="20"/>
        </w:rPr>
        <w:t> </w:t>
      </w:r>
      <w:r>
        <w:rPr>
          <w:sz w:val="20"/>
        </w:rPr>
        <w:t>be explored in parallel to, the centralised and simplified tax certainty process that is discussed in Chapter </w:t>
      </w:r>
      <w:hyperlink w:history="true" w:anchor="_bookmark66">
        <w:r>
          <w:rPr>
            <w:sz w:val="20"/>
          </w:rPr>
          <w:t>9.</w:t>
        </w:r>
      </w:hyperlink>
      <w:r>
        <w:rPr>
          <w:sz w:val="20"/>
        </w:rPr>
        <w:t> It would be designed to centralise the computation of Amount A and related compliance activities in a single entity, possibly the UPE as required for CbCR under BEPS Action 13. Centralising the process of applying Amount A through a single entity should generate a material reduction in compliance costs. It could also reduce the burden this process would create for tax administrations, which would be provided with a single coherent Amount A tax return, a standardised documentation package and possibly a single Amount A payment from each MNE group. Provisions may be needed within the planned multilateral instrument</w:t>
      </w:r>
      <w:r>
        <w:rPr>
          <w:spacing w:val="-7"/>
          <w:sz w:val="20"/>
        </w:rPr>
        <w:t> </w:t>
      </w:r>
      <w:r>
        <w:rPr>
          <w:sz w:val="20"/>
        </w:rPr>
        <w:t>and/or</w:t>
      </w:r>
      <w:r>
        <w:rPr>
          <w:spacing w:val="-7"/>
          <w:sz w:val="20"/>
        </w:rPr>
        <w:t> </w:t>
      </w:r>
      <w:r>
        <w:rPr>
          <w:sz w:val="20"/>
        </w:rPr>
        <w:t>domestic</w:t>
      </w:r>
      <w:r>
        <w:rPr>
          <w:spacing w:val="-5"/>
          <w:sz w:val="20"/>
        </w:rPr>
        <w:t> </w:t>
      </w:r>
      <w:r>
        <w:rPr>
          <w:sz w:val="20"/>
        </w:rPr>
        <w:t>law</w:t>
      </w:r>
      <w:r>
        <w:rPr>
          <w:spacing w:val="-9"/>
          <w:sz w:val="20"/>
        </w:rPr>
        <w:t> </w:t>
      </w:r>
      <w:r>
        <w:rPr>
          <w:sz w:val="20"/>
        </w:rPr>
        <w:t>to</w:t>
      </w:r>
      <w:r>
        <w:rPr>
          <w:spacing w:val="-7"/>
          <w:sz w:val="20"/>
        </w:rPr>
        <w:t> </w:t>
      </w:r>
      <w:r>
        <w:rPr>
          <w:sz w:val="20"/>
        </w:rPr>
        <w:t>allow</w:t>
      </w:r>
      <w:r>
        <w:rPr>
          <w:spacing w:val="-6"/>
          <w:sz w:val="20"/>
        </w:rPr>
        <w:t> </w:t>
      </w:r>
      <w:r>
        <w:rPr>
          <w:sz w:val="20"/>
        </w:rPr>
        <w:t>this</w:t>
      </w:r>
      <w:r>
        <w:rPr>
          <w:spacing w:val="-5"/>
          <w:sz w:val="20"/>
        </w:rPr>
        <w:t> </w:t>
      </w:r>
      <w:r>
        <w:rPr>
          <w:sz w:val="20"/>
        </w:rPr>
        <w:t>more</w:t>
      </w:r>
      <w:r>
        <w:rPr>
          <w:spacing w:val="-7"/>
          <w:sz w:val="20"/>
        </w:rPr>
        <w:t> </w:t>
      </w:r>
      <w:r>
        <w:rPr>
          <w:sz w:val="20"/>
        </w:rPr>
        <w:t>centralised</w:t>
      </w:r>
      <w:r>
        <w:rPr>
          <w:spacing w:val="-7"/>
          <w:sz w:val="20"/>
        </w:rPr>
        <w:t> </w:t>
      </w:r>
      <w:r>
        <w:rPr>
          <w:sz w:val="20"/>
        </w:rPr>
        <w:t>process</w:t>
      </w:r>
      <w:r>
        <w:rPr>
          <w:spacing w:val="-6"/>
          <w:sz w:val="20"/>
        </w:rPr>
        <w:t> </w:t>
      </w:r>
      <w:r>
        <w:rPr>
          <w:sz w:val="20"/>
        </w:rPr>
        <w:t>(e.g.</w:t>
      </w:r>
      <w:r>
        <w:rPr>
          <w:spacing w:val="-6"/>
          <w:sz w:val="20"/>
        </w:rPr>
        <w:t> </w:t>
      </w:r>
      <w:r>
        <w:rPr>
          <w:sz w:val="20"/>
        </w:rPr>
        <w:t>to</w:t>
      </w:r>
      <w:r>
        <w:rPr>
          <w:spacing w:val="-5"/>
          <w:sz w:val="20"/>
        </w:rPr>
        <w:t> </w:t>
      </w:r>
      <w:r>
        <w:rPr>
          <w:sz w:val="20"/>
        </w:rPr>
        <w:t>allow</w:t>
      </w:r>
      <w:r>
        <w:rPr>
          <w:spacing w:val="-6"/>
          <w:sz w:val="20"/>
        </w:rPr>
        <w:t> </w:t>
      </w:r>
      <w:r>
        <w:rPr>
          <w:sz w:val="20"/>
        </w:rPr>
        <w:t>a</w:t>
      </w:r>
      <w:r>
        <w:rPr>
          <w:spacing w:val="-8"/>
          <w:sz w:val="20"/>
        </w:rPr>
        <w:t> </w:t>
      </w:r>
      <w:r>
        <w:rPr>
          <w:sz w:val="20"/>
        </w:rPr>
        <w:t>domestic</w:t>
      </w:r>
      <w:r>
        <w:rPr>
          <w:spacing w:val="-5"/>
          <w:sz w:val="20"/>
        </w:rPr>
        <w:t> </w:t>
      </w:r>
      <w:r>
        <w:rPr>
          <w:sz w:val="20"/>
        </w:rPr>
        <w:t>tax</w:t>
      </w:r>
      <w:r>
        <w:rPr>
          <w:spacing w:val="-7"/>
          <w:sz w:val="20"/>
        </w:rPr>
        <w:t> </w:t>
      </w:r>
      <w:r>
        <w:rPr>
          <w:sz w:val="20"/>
        </w:rPr>
        <w:t>liability to be satisfied by a single tax payment made by a non-resident entity in another</w:t>
      </w:r>
      <w:r>
        <w:rPr>
          <w:spacing w:val="-30"/>
          <w:sz w:val="20"/>
        </w:rPr>
        <w:t> </w:t>
      </w:r>
      <w:r>
        <w:rPr>
          <w:sz w:val="20"/>
        </w:rPr>
        <w:t>jurisdiction).</w:t>
      </w:r>
    </w:p>
    <w:p>
      <w:pPr>
        <w:pStyle w:val="ListParagraph"/>
        <w:numPr>
          <w:ilvl w:val="0"/>
          <w:numId w:val="13"/>
        </w:numPr>
        <w:tabs>
          <w:tab w:pos="1444" w:val="left" w:leader="none"/>
        </w:tabs>
        <w:spacing w:line="271" w:lineRule="auto" w:before="121" w:after="0"/>
        <w:ind w:left="723" w:right="488" w:firstLine="0"/>
        <w:jc w:val="both"/>
        <w:rPr>
          <w:sz w:val="20"/>
        </w:rPr>
      </w:pPr>
      <w:r>
        <w:rPr>
          <w:sz w:val="20"/>
        </w:rPr>
        <w:t>There are a variety of different elements that could be considered as part of a simplified administration process. These include allowing a single entity</w:t>
      </w:r>
      <w:r>
        <w:rPr>
          <w:spacing w:val="-14"/>
          <w:sz w:val="20"/>
        </w:rPr>
        <w:t> </w:t>
      </w:r>
      <w:r>
        <w:rPr>
          <w:sz w:val="20"/>
        </w:rPr>
        <w:t>to:</w:t>
      </w:r>
    </w:p>
    <w:p>
      <w:pPr>
        <w:pStyle w:val="ListParagraph"/>
        <w:numPr>
          <w:ilvl w:val="1"/>
          <w:numId w:val="13"/>
        </w:numPr>
        <w:tabs>
          <w:tab w:pos="1403" w:val="left" w:leader="none"/>
        </w:tabs>
        <w:spacing w:line="266" w:lineRule="auto" w:before="101" w:after="0"/>
        <w:ind w:left="1402" w:right="492" w:hanging="339"/>
        <w:jc w:val="both"/>
        <w:rPr>
          <w:sz w:val="20"/>
        </w:rPr>
      </w:pPr>
      <w:r>
        <w:rPr>
          <w:sz w:val="20"/>
        </w:rPr>
        <w:t>Compute Amount A on behalf of the group and file tax returns on behalf of the paying entities (including the reporting of</w:t>
      </w:r>
      <w:r>
        <w:rPr>
          <w:spacing w:val="-3"/>
          <w:sz w:val="20"/>
        </w:rPr>
        <w:t> </w:t>
      </w:r>
      <w:r>
        <w:rPr>
          <w:sz w:val="20"/>
        </w:rPr>
        <w:t>losses);</w:t>
      </w:r>
    </w:p>
    <w:p>
      <w:pPr>
        <w:spacing w:after="0" w:line="266" w:lineRule="auto"/>
        <w:jc w:val="both"/>
        <w:rPr>
          <w:sz w:val="20"/>
        </w:rPr>
        <w:sectPr>
          <w:pgSz w:w="11910" w:h="16840"/>
          <w:pgMar w:header="1244" w:footer="1638" w:top="1500" w:bottom="1820" w:left="580" w:right="820"/>
        </w:sectPr>
      </w:pPr>
    </w:p>
    <w:p>
      <w:pPr>
        <w:pStyle w:val="BodyText"/>
        <w:spacing w:before="1"/>
        <w:rPr>
          <w:sz w:val="18"/>
        </w:rPr>
      </w:pPr>
    </w:p>
    <w:p>
      <w:pPr>
        <w:pStyle w:val="ListParagraph"/>
        <w:numPr>
          <w:ilvl w:val="1"/>
          <w:numId w:val="13"/>
        </w:numPr>
        <w:tabs>
          <w:tab w:pos="1402" w:val="left" w:leader="none"/>
          <w:tab w:pos="1403" w:val="left" w:leader="none"/>
        </w:tabs>
        <w:spacing w:line="266" w:lineRule="auto" w:before="99" w:after="0"/>
        <w:ind w:left="1402" w:right="488" w:hanging="339"/>
        <w:jc w:val="left"/>
        <w:rPr>
          <w:sz w:val="20"/>
        </w:rPr>
      </w:pPr>
      <w:r>
        <w:rPr>
          <w:sz w:val="20"/>
        </w:rPr>
        <w:t>Manage the Amount A tax certainty process on behalf of the group, including by accepting any adjustments</w:t>
      </w:r>
      <w:r>
        <w:rPr>
          <w:spacing w:val="-1"/>
          <w:sz w:val="20"/>
        </w:rPr>
        <w:t> </w:t>
      </w:r>
      <w:r>
        <w:rPr>
          <w:sz w:val="20"/>
        </w:rPr>
        <w:t>proposed;</w:t>
      </w:r>
    </w:p>
    <w:p>
      <w:pPr>
        <w:pStyle w:val="ListParagraph"/>
        <w:numPr>
          <w:ilvl w:val="1"/>
          <w:numId w:val="13"/>
        </w:numPr>
        <w:tabs>
          <w:tab w:pos="1402" w:val="left" w:leader="none"/>
          <w:tab w:pos="1403" w:val="left" w:leader="none"/>
        </w:tabs>
        <w:spacing w:line="268" w:lineRule="auto" w:before="51" w:after="0"/>
        <w:ind w:left="1402" w:right="496" w:hanging="339"/>
        <w:jc w:val="left"/>
        <w:rPr>
          <w:sz w:val="20"/>
        </w:rPr>
      </w:pPr>
      <w:r>
        <w:rPr>
          <w:sz w:val="20"/>
        </w:rPr>
        <w:t>Pay the Amount A tax liability in the market jurisdictions on behalf of the paying entities (acting as an agent);</w:t>
      </w:r>
      <w:r>
        <w:rPr>
          <w:spacing w:val="-2"/>
          <w:sz w:val="20"/>
        </w:rPr>
        <w:t> </w:t>
      </w:r>
      <w:r>
        <w:rPr>
          <w:sz w:val="20"/>
        </w:rPr>
        <w:t>and</w:t>
      </w:r>
    </w:p>
    <w:p>
      <w:pPr>
        <w:pStyle w:val="ListParagraph"/>
        <w:numPr>
          <w:ilvl w:val="1"/>
          <w:numId w:val="13"/>
        </w:numPr>
        <w:tabs>
          <w:tab w:pos="1402" w:val="left" w:leader="none"/>
          <w:tab w:pos="1403" w:val="left" w:leader="none"/>
        </w:tabs>
        <w:spacing w:line="266" w:lineRule="auto" w:before="49" w:after="0"/>
        <w:ind w:left="1402" w:right="495" w:hanging="339"/>
        <w:jc w:val="left"/>
        <w:rPr>
          <w:sz w:val="20"/>
        </w:rPr>
      </w:pPr>
      <w:r>
        <w:rPr>
          <w:sz w:val="20"/>
        </w:rPr>
        <w:t>Assume primary liability for compliance with all aspects of Amount A in the market jurisdictions, including being the primary entity against which these jurisdictions could seek legal</w:t>
      </w:r>
      <w:r>
        <w:rPr>
          <w:spacing w:val="-40"/>
          <w:sz w:val="20"/>
        </w:rPr>
        <w:t> </w:t>
      </w:r>
      <w:r>
        <w:rPr>
          <w:sz w:val="20"/>
        </w:rPr>
        <w:t>redress.</w:t>
      </w:r>
    </w:p>
    <w:p>
      <w:pPr>
        <w:pStyle w:val="BodyText"/>
        <w:spacing w:before="6"/>
        <w:rPr>
          <w:sz w:val="21"/>
        </w:rPr>
      </w:pPr>
    </w:p>
    <w:p>
      <w:pPr>
        <w:pStyle w:val="Heading8"/>
      </w:pPr>
      <w:bookmarkStart w:name="Amount A tax certainty process:" w:id="485"/>
      <w:bookmarkEnd w:id="485"/>
      <w:r>
        <w:rPr>
          <w:b w:val="0"/>
        </w:rPr>
      </w:r>
      <w:r>
        <w:rPr/>
        <w:t>Amount A tax certainty process:</w:t>
      </w:r>
    </w:p>
    <w:p>
      <w:pPr>
        <w:pStyle w:val="BodyText"/>
        <w:spacing w:before="9"/>
        <w:rPr>
          <w:b/>
          <w:sz w:val="18"/>
        </w:rPr>
      </w:pPr>
    </w:p>
    <w:p>
      <w:pPr>
        <w:pStyle w:val="ListParagraph"/>
        <w:numPr>
          <w:ilvl w:val="0"/>
          <w:numId w:val="13"/>
        </w:numPr>
        <w:tabs>
          <w:tab w:pos="1444" w:val="left" w:leader="none"/>
        </w:tabs>
        <w:spacing w:line="271" w:lineRule="auto" w:before="0" w:after="0"/>
        <w:ind w:left="723" w:right="486" w:firstLine="0"/>
        <w:jc w:val="both"/>
        <w:rPr>
          <w:sz w:val="20"/>
        </w:rPr>
      </w:pPr>
      <w:r>
        <w:rPr>
          <w:sz w:val="20"/>
        </w:rPr>
        <w:t>On dispute prevention and resolution for Amount A, the administrable and binding dispute prevention process will provide early certainty, before tax adjustments are made, to prevent disputes related</w:t>
      </w:r>
      <w:r>
        <w:rPr>
          <w:spacing w:val="-13"/>
          <w:sz w:val="20"/>
        </w:rPr>
        <w:t> </w:t>
      </w:r>
      <w:r>
        <w:rPr>
          <w:sz w:val="20"/>
        </w:rPr>
        <w:t>to</w:t>
      </w:r>
      <w:r>
        <w:rPr>
          <w:spacing w:val="-13"/>
          <w:sz w:val="20"/>
        </w:rPr>
        <w:t> </w:t>
      </w:r>
      <w:r>
        <w:rPr>
          <w:sz w:val="20"/>
        </w:rPr>
        <w:t>all</w:t>
      </w:r>
      <w:r>
        <w:rPr>
          <w:spacing w:val="-10"/>
          <w:sz w:val="20"/>
        </w:rPr>
        <w:t> </w:t>
      </w:r>
      <w:r>
        <w:rPr>
          <w:sz w:val="20"/>
        </w:rPr>
        <w:t>aspects</w:t>
      </w:r>
      <w:r>
        <w:rPr>
          <w:spacing w:val="-11"/>
          <w:sz w:val="20"/>
        </w:rPr>
        <w:t> </w:t>
      </w:r>
      <w:r>
        <w:rPr>
          <w:sz w:val="20"/>
        </w:rPr>
        <w:t>of</w:t>
      </w:r>
      <w:r>
        <w:rPr>
          <w:spacing w:val="-10"/>
          <w:sz w:val="20"/>
        </w:rPr>
        <w:t> </w:t>
      </w:r>
      <w:r>
        <w:rPr>
          <w:sz w:val="20"/>
        </w:rPr>
        <w:t>Amount</w:t>
      </w:r>
      <w:r>
        <w:rPr>
          <w:spacing w:val="-1"/>
          <w:sz w:val="20"/>
        </w:rPr>
        <w:t> </w:t>
      </w:r>
      <w:r>
        <w:rPr>
          <w:sz w:val="20"/>
        </w:rPr>
        <w:t>A.</w:t>
      </w:r>
      <w:r>
        <w:rPr>
          <w:spacing w:val="-11"/>
          <w:sz w:val="20"/>
        </w:rPr>
        <w:t> </w:t>
      </w:r>
      <w:r>
        <w:rPr>
          <w:sz w:val="20"/>
        </w:rPr>
        <w:t>Chapter</w:t>
      </w:r>
      <w:r>
        <w:rPr>
          <w:spacing w:val="-11"/>
          <w:sz w:val="20"/>
        </w:rPr>
        <w:t> </w:t>
      </w:r>
      <w:hyperlink w:history="true" w:anchor="_bookmark66">
        <w:r>
          <w:rPr>
            <w:sz w:val="20"/>
          </w:rPr>
          <w:t>9.</w:t>
        </w:r>
        <w:r>
          <w:rPr>
            <w:spacing w:val="-12"/>
            <w:sz w:val="20"/>
          </w:rPr>
          <w:t> </w:t>
        </w:r>
      </w:hyperlink>
      <w:r>
        <w:rPr>
          <w:sz w:val="20"/>
        </w:rPr>
        <w:t>provides</w:t>
      </w:r>
      <w:r>
        <w:rPr>
          <w:spacing w:val="-8"/>
          <w:sz w:val="20"/>
        </w:rPr>
        <w:t> </w:t>
      </w:r>
      <w:r>
        <w:rPr>
          <w:sz w:val="20"/>
        </w:rPr>
        <w:t>further</w:t>
      </w:r>
      <w:r>
        <w:rPr>
          <w:spacing w:val="-12"/>
          <w:sz w:val="20"/>
        </w:rPr>
        <w:t> </w:t>
      </w:r>
      <w:r>
        <w:rPr>
          <w:sz w:val="20"/>
        </w:rPr>
        <w:t>information</w:t>
      </w:r>
      <w:r>
        <w:rPr>
          <w:spacing w:val="-12"/>
          <w:sz w:val="20"/>
        </w:rPr>
        <w:t> </w:t>
      </w:r>
      <w:r>
        <w:rPr>
          <w:sz w:val="20"/>
        </w:rPr>
        <w:t>on</w:t>
      </w:r>
      <w:r>
        <w:rPr>
          <w:spacing w:val="-13"/>
          <w:sz w:val="20"/>
        </w:rPr>
        <w:t> </w:t>
      </w:r>
      <w:r>
        <w:rPr>
          <w:sz w:val="20"/>
        </w:rPr>
        <w:t>related</w:t>
      </w:r>
      <w:r>
        <w:rPr>
          <w:spacing w:val="-12"/>
          <w:sz w:val="20"/>
        </w:rPr>
        <w:t> </w:t>
      </w:r>
      <w:r>
        <w:rPr>
          <w:sz w:val="20"/>
        </w:rPr>
        <w:t>tax</w:t>
      </w:r>
      <w:r>
        <w:rPr>
          <w:spacing w:val="-12"/>
          <w:sz w:val="20"/>
        </w:rPr>
        <w:t> </w:t>
      </w:r>
      <w:r>
        <w:rPr>
          <w:sz w:val="20"/>
        </w:rPr>
        <w:t>certainty</w:t>
      </w:r>
      <w:r>
        <w:rPr>
          <w:spacing w:val="-15"/>
          <w:sz w:val="20"/>
        </w:rPr>
        <w:t> </w:t>
      </w:r>
      <w:r>
        <w:rPr>
          <w:sz w:val="20"/>
        </w:rPr>
        <w:t>process.</w:t>
      </w:r>
    </w:p>
    <w:p>
      <w:pPr>
        <w:pStyle w:val="ListParagraph"/>
        <w:numPr>
          <w:ilvl w:val="0"/>
          <w:numId w:val="13"/>
        </w:numPr>
        <w:tabs>
          <w:tab w:pos="1444" w:val="left" w:leader="none"/>
        </w:tabs>
        <w:spacing w:line="271" w:lineRule="auto" w:before="121" w:after="0"/>
        <w:ind w:left="723" w:right="488" w:firstLine="0"/>
        <w:jc w:val="both"/>
        <w:rPr>
          <w:sz w:val="20"/>
        </w:rPr>
      </w:pPr>
      <w:r>
        <w:rPr>
          <w:sz w:val="20"/>
        </w:rPr>
        <w:t>Although the innovative approach is developed within a multilateral framework, jurisdictions will need to incorporate into their domestic law all necessary references to the new tax certainty process for Amount A, including the implementation of the panel decision and other procedural</w:t>
      </w:r>
      <w:r>
        <w:rPr>
          <w:spacing w:val="-23"/>
          <w:sz w:val="20"/>
        </w:rPr>
        <w:t> </w:t>
      </w:r>
      <w:r>
        <w:rPr>
          <w:sz w:val="20"/>
        </w:rPr>
        <w:t>aspects.</w:t>
      </w:r>
    </w:p>
    <w:p>
      <w:pPr>
        <w:pStyle w:val="BodyText"/>
        <w:spacing w:before="1"/>
      </w:pPr>
    </w:p>
    <w:p>
      <w:pPr>
        <w:pStyle w:val="Heading7"/>
        <w:numPr>
          <w:ilvl w:val="0"/>
          <w:numId w:val="86"/>
        </w:numPr>
        <w:tabs>
          <w:tab w:pos="1770" w:val="left" w:leader="none"/>
        </w:tabs>
        <w:spacing w:line="240" w:lineRule="auto" w:before="0" w:after="0"/>
        <w:ind w:left="1770" w:right="0" w:hanging="368"/>
        <w:jc w:val="left"/>
        <w:rPr>
          <w:i/>
        </w:rPr>
      </w:pPr>
      <w:bookmarkStart w:name="(iv) Other tax-certainty processes beyon" w:id="486"/>
      <w:bookmarkEnd w:id="486"/>
      <w:r>
        <w:rPr>
          <w:i w:val="0"/>
        </w:rPr>
      </w:r>
      <w:bookmarkStart w:name="(iv) Other tax-certainty processes beyon" w:id="487"/>
      <w:bookmarkEnd w:id="487"/>
      <w:r>
        <w:rPr>
          <w:i/>
          <w:color w:val="616161"/>
        </w:rPr>
        <w:t>O</w:t>
      </w:r>
      <w:r>
        <w:rPr>
          <w:i/>
          <w:color w:val="616161"/>
        </w:rPr>
        <w:t>ther tax-certainty processes beyond Amount</w:t>
      </w:r>
      <w:r>
        <w:rPr>
          <w:i/>
          <w:color w:val="616161"/>
          <w:spacing w:val="-7"/>
        </w:rPr>
        <w:t> </w:t>
      </w:r>
      <w:r>
        <w:rPr>
          <w:i/>
          <w:color w:val="616161"/>
        </w:rPr>
        <w:t>A</w:t>
      </w:r>
    </w:p>
    <w:p>
      <w:pPr>
        <w:pStyle w:val="BodyText"/>
        <w:spacing w:before="10"/>
        <w:rPr>
          <w:i/>
          <w:sz w:val="18"/>
        </w:rPr>
      </w:pPr>
    </w:p>
    <w:p>
      <w:pPr>
        <w:pStyle w:val="ListParagraph"/>
        <w:numPr>
          <w:ilvl w:val="0"/>
          <w:numId w:val="13"/>
        </w:numPr>
        <w:tabs>
          <w:tab w:pos="1444" w:val="left" w:leader="none"/>
        </w:tabs>
        <w:spacing w:line="271" w:lineRule="auto" w:before="0" w:after="0"/>
        <w:ind w:left="723" w:right="484" w:firstLine="0"/>
        <w:jc w:val="both"/>
        <w:rPr>
          <w:sz w:val="20"/>
        </w:rPr>
      </w:pPr>
      <w:r>
        <w:rPr>
          <w:sz w:val="20"/>
        </w:rPr>
        <w:t>The approach to tax certainty beyond Amount A spans a range of steps from dispute prevention and the existing MAP to a mandatory binding dispute resolution</w:t>
      </w:r>
      <w:r>
        <w:rPr>
          <w:spacing w:val="-9"/>
          <w:sz w:val="20"/>
        </w:rPr>
        <w:t> </w:t>
      </w:r>
      <w:r>
        <w:rPr>
          <w:sz w:val="20"/>
        </w:rPr>
        <w:t>mechanism.</w:t>
      </w:r>
    </w:p>
    <w:p>
      <w:pPr>
        <w:pStyle w:val="ListParagraph"/>
        <w:numPr>
          <w:ilvl w:val="0"/>
          <w:numId w:val="13"/>
        </w:numPr>
        <w:tabs>
          <w:tab w:pos="1444" w:val="left" w:leader="none"/>
        </w:tabs>
        <w:spacing w:line="271" w:lineRule="auto" w:before="119" w:after="0"/>
        <w:ind w:left="723" w:right="488" w:firstLine="0"/>
        <w:jc w:val="both"/>
        <w:rPr>
          <w:sz w:val="20"/>
        </w:rPr>
      </w:pPr>
      <w:r>
        <w:rPr>
          <w:sz w:val="20"/>
        </w:rPr>
        <w:t>To benefit from the enhancements and improvements to existing dispute prevention tools, which include</w:t>
      </w:r>
      <w:r>
        <w:rPr>
          <w:spacing w:val="-7"/>
          <w:sz w:val="20"/>
        </w:rPr>
        <w:t> </w:t>
      </w:r>
      <w:r>
        <w:rPr>
          <w:sz w:val="20"/>
        </w:rPr>
        <w:t>projects</w:t>
      </w:r>
      <w:r>
        <w:rPr>
          <w:spacing w:val="-4"/>
          <w:sz w:val="20"/>
        </w:rPr>
        <w:t> </w:t>
      </w:r>
      <w:r>
        <w:rPr>
          <w:sz w:val="20"/>
        </w:rPr>
        <w:t>undertaken</w:t>
      </w:r>
      <w:r>
        <w:rPr>
          <w:spacing w:val="-4"/>
          <w:sz w:val="20"/>
        </w:rPr>
        <w:t> </w:t>
      </w:r>
      <w:r>
        <w:rPr>
          <w:sz w:val="20"/>
        </w:rPr>
        <w:t>as</w:t>
      </w:r>
      <w:r>
        <w:rPr>
          <w:spacing w:val="-4"/>
          <w:sz w:val="20"/>
        </w:rPr>
        <w:t> </w:t>
      </w:r>
      <w:r>
        <w:rPr>
          <w:sz w:val="20"/>
        </w:rPr>
        <w:t>part</w:t>
      </w:r>
      <w:r>
        <w:rPr>
          <w:spacing w:val="-6"/>
          <w:sz w:val="20"/>
        </w:rPr>
        <w:t> </w:t>
      </w:r>
      <w:r>
        <w:rPr>
          <w:sz w:val="20"/>
        </w:rPr>
        <w:t>of the</w:t>
      </w:r>
      <w:r>
        <w:rPr>
          <w:spacing w:val="-5"/>
          <w:sz w:val="20"/>
        </w:rPr>
        <w:t> </w:t>
      </w:r>
      <w:r>
        <w:rPr>
          <w:sz w:val="20"/>
        </w:rPr>
        <w:t>Forum</w:t>
      </w:r>
      <w:r>
        <w:rPr>
          <w:spacing w:val="-2"/>
          <w:sz w:val="20"/>
        </w:rPr>
        <w:t> </w:t>
      </w:r>
      <w:r>
        <w:rPr>
          <w:sz w:val="20"/>
        </w:rPr>
        <w:t>on</w:t>
      </w:r>
      <w:r>
        <w:rPr>
          <w:spacing w:val="-6"/>
          <w:sz w:val="20"/>
        </w:rPr>
        <w:t> </w:t>
      </w:r>
      <w:r>
        <w:rPr>
          <w:sz w:val="20"/>
        </w:rPr>
        <w:t>Tax</w:t>
      </w:r>
      <w:r>
        <w:rPr>
          <w:spacing w:val="-5"/>
          <w:sz w:val="20"/>
        </w:rPr>
        <w:t> </w:t>
      </w:r>
      <w:r>
        <w:rPr>
          <w:sz w:val="20"/>
        </w:rPr>
        <w:t>Administration</w:t>
      </w:r>
      <w:r>
        <w:rPr>
          <w:spacing w:val="-5"/>
          <w:sz w:val="20"/>
        </w:rPr>
        <w:t> </w:t>
      </w:r>
      <w:r>
        <w:rPr>
          <w:sz w:val="20"/>
        </w:rPr>
        <w:t>tax</w:t>
      </w:r>
      <w:r>
        <w:rPr>
          <w:spacing w:val="-5"/>
          <w:sz w:val="20"/>
        </w:rPr>
        <w:t> </w:t>
      </w:r>
      <w:r>
        <w:rPr>
          <w:sz w:val="20"/>
        </w:rPr>
        <w:t>certainty</w:t>
      </w:r>
      <w:r>
        <w:rPr>
          <w:spacing w:val="-6"/>
          <w:sz w:val="20"/>
        </w:rPr>
        <w:t> </w:t>
      </w:r>
      <w:r>
        <w:rPr>
          <w:sz w:val="20"/>
        </w:rPr>
        <w:t>agenda,</w:t>
      </w:r>
      <w:r>
        <w:rPr>
          <w:spacing w:val="-6"/>
          <w:sz w:val="20"/>
        </w:rPr>
        <w:t> </w:t>
      </w:r>
      <w:r>
        <w:rPr>
          <w:sz w:val="20"/>
        </w:rPr>
        <w:t>jurisdictions will need to ensure that their domestic law allows for their</w:t>
      </w:r>
      <w:r>
        <w:rPr>
          <w:spacing w:val="-13"/>
          <w:sz w:val="20"/>
        </w:rPr>
        <w:t> </w:t>
      </w:r>
      <w:r>
        <w:rPr>
          <w:sz w:val="20"/>
        </w:rPr>
        <w:t>use.</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Similarly,</w:t>
      </w:r>
      <w:r>
        <w:rPr>
          <w:spacing w:val="-14"/>
          <w:sz w:val="20"/>
        </w:rPr>
        <w:t> </w:t>
      </w:r>
      <w:r>
        <w:rPr>
          <w:sz w:val="20"/>
        </w:rPr>
        <w:t>features</w:t>
      </w:r>
      <w:r>
        <w:rPr>
          <w:spacing w:val="-12"/>
          <w:sz w:val="20"/>
        </w:rPr>
        <w:t> </w:t>
      </w:r>
      <w:r>
        <w:rPr>
          <w:sz w:val="20"/>
        </w:rPr>
        <w:t>of</w:t>
      </w:r>
      <w:r>
        <w:rPr>
          <w:spacing w:val="-12"/>
          <w:sz w:val="20"/>
        </w:rPr>
        <w:t> </w:t>
      </w:r>
      <w:r>
        <w:rPr>
          <w:sz w:val="20"/>
        </w:rPr>
        <w:t>the</w:t>
      </w:r>
      <w:r>
        <w:rPr>
          <w:spacing w:val="-13"/>
          <w:sz w:val="20"/>
        </w:rPr>
        <w:t> </w:t>
      </w:r>
      <w:r>
        <w:rPr>
          <w:sz w:val="20"/>
        </w:rPr>
        <w:t>MAP</w:t>
      </w:r>
      <w:r>
        <w:rPr>
          <w:spacing w:val="-14"/>
          <w:sz w:val="20"/>
        </w:rPr>
        <w:t> </w:t>
      </w:r>
      <w:r>
        <w:rPr>
          <w:sz w:val="20"/>
        </w:rPr>
        <w:t>and</w:t>
      </w:r>
      <w:r>
        <w:rPr>
          <w:spacing w:val="-13"/>
          <w:sz w:val="20"/>
        </w:rPr>
        <w:t> </w:t>
      </w:r>
      <w:r>
        <w:rPr>
          <w:sz w:val="20"/>
        </w:rPr>
        <w:t>the</w:t>
      </w:r>
      <w:r>
        <w:rPr>
          <w:spacing w:val="-14"/>
          <w:sz w:val="20"/>
        </w:rPr>
        <w:t> </w:t>
      </w:r>
      <w:r>
        <w:rPr>
          <w:sz w:val="20"/>
        </w:rPr>
        <w:t>new</w:t>
      </w:r>
      <w:r>
        <w:rPr>
          <w:spacing w:val="-16"/>
          <w:sz w:val="20"/>
        </w:rPr>
        <w:t> </w:t>
      </w:r>
      <w:r>
        <w:rPr>
          <w:sz w:val="20"/>
        </w:rPr>
        <w:t>dispute</w:t>
      </w:r>
      <w:r>
        <w:rPr>
          <w:spacing w:val="-13"/>
          <w:sz w:val="20"/>
        </w:rPr>
        <w:t> </w:t>
      </w:r>
      <w:r>
        <w:rPr>
          <w:sz w:val="20"/>
        </w:rPr>
        <w:t>resolution</w:t>
      </w:r>
      <w:r>
        <w:rPr>
          <w:spacing w:val="-14"/>
          <w:sz w:val="20"/>
        </w:rPr>
        <w:t> </w:t>
      </w:r>
      <w:r>
        <w:rPr>
          <w:sz w:val="20"/>
        </w:rPr>
        <w:t>mechanism</w:t>
      </w:r>
      <w:r>
        <w:rPr>
          <w:spacing w:val="-12"/>
          <w:sz w:val="20"/>
        </w:rPr>
        <w:t> </w:t>
      </w:r>
      <w:r>
        <w:rPr>
          <w:sz w:val="20"/>
        </w:rPr>
        <w:t>may</w:t>
      </w:r>
      <w:r>
        <w:rPr>
          <w:spacing w:val="-18"/>
          <w:sz w:val="20"/>
        </w:rPr>
        <w:t> </w:t>
      </w:r>
      <w:r>
        <w:rPr>
          <w:sz w:val="20"/>
        </w:rPr>
        <w:t>need</w:t>
      </w:r>
      <w:r>
        <w:rPr>
          <w:spacing w:val="-14"/>
          <w:sz w:val="20"/>
        </w:rPr>
        <w:t> </w:t>
      </w:r>
      <w:r>
        <w:rPr>
          <w:sz w:val="20"/>
        </w:rPr>
        <w:t>to</w:t>
      </w:r>
      <w:r>
        <w:rPr>
          <w:spacing w:val="-14"/>
          <w:sz w:val="20"/>
        </w:rPr>
        <w:t> </w:t>
      </w:r>
      <w:r>
        <w:rPr>
          <w:sz w:val="20"/>
        </w:rPr>
        <w:t>be</w:t>
      </w:r>
      <w:r>
        <w:rPr>
          <w:spacing w:val="-14"/>
          <w:sz w:val="20"/>
        </w:rPr>
        <w:t> </w:t>
      </w:r>
      <w:r>
        <w:rPr>
          <w:sz w:val="20"/>
        </w:rPr>
        <w:t>reflected in</w:t>
      </w:r>
      <w:r>
        <w:rPr>
          <w:spacing w:val="-7"/>
          <w:sz w:val="20"/>
        </w:rPr>
        <w:t> </w:t>
      </w:r>
      <w:r>
        <w:rPr>
          <w:sz w:val="20"/>
        </w:rPr>
        <w:t>domestic</w:t>
      </w:r>
      <w:r>
        <w:rPr>
          <w:spacing w:val="-8"/>
          <w:sz w:val="20"/>
        </w:rPr>
        <w:t> </w:t>
      </w:r>
      <w:r>
        <w:rPr>
          <w:sz w:val="20"/>
        </w:rPr>
        <w:t>law.</w:t>
      </w:r>
      <w:r>
        <w:rPr>
          <w:spacing w:val="-6"/>
          <w:sz w:val="20"/>
        </w:rPr>
        <w:t> </w:t>
      </w:r>
      <w:r>
        <w:rPr>
          <w:sz w:val="20"/>
        </w:rPr>
        <w:t>As</w:t>
      </w:r>
      <w:r>
        <w:rPr>
          <w:spacing w:val="-7"/>
          <w:sz w:val="20"/>
        </w:rPr>
        <w:t> </w:t>
      </w:r>
      <w:r>
        <w:rPr>
          <w:sz w:val="20"/>
        </w:rPr>
        <w:t>for</w:t>
      </w:r>
      <w:r>
        <w:rPr>
          <w:spacing w:val="-7"/>
          <w:sz w:val="20"/>
        </w:rPr>
        <w:t> </w:t>
      </w:r>
      <w:r>
        <w:rPr>
          <w:sz w:val="20"/>
        </w:rPr>
        <w:t>the</w:t>
      </w:r>
      <w:r>
        <w:rPr>
          <w:spacing w:val="-5"/>
          <w:sz w:val="20"/>
        </w:rPr>
        <w:t> </w:t>
      </w:r>
      <w:r>
        <w:rPr>
          <w:sz w:val="20"/>
        </w:rPr>
        <w:t>new</w:t>
      </w:r>
      <w:r>
        <w:rPr>
          <w:spacing w:val="-8"/>
          <w:sz w:val="20"/>
        </w:rPr>
        <w:t> </w:t>
      </w:r>
      <w:r>
        <w:rPr>
          <w:sz w:val="20"/>
        </w:rPr>
        <w:t>dispute</w:t>
      </w:r>
      <w:r>
        <w:rPr>
          <w:spacing w:val="-7"/>
          <w:sz w:val="20"/>
        </w:rPr>
        <w:t> </w:t>
      </w:r>
      <w:r>
        <w:rPr>
          <w:sz w:val="20"/>
        </w:rPr>
        <w:t>resolution</w:t>
      </w:r>
      <w:r>
        <w:rPr>
          <w:spacing w:val="-7"/>
          <w:sz w:val="20"/>
        </w:rPr>
        <w:t> </w:t>
      </w:r>
      <w:r>
        <w:rPr>
          <w:sz w:val="20"/>
        </w:rPr>
        <w:t>mechanism,</w:t>
      </w:r>
      <w:r>
        <w:rPr>
          <w:spacing w:val="-8"/>
          <w:sz w:val="20"/>
        </w:rPr>
        <w:t> </w:t>
      </w:r>
      <w:r>
        <w:rPr>
          <w:sz w:val="20"/>
        </w:rPr>
        <w:t>the</w:t>
      </w:r>
      <w:r>
        <w:rPr>
          <w:spacing w:val="-9"/>
          <w:sz w:val="20"/>
        </w:rPr>
        <w:t> </w:t>
      </w:r>
      <w:r>
        <w:rPr>
          <w:sz w:val="20"/>
        </w:rPr>
        <w:t>domestic</w:t>
      </w:r>
      <w:r>
        <w:rPr>
          <w:spacing w:val="-2"/>
          <w:sz w:val="20"/>
        </w:rPr>
        <w:t> </w:t>
      </w:r>
      <w:r>
        <w:rPr>
          <w:sz w:val="20"/>
        </w:rPr>
        <w:t>law</w:t>
      </w:r>
      <w:r>
        <w:rPr>
          <w:spacing w:val="-5"/>
          <w:sz w:val="20"/>
        </w:rPr>
        <w:t> </w:t>
      </w:r>
      <w:r>
        <w:rPr>
          <w:sz w:val="20"/>
        </w:rPr>
        <w:t>would</w:t>
      </w:r>
      <w:r>
        <w:rPr>
          <w:spacing w:val="-7"/>
          <w:sz w:val="20"/>
        </w:rPr>
        <w:t> </w:t>
      </w:r>
      <w:r>
        <w:rPr>
          <w:sz w:val="20"/>
        </w:rPr>
        <w:t>need</w:t>
      </w:r>
      <w:r>
        <w:rPr>
          <w:spacing w:val="-9"/>
          <w:sz w:val="20"/>
        </w:rPr>
        <w:t> </w:t>
      </w:r>
      <w:r>
        <w:rPr>
          <w:sz w:val="20"/>
        </w:rPr>
        <w:t>to</w:t>
      </w:r>
      <w:r>
        <w:rPr>
          <w:spacing w:val="-6"/>
          <w:sz w:val="20"/>
        </w:rPr>
        <w:t> </w:t>
      </w:r>
      <w:r>
        <w:rPr>
          <w:sz w:val="20"/>
        </w:rPr>
        <w:t>provide</w:t>
      </w:r>
      <w:r>
        <w:rPr>
          <w:spacing w:val="-9"/>
          <w:sz w:val="20"/>
        </w:rPr>
        <w:t> </w:t>
      </w:r>
      <w:r>
        <w:rPr>
          <w:sz w:val="20"/>
        </w:rPr>
        <w:t>for the</w:t>
      </w:r>
      <w:r>
        <w:rPr>
          <w:spacing w:val="-4"/>
          <w:sz w:val="20"/>
        </w:rPr>
        <w:t> </w:t>
      </w:r>
      <w:r>
        <w:rPr>
          <w:sz w:val="20"/>
        </w:rPr>
        <w:t>possibility</w:t>
      </w:r>
      <w:r>
        <w:rPr>
          <w:spacing w:val="-5"/>
          <w:sz w:val="20"/>
        </w:rPr>
        <w:t> </w:t>
      </w:r>
      <w:r>
        <w:rPr>
          <w:sz w:val="20"/>
        </w:rPr>
        <w:t>of</w:t>
      </w:r>
      <w:r>
        <w:rPr>
          <w:spacing w:val="-2"/>
          <w:sz w:val="20"/>
        </w:rPr>
        <w:t> </w:t>
      </w:r>
      <w:r>
        <w:rPr>
          <w:sz w:val="20"/>
        </w:rPr>
        <w:t>submitting</w:t>
      </w:r>
      <w:r>
        <w:rPr>
          <w:spacing w:val="-3"/>
          <w:sz w:val="20"/>
        </w:rPr>
        <w:t> </w:t>
      </w:r>
      <w:r>
        <w:rPr>
          <w:sz w:val="20"/>
        </w:rPr>
        <w:t>cases</w:t>
      </w:r>
      <w:r>
        <w:rPr>
          <w:spacing w:val="-3"/>
          <w:sz w:val="20"/>
        </w:rPr>
        <w:t> </w:t>
      </w:r>
      <w:r>
        <w:rPr>
          <w:sz w:val="20"/>
        </w:rPr>
        <w:t>to</w:t>
      </w:r>
      <w:r>
        <w:rPr>
          <w:spacing w:val="-4"/>
          <w:sz w:val="20"/>
        </w:rPr>
        <w:t> </w:t>
      </w:r>
      <w:r>
        <w:rPr>
          <w:sz w:val="20"/>
        </w:rPr>
        <w:t>a</w:t>
      </w:r>
      <w:r>
        <w:rPr>
          <w:spacing w:val="-5"/>
          <w:sz w:val="20"/>
        </w:rPr>
        <w:t> </w:t>
      </w:r>
      <w:r>
        <w:rPr>
          <w:sz w:val="20"/>
        </w:rPr>
        <w:t>panel</w:t>
      </w:r>
      <w:r>
        <w:rPr>
          <w:spacing w:val="-5"/>
          <w:sz w:val="20"/>
        </w:rPr>
        <w:t> </w:t>
      </w:r>
      <w:r>
        <w:rPr>
          <w:sz w:val="20"/>
        </w:rPr>
        <w:t>of</w:t>
      </w:r>
      <w:r>
        <w:rPr>
          <w:spacing w:val="-2"/>
          <w:sz w:val="20"/>
        </w:rPr>
        <w:t> </w:t>
      </w:r>
      <w:r>
        <w:rPr>
          <w:sz w:val="20"/>
        </w:rPr>
        <w:t>experts</w:t>
      </w:r>
      <w:r>
        <w:rPr>
          <w:spacing w:val="-1"/>
          <w:sz w:val="20"/>
        </w:rPr>
        <w:t> </w:t>
      </w:r>
      <w:r>
        <w:rPr>
          <w:sz w:val="20"/>
        </w:rPr>
        <w:t>that</w:t>
      </w:r>
      <w:r>
        <w:rPr>
          <w:spacing w:val="-2"/>
          <w:sz w:val="20"/>
        </w:rPr>
        <w:t> </w:t>
      </w:r>
      <w:r>
        <w:rPr>
          <w:sz w:val="20"/>
        </w:rPr>
        <w:t>would</w:t>
      </w:r>
      <w:r>
        <w:rPr>
          <w:spacing w:val="-4"/>
          <w:sz w:val="20"/>
        </w:rPr>
        <w:t> </w:t>
      </w:r>
      <w:r>
        <w:rPr>
          <w:sz w:val="20"/>
        </w:rPr>
        <w:t>reach</w:t>
      </w:r>
      <w:r>
        <w:rPr>
          <w:spacing w:val="-4"/>
          <w:sz w:val="20"/>
        </w:rPr>
        <w:t> </w:t>
      </w:r>
      <w:r>
        <w:rPr>
          <w:sz w:val="20"/>
        </w:rPr>
        <w:t>decisions</w:t>
      </w:r>
      <w:r>
        <w:rPr>
          <w:spacing w:val="-1"/>
          <w:sz w:val="20"/>
        </w:rPr>
        <w:t> </w:t>
      </w:r>
      <w:r>
        <w:rPr>
          <w:sz w:val="20"/>
        </w:rPr>
        <w:t>that</w:t>
      </w:r>
      <w:r>
        <w:rPr>
          <w:spacing w:val="-4"/>
          <w:sz w:val="20"/>
        </w:rPr>
        <w:t> </w:t>
      </w:r>
      <w:r>
        <w:rPr>
          <w:sz w:val="20"/>
        </w:rPr>
        <w:t>could</w:t>
      </w:r>
      <w:r>
        <w:rPr>
          <w:spacing w:val="-2"/>
          <w:sz w:val="20"/>
        </w:rPr>
        <w:t> </w:t>
      </w:r>
      <w:r>
        <w:rPr>
          <w:sz w:val="20"/>
        </w:rPr>
        <w:t>be</w:t>
      </w:r>
      <w:r>
        <w:rPr>
          <w:spacing w:val="-3"/>
          <w:sz w:val="20"/>
        </w:rPr>
        <w:t> </w:t>
      </w:r>
      <w:r>
        <w:rPr>
          <w:sz w:val="20"/>
        </w:rPr>
        <w:t>binding.</w:t>
      </w:r>
    </w:p>
    <w:p>
      <w:pPr>
        <w:pStyle w:val="BodyText"/>
        <w:spacing w:before="6"/>
        <w:rPr>
          <w:sz w:val="23"/>
        </w:rPr>
      </w:pPr>
    </w:p>
    <w:p>
      <w:pPr>
        <w:pStyle w:val="Heading6"/>
        <w:numPr>
          <w:ilvl w:val="2"/>
          <w:numId w:val="85"/>
        </w:numPr>
        <w:tabs>
          <w:tab w:pos="2138" w:val="left" w:leader="none"/>
        </w:tabs>
        <w:spacing w:line="240" w:lineRule="auto" w:before="0" w:after="0"/>
        <w:ind w:left="2137" w:right="0" w:hanging="736"/>
        <w:jc w:val="left"/>
        <w:rPr>
          <w:i/>
        </w:rPr>
      </w:pPr>
      <w:bookmarkStart w:name="10.2.2. Public international law impleme" w:id="488"/>
      <w:bookmarkEnd w:id="488"/>
      <w:r>
        <w:rPr>
          <w:b w:val="0"/>
          <w:i w:val="0"/>
        </w:rPr>
      </w:r>
      <w:bookmarkStart w:name="10.2.2. Public international law impleme" w:id="489"/>
      <w:bookmarkEnd w:id="489"/>
      <w:r>
        <w:rPr>
          <w:i/>
        </w:rPr>
        <w:t>P</w:t>
      </w:r>
      <w:r>
        <w:rPr>
          <w:i/>
        </w:rPr>
        <w:t>ublic international law</w:t>
      </w:r>
      <w:r>
        <w:rPr>
          <w:i/>
          <w:spacing w:val="-5"/>
        </w:rPr>
        <w:t> </w:t>
      </w:r>
      <w:r>
        <w:rPr>
          <w:i/>
        </w:rPr>
        <w:t>implementation</w:t>
      </w:r>
    </w:p>
    <w:p>
      <w:pPr>
        <w:pStyle w:val="BodyText"/>
        <w:spacing w:before="1"/>
        <w:rPr>
          <w:b/>
          <w:i/>
          <w:sz w:val="19"/>
        </w:rPr>
      </w:pPr>
    </w:p>
    <w:p>
      <w:pPr>
        <w:pStyle w:val="ListParagraph"/>
        <w:numPr>
          <w:ilvl w:val="0"/>
          <w:numId w:val="13"/>
        </w:numPr>
        <w:tabs>
          <w:tab w:pos="1444" w:val="left" w:leader="none"/>
        </w:tabs>
        <w:spacing w:line="271" w:lineRule="auto" w:before="0" w:after="0"/>
        <w:ind w:left="723" w:right="483" w:firstLine="0"/>
        <w:jc w:val="both"/>
        <w:rPr>
          <w:sz w:val="20"/>
        </w:rPr>
      </w:pPr>
      <w:r>
        <w:rPr>
          <w:sz w:val="20"/>
        </w:rPr>
        <w:t>Existing tax treaties contain provisions that would generally prevent the application of Amount A, even after it has been implemented in domestic legislation. Furthermore they are unlikely to contain rules on relief of double taxation that would work for Amount A. Nor do they include rules governing the administration of Amount A, including the new rules on dispute prevention and</w:t>
      </w:r>
      <w:r>
        <w:rPr>
          <w:spacing w:val="-17"/>
          <w:sz w:val="20"/>
        </w:rPr>
        <w:t> </w:t>
      </w:r>
      <w:r>
        <w:rPr>
          <w:sz w:val="20"/>
        </w:rPr>
        <w:t>resolution.</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The</w:t>
      </w:r>
      <w:r>
        <w:rPr>
          <w:spacing w:val="-8"/>
          <w:sz w:val="20"/>
        </w:rPr>
        <w:t> </w:t>
      </w:r>
      <w:r>
        <w:rPr>
          <w:sz w:val="20"/>
        </w:rPr>
        <w:t>best</w:t>
      </w:r>
      <w:r>
        <w:rPr>
          <w:spacing w:val="-5"/>
          <w:sz w:val="20"/>
        </w:rPr>
        <w:t> </w:t>
      </w:r>
      <w:r>
        <w:rPr>
          <w:sz w:val="20"/>
        </w:rPr>
        <w:t>way</w:t>
      </w:r>
      <w:r>
        <w:rPr>
          <w:spacing w:val="-9"/>
          <w:sz w:val="20"/>
        </w:rPr>
        <w:t> </w:t>
      </w:r>
      <w:r>
        <w:rPr>
          <w:sz w:val="20"/>
        </w:rPr>
        <w:t>to</w:t>
      </w:r>
      <w:r>
        <w:rPr>
          <w:spacing w:val="-8"/>
          <w:sz w:val="20"/>
        </w:rPr>
        <w:t> </w:t>
      </w:r>
      <w:r>
        <w:rPr>
          <w:sz w:val="20"/>
        </w:rPr>
        <w:t>remove</w:t>
      </w:r>
      <w:r>
        <w:rPr>
          <w:spacing w:val="-6"/>
          <w:sz w:val="20"/>
        </w:rPr>
        <w:t> </w:t>
      </w:r>
      <w:r>
        <w:rPr>
          <w:sz w:val="20"/>
        </w:rPr>
        <w:t>treaty</w:t>
      </w:r>
      <w:r>
        <w:rPr>
          <w:spacing w:val="-8"/>
          <w:sz w:val="20"/>
        </w:rPr>
        <w:t> </w:t>
      </w:r>
      <w:r>
        <w:rPr>
          <w:sz w:val="20"/>
        </w:rPr>
        <w:t>obstacles</w:t>
      </w:r>
      <w:r>
        <w:rPr>
          <w:spacing w:val="-7"/>
          <w:sz w:val="20"/>
        </w:rPr>
        <w:t> </w:t>
      </w:r>
      <w:r>
        <w:rPr>
          <w:sz w:val="20"/>
        </w:rPr>
        <w:t>to</w:t>
      </w:r>
      <w:r>
        <w:rPr>
          <w:spacing w:val="-6"/>
          <w:sz w:val="20"/>
        </w:rPr>
        <w:t> </w:t>
      </w:r>
      <w:r>
        <w:rPr>
          <w:sz w:val="20"/>
        </w:rPr>
        <w:t>the</w:t>
      </w:r>
      <w:r>
        <w:rPr>
          <w:spacing w:val="-6"/>
          <w:sz w:val="20"/>
        </w:rPr>
        <w:t> </w:t>
      </w:r>
      <w:r>
        <w:rPr>
          <w:sz w:val="20"/>
        </w:rPr>
        <w:t>implementation</w:t>
      </w:r>
      <w:r>
        <w:rPr>
          <w:spacing w:val="-8"/>
          <w:sz w:val="20"/>
        </w:rPr>
        <w:t> </w:t>
      </w:r>
      <w:r>
        <w:rPr>
          <w:sz w:val="20"/>
        </w:rPr>
        <w:t>of</w:t>
      </w:r>
      <w:r>
        <w:rPr>
          <w:spacing w:val="-5"/>
          <w:sz w:val="20"/>
        </w:rPr>
        <w:t> </w:t>
      </w:r>
      <w:r>
        <w:rPr>
          <w:sz w:val="20"/>
        </w:rPr>
        <w:t>Pillar</w:t>
      </w:r>
      <w:r>
        <w:rPr>
          <w:spacing w:val="-7"/>
          <w:sz w:val="20"/>
        </w:rPr>
        <w:t> </w:t>
      </w:r>
      <w:r>
        <w:rPr>
          <w:sz w:val="20"/>
        </w:rPr>
        <w:t>One</w:t>
      </w:r>
      <w:r>
        <w:rPr>
          <w:spacing w:val="-6"/>
          <w:sz w:val="20"/>
        </w:rPr>
        <w:t> </w:t>
      </w:r>
      <w:r>
        <w:rPr>
          <w:sz w:val="20"/>
        </w:rPr>
        <w:t>and</w:t>
      </w:r>
      <w:r>
        <w:rPr>
          <w:spacing w:val="-6"/>
          <w:sz w:val="20"/>
        </w:rPr>
        <w:t> </w:t>
      </w:r>
      <w:r>
        <w:rPr>
          <w:sz w:val="20"/>
        </w:rPr>
        <w:t>to</w:t>
      </w:r>
      <w:r>
        <w:rPr>
          <w:spacing w:val="-8"/>
          <w:sz w:val="20"/>
        </w:rPr>
        <w:t> </w:t>
      </w:r>
      <w:r>
        <w:rPr>
          <w:sz w:val="20"/>
        </w:rPr>
        <w:t>do</w:t>
      </w:r>
      <w:r>
        <w:rPr>
          <w:spacing w:val="-6"/>
          <w:sz w:val="20"/>
        </w:rPr>
        <w:t> </w:t>
      </w:r>
      <w:r>
        <w:rPr>
          <w:sz w:val="20"/>
        </w:rPr>
        <w:t>so</w:t>
      </w:r>
      <w:r>
        <w:rPr>
          <w:spacing w:val="-5"/>
          <w:sz w:val="20"/>
        </w:rPr>
        <w:t> </w:t>
      </w:r>
      <w:r>
        <w:rPr>
          <w:sz w:val="20"/>
        </w:rPr>
        <w:t>in</w:t>
      </w:r>
      <w:r>
        <w:rPr>
          <w:spacing w:val="-6"/>
          <w:sz w:val="20"/>
        </w:rPr>
        <w:t> </w:t>
      </w:r>
      <w:r>
        <w:rPr>
          <w:sz w:val="20"/>
        </w:rPr>
        <w:t>a</w:t>
      </w:r>
      <w:r>
        <w:rPr>
          <w:spacing w:val="-6"/>
          <w:sz w:val="20"/>
        </w:rPr>
        <w:t> </w:t>
      </w:r>
      <w:r>
        <w:rPr>
          <w:sz w:val="20"/>
        </w:rPr>
        <w:t>way that ensures consistency and certainty in the application and operation of Amount A is to develop a new multilateral convention. The multilateral convention would remove existing barriers in tax treaties to the application of Amount A and would also contain the four elements discussed in the previous</w:t>
      </w:r>
      <w:r>
        <w:rPr>
          <w:spacing w:val="-38"/>
          <w:sz w:val="20"/>
        </w:rPr>
        <w:t> </w:t>
      </w:r>
      <w:r>
        <w:rPr>
          <w:sz w:val="20"/>
        </w:rPr>
        <w:t>section.</w:t>
      </w:r>
    </w:p>
    <w:p>
      <w:pPr>
        <w:pStyle w:val="BodyText"/>
        <w:spacing w:before="1"/>
        <w:rPr>
          <w:sz w:val="18"/>
        </w:rPr>
      </w:pPr>
    </w:p>
    <w:p>
      <w:pPr>
        <w:pStyle w:val="Heading7"/>
        <w:numPr>
          <w:ilvl w:val="0"/>
          <w:numId w:val="87"/>
        </w:numPr>
        <w:tabs>
          <w:tab w:pos="1674" w:val="left" w:leader="none"/>
        </w:tabs>
        <w:spacing w:line="240" w:lineRule="auto" w:before="1" w:after="0"/>
        <w:ind w:left="1674" w:right="0" w:hanging="272"/>
        <w:jc w:val="left"/>
        <w:rPr>
          <w:i/>
        </w:rPr>
      </w:pPr>
      <w:bookmarkStart w:name="A. The removal of treaty barriers for th" w:id="490"/>
      <w:bookmarkEnd w:id="490"/>
      <w:r>
        <w:rPr>
          <w:i w:val="0"/>
        </w:rPr>
      </w:r>
      <w:bookmarkStart w:name="A. The removal of treaty barriers for th" w:id="491"/>
      <w:bookmarkEnd w:id="491"/>
      <w:r>
        <w:rPr>
          <w:i/>
          <w:color w:val="616161"/>
        </w:rPr>
        <w:t>T</w:t>
      </w:r>
      <w:r>
        <w:rPr>
          <w:i/>
          <w:color w:val="616161"/>
        </w:rPr>
        <w:t>he removal of treaty barriers for the determination of a new Amount A</w:t>
      </w:r>
      <w:r>
        <w:rPr>
          <w:i/>
          <w:color w:val="616161"/>
          <w:spacing w:val="-17"/>
        </w:rPr>
        <w:t> </w:t>
      </w:r>
      <w:r>
        <w:rPr>
          <w:i/>
          <w:color w:val="616161"/>
        </w:rPr>
        <w:t>tax</w:t>
      </w:r>
    </w:p>
    <w:p>
      <w:pPr>
        <w:pStyle w:val="ListParagraph"/>
        <w:numPr>
          <w:ilvl w:val="0"/>
          <w:numId w:val="13"/>
        </w:numPr>
        <w:tabs>
          <w:tab w:pos="1444" w:val="left" w:leader="none"/>
        </w:tabs>
        <w:spacing w:line="271" w:lineRule="auto" w:before="152" w:after="0"/>
        <w:ind w:left="723" w:right="483" w:firstLine="0"/>
        <w:jc w:val="both"/>
        <w:rPr>
          <w:sz w:val="20"/>
        </w:rPr>
      </w:pPr>
      <w:r>
        <w:rPr>
          <w:sz w:val="20"/>
        </w:rPr>
        <w:t>Even</w:t>
      </w:r>
      <w:r>
        <w:rPr>
          <w:spacing w:val="-9"/>
          <w:sz w:val="20"/>
        </w:rPr>
        <w:t> </w:t>
      </w:r>
      <w:r>
        <w:rPr>
          <w:sz w:val="20"/>
        </w:rPr>
        <w:t>if</w:t>
      </w:r>
      <w:r>
        <w:rPr>
          <w:spacing w:val="-9"/>
          <w:sz w:val="20"/>
        </w:rPr>
        <w:t> </w:t>
      </w:r>
      <w:r>
        <w:rPr>
          <w:sz w:val="20"/>
        </w:rPr>
        <w:t>a</w:t>
      </w:r>
      <w:r>
        <w:rPr>
          <w:spacing w:val="-11"/>
          <w:sz w:val="20"/>
        </w:rPr>
        <w:t> </w:t>
      </w:r>
      <w:r>
        <w:rPr>
          <w:sz w:val="20"/>
        </w:rPr>
        <w:t>jurisdiction</w:t>
      </w:r>
      <w:r>
        <w:rPr>
          <w:spacing w:val="-10"/>
          <w:sz w:val="20"/>
        </w:rPr>
        <w:t> </w:t>
      </w:r>
      <w:r>
        <w:rPr>
          <w:sz w:val="20"/>
        </w:rPr>
        <w:t>transposes</w:t>
      </w:r>
      <w:r>
        <w:rPr>
          <w:spacing w:val="-9"/>
          <w:sz w:val="20"/>
        </w:rPr>
        <w:t> </w:t>
      </w:r>
      <w:r>
        <w:rPr>
          <w:sz w:val="20"/>
        </w:rPr>
        <w:t>into</w:t>
      </w:r>
      <w:r>
        <w:rPr>
          <w:spacing w:val="-9"/>
          <w:sz w:val="20"/>
        </w:rPr>
        <w:t> </w:t>
      </w:r>
      <w:r>
        <w:rPr>
          <w:sz w:val="20"/>
        </w:rPr>
        <w:t>its</w:t>
      </w:r>
      <w:r>
        <w:rPr>
          <w:spacing w:val="-8"/>
          <w:sz w:val="20"/>
        </w:rPr>
        <w:t> </w:t>
      </w:r>
      <w:r>
        <w:rPr>
          <w:sz w:val="20"/>
        </w:rPr>
        <w:t>domestic</w:t>
      </w:r>
      <w:r>
        <w:rPr>
          <w:spacing w:val="-9"/>
          <w:sz w:val="20"/>
        </w:rPr>
        <w:t> </w:t>
      </w:r>
      <w:r>
        <w:rPr>
          <w:sz w:val="20"/>
        </w:rPr>
        <w:t>law</w:t>
      </w:r>
      <w:r>
        <w:rPr>
          <w:spacing w:val="-11"/>
          <w:sz w:val="20"/>
        </w:rPr>
        <w:t> </w:t>
      </w:r>
      <w:r>
        <w:rPr>
          <w:sz w:val="20"/>
        </w:rPr>
        <w:t>the</w:t>
      </w:r>
      <w:r>
        <w:rPr>
          <w:spacing w:val="-11"/>
          <w:sz w:val="20"/>
        </w:rPr>
        <w:t> </w:t>
      </w:r>
      <w:r>
        <w:rPr>
          <w:sz w:val="20"/>
        </w:rPr>
        <w:t>rules</w:t>
      </w:r>
      <w:r>
        <w:rPr>
          <w:spacing w:val="-10"/>
          <w:sz w:val="20"/>
        </w:rPr>
        <w:t> </w:t>
      </w:r>
      <w:r>
        <w:rPr>
          <w:sz w:val="20"/>
        </w:rPr>
        <w:t>that</w:t>
      </w:r>
      <w:r>
        <w:rPr>
          <w:spacing w:val="-6"/>
          <w:sz w:val="20"/>
        </w:rPr>
        <w:t> </w:t>
      </w:r>
      <w:r>
        <w:rPr>
          <w:sz w:val="20"/>
        </w:rPr>
        <w:t>will</w:t>
      </w:r>
      <w:r>
        <w:rPr>
          <w:spacing w:val="-12"/>
          <w:sz w:val="20"/>
        </w:rPr>
        <w:t> </w:t>
      </w:r>
      <w:r>
        <w:rPr>
          <w:sz w:val="20"/>
        </w:rPr>
        <w:t>govern</w:t>
      </w:r>
      <w:r>
        <w:rPr>
          <w:spacing w:val="-9"/>
          <w:sz w:val="20"/>
        </w:rPr>
        <w:t> </w:t>
      </w:r>
      <w:r>
        <w:rPr>
          <w:sz w:val="20"/>
        </w:rPr>
        <w:t>Amount</w:t>
      </w:r>
      <w:r>
        <w:rPr>
          <w:spacing w:val="-8"/>
          <w:sz w:val="20"/>
        </w:rPr>
        <w:t> </w:t>
      </w:r>
      <w:r>
        <w:rPr>
          <w:sz w:val="20"/>
        </w:rPr>
        <w:t>A</w:t>
      </w:r>
      <w:r>
        <w:rPr>
          <w:spacing w:val="-1"/>
          <w:sz w:val="20"/>
        </w:rPr>
        <w:t> </w:t>
      </w:r>
      <w:r>
        <w:rPr>
          <w:sz w:val="20"/>
        </w:rPr>
        <w:t>–</w:t>
      </w:r>
      <w:r>
        <w:rPr>
          <w:spacing w:val="-9"/>
          <w:sz w:val="20"/>
        </w:rPr>
        <w:t> </w:t>
      </w:r>
      <w:r>
        <w:rPr>
          <w:sz w:val="20"/>
        </w:rPr>
        <w:t>e.g.</w:t>
      </w:r>
      <w:r>
        <w:rPr>
          <w:spacing w:val="-10"/>
          <w:sz w:val="20"/>
        </w:rPr>
        <w:t> </w:t>
      </w:r>
      <w:r>
        <w:rPr>
          <w:sz w:val="20"/>
        </w:rPr>
        <w:t>the rule</w:t>
      </w:r>
      <w:r>
        <w:rPr>
          <w:spacing w:val="-14"/>
          <w:sz w:val="20"/>
        </w:rPr>
        <w:t> </w:t>
      </w:r>
      <w:r>
        <w:rPr>
          <w:sz w:val="20"/>
        </w:rPr>
        <w:t>that</w:t>
      </w:r>
      <w:r>
        <w:rPr>
          <w:spacing w:val="-11"/>
          <w:sz w:val="20"/>
        </w:rPr>
        <w:t> </w:t>
      </w:r>
      <w:r>
        <w:rPr>
          <w:sz w:val="20"/>
        </w:rPr>
        <w:t>gives</w:t>
      </w:r>
      <w:r>
        <w:rPr>
          <w:spacing w:val="-10"/>
          <w:sz w:val="20"/>
        </w:rPr>
        <w:t> </w:t>
      </w:r>
      <w:r>
        <w:rPr>
          <w:sz w:val="20"/>
        </w:rPr>
        <w:t>a</w:t>
      </w:r>
      <w:r>
        <w:rPr>
          <w:spacing w:val="-12"/>
          <w:sz w:val="20"/>
        </w:rPr>
        <w:t> </w:t>
      </w:r>
      <w:r>
        <w:rPr>
          <w:sz w:val="20"/>
        </w:rPr>
        <w:t>market</w:t>
      </w:r>
      <w:r>
        <w:rPr>
          <w:spacing w:val="-14"/>
          <w:sz w:val="20"/>
        </w:rPr>
        <w:t> </w:t>
      </w:r>
      <w:r>
        <w:rPr>
          <w:sz w:val="20"/>
        </w:rPr>
        <w:t>jurisdiction</w:t>
      </w:r>
      <w:r>
        <w:rPr>
          <w:spacing w:val="-14"/>
          <w:sz w:val="20"/>
        </w:rPr>
        <w:t> </w:t>
      </w:r>
      <w:r>
        <w:rPr>
          <w:sz w:val="20"/>
        </w:rPr>
        <w:t>the</w:t>
      </w:r>
      <w:r>
        <w:rPr>
          <w:spacing w:val="-13"/>
          <w:sz w:val="20"/>
        </w:rPr>
        <w:t> </w:t>
      </w:r>
      <w:r>
        <w:rPr>
          <w:sz w:val="20"/>
        </w:rPr>
        <w:t>right</w:t>
      </w:r>
      <w:r>
        <w:rPr>
          <w:spacing w:val="-11"/>
          <w:sz w:val="20"/>
        </w:rPr>
        <w:t> </w:t>
      </w:r>
      <w:r>
        <w:rPr>
          <w:sz w:val="20"/>
        </w:rPr>
        <w:t>to</w:t>
      </w:r>
      <w:r>
        <w:rPr>
          <w:spacing w:val="-12"/>
          <w:sz w:val="20"/>
        </w:rPr>
        <w:t> </w:t>
      </w:r>
      <w:r>
        <w:rPr>
          <w:sz w:val="20"/>
        </w:rPr>
        <w:t>tax</w:t>
      </w:r>
      <w:r>
        <w:rPr>
          <w:spacing w:val="-13"/>
          <w:sz w:val="20"/>
        </w:rPr>
        <w:t> </w:t>
      </w:r>
      <w:r>
        <w:rPr>
          <w:sz w:val="20"/>
        </w:rPr>
        <w:t>a</w:t>
      </w:r>
      <w:r>
        <w:rPr>
          <w:spacing w:val="-11"/>
          <w:sz w:val="20"/>
        </w:rPr>
        <w:t> </w:t>
      </w:r>
      <w:r>
        <w:rPr>
          <w:sz w:val="20"/>
        </w:rPr>
        <w:t>portion</w:t>
      </w:r>
      <w:r>
        <w:rPr>
          <w:spacing w:val="-12"/>
          <w:sz w:val="20"/>
        </w:rPr>
        <w:t> </w:t>
      </w:r>
      <w:r>
        <w:rPr>
          <w:sz w:val="20"/>
        </w:rPr>
        <w:t>of</w:t>
      </w:r>
      <w:r>
        <w:rPr>
          <w:spacing w:val="-12"/>
          <w:sz w:val="20"/>
        </w:rPr>
        <w:t> </w:t>
      </w:r>
      <w:r>
        <w:rPr>
          <w:sz w:val="20"/>
        </w:rPr>
        <w:t>an</w:t>
      </w:r>
      <w:r>
        <w:rPr>
          <w:spacing w:val="-12"/>
          <w:sz w:val="20"/>
        </w:rPr>
        <w:t> </w:t>
      </w:r>
      <w:r>
        <w:rPr>
          <w:sz w:val="20"/>
        </w:rPr>
        <w:t>MNE’s</w:t>
      </w:r>
      <w:r>
        <w:rPr>
          <w:spacing w:val="-11"/>
          <w:sz w:val="20"/>
        </w:rPr>
        <w:t> </w:t>
      </w:r>
      <w:r>
        <w:rPr>
          <w:sz w:val="20"/>
        </w:rPr>
        <w:t>profits</w:t>
      </w:r>
      <w:r>
        <w:rPr>
          <w:spacing w:val="-10"/>
          <w:sz w:val="20"/>
        </w:rPr>
        <w:t> </w:t>
      </w:r>
      <w:r>
        <w:rPr>
          <w:sz w:val="20"/>
        </w:rPr>
        <w:t>in</w:t>
      </w:r>
      <w:r>
        <w:rPr>
          <w:spacing w:val="-12"/>
          <w:sz w:val="20"/>
        </w:rPr>
        <w:t> </w:t>
      </w:r>
      <w:r>
        <w:rPr>
          <w:sz w:val="20"/>
        </w:rPr>
        <w:t>the</w:t>
      </w:r>
      <w:r>
        <w:rPr>
          <w:spacing w:val="-14"/>
          <w:sz w:val="20"/>
        </w:rPr>
        <w:t> </w:t>
      </w:r>
      <w:r>
        <w:rPr>
          <w:sz w:val="20"/>
        </w:rPr>
        <w:t>absence</w:t>
      </w:r>
      <w:r>
        <w:rPr>
          <w:spacing w:val="-13"/>
          <w:sz w:val="20"/>
        </w:rPr>
        <w:t> </w:t>
      </w:r>
      <w:r>
        <w:rPr>
          <w:sz w:val="20"/>
        </w:rPr>
        <w:t>of</w:t>
      </w:r>
      <w:r>
        <w:rPr>
          <w:spacing w:val="-12"/>
          <w:sz w:val="20"/>
        </w:rPr>
        <w:t> </w:t>
      </w:r>
      <w:r>
        <w:rPr>
          <w:sz w:val="20"/>
        </w:rPr>
        <w:t>traditional physical presence – existing bilateral treaties are likely to prevent the application of those rules. That is because,</w:t>
      </w:r>
      <w:r>
        <w:rPr>
          <w:spacing w:val="-9"/>
          <w:sz w:val="20"/>
        </w:rPr>
        <w:t> </w:t>
      </w:r>
      <w:r>
        <w:rPr>
          <w:sz w:val="20"/>
        </w:rPr>
        <w:t>for</w:t>
      </w:r>
      <w:r>
        <w:rPr>
          <w:spacing w:val="-8"/>
          <w:sz w:val="20"/>
        </w:rPr>
        <w:t> </w:t>
      </w:r>
      <w:r>
        <w:rPr>
          <w:sz w:val="20"/>
        </w:rPr>
        <w:t>example,</w:t>
      </w:r>
      <w:r>
        <w:rPr>
          <w:spacing w:val="-9"/>
          <w:sz w:val="20"/>
        </w:rPr>
        <w:t> </w:t>
      </w:r>
      <w:r>
        <w:rPr>
          <w:sz w:val="20"/>
        </w:rPr>
        <w:t>most</w:t>
      </w:r>
      <w:r>
        <w:rPr>
          <w:spacing w:val="-11"/>
          <w:sz w:val="20"/>
        </w:rPr>
        <w:t> </w:t>
      </w:r>
      <w:r>
        <w:rPr>
          <w:sz w:val="20"/>
        </w:rPr>
        <w:t>existing</w:t>
      </w:r>
      <w:r>
        <w:rPr>
          <w:spacing w:val="-9"/>
          <w:sz w:val="20"/>
        </w:rPr>
        <w:t> </w:t>
      </w:r>
      <w:r>
        <w:rPr>
          <w:sz w:val="20"/>
        </w:rPr>
        <w:t>treaties</w:t>
      </w:r>
      <w:r>
        <w:rPr>
          <w:spacing w:val="-8"/>
          <w:sz w:val="20"/>
        </w:rPr>
        <w:t> </w:t>
      </w:r>
      <w:r>
        <w:rPr>
          <w:sz w:val="20"/>
        </w:rPr>
        <w:t>permit</w:t>
      </w:r>
      <w:r>
        <w:rPr>
          <w:spacing w:val="-9"/>
          <w:sz w:val="20"/>
        </w:rPr>
        <w:t> </w:t>
      </w:r>
      <w:r>
        <w:rPr>
          <w:sz w:val="20"/>
        </w:rPr>
        <w:t>a</w:t>
      </w:r>
      <w:r>
        <w:rPr>
          <w:spacing w:val="-9"/>
          <w:sz w:val="20"/>
        </w:rPr>
        <w:t> </w:t>
      </w:r>
      <w:r>
        <w:rPr>
          <w:sz w:val="20"/>
        </w:rPr>
        <w:t>market</w:t>
      </w:r>
      <w:r>
        <w:rPr>
          <w:spacing w:val="-9"/>
          <w:sz w:val="20"/>
        </w:rPr>
        <w:t> </w:t>
      </w:r>
      <w:r>
        <w:rPr>
          <w:sz w:val="20"/>
        </w:rPr>
        <w:t>jurisdiction</w:t>
      </w:r>
      <w:r>
        <w:rPr>
          <w:spacing w:val="-9"/>
          <w:sz w:val="20"/>
        </w:rPr>
        <w:t> </w:t>
      </w:r>
      <w:r>
        <w:rPr>
          <w:sz w:val="20"/>
        </w:rPr>
        <w:t>to</w:t>
      </w:r>
      <w:r>
        <w:rPr>
          <w:spacing w:val="-7"/>
          <w:sz w:val="20"/>
        </w:rPr>
        <w:t> </w:t>
      </w:r>
      <w:r>
        <w:rPr>
          <w:sz w:val="20"/>
        </w:rPr>
        <w:t>tax</w:t>
      </w:r>
      <w:r>
        <w:rPr>
          <w:spacing w:val="-8"/>
          <w:sz w:val="20"/>
        </w:rPr>
        <w:t> </w:t>
      </w:r>
      <w:r>
        <w:rPr>
          <w:sz w:val="20"/>
        </w:rPr>
        <w:t>the</w:t>
      </w:r>
      <w:r>
        <w:rPr>
          <w:spacing w:val="-7"/>
          <w:sz w:val="20"/>
        </w:rPr>
        <w:t> </w:t>
      </w:r>
      <w:r>
        <w:rPr>
          <w:sz w:val="20"/>
        </w:rPr>
        <w:t>profits</w:t>
      </w:r>
      <w:r>
        <w:rPr>
          <w:spacing w:val="-8"/>
          <w:sz w:val="20"/>
        </w:rPr>
        <w:t> </w:t>
      </w:r>
      <w:r>
        <w:rPr>
          <w:sz w:val="20"/>
        </w:rPr>
        <w:t>of</w:t>
      </w:r>
      <w:r>
        <w:rPr>
          <w:spacing w:val="-7"/>
          <w:sz w:val="20"/>
        </w:rPr>
        <w:t> </w:t>
      </w:r>
      <w:r>
        <w:rPr>
          <w:sz w:val="20"/>
        </w:rPr>
        <w:t>a</w:t>
      </w:r>
      <w:r>
        <w:rPr>
          <w:spacing w:val="-9"/>
          <w:sz w:val="20"/>
        </w:rPr>
        <w:t> </w:t>
      </w:r>
      <w:r>
        <w:rPr>
          <w:sz w:val="20"/>
        </w:rPr>
        <w:t>non-resident entity</w:t>
      </w:r>
      <w:r>
        <w:rPr>
          <w:spacing w:val="-18"/>
          <w:sz w:val="20"/>
        </w:rPr>
        <w:t> </w:t>
      </w:r>
      <w:r>
        <w:rPr>
          <w:sz w:val="20"/>
        </w:rPr>
        <w:t>only</w:t>
      </w:r>
      <w:r>
        <w:rPr>
          <w:spacing w:val="-17"/>
          <w:sz w:val="20"/>
        </w:rPr>
        <w:t> </w:t>
      </w:r>
      <w:r>
        <w:rPr>
          <w:sz w:val="20"/>
        </w:rPr>
        <w:t>if</w:t>
      </w:r>
      <w:r>
        <w:rPr>
          <w:spacing w:val="-11"/>
          <w:sz w:val="20"/>
        </w:rPr>
        <w:t> </w:t>
      </w:r>
      <w:r>
        <w:rPr>
          <w:sz w:val="20"/>
        </w:rPr>
        <w:t>it</w:t>
      </w:r>
      <w:r>
        <w:rPr>
          <w:spacing w:val="-14"/>
          <w:sz w:val="20"/>
        </w:rPr>
        <w:t> </w:t>
      </w:r>
      <w:r>
        <w:rPr>
          <w:sz w:val="20"/>
        </w:rPr>
        <w:t>has</w:t>
      </w:r>
      <w:r>
        <w:rPr>
          <w:spacing w:val="-14"/>
          <w:sz w:val="20"/>
        </w:rPr>
        <w:t> </w:t>
      </w:r>
      <w:r>
        <w:rPr>
          <w:sz w:val="20"/>
        </w:rPr>
        <w:t>a</w:t>
      </w:r>
      <w:r>
        <w:rPr>
          <w:spacing w:val="-14"/>
          <w:sz w:val="20"/>
        </w:rPr>
        <w:t> </w:t>
      </w:r>
      <w:r>
        <w:rPr>
          <w:sz w:val="20"/>
        </w:rPr>
        <w:t>permanent</w:t>
      </w:r>
      <w:r>
        <w:rPr>
          <w:spacing w:val="-14"/>
          <w:sz w:val="20"/>
        </w:rPr>
        <w:t> </w:t>
      </w:r>
      <w:r>
        <w:rPr>
          <w:sz w:val="20"/>
        </w:rPr>
        <w:t>establishment</w:t>
      </w:r>
      <w:r>
        <w:rPr>
          <w:spacing w:val="-14"/>
          <w:sz w:val="20"/>
        </w:rPr>
        <w:t> </w:t>
      </w:r>
      <w:r>
        <w:rPr>
          <w:sz w:val="20"/>
        </w:rPr>
        <w:t>in</w:t>
      </w:r>
      <w:r>
        <w:rPr>
          <w:spacing w:val="-14"/>
          <w:sz w:val="20"/>
        </w:rPr>
        <w:t> </w:t>
      </w:r>
      <w:r>
        <w:rPr>
          <w:sz w:val="20"/>
        </w:rPr>
        <w:t>that</w:t>
      </w:r>
      <w:r>
        <w:rPr>
          <w:spacing w:val="-15"/>
          <w:sz w:val="20"/>
        </w:rPr>
        <w:t> </w:t>
      </w:r>
      <w:r>
        <w:rPr>
          <w:sz w:val="20"/>
        </w:rPr>
        <w:t>jurisdiction.</w:t>
      </w:r>
      <w:r>
        <w:rPr>
          <w:spacing w:val="-14"/>
          <w:sz w:val="20"/>
        </w:rPr>
        <w:t> </w:t>
      </w:r>
      <w:r>
        <w:rPr>
          <w:sz w:val="20"/>
        </w:rPr>
        <w:t>Changes</w:t>
      </w:r>
      <w:r>
        <w:rPr>
          <w:spacing w:val="-13"/>
          <w:sz w:val="20"/>
        </w:rPr>
        <w:t> </w:t>
      </w:r>
      <w:r>
        <w:rPr>
          <w:sz w:val="20"/>
        </w:rPr>
        <w:t>to</w:t>
      </w:r>
      <w:r>
        <w:rPr>
          <w:spacing w:val="-14"/>
          <w:sz w:val="20"/>
        </w:rPr>
        <w:t> </w:t>
      </w:r>
      <w:r>
        <w:rPr>
          <w:sz w:val="20"/>
        </w:rPr>
        <w:t>bilateral</w:t>
      </w:r>
      <w:r>
        <w:rPr>
          <w:spacing w:val="-16"/>
          <w:sz w:val="20"/>
        </w:rPr>
        <w:t> </w:t>
      </w:r>
      <w:r>
        <w:rPr>
          <w:sz w:val="20"/>
        </w:rPr>
        <w:t>treaties</w:t>
      </w:r>
      <w:r>
        <w:rPr>
          <w:spacing w:val="-13"/>
          <w:sz w:val="20"/>
        </w:rPr>
        <w:t> </w:t>
      </w:r>
      <w:r>
        <w:rPr>
          <w:sz w:val="20"/>
        </w:rPr>
        <w:t>are</w:t>
      </w:r>
      <w:r>
        <w:rPr>
          <w:spacing w:val="-11"/>
          <w:sz w:val="20"/>
        </w:rPr>
        <w:t> </w:t>
      </w:r>
      <w:r>
        <w:rPr>
          <w:sz w:val="20"/>
        </w:rPr>
        <w:t>therefore necessary to allow the Amount A rules to operate as</w:t>
      </w:r>
      <w:r>
        <w:rPr>
          <w:spacing w:val="-8"/>
          <w:sz w:val="20"/>
        </w:rPr>
        <w:t> </w:t>
      </w:r>
      <w:r>
        <w:rPr>
          <w:sz w:val="20"/>
        </w:rPr>
        <w:t>intended.</w:t>
      </w:r>
    </w:p>
    <w:p>
      <w:pPr>
        <w:pStyle w:val="ListParagraph"/>
        <w:numPr>
          <w:ilvl w:val="0"/>
          <w:numId w:val="13"/>
        </w:numPr>
        <w:tabs>
          <w:tab w:pos="1444" w:val="left" w:leader="none"/>
        </w:tabs>
        <w:spacing w:line="271" w:lineRule="auto" w:before="121" w:after="0"/>
        <w:ind w:left="723" w:right="488" w:firstLine="0"/>
        <w:jc w:val="both"/>
        <w:rPr>
          <w:sz w:val="20"/>
        </w:rPr>
      </w:pPr>
      <w:r>
        <w:rPr>
          <w:sz w:val="20"/>
        </w:rPr>
        <w:t>The implementation of rules for the determination of Amount A in an international public law instrument</w:t>
      </w:r>
      <w:r>
        <w:rPr>
          <w:spacing w:val="-14"/>
          <w:sz w:val="20"/>
        </w:rPr>
        <w:t> </w:t>
      </w:r>
      <w:r>
        <w:rPr>
          <w:sz w:val="20"/>
        </w:rPr>
        <w:t>on</w:t>
      </w:r>
      <w:r>
        <w:rPr>
          <w:spacing w:val="-11"/>
          <w:sz w:val="20"/>
        </w:rPr>
        <w:t> </w:t>
      </w:r>
      <w:r>
        <w:rPr>
          <w:sz w:val="20"/>
        </w:rPr>
        <w:t>tax</w:t>
      </w:r>
      <w:r>
        <w:rPr>
          <w:spacing w:val="-8"/>
          <w:sz w:val="20"/>
        </w:rPr>
        <w:t> </w:t>
      </w:r>
      <w:r>
        <w:rPr>
          <w:sz w:val="20"/>
        </w:rPr>
        <w:t>would</w:t>
      </w:r>
      <w:r>
        <w:rPr>
          <w:spacing w:val="-12"/>
          <w:sz w:val="20"/>
        </w:rPr>
        <w:t> </w:t>
      </w:r>
      <w:r>
        <w:rPr>
          <w:sz w:val="20"/>
        </w:rPr>
        <w:t>only</w:t>
      </w:r>
      <w:r>
        <w:rPr>
          <w:spacing w:val="-13"/>
          <w:sz w:val="20"/>
        </w:rPr>
        <w:t> </w:t>
      </w:r>
      <w:r>
        <w:rPr>
          <w:sz w:val="20"/>
        </w:rPr>
        <w:t>strictly</w:t>
      </w:r>
      <w:r>
        <w:rPr>
          <w:spacing w:val="-15"/>
          <w:sz w:val="20"/>
        </w:rPr>
        <w:t> </w:t>
      </w:r>
      <w:r>
        <w:rPr>
          <w:sz w:val="20"/>
        </w:rPr>
        <w:t>be</w:t>
      </w:r>
      <w:r>
        <w:rPr>
          <w:spacing w:val="-12"/>
          <w:sz w:val="20"/>
        </w:rPr>
        <w:t> </w:t>
      </w:r>
      <w:r>
        <w:rPr>
          <w:sz w:val="20"/>
        </w:rPr>
        <w:t>necessary</w:t>
      </w:r>
      <w:r>
        <w:rPr>
          <w:spacing w:val="-16"/>
          <w:sz w:val="20"/>
        </w:rPr>
        <w:t> </w:t>
      </w:r>
      <w:r>
        <w:rPr>
          <w:sz w:val="20"/>
        </w:rPr>
        <w:t>for</w:t>
      </w:r>
      <w:r>
        <w:rPr>
          <w:spacing w:val="-12"/>
          <w:sz w:val="20"/>
        </w:rPr>
        <w:t> </w:t>
      </w:r>
      <w:r>
        <w:rPr>
          <w:sz w:val="20"/>
        </w:rPr>
        <w:t>those</w:t>
      </w:r>
      <w:r>
        <w:rPr>
          <w:spacing w:val="-14"/>
          <w:sz w:val="20"/>
        </w:rPr>
        <w:t> </w:t>
      </w:r>
      <w:r>
        <w:rPr>
          <w:sz w:val="20"/>
        </w:rPr>
        <w:t>jurisdictions</w:t>
      </w:r>
      <w:r>
        <w:rPr>
          <w:spacing w:val="-13"/>
          <w:sz w:val="20"/>
        </w:rPr>
        <w:t> </w:t>
      </w:r>
      <w:r>
        <w:rPr>
          <w:sz w:val="20"/>
        </w:rPr>
        <w:t>that</w:t>
      </w:r>
      <w:r>
        <w:rPr>
          <w:spacing w:val="-12"/>
          <w:sz w:val="20"/>
        </w:rPr>
        <w:t> </w:t>
      </w:r>
      <w:r>
        <w:rPr>
          <w:sz w:val="20"/>
        </w:rPr>
        <w:t>have</w:t>
      </w:r>
      <w:r>
        <w:rPr>
          <w:spacing w:val="-12"/>
          <w:sz w:val="20"/>
        </w:rPr>
        <w:t> </w:t>
      </w:r>
      <w:r>
        <w:rPr>
          <w:sz w:val="20"/>
        </w:rPr>
        <w:t>these</w:t>
      </w:r>
      <w:r>
        <w:rPr>
          <w:spacing w:val="-14"/>
          <w:sz w:val="20"/>
        </w:rPr>
        <w:t> </w:t>
      </w:r>
      <w:r>
        <w:rPr>
          <w:sz w:val="20"/>
        </w:rPr>
        <w:t>restrictive</w:t>
      </w:r>
      <w:r>
        <w:rPr>
          <w:spacing w:val="-12"/>
          <w:sz w:val="20"/>
        </w:rPr>
        <w:t> </w:t>
      </w:r>
      <w:r>
        <w:rPr>
          <w:sz w:val="20"/>
        </w:rPr>
        <w:t>bilateral</w:t>
      </w:r>
    </w:p>
    <w:p>
      <w:pPr>
        <w:spacing w:after="0" w:line="271" w:lineRule="auto"/>
        <w:jc w:val="both"/>
        <w:rPr>
          <w:sz w:val="20"/>
        </w:rPr>
        <w:sectPr>
          <w:pgSz w:w="11910" w:h="16840"/>
          <w:pgMar w:header="1244" w:footer="1638" w:top="1500" w:bottom="1820" w:left="580" w:right="820"/>
        </w:sectPr>
      </w:pPr>
    </w:p>
    <w:p>
      <w:pPr>
        <w:pStyle w:val="BodyText"/>
        <w:spacing w:before="5"/>
      </w:pPr>
    </w:p>
    <w:p>
      <w:pPr>
        <w:pStyle w:val="BodyText"/>
        <w:spacing w:line="271" w:lineRule="auto" w:before="93"/>
        <w:ind w:left="723" w:right="481"/>
        <w:jc w:val="both"/>
      </w:pPr>
      <w:r>
        <w:rPr/>
        <w:t>tax treaties in force; where there is no treaty, the rules could, at least in theory, be implemented purely under domestic legislation. However, in order to ensure consistent coherent implementation of Amount A among jurisdictions, it is recommended to include in the multilateral convention implementation rules for the</w:t>
      </w:r>
      <w:r>
        <w:rPr>
          <w:spacing w:val="-7"/>
        </w:rPr>
        <w:t> </w:t>
      </w:r>
      <w:r>
        <w:rPr/>
        <w:t>determination</w:t>
      </w:r>
      <w:r>
        <w:rPr>
          <w:spacing w:val="-6"/>
        </w:rPr>
        <w:t> </w:t>
      </w:r>
      <w:r>
        <w:rPr/>
        <w:t>of</w:t>
      </w:r>
      <w:r>
        <w:rPr>
          <w:spacing w:val="-4"/>
        </w:rPr>
        <w:t> </w:t>
      </w:r>
      <w:r>
        <w:rPr/>
        <w:t>all</w:t>
      </w:r>
      <w:r>
        <w:rPr>
          <w:spacing w:val="-5"/>
        </w:rPr>
        <w:t> </w:t>
      </w:r>
      <w:r>
        <w:rPr/>
        <w:t>aspects</w:t>
      </w:r>
      <w:r>
        <w:rPr>
          <w:spacing w:val="-5"/>
        </w:rPr>
        <w:t> </w:t>
      </w:r>
      <w:r>
        <w:rPr/>
        <w:t>of</w:t>
      </w:r>
      <w:r>
        <w:rPr>
          <w:spacing w:val="-4"/>
        </w:rPr>
        <w:t> </w:t>
      </w:r>
      <w:r>
        <w:rPr/>
        <w:t>Amount</w:t>
      </w:r>
      <w:r>
        <w:rPr>
          <w:spacing w:val="-7"/>
        </w:rPr>
        <w:t> </w:t>
      </w:r>
      <w:r>
        <w:rPr/>
        <w:t>A</w:t>
      </w:r>
      <w:r>
        <w:rPr>
          <w:spacing w:val="-7"/>
        </w:rPr>
        <w:t> </w:t>
      </w:r>
      <w:r>
        <w:rPr/>
        <w:t>for</w:t>
      </w:r>
      <w:r>
        <w:rPr>
          <w:spacing w:val="-6"/>
        </w:rPr>
        <w:t> </w:t>
      </w:r>
      <w:r>
        <w:rPr/>
        <w:t>all</w:t>
      </w:r>
      <w:r>
        <w:rPr>
          <w:spacing w:val="-7"/>
        </w:rPr>
        <w:t> </w:t>
      </w:r>
      <w:r>
        <w:rPr/>
        <w:t>jurisdictions</w:t>
      </w:r>
      <w:r>
        <w:rPr>
          <w:spacing w:val="-6"/>
        </w:rPr>
        <w:t> </w:t>
      </w:r>
      <w:r>
        <w:rPr/>
        <w:t>irrespective</w:t>
      </w:r>
      <w:r>
        <w:rPr>
          <w:spacing w:val="-7"/>
        </w:rPr>
        <w:t> </w:t>
      </w:r>
      <w:r>
        <w:rPr/>
        <w:t>of tax</w:t>
      </w:r>
      <w:r>
        <w:rPr>
          <w:spacing w:val="-3"/>
        </w:rPr>
        <w:t> </w:t>
      </w:r>
      <w:r>
        <w:rPr/>
        <w:t>treaties.</w:t>
      </w:r>
      <w:r>
        <w:rPr>
          <w:spacing w:val="-6"/>
        </w:rPr>
        <w:t> </w:t>
      </w:r>
      <w:r>
        <w:rPr/>
        <w:t>In</w:t>
      </w:r>
      <w:r>
        <w:rPr>
          <w:spacing w:val="-4"/>
        </w:rPr>
        <w:t> </w:t>
      </w:r>
      <w:r>
        <w:rPr/>
        <w:t>other</w:t>
      </w:r>
      <w:r>
        <w:rPr>
          <w:spacing w:val="-5"/>
        </w:rPr>
        <w:t> </w:t>
      </w:r>
      <w:r>
        <w:rPr/>
        <w:t>words, the</w:t>
      </w:r>
      <w:r>
        <w:rPr>
          <w:spacing w:val="-7"/>
        </w:rPr>
        <w:t> </w:t>
      </w:r>
      <w:r>
        <w:rPr/>
        <w:t>multilateral</w:t>
      </w:r>
      <w:r>
        <w:rPr>
          <w:spacing w:val="-5"/>
        </w:rPr>
        <w:t> </w:t>
      </w:r>
      <w:r>
        <w:rPr/>
        <w:t>convention</w:t>
      </w:r>
      <w:r>
        <w:rPr>
          <w:spacing w:val="-3"/>
        </w:rPr>
        <w:t> </w:t>
      </w:r>
      <w:r>
        <w:rPr/>
        <w:t>should</w:t>
      </w:r>
      <w:r>
        <w:rPr>
          <w:spacing w:val="-7"/>
        </w:rPr>
        <w:t> </w:t>
      </w:r>
      <w:r>
        <w:rPr/>
        <w:t>apply</w:t>
      </w:r>
      <w:r>
        <w:rPr>
          <w:spacing w:val="-6"/>
        </w:rPr>
        <w:t> </w:t>
      </w:r>
      <w:r>
        <w:rPr/>
        <w:t>to</w:t>
      </w:r>
      <w:r>
        <w:rPr>
          <w:spacing w:val="-1"/>
        </w:rPr>
        <w:t> </w:t>
      </w:r>
      <w:r>
        <w:rPr/>
        <w:t>limit</w:t>
      </w:r>
      <w:r>
        <w:rPr>
          <w:spacing w:val="-6"/>
        </w:rPr>
        <w:t> </w:t>
      </w:r>
      <w:r>
        <w:rPr/>
        <w:t>the</w:t>
      </w:r>
      <w:r>
        <w:rPr>
          <w:spacing w:val="-6"/>
        </w:rPr>
        <w:t> </w:t>
      </w:r>
      <w:r>
        <w:rPr/>
        <w:t>right</w:t>
      </w:r>
      <w:r>
        <w:rPr>
          <w:spacing w:val="-7"/>
        </w:rPr>
        <w:t> </w:t>
      </w:r>
      <w:r>
        <w:rPr/>
        <w:t>to</w:t>
      </w:r>
      <w:r>
        <w:rPr>
          <w:spacing w:val="-4"/>
        </w:rPr>
        <w:t> </w:t>
      </w:r>
      <w:r>
        <w:rPr/>
        <w:t>tax</w:t>
      </w:r>
      <w:r>
        <w:rPr>
          <w:spacing w:val="-3"/>
        </w:rPr>
        <w:t> </w:t>
      </w:r>
      <w:r>
        <w:rPr/>
        <w:t>to</w:t>
      </w:r>
      <w:r>
        <w:rPr>
          <w:spacing w:val="-4"/>
        </w:rPr>
        <w:t> </w:t>
      </w:r>
      <w:r>
        <w:rPr/>
        <w:t>the</w:t>
      </w:r>
      <w:r>
        <w:rPr>
          <w:spacing w:val="-4"/>
        </w:rPr>
        <w:t> </w:t>
      </w:r>
      <w:r>
        <w:rPr/>
        <w:t>agreed</w:t>
      </w:r>
      <w:r>
        <w:rPr>
          <w:spacing w:val="-5"/>
        </w:rPr>
        <w:t> </w:t>
      </w:r>
      <w:r>
        <w:rPr/>
        <w:t>parameters</w:t>
      </w:r>
      <w:r>
        <w:rPr>
          <w:spacing w:val="-5"/>
        </w:rPr>
        <w:t> </w:t>
      </w:r>
      <w:r>
        <w:rPr/>
        <w:t>on</w:t>
      </w:r>
      <w:r>
        <w:rPr>
          <w:spacing w:val="-6"/>
        </w:rPr>
        <w:t> </w:t>
      </w:r>
      <w:r>
        <w:rPr/>
        <w:t>scope,</w:t>
      </w:r>
      <w:r>
        <w:rPr>
          <w:spacing w:val="-5"/>
        </w:rPr>
        <w:t> </w:t>
      </w:r>
      <w:r>
        <w:rPr/>
        <w:t>nexus, thresholds, etc., including the rules on dispute prevention and resolution for Amount </w:t>
      </w:r>
      <w:r>
        <w:rPr>
          <w:spacing w:val="2"/>
        </w:rPr>
        <w:t>A, </w:t>
      </w:r>
      <w:r>
        <w:rPr/>
        <w:t>and represent a commitment to provide double tax relief in accordance with the agreed</w:t>
      </w:r>
      <w:r>
        <w:rPr>
          <w:spacing w:val="-2"/>
        </w:rPr>
        <w:t> </w:t>
      </w:r>
      <w:r>
        <w:rPr/>
        <w:t>framework.</w:t>
      </w:r>
    </w:p>
    <w:p>
      <w:pPr>
        <w:pStyle w:val="ListParagraph"/>
        <w:numPr>
          <w:ilvl w:val="0"/>
          <w:numId w:val="13"/>
        </w:numPr>
        <w:tabs>
          <w:tab w:pos="1444" w:val="left" w:leader="none"/>
        </w:tabs>
        <w:spacing w:line="271" w:lineRule="auto" w:before="120" w:after="0"/>
        <w:ind w:left="723" w:right="491" w:firstLine="0"/>
        <w:jc w:val="both"/>
        <w:rPr>
          <w:sz w:val="20"/>
        </w:rPr>
      </w:pPr>
      <w:r>
        <w:rPr>
          <w:sz w:val="20"/>
        </w:rPr>
        <w:t>However,</w:t>
      </w:r>
      <w:r>
        <w:rPr>
          <w:spacing w:val="-5"/>
          <w:sz w:val="20"/>
        </w:rPr>
        <w:t> </w:t>
      </w:r>
      <w:r>
        <w:rPr>
          <w:sz w:val="20"/>
        </w:rPr>
        <w:t>the</w:t>
      </w:r>
      <w:r>
        <w:rPr>
          <w:spacing w:val="-6"/>
          <w:sz w:val="20"/>
        </w:rPr>
        <w:t> </w:t>
      </w:r>
      <w:r>
        <w:rPr>
          <w:sz w:val="20"/>
        </w:rPr>
        <w:t>section</w:t>
      </w:r>
      <w:r>
        <w:rPr>
          <w:spacing w:val="-5"/>
          <w:sz w:val="20"/>
        </w:rPr>
        <w:t> </w:t>
      </w:r>
      <w:r>
        <w:rPr>
          <w:sz w:val="20"/>
        </w:rPr>
        <w:t>of</w:t>
      </w:r>
      <w:r>
        <w:rPr>
          <w:spacing w:val="-3"/>
          <w:sz w:val="20"/>
        </w:rPr>
        <w:t> </w:t>
      </w:r>
      <w:r>
        <w:rPr>
          <w:sz w:val="20"/>
        </w:rPr>
        <w:t>the</w:t>
      </w:r>
      <w:r>
        <w:rPr>
          <w:spacing w:val="-5"/>
          <w:sz w:val="20"/>
        </w:rPr>
        <w:t> </w:t>
      </w:r>
      <w:r>
        <w:rPr>
          <w:sz w:val="20"/>
        </w:rPr>
        <w:t>multilateral</w:t>
      </w:r>
      <w:r>
        <w:rPr>
          <w:spacing w:val="-6"/>
          <w:sz w:val="20"/>
        </w:rPr>
        <w:t> </w:t>
      </w:r>
      <w:r>
        <w:rPr>
          <w:sz w:val="20"/>
        </w:rPr>
        <w:t>convention</w:t>
      </w:r>
      <w:r>
        <w:rPr>
          <w:spacing w:val="-5"/>
          <w:sz w:val="20"/>
        </w:rPr>
        <w:t> </w:t>
      </w:r>
      <w:r>
        <w:rPr>
          <w:sz w:val="20"/>
        </w:rPr>
        <w:t>that</w:t>
      </w:r>
      <w:r>
        <w:rPr>
          <w:spacing w:val="-3"/>
          <w:sz w:val="20"/>
        </w:rPr>
        <w:t> </w:t>
      </w:r>
      <w:r>
        <w:rPr>
          <w:sz w:val="20"/>
        </w:rPr>
        <w:t>will</w:t>
      </w:r>
      <w:r>
        <w:rPr>
          <w:spacing w:val="-6"/>
          <w:sz w:val="20"/>
        </w:rPr>
        <w:t> </w:t>
      </w:r>
      <w:r>
        <w:rPr>
          <w:sz w:val="20"/>
        </w:rPr>
        <w:t>include</w:t>
      </w:r>
      <w:r>
        <w:rPr>
          <w:spacing w:val="-5"/>
          <w:sz w:val="20"/>
        </w:rPr>
        <w:t> </w:t>
      </w:r>
      <w:r>
        <w:rPr>
          <w:sz w:val="20"/>
        </w:rPr>
        <w:t>the</w:t>
      </w:r>
      <w:r>
        <w:rPr>
          <w:spacing w:val="-5"/>
          <w:sz w:val="20"/>
        </w:rPr>
        <w:t> </w:t>
      </w:r>
      <w:r>
        <w:rPr>
          <w:sz w:val="20"/>
        </w:rPr>
        <w:t>rules</w:t>
      </w:r>
      <w:r>
        <w:rPr>
          <w:spacing w:val="-3"/>
          <w:sz w:val="20"/>
        </w:rPr>
        <w:t> </w:t>
      </w:r>
      <w:r>
        <w:rPr>
          <w:sz w:val="20"/>
        </w:rPr>
        <w:t>on</w:t>
      </w:r>
      <w:r>
        <w:rPr>
          <w:spacing w:val="-6"/>
          <w:sz w:val="20"/>
        </w:rPr>
        <w:t> </w:t>
      </w:r>
      <w:r>
        <w:rPr>
          <w:sz w:val="20"/>
        </w:rPr>
        <w:t>the</w:t>
      </w:r>
      <w:r>
        <w:rPr>
          <w:spacing w:val="-3"/>
          <w:sz w:val="20"/>
        </w:rPr>
        <w:t> </w:t>
      </w:r>
      <w:r>
        <w:rPr>
          <w:sz w:val="20"/>
        </w:rPr>
        <w:t>determination of</w:t>
      </w:r>
      <w:r>
        <w:rPr>
          <w:spacing w:val="-7"/>
          <w:sz w:val="20"/>
        </w:rPr>
        <w:t> </w:t>
      </w:r>
      <w:r>
        <w:rPr>
          <w:sz w:val="20"/>
        </w:rPr>
        <w:t>Amount</w:t>
      </w:r>
      <w:r>
        <w:rPr>
          <w:spacing w:val="-9"/>
          <w:sz w:val="20"/>
        </w:rPr>
        <w:t> </w:t>
      </w:r>
      <w:r>
        <w:rPr>
          <w:sz w:val="20"/>
        </w:rPr>
        <w:t>A</w:t>
      </w:r>
      <w:r>
        <w:rPr>
          <w:spacing w:val="-6"/>
          <w:sz w:val="20"/>
        </w:rPr>
        <w:t> </w:t>
      </w:r>
      <w:r>
        <w:rPr>
          <w:sz w:val="20"/>
        </w:rPr>
        <w:t>tax</w:t>
      </w:r>
      <w:r>
        <w:rPr>
          <w:spacing w:val="-3"/>
          <w:sz w:val="20"/>
        </w:rPr>
        <w:t> </w:t>
      </w:r>
      <w:r>
        <w:rPr>
          <w:sz w:val="20"/>
        </w:rPr>
        <w:t>would</w:t>
      </w:r>
      <w:r>
        <w:rPr>
          <w:spacing w:val="-6"/>
          <w:sz w:val="20"/>
        </w:rPr>
        <w:t> </w:t>
      </w:r>
      <w:r>
        <w:rPr>
          <w:sz w:val="20"/>
        </w:rPr>
        <w:t>still</w:t>
      </w:r>
      <w:r>
        <w:rPr>
          <w:spacing w:val="-5"/>
          <w:sz w:val="20"/>
        </w:rPr>
        <w:t> </w:t>
      </w:r>
      <w:r>
        <w:rPr>
          <w:sz w:val="20"/>
        </w:rPr>
        <w:t>be</w:t>
      </w:r>
      <w:r>
        <w:rPr>
          <w:spacing w:val="-9"/>
          <w:sz w:val="20"/>
        </w:rPr>
        <w:t> </w:t>
      </w:r>
      <w:r>
        <w:rPr>
          <w:sz w:val="20"/>
        </w:rPr>
        <w:t>relevant</w:t>
      </w:r>
      <w:r>
        <w:rPr>
          <w:spacing w:val="-8"/>
          <w:sz w:val="20"/>
        </w:rPr>
        <w:t> </w:t>
      </w:r>
      <w:r>
        <w:rPr>
          <w:sz w:val="20"/>
        </w:rPr>
        <w:t>for</w:t>
      </w:r>
      <w:r>
        <w:rPr>
          <w:spacing w:val="-8"/>
          <w:sz w:val="20"/>
        </w:rPr>
        <w:t> </w:t>
      </w:r>
      <w:r>
        <w:rPr>
          <w:sz w:val="20"/>
        </w:rPr>
        <w:t>those</w:t>
      </w:r>
      <w:r>
        <w:rPr>
          <w:spacing w:val="-8"/>
          <w:sz w:val="20"/>
        </w:rPr>
        <w:t> </w:t>
      </w:r>
      <w:r>
        <w:rPr>
          <w:sz w:val="20"/>
        </w:rPr>
        <w:t>jurisdictions</w:t>
      </w:r>
      <w:r>
        <w:rPr>
          <w:spacing w:val="-5"/>
          <w:sz w:val="20"/>
        </w:rPr>
        <w:t> </w:t>
      </w:r>
      <w:r>
        <w:rPr>
          <w:sz w:val="20"/>
        </w:rPr>
        <w:t>because</w:t>
      </w:r>
      <w:r>
        <w:rPr>
          <w:spacing w:val="-6"/>
          <w:sz w:val="20"/>
        </w:rPr>
        <w:t> </w:t>
      </w:r>
      <w:r>
        <w:rPr>
          <w:sz w:val="20"/>
        </w:rPr>
        <w:t>it</w:t>
      </w:r>
      <w:r>
        <w:rPr>
          <w:spacing w:val="-6"/>
          <w:sz w:val="20"/>
        </w:rPr>
        <w:t> </w:t>
      </w:r>
      <w:r>
        <w:rPr>
          <w:sz w:val="20"/>
        </w:rPr>
        <w:t>would</w:t>
      </w:r>
      <w:r>
        <w:rPr>
          <w:spacing w:val="-8"/>
          <w:sz w:val="20"/>
        </w:rPr>
        <w:t> </w:t>
      </w:r>
      <w:r>
        <w:rPr>
          <w:sz w:val="20"/>
        </w:rPr>
        <w:t>serve</w:t>
      </w:r>
      <w:r>
        <w:rPr>
          <w:spacing w:val="-7"/>
          <w:sz w:val="20"/>
        </w:rPr>
        <w:t> </w:t>
      </w:r>
      <w:r>
        <w:rPr>
          <w:sz w:val="20"/>
        </w:rPr>
        <w:t>as</w:t>
      </w:r>
      <w:r>
        <w:rPr>
          <w:spacing w:val="-7"/>
          <w:sz w:val="20"/>
        </w:rPr>
        <w:t> </w:t>
      </w:r>
      <w:r>
        <w:rPr>
          <w:sz w:val="20"/>
        </w:rPr>
        <w:t>a</w:t>
      </w:r>
      <w:r>
        <w:rPr>
          <w:spacing w:val="-7"/>
          <w:sz w:val="20"/>
        </w:rPr>
        <w:t> </w:t>
      </w:r>
      <w:r>
        <w:rPr>
          <w:sz w:val="20"/>
        </w:rPr>
        <w:t>reference</w:t>
      </w:r>
      <w:r>
        <w:rPr>
          <w:spacing w:val="-6"/>
          <w:sz w:val="20"/>
        </w:rPr>
        <w:t> </w:t>
      </w:r>
      <w:r>
        <w:rPr>
          <w:sz w:val="20"/>
        </w:rPr>
        <w:t>for</w:t>
      </w:r>
      <w:r>
        <w:rPr>
          <w:spacing w:val="-8"/>
          <w:sz w:val="20"/>
        </w:rPr>
        <w:t> </w:t>
      </w:r>
      <w:r>
        <w:rPr>
          <w:sz w:val="20"/>
        </w:rPr>
        <w:t>the application of the section of the convention on dispute prevention and resolution for Amount</w:t>
      </w:r>
      <w:r>
        <w:rPr>
          <w:spacing w:val="-25"/>
          <w:sz w:val="20"/>
        </w:rPr>
        <w:t> </w:t>
      </w:r>
      <w:r>
        <w:rPr>
          <w:sz w:val="20"/>
        </w:rPr>
        <w:t>A.</w:t>
      </w:r>
    </w:p>
    <w:p>
      <w:pPr>
        <w:pStyle w:val="ListParagraph"/>
        <w:numPr>
          <w:ilvl w:val="0"/>
          <w:numId w:val="13"/>
        </w:numPr>
        <w:tabs>
          <w:tab w:pos="1444" w:val="left" w:leader="none"/>
        </w:tabs>
        <w:spacing w:line="271" w:lineRule="auto" w:before="120" w:after="0"/>
        <w:ind w:left="723" w:right="485" w:firstLine="0"/>
        <w:jc w:val="both"/>
        <w:rPr>
          <w:sz w:val="20"/>
        </w:rPr>
      </w:pPr>
      <w:r>
        <w:rPr>
          <w:sz w:val="20"/>
        </w:rPr>
        <w:t>It will therefore be necessary to implement through the multilateral convention all the essential elements</w:t>
      </w:r>
      <w:r>
        <w:rPr>
          <w:spacing w:val="-8"/>
          <w:sz w:val="20"/>
        </w:rPr>
        <w:t> </w:t>
      </w:r>
      <w:r>
        <w:rPr>
          <w:sz w:val="20"/>
        </w:rPr>
        <w:t>of</w:t>
      </w:r>
      <w:r>
        <w:rPr>
          <w:spacing w:val="-7"/>
          <w:sz w:val="20"/>
        </w:rPr>
        <w:t> </w:t>
      </w:r>
      <w:r>
        <w:rPr>
          <w:sz w:val="20"/>
        </w:rPr>
        <w:t>a</w:t>
      </w:r>
      <w:r>
        <w:rPr>
          <w:spacing w:val="-8"/>
          <w:sz w:val="20"/>
        </w:rPr>
        <w:t> </w:t>
      </w:r>
      <w:r>
        <w:rPr>
          <w:sz w:val="20"/>
        </w:rPr>
        <w:t>new</w:t>
      </w:r>
      <w:r>
        <w:rPr>
          <w:spacing w:val="-11"/>
          <w:sz w:val="20"/>
        </w:rPr>
        <w:t> </w:t>
      </w:r>
      <w:r>
        <w:rPr>
          <w:sz w:val="20"/>
        </w:rPr>
        <w:t>taxing</w:t>
      </w:r>
      <w:r>
        <w:rPr>
          <w:spacing w:val="-6"/>
          <w:sz w:val="20"/>
        </w:rPr>
        <w:t> </w:t>
      </w:r>
      <w:r>
        <w:rPr>
          <w:sz w:val="20"/>
        </w:rPr>
        <w:t>right</w:t>
      </w:r>
      <w:r>
        <w:rPr>
          <w:spacing w:val="-9"/>
          <w:sz w:val="20"/>
        </w:rPr>
        <w:t> </w:t>
      </w:r>
      <w:r>
        <w:rPr>
          <w:sz w:val="20"/>
        </w:rPr>
        <w:t>(the</w:t>
      </w:r>
      <w:r>
        <w:rPr>
          <w:spacing w:val="-8"/>
          <w:sz w:val="20"/>
        </w:rPr>
        <w:t> </w:t>
      </w:r>
      <w:r>
        <w:rPr>
          <w:sz w:val="20"/>
        </w:rPr>
        <w:t>rules</w:t>
      </w:r>
      <w:r>
        <w:rPr>
          <w:spacing w:val="-8"/>
          <w:sz w:val="20"/>
        </w:rPr>
        <w:t> </w:t>
      </w:r>
      <w:r>
        <w:rPr>
          <w:sz w:val="20"/>
        </w:rPr>
        <w:t>on</w:t>
      </w:r>
      <w:r>
        <w:rPr>
          <w:spacing w:val="-8"/>
          <w:sz w:val="20"/>
        </w:rPr>
        <w:t> </w:t>
      </w:r>
      <w:r>
        <w:rPr>
          <w:sz w:val="20"/>
        </w:rPr>
        <w:t>the</w:t>
      </w:r>
      <w:r>
        <w:rPr>
          <w:spacing w:val="-7"/>
          <w:sz w:val="20"/>
        </w:rPr>
        <w:t> </w:t>
      </w:r>
      <w:r>
        <w:rPr>
          <w:sz w:val="20"/>
        </w:rPr>
        <w:t>identification</w:t>
      </w:r>
      <w:r>
        <w:rPr>
          <w:spacing w:val="-7"/>
          <w:sz w:val="20"/>
        </w:rPr>
        <w:t> </w:t>
      </w:r>
      <w:r>
        <w:rPr>
          <w:sz w:val="20"/>
        </w:rPr>
        <w:t>of</w:t>
      </w:r>
      <w:r>
        <w:rPr>
          <w:spacing w:val="-6"/>
          <w:sz w:val="20"/>
        </w:rPr>
        <w:t> </w:t>
      </w:r>
      <w:r>
        <w:rPr>
          <w:sz w:val="20"/>
        </w:rPr>
        <w:t>the</w:t>
      </w:r>
      <w:r>
        <w:rPr>
          <w:spacing w:val="-7"/>
          <w:sz w:val="20"/>
        </w:rPr>
        <w:t> </w:t>
      </w:r>
      <w:r>
        <w:rPr>
          <w:sz w:val="20"/>
        </w:rPr>
        <w:t>taxpayer</w:t>
      </w:r>
      <w:r>
        <w:rPr>
          <w:spacing w:val="-6"/>
          <w:sz w:val="20"/>
        </w:rPr>
        <w:t> </w:t>
      </w:r>
      <w:r>
        <w:rPr>
          <w:sz w:val="20"/>
        </w:rPr>
        <w:t>and</w:t>
      </w:r>
      <w:r>
        <w:rPr>
          <w:spacing w:val="-8"/>
          <w:sz w:val="20"/>
        </w:rPr>
        <w:t> </w:t>
      </w:r>
      <w:r>
        <w:rPr>
          <w:sz w:val="20"/>
        </w:rPr>
        <w:t>the</w:t>
      </w:r>
      <w:r>
        <w:rPr>
          <w:spacing w:val="-9"/>
          <w:sz w:val="20"/>
        </w:rPr>
        <w:t> </w:t>
      </w:r>
      <w:r>
        <w:rPr>
          <w:sz w:val="20"/>
        </w:rPr>
        <w:t>object</w:t>
      </w:r>
      <w:r>
        <w:rPr>
          <w:spacing w:val="-8"/>
          <w:sz w:val="20"/>
        </w:rPr>
        <w:t> </w:t>
      </w:r>
      <w:r>
        <w:rPr>
          <w:sz w:val="20"/>
        </w:rPr>
        <w:t>of</w:t>
      </w:r>
      <w:r>
        <w:rPr>
          <w:spacing w:val="-7"/>
          <w:sz w:val="20"/>
        </w:rPr>
        <w:t> </w:t>
      </w:r>
      <w:r>
        <w:rPr>
          <w:sz w:val="20"/>
        </w:rPr>
        <w:t>taxation</w:t>
      </w:r>
      <w:r>
        <w:rPr>
          <w:spacing w:val="-6"/>
          <w:sz w:val="20"/>
        </w:rPr>
        <w:t> </w:t>
      </w:r>
      <w:r>
        <w:rPr>
          <w:sz w:val="20"/>
        </w:rPr>
        <w:t>and those on the tax base, the tax period, the tax rates, etc.) consistent with the design of Amount A and domestic</w:t>
      </w:r>
      <w:r>
        <w:rPr>
          <w:spacing w:val="-1"/>
          <w:sz w:val="20"/>
        </w:rPr>
        <w:t> </w:t>
      </w:r>
      <w:r>
        <w:rPr>
          <w:sz w:val="20"/>
        </w:rPr>
        <w:t>legislation.</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As</w:t>
      </w:r>
      <w:r>
        <w:rPr>
          <w:spacing w:val="-12"/>
          <w:sz w:val="20"/>
        </w:rPr>
        <w:t> </w:t>
      </w:r>
      <w:r>
        <w:rPr>
          <w:sz w:val="20"/>
        </w:rPr>
        <w:t>bilateral</w:t>
      </w:r>
      <w:r>
        <w:rPr>
          <w:spacing w:val="-11"/>
          <w:sz w:val="20"/>
        </w:rPr>
        <w:t> </w:t>
      </w:r>
      <w:r>
        <w:rPr>
          <w:sz w:val="20"/>
        </w:rPr>
        <w:t>tax</w:t>
      </w:r>
      <w:r>
        <w:rPr>
          <w:spacing w:val="-11"/>
          <w:sz w:val="20"/>
        </w:rPr>
        <w:t> </w:t>
      </w:r>
      <w:r>
        <w:rPr>
          <w:sz w:val="20"/>
        </w:rPr>
        <w:t>treaties</w:t>
      </w:r>
      <w:r>
        <w:rPr>
          <w:spacing w:val="-10"/>
          <w:sz w:val="20"/>
        </w:rPr>
        <w:t> </w:t>
      </w:r>
      <w:r>
        <w:rPr>
          <w:sz w:val="20"/>
        </w:rPr>
        <w:t>would</w:t>
      </w:r>
      <w:r>
        <w:rPr>
          <w:spacing w:val="-13"/>
          <w:sz w:val="20"/>
        </w:rPr>
        <w:t> </w:t>
      </w:r>
      <w:r>
        <w:rPr>
          <w:sz w:val="20"/>
        </w:rPr>
        <w:t>remain</w:t>
      </w:r>
      <w:r>
        <w:rPr>
          <w:spacing w:val="-13"/>
          <w:sz w:val="20"/>
        </w:rPr>
        <w:t> </w:t>
      </w:r>
      <w:r>
        <w:rPr>
          <w:sz w:val="20"/>
        </w:rPr>
        <w:t>in</w:t>
      </w:r>
      <w:r>
        <w:rPr>
          <w:spacing w:val="-14"/>
          <w:sz w:val="20"/>
        </w:rPr>
        <w:t> </w:t>
      </w:r>
      <w:r>
        <w:rPr>
          <w:sz w:val="20"/>
        </w:rPr>
        <w:t>force</w:t>
      </w:r>
      <w:r>
        <w:rPr>
          <w:spacing w:val="-13"/>
          <w:sz w:val="20"/>
        </w:rPr>
        <w:t> </w:t>
      </w:r>
      <w:r>
        <w:rPr>
          <w:sz w:val="20"/>
        </w:rPr>
        <w:t>and</w:t>
      </w:r>
      <w:r>
        <w:rPr>
          <w:spacing w:val="-13"/>
          <w:sz w:val="20"/>
        </w:rPr>
        <w:t> </w:t>
      </w:r>
      <w:r>
        <w:rPr>
          <w:sz w:val="20"/>
        </w:rPr>
        <w:t>continue</w:t>
      </w:r>
      <w:r>
        <w:rPr>
          <w:spacing w:val="-14"/>
          <w:sz w:val="20"/>
        </w:rPr>
        <w:t> </w:t>
      </w:r>
      <w:r>
        <w:rPr>
          <w:sz w:val="20"/>
        </w:rPr>
        <w:t>to</w:t>
      </w:r>
      <w:r>
        <w:rPr>
          <w:spacing w:val="-13"/>
          <w:sz w:val="20"/>
        </w:rPr>
        <w:t> </w:t>
      </w:r>
      <w:r>
        <w:rPr>
          <w:sz w:val="20"/>
        </w:rPr>
        <w:t>govern</w:t>
      </w:r>
      <w:r>
        <w:rPr>
          <w:spacing w:val="-12"/>
          <w:sz w:val="20"/>
        </w:rPr>
        <w:t> </w:t>
      </w:r>
      <w:r>
        <w:rPr>
          <w:sz w:val="20"/>
        </w:rPr>
        <w:t>cross-border</w:t>
      </w:r>
      <w:r>
        <w:rPr>
          <w:spacing w:val="-13"/>
          <w:sz w:val="20"/>
        </w:rPr>
        <w:t> </w:t>
      </w:r>
      <w:r>
        <w:rPr>
          <w:sz w:val="20"/>
        </w:rPr>
        <w:t>taxation</w:t>
      </w:r>
      <w:r>
        <w:rPr>
          <w:spacing w:val="-13"/>
          <w:sz w:val="20"/>
        </w:rPr>
        <w:t> </w:t>
      </w:r>
      <w:r>
        <w:rPr>
          <w:sz w:val="20"/>
        </w:rPr>
        <w:t>outside Amount A, the new multilateral convention would coexist with the existing tax treaty network. But its provisions</w:t>
      </w:r>
      <w:r>
        <w:rPr>
          <w:spacing w:val="-15"/>
          <w:sz w:val="20"/>
        </w:rPr>
        <w:t> </w:t>
      </w:r>
      <w:r>
        <w:rPr>
          <w:sz w:val="20"/>
        </w:rPr>
        <w:t>would</w:t>
      </w:r>
      <w:r>
        <w:rPr>
          <w:spacing w:val="-14"/>
          <w:sz w:val="20"/>
        </w:rPr>
        <w:t> </w:t>
      </w:r>
      <w:r>
        <w:rPr>
          <w:sz w:val="20"/>
        </w:rPr>
        <w:t>generally</w:t>
      </w:r>
      <w:r>
        <w:rPr>
          <w:spacing w:val="-15"/>
          <w:sz w:val="20"/>
        </w:rPr>
        <w:t> </w:t>
      </w:r>
      <w:r>
        <w:rPr>
          <w:sz w:val="20"/>
        </w:rPr>
        <w:t>supersede</w:t>
      </w:r>
      <w:r>
        <w:rPr>
          <w:spacing w:val="-15"/>
          <w:sz w:val="20"/>
        </w:rPr>
        <w:t> </w:t>
      </w:r>
      <w:r>
        <w:rPr>
          <w:sz w:val="20"/>
        </w:rPr>
        <w:t>provisions</w:t>
      </w:r>
      <w:r>
        <w:rPr>
          <w:spacing w:val="-13"/>
          <w:sz w:val="20"/>
        </w:rPr>
        <w:t> </w:t>
      </w:r>
      <w:r>
        <w:rPr>
          <w:sz w:val="20"/>
        </w:rPr>
        <w:t>in</w:t>
      </w:r>
      <w:r>
        <w:rPr>
          <w:spacing w:val="-15"/>
          <w:sz w:val="20"/>
        </w:rPr>
        <w:t> </w:t>
      </w:r>
      <w:r>
        <w:rPr>
          <w:sz w:val="20"/>
        </w:rPr>
        <w:t>existing</w:t>
      </w:r>
      <w:r>
        <w:rPr>
          <w:spacing w:val="-15"/>
          <w:sz w:val="20"/>
        </w:rPr>
        <w:t> </w:t>
      </w:r>
      <w:r>
        <w:rPr>
          <w:sz w:val="20"/>
        </w:rPr>
        <w:t>bilateral</w:t>
      </w:r>
      <w:r>
        <w:rPr>
          <w:spacing w:val="-18"/>
          <w:sz w:val="20"/>
        </w:rPr>
        <w:t> </w:t>
      </w:r>
      <w:r>
        <w:rPr>
          <w:sz w:val="20"/>
        </w:rPr>
        <w:t>tax</w:t>
      </w:r>
      <w:r>
        <w:rPr>
          <w:spacing w:val="-16"/>
          <w:sz w:val="20"/>
        </w:rPr>
        <w:t> </w:t>
      </w:r>
      <w:r>
        <w:rPr>
          <w:sz w:val="20"/>
        </w:rPr>
        <w:t>treaties</w:t>
      </w:r>
      <w:r>
        <w:rPr>
          <w:spacing w:val="-14"/>
          <w:sz w:val="20"/>
        </w:rPr>
        <w:t> </w:t>
      </w:r>
      <w:r>
        <w:rPr>
          <w:sz w:val="20"/>
        </w:rPr>
        <w:t>where</w:t>
      </w:r>
      <w:r>
        <w:rPr>
          <w:spacing w:val="-15"/>
          <w:sz w:val="20"/>
        </w:rPr>
        <w:t> </w:t>
      </w:r>
      <w:r>
        <w:rPr>
          <w:sz w:val="20"/>
        </w:rPr>
        <w:t>there</w:t>
      </w:r>
      <w:r>
        <w:rPr>
          <w:spacing w:val="-14"/>
          <w:sz w:val="20"/>
        </w:rPr>
        <w:t> </w:t>
      </w:r>
      <w:r>
        <w:rPr>
          <w:sz w:val="20"/>
        </w:rPr>
        <w:t>was</w:t>
      </w:r>
      <w:r>
        <w:rPr>
          <w:spacing w:val="-16"/>
          <w:sz w:val="20"/>
        </w:rPr>
        <w:t> </w:t>
      </w:r>
      <w:r>
        <w:rPr>
          <w:sz w:val="20"/>
        </w:rPr>
        <w:t>a</w:t>
      </w:r>
      <w:r>
        <w:rPr>
          <w:spacing w:val="-15"/>
          <w:sz w:val="20"/>
        </w:rPr>
        <w:t> </w:t>
      </w:r>
      <w:r>
        <w:rPr>
          <w:sz w:val="20"/>
        </w:rPr>
        <w:t>conflict.</w:t>
      </w:r>
    </w:p>
    <w:p>
      <w:pPr>
        <w:pStyle w:val="ListParagraph"/>
        <w:numPr>
          <w:ilvl w:val="0"/>
          <w:numId w:val="13"/>
        </w:numPr>
        <w:tabs>
          <w:tab w:pos="1444" w:val="left" w:leader="none"/>
        </w:tabs>
        <w:spacing w:line="271" w:lineRule="auto" w:before="120" w:after="0"/>
        <w:ind w:left="723" w:right="479" w:firstLine="0"/>
        <w:jc w:val="both"/>
        <w:rPr>
          <w:sz w:val="20"/>
        </w:rPr>
      </w:pPr>
      <w:r>
        <w:rPr>
          <w:sz w:val="20"/>
        </w:rPr>
        <w:t>Unlike the MLI, the multilateral convention would not seek to modify the wording of existing treaty provisions</w:t>
      </w:r>
      <w:r>
        <w:rPr>
          <w:spacing w:val="-7"/>
          <w:sz w:val="20"/>
        </w:rPr>
        <w:t> </w:t>
      </w:r>
      <w:r>
        <w:rPr>
          <w:sz w:val="20"/>
        </w:rPr>
        <w:t>(e.g.</w:t>
      </w:r>
      <w:r>
        <w:rPr>
          <w:spacing w:val="-7"/>
          <w:sz w:val="20"/>
        </w:rPr>
        <w:t> </w:t>
      </w:r>
      <w:r>
        <w:rPr>
          <w:sz w:val="20"/>
        </w:rPr>
        <w:t>the</w:t>
      </w:r>
      <w:r>
        <w:rPr>
          <w:spacing w:val="-5"/>
          <w:sz w:val="20"/>
        </w:rPr>
        <w:t> </w:t>
      </w:r>
      <w:r>
        <w:rPr>
          <w:sz w:val="20"/>
        </w:rPr>
        <w:t>new</w:t>
      </w:r>
      <w:r>
        <w:rPr>
          <w:spacing w:val="-5"/>
          <w:sz w:val="20"/>
        </w:rPr>
        <w:t> </w:t>
      </w:r>
      <w:r>
        <w:rPr>
          <w:sz w:val="20"/>
        </w:rPr>
        <w:t>nexus</w:t>
      </w:r>
      <w:r>
        <w:rPr>
          <w:spacing w:val="-6"/>
          <w:sz w:val="20"/>
        </w:rPr>
        <w:t> </w:t>
      </w:r>
      <w:r>
        <w:rPr>
          <w:sz w:val="20"/>
        </w:rPr>
        <w:t>rule</w:t>
      </w:r>
      <w:r>
        <w:rPr>
          <w:spacing w:val="-3"/>
          <w:sz w:val="20"/>
        </w:rPr>
        <w:t> </w:t>
      </w:r>
      <w:r>
        <w:rPr>
          <w:sz w:val="20"/>
        </w:rPr>
        <w:t>would</w:t>
      </w:r>
      <w:r>
        <w:rPr>
          <w:spacing w:val="-5"/>
          <w:sz w:val="20"/>
        </w:rPr>
        <w:t> </w:t>
      </w:r>
      <w:r>
        <w:rPr>
          <w:sz w:val="20"/>
        </w:rPr>
        <w:t>not</w:t>
      </w:r>
      <w:r>
        <w:rPr>
          <w:spacing w:val="-1"/>
          <w:sz w:val="20"/>
        </w:rPr>
        <w:t> </w:t>
      </w:r>
      <w:r>
        <w:rPr>
          <w:sz w:val="20"/>
        </w:rPr>
        <w:t>change</w:t>
      </w:r>
      <w:r>
        <w:rPr>
          <w:spacing w:val="-6"/>
          <w:sz w:val="20"/>
        </w:rPr>
        <w:t> </w:t>
      </w:r>
      <w:r>
        <w:rPr>
          <w:sz w:val="20"/>
        </w:rPr>
        <w:t>the</w:t>
      </w:r>
      <w:r>
        <w:rPr>
          <w:spacing w:val="-5"/>
          <w:sz w:val="20"/>
        </w:rPr>
        <w:t> </w:t>
      </w:r>
      <w:r>
        <w:rPr>
          <w:sz w:val="20"/>
        </w:rPr>
        <w:t>existing</w:t>
      </w:r>
      <w:r>
        <w:rPr>
          <w:spacing w:val="-3"/>
          <w:sz w:val="20"/>
        </w:rPr>
        <w:t> </w:t>
      </w:r>
      <w:r>
        <w:rPr>
          <w:sz w:val="20"/>
        </w:rPr>
        <w:t>permanent</w:t>
      </w:r>
      <w:r>
        <w:rPr>
          <w:spacing w:val="-5"/>
          <w:sz w:val="20"/>
        </w:rPr>
        <w:t> </w:t>
      </w:r>
      <w:r>
        <w:rPr>
          <w:sz w:val="20"/>
        </w:rPr>
        <w:t>establishment</w:t>
      </w:r>
      <w:r>
        <w:rPr>
          <w:spacing w:val="-2"/>
          <w:sz w:val="20"/>
        </w:rPr>
        <w:t> </w:t>
      </w:r>
      <w:r>
        <w:rPr>
          <w:sz w:val="20"/>
        </w:rPr>
        <w:t>definition</w:t>
      </w:r>
      <w:r>
        <w:rPr>
          <w:spacing w:val="-4"/>
          <w:sz w:val="20"/>
        </w:rPr>
        <w:t> </w:t>
      </w:r>
      <w:r>
        <w:rPr>
          <w:sz w:val="20"/>
        </w:rPr>
        <w:t>in</w:t>
      </w:r>
      <w:r>
        <w:rPr>
          <w:spacing w:val="-6"/>
          <w:sz w:val="20"/>
        </w:rPr>
        <w:t> </w:t>
      </w:r>
      <w:r>
        <w:rPr>
          <w:sz w:val="20"/>
        </w:rPr>
        <w:t>a particular tax treaty). Instead, new standalone treaty provisions would be developed to govern the new taxing rights and those would prevail for the taxation of in-scope</w:t>
      </w:r>
      <w:r>
        <w:rPr>
          <w:spacing w:val="-7"/>
          <w:sz w:val="20"/>
        </w:rPr>
        <w:t> </w:t>
      </w:r>
      <w:r>
        <w:rPr>
          <w:sz w:val="20"/>
        </w:rPr>
        <w:t>MNEs.</w:t>
      </w:r>
    </w:p>
    <w:p>
      <w:pPr>
        <w:pStyle w:val="BodyText"/>
        <w:spacing w:before="4"/>
        <w:rPr>
          <w:sz w:val="18"/>
        </w:rPr>
      </w:pPr>
    </w:p>
    <w:p>
      <w:pPr>
        <w:pStyle w:val="Heading7"/>
        <w:numPr>
          <w:ilvl w:val="0"/>
          <w:numId w:val="87"/>
        </w:numPr>
        <w:tabs>
          <w:tab w:pos="1674" w:val="left" w:leader="none"/>
        </w:tabs>
        <w:spacing w:line="240" w:lineRule="auto" w:before="0" w:after="0"/>
        <w:ind w:left="1673" w:right="0" w:hanging="272"/>
        <w:jc w:val="left"/>
        <w:rPr>
          <w:i/>
        </w:rPr>
      </w:pPr>
      <w:bookmarkStart w:name="B. Elimination of double taxation" w:id="492"/>
      <w:bookmarkEnd w:id="492"/>
      <w:r>
        <w:rPr>
          <w:i w:val="0"/>
        </w:rPr>
      </w:r>
      <w:bookmarkStart w:name="B. Elimination of double taxation" w:id="493"/>
      <w:bookmarkEnd w:id="493"/>
      <w:r>
        <w:rPr>
          <w:i/>
          <w:color w:val="616161"/>
        </w:rPr>
        <w:t>E</w:t>
      </w:r>
      <w:r>
        <w:rPr>
          <w:i/>
          <w:color w:val="616161"/>
        </w:rPr>
        <w:t>limination of double</w:t>
      </w:r>
      <w:r>
        <w:rPr>
          <w:i/>
          <w:color w:val="616161"/>
          <w:spacing w:val="-1"/>
        </w:rPr>
        <w:t> </w:t>
      </w:r>
      <w:r>
        <w:rPr>
          <w:i/>
          <w:color w:val="616161"/>
        </w:rPr>
        <w:t>taxation</w:t>
      </w:r>
    </w:p>
    <w:p>
      <w:pPr>
        <w:pStyle w:val="ListParagraph"/>
        <w:numPr>
          <w:ilvl w:val="0"/>
          <w:numId w:val="13"/>
        </w:numPr>
        <w:tabs>
          <w:tab w:pos="1444" w:val="left" w:leader="none"/>
        </w:tabs>
        <w:spacing w:line="271" w:lineRule="auto" w:before="150" w:after="0"/>
        <w:ind w:left="723" w:right="487" w:firstLine="0"/>
        <w:jc w:val="both"/>
        <w:rPr>
          <w:sz w:val="20"/>
        </w:rPr>
      </w:pPr>
      <w:r>
        <w:rPr>
          <w:sz w:val="20"/>
        </w:rPr>
        <w:t>Changes to the present rules on the elimination of double taxation that will operate for Amount A will be necessary. These rules will provide for the relief of double taxation where a resident entity is identified</w:t>
      </w:r>
      <w:r>
        <w:rPr>
          <w:spacing w:val="-9"/>
          <w:sz w:val="20"/>
        </w:rPr>
        <w:t> </w:t>
      </w:r>
      <w:r>
        <w:rPr>
          <w:sz w:val="20"/>
        </w:rPr>
        <w:t>as</w:t>
      </w:r>
      <w:r>
        <w:rPr>
          <w:spacing w:val="-5"/>
          <w:sz w:val="20"/>
        </w:rPr>
        <w:t> </w:t>
      </w:r>
      <w:r>
        <w:rPr>
          <w:sz w:val="20"/>
        </w:rPr>
        <w:t>the</w:t>
      </w:r>
      <w:r>
        <w:rPr>
          <w:spacing w:val="-6"/>
          <w:sz w:val="20"/>
        </w:rPr>
        <w:t> </w:t>
      </w:r>
      <w:r>
        <w:rPr>
          <w:sz w:val="20"/>
        </w:rPr>
        <w:t>paying</w:t>
      </w:r>
      <w:r>
        <w:rPr>
          <w:spacing w:val="-6"/>
          <w:sz w:val="20"/>
        </w:rPr>
        <w:t> </w:t>
      </w:r>
      <w:r>
        <w:rPr>
          <w:sz w:val="20"/>
        </w:rPr>
        <w:t>entity</w:t>
      </w:r>
      <w:r>
        <w:rPr>
          <w:spacing w:val="-11"/>
          <w:sz w:val="20"/>
        </w:rPr>
        <w:t> </w:t>
      </w:r>
      <w:r>
        <w:rPr>
          <w:sz w:val="20"/>
        </w:rPr>
        <w:t>for</w:t>
      </w:r>
      <w:r>
        <w:rPr>
          <w:spacing w:val="-7"/>
          <w:sz w:val="20"/>
        </w:rPr>
        <w:t> </w:t>
      </w:r>
      <w:r>
        <w:rPr>
          <w:sz w:val="20"/>
        </w:rPr>
        <w:t>the</w:t>
      </w:r>
      <w:r>
        <w:rPr>
          <w:spacing w:val="-6"/>
          <w:sz w:val="20"/>
        </w:rPr>
        <w:t> </w:t>
      </w:r>
      <w:r>
        <w:rPr>
          <w:sz w:val="20"/>
        </w:rPr>
        <w:t>purposes</w:t>
      </w:r>
      <w:r>
        <w:rPr>
          <w:spacing w:val="-5"/>
          <w:sz w:val="20"/>
        </w:rPr>
        <w:t> </w:t>
      </w:r>
      <w:r>
        <w:rPr>
          <w:sz w:val="20"/>
        </w:rPr>
        <w:t>of</w:t>
      </w:r>
      <w:r>
        <w:rPr>
          <w:spacing w:val="-6"/>
          <w:sz w:val="20"/>
        </w:rPr>
        <w:t> </w:t>
      </w:r>
      <w:r>
        <w:rPr>
          <w:sz w:val="20"/>
        </w:rPr>
        <w:t>Amount</w:t>
      </w:r>
      <w:r>
        <w:rPr>
          <w:spacing w:val="1"/>
          <w:sz w:val="20"/>
        </w:rPr>
        <w:t> </w:t>
      </w:r>
      <w:r>
        <w:rPr>
          <w:sz w:val="20"/>
        </w:rPr>
        <w:t>A.</w:t>
      </w:r>
      <w:r>
        <w:rPr>
          <w:spacing w:val="-6"/>
          <w:sz w:val="20"/>
        </w:rPr>
        <w:t> </w:t>
      </w:r>
      <w:r>
        <w:rPr>
          <w:sz w:val="20"/>
        </w:rPr>
        <w:t>The</w:t>
      </w:r>
      <w:r>
        <w:rPr>
          <w:spacing w:val="-8"/>
          <w:sz w:val="20"/>
        </w:rPr>
        <w:t> </w:t>
      </w:r>
      <w:r>
        <w:rPr>
          <w:sz w:val="20"/>
        </w:rPr>
        <w:t>rules</w:t>
      </w:r>
      <w:r>
        <w:rPr>
          <w:spacing w:val="-7"/>
          <w:sz w:val="20"/>
        </w:rPr>
        <w:t> </w:t>
      </w:r>
      <w:r>
        <w:rPr>
          <w:sz w:val="20"/>
        </w:rPr>
        <w:t>could</w:t>
      </w:r>
      <w:r>
        <w:rPr>
          <w:spacing w:val="-6"/>
          <w:sz w:val="20"/>
        </w:rPr>
        <w:t> </w:t>
      </w:r>
      <w:r>
        <w:rPr>
          <w:sz w:val="20"/>
        </w:rPr>
        <w:t>also</w:t>
      </w:r>
      <w:r>
        <w:rPr>
          <w:spacing w:val="-8"/>
          <w:sz w:val="20"/>
        </w:rPr>
        <w:t> </w:t>
      </w:r>
      <w:r>
        <w:rPr>
          <w:sz w:val="20"/>
        </w:rPr>
        <w:t>specify</w:t>
      </w:r>
      <w:r>
        <w:rPr>
          <w:spacing w:val="-11"/>
          <w:sz w:val="20"/>
        </w:rPr>
        <w:t> </w:t>
      </w:r>
      <w:r>
        <w:rPr>
          <w:sz w:val="20"/>
        </w:rPr>
        <w:t>the</w:t>
      </w:r>
      <w:r>
        <w:rPr>
          <w:spacing w:val="-8"/>
          <w:sz w:val="20"/>
        </w:rPr>
        <w:t> </w:t>
      </w:r>
      <w:r>
        <w:rPr>
          <w:sz w:val="20"/>
        </w:rPr>
        <w:t>method</w:t>
      </w:r>
      <w:r>
        <w:rPr>
          <w:spacing w:val="-6"/>
          <w:sz w:val="20"/>
        </w:rPr>
        <w:t> </w:t>
      </w:r>
      <w:r>
        <w:rPr>
          <w:sz w:val="20"/>
        </w:rPr>
        <w:t>to</w:t>
      </w:r>
      <w:r>
        <w:rPr>
          <w:spacing w:val="-6"/>
          <w:sz w:val="20"/>
        </w:rPr>
        <w:t> </w:t>
      </w:r>
      <w:r>
        <w:rPr>
          <w:sz w:val="20"/>
        </w:rPr>
        <w:t>be used – e.g. exemption or</w:t>
      </w:r>
      <w:r>
        <w:rPr>
          <w:spacing w:val="-1"/>
          <w:sz w:val="20"/>
        </w:rPr>
        <w:t> </w:t>
      </w:r>
      <w:r>
        <w:rPr>
          <w:sz w:val="20"/>
        </w:rPr>
        <w:t>credit.</w:t>
      </w:r>
    </w:p>
    <w:p>
      <w:pPr>
        <w:pStyle w:val="ListParagraph"/>
        <w:numPr>
          <w:ilvl w:val="0"/>
          <w:numId w:val="13"/>
        </w:numPr>
        <w:tabs>
          <w:tab w:pos="1444" w:val="left" w:leader="none"/>
        </w:tabs>
        <w:spacing w:line="271" w:lineRule="auto" w:before="123" w:after="0"/>
        <w:ind w:left="723" w:right="480" w:firstLine="0"/>
        <w:jc w:val="both"/>
        <w:rPr>
          <w:sz w:val="20"/>
        </w:rPr>
      </w:pPr>
      <w:r>
        <w:rPr>
          <w:sz w:val="20"/>
        </w:rPr>
        <w:t>In contrast to the rules on the determination of Amount A itself, however, implementing rules on the elimination of double taxation in an international public law instrument may not be necessary as most jurisdictions could, in principle rely on their domestic legislation (amended as necessary) to eliminate double taxation</w:t>
      </w:r>
      <w:r>
        <w:rPr>
          <w:sz w:val="20"/>
          <w:vertAlign w:val="superscript"/>
        </w:rPr>
        <w:t>161</w:t>
      </w:r>
      <w:r>
        <w:rPr>
          <w:sz w:val="20"/>
          <w:vertAlign w:val="baseline"/>
        </w:rPr>
        <w:t>. However, domestic foreign tax credit regimes tend to have limitations that can sometimes result in unrelieved double taxation (for example, if the income taxed in the market jurisdiction is regarded as domestically sourced income in the relieving jurisdiction). There should not be different domestic sourcing rules that would lead to unrelieved double tax on Amount A. Therefore, it would be preferable</w:t>
      </w:r>
      <w:r>
        <w:rPr>
          <w:spacing w:val="-5"/>
          <w:sz w:val="20"/>
          <w:vertAlign w:val="baseline"/>
        </w:rPr>
        <w:t> </w:t>
      </w:r>
      <w:r>
        <w:rPr>
          <w:sz w:val="20"/>
          <w:vertAlign w:val="baseline"/>
        </w:rPr>
        <w:t>to</w:t>
      </w:r>
      <w:r>
        <w:rPr>
          <w:spacing w:val="-5"/>
          <w:sz w:val="20"/>
          <w:vertAlign w:val="baseline"/>
        </w:rPr>
        <w:t> </w:t>
      </w:r>
      <w:r>
        <w:rPr>
          <w:sz w:val="20"/>
          <w:vertAlign w:val="baseline"/>
        </w:rPr>
        <w:t>include</w:t>
      </w:r>
      <w:r>
        <w:rPr>
          <w:spacing w:val="-8"/>
          <w:sz w:val="20"/>
          <w:vertAlign w:val="baseline"/>
        </w:rPr>
        <w:t> </w:t>
      </w:r>
      <w:r>
        <w:rPr>
          <w:sz w:val="20"/>
          <w:vertAlign w:val="baseline"/>
        </w:rPr>
        <w:t>in</w:t>
      </w:r>
      <w:r>
        <w:rPr>
          <w:spacing w:val="-7"/>
          <w:sz w:val="20"/>
          <w:vertAlign w:val="baseline"/>
        </w:rPr>
        <w:t> </w:t>
      </w:r>
      <w:r>
        <w:rPr>
          <w:sz w:val="20"/>
          <w:vertAlign w:val="baseline"/>
        </w:rPr>
        <w:t>the</w:t>
      </w:r>
      <w:r>
        <w:rPr>
          <w:spacing w:val="-5"/>
          <w:sz w:val="20"/>
          <w:vertAlign w:val="baseline"/>
        </w:rPr>
        <w:t> </w:t>
      </w:r>
      <w:r>
        <w:rPr>
          <w:sz w:val="20"/>
          <w:vertAlign w:val="baseline"/>
        </w:rPr>
        <w:t>multilateral</w:t>
      </w:r>
      <w:r>
        <w:rPr>
          <w:spacing w:val="-8"/>
          <w:sz w:val="20"/>
          <w:vertAlign w:val="baseline"/>
        </w:rPr>
        <w:t> </w:t>
      </w:r>
      <w:r>
        <w:rPr>
          <w:sz w:val="20"/>
          <w:vertAlign w:val="baseline"/>
        </w:rPr>
        <w:t>convention</w:t>
      </w:r>
      <w:r>
        <w:rPr>
          <w:spacing w:val="-6"/>
          <w:sz w:val="20"/>
          <w:vertAlign w:val="baseline"/>
        </w:rPr>
        <w:t> </w:t>
      </w:r>
      <w:r>
        <w:rPr>
          <w:sz w:val="20"/>
          <w:vertAlign w:val="baseline"/>
        </w:rPr>
        <w:t>those</w:t>
      </w:r>
      <w:r>
        <w:rPr>
          <w:spacing w:val="-7"/>
          <w:sz w:val="20"/>
          <w:vertAlign w:val="baseline"/>
        </w:rPr>
        <w:t> </w:t>
      </w:r>
      <w:r>
        <w:rPr>
          <w:sz w:val="20"/>
          <w:vertAlign w:val="baseline"/>
        </w:rPr>
        <w:t>rules</w:t>
      </w:r>
      <w:r>
        <w:rPr>
          <w:spacing w:val="-1"/>
          <w:sz w:val="20"/>
          <w:vertAlign w:val="baseline"/>
        </w:rPr>
        <w:t> </w:t>
      </w:r>
      <w:r>
        <w:rPr>
          <w:sz w:val="20"/>
          <w:vertAlign w:val="baseline"/>
        </w:rPr>
        <w:t>which</w:t>
      </w:r>
      <w:r>
        <w:rPr>
          <w:spacing w:val="-5"/>
          <w:sz w:val="20"/>
          <w:vertAlign w:val="baseline"/>
        </w:rPr>
        <w:t> </w:t>
      </w:r>
      <w:r>
        <w:rPr>
          <w:sz w:val="20"/>
          <w:vertAlign w:val="baseline"/>
        </w:rPr>
        <w:t>would</w:t>
      </w:r>
      <w:r>
        <w:rPr>
          <w:spacing w:val="-4"/>
          <w:sz w:val="20"/>
          <w:vertAlign w:val="baseline"/>
        </w:rPr>
        <w:t> </w:t>
      </w:r>
      <w:r>
        <w:rPr>
          <w:sz w:val="20"/>
          <w:vertAlign w:val="baseline"/>
        </w:rPr>
        <w:t>be</w:t>
      </w:r>
      <w:r>
        <w:rPr>
          <w:spacing w:val="-8"/>
          <w:sz w:val="20"/>
          <w:vertAlign w:val="baseline"/>
        </w:rPr>
        <w:t> </w:t>
      </w:r>
      <w:r>
        <w:rPr>
          <w:sz w:val="20"/>
          <w:vertAlign w:val="baseline"/>
        </w:rPr>
        <w:t>relevant</w:t>
      </w:r>
      <w:r>
        <w:rPr>
          <w:spacing w:val="-7"/>
          <w:sz w:val="20"/>
          <w:vertAlign w:val="baseline"/>
        </w:rPr>
        <w:t> </w:t>
      </w:r>
      <w:r>
        <w:rPr>
          <w:sz w:val="20"/>
          <w:vertAlign w:val="baseline"/>
        </w:rPr>
        <w:t>for</w:t>
      </w:r>
      <w:r>
        <w:rPr>
          <w:spacing w:val="-7"/>
          <w:sz w:val="20"/>
          <w:vertAlign w:val="baseline"/>
        </w:rPr>
        <w:t> </w:t>
      </w:r>
      <w:r>
        <w:rPr>
          <w:sz w:val="20"/>
          <w:vertAlign w:val="baseline"/>
        </w:rPr>
        <w:t>all</w:t>
      </w:r>
      <w:r>
        <w:rPr>
          <w:spacing w:val="-7"/>
          <w:sz w:val="20"/>
          <w:vertAlign w:val="baseline"/>
        </w:rPr>
        <w:t> </w:t>
      </w:r>
      <w:r>
        <w:rPr>
          <w:sz w:val="20"/>
          <w:vertAlign w:val="baseline"/>
        </w:rPr>
        <w:t>jurisdictions, regardless of the existence of bilateral tax treaties. This would ensure that relief from double taxation is effective and coordinated among jurisdictions. Including such a section would also ensure the effective operation of the dispute prevention and resolution processes for Amount</w:t>
      </w:r>
      <w:r>
        <w:rPr>
          <w:spacing w:val="-11"/>
          <w:sz w:val="20"/>
          <w:vertAlign w:val="baseline"/>
        </w:rPr>
        <w:t> </w:t>
      </w:r>
      <w:r>
        <w:rPr>
          <w:sz w:val="20"/>
          <w:vertAlign w:val="baseline"/>
        </w:rPr>
        <w:t>A.</w:t>
      </w:r>
    </w:p>
    <w:p>
      <w:pPr>
        <w:pStyle w:val="BodyText"/>
      </w:pPr>
    </w:p>
    <w:p>
      <w:pPr>
        <w:pStyle w:val="BodyText"/>
      </w:pPr>
    </w:p>
    <w:p>
      <w:pPr>
        <w:pStyle w:val="BodyText"/>
      </w:pPr>
    </w:p>
    <w:p>
      <w:pPr>
        <w:pStyle w:val="BodyText"/>
      </w:pPr>
    </w:p>
    <w:p>
      <w:pPr>
        <w:pStyle w:val="BodyText"/>
        <w:spacing w:before="8"/>
        <w:rPr>
          <w:sz w:val="27"/>
        </w:rPr>
      </w:pPr>
      <w:r>
        <w:rPr/>
        <w:pict>
          <v:rect style="position:absolute;margin-left:65.183998pt;margin-top:17.880722pt;width:144.020004pt;height:.60004pt;mso-position-horizontal-relative:page;mso-position-vertical-relative:paragraph;z-index:-1563904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00" w:val="left" w:leader="none"/>
        </w:tabs>
        <w:spacing w:line="278" w:lineRule="auto" w:before="94" w:after="0"/>
        <w:ind w:left="723" w:right="479" w:firstLine="0"/>
        <w:jc w:val="both"/>
        <w:rPr>
          <w:sz w:val="18"/>
        </w:rPr>
      </w:pPr>
      <w:r>
        <w:rPr>
          <w:sz w:val="18"/>
        </w:rPr>
        <w:t>Treaty</w:t>
      </w:r>
      <w:r>
        <w:rPr>
          <w:spacing w:val="-8"/>
          <w:sz w:val="18"/>
        </w:rPr>
        <w:t> </w:t>
      </w:r>
      <w:r>
        <w:rPr>
          <w:sz w:val="18"/>
        </w:rPr>
        <w:t>provisions</w:t>
      </w:r>
      <w:r>
        <w:rPr>
          <w:spacing w:val="-8"/>
          <w:sz w:val="18"/>
        </w:rPr>
        <w:t> </w:t>
      </w:r>
      <w:r>
        <w:rPr>
          <w:sz w:val="18"/>
        </w:rPr>
        <w:t>on</w:t>
      </w:r>
      <w:r>
        <w:rPr>
          <w:spacing w:val="-9"/>
          <w:sz w:val="18"/>
        </w:rPr>
        <w:t> </w:t>
      </w:r>
      <w:r>
        <w:rPr>
          <w:sz w:val="18"/>
        </w:rPr>
        <w:t>elimination</w:t>
      </w:r>
      <w:r>
        <w:rPr>
          <w:spacing w:val="-5"/>
          <w:sz w:val="18"/>
        </w:rPr>
        <w:t> </w:t>
      </w:r>
      <w:r>
        <w:rPr>
          <w:sz w:val="18"/>
        </w:rPr>
        <w:t>of</w:t>
      </w:r>
      <w:r>
        <w:rPr>
          <w:spacing w:val="-9"/>
          <w:sz w:val="18"/>
        </w:rPr>
        <w:t> </w:t>
      </w:r>
      <w:r>
        <w:rPr>
          <w:sz w:val="18"/>
        </w:rPr>
        <w:t>double</w:t>
      </w:r>
      <w:r>
        <w:rPr>
          <w:spacing w:val="-9"/>
          <w:sz w:val="18"/>
        </w:rPr>
        <w:t> </w:t>
      </w:r>
      <w:r>
        <w:rPr>
          <w:sz w:val="18"/>
        </w:rPr>
        <w:t>taxation</w:t>
      </w:r>
      <w:r>
        <w:rPr>
          <w:spacing w:val="-6"/>
          <w:sz w:val="18"/>
        </w:rPr>
        <w:t> </w:t>
      </w:r>
      <w:r>
        <w:rPr>
          <w:sz w:val="18"/>
        </w:rPr>
        <w:t>impose</w:t>
      </w:r>
      <w:r>
        <w:rPr>
          <w:spacing w:val="-8"/>
          <w:sz w:val="18"/>
        </w:rPr>
        <w:t> </w:t>
      </w:r>
      <w:r>
        <w:rPr>
          <w:sz w:val="18"/>
        </w:rPr>
        <w:t>an</w:t>
      </w:r>
      <w:r>
        <w:rPr>
          <w:spacing w:val="-6"/>
          <w:sz w:val="18"/>
        </w:rPr>
        <w:t> </w:t>
      </w:r>
      <w:r>
        <w:rPr>
          <w:sz w:val="18"/>
        </w:rPr>
        <w:t>obligation</w:t>
      </w:r>
      <w:r>
        <w:rPr>
          <w:spacing w:val="-9"/>
          <w:sz w:val="18"/>
        </w:rPr>
        <w:t> </w:t>
      </w:r>
      <w:r>
        <w:rPr>
          <w:sz w:val="18"/>
        </w:rPr>
        <w:t>on</w:t>
      </w:r>
      <w:r>
        <w:rPr>
          <w:spacing w:val="-9"/>
          <w:sz w:val="18"/>
        </w:rPr>
        <w:t> </w:t>
      </w:r>
      <w:r>
        <w:rPr>
          <w:sz w:val="18"/>
        </w:rPr>
        <w:t>the</w:t>
      </w:r>
      <w:r>
        <w:rPr>
          <w:spacing w:val="-8"/>
          <w:sz w:val="18"/>
        </w:rPr>
        <w:t> </w:t>
      </w:r>
      <w:r>
        <w:rPr>
          <w:sz w:val="18"/>
        </w:rPr>
        <w:t>state</w:t>
      </w:r>
      <w:r>
        <w:rPr>
          <w:spacing w:val="-6"/>
          <w:sz w:val="18"/>
        </w:rPr>
        <w:t> </w:t>
      </w:r>
      <w:r>
        <w:rPr>
          <w:sz w:val="18"/>
        </w:rPr>
        <w:t>of</w:t>
      </w:r>
      <w:r>
        <w:rPr>
          <w:spacing w:val="-7"/>
          <w:sz w:val="18"/>
        </w:rPr>
        <w:t> </w:t>
      </w:r>
      <w:r>
        <w:rPr>
          <w:sz w:val="18"/>
        </w:rPr>
        <w:t>residence</w:t>
      </w:r>
      <w:r>
        <w:rPr>
          <w:spacing w:val="-6"/>
          <w:sz w:val="18"/>
        </w:rPr>
        <w:t> </w:t>
      </w:r>
      <w:r>
        <w:rPr>
          <w:sz w:val="18"/>
        </w:rPr>
        <w:t>to</w:t>
      </w:r>
      <w:r>
        <w:rPr>
          <w:spacing w:val="-8"/>
          <w:sz w:val="18"/>
        </w:rPr>
        <w:t> </w:t>
      </w:r>
      <w:r>
        <w:rPr>
          <w:sz w:val="18"/>
        </w:rPr>
        <w:t>relieve</w:t>
      </w:r>
      <w:r>
        <w:rPr>
          <w:spacing w:val="-5"/>
          <w:sz w:val="18"/>
        </w:rPr>
        <w:t> </w:t>
      </w:r>
      <w:r>
        <w:rPr>
          <w:sz w:val="18"/>
        </w:rPr>
        <w:t>foreign tax. They would not typically prevent a jurisdiction from taking on additional obligations to relieve double taxation – such as would be required for Amount</w:t>
      </w:r>
      <w:r>
        <w:rPr>
          <w:spacing w:val="-6"/>
          <w:sz w:val="18"/>
        </w:rPr>
        <w:t> </w:t>
      </w:r>
      <w:r>
        <w:rPr>
          <w:sz w:val="18"/>
        </w:rPr>
        <w:t>A.</w:t>
      </w:r>
    </w:p>
    <w:p>
      <w:pPr>
        <w:spacing w:after="0" w:line="278" w:lineRule="auto"/>
        <w:jc w:val="both"/>
        <w:rPr>
          <w:sz w:val="18"/>
        </w:rPr>
        <w:sectPr>
          <w:pgSz w:w="11910" w:h="16840"/>
          <w:pgMar w:header="1244" w:footer="1638" w:top="1500" w:bottom="1820" w:left="580" w:right="820"/>
        </w:sectPr>
      </w:pPr>
    </w:p>
    <w:p>
      <w:pPr>
        <w:pStyle w:val="BodyText"/>
        <w:spacing w:before="8"/>
        <w:rPr>
          <w:sz w:val="17"/>
        </w:rPr>
      </w:pPr>
    </w:p>
    <w:p>
      <w:pPr>
        <w:pStyle w:val="Heading7"/>
        <w:numPr>
          <w:ilvl w:val="0"/>
          <w:numId w:val="87"/>
        </w:numPr>
        <w:tabs>
          <w:tab w:pos="1686" w:val="left" w:leader="none"/>
        </w:tabs>
        <w:spacing w:line="240" w:lineRule="auto" w:before="94" w:after="0"/>
        <w:ind w:left="1685" w:right="0" w:hanging="284"/>
        <w:jc w:val="left"/>
        <w:rPr>
          <w:i/>
        </w:rPr>
      </w:pPr>
      <w:bookmarkStart w:name="C. Procedure, administration and Amount " w:id="494"/>
      <w:bookmarkEnd w:id="494"/>
      <w:r>
        <w:rPr>
          <w:i w:val="0"/>
        </w:rPr>
      </w:r>
      <w:bookmarkStart w:name="C. Procedure, administration and Amount " w:id="495"/>
      <w:bookmarkEnd w:id="495"/>
      <w:r>
        <w:rPr>
          <w:i/>
          <w:color w:val="616161"/>
        </w:rPr>
        <w:t>P</w:t>
      </w:r>
      <w:r>
        <w:rPr>
          <w:i/>
          <w:color w:val="616161"/>
        </w:rPr>
        <w:t>rocedure, administration and Amount A related tax-certainty</w:t>
      </w:r>
      <w:r>
        <w:rPr>
          <w:i/>
          <w:color w:val="616161"/>
          <w:spacing w:val="-11"/>
        </w:rPr>
        <w:t> </w:t>
      </w:r>
      <w:r>
        <w:rPr>
          <w:i/>
          <w:color w:val="616161"/>
        </w:rPr>
        <w:t>processes</w:t>
      </w:r>
    </w:p>
    <w:p>
      <w:pPr>
        <w:pStyle w:val="ListParagraph"/>
        <w:numPr>
          <w:ilvl w:val="0"/>
          <w:numId w:val="13"/>
        </w:numPr>
        <w:tabs>
          <w:tab w:pos="1444" w:val="left" w:leader="none"/>
        </w:tabs>
        <w:spacing w:line="271" w:lineRule="auto" w:before="150" w:after="0"/>
        <w:ind w:left="723" w:right="484" w:firstLine="0"/>
        <w:jc w:val="both"/>
        <w:rPr>
          <w:sz w:val="20"/>
        </w:rPr>
      </w:pPr>
      <w:r>
        <w:rPr>
          <w:sz w:val="20"/>
        </w:rPr>
        <w:t>It will be essential to implement the new simplified administration process and the processes for dispute prevention and resolution for Amount A in the multilateral convention to ensure consistency and certainty on Amount</w:t>
      </w:r>
      <w:r>
        <w:rPr>
          <w:spacing w:val="-4"/>
          <w:sz w:val="20"/>
        </w:rPr>
        <w:t> </w:t>
      </w:r>
      <w:r>
        <w:rPr>
          <w:sz w:val="20"/>
        </w:rPr>
        <w:t>A.</w:t>
      </w:r>
    </w:p>
    <w:p>
      <w:pPr>
        <w:pStyle w:val="ListParagraph"/>
        <w:numPr>
          <w:ilvl w:val="0"/>
          <w:numId w:val="13"/>
        </w:numPr>
        <w:tabs>
          <w:tab w:pos="1444" w:val="left" w:leader="none"/>
        </w:tabs>
        <w:spacing w:line="271" w:lineRule="auto" w:before="120" w:after="0"/>
        <w:ind w:left="723" w:right="478" w:firstLine="0"/>
        <w:jc w:val="both"/>
        <w:rPr>
          <w:sz w:val="20"/>
        </w:rPr>
      </w:pPr>
      <w:r>
        <w:rPr>
          <w:sz w:val="20"/>
        </w:rPr>
        <w:t>Unlike the sections of the multilateral convention on the determination of Amount A and the elimination of double taxation, the section on procedure, administration and the tax certainty processes would be relevant for all parties to the convention, whether or not they have an existing treaty between them. Existing bilateral tax treaties would not prevent the application of these procedures, administrative and tax certainty provisions and so the multilateral convention would not need to supersede them. For provisions relating to the new dispute resolution mechanism beyond Amount A, it is envisaged that they would</w:t>
      </w:r>
      <w:r>
        <w:rPr>
          <w:spacing w:val="-7"/>
          <w:sz w:val="20"/>
        </w:rPr>
        <w:t> </w:t>
      </w:r>
      <w:r>
        <w:rPr>
          <w:sz w:val="20"/>
        </w:rPr>
        <w:t>apply</w:t>
      </w:r>
      <w:r>
        <w:rPr>
          <w:spacing w:val="-10"/>
          <w:sz w:val="20"/>
        </w:rPr>
        <w:t> </w:t>
      </w:r>
      <w:r>
        <w:rPr>
          <w:sz w:val="20"/>
        </w:rPr>
        <w:t>only</w:t>
      </w:r>
      <w:r>
        <w:rPr>
          <w:spacing w:val="-10"/>
          <w:sz w:val="20"/>
        </w:rPr>
        <w:t> </w:t>
      </w:r>
      <w:r>
        <w:rPr>
          <w:sz w:val="20"/>
        </w:rPr>
        <w:t>in</w:t>
      </w:r>
      <w:r>
        <w:rPr>
          <w:spacing w:val="-6"/>
          <w:sz w:val="20"/>
        </w:rPr>
        <w:t> </w:t>
      </w:r>
      <w:r>
        <w:rPr>
          <w:sz w:val="20"/>
        </w:rPr>
        <w:t>the</w:t>
      </w:r>
      <w:r>
        <w:rPr>
          <w:spacing w:val="-7"/>
          <w:sz w:val="20"/>
        </w:rPr>
        <w:t> </w:t>
      </w:r>
      <w:r>
        <w:rPr>
          <w:sz w:val="20"/>
        </w:rPr>
        <w:t>absence</w:t>
      </w:r>
      <w:r>
        <w:rPr>
          <w:spacing w:val="-9"/>
          <w:sz w:val="20"/>
        </w:rPr>
        <w:t> </w:t>
      </w:r>
      <w:r>
        <w:rPr>
          <w:sz w:val="20"/>
        </w:rPr>
        <w:t>of</w:t>
      </w:r>
      <w:r>
        <w:rPr>
          <w:spacing w:val="-7"/>
          <w:sz w:val="20"/>
        </w:rPr>
        <w:t> </w:t>
      </w:r>
      <w:r>
        <w:rPr>
          <w:sz w:val="20"/>
        </w:rPr>
        <w:t>an</w:t>
      </w:r>
      <w:r>
        <w:rPr>
          <w:spacing w:val="-8"/>
          <w:sz w:val="20"/>
        </w:rPr>
        <w:t> </w:t>
      </w:r>
      <w:r>
        <w:rPr>
          <w:sz w:val="20"/>
        </w:rPr>
        <w:t>existing</w:t>
      </w:r>
      <w:r>
        <w:rPr>
          <w:spacing w:val="-9"/>
          <w:sz w:val="20"/>
        </w:rPr>
        <w:t> </w:t>
      </w:r>
      <w:r>
        <w:rPr>
          <w:sz w:val="20"/>
        </w:rPr>
        <w:t>mandatory</w:t>
      </w:r>
      <w:r>
        <w:rPr>
          <w:spacing w:val="-10"/>
          <w:sz w:val="20"/>
        </w:rPr>
        <w:t> </w:t>
      </w:r>
      <w:r>
        <w:rPr>
          <w:sz w:val="20"/>
        </w:rPr>
        <w:t>binding</w:t>
      </w:r>
      <w:r>
        <w:rPr>
          <w:spacing w:val="-7"/>
          <w:sz w:val="20"/>
        </w:rPr>
        <w:t> </w:t>
      </w:r>
      <w:r>
        <w:rPr>
          <w:sz w:val="20"/>
        </w:rPr>
        <w:t>dispute</w:t>
      </w:r>
      <w:r>
        <w:rPr>
          <w:spacing w:val="-8"/>
          <w:sz w:val="20"/>
        </w:rPr>
        <w:t> </w:t>
      </w:r>
      <w:r>
        <w:rPr>
          <w:sz w:val="20"/>
        </w:rPr>
        <w:t>resolution</w:t>
      </w:r>
      <w:r>
        <w:rPr>
          <w:spacing w:val="-9"/>
          <w:sz w:val="20"/>
        </w:rPr>
        <w:t> </w:t>
      </w:r>
      <w:r>
        <w:rPr>
          <w:sz w:val="20"/>
        </w:rPr>
        <w:t>mechanism,</w:t>
      </w:r>
      <w:r>
        <w:rPr>
          <w:spacing w:val="-9"/>
          <w:sz w:val="20"/>
        </w:rPr>
        <w:t> </w:t>
      </w:r>
      <w:r>
        <w:rPr>
          <w:sz w:val="20"/>
        </w:rPr>
        <w:t>or</w:t>
      </w:r>
      <w:r>
        <w:rPr>
          <w:spacing w:val="-8"/>
          <w:sz w:val="20"/>
        </w:rPr>
        <w:t> </w:t>
      </w:r>
      <w:r>
        <w:rPr>
          <w:sz w:val="20"/>
        </w:rPr>
        <w:t>where treaty partners had expressly agreed that the new mechanism should take priority over an existing mechanism.</w:t>
      </w:r>
    </w:p>
    <w:p>
      <w:pPr>
        <w:pStyle w:val="BodyText"/>
        <w:spacing w:before="4"/>
        <w:rPr>
          <w:sz w:val="18"/>
        </w:rPr>
      </w:pPr>
    </w:p>
    <w:p>
      <w:pPr>
        <w:pStyle w:val="Heading7"/>
        <w:numPr>
          <w:ilvl w:val="0"/>
          <w:numId w:val="87"/>
        </w:numPr>
        <w:tabs>
          <w:tab w:pos="1684" w:val="left" w:leader="none"/>
        </w:tabs>
        <w:spacing w:line="240" w:lineRule="auto" w:before="0" w:after="0"/>
        <w:ind w:left="1683" w:right="0" w:hanging="282"/>
        <w:jc w:val="left"/>
        <w:rPr>
          <w:i/>
        </w:rPr>
      </w:pPr>
      <w:bookmarkStart w:name="D. Other tax-certainty processes beyond " w:id="496"/>
      <w:bookmarkEnd w:id="496"/>
      <w:r>
        <w:rPr>
          <w:i w:val="0"/>
        </w:rPr>
      </w:r>
      <w:bookmarkStart w:name="D. Other tax-certainty processes beyond " w:id="497"/>
      <w:bookmarkEnd w:id="497"/>
      <w:r>
        <w:rPr>
          <w:i/>
          <w:color w:val="616161"/>
        </w:rPr>
        <w:t>Ot</w:t>
      </w:r>
      <w:r>
        <w:rPr>
          <w:i/>
          <w:color w:val="616161"/>
        </w:rPr>
        <w:t>her tax-certainty processes beyond Amount</w:t>
      </w:r>
      <w:r>
        <w:rPr>
          <w:i/>
          <w:color w:val="616161"/>
          <w:spacing w:val="-5"/>
        </w:rPr>
        <w:t> </w:t>
      </w:r>
      <w:r>
        <w:rPr>
          <w:i/>
          <w:color w:val="616161"/>
        </w:rPr>
        <w:t>A</w:t>
      </w:r>
    </w:p>
    <w:p>
      <w:pPr>
        <w:pStyle w:val="ListParagraph"/>
        <w:numPr>
          <w:ilvl w:val="0"/>
          <w:numId w:val="13"/>
        </w:numPr>
        <w:tabs>
          <w:tab w:pos="1444" w:val="left" w:leader="none"/>
        </w:tabs>
        <w:spacing w:line="271" w:lineRule="auto" w:before="152" w:after="0"/>
        <w:ind w:left="723" w:right="478" w:firstLine="0"/>
        <w:jc w:val="both"/>
        <w:rPr>
          <w:sz w:val="20"/>
        </w:rPr>
      </w:pPr>
      <w:r>
        <w:rPr>
          <w:sz w:val="20"/>
        </w:rPr>
        <w:t>Implementing</w:t>
      </w:r>
      <w:r>
        <w:rPr>
          <w:spacing w:val="-14"/>
          <w:sz w:val="20"/>
        </w:rPr>
        <w:t> </w:t>
      </w:r>
      <w:r>
        <w:rPr>
          <w:sz w:val="20"/>
        </w:rPr>
        <w:t>new</w:t>
      </w:r>
      <w:r>
        <w:rPr>
          <w:spacing w:val="-16"/>
          <w:sz w:val="20"/>
        </w:rPr>
        <w:t> </w:t>
      </w:r>
      <w:r>
        <w:rPr>
          <w:sz w:val="20"/>
        </w:rPr>
        <w:t>rules</w:t>
      </w:r>
      <w:r>
        <w:rPr>
          <w:spacing w:val="-12"/>
          <w:sz w:val="20"/>
        </w:rPr>
        <w:t> </w:t>
      </w:r>
      <w:r>
        <w:rPr>
          <w:sz w:val="20"/>
        </w:rPr>
        <w:t>on</w:t>
      </w:r>
      <w:r>
        <w:rPr>
          <w:spacing w:val="-14"/>
          <w:sz w:val="20"/>
        </w:rPr>
        <w:t> </w:t>
      </w:r>
      <w:r>
        <w:rPr>
          <w:sz w:val="20"/>
        </w:rPr>
        <w:t>tax</w:t>
      </w:r>
      <w:r>
        <w:rPr>
          <w:spacing w:val="-13"/>
          <w:sz w:val="20"/>
        </w:rPr>
        <w:t> </w:t>
      </w:r>
      <w:r>
        <w:rPr>
          <w:sz w:val="20"/>
        </w:rPr>
        <w:t>certainty</w:t>
      </w:r>
      <w:r>
        <w:rPr>
          <w:spacing w:val="-16"/>
          <w:sz w:val="20"/>
        </w:rPr>
        <w:t> </w:t>
      </w:r>
      <w:r>
        <w:rPr>
          <w:sz w:val="20"/>
        </w:rPr>
        <w:t>beyond</w:t>
      </w:r>
      <w:r>
        <w:rPr>
          <w:spacing w:val="-14"/>
          <w:sz w:val="20"/>
        </w:rPr>
        <w:t> </w:t>
      </w:r>
      <w:r>
        <w:rPr>
          <w:sz w:val="20"/>
        </w:rPr>
        <w:t>Amount</w:t>
      </w:r>
      <w:r>
        <w:rPr>
          <w:spacing w:val="-14"/>
          <w:sz w:val="20"/>
        </w:rPr>
        <w:t> </w:t>
      </w:r>
      <w:r>
        <w:rPr>
          <w:sz w:val="20"/>
        </w:rPr>
        <w:t>A</w:t>
      </w:r>
      <w:r>
        <w:rPr>
          <w:spacing w:val="-10"/>
          <w:sz w:val="20"/>
        </w:rPr>
        <w:t> </w:t>
      </w:r>
      <w:r>
        <w:rPr>
          <w:sz w:val="20"/>
        </w:rPr>
        <w:t>through</w:t>
      </w:r>
      <w:r>
        <w:rPr>
          <w:spacing w:val="-13"/>
          <w:sz w:val="20"/>
        </w:rPr>
        <w:t> </w:t>
      </w:r>
      <w:r>
        <w:rPr>
          <w:sz w:val="20"/>
        </w:rPr>
        <w:t>the</w:t>
      </w:r>
      <w:r>
        <w:rPr>
          <w:spacing w:val="-14"/>
          <w:sz w:val="20"/>
        </w:rPr>
        <w:t> </w:t>
      </w:r>
      <w:r>
        <w:rPr>
          <w:sz w:val="20"/>
        </w:rPr>
        <w:t>multilateral</w:t>
      </w:r>
      <w:r>
        <w:rPr>
          <w:spacing w:val="-14"/>
          <w:sz w:val="20"/>
        </w:rPr>
        <w:t> </w:t>
      </w:r>
      <w:r>
        <w:rPr>
          <w:sz w:val="20"/>
        </w:rPr>
        <w:t>convention</w:t>
      </w:r>
      <w:r>
        <w:rPr>
          <w:spacing w:val="-11"/>
          <w:sz w:val="20"/>
        </w:rPr>
        <w:t> </w:t>
      </w:r>
      <w:r>
        <w:rPr>
          <w:sz w:val="20"/>
        </w:rPr>
        <w:t>may help ensure that the processes introduced are consistent with those that apply for Amount A. A dedicated part of the convention could likely be used, governing the different steps of the tax certainty processes beyond Amount A, including dispute prevention, MAP processes and the mandatory binding dispute resolution mechanism.</w:t>
      </w:r>
    </w:p>
    <w:p>
      <w:pPr>
        <w:pStyle w:val="ListParagraph"/>
        <w:numPr>
          <w:ilvl w:val="0"/>
          <w:numId w:val="13"/>
        </w:numPr>
        <w:tabs>
          <w:tab w:pos="1444" w:val="left" w:leader="none"/>
        </w:tabs>
        <w:spacing w:line="271" w:lineRule="auto" w:before="119" w:after="0"/>
        <w:ind w:left="723" w:right="485" w:firstLine="0"/>
        <w:jc w:val="both"/>
        <w:rPr>
          <w:sz w:val="20"/>
        </w:rPr>
      </w:pPr>
      <w:r>
        <w:rPr>
          <w:sz w:val="20"/>
        </w:rPr>
        <w:t>Further consideration needs to be given to the question how this part of the convention should apply</w:t>
      </w:r>
      <w:r>
        <w:rPr>
          <w:spacing w:val="-7"/>
          <w:sz w:val="20"/>
        </w:rPr>
        <w:t> </w:t>
      </w:r>
      <w:r>
        <w:rPr>
          <w:sz w:val="20"/>
        </w:rPr>
        <w:t>among</w:t>
      </w:r>
      <w:r>
        <w:rPr>
          <w:spacing w:val="-7"/>
          <w:sz w:val="20"/>
        </w:rPr>
        <w:t> </w:t>
      </w:r>
      <w:r>
        <w:rPr>
          <w:sz w:val="20"/>
        </w:rPr>
        <w:t>jurisdictions</w:t>
      </w:r>
      <w:r>
        <w:rPr>
          <w:spacing w:val="-3"/>
          <w:sz w:val="20"/>
        </w:rPr>
        <w:t> </w:t>
      </w:r>
      <w:r>
        <w:rPr>
          <w:sz w:val="20"/>
        </w:rPr>
        <w:t>depending</w:t>
      </w:r>
      <w:r>
        <w:rPr>
          <w:spacing w:val="-5"/>
          <w:sz w:val="20"/>
        </w:rPr>
        <w:t> </w:t>
      </w:r>
      <w:r>
        <w:rPr>
          <w:sz w:val="20"/>
        </w:rPr>
        <w:t>on</w:t>
      </w:r>
      <w:r>
        <w:rPr>
          <w:spacing w:val="-5"/>
          <w:sz w:val="20"/>
        </w:rPr>
        <w:t> </w:t>
      </w:r>
      <w:r>
        <w:rPr>
          <w:sz w:val="20"/>
        </w:rPr>
        <w:t>whether</w:t>
      </w:r>
      <w:r>
        <w:rPr>
          <w:spacing w:val="-6"/>
          <w:sz w:val="20"/>
        </w:rPr>
        <w:t> </w:t>
      </w:r>
      <w:r>
        <w:rPr>
          <w:sz w:val="20"/>
        </w:rPr>
        <w:t>they</w:t>
      </w:r>
      <w:r>
        <w:rPr>
          <w:spacing w:val="-5"/>
          <w:sz w:val="20"/>
        </w:rPr>
        <w:t> </w:t>
      </w:r>
      <w:r>
        <w:rPr>
          <w:sz w:val="20"/>
        </w:rPr>
        <w:t>have</w:t>
      </w:r>
      <w:r>
        <w:rPr>
          <w:spacing w:val="-7"/>
          <w:sz w:val="20"/>
        </w:rPr>
        <w:t> </w:t>
      </w:r>
      <w:r>
        <w:rPr>
          <w:sz w:val="20"/>
        </w:rPr>
        <w:t>an</w:t>
      </w:r>
      <w:r>
        <w:rPr>
          <w:spacing w:val="-4"/>
          <w:sz w:val="20"/>
        </w:rPr>
        <w:t> </w:t>
      </w:r>
      <w:r>
        <w:rPr>
          <w:sz w:val="20"/>
        </w:rPr>
        <w:t>existing</w:t>
      </w:r>
      <w:r>
        <w:rPr>
          <w:spacing w:val="-6"/>
          <w:sz w:val="20"/>
        </w:rPr>
        <w:t> </w:t>
      </w:r>
      <w:r>
        <w:rPr>
          <w:sz w:val="20"/>
        </w:rPr>
        <w:t>bilateral</w:t>
      </w:r>
      <w:r>
        <w:rPr>
          <w:spacing w:val="-5"/>
          <w:sz w:val="20"/>
        </w:rPr>
        <w:t> </w:t>
      </w:r>
      <w:r>
        <w:rPr>
          <w:sz w:val="20"/>
        </w:rPr>
        <w:t>treaty,</w:t>
      </w:r>
      <w:r>
        <w:rPr>
          <w:spacing w:val="-6"/>
          <w:sz w:val="20"/>
        </w:rPr>
        <w:t> </w:t>
      </w:r>
      <w:r>
        <w:rPr>
          <w:sz w:val="20"/>
        </w:rPr>
        <w:t>or</w:t>
      </w:r>
      <w:r>
        <w:rPr>
          <w:spacing w:val="-4"/>
          <w:sz w:val="20"/>
        </w:rPr>
        <w:t> </w:t>
      </w:r>
      <w:r>
        <w:rPr>
          <w:sz w:val="20"/>
        </w:rPr>
        <w:t>if</w:t>
      </w:r>
      <w:r>
        <w:rPr>
          <w:spacing w:val="-4"/>
          <w:sz w:val="20"/>
        </w:rPr>
        <w:t> </w:t>
      </w:r>
      <w:r>
        <w:rPr>
          <w:sz w:val="20"/>
        </w:rPr>
        <w:t>no</w:t>
      </w:r>
      <w:r>
        <w:rPr>
          <w:spacing w:val="-5"/>
          <w:sz w:val="20"/>
        </w:rPr>
        <w:t> </w:t>
      </w:r>
      <w:r>
        <w:rPr>
          <w:sz w:val="20"/>
        </w:rPr>
        <w:t>bilateral</w:t>
      </w:r>
      <w:r>
        <w:rPr>
          <w:spacing w:val="-6"/>
          <w:sz w:val="20"/>
        </w:rPr>
        <w:t> </w:t>
      </w:r>
      <w:r>
        <w:rPr>
          <w:sz w:val="20"/>
        </w:rPr>
        <w:t>tax treaty</w:t>
      </w:r>
      <w:r>
        <w:rPr>
          <w:spacing w:val="-3"/>
          <w:sz w:val="20"/>
        </w:rPr>
        <w:t> </w:t>
      </w:r>
      <w:r>
        <w:rPr>
          <w:sz w:val="20"/>
        </w:rPr>
        <w:t>applies.</w:t>
      </w:r>
    </w:p>
    <w:p>
      <w:pPr>
        <w:pStyle w:val="BodyText"/>
        <w:spacing w:before="2"/>
        <w:rPr>
          <w:sz w:val="18"/>
        </w:rPr>
      </w:pPr>
    </w:p>
    <w:p>
      <w:pPr>
        <w:pStyle w:val="Heading7"/>
        <w:numPr>
          <w:ilvl w:val="0"/>
          <w:numId w:val="87"/>
        </w:numPr>
        <w:tabs>
          <w:tab w:pos="1674" w:val="left" w:leader="none"/>
        </w:tabs>
        <w:spacing w:line="240" w:lineRule="auto" w:before="1" w:after="0"/>
        <w:ind w:left="1673" w:right="0" w:hanging="272"/>
        <w:jc w:val="left"/>
        <w:rPr>
          <w:i/>
        </w:rPr>
      </w:pPr>
      <w:bookmarkStart w:name="E. The development of a new multilateral" w:id="498"/>
      <w:bookmarkEnd w:id="498"/>
      <w:r>
        <w:rPr>
          <w:i w:val="0"/>
        </w:rPr>
      </w:r>
      <w:bookmarkStart w:name="E. The development of a new multilateral" w:id="499"/>
      <w:bookmarkEnd w:id="499"/>
      <w:r>
        <w:rPr>
          <w:i/>
          <w:color w:val="616161"/>
        </w:rPr>
        <w:t>T</w:t>
      </w:r>
      <w:r>
        <w:rPr>
          <w:i/>
          <w:color w:val="616161"/>
        </w:rPr>
        <w:t>he development of a new multilateral</w:t>
      </w:r>
      <w:r>
        <w:rPr>
          <w:i/>
          <w:color w:val="616161"/>
          <w:spacing w:val="-5"/>
        </w:rPr>
        <w:t> </w:t>
      </w:r>
      <w:r>
        <w:rPr>
          <w:i/>
          <w:color w:val="616161"/>
        </w:rPr>
        <w:t>convention</w:t>
      </w:r>
    </w:p>
    <w:p>
      <w:pPr>
        <w:pStyle w:val="ListParagraph"/>
        <w:numPr>
          <w:ilvl w:val="0"/>
          <w:numId w:val="13"/>
        </w:numPr>
        <w:tabs>
          <w:tab w:pos="1444" w:val="left" w:leader="none"/>
        </w:tabs>
        <w:spacing w:line="271" w:lineRule="auto" w:before="152" w:after="0"/>
        <w:ind w:left="723" w:right="492" w:firstLine="0"/>
        <w:jc w:val="both"/>
        <w:rPr>
          <w:sz w:val="20"/>
        </w:rPr>
      </w:pPr>
      <w:r>
        <w:rPr>
          <w:sz w:val="20"/>
        </w:rPr>
        <w:t>To remove treaty obstacles and implement the four elements discussed in the previous section, the method used must ensure coordination, consistency and certainty, and operate in a speedy manner. The best way to do this would be through a new multilateral</w:t>
      </w:r>
      <w:r>
        <w:rPr>
          <w:spacing w:val="-14"/>
          <w:sz w:val="20"/>
        </w:rPr>
        <w:t> </w:t>
      </w:r>
      <w:r>
        <w:rPr>
          <w:sz w:val="20"/>
        </w:rPr>
        <w:t>convention.</w:t>
      </w:r>
    </w:p>
    <w:p>
      <w:pPr>
        <w:pStyle w:val="ListParagraph"/>
        <w:numPr>
          <w:ilvl w:val="0"/>
          <w:numId w:val="13"/>
        </w:numPr>
        <w:tabs>
          <w:tab w:pos="1444" w:val="left" w:leader="none"/>
        </w:tabs>
        <w:spacing w:line="271" w:lineRule="auto" w:before="118" w:after="0"/>
        <w:ind w:left="723" w:right="486" w:firstLine="0"/>
        <w:jc w:val="both"/>
        <w:rPr>
          <w:sz w:val="20"/>
        </w:rPr>
      </w:pPr>
      <w:r>
        <w:rPr>
          <w:sz w:val="20"/>
        </w:rPr>
        <w:t>The Inclusive Framework initially considered using the </w:t>
      </w:r>
      <w:r>
        <w:rPr>
          <w:i/>
          <w:sz w:val="20"/>
        </w:rPr>
        <w:t>Multilateral Convention to Implement Tax </w:t>
      </w:r>
      <w:r>
        <w:rPr>
          <w:i/>
          <w:sz w:val="20"/>
        </w:rPr>
        <w:t>Treaty Related Measures to Prevent Base Erosion and Profit Shifting </w:t>
      </w:r>
      <w:r>
        <w:rPr>
          <w:sz w:val="20"/>
        </w:rPr>
        <w:t>(MLI)</w:t>
      </w:r>
      <w:r>
        <w:rPr>
          <w:sz w:val="20"/>
          <w:vertAlign w:val="superscript"/>
        </w:rPr>
        <w:t>162</w:t>
      </w:r>
      <w:r>
        <w:rPr>
          <w:sz w:val="20"/>
          <w:vertAlign w:val="baseline"/>
        </w:rPr>
        <w:t> (or creating another instrument</w:t>
      </w:r>
      <w:r>
        <w:rPr>
          <w:spacing w:val="-18"/>
          <w:sz w:val="20"/>
          <w:vertAlign w:val="baseline"/>
        </w:rPr>
        <w:t> </w:t>
      </w:r>
      <w:r>
        <w:rPr>
          <w:sz w:val="20"/>
          <w:vertAlign w:val="baseline"/>
        </w:rPr>
        <w:t>that</w:t>
      </w:r>
      <w:r>
        <w:rPr>
          <w:spacing w:val="-15"/>
          <w:sz w:val="20"/>
          <w:vertAlign w:val="baseline"/>
        </w:rPr>
        <w:t> </w:t>
      </w:r>
      <w:r>
        <w:rPr>
          <w:sz w:val="20"/>
          <w:vertAlign w:val="baseline"/>
        </w:rPr>
        <w:t>works</w:t>
      </w:r>
      <w:r>
        <w:rPr>
          <w:spacing w:val="-16"/>
          <w:sz w:val="20"/>
          <w:vertAlign w:val="baseline"/>
        </w:rPr>
        <w:t> </w:t>
      </w:r>
      <w:r>
        <w:rPr>
          <w:sz w:val="20"/>
          <w:vertAlign w:val="baseline"/>
        </w:rPr>
        <w:t>in</w:t>
      </w:r>
      <w:r>
        <w:rPr>
          <w:spacing w:val="-18"/>
          <w:sz w:val="20"/>
          <w:vertAlign w:val="baseline"/>
        </w:rPr>
        <w:t> </w:t>
      </w:r>
      <w:r>
        <w:rPr>
          <w:sz w:val="20"/>
          <w:vertAlign w:val="baseline"/>
        </w:rPr>
        <w:t>the</w:t>
      </w:r>
      <w:r>
        <w:rPr>
          <w:spacing w:val="-15"/>
          <w:sz w:val="20"/>
          <w:vertAlign w:val="baseline"/>
        </w:rPr>
        <w:t> </w:t>
      </w:r>
      <w:r>
        <w:rPr>
          <w:sz w:val="20"/>
          <w:vertAlign w:val="baseline"/>
        </w:rPr>
        <w:t>same</w:t>
      </w:r>
      <w:r>
        <w:rPr>
          <w:spacing w:val="-15"/>
          <w:sz w:val="20"/>
          <w:vertAlign w:val="baseline"/>
        </w:rPr>
        <w:t> </w:t>
      </w:r>
      <w:r>
        <w:rPr>
          <w:sz w:val="20"/>
          <w:vertAlign w:val="baseline"/>
        </w:rPr>
        <w:t>way</w:t>
      </w:r>
      <w:r>
        <w:rPr>
          <w:spacing w:val="-20"/>
          <w:sz w:val="20"/>
          <w:vertAlign w:val="baseline"/>
        </w:rPr>
        <w:t> </w:t>
      </w:r>
      <w:r>
        <w:rPr>
          <w:sz w:val="20"/>
          <w:vertAlign w:val="baseline"/>
        </w:rPr>
        <w:t>to</w:t>
      </w:r>
      <w:r>
        <w:rPr>
          <w:spacing w:val="-18"/>
          <w:sz w:val="20"/>
          <w:vertAlign w:val="baseline"/>
        </w:rPr>
        <w:t> </w:t>
      </w:r>
      <w:r>
        <w:rPr>
          <w:sz w:val="20"/>
          <w:vertAlign w:val="baseline"/>
        </w:rPr>
        <w:t>modify</w:t>
      </w:r>
      <w:r>
        <w:rPr>
          <w:spacing w:val="-18"/>
          <w:sz w:val="20"/>
          <w:vertAlign w:val="baseline"/>
        </w:rPr>
        <w:t> </w:t>
      </w:r>
      <w:r>
        <w:rPr>
          <w:sz w:val="20"/>
          <w:vertAlign w:val="baseline"/>
        </w:rPr>
        <w:t>existing</w:t>
      </w:r>
      <w:r>
        <w:rPr>
          <w:spacing w:val="-15"/>
          <w:sz w:val="20"/>
          <w:vertAlign w:val="baseline"/>
        </w:rPr>
        <w:t> </w:t>
      </w:r>
      <w:r>
        <w:rPr>
          <w:sz w:val="20"/>
          <w:vertAlign w:val="baseline"/>
        </w:rPr>
        <w:t>tax</w:t>
      </w:r>
      <w:r>
        <w:rPr>
          <w:spacing w:val="-17"/>
          <w:sz w:val="20"/>
          <w:vertAlign w:val="baseline"/>
        </w:rPr>
        <w:t> </w:t>
      </w:r>
      <w:r>
        <w:rPr>
          <w:sz w:val="20"/>
          <w:vertAlign w:val="baseline"/>
        </w:rPr>
        <w:t>treaties)</w:t>
      </w:r>
      <w:r>
        <w:rPr>
          <w:spacing w:val="-17"/>
          <w:sz w:val="20"/>
          <w:vertAlign w:val="baseline"/>
        </w:rPr>
        <w:t> </w:t>
      </w:r>
      <w:r>
        <w:rPr>
          <w:sz w:val="20"/>
          <w:vertAlign w:val="baseline"/>
        </w:rPr>
        <w:t>to</w:t>
      </w:r>
      <w:r>
        <w:rPr>
          <w:spacing w:val="-16"/>
          <w:sz w:val="20"/>
          <w:vertAlign w:val="baseline"/>
        </w:rPr>
        <w:t> </w:t>
      </w:r>
      <w:r>
        <w:rPr>
          <w:sz w:val="20"/>
          <w:vertAlign w:val="baseline"/>
        </w:rPr>
        <w:t>implement</w:t>
      </w:r>
      <w:r>
        <w:rPr>
          <w:spacing w:val="-15"/>
          <w:sz w:val="20"/>
          <w:vertAlign w:val="baseline"/>
        </w:rPr>
        <w:t> </w:t>
      </w:r>
      <w:r>
        <w:rPr>
          <w:sz w:val="20"/>
          <w:vertAlign w:val="baseline"/>
        </w:rPr>
        <w:t>Pillar</w:t>
      </w:r>
      <w:r>
        <w:rPr>
          <w:spacing w:val="-16"/>
          <w:sz w:val="20"/>
          <w:vertAlign w:val="baseline"/>
        </w:rPr>
        <w:t> </w:t>
      </w:r>
      <w:r>
        <w:rPr>
          <w:sz w:val="20"/>
          <w:vertAlign w:val="baseline"/>
        </w:rPr>
        <w:t>One,</w:t>
      </w:r>
      <w:r>
        <w:rPr>
          <w:spacing w:val="-15"/>
          <w:sz w:val="20"/>
          <w:vertAlign w:val="baseline"/>
        </w:rPr>
        <w:t> </w:t>
      </w:r>
      <w:r>
        <w:rPr>
          <w:sz w:val="20"/>
          <w:vertAlign w:val="baseline"/>
        </w:rPr>
        <w:t>but</w:t>
      </w:r>
      <w:r>
        <w:rPr>
          <w:spacing w:val="-15"/>
          <w:sz w:val="20"/>
          <w:vertAlign w:val="baseline"/>
        </w:rPr>
        <w:t> </w:t>
      </w:r>
      <w:r>
        <w:rPr>
          <w:sz w:val="20"/>
          <w:vertAlign w:val="baseline"/>
        </w:rPr>
        <w:t>ultimately agreed that it would not be a suitable instrument: implementing measures that need to be part of a multilateral framework would not always be feasible (e.g. multilateral dispute resolution mechanisms) nor would</w:t>
      </w:r>
      <w:r>
        <w:rPr>
          <w:spacing w:val="-10"/>
          <w:sz w:val="20"/>
          <w:vertAlign w:val="baseline"/>
        </w:rPr>
        <w:t> </w:t>
      </w:r>
      <w:r>
        <w:rPr>
          <w:sz w:val="20"/>
          <w:vertAlign w:val="baseline"/>
        </w:rPr>
        <w:t>implementing</w:t>
      </w:r>
      <w:r>
        <w:rPr>
          <w:spacing w:val="-9"/>
          <w:sz w:val="20"/>
          <w:vertAlign w:val="baseline"/>
        </w:rPr>
        <w:t> </w:t>
      </w:r>
      <w:r>
        <w:rPr>
          <w:sz w:val="20"/>
          <w:vertAlign w:val="baseline"/>
        </w:rPr>
        <w:t>changes</w:t>
      </w:r>
      <w:r>
        <w:rPr>
          <w:spacing w:val="-8"/>
          <w:sz w:val="20"/>
          <w:vertAlign w:val="baseline"/>
        </w:rPr>
        <w:t> </w:t>
      </w:r>
      <w:r>
        <w:rPr>
          <w:sz w:val="20"/>
          <w:vertAlign w:val="baseline"/>
        </w:rPr>
        <w:t>and</w:t>
      </w:r>
      <w:r>
        <w:rPr>
          <w:spacing w:val="-9"/>
          <w:sz w:val="20"/>
          <w:vertAlign w:val="baseline"/>
        </w:rPr>
        <w:t> </w:t>
      </w:r>
      <w:r>
        <w:rPr>
          <w:sz w:val="20"/>
          <w:vertAlign w:val="baseline"/>
        </w:rPr>
        <w:t>measures</w:t>
      </w:r>
      <w:r>
        <w:rPr>
          <w:spacing w:val="-8"/>
          <w:sz w:val="20"/>
          <w:vertAlign w:val="baseline"/>
        </w:rPr>
        <w:t> </w:t>
      </w:r>
      <w:r>
        <w:rPr>
          <w:sz w:val="20"/>
          <w:vertAlign w:val="baseline"/>
        </w:rPr>
        <w:t>between</w:t>
      </w:r>
      <w:r>
        <w:rPr>
          <w:spacing w:val="-9"/>
          <w:sz w:val="20"/>
          <w:vertAlign w:val="baseline"/>
        </w:rPr>
        <w:t> </w:t>
      </w:r>
      <w:r>
        <w:rPr>
          <w:sz w:val="20"/>
          <w:vertAlign w:val="baseline"/>
        </w:rPr>
        <w:t>jurisdictions</w:t>
      </w:r>
      <w:r>
        <w:rPr>
          <w:spacing w:val="-8"/>
          <w:sz w:val="20"/>
          <w:vertAlign w:val="baseline"/>
        </w:rPr>
        <w:t> </w:t>
      </w:r>
      <w:r>
        <w:rPr>
          <w:sz w:val="20"/>
          <w:vertAlign w:val="baseline"/>
        </w:rPr>
        <w:t>that</w:t>
      </w:r>
      <w:r>
        <w:rPr>
          <w:spacing w:val="-10"/>
          <w:sz w:val="20"/>
          <w:vertAlign w:val="baseline"/>
        </w:rPr>
        <w:t> </w:t>
      </w:r>
      <w:r>
        <w:rPr>
          <w:sz w:val="20"/>
          <w:vertAlign w:val="baseline"/>
        </w:rPr>
        <w:t>do</w:t>
      </w:r>
      <w:r>
        <w:rPr>
          <w:spacing w:val="-9"/>
          <w:sz w:val="20"/>
          <w:vertAlign w:val="baseline"/>
        </w:rPr>
        <w:t> </w:t>
      </w:r>
      <w:r>
        <w:rPr>
          <w:sz w:val="20"/>
          <w:vertAlign w:val="baseline"/>
        </w:rPr>
        <w:t>not</w:t>
      </w:r>
      <w:r>
        <w:rPr>
          <w:spacing w:val="-9"/>
          <w:sz w:val="20"/>
          <w:vertAlign w:val="baseline"/>
        </w:rPr>
        <w:t> </w:t>
      </w:r>
      <w:r>
        <w:rPr>
          <w:sz w:val="20"/>
          <w:vertAlign w:val="baseline"/>
        </w:rPr>
        <w:t>have</w:t>
      </w:r>
      <w:r>
        <w:rPr>
          <w:spacing w:val="-9"/>
          <w:sz w:val="20"/>
          <w:vertAlign w:val="baseline"/>
        </w:rPr>
        <w:t> </w:t>
      </w:r>
      <w:r>
        <w:rPr>
          <w:sz w:val="20"/>
          <w:vertAlign w:val="baseline"/>
        </w:rPr>
        <w:t>a</w:t>
      </w:r>
      <w:r>
        <w:rPr>
          <w:spacing w:val="-9"/>
          <w:sz w:val="20"/>
          <w:vertAlign w:val="baseline"/>
        </w:rPr>
        <w:t> </w:t>
      </w:r>
      <w:r>
        <w:rPr>
          <w:sz w:val="20"/>
          <w:vertAlign w:val="baseline"/>
        </w:rPr>
        <w:t>bilateral</w:t>
      </w:r>
      <w:r>
        <w:rPr>
          <w:spacing w:val="-10"/>
          <w:sz w:val="20"/>
          <w:vertAlign w:val="baseline"/>
        </w:rPr>
        <w:t> </w:t>
      </w:r>
      <w:r>
        <w:rPr>
          <w:sz w:val="20"/>
          <w:vertAlign w:val="baseline"/>
        </w:rPr>
        <w:t>tax</w:t>
      </w:r>
      <w:r>
        <w:rPr>
          <w:spacing w:val="-8"/>
          <w:sz w:val="20"/>
          <w:vertAlign w:val="baseline"/>
        </w:rPr>
        <w:t> </w:t>
      </w:r>
      <w:r>
        <w:rPr>
          <w:sz w:val="20"/>
          <w:vertAlign w:val="baseline"/>
        </w:rPr>
        <w:t>treaty</w:t>
      </w:r>
      <w:r>
        <w:rPr>
          <w:spacing w:val="-12"/>
          <w:sz w:val="20"/>
          <w:vertAlign w:val="baseline"/>
        </w:rPr>
        <w:t> </w:t>
      </w:r>
      <w:r>
        <w:rPr>
          <w:sz w:val="20"/>
          <w:vertAlign w:val="baseline"/>
        </w:rPr>
        <w:t>be possible (e.g. the dispute prevention and resolution processes for Amount</w:t>
      </w:r>
      <w:r>
        <w:rPr>
          <w:spacing w:val="-17"/>
          <w:sz w:val="20"/>
          <w:vertAlign w:val="baseline"/>
        </w:rPr>
        <w:t> </w:t>
      </w:r>
      <w:r>
        <w:rPr>
          <w:sz w:val="20"/>
          <w:vertAlign w:val="baseline"/>
        </w:rPr>
        <w:t>A).</w:t>
      </w:r>
    </w:p>
    <w:p>
      <w:pPr>
        <w:pStyle w:val="ListParagraph"/>
        <w:numPr>
          <w:ilvl w:val="0"/>
          <w:numId w:val="13"/>
        </w:numPr>
        <w:tabs>
          <w:tab w:pos="1444" w:val="left" w:leader="none"/>
        </w:tabs>
        <w:spacing w:line="271" w:lineRule="auto" w:before="123" w:after="0"/>
        <w:ind w:left="723" w:right="482" w:firstLine="0"/>
        <w:jc w:val="both"/>
        <w:rPr>
          <w:sz w:val="20"/>
        </w:rPr>
      </w:pPr>
      <w:r>
        <w:rPr>
          <w:sz w:val="20"/>
        </w:rPr>
        <w:t>As</w:t>
      </w:r>
      <w:r>
        <w:rPr>
          <w:spacing w:val="-12"/>
          <w:sz w:val="20"/>
        </w:rPr>
        <w:t> </w:t>
      </w:r>
      <w:r>
        <w:rPr>
          <w:sz w:val="20"/>
        </w:rPr>
        <w:t>bilateral</w:t>
      </w:r>
      <w:r>
        <w:rPr>
          <w:spacing w:val="-11"/>
          <w:sz w:val="20"/>
        </w:rPr>
        <w:t> </w:t>
      </w:r>
      <w:r>
        <w:rPr>
          <w:sz w:val="20"/>
        </w:rPr>
        <w:t>tax</w:t>
      </w:r>
      <w:r>
        <w:rPr>
          <w:spacing w:val="-11"/>
          <w:sz w:val="20"/>
        </w:rPr>
        <w:t> </w:t>
      </w:r>
      <w:r>
        <w:rPr>
          <w:sz w:val="20"/>
        </w:rPr>
        <w:t>treaties</w:t>
      </w:r>
      <w:r>
        <w:rPr>
          <w:spacing w:val="-9"/>
          <w:sz w:val="20"/>
        </w:rPr>
        <w:t> </w:t>
      </w:r>
      <w:r>
        <w:rPr>
          <w:sz w:val="20"/>
        </w:rPr>
        <w:t>would</w:t>
      </w:r>
      <w:r>
        <w:rPr>
          <w:spacing w:val="-14"/>
          <w:sz w:val="20"/>
        </w:rPr>
        <w:t> </w:t>
      </w:r>
      <w:r>
        <w:rPr>
          <w:sz w:val="20"/>
        </w:rPr>
        <w:t>remain</w:t>
      </w:r>
      <w:r>
        <w:rPr>
          <w:spacing w:val="-13"/>
          <w:sz w:val="20"/>
        </w:rPr>
        <w:t> </w:t>
      </w:r>
      <w:r>
        <w:rPr>
          <w:sz w:val="20"/>
        </w:rPr>
        <w:t>in</w:t>
      </w:r>
      <w:r>
        <w:rPr>
          <w:spacing w:val="-14"/>
          <w:sz w:val="20"/>
        </w:rPr>
        <w:t> </w:t>
      </w:r>
      <w:r>
        <w:rPr>
          <w:sz w:val="20"/>
        </w:rPr>
        <w:t>force</w:t>
      </w:r>
      <w:r>
        <w:rPr>
          <w:spacing w:val="-13"/>
          <w:sz w:val="20"/>
        </w:rPr>
        <w:t> </w:t>
      </w:r>
      <w:r>
        <w:rPr>
          <w:sz w:val="20"/>
        </w:rPr>
        <w:t>and</w:t>
      </w:r>
      <w:r>
        <w:rPr>
          <w:spacing w:val="-13"/>
          <w:sz w:val="20"/>
        </w:rPr>
        <w:t> </w:t>
      </w:r>
      <w:r>
        <w:rPr>
          <w:sz w:val="20"/>
        </w:rPr>
        <w:t>continue</w:t>
      </w:r>
      <w:r>
        <w:rPr>
          <w:spacing w:val="-14"/>
          <w:sz w:val="20"/>
        </w:rPr>
        <w:t> </w:t>
      </w:r>
      <w:r>
        <w:rPr>
          <w:sz w:val="20"/>
        </w:rPr>
        <w:t>to</w:t>
      </w:r>
      <w:r>
        <w:rPr>
          <w:spacing w:val="-13"/>
          <w:sz w:val="20"/>
        </w:rPr>
        <w:t> </w:t>
      </w:r>
      <w:r>
        <w:rPr>
          <w:sz w:val="20"/>
        </w:rPr>
        <w:t>govern</w:t>
      </w:r>
      <w:r>
        <w:rPr>
          <w:spacing w:val="-12"/>
          <w:sz w:val="20"/>
        </w:rPr>
        <w:t> </w:t>
      </w:r>
      <w:r>
        <w:rPr>
          <w:sz w:val="20"/>
        </w:rPr>
        <w:t>cross-border</w:t>
      </w:r>
      <w:r>
        <w:rPr>
          <w:spacing w:val="-13"/>
          <w:sz w:val="20"/>
        </w:rPr>
        <w:t> </w:t>
      </w:r>
      <w:r>
        <w:rPr>
          <w:sz w:val="20"/>
        </w:rPr>
        <w:t>taxation</w:t>
      </w:r>
      <w:r>
        <w:rPr>
          <w:spacing w:val="-13"/>
          <w:sz w:val="20"/>
        </w:rPr>
        <w:t> </w:t>
      </w:r>
      <w:r>
        <w:rPr>
          <w:sz w:val="20"/>
        </w:rPr>
        <w:t>outside Amount</w:t>
      </w:r>
      <w:r>
        <w:rPr>
          <w:spacing w:val="-9"/>
          <w:sz w:val="20"/>
        </w:rPr>
        <w:t> </w:t>
      </w:r>
      <w:r>
        <w:rPr>
          <w:sz w:val="20"/>
        </w:rPr>
        <w:t>A,</w:t>
      </w:r>
      <w:r>
        <w:rPr>
          <w:spacing w:val="-9"/>
          <w:sz w:val="20"/>
        </w:rPr>
        <w:t> </w:t>
      </w:r>
      <w:r>
        <w:rPr>
          <w:sz w:val="20"/>
        </w:rPr>
        <w:t>a</w:t>
      </w:r>
      <w:r>
        <w:rPr>
          <w:spacing w:val="-8"/>
          <w:sz w:val="20"/>
        </w:rPr>
        <w:t> </w:t>
      </w:r>
      <w:r>
        <w:rPr>
          <w:sz w:val="20"/>
        </w:rPr>
        <w:t>new</w:t>
      </w:r>
      <w:r>
        <w:rPr>
          <w:spacing w:val="-11"/>
          <w:sz w:val="20"/>
        </w:rPr>
        <w:t> </w:t>
      </w:r>
      <w:r>
        <w:rPr>
          <w:sz w:val="20"/>
        </w:rPr>
        <w:t>multilateral</w:t>
      </w:r>
      <w:r>
        <w:rPr>
          <w:spacing w:val="-8"/>
          <w:sz w:val="20"/>
        </w:rPr>
        <w:t> </w:t>
      </w:r>
      <w:r>
        <w:rPr>
          <w:sz w:val="20"/>
        </w:rPr>
        <w:t>convention</w:t>
      </w:r>
      <w:r>
        <w:rPr>
          <w:spacing w:val="-7"/>
          <w:sz w:val="20"/>
        </w:rPr>
        <w:t> </w:t>
      </w:r>
      <w:r>
        <w:rPr>
          <w:sz w:val="20"/>
        </w:rPr>
        <w:t>would</w:t>
      </w:r>
      <w:r>
        <w:rPr>
          <w:spacing w:val="-8"/>
          <w:sz w:val="20"/>
        </w:rPr>
        <w:t> </w:t>
      </w:r>
      <w:r>
        <w:rPr>
          <w:sz w:val="20"/>
        </w:rPr>
        <w:t>need</w:t>
      </w:r>
      <w:r>
        <w:rPr>
          <w:spacing w:val="-9"/>
          <w:sz w:val="20"/>
        </w:rPr>
        <w:t> </w:t>
      </w:r>
      <w:r>
        <w:rPr>
          <w:sz w:val="20"/>
        </w:rPr>
        <w:t>to</w:t>
      </w:r>
      <w:r>
        <w:rPr>
          <w:spacing w:val="-9"/>
          <w:sz w:val="20"/>
        </w:rPr>
        <w:t> </w:t>
      </w:r>
      <w:r>
        <w:rPr>
          <w:sz w:val="20"/>
        </w:rPr>
        <w:t>coexist</w:t>
      </w:r>
      <w:r>
        <w:rPr>
          <w:spacing w:val="-5"/>
          <w:sz w:val="20"/>
        </w:rPr>
        <w:t> </w:t>
      </w:r>
      <w:r>
        <w:rPr>
          <w:sz w:val="20"/>
        </w:rPr>
        <w:t>with</w:t>
      </w:r>
      <w:r>
        <w:rPr>
          <w:spacing w:val="-9"/>
          <w:sz w:val="20"/>
        </w:rPr>
        <w:t> </w:t>
      </w:r>
      <w:r>
        <w:rPr>
          <w:sz w:val="20"/>
        </w:rPr>
        <w:t>the</w:t>
      </w:r>
      <w:r>
        <w:rPr>
          <w:spacing w:val="-8"/>
          <w:sz w:val="20"/>
        </w:rPr>
        <w:t> </w:t>
      </w:r>
      <w:r>
        <w:rPr>
          <w:sz w:val="20"/>
        </w:rPr>
        <w:t>existing</w:t>
      </w:r>
      <w:r>
        <w:rPr>
          <w:spacing w:val="-9"/>
          <w:sz w:val="20"/>
        </w:rPr>
        <w:t> </w:t>
      </w:r>
      <w:r>
        <w:rPr>
          <w:sz w:val="20"/>
        </w:rPr>
        <w:t>tax</w:t>
      </w:r>
      <w:r>
        <w:rPr>
          <w:spacing w:val="-8"/>
          <w:sz w:val="20"/>
        </w:rPr>
        <w:t> </w:t>
      </w:r>
      <w:r>
        <w:rPr>
          <w:sz w:val="20"/>
        </w:rPr>
        <w:t>treaty</w:t>
      </w:r>
      <w:r>
        <w:rPr>
          <w:spacing w:val="-11"/>
          <w:sz w:val="20"/>
        </w:rPr>
        <w:t> </w:t>
      </w:r>
      <w:r>
        <w:rPr>
          <w:sz w:val="20"/>
        </w:rPr>
        <w:t>network</w:t>
      </w:r>
      <w:r>
        <w:rPr>
          <w:spacing w:val="-5"/>
          <w:sz w:val="20"/>
        </w:rPr>
        <w:t> </w:t>
      </w:r>
      <w:r>
        <w:rPr>
          <w:sz w:val="20"/>
        </w:rPr>
        <w:t>and,</w:t>
      </w:r>
      <w:r>
        <w:rPr>
          <w:spacing w:val="-8"/>
          <w:sz w:val="20"/>
        </w:rPr>
        <w:t> </w:t>
      </w:r>
      <w:r>
        <w:rPr>
          <w:sz w:val="20"/>
        </w:rPr>
        <w:t>for</w:t>
      </w:r>
    </w:p>
    <w:p>
      <w:pPr>
        <w:pStyle w:val="BodyText"/>
        <w:spacing w:before="5"/>
        <w:rPr>
          <w:sz w:val="18"/>
        </w:rPr>
      </w:pPr>
      <w:r>
        <w:rPr/>
        <w:pict>
          <v:rect style="position:absolute;margin-left:65.183998pt;margin-top:12.580282pt;width:144.020004pt;height:.60004pt;mso-position-horizontal-relative:page;mso-position-vertical-relative:paragraph;z-index:-1563852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995" w:val="left" w:leader="none"/>
        </w:tabs>
        <w:spacing w:line="278" w:lineRule="auto" w:before="94" w:after="0"/>
        <w:ind w:left="723" w:right="480" w:firstLine="0"/>
        <w:jc w:val="both"/>
        <w:rPr>
          <w:sz w:val="18"/>
        </w:rPr>
      </w:pPr>
      <w:r>
        <w:rPr>
          <w:sz w:val="18"/>
        </w:rPr>
        <w:t>To</w:t>
      </w:r>
      <w:r>
        <w:rPr>
          <w:spacing w:val="-11"/>
          <w:sz w:val="18"/>
        </w:rPr>
        <w:t> </w:t>
      </w:r>
      <w:r>
        <w:rPr>
          <w:sz w:val="18"/>
        </w:rPr>
        <w:t>use</w:t>
      </w:r>
      <w:r>
        <w:rPr>
          <w:spacing w:val="-11"/>
          <w:sz w:val="18"/>
        </w:rPr>
        <w:t> </w:t>
      </w:r>
      <w:r>
        <w:rPr>
          <w:sz w:val="18"/>
        </w:rPr>
        <w:t>the</w:t>
      </w:r>
      <w:r>
        <w:rPr>
          <w:spacing w:val="-10"/>
          <w:sz w:val="18"/>
        </w:rPr>
        <w:t> </w:t>
      </w:r>
      <w:r>
        <w:rPr>
          <w:sz w:val="18"/>
        </w:rPr>
        <w:t>MLI,</w:t>
      </w:r>
      <w:r>
        <w:rPr>
          <w:spacing w:val="-11"/>
          <w:sz w:val="18"/>
        </w:rPr>
        <w:t> </w:t>
      </w:r>
      <w:r>
        <w:rPr>
          <w:sz w:val="18"/>
        </w:rPr>
        <w:t>the</w:t>
      </w:r>
      <w:r>
        <w:rPr>
          <w:spacing w:val="-14"/>
          <w:sz w:val="18"/>
        </w:rPr>
        <w:t> </w:t>
      </w:r>
      <w:r>
        <w:rPr>
          <w:sz w:val="18"/>
        </w:rPr>
        <w:t>instrument</w:t>
      </w:r>
      <w:r>
        <w:rPr>
          <w:spacing w:val="-13"/>
          <w:sz w:val="18"/>
        </w:rPr>
        <w:t> </w:t>
      </w:r>
      <w:r>
        <w:rPr>
          <w:sz w:val="18"/>
        </w:rPr>
        <w:t>would</w:t>
      </w:r>
      <w:r>
        <w:rPr>
          <w:spacing w:val="-11"/>
          <w:sz w:val="18"/>
        </w:rPr>
        <w:t> </w:t>
      </w:r>
      <w:r>
        <w:rPr>
          <w:sz w:val="18"/>
        </w:rPr>
        <w:t>need</w:t>
      </w:r>
      <w:r>
        <w:rPr>
          <w:spacing w:val="-13"/>
          <w:sz w:val="18"/>
        </w:rPr>
        <w:t> </w:t>
      </w:r>
      <w:r>
        <w:rPr>
          <w:sz w:val="18"/>
        </w:rPr>
        <w:t>to</w:t>
      </w:r>
      <w:r>
        <w:rPr>
          <w:spacing w:val="-12"/>
          <w:sz w:val="18"/>
        </w:rPr>
        <w:t> </w:t>
      </w:r>
      <w:r>
        <w:rPr>
          <w:sz w:val="18"/>
        </w:rPr>
        <w:t>be</w:t>
      </w:r>
      <w:r>
        <w:rPr>
          <w:spacing w:val="-13"/>
          <w:sz w:val="18"/>
        </w:rPr>
        <w:t> </w:t>
      </w:r>
      <w:r>
        <w:rPr>
          <w:sz w:val="18"/>
        </w:rPr>
        <w:t>amended</w:t>
      </w:r>
      <w:r>
        <w:rPr>
          <w:spacing w:val="-12"/>
          <w:sz w:val="18"/>
        </w:rPr>
        <w:t> </w:t>
      </w:r>
      <w:r>
        <w:rPr>
          <w:sz w:val="18"/>
        </w:rPr>
        <w:t>(pursuant</w:t>
      </w:r>
      <w:r>
        <w:rPr>
          <w:spacing w:val="-14"/>
          <w:sz w:val="18"/>
        </w:rPr>
        <w:t> </w:t>
      </w:r>
      <w:r>
        <w:rPr>
          <w:sz w:val="18"/>
        </w:rPr>
        <w:t>to</w:t>
      </w:r>
      <w:r>
        <w:rPr>
          <w:spacing w:val="-12"/>
          <w:sz w:val="18"/>
        </w:rPr>
        <w:t> </w:t>
      </w:r>
      <w:r>
        <w:rPr>
          <w:sz w:val="18"/>
        </w:rPr>
        <w:t>its</w:t>
      </w:r>
      <w:r>
        <w:rPr>
          <w:spacing w:val="-13"/>
          <w:sz w:val="18"/>
        </w:rPr>
        <w:t> </w:t>
      </w:r>
      <w:r>
        <w:rPr>
          <w:sz w:val="18"/>
        </w:rPr>
        <w:t>Article</w:t>
      </w:r>
      <w:r>
        <w:rPr>
          <w:spacing w:val="-13"/>
          <w:sz w:val="18"/>
        </w:rPr>
        <w:t> </w:t>
      </w:r>
      <w:r>
        <w:rPr>
          <w:sz w:val="18"/>
        </w:rPr>
        <w:t>33)</w:t>
      </w:r>
      <w:r>
        <w:rPr>
          <w:spacing w:val="-11"/>
          <w:sz w:val="18"/>
        </w:rPr>
        <w:t> </w:t>
      </w:r>
      <w:r>
        <w:rPr>
          <w:sz w:val="18"/>
        </w:rPr>
        <w:t>or</w:t>
      </w:r>
      <w:r>
        <w:rPr>
          <w:spacing w:val="-17"/>
          <w:sz w:val="18"/>
        </w:rPr>
        <w:t> </w:t>
      </w:r>
      <w:r>
        <w:rPr>
          <w:sz w:val="18"/>
        </w:rPr>
        <w:t>supplemented</w:t>
      </w:r>
      <w:r>
        <w:rPr>
          <w:spacing w:val="-13"/>
          <w:sz w:val="18"/>
        </w:rPr>
        <w:t> </w:t>
      </w:r>
      <w:r>
        <w:rPr>
          <w:sz w:val="18"/>
        </w:rPr>
        <w:t>by</w:t>
      </w:r>
      <w:r>
        <w:rPr>
          <w:spacing w:val="-13"/>
          <w:sz w:val="18"/>
        </w:rPr>
        <w:t> </w:t>
      </w:r>
      <w:r>
        <w:rPr>
          <w:sz w:val="18"/>
        </w:rPr>
        <w:t>a</w:t>
      </w:r>
      <w:r>
        <w:rPr>
          <w:spacing w:val="-13"/>
          <w:sz w:val="18"/>
        </w:rPr>
        <w:t> </w:t>
      </w:r>
      <w:r>
        <w:rPr>
          <w:sz w:val="18"/>
        </w:rPr>
        <w:t>protocol (pursuant to its Article 38). A Party to the MLI would not automatically be bound by an amendment or protocol implementing the changes in their tax treaties unless it ratified the amendment or protocol. Implementing Pillar One through the MLI would require a jurisdiction that is not currently a Signatory or Party to the MLI to join it. The MLI, which currently only covers agreements that have been specifically notified (the Covered </w:t>
      </w:r>
      <w:r>
        <w:rPr>
          <w:spacing w:val="2"/>
          <w:sz w:val="18"/>
        </w:rPr>
        <w:t>Tax </w:t>
      </w:r>
      <w:r>
        <w:rPr>
          <w:sz w:val="18"/>
        </w:rPr>
        <w:t>Agreements) by its Parties, may also involve requiring Parties to expand their list of covered agreements. Amendment to the MLI or the development of a protocol would establish another layer of complexity requiring matching as the changes to bilateral tax</w:t>
      </w:r>
      <w:r>
        <w:rPr>
          <w:spacing w:val="-13"/>
          <w:sz w:val="18"/>
        </w:rPr>
        <w:t> </w:t>
      </w:r>
      <w:r>
        <w:rPr>
          <w:sz w:val="18"/>
        </w:rPr>
        <w:t>treaties</w:t>
      </w:r>
      <w:r>
        <w:rPr>
          <w:spacing w:val="-8"/>
          <w:sz w:val="18"/>
        </w:rPr>
        <w:t> </w:t>
      </w:r>
      <w:r>
        <w:rPr>
          <w:sz w:val="18"/>
        </w:rPr>
        <w:t>would</w:t>
      </w:r>
      <w:r>
        <w:rPr>
          <w:spacing w:val="-9"/>
          <w:sz w:val="18"/>
        </w:rPr>
        <w:t> </w:t>
      </w:r>
      <w:r>
        <w:rPr>
          <w:sz w:val="18"/>
        </w:rPr>
        <w:t>only</w:t>
      </w:r>
      <w:r>
        <w:rPr>
          <w:spacing w:val="-10"/>
          <w:sz w:val="18"/>
        </w:rPr>
        <w:t> </w:t>
      </w:r>
      <w:r>
        <w:rPr>
          <w:sz w:val="18"/>
        </w:rPr>
        <w:t>have</w:t>
      </w:r>
      <w:r>
        <w:rPr>
          <w:spacing w:val="-9"/>
          <w:sz w:val="18"/>
        </w:rPr>
        <w:t> </w:t>
      </w:r>
      <w:r>
        <w:rPr>
          <w:sz w:val="18"/>
        </w:rPr>
        <w:t>effect</w:t>
      </w:r>
      <w:r>
        <w:rPr>
          <w:spacing w:val="-9"/>
          <w:sz w:val="18"/>
        </w:rPr>
        <w:t> </w:t>
      </w:r>
      <w:r>
        <w:rPr>
          <w:sz w:val="18"/>
        </w:rPr>
        <w:t>where</w:t>
      </w:r>
      <w:r>
        <w:rPr>
          <w:spacing w:val="-8"/>
          <w:sz w:val="18"/>
        </w:rPr>
        <w:t> </w:t>
      </w:r>
      <w:r>
        <w:rPr>
          <w:sz w:val="18"/>
        </w:rPr>
        <w:t>the</w:t>
      </w:r>
      <w:r>
        <w:rPr>
          <w:spacing w:val="-11"/>
          <w:sz w:val="18"/>
        </w:rPr>
        <w:t> </w:t>
      </w:r>
      <w:r>
        <w:rPr>
          <w:sz w:val="18"/>
        </w:rPr>
        <w:t>jurisdictions</w:t>
      </w:r>
      <w:r>
        <w:rPr>
          <w:spacing w:val="-8"/>
          <w:sz w:val="18"/>
        </w:rPr>
        <w:t> </w:t>
      </w:r>
      <w:r>
        <w:rPr>
          <w:sz w:val="18"/>
        </w:rPr>
        <w:t>were</w:t>
      </w:r>
      <w:r>
        <w:rPr>
          <w:spacing w:val="-9"/>
          <w:sz w:val="18"/>
        </w:rPr>
        <w:t> </w:t>
      </w:r>
      <w:r>
        <w:rPr>
          <w:sz w:val="18"/>
        </w:rPr>
        <w:t>parties</w:t>
      </w:r>
      <w:r>
        <w:rPr>
          <w:spacing w:val="-7"/>
          <w:sz w:val="18"/>
        </w:rPr>
        <w:t> </w:t>
      </w:r>
      <w:r>
        <w:rPr>
          <w:sz w:val="18"/>
        </w:rPr>
        <w:t>to</w:t>
      </w:r>
      <w:r>
        <w:rPr>
          <w:spacing w:val="-9"/>
          <w:sz w:val="18"/>
        </w:rPr>
        <w:t> </w:t>
      </w:r>
      <w:r>
        <w:rPr>
          <w:sz w:val="18"/>
        </w:rPr>
        <w:t>both</w:t>
      </w:r>
      <w:r>
        <w:rPr>
          <w:spacing w:val="-11"/>
          <w:sz w:val="18"/>
        </w:rPr>
        <w:t> </w:t>
      </w:r>
      <w:r>
        <w:rPr>
          <w:sz w:val="18"/>
        </w:rPr>
        <w:t>the</w:t>
      </w:r>
      <w:r>
        <w:rPr>
          <w:spacing w:val="-9"/>
          <w:sz w:val="18"/>
        </w:rPr>
        <w:t> </w:t>
      </w:r>
      <w:r>
        <w:rPr>
          <w:sz w:val="18"/>
        </w:rPr>
        <w:t>MLI</w:t>
      </w:r>
      <w:r>
        <w:rPr>
          <w:spacing w:val="-8"/>
          <w:sz w:val="18"/>
        </w:rPr>
        <w:t> </w:t>
      </w:r>
      <w:r>
        <w:rPr>
          <w:sz w:val="18"/>
        </w:rPr>
        <w:t>and</w:t>
      </w:r>
      <w:r>
        <w:rPr>
          <w:spacing w:val="-9"/>
          <w:sz w:val="18"/>
        </w:rPr>
        <w:t> </w:t>
      </w:r>
      <w:r>
        <w:rPr>
          <w:sz w:val="18"/>
        </w:rPr>
        <w:t>the</w:t>
      </w:r>
      <w:r>
        <w:rPr>
          <w:spacing w:val="-9"/>
          <w:sz w:val="18"/>
        </w:rPr>
        <w:t> </w:t>
      </w:r>
      <w:r>
        <w:rPr>
          <w:sz w:val="18"/>
        </w:rPr>
        <w:t>amendment</w:t>
      </w:r>
      <w:r>
        <w:rPr>
          <w:spacing w:val="-8"/>
          <w:sz w:val="18"/>
        </w:rPr>
        <w:t> </w:t>
      </w:r>
      <w:r>
        <w:rPr>
          <w:sz w:val="18"/>
        </w:rPr>
        <w:t>or</w:t>
      </w:r>
      <w:r>
        <w:rPr>
          <w:spacing w:val="-12"/>
          <w:sz w:val="18"/>
        </w:rPr>
        <w:t> </w:t>
      </w:r>
      <w:r>
        <w:rPr>
          <w:sz w:val="18"/>
        </w:rPr>
        <w:t>protocol.</w:t>
      </w:r>
    </w:p>
    <w:p>
      <w:pPr>
        <w:spacing w:after="0" w:line="278" w:lineRule="auto"/>
        <w:jc w:val="both"/>
        <w:rPr>
          <w:sz w:val="18"/>
        </w:rPr>
        <w:sectPr>
          <w:pgSz w:w="11910" w:h="16840"/>
          <w:pgMar w:header="1244" w:footer="1638" w:top="1500" w:bottom="1820" w:left="580" w:right="820"/>
        </w:sectPr>
      </w:pPr>
    </w:p>
    <w:p>
      <w:pPr>
        <w:pStyle w:val="BodyText"/>
        <w:spacing w:before="5"/>
      </w:pPr>
    </w:p>
    <w:p>
      <w:pPr>
        <w:pStyle w:val="BodyText"/>
        <w:spacing w:line="271" w:lineRule="auto" w:before="93"/>
        <w:ind w:left="723" w:right="486"/>
        <w:jc w:val="both"/>
      </w:pPr>
      <w:r>
        <w:rPr/>
        <w:t>its parts on the determination of Amount A tax and elimination of double taxation, supersede and prevail over existing bilateral tax treaties for the taxation of in-scope MNEs. Further work will also be required on the relationship of the multilateral convention with bilateral tax treaties concluded after its entry into force (see paragraph </w:t>
      </w:r>
      <w:hyperlink w:history="true" w:anchor="_bookmark78">
        <w:r>
          <w:rPr/>
          <w:t>852</w:t>
        </w:r>
      </w:hyperlink>
      <w:r>
        <w:rPr/>
        <w:t>).</w:t>
      </w:r>
    </w:p>
    <w:p>
      <w:pPr>
        <w:pStyle w:val="ListParagraph"/>
        <w:numPr>
          <w:ilvl w:val="0"/>
          <w:numId w:val="13"/>
        </w:numPr>
        <w:tabs>
          <w:tab w:pos="1444" w:val="left" w:leader="none"/>
        </w:tabs>
        <w:spacing w:line="271" w:lineRule="auto" w:before="120" w:after="0"/>
        <w:ind w:left="723" w:right="484" w:firstLine="0"/>
        <w:jc w:val="both"/>
        <w:rPr>
          <w:sz w:val="20"/>
        </w:rPr>
      </w:pPr>
      <w:r>
        <w:rPr>
          <w:sz w:val="20"/>
        </w:rPr>
        <w:t>The new multilateral convention would thus operate differently than the MLI, which was used to directly modify existing provisions in tax treaties. The new multilateral convention would provide a multilateral</w:t>
      </w:r>
      <w:r>
        <w:rPr>
          <w:spacing w:val="-12"/>
          <w:sz w:val="20"/>
        </w:rPr>
        <w:t> </w:t>
      </w:r>
      <w:r>
        <w:rPr>
          <w:sz w:val="20"/>
        </w:rPr>
        <w:t>framework</w:t>
      </w:r>
      <w:r>
        <w:rPr>
          <w:spacing w:val="-8"/>
          <w:sz w:val="20"/>
        </w:rPr>
        <w:t> </w:t>
      </w:r>
      <w:r>
        <w:rPr>
          <w:sz w:val="20"/>
        </w:rPr>
        <w:t>to</w:t>
      </w:r>
      <w:r>
        <w:rPr>
          <w:spacing w:val="-13"/>
          <w:sz w:val="20"/>
        </w:rPr>
        <w:t> </w:t>
      </w:r>
      <w:r>
        <w:rPr>
          <w:sz w:val="20"/>
        </w:rPr>
        <w:t>facilitate</w:t>
      </w:r>
      <w:r>
        <w:rPr>
          <w:spacing w:val="-11"/>
          <w:sz w:val="20"/>
        </w:rPr>
        <w:t> </w:t>
      </w:r>
      <w:r>
        <w:rPr>
          <w:sz w:val="20"/>
        </w:rPr>
        <w:t>the</w:t>
      </w:r>
      <w:r>
        <w:rPr>
          <w:spacing w:val="-13"/>
          <w:sz w:val="20"/>
        </w:rPr>
        <w:t> </w:t>
      </w:r>
      <w:r>
        <w:rPr>
          <w:sz w:val="20"/>
        </w:rPr>
        <w:t>coordinated</w:t>
      </w:r>
      <w:r>
        <w:rPr>
          <w:spacing w:val="-11"/>
          <w:sz w:val="20"/>
        </w:rPr>
        <w:t> </w:t>
      </w:r>
      <w:r>
        <w:rPr>
          <w:sz w:val="20"/>
        </w:rPr>
        <w:t>and</w:t>
      </w:r>
      <w:r>
        <w:rPr>
          <w:spacing w:val="-8"/>
          <w:sz w:val="20"/>
        </w:rPr>
        <w:t> </w:t>
      </w:r>
      <w:r>
        <w:rPr>
          <w:sz w:val="20"/>
        </w:rPr>
        <w:t>effective</w:t>
      </w:r>
      <w:r>
        <w:rPr>
          <w:spacing w:val="-13"/>
          <w:sz w:val="20"/>
        </w:rPr>
        <w:t> </w:t>
      </w:r>
      <w:r>
        <w:rPr>
          <w:sz w:val="20"/>
        </w:rPr>
        <w:t>implementation</w:t>
      </w:r>
      <w:r>
        <w:rPr>
          <w:spacing w:val="-11"/>
          <w:sz w:val="20"/>
        </w:rPr>
        <w:t> </w:t>
      </w:r>
      <w:r>
        <w:rPr>
          <w:sz w:val="20"/>
        </w:rPr>
        <w:t>that</w:t>
      </w:r>
      <w:r>
        <w:rPr>
          <w:spacing w:val="-11"/>
          <w:sz w:val="20"/>
        </w:rPr>
        <w:t> </w:t>
      </w:r>
      <w:r>
        <w:rPr>
          <w:sz w:val="20"/>
        </w:rPr>
        <w:t>is</w:t>
      </w:r>
      <w:r>
        <w:rPr>
          <w:spacing w:val="-11"/>
          <w:sz w:val="20"/>
        </w:rPr>
        <w:t> </w:t>
      </w:r>
      <w:r>
        <w:rPr>
          <w:sz w:val="20"/>
        </w:rPr>
        <w:t>necessary</w:t>
      </w:r>
      <w:r>
        <w:rPr>
          <w:spacing w:val="-13"/>
          <w:sz w:val="20"/>
        </w:rPr>
        <w:t> </w:t>
      </w:r>
      <w:r>
        <w:rPr>
          <w:sz w:val="20"/>
        </w:rPr>
        <w:t>between multiple</w:t>
      </w:r>
      <w:r>
        <w:rPr>
          <w:spacing w:val="-15"/>
          <w:sz w:val="20"/>
        </w:rPr>
        <w:t> </w:t>
      </w:r>
      <w:r>
        <w:rPr>
          <w:sz w:val="20"/>
        </w:rPr>
        <w:t>jurisdictions</w:t>
      </w:r>
      <w:r>
        <w:rPr>
          <w:spacing w:val="-12"/>
          <w:sz w:val="20"/>
        </w:rPr>
        <w:t> </w:t>
      </w:r>
      <w:r>
        <w:rPr>
          <w:sz w:val="20"/>
        </w:rPr>
        <w:t>and</w:t>
      </w:r>
      <w:r>
        <w:rPr>
          <w:spacing w:val="-12"/>
          <w:sz w:val="20"/>
        </w:rPr>
        <w:t> </w:t>
      </w:r>
      <w:r>
        <w:rPr>
          <w:sz w:val="20"/>
        </w:rPr>
        <w:t>would,</w:t>
      </w:r>
      <w:r>
        <w:rPr>
          <w:spacing w:val="-15"/>
          <w:sz w:val="20"/>
        </w:rPr>
        <w:t> </w:t>
      </w:r>
      <w:r>
        <w:rPr>
          <w:sz w:val="20"/>
        </w:rPr>
        <w:t>for</w:t>
      </w:r>
      <w:r>
        <w:rPr>
          <w:spacing w:val="-15"/>
          <w:sz w:val="20"/>
        </w:rPr>
        <w:t> </w:t>
      </w:r>
      <w:r>
        <w:rPr>
          <w:sz w:val="20"/>
        </w:rPr>
        <w:t>its</w:t>
      </w:r>
      <w:r>
        <w:rPr>
          <w:spacing w:val="-15"/>
          <w:sz w:val="20"/>
        </w:rPr>
        <w:t> </w:t>
      </w:r>
      <w:r>
        <w:rPr>
          <w:sz w:val="20"/>
        </w:rPr>
        <w:t>parts</w:t>
      </w:r>
      <w:r>
        <w:rPr>
          <w:spacing w:val="-14"/>
          <w:sz w:val="20"/>
        </w:rPr>
        <w:t> </w:t>
      </w:r>
      <w:r>
        <w:rPr>
          <w:sz w:val="20"/>
        </w:rPr>
        <w:t>on</w:t>
      </w:r>
      <w:r>
        <w:rPr>
          <w:spacing w:val="-14"/>
          <w:sz w:val="20"/>
        </w:rPr>
        <w:t> </w:t>
      </w:r>
      <w:r>
        <w:rPr>
          <w:sz w:val="20"/>
        </w:rPr>
        <w:t>the</w:t>
      </w:r>
      <w:r>
        <w:rPr>
          <w:spacing w:val="-16"/>
          <w:sz w:val="20"/>
        </w:rPr>
        <w:t> </w:t>
      </w:r>
      <w:r>
        <w:rPr>
          <w:sz w:val="20"/>
        </w:rPr>
        <w:t>determination</w:t>
      </w:r>
      <w:r>
        <w:rPr>
          <w:spacing w:val="-14"/>
          <w:sz w:val="20"/>
        </w:rPr>
        <w:t> </w:t>
      </w:r>
      <w:r>
        <w:rPr>
          <w:sz w:val="20"/>
        </w:rPr>
        <w:t>of</w:t>
      </w:r>
      <w:r>
        <w:rPr>
          <w:spacing w:val="-15"/>
          <w:sz w:val="20"/>
        </w:rPr>
        <w:t> </w:t>
      </w:r>
      <w:r>
        <w:rPr>
          <w:sz w:val="20"/>
        </w:rPr>
        <w:t>Amount</w:t>
      </w:r>
      <w:r>
        <w:rPr>
          <w:spacing w:val="-16"/>
          <w:sz w:val="20"/>
        </w:rPr>
        <w:t> </w:t>
      </w:r>
      <w:r>
        <w:rPr>
          <w:sz w:val="20"/>
        </w:rPr>
        <w:t>A</w:t>
      </w:r>
      <w:r>
        <w:rPr>
          <w:spacing w:val="-14"/>
          <w:sz w:val="20"/>
        </w:rPr>
        <w:t> </w:t>
      </w:r>
      <w:r>
        <w:rPr>
          <w:sz w:val="20"/>
        </w:rPr>
        <w:t>tax</w:t>
      </w:r>
      <w:r>
        <w:rPr>
          <w:spacing w:val="-13"/>
          <w:sz w:val="20"/>
        </w:rPr>
        <w:t> </w:t>
      </w:r>
      <w:r>
        <w:rPr>
          <w:sz w:val="20"/>
        </w:rPr>
        <w:t>and</w:t>
      </w:r>
      <w:r>
        <w:rPr>
          <w:spacing w:val="-16"/>
          <w:sz w:val="20"/>
        </w:rPr>
        <w:t> </w:t>
      </w:r>
      <w:r>
        <w:rPr>
          <w:sz w:val="20"/>
        </w:rPr>
        <w:t>elimination</w:t>
      </w:r>
      <w:r>
        <w:rPr>
          <w:spacing w:val="-14"/>
          <w:sz w:val="20"/>
        </w:rPr>
        <w:t> </w:t>
      </w:r>
      <w:r>
        <w:rPr>
          <w:sz w:val="20"/>
        </w:rPr>
        <w:t>of</w:t>
      </w:r>
      <w:r>
        <w:rPr>
          <w:spacing w:val="-15"/>
          <w:sz w:val="20"/>
        </w:rPr>
        <w:t> </w:t>
      </w:r>
      <w:r>
        <w:rPr>
          <w:sz w:val="20"/>
        </w:rPr>
        <w:t>double taxation, supersede all bilateral tax treaties in</w:t>
      </w:r>
      <w:r>
        <w:rPr>
          <w:spacing w:val="-8"/>
          <w:sz w:val="20"/>
        </w:rPr>
        <w:t> </w:t>
      </w:r>
      <w:r>
        <w:rPr>
          <w:sz w:val="20"/>
        </w:rPr>
        <w:t>force.</w:t>
      </w:r>
    </w:p>
    <w:p>
      <w:pPr>
        <w:pStyle w:val="ListParagraph"/>
        <w:numPr>
          <w:ilvl w:val="0"/>
          <w:numId w:val="13"/>
        </w:numPr>
        <w:tabs>
          <w:tab w:pos="1444" w:val="left" w:leader="none"/>
        </w:tabs>
        <w:spacing w:line="271" w:lineRule="auto" w:before="121" w:after="0"/>
        <w:ind w:left="723" w:right="484" w:firstLine="0"/>
        <w:jc w:val="both"/>
        <w:rPr>
          <w:sz w:val="20"/>
        </w:rPr>
      </w:pPr>
      <w:r>
        <w:rPr>
          <w:sz w:val="20"/>
        </w:rPr>
        <w:t>As noted above, there would not be treaty barriers that would need to be removed between jurisdictions</w:t>
      </w:r>
      <w:r>
        <w:rPr>
          <w:spacing w:val="-10"/>
          <w:sz w:val="20"/>
        </w:rPr>
        <w:t> </w:t>
      </w:r>
      <w:r>
        <w:rPr>
          <w:sz w:val="20"/>
        </w:rPr>
        <w:t>that</w:t>
      </w:r>
      <w:r>
        <w:rPr>
          <w:spacing w:val="-10"/>
          <w:sz w:val="20"/>
        </w:rPr>
        <w:t> </w:t>
      </w:r>
      <w:r>
        <w:rPr>
          <w:sz w:val="20"/>
        </w:rPr>
        <w:t>currently</w:t>
      </w:r>
      <w:r>
        <w:rPr>
          <w:spacing w:val="-11"/>
          <w:sz w:val="20"/>
        </w:rPr>
        <w:t> </w:t>
      </w:r>
      <w:r>
        <w:rPr>
          <w:sz w:val="20"/>
        </w:rPr>
        <w:t>do</w:t>
      </w:r>
      <w:r>
        <w:rPr>
          <w:spacing w:val="-11"/>
          <w:sz w:val="20"/>
        </w:rPr>
        <w:t> </w:t>
      </w:r>
      <w:r>
        <w:rPr>
          <w:sz w:val="20"/>
        </w:rPr>
        <w:t>not</w:t>
      </w:r>
      <w:r>
        <w:rPr>
          <w:spacing w:val="-9"/>
          <w:sz w:val="20"/>
        </w:rPr>
        <w:t> </w:t>
      </w:r>
      <w:r>
        <w:rPr>
          <w:sz w:val="20"/>
        </w:rPr>
        <w:t>have</w:t>
      </w:r>
      <w:r>
        <w:rPr>
          <w:spacing w:val="-8"/>
          <w:sz w:val="20"/>
        </w:rPr>
        <w:t> </w:t>
      </w:r>
      <w:r>
        <w:rPr>
          <w:sz w:val="20"/>
        </w:rPr>
        <w:t>a</w:t>
      </w:r>
      <w:r>
        <w:rPr>
          <w:spacing w:val="-11"/>
          <w:sz w:val="20"/>
        </w:rPr>
        <w:t> </w:t>
      </w:r>
      <w:r>
        <w:rPr>
          <w:sz w:val="20"/>
        </w:rPr>
        <w:t>treaty</w:t>
      </w:r>
      <w:r>
        <w:rPr>
          <w:spacing w:val="-11"/>
          <w:sz w:val="20"/>
        </w:rPr>
        <w:t> </w:t>
      </w:r>
      <w:r>
        <w:rPr>
          <w:sz w:val="20"/>
        </w:rPr>
        <w:t>with</w:t>
      </w:r>
      <w:r>
        <w:rPr>
          <w:spacing w:val="-12"/>
          <w:sz w:val="20"/>
        </w:rPr>
        <w:t> </w:t>
      </w:r>
      <w:r>
        <w:rPr>
          <w:sz w:val="20"/>
        </w:rPr>
        <w:t>respect</w:t>
      </w:r>
      <w:r>
        <w:rPr>
          <w:spacing w:val="-10"/>
          <w:sz w:val="20"/>
        </w:rPr>
        <w:t> </w:t>
      </w:r>
      <w:r>
        <w:rPr>
          <w:sz w:val="20"/>
        </w:rPr>
        <w:t>to</w:t>
      </w:r>
      <w:r>
        <w:rPr>
          <w:spacing w:val="-8"/>
          <w:sz w:val="20"/>
        </w:rPr>
        <w:t> </w:t>
      </w:r>
      <w:r>
        <w:rPr>
          <w:sz w:val="20"/>
        </w:rPr>
        <w:t>those</w:t>
      </w:r>
      <w:r>
        <w:rPr>
          <w:spacing w:val="-8"/>
          <w:sz w:val="20"/>
        </w:rPr>
        <w:t> </w:t>
      </w:r>
      <w:r>
        <w:rPr>
          <w:sz w:val="20"/>
        </w:rPr>
        <w:t>parts</w:t>
      </w:r>
      <w:r>
        <w:rPr>
          <w:spacing w:val="-7"/>
          <w:sz w:val="20"/>
        </w:rPr>
        <w:t> </w:t>
      </w:r>
      <w:r>
        <w:rPr>
          <w:sz w:val="20"/>
        </w:rPr>
        <w:t>and</w:t>
      </w:r>
      <w:r>
        <w:rPr>
          <w:spacing w:val="-8"/>
          <w:sz w:val="20"/>
        </w:rPr>
        <w:t> </w:t>
      </w:r>
      <w:r>
        <w:rPr>
          <w:sz w:val="20"/>
        </w:rPr>
        <w:t>those</w:t>
      </w:r>
      <w:r>
        <w:rPr>
          <w:spacing w:val="-11"/>
          <w:sz w:val="20"/>
        </w:rPr>
        <w:t> </w:t>
      </w:r>
      <w:r>
        <w:rPr>
          <w:sz w:val="20"/>
        </w:rPr>
        <w:t>jurisdictions</w:t>
      </w:r>
      <w:r>
        <w:rPr>
          <w:spacing w:val="-10"/>
          <w:sz w:val="20"/>
        </w:rPr>
        <w:t> </w:t>
      </w:r>
      <w:r>
        <w:rPr>
          <w:sz w:val="20"/>
        </w:rPr>
        <w:t>could</w:t>
      </w:r>
      <w:r>
        <w:rPr>
          <w:spacing w:val="-8"/>
          <w:sz w:val="20"/>
        </w:rPr>
        <w:t> </w:t>
      </w:r>
      <w:r>
        <w:rPr>
          <w:sz w:val="20"/>
        </w:rPr>
        <w:t>rely on</w:t>
      </w:r>
      <w:r>
        <w:rPr>
          <w:spacing w:val="-9"/>
          <w:sz w:val="20"/>
        </w:rPr>
        <w:t> </w:t>
      </w:r>
      <w:r>
        <w:rPr>
          <w:sz w:val="20"/>
        </w:rPr>
        <w:t>their</w:t>
      </w:r>
      <w:r>
        <w:rPr>
          <w:spacing w:val="-7"/>
          <w:sz w:val="20"/>
        </w:rPr>
        <w:t> </w:t>
      </w:r>
      <w:r>
        <w:rPr>
          <w:sz w:val="20"/>
        </w:rPr>
        <w:t>domestic</w:t>
      </w:r>
      <w:r>
        <w:rPr>
          <w:spacing w:val="-8"/>
          <w:sz w:val="20"/>
        </w:rPr>
        <w:t> </w:t>
      </w:r>
      <w:r>
        <w:rPr>
          <w:sz w:val="20"/>
        </w:rPr>
        <w:t>legislation</w:t>
      </w:r>
      <w:r>
        <w:rPr>
          <w:spacing w:val="-7"/>
          <w:sz w:val="20"/>
        </w:rPr>
        <w:t> </w:t>
      </w:r>
      <w:r>
        <w:rPr>
          <w:sz w:val="20"/>
        </w:rPr>
        <w:t>to</w:t>
      </w:r>
      <w:r>
        <w:rPr>
          <w:spacing w:val="-9"/>
          <w:sz w:val="20"/>
        </w:rPr>
        <w:t> </w:t>
      </w:r>
      <w:r>
        <w:rPr>
          <w:sz w:val="20"/>
        </w:rPr>
        <w:t>apply</w:t>
      </w:r>
      <w:r>
        <w:rPr>
          <w:spacing w:val="-10"/>
          <w:sz w:val="20"/>
        </w:rPr>
        <w:t> </w:t>
      </w:r>
      <w:r>
        <w:rPr>
          <w:sz w:val="20"/>
        </w:rPr>
        <w:t>and</w:t>
      </w:r>
      <w:r>
        <w:rPr>
          <w:spacing w:val="-7"/>
          <w:sz w:val="20"/>
        </w:rPr>
        <w:t> </w:t>
      </w:r>
      <w:r>
        <w:rPr>
          <w:sz w:val="20"/>
        </w:rPr>
        <w:t>administer</w:t>
      </w:r>
      <w:r>
        <w:rPr>
          <w:spacing w:val="-6"/>
          <w:sz w:val="20"/>
        </w:rPr>
        <w:t> </w:t>
      </w:r>
      <w:r>
        <w:rPr>
          <w:sz w:val="20"/>
        </w:rPr>
        <w:t>Amount</w:t>
      </w:r>
      <w:r>
        <w:rPr>
          <w:spacing w:val="-7"/>
          <w:sz w:val="20"/>
        </w:rPr>
        <w:t> </w:t>
      </w:r>
      <w:r>
        <w:rPr>
          <w:sz w:val="20"/>
        </w:rPr>
        <w:t>A.</w:t>
      </w:r>
      <w:r>
        <w:rPr>
          <w:spacing w:val="-9"/>
          <w:sz w:val="20"/>
        </w:rPr>
        <w:t> </w:t>
      </w:r>
      <w:r>
        <w:rPr>
          <w:sz w:val="20"/>
        </w:rPr>
        <w:t>The</w:t>
      </w:r>
      <w:r>
        <w:rPr>
          <w:spacing w:val="-7"/>
          <w:sz w:val="20"/>
        </w:rPr>
        <w:t> </w:t>
      </w:r>
      <w:r>
        <w:rPr>
          <w:sz w:val="20"/>
        </w:rPr>
        <w:t>part</w:t>
      </w:r>
      <w:r>
        <w:rPr>
          <w:spacing w:val="-9"/>
          <w:sz w:val="20"/>
        </w:rPr>
        <w:t> </w:t>
      </w:r>
      <w:r>
        <w:rPr>
          <w:sz w:val="20"/>
        </w:rPr>
        <w:t>of</w:t>
      </w:r>
      <w:r>
        <w:rPr>
          <w:spacing w:val="-8"/>
          <w:sz w:val="20"/>
        </w:rPr>
        <w:t> </w:t>
      </w:r>
      <w:r>
        <w:rPr>
          <w:sz w:val="20"/>
        </w:rPr>
        <w:t>the</w:t>
      </w:r>
      <w:r>
        <w:rPr>
          <w:spacing w:val="-9"/>
          <w:sz w:val="20"/>
        </w:rPr>
        <w:t> </w:t>
      </w:r>
      <w:r>
        <w:rPr>
          <w:sz w:val="20"/>
        </w:rPr>
        <w:t>multilateral</w:t>
      </w:r>
      <w:r>
        <w:rPr>
          <w:spacing w:val="-9"/>
          <w:sz w:val="20"/>
        </w:rPr>
        <w:t> </w:t>
      </w:r>
      <w:r>
        <w:rPr>
          <w:sz w:val="20"/>
        </w:rPr>
        <w:t>convention</w:t>
      </w:r>
      <w:r>
        <w:rPr>
          <w:spacing w:val="-8"/>
          <w:sz w:val="20"/>
        </w:rPr>
        <w:t> </w:t>
      </w:r>
      <w:r>
        <w:rPr>
          <w:sz w:val="20"/>
        </w:rPr>
        <w:t>that would implement the features of the new simplified administration process and the tax certainty-related processes would apply to all parties and would also close the gaps in treaty coverage. That part would also</w:t>
      </w:r>
      <w:r>
        <w:rPr>
          <w:spacing w:val="-9"/>
          <w:sz w:val="20"/>
        </w:rPr>
        <w:t> </w:t>
      </w:r>
      <w:r>
        <w:rPr>
          <w:sz w:val="20"/>
        </w:rPr>
        <w:t>make</w:t>
      </w:r>
      <w:r>
        <w:rPr>
          <w:spacing w:val="-12"/>
          <w:sz w:val="20"/>
        </w:rPr>
        <w:t> </w:t>
      </w:r>
      <w:r>
        <w:rPr>
          <w:sz w:val="20"/>
        </w:rPr>
        <w:t>the</w:t>
      </w:r>
      <w:r>
        <w:rPr>
          <w:spacing w:val="-9"/>
          <w:sz w:val="20"/>
        </w:rPr>
        <w:t> </w:t>
      </w:r>
      <w:r>
        <w:rPr>
          <w:sz w:val="20"/>
        </w:rPr>
        <w:t>appropriate</w:t>
      </w:r>
      <w:r>
        <w:rPr>
          <w:spacing w:val="-10"/>
          <w:sz w:val="20"/>
        </w:rPr>
        <w:t> </w:t>
      </w:r>
      <w:r>
        <w:rPr>
          <w:sz w:val="20"/>
        </w:rPr>
        <w:t>linkages</w:t>
      </w:r>
      <w:r>
        <w:rPr>
          <w:spacing w:val="-9"/>
          <w:sz w:val="20"/>
        </w:rPr>
        <w:t> </w:t>
      </w:r>
      <w:r>
        <w:rPr>
          <w:sz w:val="20"/>
        </w:rPr>
        <w:t>for</w:t>
      </w:r>
      <w:r>
        <w:rPr>
          <w:spacing w:val="-11"/>
          <w:sz w:val="20"/>
        </w:rPr>
        <w:t> </w:t>
      </w:r>
      <w:r>
        <w:rPr>
          <w:sz w:val="20"/>
        </w:rPr>
        <w:t>all</w:t>
      </w:r>
      <w:r>
        <w:rPr>
          <w:spacing w:val="-12"/>
          <w:sz w:val="20"/>
        </w:rPr>
        <w:t> </w:t>
      </w:r>
      <w:r>
        <w:rPr>
          <w:sz w:val="20"/>
        </w:rPr>
        <w:t>signatories</w:t>
      </w:r>
      <w:r>
        <w:rPr>
          <w:spacing w:val="-9"/>
          <w:sz w:val="20"/>
        </w:rPr>
        <w:t> </w:t>
      </w:r>
      <w:r>
        <w:rPr>
          <w:sz w:val="20"/>
        </w:rPr>
        <w:t>to</w:t>
      </w:r>
      <w:r>
        <w:rPr>
          <w:spacing w:val="-9"/>
          <w:sz w:val="20"/>
        </w:rPr>
        <w:t> </w:t>
      </w:r>
      <w:r>
        <w:rPr>
          <w:sz w:val="20"/>
        </w:rPr>
        <w:t>the</w:t>
      </w:r>
      <w:r>
        <w:rPr>
          <w:spacing w:val="-10"/>
          <w:sz w:val="20"/>
        </w:rPr>
        <w:t> </w:t>
      </w:r>
      <w:r>
        <w:rPr>
          <w:sz w:val="20"/>
        </w:rPr>
        <w:t>rules</w:t>
      </w:r>
      <w:r>
        <w:rPr>
          <w:spacing w:val="-8"/>
          <w:sz w:val="20"/>
        </w:rPr>
        <w:t> </w:t>
      </w:r>
      <w:r>
        <w:rPr>
          <w:sz w:val="20"/>
        </w:rPr>
        <w:t>that</w:t>
      </w:r>
      <w:r>
        <w:rPr>
          <w:spacing w:val="-9"/>
          <w:sz w:val="20"/>
        </w:rPr>
        <w:t> </w:t>
      </w:r>
      <w:r>
        <w:rPr>
          <w:sz w:val="20"/>
        </w:rPr>
        <w:t>govern</w:t>
      </w:r>
      <w:r>
        <w:rPr>
          <w:spacing w:val="-8"/>
          <w:sz w:val="20"/>
        </w:rPr>
        <w:t> </w:t>
      </w:r>
      <w:r>
        <w:rPr>
          <w:sz w:val="20"/>
        </w:rPr>
        <w:t>the</w:t>
      </w:r>
      <w:r>
        <w:rPr>
          <w:spacing w:val="-10"/>
          <w:sz w:val="20"/>
        </w:rPr>
        <w:t> </w:t>
      </w:r>
      <w:r>
        <w:rPr>
          <w:sz w:val="20"/>
        </w:rPr>
        <w:t>application</w:t>
      </w:r>
      <w:r>
        <w:rPr>
          <w:spacing w:val="-9"/>
          <w:sz w:val="20"/>
        </w:rPr>
        <w:t> </w:t>
      </w:r>
      <w:r>
        <w:rPr>
          <w:sz w:val="20"/>
        </w:rPr>
        <w:t>and</w:t>
      </w:r>
      <w:r>
        <w:rPr>
          <w:spacing w:val="-9"/>
          <w:sz w:val="20"/>
        </w:rPr>
        <w:t> </w:t>
      </w:r>
      <w:r>
        <w:rPr>
          <w:sz w:val="20"/>
        </w:rPr>
        <w:t>operation of Amount</w:t>
      </w:r>
      <w:r>
        <w:rPr>
          <w:spacing w:val="-2"/>
          <w:sz w:val="20"/>
        </w:rPr>
        <w:t> </w:t>
      </w:r>
      <w:r>
        <w:rPr>
          <w:sz w:val="20"/>
        </w:rPr>
        <w:t>A.</w:t>
      </w:r>
    </w:p>
    <w:p>
      <w:pPr>
        <w:pStyle w:val="ListParagraph"/>
        <w:numPr>
          <w:ilvl w:val="0"/>
          <w:numId w:val="13"/>
        </w:numPr>
        <w:tabs>
          <w:tab w:pos="1444" w:val="left" w:leader="none"/>
        </w:tabs>
        <w:spacing w:line="271" w:lineRule="auto" w:before="121" w:after="0"/>
        <w:ind w:left="723" w:right="479" w:firstLine="0"/>
        <w:jc w:val="both"/>
        <w:rPr>
          <w:sz w:val="20"/>
        </w:rPr>
      </w:pPr>
      <w:r>
        <w:rPr>
          <w:sz w:val="20"/>
        </w:rPr>
        <w:t>If developing a multilateral convention is the ideal way to ensure a legal obligation to apply and administer Amount A in the same way, and better coordination and speedier international public law implementation.</w:t>
      </w:r>
      <w:r>
        <w:rPr>
          <w:spacing w:val="-4"/>
          <w:sz w:val="20"/>
        </w:rPr>
        <w:t> </w:t>
      </w:r>
      <w:r>
        <w:rPr>
          <w:sz w:val="20"/>
        </w:rPr>
        <w:t>However,</w:t>
      </w:r>
      <w:r>
        <w:rPr>
          <w:spacing w:val="-4"/>
          <w:sz w:val="20"/>
        </w:rPr>
        <w:t> </w:t>
      </w:r>
      <w:r>
        <w:rPr>
          <w:sz w:val="20"/>
        </w:rPr>
        <w:t>some</w:t>
      </w:r>
      <w:r>
        <w:rPr>
          <w:spacing w:val="-6"/>
          <w:sz w:val="20"/>
        </w:rPr>
        <w:t> </w:t>
      </w:r>
      <w:r>
        <w:rPr>
          <w:sz w:val="20"/>
        </w:rPr>
        <w:t>jurisdictions</w:t>
      </w:r>
      <w:r>
        <w:rPr>
          <w:spacing w:val="-5"/>
          <w:sz w:val="20"/>
        </w:rPr>
        <w:t> </w:t>
      </w:r>
      <w:r>
        <w:rPr>
          <w:sz w:val="20"/>
        </w:rPr>
        <w:t>may</w:t>
      </w:r>
      <w:r>
        <w:rPr>
          <w:spacing w:val="-7"/>
          <w:sz w:val="20"/>
        </w:rPr>
        <w:t> </w:t>
      </w:r>
      <w:r>
        <w:rPr>
          <w:sz w:val="20"/>
        </w:rPr>
        <w:t>need</w:t>
      </w:r>
      <w:r>
        <w:rPr>
          <w:spacing w:val="-6"/>
          <w:sz w:val="20"/>
        </w:rPr>
        <w:t> </w:t>
      </w:r>
      <w:r>
        <w:rPr>
          <w:sz w:val="20"/>
        </w:rPr>
        <w:t>to</w:t>
      </w:r>
      <w:r>
        <w:rPr>
          <w:spacing w:val="-5"/>
          <w:sz w:val="20"/>
        </w:rPr>
        <w:t> </w:t>
      </w:r>
      <w:r>
        <w:rPr>
          <w:sz w:val="20"/>
        </w:rPr>
        <w:t>explore</w:t>
      </w:r>
      <w:r>
        <w:rPr>
          <w:spacing w:val="-1"/>
          <w:sz w:val="20"/>
        </w:rPr>
        <w:t> </w:t>
      </w:r>
      <w:r>
        <w:rPr>
          <w:sz w:val="20"/>
        </w:rPr>
        <w:t>whether</w:t>
      </w:r>
      <w:r>
        <w:rPr>
          <w:spacing w:val="-6"/>
          <w:sz w:val="20"/>
        </w:rPr>
        <w:t> </w:t>
      </w:r>
      <w:r>
        <w:rPr>
          <w:sz w:val="20"/>
        </w:rPr>
        <w:t>they</w:t>
      </w:r>
      <w:r>
        <w:rPr>
          <w:spacing w:val="-4"/>
          <w:sz w:val="20"/>
        </w:rPr>
        <w:t> </w:t>
      </w:r>
      <w:r>
        <w:rPr>
          <w:sz w:val="20"/>
        </w:rPr>
        <w:t>could</w:t>
      </w:r>
      <w:r>
        <w:rPr>
          <w:spacing w:val="-6"/>
          <w:sz w:val="20"/>
        </w:rPr>
        <w:t> </w:t>
      </w:r>
      <w:r>
        <w:rPr>
          <w:sz w:val="20"/>
        </w:rPr>
        <w:t>exceptionally</w:t>
      </w:r>
      <w:r>
        <w:rPr>
          <w:spacing w:val="-9"/>
          <w:sz w:val="20"/>
        </w:rPr>
        <w:t> </w:t>
      </w:r>
      <w:r>
        <w:rPr>
          <w:sz w:val="20"/>
        </w:rPr>
        <w:t>make all necessary treaty changes by amendments to their existing bilateral treaties and domestic law within a reasonable</w:t>
      </w:r>
      <w:r>
        <w:rPr>
          <w:spacing w:val="-9"/>
          <w:sz w:val="20"/>
        </w:rPr>
        <w:t> </w:t>
      </w:r>
      <w:r>
        <w:rPr>
          <w:sz w:val="20"/>
        </w:rPr>
        <w:t>timeframe.</w:t>
      </w:r>
      <w:r>
        <w:rPr>
          <w:spacing w:val="-10"/>
          <w:sz w:val="20"/>
        </w:rPr>
        <w:t> </w:t>
      </w:r>
      <w:r>
        <w:rPr>
          <w:sz w:val="20"/>
        </w:rPr>
        <w:t>Under</w:t>
      </w:r>
      <w:r>
        <w:rPr>
          <w:spacing w:val="-10"/>
          <w:sz w:val="20"/>
        </w:rPr>
        <w:t> </w:t>
      </w:r>
      <w:r>
        <w:rPr>
          <w:sz w:val="20"/>
        </w:rPr>
        <w:t>such</w:t>
      </w:r>
      <w:r>
        <w:rPr>
          <w:spacing w:val="-12"/>
          <w:sz w:val="20"/>
        </w:rPr>
        <w:t> </w:t>
      </w:r>
      <w:r>
        <w:rPr>
          <w:sz w:val="20"/>
        </w:rPr>
        <w:t>an</w:t>
      </w:r>
      <w:r>
        <w:rPr>
          <w:spacing w:val="-11"/>
          <w:sz w:val="20"/>
        </w:rPr>
        <w:t> </w:t>
      </w:r>
      <w:r>
        <w:rPr>
          <w:sz w:val="20"/>
        </w:rPr>
        <w:t>approach,</w:t>
      </w:r>
      <w:r>
        <w:rPr>
          <w:spacing w:val="-10"/>
          <w:sz w:val="20"/>
        </w:rPr>
        <w:t> </w:t>
      </w:r>
      <w:r>
        <w:rPr>
          <w:sz w:val="20"/>
        </w:rPr>
        <w:t>a</w:t>
      </w:r>
      <w:r>
        <w:rPr>
          <w:spacing w:val="-9"/>
          <w:sz w:val="20"/>
        </w:rPr>
        <w:t> </w:t>
      </w:r>
      <w:r>
        <w:rPr>
          <w:sz w:val="20"/>
        </w:rPr>
        <w:t>jurisdiction</w:t>
      </w:r>
      <w:r>
        <w:rPr>
          <w:spacing w:val="-7"/>
          <w:sz w:val="20"/>
        </w:rPr>
        <w:t> </w:t>
      </w:r>
      <w:r>
        <w:rPr>
          <w:sz w:val="20"/>
        </w:rPr>
        <w:t>may</w:t>
      </w:r>
      <w:r>
        <w:rPr>
          <w:spacing w:val="-14"/>
          <w:sz w:val="20"/>
        </w:rPr>
        <w:t> </w:t>
      </w:r>
      <w:r>
        <w:rPr>
          <w:sz w:val="20"/>
        </w:rPr>
        <w:t>be</w:t>
      </w:r>
      <w:r>
        <w:rPr>
          <w:spacing w:val="-9"/>
          <w:sz w:val="20"/>
        </w:rPr>
        <w:t> </w:t>
      </w:r>
      <w:r>
        <w:rPr>
          <w:sz w:val="20"/>
        </w:rPr>
        <w:t>able</w:t>
      </w:r>
      <w:r>
        <w:rPr>
          <w:spacing w:val="-11"/>
          <w:sz w:val="20"/>
        </w:rPr>
        <w:t> </w:t>
      </w:r>
      <w:r>
        <w:rPr>
          <w:sz w:val="20"/>
        </w:rPr>
        <w:t>to</w:t>
      </w:r>
      <w:r>
        <w:rPr>
          <w:spacing w:val="-11"/>
          <w:sz w:val="20"/>
        </w:rPr>
        <w:t> </w:t>
      </w:r>
      <w:r>
        <w:rPr>
          <w:sz w:val="20"/>
        </w:rPr>
        <w:t>agree</w:t>
      </w:r>
      <w:r>
        <w:rPr>
          <w:spacing w:val="-8"/>
          <w:sz w:val="20"/>
        </w:rPr>
        <w:t> </w:t>
      </w:r>
      <w:r>
        <w:rPr>
          <w:sz w:val="20"/>
        </w:rPr>
        <w:t>with</w:t>
      </w:r>
      <w:r>
        <w:rPr>
          <w:spacing w:val="-9"/>
          <w:sz w:val="20"/>
        </w:rPr>
        <w:t> </w:t>
      </w:r>
      <w:r>
        <w:rPr>
          <w:sz w:val="20"/>
        </w:rPr>
        <w:t>its</w:t>
      </w:r>
      <w:r>
        <w:rPr>
          <w:spacing w:val="-9"/>
          <w:sz w:val="20"/>
        </w:rPr>
        <w:t> </w:t>
      </w:r>
      <w:r>
        <w:rPr>
          <w:sz w:val="20"/>
        </w:rPr>
        <w:t>treaty</w:t>
      </w:r>
      <w:r>
        <w:rPr>
          <w:spacing w:val="-11"/>
          <w:sz w:val="20"/>
        </w:rPr>
        <w:t> </w:t>
      </w:r>
      <w:r>
        <w:rPr>
          <w:sz w:val="20"/>
        </w:rPr>
        <w:t>partners to bilaterally amend its existing treaties to remove obstacles for the determination of Amount A tax and elimination of double taxation and then rely on its domestic legislation to apply and administer Amount A. Allowing</w:t>
      </w:r>
      <w:r>
        <w:rPr>
          <w:spacing w:val="-18"/>
          <w:sz w:val="20"/>
        </w:rPr>
        <w:t> </w:t>
      </w:r>
      <w:r>
        <w:rPr>
          <w:sz w:val="20"/>
        </w:rPr>
        <w:t>a</w:t>
      </w:r>
      <w:r>
        <w:rPr>
          <w:spacing w:val="-17"/>
          <w:sz w:val="20"/>
        </w:rPr>
        <w:t> </w:t>
      </w:r>
      <w:r>
        <w:rPr>
          <w:sz w:val="20"/>
        </w:rPr>
        <w:t>jurisdiction</w:t>
      </w:r>
      <w:r>
        <w:rPr>
          <w:spacing w:val="-16"/>
          <w:sz w:val="20"/>
        </w:rPr>
        <w:t> </w:t>
      </w:r>
      <w:r>
        <w:rPr>
          <w:sz w:val="20"/>
        </w:rPr>
        <w:t>to</w:t>
      </w:r>
      <w:r>
        <w:rPr>
          <w:spacing w:val="-17"/>
          <w:sz w:val="20"/>
        </w:rPr>
        <w:t> </w:t>
      </w:r>
      <w:r>
        <w:rPr>
          <w:sz w:val="20"/>
        </w:rPr>
        <w:t>require</w:t>
      </w:r>
      <w:r>
        <w:rPr>
          <w:spacing w:val="-17"/>
          <w:sz w:val="20"/>
        </w:rPr>
        <w:t> </w:t>
      </w:r>
      <w:r>
        <w:rPr>
          <w:sz w:val="20"/>
        </w:rPr>
        <w:t>a</w:t>
      </w:r>
      <w:r>
        <w:rPr>
          <w:spacing w:val="-16"/>
          <w:sz w:val="20"/>
        </w:rPr>
        <w:t> </w:t>
      </w:r>
      <w:r>
        <w:rPr>
          <w:sz w:val="20"/>
        </w:rPr>
        <w:t>bilateral</w:t>
      </w:r>
      <w:r>
        <w:rPr>
          <w:spacing w:val="-18"/>
          <w:sz w:val="20"/>
        </w:rPr>
        <w:t> </w:t>
      </w:r>
      <w:r>
        <w:rPr>
          <w:sz w:val="20"/>
        </w:rPr>
        <w:t>approach</w:t>
      </w:r>
      <w:r>
        <w:rPr>
          <w:spacing w:val="-15"/>
          <w:sz w:val="20"/>
        </w:rPr>
        <w:t> </w:t>
      </w:r>
      <w:r>
        <w:rPr>
          <w:sz w:val="20"/>
        </w:rPr>
        <w:t>would,</w:t>
      </w:r>
      <w:r>
        <w:rPr>
          <w:spacing w:val="-16"/>
          <w:sz w:val="20"/>
        </w:rPr>
        <w:t> </w:t>
      </w:r>
      <w:r>
        <w:rPr>
          <w:sz w:val="20"/>
        </w:rPr>
        <w:t>however,</w:t>
      </w:r>
      <w:r>
        <w:rPr>
          <w:spacing w:val="-16"/>
          <w:sz w:val="20"/>
        </w:rPr>
        <w:t> </w:t>
      </w:r>
      <w:r>
        <w:rPr>
          <w:sz w:val="20"/>
        </w:rPr>
        <w:t>place</w:t>
      </w:r>
      <w:r>
        <w:rPr>
          <w:spacing w:val="-17"/>
          <w:sz w:val="20"/>
        </w:rPr>
        <w:t> </w:t>
      </w:r>
      <w:r>
        <w:rPr>
          <w:sz w:val="20"/>
        </w:rPr>
        <w:t>an</w:t>
      </w:r>
      <w:r>
        <w:rPr>
          <w:spacing w:val="-16"/>
          <w:sz w:val="20"/>
        </w:rPr>
        <w:t> </w:t>
      </w:r>
      <w:r>
        <w:rPr>
          <w:sz w:val="20"/>
        </w:rPr>
        <w:t>additional</w:t>
      </w:r>
      <w:r>
        <w:rPr>
          <w:spacing w:val="-18"/>
          <w:sz w:val="20"/>
        </w:rPr>
        <w:t> </w:t>
      </w:r>
      <w:r>
        <w:rPr>
          <w:sz w:val="20"/>
        </w:rPr>
        <w:t>burden</w:t>
      </w:r>
      <w:r>
        <w:rPr>
          <w:spacing w:val="-17"/>
          <w:sz w:val="20"/>
        </w:rPr>
        <w:t> </w:t>
      </w:r>
      <w:r>
        <w:rPr>
          <w:sz w:val="20"/>
        </w:rPr>
        <w:t>on</w:t>
      </w:r>
      <w:r>
        <w:rPr>
          <w:spacing w:val="-16"/>
          <w:sz w:val="20"/>
        </w:rPr>
        <w:t> </w:t>
      </w:r>
      <w:r>
        <w:rPr>
          <w:sz w:val="20"/>
        </w:rPr>
        <w:t>partner jurisdictions who would be required to implement on both a bilateral and a multilateral basis. Also, it is not clear that the multilateral dispute prevention process for Amount A could be implemented other than by a multilateral convention given the need to coordinate results among multiple</w:t>
      </w:r>
      <w:r>
        <w:rPr>
          <w:spacing w:val="-15"/>
          <w:sz w:val="20"/>
        </w:rPr>
        <w:t> </w:t>
      </w:r>
      <w:r>
        <w:rPr>
          <w:sz w:val="20"/>
        </w:rPr>
        <w:t>jurisdictions.</w:t>
      </w:r>
    </w:p>
    <w:p>
      <w:pPr>
        <w:pStyle w:val="ListParagraph"/>
        <w:numPr>
          <w:ilvl w:val="0"/>
          <w:numId w:val="13"/>
        </w:numPr>
        <w:tabs>
          <w:tab w:pos="1444" w:val="left" w:leader="none"/>
        </w:tabs>
        <w:spacing w:line="271" w:lineRule="auto" w:before="122" w:after="0"/>
        <w:ind w:left="723" w:right="486" w:firstLine="0"/>
        <w:jc w:val="both"/>
        <w:rPr>
          <w:sz w:val="20"/>
        </w:rPr>
      </w:pPr>
      <w:r>
        <w:rPr>
          <w:sz w:val="20"/>
        </w:rPr>
        <w:t>As part of this work on possible bilateral amendments to treaties, further thoughts could be given on the development of a separate instrument that would deal with the features of the new simplified administration process and the tax certainty-related</w:t>
      </w:r>
      <w:r>
        <w:rPr>
          <w:spacing w:val="-7"/>
          <w:sz w:val="20"/>
        </w:rPr>
        <w:t> </w:t>
      </w:r>
      <w:r>
        <w:rPr>
          <w:sz w:val="20"/>
        </w:rPr>
        <w:t>processes.</w:t>
      </w:r>
    </w:p>
    <w:p>
      <w:pPr>
        <w:pStyle w:val="BodyText"/>
        <w:spacing w:before="5"/>
        <w:rPr>
          <w:sz w:val="23"/>
        </w:rPr>
      </w:pPr>
    </w:p>
    <w:p>
      <w:pPr>
        <w:pStyle w:val="Heading6"/>
        <w:numPr>
          <w:ilvl w:val="2"/>
          <w:numId w:val="85"/>
        </w:numPr>
        <w:tabs>
          <w:tab w:pos="2138" w:val="left" w:leader="none"/>
        </w:tabs>
        <w:spacing w:line="240" w:lineRule="auto" w:before="0" w:after="0"/>
        <w:ind w:left="2137" w:right="0" w:hanging="736"/>
        <w:jc w:val="left"/>
        <w:rPr>
          <w:i/>
        </w:rPr>
      </w:pPr>
      <w:bookmarkStart w:name="10.2.3. Guidance and accompanying instru" w:id="500"/>
      <w:bookmarkEnd w:id="500"/>
      <w:r>
        <w:rPr>
          <w:b w:val="0"/>
          <w:i w:val="0"/>
        </w:rPr>
      </w:r>
      <w:bookmarkStart w:name="10.2.3. Guidance and accompanying instru" w:id="501"/>
      <w:bookmarkEnd w:id="501"/>
      <w:r>
        <w:rPr>
          <w:i/>
        </w:rPr>
        <w:t>Guida</w:t>
      </w:r>
      <w:r>
        <w:rPr>
          <w:i/>
        </w:rPr>
        <w:t>nce and accompanying</w:t>
      </w:r>
      <w:r>
        <w:rPr>
          <w:i/>
          <w:spacing w:val="-5"/>
        </w:rPr>
        <w:t> </w:t>
      </w:r>
      <w:r>
        <w:rPr>
          <w:i/>
        </w:rPr>
        <w:t>instruments</w:t>
      </w:r>
    </w:p>
    <w:p>
      <w:pPr>
        <w:pStyle w:val="BodyText"/>
        <w:spacing w:before="10"/>
        <w:rPr>
          <w:b/>
          <w:i/>
          <w:sz w:val="18"/>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Guidance</w:t>
      </w:r>
      <w:r>
        <w:rPr>
          <w:spacing w:val="-13"/>
          <w:sz w:val="20"/>
        </w:rPr>
        <w:t> </w:t>
      </w:r>
      <w:r>
        <w:rPr>
          <w:sz w:val="20"/>
        </w:rPr>
        <w:t>will</w:t>
      </w:r>
      <w:r>
        <w:rPr>
          <w:spacing w:val="-13"/>
          <w:sz w:val="20"/>
        </w:rPr>
        <w:t> </w:t>
      </w:r>
      <w:r>
        <w:rPr>
          <w:sz w:val="20"/>
        </w:rPr>
        <w:t>also</w:t>
      </w:r>
      <w:r>
        <w:rPr>
          <w:spacing w:val="-14"/>
          <w:sz w:val="20"/>
        </w:rPr>
        <w:t> </w:t>
      </w:r>
      <w:r>
        <w:rPr>
          <w:sz w:val="20"/>
        </w:rPr>
        <w:t>need</w:t>
      </w:r>
      <w:r>
        <w:rPr>
          <w:spacing w:val="-14"/>
          <w:sz w:val="20"/>
        </w:rPr>
        <w:t> </w:t>
      </w:r>
      <w:r>
        <w:rPr>
          <w:sz w:val="20"/>
        </w:rPr>
        <w:t>to</w:t>
      </w:r>
      <w:r>
        <w:rPr>
          <w:spacing w:val="-14"/>
          <w:sz w:val="20"/>
        </w:rPr>
        <w:t> </w:t>
      </w:r>
      <w:r>
        <w:rPr>
          <w:sz w:val="20"/>
        </w:rPr>
        <w:t>be</w:t>
      </w:r>
      <w:r>
        <w:rPr>
          <w:spacing w:val="-14"/>
          <w:sz w:val="20"/>
        </w:rPr>
        <w:t> </w:t>
      </w:r>
      <w:r>
        <w:rPr>
          <w:sz w:val="20"/>
        </w:rPr>
        <w:t>developed</w:t>
      </w:r>
      <w:r>
        <w:rPr>
          <w:spacing w:val="-14"/>
          <w:sz w:val="20"/>
        </w:rPr>
        <w:t> </w:t>
      </w:r>
      <w:r>
        <w:rPr>
          <w:sz w:val="20"/>
        </w:rPr>
        <w:t>for</w:t>
      </w:r>
      <w:r>
        <w:rPr>
          <w:spacing w:val="-15"/>
          <w:sz w:val="20"/>
        </w:rPr>
        <w:t> </w:t>
      </w:r>
      <w:r>
        <w:rPr>
          <w:sz w:val="20"/>
        </w:rPr>
        <w:t>many</w:t>
      </w:r>
      <w:r>
        <w:rPr>
          <w:spacing w:val="-18"/>
          <w:sz w:val="20"/>
        </w:rPr>
        <w:t> </w:t>
      </w:r>
      <w:r>
        <w:rPr>
          <w:sz w:val="20"/>
        </w:rPr>
        <w:t>aspects</w:t>
      </w:r>
      <w:r>
        <w:rPr>
          <w:spacing w:val="-13"/>
          <w:sz w:val="20"/>
        </w:rPr>
        <w:t> </w:t>
      </w:r>
      <w:r>
        <w:rPr>
          <w:sz w:val="20"/>
        </w:rPr>
        <w:t>of</w:t>
      </w:r>
      <w:r>
        <w:rPr>
          <w:spacing w:val="-14"/>
          <w:sz w:val="20"/>
        </w:rPr>
        <w:t> </w:t>
      </w:r>
      <w:r>
        <w:rPr>
          <w:sz w:val="20"/>
        </w:rPr>
        <w:t>Pillar</w:t>
      </w:r>
      <w:r>
        <w:rPr>
          <w:spacing w:val="-13"/>
          <w:sz w:val="20"/>
        </w:rPr>
        <w:t> </w:t>
      </w:r>
      <w:r>
        <w:rPr>
          <w:sz w:val="20"/>
        </w:rPr>
        <w:t>One</w:t>
      </w:r>
      <w:r>
        <w:rPr>
          <w:spacing w:val="-14"/>
          <w:sz w:val="20"/>
        </w:rPr>
        <w:t> </w:t>
      </w:r>
      <w:r>
        <w:rPr>
          <w:sz w:val="20"/>
        </w:rPr>
        <w:t>to</w:t>
      </w:r>
      <w:r>
        <w:rPr>
          <w:spacing w:val="-14"/>
          <w:sz w:val="20"/>
        </w:rPr>
        <w:t> </w:t>
      </w:r>
      <w:r>
        <w:rPr>
          <w:sz w:val="20"/>
        </w:rPr>
        <w:t>support</w:t>
      </w:r>
      <w:r>
        <w:rPr>
          <w:spacing w:val="-13"/>
          <w:sz w:val="20"/>
        </w:rPr>
        <w:t> </w:t>
      </w:r>
      <w:r>
        <w:rPr>
          <w:sz w:val="20"/>
        </w:rPr>
        <w:t>and</w:t>
      </w:r>
      <w:r>
        <w:rPr>
          <w:spacing w:val="-14"/>
          <w:sz w:val="20"/>
        </w:rPr>
        <w:t> </w:t>
      </w:r>
      <w:r>
        <w:rPr>
          <w:sz w:val="20"/>
        </w:rPr>
        <w:t>supplement domestic legislation and provisions in public international law instruments (for example, multilateral competent authority agreements, commentary on the multilateral convention, guidelines for the determination and application of Amount A,</w:t>
      </w:r>
      <w:r>
        <w:rPr>
          <w:spacing w:val="-8"/>
          <w:sz w:val="20"/>
        </w:rPr>
        <w:t> </w:t>
      </w:r>
      <w:r>
        <w:rPr>
          <w:sz w:val="20"/>
        </w:rPr>
        <w:t>etc.).</w:t>
      </w:r>
    </w:p>
    <w:p>
      <w:pPr>
        <w:pStyle w:val="ListParagraph"/>
        <w:numPr>
          <w:ilvl w:val="0"/>
          <w:numId w:val="13"/>
        </w:numPr>
        <w:tabs>
          <w:tab w:pos="1444" w:val="left" w:leader="none"/>
        </w:tabs>
        <w:spacing w:line="271" w:lineRule="auto" w:before="120" w:after="0"/>
        <w:ind w:left="723" w:right="486" w:firstLine="0"/>
        <w:jc w:val="both"/>
        <w:rPr>
          <w:sz w:val="20"/>
        </w:rPr>
      </w:pPr>
      <w:r>
        <w:rPr>
          <w:sz w:val="20"/>
        </w:rPr>
        <w:t>The</w:t>
      </w:r>
      <w:r>
        <w:rPr>
          <w:spacing w:val="-19"/>
          <w:sz w:val="20"/>
        </w:rPr>
        <w:t> </w:t>
      </w:r>
      <w:r>
        <w:rPr>
          <w:sz w:val="20"/>
        </w:rPr>
        <w:t>guidance,</w:t>
      </w:r>
      <w:r>
        <w:rPr>
          <w:spacing w:val="-15"/>
          <w:sz w:val="20"/>
        </w:rPr>
        <w:t> </w:t>
      </w:r>
      <w:r>
        <w:rPr>
          <w:sz w:val="20"/>
        </w:rPr>
        <w:t>which</w:t>
      </w:r>
      <w:r>
        <w:rPr>
          <w:spacing w:val="-16"/>
          <w:sz w:val="20"/>
        </w:rPr>
        <w:t> </w:t>
      </w:r>
      <w:r>
        <w:rPr>
          <w:sz w:val="20"/>
        </w:rPr>
        <w:t>would</w:t>
      </w:r>
      <w:r>
        <w:rPr>
          <w:spacing w:val="-15"/>
          <w:sz w:val="20"/>
        </w:rPr>
        <w:t> </w:t>
      </w:r>
      <w:r>
        <w:rPr>
          <w:sz w:val="20"/>
        </w:rPr>
        <w:t>serve</w:t>
      </w:r>
      <w:r>
        <w:rPr>
          <w:spacing w:val="-17"/>
          <w:sz w:val="20"/>
        </w:rPr>
        <w:t> </w:t>
      </w:r>
      <w:r>
        <w:rPr>
          <w:sz w:val="20"/>
        </w:rPr>
        <w:t>tax</w:t>
      </w:r>
      <w:r>
        <w:rPr>
          <w:spacing w:val="-17"/>
          <w:sz w:val="20"/>
        </w:rPr>
        <w:t> </w:t>
      </w:r>
      <w:r>
        <w:rPr>
          <w:sz w:val="20"/>
        </w:rPr>
        <w:t>administrations</w:t>
      </w:r>
      <w:r>
        <w:rPr>
          <w:spacing w:val="-16"/>
          <w:sz w:val="20"/>
        </w:rPr>
        <w:t> </w:t>
      </w:r>
      <w:r>
        <w:rPr>
          <w:sz w:val="20"/>
        </w:rPr>
        <w:t>and</w:t>
      </w:r>
      <w:r>
        <w:rPr>
          <w:spacing w:val="-17"/>
          <w:sz w:val="20"/>
        </w:rPr>
        <w:t> </w:t>
      </w:r>
      <w:r>
        <w:rPr>
          <w:sz w:val="20"/>
        </w:rPr>
        <w:t>taxpayers</w:t>
      </w:r>
      <w:r>
        <w:rPr>
          <w:spacing w:val="-16"/>
          <w:sz w:val="20"/>
        </w:rPr>
        <w:t> </w:t>
      </w:r>
      <w:r>
        <w:rPr>
          <w:sz w:val="20"/>
        </w:rPr>
        <w:t>alike,</w:t>
      </w:r>
      <w:r>
        <w:rPr>
          <w:spacing w:val="-17"/>
          <w:sz w:val="20"/>
        </w:rPr>
        <w:t> </w:t>
      </w:r>
      <w:r>
        <w:rPr>
          <w:sz w:val="20"/>
        </w:rPr>
        <w:t>will,</w:t>
      </w:r>
      <w:r>
        <w:rPr>
          <w:spacing w:val="-18"/>
          <w:sz w:val="20"/>
        </w:rPr>
        <w:t> </w:t>
      </w:r>
      <w:r>
        <w:rPr>
          <w:sz w:val="20"/>
        </w:rPr>
        <w:t>for</w:t>
      </w:r>
      <w:r>
        <w:rPr>
          <w:spacing w:val="-16"/>
          <w:sz w:val="20"/>
        </w:rPr>
        <w:t> </w:t>
      </w:r>
      <w:r>
        <w:rPr>
          <w:sz w:val="20"/>
        </w:rPr>
        <w:t>instance,</w:t>
      </w:r>
      <w:r>
        <w:rPr>
          <w:spacing w:val="-17"/>
          <w:sz w:val="20"/>
        </w:rPr>
        <w:t> </w:t>
      </w:r>
      <w:r>
        <w:rPr>
          <w:sz w:val="20"/>
        </w:rPr>
        <w:t>contain detailed</w:t>
      </w:r>
      <w:r>
        <w:rPr>
          <w:spacing w:val="-7"/>
          <w:sz w:val="20"/>
        </w:rPr>
        <w:t> </w:t>
      </w:r>
      <w:r>
        <w:rPr>
          <w:sz w:val="20"/>
        </w:rPr>
        <w:t>guidelines</w:t>
      </w:r>
      <w:r>
        <w:rPr>
          <w:spacing w:val="-4"/>
          <w:sz w:val="20"/>
        </w:rPr>
        <w:t> </w:t>
      </w:r>
      <w:r>
        <w:rPr>
          <w:sz w:val="20"/>
        </w:rPr>
        <w:t>for</w:t>
      </w:r>
      <w:r>
        <w:rPr>
          <w:spacing w:val="-5"/>
          <w:sz w:val="20"/>
        </w:rPr>
        <w:t> </w:t>
      </w:r>
      <w:r>
        <w:rPr>
          <w:sz w:val="20"/>
        </w:rPr>
        <w:t>the</w:t>
      </w:r>
      <w:r>
        <w:rPr>
          <w:spacing w:val="-5"/>
          <w:sz w:val="20"/>
        </w:rPr>
        <w:t> </w:t>
      </w:r>
      <w:r>
        <w:rPr>
          <w:sz w:val="20"/>
        </w:rPr>
        <w:t>tax</w:t>
      </w:r>
      <w:r>
        <w:rPr>
          <w:spacing w:val="-4"/>
          <w:sz w:val="20"/>
        </w:rPr>
        <w:t> </w:t>
      </w:r>
      <w:r>
        <w:rPr>
          <w:sz w:val="20"/>
        </w:rPr>
        <w:t>base</w:t>
      </w:r>
      <w:r>
        <w:rPr>
          <w:spacing w:val="-6"/>
          <w:sz w:val="20"/>
        </w:rPr>
        <w:t> </w:t>
      </w:r>
      <w:r>
        <w:rPr>
          <w:sz w:val="20"/>
        </w:rPr>
        <w:t>determinations</w:t>
      </w:r>
      <w:r>
        <w:rPr>
          <w:spacing w:val="-4"/>
          <w:sz w:val="20"/>
        </w:rPr>
        <w:t> </w:t>
      </w:r>
      <w:r>
        <w:rPr>
          <w:sz w:val="20"/>
        </w:rPr>
        <w:t>for</w:t>
      </w:r>
      <w:r>
        <w:rPr>
          <w:spacing w:val="-7"/>
          <w:sz w:val="20"/>
        </w:rPr>
        <w:t> </w:t>
      </w:r>
      <w:r>
        <w:rPr>
          <w:sz w:val="20"/>
        </w:rPr>
        <w:t>Amount</w:t>
      </w:r>
      <w:r>
        <w:rPr>
          <w:spacing w:val="-6"/>
          <w:sz w:val="20"/>
        </w:rPr>
        <w:t> </w:t>
      </w:r>
      <w:r>
        <w:rPr>
          <w:sz w:val="20"/>
        </w:rPr>
        <w:t>A,</w:t>
      </w:r>
      <w:r>
        <w:rPr>
          <w:spacing w:val="-5"/>
          <w:sz w:val="20"/>
        </w:rPr>
        <w:t> </w:t>
      </w:r>
      <w:r>
        <w:rPr>
          <w:sz w:val="20"/>
        </w:rPr>
        <w:t>financial</w:t>
      </w:r>
      <w:r>
        <w:rPr>
          <w:spacing w:val="-6"/>
          <w:sz w:val="20"/>
        </w:rPr>
        <w:t> </w:t>
      </w:r>
      <w:r>
        <w:rPr>
          <w:sz w:val="20"/>
        </w:rPr>
        <w:t>accounting,</w:t>
      </w:r>
      <w:r>
        <w:rPr>
          <w:spacing w:val="-5"/>
          <w:sz w:val="20"/>
        </w:rPr>
        <w:t> </w:t>
      </w:r>
      <w:r>
        <w:rPr>
          <w:sz w:val="20"/>
        </w:rPr>
        <w:t>segmentation,</w:t>
      </w:r>
      <w:r>
        <w:rPr>
          <w:spacing w:val="-6"/>
          <w:sz w:val="20"/>
        </w:rPr>
        <w:t> </w:t>
      </w:r>
      <w:r>
        <w:rPr>
          <w:sz w:val="20"/>
        </w:rPr>
        <w:t>and the treatment of</w:t>
      </w:r>
      <w:r>
        <w:rPr>
          <w:spacing w:val="-2"/>
          <w:sz w:val="20"/>
        </w:rPr>
        <w:t> </w:t>
      </w:r>
      <w:r>
        <w:rPr>
          <w:sz w:val="20"/>
        </w:rPr>
        <w:t>losses.</w:t>
      </w:r>
    </w:p>
    <w:p>
      <w:pPr>
        <w:pStyle w:val="ListParagraph"/>
        <w:numPr>
          <w:ilvl w:val="0"/>
          <w:numId w:val="13"/>
        </w:numPr>
        <w:tabs>
          <w:tab w:pos="1444" w:val="left" w:leader="none"/>
        </w:tabs>
        <w:spacing w:line="271" w:lineRule="auto" w:before="121" w:after="0"/>
        <w:ind w:left="723" w:right="483" w:firstLine="0"/>
        <w:jc w:val="both"/>
        <w:rPr>
          <w:sz w:val="20"/>
        </w:rPr>
      </w:pPr>
      <w:r>
        <w:rPr>
          <w:sz w:val="20"/>
        </w:rPr>
        <w:t>The guidance could be revised or updated periodically. Some revisions or updates could be implemented</w:t>
      </w:r>
      <w:r>
        <w:rPr>
          <w:spacing w:val="-15"/>
          <w:sz w:val="20"/>
        </w:rPr>
        <w:t> </w:t>
      </w:r>
      <w:r>
        <w:rPr>
          <w:sz w:val="20"/>
        </w:rPr>
        <w:t>without</w:t>
      </w:r>
      <w:r>
        <w:rPr>
          <w:spacing w:val="-15"/>
          <w:sz w:val="20"/>
        </w:rPr>
        <w:t> </w:t>
      </w:r>
      <w:r>
        <w:rPr>
          <w:sz w:val="20"/>
        </w:rPr>
        <w:t>changing</w:t>
      </w:r>
      <w:r>
        <w:rPr>
          <w:spacing w:val="-13"/>
          <w:sz w:val="20"/>
        </w:rPr>
        <w:t> </w:t>
      </w:r>
      <w:r>
        <w:rPr>
          <w:sz w:val="20"/>
        </w:rPr>
        <w:t>domestic</w:t>
      </w:r>
      <w:r>
        <w:rPr>
          <w:spacing w:val="-13"/>
          <w:sz w:val="20"/>
        </w:rPr>
        <w:t> </w:t>
      </w:r>
      <w:r>
        <w:rPr>
          <w:sz w:val="20"/>
        </w:rPr>
        <w:t>legislation</w:t>
      </w:r>
      <w:r>
        <w:rPr>
          <w:spacing w:val="-13"/>
          <w:sz w:val="20"/>
        </w:rPr>
        <w:t> </w:t>
      </w:r>
      <w:r>
        <w:rPr>
          <w:sz w:val="20"/>
        </w:rPr>
        <w:t>or</w:t>
      </w:r>
      <w:r>
        <w:rPr>
          <w:spacing w:val="-13"/>
          <w:sz w:val="20"/>
        </w:rPr>
        <w:t> </w:t>
      </w:r>
      <w:r>
        <w:rPr>
          <w:sz w:val="20"/>
        </w:rPr>
        <w:t>treaties</w:t>
      </w:r>
      <w:r>
        <w:rPr>
          <w:spacing w:val="-8"/>
          <w:sz w:val="20"/>
        </w:rPr>
        <w:t> </w:t>
      </w:r>
      <w:r>
        <w:rPr>
          <w:sz w:val="20"/>
        </w:rPr>
        <w:t>while</w:t>
      </w:r>
      <w:r>
        <w:rPr>
          <w:spacing w:val="-13"/>
          <w:sz w:val="20"/>
        </w:rPr>
        <w:t> </w:t>
      </w:r>
      <w:r>
        <w:rPr>
          <w:sz w:val="20"/>
        </w:rPr>
        <w:t>others</w:t>
      </w:r>
      <w:r>
        <w:rPr>
          <w:spacing w:val="-15"/>
          <w:sz w:val="20"/>
        </w:rPr>
        <w:t> </w:t>
      </w:r>
      <w:r>
        <w:rPr>
          <w:sz w:val="20"/>
        </w:rPr>
        <w:t>may</w:t>
      </w:r>
      <w:r>
        <w:rPr>
          <w:spacing w:val="-19"/>
          <w:sz w:val="20"/>
        </w:rPr>
        <w:t> </w:t>
      </w:r>
      <w:r>
        <w:rPr>
          <w:sz w:val="20"/>
        </w:rPr>
        <w:t>require</w:t>
      </w:r>
      <w:r>
        <w:rPr>
          <w:spacing w:val="-15"/>
          <w:sz w:val="20"/>
        </w:rPr>
        <w:t> </w:t>
      </w:r>
      <w:r>
        <w:rPr>
          <w:sz w:val="20"/>
        </w:rPr>
        <w:t>such</w:t>
      </w:r>
      <w:r>
        <w:rPr>
          <w:spacing w:val="-14"/>
          <w:sz w:val="20"/>
        </w:rPr>
        <w:t> </w:t>
      </w:r>
      <w:r>
        <w:rPr>
          <w:sz w:val="20"/>
        </w:rPr>
        <w:t>changes.</w:t>
      </w:r>
      <w:r>
        <w:rPr>
          <w:spacing w:val="-15"/>
          <w:sz w:val="20"/>
        </w:rPr>
        <w:t> </w:t>
      </w:r>
      <w:r>
        <w:rPr>
          <w:sz w:val="20"/>
        </w:rPr>
        <w:t>The revisions would be based upon input received and experience in the practical implementation of Amount A.</w:t>
      </w:r>
    </w:p>
    <w:p>
      <w:pPr>
        <w:pStyle w:val="ListParagraph"/>
        <w:numPr>
          <w:ilvl w:val="0"/>
          <w:numId w:val="13"/>
        </w:numPr>
        <w:tabs>
          <w:tab w:pos="1444" w:val="left" w:leader="none"/>
        </w:tabs>
        <w:spacing w:line="271" w:lineRule="auto" w:before="122" w:after="0"/>
        <w:ind w:left="723" w:right="482" w:firstLine="0"/>
        <w:jc w:val="both"/>
        <w:rPr>
          <w:sz w:val="20"/>
        </w:rPr>
      </w:pPr>
      <w:r>
        <w:rPr>
          <w:sz w:val="20"/>
        </w:rPr>
        <w:t>Further</w:t>
      </w:r>
      <w:r>
        <w:rPr>
          <w:spacing w:val="-11"/>
          <w:sz w:val="20"/>
        </w:rPr>
        <w:t> </w:t>
      </w:r>
      <w:r>
        <w:rPr>
          <w:sz w:val="20"/>
        </w:rPr>
        <w:t>work</w:t>
      </w:r>
      <w:r>
        <w:rPr>
          <w:spacing w:val="-10"/>
          <w:sz w:val="20"/>
        </w:rPr>
        <w:t> </w:t>
      </w:r>
      <w:r>
        <w:rPr>
          <w:sz w:val="20"/>
        </w:rPr>
        <w:t>will</w:t>
      </w:r>
      <w:r>
        <w:rPr>
          <w:spacing w:val="-13"/>
          <w:sz w:val="20"/>
        </w:rPr>
        <w:t> </w:t>
      </w:r>
      <w:r>
        <w:rPr>
          <w:sz w:val="20"/>
        </w:rPr>
        <w:t>be</w:t>
      </w:r>
      <w:r>
        <w:rPr>
          <w:spacing w:val="-15"/>
          <w:sz w:val="20"/>
        </w:rPr>
        <w:t> </w:t>
      </w:r>
      <w:r>
        <w:rPr>
          <w:sz w:val="20"/>
        </w:rPr>
        <w:t>required</w:t>
      </w:r>
      <w:r>
        <w:rPr>
          <w:spacing w:val="-14"/>
          <w:sz w:val="20"/>
        </w:rPr>
        <w:t> </w:t>
      </w:r>
      <w:r>
        <w:rPr>
          <w:sz w:val="20"/>
        </w:rPr>
        <w:t>to</w:t>
      </w:r>
      <w:r>
        <w:rPr>
          <w:spacing w:val="-13"/>
          <w:sz w:val="20"/>
        </w:rPr>
        <w:t> </w:t>
      </w:r>
      <w:r>
        <w:rPr>
          <w:sz w:val="20"/>
        </w:rPr>
        <w:t>determine</w:t>
      </w:r>
      <w:r>
        <w:rPr>
          <w:spacing w:val="-10"/>
          <w:sz w:val="20"/>
        </w:rPr>
        <w:t> </w:t>
      </w:r>
      <w:r>
        <w:rPr>
          <w:sz w:val="20"/>
        </w:rPr>
        <w:t>which</w:t>
      </w:r>
      <w:r>
        <w:rPr>
          <w:spacing w:val="-12"/>
          <w:sz w:val="20"/>
        </w:rPr>
        <w:t> </w:t>
      </w:r>
      <w:r>
        <w:rPr>
          <w:sz w:val="20"/>
        </w:rPr>
        <w:t>aspects</w:t>
      </w:r>
      <w:r>
        <w:rPr>
          <w:spacing w:val="-12"/>
          <w:sz w:val="20"/>
        </w:rPr>
        <w:t> </w:t>
      </w:r>
      <w:r>
        <w:rPr>
          <w:sz w:val="20"/>
        </w:rPr>
        <w:t>can</w:t>
      </w:r>
      <w:r>
        <w:rPr>
          <w:spacing w:val="-14"/>
          <w:sz w:val="20"/>
        </w:rPr>
        <w:t> </w:t>
      </w:r>
      <w:r>
        <w:rPr>
          <w:sz w:val="20"/>
        </w:rPr>
        <w:t>be</w:t>
      </w:r>
      <w:r>
        <w:rPr>
          <w:spacing w:val="-13"/>
          <w:sz w:val="20"/>
        </w:rPr>
        <w:t> </w:t>
      </w:r>
      <w:r>
        <w:rPr>
          <w:sz w:val="20"/>
        </w:rPr>
        <w:t>included</w:t>
      </w:r>
      <w:r>
        <w:rPr>
          <w:spacing w:val="-13"/>
          <w:sz w:val="20"/>
        </w:rPr>
        <w:t> </w:t>
      </w:r>
      <w:r>
        <w:rPr>
          <w:sz w:val="20"/>
        </w:rPr>
        <w:t>in</w:t>
      </w:r>
      <w:r>
        <w:rPr>
          <w:spacing w:val="-13"/>
          <w:sz w:val="20"/>
        </w:rPr>
        <w:t> </w:t>
      </w:r>
      <w:r>
        <w:rPr>
          <w:sz w:val="20"/>
        </w:rPr>
        <w:t>guidelines</w:t>
      </w:r>
      <w:r>
        <w:rPr>
          <w:spacing w:val="-10"/>
          <w:sz w:val="20"/>
        </w:rPr>
        <w:t> </w:t>
      </w:r>
      <w:r>
        <w:rPr>
          <w:sz w:val="20"/>
        </w:rPr>
        <w:t>as</w:t>
      </w:r>
      <w:r>
        <w:rPr>
          <w:spacing w:val="-13"/>
          <w:sz w:val="20"/>
        </w:rPr>
        <w:t> </w:t>
      </w:r>
      <w:r>
        <w:rPr>
          <w:sz w:val="20"/>
        </w:rPr>
        <w:t>opposed to the multilateral convention or domestic</w:t>
      </w:r>
      <w:r>
        <w:rPr>
          <w:spacing w:val="-6"/>
          <w:sz w:val="20"/>
        </w:rPr>
        <w:t> </w:t>
      </w:r>
      <w:r>
        <w:rPr>
          <w:sz w:val="20"/>
        </w:rPr>
        <w:t>law.</w:t>
      </w:r>
    </w:p>
    <w:p>
      <w:pPr>
        <w:spacing w:after="0" w:line="271" w:lineRule="auto"/>
        <w:jc w:val="both"/>
        <w:rPr>
          <w:sz w:val="20"/>
        </w:rPr>
        <w:sectPr>
          <w:pgSz w:w="11910" w:h="16840"/>
          <w:pgMar w:header="1244" w:footer="1638" w:top="1500" w:bottom="1820" w:left="580" w:right="820"/>
        </w:sectPr>
      </w:pPr>
    </w:p>
    <w:p>
      <w:pPr>
        <w:pStyle w:val="BodyText"/>
        <w:spacing w:before="9"/>
      </w:pPr>
    </w:p>
    <w:p>
      <w:pPr>
        <w:pStyle w:val="Heading4"/>
        <w:numPr>
          <w:ilvl w:val="1"/>
          <w:numId w:val="85"/>
        </w:numPr>
        <w:tabs>
          <w:tab w:pos="1324" w:val="left" w:leader="none"/>
        </w:tabs>
        <w:spacing w:line="240" w:lineRule="auto" w:before="92" w:after="0"/>
        <w:ind w:left="1323" w:right="0" w:hanging="601"/>
        <w:jc w:val="left"/>
        <w:rPr>
          <w:rFonts w:ascii="Arial"/>
        </w:rPr>
      </w:pPr>
      <w:bookmarkStart w:name="10.3. Removal of unilateral measures" w:id="502"/>
      <w:bookmarkEnd w:id="502"/>
      <w:r>
        <w:rPr>
          <w:b w:val="0"/>
        </w:rPr>
      </w:r>
      <w:bookmarkStart w:name="_bookmark76" w:id="503"/>
      <w:bookmarkEnd w:id="503"/>
      <w:r>
        <w:rPr>
          <w:b w:val="0"/>
        </w:rPr>
      </w:r>
      <w:bookmarkStart w:name="_bookmark76" w:id="504"/>
      <w:bookmarkEnd w:id="504"/>
      <w:r>
        <w:rPr>
          <w:rFonts w:ascii="Arial"/>
          <w:color w:val="4E81BD"/>
        </w:rPr>
        <w:t>Remo</w:t>
      </w:r>
      <w:r>
        <w:rPr>
          <w:rFonts w:ascii="Arial"/>
          <w:color w:val="4E81BD"/>
        </w:rPr>
        <w:t>val of unilateral</w:t>
      </w:r>
      <w:r>
        <w:rPr>
          <w:rFonts w:ascii="Arial"/>
          <w:color w:val="4E81BD"/>
          <w:spacing w:val="-3"/>
        </w:rPr>
        <w:t> </w:t>
      </w:r>
      <w:r>
        <w:rPr>
          <w:rFonts w:ascii="Arial"/>
          <w:color w:val="4E81BD"/>
        </w:rPr>
        <w:t>measures</w:t>
      </w:r>
    </w:p>
    <w:p>
      <w:pPr>
        <w:pStyle w:val="BodyText"/>
        <w:spacing w:before="4"/>
        <w:rPr>
          <w:b/>
          <w:sz w:val="24"/>
        </w:rPr>
      </w:pPr>
    </w:p>
    <w:p>
      <w:pPr>
        <w:pStyle w:val="ListParagraph"/>
        <w:numPr>
          <w:ilvl w:val="0"/>
          <w:numId w:val="13"/>
        </w:numPr>
        <w:tabs>
          <w:tab w:pos="1444" w:val="left" w:leader="none"/>
        </w:tabs>
        <w:spacing w:line="268" w:lineRule="auto" w:before="0" w:after="0"/>
        <w:ind w:left="723" w:right="484" w:firstLine="0"/>
        <w:jc w:val="both"/>
        <w:rPr>
          <w:sz w:val="20"/>
        </w:rPr>
      </w:pPr>
      <w:r>
        <w:rPr>
          <w:sz w:val="20"/>
        </w:rPr>
        <w:t>As stated in the Outline, it is expected that any consensus-based agreement must include a commitment by members of the Inclusive Framework to implement this agreement and at the same time to withdraw relevant unilateral actions, and not adopt such unilateral actions in the</w:t>
      </w:r>
      <w:r>
        <w:rPr>
          <w:spacing w:val="-16"/>
          <w:sz w:val="20"/>
        </w:rPr>
        <w:t> </w:t>
      </w:r>
      <w:r>
        <w:rPr>
          <w:sz w:val="20"/>
        </w:rPr>
        <w:t>future.</w:t>
      </w:r>
      <w:r>
        <w:rPr>
          <w:sz w:val="20"/>
          <w:vertAlign w:val="superscript"/>
        </w:rPr>
        <w:t>163</w:t>
      </w:r>
    </w:p>
    <w:p>
      <w:pPr>
        <w:pStyle w:val="BodyText"/>
        <w:spacing w:before="10"/>
        <w:rPr>
          <w:sz w:val="18"/>
        </w:rPr>
      </w:pPr>
    </w:p>
    <w:p>
      <w:pPr>
        <w:pStyle w:val="Heading4"/>
        <w:numPr>
          <w:ilvl w:val="1"/>
          <w:numId w:val="85"/>
        </w:numPr>
        <w:tabs>
          <w:tab w:pos="1324" w:val="left" w:leader="none"/>
        </w:tabs>
        <w:spacing w:line="240" w:lineRule="auto" w:before="0" w:after="0"/>
        <w:ind w:left="1323" w:right="0" w:hanging="601"/>
        <w:jc w:val="left"/>
        <w:rPr>
          <w:rFonts w:ascii="Arial"/>
        </w:rPr>
      </w:pPr>
      <w:bookmarkStart w:name="10.4. Next steps" w:id="505"/>
      <w:bookmarkEnd w:id="505"/>
      <w:r>
        <w:rPr>
          <w:b w:val="0"/>
        </w:rPr>
      </w:r>
      <w:bookmarkStart w:name="_bookmark77" w:id="506"/>
      <w:bookmarkEnd w:id="506"/>
      <w:r>
        <w:rPr>
          <w:b w:val="0"/>
        </w:rPr>
      </w:r>
      <w:bookmarkStart w:name="_bookmark77" w:id="507"/>
      <w:bookmarkEnd w:id="507"/>
      <w:r>
        <w:rPr>
          <w:rFonts w:ascii="Arial"/>
          <w:color w:val="4E81BD"/>
        </w:rPr>
        <w:t>Ne</w:t>
      </w:r>
      <w:r>
        <w:rPr>
          <w:rFonts w:ascii="Arial"/>
          <w:color w:val="4E81BD"/>
        </w:rPr>
        <w:t>xt</w:t>
      </w:r>
      <w:r>
        <w:rPr>
          <w:rFonts w:ascii="Arial"/>
          <w:color w:val="4E81BD"/>
          <w:spacing w:val="-1"/>
        </w:rPr>
        <w:t> </w:t>
      </w:r>
      <w:r>
        <w:rPr>
          <w:rFonts w:ascii="Arial"/>
          <w:color w:val="4E81BD"/>
        </w:rPr>
        <w:t>steps</w:t>
      </w:r>
    </w:p>
    <w:p>
      <w:pPr>
        <w:pStyle w:val="BodyText"/>
        <w:spacing w:before="6"/>
        <w:rPr>
          <w:b/>
          <w:sz w:val="23"/>
        </w:rPr>
      </w:pPr>
    </w:p>
    <w:p>
      <w:pPr>
        <w:pStyle w:val="ListParagraph"/>
        <w:numPr>
          <w:ilvl w:val="0"/>
          <w:numId w:val="13"/>
        </w:numPr>
        <w:tabs>
          <w:tab w:pos="1444" w:val="left" w:leader="none"/>
        </w:tabs>
        <w:spacing w:line="271" w:lineRule="auto" w:before="0" w:after="0"/>
        <w:ind w:left="723" w:right="481" w:firstLine="0"/>
        <w:jc w:val="both"/>
        <w:rPr>
          <w:sz w:val="20"/>
        </w:rPr>
      </w:pPr>
      <w:r>
        <w:rPr>
          <w:sz w:val="20"/>
        </w:rPr>
        <w:t>The</w:t>
      </w:r>
      <w:r>
        <w:rPr>
          <w:spacing w:val="-8"/>
          <w:sz w:val="20"/>
        </w:rPr>
        <w:t> </w:t>
      </w:r>
      <w:r>
        <w:rPr>
          <w:sz w:val="20"/>
        </w:rPr>
        <w:t>next</w:t>
      </w:r>
      <w:r>
        <w:rPr>
          <w:spacing w:val="-6"/>
          <w:sz w:val="20"/>
        </w:rPr>
        <w:t> </w:t>
      </w:r>
      <w:r>
        <w:rPr>
          <w:sz w:val="20"/>
        </w:rPr>
        <w:t>steps</w:t>
      </w:r>
      <w:r>
        <w:rPr>
          <w:spacing w:val="-4"/>
          <w:sz w:val="20"/>
        </w:rPr>
        <w:t> </w:t>
      </w:r>
      <w:r>
        <w:rPr>
          <w:sz w:val="20"/>
        </w:rPr>
        <w:t>on</w:t>
      </w:r>
      <w:r>
        <w:rPr>
          <w:spacing w:val="-6"/>
          <w:sz w:val="20"/>
        </w:rPr>
        <w:t> </w:t>
      </w:r>
      <w:r>
        <w:rPr>
          <w:sz w:val="20"/>
        </w:rPr>
        <w:t>implementation</w:t>
      </w:r>
      <w:r>
        <w:rPr>
          <w:spacing w:val="-2"/>
          <w:sz w:val="20"/>
        </w:rPr>
        <w:t> </w:t>
      </w:r>
      <w:r>
        <w:rPr>
          <w:sz w:val="20"/>
        </w:rPr>
        <w:t>will</w:t>
      </w:r>
      <w:r>
        <w:rPr>
          <w:spacing w:val="-6"/>
          <w:sz w:val="20"/>
        </w:rPr>
        <w:t> </w:t>
      </w:r>
      <w:r>
        <w:rPr>
          <w:sz w:val="20"/>
        </w:rPr>
        <w:t>require</w:t>
      </w:r>
      <w:r>
        <w:rPr>
          <w:spacing w:val="-6"/>
          <w:sz w:val="20"/>
        </w:rPr>
        <w:t> </w:t>
      </w:r>
      <w:r>
        <w:rPr>
          <w:sz w:val="20"/>
        </w:rPr>
        <w:t>further</w:t>
      </w:r>
      <w:r>
        <w:rPr>
          <w:spacing w:val="-4"/>
          <w:sz w:val="20"/>
        </w:rPr>
        <w:t> </w:t>
      </w:r>
      <w:r>
        <w:rPr>
          <w:sz w:val="20"/>
        </w:rPr>
        <w:t>work</w:t>
      </w:r>
      <w:r>
        <w:rPr>
          <w:spacing w:val="-4"/>
          <w:sz w:val="20"/>
        </w:rPr>
        <w:t> </w:t>
      </w:r>
      <w:r>
        <w:rPr>
          <w:sz w:val="20"/>
        </w:rPr>
        <w:t>on</w:t>
      </w:r>
      <w:r>
        <w:rPr>
          <w:spacing w:val="-7"/>
          <w:sz w:val="20"/>
        </w:rPr>
        <w:t> </w:t>
      </w:r>
      <w:r>
        <w:rPr>
          <w:sz w:val="20"/>
        </w:rPr>
        <w:t>the</w:t>
      </w:r>
      <w:r>
        <w:rPr>
          <w:spacing w:val="-8"/>
          <w:sz w:val="20"/>
        </w:rPr>
        <w:t> </w:t>
      </w:r>
      <w:r>
        <w:rPr>
          <w:sz w:val="20"/>
        </w:rPr>
        <w:t>multilateral</w:t>
      </w:r>
      <w:r>
        <w:rPr>
          <w:spacing w:val="-5"/>
          <w:sz w:val="20"/>
        </w:rPr>
        <w:t> </w:t>
      </w:r>
      <w:r>
        <w:rPr>
          <w:sz w:val="20"/>
        </w:rPr>
        <w:t>convention.</w:t>
      </w:r>
      <w:r>
        <w:rPr>
          <w:spacing w:val="-5"/>
          <w:sz w:val="20"/>
        </w:rPr>
        <w:t> </w:t>
      </w:r>
      <w:r>
        <w:rPr>
          <w:sz w:val="20"/>
        </w:rPr>
        <w:t>This</w:t>
      </w:r>
      <w:r>
        <w:rPr>
          <w:spacing w:val="-4"/>
          <w:sz w:val="20"/>
        </w:rPr>
        <w:t> </w:t>
      </w:r>
      <w:r>
        <w:rPr>
          <w:sz w:val="20"/>
        </w:rPr>
        <w:t>will include work on the architecture of the convention and its legal functioning. It will also include work to determine the core elements of the rules on the determination of Amount A and elimination of double taxation that will need to be implemented in the multilateral convention to ensure all treaty barriers are removed.</w:t>
      </w:r>
    </w:p>
    <w:p>
      <w:pPr>
        <w:pStyle w:val="ListParagraph"/>
        <w:numPr>
          <w:ilvl w:val="0"/>
          <w:numId w:val="13"/>
        </w:numPr>
        <w:tabs>
          <w:tab w:pos="1444" w:val="left" w:leader="none"/>
        </w:tabs>
        <w:spacing w:line="271" w:lineRule="auto" w:before="122" w:after="0"/>
        <w:ind w:left="723" w:right="491" w:firstLine="0"/>
        <w:jc w:val="both"/>
        <w:rPr>
          <w:sz w:val="20"/>
        </w:rPr>
      </w:pPr>
      <w:r>
        <w:rPr>
          <w:sz w:val="20"/>
        </w:rPr>
        <w:t>Once</w:t>
      </w:r>
      <w:r>
        <w:rPr>
          <w:spacing w:val="-8"/>
          <w:sz w:val="20"/>
        </w:rPr>
        <w:t> </w:t>
      </w:r>
      <w:r>
        <w:rPr>
          <w:sz w:val="20"/>
        </w:rPr>
        <w:t>the</w:t>
      </w:r>
      <w:r>
        <w:rPr>
          <w:spacing w:val="-7"/>
          <w:sz w:val="20"/>
        </w:rPr>
        <w:t> </w:t>
      </w:r>
      <w:r>
        <w:rPr>
          <w:sz w:val="20"/>
        </w:rPr>
        <w:t>core</w:t>
      </w:r>
      <w:r>
        <w:rPr>
          <w:spacing w:val="-6"/>
          <w:sz w:val="20"/>
        </w:rPr>
        <w:t> </w:t>
      </w:r>
      <w:r>
        <w:rPr>
          <w:sz w:val="20"/>
        </w:rPr>
        <w:t>elements</w:t>
      </w:r>
      <w:r>
        <w:rPr>
          <w:spacing w:val="-6"/>
          <w:sz w:val="20"/>
        </w:rPr>
        <w:t> </w:t>
      </w:r>
      <w:r>
        <w:rPr>
          <w:sz w:val="20"/>
        </w:rPr>
        <w:t>of</w:t>
      </w:r>
      <w:r>
        <w:rPr>
          <w:spacing w:val="-5"/>
          <w:sz w:val="20"/>
        </w:rPr>
        <w:t> </w:t>
      </w:r>
      <w:r>
        <w:rPr>
          <w:sz w:val="20"/>
        </w:rPr>
        <w:t>the</w:t>
      </w:r>
      <w:r>
        <w:rPr>
          <w:spacing w:val="-7"/>
          <w:sz w:val="20"/>
        </w:rPr>
        <w:t> </w:t>
      </w:r>
      <w:r>
        <w:rPr>
          <w:sz w:val="20"/>
        </w:rPr>
        <w:t>rules</w:t>
      </w:r>
      <w:r>
        <w:rPr>
          <w:spacing w:val="-6"/>
          <w:sz w:val="20"/>
        </w:rPr>
        <w:t> </w:t>
      </w:r>
      <w:r>
        <w:rPr>
          <w:sz w:val="20"/>
        </w:rPr>
        <w:t>will</w:t>
      </w:r>
      <w:r>
        <w:rPr>
          <w:spacing w:val="-8"/>
          <w:sz w:val="20"/>
        </w:rPr>
        <w:t> </w:t>
      </w:r>
      <w:r>
        <w:rPr>
          <w:sz w:val="20"/>
        </w:rPr>
        <w:t>have</w:t>
      </w:r>
      <w:r>
        <w:rPr>
          <w:spacing w:val="-4"/>
          <w:sz w:val="20"/>
        </w:rPr>
        <w:t> </w:t>
      </w:r>
      <w:r>
        <w:rPr>
          <w:sz w:val="20"/>
        </w:rPr>
        <w:t>been</w:t>
      </w:r>
      <w:r>
        <w:rPr>
          <w:spacing w:val="-7"/>
          <w:sz w:val="20"/>
        </w:rPr>
        <w:t> </w:t>
      </w:r>
      <w:r>
        <w:rPr>
          <w:sz w:val="20"/>
        </w:rPr>
        <w:t>identified,</w:t>
      </w:r>
      <w:r>
        <w:rPr>
          <w:spacing w:val="-7"/>
          <w:sz w:val="20"/>
        </w:rPr>
        <w:t> </w:t>
      </w:r>
      <w:r>
        <w:rPr>
          <w:sz w:val="20"/>
        </w:rPr>
        <w:t>the</w:t>
      </w:r>
      <w:r>
        <w:rPr>
          <w:spacing w:val="-7"/>
          <w:sz w:val="20"/>
        </w:rPr>
        <w:t> </w:t>
      </w:r>
      <w:r>
        <w:rPr>
          <w:sz w:val="20"/>
        </w:rPr>
        <w:t>Inclusive</w:t>
      </w:r>
      <w:r>
        <w:rPr>
          <w:spacing w:val="-7"/>
          <w:sz w:val="20"/>
        </w:rPr>
        <w:t> </w:t>
      </w:r>
      <w:r>
        <w:rPr>
          <w:sz w:val="20"/>
        </w:rPr>
        <w:t>Framework</w:t>
      </w:r>
      <w:r>
        <w:rPr>
          <w:spacing w:val="-4"/>
          <w:sz w:val="20"/>
        </w:rPr>
        <w:t> </w:t>
      </w:r>
      <w:r>
        <w:rPr>
          <w:sz w:val="20"/>
        </w:rPr>
        <w:t>will</w:t>
      </w:r>
      <w:r>
        <w:rPr>
          <w:spacing w:val="-7"/>
          <w:sz w:val="20"/>
        </w:rPr>
        <w:t> </w:t>
      </w:r>
      <w:r>
        <w:rPr>
          <w:sz w:val="20"/>
        </w:rPr>
        <w:t>start</w:t>
      </w:r>
      <w:r>
        <w:rPr>
          <w:spacing w:val="-6"/>
          <w:sz w:val="20"/>
        </w:rPr>
        <w:t> </w:t>
      </w:r>
      <w:r>
        <w:rPr>
          <w:sz w:val="20"/>
        </w:rPr>
        <w:t>to work on the design of the treaty provisions that will be inserted in the multilateral</w:t>
      </w:r>
      <w:r>
        <w:rPr>
          <w:spacing w:val="-29"/>
          <w:sz w:val="20"/>
        </w:rPr>
        <w:t> </w:t>
      </w:r>
      <w:r>
        <w:rPr>
          <w:sz w:val="20"/>
        </w:rPr>
        <w:t>convention.</w:t>
      </w:r>
    </w:p>
    <w:p>
      <w:pPr>
        <w:pStyle w:val="ListParagraph"/>
        <w:numPr>
          <w:ilvl w:val="0"/>
          <w:numId w:val="13"/>
        </w:numPr>
        <w:tabs>
          <w:tab w:pos="1444" w:val="left" w:leader="none"/>
        </w:tabs>
        <w:spacing w:line="271" w:lineRule="auto" w:before="119" w:after="0"/>
        <w:ind w:left="723" w:right="484" w:firstLine="0"/>
        <w:jc w:val="both"/>
        <w:rPr>
          <w:sz w:val="20"/>
        </w:rPr>
      </w:pPr>
      <w:r>
        <w:rPr>
          <w:sz w:val="20"/>
        </w:rPr>
        <w:t>More work will also be required on different challenges that could arise in developing the multilateral convention. Those will include work on the design of the provisions on entry into force and effect</w:t>
      </w:r>
      <w:r>
        <w:rPr>
          <w:spacing w:val="-6"/>
          <w:sz w:val="20"/>
        </w:rPr>
        <w:t> </w:t>
      </w:r>
      <w:r>
        <w:rPr>
          <w:sz w:val="20"/>
        </w:rPr>
        <w:t>to</w:t>
      </w:r>
      <w:r>
        <w:rPr>
          <w:spacing w:val="-7"/>
          <w:sz w:val="20"/>
        </w:rPr>
        <w:t> </w:t>
      </w:r>
      <w:r>
        <w:rPr>
          <w:sz w:val="20"/>
        </w:rPr>
        <w:t>ensure</w:t>
      </w:r>
      <w:r>
        <w:rPr>
          <w:spacing w:val="-6"/>
          <w:sz w:val="20"/>
        </w:rPr>
        <w:t> </w:t>
      </w:r>
      <w:r>
        <w:rPr>
          <w:sz w:val="20"/>
        </w:rPr>
        <w:t>that</w:t>
      </w:r>
      <w:r>
        <w:rPr>
          <w:spacing w:val="-6"/>
          <w:sz w:val="20"/>
        </w:rPr>
        <w:t> </w:t>
      </w:r>
      <w:r>
        <w:rPr>
          <w:sz w:val="20"/>
        </w:rPr>
        <w:t>parallel</w:t>
      </w:r>
      <w:r>
        <w:rPr>
          <w:spacing w:val="-4"/>
          <w:sz w:val="20"/>
        </w:rPr>
        <w:t> </w:t>
      </w:r>
      <w:r>
        <w:rPr>
          <w:sz w:val="20"/>
        </w:rPr>
        <w:t>and</w:t>
      </w:r>
      <w:r>
        <w:rPr>
          <w:spacing w:val="-7"/>
          <w:sz w:val="20"/>
        </w:rPr>
        <w:t> </w:t>
      </w:r>
      <w:r>
        <w:rPr>
          <w:sz w:val="20"/>
        </w:rPr>
        <w:t>conflicting</w:t>
      </w:r>
      <w:r>
        <w:rPr>
          <w:spacing w:val="-7"/>
          <w:sz w:val="20"/>
        </w:rPr>
        <w:t> </w:t>
      </w:r>
      <w:r>
        <w:rPr>
          <w:sz w:val="20"/>
        </w:rPr>
        <w:t>rules</w:t>
      </w:r>
      <w:r>
        <w:rPr>
          <w:spacing w:val="-6"/>
          <w:sz w:val="20"/>
        </w:rPr>
        <w:t> </w:t>
      </w:r>
      <w:r>
        <w:rPr>
          <w:sz w:val="20"/>
        </w:rPr>
        <w:t>for</w:t>
      </w:r>
      <w:r>
        <w:rPr>
          <w:spacing w:val="-5"/>
          <w:sz w:val="20"/>
        </w:rPr>
        <w:t> </w:t>
      </w:r>
      <w:r>
        <w:rPr>
          <w:sz w:val="20"/>
        </w:rPr>
        <w:t>the</w:t>
      </w:r>
      <w:r>
        <w:rPr>
          <w:spacing w:val="-7"/>
          <w:sz w:val="20"/>
        </w:rPr>
        <w:t> </w:t>
      </w:r>
      <w:r>
        <w:rPr>
          <w:sz w:val="20"/>
        </w:rPr>
        <w:t>taxation</w:t>
      </w:r>
      <w:r>
        <w:rPr>
          <w:spacing w:val="-7"/>
          <w:sz w:val="20"/>
        </w:rPr>
        <w:t> </w:t>
      </w:r>
      <w:r>
        <w:rPr>
          <w:sz w:val="20"/>
        </w:rPr>
        <w:t>of</w:t>
      </w:r>
      <w:r>
        <w:rPr>
          <w:spacing w:val="-5"/>
          <w:sz w:val="20"/>
        </w:rPr>
        <w:t> </w:t>
      </w:r>
      <w:r>
        <w:rPr>
          <w:sz w:val="20"/>
        </w:rPr>
        <w:t>in-scope</w:t>
      </w:r>
      <w:r>
        <w:rPr>
          <w:spacing w:val="-6"/>
          <w:sz w:val="20"/>
        </w:rPr>
        <w:t> </w:t>
      </w:r>
      <w:r>
        <w:rPr>
          <w:sz w:val="20"/>
        </w:rPr>
        <w:t>MNE</w:t>
      </w:r>
      <w:r>
        <w:rPr>
          <w:spacing w:val="-7"/>
          <w:sz w:val="20"/>
        </w:rPr>
        <w:t> </w:t>
      </w:r>
      <w:r>
        <w:rPr>
          <w:sz w:val="20"/>
        </w:rPr>
        <w:t>groups</w:t>
      </w:r>
      <w:r>
        <w:rPr>
          <w:spacing w:val="-5"/>
          <w:sz w:val="20"/>
        </w:rPr>
        <w:t> </w:t>
      </w:r>
      <w:r>
        <w:rPr>
          <w:sz w:val="20"/>
        </w:rPr>
        <w:t>do</w:t>
      </w:r>
      <w:r>
        <w:rPr>
          <w:spacing w:val="-7"/>
          <w:sz w:val="20"/>
        </w:rPr>
        <w:t> </w:t>
      </w:r>
      <w:r>
        <w:rPr>
          <w:sz w:val="20"/>
        </w:rPr>
        <w:t>not</w:t>
      </w:r>
      <w:r>
        <w:rPr>
          <w:spacing w:val="-5"/>
          <w:sz w:val="20"/>
        </w:rPr>
        <w:t> </w:t>
      </w:r>
      <w:r>
        <w:rPr>
          <w:sz w:val="20"/>
        </w:rPr>
        <w:t>arise</w:t>
      </w:r>
      <w:r>
        <w:rPr>
          <w:spacing w:val="-7"/>
          <w:sz w:val="20"/>
        </w:rPr>
        <w:t> </w:t>
      </w:r>
      <w:r>
        <w:rPr>
          <w:sz w:val="20"/>
        </w:rPr>
        <w:t>and that the multilateral convention starts to take effect only once a critical mass of jurisdictions have fully implemented it. This will include establishing a timeline for implementation, and clarifying the meaning of a ”critical mass” of</w:t>
      </w:r>
      <w:r>
        <w:rPr>
          <w:spacing w:val="-1"/>
          <w:sz w:val="20"/>
        </w:rPr>
        <w:t> </w:t>
      </w:r>
      <w:r>
        <w:rPr>
          <w:sz w:val="20"/>
        </w:rPr>
        <w:t>jurisdictions.</w:t>
      </w:r>
    </w:p>
    <w:p>
      <w:pPr>
        <w:pStyle w:val="ListParagraph"/>
        <w:numPr>
          <w:ilvl w:val="0"/>
          <w:numId w:val="13"/>
        </w:numPr>
        <w:tabs>
          <w:tab w:pos="1444" w:val="left" w:leader="none"/>
        </w:tabs>
        <w:spacing w:line="271" w:lineRule="auto" w:before="120" w:after="0"/>
        <w:ind w:left="723" w:right="489" w:firstLine="0"/>
        <w:jc w:val="both"/>
        <w:rPr>
          <w:sz w:val="20"/>
        </w:rPr>
      </w:pPr>
      <w:bookmarkStart w:name="_bookmark78" w:id="508"/>
      <w:bookmarkEnd w:id="508"/>
      <w:r>
        <w:rPr/>
      </w:r>
      <w:bookmarkStart w:name="_bookmark78" w:id="509"/>
      <w:bookmarkEnd w:id="509"/>
      <w:r>
        <w:rPr>
          <w:sz w:val="20"/>
        </w:rPr>
        <w:t>In</w:t>
      </w:r>
      <w:r>
        <w:rPr>
          <w:sz w:val="20"/>
        </w:rPr>
        <w:t> order to ensure consistency with the legal framework established by a multilateral convention and</w:t>
      </w:r>
      <w:r>
        <w:rPr>
          <w:spacing w:val="-9"/>
          <w:sz w:val="20"/>
        </w:rPr>
        <w:t> </w:t>
      </w:r>
      <w:r>
        <w:rPr>
          <w:sz w:val="20"/>
        </w:rPr>
        <w:t>to</w:t>
      </w:r>
      <w:r>
        <w:rPr>
          <w:spacing w:val="-8"/>
          <w:sz w:val="20"/>
        </w:rPr>
        <w:t> </w:t>
      </w:r>
      <w:r>
        <w:rPr>
          <w:sz w:val="20"/>
        </w:rPr>
        <w:t>ensure</w:t>
      </w:r>
      <w:r>
        <w:rPr>
          <w:spacing w:val="-6"/>
          <w:sz w:val="20"/>
        </w:rPr>
        <w:t> </w:t>
      </w:r>
      <w:r>
        <w:rPr>
          <w:sz w:val="20"/>
        </w:rPr>
        <w:t>that</w:t>
      </w:r>
      <w:r>
        <w:rPr>
          <w:spacing w:val="-8"/>
          <w:sz w:val="20"/>
        </w:rPr>
        <w:t> </w:t>
      </w:r>
      <w:r>
        <w:rPr>
          <w:sz w:val="20"/>
        </w:rPr>
        <w:t>bilateral</w:t>
      </w:r>
      <w:r>
        <w:rPr>
          <w:spacing w:val="-6"/>
          <w:sz w:val="20"/>
        </w:rPr>
        <w:t> </w:t>
      </w:r>
      <w:r>
        <w:rPr>
          <w:sz w:val="20"/>
        </w:rPr>
        <w:t>tax</w:t>
      </w:r>
      <w:r>
        <w:rPr>
          <w:spacing w:val="-8"/>
          <w:sz w:val="20"/>
        </w:rPr>
        <w:t> </w:t>
      </w:r>
      <w:r>
        <w:rPr>
          <w:sz w:val="20"/>
        </w:rPr>
        <w:t>treaties</w:t>
      </w:r>
      <w:r>
        <w:rPr>
          <w:spacing w:val="-7"/>
          <w:sz w:val="20"/>
        </w:rPr>
        <w:t> </w:t>
      </w:r>
      <w:r>
        <w:rPr>
          <w:sz w:val="20"/>
        </w:rPr>
        <w:t>concluded</w:t>
      </w:r>
      <w:r>
        <w:rPr>
          <w:spacing w:val="-7"/>
          <w:sz w:val="20"/>
        </w:rPr>
        <w:t> </w:t>
      </w:r>
      <w:r>
        <w:rPr>
          <w:sz w:val="20"/>
        </w:rPr>
        <w:t>after</w:t>
      </w:r>
      <w:r>
        <w:rPr>
          <w:spacing w:val="-7"/>
          <w:sz w:val="20"/>
        </w:rPr>
        <w:t> </w:t>
      </w:r>
      <w:r>
        <w:rPr>
          <w:sz w:val="20"/>
        </w:rPr>
        <w:t>its</w:t>
      </w:r>
      <w:r>
        <w:rPr>
          <w:spacing w:val="-7"/>
          <w:sz w:val="20"/>
        </w:rPr>
        <w:t> </w:t>
      </w:r>
      <w:r>
        <w:rPr>
          <w:sz w:val="20"/>
        </w:rPr>
        <w:t>entry</w:t>
      </w:r>
      <w:r>
        <w:rPr>
          <w:spacing w:val="-10"/>
          <w:sz w:val="20"/>
        </w:rPr>
        <w:t> </w:t>
      </w:r>
      <w:r>
        <w:rPr>
          <w:sz w:val="20"/>
        </w:rPr>
        <w:t>into</w:t>
      </w:r>
      <w:r>
        <w:rPr>
          <w:spacing w:val="-8"/>
          <w:sz w:val="20"/>
        </w:rPr>
        <w:t> </w:t>
      </w:r>
      <w:r>
        <w:rPr>
          <w:sz w:val="20"/>
        </w:rPr>
        <w:t>force</w:t>
      </w:r>
      <w:r>
        <w:rPr>
          <w:spacing w:val="-8"/>
          <w:sz w:val="20"/>
        </w:rPr>
        <w:t> </w:t>
      </w:r>
      <w:r>
        <w:rPr>
          <w:sz w:val="20"/>
        </w:rPr>
        <w:t>do</w:t>
      </w:r>
      <w:r>
        <w:rPr>
          <w:spacing w:val="-9"/>
          <w:sz w:val="20"/>
        </w:rPr>
        <w:t> </w:t>
      </w:r>
      <w:r>
        <w:rPr>
          <w:sz w:val="20"/>
        </w:rPr>
        <w:t>not</w:t>
      </w:r>
      <w:r>
        <w:rPr>
          <w:spacing w:val="-8"/>
          <w:sz w:val="20"/>
        </w:rPr>
        <w:t> </w:t>
      </w:r>
      <w:r>
        <w:rPr>
          <w:sz w:val="20"/>
        </w:rPr>
        <w:t>create</w:t>
      </w:r>
      <w:r>
        <w:rPr>
          <w:spacing w:val="-8"/>
          <w:sz w:val="20"/>
        </w:rPr>
        <w:t> </w:t>
      </w:r>
      <w:r>
        <w:rPr>
          <w:sz w:val="20"/>
        </w:rPr>
        <w:t>new</w:t>
      </w:r>
      <w:r>
        <w:rPr>
          <w:spacing w:val="-10"/>
          <w:sz w:val="20"/>
        </w:rPr>
        <w:t> </w:t>
      </w:r>
      <w:r>
        <w:rPr>
          <w:sz w:val="20"/>
        </w:rPr>
        <w:t>barriers</w:t>
      </w:r>
      <w:r>
        <w:rPr>
          <w:spacing w:val="-7"/>
          <w:sz w:val="20"/>
        </w:rPr>
        <w:t> </w:t>
      </w:r>
      <w:r>
        <w:rPr>
          <w:sz w:val="20"/>
        </w:rPr>
        <w:t>to</w:t>
      </w:r>
      <w:r>
        <w:rPr>
          <w:spacing w:val="-8"/>
          <w:sz w:val="20"/>
        </w:rPr>
        <w:t> </w:t>
      </w:r>
      <w:r>
        <w:rPr>
          <w:sz w:val="20"/>
        </w:rPr>
        <w:t>the exercise of the new taxing right, further work will also be required on the relationship of the multilateral convention with these later tax treaties, taking into account legal frameworks that may not permit clauses that bind future Parliaments.</w:t>
      </w:r>
    </w:p>
    <w:p>
      <w:pPr>
        <w:pStyle w:val="ListParagraph"/>
        <w:numPr>
          <w:ilvl w:val="0"/>
          <w:numId w:val="13"/>
        </w:numPr>
        <w:tabs>
          <w:tab w:pos="1444" w:val="left" w:leader="none"/>
        </w:tabs>
        <w:spacing w:line="271" w:lineRule="auto" w:before="122" w:after="0"/>
        <w:ind w:left="723" w:right="485" w:firstLine="0"/>
        <w:jc w:val="both"/>
        <w:rPr>
          <w:sz w:val="20"/>
        </w:rPr>
      </w:pPr>
      <w:r>
        <w:rPr>
          <w:sz w:val="20"/>
        </w:rPr>
        <w:t>The next steps on the “removal” of unilateral measures will require work on what constitutes a “relevant” unilateral measure that would need to be removed, and any transitional framework to do so. As noted</w:t>
      </w:r>
      <w:r>
        <w:rPr>
          <w:spacing w:val="-7"/>
          <w:sz w:val="20"/>
        </w:rPr>
        <w:t> </w:t>
      </w:r>
      <w:r>
        <w:rPr>
          <w:sz w:val="20"/>
        </w:rPr>
        <w:t>above,</w:t>
      </w:r>
      <w:r>
        <w:rPr>
          <w:spacing w:val="-5"/>
          <w:sz w:val="20"/>
        </w:rPr>
        <w:t> </w:t>
      </w:r>
      <w:r>
        <w:rPr>
          <w:sz w:val="20"/>
        </w:rPr>
        <w:t>members</w:t>
      </w:r>
      <w:r>
        <w:rPr>
          <w:spacing w:val="-5"/>
          <w:sz w:val="20"/>
        </w:rPr>
        <w:t> </w:t>
      </w:r>
      <w:r>
        <w:rPr>
          <w:sz w:val="20"/>
        </w:rPr>
        <w:t>of</w:t>
      </w:r>
      <w:r>
        <w:rPr>
          <w:spacing w:val="-5"/>
          <w:sz w:val="20"/>
        </w:rPr>
        <w:t> </w:t>
      </w:r>
      <w:r>
        <w:rPr>
          <w:sz w:val="20"/>
        </w:rPr>
        <w:t>the</w:t>
      </w:r>
      <w:r>
        <w:rPr>
          <w:spacing w:val="-7"/>
          <w:sz w:val="20"/>
        </w:rPr>
        <w:t> </w:t>
      </w:r>
      <w:r>
        <w:rPr>
          <w:sz w:val="20"/>
        </w:rPr>
        <w:t>Inclusive</w:t>
      </w:r>
      <w:r>
        <w:rPr>
          <w:spacing w:val="-5"/>
          <w:sz w:val="20"/>
        </w:rPr>
        <w:t> </w:t>
      </w:r>
      <w:r>
        <w:rPr>
          <w:sz w:val="20"/>
        </w:rPr>
        <w:t>Framework</w:t>
      </w:r>
      <w:r>
        <w:rPr>
          <w:spacing w:val="2"/>
          <w:sz w:val="20"/>
        </w:rPr>
        <w:t> </w:t>
      </w:r>
      <w:r>
        <w:rPr>
          <w:sz w:val="20"/>
        </w:rPr>
        <w:t>agree</w:t>
      </w:r>
      <w:r>
        <w:rPr>
          <w:spacing w:val="-7"/>
          <w:sz w:val="20"/>
        </w:rPr>
        <w:t> </w:t>
      </w:r>
      <w:r>
        <w:rPr>
          <w:sz w:val="20"/>
        </w:rPr>
        <w:t>that</w:t>
      </w:r>
      <w:r>
        <w:rPr>
          <w:spacing w:val="-4"/>
          <w:sz w:val="20"/>
        </w:rPr>
        <w:t> </w:t>
      </w:r>
      <w:r>
        <w:rPr>
          <w:sz w:val="20"/>
        </w:rPr>
        <w:t>one</w:t>
      </w:r>
      <w:r>
        <w:rPr>
          <w:spacing w:val="-7"/>
          <w:sz w:val="20"/>
        </w:rPr>
        <w:t> </w:t>
      </w:r>
      <w:r>
        <w:rPr>
          <w:sz w:val="20"/>
        </w:rPr>
        <w:t>element</w:t>
      </w:r>
      <w:r>
        <w:rPr>
          <w:spacing w:val="-6"/>
          <w:sz w:val="20"/>
        </w:rPr>
        <w:t> </w:t>
      </w:r>
      <w:r>
        <w:rPr>
          <w:sz w:val="20"/>
        </w:rPr>
        <w:t>of</w:t>
      </w:r>
      <w:r>
        <w:rPr>
          <w:spacing w:val="-5"/>
          <w:sz w:val="20"/>
        </w:rPr>
        <w:t> </w:t>
      </w:r>
      <w:r>
        <w:rPr>
          <w:sz w:val="20"/>
        </w:rPr>
        <w:t>an</w:t>
      </w:r>
      <w:r>
        <w:rPr>
          <w:spacing w:val="-5"/>
          <w:sz w:val="20"/>
        </w:rPr>
        <w:t> </w:t>
      </w:r>
      <w:r>
        <w:rPr>
          <w:sz w:val="20"/>
        </w:rPr>
        <w:t>agreement</w:t>
      </w:r>
      <w:r>
        <w:rPr>
          <w:spacing w:val="-6"/>
          <w:sz w:val="20"/>
        </w:rPr>
        <w:t> </w:t>
      </w:r>
      <w:r>
        <w:rPr>
          <w:sz w:val="20"/>
        </w:rPr>
        <w:t>on</w:t>
      </w:r>
      <w:r>
        <w:rPr>
          <w:spacing w:val="-5"/>
          <w:sz w:val="20"/>
        </w:rPr>
        <w:t> </w:t>
      </w:r>
      <w:r>
        <w:rPr>
          <w:sz w:val="20"/>
        </w:rPr>
        <w:t>Pillar</w:t>
      </w:r>
      <w:r>
        <w:rPr>
          <w:spacing w:val="-6"/>
          <w:sz w:val="20"/>
        </w:rPr>
        <w:t> </w:t>
      </w:r>
      <w:r>
        <w:rPr>
          <w:sz w:val="20"/>
        </w:rPr>
        <w:t>One should</w:t>
      </w:r>
      <w:r>
        <w:rPr>
          <w:spacing w:val="-12"/>
          <w:sz w:val="20"/>
        </w:rPr>
        <w:t> </w:t>
      </w:r>
      <w:r>
        <w:rPr>
          <w:sz w:val="20"/>
        </w:rPr>
        <w:t>be</w:t>
      </w:r>
      <w:r>
        <w:rPr>
          <w:spacing w:val="-8"/>
          <w:sz w:val="20"/>
        </w:rPr>
        <w:t> </w:t>
      </w:r>
      <w:r>
        <w:rPr>
          <w:sz w:val="20"/>
        </w:rPr>
        <w:t>a</w:t>
      </w:r>
      <w:r>
        <w:rPr>
          <w:spacing w:val="-11"/>
          <w:sz w:val="20"/>
        </w:rPr>
        <w:t> </w:t>
      </w:r>
      <w:r>
        <w:rPr>
          <w:sz w:val="20"/>
        </w:rPr>
        <w:t>commitment</w:t>
      </w:r>
      <w:r>
        <w:rPr>
          <w:spacing w:val="-9"/>
          <w:sz w:val="20"/>
        </w:rPr>
        <w:t> </w:t>
      </w:r>
      <w:r>
        <w:rPr>
          <w:sz w:val="20"/>
        </w:rPr>
        <w:t>to</w:t>
      </w:r>
      <w:r>
        <w:rPr>
          <w:spacing w:val="-8"/>
          <w:sz w:val="20"/>
        </w:rPr>
        <w:t> </w:t>
      </w:r>
      <w:r>
        <w:rPr>
          <w:sz w:val="20"/>
        </w:rPr>
        <w:t>withdraw</w:t>
      </w:r>
      <w:r>
        <w:rPr>
          <w:spacing w:val="-12"/>
          <w:sz w:val="20"/>
        </w:rPr>
        <w:t> </w:t>
      </w:r>
      <w:r>
        <w:rPr>
          <w:sz w:val="20"/>
        </w:rPr>
        <w:t>relevant</w:t>
      </w:r>
      <w:r>
        <w:rPr>
          <w:spacing w:val="-7"/>
          <w:sz w:val="20"/>
        </w:rPr>
        <w:t> </w:t>
      </w:r>
      <w:r>
        <w:rPr>
          <w:sz w:val="20"/>
        </w:rPr>
        <w:t>unilateral</w:t>
      </w:r>
      <w:r>
        <w:rPr>
          <w:spacing w:val="-9"/>
          <w:sz w:val="20"/>
        </w:rPr>
        <w:t> </w:t>
      </w:r>
      <w:r>
        <w:rPr>
          <w:sz w:val="20"/>
        </w:rPr>
        <w:t>measures</w:t>
      </w:r>
      <w:r>
        <w:rPr>
          <w:spacing w:val="-10"/>
          <w:sz w:val="20"/>
        </w:rPr>
        <w:t> </w:t>
      </w:r>
      <w:r>
        <w:rPr>
          <w:sz w:val="20"/>
        </w:rPr>
        <w:t>that</w:t>
      </w:r>
      <w:r>
        <w:rPr>
          <w:spacing w:val="-8"/>
          <w:sz w:val="20"/>
        </w:rPr>
        <w:t> </w:t>
      </w:r>
      <w:r>
        <w:rPr>
          <w:sz w:val="20"/>
        </w:rPr>
        <w:t>would</w:t>
      </w:r>
      <w:r>
        <w:rPr>
          <w:spacing w:val="-9"/>
          <w:sz w:val="20"/>
        </w:rPr>
        <w:t> </w:t>
      </w:r>
      <w:r>
        <w:rPr>
          <w:sz w:val="20"/>
        </w:rPr>
        <w:t>undermine</w:t>
      </w:r>
      <w:r>
        <w:rPr>
          <w:spacing w:val="-11"/>
          <w:sz w:val="20"/>
        </w:rPr>
        <w:t> </w:t>
      </w:r>
      <w:r>
        <w:rPr>
          <w:sz w:val="20"/>
        </w:rPr>
        <w:t>the</w:t>
      </w:r>
      <w:r>
        <w:rPr>
          <w:spacing w:val="-11"/>
          <w:sz w:val="20"/>
        </w:rPr>
        <w:t> </w:t>
      </w:r>
      <w:r>
        <w:rPr>
          <w:sz w:val="20"/>
        </w:rPr>
        <w:t>stability</w:t>
      </w:r>
      <w:r>
        <w:rPr>
          <w:spacing w:val="-12"/>
          <w:sz w:val="20"/>
        </w:rPr>
        <w:t> </w:t>
      </w:r>
      <w:r>
        <w:rPr>
          <w:sz w:val="20"/>
        </w:rPr>
        <w:t>of</w:t>
      </w:r>
      <w:r>
        <w:rPr>
          <w:spacing w:val="-8"/>
          <w:sz w:val="20"/>
        </w:rPr>
        <w:t> </w:t>
      </w:r>
      <w:r>
        <w:rPr>
          <w:sz w:val="20"/>
        </w:rPr>
        <w:t>the agreed framework and to refrain from introducing new ones.</w:t>
      </w:r>
    </w:p>
    <w:p>
      <w:pPr>
        <w:pStyle w:val="ListParagraph"/>
        <w:numPr>
          <w:ilvl w:val="0"/>
          <w:numId w:val="13"/>
        </w:numPr>
        <w:tabs>
          <w:tab w:pos="1444" w:val="left" w:leader="none"/>
        </w:tabs>
        <w:spacing w:line="271" w:lineRule="auto" w:before="122" w:after="0"/>
        <w:ind w:left="723" w:right="486" w:firstLine="0"/>
        <w:jc w:val="both"/>
        <w:rPr>
          <w:sz w:val="20"/>
        </w:rPr>
      </w:pPr>
      <w:r>
        <w:rPr>
          <w:sz w:val="20"/>
        </w:rPr>
        <w:t>Lastly, the implementation of Pillar One on a safe harbour basis requires continued consideration and development by the Inclusive</w:t>
      </w:r>
      <w:r>
        <w:rPr>
          <w:spacing w:val="-6"/>
          <w:sz w:val="20"/>
        </w:rPr>
        <w:t> </w:t>
      </w:r>
      <w:r>
        <w:rPr>
          <w:sz w:val="20"/>
        </w:rPr>
        <w:t>Framework.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8"/>
        </w:rPr>
      </w:pPr>
      <w:r>
        <w:rPr/>
        <w:pict>
          <v:rect style="position:absolute;margin-left:65.183998pt;margin-top:18.212265pt;width:144.020004pt;height:.60004pt;mso-position-horizontal-relative:page;mso-position-vertical-relative:paragraph;z-index:-15638016;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998" w:val="left" w:leader="none"/>
        </w:tabs>
        <w:spacing w:line="278" w:lineRule="auto" w:before="94" w:after="0"/>
        <w:ind w:left="723" w:right="489" w:firstLine="0"/>
        <w:jc w:val="left"/>
        <w:rPr>
          <w:sz w:val="18"/>
        </w:rPr>
      </w:pPr>
      <w:r>
        <w:rPr>
          <w:sz w:val="18"/>
        </w:rPr>
        <w:t>See</w:t>
      </w:r>
      <w:r>
        <w:rPr>
          <w:spacing w:val="-9"/>
          <w:sz w:val="18"/>
        </w:rPr>
        <w:t> </w:t>
      </w:r>
      <w:r>
        <w:rPr>
          <w:sz w:val="18"/>
        </w:rPr>
        <w:t>paragraphs</w:t>
      </w:r>
      <w:r>
        <w:rPr>
          <w:spacing w:val="-8"/>
          <w:sz w:val="18"/>
        </w:rPr>
        <w:t> </w:t>
      </w:r>
      <w:r>
        <w:rPr>
          <w:sz w:val="18"/>
        </w:rPr>
        <w:t>9</w:t>
      </w:r>
      <w:r>
        <w:rPr>
          <w:spacing w:val="-10"/>
          <w:sz w:val="18"/>
        </w:rPr>
        <w:t> </w:t>
      </w:r>
      <w:r>
        <w:rPr>
          <w:sz w:val="18"/>
        </w:rPr>
        <w:t>and</w:t>
      </w:r>
      <w:r>
        <w:rPr>
          <w:spacing w:val="-9"/>
          <w:sz w:val="18"/>
        </w:rPr>
        <w:t> </w:t>
      </w:r>
      <w:r>
        <w:rPr>
          <w:sz w:val="18"/>
        </w:rPr>
        <w:t>89</w:t>
      </w:r>
      <w:r>
        <w:rPr>
          <w:spacing w:val="-9"/>
          <w:sz w:val="18"/>
        </w:rPr>
        <w:t> </w:t>
      </w:r>
      <w:r>
        <w:rPr>
          <w:sz w:val="18"/>
        </w:rPr>
        <w:t>of</w:t>
      </w:r>
      <w:r>
        <w:rPr>
          <w:spacing w:val="-8"/>
          <w:sz w:val="18"/>
        </w:rPr>
        <w:t> </w:t>
      </w:r>
      <w:r>
        <w:rPr>
          <w:sz w:val="18"/>
        </w:rPr>
        <w:t>the</w:t>
      </w:r>
      <w:r>
        <w:rPr>
          <w:spacing w:val="-9"/>
          <w:sz w:val="18"/>
        </w:rPr>
        <w:t> </w:t>
      </w:r>
      <w:r>
        <w:rPr>
          <w:sz w:val="18"/>
        </w:rPr>
        <w:t>Outline.</w:t>
      </w:r>
      <w:r>
        <w:rPr>
          <w:spacing w:val="-9"/>
          <w:sz w:val="18"/>
        </w:rPr>
        <w:t> </w:t>
      </w:r>
      <w:r>
        <w:rPr>
          <w:sz w:val="18"/>
        </w:rPr>
        <w:t>Also,</w:t>
      </w:r>
      <w:r>
        <w:rPr>
          <w:spacing w:val="-8"/>
          <w:sz w:val="18"/>
        </w:rPr>
        <w:t> </w:t>
      </w:r>
      <w:r>
        <w:rPr>
          <w:sz w:val="18"/>
        </w:rPr>
        <w:t>as</w:t>
      </w:r>
      <w:r>
        <w:rPr>
          <w:spacing w:val="-8"/>
          <w:sz w:val="18"/>
        </w:rPr>
        <w:t> </w:t>
      </w:r>
      <w:r>
        <w:rPr>
          <w:sz w:val="18"/>
        </w:rPr>
        <w:t>stated</w:t>
      </w:r>
      <w:r>
        <w:rPr>
          <w:spacing w:val="-11"/>
          <w:sz w:val="18"/>
        </w:rPr>
        <w:t> </w:t>
      </w:r>
      <w:r>
        <w:rPr>
          <w:sz w:val="18"/>
        </w:rPr>
        <w:t>in</w:t>
      </w:r>
      <w:r>
        <w:rPr>
          <w:spacing w:val="-8"/>
          <w:sz w:val="18"/>
        </w:rPr>
        <w:t> </w:t>
      </w:r>
      <w:r>
        <w:rPr>
          <w:sz w:val="18"/>
        </w:rPr>
        <w:t>paragraph</w:t>
      </w:r>
      <w:r>
        <w:rPr>
          <w:spacing w:val="-11"/>
          <w:sz w:val="18"/>
        </w:rPr>
        <w:t> </w:t>
      </w:r>
      <w:r>
        <w:rPr>
          <w:sz w:val="18"/>
        </w:rPr>
        <w:t>90</w:t>
      </w:r>
      <w:r>
        <w:rPr>
          <w:spacing w:val="-9"/>
          <w:sz w:val="18"/>
        </w:rPr>
        <w:t> </w:t>
      </w:r>
      <w:r>
        <w:rPr>
          <w:sz w:val="18"/>
        </w:rPr>
        <w:t>of</w:t>
      </w:r>
      <w:r>
        <w:rPr>
          <w:spacing w:val="-10"/>
          <w:sz w:val="18"/>
        </w:rPr>
        <w:t> </w:t>
      </w:r>
      <w:r>
        <w:rPr>
          <w:sz w:val="18"/>
        </w:rPr>
        <w:t>the</w:t>
      </w:r>
      <w:r>
        <w:rPr>
          <w:spacing w:val="-9"/>
          <w:sz w:val="18"/>
        </w:rPr>
        <w:t> </w:t>
      </w:r>
      <w:r>
        <w:rPr>
          <w:sz w:val="18"/>
        </w:rPr>
        <w:t>Outline,</w:t>
      </w:r>
      <w:r>
        <w:rPr>
          <w:spacing w:val="-9"/>
          <w:sz w:val="18"/>
        </w:rPr>
        <w:t> </w:t>
      </w:r>
      <w:r>
        <w:rPr>
          <w:sz w:val="18"/>
        </w:rPr>
        <w:t>considerations</w:t>
      </w:r>
      <w:r>
        <w:rPr>
          <w:spacing w:val="-7"/>
          <w:sz w:val="18"/>
        </w:rPr>
        <w:t> </w:t>
      </w:r>
      <w:r>
        <w:rPr>
          <w:sz w:val="18"/>
        </w:rPr>
        <w:t>will</w:t>
      </w:r>
      <w:r>
        <w:rPr>
          <w:spacing w:val="-9"/>
          <w:sz w:val="18"/>
        </w:rPr>
        <w:t> </w:t>
      </w:r>
      <w:r>
        <w:rPr>
          <w:sz w:val="18"/>
        </w:rPr>
        <w:t>be</w:t>
      </w:r>
      <w:r>
        <w:rPr>
          <w:spacing w:val="-9"/>
          <w:sz w:val="18"/>
        </w:rPr>
        <w:t> </w:t>
      </w:r>
      <w:r>
        <w:rPr>
          <w:sz w:val="18"/>
        </w:rPr>
        <w:t>given to the implications of the safe harbour proposal for unilateral</w:t>
      </w:r>
      <w:r>
        <w:rPr>
          <w:spacing w:val="-13"/>
          <w:sz w:val="18"/>
        </w:rPr>
        <w:t> </w:t>
      </w:r>
      <w:r>
        <w:rPr>
          <w:sz w:val="18"/>
        </w:rPr>
        <w:t>measures.</w:t>
      </w:r>
    </w:p>
    <w:p>
      <w:pPr>
        <w:spacing w:after="0" w:line="278" w:lineRule="auto"/>
        <w:jc w:val="left"/>
        <w:rPr>
          <w:sz w:val="18"/>
        </w:rPr>
        <w:sectPr>
          <w:pgSz w:w="11910" w:h="16840"/>
          <w:pgMar w:header="1244" w:footer="1638" w:top="1500" w:bottom="1820" w:left="580" w:right="820"/>
        </w:sectPr>
      </w:pPr>
    </w:p>
    <w:p>
      <w:pPr>
        <w:pStyle w:val="BodyText"/>
      </w:pPr>
    </w:p>
    <w:p>
      <w:pPr>
        <w:spacing w:before="100"/>
        <w:ind w:left="723" w:right="0" w:firstLine="0"/>
        <w:jc w:val="left"/>
        <w:rPr>
          <w:rFonts w:ascii="Arial Narrow"/>
          <w:b/>
          <w:sz w:val="48"/>
        </w:rPr>
      </w:pPr>
      <w:bookmarkStart w:name="Annex A. Detailed Process Map of Amount " w:id="510"/>
      <w:bookmarkEnd w:id="510"/>
      <w:r>
        <w:rPr/>
      </w:r>
      <w:bookmarkStart w:name="_bookmark79" w:id="511"/>
      <w:bookmarkEnd w:id="511"/>
      <w:r>
        <w:rPr/>
      </w:r>
      <w:r>
        <w:rPr>
          <w:rFonts w:ascii="Arial Narrow"/>
          <w:b/>
          <w:color w:val="4E81BD"/>
          <w:sz w:val="48"/>
        </w:rPr>
        <w:t>Annex A. Detailed Process Map of Amount A</w:t>
      </w:r>
    </w:p>
    <w:p>
      <w:pPr>
        <w:pStyle w:val="BodyText"/>
        <w:spacing w:before="1"/>
        <w:rPr>
          <w:rFonts w:ascii="Arial Narrow"/>
          <w:b/>
          <w:sz w:val="23"/>
        </w:rPr>
      </w:pPr>
      <w:r>
        <w:rPr/>
        <w:drawing>
          <wp:anchor distT="0" distB="0" distL="0" distR="0" allowOverlap="1" layoutInCell="1" locked="0" behindDoc="0" simplePos="0" relativeHeight="178">
            <wp:simplePos x="0" y="0"/>
            <wp:positionH relativeFrom="page">
              <wp:posOffset>880768</wp:posOffset>
            </wp:positionH>
            <wp:positionV relativeFrom="paragraph">
              <wp:posOffset>193290</wp:posOffset>
            </wp:positionV>
            <wp:extent cx="5416846" cy="7313295"/>
            <wp:effectExtent l="0" t="0" r="0" b="0"/>
            <wp:wrapTopAndBottom/>
            <wp:docPr id="1" name="image22.png"/>
            <wp:cNvGraphicFramePr>
              <a:graphicFrameLocks noChangeAspect="1"/>
            </wp:cNvGraphicFramePr>
            <a:graphic>
              <a:graphicData uri="http://schemas.openxmlformats.org/drawingml/2006/picture">
                <pic:pic>
                  <pic:nvPicPr>
                    <pic:cNvPr id="2" name="image22.png"/>
                    <pic:cNvPicPr/>
                  </pic:nvPicPr>
                  <pic:blipFill>
                    <a:blip r:embed="rId43" cstate="print"/>
                    <a:stretch>
                      <a:fillRect/>
                    </a:stretch>
                  </pic:blipFill>
                  <pic:spPr>
                    <a:xfrm>
                      <a:off x="0" y="0"/>
                      <a:ext cx="5416846" cy="7313295"/>
                    </a:xfrm>
                    <a:prstGeom prst="rect">
                      <a:avLst/>
                    </a:prstGeom>
                  </pic:spPr>
                </pic:pic>
              </a:graphicData>
            </a:graphic>
          </wp:anchor>
        </w:drawing>
      </w:r>
    </w:p>
    <w:p>
      <w:pPr>
        <w:spacing w:after="0"/>
        <w:rPr>
          <w:rFonts w:ascii="Arial Narrow"/>
          <w:sz w:val="23"/>
        </w:rPr>
        <w:sectPr>
          <w:pgSz w:w="11910" w:h="16840"/>
          <w:pgMar w:header="1244" w:footer="1638" w:top="1500" w:bottom="1820" w:left="580" w:right="820"/>
        </w:sectPr>
      </w:pPr>
    </w:p>
    <w:p>
      <w:pPr>
        <w:pStyle w:val="BodyText"/>
        <w:rPr>
          <w:rFonts w:ascii="Arial Narrow"/>
          <w:b/>
        </w:rPr>
      </w:pPr>
    </w:p>
    <w:p>
      <w:pPr>
        <w:pStyle w:val="BodyText"/>
        <w:rPr>
          <w:rFonts w:ascii="Arial Narrow"/>
          <w:b/>
        </w:rPr>
      </w:pPr>
    </w:p>
    <w:p>
      <w:pPr>
        <w:pStyle w:val="BodyText"/>
        <w:spacing w:before="3"/>
        <w:rPr>
          <w:rFonts w:ascii="Arial Narrow"/>
          <w:b/>
          <w:sz w:val="16"/>
        </w:rPr>
      </w:pPr>
    </w:p>
    <w:p>
      <w:pPr>
        <w:pStyle w:val="BodyText"/>
        <w:ind w:left="897"/>
        <w:rPr>
          <w:rFonts w:ascii="Arial Narrow"/>
        </w:rPr>
      </w:pPr>
      <w:r>
        <w:rPr>
          <w:rFonts w:ascii="Arial Narrow"/>
        </w:rPr>
        <w:drawing>
          <wp:inline distT="0" distB="0" distL="0" distR="0">
            <wp:extent cx="5619245" cy="6627018"/>
            <wp:effectExtent l="0" t="0" r="0" b="0"/>
            <wp:docPr id="3" name="image23.png"/>
            <wp:cNvGraphicFramePr>
              <a:graphicFrameLocks noChangeAspect="1"/>
            </wp:cNvGraphicFramePr>
            <a:graphic>
              <a:graphicData uri="http://schemas.openxmlformats.org/drawingml/2006/picture">
                <pic:pic>
                  <pic:nvPicPr>
                    <pic:cNvPr id="4" name="image23.png"/>
                    <pic:cNvPicPr/>
                  </pic:nvPicPr>
                  <pic:blipFill>
                    <a:blip r:embed="rId44" cstate="print"/>
                    <a:stretch>
                      <a:fillRect/>
                    </a:stretch>
                  </pic:blipFill>
                  <pic:spPr>
                    <a:xfrm>
                      <a:off x="0" y="0"/>
                      <a:ext cx="5619245" cy="6627018"/>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spacing w:before="10" w:after="1"/>
        <w:rPr>
          <w:rFonts w:ascii="Arial Narrow"/>
          <w:b/>
        </w:rPr>
      </w:pPr>
    </w:p>
    <w:p>
      <w:pPr>
        <w:pStyle w:val="BodyText"/>
        <w:ind w:left="775"/>
        <w:rPr>
          <w:rFonts w:ascii="Arial Narrow"/>
        </w:rPr>
      </w:pPr>
      <w:r>
        <w:rPr>
          <w:rFonts w:ascii="Arial Narrow"/>
        </w:rPr>
        <w:drawing>
          <wp:inline distT="0" distB="0" distL="0" distR="0">
            <wp:extent cx="5758493" cy="7824882"/>
            <wp:effectExtent l="0" t="0" r="0" b="0"/>
            <wp:docPr id="5" name="image24.png"/>
            <wp:cNvGraphicFramePr>
              <a:graphicFrameLocks noChangeAspect="1"/>
            </wp:cNvGraphicFramePr>
            <a:graphic>
              <a:graphicData uri="http://schemas.openxmlformats.org/drawingml/2006/picture">
                <pic:pic>
                  <pic:nvPicPr>
                    <pic:cNvPr id="6" name="image24.png"/>
                    <pic:cNvPicPr/>
                  </pic:nvPicPr>
                  <pic:blipFill>
                    <a:blip r:embed="rId45" cstate="print"/>
                    <a:stretch>
                      <a:fillRect/>
                    </a:stretch>
                  </pic:blipFill>
                  <pic:spPr>
                    <a:xfrm>
                      <a:off x="0" y="0"/>
                      <a:ext cx="5758493" cy="7824882"/>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rPr>
          <w:rFonts w:ascii="Arial Narrow"/>
          <w:b/>
          <w:sz w:val="12"/>
        </w:rPr>
      </w:pPr>
    </w:p>
    <w:p>
      <w:pPr>
        <w:pStyle w:val="BodyText"/>
        <w:ind w:left="846"/>
        <w:rPr>
          <w:rFonts w:ascii="Arial Narrow"/>
        </w:rPr>
      </w:pPr>
      <w:r>
        <w:rPr>
          <w:rFonts w:ascii="Arial Narrow"/>
        </w:rPr>
        <w:drawing>
          <wp:inline distT="0" distB="0" distL="0" distR="0">
            <wp:extent cx="6000955" cy="8135302"/>
            <wp:effectExtent l="0" t="0" r="0" b="0"/>
            <wp:docPr id="7" name="image25.jpeg"/>
            <wp:cNvGraphicFramePr>
              <a:graphicFrameLocks noChangeAspect="1"/>
            </wp:cNvGraphicFramePr>
            <a:graphic>
              <a:graphicData uri="http://schemas.openxmlformats.org/drawingml/2006/picture">
                <pic:pic>
                  <pic:nvPicPr>
                    <pic:cNvPr id="8" name="image25.jpeg"/>
                    <pic:cNvPicPr/>
                  </pic:nvPicPr>
                  <pic:blipFill>
                    <a:blip r:embed="rId46" cstate="print"/>
                    <a:stretch>
                      <a:fillRect/>
                    </a:stretch>
                  </pic:blipFill>
                  <pic:spPr>
                    <a:xfrm>
                      <a:off x="0" y="0"/>
                      <a:ext cx="6000955" cy="8135302"/>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spacing w:before="2"/>
        <w:rPr>
          <w:rFonts w:ascii="Arial Narrow"/>
          <w:b/>
          <w:sz w:val="12"/>
        </w:rPr>
      </w:pPr>
    </w:p>
    <w:p>
      <w:pPr>
        <w:pStyle w:val="BodyText"/>
        <w:ind w:left="1059"/>
        <w:rPr>
          <w:rFonts w:ascii="Arial Narrow"/>
        </w:rPr>
      </w:pPr>
      <w:r>
        <w:rPr>
          <w:rFonts w:ascii="Arial Narrow"/>
        </w:rPr>
        <w:drawing>
          <wp:inline distT="0" distB="0" distL="0" distR="0">
            <wp:extent cx="5899680" cy="8078724"/>
            <wp:effectExtent l="0" t="0" r="0" b="0"/>
            <wp:docPr id="9" name="image26.jpeg"/>
            <wp:cNvGraphicFramePr>
              <a:graphicFrameLocks noChangeAspect="1"/>
            </wp:cNvGraphicFramePr>
            <a:graphic>
              <a:graphicData uri="http://schemas.openxmlformats.org/drawingml/2006/picture">
                <pic:pic>
                  <pic:nvPicPr>
                    <pic:cNvPr id="10" name="image26.jpeg"/>
                    <pic:cNvPicPr/>
                  </pic:nvPicPr>
                  <pic:blipFill>
                    <a:blip r:embed="rId47" cstate="print"/>
                    <a:stretch>
                      <a:fillRect/>
                    </a:stretch>
                  </pic:blipFill>
                  <pic:spPr>
                    <a:xfrm>
                      <a:off x="0" y="0"/>
                      <a:ext cx="5899680" cy="8078724"/>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spacing w:before="1" w:after="1"/>
        <w:rPr>
          <w:rFonts w:ascii="Arial Narrow"/>
          <w:b/>
          <w:sz w:val="15"/>
        </w:rPr>
      </w:pPr>
    </w:p>
    <w:p>
      <w:pPr>
        <w:pStyle w:val="BodyText"/>
        <w:ind w:left="798"/>
        <w:rPr>
          <w:rFonts w:ascii="Arial Narrow"/>
        </w:rPr>
      </w:pPr>
      <w:r>
        <w:rPr>
          <w:rFonts w:ascii="Arial Narrow"/>
        </w:rPr>
        <w:drawing>
          <wp:inline distT="0" distB="0" distL="0" distR="0">
            <wp:extent cx="5856052" cy="8147304"/>
            <wp:effectExtent l="0" t="0" r="0" b="0"/>
            <wp:docPr id="11" name="image27.jpeg"/>
            <wp:cNvGraphicFramePr>
              <a:graphicFrameLocks noChangeAspect="1"/>
            </wp:cNvGraphicFramePr>
            <a:graphic>
              <a:graphicData uri="http://schemas.openxmlformats.org/drawingml/2006/picture">
                <pic:pic>
                  <pic:nvPicPr>
                    <pic:cNvPr id="12" name="image27.jpeg"/>
                    <pic:cNvPicPr/>
                  </pic:nvPicPr>
                  <pic:blipFill>
                    <a:blip r:embed="rId48" cstate="print"/>
                    <a:stretch>
                      <a:fillRect/>
                    </a:stretch>
                  </pic:blipFill>
                  <pic:spPr>
                    <a:xfrm>
                      <a:off x="0" y="0"/>
                      <a:ext cx="5856052" cy="8147304"/>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spacing w:before="9"/>
        <w:rPr>
          <w:rFonts w:ascii="Arial Narrow"/>
          <w:b/>
          <w:sz w:val="16"/>
        </w:rPr>
      </w:pPr>
    </w:p>
    <w:p>
      <w:pPr>
        <w:pStyle w:val="BodyText"/>
        <w:ind w:left="1077"/>
        <w:rPr>
          <w:rFonts w:ascii="Arial Narrow"/>
        </w:rPr>
      </w:pPr>
      <w:r>
        <w:rPr>
          <w:rFonts w:ascii="Arial Narrow"/>
        </w:rPr>
        <w:drawing>
          <wp:inline distT="0" distB="0" distL="0" distR="0">
            <wp:extent cx="5780867" cy="8005572"/>
            <wp:effectExtent l="0" t="0" r="0" b="0"/>
            <wp:docPr id="13" name="image28.png"/>
            <wp:cNvGraphicFramePr>
              <a:graphicFrameLocks noChangeAspect="1"/>
            </wp:cNvGraphicFramePr>
            <a:graphic>
              <a:graphicData uri="http://schemas.openxmlformats.org/drawingml/2006/picture">
                <pic:pic>
                  <pic:nvPicPr>
                    <pic:cNvPr id="14" name="image28.png"/>
                    <pic:cNvPicPr/>
                  </pic:nvPicPr>
                  <pic:blipFill>
                    <a:blip r:embed="rId49" cstate="print"/>
                    <a:stretch>
                      <a:fillRect/>
                    </a:stretch>
                  </pic:blipFill>
                  <pic:spPr>
                    <a:xfrm>
                      <a:off x="0" y="0"/>
                      <a:ext cx="5780867" cy="8005572"/>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p>
    <w:p>
      <w:pPr>
        <w:pStyle w:val="BodyText"/>
        <w:spacing w:before="10"/>
        <w:rPr>
          <w:rFonts w:ascii="Arial Narrow"/>
          <w:b/>
          <w:sz w:val="16"/>
        </w:rPr>
      </w:pPr>
    </w:p>
    <w:p>
      <w:pPr>
        <w:pStyle w:val="BodyText"/>
        <w:ind w:left="879"/>
        <w:rPr>
          <w:rFonts w:ascii="Arial Narrow"/>
        </w:rPr>
      </w:pPr>
      <w:r>
        <w:rPr>
          <w:rFonts w:ascii="Arial Narrow"/>
        </w:rPr>
        <w:drawing>
          <wp:inline distT="0" distB="0" distL="0" distR="0">
            <wp:extent cx="5798407" cy="6926389"/>
            <wp:effectExtent l="0" t="0" r="0" b="0"/>
            <wp:docPr id="15" name="image29.png"/>
            <wp:cNvGraphicFramePr>
              <a:graphicFrameLocks noChangeAspect="1"/>
            </wp:cNvGraphicFramePr>
            <a:graphic>
              <a:graphicData uri="http://schemas.openxmlformats.org/drawingml/2006/picture">
                <pic:pic>
                  <pic:nvPicPr>
                    <pic:cNvPr id="16" name="image29.png"/>
                    <pic:cNvPicPr/>
                  </pic:nvPicPr>
                  <pic:blipFill>
                    <a:blip r:embed="rId50" cstate="print"/>
                    <a:stretch>
                      <a:fillRect/>
                    </a:stretch>
                  </pic:blipFill>
                  <pic:spPr>
                    <a:xfrm>
                      <a:off x="0" y="0"/>
                      <a:ext cx="5798407" cy="6926389"/>
                    </a:xfrm>
                    <a:prstGeom prst="rect">
                      <a:avLst/>
                    </a:prstGeom>
                  </pic:spPr>
                </pic:pic>
              </a:graphicData>
            </a:graphic>
          </wp:inline>
        </w:drawing>
      </w:r>
      <w:r>
        <w:rPr>
          <w:rFonts w:ascii="Arial Narrow"/>
        </w:rPr>
      </w:r>
    </w:p>
    <w:p>
      <w:pPr>
        <w:spacing w:after="0"/>
        <w:rPr>
          <w:rFonts w:ascii="Arial Narrow"/>
        </w:rPr>
        <w:sectPr>
          <w:pgSz w:w="11910" w:h="16840"/>
          <w:pgMar w:header="1244" w:footer="1638" w:top="1500" w:bottom="1820" w:left="580" w:right="820"/>
        </w:sectPr>
      </w:pPr>
    </w:p>
    <w:p>
      <w:pPr>
        <w:pStyle w:val="BodyText"/>
        <w:rPr>
          <w:rFonts w:ascii="Arial Narrow"/>
          <w:b/>
        </w:rPr>
      </w:pPr>
      <w:r>
        <w:rPr/>
        <w:drawing>
          <wp:anchor distT="0" distB="0" distL="0" distR="0" allowOverlap="1" layoutInCell="1" locked="0" behindDoc="0" simplePos="0" relativeHeight="15820288">
            <wp:simplePos x="0" y="0"/>
            <wp:positionH relativeFrom="page">
              <wp:posOffset>828039</wp:posOffset>
            </wp:positionH>
            <wp:positionV relativeFrom="page">
              <wp:posOffset>1152143</wp:posOffset>
            </wp:positionV>
            <wp:extent cx="5906134" cy="8611616"/>
            <wp:effectExtent l="0" t="0" r="0" b="0"/>
            <wp:wrapNone/>
            <wp:docPr id="17" name="image30.jpeg"/>
            <wp:cNvGraphicFramePr>
              <a:graphicFrameLocks noChangeAspect="1"/>
            </wp:cNvGraphicFramePr>
            <a:graphic>
              <a:graphicData uri="http://schemas.openxmlformats.org/drawingml/2006/picture">
                <pic:pic>
                  <pic:nvPicPr>
                    <pic:cNvPr id="18" name="image30.jpeg"/>
                    <pic:cNvPicPr/>
                  </pic:nvPicPr>
                  <pic:blipFill>
                    <a:blip r:embed="rId54" cstate="print"/>
                    <a:stretch>
                      <a:fillRect/>
                    </a:stretch>
                  </pic:blipFill>
                  <pic:spPr>
                    <a:xfrm>
                      <a:off x="0" y="0"/>
                      <a:ext cx="5906134" cy="8611616"/>
                    </a:xfrm>
                    <a:prstGeom prst="rect">
                      <a:avLst/>
                    </a:prstGeom>
                  </pic:spPr>
                </pic:pic>
              </a:graphicData>
            </a:graphic>
          </wp:anchor>
        </w:drawing>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6"/>
        <w:rPr>
          <w:rFonts w:ascii="Arial Narrow"/>
          <w:b/>
          <w:sz w:val="26"/>
        </w:rPr>
      </w:pPr>
    </w:p>
    <w:p>
      <w:pPr>
        <w:spacing w:before="95"/>
        <w:ind w:left="1938" w:right="0" w:firstLine="0"/>
        <w:jc w:val="left"/>
        <w:rPr>
          <w:sz w:val="16"/>
        </w:rPr>
      </w:pPr>
      <w:r>
        <w:rPr>
          <w:sz w:val="16"/>
        </w:rPr>
        <w:t>TAX CHALLENGES ARISING FROM DIGITALISATION – REPORT ON PILLAR ONE BLUEPRINT © OECD 2020</w:t>
      </w:r>
    </w:p>
    <w:p>
      <w:pPr>
        <w:spacing w:after="0"/>
        <w:jc w:val="left"/>
        <w:rPr>
          <w:sz w:val="16"/>
        </w:rPr>
        <w:sectPr>
          <w:headerReference w:type="even" r:id="rId51"/>
          <w:headerReference w:type="default" r:id="rId52"/>
          <w:footerReference w:type="even" r:id="rId53"/>
          <w:pgSz w:w="11910" w:h="16840"/>
          <w:pgMar w:header="1244" w:footer="0" w:top="1500" w:bottom="280" w:left="580" w:right="820"/>
          <w:pgNumType w:start="220"/>
        </w:sectPr>
      </w:pPr>
    </w:p>
    <w:p>
      <w:pPr>
        <w:pStyle w:val="BodyText"/>
      </w:pPr>
    </w:p>
    <w:p>
      <w:pPr>
        <w:pStyle w:val="Heading3"/>
        <w:spacing w:line="261" w:lineRule="auto"/>
        <w:ind w:right="826"/>
      </w:pPr>
      <w:bookmarkStart w:name="Annex B. Approaches to implementing the " w:id="512"/>
      <w:bookmarkEnd w:id="512"/>
      <w:r>
        <w:rPr>
          <w:b w:val="0"/>
        </w:rPr>
      </w:r>
      <w:bookmarkStart w:name="_bookmark80" w:id="513"/>
      <w:bookmarkEnd w:id="513"/>
      <w:r>
        <w:rPr>
          <w:b w:val="0"/>
        </w:rPr>
      </w:r>
      <w:r>
        <w:rPr>
          <w:color w:val="4E81BD"/>
        </w:rPr>
        <w:t>Annex B. Approaches to implementing the Amount A formula</w:t>
      </w:r>
    </w:p>
    <w:p>
      <w:pPr>
        <w:pStyle w:val="BodyText"/>
        <w:rPr>
          <w:rFonts w:ascii="Arial Narrow"/>
          <w:b/>
          <w:sz w:val="54"/>
        </w:rPr>
      </w:pPr>
    </w:p>
    <w:p>
      <w:pPr>
        <w:pStyle w:val="BodyText"/>
        <w:spacing w:before="5"/>
        <w:rPr>
          <w:rFonts w:ascii="Arial Narrow"/>
          <w:b/>
          <w:sz w:val="76"/>
        </w:rPr>
      </w:pPr>
    </w:p>
    <w:p>
      <w:pPr>
        <w:pStyle w:val="ListParagraph"/>
        <w:numPr>
          <w:ilvl w:val="0"/>
          <w:numId w:val="13"/>
        </w:numPr>
        <w:tabs>
          <w:tab w:pos="1444" w:val="left" w:leader="none"/>
        </w:tabs>
        <w:spacing w:line="271" w:lineRule="auto" w:before="1" w:after="0"/>
        <w:ind w:left="723" w:right="482" w:firstLine="0"/>
        <w:jc w:val="both"/>
        <w:rPr>
          <w:sz w:val="20"/>
        </w:rPr>
      </w:pPr>
      <w:r>
        <w:rPr>
          <w:sz w:val="20"/>
        </w:rPr>
        <w:t>A</w:t>
      </w:r>
      <w:r>
        <w:rPr>
          <w:spacing w:val="-14"/>
          <w:sz w:val="20"/>
        </w:rPr>
        <w:t> </w:t>
      </w:r>
      <w:r>
        <w:rPr>
          <w:sz w:val="20"/>
        </w:rPr>
        <w:t>three-step</w:t>
      </w:r>
      <w:r>
        <w:rPr>
          <w:spacing w:val="-12"/>
          <w:sz w:val="20"/>
        </w:rPr>
        <w:t> </w:t>
      </w:r>
      <w:r>
        <w:rPr>
          <w:sz w:val="20"/>
        </w:rPr>
        <w:t>process</w:t>
      </w:r>
      <w:r>
        <w:rPr>
          <w:spacing w:val="-10"/>
          <w:sz w:val="20"/>
        </w:rPr>
        <w:t> </w:t>
      </w:r>
      <w:r>
        <w:rPr>
          <w:sz w:val="20"/>
        </w:rPr>
        <w:t>will</w:t>
      </w:r>
      <w:r>
        <w:rPr>
          <w:spacing w:val="-11"/>
          <w:sz w:val="20"/>
        </w:rPr>
        <w:t> </w:t>
      </w:r>
      <w:r>
        <w:rPr>
          <w:sz w:val="20"/>
        </w:rPr>
        <w:t>be</w:t>
      </w:r>
      <w:r>
        <w:rPr>
          <w:spacing w:val="-12"/>
          <w:sz w:val="20"/>
        </w:rPr>
        <w:t> </w:t>
      </w:r>
      <w:r>
        <w:rPr>
          <w:sz w:val="20"/>
        </w:rPr>
        <w:t>required</w:t>
      </w:r>
      <w:r>
        <w:rPr>
          <w:spacing w:val="-12"/>
          <w:sz w:val="20"/>
        </w:rPr>
        <w:t> </w:t>
      </w:r>
      <w:r>
        <w:rPr>
          <w:sz w:val="20"/>
        </w:rPr>
        <w:t>to</w:t>
      </w:r>
      <w:r>
        <w:rPr>
          <w:spacing w:val="-12"/>
          <w:sz w:val="20"/>
        </w:rPr>
        <w:t> </w:t>
      </w:r>
      <w:r>
        <w:rPr>
          <w:sz w:val="20"/>
        </w:rPr>
        <w:t>calculate</w:t>
      </w:r>
      <w:r>
        <w:rPr>
          <w:spacing w:val="-11"/>
          <w:sz w:val="20"/>
        </w:rPr>
        <w:t> </w:t>
      </w:r>
      <w:r>
        <w:rPr>
          <w:sz w:val="20"/>
        </w:rPr>
        <w:t>the</w:t>
      </w:r>
      <w:r>
        <w:rPr>
          <w:spacing w:val="-12"/>
          <w:sz w:val="20"/>
        </w:rPr>
        <w:t> </w:t>
      </w:r>
      <w:r>
        <w:rPr>
          <w:sz w:val="20"/>
        </w:rPr>
        <w:t>quantum</w:t>
      </w:r>
      <w:r>
        <w:rPr>
          <w:spacing w:val="-10"/>
          <w:sz w:val="20"/>
        </w:rPr>
        <w:t> </w:t>
      </w:r>
      <w:r>
        <w:rPr>
          <w:sz w:val="20"/>
        </w:rPr>
        <w:t>of</w:t>
      </w:r>
      <w:r>
        <w:rPr>
          <w:spacing w:val="-12"/>
          <w:sz w:val="20"/>
        </w:rPr>
        <w:t> </w:t>
      </w:r>
      <w:r>
        <w:rPr>
          <w:sz w:val="20"/>
        </w:rPr>
        <w:t>Amount</w:t>
      </w:r>
      <w:r>
        <w:rPr>
          <w:spacing w:val="-11"/>
          <w:sz w:val="20"/>
        </w:rPr>
        <w:t> </w:t>
      </w:r>
      <w:r>
        <w:rPr>
          <w:sz w:val="20"/>
        </w:rPr>
        <w:t>A</w:t>
      </w:r>
      <w:r>
        <w:rPr>
          <w:spacing w:val="-14"/>
          <w:sz w:val="20"/>
        </w:rPr>
        <w:t> </w:t>
      </w:r>
      <w:r>
        <w:rPr>
          <w:sz w:val="20"/>
        </w:rPr>
        <w:t>taxable</w:t>
      </w:r>
      <w:r>
        <w:rPr>
          <w:spacing w:val="-12"/>
          <w:sz w:val="20"/>
        </w:rPr>
        <w:t> </w:t>
      </w:r>
      <w:r>
        <w:rPr>
          <w:sz w:val="20"/>
        </w:rPr>
        <w:t>in</w:t>
      </w:r>
      <w:r>
        <w:rPr>
          <w:spacing w:val="-12"/>
          <w:sz w:val="20"/>
        </w:rPr>
        <w:t> </w:t>
      </w:r>
      <w:r>
        <w:rPr>
          <w:sz w:val="20"/>
        </w:rPr>
        <w:t>each</w:t>
      </w:r>
      <w:r>
        <w:rPr>
          <w:spacing w:val="-11"/>
          <w:sz w:val="20"/>
        </w:rPr>
        <w:t> </w:t>
      </w:r>
      <w:r>
        <w:rPr>
          <w:sz w:val="20"/>
        </w:rPr>
        <w:t>eligible market jurisdiction. This process could be implemented by either using absolute amounts of profit (the “profit-based approach”) or, alternatively, profit ratios (the “profit margin-based approach”). Both approaches would apply the above-described steps without changes or variations, and hence would provide the same quantum of Amount A taxable in each market jurisdiction. This identical outcome is illustrated</w:t>
      </w:r>
      <w:r>
        <w:rPr>
          <w:spacing w:val="-12"/>
          <w:sz w:val="20"/>
        </w:rPr>
        <w:t> </w:t>
      </w:r>
      <w:r>
        <w:rPr>
          <w:sz w:val="20"/>
        </w:rPr>
        <w:t>below</w:t>
      </w:r>
      <w:r>
        <w:rPr>
          <w:spacing w:val="-12"/>
          <w:sz w:val="20"/>
        </w:rPr>
        <w:t> </w:t>
      </w:r>
      <w:r>
        <w:rPr>
          <w:sz w:val="20"/>
        </w:rPr>
        <w:t>in</w:t>
      </w:r>
      <w:r>
        <w:rPr>
          <w:spacing w:val="-12"/>
          <w:sz w:val="20"/>
        </w:rPr>
        <w:t> </w:t>
      </w:r>
      <w:r>
        <w:rPr>
          <w:sz w:val="20"/>
        </w:rPr>
        <w:t>algebraic</w:t>
      </w:r>
      <w:r>
        <w:rPr>
          <w:spacing w:val="-9"/>
          <w:sz w:val="20"/>
        </w:rPr>
        <w:t> </w:t>
      </w:r>
      <w:r>
        <w:rPr>
          <w:sz w:val="20"/>
        </w:rPr>
        <w:t>form,</w:t>
      </w:r>
      <w:r>
        <w:rPr>
          <w:spacing w:val="-11"/>
          <w:sz w:val="20"/>
        </w:rPr>
        <w:t> </w:t>
      </w:r>
      <w:r>
        <w:rPr>
          <w:sz w:val="20"/>
        </w:rPr>
        <w:t>as</w:t>
      </w:r>
      <w:r>
        <w:rPr>
          <w:spacing w:val="-10"/>
          <w:sz w:val="20"/>
        </w:rPr>
        <w:t> </w:t>
      </w:r>
      <w:r>
        <w:rPr>
          <w:sz w:val="20"/>
        </w:rPr>
        <w:t>well</w:t>
      </w:r>
      <w:r>
        <w:rPr>
          <w:spacing w:val="-11"/>
          <w:sz w:val="20"/>
        </w:rPr>
        <w:t> </w:t>
      </w:r>
      <w:r>
        <w:rPr>
          <w:sz w:val="20"/>
        </w:rPr>
        <w:t>as</w:t>
      </w:r>
      <w:r>
        <w:rPr>
          <w:spacing w:val="-8"/>
          <w:sz w:val="20"/>
        </w:rPr>
        <w:t> </w:t>
      </w:r>
      <w:r>
        <w:rPr>
          <w:sz w:val="20"/>
        </w:rPr>
        <w:t>through</w:t>
      </w:r>
      <w:r>
        <w:rPr>
          <w:spacing w:val="-8"/>
          <w:sz w:val="20"/>
        </w:rPr>
        <w:t> </w:t>
      </w:r>
      <w:r>
        <w:rPr>
          <w:sz w:val="20"/>
        </w:rPr>
        <w:t>examples</w:t>
      </w:r>
      <w:r>
        <w:rPr>
          <w:spacing w:val="-10"/>
          <w:sz w:val="20"/>
        </w:rPr>
        <w:t> </w:t>
      </w:r>
      <w:r>
        <w:rPr>
          <w:sz w:val="20"/>
        </w:rPr>
        <w:t>in</w:t>
      </w:r>
      <w:r>
        <w:rPr>
          <w:spacing w:val="-9"/>
          <w:sz w:val="20"/>
        </w:rPr>
        <w:t> </w:t>
      </w:r>
      <w:r>
        <w:rPr>
          <w:sz w:val="20"/>
        </w:rPr>
        <w:t>Box</w:t>
      </w:r>
      <w:r>
        <w:rPr>
          <w:spacing w:val="-3"/>
          <w:sz w:val="20"/>
        </w:rPr>
        <w:t> </w:t>
      </w:r>
      <w:r>
        <w:rPr>
          <w:sz w:val="20"/>
        </w:rPr>
        <w:t>B.1.</w:t>
      </w:r>
      <w:r>
        <w:rPr>
          <w:spacing w:val="-10"/>
          <w:sz w:val="20"/>
        </w:rPr>
        <w:t> </w:t>
      </w:r>
      <w:r>
        <w:rPr>
          <w:sz w:val="20"/>
        </w:rPr>
        <w:t>and</w:t>
      </w:r>
      <w:r>
        <w:rPr>
          <w:spacing w:val="-9"/>
          <w:sz w:val="20"/>
        </w:rPr>
        <w:t> </w:t>
      </w:r>
      <w:r>
        <w:rPr>
          <w:sz w:val="20"/>
        </w:rPr>
        <w:t>B.2.</w:t>
      </w:r>
      <w:r>
        <w:rPr>
          <w:spacing w:val="-10"/>
          <w:sz w:val="20"/>
        </w:rPr>
        <w:t> </w:t>
      </w:r>
      <w:r>
        <w:rPr>
          <w:sz w:val="20"/>
        </w:rPr>
        <w:t>But</w:t>
      </w:r>
      <w:r>
        <w:rPr>
          <w:spacing w:val="-11"/>
          <w:sz w:val="20"/>
        </w:rPr>
        <w:t> </w:t>
      </w:r>
      <w:r>
        <w:rPr>
          <w:sz w:val="20"/>
        </w:rPr>
        <w:t>the</w:t>
      </w:r>
      <w:r>
        <w:rPr>
          <w:spacing w:val="-8"/>
          <w:sz w:val="20"/>
        </w:rPr>
        <w:t> </w:t>
      </w:r>
      <w:r>
        <w:rPr>
          <w:sz w:val="20"/>
        </w:rPr>
        <w:t>administration of</w:t>
      </w:r>
      <w:r>
        <w:rPr>
          <w:spacing w:val="-7"/>
          <w:sz w:val="20"/>
        </w:rPr>
        <w:t> </w:t>
      </w:r>
      <w:r>
        <w:rPr>
          <w:sz w:val="20"/>
        </w:rPr>
        <w:t>each</w:t>
      </w:r>
      <w:r>
        <w:rPr>
          <w:spacing w:val="-9"/>
          <w:sz w:val="20"/>
        </w:rPr>
        <w:t> </w:t>
      </w:r>
      <w:r>
        <w:rPr>
          <w:sz w:val="20"/>
        </w:rPr>
        <w:t>approach</w:t>
      </w:r>
      <w:r>
        <w:rPr>
          <w:spacing w:val="-9"/>
          <w:sz w:val="20"/>
        </w:rPr>
        <w:t> </w:t>
      </w:r>
      <w:r>
        <w:rPr>
          <w:sz w:val="20"/>
        </w:rPr>
        <w:t>may</w:t>
      </w:r>
      <w:r>
        <w:rPr>
          <w:spacing w:val="-14"/>
          <w:sz w:val="20"/>
        </w:rPr>
        <w:t> </w:t>
      </w:r>
      <w:r>
        <w:rPr>
          <w:sz w:val="20"/>
        </w:rPr>
        <w:t>present</w:t>
      </w:r>
      <w:r>
        <w:rPr>
          <w:spacing w:val="-9"/>
          <w:sz w:val="20"/>
        </w:rPr>
        <w:t> </w:t>
      </w:r>
      <w:r>
        <w:rPr>
          <w:sz w:val="20"/>
        </w:rPr>
        <w:t>some</w:t>
      </w:r>
      <w:r>
        <w:rPr>
          <w:spacing w:val="-9"/>
          <w:sz w:val="20"/>
        </w:rPr>
        <w:t> </w:t>
      </w:r>
      <w:r>
        <w:rPr>
          <w:sz w:val="20"/>
        </w:rPr>
        <w:t>variations,</w:t>
      </w:r>
      <w:r>
        <w:rPr>
          <w:spacing w:val="-8"/>
          <w:sz w:val="20"/>
        </w:rPr>
        <w:t> </w:t>
      </w:r>
      <w:r>
        <w:rPr>
          <w:sz w:val="20"/>
        </w:rPr>
        <w:t>and</w:t>
      </w:r>
      <w:r>
        <w:rPr>
          <w:spacing w:val="-9"/>
          <w:sz w:val="20"/>
        </w:rPr>
        <w:t> </w:t>
      </w:r>
      <w:r>
        <w:rPr>
          <w:sz w:val="20"/>
        </w:rPr>
        <w:t>these</w:t>
      </w:r>
      <w:r>
        <w:rPr>
          <w:spacing w:val="-9"/>
          <w:sz w:val="20"/>
        </w:rPr>
        <w:t> </w:t>
      </w:r>
      <w:r>
        <w:rPr>
          <w:sz w:val="20"/>
        </w:rPr>
        <w:t>differences</w:t>
      </w:r>
      <w:r>
        <w:rPr>
          <w:spacing w:val="-7"/>
          <w:sz w:val="20"/>
        </w:rPr>
        <w:t> </w:t>
      </w:r>
      <w:r>
        <w:rPr>
          <w:sz w:val="20"/>
        </w:rPr>
        <w:t>would</w:t>
      </w:r>
      <w:r>
        <w:rPr>
          <w:spacing w:val="-9"/>
          <w:sz w:val="20"/>
        </w:rPr>
        <w:t> </w:t>
      </w:r>
      <w:r>
        <w:rPr>
          <w:sz w:val="20"/>
        </w:rPr>
        <w:t>inform</w:t>
      </w:r>
      <w:r>
        <w:rPr>
          <w:spacing w:val="-7"/>
          <w:sz w:val="20"/>
        </w:rPr>
        <w:t> </w:t>
      </w:r>
      <w:r>
        <w:rPr>
          <w:sz w:val="20"/>
        </w:rPr>
        <w:t>the</w:t>
      </w:r>
      <w:r>
        <w:rPr>
          <w:spacing w:val="-9"/>
          <w:sz w:val="20"/>
        </w:rPr>
        <w:t> </w:t>
      </w:r>
      <w:r>
        <w:rPr>
          <w:sz w:val="20"/>
        </w:rPr>
        <w:t>choice</w:t>
      </w:r>
      <w:r>
        <w:rPr>
          <w:spacing w:val="-8"/>
          <w:sz w:val="20"/>
        </w:rPr>
        <w:t> </w:t>
      </w:r>
      <w:r>
        <w:rPr>
          <w:sz w:val="20"/>
        </w:rPr>
        <w:t>of</w:t>
      </w:r>
      <w:r>
        <w:rPr>
          <w:spacing w:val="-7"/>
          <w:sz w:val="20"/>
        </w:rPr>
        <w:t> </w:t>
      </w:r>
      <w:r>
        <w:rPr>
          <w:sz w:val="20"/>
        </w:rPr>
        <w:t>the</w:t>
      </w:r>
      <w:r>
        <w:rPr>
          <w:spacing w:val="-9"/>
          <w:sz w:val="20"/>
        </w:rPr>
        <w:t> </w:t>
      </w:r>
      <w:r>
        <w:rPr>
          <w:sz w:val="20"/>
        </w:rPr>
        <w:t>most appropriate approach to calculate and allocate Amount</w:t>
      </w:r>
      <w:r>
        <w:rPr>
          <w:spacing w:val="-5"/>
          <w:sz w:val="20"/>
        </w:rPr>
        <w:t> </w:t>
      </w:r>
      <w:r>
        <w:rPr>
          <w:sz w:val="20"/>
        </w:rPr>
        <w:t>A.</w:t>
      </w:r>
      <w:r>
        <w:rPr>
          <w:position w:val="6"/>
          <w:sz w:val="13"/>
        </w:rPr>
        <w:t>164</w:t>
      </w:r>
    </w:p>
    <w:p>
      <w:pPr>
        <w:spacing w:before="117"/>
        <w:ind w:left="1443" w:right="0" w:firstLine="0"/>
        <w:jc w:val="both"/>
        <w:rPr>
          <w:i/>
          <w:sz w:val="20"/>
        </w:rPr>
      </w:pPr>
      <w:r>
        <w:rPr>
          <w:i/>
          <w:sz w:val="20"/>
        </w:rPr>
        <w:t>Profit-based approach</w:t>
      </w:r>
    </w:p>
    <w:p>
      <w:pPr>
        <w:pStyle w:val="ListParagraph"/>
        <w:numPr>
          <w:ilvl w:val="0"/>
          <w:numId w:val="13"/>
        </w:numPr>
        <w:tabs>
          <w:tab w:pos="1444" w:val="left" w:leader="none"/>
        </w:tabs>
        <w:spacing w:line="271" w:lineRule="auto" w:before="154" w:after="0"/>
        <w:ind w:left="723" w:right="486" w:firstLine="0"/>
        <w:jc w:val="both"/>
        <w:rPr>
          <w:sz w:val="20"/>
        </w:rPr>
      </w:pPr>
      <w:r>
        <w:rPr>
          <w:sz w:val="20"/>
        </w:rPr>
        <w:t>Consistent with the three steps described above, the profit-based approach can be described in algebraic form as</w:t>
      </w:r>
      <w:r>
        <w:rPr>
          <w:spacing w:val="3"/>
          <w:sz w:val="20"/>
        </w:rPr>
        <w:t> </w:t>
      </w:r>
      <w:r>
        <w:rPr>
          <w:sz w:val="20"/>
        </w:rPr>
        <w:t>follows.</w:t>
      </w:r>
      <w:r>
        <w:rPr>
          <w:position w:val="6"/>
          <w:sz w:val="13"/>
        </w:rPr>
        <w:t>165</w:t>
      </w:r>
    </w:p>
    <w:p>
      <w:pPr>
        <w:pStyle w:val="ListParagraph"/>
        <w:numPr>
          <w:ilvl w:val="1"/>
          <w:numId w:val="13"/>
        </w:numPr>
        <w:tabs>
          <w:tab w:pos="1785" w:val="left" w:leader="none"/>
        </w:tabs>
        <w:spacing w:line="271" w:lineRule="auto" w:before="103" w:after="0"/>
        <w:ind w:left="1784" w:right="484" w:hanging="360"/>
        <w:jc w:val="both"/>
        <w:rPr>
          <w:sz w:val="13"/>
        </w:rPr>
      </w:pPr>
      <w:r>
        <w:rPr>
          <w:b/>
          <w:sz w:val="20"/>
        </w:rPr>
        <w:t>Step</w:t>
      </w:r>
      <w:r>
        <w:rPr>
          <w:b/>
          <w:spacing w:val="-14"/>
          <w:sz w:val="20"/>
        </w:rPr>
        <w:t> </w:t>
      </w:r>
      <w:r>
        <w:rPr>
          <w:b/>
          <w:sz w:val="20"/>
        </w:rPr>
        <w:t>1:</w:t>
      </w:r>
      <w:r>
        <w:rPr>
          <w:b/>
          <w:spacing w:val="-13"/>
          <w:sz w:val="20"/>
        </w:rPr>
        <w:t> </w:t>
      </w:r>
      <w:r>
        <w:rPr>
          <w:sz w:val="20"/>
        </w:rPr>
        <w:t>Isolate</w:t>
      </w:r>
      <w:r>
        <w:rPr>
          <w:spacing w:val="-13"/>
          <w:sz w:val="20"/>
        </w:rPr>
        <w:t> </w:t>
      </w:r>
      <w:r>
        <w:rPr>
          <w:sz w:val="20"/>
        </w:rPr>
        <w:t>the</w:t>
      </w:r>
      <w:r>
        <w:rPr>
          <w:spacing w:val="-14"/>
          <w:sz w:val="20"/>
        </w:rPr>
        <w:t> </w:t>
      </w:r>
      <w:r>
        <w:rPr>
          <w:sz w:val="20"/>
        </w:rPr>
        <w:t>residual</w:t>
      </w:r>
      <w:r>
        <w:rPr>
          <w:spacing w:val="-13"/>
          <w:sz w:val="20"/>
        </w:rPr>
        <w:t> </w:t>
      </w:r>
      <w:r>
        <w:rPr>
          <w:sz w:val="20"/>
        </w:rPr>
        <w:t>profit</w:t>
      </w:r>
      <w:r>
        <w:rPr>
          <w:spacing w:val="-14"/>
          <w:sz w:val="20"/>
        </w:rPr>
        <w:t> </w:t>
      </w:r>
      <w:r>
        <w:rPr>
          <w:sz w:val="20"/>
        </w:rPr>
        <w:t>(if</w:t>
      </w:r>
      <w:r>
        <w:rPr>
          <w:spacing w:val="-12"/>
          <w:sz w:val="20"/>
        </w:rPr>
        <w:t> </w:t>
      </w:r>
      <w:r>
        <w:rPr>
          <w:sz w:val="20"/>
        </w:rPr>
        <w:t>any)</w:t>
      </w:r>
      <w:r>
        <w:rPr>
          <w:spacing w:val="-13"/>
          <w:sz w:val="20"/>
        </w:rPr>
        <w:t> </w:t>
      </w:r>
      <w:r>
        <w:rPr>
          <w:sz w:val="20"/>
        </w:rPr>
        <w:t>by</w:t>
      </w:r>
      <w:r>
        <w:rPr>
          <w:spacing w:val="-15"/>
          <w:sz w:val="20"/>
        </w:rPr>
        <w:t> </w:t>
      </w:r>
      <w:r>
        <w:rPr>
          <w:sz w:val="20"/>
        </w:rPr>
        <w:t>excluding</w:t>
      </w:r>
      <w:r>
        <w:rPr>
          <w:spacing w:val="-13"/>
          <w:sz w:val="20"/>
        </w:rPr>
        <w:t> </w:t>
      </w:r>
      <w:r>
        <w:rPr>
          <w:sz w:val="20"/>
        </w:rPr>
        <w:t>the</w:t>
      </w:r>
      <w:r>
        <w:rPr>
          <w:spacing w:val="-14"/>
          <w:sz w:val="20"/>
        </w:rPr>
        <w:t> </w:t>
      </w:r>
      <w:r>
        <w:rPr>
          <w:sz w:val="20"/>
        </w:rPr>
        <w:t>profit</w:t>
      </w:r>
      <w:r>
        <w:rPr>
          <w:spacing w:val="-15"/>
          <w:sz w:val="20"/>
        </w:rPr>
        <w:t> </w:t>
      </w:r>
      <w:r>
        <w:rPr>
          <w:sz w:val="20"/>
        </w:rPr>
        <w:t>of</w:t>
      </w:r>
      <w:r>
        <w:rPr>
          <w:spacing w:val="-12"/>
          <w:sz w:val="20"/>
        </w:rPr>
        <w:t> </w:t>
      </w:r>
      <w:r>
        <w:rPr>
          <w:sz w:val="20"/>
        </w:rPr>
        <w:t>the</w:t>
      </w:r>
      <w:r>
        <w:rPr>
          <w:spacing w:val="-13"/>
          <w:sz w:val="20"/>
        </w:rPr>
        <w:t> </w:t>
      </w:r>
      <w:r>
        <w:rPr>
          <w:sz w:val="20"/>
        </w:rPr>
        <w:t>group</w:t>
      </w:r>
      <w:r>
        <w:rPr>
          <w:spacing w:val="-12"/>
          <w:sz w:val="20"/>
        </w:rPr>
        <w:t> </w:t>
      </w:r>
      <w:r>
        <w:rPr>
          <w:sz w:val="20"/>
        </w:rPr>
        <w:t>or,</w:t>
      </w:r>
      <w:r>
        <w:rPr>
          <w:spacing w:val="-12"/>
          <w:sz w:val="20"/>
        </w:rPr>
        <w:t> </w:t>
      </w:r>
      <w:r>
        <w:rPr>
          <w:sz w:val="20"/>
        </w:rPr>
        <w:t>where</w:t>
      </w:r>
      <w:r>
        <w:rPr>
          <w:spacing w:val="-14"/>
          <w:sz w:val="20"/>
        </w:rPr>
        <w:t> </w:t>
      </w:r>
      <w:r>
        <w:rPr>
          <w:sz w:val="20"/>
        </w:rPr>
        <w:t>relevant, the segment that does not exceed an agreed level of profitability, e.g. a percentage of PBT to revenue (“z”). Assuming that the Amount A tax base for the relevant group or segment is “P”, revenues of the group or segment are “R”, and the profit margin of the group or segment is “P/R”, this means that Amount A applies only if “P/R” is greater than z%, and that a positive residual profit </w:t>
      </w:r>
      <w:r>
        <w:rPr>
          <w:spacing w:val="2"/>
          <w:sz w:val="20"/>
        </w:rPr>
        <w:t>“W” </w:t>
      </w:r>
      <w:r>
        <w:rPr>
          <w:sz w:val="20"/>
        </w:rPr>
        <w:t>can be calculated</w:t>
      </w:r>
      <w:r>
        <w:rPr>
          <w:spacing w:val="-15"/>
          <w:sz w:val="20"/>
        </w:rPr>
        <w:t> </w:t>
      </w:r>
      <w:r>
        <w:rPr>
          <w:sz w:val="20"/>
        </w:rPr>
        <w:t>as:</w:t>
      </w:r>
      <w:r>
        <w:rPr>
          <w:position w:val="6"/>
          <w:sz w:val="13"/>
        </w:rPr>
        <w:t>166</w:t>
      </w:r>
    </w:p>
    <w:p>
      <w:pPr>
        <w:pStyle w:val="BodyText"/>
        <w:spacing w:before="115"/>
        <w:ind w:left="1386" w:right="1148"/>
        <w:jc w:val="center"/>
        <w:rPr>
          <w:rFonts w:ascii="Cambria Math" w:hAnsi="Cambria Math" w:eastAsia="Cambria Math"/>
        </w:rPr>
      </w:pPr>
      <w:r>
        <w:rPr>
          <w:rFonts w:ascii="Cambria Math" w:hAnsi="Cambria Math" w:eastAsia="Cambria Math"/>
        </w:rPr>
        <w:t>𝑊   = 𝑃 −  (𝑅 × 𝑧)</w:t>
      </w:r>
    </w:p>
    <w:p>
      <w:pPr>
        <w:pStyle w:val="ListParagraph"/>
        <w:numPr>
          <w:ilvl w:val="1"/>
          <w:numId w:val="13"/>
        </w:numPr>
        <w:tabs>
          <w:tab w:pos="1785" w:val="left" w:leader="none"/>
        </w:tabs>
        <w:spacing w:line="271" w:lineRule="auto" w:before="136" w:after="0"/>
        <w:ind w:left="1784" w:right="486" w:hanging="360"/>
        <w:jc w:val="both"/>
        <w:rPr>
          <w:sz w:val="20"/>
        </w:rPr>
      </w:pPr>
      <w:r>
        <w:rPr>
          <w:b/>
          <w:sz w:val="20"/>
        </w:rPr>
        <w:t>Step 2: </w:t>
      </w:r>
      <w:r>
        <w:rPr>
          <w:sz w:val="20"/>
        </w:rPr>
        <w:t>Separate </w:t>
      </w:r>
      <w:r>
        <w:rPr>
          <w:spacing w:val="2"/>
          <w:sz w:val="20"/>
        </w:rPr>
        <w:t>“W” </w:t>
      </w:r>
      <w:r>
        <w:rPr>
          <w:sz w:val="20"/>
        </w:rPr>
        <w:t>between the portion of residual profits attributable to Amount A (the allocable tax base, “A”) and other factors (“X”). Where W = A + X. If the agreed portion of residual profit attributable to Amount A is, for example, a percentage (“y”), then “A” can be calculated as:</w:t>
      </w:r>
    </w:p>
    <w:p>
      <w:pPr>
        <w:pStyle w:val="BodyText"/>
        <w:spacing w:before="114"/>
        <w:ind w:left="1386" w:right="1155"/>
        <w:jc w:val="center"/>
        <w:rPr>
          <w:rFonts w:ascii="Cambria Math" w:hAnsi="Cambria Math" w:eastAsia="Cambria Math"/>
        </w:rPr>
      </w:pPr>
      <w:r>
        <w:rPr>
          <w:rFonts w:ascii="Cambria Math" w:hAnsi="Cambria Math" w:eastAsia="Cambria Math"/>
        </w:rPr>
        <w:t>𝐴 = 𝑦 × 𝑊</w:t>
      </w:r>
    </w:p>
    <w:p>
      <w:pPr>
        <w:pStyle w:val="BodyText"/>
        <w:rPr>
          <w:rFonts w:ascii="Cambria Math"/>
        </w:rPr>
      </w:pPr>
    </w:p>
    <w:p>
      <w:pPr>
        <w:pStyle w:val="BodyText"/>
        <w:spacing w:before="5"/>
        <w:rPr>
          <w:rFonts w:ascii="Cambria Math"/>
          <w:sz w:val="24"/>
        </w:rPr>
      </w:pPr>
      <w:r>
        <w:rPr/>
        <w:pict>
          <v:rect style="position:absolute;margin-left:65.183998pt;margin-top:16.307755pt;width:144.020004pt;height:.60004pt;mso-position-horizontal-relative:page;mso-position-vertical-relative:paragraph;z-index:-15636480;mso-wrap-distance-left:0;mso-wrap-distance-right:0" filled="true" fillcolor="#000000" stroked="false">
            <v:fill type="solid"/>
            <w10:wrap type="topAndBottom"/>
          </v:rect>
        </w:pict>
      </w:r>
    </w:p>
    <w:p>
      <w:pPr>
        <w:pStyle w:val="BodyText"/>
        <w:spacing w:before="1"/>
        <w:rPr>
          <w:rFonts w:ascii="Cambria Math"/>
          <w:sz w:val="16"/>
        </w:rPr>
      </w:pPr>
    </w:p>
    <w:p>
      <w:pPr>
        <w:pStyle w:val="ListParagraph"/>
        <w:numPr>
          <w:ilvl w:val="0"/>
          <w:numId w:val="82"/>
        </w:numPr>
        <w:tabs>
          <w:tab w:pos="1007" w:val="left" w:leader="none"/>
        </w:tabs>
        <w:spacing w:line="278" w:lineRule="auto" w:before="94" w:after="0"/>
        <w:ind w:left="723" w:right="484" w:firstLine="0"/>
        <w:jc w:val="both"/>
        <w:rPr>
          <w:sz w:val="18"/>
        </w:rPr>
      </w:pPr>
      <w:r>
        <w:rPr>
          <w:sz w:val="18"/>
        </w:rPr>
        <w:t>In practice, some variances may arise for the implementation and administration of each approach. For example, using profit margins instead of profit amounts may limit the scope and relevance of some currency exchange issues (i.e. timing and determination of the appropriate conversion rate), to the extent that the locally sourced revenue is booked in the currency of the market jurisdiction (e.g. multiplying local revenue by a profit margin would not involve any currency exchange). These practical differences will be considered as part of the work on implementation and administration</w:t>
      </w:r>
      <w:r>
        <w:rPr>
          <w:spacing w:val="-14"/>
          <w:sz w:val="18"/>
        </w:rPr>
        <w:t> </w:t>
      </w:r>
      <w:r>
        <w:rPr>
          <w:sz w:val="18"/>
        </w:rPr>
        <w:t>of</w:t>
      </w:r>
      <w:r>
        <w:rPr>
          <w:spacing w:val="-14"/>
          <w:sz w:val="18"/>
        </w:rPr>
        <w:t> </w:t>
      </w:r>
      <w:r>
        <w:rPr>
          <w:sz w:val="18"/>
        </w:rPr>
        <w:t>Amount</w:t>
      </w:r>
      <w:r>
        <w:rPr>
          <w:spacing w:val="-14"/>
          <w:sz w:val="18"/>
        </w:rPr>
        <w:t> </w:t>
      </w:r>
      <w:r>
        <w:rPr>
          <w:sz w:val="18"/>
        </w:rPr>
        <w:t>A,</w:t>
      </w:r>
      <w:r>
        <w:rPr>
          <w:spacing w:val="-15"/>
          <w:sz w:val="18"/>
        </w:rPr>
        <w:t> </w:t>
      </w:r>
      <w:r>
        <w:rPr>
          <w:sz w:val="18"/>
        </w:rPr>
        <w:t>especially</w:t>
      </w:r>
      <w:r>
        <w:rPr>
          <w:spacing w:val="-13"/>
          <w:sz w:val="18"/>
        </w:rPr>
        <w:t> </w:t>
      </w:r>
      <w:r>
        <w:rPr>
          <w:sz w:val="18"/>
        </w:rPr>
        <w:t>when</w:t>
      </w:r>
      <w:r>
        <w:rPr>
          <w:spacing w:val="-13"/>
          <w:sz w:val="18"/>
        </w:rPr>
        <w:t> </w:t>
      </w:r>
      <w:r>
        <w:rPr>
          <w:sz w:val="18"/>
        </w:rPr>
        <w:t>designing</w:t>
      </w:r>
      <w:r>
        <w:rPr>
          <w:spacing w:val="-13"/>
          <w:sz w:val="18"/>
        </w:rPr>
        <w:t> </w:t>
      </w:r>
      <w:r>
        <w:rPr>
          <w:sz w:val="18"/>
        </w:rPr>
        <w:t>a</w:t>
      </w:r>
      <w:r>
        <w:rPr>
          <w:spacing w:val="-14"/>
          <w:sz w:val="18"/>
        </w:rPr>
        <w:t> </w:t>
      </w:r>
      <w:r>
        <w:rPr>
          <w:sz w:val="18"/>
        </w:rPr>
        <w:t>simplified</w:t>
      </w:r>
      <w:r>
        <w:rPr>
          <w:spacing w:val="-14"/>
          <w:sz w:val="18"/>
        </w:rPr>
        <w:t> </w:t>
      </w:r>
      <w:r>
        <w:rPr>
          <w:sz w:val="18"/>
        </w:rPr>
        <w:t>administration</w:t>
      </w:r>
      <w:r>
        <w:rPr>
          <w:spacing w:val="-13"/>
          <w:sz w:val="18"/>
        </w:rPr>
        <w:t> </w:t>
      </w:r>
      <w:r>
        <w:rPr>
          <w:sz w:val="18"/>
        </w:rPr>
        <w:t>system</w:t>
      </w:r>
      <w:r>
        <w:rPr>
          <w:spacing w:val="-14"/>
          <w:sz w:val="18"/>
        </w:rPr>
        <w:t> </w:t>
      </w:r>
      <w:r>
        <w:rPr>
          <w:sz w:val="18"/>
        </w:rPr>
        <w:t>to</w:t>
      </w:r>
      <w:r>
        <w:rPr>
          <w:spacing w:val="-15"/>
          <w:sz w:val="18"/>
        </w:rPr>
        <w:t> </w:t>
      </w:r>
      <w:r>
        <w:rPr>
          <w:sz w:val="18"/>
        </w:rPr>
        <w:t>centralise</w:t>
      </w:r>
      <w:r>
        <w:rPr>
          <w:spacing w:val="-13"/>
          <w:sz w:val="18"/>
        </w:rPr>
        <w:t> </w:t>
      </w:r>
      <w:r>
        <w:rPr>
          <w:sz w:val="18"/>
        </w:rPr>
        <w:t>the</w:t>
      </w:r>
      <w:r>
        <w:rPr>
          <w:spacing w:val="-13"/>
          <w:sz w:val="18"/>
        </w:rPr>
        <w:t> </w:t>
      </w:r>
      <w:r>
        <w:rPr>
          <w:sz w:val="18"/>
        </w:rPr>
        <w:t>computation and compliance of Amount A (see below Chapter </w:t>
      </w:r>
      <w:hyperlink w:history="true" w:anchor="_bookmark72">
        <w:r>
          <w:rPr>
            <w:sz w:val="18"/>
          </w:rPr>
          <w:t>10.</w:t>
        </w:r>
        <w:r>
          <w:rPr>
            <w:spacing w:val="-7"/>
            <w:sz w:val="18"/>
          </w:rPr>
          <w:t> </w:t>
        </w:r>
      </w:hyperlink>
      <w:r>
        <w:rPr>
          <w:sz w:val="18"/>
        </w:rPr>
        <w:t>).</w:t>
      </w:r>
    </w:p>
    <w:p>
      <w:pPr>
        <w:pStyle w:val="ListParagraph"/>
        <w:numPr>
          <w:ilvl w:val="0"/>
          <w:numId w:val="82"/>
        </w:numPr>
        <w:tabs>
          <w:tab w:pos="1022" w:val="left" w:leader="none"/>
        </w:tabs>
        <w:spacing w:line="278" w:lineRule="auto" w:before="77" w:after="0"/>
        <w:ind w:left="723" w:right="483" w:firstLine="0"/>
        <w:jc w:val="both"/>
        <w:rPr>
          <w:sz w:val="18"/>
        </w:rPr>
      </w:pPr>
      <w:r>
        <w:rPr>
          <w:sz w:val="18"/>
        </w:rPr>
        <w:t>To facilitate the illustration, the calculation assumes that all the revenue of the MNE group (or segment where relevant) falls in the scope of Amount A (see section</w:t>
      </w:r>
      <w:r>
        <w:rPr>
          <w:spacing w:val="-4"/>
          <w:sz w:val="18"/>
        </w:rPr>
        <w:t> </w:t>
      </w:r>
      <w:hyperlink w:history="true" w:anchor="_bookmark8">
        <w:r>
          <w:rPr>
            <w:sz w:val="18"/>
          </w:rPr>
          <w:t>2.2</w:t>
        </w:r>
      </w:hyperlink>
      <w:r>
        <w:rPr>
          <w:sz w:val="18"/>
        </w:rPr>
        <w:t>).</w:t>
      </w:r>
    </w:p>
    <w:p>
      <w:pPr>
        <w:pStyle w:val="ListParagraph"/>
        <w:numPr>
          <w:ilvl w:val="0"/>
          <w:numId w:val="82"/>
        </w:numPr>
        <w:tabs>
          <w:tab w:pos="1005" w:val="left" w:leader="none"/>
        </w:tabs>
        <w:spacing w:line="240" w:lineRule="auto" w:before="78" w:after="0"/>
        <w:ind w:left="1004" w:right="0" w:hanging="282"/>
        <w:jc w:val="both"/>
        <w:rPr>
          <w:sz w:val="18"/>
        </w:rPr>
      </w:pPr>
      <w:r>
        <w:rPr>
          <w:sz w:val="18"/>
        </w:rPr>
        <w:t>As there can be no negative residual profit (W), this calculation could also be expressed as W = Max(P-R*z,</w:t>
      </w:r>
      <w:r>
        <w:rPr>
          <w:spacing w:val="-26"/>
          <w:sz w:val="18"/>
        </w:rPr>
        <w:t> </w:t>
      </w:r>
      <w:r>
        <w:rPr>
          <w:sz w:val="18"/>
        </w:rPr>
        <w:t>0).</w:t>
      </w:r>
    </w:p>
    <w:p>
      <w:pPr>
        <w:spacing w:after="0" w:line="240" w:lineRule="auto"/>
        <w:jc w:val="both"/>
        <w:rPr>
          <w:sz w:val="18"/>
        </w:rPr>
        <w:sectPr>
          <w:headerReference w:type="default" r:id="rId55"/>
          <w:headerReference w:type="even" r:id="rId56"/>
          <w:footerReference w:type="default" r:id="rId57"/>
          <w:footerReference w:type="even" r:id="rId58"/>
          <w:pgSz w:w="11910" w:h="16840"/>
          <w:pgMar w:header="1244" w:footer="1638" w:top="1500" w:bottom="1820" w:left="580" w:right="820"/>
          <w:pgNumType w:start="221"/>
        </w:sectPr>
      </w:pPr>
    </w:p>
    <w:p>
      <w:pPr>
        <w:pStyle w:val="BodyText"/>
        <w:spacing w:before="6"/>
        <w:rPr>
          <w:sz w:val="18"/>
        </w:rPr>
      </w:pPr>
    </w:p>
    <w:p>
      <w:pPr>
        <w:pStyle w:val="ListParagraph"/>
        <w:numPr>
          <w:ilvl w:val="0"/>
          <w:numId w:val="88"/>
        </w:numPr>
        <w:tabs>
          <w:tab w:pos="1785" w:val="left" w:leader="none"/>
        </w:tabs>
        <w:spacing w:line="271" w:lineRule="auto" w:before="99" w:after="0"/>
        <w:ind w:left="1784" w:right="480" w:hanging="360"/>
        <w:jc w:val="both"/>
        <w:rPr>
          <w:sz w:val="20"/>
        </w:rPr>
      </w:pPr>
      <w:r>
        <w:rPr>
          <w:b/>
          <w:sz w:val="20"/>
        </w:rPr>
        <w:t>Step</w:t>
      </w:r>
      <w:r>
        <w:rPr>
          <w:b/>
          <w:spacing w:val="-6"/>
          <w:sz w:val="20"/>
        </w:rPr>
        <w:t> </w:t>
      </w:r>
      <w:r>
        <w:rPr>
          <w:b/>
          <w:sz w:val="20"/>
        </w:rPr>
        <w:t>3</w:t>
      </w:r>
      <w:r>
        <w:rPr>
          <w:sz w:val="20"/>
        </w:rPr>
        <w:t>:</w:t>
      </w:r>
      <w:r>
        <w:rPr>
          <w:spacing w:val="-6"/>
          <w:sz w:val="20"/>
        </w:rPr>
        <w:t> </w:t>
      </w:r>
      <w:r>
        <w:rPr>
          <w:sz w:val="20"/>
        </w:rPr>
        <w:t>Distribute</w:t>
      </w:r>
      <w:r>
        <w:rPr>
          <w:spacing w:val="-6"/>
          <w:sz w:val="20"/>
        </w:rPr>
        <w:t> </w:t>
      </w:r>
      <w:r>
        <w:rPr>
          <w:sz w:val="20"/>
        </w:rPr>
        <w:t>the</w:t>
      </w:r>
      <w:r>
        <w:rPr>
          <w:spacing w:val="-7"/>
          <w:sz w:val="20"/>
        </w:rPr>
        <w:t> </w:t>
      </w:r>
      <w:r>
        <w:rPr>
          <w:sz w:val="20"/>
        </w:rPr>
        <w:t>allocable</w:t>
      </w:r>
      <w:r>
        <w:rPr>
          <w:spacing w:val="-7"/>
          <w:sz w:val="20"/>
        </w:rPr>
        <w:t> </w:t>
      </w:r>
      <w:r>
        <w:rPr>
          <w:sz w:val="20"/>
        </w:rPr>
        <w:t>tax</w:t>
      </w:r>
      <w:r>
        <w:rPr>
          <w:spacing w:val="-5"/>
          <w:sz w:val="20"/>
        </w:rPr>
        <w:t> </w:t>
      </w:r>
      <w:r>
        <w:rPr>
          <w:sz w:val="20"/>
        </w:rPr>
        <w:t>base</w:t>
      </w:r>
      <w:r>
        <w:rPr>
          <w:spacing w:val="-7"/>
          <w:sz w:val="20"/>
        </w:rPr>
        <w:t> </w:t>
      </w:r>
      <w:r>
        <w:rPr>
          <w:sz w:val="20"/>
        </w:rPr>
        <w:t>“A”</w:t>
      </w:r>
      <w:r>
        <w:rPr>
          <w:spacing w:val="-6"/>
          <w:sz w:val="20"/>
        </w:rPr>
        <w:t> </w:t>
      </w:r>
      <w:r>
        <w:rPr>
          <w:sz w:val="20"/>
        </w:rPr>
        <w:t>among</w:t>
      </w:r>
      <w:r>
        <w:rPr>
          <w:spacing w:val="-6"/>
          <w:sz w:val="20"/>
        </w:rPr>
        <w:t> </w:t>
      </w:r>
      <w:r>
        <w:rPr>
          <w:sz w:val="20"/>
        </w:rPr>
        <w:t>the</w:t>
      </w:r>
      <w:r>
        <w:rPr>
          <w:spacing w:val="-4"/>
          <w:sz w:val="20"/>
        </w:rPr>
        <w:t> </w:t>
      </w:r>
      <w:r>
        <w:rPr>
          <w:sz w:val="20"/>
        </w:rPr>
        <w:t>market</w:t>
      </w:r>
      <w:r>
        <w:rPr>
          <w:spacing w:val="-9"/>
          <w:sz w:val="20"/>
        </w:rPr>
        <w:t> </w:t>
      </w:r>
      <w:r>
        <w:rPr>
          <w:sz w:val="20"/>
        </w:rPr>
        <w:t>jurisdictions</w:t>
      </w:r>
      <w:r>
        <w:rPr>
          <w:spacing w:val="-4"/>
          <w:sz w:val="20"/>
        </w:rPr>
        <w:t> </w:t>
      </w:r>
      <w:r>
        <w:rPr>
          <w:sz w:val="20"/>
        </w:rPr>
        <w:t>that</w:t>
      </w:r>
      <w:r>
        <w:rPr>
          <w:spacing w:val="-7"/>
          <w:sz w:val="20"/>
        </w:rPr>
        <w:t> </w:t>
      </w:r>
      <w:r>
        <w:rPr>
          <w:sz w:val="20"/>
        </w:rPr>
        <w:t>meet</w:t>
      </w:r>
      <w:r>
        <w:rPr>
          <w:spacing w:val="-6"/>
          <w:sz w:val="20"/>
        </w:rPr>
        <w:t> </w:t>
      </w:r>
      <w:r>
        <w:rPr>
          <w:sz w:val="20"/>
        </w:rPr>
        <w:t>the</w:t>
      </w:r>
      <w:r>
        <w:rPr>
          <w:spacing w:val="-3"/>
          <w:sz w:val="20"/>
        </w:rPr>
        <w:t> </w:t>
      </w:r>
      <w:r>
        <w:rPr>
          <w:sz w:val="20"/>
        </w:rPr>
        <w:t>new nexus</w:t>
      </w:r>
      <w:r>
        <w:rPr>
          <w:spacing w:val="-3"/>
          <w:sz w:val="20"/>
        </w:rPr>
        <w:t> </w:t>
      </w:r>
      <w:r>
        <w:rPr>
          <w:sz w:val="20"/>
        </w:rPr>
        <w:t>threshold.</w:t>
      </w:r>
      <w:r>
        <w:rPr>
          <w:spacing w:val="-5"/>
          <w:sz w:val="20"/>
        </w:rPr>
        <w:t> </w:t>
      </w:r>
      <w:r>
        <w:rPr>
          <w:sz w:val="20"/>
        </w:rPr>
        <w:t>This</w:t>
      </w:r>
      <w:r>
        <w:rPr>
          <w:spacing w:val="-1"/>
          <w:sz w:val="20"/>
        </w:rPr>
        <w:t> </w:t>
      </w:r>
      <w:r>
        <w:rPr>
          <w:sz w:val="20"/>
        </w:rPr>
        <w:t>would</w:t>
      </w:r>
      <w:r>
        <w:rPr>
          <w:spacing w:val="-4"/>
          <w:sz w:val="20"/>
        </w:rPr>
        <w:t> </w:t>
      </w:r>
      <w:r>
        <w:rPr>
          <w:sz w:val="20"/>
        </w:rPr>
        <w:t>be</w:t>
      </w:r>
      <w:r>
        <w:rPr>
          <w:spacing w:val="-4"/>
          <w:sz w:val="20"/>
        </w:rPr>
        <w:t> </w:t>
      </w:r>
      <w:r>
        <w:rPr>
          <w:sz w:val="20"/>
        </w:rPr>
        <w:t>done</w:t>
      </w:r>
      <w:r>
        <w:rPr>
          <w:spacing w:val="-5"/>
          <w:sz w:val="20"/>
        </w:rPr>
        <w:t> </w:t>
      </w:r>
      <w:r>
        <w:rPr>
          <w:sz w:val="20"/>
        </w:rPr>
        <w:t>through</w:t>
      </w:r>
      <w:r>
        <w:rPr>
          <w:spacing w:val="-4"/>
          <w:sz w:val="20"/>
        </w:rPr>
        <w:t> </w:t>
      </w:r>
      <w:r>
        <w:rPr>
          <w:sz w:val="20"/>
        </w:rPr>
        <w:t>an</w:t>
      </w:r>
      <w:r>
        <w:rPr>
          <w:spacing w:val="-3"/>
          <w:sz w:val="20"/>
        </w:rPr>
        <w:t> </w:t>
      </w:r>
      <w:r>
        <w:rPr>
          <w:sz w:val="20"/>
        </w:rPr>
        <w:t>allocation</w:t>
      </w:r>
      <w:r>
        <w:rPr>
          <w:spacing w:val="-4"/>
          <w:sz w:val="20"/>
        </w:rPr>
        <w:t> </w:t>
      </w:r>
      <w:r>
        <w:rPr>
          <w:sz w:val="20"/>
        </w:rPr>
        <w:t>key</w:t>
      </w:r>
      <w:r>
        <w:rPr>
          <w:spacing w:val="-10"/>
          <w:sz w:val="20"/>
        </w:rPr>
        <w:t> </w:t>
      </w:r>
      <w:r>
        <w:rPr>
          <w:sz w:val="20"/>
        </w:rPr>
        <w:t>based</w:t>
      </w:r>
      <w:r>
        <w:rPr>
          <w:spacing w:val="-5"/>
          <w:sz w:val="20"/>
        </w:rPr>
        <w:t> </w:t>
      </w:r>
      <w:r>
        <w:rPr>
          <w:sz w:val="20"/>
        </w:rPr>
        <w:t>on</w:t>
      </w:r>
      <w:r>
        <w:rPr>
          <w:spacing w:val="-3"/>
          <w:sz w:val="20"/>
        </w:rPr>
        <w:t> </w:t>
      </w:r>
      <w:r>
        <w:rPr>
          <w:sz w:val="20"/>
        </w:rPr>
        <w:t>revenue</w:t>
      </w:r>
      <w:r>
        <w:rPr>
          <w:spacing w:val="-2"/>
          <w:sz w:val="20"/>
        </w:rPr>
        <w:t> </w:t>
      </w:r>
      <w:r>
        <w:rPr>
          <w:sz w:val="20"/>
        </w:rPr>
        <w:t>(i.e.</w:t>
      </w:r>
      <w:r>
        <w:rPr>
          <w:spacing w:val="-4"/>
          <w:sz w:val="20"/>
        </w:rPr>
        <w:t> </w:t>
      </w:r>
      <w:r>
        <w:rPr>
          <w:sz w:val="20"/>
        </w:rPr>
        <w:t>ratio</w:t>
      </w:r>
      <w:r>
        <w:rPr>
          <w:spacing w:val="-4"/>
          <w:sz w:val="20"/>
        </w:rPr>
        <w:t> </w:t>
      </w:r>
      <w:r>
        <w:rPr>
          <w:sz w:val="20"/>
        </w:rPr>
        <w:t>of local revenue to total revenue). Assuming that in a particular market jurisdiction the group or, where relevant, the segment local revenue is “S”, then the allocation key is “S/R”. Therefore, the quantum of Amount A profit allocated to that particular market, expressed as “M”, can be calculated as:</w:t>
      </w:r>
    </w:p>
    <w:p>
      <w:pPr>
        <w:spacing w:after="0" w:line="271" w:lineRule="auto"/>
        <w:jc w:val="both"/>
        <w:rPr>
          <w:sz w:val="20"/>
        </w:rPr>
        <w:sectPr>
          <w:pgSz w:w="11910" w:h="16840"/>
          <w:pgMar w:header="1244" w:footer="1638" w:top="1500" w:bottom="1820" w:left="580" w:right="820"/>
        </w:sectPr>
      </w:pPr>
    </w:p>
    <w:p>
      <w:pPr>
        <w:pStyle w:val="BodyText"/>
        <w:spacing w:before="9"/>
        <w:rPr>
          <w:sz w:val="18"/>
        </w:rPr>
      </w:pPr>
    </w:p>
    <w:p>
      <w:pPr>
        <w:pStyle w:val="BodyText"/>
        <w:jc w:val="right"/>
        <w:rPr>
          <w:rFonts w:ascii="Cambria Math" w:eastAsia="Cambria Math"/>
        </w:rPr>
      </w:pPr>
      <w:r>
        <w:rPr>
          <w:rFonts w:ascii="Cambria Math" w:eastAsia="Cambria Math"/>
        </w:rPr>
        <w:t>𝑀 =</w:t>
      </w:r>
    </w:p>
    <w:p>
      <w:pPr>
        <w:spacing w:line="194" w:lineRule="exact" w:before="62"/>
        <w:ind w:left="27" w:right="0" w:firstLine="0"/>
        <w:jc w:val="left"/>
        <w:rPr>
          <w:rFonts w:ascii="Cambria Math" w:eastAsia="Cambria Math"/>
          <w:sz w:val="20"/>
        </w:rPr>
      </w:pPr>
      <w:r>
        <w:rPr/>
        <w:br w:type="column"/>
      </w:r>
      <w:r>
        <w:rPr>
          <w:rFonts w:ascii="Cambria Math" w:eastAsia="Cambria Math"/>
          <w:sz w:val="20"/>
        </w:rPr>
        <w:t>𝑆</w:t>
      </w:r>
    </w:p>
    <w:p>
      <w:pPr>
        <w:pStyle w:val="BodyText"/>
        <w:spacing w:line="144" w:lineRule="exact"/>
        <w:ind w:left="192"/>
        <w:rPr>
          <w:rFonts w:ascii="Cambria Math" w:hAnsi="Cambria Math" w:eastAsia="Cambria Math"/>
        </w:rPr>
      </w:pPr>
      <w:r>
        <w:rPr/>
        <w:pict>
          <v:rect style="position:absolute;margin-left:296.209991pt;margin-top:4.360165pt;width:6.72pt;height:.600010pt;mso-position-horizontal-relative:page;mso-position-vertical-relative:paragraph;z-index:15821312" filled="true" fillcolor="#000000" stroked="false">
            <v:fill type="solid"/>
            <w10:wrap type="none"/>
          </v:rect>
        </w:pict>
      </w:r>
      <w:r>
        <w:rPr>
          <w:rFonts w:ascii="Cambria Math" w:hAnsi="Cambria Math" w:eastAsia="Cambria Math"/>
        </w:rPr>
        <w:t>× 𝐴</w:t>
      </w:r>
    </w:p>
    <w:p>
      <w:pPr>
        <w:pStyle w:val="BodyText"/>
        <w:spacing w:line="184" w:lineRule="exact"/>
        <w:ind w:left="15"/>
        <w:rPr>
          <w:rFonts w:ascii="Cambria Math" w:eastAsia="Cambria Math"/>
        </w:rPr>
      </w:pPr>
      <w:r>
        <w:rPr>
          <w:rFonts w:ascii="Cambria Math" w:eastAsia="Cambria Math"/>
        </w:rPr>
        <w:t>𝑅</w:t>
      </w:r>
    </w:p>
    <w:p>
      <w:pPr>
        <w:spacing w:after="0" w:line="184" w:lineRule="exact"/>
        <w:rPr>
          <w:rFonts w:ascii="Cambria Math" w:eastAsia="Cambria Math"/>
        </w:rPr>
        <w:sectPr>
          <w:type w:val="continuous"/>
          <w:pgSz w:w="11910" w:h="16840"/>
          <w:pgMar w:top="1240" w:bottom="280" w:left="580" w:right="820"/>
          <w:cols w:num="2" w:equalWidth="0">
            <w:col w:w="5290" w:space="40"/>
            <w:col w:w="5180"/>
          </w:cols>
        </w:sectPr>
      </w:pPr>
    </w:p>
    <w:p>
      <w:pPr>
        <w:pStyle w:val="ListParagraph"/>
        <w:numPr>
          <w:ilvl w:val="0"/>
          <w:numId w:val="13"/>
        </w:numPr>
        <w:tabs>
          <w:tab w:pos="1443" w:val="left" w:leader="none"/>
          <w:tab w:pos="1444" w:val="left" w:leader="none"/>
        </w:tabs>
        <w:spacing w:line="271" w:lineRule="auto" w:before="104" w:after="0"/>
        <w:ind w:left="723" w:right="484" w:firstLine="0"/>
        <w:jc w:val="left"/>
        <w:rPr>
          <w:sz w:val="20"/>
        </w:rPr>
      </w:pPr>
      <w:r>
        <w:rPr>
          <w:sz w:val="20"/>
        </w:rPr>
        <w:t>After</w:t>
      </w:r>
      <w:r>
        <w:rPr>
          <w:spacing w:val="-18"/>
          <w:sz w:val="20"/>
        </w:rPr>
        <w:t> </w:t>
      </w:r>
      <w:r>
        <w:rPr>
          <w:sz w:val="20"/>
        </w:rPr>
        <w:t>bringing</w:t>
      </w:r>
      <w:r>
        <w:rPr>
          <w:spacing w:val="-17"/>
          <w:sz w:val="20"/>
        </w:rPr>
        <w:t> </w:t>
      </w:r>
      <w:r>
        <w:rPr>
          <w:sz w:val="20"/>
        </w:rPr>
        <w:t>the</w:t>
      </w:r>
      <w:r>
        <w:rPr>
          <w:spacing w:val="-18"/>
          <w:sz w:val="20"/>
        </w:rPr>
        <w:t> </w:t>
      </w:r>
      <w:r>
        <w:rPr>
          <w:sz w:val="20"/>
        </w:rPr>
        <w:t>three</w:t>
      </w:r>
      <w:r>
        <w:rPr>
          <w:spacing w:val="-16"/>
          <w:sz w:val="20"/>
        </w:rPr>
        <w:t> </w:t>
      </w:r>
      <w:r>
        <w:rPr>
          <w:sz w:val="20"/>
        </w:rPr>
        <w:t>components</w:t>
      </w:r>
      <w:r>
        <w:rPr>
          <w:spacing w:val="-17"/>
          <w:sz w:val="20"/>
        </w:rPr>
        <w:t> </w:t>
      </w:r>
      <w:r>
        <w:rPr>
          <w:sz w:val="20"/>
        </w:rPr>
        <w:t>together,</w:t>
      </w:r>
      <w:r>
        <w:rPr>
          <w:spacing w:val="-16"/>
          <w:sz w:val="20"/>
        </w:rPr>
        <w:t> </w:t>
      </w:r>
      <w:r>
        <w:rPr>
          <w:sz w:val="20"/>
        </w:rPr>
        <w:t>the</w:t>
      </w:r>
      <w:r>
        <w:rPr>
          <w:spacing w:val="-16"/>
          <w:sz w:val="20"/>
        </w:rPr>
        <w:t> </w:t>
      </w:r>
      <w:r>
        <w:rPr>
          <w:sz w:val="20"/>
        </w:rPr>
        <w:t>Amount</w:t>
      </w:r>
      <w:r>
        <w:rPr>
          <w:spacing w:val="-15"/>
          <w:sz w:val="20"/>
        </w:rPr>
        <w:t> </w:t>
      </w:r>
      <w:r>
        <w:rPr>
          <w:sz w:val="20"/>
        </w:rPr>
        <w:t>A</w:t>
      </w:r>
      <w:r>
        <w:rPr>
          <w:spacing w:val="-19"/>
          <w:sz w:val="20"/>
        </w:rPr>
        <w:t> </w:t>
      </w:r>
      <w:r>
        <w:rPr>
          <w:sz w:val="20"/>
        </w:rPr>
        <w:t>formula</w:t>
      </w:r>
      <w:r>
        <w:rPr>
          <w:spacing w:val="-18"/>
          <w:sz w:val="20"/>
        </w:rPr>
        <w:t> </w:t>
      </w:r>
      <w:r>
        <w:rPr>
          <w:sz w:val="20"/>
        </w:rPr>
        <w:t>under</w:t>
      </w:r>
      <w:r>
        <w:rPr>
          <w:spacing w:val="-15"/>
          <w:sz w:val="20"/>
        </w:rPr>
        <w:t> </w:t>
      </w:r>
      <w:r>
        <w:rPr>
          <w:sz w:val="20"/>
        </w:rPr>
        <w:t>a</w:t>
      </w:r>
      <w:r>
        <w:rPr>
          <w:spacing w:val="-16"/>
          <w:sz w:val="20"/>
        </w:rPr>
        <w:t> </w:t>
      </w:r>
      <w:r>
        <w:rPr>
          <w:sz w:val="20"/>
        </w:rPr>
        <w:t>profit-based</w:t>
      </w:r>
      <w:r>
        <w:rPr>
          <w:spacing w:val="-16"/>
          <w:sz w:val="20"/>
        </w:rPr>
        <w:t> </w:t>
      </w:r>
      <w:r>
        <w:rPr>
          <w:sz w:val="20"/>
        </w:rPr>
        <w:t>approach becomes:</w:t>
      </w:r>
    </w:p>
    <w:p>
      <w:pPr>
        <w:pStyle w:val="BodyText"/>
        <w:spacing w:before="116"/>
        <w:ind w:left="1386" w:right="1146"/>
        <w:jc w:val="center"/>
        <w:rPr>
          <w:rFonts w:ascii="Cambria Math" w:hAnsi="Cambria Math" w:eastAsia="Cambria Math"/>
        </w:rPr>
      </w:pPr>
      <w:r>
        <w:rPr>
          <w:rFonts w:ascii="Cambria Math" w:hAnsi="Cambria Math" w:eastAsia="Cambria Math"/>
        </w:rPr>
        <w:t>𝑀  = 𝑆/𝑅 × 𝑦 × [𝑃 −  (𝑅 × 𝑧)]</w:t>
      </w:r>
    </w:p>
    <w:p>
      <w:pPr>
        <w:pStyle w:val="BodyText"/>
        <w:rPr>
          <w:rFonts w:ascii="Cambria Math"/>
        </w:rPr>
      </w:pPr>
    </w:p>
    <w:p>
      <w:pPr>
        <w:pStyle w:val="BodyText"/>
        <w:rPr>
          <w:rFonts w:ascii="Cambria Math"/>
        </w:rPr>
      </w:pPr>
    </w:p>
    <w:p>
      <w:pPr>
        <w:pStyle w:val="BodyText"/>
        <w:rPr>
          <w:rFonts w:ascii="Cambria Math"/>
          <w:sz w:val="26"/>
        </w:rPr>
      </w:pPr>
    </w:p>
    <w:p>
      <w:pPr>
        <w:pStyle w:val="Heading4"/>
        <w:spacing w:before="100"/>
        <w:ind w:left="860"/>
        <w:jc w:val="left"/>
      </w:pPr>
      <w:r>
        <w:rPr/>
        <w:pict>
          <v:group style="position:absolute;margin-left:64.704002pt;margin-top:-13.515899pt;width:466.05pt;height:466.25pt;mso-position-horizontal-relative:page;mso-position-vertical-relative:paragraph;z-index:-19498496" coordorigin="1294,-270" coordsize="9321,9325">
            <v:rect style="position:absolute;left:1303;top:-261;width:9302;height:9306" filled="true" fillcolor="#eeece1" stroked="false">
              <v:fill type="solid"/>
            </v:rect>
            <v:shape style="position:absolute;left:1294;top:-271;width:9321;height:9326" coordorigin="1294,-270" coordsize="9321,9326" path="m10605,9045l1304,9045,1304,9045,1294,9045,1294,9055,1304,9055,1304,9055,10605,9055,10605,9045xm10605,-270l1304,-270,1304,-270,1294,-270,1294,-261,1294,9045,1304,9045,1304,-261,10605,-261,10605,-270xm10615,9045l10605,9045,10605,9055,10615,9055,10615,9045xm10615,-270l10605,-270,10605,-261,10605,9045,10615,9045,10615,-261,10615,-270xe" filled="true" fillcolor="#4e81bd" stroked="false">
              <v:path arrowok="t"/>
              <v:fill type="solid"/>
            </v:shape>
            <w10:wrap type="none"/>
          </v:group>
        </w:pict>
      </w:r>
      <w:r>
        <w:rPr>
          <w:color w:val="4E81BD"/>
        </w:rPr>
        <w:t>Box B.1. Example – profit-margin based approach</w:t>
      </w:r>
    </w:p>
    <w:p>
      <w:pPr>
        <w:pStyle w:val="BodyText"/>
        <w:spacing w:line="271" w:lineRule="auto" w:before="213"/>
        <w:ind w:left="860" w:right="626"/>
        <w:jc w:val="both"/>
      </w:pPr>
      <w:r>
        <w:rPr/>
        <w:t>For the purpose of this example, it is assumed that the Amount A formula includes a 10% profitability threshold (step 1) and 20% reallocation percentage (step 2).</w:t>
      </w:r>
    </w:p>
    <w:p>
      <w:pPr>
        <w:pStyle w:val="Heading5"/>
        <w:spacing w:before="148"/>
      </w:pPr>
      <w:r>
        <w:rPr/>
        <w:t>Facts</w:t>
      </w:r>
    </w:p>
    <w:p>
      <w:pPr>
        <w:pStyle w:val="BodyText"/>
        <w:spacing w:line="271" w:lineRule="auto" w:before="189"/>
        <w:ind w:left="860" w:right="620"/>
        <w:jc w:val="both"/>
      </w:pPr>
      <w:r>
        <w:rPr/>
        <w:pict>
          <v:shape style="position:absolute;margin-left:432.070007pt;margin-top:53.030857pt;width:.15pt;height:62.7pt;mso-position-horizontal-relative:page;mso-position-vertical-relative:paragraph;z-index:15822336" coordorigin="8641,1061" coordsize="3,1254" path="m8644,1061l8641,1061,8641,1332,8641,1644,8641,1971,8641,2314,8644,2314,8644,1332,8644,1061xe" filled="true" fillcolor="#eeece1" stroked="false">
            <v:path arrowok="t"/>
            <v:fill type="solid"/>
            <w10:wrap type="none"/>
          </v:shape>
        </w:pict>
      </w:r>
      <w:r>
        <w:rPr/>
        <w:t>Group</w:t>
      </w:r>
      <w:r>
        <w:rPr>
          <w:spacing w:val="-7"/>
        </w:rPr>
        <w:t> </w:t>
      </w:r>
      <w:r>
        <w:rPr/>
        <w:t>A</w:t>
      </w:r>
      <w:r>
        <w:rPr>
          <w:spacing w:val="-7"/>
        </w:rPr>
        <w:t> </w:t>
      </w:r>
      <w:r>
        <w:rPr/>
        <w:t>is</w:t>
      </w:r>
      <w:r>
        <w:rPr>
          <w:spacing w:val="-7"/>
        </w:rPr>
        <w:t> </w:t>
      </w:r>
      <w:r>
        <w:rPr/>
        <w:t>a</w:t>
      </w:r>
      <w:r>
        <w:rPr>
          <w:spacing w:val="-7"/>
        </w:rPr>
        <w:t> </w:t>
      </w:r>
      <w:r>
        <w:rPr/>
        <w:t>large</w:t>
      </w:r>
      <w:r>
        <w:rPr>
          <w:spacing w:val="-6"/>
        </w:rPr>
        <w:t> </w:t>
      </w:r>
      <w:r>
        <w:rPr/>
        <w:t>MNE</w:t>
      </w:r>
      <w:r>
        <w:rPr>
          <w:spacing w:val="-7"/>
        </w:rPr>
        <w:t> </w:t>
      </w:r>
      <w:r>
        <w:rPr/>
        <w:t>group</w:t>
      </w:r>
      <w:r>
        <w:rPr>
          <w:spacing w:val="-6"/>
        </w:rPr>
        <w:t> </w:t>
      </w:r>
      <w:r>
        <w:rPr/>
        <w:t>providing</w:t>
      </w:r>
      <w:r>
        <w:rPr>
          <w:spacing w:val="-7"/>
        </w:rPr>
        <w:t> </w:t>
      </w:r>
      <w:r>
        <w:rPr/>
        <w:t>exclusively</w:t>
      </w:r>
      <w:r>
        <w:rPr>
          <w:spacing w:val="-9"/>
        </w:rPr>
        <w:t> </w:t>
      </w:r>
      <w:r>
        <w:rPr/>
        <w:t>in-scope</w:t>
      </w:r>
      <w:r>
        <w:rPr>
          <w:spacing w:val="-9"/>
        </w:rPr>
        <w:t> </w:t>
      </w:r>
      <w:r>
        <w:rPr/>
        <w:t>ADS</w:t>
      </w:r>
      <w:r>
        <w:rPr>
          <w:spacing w:val="-6"/>
        </w:rPr>
        <w:t> </w:t>
      </w:r>
      <w:r>
        <w:rPr/>
        <w:t>via</w:t>
      </w:r>
      <w:r>
        <w:rPr>
          <w:spacing w:val="-7"/>
        </w:rPr>
        <w:t> </w:t>
      </w:r>
      <w:r>
        <w:rPr/>
        <w:t>an</w:t>
      </w:r>
      <w:r>
        <w:rPr>
          <w:spacing w:val="-6"/>
        </w:rPr>
        <w:t> </w:t>
      </w:r>
      <w:r>
        <w:rPr/>
        <w:t>online</w:t>
      </w:r>
      <w:r>
        <w:rPr>
          <w:spacing w:val="-7"/>
        </w:rPr>
        <w:t> </w:t>
      </w:r>
      <w:r>
        <w:rPr/>
        <w:t>platform.</w:t>
      </w:r>
      <w:r>
        <w:rPr>
          <w:spacing w:val="-8"/>
        </w:rPr>
        <w:t> </w:t>
      </w:r>
      <w:r>
        <w:rPr/>
        <w:t>It</w:t>
      </w:r>
      <w:r>
        <w:rPr>
          <w:spacing w:val="-9"/>
        </w:rPr>
        <w:t> </w:t>
      </w:r>
      <w:r>
        <w:rPr/>
        <w:t>is</w:t>
      </w:r>
      <w:r>
        <w:rPr>
          <w:spacing w:val="-4"/>
        </w:rPr>
        <w:t> </w:t>
      </w:r>
      <w:r>
        <w:rPr/>
        <w:t>assumed that Group A is treated as one segment for Amount A purposes and that it has the following simplified income</w:t>
      </w:r>
      <w:r>
        <w:rPr>
          <w:spacing w:val="-2"/>
        </w:rPr>
        <w:t> </w:t>
      </w:r>
      <w:r>
        <w:rPr/>
        <w:t>statement:</w:t>
      </w:r>
    </w:p>
    <w:p>
      <w:pPr>
        <w:pStyle w:val="BodyText"/>
        <w:rPr>
          <w:sz w:val="8"/>
        </w:rPr>
      </w:pPr>
    </w:p>
    <w:tbl>
      <w:tblPr>
        <w:tblW w:w="0" w:type="auto"/>
        <w:jc w:val="left"/>
        <w:tblInd w:w="2663"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3872"/>
        <w:gridCol w:w="1519"/>
      </w:tblGrid>
      <w:tr>
        <w:trPr>
          <w:trHeight w:val="241" w:hRule="atLeast"/>
        </w:trPr>
        <w:tc>
          <w:tcPr>
            <w:tcW w:w="3872" w:type="dxa"/>
            <w:tcBorders>
              <w:left w:val="nil"/>
              <w:bottom w:val="single" w:sz="6" w:space="0" w:color="4E81BD"/>
              <w:right w:val="single" w:sz="6" w:space="0" w:color="D2D2D2"/>
            </w:tcBorders>
            <w:shd w:val="clear" w:color="auto" w:fill="EEECE1"/>
          </w:tcPr>
          <w:p>
            <w:pPr>
              <w:pStyle w:val="TableParagraph"/>
              <w:spacing w:before="0"/>
              <w:jc w:val="left"/>
              <w:rPr>
                <w:rFonts w:ascii="Times New Roman"/>
                <w:sz w:val="16"/>
              </w:rPr>
            </w:pPr>
          </w:p>
        </w:tc>
        <w:tc>
          <w:tcPr>
            <w:tcW w:w="1519" w:type="dxa"/>
            <w:tcBorders>
              <w:left w:val="single" w:sz="6" w:space="0" w:color="D2D2D2"/>
              <w:bottom w:val="single" w:sz="4" w:space="0" w:color="000000"/>
              <w:right w:val="nil"/>
            </w:tcBorders>
            <w:shd w:val="clear" w:color="auto" w:fill="EEECE1"/>
          </w:tcPr>
          <w:p>
            <w:pPr>
              <w:pStyle w:val="TableParagraph"/>
              <w:spacing w:line="192" w:lineRule="exact" w:before="30"/>
              <w:ind w:left="281" w:right="262"/>
              <w:rPr>
                <w:sz w:val="18"/>
              </w:rPr>
            </w:pPr>
            <w:r>
              <w:rPr>
                <w:sz w:val="18"/>
              </w:rPr>
              <w:t>in million EUR</w:t>
            </w:r>
          </w:p>
        </w:tc>
      </w:tr>
      <w:tr>
        <w:trPr>
          <w:trHeight w:val="297" w:hRule="atLeast"/>
        </w:trPr>
        <w:tc>
          <w:tcPr>
            <w:tcW w:w="3872" w:type="dxa"/>
            <w:tcBorders>
              <w:top w:val="single" w:sz="6" w:space="0" w:color="4E81BD"/>
              <w:left w:val="nil"/>
              <w:bottom w:val="single" w:sz="6" w:space="0" w:color="D2D2D2"/>
              <w:right w:val="single" w:sz="6" w:space="0" w:color="D2D2D2"/>
            </w:tcBorders>
            <w:shd w:val="clear" w:color="auto" w:fill="EEECE1"/>
          </w:tcPr>
          <w:p>
            <w:pPr>
              <w:pStyle w:val="TableParagraph"/>
              <w:ind w:left="1518" w:right="1469"/>
              <w:rPr>
                <w:sz w:val="18"/>
              </w:rPr>
            </w:pPr>
            <w:r>
              <w:rPr>
                <w:sz w:val="18"/>
              </w:rPr>
              <w:t>Revenue (</w:t>
            </w:r>
            <w:r>
              <w:rPr>
                <w:b/>
                <w:sz w:val="18"/>
              </w:rPr>
              <w:t>R</w:t>
            </w:r>
            <w:r>
              <w:rPr>
                <w:sz w:val="18"/>
              </w:rPr>
              <w:t>)</w:t>
            </w:r>
          </w:p>
        </w:tc>
        <w:tc>
          <w:tcPr>
            <w:tcW w:w="1519" w:type="dxa"/>
            <w:tcBorders>
              <w:top w:val="single" w:sz="4" w:space="0" w:color="000000"/>
              <w:left w:val="single" w:sz="6" w:space="0" w:color="D2D2D2"/>
              <w:bottom w:val="single" w:sz="6" w:space="0" w:color="D2D2D2"/>
              <w:right w:val="nil"/>
            </w:tcBorders>
            <w:shd w:val="clear" w:color="auto" w:fill="EEECE1"/>
          </w:tcPr>
          <w:p>
            <w:pPr>
              <w:pStyle w:val="TableParagraph"/>
              <w:ind w:left="280" w:right="262"/>
              <w:rPr>
                <w:sz w:val="18"/>
              </w:rPr>
            </w:pPr>
            <w:r>
              <w:rPr>
                <w:sz w:val="18"/>
              </w:rPr>
              <w:t>25,000</w:t>
            </w:r>
          </w:p>
        </w:tc>
      </w:tr>
      <w:tr>
        <w:trPr>
          <w:trHeight w:val="311" w:hRule="atLeast"/>
        </w:trPr>
        <w:tc>
          <w:tcPr>
            <w:tcW w:w="3872" w:type="dxa"/>
            <w:tcBorders>
              <w:top w:val="single" w:sz="6" w:space="0" w:color="D2D2D2"/>
              <w:left w:val="nil"/>
              <w:bottom w:val="single" w:sz="6" w:space="0" w:color="D2D2D2"/>
              <w:right w:val="single" w:sz="6" w:space="0" w:color="D2D2D2"/>
            </w:tcBorders>
            <w:shd w:val="clear" w:color="auto" w:fill="EEECE1"/>
          </w:tcPr>
          <w:p>
            <w:pPr>
              <w:pStyle w:val="TableParagraph"/>
              <w:ind w:right="1266"/>
              <w:jc w:val="right"/>
              <w:rPr>
                <w:sz w:val="18"/>
              </w:rPr>
            </w:pPr>
            <w:r>
              <w:rPr>
                <w:sz w:val="18"/>
              </w:rPr>
              <w:t>Profit before tax (</w:t>
            </w:r>
            <w:r>
              <w:rPr>
                <w:b/>
                <w:sz w:val="18"/>
              </w:rPr>
              <w:t>P</w:t>
            </w:r>
            <w:r>
              <w:rPr>
                <w:sz w:val="18"/>
              </w:rPr>
              <w:t>)</w:t>
            </w:r>
          </w:p>
        </w:tc>
        <w:tc>
          <w:tcPr>
            <w:tcW w:w="1519" w:type="dxa"/>
            <w:tcBorders>
              <w:top w:val="single" w:sz="6" w:space="0" w:color="D2D2D2"/>
              <w:left w:val="single" w:sz="6" w:space="0" w:color="D2D2D2"/>
              <w:bottom w:val="single" w:sz="6" w:space="0" w:color="D2D2D2"/>
              <w:right w:val="nil"/>
            </w:tcBorders>
            <w:shd w:val="clear" w:color="auto" w:fill="EEECE1"/>
          </w:tcPr>
          <w:p>
            <w:pPr>
              <w:pStyle w:val="TableParagraph"/>
              <w:ind w:left="279" w:right="262"/>
              <w:rPr>
                <w:sz w:val="18"/>
              </w:rPr>
            </w:pPr>
            <w:r>
              <w:rPr>
                <w:sz w:val="18"/>
              </w:rPr>
              <w:t>6,500</w:t>
            </w:r>
          </w:p>
        </w:tc>
      </w:tr>
      <w:tr>
        <w:trPr>
          <w:trHeight w:val="299" w:hRule="atLeast"/>
        </w:trPr>
        <w:tc>
          <w:tcPr>
            <w:tcW w:w="3872" w:type="dxa"/>
            <w:tcBorders>
              <w:top w:val="single" w:sz="6" w:space="0" w:color="D2D2D2"/>
              <w:left w:val="nil"/>
              <w:right w:val="single" w:sz="6" w:space="0" w:color="D2D2D2"/>
            </w:tcBorders>
            <w:shd w:val="clear" w:color="auto" w:fill="EEECE1"/>
          </w:tcPr>
          <w:p>
            <w:pPr>
              <w:pStyle w:val="TableParagraph"/>
              <w:ind w:right="1323"/>
              <w:jc w:val="right"/>
              <w:rPr>
                <w:sz w:val="18"/>
              </w:rPr>
            </w:pPr>
            <w:r>
              <w:rPr>
                <w:sz w:val="18"/>
              </w:rPr>
              <w:t>PBT margin (</w:t>
            </w:r>
            <w:r>
              <w:rPr>
                <w:b/>
                <w:sz w:val="18"/>
              </w:rPr>
              <w:t>P/R</w:t>
            </w:r>
            <w:r>
              <w:rPr>
                <w:sz w:val="18"/>
              </w:rPr>
              <w:t>)</w:t>
            </w:r>
          </w:p>
        </w:tc>
        <w:tc>
          <w:tcPr>
            <w:tcW w:w="1519" w:type="dxa"/>
            <w:tcBorders>
              <w:top w:val="single" w:sz="6" w:space="0" w:color="D2D2D2"/>
              <w:left w:val="single" w:sz="6" w:space="0" w:color="D2D2D2"/>
              <w:right w:val="nil"/>
            </w:tcBorders>
            <w:shd w:val="clear" w:color="auto" w:fill="EEECE1"/>
          </w:tcPr>
          <w:p>
            <w:pPr>
              <w:pStyle w:val="TableParagraph"/>
              <w:ind w:left="281" w:right="261"/>
              <w:rPr>
                <w:sz w:val="18"/>
              </w:rPr>
            </w:pPr>
            <w:r>
              <w:rPr>
                <w:sz w:val="18"/>
              </w:rPr>
              <w:t>26%</w:t>
            </w:r>
          </w:p>
        </w:tc>
      </w:tr>
    </w:tbl>
    <w:p>
      <w:pPr>
        <w:pStyle w:val="BodyText"/>
        <w:spacing w:before="148"/>
        <w:ind w:left="860"/>
      </w:pPr>
      <w:r>
        <w:rPr/>
        <w:pict>
          <v:shape style="position:absolute;margin-left:242.929016pt;margin-top:38.980858pt;width:189.15pt;height:.25pt;mso-position-horizontal-relative:page;mso-position-vertical-relative:paragraph;z-index:-19497472" coordorigin="4859,780" coordsize="3783,5" path="m6433,780l4859,780,4859,784,6433,784,6433,780xm8641,780l6448,780,6448,784,8641,784,8641,780xe" filled="true" fillcolor="#eeece1" stroked="false">
            <v:path arrowok="t"/>
            <v:fill type="solid"/>
            <w10:wrap type="none"/>
          </v:shape>
        </w:pict>
      </w:r>
      <w:r>
        <w:rPr/>
        <w:t>It is assumed further that the revenues are sourced exclusively from three market jurisdictions.</w:t>
      </w:r>
    </w:p>
    <w:p>
      <w:pPr>
        <w:pStyle w:val="BodyText"/>
        <w:spacing w:before="6"/>
        <w:rPr>
          <w:sz w:val="10"/>
        </w:rPr>
      </w:pPr>
    </w:p>
    <w:tbl>
      <w:tblPr>
        <w:tblW w:w="0" w:type="auto"/>
        <w:jc w:val="left"/>
        <w:tblInd w:w="2663"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601"/>
        <w:gridCol w:w="1589"/>
        <w:gridCol w:w="2201"/>
      </w:tblGrid>
      <w:tr>
        <w:trPr>
          <w:trHeight w:val="239" w:hRule="atLeast"/>
        </w:trPr>
        <w:tc>
          <w:tcPr>
            <w:tcW w:w="1601" w:type="dxa"/>
            <w:tcBorders>
              <w:left w:val="nil"/>
              <w:bottom w:val="single" w:sz="6" w:space="0" w:color="4E81BD"/>
              <w:right w:val="single" w:sz="6" w:space="0" w:color="D2D2D2"/>
            </w:tcBorders>
            <w:shd w:val="clear" w:color="auto" w:fill="EEECE1"/>
          </w:tcPr>
          <w:p>
            <w:pPr>
              <w:pStyle w:val="TableParagraph"/>
              <w:spacing w:line="189" w:lineRule="exact" w:before="30"/>
              <w:ind w:left="337" w:right="289"/>
              <w:rPr>
                <w:sz w:val="18"/>
              </w:rPr>
            </w:pPr>
            <w:r>
              <w:rPr>
                <w:sz w:val="18"/>
              </w:rPr>
              <w:t>in million EUR</w:t>
            </w:r>
          </w:p>
        </w:tc>
        <w:tc>
          <w:tcPr>
            <w:tcW w:w="1589" w:type="dxa"/>
            <w:tcBorders>
              <w:left w:val="single" w:sz="6" w:space="0" w:color="D2D2D2"/>
              <w:bottom w:val="single" w:sz="4" w:space="0" w:color="000000"/>
              <w:right w:val="single" w:sz="6" w:space="0" w:color="D2D2D2"/>
            </w:tcBorders>
            <w:shd w:val="clear" w:color="auto" w:fill="EEECE1"/>
          </w:tcPr>
          <w:p>
            <w:pPr>
              <w:pStyle w:val="TableParagraph"/>
              <w:spacing w:line="189" w:lineRule="exact" w:before="30"/>
              <w:ind w:left="199" w:right="169"/>
              <w:rPr>
                <w:sz w:val="18"/>
              </w:rPr>
            </w:pPr>
            <w:r>
              <w:rPr>
                <w:sz w:val="18"/>
              </w:rPr>
              <w:t>Local revenue (</w:t>
            </w:r>
            <w:r>
              <w:rPr>
                <w:b/>
                <w:sz w:val="18"/>
              </w:rPr>
              <w:t>S</w:t>
            </w:r>
            <w:r>
              <w:rPr>
                <w:sz w:val="18"/>
              </w:rPr>
              <w:t>)</w:t>
            </w:r>
          </w:p>
        </w:tc>
        <w:tc>
          <w:tcPr>
            <w:tcW w:w="2201" w:type="dxa"/>
            <w:tcBorders>
              <w:left w:val="single" w:sz="6" w:space="0" w:color="D2D2D2"/>
              <w:bottom w:val="single" w:sz="4" w:space="0" w:color="000000"/>
              <w:right w:val="nil"/>
            </w:tcBorders>
            <w:shd w:val="clear" w:color="auto" w:fill="EEECE1"/>
          </w:tcPr>
          <w:p>
            <w:pPr>
              <w:pStyle w:val="TableParagraph"/>
              <w:spacing w:before="0"/>
              <w:jc w:val="left"/>
              <w:rPr>
                <w:rFonts w:ascii="Times New Roman"/>
                <w:sz w:val="16"/>
              </w:rPr>
            </w:pPr>
          </w:p>
        </w:tc>
      </w:tr>
      <w:tr>
        <w:trPr>
          <w:trHeight w:val="241" w:hRule="atLeast"/>
        </w:trPr>
        <w:tc>
          <w:tcPr>
            <w:tcW w:w="1601" w:type="dxa"/>
            <w:tcBorders>
              <w:top w:val="single" w:sz="6" w:space="0" w:color="4E81BD"/>
              <w:left w:val="nil"/>
              <w:bottom w:val="single" w:sz="6" w:space="0" w:color="D2D2D2"/>
              <w:right w:val="single" w:sz="6" w:space="0" w:color="D2D2D2"/>
            </w:tcBorders>
            <w:shd w:val="clear" w:color="auto" w:fill="EEECE1"/>
          </w:tcPr>
          <w:p>
            <w:pPr>
              <w:pStyle w:val="TableParagraph"/>
              <w:spacing w:line="192" w:lineRule="exact" w:before="30"/>
              <w:ind w:left="337" w:right="289"/>
              <w:rPr>
                <w:sz w:val="18"/>
              </w:rPr>
            </w:pPr>
            <w:r>
              <w:rPr>
                <w:sz w:val="18"/>
              </w:rPr>
              <w:t>Market 1</w:t>
            </w:r>
          </w:p>
        </w:tc>
        <w:tc>
          <w:tcPr>
            <w:tcW w:w="1589" w:type="dxa"/>
            <w:tcBorders>
              <w:top w:val="single" w:sz="4" w:space="0" w:color="000000"/>
              <w:left w:val="single" w:sz="6" w:space="0" w:color="D2D2D2"/>
              <w:bottom w:val="single" w:sz="6" w:space="0" w:color="D2D2D2"/>
              <w:right w:val="single" w:sz="6" w:space="0" w:color="D2D2D2"/>
            </w:tcBorders>
            <w:shd w:val="clear" w:color="auto" w:fill="EEECE1"/>
          </w:tcPr>
          <w:p>
            <w:pPr>
              <w:pStyle w:val="TableParagraph"/>
              <w:spacing w:line="192" w:lineRule="exact" w:before="30"/>
              <w:ind w:left="199" w:right="167"/>
              <w:rPr>
                <w:sz w:val="18"/>
              </w:rPr>
            </w:pPr>
            <w:r>
              <w:rPr>
                <w:sz w:val="18"/>
              </w:rPr>
              <w:t>2,000</w:t>
            </w:r>
          </w:p>
        </w:tc>
        <w:tc>
          <w:tcPr>
            <w:tcW w:w="2201" w:type="dxa"/>
            <w:tcBorders>
              <w:top w:val="single" w:sz="4" w:space="0" w:color="000000"/>
              <w:left w:val="single" w:sz="6" w:space="0" w:color="D2D2D2"/>
              <w:bottom w:val="single" w:sz="6" w:space="0" w:color="D2D2D2"/>
              <w:right w:val="nil"/>
            </w:tcBorders>
            <w:shd w:val="clear" w:color="auto" w:fill="EEECE1"/>
          </w:tcPr>
          <w:p>
            <w:pPr>
              <w:pStyle w:val="TableParagraph"/>
              <w:spacing w:line="192" w:lineRule="exact" w:before="30"/>
              <w:ind w:left="602"/>
              <w:jc w:val="left"/>
              <w:rPr>
                <w:sz w:val="18"/>
              </w:rPr>
            </w:pPr>
            <w:r>
              <w:rPr>
                <w:sz w:val="18"/>
              </w:rPr>
              <w:t>local subsidiary</w:t>
            </w:r>
          </w:p>
        </w:tc>
      </w:tr>
      <w:tr>
        <w:trPr>
          <w:trHeight w:val="239" w:hRule="atLeast"/>
        </w:trPr>
        <w:tc>
          <w:tcPr>
            <w:tcW w:w="160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337" w:right="289"/>
              <w:rPr>
                <w:sz w:val="18"/>
              </w:rPr>
            </w:pPr>
            <w:r>
              <w:rPr>
                <w:sz w:val="18"/>
              </w:rPr>
              <w:t>Market 2</w:t>
            </w:r>
          </w:p>
        </w:tc>
        <w:tc>
          <w:tcPr>
            <w:tcW w:w="15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199" w:right="167"/>
              <w:rPr>
                <w:sz w:val="18"/>
              </w:rPr>
            </w:pPr>
            <w:r>
              <w:rPr>
                <w:sz w:val="18"/>
              </w:rPr>
              <w:t>18,000</w:t>
            </w:r>
          </w:p>
        </w:tc>
        <w:tc>
          <w:tcPr>
            <w:tcW w:w="2201"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ind w:left="631"/>
              <w:jc w:val="left"/>
              <w:rPr>
                <w:sz w:val="18"/>
              </w:rPr>
            </w:pPr>
            <w:r>
              <w:rPr>
                <w:sz w:val="18"/>
              </w:rPr>
              <w:t>remote activity</w:t>
            </w:r>
          </w:p>
        </w:tc>
      </w:tr>
      <w:tr>
        <w:trPr>
          <w:trHeight w:val="241" w:hRule="atLeast"/>
        </w:trPr>
        <w:tc>
          <w:tcPr>
            <w:tcW w:w="160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before="30"/>
              <w:ind w:left="337" w:right="289"/>
              <w:rPr>
                <w:sz w:val="18"/>
              </w:rPr>
            </w:pPr>
            <w:r>
              <w:rPr>
                <w:sz w:val="18"/>
              </w:rPr>
              <w:t>Market 3</w:t>
            </w:r>
          </w:p>
        </w:tc>
        <w:tc>
          <w:tcPr>
            <w:tcW w:w="15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199" w:right="167"/>
              <w:rPr>
                <w:sz w:val="18"/>
              </w:rPr>
            </w:pPr>
            <w:r>
              <w:rPr>
                <w:sz w:val="18"/>
              </w:rPr>
              <w:t>5,000</w:t>
            </w:r>
          </w:p>
        </w:tc>
        <w:tc>
          <w:tcPr>
            <w:tcW w:w="2201"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before="30"/>
              <w:ind w:left="631"/>
              <w:jc w:val="left"/>
              <w:rPr>
                <w:sz w:val="18"/>
              </w:rPr>
            </w:pPr>
            <w:r>
              <w:rPr>
                <w:sz w:val="18"/>
              </w:rPr>
              <w:t>remote activity</w:t>
            </w:r>
          </w:p>
        </w:tc>
      </w:tr>
      <w:tr>
        <w:trPr>
          <w:trHeight w:val="349" w:hRule="atLeast"/>
        </w:trPr>
        <w:tc>
          <w:tcPr>
            <w:tcW w:w="1601" w:type="dxa"/>
            <w:tcBorders>
              <w:top w:val="single" w:sz="6" w:space="0" w:color="D2D2D2"/>
              <w:left w:val="nil"/>
              <w:right w:val="single" w:sz="6" w:space="0" w:color="D2D2D2"/>
            </w:tcBorders>
            <w:shd w:val="clear" w:color="auto" w:fill="EEECE1"/>
          </w:tcPr>
          <w:p>
            <w:pPr>
              <w:pStyle w:val="TableParagraph"/>
              <w:spacing w:line="191" w:lineRule="exact" w:before="138"/>
              <w:ind w:left="337" w:right="285"/>
              <w:rPr>
                <w:b/>
                <w:sz w:val="18"/>
              </w:rPr>
            </w:pPr>
            <w:r>
              <w:rPr>
                <w:b/>
                <w:sz w:val="18"/>
              </w:rPr>
              <w:t>Total</w:t>
            </w:r>
          </w:p>
        </w:tc>
        <w:tc>
          <w:tcPr>
            <w:tcW w:w="1589" w:type="dxa"/>
            <w:tcBorders>
              <w:top w:val="single" w:sz="6" w:space="0" w:color="D2D2D2"/>
              <w:left w:val="single" w:sz="6" w:space="0" w:color="D2D2D2"/>
              <w:right w:val="single" w:sz="6" w:space="0" w:color="D2D2D2"/>
            </w:tcBorders>
            <w:shd w:val="clear" w:color="auto" w:fill="EEECE1"/>
          </w:tcPr>
          <w:p>
            <w:pPr>
              <w:pStyle w:val="TableParagraph"/>
              <w:spacing w:line="191" w:lineRule="exact" w:before="138"/>
              <w:ind w:left="199" w:right="167"/>
              <w:rPr>
                <w:b/>
                <w:sz w:val="18"/>
              </w:rPr>
            </w:pPr>
            <w:r>
              <w:rPr>
                <w:b/>
                <w:sz w:val="18"/>
              </w:rPr>
              <w:t>25,000</w:t>
            </w:r>
          </w:p>
        </w:tc>
        <w:tc>
          <w:tcPr>
            <w:tcW w:w="2201" w:type="dxa"/>
            <w:tcBorders>
              <w:top w:val="single" w:sz="6" w:space="0" w:color="D2D2D2"/>
              <w:left w:val="single" w:sz="6" w:space="0" w:color="D2D2D2"/>
              <w:right w:val="nil"/>
            </w:tcBorders>
            <w:shd w:val="clear" w:color="auto" w:fill="EEECE1"/>
          </w:tcPr>
          <w:p>
            <w:pPr>
              <w:pStyle w:val="TableParagraph"/>
              <w:spacing w:before="0"/>
              <w:jc w:val="left"/>
              <w:rPr>
                <w:rFonts w:ascii="Times New Roman"/>
                <w:sz w:val="18"/>
              </w:rPr>
            </w:pPr>
          </w:p>
        </w:tc>
      </w:tr>
    </w:tbl>
    <w:p>
      <w:pPr>
        <w:pStyle w:val="BodyText"/>
        <w:spacing w:line="271" w:lineRule="auto" w:before="148"/>
        <w:ind w:left="860" w:right="620"/>
        <w:jc w:val="both"/>
      </w:pPr>
      <w:r>
        <w:rPr/>
        <w:t>Due to the strategic location and attractiveness of Market 1, Group A established a local subsidiary in that</w:t>
      </w:r>
      <w:r>
        <w:rPr>
          <w:spacing w:val="-15"/>
        </w:rPr>
        <w:t> </w:t>
      </w:r>
      <w:r>
        <w:rPr/>
        <w:t>jurisdiction</w:t>
      </w:r>
      <w:r>
        <w:rPr>
          <w:spacing w:val="-15"/>
        </w:rPr>
        <w:t> </w:t>
      </w:r>
      <w:r>
        <w:rPr/>
        <w:t>performing</w:t>
      </w:r>
      <w:r>
        <w:rPr>
          <w:spacing w:val="-13"/>
        </w:rPr>
        <w:t> </w:t>
      </w:r>
      <w:r>
        <w:rPr/>
        <w:t>baseline</w:t>
      </w:r>
      <w:r>
        <w:rPr>
          <w:spacing w:val="-13"/>
        </w:rPr>
        <w:t> </w:t>
      </w:r>
      <w:r>
        <w:rPr/>
        <w:t>marketing</w:t>
      </w:r>
      <w:r>
        <w:rPr>
          <w:spacing w:val="-15"/>
        </w:rPr>
        <w:t> </w:t>
      </w:r>
      <w:r>
        <w:rPr/>
        <w:t>and</w:t>
      </w:r>
      <w:r>
        <w:rPr>
          <w:spacing w:val="-15"/>
        </w:rPr>
        <w:t> </w:t>
      </w:r>
      <w:r>
        <w:rPr/>
        <w:t>distribution</w:t>
      </w:r>
      <w:r>
        <w:rPr>
          <w:spacing w:val="-13"/>
        </w:rPr>
        <w:t> </w:t>
      </w:r>
      <w:r>
        <w:rPr/>
        <w:t>activities</w:t>
      </w:r>
      <w:r>
        <w:rPr>
          <w:spacing w:val="-14"/>
        </w:rPr>
        <w:t> </w:t>
      </w:r>
      <w:r>
        <w:rPr/>
        <w:t>for</w:t>
      </w:r>
      <w:r>
        <w:rPr>
          <w:spacing w:val="-14"/>
        </w:rPr>
        <w:t> </w:t>
      </w:r>
      <w:r>
        <w:rPr/>
        <w:t>the</w:t>
      </w:r>
      <w:r>
        <w:rPr>
          <w:spacing w:val="-6"/>
        </w:rPr>
        <w:t> </w:t>
      </w:r>
      <w:r>
        <w:rPr/>
        <w:t>whole</w:t>
      </w:r>
      <w:r>
        <w:rPr>
          <w:spacing w:val="-13"/>
        </w:rPr>
        <w:t> </w:t>
      </w:r>
      <w:r>
        <w:rPr/>
        <w:t>world.</w:t>
      </w:r>
      <w:r>
        <w:rPr>
          <w:spacing w:val="-15"/>
        </w:rPr>
        <w:t> </w:t>
      </w:r>
      <w:r>
        <w:rPr/>
        <w:t>In</w:t>
      </w:r>
      <w:r>
        <w:rPr>
          <w:spacing w:val="-13"/>
        </w:rPr>
        <w:t> </w:t>
      </w:r>
      <w:r>
        <w:rPr/>
        <w:t>contrast, Group A has no taxable/physical presence in Market 2 and Market 3, where services are supplied remotely by the subsidiary located in Market 1. For Amount A purposes, however, it is assumed that a new nexus will be created in Markets 2 and 3 (i.e. nexus revenue threshold</w:t>
      </w:r>
      <w:r>
        <w:rPr>
          <w:spacing w:val="-19"/>
        </w:rPr>
        <w:t> </w:t>
      </w:r>
      <w:r>
        <w:rPr/>
        <w:t>exceeded).</w:t>
      </w:r>
    </w:p>
    <w:p>
      <w:pPr>
        <w:pStyle w:val="Heading5"/>
        <w:spacing w:before="152"/>
      </w:pPr>
      <w:r>
        <w:rPr/>
        <w:t>Applying Amount A formula</w:t>
      </w:r>
    </w:p>
    <w:p>
      <w:pPr>
        <w:pStyle w:val="BodyText"/>
        <w:spacing w:before="188"/>
        <w:ind w:left="860"/>
      </w:pPr>
      <w:r>
        <w:rPr>
          <w:u w:val="single"/>
        </w:rPr>
        <w:t>Step 1: Profitability Threshold</w:t>
      </w:r>
    </w:p>
    <w:p>
      <w:pPr>
        <w:pStyle w:val="BodyText"/>
        <w:spacing w:before="149"/>
        <w:ind w:left="860"/>
      </w:pPr>
      <w:r>
        <w:rPr/>
        <w:t>Determine Group A’s residual profit (W) by subtracting 10% from the PBT margin (P/R).</w:t>
      </w:r>
    </w:p>
    <w:p>
      <w:pPr>
        <w:pStyle w:val="BodyText"/>
        <w:spacing w:before="150"/>
        <w:ind w:left="860"/>
      </w:pPr>
      <w:r>
        <w:rPr/>
        <w:t>W = P – (R*10%)</w:t>
      </w:r>
    </w:p>
    <w:p>
      <w:pPr>
        <w:spacing w:after="0"/>
        <w:sectPr>
          <w:type w:val="continuous"/>
          <w:pgSz w:w="11910" w:h="16840"/>
          <w:pgMar w:top="1240" w:bottom="280" w:left="580" w:right="8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29"/>
        </w:rPr>
      </w:pPr>
    </w:p>
    <w:tbl>
      <w:tblPr>
        <w:tblW w:w="0" w:type="auto"/>
        <w:jc w:val="left"/>
        <w:tblInd w:w="1410"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88"/>
        <w:gridCol w:w="1647"/>
        <w:gridCol w:w="2384"/>
        <w:gridCol w:w="2379"/>
      </w:tblGrid>
      <w:tr>
        <w:trPr>
          <w:trHeight w:val="477" w:hRule="atLeast"/>
        </w:trPr>
        <w:tc>
          <w:tcPr>
            <w:tcW w:w="1488" w:type="dxa"/>
            <w:tcBorders>
              <w:left w:val="nil"/>
              <w:bottom w:val="single" w:sz="6" w:space="0" w:color="4E81BD"/>
              <w:right w:val="single" w:sz="6" w:space="0" w:color="D2D2D2"/>
            </w:tcBorders>
            <w:shd w:val="clear" w:color="auto" w:fill="EEECE1"/>
          </w:tcPr>
          <w:p>
            <w:pPr>
              <w:pStyle w:val="TableParagraph"/>
              <w:spacing w:before="26"/>
              <w:ind w:left="281" w:right="231"/>
              <w:rPr>
                <w:sz w:val="18"/>
              </w:rPr>
            </w:pPr>
            <w:r>
              <w:rPr>
                <w:sz w:val="18"/>
              </w:rPr>
              <w:t>in million EUR</w:t>
            </w:r>
          </w:p>
        </w:tc>
        <w:tc>
          <w:tcPr>
            <w:tcW w:w="1647" w:type="dxa"/>
            <w:tcBorders>
              <w:left w:val="single" w:sz="6" w:space="0" w:color="D2D2D2"/>
              <w:bottom w:val="single" w:sz="6" w:space="0" w:color="4E81BD"/>
              <w:right w:val="single" w:sz="6" w:space="0" w:color="D2D2D2"/>
            </w:tcBorders>
            <w:shd w:val="clear" w:color="auto" w:fill="EEECE1"/>
          </w:tcPr>
          <w:p>
            <w:pPr>
              <w:pStyle w:val="TableParagraph"/>
              <w:spacing w:line="240" w:lineRule="exact" w:before="3"/>
              <w:ind w:left="732" w:right="317" w:hanging="365"/>
              <w:jc w:val="left"/>
              <w:rPr>
                <w:sz w:val="18"/>
              </w:rPr>
            </w:pPr>
            <w:r>
              <w:rPr>
                <w:sz w:val="18"/>
              </w:rPr>
              <w:t>Local revenue (</w:t>
            </w:r>
            <w:r>
              <w:rPr>
                <w:b/>
                <w:sz w:val="18"/>
              </w:rPr>
              <w:t>S</w:t>
            </w:r>
            <w:r>
              <w:rPr>
                <w:sz w:val="18"/>
              </w:rPr>
              <w:t>)</w:t>
            </w:r>
          </w:p>
        </w:tc>
        <w:tc>
          <w:tcPr>
            <w:tcW w:w="2384" w:type="dxa"/>
            <w:tcBorders>
              <w:left w:val="single" w:sz="6" w:space="0" w:color="D2D2D2"/>
              <w:bottom w:val="single" w:sz="6" w:space="0" w:color="4E81BD"/>
              <w:right w:val="single" w:sz="6" w:space="0" w:color="D2D2D2"/>
            </w:tcBorders>
            <w:shd w:val="clear" w:color="auto" w:fill="EEECE1"/>
          </w:tcPr>
          <w:p>
            <w:pPr>
              <w:pStyle w:val="TableParagraph"/>
              <w:spacing w:line="240" w:lineRule="exact" w:before="3"/>
              <w:ind w:left="1026" w:right="696" w:hanging="284"/>
              <w:jc w:val="left"/>
              <w:rPr>
                <w:sz w:val="18"/>
              </w:rPr>
            </w:pPr>
            <w:r>
              <w:rPr>
                <w:sz w:val="18"/>
              </w:rPr>
              <w:t>Allocation key (</w:t>
            </w:r>
            <w:r>
              <w:rPr>
                <w:b/>
                <w:sz w:val="18"/>
              </w:rPr>
              <w:t>S/R</w:t>
            </w:r>
            <w:r>
              <w:rPr>
                <w:sz w:val="18"/>
              </w:rPr>
              <w:t>)</w:t>
            </w:r>
          </w:p>
        </w:tc>
        <w:tc>
          <w:tcPr>
            <w:tcW w:w="2379" w:type="dxa"/>
            <w:tcBorders>
              <w:left w:val="single" w:sz="6" w:space="0" w:color="D2D2D2"/>
              <w:bottom w:val="single" w:sz="6" w:space="0" w:color="4E81BD"/>
              <w:right w:val="nil"/>
            </w:tcBorders>
            <w:shd w:val="clear" w:color="auto" w:fill="EEECE1"/>
          </w:tcPr>
          <w:p>
            <w:pPr>
              <w:pStyle w:val="TableParagraph"/>
              <w:spacing w:line="240" w:lineRule="exact" w:before="3"/>
              <w:ind w:left="798" w:right="776"/>
              <w:rPr>
                <w:sz w:val="18"/>
              </w:rPr>
            </w:pPr>
            <w:r>
              <w:rPr>
                <w:sz w:val="18"/>
              </w:rPr>
              <w:t>Amount A (</w:t>
            </w:r>
            <w:r>
              <w:rPr>
                <w:b/>
                <w:sz w:val="18"/>
              </w:rPr>
              <w:t>M</w:t>
            </w:r>
            <w:r>
              <w:rPr>
                <w:sz w:val="18"/>
              </w:rPr>
              <w:t>)</w:t>
            </w:r>
          </w:p>
        </w:tc>
      </w:tr>
      <w:tr>
        <w:trPr>
          <w:trHeight w:val="260" w:hRule="atLeast"/>
        </w:trPr>
        <w:tc>
          <w:tcPr>
            <w:tcW w:w="1488" w:type="dxa"/>
            <w:tcBorders>
              <w:top w:val="single" w:sz="6" w:space="0" w:color="4E81BD"/>
              <w:left w:val="nil"/>
              <w:bottom w:val="single" w:sz="6" w:space="0" w:color="D2D2D2"/>
              <w:right w:val="single" w:sz="6" w:space="0" w:color="D2D2D2"/>
            </w:tcBorders>
            <w:shd w:val="clear" w:color="auto" w:fill="EEECE1"/>
          </w:tcPr>
          <w:p>
            <w:pPr>
              <w:pStyle w:val="TableParagraph"/>
              <w:spacing w:before="22"/>
              <w:ind w:left="277" w:right="231"/>
              <w:rPr>
                <w:sz w:val="18"/>
              </w:rPr>
            </w:pPr>
            <w:r>
              <w:rPr>
                <w:sz w:val="18"/>
              </w:rPr>
              <w:t>Market 1</w:t>
            </w:r>
          </w:p>
        </w:tc>
        <w:tc>
          <w:tcPr>
            <w:tcW w:w="1647"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22"/>
              <w:ind w:left="645"/>
              <w:jc w:val="left"/>
              <w:rPr>
                <w:sz w:val="18"/>
              </w:rPr>
            </w:pPr>
            <w:r>
              <w:rPr>
                <w:sz w:val="18"/>
              </w:rPr>
              <w:t>2,000</w:t>
            </w:r>
          </w:p>
        </w:tc>
        <w:tc>
          <w:tcPr>
            <w:tcW w:w="2384"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22"/>
              <w:ind w:left="988" w:right="962"/>
              <w:rPr>
                <w:sz w:val="18"/>
              </w:rPr>
            </w:pPr>
            <w:r>
              <w:rPr>
                <w:sz w:val="18"/>
              </w:rPr>
              <w:t>8%</w:t>
            </w:r>
          </w:p>
        </w:tc>
        <w:tc>
          <w:tcPr>
            <w:tcW w:w="2379" w:type="dxa"/>
            <w:tcBorders>
              <w:top w:val="single" w:sz="6" w:space="0" w:color="4E81BD"/>
              <w:left w:val="single" w:sz="6" w:space="0" w:color="D2D2D2"/>
              <w:bottom w:val="single" w:sz="6" w:space="0" w:color="D2D2D2"/>
              <w:right w:val="nil"/>
            </w:tcBorders>
            <w:shd w:val="clear" w:color="auto" w:fill="EEECE1"/>
          </w:tcPr>
          <w:p>
            <w:pPr>
              <w:pStyle w:val="TableParagraph"/>
              <w:spacing w:before="22"/>
              <w:ind w:left="726" w:right="706"/>
              <w:rPr>
                <w:b/>
                <w:sz w:val="18"/>
              </w:rPr>
            </w:pPr>
            <w:r>
              <w:rPr>
                <w:sz w:val="18"/>
              </w:rPr>
              <w:t>A * S/R = </w:t>
            </w:r>
            <w:r>
              <w:rPr>
                <w:b/>
                <w:sz w:val="18"/>
              </w:rPr>
              <w:t>64</w:t>
            </w:r>
          </w:p>
        </w:tc>
      </w:tr>
      <w:tr>
        <w:trPr>
          <w:trHeight w:val="256" w:hRule="atLeast"/>
        </w:trPr>
        <w:tc>
          <w:tcPr>
            <w:tcW w:w="1488" w:type="dxa"/>
            <w:tcBorders>
              <w:top w:val="single" w:sz="6" w:space="0" w:color="D2D2D2"/>
              <w:left w:val="nil"/>
              <w:bottom w:val="single" w:sz="6" w:space="0" w:color="D2D2D2"/>
              <w:right w:val="single" w:sz="6" w:space="0" w:color="D2D2D2"/>
            </w:tcBorders>
            <w:shd w:val="clear" w:color="auto" w:fill="EEECE1"/>
          </w:tcPr>
          <w:p>
            <w:pPr>
              <w:pStyle w:val="TableParagraph"/>
              <w:spacing w:line="206" w:lineRule="exact" w:before="30"/>
              <w:ind w:left="277" w:right="231"/>
              <w:rPr>
                <w:sz w:val="18"/>
              </w:rPr>
            </w:pPr>
            <w:r>
              <w:rPr>
                <w:sz w:val="18"/>
              </w:rPr>
              <w:t>Market 2</w:t>
            </w:r>
          </w:p>
        </w:tc>
        <w:tc>
          <w:tcPr>
            <w:tcW w:w="164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206" w:lineRule="exact" w:before="30"/>
              <w:ind w:left="605"/>
              <w:jc w:val="left"/>
              <w:rPr>
                <w:sz w:val="18"/>
              </w:rPr>
            </w:pPr>
            <w:r>
              <w:rPr>
                <w:sz w:val="18"/>
              </w:rPr>
              <w:t>18,000</w:t>
            </w:r>
          </w:p>
        </w:tc>
        <w:tc>
          <w:tcPr>
            <w:tcW w:w="238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206" w:lineRule="exact" w:before="30"/>
              <w:ind w:left="988" w:right="957"/>
              <w:rPr>
                <w:sz w:val="18"/>
              </w:rPr>
            </w:pPr>
            <w:r>
              <w:rPr>
                <w:sz w:val="18"/>
              </w:rPr>
              <w:t>72%</w:t>
            </w:r>
          </w:p>
        </w:tc>
        <w:tc>
          <w:tcPr>
            <w:tcW w:w="2379" w:type="dxa"/>
            <w:tcBorders>
              <w:top w:val="single" w:sz="6" w:space="0" w:color="D2D2D2"/>
              <w:left w:val="single" w:sz="6" w:space="0" w:color="D2D2D2"/>
              <w:bottom w:val="single" w:sz="6" w:space="0" w:color="D2D2D2"/>
              <w:right w:val="nil"/>
            </w:tcBorders>
            <w:shd w:val="clear" w:color="auto" w:fill="EEECE1"/>
          </w:tcPr>
          <w:p>
            <w:pPr>
              <w:pStyle w:val="TableParagraph"/>
              <w:spacing w:line="206" w:lineRule="exact" w:before="30"/>
              <w:ind w:left="726" w:right="706"/>
              <w:rPr>
                <w:b/>
                <w:sz w:val="18"/>
              </w:rPr>
            </w:pPr>
            <w:r>
              <w:rPr>
                <w:sz w:val="18"/>
              </w:rPr>
              <w:t>A * S/R = </w:t>
            </w:r>
            <w:r>
              <w:rPr>
                <w:b/>
                <w:sz w:val="18"/>
              </w:rPr>
              <w:t>576</w:t>
            </w:r>
          </w:p>
        </w:tc>
      </w:tr>
      <w:tr>
        <w:trPr>
          <w:trHeight w:val="265" w:hRule="atLeast"/>
        </w:trPr>
        <w:tc>
          <w:tcPr>
            <w:tcW w:w="1488" w:type="dxa"/>
            <w:tcBorders>
              <w:top w:val="single" w:sz="6" w:space="0" w:color="D2D2D2"/>
              <w:left w:val="nil"/>
              <w:bottom w:val="single" w:sz="6" w:space="0" w:color="D2D2D2"/>
              <w:right w:val="single" w:sz="6" w:space="0" w:color="D2D2D2"/>
            </w:tcBorders>
            <w:shd w:val="clear" w:color="auto" w:fill="EEECE1"/>
          </w:tcPr>
          <w:p>
            <w:pPr>
              <w:pStyle w:val="TableParagraph"/>
              <w:ind w:left="277" w:right="231"/>
              <w:rPr>
                <w:sz w:val="18"/>
              </w:rPr>
            </w:pPr>
            <w:r>
              <w:rPr>
                <w:sz w:val="18"/>
              </w:rPr>
              <w:t>Market 3</w:t>
            </w:r>
          </w:p>
        </w:tc>
        <w:tc>
          <w:tcPr>
            <w:tcW w:w="164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ind w:left="645"/>
              <w:jc w:val="left"/>
              <w:rPr>
                <w:sz w:val="18"/>
              </w:rPr>
            </w:pPr>
            <w:r>
              <w:rPr>
                <w:sz w:val="18"/>
              </w:rPr>
              <w:t>5,000</w:t>
            </w:r>
          </w:p>
        </w:tc>
        <w:tc>
          <w:tcPr>
            <w:tcW w:w="238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ind w:left="988" w:right="957"/>
              <w:rPr>
                <w:sz w:val="18"/>
              </w:rPr>
            </w:pPr>
            <w:r>
              <w:rPr>
                <w:sz w:val="18"/>
              </w:rPr>
              <w:t>20%</w:t>
            </w:r>
          </w:p>
        </w:tc>
        <w:tc>
          <w:tcPr>
            <w:tcW w:w="2379" w:type="dxa"/>
            <w:tcBorders>
              <w:top w:val="single" w:sz="6" w:space="0" w:color="D2D2D2"/>
              <w:left w:val="single" w:sz="6" w:space="0" w:color="D2D2D2"/>
              <w:bottom w:val="single" w:sz="6" w:space="0" w:color="D2D2D2"/>
              <w:right w:val="nil"/>
            </w:tcBorders>
            <w:shd w:val="clear" w:color="auto" w:fill="EEECE1"/>
          </w:tcPr>
          <w:p>
            <w:pPr>
              <w:pStyle w:val="TableParagraph"/>
              <w:ind w:left="726" w:right="706"/>
              <w:rPr>
                <w:b/>
                <w:sz w:val="18"/>
              </w:rPr>
            </w:pPr>
            <w:r>
              <w:rPr>
                <w:sz w:val="18"/>
              </w:rPr>
              <w:t>A * S/R = </w:t>
            </w:r>
            <w:r>
              <w:rPr>
                <w:b/>
                <w:sz w:val="18"/>
              </w:rPr>
              <w:t>160</w:t>
            </w:r>
          </w:p>
        </w:tc>
      </w:tr>
      <w:tr>
        <w:trPr>
          <w:trHeight w:val="241" w:hRule="atLeast"/>
        </w:trPr>
        <w:tc>
          <w:tcPr>
            <w:tcW w:w="1488" w:type="dxa"/>
            <w:tcBorders>
              <w:top w:val="single" w:sz="6" w:space="0" w:color="D2D2D2"/>
              <w:left w:val="nil"/>
              <w:right w:val="single" w:sz="6" w:space="0" w:color="D2D2D2"/>
            </w:tcBorders>
            <w:shd w:val="clear" w:color="auto" w:fill="EEECE1"/>
          </w:tcPr>
          <w:p>
            <w:pPr>
              <w:pStyle w:val="TableParagraph"/>
              <w:spacing w:line="194" w:lineRule="exact"/>
              <w:ind w:left="279" w:right="231"/>
              <w:rPr>
                <w:b/>
                <w:sz w:val="18"/>
              </w:rPr>
            </w:pPr>
            <w:r>
              <w:rPr>
                <w:b/>
                <w:sz w:val="18"/>
              </w:rPr>
              <w:t>Total</w:t>
            </w:r>
          </w:p>
        </w:tc>
        <w:tc>
          <w:tcPr>
            <w:tcW w:w="1647"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605"/>
              <w:jc w:val="left"/>
              <w:rPr>
                <w:b/>
                <w:sz w:val="18"/>
              </w:rPr>
            </w:pPr>
            <w:r>
              <w:rPr>
                <w:b/>
                <w:sz w:val="18"/>
              </w:rPr>
              <w:t>25,000</w:t>
            </w:r>
          </w:p>
        </w:tc>
        <w:tc>
          <w:tcPr>
            <w:tcW w:w="2384"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988" w:right="962"/>
              <w:rPr>
                <w:b/>
                <w:sz w:val="18"/>
              </w:rPr>
            </w:pPr>
            <w:r>
              <w:rPr>
                <w:b/>
                <w:sz w:val="18"/>
              </w:rPr>
              <w:t>100%</w:t>
            </w:r>
          </w:p>
        </w:tc>
        <w:tc>
          <w:tcPr>
            <w:tcW w:w="2379" w:type="dxa"/>
            <w:tcBorders>
              <w:top w:val="single" w:sz="6" w:space="0" w:color="D2D2D2"/>
              <w:left w:val="single" w:sz="6" w:space="0" w:color="D2D2D2"/>
              <w:right w:val="nil"/>
            </w:tcBorders>
            <w:shd w:val="clear" w:color="auto" w:fill="EEECE1"/>
          </w:tcPr>
          <w:p>
            <w:pPr>
              <w:pStyle w:val="TableParagraph"/>
              <w:spacing w:line="194" w:lineRule="exact"/>
              <w:ind w:left="798" w:right="781"/>
              <w:rPr>
                <w:b/>
                <w:sz w:val="18"/>
              </w:rPr>
            </w:pPr>
            <w:r>
              <w:rPr>
                <w:b/>
                <w:sz w:val="18"/>
              </w:rPr>
              <w:t>800</w:t>
            </w:r>
          </w:p>
        </w:tc>
      </w:tr>
    </w:tbl>
    <w:p>
      <w:pPr>
        <w:pStyle w:val="BodyText"/>
      </w:pPr>
    </w:p>
    <w:p>
      <w:pPr>
        <w:pStyle w:val="BodyText"/>
        <w:spacing w:before="9"/>
        <w:rPr>
          <w:sz w:val="28"/>
        </w:rPr>
      </w:pPr>
    </w:p>
    <w:p>
      <w:pPr>
        <w:spacing w:before="94"/>
        <w:ind w:left="1006" w:right="0" w:firstLine="0"/>
        <w:jc w:val="left"/>
        <w:rPr>
          <w:i/>
          <w:sz w:val="22"/>
        </w:rPr>
      </w:pPr>
      <w:r>
        <w:rPr/>
        <w:pict>
          <v:group style="position:absolute;margin-left:64.704002pt;margin-top:-306.972137pt;width:466.05pt;height:286.5pt;mso-position-horizontal-relative:page;mso-position-vertical-relative:paragraph;z-index:-19496448" coordorigin="1294,-6139" coordsize="9321,5730">
            <v:rect style="position:absolute;left:1303;top:-6130;width:9302;height:5710" filled="true" fillcolor="#eeece1" stroked="false">
              <v:fill type="solid"/>
            </v:rect>
            <v:shape style="position:absolute;left:1294;top:-6140;width:9321;height:5730" coordorigin="1294,-6139" coordsize="9321,5730" path="m10605,-420l1304,-420,1304,-6130,1294,-6130,1294,-420,1294,-410,1304,-410,1304,-410,10605,-410,10605,-420xm10605,-6139l1304,-6139,1304,-6139,1294,-6139,1294,-6130,1304,-6130,1304,-6130,10605,-6130,10605,-6139xm10615,-6130l10605,-6130,10605,-420,10605,-410,10615,-410,10615,-420,10615,-6130xm10615,-6139l10605,-6139,10605,-6130,10615,-6130,10615,-6139xe" filled="true" fillcolor="#4e81bd" stroked="false">
              <v:path arrowok="t"/>
              <v:fill type="solid"/>
            </v:shape>
            <v:shape style="position:absolute;left:1294;top:-6140;width:9321;height:5730" type="#_x0000_t202" filled="false" stroked="false">
              <v:textbox inset="0,0,0,0">
                <w:txbxContent>
                  <w:p>
                    <w:pPr>
                      <w:spacing w:before="38"/>
                      <w:ind w:left="146" w:right="0" w:firstLine="0"/>
                      <w:jc w:val="left"/>
                      <w:rPr>
                        <w:sz w:val="20"/>
                      </w:rPr>
                    </w:pPr>
                    <w:r>
                      <w:rPr>
                        <w:sz w:val="20"/>
                      </w:rPr>
                      <w:t>W = 6,500 – (25,000 * 10%)</w:t>
                    </w:r>
                  </w:p>
                  <w:p>
                    <w:pPr>
                      <w:spacing w:before="147"/>
                      <w:ind w:left="146" w:right="0" w:firstLine="0"/>
                      <w:jc w:val="left"/>
                      <w:rPr>
                        <w:b/>
                        <w:sz w:val="20"/>
                      </w:rPr>
                    </w:pPr>
                    <w:r>
                      <w:rPr>
                        <w:b/>
                        <w:sz w:val="20"/>
                      </w:rPr>
                      <w:t>W = 4,000</w:t>
                    </w:r>
                  </w:p>
                  <w:p>
                    <w:pPr>
                      <w:spacing w:before="154"/>
                      <w:ind w:left="146" w:right="0" w:firstLine="0"/>
                      <w:jc w:val="left"/>
                      <w:rPr>
                        <w:sz w:val="20"/>
                      </w:rPr>
                    </w:pPr>
                    <w:r>
                      <w:rPr>
                        <w:sz w:val="20"/>
                        <w:u w:val="single"/>
                      </w:rPr>
                      <w:t>Step 2: Reallocation percentage</w:t>
                    </w:r>
                  </w:p>
                  <w:p>
                    <w:pPr>
                      <w:spacing w:before="149"/>
                      <w:ind w:left="146" w:right="0" w:firstLine="0"/>
                      <w:jc w:val="left"/>
                      <w:rPr>
                        <w:sz w:val="20"/>
                      </w:rPr>
                    </w:pPr>
                    <w:r>
                      <w:rPr>
                        <w:sz w:val="20"/>
                      </w:rPr>
                      <w:t>Determine Group A’s allocable tax base (A) by multiplying residual profit (W) by 20%.</w:t>
                    </w:r>
                  </w:p>
                  <w:p>
                    <w:pPr>
                      <w:spacing w:before="149"/>
                      <w:ind w:left="146" w:right="0" w:firstLine="0"/>
                      <w:jc w:val="left"/>
                      <w:rPr>
                        <w:sz w:val="20"/>
                      </w:rPr>
                    </w:pPr>
                    <w:r>
                      <w:rPr>
                        <w:sz w:val="20"/>
                      </w:rPr>
                      <w:t>A = 20% * W</w:t>
                    </w:r>
                  </w:p>
                  <w:p>
                    <w:pPr>
                      <w:spacing w:before="152"/>
                      <w:ind w:left="146" w:right="0" w:firstLine="0"/>
                      <w:jc w:val="left"/>
                      <w:rPr>
                        <w:sz w:val="20"/>
                      </w:rPr>
                    </w:pPr>
                    <w:r>
                      <w:rPr>
                        <w:sz w:val="20"/>
                      </w:rPr>
                      <w:t>A = 20% * 4,000</w:t>
                    </w:r>
                  </w:p>
                  <w:p>
                    <w:pPr>
                      <w:spacing w:before="146"/>
                      <w:ind w:left="146" w:right="0" w:firstLine="0"/>
                      <w:jc w:val="left"/>
                      <w:rPr>
                        <w:b/>
                        <w:sz w:val="20"/>
                      </w:rPr>
                    </w:pPr>
                    <w:r>
                      <w:rPr>
                        <w:b/>
                        <w:sz w:val="20"/>
                      </w:rPr>
                      <w:t>A = 800</w:t>
                    </w:r>
                  </w:p>
                  <w:p>
                    <w:pPr>
                      <w:spacing w:before="152"/>
                      <w:ind w:left="146" w:right="0" w:firstLine="0"/>
                      <w:jc w:val="left"/>
                      <w:rPr>
                        <w:sz w:val="20"/>
                      </w:rPr>
                    </w:pPr>
                    <w:r>
                      <w:rPr>
                        <w:sz w:val="20"/>
                        <w:u w:val="single"/>
                      </w:rPr>
                      <w:t>Step 3: Allocation key</w:t>
                    </w:r>
                  </w:p>
                  <w:p>
                    <w:pPr>
                      <w:spacing w:line="271" w:lineRule="auto" w:before="152"/>
                      <w:ind w:left="146" w:right="147" w:firstLine="0"/>
                      <w:jc w:val="both"/>
                      <w:rPr>
                        <w:sz w:val="20"/>
                      </w:rPr>
                    </w:pPr>
                    <w:r>
                      <w:rPr>
                        <w:sz w:val="20"/>
                      </w:rPr>
                      <w:t>Allocation key based on the ratio of locally sourced revenue (S) to total revenue (R). This last step provides for the quantum of Amount A taxable in each eligible market jurisdiction (M), as described in the below table.</w:t>
                    </w:r>
                  </w:p>
                </w:txbxContent>
              </v:textbox>
              <w10:wrap type="none"/>
            </v:shape>
            <w10:wrap type="none"/>
          </v:group>
        </w:pict>
      </w:r>
      <w:r>
        <w:rPr>
          <w:i/>
          <w:sz w:val="22"/>
        </w:rPr>
        <w:t>Profit-margin approach</w:t>
      </w:r>
    </w:p>
    <w:p>
      <w:pPr>
        <w:pStyle w:val="ListParagraph"/>
        <w:numPr>
          <w:ilvl w:val="0"/>
          <w:numId w:val="13"/>
        </w:numPr>
        <w:tabs>
          <w:tab w:pos="1444" w:val="left" w:leader="none"/>
        </w:tabs>
        <w:spacing w:line="271" w:lineRule="auto" w:before="152" w:after="0"/>
        <w:ind w:left="723" w:right="488" w:firstLine="0"/>
        <w:jc w:val="both"/>
        <w:rPr>
          <w:sz w:val="20"/>
        </w:rPr>
      </w:pPr>
      <w:r>
        <w:rPr>
          <w:sz w:val="20"/>
        </w:rPr>
        <w:t>Consistent with the three-steps described above, the profit-margin approach can be described in algebraic form as</w:t>
      </w:r>
      <w:r>
        <w:rPr>
          <w:spacing w:val="3"/>
          <w:sz w:val="20"/>
        </w:rPr>
        <w:t> </w:t>
      </w:r>
      <w:r>
        <w:rPr>
          <w:sz w:val="20"/>
        </w:rPr>
        <w:t>follows.</w:t>
      </w:r>
      <w:r>
        <w:rPr>
          <w:position w:val="6"/>
          <w:sz w:val="13"/>
        </w:rPr>
        <w:t>167</w:t>
      </w:r>
    </w:p>
    <w:p>
      <w:pPr>
        <w:pStyle w:val="ListParagraph"/>
        <w:numPr>
          <w:ilvl w:val="1"/>
          <w:numId w:val="13"/>
        </w:numPr>
        <w:tabs>
          <w:tab w:pos="1785" w:val="left" w:leader="none"/>
        </w:tabs>
        <w:spacing w:line="271" w:lineRule="auto" w:before="103" w:after="0"/>
        <w:ind w:left="1784" w:right="481" w:hanging="360"/>
        <w:jc w:val="both"/>
        <w:rPr>
          <w:sz w:val="20"/>
        </w:rPr>
      </w:pPr>
      <w:r>
        <w:rPr>
          <w:b/>
          <w:sz w:val="20"/>
        </w:rPr>
        <w:t>Step 1: </w:t>
      </w:r>
      <w:r>
        <w:rPr>
          <w:sz w:val="20"/>
        </w:rPr>
        <w:t>Isolate the residual profit margin (if any) of the group or, where relevant, the segment by deducting the deemed routine profit margin – e.g. a percentage of PBT to revenue (“z”) – from the total profit margin. Assuming that the Amount A tax base for the relevant group or segment is “P”, revenues of the group or segment are “R”, and the profit margin of the group or segment is “P/R”, this means that Amount A applies only if “P/R” is greater than z, and that a positive residual profit margin “w” can be calculated</w:t>
      </w:r>
      <w:r>
        <w:rPr>
          <w:spacing w:val="-11"/>
          <w:sz w:val="20"/>
        </w:rPr>
        <w:t> </w:t>
      </w:r>
      <w:r>
        <w:rPr>
          <w:sz w:val="20"/>
        </w:rPr>
        <w:t>as:</w:t>
      </w:r>
    </w:p>
    <w:p>
      <w:pPr>
        <w:pStyle w:val="BodyText"/>
        <w:spacing w:before="115"/>
        <w:ind w:left="1386" w:right="1151"/>
        <w:jc w:val="center"/>
        <w:rPr>
          <w:rFonts w:ascii="Cambria Math" w:hAnsi="Cambria Math" w:eastAsia="Cambria Math"/>
        </w:rPr>
      </w:pPr>
      <w:r>
        <w:rPr>
          <w:rFonts w:ascii="Cambria Math" w:hAnsi="Cambria Math" w:eastAsia="Cambria Math"/>
        </w:rPr>
        <w:t>𝑤  = 𝑃/𝑅 − 𝑧</w:t>
      </w:r>
    </w:p>
    <w:p>
      <w:pPr>
        <w:pStyle w:val="ListParagraph"/>
        <w:numPr>
          <w:ilvl w:val="1"/>
          <w:numId w:val="13"/>
        </w:numPr>
        <w:tabs>
          <w:tab w:pos="1785" w:val="left" w:leader="none"/>
        </w:tabs>
        <w:spacing w:line="271" w:lineRule="auto" w:before="136" w:after="0"/>
        <w:ind w:left="1784" w:right="487" w:hanging="360"/>
        <w:jc w:val="both"/>
        <w:rPr>
          <w:sz w:val="20"/>
        </w:rPr>
      </w:pPr>
      <w:r>
        <w:rPr>
          <w:b/>
          <w:sz w:val="20"/>
        </w:rPr>
        <w:t>Step</w:t>
      </w:r>
      <w:r>
        <w:rPr>
          <w:b/>
          <w:spacing w:val="-7"/>
          <w:sz w:val="20"/>
        </w:rPr>
        <w:t> </w:t>
      </w:r>
      <w:r>
        <w:rPr>
          <w:b/>
          <w:sz w:val="20"/>
        </w:rPr>
        <w:t>2:</w:t>
      </w:r>
      <w:r>
        <w:rPr>
          <w:b/>
          <w:spacing w:val="-3"/>
          <w:sz w:val="20"/>
        </w:rPr>
        <w:t> </w:t>
      </w:r>
      <w:r>
        <w:rPr>
          <w:sz w:val="20"/>
        </w:rPr>
        <w:t>Separate</w:t>
      </w:r>
      <w:r>
        <w:rPr>
          <w:spacing w:val="-7"/>
          <w:sz w:val="20"/>
        </w:rPr>
        <w:t> </w:t>
      </w:r>
      <w:r>
        <w:rPr>
          <w:sz w:val="20"/>
        </w:rPr>
        <w:t>“w”</w:t>
      </w:r>
      <w:r>
        <w:rPr>
          <w:spacing w:val="-3"/>
          <w:sz w:val="20"/>
        </w:rPr>
        <w:t> </w:t>
      </w:r>
      <w:r>
        <w:rPr>
          <w:sz w:val="20"/>
        </w:rPr>
        <w:t>between</w:t>
      </w:r>
      <w:r>
        <w:rPr>
          <w:spacing w:val="-7"/>
          <w:sz w:val="20"/>
        </w:rPr>
        <w:t> </w:t>
      </w:r>
      <w:r>
        <w:rPr>
          <w:sz w:val="20"/>
        </w:rPr>
        <w:t>the</w:t>
      </w:r>
      <w:r>
        <w:rPr>
          <w:spacing w:val="-7"/>
          <w:sz w:val="20"/>
        </w:rPr>
        <w:t> </w:t>
      </w:r>
      <w:r>
        <w:rPr>
          <w:sz w:val="20"/>
        </w:rPr>
        <w:t>portion</w:t>
      </w:r>
      <w:r>
        <w:rPr>
          <w:spacing w:val="-7"/>
          <w:sz w:val="20"/>
        </w:rPr>
        <w:t> </w:t>
      </w:r>
      <w:r>
        <w:rPr>
          <w:sz w:val="20"/>
        </w:rPr>
        <w:t>of</w:t>
      </w:r>
      <w:r>
        <w:rPr>
          <w:spacing w:val="-6"/>
          <w:sz w:val="20"/>
        </w:rPr>
        <w:t> </w:t>
      </w:r>
      <w:r>
        <w:rPr>
          <w:sz w:val="20"/>
        </w:rPr>
        <w:t>residual</w:t>
      </w:r>
      <w:r>
        <w:rPr>
          <w:spacing w:val="-5"/>
          <w:sz w:val="20"/>
        </w:rPr>
        <w:t> </w:t>
      </w:r>
      <w:r>
        <w:rPr>
          <w:sz w:val="20"/>
        </w:rPr>
        <w:t>profitability</w:t>
      </w:r>
      <w:r>
        <w:rPr>
          <w:spacing w:val="-7"/>
          <w:sz w:val="20"/>
        </w:rPr>
        <w:t> </w:t>
      </w:r>
      <w:r>
        <w:rPr>
          <w:sz w:val="20"/>
        </w:rPr>
        <w:t>attributable</w:t>
      </w:r>
      <w:r>
        <w:rPr>
          <w:spacing w:val="-7"/>
          <w:sz w:val="20"/>
        </w:rPr>
        <w:t> </w:t>
      </w:r>
      <w:r>
        <w:rPr>
          <w:sz w:val="20"/>
        </w:rPr>
        <w:t>to</w:t>
      </w:r>
      <w:r>
        <w:rPr>
          <w:spacing w:val="-5"/>
          <w:sz w:val="20"/>
        </w:rPr>
        <w:t> </w:t>
      </w:r>
      <w:r>
        <w:rPr>
          <w:sz w:val="20"/>
        </w:rPr>
        <w:t>Amount</w:t>
      </w:r>
      <w:r>
        <w:rPr>
          <w:spacing w:val="-5"/>
          <w:sz w:val="20"/>
        </w:rPr>
        <w:t> </w:t>
      </w:r>
      <w:r>
        <w:rPr>
          <w:sz w:val="20"/>
        </w:rPr>
        <w:t>A</w:t>
      </w:r>
      <w:r>
        <w:rPr>
          <w:spacing w:val="-7"/>
          <w:sz w:val="20"/>
        </w:rPr>
        <w:t> </w:t>
      </w:r>
      <w:r>
        <w:rPr>
          <w:sz w:val="20"/>
        </w:rPr>
        <w:t>(the allocable tax base, “a”) and other factors, such as trade intangibles, capital and risk (“X”). If the agreed portion of residual profitability attributable to Amount A is, for example, a percentage (“y”), then “a” can be calculated</w:t>
      </w:r>
      <w:r>
        <w:rPr>
          <w:spacing w:val="-11"/>
          <w:sz w:val="20"/>
        </w:rPr>
        <w:t> </w:t>
      </w:r>
      <w:r>
        <w:rPr>
          <w:sz w:val="20"/>
        </w:rPr>
        <w:t>as:</w:t>
      </w:r>
    </w:p>
    <w:p>
      <w:pPr>
        <w:pStyle w:val="BodyText"/>
        <w:spacing w:before="115"/>
        <w:ind w:left="1386" w:right="1153"/>
        <w:jc w:val="center"/>
        <w:rPr>
          <w:rFonts w:ascii="Cambria Math" w:hAnsi="Cambria Math" w:eastAsia="Cambria Math"/>
        </w:rPr>
      </w:pPr>
      <w:r>
        <w:rPr>
          <w:rFonts w:ascii="Cambria Math" w:hAnsi="Cambria Math" w:eastAsia="Cambria Math"/>
        </w:rPr>
        <w:t>𝑎  = 𝑦  × 𝑤</w:t>
      </w:r>
    </w:p>
    <w:p>
      <w:pPr>
        <w:pStyle w:val="ListParagraph"/>
        <w:numPr>
          <w:ilvl w:val="1"/>
          <w:numId w:val="13"/>
        </w:numPr>
        <w:tabs>
          <w:tab w:pos="1785" w:val="left" w:leader="none"/>
        </w:tabs>
        <w:spacing w:line="271" w:lineRule="auto" w:before="133" w:after="0"/>
        <w:ind w:left="1784" w:right="487" w:hanging="360"/>
        <w:jc w:val="both"/>
        <w:rPr>
          <w:sz w:val="20"/>
        </w:rPr>
      </w:pPr>
      <w:r>
        <w:rPr>
          <w:b/>
          <w:sz w:val="20"/>
        </w:rPr>
        <w:t>Step 3</w:t>
      </w:r>
      <w:r>
        <w:rPr>
          <w:sz w:val="20"/>
        </w:rPr>
        <w:t>: Allocate the relevant portion of residual profitability attributable to Amount A to the market jurisdictions that meet the new nexus threshold. This would be done through an allocation</w:t>
      </w:r>
      <w:r>
        <w:rPr>
          <w:spacing w:val="16"/>
          <w:sz w:val="20"/>
        </w:rPr>
        <w:t> </w:t>
      </w:r>
      <w:r>
        <w:rPr>
          <w:sz w:val="20"/>
        </w:rPr>
        <w:t>key</w:t>
      </w:r>
      <w:r>
        <w:rPr>
          <w:spacing w:val="14"/>
          <w:sz w:val="20"/>
        </w:rPr>
        <w:t> </w:t>
      </w:r>
      <w:r>
        <w:rPr>
          <w:sz w:val="20"/>
        </w:rPr>
        <w:t>based</w:t>
      </w:r>
      <w:r>
        <w:rPr>
          <w:spacing w:val="17"/>
          <w:sz w:val="20"/>
        </w:rPr>
        <w:t> </w:t>
      </w:r>
      <w:r>
        <w:rPr>
          <w:sz w:val="20"/>
        </w:rPr>
        <w:t>on</w:t>
      </w:r>
      <w:r>
        <w:rPr>
          <w:spacing w:val="17"/>
          <w:sz w:val="20"/>
        </w:rPr>
        <w:t> </w:t>
      </w:r>
      <w:r>
        <w:rPr>
          <w:sz w:val="20"/>
        </w:rPr>
        <w:t>local</w:t>
      </w:r>
      <w:r>
        <w:rPr>
          <w:spacing w:val="16"/>
          <w:sz w:val="20"/>
        </w:rPr>
        <w:t> </w:t>
      </w:r>
      <w:r>
        <w:rPr>
          <w:sz w:val="20"/>
        </w:rPr>
        <w:t>revenue.</w:t>
      </w:r>
      <w:r>
        <w:rPr>
          <w:spacing w:val="18"/>
          <w:sz w:val="20"/>
        </w:rPr>
        <w:t> </w:t>
      </w:r>
      <w:r>
        <w:rPr>
          <w:sz w:val="20"/>
        </w:rPr>
        <w:t>Assuming</w:t>
      </w:r>
      <w:r>
        <w:rPr>
          <w:spacing w:val="17"/>
          <w:sz w:val="20"/>
        </w:rPr>
        <w:t> </w:t>
      </w:r>
      <w:r>
        <w:rPr>
          <w:sz w:val="20"/>
        </w:rPr>
        <w:t>that</w:t>
      </w:r>
      <w:r>
        <w:rPr>
          <w:spacing w:val="18"/>
          <w:sz w:val="20"/>
        </w:rPr>
        <w:t> </w:t>
      </w:r>
      <w:r>
        <w:rPr>
          <w:sz w:val="20"/>
        </w:rPr>
        <w:t>in</w:t>
      </w:r>
      <w:r>
        <w:rPr>
          <w:spacing w:val="17"/>
          <w:sz w:val="20"/>
        </w:rPr>
        <w:t> </w:t>
      </w:r>
      <w:r>
        <w:rPr>
          <w:sz w:val="20"/>
        </w:rPr>
        <w:t>a</w:t>
      </w:r>
      <w:r>
        <w:rPr>
          <w:spacing w:val="17"/>
          <w:sz w:val="20"/>
        </w:rPr>
        <w:t> </w:t>
      </w:r>
      <w:r>
        <w:rPr>
          <w:sz w:val="20"/>
        </w:rPr>
        <w:t>particular</w:t>
      </w:r>
      <w:r>
        <w:rPr>
          <w:spacing w:val="16"/>
          <w:sz w:val="20"/>
        </w:rPr>
        <w:t> </w:t>
      </w:r>
      <w:r>
        <w:rPr>
          <w:sz w:val="20"/>
        </w:rPr>
        <w:t>market</w:t>
      </w:r>
      <w:r>
        <w:rPr>
          <w:spacing w:val="17"/>
          <w:sz w:val="20"/>
        </w:rPr>
        <w:t> </w:t>
      </w:r>
      <w:r>
        <w:rPr>
          <w:sz w:val="20"/>
        </w:rPr>
        <w:t>jurisdiction</w:t>
      </w:r>
      <w:r>
        <w:rPr>
          <w:spacing w:val="17"/>
          <w:sz w:val="20"/>
        </w:rPr>
        <w:t> </w:t>
      </w:r>
      <w:r>
        <w:rPr>
          <w:sz w:val="20"/>
        </w:rPr>
        <w:t>the</w:t>
      </w:r>
    </w:p>
    <w:p>
      <w:pPr>
        <w:pStyle w:val="BodyText"/>
      </w:pPr>
    </w:p>
    <w:p>
      <w:pPr>
        <w:pStyle w:val="BodyText"/>
        <w:spacing w:before="8"/>
        <w:rPr>
          <w:sz w:val="16"/>
        </w:rPr>
      </w:pPr>
      <w:r>
        <w:rPr/>
        <w:pict>
          <v:rect style="position:absolute;margin-left:65.183998pt;margin-top:11.549515pt;width:144.020004pt;height:.60004pt;mso-position-horizontal-relative:page;mso-position-vertical-relative:paragraph;z-index:-15633920;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22" w:val="left" w:leader="none"/>
        </w:tabs>
        <w:spacing w:line="278" w:lineRule="auto" w:before="94" w:after="0"/>
        <w:ind w:left="723" w:right="495" w:firstLine="0"/>
        <w:jc w:val="left"/>
        <w:rPr>
          <w:sz w:val="18"/>
        </w:rPr>
      </w:pPr>
      <w:r>
        <w:rPr>
          <w:sz w:val="18"/>
        </w:rPr>
        <w:t>To facilitate the illustration, the calculation assumes that all the revenue of the MNE group (or segment where relevant) falls in the scope of Amount A (see section</w:t>
      </w:r>
      <w:r>
        <w:rPr>
          <w:spacing w:val="-4"/>
          <w:sz w:val="18"/>
        </w:rPr>
        <w:t> </w:t>
      </w:r>
      <w:hyperlink w:history="true" w:anchor="_bookmark8">
        <w:r>
          <w:rPr>
            <w:sz w:val="18"/>
          </w:rPr>
          <w:t>2.2</w:t>
        </w:r>
      </w:hyperlink>
      <w:r>
        <w:rPr>
          <w:sz w:val="18"/>
        </w:rPr>
        <w:t>).</w:t>
      </w:r>
    </w:p>
    <w:p>
      <w:pPr>
        <w:spacing w:after="0" w:line="278" w:lineRule="auto"/>
        <w:jc w:val="left"/>
        <w:rPr>
          <w:sz w:val="18"/>
        </w:rPr>
        <w:sectPr>
          <w:pgSz w:w="11910" w:h="16840"/>
          <w:pgMar w:header="1244" w:footer="1638" w:top="1500" w:bottom="1820" w:left="580" w:right="820"/>
        </w:sectPr>
      </w:pPr>
    </w:p>
    <w:p>
      <w:pPr>
        <w:pStyle w:val="BodyText"/>
        <w:spacing w:before="5"/>
      </w:pPr>
      <w:r>
        <w:rPr/>
        <w:pict>
          <v:shape style="position:absolute;margin-left:494.739014pt;margin-top:605.356995pt;width:.15pt;height:92.35pt;mso-position-horizontal-relative:page;mso-position-vertical-relative:page;z-index:15824896" coordorigin="9895,12107" coordsize="3,1847" path="m9897,13387l9895,13387,9895,13668,9895,13953,9897,13953,9897,13668,9897,13387xm9897,12107l9895,12107,9895,12837,9895,12837,9895,13118,9895,13387,9897,13387,9897,13118,9897,12837,9897,12837,9897,12107xe" filled="true" fillcolor="#eeece1" stroked="false">
            <v:path arrowok="t"/>
            <v:fill type="solid"/>
            <w10:wrap type="none"/>
          </v:shape>
        </w:pict>
      </w:r>
    </w:p>
    <w:p>
      <w:pPr>
        <w:pStyle w:val="BodyText"/>
        <w:spacing w:before="93"/>
        <w:ind w:left="1784"/>
      </w:pPr>
      <w:r>
        <w:rPr/>
        <w:t>group or, where relevant, the segment local revenue is “S”, then the quantum of Amount A</w:t>
      </w:r>
    </w:p>
    <w:p>
      <w:pPr>
        <w:pStyle w:val="BodyText"/>
        <w:spacing w:before="29"/>
        <w:ind w:left="1784"/>
      </w:pPr>
      <w:r>
        <w:rPr/>
        <w:t>profit allocated to that particular market, expressed as “M”, can be calculated as:</w:t>
      </w:r>
    </w:p>
    <w:p>
      <w:pPr>
        <w:pStyle w:val="BodyText"/>
        <w:spacing w:before="145"/>
        <w:ind w:left="1386" w:right="1151"/>
        <w:jc w:val="center"/>
        <w:rPr>
          <w:rFonts w:ascii="Cambria Math" w:hAnsi="Cambria Math" w:eastAsia="Cambria Math"/>
        </w:rPr>
      </w:pPr>
      <w:r>
        <w:rPr>
          <w:rFonts w:ascii="Cambria Math" w:hAnsi="Cambria Math" w:eastAsia="Cambria Math"/>
        </w:rPr>
        <w:t>𝑀  = 𝑆 × 𝑎</w:t>
      </w:r>
    </w:p>
    <w:p>
      <w:pPr>
        <w:pStyle w:val="ListParagraph"/>
        <w:numPr>
          <w:ilvl w:val="0"/>
          <w:numId w:val="13"/>
        </w:numPr>
        <w:tabs>
          <w:tab w:pos="1443" w:val="left" w:leader="none"/>
          <w:tab w:pos="1444" w:val="left" w:leader="none"/>
        </w:tabs>
        <w:spacing w:line="271" w:lineRule="auto" w:before="152" w:after="0"/>
        <w:ind w:left="723" w:right="481" w:firstLine="0"/>
        <w:jc w:val="left"/>
        <w:rPr>
          <w:sz w:val="20"/>
        </w:rPr>
      </w:pPr>
      <w:r>
        <w:rPr>
          <w:sz w:val="20"/>
        </w:rPr>
        <w:t>After bringing the three components together, the Amount A formula under a profit-margin approach</w:t>
      </w:r>
      <w:r>
        <w:rPr>
          <w:spacing w:val="-2"/>
          <w:sz w:val="20"/>
        </w:rPr>
        <w:t> </w:t>
      </w:r>
      <w:r>
        <w:rPr>
          <w:sz w:val="20"/>
        </w:rPr>
        <w:t>becomes:</w:t>
      </w:r>
    </w:p>
    <w:p>
      <w:pPr>
        <w:pStyle w:val="BodyText"/>
        <w:spacing w:before="113"/>
        <w:ind w:left="1386" w:right="1146"/>
        <w:jc w:val="center"/>
        <w:rPr>
          <w:rFonts w:ascii="Cambria Math" w:hAnsi="Cambria Math" w:eastAsia="Cambria Math"/>
        </w:rPr>
      </w:pPr>
      <w:r>
        <w:rPr/>
        <w:pict>
          <v:group style="position:absolute;margin-left:64.704002pt;margin-top:42.511971pt;width:466.05pt;height:493.65pt;mso-position-horizontal-relative:page;mso-position-vertical-relative:paragraph;z-index:-19495936" coordorigin="1294,850" coordsize="9321,9873">
            <v:rect style="position:absolute;left:1303;top:860;width:9302;height:9851" filled="true" fillcolor="#eeece1" stroked="false">
              <v:fill type="solid"/>
            </v:rect>
            <v:shape style="position:absolute;left:1294;top:850;width:9321;height:9873" coordorigin="1294,850" coordsize="9321,9873" path="m10605,10713l1304,10713,1304,860,1294,860,1294,10713,1294,10723,1304,10723,1304,10723,10605,10723,10605,10713xm10605,850l1304,850,1304,850,1294,850,1294,860,1304,860,1304,860,10605,860,10605,850xm10615,860l10605,860,10605,10713,10605,10723,10615,10723,10615,10713,10615,860xm10615,850l10605,850,10605,860,10615,860,10615,850xe" filled="true" fillcolor="#4e81bd" stroked="false">
              <v:path arrowok="t"/>
              <v:fill type="solid"/>
            </v:shape>
            <v:shape style="position:absolute;left:1294;top:850;width:9321;height:9873" type="#_x0000_t202" filled="false" stroked="false">
              <v:textbox inset="0,0,0,0">
                <w:txbxContent>
                  <w:p>
                    <w:pPr>
                      <w:spacing w:line="240" w:lineRule="auto" w:before="6"/>
                      <w:rPr>
                        <w:rFonts w:ascii="Cambria Math"/>
                        <w:sz w:val="31"/>
                      </w:rPr>
                    </w:pPr>
                  </w:p>
                  <w:p>
                    <w:pPr>
                      <w:spacing w:before="1"/>
                      <w:ind w:left="146" w:right="0" w:firstLine="0"/>
                      <w:jc w:val="left"/>
                      <w:rPr>
                        <w:rFonts w:ascii="Arial Narrow" w:hAnsi="Arial Narrow"/>
                        <w:b/>
                        <w:sz w:val="24"/>
                      </w:rPr>
                    </w:pPr>
                    <w:r>
                      <w:rPr>
                        <w:rFonts w:ascii="Arial Narrow" w:hAnsi="Arial Narrow"/>
                        <w:b/>
                        <w:color w:val="4E81BD"/>
                        <w:sz w:val="24"/>
                      </w:rPr>
                      <w:t>Box B.2. Example – profit-margin based approach</w:t>
                    </w:r>
                  </w:p>
                  <w:p>
                    <w:pPr>
                      <w:spacing w:line="271" w:lineRule="auto" w:before="213"/>
                      <w:ind w:left="146" w:right="0" w:firstLine="0"/>
                      <w:jc w:val="left"/>
                      <w:rPr>
                        <w:sz w:val="20"/>
                      </w:rPr>
                    </w:pPr>
                    <w:r>
                      <w:rPr>
                        <w:sz w:val="20"/>
                      </w:rPr>
                      <w:t>For the purpose of this example, it is assumed that the Amount A formula includes a 10% profitability threshold (step 1) and 20% reallocation percentage (step 2).</w:t>
                    </w:r>
                  </w:p>
                  <w:p>
                    <w:pPr>
                      <w:spacing w:before="151"/>
                      <w:ind w:left="146" w:right="0" w:firstLine="0"/>
                      <w:jc w:val="left"/>
                      <w:rPr>
                        <w:rFonts w:ascii="Arial Narrow"/>
                        <w:b/>
                        <w:sz w:val="22"/>
                      </w:rPr>
                    </w:pPr>
                    <w:r>
                      <w:rPr>
                        <w:rFonts w:ascii="Arial Narrow"/>
                        <w:b/>
                        <w:sz w:val="22"/>
                      </w:rPr>
                      <w:t>Facts</w:t>
                    </w:r>
                  </w:p>
                  <w:p>
                    <w:pPr>
                      <w:spacing w:before="188"/>
                      <w:ind w:left="146" w:right="0" w:firstLine="0"/>
                      <w:jc w:val="left"/>
                      <w:rPr>
                        <w:sz w:val="20"/>
                      </w:rPr>
                    </w:pPr>
                    <w:r>
                      <w:rPr>
                        <w:sz w:val="20"/>
                      </w:rPr>
                      <w:t>The same as in the other example (see Box 6.4).</w:t>
                    </w:r>
                  </w:p>
                  <w:p>
                    <w:pPr>
                      <w:spacing w:before="179"/>
                      <w:ind w:left="146" w:right="0" w:firstLine="0"/>
                      <w:jc w:val="left"/>
                      <w:rPr>
                        <w:rFonts w:ascii="Arial Narrow"/>
                        <w:b/>
                        <w:sz w:val="22"/>
                      </w:rPr>
                    </w:pPr>
                    <w:r>
                      <w:rPr>
                        <w:rFonts w:ascii="Arial Narrow"/>
                        <w:b/>
                        <w:sz w:val="22"/>
                      </w:rPr>
                      <w:t>Applying Amount A formula</w:t>
                    </w:r>
                  </w:p>
                  <w:p>
                    <w:pPr>
                      <w:spacing w:before="188"/>
                      <w:ind w:left="146" w:right="0" w:firstLine="0"/>
                      <w:jc w:val="left"/>
                      <w:rPr>
                        <w:sz w:val="20"/>
                      </w:rPr>
                    </w:pPr>
                    <w:r>
                      <w:rPr>
                        <w:sz w:val="20"/>
                        <w:u w:val="single"/>
                      </w:rPr>
                      <w:t>Step 1: Profitability Threshold</w:t>
                    </w:r>
                  </w:p>
                  <w:p>
                    <w:pPr>
                      <w:spacing w:before="150"/>
                      <w:ind w:left="146" w:right="0" w:firstLine="0"/>
                      <w:jc w:val="left"/>
                      <w:rPr>
                        <w:sz w:val="20"/>
                      </w:rPr>
                    </w:pPr>
                    <w:r>
                      <w:rPr>
                        <w:sz w:val="20"/>
                      </w:rPr>
                      <w:t>Determine Group A’s residual profit margin (w) by deducting 10% from the total PBT margin (P/R).</w:t>
                    </w:r>
                  </w:p>
                  <w:p>
                    <w:pPr>
                      <w:spacing w:line="396" w:lineRule="auto" w:before="151"/>
                      <w:ind w:left="146" w:right="7722" w:firstLine="0"/>
                      <w:jc w:val="left"/>
                      <w:rPr>
                        <w:sz w:val="20"/>
                      </w:rPr>
                    </w:pPr>
                    <w:r>
                      <w:rPr>
                        <w:sz w:val="20"/>
                      </w:rPr>
                      <w:t>w = P/R – 10% w = 26% – 10%</w:t>
                    </w:r>
                  </w:p>
                  <w:p>
                    <w:pPr>
                      <w:spacing w:line="227" w:lineRule="exact" w:before="0"/>
                      <w:ind w:left="146" w:right="0" w:firstLine="0"/>
                      <w:jc w:val="left"/>
                      <w:rPr>
                        <w:b/>
                        <w:sz w:val="20"/>
                      </w:rPr>
                    </w:pPr>
                    <w:r>
                      <w:rPr>
                        <w:b/>
                        <w:sz w:val="20"/>
                      </w:rPr>
                      <w:t>w = 16%</w:t>
                    </w:r>
                  </w:p>
                  <w:p>
                    <w:pPr>
                      <w:spacing w:before="155"/>
                      <w:ind w:left="146" w:right="0" w:firstLine="0"/>
                      <w:jc w:val="left"/>
                      <w:rPr>
                        <w:sz w:val="20"/>
                      </w:rPr>
                    </w:pPr>
                    <w:r>
                      <w:rPr>
                        <w:sz w:val="20"/>
                        <w:u w:val="single"/>
                      </w:rPr>
                      <w:t>Step 2: Reallocation percentage</w:t>
                    </w:r>
                  </w:p>
                  <w:p>
                    <w:pPr>
                      <w:spacing w:line="271" w:lineRule="auto" w:before="149"/>
                      <w:ind w:left="146" w:right="72" w:firstLine="0"/>
                      <w:jc w:val="left"/>
                      <w:rPr>
                        <w:sz w:val="20"/>
                      </w:rPr>
                    </w:pPr>
                    <w:r>
                      <w:rPr>
                        <w:sz w:val="20"/>
                      </w:rPr>
                      <w:t>Determine Group A’s portion of residual profitability attributable to Amount A by multiplying the residual profit margin (W) by 20%.</w:t>
                    </w:r>
                  </w:p>
                  <w:p>
                    <w:pPr>
                      <w:spacing w:before="121"/>
                      <w:ind w:left="146" w:right="0" w:firstLine="0"/>
                      <w:jc w:val="left"/>
                      <w:rPr>
                        <w:sz w:val="20"/>
                      </w:rPr>
                    </w:pPr>
                    <w:r>
                      <w:rPr>
                        <w:sz w:val="20"/>
                      </w:rPr>
                      <w:t>a = 20% * W</w:t>
                    </w:r>
                  </w:p>
                  <w:p>
                    <w:pPr>
                      <w:spacing w:before="149"/>
                      <w:ind w:left="146" w:right="0" w:firstLine="0"/>
                      <w:jc w:val="left"/>
                      <w:rPr>
                        <w:sz w:val="20"/>
                      </w:rPr>
                    </w:pPr>
                    <w:r>
                      <w:rPr>
                        <w:sz w:val="20"/>
                      </w:rPr>
                      <w:t>a = 20% * 16%</w:t>
                    </w:r>
                  </w:p>
                  <w:p>
                    <w:pPr>
                      <w:spacing w:before="147"/>
                      <w:ind w:left="146" w:right="0" w:firstLine="0"/>
                      <w:jc w:val="left"/>
                      <w:rPr>
                        <w:b/>
                        <w:sz w:val="20"/>
                      </w:rPr>
                    </w:pPr>
                    <w:r>
                      <w:rPr>
                        <w:b/>
                        <w:sz w:val="20"/>
                      </w:rPr>
                      <w:t>a = 3,2%</w:t>
                    </w:r>
                  </w:p>
                  <w:p>
                    <w:pPr>
                      <w:spacing w:before="154"/>
                      <w:ind w:left="146" w:right="0" w:firstLine="0"/>
                      <w:jc w:val="left"/>
                      <w:rPr>
                        <w:sz w:val="20"/>
                      </w:rPr>
                    </w:pPr>
                    <w:r>
                      <w:rPr>
                        <w:sz w:val="20"/>
                        <w:u w:val="single"/>
                      </w:rPr>
                      <w:t>Step 3: Allocation key</w:t>
                    </w:r>
                  </w:p>
                  <w:p>
                    <w:pPr>
                      <w:spacing w:line="271" w:lineRule="auto" w:before="149"/>
                      <w:ind w:left="146" w:right="88" w:firstLine="0"/>
                      <w:jc w:val="left"/>
                      <w:rPr>
                        <w:sz w:val="20"/>
                      </w:rPr>
                    </w:pPr>
                    <w:r>
                      <w:rPr>
                        <w:sz w:val="20"/>
                      </w:rPr>
                      <w:t>Allocation</w:t>
                    </w:r>
                    <w:r>
                      <w:rPr>
                        <w:spacing w:val="-10"/>
                        <w:sz w:val="20"/>
                      </w:rPr>
                      <w:t> </w:t>
                    </w:r>
                    <w:r>
                      <w:rPr>
                        <w:sz w:val="20"/>
                      </w:rPr>
                      <w:t>key</w:t>
                    </w:r>
                    <w:r>
                      <w:rPr>
                        <w:spacing w:val="-12"/>
                        <w:sz w:val="20"/>
                      </w:rPr>
                      <w:t> </w:t>
                    </w:r>
                    <w:r>
                      <w:rPr>
                        <w:sz w:val="20"/>
                      </w:rPr>
                      <w:t>based</w:t>
                    </w:r>
                    <w:r>
                      <w:rPr>
                        <w:spacing w:val="-9"/>
                        <w:sz w:val="20"/>
                      </w:rPr>
                      <w:t> </w:t>
                    </w:r>
                    <w:r>
                      <w:rPr>
                        <w:sz w:val="20"/>
                      </w:rPr>
                      <w:t>on</w:t>
                    </w:r>
                    <w:r>
                      <w:rPr>
                        <w:spacing w:val="-9"/>
                        <w:sz w:val="20"/>
                      </w:rPr>
                      <w:t> </w:t>
                    </w:r>
                    <w:r>
                      <w:rPr>
                        <w:sz w:val="20"/>
                      </w:rPr>
                      <w:t>locally</w:t>
                    </w:r>
                    <w:r>
                      <w:rPr>
                        <w:spacing w:val="-12"/>
                        <w:sz w:val="20"/>
                      </w:rPr>
                      <w:t> </w:t>
                    </w:r>
                    <w:r>
                      <w:rPr>
                        <w:sz w:val="20"/>
                      </w:rPr>
                      <w:t>sourced</w:t>
                    </w:r>
                    <w:r>
                      <w:rPr>
                        <w:spacing w:val="-9"/>
                        <w:sz w:val="20"/>
                      </w:rPr>
                      <w:t> </w:t>
                    </w:r>
                    <w:r>
                      <w:rPr>
                        <w:sz w:val="20"/>
                      </w:rPr>
                      <w:t>revenue</w:t>
                    </w:r>
                    <w:r>
                      <w:rPr>
                        <w:spacing w:val="-9"/>
                        <w:sz w:val="20"/>
                      </w:rPr>
                      <w:t> </w:t>
                    </w:r>
                    <w:r>
                      <w:rPr>
                        <w:sz w:val="20"/>
                      </w:rPr>
                      <w:t>(S).</w:t>
                    </w:r>
                    <w:r>
                      <w:rPr>
                        <w:spacing w:val="-9"/>
                        <w:sz w:val="20"/>
                      </w:rPr>
                      <w:t> </w:t>
                    </w:r>
                    <w:r>
                      <w:rPr>
                        <w:sz w:val="20"/>
                      </w:rPr>
                      <w:t>This</w:t>
                    </w:r>
                    <w:r>
                      <w:rPr>
                        <w:spacing w:val="-9"/>
                        <w:sz w:val="20"/>
                      </w:rPr>
                      <w:t> </w:t>
                    </w:r>
                    <w:r>
                      <w:rPr>
                        <w:sz w:val="20"/>
                      </w:rPr>
                      <w:t>last</w:t>
                    </w:r>
                    <w:r>
                      <w:rPr>
                        <w:spacing w:val="-9"/>
                        <w:sz w:val="20"/>
                      </w:rPr>
                      <w:t> </w:t>
                    </w:r>
                    <w:r>
                      <w:rPr>
                        <w:sz w:val="20"/>
                      </w:rPr>
                      <w:t>step</w:t>
                    </w:r>
                    <w:r>
                      <w:rPr>
                        <w:spacing w:val="-9"/>
                        <w:sz w:val="20"/>
                      </w:rPr>
                      <w:t> </w:t>
                    </w:r>
                    <w:r>
                      <w:rPr>
                        <w:sz w:val="20"/>
                      </w:rPr>
                      <w:t>provides</w:t>
                    </w:r>
                    <w:r>
                      <w:rPr>
                        <w:spacing w:val="-8"/>
                        <w:sz w:val="20"/>
                      </w:rPr>
                      <w:t> </w:t>
                    </w:r>
                    <w:r>
                      <w:rPr>
                        <w:sz w:val="20"/>
                      </w:rPr>
                      <w:t>for</w:t>
                    </w:r>
                    <w:r>
                      <w:rPr>
                        <w:spacing w:val="-8"/>
                        <w:sz w:val="20"/>
                      </w:rPr>
                      <w:t> </w:t>
                    </w:r>
                    <w:r>
                      <w:rPr>
                        <w:sz w:val="20"/>
                      </w:rPr>
                      <w:t>the</w:t>
                    </w:r>
                    <w:r>
                      <w:rPr>
                        <w:spacing w:val="-9"/>
                        <w:sz w:val="20"/>
                      </w:rPr>
                      <w:t> </w:t>
                    </w:r>
                    <w:r>
                      <w:rPr>
                        <w:sz w:val="20"/>
                      </w:rPr>
                      <w:t>quantum</w:t>
                    </w:r>
                    <w:r>
                      <w:rPr>
                        <w:spacing w:val="-5"/>
                        <w:sz w:val="20"/>
                      </w:rPr>
                      <w:t> </w:t>
                    </w:r>
                    <w:r>
                      <w:rPr>
                        <w:sz w:val="20"/>
                      </w:rPr>
                      <w:t>of</w:t>
                    </w:r>
                    <w:r>
                      <w:rPr>
                        <w:spacing w:val="-7"/>
                        <w:sz w:val="20"/>
                      </w:rPr>
                      <w:t> </w:t>
                    </w:r>
                    <w:r>
                      <w:rPr>
                        <w:sz w:val="20"/>
                      </w:rPr>
                      <w:t>Amount A taxable in each eligible market jurisdiction (M), as described in the below</w:t>
                    </w:r>
                    <w:r>
                      <w:rPr>
                        <w:spacing w:val="-19"/>
                        <w:sz w:val="20"/>
                      </w:rPr>
                      <w:t> </w:t>
                    </w:r>
                    <w:r>
                      <w:rPr>
                        <w:sz w:val="20"/>
                      </w:rPr>
                      <w:t>table.</w:t>
                    </w:r>
                  </w:p>
                </w:txbxContent>
              </v:textbox>
              <w10:wrap type="none"/>
            </v:shape>
            <w10:wrap type="none"/>
          </v:group>
        </w:pict>
      </w:r>
      <w:r>
        <w:rPr>
          <w:rFonts w:ascii="Cambria Math" w:hAnsi="Cambria Math" w:eastAsia="Cambria Math"/>
        </w:rPr>
        <w:t>𝑀  = 𝑆 × [𝑦  × (𝑃/𝑅 − 𝑧)]</w:t>
      </w: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spacing w:before="5"/>
        <w:rPr>
          <w:rFonts w:ascii="Cambria Math"/>
          <w:sz w:val="14"/>
        </w:rPr>
      </w:pPr>
    </w:p>
    <w:tbl>
      <w:tblPr>
        <w:tblW w:w="0" w:type="auto"/>
        <w:jc w:val="left"/>
        <w:tblInd w:w="1410"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488"/>
        <w:gridCol w:w="1647"/>
        <w:gridCol w:w="2384"/>
        <w:gridCol w:w="2379"/>
      </w:tblGrid>
      <w:tr>
        <w:trPr>
          <w:trHeight w:val="700" w:hRule="atLeast"/>
        </w:trPr>
        <w:tc>
          <w:tcPr>
            <w:tcW w:w="1488" w:type="dxa"/>
            <w:tcBorders>
              <w:left w:val="nil"/>
              <w:bottom w:val="single" w:sz="6" w:space="0" w:color="4E81BD"/>
              <w:right w:val="single" w:sz="6" w:space="0" w:color="D2D2D2"/>
            </w:tcBorders>
            <w:shd w:val="clear" w:color="auto" w:fill="EEECE1"/>
          </w:tcPr>
          <w:p>
            <w:pPr>
              <w:pStyle w:val="TableParagraph"/>
              <w:spacing w:before="27"/>
              <w:ind w:left="281" w:right="231"/>
              <w:rPr>
                <w:sz w:val="18"/>
              </w:rPr>
            </w:pPr>
            <w:r>
              <w:rPr>
                <w:sz w:val="18"/>
              </w:rPr>
              <w:t>in million EUR</w:t>
            </w:r>
          </w:p>
        </w:tc>
        <w:tc>
          <w:tcPr>
            <w:tcW w:w="1647" w:type="dxa"/>
            <w:tcBorders>
              <w:left w:val="single" w:sz="6" w:space="0" w:color="D2D2D2"/>
              <w:bottom w:val="single" w:sz="6" w:space="0" w:color="4E81BD"/>
              <w:right w:val="single" w:sz="6" w:space="0" w:color="D2D2D2"/>
            </w:tcBorders>
            <w:shd w:val="clear" w:color="auto" w:fill="EEECE1"/>
          </w:tcPr>
          <w:p>
            <w:pPr>
              <w:pStyle w:val="TableParagraph"/>
              <w:spacing w:line="278" w:lineRule="auto" w:before="27"/>
              <w:ind w:left="732" w:right="317" w:hanging="365"/>
              <w:jc w:val="left"/>
              <w:rPr>
                <w:sz w:val="18"/>
              </w:rPr>
            </w:pPr>
            <w:r>
              <w:rPr>
                <w:sz w:val="18"/>
              </w:rPr>
              <w:t>Local revenue (</w:t>
            </w:r>
            <w:r>
              <w:rPr>
                <w:b/>
                <w:sz w:val="18"/>
              </w:rPr>
              <w:t>S</w:t>
            </w:r>
            <w:r>
              <w:rPr>
                <w:sz w:val="18"/>
              </w:rPr>
              <w:t>)</w:t>
            </w:r>
          </w:p>
        </w:tc>
        <w:tc>
          <w:tcPr>
            <w:tcW w:w="2384" w:type="dxa"/>
            <w:tcBorders>
              <w:left w:val="single" w:sz="6" w:space="0" w:color="D2D2D2"/>
              <w:bottom w:val="single" w:sz="6" w:space="0" w:color="4E81BD"/>
              <w:right w:val="single" w:sz="6" w:space="0" w:color="D2D2D2"/>
            </w:tcBorders>
            <w:shd w:val="clear" w:color="auto" w:fill="EEECE1"/>
          </w:tcPr>
          <w:p>
            <w:pPr>
              <w:pStyle w:val="TableParagraph"/>
              <w:spacing w:line="256" w:lineRule="auto" w:before="27"/>
              <w:ind w:left="407" w:right="377" w:hanging="1"/>
              <w:rPr>
                <w:sz w:val="18"/>
              </w:rPr>
            </w:pPr>
            <w:r>
              <w:rPr>
                <w:sz w:val="18"/>
              </w:rPr>
              <w:t>Residual profit margin attributable to Amount A</w:t>
            </w:r>
          </w:p>
          <w:p>
            <w:pPr>
              <w:pStyle w:val="TableParagraph"/>
              <w:spacing w:line="192" w:lineRule="exact" w:before="20"/>
              <w:ind w:left="988" w:right="962"/>
              <w:rPr>
                <w:sz w:val="18"/>
              </w:rPr>
            </w:pPr>
            <w:r>
              <w:rPr>
                <w:sz w:val="18"/>
              </w:rPr>
              <w:t>(</w:t>
            </w:r>
            <w:r>
              <w:rPr>
                <w:b/>
                <w:sz w:val="18"/>
              </w:rPr>
              <w:t>a</w:t>
            </w:r>
            <w:r>
              <w:rPr>
                <w:sz w:val="18"/>
              </w:rPr>
              <w:t>)</w:t>
            </w:r>
          </w:p>
        </w:tc>
        <w:tc>
          <w:tcPr>
            <w:tcW w:w="2379" w:type="dxa"/>
            <w:tcBorders>
              <w:left w:val="single" w:sz="6" w:space="0" w:color="D2D2D2"/>
              <w:bottom w:val="single" w:sz="6" w:space="0" w:color="4E81BD"/>
              <w:right w:val="nil"/>
            </w:tcBorders>
            <w:shd w:val="clear" w:color="auto" w:fill="EEECE1"/>
          </w:tcPr>
          <w:p>
            <w:pPr>
              <w:pStyle w:val="TableParagraph"/>
              <w:spacing w:line="278" w:lineRule="auto" w:before="27"/>
              <w:ind w:left="798" w:right="776"/>
              <w:rPr>
                <w:sz w:val="18"/>
              </w:rPr>
            </w:pPr>
            <w:r>
              <w:rPr>
                <w:sz w:val="18"/>
              </w:rPr>
              <w:t>Amount A (</w:t>
            </w:r>
            <w:r>
              <w:rPr>
                <w:b/>
                <w:sz w:val="18"/>
              </w:rPr>
              <w:t>M</w:t>
            </w:r>
            <w:r>
              <w:rPr>
                <w:sz w:val="18"/>
              </w:rPr>
              <w:t>)</w:t>
            </w:r>
          </w:p>
        </w:tc>
      </w:tr>
      <w:tr>
        <w:trPr>
          <w:trHeight w:val="265" w:hRule="atLeast"/>
        </w:trPr>
        <w:tc>
          <w:tcPr>
            <w:tcW w:w="1488" w:type="dxa"/>
            <w:tcBorders>
              <w:top w:val="single" w:sz="6" w:space="0" w:color="4E81BD"/>
              <w:left w:val="nil"/>
              <w:bottom w:val="single" w:sz="6" w:space="0" w:color="D2D2D2"/>
              <w:right w:val="single" w:sz="6" w:space="0" w:color="D2D2D2"/>
            </w:tcBorders>
            <w:shd w:val="clear" w:color="auto" w:fill="EEECE1"/>
          </w:tcPr>
          <w:p>
            <w:pPr>
              <w:pStyle w:val="TableParagraph"/>
              <w:ind w:left="277" w:right="231"/>
              <w:rPr>
                <w:sz w:val="18"/>
              </w:rPr>
            </w:pPr>
            <w:r>
              <w:rPr>
                <w:sz w:val="18"/>
              </w:rPr>
              <w:t>Market 1</w:t>
            </w:r>
          </w:p>
        </w:tc>
        <w:tc>
          <w:tcPr>
            <w:tcW w:w="1647"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ind w:left="645"/>
              <w:jc w:val="left"/>
              <w:rPr>
                <w:sz w:val="18"/>
              </w:rPr>
            </w:pPr>
            <w:r>
              <w:rPr>
                <w:sz w:val="18"/>
              </w:rPr>
              <w:t>2,000</w:t>
            </w:r>
          </w:p>
        </w:tc>
        <w:tc>
          <w:tcPr>
            <w:tcW w:w="2384"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ind w:left="988" w:right="959"/>
              <w:rPr>
                <w:sz w:val="18"/>
              </w:rPr>
            </w:pPr>
            <w:r>
              <w:rPr>
                <w:sz w:val="18"/>
              </w:rPr>
              <w:t>3,2%</w:t>
            </w:r>
          </w:p>
        </w:tc>
        <w:tc>
          <w:tcPr>
            <w:tcW w:w="2379" w:type="dxa"/>
            <w:tcBorders>
              <w:top w:val="single" w:sz="6" w:space="0" w:color="4E81BD"/>
              <w:left w:val="single" w:sz="6" w:space="0" w:color="D2D2D2"/>
              <w:bottom w:val="single" w:sz="6" w:space="0" w:color="D2D2D2"/>
              <w:right w:val="nil"/>
            </w:tcBorders>
            <w:shd w:val="clear" w:color="auto" w:fill="EEECE1"/>
          </w:tcPr>
          <w:p>
            <w:pPr>
              <w:pStyle w:val="TableParagraph"/>
              <w:ind w:left="798" w:right="781"/>
              <w:rPr>
                <w:b/>
                <w:sz w:val="18"/>
              </w:rPr>
            </w:pPr>
            <w:r>
              <w:rPr>
                <w:sz w:val="18"/>
              </w:rPr>
              <w:t>S x a = </w:t>
            </w:r>
            <w:r>
              <w:rPr>
                <w:b/>
                <w:sz w:val="18"/>
              </w:rPr>
              <w:t>64</w:t>
            </w:r>
          </w:p>
        </w:tc>
      </w:tr>
      <w:tr>
        <w:trPr>
          <w:trHeight w:val="253" w:hRule="atLeast"/>
        </w:trPr>
        <w:tc>
          <w:tcPr>
            <w:tcW w:w="1488" w:type="dxa"/>
            <w:tcBorders>
              <w:top w:val="single" w:sz="6" w:space="0" w:color="D2D2D2"/>
              <w:left w:val="nil"/>
              <w:bottom w:val="single" w:sz="6" w:space="0" w:color="D2D2D2"/>
              <w:right w:val="single" w:sz="6" w:space="0" w:color="D2D2D2"/>
            </w:tcBorders>
            <w:shd w:val="clear" w:color="auto" w:fill="EEECE1"/>
          </w:tcPr>
          <w:p>
            <w:pPr>
              <w:pStyle w:val="TableParagraph"/>
              <w:spacing w:line="206" w:lineRule="exact"/>
              <w:ind w:left="277" w:right="231"/>
              <w:rPr>
                <w:sz w:val="18"/>
              </w:rPr>
            </w:pPr>
            <w:r>
              <w:rPr>
                <w:sz w:val="18"/>
              </w:rPr>
              <w:t>Market 2</w:t>
            </w:r>
          </w:p>
        </w:tc>
        <w:tc>
          <w:tcPr>
            <w:tcW w:w="164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206" w:lineRule="exact"/>
              <w:ind w:left="605"/>
              <w:jc w:val="left"/>
              <w:rPr>
                <w:sz w:val="18"/>
              </w:rPr>
            </w:pPr>
            <w:r>
              <w:rPr>
                <w:sz w:val="18"/>
              </w:rPr>
              <w:t>18,000</w:t>
            </w:r>
          </w:p>
        </w:tc>
        <w:tc>
          <w:tcPr>
            <w:tcW w:w="238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206" w:lineRule="exact"/>
              <w:ind w:left="988" w:right="959"/>
              <w:rPr>
                <w:sz w:val="18"/>
              </w:rPr>
            </w:pPr>
            <w:r>
              <w:rPr>
                <w:sz w:val="18"/>
              </w:rPr>
              <w:t>3,2%</w:t>
            </w:r>
          </w:p>
        </w:tc>
        <w:tc>
          <w:tcPr>
            <w:tcW w:w="2379" w:type="dxa"/>
            <w:tcBorders>
              <w:top w:val="single" w:sz="6" w:space="0" w:color="D2D2D2"/>
              <w:left w:val="single" w:sz="6" w:space="0" w:color="D2D2D2"/>
              <w:bottom w:val="single" w:sz="6" w:space="0" w:color="D2D2D2"/>
              <w:right w:val="nil"/>
            </w:tcBorders>
            <w:shd w:val="clear" w:color="auto" w:fill="EEECE1"/>
          </w:tcPr>
          <w:p>
            <w:pPr>
              <w:pStyle w:val="TableParagraph"/>
              <w:spacing w:line="206" w:lineRule="exact"/>
              <w:ind w:left="798" w:right="781"/>
              <w:rPr>
                <w:b/>
                <w:sz w:val="18"/>
              </w:rPr>
            </w:pPr>
            <w:r>
              <w:rPr>
                <w:sz w:val="18"/>
              </w:rPr>
              <w:t>S x a = </w:t>
            </w:r>
            <w:r>
              <w:rPr>
                <w:b/>
                <w:sz w:val="18"/>
              </w:rPr>
              <w:t>576</w:t>
            </w:r>
          </w:p>
        </w:tc>
      </w:tr>
      <w:tr>
        <w:trPr>
          <w:trHeight w:val="265" w:hRule="atLeast"/>
        </w:trPr>
        <w:tc>
          <w:tcPr>
            <w:tcW w:w="1488" w:type="dxa"/>
            <w:tcBorders>
              <w:top w:val="single" w:sz="6" w:space="0" w:color="D2D2D2"/>
              <w:left w:val="nil"/>
              <w:bottom w:val="single" w:sz="6" w:space="0" w:color="D2D2D2"/>
              <w:right w:val="single" w:sz="6" w:space="0" w:color="D2D2D2"/>
            </w:tcBorders>
            <w:shd w:val="clear" w:color="auto" w:fill="EEECE1"/>
          </w:tcPr>
          <w:p>
            <w:pPr>
              <w:pStyle w:val="TableParagraph"/>
              <w:spacing w:before="30"/>
              <w:ind w:left="277" w:right="231"/>
              <w:rPr>
                <w:sz w:val="18"/>
              </w:rPr>
            </w:pPr>
            <w:r>
              <w:rPr>
                <w:sz w:val="18"/>
              </w:rPr>
              <w:t>Market 3</w:t>
            </w:r>
          </w:p>
        </w:tc>
        <w:tc>
          <w:tcPr>
            <w:tcW w:w="164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30"/>
              <w:ind w:left="645"/>
              <w:jc w:val="left"/>
              <w:rPr>
                <w:sz w:val="18"/>
              </w:rPr>
            </w:pPr>
            <w:r>
              <w:rPr>
                <w:sz w:val="18"/>
              </w:rPr>
              <w:t>5,000</w:t>
            </w:r>
          </w:p>
        </w:tc>
        <w:tc>
          <w:tcPr>
            <w:tcW w:w="238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30"/>
              <w:ind w:left="988" w:right="959"/>
              <w:rPr>
                <w:sz w:val="18"/>
              </w:rPr>
            </w:pPr>
            <w:r>
              <w:rPr>
                <w:sz w:val="18"/>
              </w:rPr>
              <w:t>3,2%</w:t>
            </w:r>
          </w:p>
        </w:tc>
        <w:tc>
          <w:tcPr>
            <w:tcW w:w="2379" w:type="dxa"/>
            <w:tcBorders>
              <w:top w:val="single" w:sz="6" w:space="0" w:color="D2D2D2"/>
              <w:left w:val="single" w:sz="6" w:space="0" w:color="D2D2D2"/>
              <w:bottom w:val="single" w:sz="6" w:space="0" w:color="D2D2D2"/>
              <w:right w:val="nil"/>
            </w:tcBorders>
            <w:shd w:val="clear" w:color="auto" w:fill="EEECE1"/>
          </w:tcPr>
          <w:p>
            <w:pPr>
              <w:pStyle w:val="TableParagraph"/>
              <w:spacing w:before="30"/>
              <w:ind w:left="798" w:right="781"/>
              <w:rPr>
                <w:b/>
                <w:sz w:val="18"/>
              </w:rPr>
            </w:pPr>
            <w:r>
              <w:rPr>
                <w:sz w:val="18"/>
              </w:rPr>
              <w:t>S x a = </w:t>
            </w:r>
            <w:r>
              <w:rPr>
                <w:b/>
                <w:sz w:val="18"/>
              </w:rPr>
              <w:t>160</w:t>
            </w:r>
          </w:p>
        </w:tc>
      </w:tr>
      <w:tr>
        <w:trPr>
          <w:trHeight w:val="241" w:hRule="atLeast"/>
        </w:trPr>
        <w:tc>
          <w:tcPr>
            <w:tcW w:w="1488" w:type="dxa"/>
            <w:tcBorders>
              <w:top w:val="single" w:sz="6" w:space="0" w:color="D2D2D2"/>
              <w:left w:val="nil"/>
              <w:right w:val="single" w:sz="6" w:space="0" w:color="D2D2D2"/>
            </w:tcBorders>
            <w:shd w:val="clear" w:color="auto" w:fill="EEECE1"/>
          </w:tcPr>
          <w:p>
            <w:pPr>
              <w:pStyle w:val="TableParagraph"/>
              <w:spacing w:line="191" w:lineRule="exact" w:before="30"/>
              <w:ind w:left="279" w:right="231"/>
              <w:rPr>
                <w:b/>
                <w:sz w:val="18"/>
              </w:rPr>
            </w:pPr>
            <w:r>
              <w:rPr>
                <w:b/>
                <w:sz w:val="18"/>
              </w:rPr>
              <w:t>Total</w:t>
            </w:r>
          </w:p>
        </w:tc>
        <w:tc>
          <w:tcPr>
            <w:tcW w:w="1647" w:type="dxa"/>
            <w:tcBorders>
              <w:top w:val="single" w:sz="6" w:space="0" w:color="D2D2D2"/>
              <w:left w:val="single" w:sz="6" w:space="0" w:color="D2D2D2"/>
              <w:right w:val="single" w:sz="6" w:space="0" w:color="D2D2D2"/>
            </w:tcBorders>
            <w:shd w:val="clear" w:color="auto" w:fill="EEECE1"/>
          </w:tcPr>
          <w:p>
            <w:pPr>
              <w:pStyle w:val="TableParagraph"/>
              <w:spacing w:line="191" w:lineRule="exact" w:before="30"/>
              <w:ind w:left="605"/>
              <w:jc w:val="left"/>
              <w:rPr>
                <w:b/>
                <w:sz w:val="18"/>
              </w:rPr>
            </w:pPr>
            <w:r>
              <w:rPr>
                <w:b/>
                <w:sz w:val="18"/>
              </w:rPr>
              <w:t>25,000</w:t>
            </w:r>
          </w:p>
        </w:tc>
        <w:tc>
          <w:tcPr>
            <w:tcW w:w="2384" w:type="dxa"/>
            <w:tcBorders>
              <w:top w:val="single" w:sz="6" w:space="0" w:color="D2D2D2"/>
              <w:left w:val="single" w:sz="6" w:space="0" w:color="D2D2D2"/>
              <w:right w:val="single" w:sz="6" w:space="0" w:color="D2D2D2"/>
            </w:tcBorders>
            <w:shd w:val="clear" w:color="auto" w:fill="EEECE1"/>
          </w:tcPr>
          <w:p>
            <w:pPr>
              <w:pStyle w:val="TableParagraph"/>
              <w:spacing w:line="191" w:lineRule="exact" w:before="30"/>
              <w:ind w:left="988" w:right="958"/>
              <w:rPr>
                <w:b/>
                <w:sz w:val="18"/>
              </w:rPr>
            </w:pPr>
            <w:r>
              <w:rPr>
                <w:b/>
                <w:sz w:val="18"/>
              </w:rPr>
              <w:t>n.a.</w:t>
            </w:r>
          </w:p>
        </w:tc>
        <w:tc>
          <w:tcPr>
            <w:tcW w:w="2379" w:type="dxa"/>
            <w:tcBorders>
              <w:top w:val="single" w:sz="6" w:space="0" w:color="D2D2D2"/>
              <w:left w:val="single" w:sz="6" w:space="0" w:color="D2D2D2"/>
              <w:right w:val="nil"/>
            </w:tcBorders>
            <w:shd w:val="clear" w:color="auto" w:fill="EEECE1"/>
          </w:tcPr>
          <w:p>
            <w:pPr>
              <w:pStyle w:val="TableParagraph"/>
              <w:spacing w:line="191" w:lineRule="exact" w:before="30"/>
              <w:ind w:left="798" w:right="781"/>
              <w:rPr>
                <w:b/>
                <w:sz w:val="18"/>
              </w:rPr>
            </w:pPr>
            <w:r>
              <w:rPr>
                <w:b/>
                <w:sz w:val="18"/>
              </w:rPr>
              <w:t>800</w:t>
            </w:r>
          </w:p>
        </w:tc>
      </w:tr>
    </w:tbl>
    <w:p>
      <w:pPr>
        <w:spacing w:after="0" w:line="191" w:lineRule="exact"/>
        <w:rPr>
          <w:sz w:val="18"/>
        </w:rPr>
        <w:sectPr>
          <w:pgSz w:w="11910" w:h="16840"/>
          <w:pgMar w:header="1244" w:footer="1638" w:top="1500" w:bottom="1820" w:left="580" w:right="820"/>
        </w:sectPr>
      </w:pPr>
    </w:p>
    <w:p>
      <w:pPr>
        <w:pStyle w:val="BodyText"/>
        <w:spacing w:before="8"/>
        <w:rPr>
          <w:rFonts w:ascii="Cambria Math"/>
          <w:sz w:val="19"/>
        </w:rPr>
      </w:pPr>
    </w:p>
    <w:p>
      <w:pPr>
        <w:pStyle w:val="Heading3"/>
        <w:spacing w:before="99"/>
      </w:pPr>
      <w:bookmarkStart w:name="Annex C. Examples" w:id="514"/>
      <w:bookmarkEnd w:id="514"/>
      <w:r>
        <w:rPr>
          <w:b w:val="0"/>
        </w:rPr>
      </w:r>
      <w:bookmarkStart w:name="_bookmark81" w:id="515"/>
      <w:bookmarkEnd w:id="515"/>
      <w:r>
        <w:rPr>
          <w:b w:val="0"/>
        </w:rPr>
      </w:r>
      <w:r>
        <w:rPr>
          <w:color w:val="4E81BD"/>
        </w:rPr>
        <w:t>Annex C. Examples</w:t>
      </w: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rPr>
          <w:rFonts w:ascii="Arial Narrow"/>
          <w:b/>
        </w:rPr>
      </w:pPr>
    </w:p>
    <w:p>
      <w:pPr>
        <w:pStyle w:val="BodyText"/>
        <w:spacing w:before="11"/>
        <w:rPr>
          <w:rFonts w:ascii="Arial Narrow"/>
          <w:b/>
          <w:sz w:val="15"/>
        </w:rPr>
      </w:pPr>
    </w:p>
    <w:p>
      <w:pPr>
        <w:pStyle w:val="Heading4"/>
        <w:spacing w:before="100"/>
        <w:ind w:left="860"/>
        <w:jc w:val="both"/>
      </w:pPr>
      <w:r>
        <w:rPr/>
        <w:pict>
          <v:group style="position:absolute;margin-left:64.704002pt;margin-top:-13.515888pt;width:466.05pt;height:440.15pt;mso-position-horizontal-relative:page;mso-position-vertical-relative:paragraph;z-index:-19494400" coordorigin="1294,-270" coordsize="9321,8803">
            <v:rect style="position:absolute;left:1303;top:-261;width:9302;height:8783" filled="true" fillcolor="#eeece1" stroked="false">
              <v:fill type="solid"/>
            </v:rect>
            <v:shape style="position:absolute;left:1294;top:-271;width:9321;height:8803" coordorigin="1294,-270" coordsize="9321,8803" path="m10605,8522l1304,8522,1304,-260,1294,-260,1294,8522,1294,8523,1294,8532,1304,8532,1304,8532,10605,8532,10605,8522xm10605,-270l1304,-270,1304,-270,1294,-270,1294,-261,1304,-261,1304,-261,10605,-261,10605,-270xm10615,-260l10605,-260,10605,8522,10605,8523,10605,8532,10615,8532,10615,8523,10615,8522,10615,-260xm10615,-270l10605,-270,10605,-261,10615,-261,10615,-270xe" filled="true" fillcolor="#4e81bd" stroked="false">
              <v:path arrowok="t"/>
              <v:fill type="solid"/>
            </v:shape>
            <w10:wrap type="none"/>
          </v:group>
        </w:pict>
      </w:r>
      <w:r>
        <w:rPr>
          <w:color w:val="4E81BD"/>
        </w:rPr>
        <w:t>Box C.1. Extending the carry-forward regime to profit shortfalls</w:t>
      </w:r>
    </w:p>
    <w:p>
      <w:pPr>
        <w:pStyle w:val="BodyText"/>
        <w:spacing w:line="271" w:lineRule="auto" w:before="213"/>
        <w:ind w:left="860" w:right="618"/>
        <w:jc w:val="both"/>
      </w:pPr>
      <w:r>
        <w:rPr/>
        <w:t>Group X is an MNE group that provides streaming services with a business model producing regular profit. It has no other business lines. In Years 1, 2 and 3, pursuant to Amount A computation rules, the group (no segmentation required) generated the following results.</w:t>
      </w:r>
    </w:p>
    <w:p>
      <w:pPr>
        <w:pStyle w:val="BodyText"/>
        <w:rPr>
          <w:sz w:val="8"/>
        </w:rPr>
      </w:pPr>
    </w:p>
    <w:tbl>
      <w:tblPr>
        <w:tblW w:w="0" w:type="auto"/>
        <w:jc w:val="left"/>
        <w:tblInd w:w="1467"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572"/>
        <w:gridCol w:w="1556"/>
        <w:gridCol w:w="1553"/>
        <w:gridCol w:w="1553"/>
        <w:gridCol w:w="1551"/>
      </w:tblGrid>
      <w:tr>
        <w:trPr>
          <w:trHeight w:val="239" w:hRule="atLeast"/>
        </w:trPr>
        <w:tc>
          <w:tcPr>
            <w:tcW w:w="1572" w:type="dxa"/>
            <w:tcBorders>
              <w:left w:val="nil"/>
              <w:bottom w:val="single" w:sz="6" w:space="0" w:color="4E81BD"/>
              <w:right w:val="single" w:sz="6" w:space="0" w:color="D2D2D2"/>
            </w:tcBorders>
            <w:shd w:val="clear" w:color="auto" w:fill="EEECE1"/>
          </w:tcPr>
          <w:p>
            <w:pPr>
              <w:pStyle w:val="TableParagraph"/>
              <w:spacing w:line="192" w:lineRule="exact" w:before="27"/>
              <w:ind w:left="542"/>
              <w:jc w:val="left"/>
              <w:rPr>
                <w:i/>
                <w:sz w:val="18"/>
              </w:rPr>
            </w:pPr>
            <w:r>
              <w:rPr>
                <w:i/>
                <w:sz w:val="18"/>
              </w:rPr>
              <w:t>In EUR million</w:t>
            </w:r>
          </w:p>
        </w:tc>
        <w:tc>
          <w:tcPr>
            <w:tcW w:w="1556" w:type="dxa"/>
            <w:tcBorders>
              <w:left w:val="single" w:sz="6" w:space="0" w:color="D2D2D2"/>
              <w:bottom w:val="single" w:sz="6" w:space="0" w:color="4E81BD"/>
              <w:right w:val="single" w:sz="6" w:space="0" w:color="D2D2D2"/>
            </w:tcBorders>
            <w:shd w:val="clear" w:color="auto" w:fill="EEECE1"/>
          </w:tcPr>
          <w:p>
            <w:pPr>
              <w:pStyle w:val="TableParagraph"/>
              <w:spacing w:line="192" w:lineRule="exact" w:before="27"/>
              <w:ind w:left="260" w:right="231"/>
              <w:rPr>
                <w:b/>
                <w:sz w:val="18"/>
              </w:rPr>
            </w:pPr>
            <w:r>
              <w:rPr>
                <w:b/>
                <w:sz w:val="18"/>
              </w:rPr>
              <w:t>Total Revenue</w:t>
            </w:r>
          </w:p>
        </w:tc>
        <w:tc>
          <w:tcPr>
            <w:tcW w:w="1553" w:type="dxa"/>
            <w:tcBorders>
              <w:left w:val="single" w:sz="6" w:space="0" w:color="D2D2D2"/>
              <w:bottom w:val="single" w:sz="6" w:space="0" w:color="4E81BD"/>
              <w:right w:val="single" w:sz="6" w:space="0" w:color="D2D2D2"/>
            </w:tcBorders>
            <w:shd w:val="clear" w:color="auto" w:fill="EEECE1"/>
          </w:tcPr>
          <w:p>
            <w:pPr>
              <w:pStyle w:val="TableParagraph"/>
              <w:spacing w:line="192" w:lineRule="exact" w:before="27"/>
              <w:ind w:left="355" w:right="328"/>
              <w:rPr>
                <w:b/>
                <w:sz w:val="18"/>
              </w:rPr>
            </w:pPr>
            <w:r>
              <w:rPr>
                <w:b/>
                <w:sz w:val="18"/>
              </w:rPr>
              <w:t>PBT</w:t>
            </w:r>
          </w:p>
        </w:tc>
        <w:tc>
          <w:tcPr>
            <w:tcW w:w="1553" w:type="dxa"/>
            <w:tcBorders>
              <w:left w:val="single" w:sz="6" w:space="0" w:color="D2D2D2"/>
              <w:bottom w:val="single" w:sz="6" w:space="0" w:color="4E81BD"/>
              <w:right w:val="single" w:sz="6" w:space="0" w:color="D2D2D2"/>
            </w:tcBorders>
            <w:shd w:val="clear" w:color="auto" w:fill="EEECE1"/>
          </w:tcPr>
          <w:p>
            <w:pPr>
              <w:pStyle w:val="TableParagraph"/>
              <w:spacing w:line="192" w:lineRule="exact" w:before="27"/>
              <w:ind w:left="355" w:right="331"/>
              <w:rPr>
                <w:b/>
                <w:sz w:val="18"/>
              </w:rPr>
            </w:pPr>
            <w:r>
              <w:rPr>
                <w:b/>
                <w:sz w:val="18"/>
              </w:rPr>
              <w:t>Profitability</w:t>
            </w:r>
          </w:p>
        </w:tc>
        <w:tc>
          <w:tcPr>
            <w:tcW w:w="1551" w:type="dxa"/>
            <w:tcBorders>
              <w:left w:val="single" w:sz="6" w:space="0" w:color="D2D2D2"/>
              <w:bottom w:val="single" w:sz="6" w:space="0" w:color="4E81BD"/>
              <w:right w:val="nil"/>
            </w:tcBorders>
            <w:shd w:val="clear" w:color="auto" w:fill="EEECE1"/>
          </w:tcPr>
          <w:p>
            <w:pPr>
              <w:pStyle w:val="TableParagraph"/>
              <w:spacing w:line="192" w:lineRule="exact" w:before="27"/>
              <w:ind w:left="213" w:right="198"/>
              <w:rPr>
                <w:b/>
                <w:sz w:val="18"/>
              </w:rPr>
            </w:pPr>
            <w:r>
              <w:rPr>
                <w:b/>
                <w:sz w:val="18"/>
              </w:rPr>
              <w:t>Profit shortfalls</w:t>
            </w:r>
          </w:p>
        </w:tc>
      </w:tr>
      <w:tr>
        <w:trPr>
          <w:trHeight w:val="229" w:hRule="atLeast"/>
        </w:trPr>
        <w:tc>
          <w:tcPr>
            <w:tcW w:w="1572" w:type="dxa"/>
            <w:tcBorders>
              <w:top w:val="single" w:sz="6" w:space="0" w:color="4E81BD"/>
              <w:left w:val="nil"/>
              <w:bottom w:val="single" w:sz="6" w:space="0" w:color="D2D2D2"/>
              <w:right w:val="single" w:sz="6" w:space="0" w:color="D2D2D2"/>
            </w:tcBorders>
            <w:shd w:val="clear" w:color="auto" w:fill="EEECE1"/>
          </w:tcPr>
          <w:p>
            <w:pPr>
              <w:pStyle w:val="TableParagraph"/>
              <w:spacing w:before="13"/>
              <w:ind w:left="136"/>
              <w:jc w:val="left"/>
              <w:rPr>
                <w:b/>
                <w:sz w:val="17"/>
              </w:rPr>
            </w:pPr>
            <w:r>
              <w:rPr>
                <w:b/>
                <w:sz w:val="17"/>
              </w:rPr>
              <w:t>Year 1</w:t>
            </w:r>
          </w:p>
        </w:tc>
        <w:tc>
          <w:tcPr>
            <w:tcW w:w="1556"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3"/>
              <w:ind w:left="255" w:right="231"/>
              <w:rPr>
                <w:sz w:val="17"/>
              </w:rPr>
            </w:pPr>
            <w:r>
              <w:rPr>
                <w:sz w:val="17"/>
              </w:rPr>
              <w:t>100</w:t>
            </w:r>
          </w:p>
        </w:tc>
        <w:tc>
          <w:tcPr>
            <w:tcW w:w="1553"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3"/>
              <w:ind w:left="355" w:right="330"/>
              <w:rPr>
                <w:sz w:val="17"/>
              </w:rPr>
            </w:pPr>
            <w:r>
              <w:rPr>
                <w:sz w:val="17"/>
              </w:rPr>
              <w:t>10</w:t>
            </w:r>
          </w:p>
        </w:tc>
        <w:tc>
          <w:tcPr>
            <w:tcW w:w="1553"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3"/>
              <w:ind w:left="354" w:right="331"/>
              <w:rPr>
                <w:sz w:val="17"/>
              </w:rPr>
            </w:pPr>
            <w:r>
              <w:rPr>
                <w:sz w:val="17"/>
              </w:rPr>
              <w:t>10%</w:t>
            </w:r>
          </w:p>
        </w:tc>
        <w:tc>
          <w:tcPr>
            <w:tcW w:w="1551" w:type="dxa"/>
            <w:tcBorders>
              <w:top w:val="single" w:sz="6" w:space="0" w:color="4E81BD"/>
              <w:left w:val="single" w:sz="6" w:space="0" w:color="D2D2D2"/>
              <w:bottom w:val="single" w:sz="6" w:space="0" w:color="D2D2D2"/>
              <w:right w:val="nil"/>
            </w:tcBorders>
            <w:shd w:val="clear" w:color="auto" w:fill="EEECE1"/>
          </w:tcPr>
          <w:p>
            <w:pPr>
              <w:pStyle w:val="TableParagraph"/>
              <w:spacing w:before="13"/>
              <w:ind w:left="22"/>
              <w:rPr>
                <w:sz w:val="17"/>
              </w:rPr>
            </w:pPr>
            <w:r>
              <w:rPr>
                <w:w w:val="100"/>
                <w:sz w:val="17"/>
              </w:rPr>
              <w:t>0</w:t>
            </w:r>
          </w:p>
        </w:tc>
      </w:tr>
      <w:tr>
        <w:trPr>
          <w:trHeight w:val="229" w:hRule="atLeast"/>
        </w:trPr>
        <w:tc>
          <w:tcPr>
            <w:tcW w:w="1572" w:type="dxa"/>
            <w:tcBorders>
              <w:top w:val="single" w:sz="6" w:space="0" w:color="D2D2D2"/>
              <w:left w:val="nil"/>
              <w:bottom w:val="single" w:sz="6" w:space="0" w:color="D2D2D2"/>
              <w:right w:val="single" w:sz="6" w:space="0" w:color="D2D2D2"/>
            </w:tcBorders>
            <w:shd w:val="clear" w:color="auto" w:fill="EEECE1"/>
          </w:tcPr>
          <w:p>
            <w:pPr>
              <w:pStyle w:val="TableParagraph"/>
              <w:spacing w:before="13"/>
              <w:ind w:left="136"/>
              <w:jc w:val="left"/>
              <w:rPr>
                <w:b/>
                <w:sz w:val="17"/>
              </w:rPr>
            </w:pPr>
            <w:r>
              <w:rPr>
                <w:b/>
                <w:sz w:val="17"/>
              </w:rPr>
              <w:t>Year 2</w:t>
            </w:r>
          </w:p>
        </w:tc>
        <w:tc>
          <w:tcPr>
            <w:tcW w:w="1556"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255" w:right="231"/>
              <w:rPr>
                <w:sz w:val="17"/>
              </w:rPr>
            </w:pPr>
            <w:r>
              <w:rPr>
                <w:sz w:val="17"/>
              </w:rPr>
              <w:t>100</w:t>
            </w:r>
          </w:p>
        </w:tc>
        <w:tc>
          <w:tcPr>
            <w:tcW w:w="155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355" w:right="330"/>
              <w:rPr>
                <w:sz w:val="17"/>
              </w:rPr>
            </w:pPr>
            <w:r>
              <w:rPr>
                <w:sz w:val="17"/>
              </w:rPr>
              <w:t>10</w:t>
            </w:r>
          </w:p>
        </w:tc>
        <w:tc>
          <w:tcPr>
            <w:tcW w:w="155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354" w:right="331"/>
              <w:rPr>
                <w:sz w:val="17"/>
              </w:rPr>
            </w:pPr>
            <w:r>
              <w:rPr>
                <w:sz w:val="17"/>
              </w:rPr>
              <w:t>10%</w:t>
            </w:r>
          </w:p>
        </w:tc>
        <w:tc>
          <w:tcPr>
            <w:tcW w:w="1551" w:type="dxa"/>
            <w:tcBorders>
              <w:top w:val="single" w:sz="6" w:space="0" w:color="D2D2D2"/>
              <w:left w:val="single" w:sz="6" w:space="0" w:color="D2D2D2"/>
              <w:bottom w:val="single" w:sz="6" w:space="0" w:color="D2D2D2"/>
              <w:right w:val="nil"/>
            </w:tcBorders>
            <w:shd w:val="clear" w:color="auto" w:fill="EEECE1"/>
          </w:tcPr>
          <w:p>
            <w:pPr>
              <w:pStyle w:val="TableParagraph"/>
              <w:spacing w:before="13"/>
              <w:ind w:left="22"/>
              <w:rPr>
                <w:sz w:val="17"/>
              </w:rPr>
            </w:pPr>
            <w:r>
              <w:rPr>
                <w:w w:val="100"/>
                <w:sz w:val="17"/>
              </w:rPr>
              <w:t>0</w:t>
            </w:r>
          </w:p>
        </w:tc>
      </w:tr>
      <w:tr>
        <w:trPr>
          <w:trHeight w:val="229" w:hRule="atLeast"/>
        </w:trPr>
        <w:tc>
          <w:tcPr>
            <w:tcW w:w="1572" w:type="dxa"/>
            <w:tcBorders>
              <w:top w:val="single" w:sz="6" w:space="0" w:color="D2D2D2"/>
              <w:left w:val="nil"/>
              <w:bottom w:val="single" w:sz="6" w:space="0" w:color="D2D2D2"/>
              <w:right w:val="single" w:sz="6" w:space="0" w:color="D2D2D2"/>
            </w:tcBorders>
            <w:shd w:val="clear" w:color="auto" w:fill="EEECE1"/>
          </w:tcPr>
          <w:p>
            <w:pPr>
              <w:pStyle w:val="TableParagraph"/>
              <w:spacing w:line="194" w:lineRule="exact" w:before="15"/>
              <w:ind w:left="136"/>
              <w:jc w:val="left"/>
              <w:rPr>
                <w:b/>
                <w:sz w:val="17"/>
              </w:rPr>
            </w:pPr>
            <w:r>
              <w:rPr>
                <w:b/>
                <w:sz w:val="17"/>
              </w:rPr>
              <w:t>Year 3</w:t>
            </w:r>
          </w:p>
        </w:tc>
        <w:tc>
          <w:tcPr>
            <w:tcW w:w="1556"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15"/>
              <w:ind w:left="255" w:right="231"/>
              <w:rPr>
                <w:sz w:val="17"/>
              </w:rPr>
            </w:pPr>
            <w:r>
              <w:rPr>
                <w:sz w:val="17"/>
              </w:rPr>
              <w:t>100</w:t>
            </w:r>
          </w:p>
        </w:tc>
        <w:tc>
          <w:tcPr>
            <w:tcW w:w="155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15"/>
              <w:ind w:left="355" w:right="330"/>
              <w:rPr>
                <w:sz w:val="17"/>
              </w:rPr>
            </w:pPr>
            <w:r>
              <w:rPr>
                <w:sz w:val="17"/>
              </w:rPr>
              <w:t>10</w:t>
            </w:r>
          </w:p>
        </w:tc>
        <w:tc>
          <w:tcPr>
            <w:tcW w:w="155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15"/>
              <w:ind w:left="354" w:right="331"/>
              <w:rPr>
                <w:sz w:val="17"/>
              </w:rPr>
            </w:pPr>
            <w:r>
              <w:rPr>
                <w:sz w:val="17"/>
              </w:rPr>
              <w:t>10%</w:t>
            </w:r>
          </w:p>
        </w:tc>
        <w:tc>
          <w:tcPr>
            <w:tcW w:w="1551" w:type="dxa"/>
            <w:tcBorders>
              <w:top w:val="single" w:sz="6" w:space="0" w:color="D2D2D2"/>
              <w:left w:val="single" w:sz="6" w:space="0" w:color="D2D2D2"/>
              <w:bottom w:val="single" w:sz="6" w:space="0" w:color="D2D2D2"/>
              <w:right w:val="nil"/>
            </w:tcBorders>
            <w:shd w:val="clear" w:color="auto" w:fill="EEECE1"/>
          </w:tcPr>
          <w:p>
            <w:pPr>
              <w:pStyle w:val="TableParagraph"/>
              <w:spacing w:line="194" w:lineRule="exact" w:before="15"/>
              <w:ind w:left="22"/>
              <w:rPr>
                <w:sz w:val="17"/>
              </w:rPr>
            </w:pPr>
            <w:r>
              <w:rPr>
                <w:w w:val="100"/>
                <w:sz w:val="17"/>
              </w:rPr>
              <w:t>0</w:t>
            </w:r>
          </w:p>
        </w:tc>
      </w:tr>
      <w:tr>
        <w:trPr>
          <w:trHeight w:val="231" w:hRule="atLeast"/>
        </w:trPr>
        <w:tc>
          <w:tcPr>
            <w:tcW w:w="1572" w:type="dxa"/>
            <w:tcBorders>
              <w:top w:val="single" w:sz="6" w:space="0" w:color="D2D2D2"/>
              <w:left w:val="nil"/>
              <w:right w:val="single" w:sz="6" w:space="0" w:color="D2D2D2"/>
            </w:tcBorders>
            <w:shd w:val="clear" w:color="auto" w:fill="EEECE1"/>
          </w:tcPr>
          <w:p>
            <w:pPr>
              <w:pStyle w:val="TableParagraph"/>
              <w:spacing w:before="15"/>
              <w:ind w:left="136"/>
              <w:jc w:val="left"/>
              <w:rPr>
                <w:b/>
                <w:sz w:val="17"/>
              </w:rPr>
            </w:pPr>
            <w:r>
              <w:rPr>
                <w:b/>
                <w:sz w:val="17"/>
              </w:rPr>
              <w:t>Total</w:t>
            </w:r>
          </w:p>
        </w:tc>
        <w:tc>
          <w:tcPr>
            <w:tcW w:w="1556" w:type="dxa"/>
            <w:tcBorders>
              <w:top w:val="single" w:sz="6" w:space="0" w:color="D2D2D2"/>
              <w:left w:val="single" w:sz="6" w:space="0" w:color="D2D2D2"/>
              <w:right w:val="single" w:sz="6" w:space="0" w:color="D2D2D2"/>
            </w:tcBorders>
            <w:shd w:val="clear" w:color="auto" w:fill="EEECE1"/>
          </w:tcPr>
          <w:p>
            <w:pPr>
              <w:pStyle w:val="TableParagraph"/>
              <w:spacing w:before="15"/>
              <w:ind w:left="255" w:right="231"/>
              <w:rPr>
                <w:sz w:val="17"/>
              </w:rPr>
            </w:pPr>
            <w:r>
              <w:rPr>
                <w:sz w:val="17"/>
              </w:rPr>
              <w:t>300</w:t>
            </w:r>
          </w:p>
        </w:tc>
        <w:tc>
          <w:tcPr>
            <w:tcW w:w="1553" w:type="dxa"/>
            <w:tcBorders>
              <w:top w:val="single" w:sz="6" w:space="0" w:color="D2D2D2"/>
              <w:left w:val="single" w:sz="6" w:space="0" w:color="D2D2D2"/>
              <w:right w:val="single" w:sz="6" w:space="0" w:color="D2D2D2"/>
            </w:tcBorders>
            <w:shd w:val="clear" w:color="auto" w:fill="EEECE1"/>
          </w:tcPr>
          <w:p>
            <w:pPr>
              <w:pStyle w:val="TableParagraph"/>
              <w:spacing w:before="15"/>
              <w:ind w:left="355" w:right="330"/>
              <w:rPr>
                <w:sz w:val="17"/>
              </w:rPr>
            </w:pPr>
            <w:r>
              <w:rPr>
                <w:sz w:val="17"/>
              </w:rPr>
              <w:t>30</w:t>
            </w:r>
          </w:p>
        </w:tc>
        <w:tc>
          <w:tcPr>
            <w:tcW w:w="1553" w:type="dxa"/>
            <w:tcBorders>
              <w:top w:val="single" w:sz="6" w:space="0" w:color="D2D2D2"/>
              <w:left w:val="single" w:sz="6" w:space="0" w:color="D2D2D2"/>
              <w:right w:val="single" w:sz="6" w:space="0" w:color="D2D2D2"/>
            </w:tcBorders>
            <w:shd w:val="clear" w:color="auto" w:fill="EEECE1"/>
          </w:tcPr>
          <w:p>
            <w:pPr>
              <w:pStyle w:val="TableParagraph"/>
              <w:spacing w:before="15"/>
              <w:ind w:left="354" w:right="331"/>
              <w:rPr>
                <w:sz w:val="17"/>
              </w:rPr>
            </w:pPr>
            <w:r>
              <w:rPr>
                <w:sz w:val="17"/>
              </w:rPr>
              <w:t>10%</w:t>
            </w:r>
          </w:p>
        </w:tc>
        <w:tc>
          <w:tcPr>
            <w:tcW w:w="1551" w:type="dxa"/>
            <w:tcBorders>
              <w:top w:val="single" w:sz="6" w:space="0" w:color="D2D2D2"/>
              <w:left w:val="single" w:sz="6" w:space="0" w:color="D2D2D2"/>
              <w:right w:val="nil"/>
            </w:tcBorders>
            <w:shd w:val="clear" w:color="auto" w:fill="EEECE1"/>
          </w:tcPr>
          <w:p>
            <w:pPr>
              <w:pStyle w:val="TableParagraph"/>
              <w:spacing w:before="15"/>
              <w:ind w:left="22"/>
              <w:rPr>
                <w:sz w:val="17"/>
              </w:rPr>
            </w:pPr>
            <w:r>
              <w:rPr>
                <w:w w:val="100"/>
                <w:sz w:val="17"/>
              </w:rPr>
              <w:t>0</w:t>
            </w:r>
          </w:p>
        </w:tc>
      </w:tr>
    </w:tbl>
    <w:p>
      <w:pPr>
        <w:pStyle w:val="BodyText"/>
        <w:spacing w:line="271" w:lineRule="auto" w:before="149"/>
        <w:ind w:left="860" w:right="620"/>
        <w:jc w:val="both"/>
      </w:pPr>
      <w:r>
        <w:rPr/>
        <w:t>Assuming the Amount A profitability threshold is established at a 10% return on revenue, Group X has no profit in excess of that threshold in any of the three years under review, and none of the profit for Amount A purposes generated during those years would be reallocated to market jurisdictions.</w:t>
      </w:r>
    </w:p>
    <w:p>
      <w:pPr>
        <w:pStyle w:val="BodyText"/>
        <w:spacing w:line="271" w:lineRule="auto" w:before="120"/>
        <w:ind w:left="860" w:right="625"/>
        <w:jc w:val="both"/>
      </w:pPr>
      <w:r>
        <w:rPr/>
        <w:t>Consider now a competitor, Group Y, providing similar services but with a business model producing irregular profit. In Years 1, 2 and 3, pursuant to Amount A computation rules, the group (treated as a segment) generated the following results.</w:t>
      </w:r>
    </w:p>
    <w:p>
      <w:pPr>
        <w:pStyle w:val="BodyText"/>
        <w:rPr>
          <w:sz w:val="8"/>
        </w:rPr>
      </w:pPr>
    </w:p>
    <w:tbl>
      <w:tblPr>
        <w:tblW w:w="0" w:type="auto"/>
        <w:jc w:val="left"/>
        <w:tblInd w:w="1484"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562"/>
        <w:gridCol w:w="1548"/>
        <w:gridCol w:w="1548"/>
        <w:gridCol w:w="1545"/>
        <w:gridCol w:w="1543"/>
      </w:tblGrid>
      <w:tr>
        <w:trPr>
          <w:trHeight w:val="239" w:hRule="atLeast"/>
        </w:trPr>
        <w:tc>
          <w:tcPr>
            <w:tcW w:w="1562" w:type="dxa"/>
            <w:tcBorders>
              <w:left w:val="nil"/>
              <w:bottom w:val="single" w:sz="6" w:space="0" w:color="4E81BD"/>
              <w:right w:val="single" w:sz="6" w:space="0" w:color="D2D2D2"/>
            </w:tcBorders>
            <w:shd w:val="clear" w:color="auto" w:fill="EEECE1"/>
          </w:tcPr>
          <w:p>
            <w:pPr>
              <w:pStyle w:val="TableParagraph"/>
              <w:spacing w:line="192" w:lineRule="exact"/>
              <w:ind w:left="532"/>
              <w:jc w:val="left"/>
              <w:rPr>
                <w:i/>
                <w:sz w:val="18"/>
              </w:rPr>
            </w:pPr>
            <w:r>
              <w:rPr>
                <w:i/>
                <w:sz w:val="18"/>
              </w:rPr>
              <w:t>In EUR million</w:t>
            </w:r>
          </w:p>
        </w:tc>
        <w:tc>
          <w:tcPr>
            <w:tcW w:w="1548" w:type="dxa"/>
            <w:tcBorders>
              <w:left w:val="single" w:sz="6" w:space="0" w:color="D2D2D2"/>
              <w:bottom w:val="single" w:sz="6" w:space="0" w:color="4E81BD"/>
              <w:right w:val="single" w:sz="6" w:space="0" w:color="D2D2D2"/>
            </w:tcBorders>
            <w:shd w:val="clear" w:color="auto" w:fill="EEECE1"/>
          </w:tcPr>
          <w:p>
            <w:pPr>
              <w:pStyle w:val="TableParagraph"/>
              <w:spacing w:line="192" w:lineRule="exact"/>
              <w:ind w:left="258" w:right="225"/>
              <w:rPr>
                <w:b/>
                <w:sz w:val="18"/>
              </w:rPr>
            </w:pPr>
            <w:r>
              <w:rPr>
                <w:b/>
                <w:sz w:val="18"/>
              </w:rPr>
              <w:t>Total Revenue</w:t>
            </w:r>
          </w:p>
        </w:tc>
        <w:tc>
          <w:tcPr>
            <w:tcW w:w="1548" w:type="dxa"/>
            <w:tcBorders>
              <w:left w:val="single" w:sz="6" w:space="0" w:color="D2D2D2"/>
              <w:bottom w:val="single" w:sz="6" w:space="0" w:color="4E81BD"/>
              <w:right w:val="single" w:sz="6" w:space="0" w:color="D2D2D2"/>
            </w:tcBorders>
            <w:shd w:val="clear" w:color="auto" w:fill="EEECE1"/>
          </w:tcPr>
          <w:p>
            <w:pPr>
              <w:pStyle w:val="TableParagraph"/>
              <w:spacing w:line="192" w:lineRule="exact"/>
              <w:ind w:left="258" w:right="224"/>
              <w:rPr>
                <w:b/>
                <w:sz w:val="18"/>
              </w:rPr>
            </w:pPr>
            <w:r>
              <w:rPr>
                <w:b/>
                <w:sz w:val="18"/>
              </w:rPr>
              <w:t>PBT</w:t>
            </w:r>
          </w:p>
        </w:tc>
        <w:tc>
          <w:tcPr>
            <w:tcW w:w="1545" w:type="dxa"/>
            <w:tcBorders>
              <w:left w:val="single" w:sz="6" w:space="0" w:color="D2D2D2"/>
              <w:bottom w:val="single" w:sz="6" w:space="0" w:color="4E81BD"/>
              <w:right w:val="single" w:sz="6" w:space="0" w:color="D2D2D2"/>
            </w:tcBorders>
            <w:shd w:val="clear" w:color="auto" w:fill="EEECE1"/>
          </w:tcPr>
          <w:p>
            <w:pPr>
              <w:pStyle w:val="TableParagraph"/>
              <w:spacing w:line="192" w:lineRule="exact"/>
              <w:ind w:left="354" w:right="324"/>
              <w:rPr>
                <w:b/>
                <w:sz w:val="18"/>
              </w:rPr>
            </w:pPr>
            <w:r>
              <w:rPr>
                <w:b/>
                <w:sz w:val="18"/>
              </w:rPr>
              <w:t>Profitability</w:t>
            </w:r>
          </w:p>
        </w:tc>
        <w:tc>
          <w:tcPr>
            <w:tcW w:w="1543" w:type="dxa"/>
            <w:tcBorders>
              <w:left w:val="single" w:sz="6" w:space="0" w:color="D2D2D2"/>
              <w:bottom w:val="single" w:sz="6" w:space="0" w:color="4E81BD"/>
              <w:right w:val="nil"/>
            </w:tcBorders>
            <w:shd w:val="clear" w:color="auto" w:fill="EEECE1"/>
          </w:tcPr>
          <w:p>
            <w:pPr>
              <w:pStyle w:val="TableParagraph"/>
              <w:spacing w:line="192" w:lineRule="exact"/>
              <w:ind w:left="213" w:right="190"/>
              <w:rPr>
                <w:b/>
                <w:sz w:val="18"/>
              </w:rPr>
            </w:pPr>
            <w:r>
              <w:rPr>
                <w:b/>
                <w:sz w:val="18"/>
              </w:rPr>
              <w:t>Profit shortfalls</w:t>
            </w:r>
          </w:p>
        </w:tc>
      </w:tr>
      <w:tr>
        <w:trPr>
          <w:trHeight w:val="232" w:hRule="atLeast"/>
        </w:trPr>
        <w:tc>
          <w:tcPr>
            <w:tcW w:w="1562" w:type="dxa"/>
            <w:tcBorders>
              <w:top w:val="single" w:sz="6" w:space="0" w:color="4E81BD"/>
              <w:left w:val="nil"/>
              <w:bottom w:val="single" w:sz="6" w:space="0" w:color="D2D2D2"/>
              <w:right w:val="single" w:sz="6" w:space="0" w:color="D2D2D2"/>
            </w:tcBorders>
            <w:shd w:val="clear" w:color="auto" w:fill="EEECE1"/>
          </w:tcPr>
          <w:p>
            <w:pPr>
              <w:pStyle w:val="TableParagraph"/>
              <w:spacing w:before="15"/>
              <w:ind w:left="136"/>
              <w:jc w:val="left"/>
              <w:rPr>
                <w:b/>
                <w:sz w:val="17"/>
              </w:rPr>
            </w:pPr>
            <w:r>
              <w:rPr>
                <w:b/>
                <w:sz w:val="17"/>
              </w:rPr>
              <w:t>Year 1</w:t>
            </w:r>
          </w:p>
        </w:tc>
        <w:tc>
          <w:tcPr>
            <w:tcW w:w="1548"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5"/>
              <w:ind w:left="258" w:right="225"/>
              <w:rPr>
                <w:sz w:val="17"/>
              </w:rPr>
            </w:pPr>
            <w:r>
              <w:rPr>
                <w:sz w:val="17"/>
              </w:rPr>
              <w:t>100</w:t>
            </w:r>
          </w:p>
        </w:tc>
        <w:tc>
          <w:tcPr>
            <w:tcW w:w="1548"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5"/>
              <w:ind w:left="34"/>
              <w:rPr>
                <w:sz w:val="17"/>
              </w:rPr>
            </w:pPr>
            <w:r>
              <w:rPr>
                <w:w w:val="100"/>
                <w:sz w:val="17"/>
              </w:rPr>
              <w:t>5</w:t>
            </w:r>
          </w:p>
        </w:tc>
        <w:tc>
          <w:tcPr>
            <w:tcW w:w="1545"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before="15"/>
              <w:ind w:left="349" w:right="324"/>
              <w:rPr>
                <w:sz w:val="17"/>
              </w:rPr>
            </w:pPr>
            <w:r>
              <w:rPr>
                <w:sz w:val="17"/>
              </w:rPr>
              <w:t>5%</w:t>
            </w:r>
          </w:p>
        </w:tc>
        <w:tc>
          <w:tcPr>
            <w:tcW w:w="1543" w:type="dxa"/>
            <w:tcBorders>
              <w:top w:val="single" w:sz="6" w:space="0" w:color="4E81BD"/>
              <w:left w:val="single" w:sz="6" w:space="0" w:color="D2D2D2"/>
              <w:bottom w:val="single" w:sz="6" w:space="0" w:color="D2D2D2"/>
              <w:right w:val="nil"/>
            </w:tcBorders>
            <w:shd w:val="clear" w:color="auto" w:fill="EEECE1"/>
          </w:tcPr>
          <w:p>
            <w:pPr>
              <w:pStyle w:val="TableParagraph"/>
              <w:spacing w:before="15"/>
              <w:ind w:left="25"/>
              <w:rPr>
                <w:sz w:val="17"/>
              </w:rPr>
            </w:pPr>
            <w:r>
              <w:rPr>
                <w:w w:val="100"/>
                <w:sz w:val="17"/>
              </w:rPr>
              <w:t>5</w:t>
            </w:r>
          </w:p>
        </w:tc>
      </w:tr>
      <w:tr>
        <w:trPr>
          <w:trHeight w:val="229" w:hRule="atLeast"/>
        </w:trPr>
        <w:tc>
          <w:tcPr>
            <w:tcW w:w="1562" w:type="dxa"/>
            <w:tcBorders>
              <w:top w:val="single" w:sz="6" w:space="0" w:color="D2D2D2"/>
              <w:left w:val="nil"/>
              <w:bottom w:val="single" w:sz="6" w:space="0" w:color="D2D2D2"/>
              <w:right w:val="single" w:sz="6" w:space="0" w:color="D2D2D2"/>
            </w:tcBorders>
            <w:shd w:val="clear" w:color="auto" w:fill="EEECE1"/>
          </w:tcPr>
          <w:p>
            <w:pPr>
              <w:pStyle w:val="TableParagraph"/>
              <w:spacing w:before="13"/>
              <w:ind w:left="136"/>
              <w:jc w:val="left"/>
              <w:rPr>
                <w:b/>
                <w:sz w:val="17"/>
              </w:rPr>
            </w:pPr>
            <w:r>
              <w:rPr>
                <w:b/>
                <w:sz w:val="17"/>
              </w:rPr>
              <w:t>Year 2</w:t>
            </w:r>
          </w:p>
        </w:tc>
        <w:tc>
          <w:tcPr>
            <w:tcW w:w="1548"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258" w:right="225"/>
              <w:rPr>
                <w:sz w:val="17"/>
              </w:rPr>
            </w:pPr>
            <w:r>
              <w:rPr>
                <w:sz w:val="17"/>
              </w:rPr>
              <w:t>100</w:t>
            </w:r>
          </w:p>
        </w:tc>
        <w:tc>
          <w:tcPr>
            <w:tcW w:w="1548"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34"/>
              <w:rPr>
                <w:sz w:val="17"/>
              </w:rPr>
            </w:pPr>
            <w:r>
              <w:rPr>
                <w:w w:val="100"/>
                <w:sz w:val="17"/>
              </w:rPr>
              <w:t>5</w:t>
            </w:r>
          </w:p>
        </w:tc>
        <w:tc>
          <w:tcPr>
            <w:tcW w:w="154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349" w:right="324"/>
              <w:rPr>
                <w:sz w:val="17"/>
              </w:rPr>
            </w:pPr>
            <w:r>
              <w:rPr>
                <w:sz w:val="17"/>
              </w:rPr>
              <w:t>5%</w:t>
            </w:r>
          </w:p>
        </w:tc>
        <w:tc>
          <w:tcPr>
            <w:tcW w:w="1543" w:type="dxa"/>
            <w:tcBorders>
              <w:top w:val="single" w:sz="6" w:space="0" w:color="D2D2D2"/>
              <w:left w:val="single" w:sz="6" w:space="0" w:color="D2D2D2"/>
              <w:bottom w:val="single" w:sz="6" w:space="0" w:color="D2D2D2"/>
              <w:right w:val="nil"/>
            </w:tcBorders>
            <w:shd w:val="clear" w:color="auto" w:fill="EEECE1"/>
          </w:tcPr>
          <w:p>
            <w:pPr>
              <w:pStyle w:val="TableParagraph"/>
              <w:spacing w:before="13"/>
              <w:ind w:left="25"/>
              <w:rPr>
                <w:sz w:val="17"/>
              </w:rPr>
            </w:pPr>
            <w:r>
              <w:rPr>
                <w:w w:val="100"/>
                <w:sz w:val="17"/>
              </w:rPr>
              <w:t>5</w:t>
            </w:r>
          </w:p>
        </w:tc>
      </w:tr>
      <w:tr>
        <w:trPr>
          <w:trHeight w:val="229" w:hRule="atLeast"/>
        </w:trPr>
        <w:tc>
          <w:tcPr>
            <w:tcW w:w="1562" w:type="dxa"/>
            <w:tcBorders>
              <w:top w:val="single" w:sz="6" w:space="0" w:color="D2D2D2"/>
              <w:left w:val="nil"/>
              <w:bottom w:val="single" w:sz="6" w:space="0" w:color="D2D2D2"/>
              <w:right w:val="single" w:sz="6" w:space="0" w:color="D2D2D2"/>
            </w:tcBorders>
            <w:shd w:val="clear" w:color="auto" w:fill="EEECE1"/>
          </w:tcPr>
          <w:p>
            <w:pPr>
              <w:pStyle w:val="TableParagraph"/>
              <w:spacing w:before="13"/>
              <w:ind w:left="136"/>
              <w:jc w:val="left"/>
              <w:rPr>
                <w:b/>
                <w:sz w:val="17"/>
              </w:rPr>
            </w:pPr>
            <w:r>
              <w:rPr>
                <w:b/>
                <w:sz w:val="17"/>
              </w:rPr>
              <w:t>Year 3</w:t>
            </w:r>
          </w:p>
        </w:tc>
        <w:tc>
          <w:tcPr>
            <w:tcW w:w="1548"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258" w:right="225"/>
              <w:rPr>
                <w:sz w:val="17"/>
              </w:rPr>
            </w:pPr>
            <w:r>
              <w:rPr>
                <w:sz w:val="17"/>
              </w:rPr>
              <w:t>100</w:t>
            </w:r>
          </w:p>
        </w:tc>
        <w:tc>
          <w:tcPr>
            <w:tcW w:w="1548"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258" w:right="225"/>
              <w:rPr>
                <w:sz w:val="17"/>
              </w:rPr>
            </w:pPr>
            <w:r>
              <w:rPr>
                <w:sz w:val="17"/>
              </w:rPr>
              <w:t>20</w:t>
            </w:r>
          </w:p>
        </w:tc>
        <w:tc>
          <w:tcPr>
            <w:tcW w:w="154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
              <w:ind w:left="353" w:right="324"/>
              <w:rPr>
                <w:sz w:val="17"/>
              </w:rPr>
            </w:pPr>
            <w:r>
              <w:rPr>
                <w:sz w:val="17"/>
              </w:rPr>
              <w:t>20%</w:t>
            </w:r>
          </w:p>
        </w:tc>
        <w:tc>
          <w:tcPr>
            <w:tcW w:w="1543" w:type="dxa"/>
            <w:tcBorders>
              <w:top w:val="single" w:sz="6" w:space="0" w:color="D2D2D2"/>
              <w:left w:val="single" w:sz="6" w:space="0" w:color="D2D2D2"/>
              <w:bottom w:val="single" w:sz="6" w:space="0" w:color="D2D2D2"/>
              <w:right w:val="nil"/>
            </w:tcBorders>
            <w:shd w:val="clear" w:color="auto" w:fill="EEECE1"/>
          </w:tcPr>
          <w:p>
            <w:pPr>
              <w:pStyle w:val="TableParagraph"/>
              <w:spacing w:before="13"/>
              <w:ind w:left="25"/>
              <w:rPr>
                <w:sz w:val="17"/>
              </w:rPr>
            </w:pPr>
            <w:r>
              <w:rPr>
                <w:w w:val="100"/>
                <w:sz w:val="17"/>
              </w:rPr>
              <w:t>0</w:t>
            </w:r>
          </w:p>
        </w:tc>
      </w:tr>
      <w:tr>
        <w:trPr>
          <w:trHeight w:val="229" w:hRule="atLeast"/>
        </w:trPr>
        <w:tc>
          <w:tcPr>
            <w:tcW w:w="1562" w:type="dxa"/>
            <w:tcBorders>
              <w:top w:val="single" w:sz="6" w:space="0" w:color="D2D2D2"/>
              <w:left w:val="nil"/>
              <w:right w:val="single" w:sz="6" w:space="0" w:color="D2D2D2"/>
            </w:tcBorders>
            <w:shd w:val="clear" w:color="auto" w:fill="EEECE1"/>
          </w:tcPr>
          <w:p>
            <w:pPr>
              <w:pStyle w:val="TableParagraph"/>
              <w:spacing w:before="13"/>
              <w:ind w:left="136"/>
              <w:jc w:val="left"/>
              <w:rPr>
                <w:b/>
                <w:sz w:val="17"/>
              </w:rPr>
            </w:pPr>
            <w:r>
              <w:rPr>
                <w:b/>
                <w:sz w:val="17"/>
              </w:rPr>
              <w:t>Total</w:t>
            </w:r>
          </w:p>
        </w:tc>
        <w:tc>
          <w:tcPr>
            <w:tcW w:w="1548" w:type="dxa"/>
            <w:tcBorders>
              <w:top w:val="single" w:sz="6" w:space="0" w:color="D2D2D2"/>
              <w:left w:val="single" w:sz="6" w:space="0" w:color="D2D2D2"/>
              <w:right w:val="single" w:sz="6" w:space="0" w:color="D2D2D2"/>
            </w:tcBorders>
            <w:shd w:val="clear" w:color="auto" w:fill="EEECE1"/>
          </w:tcPr>
          <w:p>
            <w:pPr>
              <w:pStyle w:val="TableParagraph"/>
              <w:spacing w:before="13"/>
              <w:ind w:left="258" w:right="225"/>
              <w:rPr>
                <w:sz w:val="17"/>
              </w:rPr>
            </w:pPr>
            <w:r>
              <w:rPr>
                <w:sz w:val="17"/>
              </w:rPr>
              <w:t>300</w:t>
            </w:r>
          </w:p>
        </w:tc>
        <w:tc>
          <w:tcPr>
            <w:tcW w:w="1548" w:type="dxa"/>
            <w:tcBorders>
              <w:top w:val="single" w:sz="6" w:space="0" w:color="D2D2D2"/>
              <w:left w:val="single" w:sz="6" w:space="0" w:color="D2D2D2"/>
              <w:right w:val="single" w:sz="6" w:space="0" w:color="D2D2D2"/>
            </w:tcBorders>
            <w:shd w:val="clear" w:color="auto" w:fill="EEECE1"/>
          </w:tcPr>
          <w:p>
            <w:pPr>
              <w:pStyle w:val="TableParagraph"/>
              <w:spacing w:before="13"/>
              <w:ind w:left="258" w:right="225"/>
              <w:rPr>
                <w:sz w:val="17"/>
              </w:rPr>
            </w:pPr>
            <w:r>
              <w:rPr>
                <w:sz w:val="17"/>
              </w:rPr>
              <w:t>30</w:t>
            </w:r>
          </w:p>
        </w:tc>
        <w:tc>
          <w:tcPr>
            <w:tcW w:w="1545" w:type="dxa"/>
            <w:tcBorders>
              <w:top w:val="single" w:sz="6" w:space="0" w:color="D2D2D2"/>
              <w:left w:val="single" w:sz="6" w:space="0" w:color="D2D2D2"/>
              <w:right w:val="single" w:sz="6" w:space="0" w:color="D2D2D2"/>
            </w:tcBorders>
            <w:shd w:val="clear" w:color="auto" w:fill="EEECE1"/>
          </w:tcPr>
          <w:p>
            <w:pPr>
              <w:pStyle w:val="TableParagraph"/>
              <w:spacing w:before="13"/>
              <w:ind w:left="353" w:right="324"/>
              <w:rPr>
                <w:sz w:val="17"/>
              </w:rPr>
            </w:pPr>
            <w:r>
              <w:rPr>
                <w:sz w:val="17"/>
              </w:rPr>
              <w:t>10%</w:t>
            </w:r>
          </w:p>
        </w:tc>
        <w:tc>
          <w:tcPr>
            <w:tcW w:w="1543" w:type="dxa"/>
            <w:tcBorders>
              <w:top w:val="single" w:sz="6" w:space="0" w:color="D2D2D2"/>
              <w:left w:val="single" w:sz="6" w:space="0" w:color="D2D2D2"/>
              <w:right w:val="nil"/>
            </w:tcBorders>
            <w:shd w:val="clear" w:color="auto" w:fill="EEECE1"/>
          </w:tcPr>
          <w:p>
            <w:pPr>
              <w:pStyle w:val="TableParagraph"/>
              <w:spacing w:before="13"/>
              <w:ind w:left="213" w:right="189"/>
              <w:rPr>
                <w:sz w:val="17"/>
              </w:rPr>
            </w:pPr>
            <w:r>
              <w:rPr>
                <w:sz w:val="17"/>
              </w:rPr>
              <w:t>10</w:t>
            </w:r>
          </w:p>
        </w:tc>
      </w:tr>
    </w:tbl>
    <w:p>
      <w:pPr>
        <w:pStyle w:val="BodyText"/>
        <w:spacing w:line="271" w:lineRule="auto" w:before="149"/>
        <w:ind w:left="860" w:right="619"/>
        <w:jc w:val="both"/>
      </w:pPr>
      <w:r>
        <w:rPr/>
        <w:t>Notwithstanding the fact that this competitor has generated the same level of profit over the three-year period under review, without a carry-forward regime accommodating profit shortfalls, Group Y would have a share of its profits for Amount A purposes in excess of the profitability threshold in Year 3 reallocated to market jurisdictions, i.e. EUR 10 million.</w:t>
      </w:r>
    </w:p>
    <w:p>
      <w:pPr>
        <w:pStyle w:val="BodyText"/>
        <w:spacing w:line="271" w:lineRule="auto" w:before="122"/>
        <w:ind w:left="860" w:right="618"/>
        <w:jc w:val="both"/>
      </w:pPr>
      <w:r>
        <w:rPr/>
        <w:t>In contrast, with a carry-forward regime accommodating profit shortfalls, the profit shortfalls generated in</w:t>
      </w:r>
      <w:r>
        <w:rPr>
          <w:spacing w:val="-3"/>
        </w:rPr>
        <w:t> </w:t>
      </w:r>
      <w:r>
        <w:rPr/>
        <w:t>Year</w:t>
      </w:r>
      <w:r>
        <w:rPr>
          <w:spacing w:val="-4"/>
        </w:rPr>
        <w:t> </w:t>
      </w:r>
      <w:r>
        <w:rPr/>
        <w:t>1</w:t>
      </w:r>
      <w:r>
        <w:rPr>
          <w:spacing w:val="-4"/>
        </w:rPr>
        <w:t> </w:t>
      </w:r>
      <w:r>
        <w:rPr/>
        <w:t>(i.e.</w:t>
      </w:r>
      <w:r>
        <w:rPr>
          <w:spacing w:val="-5"/>
        </w:rPr>
        <w:t> </w:t>
      </w:r>
      <w:r>
        <w:rPr/>
        <w:t>EUR</w:t>
      </w:r>
      <w:r>
        <w:rPr>
          <w:spacing w:val="-4"/>
        </w:rPr>
        <w:t> </w:t>
      </w:r>
      <w:r>
        <w:rPr/>
        <w:t>5</w:t>
      </w:r>
      <w:r>
        <w:rPr>
          <w:spacing w:val="-3"/>
        </w:rPr>
        <w:t> </w:t>
      </w:r>
      <w:r>
        <w:rPr/>
        <w:t>million)</w:t>
      </w:r>
      <w:r>
        <w:rPr>
          <w:spacing w:val="-4"/>
        </w:rPr>
        <w:t> </w:t>
      </w:r>
      <w:r>
        <w:rPr/>
        <w:t>and Year</w:t>
      </w:r>
      <w:r>
        <w:rPr>
          <w:spacing w:val="-3"/>
        </w:rPr>
        <w:t> </w:t>
      </w:r>
      <w:r>
        <w:rPr/>
        <w:t>2</w:t>
      </w:r>
      <w:r>
        <w:rPr>
          <w:spacing w:val="-6"/>
        </w:rPr>
        <w:t> </w:t>
      </w:r>
      <w:r>
        <w:rPr/>
        <w:t>(i.e.</w:t>
      </w:r>
      <w:r>
        <w:rPr>
          <w:spacing w:val="-5"/>
        </w:rPr>
        <w:t> </w:t>
      </w:r>
      <w:r>
        <w:rPr/>
        <w:t>EUR</w:t>
      </w:r>
      <w:r>
        <w:rPr>
          <w:spacing w:val="-4"/>
        </w:rPr>
        <w:t> </w:t>
      </w:r>
      <w:r>
        <w:rPr/>
        <w:t>5</w:t>
      </w:r>
      <w:r>
        <w:rPr>
          <w:spacing w:val="-3"/>
        </w:rPr>
        <w:t> </w:t>
      </w:r>
      <w:r>
        <w:rPr/>
        <w:t>million)</w:t>
      </w:r>
      <w:r>
        <w:rPr>
          <w:spacing w:val="-5"/>
        </w:rPr>
        <w:t> </w:t>
      </w:r>
      <w:r>
        <w:rPr/>
        <w:t>would</w:t>
      </w:r>
      <w:r>
        <w:rPr>
          <w:spacing w:val="-4"/>
        </w:rPr>
        <w:t> </w:t>
      </w:r>
      <w:r>
        <w:rPr/>
        <w:t>be</w:t>
      </w:r>
      <w:r>
        <w:rPr>
          <w:spacing w:val="-4"/>
        </w:rPr>
        <w:t> </w:t>
      </w:r>
      <w:r>
        <w:rPr/>
        <w:t>preserved</w:t>
      </w:r>
      <w:r>
        <w:rPr>
          <w:spacing w:val="-4"/>
        </w:rPr>
        <w:t> </w:t>
      </w:r>
      <w:r>
        <w:rPr/>
        <w:t>and</w:t>
      </w:r>
      <w:r>
        <w:rPr>
          <w:spacing w:val="-4"/>
        </w:rPr>
        <w:t> </w:t>
      </w:r>
      <w:r>
        <w:rPr/>
        <w:t>offset</w:t>
      </w:r>
      <w:r>
        <w:rPr>
          <w:spacing w:val="-5"/>
        </w:rPr>
        <w:t> </w:t>
      </w:r>
      <w:r>
        <w:rPr/>
        <w:t>against</w:t>
      </w:r>
      <w:r>
        <w:rPr>
          <w:spacing w:val="-4"/>
        </w:rPr>
        <w:t> </w:t>
      </w:r>
      <w:r>
        <w:rPr/>
        <w:t>the profit</w:t>
      </w:r>
      <w:r>
        <w:rPr>
          <w:spacing w:val="-11"/>
        </w:rPr>
        <w:t> </w:t>
      </w:r>
      <w:r>
        <w:rPr/>
        <w:t>in</w:t>
      </w:r>
      <w:r>
        <w:rPr>
          <w:spacing w:val="-8"/>
        </w:rPr>
        <w:t> </w:t>
      </w:r>
      <w:r>
        <w:rPr/>
        <w:t>excess</w:t>
      </w:r>
      <w:r>
        <w:rPr>
          <w:spacing w:val="-10"/>
        </w:rPr>
        <w:t> </w:t>
      </w:r>
      <w:r>
        <w:rPr/>
        <w:t>of</w:t>
      </w:r>
      <w:r>
        <w:rPr>
          <w:spacing w:val="-8"/>
        </w:rPr>
        <w:t> </w:t>
      </w:r>
      <w:r>
        <w:rPr/>
        <w:t>the</w:t>
      </w:r>
      <w:r>
        <w:rPr>
          <w:spacing w:val="-11"/>
        </w:rPr>
        <w:t> </w:t>
      </w:r>
      <w:r>
        <w:rPr/>
        <w:t>profitability</w:t>
      </w:r>
      <w:r>
        <w:rPr>
          <w:spacing w:val="-15"/>
        </w:rPr>
        <w:t> </w:t>
      </w:r>
      <w:r>
        <w:rPr/>
        <w:t>threshold</w:t>
      </w:r>
      <w:r>
        <w:rPr>
          <w:spacing w:val="-4"/>
        </w:rPr>
        <w:t> </w:t>
      </w:r>
      <w:r>
        <w:rPr/>
        <w:t>in</w:t>
      </w:r>
      <w:r>
        <w:rPr>
          <w:spacing w:val="-9"/>
        </w:rPr>
        <w:t> </w:t>
      </w:r>
      <w:r>
        <w:rPr/>
        <w:t>Year</w:t>
      </w:r>
      <w:r>
        <w:rPr>
          <w:spacing w:val="-10"/>
        </w:rPr>
        <w:t> </w:t>
      </w:r>
      <w:r>
        <w:rPr/>
        <w:t>3</w:t>
      </w:r>
      <w:r>
        <w:rPr>
          <w:spacing w:val="-11"/>
        </w:rPr>
        <w:t> </w:t>
      </w:r>
      <w:r>
        <w:rPr/>
        <w:t>(i.e.</w:t>
      </w:r>
      <w:r>
        <w:rPr>
          <w:spacing w:val="-12"/>
        </w:rPr>
        <w:t> </w:t>
      </w:r>
      <w:r>
        <w:rPr/>
        <w:t>EUR</w:t>
      </w:r>
      <w:r>
        <w:rPr>
          <w:spacing w:val="-10"/>
        </w:rPr>
        <w:t> </w:t>
      </w:r>
      <w:r>
        <w:rPr/>
        <w:t>10</w:t>
      </w:r>
      <w:r>
        <w:rPr>
          <w:spacing w:val="-11"/>
        </w:rPr>
        <w:t> </w:t>
      </w:r>
      <w:r>
        <w:rPr/>
        <w:t>million).</w:t>
      </w:r>
      <w:r>
        <w:rPr>
          <w:spacing w:val="-8"/>
        </w:rPr>
        <w:t> </w:t>
      </w:r>
      <w:r>
        <w:rPr/>
        <w:t>Group</w:t>
      </w:r>
      <w:r>
        <w:rPr>
          <w:spacing w:val="-8"/>
        </w:rPr>
        <w:t> </w:t>
      </w:r>
      <w:r>
        <w:rPr/>
        <w:t>Y</w:t>
      </w:r>
      <w:r>
        <w:rPr>
          <w:spacing w:val="-12"/>
        </w:rPr>
        <w:t> </w:t>
      </w:r>
      <w:r>
        <w:rPr/>
        <w:t>would</w:t>
      </w:r>
      <w:r>
        <w:rPr>
          <w:spacing w:val="-9"/>
        </w:rPr>
        <w:t> </w:t>
      </w:r>
      <w:r>
        <w:rPr/>
        <w:t>thus</w:t>
      </w:r>
      <w:r>
        <w:rPr>
          <w:spacing w:val="-10"/>
        </w:rPr>
        <w:t> </w:t>
      </w:r>
      <w:r>
        <w:rPr/>
        <w:t>not</w:t>
      </w:r>
      <w:r>
        <w:rPr>
          <w:spacing w:val="-11"/>
        </w:rPr>
        <w:t> </w:t>
      </w:r>
      <w:r>
        <w:rPr/>
        <w:t>have a share of its profit for Amount A purposes reallocated to market jurisdictions in Year</w:t>
      </w:r>
      <w:r>
        <w:rPr>
          <w:spacing w:val="-17"/>
        </w:rPr>
        <w:t> </w:t>
      </w:r>
      <w:r>
        <w:rPr/>
        <w:t>3.</w:t>
      </w:r>
    </w:p>
    <w:p>
      <w:pPr>
        <w:pStyle w:val="BodyText"/>
      </w:pPr>
    </w:p>
    <w:p>
      <w:pPr>
        <w:pStyle w:val="BodyText"/>
      </w:pPr>
    </w:p>
    <w:p>
      <w:pPr>
        <w:pStyle w:val="BodyText"/>
        <w:spacing w:before="4"/>
        <w:rPr>
          <w:sz w:val="21"/>
        </w:rPr>
      </w:pPr>
      <w:r>
        <w:rPr/>
        <w:pict>
          <v:shape style="position:absolute;margin-left:64.944pt;margin-top:14.476434pt;width:465.6pt;height:74.650pt;mso-position-horizontal-relative:page;mso-position-vertical-relative:paragraph;z-index:-15631872;mso-wrap-distance-left:0;mso-wrap-distance-right:0" type="#_x0000_t202" filled="true" fillcolor="#eeece1" stroked="true" strokeweight=".48004pt" strokecolor="#4e81bd">
            <v:textbox inset="0,0,0,0">
              <w:txbxContent>
                <w:p>
                  <w:pPr>
                    <w:pStyle w:val="BodyText"/>
                    <w:spacing w:before="4"/>
                    <w:rPr>
                      <w:sz w:val="31"/>
                    </w:rPr>
                  </w:pPr>
                </w:p>
                <w:p>
                  <w:pPr>
                    <w:spacing w:before="0"/>
                    <w:ind w:left="136" w:right="0" w:firstLine="0"/>
                    <w:jc w:val="left"/>
                    <w:rPr>
                      <w:rFonts w:ascii="Arial Narrow"/>
                      <w:b/>
                      <w:sz w:val="24"/>
                    </w:rPr>
                  </w:pPr>
                  <w:r>
                    <w:rPr>
                      <w:rFonts w:ascii="Arial Narrow"/>
                      <w:b/>
                      <w:color w:val="4E81BD"/>
                      <w:sz w:val="24"/>
                    </w:rPr>
                    <w:t>Box C.2. The marketing and distribution profits safe harbour for a decentralised business</w:t>
                  </w:r>
                  <w:r>
                    <w:rPr>
                      <w:rFonts w:ascii="Arial Narrow"/>
                      <w:b/>
                      <w:color w:val="4E81BD"/>
                      <w:spacing w:val="-28"/>
                      <w:sz w:val="24"/>
                    </w:rPr>
                    <w:t> </w:t>
                  </w:r>
                  <w:r>
                    <w:rPr>
                      <w:rFonts w:ascii="Arial Narrow"/>
                      <w:b/>
                      <w:color w:val="4E81BD"/>
                      <w:sz w:val="24"/>
                    </w:rPr>
                    <w:t>model</w:t>
                  </w:r>
                </w:p>
                <w:p>
                  <w:pPr>
                    <w:pStyle w:val="BodyText"/>
                    <w:spacing w:line="271" w:lineRule="auto" w:before="213"/>
                    <w:ind w:left="136" w:right="63"/>
                  </w:pPr>
                  <w:r>
                    <w:rPr/>
                    <w:t>Group X is an MNE group in scope of Amount A. Under the marketing and distribution profits safe harbour</w:t>
                  </w:r>
                  <w:r>
                    <w:rPr>
                      <w:spacing w:val="-12"/>
                    </w:rPr>
                    <w:t> </w:t>
                  </w:r>
                  <w:r>
                    <w:rPr/>
                    <w:t>proposal,</w:t>
                  </w:r>
                  <w:r>
                    <w:rPr>
                      <w:spacing w:val="-9"/>
                    </w:rPr>
                    <w:t> </w:t>
                  </w:r>
                  <w:r>
                    <w:rPr/>
                    <w:t>the</w:t>
                  </w:r>
                  <w:r>
                    <w:rPr>
                      <w:spacing w:val="-11"/>
                    </w:rPr>
                    <w:t> </w:t>
                  </w:r>
                  <w:r>
                    <w:rPr/>
                    <w:t>assumption</w:t>
                  </w:r>
                  <w:r>
                    <w:rPr>
                      <w:spacing w:val="-12"/>
                    </w:rPr>
                    <w:t> </w:t>
                  </w:r>
                  <w:r>
                    <w:rPr/>
                    <w:t>is</w:t>
                  </w:r>
                  <w:r>
                    <w:rPr>
                      <w:spacing w:val="-9"/>
                    </w:rPr>
                    <w:t> </w:t>
                  </w:r>
                  <w:r>
                    <w:rPr/>
                    <w:t>that</w:t>
                  </w:r>
                  <w:r>
                    <w:rPr>
                      <w:spacing w:val="-11"/>
                    </w:rPr>
                    <w:t> </w:t>
                  </w:r>
                  <w:r>
                    <w:rPr/>
                    <w:t>the</w:t>
                  </w:r>
                  <w:r>
                    <w:rPr>
                      <w:spacing w:val="-11"/>
                    </w:rPr>
                    <w:t> </w:t>
                  </w:r>
                  <w:r>
                    <w:rPr/>
                    <w:t>Amount</w:t>
                  </w:r>
                  <w:r>
                    <w:rPr>
                      <w:spacing w:val="-9"/>
                    </w:rPr>
                    <w:t> </w:t>
                  </w:r>
                  <w:r>
                    <w:rPr/>
                    <w:t>A</w:t>
                  </w:r>
                  <w:r>
                    <w:rPr>
                      <w:spacing w:val="-11"/>
                    </w:rPr>
                    <w:t> </w:t>
                  </w:r>
                  <w:r>
                    <w:rPr/>
                    <w:t>profit</w:t>
                  </w:r>
                  <w:r>
                    <w:rPr>
                      <w:spacing w:val="-9"/>
                    </w:rPr>
                    <w:t> </w:t>
                  </w:r>
                  <w:r>
                    <w:rPr/>
                    <w:t>allocated</w:t>
                  </w:r>
                  <w:r>
                    <w:rPr>
                      <w:spacing w:val="-11"/>
                    </w:rPr>
                    <w:t> </w:t>
                  </w:r>
                  <w:r>
                    <w:rPr/>
                    <w:t>to</w:t>
                  </w:r>
                  <w:r>
                    <w:rPr>
                      <w:spacing w:val="-9"/>
                    </w:rPr>
                    <w:t> </w:t>
                  </w:r>
                  <w:r>
                    <w:rPr/>
                    <w:t>market</w:t>
                  </w:r>
                  <w:r>
                    <w:rPr>
                      <w:spacing w:val="-12"/>
                    </w:rPr>
                    <w:t> </w:t>
                  </w:r>
                  <w:r>
                    <w:rPr/>
                    <w:t>jurisdictions</w:t>
                  </w:r>
                  <w:r>
                    <w:rPr>
                      <w:spacing w:val="-9"/>
                    </w:rPr>
                    <w:t> </w:t>
                  </w:r>
                  <w:r>
                    <w:rPr/>
                    <w:t>where</w:t>
                  </w:r>
                  <w:r>
                    <w:rPr>
                      <w:spacing w:val="-10"/>
                    </w:rPr>
                    <w:t> </w:t>
                  </w:r>
                  <w:r>
                    <w:rPr/>
                    <w:t>the</w:t>
                  </w:r>
                </w:p>
              </w:txbxContent>
            </v:textbox>
            <v:fill type="solid"/>
            <v:stroke dashstyle="solid"/>
            <w10:wrap type="topAndBottom"/>
          </v:shape>
        </w:pict>
      </w:r>
    </w:p>
    <w:p>
      <w:pPr>
        <w:spacing w:after="0"/>
        <w:rPr>
          <w:sz w:val="21"/>
        </w:rPr>
        <w:sectPr>
          <w:pgSz w:w="11910" w:h="16840"/>
          <w:pgMar w:header="1244" w:footer="1638" w:top="1500" w:bottom="1820" w:left="580" w:right="820"/>
        </w:sectPr>
      </w:pPr>
    </w:p>
    <w:p>
      <w:pPr>
        <w:pStyle w:val="BodyText"/>
        <w:spacing w:before="3"/>
        <w:rPr>
          <w:sz w:val="21"/>
        </w:rPr>
      </w:pPr>
      <w:r>
        <w:rPr/>
        <w:pict>
          <v:group style="position:absolute;margin-left:64.704002pt;margin-top:90.739967pt;width:466.05pt;height:593.75pt;mso-position-horizontal-relative:page;mso-position-vertical-relative:page;z-index:-19493888" coordorigin="1294,1815" coordsize="9321,11875">
            <v:rect style="position:absolute;left:1303;top:1824;width:9302;height:11855" filled="true" fillcolor="#eeece1" stroked="false">
              <v:fill type="solid"/>
            </v:rect>
            <v:shape style="position:absolute;left:1294;top:1814;width:9321;height:11875" coordorigin="1294,1815" coordsize="9321,11875" path="m1304,1825l1294,1825,1294,13680,1304,13680,1304,1825xm10605,13680l1304,13680,1304,13680,1294,13680,1294,13689,1304,13689,1304,13689,10605,13689,10605,13680xm10605,1815l1304,1815,1304,1815,1294,1815,1294,1824,1304,1824,1304,1824,10605,1824,10605,1815xm10615,13680l10605,13680,10605,13689,10615,13689,10615,13680xm10615,1825l10605,1825,10605,13680,10615,13680,10615,1825xm10615,1815l10605,1815,10605,1824,10615,1824,10615,1815xe" filled="true" fillcolor="#4e81bd" stroked="false">
              <v:path arrowok="t"/>
              <v:fill type="solid"/>
            </v:shape>
            <w10:wrap type="none"/>
          </v:group>
        </w:pict>
      </w:r>
    </w:p>
    <w:p>
      <w:pPr>
        <w:pStyle w:val="BodyText"/>
        <w:spacing w:line="271" w:lineRule="auto" w:before="93"/>
        <w:ind w:left="860" w:right="624"/>
        <w:jc w:val="both"/>
      </w:pPr>
      <w:r>
        <w:rPr/>
        <w:t>group</w:t>
      </w:r>
      <w:r>
        <w:rPr>
          <w:spacing w:val="-8"/>
        </w:rPr>
        <w:t> </w:t>
      </w:r>
      <w:r>
        <w:rPr/>
        <w:t>does</w:t>
      </w:r>
      <w:r>
        <w:rPr>
          <w:spacing w:val="-5"/>
        </w:rPr>
        <w:t> </w:t>
      </w:r>
      <w:r>
        <w:rPr/>
        <w:t>not</w:t>
      </w:r>
      <w:r>
        <w:rPr>
          <w:spacing w:val="-4"/>
        </w:rPr>
        <w:t> </w:t>
      </w:r>
      <w:r>
        <w:rPr/>
        <w:t>have</w:t>
      </w:r>
      <w:r>
        <w:rPr>
          <w:spacing w:val="-7"/>
        </w:rPr>
        <w:t> </w:t>
      </w:r>
      <w:r>
        <w:rPr/>
        <w:t>a</w:t>
      </w:r>
      <w:r>
        <w:rPr>
          <w:spacing w:val="-4"/>
        </w:rPr>
        <w:t> </w:t>
      </w:r>
      <w:r>
        <w:rPr/>
        <w:t>physical</w:t>
      </w:r>
      <w:r>
        <w:rPr>
          <w:spacing w:val="-8"/>
        </w:rPr>
        <w:t> </w:t>
      </w:r>
      <w:r>
        <w:rPr/>
        <w:t>presence</w:t>
      </w:r>
      <w:r>
        <w:rPr>
          <w:spacing w:val="-7"/>
        </w:rPr>
        <w:t> </w:t>
      </w:r>
      <w:r>
        <w:rPr/>
        <w:t>is</w:t>
      </w:r>
      <w:r>
        <w:rPr>
          <w:spacing w:val="-6"/>
        </w:rPr>
        <w:t> </w:t>
      </w:r>
      <w:r>
        <w:rPr/>
        <w:t>a</w:t>
      </w:r>
      <w:r>
        <w:rPr>
          <w:spacing w:val="-7"/>
        </w:rPr>
        <w:t> </w:t>
      </w:r>
      <w:r>
        <w:rPr/>
        <w:t>return</w:t>
      </w:r>
      <w:r>
        <w:rPr>
          <w:spacing w:val="-6"/>
        </w:rPr>
        <w:t> </w:t>
      </w:r>
      <w:r>
        <w:rPr/>
        <w:t>on</w:t>
      </w:r>
      <w:r>
        <w:rPr>
          <w:spacing w:val="-5"/>
        </w:rPr>
        <w:t> </w:t>
      </w:r>
      <w:r>
        <w:rPr/>
        <w:t>sales</w:t>
      </w:r>
      <w:r>
        <w:rPr>
          <w:spacing w:val="-6"/>
        </w:rPr>
        <w:t> </w:t>
      </w:r>
      <w:r>
        <w:rPr/>
        <w:t>of</w:t>
      </w:r>
      <w:r>
        <w:rPr>
          <w:spacing w:val="-5"/>
        </w:rPr>
        <w:t> </w:t>
      </w:r>
      <w:r>
        <w:rPr/>
        <w:t>1.5%</w:t>
      </w:r>
      <w:r>
        <w:rPr>
          <w:spacing w:val="-6"/>
        </w:rPr>
        <w:t> </w:t>
      </w:r>
      <w:r>
        <w:rPr/>
        <w:t>(Amount</w:t>
      </w:r>
      <w:r>
        <w:rPr>
          <w:spacing w:val="-7"/>
        </w:rPr>
        <w:t> </w:t>
      </w:r>
      <w:r>
        <w:rPr/>
        <w:t>A</w:t>
      </w:r>
      <w:r>
        <w:rPr>
          <w:spacing w:val="-7"/>
        </w:rPr>
        <w:t> </w:t>
      </w:r>
      <w:r>
        <w:rPr/>
        <w:t>only)</w:t>
      </w:r>
      <w:r>
        <w:rPr>
          <w:spacing w:val="-4"/>
        </w:rPr>
        <w:t> </w:t>
      </w:r>
      <w:r>
        <w:rPr/>
        <w:t>and</w:t>
      </w:r>
      <w:r>
        <w:rPr>
          <w:spacing w:val="-7"/>
        </w:rPr>
        <w:t> </w:t>
      </w:r>
      <w:r>
        <w:rPr/>
        <w:t>the</w:t>
      </w:r>
      <w:r>
        <w:rPr>
          <w:spacing w:val="-7"/>
        </w:rPr>
        <w:t> </w:t>
      </w:r>
      <w:r>
        <w:rPr/>
        <w:t>Amount A profit allocated to market jurisdictions where </w:t>
      </w:r>
      <w:r>
        <w:rPr>
          <w:spacing w:val="2"/>
        </w:rPr>
        <w:t>the </w:t>
      </w:r>
      <w:r>
        <w:rPr/>
        <w:t>group has a physical presence is a return on sales of 3.5% (Amount A plus a 2% fixed return for routine marketing and distribution</w:t>
      </w:r>
      <w:r>
        <w:rPr>
          <w:spacing w:val="-30"/>
        </w:rPr>
        <w:t> </w:t>
      </w:r>
      <w:r>
        <w:rPr/>
        <w:t>activities).</w:t>
      </w:r>
    </w:p>
    <w:p>
      <w:pPr>
        <w:pStyle w:val="Heading5"/>
        <w:spacing w:before="150"/>
      </w:pPr>
      <w:r>
        <w:rPr/>
        <w:t>IP Owner (Jurisdiction 1)</w:t>
      </w:r>
    </w:p>
    <w:p>
      <w:pPr>
        <w:pStyle w:val="BodyText"/>
        <w:spacing w:line="271" w:lineRule="auto" w:before="188"/>
        <w:ind w:left="860" w:right="619"/>
        <w:jc w:val="both"/>
      </w:pPr>
      <w:r>
        <w:rPr/>
        <w:t>Group</w:t>
      </w:r>
      <w:r>
        <w:rPr>
          <w:spacing w:val="-16"/>
        </w:rPr>
        <w:t> </w:t>
      </w:r>
      <w:r>
        <w:rPr/>
        <w:t>X</w:t>
      </w:r>
      <w:r>
        <w:rPr>
          <w:spacing w:val="-14"/>
        </w:rPr>
        <w:t> </w:t>
      </w:r>
      <w:r>
        <w:rPr/>
        <w:t>has</w:t>
      </w:r>
      <w:r>
        <w:rPr>
          <w:spacing w:val="-15"/>
        </w:rPr>
        <w:t> </w:t>
      </w:r>
      <w:r>
        <w:rPr/>
        <w:t>a</w:t>
      </w:r>
      <w:r>
        <w:rPr>
          <w:spacing w:val="-14"/>
        </w:rPr>
        <w:t> </w:t>
      </w:r>
      <w:r>
        <w:rPr/>
        <w:t>decentralised</w:t>
      </w:r>
      <w:r>
        <w:rPr>
          <w:spacing w:val="-16"/>
        </w:rPr>
        <w:t> </w:t>
      </w:r>
      <w:r>
        <w:rPr/>
        <w:t>operating</w:t>
      </w:r>
      <w:r>
        <w:rPr>
          <w:spacing w:val="-17"/>
        </w:rPr>
        <w:t> </w:t>
      </w:r>
      <w:r>
        <w:rPr/>
        <w:t>model,</w:t>
      </w:r>
      <w:r>
        <w:rPr>
          <w:spacing w:val="-14"/>
        </w:rPr>
        <w:t> </w:t>
      </w:r>
      <w:r>
        <w:rPr/>
        <w:t>in</w:t>
      </w:r>
      <w:r>
        <w:rPr>
          <w:spacing w:val="-12"/>
        </w:rPr>
        <w:t> </w:t>
      </w:r>
      <w:r>
        <w:rPr/>
        <w:t>which</w:t>
      </w:r>
      <w:r>
        <w:rPr>
          <w:spacing w:val="-14"/>
        </w:rPr>
        <w:t> </w:t>
      </w:r>
      <w:r>
        <w:rPr/>
        <w:t>an</w:t>
      </w:r>
      <w:r>
        <w:rPr>
          <w:spacing w:val="-17"/>
        </w:rPr>
        <w:t> </w:t>
      </w:r>
      <w:r>
        <w:rPr/>
        <w:t>IP</w:t>
      </w:r>
      <w:r>
        <w:rPr>
          <w:spacing w:val="-17"/>
        </w:rPr>
        <w:t> </w:t>
      </w:r>
      <w:r>
        <w:rPr/>
        <w:t>Owner</w:t>
      </w:r>
      <w:r>
        <w:rPr>
          <w:spacing w:val="-15"/>
        </w:rPr>
        <w:t> </w:t>
      </w:r>
      <w:r>
        <w:rPr/>
        <w:t>(resident</w:t>
      </w:r>
      <w:r>
        <w:rPr>
          <w:spacing w:val="-16"/>
        </w:rPr>
        <w:t> </w:t>
      </w:r>
      <w:r>
        <w:rPr/>
        <w:t>in</w:t>
      </w:r>
      <w:r>
        <w:rPr>
          <w:spacing w:val="-16"/>
        </w:rPr>
        <w:t> </w:t>
      </w:r>
      <w:r>
        <w:rPr/>
        <w:t>Jurisdiction</w:t>
      </w:r>
      <w:r>
        <w:rPr>
          <w:spacing w:val="-14"/>
        </w:rPr>
        <w:t> </w:t>
      </w:r>
      <w:r>
        <w:rPr/>
        <w:t>1)</w:t>
      </w:r>
      <w:r>
        <w:rPr>
          <w:spacing w:val="-15"/>
        </w:rPr>
        <w:t> </w:t>
      </w:r>
      <w:r>
        <w:rPr/>
        <w:t>develops and owns the group’s trade intangibles and licenses these intangibles to full-risk distributors in market jurisdictions in exchange for a benchmarked</w:t>
      </w:r>
      <w:r>
        <w:rPr>
          <w:spacing w:val="-8"/>
        </w:rPr>
        <w:t> </w:t>
      </w:r>
      <w:r>
        <w:rPr/>
        <w:t>royalty.</w:t>
      </w:r>
    </w:p>
    <w:p>
      <w:pPr>
        <w:pStyle w:val="Heading5"/>
        <w:spacing w:before="150"/>
      </w:pPr>
      <w:r>
        <w:rPr/>
        <w:t>Full-risk distributors (Jurisdictions 2, 3, 4 and 5)</w:t>
      </w:r>
    </w:p>
    <w:p>
      <w:pPr>
        <w:pStyle w:val="BodyText"/>
        <w:spacing w:line="271" w:lineRule="auto" w:before="189"/>
        <w:ind w:left="860" w:right="623"/>
        <w:jc w:val="both"/>
      </w:pPr>
      <w:r>
        <w:rPr/>
        <w:t>The full-risk distributors (resident in Jurisdictions 2, 3, 4 and 5 respectively) combine these licensed intangibles</w:t>
      </w:r>
      <w:r>
        <w:rPr>
          <w:spacing w:val="-9"/>
        </w:rPr>
        <w:t> </w:t>
      </w:r>
      <w:r>
        <w:rPr/>
        <w:t>with</w:t>
      </w:r>
      <w:r>
        <w:rPr>
          <w:spacing w:val="-13"/>
        </w:rPr>
        <w:t> </w:t>
      </w:r>
      <w:r>
        <w:rPr/>
        <w:t>their</w:t>
      </w:r>
      <w:r>
        <w:rPr>
          <w:spacing w:val="-11"/>
        </w:rPr>
        <w:t> </w:t>
      </w:r>
      <w:r>
        <w:rPr/>
        <w:t>own</w:t>
      </w:r>
      <w:r>
        <w:rPr>
          <w:spacing w:val="-13"/>
        </w:rPr>
        <w:t> </w:t>
      </w:r>
      <w:r>
        <w:rPr/>
        <w:t>marketing</w:t>
      </w:r>
      <w:r>
        <w:rPr>
          <w:spacing w:val="-12"/>
        </w:rPr>
        <w:t> </w:t>
      </w:r>
      <w:r>
        <w:rPr/>
        <w:t>and</w:t>
      </w:r>
      <w:r>
        <w:rPr>
          <w:spacing w:val="-10"/>
        </w:rPr>
        <w:t> </w:t>
      </w:r>
      <w:r>
        <w:rPr/>
        <w:t>other</w:t>
      </w:r>
      <w:r>
        <w:rPr>
          <w:spacing w:val="-12"/>
        </w:rPr>
        <w:t> </w:t>
      </w:r>
      <w:r>
        <w:rPr/>
        <w:t>intangibles,</w:t>
      </w:r>
      <w:r>
        <w:rPr>
          <w:spacing w:val="-11"/>
        </w:rPr>
        <w:t> </w:t>
      </w:r>
      <w:r>
        <w:rPr/>
        <w:t>in</w:t>
      </w:r>
      <w:r>
        <w:rPr>
          <w:spacing w:val="-13"/>
        </w:rPr>
        <w:t> </w:t>
      </w:r>
      <w:r>
        <w:rPr/>
        <w:t>products</w:t>
      </w:r>
      <w:r>
        <w:rPr>
          <w:spacing w:val="-11"/>
        </w:rPr>
        <w:t> </w:t>
      </w:r>
      <w:r>
        <w:rPr/>
        <w:t>that</w:t>
      </w:r>
      <w:r>
        <w:rPr>
          <w:spacing w:val="-10"/>
        </w:rPr>
        <w:t> </w:t>
      </w:r>
      <w:r>
        <w:rPr/>
        <w:t>are</w:t>
      </w:r>
      <w:r>
        <w:rPr>
          <w:spacing w:val="-12"/>
        </w:rPr>
        <w:t> </w:t>
      </w:r>
      <w:r>
        <w:rPr/>
        <w:t>then</w:t>
      </w:r>
      <w:r>
        <w:rPr>
          <w:spacing w:val="-10"/>
        </w:rPr>
        <w:t> </w:t>
      </w:r>
      <w:r>
        <w:rPr/>
        <w:t>sold</w:t>
      </w:r>
      <w:r>
        <w:rPr>
          <w:spacing w:val="-13"/>
        </w:rPr>
        <w:t> </w:t>
      </w:r>
      <w:r>
        <w:rPr/>
        <w:t>to</w:t>
      </w:r>
      <w:r>
        <w:rPr>
          <w:spacing w:val="-13"/>
        </w:rPr>
        <w:t> </w:t>
      </w:r>
      <w:r>
        <w:rPr/>
        <w:t>third</w:t>
      </w:r>
      <w:r>
        <w:rPr>
          <w:spacing w:val="-12"/>
        </w:rPr>
        <w:t> </w:t>
      </w:r>
      <w:r>
        <w:rPr/>
        <w:t>parties. The</w:t>
      </w:r>
      <w:r>
        <w:rPr>
          <w:spacing w:val="-8"/>
        </w:rPr>
        <w:t> </w:t>
      </w:r>
      <w:r>
        <w:rPr/>
        <w:t>full-risk</w:t>
      </w:r>
      <w:r>
        <w:rPr>
          <w:spacing w:val="-3"/>
        </w:rPr>
        <w:t> </w:t>
      </w:r>
      <w:r>
        <w:rPr/>
        <w:t>distributors</w:t>
      </w:r>
      <w:r>
        <w:rPr>
          <w:spacing w:val="-5"/>
        </w:rPr>
        <w:t> </w:t>
      </w:r>
      <w:r>
        <w:rPr/>
        <w:t>realise</w:t>
      </w:r>
      <w:r>
        <w:rPr>
          <w:spacing w:val="-7"/>
        </w:rPr>
        <w:t> </w:t>
      </w:r>
      <w:r>
        <w:rPr/>
        <w:t>the</w:t>
      </w:r>
      <w:r>
        <w:rPr>
          <w:spacing w:val="-8"/>
        </w:rPr>
        <w:t> </w:t>
      </w:r>
      <w:r>
        <w:rPr/>
        <w:t>residual</w:t>
      </w:r>
      <w:r>
        <w:rPr>
          <w:spacing w:val="-6"/>
        </w:rPr>
        <w:t> </w:t>
      </w:r>
      <w:r>
        <w:rPr/>
        <w:t>profits</w:t>
      </w:r>
      <w:r>
        <w:rPr>
          <w:spacing w:val="-5"/>
        </w:rPr>
        <w:t> </w:t>
      </w:r>
      <w:r>
        <w:rPr/>
        <w:t>(or</w:t>
      </w:r>
      <w:r>
        <w:rPr>
          <w:spacing w:val="-4"/>
        </w:rPr>
        <w:t> </w:t>
      </w:r>
      <w:r>
        <w:rPr/>
        <w:t>losses)</w:t>
      </w:r>
      <w:r>
        <w:rPr>
          <w:spacing w:val="-7"/>
        </w:rPr>
        <w:t> </w:t>
      </w:r>
      <w:r>
        <w:rPr/>
        <w:t>from</w:t>
      </w:r>
      <w:r>
        <w:rPr>
          <w:spacing w:val="-2"/>
        </w:rPr>
        <w:t> </w:t>
      </w:r>
      <w:r>
        <w:rPr/>
        <w:t>their</w:t>
      </w:r>
      <w:r>
        <w:rPr>
          <w:spacing w:val="-6"/>
        </w:rPr>
        <w:t> </w:t>
      </w:r>
      <w:r>
        <w:rPr/>
        <w:t>respective</w:t>
      </w:r>
      <w:r>
        <w:rPr>
          <w:spacing w:val="-3"/>
        </w:rPr>
        <w:t> </w:t>
      </w:r>
      <w:r>
        <w:rPr/>
        <w:t>markets.</w:t>
      </w:r>
      <w:r>
        <w:rPr>
          <w:spacing w:val="-6"/>
        </w:rPr>
        <w:t> </w:t>
      </w:r>
      <w:r>
        <w:rPr/>
        <w:t>The</w:t>
      </w:r>
      <w:r>
        <w:rPr>
          <w:spacing w:val="-7"/>
        </w:rPr>
        <w:t> </w:t>
      </w:r>
      <w:r>
        <w:rPr/>
        <w:t>group and entity-level financials for Group X are summarised</w:t>
      </w:r>
      <w:r>
        <w:rPr>
          <w:spacing w:val="-11"/>
        </w:rPr>
        <w:t> </w:t>
      </w:r>
      <w:r>
        <w:rPr/>
        <w:t>below.</w:t>
      </w:r>
    </w:p>
    <w:p>
      <w:pPr>
        <w:pStyle w:val="BodyText"/>
        <w:spacing w:before="5"/>
        <w:rPr>
          <w:sz w:val="10"/>
        </w:rPr>
      </w:pPr>
    </w:p>
    <w:tbl>
      <w:tblPr>
        <w:tblW w:w="0" w:type="auto"/>
        <w:jc w:val="left"/>
        <w:tblInd w:w="1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1"/>
        <w:gridCol w:w="1025"/>
        <w:gridCol w:w="1076"/>
        <w:gridCol w:w="1064"/>
        <w:gridCol w:w="1064"/>
        <w:gridCol w:w="1062"/>
        <w:gridCol w:w="1153"/>
      </w:tblGrid>
      <w:tr>
        <w:trPr>
          <w:trHeight w:val="453" w:hRule="atLeast"/>
        </w:trPr>
        <w:tc>
          <w:tcPr>
            <w:tcW w:w="1721" w:type="dxa"/>
            <w:shd w:val="clear" w:color="auto" w:fill="EEECE1"/>
          </w:tcPr>
          <w:p>
            <w:pPr>
              <w:pStyle w:val="TableParagraph"/>
              <w:spacing w:before="0"/>
              <w:jc w:val="left"/>
              <w:rPr>
                <w:rFonts w:ascii="Arial"/>
                <w:sz w:val="20"/>
              </w:rPr>
            </w:pPr>
          </w:p>
          <w:p>
            <w:pPr>
              <w:pStyle w:val="TableParagraph"/>
              <w:spacing w:line="204" w:lineRule="exact" w:before="0"/>
              <w:ind w:left="95" w:right="114"/>
              <w:rPr>
                <w:sz w:val="18"/>
              </w:rPr>
            </w:pPr>
            <w:r>
              <w:rPr>
                <w:sz w:val="18"/>
              </w:rPr>
              <w:t>in EUR million</w:t>
            </w:r>
          </w:p>
        </w:tc>
        <w:tc>
          <w:tcPr>
            <w:tcW w:w="1025" w:type="dxa"/>
            <w:shd w:val="clear" w:color="auto" w:fill="EEECE1"/>
          </w:tcPr>
          <w:p>
            <w:pPr>
              <w:pStyle w:val="TableParagraph"/>
              <w:spacing w:line="206" w:lineRule="exact" w:before="0"/>
              <w:ind w:left="201"/>
              <w:jc w:val="left"/>
              <w:rPr>
                <w:sz w:val="18"/>
              </w:rPr>
            </w:pPr>
            <w:r>
              <w:rPr>
                <w:sz w:val="18"/>
              </w:rPr>
              <w:t>IP Owner</w:t>
            </w:r>
          </w:p>
          <w:p>
            <w:pPr>
              <w:pStyle w:val="TableParagraph"/>
              <w:spacing w:line="194" w:lineRule="exact" w:before="33"/>
              <w:ind w:left="138"/>
              <w:jc w:val="left"/>
              <w:rPr>
                <w:sz w:val="18"/>
              </w:rPr>
            </w:pPr>
            <w:r>
              <w:rPr>
                <w:sz w:val="18"/>
              </w:rPr>
              <w:t>Jurisdiction</w:t>
            </w:r>
          </w:p>
        </w:tc>
        <w:tc>
          <w:tcPr>
            <w:tcW w:w="1076" w:type="dxa"/>
            <w:shd w:val="clear" w:color="auto" w:fill="EEECE1"/>
          </w:tcPr>
          <w:p>
            <w:pPr>
              <w:pStyle w:val="TableParagraph"/>
              <w:spacing w:line="206" w:lineRule="exact" w:before="0"/>
              <w:ind w:left="146"/>
              <w:jc w:val="left"/>
              <w:rPr>
                <w:sz w:val="18"/>
              </w:rPr>
            </w:pPr>
            <w:r>
              <w:rPr>
                <w:sz w:val="18"/>
              </w:rPr>
              <w:t>Distributor</w:t>
            </w:r>
            <w:r>
              <w:rPr>
                <w:spacing w:val="-5"/>
                <w:sz w:val="18"/>
              </w:rPr>
              <w:t> </w:t>
            </w:r>
            <w:r>
              <w:rPr>
                <w:sz w:val="18"/>
              </w:rPr>
              <w:t>2</w:t>
            </w:r>
          </w:p>
          <w:p>
            <w:pPr>
              <w:pStyle w:val="TableParagraph"/>
              <w:spacing w:line="194" w:lineRule="exact" w:before="33"/>
              <w:ind w:left="175"/>
              <w:jc w:val="left"/>
              <w:rPr>
                <w:sz w:val="18"/>
              </w:rPr>
            </w:pPr>
            <w:r>
              <w:rPr>
                <w:sz w:val="18"/>
              </w:rPr>
              <w:t>Jurisdiction</w:t>
            </w:r>
          </w:p>
        </w:tc>
        <w:tc>
          <w:tcPr>
            <w:tcW w:w="1064" w:type="dxa"/>
            <w:shd w:val="clear" w:color="auto" w:fill="EEECE1"/>
          </w:tcPr>
          <w:p>
            <w:pPr>
              <w:pStyle w:val="TableParagraph"/>
              <w:spacing w:line="206" w:lineRule="exact" w:before="0"/>
              <w:ind w:left="133"/>
              <w:jc w:val="left"/>
              <w:rPr>
                <w:sz w:val="18"/>
              </w:rPr>
            </w:pPr>
            <w:r>
              <w:rPr>
                <w:sz w:val="18"/>
              </w:rPr>
              <w:t>Distributor</w:t>
            </w:r>
            <w:r>
              <w:rPr>
                <w:spacing w:val="-5"/>
                <w:sz w:val="18"/>
              </w:rPr>
              <w:t> </w:t>
            </w:r>
            <w:r>
              <w:rPr>
                <w:sz w:val="18"/>
              </w:rPr>
              <w:t>3</w:t>
            </w:r>
          </w:p>
          <w:p>
            <w:pPr>
              <w:pStyle w:val="TableParagraph"/>
              <w:spacing w:line="194" w:lineRule="exact" w:before="33"/>
              <w:ind w:left="162"/>
              <w:jc w:val="left"/>
              <w:rPr>
                <w:sz w:val="18"/>
              </w:rPr>
            </w:pPr>
            <w:r>
              <w:rPr>
                <w:sz w:val="18"/>
              </w:rPr>
              <w:t>Jurisdiction</w:t>
            </w:r>
          </w:p>
        </w:tc>
        <w:tc>
          <w:tcPr>
            <w:tcW w:w="1064" w:type="dxa"/>
            <w:shd w:val="clear" w:color="auto" w:fill="EEECE1"/>
          </w:tcPr>
          <w:p>
            <w:pPr>
              <w:pStyle w:val="TableParagraph"/>
              <w:spacing w:line="206" w:lineRule="exact" w:before="0"/>
              <w:ind w:left="133"/>
              <w:jc w:val="left"/>
              <w:rPr>
                <w:sz w:val="18"/>
              </w:rPr>
            </w:pPr>
            <w:r>
              <w:rPr>
                <w:sz w:val="18"/>
              </w:rPr>
              <w:t>Distributor</w:t>
            </w:r>
            <w:r>
              <w:rPr>
                <w:spacing w:val="-5"/>
                <w:sz w:val="18"/>
              </w:rPr>
              <w:t> </w:t>
            </w:r>
            <w:r>
              <w:rPr>
                <w:sz w:val="18"/>
              </w:rPr>
              <w:t>4</w:t>
            </w:r>
          </w:p>
          <w:p>
            <w:pPr>
              <w:pStyle w:val="TableParagraph"/>
              <w:spacing w:line="194" w:lineRule="exact" w:before="33"/>
              <w:ind w:left="162"/>
              <w:jc w:val="left"/>
              <w:rPr>
                <w:sz w:val="18"/>
              </w:rPr>
            </w:pPr>
            <w:r>
              <w:rPr>
                <w:sz w:val="18"/>
              </w:rPr>
              <w:t>Jurisdiction</w:t>
            </w:r>
          </w:p>
        </w:tc>
        <w:tc>
          <w:tcPr>
            <w:tcW w:w="1062" w:type="dxa"/>
            <w:shd w:val="clear" w:color="auto" w:fill="EEECE1"/>
          </w:tcPr>
          <w:p>
            <w:pPr>
              <w:pStyle w:val="TableParagraph"/>
              <w:spacing w:line="206" w:lineRule="exact" w:before="0"/>
              <w:ind w:left="132"/>
              <w:jc w:val="left"/>
              <w:rPr>
                <w:sz w:val="18"/>
              </w:rPr>
            </w:pPr>
            <w:r>
              <w:rPr>
                <w:sz w:val="18"/>
              </w:rPr>
              <w:t>Distributor</w:t>
            </w:r>
            <w:r>
              <w:rPr>
                <w:spacing w:val="-5"/>
                <w:sz w:val="18"/>
              </w:rPr>
              <w:t> </w:t>
            </w:r>
            <w:r>
              <w:rPr>
                <w:sz w:val="18"/>
              </w:rPr>
              <w:t>5</w:t>
            </w:r>
          </w:p>
          <w:p>
            <w:pPr>
              <w:pStyle w:val="TableParagraph"/>
              <w:spacing w:line="194" w:lineRule="exact" w:before="33"/>
              <w:ind w:left="161"/>
              <w:jc w:val="left"/>
              <w:rPr>
                <w:sz w:val="18"/>
              </w:rPr>
            </w:pPr>
            <w:r>
              <w:rPr>
                <w:sz w:val="18"/>
              </w:rPr>
              <w:t>Jurisdiction</w:t>
            </w:r>
          </w:p>
        </w:tc>
        <w:tc>
          <w:tcPr>
            <w:tcW w:w="1153" w:type="dxa"/>
            <w:shd w:val="clear" w:color="auto" w:fill="EEECE1"/>
          </w:tcPr>
          <w:p>
            <w:pPr>
              <w:pStyle w:val="TableParagraph"/>
              <w:spacing w:line="206" w:lineRule="exact" w:before="0"/>
              <w:ind w:left="124" w:right="126"/>
              <w:rPr>
                <w:sz w:val="18"/>
              </w:rPr>
            </w:pPr>
            <w:r>
              <w:rPr>
                <w:sz w:val="18"/>
              </w:rPr>
              <w:t>Total</w:t>
            </w:r>
          </w:p>
          <w:p>
            <w:pPr>
              <w:pStyle w:val="TableParagraph"/>
              <w:spacing w:line="194" w:lineRule="exact" w:before="33"/>
              <w:ind w:left="124" w:right="127"/>
              <w:rPr>
                <w:sz w:val="18"/>
              </w:rPr>
            </w:pPr>
            <w:r>
              <w:rPr>
                <w:sz w:val="18"/>
              </w:rPr>
              <w:t>Consolidated</w:t>
            </w:r>
          </w:p>
        </w:tc>
      </w:tr>
      <w:tr>
        <w:trPr>
          <w:trHeight w:val="218" w:hRule="atLeast"/>
        </w:trPr>
        <w:tc>
          <w:tcPr>
            <w:tcW w:w="1721" w:type="dxa"/>
            <w:tcBorders>
              <w:bottom w:val="single" w:sz="4" w:space="0" w:color="4E81BD"/>
            </w:tcBorders>
            <w:shd w:val="clear" w:color="auto" w:fill="EEECE1"/>
          </w:tcPr>
          <w:p>
            <w:pPr>
              <w:pStyle w:val="TableParagraph"/>
              <w:spacing w:before="0"/>
              <w:jc w:val="left"/>
              <w:rPr>
                <w:rFonts w:ascii="Times New Roman"/>
                <w:sz w:val="14"/>
              </w:rPr>
            </w:pPr>
          </w:p>
        </w:tc>
        <w:tc>
          <w:tcPr>
            <w:tcW w:w="1025" w:type="dxa"/>
            <w:tcBorders>
              <w:bottom w:val="single" w:sz="4" w:space="0" w:color="4E81BD"/>
            </w:tcBorders>
            <w:shd w:val="clear" w:color="auto" w:fill="EEECE1"/>
          </w:tcPr>
          <w:p>
            <w:pPr>
              <w:pStyle w:val="TableParagraph"/>
              <w:spacing w:line="192" w:lineRule="exact" w:before="7"/>
              <w:ind w:right="4"/>
              <w:rPr>
                <w:sz w:val="18"/>
              </w:rPr>
            </w:pPr>
            <w:r>
              <w:rPr>
                <w:sz w:val="18"/>
              </w:rPr>
              <w:t>1</w:t>
            </w:r>
          </w:p>
        </w:tc>
        <w:tc>
          <w:tcPr>
            <w:tcW w:w="1076" w:type="dxa"/>
            <w:tcBorders>
              <w:bottom w:val="single" w:sz="4" w:space="0" w:color="4E81BD"/>
            </w:tcBorders>
            <w:shd w:val="clear" w:color="auto" w:fill="EEECE1"/>
          </w:tcPr>
          <w:p>
            <w:pPr>
              <w:pStyle w:val="TableParagraph"/>
              <w:spacing w:line="192" w:lineRule="exact" w:before="7"/>
              <w:ind w:left="14"/>
              <w:rPr>
                <w:sz w:val="18"/>
              </w:rPr>
            </w:pPr>
            <w:r>
              <w:rPr>
                <w:sz w:val="18"/>
              </w:rPr>
              <w:t>2</w:t>
            </w:r>
          </w:p>
        </w:tc>
        <w:tc>
          <w:tcPr>
            <w:tcW w:w="1064" w:type="dxa"/>
            <w:tcBorders>
              <w:bottom w:val="single" w:sz="4" w:space="0" w:color="4E81BD"/>
            </w:tcBorders>
            <w:shd w:val="clear" w:color="auto" w:fill="EEECE1"/>
          </w:tcPr>
          <w:p>
            <w:pPr>
              <w:pStyle w:val="TableParagraph"/>
              <w:spacing w:line="192" w:lineRule="exact" w:before="7"/>
              <w:rPr>
                <w:sz w:val="18"/>
              </w:rPr>
            </w:pPr>
            <w:r>
              <w:rPr>
                <w:sz w:val="18"/>
              </w:rPr>
              <w:t>3</w:t>
            </w:r>
          </w:p>
        </w:tc>
        <w:tc>
          <w:tcPr>
            <w:tcW w:w="1064" w:type="dxa"/>
            <w:tcBorders>
              <w:bottom w:val="single" w:sz="4" w:space="0" w:color="4E81BD"/>
            </w:tcBorders>
            <w:shd w:val="clear" w:color="auto" w:fill="EEECE1"/>
          </w:tcPr>
          <w:p>
            <w:pPr>
              <w:pStyle w:val="TableParagraph"/>
              <w:spacing w:line="192" w:lineRule="exact" w:before="7"/>
              <w:rPr>
                <w:sz w:val="18"/>
              </w:rPr>
            </w:pPr>
            <w:r>
              <w:rPr>
                <w:sz w:val="18"/>
              </w:rPr>
              <w:t>4</w:t>
            </w:r>
          </w:p>
        </w:tc>
        <w:tc>
          <w:tcPr>
            <w:tcW w:w="1062" w:type="dxa"/>
            <w:tcBorders>
              <w:bottom w:val="single" w:sz="4" w:space="0" w:color="4E81BD"/>
            </w:tcBorders>
            <w:shd w:val="clear" w:color="auto" w:fill="EEECE1"/>
          </w:tcPr>
          <w:p>
            <w:pPr>
              <w:pStyle w:val="TableParagraph"/>
              <w:spacing w:line="192" w:lineRule="exact" w:before="7"/>
              <w:rPr>
                <w:sz w:val="18"/>
              </w:rPr>
            </w:pPr>
            <w:r>
              <w:rPr>
                <w:sz w:val="18"/>
              </w:rPr>
              <w:t>5</w:t>
            </w:r>
          </w:p>
        </w:tc>
        <w:tc>
          <w:tcPr>
            <w:tcW w:w="1153" w:type="dxa"/>
            <w:tcBorders>
              <w:bottom w:val="single" w:sz="4" w:space="0" w:color="4E81BD"/>
            </w:tcBorders>
            <w:shd w:val="clear" w:color="auto" w:fill="EEECE1"/>
          </w:tcPr>
          <w:p>
            <w:pPr>
              <w:pStyle w:val="TableParagraph"/>
              <w:spacing w:before="0"/>
              <w:jc w:val="left"/>
              <w:rPr>
                <w:rFonts w:ascii="Times New Roman"/>
                <w:sz w:val="14"/>
              </w:rPr>
            </w:pPr>
          </w:p>
        </w:tc>
      </w:tr>
      <w:tr>
        <w:trPr>
          <w:trHeight w:val="239" w:hRule="atLeast"/>
        </w:trPr>
        <w:tc>
          <w:tcPr>
            <w:tcW w:w="1721" w:type="dxa"/>
            <w:tcBorders>
              <w:top w:val="single" w:sz="4" w:space="0" w:color="4E81BD"/>
              <w:bottom w:val="single" w:sz="4" w:space="0" w:color="4E81BD"/>
            </w:tcBorders>
            <w:shd w:val="clear" w:color="auto" w:fill="EEECE1"/>
          </w:tcPr>
          <w:p>
            <w:pPr>
              <w:pStyle w:val="TableParagraph"/>
              <w:spacing w:line="192" w:lineRule="exact"/>
              <w:ind w:left="95" w:right="116"/>
              <w:rPr>
                <w:sz w:val="18"/>
              </w:rPr>
            </w:pPr>
            <w:r>
              <w:rPr>
                <w:sz w:val="18"/>
              </w:rPr>
              <w:t>Revenue</w:t>
            </w:r>
          </w:p>
        </w:tc>
        <w:tc>
          <w:tcPr>
            <w:tcW w:w="1025" w:type="dxa"/>
            <w:tcBorders>
              <w:top w:val="single" w:sz="4" w:space="0" w:color="4E81BD"/>
              <w:bottom w:val="single" w:sz="4" w:space="0" w:color="4E81BD"/>
            </w:tcBorders>
            <w:shd w:val="clear" w:color="auto" w:fill="EEECE1"/>
          </w:tcPr>
          <w:p>
            <w:pPr>
              <w:pStyle w:val="TableParagraph"/>
              <w:spacing w:line="192" w:lineRule="exact"/>
              <w:ind w:left="279" w:right="285"/>
              <w:rPr>
                <w:sz w:val="18"/>
              </w:rPr>
            </w:pPr>
            <w:r>
              <w:rPr>
                <w:sz w:val="18"/>
              </w:rPr>
              <w:t>1,500</w:t>
            </w:r>
          </w:p>
        </w:tc>
        <w:tc>
          <w:tcPr>
            <w:tcW w:w="1076" w:type="dxa"/>
            <w:tcBorders>
              <w:top w:val="single" w:sz="4" w:space="0" w:color="4E81BD"/>
              <w:bottom w:val="single" w:sz="4" w:space="0" w:color="4E81BD"/>
            </w:tcBorders>
            <w:shd w:val="clear" w:color="auto" w:fill="EEECE1"/>
          </w:tcPr>
          <w:p>
            <w:pPr>
              <w:pStyle w:val="TableParagraph"/>
              <w:spacing w:line="192" w:lineRule="exact"/>
              <w:ind w:left="338" w:right="327"/>
              <w:rPr>
                <w:sz w:val="18"/>
              </w:rPr>
            </w:pPr>
            <w:r>
              <w:rPr>
                <w:sz w:val="18"/>
              </w:rPr>
              <w:t>1,000</w:t>
            </w:r>
          </w:p>
        </w:tc>
        <w:tc>
          <w:tcPr>
            <w:tcW w:w="1064" w:type="dxa"/>
            <w:tcBorders>
              <w:top w:val="single" w:sz="4" w:space="0" w:color="4E81BD"/>
              <w:bottom w:val="single" w:sz="4" w:space="0" w:color="4E81BD"/>
            </w:tcBorders>
            <w:shd w:val="clear" w:color="auto" w:fill="EEECE1"/>
          </w:tcPr>
          <w:p>
            <w:pPr>
              <w:pStyle w:val="TableParagraph"/>
              <w:spacing w:line="192" w:lineRule="exact"/>
              <w:ind w:left="319" w:right="319"/>
              <w:rPr>
                <w:sz w:val="18"/>
              </w:rPr>
            </w:pPr>
            <w:r>
              <w:rPr>
                <w:sz w:val="18"/>
              </w:rPr>
              <w:t>800</w:t>
            </w:r>
          </w:p>
        </w:tc>
        <w:tc>
          <w:tcPr>
            <w:tcW w:w="1064" w:type="dxa"/>
            <w:tcBorders>
              <w:top w:val="single" w:sz="4" w:space="0" w:color="4E81BD"/>
              <w:bottom w:val="single" w:sz="4" w:space="0" w:color="4E81BD"/>
            </w:tcBorders>
            <w:shd w:val="clear" w:color="auto" w:fill="EEECE1"/>
          </w:tcPr>
          <w:p>
            <w:pPr>
              <w:pStyle w:val="TableParagraph"/>
              <w:spacing w:line="192" w:lineRule="exact"/>
              <w:ind w:left="319" w:right="319"/>
              <w:rPr>
                <w:sz w:val="18"/>
              </w:rPr>
            </w:pPr>
            <w:r>
              <w:rPr>
                <w:sz w:val="18"/>
              </w:rPr>
              <w:t>1,200</w:t>
            </w:r>
          </w:p>
        </w:tc>
        <w:tc>
          <w:tcPr>
            <w:tcW w:w="1062" w:type="dxa"/>
            <w:tcBorders>
              <w:top w:val="single" w:sz="4" w:space="0" w:color="4E81BD"/>
              <w:bottom w:val="single" w:sz="4" w:space="0" w:color="4E81BD"/>
            </w:tcBorders>
            <w:shd w:val="clear" w:color="auto" w:fill="EEECE1"/>
          </w:tcPr>
          <w:p>
            <w:pPr>
              <w:pStyle w:val="TableParagraph"/>
              <w:spacing w:line="192" w:lineRule="exact"/>
              <w:ind w:left="301" w:right="301"/>
              <w:rPr>
                <w:sz w:val="18"/>
              </w:rPr>
            </w:pPr>
            <w:r>
              <w:rPr>
                <w:sz w:val="18"/>
              </w:rPr>
              <w:t>4,000</w:t>
            </w:r>
          </w:p>
        </w:tc>
        <w:tc>
          <w:tcPr>
            <w:tcW w:w="1153" w:type="dxa"/>
            <w:tcBorders>
              <w:top w:val="single" w:sz="4" w:space="0" w:color="4E81BD"/>
            </w:tcBorders>
            <w:shd w:val="clear" w:color="auto" w:fill="EEECE1"/>
          </w:tcPr>
          <w:p>
            <w:pPr>
              <w:pStyle w:val="TableParagraph"/>
              <w:spacing w:before="0"/>
              <w:jc w:val="left"/>
              <w:rPr>
                <w:rFonts w:ascii="Times New Roman"/>
                <w:sz w:val="16"/>
              </w:rPr>
            </w:pPr>
          </w:p>
        </w:tc>
      </w:tr>
      <w:tr>
        <w:trPr>
          <w:trHeight w:val="239" w:hRule="atLeast"/>
        </w:trPr>
        <w:tc>
          <w:tcPr>
            <w:tcW w:w="1721" w:type="dxa"/>
            <w:tcBorders>
              <w:top w:val="single" w:sz="4" w:space="0" w:color="4E81BD"/>
              <w:bottom w:val="single" w:sz="4" w:space="0" w:color="4E81BD"/>
            </w:tcBorders>
            <w:shd w:val="clear" w:color="auto" w:fill="EEECE1"/>
          </w:tcPr>
          <w:p>
            <w:pPr>
              <w:pStyle w:val="TableParagraph"/>
              <w:spacing w:line="192" w:lineRule="exact"/>
              <w:ind w:left="93" w:right="116"/>
              <w:rPr>
                <w:sz w:val="18"/>
              </w:rPr>
            </w:pPr>
            <w:r>
              <w:rPr>
                <w:sz w:val="18"/>
              </w:rPr>
              <w:t>Third party revenue</w:t>
            </w:r>
          </w:p>
        </w:tc>
        <w:tc>
          <w:tcPr>
            <w:tcW w:w="1025" w:type="dxa"/>
            <w:tcBorders>
              <w:top w:val="single" w:sz="4" w:space="0" w:color="4E81BD"/>
              <w:bottom w:val="single" w:sz="4" w:space="0" w:color="4E81BD"/>
            </w:tcBorders>
            <w:shd w:val="clear" w:color="auto" w:fill="EEECE1"/>
          </w:tcPr>
          <w:p>
            <w:pPr>
              <w:pStyle w:val="TableParagraph"/>
              <w:spacing w:line="192" w:lineRule="exact"/>
              <w:ind w:right="4"/>
              <w:rPr>
                <w:sz w:val="18"/>
              </w:rPr>
            </w:pPr>
            <w:r>
              <w:rPr>
                <w:sz w:val="18"/>
              </w:rPr>
              <w:t>0</w:t>
            </w:r>
          </w:p>
        </w:tc>
        <w:tc>
          <w:tcPr>
            <w:tcW w:w="1076" w:type="dxa"/>
            <w:tcBorders>
              <w:top w:val="single" w:sz="4" w:space="0" w:color="4E81BD"/>
              <w:bottom w:val="single" w:sz="4" w:space="0" w:color="4E81BD"/>
            </w:tcBorders>
            <w:shd w:val="clear" w:color="auto" w:fill="EEECE1"/>
          </w:tcPr>
          <w:p>
            <w:pPr>
              <w:pStyle w:val="TableParagraph"/>
              <w:spacing w:line="192" w:lineRule="exact"/>
              <w:ind w:left="338" w:right="327"/>
              <w:rPr>
                <w:sz w:val="18"/>
              </w:rPr>
            </w:pPr>
            <w:r>
              <w:rPr>
                <w:sz w:val="18"/>
              </w:rPr>
              <w:t>1,000</w:t>
            </w:r>
          </w:p>
        </w:tc>
        <w:tc>
          <w:tcPr>
            <w:tcW w:w="1064" w:type="dxa"/>
            <w:tcBorders>
              <w:top w:val="single" w:sz="4" w:space="0" w:color="4E81BD"/>
              <w:bottom w:val="single" w:sz="4" w:space="0" w:color="4E81BD"/>
            </w:tcBorders>
            <w:shd w:val="clear" w:color="auto" w:fill="EEECE1"/>
          </w:tcPr>
          <w:p>
            <w:pPr>
              <w:pStyle w:val="TableParagraph"/>
              <w:spacing w:line="192" w:lineRule="exact"/>
              <w:ind w:left="319" w:right="319"/>
              <w:rPr>
                <w:sz w:val="18"/>
              </w:rPr>
            </w:pPr>
            <w:r>
              <w:rPr>
                <w:sz w:val="18"/>
              </w:rPr>
              <w:t>800</w:t>
            </w:r>
          </w:p>
        </w:tc>
        <w:tc>
          <w:tcPr>
            <w:tcW w:w="1064" w:type="dxa"/>
            <w:tcBorders>
              <w:top w:val="single" w:sz="4" w:space="0" w:color="4E81BD"/>
              <w:bottom w:val="single" w:sz="4" w:space="0" w:color="4E81BD"/>
            </w:tcBorders>
            <w:shd w:val="clear" w:color="auto" w:fill="EEECE1"/>
          </w:tcPr>
          <w:p>
            <w:pPr>
              <w:pStyle w:val="TableParagraph"/>
              <w:spacing w:line="192" w:lineRule="exact"/>
              <w:ind w:left="319" w:right="319"/>
              <w:rPr>
                <w:sz w:val="18"/>
              </w:rPr>
            </w:pPr>
            <w:r>
              <w:rPr>
                <w:sz w:val="18"/>
              </w:rPr>
              <w:t>1,200</w:t>
            </w:r>
          </w:p>
        </w:tc>
        <w:tc>
          <w:tcPr>
            <w:tcW w:w="1062" w:type="dxa"/>
            <w:tcBorders>
              <w:top w:val="single" w:sz="4" w:space="0" w:color="4E81BD"/>
              <w:bottom w:val="single" w:sz="4" w:space="0" w:color="4E81BD"/>
            </w:tcBorders>
            <w:shd w:val="clear" w:color="auto" w:fill="EEECE1"/>
          </w:tcPr>
          <w:p>
            <w:pPr>
              <w:pStyle w:val="TableParagraph"/>
              <w:spacing w:line="192" w:lineRule="exact"/>
              <w:ind w:left="301" w:right="301"/>
              <w:rPr>
                <w:sz w:val="18"/>
              </w:rPr>
            </w:pPr>
            <w:r>
              <w:rPr>
                <w:sz w:val="18"/>
              </w:rPr>
              <w:t>4,000</w:t>
            </w:r>
          </w:p>
        </w:tc>
        <w:tc>
          <w:tcPr>
            <w:tcW w:w="1153" w:type="dxa"/>
            <w:shd w:val="clear" w:color="auto" w:fill="EEECE1"/>
          </w:tcPr>
          <w:p>
            <w:pPr>
              <w:pStyle w:val="TableParagraph"/>
              <w:spacing w:line="192" w:lineRule="exact"/>
              <w:ind w:right="392"/>
              <w:jc w:val="right"/>
              <w:rPr>
                <w:sz w:val="18"/>
              </w:rPr>
            </w:pPr>
            <w:r>
              <w:rPr>
                <w:sz w:val="18"/>
              </w:rPr>
              <w:t>7,000</w:t>
            </w:r>
          </w:p>
        </w:tc>
      </w:tr>
      <w:tr>
        <w:trPr>
          <w:trHeight w:val="239" w:hRule="atLeast"/>
        </w:trPr>
        <w:tc>
          <w:tcPr>
            <w:tcW w:w="1721" w:type="dxa"/>
            <w:tcBorders>
              <w:top w:val="single" w:sz="4" w:space="0" w:color="4E81BD"/>
              <w:bottom w:val="single" w:sz="4" w:space="0" w:color="4E81BD"/>
            </w:tcBorders>
            <w:shd w:val="clear" w:color="auto" w:fill="EEECE1"/>
          </w:tcPr>
          <w:p>
            <w:pPr>
              <w:pStyle w:val="TableParagraph"/>
              <w:spacing w:line="192" w:lineRule="exact"/>
              <w:ind w:left="95" w:right="116"/>
              <w:rPr>
                <w:sz w:val="18"/>
              </w:rPr>
            </w:pPr>
            <w:r>
              <w:rPr>
                <w:sz w:val="18"/>
              </w:rPr>
              <w:t>Intragroup revenue</w:t>
            </w:r>
          </w:p>
        </w:tc>
        <w:tc>
          <w:tcPr>
            <w:tcW w:w="1025" w:type="dxa"/>
            <w:tcBorders>
              <w:top w:val="single" w:sz="4" w:space="0" w:color="4E81BD"/>
              <w:bottom w:val="single" w:sz="4" w:space="0" w:color="4E81BD"/>
            </w:tcBorders>
            <w:shd w:val="clear" w:color="auto" w:fill="EEECE1"/>
          </w:tcPr>
          <w:p>
            <w:pPr>
              <w:pStyle w:val="TableParagraph"/>
              <w:spacing w:line="192" w:lineRule="exact"/>
              <w:ind w:left="279" w:right="285"/>
              <w:rPr>
                <w:sz w:val="18"/>
              </w:rPr>
            </w:pPr>
            <w:r>
              <w:rPr>
                <w:sz w:val="18"/>
              </w:rPr>
              <w:t>1,500</w:t>
            </w:r>
          </w:p>
        </w:tc>
        <w:tc>
          <w:tcPr>
            <w:tcW w:w="1076" w:type="dxa"/>
            <w:tcBorders>
              <w:top w:val="single" w:sz="4" w:space="0" w:color="4E81BD"/>
              <w:bottom w:val="single" w:sz="4" w:space="0" w:color="4E81BD"/>
            </w:tcBorders>
            <w:shd w:val="clear" w:color="auto" w:fill="EEECE1"/>
          </w:tcPr>
          <w:p>
            <w:pPr>
              <w:pStyle w:val="TableParagraph"/>
              <w:spacing w:line="192" w:lineRule="exact"/>
              <w:ind w:left="14"/>
              <w:rPr>
                <w:sz w:val="18"/>
              </w:rPr>
            </w:pPr>
            <w:r>
              <w:rPr>
                <w:sz w:val="18"/>
              </w:rPr>
              <w:t>0</w:t>
            </w:r>
          </w:p>
        </w:tc>
        <w:tc>
          <w:tcPr>
            <w:tcW w:w="1064" w:type="dxa"/>
            <w:tcBorders>
              <w:top w:val="single" w:sz="4" w:space="0" w:color="4E81BD"/>
              <w:bottom w:val="single" w:sz="4" w:space="0" w:color="4E81BD"/>
            </w:tcBorders>
            <w:shd w:val="clear" w:color="auto" w:fill="EEECE1"/>
          </w:tcPr>
          <w:p>
            <w:pPr>
              <w:pStyle w:val="TableParagraph"/>
              <w:spacing w:line="192" w:lineRule="exact"/>
              <w:rPr>
                <w:sz w:val="18"/>
              </w:rPr>
            </w:pPr>
            <w:r>
              <w:rPr>
                <w:sz w:val="18"/>
              </w:rPr>
              <w:t>0</w:t>
            </w:r>
          </w:p>
        </w:tc>
        <w:tc>
          <w:tcPr>
            <w:tcW w:w="1064" w:type="dxa"/>
            <w:tcBorders>
              <w:top w:val="single" w:sz="4" w:space="0" w:color="4E81BD"/>
              <w:bottom w:val="single" w:sz="4" w:space="0" w:color="4E81BD"/>
            </w:tcBorders>
            <w:shd w:val="clear" w:color="auto" w:fill="EEECE1"/>
          </w:tcPr>
          <w:p>
            <w:pPr>
              <w:pStyle w:val="TableParagraph"/>
              <w:spacing w:line="192" w:lineRule="exact"/>
              <w:rPr>
                <w:sz w:val="18"/>
              </w:rPr>
            </w:pPr>
            <w:r>
              <w:rPr>
                <w:sz w:val="18"/>
              </w:rPr>
              <w:t>0</w:t>
            </w:r>
          </w:p>
        </w:tc>
        <w:tc>
          <w:tcPr>
            <w:tcW w:w="1062" w:type="dxa"/>
            <w:tcBorders>
              <w:top w:val="single" w:sz="4" w:space="0" w:color="4E81BD"/>
              <w:bottom w:val="single" w:sz="4" w:space="0" w:color="4E81BD"/>
            </w:tcBorders>
            <w:shd w:val="clear" w:color="auto" w:fill="EEECE1"/>
          </w:tcPr>
          <w:p>
            <w:pPr>
              <w:pStyle w:val="TableParagraph"/>
              <w:spacing w:line="192" w:lineRule="exact"/>
              <w:rPr>
                <w:sz w:val="18"/>
              </w:rPr>
            </w:pPr>
            <w:r>
              <w:rPr>
                <w:sz w:val="18"/>
              </w:rPr>
              <w:t>0</w:t>
            </w:r>
          </w:p>
        </w:tc>
        <w:tc>
          <w:tcPr>
            <w:tcW w:w="1153" w:type="dxa"/>
            <w:tcBorders>
              <w:bottom w:val="single" w:sz="4" w:space="0" w:color="4E81BD"/>
            </w:tcBorders>
            <w:shd w:val="clear" w:color="auto" w:fill="EEECE1"/>
          </w:tcPr>
          <w:p>
            <w:pPr>
              <w:pStyle w:val="TableParagraph"/>
              <w:spacing w:before="0"/>
              <w:jc w:val="left"/>
              <w:rPr>
                <w:rFonts w:ascii="Times New Roman"/>
                <w:sz w:val="16"/>
              </w:rPr>
            </w:pPr>
          </w:p>
        </w:tc>
      </w:tr>
      <w:tr>
        <w:trPr>
          <w:trHeight w:val="253" w:hRule="atLeast"/>
        </w:trPr>
        <w:tc>
          <w:tcPr>
            <w:tcW w:w="1721" w:type="dxa"/>
            <w:tcBorders>
              <w:top w:val="single" w:sz="4" w:space="0" w:color="4E81BD"/>
            </w:tcBorders>
            <w:shd w:val="clear" w:color="auto" w:fill="EEECE1"/>
          </w:tcPr>
          <w:p>
            <w:pPr>
              <w:pStyle w:val="TableParagraph"/>
              <w:spacing w:line="204" w:lineRule="exact" w:before="30"/>
              <w:ind w:left="95" w:right="116"/>
              <w:rPr>
                <w:sz w:val="18"/>
              </w:rPr>
            </w:pPr>
            <w:r>
              <w:rPr>
                <w:sz w:val="18"/>
              </w:rPr>
              <w:t>Profit before tax (PBT)</w:t>
            </w:r>
          </w:p>
        </w:tc>
        <w:tc>
          <w:tcPr>
            <w:tcW w:w="1025" w:type="dxa"/>
            <w:tcBorders>
              <w:top w:val="single" w:sz="4" w:space="0" w:color="4E81BD"/>
            </w:tcBorders>
            <w:shd w:val="clear" w:color="auto" w:fill="EEECE1"/>
          </w:tcPr>
          <w:p>
            <w:pPr>
              <w:pStyle w:val="TableParagraph"/>
              <w:spacing w:line="204" w:lineRule="exact" w:before="30"/>
              <w:ind w:left="280" w:right="284"/>
              <w:rPr>
                <w:sz w:val="18"/>
              </w:rPr>
            </w:pPr>
            <w:r>
              <w:rPr>
                <w:sz w:val="18"/>
              </w:rPr>
              <w:t>450</w:t>
            </w:r>
          </w:p>
        </w:tc>
        <w:tc>
          <w:tcPr>
            <w:tcW w:w="1076" w:type="dxa"/>
            <w:tcBorders>
              <w:top w:val="single" w:sz="4" w:space="0" w:color="4E81BD"/>
            </w:tcBorders>
            <w:shd w:val="clear" w:color="auto" w:fill="EEECE1"/>
          </w:tcPr>
          <w:p>
            <w:pPr>
              <w:pStyle w:val="TableParagraph"/>
              <w:spacing w:line="204" w:lineRule="exact" w:before="30"/>
              <w:ind w:left="338" w:right="325"/>
              <w:rPr>
                <w:sz w:val="18"/>
              </w:rPr>
            </w:pPr>
            <w:r>
              <w:rPr>
                <w:sz w:val="18"/>
              </w:rPr>
              <w:t>46</w:t>
            </w:r>
          </w:p>
        </w:tc>
        <w:tc>
          <w:tcPr>
            <w:tcW w:w="1064" w:type="dxa"/>
            <w:tcBorders>
              <w:top w:val="single" w:sz="4" w:space="0" w:color="4E81BD"/>
            </w:tcBorders>
            <w:shd w:val="clear" w:color="auto" w:fill="EEECE1"/>
          </w:tcPr>
          <w:p>
            <w:pPr>
              <w:pStyle w:val="TableParagraph"/>
              <w:spacing w:line="204" w:lineRule="exact" w:before="30"/>
              <w:ind w:left="319" w:right="319"/>
              <w:rPr>
                <w:sz w:val="18"/>
              </w:rPr>
            </w:pPr>
            <w:r>
              <w:rPr>
                <w:sz w:val="18"/>
              </w:rPr>
              <w:t>256</w:t>
            </w:r>
          </w:p>
        </w:tc>
        <w:tc>
          <w:tcPr>
            <w:tcW w:w="1064" w:type="dxa"/>
            <w:tcBorders>
              <w:top w:val="single" w:sz="4" w:space="0" w:color="4E81BD"/>
            </w:tcBorders>
            <w:shd w:val="clear" w:color="auto" w:fill="EEECE1"/>
          </w:tcPr>
          <w:p>
            <w:pPr>
              <w:pStyle w:val="TableParagraph"/>
              <w:spacing w:line="204" w:lineRule="exact" w:before="30"/>
              <w:ind w:left="319" w:right="319"/>
              <w:rPr>
                <w:sz w:val="18"/>
              </w:rPr>
            </w:pPr>
            <w:r>
              <w:rPr>
                <w:sz w:val="18"/>
              </w:rPr>
              <w:t>-12</w:t>
            </w:r>
          </w:p>
        </w:tc>
        <w:tc>
          <w:tcPr>
            <w:tcW w:w="1062" w:type="dxa"/>
            <w:tcBorders>
              <w:top w:val="single" w:sz="4" w:space="0" w:color="4E81BD"/>
            </w:tcBorders>
            <w:shd w:val="clear" w:color="auto" w:fill="EEECE1"/>
          </w:tcPr>
          <w:p>
            <w:pPr>
              <w:pStyle w:val="TableParagraph"/>
              <w:spacing w:line="204" w:lineRule="exact" w:before="30"/>
              <w:ind w:left="301" w:right="301"/>
              <w:rPr>
                <w:sz w:val="18"/>
              </w:rPr>
            </w:pPr>
            <w:r>
              <w:rPr>
                <w:sz w:val="18"/>
              </w:rPr>
              <w:t>712</w:t>
            </w:r>
          </w:p>
        </w:tc>
        <w:tc>
          <w:tcPr>
            <w:tcW w:w="1153" w:type="dxa"/>
            <w:tcBorders>
              <w:top w:val="single" w:sz="4" w:space="0" w:color="4E81BD"/>
            </w:tcBorders>
            <w:shd w:val="clear" w:color="auto" w:fill="EEECE1"/>
          </w:tcPr>
          <w:p>
            <w:pPr>
              <w:pStyle w:val="TableParagraph"/>
              <w:spacing w:line="204" w:lineRule="exact" w:before="30"/>
              <w:ind w:right="392"/>
              <w:jc w:val="right"/>
              <w:rPr>
                <w:sz w:val="18"/>
              </w:rPr>
            </w:pPr>
            <w:r>
              <w:rPr>
                <w:sz w:val="18"/>
              </w:rPr>
              <w:t>1,222</w:t>
            </w:r>
          </w:p>
        </w:tc>
      </w:tr>
      <w:tr>
        <w:trPr>
          <w:trHeight w:val="223" w:hRule="atLeast"/>
        </w:trPr>
        <w:tc>
          <w:tcPr>
            <w:tcW w:w="1721" w:type="dxa"/>
            <w:shd w:val="clear" w:color="auto" w:fill="EEECE1"/>
          </w:tcPr>
          <w:p>
            <w:pPr>
              <w:pStyle w:val="TableParagraph"/>
              <w:spacing w:line="187" w:lineRule="exact" w:before="16"/>
              <w:ind w:left="92" w:right="116"/>
              <w:rPr>
                <w:sz w:val="18"/>
              </w:rPr>
            </w:pPr>
            <w:r>
              <w:rPr>
                <w:sz w:val="18"/>
              </w:rPr>
              <w:t>Profit margin (%)</w:t>
            </w:r>
          </w:p>
        </w:tc>
        <w:tc>
          <w:tcPr>
            <w:tcW w:w="1025" w:type="dxa"/>
            <w:shd w:val="clear" w:color="auto" w:fill="EEECE1"/>
          </w:tcPr>
          <w:p>
            <w:pPr>
              <w:pStyle w:val="TableParagraph"/>
              <w:spacing w:line="187" w:lineRule="exact" w:before="16"/>
              <w:ind w:left="280" w:right="285"/>
              <w:rPr>
                <w:sz w:val="18"/>
              </w:rPr>
            </w:pPr>
            <w:r>
              <w:rPr>
                <w:sz w:val="18"/>
              </w:rPr>
              <w:t>30.0%</w:t>
            </w:r>
          </w:p>
        </w:tc>
        <w:tc>
          <w:tcPr>
            <w:tcW w:w="1076" w:type="dxa"/>
            <w:shd w:val="clear" w:color="auto" w:fill="EEECE1"/>
          </w:tcPr>
          <w:p>
            <w:pPr>
              <w:pStyle w:val="TableParagraph"/>
              <w:spacing w:line="187" w:lineRule="exact" w:before="16"/>
              <w:ind w:left="338" w:right="325"/>
              <w:rPr>
                <w:sz w:val="18"/>
              </w:rPr>
            </w:pPr>
            <w:r>
              <w:rPr>
                <w:sz w:val="18"/>
              </w:rPr>
              <w:t>4.6%</w:t>
            </w:r>
          </w:p>
        </w:tc>
        <w:tc>
          <w:tcPr>
            <w:tcW w:w="1064" w:type="dxa"/>
            <w:shd w:val="clear" w:color="auto" w:fill="EEECE1"/>
          </w:tcPr>
          <w:p>
            <w:pPr>
              <w:pStyle w:val="TableParagraph"/>
              <w:spacing w:line="187" w:lineRule="exact" w:before="16"/>
              <w:ind w:left="319" w:right="319"/>
              <w:rPr>
                <w:sz w:val="18"/>
              </w:rPr>
            </w:pPr>
            <w:r>
              <w:rPr>
                <w:sz w:val="18"/>
              </w:rPr>
              <w:t>3.2%</w:t>
            </w:r>
          </w:p>
        </w:tc>
        <w:tc>
          <w:tcPr>
            <w:tcW w:w="1064" w:type="dxa"/>
            <w:shd w:val="clear" w:color="auto" w:fill="EEECE1"/>
          </w:tcPr>
          <w:p>
            <w:pPr>
              <w:pStyle w:val="TableParagraph"/>
              <w:spacing w:line="187" w:lineRule="exact" w:before="16"/>
              <w:ind w:left="319" w:right="319"/>
              <w:rPr>
                <w:sz w:val="18"/>
              </w:rPr>
            </w:pPr>
            <w:r>
              <w:rPr>
                <w:sz w:val="18"/>
              </w:rPr>
              <w:t>-1.0%</w:t>
            </w:r>
          </w:p>
        </w:tc>
        <w:tc>
          <w:tcPr>
            <w:tcW w:w="1062" w:type="dxa"/>
            <w:shd w:val="clear" w:color="auto" w:fill="EEECE1"/>
          </w:tcPr>
          <w:p>
            <w:pPr>
              <w:pStyle w:val="TableParagraph"/>
              <w:spacing w:line="187" w:lineRule="exact" w:before="16"/>
              <w:ind w:left="301" w:right="301"/>
              <w:rPr>
                <w:sz w:val="18"/>
              </w:rPr>
            </w:pPr>
            <w:r>
              <w:rPr>
                <w:sz w:val="18"/>
              </w:rPr>
              <w:t>17.8%</w:t>
            </w:r>
          </w:p>
        </w:tc>
        <w:tc>
          <w:tcPr>
            <w:tcW w:w="1153" w:type="dxa"/>
            <w:shd w:val="clear" w:color="auto" w:fill="EEECE1"/>
          </w:tcPr>
          <w:p>
            <w:pPr>
              <w:pStyle w:val="TableParagraph"/>
              <w:spacing w:line="187" w:lineRule="exact" w:before="16"/>
              <w:ind w:right="368"/>
              <w:jc w:val="right"/>
              <w:rPr>
                <w:sz w:val="18"/>
              </w:rPr>
            </w:pPr>
            <w:r>
              <w:rPr>
                <w:sz w:val="18"/>
              </w:rPr>
              <w:t>17.5%</w:t>
            </w:r>
          </w:p>
        </w:tc>
      </w:tr>
    </w:tbl>
    <w:p>
      <w:pPr>
        <w:pStyle w:val="Heading5"/>
        <w:spacing w:before="183"/>
      </w:pPr>
      <w:r>
        <w:rPr/>
        <w:t>Application of the safe harbour</w:t>
      </w:r>
    </w:p>
    <w:p>
      <w:pPr>
        <w:pStyle w:val="BodyText"/>
        <w:spacing w:line="271" w:lineRule="auto" w:before="188"/>
        <w:ind w:left="860" w:right="627"/>
        <w:jc w:val="both"/>
      </w:pPr>
      <w:r>
        <w:rPr/>
        <w:t>Group X would determine the safe harbour return due to each of these market jurisdictions under Amount A and the profits allocated to market jurisdictions under the existing profit allocation rules (shown in the table above). As Group X has a physical presence in each of the market jurisdictions it operates in the safe harbour return would be 3.5%.</w:t>
      </w:r>
    </w:p>
    <w:p>
      <w:pPr>
        <w:pStyle w:val="BodyText"/>
        <w:spacing w:line="271" w:lineRule="auto" w:before="120"/>
        <w:ind w:left="860" w:right="630"/>
        <w:jc w:val="both"/>
      </w:pPr>
      <w:r>
        <w:rPr/>
        <w:t>Finally, Group X would then determine in which markets it is eligible for the safe harbour and in which market it would be required to allocate Amount A:</w:t>
      </w:r>
    </w:p>
    <w:p>
      <w:pPr>
        <w:pStyle w:val="ListParagraph"/>
        <w:numPr>
          <w:ilvl w:val="0"/>
          <w:numId w:val="89"/>
        </w:numPr>
        <w:tabs>
          <w:tab w:pos="1922" w:val="left" w:leader="none"/>
        </w:tabs>
        <w:spacing w:line="268" w:lineRule="auto" w:before="101" w:after="0"/>
        <w:ind w:left="1921" w:right="627" w:hanging="360"/>
        <w:jc w:val="both"/>
        <w:rPr>
          <w:sz w:val="20"/>
        </w:rPr>
      </w:pPr>
      <w:r>
        <w:rPr>
          <w:sz w:val="20"/>
        </w:rPr>
        <w:t>In</w:t>
      </w:r>
      <w:r>
        <w:rPr>
          <w:spacing w:val="-8"/>
          <w:sz w:val="20"/>
        </w:rPr>
        <w:t> </w:t>
      </w:r>
      <w:r>
        <w:rPr>
          <w:sz w:val="20"/>
        </w:rPr>
        <w:t>Jurisdictions</w:t>
      </w:r>
      <w:r>
        <w:rPr>
          <w:spacing w:val="-5"/>
          <w:sz w:val="20"/>
        </w:rPr>
        <w:t> </w:t>
      </w:r>
      <w:r>
        <w:rPr>
          <w:sz w:val="20"/>
        </w:rPr>
        <w:t>2</w:t>
      </w:r>
      <w:r>
        <w:rPr>
          <w:spacing w:val="-7"/>
          <w:sz w:val="20"/>
        </w:rPr>
        <w:t> </w:t>
      </w:r>
      <w:r>
        <w:rPr>
          <w:sz w:val="20"/>
        </w:rPr>
        <w:t>and</w:t>
      </w:r>
      <w:r>
        <w:rPr>
          <w:spacing w:val="-7"/>
          <w:sz w:val="20"/>
        </w:rPr>
        <w:t> </w:t>
      </w:r>
      <w:r>
        <w:rPr>
          <w:sz w:val="20"/>
        </w:rPr>
        <w:t>5,</w:t>
      </w:r>
      <w:r>
        <w:rPr>
          <w:spacing w:val="-7"/>
          <w:sz w:val="20"/>
        </w:rPr>
        <w:t> </w:t>
      </w:r>
      <w:r>
        <w:rPr>
          <w:sz w:val="20"/>
        </w:rPr>
        <w:t>Group</w:t>
      </w:r>
      <w:r>
        <w:rPr>
          <w:spacing w:val="-8"/>
          <w:sz w:val="20"/>
        </w:rPr>
        <w:t> </w:t>
      </w:r>
      <w:r>
        <w:rPr>
          <w:sz w:val="20"/>
        </w:rPr>
        <w:t>X</w:t>
      </w:r>
      <w:r>
        <w:rPr>
          <w:spacing w:val="-5"/>
          <w:sz w:val="20"/>
        </w:rPr>
        <w:t> </w:t>
      </w:r>
      <w:r>
        <w:rPr>
          <w:sz w:val="20"/>
        </w:rPr>
        <w:t>already</w:t>
      </w:r>
      <w:r>
        <w:rPr>
          <w:spacing w:val="-10"/>
          <w:sz w:val="20"/>
        </w:rPr>
        <w:t> </w:t>
      </w:r>
      <w:r>
        <w:rPr>
          <w:sz w:val="20"/>
        </w:rPr>
        <w:t>allocates</w:t>
      </w:r>
      <w:r>
        <w:rPr>
          <w:spacing w:val="-6"/>
          <w:sz w:val="20"/>
        </w:rPr>
        <w:t> </w:t>
      </w:r>
      <w:r>
        <w:rPr>
          <w:sz w:val="20"/>
        </w:rPr>
        <w:t>a</w:t>
      </w:r>
      <w:r>
        <w:rPr>
          <w:spacing w:val="-7"/>
          <w:sz w:val="20"/>
        </w:rPr>
        <w:t> </w:t>
      </w:r>
      <w:r>
        <w:rPr>
          <w:sz w:val="20"/>
        </w:rPr>
        <w:t>return</w:t>
      </w:r>
      <w:r>
        <w:rPr>
          <w:spacing w:val="-7"/>
          <w:sz w:val="20"/>
        </w:rPr>
        <w:t> </w:t>
      </w:r>
      <w:r>
        <w:rPr>
          <w:sz w:val="20"/>
        </w:rPr>
        <w:t>in</w:t>
      </w:r>
      <w:r>
        <w:rPr>
          <w:spacing w:val="-7"/>
          <w:sz w:val="20"/>
        </w:rPr>
        <w:t> </w:t>
      </w:r>
      <w:r>
        <w:rPr>
          <w:sz w:val="20"/>
        </w:rPr>
        <w:t>excess</w:t>
      </w:r>
      <w:r>
        <w:rPr>
          <w:spacing w:val="-6"/>
          <w:sz w:val="20"/>
        </w:rPr>
        <w:t> </w:t>
      </w:r>
      <w:r>
        <w:rPr>
          <w:sz w:val="20"/>
        </w:rPr>
        <w:t>of</w:t>
      </w:r>
      <w:r>
        <w:rPr>
          <w:spacing w:val="-5"/>
          <w:sz w:val="20"/>
        </w:rPr>
        <w:t> </w:t>
      </w:r>
      <w:r>
        <w:rPr>
          <w:sz w:val="20"/>
        </w:rPr>
        <w:t>3.5%.</w:t>
      </w:r>
      <w:r>
        <w:rPr>
          <w:spacing w:val="-6"/>
          <w:sz w:val="20"/>
        </w:rPr>
        <w:t> </w:t>
      </w:r>
      <w:r>
        <w:rPr>
          <w:sz w:val="20"/>
        </w:rPr>
        <w:t>Therefore,</w:t>
      </w:r>
      <w:r>
        <w:rPr>
          <w:spacing w:val="-6"/>
          <w:sz w:val="20"/>
        </w:rPr>
        <w:t> </w:t>
      </w:r>
      <w:r>
        <w:rPr>
          <w:sz w:val="20"/>
        </w:rPr>
        <w:t>it would be eligible for the safe harbour and hence would not pay Amount A in these jurisdictions.</w:t>
      </w:r>
    </w:p>
    <w:p>
      <w:pPr>
        <w:pStyle w:val="ListParagraph"/>
        <w:numPr>
          <w:ilvl w:val="0"/>
          <w:numId w:val="89"/>
        </w:numPr>
        <w:tabs>
          <w:tab w:pos="1922" w:val="left" w:leader="none"/>
        </w:tabs>
        <w:spacing w:line="266" w:lineRule="auto" w:before="50" w:after="0"/>
        <w:ind w:left="1921" w:right="622" w:hanging="360"/>
        <w:jc w:val="both"/>
        <w:rPr>
          <w:sz w:val="20"/>
        </w:rPr>
      </w:pPr>
      <w:r>
        <w:rPr>
          <w:sz w:val="20"/>
        </w:rPr>
        <w:t>In Jurisdiction 4, Group X incurs a loss. Therefore, it would not meet the fixed return of the safe harbour and would, therefore, be ineligible for the safe</w:t>
      </w:r>
      <w:r>
        <w:rPr>
          <w:spacing w:val="-15"/>
          <w:sz w:val="20"/>
        </w:rPr>
        <w:t> </w:t>
      </w:r>
      <w:r>
        <w:rPr>
          <w:sz w:val="20"/>
        </w:rPr>
        <w:t>harbour.</w:t>
      </w:r>
    </w:p>
    <w:p>
      <w:pPr>
        <w:pStyle w:val="ListParagraph"/>
        <w:numPr>
          <w:ilvl w:val="0"/>
          <w:numId w:val="89"/>
        </w:numPr>
        <w:tabs>
          <w:tab w:pos="1922" w:val="left" w:leader="none"/>
        </w:tabs>
        <w:spacing w:line="271" w:lineRule="auto" w:before="51" w:after="0"/>
        <w:ind w:left="1921" w:right="618" w:hanging="360"/>
        <w:jc w:val="both"/>
        <w:rPr>
          <w:sz w:val="20"/>
        </w:rPr>
      </w:pPr>
      <w:r>
        <w:rPr>
          <w:sz w:val="20"/>
        </w:rPr>
        <w:t>In Jurisdiction 3, Group X would meet the fixed return of the safe harbour but not the cap. Therefore, it would only need to allocate profit equal to an additional return of 0.3% (being the</w:t>
      </w:r>
      <w:r>
        <w:rPr>
          <w:spacing w:val="-15"/>
          <w:sz w:val="20"/>
        </w:rPr>
        <w:t> </w:t>
      </w:r>
      <w:r>
        <w:rPr>
          <w:sz w:val="20"/>
        </w:rPr>
        <w:t>difference</w:t>
      </w:r>
      <w:r>
        <w:rPr>
          <w:spacing w:val="-14"/>
          <w:sz w:val="20"/>
        </w:rPr>
        <w:t> </w:t>
      </w:r>
      <w:r>
        <w:rPr>
          <w:sz w:val="20"/>
        </w:rPr>
        <w:t>between</w:t>
      </w:r>
      <w:r>
        <w:rPr>
          <w:spacing w:val="-15"/>
          <w:sz w:val="20"/>
        </w:rPr>
        <w:t> </w:t>
      </w:r>
      <w:r>
        <w:rPr>
          <w:sz w:val="20"/>
        </w:rPr>
        <w:t>the</w:t>
      </w:r>
      <w:r>
        <w:rPr>
          <w:spacing w:val="-14"/>
          <w:sz w:val="20"/>
        </w:rPr>
        <w:t> </w:t>
      </w:r>
      <w:r>
        <w:rPr>
          <w:sz w:val="20"/>
        </w:rPr>
        <w:t>profits</w:t>
      </w:r>
      <w:r>
        <w:rPr>
          <w:spacing w:val="-14"/>
          <w:sz w:val="20"/>
        </w:rPr>
        <w:t> </w:t>
      </w:r>
      <w:r>
        <w:rPr>
          <w:sz w:val="20"/>
        </w:rPr>
        <w:t>already</w:t>
      </w:r>
      <w:r>
        <w:rPr>
          <w:spacing w:val="-17"/>
          <w:sz w:val="20"/>
        </w:rPr>
        <w:t> </w:t>
      </w:r>
      <w:r>
        <w:rPr>
          <w:sz w:val="20"/>
        </w:rPr>
        <w:t>allocated</w:t>
      </w:r>
      <w:r>
        <w:rPr>
          <w:spacing w:val="-15"/>
          <w:sz w:val="20"/>
        </w:rPr>
        <w:t> </w:t>
      </w:r>
      <w:r>
        <w:rPr>
          <w:sz w:val="20"/>
        </w:rPr>
        <w:t>to</w:t>
      </w:r>
      <w:r>
        <w:rPr>
          <w:spacing w:val="-14"/>
          <w:sz w:val="20"/>
        </w:rPr>
        <w:t> </w:t>
      </w:r>
      <w:r>
        <w:rPr>
          <w:sz w:val="20"/>
        </w:rPr>
        <w:t>Jurisdiction</w:t>
      </w:r>
      <w:r>
        <w:rPr>
          <w:spacing w:val="-14"/>
          <w:sz w:val="20"/>
        </w:rPr>
        <w:t> </w:t>
      </w:r>
      <w:r>
        <w:rPr>
          <w:sz w:val="20"/>
        </w:rPr>
        <w:t>3</w:t>
      </w:r>
      <w:r>
        <w:rPr>
          <w:spacing w:val="-15"/>
          <w:sz w:val="20"/>
        </w:rPr>
        <w:t> </w:t>
      </w:r>
      <w:r>
        <w:rPr>
          <w:sz w:val="20"/>
        </w:rPr>
        <w:t>under</w:t>
      </w:r>
      <w:r>
        <w:rPr>
          <w:spacing w:val="-13"/>
          <w:sz w:val="20"/>
        </w:rPr>
        <w:t> </w:t>
      </w:r>
      <w:r>
        <w:rPr>
          <w:sz w:val="20"/>
        </w:rPr>
        <w:t>the</w:t>
      </w:r>
      <w:r>
        <w:rPr>
          <w:spacing w:val="-15"/>
          <w:sz w:val="20"/>
        </w:rPr>
        <w:t> </w:t>
      </w:r>
      <w:r>
        <w:rPr>
          <w:sz w:val="20"/>
        </w:rPr>
        <w:t>existing</w:t>
      </w:r>
      <w:r>
        <w:rPr>
          <w:spacing w:val="-14"/>
          <w:sz w:val="20"/>
        </w:rPr>
        <w:t> </w:t>
      </w:r>
      <w:r>
        <w:rPr>
          <w:sz w:val="20"/>
        </w:rPr>
        <w:t>profit allocation</w:t>
      </w:r>
      <w:r>
        <w:rPr>
          <w:spacing w:val="-5"/>
          <w:sz w:val="20"/>
        </w:rPr>
        <w:t> </w:t>
      </w:r>
      <w:r>
        <w:rPr>
          <w:sz w:val="20"/>
        </w:rPr>
        <w:t>rules</w:t>
      </w:r>
      <w:r>
        <w:rPr>
          <w:spacing w:val="-3"/>
          <w:sz w:val="20"/>
        </w:rPr>
        <w:t> </w:t>
      </w:r>
      <w:r>
        <w:rPr>
          <w:sz w:val="20"/>
        </w:rPr>
        <w:t>and</w:t>
      </w:r>
      <w:r>
        <w:rPr>
          <w:spacing w:val="-4"/>
          <w:sz w:val="20"/>
        </w:rPr>
        <w:t> </w:t>
      </w:r>
      <w:r>
        <w:rPr>
          <w:sz w:val="20"/>
        </w:rPr>
        <w:t>the</w:t>
      </w:r>
      <w:r>
        <w:rPr>
          <w:spacing w:val="-5"/>
          <w:sz w:val="20"/>
        </w:rPr>
        <w:t> </w:t>
      </w:r>
      <w:r>
        <w:rPr>
          <w:sz w:val="20"/>
        </w:rPr>
        <w:t>cap</w:t>
      </w:r>
      <w:r>
        <w:rPr>
          <w:spacing w:val="-1"/>
          <w:sz w:val="20"/>
        </w:rPr>
        <w:t> </w:t>
      </w:r>
      <w:r>
        <w:rPr>
          <w:sz w:val="20"/>
        </w:rPr>
        <w:t>of</w:t>
      </w:r>
      <w:r>
        <w:rPr>
          <w:spacing w:val="-2"/>
          <w:sz w:val="20"/>
        </w:rPr>
        <w:t> </w:t>
      </w:r>
      <w:r>
        <w:rPr>
          <w:sz w:val="20"/>
        </w:rPr>
        <w:t>the</w:t>
      </w:r>
      <w:r>
        <w:rPr>
          <w:spacing w:val="-4"/>
          <w:sz w:val="20"/>
        </w:rPr>
        <w:t> </w:t>
      </w:r>
      <w:r>
        <w:rPr>
          <w:sz w:val="20"/>
        </w:rPr>
        <w:t>safe</w:t>
      </w:r>
      <w:r>
        <w:rPr>
          <w:spacing w:val="-3"/>
          <w:sz w:val="20"/>
        </w:rPr>
        <w:t> </w:t>
      </w:r>
      <w:r>
        <w:rPr>
          <w:sz w:val="20"/>
        </w:rPr>
        <w:t>harbour</w:t>
      </w:r>
      <w:r>
        <w:rPr>
          <w:spacing w:val="-3"/>
          <w:sz w:val="20"/>
        </w:rPr>
        <w:t> </w:t>
      </w:r>
      <w:r>
        <w:rPr>
          <w:sz w:val="20"/>
        </w:rPr>
        <w:t>return) to</w:t>
      </w:r>
      <w:r>
        <w:rPr>
          <w:spacing w:val="-4"/>
          <w:sz w:val="20"/>
        </w:rPr>
        <w:t> </w:t>
      </w:r>
      <w:r>
        <w:rPr>
          <w:sz w:val="20"/>
        </w:rPr>
        <w:t>Jurisdiction</w:t>
      </w:r>
      <w:r>
        <w:rPr>
          <w:spacing w:val="-4"/>
          <w:sz w:val="20"/>
        </w:rPr>
        <w:t> </w:t>
      </w:r>
      <w:r>
        <w:rPr>
          <w:sz w:val="20"/>
        </w:rPr>
        <w:t>3</w:t>
      </w:r>
      <w:r>
        <w:rPr>
          <w:spacing w:val="-2"/>
          <w:sz w:val="20"/>
        </w:rPr>
        <w:t> </w:t>
      </w:r>
      <w:r>
        <w:rPr>
          <w:sz w:val="20"/>
        </w:rPr>
        <w:t>under</w:t>
      </w:r>
      <w:r>
        <w:rPr>
          <w:spacing w:val="-4"/>
          <w:sz w:val="20"/>
        </w:rPr>
        <w:t> </w:t>
      </w:r>
      <w:r>
        <w:rPr>
          <w:sz w:val="20"/>
        </w:rPr>
        <w:t>Amount</w:t>
      </w:r>
      <w:r>
        <w:rPr>
          <w:spacing w:val="-2"/>
          <w:sz w:val="20"/>
        </w:rPr>
        <w:t> </w:t>
      </w:r>
      <w:r>
        <w:rPr>
          <w:sz w:val="20"/>
        </w:rPr>
        <w:t>A.</w:t>
      </w:r>
    </w:p>
    <w:p>
      <w:pPr>
        <w:pStyle w:val="BodyText"/>
        <w:spacing w:line="271" w:lineRule="auto" w:before="127"/>
        <w:ind w:left="860" w:right="622"/>
        <w:jc w:val="both"/>
      </w:pPr>
      <w:r>
        <w:rPr/>
        <w:t>Under the proposed mechanism to eliminate double taxation, the IP Owner is likely to be identified as the paying entity and hence Jurisdiction 1 would be required to provide double tax relief (through the exemption or credit method) for the Amount A profit allocated to Jurisdiction 4 and 3.</w:t>
      </w:r>
    </w:p>
    <w:p>
      <w:pPr>
        <w:spacing w:after="0" w:line="271" w:lineRule="auto"/>
        <w:jc w:val="both"/>
        <w:sectPr>
          <w:pgSz w:w="11910" w:h="16840"/>
          <w:pgMar w:header="1244" w:footer="1638" w:top="1500" w:bottom="1820" w:left="580" w:right="820"/>
        </w:sectPr>
      </w:pPr>
    </w:p>
    <w:p>
      <w:pPr>
        <w:pStyle w:val="BodyText"/>
      </w:pPr>
      <w:r>
        <w:rPr/>
        <w:pict>
          <v:group style="position:absolute;margin-left:64.704002pt;margin-top:90.739967pt;width:466.05pt;height:616.550pt;mso-position-horizontal-relative:page;mso-position-vertical-relative:page;z-index:-19493376" coordorigin="1294,1815" coordsize="9321,12331">
            <v:rect style="position:absolute;left:1303;top:1824;width:9302;height:12309" filled="true" fillcolor="#eeece1" stroked="false">
              <v:fill type="solid"/>
            </v:rect>
            <v:shape style="position:absolute;left:1294;top:1814;width:9321;height:12331" coordorigin="1294,1815" coordsize="9321,12331" path="m10605,14136l1304,14136,1304,1825,1294,1825,1294,14136,1294,14145,1304,14145,1304,14145,10605,14145,10605,14136xm10605,1815l1304,1815,1304,1815,1294,1815,1294,1824,1304,1824,1304,1824,10605,1824,10605,1815xm10615,1825l10605,1825,10605,14136,10605,14145,10615,14145,10615,14136,10615,1825xm10615,1815l10605,1815,10605,1824,10615,1824,10615,1815xe" filled="true" fillcolor="#4e81bd" stroked="false">
              <v:path arrowok="t"/>
              <v:fill type="solid"/>
            </v:shape>
            <w10:wrap type="none"/>
          </v:group>
        </w:pict>
      </w:r>
    </w:p>
    <w:p>
      <w:pPr>
        <w:pStyle w:val="BodyText"/>
        <w:spacing w:before="7"/>
        <w:rPr>
          <w:sz w:val="29"/>
        </w:rPr>
      </w:pPr>
    </w:p>
    <w:p>
      <w:pPr>
        <w:pStyle w:val="Heading4"/>
        <w:spacing w:before="99"/>
        <w:ind w:left="860"/>
        <w:jc w:val="left"/>
      </w:pPr>
      <w:r>
        <w:rPr>
          <w:color w:val="4E81BD"/>
        </w:rPr>
        <w:t>Box C.3. The netting-off effect for a centralised business model</w:t>
      </w:r>
    </w:p>
    <w:p>
      <w:pPr>
        <w:pStyle w:val="BodyText"/>
        <w:spacing w:line="271" w:lineRule="auto" w:before="214"/>
        <w:ind w:left="860" w:right="619"/>
        <w:jc w:val="both"/>
      </w:pPr>
      <w:r>
        <w:rPr/>
        <w:t>Group</w:t>
      </w:r>
      <w:r>
        <w:rPr>
          <w:spacing w:val="-9"/>
        </w:rPr>
        <w:t> </w:t>
      </w:r>
      <w:r>
        <w:rPr/>
        <w:t>A</w:t>
      </w:r>
      <w:r>
        <w:rPr>
          <w:spacing w:val="-8"/>
        </w:rPr>
        <w:t> </w:t>
      </w:r>
      <w:r>
        <w:rPr/>
        <w:t>is</w:t>
      </w:r>
      <w:r>
        <w:rPr>
          <w:spacing w:val="-8"/>
        </w:rPr>
        <w:t> </w:t>
      </w:r>
      <w:r>
        <w:rPr/>
        <w:t>an</w:t>
      </w:r>
      <w:r>
        <w:rPr>
          <w:spacing w:val="-8"/>
        </w:rPr>
        <w:t> </w:t>
      </w:r>
      <w:r>
        <w:rPr/>
        <w:t>MNE</w:t>
      </w:r>
      <w:r>
        <w:rPr>
          <w:spacing w:val="-9"/>
        </w:rPr>
        <w:t> </w:t>
      </w:r>
      <w:r>
        <w:rPr/>
        <w:t>group</w:t>
      </w:r>
      <w:r>
        <w:rPr>
          <w:spacing w:val="-8"/>
        </w:rPr>
        <w:t> </w:t>
      </w:r>
      <w:r>
        <w:rPr/>
        <w:t>in</w:t>
      </w:r>
      <w:r>
        <w:rPr>
          <w:spacing w:val="-7"/>
        </w:rPr>
        <w:t> </w:t>
      </w:r>
      <w:r>
        <w:rPr/>
        <w:t>scope</w:t>
      </w:r>
      <w:r>
        <w:rPr>
          <w:spacing w:val="-8"/>
        </w:rPr>
        <w:t> </w:t>
      </w:r>
      <w:r>
        <w:rPr/>
        <w:t>of</w:t>
      </w:r>
      <w:r>
        <w:rPr>
          <w:spacing w:val="-7"/>
        </w:rPr>
        <w:t> </w:t>
      </w:r>
      <w:r>
        <w:rPr/>
        <w:t>Amount</w:t>
      </w:r>
      <w:r>
        <w:rPr>
          <w:spacing w:val="-8"/>
        </w:rPr>
        <w:t> </w:t>
      </w:r>
      <w:r>
        <w:rPr/>
        <w:t>A.</w:t>
      </w:r>
      <w:r>
        <w:rPr>
          <w:spacing w:val="-9"/>
        </w:rPr>
        <w:t> </w:t>
      </w:r>
      <w:r>
        <w:rPr/>
        <w:t>The</w:t>
      </w:r>
      <w:r>
        <w:rPr>
          <w:spacing w:val="-8"/>
        </w:rPr>
        <w:t> </w:t>
      </w:r>
      <w:r>
        <w:rPr/>
        <w:t>group</w:t>
      </w:r>
      <w:r>
        <w:rPr>
          <w:spacing w:val="-9"/>
        </w:rPr>
        <w:t> </w:t>
      </w:r>
      <w:r>
        <w:rPr/>
        <w:t>generates</w:t>
      </w:r>
      <w:r>
        <w:rPr>
          <w:spacing w:val="-7"/>
        </w:rPr>
        <w:t> </w:t>
      </w:r>
      <w:r>
        <w:rPr/>
        <w:t>EUR</w:t>
      </w:r>
      <w:r>
        <w:rPr>
          <w:spacing w:val="-5"/>
        </w:rPr>
        <w:t> </w:t>
      </w:r>
      <w:r>
        <w:rPr/>
        <w:t>20,750</w:t>
      </w:r>
      <w:r>
        <w:rPr>
          <w:spacing w:val="-11"/>
        </w:rPr>
        <w:t> </w:t>
      </w:r>
      <w:r>
        <w:rPr/>
        <w:t>million</w:t>
      </w:r>
      <w:r>
        <w:rPr>
          <w:spacing w:val="-8"/>
        </w:rPr>
        <w:t> </w:t>
      </w:r>
      <w:r>
        <w:rPr/>
        <w:t>in</w:t>
      </w:r>
      <w:r>
        <w:rPr>
          <w:spacing w:val="-9"/>
        </w:rPr>
        <w:t> </w:t>
      </w:r>
      <w:r>
        <w:rPr/>
        <w:t>third</w:t>
      </w:r>
      <w:r>
        <w:rPr>
          <w:spacing w:val="-8"/>
        </w:rPr>
        <w:t> </w:t>
      </w:r>
      <w:r>
        <w:rPr/>
        <w:t>party revenue and earned PBT of EUR 5,323m, resulting in a profit margin of 26%. The group and entity- level financials are summarised in the table</w:t>
      </w:r>
      <w:r>
        <w:rPr>
          <w:spacing w:val="-8"/>
        </w:rPr>
        <w:t> </w:t>
      </w:r>
      <w:r>
        <w:rPr/>
        <w:t>below.</w:t>
      </w:r>
    </w:p>
    <w:p>
      <w:pPr>
        <w:pStyle w:val="Heading5"/>
        <w:spacing w:before="149"/>
      </w:pPr>
      <w:r>
        <w:rPr/>
        <w:t>Principal (Jurisdiction 1)</w:t>
      </w:r>
    </w:p>
    <w:p>
      <w:pPr>
        <w:pStyle w:val="BodyText"/>
        <w:spacing w:line="271" w:lineRule="auto" w:before="189"/>
        <w:ind w:left="860" w:right="618"/>
        <w:jc w:val="both"/>
      </w:pPr>
      <w:r>
        <w:rPr/>
        <w:t>Group A has a centralised operating model, in which a Principal (resident in Jurisdiction 1) owns </w:t>
      </w:r>
      <w:r>
        <w:rPr>
          <w:spacing w:val="4"/>
        </w:rPr>
        <w:t>the </w:t>
      </w:r>
      <w:r>
        <w:rPr/>
        <w:t>group’s trade and marketing intangibles and realises the entire residual profit of the group. Jurisdiction 1</w:t>
      </w:r>
      <w:r>
        <w:rPr>
          <w:spacing w:val="-4"/>
        </w:rPr>
        <w:t> </w:t>
      </w:r>
      <w:r>
        <w:rPr/>
        <w:t>is</w:t>
      </w:r>
      <w:r>
        <w:rPr>
          <w:spacing w:val="-3"/>
        </w:rPr>
        <w:t> </w:t>
      </w:r>
      <w:r>
        <w:rPr/>
        <w:t>a</w:t>
      </w:r>
      <w:r>
        <w:rPr>
          <w:spacing w:val="-5"/>
        </w:rPr>
        <w:t> </w:t>
      </w:r>
      <w:r>
        <w:rPr/>
        <w:t>large</w:t>
      </w:r>
      <w:r>
        <w:rPr>
          <w:spacing w:val="-4"/>
        </w:rPr>
        <w:t> </w:t>
      </w:r>
      <w:r>
        <w:rPr/>
        <w:t>market</w:t>
      </w:r>
      <w:r>
        <w:rPr>
          <w:spacing w:val="-7"/>
        </w:rPr>
        <w:t> </w:t>
      </w:r>
      <w:r>
        <w:rPr/>
        <w:t>for</w:t>
      </w:r>
      <w:r>
        <w:rPr>
          <w:spacing w:val="-4"/>
        </w:rPr>
        <w:t> </w:t>
      </w:r>
      <w:r>
        <w:rPr/>
        <w:t>Group</w:t>
      </w:r>
      <w:r>
        <w:rPr>
          <w:spacing w:val="-3"/>
        </w:rPr>
        <w:t> </w:t>
      </w:r>
      <w:r>
        <w:rPr/>
        <w:t>A,</w:t>
      </w:r>
      <w:r>
        <w:rPr>
          <w:spacing w:val="-4"/>
        </w:rPr>
        <w:t> </w:t>
      </w:r>
      <w:r>
        <w:rPr/>
        <w:t>generating</w:t>
      </w:r>
      <w:r>
        <w:rPr>
          <w:spacing w:val="-4"/>
        </w:rPr>
        <w:t> </w:t>
      </w:r>
      <w:r>
        <w:rPr/>
        <w:t>EUR</w:t>
      </w:r>
      <w:r>
        <w:rPr>
          <w:spacing w:val="3"/>
        </w:rPr>
        <w:t> </w:t>
      </w:r>
      <w:r>
        <w:rPr/>
        <w:t>10,000</w:t>
      </w:r>
      <w:r>
        <w:rPr>
          <w:spacing w:val="-4"/>
        </w:rPr>
        <w:t> </w:t>
      </w:r>
      <w:r>
        <w:rPr/>
        <w:t>million</w:t>
      </w:r>
      <w:r>
        <w:rPr>
          <w:spacing w:val="-3"/>
        </w:rPr>
        <w:t> </w:t>
      </w:r>
      <w:r>
        <w:rPr/>
        <w:t>in</w:t>
      </w:r>
      <w:r>
        <w:rPr>
          <w:spacing w:val="-4"/>
        </w:rPr>
        <w:t> </w:t>
      </w:r>
      <w:r>
        <w:rPr/>
        <w:t>third</w:t>
      </w:r>
      <w:r>
        <w:rPr>
          <w:spacing w:val="-4"/>
        </w:rPr>
        <w:t> </w:t>
      </w:r>
      <w:r>
        <w:rPr/>
        <w:t>party</w:t>
      </w:r>
      <w:r>
        <w:rPr>
          <w:spacing w:val="-7"/>
        </w:rPr>
        <w:t> </w:t>
      </w:r>
      <w:r>
        <w:rPr/>
        <w:t>revenues</w:t>
      </w:r>
      <w:r>
        <w:rPr>
          <w:spacing w:val="-3"/>
        </w:rPr>
        <w:t> </w:t>
      </w:r>
      <w:r>
        <w:rPr/>
        <w:t>that</w:t>
      </w:r>
      <w:r>
        <w:rPr>
          <w:spacing w:val="-4"/>
        </w:rPr>
        <w:t> </w:t>
      </w:r>
      <w:r>
        <w:rPr/>
        <w:t>are</w:t>
      </w:r>
      <w:r>
        <w:rPr>
          <w:spacing w:val="-4"/>
        </w:rPr>
        <w:t> </w:t>
      </w:r>
      <w:r>
        <w:rPr/>
        <w:t>booked by the</w:t>
      </w:r>
      <w:r>
        <w:rPr>
          <w:spacing w:val="-5"/>
        </w:rPr>
        <w:t> </w:t>
      </w:r>
      <w:r>
        <w:rPr/>
        <w:t>Principal.</w:t>
      </w:r>
    </w:p>
    <w:p>
      <w:pPr>
        <w:pStyle w:val="Heading5"/>
        <w:spacing w:before="150"/>
      </w:pPr>
      <w:r>
        <w:rPr/>
        <w:t>Other market jurisdictions (Jurisdiction 2, 3, 4 and 5)</w:t>
      </w:r>
    </w:p>
    <w:p>
      <w:pPr>
        <w:pStyle w:val="BodyText"/>
        <w:spacing w:line="271" w:lineRule="auto" w:before="188"/>
        <w:ind w:left="860" w:right="626"/>
        <w:jc w:val="both"/>
      </w:pPr>
      <w:r>
        <w:rPr/>
        <w:t>The other entities in the group (resident in Jurisdictions 2, 3, 4 and 5 respectively) perform baseline marketing</w:t>
      </w:r>
      <w:r>
        <w:rPr>
          <w:spacing w:val="-9"/>
        </w:rPr>
        <w:t> </w:t>
      </w:r>
      <w:r>
        <w:rPr/>
        <w:t>and</w:t>
      </w:r>
      <w:r>
        <w:rPr>
          <w:spacing w:val="-6"/>
        </w:rPr>
        <w:t> </w:t>
      </w:r>
      <w:r>
        <w:rPr/>
        <w:t>distribution</w:t>
      </w:r>
      <w:r>
        <w:rPr>
          <w:spacing w:val="-8"/>
        </w:rPr>
        <w:t> </w:t>
      </w:r>
      <w:r>
        <w:rPr/>
        <w:t>functions.</w:t>
      </w:r>
      <w:r>
        <w:rPr>
          <w:spacing w:val="-7"/>
        </w:rPr>
        <w:t> </w:t>
      </w:r>
      <w:r>
        <w:rPr/>
        <w:t>Under</w:t>
      </w:r>
      <w:r>
        <w:rPr>
          <w:spacing w:val="-7"/>
        </w:rPr>
        <w:t> </w:t>
      </w:r>
      <w:r>
        <w:rPr/>
        <w:t>the</w:t>
      </w:r>
      <w:r>
        <w:rPr>
          <w:spacing w:val="-6"/>
        </w:rPr>
        <w:t> </w:t>
      </w:r>
      <w:r>
        <w:rPr/>
        <w:t>ALP-based</w:t>
      </w:r>
      <w:r>
        <w:rPr>
          <w:spacing w:val="-8"/>
        </w:rPr>
        <w:t> </w:t>
      </w:r>
      <w:r>
        <w:rPr/>
        <w:t>profit</w:t>
      </w:r>
      <w:r>
        <w:rPr>
          <w:spacing w:val="-6"/>
        </w:rPr>
        <w:t> </w:t>
      </w:r>
      <w:r>
        <w:rPr/>
        <w:t>allocation</w:t>
      </w:r>
      <w:r>
        <w:rPr>
          <w:spacing w:val="-6"/>
        </w:rPr>
        <w:t> </w:t>
      </w:r>
      <w:r>
        <w:rPr/>
        <w:t>rules,</w:t>
      </w:r>
      <w:r>
        <w:rPr>
          <w:spacing w:val="-7"/>
        </w:rPr>
        <w:t> </w:t>
      </w:r>
      <w:r>
        <w:rPr/>
        <w:t>these</w:t>
      </w:r>
      <w:r>
        <w:rPr>
          <w:spacing w:val="-8"/>
        </w:rPr>
        <w:t> </w:t>
      </w:r>
      <w:r>
        <w:rPr/>
        <w:t>distributors</w:t>
      </w:r>
      <w:r>
        <w:rPr>
          <w:spacing w:val="-6"/>
        </w:rPr>
        <w:t> </w:t>
      </w:r>
      <w:r>
        <w:rPr/>
        <w:t>are remunerated with a 3% return on</w:t>
      </w:r>
      <w:r>
        <w:rPr>
          <w:spacing w:val="-6"/>
        </w:rPr>
        <w:t> </w:t>
      </w:r>
      <w:r>
        <w:rPr/>
        <w:t>sales.</w:t>
      </w:r>
    </w:p>
    <w:p>
      <w:pPr>
        <w:pStyle w:val="BodyText"/>
        <w:spacing w:before="1"/>
        <w:rPr>
          <w:sz w:val="8"/>
        </w:rPr>
      </w:pPr>
    </w:p>
    <w:tbl>
      <w:tblPr>
        <w:tblW w:w="0" w:type="auto"/>
        <w:jc w:val="left"/>
        <w:tblInd w:w="1271"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711"/>
        <w:gridCol w:w="1064"/>
        <w:gridCol w:w="1063"/>
        <w:gridCol w:w="1063"/>
        <w:gridCol w:w="1063"/>
        <w:gridCol w:w="1059"/>
        <w:gridCol w:w="1152"/>
      </w:tblGrid>
      <w:tr>
        <w:trPr>
          <w:trHeight w:val="461" w:hRule="atLeast"/>
        </w:trPr>
        <w:tc>
          <w:tcPr>
            <w:tcW w:w="1711" w:type="dxa"/>
            <w:vMerge w:val="restart"/>
            <w:tcBorders>
              <w:left w:val="nil"/>
              <w:bottom w:val="single" w:sz="4" w:space="0" w:color="4E81BD"/>
              <w:right w:val="single" w:sz="6" w:space="0" w:color="D2D2D2"/>
            </w:tcBorders>
            <w:shd w:val="clear" w:color="auto" w:fill="EEECE1"/>
          </w:tcPr>
          <w:p>
            <w:pPr>
              <w:pStyle w:val="TableParagraph"/>
              <w:spacing w:before="0"/>
              <w:jc w:val="left"/>
              <w:rPr>
                <w:rFonts w:ascii="Arial"/>
                <w:sz w:val="20"/>
              </w:rPr>
            </w:pPr>
          </w:p>
          <w:p>
            <w:pPr>
              <w:pStyle w:val="TableParagraph"/>
              <w:spacing w:before="146"/>
              <w:ind w:left="376"/>
              <w:jc w:val="left"/>
              <w:rPr>
                <w:b/>
                <w:sz w:val="18"/>
              </w:rPr>
            </w:pPr>
            <w:r>
              <w:rPr>
                <w:b/>
                <w:sz w:val="18"/>
              </w:rPr>
              <w:t>in EUR million</w:t>
            </w:r>
          </w:p>
        </w:tc>
        <w:tc>
          <w:tcPr>
            <w:tcW w:w="1064" w:type="dxa"/>
            <w:tcBorders>
              <w:left w:val="single" w:sz="6" w:space="0" w:color="D2D2D2"/>
              <w:bottom w:val="single" w:sz="6" w:space="0" w:color="4E81BD"/>
              <w:right w:val="single" w:sz="6" w:space="0" w:color="D2D2D2"/>
            </w:tcBorders>
            <w:shd w:val="clear" w:color="auto" w:fill="EEECE1"/>
          </w:tcPr>
          <w:p>
            <w:pPr>
              <w:pStyle w:val="TableParagraph"/>
              <w:spacing w:before="139"/>
              <w:ind w:left="208" w:right="176"/>
              <w:rPr>
                <w:b/>
                <w:sz w:val="18"/>
              </w:rPr>
            </w:pPr>
            <w:r>
              <w:rPr>
                <w:b/>
                <w:sz w:val="18"/>
              </w:rPr>
              <w:t>Principal</w:t>
            </w:r>
          </w:p>
        </w:tc>
        <w:tc>
          <w:tcPr>
            <w:tcW w:w="106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496" w:right="113" w:hanging="336"/>
              <w:jc w:val="left"/>
              <w:rPr>
                <w:b/>
                <w:sz w:val="18"/>
              </w:rPr>
            </w:pPr>
            <w:r>
              <w:rPr>
                <w:b/>
                <w:sz w:val="18"/>
              </w:rPr>
              <w:t>Distributor 2</w:t>
            </w:r>
          </w:p>
        </w:tc>
        <w:tc>
          <w:tcPr>
            <w:tcW w:w="106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496" w:right="113" w:hanging="336"/>
              <w:jc w:val="left"/>
              <w:rPr>
                <w:b/>
                <w:sz w:val="18"/>
              </w:rPr>
            </w:pPr>
            <w:r>
              <w:rPr>
                <w:b/>
                <w:sz w:val="18"/>
              </w:rPr>
              <w:t>Distributor 3</w:t>
            </w:r>
          </w:p>
        </w:tc>
        <w:tc>
          <w:tcPr>
            <w:tcW w:w="106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497" w:right="112" w:hanging="336"/>
              <w:jc w:val="left"/>
              <w:rPr>
                <w:b/>
                <w:sz w:val="18"/>
              </w:rPr>
            </w:pPr>
            <w:r>
              <w:rPr>
                <w:b/>
                <w:sz w:val="18"/>
              </w:rPr>
              <w:t>Distributor 4</w:t>
            </w:r>
          </w:p>
        </w:tc>
        <w:tc>
          <w:tcPr>
            <w:tcW w:w="1059"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497" w:right="108" w:hanging="336"/>
              <w:jc w:val="left"/>
              <w:rPr>
                <w:b/>
                <w:sz w:val="18"/>
              </w:rPr>
            </w:pPr>
            <w:r>
              <w:rPr>
                <w:b/>
                <w:sz w:val="18"/>
              </w:rPr>
              <w:t>Distributor 5</w:t>
            </w:r>
          </w:p>
        </w:tc>
        <w:tc>
          <w:tcPr>
            <w:tcW w:w="1152" w:type="dxa"/>
            <w:tcBorders>
              <w:left w:val="single" w:sz="6" w:space="0" w:color="D2D2D2"/>
              <w:bottom w:val="single" w:sz="6" w:space="0" w:color="4E81BD"/>
              <w:right w:val="nil"/>
            </w:tcBorders>
            <w:shd w:val="clear" w:color="auto" w:fill="EEECE1"/>
          </w:tcPr>
          <w:p>
            <w:pPr>
              <w:pStyle w:val="TableParagraph"/>
              <w:ind w:left="96" w:right="70"/>
              <w:rPr>
                <w:b/>
                <w:sz w:val="18"/>
              </w:rPr>
            </w:pPr>
            <w:r>
              <w:rPr>
                <w:b/>
                <w:sz w:val="18"/>
              </w:rPr>
              <w:t>Total</w:t>
            </w:r>
          </w:p>
        </w:tc>
      </w:tr>
      <w:tr>
        <w:trPr>
          <w:trHeight w:val="457" w:hRule="atLeast"/>
        </w:trPr>
        <w:tc>
          <w:tcPr>
            <w:tcW w:w="1711" w:type="dxa"/>
            <w:vMerge/>
            <w:tcBorders>
              <w:top w:val="nil"/>
              <w:left w:val="nil"/>
              <w:bottom w:val="single" w:sz="4" w:space="0" w:color="4E81BD"/>
              <w:right w:val="single" w:sz="6" w:space="0" w:color="D2D2D2"/>
            </w:tcBorders>
            <w:shd w:val="clear" w:color="auto" w:fill="EEECE1"/>
          </w:tcPr>
          <w:p>
            <w:pPr>
              <w:rPr>
                <w:sz w:val="2"/>
                <w:szCs w:val="2"/>
              </w:rPr>
            </w:pPr>
          </w:p>
        </w:tc>
        <w:tc>
          <w:tcPr>
            <w:tcW w:w="1064"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9" w:right="71" w:hanging="378"/>
              <w:jc w:val="left"/>
              <w:rPr>
                <w:b/>
                <w:sz w:val="18"/>
              </w:rPr>
            </w:pPr>
            <w:r>
              <w:rPr>
                <w:b/>
                <w:sz w:val="18"/>
              </w:rPr>
              <w:t>Jurisdiction 1</w:t>
            </w:r>
          </w:p>
        </w:tc>
        <w:tc>
          <w:tcPr>
            <w:tcW w:w="1063"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6" w:right="72" w:hanging="377"/>
              <w:jc w:val="left"/>
              <w:rPr>
                <w:b/>
                <w:sz w:val="18"/>
              </w:rPr>
            </w:pPr>
            <w:r>
              <w:rPr>
                <w:b/>
                <w:sz w:val="18"/>
              </w:rPr>
              <w:t>Jurisdiction 2</w:t>
            </w:r>
          </w:p>
        </w:tc>
        <w:tc>
          <w:tcPr>
            <w:tcW w:w="1063"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6" w:right="72" w:hanging="377"/>
              <w:jc w:val="left"/>
              <w:rPr>
                <w:b/>
                <w:sz w:val="18"/>
              </w:rPr>
            </w:pPr>
            <w:r>
              <w:rPr>
                <w:b/>
                <w:sz w:val="18"/>
              </w:rPr>
              <w:t>Jurisdiction 3</w:t>
            </w:r>
          </w:p>
        </w:tc>
        <w:tc>
          <w:tcPr>
            <w:tcW w:w="1063"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7" w:right="71" w:hanging="377"/>
              <w:jc w:val="left"/>
              <w:rPr>
                <w:b/>
                <w:sz w:val="18"/>
              </w:rPr>
            </w:pPr>
            <w:r>
              <w:rPr>
                <w:b/>
                <w:sz w:val="18"/>
              </w:rPr>
              <w:t>Jurisdiction 4</w:t>
            </w:r>
          </w:p>
        </w:tc>
        <w:tc>
          <w:tcPr>
            <w:tcW w:w="1059"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7" w:right="67" w:hanging="377"/>
              <w:jc w:val="left"/>
              <w:rPr>
                <w:b/>
                <w:sz w:val="18"/>
              </w:rPr>
            </w:pPr>
            <w:r>
              <w:rPr>
                <w:b/>
                <w:sz w:val="18"/>
              </w:rPr>
              <w:t>Jurisdiction 5</w:t>
            </w:r>
          </w:p>
        </w:tc>
        <w:tc>
          <w:tcPr>
            <w:tcW w:w="1152" w:type="dxa"/>
            <w:tcBorders>
              <w:top w:val="single" w:sz="6" w:space="0" w:color="4E81BD"/>
              <w:left w:val="single" w:sz="6" w:space="0" w:color="D2D2D2"/>
              <w:bottom w:val="single" w:sz="4" w:space="0" w:color="4E81BD"/>
              <w:right w:val="nil"/>
            </w:tcBorders>
            <w:shd w:val="clear" w:color="auto" w:fill="EEECE1"/>
          </w:tcPr>
          <w:p>
            <w:pPr>
              <w:pStyle w:val="TableParagraph"/>
              <w:ind w:left="96" w:right="70"/>
              <w:rPr>
                <w:b/>
                <w:sz w:val="18"/>
              </w:rPr>
            </w:pPr>
            <w:r>
              <w:rPr>
                <w:b/>
                <w:sz w:val="18"/>
              </w:rPr>
              <w:t>Consolidated</w:t>
            </w:r>
          </w:p>
        </w:tc>
      </w:tr>
      <w:tr>
        <w:trPr>
          <w:trHeight w:val="241" w:hRule="atLeast"/>
        </w:trPr>
        <w:tc>
          <w:tcPr>
            <w:tcW w:w="1711" w:type="dxa"/>
            <w:tcBorders>
              <w:top w:val="single" w:sz="4" w:space="0" w:color="4E81BD"/>
              <w:left w:val="nil"/>
              <w:bottom w:val="single" w:sz="6" w:space="0" w:color="D2D2D2"/>
              <w:right w:val="single" w:sz="6" w:space="0" w:color="D2D2D2"/>
            </w:tcBorders>
            <w:shd w:val="clear" w:color="auto" w:fill="EEECE1"/>
          </w:tcPr>
          <w:p>
            <w:pPr>
              <w:pStyle w:val="TableParagraph"/>
              <w:spacing w:line="192" w:lineRule="exact" w:before="30"/>
              <w:ind w:left="166" w:right="118"/>
              <w:rPr>
                <w:b/>
                <w:sz w:val="18"/>
              </w:rPr>
            </w:pPr>
            <w:r>
              <w:rPr>
                <w:b/>
                <w:sz w:val="18"/>
              </w:rPr>
              <w:t>Revenue</w:t>
            </w:r>
          </w:p>
        </w:tc>
        <w:tc>
          <w:tcPr>
            <w:tcW w:w="1064"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before="30"/>
              <w:ind w:left="206" w:right="176"/>
              <w:rPr>
                <w:sz w:val="18"/>
              </w:rPr>
            </w:pPr>
            <w:r>
              <w:rPr>
                <w:sz w:val="18"/>
              </w:rPr>
              <w:t>15,000</w:t>
            </w:r>
          </w:p>
        </w:tc>
        <w:tc>
          <w:tcPr>
            <w:tcW w:w="1063"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before="30"/>
              <w:ind w:left="329" w:right="305"/>
              <w:rPr>
                <w:sz w:val="18"/>
              </w:rPr>
            </w:pPr>
            <w:r>
              <w:rPr>
                <w:sz w:val="18"/>
              </w:rPr>
              <w:t>2,000</w:t>
            </w:r>
          </w:p>
        </w:tc>
        <w:tc>
          <w:tcPr>
            <w:tcW w:w="1063"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before="30"/>
              <w:ind w:left="352"/>
              <w:jc w:val="left"/>
              <w:rPr>
                <w:sz w:val="18"/>
              </w:rPr>
            </w:pPr>
            <w:r>
              <w:rPr>
                <w:sz w:val="18"/>
              </w:rPr>
              <w:t>4,000</w:t>
            </w:r>
          </w:p>
        </w:tc>
        <w:tc>
          <w:tcPr>
            <w:tcW w:w="1063"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before="30"/>
              <w:ind w:left="331" w:right="305"/>
              <w:rPr>
                <w:sz w:val="18"/>
              </w:rPr>
            </w:pPr>
            <w:r>
              <w:rPr>
                <w:sz w:val="18"/>
              </w:rPr>
              <w:t>3,500</w:t>
            </w:r>
          </w:p>
        </w:tc>
        <w:tc>
          <w:tcPr>
            <w:tcW w:w="1059"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before="30"/>
              <w:ind w:left="331" w:right="301"/>
              <w:rPr>
                <w:sz w:val="18"/>
              </w:rPr>
            </w:pPr>
            <w:r>
              <w:rPr>
                <w:sz w:val="18"/>
              </w:rPr>
              <w:t>1,250</w:t>
            </w:r>
          </w:p>
        </w:tc>
        <w:tc>
          <w:tcPr>
            <w:tcW w:w="1152" w:type="dxa"/>
            <w:vMerge w:val="restart"/>
            <w:tcBorders>
              <w:top w:val="single" w:sz="4" w:space="0" w:color="4E81BD"/>
              <w:left w:val="single" w:sz="6" w:space="0" w:color="D2D2D2"/>
              <w:bottom w:val="single" w:sz="6" w:space="0" w:color="D2D2D2"/>
              <w:right w:val="nil"/>
            </w:tcBorders>
            <w:shd w:val="clear" w:color="auto" w:fill="EEECE1"/>
          </w:tcPr>
          <w:p>
            <w:pPr>
              <w:pStyle w:val="TableParagraph"/>
              <w:spacing w:before="30"/>
              <w:ind w:left="360"/>
              <w:jc w:val="left"/>
              <w:rPr>
                <w:sz w:val="18"/>
              </w:rPr>
            </w:pPr>
            <w:r>
              <w:rPr>
                <w:sz w:val="18"/>
              </w:rPr>
              <w:t>20,750</w:t>
            </w:r>
          </w:p>
        </w:tc>
      </w:tr>
      <w:tr>
        <w:trPr>
          <w:trHeight w:val="239" w:hRule="atLeast"/>
        </w:trPr>
        <w:tc>
          <w:tcPr>
            <w:tcW w:w="171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166" w:right="118"/>
              <w:rPr>
                <w:b/>
                <w:sz w:val="18"/>
              </w:rPr>
            </w:pPr>
            <w:r>
              <w:rPr>
                <w:b/>
                <w:sz w:val="18"/>
              </w:rPr>
              <w:t>Third party revenue</w:t>
            </w:r>
          </w:p>
        </w:tc>
        <w:tc>
          <w:tcPr>
            <w:tcW w:w="106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206" w:right="176"/>
              <w:rPr>
                <w:sz w:val="18"/>
              </w:rPr>
            </w:pPr>
            <w:r>
              <w:rPr>
                <w:sz w:val="18"/>
              </w:rPr>
              <w:t>10,000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29" w:right="305"/>
              <w:rPr>
                <w:sz w:val="18"/>
              </w:rPr>
            </w:pPr>
            <w:r>
              <w:rPr>
                <w:sz w:val="18"/>
              </w:rPr>
              <w:t>2,000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52"/>
              <w:jc w:val="left"/>
              <w:rPr>
                <w:sz w:val="18"/>
              </w:rPr>
            </w:pPr>
            <w:r>
              <w:rPr>
                <w:sz w:val="18"/>
              </w:rPr>
              <w:t>4,000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31" w:right="305"/>
              <w:rPr>
                <w:sz w:val="18"/>
              </w:rPr>
            </w:pPr>
            <w:r>
              <w:rPr>
                <w:sz w:val="18"/>
              </w:rPr>
              <w:t>3,500</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31" w:right="301"/>
              <w:rPr>
                <w:sz w:val="18"/>
              </w:rPr>
            </w:pPr>
            <w:r>
              <w:rPr>
                <w:sz w:val="18"/>
              </w:rPr>
              <w:t>1,250</w:t>
            </w:r>
          </w:p>
        </w:tc>
        <w:tc>
          <w:tcPr>
            <w:tcW w:w="1152" w:type="dxa"/>
            <w:vMerge/>
            <w:tcBorders>
              <w:top w:val="nil"/>
              <w:left w:val="single" w:sz="6" w:space="0" w:color="D2D2D2"/>
              <w:bottom w:val="single" w:sz="6" w:space="0" w:color="D2D2D2"/>
              <w:right w:val="nil"/>
            </w:tcBorders>
            <w:shd w:val="clear" w:color="auto" w:fill="EEECE1"/>
          </w:tcPr>
          <w:p>
            <w:pPr>
              <w:rPr>
                <w:sz w:val="2"/>
                <w:szCs w:val="2"/>
              </w:rPr>
            </w:pPr>
          </w:p>
        </w:tc>
      </w:tr>
      <w:tr>
        <w:trPr>
          <w:trHeight w:val="239" w:hRule="atLeast"/>
        </w:trPr>
        <w:tc>
          <w:tcPr>
            <w:tcW w:w="171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166" w:right="116"/>
              <w:rPr>
                <w:b/>
                <w:sz w:val="18"/>
              </w:rPr>
            </w:pPr>
            <w:r>
              <w:rPr>
                <w:b/>
                <w:sz w:val="18"/>
              </w:rPr>
              <w:t>Intragroup revenue</w:t>
            </w:r>
          </w:p>
        </w:tc>
        <w:tc>
          <w:tcPr>
            <w:tcW w:w="106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205" w:right="176"/>
              <w:rPr>
                <w:sz w:val="18"/>
              </w:rPr>
            </w:pPr>
            <w:r>
              <w:rPr>
                <w:sz w:val="18"/>
              </w:rPr>
              <w:t>5,000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26"/>
              <w:rPr>
                <w:sz w:val="18"/>
              </w:rPr>
            </w:pPr>
            <w:r>
              <w:rPr>
                <w:sz w:val="18"/>
              </w:rPr>
              <w:t>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27"/>
              <w:rPr>
                <w:sz w:val="18"/>
              </w:rPr>
            </w:pPr>
            <w:r>
              <w:rPr>
                <w:sz w:val="18"/>
              </w:rPr>
              <w:t>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28"/>
              <w:rPr>
                <w:sz w:val="18"/>
              </w:rPr>
            </w:pPr>
            <w:r>
              <w:rPr>
                <w:sz w:val="18"/>
              </w:rPr>
              <w:t>0</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2"/>
              <w:rPr>
                <w:sz w:val="18"/>
              </w:rPr>
            </w:pPr>
            <w:r>
              <w:rPr>
                <w:sz w:val="18"/>
              </w:rPr>
              <w:t>0</w:t>
            </w:r>
          </w:p>
        </w:tc>
        <w:tc>
          <w:tcPr>
            <w:tcW w:w="1152" w:type="dxa"/>
            <w:vMerge/>
            <w:tcBorders>
              <w:top w:val="nil"/>
              <w:left w:val="single" w:sz="6" w:space="0" w:color="D2D2D2"/>
              <w:bottom w:val="single" w:sz="6" w:space="0" w:color="D2D2D2"/>
              <w:right w:val="nil"/>
            </w:tcBorders>
            <w:shd w:val="clear" w:color="auto" w:fill="EEECE1"/>
          </w:tcPr>
          <w:p>
            <w:pPr>
              <w:rPr>
                <w:sz w:val="2"/>
                <w:szCs w:val="2"/>
              </w:rPr>
            </w:pPr>
          </w:p>
        </w:tc>
      </w:tr>
      <w:tr>
        <w:trPr>
          <w:trHeight w:val="460" w:hRule="atLeast"/>
        </w:trPr>
        <w:tc>
          <w:tcPr>
            <w:tcW w:w="1711" w:type="dxa"/>
            <w:tcBorders>
              <w:top w:val="single" w:sz="6" w:space="0" w:color="D2D2D2"/>
              <w:left w:val="nil"/>
              <w:bottom w:val="single" w:sz="6" w:space="0" w:color="D2D2D2"/>
              <w:right w:val="single" w:sz="6" w:space="0" w:color="D2D2D2"/>
            </w:tcBorders>
            <w:shd w:val="clear" w:color="auto" w:fill="EEECE1"/>
          </w:tcPr>
          <w:p>
            <w:pPr>
              <w:pStyle w:val="TableParagraph"/>
              <w:spacing w:line="220" w:lineRule="atLeast" w:before="14"/>
              <w:ind w:left="679" w:right="240" w:hanging="368"/>
              <w:jc w:val="left"/>
              <w:rPr>
                <w:b/>
                <w:sz w:val="18"/>
              </w:rPr>
            </w:pPr>
            <w:r>
              <w:rPr>
                <w:b/>
                <w:sz w:val="18"/>
              </w:rPr>
              <w:t>Profit before tax (PBT)</w:t>
            </w:r>
          </w:p>
        </w:tc>
        <w:tc>
          <w:tcPr>
            <w:tcW w:w="1064"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05" w:right="176"/>
              <w:rPr>
                <w:sz w:val="18"/>
              </w:rPr>
            </w:pPr>
            <w:r>
              <w:rPr>
                <w:sz w:val="18"/>
              </w:rPr>
              <w:t>5,000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31" w:right="305"/>
              <w:rPr>
                <w:sz w:val="18"/>
              </w:rPr>
            </w:pPr>
            <w:r>
              <w:rPr>
                <w:sz w:val="18"/>
              </w:rPr>
              <w:t>60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415"/>
              <w:jc w:val="left"/>
              <w:rPr>
                <w:sz w:val="18"/>
              </w:rPr>
            </w:pPr>
            <w:r>
              <w:rPr>
                <w:sz w:val="18"/>
              </w:rPr>
              <w:t>120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31" w:right="303"/>
              <w:rPr>
                <w:sz w:val="18"/>
              </w:rPr>
            </w:pPr>
            <w:r>
              <w:rPr>
                <w:sz w:val="18"/>
              </w:rPr>
              <w:t>105</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32" w:right="300"/>
              <w:rPr>
                <w:sz w:val="18"/>
              </w:rPr>
            </w:pPr>
            <w:r>
              <w:rPr>
                <w:sz w:val="18"/>
              </w:rPr>
              <w:t>38</w:t>
            </w:r>
          </w:p>
        </w:tc>
        <w:tc>
          <w:tcPr>
            <w:tcW w:w="1152" w:type="dxa"/>
            <w:tcBorders>
              <w:top w:val="single" w:sz="6" w:space="0" w:color="D2D2D2"/>
              <w:left w:val="single" w:sz="6" w:space="0" w:color="D2D2D2"/>
              <w:bottom w:val="single" w:sz="6" w:space="0" w:color="D2D2D2"/>
              <w:right w:val="nil"/>
            </w:tcBorders>
            <w:shd w:val="clear" w:color="auto" w:fill="EEECE1"/>
          </w:tcPr>
          <w:p>
            <w:pPr>
              <w:pStyle w:val="TableParagraph"/>
              <w:ind w:left="96" w:right="70"/>
              <w:rPr>
                <w:sz w:val="18"/>
              </w:rPr>
            </w:pPr>
            <w:r>
              <w:rPr>
                <w:sz w:val="18"/>
              </w:rPr>
              <w:t>5,323</w:t>
            </w:r>
          </w:p>
        </w:tc>
      </w:tr>
      <w:tr>
        <w:trPr>
          <w:trHeight w:val="241" w:hRule="atLeast"/>
        </w:trPr>
        <w:tc>
          <w:tcPr>
            <w:tcW w:w="1711" w:type="dxa"/>
            <w:tcBorders>
              <w:top w:val="single" w:sz="6" w:space="0" w:color="D2D2D2"/>
              <w:left w:val="nil"/>
              <w:right w:val="single" w:sz="6" w:space="0" w:color="D2D2D2"/>
            </w:tcBorders>
            <w:shd w:val="clear" w:color="auto" w:fill="EEECE1"/>
          </w:tcPr>
          <w:p>
            <w:pPr>
              <w:pStyle w:val="TableParagraph"/>
              <w:spacing w:line="194" w:lineRule="exact"/>
              <w:ind w:left="166" w:right="116"/>
              <w:rPr>
                <w:b/>
                <w:sz w:val="18"/>
              </w:rPr>
            </w:pPr>
            <w:r>
              <w:rPr>
                <w:b/>
                <w:sz w:val="18"/>
              </w:rPr>
              <w:t>Profit margin (%)</w:t>
            </w:r>
          </w:p>
        </w:tc>
        <w:tc>
          <w:tcPr>
            <w:tcW w:w="1064"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208" w:right="176"/>
              <w:rPr>
                <w:sz w:val="18"/>
              </w:rPr>
            </w:pPr>
            <w:r>
              <w:rPr>
                <w:sz w:val="18"/>
              </w:rPr>
              <w:t>33%</w:t>
            </w:r>
          </w:p>
        </w:tc>
        <w:tc>
          <w:tcPr>
            <w:tcW w:w="1063"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331" w:right="304"/>
              <w:rPr>
                <w:sz w:val="18"/>
              </w:rPr>
            </w:pPr>
            <w:r>
              <w:rPr>
                <w:sz w:val="18"/>
              </w:rPr>
              <w:t>3%</w:t>
            </w:r>
          </w:p>
        </w:tc>
        <w:tc>
          <w:tcPr>
            <w:tcW w:w="1063"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331" w:right="304"/>
              <w:rPr>
                <w:sz w:val="18"/>
              </w:rPr>
            </w:pPr>
            <w:r>
              <w:rPr>
                <w:sz w:val="18"/>
              </w:rPr>
              <w:t>3%</w:t>
            </w:r>
          </w:p>
        </w:tc>
        <w:tc>
          <w:tcPr>
            <w:tcW w:w="1063"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331" w:right="302"/>
              <w:rPr>
                <w:sz w:val="18"/>
              </w:rPr>
            </w:pPr>
            <w:r>
              <w:rPr>
                <w:sz w:val="18"/>
              </w:rPr>
              <w:t>3%</w:t>
            </w:r>
          </w:p>
        </w:tc>
        <w:tc>
          <w:tcPr>
            <w:tcW w:w="1059" w:type="dxa"/>
            <w:tcBorders>
              <w:top w:val="single" w:sz="6" w:space="0" w:color="D2D2D2"/>
              <w:left w:val="single" w:sz="6" w:space="0" w:color="D2D2D2"/>
              <w:right w:val="single" w:sz="6" w:space="0" w:color="D2D2D2"/>
            </w:tcBorders>
            <w:shd w:val="clear" w:color="auto" w:fill="EEECE1"/>
          </w:tcPr>
          <w:p>
            <w:pPr>
              <w:pStyle w:val="TableParagraph"/>
              <w:spacing w:line="194" w:lineRule="exact"/>
              <w:ind w:left="332" w:right="299"/>
              <w:rPr>
                <w:sz w:val="18"/>
              </w:rPr>
            </w:pPr>
            <w:r>
              <w:rPr>
                <w:sz w:val="18"/>
              </w:rPr>
              <w:t>3%</w:t>
            </w:r>
          </w:p>
        </w:tc>
        <w:tc>
          <w:tcPr>
            <w:tcW w:w="1152" w:type="dxa"/>
            <w:tcBorders>
              <w:top w:val="single" w:sz="6" w:space="0" w:color="D2D2D2"/>
              <w:left w:val="single" w:sz="6" w:space="0" w:color="D2D2D2"/>
              <w:right w:val="nil"/>
            </w:tcBorders>
            <w:shd w:val="clear" w:color="auto" w:fill="EEECE1"/>
          </w:tcPr>
          <w:p>
            <w:pPr>
              <w:pStyle w:val="TableParagraph"/>
              <w:spacing w:line="194" w:lineRule="exact"/>
              <w:ind w:left="94" w:right="70"/>
              <w:rPr>
                <w:sz w:val="18"/>
              </w:rPr>
            </w:pPr>
            <w:r>
              <w:rPr>
                <w:sz w:val="18"/>
              </w:rPr>
              <w:t>26%</w:t>
            </w:r>
          </w:p>
        </w:tc>
      </w:tr>
    </w:tbl>
    <w:p>
      <w:pPr>
        <w:pStyle w:val="BodyText"/>
        <w:spacing w:line="271" w:lineRule="auto" w:before="149"/>
        <w:ind w:left="860" w:right="619"/>
        <w:jc w:val="both"/>
      </w:pPr>
      <w:r>
        <w:rPr/>
        <w:t>Under the Pillar One solution, Jurisdictions 1, 2, 3, 4 and 5 would all (as eligible market jurisdictions where nexus is established) be allocated Amount A. Jurisdictions 2, 3, 4 and 5 would also continue to be allocated profit under the existing ALP-based profit allocation rules The results of these allocations are shown in the table below.</w:t>
      </w:r>
    </w:p>
    <w:p>
      <w:pPr>
        <w:pStyle w:val="BodyText"/>
        <w:spacing w:line="271" w:lineRule="auto" w:before="119"/>
        <w:ind w:left="860" w:right="625"/>
        <w:jc w:val="both"/>
      </w:pPr>
      <w:r>
        <w:rPr/>
        <w:t>Prior to the elimination of double taxation, the full Amount A profit allocated to Jurisdiction 1 could be said</w:t>
      </w:r>
      <w:r>
        <w:rPr>
          <w:spacing w:val="-13"/>
        </w:rPr>
        <w:t> </w:t>
      </w:r>
      <w:r>
        <w:rPr/>
        <w:t>to</w:t>
      </w:r>
      <w:r>
        <w:rPr>
          <w:spacing w:val="-12"/>
        </w:rPr>
        <w:t> </w:t>
      </w:r>
      <w:r>
        <w:rPr/>
        <w:t>give</w:t>
      </w:r>
      <w:r>
        <w:rPr>
          <w:spacing w:val="-12"/>
        </w:rPr>
        <w:t> </w:t>
      </w:r>
      <w:r>
        <w:rPr/>
        <w:t>rise</w:t>
      </w:r>
      <w:r>
        <w:rPr>
          <w:spacing w:val="-12"/>
        </w:rPr>
        <w:t> </w:t>
      </w:r>
      <w:r>
        <w:rPr/>
        <w:t>to</w:t>
      </w:r>
      <w:r>
        <w:rPr>
          <w:spacing w:val="-9"/>
        </w:rPr>
        <w:t> </w:t>
      </w:r>
      <w:r>
        <w:rPr/>
        <w:t>double</w:t>
      </w:r>
      <w:r>
        <w:rPr>
          <w:spacing w:val="-12"/>
        </w:rPr>
        <w:t> </w:t>
      </w:r>
      <w:r>
        <w:rPr/>
        <w:t>counting</w:t>
      </w:r>
      <w:r>
        <w:rPr>
          <w:spacing w:val="-10"/>
        </w:rPr>
        <w:t> </w:t>
      </w:r>
      <w:r>
        <w:rPr/>
        <w:t>because</w:t>
      </w:r>
      <w:r>
        <w:rPr>
          <w:spacing w:val="-12"/>
        </w:rPr>
        <w:t> </w:t>
      </w:r>
      <w:r>
        <w:rPr/>
        <w:t>this</w:t>
      </w:r>
      <w:r>
        <w:rPr>
          <w:spacing w:val="-10"/>
        </w:rPr>
        <w:t> </w:t>
      </w:r>
      <w:r>
        <w:rPr/>
        <w:t>market</w:t>
      </w:r>
      <w:r>
        <w:rPr>
          <w:spacing w:val="-12"/>
        </w:rPr>
        <w:t> </w:t>
      </w:r>
      <w:r>
        <w:rPr/>
        <w:t>jurisdiction</w:t>
      </w:r>
      <w:r>
        <w:rPr>
          <w:spacing w:val="-11"/>
        </w:rPr>
        <w:t> </w:t>
      </w:r>
      <w:r>
        <w:rPr/>
        <w:t>already</w:t>
      </w:r>
      <w:r>
        <w:rPr>
          <w:spacing w:val="-12"/>
        </w:rPr>
        <w:t> </w:t>
      </w:r>
      <w:r>
        <w:rPr/>
        <w:t>exercised</w:t>
      </w:r>
      <w:r>
        <w:rPr>
          <w:spacing w:val="-12"/>
        </w:rPr>
        <w:t> </w:t>
      </w:r>
      <w:r>
        <w:rPr/>
        <w:t>taxing</w:t>
      </w:r>
      <w:r>
        <w:rPr>
          <w:spacing w:val="-10"/>
        </w:rPr>
        <w:t> </w:t>
      </w:r>
      <w:r>
        <w:rPr/>
        <w:t>rights</w:t>
      </w:r>
      <w:r>
        <w:rPr>
          <w:spacing w:val="-11"/>
        </w:rPr>
        <w:t> </w:t>
      </w:r>
      <w:r>
        <w:rPr/>
        <w:t>over material residual profit under existing ALP-based profit allocation rules, i.e. profit amounting to EUR 5,000</w:t>
      </w:r>
      <w:r>
        <w:rPr>
          <w:spacing w:val="-7"/>
        </w:rPr>
        <w:t> </w:t>
      </w:r>
      <w:r>
        <w:rPr/>
        <w:t>million,</w:t>
      </w:r>
      <w:r>
        <w:rPr>
          <w:spacing w:val="-7"/>
        </w:rPr>
        <w:t> </w:t>
      </w:r>
      <w:r>
        <w:rPr/>
        <w:t>that</w:t>
      </w:r>
      <w:r>
        <w:rPr>
          <w:spacing w:val="-7"/>
        </w:rPr>
        <w:t> </w:t>
      </w:r>
      <w:r>
        <w:rPr/>
        <w:t>is,</w:t>
      </w:r>
      <w:r>
        <w:rPr>
          <w:spacing w:val="-5"/>
        </w:rPr>
        <w:t> </w:t>
      </w:r>
      <w:r>
        <w:rPr/>
        <w:t>a</w:t>
      </w:r>
      <w:r>
        <w:rPr>
          <w:spacing w:val="-7"/>
        </w:rPr>
        <w:t> </w:t>
      </w:r>
      <w:r>
        <w:rPr/>
        <w:t>profit</w:t>
      </w:r>
      <w:r>
        <w:rPr>
          <w:spacing w:val="-9"/>
        </w:rPr>
        <w:t> </w:t>
      </w:r>
      <w:r>
        <w:rPr/>
        <w:t>margin</w:t>
      </w:r>
      <w:r>
        <w:rPr>
          <w:spacing w:val="-6"/>
        </w:rPr>
        <w:t> </w:t>
      </w:r>
      <w:r>
        <w:rPr/>
        <w:t>on</w:t>
      </w:r>
      <w:r>
        <w:rPr>
          <w:spacing w:val="-7"/>
        </w:rPr>
        <w:t> </w:t>
      </w:r>
      <w:r>
        <w:rPr/>
        <w:t>total</w:t>
      </w:r>
      <w:r>
        <w:rPr>
          <w:spacing w:val="-7"/>
        </w:rPr>
        <w:t> </w:t>
      </w:r>
      <w:r>
        <w:rPr/>
        <w:t>sales</w:t>
      </w:r>
      <w:r>
        <w:rPr>
          <w:spacing w:val="-5"/>
        </w:rPr>
        <w:t> </w:t>
      </w:r>
      <w:r>
        <w:rPr/>
        <w:t>of</w:t>
      </w:r>
      <w:r>
        <w:rPr>
          <w:spacing w:val="-5"/>
        </w:rPr>
        <w:t> </w:t>
      </w:r>
      <w:r>
        <w:rPr/>
        <w:t>33%</w:t>
      </w:r>
      <w:r>
        <w:rPr>
          <w:spacing w:val="-6"/>
        </w:rPr>
        <w:t> </w:t>
      </w:r>
      <w:r>
        <w:rPr/>
        <w:t>exceeding</w:t>
      </w:r>
      <w:r>
        <w:rPr>
          <w:spacing w:val="-7"/>
        </w:rPr>
        <w:t> </w:t>
      </w:r>
      <w:r>
        <w:rPr/>
        <w:t>the</w:t>
      </w:r>
      <w:r>
        <w:rPr>
          <w:spacing w:val="-6"/>
        </w:rPr>
        <w:t> </w:t>
      </w:r>
      <w:r>
        <w:rPr/>
        <w:t>average</w:t>
      </w:r>
      <w:r>
        <w:rPr>
          <w:spacing w:val="-7"/>
        </w:rPr>
        <w:t> </w:t>
      </w:r>
      <w:r>
        <w:rPr/>
        <w:t>return</w:t>
      </w:r>
      <w:r>
        <w:rPr>
          <w:spacing w:val="-7"/>
        </w:rPr>
        <w:t> </w:t>
      </w:r>
      <w:r>
        <w:rPr/>
        <w:t>on</w:t>
      </w:r>
      <w:r>
        <w:rPr>
          <w:spacing w:val="-7"/>
        </w:rPr>
        <w:t> </w:t>
      </w:r>
      <w:r>
        <w:rPr/>
        <w:t>sales</w:t>
      </w:r>
      <w:r>
        <w:rPr>
          <w:spacing w:val="-5"/>
        </w:rPr>
        <w:t> </w:t>
      </w:r>
      <w:r>
        <w:rPr/>
        <w:t>of</w:t>
      </w:r>
      <w:r>
        <w:rPr>
          <w:spacing w:val="-5"/>
        </w:rPr>
        <w:t> </w:t>
      </w:r>
      <w:r>
        <w:rPr/>
        <w:t>the MNE group</w:t>
      </w:r>
      <w:r>
        <w:rPr>
          <w:spacing w:val="-2"/>
        </w:rPr>
        <w:t> </w:t>
      </w:r>
      <w:r>
        <w:rPr/>
        <w:t>(26%).</w:t>
      </w:r>
    </w:p>
    <w:p>
      <w:pPr>
        <w:pStyle w:val="BodyText"/>
        <w:spacing w:before="2"/>
        <w:rPr>
          <w:sz w:val="8"/>
        </w:rPr>
      </w:pPr>
    </w:p>
    <w:tbl>
      <w:tblPr>
        <w:tblW w:w="0" w:type="auto"/>
        <w:jc w:val="left"/>
        <w:tblInd w:w="1218"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742"/>
        <w:gridCol w:w="1090"/>
        <w:gridCol w:w="1089"/>
        <w:gridCol w:w="1089"/>
        <w:gridCol w:w="1089"/>
        <w:gridCol w:w="1090"/>
        <w:gridCol w:w="1092"/>
      </w:tblGrid>
      <w:tr>
        <w:trPr>
          <w:trHeight w:val="458" w:hRule="atLeast"/>
        </w:trPr>
        <w:tc>
          <w:tcPr>
            <w:tcW w:w="1742" w:type="dxa"/>
            <w:tcBorders>
              <w:left w:val="nil"/>
              <w:bottom w:val="single" w:sz="6" w:space="0" w:color="4E81BD"/>
              <w:right w:val="single" w:sz="6" w:space="0" w:color="D2D2D2"/>
            </w:tcBorders>
            <w:shd w:val="clear" w:color="auto" w:fill="EEECE1"/>
          </w:tcPr>
          <w:p>
            <w:pPr>
              <w:pStyle w:val="TableParagraph"/>
              <w:spacing w:before="136"/>
              <w:ind w:left="119" w:right="73"/>
              <w:rPr>
                <w:b/>
                <w:sz w:val="18"/>
              </w:rPr>
            </w:pPr>
            <w:r>
              <w:rPr>
                <w:b/>
                <w:sz w:val="18"/>
              </w:rPr>
              <w:t>in EUR million</w:t>
            </w:r>
          </w:p>
        </w:tc>
        <w:tc>
          <w:tcPr>
            <w:tcW w:w="1090"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11" w:right="87" w:hanging="380"/>
              <w:jc w:val="left"/>
              <w:rPr>
                <w:b/>
                <w:sz w:val="18"/>
              </w:rPr>
            </w:pPr>
            <w:r>
              <w:rPr>
                <w:b/>
                <w:sz w:val="18"/>
              </w:rPr>
              <w:t>Jurisdiction 1</w:t>
            </w:r>
          </w:p>
        </w:tc>
        <w:tc>
          <w:tcPr>
            <w:tcW w:w="1089"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11" w:right="86" w:hanging="380"/>
              <w:jc w:val="left"/>
              <w:rPr>
                <w:b/>
                <w:sz w:val="18"/>
              </w:rPr>
            </w:pPr>
            <w:r>
              <w:rPr>
                <w:b/>
                <w:sz w:val="18"/>
              </w:rPr>
              <w:t>Jurisdiction 2</w:t>
            </w:r>
          </w:p>
        </w:tc>
        <w:tc>
          <w:tcPr>
            <w:tcW w:w="1089"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12" w:right="85" w:hanging="380"/>
              <w:jc w:val="left"/>
              <w:rPr>
                <w:b/>
                <w:sz w:val="18"/>
              </w:rPr>
            </w:pPr>
            <w:r>
              <w:rPr>
                <w:b/>
                <w:sz w:val="18"/>
              </w:rPr>
              <w:t>Jurisdiction 3</w:t>
            </w:r>
          </w:p>
        </w:tc>
        <w:tc>
          <w:tcPr>
            <w:tcW w:w="1089"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13" w:right="84" w:hanging="380"/>
              <w:jc w:val="left"/>
              <w:rPr>
                <w:b/>
                <w:sz w:val="18"/>
              </w:rPr>
            </w:pPr>
            <w:r>
              <w:rPr>
                <w:b/>
                <w:sz w:val="18"/>
              </w:rPr>
              <w:t>Jurisdiction 4</w:t>
            </w:r>
          </w:p>
        </w:tc>
        <w:tc>
          <w:tcPr>
            <w:tcW w:w="1090"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13" w:right="85" w:hanging="380"/>
              <w:jc w:val="left"/>
              <w:rPr>
                <w:b/>
                <w:sz w:val="18"/>
              </w:rPr>
            </w:pPr>
            <w:r>
              <w:rPr>
                <w:b/>
                <w:sz w:val="18"/>
              </w:rPr>
              <w:t>Jurisdiction 5</w:t>
            </w:r>
          </w:p>
        </w:tc>
        <w:tc>
          <w:tcPr>
            <w:tcW w:w="1092" w:type="dxa"/>
            <w:tcBorders>
              <w:left w:val="single" w:sz="6" w:space="0" w:color="D2D2D2"/>
              <w:bottom w:val="single" w:sz="6" w:space="0" w:color="4E81BD"/>
              <w:right w:val="nil"/>
            </w:tcBorders>
            <w:shd w:val="clear" w:color="auto" w:fill="EEECE1"/>
          </w:tcPr>
          <w:p>
            <w:pPr>
              <w:pStyle w:val="TableParagraph"/>
              <w:spacing w:before="26"/>
              <w:ind w:left="379"/>
              <w:jc w:val="left"/>
              <w:rPr>
                <w:b/>
                <w:sz w:val="18"/>
              </w:rPr>
            </w:pPr>
            <w:r>
              <w:rPr>
                <w:b/>
                <w:sz w:val="18"/>
              </w:rPr>
              <w:t>Total</w:t>
            </w:r>
          </w:p>
        </w:tc>
      </w:tr>
      <w:tr>
        <w:trPr>
          <w:trHeight w:val="240" w:hRule="atLeast"/>
        </w:trPr>
        <w:tc>
          <w:tcPr>
            <w:tcW w:w="1742" w:type="dxa"/>
            <w:tcBorders>
              <w:top w:val="single" w:sz="6" w:space="0" w:color="4E81BD"/>
              <w:left w:val="nil"/>
              <w:bottom w:val="single" w:sz="6" w:space="0" w:color="D2D2D2"/>
              <w:right w:val="single" w:sz="6" w:space="0" w:color="D2D2D2"/>
            </w:tcBorders>
            <w:shd w:val="clear" w:color="auto" w:fill="EEECE1"/>
          </w:tcPr>
          <w:p>
            <w:pPr>
              <w:pStyle w:val="TableParagraph"/>
              <w:spacing w:line="192" w:lineRule="exact"/>
              <w:ind w:left="120" w:right="69"/>
              <w:rPr>
                <w:b/>
                <w:sz w:val="18"/>
              </w:rPr>
            </w:pPr>
            <w:r>
              <w:rPr>
                <w:b/>
                <w:sz w:val="18"/>
              </w:rPr>
              <w:t>Amount A</w:t>
            </w:r>
          </w:p>
        </w:tc>
        <w:tc>
          <w:tcPr>
            <w:tcW w:w="1090"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43" w:right="318"/>
              <w:rPr>
                <w:sz w:val="18"/>
              </w:rPr>
            </w:pPr>
            <w:r>
              <w:rPr>
                <w:sz w:val="18"/>
              </w:rPr>
              <w:t>313</w:t>
            </w:r>
          </w:p>
        </w:tc>
        <w:tc>
          <w:tcPr>
            <w:tcW w:w="1089"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right="438"/>
              <w:jc w:val="right"/>
              <w:rPr>
                <w:sz w:val="18"/>
              </w:rPr>
            </w:pPr>
            <w:r>
              <w:rPr>
                <w:sz w:val="18"/>
              </w:rPr>
              <w:t>63</w:t>
            </w:r>
          </w:p>
        </w:tc>
        <w:tc>
          <w:tcPr>
            <w:tcW w:w="1089"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03" w:right="377"/>
              <w:rPr>
                <w:sz w:val="18"/>
              </w:rPr>
            </w:pPr>
            <w:r>
              <w:rPr>
                <w:sz w:val="18"/>
              </w:rPr>
              <w:t>125</w:t>
            </w:r>
          </w:p>
        </w:tc>
        <w:tc>
          <w:tcPr>
            <w:tcW w:w="1089"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05" w:right="377"/>
              <w:rPr>
                <w:sz w:val="18"/>
              </w:rPr>
            </w:pPr>
            <w:r>
              <w:rPr>
                <w:sz w:val="18"/>
              </w:rPr>
              <w:t>110</w:t>
            </w:r>
          </w:p>
        </w:tc>
        <w:tc>
          <w:tcPr>
            <w:tcW w:w="1090"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46" w:right="313"/>
              <w:rPr>
                <w:sz w:val="18"/>
              </w:rPr>
            </w:pPr>
            <w:r>
              <w:rPr>
                <w:sz w:val="18"/>
              </w:rPr>
              <w:t>39</w:t>
            </w:r>
          </w:p>
        </w:tc>
        <w:tc>
          <w:tcPr>
            <w:tcW w:w="1092" w:type="dxa"/>
            <w:tcBorders>
              <w:top w:val="single" w:sz="6" w:space="0" w:color="4E81BD"/>
              <w:left w:val="single" w:sz="6" w:space="0" w:color="D2D2D2"/>
              <w:bottom w:val="single" w:sz="6" w:space="0" w:color="D2D2D2"/>
              <w:right w:val="nil"/>
            </w:tcBorders>
            <w:shd w:val="clear" w:color="auto" w:fill="EEECE1"/>
          </w:tcPr>
          <w:p>
            <w:pPr>
              <w:pStyle w:val="TableParagraph"/>
              <w:spacing w:line="192" w:lineRule="exact"/>
              <w:ind w:left="434"/>
              <w:jc w:val="left"/>
              <w:rPr>
                <w:sz w:val="18"/>
              </w:rPr>
            </w:pPr>
            <w:r>
              <w:rPr>
                <w:sz w:val="18"/>
              </w:rPr>
              <w:t>650</w:t>
            </w:r>
          </w:p>
        </w:tc>
      </w:tr>
      <w:tr>
        <w:trPr>
          <w:trHeight w:val="239" w:hRule="atLeast"/>
        </w:trPr>
        <w:tc>
          <w:tcPr>
            <w:tcW w:w="1742"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120" w:right="73"/>
              <w:rPr>
                <w:b/>
                <w:sz w:val="18"/>
              </w:rPr>
            </w:pPr>
            <w:r>
              <w:rPr>
                <w:b/>
                <w:sz w:val="18"/>
              </w:rPr>
              <w:t>ALP-based allocation</w:t>
            </w:r>
          </w:p>
        </w:tc>
        <w:tc>
          <w:tcPr>
            <w:tcW w:w="1090"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46" w:right="318"/>
              <w:rPr>
                <w:sz w:val="18"/>
              </w:rPr>
            </w:pPr>
            <w:r>
              <w:rPr>
                <w:sz w:val="18"/>
              </w:rPr>
              <w:t>5,000</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right="438"/>
              <w:jc w:val="right"/>
              <w:rPr>
                <w:sz w:val="18"/>
              </w:rPr>
            </w:pPr>
            <w:r>
              <w:rPr>
                <w:sz w:val="18"/>
              </w:rPr>
              <w:t>60</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403" w:right="377"/>
              <w:rPr>
                <w:sz w:val="18"/>
              </w:rPr>
            </w:pPr>
            <w:r>
              <w:rPr>
                <w:sz w:val="18"/>
              </w:rPr>
              <w:t>120</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405" w:right="377"/>
              <w:rPr>
                <w:sz w:val="18"/>
              </w:rPr>
            </w:pPr>
            <w:r>
              <w:rPr>
                <w:sz w:val="18"/>
              </w:rPr>
              <w:t>105</w:t>
            </w:r>
          </w:p>
        </w:tc>
        <w:tc>
          <w:tcPr>
            <w:tcW w:w="1090"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46" w:right="313"/>
              <w:rPr>
                <w:sz w:val="18"/>
              </w:rPr>
            </w:pPr>
            <w:r>
              <w:rPr>
                <w:sz w:val="18"/>
              </w:rPr>
              <w:t>38</w:t>
            </w:r>
          </w:p>
        </w:tc>
        <w:tc>
          <w:tcPr>
            <w:tcW w:w="1092"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ind w:left="372"/>
              <w:jc w:val="left"/>
              <w:rPr>
                <w:sz w:val="18"/>
              </w:rPr>
            </w:pPr>
            <w:r>
              <w:rPr>
                <w:sz w:val="18"/>
              </w:rPr>
              <w:t>5,323</w:t>
            </w:r>
          </w:p>
        </w:tc>
      </w:tr>
      <w:tr>
        <w:trPr>
          <w:trHeight w:val="241" w:hRule="atLeast"/>
        </w:trPr>
        <w:tc>
          <w:tcPr>
            <w:tcW w:w="1742"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before="30"/>
              <w:ind w:left="118" w:right="73"/>
              <w:rPr>
                <w:b/>
                <w:sz w:val="18"/>
              </w:rPr>
            </w:pPr>
            <w:r>
              <w:rPr>
                <w:b/>
                <w:sz w:val="18"/>
              </w:rPr>
              <w:t>Total taxable profit *</w:t>
            </w:r>
          </w:p>
        </w:tc>
        <w:tc>
          <w:tcPr>
            <w:tcW w:w="1090"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46" w:right="318"/>
              <w:rPr>
                <w:sz w:val="18"/>
              </w:rPr>
            </w:pPr>
            <w:r>
              <w:rPr>
                <w:sz w:val="18"/>
              </w:rPr>
              <w:t>5,313</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right="397"/>
              <w:jc w:val="right"/>
              <w:rPr>
                <w:sz w:val="18"/>
              </w:rPr>
            </w:pPr>
            <w:r>
              <w:rPr>
                <w:sz w:val="18"/>
              </w:rPr>
              <w:t>123</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06" w:right="375"/>
              <w:rPr>
                <w:sz w:val="18"/>
              </w:rPr>
            </w:pPr>
            <w:r>
              <w:rPr>
                <w:sz w:val="18"/>
              </w:rPr>
              <w:t>245</w:t>
            </w:r>
          </w:p>
        </w:tc>
        <w:tc>
          <w:tcPr>
            <w:tcW w:w="108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06" w:right="373"/>
              <w:rPr>
                <w:sz w:val="18"/>
              </w:rPr>
            </w:pPr>
            <w:r>
              <w:rPr>
                <w:sz w:val="18"/>
              </w:rPr>
              <w:t>215</w:t>
            </w:r>
          </w:p>
        </w:tc>
        <w:tc>
          <w:tcPr>
            <w:tcW w:w="1090"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46" w:right="313"/>
              <w:rPr>
                <w:sz w:val="18"/>
              </w:rPr>
            </w:pPr>
            <w:r>
              <w:rPr>
                <w:sz w:val="18"/>
              </w:rPr>
              <w:t>77</w:t>
            </w:r>
          </w:p>
        </w:tc>
        <w:tc>
          <w:tcPr>
            <w:tcW w:w="1092"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before="30"/>
              <w:ind w:left="372"/>
              <w:jc w:val="left"/>
              <w:rPr>
                <w:sz w:val="18"/>
              </w:rPr>
            </w:pPr>
            <w:r>
              <w:rPr>
                <w:sz w:val="18"/>
              </w:rPr>
              <w:t>5,972</w:t>
            </w:r>
          </w:p>
        </w:tc>
      </w:tr>
      <w:tr>
        <w:trPr>
          <w:trHeight w:val="459" w:hRule="atLeast"/>
        </w:trPr>
        <w:tc>
          <w:tcPr>
            <w:tcW w:w="1742" w:type="dxa"/>
            <w:tcBorders>
              <w:top w:val="single" w:sz="6" w:space="0" w:color="D2D2D2"/>
              <w:left w:val="nil"/>
              <w:right w:val="single" w:sz="6" w:space="0" w:color="D2D2D2"/>
            </w:tcBorders>
            <w:shd w:val="clear" w:color="auto" w:fill="EEECE1"/>
          </w:tcPr>
          <w:p>
            <w:pPr>
              <w:pStyle w:val="TableParagraph"/>
              <w:spacing w:line="220" w:lineRule="atLeast" w:before="14"/>
              <w:ind w:left="580" w:right="250" w:hanging="264"/>
              <w:jc w:val="left"/>
              <w:rPr>
                <w:b/>
                <w:sz w:val="18"/>
              </w:rPr>
            </w:pPr>
            <w:r>
              <w:rPr>
                <w:b/>
                <w:sz w:val="18"/>
              </w:rPr>
              <w:t>Potential double counting</w:t>
            </w:r>
          </w:p>
        </w:tc>
        <w:tc>
          <w:tcPr>
            <w:tcW w:w="1090" w:type="dxa"/>
            <w:tcBorders>
              <w:top w:val="single" w:sz="6" w:space="0" w:color="D2D2D2"/>
              <w:left w:val="single" w:sz="6" w:space="0" w:color="D2D2D2"/>
              <w:right w:val="single" w:sz="6" w:space="0" w:color="D2D2D2"/>
            </w:tcBorders>
            <w:shd w:val="clear" w:color="auto" w:fill="EEECE1"/>
          </w:tcPr>
          <w:p>
            <w:pPr>
              <w:pStyle w:val="TableParagraph"/>
              <w:spacing w:before="138"/>
              <w:ind w:left="343" w:right="318"/>
              <w:rPr>
                <w:sz w:val="18"/>
              </w:rPr>
            </w:pPr>
            <w:r>
              <w:rPr>
                <w:sz w:val="18"/>
              </w:rPr>
              <w:t>313</w:t>
            </w:r>
          </w:p>
        </w:tc>
        <w:tc>
          <w:tcPr>
            <w:tcW w:w="1089" w:type="dxa"/>
            <w:tcBorders>
              <w:top w:val="single" w:sz="6" w:space="0" w:color="D2D2D2"/>
              <w:left w:val="single" w:sz="6" w:space="0" w:color="D2D2D2"/>
              <w:right w:val="single" w:sz="6" w:space="0" w:color="D2D2D2"/>
            </w:tcBorders>
            <w:shd w:val="clear" w:color="auto" w:fill="EEECE1"/>
          </w:tcPr>
          <w:p>
            <w:pPr>
              <w:pStyle w:val="TableParagraph"/>
              <w:spacing w:before="138"/>
              <w:ind w:left="30"/>
              <w:rPr>
                <w:sz w:val="18"/>
              </w:rPr>
            </w:pPr>
            <w:r>
              <w:rPr>
                <w:sz w:val="18"/>
              </w:rPr>
              <w:t>0</w:t>
            </w:r>
          </w:p>
        </w:tc>
        <w:tc>
          <w:tcPr>
            <w:tcW w:w="1089" w:type="dxa"/>
            <w:tcBorders>
              <w:top w:val="single" w:sz="6" w:space="0" w:color="D2D2D2"/>
              <w:left w:val="single" w:sz="6" w:space="0" w:color="D2D2D2"/>
              <w:right w:val="single" w:sz="6" w:space="0" w:color="D2D2D2"/>
            </w:tcBorders>
            <w:shd w:val="clear" w:color="auto" w:fill="EEECE1"/>
          </w:tcPr>
          <w:p>
            <w:pPr>
              <w:pStyle w:val="TableParagraph"/>
              <w:spacing w:before="138"/>
              <w:ind w:left="32"/>
              <w:rPr>
                <w:sz w:val="18"/>
              </w:rPr>
            </w:pPr>
            <w:r>
              <w:rPr>
                <w:sz w:val="18"/>
              </w:rPr>
              <w:t>0</w:t>
            </w:r>
          </w:p>
        </w:tc>
        <w:tc>
          <w:tcPr>
            <w:tcW w:w="1089" w:type="dxa"/>
            <w:tcBorders>
              <w:top w:val="single" w:sz="6" w:space="0" w:color="D2D2D2"/>
              <w:left w:val="single" w:sz="6" w:space="0" w:color="D2D2D2"/>
              <w:right w:val="single" w:sz="6" w:space="0" w:color="D2D2D2"/>
            </w:tcBorders>
            <w:shd w:val="clear" w:color="auto" w:fill="EEECE1"/>
          </w:tcPr>
          <w:p>
            <w:pPr>
              <w:pStyle w:val="TableParagraph"/>
              <w:spacing w:before="138"/>
              <w:ind w:left="34"/>
              <w:rPr>
                <w:sz w:val="18"/>
              </w:rPr>
            </w:pPr>
            <w:r>
              <w:rPr>
                <w:sz w:val="18"/>
              </w:rPr>
              <w:t>0</w:t>
            </w:r>
          </w:p>
        </w:tc>
        <w:tc>
          <w:tcPr>
            <w:tcW w:w="1090" w:type="dxa"/>
            <w:tcBorders>
              <w:top w:val="single" w:sz="6" w:space="0" w:color="D2D2D2"/>
              <w:left w:val="single" w:sz="6" w:space="0" w:color="D2D2D2"/>
              <w:right w:val="single" w:sz="6" w:space="0" w:color="D2D2D2"/>
            </w:tcBorders>
            <w:shd w:val="clear" w:color="auto" w:fill="EEECE1"/>
          </w:tcPr>
          <w:p>
            <w:pPr>
              <w:pStyle w:val="TableParagraph"/>
              <w:spacing w:before="138"/>
              <w:ind w:left="34"/>
              <w:rPr>
                <w:sz w:val="18"/>
              </w:rPr>
            </w:pPr>
            <w:r>
              <w:rPr>
                <w:sz w:val="18"/>
              </w:rPr>
              <w:t>0</w:t>
            </w:r>
          </w:p>
        </w:tc>
        <w:tc>
          <w:tcPr>
            <w:tcW w:w="1092" w:type="dxa"/>
            <w:tcBorders>
              <w:top w:val="single" w:sz="6" w:space="0" w:color="D2D2D2"/>
              <w:left w:val="single" w:sz="6" w:space="0" w:color="D2D2D2"/>
              <w:right w:val="nil"/>
            </w:tcBorders>
            <w:shd w:val="clear" w:color="auto" w:fill="EEECE1"/>
          </w:tcPr>
          <w:p>
            <w:pPr>
              <w:pStyle w:val="TableParagraph"/>
              <w:spacing w:before="138"/>
              <w:ind w:left="432"/>
              <w:jc w:val="left"/>
              <w:rPr>
                <w:sz w:val="18"/>
              </w:rPr>
            </w:pPr>
            <w:r>
              <w:rPr>
                <w:sz w:val="18"/>
              </w:rPr>
              <w:t>313</w:t>
            </w:r>
          </w:p>
        </w:tc>
      </w:tr>
    </w:tbl>
    <w:p>
      <w:pPr>
        <w:spacing w:before="155"/>
        <w:ind w:left="860" w:right="0" w:firstLine="0"/>
        <w:jc w:val="both"/>
        <w:rPr>
          <w:sz w:val="13"/>
        </w:rPr>
      </w:pPr>
      <w:r>
        <w:rPr>
          <w:sz w:val="13"/>
        </w:rPr>
        <w:t>* The total taxable profits exceed the taxable profits of Group A, as the double taxation arising from Amount A has not yet been eliminated.</w:t>
      </w:r>
    </w:p>
    <w:p>
      <w:pPr>
        <w:spacing w:after="0"/>
        <w:jc w:val="both"/>
        <w:rPr>
          <w:sz w:val="13"/>
        </w:rPr>
        <w:sectPr>
          <w:pgSz w:w="11910" w:h="16840"/>
          <w:pgMar w:header="1244" w:footer="1638" w:top="1500" w:bottom="1820" w:left="580" w:right="820"/>
        </w:sectPr>
      </w:pPr>
    </w:p>
    <w:p>
      <w:pPr>
        <w:pStyle w:val="BodyText"/>
      </w:pPr>
      <w:r>
        <w:rPr/>
        <w:pict>
          <v:group style="position:absolute;margin-left:64.704002pt;margin-top:90.739967pt;width:466.05pt;height:291.4pt;mso-position-horizontal-relative:page;mso-position-vertical-relative:page;z-index:-19491840" coordorigin="1294,1815" coordsize="9321,5828">
            <v:rect style="position:absolute;left:1303;top:1824;width:9302;height:5806" filled="true" fillcolor="#eeece1" stroked="false">
              <v:fill type="solid"/>
            </v:rect>
            <v:shape style="position:absolute;left:1294;top:1814;width:9321;height:5828" coordorigin="1294,1815" coordsize="9321,5828" path="m10605,7633l1304,7633,1304,1825,1294,1825,1294,7633,1294,7643,1304,7643,1304,7643,10605,7643,10605,7633xm10605,1815l1304,1815,1304,1815,1294,1815,1294,1824,1304,1824,1304,1824,10605,1824,10605,1815xm10615,1825l10605,1825,10605,7633,10605,7643,10615,7643,10615,7633,10615,1825xm10615,1815l10605,1815,10605,1824,10615,1824,10615,1815xe" filled="true" fillcolor="#4e81bd" stroked="false">
              <v:path arrowok="t"/>
              <v:fill type="solid"/>
            </v:shape>
            <v:shape style="position:absolute;left:1440;top:1860;width:9042;height:1644" type="#_x0000_t202" filled="false" stroked="false">
              <v:textbox inset="0,0,0,0">
                <w:txbxContent>
                  <w:p>
                    <w:pPr>
                      <w:spacing w:line="271" w:lineRule="auto" w:before="0"/>
                      <w:ind w:left="0" w:right="18" w:firstLine="0"/>
                      <w:jc w:val="both"/>
                      <w:rPr>
                        <w:sz w:val="20"/>
                      </w:rPr>
                    </w:pPr>
                    <w:r>
                      <w:rPr>
                        <w:sz w:val="20"/>
                      </w:rPr>
                      <w:t>Under the proposed mechanism to eliminate double taxation, the Principal would be identified as the paying entity</w:t>
                    </w:r>
                    <w:r>
                      <w:rPr>
                        <w:position w:val="6"/>
                        <w:sz w:val="13"/>
                      </w:rPr>
                      <w:t>168 </w:t>
                    </w:r>
                    <w:r>
                      <w:rPr>
                        <w:sz w:val="20"/>
                      </w:rPr>
                      <w:t>and hence Jurisdiction 1 would be required to provide double tax relief (through the exemption or credit method) for the EUR 650 million in profits reallocated under Amount A.</w:t>
                    </w:r>
                  </w:p>
                  <w:p>
                    <w:pPr>
                      <w:spacing w:line="271" w:lineRule="auto" w:before="113"/>
                      <w:ind w:left="0" w:right="18" w:firstLine="0"/>
                      <w:jc w:val="both"/>
                      <w:rPr>
                        <w:sz w:val="20"/>
                      </w:rPr>
                    </w:pPr>
                    <w:r>
                      <w:rPr>
                        <w:sz w:val="20"/>
                      </w:rPr>
                      <w:t>In</w:t>
                    </w:r>
                    <w:r>
                      <w:rPr>
                        <w:spacing w:val="-7"/>
                        <w:sz w:val="20"/>
                      </w:rPr>
                      <w:t> </w:t>
                    </w:r>
                    <w:r>
                      <w:rPr>
                        <w:sz w:val="20"/>
                      </w:rPr>
                      <w:t>this</w:t>
                    </w:r>
                    <w:r>
                      <w:rPr>
                        <w:spacing w:val="-5"/>
                        <w:sz w:val="20"/>
                      </w:rPr>
                      <w:t> </w:t>
                    </w:r>
                    <w:r>
                      <w:rPr>
                        <w:sz w:val="20"/>
                      </w:rPr>
                      <w:t>example,</w:t>
                    </w:r>
                    <w:r>
                      <w:rPr>
                        <w:spacing w:val="-6"/>
                        <w:sz w:val="20"/>
                      </w:rPr>
                      <w:t> </w:t>
                    </w:r>
                    <w:r>
                      <w:rPr>
                        <w:sz w:val="20"/>
                      </w:rPr>
                      <w:t>the</w:t>
                    </w:r>
                    <w:r>
                      <w:rPr>
                        <w:spacing w:val="-7"/>
                        <w:sz w:val="20"/>
                      </w:rPr>
                      <w:t> </w:t>
                    </w:r>
                    <w:r>
                      <w:rPr>
                        <w:sz w:val="20"/>
                      </w:rPr>
                      <w:t>mechanism</w:t>
                    </w:r>
                    <w:r>
                      <w:rPr>
                        <w:spacing w:val="-1"/>
                        <w:sz w:val="20"/>
                      </w:rPr>
                      <w:t> </w:t>
                    </w:r>
                    <w:r>
                      <w:rPr>
                        <w:sz w:val="20"/>
                      </w:rPr>
                      <w:t>to</w:t>
                    </w:r>
                    <w:r>
                      <w:rPr>
                        <w:spacing w:val="-7"/>
                        <w:sz w:val="20"/>
                      </w:rPr>
                      <w:t> </w:t>
                    </w:r>
                    <w:r>
                      <w:rPr>
                        <w:sz w:val="20"/>
                      </w:rPr>
                      <w:t>eliminate</w:t>
                    </w:r>
                    <w:r>
                      <w:rPr>
                        <w:spacing w:val="-3"/>
                        <w:sz w:val="20"/>
                      </w:rPr>
                      <w:t> </w:t>
                    </w:r>
                    <w:r>
                      <w:rPr>
                        <w:sz w:val="20"/>
                      </w:rPr>
                      <w:t>double</w:t>
                    </w:r>
                    <w:r>
                      <w:rPr>
                        <w:spacing w:val="-7"/>
                        <w:sz w:val="20"/>
                      </w:rPr>
                      <w:t> </w:t>
                    </w:r>
                    <w:r>
                      <w:rPr>
                        <w:sz w:val="20"/>
                      </w:rPr>
                      <w:t>taxation</w:t>
                    </w:r>
                    <w:r>
                      <w:rPr>
                        <w:spacing w:val="-2"/>
                        <w:sz w:val="20"/>
                      </w:rPr>
                      <w:t> </w:t>
                    </w:r>
                    <w:r>
                      <w:rPr>
                        <w:sz w:val="20"/>
                      </w:rPr>
                      <w:t>will</w:t>
                    </w:r>
                    <w:r>
                      <w:rPr>
                        <w:spacing w:val="-6"/>
                        <w:sz w:val="20"/>
                      </w:rPr>
                      <w:t> </w:t>
                    </w:r>
                    <w:r>
                      <w:rPr>
                        <w:sz w:val="20"/>
                      </w:rPr>
                      <w:t>entirely</w:t>
                    </w:r>
                    <w:r>
                      <w:rPr>
                        <w:spacing w:val="-7"/>
                        <w:sz w:val="20"/>
                      </w:rPr>
                      <w:t> </w:t>
                    </w:r>
                    <w:r>
                      <w:rPr>
                        <w:sz w:val="20"/>
                      </w:rPr>
                      <w:t>net-off</w:t>
                    </w:r>
                    <w:r>
                      <w:rPr>
                        <w:spacing w:val="-3"/>
                        <w:sz w:val="20"/>
                      </w:rPr>
                      <w:t> </w:t>
                    </w:r>
                    <w:r>
                      <w:rPr>
                        <w:sz w:val="20"/>
                      </w:rPr>
                      <w:t>the</w:t>
                    </w:r>
                    <w:r>
                      <w:rPr>
                        <w:spacing w:val="-7"/>
                        <w:sz w:val="20"/>
                      </w:rPr>
                      <w:t> </w:t>
                    </w:r>
                    <w:r>
                      <w:rPr>
                        <w:sz w:val="20"/>
                      </w:rPr>
                      <w:t>potential</w:t>
                    </w:r>
                    <w:r>
                      <w:rPr>
                        <w:spacing w:val="-6"/>
                        <w:sz w:val="20"/>
                      </w:rPr>
                      <w:t> </w:t>
                    </w:r>
                    <w:r>
                      <w:rPr>
                        <w:sz w:val="20"/>
                      </w:rPr>
                      <w:t>for</w:t>
                    </w:r>
                    <w:r>
                      <w:rPr>
                        <w:spacing w:val="-6"/>
                        <w:sz w:val="20"/>
                      </w:rPr>
                      <w:t> </w:t>
                    </w:r>
                    <w:r>
                      <w:rPr>
                        <w:sz w:val="20"/>
                      </w:rPr>
                      <w:t>double counting in Jurisdiction 1 (i.e. EUR 313 million), by effectively reducing the profit for which income tax will be paid in Jurisdiction</w:t>
                    </w:r>
                    <w:r>
                      <w:rPr>
                        <w:spacing w:val="-4"/>
                        <w:sz w:val="20"/>
                      </w:rPr>
                      <w:t> </w:t>
                    </w:r>
                    <w:r>
                      <w:rPr>
                        <w:sz w:val="20"/>
                      </w:rPr>
                      <w:t>1.</w:t>
                    </w:r>
                  </w:p>
                </w:txbxContent>
              </v:textbox>
              <w10:wrap type="none"/>
            </v:shape>
            <v:shape style="position:absolute;left:1440;top:7148;width:7936;height:145" type="#_x0000_t202" filled="false" stroked="false">
              <v:textbox inset="0,0,0,0">
                <w:txbxContent>
                  <w:p>
                    <w:pPr>
                      <w:spacing w:line="145" w:lineRule="exact" w:before="0"/>
                      <w:ind w:left="0" w:right="0" w:firstLine="0"/>
                      <w:jc w:val="left"/>
                      <w:rPr>
                        <w:sz w:val="13"/>
                      </w:rPr>
                    </w:pPr>
                    <w:r>
                      <w:rPr>
                        <w:sz w:val="13"/>
                      </w:rPr>
                      <w:t>* The total taxable profits exceed the taxable profits of Group A, as the double taxation arising from Amount A has not yet been eliminated</w:t>
                    </w:r>
                  </w:p>
                </w:txbxContent>
              </v:textbox>
              <w10:wrap type="non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3"/>
        </w:rPr>
      </w:pPr>
    </w:p>
    <w:tbl>
      <w:tblPr>
        <w:tblW w:w="0" w:type="auto"/>
        <w:jc w:val="left"/>
        <w:tblInd w:w="1544"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851"/>
        <w:gridCol w:w="1159"/>
        <w:gridCol w:w="1157"/>
        <w:gridCol w:w="1157"/>
        <w:gridCol w:w="1157"/>
        <w:gridCol w:w="1150"/>
      </w:tblGrid>
      <w:tr>
        <w:trPr>
          <w:trHeight w:val="460" w:hRule="atLeast"/>
        </w:trPr>
        <w:tc>
          <w:tcPr>
            <w:tcW w:w="1851" w:type="dxa"/>
            <w:tcBorders>
              <w:left w:val="nil"/>
              <w:bottom w:val="single" w:sz="4" w:space="0" w:color="4E81BD"/>
              <w:right w:val="single" w:sz="6" w:space="0" w:color="D2D2D2"/>
            </w:tcBorders>
            <w:shd w:val="clear" w:color="auto" w:fill="EEECE1"/>
          </w:tcPr>
          <w:p>
            <w:pPr>
              <w:pStyle w:val="TableParagraph"/>
              <w:spacing w:before="138"/>
              <w:ind w:left="175" w:right="127"/>
              <w:rPr>
                <w:b/>
                <w:sz w:val="18"/>
              </w:rPr>
            </w:pPr>
            <w:r>
              <w:rPr>
                <w:b/>
                <w:sz w:val="18"/>
              </w:rPr>
              <w:t>in EUR million</w:t>
            </w:r>
          </w:p>
        </w:tc>
        <w:tc>
          <w:tcPr>
            <w:tcW w:w="1159"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4"/>
              <w:ind w:left="544" w:right="120" w:hanging="377"/>
              <w:jc w:val="left"/>
              <w:rPr>
                <w:b/>
                <w:sz w:val="18"/>
              </w:rPr>
            </w:pPr>
            <w:r>
              <w:rPr>
                <w:b/>
                <w:sz w:val="18"/>
              </w:rPr>
              <w:t>Jurisdiction 1</w:t>
            </w:r>
          </w:p>
        </w:tc>
        <w:tc>
          <w:tcPr>
            <w:tcW w:w="1157"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4"/>
              <w:ind w:left="542" w:right="123" w:hanging="380"/>
              <w:jc w:val="left"/>
              <w:rPr>
                <w:b/>
                <w:sz w:val="18"/>
              </w:rPr>
            </w:pPr>
            <w:r>
              <w:rPr>
                <w:b/>
                <w:sz w:val="18"/>
              </w:rPr>
              <w:t>Jurisdiction 2</w:t>
            </w:r>
          </w:p>
        </w:tc>
        <w:tc>
          <w:tcPr>
            <w:tcW w:w="1157"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4"/>
              <w:ind w:left="544" w:right="121" w:hanging="380"/>
              <w:jc w:val="left"/>
              <w:rPr>
                <w:b/>
                <w:sz w:val="18"/>
              </w:rPr>
            </w:pPr>
            <w:r>
              <w:rPr>
                <w:b/>
                <w:sz w:val="18"/>
              </w:rPr>
              <w:t>Jurisdiction 3</w:t>
            </w:r>
          </w:p>
        </w:tc>
        <w:tc>
          <w:tcPr>
            <w:tcW w:w="1157"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4"/>
              <w:ind w:left="544" w:right="121" w:hanging="380"/>
              <w:jc w:val="left"/>
              <w:rPr>
                <w:b/>
                <w:sz w:val="18"/>
              </w:rPr>
            </w:pPr>
            <w:r>
              <w:rPr>
                <w:b/>
                <w:sz w:val="18"/>
              </w:rPr>
              <w:t>Jurisdiction 4</w:t>
            </w:r>
          </w:p>
        </w:tc>
        <w:tc>
          <w:tcPr>
            <w:tcW w:w="1150" w:type="dxa"/>
            <w:tcBorders>
              <w:left w:val="single" w:sz="6" w:space="0" w:color="D2D2D2"/>
              <w:bottom w:val="single" w:sz="4" w:space="0" w:color="4E81BD"/>
              <w:right w:val="nil"/>
            </w:tcBorders>
            <w:shd w:val="clear" w:color="auto" w:fill="EEECE1"/>
          </w:tcPr>
          <w:p>
            <w:pPr>
              <w:pStyle w:val="TableParagraph"/>
              <w:spacing w:line="220" w:lineRule="atLeast" w:before="14"/>
              <w:ind w:left="540" w:right="123" w:hanging="378"/>
              <w:jc w:val="left"/>
              <w:rPr>
                <w:b/>
                <w:sz w:val="18"/>
              </w:rPr>
            </w:pPr>
            <w:r>
              <w:rPr>
                <w:b/>
                <w:sz w:val="18"/>
              </w:rPr>
              <w:t>Jurisdiction 5</w:t>
            </w:r>
          </w:p>
        </w:tc>
      </w:tr>
      <w:tr>
        <w:trPr>
          <w:trHeight w:val="239" w:hRule="atLeast"/>
        </w:trPr>
        <w:tc>
          <w:tcPr>
            <w:tcW w:w="1851" w:type="dxa"/>
            <w:tcBorders>
              <w:top w:val="single" w:sz="4" w:space="0" w:color="4E81BD"/>
              <w:left w:val="nil"/>
              <w:bottom w:val="single" w:sz="6" w:space="0" w:color="D2D2D2"/>
              <w:right w:val="single" w:sz="6" w:space="0" w:color="D2D2D2"/>
            </w:tcBorders>
            <w:shd w:val="clear" w:color="auto" w:fill="EEECE1"/>
          </w:tcPr>
          <w:p>
            <w:pPr>
              <w:pStyle w:val="TableParagraph"/>
              <w:spacing w:line="192" w:lineRule="exact"/>
              <w:ind w:left="175" w:right="127"/>
              <w:rPr>
                <w:b/>
                <w:sz w:val="18"/>
              </w:rPr>
            </w:pPr>
            <w:r>
              <w:rPr>
                <w:b/>
                <w:sz w:val="18"/>
              </w:rPr>
              <w:t>Amount A</w:t>
            </w:r>
          </w:p>
        </w:tc>
        <w:tc>
          <w:tcPr>
            <w:tcW w:w="1159"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78" w:right="352"/>
              <w:rPr>
                <w:sz w:val="18"/>
              </w:rPr>
            </w:pPr>
            <w:r>
              <w:rPr>
                <w:sz w:val="18"/>
              </w:rPr>
              <w:t>313</w:t>
            </w:r>
          </w:p>
        </w:tc>
        <w:tc>
          <w:tcPr>
            <w:tcW w:w="1157"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37" w:right="413"/>
              <w:rPr>
                <w:sz w:val="18"/>
              </w:rPr>
            </w:pPr>
            <w:r>
              <w:rPr>
                <w:sz w:val="18"/>
              </w:rPr>
              <w:t>63</w:t>
            </w:r>
          </w:p>
        </w:tc>
        <w:tc>
          <w:tcPr>
            <w:tcW w:w="1157"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37" w:right="413"/>
              <w:rPr>
                <w:sz w:val="18"/>
              </w:rPr>
            </w:pPr>
            <w:r>
              <w:rPr>
                <w:sz w:val="18"/>
              </w:rPr>
              <w:t>125</w:t>
            </w:r>
          </w:p>
        </w:tc>
        <w:tc>
          <w:tcPr>
            <w:tcW w:w="1157"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37" w:right="413"/>
              <w:rPr>
                <w:sz w:val="18"/>
              </w:rPr>
            </w:pPr>
            <w:r>
              <w:rPr>
                <w:sz w:val="18"/>
              </w:rPr>
              <w:t>110</w:t>
            </w:r>
          </w:p>
        </w:tc>
        <w:tc>
          <w:tcPr>
            <w:tcW w:w="1150" w:type="dxa"/>
            <w:tcBorders>
              <w:top w:val="single" w:sz="4" w:space="0" w:color="4E81BD"/>
              <w:left w:val="single" w:sz="6" w:space="0" w:color="D2D2D2"/>
              <w:bottom w:val="single" w:sz="6" w:space="0" w:color="D2D2D2"/>
              <w:right w:val="nil"/>
            </w:tcBorders>
            <w:shd w:val="clear" w:color="auto" w:fill="EEECE1"/>
          </w:tcPr>
          <w:p>
            <w:pPr>
              <w:pStyle w:val="TableParagraph"/>
              <w:spacing w:line="192" w:lineRule="exact"/>
              <w:ind w:left="499"/>
              <w:jc w:val="left"/>
              <w:rPr>
                <w:sz w:val="18"/>
              </w:rPr>
            </w:pPr>
            <w:r>
              <w:rPr>
                <w:sz w:val="18"/>
              </w:rPr>
              <w:t>39</w:t>
            </w:r>
          </w:p>
        </w:tc>
      </w:tr>
      <w:tr>
        <w:trPr>
          <w:trHeight w:val="241" w:hRule="atLeast"/>
        </w:trPr>
        <w:tc>
          <w:tcPr>
            <w:tcW w:w="185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before="30"/>
              <w:ind w:left="175" w:right="127"/>
              <w:rPr>
                <w:b/>
                <w:sz w:val="18"/>
              </w:rPr>
            </w:pPr>
            <w:r>
              <w:rPr>
                <w:b/>
                <w:sz w:val="18"/>
              </w:rPr>
              <w:t>ALP-based allocation</w:t>
            </w:r>
          </w:p>
        </w:tc>
        <w:tc>
          <w:tcPr>
            <w:tcW w:w="11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76" w:right="352"/>
              <w:rPr>
                <w:sz w:val="18"/>
              </w:rPr>
            </w:pPr>
            <w:r>
              <w:rPr>
                <w:sz w:val="18"/>
              </w:rPr>
              <w:t>5,000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37" w:right="413"/>
              <w:rPr>
                <w:sz w:val="18"/>
              </w:rPr>
            </w:pPr>
            <w:r>
              <w:rPr>
                <w:sz w:val="18"/>
              </w:rPr>
              <w:t>60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37" w:right="413"/>
              <w:rPr>
                <w:sz w:val="18"/>
              </w:rPr>
            </w:pPr>
            <w:r>
              <w:rPr>
                <w:sz w:val="18"/>
              </w:rPr>
              <w:t>120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37" w:right="413"/>
              <w:rPr>
                <w:sz w:val="18"/>
              </w:rPr>
            </w:pPr>
            <w:r>
              <w:rPr>
                <w:sz w:val="18"/>
              </w:rPr>
              <w:t>105</w:t>
            </w:r>
          </w:p>
        </w:tc>
        <w:tc>
          <w:tcPr>
            <w:tcW w:w="1150"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before="30"/>
              <w:ind w:left="499"/>
              <w:jc w:val="left"/>
              <w:rPr>
                <w:sz w:val="18"/>
              </w:rPr>
            </w:pPr>
            <w:r>
              <w:rPr>
                <w:sz w:val="18"/>
              </w:rPr>
              <w:t>38</w:t>
            </w:r>
          </w:p>
        </w:tc>
      </w:tr>
      <w:tr>
        <w:trPr>
          <w:trHeight w:val="239" w:hRule="atLeast"/>
        </w:trPr>
        <w:tc>
          <w:tcPr>
            <w:tcW w:w="1851"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171" w:right="127"/>
              <w:rPr>
                <w:b/>
                <w:sz w:val="18"/>
              </w:rPr>
            </w:pPr>
            <w:r>
              <w:rPr>
                <w:b/>
                <w:sz w:val="18"/>
              </w:rPr>
              <w:t>Total taxable profit*</w:t>
            </w:r>
          </w:p>
        </w:tc>
        <w:tc>
          <w:tcPr>
            <w:tcW w:w="11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79" w:right="350"/>
              <w:rPr>
                <w:sz w:val="18"/>
              </w:rPr>
            </w:pPr>
            <w:r>
              <w:rPr>
                <w:sz w:val="18"/>
              </w:rPr>
              <w:t>5,313</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437" w:right="413"/>
              <w:rPr>
                <w:sz w:val="18"/>
              </w:rPr>
            </w:pPr>
            <w:r>
              <w:rPr>
                <w:sz w:val="18"/>
              </w:rPr>
              <w:t>123</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437" w:right="408"/>
              <w:rPr>
                <w:sz w:val="18"/>
              </w:rPr>
            </w:pPr>
            <w:r>
              <w:rPr>
                <w:sz w:val="18"/>
              </w:rPr>
              <w:t>245</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437" w:right="409"/>
              <w:rPr>
                <w:sz w:val="18"/>
              </w:rPr>
            </w:pPr>
            <w:r>
              <w:rPr>
                <w:sz w:val="18"/>
              </w:rPr>
              <w:t>215</w:t>
            </w:r>
          </w:p>
        </w:tc>
        <w:tc>
          <w:tcPr>
            <w:tcW w:w="1150"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ind w:left="499"/>
              <w:jc w:val="left"/>
              <w:rPr>
                <w:sz w:val="18"/>
              </w:rPr>
            </w:pPr>
            <w:r>
              <w:rPr>
                <w:sz w:val="18"/>
              </w:rPr>
              <w:t>77</w:t>
            </w:r>
          </w:p>
        </w:tc>
      </w:tr>
      <w:tr>
        <w:trPr>
          <w:trHeight w:val="460" w:hRule="atLeast"/>
        </w:trPr>
        <w:tc>
          <w:tcPr>
            <w:tcW w:w="1851" w:type="dxa"/>
            <w:tcBorders>
              <w:top w:val="single" w:sz="6" w:space="0" w:color="D2D2D2"/>
              <w:left w:val="nil"/>
              <w:bottom w:val="single" w:sz="6" w:space="0" w:color="D2D2D2"/>
              <w:right w:val="single" w:sz="6" w:space="0" w:color="D2D2D2"/>
            </w:tcBorders>
            <w:shd w:val="clear" w:color="auto" w:fill="EEECE1"/>
          </w:tcPr>
          <w:p>
            <w:pPr>
              <w:pStyle w:val="TableParagraph"/>
              <w:spacing w:line="220" w:lineRule="atLeast" w:before="14"/>
              <w:ind w:left="633" w:right="304" w:hanging="262"/>
              <w:jc w:val="left"/>
              <w:rPr>
                <w:b/>
                <w:sz w:val="18"/>
              </w:rPr>
            </w:pPr>
            <w:r>
              <w:rPr>
                <w:b/>
                <w:sz w:val="18"/>
              </w:rPr>
              <w:t>Potential double counting</w:t>
            </w:r>
          </w:p>
        </w:tc>
        <w:tc>
          <w:tcPr>
            <w:tcW w:w="11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78" w:right="352"/>
              <w:rPr>
                <w:sz w:val="18"/>
              </w:rPr>
            </w:pPr>
            <w:r>
              <w:rPr>
                <w:sz w:val="18"/>
              </w:rPr>
              <w:t>313</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4"/>
              <w:rPr>
                <w:sz w:val="18"/>
              </w:rPr>
            </w:pPr>
            <w:r>
              <w:rPr>
                <w:sz w:val="18"/>
              </w:rPr>
              <w:t>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9"/>
              <w:rPr>
                <w:sz w:val="18"/>
              </w:rPr>
            </w:pPr>
            <w:r>
              <w:rPr>
                <w:sz w:val="18"/>
              </w:rPr>
              <w:t>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9"/>
              <w:rPr>
                <w:sz w:val="18"/>
              </w:rPr>
            </w:pPr>
            <w:r>
              <w:rPr>
                <w:sz w:val="18"/>
              </w:rPr>
              <w:t>0</w:t>
            </w:r>
          </w:p>
        </w:tc>
        <w:tc>
          <w:tcPr>
            <w:tcW w:w="1150" w:type="dxa"/>
            <w:tcBorders>
              <w:top w:val="single" w:sz="6" w:space="0" w:color="D2D2D2"/>
              <w:left w:val="single" w:sz="6" w:space="0" w:color="D2D2D2"/>
              <w:bottom w:val="single" w:sz="6" w:space="0" w:color="D2D2D2"/>
              <w:right w:val="nil"/>
            </w:tcBorders>
            <w:shd w:val="clear" w:color="auto" w:fill="EEECE1"/>
          </w:tcPr>
          <w:p>
            <w:pPr>
              <w:pStyle w:val="TableParagraph"/>
              <w:spacing w:before="138"/>
              <w:ind w:left="540"/>
              <w:jc w:val="left"/>
              <w:rPr>
                <w:sz w:val="18"/>
              </w:rPr>
            </w:pPr>
            <w:r>
              <w:rPr>
                <w:sz w:val="18"/>
              </w:rPr>
              <w:t>0</w:t>
            </w:r>
          </w:p>
        </w:tc>
      </w:tr>
      <w:tr>
        <w:trPr>
          <w:trHeight w:val="899" w:hRule="atLeast"/>
        </w:trPr>
        <w:tc>
          <w:tcPr>
            <w:tcW w:w="1851" w:type="dxa"/>
            <w:tcBorders>
              <w:top w:val="single" w:sz="6" w:space="0" w:color="D2D2D2"/>
              <w:left w:val="nil"/>
              <w:bottom w:val="single" w:sz="6" w:space="0" w:color="D2D2D2"/>
              <w:right w:val="single" w:sz="6" w:space="0" w:color="D2D2D2"/>
            </w:tcBorders>
            <w:shd w:val="clear" w:color="auto" w:fill="EEECE1"/>
          </w:tcPr>
          <w:p>
            <w:pPr>
              <w:pStyle w:val="TableParagraph"/>
              <w:spacing w:line="254" w:lineRule="auto"/>
              <w:ind w:left="182" w:right="131" w:firstLine="52"/>
              <w:jc w:val="both"/>
              <w:rPr>
                <w:b/>
                <w:sz w:val="18"/>
              </w:rPr>
            </w:pPr>
            <w:r>
              <w:rPr>
                <w:b/>
                <w:sz w:val="18"/>
              </w:rPr>
              <w:t>Netting-off of profits under the mechanism to eliminate double</w:t>
            </w:r>
          </w:p>
          <w:p>
            <w:pPr>
              <w:pStyle w:val="TableParagraph"/>
              <w:spacing w:line="192" w:lineRule="exact" w:before="3"/>
              <w:ind w:left="173" w:right="127"/>
              <w:rPr>
                <w:b/>
                <w:sz w:val="18"/>
              </w:rPr>
            </w:pPr>
            <w:r>
              <w:rPr>
                <w:b/>
                <w:sz w:val="18"/>
              </w:rPr>
              <w:t>taxation</w:t>
            </w:r>
          </w:p>
        </w:tc>
        <w:tc>
          <w:tcPr>
            <w:tcW w:w="11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6"/>
              <w:ind w:left="377" w:right="352"/>
              <w:rPr>
                <w:sz w:val="18"/>
              </w:rPr>
            </w:pPr>
            <w:r>
              <w:rPr>
                <w:sz w:val="18"/>
              </w:rPr>
              <w:t>(650)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6"/>
              <w:ind w:left="24"/>
              <w:rPr>
                <w:sz w:val="18"/>
              </w:rPr>
            </w:pPr>
            <w:r>
              <w:rPr>
                <w:sz w:val="18"/>
              </w:rPr>
              <w:t>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6"/>
              <w:ind w:left="29"/>
              <w:rPr>
                <w:sz w:val="18"/>
              </w:rPr>
            </w:pPr>
            <w:r>
              <w:rPr>
                <w:sz w:val="18"/>
              </w:rPr>
              <w:t>0</w:t>
            </w:r>
          </w:p>
        </w:tc>
        <w:tc>
          <w:tcPr>
            <w:tcW w:w="1157"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6"/>
              <w:ind w:left="29"/>
              <w:rPr>
                <w:sz w:val="18"/>
              </w:rPr>
            </w:pPr>
            <w:r>
              <w:rPr>
                <w:sz w:val="18"/>
              </w:rPr>
              <w:t>0</w:t>
            </w:r>
          </w:p>
        </w:tc>
        <w:tc>
          <w:tcPr>
            <w:tcW w:w="1150" w:type="dxa"/>
            <w:tcBorders>
              <w:top w:val="single" w:sz="6" w:space="0" w:color="D2D2D2"/>
              <w:left w:val="single" w:sz="6" w:space="0" w:color="D2D2D2"/>
              <w:bottom w:val="single" w:sz="6" w:space="0" w:color="D2D2D2"/>
              <w:right w:val="nil"/>
            </w:tcBorders>
            <w:shd w:val="clear" w:color="auto" w:fill="EEECE1"/>
          </w:tcPr>
          <w:p>
            <w:pPr>
              <w:pStyle w:val="TableParagraph"/>
              <w:spacing w:before="0"/>
              <w:jc w:val="left"/>
              <w:rPr>
                <w:rFonts w:ascii="Arial"/>
                <w:sz w:val="20"/>
              </w:rPr>
            </w:pPr>
          </w:p>
          <w:p>
            <w:pPr>
              <w:pStyle w:val="TableParagraph"/>
              <w:spacing w:before="126"/>
              <w:ind w:left="540"/>
              <w:jc w:val="left"/>
              <w:rPr>
                <w:sz w:val="18"/>
              </w:rPr>
            </w:pPr>
            <w:r>
              <w:rPr>
                <w:sz w:val="18"/>
              </w:rPr>
              <w:t>0</w:t>
            </w:r>
          </w:p>
        </w:tc>
      </w:tr>
      <w:tr>
        <w:trPr>
          <w:trHeight w:val="680" w:hRule="atLeast"/>
        </w:trPr>
        <w:tc>
          <w:tcPr>
            <w:tcW w:w="1851" w:type="dxa"/>
            <w:tcBorders>
              <w:top w:val="single" w:sz="6" w:space="0" w:color="D2D2D2"/>
              <w:left w:val="nil"/>
              <w:right w:val="single" w:sz="6" w:space="0" w:color="D2D2D2"/>
            </w:tcBorders>
            <w:shd w:val="clear" w:color="auto" w:fill="EEECE1"/>
          </w:tcPr>
          <w:p>
            <w:pPr>
              <w:pStyle w:val="TableParagraph"/>
              <w:spacing w:line="220" w:lineRule="atLeast" w:before="14"/>
              <w:ind w:left="220" w:right="170" w:firstLine="24"/>
              <w:jc w:val="both"/>
              <w:rPr>
                <w:b/>
                <w:sz w:val="18"/>
              </w:rPr>
            </w:pPr>
            <w:r>
              <w:rPr>
                <w:b/>
                <w:sz w:val="18"/>
              </w:rPr>
              <w:t>Total taxable profits (after the elimination of double taxation)</w:t>
            </w:r>
          </w:p>
        </w:tc>
        <w:tc>
          <w:tcPr>
            <w:tcW w:w="1159" w:type="dxa"/>
            <w:tcBorders>
              <w:top w:val="single" w:sz="6" w:space="0" w:color="D2D2D2"/>
              <w:left w:val="single" w:sz="6" w:space="0" w:color="D2D2D2"/>
              <w:right w:val="single" w:sz="6" w:space="0" w:color="D2D2D2"/>
            </w:tcBorders>
            <w:shd w:val="clear" w:color="auto" w:fill="EEECE1"/>
          </w:tcPr>
          <w:p>
            <w:pPr>
              <w:pStyle w:val="TableParagraph"/>
              <w:spacing w:before="7"/>
              <w:jc w:val="left"/>
              <w:rPr>
                <w:rFonts w:ascii="Arial"/>
                <w:sz w:val="21"/>
              </w:rPr>
            </w:pPr>
          </w:p>
          <w:p>
            <w:pPr>
              <w:pStyle w:val="TableParagraph"/>
              <w:spacing w:before="0"/>
              <w:ind w:left="376" w:right="352"/>
              <w:rPr>
                <w:sz w:val="18"/>
              </w:rPr>
            </w:pPr>
            <w:r>
              <w:rPr>
                <w:sz w:val="18"/>
              </w:rPr>
              <w:t>4,664</w:t>
            </w:r>
          </w:p>
        </w:tc>
        <w:tc>
          <w:tcPr>
            <w:tcW w:w="1157" w:type="dxa"/>
            <w:tcBorders>
              <w:top w:val="single" w:sz="6" w:space="0" w:color="D2D2D2"/>
              <w:left w:val="single" w:sz="6" w:space="0" w:color="D2D2D2"/>
              <w:right w:val="single" w:sz="6" w:space="0" w:color="D2D2D2"/>
            </w:tcBorders>
            <w:shd w:val="clear" w:color="auto" w:fill="EEECE1"/>
          </w:tcPr>
          <w:p>
            <w:pPr>
              <w:pStyle w:val="TableParagraph"/>
              <w:spacing w:before="7"/>
              <w:jc w:val="left"/>
              <w:rPr>
                <w:rFonts w:ascii="Arial"/>
                <w:sz w:val="21"/>
              </w:rPr>
            </w:pPr>
          </w:p>
          <w:p>
            <w:pPr>
              <w:pStyle w:val="TableParagraph"/>
              <w:spacing w:before="0"/>
              <w:ind w:left="432" w:right="413"/>
              <w:rPr>
                <w:sz w:val="18"/>
              </w:rPr>
            </w:pPr>
            <w:r>
              <w:rPr>
                <w:sz w:val="18"/>
              </w:rPr>
              <w:t>123</w:t>
            </w:r>
          </w:p>
        </w:tc>
        <w:tc>
          <w:tcPr>
            <w:tcW w:w="1157" w:type="dxa"/>
            <w:tcBorders>
              <w:top w:val="single" w:sz="6" w:space="0" w:color="D2D2D2"/>
              <w:left w:val="single" w:sz="6" w:space="0" w:color="D2D2D2"/>
              <w:right w:val="single" w:sz="6" w:space="0" w:color="D2D2D2"/>
            </w:tcBorders>
            <w:shd w:val="clear" w:color="auto" w:fill="EEECE1"/>
          </w:tcPr>
          <w:p>
            <w:pPr>
              <w:pStyle w:val="TableParagraph"/>
              <w:spacing w:before="7"/>
              <w:jc w:val="left"/>
              <w:rPr>
                <w:rFonts w:ascii="Arial"/>
                <w:sz w:val="21"/>
              </w:rPr>
            </w:pPr>
          </w:p>
          <w:p>
            <w:pPr>
              <w:pStyle w:val="TableParagraph"/>
              <w:spacing w:before="0"/>
              <w:ind w:left="437" w:right="413"/>
              <w:rPr>
                <w:sz w:val="18"/>
              </w:rPr>
            </w:pPr>
            <w:r>
              <w:rPr>
                <w:sz w:val="18"/>
              </w:rPr>
              <w:t>245</w:t>
            </w:r>
          </w:p>
        </w:tc>
        <w:tc>
          <w:tcPr>
            <w:tcW w:w="1157" w:type="dxa"/>
            <w:tcBorders>
              <w:top w:val="single" w:sz="6" w:space="0" w:color="D2D2D2"/>
              <w:left w:val="single" w:sz="6" w:space="0" w:color="D2D2D2"/>
              <w:right w:val="single" w:sz="6" w:space="0" w:color="D2D2D2"/>
            </w:tcBorders>
            <w:shd w:val="clear" w:color="auto" w:fill="EEECE1"/>
          </w:tcPr>
          <w:p>
            <w:pPr>
              <w:pStyle w:val="TableParagraph"/>
              <w:spacing w:before="7"/>
              <w:jc w:val="left"/>
              <w:rPr>
                <w:rFonts w:ascii="Arial"/>
                <w:sz w:val="21"/>
              </w:rPr>
            </w:pPr>
          </w:p>
          <w:p>
            <w:pPr>
              <w:pStyle w:val="TableParagraph"/>
              <w:spacing w:before="0"/>
              <w:ind w:left="437" w:right="413"/>
              <w:rPr>
                <w:sz w:val="18"/>
              </w:rPr>
            </w:pPr>
            <w:r>
              <w:rPr>
                <w:sz w:val="18"/>
              </w:rPr>
              <w:t>215</w:t>
            </w:r>
          </w:p>
        </w:tc>
        <w:tc>
          <w:tcPr>
            <w:tcW w:w="1150" w:type="dxa"/>
            <w:tcBorders>
              <w:top w:val="single" w:sz="6" w:space="0" w:color="D2D2D2"/>
              <w:left w:val="single" w:sz="6" w:space="0" w:color="D2D2D2"/>
              <w:right w:val="nil"/>
            </w:tcBorders>
            <w:shd w:val="clear" w:color="auto" w:fill="EEECE1"/>
          </w:tcPr>
          <w:p>
            <w:pPr>
              <w:pStyle w:val="TableParagraph"/>
              <w:spacing w:before="7"/>
              <w:jc w:val="left"/>
              <w:rPr>
                <w:rFonts w:ascii="Arial"/>
                <w:sz w:val="21"/>
              </w:rPr>
            </w:pPr>
          </w:p>
          <w:p>
            <w:pPr>
              <w:pStyle w:val="TableParagraph"/>
              <w:spacing w:before="0"/>
              <w:ind w:left="499"/>
              <w:jc w:val="left"/>
              <w:rPr>
                <w:sz w:val="18"/>
              </w:rPr>
            </w:pPr>
            <w:r>
              <w:rPr>
                <w:sz w:val="18"/>
              </w:rPr>
              <w:t>77</w:t>
            </w:r>
          </w:p>
        </w:tc>
      </w:tr>
    </w:tbl>
    <w:p>
      <w:pPr>
        <w:pStyle w:val="BodyText"/>
      </w:pPr>
    </w:p>
    <w:p>
      <w:pPr>
        <w:pStyle w:val="BodyText"/>
      </w:pPr>
    </w:p>
    <w:p>
      <w:pPr>
        <w:pStyle w:val="BodyText"/>
      </w:pPr>
    </w:p>
    <w:p>
      <w:pPr>
        <w:pStyle w:val="BodyText"/>
      </w:pPr>
    </w:p>
    <w:p>
      <w:pPr>
        <w:pStyle w:val="BodyText"/>
        <w:spacing w:before="11"/>
        <w:rPr>
          <w:sz w:val="16"/>
        </w:rPr>
      </w:pPr>
      <w:r>
        <w:rPr/>
        <w:pict>
          <v:shape style="position:absolute;margin-left:64.944pt;margin-top:11.963883pt;width:465.6pt;height:282.650pt;mso-position-horizontal-relative:page;mso-position-vertical-relative:paragraph;z-index:-15629824;mso-wrap-distance-left:0;mso-wrap-distance-right:0" type="#_x0000_t202" filled="true" fillcolor="#eeece1" stroked="true" strokeweight=".48004pt" strokecolor="#4e81bd">
            <v:textbox inset="0,0,0,0">
              <w:txbxContent>
                <w:p>
                  <w:pPr>
                    <w:pStyle w:val="BodyText"/>
                    <w:spacing w:before="4"/>
                    <w:rPr>
                      <w:sz w:val="31"/>
                    </w:rPr>
                  </w:pPr>
                </w:p>
                <w:p>
                  <w:pPr>
                    <w:spacing w:before="0"/>
                    <w:ind w:left="136" w:right="0" w:firstLine="0"/>
                    <w:jc w:val="left"/>
                    <w:rPr>
                      <w:rFonts w:ascii="Arial Narrow"/>
                      <w:b/>
                      <w:sz w:val="24"/>
                    </w:rPr>
                  </w:pPr>
                  <w:r>
                    <w:rPr>
                      <w:rFonts w:ascii="Arial Narrow"/>
                      <w:b/>
                      <w:color w:val="4E81BD"/>
                      <w:sz w:val="24"/>
                    </w:rPr>
                    <w:t>Box C.4. The netting-off effect for a decentralised business model</w:t>
                  </w:r>
                </w:p>
                <w:p>
                  <w:pPr>
                    <w:pStyle w:val="BodyText"/>
                    <w:spacing w:line="271" w:lineRule="auto" w:before="211"/>
                    <w:ind w:left="136" w:right="138"/>
                    <w:jc w:val="both"/>
                  </w:pPr>
                  <w:r>
                    <w:rPr/>
                    <w:t>Group</w:t>
                  </w:r>
                  <w:r>
                    <w:rPr>
                      <w:spacing w:val="-9"/>
                    </w:rPr>
                    <w:t> </w:t>
                  </w:r>
                  <w:r>
                    <w:rPr/>
                    <w:t>B</w:t>
                  </w:r>
                  <w:r>
                    <w:rPr>
                      <w:spacing w:val="-8"/>
                    </w:rPr>
                    <w:t> </w:t>
                  </w:r>
                  <w:r>
                    <w:rPr/>
                    <w:t>is</w:t>
                  </w:r>
                  <w:r>
                    <w:rPr>
                      <w:spacing w:val="-8"/>
                    </w:rPr>
                    <w:t> </w:t>
                  </w:r>
                  <w:r>
                    <w:rPr/>
                    <w:t>an</w:t>
                  </w:r>
                  <w:r>
                    <w:rPr>
                      <w:spacing w:val="-8"/>
                    </w:rPr>
                    <w:t> </w:t>
                  </w:r>
                  <w:r>
                    <w:rPr/>
                    <w:t>MNE</w:t>
                  </w:r>
                  <w:r>
                    <w:rPr>
                      <w:spacing w:val="-9"/>
                    </w:rPr>
                    <w:t> </w:t>
                  </w:r>
                  <w:r>
                    <w:rPr/>
                    <w:t>group</w:t>
                  </w:r>
                  <w:r>
                    <w:rPr>
                      <w:spacing w:val="-8"/>
                    </w:rPr>
                    <w:t> </w:t>
                  </w:r>
                  <w:r>
                    <w:rPr/>
                    <w:t>in</w:t>
                  </w:r>
                  <w:r>
                    <w:rPr>
                      <w:spacing w:val="-7"/>
                    </w:rPr>
                    <w:t> </w:t>
                  </w:r>
                  <w:r>
                    <w:rPr/>
                    <w:t>scope</w:t>
                  </w:r>
                  <w:r>
                    <w:rPr>
                      <w:spacing w:val="-8"/>
                    </w:rPr>
                    <w:t> </w:t>
                  </w:r>
                  <w:r>
                    <w:rPr/>
                    <w:t>of</w:t>
                  </w:r>
                  <w:r>
                    <w:rPr>
                      <w:spacing w:val="-7"/>
                    </w:rPr>
                    <w:t> </w:t>
                  </w:r>
                  <w:r>
                    <w:rPr/>
                    <w:t>Amount</w:t>
                  </w:r>
                  <w:r>
                    <w:rPr>
                      <w:spacing w:val="-8"/>
                    </w:rPr>
                    <w:t> </w:t>
                  </w:r>
                  <w:r>
                    <w:rPr/>
                    <w:t>A.</w:t>
                  </w:r>
                  <w:r>
                    <w:rPr>
                      <w:spacing w:val="-9"/>
                    </w:rPr>
                    <w:t> </w:t>
                  </w:r>
                  <w:r>
                    <w:rPr/>
                    <w:t>The</w:t>
                  </w:r>
                  <w:r>
                    <w:rPr>
                      <w:spacing w:val="-8"/>
                    </w:rPr>
                    <w:t> </w:t>
                  </w:r>
                  <w:r>
                    <w:rPr/>
                    <w:t>group</w:t>
                  </w:r>
                  <w:r>
                    <w:rPr>
                      <w:spacing w:val="-9"/>
                    </w:rPr>
                    <w:t> </w:t>
                  </w:r>
                  <w:r>
                    <w:rPr/>
                    <w:t>generates</w:t>
                  </w:r>
                  <w:r>
                    <w:rPr>
                      <w:spacing w:val="-7"/>
                    </w:rPr>
                    <w:t> </w:t>
                  </w:r>
                  <w:r>
                    <w:rPr/>
                    <w:t>EUR</w:t>
                  </w:r>
                  <w:r>
                    <w:rPr>
                      <w:spacing w:val="-5"/>
                    </w:rPr>
                    <w:t> </w:t>
                  </w:r>
                  <w:r>
                    <w:rPr/>
                    <w:t>12,000</w:t>
                  </w:r>
                  <w:r>
                    <w:rPr>
                      <w:spacing w:val="-11"/>
                    </w:rPr>
                    <w:t> </w:t>
                  </w:r>
                  <w:r>
                    <w:rPr/>
                    <w:t>million</w:t>
                  </w:r>
                  <w:r>
                    <w:rPr>
                      <w:spacing w:val="-9"/>
                    </w:rPr>
                    <w:t> </w:t>
                  </w:r>
                  <w:r>
                    <w:rPr/>
                    <w:t>in</w:t>
                  </w:r>
                  <w:r>
                    <w:rPr>
                      <w:spacing w:val="-8"/>
                    </w:rPr>
                    <w:t> </w:t>
                  </w:r>
                  <w:r>
                    <w:rPr/>
                    <w:t>third</w:t>
                  </w:r>
                  <w:r>
                    <w:rPr>
                      <w:spacing w:val="-9"/>
                    </w:rPr>
                    <w:t> </w:t>
                  </w:r>
                  <w:r>
                    <w:rPr/>
                    <w:t>party revenue</w:t>
                  </w:r>
                  <w:r>
                    <w:rPr>
                      <w:spacing w:val="-15"/>
                    </w:rPr>
                    <w:t> </w:t>
                  </w:r>
                  <w:r>
                    <w:rPr/>
                    <w:t>and</w:t>
                  </w:r>
                  <w:r>
                    <w:rPr>
                      <w:spacing w:val="-14"/>
                    </w:rPr>
                    <w:t> </w:t>
                  </w:r>
                  <w:r>
                    <w:rPr/>
                    <w:t>earned</w:t>
                  </w:r>
                  <w:r>
                    <w:rPr>
                      <w:spacing w:val="-14"/>
                    </w:rPr>
                    <w:t> </w:t>
                  </w:r>
                  <w:r>
                    <w:rPr/>
                    <w:t>PBT</w:t>
                  </w:r>
                  <w:r>
                    <w:rPr>
                      <w:spacing w:val="-10"/>
                    </w:rPr>
                    <w:t> </w:t>
                  </w:r>
                  <w:r>
                    <w:rPr/>
                    <w:t>of</w:t>
                  </w:r>
                  <w:r>
                    <w:rPr>
                      <w:spacing w:val="-14"/>
                    </w:rPr>
                    <w:t> </w:t>
                  </w:r>
                  <w:r>
                    <w:rPr/>
                    <w:t>EUR</w:t>
                  </w:r>
                  <w:r>
                    <w:rPr>
                      <w:spacing w:val="-12"/>
                    </w:rPr>
                    <w:t> </w:t>
                  </w:r>
                  <w:r>
                    <w:rPr/>
                    <w:t>2,450</w:t>
                  </w:r>
                  <w:r>
                    <w:rPr>
                      <w:spacing w:val="-14"/>
                    </w:rPr>
                    <w:t> </w:t>
                  </w:r>
                  <w:r>
                    <w:rPr/>
                    <w:t>million,</w:t>
                  </w:r>
                  <w:r>
                    <w:rPr>
                      <w:spacing w:val="-14"/>
                    </w:rPr>
                    <w:t> </w:t>
                  </w:r>
                  <w:r>
                    <w:rPr/>
                    <w:t>resulting</w:t>
                  </w:r>
                  <w:r>
                    <w:rPr>
                      <w:spacing w:val="-14"/>
                    </w:rPr>
                    <w:t> </w:t>
                  </w:r>
                  <w:r>
                    <w:rPr/>
                    <w:t>in</w:t>
                  </w:r>
                  <w:r>
                    <w:rPr>
                      <w:spacing w:val="-14"/>
                    </w:rPr>
                    <w:t> </w:t>
                  </w:r>
                  <w:r>
                    <w:rPr/>
                    <w:t>a</w:t>
                  </w:r>
                  <w:r>
                    <w:rPr>
                      <w:spacing w:val="-14"/>
                    </w:rPr>
                    <w:t> </w:t>
                  </w:r>
                  <w:r>
                    <w:rPr/>
                    <w:t>profit</w:t>
                  </w:r>
                  <w:r>
                    <w:rPr>
                      <w:spacing w:val="-14"/>
                    </w:rPr>
                    <w:t> </w:t>
                  </w:r>
                  <w:r>
                    <w:rPr/>
                    <w:t>margin</w:t>
                  </w:r>
                  <w:r>
                    <w:rPr>
                      <w:spacing w:val="-14"/>
                    </w:rPr>
                    <w:t> </w:t>
                  </w:r>
                  <w:r>
                    <w:rPr/>
                    <w:t>of</w:t>
                  </w:r>
                  <w:r>
                    <w:rPr>
                      <w:spacing w:val="-13"/>
                    </w:rPr>
                    <w:t> </w:t>
                  </w:r>
                  <w:r>
                    <w:rPr/>
                    <w:t>20%.</w:t>
                  </w:r>
                  <w:r>
                    <w:rPr>
                      <w:spacing w:val="-13"/>
                    </w:rPr>
                    <w:t> </w:t>
                  </w:r>
                  <w:r>
                    <w:rPr/>
                    <w:t>The</w:t>
                  </w:r>
                  <w:r>
                    <w:rPr>
                      <w:spacing w:val="-14"/>
                    </w:rPr>
                    <w:t> </w:t>
                  </w:r>
                  <w:r>
                    <w:rPr/>
                    <w:t>group</w:t>
                  </w:r>
                  <w:r>
                    <w:rPr>
                      <w:spacing w:val="-14"/>
                    </w:rPr>
                    <w:t> </w:t>
                  </w:r>
                  <w:r>
                    <w:rPr/>
                    <w:t>and</w:t>
                  </w:r>
                  <w:r>
                    <w:rPr>
                      <w:spacing w:val="-14"/>
                    </w:rPr>
                    <w:t> </w:t>
                  </w:r>
                  <w:r>
                    <w:rPr/>
                    <w:t>entity- level financials are summarised in the table</w:t>
                  </w:r>
                  <w:r>
                    <w:rPr>
                      <w:spacing w:val="-8"/>
                    </w:rPr>
                    <w:t> </w:t>
                  </w:r>
                  <w:r>
                    <w:rPr/>
                    <w:t>below.</w:t>
                  </w:r>
                </w:p>
                <w:p>
                  <w:pPr>
                    <w:spacing w:before="150"/>
                    <w:ind w:left="136" w:right="0" w:firstLine="0"/>
                    <w:jc w:val="left"/>
                    <w:rPr>
                      <w:rFonts w:ascii="Arial Narrow"/>
                      <w:b/>
                      <w:sz w:val="22"/>
                    </w:rPr>
                  </w:pPr>
                  <w:r>
                    <w:rPr>
                      <w:rFonts w:ascii="Arial Narrow"/>
                      <w:b/>
                      <w:sz w:val="22"/>
                    </w:rPr>
                    <w:t>IP Owner (Jurisdiction 1)</w:t>
                  </w:r>
                </w:p>
                <w:p>
                  <w:pPr>
                    <w:pStyle w:val="BodyText"/>
                    <w:spacing w:line="271" w:lineRule="auto" w:before="188"/>
                    <w:ind w:left="136" w:right="136"/>
                    <w:jc w:val="both"/>
                  </w:pPr>
                  <w:r>
                    <w:rPr/>
                    <w:t>Group</w:t>
                  </w:r>
                  <w:r>
                    <w:rPr>
                      <w:spacing w:val="-4"/>
                    </w:rPr>
                    <w:t> </w:t>
                  </w:r>
                  <w:r>
                    <w:rPr/>
                    <w:t>B</w:t>
                  </w:r>
                  <w:r>
                    <w:rPr>
                      <w:spacing w:val="-5"/>
                    </w:rPr>
                    <w:t> </w:t>
                  </w:r>
                  <w:r>
                    <w:rPr/>
                    <w:t>has</w:t>
                  </w:r>
                  <w:r>
                    <w:rPr>
                      <w:spacing w:val="-3"/>
                    </w:rPr>
                    <w:t> </w:t>
                  </w:r>
                  <w:r>
                    <w:rPr/>
                    <w:t>a</w:t>
                  </w:r>
                  <w:r>
                    <w:rPr>
                      <w:spacing w:val="-5"/>
                    </w:rPr>
                    <w:t> </w:t>
                  </w:r>
                  <w:r>
                    <w:rPr/>
                    <w:t>decentralised</w:t>
                  </w:r>
                  <w:r>
                    <w:rPr>
                      <w:spacing w:val="-6"/>
                    </w:rPr>
                    <w:t> </w:t>
                  </w:r>
                  <w:r>
                    <w:rPr/>
                    <w:t>operating</w:t>
                  </w:r>
                  <w:r>
                    <w:rPr>
                      <w:spacing w:val="-5"/>
                    </w:rPr>
                    <w:t> </w:t>
                  </w:r>
                  <w:r>
                    <w:rPr/>
                    <w:t>model,</w:t>
                  </w:r>
                  <w:r>
                    <w:rPr>
                      <w:spacing w:val="-4"/>
                    </w:rPr>
                    <w:t> </w:t>
                  </w:r>
                  <w:r>
                    <w:rPr/>
                    <w:t>in</w:t>
                  </w:r>
                  <w:r>
                    <w:rPr>
                      <w:spacing w:val="-4"/>
                    </w:rPr>
                    <w:t> </w:t>
                  </w:r>
                  <w:r>
                    <w:rPr/>
                    <w:t>which</w:t>
                  </w:r>
                  <w:r>
                    <w:rPr>
                      <w:spacing w:val="-5"/>
                    </w:rPr>
                    <w:t> </w:t>
                  </w:r>
                  <w:r>
                    <w:rPr/>
                    <w:t>an</w:t>
                  </w:r>
                  <w:r>
                    <w:rPr>
                      <w:spacing w:val="-4"/>
                    </w:rPr>
                    <w:t> </w:t>
                  </w:r>
                  <w:r>
                    <w:rPr/>
                    <w:t>IP</w:t>
                  </w:r>
                  <w:r>
                    <w:rPr>
                      <w:spacing w:val="-7"/>
                    </w:rPr>
                    <w:t> </w:t>
                  </w:r>
                  <w:r>
                    <w:rPr/>
                    <w:t>Owner</w:t>
                  </w:r>
                  <w:r>
                    <w:rPr>
                      <w:spacing w:val="-6"/>
                    </w:rPr>
                    <w:t> </w:t>
                  </w:r>
                  <w:r>
                    <w:rPr/>
                    <w:t>(resident</w:t>
                  </w:r>
                  <w:r>
                    <w:rPr>
                      <w:spacing w:val="-4"/>
                    </w:rPr>
                    <w:t> </w:t>
                  </w:r>
                  <w:r>
                    <w:rPr/>
                    <w:t>in</w:t>
                  </w:r>
                  <w:r>
                    <w:rPr>
                      <w:spacing w:val="-7"/>
                    </w:rPr>
                    <w:t> </w:t>
                  </w:r>
                  <w:r>
                    <w:rPr/>
                    <w:t>Jurisdiction</w:t>
                  </w:r>
                  <w:r>
                    <w:rPr>
                      <w:spacing w:val="-5"/>
                    </w:rPr>
                    <w:t> </w:t>
                  </w:r>
                  <w:r>
                    <w:rPr/>
                    <w:t>1)</w:t>
                  </w:r>
                  <w:r>
                    <w:rPr>
                      <w:spacing w:val="-4"/>
                    </w:rPr>
                    <w:t> </w:t>
                  </w:r>
                  <w:r>
                    <w:rPr/>
                    <w:t>owns</w:t>
                  </w:r>
                  <w:r>
                    <w:rPr>
                      <w:spacing w:val="7"/>
                    </w:rPr>
                    <w:t> </w:t>
                  </w:r>
                  <w:r>
                    <w:rPr/>
                    <w:t>a significant part of the group’s intangibles. Under the group’s transfer pricing policy, the IP Owner receives</w:t>
                  </w:r>
                  <w:r>
                    <w:rPr>
                      <w:spacing w:val="-7"/>
                    </w:rPr>
                    <w:t> </w:t>
                  </w:r>
                  <w:r>
                    <w:rPr/>
                    <w:t>a</w:t>
                  </w:r>
                  <w:r>
                    <w:rPr>
                      <w:spacing w:val="-5"/>
                    </w:rPr>
                    <w:t> </w:t>
                  </w:r>
                  <w:r>
                    <w:rPr/>
                    <w:t>revenue-based</w:t>
                  </w:r>
                  <w:r>
                    <w:rPr>
                      <w:spacing w:val="-7"/>
                    </w:rPr>
                    <w:t> </w:t>
                  </w:r>
                  <w:r>
                    <w:rPr/>
                    <w:t>royalty</w:t>
                  </w:r>
                  <w:r>
                    <w:rPr>
                      <w:spacing w:val="-10"/>
                    </w:rPr>
                    <w:t> </w:t>
                  </w:r>
                  <w:r>
                    <w:rPr/>
                    <w:t>from</w:t>
                  </w:r>
                  <w:r>
                    <w:rPr>
                      <w:spacing w:val="-2"/>
                    </w:rPr>
                    <w:t> </w:t>
                  </w:r>
                  <w:r>
                    <w:rPr/>
                    <w:t>the</w:t>
                  </w:r>
                  <w:r>
                    <w:rPr>
                      <w:spacing w:val="-7"/>
                    </w:rPr>
                    <w:t> </w:t>
                  </w:r>
                  <w:r>
                    <w:rPr/>
                    <w:t>distribution</w:t>
                  </w:r>
                  <w:r>
                    <w:rPr>
                      <w:spacing w:val="-4"/>
                    </w:rPr>
                    <w:t> </w:t>
                  </w:r>
                  <w:r>
                    <w:rPr/>
                    <w:t>entities</w:t>
                  </w:r>
                  <w:r>
                    <w:rPr>
                      <w:spacing w:val="-3"/>
                    </w:rPr>
                    <w:t> </w:t>
                  </w:r>
                  <w:r>
                    <w:rPr/>
                    <w:t>for</w:t>
                  </w:r>
                  <w:r>
                    <w:rPr>
                      <w:spacing w:val="-7"/>
                    </w:rPr>
                    <w:t> </w:t>
                  </w:r>
                  <w:r>
                    <w:rPr/>
                    <w:t>the</w:t>
                  </w:r>
                  <w:r>
                    <w:rPr>
                      <w:spacing w:val="-5"/>
                    </w:rPr>
                    <w:t> </w:t>
                  </w:r>
                  <w:r>
                    <w:rPr/>
                    <w:t>right</w:t>
                  </w:r>
                  <w:r>
                    <w:rPr>
                      <w:spacing w:val="-7"/>
                    </w:rPr>
                    <w:t> </w:t>
                  </w:r>
                  <w:r>
                    <w:rPr/>
                    <w:t>to</w:t>
                  </w:r>
                  <w:r>
                    <w:rPr>
                      <w:spacing w:val="-4"/>
                    </w:rPr>
                    <w:t> </w:t>
                  </w:r>
                  <w:r>
                    <w:rPr/>
                    <w:t>use</w:t>
                  </w:r>
                  <w:r>
                    <w:rPr>
                      <w:spacing w:val="2"/>
                    </w:rPr>
                    <w:t> </w:t>
                  </w:r>
                  <w:r>
                    <w:rPr/>
                    <w:t>its</w:t>
                  </w:r>
                  <w:r>
                    <w:rPr>
                      <w:spacing w:val="-5"/>
                    </w:rPr>
                    <w:t> </w:t>
                  </w:r>
                  <w:r>
                    <w:rPr/>
                    <w:t>intangibles.</w:t>
                  </w:r>
                  <w:r>
                    <w:rPr>
                      <w:spacing w:val="-6"/>
                    </w:rPr>
                    <w:t> </w:t>
                  </w:r>
                  <w:r>
                    <w:rPr/>
                    <w:t>Group B’s products are not sold in Jurisdiction</w:t>
                  </w:r>
                  <w:r>
                    <w:rPr>
                      <w:spacing w:val="-1"/>
                    </w:rPr>
                    <w:t> </w:t>
                  </w:r>
                  <w:r>
                    <w:rPr/>
                    <w:t>1.</w:t>
                  </w:r>
                </w:p>
                <w:p>
                  <w:pPr>
                    <w:spacing w:before="152"/>
                    <w:ind w:left="136" w:right="0" w:firstLine="0"/>
                    <w:jc w:val="left"/>
                    <w:rPr>
                      <w:rFonts w:ascii="Arial Narrow"/>
                      <w:b/>
                      <w:sz w:val="22"/>
                    </w:rPr>
                  </w:pPr>
                  <w:r>
                    <w:rPr>
                      <w:rFonts w:ascii="Arial Narrow"/>
                      <w:b/>
                      <w:sz w:val="22"/>
                    </w:rPr>
                    <w:t>Distributors (Jurisdictions 2, 3, 4 and 5)</w:t>
                  </w:r>
                </w:p>
                <w:p>
                  <w:pPr>
                    <w:pStyle w:val="BodyText"/>
                    <w:spacing w:line="271" w:lineRule="auto" w:before="188"/>
                    <w:ind w:left="136" w:right="138"/>
                    <w:jc w:val="both"/>
                  </w:pPr>
                  <w:r>
                    <w:rPr/>
                    <w:t>Each distribution entity (resident in Jurisdictions 2, 3, 4 and 5) owns the marketing intangibles relevant to their jurisdiction. Under the group’s transfer pricing policy, these distribution entities realise the residual profit or loss from their activities after paying IP Owner a royalty for the right to use its intangibles.</w:t>
                  </w:r>
                </w:p>
                <w:p>
                  <w:pPr>
                    <w:pStyle w:val="BodyText"/>
                    <w:spacing w:line="271" w:lineRule="auto" w:before="121"/>
                    <w:ind w:left="136" w:right="149"/>
                    <w:jc w:val="both"/>
                  </w:pPr>
                  <w:r>
                    <w:rPr/>
                    <w:t>In the year under analysis, a recession in Jurisdiction 2 means Distributor 2 only earns PBT of EUR 200 million, a profit margin of 5%. Distributors 3, 4 and 5 earn higher profits and higher profit margins,</w:t>
                  </w:r>
                </w:p>
              </w:txbxContent>
            </v:textbox>
            <v:fill type="solid"/>
            <v:stroke dashstyle="solid"/>
            <w10:wrap type="topAndBottom"/>
          </v:shape>
        </w:pict>
      </w:r>
      <w:r>
        <w:rPr/>
        <w:pict>
          <v:rect style="position:absolute;margin-left:65.183998pt;margin-top:313.213867pt;width:144.020004pt;height:.60004pt;mso-position-horizontal-relative:page;mso-position-vertical-relative:paragraph;z-index:-15629312;mso-wrap-distance-left:0;mso-wrap-distance-right:0" filled="true" fillcolor="#000000" stroked="false">
            <v:fill type="solid"/>
            <w10:wrap type="topAndBottom"/>
          </v:rect>
        </w:pict>
      </w:r>
    </w:p>
    <w:p>
      <w:pPr>
        <w:pStyle w:val="BodyText"/>
        <w:rPr>
          <w:sz w:val="26"/>
        </w:rPr>
      </w:pPr>
    </w:p>
    <w:p>
      <w:pPr>
        <w:pStyle w:val="BodyText"/>
        <w:spacing w:before="5"/>
        <w:rPr>
          <w:sz w:val="16"/>
        </w:rPr>
      </w:pPr>
    </w:p>
    <w:p>
      <w:pPr>
        <w:pStyle w:val="ListParagraph"/>
        <w:numPr>
          <w:ilvl w:val="0"/>
          <w:numId w:val="82"/>
        </w:numPr>
        <w:tabs>
          <w:tab w:pos="1005" w:val="left" w:leader="none"/>
        </w:tabs>
        <w:spacing w:line="240" w:lineRule="auto" w:before="94" w:after="0"/>
        <w:ind w:left="1004" w:right="0" w:hanging="282"/>
        <w:jc w:val="left"/>
        <w:rPr>
          <w:sz w:val="18"/>
        </w:rPr>
      </w:pPr>
      <w:r>
        <w:rPr>
          <w:sz w:val="18"/>
        </w:rPr>
        <w:t>In practice, the identification of the paying entity (or entities) should follow the rules articulated in the Section</w:t>
      </w:r>
      <w:r>
        <w:rPr>
          <w:spacing w:val="-26"/>
          <w:sz w:val="18"/>
        </w:rPr>
        <w:t> </w:t>
      </w:r>
      <w:hyperlink w:history="true" w:anchor="_bookmark53">
        <w:r>
          <w:rPr>
            <w:sz w:val="18"/>
          </w:rPr>
          <w:t>7.2.</w:t>
        </w:r>
      </w:hyperlink>
    </w:p>
    <w:p>
      <w:pPr>
        <w:spacing w:after="0" w:line="240" w:lineRule="auto"/>
        <w:jc w:val="left"/>
        <w:rPr>
          <w:sz w:val="18"/>
        </w:rPr>
        <w:sectPr>
          <w:pgSz w:w="11910" w:h="16840"/>
          <w:pgMar w:header="1244" w:footer="1638" w:top="1500" w:bottom="1820" w:left="580" w:right="820"/>
        </w:sectPr>
      </w:pPr>
    </w:p>
    <w:p>
      <w:pPr>
        <w:pStyle w:val="BodyText"/>
        <w:spacing w:before="3"/>
        <w:rPr>
          <w:sz w:val="21"/>
        </w:rPr>
      </w:pPr>
      <w:r>
        <w:rPr/>
        <w:pict>
          <v:group style="position:absolute;margin-left:64.704002pt;margin-top:90.739967pt;width:466.05pt;height:598.4pt;mso-position-horizontal-relative:page;mso-position-vertical-relative:page;z-index:-19490816" coordorigin="1294,1815" coordsize="9321,11968">
            <v:rect style="position:absolute;left:1303;top:1824;width:9302;height:11949" filled="true" fillcolor="#eeece1" stroked="false">
              <v:fill type="solid"/>
            </v:rect>
            <v:shape style="position:absolute;left:1294;top:1814;width:9321;height:11969" coordorigin="1294,1815" coordsize="9321,11969" path="m10605,13773l1304,13773,1304,1825,1294,1825,1294,13773,1294,13783,1304,13783,1304,13783,10605,13783,10605,13773xm10605,1815l1304,1815,1304,1815,1294,1815,1294,1824,1304,1824,1304,1824,10605,1824,10605,1815xm10615,1825l10605,1825,10605,13773,10605,13783,10615,13783,10615,13773,10615,1825xm10615,1815l10605,1815,10605,1824,10615,1824,10615,1815xe" filled="true" fillcolor="#4e81bd" stroked="false">
              <v:path arrowok="t"/>
              <v:fill type="solid"/>
            </v:shape>
            <w10:wrap type="none"/>
          </v:group>
        </w:pict>
      </w:r>
    </w:p>
    <w:p>
      <w:pPr>
        <w:pStyle w:val="BodyText"/>
        <w:spacing w:line="271" w:lineRule="auto" w:before="93"/>
        <w:ind w:left="860" w:right="624"/>
        <w:jc w:val="both"/>
      </w:pPr>
      <w:r>
        <w:rPr/>
        <w:t>as shown in the table below. The profit margins earned by Distributor 3 exceeds those earned by Distributor 4 and 5. This could be for a number of reasons, such as the effectiveness of their local operations or the underlying economic conditions in the different markets.</w:t>
      </w:r>
    </w:p>
    <w:p>
      <w:pPr>
        <w:pStyle w:val="BodyText"/>
        <w:spacing w:before="1"/>
        <w:rPr>
          <w:sz w:val="8"/>
        </w:rPr>
      </w:pPr>
    </w:p>
    <w:tbl>
      <w:tblPr>
        <w:tblW w:w="0" w:type="auto"/>
        <w:jc w:val="left"/>
        <w:tblInd w:w="1271"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706"/>
        <w:gridCol w:w="1066"/>
        <w:gridCol w:w="1065"/>
        <w:gridCol w:w="1063"/>
        <w:gridCol w:w="1063"/>
        <w:gridCol w:w="1059"/>
        <w:gridCol w:w="1152"/>
      </w:tblGrid>
      <w:tr>
        <w:trPr>
          <w:trHeight w:val="458" w:hRule="atLeast"/>
        </w:trPr>
        <w:tc>
          <w:tcPr>
            <w:tcW w:w="1706" w:type="dxa"/>
            <w:vMerge w:val="restart"/>
            <w:tcBorders>
              <w:left w:val="nil"/>
              <w:bottom w:val="single" w:sz="4" w:space="0" w:color="4E81BD"/>
              <w:right w:val="single" w:sz="6" w:space="0" w:color="D2D2D2"/>
            </w:tcBorders>
            <w:shd w:val="clear" w:color="auto" w:fill="EEECE1"/>
          </w:tcPr>
          <w:p>
            <w:pPr>
              <w:pStyle w:val="TableParagraph"/>
              <w:spacing w:before="0"/>
              <w:jc w:val="left"/>
              <w:rPr>
                <w:rFonts w:ascii="Times New Roman"/>
                <w:sz w:val="18"/>
              </w:rPr>
            </w:pPr>
          </w:p>
        </w:tc>
        <w:tc>
          <w:tcPr>
            <w:tcW w:w="1066" w:type="dxa"/>
            <w:tcBorders>
              <w:left w:val="single" w:sz="6" w:space="0" w:color="D2D2D2"/>
              <w:bottom w:val="single" w:sz="6" w:space="0" w:color="4E81BD"/>
              <w:right w:val="single" w:sz="6" w:space="0" w:color="D2D2D2"/>
            </w:tcBorders>
            <w:shd w:val="clear" w:color="auto" w:fill="EEECE1"/>
          </w:tcPr>
          <w:p>
            <w:pPr>
              <w:pStyle w:val="TableParagraph"/>
              <w:spacing w:before="136"/>
              <w:ind w:left="201" w:right="170"/>
              <w:rPr>
                <w:b/>
                <w:sz w:val="18"/>
              </w:rPr>
            </w:pPr>
            <w:r>
              <w:rPr>
                <w:b/>
                <w:sz w:val="18"/>
              </w:rPr>
              <w:t>IP Owner</w:t>
            </w:r>
          </w:p>
        </w:tc>
        <w:tc>
          <w:tcPr>
            <w:tcW w:w="1065"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501" w:right="110" w:hanging="336"/>
              <w:jc w:val="left"/>
              <w:rPr>
                <w:b/>
                <w:sz w:val="18"/>
              </w:rPr>
            </w:pPr>
            <w:r>
              <w:rPr>
                <w:b/>
                <w:sz w:val="18"/>
              </w:rPr>
              <w:t>Distributor 2</w:t>
            </w:r>
          </w:p>
        </w:tc>
        <w:tc>
          <w:tcPr>
            <w:tcW w:w="106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497" w:right="112" w:hanging="336"/>
              <w:jc w:val="left"/>
              <w:rPr>
                <w:b/>
                <w:sz w:val="18"/>
              </w:rPr>
            </w:pPr>
            <w:r>
              <w:rPr>
                <w:b/>
                <w:sz w:val="18"/>
              </w:rPr>
              <w:t>Distributor 3</w:t>
            </w:r>
          </w:p>
        </w:tc>
        <w:tc>
          <w:tcPr>
            <w:tcW w:w="106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498" w:right="111" w:hanging="336"/>
              <w:jc w:val="left"/>
              <w:rPr>
                <w:b/>
                <w:sz w:val="18"/>
              </w:rPr>
            </w:pPr>
            <w:r>
              <w:rPr>
                <w:b/>
                <w:sz w:val="18"/>
              </w:rPr>
              <w:t>Distributor 4</w:t>
            </w:r>
          </w:p>
        </w:tc>
        <w:tc>
          <w:tcPr>
            <w:tcW w:w="1059"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3"/>
              <w:ind w:left="498" w:right="107" w:hanging="336"/>
              <w:jc w:val="left"/>
              <w:rPr>
                <w:b/>
                <w:sz w:val="18"/>
              </w:rPr>
            </w:pPr>
            <w:r>
              <w:rPr>
                <w:b/>
                <w:sz w:val="18"/>
              </w:rPr>
              <w:t>Distributor 5</w:t>
            </w:r>
          </w:p>
        </w:tc>
        <w:tc>
          <w:tcPr>
            <w:tcW w:w="1152" w:type="dxa"/>
            <w:tcBorders>
              <w:left w:val="single" w:sz="6" w:space="0" w:color="D2D2D2"/>
              <w:bottom w:val="single" w:sz="6" w:space="0" w:color="4E81BD"/>
              <w:right w:val="nil"/>
            </w:tcBorders>
            <w:shd w:val="clear" w:color="auto" w:fill="EEECE1"/>
          </w:tcPr>
          <w:p>
            <w:pPr>
              <w:pStyle w:val="TableParagraph"/>
              <w:spacing w:before="136"/>
              <w:ind w:left="97" w:right="69"/>
              <w:rPr>
                <w:b/>
                <w:sz w:val="18"/>
              </w:rPr>
            </w:pPr>
            <w:r>
              <w:rPr>
                <w:b/>
                <w:sz w:val="18"/>
              </w:rPr>
              <w:t>Total</w:t>
            </w:r>
          </w:p>
        </w:tc>
      </w:tr>
      <w:tr>
        <w:trPr>
          <w:trHeight w:val="460" w:hRule="atLeast"/>
        </w:trPr>
        <w:tc>
          <w:tcPr>
            <w:tcW w:w="1706" w:type="dxa"/>
            <w:vMerge/>
            <w:tcBorders>
              <w:top w:val="nil"/>
              <w:left w:val="nil"/>
              <w:bottom w:val="single" w:sz="4" w:space="0" w:color="4E81BD"/>
              <w:right w:val="single" w:sz="6" w:space="0" w:color="D2D2D2"/>
            </w:tcBorders>
            <w:shd w:val="clear" w:color="auto" w:fill="EEECE1"/>
          </w:tcPr>
          <w:p>
            <w:pPr>
              <w:rPr>
                <w:sz w:val="2"/>
                <w:szCs w:val="2"/>
              </w:rPr>
            </w:pPr>
          </w:p>
        </w:tc>
        <w:tc>
          <w:tcPr>
            <w:tcW w:w="1066"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502" w:right="72" w:hanging="380"/>
              <w:jc w:val="left"/>
              <w:rPr>
                <w:b/>
                <w:sz w:val="18"/>
              </w:rPr>
            </w:pPr>
            <w:r>
              <w:rPr>
                <w:b/>
                <w:sz w:val="18"/>
              </w:rPr>
              <w:t>Jurisdiction 1</w:t>
            </w:r>
          </w:p>
        </w:tc>
        <w:tc>
          <w:tcPr>
            <w:tcW w:w="1065"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501" w:right="72" w:hanging="380"/>
              <w:jc w:val="left"/>
              <w:rPr>
                <w:b/>
                <w:sz w:val="18"/>
              </w:rPr>
            </w:pPr>
            <w:r>
              <w:rPr>
                <w:b/>
                <w:sz w:val="18"/>
              </w:rPr>
              <w:t>Jurisdiction 2</w:t>
            </w:r>
          </w:p>
        </w:tc>
        <w:tc>
          <w:tcPr>
            <w:tcW w:w="1063"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7" w:right="71" w:hanging="377"/>
              <w:jc w:val="left"/>
              <w:rPr>
                <w:b/>
                <w:sz w:val="18"/>
              </w:rPr>
            </w:pPr>
            <w:r>
              <w:rPr>
                <w:b/>
                <w:sz w:val="18"/>
              </w:rPr>
              <w:t>Jurisdiction 3</w:t>
            </w:r>
          </w:p>
        </w:tc>
        <w:tc>
          <w:tcPr>
            <w:tcW w:w="1063"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8" w:right="70" w:hanging="377"/>
              <w:jc w:val="left"/>
              <w:rPr>
                <w:b/>
                <w:sz w:val="18"/>
              </w:rPr>
            </w:pPr>
            <w:r>
              <w:rPr>
                <w:b/>
                <w:sz w:val="18"/>
              </w:rPr>
              <w:t>Jurisdiction 4</w:t>
            </w:r>
          </w:p>
        </w:tc>
        <w:tc>
          <w:tcPr>
            <w:tcW w:w="1059" w:type="dxa"/>
            <w:tcBorders>
              <w:top w:val="single" w:sz="6" w:space="0" w:color="4E81BD"/>
              <w:left w:val="single" w:sz="6" w:space="0" w:color="D2D2D2"/>
              <w:bottom w:val="single" w:sz="4" w:space="0" w:color="4E81BD"/>
              <w:right w:val="single" w:sz="6" w:space="0" w:color="D2D2D2"/>
            </w:tcBorders>
            <w:shd w:val="clear" w:color="auto" w:fill="EEECE1"/>
          </w:tcPr>
          <w:p>
            <w:pPr>
              <w:pStyle w:val="TableParagraph"/>
              <w:spacing w:line="220" w:lineRule="atLeast" w:before="14"/>
              <w:ind w:left="498" w:right="66" w:hanging="377"/>
              <w:jc w:val="left"/>
              <w:rPr>
                <w:b/>
                <w:sz w:val="18"/>
              </w:rPr>
            </w:pPr>
            <w:r>
              <w:rPr>
                <w:b/>
                <w:sz w:val="18"/>
              </w:rPr>
              <w:t>Jurisdiction 5</w:t>
            </w:r>
          </w:p>
        </w:tc>
        <w:tc>
          <w:tcPr>
            <w:tcW w:w="1152" w:type="dxa"/>
            <w:tcBorders>
              <w:top w:val="single" w:sz="6" w:space="0" w:color="4E81BD"/>
              <w:left w:val="single" w:sz="6" w:space="0" w:color="D2D2D2"/>
              <w:bottom w:val="single" w:sz="4" w:space="0" w:color="4E81BD"/>
              <w:right w:val="nil"/>
            </w:tcBorders>
            <w:shd w:val="clear" w:color="auto" w:fill="EEECE1"/>
          </w:tcPr>
          <w:p>
            <w:pPr>
              <w:pStyle w:val="TableParagraph"/>
              <w:spacing w:before="138"/>
              <w:ind w:left="97" w:right="69"/>
              <w:rPr>
                <w:b/>
                <w:sz w:val="18"/>
              </w:rPr>
            </w:pPr>
            <w:r>
              <w:rPr>
                <w:b/>
                <w:sz w:val="18"/>
              </w:rPr>
              <w:t>Consolidated</w:t>
            </w:r>
          </w:p>
        </w:tc>
      </w:tr>
      <w:tr>
        <w:trPr>
          <w:trHeight w:val="239" w:hRule="atLeast"/>
        </w:trPr>
        <w:tc>
          <w:tcPr>
            <w:tcW w:w="1706" w:type="dxa"/>
            <w:tcBorders>
              <w:top w:val="single" w:sz="4" w:space="0" w:color="4E81BD"/>
              <w:left w:val="nil"/>
              <w:bottom w:val="single" w:sz="6" w:space="0" w:color="D2D2D2"/>
              <w:right w:val="single" w:sz="6" w:space="0" w:color="D2D2D2"/>
            </w:tcBorders>
            <w:shd w:val="clear" w:color="auto" w:fill="EEECE1"/>
          </w:tcPr>
          <w:p>
            <w:pPr>
              <w:pStyle w:val="TableParagraph"/>
              <w:spacing w:line="192" w:lineRule="exact"/>
              <w:ind w:left="164" w:right="115"/>
              <w:rPr>
                <w:b/>
                <w:sz w:val="18"/>
              </w:rPr>
            </w:pPr>
            <w:r>
              <w:rPr>
                <w:b/>
                <w:sz w:val="18"/>
              </w:rPr>
              <w:t>Revenue</w:t>
            </w:r>
          </w:p>
        </w:tc>
        <w:tc>
          <w:tcPr>
            <w:tcW w:w="1066"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201" w:right="168"/>
              <w:rPr>
                <w:sz w:val="18"/>
              </w:rPr>
            </w:pPr>
            <w:r>
              <w:rPr>
                <w:sz w:val="18"/>
              </w:rPr>
              <w:t>2,000</w:t>
            </w:r>
          </w:p>
        </w:tc>
        <w:tc>
          <w:tcPr>
            <w:tcW w:w="1065"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right="322"/>
              <w:jc w:val="right"/>
              <w:rPr>
                <w:sz w:val="18"/>
              </w:rPr>
            </w:pPr>
            <w:r>
              <w:rPr>
                <w:sz w:val="18"/>
              </w:rPr>
              <w:t>4,000</w:t>
            </w:r>
          </w:p>
        </w:tc>
        <w:tc>
          <w:tcPr>
            <w:tcW w:w="1063"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53"/>
              <w:jc w:val="left"/>
              <w:rPr>
                <w:sz w:val="18"/>
              </w:rPr>
            </w:pPr>
            <w:r>
              <w:rPr>
                <w:sz w:val="18"/>
              </w:rPr>
              <w:t>2,000</w:t>
            </w:r>
          </w:p>
        </w:tc>
        <w:tc>
          <w:tcPr>
            <w:tcW w:w="1063"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31" w:right="303"/>
              <w:rPr>
                <w:sz w:val="18"/>
              </w:rPr>
            </w:pPr>
            <w:r>
              <w:rPr>
                <w:sz w:val="18"/>
              </w:rPr>
              <w:t>3,000</w:t>
            </w:r>
          </w:p>
        </w:tc>
        <w:tc>
          <w:tcPr>
            <w:tcW w:w="1059"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332" w:right="300"/>
              <w:rPr>
                <w:sz w:val="18"/>
              </w:rPr>
            </w:pPr>
            <w:r>
              <w:rPr>
                <w:sz w:val="18"/>
              </w:rPr>
              <w:t>3,000</w:t>
            </w:r>
          </w:p>
        </w:tc>
        <w:tc>
          <w:tcPr>
            <w:tcW w:w="1152" w:type="dxa"/>
            <w:vMerge w:val="restart"/>
            <w:tcBorders>
              <w:top w:val="single" w:sz="4" w:space="0" w:color="4E81BD"/>
              <w:left w:val="single" w:sz="6" w:space="0" w:color="D2D2D2"/>
              <w:bottom w:val="single" w:sz="6" w:space="0" w:color="D2D2D2"/>
              <w:right w:val="nil"/>
            </w:tcBorders>
            <w:shd w:val="clear" w:color="auto" w:fill="EEECE1"/>
          </w:tcPr>
          <w:p>
            <w:pPr>
              <w:pStyle w:val="TableParagraph"/>
              <w:ind w:left="361"/>
              <w:jc w:val="left"/>
              <w:rPr>
                <w:sz w:val="18"/>
              </w:rPr>
            </w:pPr>
            <w:r>
              <w:rPr>
                <w:sz w:val="18"/>
              </w:rPr>
              <w:t>12,000</w:t>
            </w:r>
          </w:p>
        </w:tc>
      </w:tr>
      <w:tr>
        <w:trPr>
          <w:trHeight w:val="239" w:hRule="atLeast"/>
        </w:trPr>
        <w:tc>
          <w:tcPr>
            <w:tcW w:w="1706"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ind w:left="164" w:right="116"/>
              <w:rPr>
                <w:b/>
                <w:sz w:val="18"/>
              </w:rPr>
            </w:pPr>
            <w:r>
              <w:rPr>
                <w:b/>
                <w:sz w:val="18"/>
              </w:rPr>
              <w:t>Third party revenue</w:t>
            </w:r>
          </w:p>
        </w:tc>
        <w:tc>
          <w:tcPr>
            <w:tcW w:w="1066"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5"/>
              <w:rPr>
                <w:sz w:val="18"/>
              </w:rPr>
            </w:pPr>
            <w:r>
              <w:rPr>
                <w:sz w:val="18"/>
              </w:rPr>
              <w:t>0</w:t>
            </w:r>
          </w:p>
        </w:tc>
        <w:tc>
          <w:tcPr>
            <w:tcW w:w="106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right="322"/>
              <w:jc w:val="right"/>
              <w:rPr>
                <w:sz w:val="18"/>
              </w:rPr>
            </w:pPr>
            <w:r>
              <w:rPr>
                <w:sz w:val="18"/>
              </w:rPr>
              <w:t>4,000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53"/>
              <w:jc w:val="left"/>
              <w:rPr>
                <w:sz w:val="18"/>
              </w:rPr>
            </w:pPr>
            <w:r>
              <w:rPr>
                <w:sz w:val="18"/>
              </w:rPr>
              <w:t>2,000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31" w:right="303"/>
              <w:rPr>
                <w:sz w:val="18"/>
              </w:rPr>
            </w:pPr>
            <w:r>
              <w:rPr>
                <w:sz w:val="18"/>
              </w:rPr>
              <w:t>3,000</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ind w:left="332" w:right="300"/>
              <w:rPr>
                <w:sz w:val="18"/>
              </w:rPr>
            </w:pPr>
            <w:r>
              <w:rPr>
                <w:sz w:val="18"/>
              </w:rPr>
              <w:t>3,000</w:t>
            </w:r>
          </w:p>
        </w:tc>
        <w:tc>
          <w:tcPr>
            <w:tcW w:w="1152" w:type="dxa"/>
            <w:vMerge/>
            <w:tcBorders>
              <w:top w:val="nil"/>
              <w:left w:val="single" w:sz="6" w:space="0" w:color="D2D2D2"/>
              <w:bottom w:val="single" w:sz="6" w:space="0" w:color="D2D2D2"/>
              <w:right w:val="nil"/>
            </w:tcBorders>
            <w:shd w:val="clear" w:color="auto" w:fill="EEECE1"/>
          </w:tcPr>
          <w:p>
            <w:pPr>
              <w:rPr>
                <w:sz w:val="2"/>
                <w:szCs w:val="2"/>
              </w:rPr>
            </w:pPr>
          </w:p>
        </w:tc>
      </w:tr>
      <w:tr>
        <w:trPr>
          <w:trHeight w:val="241" w:hRule="atLeast"/>
        </w:trPr>
        <w:tc>
          <w:tcPr>
            <w:tcW w:w="1706"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before="30"/>
              <w:ind w:left="164" w:right="114"/>
              <w:rPr>
                <w:b/>
                <w:sz w:val="18"/>
              </w:rPr>
            </w:pPr>
            <w:r>
              <w:rPr>
                <w:b/>
                <w:sz w:val="18"/>
              </w:rPr>
              <w:t>Intragroup revenue</w:t>
            </w:r>
          </w:p>
        </w:tc>
        <w:tc>
          <w:tcPr>
            <w:tcW w:w="1066"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201" w:right="168"/>
              <w:rPr>
                <w:sz w:val="18"/>
              </w:rPr>
            </w:pPr>
            <w:r>
              <w:rPr>
                <w:sz w:val="18"/>
              </w:rPr>
              <w:t>2,000</w:t>
            </w:r>
          </w:p>
        </w:tc>
        <w:tc>
          <w:tcPr>
            <w:tcW w:w="106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5"/>
              <w:rPr>
                <w:sz w:val="18"/>
              </w:rPr>
            </w:pPr>
            <w:r>
              <w:rPr>
                <w:sz w:val="18"/>
              </w:rPr>
              <w:t>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29"/>
              <w:rPr>
                <w:sz w:val="18"/>
              </w:rPr>
            </w:pPr>
            <w:r>
              <w:rPr>
                <w:sz w:val="18"/>
              </w:rPr>
              <w:t>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0"/>
              <w:rPr>
                <w:sz w:val="18"/>
              </w:rPr>
            </w:pPr>
            <w:r>
              <w:rPr>
                <w:sz w:val="18"/>
              </w:rPr>
              <w:t>0</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34"/>
              <w:rPr>
                <w:sz w:val="18"/>
              </w:rPr>
            </w:pPr>
            <w:r>
              <w:rPr>
                <w:sz w:val="18"/>
              </w:rPr>
              <w:t>0</w:t>
            </w:r>
          </w:p>
        </w:tc>
        <w:tc>
          <w:tcPr>
            <w:tcW w:w="1152" w:type="dxa"/>
            <w:tcBorders>
              <w:top w:val="single" w:sz="6" w:space="0" w:color="D2D2D2"/>
              <w:left w:val="single" w:sz="6" w:space="0" w:color="D2D2D2"/>
              <w:bottom w:val="single" w:sz="6" w:space="0" w:color="D2D2D2"/>
              <w:right w:val="nil"/>
            </w:tcBorders>
            <w:shd w:val="clear" w:color="auto" w:fill="EEECE1"/>
          </w:tcPr>
          <w:p>
            <w:pPr>
              <w:pStyle w:val="TableParagraph"/>
              <w:spacing w:before="0"/>
              <w:jc w:val="left"/>
              <w:rPr>
                <w:rFonts w:ascii="Times New Roman"/>
                <w:sz w:val="16"/>
              </w:rPr>
            </w:pPr>
          </w:p>
        </w:tc>
      </w:tr>
      <w:tr>
        <w:trPr>
          <w:trHeight w:val="460" w:hRule="atLeast"/>
        </w:trPr>
        <w:tc>
          <w:tcPr>
            <w:tcW w:w="1706" w:type="dxa"/>
            <w:tcBorders>
              <w:top w:val="single" w:sz="6" w:space="0" w:color="D2D2D2"/>
              <w:left w:val="nil"/>
              <w:bottom w:val="single" w:sz="6" w:space="0" w:color="D2D2D2"/>
              <w:right w:val="single" w:sz="6" w:space="0" w:color="D2D2D2"/>
            </w:tcBorders>
            <w:shd w:val="clear" w:color="auto" w:fill="EEECE1"/>
          </w:tcPr>
          <w:p>
            <w:pPr>
              <w:pStyle w:val="TableParagraph"/>
              <w:spacing w:line="220" w:lineRule="atLeast" w:before="14"/>
              <w:ind w:left="676" w:right="238" w:hanging="368"/>
              <w:jc w:val="left"/>
              <w:rPr>
                <w:b/>
                <w:sz w:val="18"/>
              </w:rPr>
            </w:pPr>
            <w:r>
              <w:rPr>
                <w:b/>
                <w:sz w:val="18"/>
              </w:rPr>
              <w:t>Profit before tax (PBT)</w:t>
            </w:r>
          </w:p>
        </w:tc>
        <w:tc>
          <w:tcPr>
            <w:tcW w:w="1066"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00" w:right="170"/>
              <w:rPr>
                <w:sz w:val="18"/>
              </w:rPr>
            </w:pPr>
            <w:r>
              <w:rPr>
                <w:sz w:val="18"/>
              </w:rPr>
              <w:t>750</w:t>
            </w:r>
          </w:p>
        </w:tc>
        <w:tc>
          <w:tcPr>
            <w:tcW w:w="106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right="385"/>
              <w:jc w:val="right"/>
              <w:rPr>
                <w:sz w:val="18"/>
              </w:rPr>
            </w:pPr>
            <w:r>
              <w:rPr>
                <w:sz w:val="18"/>
              </w:rPr>
              <w:t>200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416"/>
              <w:jc w:val="left"/>
              <w:rPr>
                <w:sz w:val="18"/>
              </w:rPr>
            </w:pPr>
            <w:r>
              <w:rPr>
                <w:sz w:val="18"/>
              </w:rPr>
              <w:t>650</w:t>
            </w:r>
          </w:p>
        </w:tc>
        <w:tc>
          <w:tcPr>
            <w:tcW w:w="106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31" w:right="301"/>
              <w:rPr>
                <w:sz w:val="18"/>
              </w:rPr>
            </w:pPr>
            <w:r>
              <w:rPr>
                <w:sz w:val="18"/>
              </w:rPr>
              <w:t>400</w:t>
            </w:r>
          </w:p>
        </w:tc>
        <w:tc>
          <w:tcPr>
            <w:tcW w:w="1059"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32" w:right="298"/>
              <w:rPr>
                <w:sz w:val="18"/>
              </w:rPr>
            </w:pPr>
            <w:r>
              <w:rPr>
                <w:sz w:val="18"/>
              </w:rPr>
              <w:t>450</w:t>
            </w:r>
          </w:p>
        </w:tc>
        <w:tc>
          <w:tcPr>
            <w:tcW w:w="1152" w:type="dxa"/>
            <w:tcBorders>
              <w:top w:val="single" w:sz="6" w:space="0" w:color="D2D2D2"/>
              <w:left w:val="single" w:sz="6" w:space="0" w:color="D2D2D2"/>
              <w:bottom w:val="single" w:sz="6" w:space="0" w:color="D2D2D2"/>
              <w:right w:val="nil"/>
            </w:tcBorders>
            <w:shd w:val="clear" w:color="auto" w:fill="EEECE1"/>
          </w:tcPr>
          <w:p>
            <w:pPr>
              <w:pStyle w:val="TableParagraph"/>
              <w:spacing w:before="138"/>
              <w:ind w:left="97" w:right="69"/>
              <w:rPr>
                <w:sz w:val="18"/>
              </w:rPr>
            </w:pPr>
            <w:r>
              <w:rPr>
                <w:sz w:val="18"/>
              </w:rPr>
              <w:t>2,450</w:t>
            </w:r>
          </w:p>
        </w:tc>
      </w:tr>
      <w:tr>
        <w:trPr>
          <w:trHeight w:val="239" w:hRule="atLeast"/>
        </w:trPr>
        <w:tc>
          <w:tcPr>
            <w:tcW w:w="1706" w:type="dxa"/>
            <w:tcBorders>
              <w:top w:val="single" w:sz="6" w:space="0" w:color="D2D2D2"/>
              <w:left w:val="nil"/>
              <w:right w:val="single" w:sz="6" w:space="0" w:color="D2D2D2"/>
            </w:tcBorders>
            <w:shd w:val="clear" w:color="auto" w:fill="EEECE1"/>
          </w:tcPr>
          <w:p>
            <w:pPr>
              <w:pStyle w:val="TableParagraph"/>
              <w:spacing w:line="191" w:lineRule="exact"/>
              <w:ind w:left="164" w:right="114"/>
              <w:rPr>
                <w:b/>
                <w:sz w:val="18"/>
              </w:rPr>
            </w:pPr>
            <w:r>
              <w:rPr>
                <w:b/>
                <w:sz w:val="18"/>
              </w:rPr>
              <w:t>Profit margin (%)</w:t>
            </w:r>
          </w:p>
        </w:tc>
        <w:tc>
          <w:tcPr>
            <w:tcW w:w="1066" w:type="dxa"/>
            <w:tcBorders>
              <w:top w:val="single" w:sz="6" w:space="0" w:color="D2D2D2"/>
              <w:left w:val="single" w:sz="6" w:space="0" w:color="D2D2D2"/>
              <w:right w:val="single" w:sz="6" w:space="0" w:color="D2D2D2"/>
            </w:tcBorders>
            <w:shd w:val="clear" w:color="auto" w:fill="EEECE1"/>
          </w:tcPr>
          <w:p>
            <w:pPr>
              <w:pStyle w:val="TableParagraph"/>
              <w:spacing w:line="191" w:lineRule="exact"/>
              <w:ind w:left="201" w:right="170"/>
              <w:rPr>
                <w:sz w:val="18"/>
              </w:rPr>
            </w:pPr>
            <w:r>
              <w:rPr>
                <w:sz w:val="18"/>
              </w:rPr>
              <w:t>38%</w:t>
            </w:r>
          </w:p>
        </w:tc>
        <w:tc>
          <w:tcPr>
            <w:tcW w:w="1065" w:type="dxa"/>
            <w:tcBorders>
              <w:top w:val="single" w:sz="6" w:space="0" w:color="D2D2D2"/>
              <w:left w:val="single" w:sz="6" w:space="0" w:color="D2D2D2"/>
              <w:right w:val="single" w:sz="6" w:space="0" w:color="D2D2D2"/>
            </w:tcBorders>
            <w:shd w:val="clear" w:color="auto" w:fill="EEECE1"/>
          </w:tcPr>
          <w:p>
            <w:pPr>
              <w:pStyle w:val="TableParagraph"/>
              <w:spacing w:line="191" w:lineRule="exact"/>
              <w:ind w:right="401"/>
              <w:jc w:val="right"/>
              <w:rPr>
                <w:sz w:val="18"/>
              </w:rPr>
            </w:pPr>
            <w:r>
              <w:rPr>
                <w:sz w:val="18"/>
              </w:rPr>
              <w:t>5%</w:t>
            </w:r>
          </w:p>
        </w:tc>
        <w:tc>
          <w:tcPr>
            <w:tcW w:w="1063" w:type="dxa"/>
            <w:tcBorders>
              <w:top w:val="single" w:sz="6" w:space="0" w:color="D2D2D2"/>
              <w:left w:val="single" w:sz="6" w:space="0" w:color="D2D2D2"/>
              <w:right w:val="single" w:sz="6" w:space="0" w:color="D2D2D2"/>
            </w:tcBorders>
            <w:shd w:val="clear" w:color="auto" w:fill="EEECE1"/>
          </w:tcPr>
          <w:p>
            <w:pPr>
              <w:pStyle w:val="TableParagraph"/>
              <w:spacing w:line="191" w:lineRule="exact"/>
              <w:ind w:left="392"/>
              <w:jc w:val="left"/>
              <w:rPr>
                <w:sz w:val="18"/>
              </w:rPr>
            </w:pPr>
            <w:r>
              <w:rPr>
                <w:sz w:val="18"/>
              </w:rPr>
              <w:t>33%</w:t>
            </w:r>
          </w:p>
        </w:tc>
        <w:tc>
          <w:tcPr>
            <w:tcW w:w="1063" w:type="dxa"/>
            <w:tcBorders>
              <w:top w:val="single" w:sz="6" w:space="0" w:color="D2D2D2"/>
              <w:left w:val="single" w:sz="6" w:space="0" w:color="D2D2D2"/>
              <w:right w:val="single" w:sz="6" w:space="0" w:color="D2D2D2"/>
            </w:tcBorders>
            <w:shd w:val="clear" w:color="auto" w:fill="EEECE1"/>
          </w:tcPr>
          <w:p>
            <w:pPr>
              <w:pStyle w:val="TableParagraph"/>
              <w:spacing w:line="191" w:lineRule="exact"/>
              <w:ind w:left="331" w:right="300"/>
              <w:rPr>
                <w:sz w:val="18"/>
              </w:rPr>
            </w:pPr>
            <w:r>
              <w:rPr>
                <w:sz w:val="18"/>
              </w:rPr>
              <w:t>13%</w:t>
            </w:r>
          </w:p>
        </w:tc>
        <w:tc>
          <w:tcPr>
            <w:tcW w:w="1059" w:type="dxa"/>
            <w:tcBorders>
              <w:top w:val="single" w:sz="6" w:space="0" w:color="D2D2D2"/>
              <w:left w:val="single" w:sz="6" w:space="0" w:color="D2D2D2"/>
              <w:right w:val="single" w:sz="6" w:space="0" w:color="D2D2D2"/>
            </w:tcBorders>
            <w:shd w:val="clear" w:color="auto" w:fill="EEECE1"/>
          </w:tcPr>
          <w:p>
            <w:pPr>
              <w:pStyle w:val="TableParagraph"/>
              <w:spacing w:line="191" w:lineRule="exact"/>
              <w:ind w:left="332" w:right="297"/>
              <w:rPr>
                <w:sz w:val="18"/>
              </w:rPr>
            </w:pPr>
            <w:r>
              <w:rPr>
                <w:sz w:val="18"/>
              </w:rPr>
              <w:t>15%</w:t>
            </w:r>
          </w:p>
        </w:tc>
        <w:tc>
          <w:tcPr>
            <w:tcW w:w="1152" w:type="dxa"/>
            <w:tcBorders>
              <w:top w:val="single" w:sz="6" w:space="0" w:color="D2D2D2"/>
              <w:left w:val="single" w:sz="6" w:space="0" w:color="D2D2D2"/>
              <w:right w:val="nil"/>
            </w:tcBorders>
            <w:shd w:val="clear" w:color="auto" w:fill="EEECE1"/>
          </w:tcPr>
          <w:p>
            <w:pPr>
              <w:pStyle w:val="TableParagraph"/>
              <w:spacing w:line="191" w:lineRule="exact"/>
              <w:ind w:left="96" w:right="70"/>
              <w:rPr>
                <w:sz w:val="18"/>
              </w:rPr>
            </w:pPr>
            <w:r>
              <w:rPr>
                <w:sz w:val="18"/>
              </w:rPr>
              <w:t>20%</w:t>
            </w:r>
          </w:p>
        </w:tc>
      </w:tr>
    </w:tbl>
    <w:p>
      <w:pPr>
        <w:pStyle w:val="BodyText"/>
        <w:spacing w:line="271" w:lineRule="auto" w:before="149"/>
        <w:ind w:left="860" w:right="626"/>
        <w:jc w:val="both"/>
      </w:pPr>
      <w:r>
        <w:rPr/>
        <w:t>Under the new taxing right of Pillar One, Jurisdictions 2, 3, 4 and 5 would all (as eligible market jurisdiction</w:t>
      </w:r>
      <w:r>
        <w:rPr>
          <w:spacing w:val="-3"/>
        </w:rPr>
        <w:t> </w:t>
      </w:r>
      <w:r>
        <w:rPr/>
        <w:t>where</w:t>
      </w:r>
      <w:r>
        <w:rPr>
          <w:spacing w:val="-3"/>
        </w:rPr>
        <w:t> </w:t>
      </w:r>
      <w:r>
        <w:rPr/>
        <w:t>nexus</w:t>
      </w:r>
      <w:r>
        <w:rPr>
          <w:spacing w:val="-5"/>
        </w:rPr>
        <w:t> </w:t>
      </w:r>
      <w:r>
        <w:rPr/>
        <w:t>is</w:t>
      </w:r>
      <w:r>
        <w:rPr>
          <w:spacing w:val="-4"/>
        </w:rPr>
        <w:t> </w:t>
      </w:r>
      <w:r>
        <w:rPr/>
        <w:t>established)</w:t>
      </w:r>
      <w:r>
        <w:rPr>
          <w:spacing w:val="-5"/>
        </w:rPr>
        <w:t> </w:t>
      </w:r>
      <w:r>
        <w:rPr/>
        <w:t>be</w:t>
      </w:r>
      <w:r>
        <w:rPr>
          <w:spacing w:val="-6"/>
        </w:rPr>
        <w:t> </w:t>
      </w:r>
      <w:r>
        <w:rPr/>
        <w:t>allocated</w:t>
      </w:r>
      <w:r>
        <w:rPr>
          <w:spacing w:val="-3"/>
        </w:rPr>
        <w:t> </w:t>
      </w:r>
      <w:r>
        <w:rPr/>
        <w:t>Amount</w:t>
      </w:r>
      <w:r>
        <w:rPr>
          <w:spacing w:val="-6"/>
        </w:rPr>
        <w:t> </w:t>
      </w:r>
      <w:r>
        <w:rPr/>
        <w:t>A,</w:t>
      </w:r>
      <w:r>
        <w:rPr>
          <w:spacing w:val="-6"/>
        </w:rPr>
        <w:t> </w:t>
      </w:r>
      <w:r>
        <w:rPr/>
        <w:t>in</w:t>
      </w:r>
      <w:r>
        <w:rPr>
          <w:spacing w:val="-5"/>
        </w:rPr>
        <w:t> </w:t>
      </w:r>
      <w:r>
        <w:rPr/>
        <w:t>addition</w:t>
      </w:r>
      <w:r>
        <w:rPr>
          <w:spacing w:val="-6"/>
        </w:rPr>
        <w:t> </w:t>
      </w:r>
      <w:r>
        <w:rPr/>
        <w:t>to</w:t>
      </w:r>
      <w:r>
        <w:rPr>
          <w:spacing w:val="-5"/>
        </w:rPr>
        <w:t> </w:t>
      </w:r>
      <w:r>
        <w:rPr/>
        <w:t>the</w:t>
      </w:r>
      <w:r>
        <w:rPr>
          <w:spacing w:val="-5"/>
        </w:rPr>
        <w:t> </w:t>
      </w:r>
      <w:r>
        <w:rPr/>
        <w:t>profit</w:t>
      </w:r>
      <w:r>
        <w:rPr>
          <w:spacing w:val="-5"/>
        </w:rPr>
        <w:t> </w:t>
      </w:r>
      <w:r>
        <w:rPr/>
        <w:t>allocated</w:t>
      </w:r>
      <w:r>
        <w:rPr>
          <w:spacing w:val="-5"/>
        </w:rPr>
        <w:t> </w:t>
      </w:r>
      <w:r>
        <w:rPr/>
        <w:t>under existing</w:t>
      </w:r>
      <w:r>
        <w:rPr>
          <w:spacing w:val="-17"/>
        </w:rPr>
        <w:t> </w:t>
      </w:r>
      <w:r>
        <w:rPr/>
        <w:t>ALP-based</w:t>
      </w:r>
      <w:r>
        <w:rPr>
          <w:spacing w:val="-18"/>
        </w:rPr>
        <w:t> </w:t>
      </w:r>
      <w:r>
        <w:rPr/>
        <w:t>profit</w:t>
      </w:r>
      <w:r>
        <w:rPr>
          <w:spacing w:val="-16"/>
        </w:rPr>
        <w:t> </w:t>
      </w:r>
      <w:r>
        <w:rPr/>
        <w:t>allocation</w:t>
      </w:r>
      <w:r>
        <w:rPr>
          <w:spacing w:val="-17"/>
        </w:rPr>
        <w:t> </w:t>
      </w:r>
      <w:r>
        <w:rPr/>
        <w:t>rules</w:t>
      </w:r>
      <w:r>
        <w:rPr>
          <w:spacing w:val="-15"/>
        </w:rPr>
        <w:t> </w:t>
      </w:r>
      <w:r>
        <w:rPr/>
        <w:t>due</w:t>
      </w:r>
      <w:r>
        <w:rPr>
          <w:spacing w:val="-17"/>
        </w:rPr>
        <w:t> </w:t>
      </w:r>
      <w:r>
        <w:rPr/>
        <w:t>to</w:t>
      </w:r>
      <w:r>
        <w:rPr>
          <w:spacing w:val="-17"/>
        </w:rPr>
        <w:t> </w:t>
      </w:r>
      <w:r>
        <w:rPr/>
        <w:t>the</w:t>
      </w:r>
      <w:r>
        <w:rPr>
          <w:spacing w:val="-14"/>
        </w:rPr>
        <w:t> </w:t>
      </w:r>
      <w:r>
        <w:rPr/>
        <w:t>performance</w:t>
      </w:r>
      <w:r>
        <w:rPr>
          <w:spacing w:val="-17"/>
        </w:rPr>
        <w:t> </w:t>
      </w:r>
      <w:r>
        <w:rPr/>
        <w:t>of</w:t>
      </w:r>
      <w:r>
        <w:rPr>
          <w:spacing w:val="-17"/>
        </w:rPr>
        <w:t> </w:t>
      </w:r>
      <w:r>
        <w:rPr/>
        <w:t>marketing</w:t>
      </w:r>
      <w:r>
        <w:rPr>
          <w:spacing w:val="-18"/>
        </w:rPr>
        <w:t> </w:t>
      </w:r>
      <w:r>
        <w:rPr/>
        <w:t>and</w:t>
      </w:r>
      <w:r>
        <w:rPr>
          <w:spacing w:val="-17"/>
        </w:rPr>
        <w:t> </w:t>
      </w:r>
      <w:r>
        <w:rPr/>
        <w:t>distribution</w:t>
      </w:r>
      <w:r>
        <w:rPr>
          <w:spacing w:val="-17"/>
        </w:rPr>
        <w:t> </w:t>
      </w:r>
      <w:r>
        <w:rPr/>
        <w:t>activities. Jurisdiction</w:t>
      </w:r>
      <w:r>
        <w:rPr>
          <w:spacing w:val="-10"/>
        </w:rPr>
        <w:t> </w:t>
      </w:r>
      <w:r>
        <w:rPr/>
        <w:t>1</w:t>
      </w:r>
      <w:r>
        <w:rPr>
          <w:spacing w:val="-9"/>
        </w:rPr>
        <w:t> </w:t>
      </w:r>
      <w:r>
        <w:rPr/>
        <w:t>would</w:t>
      </w:r>
      <w:r>
        <w:rPr>
          <w:spacing w:val="-9"/>
        </w:rPr>
        <w:t> </w:t>
      </w:r>
      <w:r>
        <w:rPr/>
        <w:t>be</w:t>
      </w:r>
      <w:r>
        <w:rPr>
          <w:spacing w:val="-11"/>
        </w:rPr>
        <w:t> </w:t>
      </w:r>
      <w:r>
        <w:rPr/>
        <w:t>allocated</w:t>
      </w:r>
      <w:r>
        <w:rPr>
          <w:spacing w:val="-9"/>
        </w:rPr>
        <w:t> </w:t>
      </w:r>
      <w:r>
        <w:rPr/>
        <w:t>profit</w:t>
      </w:r>
      <w:r>
        <w:rPr>
          <w:spacing w:val="-9"/>
        </w:rPr>
        <w:t> </w:t>
      </w:r>
      <w:r>
        <w:rPr/>
        <w:t>under</w:t>
      </w:r>
      <w:r>
        <w:rPr>
          <w:spacing w:val="-11"/>
        </w:rPr>
        <w:t> </w:t>
      </w:r>
      <w:r>
        <w:rPr/>
        <w:t>existing</w:t>
      </w:r>
      <w:r>
        <w:rPr>
          <w:spacing w:val="-6"/>
        </w:rPr>
        <w:t> </w:t>
      </w:r>
      <w:r>
        <w:rPr/>
        <w:t>rules</w:t>
      </w:r>
      <w:r>
        <w:rPr>
          <w:spacing w:val="-10"/>
        </w:rPr>
        <w:t> </w:t>
      </w:r>
      <w:r>
        <w:rPr/>
        <w:t>for</w:t>
      </w:r>
      <w:r>
        <w:rPr>
          <w:spacing w:val="-11"/>
        </w:rPr>
        <w:t> </w:t>
      </w:r>
      <w:r>
        <w:rPr/>
        <w:t>the</w:t>
      </w:r>
      <w:r>
        <w:rPr>
          <w:spacing w:val="-11"/>
        </w:rPr>
        <w:t> </w:t>
      </w:r>
      <w:r>
        <w:rPr/>
        <w:t>activities</w:t>
      </w:r>
      <w:r>
        <w:rPr>
          <w:spacing w:val="-8"/>
        </w:rPr>
        <w:t> </w:t>
      </w:r>
      <w:r>
        <w:rPr/>
        <w:t>performed</w:t>
      </w:r>
      <w:r>
        <w:rPr>
          <w:spacing w:val="-12"/>
        </w:rPr>
        <w:t> </w:t>
      </w:r>
      <w:r>
        <w:rPr/>
        <w:t>by</w:t>
      </w:r>
      <w:r>
        <w:rPr>
          <w:spacing w:val="-15"/>
        </w:rPr>
        <w:t> </w:t>
      </w:r>
      <w:r>
        <w:rPr/>
        <w:t>the</w:t>
      </w:r>
      <w:r>
        <w:rPr>
          <w:spacing w:val="-10"/>
        </w:rPr>
        <w:t> </w:t>
      </w:r>
      <w:r>
        <w:rPr/>
        <w:t>IP</w:t>
      </w:r>
      <w:r>
        <w:rPr>
          <w:spacing w:val="-10"/>
        </w:rPr>
        <w:t> </w:t>
      </w:r>
      <w:r>
        <w:rPr/>
        <w:t>Owner. The results of these allocations are shown in the table</w:t>
      </w:r>
      <w:r>
        <w:rPr>
          <w:spacing w:val="-10"/>
        </w:rPr>
        <w:t> </w:t>
      </w:r>
      <w:r>
        <w:rPr/>
        <w:t>below.</w:t>
      </w:r>
    </w:p>
    <w:p>
      <w:pPr>
        <w:pStyle w:val="BodyText"/>
        <w:spacing w:line="271" w:lineRule="auto" w:before="122"/>
        <w:ind w:left="860" w:right="621"/>
        <w:jc w:val="both"/>
      </w:pPr>
      <w:r>
        <w:rPr/>
        <w:t>Prior to the elimination of double taxation, the Amount A profit allocated to Jurisdiction 3 could be said to give rise to double counting. It is more difficult to assess whether and how much of the allocation of Amount A to Jurisdictions 2, 4 or 5 constitutes double counting. These jurisdictions may have taxing rights over some residual profit derived from Group B’s marketing intangibles under the existing profit allocation rules, but measuring any related double counting is more complicated due to the lower profitability of the entities in those jurisdictions.</w:t>
      </w:r>
    </w:p>
    <w:p>
      <w:pPr>
        <w:pStyle w:val="BodyText"/>
        <w:spacing w:before="1"/>
        <w:rPr>
          <w:sz w:val="8"/>
        </w:rPr>
      </w:pPr>
    </w:p>
    <w:tbl>
      <w:tblPr>
        <w:tblW w:w="0" w:type="auto"/>
        <w:jc w:val="left"/>
        <w:tblInd w:w="1230"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704"/>
        <w:gridCol w:w="1093"/>
        <w:gridCol w:w="1092"/>
        <w:gridCol w:w="1095"/>
        <w:gridCol w:w="1092"/>
        <w:gridCol w:w="1093"/>
        <w:gridCol w:w="1092"/>
      </w:tblGrid>
      <w:tr>
        <w:trPr>
          <w:trHeight w:val="459" w:hRule="atLeast"/>
        </w:trPr>
        <w:tc>
          <w:tcPr>
            <w:tcW w:w="1704" w:type="dxa"/>
            <w:tcBorders>
              <w:left w:val="nil"/>
              <w:bottom w:val="single" w:sz="6" w:space="0" w:color="4E81BD"/>
              <w:right w:val="single" w:sz="6" w:space="0" w:color="D2D2D2"/>
            </w:tcBorders>
            <w:shd w:val="clear" w:color="auto" w:fill="EEECE1"/>
          </w:tcPr>
          <w:p>
            <w:pPr>
              <w:pStyle w:val="TableParagraph"/>
              <w:spacing w:before="136"/>
              <w:ind w:left="139" w:right="93"/>
              <w:rPr>
                <w:b/>
                <w:sz w:val="18"/>
              </w:rPr>
            </w:pPr>
            <w:r>
              <w:rPr>
                <w:b/>
                <w:sz w:val="18"/>
              </w:rPr>
              <w:t>in EUR million</w:t>
            </w:r>
          </w:p>
        </w:tc>
        <w:tc>
          <w:tcPr>
            <w:tcW w:w="109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509" w:right="90" w:hanging="378"/>
              <w:jc w:val="left"/>
              <w:rPr>
                <w:b/>
                <w:sz w:val="18"/>
              </w:rPr>
            </w:pPr>
            <w:r>
              <w:rPr>
                <w:b/>
                <w:sz w:val="18"/>
              </w:rPr>
              <w:t>Jurisdiction 1</w:t>
            </w:r>
          </w:p>
        </w:tc>
        <w:tc>
          <w:tcPr>
            <w:tcW w:w="1092"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508" w:right="89" w:hanging="377"/>
              <w:jc w:val="left"/>
              <w:rPr>
                <w:b/>
                <w:sz w:val="18"/>
              </w:rPr>
            </w:pPr>
            <w:r>
              <w:rPr>
                <w:b/>
                <w:sz w:val="18"/>
              </w:rPr>
              <w:t>Jurisdiction 2</w:t>
            </w:r>
          </w:p>
        </w:tc>
        <w:tc>
          <w:tcPr>
            <w:tcW w:w="1095"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510" w:right="90" w:hanging="377"/>
              <w:jc w:val="left"/>
              <w:rPr>
                <w:b/>
                <w:sz w:val="18"/>
              </w:rPr>
            </w:pPr>
            <w:r>
              <w:rPr>
                <w:b/>
                <w:sz w:val="18"/>
              </w:rPr>
              <w:t>Jurisdiction 3</w:t>
            </w:r>
          </w:p>
        </w:tc>
        <w:tc>
          <w:tcPr>
            <w:tcW w:w="1092"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507" w:right="90" w:hanging="377"/>
              <w:jc w:val="left"/>
              <w:rPr>
                <w:b/>
                <w:sz w:val="18"/>
              </w:rPr>
            </w:pPr>
            <w:r>
              <w:rPr>
                <w:b/>
                <w:sz w:val="18"/>
              </w:rPr>
              <w:t>Jurisdiction 4</w:t>
            </w:r>
          </w:p>
        </w:tc>
        <w:tc>
          <w:tcPr>
            <w:tcW w:w="1093" w:type="dxa"/>
            <w:tcBorders>
              <w:left w:val="single" w:sz="6" w:space="0" w:color="D2D2D2"/>
              <w:bottom w:val="single" w:sz="6" w:space="0" w:color="4E81BD"/>
              <w:right w:val="single" w:sz="6" w:space="0" w:color="D2D2D2"/>
            </w:tcBorders>
            <w:shd w:val="clear" w:color="auto" w:fill="EEECE1"/>
          </w:tcPr>
          <w:p>
            <w:pPr>
              <w:pStyle w:val="TableParagraph"/>
              <w:spacing w:line="220" w:lineRule="atLeast" w:before="15"/>
              <w:ind w:left="507" w:right="91" w:hanging="377"/>
              <w:jc w:val="left"/>
              <w:rPr>
                <w:b/>
                <w:sz w:val="18"/>
              </w:rPr>
            </w:pPr>
            <w:r>
              <w:rPr>
                <w:b/>
                <w:sz w:val="18"/>
              </w:rPr>
              <w:t>Jurisdiction 5</w:t>
            </w:r>
          </w:p>
        </w:tc>
        <w:tc>
          <w:tcPr>
            <w:tcW w:w="1092" w:type="dxa"/>
            <w:tcBorders>
              <w:left w:val="single" w:sz="6" w:space="0" w:color="D2D2D2"/>
              <w:bottom w:val="single" w:sz="6" w:space="0" w:color="4E81BD"/>
              <w:right w:val="nil"/>
            </w:tcBorders>
            <w:shd w:val="clear" w:color="auto" w:fill="EEECE1"/>
          </w:tcPr>
          <w:p>
            <w:pPr>
              <w:pStyle w:val="TableParagraph"/>
              <w:spacing w:before="136"/>
              <w:ind w:left="344" w:right="325"/>
              <w:rPr>
                <w:b/>
                <w:sz w:val="18"/>
              </w:rPr>
            </w:pPr>
            <w:r>
              <w:rPr>
                <w:b/>
                <w:sz w:val="18"/>
              </w:rPr>
              <w:t>Total</w:t>
            </w:r>
          </w:p>
        </w:tc>
      </w:tr>
      <w:tr>
        <w:trPr>
          <w:trHeight w:val="239" w:hRule="atLeast"/>
        </w:trPr>
        <w:tc>
          <w:tcPr>
            <w:tcW w:w="1704" w:type="dxa"/>
            <w:tcBorders>
              <w:top w:val="single" w:sz="6" w:space="0" w:color="4E81BD"/>
              <w:left w:val="nil"/>
              <w:bottom w:val="single" w:sz="6" w:space="0" w:color="D2D2D2"/>
              <w:right w:val="single" w:sz="6" w:space="0" w:color="D2D2D2"/>
            </w:tcBorders>
            <w:shd w:val="clear" w:color="auto" w:fill="EEECE1"/>
          </w:tcPr>
          <w:p>
            <w:pPr>
              <w:pStyle w:val="TableParagraph"/>
              <w:spacing w:line="192" w:lineRule="exact"/>
              <w:ind w:left="143" w:right="92"/>
              <w:rPr>
                <w:b/>
                <w:sz w:val="18"/>
              </w:rPr>
            </w:pPr>
            <w:r>
              <w:rPr>
                <w:b/>
                <w:sz w:val="18"/>
              </w:rPr>
              <w:t>Amount A</w:t>
            </w:r>
          </w:p>
        </w:tc>
        <w:tc>
          <w:tcPr>
            <w:tcW w:w="1093"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22"/>
              <w:rPr>
                <w:sz w:val="18"/>
              </w:rPr>
            </w:pPr>
            <w:r>
              <w:rPr>
                <w:sz w:val="18"/>
              </w:rPr>
              <w:t>0</w:t>
            </w:r>
          </w:p>
        </w:tc>
        <w:tc>
          <w:tcPr>
            <w:tcW w:w="1092"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67"/>
              <w:jc w:val="left"/>
              <w:rPr>
                <w:sz w:val="18"/>
              </w:rPr>
            </w:pPr>
            <w:r>
              <w:rPr>
                <w:sz w:val="18"/>
              </w:rPr>
              <w:t>83</w:t>
            </w:r>
          </w:p>
        </w:tc>
        <w:tc>
          <w:tcPr>
            <w:tcW w:w="1095"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07" w:right="385"/>
              <w:rPr>
                <w:sz w:val="18"/>
              </w:rPr>
            </w:pPr>
            <w:r>
              <w:rPr>
                <w:sz w:val="18"/>
              </w:rPr>
              <w:t>42</w:t>
            </w:r>
          </w:p>
        </w:tc>
        <w:tc>
          <w:tcPr>
            <w:tcW w:w="1092"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05" w:right="385"/>
              <w:rPr>
                <w:sz w:val="18"/>
              </w:rPr>
            </w:pPr>
            <w:r>
              <w:rPr>
                <w:sz w:val="18"/>
              </w:rPr>
              <w:t>63</w:t>
            </w:r>
          </w:p>
        </w:tc>
        <w:tc>
          <w:tcPr>
            <w:tcW w:w="1093" w:type="dxa"/>
            <w:tcBorders>
              <w:top w:val="single" w:sz="6" w:space="0" w:color="4E81BD"/>
              <w:left w:val="single" w:sz="6" w:space="0" w:color="D2D2D2"/>
              <w:bottom w:val="single" w:sz="6" w:space="0" w:color="D2D2D2"/>
              <w:right w:val="single" w:sz="6" w:space="0" w:color="D2D2D2"/>
            </w:tcBorders>
            <w:shd w:val="clear" w:color="auto" w:fill="EEECE1"/>
          </w:tcPr>
          <w:p>
            <w:pPr>
              <w:pStyle w:val="TableParagraph"/>
              <w:spacing w:line="192" w:lineRule="exact"/>
              <w:ind w:left="467"/>
              <w:jc w:val="left"/>
              <w:rPr>
                <w:sz w:val="18"/>
              </w:rPr>
            </w:pPr>
            <w:r>
              <w:rPr>
                <w:sz w:val="18"/>
              </w:rPr>
              <w:t>63</w:t>
            </w:r>
          </w:p>
        </w:tc>
        <w:tc>
          <w:tcPr>
            <w:tcW w:w="1092" w:type="dxa"/>
            <w:tcBorders>
              <w:top w:val="single" w:sz="6" w:space="0" w:color="4E81BD"/>
              <w:left w:val="single" w:sz="6" w:space="0" w:color="D2D2D2"/>
              <w:bottom w:val="single" w:sz="6" w:space="0" w:color="D2D2D2"/>
              <w:right w:val="nil"/>
            </w:tcBorders>
            <w:shd w:val="clear" w:color="auto" w:fill="EEECE1"/>
          </w:tcPr>
          <w:p>
            <w:pPr>
              <w:pStyle w:val="TableParagraph"/>
              <w:spacing w:line="192" w:lineRule="exact"/>
              <w:ind w:left="344" w:right="328"/>
              <w:rPr>
                <w:sz w:val="18"/>
              </w:rPr>
            </w:pPr>
            <w:r>
              <w:rPr>
                <w:sz w:val="18"/>
              </w:rPr>
              <w:t>250</w:t>
            </w:r>
          </w:p>
        </w:tc>
      </w:tr>
      <w:tr>
        <w:trPr>
          <w:trHeight w:val="460" w:hRule="atLeast"/>
        </w:trPr>
        <w:tc>
          <w:tcPr>
            <w:tcW w:w="1704" w:type="dxa"/>
            <w:tcBorders>
              <w:top w:val="single" w:sz="6" w:space="0" w:color="D2D2D2"/>
              <w:left w:val="nil"/>
              <w:bottom w:val="single" w:sz="6" w:space="0" w:color="D2D2D2"/>
              <w:right w:val="single" w:sz="6" w:space="0" w:color="D2D2D2"/>
            </w:tcBorders>
            <w:shd w:val="clear" w:color="auto" w:fill="EEECE1"/>
          </w:tcPr>
          <w:p>
            <w:pPr>
              <w:pStyle w:val="TableParagraph"/>
              <w:spacing w:line="220" w:lineRule="atLeast" w:before="16"/>
              <w:ind w:left="487" w:right="418"/>
              <w:jc w:val="left"/>
              <w:rPr>
                <w:b/>
                <w:sz w:val="18"/>
              </w:rPr>
            </w:pPr>
            <w:r>
              <w:rPr>
                <w:b/>
                <w:sz w:val="18"/>
              </w:rPr>
              <w:t>ALP-based allocations</w:t>
            </w:r>
          </w:p>
        </w:tc>
        <w:tc>
          <w:tcPr>
            <w:tcW w:w="109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40"/>
              <w:ind w:left="406" w:right="385"/>
              <w:rPr>
                <w:sz w:val="18"/>
              </w:rPr>
            </w:pPr>
            <w:r>
              <w:rPr>
                <w:sz w:val="18"/>
              </w:rPr>
              <w:t>750</w:t>
            </w:r>
          </w:p>
        </w:tc>
        <w:tc>
          <w:tcPr>
            <w:tcW w:w="109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40"/>
              <w:ind w:left="426"/>
              <w:jc w:val="left"/>
              <w:rPr>
                <w:sz w:val="18"/>
              </w:rPr>
            </w:pPr>
            <w:r>
              <w:rPr>
                <w:sz w:val="18"/>
              </w:rPr>
              <w:t>200</w:t>
            </w:r>
          </w:p>
        </w:tc>
        <w:tc>
          <w:tcPr>
            <w:tcW w:w="109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40"/>
              <w:ind w:left="407" w:right="385"/>
              <w:rPr>
                <w:sz w:val="18"/>
              </w:rPr>
            </w:pPr>
            <w:r>
              <w:rPr>
                <w:sz w:val="18"/>
              </w:rPr>
              <w:t>650</w:t>
            </w:r>
          </w:p>
        </w:tc>
        <w:tc>
          <w:tcPr>
            <w:tcW w:w="109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40"/>
              <w:ind w:left="405" w:right="385"/>
              <w:rPr>
                <w:sz w:val="18"/>
              </w:rPr>
            </w:pPr>
            <w:r>
              <w:rPr>
                <w:sz w:val="18"/>
              </w:rPr>
              <w:t>400</w:t>
            </w:r>
          </w:p>
        </w:tc>
        <w:tc>
          <w:tcPr>
            <w:tcW w:w="109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40"/>
              <w:ind w:left="426"/>
              <w:jc w:val="left"/>
              <w:rPr>
                <w:sz w:val="18"/>
              </w:rPr>
            </w:pPr>
            <w:r>
              <w:rPr>
                <w:sz w:val="18"/>
              </w:rPr>
              <w:t>450</w:t>
            </w:r>
          </w:p>
        </w:tc>
        <w:tc>
          <w:tcPr>
            <w:tcW w:w="1092" w:type="dxa"/>
            <w:tcBorders>
              <w:top w:val="single" w:sz="6" w:space="0" w:color="D2D2D2"/>
              <w:left w:val="single" w:sz="6" w:space="0" w:color="D2D2D2"/>
              <w:bottom w:val="single" w:sz="6" w:space="0" w:color="D2D2D2"/>
              <w:right w:val="nil"/>
            </w:tcBorders>
            <w:shd w:val="clear" w:color="auto" w:fill="EEECE1"/>
          </w:tcPr>
          <w:p>
            <w:pPr>
              <w:pStyle w:val="TableParagraph"/>
              <w:spacing w:before="140"/>
              <w:ind w:left="344" w:right="325"/>
              <w:rPr>
                <w:sz w:val="18"/>
              </w:rPr>
            </w:pPr>
            <w:r>
              <w:rPr>
                <w:sz w:val="18"/>
              </w:rPr>
              <w:t>2,450</w:t>
            </w:r>
          </w:p>
        </w:tc>
      </w:tr>
      <w:tr>
        <w:trPr>
          <w:trHeight w:val="241" w:hRule="atLeast"/>
        </w:trPr>
        <w:tc>
          <w:tcPr>
            <w:tcW w:w="1704" w:type="dxa"/>
            <w:tcBorders>
              <w:top w:val="single" w:sz="6" w:space="0" w:color="D2D2D2"/>
              <w:left w:val="nil"/>
              <w:bottom w:val="single" w:sz="6" w:space="0" w:color="D2D2D2"/>
              <w:right w:val="single" w:sz="6" w:space="0" w:color="D2D2D2"/>
            </w:tcBorders>
            <w:shd w:val="clear" w:color="auto" w:fill="EEECE1"/>
          </w:tcPr>
          <w:p>
            <w:pPr>
              <w:pStyle w:val="TableParagraph"/>
              <w:spacing w:line="192" w:lineRule="exact" w:before="30"/>
              <w:ind w:left="143" w:right="93"/>
              <w:rPr>
                <w:b/>
                <w:sz w:val="18"/>
              </w:rPr>
            </w:pPr>
            <w:r>
              <w:rPr>
                <w:b/>
                <w:sz w:val="18"/>
              </w:rPr>
              <w:t>Total taxable profit *</w:t>
            </w:r>
          </w:p>
        </w:tc>
        <w:tc>
          <w:tcPr>
            <w:tcW w:w="109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06" w:right="385"/>
              <w:rPr>
                <w:sz w:val="18"/>
              </w:rPr>
            </w:pPr>
            <w:r>
              <w:rPr>
                <w:sz w:val="18"/>
              </w:rPr>
              <w:t>750</w:t>
            </w:r>
          </w:p>
        </w:tc>
        <w:tc>
          <w:tcPr>
            <w:tcW w:w="109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26"/>
              <w:jc w:val="left"/>
              <w:rPr>
                <w:sz w:val="18"/>
              </w:rPr>
            </w:pPr>
            <w:r>
              <w:rPr>
                <w:sz w:val="18"/>
              </w:rPr>
              <w:t>283</w:t>
            </w:r>
          </w:p>
        </w:tc>
        <w:tc>
          <w:tcPr>
            <w:tcW w:w="1095"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07" w:right="385"/>
              <w:rPr>
                <w:sz w:val="18"/>
              </w:rPr>
            </w:pPr>
            <w:r>
              <w:rPr>
                <w:sz w:val="18"/>
              </w:rPr>
              <w:t>692</w:t>
            </w:r>
          </w:p>
        </w:tc>
        <w:tc>
          <w:tcPr>
            <w:tcW w:w="109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05" w:right="385"/>
              <w:rPr>
                <w:sz w:val="18"/>
              </w:rPr>
            </w:pPr>
            <w:r>
              <w:rPr>
                <w:sz w:val="18"/>
              </w:rPr>
              <w:t>463</w:t>
            </w:r>
          </w:p>
        </w:tc>
        <w:tc>
          <w:tcPr>
            <w:tcW w:w="1093"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2" w:lineRule="exact" w:before="30"/>
              <w:ind w:left="426"/>
              <w:jc w:val="left"/>
              <w:rPr>
                <w:sz w:val="18"/>
              </w:rPr>
            </w:pPr>
            <w:r>
              <w:rPr>
                <w:sz w:val="18"/>
              </w:rPr>
              <w:t>513</w:t>
            </w:r>
          </w:p>
        </w:tc>
        <w:tc>
          <w:tcPr>
            <w:tcW w:w="1092" w:type="dxa"/>
            <w:tcBorders>
              <w:top w:val="single" w:sz="6" w:space="0" w:color="D2D2D2"/>
              <w:left w:val="single" w:sz="6" w:space="0" w:color="D2D2D2"/>
              <w:bottom w:val="single" w:sz="6" w:space="0" w:color="D2D2D2"/>
              <w:right w:val="nil"/>
            </w:tcBorders>
            <w:shd w:val="clear" w:color="auto" w:fill="EEECE1"/>
          </w:tcPr>
          <w:p>
            <w:pPr>
              <w:pStyle w:val="TableParagraph"/>
              <w:spacing w:line="192" w:lineRule="exact" w:before="30"/>
              <w:ind w:left="342" w:right="328"/>
              <w:rPr>
                <w:sz w:val="18"/>
              </w:rPr>
            </w:pPr>
            <w:r>
              <w:rPr>
                <w:sz w:val="18"/>
              </w:rPr>
              <w:t>2,700</w:t>
            </w:r>
          </w:p>
        </w:tc>
      </w:tr>
      <w:tr>
        <w:trPr>
          <w:trHeight w:val="459" w:hRule="atLeast"/>
        </w:trPr>
        <w:tc>
          <w:tcPr>
            <w:tcW w:w="1704" w:type="dxa"/>
            <w:tcBorders>
              <w:top w:val="single" w:sz="6" w:space="0" w:color="D2D2D2"/>
              <w:left w:val="nil"/>
              <w:right w:val="single" w:sz="6" w:space="0" w:color="D2D2D2"/>
            </w:tcBorders>
            <w:shd w:val="clear" w:color="auto" w:fill="EEECE1"/>
          </w:tcPr>
          <w:p>
            <w:pPr>
              <w:pStyle w:val="TableParagraph"/>
              <w:spacing w:line="220" w:lineRule="atLeast" w:before="14"/>
              <w:ind w:left="561" w:right="231" w:hanging="264"/>
              <w:jc w:val="left"/>
              <w:rPr>
                <w:b/>
                <w:sz w:val="18"/>
              </w:rPr>
            </w:pPr>
            <w:r>
              <w:rPr>
                <w:b/>
                <w:sz w:val="18"/>
              </w:rPr>
              <w:t>Potential double counting</w:t>
            </w:r>
          </w:p>
        </w:tc>
        <w:tc>
          <w:tcPr>
            <w:tcW w:w="1093" w:type="dxa"/>
            <w:tcBorders>
              <w:top w:val="single" w:sz="6" w:space="0" w:color="D2D2D2"/>
              <w:left w:val="single" w:sz="6" w:space="0" w:color="D2D2D2"/>
              <w:right w:val="single" w:sz="6" w:space="0" w:color="D2D2D2"/>
            </w:tcBorders>
            <w:shd w:val="clear" w:color="auto" w:fill="EEECE1"/>
          </w:tcPr>
          <w:p>
            <w:pPr>
              <w:pStyle w:val="TableParagraph"/>
              <w:spacing w:before="138"/>
              <w:ind w:left="22"/>
              <w:rPr>
                <w:sz w:val="18"/>
              </w:rPr>
            </w:pPr>
            <w:r>
              <w:rPr>
                <w:sz w:val="18"/>
              </w:rPr>
              <w:t>0</w:t>
            </w:r>
          </w:p>
        </w:tc>
        <w:tc>
          <w:tcPr>
            <w:tcW w:w="1092" w:type="dxa"/>
            <w:tcBorders>
              <w:top w:val="single" w:sz="6" w:space="0" w:color="D2D2D2"/>
              <w:left w:val="single" w:sz="6" w:space="0" w:color="D2D2D2"/>
              <w:right w:val="single" w:sz="6" w:space="0" w:color="D2D2D2"/>
            </w:tcBorders>
            <w:shd w:val="clear" w:color="auto" w:fill="EEECE1"/>
          </w:tcPr>
          <w:p>
            <w:pPr>
              <w:pStyle w:val="TableParagraph"/>
              <w:spacing w:before="138"/>
              <w:ind w:left="508"/>
              <w:jc w:val="left"/>
              <w:rPr>
                <w:sz w:val="18"/>
              </w:rPr>
            </w:pPr>
            <w:r>
              <w:rPr>
                <w:sz w:val="18"/>
              </w:rPr>
              <w:t>?</w:t>
            </w:r>
          </w:p>
        </w:tc>
        <w:tc>
          <w:tcPr>
            <w:tcW w:w="1095" w:type="dxa"/>
            <w:tcBorders>
              <w:top w:val="single" w:sz="6" w:space="0" w:color="D2D2D2"/>
              <w:left w:val="single" w:sz="6" w:space="0" w:color="D2D2D2"/>
              <w:right w:val="single" w:sz="6" w:space="0" w:color="D2D2D2"/>
            </w:tcBorders>
            <w:shd w:val="clear" w:color="auto" w:fill="EEECE1"/>
          </w:tcPr>
          <w:p>
            <w:pPr>
              <w:pStyle w:val="TableParagraph"/>
              <w:spacing w:before="138"/>
              <w:ind w:left="407" w:right="385"/>
              <w:rPr>
                <w:sz w:val="18"/>
              </w:rPr>
            </w:pPr>
            <w:r>
              <w:rPr>
                <w:sz w:val="18"/>
              </w:rPr>
              <w:t>42</w:t>
            </w:r>
          </w:p>
        </w:tc>
        <w:tc>
          <w:tcPr>
            <w:tcW w:w="1092" w:type="dxa"/>
            <w:tcBorders>
              <w:top w:val="single" w:sz="6" w:space="0" w:color="D2D2D2"/>
              <w:left w:val="single" w:sz="6" w:space="0" w:color="D2D2D2"/>
              <w:right w:val="single" w:sz="6" w:space="0" w:color="D2D2D2"/>
            </w:tcBorders>
            <w:shd w:val="clear" w:color="auto" w:fill="EEECE1"/>
          </w:tcPr>
          <w:p>
            <w:pPr>
              <w:pStyle w:val="TableParagraph"/>
              <w:spacing w:before="138"/>
              <w:ind w:left="20"/>
              <w:rPr>
                <w:sz w:val="18"/>
              </w:rPr>
            </w:pPr>
            <w:r>
              <w:rPr>
                <w:sz w:val="18"/>
              </w:rPr>
              <w:t>?</w:t>
            </w:r>
          </w:p>
        </w:tc>
        <w:tc>
          <w:tcPr>
            <w:tcW w:w="1093" w:type="dxa"/>
            <w:tcBorders>
              <w:top w:val="single" w:sz="6" w:space="0" w:color="D2D2D2"/>
              <w:left w:val="single" w:sz="6" w:space="0" w:color="D2D2D2"/>
              <w:right w:val="single" w:sz="6" w:space="0" w:color="D2D2D2"/>
            </w:tcBorders>
            <w:shd w:val="clear" w:color="auto" w:fill="EEECE1"/>
          </w:tcPr>
          <w:p>
            <w:pPr>
              <w:pStyle w:val="TableParagraph"/>
              <w:spacing w:before="138"/>
              <w:ind w:left="507"/>
              <w:jc w:val="left"/>
              <w:rPr>
                <w:sz w:val="18"/>
              </w:rPr>
            </w:pPr>
            <w:r>
              <w:rPr>
                <w:sz w:val="18"/>
              </w:rPr>
              <w:t>?</w:t>
            </w:r>
          </w:p>
        </w:tc>
        <w:tc>
          <w:tcPr>
            <w:tcW w:w="1092" w:type="dxa"/>
            <w:tcBorders>
              <w:top w:val="single" w:sz="6" w:space="0" w:color="D2D2D2"/>
              <w:left w:val="single" w:sz="6" w:space="0" w:color="D2D2D2"/>
              <w:right w:val="nil"/>
            </w:tcBorders>
            <w:shd w:val="clear" w:color="auto" w:fill="EEECE1"/>
          </w:tcPr>
          <w:p>
            <w:pPr>
              <w:pStyle w:val="TableParagraph"/>
              <w:spacing w:before="138"/>
              <w:ind w:left="344" w:right="327"/>
              <w:rPr>
                <w:sz w:val="18"/>
              </w:rPr>
            </w:pPr>
            <w:r>
              <w:rPr>
                <w:sz w:val="18"/>
              </w:rPr>
              <w:t>n.a.</w:t>
            </w:r>
          </w:p>
        </w:tc>
      </w:tr>
    </w:tbl>
    <w:p>
      <w:pPr>
        <w:spacing w:before="154"/>
        <w:ind w:left="860" w:right="0" w:firstLine="0"/>
        <w:jc w:val="both"/>
        <w:rPr>
          <w:sz w:val="13"/>
        </w:rPr>
      </w:pPr>
      <w:r>
        <w:rPr>
          <w:sz w:val="13"/>
        </w:rPr>
        <w:t>* The total taxable profits exceed the taxable profits of Group B, as the double taxation arising from Amount A has not yet been eliminated.</w:t>
      </w:r>
    </w:p>
    <w:p>
      <w:pPr>
        <w:pStyle w:val="BodyText"/>
        <w:spacing w:before="6"/>
        <w:rPr>
          <w:sz w:val="19"/>
        </w:rPr>
      </w:pPr>
    </w:p>
    <w:p>
      <w:pPr>
        <w:pStyle w:val="BodyText"/>
        <w:spacing w:line="271" w:lineRule="auto"/>
        <w:ind w:left="860" w:right="615"/>
        <w:jc w:val="both"/>
      </w:pPr>
      <w:r>
        <w:rPr/>
        <w:t>Assume that under the current mechanism to eliminate double taxation, only IP Owner and Distributor 3</w:t>
      </w:r>
      <w:r>
        <w:rPr>
          <w:spacing w:val="-12"/>
        </w:rPr>
        <w:t> </w:t>
      </w:r>
      <w:r>
        <w:rPr/>
        <w:t>would</w:t>
      </w:r>
      <w:r>
        <w:rPr>
          <w:spacing w:val="-14"/>
        </w:rPr>
        <w:t> </w:t>
      </w:r>
      <w:r>
        <w:rPr/>
        <w:t>be</w:t>
      </w:r>
      <w:r>
        <w:rPr>
          <w:spacing w:val="-14"/>
        </w:rPr>
        <w:t> </w:t>
      </w:r>
      <w:r>
        <w:rPr/>
        <w:t>identified</w:t>
      </w:r>
      <w:r>
        <w:rPr>
          <w:spacing w:val="-12"/>
        </w:rPr>
        <w:t> </w:t>
      </w:r>
      <w:r>
        <w:rPr/>
        <w:t>as</w:t>
      </w:r>
      <w:r>
        <w:rPr>
          <w:spacing w:val="-12"/>
        </w:rPr>
        <w:t> </w:t>
      </w:r>
      <w:r>
        <w:rPr/>
        <w:t>potential</w:t>
      </w:r>
      <w:r>
        <w:rPr>
          <w:spacing w:val="-12"/>
        </w:rPr>
        <w:t> </w:t>
      </w:r>
      <w:r>
        <w:rPr/>
        <w:t>paying</w:t>
      </w:r>
      <w:r>
        <w:rPr>
          <w:spacing w:val="-14"/>
        </w:rPr>
        <w:t> </w:t>
      </w:r>
      <w:r>
        <w:rPr/>
        <w:t>entities</w:t>
      </w:r>
      <w:r>
        <w:rPr>
          <w:spacing w:val="-13"/>
        </w:rPr>
        <w:t> </w:t>
      </w:r>
      <w:r>
        <w:rPr/>
        <w:t>under</w:t>
      </w:r>
      <w:r>
        <w:rPr>
          <w:spacing w:val="-12"/>
        </w:rPr>
        <w:t> </w:t>
      </w:r>
      <w:r>
        <w:rPr/>
        <w:t>the</w:t>
      </w:r>
      <w:r>
        <w:rPr>
          <w:spacing w:val="-10"/>
        </w:rPr>
        <w:t> </w:t>
      </w:r>
      <w:r>
        <w:rPr/>
        <w:t>activity</w:t>
      </w:r>
      <w:r>
        <w:rPr>
          <w:spacing w:val="-14"/>
        </w:rPr>
        <w:t> </w:t>
      </w:r>
      <w:r>
        <w:rPr/>
        <w:t>test</w:t>
      </w:r>
      <w:r>
        <w:rPr>
          <w:spacing w:val="-14"/>
        </w:rPr>
        <w:t> </w:t>
      </w:r>
      <w:r>
        <w:rPr/>
        <w:t>(step</w:t>
      </w:r>
      <w:r>
        <w:rPr>
          <w:spacing w:val="-14"/>
        </w:rPr>
        <w:t> </w:t>
      </w:r>
      <w:r>
        <w:rPr/>
        <w:t>1)</w:t>
      </w:r>
      <w:r>
        <w:rPr>
          <w:spacing w:val="-12"/>
        </w:rPr>
        <w:t> </w:t>
      </w:r>
      <w:r>
        <w:rPr/>
        <w:t>and</w:t>
      </w:r>
      <w:r>
        <w:rPr>
          <w:spacing w:val="-12"/>
        </w:rPr>
        <w:t> </w:t>
      </w:r>
      <w:r>
        <w:rPr/>
        <w:t>profitability</w:t>
      </w:r>
      <w:r>
        <w:rPr>
          <w:spacing w:val="-15"/>
        </w:rPr>
        <w:t> </w:t>
      </w:r>
      <w:r>
        <w:rPr/>
        <w:t>test</w:t>
      </w:r>
      <w:r>
        <w:rPr>
          <w:spacing w:val="-14"/>
        </w:rPr>
        <w:t> </w:t>
      </w:r>
      <w:r>
        <w:rPr/>
        <w:t>(step 2).</w:t>
      </w:r>
      <w:r>
        <w:rPr>
          <w:position w:val="6"/>
          <w:sz w:val="13"/>
        </w:rPr>
        <w:t>169 </w:t>
      </w:r>
      <w:r>
        <w:rPr/>
        <w:t>Further, assume that as a result of the market connection priority test (step 3) the IP Owner is identified as the paying entity for Jurisdiction 2, 4 and 5 and Distributor 3 is identified as the </w:t>
      </w:r>
      <w:r>
        <w:rPr>
          <w:spacing w:val="2"/>
        </w:rPr>
        <w:t>primary </w:t>
      </w:r>
      <w:r>
        <w:rPr/>
        <w:t>paying entity for Jurisdiction 3, on the basis that it has the strongest connection to this</w:t>
      </w:r>
      <w:r>
        <w:rPr>
          <w:spacing w:val="-36"/>
        </w:rPr>
        <w:t> </w:t>
      </w:r>
      <w:r>
        <w:rPr/>
        <w:t>market.</w:t>
      </w:r>
    </w:p>
    <w:p>
      <w:pPr>
        <w:pStyle w:val="BodyText"/>
        <w:spacing w:line="271" w:lineRule="auto" w:before="122"/>
        <w:ind w:left="860" w:right="618"/>
        <w:jc w:val="both"/>
      </w:pPr>
      <w:r>
        <w:rPr/>
        <w:t>In this example, the mechanism to eliminate double taxation would not entirely net-off the potential for double counting in the different jurisdictions where Group B has a distribution entity. This is because the mechanism to eliminate double taxation would not require Jurisdictions 2, 4 and 5 to provide relief for whole or part of the profits reallocated under Amount A. However, the additional profits allocated to Jurisdiction 3 under Amount A (which could give rise to double counting) would be entirely eliminated</w:t>
      </w:r>
    </w:p>
    <w:p>
      <w:pPr>
        <w:pStyle w:val="BodyText"/>
      </w:pPr>
    </w:p>
    <w:p>
      <w:pPr>
        <w:pStyle w:val="BodyText"/>
        <w:spacing w:before="5"/>
        <w:rPr>
          <w:sz w:val="21"/>
        </w:rPr>
      </w:pPr>
      <w:r>
        <w:rPr/>
        <w:pict>
          <v:rect style="position:absolute;margin-left:65.183998pt;margin-top:14.279988pt;width:144.020004pt;height:.60004pt;mso-position-horizontal-relative:page;mso-position-vertical-relative:paragraph;z-index:-15628288;mso-wrap-distance-left:0;mso-wrap-distance-right:0" filled="true" fillcolor="#000000" stroked="false">
            <v:fill type="solid"/>
            <w10:wrap type="topAndBottom"/>
          </v:rect>
        </w:pict>
      </w:r>
    </w:p>
    <w:p>
      <w:pPr>
        <w:pStyle w:val="BodyText"/>
        <w:spacing w:before="5"/>
        <w:rPr>
          <w:sz w:val="16"/>
        </w:rPr>
      </w:pPr>
    </w:p>
    <w:p>
      <w:pPr>
        <w:pStyle w:val="ListParagraph"/>
        <w:numPr>
          <w:ilvl w:val="0"/>
          <w:numId w:val="82"/>
        </w:numPr>
        <w:tabs>
          <w:tab w:pos="1005" w:val="left" w:leader="none"/>
        </w:tabs>
        <w:spacing w:line="240" w:lineRule="auto" w:before="94" w:after="0"/>
        <w:ind w:left="1004" w:right="0" w:hanging="282"/>
        <w:jc w:val="left"/>
        <w:rPr>
          <w:sz w:val="18"/>
        </w:rPr>
      </w:pPr>
      <w:r>
        <w:rPr>
          <w:sz w:val="18"/>
        </w:rPr>
        <w:t>The identification of the paying entity (or entities) would follow the rules articulated Section</w:t>
      </w:r>
      <w:r>
        <w:rPr>
          <w:spacing w:val="-14"/>
          <w:sz w:val="18"/>
        </w:rPr>
        <w:t> </w:t>
      </w:r>
      <w:hyperlink w:history="true" w:anchor="_bookmark53">
        <w:r>
          <w:rPr>
            <w:sz w:val="18"/>
          </w:rPr>
          <w:t>7.2.</w:t>
        </w:r>
      </w:hyperlink>
    </w:p>
    <w:p>
      <w:pPr>
        <w:spacing w:after="0" w:line="240" w:lineRule="auto"/>
        <w:jc w:val="left"/>
        <w:rPr>
          <w:sz w:val="18"/>
        </w:rPr>
        <w:sectPr>
          <w:pgSz w:w="11910" w:h="16840"/>
          <w:pgMar w:header="1244" w:footer="1638" w:top="1500" w:bottom="1820" w:left="580" w:right="820"/>
        </w:sectPr>
      </w:pPr>
    </w:p>
    <w:p>
      <w:pPr>
        <w:pStyle w:val="BodyText"/>
      </w:pPr>
      <w:r>
        <w:rPr/>
        <w:pict>
          <v:group style="position:absolute;margin-left:64.704002pt;margin-top:90.739967pt;width:466.05pt;height:222.3pt;mso-position-horizontal-relative:page;mso-position-vertical-relative:page;z-index:-19490304" coordorigin="1294,1815" coordsize="9321,4446">
            <v:rect style="position:absolute;left:1303;top:1824;width:9302;height:4426" filled="true" fillcolor="#eeece1" stroked="false">
              <v:fill type="solid"/>
            </v:rect>
            <v:shape style="position:absolute;left:1294;top:1814;width:9321;height:4446" coordorigin="1294,1815" coordsize="9321,4446" path="m1304,1825l1294,1825,1294,6251,1304,6251,1304,1825xm10605,6251l1304,6251,1304,6251,1294,6251,1294,6260,1304,6260,1304,6260,10605,6260,10605,6251xm10605,1815l1304,1815,1304,1815,1294,1815,1294,1824,1304,1824,1304,1824,10605,1824,10605,1815xm10615,6251l10605,6251,10605,6260,10615,6260,10615,6251xm10615,1825l10605,1825,10605,6251,10615,6251,10615,1825xm10615,1815l10605,1815,10605,1824,10615,1824,10615,1815xe" filled="true" fillcolor="#4e81bd" stroked="false">
              <v:path arrowok="t"/>
              <v:fill type="solid"/>
            </v:shape>
            <v:shape style="position:absolute;left:1294;top:1814;width:9321;height:4446" type="#_x0000_t202" filled="false" stroked="false">
              <v:textbox inset="0,0,0,0">
                <w:txbxContent>
                  <w:p>
                    <w:pPr>
                      <w:spacing w:line="271" w:lineRule="auto" w:before="38"/>
                      <w:ind w:left="146" w:right="150" w:firstLine="0"/>
                      <w:jc w:val="both"/>
                      <w:rPr>
                        <w:sz w:val="20"/>
                      </w:rPr>
                    </w:pPr>
                    <w:r>
                      <w:rPr>
                        <w:sz w:val="20"/>
                      </w:rPr>
                      <w:t>as a result of Distributor 3 being identified as the primary paying entity for this jurisdiction. It should be noted</w:t>
                    </w:r>
                    <w:r>
                      <w:rPr>
                        <w:spacing w:val="-7"/>
                        <w:sz w:val="20"/>
                      </w:rPr>
                      <w:t> </w:t>
                    </w:r>
                    <w:r>
                      <w:rPr>
                        <w:sz w:val="20"/>
                      </w:rPr>
                      <w:t>this</w:t>
                    </w:r>
                    <w:r>
                      <w:rPr>
                        <w:spacing w:val="-4"/>
                        <w:sz w:val="20"/>
                      </w:rPr>
                      <w:t> </w:t>
                    </w:r>
                    <w:r>
                      <w:rPr>
                        <w:sz w:val="20"/>
                      </w:rPr>
                      <w:t>outcome</w:t>
                    </w:r>
                    <w:r>
                      <w:rPr>
                        <w:spacing w:val="-7"/>
                        <w:sz w:val="20"/>
                      </w:rPr>
                      <w:t> </w:t>
                    </w:r>
                    <w:r>
                      <w:rPr>
                        <w:sz w:val="20"/>
                      </w:rPr>
                      <w:t>would</w:t>
                    </w:r>
                    <w:r>
                      <w:rPr>
                        <w:spacing w:val="-6"/>
                        <w:sz w:val="20"/>
                      </w:rPr>
                      <w:t> </w:t>
                    </w:r>
                    <w:r>
                      <w:rPr>
                        <w:sz w:val="20"/>
                      </w:rPr>
                      <w:t>only</w:t>
                    </w:r>
                    <w:r>
                      <w:rPr>
                        <w:spacing w:val="-10"/>
                        <w:sz w:val="20"/>
                      </w:rPr>
                      <w:t> </w:t>
                    </w:r>
                    <w:r>
                      <w:rPr>
                        <w:sz w:val="20"/>
                      </w:rPr>
                      <w:t>arise</w:t>
                    </w:r>
                    <w:r>
                      <w:rPr>
                        <w:spacing w:val="-3"/>
                        <w:sz w:val="20"/>
                      </w:rPr>
                      <w:t> </w:t>
                    </w:r>
                    <w:r>
                      <w:rPr>
                        <w:sz w:val="20"/>
                      </w:rPr>
                      <w:t>if</w:t>
                    </w:r>
                    <w:r>
                      <w:rPr>
                        <w:spacing w:val="-4"/>
                        <w:sz w:val="20"/>
                      </w:rPr>
                      <w:t> </w:t>
                    </w:r>
                    <w:r>
                      <w:rPr>
                        <w:sz w:val="20"/>
                      </w:rPr>
                      <w:t>the</w:t>
                    </w:r>
                    <w:r>
                      <w:rPr>
                        <w:spacing w:val="-6"/>
                        <w:sz w:val="20"/>
                      </w:rPr>
                      <w:t> </w:t>
                    </w:r>
                    <w:r>
                      <w:rPr>
                        <w:sz w:val="20"/>
                      </w:rPr>
                      <w:t>market</w:t>
                    </w:r>
                    <w:r>
                      <w:rPr>
                        <w:spacing w:val="-7"/>
                        <w:sz w:val="20"/>
                      </w:rPr>
                      <w:t> </w:t>
                    </w:r>
                    <w:r>
                      <w:rPr>
                        <w:sz w:val="20"/>
                      </w:rPr>
                      <w:t>connection</w:t>
                    </w:r>
                    <w:r>
                      <w:rPr>
                        <w:spacing w:val="-4"/>
                        <w:sz w:val="20"/>
                      </w:rPr>
                      <w:t> </w:t>
                    </w:r>
                    <w:r>
                      <w:rPr>
                        <w:sz w:val="20"/>
                      </w:rPr>
                      <w:t>priority</w:t>
                    </w:r>
                    <w:r>
                      <w:rPr>
                        <w:spacing w:val="-7"/>
                        <w:sz w:val="20"/>
                      </w:rPr>
                      <w:t> </w:t>
                    </w:r>
                    <w:r>
                      <w:rPr>
                        <w:sz w:val="20"/>
                      </w:rPr>
                      <w:t>test</w:t>
                    </w:r>
                    <w:r>
                      <w:rPr>
                        <w:spacing w:val="-5"/>
                        <w:sz w:val="20"/>
                      </w:rPr>
                      <w:t> </w:t>
                    </w:r>
                    <w:r>
                      <w:rPr>
                        <w:sz w:val="20"/>
                      </w:rPr>
                      <w:t>(step</w:t>
                    </w:r>
                    <w:r>
                      <w:rPr>
                        <w:spacing w:val="-6"/>
                        <w:sz w:val="20"/>
                      </w:rPr>
                      <w:t> </w:t>
                    </w:r>
                    <w:r>
                      <w:rPr>
                        <w:sz w:val="20"/>
                      </w:rPr>
                      <w:t>3)</w:t>
                    </w:r>
                    <w:r>
                      <w:rPr>
                        <w:spacing w:val="-6"/>
                        <w:sz w:val="20"/>
                      </w:rPr>
                      <w:t> </w:t>
                    </w:r>
                    <w:r>
                      <w:rPr>
                        <w:sz w:val="20"/>
                      </w:rPr>
                      <w:t>resulted</w:t>
                    </w:r>
                    <w:r>
                      <w:rPr>
                        <w:spacing w:val="-6"/>
                        <w:sz w:val="20"/>
                      </w:rPr>
                      <w:t> </w:t>
                    </w:r>
                    <w:r>
                      <w:rPr>
                        <w:sz w:val="20"/>
                      </w:rPr>
                      <w:t>in</w:t>
                    </w:r>
                    <w:r>
                      <w:rPr>
                        <w:spacing w:val="-7"/>
                        <w:sz w:val="20"/>
                      </w:rPr>
                      <w:t> </w:t>
                    </w:r>
                    <w:r>
                      <w:rPr>
                        <w:sz w:val="20"/>
                      </w:rPr>
                      <w:t>Distributor 3 bearing Jurisdiction 3’s full Amount A tax</w:t>
                    </w:r>
                    <w:r>
                      <w:rPr>
                        <w:spacing w:val="-9"/>
                        <w:sz w:val="20"/>
                      </w:rPr>
                      <w:t> </w:t>
                    </w:r>
                    <w:r>
                      <w:rPr>
                        <w:sz w:val="20"/>
                      </w:rPr>
                      <w:t>liability.</w:t>
                    </w:r>
                  </w:p>
                </w:txbxContent>
              </v:textbox>
              <w10:wrap type="none"/>
            </v:shape>
            <w10:wrap type="none"/>
          </v:group>
        </w:pict>
      </w:r>
    </w:p>
    <w:p>
      <w:pPr>
        <w:pStyle w:val="BodyText"/>
      </w:pPr>
    </w:p>
    <w:p>
      <w:pPr>
        <w:pStyle w:val="BodyText"/>
      </w:pPr>
    </w:p>
    <w:p>
      <w:pPr>
        <w:pStyle w:val="BodyText"/>
      </w:pPr>
    </w:p>
    <w:p>
      <w:pPr>
        <w:pStyle w:val="BodyText"/>
        <w:spacing w:before="3"/>
        <w:rPr>
          <w:sz w:val="25"/>
        </w:rPr>
      </w:pPr>
    </w:p>
    <w:tbl>
      <w:tblPr>
        <w:tblW w:w="0" w:type="auto"/>
        <w:jc w:val="left"/>
        <w:tblInd w:w="1563" w:type="dxa"/>
        <w:tblBorders>
          <w:top w:val="single" w:sz="12" w:space="0" w:color="4E81BD"/>
          <w:left w:val="single" w:sz="12" w:space="0" w:color="4E81BD"/>
          <w:bottom w:val="single" w:sz="12" w:space="0" w:color="4E81BD"/>
          <w:right w:val="single" w:sz="12" w:space="0" w:color="4E81BD"/>
          <w:insideH w:val="single" w:sz="12" w:space="0" w:color="4E81BD"/>
          <w:insideV w:val="single" w:sz="12" w:space="0" w:color="4E81BD"/>
        </w:tblBorders>
        <w:tblLayout w:type="fixed"/>
        <w:tblCellMar>
          <w:top w:w="0" w:type="dxa"/>
          <w:left w:w="0" w:type="dxa"/>
          <w:bottom w:w="0" w:type="dxa"/>
          <w:right w:w="0" w:type="dxa"/>
        </w:tblCellMar>
        <w:tblLook w:val="01E0"/>
      </w:tblPr>
      <w:tblGrid>
        <w:gridCol w:w="1839"/>
        <w:gridCol w:w="1152"/>
        <w:gridCol w:w="1152"/>
        <w:gridCol w:w="1152"/>
        <w:gridCol w:w="1152"/>
        <w:gridCol w:w="1145"/>
      </w:tblGrid>
      <w:tr>
        <w:trPr>
          <w:trHeight w:val="458" w:hRule="atLeast"/>
        </w:trPr>
        <w:tc>
          <w:tcPr>
            <w:tcW w:w="1839" w:type="dxa"/>
            <w:tcBorders>
              <w:left w:val="nil"/>
              <w:bottom w:val="single" w:sz="4" w:space="0" w:color="4E81BD"/>
              <w:right w:val="single" w:sz="6" w:space="0" w:color="D2D2D2"/>
            </w:tcBorders>
            <w:shd w:val="clear" w:color="auto" w:fill="EEECE1"/>
          </w:tcPr>
          <w:p>
            <w:pPr>
              <w:pStyle w:val="TableParagraph"/>
              <w:spacing w:before="136"/>
              <w:ind w:left="126" w:right="80"/>
              <w:rPr>
                <w:b/>
                <w:sz w:val="18"/>
              </w:rPr>
            </w:pPr>
            <w:r>
              <w:rPr>
                <w:b/>
                <w:sz w:val="18"/>
              </w:rPr>
              <w:t>in EUR million</w:t>
            </w:r>
          </w:p>
        </w:tc>
        <w:tc>
          <w:tcPr>
            <w:tcW w:w="1152"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3"/>
              <w:ind w:left="542" w:right="118" w:hanging="380"/>
              <w:jc w:val="left"/>
              <w:rPr>
                <w:b/>
                <w:sz w:val="18"/>
              </w:rPr>
            </w:pPr>
            <w:r>
              <w:rPr>
                <w:b/>
                <w:sz w:val="18"/>
              </w:rPr>
              <w:t>Jurisdiction 1</w:t>
            </w:r>
          </w:p>
        </w:tc>
        <w:tc>
          <w:tcPr>
            <w:tcW w:w="1152"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3"/>
              <w:ind w:left="542" w:right="118" w:hanging="380"/>
              <w:jc w:val="left"/>
              <w:rPr>
                <w:b/>
                <w:sz w:val="18"/>
              </w:rPr>
            </w:pPr>
            <w:r>
              <w:rPr>
                <w:b/>
                <w:sz w:val="18"/>
              </w:rPr>
              <w:t>Jurisdiction 2</w:t>
            </w:r>
          </w:p>
        </w:tc>
        <w:tc>
          <w:tcPr>
            <w:tcW w:w="1152"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3"/>
              <w:ind w:left="542" w:right="118" w:hanging="380"/>
              <w:jc w:val="left"/>
              <w:rPr>
                <w:b/>
                <w:sz w:val="18"/>
              </w:rPr>
            </w:pPr>
            <w:r>
              <w:rPr>
                <w:b/>
                <w:sz w:val="18"/>
              </w:rPr>
              <w:t>Jurisdiction 3</w:t>
            </w:r>
          </w:p>
        </w:tc>
        <w:tc>
          <w:tcPr>
            <w:tcW w:w="1152" w:type="dxa"/>
            <w:tcBorders>
              <w:left w:val="single" w:sz="6" w:space="0" w:color="D2D2D2"/>
              <w:bottom w:val="single" w:sz="4" w:space="0" w:color="4E81BD"/>
              <w:right w:val="single" w:sz="6" w:space="0" w:color="D2D2D2"/>
            </w:tcBorders>
            <w:shd w:val="clear" w:color="auto" w:fill="EEECE1"/>
          </w:tcPr>
          <w:p>
            <w:pPr>
              <w:pStyle w:val="TableParagraph"/>
              <w:spacing w:line="220" w:lineRule="atLeast" w:before="13"/>
              <w:ind w:left="542" w:right="118" w:hanging="380"/>
              <w:jc w:val="left"/>
              <w:rPr>
                <w:b/>
                <w:sz w:val="18"/>
              </w:rPr>
            </w:pPr>
            <w:r>
              <w:rPr>
                <w:b/>
                <w:sz w:val="18"/>
              </w:rPr>
              <w:t>Jurisdiction 4</w:t>
            </w:r>
          </w:p>
        </w:tc>
        <w:tc>
          <w:tcPr>
            <w:tcW w:w="1145" w:type="dxa"/>
            <w:tcBorders>
              <w:left w:val="single" w:sz="6" w:space="0" w:color="D2D2D2"/>
              <w:bottom w:val="single" w:sz="4" w:space="0" w:color="4E81BD"/>
              <w:right w:val="nil"/>
            </w:tcBorders>
            <w:shd w:val="clear" w:color="auto" w:fill="EEECE1"/>
          </w:tcPr>
          <w:p>
            <w:pPr>
              <w:pStyle w:val="TableParagraph"/>
              <w:spacing w:line="220" w:lineRule="atLeast" w:before="13"/>
              <w:ind w:left="538" w:right="120" w:hanging="378"/>
              <w:jc w:val="left"/>
              <w:rPr>
                <w:b/>
                <w:sz w:val="18"/>
              </w:rPr>
            </w:pPr>
            <w:r>
              <w:rPr>
                <w:b/>
                <w:sz w:val="18"/>
              </w:rPr>
              <w:t>Jurisdiction 5</w:t>
            </w:r>
          </w:p>
        </w:tc>
      </w:tr>
      <w:tr>
        <w:trPr>
          <w:trHeight w:val="246" w:hRule="atLeast"/>
        </w:trPr>
        <w:tc>
          <w:tcPr>
            <w:tcW w:w="1839" w:type="dxa"/>
            <w:tcBorders>
              <w:top w:val="single" w:sz="4" w:space="0" w:color="4E81BD"/>
              <w:left w:val="nil"/>
              <w:bottom w:val="single" w:sz="6" w:space="0" w:color="D2D2D2"/>
              <w:right w:val="single" w:sz="6" w:space="0" w:color="D2D2D2"/>
            </w:tcBorders>
            <w:shd w:val="clear" w:color="auto" w:fill="EEECE1"/>
          </w:tcPr>
          <w:p>
            <w:pPr>
              <w:pStyle w:val="TableParagraph"/>
              <w:spacing w:line="194" w:lineRule="exact" w:before="32"/>
              <w:ind w:left="127" w:right="77"/>
              <w:rPr>
                <w:b/>
                <w:sz w:val="18"/>
              </w:rPr>
            </w:pPr>
            <w:r>
              <w:rPr>
                <w:b/>
                <w:sz w:val="18"/>
              </w:rPr>
              <w:t>Amount A</w:t>
            </w:r>
          </w:p>
        </w:tc>
        <w:tc>
          <w:tcPr>
            <w:tcW w:w="1152"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4" w:lineRule="exact" w:before="32"/>
              <w:ind w:left="29"/>
              <w:rPr>
                <w:sz w:val="18"/>
              </w:rPr>
            </w:pPr>
            <w:r>
              <w:rPr>
                <w:sz w:val="18"/>
              </w:rPr>
              <w:t>0</w:t>
            </w:r>
          </w:p>
        </w:tc>
        <w:tc>
          <w:tcPr>
            <w:tcW w:w="1152"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4" w:lineRule="exact" w:before="32"/>
              <w:ind w:left="389" w:right="361"/>
              <w:rPr>
                <w:sz w:val="18"/>
              </w:rPr>
            </w:pPr>
            <w:r>
              <w:rPr>
                <w:sz w:val="18"/>
              </w:rPr>
              <w:t>83</w:t>
            </w:r>
          </w:p>
        </w:tc>
        <w:tc>
          <w:tcPr>
            <w:tcW w:w="1152"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4" w:lineRule="exact" w:before="32"/>
              <w:ind w:left="501"/>
              <w:jc w:val="left"/>
              <w:rPr>
                <w:sz w:val="18"/>
              </w:rPr>
            </w:pPr>
            <w:r>
              <w:rPr>
                <w:sz w:val="18"/>
              </w:rPr>
              <w:t>42</w:t>
            </w:r>
          </w:p>
        </w:tc>
        <w:tc>
          <w:tcPr>
            <w:tcW w:w="1152" w:type="dxa"/>
            <w:tcBorders>
              <w:top w:val="single" w:sz="4" w:space="0" w:color="4E81BD"/>
              <w:left w:val="single" w:sz="6" w:space="0" w:color="D2D2D2"/>
              <w:bottom w:val="single" w:sz="6" w:space="0" w:color="D2D2D2"/>
              <w:right w:val="single" w:sz="6" w:space="0" w:color="D2D2D2"/>
            </w:tcBorders>
            <w:shd w:val="clear" w:color="auto" w:fill="EEECE1"/>
          </w:tcPr>
          <w:p>
            <w:pPr>
              <w:pStyle w:val="TableParagraph"/>
              <w:spacing w:line="194" w:lineRule="exact" w:before="32"/>
              <w:ind w:left="389" w:right="360"/>
              <w:rPr>
                <w:sz w:val="18"/>
              </w:rPr>
            </w:pPr>
            <w:r>
              <w:rPr>
                <w:sz w:val="18"/>
              </w:rPr>
              <w:t>63</w:t>
            </w:r>
          </w:p>
        </w:tc>
        <w:tc>
          <w:tcPr>
            <w:tcW w:w="1145" w:type="dxa"/>
            <w:tcBorders>
              <w:top w:val="single" w:sz="4" w:space="0" w:color="4E81BD"/>
              <w:left w:val="single" w:sz="6" w:space="0" w:color="D2D2D2"/>
              <w:bottom w:val="single" w:sz="6" w:space="0" w:color="D2D2D2"/>
              <w:right w:val="nil"/>
            </w:tcBorders>
            <w:shd w:val="clear" w:color="auto" w:fill="EEECE1"/>
          </w:tcPr>
          <w:p>
            <w:pPr>
              <w:pStyle w:val="TableParagraph"/>
              <w:spacing w:line="194" w:lineRule="exact" w:before="32"/>
              <w:ind w:left="435" w:right="415"/>
              <w:rPr>
                <w:sz w:val="18"/>
              </w:rPr>
            </w:pPr>
            <w:r>
              <w:rPr>
                <w:sz w:val="18"/>
              </w:rPr>
              <w:t>63</w:t>
            </w:r>
          </w:p>
        </w:tc>
      </w:tr>
      <w:tr>
        <w:trPr>
          <w:trHeight w:val="246" w:hRule="atLeast"/>
        </w:trPr>
        <w:tc>
          <w:tcPr>
            <w:tcW w:w="1839" w:type="dxa"/>
            <w:tcBorders>
              <w:top w:val="single" w:sz="6" w:space="0" w:color="D2D2D2"/>
              <w:left w:val="nil"/>
              <w:bottom w:val="single" w:sz="6" w:space="0" w:color="D2D2D2"/>
              <w:right w:val="single" w:sz="6" w:space="0" w:color="D2D2D2"/>
            </w:tcBorders>
            <w:shd w:val="clear" w:color="auto" w:fill="EEECE1"/>
          </w:tcPr>
          <w:p>
            <w:pPr>
              <w:pStyle w:val="TableParagraph"/>
              <w:spacing w:line="196" w:lineRule="exact" w:before="30"/>
              <w:ind w:left="127" w:right="80"/>
              <w:rPr>
                <w:b/>
                <w:sz w:val="18"/>
              </w:rPr>
            </w:pPr>
            <w:r>
              <w:rPr>
                <w:b/>
                <w:sz w:val="18"/>
              </w:rPr>
              <w:t>ALP-based allocations</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6" w:lineRule="exact" w:before="30"/>
              <w:ind w:left="389" w:right="361"/>
              <w:rPr>
                <w:sz w:val="18"/>
              </w:rPr>
            </w:pPr>
            <w:r>
              <w:rPr>
                <w:sz w:val="18"/>
              </w:rPr>
              <w:t>750</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6" w:lineRule="exact" w:before="30"/>
              <w:ind w:left="389" w:right="361"/>
              <w:rPr>
                <w:sz w:val="18"/>
              </w:rPr>
            </w:pPr>
            <w:r>
              <w:rPr>
                <w:sz w:val="18"/>
              </w:rPr>
              <w:t>200</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6" w:lineRule="exact" w:before="30"/>
              <w:ind w:left="460"/>
              <w:jc w:val="left"/>
              <w:rPr>
                <w:sz w:val="18"/>
              </w:rPr>
            </w:pPr>
            <w:r>
              <w:rPr>
                <w:sz w:val="18"/>
              </w:rPr>
              <w:t>650</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6" w:lineRule="exact" w:before="30"/>
              <w:ind w:left="389" w:right="360"/>
              <w:rPr>
                <w:sz w:val="18"/>
              </w:rPr>
            </w:pPr>
            <w:r>
              <w:rPr>
                <w:sz w:val="18"/>
              </w:rPr>
              <w:t>400</w:t>
            </w:r>
          </w:p>
        </w:tc>
        <w:tc>
          <w:tcPr>
            <w:tcW w:w="1145" w:type="dxa"/>
            <w:tcBorders>
              <w:top w:val="single" w:sz="6" w:space="0" w:color="D2D2D2"/>
              <w:left w:val="single" w:sz="6" w:space="0" w:color="D2D2D2"/>
              <w:bottom w:val="single" w:sz="6" w:space="0" w:color="D2D2D2"/>
              <w:right w:val="nil"/>
            </w:tcBorders>
            <w:shd w:val="clear" w:color="auto" w:fill="EEECE1"/>
          </w:tcPr>
          <w:p>
            <w:pPr>
              <w:pStyle w:val="TableParagraph"/>
              <w:spacing w:line="196" w:lineRule="exact" w:before="30"/>
              <w:ind w:left="435" w:right="415"/>
              <w:rPr>
                <w:sz w:val="18"/>
              </w:rPr>
            </w:pPr>
            <w:r>
              <w:rPr>
                <w:sz w:val="18"/>
              </w:rPr>
              <w:t>450</w:t>
            </w:r>
          </w:p>
        </w:tc>
      </w:tr>
      <w:tr>
        <w:trPr>
          <w:trHeight w:val="244" w:hRule="atLeast"/>
        </w:trPr>
        <w:tc>
          <w:tcPr>
            <w:tcW w:w="1839" w:type="dxa"/>
            <w:tcBorders>
              <w:top w:val="single" w:sz="6" w:space="0" w:color="D2D2D2"/>
              <w:left w:val="nil"/>
              <w:bottom w:val="single" w:sz="6" w:space="0" w:color="D2D2D2"/>
              <w:right w:val="single" w:sz="6" w:space="0" w:color="D2D2D2"/>
            </w:tcBorders>
            <w:shd w:val="clear" w:color="auto" w:fill="EEECE1"/>
          </w:tcPr>
          <w:p>
            <w:pPr>
              <w:pStyle w:val="TableParagraph"/>
              <w:spacing w:line="194" w:lineRule="exact" w:before="30"/>
              <w:ind w:left="127" w:right="79"/>
              <w:rPr>
                <w:b/>
                <w:sz w:val="18"/>
              </w:rPr>
            </w:pPr>
            <w:r>
              <w:rPr>
                <w:b/>
                <w:sz w:val="18"/>
              </w:rPr>
              <w:t>Total taxable profit</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30"/>
              <w:ind w:left="386" w:right="362"/>
              <w:rPr>
                <w:sz w:val="18"/>
              </w:rPr>
            </w:pPr>
            <w:r>
              <w:rPr>
                <w:sz w:val="18"/>
              </w:rPr>
              <w:t>750</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30"/>
              <w:ind w:left="385" w:right="362"/>
              <w:rPr>
                <w:sz w:val="18"/>
              </w:rPr>
            </w:pPr>
            <w:r>
              <w:rPr>
                <w:sz w:val="18"/>
              </w:rPr>
              <w:t>283</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30"/>
              <w:ind w:left="458"/>
              <w:jc w:val="left"/>
              <w:rPr>
                <w:sz w:val="18"/>
              </w:rPr>
            </w:pPr>
            <w:r>
              <w:rPr>
                <w:sz w:val="18"/>
              </w:rPr>
              <w:t>692</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line="194" w:lineRule="exact" w:before="30"/>
              <w:ind w:left="386" w:right="362"/>
              <w:rPr>
                <w:sz w:val="18"/>
              </w:rPr>
            </w:pPr>
            <w:r>
              <w:rPr>
                <w:sz w:val="18"/>
              </w:rPr>
              <w:t>463</w:t>
            </w:r>
          </w:p>
        </w:tc>
        <w:tc>
          <w:tcPr>
            <w:tcW w:w="1145" w:type="dxa"/>
            <w:tcBorders>
              <w:top w:val="single" w:sz="6" w:space="0" w:color="D2D2D2"/>
              <w:left w:val="single" w:sz="6" w:space="0" w:color="D2D2D2"/>
              <w:bottom w:val="single" w:sz="6" w:space="0" w:color="D2D2D2"/>
              <w:right w:val="nil"/>
            </w:tcBorders>
            <w:shd w:val="clear" w:color="auto" w:fill="EEECE1"/>
          </w:tcPr>
          <w:p>
            <w:pPr>
              <w:pStyle w:val="TableParagraph"/>
              <w:spacing w:line="194" w:lineRule="exact" w:before="30"/>
              <w:ind w:left="435" w:right="415"/>
              <w:rPr>
                <w:sz w:val="18"/>
              </w:rPr>
            </w:pPr>
            <w:r>
              <w:rPr>
                <w:sz w:val="18"/>
              </w:rPr>
              <w:t>513</w:t>
            </w:r>
          </w:p>
        </w:tc>
      </w:tr>
      <w:tr>
        <w:trPr>
          <w:trHeight w:val="460" w:hRule="atLeast"/>
        </w:trPr>
        <w:tc>
          <w:tcPr>
            <w:tcW w:w="1839" w:type="dxa"/>
            <w:tcBorders>
              <w:top w:val="single" w:sz="6" w:space="0" w:color="D2D2D2"/>
              <w:left w:val="nil"/>
              <w:bottom w:val="single" w:sz="6" w:space="0" w:color="D2D2D2"/>
              <w:right w:val="single" w:sz="6" w:space="0" w:color="D2D2D2"/>
            </w:tcBorders>
            <w:shd w:val="clear" w:color="auto" w:fill="EEECE1"/>
          </w:tcPr>
          <w:p>
            <w:pPr>
              <w:pStyle w:val="TableParagraph"/>
              <w:spacing w:line="220" w:lineRule="atLeast" w:before="16"/>
              <w:ind w:left="628" w:right="299" w:hanging="264"/>
              <w:jc w:val="left"/>
              <w:rPr>
                <w:b/>
                <w:sz w:val="18"/>
              </w:rPr>
            </w:pPr>
            <w:r>
              <w:rPr>
                <w:b/>
                <w:sz w:val="18"/>
              </w:rPr>
              <w:t>Potential double counting</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9"/>
              <w:rPr>
                <w:sz w:val="18"/>
              </w:rPr>
            </w:pPr>
            <w:r>
              <w:rPr>
                <w:sz w:val="18"/>
              </w:rPr>
              <w:t>0</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29"/>
              <w:rPr>
                <w:sz w:val="18"/>
              </w:rPr>
            </w:pPr>
            <w:r>
              <w:rPr>
                <w:sz w:val="18"/>
              </w:rPr>
              <w:t>?</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501"/>
              <w:jc w:val="left"/>
              <w:rPr>
                <w:sz w:val="18"/>
              </w:rPr>
            </w:pPr>
            <w:r>
              <w:rPr>
                <w:sz w:val="18"/>
              </w:rPr>
              <w:t>42</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138"/>
              <w:ind w:left="30"/>
              <w:rPr>
                <w:sz w:val="18"/>
              </w:rPr>
            </w:pPr>
            <w:r>
              <w:rPr>
                <w:sz w:val="18"/>
              </w:rPr>
              <w:t>?</w:t>
            </w:r>
          </w:p>
        </w:tc>
        <w:tc>
          <w:tcPr>
            <w:tcW w:w="1145" w:type="dxa"/>
            <w:tcBorders>
              <w:top w:val="single" w:sz="6" w:space="0" w:color="D2D2D2"/>
              <w:left w:val="single" w:sz="6" w:space="0" w:color="D2D2D2"/>
              <w:bottom w:val="single" w:sz="6" w:space="0" w:color="D2D2D2"/>
              <w:right w:val="nil"/>
            </w:tcBorders>
            <w:shd w:val="clear" w:color="auto" w:fill="EEECE1"/>
          </w:tcPr>
          <w:p>
            <w:pPr>
              <w:pStyle w:val="TableParagraph"/>
              <w:spacing w:before="138"/>
              <w:ind w:left="21"/>
              <w:rPr>
                <w:sz w:val="18"/>
              </w:rPr>
            </w:pPr>
            <w:r>
              <w:rPr>
                <w:sz w:val="18"/>
              </w:rPr>
              <w:t>?</w:t>
            </w:r>
          </w:p>
        </w:tc>
      </w:tr>
      <w:tr>
        <w:trPr>
          <w:trHeight w:val="902" w:hRule="atLeast"/>
        </w:trPr>
        <w:tc>
          <w:tcPr>
            <w:tcW w:w="1839" w:type="dxa"/>
            <w:tcBorders>
              <w:top w:val="single" w:sz="6" w:space="0" w:color="D2D2D2"/>
              <w:left w:val="nil"/>
              <w:bottom w:val="single" w:sz="6" w:space="0" w:color="D2D2D2"/>
              <w:right w:val="single" w:sz="6" w:space="0" w:color="D2D2D2"/>
            </w:tcBorders>
            <w:shd w:val="clear" w:color="auto" w:fill="EEECE1"/>
          </w:tcPr>
          <w:p>
            <w:pPr>
              <w:pStyle w:val="TableParagraph"/>
              <w:spacing w:line="254" w:lineRule="auto" w:before="30"/>
              <w:ind w:left="175" w:right="126" w:firstLine="52"/>
              <w:jc w:val="both"/>
              <w:rPr>
                <w:b/>
                <w:sz w:val="18"/>
              </w:rPr>
            </w:pPr>
            <w:r>
              <w:rPr>
                <w:b/>
                <w:sz w:val="18"/>
              </w:rPr>
              <w:t>Netting-off of profits under the mechanism to eliminate double</w:t>
            </w:r>
          </w:p>
          <w:p>
            <w:pPr>
              <w:pStyle w:val="TableParagraph"/>
              <w:spacing w:line="192" w:lineRule="exact" w:before="3"/>
              <w:ind w:left="657"/>
              <w:jc w:val="left"/>
              <w:rPr>
                <w:b/>
                <w:sz w:val="18"/>
              </w:rPr>
            </w:pPr>
            <w:r>
              <w:rPr>
                <w:b/>
                <w:sz w:val="18"/>
              </w:rPr>
              <w:t>taxation</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9"/>
              <w:ind w:left="389" w:right="362"/>
              <w:rPr>
                <w:sz w:val="18"/>
              </w:rPr>
            </w:pPr>
            <w:r>
              <w:rPr>
                <w:sz w:val="18"/>
              </w:rPr>
              <w:t>(209)</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9"/>
              <w:ind w:left="386" w:right="362"/>
              <w:rPr>
                <w:sz w:val="18"/>
              </w:rPr>
            </w:pPr>
            <w:r>
              <w:rPr>
                <w:sz w:val="18"/>
              </w:rPr>
              <w:t>n.a.</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9"/>
              <w:ind w:left="451"/>
              <w:jc w:val="left"/>
              <w:rPr>
                <w:sz w:val="18"/>
              </w:rPr>
            </w:pPr>
            <w:r>
              <w:rPr>
                <w:sz w:val="18"/>
              </w:rPr>
              <w:t>(42)</w:t>
            </w:r>
          </w:p>
        </w:tc>
        <w:tc>
          <w:tcPr>
            <w:tcW w:w="1152" w:type="dxa"/>
            <w:tcBorders>
              <w:top w:val="single" w:sz="6" w:space="0" w:color="D2D2D2"/>
              <w:left w:val="single" w:sz="6" w:space="0" w:color="D2D2D2"/>
              <w:bottom w:val="single" w:sz="6" w:space="0" w:color="D2D2D2"/>
              <w:right w:val="single" w:sz="6" w:space="0" w:color="D2D2D2"/>
            </w:tcBorders>
            <w:shd w:val="clear" w:color="auto" w:fill="EEECE1"/>
          </w:tcPr>
          <w:p>
            <w:pPr>
              <w:pStyle w:val="TableParagraph"/>
              <w:spacing w:before="0"/>
              <w:jc w:val="left"/>
              <w:rPr>
                <w:rFonts w:ascii="Arial"/>
                <w:sz w:val="20"/>
              </w:rPr>
            </w:pPr>
          </w:p>
          <w:p>
            <w:pPr>
              <w:pStyle w:val="TableParagraph"/>
              <w:spacing w:before="129"/>
              <w:ind w:left="387" w:right="362"/>
              <w:rPr>
                <w:sz w:val="18"/>
              </w:rPr>
            </w:pPr>
            <w:r>
              <w:rPr>
                <w:sz w:val="18"/>
              </w:rPr>
              <w:t>n.a.</w:t>
            </w:r>
          </w:p>
        </w:tc>
        <w:tc>
          <w:tcPr>
            <w:tcW w:w="1145" w:type="dxa"/>
            <w:tcBorders>
              <w:top w:val="single" w:sz="6" w:space="0" w:color="D2D2D2"/>
              <w:left w:val="single" w:sz="6" w:space="0" w:color="D2D2D2"/>
              <w:bottom w:val="single" w:sz="6" w:space="0" w:color="D2D2D2"/>
              <w:right w:val="nil"/>
            </w:tcBorders>
            <w:shd w:val="clear" w:color="auto" w:fill="EEECE1"/>
          </w:tcPr>
          <w:p>
            <w:pPr>
              <w:pStyle w:val="TableParagraph"/>
              <w:spacing w:before="0"/>
              <w:jc w:val="left"/>
              <w:rPr>
                <w:rFonts w:ascii="Arial"/>
                <w:sz w:val="20"/>
              </w:rPr>
            </w:pPr>
          </w:p>
          <w:p>
            <w:pPr>
              <w:pStyle w:val="TableParagraph"/>
              <w:spacing w:before="129"/>
              <w:ind w:left="435" w:right="414"/>
              <w:rPr>
                <w:sz w:val="18"/>
              </w:rPr>
            </w:pPr>
            <w:r>
              <w:rPr>
                <w:sz w:val="18"/>
              </w:rPr>
              <w:t>n.a.</w:t>
            </w:r>
          </w:p>
        </w:tc>
      </w:tr>
      <w:tr>
        <w:trPr>
          <w:trHeight w:val="680" w:hRule="atLeast"/>
        </w:trPr>
        <w:tc>
          <w:tcPr>
            <w:tcW w:w="1839" w:type="dxa"/>
            <w:tcBorders>
              <w:top w:val="single" w:sz="6" w:space="0" w:color="D2D2D2"/>
              <w:left w:val="nil"/>
              <w:right w:val="single" w:sz="6" w:space="0" w:color="D2D2D2"/>
            </w:tcBorders>
            <w:shd w:val="clear" w:color="auto" w:fill="EEECE1"/>
          </w:tcPr>
          <w:p>
            <w:pPr>
              <w:pStyle w:val="TableParagraph"/>
              <w:spacing w:line="254" w:lineRule="auto"/>
              <w:ind w:left="213" w:right="146" w:firstLine="26"/>
              <w:jc w:val="left"/>
              <w:rPr>
                <w:b/>
                <w:sz w:val="18"/>
              </w:rPr>
            </w:pPr>
            <w:r>
              <w:rPr>
                <w:b/>
                <w:sz w:val="18"/>
              </w:rPr>
              <w:t>Total taxable profits (after the elimination</w:t>
            </w:r>
          </w:p>
          <w:p>
            <w:pPr>
              <w:pStyle w:val="TableParagraph"/>
              <w:spacing w:line="194" w:lineRule="exact" w:before="1"/>
              <w:ind w:left="280"/>
              <w:jc w:val="left"/>
              <w:rPr>
                <w:b/>
                <w:sz w:val="18"/>
              </w:rPr>
            </w:pPr>
            <w:r>
              <w:rPr>
                <w:b/>
                <w:sz w:val="18"/>
              </w:rPr>
              <w:t>of double taxation)</w:t>
            </w:r>
          </w:p>
        </w:tc>
        <w:tc>
          <w:tcPr>
            <w:tcW w:w="1152" w:type="dxa"/>
            <w:tcBorders>
              <w:top w:val="single" w:sz="6" w:space="0" w:color="D2D2D2"/>
              <w:left w:val="single" w:sz="6" w:space="0" w:color="D2D2D2"/>
              <w:right w:val="single" w:sz="6" w:space="0" w:color="D2D2D2"/>
            </w:tcBorders>
            <w:shd w:val="clear" w:color="auto" w:fill="EEECE1"/>
          </w:tcPr>
          <w:p>
            <w:pPr>
              <w:pStyle w:val="TableParagraph"/>
              <w:spacing w:before="4"/>
              <w:jc w:val="left"/>
              <w:rPr>
                <w:rFonts w:ascii="Arial"/>
                <w:sz w:val="21"/>
              </w:rPr>
            </w:pPr>
          </w:p>
          <w:p>
            <w:pPr>
              <w:pStyle w:val="TableParagraph"/>
              <w:spacing w:before="0"/>
              <w:ind w:left="386" w:right="362"/>
              <w:rPr>
                <w:sz w:val="18"/>
              </w:rPr>
            </w:pPr>
            <w:r>
              <w:rPr>
                <w:sz w:val="18"/>
              </w:rPr>
              <w:t>541</w:t>
            </w:r>
          </w:p>
        </w:tc>
        <w:tc>
          <w:tcPr>
            <w:tcW w:w="1152" w:type="dxa"/>
            <w:tcBorders>
              <w:top w:val="single" w:sz="6" w:space="0" w:color="D2D2D2"/>
              <w:left w:val="single" w:sz="6" w:space="0" w:color="D2D2D2"/>
              <w:right w:val="single" w:sz="6" w:space="0" w:color="D2D2D2"/>
            </w:tcBorders>
            <w:shd w:val="clear" w:color="auto" w:fill="EEECE1"/>
          </w:tcPr>
          <w:p>
            <w:pPr>
              <w:pStyle w:val="TableParagraph"/>
              <w:spacing w:before="4"/>
              <w:jc w:val="left"/>
              <w:rPr>
                <w:rFonts w:ascii="Arial"/>
                <w:sz w:val="21"/>
              </w:rPr>
            </w:pPr>
          </w:p>
          <w:p>
            <w:pPr>
              <w:pStyle w:val="TableParagraph"/>
              <w:spacing w:before="0"/>
              <w:ind w:left="389" w:right="361"/>
              <w:rPr>
                <w:sz w:val="18"/>
              </w:rPr>
            </w:pPr>
            <w:r>
              <w:rPr>
                <w:sz w:val="18"/>
              </w:rPr>
              <w:t>283</w:t>
            </w:r>
          </w:p>
        </w:tc>
        <w:tc>
          <w:tcPr>
            <w:tcW w:w="1152" w:type="dxa"/>
            <w:tcBorders>
              <w:top w:val="single" w:sz="6" w:space="0" w:color="D2D2D2"/>
              <w:left w:val="single" w:sz="6" w:space="0" w:color="D2D2D2"/>
              <w:right w:val="single" w:sz="6" w:space="0" w:color="D2D2D2"/>
            </w:tcBorders>
            <w:shd w:val="clear" w:color="auto" w:fill="EEECE1"/>
          </w:tcPr>
          <w:p>
            <w:pPr>
              <w:pStyle w:val="TableParagraph"/>
              <w:spacing w:before="4"/>
              <w:jc w:val="left"/>
              <w:rPr>
                <w:rFonts w:ascii="Arial"/>
                <w:sz w:val="21"/>
              </w:rPr>
            </w:pPr>
          </w:p>
          <w:p>
            <w:pPr>
              <w:pStyle w:val="TableParagraph"/>
              <w:spacing w:before="0"/>
              <w:ind w:left="458"/>
              <w:jc w:val="left"/>
              <w:rPr>
                <w:sz w:val="18"/>
              </w:rPr>
            </w:pPr>
            <w:r>
              <w:rPr>
                <w:sz w:val="18"/>
              </w:rPr>
              <w:t>650</w:t>
            </w:r>
          </w:p>
        </w:tc>
        <w:tc>
          <w:tcPr>
            <w:tcW w:w="1152" w:type="dxa"/>
            <w:tcBorders>
              <w:top w:val="single" w:sz="6" w:space="0" w:color="D2D2D2"/>
              <w:left w:val="single" w:sz="6" w:space="0" w:color="D2D2D2"/>
              <w:right w:val="single" w:sz="6" w:space="0" w:color="D2D2D2"/>
            </w:tcBorders>
            <w:shd w:val="clear" w:color="auto" w:fill="EEECE1"/>
          </w:tcPr>
          <w:p>
            <w:pPr>
              <w:pStyle w:val="TableParagraph"/>
              <w:spacing w:before="4"/>
              <w:jc w:val="left"/>
              <w:rPr>
                <w:rFonts w:ascii="Arial"/>
                <w:sz w:val="21"/>
              </w:rPr>
            </w:pPr>
          </w:p>
          <w:p>
            <w:pPr>
              <w:pStyle w:val="TableParagraph"/>
              <w:spacing w:before="0"/>
              <w:ind w:left="389" w:right="360"/>
              <w:rPr>
                <w:sz w:val="18"/>
              </w:rPr>
            </w:pPr>
            <w:r>
              <w:rPr>
                <w:sz w:val="18"/>
              </w:rPr>
              <w:t>463</w:t>
            </w:r>
          </w:p>
        </w:tc>
        <w:tc>
          <w:tcPr>
            <w:tcW w:w="1145" w:type="dxa"/>
            <w:tcBorders>
              <w:top w:val="single" w:sz="6" w:space="0" w:color="D2D2D2"/>
              <w:left w:val="single" w:sz="6" w:space="0" w:color="D2D2D2"/>
              <w:right w:val="nil"/>
            </w:tcBorders>
            <w:shd w:val="clear" w:color="auto" w:fill="EEECE1"/>
          </w:tcPr>
          <w:p>
            <w:pPr>
              <w:pStyle w:val="TableParagraph"/>
              <w:spacing w:before="4"/>
              <w:jc w:val="left"/>
              <w:rPr>
                <w:rFonts w:ascii="Arial"/>
                <w:sz w:val="21"/>
              </w:rPr>
            </w:pPr>
          </w:p>
          <w:p>
            <w:pPr>
              <w:pStyle w:val="TableParagraph"/>
              <w:spacing w:before="0"/>
              <w:ind w:left="435" w:right="415"/>
              <w:rPr>
                <w:sz w:val="18"/>
              </w:rPr>
            </w:pPr>
            <w:r>
              <w:rPr>
                <w:sz w:val="18"/>
              </w:rPr>
              <w:t>513</w:t>
            </w:r>
          </w:p>
        </w:tc>
      </w:tr>
    </w:tbl>
    <w:p>
      <w:pPr>
        <w:spacing w:after="0"/>
        <w:rPr>
          <w:sz w:val="18"/>
        </w:rPr>
        <w:sectPr>
          <w:pgSz w:w="11910" w:h="16840"/>
          <w:pgMar w:header="1244" w:footer="1638" w:top="1500" w:bottom="1820" w:left="580" w:right="820"/>
        </w:sectPr>
      </w:pPr>
    </w:p>
    <w:p>
      <w:pPr>
        <w:pStyle w:val="BodyText"/>
        <w:ind w:left="101"/>
      </w:pPr>
      <w:r>
        <w:rPr/>
        <w:pict>
          <v:rect style="position:absolute;margin-left:0pt;margin-top:0pt;width:595.484009pt;height:841.799928pt;mso-position-horizontal-relative:page;mso-position-vertical-relative:page;z-index:-19486208" filled="true" fillcolor="#005088" stroked="false">
            <v:fill type="solid"/>
            <w10:wrap type="none"/>
          </v:rect>
        </w:pict>
      </w:r>
      <w:r>
        <w:rPr/>
        <w:drawing>
          <wp:inline distT="0" distB="0" distL="0" distR="0">
            <wp:extent cx="4296026" cy="210311"/>
            <wp:effectExtent l="0" t="0" r="0" b="0"/>
            <wp:docPr id="19" name="image31.png"/>
            <wp:cNvGraphicFramePr>
              <a:graphicFrameLocks noChangeAspect="1"/>
            </wp:cNvGraphicFramePr>
            <a:graphic>
              <a:graphicData uri="http://schemas.openxmlformats.org/drawingml/2006/picture">
                <pic:pic>
                  <pic:nvPicPr>
                    <pic:cNvPr id="20" name="image31.png"/>
                    <pic:cNvPicPr/>
                  </pic:nvPicPr>
                  <pic:blipFill>
                    <a:blip r:embed="rId61" cstate="print"/>
                    <a:stretch>
                      <a:fillRect/>
                    </a:stretch>
                  </pic:blipFill>
                  <pic:spPr>
                    <a:xfrm>
                      <a:off x="0" y="0"/>
                      <a:ext cx="4296026" cy="210311"/>
                    </a:xfrm>
                    <a:prstGeom prst="rect">
                      <a:avLst/>
                    </a:prstGeom>
                  </pic:spPr>
                </pic:pic>
              </a:graphicData>
            </a:graphic>
          </wp:inline>
        </w:drawing>
      </w:r>
      <w:r>
        <w:rPr/>
      </w:r>
    </w:p>
    <w:p>
      <w:pPr>
        <w:pStyle w:val="BodyText"/>
        <w:spacing w:before="9"/>
        <w:rPr>
          <w:sz w:val="28"/>
        </w:rPr>
      </w:pPr>
      <w:r>
        <w:rPr/>
        <w:pict>
          <v:group style="position:absolute;margin-left:34.056pt;margin-top:18.540001pt;width:487.05pt;height:46.5pt;mso-position-horizontal-relative:page;mso-position-vertical-relative:paragraph;z-index:-15626752;mso-wrap-distance-left:0;mso-wrap-distance-right:0" coordorigin="681,371" coordsize="9741,930">
            <v:shape style="position:absolute;left:681;top:370;width:5084;height:497" type="#_x0000_t75" stroked="false">
              <v:imagedata r:id="rId62" o:title=""/>
            </v:shape>
            <v:shape style="position:absolute;left:5589;top:370;width:548;height:497" type="#_x0000_t75" stroked="false">
              <v:imagedata r:id="rId63" o:title=""/>
            </v:shape>
            <v:shape style="position:absolute;left:5863;top:370;width:2658;height:497" type="#_x0000_t75" stroked="false">
              <v:imagedata r:id="rId64" o:title=""/>
            </v:shape>
            <v:shape style="position:absolute;left:8383;top:370;width:2038;height:497" type="#_x0000_t75" stroked="false">
              <v:imagedata r:id="rId65" o:title=""/>
            </v:shape>
            <v:shape style="position:absolute;left:681;top:802;width:2663;height:498" type="#_x0000_t75" stroked="false">
              <v:imagedata r:id="rId66" o:title=""/>
            </v:shape>
            <v:shape style="position:absolute;left:3177;top:802;width:476;height:498" type="#_x0000_t75" stroked="false">
              <v:imagedata r:id="rId67" o:title=""/>
            </v:shape>
            <v:shape style="position:absolute;left:3415;top:802;width:1545;height:498" type="#_x0000_t75" stroked="false">
              <v:imagedata r:id="rId68" o:title=""/>
            </v:shape>
            <w10:wrap type="topAndBottom"/>
          </v:group>
        </w:pict>
      </w:r>
      <w:r>
        <w:rPr/>
        <w:drawing>
          <wp:anchor distT="0" distB="0" distL="0" distR="0" allowOverlap="1" layoutInCell="1" locked="0" behindDoc="0" simplePos="0" relativeHeight="200">
            <wp:simplePos x="0" y="0"/>
            <wp:positionH relativeFrom="page">
              <wp:posOffset>432511</wp:posOffset>
            </wp:positionH>
            <wp:positionV relativeFrom="paragraph">
              <wp:posOffset>1003935</wp:posOffset>
            </wp:positionV>
            <wp:extent cx="2625470" cy="245364"/>
            <wp:effectExtent l="0" t="0" r="0" b="0"/>
            <wp:wrapTopAndBottom/>
            <wp:docPr id="21" name="image39.png"/>
            <wp:cNvGraphicFramePr>
              <a:graphicFrameLocks noChangeAspect="1"/>
            </wp:cNvGraphicFramePr>
            <a:graphic>
              <a:graphicData uri="http://schemas.openxmlformats.org/drawingml/2006/picture">
                <pic:pic>
                  <pic:nvPicPr>
                    <pic:cNvPr id="22" name="image39.png"/>
                    <pic:cNvPicPr/>
                  </pic:nvPicPr>
                  <pic:blipFill>
                    <a:blip r:embed="rId69" cstate="print"/>
                    <a:stretch>
                      <a:fillRect/>
                    </a:stretch>
                  </pic:blipFill>
                  <pic:spPr>
                    <a:xfrm>
                      <a:off x="0" y="0"/>
                      <a:ext cx="2625470" cy="245364"/>
                    </a:xfrm>
                    <a:prstGeom prst="rect">
                      <a:avLst/>
                    </a:prstGeom>
                  </pic:spPr>
                </pic:pic>
              </a:graphicData>
            </a:graphic>
          </wp:anchor>
        </w:drawing>
      </w:r>
    </w:p>
    <w:p>
      <w:pPr>
        <w:pStyle w:val="BodyText"/>
        <w:spacing w:before="5"/>
        <w:rPr>
          <w:sz w:val="18"/>
        </w:rPr>
      </w:pPr>
    </w:p>
    <w:p>
      <w:pPr>
        <w:pStyle w:val="BodyText"/>
        <w:spacing w:before="1"/>
        <w:rPr>
          <w:sz w:val="14"/>
        </w:rPr>
      </w:pPr>
    </w:p>
    <w:p>
      <w:pPr>
        <w:spacing w:line="249" w:lineRule="auto" w:before="92"/>
        <w:ind w:left="101" w:right="310" w:firstLine="0"/>
        <w:jc w:val="both"/>
        <w:rPr>
          <w:sz w:val="24"/>
        </w:rPr>
      </w:pPr>
      <w:r>
        <w:rPr>
          <w:color w:val="FFFFFF"/>
          <w:sz w:val="24"/>
        </w:rPr>
        <w:t>The OECD/G20 Base Erosion and Profit Shifting (BEPS) Project aims to create a single set of consensus-based international tax rules to address BEPS, and hence to protect tax bases while offering increased certainty and predictability to taxpayers. Addressing the tax challenges raised by digitalisation has been a top priority of the OECD/G20 Inclusive Framework in BEPS since 2015 with the release of the BEPS Action 1 Report. At the request of the G20, the Inclusive Framework has continued to work on the issue, delivering an interim report in March 2018. In 2019, members of the Inclusive Framework agreed to examine proposals in two pillars, which could form the basis for a consensus solution to the tax challenges arising from digitalisation. That same year, a programme of work to be conducted on Pillar One and Pillar Two was adopted and later endorsed by the</w:t>
      </w:r>
      <w:r>
        <w:rPr>
          <w:color w:val="FFFFFF"/>
          <w:spacing w:val="-26"/>
          <w:sz w:val="24"/>
        </w:rPr>
        <w:t> </w:t>
      </w:r>
      <w:r>
        <w:rPr>
          <w:color w:val="FFFFFF"/>
          <w:sz w:val="24"/>
        </w:rPr>
        <w:t>G20.</w:t>
      </w:r>
    </w:p>
    <w:p>
      <w:pPr>
        <w:pStyle w:val="BodyText"/>
        <w:spacing w:before="11"/>
        <w:rPr>
          <w:sz w:val="25"/>
        </w:rPr>
      </w:pPr>
    </w:p>
    <w:p>
      <w:pPr>
        <w:spacing w:line="249" w:lineRule="auto" w:before="0"/>
        <w:ind w:left="101" w:right="310" w:firstLine="0"/>
        <w:jc w:val="both"/>
        <w:rPr>
          <w:sz w:val="24"/>
        </w:rPr>
      </w:pPr>
      <w:r>
        <w:rPr>
          <w:color w:val="FFFFFF"/>
          <w:sz w:val="24"/>
        </w:rPr>
        <w:t>This report focuses on new nexus and profit allocation rules to ensure that, in an increasingly digital age, the allocation of taxing rights with respect to business profits is no longer exclusively circumscribed by reference to physical presence. It reflects the Inclusive Framework’s views on key policy features, principles and parameters, and identifies remaining political</w:t>
      </w:r>
      <w:r>
        <w:rPr>
          <w:color w:val="FFFFFF"/>
          <w:spacing w:val="-8"/>
          <w:sz w:val="24"/>
        </w:rPr>
        <w:t> </w:t>
      </w:r>
      <w:r>
        <w:rPr>
          <w:color w:val="FFFFFF"/>
          <w:sz w:val="24"/>
        </w:rPr>
        <w:t>and</w:t>
      </w:r>
      <w:r>
        <w:rPr>
          <w:color w:val="FFFFFF"/>
          <w:spacing w:val="-4"/>
          <w:sz w:val="24"/>
        </w:rPr>
        <w:t> </w:t>
      </w:r>
      <w:r>
        <w:rPr>
          <w:color w:val="FFFFFF"/>
          <w:sz w:val="24"/>
        </w:rPr>
        <w:t>technical</w:t>
      </w:r>
      <w:r>
        <w:rPr>
          <w:color w:val="FFFFFF"/>
          <w:spacing w:val="-6"/>
          <w:sz w:val="24"/>
        </w:rPr>
        <w:t> </w:t>
      </w:r>
      <w:r>
        <w:rPr>
          <w:color w:val="FFFFFF"/>
          <w:sz w:val="24"/>
        </w:rPr>
        <w:t>issues</w:t>
      </w:r>
      <w:r>
        <w:rPr>
          <w:color w:val="FFFFFF"/>
          <w:spacing w:val="-5"/>
          <w:sz w:val="24"/>
        </w:rPr>
        <w:t> </w:t>
      </w:r>
      <w:r>
        <w:rPr>
          <w:color w:val="FFFFFF"/>
          <w:sz w:val="24"/>
        </w:rPr>
        <w:t>where</w:t>
      </w:r>
      <w:r>
        <w:rPr>
          <w:color w:val="FFFFFF"/>
          <w:spacing w:val="-4"/>
          <w:sz w:val="24"/>
        </w:rPr>
        <w:t> </w:t>
      </w:r>
      <w:r>
        <w:rPr>
          <w:color w:val="FFFFFF"/>
          <w:sz w:val="24"/>
        </w:rPr>
        <w:t>differences</w:t>
      </w:r>
      <w:r>
        <w:rPr>
          <w:color w:val="FFFFFF"/>
          <w:spacing w:val="-6"/>
          <w:sz w:val="24"/>
        </w:rPr>
        <w:t> </w:t>
      </w:r>
      <w:r>
        <w:rPr>
          <w:color w:val="FFFFFF"/>
          <w:sz w:val="24"/>
        </w:rPr>
        <w:t>of</w:t>
      </w:r>
      <w:r>
        <w:rPr>
          <w:color w:val="FFFFFF"/>
          <w:spacing w:val="-2"/>
          <w:sz w:val="24"/>
        </w:rPr>
        <w:t> </w:t>
      </w:r>
      <w:r>
        <w:rPr>
          <w:color w:val="FFFFFF"/>
          <w:sz w:val="24"/>
        </w:rPr>
        <w:t>views remain</w:t>
      </w:r>
      <w:r>
        <w:rPr>
          <w:color w:val="FFFFFF"/>
          <w:spacing w:val="-4"/>
          <w:sz w:val="24"/>
        </w:rPr>
        <w:t> </w:t>
      </w:r>
      <w:r>
        <w:rPr>
          <w:color w:val="FFFFFF"/>
          <w:sz w:val="24"/>
        </w:rPr>
        <w:t>to</w:t>
      </w:r>
      <w:r>
        <w:rPr>
          <w:color w:val="FFFFFF"/>
          <w:spacing w:val="-1"/>
          <w:sz w:val="24"/>
        </w:rPr>
        <w:t> </w:t>
      </w:r>
      <w:r>
        <w:rPr>
          <w:color w:val="FFFFFF"/>
          <w:sz w:val="24"/>
        </w:rPr>
        <w:t>be</w:t>
      </w:r>
      <w:r>
        <w:rPr>
          <w:color w:val="FFFFFF"/>
          <w:spacing w:val="-2"/>
          <w:sz w:val="24"/>
        </w:rPr>
        <w:t> </w:t>
      </w:r>
      <w:r>
        <w:rPr>
          <w:color w:val="FFFFFF"/>
          <w:sz w:val="24"/>
        </w:rPr>
        <w:t>bridged,</w:t>
      </w:r>
      <w:r>
        <w:rPr>
          <w:color w:val="FFFFFF"/>
          <w:spacing w:val="-6"/>
          <w:sz w:val="24"/>
        </w:rPr>
        <w:t> </w:t>
      </w:r>
      <w:r>
        <w:rPr>
          <w:color w:val="FFFFFF"/>
          <w:sz w:val="24"/>
        </w:rPr>
        <w:t>and</w:t>
      </w:r>
      <w:r>
        <w:rPr>
          <w:color w:val="FFFFFF"/>
          <w:spacing w:val="-4"/>
          <w:sz w:val="24"/>
        </w:rPr>
        <w:t> </w:t>
      </w:r>
      <w:r>
        <w:rPr>
          <w:color w:val="FFFFFF"/>
          <w:sz w:val="24"/>
        </w:rPr>
        <w:t>next</w:t>
      </w:r>
      <w:r>
        <w:rPr>
          <w:color w:val="FFFFFF"/>
          <w:spacing w:val="-1"/>
          <w:sz w:val="24"/>
        </w:rPr>
        <w:t> </w:t>
      </w:r>
      <w:r>
        <w:rPr>
          <w:color w:val="FFFFFF"/>
          <w:sz w:val="24"/>
        </w:rPr>
        <w:t>steps.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2"/>
        </w:rPr>
      </w:pPr>
      <w:r>
        <w:rPr/>
        <w:drawing>
          <wp:anchor distT="0" distB="0" distL="0" distR="0" allowOverlap="1" layoutInCell="1" locked="0" behindDoc="0" simplePos="0" relativeHeight="201">
            <wp:simplePos x="0" y="0"/>
            <wp:positionH relativeFrom="page">
              <wp:posOffset>432816</wp:posOffset>
            </wp:positionH>
            <wp:positionV relativeFrom="paragraph">
              <wp:posOffset>113966</wp:posOffset>
            </wp:positionV>
            <wp:extent cx="1930088" cy="593407"/>
            <wp:effectExtent l="0" t="0" r="0" b="0"/>
            <wp:wrapTopAndBottom/>
            <wp:docPr id="23" name="image40.png"/>
            <wp:cNvGraphicFramePr>
              <a:graphicFrameLocks noChangeAspect="1"/>
            </wp:cNvGraphicFramePr>
            <a:graphic>
              <a:graphicData uri="http://schemas.openxmlformats.org/drawingml/2006/picture">
                <pic:pic>
                  <pic:nvPicPr>
                    <pic:cNvPr id="24" name="image40.png"/>
                    <pic:cNvPicPr/>
                  </pic:nvPicPr>
                  <pic:blipFill>
                    <a:blip r:embed="rId70" cstate="print"/>
                    <a:stretch>
                      <a:fillRect/>
                    </a:stretch>
                  </pic:blipFill>
                  <pic:spPr>
                    <a:xfrm>
                      <a:off x="0" y="0"/>
                      <a:ext cx="1930088" cy="593407"/>
                    </a:xfrm>
                    <a:prstGeom prst="rect">
                      <a:avLst/>
                    </a:prstGeom>
                  </pic:spPr>
                </pic:pic>
              </a:graphicData>
            </a:graphic>
          </wp:anchor>
        </w:drawing>
      </w:r>
      <w:r>
        <w:rPr/>
        <w:drawing>
          <wp:anchor distT="0" distB="0" distL="0" distR="0" allowOverlap="1" layoutInCell="1" locked="0" behindDoc="0" simplePos="0" relativeHeight="202">
            <wp:simplePos x="0" y="0"/>
            <wp:positionH relativeFrom="page">
              <wp:posOffset>432511</wp:posOffset>
            </wp:positionH>
            <wp:positionV relativeFrom="paragraph">
              <wp:posOffset>950007</wp:posOffset>
            </wp:positionV>
            <wp:extent cx="1451229" cy="182880"/>
            <wp:effectExtent l="0" t="0" r="0" b="0"/>
            <wp:wrapTopAndBottom/>
            <wp:docPr id="25" name="image41.png"/>
            <wp:cNvGraphicFramePr>
              <a:graphicFrameLocks noChangeAspect="1"/>
            </wp:cNvGraphicFramePr>
            <a:graphic>
              <a:graphicData uri="http://schemas.openxmlformats.org/drawingml/2006/picture">
                <pic:pic>
                  <pic:nvPicPr>
                    <pic:cNvPr id="26" name="image41.png"/>
                    <pic:cNvPicPr/>
                  </pic:nvPicPr>
                  <pic:blipFill>
                    <a:blip r:embed="rId71" cstate="print"/>
                    <a:stretch>
                      <a:fillRect/>
                    </a:stretch>
                  </pic:blipFill>
                  <pic:spPr>
                    <a:xfrm>
                      <a:off x="0" y="0"/>
                      <a:ext cx="1451229" cy="182880"/>
                    </a:xfrm>
                    <a:prstGeom prst="rect">
                      <a:avLst/>
                    </a:prstGeom>
                  </pic:spPr>
                </pic:pic>
              </a:graphicData>
            </a:graphic>
          </wp:anchor>
        </w:drawing>
      </w:r>
      <w:r>
        <w:rPr/>
        <w:drawing>
          <wp:anchor distT="0" distB="0" distL="0" distR="0" allowOverlap="1" layoutInCell="1" locked="0" behindDoc="0" simplePos="0" relativeHeight="203">
            <wp:simplePos x="0" y="0"/>
            <wp:positionH relativeFrom="page">
              <wp:posOffset>432816</wp:posOffset>
            </wp:positionH>
            <wp:positionV relativeFrom="paragraph">
              <wp:posOffset>1237154</wp:posOffset>
            </wp:positionV>
            <wp:extent cx="311277" cy="311277"/>
            <wp:effectExtent l="0" t="0" r="0" b="0"/>
            <wp:wrapTopAndBottom/>
            <wp:docPr id="27" name="image42.png"/>
            <wp:cNvGraphicFramePr>
              <a:graphicFrameLocks noChangeAspect="1"/>
            </wp:cNvGraphicFramePr>
            <a:graphic>
              <a:graphicData uri="http://schemas.openxmlformats.org/drawingml/2006/picture">
                <pic:pic>
                  <pic:nvPicPr>
                    <pic:cNvPr id="28" name="image42.png"/>
                    <pic:cNvPicPr/>
                  </pic:nvPicPr>
                  <pic:blipFill>
                    <a:blip r:embed="rId72" cstate="print"/>
                    <a:stretch>
                      <a:fillRect/>
                    </a:stretch>
                  </pic:blipFill>
                  <pic:spPr>
                    <a:xfrm>
                      <a:off x="0" y="0"/>
                      <a:ext cx="311277" cy="311277"/>
                    </a:xfrm>
                    <a:prstGeom prst="rect">
                      <a:avLst/>
                    </a:prstGeom>
                  </pic:spPr>
                </pic:pic>
              </a:graphicData>
            </a:graphic>
          </wp:anchor>
        </w:drawing>
      </w:r>
      <w:r>
        <w:rPr/>
        <w:drawing>
          <wp:anchor distT="0" distB="0" distL="0" distR="0" allowOverlap="1" layoutInCell="1" locked="0" behindDoc="0" simplePos="0" relativeHeight="204">
            <wp:simplePos x="0" y="0"/>
            <wp:positionH relativeFrom="page">
              <wp:posOffset>940308</wp:posOffset>
            </wp:positionH>
            <wp:positionV relativeFrom="paragraph">
              <wp:posOffset>1302381</wp:posOffset>
            </wp:positionV>
            <wp:extent cx="1459356" cy="182880"/>
            <wp:effectExtent l="0" t="0" r="0" b="0"/>
            <wp:wrapTopAndBottom/>
            <wp:docPr id="29" name="image43.png"/>
            <wp:cNvGraphicFramePr>
              <a:graphicFrameLocks noChangeAspect="1"/>
            </wp:cNvGraphicFramePr>
            <a:graphic>
              <a:graphicData uri="http://schemas.openxmlformats.org/drawingml/2006/picture">
                <pic:pic>
                  <pic:nvPicPr>
                    <pic:cNvPr id="30" name="image43.png"/>
                    <pic:cNvPicPr/>
                  </pic:nvPicPr>
                  <pic:blipFill>
                    <a:blip r:embed="rId73" cstate="print"/>
                    <a:stretch>
                      <a:fillRect/>
                    </a:stretch>
                  </pic:blipFill>
                  <pic:spPr>
                    <a:xfrm>
                      <a:off x="0" y="0"/>
                      <a:ext cx="1459356" cy="182880"/>
                    </a:xfrm>
                    <a:prstGeom prst="rect">
                      <a:avLst/>
                    </a:prstGeom>
                  </pic:spPr>
                </pic:pic>
              </a:graphicData>
            </a:graphic>
          </wp:anchor>
        </w:drawing>
      </w:r>
    </w:p>
    <w:p>
      <w:pPr>
        <w:pStyle w:val="BodyText"/>
        <w:spacing w:before="3"/>
        <w:rPr>
          <w:sz w:val="27"/>
        </w:rPr>
      </w:pPr>
    </w:p>
    <w:p>
      <w:pPr>
        <w:pStyle w:val="BodyText"/>
        <w:spacing w:before="4"/>
        <w:rPr>
          <w:sz w:val="8"/>
        </w:rPr>
      </w:pPr>
    </w:p>
    <w:p>
      <w:pPr>
        <w:pStyle w:val="BodyText"/>
        <w:spacing w:before="6"/>
        <w:rPr>
          <w:sz w:val="5"/>
        </w:rPr>
      </w:pPr>
    </w:p>
    <w:p>
      <w:pPr>
        <w:pStyle w:val="BodyText"/>
        <w:tabs>
          <w:tab w:pos="904" w:val="left" w:leader="none"/>
        </w:tabs>
        <w:ind w:left="101"/>
      </w:pPr>
      <w:r>
        <w:rPr/>
        <w:drawing>
          <wp:inline distT="0" distB="0" distL="0" distR="0">
            <wp:extent cx="311277" cy="311277"/>
            <wp:effectExtent l="0" t="0" r="0" b="0"/>
            <wp:docPr id="31" name="image44.png"/>
            <wp:cNvGraphicFramePr>
              <a:graphicFrameLocks noChangeAspect="1"/>
            </wp:cNvGraphicFramePr>
            <a:graphic>
              <a:graphicData uri="http://schemas.openxmlformats.org/drawingml/2006/picture">
                <pic:pic>
                  <pic:nvPicPr>
                    <pic:cNvPr id="32" name="image44.png"/>
                    <pic:cNvPicPr/>
                  </pic:nvPicPr>
                  <pic:blipFill>
                    <a:blip r:embed="rId74" cstate="print"/>
                    <a:stretch>
                      <a:fillRect/>
                    </a:stretch>
                  </pic:blipFill>
                  <pic:spPr>
                    <a:xfrm>
                      <a:off x="0" y="0"/>
                      <a:ext cx="311277" cy="311277"/>
                    </a:xfrm>
                    <a:prstGeom prst="rect">
                      <a:avLst/>
                    </a:prstGeom>
                  </pic:spPr>
                </pic:pic>
              </a:graphicData>
            </a:graphic>
          </wp:inline>
        </w:drawing>
      </w:r>
      <w:r>
        <w:rPr/>
      </w:r>
      <w:r>
        <w:rPr/>
        <w:tab/>
      </w:r>
      <w:r>
        <w:rPr>
          <w:position w:val="10"/>
        </w:rPr>
        <w:drawing>
          <wp:inline distT="0" distB="0" distL="0" distR="0">
            <wp:extent cx="1609724" cy="182880"/>
            <wp:effectExtent l="0" t="0" r="0" b="0"/>
            <wp:docPr id="33" name="image45.png"/>
            <wp:cNvGraphicFramePr>
              <a:graphicFrameLocks noChangeAspect="1"/>
            </wp:cNvGraphicFramePr>
            <a:graphic>
              <a:graphicData uri="http://schemas.openxmlformats.org/drawingml/2006/picture">
                <pic:pic>
                  <pic:nvPicPr>
                    <pic:cNvPr id="34" name="image45.png"/>
                    <pic:cNvPicPr/>
                  </pic:nvPicPr>
                  <pic:blipFill>
                    <a:blip r:embed="rId75" cstate="print"/>
                    <a:stretch>
                      <a:fillRect/>
                    </a:stretch>
                  </pic:blipFill>
                  <pic:spPr>
                    <a:xfrm>
                      <a:off x="0" y="0"/>
                      <a:ext cx="1609724" cy="182880"/>
                    </a:xfrm>
                    <a:prstGeom prst="rect">
                      <a:avLst/>
                    </a:prstGeom>
                  </pic:spPr>
                </pic:pic>
              </a:graphicData>
            </a:graphic>
          </wp:inline>
        </w:drawing>
      </w:r>
      <w:r>
        <w:rPr>
          <w:position w:val="10"/>
        </w:rPr>
      </w:r>
    </w:p>
    <w:p>
      <w:pPr>
        <w:pStyle w:val="BodyText"/>
        <w:spacing w:before="9"/>
        <w:rPr>
          <w:sz w:val="7"/>
        </w:rPr>
      </w:pPr>
    </w:p>
    <w:p>
      <w:pPr>
        <w:pStyle w:val="BodyText"/>
        <w:tabs>
          <w:tab w:pos="900" w:val="left" w:leader="none"/>
        </w:tabs>
        <w:ind w:left="101"/>
      </w:pPr>
      <w:r>
        <w:rPr/>
        <w:drawing>
          <wp:inline distT="0" distB="0" distL="0" distR="0">
            <wp:extent cx="309773" cy="311277"/>
            <wp:effectExtent l="0" t="0" r="0" b="0"/>
            <wp:docPr id="35" name="image46.png"/>
            <wp:cNvGraphicFramePr>
              <a:graphicFrameLocks noChangeAspect="1"/>
            </wp:cNvGraphicFramePr>
            <a:graphic>
              <a:graphicData uri="http://schemas.openxmlformats.org/drawingml/2006/picture">
                <pic:pic>
                  <pic:nvPicPr>
                    <pic:cNvPr id="36" name="image46.png"/>
                    <pic:cNvPicPr/>
                  </pic:nvPicPr>
                  <pic:blipFill>
                    <a:blip r:embed="rId76" cstate="print"/>
                    <a:stretch>
                      <a:fillRect/>
                    </a:stretch>
                  </pic:blipFill>
                  <pic:spPr>
                    <a:xfrm>
                      <a:off x="0" y="0"/>
                      <a:ext cx="309773" cy="311277"/>
                    </a:xfrm>
                    <a:prstGeom prst="rect">
                      <a:avLst/>
                    </a:prstGeom>
                  </pic:spPr>
                </pic:pic>
              </a:graphicData>
            </a:graphic>
          </wp:inline>
        </w:drawing>
      </w:r>
      <w:r>
        <w:rPr/>
      </w:r>
      <w:r>
        <w:rPr/>
        <w:tab/>
      </w:r>
      <w:r>
        <w:rPr>
          <w:position w:val="10"/>
        </w:rPr>
        <w:pict>
          <v:group style="width:59.9pt;height:14.4pt;mso-position-horizontal-relative:char;mso-position-vertical-relative:line" coordorigin="0,0" coordsize="1198,288">
            <v:shape style="position:absolute;left:0;top:0;width:356;height:288" type="#_x0000_t75" stroked="false">
              <v:imagedata r:id="rId77" o:title=""/>
            </v:shape>
            <v:shape style="position:absolute;left:177;top:0;width:1021;height:288" type="#_x0000_t75" stroked="false">
              <v:imagedata r:id="rId78" o:title=""/>
            </v:shape>
          </v:group>
        </w:pict>
      </w:r>
      <w:r>
        <w:rPr>
          <w:position w:val="10"/>
        </w:rPr>
      </w:r>
    </w:p>
    <w:sectPr>
      <w:headerReference w:type="even" r:id="rId59"/>
      <w:footerReference w:type="even" r:id="rId60"/>
      <w:pgSz w:w="11910" w:h="16850"/>
      <w:pgMar w:header="0" w:footer="0" w:top="1080" w:bottom="280" w:left="580" w:right="82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Symbol">
    <w:altName w:val="Symbol"/>
    <w:charset w:val="2"/>
    <w:family w:val="roman"/>
    <w:pitch w:val="variable"/>
  </w:font>
  <w:font w:name="Calibri">
    <w:altName w:val="Calibri"/>
    <w:charset w:val="0"/>
    <w:family w:val="swiss"/>
    <w:pitch w:val="variable"/>
  </w:font>
  <w:font w:name="Courier New">
    <w:altName w:val="Courier New"/>
    <w:charset w:val="0"/>
    <w:family w:val="modern"/>
    <w:pitch w:val="fixed"/>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4.900002pt;margin-top:749.017578pt;width:406.4pt;height:11pt;mso-position-horizontal-relative:page;mso-position-vertical-relative:page;z-index:-19590656"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49.017578pt;width:406.35pt;height:11pt;mso-position-horizontal-relative:page;mso-position-vertical-relative:page;z-index:-19590144"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65.183998pt;margin-top:684.699951pt;width:144.020004pt;height:.60004pt;mso-position-horizontal-relative:page;mso-position-vertical-relative:page;z-index:-19588608" filled="true" fillcolor="#000000" stroked="false">
          <v:fill type="solid"/>
          <w10:wrap type="none"/>
        </v:rect>
      </w:pict>
    </w:r>
    <w:r>
      <w:rPr/>
      <w:pict>
        <v:shape style="position:absolute;margin-left:124.900002pt;margin-top:749.017578pt;width:406.4pt;height:11pt;mso-position-horizontal-relative:page;mso-position-vertical-relative:page;z-index:-19588096"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49.017578pt;width:406.35pt;height:11pt;mso-position-horizontal-relative:page;mso-position-vertical-relative:page;z-index:-19587584"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4.900002pt;margin-top:749.017578pt;width:406.4pt;height:11pt;mso-position-horizontal-relative:page;mso-position-vertical-relative:page;z-index:-19586048"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49.017578pt;width:406.35pt;height:11pt;mso-position-horizontal-relative:page;mso-position-vertical-relative:page;z-index:-19585536"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4.183998pt;margin-top:749.017578pt;width:406.35pt;height:11pt;mso-position-horizontal-relative:page;mso-position-vertical-relative:page;z-index:-19582976"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4.900002pt;margin-top:749.017578pt;width:406.4pt;height:11pt;mso-position-horizontal-relative:page;mso-position-vertical-relative:page;z-index:-19582464" type="#_x0000_t202" filled="false" stroked="false">
          <v:textbox inset="0,0,0,0">
            <w:txbxContent>
              <w:p>
                <w:pPr>
                  <w:spacing w:before="15"/>
                  <w:ind w:left="20" w:right="0" w:firstLine="0"/>
                  <w:jc w:val="left"/>
                  <w:rPr>
                    <w:sz w:val="16"/>
                  </w:rPr>
                </w:pPr>
                <w:r>
                  <w:rPr>
                    <w:sz w:val="16"/>
                  </w:rPr>
                  <w:t>TAX CHALLENGES ARISING FROM DIGITALISATION – REPORT ON PILLAR ONE BLUEPRINT © OECD 2020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19591680"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100</w:t>
                </w:r>
                <w:r>
                  <w:rPr/>
                  <w:fldChar w:fldCharType="end"/>
                </w:r>
                <w:r>
                  <w:rPr>
                    <w:b/>
                    <w:sz w:val="22"/>
                  </w:rPr>
                  <w:t> </w:t>
                </w:r>
                <w:r>
                  <w:rPr>
                    <w:rFonts w:ascii="Symbol" w:hAnsi="Symbol"/>
                    <w:sz w:val="22"/>
                  </w:rPr>
                  <w: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19583488"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222</w:t>
                </w:r>
                <w:r>
                  <w:rPr/>
                  <w:fldChar w:fldCharType="end"/>
                </w:r>
                <w:r>
                  <w:rPr>
                    <w:b/>
                    <w:sz w:val="22"/>
                  </w:rPr>
                  <w:t> </w:t>
                </w:r>
                <w:r>
                  <w:rPr>
                    <w:rFonts w:ascii="Symbol" w:hAnsi="Symbol"/>
                    <w:sz w:val="22"/>
                  </w:rPr>
                  <w: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595.484009pt;height:841.799928pt;mso-position-horizontal-relative:page;mso-position-vertical-relative:page;z-index:-19581952" filled="true" fillcolor="#005088" stroked="false">
          <v:fill type="solid"/>
          <w10:wrap type="non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7pt;height:15.55pt;mso-position-horizontal-relative:page;mso-position-vertical-relative:page;z-index:-19591168"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101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19589632"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136</w:t>
                </w:r>
                <w:r>
                  <w:rPr/>
                  <w:fldChar w:fldCharType="end"/>
                </w:r>
                <w:r>
                  <w:rPr>
                    <w:b/>
                    <w:sz w:val="22"/>
                  </w:rPr>
                  <w:t> </w:t>
                </w:r>
                <w:r>
                  <w:rPr>
                    <w:rFonts w:ascii="Symbol" w:hAnsi="Symbol"/>
                    <w:sz w:val="22"/>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19589120"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137</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19587072"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212</w:t>
                </w:r>
                <w:r>
                  <w:rPr/>
                  <w:fldChar w:fldCharType="end"/>
                </w:r>
                <w:r>
                  <w:rPr>
                    <w:b/>
                    <w:sz w:val="22"/>
                  </w:rPr>
                  <w:t> </w:t>
                </w:r>
                <w:r>
                  <w:rPr>
                    <w:rFonts w:ascii="Symbol" w:hAnsi="Symbol"/>
                    <w:sz w:val="22"/>
                  </w:rPr>
                  <w: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19586560"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139</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2.183998pt;margin-top:61.220711pt;width:30.7pt;height:15.55pt;mso-position-horizontal-relative:page;mso-position-vertical-relative:page;z-index:-19585024" type="#_x0000_t202" filled="false" stroked="false">
          <v:textbox inset="0,0,0,0">
            <w:txbxContent>
              <w:p>
                <w:pPr>
                  <w:spacing w:before="21"/>
                  <w:ind w:left="60" w:right="0" w:firstLine="0"/>
                  <w:jc w:val="left"/>
                  <w:rPr>
                    <w:rFonts w:ascii="Symbol" w:hAnsi="Symbol"/>
                    <w:sz w:val="22"/>
                  </w:rPr>
                </w:pPr>
                <w:r>
                  <w:rPr/>
                  <w:fldChar w:fldCharType="begin"/>
                </w:r>
                <w:r>
                  <w:rPr>
                    <w:b/>
                    <w:sz w:val="22"/>
                  </w:rPr>
                  <w:instrText> PAGE </w:instrText>
                </w:r>
                <w:r>
                  <w:rPr/>
                  <w:fldChar w:fldCharType="separate"/>
                </w:r>
                <w:r>
                  <w:rPr/>
                  <w:t>220</w:t>
                </w:r>
                <w:r>
                  <w:rPr/>
                  <w:fldChar w:fldCharType="end"/>
                </w:r>
                <w:r>
                  <w:rPr>
                    <w:b/>
                    <w:sz w:val="22"/>
                  </w:rPr>
                  <w:t> </w:t>
                </w:r>
                <w:r>
                  <w:rPr>
                    <w:rFonts w:ascii="Symbol" w:hAnsi="Symbol"/>
                    <w:sz w:val="22"/>
                  </w:rPr>
                  <w: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27.65pt;height:15.55pt;mso-position-horizontal-relative:page;mso-position-vertical-relative:page;z-index:-19584512"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221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5.619995pt;margin-top:61.220711pt;width:30.65pt;height:16.45pt;mso-position-horizontal-relative:page;mso-position-vertical-relative:page;z-index:-19584000" type="#_x0000_t202" filled="false" stroked="false">
          <v:textbox inset="0,0,0,0">
            <w:txbxContent>
              <w:p>
                <w:pPr>
                  <w:spacing w:before="21"/>
                  <w:ind w:left="20" w:right="0" w:firstLine="0"/>
                  <w:jc w:val="left"/>
                  <w:rPr>
                    <w:b/>
                    <w:sz w:val="22"/>
                  </w:rPr>
                </w:pPr>
                <w:r>
                  <w:rPr>
                    <w:rFonts w:ascii="Symbol" w:hAnsi="Symbol"/>
                    <w:b/>
                    <w:sz w:val="22"/>
                  </w:rPr>
                  <w:t></w:t>
                </w:r>
                <w:r>
                  <w:rPr>
                    <w:rFonts w:ascii="Times New Roman" w:hAnsi="Times New Roman"/>
                    <w:b/>
                    <w:sz w:val="22"/>
                  </w:rPr>
                  <w:t> </w:t>
                </w:r>
                <w:r>
                  <w:rPr/>
                  <w:fldChar w:fldCharType="begin"/>
                </w:r>
                <w:r>
                  <w:rPr>
                    <w:b/>
                    <w:sz w:val="22"/>
                  </w:rPr>
                  <w:instrText> PAGE </w:instrText>
                </w:r>
                <w:r>
                  <w:rPr/>
                  <w:fldChar w:fldCharType="separate"/>
                </w:r>
                <w:r>
                  <w:rPr/>
                  <w:t>221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8">
    <w:multiLevelType w:val="hybridMultilevel"/>
    <w:lvl w:ilvl="0">
      <w:start w:val="0"/>
      <w:numFmt w:val="bullet"/>
      <w:lvlText w:val=""/>
      <w:lvlJc w:val="left"/>
      <w:pPr>
        <w:ind w:left="1921" w:hanging="360"/>
      </w:pPr>
      <w:rPr>
        <w:rFonts w:hint="default" w:ascii="Symbol" w:hAnsi="Symbol" w:eastAsia="Symbol" w:cs="Symbol"/>
        <w:color w:val="4E81BD"/>
        <w:w w:val="99"/>
        <w:sz w:val="20"/>
        <w:szCs w:val="20"/>
        <w:lang w:val="en-us" w:eastAsia="en-US" w:bidi="ar-SA"/>
      </w:rPr>
    </w:lvl>
    <w:lvl w:ilvl="1">
      <w:start w:val="0"/>
      <w:numFmt w:val="bullet"/>
      <w:lvlText w:val="•"/>
      <w:lvlJc w:val="left"/>
      <w:pPr>
        <w:ind w:left="2778" w:hanging="360"/>
      </w:pPr>
      <w:rPr>
        <w:rFonts w:hint="default"/>
        <w:lang w:val="en-us" w:eastAsia="en-US" w:bidi="ar-SA"/>
      </w:rPr>
    </w:lvl>
    <w:lvl w:ilvl="2">
      <w:start w:val="0"/>
      <w:numFmt w:val="bullet"/>
      <w:lvlText w:val="•"/>
      <w:lvlJc w:val="left"/>
      <w:pPr>
        <w:ind w:left="3637" w:hanging="360"/>
      </w:pPr>
      <w:rPr>
        <w:rFonts w:hint="default"/>
        <w:lang w:val="en-us" w:eastAsia="en-US" w:bidi="ar-SA"/>
      </w:rPr>
    </w:lvl>
    <w:lvl w:ilvl="3">
      <w:start w:val="0"/>
      <w:numFmt w:val="bullet"/>
      <w:lvlText w:val="•"/>
      <w:lvlJc w:val="left"/>
      <w:pPr>
        <w:ind w:left="4495" w:hanging="360"/>
      </w:pPr>
      <w:rPr>
        <w:rFonts w:hint="default"/>
        <w:lang w:val="en-us" w:eastAsia="en-US" w:bidi="ar-SA"/>
      </w:rPr>
    </w:lvl>
    <w:lvl w:ilvl="4">
      <w:start w:val="0"/>
      <w:numFmt w:val="bullet"/>
      <w:lvlText w:val="•"/>
      <w:lvlJc w:val="left"/>
      <w:pPr>
        <w:ind w:left="5354" w:hanging="360"/>
      </w:pPr>
      <w:rPr>
        <w:rFonts w:hint="default"/>
        <w:lang w:val="en-us" w:eastAsia="en-US" w:bidi="ar-SA"/>
      </w:rPr>
    </w:lvl>
    <w:lvl w:ilvl="5">
      <w:start w:val="0"/>
      <w:numFmt w:val="bullet"/>
      <w:lvlText w:val="•"/>
      <w:lvlJc w:val="left"/>
      <w:pPr>
        <w:ind w:left="6213" w:hanging="360"/>
      </w:pPr>
      <w:rPr>
        <w:rFonts w:hint="default"/>
        <w:lang w:val="en-us" w:eastAsia="en-US" w:bidi="ar-SA"/>
      </w:rPr>
    </w:lvl>
    <w:lvl w:ilvl="6">
      <w:start w:val="0"/>
      <w:numFmt w:val="bullet"/>
      <w:lvlText w:val="•"/>
      <w:lvlJc w:val="left"/>
      <w:pPr>
        <w:ind w:left="7071"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8789" w:hanging="360"/>
      </w:pPr>
      <w:rPr>
        <w:rFonts w:hint="default"/>
        <w:lang w:val="en-us" w:eastAsia="en-US" w:bidi="ar-SA"/>
      </w:rPr>
    </w:lvl>
  </w:abstractNum>
  <w:abstractNum w:abstractNumId="87">
    <w:multiLevelType w:val="hybridMultilevel"/>
    <w:lvl w:ilvl="0">
      <w:start w:val="0"/>
      <w:numFmt w:val="bullet"/>
      <w:lvlText w:val=""/>
      <w:lvlJc w:val="left"/>
      <w:pPr>
        <w:ind w:left="1784" w:hanging="360"/>
      </w:pPr>
      <w:rPr>
        <w:rFonts w:hint="default" w:ascii="Symbol" w:hAnsi="Symbol" w:eastAsia="Symbol" w:cs="Symbol"/>
        <w:color w:val="4E81BD"/>
        <w:w w:val="99"/>
        <w:sz w:val="20"/>
        <w:szCs w:val="20"/>
        <w:lang w:val="en-us" w:eastAsia="en-US" w:bidi="ar-SA"/>
      </w:rPr>
    </w:lvl>
    <w:lvl w:ilvl="1">
      <w:start w:val="0"/>
      <w:numFmt w:val="bullet"/>
      <w:lvlText w:val="•"/>
      <w:lvlJc w:val="left"/>
      <w:pPr>
        <w:ind w:left="2652" w:hanging="360"/>
      </w:pPr>
      <w:rPr>
        <w:rFonts w:hint="default"/>
        <w:lang w:val="en-us" w:eastAsia="en-US" w:bidi="ar-SA"/>
      </w:rPr>
    </w:lvl>
    <w:lvl w:ilvl="2">
      <w:start w:val="0"/>
      <w:numFmt w:val="bullet"/>
      <w:lvlText w:val="•"/>
      <w:lvlJc w:val="left"/>
      <w:pPr>
        <w:ind w:left="3525" w:hanging="360"/>
      </w:pPr>
      <w:rPr>
        <w:rFonts w:hint="default"/>
        <w:lang w:val="en-us" w:eastAsia="en-US" w:bidi="ar-SA"/>
      </w:rPr>
    </w:lvl>
    <w:lvl w:ilvl="3">
      <w:start w:val="0"/>
      <w:numFmt w:val="bullet"/>
      <w:lvlText w:val="•"/>
      <w:lvlJc w:val="left"/>
      <w:pPr>
        <w:ind w:left="4397" w:hanging="360"/>
      </w:pPr>
      <w:rPr>
        <w:rFonts w:hint="default"/>
        <w:lang w:val="en-us" w:eastAsia="en-US" w:bidi="ar-SA"/>
      </w:rPr>
    </w:lvl>
    <w:lvl w:ilvl="4">
      <w:start w:val="0"/>
      <w:numFmt w:val="bullet"/>
      <w:lvlText w:val="•"/>
      <w:lvlJc w:val="left"/>
      <w:pPr>
        <w:ind w:left="5270" w:hanging="360"/>
      </w:pPr>
      <w:rPr>
        <w:rFonts w:hint="default"/>
        <w:lang w:val="en-us" w:eastAsia="en-US" w:bidi="ar-SA"/>
      </w:rPr>
    </w:lvl>
    <w:lvl w:ilvl="5">
      <w:start w:val="0"/>
      <w:numFmt w:val="bullet"/>
      <w:lvlText w:val="•"/>
      <w:lvlJc w:val="left"/>
      <w:pPr>
        <w:ind w:left="6143" w:hanging="360"/>
      </w:pPr>
      <w:rPr>
        <w:rFonts w:hint="default"/>
        <w:lang w:val="en-us" w:eastAsia="en-US" w:bidi="ar-SA"/>
      </w:rPr>
    </w:lvl>
    <w:lvl w:ilvl="6">
      <w:start w:val="0"/>
      <w:numFmt w:val="bullet"/>
      <w:lvlText w:val="•"/>
      <w:lvlJc w:val="left"/>
      <w:pPr>
        <w:ind w:left="7015"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761" w:hanging="360"/>
      </w:pPr>
      <w:rPr>
        <w:rFonts w:hint="default"/>
        <w:lang w:val="en-us" w:eastAsia="en-US" w:bidi="ar-SA"/>
      </w:rPr>
    </w:lvl>
  </w:abstractNum>
  <w:abstractNum w:abstractNumId="86">
    <w:multiLevelType w:val="hybridMultilevel"/>
    <w:lvl w:ilvl="0">
      <w:start w:val="1"/>
      <w:numFmt w:val="upperLetter"/>
      <w:lvlText w:val="%1."/>
      <w:lvlJc w:val="left"/>
      <w:pPr>
        <w:ind w:left="1674" w:hanging="272"/>
        <w:jc w:val="left"/>
      </w:pPr>
      <w:rPr>
        <w:rFonts w:hint="default" w:ascii="Arial" w:hAnsi="Arial" w:eastAsia="Arial" w:cs="Arial"/>
        <w:i/>
        <w:color w:val="616161"/>
        <w:spacing w:val="-1"/>
        <w:w w:val="100"/>
        <w:sz w:val="22"/>
        <w:szCs w:val="22"/>
        <w:lang w:val="en-us" w:eastAsia="en-US" w:bidi="ar-SA"/>
      </w:rPr>
    </w:lvl>
    <w:lvl w:ilvl="1">
      <w:start w:val="0"/>
      <w:numFmt w:val="bullet"/>
      <w:lvlText w:val="•"/>
      <w:lvlJc w:val="left"/>
      <w:pPr>
        <w:ind w:left="2562" w:hanging="272"/>
      </w:pPr>
      <w:rPr>
        <w:rFonts w:hint="default"/>
        <w:lang w:val="en-us" w:eastAsia="en-US" w:bidi="ar-SA"/>
      </w:rPr>
    </w:lvl>
    <w:lvl w:ilvl="2">
      <w:start w:val="0"/>
      <w:numFmt w:val="bullet"/>
      <w:lvlText w:val="•"/>
      <w:lvlJc w:val="left"/>
      <w:pPr>
        <w:ind w:left="3445" w:hanging="272"/>
      </w:pPr>
      <w:rPr>
        <w:rFonts w:hint="default"/>
        <w:lang w:val="en-us" w:eastAsia="en-US" w:bidi="ar-SA"/>
      </w:rPr>
    </w:lvl>
    <w:lvl w:ilvl="3">
      <w:start w:val="0"/>
      <w:numFmt w:val="bullet"/>
      <w:lvlText w:val="•"/>
      <w:lvlJc w:val="left"/>
      <w:pPr>
        <w:ind w:left="4327" w:hanging="272"/>
      </w:pPr>
      <w:rPr>
        <w:rFonts w:hint="default"/>
        <w:lang w:val="en-us" w:eastAsia="en-US" w:bidi="ar-SA"/>
      </w:rPr>
    </w:lvl>
    <w:lvl w:ilvl="4">
      <w:start w:val="0"/>
      <w:numFmt w:val="bullet"/>
      <w:lvlText w:val="•"/>
      <w:lvlJc w:val="left"/>
      <w:pPr>
        <w:ind w:left="5210" w:hanging="272"/>
      </w:pPr>
      <w:rPr>
        <w:rFonts w:hint="default"/>
        <w:lang w:val="en-us" w:eastAsia="en-US" w:bidi="ar-SA"/>
      </w:rPr>
    </w:lvl>
    <w:lvl w:ilvl="5">
      <w:start w:val="0"/>
      <w:numFmt w:val="bullet"/>
      <w:lvlText w:val="•"/>
      <w:lvlJc w:val="left"/>
      <w:pPr>
        <w:ind w:left="6093" w:hanging="272"/>
      </w:pPr>
      <w:rPr>
        <w:rFonts w:hint="default"/>
        <w:lang w:val="en-us" w:eastAsia="en-US" w:bidi="ar-SA"/>
      </w:rPr>
    </w:lvl>
    <w:lvl w:ilvl="6">
      <w:start w:val="0"/>
      <w:numFmt w:val="bullet"/>
      <w:lvlText w:val="•"/>
      <w:lvlJc w:val="left"/>
      <w:pPr>
        <w:ind w:left="6975" w:hanging="272"/>
      </w:pPr>
      <w:rPr>
        <w:rFonts w:hint="default"/>
        <w:lang w:val="en-us" w:eastAsia="en-US" w:bidi="ar-SA"/>
      </w:rPr>
    </w:lvl>
    <w:lvl w:ilvl="7">
      <w:start w:val="0"/>
      <w:numFmt w:val="bullet"/>
      <w:lvlText w:val="•"/>
      <w:lvlJc w:val="left"/>
      <w:pPr>
        <w:ind w:left="7858" w:hanging="272"/>
      </w:pPr>
      <w:rPr>
        <w:rFonts w:hint="default"/>
        <w:lang w:val="en-us" w:eastAsia="en-US" w:bidi="ar-SA"/>
      </w:rPr>
    </w:lvl>
    <w:lvl w:ilvl="8">
      <w:start w:val="0"/>
      <w:numFmt w:val="bullet"/>
      <w:lvlText w:val="•"/>
      <w:lvlJc w:val="left"/>
      <w:pPr>
        <w:ind w:left="8741" w:hanging="272"/>
      </w:pPr>
      <w:rPr>
        <w:rFonts w:hint="default"/>
        <w:lang w:val="en-us" w:eastAsia="en-US" w:bidi="ar-SA"/>
      </w:rPr>
    </w:lvl>
  </w:abstractNum>
  <w:abstractNum w:abstractNumId="85">
    <w:multiLevelType w:val="hybridMultilevel"/>
    <w:lvl w:ilvl="0">
      <w:start w:val="1"/>
      <w:numFmt w:val="lowerRoman"/>
      <w:lvlText w:val="(%1)"/>
      <w:lvlJc w:val="left"/>
      <w:pPr>
        <w:ind w:left="1662" w:hanging="260"/>
        <w:jc w:val="left"/>
      </w:pPr>
      <w:rPr>
        <w:rFonts w:hint="default" w:ascii="Arial" w:hAnsi="Arial" w:eastAsia="Arial" w:cs="Arial"/>
        <w:i/>
        <w:color w:val="616161"/>
        <w:spacing w:val="-2"/>
        <w:w w:val="100"/>
        <w:sz w:val="22"/>
        <w:szCs w:val="22"/>
        <w:lang w:val="en-us" w:eastAsia="en-US" w:bidi="ar-SA"/>
      </w:rPr>
    </w:lvl>
    <w:lvl w:ilvl="1">
      <w:start w:val="0"/>
      <w:numFmt w:val="bullet"/>
      <w:lvlText w:val="•"/>
      <w:lvlJc w:val="left"/>
      <w:pPr>
        <w:ind w:left="2544" w:hanging="260"/>
      </w:pPr>
      <w:rPr>
        <w:rFonts w:hint="default"/>
        <w:lang w:val="en-us" w:eastAsia="en-US" w:bidi="ar-SA"/>
      </w:rPr>
    </w:lvl>
    <w:lvl w:ilvl="2">
      <w:start w:val="0"/>
      <w:numFmt w:val="bullet"/>
      <w:lvlText w:val="•"/>
      <w:lvlJc w:val="left"/>
      <w:pPr>
        <w:ind w:left="3429" w:hanging="260"/>
      </w:pPr>
      <w:rPr>
        <w:rFonts w:hint="default"/>
        <w:lang w:val="en-us" w:eastAsia="en-US" w:bidi="ar-SA"/>
      </w:rPr>
    </w:lvl>
    <w:lvl w:ilvl="3">
      <w:start w:val="0"/>
      <w:numFmt w:val="bullet"/>
      <w:lvlText w:val="•"/>
      <w:lvlJc w:val="left"/>
      <w:pPr>
        <w:ind w:left="4313" w:hanging="260"/>
      </w:pPr>
      <w:rPr>
        <w:rFonts w:hint="default"/>
        <w:lang w:val="en-us" w:eastAsia="en-US" w:bidi="ar-SA"/>
      </w:rPr>
    </w:lvl>
    <w:lvl w:ilvl="4">
      <w:start w:val="0"/>
      <w:numFmt w:val="bullet"/>
      <w:lvlText w:val="•"/>
      <w:lvlJc w:val="left"/>
      <w:pPr>
        <w:ind w:left="5198" w:hanging="260"/>
      </w:pPr>
      <w:rPr>
        <w:rFonts w:hint="default"/>
        <w:lang w:val="en-us" w:eastAsia="en-US" w:bidi="ar-SA"/>
      </w:rPr>
    </w:lvl>
    <w:lvl w:ilvl="5">
      <w:start w:val="0"/>
      <w:numFmt w:val="bullet"/>
      <w:lvlText w:val="•"/>
      <w:lvlJc w:val="left"/>
      <w:pPr>
        <w:ind w:left="6083" w:hanging="260"/>
      </w:pPr>
      <w:rPr>
        <w:rFonts w:hint="default"/>
        <w:lang w:val="en-us" w:eastAsia="en-US" w:bidi="ar-SA"/>
      </w:rPr>
    </w:lvl>
    <w:lvl w:ilvl="6">
      <w:start w:val="0"/>
      <w:numFmt w:val="bullet"/>
      <w:lvlText w:val="•"/>
      <w:lvlJc w:val="left"/>
      <w:pPr>
        <w:ind w:left="6967" w:hanging="260"/>
      </w:pPr>
      <w:rPr>
        <w:rFonts w:hint="default"/>
        <w:lang w:val="en-us" w:eastAsia="en-US" w:bidi="ar-SA"/>
      </w:rPr>
    </w:lvl>
    <w:lvl w:ilvl="7">
      <w:start w:val="0"/>
      <w:numFmt w:val="bullet"/>
      <w:lvlText w:val="•"/>
      <w:lvlJc w:val="left"/>
      <w:pPr>
        <w:ind w:left="7852" w:hanging="260"/>
      </w:pPr>
      <w:rPr>
        <w:rFonts w:hint="default"/>
        <w:lang w:val="en-us" w:eastAsia="en-US" w:bidi="ar-SA"/>
      </w:rPr>
    </w:lvl>
    <w:lvl w:ilvl="8">
      <w:start w:val="0"/>
      <w:numFmt w:val="bullet"/>
      <w:lvlText w:val="•"/>
      <w:lvlJc w:val="left"/>
      <w:pPr>
        <w:ind w:left="8737" w:hanging="260"/>
      </w:pPr>
      <w:rPr>
        <w:rFonts w:hint="default"/>
        <w:lang w:val="en-us" w:eastAsia="en-US" w:bidi="ar-SA"/>
      </w:rPr>
    </w:lvl>
  </w:abstractNum>
  <w:abstractNum w:abstractNumId="84">
    <w:multiLevelType w:val="hybridMultilevel"/>
    <w:lvl w:ilvl="0">
      <w:start w:val="10"/>
      <w:numFmt w:val="decimal"/>
      <w:lvlText w:val="%1"/>
      <w:lvlJc w:val="left"/>
      <w:pPr>
        <w:ind w:left="1323" w:hanging="600"/>
        <w:jc w:val="left"/>
      </w:pPr>
      <w:rPr>
        <w:rFonts w:hint="default"/>
        <w:lang w:val="en-us" w:eastAsia="en-US" w:bidi="ar-SA"/>
      </w:rPr>
    </w:lvl>
    <w:lvl w:ilvl="1">
      <w:start w:val="1"/>
      <w:numFmt w:val="decimal"/>
      <w:lvlText w:val="%1.%2."/>
      <w:lvlJc w:val="left"/>
      <w:pPr>
        <w:ind w:left="1323" w:hanging="600"/>
        <w:jc w:val="left"/>
      </w:pPr>
      <w:rPr>
        <w:rFonts w:hint="default" w:ascii="Arial" w:hAnsi="Arial" w:eastAsia="Arial" w:cs="Arial"/>
        <w:b/>
        <w:bCs/>
        <w:color w:val="4E81BD"/>
        <w:spacing w:val="-1"/>
        <w:w w:val="100"/>
        <w:sz w:val="24"/>
        <w:szCs w:val="24"/>
        <w:lang w:val="en-us" w:eastAsia="en-US" w:bidi="ar-SA"/>
      </w:rPr>
    </w:lvl>
    <w:lvl w:ilvl="2">
      <w:start w:val="1"/>
      <w:numFmt w:val="decimal"/>
      <w:lvlText w:val="%1.%2.%3."/>
      <w:lvlJc w:val="left"/>
      <w:pPr>
        <w:ind w:left="2137" w:hanging="735"/>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99" w:hanging="735"/>
      </w:pPr>
      <w:rPr>
        <w:rFonts w:hint="default"/>
        <w:lang w:val="en-us" w:eastAsia="en-US" w:bidi="ar-SA"/>
      </w:rPr>
    </w:lvl>
    <w:lvl w:ilvl="4">
      <w:start w:val="0"/>
      <w:numFmt w:val="bullet"/>
      <w:lvlText w:val="•"/>
      <w:lvlJc w:val="left"/>
      <w:pPr>
        <w:ind w:left="4928" w:hanging="735"/>
      </w:pPr>
      <w:rPr>
        <w:rFonts w:hint="default"/>
        <w:lang w:val="en-us" w:eastAsia="en-US" w:bidi="ar-SA"/>
      </w:rPr>
    </w:lvl>
    <w:lvl w:ilvl="5">
      <w:start w:val="0"/>
      <w:numFmt w:val="bullet"/>
      <w:lvlText w:val="•"/>
      <w:lvlJc w:val="left"/>
      <w:pPr>
        <w:ind w:left="5858" w:hanging="735"/>
      </w:pPr>
      <w:rPr>
        <w:rFonts w:hint="default"/>
        <w:lang w:val="en-us" w:eastAsia="en-US" w:bidi="ar-SA"/>
      </w:rPr>
    </w:lvl>
    <w:lvl w:ilvl="6">
      <w:start w:val="0"/>
      <w:numFmt w:val="bullet"/>
      <w:lvlText w:val="•"/>
      <w:lvlJc w:val="left"/>
      <w:pPr>
        <w:ind w:left="6788" w:hanging="735"/>
      </w:pPr>
      <w:rPr>
        <w:rFonts w:hint="default"/>
        <w:lang w:val="en-us" w:eastAsia="en-US" w:bidi="ar-SA"/>
      </w:rPr>
    </w:lvl>
    <w:lvl w:ilvl="7">
      <w:start w:val="0"/>
      <w:numFmt w:val="bullet"/>
      <w:lvlText w:val="•"/>
      <w:lvlJc w:val="left"/>
      <w:pPr>
        <w:ind w:left="7717" w:hanging="735"/>
      </w:pPr>
      <w:rPr>
        <w:rFonts w:hint="default"/>
        <w:lang w:val="en-us" w:eastAsia="en-US" w:bidi="ar-SA"/>
      </w:rPr>
    </w:lvl>
    <w:lvl w:ilvl="8">
      <w:start w:val="0"/>
      <w:numFmt w:val="bullet"/>
      <w:lvlText w:val="•"/>
      <w:lvlJc w:val="left"/>
      <w:pPr>
        <w:ind w:left="8647" w:hanging="735"/>
      </w:pPr>
      <w:rPr>
        <w:rFonts w:hint="default"/>
        <w:lang w:val="en-us" w:eastAsia="en-US" w:bidi="ar-SA"/>
      </w:rPr>
    </w:lvl>
  </w:abstractNum>
  <w:abstractNum w:abstractNumId="83">
    <w:multiLevelType w:val="hybridMultilevel"/>
    <w:lvl w:ilvl="0">
      <w:start w:val="0"/>
      <w:numFmt w:val="bullet"/>
      <w:lvlText w:val=""/>
      <w:lvlJc w:val="left"/>
      <w:pPr>
        <w:ind w:left="1784" w:hanging="360"/>
      </w:pPr>
      <w:rPr>
        <w:rFonts w:hint="default" w:ascii="Symbol" w:hAnsi="Symbol" w:eastAsia="Symbol" w:cs="Symbol"/>
        <w:color w:val="4E81BD"/>
        <w:w w:val="99"/>
        <w:sz w:val="20"/>
        <w:szCs w:val="20"/>
        <w:lang w:val="en-us" w:eastAsia="en-US" w:bidi="ar-SA"/>
      </w:rPr>
    </w:lvl>
    <w:lvl w:ilvl="1">
      <w:start w:val="0"/>
      <w:numFmt w:val="bullet"/>
      <w:lvlText w:val="o"/>
      <w:lvlJc w:val="left"/>
      <w:pPr>
        <w:ind w:left="2523" w:hanging="360"/>
      </w:pPr>
      <w:rPr>
        <w:rFonts w:hint="default" w:ascii="Courier New" w:hAnsi="Courier New" w:eastAsia="Courier New" w:cs="Courier New"/>
        <w:w w:val="99"/>
        <w:sz w:val="20"/>
        <w:szCs w:val="20"/>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518" w:hanging="360"/>
      </w:pPr>
      <w:rPr>
        <w:rFonts w:hint="default"/>
        <w:lang w:val="en-us" w:eastAsia="en-US" w:bidi="ar-SA"/>
      </w:rPr>
    </w:lvl>
    <w:lvl w:ilvl="4">
      <w:start w:val="0"/>
      <w:numFmt w:val="bullet"/>
      <w:lvlText w:val="•"/>
      <w:lvlJc w:val="left"/>
      <w:pPr>
        <w:ind w:left="4516" w:hanging="360"/>
      </w:pPr>
      <w:rPr>
        <w:rFonts w:hint="default"/>
        <w:lang w:val="en-us" w:eastAsia="en-US" w:bidi="ar-SA"/>
      </w:rPr>
    </w:lvl>
    <w:lvl w:ilvl="5">
      <w:start w:val="0"/>
      <w:numFmt w:val="bullet"/>
      <w:lvlText w:val="•"/>
      <w:lvlJc w:val="left"/>
      <w:pPr>
        <w:ind w:left="5514" w:hanging="360"/>
      </w:pPr>
      <w:rPr>
        <w:rFonts w:hint="default"/>
        <w:lang w:val="en-us" w:eastAsia="en-US" w:bidi="ar-SA"/>
      </w:rPr>
    </w:lvl>
    <w:lvl w:ilvl="6">
      <w:start w:val="0"/>
      <w:numFmt w:val="bullet"/>
      <w:lvlText w:val="•"/>
      <w:lvlJc w:val="left"/>
      <w:pPr>
        <w:ind w:left="6513" w:hanging="360"/>
      </w:pPr>
      <w:rPr>
        <w:rFonts w:hint="default"/>
        <w:lang w:val="en-us" w:eastAsia="en-US" w:bidi="ar-SA"/>
      </w:rPr>
    </w:lvl>
    <w:lvl w:ilvl="7">
      <w:start w:val="0"/>
      <w:numFmt w:val="bullet"/>
      <w:lvlText w:val="•"/>
      <w:lvlJc w:val="left"/>
      <w:pPr>
        <w:ind w:left="7511" w:hanging="360"/>
      </w:pPr>
      <w:rPr>
        <w:rFonts w:hint="default"/>
        <w:lang w:val="en-us" w:eastAsia="en-US" w:bidi="ar-SA"/>
      </w:rPr>
    </w:lvl>
    <w:lvl w:ilvl="8">
      <w:start w:val="0"/>
      <w:numFmt w:val="bullet"/>
      <w:lvlText w:val="•"/>
      <w:lvlJc w:val="left"/>
      <w:pPr>
        <w:ind w:left="8509" w:hanging="360"/>
      </w:pPr>
      <w:rPr>
        <w:rFonts w:hint="default"/>
        <w:lang w:val="en-us" w:eastAsia="en-US" w:bidi="ar-SA"/>
      </w:rPr>
    </w:lvl>
  </w:abstractNum>
  <w:abstractNum w:abstractNumId="82">
    <w:multiLevelType w:val="hybridMultilevel"/>
    <w:lvl w:ilvl="0">
      <w:start w:val="0"/>
      <w:numFmt w:val="bullet"/>
      <w:lvlText w:val=""/>
      <w:lvlJc w:val="left"/>
      <w:pPr>
        <w:ind w:left="1784" w:hanging="380"/>
      </w:pPr>
      <w:rPr>
        <w:rFonts w:hint="default" w:ascii="Symbol" w:hAnsi="Symbol" w:eastAsia="Symbol" w:cs="Symbol"/>
        <w:color w:val="4E81BD"/>
        <w:w w:val="99"/>
        <w:sz w:val="20"/>
        <w:szCs w:val="20"/>
        <w:lang w:val="en-us" w:eastAsia="en-US" w:bidi="ar-SA"/>
      </w:rPr>
    </w:lvl>
    <w:lvl w:ilvl="1">
      <w:start w:val="0"/>
      <w:numFmt w:val="bullet"/>
      <w:lvlText w:val="•"/>
      <w:lvlJc w:val="left"/>
      <w:pPr>
        <w:ind w:left="2652" w:hanging="380"/>
      </w:pPr>
      <w:rPr>
        <w:rFonts w:hint="default"/>
        <w:lang w:val="en-us" w:eastAsia="en-US" w:bidi="ar-SA"/>
      </w:rPr>
    </w:lvl>
    <w:lvl w:ilvl="2">
      <w:start w:val="0"/>
      <w:numFmt w:val="bullet"/>
      <w:lvlText w:val="•"/>
      <w:lvlJc w:val="left"/>
      <w:pPr>
        <w:ind w:left="3525" w:hanging="380"/>
      </w:pPr>
      <w:rPr>
        <w:rFonts w:hint="default"/>
        <w:lang w:val="en-us" w:eastAsia="en-US" w:bidi="ar-SA"/>
      </w:rPr>
    </w:lvl>
    <w:lvl w:ilvl="3">
      <w:start w:val="0"/>
      <w:numFmt w:val="bullet"/>
      <w:lvlText w:val="•"/>
      <w:lvlJc w:val="left"/>
      <w:pPr>
        <w:ind w:left="4397" w:hanging="380"/>
      </w:pPr>
      <w:rPr>
        <w:rFonts w:hint="default"/>
        <w:lang w:val="en-us" w:eastAsia="en-US" w:bidi="ar-SA"/>
      </w:rPr>
    </w:lvl>
    <w:lvl w:ilvl="4">
      <w:start w:val="0"/>
      <w:numFmt w:val="bullet"/>
      <w:lvlText w:val="•"/>
      <w:lvlJc w:val="left"/>
      <w:pPr>
        <w:ind w:left="5270" w:hanging="380"/>
      </w:pPr>
      <w:rPr>
        <w:rFonts w:hint="default"/>
        <w:lang w:val="en-us" w:eastAsia="en-US" w:bidi="ar-SA"/>
      </w:rPr>
    </w:lvl>
    <w:lvl w:ilvl="5">
      <w:start w:val="0"/>
      <w:numFmt w:val="bullet"/>
      <w:lvlText w:val="•"/>
      <w:lvlJc w:val="left"/>
      <w:pPr>
        <w:ind w:left="6143" w:hanging="380"/>
      </w:pPr>
      <w:rPr>
        <w:rFonts w:hint="default"/>
        <w:lang w:val="en-us" w:eastAsia="en-US" w:bidi="ar-SA"/>
      </w:rPr>
    </w:lvl>
    <w:lvl w:ilvl="6">
      <w:start w:val="0"/>
      <w:numFmt w:val="bullet"/>
      <w:lvlText w:val="•"/>
      <w:lvlJc w:val="left"/>
      <w:pPr>
        <w:ind w:left="7015" w:hanging="380"/>
      </w:pPr>
      <w:rPr>
        <w:rFonts w:hint="default"/>
        <w:lang w:val="en-us" w:eastAsia="en-US" w:bidi="ar-SA"/>
      </w:rPr>
    </w:lvl>
    <w:lvl w:ilvl="7">
      <w:start w:val="0"/>
      <w:numFmt w:val="bullet"/>
      <w:lvlText w:val="•"/>
      <w:lvlJc w:val="left"/>
      <w:pPr>
        <w:ind w:left="7888" w:hanging="380"/>
      </w:pPr>
      <w:rPr>
        <w:rFonts w:hint="default"/>
        <w:lang w:val="en-us" w:eastAsia="en-US" w:bidi="ar-SA"/>
      </w:rPr>
    </w:lvl>
    <w:lvl w:ilvl="8">
      <w:start w:val="0"/>
      <w:numFmt w:val="bullet"/>
      <w:lvlText w:val="•"/>
      <w:lvlJc w:val="left"/>
      <w:pPr>
        <w:ind w:left="8761" w:hanging="380"/>
      </w:pPr>
      <w:rPr>
        <w:rFonts w:hint="default"/>
        <w:lang w:val="en-us" w:eastAsia="en-US" w:bidi="ar-SA"/>
      </w:rPr>
    </w:lvl>
  </w:abstractNum>
  <w:abstractNum w:abstractNumId="81">
    <w:multiLevelType w:val="hybridMultilevel"/>
    <w:lvl w:ilvl="0">
      <w:start w:val="155"/>
      <w:numFmt w:val="decimal"/>
      <w:lvlText w:val="%1"/>
      <w:lvlJc w:val="left"/>
      <w:pPr>
        <w:ind w:left="723" w:hanging="300"/>
        <w:jc w:val="left"/>
      </w:pPr>
      <w:rPr>
        <w:rFonts w:hint="default" w:ascii="Arial" w:hAnsi="Arial" w:eastAsia="Arial" w:cs="Arial"/>
        <w:spacing w:val="-1"/>
        <w:w w:val="99"/>
        <w:position w:val="8"/>
        <w:sz w:val="14"/>
        <w:szCs w:val="14"/>
        <w:lang w:val="en-us" w:eastAsia="en-US" w:bidi="ar-SA"/>
      </w:rPr>
    </w:lvl>
    <w:lvl w:ilvl="1">
      <w:start w:val="0"/>
      <w:numFmt w:val="bullet"/>
      <w:lvlText w:val="o"/>
      <w:lvlJc w:val="left"/>
      <w:pPr>
        <w:ind w:left="2504" w:hanging="360"/>
      </w:pPr>
      <w:rPr>
        <w:rFonts w:hint="default" w:ascii="Courier New" w:hAnsi="Courier New" w:eastAsia="Courier New" w:cs="Courier New"/>
        <w:w w:val="99"/>
        <w:sz w:val="20"/>
        <w:szCs w:val="20"/>
        <w:lang w:val="en-us" w:eastAsia="en-US" w:bidi="ar-SA"/>
      </w:rPr>
    </w:lvl>
    <w:lvl w:ilvl="2">
      <w:start w:val="0"/>
      <w:numFmt w:val="bullet"/>
      <w:lvlText w:val="•"/>
      <w:lvlJc w:val="left"/>
      <w:pPr>
        <w:ind w:left="3389" w:hanging="360"/>
      </w:pPr>
      <w:rPr>
        <w:rFonts w:hint="default"/>
        <w:lang w:val="en-us" w:eastAsia="en-US" w:bidi="ar-SA"/>
      </w:rPr>
    </w:lvl>
    <w:lvl w:ilvl="3">
      <w:start w:val="0"/>
      <w:numFmt w:val="bullet"/>
      <w:lvlText w:val="•"/>
      <w:lvlJc w:val="left"/>
      <w:pPr>
        <w:ind w:left="4279" w:hanging="360"/>
      </w:pPr>
      <w:rPr>
        <w:rFonts w:hint="default"/>
        <w:lang w:val="en-us" w:eastAsia="en-US" w:bidi="ar-SA"/>
      </w:rPr>
    </w:lvl>
    <w:lvl w:ilvl="4">
      <w:start w:val="0"/>
      <w:numFmt w:val="bullet"/>
      <w:lvlText w:val="•"/>
      <w:lvlJc w:val="left"/>
      <w:pPr>
        <w:ind w:left="5168" w:hanging="360"/>
      </w:pPr>
      <w:rPr>
        <w:rFonts w:hint="default"/>
        <w:lang w:val="en-us" w:eastAsia="en-US" w:bidi="ar-SA"/>
      </w:rPr>
    </w:lvl>
    <w:lvl w:ilvl="5">
      <w:start w:val="0"/>
      <w:numFmt w:val="bullet"/>
      <w:lvlText w:val="•"/>
      <w:lvlJc w:val="left"/>
      <w:pPr>
        <w:ind w:left="6058" w:hanging="360"/>
      </w:pPr>
      <w:rPr>
        <w:rFonts w:hint="default"/>
        <w:lang w:val="en-us" w:eastAsia="en-US" w:bidi="ar-SA"/>
      </w:rPr>
    </w:lvl>
    <w:lvl w:ilvl="6">
      <w:start w:val="0"/>
      <w:numFmt w:val="bullet"/>
      <w:lvlText w:val="•"/>
      <w:lvlJc w:val="left"/>
      <w:pPr>
        <w:ind w:left="6948" w:hanging="360"/>
      </w:pPr>
      <w:rPr>
        <w:rFonts w:hint="default"/>
        <w:lang w:val="en-us" w:eastAsia="en-US" w:bidi="ar-SA"/>
      </w:rPr>
    </w:lvl>
    <w:lvl w:ilvl="7">
      <w:start w:val="0"/>
      <w:numFmt w:val="bullet"/>
      <w:lvlText w:val="•"/>
      <w:lvlJc w:val="left"/>
      <w:pPr>
        <w:ind w:left="7837" w:hanging="360"/>
      </w:pPr>
      <w:rPr>
        <w:rFonts w:hint="default"/>
        <w:lang w:val="en-us" w:eastAsia="en-US" w:bidi="ar-SA"/>
      </w:rPr>
    </w:lvl>
    <w:lvl w:ilvl="8">
      <w:start w:val="0"/>
      <w:numFmt w:val="bullet"/>
      <w:lvlText w:val="•"/>
      <w:lvlJc w:val="left"/>
      <w:pPr>
        <w:ind w:left="8727" w:hanging="360"/>
      </w:pPr>
      <w:rPr>
        <w:rFonts w:hint="default"/>
        <w:lang w:val="en-us" w:eastAsia="en-US" w:bidi="ar-SA"/>
      </w:rPr>
    </w:lvl>
  </w:abstractNum>
  <w:abstractNum w:abstractNumId="80">
    <w:multiLevelType w:val="hybridMultilevel"/>
    <w:lvl w:ilvl="0">
      <w:start w:val="9"/>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1402"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080" w:hanging="612"/>
      </w:pPr>
      <w:rPr>
        <w:rFonts w:hint="default"/>
        <w:lang w:val="en-us" w:eastAsia="en-US" w:bidi="ar-SA"/>
      </w:rPr>
    </w:lvl>
    <w:lvl w:ilvl="4">
      <w:start w:val="0"/>
      <w:numFmt w:val="bullet"/>
      <w:lvlText w:val="•"/>
      <w:lvlJc w:val="left"/>
      <w:pPr>
        <w:ind w:left="4141" w:hanging="612"/>
      </w:pPr>
      <w:rPr>
        <w:rFonts w:hint="default"/>
        <w:lang w:val="en-us" w:eastAsia="en-US" w:bidi="ar-SA"/>
      </w:rPr>
    </w:lvl>
    <w:lvl w:ilvl="5">
      <w:start w:val="0"/>
      <w:numFmt w:val="bullet"/>
      <w:lvlText w:val="•"/>
      <w:lvlJc w:val="left"/>
      <w:pPr>
        <w:ind w:left="5202" w:hanging="612"/>
      </w:pPr>
      <w:rPr>
        <w:rFonts w:hint="default"/>
        <w:lang w:val="en-us" w:eastAsia="en-US" w:bidi="ar-SA"/>
      </w:rPr>
    </w:lvl>
    <w:lvl w:ilvl="6">
      <w:start w:val="0"/>
      <w:numFmt w:val="bullet"/>
      <w:lvlText w:val="•"/>
      <w:lvlJc w:val="left"/>
      <w:pPr>
        <w:ind w:left="6263" w:hanging="612"/>
      </w:pPr>
      <w:rPr>
        <w:rFonts w:hint="default"/>
        <w:lang w:val="en-us" w:eastAsia="en-US" w:bidi="ar-SA"/>
      </w:rPr>
    </w:lvl>
    <w:lvl w:ilvl="7">
      <w:start w:val="0"/>
      <w:numFmt w:val="bullet"/>
      <w:lvlText w:val="•"/>
      <w:lvlJc w:val="left"/>
      <w:pPr>
        <w:ind w:left="7324" w:hanging="612"/>
      </w:pPr>
      <w:rPr>
        <w:rFonts w:hint="default"/>
        <w:lang w:val="en-us" w:eastAsia="en-US" w:bidi="ar-SA"/>
      </w:rPr>
    </w:lvl>
    <w:lvl w:ilvl="8">
      <w:start w:val="0"/>
      <w:numFmt w:val="bullet"/>
      <w:lvlText w:val="•"/>
      <w:lvlJc w:val="left"/>
      <w:pPr>
        <w:ind w:left="8384" w:hanging="612"/>
      </w:pPr>
      <w:rPr>
        <w:rFonts w:hint="default"/>
        <w:lang w:val="en-us" w:eastAsia="en-US" w:bidi="ar-SA"/>
      </w:rPr>
    </w:lvl>
  </w:abstractNum>
  <w:abstractNum w:abstractNumId="79">
    <w:multiLevelType w:val="hybridMultilevel"/>
    <w:lvl w:ilvl="0">
      <w:start w:val="1"/>
      <w:numFmt w:val="lowerLetter"/>
      <w:lvlText w:val="%1."/>
      <w:lvlJc w:val="left"/>
      <w:pPr>
        <w:ind w:left="1743"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16" w:hanging="341"/>
      </w:pPr>
      <w:rPr>
        <w:rFonts w:hint="default"/>
        <w:lang w:val="en-us" w:eastAsia="en-US" w:bidi="ar-SA"/>
      </w:rPr>
    </w:lvl>
    <w:lvl w:ilvl="2">
      <w:start w:val="0"/>
      <w:numFmt w:val="bullet"/>
      <w:lvlText w:val="•"/>
      <w:lvlJc w:val="left"/>
      <w:pPr>
        <w:ind w:left="3493" w:hanging="341"/>
      </w:pPr>
      <w:rPr>
        <w:rFonts w:hint="default"/>
        <w:lang w:val="en-us" w:eastAsia="en-US" w:bidi="ar-SA"/>
      </w:rPr>
    </w:lvl>
    <w:lvl w:ilvl="3">
      <w:start w:val="0"/>
      <w:numFmt w:val="bullet"/>
      <w:lvlText w:val="•"/>
      <w:lvlJc w:val="left"/>
      <w:pPr>
        <w:ind w:left="4369" w:hanging="341"/>
      </w:pPr>
      <w:rPr>
        <w:rFonts w:hint="default"/>
        <w:lang w:val="en-us" w:eastAsia="en-US" w:bidi="ar-SA"/>
      </w:rPr>
    </w:lvl>
    <w:lvl w:ilvl="4">
      <w:start w:val="0"/>
      <w:numFmt w:val="bullet"/>
      <w:lvlText w:val="•"/>
      <w:lvlJc w:val="left"/>
      <w:pPr>
        <w:ind w:left="5246" w:hanging="341"/>
      </w:pPr>
      <w:rPr>
        <w:rFonts w:hint="default"/>
        <w:lang w:val="en-us" w:eastAsia="en-US" w:bidi="ar-SA"/>
      </w:rPr>
    </w:lvl>
    <w:lvl w:ilvl="5">
      <w:start w:val="0"/>
      <w:numFmt w:val="bullet"/>
      <w:lvlText w:val="•"/>
      <w:lvlJc w:val="left"/>
      <w:pPr>
        <w:ind w:left="6123" w:hanging="341"/>
      </w:pPr>
      <w:rPr>
        <w:rFonts w:hint="default"/>
        <w:lang w:val="en-us" w:eastAsia="en-US" w:bidi="ar-SA"/>
      </w:rPr>
    </w:lvl>
    <w:lvl w:ilvl="6">
      <w:start w:val="0"/>
      <w:numFmt w:val="bullet"/>
      <w:lvlText w:val="•"/>
      <w:lvlJc w:val="left"/>
      <w:pPr>
        <w:ind w:left="6999" w:hanging="341"/>
      </w:pPr>
      <w:rPr>
        <w:rFonts w:hint="default"/>
        <w:lang w:val="en-us" w:eastAsia="en-US" w:bidi="ar-SA"/>
      </w:rPr>
    </w:lvl>
    <w:lvl w:ilvl="7">
      <w:start w:val="0"/>
      <w:numFmt w:val="bullet"/>
      <w:lvlText w:val="•"/>
      <w:lvlJc w:val="left"/>
      <w:pPr>
        <w:ind w:left="7876" w:hanging="341"/>
      </w:pPr>
      <w:rPr>
        <w:rFonts w:hint="default"/>
        <w:lang w:val="en-us" w:eastAsia="en-US" w:bidi="ar-SA"/>
      </w:rPr>
    </w:lvl>
    <w:lvl w:ilvl="8">
      <w:start w:val="0"/>
      <w:numFmt w:val="bullet"/>
      <w:lvlText w:val="•"/>
      <w:lvlJc w:val="left"/>
      <w:pPr>
        <w:ind w:left="8753" w:hanging="341"/>
      </w:pPr>
      <w:rPr>
        <w:rFonts w:hint="default"/>
        <w:lang w:val="en-us" w:eastAsia="en-US" w:bidi="ar-SA"/>
      </w:rPr>
    </w:lvl>
  </w:abstractNum>
  <w:abstractNum w:abstractNumId="78">
    <w:multiLevelType w:val="hybridMultilevel"/>
    <w:lvl w:ilvl="0">
      <w:start w:val="1"/>
      <w:numFmt w:val="lowerLetter"/>
      <w:lvlText w:val="%1."/>
      <w:lvlJc w:val="left"/>
      <w:pPr>
        <w:ind w:left="1743" w:hanging="396"/>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616" w:hanging="396"/>
      </w:pPr>
      <w:rPr>
        <w:rFonts w:hint="default"/>
        <w:lang w:val="en-us" w:eastAsia="en-US" w:bidi="ar-SA"/>
      </w:rPr>
    </w:lvl>
    <w:lvl w:ilvl="2">
      <w:start w:val="0"/>
      <w:numFmt w:val="bullet"/>
      <w:lvlText w:val="•"/>
      <w:lvlJc w:val="left"/>
      <w:pPr>
        <w:ind w:left="3493" w:hanging="396"/>
      </w:pPr>
      <w:rPr>
        <w:rFonts w:hint="default"/>
        <w:lang w:val="en-us" w:eastAsia="en-US" w:bidi="ar-SA"/>
      </w:rPr>
    </w:lvl>
    <w:lvl w:ilvl="3">
      <w:start w:val="0"/>
      <w:numFmt w:val="bullet"/>
      <w:lvlText w:val="•"/>
      <w:lvlJc w:val="left"/>
      <w:pPr>
        <w:ind w:left="4369" w:hanging="396"/>
      </w:pPr>
      <w:rPr>
        <w:rFonts w:hint="default"/>
        <w:lang w:val="en-us" w:eastAsia="en-US" w:bidi="ar-SA"/>
      </w:rPr>
    </w:lvl>
    <w:lvl w:ilvl="4">
      <w:start w:val="0"/>
      <w:numFmt w:val="bullet"/>
      <w:lvlText w:val="•"/>
      <w:lvlJc w:val="left"/>
      <w:pPr>
        <w:ind w:left="5246" w:hanging="396"/>
      </w:pPr>
      <w:rPr>
        <w:rFonts w:hint="default"/>
        <w:lang w:val="en-us" w:eastAsia="en-US" w:bidi="ar-SA"/>
      </w:rPr>
    </w:lvl>
    <w:lvl w:ilvl="5">
      <w:start w:val="0"/>
      <w:numFmt w:val="bullet"/>
      <w:lvlText w:val="•"/>
      <w:lvlJc w:val="left"/>
      <w:pPr>
        <w:ind w:left="6123" w:hanging="396"/>
      </w:pPr>
      <w:rPr>
        <w:rFonts w:hint="default"/>
        <w:lang w:val="en-us" w:eastAsia="en-US" w:bidi="ar-SA"/>
      </w:rPr>
    </w:lvl>
    <w:lvl w:ilvl="6">
      <w:start w:val="0"/>
      <w:numFmt w:val="bullet"/>
      <w:lvlText w:val="•"/>
      <w:lvlJc w:val="left"/>
      <w:pPr>
        <w:ind w:left="6999" w:hanging="396"/>
      </w:pPr>
      <w:rPr>
        <w:rFonts w:hint="default"/>
        <w:lang w:val="en-us" w:eastAsia="en-US" w:bidi="ar-SA"/>
      </w:rPr>
    </w:lvl>
    <w:lvl w:ilvl="7">
      <w:start w:val="0"/>
      <w:numFmt w:val="bullet"/>
      <w:lvlText w:val="•"/>
      <w:lvlJc w:val="left"/>
      <w:pPr>
        <w:ind w:left="7876" w:hanging="396"/>
      </w:pPr>
      <w:rPr>
        <w:rFonts w:hint="default"/>
        <w:lang w:val="en-us" w:eastAsia="en-US" w:bidi="ar-SA"/>
      </w:rPr>
    </w:lvl>
    <w:lvl w:ilvl="8">
      <w:start w:val="0"/>
      <w:numFmt w:val="bullet"/>
      <w:lvlText w:val="•"/>
      <w:lvlJc w:val="left"/>
      <w:pPr>
        <w:ind w:left="8753" w:hanging="396"/>
      </w:pPr>
      <w:rPr>
        <w:rFonts w:hint="default"/>
        <w:lang w:val="en-us" w:eastAsia="en-US" w:bidi="ar-SA"/>
      </w:rPr>
    </w:lvl>
  </w:abstractNum>
  <w:abstractNum w:abstractNumId="7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76">
    <w:multiLevelType w:val="hybridMultilevel"/>
    <w:lvl w:ilvl="0">
      <w:start w:val="1"/>
      <w:numFmt w:val="decimal"/>
      <w:lvlText w:val="%1."/>
      <w:lvlJc w:val="left"/>
      <w:pPr>
        <w:ind w:left="1402" w:hanging="339"/>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743" w:hanging="341"/>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75">
    <w:multiLevelType w:val="hybridMultilevel"/>
    <w:lvl w:ilvl="0">
      <w:start w:val="1"/>
      <w:numFmt w:val="decimal"/>
      <w:lvlText w:val="%1."/>
      <w:lvlJc w:val="left"/>
      <w:pPr>
        <w:ind w:left="1402" w:hanging="339"/>
        <w:jc w:val="left"/>
      </w:pPr>
      <w:rPr>
        <w:rFonts w:hint="default" w:ascii="Arial" w:hAnsi="Arial" w:eastAsia="Arial" w:cs="Arial"/>
        <w:spacing w:val="-1"/>
        <w:w w:val="99"/>
        <w:sz w:val="20"/>
        <w:szCs w:val="20"/>
        <w:lang w:val="en-us" w:eastAsia="en-US" w:bidi="ar-SA"/>
      </w:rPr>
    </w:lvl>
    <w:lvl w:ilvl="1">
      <w:start w:val="1"/>
      <w:numFmt w:val="lowerLetter"/>
      <w:lvlText w:val="%2."/>
      <w:lvlJc w:val="left"/>
      <w:pPr>
        <w:ind w:left="1743" w:hanging="341"/>
        <w:jc w:val="left"/>
      </w:pPr>
      <w:rPr>
        <w:rFonts w:hint="default" w:ascii="Arial" w:hAnsi="Arial" w:eastAsia="Arial" w:cs="Arial"/>
        <w:spacing w:val="-1"/>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74">
    <w:multiLevelType w:val="hybridMultilevel"/>
    <w:lvl w:ilvl="0">
      <w:start w:val="128"/>
      <w:numFmt w:val="decimal"/>
      <w:lvlText w:val="%1"/>
      <w:lvlJc w:val="left"/>
      <w:pPr>
        <w:ind w:left="723" w:hanging="296"/>
        <w:jc w:val="left"/>
      </w:pPr>
      <w:rPr>
        <w:rFonts w:hint="default" w:ascii="Arial" w:hAnsi="Arial" w:eastAsia="Arial" w:cs="Arial"/>
        <w:spacing w:val="-1"/>
        <w:w w:val="99"/>
        <w:position w:val="8"/>
        <w:sz w:val="14"/>
        <w:szCs w:val="14"/>
        <w:lang w:val="en-us" w:eastAsia="en-US" w:bidi="ar-SA"/>
      </w:rPr>
    </w:lvl>
    <w:lvl w:ilvl="1">
      <w:start w:val="0"/>
      <w:numFmt w:val="bullet"/>
      <w:lvlText w:val="•"/>
      <w:lvlJc w:val="left"/>
      <w:pPr>
        <w:ind w:left="1698" w:hanging="296"/>
      </w:pPr>
      <w:rPr>
        <w:rFonts w:hint="default"/>
        <w:lang w:val="en-us" w:eastAsia="en-US" w:bidi="ar-SA"/>
      </w:rPr>
    </w:lvl>
    <w:lvl w:ilvl="2">
      <w:start w:val="0"/>
      <w:numFmt w:val="bullet"/>
      <w:lvlText w:val="•"/>
      <w:lvlJc w:val="left"/>
      <w:pPr>
        <w:ind w:left="2677" w:hanging="296"/>
      </w:pPr>
      <w:rPr>
        <w:rFonts w:hint="default"/>
        <w:lang w:val="en-us" w:eastAsia="en-US" w:bidi="ar-SA"/>
      </w:rPr>
    </w:lvl>
    <w:lvl w:ilvl="3">
      <w:start w:val="0"/>
      <w:numFmt w:val="bullet"/>
      <w:lvlText w:val="•"/>
      <w:lvlJc w:val="left"/>
      <w:pPr>
        <w:ind w:left="3655" w:hanging="296"/>
      </w:pPr>
      <w:rPr>
        <w:rFonts w:hint="default"/>
        <w:lang w:val="en-us" w:eastAsia="en-US" w:bidi="ar-SA"/>
      </w:rPr>
    </w:lvl>
    <w:lvl w:ilvl="4">
      <w:start w:val="0"/>
      <w:numFmt w:val="bullet"/>
      <w:lvlText w:val="•"/>
      <w:lvlJc w:val="left"/>
      <w:pPr>
        <w:ind w:left="4634" w:hanging="296"/>
      </w:pPr>
      <w:rPr>
        <w:rFonts w:hint="default"/>
        <w:lang w:val="en-us" w:eastAsia="en-US" w:bidi="ar-SA"/>
      </w:rPr>
    </w:lvl>
    <w:lvl w:ilvl="5">
      <w:start w:val="0"/>
      <w:numFmt w:val="bullet"/>
      <w:lvlText w:val="•"/>
      <w:lvlJc w:val="left"/>
      <w:pPr>
        <w:ind w:left="5613" w:hanging="296"/>
      </w:pPr>
      <w:rPr>
        <w:rFonts w:hint="default"/>
        <w:lang w:val="en-us" w:eastAsia="en-US" w:bidi="ar-SA"/>
      </w:rPr>
    </w:lvl>
    <w:lvl w:ilvl="6">
      <w:start w:val="0"/>
      <w:numFmt w:val="bullet"/>
      <w:lvlText w:val="•"/>
      <w:lvlJc w:val="left"/>
      <w:pPr>
        <w:ind w:left="6591" w:hanging="296"/>
      </w:pPr>
      <w:rPr>
        <w:rFonts w:hint="default"/>
        <w:lang w:val="en-us" w:eastAsia="en-US" w:bidi="ar-SA"/>
      </w:rPr>
    </w:lvl>
    <w:lvl w:ilvl="7">
      <w:start w:val="0"/>
      <w:numFmt w:val="bullet"/>
      <w:lvlText w:val="•"/>
      <w:lvlJc w:val="left"/>
      <w:pPr>
        <w:ind w:left="7570" w:hanging="296"/>
      </w:pPr>
      <w:rPr>
        <w:rFonts w:hint="default"/>
        <w:lang w:val="en-us" w:eastAsia="en-US" w:bidi="ar-SA"/>
      </w:rPr>
    </w:lvl>
    <w:lvl w:ilvl="8">
      <w:start w:val="0"/>
      <w:numFmt w:val="bullet"/>
      <w:lvlText w:val="•"/>
      <w:lvlJc w:val="left"/>
      <w:pPr>
        <w:ind w:left="8549" w:hanging="296"/>
      </w:pPr>
      <w:rPr>
        <w:rFonts w:hint="default"/>
        <w:lang w:val="en-us" w:eastAsia="en-US" w:bidi="ar-SA"/>
      </w:rPr>
    </w:lvl>
  </w:abstractNum>
  <w:abstractNum w:abstractNumId="73">
    <w:multiLevelType w:val="hybridMultilevel"/>
    <w:lvl w:ilvl="0">
      <w:start w:val="125"/>
      <w:numFmt w:val="decimal"/>
      <w:lvlText w:val="%1"/>
      <w:lvlJc w:val="left"/>
      <w:pPr>
        <w:ind w:left="723" w:hanging="300"/>
        <w:jc w:val="left"/>
      </w:pPr>
      <w:rPr>
        <w:rFonts w:hint="default" w:ascii="Arial" w:hAnsi="Arial" w:eastAsia="Arial" w:cs="Arial"/>
        <w:spacing w:val="-1"/>
        <w:w w:val="99"/>
        <w:position w:val="8"/>
        <w:sz w:val="14"/>
        <w:szCs w:val="14"/>
        <w:lang w:val="en-us" w:eastAsia="en-US" w:bidi="ar-SA"/>
      </w:rPr>
    </w:lvl>
    <w:lvl w:ilvl="1">
      <w:start w:val="0"/>
      <w:numFmt w:val="bullet"/>
      <w:lvlText w:val="•"/>
      <w:lvlJc w:val="left"/>
      <w:pPr>
        <w:ind w:left="1698" w:hanging="300"/>
      </w:pPr>
      <w:rPr>
        <w:rFonts w:hint="default"/>
        <w:lang w:val="en-us" w:eastAsia="en-US" w:bidi="ar-SA"/>
      </w:rPr>
    </w:lvl>
    <w:lvl w:ilvl="2">
      <w:start w:val="0"/>
      <w:numFmt w:val="bullet"/>
      <w:lvlText w:val="•"/>
      <w:lvlJc w:val="left"/>
      <w:pPr>
        <w:ind w:left="2677" w:hanging="300"/>
      </w:pPr>
      <w:rPr>
        <w:rFonts w:hint="default"/>
        <w:lang w:val="en-us" w:eastAsia="en-US" w:bidi="ar-SA"/>
      </w:rPr>
    </w:lvl>
    <w:lvl w:ilvl="3">
      <w:start w:val="0"/>
      <w:numFmt w:val="bullet"/>
      <w:lvlText w:val="•"/>
      <w:lvlJc w:val="left"/>
      <w:pPr>
        <w:ind w:left="3655" w:hanging="300"/>
      </w:pPr>
      <w:rPr>
        <w:rFonts w:hint="default"/>
        <w:lang w:val="en-us" w:eastAsia="en-US" w:bidi="ar-SA"/>
      </w:rPr>
    </w:lvl>
    <w:lvl w:ilvl="4">
      <w:start w:val="0"/>
      <w:numFmt w:val="bullet"/>
      <w:lvlText w:val="•"/>
      <w:lvlJc w:val="left"/>
      <w:pPr>
        <w:ind w:left="4634" w:hanging="300"/>
      </w:pPr>
      <w:rPr>
        <w:rFonts w:hint="default"/>
        <w:lang w:val="en-us" w:eastAsia="en-US" w:bidi="ar-SA"/>
      </w:rPr>
    </w:lvl>
    <w:lvl w:ilvl="5">
      <w:start w:val="0"/>
      <w:numFmt w:val="bullet"/>
      <w:lvlText w:val="•"/>
      <w:lvlJc w:val="left"/>
      <w:pPr>
        <w:ind w:left="5613" w:hanging="300"/>
      </w:pPr>
      <w:rPr>
        <w:rFonts w:hint="default"/>
        <w:lang w:val="en-us" w:eastAsia="en-US" w:bidi="ar-SA"/>
      </w:rPr>
    </w:lvl>
    <w:lvl w:ilvl="6">
      <w:start w:val="0"/>
      <w:numFmt w:val="bullet"/>
      <w:lvlText w:val="•"/>
      <w:lvlJc w:val="left"/>
      <w:pPr>
        <w:ind w:left="6591" w:hanging="300"/>
      </w:pPr>
      <w:rPr>
        <w:rFonts w:hint="default"/>
        <w:lang w:val="en-us" w:eastAsia="en-US" w:bidi="ar-SA"/>
      </w:rPr>
    </w:lvl>
    <w:lvl w:ilvl="7">
      <w:start w:val="0"/>
      <w:numFmt w:val="bullet"/>
      <w:lvlText w:val="•"/>
      <w:lvlJc w:val="left"/>
      <w:pPr>
        <w:ind w:left="7570" w:hanging="300"/>
      </w:pPr>
      <w:rPr>
        <w:rFonts w:hint="default"/>
        <w:lang w:val="en-us" w:eastAsia="en-US" w:bidi="ar-SA"/>
      </w:rPr>
    </w:lvl>
    <w:lvl w:ilvl="8">
      <w:start w:val="0"/>
      <w:numFmt w:val="bullet"/>
      <w:lvlText w:val="•"/>
      <w:lvlJc w:val="left"/>
      <w:pPr>
        <w:ind w:left="8549" w:hanging="300"/>
      </w:pPr>
      <w:rPr>
        <w:rFonts w:hint="default"/>
        <w:lang w:val="en-us" w:eastAsia="en-US" w:bidi="ar-SA"/>
      </w:rPr>
    </w:lvl>
  </w:abstractNum>
  <w:abstractNum w:abstractNumId="72">
    <w:multiLevelType w:val="hybridMultilevel"/>
    <w:lvl w:ilvl="0">
      <w:start w:val="8"/>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71">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70">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69">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68">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67">
    <w:multiLevelType w:val="hybridMultilevel"/>
    <w:lvl w:ilvl="0">
      <w:start w:val="7"/>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66">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65">
    <w:multiLevelType w:val="hybridMultilevel"/>
    <w:lvl w:ilvl="0">
      <w:start w:val="0"/>
      <w:numFmt w:val="bullet"/>
      <w:lvlText w:val=""/>
      <w:lvlJc w:val="left"/>
      <w:pPr>
        <w:ind w:left="1443" w:hanging="360"/>
      </w:pPr>
      <w:rPr>
        <w:rFonts w:hint="default" w:ascii="Symbol" w:hAnsi="Symbol" w:eastAsia="Symbol" w:cs="Symbol"/>
        <w:w w:val="99"/>
        <w:sz w:val="20"/>
        <w:szCs w:val="20"/>
        <w:lang w:val="en-us" w:eastAsia="en-US" w:bidi="ar-SA"/>
      </w:rPr>
    </w:lvl>
    <w:lvl w:ilvl="1">
      <w:start w:val="0"/>
      <w:numFmt w:val="bullet"/>
      <w:lvlText w:val="•"/>
      <w:lvlJc w:val="left"/>
      <w:pPr>
        <w:ind w:left="2346" w:hanging="360"/>
      </w:pPr>
      <w:rPr>
        <w:rFonts w:hint="default"/>
        <w:lang w:val="en-us" w:eastAsia="en-US" w:bidi="ar-SA"/>
      </w:rPr>
    </w:lvl>
    <w:lvl w:ilvl="2">
      <w:start w:val="0"/>
      <w:numFmt w:val="bullet"/>
      <w:lvlText w:val="•"/>
      <w:lvlJc w:val="left"/>
      <w:pPr>
        <w:ind w:left="3253" w:hanging="360"/>
      </w:pPr>
      <w:rPr>
        <w:rFonts w:hint="default"/>
        <w:lang w:val="en-us" w:eastAsia="en-US" w:bidi="ar-SA"/>
      </w:rPr>
    </w:lvl>
    <w:lvl w:ilvl="3">
      <w:start w:val="0"/>
      <w:numFmt w:val="bullet"/>
      <w:lvlText w:val="•"/>
      <w:lvlJc w:val="left"/>
      <w:pPr>
        <w:ind w:left="4159" w:hanging="360"/>
      </w:pPr>
      <w:rPr>
        <w:rFonts w:hint="default"/>
        <w:lang w:val="en-us" w:eastAsia="en-US" w:bidi="ar-SA"/>
      </w:rPr>
    </w:lvl>
    <w:lvl w:ilvl="4">
      <w:start w:val="0"/>
      <w:numFmt w:val="bullet"/>
      <w:lvlText w:val="•"/>
      <w:lvlJc w:val="left"/>
      <w:pPr>
        <w:ind w:left="5066" w:hanging="360"/>
      </w:pPr>
      <w:rPr>
        <w:rFonts w:hint="default"/>
        <w:lang w:val="en-us" w:eastAsia="en-US" w:bidi="ar-SA"/>
      </w:rPr>
    </w:lvl>
    <w:lvl w:ilvl="5">
      <w:start w:val="0"/>
      <w:numFmt w:val="bullet"/>
      <w:lvlText w:val="•"/>
      <w:lvlJc w:val="left"/>
      <w:pPr>
        <w:ind w:left="5973" w:hanging="360"/>
      </w:pPr>
      <w:rPr>
        <w:rFonts w:hint="default"/>
        <w:lang w:val="en-us" w:eastAsia="en-US" w:bidi="ar-SA"/>
      </w:rPr>
    </w:lvl>
    <w:lvl w:ilvl="6">
      <w:start w:val="0"/>
      <w:numFmt w:val="bullet"/>
      <w:lvlText w:val="•"/>
      <w:lvlJc w:val="left"/>
      <w:pPr>
        <w:ind w:left="6879" w:hanging="360"/>
      </w:pPr>
      <w:rPr>
        <w:rFonts w:hint="default"/>
        <w:lang w:val="en-us" w:eastAsia="en-US" w:bidi="ar-SA"/>
      </w:rPr>
    </w:lvl>
    <w:lvl w:ilvl="7">
      <w:start w:val="0"/>
      <w:numFmt w:val="bullet"/>
      <w:lvlText w:val="•"/>
      <w:lvlJc w:val="left"/>
      <w:pPr>
        <w:ind w:left="7786" w:hanging="360"/>
      </w:pPr>
      <w:rPr>
        <w:rFonts w:hint="default"/>
        <w:lang w:val="en-us" w:eastAsia="en-US" w:bidi="ar-SA"/>
      </w:rPr>
    </w:lvl>
    <w:lvl w:ilvl="8">
      <w:start w:val="0"/>
      <w:numFmt w:val="bullet"/>
      <w:lvlText w:val="•"/>
      <w:lvlJc w:val="left"/>
      <w:pPr>
        <w:ind w:left="8693" w:hanging="360"/>
      </w:pPr>
      <w:rPr>
        <w:rFonts w:hint="default"/>
        <w:lang w:val="en-us" w:eastAsia="en-US" w:bidi="ar-SA"/>
      </w:rPr>
    </w:lvl>
  </w:abstractNum>
  <w:abstractNum w:abstractNumId="64">
    <w:multiLevelType w:val="hybridMultilevel"/>
    <w:lvl w:ilvl="0">
      <w:start w:val="6"/>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63">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743"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62">
    <w:multiLevelType w:val="hybridMultilevel"/>
    <w:lvl w:ilvl="0">
      <w:start w:val="1"/>
      <w:numFmt w:val="lowerLetter"/>
      <w:lvlText w:val="%1)"/>
      <w:lvlJc w:val="left"/>
      <w:pPr>
        <w:ind w:left="1402" w:hanging="339"/>
        <w:jc w:val="left"/>
      </w:pPr>
      <w:rPr>
        <w:rFonts w:hint="default" w:ascii="Arial" w:hAnsi="Arial" w:eastAsia="Arial" w:cs="Arial"/>
        <w:i/>
        <w:spacing w:val="-1"/>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61">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743"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60">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59">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743"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58">
    <w:multiLevelType w:val="hybridMultilevel"/>
    <w:lvl w:ilvl="0">
      <w:start w:val="5"/>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5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56">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55">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54">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lef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53">
    <w:multiLevelType w:val="hybridMultilevel"/>
    <w:lvl w:ilvl="0">
      <w:start w:val="1"/>
      <w:numFmt w:val="lowerLetter"/>
      <w:lvlText w:val="%1."/>
      <w:lvlJc w:val="left"/>
      <w:pPr>
        <w:ind w:left="2084" w:hanging="341"/>
        <w:jc w:val="righ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lef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52">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883" w:hanging="281"/>
        <w:jc w:val="right"/>
      </w:pPr>
      <w:rPr>
        <w:rFonts w:hint="default" w:ascii="Arial" w:hAnsi="Arial" w:eastAsia="Arial" w:cs="Arial"/>
        <w:spacing w:val="-2"/>
        <w:w w:val="99"/>
        <w:sz w:val="20"/>
        <w:szCs w:val="20"/>
        <w:lang w:val="en-us" w:eastAsia="en-US" w:bidi="ar-SA"/>
      </w:rPr>
    </w:lvl>
    <w:lvl w:ilvl="2">
      <w:start w:val="1"/>
      <w:numFmt w:val="decimal"/>
      <w:lvlText w:val="%3."/>
      <w:lvlJc w:val="left"/>
      <w:pPr>
        <w:ind w:left="3604" w:hanging="360"/>
        <w:jc w:val="left"/>
      </w:pPr>
      <w:rPr>
        <w:rFonts w:hint="default" w:ascii="Arial" w:hAnsi="Arial" w:eastAsia="Arial" w:cs="Arial"/>
        <w:spacing w:val="-1"/>
        <w:w w:val="99"/>
        <w:sz w:val="20"/>
        <w:szCs w:val="20"/>
        <w:lang w:val="en-us" w:eastAsia="en-US" w:bidi="ar-SA"/>
      </w:rPr>
    </w:lvl>
    <w:lvl w:ilvl="3">
      <w:start w:val="0"/>
      <w:numFmt w:val="bullet"/>
      <w:lvlText w:val="•"/>
      <w:lvlJc w:val="left"/>
      <w:pPr>
        <w:ind w:left="4463" w:hanging="360"/>
      </w:pPr>
      <w:rPr>
        <w:rFonts w:hint="default"/>
        <w:lang w:val="en-us" w:eastAsia="en-US" w:bidi="ar-SA"/>
      </w:rPr>
    </w:lvl>
    <w:lvl w:ilvl="4">
      <w:start w:val="0"/>
      <w:numFmt w:val="bullet"/>
      <w:lvlText w:val="•"/>
      <w:lvlJc w:val="left"/>
      <w:pPr>
        <w:ind w:left="5326" w:hanging="360"/>
      </w:pPr>
      <w:rPr>
        <w:rFonts w:hint="default"/>
        <w:lang w:val="en-us" w:eastAsia="en-US" w:bidi="ar-SA"/>
      </w:rPr>
    </w:lvl>
    <w:lvl w:ilvl="5">
      <w:start w:val="0"/>
      <w:numFmt w:val="bullet"/>
      <w:lvlText w:val="•"/>
      <w:lvlJc w:val="left"/>
      <w:pPr>
        <w:ind w:left="6189" w:hanging="360"/>
      </w:pPr>
      <w:rPr>
        <w:rFonts w:hint="default"/>
        <w:lang w:val="en-us" w:eastAsia="en-US" w:bidi="ar-SA"/>
      </w:rPr>
    </w:lvl>
    <w:lvl w:ilvl="6">
      <w:start w:val="0"/>
      <w:numFmt w:val="bullet"/>
      <w:lvlText w:val="•"/>
      <w:lvlJc w:val="left"/>
      <w:pPr>
        <w:ind w:left="7053" w:hanging="360"/>
      </w:pPr>
      <w:rPr>
        <w:rFonts w:hint="default"/>
        <w:lang w:val="en-us" w:eastAsia="en-US" w:bidi="ar-SA"/>
      </w:rPr>
    </w:lvl>
    <w:lvl w:ilvl="7">
      <w:start w:val="0"/>
      <w:numFmt w:val="bullet"/>
      <w:lvlText w:val="•"/>
      <w:lvlJc w:val="left"/>
      <w:pPr>
        <w:ind w:left="7916" w:hanging="360"/>
      </w:pPr>
      <w:rPr>
        <w:rFonts w:hint="default"/>
        <w:lang w:val="en-us" w:eastAsia="en-US" w:bidi="ar-SA"/>
      </w:rPr>
    </w:lvl>
    <w:lvl w:ilvl="8">
      <w:start w:val="0"/>
      <w:numFmt w:val="bullet"/>
      <w:lvlText w:val="•"/>
      <w:lvlJc w:val="left"/>
      <w:pPr>
        <w:ind w:left="8779" w:hanging="360"/>
      </w:pPr>
      <w:rPr>
        <w:rFonts w:hint="default"/>
        <w:lang w:val="en-us" w:eastAsia="en-US" w:bidi="ar-SA"/>
      </w:rPr>
    </w:lvl>
  </w:abstractNum>
  <w:abstractNum w:abstractNumId="51">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lef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50">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49">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48">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4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46">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45">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44">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43">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42">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41">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40">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39">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38">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3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36">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35">
    <w:multiLevelType w:val="hybridMultilevel"/>
    <w:lvl w:ilvl="0">
      <w:start w:val="1"/>
      <w:numFmt w:val="lowerLetter"/>
      <w:lvlText w:val="%1."/>
      <w:lvlJc w:val="left"/>
      <w:pPr>
        <w:ind w:left="2084" w:hanging="341"/>
        <w:jc w:val="righ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34">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33">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32">
    <w:multiLevelType w:val="hybridMultilevel"/>
    <w:lvl w:ilvl="0">
      <w:start w:val="1"/>
      <w:numFmt w:val="lowerLetter"/>
      <w:lvlText w:val="%1."/>
      <w:lvlJc w:val="left"/>
      <w:pPr>
        <w:ind w:left="2084" w:hanging="341"/>
        <w:jc w:val="right"/>
      </w:pPr>
      <w:rPr>
        <w:rFonts w:hint="default" w:ascii="Arial" w:hAnsi="Arial" w:eastAsia="Arial" w:cs="Arial"/>
        <w:spacing w:val="-1"/>
        <w:w w:val="99"/>
        <w:sz w:val="20"/>
        <w:szCs w:val="20"/>
        <w:lang w:val="en-us" w:eastAsia="en-US" w:bidi="ar-SA"/>
      </w:rPr>
    </w:lvl>
    <w:lvl w:ilvl="1">
      <w:start w:val="1"/>
      <w:numFmt w:val="lowerRoman"/>
      <w:lvlText w:val="%2."/>
      <w:lvlJc w:val="left"/>
      <w:pPr>
        <w:ind w:left="2763" w:hanging="327"/>
        <w:jc w:val="right"/>
      </w:pPr>
      <w:rPr>
        <w:rFonts w:hint="default" w:ascii="Arial" w:hAnsi="Arial" w:eastAsia="Arial" w:cs="Arial"/>
        <w:spacing w:val="-2"/>
        <w:w w:val="99"/>
        <w:sz w:val="20"/>
        <w:szCs w:val="20"/>
        <w:lang w:val="en-us" w:eastAsia="en-US" w:bidi="ar-SA"/>
      </w:rPr>
    </w:lvl>
    <w:lvl w:ilvl="2">
      <w:start w:val="0"/>
      <w:numFmt w:val="bullet"/>
      <w:lvlText w:val="•"/>
      <w:lvlJc w:val="left"/>
      <w:pPr>
        <w:ind w:left="3620" w:hanging="327"/>
      </w:pPr>
      <w:rPr>
        <w:rFonts w:hint="default"/>
        <w:lang w:val="en-us" w:eastAsia="en-US" w:bidi="ar-SA"/>
      </w:rPr>
    </w:lvl>
    <w:lvl w:ilvl="3">
      <w:start w:val="0"/>
      <w:numFmt w:val="bullet"/>
      <w:lvlText w:val="•"/>
      <w:lvlJc w:val="left"/>
      <w:pPr>
        <w:ind w:left="4481" w:hanging="327"/>
      </w:pPr>
      <w:rPr>
        <w:rFonts w:hint="default"/>
        <w:lang w:val="en-us" w:eastAsia="en-US" w:bidi="ar-SA"/>
      </w:rPr>
    </w:lvl>
    <w:lvl w:ilvl="4">
      <w:start w:val="0"/>
      <w:numFmt w:val="bullet"/>
      <w:lvlText w:val="•"/>
      <w:lvlJc w:val="left"/>
      <w:pPr>
        <w:ind w:left="5342" w:hanging="327"/>
      </w:pPr>
      <w:rPr>
        <w:rFonts w:hint="default"/>
        <w:lang w:val="en-us" w:eastAsia="en-US" w:bidi="ar-SA"/>
      </w:rPr>
    </w:lvl>
    <w:lvl w:ilvl="5">
      <w:start w:val="0"/>
      <w:numFmt w:val="bullet"/>
      <w:lvlText w:val="•"/>
      <w:lvlJc w:val="left"/>
      <w:pPr>
        <w:ind w:left="6202" w:hanging="327"/>
      </w:pPr>
      <w:rPr>
        <w:rFonts w:hint="default"/>
        <w:lang w:val="en-us" w:eastAsia="en-US" w:bidi="ar-SA"/>
      </w:rPr>
    </w:lvl>
    <w:lvl w:ilvl="6">
      <w:start w:val="0"/>
      <w:numFmt w:val="bullet"/>
      <w:lvlText w:val="•"/>
      <w:lvlJc w:val="left"/>
      <w:pPr>
        <w:ind w:left="7063" w:hanging="327"/>
      </w:pPr>
      <w:rPr>
        <w:rFonts w:hint="default"/>
        <w:lang w:val="en-us" w:eastAsia="en-US" w:bidi="ar-SA"/>
      </w:rPr>
    </w:lvl>
    <w:lvl w:ilvl="7">
      <w:start w:val="0"/>
      <w:numFmt w:val="bullet"/>
      <w:lvlText w:val="•"/>
      <w:lvlJc w:val="left"/>
      <w:pPr>
        <w:ind w:left="7924" w:hanging="327"/>
      </w:pPr>
      <w:rPr>
        <w:rFonts w:hint="default"/>
        <w:lang w:val="en-us" w:eastAsia="en-US" w:bidi="ar-SA"/>
      </w:rPr>
    </w:lvl>
    <w:lvl w:ilvl="8">
      <w:start w:val="0"/>
      <w:numFmt w:val="bullet"/>
      <w:lvlText w:val="•"/>
      <w:lvlJc w:val="left"/>
      <w:pPr>
        <w:ind w:left="8784" w:hanging="327"/>
      </w:pPr>
      <w:rPr>
        <w:rFonts w:hint="default"/>
        <w:lang w:val="en-us" w:eastAsia="en-US" w:bidi="ar-SA"/>
      </w:rPr>
    </w:lvl>
  </w:abstractNum>
  <w:abstractNum w:abstractNumId="31">
    <w:multiLevelType w:val="hybridMultilevel"/>
    <w:lvl w:ilvl="0">
      <w:start w:val="1"/>
      <w:numFmt w:val="lowerLetter"/>
      <w:lvlText w:val="%1."/>
      <w:lvlJc w:val="left"/>
      <w:pPr>
        <w:ind w:left="2084" w:hanging="341"/>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922" w:hanging="341"/>
      </w:pPr>
      <w:rPr>
        <w:rFonts w:hint="default"/>
        <w:lang w:val="en-us" w:eastAsia="en-US" w:bidi="ar-SA"/>
      </w:rPr>
    </w:lvl>
    <w:lvl w:ilvl="2">
      <w:start w:val="0"/>
      <w:numFmt w:val="bullet"/>
      <w:lvlText w:val="•"/>
      <w:lvlJc w:val="left"/>
      <w:pPr>
        <w:ind w:left="3765" w:hanging="341"/>
      </w:pPr>
      <w:rPr>
        <w:rFonts w:hint="default"/>
        <w:lang w:val="en-us" w:eastAsia="en-US" w:bidi="ar-SA"/>
      </w:rPr>
    </w:lvl>
    <w:lvl w:ilvl="3">
      <w:start w:val="0"/>
      <w:numFmt w:val="bullet"/>
      <w:lvlText w:val="•"/>
      <w:lvlJc w:val="left"/>
      <w:pPr>
        <w:ind w:left="4607" w:hanging="341"/>
      </w:pPr>
      <w:rPr>
        <w:rFonts w:hint="default"/>
        <w:lang w:val="en-us" w:eastAsia="en-US" w:bidi="ar-SA"/>
      </w:rPr>
    </w:lvl>
    <w:lvl w:ilvl="4">
      <w:start w:val="0"/>
      <w:numFmt w:val="bullet"/>
      <w:lvlText w:val="•"/>
      <w:lvlJc w:val="left"/>
      <w:pPr>
        <w:ind w:left="5450" w:hanging="341"/>
      </w:pPr>
      <w:rPr>
        <w:rFonts w:hint="default"/>
        <w:lang w:val="en-us" w:eastAsia="en-US" w:bidi="ar-SA"/>
      </w:rPr>
    </w:lvl>
    <w:lvl w:ilvl="5">
      <w:start w:val="0"/>
      <w:numFmt w:val="bullet"/>
      <w:lvlText w:val="•"/>
      <w:lvlJc w:val="left"/>
      <w:pPr>
        <w:ind w:left="6293" w:hanging="341"/>
      </w:pPr>
      <w:rPr>
        <w:rFonts w:hint="default"/>
        <w:lang w:val="en-us" w:eastAsia="en-US" w:bidi="ar-SA"/>
      </w:rPr>
    </w:lvl>
    <w:lvl w:ilvl="6">
      <w:start w:val="0"/>
      <w:numFmt w:val="bullet"/>
      <w:lvlText w:val="•"/>
      <w:lvlJc w:val="left"/>
      <w:pPr>
        <w:ind w:left="7135" w:hanging="341"/>
      </w:pPr>
      <w:rPr>
        <w:rFonts w:hint="default"/>
        <w:lang w:val="en-us" w:eastAsia="en-US" w:bidi="ar-SA"/>
      </w:rPr>
    </w:lvl>
    <w:lvl w:ilvl="7">
      <w:start w:val="0"/>
      <w:numFmt w:val="bullet"/>
      <w:lvlText w:val="•"/>
      <w:lvlJc w:val="left"/>
      <w:pPr>
        <w:ind w:left="7978" w:hanging="341"/>
      </w:pPr>
      <w:rPr>
        <w:rFonts w:hint="default"/>
        <w:lang w:val="en-us" w:eastAsia="en-US" w:bidi="ar-SA"/>
      </w:rPr>
    </w:lvl>
    <w:lvl w:ilvl="8">
      <w:start w:val="0"/>
      <w:numFmt w:val="bullet"/>
      <w:lvlText w:val="•"/>
      <w:lvlJc w:val="left"/>
      <w:pPr>
        <w:ind w:left="8821" w:hanging="341"/>
      </w:pPr>
      <w:rPr>
        <w:rFonts w:hint="default"/>
        <w:lang w:val="en-us" w:eastAsia="en-US" w:bidi="ar-SA"/>
      </w:rPr>
    </w:lvl>
  </w:abstractNum>
  <w:abstractNum w:abstractNumId="30">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29">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8">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7">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6">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5">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4">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3">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2">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1">
    <w:multiLevelType w:val="hybridMultilevel"/>
    <w:lvl w:ilvl="0">
      <w:start w:val="0"/>
      <w:numFmt w:val="bullet"/>
      <w:lvlText w:val=""/>
      <w:lvlJc w:val="left"/>
      <w:pPr>
        <w:ind w:left="715" w:hanging="341"/>
      </w:pPr>
      <w:rPr>
        <w:rFonts w:hint="default" w:ascii="Symbol" w:hAnsi="Symbol" w:eastAsia="Symbol" w:cs="Symbol"/>
        <w:color w:val="4E81BD"/>
        <w:w w:val="99"/>
        <w:sz w:val="20"/>
        <w:szCs w:val="20"/>
        <w:lang w:val="en-us" w:eastAsia="en-US" w:bidi="ar-SA"/>
      </w:rPr>
    </w:lvl>
    <w:lvl w:ilvl="1">
      <w:start w:val="0"/>
      <w:numFmt w:val="bullet"/>
      <w:lvlText w:val="•"/>
      <w:lvlJc w:val="left"/>
      <w:pPr>
        <w:ind w:left="1123" w:hanging="341"/>
      </w:pPr>
      <w:rPr>
        <w:rFonts w:hint="default"/>
        <w:lang w:val="en-us" w:eastAsia="en-US" w:bidi="ar-SA"/>
      </w:rPr>
    </w:lvl>
    <w:lvl w:ilvl="2">
      <w:start w:val="0"/>
      <w:numFmt w:val="bullet"/>
      <w:lvlText w:val="•"/>
      <w:lvlJc w:val="left"/>
      <w:pPr>
        <w:ind w:left="1526" w:hanging="341"/>
      </w:pPr>
      <w:rPr>
        <w:rFonts w:hint="default"/>
        <w:lang w:val="en-us" w:eastAsia="en-US" w:bidi="ar-SA"/>
      </w:rPr>
    </w:lvl>
    <w:lvl w:ilvl="3">
      <w:start w:val="0"/>
      <w:numFmt w:val="bullet"/>
      <w:lvlText w:val="•"/>
      <w:lvlJc w:val="left"/>
      <w:pPr>
        <w:ind w:left="1930" w:hanging="341"/>
      </w:pPr>
      <w:rPr>
        <w:rFonts w:hint="default"/>
        <w:lang w:val="en-us" w:eastAsia="en-US" w:bidi="ar-SA"/>
      </w:rPr>
    </w:lvl>
    <w:lvl w:ilvl="4">
      <w:start w:val="0"/>
      <w:numFmt w:val="bullet"/>
      <w:lvlText w:val="•"/>
      <w:lvlJc w:val="left"/>
      <w:pPr>
        <w:ind w:left="2333" w:hanging="341"/>
      </w:pPr>
      <w:rPr>
        <w:rFonts w:hint="default"/>
        <w:lang w:val="en-us" w:eastAsia="en-US" w:bidi="ar-SA"/>
      </w:rPr>
    </w:lvl>
    <w:lvl w:ilvl="5">
      <w:start w:val="0"/>
      <w:numFmt w:val="bullet"/>
      <w:lvlText w:val="•"/>
      <w:lvlJc w:val="left"/>
      <w:pPr>
        <w:ind w:left="2737" w:hanging="341"/>
      </w:pPr>
      <w:rPr>
        <w:rFonts w:hint="default"/>
        <w:lang w:val="en-us" w:eastAsia="en-US" w:bidi="ar-SA"/>
      </w:rPr>
    </w:lvl>
    <w:lvl w:ilvl="6">
      <w:start w:val="0"/>
      <w:numFmt w:val="bullet"/>
      <w:lvlText w:val="•"/>
      <w:lvlJc w:val="left"/>
      <w:pPr>
        <w:ind w:left="3140" w:hanging="341"/>
      </w:pPr>
      <w:rPr>
        <w:rFonts w:hint="default"/>
        <w:lang w:val="en-us" w:eastAsia="en-US" w:bidi="ar-SA"/>
      </w:rPr>
    </w:lvl>
    <w:lvl w:ilvl="7">
      <w:start w:val="0"/>
      <w:numFmt w:val="bullet"/>
      <w:lvlText w:val="•"/>
      <w:lvlJc w:val="left"/>
      <w:pPr>
        <w:ind w:left="3544" w:hanging="341"/>
      </w:pPr>
      <w:rPr>
        <w:rFonts w:hint="default"/>
        <w:lang w:val="en-us" w:eastAsia="en-US" w:bidi="ar-SA"/>
      </w:rPr>
    </w:lvl>
    <w:lvl w:ilvl="8">
      <w:start w:val="0"/>
      <w:numFmt w:val="bullet"/>
      <w:lvlText w:val="•"/>
      <w:lvlJc w:val="left"/>
      <w:pPr>
        <w:ind w:left="3947" w:hanging="341"/>
      </w:pPr>
      <w:rPr>
        <w:rFonts w:hint="default"/>
        <w:lang w:val="en-us" w:eastAsia="en-US" w:bidi="ar-SA"/>
      </w:rPr>
    </w:lvl>
  </w:abstractNum>
  <w:abstractNum w:abstractNumId="20">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743"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714" w:hanging="341"/>
      </w:pPr>
      <w:rPr>
        <w:rFonts w:hint="default"/>
        <w:lang w:val="en-us" w:eastAsia="en-US" w:bidi="ar-SA"/>
      </w:rPr>
    </w:lvl>
    <w:lvl w:ilvl="3">
      <w:start w:val="0"/>
      <w:numFmt w:val="bullet"/>
      <w:lvlText w:val="•"/>
      <w:lvlJc w:val="left"/>
      <w:pPr>
        <w:ind w:left="3688" w:hanging="341"/>
      </w:pPr>
      <w:rPr>
        <w:rFonts w:hint="default"/>
        <w:lang w:val="en-us" w:eastAsia="en-US" w:bidi="ar-SA"/>
      </w:rPr>
    </w:lvl>
    <w:lvl w:ilvl="4">
      <w:start w:val="0"/>
      <w:numFmt w:val="bullet"/>
      <w:lvlText w:val="•"/>
      <w:lvlJc w:val="left"/>
      <w:pPr>
        <w:ind w:left="4662" w:hanging="341"/>
      </w:pPr>
      <w:rPr>
        <w:rFonts w:hint="default"/>
        <w:lang w:val="en-us" w:eastAsia="en-US" w:bidi="ar-SA"/>
      </w:rPr>
    </w:lvl>
    <w:lvl w:ilvl="5">
      <w:start w:val="0"/>
      <w:numFmt w:val="bullet"/>
      <w:lvlText w:val="•"/>
      <w:lvlJc w:val="left"/>
      <w:pPr>
        <w:ind w:left="5636" w:hanging="341"/>
      </w:pPr>
      <w:rPr>
        <w:rFonts w:hint="default"/>
        <w:lang w:val="en-us" w:eastAsia="en-US" w:bidi="ar-SA"/>
      </w:rPr>
    </w:lvl>
    <w:lvl w:ilvl="6">
      <w:start w:val="0"/>
      <w:numFmt w:val="bullet"/>
      <w:lvlText w:val="•"/>
      <w:lvlJc w:val="left"/>
      <w:pPr>
        <w:ind w:left="6610" w:hanging="341"/>
      </w:pPr>
      <w:rPr>
        <w:rFonts w:hint="default"/>
        <w:lang w:val="en-us" w:eastAsia="en-US" w:bidi="ar-SA"/>
      </w:rPr>
    </w:lvl>
    <w:lvl w:ilvl="7">
      <w:start w:val="0"/>
      <w:numFmt w:val="bullet"/>
      <w:lvlText w:val="•"/>
      <w:lvlJc w:val="left"/>
      <w:pPr>
        <w:ind w:left="7584" w:hanging="341"/>
      </w:pPr>
      <w:rPr>
        <w:rFonts w:hint="default"/>
        <w:lang w:val="en-us" w:eastAsia="en-US" w:bidi="ar-SA"/>
      </w:rPr>
    </w:lvl>
    <w:lvl w:ilvl="8">
      <w:start w:val="0"/>
      <w:numFmt w:val="bullet"/>
      <w:lvlText w:val="•"/>
      <w:lvlJc w:val="left"/>
      <w:pPr>
        <w:ind w:left="8558" w:hanging="341"/>
      </w:pPr>
      <w:rPr>
        <w:rFonts w:hint="default"/>
        <w:lang w:val="en-us" w:eastAsia="en-US" w:bidi="ar-SA"/>
      </w:rPr>
    </w:lvl>
  </w:abstractNum>
  <w:abstractNum w:abstractNumId="19">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18">
    <w:multiLevelType w:val="hybridMultilevel"/>
    <w:lvl w:ilvl="0">
      <w:start w:val="4"/>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17">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743"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080" w:hanging="341"/>
      </w:pPr>
      <w:rPr>
        <w:rFonts w:hint="default"/>
        <w:lang w:val="en-us" w:eastAsia="en-US" w:bidi="ar-SA"/>
      </w:rPr>
    </w:lvl>
    <w:lvl w:ilvl="3">
      <w:start w:val="0"/>
      <w:numFmt w:val="bullet"/>
      <w:lvlText w:val="•"/>
      <w:lvlJc w:val="left"/>
      <w:pPr>
        <w:ind w:left="3133" w:hanging="341"/>
      </w:pPr>
      <w:rPr>
        <w:rFonts w:hint="default"/>
        <w:lang w:val="en-us" w:eastAsia="en-US" w:bidi="ar-SA"/>
      </w:rPr>
    </w:lvl>
    <w:lvl w:ilvl="4">
      <w:start w:val="0"/>
      <w:numFmt w:val="bullet"/>
      <w:lvlText w:val="•"/>
      <w:lvlJc w:val="left"/>
      <w:pPr>
        <w:ind w:left="4186" w:hanging="341"/>
      </w:pPr>
      <w:rPr>
        <w:rFonts w:hint="default"/>
        <w:lang w:val="en-us" w:eastAsia="en-US" w:bidi="ar-SA"/>
      </w:rPr>
    </w:lvl>
    <w:lvl w:ilvl="5">
      <w:start w:val="0"/>
      <w:numFmt w:val="bullet"/>
      <w:lvlText w:val="•"/>
      <w:lvlJc w:val="left"/>
      <w:pPr>
        <w:ind w:left="5239" w:hanging="341"/>
      </w:pPr>
      <w:rPr>
        <w:rFonts w:hint="default"/>
        <w:lang w:val="en-us" w:eastAsia="en-US" w:bidi="ar-SA"/>
      </w:rPr>
    </w:lvl>
    <w:lvl w:ilvl="6">
      <w:start w:val="0"/>
      <w:numFmt w:val="bullet"/>
      <w:lvlText w:val="•"/>
      <w:lvlJc w:val="left"/>
      <w:pPr>
        <w:ind w:left="6293" w:hanging="341"/>
      </w:pPr>
      <w:rPr>
        <w:rFonts w:hint="default"/>
        <w:lang w:val="en-us" w:eastAsia="en-US" w:bidi="ar-SA"/>
      </w:rPr>
    </w:lvl>
    <w:lvl w:ilvl="7">
      <w:start w:val="0"/>
      <w:numFmt w:val="bullet"/>
      <w:lvlText w:val="•"/>
      <w:lvlJc w:val="left"/>
      <w:pPr>
        <w:ind w:left="7346" w:hanging="341"/>
      </w:pPr>
      <w:rPr>
        <w:rFonts w:hint="default"/>
        <w:lang w:val="en-us" w:eastAsia="en-US" w:bidi="ar-SA"/>
      </w:rPr>
    </w:lvl>
    <w:lvl w:ilvl="8">
      <w:start w:val="0"/>
      <w:numFmt w:val="bullet"/>
      <w:lvlText w:val="•"/>
      <w:lvlJc w:val="left"/>
      <w:pPr>
        <w:ind w:left="8399" w:hanging="341"/>
      </w:pPr>
      <w:rPr>
        <w:rFonts w:hint="default"/>
        <w:lang w:val="en-us" w:eastAsia="en-US" w:bidi="ar-SA"/>
      </w:rPr>
    </w:lvl>
  </w:abstractNum>
  <w:abstractNum w:abstractNumId="16">
    <w:multiLevelType w:val="hybridMultilevel"/>
    <w:lvl w:ilvl="0">
      <w:start w:val="3"/>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15">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14">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13">
    <w:multiLevelType w:val="hybridMultilevel"/>
    <w:lvl w:ilvl="0">
      <w:start w:val="32"/>
      <w:numFmt w:val="decimal"/>
      <w:lvlText w:val="%1"/>
      <w:lvlJc w:val="left"/>
      <w:pPr>
        <w:ind w:left="922" w:hanging="200"/>
        <w:jc w:val="left"/>
      </w:pPr>
      <w:rPr>
        <w:rFonts w:hint="default" w:ascii="Arial" w:hAnsi="Arial" w:eastAsia="Arial" w:cs="Arial"/>
        <w:spacing w:val="-1"/>
        <w:w w:val="99"/>
        <w:position w:val="8"/>
        <w:sz w:val="14"/>
        <w:szCs w:val="14"/>
        <w:lang w:val="en-us" w:eastAsia="en-US" w:bidi="ar-SA"/>
      </w:rPr>
    </w:lvl>
    <w:lvl w:ilvl="1">
      <w:start w:val="1"/>
      <w:numFmt w:val="lowerLetter"/>
      <w:lvlText w:val="%2."/>
      <w:lvlJc w:val="left"/>
      <w:pPr>
        <w:ind w:left="2084" w:hanging="341"/>
        <w:jc w:val="left"/>
      </w:pPr>
      <w:rPr>
        <w:rFonts w:hint="default" w:ascii="Arial" w:hAnsi="Arial" w:eastAsia="Arial" w:cs="Arial"/>
        <w:spacing w:val="-1"/>
        <w:w w:val="99"/>
        <w:sz w:val="20"/>
        <w:szCs w:val="20"/>
        <w:lang w:val="en-us" w:eastAsia="en-US" w:bidi="ar-SA"/>
      </w:rPr>
    </w:lvl>
    <w:lvl w:ilvl="2">
      <w:start w:val="1"/>
      <w:numFmt w:val="lowerRoman"/>
      <w:lvlText w:val="%3."/>
      <w:lvlJc w:val="left"/>
      <w:pPr>
        <w:ind w:left="2763" w:hanging="327"/>
        <w:jc w:val="right"/>
      </w:pPr>
      <w:rPr>
        <w:rFonts w:hint="default" w:ascii="Arial" w:hAnsi="Arial" w:eastAsia="Arial" w:cs="Arial"/>
        <w:spacing w:val="-2"/>
        <w:w w:val="99"/>
        <w:sz w:val="20"/>
        <w:szCs w:val="20"/>
        <w:lang w:val="en-us" w:eastAsia="en-US" w:bidi="ar-SA"/>
      </w:rPr>
    </w:lvl>
    <w:lvl w:ilvl="3">
      <w:start w:val="0"/>
      <w:numFmt w:val="bullet"/>
      <w:lvlText w:val="•"/>
      <w:lvlJc w:val="left"/>
      <w:pPr>
        <w:ind w:left="3728" w:hanging="327"/>
      </w:pPr>
      <w:rPr>
        <w:rFonts w:hint="default"/>
        <w:lang w:val="en-us" w:eastAsia="en-US" w:bidi="ar-SA"/>
      </w:rPr>
    </w:lvl>
    <w:lvl w:ilvl="4">
      <w:start w:val="0"/>
      <w:numFmt w:val="bullet"/>
      <w:lvlText w:val="•"/>
      <w:lvlJc w:val="left"/>
      <w:pPr>
        <w:ind w:left="4696" w:hanging="327"/>
      </w:pPr>
      <w:rPr>
        <w:rFonts w:hint="default"/>
        <w:lang w:val="en-us" w:eastAsia="en-US" w:bidi="ar-SA"/>
      </w:rPr>
    </w:lvl>
    <w:lvl w:ilvl="5">
      <w:start w:val="0"/>
      <w:numFmt w:val="bullet"/>
      <w:lvlText w:val="•"/>
      <w:lvlJc w:val="left"/>
      <w:pPr>
        <w:ind w:left="5664" w:hanging="327"/>
      </w:pPr>
      <w:rPr>
        <w:rFonts w:hint="default"/>
        <w:lang w:val="en-us" w:eastAsia="en-US" w:bidi="ar-SA"/>
      </w:rPr>
    </w:lvl>
    <w:lvl w:ilvl="6">
      <w:start w:val="0"/>
      <w:numFmt w:val="bullet"/>
      <w:lvlText w:val="•"/>
      <w:lvlJc w:val="left"/>
      <w:pPr>
        <w:ind w:left="6633" w:hanging="327"/>
      </w:pPr>
      <w:rPr>
        <w:rFonts w:hint="default"/>
        <w:lang w:val="en-us" w:eastAsia="en-US" w:bidi="ar-SA"/>
      </w:rPr>
    </w:lvl>
    <w:lvl w:ilvl="7">
      <w:start w:val="0"/>
      <w:numFmt w:val="bullet"/>
      <w:lvlText w:val="•"/>
      <w:lvlJc w:val="left"/>
      <w:pPr>
        <w:ind w:left="7601" w:hanging="327"/>
      </w:pPr>
      <w:rPr>
        <w:rFonts w:hint="default"/>
        <w:lang w:val="en-us" w:eastAsia="en-US" w:bidi="ar-SA"/>
      </w:rPr>
    </w:lvl>
    <w:lvl w:ilvl="8">
      <w:start w:val="0"/>
      <w:numFmt w:val="bullet"/>
      <w:lvlText w:val="•"/>
      <w:lvlJc w:val="left"/>
      <w:pPr>
        <w:ind w:left="8569" w:hanging="327"/>
      </w:pPr>
      <w:rPr>
        <w:rFonts w:hint="default"/>
        <w:lang w:val="en-us" w:eastAsia="en-US" w:bidi="ar-SA"/>
      </w:rPr>
    </w:lvl>
  </w:abstractNum>
  <w:abstractNum w:abstractNumId="12">
    <w:multiLevelType w:val="hybridMultilevel"/>
    <w:lvl w:ilvl="0">
      <w:start w:val="134"/>
      <w:numFmt w:val="decimal"/>
      <w:lvlText w:val="%1."/>
      <w:lvlJc w:val="left"/>
      <w:pPr>
        <w:ind w:left="723" w:hanging="720"/>
        <w:jc w:val="left"/>
      </w:pPr>
      <w:rPr>
        <w:rFonts w:hint="default"/>
        <w:spacing w:val="-1"/>
        <w:w w:val="99"/>
        <w:lang w:val="en-us" w:eastAsia="en-US" w:bidi="ar-SA"/>
      </w:rPr>
    </w:lvl>
    <w:lvl w:ilvl="1">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2">
      <w:start w:val="0"/>
      <w:numFmt w:val="bullet"/>
      <w:lvlText w:val="o"/>
      <w:lvlJc w:val="left"/>
      <w:pPr>
        <w:ind w:left="2504" w:hanging="360"/>
      </w:pPr>
      <w:rPr>
        <w:rFonts w:hint="default" w:ascii="Courier New" w:hAnsi="Courier New" w:eastAsia="Courier New" w:cs="Courier New"/>
        <w:w w:val="99"/>
        <w:sz w:val="20"/>
        <w:szCs w:val="20"/>
        <w:lang w:val="en-us" w:eastAsia="en-US" w:bidi="ar-SA"/>
      </w:rPr>
    </w:lvl>
    <w:lvl w:ilvl="3">
      <w:start w:val="0"/>
      <w:numFmt w:val="bullet"/>
      <w:lvlText w:val="•"/>
      <w:lvlJc w:val="left"/>
      <w:pPr>
        <w:ind w:left="1780" w:hanging="360"/>
      </w:pPr>
      <w:rPr>
        <w:rFonts w:hint="default"/>
        <w:lang w:val="en-us" w:eastAsia="en-US" w:bidi="ar-SA"/>
      </w:rPr>
    </w:lvl>
    <w:lvl w:ilvl="4">
      <w:start w:val="0"/>
      <w:numFmt w:val="bullet"/>
      <w:lvlText w:val="•"/>
      <w:lvlJc w:val="left"/>
      <w:pPr>
        <w:ind w:left="2380" w:hanging="360"/>
      </w:pPr>
      <w:rPr>
        <w:rFonts w:hint="default"/>
        <w:lang w:val="en-us" w:eastAsia="en-US" w:bidi="ar-SA"/>
      </w:rPr>
    </w:lvl>
    <w:lvl w:ilvl="5">
      <w:start w:val="0"/>
      <w:numFmt w:val="bullet"/>
      <w:lvlText w:val="•"/>
      <w:lvlJc w:val="left"/>
      <w:pPr>
        <w:ind w:left="2500" w:hanging="360"/>
      </w:pPr>
      <w:rPr>
        <w:rFonts w:hint="default"/>
        <w:lang w:val="en-us" w:eastAsia="en-US" w:bidi="ar-SA"/>
      </w:rPr>
    </w:lvl>
    <w:lvl w:ilvl="6">
      <w:start w:val="0"/>
      <w:numFmt w:val="bullet"/>
      <w:lvlText w:val="•"/>
      <w:lvlJc w:val="left"/>
      <w:pPr>
        <w:ind w:left="4101" w:hanging="360"/>
      </w:pPr>
      <w:rPr>
        <w:rFonts w:hint="default"/>
        <w:lang w:val="en-us" w:eastAsia="en-US" w:bidi="ar-SA"/>
      </w:rPr>
    </w:lvl>
    <w:lvl w:ilvl="7">
      <w:start w:val="0"/>
      <w:numFmt w:val="bullet"/>
      <w:lvlText w:val="•"/>
      <w:lvlJc w:val="left"/>
      <w:pPr>
        <w:ind w:left="5702" w:hanging="360"/>
      </w:pPr>
      <w:rPr>
        <w:rFonts w:hint="default"/>
        <w:lang w:val="en-us" w:eastAsia="en-US" w:bidi="ar-SA"/>
      </w:rPr>
    </w:lvl>
    <w:lvl w:ilvl="8">
      <w:start w:val="0"/>
      <w:numFmt w:val="bullet"/>
      <w:lvlText w:val="•"/>
      <w:lvlJc w:val="left"/>
      <w:pPr>
        <w:ind w:left="7303" w:hanging="360"/>
      </w:pPr>
      <w:rPr>
        <w:rFonts w:hint="default"/>
        <w:lang w:val="en-us" w:eastAsia="en-US" w:bidi="ar-SA"/>
      </w:rPr>
    </w:lvl>
  </w:abstractNum>
  <w:abstractNum w:abstractNumId="11">
    <w:multiLevelType w:val="hybridMultilevel"/>
    <w:lvl w:ilvl="0">
      <w:start w:val="1"/>
      <w:numFmt w:val="lowerRoman"/>
      <w:lvlText w:val="%1."/>
      <w:lvlJc w:val="left"/>
      <w:pPr>
        <w:ind w:left="856" w:hanging="461"/>
        <w:jc w:val="left"/>
      </w:pPr>
      <w:rPr>
        <w:rFonts w:hint="default" w:ascii="Arial" w:hAnsi="Arial" w:eastAsia="Arial" w:cs="Arial"/>
        <w:spacing w:val="-2"/>
        <w:w w:val="99"/>
        <w:sz w:val="20"/>
        <w:szCs w:val="20"/>
        <w:lang w:val="en-us" w:eastAsia="en-US" w:bidi="ar-SA"/>
      </w:rPr>
    </w:lvl>
    <w:lvl w:ilvl="1">
      <w:start w:val="0"/>
      <w:numFmt w:val="bullet"/>
      <w:lvlText w:val="•"/>
      <w:lvlJc w:val="left"/>
      <w:pPr>
        <w:ind w:left="1704" w:hanging="461"/>
      </w:pPr>
      <w:rPr>
        <w:rFonts w:hint="default"/>
        <w:lang w:val="en-us" w:eastAsia="en-US" w:bidi="ar-SA"/>
      </w:rPr>
    </w:lvl>
    <w:lvl w:ilvl="2">
      <w:start w:val="0"/>
      <w:numFmt w:val="bullet"/>
      <w:lvlText w:val="•"/>
      <w:lvlJc w:val="left"/>
      <w:pPr>
        <w:ind w:left="2548" w:hanging="461"/>
      </w:pPr>
      <w:rPr>
        <w:rFonts w:hint="default"/>
        <w:lang w:val="en-us" w:eastAsia="en-US" w:bidi="ar-SA"/>
      </w:rPr>
    </w:lvl>
    <w:lvl w:ilvl="3">
      <w:start w:val="0"/>
      <w:numFmt w:val="bullet"/>
      <w:lvlText w:val="•"/>
      <w:lvlJc w:val="left"/>
      <w:pPr>
        <w:ind w:left="3392" w:hanging="461"/>
      </w:pPr>
      <w:rPr>
        <w:rFonts w:hint="default"/>
        <w:lang w:val="en-us" w:eastAsia="en-US" w:bidi="ar-SA"/>
      </w:rPr>
    </w:lvl>
    <w:lvl w:ilvl="4">
      <w:start w:val="0"/>
      <w:numFmt w:val="bullet"/>
      <w:lvlText w:val="•"/>
      <w:lvlJc w:val="left"/>
      <w:pPr>
        <w:ind w:left="4236" w:hanging="461"/>
      </w:pPr>
      <w:rPr>
        <w:rFonts w:hint="default"/>
        <w:lang w:val="en-us" w:eastAsia="en-US" w:bidi="ar-SA"/>
      </w:rPr>
    </w:lvl>
    <w:lvl w:ilvl="5">
      <w:start w:val="0"/>
      <w:numFmt w:val="bullet"/>
      <w:lvlText w:val="•"/>
      <w:lvlJc w:val="left"/>
      <w:pPr>
        <w:ind w:left="5080" w:hanging="461"/>
      </w:pPr>
      <w:rPr>
        <w:rFonts w:hint="default"/>
        <w:lang w:val="en-us" w:eastAsia="en-US" w:bidi="ar-SA"/>
      </w:rPr>
    </w:lvl>
    <w:lvl w:ilvl="6">
      <w:start w:val="0"/>
      <w:numFmt w:val="bullet"/>
      <w:lvlText w:val="•"/>
      <w:lvlJc w:val="left"/>
      <w:pPr>
        <w:ind w:left="5924" w:hanging="461"/>
      </w:pPr>
      <w:rPr>
        <w:rFonts w:hint="default"/>
        <w:lang w:val="en-us" w:eastAsia="en-US" w:bidi="ar-SA"/>
      </w:rPr>
    </w:lvl>
    <w:lvl w:ilvl="7">
      <w:start w:val="0"/>
      <w:numFmt w:val="bullet"/>
      <w:lvlText w:val="•"/>
      <w:lvlJc w:val="left"/>
      <w:pPr>
        <w:ind w:left="6769" w:hanging="461"/>
      </w:pPr>
      <w:rPr>
        <w:rFonts w:hint="default"/>
        <w:lang w:val="en-us" w:eastAsia="en-US" w:bidi="ar-SA"/>
      </w:rPr>
    </w:lvl>
    <w:lvl w:ilvl="8">
      <w:start w:val="0"/>
      <w:numFmt w:val="bullet"/>
      <w:lvlText w:val="•"/>
      <w:lvlJc w:val="left"/>
      <w:pPr>
        <w:ind w:left="7613" w:hanging="461"/>
      </w:pPr>
      <w:rPr>
        <w:rFonts w:hint="default"/>
        <w:lang w:val="en-us" w:eastAsia="en-US" w:bidi="ar-SA"/>
      </w:rPr>
    </w:lvl>
  </w:abstractNum>
  <w:abstractNum w:abstractNumId="10">
    <w:multiLevelType w:val="hybridMultilevel"/>
    <w:lvl w:ilvl="0">
      <w:start w:val="0"/>
      <w:numFmt w:val="bullet"/>
      <w:lvlText w:val=""/>
      <w:lvlJc w:val="left"/>
      <w:pPr>
        <w:ind w:left="815"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1668" w:hanging="339"/>
      </w:pPr>
      <w:rPr>
        <w:rFonts w:hint="default"/>
        <w:lang w:val="en-us" w:eastAsia="en-US" w:bidi="ar-SA"/>
      </w:rPr>
    </w:lvl>
    <w:lvl w:ilvl="2">
      <w:start w:val="0"/>
      <w:numFmt w:val="bullet"/>
      <w:lvlText w:val="•"/>
      <w:lvlJc w:val="left"/>
      <w:pPr>
        <w:ind w:left="2516" w:hanging="339"/>
      </w:pPr>
      <w:rPr>
        <w:rFonts w:hint="default"/>
        <w:lang w:val="en-us" w:eastAsia="en-US" w:bidi="ar-SA"/>
      </w:rPr>
    </w:lvl>
    <w:lvl w:ilvl="3">
      <w:start w:val="0"/>
      <w:numFmt w:val="bullet"/>
      <w:lvlText w:val="•"/>
      <w:lvlJc w:val="left"/>
      <w:pPr>
        <w:ind w:left="3364" w:hanging="339"/>
      </w:pPr>
      <w:rPr>
        <w:rFonts w:hint="default"/>
        <w:lang w:val="en-us" w:eastAsia="en-US" w:bidi="ar-SA"/>
      </w:rPr>
    </w:lvl>
    <w:lvl w:ilvl="4">
      <w:start w:val="0"/>
      <w:numFmt w:val="bullet"/>
      <w:lvlText w:val="•"/>
      <w:lvlJc w:val="left"/>
      <w:pPr>
        <w:ind w:left="4212" w:hanging="339"/>
      </w:pPr>
      <w:rPr>
        <w:rFonts w:hint="default"/>
        <w:lang w:val="en-us" w:eastAsia="en-US" w:bidi="ar-SA"/>
      </w:rPr>
    </w:lvl>
    <w:lvl w:ilvl="5">
      <w:start w:val="0"/>
      <w:numFmt w:val="bullet"/>
      <w:lvlText w:val="•"/>
      <w:lvlJc w:val="left"/>
      <w:pPr>
        <w:ind w:left="5060" w:hanging="339"/>
      </w:pPr>
      <w:rPr>
        <w:rFonts w:hint="default"/>
        <w:lang w:val="en-us" w:eastAsia="en-US" w:bidi="ar-SA"/>
      </w:rPr>
    </w:lvl>
    <w:lvl w:ilvl="6">
      <w:start w:val="0"/>
      <w:numFmt w:val="bullet"/>
      <w:lvlText w:val="•"/>
      <w:lvlJc w:val="left"/>
      <w:pPr>
        <w:ind w:left="5908" w:hanging="339"/>
      </w:pPr>
      <w:rPr>
        <w:rFonts w:hint="default"/>
        <w:lang w:val="en-us" w:eastAsia="en-US" w:bidi="ar-SA"/>
      </w:rPr>
    </w:lvl>
    <w:lvl w:ilvl="7">
      <w:start w:val="0"/>
      <w:numFmt w:val="bullet"/>
      <w:lvlText w:val="•"/>
      <w:lvlJc w:val="left"/>
      <w:pPr>
        <w:ind w:left="6757" w:hanging="339"/>
      </w:pPr>
      <w:rPr>
        <w:rFonts w:hint="default"/>
        <w:lang w:val="en-us" w:eastAsia="en-US" w:bidi="ar-SA"/>
      </w:rPr>
    </w:lvl>
    <w:lvl w:ilvl="8">
      <w:start w:val="0"/>
      <w:numFmt w:val="bullet"/>
      <w:lvlText w:val="•"/>
      <w:lvlJc w:val="left"/>
      <w:pPr>
        <w:ind w:left="7605" w:hanging="339"/>
      </w:pPr>
      <w:rPr>
        <w:rFonts w:hint="default"/>
        <w:lang w:val="en-us" w:eastAsia="en-US" w:bidi="ar-SA"/>
      </w:rPr>
    </w:lvl>
  </w:abstractNum>
  <w:abstractNum w:abstractNumId="9">
    <w:multiLevelType w:val="hybridMultilevel"/>
    <w:lvl w:ilvl="0">
      <w:start w:val="0"/>
      <w:numFmt w:val="bullet"/>
      <w:lvlText w:val=""/>
      <w:lvlJc w:val="left"/>
      <w:pPr>
        <w:ind w:left="815"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1668" w:hanging="339"/>
      </w:pPr>
      <w:rPr>
        <w:rFonts w:hint="default"/>
        <w:lang w:val="en-us" w:eastAsia="en-US" w:bidi="ar-SA"/>
      </w:rPr>
    </w:lvl>
    <w:lvl w:ilvl="2">
      <w:start w:val="0"/>
      <w:numFmt w:val="bullet"/>
      <w:lvlText w:val="•"/>
      <w:lvlJc w:val="left"/>
      <w:pPr>
        <w:ind w:left="2516" w:hanging="339"/>
      </w:pPr>
      <w:rPr>
        <w:rFonts w:hint="default"/>
        <w:lang w:val="en-us" w:eastAsia="en-US" w:bidi="ar-SA"/>
      </w:rPr>
    </w:lvl>
    <w:lvl w:ilvl="3">
      <w:start w:val="0"/>
      <w:numFmt w:val="bullet"/>
      <w:lvlText w:val="•"/>
      <w:lvlJc w:val="left"/>
      <w:pPr>
        <w:ind w:left="3364" w:hanging="339"/>
      </w:pPr>
      <w:rPr>
        <w:rFonts w:hint="default"/>
        <w:lang w:val="en-us" w:eastAsia="en-US" w:bidi="ar-SA"/>
      </w:rPr>
    </w:lvl>
    <w:lvl w:ilvl="4">
      <w:start w:val="0"/>
      <w:numFmt w:val="bullet"/>
      <w:lvlText w:val="•"/>
      <w:lvlJc w:val="left"/>
      <w:pPr>
        <w:ind w:left="4212" w:hanging="339"/>
      </w:pPr>
      <w:rPr>
        <w:rFonts w:hint="default"/>
        <w:lang w:val="en-us" w:eastAsia="en-US" w:bidi="ar-SA"/>
      </w:rPr>
    </w:lvl>
    <w:lvl w:ilvl="5">
      <w:start w:val="0"/>
      <w:numFmt w:val="bullet"/>
      <w:lvlText w:val="•"/>
      <w:lvlJc w:val="left"/>
      <w:pPr>
        <w:ind w:left="5060" w:hanging="339"/>
      </w:pPr>
      <w:rPr>
        <w:rFonts w:hint="default"/>
        <w:lang w:val="en-us" w:eastAsia="en-US" w:bidi="ar-SA"/>
      </w:rPr>
    </w:lvl>
    <w:lvl w:ilvl="6">
      <w:start w:val="0"/>
      <w:numFmt w:val="bullet"/>
      <w:lvlText w:val="•"/>
      <w:lvlJc w:val="left"/>
      <w:pPr>
        <w:ind w:left="5908" w:hanging="339"/>
      </w:pPr>
      <w:rPr>
        <w:rFonts w:hint="default"/>
        <w:lang w:val="en-us" w:eastAsia="en-US" w:bidi="ar-SA"/>
      </w:rPr>
    </w:lvl>
    <w:lvl w:ilvl="7">
      <w:start w:val="0"/>
      <w:numFmt w:val="bullet"/>
      <w:lvlText w:val="•"/>
      <w:lvlJc w:val="left"/>
      <w:pPr>
        <w:ind w:left="6757" w:hanging="339"/>
      </w:pPr>
      <w:rPr>
        <w:rFonts w:hint="default"/>
        <w:lang w:val="en-us" w:eastAsia="en-US" w:bidi="ar-SA"/>
      </w:rPr>
    </w:lvl>
    <w:lvl w:ilvl="8">
      <w:start w:val="0"/>
      <w:numFmt w:val="bullet"/>
      <w:lvlText w:val="•"/>
      <w:lvlJc w:val="left"/>
      <w:pPr>
        <w:ind w:left="7605" w:hanging="339"/>
      </w:pPr>
      <w:rPr>
        <w:rFonts w:hint="default"/>
        <w:lang w:val="en-us" w:eastAsia="en-US" w:bidi="ar-SA"/>
      </w:rPr>
    </w:lvl>
  </w:abstractNum>
  <w:abstractNum w:abstractNumId="8">
    <w:multiLevelType w:val="hybridMultilevel"/>
    <w:lvl w:ilvl="0">
      <w:start w:val="1"/>
      <w:numFmt w:val="lowerRoman"/>
      <w:lvlText w:val="(%1)"/>
      <w:lvlJc w:val="left"/>
      <w:pPr>
        <w:ind w:left="1838" w:hanging="569"/>
        <w:jc w:val="left"/>
      </w:pPr>
      <w:rPr>
        <w:rFonts w:hint="default" w:ascii="Arial" w:hAnsi="Arial" w:eastAsia="Arial" w:cs="Arial"/>
        <w:spacing w:val="-2"/>
        <w:w w:val="99"/>
        <w:sz w:val="20"/>
        <w:szCs w:val="20"/>
        <w:lang w:val="en-us" w:eastAsia="en-US" w:bidi="ar-SA"/>
      </w:rPr>
    </w:lvl>
    <w:lvl w:ilvl="1">
      <w:start w:val="0"/>
      <w:numFmt w:val="bullet"/>
      <w:lvlText w:val="•"/>
      <w:lvlJc w:val="left"/>
      <w:pPr>
        <w:ind w:left="2586" w:hanging="569"/>
      </w:pPr>
      <w:rPr>
        <w:rFonts w:hint="default"/>
        <w:lang w:val="en-us" w:eastAsia="en-US" w:bidi="ar-SA"/>
      </w:rPr>
    </w:lvl>
    <w:lvl w:ilvl="2">
      <w:start w:val="0"/>
      <w:numFmt w:val="bullet"/>
      <w:lvlText w:val="•"/>
      <w:lvlJc w:val="left"/>
      <w:pPr>
        <w:ind w:left="3332" w:hanging="569"/>
      </w:pPr>
      <w:rPr>
        <w:rFonts w:hint="default"/>
        <w:lang w:val="en-us" w:eastAsia="en-US" w:bidi="ar-SA"/>
      </w:rPr>
    </w:lvl>
    <w:lvl w:ilvl="3">
      <w:start w:val="0"/>
      <w:numFmt w:val="bullet"/>
      <w:lvlText w:val="•"/>
      <w:lvlJc w:val="left"/>
      <w:pPr>
        <w:ind w:left="4078" w:hanging="569"/>
      </w:pPr>
      <w:rPr>
        <w:rFonts w:hint="default"/>
        <w:lang w:val="en-us" w:eastAsia="en-US" w:bidi="ar-SA"/>
      </w:rPr>
    </w:lvl>
    <w:lvl w:ilvl="4">
      <w:start w:val="0"/>
      <w:numFmt w:val="bullet"/>
      <w:lvlText w:val="•"/>
      <w:lvlJc w:val="left"/>
      <w:pPr>
        <w:ind w:left="4824" w:hanging="569"/>
      </w:pPr>
      <w:rPr>
        <w:rFonts w:hint="default"/>
        <w:lang w:val="en-us" w:eastAsia="en-US" w:bidi="ar-SA"/>
      </w:rPr>
    </w:lvl>
    <w:lvl w:ilvl="5">
      <w:start w:val="0"/>
      <w:numFmt w:val="bullet"/>
      <w:lvlText w:val="•"/>
      <w:lvlJc w:val="left"/>
      <w:pPr>
        <w:ind w:left="5570" w:hanging="569"/>
      </w:pPr>
      <w:rPr>
        <w:rFonts w:hint="default"/>
        <w:lang w:val="en-us" w:eastAsia="en-US" w:bidi="ar-SA"/>
      </w:rPr>
    </w:lvl>
    <w:lvl w:ilvl="6">
      <w:start w:val="0"/>
      <w:numFmt w:val="bullet"/>
      <w:lvlText w:val="•"/>
      <w:lvlJc w:val="left"/>
      <w:pPr>
        <w:ind w:left="6316" w:hanging="569"/>
      </w:pPr>
      <w:rPr>
        <w:rFonts w:hint="default"/>
        <w:lang w:val="en-us" w:eastAsia="en-US" w:bidi="ar-SA"/>
      </w:rPr>
    </w:lvl>
    <w:lvl w:ilvl="7">
      <w:start w:val="0"/>
      <w:numFmt w:val="bullet"/>
      <w:lvlText w:val="•"/>
      <w:lvlJc w:val="left"/>
      <w:pPr>
        <w:ind w:left="7063" w:hanging="569"/>
      </w:pPr>
      <w:rPr>
        <w:rFonts w:hint="default"/>
        <w:lang w:val="en-us" w:eastAsia="en-US" w:bidi="ar-SA"/>
      </w:rPr>
    </w:lvl>
    <w:lvl w:ilvl="8">
      <w:start w:val="0"/>
      <w:numFmt w:val="bullet"/>
      <w:lvlText w:val="•"/>
      <w:lvlJc w:val="left"/>
      <w:pPr>
        <w:ind w:left="7809" w:hanging="569"/>
      </w:pPr>
      <w:rPr>
        <w:rFonts w:hint="default"/>
        <w:lang w:val="en-us" w:eastAsia="en-US" w:bidi="ar-SA"/>
      </w:rPr>
    </w:lvl>
  </w:abstractNum>
  <w:abstractNum w:abstractNumId="7">
    <w:multiLevelType w:val="hybridMultilevel"/>
    <w:lvl w:ilvl="0">
      <w:start w:val="0"/>
      <w:numFmt w:val="bullet"/>
      <w:lvlText w:val=""/>
      <w:lvlJc w:val="left"/>
      <w:pPr>
        <w:ind w:left="818" w:hanging="339"/>
      </w:pPr>
      <w:rPr>
        <w:rFonts w:hint="default" w:ascii="Symbol" w:hAnsi="Symbol" w:eastAsia="Symbol" w:cs="Symbol"/>
        <w:color w:val="4E81BD"/>
        <w:w w:val="99"/>
        <w:sz w:val="20"/>
        <w:szCs w:val="20"/>
        <w:lang w:val="en-us" w:eastAsia="en-US" w:bidi="ar-SA"/>
      </w:rPr>
    </w:lvl>
    <w:lvl w:ilvl="1">
      <w:start w:val="0"/>
      <w:numFmt w:val="bullet"/>
      <w:lvlText w:val="o"/>
      <w:lvlJc w:val="left"/>
      <w:pPr>
        <w:ind w:left="1159" w:hanging="341"/>
      </w:pPr>
      <w:rPr>
        <w:rFonts w:hint="default" w:ascii="Courier New" w:hAnsi="Courier New" w:eastAsia="Courier New" w:cs="Courier New"/>
        <w:w w:val="99"/>
        <w:sz w:val="20"/>
        <w:szCs w:val="20"/>
        <w:lang w:val="en-us" w:eastAsia="en-US" w:bidi="ar-SA"/>
      </w:rPr>
    </w:lvl>
    <w:lvl w:ilvl="2">
      <w:start w:val="0"/>
      <w:numFmt w:val="bullet"/>
      <w:lvlText w:val="•"/>
      <w:lvlJc w:val="left"/>
      <w:pPr>
        <w:ind w:left="2062" w:hanging="341"/>
      </w:pPr>
      <w:rPr>
        <w:rFonts w:hint="default"/>
        <w:lang w:val="en-us" w:eastAsia="en-US" w:bidi="ar-SA"/>
      </w:rPr>
    </w:lvl>
    <w:lvl w:ilvl="3">
      <w:start w:val="0"/>
      <w:numFmt w:val="bullet"/>
      <w:lvlText w:val="•"/>
      <w:lvlJc w:val="left"/>
      <w:pPr>
        <w:ind w:left="2964" w:hanging="341"/>
      </w:pPr>
      <w:rPr>
        <w:rFonts w:hint="default"/>
        <w:lang w:val="en-us" w:eastAsia="en-US" w:bidi="ar-SA"/>
      </w:rPr>
    </w:lvl>
    <w:lvl w:ilvl="4">
      <w:start w:val="0"/>
      <w:numFmt w:val="bullet"/>
      <w:lvlText w:val="•"/>
      <w:lvlJc w:val="left"/>
      <w:pPr>
        <w:ind w:left="3866" w:hanging="341"/>
      </w:pPr>
      <w:rPr>
        <w:rFonts w:hint="default"/>
        <w:lang w:val="en-us" w:eastAsia="en-US" w:bidi="ar-SA"/>
      </w:rPr>
    </w:lvl>
    <w:lvl w:ilvl="5">
      <w:start w:val="0"/>
      <w:numFmt w:val="bullet"/>
      <w:lvlText w:val="•"/>
      <w:lvlJc w:val="left"/>
      <w:pPr>
        <w:ind w:left="4768" w:hanging="341"/>
      </w:pPr>
      <w:rPr>
        <w:rFonts w:hint="default"/>
        <w:lang w:val="en-us" w:eastAsia="en-US" w:bidi="ar-SA"/>
      </w:rPr>
    </w:lvl>
    <w:lvl w:ilvl="6">
      <w:start w:val="0"/>
      <w:numFmt w:val="bullet"/>
      <w:lvlText w:val="•"/>
      <w:lvlJc w:val="left"/>
      <w:pPr>
        <w:ind w:left="5671" w:hanging="341"/>
      </w:pPr>
      <w:rPr>
        <w:rFonts w:hint="default"/>
        <w:lang w:val="en-us" w:eastAsia="en-US" w:bidi="ar-SA"/>
      </w:rPr>
    </w:lvl>
    <w:lvl w:ilvl="7">
      <w:start w:val="0"/>
      <w:numFmt w:val="bullet"/>
      <w:lvlText w:val="•"/>
      <w:lvlJc w:val="left"/>
      <w:pPr>
        <w:ind w:left="6573" w:hanging="341"/>
      </w:pPr>
      <w:rPr>
        <w:rFonts w:hint="default"/>
        <w:lang w:val="en-us" w:eastAsia="en-US" w:bidi="ar-SA"/>
      </w:rPr>
    </w:lvl>
    <w:lvl w:ilvl="8">
      <w:start w:val="0"/>
      <w:numFmt w:val="bullet"/>
      <w:lvlText w:val="•"/>
      <w:lvlJc w:val="left"/>
      <w:pPr>
        <w:ind w:left="7475" w:hanging="341"/>
      </w:pPr>
      <w:rPr>
        <w:rFonts w:hint="default"/>
        <w:lang w:val="en-us" w:eastAsia="en-US" w:bidi="ar-SA"/>
      </w:rPr>
    </w:lvl>
  </w:abstractNum>
  <w:abstractNum w:abstractNumId="6">
    <w:multiLevelType w:val="hybridMultilevel"/>
    <w:lvl w:ilvl="0">
      <w:start w:val="2"/>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5">
    <w:multiLevelType w:val="hybridMultilevel"/>
    <w:lvl w:ilvl="0">
      <w:start w:val="1"/>
      <w:numFmt w:val="decimal"/>
      <w:lvlText w:val="%1."/>
      <w:lvlJc w:val="left"/>
      <w:pPr>
        <w:ind w:left="303" w:hanging="180"/>
        <w:jc w:val="left"/>
      </w:pPr>
      <w:rPr>
        <w:rFonts w:hint="default" w:ascii="Arial Narrow" w:hAnsi="Arial Narrow" w:eastAsia="Arial Narrow" w:cs="Arial Narrow"/>
        <w:b/>
        <w:bCs/>
        <w:color w:val="949494"/>
        <w:spacing w:val="-1"/>
        <w:w w:val="99"/>
        <w:sz w:val="20"/>
        <w:szCs w:val="20"/>
        <w:lang w:val="en-us" w:eastAsia="en-US" w:bidi="ar-SA"/>
      </w:rPr>
    </w:lvl>
    <w:lvl w:ilvl="1">
      <w:start w:val="0"/>
      <w:numFmt w:val="bullet"/>
      <w:lvlText w:val="•"/>
      <w:lvlJc w:val="left"/>
      <w:pPr>
        <w:ind w:left="709" w:hanging="180"/>
      </w:pPr>
      <w:rPr>
        <w:rFonts w:hint="default"/>
        <w:lang w:val="en-us" w:eastAsia="en-US" w:bidi="ar-SA"/>
      </w:rPr>
    </w:lvl>
    <w:lvl w:ilvl="2">
      <w:start w:val="0"/>
      <w:numFmt w:val="bullet"/>
      <w:lvlText w:val="•"/>
      <w:lvlJc w:val="left"/>
      <w:pPr>
        <w:ind w:left="1118" w:hanging="180"/>
      </w:pPr>
      <w:rPr>
        <w:rFonts w:hint="default"/>
        <w:lang w:val="en-us" w:eastAsia="en-US" w:bidi="ar-SA"/>
      </w:rPr>
    </w:lvl>
    <w:lvl w:ilvl="3">
      <w:start w:val="0"/>
      <w:numFmt w:val="bullet"/>
      <w:lvlText w:val="•"/>
      <w:lvlJc w:val="left"/>
      <w:pPr>
        <w:ind w:left="1528" w:hanging="180"/>
      </w:pPr>
      <w:rPr>
        <w:rFonts w:hint="default"/>
        <w:lang w:val="en-us" w:eastAsia="en-US" w:bidi="ar-SA"/>
      </w:rPr>
    </w:lvl>
    <w:lvl w:ilvl="4">
      <w:start w:val="0"/>
      <w:numFmt w:val="bullet"/>
      <w:lvlText w:val="•"/>
      <w:lvlJc w:val="left"/>
      <w:pPr>
        <w:ind w:left="1937" w:hanging="180"/>
      </w:pPr>
      <w:rPr>
        <w:rFonts w:hint="default"/>
        <w:lang w:val="en-us" w:eastAsia="en-US" w:bidi="ar-SA"/>
      </w:rPr>
    </w:lvl>
    <w:lvl w:ilvl="5">
      <w:start w:val="0"/>
      <w:numFmt w:val="bullet"/>
      <w:lvlText w:val="•"/>
      <w:lvlJc w:val="left"/>
      <w:pPr>
        <w:ind w:left="2347" w:hanging="180"/>
      </w:pPr>
      <w:rPr>
        <w:rFonts w:hint="default"/>
        <w:lang w:val="en-us" w:eastAsia="en-US" w:bidi="ar-SA"/>
      </w:rPr>
    </w:lvl>
    <w:lvl w:ilvl="6">
      <w:start w:val="0"/>
      <w:numFmt w:val="bullet"/>
      <w:lvlText w:val="•"/>
      <w:lvlJc w:val="left"/>
      <w:pPr>
        <w:ind w:left="2756" w:hanging="180"/>
      </w:pPr>
      <w:rPr>
        <w:rFonts w:hint="default"/>
        <w:lang w:val="en-us" w:eastAsia="en-US" w:bidi="ar-SA"/>
      </w:rPr>
    </w:lvl>
    <w:lvl w:ilvl="7">
      <w:start w:val="0"/>
      <w:numFmt w:val="bullet"/>
      <w:lvlText w:val="•"/>
      <w:lvlJc w:val="left"/>
      <w:pPr>
        <w:ind w:left="3166" w:hanging="180"/>
      </w:pPr>
      <w:rPr>
        <w:rFonts w:hint="default"/>
        <w:lang w:val="en-us" w:eastAsia="en-US" w:bidi="ar-SA"/>
      </w:rPr>
    </w:lvl>
    <w:lvl w:ilvl="8">
      <w:start w:val="0"/>
      <w:numFmt w:val="bullet"/>
      <w:lvlText w:val="•"/>
      <w:lvlJc w:val="left"/>
      <w:pPr>
        <w:ind w:left="3575" w:hanging="180"/>
      </w:pPr>
      <w:rPr>
        <w:rFonts w:hint="default"/>
        <w:lang w:val="en-us" w:eastAsia="en-US" w:bidi="ar-SA"/>
      </w:rPr>
    </w:lvl>
  </w:abstractNum>
  <w:abstractNum w:abstractNumId="4">
    <w:multiLevelType w:val="hybridMultilevel"/>
    <w:lvl w:ilvl="0">
      <w:start w:val="1"/>
      <w:numFmt w:val="decimal"/>
      <w:lvlText w:val="%1"/>
      <w:lvlJc w:val="left"/>
      <w:pPr>
        <w:ind w:left="723" w:hanging="142"/>
        <w:jc w:val="left"/>
      </w:pPr>
      <w:rPr>
        <w:rFonts w:hint="default" w:ascii="Arial" w:hAnsi="Arial" w:eastAsia="Arial" w:cs="Arial"/>
        <w:w w:val="99"/>
        <w:position w:val="8"/>
        <w:sz w:val="14"/>
        <w:szCs w:val="14"/>
        <w:lang w:val="en-us" w:eastAsia="en-US" w:bidi="ar-SA"/>
      </w:rPr>
    </w:lvl>
    <w:lvl w:ilvl="1">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2">
      <w:start w:val="0"/>
      <w:numFmt w:val="bullet"/>
      <w:lvlText w:val="•"/>
      <w:lvlJc w:val="left"/>
      <w:pPr>
        <w:ind w:left="2220" w:hanging="339"/>
      </w:pPr>
      <w:rPr>
        <w:rFonts w:hint="default"/>
        <w:lang w:val="en-us" w:eastAsia="en-US" w:bidi="ar-SA"/>
      </w:rPr>
    </w:lvl>
    <w:lvl w:ilvl="3">
      <w:start w:val="0"/>
      <w:numFmt w:val="bullet"/>
      <w:lvlText w:val="•"/>
      <w:lvlJc w:val="left"/>
      <w:pPr>
        <w:ind w:left="3255" w:hanging="339"/>
      </w:pPr>
      <w:rPr>
        <w:rFonts w:hint="default"/>
        <w:lang w:val="en-us" w:eastAsia="en-US" w:bidi="ar-SA"/>
      </w:rPr>
    </w:lvl>
    <w:lvl w:ilvl="4">
      <w:start w:val="0"/>
      <w:numFmt w:val="bullet"/>
      <w:lvlText w:val="•"/>
      <w:lvlJc w:val="left"/>
      <w:pPr>
        <w:ind w:left="4291" w:hanging="339"/>
      </w:pPr>
      <w:rPr>
        <w:rFonts w:hint="default"/>
        <w:lang w:val="en-us" w:eastAsia="en-US" w:bidi="ar-SA"/>
      </w:rPr>
    </w:lvl>
    <w:lvl w:ilvl="5">
      <w:start w:val="0"/>
      <w:numFmt w:val="bullet"/>
      <w:lvlText w:val="•"/>
      <w:lvlJc w:val="left"/>
      <w:pPr>
        <w:ind w:left="5327" w:hanging="339"/>
      </w:pPr>
      <w:rPr>
        <w:rFonts w:hint="default"/>
        <w:lang w:val="en-us" w:eastAsia="en-US" w:bidi="ar-SA"/>
      </w:rPr>
    </w:lvl>
    <w:lvl w:ilvl="6">
      <w:start w:val="0"/>
      <w:numFmt w:val="bullet"/>
      <w:lvlText w:val="•"/>
      <w:lvlJc w:val="left"/>
      <w:pPr>
        <w:ind w:left="6363" w:hanging="339"/>
      </w:pPr>
      <w:rPr>
        <w:rFonts w:hint="default"/>
        <w:lang w:val="en-us" w:eastAsia="en-US" w:bidi="ar-SA"/>
      </w:rPr>
    </w:lvl>
    <w:lvl w:ilvl="7">
      <w:start w:val="0"/>
      <w:numFmt w:val="bullet"/>
      <w:lvlText w:val="•"/>
      <w:lvlJc w:val="left"/>
      <w:pPr>
        <w:ind w:left="7399" w:hanging="339"/>
      </w:pPr>
      <w:rPr>
        <w:rFonts w:hint="default"/>
        <w:lang w:val="en-us" w:eastAsia="en-US" w:bidi="ar-SA"/>
      </w:rPr>
    </w:lvl>
    <w:lvl w:ilvl="8">
      <w:start w:val="0"/>
      <w:numFmt w:val="bullet"/>
      <w:lvlText w:val="•"/>
      <w:lvlJc w:val="left"/>
      <w:pPr>
        <w:ind w:left="8434" w:hanging="339"/>
      </w:pPr>
      <w:rPr>
        <w:rFonts w:hint="default"/>
        <w:lang w:val="en-us" w:eastAsia="en-US" w:bidi="ar-SA"/>
      </w:rPr>
    </w:lvl>
  </w:abstractNum>
  <w:abstractNum w:abstractNumId="3">
    <w:multiLevelType w:val="hybridMultilevel"/>
    <w:lvl w:ilvl="0">
      <w:start w:val="1"/>
      <w:numFmt w:val="decimal"/>
      <w:lvlText w:val="%1."/>
      <w:lvlJc w:val="left"/>
      <w:pPr>
        <w:ind w:left="723" w:hanging="72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2">
      <w:start w:val="0"/>
      <w:numFmt w:val="bullet"/>
      <w:lvlText w:val="•"/>
      <w:lvlJc w:val="left"/>
      <w:pPr>
        <w:ind w:left="1540" w:hanging="339"/>
      </w:pPr>
      <w:rPr>
        <w:rFonts w:hint="default"/>
        <w:lang w:val="en-us" w:eastAsia="en-US" w:bidi="ar-SA"/>
      </w:rPr>
    </w:lvl>
    <w:lvl w:ilvl="3">
      <w:start w:val="0"/>
      <w:numFmt w:val="bullet"/>
      <w:lvlText w:val="•"/>
      <w:lvlJc w:val="left"/>
      <w:pPr>
        <w:ind w:left="2660" w:hanging="339"/>
      </w:pPr>
      <w:rPr>
        <w:rFonts w:hint="default"/>
        <w:lang w:val="en-us" w:eastAsia="en-US" w:bidi="ar-SA"/>
      </w:rPr>
    </w:lvl>
    <w:lvl w:ilvl="4">
      <w:start w:val="0"/>
      <w:numFmt w:val="bullet"/>
      <w:lvlText w:val="•"/>
      <w:lvlJc w:val="left"/>
      <w:pPr>
        <w:ind w:left="3781" w:hanging="339"/>
      </w:pPr>
      <w:rPr>
        <w:rFonts w:hint="default"/>
        <w:lang w:val="en-us" w:eastAsia="en-US" w:bidi="ar-SA"/>
      </w:rPr>
    </w:lvl>
    <w:lvl w:ilvl="5">
      <w:start w:val="0"/>
      <w:numFmt w:val="bullet"/>
      <w:lvlText w:val="•"/>
      <w:lvlJc w:val="left"/>
      <w:pPr>
        <w:ind w:left="4902" w:hanging="339"/>
      </w:pPr>
      <w:rPr>
        <w:rFonts w:hint="default"/>
        <w:lang w:val="en-us" w:eastAsia="en-US" w:bidi="ar-SA"/>
      </w:rPr>
    </w:lvl>
    <w:lvl w:ilvl="6">
      <w:start w:val="0"/>
      <w:numFmt w:val="bullet"/>
      <w:lvlText w:val="•"/>
      <w:lvlJc w:val="left"/>
      <w:pPr>
        <w:ind w:left="6023" w:hanging="339"/>
      </w:pPr>
      <w:rPr>
        <w:rFonts w:hint="default"/>
        <w:lang w:val="en-us" w:eastAsia="en-US" w:bidi="ar-SA"/>
      </w:rPr>
    </w:lvl>
    <w:lvl w:ilvl="7">
      <w:start w:val="0"/>
      <w:numFmt w:val="bullet"/>
      <w:lvlText w:val="•"/>
      <w:lvlJc w:val="left"/>
      <w:pPr>
        <w:ind w:left="7144" w:hanging="339"/>
      </w:pPr>
      <w:rPr>
        <w:rFonts w:hint="default"/>
        <w:lang w:val="en-us" w:eastAsia="en-US" w:bidi="ar-SA"/>
      </w:rPr>
    </w:lvl>
    <w:lvl w:ilvl="8">
      <w:start w:val="0"/>
      <w:numFmt w:val="bullet"/>
      <w:lvlText w:val="•"/>
      <w:lvlJc w:val="left"/>
      <w:pPr>
        <w:ind w:left="8264" w:hanging="339"/>
      </w:pPr>
      <w:rPr>
        <w:rFonts w:hint="default"/>
        <w:lang w:val="en-us" w:eastAsia="en-US" w:bidi="ar-SA"/>
      </w:rPr>
    </w:lvl>
  </w:abstractNum>
  <w:abstractNum w:abstractNumId="2">
    <w:multiLevelType w:val="hybridMultilevel"/>
    <w:lvl w:ilvl="0">
      <w:start w:val="1"/>
      <w:numFmt w:val="decimal"/>
      <w:lvlText w:val="%1"/>
      <w:lvlJc w:val="left"/>
      <w:pPr>
        <w:ind w:left="1191" w:hanging="468"/>
        <w:jc w:val="left"/>
      </w:pPr>
      <w:rPr>
        <w:rFonts w:hint="default"/>
        <w:lang w:val="en-us" w:eastAsia="en-US" w:bidi="ar-SA"/>
      </w:rPr>
    </w:lvl>
    <w:lvl w:ilvl="1">
      <w:start w:val="1"/>
      <w:numFmt w:val="decimal"/>
      <w:lvlText w:val="%1.%2."/>
      <w:lvlJc w:val="left"/>
      <w:pPr>
        <w:ind w:left="1191" w:hanging="468"/>
        <w:jc w:val="left"/>
      </w:pPr>
      <w:rPr>
        <w:rFonts w:hint="default" w:ascii="Arial" w:hAnsi="Arial" w:eastAsia="Arial" w:cs="Arial"/>
        <w:b/>
        <w:bCs/>
        <w:color w:val="4E81BD"/>
        <w:w w:val="100"/>
        <w:sz w:val="24"/>
        <w:szCs w:val="24"/>
        <w:lang w:val="en-us" w:eastAsia="en-US" w:bidi="ar-SA"/>
      </w:rPr>
    </w:lvl>
    <w:lvl w:ilvl="2">
      <w:start w:val="1"/>
      <w:numFmt w:val="decimal"/>
      <w:lvlText w:val="%1.%2.%3."/>
      <w:lvlJc w:val="left"/>
      <w:pPr>
        <w:ind w:left="2014" w:hanging="612"/>
        <w:jc w:val="left"/>
      </w:pPr>
      <w:rPr>
        <w:rFonts w:hint="default" w:ascii="Arial" w:hAnsi="Arial" w:eastAsia="Arial" w:cs="Arial"/>
        <w:b/>
        <w:bCs/>
        <w:i/>
        <w:spacing w:val="-3"/>
        <w:w w:val="100"/>
        <w:sz w:val="22"/>
        <w:szCs w:val="22"/>
        <w:lang w:val="en-us" w:eastAsia="en-US" w:bidi="ar-SA"/>
      </w:rPr>
    </w:lvl>
    <w:lvl w:ilvl="3">
      <w:start w:val="0"/>
      <w:numFmt w:val="bullet"/>
      <w:lvlText w:val="•"/>
      <w:lvlJc w:val="left"/>
      <w:pPr>
        <w:ind w:left="3905" w:hanging="612"/>
      </w:pPr>
      <w:rPr>
        <w:rFonts w:hint="default"/>
        <w:lang w:val="en-us" w:eastAsia="en-US" w:bidi="ar-SA"/>
      </w:rPr>
    </w:lvl>
    <w:lvl w:ilvl="4">
      <w:start w:val="0"/>
      <w:numFmt w:val="bullet"/>
      <w:lvlText w:val="•"/>
      <w:lvlJc w:val="left"/>
      <w:pPr>
        <w:ind w:left="4848" w:hanging="612"/>
      </w:pPr>
      <w:rPr>
        <w:rFonts w:hint="default"/>
        <w:lang w:val="en-us" w:eastAsia="en-US" w:bidi="ar-SA"/>
      </w:rPr>
    </w:lvl>
    <w:lvl w:ilvl="5">
      <w:start w:val="0"/>
      <w:numFmt w:val="bullet"/>
      <w:lvlText w:val="•"/>
      <w:lvlJc w:val="left"/>
      <w:pPr>
        <w:ind w:left="5791" w:hanging="612"/>
      </w:pPr>
      <w:rPr>
        <w:rFonts w:hint="default"/>
        <w:lang w:val="en-us" w:eastAsia="en-US" w:bidi="ar-SA"/>
      </w:rPr>
    </w:lvl>
    <w:lvl w:ilvl="6">
      <w:start w:val="0"/>
      <w:numFmt w:val="bullet"/>
      <w:lvlText w:val="•"/>
      <w:lvlJc w:val="left"/>
      <w:pPr>
        <w:ind w:left="6734" w:hanging="612"/>
      </w:pPr>
      <w:rPr>
        <w:rFonts w:hint="default"/>
        <w:lang w:val="en-us" w:eastAsia="en-US" w:bidi="ar-SA"/>
      </w:rPr>
    </w:lvl>
    <w:lvl w:ilvl="7">
      <w:start w:val="0"/>
      <w:numFmt w:val="bullet"/>
      <w:lvlText w:val="•"/>
      <w:lvlJc w:val="left"/>
      <w:pPr>
        <w:ind w:left="7677" w:hanging="612"/>
      </w:pPr>
      <w:rPr>
        <w:rFonts w:hint="default"/>
        <w:lang w:val="en-us" w:eastAsia="en-US" w:bidi="ar-SA"/>
      </w:rPr>
    </w:lvl>
    <w:lvl w:ilvl="8">
      <w:start w:val="0"/>
      <w:numFmt w:val="bullet"/>
      <w:lvlText w:val="•"/>
      <w:lvlJc w:val="left"/>
      <w:pPr>
        <w:ind w:left="8620" w:hanging="612"/>
      </w:pPr>
      <w:rPr>
        <w:rFonts w:hint="default"/>
        <w:lang w:val="en-us" w:eastAsia="en-US" w:bidi="ar-SA"/>
      </w:rPr>
    </w:lvl>
  </w:abstractNum>
  <w:abstractNum w:abstractNumId="1">
    <w:multiLevelType w:val="hybridMultilevel"/>
    <w:lvl w:ilvl="0">
      <w:start w:val="0"/>
      <w:numFmt w:val="bullet"/>
      <w:lvlText w:val=""/>
      <w:lvlJc w:val="left"/>
      <w:pPr>
        <w:ind w:left="1402" w:hanging="339"/>
      </w:pPr>
      <w:rPr>
        <w:rFonts w:hint="default" w:ascii="Symbol" w:hAnsi="Symbol" w:eastAsia="Symbol" w:cs="Symbol"/>
        <w:color w:val="4E81BD"/>
        <w:w w:val="99"/>
        <w:sz w:val="20"/>
        <w:szCs w:val="20"/>
        <w:lang w:val="en-us" w:eastAsia="en-US" w:bidi="ar-SA"/>
      </w:rPr>
    </w:lvl>
    <w:lvl w:ilvl="1">
      <w:start w:val="0"/>
      <w:numFmt w:val="bullet"/>
      <w:lvlText w:val="•"/>
      <w:lvlJc w:val="left"/>
      <w:pPr>
        <w:ind w:left="2310" w:hanging="339"/>
      </w:pPr>
      <w:rPr>
        <w:rFonts w:hint="default"/>
        <w:lang w:val="en-us" w:eastAsia="en-US" w:bidi="ar-SA"/>
      </w:rPr>
    </w:lvl>
    <w:lvl w:ilvl="2">
      <w:start w:val="0"/>
      <w:numFmt w:val="bullet"/>
      <w:lvlText w:val="•"/>
      <w:lvlJc w:val="left"/>
      <w:pPr>
        <w:ind w:left="3221" w:hanging="339"/>
      </w:pPr>
      <w:rPr>
        <w:rFonts w:hint="default"/>
        <w:lang w:val="en-us" w:eastAsia="en-US" w:bidi="ar-SA"/>
      </w:rPr>
    </w:lvl>
    <w:lvl w:ilvl="3">
      <w:start w:val="0"/>
      <w:numFmt w:val="bullet"/>
      <w:lvlText w:val="•"/>
      <w:lvlJc w:val="left"/>
      <w:pPr>
        <w:ind w:left="4131" w:hanging="339"/>
      </w:pPr>
      <w:rPr>
        <w:rFonts w:hint="default"/>
        <w:lang w:val="en-us" w:eastAsia="en-US" w:bidi="ar-SA"/>
      </w:rPr>
    </w:lvl>
    <w:lvl w:ilvl="4">
      <w:start w:val="0"/>
      <w:numFmt w:val="bullet"/>
      <w:lvlText w:val="•"/>
      <w:lvlJc w:val="left"/>
      <w:pPr>
        <w:ind w:left="5042" w:hanging="339"/>
      </w:pPr>
      <w:rPr>
        <w:rFonts w:hint="default"/>
        <w:lang w:val="en-us" w:eastAsia="en-US" w:bidi="ar-SA"/>
      </w:rPr>
    </w:lvl>
    <w:lvl w:ilvl="5">
      <w:start w:val="0"/>
      <w:numFmt w:val="bullet"/>
      <w:lvlText w:val="•"/>
      <w:lvlJc w:val="left"/>
      <w:pPr>
        <w:ind w:left="5953" w:hanging="339"/>
      </w:pPr>
      <w:rPr>
        <w:rFonts w:hint="default"/>
        <w:lang w:val="en-us" w:eastAsia="en-US" w:bidi="ar-SA"/>
      </w:rPr>
    </w:lvl>
    <w:lvl w:ilvl="6">
      <w:start w:val="0"/>
      <w:numFmt w:val="bullet"/>
      <w:lvlText w:val="•"/>
      <w:lvlJc w:val="left"/>
      <w:pPr>
        <w:ind w:left="6863" w:hanging="339"/>
      </w:pPr>
      <w:rPr>
        <w:rFonts w:hint="default"/>
        <w:lang w:val="en-us" w:eastAsia="en-US" w:bidi="ar-SA"/>
      </w:rPr>
    </w:lvl>
    <w:lvl w:ilvl="7">
      <w:start w:val="0"/>
      <w:numFmt w:val="bullet"/>
      <w:lvlText w:val="•"/>
      <w:lvlJc w:val="left"/>
      <w:pPr>
        <w:ind w:left="7774" w:hanging="339"/>
      </w:pPr>
      <w:rPr>
        <w:rFonts w:hint="default"/>
        <w:lang w:val="en-us" w:eastAsia="en-US" w:bidi="ar-SA"/>
      </w:rPr>
    </w:lvl>
    <w:lvl w:ilvl="8">
      <w:start w:val="0"/>
      <w:numFmt w:val="bullet"/>
      <w:lvlText w:val="•"/>
      <w:lvlJc w:val="left"/>
      <w:pPr>
        <w:ind w:left="8685" w:hanging="339"/>
      </w:pPr>
      <w:rPr>
        <w:rFonts w:hint="default"/>
        <w:lang w:val="en-us" w:eastAsia="en-US" w:bidi="ar-SA"/>
      </w:rPr>
    </w:lvl>
  </w:abstractNum>
  <w:abstractNum w:abstractNumId="0">
    <w:multiLevelType w:val="hybridMultilevel"/>
    <w:lvl w:ilvl="0">
      <w:start w:val="1"/>
      <w:numFmt w:val="decimal"/>
      <w:lvlText w:val="%1."/>
      <w:lvlJc w:val="left"/>
      <w:pPr>
        <w:ind w:left="980" w:hanging="257"/>
        <w:jc w:val="left"/>
      </w:pPr>
      <w:rPr>
        <w:rFonts w:hint="default" w:ascii="Arial Narrow" w:hAnsi="Arial Narrow" w:eastAsia="Arial Narrow" w:cs="Arial Narrow"/>
        <w:color w:val="4E81BD"/>
        <w:spacing w:val="-1"/>
        <w:w w:val="100"/>
        <w:sz w:val="28"/>
        <w:szCs w:val="28"/>
        <w:lang w:val="en-us" w:eastAsia="en-US" w:bidi="ar-SA"/>
      </w:rPr>
    </w:lvl>
    <w:lvl w:ilvl="1">
      <w:start w:val="1"/>
      <w:numFmt w:val="decimal"/>
      <w:lvlText w:val="%1.%2."/>
      <w:lvlJc w:val="left"/>
      <w:pPr>
        <w:ind w:left="1436" w:hanging="430"/>
        <w:jc w:val="left"/>
      </w:pPr>
      <w:rPr>
        <w:rFonts w:hint="default" w:ascii="Arial" w:hAnsi="Arial" w:eastAsia="Arial" w:cs="Arial"/>
        <w:spacing w:val="-1"/>
        <w:w w:val="100"/>
        <w:sz w:val="22"/>
        <w:szCs w:val="22"/>
        <w:lang w:val="en-us" w:eastAsia="en-US" w:bidi="ar-SA"/>
      </w:rPr>
    </w:lvl>
    <w:lvl w:ilvl="2">
      <w:start w:val="0"/>
      <w:numFmt w:val="bullet"/>
      <w:lvlText w:val="•"/>
      <w:lvlJc w:val="left"/>
      <w:pPr>
        <w:ind w:left="1560" w:hanging="430"/>
      </w:pPr>
      <w:rPr>
        <w:rFonts w:hint="default"/>
        <w:lang w:val="en-us" w:eastAsia="en-US" w:bidi="ar-SA"/>
      </w:rPr>
    </w:lvl>
    <w:lvl w:ilvl="3">
      <w:start w:val="0"/>
      <w:numFmt w:val="bullet"/>
      <w:lvlText w:val="•"/>
      <w:lvlJc w:val="left"/>
      <w:pPr>
        <w:ind w:left="2678" w:hanging="430"/>
      </w:pPr>
      <w:rPr>
        <w:rFonts w:hint="default"/>
        <w:lang w:val="en-us" w:eastAsia="en-US" w:bidi="ar-SA"/>
      </w:rPr>
    </w:lvl>
    <w:lvl w:ilvl="4">
      <w:start w:val="0"/>
      <w:numFmt w:val="bullet"/>
      <w:lvlText w:val="•"/>
      <w:lvlJc w:val="left"/>
      <w:pPr>
        <w:ind w:left="3796" w:hanging="430"/>
      </w:pPr>
      <w:rPr>
        <w:rFonts w:hint="default"/>
        <w:lang w:val="en-us" w:eastAsia="en-US" w:bidi="ar-SA"/>
      </w:rPr>
    </w:lvl>
    <w:lvl w:ilvl="5">
      <w:start w:val="0"/>
      <w:numFmt w:val="bullet"/>
      <w:lvlText w:val="•"/>
      <w:lvlJc w:val="left"/>
      <w:pPr>
        <w:ind w:left="4914" w:hanging="430"/>
      </w:pPr>
      <w:rPr>
        <w:rFonts w:hint="default"/>
        <w:lang w:val="en-us" w:eastAsia="en-US" w:bidi="ar-SA"/>
      </w:rPr>
    </w:lvl>
    <w:lvl w:ilvl="6">
      <w:start w:val="0"/>
      <w:numFmt w:val="bullet"/>
      <w:lvlText w:val="•"/>
      <w:lvlJc w:val="left"/>
      <w:pPr>
        <w:ind w:left="6033" w:hanging="430"/>
      </w:pPr>
      <w:rPr>
        <w:rFonts w:hint="default"/>
        <w:lang w:val="en-us" w:eastAsia="en-US" w:bidi="ar-SA"/>
      </w:rPr>
    </w:lvl>
    <w:lvl w:ilvl="7">
      <w:start w:val="0"/>
      <w:numFmt w:val="bullet"/>
      <w:lvlText w:val="•"/>
      <w:lvlJc w:val="left"/>
      <w:pPr>
        <w:ind w:left="7151" w:hanging="430"/>
      </w:pPr>
      <w:rPr>
        <w:rFonts w:hint="default"/>
        <w:lang w:val="en-us" w:eastAsia="en-US" w:bidi="ar-SA"/>
      </w:rPr>
    </w:lvl>
    <w:lvl w:ilvl="8">
      <w:start w:val="0"/>
      <w:numFmt w:val="bullet"/>
      <w:lvlText w:val="•"/>
      <w:lvlJc w:val="left"/>
      <w:pPr>
        <w:ind w:left="8269" w:hanging="430"/>
      </w:pPr>
      <w:rPr>
        <w:rFonts w:hint="default"/>
        <w:lang w:val="en-us" w:eastAsia="en-US" w:bidi="ar-SA"/>
      </w:rPr>
    </w:lvl>
  </w:abstract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17"/>
      <w:ind w:left="980" w:hanging="258"/>
    </w:pPr>
    <w:rPr>
      <w:rFonts w:ascii="Arial Narrow" w:hAnsi="Arial Narrow" w:eastAsia="Arial Narrow" w:cs="Arial Narrow"/>
      <w:sz w:val="28"/>
      <w:szCs w:val="28"/>
      <w:lang w:val="en-us" w:eastAsia="en-US" w:bidi="ar-SA"/>
    </w:rPr>
  </w:style>
  <w:style w:styleId="TOC2" w:type="paragraph">
    <w:name w:val="TOC 2"/>
    <w:basedOn w:val="Normal"/>
    <w:uiPriority w:val="1"/>
    <w:qFormat/>
    <w:pPr>
      <w:spacing w:line="311" w:lineRule="exact"/>
      <w:ind w:left="1006"/>
    </w:pPr>
    <w:rPr>
      <w:rFonts w:ascii="Arial Narrow" w:hAnsi="Arial Narrow" w:eastAsia="Arial Narrow" w:cs="Arial Narrow"/>
      <w:sz w:val="28"/>
      <w:szCs w:val="28"/>
      <w:lang w:val="en-us" w:eastAsia="en-US" w:bidi="ar-SA"/>
    </w:rPr>
  </w:style>
  <w:style w:styleId="TOC3" w:type="paragraph">
    <w:name w:val="TOC 3"/>
    <w:basedOn w:val="Normal"/>
    <w:uiPriority w:val="1"/>
    <w:qFormat/>
    <w:pPr>
      <w:spacing w:before="6"/>
      <w:ind w:left="1436" w:hanging="431"/>
    </w:pPr>
    <w:rPr>
      <w:rFonts w:ascii="Arial" w:hAnsi="Arial" w:eastAsia="Arial" w:cs="Arial"/>
      <w:sz w:val="22"/>
      <w:szCs w:val="22"/>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99"/>
      <w:ind w:left="723"/>
      <w:outlineLvl w:val="1"/>
    </w:pPr>
    <w:rPr>
      <w:rFonts w:ascii="Arial Narrow" w:hAnsi="Arial Narrow" w:eastAsia="Arial Narrow" w:cs="Arial Narrow"/>
      <w:b/>
      <w:bCs/>
      <w:sz w:val="72"/>
      <w:szCs w:val="72"/>
      <w:lang w:val="en-us" w:eastAsia="en-US" w:bidi="ar-SA"/>
    </w:rPr>
  </w:style>
  <w:style w:styleId="Heading2" w:type="paragraph">
    <w:name w:val="Heading 2"/>
    <w:basedOn w:val="Normal"/>
    <w:uiPriority w:val="1"/>
    <w:qFormat/>
    <w:pPr>
      <w:spacing w:before="99"/>
      <w:ind w:left="836"/>
      <w:outlineLvl w:val="2"/>
    </w:pPr>
    <w:rPr>
      <w:rFonts w:ascii="Arial Narrow" w:hAnsi="Arial Narrow" w:eastAsia="Arial Narrow" w:cs="Arial Narrow"/>
      <w:b/>
      <w:bCs/>
      <w:sz w:val="56"/>
      <w:szCs w:val="56"/>
      <w:lang w:val="en-us" w:eastAsia="en-US" w:bidi="ar-SA"/>
    </w:rPr>
  </w:style>
  <w:style w:styleId="Heading3" w:type="paragraph">
    <w:name w:val="Heading 3"/>
    <w:basedOn w:val="Normal"/>
    <w:uiPriority w:val="1"/>
    <w:qFormat/>
    <w:pPr>
      <w:spacing w:before="100"/>
      <w:ind w:left="723"/>
      <w:outlineLvl w:val="3"/>
    </w:pPr>
    <w:rPr>
      <w:rFonts w:ascii="Arial Narrow" w:hAnsi="Arial Narrow" w:eastAsia="Arial Narrow" w:cs="Arial Narrow"/>
      <w:b/>
      <w:bCs/>
      <w:sz w:val="48"/>
      <w:szCs w:val="48"/>
      <w:lang w:val="en-us" w:eastAsia="en-US" w:bidi="ar-SA"/>
    </w:rPr>
  </w:style>
  <w:style w:styleId="Heading4" w:type="paragraph">
    <w:name w:val="Heading 4"/>
    <w:basedOn w:val="Normal"/>
    <w:uiPriority w:val="1"/>
    <w:qFormat/>
    <w:pPr>
      <w:ind w:left="1191"/>
      <w:jc w:val="center"/>
      <w:outlineLvl w:val="4"/>
    </w:pPr>
    <w:rPr>
      <w:rFonts w:ascii="Arial Narrow" w:hAnsi="Arial Narrow" w:eastAsia="Arial Narrow" w:cs="Arial Narrow"/>
      <w:b/>
      <w:bCs/>
      <w:sz w:val="24"/>
      <w:szCs w:val="24"/>
      <w:lang w:val="en-us" w:eastAsia="en-US" w:bidi="ar-SA"/>
    </w:rPr>
  </w:style>
  <w:style w:styleId="Heading5" w:type="paragraph">
    <w:name w:val="Heading 5"/>
    <w:basedOn w:val="Normal"/>
    <w:uiPriority w:val="1"/>
    <w:qFormat/>
    <w:pPr>
      <w:spacing w:before="21"/>
      <w:ind w:left="860"/>
      <w:outlineLvl w:val="5"/>
    </w:pPr>
    <w:rPr>
      <w:rFonts w:ascii="Arial Narrow" w:hAnsi="Arial Narrow" w:eastAsia="Arial Narrow" w:cs="Arial Narrow"/>
      <w:b/>
      <w:bCs/>
      <w:sz w:val="22"/>
      <w:szCs w:val="22"/>
      <w:lang w:val="en-us" w:eastAsia="en-US" w:bidi="ar-SA"/>
    </w:rPr>
  </w:style>
  <w:style w:styleId="Heading6" w:type="paragraph">
    <w:name w:val="Heading 6"/>
    <w:basedOn w:val="Normal"/>
    <w:uiPriority w:val="1"/>
    <w:qFormat/>
    <w:pPr>
      <w:ind w:left="2014" w:hanging="613"/>
      <w:outlineLvl w:val="6"/>
    </w:pPr>
    <w:rPr>
      <w:rFonts w:ascii="Arial" w:hAnsi="Arial" w:eastAsia="Arial" w:cs="Arial"/>
      <w:b/>
      <w:bCs/>
      <w:i/>
      <w:sz w:val="22"/>
      <w:szCs w:val="22"/>
      <w:lang w:val="en-us" w:eastAsia="en-US" w:bidi="ar-SA"/>
    </w:rPr>
  </w:style>
  <w:style w:styleId="Heading7" w:type="paragraph">
    <w:name w:val="Heading 7"/>
    <w:basedOn w:val="Normal"/>
    <w:uiPriority w:val="1"/>
    <w:qFormat/>
    <w:pPr>
      <w:ind w:left="1402"/>
      <w:outlineLvl w:val="7"/>
    </w:pPr>
    <w:rPr>
      <w:rFonts w:ascii="Arial" w:hAnsi="Arial" w:eastAsia="Arial" w:cs="Arial"/>
      <w:i/>
      <w:sz w:val="22"/>
      <w:szCs w:val="22"/>
      <w:lang w:val="en-us" w:eastAsia="en-US" w:bidi="ar-SA"/>
    </w:rPr>
  </w:style>
  <w:style w:styleId="Heading8" w:type="paragraph">
    <w:name w:val="Heading 8"/>
    <w:basedOn w:val="Normal"/>
    <w:uiPriority w:val="1"/>
    <w:qFormat/>
    <w:pPr>
      <w:ind w:left="1575"/>
      <w:outlineLvl w:val="8"/>
    </w:pPr>
    <w:rPr>
      <w:rFonts w:ascii="Arial" w:hAnsi="Arial" w:eastAsia="Arial" w:cs="Arial"/>
      <w:b/>
      <w:bCs/>
      <w:sz w:val="20"/>
      <w:szCs w:val="20"/>
      <w:lang w:val="en-us" w:eastAsia="en-US" w:bidi="ar-SA"/>
    </w:rPr>
  </w:style>
  <w:style w:styleId="ListParagraph" w:type="paragraph">
    <w:name w:val="List Paragraph"/>
    <w:basedOn w:val="Normal"/>
    <w:uiPriority w:val="1"/>
    <w:qFormat/>
    <w:pPr>
      <w:ind w:left="723"/>
      <w:jc w:val="both"/>
    </w:pPr>
    <w:rPr>
      <w:rFonts w:ascii="Arial" w:hAnsi="Arial" w:eastAsia="Arial" w:cs="Arial"/>
      <w:lang w:val="en-us" w:eastAsia="en-US" w:bidi="ar-SA"/>
    </w:rPr>
  </w:style>
  <w:style w:styleId="TableParagraph" w:type="paragraph">
    <w:name w:val="Table Paragraph"/>
    <w:basedOn w:val="Normal"/>
    <w:uiPriority w:val="1"/>
    <w:qFormat/>
    <w:pPr>
      <w:spacing w:before="28"/>
      <w:jc w:val="center"/>
    </w:pPr>
    <w:rPr>
      <w:rFonts w:ascii="Arial Narrow" w:hAnsi="Arial Narrow" w:eastAsia="Arial Narrow" w:cs="Arial Narro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yperlink" Target="https://doi.org/10.1787/beba0634-en" TargetMode="External"/><Relationship Id="rId24" Type="http://schemas.openxmlformats.org/officeDocument/2006/relationships/hyperlink" Target="http://www.oecd.org/termsandconditions"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unctad.org/en/PublicationsLibrary/unctadsddins6_en.pdf" TargetMode="External"/><Relationship Id="rId33" Type="http://schemas.openxmlformats.org/officeDocument/2006/relationships/hyperlink" Target="https://www.oecd.org/tax/beps/statement-by-the-oecd-g20-inclusive-framework-on-beps-january-2020.pdf" TargetMode="External"/><Relationship Id="rId34" Type="http://schemas.openxmlformats.org/officeDocument/2006/relationships/hyperlink" Target="https://www.ifrs.org/use-around-the-world/use-of-ifrs-standards-by-jurisdiction/" TargetMode="External"/><Relationship Id="rId35" Type="http://schemas.openxmlformats.org/officeDocument/2006/relationships/header" Target="header3.xml"/><Relationship Id="rId36" Type="http://schemas.openxmlformats.org/officeDocument/2006/relationships/header" Target="header4.xml"/><Relationship Id="rId37" Type="http://schemas.openxmlformats.org/officeDocument/2006/relationships/footer" Target="footer3.xml"/><Relationship Id="rId38" Type="http://schemas.openxmlformats.org/officeDocument/2006/relationships/footer" Target="footer4.xml"/><Relationship Id="rId39" Type="http://schemas.openxmlformats.org/officeDocument/2006/relationships/header" Target="header5.xml"/><Relationship Id="rId40" Type="http://schemas.openxmlformats.org/officeDocument/2006/relationships/header" Target="header6.xm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jpeg"/><Relationship Id="rId47" Type="http://schemas.openxmlformats.org/officeDocument/2006/relationships/image" Target="media/image26.jpeg"/><Relationship Id="rId48" Type="http://schemas.openxmlformats.org/officeDocument/2006/relationships/image" Target="media/image27.jpe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header" Target="header7.xml"/><Relationship Id="rId52" Type="http://schemas.openxmlformats.org/officeDocument/2006/relationships/header" Target="header8.xml"/><Relationship Id="rId53" Type="http://schemas.openxmlformats.org/officeDocument/2006/relationships/footer" Target="footer7.xml"/><Relationship Id="rId54" Type="http://schemas.openxmlformats.org/officeDocument/2006/relationships/image" Target="media/image30.jpeg"/><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footer" Target="footer8.xml"/><Relationship Id="rId58" Type="http://schemas.openxmlformats.org/officeDocument/2006/relationships/footer" Target="footer9.xml"/><Relationship Id="rId59" Type="http://schemas.openxmlformats.org/officeDocument/2006/relationships/header" Target="header11.xml"/><Relationship Id="rId60" Type="http://schemas.openxmlformats.org/officeDocument/2006/relationships/footer" Target="footer10.xml"/><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OECD</dc:creator>
  <dc:title>Tax Challenges Arising from Digitalisation – Report on Pillar One Blueprint - Inclusive Framework on BEPS</dc:title>
  <dcterms:created xsi:type="dcterms:W3CDTF">2020-11-01T19:41:34Z</dcterms:created>
  <dcterms:modified xsi:type="dcterms:W3CDTF">2020-11-01T19:41:34Z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2016</vt:lpwstr>
  </property>
  <property fmtid="{D5CDD505-2E9C-101B-9397-08002B2CF9AE}" pid="4" name="LastSaved">
    <vt:filetime>2020-11-01T00:00:00Z</vt:filetime>
  </property>
</Properties>
</file>